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F266F" w14:textId="60D24C09" w:rsidR="00CD70AC" w:rsidRDefault="00CD70AC" w:rsidP="00C4136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7EBBDBB1" wp14:editId="07E8211F">
            <wp:extent cx="1362075" cy="1362075"/>
            <wp:effectExtent l="0" t="0" r="9525" b="9525"/>
            <wp:docPr id="2" name="Picture 2" descr="Description: Description: Description: cid:image003.png@01D117DD.2620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3.png@01D117DD.262030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F30D5" w14:textId="2CEEA290" w:rsidR="000D7139" w:rsidRDefault="00C4136D" w:rsidP="00C4136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 THE HIGH COURT OF SOUTH-AFRICA </w:t>
      </w:r>
    </w:p>
    <w:p w14:paraId="4A90026A" w14:textId="4AEC886A" w:rsidR="00C4136D" w:rsidRDefault="00C4136D" w:rsidP="00C4136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GAUTENG DIVISION, </w:t>
      </w:r>
      <w:r w:rsidR="00123222">
        <w:rPr>
          <w:rFonts w:ascii="Arial" w:hAnsi="Arial" w:cs="Arial"/>
          <w:b/>
          <w:bCs/>
          <w:sz w:val="24"/>
          <w:szCs w:val="24"/>
        </w:rPr>
        <w:t>PRETORIA</w:t>
      </w:r>
    </w:p>
    <w:p w14:paraId="2D23131C" w14:textId="7672046A" w:rsidR="00C4136D" w:rsidRDefault="00C4136D" w:rsidP="00C4136D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CASE: </w:t>
      </w:r>
      <w:r w:rsidR="006806C1">
        <w:rPr>
          <w:rFonts w:ascii="Arial" w:hAnsi="Arial" w:cs="Arial"/>
          <w:b/>
          <w:bCs/>
          <w:sz w:val="24"/>
          <w:szCs w:val="24"/>
        </w:rPr>
        <w:t>23553/2020</w:t>
      </w:r>
    </w:p>
    <w:p w14:paraId="63EE9D89" w14:textId="2DC3C28D" w:rsidR="00C4136D" w:rsidRDefault="003B0A45" w:rsidP="003B0A45">
      <w:pPr>
        <w:tabs>
          <w:tab w:val="left" w:pos="5976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6966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624A" wp14:editId="44C886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12490" cy="1548130"/>
                <wp:effectExtent l="0" t="0" r="1651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154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C0062" w14:textId="30FA5787" w:rsidR="003B0A45" w:rsidRDefault="001601BF" w:rsidP="001601BF">
                            <w:pPr>
                              <w:ind w:left="720" w:hanging="360"/>
                            </w:pPr>
                            <w:r>
                              <w:t>(1)</w:t>
                            </w:r>
                            <w:r>
                              <w:tab/>
                            </w:r>
                            <w:r w:rsidR="003B0A45">
                              <w:t>REPORTABLE: YES / NO</w:t>
                            </w:r>
                          </w:p>
                          <w:p w14:paraId="2277B43A" w14:textId="5ABF55D6" w:rsidR="003B0A45" w:rsidRDefault="001601BF" w:rsidP="001601BF">
                            <w:pPr>
                              <w:ind w:left="720" w:hanging="360"/>
                            </w:pPr>
                            <w:r>
                              <w:t>(2)</w:t>
                            </w:r>
                            <w:r>
                              <w:tab/>
                            </w:r>
                            <w:r w:rsidR="003B0A45">
                              <w:t xml:space="preserve">OF INTEREST TO OTHER JUDGES: YES / NO </w:t>
                            </w:r>
                          </w:p>
                          <w:p w14:paraId="6549DC07" w14:textId="24F0C0A0" w:rsidR="003B0A45" w:rsidRDefault="001601BF" w:rsidP="001601BF">
                            <w:pPr>
                              <w:ind w:left="720" w:hanging="360"/>
                            </w:pPr>
                            <w:r>
                              <w:t>(3)</w:t>
                            </w:r>
                            <w:r>
                              <w:tab/>
                            </w:r>
                            <w:r w:rsidR="003B0A45">
                              <w:t xml:space="preserve">REVISED. </w:t>
                            </w:r>
                          </w:p>
                          <w:p w14:paraId="5D8AD2E8" w14:textId="77777777" w:rsidR="003B0A45" w:rsidRDefault="003B0A45" w:rsidP="003B0A45"/>
                          <w:p w14:paraId="31C9EA5F" w14:textId="77777777" w:rsidR="003B0A45" w:rsidRDefault="003B0A45" w:rsidP="003B0A45">
                            <w:pPr>
                              <w:ind w:left="2880"/>
                            </w:pPr>
                            <w:r>
                              <w:t xml:space="preserve">        ________________</w:t>
                            </w:r>
                          </w:p>
                          <w:p w14:paraId="2A30FB0E" w14:textId="77777777" w:rsidR="003B0A45" w:rsidRDefault="003B0A45" w:rsidP="003B0A45">
                            <w:pPr>
                              <w:ind w:left="360"/>
                            </w:pPr>
                            <w:r>
                              <w:t xml:space="preserve">DATE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562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268.7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" fillcolor="white [3201]" strokeweight=".5pt">
                <v:textbox>
                  <w:txbxContent>
                    <w:p w14:paraId="770C0062" w14:textId="30FA5787" w:rsidR="003B0A45" w:rsidRDefault="001601BF" w:rsidP="001601BF">
                      <w:pPr>
                        <w:ind w:left="720" w:hanging="360"/>
                      </w:pPr>
                      <w:r>
                        <w:t>(1)</w:t>
                      </w:r>
                      <w:r>
                        <w:tab/>
                      </w:r>
                      <w:r w:rsidR="003B0A45">
                        <w:t>REPORTABLE: YES / NO</w:t>
                      </w:r>
                    </w:p>
                    <w:p w14:paraId="2277B43A" w14:textId="5ABF55D6" w:rsidR="003B0A45" w:rsidRDefault="001601BF" w:rsidP="001601BF">
                      <w:pPr>
                        <w:ind w:left="720" w:hanging="360"/>
                      </w:pPr>
                      <w:r>
                        <w:t>(2)</w:t>
                      </w:r>
                      <w:r>
                        <w:tab/>
                      </w:r>
                      <w:r w:rsidR="003B0A45">
                        <w:t xml:space="preserve">OF INTEREST TO OTHER JUDGES: YES / NO </w:t>
                      </w:r>
                    </w:p>
                    <w:p w14:paraId="6549DC07" w14:textId="24F0C0A0" w:rsidR="003B0A45" w:rsidRDefault="001601BF" w:rsidP="001601BF">
                      <w:pPr>
                        <w:ind w:left="720" w:hanging="360"/>
                      </w:pPr>
                      <w:r>
                        <w:t>(3)</w:t>
                      </w:r>
                      <w:r>
                        <w:tab/>
                      </w:r>
                      <w:r w:rsidR="003B0A45">
                        <w:t xml:space="preserve">REVISED. </w:t>
                      </w:r>
                    </w:p>
                    <w:p w14:paraId="5D8AD2E8" w14:textId="77777777" w:rsidR="003B0A45" w:rsidRDefault="003B0A45" w:rsidP="003B0A45"/>
                    <w:p w14:paraId="31C9EA5F" w14:textId="77777777" w:rsidR="003B0A45" w:rsidRDefault="003B0A45" w:rsidP="003B0A45">
                      <w:pPr>
                        <w:ind w:left="2880"/>
                      </w:pPr>
                      <w:r>
                        <w:t xml:space="preserve">        ________________</w:t>
                      </w:r>
                    </w:p>
                    <w:p w14:paraId="2A30FB0E" w14:textId="77777777" w:rsidR="003B0A45" w:rsidRDefault="003B0A45" w:rsidP="003B0A45">
                      <w:pPr>
                        <w:ind w:left="360"/>
                      </w:pPr>
                      <w:r>
                        <w:t xml:space="preserve">DATE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7ED4761" w14:textId="77777777" w:rsidR="003B0A45" w:rsidRDefault="003B0A45" w:rsidP="00C4136D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0D81350" w14:textId="0B9992BD" w:rsidR="00CD70AC" w:rsidRDefault="00CD70AC" w:rsidP="00CD70A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53DCBD5" w14:textId="7EC167AB" w:rsidR="00CD70AC" w:rsidRDefault="00CD70AC" w:rsidP="00C4136D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CB2FB4A" w14:textId="77777777" w:rsidR="00CD70AC" w:rsidRDefault="00CD70AC" w:rsidP="00C4136D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2B25D62" w14:textId="095ED425" w:rsidR="00C4136D" w:rsidRDefault="00C4136D" w:rsidP="00C413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MATTER BETWEEN:</w:t>
      </w:r>
    </w:p>
    <w:p w14:paraId="15FD3728" w14:textId="77777777" w:rsidR="006806C1" w:rsidRDefault="006806C1" w:rsidP="00C413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96E8736" w14:textId="1BBB05C8" w:rsidR="00C4136D" w:rsidRDefault="006806C1" w:rsidP="00C413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MPHO REGINALD MOHALE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4136D">
        <w:rPr>
          <w:rFonts w:ascii="Arial" w:hAnsi="Arial" w:cs="Arial"/>
          <w:b/>
          <w:bCs/>
          <w:sz w:val="24"/>
          <w:szCs w:val="24"/>
        </w:rPr>
        <w:t xml:space="preserve"> </w:t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C4136D">
        <w:rPr>
          <w:rFonts w:ascii="Arial" w:hAnsi="Arial" w:cs="Arial"/>
          <w:b/>
          <w:bCs/>
          <w:sz w:val="24"/>
          <w:szCs w:val="24"/>
        </w:rPr>
        <w:t>APP</w:t>
      </w:r>
      <w:r>
        <w:rPr>
          <w:rFonts w:ascii="Arial" w:hAnsi="Arial" w:cs="Arial"/>
          <w:b/>
          <w:bCs/>
          <w:sz w:val="24"/>
          <w:szCs w:val="24"/>
        </w:rPr>
        <w:t>LICANT</w:t>
      </w:r>
    </w:p>
    <w:p w14:paraId="2AF263A6" w14:textId="2FE5968C" w:rsidR="00C4136D" w:rsidRDefault="00C4136D" w:rsidP="00C413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5CD3807" w14:textId="3DE857EB" w:rsidR="00C4136D" w:rsidRDefault="00C4136D" w:rsidP="00C413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AND </w:t>
      </w:r>
    </w:p>
    <w:p w14:paraId="1581A4F2" w14:textId="29A191D6" w:rsidR="00C4136D" w:rsidRDefault="00C4136D" w:rsidP="00C413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B789013" w14:textId="54A8D0C2" w:rsidR="00C4136D" w:rsidRDefault="006806C1" w:rsidP="00C413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HEADS TRACTOR (PTY) LTD</w:t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1</w:t>
      </w:r>
      <w:r w:rsidRPr="006806C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4136D">
        <w:rPr>
          <w:rFonts w:ascii="Arial" w:hAnsi="Arial" w:cs="Arial"/>
          <w:b/>
          <w:bCs/>
          <w:sz w:val="24"/>
          <w:szCs w:val="24"/>
        </w:rPr>
        <w:t>RESPONDENT</w:t>
      </w:r>
    </w:p>
    <w:p w14:paraId="0C8111BE" w14:textId="40083885" w:rsidR="00C4136D" w:rsidRDefault="006806C1" w:rsidP="00C413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RODNEY GRANT WOOD NO </w:t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 w:rsidR="00C4136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2</w:t>
      </w:r>
      <w:r w:rsidRPr="006806C1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RESPONDENT</w:t>
      </w:r>
      <w:r w:rsidR="00C4136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6D1A77" w14:textId="5D5A5878" w:rsidR="006806C1" w:rsidRDefault="006806C1" w:rsidP="00C413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CHRIS DE WET N</w:t>
      </w:r>
      <w:r w:rsidR="00CD70A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CD70A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3</w:t>
      </w:r>
      <w:r w:rsidRPr="006806C1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RESPONDENT</w:t>
      </w:r>
    </w:p>
    <w:p w14:paraId="4F0B1AA7" w14:textId="77777777" w:rsidR="00CD70AC" w:rsidRDefault="00CD70AC" w:rsidP="00C4136D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FEB3E0" w14:textId="780A4CCF" w:rsidR="00C4136D" w:rsidRDefault="00C4136D" w:rsidP="00C4136D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JUDGMENT</w:t>
      </w:r>
    </w:p>
    <w:p w14:paraId="3E31A0BA" w14:textId="77777777" w:rsidR="00CD70AC" w:rsidRDefault="00CD70AC" w:rsidP="00C4136D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900A3E" w14:textId="3C1A73DE" w:rsidR="00C4136D" w:rsidRDefault="00CD70AC" w:rsidP="00C413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STRIJDOM AJ</w:t>
      </w:r>
    </w:p>
    <w:p w14:paraId="3674F237" w14:textId="353592A6" w:rsidR="006806C1" w:rsidRDefault="006806C1" w:rsidP="006806C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347C20B" w14:textId="541B34A8" w:rsidR="006806C1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6806C1" w:rsidRPr="001601BF">
        <w:rPr>
          <w:rFonts w:ascii="Arial" w:hAnsi="Arial" w:cs="Arial"/>
          <w:sz w:val="24"/>
          <w:szCs w:val="24"/>
        </w:rPr>
        <w:t>This application stems forth from a</w:t>
      </w:r>
      <w:r w:rsidR="00CD70AC" w:rsidRPr="001601BF">
        <w:rPr>
          <w:rFonts w:ascii="Arial" w:hAnsi="Arial" w:cs="Arial"/>
          <w:sz w:val="24"/>
          <w:szCs w:val="24"/>
        </w:rPr>
        <w:t>n</w:t>
      </w:r>
      <w:r w:rsidR="006806C1" w:rsidRPr="001601BF">
        <w:rPr>
          <w:rFonts w:ascii="Arial" w:hAnsi="Arial" w:cs="Arial"/>
          <w:sz w:val="24"/>
          <w:szCs w:val="24"/>
        </w:rPr>
        <w:t xml:space="preserve"> urgent application enrolled for hearing on 9 June 2020, seeking the relief as set out in Part A of the Notice of Motion. </w:t>
      </w:r>
    </w:p>
    <w:p w14:paraId="0523B10D" w14:textId="4A0B1EE5" w:rsidR="006806C1" w:rsidRDefault="006806C1" w:rsidP="006806C1">
      <w:pPr>
        <w:spacing w:line="360" w:lineRule="auto"/>
        <w:rPr>
          <w:rFonts w:ascii="Arial" w:hAnsi="Arial" w:cs="Arial"/>
          <w:sz w:val="24"/>
          <w:szCs w:val="24"/>
        </w:rPr>
      </w:pPr>
    </w:p>
    <w:p w14:paraId="27AD1634" w14:textId="7103BC78" w:rsidR="006806C1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6806C1" w:rsidRPr="001601BF">
        <w:rPr>
          <w:rFonts w:ascii="Arial" w:hAnsi="Arial" w:cs="Arial"/>
          <w:sz w:val="24"/>
          <w:szCs w:val="24"/>
        </w:rPr>
        <w:t xml:space="preserve">The urgent application was launched seeking the relief in Part A on a purported interim basis pending the relief sought in Part B. </w:t>
      </w:r>
      <w:r w:rsidR="00123222" w:rsidRPr="001601BF">
        <w:rPr>
          <w:rFonts w:ascii="Arial" w:hAnsi="Arial" w:cs="Arial"/>
          <w:sz w:val="24"/>
          <w:szCs w:val="24"/>
        </w:rPr>
        <w:t>T</w:t>
      </w:r>
      <w:r w:rsidR="006806C1" w:rsidRPr="001601BF">
        <w:rPr>
          <w:rFonts w:ascii="Arial" w:hAnsi="Arial" w:cs="Arial"/>
          <w:sz w:val="24"/>
          <w:szCs w:val="24"/>
        </w:rPr>
        <w:t xml:space="preserve">he urgent application was dismissed with costs. </w:t>
      </w:r>
    </w:p>
    <w:p w14:paraId="4AF0F0F8" w14:textId="77777777" w:rsidR="006806C1" w:rsidRPr="006806C1" w:rsidRDefault="006806C1" w:rsidP="006806C1">
      <w:pPr>
        <w:pStyle w:val="ListParagraph"/>
        <w:rPr>
          <w:rFonts w:ascii="Arial" w:hAnsi="Arial" w:cs="Arial"/>
          <w:sz w:val="24"/>
          <w:szCs w:val="24"/>
        </w:rPr>
      </w:pPr>
    </w:p>
    <w:p w14:paraId="4272D8B8" w14:textId="5BE5363F" w:rsidR="006806C1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6806C1" w:rsidRPr="001601BF">
        <w:rPr>
          <w:rFonts w:ascii="Arial" w:hAnsi="Arial" w:cs="Arial"/>
          <w:sz w:val="24"/>
          <w:szCs w:val="24"/>
        </w:rPr>
        <w:t xml:space="preserve">The Applicant, an erstwhile director and shareholder of the First Respondent sought relief in Part B as follows: </w:t>
      </w:r>
    </w:p>
    <w:p w14:paraId="7F4F1F6D" w14:textId="77777777" w:rsidR="006806C1" w:rsidRPr="006806C1" w:rsidRDefault="006806C1" w:rsidP="006806C1">
      <w:pPr>
        <w:pStyle w:val="ListParagraph"/>
        <w:rPr>
          <w:rFonts w:ascii="Arial" w:hAnsi="Arial" w:cs="Arial"/>
          <w:sz w:val="24"/>
          <w:szCs w:val="24"/>
        </w:rPr>
      </w:pPr>
    </w:p>
    <w:p w14:paraId="7D74A79D" w14:textId="61497253" w:rsidR="006806C1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ab/>
      </w:r>
      <w:r w:rsidR="006806C1" w:rsidRPr="001601BF">
        <w:rPr>
          <w:rFonts w:ascii="Arial" w:hAnsi="Arial" w:cs="Arial"/>
          <w:sz w:val="24"/>
          <w:szCs w:val="24"/>
        </w:rPr>
        <w:t>The final winding-up of the First Respondent premised on a deadlock;</w:t>
      </w:r>
    </w:p>
    <w:p w14:paraId="264DC3BA" w14:textId="74A6B742" w:rsidR="006806C1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ab/>
      </w:r>
      <w:r w:rsidR="006806C1" w:rsidRPr="001601BF">
        <w:rPr>
          <w:rFonts w:ascii="Arial" w:hAnsi="Arial" w:cs="Arial"/>
          <w:sz w:val="24"/>
          <w:szCs w:val="24"/>
        </w:rPr>
        <w:t>In the alternative to the winding-up an order directing the valuation and sale of the Applicants’ shares to the Second and Third Respondents</w:t>
      </w:r>
      <w:r w:rsidR="00123222" w:rsidRPr="001601BF">
        <w:rPr>
          <w:rFonts w:ascii="Arial" w:hAnsi="Arial" w:cs="Arial"/>
          <w:sz w:val="24"/>
          <w:szCs w:val="24"/>
        </w:rPr>
        <w:t>.</w:t>
      </w:r>
    </w:p>
    <w:p w14:paraId="4AFB8B31" w14:textId="77777777" w:rsidR="006806C1" w:rsidRDefault="006806C1" w:rsidP="006806C1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6AB60F19" w14:textId="20DB5E08" w:rsidR="006806C1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6806C1" w:rsidRPr="001601BF">
        <w:rPr>
          <w:rFonts w:ascii="Arial" w:hAnsi="Arial" w:cs="Arial"/>
          <w:sz w:val="24"/>
          <w:szCs w:val="24"/>
        </w:rPr>
        <w:t xml:space="preserve">The Respondent raised the following defences </w:t>
      </w:r>
      <w:r w:rsidR="006806C1" w:rsidRPr="001601BF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="006806C1" w:rsidRPr="001601BF">
        <w:rPr>
          <w:rFonts w:ascii="Arial" w:hAnsi="Arial" w:cs="Arial"/>
          <w:i/>
          <w:iCs/>
          <w:sz w:val="24"/>
          <w:szCs w:val="24"/>
        </w:rPr>
        <w:t>lim</w:t>
      </w:r>
      <w:r w:rsidR="00D74C1E" w:rsidRPr="001601BF">
        <w:rPr>
          <w:rFonts w:ascii="Arial" w:hAnsi="Arial" w:cs="Arial"/>
          <w:i/>
          <w:iCs/>
          <w:sz w:val="24"/>
          <w:szCs w:val="24"/>
        </w:rPr>
        <w:t>ine</w:t>
      </w:r>
      <w:proofErr w:type="spellEnd"/>
      <w:r w:rsidR="00CD70AC" w:rsidRPr="001601BF">
        <w:rPr>
          <w:rFonts w:ascii="Arial" w:hAnsi="Arial" w:cs="Arial"/>
          <w:sz w:val="24"/>
          <w:szCs w:val="24"/>
        </w:rPr>
        <w:t>:</w:t>
      </w:r>
    </w:p>
    <w:p w14:paraId="0F4A17B6" w14:textId="287C5E2F" w:rsidR="00D74C1E" w:rsidRDefault="00D74C1E" w:rsidP="00D74C1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6360C56" w14:textId="02C22C91" w:rsidR="00D74C1E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</w:r>
      <w:r w:rsidR="00D74C1E" w:rsidRPr="001601BF">
        <w:rPr>
          <w:rFonts w:ascii="Arial" w:hAnsi="Arial" w:cs="Arial"/>
          <w:sz w:val="24"/>
          <w:szCs w:val="24"/>
        </w:rPr>
        <w:t>The material non-joinder of the Second and Third Respondents trustees;</w:t>
      </w:r>
    </w:p>
    <w:p w14:paraId="58224F4B" w14:textId="177CFE3B" w:rsidR="003F35AD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ab/>
      </w:r>
      <w:r w:rsidR="00D74C1E" w:rsidRPr="001601BF">
        <w:rPr>
          <w:rFonts w:ascii="Arial" w:hAnsi="Arial" w:cs="Arial"/>
          <w:sz w:val="24"/>
          <w:szCs w:val="24"/>
        </w:rPr>
        <w:t>The Court</w:t>
      </w:r>
      <w:r w:rsidR="00123222" w:rsidRPr="001601BF">
        <w:rPr>
          <w:rFonts w:ascii="Arial" w:hAnsi="Arial" w:cs="Arial"/>
          <w:sz w:val="24"/>
          <w:szCs w:val="24"/>
        </w:rPr>
        <w:t>’</w:t>
      </w:r>
      <w:r w:rsidR="00D74C1E" w:rsidRPr="001601BF">
        <w:rPr>
          <w:rFonts w:ascii="Arial" w:hAnsi="Arial" w:cs="Arial"/>
          <w:sz w:val="24"/>
          <w:szCs w:val="24"/>
        </w:rPr>
        <w:t>s lack of jurisdiction premised on the arbitration clause in the shareholder</w:t>
      </w:r>
      <w:r w:rsidR="00CD70AC" w:rsidRPr="001601BF">
        <w:rPr>
          <w:rFonts w:ascii="Arial" w:hAnsi="Arial" w:cs="Arial"/>
          <w:sz w:val="24"/>
          <w:szCs w:val="24"/>
        </w:rPr>
        <w:t>’</w:t>
      </w:r>
      <w:r w:rsidR="00D74C1E" w:rsidRPr="001601BF">
        <w:rPr>
          <w:rFonts w:ascii="Arial" w:hAnsi="Arial" w:cs="Arial"/>
          <w:sz w:val="24"/>
          <w:szCs w:val="24"/>
        </w:rPr>
        <w:t>s agreement</w:t>
      </w:r>
      <w:r w:rsidR="00CD70AC" w:rsidRPr="001601BF">
        <w:rPr>
          <w:rFonts w:ascii="Arial" w:hAnsi="Arial" w:cs="Arial"/>
          <w:sz w:val="24"/>
          <w:szCs w:val="24"/>
        </w:rPr>
        <w:t>.</w:t>
      </w:r>
      <w:r w:rsidR="00D74C1E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0BBE5EE6" w14:textId="77777777" w:rsidR="003F35AD" w:rsidRPr="003F35AD" w:rsidRDefault="003F35AD" w:rsidP="003F35AD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4071121E" w14:textId="6ACECB56" w:rsidR="003F35AD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3F35AD" w:rsidRPr="001601BF">
        <w:rPr>
          <w:rFonts w:ascii="Arial" w:hAnsi="Arial" w:cs="Arial"/>
          <w:sz w:val="24"/>
          <w:szCs w:val="24"/>
        </w:rPr>
        <w:t>But for the aforesaid technical defences, the Respondents oppose the relief sought on the defences that:</w:t>
      </w:r>
    </w:p>
    <w:p w14:paraId="774FE60B" w14:textId="77777777" w:rsidR="003F35AD" w:rsidRDefault="003F35AD" w:rsidP="003F35A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2C31F59" w14:textId="3B52BBE7" w:rsidR="003F35AD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5.1.</w:t>
      </w:r>
      <w:r>
        <w:rPr>
          <w:rFonts w:ascii="Arial" w:hAnsi="Arial" w:cs="Arial"/>
          <w:sz w:val="24"/>
          <w:szCs w:val="24"/>
        </w:rPr>
        <w:tab/>
      </w:r>
      <w:r w:rsidR="003F35AD" w:rsidRPr="001601BF">
        <w:rPr>
          <w:rFonts w:ascii="Arial" w:hAnsi="Arial" w:cs="Arial"/>
          <w:sz w:val="24"/>
          <w:szCs w:val="24"/>
        </w:rPr>
        <w:t>The common cause shareholder</w:t>
      </w:r>
      <w:r w:rsidR="00CD70AC" w:rsidRPr="001601BF">
        <w:rPr>
          <w:rFonts w:ascii="Arial" w:hAnsi="Arial" w:cs="Arial"/>
          <w:sz w:val="24"/>
          <w:szCs w:val="24"/>
        </w:rPr>
        <w:t>’</w:t>
      </w:r>
      <w:r w:rsidR="003F35AD" w:rsidRPr="001601BF">
        <w:rPr>
          <w:rFonts w:ascii="Arial" w:hAnsi="Arial" w:cs="Arial"/>
          <w:sz w:val="24"/>
          <w:szCs w:val="24"/>
        </w:rPr>
        <w:t>s agreement barring winding-up in the case of a deadlock</w:t>
      </w:r>
      <w:r w:rsidR="003F35AD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CD70AC" w:rsidRPr="001601BF">
        <w:rPr>
          <w:rFonts w:ascii="Arial" w:hAnsi="Arial" w:cs="Arial"/>
          <w:sz w:val="24"/>
          <w:szCs w:val="24"/>
        </w:rPr>
        <w:t>;</w:t>
      </w:r>
    </w:p>
    <w:p w14:paraId="3C766D8F" w14:textId="7758004C" w:rsidR="003F35AD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ab/>
      </w:r>
      <w:r w:rsidR="003F35AD" w:rsidRPr="001601BF">
        <w:rPr>
          <w:rFonts w:ascii="Arial" w:hAnsi="Arial" w:cs="Arial"/>
          <w:sz w:val="24"/>
          <w:szCs w:val="24"/>
        </w:rPr>
        <w:t>The First Respondent being a solvent and actively trading entity</w:t>
      </w:r>
      <w:r w:rsidR="003F35AD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CD70AC" w:rsidRPr="001601BF">
        <w:rPr>
          <w:rFonts w:ascii="Arial" w:hAnsi="Arial" w:cs="Arial"/>
          <w:sz w:val="24"/>
          <w:szCs w:val="24"/>
        </w:rPr>
        <w:t>;</w:t>
      </w:r>
    </w:p>
    <w:p w14:paraId="2C963473" w14:textId="638CE24F" w:rsidR="003F35AD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>
        <w:rPr>
          <w:rFonts w:ascii="Arial" w:hAnsi="Arial" w:cs="Arial"/>
          <w:sz w:val="24"/>
          <w:szCs w:val="24"/>
        </w:rPr>
        <w:tab/>
      </w:r>
      <w:r w:rsidR="003F35AD" w:rsidRPr="001601BF">
        <w:rPr>
          <w:rFonts w:ascii="Arial" w:hAnsi="Arial" w:cs="Arial"/>
          <w:sz w:val="24"/>
          <w:szCs w:val="24"/>
        </w:rPr>
        <w:t>Clause 11 of the shareholder’s agreement making provision for a deemed offer</w:t>
      </w:r>
      <w:r w:rsidR="00CD70AC" w:rsidRPr="001601BF">
        <w:rPr>
          <w:rFonts w:ascii="Arial" w:hAnsi="Arial" w:cs="Arial"/>
          <w:sz w:val="24"/>
          <w:szCs w:val="24"/>
        </w:rPr>
        <w:t>.</w:t>
      </w:r>
      <w:r w:rsidR="003F35AD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14:paraId="7A269836" w14:textId="77777777" w:rsidR="003F35AD" w:rsidRDefault="003F35AD" w:rsidP="003F35AD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31759629" w14:textId="3C62DBD5" w:rsidR="003F35AD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3F35AD" w:rsidRPr="001601BF">
        <w:rPr>
          <w:rFonts w:ascii="Arial" w:hAnsi="Arial" w:cs="Arial"/>
          <w:sz w:val="24"/>
          <w:szCs w:val="24"/>
        </w:rPr>
        <w:t>The Respondents have launched a counter application and sought condonation for the delivery of a further affidavit to which the counter application is attached, together with condonation for the delivery of the heads of argument. The said condonation was granted by this Court</w:t>
      </w:r>
      <w:r w:rsidR="00123222" w:rsidRPr="001601BF">
        <w:rPr>
          <w:rFonts w:ascii="Arial" w:hAnsi="Arial" w:cs="Arial"/>
          <w:sz w:val="24"/>
          <w:szCs w:val="24"/>
        </w:rPr>
        <w:t>.</w:t>
      </w:r>
      <w:r w:rsidR="003F35AD" w:rsidRPr="001601BF">
        <w:rPr>
          <w:rFonts w:ascii="Arial" w:hAnsi="Arial" w:cs="Arial"/>
          <w:sz w:val="24"/>
          <w:szCs w:val="24"/>
        </w:rPr>
        <w:t xml:space="preserve"> Condonation was conceded by the Applicant.</w:t>
      </w:r>
    </w:p>
    <w:p w14:paraId="7B27C5BF" w14:textId="77777777" w:rsidR="003F35AD" w:rsidRPr="003F35AD" w:rsidRDefault="003F35AD" w:rsidP="003F35A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C83396E" w14:textId="54553028" w:rsidR="003F35AD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3F35AD" w:rsidRPr="001601BF">
        <w:rPr>
          <w:rFonts w:ascii="Arial" w:hAnsi="Arial" w:cs="Arial"/>
          <w:sz w:val="24"/>
          <w:szCs w:val="24"/>
        </w:rPr>
        <w:t>The Respondents did not persist on the issue of non-joinder of the Respondents’ trustees.</w:t>
      </w:r>
    </w:p>
    <w:p w14:paraId="46CA9D93" w14:textId="77777777" w:rsidR="003F35AD" w:rsidRPr="003F35AD" w:rsidRDefault="003F35AD" w:rsidP="003F35AD">
      <w:pPr>
        <w:pStyle w:val="ListParagraph"/>
        <w:rPr>
          <w:rFonts w:ascii="Arial" w:hAnsi="Arial" w:cs="Arial"/>
          <w:sz w:val="24"/>
          <w:szCs w:val="24"/>
        </w:rPr>
      </w:pPr>
    </w:p>
    <w:p w14:paraId="2536EA63" w14:textId="79BC2A71" w:rsidR="003F35AD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3F35AD" w:rsidRPr="001601BF">
        <w:rPr>
          <w:rFonts w:ascii="Arial" w:hAnsi="Arial" w:cs="Arial"/>
          <w:sz w:val="24"/>
          <w:szCs w:val="24"/>
        </w:rPr>
        <w:t>The following facts are common cause between the parties</w:t>
      </w:r>
      <w:r w:rsidR="00CD70AC" w:rsidRPr="001601BF">
        <w:rPr>
          <w:rFonts w:ascii="Arial" w:hAnsi="Arial" w:cs="Arial"/>
          <w:sz w:val="24"/>
          <w:szCs w:val="24"/>
        </w:rPr>
        <w:t>:</w:t>
      </w:r>
      <w:r w:rsidR="003F35AD" w:rsidRPr="001601BF">
        <w:rPr>
          <w:rFonts w:ascii="Arial" w:hAnsi="Arial" w:cs="Arial"/>
          <w:sz w:val="24"/>
          <w:szCs w:val="24"/>
        </w:rPr>
        <w:t xml:space="preserve"> </w:t>
      </w:r>
    </w:p>
    <w:p w14:paraId="230C1852" w14:textId="77777777" w:rsidR="003F35AD" w:rsidRPr="003F35AD" w:rsidRDefault="003F35AD" w:rsidP="003F35AD">
      <w:pPr>
        <w:pStyle w:val="ListParagraph"/>
        <w:rPr>
          <w:rFonts w:ascii="Arial" w:hAnsi="Arial" w:cs="Arial"/>
          <w:sz w:val="24"/>
          <w:szCs w:val="24"/>
        </w:rPr>
      </w:pPr>
    </w:p>
    <w:p w14:paraId="0C0B280C" w14:textId="3006ABE5" w:rsidR="003F35AD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ab/>
      </w:r>
      <w:r w:rsidR="003F35AD" w:rsidRPr="001601BF">
        <w:rPr>
          <w:rFonts w:ascii="Arial" w:hAnsi="Arial" w:cs="Arial"/>
          <w:sz w:val="24"/>
          <w:szCs w:val="24"/>
        </w:rPr>
        <w:t>The Applicant is a shareholder in the First Respondent;</w:t>
      </w:r>
    </w:p>
    <w:p w14:paraId="15C770BE" w14:textId="62AFFD28" w:rsidR="003F35AD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ab/>
      </w:r>
      <w:r w:rsidR="003F35AD" w:rsidRPr="001601BF">
        <w:rPr>
          <w:rFonts w:ascii="Arial" w:hAnsi="Arial" w:cs="Arial"/>
          <w:sz w:val="24"/>
          <w:szCs w:val="24"/>
        </w:rPr>
        <w:t>The remaining shares in the First Respondent are held in two trusts;</w:t>
      </w:r>
    </w:p>
    <w:p w14:paraId="114E7A76" w14:textId="6617B16D" w:rsidR="003F35AD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ab/>
      </w:r>
      <w:r w:rsidR="003F35AD" w:rsidRPr="001601BF">
        <w:rPr>
          <w:rFonts w:ascii="Arial" w:hAnsi="Arial" w:cs="Arial"/>
          <w:sz w:val="24"/>
          <w:szCs w:val="24"/>
        </w:rPr>
        <w:t>During May 2020, the Applicant was removed as a director;</w:t>
      </w:r>
    </w:p>
    <w:p w14:paraId="7C0A9198" w14:textId="5C7C03CD" w:rsidR="003F35AD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</w:t>
      </w:r>
      <w:r>
        <w:rPr>
          <w:rFonts w:ascii="Arial" w:hAnsi="Arial" w:cs="Arial"/>
          <w:sz w:val="24"/>
          <w:szCs w:val="24"/>
        </w:rPr>
        <w:tab/>
      </w:r>
      <w:r w:rsidR="003F35AD" w:rsidRPr="001601BF">
        <w:rPr>
          <w:rFonts w:ascii="Arial" w:hAnsi="Arial" w:cs="Arial"/>
          <w:sz w:val="24"/>
          <w:szCs w:val="24"/>
        </w:rPr>
        <w:t>Albeit that the Applicant contends that he was unlawfully removed, no relief is direct</w:t>
      </w:r>
      <w:r w:rsidR="00CD70AC" w:rsidRPr="001601BF">
        <w:rPr>
          <w:rFonts w:ascii="Arial" w:hAnsi="Arial" w:cs="Arial"/>
          <w:sz w:val="24"/>
          <w:szCs w:val="24"/>
        </w:rPr>
        <w:t>ed</w:t>
      </w:r>
      <w:r w:rsidR="003F35AD" w:rsidRPr="001601BF">
        <w:rPr>
          <w:rFonts w:ascii="Arial" w:hAnsi="Arial" w:cs="Arial"/>
          <w:sz w:val="24"/>
          <w:szCs w:val="24"/>
        </w:rPr>
        <w:t xml:space="preserve"> thereto;</w:t>
      </w:r>
    </w:p>
    <w:p w14:paraId="78FD9900" w14:textId="7C720CDB" w:rsidR="003F35AD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</w:t>
      </w:r>
      <w:r>
        <w:rPr>
          <w:rFonts w:ascii="Arial" w:hAnsi="Arial" w:cs="Arial"/>
          <w:sz w:val="24"/>
          <w:szCs w:val="24"/>
        </w:rPr>
        <w:tab/>
      </w:r>
      <w:r w:rsidR="00C05A5B" w:rsidRPr="001601BF">
        <w:rPr>
          <w:rFonts w:ascii="Arial" w:hAnsi="Arial" w:cs="Arial"/>
          <w:sz w:val="24"/>
          <w:szCs w:val="24"/>
        </w:rPr>
        <w:t>On the Applicant</w:t>
      </w:r>
      <w:r w:rsidR="00CD70AC" w:rsidRPr="001601BF">
        <w:rPr>
          <w:rFonts w:ascii="Arial" w:hAnsi="Arial" w:cs="Arial"/>
          <w:sz w:val="24"/>
          <w:szCs w:val="24"/>
        </w:rPr>
        <w:t>’</w:t>
      </w:r>
      <w:r w:rsidR="00C05A5B" w:rsidRPr="001601BF">
        <w:rPr>
          <w:rFonts w:ascii="Arial" w:hAnsi="Arial" w:cs="Arial"/>
          <w:sz w:val="24"/>
          <w:szCs w:val="24"/>
        </w:rPr>
        <w:t>s version there is a deadlock between the parties;</w:t>
      </w:r>
    </w:p>
    <w:p w14:paraId="4E858B00" w14:textId="3810623D" w:rsidR="00C05A5B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</w:t>
      </w:r>
      <w:r>
        <w:rPr>
          <w:rFonts w:ascii="Arial" w:hAnsi="Arial" w:cs="Arial"/>
          <w:sz w:val="24"/>
          <w:szCs w:val="24"/>
        </w:rPr>
        <w:tab/>
      </w:r>
      <w:r w:rsidR="00C05A5B" w:rsidRPr="001601BF">
        <w:rPr>
          <w:rFonts w:ascii="Arial" w:hAnsi="Arial" w:cs="Arial"/>
          <w:sz w:val="24"/>
          <w:szCs w:val="24"/>
        </w:rPr>
        <w:t>There is a valid shareholder</w:t>
      </w:r>
      <w:r w:rsidR="00CD70AC" w:rsidRPr="001601BF">
        <w:rPr>
          <w:rFonts w:ascii="Arial" w:hAnsi="Arial" w:cs="Arial"/>
          <w:sz w:val="24"/>
          <w:szCs w:val="24"/>
        </w:rPr>
        <w:t>’</w:t>
      </w:r>
      <w:r w:rsidR="00C05A5B" w:rsidRPr="001601BF">
        <w:rPr>
          <w:rFonts w:ascii="Arial" w:hAnsi="Arial" w:cs="Arial"/>
          <w:sz w:val="24"/>
          <w:szCs w:val="24"/>
        </w:rPr>
        <w:t xml:space="preserve">s agreement, and the terms thereof are not in dispute. </w:t>
      </w:r>
    </w:p>
    <w:p w14:paraId="73264130" w14:textId="43A121F9" w:rsidR="00C05A5B" w:rsidRDefault="00C05A5B" w:rsidP="00C05A5B">
      <w:pPr>
        <w:spacing w:line="360" w:lineRule="auto"/>
        <w:rPr>
          <w:rFonts w:ascii="Arial" w:hAnsi="Arial" w:cs="Arial"/>
          <w:sz w:val="24"/>
          <w:szCs w:val="24"/>
        </w:rPr>
      </w:pPr>
    </w:p>
    <w:p w14:paraId="17A11551" w14:textId="7507D96B" w:rsidR="00C05A5B" w:rsidRPr="00CD70AC" w:rsidRDefault="00C05A5B" w:rsidP="00C05A5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D70AC">
        <w:rPr>
          <w:rFonts w:ascii="Arial" w:hAnsi="Arial" w:cs="Arial"/>
          <w:b/>
          <w:bCs/>
          <w:sz w:val="24"/>
          <w:szCs w:val="24"/>
        </w:rPr>
        <w:t>LACK OF JURISDICTION</w:t>
      </w:r>
    </w:p>
    <w:p w14:paraId="492CE1E5" w14:textId="59E2EA21" w:rsidR="00C05A5B" w:rsidRDefault="00C05A5B" w:rsidP="00C05A5B">
      <w:pPr>
        <w:spacing w:line="360" w:lineRule="auto"/>
        <w:rPr>
          <w:rFonts w:ascii="Arial" w:hAnsi="Arial" w:cs="Arial"/>
          <w:sz w:val="24"/>
          <w:szCs w:val="24"/>
        </w:rPr>
      </w:pPr>
    </w:p>
    <w:p w14:paraId="4488B78C" w14:textId="79E82E4D" w:rsidR="00C05A5B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C05A5B" w:rsidRPr="001601BF">
        <w:rPr>
          <w:rFonts w:ascii="Arial" w:hAnsi="Arial" w:cs="Arial"/>
          <w:sz w:val="24"/>
          <w:szCs w:val="24"/>
        </w:rPr>
        <w:t>The Respondents contended that a valid shareholder</w:t>
      </w:r>
      <w:r w:rsidR="00CD70AC" w:rsidRPr="001601BF">
        <w:rPr>
          <w:rFonts w:ascii="Arial" w:hAnsi="Arial" w:cs="Arial"/>
          <w:sz w:val="24"/>
          <w:szCs w:val="24"/>
        </w:rPr>
        <w:t>’</w:t>
      </w:r>
      <w:r w:rsidR="00C05A5B" w:rsidRPr="001601BF">
        <w:rPr>
          <w:rFonts w:ascii="Arial" w:hAnsi="Arial" w:cs="Arial"/>
          <w:sz w:val="24"/>
          <w:szCs w:val="24"/>
        </w:rPr>
        <w:t>s agreement was entered into between the parties, which is not in dispute, the Applicant being removed as director, which is not in dispute with the resultant effect that a deemed offer in terms of clause 11 of the shareholder</w:t>
      </w:r>
      <w:r w:rsidR="00CD70AC" w:rsidRPr="001601BF">
        <w:rPr>
          <w:rFonts w:ascii="Arial" w:hAnsi="Arial" w:cs="Arial"/>
          <w:sz w:val="24"/>
          <w:szCs w:val="24"/>
        </w:rPr>
        <w:t>’</w:t>
      </w:r>
      <w:r w:rsidR="00C05A5B" w:rsidRPr="001601BF">
        <w:rPr>
          <w:rFonts w:ascii="Arial" w:hAnsi="Arial" w:cs="Arial"/>
          <w:sz w:val="24"/>
          <w:szCs w:val="24"/>
        </w:rPr>
        <w:t xml:space="preserve">s agreement was triggered and with the deemed offer being accepted.   </w:t>
      </w:r>
    </w:p>
    <w:p w14:paraId="119E8EB6" w14:textId="77777777" w:rsidR="00C05A5B" w:rsidRPr="00C05A5B" w:rsidRDefault="00C05A5B" w:rsidP="00C05A5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C6BEC65" w14:textId="1B26309E" w:rsidR="00C05A5B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C05A5B" w:rsidRPr="001601BF">
        <w:rPr>
          <w:rFonts w:ascii="Arial" w:hAnsi="Arial" w:cs="Arial"/>
          <w:sz w:val="24"/>
          <w:szCs w:val="24"/>
        </w:rPr>
        <w:t xml:space="preserve"> Clause 20 of the shareholder</w:t>
      </w:r>
      <w:r w:rsidR="00CD70AC" w:rsidRPr="001601BF">
        <w:rPr>
          <w:rFonts w:ascii="Arial" w:hAnsi="Arial" w:cs="Arial"/>
          <w:sz w:val="24"/>
          <w:szCs w:val="24"/>
        </w:rPr>
        <w:t>’</w:t>
      </w:r>
      <w:r w:rsidR="00C05A5B" w:rsidRPr="001601BF">
        <w:rPr>
          <w:rFonts w:ascii="Arial" w:hAnsi="Arial" w:cs="Arial"/>
          <w:sz w:val="24"/>
          <w:szCs w:val="24"/>
        </w:rPr>
        <w:t>s agreement provide</w:t>
      </w:r>
      <w:r w:rsidR="00CD70AC" w:rsidRPr="001601BF">
        <w:rPr>
          <w:rFonts w:ascii="Arial" w:hAnsi="Arial" w:cs="Arial"/>
          <w:sz w:val="24"/>
          <w:szCs w:val="24"/>
        </w:rPr>
        <w:t>s</w:t>
      </w:r>
      <w:r w:rsidR="00C05A5B" w:rsidRPr="001601BF">
        <w:rPr>
          <w:rFonts w:ascii="Arial" w:hAnsi="Arial" w:cs="Arial"/>
          <w:sz w:val="24"/>
          <w:szCs w:val="24"/>
        </w:rPr>
        <w:t xml:space="preserve">: </w:t>
      </w:r>
    </w:p>
    <w:p w14:paraId="6FB350F1" w14:textId="77777777" w:rsidR="00C05A5B" w:rsidRPr="00C05A5B" w:rsidRDefault="00C05A5B" w:rsidP="00C05A5B">
      <w:pPr>
        <w:pStyle w:val="ListParagraph"/>
        <w:rPr>
          <w:rFonts w:ascii="Arial" w:hAnsi="Arial" w:cs="Arial"/>
          <w:sz w:val="24"/>
          <w:szCs w:val="24"/>
        </w:rPr>
      </w:pPr>
    </w:p>
    <w:p w14:paraId="3188FF35" w14:textId="148AC5C6" w:rsidR="00C05A5B" w:rsidRDefault="00C05A5B" w:rsidP="00C05A5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“20. Deadlock</w:t>
      </w:r>
    </w:p>
    <w:p w14:paraId="2AD1FE58" w14:textId="4D1478FB" w:rsidR="00C05A5B" w:rsidRDefault="00C05A5B" w:rsidP="00C05A5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20.1…</w:t>
      </w:r>
    </w:p>
    <w:p w14:paraId="2572182A" w14:textId="418AEFD4" w:rsidR="00C05A5B" w:rsidRDefault="00C05A5B" w:rsidP="00C05A5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20.2.  If in terms of the foregoing provisions there is a deadlock between the shareholders, a d</w:t>
      </w:r>
      <w:r w:rsidR="0012322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sp</w:t>
      </w:r>
      <w:r w:rsidR="0012322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te shall be deemed to exist between the shareholders which shall be dealt with as contemplated in clause 20.3. Any such deadlock shall not constitute grounds for the winding-up of the company. </w:t>
      </w:r>
    </w:p>
    <w:p w14:paraId="7EDEEFC2" w14:textId="425AA98C" w:rsidR="00C05A5B" w:rsidRDefault="00C05A5B" w:rsidP="00C05A5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20.3. Any dispute between the shareholders shall be submitted to arbitration as provided for in Section 166 of the Act on the following basis:</w:t>
      </w:r>
    </w:p>
    <w:p w14:paraId="2B272731" w14:textId="181759A5" w:rsidR="00C05A5B" w:rsidRDefault="00C05A5B" w:rsidP="00C05A5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2D6D66C" w14:textId="1FBB0C44" w:rsidR="00C05A5B" w:rsidRDefault="00C05A5B" w:rsidP="00C05A5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20.3.1…</w:t>
      </w:r>
    </w:p>
    <w:p w14:paraId="65D25827" w14:textId="497656B0" w:rsidR="00C05A5B" w:rsidRDefault="00C05A5B" w:rsidP="00C05A5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20.3.2…” </w:t>
      </w:r>
    </w:p>
    <w:p w14:paraId="4BC1671C" w14:textId="3B148F33" w:rsidR="00C05A5B" w:rsidRDefault="00C05A5B" w:rsidP="00C05A5B">
      <w:pPr>
        <w:spacing w:line="360" w:lineRule="auto"/>
        <w:rPr>
          <w:rFonts w:ascii="Arial" w:hAnsi="Arial" w:cs="Arial"/>
          <w:sz w:val="24"/>
          <w:szCs w:val="24"/>
        </w:rPr>
      </w:pPr>
    </w:p>
    <w:p w14:paraId="1EC663CF" w14:textId="3A69DD0B" w:rsidR="00C05A5B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C05A5B" w:rsidRPr="001601BF">
        <w:rPr>
          <w:rFonts w:ascii="Arial" w:hAnsi="Arial" w:cs="Arial"/>
          <w:sz w:val="24"/>
          <w:szCs w:val="24"/>
        </w:rPr>
        <w:t>The Applicant contended that he was unlawfully removed as a director. The lawfulness of the Applicant</w:t>
      </w:r>
      <w:r w:rsidR="00CD70AC" w:rsidRPr="001601BF">
        <w:rPr>
          <w:rFonts w:ascii="Arial" w:hAnsi="Arial" w:cs="Arial"/>
          <w:sz w:val="24"/>
          <w:szCs w:val="24"/>
        </w:rPr>
        <w:t>’</w:t>
      </w:r>
      <w:r w:rsidR="00C05A5B" w:rsidRPr="001601BF">
        <w:rPr>
          <w:rFonts w:ascii="Arial" w:hAnsi="Arial" w:cs="Arial"/>
          <w:sz w:val="24"/>
          <w:szCs w:val="24"/>
        </w:rPr>
        <w:t xml:space="preserve">s removal as a director is disputed by the Respondents. </w:t>
      </w:r>
    </w:p>
    <w:p w14:paraId="07FB5A7D" w14:textId="5033CCB0" w:rsidR="00C05A5B" w:rsidRDefault="00C05A5B" w:rsidP="00C05A5B">
      <w:pPr>
        <w:spacing w:line="360" w:lineRule="auto"/>
        <w:rPr>
          <w:rFonts w:ascii="Arial" w:hAnsi="Arial" w:cs="Arial"/>
          <w:sz w:val="24"/>
          <w:szCs w:val="24"/>
        </w:rPr>
      </w:pPr>
    </w:p>
    <w:p w14:paraId="6E4051F4" w14:textId="3DDCBDC7" w:rsidR="00C05A5B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C05A5B" w:rsidRPr="001601BF">
        <w:rPr>
          <w:rFonts w:ascii="Arial" w:hAnsi="Arial" w:cs="Arial"/>
          <w:sz w:val="24"/>
          <w:szCs w:val="24"/>
        </w:rPr>
        <w:t xml:space="preserve">The Applicant further contended that the relationship between the Applicant and the Second and Third Respondents has irretrievably broken down. </w:t>
      </w:r>
    </w:p>
    <w:p w14:paraId="35B6BDBE" w14:textId="77777777" w:rsidR="00C05A5B" w:rsidRPr="00C05A5B" w:rsidRDefault="00C05A5B" w:rsidP="00C05A5B">
      <w:pPr>
        <w:pStyle w:val="ListParagraph"/>
        <w:rPr>
          <w:rFonts w:ascii="Arial" w:hAnsi="Arial" w:cs="Arial"/>
          <w:sz w:val="24"/>
          <w:szCs w:val="24"/>
        </w:rPr>
      </w:pPr>
    </w:p>
    <w:p w14:paraId="5A8ABF7C" w14:textId="79C2DA73" w:rsidR="00C05A5B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</w:t>
      </w:r>
      <w:r>
        <w:rPr>
          <w:rFonts w:ascii="Arial" w:hAnsi="Arial" w:cs="Arial"/>
          <w:sz w:val="24"/>
          <w:szCs w:val="24"/>
        </w:rPr>
        <w:tab/>
      </w:r>
      <w:r w:rsidR="00C05A5B" w:rsidRPr="001601BF">
        <w:rPr>
          <w:rFonts w:ascii="Arial" w:hAnsi="Arial" w:cs="Arial"/>
          <w:sz w:val="24"/>
          <w:szCs w:val="24"/>
        </w:rPr>
        <w:t>The Applicant claims that the sole purpose of his removal as a director was to enable the Respondent</w:t>
      </w:r>
      <w:r w:rsidR="00CD70AC" w:rsidRPr="001601BF">
        <w:rPr>
          <w:rFonts w:ascii="Arial" w:hAnsi="Arial" w:cs="Arial"/>
          <w:sz w:val="24"/>
          <w:szCs w:val="24"/>
        </w:rPr>
        <w:t>s</w:t>
      </w:r>
      <w:r w:rsidR="00C05A5B" w:rsidRPr="001601BF">
        <w:rPr>
          <w:rFonts w:ascii="Arial" w:hAnsi="Arial" w:cs="Arial"/>
          <w:sz w:val="24"/>
          <w:szCs w:val="24"/>
        </w:rPr>
        <w:t xml:space="preserve"> to oust him from the business of the First Respondent and its effective running.</w:t>
      </w:r>
      <w:r w:rsidR="00C05A5B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CD70AC" w:rsidRPr="001601BF">
        <w:rPr>
          <w:rFonts w:ascii="Arial" w:hAnsi="Arial" w:cs="Arial"/>
          <w:sz w:val="24"/>
          <w:szCs w:val="24"/>
        </w:rPr>
        <w:t xml:space="preserve"> </w:t>
      </w:r>
      <w:r w:rsidR="00C05A5B" w:rsidRPr="001601BF">
        <w:rPr>
          <w:rFonts w:ascii="Arial" w:hAnsi="Arial" w:cs="Arial"/>
          <w:sz w:val="24"/>
          <w:szCs w:val="24"/>
        </w:rPr>
        <w:t>The Respondents denied the assertion and contended that clause 11 of the shareholder</w:t>
      </w:r>
      <w:r w:rsidR="00CD70AC" w:rsidRPr="001601BF">
        <w:rPr>
          <w:rFonts w:ascii="Arial" w:hAnsi="Arial" w:cs="Arial"/>
          <w:sz w:val="24"/>
          <w:szCs w:val="24"/>
        </w:rPr>
        <w:t>’</w:t>
      </w:r>
      <w:r w:rsidR="00C05A5B" w:rsidRPr="001601BF">
        <w:rPr>
          <w:rFonts w:ascii="Arial" w:hAnsi="Arial" w:cs="Arial"/>
          <w:sz w:val="24"/>
          <w:szCs w:val="24"/>
        </w:rPr>
        <w:t>s agreement “would result in a ‘deemed offer’ for sale of the shareholding.”</w:t>
      </w:r>
    </w:p>
    <w:p w14:paraId="2F1DCE4C" w14:textId="77777777" w:rsidR="00C05A5B" w:rsidRPr="00C05A5B" w:rsidRDefault="00C05A5B" w:rsidP="00C05A5B">
      <w:pPr>
        <w:pStyle w:val="ListParagraph"/>
        <w:rPr>
          <w:rFonts w:ascii="Arial" w:hAnsi="Arial" w:cs="Arial"/>
          <w:sz w:val="24"/>
          <w:szCs w:val="24"/>
        </w:rPr>
      </w:pPr>
    </w:p>
    <w:p w14:paraId="72B7ADB1" w14:textId="710095A1" w:rsidR="00C05A5B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 w:rsidR="00C05A5B" w:rsidRPr="001601BF">
        <w:rPr>
          <w:rFonts w:ascii="Arial" w:hAnsi="Arial" w:cs="Arial"/>
          <w:sz w:val="24"/>
          <w:szCs w:val="24"/>
        </w:rPr>
        <w:t xml:space="preserve"> The Applicant stated that he was not satisfied with the manner in which the financial affairs of the First Respondent was being conducted.</w:t>
      </w:r>
      <w:r w:rsidR="00C05A5B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CD70AC" w:rsidRPr="001601BF">
        <w:rPr>
          <w:rFonts w:ascii="Arial" w:hAnsi="Arial" w:cs="Arial"/>
          <w:sz w:val="24"/>
          <w:szCs w:val="24"/>
        </w:rPr>
        <w:t xml:space="preserve"> </w:t>
      </w:r>
      <w:r w:rsidR="00C05A5B" w:rsidRPr="001601BF">
        <w:rPr>
          <w:rFonts w:ascii="Arial" w:hAnsi="Arial" w:cs="Arial"/>
          <w:sz w:val="24"/>
          <w:szCs w:val="24"/>
        </w:rPr>
        <w:t>The Respondents denied the assertions in this regard.</w:t>
      </w:r>
    </w:p>
    <w:p w14:paraId="0B8F56F7" w14:textId="77777777" w:rsidR="00C05A5B" w:rsidRPr="00C05A5B" w:rsidRDefault="00C05A5B" w:rsidP="00C05A5B">
      <w:pPr>
        <w:pStyle w:val="ListParagraph"/>
        <w:rPr>
          <w:rFonts w:ascii="Arial" w:hAnsi="Arial" w:cs="Arial"/>
          <w:sz w:val="24"/>
          <w:szCs w:val="24"/>
        </w:rPr>
      </w:pPr>
    </w:p>
    <w:p w14:paraId="55D14652" w14:textId="61BA76C2" w:rsidR="008A0994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="00C05A5B" w:rsidRPr="001601BF">
        <w:rPr>
          <w:rFonts w:ascii="Arial" w:hAnsi="Arial" w:cs="Arial"/>
          <w:sz w:val="24"/>
          <w:szCs w:val="24"/>
        </w:rPr>
        <w:t xml:space="preserve">The Applicant contended that from whatever perspective the factual </w:t>
      </w:r>
      <w:r w:rsidR="008A0994" w:rsidRPr="001601BF">
        <w:rPr>
          <w:rFonts w:ascii="Arial" w:hAnsi="Arial" w:cs="Arial"/>
          <w:sz w:val="24"/>
          <w:szCs w:val="24"/>
        </w:rPr>
        <w:t xml:space="preserve">matrix is viewed, it can be accepted that as a matter of fact that the shareholders are in deadlock. </w:t>
      </w:r>
    </w:p>
    <w:p w14:paraId="5883A868" w14:textId="77777777" w:rsidR="008A0994" w:rsidRPr="008A0994" w:rsidRDefault="008A0994" w:rsidP="008A0994">
      <w:pPr>
        <w:pStyle w:val="ListParagraph"/>
        <w:rPr>
          <w:rFonts w:ascii="Arial" w:hAnsi="Arial" w:cs="Arial"/>
          <w:sz w:val="24"/>
          <w:szCs w:val="24"/>
        </w:rPr>
      </w:pPr>
    </w:p>
    <w:p w14:paraId="12C7A03F" w14:textId="709C971A" w:rsidR="008A0994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 w:rsidR="008A0994" w:rsidRPr="001601BF">
        <w:rPr>
          <w:rFonts w:ascii="Arial" w:hAnsi="Arial" w:cs="Arial"/>
          <w:sz w:val="24"/>
          <w:szCs w:val="24"/>
        </w:rPr>
        <w:t>It was submitted by the Applicant that this Court</w:t>
      </w:r>
      <w:r w:rsidR="00CD70AC" w:rsidRPr="001601BF">
        <w:rPr>
          <w:rFonts w:ascii="Arial" w:hAnsi="Arial" w:cs="Arial"/>
          <w:sz w:val="24"/>
          <w:szCs w:val="24"/>
        </w:rPr>
        <w:t>’</w:t>
      </w:r>
      <w:r w:rsidR="008A0994" w:rsidRPr="001601BF">
        <w:rPr>
          <w:rFonts w:ascii="Arial" w:hAnsi="Arial" w:cs="Arial"/>
          <w:sz w:val="24"/>
          <w:szCs w:val="24"/>
        </w:rPr>
        <w:t>s jurisdiction cannot be ousted by the parties: if there is deadlock, this Court has jurisdiction to grant either an order for the winding-up or a buy out of shares; similarly</w:t>
      </w:r>
      <w:r w:rsidR="009950B9" w:rsidRPr="001601BF">
        <w:rPr>
          <w:rFonts w:ascii="Arial" w:hAnsi="Arial" w:cs="Arial"/>
          <w:sz w:val="24"/>
          <w:szCs w:val="24"/>
        </w:rPr>
        <w:t>,</w:t>
      </w:r>
      <w:r w:rsidR="008A0994" w:rsidRPr="001601BF">
        <w:rPr>
          <w:rFonts w:ascii="Arial" w:hAnsi="Arial" w:cs="Arial"/>
          <w:sz w:val="24"/>
          <w:szCs w:val="24"/>
        </w:rPr>
        <w:t xml:space="preserve"> if the First Respondent is insolvent, the jurisdiction of this Court cannot be ousted. </w:t>
      </w:r>
    </w:p>
    <w:p w14:paraId="0F5B55AD" w14:textId="77777777" w:rsidR="008A0994" w:rsidRPr="008A0994" w:rsidRDefault="008A0994" w:rsidP="008A0994">
      <w:pPr>
        <w:pStyle w:val="ListParagraph"/>
        <w:rPr>
          <w:rFonts w:ascii="Arial" w:hAnsi="Arial" w:cs="Arial"/>
          <w:sz w:val="24"/>
          <w:szCs w:val="24"/>
        </w:rPr>
      </w:pPr>
    </w:p>
    <w:p w14:paraId="13ECF5D1" w14:textId="7BE5E15C" w:rsidR="008A0994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</w:r>
      <w:r w:rsidR="008A0994" w:rsidRPr="001601BF">
        <w:rPr>
          <w:rFonts w:ascii="Arial" w:hAnsi="Arial" w:cs="Arial"/>
          <w:sz w:val="24"/>
          <w:szCs w:val="24"/>
        </w:rPr>
        <w:t>The Applicant</w:t>
      </w:r>
      <w:bookmarkStart w:id="0" w:name="_GoBack"/>
      <w:bookmarkEnd w:id="0"/>
      <w:r w:rsidR="008A0994" w:rsidRPr="001601BF">
        <w:rPr>
          <w:rFonts w:ascii="Arial" w:hAnsi="Arial" w:cs="Arial"/>
          <w:sz w:val="24"/>
          <w:szCs w:val="24"/>
        </w:rPr>
        <w:t xml:space="preserve"> has admitted that it voluntarily entered into the shareholder’s agreement. </w:t>
      </w:r>
    </w:p>
    <w:p w14:paraId="049F092E" w14:textId="77777777" w:rsidR="008A0994" w:rsidRPr="008A0994" w:rsidRDefault="008A0994" w:rsidP="008A0994">
      <w:pPr>
        <w:pStyle w:val="ListParagraph"/>
        <w:rPr>
          <w:rFonts w:ascii="Arial" w:hAnsi="Arial" w:cs="Arial"/>
          <w:sz w:val="24"/>
          <w:szCs w:val="24"/>
        </w:rPr>
      </w:pPr>
    </w:p>
    <w:p w14:paraId="4B4EF51A" w14:textId="3274A72A" w:rsidR="00C05A5B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</w:r>
      <w:r w:rsidR="008A0994" w:rsidRPr="001601BF">
        <w:rPr>
          <w:rFonts w:ascii="Arial" w:hAnsi="Arial" w:cs="Arial"/>
          <w:sz w:val="24"/>
          <w:szCs w:val="24"/>
        </w:rPr>
        <w:t xml:space="preserve">It was stated by O’ Regan ADCJ in </w:t>
      </w:r>
      <w:proofErr w:type="spellStart"/>
      <w:r w:rsidR="008A0994" w:rsidRPr="001601BF">
        <w:rPr>
          <w:rFonts w:ascii="Arial" w:hAnsi="Arial" w:cs="Arial"/>
          <w:sz w:val="24"/>
          <w:szCs w:val="24"/>
        </w:rPr>
        <w:t>Lufono</w:t>
      </w:r>
      <w:proofErr w:type="spellEnd"/>
      <w:r w:rsidR="008A0994" w:rsidRPr="001601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994" w:rsidRPr="001601BF">
        <w:rPr>
          <w:rFonts w:ascii="Arial" w:hAnsi="Arial" w:cs="Arial"/>
          <w:sz w:val="24"/>
          <w:szCs w:val="24"/>
        </w:rPr>
        <w:t>Mphaphuli</w:t>
      </w:r>
      <w:proofErr w:type="spellEnd"/>
      <w:r w:rsidR="008A0994" w:rsidRPr="001601BF">
        <w:rPr>
          <w:rFonts w:ascii="Arial" w:hAnsi="Arial" w:cs="Arial"/>
          <w:sz w:val="24"/>
          <w:szCs w:val="24"/>
        </w:rPr>
        <w:t xml:space="preserve"> E Associates </w:t>
      </w:r>
      <w:r w:rsidR="00C67F5D" w:rsidRPr="001601BF">
        <w:rPr>
          <w:rFonts w:ascii="Arial" w:hAnsi="Arial" w:cs="Arial"/>
          <w:sz w:val="24"/>
          <w:szCs w:val="24"/>
        </w:rPr>
        <w:t>v</w:t>
      </w:r>
      <w:r w:rsidR="008A0994" w:rsidRPr="001601BF">
        <w:rPr>
          <w:rFonts w:ascii="Arial" w:hAnsi="Arial" w:cs="Arial"/>
          <w:sz w:val="24"/>
          <w:szCs w:val="24"/>
        </w:rPr>
        <w:t xml:space="preserve"> Andrews</w:t>
      </w:r>
      <w:r w:rsidR="008A0994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C67F5D" w:rsidRPr="001601BF">
        <w:rPr>
          <w:rFonts w:ascii="Arial" w:hAnsi="Arial" w:cs="Arial"/>
          <w:sz w:val="24"/>
          <w:szCs w:val="24"/>
        </w:rPr>
        <w:t xml:space="preserve"> </w:t>
      </w:r>
      <w:r w:rsidR="008A0994" w:rsidRPr="001601BF">
        <w:rPr>
          <w:rFonts w:ascii="Arial" w:hAnsi="Arial" w:cs="Arial"/>
          <w:sz w:val="24"/>
          <w:szCs w:val="24"/>
        </w:rPr>
        <w:t xml:space="preserve">that: </w:t>
      </w:r>
    </w:p>
    <w:p w14:paraId="6226531C" w14:textId="77777777" w:rsidR="008A0994" w:rsidRPr="008A0994" w:rsidRDefault="008A0994" w:rsidP="008A0994">
      <w:pPr>
        <w:pStyle w:val="ListParagraph"/>
        <w:rPr>
          <w:rFonts w:ascii="Arial" w:hAnsi="Arial" w:cs="Arial"/>
          <w:sz w:val="24"/>
          <w:szCs w:val="24"/>
        </w:rPr>
      </w:pPr>
    </w:p>
    <w:p w14:paraId="5BD5BC67" w14:textId="7F3E652C" w:rsidR="008A0994" w:rsidRDefault="008A0994" w:rsidP="009520E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decision to refer a dispute to private arbitration is a choice which, as long as it is voluntarily made, should be respected by the Courts</w:t>
      </w:r>
      <w:r w:rsidR="00C67F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Parties are entitled to determine what matters are to be arbitrated, the identity of the </w:t>
      </w:r>
      <w:r>
        <w:rPr>
          <w:rFonts w:ascii="Arial" w:hAnsi="Arial" w:cs="Arial"/>
          <w:sz w:val="24"/>
          <w:szCs w:val="24"/>
        </w:rPr>
        <w:lastRenderedPageBreak/>
        <w:t xml:space="preserve">arbitrator, the process to be followed in the arbitration, whether there will be an appeal to an arbitral appeal body and other similar terms.” </w:t>
      </w:r>
    </w:p>
    <w:p w14:paraId="29B9F62E" w14:textId="77777777" w:rsidR="009520E7" w:rsidRDefault="009520E7" w:rsidP="009520E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9719AF0" w14:textId="71F7DD6D" w:rsidR="009520E7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</w:r>
      <w:r w:rsidR="009520E7" w:rsidRPr="001601BF">
        <w:rPr>
          <w:rFonts w:ascii="Arial" w:hAnsi="Arial" w:cs="Arial"/>
          <w:sz w:val="24"/>
          <w:szCs w:val="24"/>
        </w:rPr>
        <w:t xml:space="preserve"> The approach to arbitration clauses is to respect the parties’ autonomy in concluding the arbitration agreement and to minimize the extent of judicial interference in the process.</w:t>
      </w:r>
      <w:r w:rsidR="009520E7">
        <w:rPr>
          <w:rStyle w:val="FootnoteReference"/>
          <w:rFonts w:ascii="Arial" w:hAnsi="Arial" w:cs="Arial"/>
          <w:sz w:val="24"/>
          <w:szCs w:val="24"/>
        </w:rPr>
        <w:footnoteReference w:id="8"/>
      </w:r>
    </w:p>
    <w:p w14:paraId="39F2C4DE" w14:textId="77777777" w:rsidR="009520E7" w:rsidRPr="009520E7" w:rsidRDefault="009520E7" w:rsidP="009520E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32F2740" w14:textId="459E9BE5" w:rsidR="009520E7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</w:r>
      <w:r w:rsidR="009520E7" w:rsidRPr="001601BF">
        <w:rPr>
          <w:rFonts w:ascii="Arial" w:hAnsi="Arial" w:cs="Arial"/>
          <w:sz w:val="24"/>
          <w:szCs w:val="24"/>
        </w:rPr>
        <w:t xml:space="preserve"> Having regard to clause 20 of the Shareholder</w:t>
      </w:r>
      <w:r w:rsidR="009950B9" w:rsidRPr="001601BF">
        <w:rPr>
          <w:rFonts w:ascii="Arial" w:hAnsi="Arial" w:cs="Arial"/>
          <w:sz w:val="24"/>
          <w:szCs w:val="24"/>
        </w:rPr>
        <w:t>’</w:t>
      </w:r>
      <w:r w:rsidR="009520E7" w:rsidRPr="001601BF">
        <w:rPr>
          <w:rFonts w:ascii="Arial" w:hAnsi="Arial" w:cs="Arial"/>
          <w:sz w:val="24"/>
          <w:szCs w:val="24"/>
        </w:rPr>
        <w:t>s Agreement I concluded that:</w:t>
      </w:r>
    </w:p>
    <w:p w14:paraId="28AF4A8D" w14:textId="77777777" w:rsidR="009520E7" w:rsidRPr="009520E7" w:rsidRDefault="009520E7" w:rsidP="009520E7">
      <w:pPr>
        <w:pStyle w:val="ListParagraph"/>
        <w:rPr>
          <w:rFonts w:ascii="Arial" w:hAnsi="Arial" w:cs="Arial"/>
          <w:sz w:val="24"/>
          <w:szCs w:val="24"/>
        </w:rPr>
      </w:pPr>
    </w:p>
    <w:p w14:paraId="10F52C40" w14:textId="6C4E6A6B" w:rsidR="009520E7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20.1.</w:t>
      </w:r>
      <w:r>
        <w:rPr>
          <w:rFonts w:ascii="Arial" w:hAnsi="Arial" w:cs="Arial"/>
          <w:sz w:val="24"/>
          <w:szCs w:val="24"/>
        </w:rPr>
        <w:tab/>
      </w:r>
      <w:r w:rsidR="009520E7" w:rsidRPr="001601BF">
        <w:rPr>
          <w:rFonts w:ascii="Arial" w:hAnsi="Arial" w:cs="Arial"/>
          <w:sz w:val="24"/>
          <w:szCs w:val="24"/>
        </w:rPr>
        <w:t xml:space="preserve">Arbitration was freely and readily agreed to between the parties; </w:t>
      </w:r>
    </w:p>
    <w:p w14:paraId="403870A2" w14:textId="3E4E23A9" w:rsidR="009520E7" w:rsidRPr="001601BF" w:rsidRDefault="001601BF" w:rsidP="001601BF">
      <w:pPr>
        <w:spacing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20.2.</w:t>
      </w:r>
      <w:r>
        <w:rPr>
          <w:rFonts w:ascii="Arial" w:hAnsi="Arial" w:cs="Arial"/>
          <w:sz w:val="24"/>
          <w:szCs w:val="24"/>
        </w:rPr>
        <w:tab/>
      </w:r>
      <w:r w:rsidR="009520E7" w:rsidRPr="001601BF">
        <w:rPr>
          <w:rFonts w:ascii="Arial" w:hAnsi="Arial" w:cs="Arial"/>
          <w:sz w:val="24"/>
          <w:szCs w:val="24"/>
        </w:rPr>
        <w:t>That the deadlock would not constitute grounds for winding-up.</w:t>
      </w:r>
    </w:p>
    <w:p w14:paraId="03C40E85" w14:textId="77777777" w:rsidR="009520E7" w:rsidRPr="009520E7" w:rsidRDefault="009520E7" w:rsidP="009520E7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067CF2F1" w14:textId="26158B1B" w:rsidR="0033466D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ab/>
      </w:r>
      <w:r w:rsidR="009520E7" w:rsidRPr="001601BF">
        <w:rPr>
          <w:rFonts w:ascii="Arial" w:hAnsi="Arial" w:cs="Arial"/>
          <w:sz w:val="24"/>
          <w:szCs w:val="24"/>
        </w:rPr>
        <w:t xml:space="preserve"> </w:t>
      </w:r>
      <w:r w:rsidR="0033466D" w:rsidRPr="001601BF">
        <w:rPr>
          <w:rFonts w:ascii="Arial" w:hAnsi="Arial" w:cs="Arial"/>
          <w:sz w:val="24"/>
          <w:szCs w:val="24"/>
        </w:rPr>
        <w:t>Such a contractual term is not contrary to the prevailing legislation.</w:t>
      </w:r>
    </w:p>
    <w:p w14:paraId="671C4FB9" w14:textId="77777777" w:rsidR="0033466D" w:rsidRPr="0033466D" w:rsidRDefault="0033466D" w:rsidP="0033466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0409630" w14:textId="649FA6D3" w:rsidR="0033466D" w:rsidRPr="001601BF" w:rsidRDefault="001601BF" w:rsidP="001601BF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</w:r>
      <w:r w:rsidR="0033466D" w:rsidRPr="001601BF">
        <w:rPr>
          <w:rFonts w:ascii="Arial" w:hAnsi="Arial" w:cs="Arial"/>
          <w:sz w:val="24"/>
          <w:szCs w:val="24"/>
        </w:rPr>
        <w:t xml:space="preserve"> In the result the following order is made: </w:t>
      </w:r>
    </w:p>
    <w:p w14:paraId="0580F37F" w14:textId="13D9A987" w:rsidR="0033466D" w:rsidRPr="001601BF" w:rsidRDefault="001601BF" w:rsidP="001601BF">
      <w:p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3466D" w:rsidRPr="001601BF">
        <w:rPr>
          <w:rFonts w:ascii="Arial" w:hAnsi="Arial" w:cs="Arial"/>
          <w:sz w:val="24"/>
          <w:szCs w:val="24"/>
        </w:rPr>
        <w:t>Condonation</w:t>
      </w:r>
      <w:proofErr w:type="spellEnd"/>
      <w:r w:rsidR="0033466D" w:rsidRPr="001601BF">
        <w:rPr>
          <w:rFonts w:ascii="Arial" w:hAnsi="Arial" w:cs="Arial"/>
          <w:sz w:val="24"/>
          <w:szCs w:val="24"/>
        </w:rPr>
        <w:t xml:space="preserve"> is granted for the late delivery of the counter application and affidavit,</w:t>
      </w:r>
    </w:p>
    <w:p w14:paraId="71133260" w14:textId="451FED8B" w:rsidR="0033466D" w:rsidRPr="001601BF" w:rsidRDefault="001601BF" w:rsidP="001601BF">
      <w:p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33466D" w:rsidRPr="001601BF">
        <w:rPr>
          <w:rFonts w:ascii="Arial" w:hAnsi="Arial" w:cs="Arial"/>
          <w:sz w:val="24"/>
          <w:szCs w:val="24"/>
        </w:rPr>
        <w:t xml:space="preserve"> The Application is dismissed with costs including the costs of the counter application</w:t>
      </w:r>
      <w:r w:rsidR="009950B9" w:rsidRPr="001601BF">
        <w:rPr>
          <w:rFonts w:ascii="Arial" w:hAnsi="Arial" w:cs="Arial"/>
          <w:sz w:val="24"/>
          <w:szCs w:val="24"/>
        </w:rPr>
        <w:t>.</w:t>
      </w:r>
    </w:p>
    <w:p w14:paraId="4146BAE4" w14:textId="5C198314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</w:p>
    <w:p w14:paraId="7D567D63" w14:textId="7A1531AD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</w:p>
    <w:p w14:paraId="1A1FBDA6" w14:textId="7EDDAF42" w:rsidR="0033466D" w:rsidRPr="00CD70AC" w:rsidRDefault="0033466D" w:rsidP="0033466D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 w:rsidR="00CD70AC" w:rsidRPr="00CD70AC">
        <w:rPr>
          <w:rFonts w:ascii="Arial" w:hAnsi="Arial" w:cs="Arial"/>
          <w:b/>
          <w:bCs/>
          <w:sz w:val="24"/>
          <w:szCs w:val="24"/>
        </w:rPr>
        <w:t>______________________</w:t>
      </w:r>
    </w:p>
    <w:p w14:paraId="504B7E31" w14:textId="2285F1F8" w:rsidR="0033466D" w:rsidRDefault="00CD70AC" w:rsidP="0033466D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D70AC">
        <w:rPr>
          <w:rFonts w:ascii="Arial" w:hAnsi="Arial" w:cs="Arial"/>
          <w:b/>
          <w:bCs/>
          <w:sz w:val="24"/>
          <w:szCs w:val="24"/>
        </w:rPr>
        <w:t>STRIJDOM AJ</w:t>
      </w:r>
    </w:p>
    <w:p w14:paraId="33A04C9F" w14:textId="77777777" w:rsidR="00C67F5D" w:rsidRPr="00E506E3" w:rsidRDefault="00C67F5D" w:rsidP="00C67F5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E506E3">
        <w:rPr>
          <w:rFonts w:ascii="Arial" w:hAnsi="Arial" w:cs="Arial"/>
          <w:b/>
          <w:bCs/>
          <w:sz w:val="24"/>
          <w:szCs w:val="24"/>
        </w:rPr>
        <w:t xml:space="preserve">ACTING JUDGE OF THE HIGH COURT </w:t>
      </w:r>
    </w:p>
    <w:p w14:paraId="27A83D9D" w14:textId="77777777" w:rsidR="00C67F5D" w:rsidRPr="00E506E3" w:rsidRDefault="00C67F5D" w:rsidP="00C67F5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E506E3">
        <w:rPr>
          <w:rFonts w:ascii="Arial" w:hAnsi="Arial" w:cs="Arial"/>
          <w:b/>
          <w:bCs/>
          <w:sz w:val="24"/>
          <w:szCs w:val="24"/>
        </w:rPr>
        <w:t>OF SOUTH-AFRICA</w:t>
      </w:r>
    </w:p>
    <w:p w14:paraId="7C507F4E" w14:textId="77777777" w:rsidR="00C67F5D" w:rsidRPr="00E506E3" w:rsidRDefault="00C67F5D" w:rsidP="00C67F5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E506E3">
        <w:rPr>
          <w:rFonts w:ascii="Arial" w:hAnsi="Arial" w:cs="Arial"/>
          <w:b/>
          <w:bCs/>
          <w:sz w:val="24"/>
          <w:szCs w:val="24"/>
        </w:rPr>
        <w:lastRenderedPageBreak/>
        <w:t>GAUTENG DIVISION</w:t>
      </w:r>
    </w:p>
    <w:p w14:paraId="07A081CD" w14:textId="6F167915" w:rsidR="00C67F5D" w:rsidRDefault="00C67F5D" w:rsidP="00C67F5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PRETORIA</w:t>
      </w:r>
    </w:p>
    <w:p w14:paraId="64C159D4" w14:textId="689FFCB2" w:rsidR="0033466D" w:rsidRDefault="0033466D" w:rsidP="0033466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CAE1AF8" w14:textId="7288088A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Appearances</w:t>
      </w:r>
      <w:r w:rsidR="00CD70AC">
        <w:rPr>
          <w:rFonts w:ascii="Arial" w:hAnsi="Arial" w:cs="Arial"/>
          <w:sz w:val="24"/>
          <w:szCs w:val="24"/>
        </w:rPr>
        <w:t>:</w:t>
      </w:r>
    </w:p>
    <w:p w14:paraId="5382D02B" w14:textId="5C78D2FE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</w:p>
    <w:p w14:paraId="22433E28" w14:textId="67BC77EA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APPLICANT</w:t>
      </w:r>
      <w:r w:rsidR="00CD70AC">
        <w:rPr>
          <w:rFonts w:ascii="Arial" w:hAnsi="Arial" w:cs="Arial"/>
          <w:sz w:val="24"/>
          <w:szCs w:val="24"/>
        </w:rPr>
        <w:t>:</w:t>
      </w:r>
    </w:p>
    <w:p w14:paraId="13B3BD91" w14:textId="3DC7A7F1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Adv</w:t>
      </w:r>
      <w:proofErr w:type="spellEnd"/>
      <w:r>
        <w:rPr>
          <w:rFonts w:ascii="Arial" w:hAnsi="Arial" w:cs="Arial"/>
          <w:sz w:val="24"/>
          <w:szCs w:val="24"/>
        </w:rPr>
        <w:t xml:space="preserve"> CC </w:t>
      </w:r>
      <w:proofErr w:type="spellStart"/>
      <w:r>
        <w:rPr>
          <w:rFonts w:ascii="Arial" w:hAnsi="Arial" w:cs="Arial"/>
          <w:sz w:val="24"/>
          <w:szCs w:val="24"/>
        </w:rPr>
        <w:t>Ascar</w:t>
      </w:r>
      <w:proofErr w:type="spellEnd"/>
    </w:p>
    <w:p w14:paraId="2F82979A" w14:textId="4451277F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</w:t>
      </w:r>
      <w:r w:rsidR="00CD70AC">
        <w:rPr>
          <w:rFonts w:ascii="Arial" w:hAnsi="Arial" w:cs="Arial"/>
          <w:sz w:val="24"/>
          <w:szCs w:val="24"/>
        </w:rPr>
        <w:t>:</w:t>
      </w:r>
    </w:p>
    <w:p w14:paraId="11979702" w14:textId="05FD6094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Beder-Friedland</w:t>
      </w:r>
      <w:proofErr w:type="spellEnd"/>
      <w:r>
        <w:rPr>
          <w:rFonts w:ascii="Arial" w:hAnsi="Arial" w:cs="Arial"/>
          <w:sz w:val="24"/>
          <w:szCs w:val="24"/>
        </w:rPr>
        <w:t xml:space="preserve"> Attorneys</w:t>
      </w:r>
    </w:p>
    <w:p w14:paraId="646EBDDE" w14:textId="0776DF05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</w:p>
    <w:p w14:paraId="76566F78" w14:textId="786504A8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RESPONDENTS</w:t>
      </w:r>
      <w:r w:rsidR="00CD70AC">
        <w:rPr>
          <w:rFonts w:ascii="Arial" w:hAnsi="Arial" w:cs="Arial"/>
          <w:sz w:val="24"/>
          <w:szCs w:val="24"/>
        </w:rPr>
        <w:t>:</w:t>
      </w:r>
    </w:p>
    <w:p w14:paraId="2935BC9D" w14:textId="2900E924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 PA Venter </w:t>
      </w:r>
    </w:p>
    <w:p w14:paraId="22FCC593" w14:textId="567092D9" w:rsid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</w:t>
      </w:r>
      <w:r w:rsidR="00CD70A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VZLR Inc </w:t>
      </w:r>
    </w:p>
    <w:p w14:paraId="2378B3C1" w14:textId="77777777" w:rsidR="0033466D" w:rsidRPr="0033466D" w:rsidRDefault="0033466D" w:rsidP="0033466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3466D" w:rsidRPr="00334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8E6F0" w14:textId="77777777" w:rsidR="00016481" w:rsidRDefault="00016481" w:rsidP="00FE31BD">
      <w:pPr>
        <w:spacing w:after="0" w:line="240" w:lineRule="auto"/>
      </w:pPr>
      <w:r>
        <w:separator/>
      </w:r>
    </w:p>
  </w:endnote>
  <w:endnote w:type="continuationSeparator" w:id="0">
    <w:p w14:paraId="3EA28473" w14:textId="77777777" w:rsidR="00016481" w:rsidRDefault="00016481" w:rsidP="00FE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A891C" w14:textId="77777777" w:rsidR="00016481" w:rsidRDefault="00016481" w:rsidP="00FE31BD">
      <w:pPr>
        <w:spacing w:after="0" w:line="240" w:lineRule="auto"/>
      </w:pPr>
      <w:r>
        <w:separator/>
      </w:r>
    </w:p>
  </w:footnote>
  <w:footnote w:type="continuationSeparator" w:id="0">
    <w:p w14:paraId="0E43279B" w14:textId="77777777" w:rsidR="00016481" w:rsidRDefault="00016481" w:rsidP="00FE31BD">
      <w:pPr>
        <w:spacing w:after="0" w:line="240" w:lineRule="auto"/>
      </w:pPr>
      <w:r>
        <w:continuationSeparator/>
      </w:r>
    </w:p>
  </w:footnote>
  <w:footnote w:id="1">
    <w:p w14:paraId="757F61E5" w14:textId="143111DF" w:rsidR="00D74C1E" w:rsidRDefault="00D74C1E">
      <w:pPr>
        <w:pStyle w:val="FootnoteText"/>
      </w:pPr>
      <w:r>
        <w:rPr>
          <w:rStyle w:val="FootnoteReference"/>
        </w:rPr>
        <w:footnoteRef/>
      </w:r>
      <w:r>
        <w:t xml:space="preserve"> Opposing affidavit, p.87-89 para 22-27</w:t>
      </w:r>
    </w:p>
  </w:footnote>
  <w:footnote w:id="2">
    <w:p w14:paraId="49A89F84" w14:textId="3E7B8F59" w:rsidR="003F35AD" w:rsidRDefault="003F35AD">
      <w:pPr>
        <w:pStyle w:val="FootnoteText"/>
      </w:pPr>
      <w:r>
        <w:rPr>
          <w:rStyle w:val="FootnoteReference"/>
        </w:rPr>
        <w:footnoteRef/>
      </w:r>
      <w:r>
        <w:t xml:space="preserve"> Opposing affidavit p.94 para 39.4</w:t>
      </w:r>
    </w:p>
  </w:footnote>
  <w:footnote w:id="3">
    <w:p w14:paraId="1A38E57A" w14:textId="57748E54" w:rsidR="003F35AD" w:rsidRDefault="003F35AD">
      <w:pPr>
        <w:pStyle w:val="FootnoteText"/>
      </w:pPr>
      <w:r>
        <w:rPr>
          <w:rStyle w:val="FootnoteReference"/>
        </w:rPr>
        <w:footnoteRef/>
      </w:r>
      <w:r>
        <w:t xml:space="preserve"> Opposing affidavit p.98 para 44.2 and 44.6</w:t>
      </w:r>
    </w:p>
  </w:footnote>
  <w:footnote w:id="4">
    <w:p w14:paraId="5728DE70" w14:textId="253AA890" w:rsidR="003F35AD" w:rsidRDefault="003F35AD">
      <w:pPr>
        <w:pStyle w:val="FootnoteText"/>
      </w:pPr>
      <w:r>
        <w:rPr>
          <w:rStyle w:val="FootnoteReference"/>
        </w:rPr>
        <w:footnoteRef/>
      </w:r>
      <w:r>
        <w:t xml:space="preserve"> Opposing affidavit p.111 para 61.2</w:t>
      </w:r>
    </w:p>
  </w:footnote>
  <w:footnote w:id="5">
    <w:p w14:paraId="19DF7BFB" w14:textId="30F9E5B2" w:rsidR="00C05A5B" w:rsidRDefault="00C05A5B">
      <w:pPr>
        <w:pStyle w:val="FootnoteText"/>
      </w:pPr>
      <w:r>
        <w:rPr>
          <w:rStyle w:val="FootnoteReference"/>
        </w:rPr>
        <w:footnoteRef/>
      </w:r>
      <w:r>
        <w:t xml:space="preserve"> Founding affidavit p.17 para 14</w:t>
      </w:r>
    </w:p>
  </w:footnote>
  <w:footnote w:id="6">
    <w:p w14:paraId="48FDC19B" w14:textId="69B4D391" w:rsidR="00C05A5B" w:rsidRDefault="00C05A5B">
      <w:pPr>
        <w:pStyle w:val="FootnoteText"/>
      </w:pPr>
      <w:r>
        <w:rPr>
          <w:rStyle w:val="FootnoteReference"/>
        </w:rPr>
        <w:footnoteRef/>
      </w:r>
      <w:r>
        <w:t xml:space="preserve"> Founding affidavit p.17 para 15</w:t>
      </w:r>
    </w:p>
  </w:footnote>
  <w:footnote w:id="7">
    <w:p w14:paraId="6A4376B7" w14:textId="0C5D962B" w:rsidR="008A0994" w:rsidRDefault="008A0994">
      <w:pPr>
        <w:pStyle w:val="FootnoteText"/>
      </w:pPr>
      <w:r>
        <w:rPr>
          <w:rStyle w:val="FootnoteReference"/>
        </w:rPr>
        <w:footnoteRef/>
      </w:r>
      <w:r>
        <w:t xml:space="preserve"> 2009 (4) SA 529 (CC)</w:t>
      </w:r>
    </w:p>
  </w:footnote>
  <w:footnote w:id="8">
    <w:p w14:paraId="4B0E86C9" w14:textId="2972BF4D" w:rsidR="009520E7" w:rsidRDefault="009520E7">
      <w:pPr>
        <w:pStyle w:val="FootnoteText"/>
      </w:pPr>
      <w:r>
        <w:rPr>
          <w:rStyle w:val="FootnoteReference"/>
        </w:rPr>
        <w:footnoteRef/>
      </w:r>
      <w:r>
        <w:t xml:space="preserve"> Aveng Africa Ltd t/a </w:t>
      </w:r>
      <w:proofErr w:type="spellStart"/>
      <w:r>
        <w:t>Grinaker</w:t>
      </w:r>
      <w:proofErr w:type="spellEnd"/>
      <w:r>
        <w:t xml:space="preserve"> V </w:t>
      </w:r>
      <w:proofErr w:type="spellStart"/>
      <w:r>
        <w:t>Midro</w:t>
      </w:r>
      <w:proofErr w:type="spellEnd"/>
      <w:r>
        <w:t xml:space="preserve"> Investments (Pty) Ltd 2011 (3) SA 631 (KZD)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781D"/>
    <w:multiLevelType w:val="multilevel"/>
    <w:tmpl w:val="23969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D06B48"/>
    <w:multiLevelType w:val="hybridMultilevel"/>
    <w:tmpl w:val="80E8C9F6"/>
    <w:lvl w:ilvl="0" w:tplc="EB3ABC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81FCA"/>
    <w:multiLevelType w:val="hybridMultilevel"/>
    <w:tmpl w:val="7A4E8370"/>
    <w:lvl w:ilvl="0" w:tplc="16C4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5211"/>
    <w:multiLevelType w:val="hybridMultilevel"/>
    <w:tmpl w:val="278C907C"/>
    <w:lvl w:ilvl="0" w:tplc="4F587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6D"/>
    <w:rsid w:val="00016481"/>
    <w:rsid w:val="000570EE"/>
    <w:rsid w:val="00091771"/>
    <w:rsid w:val="000A6604"/>
    <w:rsid w:val="00120441"/>
    <w:rsid w:val="00123222"/>
    <w:rsid w:val="001601BF"/>
    <w:rsid w:val="001A351C"/>
    <w:rsid w:val="001A3727"/>
    <w:rsid w:val="001C1E54"/>
    <w:rsid w:val="001F3A80"/>
    <w:rsid w:val="00202F59"/>
    <w:rsid w:val="00224B5B"/>
    <w:rsid w:val="00233092"/>
    <w:rsid w:val="0029404A"/>
    <w:rsid w:val="002B7A57"/>
    <w:rsid w:val="003004EA"/>
    <w:rsid w:val="00320956"/>
    <w:rsid w:val="0033466D"/>
    <w:rsid w:val="003B0A45"/>
    <w:rsid w:val="003E420D"/>
    <w:rsid w:val="003F35AD"/>
    <w:rsid w:val="00405DAB"/>
    <w:rsid w:val="004230DC"/>
    <w:rsid w:val="00435D1A"/>
    <w:rsid w:val="00486979"/>
    <w:rsid w:val="004E7A96"/>
    <w:rsid w:val="00505CBB"/>
    <w:rsid w:val="005E4033"/>
    <w:rsid w:val="005E7DC8"/>
    <w:rsid w:val="005F672D"/>
    <w:rsid w:val="00616D57"/>
    <w:rsid w:val="00637875"/>
    <w:rsid w:val="006806C1"/>
    <w:rsid w:val="006B080E"/>
    <w:rsid w:val="006B5950"/>
    <w:rsid w:val="006C24CD"/>
    <w:rsid w:val="006E07D1"/>
    <w:rsid w:val="007C193C"/>
    <w:rsid w:val="008746E2"/>
    <w:rsid w:val="008870EF"/>
    <w:rsid w:val="008A0994"/>
    <w:rsid w:val="008D2E75"/>
    <w:rsid w:val="009369C9"/>
    <w:rsid w:val="009520E7"/>
    <w:rsid w:val="0095453C"/>
    <w:rsid w:val="00992E8D"/>
    <w:rsid w:val="009950B9"/>
    <w:rsid w:val="009B5F83"/>
    <w:rsid w:val="00A25FC3"/>
    <w:rsid w:val="00A43768"/>
    <w:rsid w:val="00AB7C65"/>
    <w:rsid w:val="00AE321A"/>
    <w:rsid w:val="00B14125"/>
    <w:rsid w:val="00B75EB1"/>
    <w:rsid w:val="00B80229"/>
    <w:rsid w:val="00B96930"/>
    <w:rsid w:val="00BB06BD"/>
    <w:rsid w:val="00BB619E"/>
    <w:rsid w:val="00C05A5B"/>
    <w:rsid w:val="00C4136D"/>
    <w:rsid w:val="00C447E1"/>
    <w:rsid w:val="00C67F5D"/>
    <w:rsid w:val="00CD70AC"/>
    <w:rsid w:val="00D74C1E"/>
    <w:rsid w:val="00D8302B"/>
    <w:rsid w:val="00DA4106"/>
    <w:rsid w:val="00DC2D79"/>
    <w:rsid w:val="00DD7162"/>
    <w:rsid w:val="00DE0EA4"/>
    <w:rsid w:val="00DE39F3"/>
    <w:rsid w:val="00DE61BA"/>
    <w:rsid w:val="00E43FE9"/>
    <w:rsid w:val="00E6045B"/>
    <w:rsid w:val="00E75D5E"/>
    <w:rsid w:val="00F17098"/>
    <w:rsid w:val="00F55E3C"/>
    <w:rsid w:val="00F57A9F"/>
    <w:rsid w:val="00FA4C60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6237"/>
  <w15:chartTrackingRefBased/>
  <w15:docId w15:val="{00642126-76C2-4434-A91D-2B744EB5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31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1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84AD-BB93-440B-A47E-EB1DB344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Strijdom</dc:creator>
  <cp:keywords/>
  <dc:description/>
  <cp:lastModifiedBy>Mokone</cp:lastModifiedBy>
  <cp:revision>3</cp:revision>
  <dcterms:created xsi:type="dcterms:W3CDTF">2022-11-28T09:22:00Z</dcterms:created>
  <dcterms:modified xsi:type="dcterms:W3CDTF">2022-11-28T09:24:00Z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c41fb9575bb1e21ae600c1c760b711ea200feb870e47eacb2ee9ae7986cafb08</vt:lpwstr>
  </property>
</Properties>
</file>