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FF0" w:rsidRDefault="005A2AA3">
      <w:pPr>
        <w:pStyle w:val="BodyA"/>
        <w:spacing w:after="0" w:line="240" w:lineRule="auto"/>
        <w:jc w:val="center"/>
        <w:rPr>
          <w:rFonts w:ascii="Arial" w:eastAsia="Arial" w:hAnsi="Arial" w:cs="Arial"/>
          <w:sz w:val="24"/>
          <w:szCs w:val="24"/>
        </w:rPr>
      </w:pPr>
      <w:r>
        <w:rPr>
          <w:rFonts w:ascii="Arial" w:hAnsi="Arial"/>
          <w:sz w:val="24"/>
          <w:szCs w:val="24"/>
        </w:rPr>
        <w:t>REPUBLIC OF SOUTH AFRICA</w:t>
      </w:r>
    </w:p>
    <w:p w:rsidR="002B1FF0" w:rsidRDefault="005A2AA3">
      <w:pPr>
        <w:pStyle w:val="BodyA"/>
        <w:spacing w:after="0" w:line="240" w:lineRule="auto"/>
        <w:jc w:val="center"/>
        <w:rPr>
          <w:rFonts w:ascii="Arial" w:eastAsia="Arial" w:hAnsi="Arial" w:cs="Arial"/>
          <w:sz w:val="24"/>
          <w:szCs w:val="24"/>
        </w:rPr>
      </w:pPr>
      <w:r>
        <w:rPr>
          <w:rFonts w:ascii="Arial" w:eastAsia="Arial" w:hAnsi="Arial" w:cs="Arial"/>
          <w:b/>
          <w:bCs/>
          <w:noProof/>
          <w:sz w:val="24"/>
          <w:szCs w:val="24"/>
          <w:lang w:eastAsia="en-US"/>
        </w:rPr>
        <w:drawing>
          <wp:inline distT="0" distB="0" distL="0" distR="0">
            <wp:extent cx="1352550" cy="1352550"/>
            <wp:effectExtent l="0" t="0" r="0" b="0"/>
            <wp:docPr id="1073741825" name="officeArt object"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073741825" name="Description: Description: Description: cid:image003.png@01D117DD.26203030" descr="Description: Description: Description: cid:image003.png@01D117DD.26203030"/>
                    <pic:cNvPicPr>
                      <a:picLocks noChangeAspect="1"/>
                    </pic:cNvPicPr>
                  </pic:nvPicPr>
                  <pic:blipFill>
                    <a:blip r:embed="rId7">
                      <a:extLst/>
                    </a:blip>
                    <a:stretch>
                      <a:fillRect/>
                    </a:stretch>
                  </pic:blipFill>
                  <pic:spPr>
                    <a:xfrm>
                      <a:off x="0" y="0"/>
                      <a:ext cx="1352550" cy="1352550"/>
                    </a:xfrm>
                    <a:prstGeom prst="rect">
                      <a:avLst/>
                    </a:prstGeom>
                    <a:ln w="12700" cap="flat">
                      <a:noFill/>
                      <a:miter lim="400000"/>
                    </a:ln>
                    <a:effectLst/>
                  </pic:spPr>
                </pic:pic>
              </a:graphicData>
            </a:graphic>
          </wp:inline>
        </w:drawing>
      </w:r>
    </w:p>
    <w:p w:rsidR="002B1FF0" w:rsidRDefault="005A2AA3">
      <w:pPr>
        <w:pStyle w:val="BodyA"/>
        <w:spacing w:after="0" w:line="240" w:lineRule="auto"/>
        <w:jc w:val="center"/>
        <w:rPr>
          <w:rFonts w:ascii="Arial" w:eastAsia="Arial" w:hAnsi="Arial" w:cs="Arial"/>
          <w:sz w:val="24"/>
          <w:szCs w:val="24"/>
        </w:rPr>
      </w:pPr>
      <w:r>
        <w:rPr>
          <w:rFonts w:ascii="Arial" w:hAnsi="Arial"/>
          <w:sz w:val="24"/>
          <w:szCs w:val="24"/>
        </w:rPr>
        <w:t>IN THE HIGH COURT OF SOUTH AFRICA</w:t>
      </w:r>
    </w:p>
    <w:p w:rsidR="002B1FF0" w:rsidRDefault="005A2AA3">
      <w:pPr>
        <w:pStyle w:val="BodyA"/>
        <w:spacing w:after="0" w:line="240" w:lineRule="auto"/>
        <w:jc w:val="center"/>
        <w:rPr>
          <w:rFonts w:ascii="Arial" w:eastAsia="Arial" w:hAnsi="Arial" w:cs="Arial"/>
          <w:sz w:val="24"/>
          <w:szCs w:val="24"/>
          <w:lang w:val="de-DE"/>
        </w:rPr>
      </w:pPr>
      <w:r>
        <w:rPr>
          <w:rFonts w:ascii="Arial" w:hAnsi="Arial"/>
          <w:sz w:val="24"/>
          <w:szCs w:val="24"/>
          <w:lang w:val="de-DE"/>
        </w:rPr>
        <w:t>GAUTENG DIVISION, PRETORIA</w:t>
      </w:r>
    </w:p>
    <w:p w:rsidR="002B1FF0" w:rsidRDefault="002B1FF0">
      <w:pPr>
        <w:pStyle w:val="BodyA"/>
        <w:spacing w:after="0" w:line="240" w:lineRule="auto"/>
        <w:jc w:val="center"/>
        <w:rPr>
          <w:rFonts w:ascii="Arial" w:eastAsia="Arial" w:hAnsi="Arial" w:cs="Arial"/>
          <w:sz w:val="24"/>
          <w:szCs w:val="24"/>
        </w:rPr>
      </w:pPr>
    </w:p>
    <w:p w:rsidR="002B1FF0" w:rsidRDefault="005A2AA3">
      <w:pPr>
        <w:pStyle w:val="BodyA"/>
        <w:spacing w:before="240" w:after="240" w:line="240" w:lineRule="auto"/>
        <w:jc w:val="right"/>
        <w:rPr>
          <w:rFonts w:ascii="Arial" w:eastAsia="Arial" w:hAnsi="Arial" w:cs="Arial"/>
          <w:sz w:val="24"/>
          <w:szCs w:val="24"/>
        </w:rPr>
      </w:pPr>
      <w:r>
        <w:rPr>
          <w:rFonts w:ascii="Arial" w:hAnsi="Arial"/>
          <w:sz w:val="24"/>
          <w:szCs w:val="24"/>
        </w:rPr>
        <w:t>CASE Number: 25761/2021</w:t>
      </w:r>
    </w:p>
    <w:p w:rsidR="002B1FF0" w:rsidRDefault="005A2AA3">
      <w:pPr>
        <w:pStyle w:val="BodyA"/>
        <w:tabs>
          <w:tab w:val="left" w:pos="4917"/>
        </w:tabs>
        <w:spacing w:after="0" w:line="240" w:lineRule="auto"/>
        <w:jc w:val="center"/>
        <w:rPr>
          <w:rFonts w:ascii="Arial" w:eastAsia="Arial" w:hAnsi="Arial" w:cs="Arial"/>
          <w:sz w:val="24"/>
          <w:szCs w:val="24"/>
        </w:rPr>
      </w:pPr>
      <w:r>
        <w:rPr>
          <w:rFonts w:ascii="Arial" w:eastAsia="Arial" w:hAnsi="Arial" w:cs="Arial"/>
          <w:noProof/>
          <w:sz w:val="24"/>
          <w:szCs w:val="24"/>
          <w:lang w:eastAsia="en-US"/>
        </w:rPr>
        <mc:AlternateContent>
          <mc:Choice Requires="wps">
            <w:drawing>
              <wp:anchor distT="0" distB="0" distL="0" distR="0" simplePos="0" relativeHeight="251659264" behindDoc="0" locked="0" layoutInCell="1" allowOverlap="1">
                <wp:simplePos x="0" y="0"/>
                <wp:positionH relativeFrom="column">
                  <wp:posOffset>6348</wp:posOffset>
                </wp:positionH>
                <wp:positionV relativeFrom="line">
                  <wp:posOffset>8254</wp:posOffset>
                </wp:positionV>
                <wp:extent cx="3232787" cy="1466850"/>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3232787" cy="1466850"/>
                        </a:xfrm>
                        <a:prstGeom prst="rect">
                          <a:avLst/>
                        </a:prstGeom>
                        <a:solidFill>
                          <a:srgbClr val="FFFFFF"/>
                        </a:solidFill>
                        <a:ln w="9525" cap="flat">
                          <a:solidFill>
                            <a:srgbClr val="000000"/>
                          </a:solidFill>
                          <a:prstDash val="solid"/>
                          <a:miter lim="800000"/>
                        </a:ln>
                        <a:effectLst/>
                      </wps:spPr>
                      <wps:txbx>
                        <w:txbxContent>
                          <w:p w:rsidR="002B1FF0" w:rsidRDefault="002B1FF0">
                            <w:pPr>
                              <w:pStyle w:val="BodyA"/>
                              <w:jc w:val="center"/>
                              <w:rPr>
                                <w:rFonts w:ascii="Century Gothic" w:eastAsia="Century Gothic" w:hAnsi="Century Gothic" w:cs="Century Gothic"/>
                                <w:b/>
                                <w:bCs/>
                                <w:sz w:val="20"/>
                                <w:szCs w:val="20"/>
                              </w:rPr>
                            </w:pPr>
                          </w:p>
                          <w:p w:rsidR="002B1FF0" w:rsidRDefault="00E20779" w:rsidP="00E20779">
                            <w:pPr>
                              <w:pStyle w:val="BodyA"/>
                              <w:spacing w:after="0" w:line="240" w:lineRule="auto"/>
                              <w:ind w:left="900" w:hanging="720"/>
                              <w:rPr>
                                <w:rFonts w:ascii="Century Gothic" w:eastAsia="Century Gothic" w:hAnsi="Century Gothic" w:cs="Century Gothic"/>
                                <w:sz w:val="20"/>
                                <w:szCs w:val="20"/>
                              </w:rPr>
                            </w:pPr>
                            <w:r>
                              <w:rPr>
                                <w:rFonts w:ascii="Century Gothic" w:eastAsia="Century Gothic" w:hAnsi="Arial Unicode MS" w:cs="Century Gothic"/>
                                <w:sz w:val="20"/>
                                <w:szCs w:val="20"/>
                              </w:rPr>
                              <w:t>(1)</w:t>
                            </w:r>
                            <w:r>
                              <w:rPr>
                                <w:rFonts w:ascii="Century Gothic" w:eastAsia="Century Gothic" w:hAnsi="Arial Unicode MS" w:cs="Century Gothic"/>
                                <w:sz w:val="20"/>
                                <w:szCs w:val="20"/>
                              </w:rPr>
                              <w:tab/>
                            </w:r>
                            <w:r w:rsidR="005A2AA3">
                              <w:rPr>
                                <w:rFonts w:ascii="Century Gothic" w:hAnsi="Century Gothic"/>
                                <w:sz w:val="20"/>
                                <w:szCs w:val="20"/>
                              </w:rPr>
                              <w:t>REPORTABLE: YES/NO</w:t>
                            </w:r>
                          </w:p>
                          <w:p w:rsidR="002B1FF0" w:rsidRDefault="00E20779" w:rsidP="00E20779">
                            <w:pPr>
                              <w:pStyle w:val="BodyA"/>
                              <w:spacing w:after="0" w:line="240" w:lineRule="auto"/>
                              <w:ind w:left="900" w:hanging="720"/>
                              <w:rPr>
                                <w:rFonts w:ascii="Century Gothic" w:eastAsia="Century Gothic" w:hAnsi="Century Gothic" w:cs="Century Gothic"/>
                                <w:sz w:val="20"/>
                                <w:szCs w:val="20"/>
                                <w:lang w:val="de-DE"/>
                              </w:rPr>
                            </w:pPr>
                            <w:r>
                              <w:rPr>
                                <w:rFonts w:ascii="Century Gothic" w:eastAsia="Century Gothic" w:hAnsi="Arial Unicode MS" w:cs="Century Gothic"/>
                                <w:sz w:val="20"/>
                                <w:szCs w:val="20"/>
                                <w:lang w:val="de-DE"/>
                              </w:rPr>
                              <w:t>(2)</w:t>
                            </w:r>
                            <w:r>
                              <w:rPr>
                                <w:rFonts w:ascii="Century Gothic" w:eastAsia="Century Gothic" w:hAnsi="Arial Unicode MS" w:cs="Century Gothic"/>
                                <w:sz w:val="20"/>
                                <w:szCs w:val="20"/>
                                <w:lang w:val="de-DE"/>
                              </w:rPr>
                              <w:tab/>
                            </w:r>
                            <w:r w:rsidR="005A2AA3">
                              <w:rPr>
                                <w:rFonts w:ascii="Century Gothic" w:hAnsi="Century Gothic"/>
                                <w:sz w:val="20"/>
                                <w:szCs w:val="20"/>
                                <w:lang w:val="de-DE"/>
                              </w:rPr>
                              <w:t>OF INTEREST TO OTHER JUDGES: YES/NO</w:t>
                            </w:r>
                          </w:p>
                          <w:p w:rsidR="002B1FF0" w:rsidRDefault="00E20779" w:rsidP="00E20779">
                            <w:pPr>
                              <w:pStyle w:val="BodyA"/>
                              <w:spacing w:after="0" w:line="240" w:lineRule="auto"/>
                              <w:ind w:left="900" w:hanging="720"/>
                              <w:rPr>
                                <w:rFonts w:ascii="Century Gothic" w:eastAsia="Century Gothic" w:hAnsi="Century Gothic" w:cs="Century Gothic"/>
                                <w:sz w:val="20"/>
                                <w:szCs w:val="20"/>
                              </w:rPr>
                            </w:pPr>
                            <w:r>
                              <w:rPr>
                                <w:rFonts w:ascii="Century Gothic" w:eastAsia="Century Gothic" w:hAnsi="Arial Unicode MS" w:cs="Century Gothic"/>
                                <w:sz w:val="20"/>
                                <w:szCs w:val="20"/>
                              </w:rPr>
                              <w:t>(3)</w:t>
                            </w:r>
                            <w:r>
                              <w:rPr>
                                <w:rFonts w:ascii="Century Gothic" w:eastAsia="Century Gothic" w:hAnsi="Arial Unicode MS" w:cs="Century Gothic"/>
                                <w:sz w:val="20"/>
                                <w:szCs w:val="20"/>
                              </w:rPr>
                              <w:tab/>
                            </w:r>
                            <w:r w:rsidR="005A2AA3">
                              <w:rPr>
                                <w:rFonts w:ascii="Century Gothic" w:hAnsi="Century Gothic"/>
                                <w:sz w:val="20"/>
                                <w:szCs w:val="20"/>
                              </w:rPr>
                              <w:t>REVISED: YES/NO</w:t>
                            </w:r>
                          </w:p>
                          <w:p w:rsidR="002B1FF0" w:rsidRDefault="002B1FF0">
                            <w:pPr>
                              <w:pStyle w:val="BodyA"/>
                              <w:spacing w:after="0" w:line="240" w:lineRule="auto"/>
                              <w:rPr>
                                <w:rFonts w:ascii="Century Gothic" w:eastAsia="Century Gothic" w:hAnsi="Century Gothic" w:cs="Century Gothic"/>
                                <w:sz w:val="20"/>
                                <w:szCs w:val="20"/>
                              </w:rPr>
                            </w:pPr>
                          </w:p>
                          <w:p w:rsidR="002B1FF0" w:rsidRDefault="005A2AA3">
                            <w:pPr>
                              <w:pStyle w:val="BodyA"/>
                              <w:spacing w:after="0" w:line="240" w:lineRule="auto"/>
                              <w:ind w:firstLine="180"/>
                              <w:rPr>
                                <w:rFonts w:ascii="Century Gothic" w:eastAsia="Century Gothic" w:hAnsi="Century Gothic" w:cs="Century Gothic"/>
                                <w:sz w:val="20"/>
                                <w:szCs w:val="20"/>
                              </w:rPr>
                            </w:pPr>
                            <w:r>
                              <w:rPr>
                                <w:rFonts w:ascii="Century Gothic" w:hAnsi="Century Gothic"/>
                                <w:sz w:val="20"/>
                                <w:szCs w:val="20"/>
                              </w:rPr>
                              <w:t xml:space="preserve"> </w:t>
                            </w:r>
                          </w:p>
                          <w:p w:rsidR="002B1FF0" w:rsidRDefault="005A2AA3">
                            <w:pPr>
                              <w:pStyle w:val="BodyA"/>
                              <w:spacing w:after="0" w:line="240" w:lineRule="auto"/>
                              <w:ind w:firstLine="180"/>
                              <w:rPr>
                                <w:rFonts w:ascii="Century Gothic" w:eastAsia="Century Gothic" w:hAnsi="Century Gothic" w:cs="Century Gothic"/>
                                <w:sz w:val="20"/>
                                <w:szCs w:val="20"/>
                              </w:rPr>
                            </w:pPr>
                            <w:r>
                              <w:rPr>
                                <w:rFonts w:ascii="Century Gothic" w:hAnsi="Century Gothic"/>
                                <w:sz w:val="20"/>
                                <w:szCs w:val="20"/>
                              </w:rPr>
                              <w:t xml:space="preserve">              2022</w:t>
                            </w:r>
                            <w:r>
                              <w:rPr>
                                <w:rFonts w:ascii="Century Gothic" w:hAnsi="Century Gothic"/>
                                <w:sz w:val="20"/>
                                <w:szCs w:val="20"/>
                              </w:rPr>
                              <w:tab/>
                            </w:r>
                            <w:r>
                              <w:rPr>
                                <w:rFonts w:ascii="Century Gothic" w:hAnsi="Century Gothic"/>
                                <w:sz w:val="20"/>
                                <w:szCs w:val="20"/>
                              </w:rPr>
                              <w:tab/>
                              <w:t xml:space="preserve">.......................... </w:t>
                            </w:r>
                          </w:p>
                          <w:p w:rsidR="002B1FF0" w:rsidRDefault="005A2AA3">
                            <w:pPr>
                              <w:pStyle w:val="BodyA"/>
                            </w:pPr>
                            <w:r>
                              <w:rPr>
                                <w:rFonts w:ascii="Century Gothic" w:hAnsi="Century Gothic"/>
                                <w:b/>
                                <w:bCs/>
                                <w:sz w:val="18"/>
                                <w:szCs w:val="18"/>
                              </w:rPr>
                              <w:t xml:space="preserve">           </w:t>
                            </w:r>
                          </w:p>
                        </w:txbxContent>
                      </wps:txbx>
                      <wps:bodyPr wrap="square" lIns="45718" tIns="45718" rIns="45718" bIns="45718"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left:0;text-align:left;margin-left:.5pt;margin-top:.65pt;width:254.55pt;height:115.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">
                <v:textbox inset="1.2699mm,1.2699mm,1.2699mm,1.2699mm">
                  <w:txbxContent>
                    <w:p w:rsidR="002B1FF0" w:rsidRDefault="002B1FF0">
                      <w:pPr>
                        <w:pStyle w:val="BodyA"/>
                        <w:jc w:val="center"/>
                        <w:rPr>
                          <w:rFonts w:ascii="Century Gothic" w:eastAsia="Century Gothic" w:hAnsi="Century Gothic" w:cs="Century Gothic"/>
                          <w:b/>
                          <w:bCs/>
                          <w:sz w:val="20"/>
                          <w:szCs w:val="20"/>
                        </w:rPr>
                      </w:pPr>
                    </w:p>
                    <w:p w:rsidR="002B1FF0" w:rsidRDefault="00E20779" w:rsidP="00E20779">
                      <w:pPr>
                        <w:pStyle w:val="BodyA"/>
                        <w:spacing w:after="0" w:line="240" w:lineRule="auto"/>
                        <w:ind w:left="900" w:hanging="720"/>
                        <w:rPr>
                          <w:rFonts w:ascii="Century Gothic" w:eastAsia="Century Gothic" w:hAnsi="Century Gothic" w:cs="Century Gothic"/>
                          <w:sz w:val="20"/>
                          <w:szCs w:val="20"/>
                        </w:rPr>
                      </w:pPr>
                      <w:r>
                        <w:rPr>
                          <w:rFonts w:ascii="Century Gothic" w:eastAsia="Century Gothic" w:hAnsi="Arial Unicode MS" w:cs="Century Gothic"/>
                          <w:sz w:val="20"/>
                          <w:szCs w:val="20"/>
                        </w:rPr>
                        <w:t>(1)</w:t>
                      </w:r>
                      <w:r>
                        <w:rPr>
                          <w:rFonts w:ascii="Century Gothic" w:eastAsia="Century Gothic" w:hAnsi="Arial Unicode MS" w:cs="Century Gothic"/>
                          <w:sz w:val="20"/>
                          <w:szCs w:val="20"/>
                        </w:rPr>
                        <w:tab/>
                      </w:r>
                      <w:r w:rsidR="005A2AA3">
                        <w:rPr>
                          <w:rFonts w:ascii="Century Gothic" w:hAnsi="Century Gothic"/>
                          <w:sz w:val="20"/>
                          <w:szCs w:val="20"/>
                        </w:rPr>
                        <w:t>REPORTABLE: YES/NO</w:t>
                      </w:r>
                    </w:p>
                    <w:p w:rsidR="002B1FF0" w:rsidRDefault="00E20779" w:rsidP="00E20779">
                      <w:pPr>
                        <w:pStyle w:val="BodyA"/>
                        <w:spacing w:after="0" w:line="240" w:lineRule="auto"/>
                        <w:ind w:left="900" w:hanging="720"/>
                        <w:rPr>
                          <w:rFonts w:ascii="Century Gothic" w:eastAsia="Century Gothic" w:hAnsi="Century Gothic" w:cs="Century Gothic"/>
                          <w:sz w:val="20"/>
                          <w:szCs w:val="20"/>
                          <w:lang w:val="de-DE"/>
                        </w:rPr>
                      </w:pPr>
                      <w:r>
                        <w:rPr>
                          <w:rFonts w:ascii="Century Gothic" w:eastAsia="Century Gothic" w:hAnsi="Arial Unicode MS" w:cs="Century Gothic"/>
                          <w:sz w:val="20"/>
                          <w:szCs w:val="20"/>
                          <w:lang w:val="de-DE"/>
                        </w:rPr>
                        <w:t>(2)</w:t>
                      </w:r>
                      <w:r>
                        <w:rPr>
                          <w:rFonts w:ascii="Century Gothic" w:eastAsia="Century Gothic" w:hAnsi="Arial Unicode MS" w:cs="Century Gothic"/>
                          <w:sz w:val="20"/>
                          <w:szCs w:val="20"/>
                          <w:lang w:val="de-DE"/>
                        </w:rPr>
                        <w:tab/>
                      </w:r>
                      <w:r w:rsidR="005A2AA3">
                        <w:rPr>
                          <w:rFonts w:ascii="Century Gothic" w:hAnsi="Century Gothic"/>
                          <w:sz w:val="20"/>
                          <w:szCs w:val="20"/>
                          <w:lang w:val="de-DE"/>
                        </w:rPr>
                        <w:t>OF INTEREST TO OTHER JUDGES: YES/NO</w:t>
                      </w:r>
                    </w:p>
                    <w:p w:rsidR="002B1FF0" w:rsidRDefault="00E20779" w:rsidP="00E20779">
                      <w:pPr>
                        <w:pStyle w:val="BodyA"/>
                        <w:spacing w:after="0" w:line="240" w:lineRule="auto"/>
                        <w:ind w:left="900" w:hanging="720"/>
                        <w:rPr>
                          <w:rFonts w:ascii="Century Gothic" w:eastAsia="Century Gothic" w:hAnsi="Century Gothic" w:cs="Century Gothic"/>
                          <w:sz w:val="20"/>
                          <w:szCs w:val="20"/>
                        </w:rPr>
                      </w:pPr>
                      <w:r>
                        <w:rPr>
                          <w:rFonts w:ascii="Century Gothic" w:eastAsia="Century Gothic" w:hAnsi="Arial Unicode MS" w:cs="Century Gothic"/>
                          <w:sz w:val="20"/>
                          <w:szCs w:val="20"/>
                        </w:rPr>
                        <w:t>(3)</w:t>
                      </w:r>
                      <w:r>
                        <w:rPr>
                          <w:rFonts w:ascii="Century Gothic" w:eastAsia="Century Gothic" w:hAnsi="Arial Unicode MS" w:cs="Century Gothic"/>
                          <w:sz w:val="20"/>
                          <w:szCs w:val="20"/>
                        </w:rPr>
                        <w:tab/>
                      </w:r>
                      <w:r w:rsidR="005A2AA3">
                        <w:rPr>
                          <w:rFonts w:ascii="Century Gothic" w:hAnsi="Century Gothic"/>
                          <w:sz w:val="20"/>
                          <w:szCs w:val="20"/>
                        </w:rPr>
                        <w:t>REVISED: YES/NO</w:t>
                      </w:r>
                    </w:p>
                    <w:p w:rsidR="002B1FF0" w:rsidRDefault="002B1FF0">
                      <w:pPr>
                        <w:pStyle w:val="BodyA"/>
                        <w:spacing w:after="0" w:line="240" w:lineRule="auto"/>
                        <w:rPr>
                          <w:rFonts w:ascii="Century Gothic" w:eastAsia="Century Gothic" w:hAnsi="Century Gothic" w:cs="Century Gothic"/>
                          <w:sz w:val="20"/>
                          <w:szCs w:val="20"/>
                        </w:rPr>
                      </w:pPr>
                    </w:p>
                    <w:p w:rsidR="002B1FF0" w:rsidRDefault="005A2AA3">
                      <w:pPr>
                        <w:pStyle w:val="BodyA"/>
                        <w:spacing w:after="0" w:line="240" w:lineRule="auto"/>
                        <w:ind w:firstLine="180"/>
                        <w:rPr>
                          <w:rFonts w:ascii="Century Gothic" w:eastAsia="Century Gothic" w:hAnsi="Century Gothic" w:cs="Century Gothic"/>
                          <w:sz w:val="20"/>
                          <w:szCs w:val="20"/>
                        </w:rPr>
                      </w:pPr>
                      <w:r>
                        <w:rPr>
                          <w:rFonts w:ascii="Century Gothic" w:hAnsi="Century Gothic"/>
                          <w:sz w:val="20"/>
                          <w:szCs w:val="20"/>
                        </w:rPr>
                        <w:t xml:space="preserve"> </w:t>
                      </w:r>
                    </w:p>
                    <w:p w:rsidR="002B1FF0" w:rsidRDefault="005A2AA3">
                      <w:pPr>
                        <w:pStyle w:val="BodyA"/>
                        <w:spacing w:after="0" w:line="240" w:lineRule="auto"/>
                        <w:ind w:firstLine="180"/>
                        <w:rPr>
                          <w:rFonts w:ascii="Century Gothic" w:eastAsia="Century Gothic" w:hAnsi="Century Gothic" w:cs="Century Gothic"/>
                          <w:sz w:val="20"/>
                          <w:szCs w:val="20"/>
                        </w:rPr>
                      </w:pPr>
                      <w:r>
                        <w:rPr>
                          <w:rFonts w:ascii="Century Gothic" w:hAnsi="Century Gothic"/>
                          <w:sz w:val="20"/>
                          <w:szCs w:val="20"/>
                        </w:rPr>
                        <w:t xml:space="preserve">              2022</w:t>
                      </w:r>
                      <w:r>
                        <w:rPr>
                          <w:rFonts w:ascii="Century Gothic" w:hAnsi="Century Gothic"/>
                          <w:sz w:val="20"/>
                          <w:szCs w:val="20"/>
                        </w:rPr>
                        <w:tab/>
                      </w:r>
                      <w:r>
                        <w:rPr>
                          <w:rFonts w:ascii="Century Gothic" w:hAnsi="Century Gothic"/>
                          <w:sz w:val="20"/>
                          <w:szCs w:val="20"/>
                        </w:rPr>
                        <w:tab/>
                        <w:t xml:space="preserve">.......................... </w:t>
                      </w:r>
                    </w:p>
                    <w:p w:rsidR="002B1FF0" w:rsidRDefault="005A2AA3">
                      <w:pPr>
                        <w:pStyle w:val="BodyA"/>
                      </w:pPr>
                      <w:r>
                        <w:rPr>
                          <w:rFonts w:ascii="Century Gothic" w:hAnsi="Century Gothic"/>
                          <w:b/>
                          <w:bCs/>
                          <w:sz w:val="18"/>
                          <w:szCs w:val="18"/>
                        </w:rPr>
                        <w:t xml:space="preserve">           </w:t>
                      </w:r>
                    </w:p>
                  </w:txbxContent>
                </v:textbox>
                <w10:wrap anchory="line"/>
              </v:shape>
            </w:pict>
          </mc:Fallback>
        </mc:AlternateContent>
      </w:r>
    </w:p>
    <w:p w:rsidR="002B1FF0" w:rsidRDefault="002B1FF0">
      <w:pPr>
        <w:pStyle w:val="BodyA"/>
        <w:tabs>
          <w:tab w:val="left" w:pos="4917"/>
        </w:tabs>
        <w:spacing w:after="0" w:line="240" w:lineRule="auto"/>
        <w:jc w:val="center"/>
        <w:rPr>
          <w:rFonts w:ascii="Arial" w:eastAsia="Arial" w:hAnsi="Arial" w:cs="Arial"/>
          <w:sz w:val="24"/>
          <w:szCs w:val="24"/>
        </w:rPr>
      </w:pPr>
    </w:p>
    <w:p w:rsidR="002B1FF0" w:rsidRDefault="002B1FF0">
      <w:pPr>
        <w:pStyle w:val="BodyA"/>
        <w:tabs>
          <w:tab w:val="left" w:pos="4917"/>
        </w:tabs>
        <w:spacing w:after="0" w:line="240" w:lineRule="auto"/>
        <w:jc w:val="right"/>
        <w:rPr>
          <w:rFonts w:ascii="Arial" w:eastAsia="Arial" w:hAnsi="Arial" w:cs="Arial"/>
          <w:b/>
          <w:bCs/>
          <w:sz w:val="24"/>
          <w:szCs w:val="24"/>
          <w:u w:val="single"/>
        </w:rPr>
      </w:pPr>
    </w:p>
    <w:p w:rsidR="002B1FF0" w:rsidRDefault="002B1FF0">
      <w:pPr>
        <w:pStyle w:val="BodyA"/>
        <w:tabs>
          <w:tab w:val="left" w:pos="4917"/>
        </w:tabs>
        <w:spacing w:after="0" w:line="240" w:lineRule="auto"/>
        <w:jc w:val="right"/>
        <w:rPr>
          <w:rFonts w:ascii="Arial" w:eastAsia="Arial" w:hAnsi="Arial" w:cs="Arial"/>
          <w:b/>
          <w:bCs/>
          <w:sz w:val="24"/>
          <w:szCs w:val="24"/>
          <w:u w:val="single"/>
        </w:rPr>
      </w:pPr>
    </w:p>
    <w:p w:rsidR="002B1FF0" w:rsidRDefault="002B1FF0">
      <w:pPr>
        <w:pStyle w:val="BodyA"/>
        <w:tabs>
          <w:tab w:val="left" w:pos="4917"/>
        </w:tabs>
        <w:spacing w:after="0" w:line="240" w:lineRule="auto"/>
        <w:jc w:val="right"/>
        <w:rPr>
          <w:rFonts w:ascii="Arial" w:eastAsia="Arial" w:hAnsi="Arial" w:cs="Arial"/>
          <w:b/>
          <w:bCs/>
          <w:sz w:val="24"/>
          <w:szCs w:val="24"/>
          <w:u w:val="single"/>
        </w:rPr>
      </w:pPr>
    </w:p>
    <w:p w:rsidR="002B1FF0" w:rsidRDefault="002B1FF0">
      <w:pPr>
        <w:pStyle w:val="BodyA"/>
        <w:tabs>
          <w:tab w:val="left" w:pos="4917"/>
        </w:tabs>
        <w:spacing w:after="0" w:line="240" w:lineRule="auto"/>
        <w:jc w:val="right"/>
        <w:rPr>
          <w:rFonts w:ascii="Arial" w:eastAsia="Arial" w:hAnsi="Arial" w:cs="Arial"/>
          <w:b/>
          <w:bCs/>
          <w:sz w:val="24"/>
          <w:szCs w:val="24"/>
          <w:u w:val="single"/>
        </w:rPr>
      </w:pPr>
    </w:p>
    <w:p w:rsidR="002B1FF0" w:rsidRDefault="002B1FF0">
      <w:pPr>
        <w:pStyle w:val="BodyA"/>
        <w:tabs>
          <w:tab w:val="left" w:pos="4917"/>
        </w:tabs>
        <w:spacing w:after="0" w:line="240" w:lineRule="auto"/>
        <w:jc w:val="right"/>
        <w:rPr>
          <w:rFonts w:ascii="Arial" w:eastAsia="Arial" w:hAnsi="Arial" w:cs="Arial"/>
          <w:b/>
          <w:bCs/>
          <w:sz w:val="24"/>
          <w:szCs w:val="24"/>
          <w:u w:val="single"/>
        </w:rPr>
      </w:pPr>
    </w:p>
    <w:p w:rsidR="002B1FF0" w:rsidRDefault="002B1FF0">
      <w:pPr>
        <w:pStyle w:val="BodyA"/>
        <w:tabs>
          <w:tab w:val="left" w:pos="4917"/>
        </w:tabs>
        <w:spacing w:after="0" w:line="240" w:lineRule="auto"/>
        <w:jc w:val="right"/>
        <w:rPr>
          <w:rFonts w:ascii="Arial" w:eastAsia="Arial" w:hAnsi="Arial" w:cs="Arial"/>
          <w:b/>
          <w:bCs/>
          <w:sz w:val="24"/>
          <w:szCs w:val="24"/>
          <w:u w:val="single"/>
        </w:rPr>
      </w:pPr>
    </w:p>
    <w:p w:rsidR="002B1FF0" w:rsidRDefault="005A2AA3">
      <w:pPr>
        <w:pStyle w:val="BodyA"/>
        <w:tabs>
          <w:tab w:val="left" w:pos="4917"/>
        </w:tabs>
        <w:spacing w:before="200" w:after="240" w:line="480" w:lineRule="auto"/>
        <w:jc w:val="both"/>
        <w:rPr>
          <w:rFonts w:ascii="Arial" w:eastAsia="Arial" w:hAnsi="Arial" w:cs="Arial"/>
          <w:sz w:val="24"/>
          <w:szCs w:val="24"/>
        </w:rPr>
      </w:pPr>
      <w:r>
        <w:rPr>
          <w:rFonts w:ascii="Arial" w:hAnsi="Arial"/>
          <w:sz w:val="24"/>
          <w:szCs w:val="24"/>
        </w:rPr>
        <w:t>In the matter between: -</w:t>
      </w:r>
    </w:p>
    <w:p w:rsidR="002B1FF0" w:rsidRDefault="005A2AA3">
      <w:pPr>
        <w:pStyle w:val="BodyA"/>
        <w:tabs>
          <w:tab w:val="left" w:pos="4917"/>
        </w:tabs>
        <w:spacing w:before="200" w:after="240" w:line="480" w:lineRule="auto"/>
        <w:jc w:val="both"/>
        <w:rPr>
          <w:rFonts w:ascii="Arial" w:eastAsia="Arial" w:hAnsi="Arial" w:cs="Arial"/>
          <w:b/>
          <w:bCs/>
          <w:sz w:val="24"/>
          <w:szCs w:val="24"/>
          <w:lang w:val="de-DE"/>
        </w:rPr>
      </w:pPr>
      <w:r>
        <w:rPr>
          <w:rFonts w:ascii="Arial" w:hAnsi="Arial"/>
          <w:b/>
          <w:bCs/>
          <w:sz w:val="24"/>
          <w:szCs w:val="24"/>
          <w:lang w:val="de-DE"/>
        </w:rPr>
        <w:t>ABSA BANK LIMITED</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              Plaintiff</w:t>
      </w:r>
    </w:p>
    <w:p w:rsidR="002B1FF0" w:rsidRDefault="005A2AA3">
      <w:pPr>
        <w:pStyle w:val="BodyA"/>
        <w:tabs>
          <w:tab w:val="left" w:pos="4917"/>
        </w:tabs>
        <w:spacing w:before="200" w:after="240" w:line="480" w:lineRule="auto"/>
        <w:jc w:val="both"/>
        <w:rPr>
          <w:rFonts w:ascii="Arial" w:eastAsia="Arial" w:hAnsi="Arial" w:cs="Arial"/>
          <w:b/>
          <w:bCs/>
          <w:sz w:val="24"/>
          <w:szCs w:val="24"/>
        </w:rPr>
      </w:pPr>
      <w:r>
        <w:rPr>
          <w:rFonts w:ascii="Arial" w:hAnsi="Arial"/>
          <w:b/>
          <w:bCs/>
          <w:sz w:val="24"/>
          <w:szCs w:val="24"/>
        </w:rPr>
        <w:t xml:space="preserve">AND </w:t>
      </w:r>
    </w:p>
    <w:p w:rsidR="002B1FF0" w:rsidRDefault="005A2AA3">
      <w:pPr>
        <w:pStyle w:val="BodyA"/>
        <w:tabs>
          <w:tab w:val="left" w:pos="4917"/>
        </w:tabs>
        <w:spacing w:before="200" w:after="240" w:line="480" w:lineRule="auto"/>
        <w:jc w:val="both"/>
        <w:rPr>
          <w:rFonts w:ascii="Arial" w:eastAsia="Arial" w:hAnsi="Arial" w:cs="Arial"/>
          <w:b/>
          <w:bCs/>
          <w:sz w:val="24"/>
          <w:szCs w:val="24"/>
        </w:rPr>
      </w:pPr>
      <w:r>
        <w:rPr>
          <w:rFonts w:ascii="Arial" w:hAnsi="Arial"/>
          <w:b/>
          <w:bCs/>
          <w:sz w:val="24"/>
          <w:szCs w:val="24"/>
        </w:rPr>
        <w:t xml:space="preserve">FANUEL JOHN MOTSEPE </w:t>
      </w:r>
      <w:r>
        <w:rPr>
          <w:rFonts w:ascii="Arial" w:hAnsi="Arial"/>
          <w:b/>
          <w:bCs/>
          <w:sz w:val="24"/>
          <w:szCs w:val="24"/>
        </w:rPr>
        <w:tab/>
        <w:t xml:space="preserve">    </w:t>
      </w:r>
      <w:r>
        <w:rPr>
          <w:rFonts w:ascii="Arial" w:hAnsi="Arial"/>
          <w:b/>
          <w:bCs/>
          <w:sz w:val="24"/>
          <w:szCs w:val="24"/>
        </w:rPr>
        <w:tab/>
      </w:r>
      <w:r>
        <w:rPr>
          <w:rFonts w:ascii="Arial" w:hAnsi="Arial"/>
          <w:b/>
          <w:bCs/>
          <w:sz w:val="24"/>
          <w:szCs w:val="24"/>
        </w:rPr>
        <w:tab/>
        <w:t xml:space="preserve"> </w:t>
      </w:r>
      <w:r>
        <w:rPr>
          <w:rFonts w:ascii="Arial" w:hAnsi="Arial"/>
          <w:b/>
          <w:bCs/>
          <w:sz w:val="24"/>
          <w:szCs w:val="24"/>
        </w:rPr>
        <w:tab/>
        <w:t xml:space="preserve">         Defendant</w:t>
      </w:r>
    </w:p>
    <w:p w:rsidR="002B1FF0" w:rsidRDefault="005A2AA3">
      <w:pPr>
        <w:pStyle w:val="BodyA"/>
        <w:tabs>
          <w:tab w:val="left" w:pos="4917"/>
        </w:tabs>
        <w:spacing w:before="200" w:after="240" w:line="480" w:lineRule="auto"/>
        <w:jc w:val="both"/>
        <w:rPr>
          <w:rFonts w:ascii="Arial" w:eastAsia="Arial" w:hAnsi="Arial" w:cs="Arial"/>
          <w:b/>
          <w:bCs/>
          <w:sz w:val="24"/>
          <w:szCs w:val="24"/>
        </w:rPr>
      </w:pPr>
      <w:r>
        <w:rPr>
          <w:rFonts w:ascii="Arial" w:eastAsia="Arial" w:hAnsi="Arial" w:cs="Arial"/>
          <w:b/>
          <w:bCs/>
          <w:noProof/>
          <w:sz w:val="24"/>
          <w:szCs w:val="24"/>
          <w:lang w:eastAsia="en-US"/>
        </w:rPr>
        <mc:AlternateContent>
          <mc:Choice Requires="wps">
            <w:drawing>
              <wp:inline distT="0" distB="0" distL="0" distR="0">
                <wp:extent cx="5943600" cy="19050"/>
                <wp:effectExtent l="0" t="0" r="0" b="0"/>
                <wp:docPr id="1073741827"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e="http://schemas.microsoft.com/office/word/2015/wordml/symex" xmlns:cx="http://schemas.microsoft.com/office/drawing/2014/chartex">
            <w:pict>
              <v:rect id="_x0000_s1027"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2B1FF0" w:rsidRDefault="005A2AA3">
      <w:pPr>
        <w:pStyle w:val="BodyA"/>
        <w:spacing w:before="200" w:after="240" w:line="480" w:lineRule="auto"/>
        <w:jc w:val="center"/>
        <w:rPr>
          <w:rFonts w:ascii="Arial" w:eastAsia="Arial" w:hAnsi="Arial" w:cs="Arial"/>
          <w:b/>
          <w:bCs/>
          <w:sz w:val="24"/>
          <w:szCs w:val="24"/>
          <w:lang w:val="de-DE"/>
        </w:rPr>
      </w:pPr>
      <w:r>
        <w:rPr>
          <w:rFonts w:ascii="Arial" w:hAnsi="Arial"/>
          <w:b/>
          <w:bCs/>
          <w:sz w:val="24"/>
          <w:szCs w:val="24"/>
          <w:lang w:val="de-DE"/>
        </w:rPr>
        <w:t>JUDGMENT</w:t>
      </w:r>
    </w:p>
    <w:p w:rsidR="002B1FF0" w:rsidRDefault="005A2AA3">
      <w:pPr>
        <w:pStyle w:val="BodyA"/>
        <w:spacing w:before="200" w:after="240" w:line="480" w:lineRule="auto"/>
        <w:jc w:val="both"/>
        <w:rPr>
          <w:rFonts w:ascii="Arial" w:eastAsia="Arial" w:hAnsi="Arial" w:cs="Arial"/>
          <w:sz w:val="24"/>
          <w:szCs w:val="24"/>
        </w:rPr>
      </w:pPr>
      <w:r>
        <w:rPr>
          <w:rFonts w:ascii="Arial" w:eastAsia="Arial" w:hAnsi="Arial" w:cs="Arial"/>
          <w:b/>
          <w:bCs/>
          <w:noProof/>
          <w:sz w:val="24"/>
          <w:szCs w:val="24"/>
          <w:lang w:eastAsia="en-US"/>
        </w:rPr>
        <mc:AlternateContent>
          <mc:Choice Requires="wps">
            <w:drawing>
              <wp:inline distT="0" distB="0" distL="0" distR="0">
                <wp:extent cx="5943600" cy="1905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e="http://schemas.microsoft.com/office/word/2015/wordml/symex" xmlns:cx="http://schemas.microsoft.com/office/drawing/2014/chartex">
            <w:pict>
              <v:rect id="_x0000_s1028"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2B1FF0" w:rsidRDefault="005A2AA3">
      <w:pPr>
        <w:pStyle w:val="BodyA"/>
        <w:spacing w:after="0" w:line="480" w:lineRule="auto"/>
        <w:jc w:val="both"/>
        <w:rPr>
          <w:rFonts w:ascii="Arial" w:eastAsia="Arial" w:hAnsi="Arial" w:cs="Arial"/>
          <w:sz w:val="24"/>
          <w:szCs w:val="24"/>
        </w:rPr>
      </w:pPr>
      <w:r>
        <w:rPr>
          <w:rFonts w:ascii="Arial" w:hAnsi="Arial"/>
          <w:sz w:val="24"/>
          <w:szCs w:val="24"/>
        </w:rPr>
        <w:t xml:space="preserve">This Judgment was handed down electronically by circulation to the parties’ and or parties’ representatives by email and by being uploaded to CaseLines. The date and time for the hand down is deemed on 22 November 2022.  </w:t>
      </w:r>
    </w:p>
    <w:p w:rsidR="002B1FF0" w:rsidRDefault="002B1FF0">
      <w:pPr>
        <w:pStyle w:val="BodyA"/>
        <w:spacing w:after="0" w:line="480" w:lineRule="auto"/>
        <w:jc w:val="both"/>
        <w:rPr>
          <w:rFonts w:ascii="Arial" w:eastAsia="Arial" w:hAnsi="Arial" w:cs="Arial"/>
          <w:b/>
          <w:bCs/>
          <w:sz w:val="24"/>
          <w:szCs w:val="24"/>
        </w:rPr>
      </w:pPr>
    </w:p>
    <w:p w:rsidR="002B1FF0" w:rsidRPr="00E20779" w:rsidRDefault="00E20779" w:rsidP="00E20779">
      <w:pPr>
        <w:spacing w:line="360" w:lineRule="auto"/>
        <w:ind w:left="720" w:hanging="720"/>
        <w:jc w:val="both"/>
        <w:rPr>
          <w:rFonts w:ascii="Arial" w:eastAsia="Arial" w:hAnsi="Arial" w:cs="Arial"/>
        </w:rPr>
      </w:pPr>
      <w:r>
        <w:rPr>
          <w:rFonts w:ascii="Arial" w:eastAsia="Arial" w:hAnsi="Arial" w:cs="Arial"/>
          <w:color w:val="000000"/>
          <w:u w:color="000000"/>
          <w:lang w:eastAsia="en-ZA"/>
        </w:rPr>
        <w:lastRenderedPageBreak/>
        <w:t>1.</w:t>
      </w:r>
      <w:r>
        <w:rPr>
          <w:rFonts w:ascii="Arial" w:eastAsia="Arial" w:hAnsi="Arial" w:cs="Arial"/>
          <w:color w:val="000000"/>
          <w:u w:color="000000"/>
          <w:lang w:eastAsia="en-ZA"/>
        </w:rPr>
        <w:tab/>
      </w:r>
      <w:r w:rsidR="005A2AA3" w:rsidRPr="00E20779">
        <w:rPr>
          <w:rFonts w:ascii="Arial" w:hAnsi="Arial"/>
        </w:rPr>
        <w:t>The plaintiff in this matter is Absa Bank Limited (‘</w:t>
      </w:r>
      <w:r w:rsidR="005A2AA3" w:rsidRPr="00E20779">
        <w:rPr>
          <w:rFonts w:ascii="Arial" w:hAnsi="Arial"/>
          <w:lang w:val="de-DE"/>
        </w:rPr>
        <w:t>Absa</w:t>
      </w:r>
      <w:r w:rsidR="005A2AA3" w:rsidRPr="00E20779">
        <w:rPr>
          <w:rFonts w:ascii="Arial" w:hAnsi="Arial"/>
        </w:rPr>
        <w:t>’). It has instituted proceedings against Fanuel John Motsepe (‘</w:t>
      </w:r>
      <w:r w:rsidR="005A2AA3" w:rsidRPr="00E20779">
        <w:rPr>
          <w:rFonts w:ascii="Arial" w:hAnsi="Arial"/>
          <w:lang w:val="nl-NL"/>
        </w:rPr>
        <w:t>Motsepe</w:t>
      </w:r>
      <w:r w:rsidR="005A2AA3" w:rsidRPr="00E20779">
        <w:rPr>
          <w:rFonts w:ascii="Arial" w:hAnsi="Arial"/>
        </w:rPr>
        <w:t>’) and seeks summary judgment against him. For the reasons which follow, the application is dismissed.</w:t>
      </w:r>
    </w:p>
    <w:p w:rsidR="002B1FF0" w:rsidRDefault="002B1FF0">
      <w:pPr>
        <w:pStyle w:val="ListParagraph"/>
        <w:tabs>
          <w:tab w:val="left" w:pos="709"/>
        </w:tabs>
        <w:spacing w:after="0" w:line="360" w:lineRule="auto"/>
        <w:ind w:left="709"/>
        <w:jc w:val="both"/>
        <w:rPr>
          <w:rFonts w:ascii="Arial" w:eastAsia="Arial" w:hAnsi="Arial" w:cs="Arial"/>
          <w:sz w:val="24"/>
          <w:szCs w:val="24"/>
        </w:rPr>
      </w:pPr>
    </w:p>
    <w:p w:rsidR="002B1FF0" w:rsidRPr="00E20779" w:rsidRDefault="00E20779" w:rsidP="00E20779">
      <w:pPr>
        <w:spacing w:line="360" w:lineRule="auto"/>
        <w:ind w:left="720" w:hanging="720"/>
        <w:jc w:val="both"/>
        <w:rPr>
          <w:rFonts w:ascii="Arial" w:eastAsia="Arial" w:hAnsi="Arial" w:cs="Arial"/>
        </w:rPr>
      </w:pPr>
      <w:r>
        <w:rPr>
          <w:rFonts w:ascii="Arial" w:eastAsia="Arial" w:hAnsi="Arial" w:cs="Arial"/>
          <w:color w:val="000000"/>
          <w:u w:color="000000"/>
          <w:lang w:eastAsia="en-ZA"/>
        </w:rPr>
        <w:t>2.</w:t>
      </w:r>
      <w:r>
        <w:rPr>
          <w:rFonts w:ascii="Arial" w:eastAsia="Arial" w:hAnsi="Arial" w:cs="Arial"/>
          <w:color w:val="000000"/>
          <w:u w:color="000000"/>
          <w:lang w:eastAsia="en-ZA"/>
        </w:rPr>
        <w:tab/>
      </w:r>
      <w:r w:rsidR="005A2AA3" w:rsidRPr="00E20779">
        <w:rPr>
          <w:rFonts w:ascii="Arial" w:hAnsi="Arial"/>
        </w:rPr>
        <w:t>Absa alleges t</w:t>
      </w:r>
      <w:bookmarkStart w:id="0" w:name="_GoBack"/>
      <w:r w:rsidR="005A2AA3" w:rsidRPr="00E20779">
        <w:rPr>
          <w:rFonts w:ascii="Arial" w:hAnsi="Arial"/>
        </w:rPr>
        <w:t>h</w:t>
      </w:r>
      <w:bookmarkEnd w:id="0"/>
      <w:r w:rsidR="005A2AA3" w:rsidRPr="00E20779">
        <w:rPr>
          <w:rFonts w:ascii="Arial" w:hAnsi="Arial"/>
        </w:rPr>
        <w:t xml:space="preserve">at on or about 20 February 2009 it concluded a written home loan agreement with Motsepe. It pleads that it is ‘currently unable to locate the original loan agreement and copies thereof and is accordingly unable to annex a copy’. What it does annex to the particulars of claim is a ‘comprehensive details’ sheet which provides certain information. </w:t>
      </w:r>
    </w:p>
    <w:p w:rsidR="002B1FF0" w:rsidRDefault="002B1FF0">
      <w:pPr>
        <w:pStyle w:val="ListParagraph"/>
        <w:tabs>
          <w:tab w:val="left" w:pos="709"/>
        </w:tabs>
        <w:spacing w:after="0" w:line="360" w:lineRule="auto"/>
        <w:ind w:left="709" w:hanging="709"/>
        <w:jc w:val="both"/>
        <w:rPr>
          <w:rFonts w:ascii="Arial" w:eastAsia="Arial" w:hAnsi="Arial" w:cs="Arial"/>
          <w:sz w:val="24"/>
          <w:szCs w:val="24"/>
        </w:rPr>
      </w:pPr>
    </w:p>
    <w:p w:rsidR="002B1FF0" w:rsidRPr="00E20779" w:rsidRDefault="00E20779" w:rsidP="00E20779">
      <w:pPr>
        <w:spacing w:line="360" w:lineRule="auto"/>
        <w:ind w:left="720" w:hanging="720"/>
        <w:jc w:val="both"/>
        <w:rPr>
          <w:rFonts w:ascii="Arial" w:eastAsia="Arial" w:hAnsi="Arial" w:cs="Arial"/>
          <w:b/>
          <w:bCs/>
        </w:rPr>
      </w:pPr>
      <w:r>
        <w:rPr>
          <w:rFonts w:ascii="Arial" w:eastAsia="Arial" w:hAnsi="Arial" w:cs="Arial"/>
          <w:color w:val="000000"/>
          <w:u w:color="000000"/>
          <w:lang w:eastAsia="en-ZA"/>
        </w:rPr>
        <w:t>3.</w:t>
      </w:r>
      <w:r>
        <w:rPr>
          <w:rFonts w:ascii="Arial" w:eastAsia="Arial" w:hAnsi="Arial" w:cs="Arial"/>
          <w:color w:val="000000"/>
          <w:u w:color="000000"/>
          <w:lang w:eastAsia="en-ZA"/>
        </w:rPr>
        <w:tab/>
      </w:r>
      <w:r w:rsidR="005A2AA3" w:rsidRPr="00E20779">
        <w:rPr>
          <w:rFonts w:ascii="Arial" w:hAnsi="Arial"/>
        </w:rPr>
        <w:t>Absa further pleads that pursuant to the loan agreement the debt was secured by registering a continuing covering bond for the sum of R1 200 000,00. A copy of the mortgage bond is attached to the particulars of claim.</w:t>
      </w:r>
    </w:p>
    <w:p w:rsidR="002B1FF0" w:rsidRDefault="002B1FF0">
      <w:pPr>
        <w:pStyle w:val="ListParagraph"/>
        <w:tabs>
          <w:tab w:val="left" w:pos="709"/>
        </w:tabs>
        <w:spacing w:after="0" w:line="360" w:lineRule="auto"/>
        <w:ind w:left="709" w:hanging="709"/>
        <w:jc w:val="both"/>
        <w:rPr>
          <w:rFonts w:ascii="Arial" w:eastAsia="Arial" w:hAnsi="Arial" w:cs="Arial"/>
          <w:b/>
          <w:bCs/>
          <w:sz w:val="24"/>
          <w:szCs w:val="24"/>
        </w:rPr>
      </w:pPr>
    </w:p>
    <w:p w:rsidR="002B1FF0" w:rsidRPr="00E20779" w:rsidRDefault="00E20779" w:rsidP="00E20779">
      <w:pPr>
        <w:spacing w:line="360" w:lineRule="auto"/>
        <w:ind w:left="720" w:hanging="720"/>
        <w:jc w:val="both"/>
        <w:rPr>
          <w:rFonts w:ascii="Arial" w:eastAsia="Arial" w:hAnsi="Arial" w:cs="Arial"/>
          <w:b/>
          <w:bCs/>
        </w:rPr>
      </w:pPr>
      <w:r>
        <w:rPr>
          <w:rFonts w:ascii="Arial" w:eastAsia="Arial" w:hAnsi="Arial" w:cs="Arial"/>
          <w:color w:val="000000"/>
          <w:u w:color="000000"/>
          <w:lang w:eastAsia="en-ZA"/>
        </w:rPr>
        <w:t>4.</w:t>
      </w:r>
      <w:r>
        <w:rPr>
          <w:rFonts w:ascii="Arial" w:eastAsia="Arial" w:hAnsi="Arial" w:cs="Arial"/>
          <w:color w:val="000000"/>
          <w:u w:color="000000"/>
          <w:lang w:eastAsia="en-ZA"/>
        </w:rPr>
        <w:tab/>
      </w:r>
      <w:r w:rsidR="005A2AA3" w:rsidRPr="00E20779">
        <w:rPr>
          <w:rFonts w:ascii="Arial" w:hAnsi="Arial"/>
        </w:rPr>
        <w:t>Absa then pleads that it ‘advanced R1 200 000,00 to the defendant’s as the ‘principal debt’ [sic]. It then pleads that the ‘principal debt as reflected in the loan agreement together with interest and costs thereon would be repaid to plaintiff in monthly instalments of R15 327,05, together with an interest rate of 5.65% below the prime lending rate.</w:t>
      </w:r>
    </w:p>
    <w:p w:rsidR="002B1FF0" w:rsidRDefault="002B1FF0">
      <w:pPr>
        <w:pStyle w:val="ListParagraph"/>
        <w:rPr>
          <w:rFonts w:ascii="Arial" w:eastAsia="Arial" w:hAnsi="Arial" w:cs="Arial"/>
          <w:b/>
          <w:bCs/>
          <w:sz w:val="24"/>
          <w:szCs w:val="24"/>
        </w:rPr>
      </w:pPr>
    </w:p>
    <w:p w:rsidR="002B1FF0" w:rsidRPr="00E20779" w:rsidRDefault="00E20779" w:rsidP="00E20779">
      <w:pPr>
        <w:spacing w:line="360" w:lineRule="auto"/>
        <w:ind w:left="720" w:hanging="720"/>
        <w:jc w:val="both"/>
        <w:rPr>
          <w:rFonts w:ascii="Arial" w:eastAsia="Arial" w:hAnsi="Arial" w:cs="Arial"/>
        </w:rPr>
      </w:pPr>
      <w:r>
        <w:rPr>
          <w:rFonts w:ascii="Arial" w:eastAsia="Arial" w:hAnsi="Arial" w:cs="Arial"/>
          <w:color w:val="000000"/>
          <w:u w:color="000000"/>
          <w:lang w:eastAsia="en-ZA"/>
        </w:rPr>
        <w:t>5.</w:t>
      </w:r>
      <w:r>
        <w:rPr>
          <w:rFonts w:ascii="Arial" w:eastAsia="Arial" w:hAnsi="Arial" w:cs="Arial"/>
          <w:color w:val="000000"/>
          <w:u w:color="000000"/>
          <w:lang w:eastAsia="en-ZA"/>
        </w:rPr>
        <w:tab/>
      </w:r>
      <w:r w:rsidR="005A2AA3" w:rsidRPr="00E20779">
        <w:rPr>
          <w:rFonts w:ascii="Arial" w:hAnsi="Arial"/>
        </w:rPr>
        <w:t>The particulars of claim continues with the allegations that Motsepe is approximately 33.2 months in arrears in an amount in excess of R500 000,00. As of 19 May 2021 the defendant is, apparently, indebted to Absa in the sum of approximately R1 100 000,00.</w:t>
      </w:r>
    </w:p>
    <w:p w:rsidR="002B1FF0" w:rsidRDefault="002B1FF0">
      <w:pPr>
        <w:pStyle w:val="ListParagraph"/>
        <w:tabs>
          <w:tab w:val="left" w:pos="709"/>
        </w:tabs>
        <w:spacing w:after="0" w:line="360" w:lineRule="auto"/>
        <w:ind w:left="709" w:hanging="709"/>
        <w:jc w:val="both"/>
        <w:rPr>
          <w:rFonts w:ascii="Arial" w:eastAsia="Arial" w:hAnsi="Arial" w:cs="Arial"/>
          <w:sz w:val="24"/>
          <w:szCs w:val="24"/>
        </w:rPr>
      </w:pPr>
    </w:p>
    <w:p w:rsidR="002B1FF0" w:rsidRPr="00E20779" w:rsidRDefault="00E20779" w:rsidP="00E20779">
      <w:pPr>
        <w:spacing w:line="360" w:lineRule="auto"/>
        <w:ind w:left="720" w:hanging="720"/>
        <w:jc w:val="both"/>
        <w:rPr>
          <w:rFonts w:ascii="Arial" w:eastAsia="Arial" w:hAnsi="Arial" w:cs="Arial"/>
        </w:rPr>
      </w:pPr>
      <w:r>
        <w:rPr>
          <w:rFonts w:ascii="Arial" w:eastAsia="Arial" w:hAnsi="Arial" w:cs="Arial"/>
          <w:color w:val="000000"/>
          <w:u w:color="000000"/>
          <w:lang w:eastAsia="en-ZA"/>
        </w:rPr>
        <w:t>6.</w:t>
      </w:r>
      <w:r>
        <w:rPr>
          <w:rFonts w:ascii="Arial" w:eastAsia="Arial" w:hAnsi="Arial" w:cs="Arial"/>
          <w:color w:val="000000"/>
          <w:u w:color="000000"/>
          <w:lang w:eastAsia="en-ZA"/>
        </w:rPr>
        <w:tab/>
      </w:r>
      <w:r w:rsidR="005A2AA3" w:rsidRPr="00E20779">
        <w:rPr>
          <w:rFonts w:ascii="Arial" w:hAnsi="Arial"/>
        </w:rPr>
        <w:t xml:space="preserve">Motsepe has filed a plea in which he mostly denies the allegations, although the mortgage bond is admitted. </w:t>
      </w:r>
    </w:p>
    <w:p w:rsidR="002B1FF0" w:rsidRDefault="002B1FF0">
      <w:pPr>
        <w:pStyle w:val="ListParagraph"/>
        <w:spacing w:after="0" w:line="360" w:lineRule="auto"/>
        <w:ind w:left="0"/>
        <w:jc w:val="both"/>
        <w:rPr>
          <w:rFonts w:ascii="Arial" w:eastAsia="Arial" w:hAnsi="Arial" w:cs="Arial"/>
          <w:sz w:val="24"/>
          <w:szCs w:val="24"/>
        </w:rPr>
      </w:pPr>
    </w:p>
    <w:p w:rsidR="002B1FF0" w:rsidRPr="00E20779" w:rsidRDefault="00E20779" w:rsidP="00E20779">
      <w:pPr>
        <w:spacing w:line="360" w:lineRule="auto"/>
        <w:ind w:left="720" w:hanging="720"/>
        <w:jc w:val="both"/>
        <w:rPr>
          <w:rFonts w:ascii="Arial" w:eastAsia="Arial" w:hAnsi="Arial" w:cs="Arial"/>
        </w:rPr>
      </w:pPr>
      <w:r>
        <w:rPr>
          <w:rFonts w:ascii="Arial" w:eastAsia="Arial" w:hAnsi="Arial" w:cs="Arial"/>
          <w:color w:val="000000"/>
          <w:u w:color="000000"/>
          <w:lang w:eastAsia="en-ZA"/>
        </w:rPr>
        <w:t>7.</w:t>
      </w:r>
      <w:r>
        <w:rPr>
          <w:rFonts w:ascii="Arial" w:eastAsia="Arial" w:hAnsi="Arial" w:cs="Arial"/>
          <w:color w:val="000000"/>
          <w:u w:color="000000"/>
          <w:lang w:eastAsia="en-ZA"/>
        </w:rPr>
        <w:tab/>
      </w:r>
      <w:r w:rsidR="005A2AA3" w:rsidRPr="00E20779">
        <w:rPr>
          <w:rFonts w:ascii="Arial" w:hAnsi="Arial"/>
        </w:rPr>
        <w:t>Absa also seeks an order to issue a warrant of execution against the immovable property and that it be sold without a reserve price.</w:t>
      </w:r>
    </w:p>
    <w:p w:rsidR="002B1FF0" w:rsidRDefault="002B1FF0">
      <w:pPr>
        <w:pStyle w:val="ListParagraph"/>
        <w:spacing w:after="0" w:line="360" w:lineRule="auto"/>
        <w:ind w:left="0"/>
        <w:jc w:val="both"/>
        <w:rPr>
          <w:rFonts w:ascii="Arial" w:eastAsia="Arial" w:hAnsi="Arial" w:cs="Arial"/>
          <w:sz w:val="24"/>
          <w:szCs w:val="24"/>
        </w:rPr>
      </w:pPr>
    </w:p>
    <w:p w:rsidR="002B1FF0" w:rsidRPr="00E20779" w:rsidRDefault="00E20779" w:rsidP="00E20779">
      <w:pPr>
        <w:spacing w:line="360" w:lineRule="auto"/>
        <w:ind w:left="720" w:hanging="720"/>
        <w:jc w:val="both"/>
        <w:rPr>
          <w:rFonts w:ascii="Arial" w:eastAsia="Arial" w:hAnsi="Arial" w:cs="Arial"/>
        </w:rPr>
      </w:pPr>
      <w:r>
        <w:rPr>
          <w:rFonts w:ascii="Arial" w:eastAsia="Arial" w:hAnsi="Arial" w:cs="Arial"/>
          <w:color w:val="000000"/>
          <w:u w:color="000000"/>
          <w:lang w:eastAsia="en-ZA"/>
        </w:rPr>
        <w:lastRenderedPageBreak/>
        <w:t>8.</w:t>
      </w:r>
      <w:r>
        <w:rPr>
          <w:rFonts w:ascii="Arial" w:eastAsia="Arial" w:hAnsi="Arial" w:cs="Arial"/>
          <w:color w:val="000000"/>
          <w:u w:color="000000"/>
          <w:lang w:eastAsia="en-ZA"/>
        </w:rPr>
        <w:tab/>
      </w:r>
      <w:r w:rsidR="005A2AA3" w:rsidRPr="00E20779">
        <w:rPr>
          <w:rFonts w:ascii="Arial" w:hAnsi="Arial"/>
        </w:rPr>
        <w:t>An affidavit by Ms Malan is filed in support of the summary judgment application. She is, according to her affidavit, a ‘senior legal counsel in the legal department’.</w:t>
      </w:r>
    </w:p>
    <w:p w:rsidR="002B1FF0" w:rsidRDefault="002B1FF0">
      <w:pPr>
        <w:pStyle w:val="ListParagraph"/>
        <w:spacing w:after="0" w:line="360" w:lineRule="auto"/>
        <w:jc w:val="both"/>
        <w:rPr>
          <w:rFonts w:ascii="Arial" w:eastAsia="Arial" w:hAnsi="Arial" w:cs="Arial"/>
          <w:sz w:val="24"/>
          <w:szCs w:val="24"/>
        </w:rPr>
      </w:pPr>
    </w:p>
    <w:p w:rsidR="002B1FF0" w:rsidRPr="00E20779" w:rsidRDefault="00E20779" w:rsidP="00E20779">
      <w:pPr>
        <w:spacing w:line="360" w:lineRule="auto"/>
        <w:ind w:left="720" w:hanging="720"/>
        <w:jc w:val="both"/>
        <w:rPr>
          <w:rFonts w:ascii="Arial" w:eastAsia="Arial" w:hAnsi="Arial" w:cs="Arial"/>
        </w:rPr>
      </w:pPr>
      <w:r>
        <w:rPr>
          <w:rFonts w:ascii="Arial" w:eastAsia="Arial" w:hAnsi="Arial" w:cs="Arial"/>
          <w:color w:val="000000"/>
          <w:u w:color="000000"/>
          <w:lang w:eastAsia="en-ZA"/>
        </w:rPr>
        <w:t>9.</w:t>
      </w:r>
      <w:r>
        <w:rPr>
          <w:rFonts w:ascii="Arial" w:eastAsia="Arial" w:hAnsi="Arial" w:cs="Arial"/>
          <w:color w:val="000000"/>
          <w:u w:color="000000"/>
          <w:lang w:eastAsia="en-ZA"/>
        </w:rPr>
        <w:tab/>
      </w:r>
      <w:r w:rsidR="005A2AA3" w:rsidRPr="00E20779">
        <w:rPr>
          <w:rFonts w:ascii="Arial" w:hAnsi="Arial"/>
        </w:rPr>
        <w:t>She contends the following in her founding affidavit:</w:t>
      </w:r>
    </w:p>
    <w:p w:rsidR="002B1FF0" w:rsidRDefault="005A2AA3">
      <w:pPr>
        <w:pStyle w:val="BodyA"/>
        <w:spacing w:after="0" w:line="360" w:lineRule="auto"/>
        <w:ind w:left="709" w:firstLine="11"/>
        <w:jc w:val="both"/>
        <w:rPr>
          <w:rFonts w:ascii="Arial" w:eastAsia="Arial" w:hAnsi="Arial" w:cs="Arial"/>
        </w:rPr>
      </w:pPr>
      <w:bookmarkStart w:id="1" w:name="bookmark"/>
      <w:bookmarkEnd w:id="1"/>
      <w:r>
        <w:rPr>
          <w:rFonts w:ascii="Arial" w:hAnsi="Arial"/>
          <w:b/>
          <w:bCs/>
        </w:rPr>
        <w:t>‘</w:t>
      </w:r>
      <w:r>
        <w:rPr>
          <w:rFonts w:ascii="Arial" w:hAnsi="Arial"/>
        </w:rPr>
        <w:t>I have perused all documents filed in the legal proceedings between the applicant and the respondent, account statement, the mortgage bonds, legal notices, as well as the account history which shows the full up to date history of the account since the credit agreement was entered into, such as the outstanding balance, interest, costs, and the respondent’s full payment history, as well the current outstanding balances in the amount and the years.</w:t>
      </w:r>
    </w:p>
    <w:p w:rsidR="002B1FF0" w:rsidRDefault="002B1FF0">
      <w:pPr>
        <w:pStyle w:val="BodyA"/>
        <w:spacing w:after="0" w:line="360" w:lineRule="auto"/>
        <w:jc w:val="both"/>
        <w:rPr>
          <w:rFonts w:ascii="Arial" w:eastAsia="Arial" w:hAnsi="Arial" w:cs="Arial"/>
        </w:rPr>
      </w:pPr>
    </w:p>
    <w:p w:rsidR="002B1FF0" w:rsidRDefault="005A2AA3">
      <w:pPr>
        <w:pStyle w:val="BodyA"/>
        <w:spacing w:after="0" w:line="360" w:lineRule="auto"/>
        <w:ind w:left="709"/>
        <w:jc w:val="both"/>
        <w:rPr>
          <w:rFonts w:ascii="Arial" w:eastAsia="Arial" w:hAnsi="Arial" w:cs="Arial"/>
        </w:rPr>
      </w:pPr>
      <w:r>
        <w:rPr>
          <w:rFonts w:ascii="Arial" w:hAnsi="Arial"/>
        </w:rPr>
        <w:t>On perusal of the documents, electronic account records and data available to me, I have acquainted myself fully with the facts in relation therein contained and I am able to swear positively to the facts contained in this affidavit’.</w:t>
      </w:r>
    </w:p>
    <w:p w:rsidR="002B1FF0" w:rsidRDefault="002B1FF0">
      <w:pPr>
        <w:pStyle w:val="BodyA"/>
        <w:spacing w:after="0" w:line="360" w:lineRule="auto"/>
        <w:jc w:val="both"/>
        <w:rPr>
          <w:rFonts w:ascii="Arial" w:eastAsia="Arial" w:hAnsi="Arial" w:cs="Arial"/>
        </w:rPr>
      </w:pPr>
    </w:p>
    <w:p w:rsidR="002B1FF0" w:rsidRPr="00E20779" w:rsidRDefault="00E20779" w:rsidP="00E20779">
      <w:pPr>
        <w:spacing w:line="360" w:lineRule="auto"/>
        <w:ind w:left="720" w:hanging="720"/>
        <w:jc w:val="both"/>
        <w:rPr>
          <w:rFonts w:ascii="Arial" w:eastAsia="Arial" w:hAnsi="Arial" w:cs="Arial"/>
        </w:rPr>
      </w:pPr>
      <w:r>
        <w:rPr>
          <w:rFonts w:ascii="Arial" w:eastAsia="Arial" w:hAnsi="Arial" w:cs="Arial"/>
          <w:color w:val="000000"/>
          <w:u w:color="000000"/>
          <w:lang w:eastAsia="en-ZA"/>
        </w:rPr>
        <w:t>10.</w:t>
      </w:r>
      <w:r>
        <w:rPr>
          <w:rFonts w:ascii="Arial" w:eastAsia="Arial" w:hAnsi="Arial" w:cs="Arial"/>
          <w:color w:val="000000"/>
          <w:u w:color="000000"/>
          <w:lang w:eastAsia="en-ZA"/>
        </w:rPr>
        <w:tab/>
      </w:r>
      <w:r w:rsidR="005A2AA3" w:rsidRPr="00E20779">
        <w:rPr>
          <w:rFonts w:ascii="Arial" w:hAnsi="Arial"/>
        </w:rPr>
        <w:t xml:space="preserve">Her affidavit continues by, in essence, summarising the particulars of claim. </w:t>
      </w:r>
    </w:p>
    <w:p w:rsidR="002B1FF0" w:rsidRDefault="002B1FF0">
      <w:pPr>
        <w:pStyle w:val="ListParagraph"/>
        <w:spacing w:after="0" w:line="360" w:lineRule="auto"/>
        <w:ind w:left="0"/>
        <w:jc w:val="both"/>
        <w:rPr>
          <w:rFonts w:ascii="Arial" w:eastAsia="Arial" w:hAnsi="Arial" w:cs="Arial"/>
          <w:sz w:val="24"/>
          <w:szCs w:val="24"/>
        </w:rPr>
      </w:pPr>
    </w:p>
    <w:p w:rsidR="002B1FF0" w:rsidRPr="00E20779" w:rsidRDefault="00E20779" w:rsidP="00E20779">
      <w:pPr>
        <w:spacing w:line="360" w:lineRule="auto"/>
        <w:ind w:left="720" w:hanging="720"/>
        <w:jc w:val="both"/>
        <w:rPr>
          <w:rFonts w:ascii="Arial" w:eastAsia="Arial" w:hAnsi="Arial" w:cs="Arial"/>
        </w:rPr>
      </w:pPr>
      <w:r>
        <w:rPr>
          <w:rFonts w:ascii="Arial" w:eastAsia="Arial" w:hAnsi="Arial" w:cs="Arial"/>
          <w:color w:val="000000"/>
          <w:u w:color="000000"/>
          <w:lang w:eastAsia="en-ZA"/>
        </w:rPr>
        <w:t>11.</w:t>
      </w:r>
      <w:r>
        <w:rPr>
          <w:rFonts w:ascii="Arial" w:eastAsia="Arial" w:hAnsi="Arial" w:cs="Arial"/>
          <w:color w:val="000000"/>
          <w:u w:color="000000"/>
          <w:lang w:eastAsia="en-ZA"/>
        </w:rPr>
        <w:tab/>
      </w:r>
      <w:r w:rsidR="005A2AA3" w:rsidRPr="00E20779">
        <w:rPr>
          <w:rFonts w:ascii="Arial" w:hAnsi="Arial"/>
        </w:rPr>
        <w:t>She continues in paragraph 10 of her affidavit to state:</w:t>
      </w:r>
    </w:p>
    <w:p w:rsidR="002B1FF0" w:rsidRDefault="005A2AA3">
      <w:pPr>
        <w:pStyle w:val="ListParagraph"/>
        <w:spacing w:after="0" w:line="360" w:lineRule="auto"/>
        <w:ind w:left="709"/>
        <w:jc w:val="both"/>
        <w:rPr>
          <w:rFonts w:ascii="Arial" w:eastAsia="Arial" w:hAnsi="Arial" w:cs="Arial"/>
        </w:rPr>
      </w:pPr>
      <w:r>
        <w:rPr>
          <w:rFonts w:ascii="Arial" w:hAnsi="Arial"/>
          <w:i/>
          <w:iCs/>
        </w:rPr>
        <w:t>‘</w:t>
      </w:r>
      <w:r>
        <w:rPr>
          <w:rFonts w:ascii="Arial" w:hAnsi="Arial"/>
        </w:rPr>
        <w:t>I respectfully submit that the particulars of claim disclose a valid cause of action and I herewith verify the facts, the cause of action, as well as the amount claimed against the respondent.’</w:t>
      </w:r>
    </w:p>
    <w:p w:rsidR="002B1FF0" w:rsidRDefault="002B1FF0">
      <w:pPr>
        <w:pStyle w:val="ListParagraph"/>
        <w:spacing w:after="0" w:line="360" w:lineRule="auto"/>
        <w:ind w:left="0"/>
        <w:jc w:val="both"/>
        <w:rPr>
          <w:rFonts w:ascii="Arial" w:eastAsia="Arial" w:hAnsi="Arial" w:cs="Arial"/>
        </w:rPr>
      </w:pPr>
    </w:p>
    <w:p w:rsidR="002B1FF0" w:rsidRPr="00E20779" w:rsidRDefault="00E20779" w:rsidP="00E20779">
      <w:pPr>
        <w:spacing w:line="360" w:lineRule="auto"/>
        <w:ind w:left="720" w:hanging="720"/>
        <w:jc w:val="both"/>
        <w:rPr>
          <w:rFonts w:ascii="Arial" w:eastAsia="Arial" w:hAnsi="Arial" w:cs="Arial"/>
        </w:rPr>
      </w:pPr>
      <w:r>
        <w:rPr>
          <w:rFonts w:ascii="Arial" w:eastAsia="Arial" w:hAnsi="Arial" w:cs="Arial"/>
          <w:color w:val="000000"/>
          <w:u w:color="000000"/>
          <w:lang w:eastAsia="en-ZA"/>
        </w:rPr>
        <w:t>12.</w:t>
      </w:r>
      <w:r>
        <w:rPr>
          <w:rFonts w:ascii="Arial" w:eastAsia="Arial" w:hAnsi="Arial" w:cs="Arial"/>
          <w:color w:val="000000"/>
          <w:u w:color="000000"/>
          <w:lang w:eastAsia="en-ZA"/>
        </w:rPr>
        <w:tab/>
      </w:r>
      <w:r w:rsidR="005A2AA3" w:rsidRPr="00E20779">
        <w:rPr>
          <w:rFonts w:ascii="Arial" w:hAnsi="Arial"/>
        </w:rPr>
        <w:t xml:space="preserve">The answering affidavit for the summary judgment application raises a number of defences. </w:t>
      </w:r>
    </w:p>
    <w:p w:rsidR="002B1FF0" w:rsidRDefault="002B1FF0">
      <w:pPr>
        <w:pStyle w:val="ListParagraph"/>
        <w:spacing w:after="0" w:line="360" w:lineRule="auto"/>
        <w:ind w:left="0"/>
        <w:jc w:val="both"/>
        <w:rPr>
          <w:rFonts w:ascii="Arial" w:eastAsia="Arial" w:hAnsi="Arial" w:cs="Arial"/>
          <w:sz w:val="24"/>
          <w:szCs w:val="24"/>
        </w:rPr>
      </w:pPr>
    </w:p>
    <w:p w:rsidR="002B1FF0" w:rsidRPr="00E20779" w:rsidRDefault="00E20779" w:rsidP="00E20779">
      <w:pPr>
        <w:spacing w:line="360" w:lineRule="auto"/>
        <w:ind w:left="720" w:hanging="720"/>
        <w:jc w:val="both"/>
        <w:rPr>
          <w:rFonts w:ascii="Arial" w:eastAsia="Arial" w:hAnsi="Arial" w:cs="Arial"/>
        </w:rPr>
      </w:pPr>
      <w:r>
        <w:rPr>
          <w:rFonts w:ascii="Arial" w:eastAsia="Arial" w:hAnsi="Arial" w:cs="Arial"/>
          <w:color w:val="000000"/>
          <w:u w:color="000000"/>
          <w:lang w:eastAsia="en-ZA"/>
        </w:rPr>
        <w:t>13.</w:t>
      </w:r>
      <w:r>
        <w:rPr>
          <w:rFonts w:ascii="Arial" w:eastAsia="Arial" w:hAnsi="Arial" w:cs="Arial"/>
          <w:color w:val="000000"/>
          <w:u w:color="000000"/>
          <w:lang w:eastAsia="en-ZA"/>
        </w:rPr>
        <w:tab/>
      </w:r>
      <w:r w:rsidR="005A2AA3" w:rsidRPr="00E20779">
        <w:rPr>
          <w:rFonts w:ascii="Arial" w:hAnsi="Arial"/>
        </w:rPr>
        <w:t xml:space="preserve">The defendant raises two points </w:t>
      </w:r>
      <w:r w:rsidR="005A2AA3" w:rsidRPr="00E20779">
        <w:rPr>
          <w:rFonts w:ascii="Arial" w:hAnsi="Arial"/>
          <w:i/>
          <w:iCs/>
        </w:rPr>
        <w:t>in limine</w:t>
      </w:r>
      <w:r w:rsidR="005A2AA3" w:rsidRPr="00E20779">
        <w:rPr>
          <w:rFonts w:ascii="Arial" w:hAnsi="Arial"/>
        </w:rPr>
        <w:t xml:space="preserve">. It states that the application is fatally flawed for non-compliance with rule 32(2)(b) in that the application is not supported by an affidavit. This is because the affidavit of Ms Malan had been commissioned by a certain Mr van Schalkwyk of the firm Tim du Toit &amp; Co. Inc. The evidence is that Tim du Toit &amp; Co. is one of the firms of attorneys that is on Absa’s panel of attorneys and that the provisions of regulation 7(1) of the Relations governing the Administering of Oath or Affirmation published under GN R1258 in GG3619 of 21 July 1972, as amended, and promulgated in terms of section 10 of the Justices of the Peace and Commissioner of Oaths Act 60 </w:t>
      </w:r>
      <w:r w:rsidR="005A2AA3" w:rsidRPr="00E20779">
        <w:rPr>
          <w:rFonts w:ascii="Arial" w:hAnsi="Arial"/>
        </w:rPr>
        <w:lastRenderedPageBreak/>
        <w:t>of 1963 read with section 7 of the act would prohibit a person from the firm of Tim du Toit to be a commissioner of oaths for Absa.</w:t>
      </w:r>
    </w:p>
    <w:p w:rsidR="002B1FF0" w:rsidRDefault="002B1FF0">
      <w:pPr>
        <w:pStyle w:val="ListParagraph"/>
        <w:spacing w:after="0" w:line="360" w:lineRule="auto"/>
        <w:ind w:left="0"/>
        <w:jc w:val="both"/>
        <w:rPr>
          <w:rFonts w:ascii="Arial" w:eastAsia="Arial" w:hAnsi="Arial" w:cs="Arial"/>
          <w:sz w:val="24"/>
          <w:szCs w:val="24"/>
        </w:rPr>
      </w:pPr>
    </w:p>
    <w:p w:rsidR="002B1FF0" w:rsidRPr="00E20779" w:rsidRDefault="00E20779" w:rsidP="00E20779">
      <w:pPr>
        <w:spacing w:line="360" w:lineRule="auto"/>
        <w:ind w:left="720" w:hanging="720"/>
        <w:jc w:val="both"/>
        <w:rPr>
          <w:rFonts w:ascii="Arial" w:eastAsia="Arial" w:hAnsi="Arial" w:cs="Arial"/>
        </w:rPr>
      </w:pPr>
      <w:r>
        <w:rPr>
          <w:rFonts w:ascii="Arial" w:eastAsia="Arial" w:hAnsi="Arial" w:cs="Arial"/>
          <w:color w:val="000000"/>
          <w:u w:color="000000"/>
          <w:lang w:eastAsia="en-ZA"/>
        </w:rPr>
        <w:t>14.</w:t>
      </w:r>
      <w:r>
        <w:rPr>
          <w:rFonts w:ascii="Arial" w:eastAsia="Arial" w:hAnsi="Arial" w:cs="Arial"/>
          <w:color w:val="000000"/>
          <w:u w:color="000000"/>
          <w:lang w:eastAsia="en-ZA"/>
        </w:rPr>
        <w:tab/>
      </w:r>
      <w:r w:rsidR="005A2AA3" w:rsidRPr="00E20779">
        <w:rPr>
          <w:rFonts w:ascii="Arial" w:hAnsi="Arial"/>
        </w:rPr>
        <w:t>Absa denied that this affidavit was commissioned contrary to the aforesaid legislation. This is because the firm dealing with this particular matter is Strauss Daly and the submission was that Tim du Toit has no particular interest in this litigation. I make no finding in this regard and, for the purposes of this judgment, I will accept that the affidavit was properly commissioned.</w:t>
      </w:r>
    </w:p>
    <w:p w:rsidR="002B1FF0" w:rsidRDefault="002B1FF0">
      <w:pPr>
        <w:pStyle w:val="ListParagraph"/>
        <w:spacing w:after="0" w:line="360" w:lineRule="auto"/>
        <w:ind w:left="0"/>
        <w:jc w:val="both"/>
        <w:rPr>
          <w:rFonts w:ascii="Arial" w:eastAsia="Arial" w:hAnsi="Arial" w:cs="Arial"/>
          <w:sz w:val="24"/>
          <w:szCs w:val="24"/>
        </w:rPr>
      </w:pPr>
    </w:p>
    <w:p w:rsidR="002B1FF0" w:rsidRPr="00E20779" w:rsidRDefault="00E20779" w:rsidP="00E20779">
      <w:pPr>
        <w:spacing w:line="360" w:lineRule="auto"/>
        <w:ind w:left="720" w:hanging="720"/>
        <w:jc w:val="both"/>
        <w:rPr>
          <w:rFonts w:ascii="Arial" w:eastAsia="Arial" w:hAnsi="Arial" w:cs="Arial"/>
        </w:rPr>
      </w:pPr>
      <w:r>
        <w:rPr>
          <w:rFonts w:ascii="Arial" w:eastAsia="Arial" w:hAnsi="Arial" w:cs="Arial"/>
          <w:color w:val="000000"/>
          <w:u w:color="000000"/>
          <w:lang w:eastAsia="en-ZA"/>
        </w:rPr>
        <w:t>15.</w:t>
      </w:r>
      <w:r>
        <w:rPr>
          <w:rFonts w:ascii="Arial" w:eastAsia="Arial" w:hAnsi="Arial" w:cs="Arial"/>
          <w:color w:val="000000"/>
          <w:u w:color="000000"/>
          <w:lang w:eastAsia="en-ZA"/>
        </w:rPr>
        <w:tab/>
      </w:r>
      <w:r w:rsidR="005A2AA3" w:rsidRPr="00E20779">
        <w:rPr>
          <w:rFonts w:ascii="Arial" w:hAnsi="Arial"/>
        </w:rPr>
        <w:t xml:space="preserve">The second point </w:t>
      </w:r>
      <w:r w:rsidR="005A2AA3" w:rsidRPr="00E20779">
        <w:rPr>
          <w:rFonts w:ascii="Arial" w:hAnsi="Arial"/>
          <w:i/>
          <w:iCs/>
        </w:rPr>
        <w:t>in limine</w:t>
      </w:r>
      <w:r w:rsidR="005A2AA3" w:rsidRPr="00E20779">
        <w:rPr>
          <w:rFonts w:ascii="Arial" w:hAnsi="Arial"/>
        </w:rPr>
        <w:t xml:space="preserve"> is that the affidavit ‘consists completely of hearsay evidence, which is inadmissible.’</w:t>
      </w:r>
    </w:p>
    <w:p w:rsidR="002B1FF0" w:rsidRDefault="002B1FF0">
      <w:pPr>
        <w:pStyle w:val="ListParagraph"/>
        <w:spacing w:after="0" w:line="360" w:lineRule="auto"/>
        <w:ind w:left="0"/>
        <w:jc w:val="both"/>
        <w:rPr>
          <w:rFonts w:ascii="Arial" w:eastAsia="Arial" w:hAnsi="Arial" w:cs="Arial"/>
          <w:sz w:val="24"/>
          <w:szCs w:val="24"/>
        </w:rPr>
      </w:pPr>
    </w:p>
    <w:p w:rsidR="002B1FF0" w:rsidRPr="00E20779" w:rsidRDefault="00E20779" w:rsidP="00E20779">
      <w:pPr>
        <w:spacing w:line="360" w:lineRule="auto"/>
        <w:ind w:left="720" w:hanging="720"/>
        <w:jc w:val="both"/>
        <w:rPr>
          <w:rFonts w:ascii="Arial" w:eastAsia="Arial" w:hAnsi="Arial" w:cs="Arial"/>
        </w:rPr>
      </w:pPr>
      <w:r>
        <w:rPr>
          <w:rFonts w:ascii="Arial" w:eastAsia="Arial" w:hAnsi="Arial" w:cs="Arial"/>
          <w:color w:val="000000"/>
          <w:u w:color="000000"/>
          <w:lang w:eastAsia="en-ZA"/>
        </w:rPr>
        <w:t>16.</w:t>
      </w:r>
      <w:r>
        <w:rPr>
          <w:rFonts w:ascii="Arial" w:eastAsia="Arial" w:hAnsi="Arial" w:cs="Arial"/>
          <w:color w:val="000000"/>
          <w:u w:color="000000"/>
          <w:lang w:eastAsia="en-ZA"/>
        </w:rPr>
        <w:tab/>
      </w:r>
      <w:r w:rsidR="005A2AA3" w:rsidRPr="00E20779">
        <w:rPr>
          <w:rFonts w:ascii="Arial" w:hAnsi="Arial"/>
        </w:rPr>
        <w:t>The basis for this is contained in paragraph 17 of the answering affidavit. It states this:</w:t>
      </w:r>
    </w:p>
    <w:p w:rsidR="002B1FF0" w:rsidRDefault="005A2AA3">
      <w:pPr>
        <w:pStyle w:val="ListParagraph"/>
        <w:spacing w:after="0" w:line="360" w:lineRule="auto"/>
        <w:ind w:left="709"/>
        <w:jc w:val="both"/>
        <w:rPr>
          <w:rFonts w:ascii="Arial" w:eastAsia="Arial" w:hAnsi="Arial" w:cs="Arial"/>
        </w:rPr>
      </w:pPr>
      <w:r>
        <w:rPr>
          <w:rFonts w:ascii="Arial" w:hAnsi="Arial"/>
        </w:rPr>
        <w:t>‘No confirmatory affidavits have been provided from third parties responsible for compiling or uploading the account history on plaintiff’s computer system, and importantly, Ms Malan did not state that she was authorised to certify and had executed a certificate in terms of section 15(4) of the Electronic Communications and Transactions Act 25 of 2002 (‘ECTA’), certifying the facts in the Plaintiff’s record to be correct and thus that she is able, on the basis thereof, to swear positively that the plaintiff will – having regard to the provisions of section 15(4) of ECTA – be able to prove the relevant facts at the trial of the action by producing the electronic record or an extract thereof.’</w:t>
      </w:r>
    </w:p>
    <w:p w:rsidR="002B1FF0" w:rsidRDefault="002B1FF0">
      <w:pPr>
        <w:pStyle w:val="ListParagraph"/>
        <w:spacing w:after="0" w:line="360" w:lineRule="auto"/>
        <w:ind w:left="0"/>
        <w:jc w:val="both"/>
        <w:rPr>
          <w:rFonts w:ascii="Arial" w:eastAsia="Arial" w:hAnsi="Arial" w:cs="Arial"/>
        </w:rPr>
      </w:pPr>
    </w:p>
    <w:p w:rsidR="002B1FF0" w:rsidRPr="00E20779" w:rsidRDefault="00E20779" w:rsidP="00E20779">
      <w:pPr>
        <w:spacing w:line="360" w:lineRule="auto"/>
        <w:ind w:left="720" w:hanging="720"/>
        <w:jc w:val="both"/>
        <w:rPr>
          <w:rFonts w:ascii="Arial" w:eastAsia="Arial" w:hAnsi="Arial" w:cs="Arial"/>
        </w:rPr>
      </w:pPr>
      <w:r>
        <w:rPr>
          <w:rFonts w:ascii="Arial" w:eastAsia="Arial" w:hAnsi="Arial" w:cs="Arial"/>
          <w:color w:val="000000"/>
          <w:u w:color="000000"/>
          <w:lang w:eastAsia="en-ZA"/>
        </w:rPr>
        <w:t>17.</w:t>
      </w:r>
      <w:r>
        <w:rPr>
          <w:rFonts w:ascii="Arial" w:eastAsia="Arial" w:hAnsi="Arial" w:cs="Arial"/>
          <w:color w:val="000000"/>
          <w:u w:color="000000"/>
          <w:lang w:eastAsia="en-ZA"/>
        </w:rPr>
        <w:tab/>
      </w:r>
      <w:r w:rsidR="005A2AA3" w:rsidRPr="00E20779">
        <w:rPr>
          <w:rFonts w:ascii="Arial" w:hAnsi="Arial"/>
        </w:rPr>
        <w:t>There is, in my view, certainly some force in this point. It is clear from the founding affidavit that Ms Malan merely had regard, on her version, to the records without stating why the contents of those records are within her personal knowledge.</w:t>
      </w:r>
    </w:p>
    <w:p w:rsidR="002B1FF0" w:rsidRDefault="002B1FF0">
      <w:pPr>
        <w:pStyle w:val="ListParagraph"/>
        <w:spacing w:after="0" w:line="360" w:lineRule="auto"/>
        <w:ind w:left="0"/>
        <w:jc w:val="both"/>
        <w:rPr>
          <w:rFonts w:ascii="Arial" w:eastAsia="Arial" w:hAnsi="Arial" w:cs="Arial"/>
          <w:sz w:val="24"/>
          <w:szCs w:val="24"/>
        </w:rPr>
      </w:pPr>
    </w:p>
    <w:p w:rsidR="002B1FF0" w:rsidRPr="00E20779" w:rsidRDefault="00E20779" w:rsidP="00E20779">
      <w:pPr>
        <w:spacing w:line="360" w:lineRule="auto"/>
        <w:ind w:left="720" w:hanging="720"/>
        <w:jc w:val="both"/>
        <w:rPr>
          <w:rFonts w:ascii="Arial" w:eastAsia="Arial" w:hAnsi="Arial" w:cs="Arial"/>
        </w:rPr>
      </w:pPr>
      <w:r>
        <w:rPr>
          <w:rFonts w:ascii="Arial" w:eastAsia="Arial" w:hAnsi="Arial" w:cs="Arial"/>
          <w:color w:val="000000"/>
          <w:u w:color="000000"/>
          <w:lang w:eastAsia="en-ZA"/>
        </w:rPr>
        <w:t>18.</w:t>
      </w:r>
      <w:r>
        <w:rPr>
          <w:rFonts w:ascii="Arial" w:eastAsia="Arial" w:hAnsi="Arial" w:cs="Arial"/>
          <w:color w:val="000000"/>
          <w:u w:color="000000"/>
          <w:lang w:eastAsia="en-ZA"/>
        </w:rPr>
        <w:tab/>
      </w:r>
      <w:r w:rsidR="005A2AA3" w:rsidRPr="00E20779">
        <w:rPr>
          <w:rFonts w:ascii="Arial" w:hAnsi="Arial"/>
        </w:rPr>
        <w:t xml:space="preserve">Absa attempted to cure this difficulty and on 2 August 2022 filed a certificate in terms of section 15(4) of the ECTA in the name of a certain Anton Coetzee. He confirms that in his capacity as a business analyst with Absa he certifies that the ‘detailed sheet and statement of account annexed to the plaintiff’s particulars of claim’ are true and correct and that same are printouts of data </w:t>
      </w:r>
      <w:r w:rsidR="005A2AA3" w:rsidRPr="00E20779">
        <w:rPr>
          <w:rFonts w:ascii="Arial" w:hAnsi="Arial"/>
        </w:rPr>
        <w:lastRenderedPageBreak/>
        <w:t xml:space="preserve">messages utilised by the plaintiff in the ordinary course of business and litigation. But says the defendant in its heads of argument, the certificate is of no avail because it is impermissible in that no further evidence is permitted to presented by the plaintiff. Reliance is placed on </w:t>
      </w:r>
      <w:r w:rsidR="005A2AA3" w:rsidRPr="00E20779">
        <w:rPr>
          <w:rFonts w:ascii="Arial" w:hAnsi="Arial"/>
          <w:i/>
          <w:iCs/>
        </w:rPr>
        <w:t>Rossouw and another v Firstrand Bank Ltd</w:t>
      </w:r>
      <w:r w:rsidR="005A2AA3">
        <w:rPr>
          <w:rStyle w:val="FootnoteReference"/>
          <w:rFonts w:ascii="Arial" w:eastAsia="Arial" w:hAnsi="Arial" w:cs="Arial"/>
        </w:rPr>
        <w:footnoteReference w:id="2"/>
      </w:r>
      <w:r w:rsidR="005A2AA3" w:rsidRPr="00E20779">
        <w:rPr>
          <w:rFonts w:ascii="Arial" w:hAnsi="Arial"/>
          <w:i/>
          <w:iCs/>
        </w:rPr>
        <w:t xml:space="preserve">. </w:t>
      </w:r>
    </w:p>
    <w:p w:rsidR="002B1FF0" w:rsidRDefault="002B1FF0">
      <w:pPr>
        <w:pStyle w:val="ListParagraph"/>
        <w:spacing w:after="0" w:line="360" w:lineRule="auto"/>
        <w:jc w:val="both"/>
        <w:rPr>
          <w:rFonts w:ascii="Arial" w:eastAsia="Arial" w:hAnsi="Arial" w:cs="Arial"/>
          <w:sz w:val="24"/>
          <w:szCs w:val="24"/>
        </w:rPr>
      </w:pPr>
    </w:p>
    <w:p w:rsidR="002B1FF0" w:rsidRPr="00E20779" w:rsidRDefault="00E20779" w:rsidP="00E20779">
      <w:pPr>
        <w:spacing w:line="360" w:lineRule="auto"/>
        <w:ind w:left="720" w:hanging="720"/>
        <w:jc w:val="both"/>
        <w:rPr>
          <w:rFonts w:ascii="Arial" w:eastAsia="Arial" w:hAnsi="Arial" w:cs="Arial"/>
        </w:rPr>
      </w:pPr>
      <w:r>
        <w:rPr>
          <w:rFonts w:ascii="Arial" w:eastAsia="Arial" w:hAnsi="Arial" w:cs="Arial"/>
          <w:color w:val="000000"/>
          <w:u w:color="000000"/>
          <w:lang w:eastAsia="en-ZA"/>
        </w:rPr>
        <w:t>19.</w:t>
      </w:r>
      <w:r>
        <w:rPr>
          <w:rFonts w:ascii="Arial" w:eastAsia="Arial" w:hAnsi="Arial" w:cs="Arial"/>
          <w:color w:val="000000"/>
          <w:u w:color="000000"/>
          <w:lang w:eastAsia="en-ZA"/>
        </w:rPr>
        <w:tab/>
      </w:r>
      <w:r w:rsidR="005A2AA3" w:rsidRPr="00E20779">
        <w:rPr>
          <w:rFonts w:ascii="Arial" w:hAnsi="Arial"/>
        </w:rPr>
        <w:t xml:space="preserve">Mr Ellis contended that the </w:t>
      </w:r>
      <w:r w:rsidR="005A2AA3" w:rsidRPr="00E20779">
        <w:rPr>
          <w:rFonts w:ascii="Arial" w:hAnsi="Arial"/>
          <w:i/>
          <w:iCs/>
          <w:lang w:val="nl-NL"/>
        </w:rPr>
        <w:t xml:space="preserve">Rossouw </w:t>
      </w:r>
      <w:r w:rsidR="005A2AA3" w:rsidRPr="00E20779">
        <w:rPr>
          <w:rFonts w:ascii="Arial" w:hAnsi="Arial"/>
        </w:rPr>
        <w:t>case is of no assistance because the certificate is not ‘evidence’ as it is simply there to confirm the amounts pleaded in the particulars of claim. That, to me, is quintessential the definition of evidence. In fact, section 15(4) says that the certificate is on its mere production admissible in evidence against any person as proof of the facts contained in such record, copy, printout or extract. Ironically, it is this very portion to which I have just referred upon which Mr Ellis relied in his submission in dealing with the further objection to the certificate; namely that it was not accompanied by a supporting affidavit. I need not decide this issue because, in my view, the certificate is, in fact, ‘evidence’ and should have been attached to the founding affidavit. Afterall, the evidence contained in the certificate is capable of being rebutted. The defendant had no such opportunity to do so in its answering affidavit.</w:t>
      </w:r>
    </w:p>
    <w:p w:rsidR="002B1FF0" w:rsidRDefault="002B1FF0">
      <w:pPr>
        <w:pStyle w:val="ListParagraph"/>
        <w:spacing w:after="0" w:line="360" w:lineRule="auto"/>
        <w:ind w:left="0"/>
        <w:jc w:val="both"/>
        <w:rPr>
          <w:rFonts w:ascii="Arial" w:eastAsia="Arial" w:hAnsi="Arial" w:cs="Arial"/>
          <w:sz w:val="24"/>
          <w:szCs w:val="24"/>
        </w:rPr>
      </w:pPr>
    </w:p>
    <w:p w:rsidR="002B1FF0" w:rsidRPr="00E20779" w:rsidRDefault="00E20779" w:rsidP="00E20779">
      <w:pPr>
        <w:spacing w:line="360" w:lineRule="auto"/>
        <w:ind w:left="720" w:hanging="720"/>
        <w:jc w:val="both"/>
        <w:rPr>
          <w:rFonts w:ascii="Arial" w:eastAsia="Arial" w:hAnsi="Arial" w:cs="Arial"/>
        </w:rPr>
      </w:pPr>
      <w:r>
        <w:rPr>
          <w:rFonts w:ascii="Arial" w:eastAsia="Arial" w:hAnsi="Arial" w:cs="Arial"/>
          <w:color w:val="000000"/>
          <w:u w:color="000000"/>
          <w:lang w:eastAsia="en-ZA"/>
        </w:rPr>
        <w:t>20.</w:t>
      </w:r>
      <w:r>
        <w:rPr>
          <w:rFonts w:ascii="Arial" w:eastAsia="Arial" w:hAnsi="Arial" w:cs="Arial"/>
          <w:color w:val="000000"/>
          <w:u w:color="000000"/>
          <w:lang w:eastAsia="en-ZA"/>
        </w:rPr>
        <w:tab/>
      </w:r>
      <w:r w:rsidR="005A2AA3" w:rsidRPr="00E20779">
        <w:rPr>
          <w:rFonts w:ascii="Arial" w:hAnsi="Arial"/>
        </w:rPr>
        <w:t xml:space="preserve">If I am wrong in this regard, there is a further reason that I am disinclined to grant summary judgment. </w:t>
      </w:r>
    </w:p>
    <w:p w:rsidR="002B1FF0" w:rsidRDefault="002B1FF0">
      <w:pPr>
        <w:pStyle w:val="ListParagraph"/>
        <w:spacing w:after="0" w:line="360" w:lineRule="auto"/>
        <w:ind w:left="0"/>
        <w:jc w:val="both"/>
        <w:rPr>
          <w:rFonts w:ascii="Arial" w:eastAsia="Arial" w:hAnsi="Arial" w:cs="Arial"/>
          <w:sz w:val="24"/>
          <w:szCs w:val="24"/>
        </w:rPr>
      </w:pPr>
    </w:p>
    <w:p w:rsidR="002B1FF0" w:rsidRPr="00E20779" w:rsidRDefault="00E20779" w:rsidP="00E20779">
      <w:pPr>
        <w:spacing w:line="360" w:lineRule="auto"/>
        <w:ind w:left="720" w:hanging="720"/>
        <w:jc w:val="both"/>
        <w:rPr>
          <w:rFonts w:ascii="Arial" w:eastAsia="Arial" w:hAnsi="Arial" w:cs="Arial"/>
        </w:rPr>
      </w:pPr>
      <w:r>
        <w:rPr>
          <w:rFonts w:ascii="Arial" w:eastAsia="Arial" w:hAnsi="Arial" w:cs="Arial"/>
          <w:color w:val="000000"/>
          <w:u w:color="000000"/>
          <w:lang w:eastAsia="en-ZA"/>
        </w:rPr>
        <w:t>21.</w:t>
      </w:r>
      <w:r>
        <w:rPr>
          <w:rFonts w:ascii="Arial" w:eastAsia="Arial" w:hAnsi="Arial" w:cs="Arial"/>
          <w:color w:val="000000"/>
          <w:u w:color="000000"/>
          <w:lang w:eastAsia="en-ZA"/>
        </w:rPr>
        <w:tab/>
      </w:r>
      <w:r w:rsidR="005A2AA3" w:rsidRPr="00E20779">
        <w:rPr>
          <w:rFonts w:ascii="Arial" w:hAnsi="Arial"/>
        </w:rPr>
        <w:t>The particulars of claim could not be clearer. It states that the amount of R1 200 000,000 was advanced. It states that the repayment of this, together with interests and costs amount to R15 327,05. However, when Mr Ellis was explaining to me the comprehensive details sheet, he mentioned that what makes up the R15 327,05 is the ‘</w:t>
      </w:r>
      <w:r w:rsidR="005A2AA3" w:rsidRPr="00E20779">
        <w:rPr>
          <w:rFonts w:ascii="Arial" w:hAnsi="Arial"/>
          <w:lang w:val="it-IT"/>
        </w:rPr>
        <w:t>basic instalment</w:t>
      </w:r>
      <w:r w:rsidR="005A2AA3" w:rsidRPr="00E20779">
        <w:rPr>
          <w:rFonts w:ascii="Arial" w:hAnsi="Arial"/>
        </w:rPr>
        <w:t xml:space="preserve">’ of R12 575,81 together with the service admin fee of R69,00, the life insurance of R1 336,83 and the property insurance of R1 345,41. On the face of it that might be true. Those are submissions from the bar and not made under oath by Ms Malan. There is </w:t>
      </w:r>
      <w:r w:rsidR="005A2AA3" w:rsidRPr="00E20779">
        <w:rPr>
          <w:rFonts w:ascii="Arial" w:hAnsi="Arial"/>
        </w:rPr>
        <w:lastRenderedPageBreak/>
        <w:t>clearly a discrepancy to that which is pleaded in the comprehensive detail sheet. It means I simply cannot grant summary judgment.</w:t>
      </w:r>
    </w:p>
    <w:p w:rsidR="002B1FF0" w:rsidRDefault="002B1FF0">
      <w:pPr>
        <w:pStyle w:val="ListParagraph"/>
        <w:spacing w:after="0" w:line="360" w:lineRule="auto"/>
        <w:jc w:val="both"/>
        <w:rPr>
          <w:rFonts w:ascii="Arial" w:eastAsia="Arial" w:hAnsi="Arial" w:cs="Arial"/>
          <w:sz w:val="24"/>
          <w:szCs w:val="24"/>
        </w:rPr>
      </w:pPr>
    </w:p>
    <w:p w:rsidR="002B1FF0" w:rsidRPr="00E20779" w:rsidRDefault="00E20779" w:rsidP="00E20779">
      <w:pPr>
        <w:spacing w:line="360" w:lineRule="auto"/>
        <w:ind w:left="720" w:hanging="720"/>
        <w:jc w:val="both"/>
        <w:rPr>
          <w:rFonts w:ascii="Arial" w:eastAsia="Arial" w:hAnsi="Arial" w:cs="Arial"/>
        </w:rPr>
      </w:pPr>
      <w:r>
        <w:rPr>
          <w:rFonts w:ascii="Arial" w:eastAsia="Arial" w:hAnsi="Arial" w:cs="Arial"/>
          <w:color w:val="000000"/>
          <w:u w:color="000000"/>
          <w:lang w:eastAsia="en-ZA"/>
        </w:rPr>
        <w:t>22.</w:t>
      </w:r>
      <w:r>
        <w:rPr>
          <w:rFonts w:ascii="Arial" w:eastAsia="Arial" w:hAnsi="Arial" w:cs="Arial"/>
          <w:color w:val="000000"/>
          <w:u w:color="000000"/>
          <w:lang w:eastAsia="en-ZA"/>
        </w:rPr>
        <w:tab/>
      </w:r>
      <w:r w:rsidR="005A2AA3" w:rsidRPr="00E20779">
        <w:rPr>
          <w:rFonts w:ascii="Arial" w:hAnsi="Arial"/>
        </w:rPr>
        <w:t xml:space="preserve">I have little doubt that the defendant is probably indebted to the plaintiff. But what that exact amount is may or may not be the subject of debate. From the bar I was also told that the amount advanced is not R1 200 000,00 but only R1 050 000,00 and that the amount of R1 200 000,00 was only the amount for which the bond was registered.  That, too, may or may not be so, but those are all statements for the purposes of an affidavit to be made and not statements which are to be made from the bar. </w:t>
      </w:r>
    </w:p>
    <w:p w:rsidR="002B1FF0" w:rsidRDefault="002B1FF0">
      <w:pPr>
        <w:pStyle w:val="ListParagraph"/>
        <w:spacing w:after="0" w:line="360" w:lineRule="auto"/>
        <w:jc w:val="both"/>
        <w:rPr>
          <w:rFonts w:ascii="Arial" w:eastAsia="Arial" w:hAnsi="Arial" w:cs="Arial"/>
          <w:sz w:val="24"/>
          <w:szCs w:val="24"/>
        </w:rPr>
      </w:pPr>
    </w:p>
    <w:p w:rsidR="002B1FF0" w:rsidRPr="00E20779" w:rsidRDefault="00E20779" w:rsidP="00E20779">
      <w:pPr>
        <w:spacing w:line="360" w:lineRule="auto"/>
        <w:ind w:left="720" w:hanging="720"/>
        <w:jc w:val="both"/>
        <w:rPr>
          <w:rFonts w:ascii="Arial" w:eastAsia="Arial" w:hAnsi="Arial" w:cs="Arial"/>
        </w:rPr>
      </w:pPr>
      <w:r>
        <w:rPr>
          <w:rFonts w:ascii="Arial" w:eastAsia="Arial" w:hAnsi="Arial" w:cs="Arial"/>
          <w:color w:val="000000"/>
          <w:u w:color="000000"/>
          <w:lang w:eastAsia="en-ZA"/>
        </w:rPr>
        <w:t>23.</w:t>
      </w:r>
      <w:r>
        <w:rPr>
          <w:rFonts w:ascii="Arial" w:eastAsia="Arial" w:hAnsi="Arial" w:cs="Arial"/>
          <w:color w:val="000000"/>
          <w:u w:color="000000"/>
          <w:lang w:eastAsia="en-ZA"/>
        </w:rPr>
        <w:tab/>
      </w:r>
      <w:r w:rsidR="005A2AA3" w:rsidRPr="00E20779">
        <w:rPr>
          <w:rFonts w:ascii="Arial" w:hAnsi="Arial"/>
        </w:rPr>
        <w:t xml:space="preserve">Summary judgment no doubt has its place in our legal system but, it must also be remembered, that it is indeed a drastic remedy. In </w:t>
      </w:r>
      <w:r w:rsidR="005A2AA3" w:rsidRPr="00E20779">
        <w:rPr>
          <w:rFonts w:ascii="Arial" w:hAnsi="Arial"/>
          <w:i/>
          <w:iCs/>
        </w:rPr>
        <w:t>First National Bank of SA Ltd v Myburgh and another</w:t>
      </w:r>
      <w:r w:rsidR="005A2AA3">
        <w:rPr>
          <w:rFonts w:eastAsia="Arial" w:cs="Arial"/>
          <w:i/>
          <w:iCs/>
          <w:vertAlign w:val="superscript"/>
        </w:rPr>
        <w:footnoteReference w:id="3"/>
      </w:r>
      <w:r w:rsidR="005A2AA3" w:rsidRPr="00E20779">
        <w:rPr>
          <w:rFonts w:ascii="Arial" w:hAnsi="Arial"/>
        </w:rPr>
        <w:t xml:space="preserve"> the learned judge stated that:</w:t>
      </w:r>
    </w:p>
    <w:p w:rsidR="002B1FF0" w:rsidRDefault="005A2AA3">
      <w:pPr>
        <w:pStyle w:val="ListParagraph"/>
        <w:spacing w:after="0" w:line="360" w:lineRule="auto"/>
        <w:ind w:left="851" w:hanging="142"/>
        <w:jc w:val="both"/>
        <w:rPr>
          <w:rFonts w:ascii="Arial" w:eastAsia="Arial" w:hAnsi="Arial" w:cs="Arial"/>
        </w:rPr>
      </w:pPr>
      <w:r>
        <w:rPr>
          <w:rFonts w:ascii="Arial" w:hAnsi="Arial"/>
        </w:rPr>
        <w:t>‘The court will grant summary judgment where a plaintiff has an unanswerable case. If the court has the slightest doubt, the court will not grant summary judgment.’</w:t>
      </w:r>
    </w:p>
    <w:p w:rsidR="002B1FF0" w:rsidRDefault="002B1FF0">
      <w:pPr>
        <w:pStyle w:val="ListParagraph"/>
        <w:spacing w:after="0" w:line="360" w:lineRule="auto"/>
        <w:ind w:left="0"/>
        <w:jc w:val="both"/>
        <w:rPr>
          <w:rFonts w:ascii="Arial" w:eastAsia="Arial" w:hAnsi="Arial" w:cs="Arial"/>
        </w:rPr>
      </w:pPr>
    </w:p>
    <w:p w:rsidR="002B1FF0" w:rsidRPr="00E20779" w:rsidRDefault="00E20779" w:rsidP="00E20779">
      <w:pPr>
        <w:spacing w:line="360" w:lineRule="auto"/>
        <w:ind w:left="720" w:hanging="720"/>
        <w:jc w:val="both"/>
        <w:rPr>
          <w:rFonts w:ascii="Arial" w:eastAsia="Arial" w:hAnsi="Arial" w:cs="Arial"/>
        </w:rPr>
      </w:pPr>
      <w:r>
        <w:rPr>
          <w:rFonts w:ascii="Arial" w:eastAsia="Arial" w:hAnsi="Arial" w:cs="Arial"/>
          <w:color w:val="000000"/>
          <w:u w:color="000000"/>
          <w:lang w:eastAsia="en-ZA"/>
        </w:rPr>
        <w:t>24.</w:t>
      </w:r>
      <w:r>
        <w:rPr>
          <w:rFonts w:ascii="Arial" w:eastAsia="Arial" w:hAnsi="Arial" w:cs="Arial"/>
          <w:color w:val="000000"/>
          <w:u w:color="000000"/>
          <w:lang w:eastAsia="en-ZA"/>
        </w:rPr>
        <w:tab/>
      </w:r>
      <w:r w:rsidR="005A2AA3" w:rsidRPr="00E20779">
        <w:rPr>
          <w:rFonts w:ascii="Arial" w:hAnsi="Arial"/>
        </w:rPr>
        <w:t xml:space="preserve">Given the aforesaid discrepancies and the unsatisfactory manner in which the founding affidavit dealt with these issues, I am not inclined to grant summary judgment. </w:t>
      </w:r>
    </w:p>
    <w:p w:rsidR="002B1FF0" w:rsidRDefault="002B1FF0">
      <w:pPr>
        <w:pStyle w:val="ListParagraph"/>
        <w:spacing w:after="0" w:line="360" w:lineRule="auto"/>
        <w:ind w:left="0"/>
        <w:jc w:val="both"/>
        <w:rPr>
          <w:rFonts w:ascii="Arial" w:eastAsia="Arial" w:hAnsi="Arial" w:cs="Arial"/>
          <w:sz w:val="24"/>
          <w:szCs w:val="24"/>
        </w:rPr>
      </w:pPr>
    </w:p>
    <w:p w:rsidR="002B1FF0" w:rsidRPr="00E20779" w:rsidRDefault="00E20779" w:rsidP="00E20779">
      <w:pPr>
        <w:spacing w:line="360" w:lineRule="auto"/>
        <w:ind w:left="720" w:hanging="720"/>
        <w:jc w:val="both"/>
        <w:rPr>
          <w:rFonts w:ascii="Arial" w:eastAsia="Arial" w:hAnsi="Arial" w:cs="Arial"/>
        </w:rPr>
      </w:pPr>
      <w:r>
        <w:rPr>
          <w:rFonts w:ascii="Arial" w:eastAsia="Arial" w:hAnsi="Arial" w:cs="Arial"/>
          <w:color w:val="000000"/>
          <w:u w:color="000000"/>
          <w:lang w:eastAsia="en-ZA"/>
        </w:rPr>
        <w:t>25.</w:t>
      </w:r>
      <w:r>
        <w:rPr>
          <w:rFonts w:ascii="Arial" w:eastAsia="Arial" w:hAnsi="Arial" w:cs="Arial"/>
          <w:color w:val="000000"/>
          <w:u w:color="000000"/>
          <w:lang w:eastAsia="en-ZA"/>
        </w:rPr>
        <w:tab/>
      </w:r>
      <w:r w:rsidR="005A2AA3" w:rsidRPr="00E20779">
        <w:rPr>
          <w:rFonts w:ascii="Arial" w:hAnsi="Arial"/>
        </w:rPr>
        <w:t>I thus make the following order:</w:t>
      </w:r>
    </w:p>
    <w:p w:rsidR="002B1FF0" w:rsidRDefault="002B1FF0">
      <w:pPr>
        <w:pStyle w:val="ListParagraph"/>
        <w:spacing w:after="0" w:line="360" w:lineRule="auto"/>
        <w:ind w:left="567" w:hanging="567"/>
        <w:jc w:val="both"/>
        <w:rPr>
          <w:rFonts w:ascii="Arial" w:eastAsia="Arial" w:hAnsi="Arial" w:cs="Arial"/>
          <w:sz w:val="24"/>
          <w:szCs w:val="24"/>
          <w:shd w:val="clear" w:color="auto" w:fill="FFFF00"/>
        </w:rPr>
      </w:pPr>
    </w:p>
    <w:p w:rsidR="002B1FF0" w:rsidRDefault="005A2AA3">
      <w:pPr>
        <w:pStyle w:val="ListParagraph"/>
        <w:spacing w:after="0" w:line="360" w:lineRule="auto"/>
        <w:ind w:left="567" w:hanging="567"/>
        <w:jc w:val="both"/>
        <w:rPr>
          <w:rFonts w:ascii="Arial" w:eastAsia="Arial" w:hAnsi="Arial" w:cs="Arial"/>
          <w:b/>
          <w:bCs/>
          <w:sz w:val="24"/>
          <w:szCs w:val="24"/>
          <w:u w:val="single"/>
          <w:lang w:val="pt-PT"/>
        </w:rPr>
      </w:pPr>
      <w:r>
        <w:rPr>
          <w:rFonts w:ascii="Arial" w:hAnsi="Arial"/>
          <w:b/>
          <w:bCs/>
          <w:sz w:val="24"/>
          <w:szCs w:val="24"/>
          <w:u w:val="single"/>
          <w:lang w:val="pt-PT"/>
        </w:rPr>
        <w:t>Order</w:t>
      </w:r>
    </w:p>
    <w:p w:rsidR="002B1FF0" w:rsidRDefault="002B1FF0">
      <w:pPr>
        <w:pStyle w:val="ListParagraph"/>
        <w:spacing w:after="0" w:line="360" w:lineRule="auto"/>
        <w:ind w:left="567" w:hanging="567"/>
        <w:jc w:val="both"/>
        <w:rPr>
          <w:rFonts w:ascii="Arial" w:eastAsia="Arial" w:hAnsi="Arial" w:cs="Arial"/>
          <w:b/>
          <w:bCs/>
          <w:sz w:val="24"/>
          <w:szCs w:val="24"/>
          <w:u w:val="single"/>
        </w:rPr>
      </w:pPr>
    </w:p>
    <w:p w:rsidR="002B1FF0" w:rsidRPr="00E20779" w:rsidRDefault="00E20779" w:rsidP="00E20779">
      <w:pPr>
        <w:spacing w:line="360" w:lineRule="auto"/>
        <w:ind w:left="720" w:hanging="720"/>
        <w:jc w:val="both"/>
        <w:rPr>
          <w:rFonts w:ascii="Arial" w:eastAsia="Arial" w:hAnsi="Arial" w:cs="Arial"/>
          <w:b/>
          <w:bCs/>
          <w:u w:val="single"/>
        </w:rPr>
      </w:pPr>
      <w:r>
        <w:rPr>
          <w:rFonts w:ascii="Arial" w:eastAsia="Arial" w:hAnsi="Arial" w:cs="Arial"/>
          <w:color w:val="000000"/>
          <w:u w:color="000000"/>
          <w:lang w:eastAsia="en-ZA"/>
        </w:rPr>
        <w:t>26.</w:t>
      </w:r>
      <w:r>
        <w:rPr>
          <w:rFonts w:ascii="Arial" w:eastAsia="Arial" w:hAnsi="Arial" w:cs="Arial"/>
          <w:color w:val="000000"/>
          <w:u w:color="000000"/>
          <w:lang w:eastAsia="en-ZA"/>
        </w:rPr>
        <w:tab/>
      </w:r>
      <w:r w:rsidR="005A2AA3" w:rsidRPr="00E20779">
        <w:rPr>
          <w:rFonts w:ascii="Arial" w:hAnsi="Arial"/>
        </w:rPr>
        <w:t>The summary judgment application is dismissed with costs.</w:t>
      </w:r>
    </w:p>
    <w:p w:rsidR="002B1FF0" w:rsidRDefault="002B1FF0">
      <w:pPr>
        <w:pStyle w:val="BodyA"/>
        <w:spacing w:line="360" w:lineRule="auto"/>
        <w:ind w:left="1080"/>
        <w:jc w:val="right"/>
        <w:rPr>
          <w:rFonts w:ascii="Arial" w:eastAsia="Arial" w:hAnsi="Arial" w:cs="Arial"/>
          <w:sz w:val="24"/>
          <w:szCs w:val="24"/>
        </w:rPr>
      </w:pPr>
    </w:p>
    <w:p w:rsidR="002B1FF0" w:rsidRDefault="005A2AA3">
      <w:pPr>
        <w:pStyle w:val="BodyA"/>
        <w:spacing w:after="0" w:line="360" w:lineRule="auto"/>
        <w:ind w:left="1080"/>
        <w:jc w:val="right"/>
        <w:rPr>
          <w:rFonts w:ascii="Arial" w:eastAsia="Arial" w:hAnsi="Arial" w:cs="Arial"/>
          <w:sz w:val="24"/>
          <w:szCs w:val="24"/>
        </w:rPr>
      </w:pPr>
      <w:r>
        <w:rPr>
          <w:rFonts w:ascii="Arial" w:hAnsi="Arial"/>
          <w:sz w:val="24"/>
          <w:szCs w:val="24"/>
        </w:rPr>
        <w:t>_________________</w:t>
      </w:r>
    </w:p>
    <w:p w:rsidR="002B1FF0" w:rsidRDefault="005A2AA3">
      <w:pPr>
        <w:pStyle w:val="BodyA"/>
        <w:spacing w:after="0" w:line="360" w:lineRule="auto"/>
        <w:ind w:left="1080"/>
        <w:jc w:val="right"/>
        <w:rPr>
          <w:rFonts w:ascii="Arial" w:eastAsia="Arial" w:hAnsi="Arial" w:cs="Arial"/>
          <w:b/>
          <w:bCs/>
          <w:sz w:val="24"/>
          <w:szCs w:val="24"/>
          <w:lang w:val="de-DE"/>
        </w:rPr>
      </w:pPr>
      <w:r>
        <w:rPr>
          <w:rFonts w:ascii="Arial" w:hAnsi="Arial"/>
          <w:b/>
          <w:bCs/>
          <w:sz w:val="24"/>
          <w:szCs w:val="24"/>
          <w:lang w:val="de-DE"/>
        </w:rPr>
        <w:t>REINARD MICHAU</w:t>
      </w:r>
    </w:p>
    <w:p w:rsidR="002B1FF0" w:rsidRDefault="005A2AA3">
      <w:pPr>
        <w:pStyle w:val="BodyA"/>
        <w:spacing w:after="0" w:line="360" w:lineRule="auto"/>
        <w:ind w:left="10" w:right="56"/>
        <w:jc w:val="right"/>
        <w:rPr>
          <w:rFonts w:ascii="Arial" w:eastAsia="Arial" w:hAnsi="Arial" w:cs="Arial"/>
          <w:sz w:val="24"/>
          <w:szCs w:val="24"/>
        </w:rPr>
      </w:pPr>
      <w:r>
        <w:rPr>
          <w:rFonts w:ascii="Arial" w:hAnsi="Arial"/>
          <w:sz w:val="24"/>
          <w:szCs w:val="24"/>
        </w:rPr>
        <w:t xml:space="preserve">ACTING JUDGE OF THE HIGH COURT  </w:t>
      </w:r>
    </w:p>
    <w:p w:rsidR="002B1FF0" w:rsidRDefault="005A2AA3">
      <w:pPr>
        <w:pStyle w:val="BodyA"/>
        <w:keepNext/>
        <w:keepLines/>
        <w:spacing w:after="0" w:line="360" w:lineRule="auto"/>
        <w:ind w:left="10" w:right="56" w:hanging="10"/>
        <w:jc w:val="right"/>
        <w:outlineLvl w:val="1"/>
        <w:rPr>
          <w:rFonts w:ascii="Arial" w:eastAsia="Arial" w:hAnsi="Arial" w:cs="Arial"/>
          <w:sz w:val="24"/>
          <w:szCs w:val="24"/>
          <w:lang w:val="de-DE"/>
        </w:rPr>
      </w:pPr>
      <w:r>
        <w:rPr>
          <w:rFonts w:ascii="Arial" w:hAnsi="Arial"/>
          <w:sz w:val="24"/>
          <w:szCs w:val="24"/>
          <w:lang w:val="de-DE"/>
        </w:rPr>
        <w:t xml:space="preserve">GAUTENG DIVISION, PRETORIA </w:t>
      </w:r>
    </w:p>
    <w:p w:rsidR="002B1FF0" w:rsidRDefault="002B1FF0">
      <w:pPr>
        <w:pStyle w:val="BodyA"/>
        <w:spacing w:after="0" w:line="256" w:lineRule="auto"/>
        <w:jc w:val="both"/>
        <w:rPr>
          <w:rFonts w:ascii="Arial" w:eastAsia="Arial" w:hAnsi="Arial" w:cs="Arial"/>
          <w:sz w:val="24"/>
          <w:szCs w:val="24"/>
        </w:rPr>
      </w:pPr>
    </w:p>
    <w:p w:rsidR="002B1FF0" w:rsidRDefault="005A2AA3">
      <w:pPr>
        <w:pStyle w:val="BodyA"/>
        <w:spacing w:line="360" w:lineRule="auto"/>
        <w:jc w:val="both"/>
        <w:rPr>
          <w:rFonts w:ascii="Arial" w:eastAsia="Arial" w:hAnsi="Arial" w:cs="Arial"/>
          <w:sz w:val="24"/>
          <w:szCs w:val="24"/>
        </w:rPr>
      </w:pPr>
      <w:r>
        <w:rPr>
          <w:rFonts w:ascii="Arial" w:hAnsi="Arial"/>
          <w:sz w:val="24"/>
          <w:szCs w:val="24"/>
        </w:rPr>
        <w:lastRenderedPageBreak/>
        <w:t xml:space="preserve">Date of hearing:  </w:t>
      </w:r>
      <w:r>
        <w:rPr>
          <w:rFonts w:ascii="Arial" w:hAnsi="Arial"/>
          <w:sz w:val="24"/>
          <w:szCs w:val="24"/>
        </w:rPr>
        <w:tab/>
        <w:t>14 November 2022</w:t>
      </w:r>
    </w:p>
    <w:p w:rsidR="002B1FF0" w:rsidRDefault="005A2AA3">
      <w:pPr>
        <w:pStyle w:val="BodyA"/>
        <w:spacing w:line="360" w:lineRule="auto"/>
        <w:jc w:val="both"/>
        <w:rPr>
          <w:rFonts w:ascii="Arial" w:eastAsia="Arial" w:hAnsi="Arial" w:cs="Arial"/>
          <w:sz w:val="24"/>
          <w:szCs w:val="24"/>
        </w:rPr>
      </w:pPr>
      <w:r>
        <w:rPr>
          <w:rFonts w:ascii="Arial" w:hAnsi="Arial"/>
          <w:sz w:val="24"/>
          <w:szCs w:val="24"/>
        </w:rPr>
        <w:t>Date of judgment:</w:t>
      </w:r>
      <w:r>
        <w:rPr>
          <w:rFonts w:ascii="Arial" w:hAnsi="Arial"/>
          <w:sz w:val="24"/>
          <w:szCs w:val="24"/>
        </w:rPr>
        <w:tab/>
        <w:t>22 November 2022</w:t>
      </w:r>
    </w:p>
    <w:p w:rsidR="002B1FF0" w:rsidRDefault="002B1FF0">
      <w:pPr>
        <w:pStyle w:val="BodyA"/>
        <w:spacing w:line="360" w:lineRule="auto"/>
        <w:jc w:val="both"/>
        <w:rPr>
          <w:rFonts w:ascii="Arial" w:eastAsia="Arial" w:hAnsi="Arial" w:cs="Arial"/>
          <w:sz w:val="24"/>
          <w:szCs w:val="24"/>
        </w:rPr>
      </w:pPr>
    </w:p>
    <w:p w:rsidR="002B1FF0" w:rsidRDefault="005A2AA3">
      <w:pPr>
        <w:pStyle w:val="BodyA"/>
        <w:spacing w:line="360" w:lineRule="auto"/>
        <w:jc w:val="both"/>
        <w:rPr>
          <w:rFonts w:ascii="Arial" w:eastAsia="Arial" w:hAnsi="Arial" w:cs="Arial"/>
          <w:sz w:val="24"/>
          <w:szCs w:val="24"/>
        </w:rPr>
      </w:pPr>
      <w:r>
        <w:rPr>
          <w:rFonts w:ascii="Arial" w:hAnsi="Arial"/>
          <w:b/>
          <w:bCs/>
          <w:sz w:val="24"/>
          <w:szCs w:val="24"/>
          <w:u w:val="single"/>
        </w:rPr>
        <w:t xml:space="preserve">Appearance </w:t>
      </w:r>
    </w:p>
    <w:p w:rsidR="002B1FF0" w:rsidRDefault="005A2AA3">
      <w:pPr>
        <w:pStyle w:val="BodyA"/>
        <w:tabs>
          <w:tab w:val="left" w:pos="3969"/>
        </w:tabs>
        <w:spacing w:line="360" w:lineRule="auto"/>
        <w:jc w:val="both"/>
        <w:rPr>
          <w:rFonts w:ascii="Arial" w:eastAsia="Arial" w:hAnsi="Arial" w:cs="Arial"/>
          <w:sz w:val="24"/>
          <w:szCs w:val="24"/>
        </w:rPr>
      </w:pPr>
      <w:r>
        <w:rPr>
          <w:rFonts w:ascii="Arial" w:hAnsi="Arial"/>
          <w:sz w:val="24"/>
          <w:szCs w:val="24"/>
        </w:rPr>
        <w:t xml:space="preserve">On behalf of the Plaintiff </w:t>
      </w:r>
      <w:r>
        <w:rPr>
          <w:rFonts w:ascii="Arial" w:hAnsi="Arial"/>
          <w:sz w:val="24"/>
          <w:szCs w:val="24"/>
        </w:rPr>
        <w:tab/>
        <w:t>Adv AP Ellis</w:t>
      </w:r>
    </w:p>
    <w:p w:rsidR="002B1FF0" w:rsidRDefault="005A2AA3">
      <w:pPr>
        <w:pStyle w:val="BodyA"/>
        <w:tabs>
          <w:tab w:val="left" w:pos="3969"/>
        </w:tabs>
        <w:spacing w:line="360" w:lineRule="auto"/>
        <w:jc w:val="both"/>
        <w:rPr>
          <w:rFonts w:ascii="Arial" w:eastAsia="Arial" w:hAnsi="Arial" w:cs="Arial"/>
          <w:sz w:val="24"/>
          <w:szCs w:val="24"/>
        </w:rPr>
      </w:pPr>
      <w:r>
        <w:rPr>
          <w:rFonts w:ascii="Arial" w:eastAsia="Arial" w:hAnsi="Arial" w:cs="Arial"/>
          <w:sz w:val="24"/>
          <w:szCs w:val="24"/>
        </w:rPr>
        <w:tab/>
        <w:t xml:space="preserve">Cell: </w:t>
      </w:r>
      <w:r>
        <w:rPr>
          <w:rFonts w:ascii="Arial" w:hAnsi="Arial"/>
          <w:color w:val="333333"/>
          <w:sz w:val="24"/>
          <w:szCs w:val="24"/>
          <w:u w:color="333333"/>
        </w:rPr>
        <w:t>082 3396359</w:t>
      </w:r>
    </w:p>
    <w:p w:rsidR="002B1FF0" w:rsidRDefault="005A2AA3">
      <w:pPr>
        <w:pStyle w:val="BodyA"/>
        <w:tabs>
          <w:tab w:val="left" w:pos="3969"/>
        </w:tabs>
        <w:spacing w:line="360" w:lineRule="auto"/>
        <w:jc w:val="both"/>
        <w:rPr>
          <w:rFonts w:ascii="Arial" w:eastAsia="Arial" w:hAnsi="Arial" w:cs="Arial"/>
          <w:sz w:val="24"/>
          <w:szCs w:val="24"/>
        </w:rPr>
      </w:pPr>
      <w:r>
        <w:rPr>
          <w:rFonts w:ascii="Arial" w:eastAsia="Arial" w:hAnsi="Arial" w:cs="Arial"/>
          <w:sz w:val="24"/>
          <w:szCs w:val="24"/>
        </w:rPr>
        <w:tab/>
        <w:t xml:space="preserve">Email: </w:t>
      </w:r>
      <w:r>
        <w:rPr>
          <w:rFonts w:ascii="Arial" w:hAnsi="Arial"/>
          <w:color w:val="333333"/>
          <w:sz w:val="24"/>
          <w:szCs w:val="24"/>
          <w:u w:color="333333"/>
        </w:rPr>
        <w:t>apellis@lawcircle.co.za</w:t>
      </w:r>
    </w:p>
    <w:p w:rsidR="002B1FF0" w:rsidRDefault="005A2AA3">
      <w:pPr>
        <w:pStyle w:val="BodyA"/>
        <w:tabs>
          <w:tab w:val="left" w:pos="3969"/>
        </w:tabs>
        <w:spacing w:line="360" w:lineRule="auto"/>
        <w:jc w:val="both"/>
        <w:rPr>
          <w:rFonts w:ascii="Arial" w:eastAsia="Arial" w:hAnsi="Arial" w:cs="Arial"/>
          <w:sz w:val="24"/>
          <w:szCs w:val="24"/>
          <w:lang w:val="de-DE"/>
        </w:rPr>
      </w:pPr>
      <w:r>
        <w:rPr>
          <w:rFonts w:ascii="Arial" w:hAnsi="Arial"/>
          <w:sz w:val="24"/>
          <w:szCs w:val="24"/>
          <w:lang w:val="de-DE"/>
        </w:rPr>
        <w:t>Instructed by</w:t>
      </w:r>
      <w:r>
        <w:rPr>
          <w:rFonts w:ascii="Arial" w:hAnsi="Arial"/>
          <w:sz w:val="24"/>
          <w:szCs w:val="24"/>
          <w:lang w:val="de-DE"/>
        </w:rPr>
        <w:tab/>
        <w:t>Strauss Daly Inc.</w:t>
      </w:r>
    </w:p>
    <w:p w:rsidR="002B1FF0" w:rsidRDefault="005A2AA3">
      <w:pPr>
        <w:pStyle w:val="BodyA"/>
        <w:tabs>
          <w:tab w:val="left" w:pos="3969"/>
        </w:tabs>
        <w:spacing w:line="360" w:lineRule="auto"/>
        <w:jc w:val="both"/>
        <w:rPr>
          <w:rFonts w:ascii="Arial" w:eastAsia="Arial" w:hAnsi="Arial" w:cs="Arial"/>
          <w:sz w:val="24"/>
          <w:szCs w:val="24"/>
        </w:rPr>
      </w:pPr>
      <w:r>
        <w:rPr>
          <w:rFonts w:ascii="Arial" w:eastAsia="Arial" w:hAnsi="Arial" w:cs="Arial"/>
          <w:sz w:val="24"/>
          <w:szCs w:val="24"/>
          <w:lang w:val="de-DE"/>
        </w:rPr>
        <w:tab/>
        <w:t>Tel:  012</w:t>
      </w:r>
      <w:r>
        <w:rPr>
          <w:rFonts w:ascii="Arial" w:hAnsi="Arial"/>
          <w:sz w:val="24"/>
          <w:szCs w:val="24"/>
        </w:rPr>
        <w:t> 348 1683</w:t>
      </w:r>
    </w:p>
    <w:p w:rsidR="002B1FF0" w:rsidRDefault="005A2AA3">
      <w:pPr>
        <w:pStyle w:val="BodyA"/>
        <w:tabs>
          <w:tab w:val="left" w:pos="3969"/>
        </w:tabs>
        <w:spacing w:line="360" w:lineRule="auto"/>
        <w:jc w:val="both"/>
        <w:rPr>
          <w:rFonts w:ascii="Arial" w:eastAsia="Arial" w:hAnsi="Arial" w:cs="Arial"/>
          <w:sz w:val="24"/>
          <w:szCs w:val="24"/>
          <w:lang w:val="nl-NL"/>
        </w:rPr>
      </w:pPr>
      <w:r>
        <w:rPr>
          <w:rFonts w:ascii="Arial" w:hAnsi="Arial"/>
          <w:sz w:val="24"/>
          <w:szCs w:val="24"/>
          <w:lang w:val="nl-NL"/>
        </w:rPr>
        <w:t>On behalf of the Defendant</w:t>
      </w:r>
      <w:r>
        <w:rPr>
          <w:rFonts w:ascii="Arial" w:hAnsi="Arial"/>
          <w:sz w:val="24"/>
          <w:szCs w:val="24"/>
          <w:lang w:val="nl-NL"/>
        </w:rPr>
        <w:tab/>
        <w:t>Adv HP van Nieuwenhuizen</w:t>
      </w:r>
    </w:p>
    <w:p w:rsidR="002B1FF0" w:rsidRDefault="005A2AA3">
      <w:pPr>
        <w:pStyle w:val="BodyA"/>
        <w:tabs>
          <w:tab w:val="left" w:pos="3969"/>
        </w:tabs>
        <w:spacing w:line="360" w:lineRule="auto"/>
        <w:jc w:val="both"/>
        <w:rPr>
          <w:rFonts w:ascii="Arial" w:eastAsia="Arial" w:hAnsi="Arial" w:cs="Arial"/>
          <w:sz w:val="24"/>
          <w:szCs w:val="24"/>
        </w:rPr>
      </w:pPr>
      <w:r>
        <w:rPr>
          <w:rFonts w:ascii="Arial" w:eastAsia="Arial" w:hAnsi="Arial" w:cs="Arial"/>
          <w:sz w:val="24"/>
          <w:szCs w:val="24"/>
        </w:rPr>
        <w:tab/>
        <w:t>Cell: 083</w:t>
      </w:r>
      <w:r>
        <w:rPr>
          <w:rFonts w:ascii="Arial" w:hAnsi="Arial"/>
          <w:sz w:val="24"/>
          <w:szCs w:val="24"/>
        </w:rPr>
        <w:t> </w:t>
      </w:r>
      <w:r>
        <w:rPr>
          <w:rFonts w:ascii="Arial" w:hAnsi="Arial"/>
          <w:sz w:val="24"/>
          <w:szCs w:val="24"/>
          <w:lang w:val="de-DE"/>
        </w:rPr>
        <w:t>304 1181</w:t>
      </w:r>
    </w:p>
    <w:p w:rsidR="002B1FF0" w:rsidRDefault="005A2AA3">
      <w:pPr>
        <w:pStyle w:val="BodyA"/>
        <w:tabs>
          <w:tab w:val="left" w:pos="3969"/>
        </w:tabs>
        <w:spacing w:line="360" w:lineRule="auto"/>
        <w:jc w:val="both"/>
        <w:rPr>
          <w:rFonts w:ascii="Arial" w:eastAsia="Arial" w:hAnsi="Arial" w:cs="Arial"/>
          <w:sz w:val="24"/>
          <w:szCs w:val="24"/>
        </w:rPr>
      </w:pPr>
      <w:r>
        <w:rPr>
          <w:rFonts w:ascii="Arial" w:eastAsia="Arial" w:hAnsi="Arial" w:cs="Arial"/>
          <w:sz w:val="24"/>
          <w:szCs w:val="24"/>
        </w:rPr>
        <w:tab/>
        <w:t>Email: hvn@joburgbar.co.za</w:t>
      </w:r>
      <w:r>
        <w:rPr>
          <w:rFonts w:ascii="Arial" w:eastAsia="Arial" w:hAnsi="Arial" w:cs="Arial"/>
          <w:sz w:val="24"/>
          <w:szCs w:val="24"/>
        </w:rPr>
        <w:tab/>
      </w:r>
    </w:p>
    <w:p w:rsidR="002B1FF0" w:rsidRDefault="005A2AA3">
      <w:pPr>
        <w:pStyle w:val="BodyA"/>
        <w:tabs>
          <w:tab w:val="left" w:pos="3969"/>
        </w:tabs>
        <w:spacing w:line="360" w:lineRule="auto"/>
        <w:jc w:val="both"/>
        <w:rPr>
          <w:rFonts w:ascii="Arial" w:eastAsia="Arial" w:hAnsi="Arial" w:cs="Arial"/>
          <w:sz w:val="24"/>
          <w:szCs w:val="24"/>
          <w:lang w:val="nl-NL"/>
        </w:rPr>
      </w:pPr>
      <w:r>
        <w:rPr>
          <w:rFonts w:ascii="Arial" w:hAnsi="Arial"/>
          <w:sz w:val="24"/>
          <w:szCs w:val="24"/>
          <w:lang w:val="nl-NL"/>
        </w:rPr>
        <w:t>Instructed by</w:t>
      </w:r>
      <w:r>
        <w:rPr>
          <w:rFonts w:ascii="Arial" w:hAnsi="Arial"/>
          <w:sz w:val="24"/>
          <w:szCs w:val="24"/>
          <w:lang w:val="nl-NL"/>
        </w:rPr>
        <w:tab/>
        <w:t>Kaveer Guiness</w:t>
      </w:r>
    </w:p>
    <w:p w:rsidR="002B1FF0" w:rsidRDefault="005A2AA3">
      <w:pPr>
        <w:pStyle w:val="BodyA"/>
        <w:tabs>
          <w:tab w:val="left" w:pos="3969"/>
        </w:tabs>
        <w:spacing w:line="360" w:lineRule="auto"/>
        <w:jc w:val="both"/>
        <w:rPr>
          <w:rFonts w:ascii="Arial" w:eastAsia="Arial" w:hAnsi="Arial" w:cs="Arial"/>
          <w:sz w:val="24"/>
          <w:szCs w:val="24"/>
        </w:rPr>
      </w:pPr>
      <w:r>
        <w:rPr>
          <w:rFonts w:ascii="Arial" w:eastAsia="Arial" w:hAnsi="Arial" w:cs="Arial"/>
          <w:sz w:val="24"/>
          <w:szCs w:val="24"/>
          <w:lang w:val="de-DE"/>
        </w:rPr>
        <w:tab/>
        <w:t>Tel: 012</w:t>
      </w:r>
      <w:r>
        <w:rPr>
          <w:rFonts w:ascii="Arial" w:hAnsi="Arial"/>
          <w:sz w:val="24"/>
          <w:szCs w:val="24"/>
        </w:rPr>
        <w:t> 364 2445</w:t>
      </w:r>
    </w:p>
    <w:p w:rsidR="002B1FF0" w:rsidRDefault="002B1FF0">
      <w:pPr>
        <w:pStyle w:val="BodyA"/>
        <w:spacing w:line="360" w:lineRule="auto"/>
        <w:jc w:val="both"/>
        <w:rPr>
          <w:rFonts w:ascii="Arial" w:eastAsia="Arial" w:hAnsi="Arial" w:cs="Arial"/>
          <w:sz w:val="24"/>
          <w:szCs w:val="24"/>
        </w:rPr>
      </w:pPr>
    </w:p>
    <w:p w:rsidR="002B1FF0" w:rsidRDefault="002B1FF0">
      <w:pPr>
        <w:pStyle w:val="BodyA"/>
        <w:spacing w:line="360" w:lineRule="auto"/>
        <w:jc w:val="both"/>
        <w:rPr>
          <w:rFonts w:ascii="Arial" w:eastAsia="Arial" w:hAnsi="Arial" w:cs="Arial"/>
          <w:sz w:val="24"/>
          <w:szCs w:val="24"/>
        </w:rPr>
      </w:pPr>
    </w:p>
    <w:p w:rsidR="002B1FF0" w:rsidRDefault="002B1FF0">
      <w:pPr>
        <w:pStyle w:val="BodyA"/>
        <w:spacing w:line="360" w:lineRule="auto"/>
        <w:jc w:val="both"/>
      </w:pPr>
    </w:p>
    <w:sectPr w:rsidR="002B1FF0">
      <w:headerReference w:type="default" r:id="rId8"/>
      <w:footerReference w:type="default" r:id="rId9"/>
      <w:headerReference w:type="first" r:id="rId10"/>
      <w:footerReference w:type="first" r:id="rId11"/>
      <w:pgSz w:w="11900" w:h="16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10" w:rsidRDefault="00C50D10">
      <w:r>
        <w:separator/>
      </w:r>
    </w:p>
  </w:endnote>
  <w:endnote w:type="continuationSeparator" w:id="0">
    <w:p w:rsidR="00C50D10" w:rsidRDefault="00C5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FF0" w:rsidRDefault="002B1FF0">
    <w:pPr>
      <w:pStyle w:val="Header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FF0" w:rsidRDefault="002B1FF0">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10" w:rsidRDefault="00C50D10">
      <w:r>
        <w:separator/>
      </w:r>
    </w:p>
  </w:footnote>
  <w:footnote w:type="continuationSeparator" w:id="0">
    <w:p w:rsidR="00C50D10" w:rsidRDefault="00C50D10">
      <w:r>
        <w:continuationSeparator/>
      </w:r>
    </w:p>
  </w:footnote>
  <w:footnote w:type="continuationNotice" w:id="1">
    <w:p w:rsidR="00C50D10" w:rsidRDefault="00C50D10"/>
  </w:footnote>
  <w:footnote w:id="2">
    <w:p w:rsidR="002B1FF0" w:rsidRDefault="005A2AA3">
      <w:pPr>
        <w:pStyle w:val="FootnoteText"/>
      </w:pPr>
      <w:r>
        <w:rPr>
          <w:rFonts w:ascii="Arial" w:eastAsia="Arial" w:hAnsi="Arial" w:cs="Arial"/>
          <w:sz w:val="24"/>
          <w:szCs w:val="24"/>
          <w:vertAlign w:val="superscript"/>
        </w:rPr>
        <w:footnoteRef/>
      </w:r>
      <w:r>
        <w:t xml:space="preserve"> 2010 (6) SA 439 (SCA) [34] – [36]</w:t>
      </w:r>
    </w:p>
  </w:footnote>
  <w:footnote w:id="3">
    <w:p w:rsidR="002B1FF0" w:rsidRDefault="005A2AA3">
      <w:pPr>
        <w:pStyle w:val="FootnoteText"/>
      </w:pPr>
      <w:r>
        <w:rPr>
          <w:rFonts w:ascii="Arial" w:eastAsia="Arial" w:hAnsi="Arial" w:cs="Arial"/>
          <w:i/>
          <w:iCs/>
          <w:sz w:val="24"/>
          <w:szCs w:val="24"/>
          <w:vertAlign w:val="superscript"/>
        </w:rPr>
        <w:footnoteRef/>
      </w:r>
      <w:r>
        <w:t xml:space="preserve"> 2002 (4) SA 176 (C) at para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FF0" w:rsidRDefault="005A2AA3">
    <w:pPr>
      <w:pStyle w:val="Header"/>
      <w:tabs>
        <w:tab w:val="clear" w:pos="9026"/>
        <w:tab w:val="right" w:pos="9000"/>
      </w:tabs>
      <w:jc w:val="right"/>
    </w:pPr>
    <w:r>
      <w:fldChar w:fldCharType="begin"/>
    </w:r>
    <w:r>
      <w:instrText xml:space="preserve"> PAGE </w:instrText>
    </w:r>
    <w:r>
      <w:fldChar w:fldCharType="separate"/>
    </w:r>
    <w:r w:rsidR="00E20779">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FF0" w:rsidRDefault="002B1FF0">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1708FA"/>
    <w:multiLevelType w:val="hybridMultilevel"/>
    <w:tmpl w:val="1DAEDF76"/>
    <w:lvl w:ilvl="0" w:tplc="5538D5F8">
      <w:start w:val="1"/>
      <w:numFmt w:val="decimal"/>
      <w:lvlText w:val="(%1)"/>
      <w:lvlJc w:val="left"/>
      <w:pPr>
        <w:ind w:left="90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1B805E8">
      <w:start w:val="1"/>
      <w:numFmt w:val="lowerLetter"/>
      <w:lvlText w:val="%2."/>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826AEA">
      <w:start w:val="1"/>
      <w:numFmt w:val="lowerRoman"/>
      <w:lvlText w:val="%3."/>
      <w:lvlJc w:val="left"/>
      <w:pPr>
        <w:ind w:left="19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4FEA284">
      <w:start w:val="1"/>
      <w:numFmt w:val="decimal"/>
      <w:lvlText w:val="%4."/>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62868A">
      <w:start w:val="1"/>
      <w:numFmt w:val="lowerLetter"/>
      <w:lvlText w:val="%5."/>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5C9756">
      <w:start w:val="1"/>
      <w:numFmt w:val="lowerRoman"/>
      <w:lvlText w:val="%6."/>
      <w:lvlJc w:val="left"/>
      <w:pPr>
        <w:ind w:left="41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2E24358">
      <w:start w:val="1"/>
      <w:numFmt w:val="decimal"/>
      <w:lvlText w:val="%7."/>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EC589E">
      <w:start w:val="1"/>
      <w:numFmt w:val="lowerLetter"/>
      <w:lvlText w:val="%8."/>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E808FA">
      <w:start w:val="1"/>
      <w:numFmt w:val="lowerRoman"/>
      <w:lvlText w:val="%9."/>
      <w:lvlJc w:val="left"/>
      <w:pPr>
        <w:ind w:left="63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CBF1948"/>
    <w:multiLevelType w:val="multilevel"/>
    <w:tmpl w:val="D1F2DF94"/>
    <w:numStyleLink w:val="ImportedStyle2"/>
  </w:abstractNum>
  <w:abstractNum w:abstractNumId="2">
    <w:nsid w:val="79916F3F"/>
    <w:multiLevelType w:val="multilevel"/>
    <w:tmpl w:val="D1F2DF94"/>
    <w:styleLink w:val="ImportedStyle2"/>
    <w:lvl w:ilvl="0">
      <w:start w:val="1"/>
      <w:numFmt w:val="decimal"/>
      <w:lvlText w:val="%1."/>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205"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F0"/>
    <w:rsid w:val="002B1FF0"/>
    <w:rsid w:val="005A2AA3"/>
    <w:rsid w:val="00A56C33"/>
    <w:rsid w:val="00C50D10"/>
    <w:rsid w:val="00E20779"/>
    <w:rsid w:val="00FF2E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6AC1C-D7DE-4108-88F0-D6BC3CF2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2"/>
      </w:numPr>
    </w:pPr>
  </w:style>
  <w:style w:type="character" w:styleId="FootnoteReference">
    <w:name w:val="footnote reference"/>
    <w:rPr>
      <w:vertAlign w:val="superscript"/>
    </w:rPr>
  </w:style>
  <w:style w:type="paragraph" w:styleId="FootnoteText">
    <w:name w:val="footnote text"/>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Molebogeng Raseroka</dc:creator>
  <cp:lastModifiedBy>Mokone</cp:lastModifiedBy>
  <cp:revision>3</cp:revision>
  <dcterms:created xsi:type="dcterms:W3CDTF">2022-11-30T05:18:00Z</dcterms:created>
  <dcterms:modified xsi:type="dcterms:W3CDTF">2022-11-30T05:19:00Z</dcterms:modified>
</cp:coreProperties>
</file>