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8E6813">
        <w:trPr>
          <w:trHeight w:val="2205"/>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35338C">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35338C">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35338C">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35338C">
              <w:rPr>
                <w:rFonts w:ascii="Arial Unicode MS" w:eastAsia="Arial Unicode MS" w:hAnsi="Arial Unicode MS" w:cs="Arial Unicode MS"/>
                <w:b/>
                <w:bCs/>
                <w:sz w:val="16"/>
                <w:szCs w:val="16"/>
              </w:rPr>
              <w:t>NO</w:t>
            </w:r>
          </w:p>
          <w:p w14:paraId="15F66332" w14:textId="7CD74F3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35338C">
              <w:rPr>
                <w:rFonts w:ascii="Arial Unicode MS" w:eastAsia="Arial Unicode MS" w:hAnsi="Arial Unicode MS" w:cs="Arial Unicode MS"/>
                <w:sz w:val="16"/>
                <w:szCs w:val="16"/>
              </w:rPr>
              <w:t xml:space="preserve"> </w:t>
            </w:r>
            <w:r w:rsidR="0035338C" w:rsidRPr="0035338C">
              <w:rPr>
                <w:rFonts w:ascii="Arial Unicode MS" w:eastAsia="Arial Unicode MS" w:hAnsi="Arial Unicode MS" w:cs="Arial Unicode MS"/>
                <w:b/>
                <w:bCs/>
                <w:sz w:val="16"/>
                <w:szCs w:val="16"/>
              </w:rPr>
              <w:t>NO</w:t>
            </w:r>
          </w:p>
          <w:p w14:paraId="284842F1" w14:textId="4044DFBC"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973878">
              <w:rPr>
                <w:rFonts w:ascii="Arial Unicode MS" w:eastAsia="Arial Unicode MS" w:hAnsi="Arial Unicode MS" w:cs="Arial Unicode MS"/>
                <w:sz w:val="16"/>
                <w:szCs w:val="16"/>
              </w:rPr>
              <w:t xml:space="preserve"> </w:t>
            </w:r>
            <w:r w:rsidR="00973878" w:rsidRPr="0035338C">
              <w:rPr>
                <w:rFonts w:ascii="Arial Unicode MS" w:eastAsia="Arial Unicode MS" w:hAnsi="Arial Unicode MS" w:cs="Arial Unicode MS"/>
                <w:b/>
                <w:bCs/>
                <w:sz w:val="16"/>
                <w:szCs w:val="16"/>
              </w:rPr>
              <w:t>24 November 2022</w:t>
            </w:r>
            <w:r w:rsidRPr="004164F3">
              <w:rPr>
                <w:rFonts w:ascii="Arial Unicode MS" w:eastAsia="Arial Unicode MS" w:hAnsi="Arial Unicode MS" w:cs="Arial Unicode MS"/>
                <w:sz w:val="16"/>
                <w:szCs w:val="16"/>
              </w:rPr>
              <w:t>…</w:t>
            </w:r>
            <w:r w:rsidR="0035338C">
              <w:rPr>
                <w:rFonts w:ascii="Arial Unicode MS" w:eastAsia="Arial Unicode MS" w:hAnsi="Arial Unicode MS" w:cs="Arial Unicode MS"/>
                <w:sz w:val="16"/>
                <w:szCs w:val="16"/>
              </w:rPr>
              <w:t>.</w:t>
            </w:r>
            <w:r w:rsidRPr="004164F3">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127F1673"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3E66F0">
        <w:rPr>
          <w:rFonts w:cs="Arial"/>
          <w:b/>
          <w:bCs/>
          <w:sz w:val="24"/>
          <w:szCs w:val="24"/>
        </w:rPr>
        <w:t>65535/2014</w:t>
      </w:r>
    </w:p>
    <w:tbl>
      <w:tblPr>
        <w:tblStyle w:val="TableGrid"/>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tblGrid>
      <w:tr w:rsidR="00B50E11" w:rsidRPr="0031449E" w14:paraId="22698168" w14:textId="77777777" w:rsidTr="00C25FBA">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E66F0" w14:paraId="4638A8A4" w14:textId="77777777" w:rsidTr="00C25FBA">
        <w:trPr>
          <w:trHeight w:val="1045"/>
        </w:trPr>
        <w:tc>
          <w:tcPr>
            <w:tcW w:w="5485" w:type="dxa"/>
          </w:tcPr>
          <w:p w14:paraId="2456782D" w14:textId="77777777"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48AA6FE" w14:textId="1452D495" w:rsidR="007F7FED" w:rsidRPr="003E66F0" w:rsidRDefault="003E66F0"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E66F0">
              <w:rPr>
                <w:rFonts w:cs="Arial"/>
                <w:b/>
                <w:bCs/>
                <w:sz w:val="24"/>
                <w:szCs w:val="24"/>
              </w:rPr>
              <w:t>DE BEER, DEON</w:t>
            </w:r>
          </w:p>
        </w:tc>
        <w:tc>
          <w:tcPr>
            <w:tcW w:w="4078" w:type="dxa"/>
          </w:tcPr>
          <w:p w14:paraId="66354F6A" w14:textId="77777777"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p w14:paraId="263479FD" w14:textId="529B75C9" w:rsidR="00B50E11" w:rsidRPr="003E66F0"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3E66F0">
              <w:rPr>
                <w:rFonts w:cs="Arial"/>
                <w:b/>
                <w:bCs/>
                <w:sz w:val="24"/>
                <w:szCs w:val="24"/>
              </w:rPr>
              <w:t>APPLICANT</w:t>
            </w:r>
          </w:p>
        </w:tc>
      </w:tr>
      <w:tr w:rsidR="00B50E11" w:rsidRPr="003E66F0" w14:paraId="2DE3831D" w14:textId="77777777" w:rsidTr="00C25FBA">
        <w:tc>
          <w:tcPr>
            <w:tcW w:w="5485" w:type="dxa"/>
          </w:tcPr>
          <w:p w14:paraId="06AA6B3B" w14:textId="7CD9CC68" w:rsidR="00B50E11" w:rsidRPr="003E66F0" w:rsidRDefault="00B50E11" w:rsidP="008E6813">
            <w:pPr>
              <w:pStyle w:val="Body"/>
              <w:spacing w:line="360" w:lineRule="auto"/>
              <w:jc w:val="both"/>
              <w:rPr>
                <w:rFonts w:cs="Arial"/>
                <w:b/>
                <w:bCs/>
                <w:sz w:val="24"/>
                <w:szCs w:val="24"/>
              </w:rPr>
            </w:pPr>
          </w:p>
          <w:p w14:paraId="52E06D21" w14:textId="65F278A7" w:rsidR="00B50E11" w:rsidRPr="003E66F0" w:rsidRDefault="00416EA1" w:rsidP="008E6813">
            <w:pPr>
              <w:pStyle w:val="Body"/>
              <w:spacing w:line="360" w:lineRule="auto"/>
              <w:jc w:val="both"/>
              <w:rPr>
                <w:rFonts w:eastAsia="Tahoma" w:cs="Arial"/>
                <w:b/>
                <w:bCs/>
                <w:sz w:val="24"/>
                <w:szCs w:val="24"/>
              </w:rPr>
            </w:pPr>
            <w:r w:rsidRPr="003E66F0">
              <w:rPr>
                <w:rFonts w:cs="Arial"/>
                <w:b/>
                <w:bCs/>
                <w:sz w:val="24"/>
                <w:szCs w:val="24"/>
              </w:rPr>
              <w:t>A</w:t>
            </w:r>
            <w:r w:rsidR="00B50E11" w:rsidRPr="003E66F0">
              <w:rPr>
                <w:rFonts w:cs="Arial"/>
                <w:b/>
                <w:bCs/>
                <w:sz w:val="24"/>
                <w:szCs w:val="24"/>
              </w:rPr>
              <w:t>nd</w:t>
            </w:r>
          </w:p>
        </w:tc>
        <w:tc>
          <w:tcPr>
            <w:tcW w:w="4078" w:type="dxa"/>
          </w:tcPr>
          <w:p w14:paraId="06C77BC2" w14:textId="032FD205"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tc>
      </w:tr>
      <w:tr w:rsidR="00B50E11" w:rsidRPr="003E66F0" w14:paraId="4829D036" w14:textId="77777777" w:rsidTr="00C25FBA">
        <w:tc>
          <w:tcPr>
            <w:tcW w:w="5485" w:type="dxa"/>
          </w:tcPr>
          <w:p w14:paraId="0C29CDE0" w14:textId="77777777"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67BE8649" w:rsidR="001F07DD" w:rsidRPr="003E66F0" w:rsidRDefault="003E66F0"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bookmarkStart w:id="0" w:name="_GoBack"/>
            <w:r w:rsidRPr="003E66F0">
              <w:rPr>
                <w:rFonts w:cs="Arial"/>
                <w:b/>
                <w:bCs/>
                <w:sz w:val="24"/>
                <w:szCs w:val="24"/>
                <w:lang w:val="de-DE"/>
              </w:rPr>
              <w:t>GELDENHUYS</w:t>
            </w:r>
            <w:bookmarkEnd w:id="0"/>
            <w:r w:rsidRPr="003E66F0">
              <w:rPr>
                <w:rFonts w:cs="Arial"/>
                <w:b/>
                <w:bCs/>
                <w:sz w:val="24"/>
                <w:szCs w:val="24"/>
                <w:lang w:val="de-DE"/>
              </w:rPr>
              <w:t>, LEENDERT</w:t>
            </w:r>
          </w:p>
          <w:p w14:paraId="3ACBB1CA" w14:textId="05144C07"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Pr="003E66F0"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p>
          <w:p w14:paraId="7853F6A3" w14:textId="133281CD" w:rsidR="00B50E11" w:rsidRPr="003E66F0"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bCs/>
                <w:sz w:val="24"/>
                <w:szCs w:val="24"/>
              </w:rPr>
            </w:pPr>
            <w:r w:rsidRPr="003E66F0">
              <w:rPr>
                <w:rFonts w:cs="Arial"/>
                <w:b/>
                <w:bCs/>
                <w:sz w:val="24"/>
                <w:szCs w:val="24"/>
              </w:rPr>
              <w:t>RESPONDENT</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6502DFA2" w:rsidR="00B50E11" w:rsidRPr="008E6813" w:rsidRDefault="001E7028"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Pr>
                <w:rFonts w:eastAsia="Tahoma" w:cs="Arial"/>
                <w:b/>
                <w:bCs/>
                <w:sz w:val="32"/>
                <w:szCs w:val="32"/>
                <w:lang w:val="de-DE"/>
              </w:rPr>
              <w:t xml:space="preserve">REASONS FOR </w:t>
            </w:r>
            <w:r w:rsidR="00B50E11"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8E6813">
      <w:pPr>
        <w:pStyle w:val="Body"/>
        <w:spacing w:line="360" w:lineRule="auto"/>
        <w:ind w:firstLine="851"/>
        <w:jc w:val="both"/>
        <w:rPr>
          <w:bCs/>
          <w:sz w:val="24"/>
          <w:szCs w:val="24"/>
        </w:rPr>
      </w:pPr>
    </w:p>
    <w:p w14:paraId="1DA654C2" w14:textId="06269912" w:rsidR="005930AB" w:rsidRPr="00B26149" w:rsidRDefault="00E3577B" w:rsidP="00E3577B">
      <w:pPr>
        <w:pStyle w:val="Body"/>
        <w:spacing w:line="360" w:lineRule="auto"/>
        <w:ind w:left="851" w:hanging="851"/>
        <w:jc w:val="both"/>
        <w:rPr>
          <w:b/>
          <w:sz w:val="22"/>
          <w:szCs w:val="22"/>
          <w:u w:val="single"/>
        </w:rPr>
      </w:pPr>
      <w:r w:rsidRPr="00B26149">
        <w:rPr>
          <w:bCs/>
          <w:sz w:val="24"/>
          <w:szCs w:val="24"/>
        </w:rPr>
        <w:t>1.</w:t>
      </w:r>
      <w:r w:rsidRPr="00B26149">
        <w:rPr>
          <w:bCs/>
          <w:sz w:val="24"/>
          <w:szCs w:val="24"/>
        </w:rPr>
        <w:tab/>
      </w:r>
      <w:r w:rsidR="005930AB">
        <w:rPr>
          <w:bCs/>
          <w:sz w:val="22"/>
          <w:szCs w:val="22"/>
        </w:rPr>
        <w:t xml:space="preserve">This is an application for the rescission of a court order made by </w:t>
      </w:r>
      <w:r w:rsidR="00C25FBA">
        <w:rPr>
          <w:bCs/>
          <w:sz w:val="22"/>
          <w:szCs w:val="22"/>
        </w:rPr>
        <w:t>consent between</w:t>
      </w:r>
      <w:r w:rsidR="005930AB">
        <w:rPr>
          <w:bCs/>
          <w:sz w:val="22"/>
          <w:szCs w:val="22"/>
        </w:rPr>
        <w:t xml:space="preserve"> the applicant and the respondent. On 7 March 2017 the applicant and the respondent </w:t>
      </w:r>
      <w:r w:rsidR="005930AB">
        <w:rPr>
          <w:bCs/>
          <w:sz w:val="22"/>
          <w:szCs w:val="22"/>
        </w:rPr>
        <w:lastRenderedPageBreak/>
        <w:t xml:space="preserve">entered into an agreement to settle liability in an action for damages that the respondent had instituted against the applicant. The settlement was made an order of court on that day. </w:t>
      </w:r>
      <w:r w:rsidR="005930AB" w:rsidRPr="005930AB">
        <w:rPr>
          <w:bCs/>
          <w:sz w:val="22"/>
          <w:szCs w:val="22"/>
        </w:rPr>
        <w:t>The reason that the action had been instituted by the respondent against the applicant was as a consequence of injuries sustained by him in a ‘road rage’ incident that had occurred on 3 November 2013.</w:t>
      </w:r>
    </w:p>
    <w:p w14:paraId="37C64025" w14:textId="77777777" w:rsidR="00B26149" w:rsidRPr="005930AB" w:rsidRDefault="00B26149" w:rsidP="00B26149">
      <w:pPr>
        <w:pStyle w:val="Body"/>
        <w:spacing w:line="360" w:lineRule="auto"/>
        <w:ind w:left="851"/>
        <w:jc w:val="both"/>
        <w:rPr>
          <w:b/>
          <w:sz w:val="22"/>
          <w:szCs w:val="22"/>
          <w:u w:val="single"/>
        </w:rPr>
      </w:pPr>
    </w:p>
    <w:p w14:paraId="72295BD1" w14:textId="6F936F6D" w:rsidR="005930AB" w:rsidRPr="00B26149" w:rsidRDefault="00E3577B" w:rsidP="00E3577B">
      <w:pPr>
        <w:pStyle w:val="Body"/>
        <w:spacing w:line="360" w:lineRule="auto"/>
        <w:ind w:left="851" w:hanging="851"/>
        <w:jc w:val="both"/>
        <w:rPr>
          <w:b/>
          <w:sz w:val="22"/>
          <w:szCs w:val="22"/>
          <w:u w:val="single"/>
        </w:rPr>
      </w:pPr>
      <w:r w:rsidRPr="00B26149">
        <w:rPr>
          <w:bCs/>
          <w:sz w:val="24"/>
          <w:szCs w:val="24"/>
        </w:rPr>
        <w:t>2.</w:t>
      </w:r>
      <w:r w:rsidRPr="00B26149">
        <w:rPr>
          <w:bCs/>
          <w:sz w:val="24"/>
          <w:szCs w:val="24"/>
        </w:rPr>
        <w:tab/>
      </w:r>
      <w:r w:rsidR="005930AB">
        <w:rPr>
          <w:bCs/>
          <w:sz w:val="22"/>
          <w:szCs w:val="22"/>
        </w:rPr>
        <w:t xml:space="preserve">The order that the applicant sought to rescind </w:t>
      </w:r>
      <w:r w:rsidR="00B26149">
        <w:rPr>
          <w:bCs/>
          <w:sz w:val="22"/>
          <w:szCs w:val="22"/>
        </w:rPr>
        <w:t xml:space="preserve">provided </w:t>
      </w:r>
      <w:r w:rsidR="00B26149" w:rsidRPr="00B26149">
        <w:rPr>
          <w:bCs/>
          <w:i/>
          <w:iCs/>
          <w:sz w:val="22"/>
          <w:szCs w:val="22"/>
        </w:rPr>
        <w:t>inter alia</w:t>
      </w:r>
      <w:r w:rsidR="00B26149">
        <w:rPr>
          <w:bCs/>
          <w:sz w:val="22"/>
          <w:szCs w:val="22"/>
        </w:rPr>
        <w:t xml:space="preserve"> as follows:</w:t>
      </w:r>
    </w:p>
    <w:p w14:paraId="24CAA271" w14:textId="77777777" w:rsidR="00B26149" w:rsidRDefault="00B26149" w:rsidP="00B26149">
      <w:pPr>
        <w:pStyle w:val="Body"/>
        <w:spacing w:line="360" w:lineRule="auto"/>
        <w:ind w:left="851"/>
        <w:jc w:val="both"/>
        <w:rPr>
          <w:bCs/>
          <w:sz w:val="22"/>
          <w:szCs w:val="22"/>
        </w:rPr>
      </w:pPr>
    </w:p>
    <w:p w14:paraId="3042078C" w14:textId="0D02ED85" w:rsidR="00B26149" w:rsidRDefault="00B26149" w:rsidP="00C25FBA">
      <w:pPr>
        <w:pStyle w:val="Body"/>
        <w:tabs>
          <w:tab w:val="left" w:pos="2268"/>
        </w:tabs>
        <w:spacing w:line="360" w:lineRule="auto"/>
        <w:ind w:left="1418"/>
        <w:jc w:val="both"/>
        <w:rPr>
          <w:bCs/>
          <w:i/>
          <w:iCs/>
          <w:sz w:val="22"/>
          <w:szCs w:val="22"/>
        </w:rPr>
      </w:pPr>
      <w:r w:rsidRPr="00B26149">
        <w:rPr>
          <w:bCs/>
          <w:sz w:val="22"/>
          <w:szCs w:val="22"/>
        </w:rPr>
        <w:t>“</w:t>
      </w:r>
      <w:r w:rsidRPr="00B26149">
        <w:rPr>
          <w:bCs/>
          <w:i/>
          <w:iCs/>
          <w:sz w:val="22"/>
          <w:szCs w:val="22"/>
        </w:rPr>
        <w:t>1.</w:t>
      </w:r>
      <w:r w:rsidRPr="00B26149">
        <w:rPr>
          <w:bCs/>
          <w:i/>
          <w:iCs/>
          <w:sz w:val="22"/>
          <w:szCs w:val="22"/>
        </w:rPr>
        <w:tab/>
        <w:t>It is hereby declared that:</w:t>
      </w:r>
    </w:p>
    <w:p w14:paraId="445EC8E1" w14:textId="77777777" w:rsidR="00C25FBA" w:rsidRPr="00B26149" w:rsidRDefault="00C25FBA" w:rsidP="00C25FBA">
      <w:pPr>
        <w:pStyle w:val="Body"/>
        <w:tabs>
          <w:tab w:val="left" w:pos="2268"/>
        </w:tabs>
        <w:spacing w:line="360" w:lineRule="auto"/>
        <w:ind w:left="1418"/>
        <w:jc w:val="both"/>
        <w:rPr>
          <w:bCs/>
          <w:i/>
          <w:iCs/>
          <w:sz w:val="22"/>
          <w:szCs w:val="22"/>
        </w:rPr>
      </w:pPr>
    </w:p>
    <w:p w14:paraId="0C9A3932" w14:textId="231B763B" w:rsidR="00B26149" w:rsidRDefault="00E3577B" w:rsidP="00E3577B">
      <w:pPr>
        <w:pStyle w:val="Body"/>
        <w:spacing w:line="360" w:lineRule="auto"/>
        <w:ind w:left="2835" w:hanging="567"/>
        <w:jc w:val="both"/>
        <w:rPr>
          <w:bCs/>
          <w:i/>
          <w:iCs/>
          <w:sz w:val="22"/>
          <w:szCs w:val="22"/>
        </w:rPr>
      </w:pPr>
      <w:r>
        <w:rPr>
          <w:bCs/>
          <w:i/>
          <w:iCs/>
          <w:sz w:val="22"/>
          <w:szCs w:val="22"/>
        </w:rPr>
        <w:t>1.1</w:t>
      </w:r>
      <w:r>
        <w:rPr>
          <w:bCs/>
          <w:i/>
          <w:iCs/>
          <w:sz w:val="22"/>
          <w:szCs w:val="22"/>
        </w:rPr>
        <w:tab/>
      </w:r>
      <w:r w:rsidR="00B26149" w:rsidRPr="00B26149">
        <w:rPr>
          <w:bCs/>
          <w:i/>
          <w:iCs/>
          <w:sz w:val="22"/>
          <w:szCs w:val="22"/>
        </w:rPr>
        <w:t>the defendant unlawfully and intentionally assaulted the plaintiff on 3 November 2013 at approximately 17h30;</w:t>
      </w:r>
    </w:p>
    <w:p w14:paraId="4447D8B5" w14:textId="77777777" w:rsidR="00C25FBA" w:rsidRPr="00B26149" w:rsidRDefault="00C25FBA" w:rsidP="00C25FBA">
      <w:pPr>
        <w:pStyle w:val="Body"/>
        <w:spacing w:line="360" w:lineRule="auto"/>
        <w:ind w:left="2835"/>
        <w:jc w:val="both"/>
        <w:rPr>
          <w:bCs/>
          <w:i/>
          <w:iCs/>
          <w:sz w:val="22"/>
          <w:szCs w:val="22"/>
        </w:rPr>
      </w:pPr>
    </w:p>
    <w:p w14:paraId="3C8F79A3" w14:textId="4B1C98B7" w:rsidR="00B26149" w:rsidRPr="00C25FBA" w:rsidRDefault="00E3577B" w:rsidP="00E3577B">
      <w:pPr>
        <w:pStyle w:val="Body"/>
        <w:spacing w:line="360" w:lineRule="auto"/>
        <w:ind w:left="2268"/>
        <w:jc w:val="both"/>
        <w:rPr>
          <w:bCs/>
          <w:i/>
          <w:iCs/>
          <w:sz w:val="22"/>
          <w:szCs w:val="22"/>
          <w:u w:val="single"/>
        </w:rPr>
      </w:pPr>
      <w:r w:rsidRPr="00C25FBA">
        <w:rPr>
          <w:bCs/>
          <w:i/>
          <w:iCs/>
          <w:sz w:val="22"/>
          <w:szCs w:val="22"/>
        </w:rPr>
        <w:t>1.2</w:t>
      </w:r>
      <w:r w:rsidRPr="00C25FBA">
        <w:rPr>
          <w:bCs/>
          <w:i/>
          <w:iCs/>
          <w:sz w:val="22"/>
          <w:szCs w:val="22"/>
        </w:rPr>
        <w:tab/>
      </w:r>
      <w:r w:rsidR="00B26149" w:rsidRPr="00B26149">
        <w:rPr>
          <w:bCs/>
          <w:i/>
          <w:iCs/>
          <w:sz w:val="22"/>
          <w:szCs w:val="22"/>
        </w:rPr>
        <w:t>the plaintiff did not initiate a road rage incident as aggressor;</w:t>
      </w:r>
    </w:p>
    <w:p w14:paraId="33D0BBCE" w14:textId="77777777" w:rsidR="00C25FBA" w:rsidRPr="00B26149" w:rsidRDefault="00C25FBA" w:rsidP="00C25FBA">
      <w:pPr>
        <w:pStyle w:val="Body"/>
        <w:spacing w:line="360" w:lineRule="auto"/>
        <w:ind w:left="2268"/>
        <w:jc w:val="both"/>
        <w:rPr>
          <w:bCs/>
          <w:i/>
          <w:iCs/>
          <w:sz w:val="22"/>
          <w:szCs w:val="22"/>
          <w:u w:val="single"/>
        </w:rPr>
      </w:pPr>
    </w:p>
    <w:p w14:paraId="3D54AF39" w14:textId="1CE2FD50" w:rsidR="00B26149" w:rsidRPr="00C25FBA" w:rsidRDefault="00E3577B" w:rsidP="00E3577B">
      <w:pPr>
        <w:pStyle w:val="Body"/>
        <w:spacing w:line="360" w:lineRule="auto"/>
        <w:ind w:left="2268"/>
        <w:jc w:val="both"/>
        <w:rPr>
          <w:bCs/>
          <w:i/>
          <w:iCs/>
          <w:sz w:val="22"/>
          <w:szCs w:val="22"/>
          <w:u w:val="single"/>
        </w:rPr>
      </w:pPr>
      <w:r w:rsidRPr="00C25FBA">
        <w:rPr>
          <w:bCs/>
          <w:i/>
          <w:iCs/>
          <w:sz w:val="22"/>
          <w:szCs w:val="22"/>
        </w:rPr>
        <w:t>1.3</w:t>
      </w:r>
      <w:r w:rsidRPr="00C25FBA">
        <w:rPr>
          <w:bCs/>
          <w:i/>
          <w:iCs/>
          <w:sz w:val="22"/>
          <w:szCs w:val="22"/>
        </w:rPr>
        <w:tab/>
      </w:r>
      <w:r w:rsidR="00B26149" w:rsidRPr="00B26149">
        <w:rPr>
          <w:bCs/>
          <w:i/>
          <w:iCs/>
          <w:sz w:val="22"/>
          <w:szCs w:val="22"/>
        </w:rPr>
        <w:t>the defendant did not act in self defence;</w:t>
      </w:r>
    </w:p>
    <w:p w14:paraId="77054ABA" w14:textId="77777777" w:rsidR="00C25FBA" w:rsidRPr="00B26149" w:rsidRDefault="00C25FBA" w:rsidP="00C25FBA">
      <w:pPr>
        <w:pStyle w:val="Body"/>
        <w:spacing w:line="360" w:lineRule="auto"/>
        <w:ind w:left="2268"/>
        <w:jc w:val="both"/>
        <w:rPr>
          <w:bCs/>
          <w:i/>
          <w:iCs/>
          <w:sz w:val="22"/>
          <w:szCs w:val="22"/>
          <w:u w:val="single"/>
        </w:rPr>
      </w:pPr>
    </w:p>
    <w:p w14:paraId="50572EE1" w14:textId="2914C554" w:rsidR="00B26149" w:rsidRPr="00C25FBA" w:rsidRDefault="00E3577B" w:rsidP="00E3577B">
      <w:pPr>
        <w:pStyle w:val="Body"/>
        <w:spacing w:line="360" w:lineRule="auto"/>
        <w:ind w:left="2268"/>
        <w:jc w:val="both"/>
        <w:rPr>
          <w:bCs/>
          <w:i/>
          <w:iCs/>
          <w:sz w:val="22"/>
          <w:szCs w:val="22"/>
          <w:u w:val="single"/>
        </w:rPr>
      </w:pPr>
      <w:r w:rsidRPr="00C25FBA">
        <w:rPr>
          <w:bCs/>
          <w:i/>
          <w:iCs/>
          <w:sz w:val="22"/>
          <w:szCs w:val="22"/>
        </w:rPr>
        <w:t>1.4</w:t>
      </w:r>
      <w:r w:rsidRPr="00C25FBA">
        <w:rPr>
          <w:bCs/>
          <w:i/>
          <w:iCs/>
          <w:sz w:val="22"/>
          <w:szCs w:val="22"/>
        </w:rPr>
        <w:tab/>
      </w:r>
      <w:r w:rsidR="00B26149" w:rsidRPr="00B26149">
        <w:rPr>
          <w:bCs/>
          <w:i/>
          <w:iCs/>
          <w:sz w:val="22"/>
          <w:szCs w:val="22"/>
        </w:rPr>
        <w:t>the plaintiff did not consent to be subjected to the risk of injury;</w:t>
      </w:r>
    </w:p>
    <w:p w14:paraId="79618ADE" w14:textId="77777777" w:rsidR="00C25FBA" w:rsidRPr="00B26149" w:rsidRDefault="00C25FBA" w:rsidP="00C25FBA">
      <w:pPr>
        <w:pStyle w:val="Body"/>
        <w:spacing w:line="360" w:lineRule="auto"/>
        <w:jc w:val="both"/>
        <w:rPr>
          <w:bCs/>
          <w:i/>
          <w:iCs/>
          <w:sz w:val="22"/>
          <w:szCs w:val="22"/>
          <w:u w:val="single"/>
        </w:rPr>
      </w:pPr>
    </w:p>
    <w:p w14:paraId="32208B37" w14:textId="4DAE0C25" w:rsidR="00B26149" w:rsidRPr="00C44B38" w:rsidRDefault="00E3577B" w:rsidP="00E3577B">
      <w:pPr>
        <w:pStyle w:val="Body"/>
        <w:spacing w:line="360" w:lineRule="auto"/>
        <w:ind w:left="2835" w:hanging="567"/>
        <w:jc w:val="both"/>
        <w:rPr>
          <w:bCs/>
          <w:i/>
          <w:iCs/>
          <w:sz w:val="22"/>
          <w:szCs w:val="22"/>
          <w:u w:val="single"/>
        </w:rPr>
      </w:pPr>
      <w:r w:rsidRPr="00C44B38">
        <w:rPr>
          <w:bCs/>
          <w:i/>
          <w:iCs/>
          <w:sz w:val="22"/>
          <w:szCs w:val="22"/>
        </w:rPr>
        <w:t>1.5</w:t>
      </w:r>
      <w:r w:rsidRPr="00C44B38">
        <w:rPr>
          <w:bCs/>
          <w:i/>
          <w:iCs/>
          <w:sz w:val="22"/>
          <w:szCs w:val="22"/>
        </w:rPr>
        <w:tab/>
      </w:r>
      <w:r w:rsidR="00B26149" w:rsidRPr="00B26149">
        <w:rPr>
          <w:bCs/>
          <w:i/>
          <w:iCs/>
          <w:sz w:val="22"/>
          <w:szCs w:val="22"/>
        </w:rPr>
        <w:t>the plaintiff did not contribute to the damages which the plaintiff has suffered.”</w:t>
      </w:r>
    </w:p>
    <w:p w14:paraId="79794A63" w14:textId="77777777" w:rsidR="00C44B38" w:rsidRPr="00B26149" w:rsidRDefault="00C44B38" w:rsidP="00C44B38">
      <w:pPr>
        <w:pStyle w:val="Body"/>
        <w:spacing w:line="360" w:lineRule="auto"/>
        <w:ind w:left="720"/>
        <w:jc w:val="both"/>
        <w:rPr>
          <w:bCs/>
          <w:i/>
          <w:iCs/>
          <w:sz w:val="22"/>
          <w:szCs w:val="22"/>
          <w:u w:val="single"/>
        </w:rPr>
      </w:pPr>
    </w:p>
    <w:p w14:paraId="0C3E6F18" w14:textId="00F4E2D1" w:rsidR="0035338C" w:rsidRPr="0035338C" w:rsidRDefault="00E3577B" w:rsidP="00E3577B">
      <w:pPr>
        <w:pStyle w:val="Body"/>
        <w:spacing w:line="360" w:lineRule="auto"/>
        <w:ind w:left="851" w:hanging="851"/>
        <w:jc w:val="both"/>
        <w:rPr>
          <w:bCs/>
          <w:sz w:val="24"/>
          <w:szCs w:val="24"/>
          <w:u w:val="single"/>
        </w:rPr>
      </w:pPr>
      <w:r w:rsidRPr="0035338C">
        <w:rPr>
          <w:bCs/>
          <w:sz w:val="24"/>
          <w:szCs w:val="24"/>
        </w:rPr>
        <w:t>3.</w:t>
      </w:r>
      <w:r w:rsidRPr="0035338C">
        <w:rPr>
          <w:bCs/>
          <w:sz w:val="24"/>
          <w:szCs w:val="24"/>
        </w:rPr>
        <w:tab/>
      </w:r>
      <w:r w:rsidR="00B26149" w:rsidRPr="00C25FBA">
        <w:rPr>
          <w:bCs/>
          <w:sz w:val="24"/>
          <w:szCs w:val="24"/>
        </w:rPr>
        <w:t xml:space="preserve">The applicant was represented by senior counsel and an attorney on 7 March 2017 and it was contended by him that he had been advised by them to agree to the terms of the order on the basis that it would not prejudice his defence in the action for damages. </w:t>
      </w:r>
    </w:p>
    <w:p w14:paraId="5F742787" w14:textId="77777777" w:rsidR="0035338C" w:rsidRPr="0035338C" w:rsidRDefault="0035338C" w:rsidP="0035338C">
      <w:pPr>
        <w:pStyle w:val="Body"/>
        <w:spacing w:line="360" w:lineRule="auto"/>
        <w:ind w:left="851"/>
        <w:jc w:val="both"/>
        <w:rPr>
          <w:bCs/>
          <w:sz w:val="24"/>
          <w:szCs w:val="24"/>
          <w:u w:val="single"/>
        </w:rPr>
      </w:pPr>
    </w:p>
    <w:p w14:paraId="1B380A36" w14:textId="20694125" w:rsidR="00B26149" w:rsidRPr="00C25FBA" w:rsidRDefault="00E3577B" w:rsidP="00E3577B">
      <w:pPr>
        <w:pStyle w:val="Body"/>
        <w:spacing w:line="360" w:lineRule="auto"/>
        <w:ind w:left="851" w:hanging="851"/>
        <w:jc w:val="both"/>
        <w:rPr>
          <w:bCs/>
          <w:sz w:val="24"/>
          <w:szCs w:val="24"/>
          <w:u w:val="single"/>
        </w:rPr>
      </w:pPr>
      <w:r w:rsidRPr="00C25FBA">
        <w:rPr>
          <w:bCs/>
          <w:sz w:val="24"/>
          <w:szCs w:val="24"/>
        </w:rPr>
        <w:t>4.</w:t>
      </w:r>
      <w:r w:rsidRPr="00C25FBA">
        <w:rPr>
          <w:bCs/>
          <w:sz w:val="24"/>
          <w:szCs w:val="24"/>
        </w:rPr>
        <w:tab/>
      </w:r>
      <w:r w:rsidR="00402BCB" w:rsidRPr="00C25FBA">
        <w:rPr>
          <w:bCs/>
          <w:sz w:val="24"/>
          <w:szCs w:val="24"/>
        </w:rPr>
        <w:t xml:space="preserve">The basis for this advice was that there was </w:t>
      </w:r>
      <w:r w:rsidR="0025629B" w:rsidRPr="00C25FBA">
        <w:rPr>
          <w:bCs/>
          <w:sz w:val="24"/>
          <w:szCs w:val="24"/>
        </w:rPr>
        <w:t>no admission</w:t>
      </w:r>
      <w:r w:rsidR="00402BCB" w:rsidRPr="00C25FBA">
        <w:rPr>
          <w:bCs/>
          <w:sz w:val="24"/>
          <w:szCs w:val="24"/>
        </w:rPr>
        <w:t xml:space="preserve"> as to causation between the incident and the damages and that this would still have to be proved.</w:t>
      </w:r>
      <w:r w:rsidR="00973878">
        <w:rPr>
          <w:bCs/>
          <w:sz w:val="24"/>
          <w:szCs w:val="24"/>
        </w:rPr>
        <w:t xml:space="preserve"> This occurred in the context of the matter having been postponed on a prior occasion at the instance of the applicant and the refusal on 7 March 2017 of a further postponement requested by him.</w:t>
      </w:r>
    </w:p>
    <w:p w14:paraId="12B0B1E2" w14:textId="77777777" w:rsidR="00C25FBA" w:rsidRPr="00C25FBA" w:rsidRDefault="00C25FBA" w:rsidP="00C25FBA">
      <w:pPr>
        <w:pStyle w:val="Body"/>
        <w:spacing w:line="360" w:lineRule="auto"/>
        <w:ind w:left="851"/>
        <w:jc w:val="both"/>
        <w:rPr>
          <w:bCs/>
          <w:sz w:val="24"/>
          <w:szCs w:val="24"/>
          <w:u w:val="single"/>
        </w:rPr>
      </w:pPr>
    </w:p>
    <w:p w14:paraId="23572E3D" w14:textId="44378154" w:rsidR="00402BCB" w:rsidRPr="00C25FBA" w:rsidRDefault="00E3577B" w:rsidP="00E3577B">
      <w:pPr>
        <w:pStyle w:val="Body"/>
        <w:spacing w:line="360" w:lineRule="auto"/>
        <w:ind w:left="851" w:hanging="851"/>
        <w:jc w:val="both"/>
        <w:rPr>
          <w:bCs/>
          <w:sz w:val="24"/>
          <w:szCs w:val="24"/>
          <w:u w:val="single"/>
        </w:rPr>
      </w:pPr>
      <w:r w:rsidRPr="00C25FBA">
        <w:rPr>
          <w:bCs/>
          <w:sz w:val="24"/>
          <w:szCs w:val="24"/>
        </w:rPr>
        <w:lastRenderedPageBreak/>
        <w:t>5.</w:t>
      </w:r>
      <w:r w:rsidRPr="00C25FBA">
        <w:rPr>
          <w:bCs/>
          <w:sz w:val="24"/>
          <w:szCs w:val="24"/>
        </w:rPr>
        <w:tab/>
      </w:r>
      <w:r w:rsidR="007D62E7" w:rsidRPr="00C25FBA">
        <w:rPr>
          <w:bCs/>
          <w:sz w:val="24"/>
          <w:szCs w:val="24"/>
        </w:rPr>
        <w:t xml:space="preserve">On 14 November </w:t>
      </w:r>
      <w:r w:rsidR="00402BCB" w:rsidRPr="00C25FBA">
        <w:rPr>
          <w:bCs/>
          <w:sz w:val="24"/>
          <w:szCs w:val="24"/>
        </w:rPr>
        <w:t xml:space="preserve">2017 the applicant was now on trial in the criminal </w:t>
      </w:r>
      <w:r w:rsidR="0025629B" w:rsidRPr="00C25FBA">
        <w:rPr>
          <w:bCs/>
          <w:sz w:val="24"/>
          <w:szCs w:val="24"/>
        </w:rPr>
        <w:t>court for</w:t>
      </w:r>
      <w:r w:rsidR="00402BCB" w:rsidRPr="00C25FBA">
        <w:rPr>
          <w:bCs/>
          <w:sz w:val="24"/>
          <w:szCs w:val="24"/>
        </w:rPr>
        <w:t xml:space="preserve"> what had occurred on 3 November 2013.</w:t>
      </w:r>
      <w:r w:rsidR="007D62E7" w:rsidRPr="00C25FBA">
        <w:rPr>
          <w:bCs/>
          <w:sz w:val="24"/>
          <w:szCs w:val="24"/>
        </w:rPr>
        <w:t xml:space="preserve"> He pleaded that day and the respondent was called by the state to testify. During the evidence of the respondent,</w:t>
      </w:r>
      <w:r w:rsidR="00402BCB" w:rsidRPr="00C25FBA">
        <w:rPr>
          <w:bCs/>
          <w:sz w:val="24"/>
          <w:szCs w:val="24"/>
        </w:rPr>
        <w:t xml:space="preserve"> </w:t>
      </w:r>
      <w:r w:rsidR="007D62E7" w:rsidRPr="00C25FBA">
        <w:rPr>
          <w:bCs/>
          <w:sz w:val="24"/>
          <w:szCs w:val="24"/>
        </w:rPr>
        <w:t>t</w:t>
      </w:r>
      <w:r w:rsidR="00402BCB" w:rsidRPr="00C25FBA">
        <w:rPr>
          <w:bCs/>
          <w:sz w:val="24"/>
          <w:szCs w:val="24"/>
        </w:rPr>
        <w:t xml:space="preserve">he attorney representing him in that case informed him that he ought not to have </w:t>
      </w:r>
      <w:r w:rsidR="007D62E7" w:rsidRPr="00C25FBA">
        <w:rPr>
          <w:bCs/>
          <w:sz w:val="24"/>
          <w:szCs w:val="24"/>
        </w:rPr>
        <w:t xml:space="preserve">consented to the order of 7 March 2017. </w:t>
      </w:r>
      <w:r w:rsidR="00402BCB" w:rsidRPr="00C25FBA">
        <w:rPr>
          <w:bCs/>
          <w:sz w:val="24"/>
          <w:szCs w:val="24"/>
        </w:rPr>
        <w:t xml:space="preserve">This advice resonated with him and when certain aspects of the </w:t>
      </w:r>
      <w:r w:rsidR="0025629B" w:rsidRPr="00C25FBA">
        <w:rPr>
          <w:bCs/>
          <w:sz w:val="24"/>
          <w:szCs w:val="24"/>
        </w:rPr>
        <w:t>respondent’s</w:t>
      </w:r>
      <w:r w:rsidR="00402BCB" w:rsidRPr="00C25FBA">
        <w:rPr>
          <w:bCs/>
          <w:sz w:val="24"/>
          <w:szCs w:val="24"/>
        </w:rPr>
        <w:t xml:space="preserve"> evidence were regarded as unsatisfactory during the criminal trial, the applicant found himself having a ‘Damascus </w:t>
      </w:r>
      <w:r w:rsidR="0035338C">
        <w:rPr>
          <w:bCs/>
          <w:sz w:val="24"/>
          <w:szCs w:val="24"/>
        </w:rPr>
        <w:t>M</w:t>
      </w:r>
      <w:r w:rsidR="00402BCB" w:rsidRPr="00C25FBA">
        <w:rPr>
          <w:bCs/>
          <w:sz w:val="24"/>
          <w:szCs w:val="24"/>
        </w:rPr>
        <w:t>oment</w:t>
      </w:r>
      <w:r w:rsidR="0035338C">
        <w:rPr>
          <w:bCs/>
          <w:sz w:val="24"/>
          <w:szCs w:val="24"/>
        </w:rPr>
        <w:t>’</w:t>
      </w:r>
      <w:r w:rsidR="00402BCB" w:rsidRPr="00C25FBA">
        <w:rPr>
          <w:bCs/>
          <w:sz w:val="24"/>
          <w:szCs w:val="24"/>
        </w:rPr>
        <w:t xml:space="preserve"> and decided to bring the present application.</w:t>
      </w:r>
    </w:p>
    <w:p w14:paraId="532CC89B" w14:textId="77777777" w:rsidR="00C25FBA" w:rsidRDefault="00C25FBA" w:rsidP="00C25FBA">
      <w:pPr>
        <w:pStyle w:val="ListParagraph"/>
        <w:rPr>
          <w:bCs/>
          <w:u w:val="single"/>
        </w:rPr>
      </w:pPr>
    </w:p>
    <w:p w14:paraId="12D36740" w14:textId="77777777" w:rsidR="00C25FBA" w:rsidRPr="00C25FBA" w:rsidRDefault="00C25FBA" w:rsidP="00C25FBA">
      <w:pPr>
        <w:pStyle w:val="Body"/>
        <w:spacing w:line="360" w:lineRule="auto"/>
        <w:ind w:left="851"/>
        <w:jc w:val="both"/>
        <w:rPr>
          <w:bCs/>
          <w:sz w:val="24"/>
          <w:szCs w:val="24"/>
          <w:u w:val="single"/>
        </w:rPr>
      </w:pPr>
    </w:p>
    <w:p w14:paraId="11FC045E" w14:textId="096D6139" w:rsidR="0025629B" w:rsidRPr="00FD6C1B" w:rsidRDefault="00E3577B" w:rsidP="00E3577B">
      <w:pPr>
        <w:pStyle w:val="Body"/>
        <w:spacing w:line="360" w:lineRule="auto"/>
        <w:ind w:left="720" w:hanging="720"/>
        <w:jc w:val="both"/>
        <w:rPr>
          <w:bCs/>
          <w:i/>
          <w:iCs/>
          <w:sz w:val="24"/>
          <w:szCs w:val="24"/>
          <w:u w:val="single"/>
        </w:rPr>
      </w:pPr>
      <w:r w:rsidRPr="00FD6C1B">
        <w:rPr>
          <w:bCs/>
          <w:sz w:val="24"/>
          <w:szCs w:val="24"/>
        </w:rPr>
        <w:t>6.</w:t>
      </w:r>
      <w:r w:rsidRPr="00FD6C1B">
        <w:rPr>
          <w:bCs/>
          <w:sz w:val="24"/>
          <w:szCs w:val="24"/>
        </w:rPr>
        <w:tab/>
      </w:r>
      <w:r w:rsidR="0025629B" w:rsidRPr="00FD6C1B">
        <w:rPr>
          <w:bCs/>
          <w:sz w:val="24"/>
          <w:szCs w:val="24"/>
        </w:rPr>
        <w:t xml:space="preserve">Despite his realization that an application for rescission would have to be brought, it </w:t>
      </w:r>
      <w:r w:rsidR="00701AB9">
        <w:rPr>
          <w:bCs/>
          <w:sz w:val="24"/>
          <w:szCs w:val="24"/>
        </w:rPr>
        <w:t>was not brought</w:t>
      </w:r>
      <w:r w:rsidR="0025629B" w:rsidRPr="00FD6C1B">
        <w:rPr>
          <w:bCs/>
          <w:sz w:val="24"/>
          <w:szCs w:val="24"/>
        </w:rPr>
        <w:t xml:space="preserve"> for almost 18 months. Although some explanation was proferred about the challenge in obtaining transcripts from the criminal court, no proper basis was laid for this</w:t>
      </w:r>
      <w:r w:rsidR="00701AB9">
        <w:rPr>
          <w:bCs/>
          <w:sz w:val="24"/>
          <w:szCs w:val="24"/>
        </w:rPr>
        <w:t xml:space="preserve"> and it was not substantiated</w:t>
      </w:r>
      <w:r w:rsidR="0025629B" w:rsidRPr="00FD6C1B">
        <w:rPr>
          <w:bCs/>
          <w:sz w:val="24"/>
          <w:szCs w:val="24"/>
        </w:rPr>
        <w:t xml:space="preserve">. There was no </w:t>
      </w:r>
      <w:r w:rsidR="006F7ED6" w:rsidRPr="00FD6C1B">
        <w:rPr>
          <w:bCs/>
          <w:sz w:val="24"/>
          <w:szCs w:val="24"/>
        </w:rPr>
        <w:t xml:space="preserve">substantive </w:t>
      </w:r>
      <w:r w:rsidR="0025629B" w:rsidRPr="00FD6C1B">
        <w:rPr>
          <w:bCs/>
          <w:sz w:val="24"/>
          <w:szCs w:val="24"/>
        </w:rPr>
        <w:t>application for condonation</w:t>
      </w:r>
      <w:r w:rsidR="006F7ED6" w:rsidRPr="00FD6C1B">
        <w:rPr>
          <w:bCs/>
          <w:sz w:val="24"/>
          <w:szCs w:val="24"/>
        </w:rPr>
        <w:t xml:space="preserve"> although this was belatedly raised and sought in the applicant’s heads of argument.</w:t>
      </w:r>
    </w:p>
    <w:p w14:paraId="6B2FCA5C" w14:textId="77777777" w:rsidR="00C25FBA" w:rsidRPr="00FD6C1B" w:rsidRDefault="00C25FBA" w:rsidP="00C25FBA">
      <w:pPr>
        <w:pStyle w:val="Body"/>
        <w:spacing w:line="360" w:lineRule="auto"/>
        <w:ind w:left="851" w:hanging="851"/>
        <w:jc w:val="both"/>
        <w:rPr>
          <w:bCs/>
          <w:sz w:val="24"/>
          <w:szCs w:val="24"/>
          <w:u w:val="single"/>
        </w:rPr>
      </w:pPr>
    </w:p>
    <w:p w14:paraId="0F89627C" w14:textId="7FA21E32" w:rsidR="00C25FBA" w:rsidRPr="00701AB9" w:rsidRDefault="00E3577B" w:rsidP="00E3577B">
      <w:pPr>
        <w:pStyle w:val="Body"/>
        <w:spacing w:line="360" w:lineRule="auto"/>
        <w:ind w:left="851" w:hanging="851"/>
        <w:jc w:val="both"/>
        <w:rPr>
          <w:bCs/>
          <w:sz w:val="24"/>
          <w:szCs w:val="24"/>
          <w:u w:val="single"/>
        </w:rPr>
      </w:pPr>
      <w:r w:rsidRPr="00701AB9">
        <w:rPr>
          <w:bCs/>
          <w:sz w:val="24"/>
          <w:szCs w:val="24"/>
        </w:rPr>
        <w:t>7.</w:t>
      </w:r>
      <w:r w:rsidRPr="00701AB9">
        <w:rPr>
          <w:bCs/>
          <w:sz w:val="24"/>
          <w:szCs w:val="24"/>
        </w:rPr>
        <w:tab/>
      </w:r>
      <w:r w:rsidR="0025629B" w:rsidRPr="00701AB9">
        <w:rPr>
          <w:bCs/>
          <w:sz w:val="24"/>
          <w:szCs w:val="24"/>
        </w:rPr>
        <w:t xml:space="preserve">The respondent opposed the present application and besides filing an answer, also brought an application to strike out certain scandalous allegations made by the applicant. </w:t>
      </w:r>
      <w:r w:rsidR="006F7ED6" w:rsidRPr="00701AB9">
        <w:rPr>
          <w:bCs/>
          <w:sz w:val="24"/>
          <w:szCs w:val="24"/>
        </w:rPr>
        <w:t xml:space="preserve">This all occurred on 3 December 2019. </w:t>
      </w:r>
      <w:r w:rsidR="0025629B" w:rsidRPr="00701AB9">
        <w:rPr>
          <w:bCs/>
          <w:sz w:val="24"/>
          <w:szCs w:val="24"/>
        </w:rPr>
        <w:t>No opposition was entered to the application to strike out and no replying affidavit was filed</w:t>
      </w:r>
      <w:r w:rsidR="00701AB9" w:rsidRPr="00701AB9">
        <w:rPr>
          <w:bCs/>
          <w:sz w:val="24"/>
          <w:szCs w:val="24"/>
        </w:rPr>
        <w:t>.</w:t>
      </w:r>
      <w:r w:rsidR="0025629B" w:rsidRPr="00701AB9">
        <w:rPr>
          <w:bCs/>
          <w:sz w:val="24"/>
          <w:szCs w:val="24"/>
        </w:rPr>
        <w:t xml:space="preserve"> </w:t>
      </w:r>
      <w:r w:rsidR="0035338C">
        <w:rPr>
          <w:bCs/>
          <w:sz w:val="24"/>
          <w:szCs w:val="24"/>
        </w:rPr>
        <w:t>It is trite that the present application is accordingly to be decided on the respondent version.</w:t>
      </w:r>
      <w:r w:rsidR="0035338C">
        <w:rPr>
          <w:rStyle w:val="FootnoteReference"/>
          <w:bCs/>
          <w:sz w:val="24"/>
          <w:szCs w:val="24"/>
        </w:rPr>
        <w:footnoteReference w:id="1"/>
      </w:r>
      <w:r w:rsidR="0035338C">
        <w:rPr>
          <w:bCs/>
          <w:sz w:val="24"/>
          <w:szCs w:val="24"/>
        </w:rPr>
        <w:t xml:space="preserve"> </w:t>
      </w:r>
    </w:p>
    <w:p w14:paraId="0A7CD1E1" w14:textId="77777777" w:rsidR="00701AB9" w:rsidRDefault="00701AB9" w:rsidP="00701AB9">
      <w:pPr>
        <w:pStyle w:val="ListParagraph"/>
        <w:rPr>
          <w:bCs/>
          <w:u w:val="single"/>
        </w:rPr>
      </w:pPr>
    </w:p>
    <w:p w14:paraId="7ABB9CD7" w14:textId="77777777" w:rsidR="00701AB9" w:rsidRPr="00701AB9" w:rsidRDefault="00701AB9" w:rsidP="00701AB9">
      <w:pPr>
        <w:pStyle w:val="Body"/>
        <w:spacing w:line="360" w:lineRule="auto"/>
        <w:ind w:left="851"/>
        <w:jc w:val="both"/>
        <w:rPr>
          <w:bCs/>
          <w:sz w:val="24"/>
          <w:szCs w:val="24"/>
          <w:u w:val="single"/>
        </w:rPr>
      </w:pPr>
    </w:p>
    <w:p w14:paraId="192483D9" w14:textId="3BB3E698" w:rsidR="0025629B" w:rsidRPr="00FD6C1B" w:rsidRDefault="00E3577B" w:rsidP="00E3577B">
      <w:pPr>
        <w:pStyle w:val="Body"/>
        <w:spacing w:line="360" w:lineRule="auto"/>
        <w:ind w:left="851" w:hanging="851"/>
        <w:jc w:val="both"/>
        <w:rPr>
          <w:bCs/>
          <w:sz w:val="24"/>
          <w:szCs w:val="24"/>
          <w:u w:val="single"/>
        </w:rPr>
      </w:pPr>
      <w:r w:rsidRPr="00FD6C1B">
        <w:rPr>
          <w:bCs/>
          <w:sz w:val="24"/>
          <w:szCs w:val="24"/>
        </w:rPr>
        <w:t>8.</w:t>
      </w:r>
      <w:r w:rsidRPr="00FD6C1B">
        <w:rPr>
          <w:bCs/>
          <w:sz w:val="24"/>
          <w:szCs w:val="24"/>
        </w:rPr>
        <w:tab/>
      </w:r>
      <w:r w:rsidR="0025629B" w:rsidRPr="00FD6C1B">
        <w:rPr>
          <w:bCs/>
          <w:sz w:val="24"/>
          <w:szCs w:val="24"/>
        </w:rPr>
        <w:t xml:space="preserve">The applicant appears to have lost interest in pursuing the present application at that point and no further steps were taken by him. </w:t>
      </w:r>
      <w:r w:rsidR="00701AB9">
        <w:rPr>
          <w:bCs/>
          <w:sz w:val="24"/>
          <w:szCs w:val="24"/>
        </w:rPr>
        <w:t xml:space="preserve">The consequence was that the main action for the determination of damages was paralyzed from further conduct. </w:t>
      </w:r>
      <w:r w:rsidR="0025629B" w:rsidRPr="00FD6C1B">
        <w:rPr>
          <w:bCs/>
          <w:sz w:val="24"/>
          <w:szCs w:val="24"/>
        </w:rPr>
        <w:t>It was left to the respondent to bring an application to compel the applicant to comply with the practice directives of this court on 22 March 2022</w:t>
      </w:r>
      <w:r w:rsidR="00F95E94" w:rsidRPr="00FD6C1B">
        <w:rPr>
          <w:bCs/>
          <w:sz w:val="24"/>
          <w:szCs w:val="24"/>
        </w:rPr>
        <w:t>,</w:t>
      </w:r>
      <w:r w:rsidR="0025629B" w:rsidRPr="00FD6C1B">
        <w:rPr>
          <w:bCs/>
          <w:sz w:val="24"/>
          <w:szCs w:val="24"/>
        </w:rPr>
        <w:t xml:space="preserve"> so that he could have the application set down for hearing.</w:t>
      </w:r>
    </w:p>
    <w:p w14:paraId="0D0ADBDC" w14:textId="77777777" w:rsidR="00C25FBA" w:rsidRPr="00FD6C1B" w:rsidRDefault="00C25FBA" w:rsidP="00C25FBA">
      <w:pPr>
        <w:pStyle w:val="Body"/>
        <w:spacing w:line="360" w:lineRule="auto"/>
        <w:ind w:left="851" w:hanging="851"/>
        <w:jc w:val="both"/>
        <w:rPr>
          <w:bCs/>
          <w:sz w:val="24"/>
          <w:szCs w:val="24"/>
          <w:u w:val="single"/>
        </w:rPr>
      </w:pPr>
    </w:p>
    <w:p w14:paraId="744FF30A" w14:textId="4F81A56B" w:rsidR="00C25FBA" w:rsidRPr="00701AB9" w:rsidRDefault="00E3577B" w:rsidP="00E3577B">
      <w:pPr>
        <w:pStyle w:val="Body"/>
        <w:spacing w:line="360" w:lineRule="auto"/>
        <w:ind w:left="851" w:hanging="851"/>
        <w:jc w:val="both"/>
        <w:rPr>
          <w:bCs/>
          <w:sz w:val="24"/>
          <w:szCs w:val="24"/>
          <w:u w:val="single"/>
        </w:rPr>
      </w:pPr>
      <w:r w:rsidRPr="00701AB9">
        <w:rPr>
          <w:bCs/>
          <w:sz w:val="24"/>
          <w:szCs w:val="24"/>
        </w:rPr>
        <w:lastRenderedPageBreak/>
        <w:t>9.</w:t>
      </w:r>
      <w:r w:rsidRPr="00701AB9">
        <w:rPr>
          <w:bCs/>
          <w:sz w:val="24"/>
          <w:szCs w:val="24"/>
        </w:rPr>
        <w:tab/>
      </w:r>
      <w:r w:rsidR="006F7ED6" w:rsidRPr="00701AB9">
        <w:rPr>
          <w:bCs/>
          <w:sz w:val="24"/>
          <w:szCs w:val="24"/>
        </w:rPr>
        <w:t xml:space="preserve">The basis upon which the applicant contended that the consent order should be rescinded was </w:t>
      </w:r>
      <w:r w:rsidR="006F7ED6" w:rsidRPr="00701AB9">
        <w:rPr>
          <w:bCs/>
          <w:i/>
          <w:iCs/>
          <w:sz w:val="24"/>
          <w:szCs w:val="24"/>
        </w:rPr>
        <w:t>iustus error</w:t>
      </w:r>
      <w:r w:rsidR="006F7ED6" w:rsidRPr="00701AB9">
        <w:rPr>
          <w:bCs/>
          <w:sz w:val="24"/>
          <w:szCs w:val="24"/>
        </w:rPr>
        <w:t>. The error</w:t>
      </w:r>
      <w:r w:rsidR="00337669">
        <w:rPr>
          <w:bCs/>
          <w:sz w:val="24"/>
          <w:szCs w:val="24"/>
        </w:rPr>
        <w:t>, in consenting,</w:t>
      </w:r>
      <w:r w:rsidR="006F7ED6" w:rsidRPr="00701AB9">
        <w:rPr>
          <w:bCs/>
          <w:sz w:val="24"/>
          <w:szCs w:val="24"/>
        </w:rPr>
        <w:t xml:space="preserve"> was</w:t>
      </w:r>
      <w:r w:rsidR="00701AB9" w:rsidRPr="00701AB9">
        <w:rPr>
          <w:bCs/>
          <w:sz w:val="24"/>
          <w:szCs w:val="24"/>
        </w:rPr>
        <w:t xml:space="preserve"> alleged to be</w:t>
      </w:r>
      <w:r w:rsidR="006F7ED6" w:rsidRPr="00701AB9">
        <w:rPr>
          <w:bCs/>
          <w:sz w:val="24"/>
          <w:szCs w:val="24"/>
        </w:rPr>
        <w:t xml:space="preserve"> in consequence of the advice he had been given by his senior counsel, a </w:t>
      </w:r>
      <w:r w:rsidR="006F7ED6" w:rsidRPr="0035338C">
        <w:rPr>
          <w:bCs/>
          <w:i/>
          <w:iCs/>
          <w:sz w:val="24"/>
          <w:szCs w:val="24"/>
        </w:rPr>
        <w:t>sine qua non</w:t>
      </w:r>
      <w:r w:rsidR="006F7ED6" w:rsidRPr="00701AB9">
        <w:rPr>
          <w:bCs/>
          <w:sz w:val="24"/>
          <w:szCs w:val="24"/>
        </w:rPr>
        <w:t xml:space="preserve"> for his agreeing to the consent order. </w:t>
      </w:r>
      <w:r w:rsidR="00701AB9">
        <w:rPr>
          <w:bCs/>
          <w:sz w:val="24"/>
          <w:szCs w:val="24"/>
        </w:rPr>
        <w:t xml:space="preserve">The applicant </w:t>
      </w:r>
      <w:r w:rsidR="00337669">
        <w:rPr>
          <w:bCs/>
          <w:sz w:val="24"/>
          <w:szCs w:val="24"/>
        </w:rPr>
        <w:t>was unable to refer me to any specific authority to support this proposition</w:t>
      </w:r>
    </w:p>
    <w:p w14:paraId="2733488D" w14:textId="77777777" w:rsidR="00C25FBA" w:rsidRDefault="00C25FBA" w:rsidP="007D62E7">
      <w:pPr>
        <w:pStyle w:val="Body"/>
        <w:spacing w:line="360" w:lineRule="auto"/>
        <w:ind w:left="720"/>
        <w:jc w:val="both"/>
        <w:rPr>
          <w:bCs/>
          <w:sz w:val="22"/>
          <w:szCs w:val="22"/>
        </w:rPr>
      </w:pPr>
    </w:p>
    <w:p w14:paraId="6CDB24AD" w14:textId="06BE59A4" w:rsidR="0035338C" w:rsidRDefault="00E3577B" w:rsidP="00E3577B">
      <w:pPr>
        <w:pStyle w:val="Body"/>
        <w:spacing w:line="360" w:lineRule="auto"/>
        <w:ind w:left="851" w:hanging="851"/>
        <w:jc w:val="both"/>
        <w:rPr>
          <w:bCs/>
          <w:sz w:val="24"/>
          <w:szCs w:val="24"/>
        </w:rPr>
      </w:pPr>
      <w:r>
        <w:rPr>
          <w:bCs/>
          <w:sz w:val="24"/>
          <w:szCs w:val="24"/>
        </w:rPr>
        <w:t>10.</w:t>
      </w:r>
      <w:r>
        <w:rPr>
          <w:bCs/>
          <w:sz w:val="24"/>
          <w:szCs w:val="24"/>
        </w:rPr>
        <w:tab/>
      </w:r>
      <w:r w:rsidR="00C44B38" w:rsidRPr="005551B2">
        <w:rPr>
          <w:bCs/>
          <w:sz w:val="24"/>
          <w:szCs w:val="24"/>
        </w:rPr>
        <w:t xml:space="preserve">The respondent for his part, besides persisting with the application to strike out certain statements in the applicant’s founding affidavit, also opposed the recission of the order.  </w:t>
      </w:r>
      <w:r w:rsidR="00FA0F89" w:rsidRPr="005551B2">
        <w:rPr>
          <w:bCs/>
          <w:sz w:val="24"/>
          <w:szCs w:val="24"/>
        </w:rPr>
        <w:t>It was argued for the respondent that the allegation by the applicant that he had relied on incorrect advice was of no assistance to the applicant</w:t>
      </w:r>
      <w:r w:rsidR="005551B2">
        <w:rPr>
          <w:bCs/>
          <w:sz w:val="24"/>
          <w:szCs w:val="24"/>
        </w:rPr>
        <w:t xml:space="preserve">. </w:t>
      </w:r>
    </w:p>
    <w:p w14:paraId="2E1B03AD" w14:textId="77777777" w:rsidR="0035338C" w:rsidRDefault="0035338C" w:rsidP="0035338C">
      <w:pPr>
        <w:pStyle w:val="ListParagraph"/>
        <w:rPr>
          <w:bCs/>
        </w:rPr>
      </w:pPr>
    </w:p>
    <w:p w14:paraId="4264DD0E" w14:textId="66D4A4AC" w:rsidR="009D3F6D" w:rsidRDefault="00E3577B" w:rsidP="00E3577B">
      <w:pPr>
        <w:pStyle w:val="Body"/>
        <w:spacing w:line="360" w:lineRule="auto"/>
        <w:ind w:left="851" w:hanging="851"/>
        <w:jc w:val="both"/>
        <w:rPr>
          <w:bCs/>
          <w:sz w:val="24"/>
          <w:szCs w:val="24"/>
        </w:rPr>
      </w:pPr>
      <w:r>
        <w:rPr>
          <w:bCs/>
          <w:sz w:val="24"/>
          <w:szCs w:val="24"/>
        </w:rPr>
        <w:t>11.</w:t>
      </w:r>
      <w:r>
        <w:rPr>
          <w:bCs/>
          <w:sz w:val="24"/>
          <w:szCs w:val="24"/>
        </w:rPr>
        <w:tab/>
      </w:r>
      <w:r w:rsidR="005551B2">
        <w:rPr>
          <w:bCs/>
          <w:sz w:val="24"/>
          <w:szCs w:val="24"/>
        </w:rPr>
        <w:t>It was held in CF Gollach &amp; Gomperts v Universal Mills &amp; Produce Co</w:t>
      </w:r>
      <w:r w:rsidR="00973878">
        <w:rPr>
          <w:bCs/>
          <w:sz w:val="24"/>
          <w:szCs w:val="24"/>
        </w:rPr>
        <w:t>.</w:t>
      </w:r>
      <w:r w:rsidR="005551B2">
        <w:rPr>
          <w:rStyle w:val="FootnoteReference"/>
          <w:bCs/>
          <w:sz w:val="24"/>
          <w:szCs w:val="24"/>
        </w:rPr>
        <w:footnoteReference w:id="2"/>
      </w:r>
      <w:r w:rsidR="00973878">
        <w:rPr>
          <w:bCs/>
          <w:sz w:val="24"/>
          <w:szCs w:val="24"/>
        </w:rPr>
        <w:t xml:space="preserve"> that:</w:t>
      </w:r>
    </w:p>
    <w:p w14:paraId="602D7F2A" w14:textId="77777777" w:rsidR="00973878" w:rsidRDefault="00973878" w:rsidP="00973878">
      <w:pPr>
        <w:pStyle w:val="ListParagraph"/>
        <w:rPr>
          <w:bCs/>
        </w:rPr>
      </w:pPr>
    </w:p>
    <w:p w14:paraId="702BECEF" w14:textId="0DD340E9" w:rsidR="00973878" w:rsidRPr="00973878" w:rsidRDefault="00973878" w:rsidP="0035338C">
      <w:pPr>
        <w:pStyle w:val="Body"/>
        <w:spacing w:line="360" w:lineRule="auto"/>
        <w:ind w:left="851"/>
        <w:jc w:val="both"/>
        <w:rPr>
          <w:bCs/>
          <w:i/>
          <w:iCs/>
          <w:sz w:val="22"/>
          <w:szCs w:val="22"/>
        </w:rPr>
      </w:pPr>
      <w:r w:rsidRPr="00973878">
        <w:rPr>
          <w:bCs/>
          <w:i/>
          <w:iCs/>
          <w:sz w:val="24"/>
          <w:szCs w:val="24"/>
        </w:rPr>
        <w:t>“</w:t>
      </w:r>
      <w:r w:rsidRPr="00973878">
        <w:rPr>
          <w:bCs/>
          <w:i/>
          <w:iCs/>
          <w:sz w:val="22"/>
          <w:szCs w:val="22"/>
        </w:rPr>
        <w:t>Voluntary acceptance by parties to a compromise of an element of risk that their bargain might not be as advantageous to them as litigation might have been is inherent in the very concept of compromise. This is a circumstance which the Court must bear in mind when it considers a complaint by a dissatisfied party that, had he not labored under an erroneous belief or been ignorant of certain facts, he would not have entered into the settlement agreement.”</w:t>
      </w:r>
    </w:p>
    <w:p w14:paraId="51292944" w14:textId="77777777" w:rsidR="005551B2" w:rsidRDefault="005551B2" w:rsidP="005551B2">
      <w:pPr>
        <w:pStyle w:val="ListParagraph"/>
        <w:rPr>
          <w:bCs/>
        </w:rPr>
      </w:pPr>
    </w:p>
    <w:p w14:paraId="52B6FD88" w14:textId="77777777" w:rsidR="005551B2" w:rsidRPr="005551B2" w:rsidRDefault="005551B2" w:rsidP="005551B2">
      <w:pPr>
        <w:pStyle w:val="Body"/>
        <w:spacing w:line="360" w:lineRule="auto"/>
        <w:ind w:left="851"/>
        <w:jc w:val="both"/>
        <w:rPr>
          <w:bCs/>
          <w:sz w:val="24"/>
          <w:szCs w:val="24"/>
        </w:rPr>
      </w:pPr>
    </w:p>
    <w:p w14:paraId="5985109A" w14:textId="34F6457D" w:rsidR="009D3F6D" w:rsidRDefault="00E3577B" w:rsidP="00E3577B">
      <w:pPr>
        <w:pStyle w:val="Body"/>
        <w:spacing w:line="360" w:lineRule="auto"/>
        <w:ind w:left="851" w:hanging="851"/>
        <w:jc w:val="both"/>
        <w:rPr>
          <w:bCs/>
          <w:sz w:val="24"/>
          <w:szCs w:val="24"/>
        </w:rPr>
      </w:pPr>
      <w:r>
        <w:rPr>
          <w:bCs/>
          <w:sz w:val="24"/>
          <w:szCs w:val="24"/>
        </w:rPr>
        <w:t>12.</w:t>
      </w:r>
      <w:r>
        <w:rPr>
          <w:bCs/>
          <w:sz w:val="24"/>
          <w:szCs w:val="24"/>
        </w:rPr>
        <w:tab/>
      </w:r>
      <w:r w:rsidR="009D3F6D">
        <w:rPr>
          <w:bCs/>
          <w:sz w:val="24"/>
          <w:szCs w:val="24"/>
        </w:rPr>
        <w:t xml:space="preserve">The respondent also referred to Slip Knot </w:t>
      </w:r>
      <w:r w:rsidR="00701AB9" w:rsidRPr="00FD6C1B">
        <w:rPr>
          <w:bCs/>
          <w:sz w:val="24"/>
          <w:szCs w:val="24"/>
        </w:rPr>
        <w:t>Investments 777 (Pty) Ltd v Du Toit</w:t>
      </w:r>
      <w:r w:rsidR="00701AB9">
        <w:rPr>
          <w:rStyle w:val="FootnoteReference"/>
          <w:bCs/>
          <w:sz w:val="24"/>
          <w:szCs w:val="24"/>
        </w:rPr>
        <w:footnoteReference w:id="3"/>
      </w:r>
      <w:r w:rsidR="00701AB9">
        <w:rPr>
          <w:bCs/>
          <w:sz w:val="24"/>
          <w:szCs w:val="24"/>
        </w:rPr>
        <w:t xml:space="preserve"> </w:t>
      </w:r>
      <w:r w:rsidR="009D3F6D">
        <w:rPr>
          <w:bCs/>
          <w:sz w:val="24"/>
          <w:szCs w:val="24"/>
        </w:rPr>
        <w:t xml:space="preserve">as authority for the proposition that where there was no material misrepresentation made by the other party and the error was a unilateral one, </w:t>
      </w:r>
      <w:r w:rsidR="009D3F6D" w:rsidRPr="009D3F6D">
        <w:rPr>
          <w:bCs/>
          <w:i/>
          <w:iCs/>
          <w:sz w:val="24"/>
          <w:szCs w:val="24"/>
        </w:rPr>
        <w:t>iustus error</w:t>
      </w:r>
      <w:r w:rsidR="009D3F6D">
        <w:rPr>
          <w:bCs/>
          <w:i/>
          <w:iCs/>
          <w:sz w:val="24"/>
          <w:szCs w:val="24"/>
        </w:rPr>
        <w:t xml:space="preserve"> </w:t>
      </w:r>
      <w:r w:rsidR="009D3F6D">
        <w:rPr>
          <w:bCs/>
          <w:sz w:val="24"/>
          <w:szCs w:val="24"/>
        </w:rPr>
        <w:t xml:space="preserve">could not be relied upon.  </w:t>
      </w:r>
    </w:p>
    <w:p w14:paraId="48323861" w14:textId="77777777" w:rsidR="009D3F6D" w:rsidRDefault="009D3F6D" w:rsidP="009D3F6D">
      <w:pPr>
        <w:pStyle w:val="ListParagraph"/>
        <w:rPr>
          <w:bCs/>
        </w:rPr>
      </w:pPr>
    </w:p>
    <w:p w14:paraId="485C9480" w14:textId="582C82D7" w:rsidR="00973878" w:rsidRDefault="00E3577B" w:rsidP="00E3577B">
      <w:pPr>
        <w:pStyle w:val="Body"/>
        <w:spacing w:line="360" w:lineRule="auto"/>
        <w:ind w:left="851" w:hanging="851"/>
        <w:jc w:val="both"/>
        <w:rPr>
          <w:bCs/>
          <w:sz w:val="24"/>
          <w:szCs w:val="24"/>
        </w:rPr>
      </w:pPr>
      <w:r>
        <w:rPr>
          <w:bCs/>
          <w:sz w:val="24"/>
          <w:szCs w:val="24"/>
        </w:rPr>
        <w:t>13.</w:t>
      </w:r>
      <w:r>
        <w:rPr>
          <w:bCs/>
          <w:sz w:val="24"/>
          <w:szCs w:val="24"/>
        </w:rPr>
        <w:tab/>
      </w:r>
      <w:r w:rsidR="009D3F6D">
        <w:rPr>
          <w:bCs/>
          <w:sz w:val="24"/>
          <w:szCs w:val="24"/>
        </w:rPr>
        <w:t xml:space="preserve">Of course, in the present matter, there was no representation made by the respondent.  The consent order is clearly and unequivocally in its terms an </w:t>
      </w:r>
      <w:r w:rsidR="009D3F6D">
        <w:rPr>
          <w:bCs/>
          <w:sz w:val="24"/>
          <w:szCs w:val="24"/>
        </w:rPr>
        <w:lastRenderedPageBreak/>
        <w:t xml:space="preserve">admission of liability for what occurred on 3 November 2014.  It cannot be ignored that the applicant was represented and advised by senior counsel at the time that he decided to consent to the order.  </w:t>
      </w:r>
    </w:p>
    <w:p w14:paraId="22B9DACD" w14:textId="77777777" w:rsidR="00973878" w:rsidRDefault="00973878" w:rsidP="00973878">
      <w:pPr>
        <w:pStyle w:val="ListParagraph"/>
        <w:rPr>
          <w:bCs/>
        </w:rPr>
      </w:pPr>
    </w:p>
    <w:p w14:paraId="16283300" w14:textId="1C49D992" w:rsidR="0035338C" w:rsidRDefault="00E3577B" w:rsidP="00E3577B">
      <w:pPr>
        <w:pStyle w:val="Body"/>
        <w:spacing w:line="360" w:lineRule="auto"/>
        <w:ind w:left="851" w:hanging="851"/>
        <w:jc w:val="both"/>
        <w:rPr>
          <w:bCs/>
          <w:sz w:val="24"/>
          <w:szCs w:val="24"/>
        </w:rPr>
      </w:pPr>
      <w:r>
        <w:rPr>
          <w:bCs/>
          <w:sz w:val="24"/>
          <w:szCs w:val="24"/>
        </w:rPr>
        <w:t>14.</w:t>
      </w:r>
      <w:r>
        <w:rPr>
          <w:bCs/>
          <w:sz w:val="24"/>
          <w:szCs w:val="24"/>
        </w:rPr>
        <w:tab/>
      </w:r>
      <w:r w:rsidR="009D3F6D">
        <w:rPr>
          <w:bCs/>
          <w:sz w:val="24"/>
          <w:szCs w:val="24"/>
        </w:rPr>
        <w:t xml:space="preserve">The applicant must have fully briefed his counsel on the circumstances of the matter and also of the fact that besides the civil claim, he was also facing criminal charges.  It seems to me as a probability that the various postponements of the civil action to which the applicant had referred, had been sought so that he would not have to find himself in the invidious position of having to testify in a civil action in the high court under oath and to thereafter appear subsequently in a criminal court to face charges relating to the same series of events.  </w:t>
      </w:r>
    </w:p>
    <w:p w14:paraId="1F3933BC" w14:textId="77777777" w:rsidR="0035338C" w:rsidRDefault="0035338C" w:rsidP="0035338C">
      <w:pPr>
        <w:pStyle w:val="ListParagraph"/>
        <w:rPr>
          <w:bCs/>
        </w:rPr>
      </w:pPr>
    </w:p>
    <w:p w14:paraId="20D28B2E" w14:textId="4EDA0049" w:rsidR="009D3F6D" w:rsidRDefault="00E3577B" w:rsidP="00E3577B">
      <w:pPr>
        <w:pStyle w:val="Body"/>
        <w:spacing w:line="360" w:lineRule="auto"/>
        <w:ind w:left="851" w:hanging="851"/>
        <w:jc w:val="both"/>
        <w:rPr>
          <w:bCs/>
          <w:sz w:val="24"/>
          <w:szCs w:val="24"/>
        </w:rPr>
      </w:pPr>
      <w:r>
        <w:rPr>
          <w:bCs/>
          <w:sz w:val="24"/>
          <w:szCs w:val="24"/>
        </w:rPr>
        <w:t>15.</w:t>
      </w:r>
      <w:r>
        <w:rPr>
          <w:bCs/>
          <w:sz w:val="24"/>
          <w:szCs w:val="24"/>
        </w:rPr>
        <w:tab/>
      </w:r>
      <w:r w:rsidR="009D3F6D">
        <w:rPr>
          <w:bCs/>
          <w:sz w:val="24"/>
          <w:szCs w:val="24"/>
        </w:rPr>
        <w:t xml:space="preserve">It is improbable that the applicant’s senior counsel advised him to consent to the order, if his doing so was in conflict with the instructions that he had given to his senior counsel.  </w:t>
      </w:r>
    </w:p>
    <w:p w14:paraId="798B6639" w14:textId="77777777" w:rsidR="009D3F6D" w:rsidRDefault="009D3F6D" w:rsidP="009D3F6D">
      <w:pPr>
        <w:pStyle w:val="Body"/>
        <w:spacing w:line="360" w:lineRule="auto"/>
        <w:ind w:left="851"/>
        <w:jc w:val="both"/>
        <w:rPr>
          <w:bCs/>
          <w:sz w:val="24"/>
          <w:szCs w:val="24"/>
        </w:rPr>
      </w:pPr>
    </w:p>
    <w:p w14:paraId="4648D50A" w14:textId="48D5D85B" w:rsidR="00701AB9" w:rsidRDefault="00E3577B" w:rsidP="00E3577B">
      <w:pPr>
        <w:pStyle w:val="Body"/>
        <w:spacing w:line="360" w:lineRule="auto"/>
        <w:ind w:left="851" w:hanging="851"/>
        <w:jc w:val="both"/>
        <w:rPr>
          <w:bCs/>
          <w:sz w:val="24"/>
          <w:szCs w:val="24"/>
        </w:rPr>
      </w:pPr>
      <w:r>
        <w:rPr>
          <w:bCs/>
          <w:sz w:val="24"/>
          <w:szCs w:val="24"/>
        </w:rPr>
        <w:t>16.</w:t>
      </w:r>
      <w:r>
        <w:rPr>
          <w:bCs/>
          <w:sz w:val="24"/>
          <w:szCs w:val="24"/>
        </w:rPr>
        <w:tab/>
      </w:r>
      <w:r w:rsidR="0035338C">
        <w:rPr>
          <w:bCs/>
          <w:sz w:val="24"/>
          <w:szCs w:val="24"/>
        </w:rPr>
        <w:t>O</w:t>
      </w:r>
      <w:r w:rsidR="009D3F6D">
        <w:rPr>
          <w:bCs/>
          <w:sz w:val="24"/>
          <w:szCs w:val="24"/>
        </w:rPr>
        <w:t xml:space="preserve">n the probabilities  the applicant advertently consented to the order in the civil matter to avoid having to testify.  Having achieved this, he then, once the respondent </w:t>
      </w:r>
      <w:r w:rsidR="00C25FBA">
        <w:rPr>
          <w:bCs/>
          <w:sz w:val="24"/>
          <w:szCs w:val="24"/>
        </w:rPr>
        <w:t>had testified and been cross examined</w:t>
      </w:r>
      <w:r w:rsidR="00973878">
        <w:rPr>
          <w:bCs/>
          <w:sz w:val="24"/>
          <w:szCs w:val="24"/>
        </w:rPr>
        <w:t xml:space="preserve"> in the criminal trial</w:t>
      </w:r>
      <w:r w:rsidR="00C25FBA">
        <w:rPr>
          <w:bCs/>
          <w:sz w:val="24"/>
          <w:szCs w:val="24"/>
        </w:rPr>
        <w:t xml:space="preserve">, sought to resile from </w:t>
      </w:r>
      <w:r w:rsidR="00973878">
        <w:rPr>
          <w:bCs/>
          <w:sz w:val="24"/>
          <w:szCs w:val="24"/>
        </w:rPr>
        <w:t>the</w:t>
      </w:r>
      <w:r w:rsidR="00C25FBA">
        <w:rPr>
          <w:bCs/>
          <w:sz w:val="24"/>
          <w:szCs w:val="24"/>
        </w:rPr>
        <w:t xml:space="preserve"> agreement, having already received the benefit that he had sought in consenting.  There was in the </w:t>
      </w:r>
      <w:r w:rsidR="00701AB9">
        <w:rPr>
          <w:bCs/>
          <w:sz w:val="24"/>
          <w:szCs w:val="24"/>
        </w:rPr>
        <w:t>circumstance’s</w:t>
      </w:r>
      <w:r w:rsidR="00C25FBA">
        <w:rPr>
          <w:bCs/>
          <w:sz w:val="24"/>
          <w:szCs w:val="24"/>
        </w:rPr>
        <w:t xml:space="preserve"> no </w:t>
      </w:r>
      <w:r w:rsidR="00C25FBA" w:rsidRPr="00C25FBA">
        <w:rPr>
          <w:bCs/>
          <w:i/>
          <w:iCs/>
          <w:sz w:val="24"/>
          <w:szCs w:val="24"/>
        </w:rPr>
        <w:t>“Damascus moment”</w:t>
      </w:r>
      <w:r w:rsidR="00C25FBA">
        <w:rPr>
          <w:bCs/>
          <w:i/>
          <w:iCs/>
          <w:sz w:val="24"/>
          <w:szCs w:val="24"/>
        </w:rPr>
        <w:t xml:space="preserve">. </w:t>
      </w:r>
    </w:p>
    <w:p w14:paraId="7321C7A8" w14:textId="77777777" w:rsidR="00701AB9" w:rsidRDefault="00701AB9" w:rsidP="00701AB9">
      <w:pPr>
        <w:pStyle w:val="ListParagraph"/>
        <w:rPr>
          <w:bCs/>
          <w:i/>
          <w:iCs/>
        </w:rPr>
      </w:pPr>
    </w:p>
    <w:p w14:paraId="19B6B317" w14:textId="2CDA2BFA" w:rsidR="009D3F6D" w:rsidRDefault="00E3577B" w:rsidP="00E3577B">
      <w:pPr>
        <w:pStyle w:val="Body"/>
        <w:spacing w:line="360" w:lineRule="auto"/>
        <w:ind w:left="851" w:hanging="851"/>
        <w:jc w:val="both"/>
        <w:rPr>
          <w:bCs/>
          <w:sz w:val="24"/>
          <w:szCs w:val="24"/>
        </w:rPr>
      </w:pPr>
      <w:r>
        <w:rPr>
          <w:bCs/>
          <w:sz w:val="24"/>
          <w:szCs w:val="24"/>
        </w:rPr>
        <w:t>17.</w:t>
      </w:r>
      <w:r>
        <w:rPr>
          <w:bCs/>
          <w:sz w:val="24"/>
          <w:szCs w:val="24"/>
        </w:rPr>
        <w:tab/>
      </w:r>
      <w:r w:rsidR="00C25FBA">
        <w:rPr>
          <w:bCs/>
          <w:i/>
          <w:iCs/>
          <w:sz w:val="24"/>
          <w:szCs w:val="24"/>
        </w:rPr>
        <w:t xml:space="preserve"> </w:t>
      </w:r>
      <w:r w:rsidR="00C25FBA">
        <w:rPr>
          <w:bCs/>
          <w:sz w:val="24"/>
          <w:szCs w:val="24"/>
        </w:rPr>
        <w:t xml:space="preserve">The bringing of the present application seems to me to have been entirely opportunistic and nothing more than a further attempt to delay.  The conduct of the applicant in failing to oppose the application to strike out, failing to file a replying affidavit and having to be compelled to file his heads of argument lead to the ineluctable conclusion that the application was not made </w:t>
      </w:r>
      <w:r w:rsidR="00C25FBA" w:rsidRPr="00C25FBA">
        <w:rPr>
          <w:bCs/>
          <w:i/>
          <w:iCs/>
          <w:sz w:val="24"/>
          <w:szCs w:val="24"/>
        </w:rPr>
        <w:t>bona fide</w:t>
      </w:r>
      <w:r w:rsidR="00C25FBA">
        <w:rPr>
          <w:bCs/>
          <w:sz w:val="24"/>
          <w:szCs w:val="24"/>
        </w:rPr>
        <w:t xml:space="preserve"> and that there was in fact no </w:t>
      </w:r>
      <w:r w:rsidR="00C25FBA" w:rsidRPr="00C25FBA">
        <w:rPr>
          <w:bCs/>
          <w:i/>
          <w:iCs/>
          <w:sz w:val="24"/>
          <w:szCs w:val="24"/>
        </w:rPr>
        <w:t>iustus error</w:t>
      </w:r>
      <w:r w:rsidR="00C25FBA">
        <w:rPr>
          <w:bCs/>
          <w:sz w:val="24"/>
          <w:szCs w:val="24"/>
        </w:rPr>
        <w:t>.</w:t>
      </w:r>
    </w:p>
    <w:p w14:paraId="50E0DADC" w14:textId="77777777" w:rsidR="00C25FBA" w:rsidRDefault="00C25FBA" w:rsidP="00C25FBA">
      <w:pPr>
        <w:pStyle w:val="ListParagraph"/>
        <w:rPr>
          <w:bCs/>
        </w:rPr>
      </w:pPr>
    </w:p>
    <w:p w14:paraId="4297B3FD" w14:textId="1412B5EE" w:rsidR="00C25FBA" w:rsidRDefault="00E3577B" w:rsidP="00E3577B">
      <w:pPr>
        <w:pStyle w:val="Body"/>
        <w:spacing w:line="360" w:lineRule="auto"/>
        <w:ind w:left="851" w:hanging="851"/>
        <w:jc w:val="both"/>
        <w:rPr>
          <w:bCs/>
          <w:sz w:val="24"/>
          <w:szCs w:val="24"/>
        </w:rPr>
      </w:pPr>
      <w:r>
        <w:rPr>
          <w:bCs/>
          <w:sz w:val="24"/>
          <w:szCs w:val="24"/>
        </w:rPr>
        <w:t>18.</w:t>
      </w:r>
      <w:r>
        <w:rPr>
          <w:bCs/>
          <w:sz w:val="24"/>
          <w:szCs w:val="24"/>
        </w:rPr>
        <w:tab/>
      </w:r>
      <w:r w:rsidR="00C25FBA">
        <w:rPr>
          <w:bCs/>
          <w:sz w:val="24"/>
          <w:szCs w:val="24"/>
        </w:rPr>
        <w:t>For these reasons, I made the orders that I did, which orders include an order that the costs of this application be paid by the applicant on the punitive scale as between attorney and client.</w:t>
      </w:r>
    </w:p>
    <w:p w14:paraId="03300F4B" w14:textId="77777777" w:rsidR="00C25FBA" w:rsidRDefault="00C25FBA" w:rsidP="00C25FBA">
      <w:pPr>
        <w:pStyle w:val="ListParagraph"/>
        <w:rPr>
          <w:bCs/>
        </w:rPr>
      </w:pPr>
    </w:p>
    <w:p w14:paraId="24E22621" w14:textId="524DF73D" w:rsidR="008E6813" w:rsidRDefault="00E3577B" w:rsidP="00E3577B">
      <w:pPr>
        <w:pStyle w:val="Body"/>
        <w:spacing w:line="360" w:lineRule="auto"/>
        <w:ind w:left="851" w:hanging="851"/>
        <w:jc w:val="both"/>
        <w:rPr>
          <w:bCs/>
          <w:sz w:val="24"/>
          <w:szCs w:val="24"/>
        </w:rPr>
      </w:pPr>
      <w:r>
        <w:rPr>
          <w:bCs/>
          <w:sz w:val="24"/>
          <w:szCs w:val="24"/>
        </w:rPr>
        <w:t>19.</w:t>
      </w:r>
      <w:r>
        <w:rPr>
          <w:bCs/>
          <w:sz w:val="24"/>
          <w:szCs w:val="24"/>
        </w:rPr>
        <w:tab/>
      </w:r>
      <w:r w:rsidR="00C25FBA">
        <w:rPr>
          <w:bCs/>
          <w:sz w:val="24"/>
          <w:szCs w:val="24"/>
        </w:rPr>
        <w:t>The order that I granted is annexed hereto marked “X”.</w:t>
      </w:r>
    </w:p>
    <w:p w14:paraId="3D07B99A" w14:textId="77777777" w:rsidR="00C25FBA" w:rsidRDefault="00C25FBA" w:rsidP="00C25FBA">
      <w:pPr>
        <w:pStyle w:val="ListParagraph"/>
        <w:rPr>
          <w:bCs/>
        </w:rPr>
      </w:pPr>
    </w:p>
    <w:p w14:paraId="6256F527" w14:textId="77777777" w:rsidR="00C25FBA" w:rsidRPr="00C25FBA" w:rsidRDefault="00C25FBA" w:rsidP="00C25FBA">
      <w:pPr>
        <w:pStyle w:val="Body"/>
        <w:spacing w:line="360" w:lineRule="auto"/>
        <w:ind w:left="851"/>
        <w:jc w:val="both"/>
        <w:rPr>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C25FBA">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C25FBA">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C25FBA">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4A2A3FBF" w14:textId="51DC6B83" w:rsidR="00E55848" w:rsidRDefault="00E55848" w:rsidP="001E7028">
      <w:pPr>
        <w:spacing w:line="360" w:lineRule="auto"/>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052D9725" w14:textId="77777777" w:rsidR="003E66F0" w:rsidRDefault="00412E0C" w:rsidP="003E66F0">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E66F0">
        <w:rPr>
          <w:rFonts w:ascii="Arial" w:hAnsi="Arial" w:cs="Arial"/>
          <w:sz w:val="22"/>
          <w:szCs w:val="22"/>
        </w:rPr>
        <w:t>23 NOVEMBER 2022</w:t>
      </w:r>
    </w:p>
    <w:p w14:paraId="7E6457D4" w14:textId="7CE8A57C" w:rsidR="002040D5" w:rsidRPr="00242E76" w:rsidRDefault="006630FB" w:rsidP="003E66F0">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1E7028">
        <w:rPr>
          <w:rFonts w:ascii="Arial" w:hAnsi="Arial" w:cs="Arial"/>
          <w:sz w:val="22"/>
          <w:szCs w:val="22"/>
        </w:rPr>
        <w:t>23</w:t>
      </w:r>
      <w:r w:rsidR="003E66F0">
        <w:rPr>
          <w:rFonts w:ascii="Arial" w:hAnsi="Arial" w:cs="Arial"/>
          <w:sz w:val="22"/>
          <w:szCs w:val="22"/>
        </w:rPr>
        <w:t xml:space="preserve"> NOVEMBER 2022</w:t>
      </w:r>
    </w:p>
    <w:p w14:paraId="70B75637" w14:textId="05B1EA16" w:rsidR="006710DC" w:rsidRDefault="001E7028" w:rsidP="008E6813">
      <w:pPr>
        <w:spacing w:line="360" w:lineRule="auto"/>
        <w:ind w:left="567" w:hanging="567"/>
        <w:jc w:val="both"/>
        <w:rPr>
          <w:rFonts w:ascii="Arial" w:hAnsi="Arial" w:cs="Arial"/>
          <w:sz w:val="22"/>
          <w:szCs w:val="22"/>
        </w:rPr>
      </w:pPr>
      <w:r>
        <w:rPr>
          <w:rFonts w:ascii="Arial" w:hAnsi="Arial" w:cs="Arial"/>
          <w:sz w:val="22"/>
          <w:szCs w:val="22"/>
        </w:rPr>
        <w:t>REASONS: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25FBA">
        <w:rPr>
          <w:rFonts w:ascii="Arial" w:hAnsi="Arial" w:cs="Arial"/>
          <w:sz w:val="22"/>
          <w:szCs w:val="22"/>
        </w:rPr>
        <w:t>25</w:t>
      </w:r>
      <w:r>
        <w:rPr>
          <w:rFonts w:ascii="Arial" w:hAnsi="Arial" w:cs="Arial"/>
          <w:sz w:val="22"/>
          <w:szCs w:val="22"/>
        </w:rPr>
        <w:t xml:space="preserve"> NOVEMBER 2022</w:t>
      </w:r>
    </w:p>
    <w:p w14:paraId="106E4C6E" w14:textId="77777777" w:rsidR="001E7028" w:rsidRDefault="001E7028" w:rsidP="008E6813">
      <w:pPr>
        <w:spacing w:line="360" w:lineRule="auto"/>
        <w:ind w:left="567" w:hanging="567"/>
        <w:jc w:val="both"/>
        <w:rPr>
          <w:rFonts w:ascii="Arial" w:hAnsi="Arial" w:cs="Arial"/>
          <w:sz w:val="22"/>
          <w:szCs w:val="22"/>
        </w:rPr>
      </w:pPr>
    </w:p>
    <w:p w14:paraId="02474508" w14:textId="25282709"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082969">
        <w:rPr>
          <w:rFonts w:ascii="Arial" w:hAnsi="Arial" w:cs="Arial"/>
          <w:sz w:val="22"/>
          <w:szCs w:val="22"/>
        </w:rPr>
        <w:t>A LEWIS</w:t>
      </w:r>
    </w:p>
    <w:p w14:paraId="6434C520" w14:textId="052EF367"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836BA8">
        <w:rPr>
          <w:rFonts w:ascii="Arial" w:hAnsi="Arial" w:cs="Arial"/>
          <w:sz w:val="22"/>
          <w:szCs w:val="22"/>
        </w:rPr>
        <w:t>DE RIDDER ATTORNEYS</w:t>
      </w:r>
    </w:p>
    <w:p w14:paraId="7383FC0C" w14:textId="1BE224CB"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836BA8">
        <w:rPr>
          <w:rFonts w:ascii="Arial" w:hAnsi="Arial" w:cs="Arial"/>
          <w:sz w:val="22"/>
          <w:szCs w:val="22"/>
        </w:rPr>
        <w:t>M</w:t>
      </w:r>
      <w:r w:rsidR="00082969">
        <w:rPr>
          <w:rFonts w:ascii="Arial" w:hAnsi="Arial" w:cs="Arial"/>
          <w:sz w:val="22"/>
          <w:szCs w:val="22"/>
        </w:rPr>
        <w:t>S</w:t>
      </w:r>
      <w:r w:rsidR="00836BA8">
        <w:rPr>
          <w:rFonts w:ascii="Arial" w:hAnsi="Arial" w:cs="Arial"/>
          <w:sz w:val="22"/>
          <w:szCs w:val="22"/>
        </w:rPr>
        <w:t xml:space="preserve"> C DE RIDDER</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32685012"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836BA8">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082969">
        <w:rPr>
          <w:rFonts w:ascii="Arial" w:hAnsi="Arial" w:cs="Arial"/>
          <w:sz w:val="22"/>
          <w:szCs w:val="22"/>
        </w:rPr>
        <w:t>M LOUW</w:t>
      </w:r>
    </w:p>
    <w:p w14:paraId="6EEF6A02" w14:textId="7B38BE59"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836BA8">
        <w:rPr>
          <w:rFonts w:ascii="Arial" w:hAnsi="Arial" w:cs="Arial"/>
          <w:sz w:val="22"/>
          <w:szCs w:val="22"/>
        </w:rPr>
        <w:t xml:space="preserve">LOURENS AND SCHWARTZ ATTORNEYS </w:t>
      </w:r>
    </w:p>
    <w:p w14:paraId="0030EF17" w14:textId="69EE694D"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836BA8">
        <w:rPr>
          <w:rFonts w:ascii="Arial" w:hAnsi="Arial" w:cs="Arial"/>
          <w:sz w:val="22"/>
          <w:szCs w:val="22"/>
        </w:rPr>
        <w:t>MR C LOURENS</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9B6F" w14:textId="77777777" w:rsidR="00EE2A2E" w:rsidRDefault="00EE2A2E" w:rsidP="008C18AE">
      <w:r>
        <w:separator/>
      </w:r>
    </w:p>
  </w:endnote>
  <w:endnote w:type="continuationSeparator" w:id="0">
    <w:p w14:paraId="104F0457" w14:textId="77777777" w:rsidR="00EE2A2E" w:rsidRDefault="00EE2A2E"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F303" w14:textId="77777777" w:rsidR="00EE2A2E" w:rsidRDefault="00EE2A2E" w:rsidP="008C18AE">
      <w:r>
        <w:separator/>
      </w:r>
    </w:p>
  </w:footnote>
  <w:footnote w:type="continuationSeparator" w:id="0">
    <w:p w14:paraId="13B47129" w14:textId="77777777" w:rsidR="00EE2A2E" w:rsidRDefault="00EE2A2E" w:rsidP="008C18AE">
      <w:r>
        <w:continuationSeparator/>
      </w:r>
    </w:p>
  </w:footnote>
  <w:footnote w:id="1">
    <w:p w14:paraId="31FDF78B" w14:textId="79B4B52F" w:rsidR="0035338C" w:rsidRPr="0035338C" w:rsidRDefault="0035338C">
      <w:pPr>
        <w:pStyle w:val="FootnoteText"/>
        <w:rPr>
          <w:rFonts w:ascii="Arial" w:hAnsi="Arial" w:cs="Arial"/>
          <w:sz w:val="20"/>
          <w:szCs w:val="20"/>
        </w:rPr>
      </w:pPr>
      <w:r w:rsidRPr="0035338C">
        <w:rPr>
          <w:rStyle w:val="FootnoteReference"/>
          <w:rFonts w:ascii="Arial" w:hAnsi="Arial" w:cs="Arial"/>
          <w:sz w:val="20"/>
          <w:szCs w:val="20"/>
        </w:rPr>
        <w:footnoteRef/>
      </w:r>
      <w:r w:rsidRPr="0035338C">
        <w:rPr>
          <w:rFonts w:ascii="Arial" w:hAnsi="Arial" w:cs="Arial"/>
          <w:sz w:val="20"/>
          <w:szCs w:val="20"/>
        </w:rPr>
        <w:t xml:space="preserve"> Plascon-Evans Paints Ltd v Van Riebeeck Paints Ltd 1984 (3) SA 623 (A)</w:t>
      </w:r>
    </w:p>
  </w:footnote>
  <w:footnote w:id="2">
    <w:p w14:paraId="11533C04" w14:textId="1EBAC941" w:rsidR="005551B2" w:rsidRPr="00973878" w:rsidRDefault="005551B2">
      <w:pPr>
        <w:pStyle w:val="FootnoteText"/>
        <w:rPr>
          <w:rFonts w:ascii="Arial" w:hAnsi="Arial" w:cs="Arial"/>
          <w:sz w:val="20"/>
          <w:szCs w:val="20"/>
        </w:rPr>
      </w:pPr>
      <w:r w:rsidRPr="00973878">
        <w:rPr>
          <w:rStyle w:val="FootnoteReference"/>
          <w:rFonts w:ascii="Arial" w:hAnsi="Arial" w:cs="Arial"/>
          <w:sz w:val="20"/>
          <w:szCs w:val="20"/>
        </w:rPr>
        <w:footnoteRef/>
      </w:r>
      <w:r w:rsidRPr="00973878">
        <w:rPr>
          <w:rFonts w:ascii="Arial" w:hAnsi="Arial" w:cs="Arial"/>
          <w:sz w:val="20"/>
          <w:szCs w:val="20"/>
        </w:rPr>
        <w:t xml:space="preserve">  1978 (1) SA 914 (A)</w:t>
      </w:r>
      <w:r w:rsidR="00973878" w:rsidRPr="00973878">
        <w:rPr>
          <w:rFonts w:ascii="Arial" w:hAnsi="Arial" w:cs="Arial"/>
          <w:sz w:val="20"/>
          <w:szCs w:val="20"/>
        </w:rPr>
        <w:t xml:space="preserve"> at 923C-D</w:t>
      </w:r>
    </w:p>
  </w:footnote>
  <w:footnote w:id="3">
    <w:p w14:paraId="69DD3FC6" w14:textId="77777777" w:rsidR="00701AB9" w:rsidRPr="00C44B38" w:rsidRDefault="00701AB9" w:rsidP="00701AB9">
      <w:pPr>
        <w:pStyle w:val="Body"/>
        <w:spacing w:line="240" w:lineRule="auto"/>
        <w:jc w:val="both"/>
        <w:rPr>
          <w:bCs/>
          <w:i/>
          <w:iCs/>
          <w:sz w:val="22"/>
          <w:szCs w:val="22"/>
        </w:rPr>
      </w:pPr>
      <w:r w:rsidRPr="00701AB9">
        <w:rPr>
          <w:rStyle w:val="FootnoteReference"/>
          <w:sz w:val="20"/>
          <w:szCs w:val="20"/>
        </w:rPr>
        <w:footnoteRef/>
      </w:r>
      <w:r w:rsidRPr="00701AB9">
        <w:rPr>
          <w:sz w:val="20"/>
          <w:szCs w:val="20"/>
        </w:rPr>
        <w:t xml:space="preserve"> </w:t>
      </w:r>
      <w:r w:rsidRPr="00701AB9">
        <w:rPr>
          <w:rFonts w:cs="Arial"/>
          <w:sz w:val="20"/>
          <w:szCs w:val="20"/>
        </w:rPr>
        <w:t xml:space="preserve">2011 (4) SA 72 (SCA) - </w:t>
      </w:r>
      <w:r w:rsidRPr="00701AB9">
        <w:rPr>
          <w:bCs/>
          <w:i/>
          <w:iCs/>
          <w:sz w:val="20"/>
          <w:szCs w:val="20"/>
        </w:rPr>
        <w:t>“A person who is induced to sign a suretyship agreement by the fraud or misrepresentation of a third party, and who is unaware of the nature of the document he is signing, will nevertheless be bound by the agreement if the lender is innocent and unaware of the surety’s mistake”.  The lender would in such a case be entitled to rely on the appearance of liability created by the surety’s signature, and the surety would not be entitled to set up his unilateral mistake to escape liability under the agreement.”</w:t>
      </w:r>
    </w:p>
    <w:p w14:paraId="4B0B0A29" w14:textId="67E48264" w:rsidR="00701AB9" w:rsidRDefault="00701A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77B">
      <w:rPr>
        <w:rStyle w:val="PageNumber"/>
        <w:noProof/>
      </w:rPr>
      <w:t>1</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BF27F3"/>
    <w:multiLevelType w:val="hybridMultilevel"/>
    <w:tmpl w:val="C340E5F8"/>
    <w:lvl w:ilvl="0" w:tplc="21EA58A0">
      <w:start w:val="1"/>
      <w:numFmt w:val="decimal"/>
      <w:lvlText w:val="%1."/>
      <w:lvlJc w:val="left"/>
      <w:pPr>
        <w:ind w:left="720" w:hanging="360"/>
      </w:pPr>
      <w:rPr>
        <w:rFonts w:hint="default"/>
        <w:b w:val="0"/>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3F4626B4"/>
    <w:multiLevelType w:val="multilevel"/>
    <w:tmpl w:val="12D27952"/>
    <w:lvl w:ilvl="0">
      <w:start w:val="1"/>
      <w:numFmt w:val="decimal"/>
      <w:lvlText w:val="%1"/>
      <w:lvlJc w:val="left"/>
      <w:pPr>
        <w:ind w:left="720" w:hanging="720"/>
      </w:pPr>
      <w:rPr>
        <w:rFonts w:hint="default"/>
      </w:rPr>
    </w:lvl>
    <w:lvl w:ilvl="1">
      <w:start w:val="1"/>
      <w:numFmt w:val="decimal"/>
      <w:lvlText w:val="%1.%2"/>
      <w:lvlJc w:val="left"/>
      <w:pPr>
        <w:ind w:left="2151" w:hanging="720"/>
      </w:pPr>
      <w:rPr>
        <w:rFonts w:hint="default"/>
      </w:rPr>
    </w:lvl>
    <w:lvl w:ilvl="2">
      <w:start w:val="1"/>
      <w:numFmt w:val="decimal"/>
      <w:lvlText w:val="%1.%2.%3"/>
      <w:lvlJc w:val="left"/>
      <w:pPr>
        <w:ind w:left="3582" w:hanging="720"/>
      </w:pPr>
      <w:rPr>
        <w:rFonts w:hint="default"/>
      </w:rPr>
    </w:lvl>
    <w:lvl w:ilvl="3">
      <w:start w:val="1"/>
      <w:numFmt w:val="decimal"/>
      <w:lvlText w:val="%1.%2.%3.%4"/>
      <w:lvlJc w:val="left"/>
      <w:pPr>
        <w:ind w:left="5013" w:hanging="720"/>
      </w:pPr>
      <w:rPr>
        <w:rFonts w:hint="default"/>
      </w:rPr>
    </w:lvl>
    <w:lvl w:ilvl="4">
      <w:start w:val="1"/>
      <w:numFmt w:val="decimal"/>
      <w:lvlText w:val="%1.%2.%3.%4.%5"/>
      <w:lvlJc w:val="left"/>
      <w:pPr>
        <w:ind w:left="6804" w:hanging="1080"/>
      </w:pPr>
      <w:rPr>
        <w:rFonts w:hint="default"/>
      </w:rPr>
    </w:lvl>
    <w:lvl w:ilvl="5">
      <w:start w:val="1"/>
      <w:numFmt w:val="decimal"/>
      <w:lvlText w:val="%1.%2.%3.%4.%5.%6"/>
      <w:lvlJc w:val="left"/>
      <w:pPr>
        <w:ind w:left="8235" w:hanging="1080"/>
      </w:pPr>
      <w:rPr>
        <w:rFonts w:hint="default"/>
      </w:rPr>
    </w:lvl>
    <w:lvl w:ilvl="6">
      <w:start w:val="1"/>
      <w:numFmt w:val="decimal"/>
      <w:lvlText w:val="%1.%2.%3.%4.%5.%6.%7"/>
      <w:lvlJc w:val="left"/>
      <w:pPr>
        <w:ind w:left="10026" w:hanging="1440"/>
      </w:pPr>
      <w:rPr>
        <w:rFonts w:hint="default"/>
      </w:rPr>
    </w:lvl>
    <w:lvl w:ilvl="7">
      <w:start w:val="1"/>
      <w:numFmt w:val="decimal"/>
      <w:lvlText w:val="%1.%2.%3.%4.%5.%6.%7.%8"/>
      <w:lvlJc w:val="left"/>
      <w:pPr>
        <w:ind w:left="11457" w:hanging="1440"/>
      </w:pPr>
      <w:rPr>
        <w:rFonts w:hint="default"/>
      </w:rPr>
    </w:lvl>
    <w:lvl w:ilvl="8">
      <w:start w:val="1"/>
      <w:numFmt w:val="decimal"/>
      <w:lvlText w:val="%1.%2.%3.%4.%5.%6.%7.%8.%9"/>
      <w:lvlJc w:val="left"/>
      <w:pPr>
        <w:ind w:left="13248" w:hanging="1800"/>
      </w:pPr>
      <w:rPr>
        <w:rFonts w:hint="default"/>
      </w:rPr>
    </w:lvl>
  </w:abstractNum>
  <w:abstractNum w:abstractNumId="12">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
  </w:num>
  <w:num w:numId="5">
    <w:abstractNumId w:val="5"/>
  </w:num>
  <w:num w:numId="6">
    <w:abstractNumId w:val="13"/>
  </w:num>
  <w:num w:numId="7">
    <w:abstractNumId w:val="15"/>
  </w:num>
  <w:num w:numId="8">
    <w:abstractNumId w:val="14"/>
  </w:num>
  <w:num w:numId="9">
    <w:abstractNumId w:val="4"/>
  </w:num>
  <w:num w:numId="10">
    <w:abstractNumId w:val="6"/>
  </w:num>
  <w:num w:numId="11">
    <w:abstractNumId w:val="10"/>
  </w:num>
  <w:num w:numId="12">
    <w:abstractNumId w:val="3"/>
  </w:num>
  <w:num w:numId="13">
    <w:abstractNumId w:val="8"/>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70EA4"/>
    <w:rsid w:val="000730BB"/>
    <w:rsid w:val="00082969"/>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21456"/>
    <w:rsid w:val="0013492F"/>
    <w:rsid w:val="00144EA8"/>
    <w:rsid w:val="00151F35"/>
    <w:rsid w:val="00155668"/>
    <w:rsid w:val="0016046F"/>
    <w:rsid w:val="00161F55"/>
    <w:rsid w:val="00163683"/>
    <w:rsid w:val="001721F5"/>
    <w:rsid w:val="0017465D"/>
    <w:rsid w:val="00194AFD"/>
    <w:rsid w:val="00194BAE"/>
    <w:rsid w:val="001A21CD"/>
    <w:rsid w:val="001A7F86"/>
    <w:rsid w:val="001B288A"/>
    <w:rsid w:val="001B487B"/>
    <w:rsid w:val="001D6C62"/>
    <w:rsid w:val="001D6F4F"/>
    <w:rsid w:val="001D7244"/>
    <w:rsid w:val="001E6710"/>
    <w:rsid w:val="001E7028"/>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5629B"/>
    <w:rsid w:val="00264079"/>
    <w:rsid w:val="00265336"/>
    <w:rsid w:val="00267036"/>
    <w:rsid w:val="0027008F"/>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37669"/>
    <w:rsid w:val="00342015"/>
    <w:rsid w:val="0035338C"/>
    <w:rsid w:val="00360697"/>
    <w:rsid w:val="00363165"/>
    <w:rsid w:val="00371BE5"/>
    <w:rsid w:val="00375DC6"/>
    <w:rsid w:val="00385391"/>
    <w:rsid w:val="00385FBC"/>
    <w:rsid w:val="003A14B0"/>
    <w:rsid w:val="003A20FB"/>
    <w:rsid w:val="003A3574"/>
    <w:rsid w:val="003A5BC8"/>
    <w:rsid w:val="003B6C23"/>
    <w:rsid w:val="003C415E"/>
    <w:rsid w:val="003C432D"/>
    <w:rsid w:val="003E66F0"/>
    <w:rsid w:val="003E6BDA"/>
    <w:rsid w:val="003F37AE"/>
    <w:rsid w:val="003F46D7"/>
    <w:rsid w:val="00402BCB"/>
    <w:rsid w:val="00406F88"/>
    <w:rsid w:val="004075F2"/>
    <w:rsid w:val="00412E0C"/>
    <w:rsid w:val="00413603"/>
    <w:rsid w:val="00413E2B"/>
    <w:rsid w:val="00416EA1"/>
    <w:rsid w:val="00417BE7"/>
    <w:rsid w:val="0042184A"/>
    <w:rsid w:val="004247F2"/>
    <w:rsid w:val="00425F53"/>
    <w:rsid w:val="00432B66"/>
    <w:rsid w:val="00436C52"/>
    <w:rsid w:val="00440D4B"/>
    <w:rsid w:val="0044117D"/>
    <w:rsid w:val="0044361B"/>
    <w:rsid w:val="00443ADE"/>
    <w:rsid w:val="00444C8B"/>
    <w:rsid w:val="0045149D"/>
    <w:rsid w:val="00452A4C"/>
    <w:rsid w:val="00454072"/>
    <w:rsid w:val="00460F1A"/>
    <w:rsid w:val="00461E12"/>
    <w:rsid w:val="00475569"/>
    <w:rsid w:val="00475A8E"/>
    <w:rsid w:val="0048191C"/>
    <w:rsid w:val="00482966"/>
    <w:rsid w:val="004854D5"/>
    <w:rsid w:val="0049074E"/>
    <w:rsid w:val="0049313B"/>
    <w:rsid w:val="004C6A1E"/>
    <w:rsid w:val="004D12FE"/>
    <w:rsid w:val="004D3845"/>
    <w:rsid w:val="004E581A"/>
    <w:rsid w:val="004F0167"/>
    <w:rsid w:val="00500DA0"/>
    <w:rsid w:val="005069D9"/>
    <w:rsid w:val="00514611"/>
    <w:rsid w:val="0051651C"/>
    <w:rsid w:val="00540198"/>
    <w:rsid w:val="00547AC7"/>
    <w:rsid w:val="00551B4C"/>
    <w:rsid w:val="0055431B"/>
    <w:rsid w:val="005551B2"/>
    <w:rsid w:val="005560EF"/>
    <w:rsid w:val="0057074A"/>
    <w:rsid w:val="005720E9"/>
    <w:rsid w:val="00587548"/>
    <w:rsid w:val="00587BF3"/>
    <w:rsid w:val="005930AB"/>
    <w:rsid w:val="00595099"/>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430C0"/>
    <w:rsid w:val="00644BB3"/>
    <w:rsid w:val="00646138"/>
    <w:rsid w:val="00650745"/>
    <w:rsid w:val="00651B9B"/>
    <w:rsid w:val="00653433"/>
    <w:rsid w:val="00655236"/>
    <w:rsid w:val="006630FB"/>
    <w:rsid w:val="006710DC"/>
    <w:rsid w:val="00675035"/>
    <w:rsid w:val="00676987"/>
    <w:rsid w:val="00677BC9"/>
    <w:rsid w:val="00683071"/>
    <w:rsid w:val="00686AFF"/>
    <w:rsid w:val="00695533"/>
    <w:rsid w:val="006A1AA8"/>
    <w:rsid w:val="006A37E3"/>
    <w:rsid w:val="006A6DDB"/>
    <w:rsid w:val="006A770C"/>
    <w:rsid w:val="006B0014"/>
    <w:rsid w:val="006B3D1D"/>
    <w:rsid w:val="006B67ED"/>
    <w:rsid w:val="006C705A"/>
    <w:rsid w:val="006E4415"/>
    <w:rsid w:val="006E462C"/>
    <w:rsid w:val="006F2787"/>
    <w:rsid w:val="006F40B5"/>
    <w:rsid w:val="006F7ED6"/>
    <w:rsid w:val="00701AB9"/>
    <w:rsid w:val="00707C51"/>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6BCF"/>
    <w:rsid w:val="007679D5"/>
    <w:rsid w:val="007709C6"/>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D62E7"/>
    <w:rsid w:val="007E14BF"/>
    <w:rsid w:val="007E7B98"/>
    <w:rsid w:val="007F0BBF"/>
    <w:rsid w:val="007F7FED"/>
    <w:rsid w:val="0080634A"/>
    <w:rsid w:val="00806DFA"/>
    <w:rsid w:val="00821962"/>
    <w:rsid w:val="00822511"/>
    <w:rsid w:val="0083215B"/>
    <w:rsid w:val="00836BA8"/>
    <w:rsid w:val="0083710F"/>
    <w:rsid w:val="00837200"/>
    <w:rsid w:val="00840547"/>
    <w:rsid w:val="0084332A"/>
    <w:rsid w:val="008465D6"/>
    <w:rsid w:val="00860899"/>
    <w:rsid w:val="00866025"/>
    <w:rsid w:val="0088233C"/>
    <w:rsid w:val="008A3877"/>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BDE"/>
    <w:rsid w:val="009454D5"/>
    <w:rsid w:val="0094618C"/>
    <w:rsid w:val="0095576C"/>
    <w:rsid w:val="009732B6"/>
    <w:rsid w:val="00973878"/>
    <w:rsid w:val="00974554"/>
    <w:rsid w:val="00976D15"/>
    <w:rsid w:val="00977E1A"/>
    <w:rsid w:val="009838D5"/>
    <w:rsid w:val="00987290"/>
    <w:rsid w:val="009950C9"/>
    <w:rsid w:val="009A269B"/>
    <w:rsid w:val="009A33C1"/>
    <w:rsid w:val="009A79F1"/>
    <w:rsid w:val="009B099B"/>
    <w:rsid w:val="009B2BC9"/>
    <w:rsid w:val="009B36AA"/>
    <w:rsid w:val="009B4C31"/>
    <w:rsid w:val="009D3F6D"/>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2353"/>
    <w:rsid w:val="00A63F51"/>
    <w:rsid w:val="00A75EF4"/>
    <w:rsid w:val="00A77551"/>
    <w:rsid w:val="00A9010C"/>
    <w:rsid w:val="00A901C5"/>
    <w:rsid w:val="00AA663B"/>
    <w:rsid w:val="00AB1510"/>
    <w:rsid w:val="00AB2DE7"/>
    <w:rsid w:val="00AB4CA7"/>
    <w:rsid w:val="00AB636E"/>
    <w:rsid w:val="00AB6798"/>
    <w:rsid w:val="00AD49F8"/>
    <w:rsid w:val="00AE1E5D"/>
    <w:rsid w:val="00AE4E9C"/>
    <w:rsid w:val="00AE7FE3"/>
    <w:rsid w:val="00AF1688"/>
    <w:rsid w:val="00AF3194"/>
    <w:rsid w:val="00B11DEB"/>
    <w:rsid w:val="00B120C9"/>
    <w:rsid w:val="00B20170"/>
    <w:rsid w:val="00B21489"/>
    <w:rsid w:val="00B22495"/>
    <w:rsid w:val="00B244B7"/>
    <w:rsid w:val="00B26149"/>
    <w:rsid w:val="00B3097A"/>
    <w:rsid w:val="00B3106B"/>
    <w:rsid w:val="00B404D0"/>
    <w:rsid w:val="00B44F10"/>
    <w:rsid w:val="00B50E11"/>
    <w:rsid w:val="00B64D36"/>
    <w:rsid w:val="00B70181"/>
    <w:rsid w:val="00B73443"/>
    <w:rsid w:val="00B8347D"/>
    <w:rsid w:val="00B862D2"/>
    <w:rsid w:val="00B908DF"/>
    <w:rsid w:val="00B92A41"/>
    <w:rsid w:val="00B9551D"/>
    <w:rsid w:val="00B95693"/>
    <w:rsid w:val="00B95E84"/>
    <w:rsid w:val="00BA1F62"/>
    <w:rsid w:val="00BB3F9A"/>
    <w:rsid w:val="00BD2454"/>
    <w:rsid w:val="00BD600D"/>
    <w:rsid w:val="00BE3BC3"/>
    <w:rsid w:val="00BF09B4"/>
    <w:rsid w:val="00C04C43"/>
    <w:rsid w:val="00C11D38"/>
    <w:rsid w:val="00C25FBA"/>
    <w:rsid w:val="00C33AAD"/>
    <w:rsid w:val="00C4185B"/>
    <w:rsid w:val="00C44B38"/>
    <w:rsid w:val="00C45291"/>
    <w:rsid w:val="00C519B2"/>
    <w:rsid w:val="00C52737"/>
    <w:rsid w:val="00C53B19"/>
    <w:rsid w:val="00C5727B"/>
    <w:rsid w:val="00C63FFA"/>
    <w:rsid w:val="00C64B6A"/>
    <w:rsid w:val="00C72A6C"/>
    <w:rsid w:val="00C7361A"/>
    <w:rsid w:val="00C7460D"/>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51D1"/>
    <w:rsid w:val="00D2698D"/>
    <w:rsid w:val="00D31928"/>
    <w:rsid w:val="00D344C1"/>
    <w:rsid w:val="00D42B06"/>
    <w:rsid w:val="00D523A1"/>
    <w:rsid w:val="00D526DF"/>
    <w:rsid w:val="00D61362"/>
    <w:rsid w:val="00D77C76"/>
    <w:rsid w:val="00D91BA3"/>
    <w:rsid w:val="00DA44A9"/>
    <w:rsid w:val="00DA7A8D"/>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3577B"/>
    <w:rsid w:val="00E43F8E"/>
    <w:rsid w:val="00E45186"/>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B239A"/>
    <w:rsid w:val="00EB6D92"/>
    <w:rsid w:val="00EC7C52"/>
    <w:rsid w:val="00ED011F"/>
    <w:rsid w:val="00ED23AA"/>
    <w:rsid w:val="00ED58E4"/>
    <w:rsid w:val="00ED68B8"/>
    <w:rsid w:val="00EE0738"/>
    <w:rsid w:val="00EE0DBB"/>
    <w:rsid w:val="00EE2A2E"/>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3187"/>
    <w:rsid w:val="00F71C68"/>
    <w:rsid w:val="00F85632"/>
    <w:rsid w:val="00F87163"/>
    <w:rsid w:val="00F90936"/>
    <w:rsid w:val="00F93BA4"/>
    <w:rsid w:val="00F95B0D"/>
    <w:rsid w:val="00F95E94"/>
    <w:rsid w:val="00F96145"/>
    <w:rsid w:val="00F97E13"/>
    <w:rsid w:val="00FA0F89"/>
    <w:rsid w:val="00FC01F2"/>
    <w:rsid w:val="00FC0385"/>
    <w:rsid w:val="00FC76E7"/>
    <w:rsid w:val="00FD07EE"/>
    <w:rsid w:val="00FD36CE"/>
    <w:rsid w:val="00FD48A0"/>
    <w:rsid w:val="00FD6C1B"/>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11F64C-E88B-493B-9FCB-5A03BB4D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2018-02-04T10:32:00Z</cp:lastPrinted>
  <dcterms:created xsi:type="dcterms:W3CDTF">2022-11-30T06:35:00Z</dcterms:created>
  <dcterms:modified xsi:type="dcterms:W3CDTF">2022-11-30T06:37:00Z</dcterms:modified>
</cp:coreProperties>
</file>