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1C" w:rsidRDefault="00441B0D">
      <w:pPr>
        <w:pStyle w:val="BodyA"/>
        <w:spacing w:after="0" w:line="240" w:lineRule="auto"/>
        <w:jc w:val="center"/>
        <w:rPr>
          <w:rFonts w:ascii="Arial" w:eastAsia="Arial" w:hAnsi="Arial" w:cs="Arial"/>
          <w:sz w:val="24"/>
          <w:szCs w:val="24"/>
        </w:rPr>
      </w:pPr>
      <w:r>
        <w:rPr>
          <w:rFonts w:ascii="Arial" w:hAnsi="Arial"/>
          <w:sz w:val="24"/>
          <w:szCs w:val="24"/>
        </w:rPr>
        <w:t>REPUBLIC OF SOUTH AFRICA</w:t>
      </w:r>
    </w:p>
    <w:p w:rsidR="00C54D1C" w:rsidRDefault="00441B0D">
      <w:pPr>
        <w:pStyle w:val="BodyA"/>
        <w:spacing w:after="0" w:line="240" w:lineRule="auto"/>
        <w:jc w:val="center"/>
        <w:rPr>
          <w:rFonts w:ascii="Arial" w:eastAsia="Arial" w:hAnsi="Arial" w:cs="Arial"/>
          <w:sz w:val="24"/>
          <w:szCs w:val="24"/>
        </w:rPr>
      </w:pPr>
      <w:r>
        <w:rPr>
          <w:rFonts w:ascii="Arial" w:eastAsia="Arial" w:hAnsi="Arial" w:cs="Arial"/>
          <w:b/>
          <w:bCs/>
          <w:noProof/>
          <w:sz w:val="24"/>
          <w:szCs w:val="24"/>
          <w:lang w:eastAsia="en-US"/>
        </w:rPr>
        <w:drawing>
          <wp:inline distT="0" distB="0" distL="0" distR="0">
            <wp:extent cx="1352550" cy="1352550"/>
            <wp:effectExtent l="0" t="0" r="0" b="0"/>
            <wp:docPr id="1073741825" name="officeArt object"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073741825" name="Description: Description: Description: cid:image003.png@01D117DD.26203030" descr="Description: Description: Description: cid:image003.png@01D117DD.26203030"/>
                    <pic:cNvPicPr>
                      <a:picLocks noChangeAspect="1"/>
                    </pic:cNvPicPr>
                  </pic:nvPicPr>
                  <pic:blipFill>
                    <a:blip r:embed="rId7">
                      <a:extLst/>
                    </a:blip>
                    <a:stretch>
                      <a:fillRect/>
                    </a:stretch>
                  </pic:blipFill>
                  <pic:spPr>
                    <a:xfrm>
                      <a:off x="0" y="0"/>
                      <a:ext cx="1352550" cy="1352550"/>
                    </a:xfrm>
                    <a:prstGeom prst="rect">
                      <a:avLst/>
                    </a:prstGeom>
                    <a:ln w="12700" cap="flat">
                      <a:noFill/>
                      <a:miter lim="400000"/>
                    </a:ln>
                    <a:effectLst/>
                  </pic:spPr>
                </pic:pic>
              </a:graphicData>
            </a:graphic>
          </wp:inline>
        </w:drawing>
      </w:r>
    </w:p>
    <w:p w:rsidR="00C54D1C" w:rsidRDefault="00441B0D">
      <w:pPr>
        <w:pStyle w:val="BodyA"/>
        <w:spacing w:after="0" w:line="240" w:lineRule="auto"/>
        <w:jc w:val="center"/>
        <w:rPr>
          <w:rFonts w:ascii="Arial" w:eastAsia="Arial" w:hAnsi="Arial" w:cs="Arial"/>
          <w:sz w:val="24"/>
          <w:szCs w:val="24"/>
        </w:rPr>
      </w:pPr>
      <w:r>
        <w:rPr>
          <w:rFonts w:ascii="Arial" w:hAnsi="Arial"/>
          <w:sz w:val="24"/>
          <w:szCs w:val="24"/>
        </w:rPr>
        <w:t>IN THE HIGH COURT OF SOUTH AFRICA</w:t>
      </w:r>
    </w:p>
    <w:p w:rsidR="00C54D1C" w:rsidRDefault="00441B0D">
      <w:pPr>
        <w:pStyle w:val="BodyA"/>
        <w:spacing w:after="0" w:line="240" w:lineRule="auto"/>
        <w:jc w:val="center"/>
        <w:rPr>
          <w:rFonts w:ascii="Arial" w:eastAsia="Arial" w:hAnsi="Arial" w:cs="Arial"/>
          <w:sz w:val="24"/>
          <w:szCs w:val="24"/>
          <w:lang w:val="de-DE"/>
        </w:rPr>
      </w:pPr>
      <w:r>
        <w:rPr>
          <w:rFonts w:ascii="Arial" w:hAnsi="Arial"/>
          <w:sz w:val="24"/>
          <w:szCs w:val="24"/>
          <w:lang w:val="de-DE"/>
        </w:rPr>
        <w:t>GAUTENG DIVISION, PRETORIA</w:t>
      </w:r>
    </w:p>
    <w:p w:rsidR="00C54D1C" w:rsidRDefault="00C54D1C">
      <w:pPr>
        <w:pStyle w:val="BodyA"/>
        <w:spacing w:after="0" w:line="240" w:lineRule="auto"/>
        <w:jc w:val="center"/>
        <w:rPr>
          <w:rFonts w:ascii="Arial" w:eastAsia="Arial" w:hAnsi="Arial" w:cs="Arial"/>
          <w:sz w:val="24"/>
          <w:szCs w:val="24"/>
        </w:rPr>
      </w:pPr>
    </w:p>
    <w:p w:rsidR="00C54D1C" w:rsidRDefault="00441B0D">
      <w:pPr>
        <w:pStyle w:val="BodyA"/>
        <w:spacing w:before="240" w:after="240" w:line="240" w:lineRule="auto"/>
        <w:jc w:val="right"/>
        <w:rPr>
          <w:rFonts w:ascii="Arial" w:eastAsia="Arial" w:hAnsi="Arial" w:cs="Arial"/>
          <w:sz w:val="24"/>
          <w:szCs w:val="24"/>
        </w:rPr>
      </w:pPr>
      <w:r>
        <w:rPr>
          <w:rFonts w:ascii="Arial" w:hAnsi="Arial"/>
          <w:sz w:val="24"/>
          <w:szCs w:val="24"/>
        </w:rPr>
        <w:t>CASE Number: 23082/22</w:t>
      </w:r>
    </w:p>
    <w:p w:rsidR="00C54D1C" w:rsidRDefault="00441B0D">
      <w:pPr>
        <w:pStyle w:val="BodyA"/>
        <w:tabs>
          <w:tab w:val="left" w:pos="4917"/>
        </w:tabs>
        <w:spacing w:after="0" w:line="240" w:lineRule="auto"/>
        <w:jc w:val="center"/>
        <w:rPr>
          <w:rFonts w:ascii="Arial" w:eastAsia="Arial" w:hAnsi="Arial" w:cs="Arial"/>
          <w:sz w:val="24"/>
          <w:szCs w:val="24"/>
        </w:rPr>
      </w:pPr>
      <w:r>
        <w:rPr>
          <w:rFonts w:ascii="Arial" w:eastAsia="Arial" w:hAnsi="Arial" w:cs="Arial"/>
          <w:noProof/>
          <w:sz w:val="24"/>
          <w:szCs w:val="24"/>
          <w:lang w:eastAsia="en-US"/>
        </w:rPr>
        <mc:AlternateContent>
          <mc:Choice Requires="wps">
            <w:drawing>
              <wp:anchor distT="0" distB="0" distL="0" distR="0" simplePos="0" relativeHeight="251659264" behindDoc="0" locked="0" layoutInCell="1" allowOverlap="1">
                <wp:simplePos x="0" y="0"/>
                <wp:positionH relativeFrom="column">
                  <wp:posOffset>6348</wp:posOffset>
                </wp:positionH>
                <wp:positionV relativeFrom="line">
                  <wp:posOffset>8254</wp:posOffset>
                </wp:positionV>
                <wp:extent cx="3232787" cy="14668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32787" cy="1466850"/>
                        </a:xfrm>
                        <a:prstGeom prst="rect">
                          <a:avLst/>
                        </a:prstGeom>
                        <a:solidFill>
                          <a:srgbClr val="FFFFFF"/>
                        </a:solidFill>
                        <a:ln w="9525" cap="flat">
                          <a:solidFill>
                            <a:srgbClr val="000000"/>
                          </a:solidFill>
                          <a:prstDash val="solid"/>
                          <a:miter lim="800000"/>
                        </a:ln>
                        <a:effectLst/>
                      </wps:spPr>
                      <wps:txbx>
                        <w:txbxContent>
                          <w:p w:rsidR="00C54D1C" w:rsidRDefault="00C54D1C">
                            <w:pPr>
                              <w:pStyle w:val="BodyA"/>
                              <w:jc w:val="center"/>
                              <w:rPr>
                                <w:rFonts w:ascii="Century Gothic" w:eastAsia="Century Gothic" w:hAnsi="Century Gothic" w:cs="Century Gothic"/>
                                <w:b/>
                                <w:bCs/>
                                <w:sz w:val="20"/>
                                <w:szCs w:val="20"/>
                              </w:rPr>
                            </w:pPr>
                          </w:p>
                          <w:p w:rsidR="00C54D1C" w:rsidRDefault="005C4854" w:rsidP="005C4854">
                            <w:pPr>
                              <w:pStyle w:val="BodyA"/>
                              <w:spacing w:after="0" w:line="240" w:lineRule="auto"/>
                              <w:ind w:left="900" w:hanging="720"/>
                              <w:rPr>
                                <w:rFonts w:ascii="Century Gothic" w:eastAsia="Century Gothic" w:hAnsi="Century Gothic" w:cs="Century Gothic"/>
                                <w:sz w:val="20"/>
                                <w:szCs w:val="20"/>
                              </w:rPr>
                              <w:pPrChange w:id="0" w:author="Mokone" w:date="2022-11-30T08:54:00Z">
                                <w:pPr>
                                  <w:pStyle w:val="BodyA"/>
                                  <w:numPr>
                                    <w:numId w:val="1"/>
                                  </w:numPr>
                                  <w:spacing w:after="0" w:line="240" w:lineRule="auto"/>
                                  <w:ind w:left="900" w:hanging="720"/>
                                </w:pPr>
                              </w:pPrChange>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441B0D">
                              <w:rPr>
                                <w:rFonts w:ascii="Century Gothic" w:hAnsi="Century Gothic"/>
                                <w:sz w:val="20"/>
                                <w:szCs w:val="20"/>
                              </w:rPr>
                              <w:t>REPORTABLE: YES/NO</w:t>
                            </w:r>
                          </w:p>
                          <w:p w:rsidR="00C54D1C" w:rsidRDefault="005C4854" w:rsidP="005C4854">
                            <w:pPr>
                              <w:pStyle w:val="BodyA"/>
                              <w:spacing w:after="0" w:line="240" w:lineRule="auto"/>
                              <w:ind w:left="900" w:hanging="720"/>
                              <w:rPr>
                                <w:rFonts w:ascii="Century Gothic" w:eastAsia="Century Gothic" w:hAnsi="Century Gothic" w:cs="Century Gothic"/>
                                <w:sz w:val="20"/>
                                <w:szCs w:val="20"/>
                                <w:lang w:val="de-DE"/>
                              </w:rPr>
                              <w:pPrChange w:id="1" w:author="Mokone" w:date="2022-11-30T08:54:00Z">
                                <w:pPr>
                                  <w:pStyle w:val="BodyA"/>
                                  <w:numPr>
                                    <w:numId w:val="1"/>
                                  </w:numPr>
                                  <w:spacing w:after="0" w:line="240" w:lineRule="auto"/>
                                  <w:ind w:left="900" w:hanging="720"/>
                                </w:pPr>
                              </w:pPrChange>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441B0D">
                              <w:rPr>
                                <w:rFonts w:ascii="Century Gothic" w:hAnsi="Century Gothic"/>
                                <w:sz w:val="20"/>
                                <w:szCs w:val="20"/>
                                <w:lang w:val="de-DE"/>
                              </w:rPr>
                              <w:t>OF INTEREST TO OTHER JUDGES: YES/NO</w:t>
                            </w:r>
                          </w:p>
                          <w:p w:rsidR="00C54D1C" w:rsidRDefault="005C4854" w:rsidP="005C4854">
                            <w:pPr>
                              <w:pStyle w:val="BodyA"/>
                              <w:spacing w:after="0" w:line="240" w:lineRule="auto"/>
                              <w:ind w:left="900" w:hanging="720"/>
                              <w:rPr>
                                <w:rFonts w:ascii="Century Gothic" w:eastAsia="Century Gothic" w:hAnsi="Century Gothic" w:cs="Century Gothic"/>
                                <w:sz w:val="20"/>
                                <w:szCs w:val="20"/>
                              </w:rPr>
                              <w:pPrChange w:id="2" w:author="Mokone" w:date="2022-11-30T08:54:00Z">
                                <w:pPr>
                                  <w:pStyle w:val="BodyA"/>
                                  <w:numPr>
                                    <w:numId w:val="1"/>
                                  </w:numPr>
                                  <w:spacing w:after="0" w:line="240" w:lineRule="auto"/>
                                  <w:ind w:left="900" w:hanging="720"/>
                                </w:pPr>
                              </w:pPrChange>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441B0D">
                              <w:rPr>
                                <w:rFonts w:ascii="Century Gothic" w:hAnsi="Century Gothic"/>
                                <w:sz w:val="20"/>
                                <w:szCs w:val="20"/>
                              </w:rPr>
                              <w:t>REVISED: YES/NO</w:t>
                            </w:r>
                          </w:p>
                          <w:p w:rsidR="00C54D1C" w:rsidRDefault="00C54D1C">
                            <w:pPr>
                              <w:pStyle w:val="BodyA"/>
                              <w:spacing w:after="0" w:line="240" w:lineRule="auto"/>
                              <w:rPr>
                                <w:rFonts w:ascii="Century Gothic" w:eastAsia="Century Gothic" w:hAnsi="Century Gothic" w:cs="Century Gothic"/>
                                <w:sz w:val="20"/>
                                <w:szCs w:val="20"/>
                              </w:rPr>
                            </w:pPr>
                          </w:p>
                          <w:p w:rsidR="00C54D1C" w:rsidRDefault="00441B0D">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w:t>
                            </w:r>
                          </w:p>
                          <w:p w:rsidR="00C54D1C" w:rsidRDefault="00441B0D">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C54D1C" w:rsidRDefault="00441B0D">
                            <w:pPr>
                              <w:pStyle w:val="BodyA"/>
                            </w:pPr>
                            <w:r>
                              <w:rPr>
                                <w:rFonts w:ascii="Century Gothic" w:hAnsi="Century Gothic"/>
                                <w:b/>
                                <w:bCs/>
                                <w:sz w:val="18"/>
                                <w:szCs w:val="18"/>
                              </w:rPr>
                              <w:t xml:space="preserve">           </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5pt;margin-top:.65pt;width:254.55pt;height:11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">
                <v:textbox inset="1.2699mm,1.2699mm,1.2699mm,1.2699mm">
                  <w:txbxContent>
                    <w:p w:rsidR="00C54D1C" w:rsidRDefault="00C54D1C">
                      <w:pPr>
                        <w:pStyle w:val="BodyA"/>
                        <w:jc w:val="center"/>
                        <w:rPr>
                          <w:rFonts w:ascii="Century Gothic" w:eastAsia="Century Gothic" w:hAnsi="Century Gothic" w:cs="Century Gothic"/>
                          <w:b/>
                          <w:bCs/>
                          <w:sz w:val="20"/>
                          <w:szCs w:val="20"/>
                        </w:rPr>
                      </w:pPr>
                    </w:p>
                    <w:p w:rsidR="00C54D1C" w:rsidRDefault="005C4854" w:rsidP="005C4854">
                      <w:pPr>
                        <w:pStyle w:val="BodyA"/>
                        <w:spacing w:after="0" w:line="240" w:lineRule="auto"/>
                        <w:ind w:left="900" w:hanging="720"/>
                        <w:rPr>
                          <w:rFonts w:ascii="Century Gothic" w:eastAsia="Century Gothic" w:hAnsi="Century Gothic" w:cs="Century Gothic"/>
                          <w:sz w:val="20"/>
                          <w:szCs w:val="20"/>
                        </w:rPr>
                        <w:pPrChange w:id="3" w:author="Mokone" w:date="2022-11-30T08:54:00Z">
                          <w:pPr>
                            <w:pStyle w:val="BodyA"/>
                            <w:numPr>
                              <w:numId w:val="1"/>
                            </w:numPr>
                            <w:spacing w:after="0" w:line="240" w:lineRule="auto"/>
                            <w:ind w:left="900" w:hanging="720"/>
                          </w:pPr>
                        </w:pPrChange>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441B0D">
                        <w:rPr>
                          <w:rFonts w:ascii="Century Gothic" w:hAnsi="Century Gothic"/>
                          <w:sz w:val="20"/>
                          <w:szCs w:val="20"/>
                        </w:rPr>
                        <w:t>REPORTABLE: YES/NO</w:t>
                      </w:r>
                    </w:p>
                    <w:p w:rsidR="00C54D1C" w:rsidRDefault="005C4854" w:rsidP="005C4854">
                      <w:pPr>
                        <w:pStyle w:val="BodyA"/>
                        <w:spacing w:after="0" w:line="240" w:lineRule="auto"/>
                        <w:ind w:left="900" w:hanging="720"/>
                        <w:rPr>
                          <w:rFonts w:ascii="Century Gothic" w:eastAsia="Century Gothic" w:hAnsi="Century Gothic" w:cs="Century Gothic"/>
                          <w:sz w:val="20"/>
                          <w:szCs w:val="20"/>
                          <w:lang w:val="de-DE"/>
                        </w:rPr>
                        <w:pPrChange w:id="4" w:author="Mokone" w:date="2022-11-30T08:54:00Z">
                          <w:pPr>
                            <w:pStyle w:val="BodyA"/>
                            <w:numPr>
                              <w:numId w:val="1"/>
                            </w:numPr>
                            <w:spacing w:after="0" w:line="240" w:lineRule="auto"/>
                            <w:ind w:left="900" w:hanging="720"/>
                          </w:pPr>
                        </w:pPrChange>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441B0D">
                        <w:rPr>
                          <w:rFonts w:ascii="Century Gothic" w:hAnsi="Century Gothic"/>
                          <w:sz w:val="20"/>
                          <w:szCs w:val="20"/>
                          <w:lang w:val="de-DE"/>
                        </w:rPr>
                        <w:t>OF INTEREST TO OTHER JUDGES: YES/NO</w:t>
                      </w:r>
                    </w:p>
                    <w:p w:rsidR="00C54D1C" w:rsidRDefault="005C4854" w:rsidP="005C4854">
                      <w:pPr>
                        <w:pStyle w:val="BodyA"/>
                        <w:spacing w:after="0" w:line="240" w:lineRule="auto"/>
                        <w:ind w:left="900" w:hanging="720"/>
                        <w:rPr>
                          <w:rFonts w:ascii="Century Gothic" w:eastAsia="Century Gothic" w:hAnsi="Century Gothic" w:cs="Century Gothic"/>
                          <w:sz w:val="20"/>
                          <w:szCs w:val="20"/>
                        </w:rPr>
                        <w:pPrChange w:id="5" w:author="Mokone" w:date="2022-11-30T08:54:00Z">
                          <w:pPr>
                            <w:pStyle w:val="BodyA"/>
                            <w:numPr>
                              <w:numId w:val="1"/>
                            </w:numPr>
                            <w:spacing w:after="0" w:line="240" w:lineRule="auto"/>
                            <w:ind w:left="900" w:hanging="720"/>
                          </w:pPr>
                        </w:pPrChange>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441B0D">
                        <w:rPr>
                          <w:rFonts w:ascii="Century Gothic" w:hAnsi="Century Gothic"/>
                          <w:sz w:val="20"/>
                          <w:szCs w:val="20"/>
                        </w:rPr>
                        <w:t>REVISED: YES/NO</w:t>
                      </w:r>
                    </w:p>
                    <w:p w:rsidR="00C54D1C" w:rsidRDefault="00C54D1C">
                      <w:pPr>
                        <w:pStyle w:val="BodyA"/>
                        <w:spacing w:after="0" w:line="240" w:lineRule="auto"/>
                        <w:rPr>
                          <w:rFonts w:ascii="Century Gothic" w:eastAsia="Century Gothic" w:hAnsi="Century Gothic" w:cs="Century Gothic"/>
                          <w:sz w:val="20"/>
                          <w:szCs w:val="20"/>
                        </w:rPr>
                      </w:pPr>
                    </w:p>
                    <w:p w:rsidR="00C54D1C" w:rsidRDefault="00441B0D">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w:t>
                      </w:r>
                    </w:p>
                    <w:p w:rsidR="00C54D1C" w:rsidRDefault="00441B0D">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C54D1C" w:rsidRDefault="00441B0D">
                      <w:pPr>
                        <w:pStyle w:val="BodyA"/>
                      </w:pPr>
                      <w:r>
                        <w:rPr>
                          <w:rFonts w:ascii="Century Gothic" w:hAnsi="Century Gothic"/>
                          <w:b/>
                          <w:bCs/>
                          <w:sz w:val="18"/>
                          <w:szCs w:val="18"/>
                        </w:rPr>
                        <w:t xml:space="preserve">           </w:t>
                      </w:r>
                    </w:p>
                  </w:txbxContent>
                </v:textbox>
                <w10:wrap anchory="line"/>
              </v:shape>
            </w:pict>
          </mc:Fallback>
        </mc:AlternateContent>
      </w:r>
    </w:p>
    <w:p w:rsidR="00C54D1C" w:rsidRDefault="00C54D1C">
      <w:pPr>
        <w:pStyle w:val="BodyA"/>
        <w:tabs>
          <w:tab w:val="left" w:pos="4917"/>
        </w:tabs>
        <w:spacing w:after="0" w:line="240" w:lineRule="auto"/>
        <w:jc w:val="center"/>
        <w:rPr>
          <w:rFonts w:ascii="Arial" w:eastAsia="Arial" w:hAnsi="Arial" w:cs="Arial"/>
          <w:sz w:val="24"/>
          <w:szCs w:val="24"/>
        </w:rPr>
      </w:pPr>
    </w:p>
    <w:p w:rsidR="00C54D1C" w:rsidRDefault="00C54D1C">
      <w:pPr>
        <w:pStyle w:val="BodyA"/>
        <w:tabs>
          <w:tab w:val="left" w:pos="4917"/>
        </w:tabs>
        <w:spacing w:after="0" w:line="240" w:lineRule="auto"/>
        <w:jc w:val="right"/>
        <w:rPr>
          <w:rFonts w:ascii="Arial" w:eastAsia="Arial" w:hAnsi="Arial" w:cs="Arial"/>
          <w:b/>
          <w:bCs/>
          <w:sz w:val="24"/>
          <w:szCs w:val="24"/>
          <w:u w:val="single"/>
        </w:rPr>
      </w:pPr>
    </w:p>
    <w:p w:rsidR="00C54D1C" w:rsidRDefault="00C54D1C">
      <w:pPr>
        <w:pStyle w:val="BodyA"/>
        <w:tabs>
          <w:tab w:val="left" w:pos="4917"/>
        </w:tabs>
        <w:spacing w:after="0" w:line="240" w:lineRule="auto"/>
        <w:jc w:val="right"/>
        <w:rPr>
          <w:rFonts w:ascii="Arial" w:eastAsia="Arial" w:hAnsi="Arial" w:cs="Arial"/>
          <w:b/>
          <w:bCs/>
          <w:sz w:val="24"/>
          <w:szCs w:val="24"/>
          <w:u w:val="single"/>
        </w:rPr>
      </w:pPr>
    </w:p>
    <w:p w:rsidR="00C54D1C" w:rsidRDefault="00C54D1C">
      <w:pPr>
        <w:pStyle w:val="BodyA"/>
        <w:tabs>
          <w:tab w:val="left" w:pos="4917"/>
        </w:tabs>
        <w:spacing w:after="0" w:line="240" w:lineRule="auto"/>
        <w:jc w:val="right"/>
        <w:rPr>
          <w:rFonts w:ascii="Arial" w:eastAsia="Arial" w:hAnsi="Arial" w:cs="Arial"/>
          <w:b/>
          <w:bCs/>
          <w:sz w:val="24"/>
          <w:szCs w:val="24"/>
          <w:u w:val="single"/>
        </w:rPr>
      </w:pPr>
    </w:p>
    <w:p w:rsidR="00C54D1C" w:rsidRDefault="00C54D1C">
      <w:pPr>
        <w:pStyle w:val="BodyA"/>
        <w:tabs>
          <w:tab w:val="left" w:pos="4917"/>
        </w:tabs>
        <w:spacing w:after="0" w:line="240" w:lineRule="auto"/>
        <w:jc w:val="right"/>
        <w:rPr>
          <w:rFonts w:ascii="Arial" w:eastAsia="Arial" w:hAnsi="Arial" w:cs="Arial"/>
          <w:b/>
          <w:bCs/>
          <w:sz w:val="24"/>
          <w:szCs w:val="24"/>
          <w:u w:val="single"/>
        </w:rPr>
      </w:pPr>
    </w:p>
    <w:p w:rsidR="00C54D1C" w:rsidRDefault="00C54D1C">
      <w:pPr>
        <w:pStyle w:val="BodyA"/>
        <w:tabs>
          <w:tab w:val="left" w:pos="4917"/>
        </w:tabs>
        <w:spacing w:after="0" w:line="240" w:lineRule="auto"/>
        <w:jc w:val="right"/>
        <w:rPr>
          <w:rFonts w:ascii="Arial" w:eastAsia="Arial" w:hAnsi="Arial" w:cs="Arial"/>
          <w:b/>
          <w:bCs/>
          <w:sz w:val="24"/>
          <w:szCs w:val="24"/>
          <w:u w:val="single"/>
        </w:rPr>
      </w:pPr>
    </w:p>
    <w:p w:rsidR="00C54D1C" w:rsidRDefault="00C54D1C">
      <w:pPr>
        <w:pStyle w:val="BodyA"/>
        <w:tabs>
          <w:tab w:val="left" w:pos="4917"/>
        </w:tabs>
        <w:spacing w:after="0" w:line="240" w:lineRule="auto"/>
        <w:jc w:val="right"/>
        <w:rPr>
          <w:rFonts w:ascii="Arial" w:eastAsia="Arial" w:hAnsi="Arial" w:cs="Arial"/>
          <w:b/>
          <w:bCs/>
          <w:sz w:val="24"/>
          <w:szCs w:val="24"/>
          <w:u w:val="single"/>
        </w:rPr>
      </w:pPr>
    </w:p>
    <w:p w:rsidR="00C54D1C" w:rsidRDefault="00441B0D">
      <w:pPr>
        <w:pStyle w:val="BodyA"/>
        <w:tabs>
          <w:tab w:val="left" w:pos="4917"/>
        </w:tabs>
        <w:spacing w:before="200" w:after="240" w:line="480" w:lineRule="auto"/>
        <w:jc w:val="both"/>
        <w:rPr>
          <w:rFonts w:ascii="Arial" w:eastAsia="Arial" w:hAnsi="Arial" w:cs="Arial"/>
          <w:sz w:val="24"/>
          <w:szCs w:val="24"/>
        </w:rPr>
      </w:pPr>
      <w:r>
        <w:rPr>
          <w:rFonts w:ascii="Arial" w:hAnsi="Arial"/>
          <w:sz w:val="24"/>
          <w:szCs w:val="24"/>
        </w:rPr>
        <w:t>In the matter between: -</w:t>
      </w:r>
    </w:p>
    <w:p w:rsidR="00C54D1C" w:rsidRDefault="00441B0D">
      <w:pPr>
        <w:pStyle w:val="BodyA"/>
        <w:tabs>
          <w:tab w:val="left" w:pos="4917"/>
        </w:tabs>
        <w:spacing w:before="200" w:after="240" w:line="480" w:lineRule="auto"/>
        <w:jc w:val="both"/>
        <w:rPr>
          <w:rFonts w:ascii="Arial" w:eastAsia="Arial" w:hAnsi="Arial" w:cs="Arial"/>
          <w:b/>
          <w:bCs/>
          <w:sz w:val="24"/>
          <w:szCs w:val="24"/>
          <w:lang w:val="de-DE"/>
        </w:rPr>
      </w:pPr>
      <w:r>
        <w:rPr>
          <w:rFonts w:ascii="Arial" w:hAnsi="Arial"/>
          <w:b/>
          <w:bCs/>
          <w:sz w:val="24"/>
          <w:szCs w:val="24"/>
          <w:lang w:val="de-DE"/>
        </w:rPr>
        <w:t>FIRSTRAND BANK</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      APPLICANT</w:t>
      </w:r>
    </w:p>
    <w:p w:rsidR="00C54D1C" w:rsidRDefault="00441B0D">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 xml:space="preserve">AND </w:t>
      </w:r>
    </w:p>
    <w:p w:rsidR="00C54D1C" w:rsidRDefault="00441B0D">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rPr>
        <w:t>THULANGANYO MASENG</w:t>
      </w:r>
      <w:r>
        <w:rPr>
          <w:rFonts w:ascii="Arial" w:hAnsi="Arial"/>
          <w:b/>
          <w:bCs/>
          <w:sz w:val="24"/>
          <w:szCs w:val="24"/>
        </w:rPr>
        <w:tab/>
        <w:t xml:space="preserve">              </w:t>
      </w:r>
      <w:r>
        <w:rPr>
          <w:rFonts w:ascii="Arial" w:hAnsi="Arial"/>
          <w:b/>
          <w:bCs/>
          <w:sz w:val="24"/>
          <w:szCs w:val="24"/>
        </w:rPr>
        <w:tab/>
        <w:t xml:space="preserve"> FIRST RESPONDENT</w:t>
      </w:r>
    </w:p>
    <w:p w:rsidR="00C54D1C" w:rsidRDefault="00441B0D">
      <w:pPr>
        <w:pStyle w:val="BodyA"/>
        <w:tabs>
          <w:tab w:val="left" w:pos="4917"/>
        </w:tabs>
        <w:spacing w:before="200" w:after="240" w:line="480" w:lineRule="auto"/>
        <w:jc w:val="both"/>
        <w:rPr>
          <w:rFonts w:ascii="Arial" w:eastAsia="Arial" w:hAnsi="Arial" w:cs="Arial"/>
          <w:b/>
          <w:bCs/>
          <w:sz w:val="24"/>
          <w:szCs w:val="24"/>
          <w:lang w:val="de-DE"/>
        </w:rPr>
      </w:pPr>
      <w:r>
        <w:rPr>
          <w:rFonts w:ascii="Arial" w:hAnsi="Arial"/>
          <w:b/>
          <w:bCs/>
          <w:sz w:val="24"/>
          <w:szCs w:val="24"/>
          <w:lang w:val="de-DE"/>
        </w:rPr>
        <w:t>DIMAKATSO LUCRICIA MASENG</w:t>
      </w:r>
      <w:r>
        <w:rPr>
          <w:rFonts w:ascii="Arial" w:hAnsi="Arial"/>
          <w:b/>
          <w:bCs/>
          <w:sz w:val="24"/>
          <w:szCs w:val="24"/>
          <w:lang w:val="de-DE"/>
        </w:rPr>
        <w:tab/>
      </w:r>
      <w:r>
        <w:rPr>
          <w:rFonts w:ascii="Arial" w:hAnsi="Arial"/>
          <w:b/>
          <w:bCs/>
          <w:sz w:val="24"/>
          <w:szCs w:val="24"/>
          <w:lang w:val="de-DE"/>
        </w:rPr>
        <w:tab/>
        <w:t xml:space="preserve">    </w:t>
      </w:r>
      <w:r>
        <w:rPr>
          <w:rFonts w:ascii="Arial" w:hAnsi="Arial"/>
          <w:b/>
          <w:bCs/>
          <w:sz w:val="24"/>
          <w:szCs w:val="24"/>
          <w:lang w:val="de-DE"/>
        </w:rPr>
        <w:tab/>
        <w:t xml:space="preserve">       SECOND RESPONDENT</w:t>
      </w:r>
    </w:p>
    <w:p w:rsidR="00C54D1C" w:rsidRDefault="00441B0D">
      <w:pPr>
        <w:pStyle w:val="BodyA"/>
        <w:tabs>
          <w:tab w:val="left" w:pos="4917"/>
        </w:tabs>
        <w:spacing w:before="200" w:after="240" w:line="480" w:lineRule="auto"/>
        <w:jc w:val="both"/>
        <w:rPr>
          <w:rFonts w:ascii="Arial" w:eastAsia="Arial" w:hAnsi="Arial" w:cs="Arial"/>
          <w:b/>
          <w:bCs/>
          <w:sz w:val="24"/>
          <w:szCs w:val="24"/>
          <w:lang w:val="de-DE"/>
        </w:rPr>
      </w:pPr>
      <w:r>
        <w:rPr>
          <w:rFonts w:ascii="Arial" w:hAnsi="Arial"/>
          <w:b/>
          <w:bCs/>
          <w:sz w:val="24"/>
          <w:szCs w:val="24"/>
          <w:lang w:val="de-DE"/>
        </w:rPr>
        <w:t>CITY OF EKURHULENI MUNICIPALITY</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THIRD RESPONDENT </w:t>
      </w:r>
    </w:p>
    <w:p w:rsidR="00C54D1C" w:rsidRDefault="00441B0D">
      <w:pPr>
        <w:pStyle w:val="BodyA"/>
        <w:tabs>
          <w:tab w:val="left" w:pos="4917"/>
        </w:tabs>
        <w:spacing w:before="200" w:after="240" w:line="480" w:lineRule="auto"/>
        <w:jc w:val="both"/>
        <w:rPr>
          <w:rFonts w:ascii="Arial" w:eastAsia="Arial" w:hAnsi="Arial" w:cs="Arial"/>
          <w:b/>
          <w:bCs/>
          <w:sz w:val="24"/>
          <w:szCs w:val="24"/>
        </w:rPr>
      </w:pPr>
      <w:r>
        <w:rPr>
          <w:rFonts w:ascii="Arial" w:hAnsi="Arial"/>
          <w:b/>
          <w:bCs/>
          <w:sz w:val="24"/>
          <w:szCs w:val="24"/>
          <w:lang w:val="de-DE"/>
        </w:rPr>
        <w:t>MIDSTREAM HILL HOME OWNERS</w:t>
      </w:r>
      <w:r>
        <w:rPr>
          <w:rFonts w:ascii="Arial" w:hAnsi="Arial"/>
          <w:b/>
          <w:bCs/>
          <w:sz w:val="24"/>
          <w:szCs w:val="24"/>
        </w:rPr>
        <w:t xml:space="preserve">’ </w:t>
      </w:r>
      <w:r>
        <w:rPr>
          <w:rFonts w:ascii="Arial" w:hAnsi="Arial"/>
          <w:b/>
          <w:bCs/>
          <w:sz w:val="24"/>
          <w:szCs w:val="24"/>
          <w:lang w:val="de-DE"/>
        </w:rPr>
        <w:t>ASSOCIATION       FOURTH RESPONDENT</w:t>
      </w:r>
    </w:p>
    <w:p w:rsidR="00C54D1C" w:rsidRDefault="00441B0D">
      <w:pPr>
        <w:pStyle w:val="BodyA"/>
        <w:tabs>
          <w:tab w:val="left" w:pos="4917"/>
        </w:tabs>
        <w:spacing w:before="200" w:after="240" w:line="480" w:lineRule="auto"/>
        <w:jc w:val="both"/>
        <w:rPr>
          <w:rFonts w:ascii="Arial" w:eastAsia="Arial" w:hAnsi="Arial" w:cs="Arial"/>
          <w:b/>
          <w:bCs/>
          <w:sz w:val="24"/>
          <w:szCs w:val="24"/>
        </w:rPr>
      </w:pPr>
      <w:r>
        <w:rPr>
          <w:rFonts w:ascii="Arial" w:eastAsia="Arial" w:hAnsi="Arial" w:cs="Arial"/>
          <w:b/>
          <w:bCs/>
          <w:noProof/>
          <w:sz w:val="24"/>
          <w:szCs w:val="24"/>
          <w:lang w:eastAsia="en-US"/>
        </w:rPr>
        <mc:AlternateContent>
          <mc:Choice Requires="wps">
            <w:drawing>
              <wp:inline distT="0" distB="0" distL="0" distR="0">
                <wp:extent cx="5943600" cy="1905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C54D1C" w:rsidRDefault="00441B0D">
      <w:pPr>
        <w:pStyle w:val="BodyA"/>
        <w:spacing w:before="200" w:after="240" w:line="480" w:lineRule="auto"/>
        <w:jc w:val="center"/>
        <w:rPr>
          <w:rFonts w:ascii="Arial" w:eastAsia="Arial" w:hAnsi="Arial" w:cs="Arial"/>
          <w:b/>
          <w:bCs/>
          <w:sz w:val="24"/>
          <w:szCs w:val="24"/>
        </w:rPr>
      </w:pPr>
      <w:r>
        <w:rPr>
          <w:rFonts w:ascii="Arial" w:hAnsi="Arial"/>
          <w:b/>
          <w:bCs/>
          <w:sz w:val="24"/>
          <w:szCs w:val="24"/>
          <w:lang w:val="fr-FR"/>
        </w:rPr>
        <w:t>JUDG</w:t>
      </w:r>
      <w:r>
        <w:rPr>
          <w:rFonts w:ascii="Arial" w:hAnsi="Arial"/>
          <w:b/>
          <w:bCs/>
          <w:sz w:val="24"/>
          <w:szCs w:val="24"/>
        </w:rPr>
        <w:t>E</w:t>
      </w:r>
      <w:r>
        <w:rPr>
          <w:rFonts w:ascii="Arial" w:hAnsi="Arial"/>
          <w:b/>
          <w:bCs/>
          <w:sz w:val="24"/>
          <w:szCs w:val="24"/>
          <w:lang w:val="de-DE"/>
        </w:rPr>
        <w:t>MENT</w:t>
      </w:r>
    </w:p>
    <w:p w:rsidR="00C54D1C" w:rsidRDefault="00441B0D">
      <w:pPr>
        <w:pStyle w:val="BodyA"/>
        <w:spacing w:before="200" w:after="240" w:line="480" w:lineRule="auto"/>
        <w:jc w:val="both"/>
        <w:rPr>
          <w:rFonts w:ascii="Arial" w:eastAsia="Arial" w:hAnsi="Arial" w:cs="Arial"/>
          <w:sz w:val="24"/>
          <w:szCs w:val="24"/>
        </w:rPr>
      </w:pPr>
      <w:r>
        <w:rPr>
          <w:rFonts w:ascii="Arial" w:eastAsia="Arial" w:hAnsi="Arial" w:cs="Arial"/>
          <w:b/>
          <w:bCs/>
          <w:noProof/>
          <w:sz w:val="24"/>
          <w:szCs w:val="24"/>
          <w:lang w:eastAsia="en-US"/>
        </w:rPr>
        <mc:AlternateContent>
          <mc:Choice Requires="wps">
            <w:drawing>
              <wp:inline distT="0" distB="0" distL="0" distR="0">
                <wp:extent cx="5943600" cy="1905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C54D1C" w:rsidRDefault="00441B0D">
      <w:pPr>
        <w:pStyle w:val="BodyA"/>
        <w:spacing w:after="0" w:line="480" w:lineRule="auto"/>
        <w:jc w:val="both"/>
        <w:rPr>
          <w:rFonts w:ascii="Arial" w:eastAsia="Arial" w:hAnsi="Arial" w:cs="Arial"/>
          <w:sz w:val="24"/>
          <w:szCs w:val="24"/>
        </w:rPr>
      </w:pPr>
      <w:r>
        <w:rPr>
          <w:rFonts w:ascii="Arial" w:hAnsi="Arial"/>
          <w:sz w:val="24"/>
          <w:szCs w:val="24"/>
        </w:rPr>
        <w:lastRenderedPageBreak/>
        <w:t xml:space="preserve">This Judgment was handed down electronically by circulation to the parties’ and or </w:t>
      </w:r>
      <w:proofErr w:type="gramStart"/>
      <w:r>
        <w:rPr>
          <w:rFonts w:ascii="Arial" w:hAnsi="Arial"/>
          <w:sz w:val="24"/>
          <w:szCs w:val="24"/>
        </w:rPr>
        <w:t>parties</w:t>
      </w:r>
      <w:proofErr w:type="gramEnd"/>
      <w:r>
        <w:rPr>
          <w:rFonts w:ascii="Arial" w:hAnsi="Arial"/>
          <w:sz w:val="24"/>
          <w:szCs w:val="24"/>
        </w:rPr>
        <w:t xml:space="preserve"> representatives by email and by being uploaded to </w:t>
      </w:r>
      <w:proofErr w:type="spellStart"/>
      <w:r>
        <w:rPr>
          <w:rFonts w:ascii="Arial" w:hAnsi="Arial"/>
          <w:sz w:val="24"/>
          <w:szCs w:val="24"/>
        </w:rPr>
        <w:t>CaseLines</w:t>
      </w:r>
      <w:proofErr w:type="spellEnd"/>
      <w:r>
        <w:rPr>
          <w:rFonts w:ascii="Arial" w:hAnsi="Arial"/>
          <w:sz w:val="24"/>
          <w:szCs w:val="24"/>
        </w:rPr>
        <w:t xml:space="preserve">. The date and time for the hand down is deemed on 18 November 2022.  </w:t>
      </w:r>
    </w:p>
    <w:p w:rsidR="00C54D1C" w:rsidRDefault="00C54D1C">
      <w:pPr>
        <w:pStyle w:val="BodyA"/>
        <w:spacing w:after="0" w:line="480" w:lineRule="auto"/>
        <w:jc w:val="both"/>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rPrChange w:id="6" w:author="Mokone" w:date="2022-11-30T08:54:00Z">
            <w:rPr>
              <w:rFonts w:eastAsia="Arial" w:cs="Arial"/>
            </w:rPr>
          </w:rPrChange>
        </w:rPr>
        <w:pPrChange w:id="7"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w:t>
      </w:r>
      <w:r>
        <w:rPr>
          <w:rFonts w:ascii="Arial" w:eastAsia="Arial" w:hAnsi="Arial" w:cs="Arial"/>
          <w:color w:val="000000"/>
          <w:u w:color="000000"/>
          <w:lang w:eastAsia="en-ZA"/>
        </w:rPr>
        <w:tab/>
      </w:r>
      <w:r w:rsidR="00441B0D" w:rsidRPr="005C4854">
        <w:rPr>
          <w:rFonts w:ascii="Arial" w:hAnsi="Arial"/>
          <w:rPrChange w:id="8" w:author="Mokone" w:date="2022-11-30T08:54:00Z">
            <w:rPr/>
          </w:rPrChange>
        </w:rPr>
        <w:t>The applicant is FirstRand Bank (‘</w:t>
      </w:r>
      <w:r w:rsidR="00441B0D" w:rsidRPr="005C4854">
        <w:rPr>
          <w:rFonts w:ascii="Arial" w:hAnsi="Arial"/>
          <w:lang w:val="fr-FR"/>
          <w:rPrChange w:id="9" w:author="Mokone" w:date="2022-11-30T08:54:00Z">
            <w:rPr>
              <w:lang w:val="fr-FR"/>
            </w:rPr>
          </w:rPrChange>
        </w:rPr>
        <w:t>FN</w:t>
      </w:r>
      <w:r w:rsidR="00441B0D" w:rsidRPr="005C4854">
        <w:rPr>
          <w:rFonts w:ascii="Arial" w:hAnsi="Arial"/>
          <w:rPrChange w:id="10" w:author="Mokone" w:date="2022-11-30T08:54:00Z">
            <w:rPr/>
          </w:rPrChange>
        </w:rPr>
        <w:t>B’). The first and second respondents are married in community of property and I will refer to them as one; namely ‘</w:t>
      </w:r>
      <w:r w:rsidR="00441B0D" w:rsidRPr="005C4854">
        <w:rPr>
          <w:rFonts w:ascii="Arial" w:hAnsi="Arial"/>
          <w:lang w:val="de-DE"/>
          <w:rPrChange w:id="11" w:author="Mokone" w:date="2022-11-30T08:54:00Z">
            <w:rPr>
              <w:lang w:val="de-DE"/>
            </w:rPr>
          </w:rPrChange>
        </w:rPr>
        <w:t>Maseng</w:t>
      </w:r>
      <w:r w:rsidR="00441B0D" w:rsidRPr="005C4854">
        <w:rPr>
          <w:rFonts w:ascii="Arial" w:hAnsi="Arial"/>
          <w:rPrChange w:id="12" w:author="Mokone" w:date="2022-11-30T08:54:00Z">
            <w:rPr/>
          </w:rPrChange>
        </w:rPr>
        <w:t>’ or where appropriate, "the respondents".</w:t>
      </w:r>
    </w:p>
    <w:p w:rsidR="00C54D1C" w:rsidRDefault="00C54D1C">
      <w:pPr>
        <w:pStyle w:val="ListParagraph"/>
        <w:tabs>
          <w:tab w:val="left" w:pos="709"/>
        </w:tabs>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3" w:author="Mokone" w:date="2022-11-30T08:54:00Z">
            <w:rPr>
              <w:rFonts w:eastAsia="Arial" w:cs="Arial"/>
            </w:rPr>
          </w:rPrChange>
        </w:rPr>
        <w:pPrChange w:id="14"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2.</w:t>
      </w:r>
      <w:r>
        <w:rPr>
          <w:rFonts w:ascii="Arial" w:eastAsia="Arial" w:hAnsi="Arial" w:cs="Arial"/>
          <w:color w:val="000000"/>
          <w:u w:color="000000"/>
          <w:lang w:eastAsia="en-ZA"/>
        </w:rPr>
        <w:tab/>
      </w:r>
      <w:r w:rsidR="00441B0D" w:rsidRPr="005C4854">
        <w:rPr>
          <w:rFonts w:ascii="Arial" w:hAnsi="Arial"/>
          <w:rPrChange w:id="15" w:author="Mokone" w:date="2022-11-30T08:54:00Z">
            <w:rPr/>
          </w:rPrChange>
        </w:rPr>
        <w:t xml:space="preserve">This is an application for the payment of a sum of money, together with interest as well as to have an immovable property declared specifically executable in terms of rule </w:t>
      </w:r>
      <w:proofErr w:type="gramStart"/>
      <w:r w:rsidR="00441B0D" w:rsidRPr="005C4854">
        <w:rPr>
          <w:rFonts w:ascii="Arial" w:hAnsi="Arial"/>
          <w:rPrChange w:id="16" w:author="Mokone" w:date="2022-11-30T08:54:00Z">
            <w:rPr/>
          </w:rPrChange>
        </w:rPr>
        <w:t>46A(</w:t>
      </w:r>
      <w:proofErr w:type="gramEnd"/>
      <w:r w:rsidR="00441B0D" w:rsidRPr="005C4854">
        <w:rPr>
          <w:rFonts w:ascii="Arial" w:hAnsi="Arial"/>
          <w:rPrChange w:id="17" w:author="Mokone" w:date="2022-11-30T08:54:00Z">
            <w:rPr/>
          </w:rPrChange>
        </w:rPr>
        <w:t>8). There is the usual ancillary relief relating to issues such as the reserved price, writs of execution and the like.</w:t>
      </w:r>
    </w:p>
    <w:p w:rsidR="00C54D1C" w:rsidRDefault="00C54D1C">
      <w:pPr>
        <w:pStyle w:val="ListParagraph"/>
        <w:tabs>
          <w:tab w:val="left" w:pos="709"/>
        </w:tabs>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b/>
          <w:bCs/>
          <w:rPrChange w:id="18" w:author="Mokone" w:date="2022-11-30T08:54:00Z">
            <w:rPr>
              <w:rFonts w:eastAsia="Arial" w:cs="Arial"/>
              <w:b/>
              <w:bCs/>
            </w:rPr>
          </w:rPrChange>
        </w:rPr>
        <w:pPrChange w:id="19"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3.</w:t>
      </w:r>
      <w:r>
        <w:rPr>
          <w:rFonts w:ascii="Arial" w:eastAsia="Arial" w:hAnsi="Arial" w:cs="Arial"/>
          <w:color w:val="000000"/>
          <w:u w:color="000000"/>
          <w:lang w:eastAsia="en-ZA"/>
        </w:rPr>
        <w:tab/>
      </w:r>
      <w:r w:rsidR="00441B0D" w:rsidRPr="005C4854">
        <w:rPr>
          <w:rFonts w:ascii="Arial" w:hAnsi="Arial"/>
          <w:rPrChange w:id="20" w:author="Mokone" w:date="2022-11-30T08:54:00Z">
            <w:rPr/>
          </w:rPrChange>
        </w:rPr>
        <w:t>The property is in Midstream Estate Extension 53 and is subject to the res</w:t>
      </w:r>
      <w:bookmarkStart w:id="21" w:name="_GoBack"/>
      <w:bookmarkEnd w:id="21"/>
      <w:r w:rsidR="00441B0D" w:rsidRPr="005C4854">
        <w:rPr>
          <w:rFonts w:ascii="Arial" w:hAnsi="Arial"/>
          <w:rPrChange w:id="22" w:author="Mokone" w:date="2022-11-30T08:54:00Z">
            <w:rPr/>
          </w:rPrChange>
        </w:rPr>
        <w:t xml:space="preserve">trictive conditions in </w:t>
      </w:r>
      <w:proofErr w:type="spellStart"/>
      <w:r w:rsidR="00441B0D" w:rsidRPr="005C4854">
        <w:rPr>
          <w:rFonts w:ascii="Arial" w:hAnsi="Arial"/>
          <w:rPrChange w:id="23" w:author="Mokone" w:date="2022-11-30T08:54:00Z">
            <w:rPr/>
          </w:rPrChange>
        </w:rPr>
        <w:t>favour</w:t>
      </w:r>
      <w:proofErr w:type="spellEnd"/>
      <w:r w:rsidR="00441B0D" w:rsidRPr="005C4854">
        <w:rPr>
          <w:rFonts w:ascii="Arial" w:hAnsi="Arial"/>
          <w:rPrChange w:id="24" w:author="Mokone" w:date="2022-11-30T08:54:00Z">
            <w:rPr/>
          </w:rPrChange>
        </w:rPr>
        <w:t xml:space="preserve"> of Midstream Home Owners’ Association, the third respondent, and falls within the jurisdiction of the fourth respondent. The third and fourth respondents take no part in these proceedings and my reference to "respondents" will be a reference to the first and second.</w:t>
      </w:r>
    </w:p>
    <w:p w:rsidR="00C54D1C" w:rsidRDefault="00C54D1C">
      <w:pPr>
        <w:pStyle w:val="ListParagraph"/>
        <w:tabs>
          <w:tab w:val="left" w:pos="709"/>
        </w:tabs>
        <w:spacing w:after="0" w:line="360" w:lineRule="auto"/>
        <w:ind w:left="0"/>
        <w:jc w:val="both"/>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25" w:author="Mokone" w:date="2022-11-30T08:54:00Z">
            <w:rPr>
              <w:rFonts w:eastAsia="Arial" w:cs="Arial"/>
              <w:b/>
              <w:bCs/>
            </w:rPr>
          </w:rPrChange>
        </w:rPr>
        <w:pPrChange w:id="26"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4.</w:t>
      </w:r>
      <w:r>
        <w:rPr>
          <w:rFonts w:ascii="Arial" w:eastAsia="Arial" w:hAnsi="Arial" w:cs="Arial"/>
          <w:color w:val="000000"/>
          <w:u w:color="000000"/>
          <w:lang w:eastAsia="en-ZA"/>
        </w:rPr>
        <w:tab/>
      </w:r>
      <w:r w:rsidR="00441B0D" w:rsidRPr="005C4854">
        <w:rPr>
          <w:rFonts w:ascii="Arial" w:hAnsi="Arial"/>
          <w:rPrChange w:id="27" w:author="Mokone" w:date="2022-11-30T08:54:00Z">
            <w:rPr/>
          </w:rPrChange>
        </w:rPr>
        <w:t>FNB filed a practice note in terms of which it is stated that the common cause facts are:</w:t>
      </w:r>
    </w:p>
    <w:p w:rsidR="00C54D1C" w:rsidRDefault="00C54D1C">
      <w:pPr>
        <w:pStyle w:val="ListParagraph"/>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28" w:author="Mokone" w:date="2022-11-30T08:54:00Z">
            <w:rPr>
              <w:rFonts w:eastAsia="Arial" w:cs="Arial"/>
              <w:b/>
              <w:bCs/>
            </w:rPr>
          </w:rPrChange>
        </w:rPr>
        <w:pPrChange w:id="29" w:author="Mokone" w:date="2022-11-30T08:54:00Z">
          <w:pPr>
            <w:pStyle w:val="ListParagraph"/>
            <w:numPr>
              <w:ilvl w:val="1"/>
              <w:numId w:val="3"/>
            </w:numPr>
            <w:spacing w:after="0" w:line="360" w:lineRule="auto"/>
            <w:ind w:hanging="720"/>
            <w:jc w:val="both"/>
          </w:pPr>
        </w:pPrChange>
      </w:pPr>
      <w:r>
        <w:rPr>
          <w:rFonts w:ascii="Arial" w:eastAsia="Arial" w:hAnsi="Arial Unicode MS" w:cs="Arial"/>
          <w:b/>
          <w:bCs/>
          <w:color w:val="000000"/>
          <w:u w:color="000000"/>
          <w:lang w:eastAsia="en-ZA"/>
        </w:rPr>
        <w:t>4.1.</w:t>
      </w:r>
      <w:r>
        <w:rPr>
          <w:rFonts w:ascii="Arial" w:eastAsia="Arial" w:hAnsi="Arial Unicode MS" w:cs="Arial"/>
          <w:b/>
          <w:bCs/>
          <w:color w:val="000000"/>
          <w:u w:color="000000"/>
          <w:lang w:eastAsia="en-ZA"/>
        </w:rPr>
        <w:tab/>
      </w:r>
      <w:r w:rsidR="00441B0D" w:rsidRPr="005C4854">
        <w:rPr>
          <w:rFonts w:ascii="Arial" w:hAnsi="Arial"/>
          <w:rPrChange w:id="30" w:author="Mokone" w:date="2022-11-30T08:54:00Z">
            <w:rPr/>
          </w:rPrChange>
        </w:rPr>
        <w:t>That the first and second respondents have entered into a credit facility agreement with the applicant;</w:t>
      </w:r>
    </w:p>
    <w:p w:rsidR="00C54D1C" w:rsidRDefault="00C54D1C">
      <w:pPr>
        <w:pStyle w:val="ListParagraph"/>
        <w:spacing w:after="0" w:line="360" w:lineRule="auto"/>
        <w:ind w:left="0"/>
        <w:jc w:val="both"/>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31" w:author="Mokone" w:date="2022-11-30T08:54:00Z">
            <w:rPr>
              <w:rFonts w:eastAsia="Arial" w:cs="Arial"/>
              <w:b/>
              <w:bCs/>
            </w:rPr>
          </w:rPrChange>
        </w:rPr>
        <w:pPrChange w:id="32" w:author="Mokone" w:date="2022-11-30T08:54:00Z">
          <w:pPr>
            <w:pStyle w:val="ListParagraph"/>
            <w:numPr>
              <w:ilvl w:val="1"/>
              <w:numId w:val="3"/>
            </w:numPr>
            <w:spacing w:after="0" w:line="360" w:lineRule="auto"/>
            <w:ind w:hanging="720"/>
            <w:jc w:val="both"/>
          </w:pPr>
        </w:pPrChange>
      </w:pPr>
      <w:r>
        <w:rPr>
          <w:rFonts w:ascii="Arial" w:eastAsia="Arial" w:hAnsi="Arial Unicode MS" w:cs="Arial"/>
          <w:b/>
          <w:bCs/>
          <w:color w:val="000000"/>
          <w:u w:color="000000"/>
          <w:lang w:eastAsia="en-ZA"/>
        </w:rPr>
        <w:t>4.2.</w:t>
      </w:r>
      <w:r>
        <w:rPr>
          <w:rFonts w:ascii="Arial" w:eastAsia="Arial" w:hAnsi="Arial Unicode MS" w:cs="Arial"/>
          <w:b/>
          <w:bCs/>
          <w:color w:val="000000"/>
          <w:u w:color="000000"/>
          <w:lang w:eastAsia="en-ZA"/>
        </w:rPr>
        <w:tab/>
      </w:r>
      <w:r w:rsidR="00441B0D" w:rsidRPr="005C4854">
        <w:rPr>
          <w:rFonts w:ascii="Arial" w:hAnsi="Arial"/>
          <w:rPrChange w:id="33" w:author="Mokone" w:date="2022-11-30T08:54:00Z">
            <w:rPr/>
          </w:rPrChange>
        </w:rPr>
        <w:t>That the applicant advanced the sum of R954 000</w:t>
      </w:r>
      <w:proofErr w:type="gramStart"/>
      <w:r w:rsidR="00441B0D" w:rsidRPr="005C4854">
        <w:rPr>
          <w:rFonts w:ascii="Arial" w:hAnsi="Arial"/>
          <w:rPrChange w:id="34" w:author="Mokone" w:date="2022-11-30T08:54:00Z">
            <w:rPr/>
          </w:rPrChange>
        </w:rPr>
        <w:t>,00</w:t>
      </w:r>
      <w:proofErr w:type="gramEnd"/>
      <w:r w:rsidR="00441B0D" w:rsidRPr="005C4854">
        <w:rPr>
          <w:rFonts w:ascii="Arial" w:hAnsi="Arial"/>
          <w:rPrChange w:id="35" w:author="Mokone" w:date="2022-11-30T08:54:00Z">
            <w:rPr/>
          </w:rPrChange>
        </w:rPr>
        <w:t xml:space="preserve"> to the first and second respondents in terms of the credit facility agreement;</w:t>
      </w:r>
    </w:p>
    <w:p w:rsidR="00C54D1C" w:rsidRDefault="00C54D1C">
      <w:pPr>
        <w:pStyle w:val="ListParagraph"/>
        <w:ind w:left="0"/>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36" w:author="Mokone" w:date="2022-11-30T08:54:00Z">
            <w:rPr>
              <w:rFonts w:eastAsia="Arial" w:cs="Arial"/>
              <w:b/>
              <w:bCs/>
            </w:rPr>
          </w:rPrChange>
        </w:rPr>
        <w:pPrChange w:id="37" w:author="Mokone" w:date="2022-11-30T08:54:00Z">
          <w:pPr>
            <w:pStyle w:val="ListParagraph"/>
            <w:numPr>
              <w:ilvl w:val="1"/>
              <w:numId w:val="3"/>
            </w:numPr>
            <w:spacing w:after="0" w:line="360" w:lineRule="auto"/>
            <w:ind w:hanging="720"/>
            <w:jc w:val="both"/>
          </w:pPr>
        </w:pPrChange>
      </w:pPr>
      <w:r>
        <w:rPr>
          <w:rFonts w:ascii="Arial" w:eastAsia="Arial" w:hAnsi="Arial Unicode MS" w:cs="Arial"/>
          <w:b/>
          <w:bCs/>
          <w:color w:val="000000"/>
          <w:u w:color="000000"/>
          <w:lang w:eastAsia="en-ZA"/>
        </w:rPr>
        <w:t>4.3.</w:t>
      </w:r>
      <w:r>
        <w:rPr>
          <w:rFonts w:ascii="Arial" w:eastAsia="Arial" w:hAnsi="Arial Unicode MS" w:cs="Arial"/>
          <w:b/>
          <w:bCs/>
          <w:color w:val="000000"/>
          <w:u w:color="000000"/>
          <w:lang w:eastAsia="en-ZA"/>
        </w:rPr>
        <w:tab/>
      </w:r>
      <w:r w:rsidR="00441B0D" w:rsidRPr="005C4854">
        <w:rPr>
          <w:rFonts w:ascii="Arial" w:hAnsi="Arial"/>
          <w:rPrChange w:id="38" w:author="Mokone" w:date="2022-11-30T08:54:00Z">
            <w:rPr/>
          </w:rPrChange>
        </w:rPr>
        <w:t>That the first and second respondents caused a mortgage bond to be registered over the immovable property to which I have referred earlier;</w:t>
      </w:r>
    </w:p>
    <w:p w:rsidR="00C54D1C" w:rsidRDefault="00C54D1C">
      <w:pPr>
        <w:pStyle w:val="ListParagraph"/>
        <w:ind w:left="0"/>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39" w:author="Mokone" w:date="2022-11-30T08:54:00Z">
            <w:rPr>
              <w:rFonts w:eastAsia="Arial" w:cs="Arial"/>
              <w:b/>
              <w:bCs/>
            </w:rPr>
          </w:rPrChange>
        </w:rPr>
        <w:pPrChange w:id="40" w:author="Mokone" w:date="2022-11-30T08:54:00Z">
          <w:pPr>
            <w:pStyle w:val="ListParagraph"/>
            <w:numPr>
              <w:ilvl w:val="1"/>
              <w:numId w:val="3"/>
            </w:numPr>
            <w:spacing w:after="0" w:line="360" w:lineRule="auto"/>
            <w:ind w:hanging="720"/>
            <w:jc w:val="both"/>
          </w:pPr>
        </w:pPrChange>
      </w:pPr>
      <w:r>
        <w:rPr>
          <w:rFonts w:ascii="Arial" w:eastAsia="Arial" w:hAnsi="Arial Unicode MS" w:cs="Arial"/>
          <w:b/>
          <w:bCs/>
          <w:color w:val="000000"/>
          <w:u w:color="000000"/>
          <w:lang w:eastAsia="en-ZA"/>
        </w:rPr>
        <w:lastRenderedPageBreak/>
        <w:t>4.4.</w:t>
      </w:r>
      <w:r>
        <w:rPr>
          <w:rFonts w:ascii="Arial" w:eastAsia="Arial" w:hAnsi="Arial Unicode MS" w:cs="Arial"/>
          <w:b/>
          <w:bCs/>
          <w:color w:val="000000"/>
          <w:u w:color="000000"/>
          <w:lang w:eastAsia="en-ZA"/>
        </w:rPr>
        <w:tab/>
      </w:r>
      <w:r w:rsidR="00441B0D" w:rsidRPr="005C4854">
        <w:rPr>
          <w:rFonts w:ascii="Arial" w:hAnsi="Arial"/>
          <w:rPrChange w:id="41" w:author="Mokone" w:date="2022-11-30T08:54:00Z">
            <w:rPr/>
          </w:rPrChange>
        </w:rPr>
        <w:t>That the first and second respondents breached the credit facility agreement by failing to make payment of the monthly instalments in terms thereof;</w:t>
      </w:r>
    </w:p>
    <w:p w:rsidR="00C54D1C" w:rsidRDefault="00C54D1C">
      <w:pPr>
        <w:pStyle w:val="ListParagraph"/>
        <w:spacing w:after="0" w:line="360" w:lineRule="auto"/>
        <w:jc w:val="both"/>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42" w:author="Mokone" w:date="2022-11-30T08:54:00Z">
            <w:rPr>
              <w:rFonts w:eastAsia="Arial" w:cs="Arial"/>
              <w:b/>
              <w:bCs/>
            </w:rPr>
          </w:rPrChange>
        </w:rPr>
        <w:pPrChange w:id="43" w:author="Mokone" w:date="2022-11-30T08:54:00Z">
          <w:pPr>
            <w:pStyle w:val="ListParagraph"/>
            <w:numPr>
              <w:ilvl w:val="1"/>
              <w:numId w:val="3"/>
            </w:numPr>
            <w:spacing w:after="0" w:line="360" w:lineRule="auto"/>
            <w:ind w:hanging="720"/>
            <w:jc w:val="both"/>
          </w:pPr>
        </w:pPrChange>
      </w:pPr>
      <w:r>
        <w:rPr>
          <w:rFonts w:ascii="Arial" w:eastAsia="Arial" w:hAnsi="Arial Unicode MS" w:cs="Arial"/>
          <w:b/>
          <w:bCs/>
          <w:color w:val="000000"/>
          <w:u w:color="000000"/>
          <w:lang w:eastAsia="en-ZA"/>
        </w:rPr>
        <w:t>4.5.</w:t>
      </w:r>
      <w:r>
        <w:rPr>
          <w:rFonts w:ascii="Arial" w:eastAsia="Arial" w:hAnsi="Arial Unicode MS" w:cs="Arial"/>
          <w:b/>
          <w:bCs/>
          <w:color w:val="000000"/>
          <w:u w:color="000000"/>
          <w:lang w:eastAsia="en-ZA"/>
        </w:rPr>
        <w:tab/>
      </w:r>
      <w:r w:rsidR="00441B0D" w:rsidRPr="005C4854">
        <w:rPr>
          <w:rFonts w:ascii="Arial" w:hAnsi="Arial"/>
          <w:rPrChange w:id="44" w:author="Mokone" w:date="2022-11-30T08:54:00Z">
            <w:rPr/>
          </w:rPrChange>
        </w:rPr>
        <w:t>That the first and second respondents failed to remedy the aforesaid default despite written demand;</w:t>
      </w:r>
    </w:p>
    <w:p w:rsidR="00C54D1C" w:rsidRDefault="00C54D1C">
      <w:pPr>
        <w:pStyle w:val="ListParagraph"/>
        <w:ind w:left="0"/>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45" w:author="Mokone" w:date="2022-11-30T08:54:00Z">
            <w:rPr>
              <w:rFonts w:eastAsia="Arial" w:cs="Arial"/>
              <w:b/>
              <w:bCs/>
            </w:rPr>
          </w:rPrChange>
        </w:rPr>
        <w:pPrChange w:id="46" w:author="Mokone" w:date="2022-11-30T08:54:00Z">
          <w:pPr>
            <w:pStyle w:val="ListParagraph"/>
            <w:numPr>
              <w:ilvl w:val="1"/>
              <w:numId w:val="3"/>
            </w:numPr>
            <w:spacing w:after="0" w:line="360" w:lineRule="auto"/>
            <w:ind w:hanging="720"/>
            <w:jc w:val="both"/>
          </w:pPr>
        </w:pPrChange>
      </w:pPr>
      <w:r>
        <w:rPr>
          <w:rFonts w:ascii="Arial" w:eastAsia="Arial" w:hAnsi="Arial Unicode MS" w:cs="Arial"/>
          <w:b/>
          <w:bCs/>
          <w:color w:val="000000"/>
          <w:u w:color="000000"/>
          <w:lang w:eastAsia="en-ZA"/>
        </w:rPr>
        <w:t>4.6.</w:t>
      </w:r>
      <w:r>
        <w:rPr>
          <w:rFonts w:ascii="Arial" w:eastAsia="Arial" w:hAnsi="Arial Unicode MS" w:cs="Arial"/>
          <w:b/>
          <w:bCs/>
          <w:color w:val="000000"/>
          <w:u w:color="000000"/>
          <w:lang w:eastAsia="en-ZA"/>
        </w:rPr>
        <w:tab/>
      </w:r>
      <w:r w:rsidR="00441B0D" w:rsidRPr="005C4854">
        <w:rPr>
          <w:rFonts w:ascii="Arial" w:hAnsi="Arial"/>
          <w:rPrChange w:id="47" w:author="Mokone" w:date="2022-11-30T08:54:00Z">
            <w:rPr/>
          </w:rPrChange>
        </w:rPr>
        <w:t>That, at the date of the practice note the outstanding amounts under the credit facility agreement was R684 143,18 as at March 2022 and the arrears was R200 108,66 and that the last payment was made on 30 April 2021</w:t>
      </w:r>
      <w:r w:rsidR="00441B0D">
        <w:rPr>
          <w:rFonts w:eastAsia="Arial" w:cs="Arial"/>
          <w:vertAlign w:val="superscript"/>
        </w:rPr>
        <w:footnoteReference w:id="2"/>
      </w:r>
      <w:r w:rsidR="00441B0D" w:rsidRPr="005C4854">
        <w:rPr>
          <w:rFonts w:ascii="Arial" w:hAnsi="Arial"/>
          <w:rPrChange w:id="48" w:author="Mokone" w:date="2022-11-30T08:54:00Z">
            <w:rPr/>
          </w:rPrChange>
        </w:rPr>
        <w:t>;</w:t>
      </w:r>
    </w:p>
    <w:p w:rsidR="00C54D1C" w:rsidRDefault="00C54D1C">
      <w:pPr>
        <w:pStyle w:val="ListParagraph"/>
        <w:ind w:left="0"/>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b/>
          <w:bCs/>
          <w:rPrChange w:id="49" w:author="Mokone" w:date="2022-11-30T08:54:00Z">
            <w:rPr>
              <w:rFonts w:eastAsia="Arial" w:cs="Arial"/>
              <w:b/>
              <w:bCs/>
            </w:rPr>
          </w:rPrChange>
        </w:rPr>
        <w:pPrChange w:id="50" w:author="Mokone" w:date="2022-11-30T08:54:00Z">
          <w:pPr>
            <w:pStyle w:val="ListParagraph"/>
            <w:numPr>
              <w:ilvl w:val="1"/>
              <w:numId w:val="3"/>
            </w:numPr>
            <w:spacing w:after="0" w:line="360" w:lineRule="auto"/>
            <w:ind w:hanging="720"/>
            <w:jc w:val="both"/>
          </w:pPr>
        </w:pPrChange>
      </w:pPr>
      <w:r>
        <w:rPr>
          <w:rFonts w:ascii="Arial" w:eastAsia="Arial" w:hAnsi="Arial Unicode MS" w:cs="Arial"/>
          <w:b/>
          <w:bCs/>
          <w:color w:val="000000"/>
          <w:u w:color="000000"/>
          <w:lang w:eastAsia="en-ZA"/>
        </w:rPr>
        <w:t>4.7.</w:t>
      </w:r>
      <w:r>
        <w:rPr>
          <w:rFonts w:ascii="Arial" w:eastAsia="Arial" w:hAnsi="Arial Unicode MS" w:cs="Arial"/>
          <w:b/>
          <w:bCs/>
          <w:color w:val="000000"/>
          <w:u w:color="000000"/>
          <w:lang w:eastAsia="en-ZA"/>
        </w:rPr>
        <w:tab/>
      </w:r>
      <w:r w:rsidR="00441B0D" w:rsidRPr="005C4854">
        <w:rPr>
          <w:rFonts w:ascii="Arial" w:hAnsi="Arial"/>
          <w:rPrChange w:id="51" w:author="Mokone" w:date="2022-11-30T08:54:00Z">
            <w:rPr/>
          </w:rPrChange>
        </w:rPr>
        <w:t>That the applicant caused section 129 notices to be sent to the first and second respondents via registered post and that a first notification was sent to the first and second respondents. This last contention in the practice note is denied. This lies at the heart of the debate between the parties.</w:t>
      </w:r>
    </w:p>
    <w:p w:rsidR="00C54D1C" w:rsidRDefault="00C54D1C">
      <w:pPr>
        <w:pStyle w:val="ListParagraph"/>
        <w:tabs>
          <w:tab w:val="left" w:pos="709"/>
        </w:tabs>
        <w:spacing w:after="0" w:line="360" w:lineRule="auto"/>
        <w:ind w:left="0"/>
        <w:jc w:val="both"/>
        <w:rPr>
          <w:rFonts w:ascii="Arial" w:eastAsia="Arial" w:hAnsi="Arial" w:cs="Arial"/>
          <w:b/>
          <w:bCs/>
          <w:sz w:val="24"/>
          <w:szCs w:val="24"/>
        </w:rPr>
      </w:pPr>
    </w:p>
    <w:p w:rsidR="00C54D1C" w:rsidRPr="005C4854" w:rsidRDefault="005C4854" w:rsidP="005C4854">
      <w:pPr>
        <w:spacing w:line="360" w:lineRule="auto"/>
        <w:ind w:left="720" w:hanging="720"/>
        <w:jc w:val="both"/>
        <w:rPr>
          <w:rFonts w:ascii="Arial" w:eastAsia="Arial" w:hAnsi="Arial" w:cs="Arial"/>
          <w:rPrChange w:id="52" w:author="Mokone" w:date="2022-11-30T08:54:00Z">
            <w:rPr>
              <w:rFonts w:eastAsia="Arial" w:cs="Arial"/>
            </w:rPr>
          </w:rPrChange>
        </w:rPr>
        <w:pPrChange w:id="53" w:author="Mokone" w:date="2022-11-30T08:54:00Z">
          <w:pPr>
            <w:pStyle w:val="ListParagraph"/>
            <w:numPr>
              <w:numId w:val="4"/>
            </w:numPr>
            <w:spacing w:after="0" w:line="360" w:lineRule="auto"/>
            <w:ind w:hanging="720"/>
            <w:jc w:val="both"/>
          </w:pPr>
        </w:pPrChange>
      </w:pPr>
      <w:r>
        <w:rPr>
          <w:rFonts w:ascii="Arial" w:eastAsia="Arial" w:hAnsi="Arial" w:cs="Arial"/>
          <w:color w:val="000000"/>
          <w:u w:color="000000"/>
          <w:lang w:eastAsia="en-ZA"/>
        </w:rPr>
        <w:t>5.</w:t>
      </w:r>
      <w:r>
        <w:rPr>
          <w:rFonts w:ascii="Arial" w:eastAsia="Arial" w:hAnsi="Arial" w:cs="Arial"/>
          <w:color w:val="000000"/>
          <w:u w:color="000000"/>
          <w:lang w:eastAsia="en-ZA"/>
        </w:rPr>
        <w:tab/>
      </w:r>
      <w:r w:rsidR="00441B0D" w:rsidRPr="005C4854">
        <w:rPr>
          <w:rFonts w:ascii="Arial" w:hAnsi="Arial"/>
          <w:rPrChange w:id="54" w:author="Mokone" w:date="2022-11-30T08:54:00Z">
            <w:rPr/>
          </w:rPrChange>
        </w:rPr>
        <w:t xml:space="preserve">The question, in essence, revolves around the issue whether or not section 129(1) as read with section 130 has been complied with. </w:t>
      </w:r>
    </w:p>
    <w:p w:rsidR="00C54D1C" w:rsidRDefault="00C54D1C">
      <w:pPr>
        <w:pStyle w:val="ListParagraph"/>
        <w:tabs>
          <w:tab w:val="left" w:pos="709"/>
        </w:tabs>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55" w:author="Mokone" w:date="2022-11-30T08:54:00Z">
            <w:rPr>
              <w:rFonts w:eastAsia="Arial" w:cs="Arial"/>
            </w:rPr>
          </w:rPrChange>
        </w:rPr>
        <w:pPrChange w:id="56" w:author="Mokone" w:date="2022-11-30T08:54:00Z">
          <w:pPr>
            <w:pStyle w:val="ListParagraph"/>
            <w:numPr>
              <w:numId w:val="4"/>
            </w:numPr>
            <w:spacing w:after="0" w:line="360" w:lineRule="auto"/>
            <w:ind w:hanging="720"/>
            <w:jc w:val="both"/>
          </w:pPr>
        </w:pPrChange>
      </w:pPr>
      <w:r>
        <w:rPr>
          <w:rFonts w:ascii="Arial" w:eastAsia="Arial" w:hAnsi="Arial" w:cs="Arial"/>
          <w:color w:val="000000"/>
          <w:u w:color="000000"/>
          <w:lang w:eastAsia="en-ZA"/>
        </w:rPr>
        <w:t>6.</w:t>
      </w:r>
      <w:r>
        <w:rPr>
          <w:rFonts w:ascii="Arial" w:eastAsia="Arial" w:hAnsi="Arial" w:cs="Arial"/>
          <w:color w:val="000000"/>
          <w:u w:color="000000"/>
          <w:lang w:eastAsia="en-ZA"/>
        </w:rPr>
        <w:tab/>
      </w:r>
      <w:r w:rsidR="00441B0D" w:rsidRPr="005C4854">
        <w:rPr>
          <w:rFonts w:ascii="Arial" w:hAnsi="Arial"/>
          <w:rPrChange w:id="57" w:author="Mokone" w:date="2022-11-30T08:54:00Z">
            <w:rPr/>
          </w:rPrChange>
        </w:rPr>
        <w:t>I set out below the provisions of section 129 and 130 of the National Credit Act (the 'NCA'), as per the amendment done in 2014.</w:t>
      </w:r>
    </w:p>
    <w:p w:rsidR="00C54D1C" w:rsidRDefault="00C54D1C">
      <w:pPr>
        <w:pStyle w:val="BodyA"/>
        <w:spacing w:after="0" w:line="360" w:lineRule="auto"/>
        <w:jc w:val="both"/>
      </w:pPr>
    </w:p>
    <w:p w:rsidR="00C54D1C" w:rsidRDefault="00441B0D">
      <w:pPr>
        <w:pStyle w:val="BodyA"/>
        <w:spacing w:after="0" w:line="360" w:lineRule="auto"/>
        <w:jc w:val="both"/>
        <w:rPr>
          <w:rFonts w:ascii="Arial" w:eastAsia="Arial" w:hAnsi="Arial" w:cs="Arial"/>
        </w:rPr>
      </w:pPr>
      <w:bookmarkStart w:id="58" w:name="bookmark"/>
      <w:bookmarkEnd w:id="58"/>
      <w:r>
        <w:rPr>
          <w:rFonts w:ascii="Arial" w:hAnsi="Arial"/>
          <w:b/>
          <w:bCs/>
        </w:rPr>
        <w:t xml:space="preserve">‘129. </w:t>
      </w:r>
      <w:r>
        <w:rPr>
          <w:rFonts w:ascii="Arial" w:hAnsi="Arial"/>
          <w:b/>
          <w:bCs/>
        </w:rPr>
        <w:tab/>
        <w:t>Required procedures before debt enforcement.</w:t>
      </w:r>
      <w:r>
        <w:rPr>
          <w:rFonts w:ascii="Arial" w:hAnsi="Arial"/>
        </w:rPr>
        <w:t>—</w:t>
      </w:r>
    </w:p>
    <w:p w:rsidR="00C54D1C" w:rsidRDefault="00441B0D">
      <w:pPr>
        <w:pStyle w:val="BodyA"/>
        <w:spacing w:after="0" w:line="360" w:lineRule="auto"/>
        <w:ind w:left="709" w:hanging="709"/>
        <w:jc w:val="both"/>
        <w:rPr>
          <w:rFonts w:ascii="Arial" w:eastAsia="Arial" w:hAnsi="Arial" w:cs="Arial"/>
        </w:rPr>
      </w:pPr>
      <w:r>
        <w:rPr>
          <w:rFonts w:ascii="Arial" w:hAnsi="Arial"/>
        </w:rPr>
        <w:t xml:space="preserve">(1) </w:t>
      </w:r>
      <w:r>
        <w:rPr>
          <w:rFonts w:ascii="Arial" w:hAnsi="Arial"/>
        </w:rPr>
        <w:tab/>
        <w:t xml:space="preserve">If the consumer is in default under a credit agreement, the credit provider—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xml:space="preserve">) </w:t>
      </w:r>
      <w:r>
        <w:rPr>
          <w:rFonts w:ascii="Arial" w:hAnsi="Arial"/>
          <w:position w:val="-16"/>
        </w:rPr>
        <w:tab/>
      </w:r>
      <w:r>
        <w:rPr>
          <w:rFonts w:ascii="Arial" w:hAnsi="Arial"/>
        </w:rPr>
        <w:t xml:space="preserve">may draw the default to the notice of the consumer in writing and propose that the consumer refer the credit agreement to a debt counsellor, alternative dispute resolution agent, consumer court or </w:t>
      </w:r>
      <w:proofErr w:type="spellStart"/>
      <w:r>
        <w:rPr>
          <w:rFonts w:ascii="Arial" w:hAnsi="Arial"/>
        </w:rPr>
        <w:t>ombud</w:t>
      </w:r>
      <w:proofErr w:type="spellEnd"/>
      <w:r>
        <w:rPr>
          <w:rFonts w:ascii="Arial" w:hAnsi="Arial"/>
        </w:rPr>
        <w:t xml:space="preserve"> with jurisdiction, with the intent that the parties resolve any dispute under the agreement or develop and agree on a plan to bring the payments under the agreement up to date; and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w:t>
      </w:r>
      <w:r>
        <w:rPr>
          <w:rFonts w:ascii="Arial" w:hAnsi="Arial"/>
          <w:position w:val="-16"/>
        </w:rPr>
        <w:tab/>
      </w:r>
      <w:proofErr w:type="gramStart"/>
      <w:r>
        <w:rPr>
          <w:rFonts w:ascii="Arial" w:hAnsi="Arial"/>
        </w:rPr>
        <w:t>subject</w:t>
      </w:r>
      <w:proofErr w:type="gramEnd"/>
      <w:r>
        <w:rPr>
          <w:rFonts w:ascii="Arial" w:hAnsi="Arial"/>
        </w:rPr>
        <w:t xml:space="preserve"> to section 130 (2), may not commence any legal proceedings to enforce the agreement before —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lastRenderedPageBreak/>
        <w:t>(</w:t>
      </w:r>
      <w:proofErr w:type="spellStart"/>
      <w:r>
        <w:rPr>
          <w:rFonts w:ascii="Arial" w:hAnsi="Arial"/>
          <w:position w:val="-16"/>
        </w:rPr>
        <w:t>i</w:t>
      </w:r>
      <w:proofErr w:type="spellEnd"/>
      <w:r>
        <w:rPr>
          <w:rFonts w:ascii="Arial" w:hAnsi="Arial"/>
          <w:position w:val="-16"/>
        </w:rPr>
        <w:t xml:space="preserve">) </w:t>
      </w:r>
      <w:r>
        <w:rPr>
          <w:rFonts w:ascii="Arial" w:hAnsi="Arial"/>
          <w:position w:val="-16"/>
        </w:rPr>
        <w:tab/>
      </w:r>
      <w:r>
        <w:rPr>
          <w:rFonts w:ascii="Arial" w:hAnsi="Arial"/>
        </w:rPr>
        <w:t xml:space="preserve">first providing notice to the consumer, as contemplated in paragraph (a), or in section 86 (10), as the case may be; and </w:t>
      </w:r>
    </w:p>
    <w:p w:rsidR="00C54D1C" w:rsidRDefault="00441B0D">
      <w:pPr>
        <w:pStyle w:val="BodyA"/>
        <w:spacing w:after="0" w:line="360" w:lineRule="auto"/>
        <w:jc w:val="both"/>
        <w:rPr>
          <w:rFonts w:ascii="Arial" w:eastAsia="Arial" w:hAnsi="Arial" w:cs="Arial"/>
        </w:rPr>
      </w:pPr>
      <w:r>
        <w:rPr>
          <w:rFonts w:ascii="Arial" w:hAnsi="Arial"/>
          <w:position w:val="-16"/>
        </w:rPr>
        <w:t>(ii)  </w:t>
      </w:r>
      <w:r>
        <w:rPr>
          <w:rFonts w:ascii="Arial" w:eastAsia="Arial" w:hAnsi="Arial" w:cs="Arial"/>
          <w:position w:val="-16"/>
        </w:rPr>
        <w:tab/>
      </w:r>
      <w:proofErr w:type="gramStart"/>
      <w:r>
        <w:rPr>
          <w:rFonts w:ascii="Arial" w:hAnsi="Arial"/>
        </w:rPr>
        <w:t>meeting</w:t>
      </w:r>
      <w:proofErr w:type="gramEnd"/>
      <w:r>
        <w:rPr>
          <w:rFonts w:ascii="Arial" w:hAnsi="Arial"/>
        </w:rPr>
        <w:t xml:space="preserve"> any further requirements set out in section 130. </w:t>
      </w:r>
    </w:p>
    <w:p w:rsidR="00C54D1C" w:rsidRDefault="00441B0D">
      <w:pPr>
        <w:pStyle w:val="BodyA"/>
        <w:spacing w:after="0" w:line="360" w:lineRule="auto"/>
        <w:ind w:left="709" w:hanging="709"/>
        <w:jc w:val="both"/>
        <w:rPr>
          <w:rFonts w:ascii="Arial" w:eastAsia="Arial" w:hAnsi="Arial" w:cs="Arial"/>
        </w:rPr>
      </w:pPr>
      <w:r>
        <w:rPr>
          <w:rFonts w:ascii="Arial" w:hAnsi="Arial"/>
        </w:rPr>
        <w:t xml:space="preserve">(2) </w:t>
      </w:r>
      <w:r>
        <w:rPr>
          <w:rFonts w:ascii="Arial" w:hAnsi="Arial"/>
        </w:rPr>
        <w:tab/>
        <w:t xml:space="preserve">Subsection (1) does not apply to a credit agreement that is subject to a debt restructuring order, or to proceedings in a court that could result in such an order. </w:t>
      </w:r>
    </w:p>
    <w:p w:rsidR="00C54D1C" w:rsidRDefault="00441B0D">
      <w:pPr>
        <w:pStyle w:val="BodyA"/>
        <w:spacing w:after="0" w:line="360" w:lineRule="auto"/>
        <w:ind w:left="709" w:hanging="709"/>
        <w:jc w:val="both"/>
        <w:rPr>
          <w:rFonts w:ascii="Arial" w:eastAsia="Arial" w:hAnsi="Arial" w:cs="Arial"/>
        </w:rPr>
      </w:pPr>
      <w:r>
        <w:rPr>
          <w:rFonts w:ascii="Arial" w:hAnsi="Arial"/>
        </w:rPr>
        <w:t xml:space="preserve">(3) </w:t>
      </w:r>
      <w:r>
        <w:rPr>
          <w:rFonts w:ascii="Arial" w:hAnsi="Arial"/>
        </w:rPr>
        <w:tab/>
        <w:t xml:space="preserve">Subject to subsection (4), a consumer may at any time before the credit provider has cancelled the agreement, remedy a default in such credit agreement by paying to the credit provider all amounts that are overdue, together with the credit provider’s prescribed default administration charges and reasonable costs of enforcing the agreement up to the time the default was remedied. </w:t>
      </w:r>
    </w:p>
    <w:p w:rsidR="00C54D1C" w:rsidRDefault="00441B0D">
      <w:pPr>
        <w:pStyle w:val="BodyA"/>
        <w:spacing w:after="0" w:line="360" w:lineRule="auto"/>
        <w:ind w:left="709" w:hanging="709"/>
        <w:jc w:val="both"/>
        <w:rPr>
          <w:rFonts w:ascii="Arial" w:eastAsia="Arial" w:hAnsi="Arial" w:cs="Arial"/>
        </w:rPr>
      </w:pPr>
      <w:r>
        <w:rPr>
          <w:rFonts w:ascii="Arial" w:hAnsi="Arial"/>
        </w:rPr>
        <w:t xml:space="preserve">           [Sub-s</w:t>
      </w:r>
      <w:proofErr w:type="gramStart"/>
      <w:r>
        <w:rPr>
          <w:rFonts w:ascii="Arial" w:hAnsi="Arial"/>
        </w:rPr>
        <w:t>.(</w:t>
      </w:r>
      <w:proofErr w:type="gramEnd"/>
      <w:r>
        <w:rPr>
          <w:rFonts w:ascii="Arial" w:hAnsi="Arial"/>
        </w:rPr>
        <w:t xml:space="preserve">3) substituted by s. 32 (a) of Act No. 19 of 2014.] </w:t>
      </w:r>
    </w:p>
    <w:p w:rsidR="00C54D1C" w:rsidRDefault="00441B0D">
      <w:pPr>
        <w:pStyle w:val="BodyA"/>
        <w:spacing w:after="0" w:line="360" w:lineRule="auto"/>
        <w:jc w:val="both"/>
        <w:rPr>
          <w:rFonts w:ascii="Arial" w:eastAsia="Arial" w:hAnsi="Arial" w:cs="Arial"/>
        </w:rPr>
      </w:pPr>
      <w:r>
        <w:rPr>
          <w:rFonts w:ascii="Arial" w:hAnsi="Arial"/>
        </w:rPr>
        <w:t xml:space="preserve">(4) </w:t>
      </w:r>
      <w:r>
        <w:rPr>
          <w:rFonts w:ascii="Arial" w:hAnsi="Arial"/>
        </w:rPr>
        <w:tab/>
        <w:t xml:space="preserve">A credit provider may not reinstate or revive a credit agreement after— </w:t>
      </w:r>
    </w:p>
    <w:p w:rsidR="00C54D1C" w:rsidRDefault="00441B0D">
      <w:pPr>
        <w:pStyle w:val="BodyA"/>
        <w:spacing w:after="0" w:line="360" w:lineRule="auto"/>
        <w:ind w:left="567" w:hanging="567"/>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xml:space="preserve">)       </w:t>
      </w:r>
      <w:proofErr w:type="gramStart"/>
      <w:r>
        <w:rPr>
          <w:rFonts w:ascii="Arial" w:hAnsi="Arial"/>
        </w:rPr>
        <w:t>the</w:t>
      </w:r>
      <w:proofErr w:type="gramEnd"/>
      <w:r>
        <w:rPr>
          <w:rFonts w:ascii="Arial" w:hAnsi="Arial"/>
        </w:rPr>
        <w:t xml:space="preserve"> sale of any property pursuant to— </w:t>
      </w:r>
    </w:p>
    <w:p w:rsidR="00C54D1C" w:rsidRDefault="00441B0D">
      <w:pPr>
        <w:pStyle w:val="BodyA"/>
        <w:spacing w:after="0" w:line="360" w:lineRule="auto"/>
        <w:jc w:val="both"/>
        <w:rPr>
          <w:rFonts w:ascii="Arial" w:eastAsia="Arial" w:hAnsi="Arial" w:cs="Arial"/>
        </w:rPr>
      </w:pPr>
      <w:r>
        <w:rPr>
          <w:rFonts w:ascii="Arial" w:hAnsi="Arial"/>
          <w:position w:val="-16"/>
        </w:rPr>
        <w:t>(</w:t>
      </w:r>
      <w:proofErr w:type="spellStart"/>
      <w:r>
        <w:rPr>
          <w:rFonts w:ascii="Arial" w:hAnsi="Arial"/>
          <w:position w:val="-16"/>
        </w:rPr>
        <w:t>i</w:t>
      </w:r>
      <w:proofErr w:type="spellEnd"/>
      <w:r>
        <w:rPr>
          <w:rFonts w:ascii="Arial" w:hAnsi="Arial"/>
          <w:position w:val="-16"/>
        </w:rPr>
        <w:t>)</w:t>
      </w:r>
      <w:r>
        <w:rPr>
          <w:rFonts w:ascii="Arial" w:hAnsi="Arial"/>
          <w:position w:val="-16"/>
        </w:rPr>
        <w:tab/>
      </w:r>
      <w:proofErr w:type="gramStart"/>
      <w:r>
        <w:rPr>
          <w:rFonts w:ascii="Arial" w:hAnsi="Arial"/>
        </w:rPr>
        <w:t>an</w:t>
      </w:r>
      <w:proofErr w:type="gramEnd"/>
      <w:r>
        <w:rPr>
          <w:rFonts w:ascii="Arial" w:hAnsi="Arial"/>
        </w:rPr>
        <w:t xml:space="preserve"> attachment order; or</w:t>
      </w:r>
    </w:p>
    <w:p w:rsidR="00C54D1C" w:rsidRDefault="00441B0D">
      <w:pPr>
        <w:pStyle w:val="BodyA"/>
        <w:spacing w:after="0" w:line="360" w:lineRule="auto"/>
        <w:jc w:val="both"/>
        <w:rPr>
          <w:rFonts w:ascii="Arial" w:eastAsia="Arial" w:hAnsi="Arial" w:cs="Arial"/>
        </w:rPr>
      </w:pPr>
      <w:r>
        <w:rPr>
          <w:rFonts w:ascii="Arial" w:hAnsi="Arial"/>
          <w:position w:val="-16"/>
        </w:rPr>
        <w:t>(ii)</w:t>
      </w:r>
      <w:r>
        <w:rPr>
          <w:rFonts w:ascii="Arial" w:hAnsi="Arial"/>
          <w:position w:val="-16"/>
        </w:rPr>
        <w:tab/>
      </w:r>
      <w:proofErr w:type="gramStart"/>
      <w:r>
        <w:rPr>
          <w:rFonts w:ascii="Arial" w:hAnsi="Arial"/>
        </w:rPr>
        <w:t>surrender</w:t>
      </w:r>
      <w:proofErr w:type="gramEnd"/>
      <w:r>
        <w:rPr>
          <w:rFonts w:ascii="Arial" w:hAnsi="Arial"/>
        </w:rPr>
        <w:t xml:space="preserve"> of property in terms of section 127; </w:t>
      </w:r>
    </w:p>
    <w:p w:rsidR="00C54D1C" w:rsidRDefault="00441B0D">
      <w:pPr>
        <w:pStyle w:val="BodyA"/>
        <w:spacing w:after="0" w:line="360" w:lineRule="auto"/>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  </w:t>
      </w:r>
      <w:r>
        <w:rPr>
          <w:rFonts w:ascii="Arial" w:eastAsia="Arial" w:hAnsi="Arial" w:cs="Arial"/>
          <w:position w:val="-16"/>
        </w:rPr>
        <w:tab/>
      </w:r>
      <w:proofErr w:type="gramStart"/>
      <w:r>
        <w:rPr>
          <w:rFonts w:ascii="Arial" w:hAnsi="Arial"/>
        </w:rPr>
        <w:t>the</w:t>
      </w:r>
      <w:proofErr w:type="gramEnd"/>
      <w:r>
        <w:rPr>
          <w:rFonts w:ascii="Arial" w:hAnsi="Arial"/>
        </w:rPr>
        <w:t xml:space="preserve"> execution of any other court order enforcing that agreement; or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c</w:t>
      </w:r>
      <w:r>
        <w:rPr>
          <w:rFonts w:ascii="Arial" w:hAnsi="Arial"/>
          <w:position w:val="-16"/>
        </w:rPr>
        <w:t>)  </w:t>
      </w:r>
      <w:proofErr w:type="gramStart"/>
      <w:r>
        <w:rPr>
          <w:rFonts w:ascii="Arial" w:hAnsi="Arial"/>
        </w:rPr>
        <w:t>the</w:t>
      </w:r>
      <w:proofErr w:type="gramEnd"/>
      <w:r>
        <w:rPr>
          <w:rFonts w:ascii="Arial" w:hAnsi="Arial"/>
        </w:rPr>
        <w:t xml:space="preserve"> termination thereof in accordance with section 123.</w:t>
      </w:r>
      <w:r>
        <w:rPr>
          <w:rFonts w:ascii="Arial Unicode MS" w:eastAsia="Arial Unicode MS" w:hAnsi="Arial Unicode MS" w:cs="Arial Unicode MS"/>
        </w:rPr>
        <w:br/>
      </w:r>
      <w:r>
        <w:rPr>
          <w:rFonts w:ascii="Arial" w:hAnsi="Arial"/>
        </w:rPr>
        <w:t xml:space="preserve">[Sub-s. (4) </w:t>
      </w:r>
      <w:proofErr w:type="gramStart"/>
      <w:r>
        <w:rPr>
          <w:rFonts w:ascii="Arial" w:hAnsi="Arial"/>
        </w:rPr>
        <w:t>amended</w:t>
      </w:r>
      <w:proofErr w:type="gramEnd"/>
      <w:r>
        <w:rPr>
          <w:rFonts w:ascii="Arial" w:hAnsi="Arial"/>
        </w:rPr>
        <w:t xml:space="preserve"> by s. 32 (b) of Act No. 19 of 2014.] </w:t>
      </w:r>
    </w:p>
    <w:p w:rsidR="00C54D1C" w:rsidRDefault="00441B0D">
      <w:pPr>
        <w:pStyle w:val="BodyA"/>
        <w:spacing w:after="0" w:line="360" w:lineRule="auto"/>
        <w:jc w:val="both"/>
        <w:rPr>
          <w:rFonts w:ascii="Arial" w:eastAsia="Arial" w:hAnsi="Arial" w:cs="Arial"/>
        </w:rPr>
      </w:pPr>
      <w:r>
        <w:rPr>
          <w:rFonts w:ascii="Arial" w:hAnsi="Arial"/>
        </w:rPr>
        <w:t xml:space="preserve">(5) </w:t>
      </w:r>
      <w:r>
        <w:rPr>
          <w:rFonts w:ascii="Arial" w:hAnsi="Arial"/>
        </w:rPr>
        <w:tab/>
        <w:t xml:space="preserve">The notice contemplated in subsection (1) (a) must be delivered to the consumer— </w:t>
      </w:r>
    </w:p>
    <w:p w:rsidR="00C54D1C" w:rsidRDefault="00441B0D">
      <w:pPr>
        <w:pStyle w:val="BodyA"/>
        <w:spacing w:after="0" w:line="360" w:lineRule="auto"/>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w:t>
      </w:r>
      <w:r>
        <w:rPr>
          <w:rFonts w:ascii="Arial" w:eastAsia="Arial" w:hAnsi="Arial" w:cs="Arial"/>
          <w:position w:val="-16"/>
        </w:rPr>
        <w:tab/>
      </w:r>
      <w:proofErr w:type="gramStart"/>
      <w:r>
        <w:rPr>
          <w:rFonts w:ascii="Arial" w:hAnsi="Arial"/>
        </w:rPr>
        <w:t>by</w:t>
      </w:r>
      <w:proofErr w:type="gramEnd"/>
      <w:r>
        <w:rPr>
          <w:rFonts w:ascii="Arial" w:hAnsi="Arial"/>
        </w:rPr>
        <w:t xml:space="preserve"> registered mail; or </w:t>
      </w:r>
    </w:p>
    <w:p w:rsidR="00C54D1C" w:rsidRDefault="00441B0D">
      <w:pPr>
        <w:pStyle w:val="BodyA"/>
        <w:spacing w:after="0" w:line="360" w:lineRule="auto"/>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 xml:space="preserve">) </w:t>
      </w:r>
      <w:r>
        <w:rPr>
          <w:rFonts w:ascii="Arial" w:hAnsi="Arial"/>
          <w:position w:val="-16"/>
        </w:rPr>
        <w:tab/>
      </w:r>
      <w:proofErr w:type="gramStart"/>
      <w:r>
        <w:rPr>
          <w:rFonts w:ascii="Arial" w:hAnsi="Arial"/>
        </w:rPr>
        <w:t>to</w:t>
      </w:r>
      <w:proofErr w:type="gramEnd"/>
      <w:r>
        <w:rPr>
          <w:rFonts w:ascii="Arial" w:hAnsi="Arial"/>
        </w:rPr>
        <w:t xml:space="preserve"> an adult person at the location designated by the consumer. </w:t>
      </w:r>
    </w:p>
    <w:p w:rsidR="00C54D1C" w:rsidRDefault="00441B0D">
      <w:pPr>
        <w:pStyle w:val="BodyA"/>
        <w:spacing w:after="0" w:line="360" w:lineRule="auto"/>
        <w:ind w:left="709" w:hanging="709"/>
        <w:jc w:val="both"/>
        <w:rPr>
          <w:rFonts w:ascii="Arial" w:eastAsia="Arial" w:hAnsi="Arial" w:cs="Arial"/>
        </w:rPr>
      </w:pPr>
      <w:r>
        <w:rPr>
          <w:rFonts w:ascii="Arial" w:hAnsi="Arial"/>
        </w:rPr>
        <w:t xml:space="preserve">            [Sub-s. (5) </w:t>
      </w:r>
      <w:proofErr w:type="gramStart"/>
      <w:r>
        <w:rPr>
          <w:rFonts w:ascii="Arial" w:hAnsi="Arial"/>
        </w:rPr>
        <w:t>added</w:t>
      </w:r>
      <w:proofErr w:type="gramEnd"/>
      <w:r>
        <w:rPr>
          <w:rFonts w:ascii="Arial" w:hAnsi="Arial"/>
        </w:rPr>
        <w:t xml:space="preserve"> by s. 32 (c) of Act No. 19 of 2014.] </w:t>
      </w:r>
    </w:p>
    <w:p w:rsidR="00C54D1C" w:rsidRDefault="00441B0D">
      <w:pPr>
        <w:pStyle w:val="BodyA"/>
        <w:spacing w:after="0" w:line="360" w:lineRule="auto"/>
        <w:ind w:left="709" w:hanging="709"/>
        <w:jc w:val="both"/>
        <w:rPr>
          <w:rFonts w:ascii="Arial" w:eastAsia="Arial" w:hAnsi="Arial" w:cs="Arial"/>
        </w:rPr>
      </w:pPr>
      <w:r>
        <w:rPr>
          <w:rFonts w:ascii="Arial" w:hAnsi="Arial"/>
        </w:rPr>
        <w:t>(6)</w:t>
      </w:r>
      <w:r>
        <w:rPr>
          <w:rFonts w:ascii="Arial" w:hAnsi="Arial"/>
        </w:rPr>
        <w:tab/>
        <w:t xml:space="preserve">The consumer must in writing indicate the preferred manner of delivery contemplated in subsection (5). </w:t>
      </w:r>
    </w:p>
    <w:p w:rsidR="00C54D1C" w:rsidRDefault="00441B0D">
      <w:pPr>
        <w:pStyle w:val="BodyA"/>
        <w:spacing w:after="0" w:line="360" w:lineRule="auto"/>
        <w:jc w:val="both"/>
        <w:rPr>
          <w:rFonts w:ascii="Arial" w:eastAsia="Arial" w:hAnsi="Arial" w:cs="Arial"/>
        </w:rPr>
      </w:pPr>
      <w:r>
        <w:rPr>
          <w:rFonts w:ascii="Arial" w:hAnsi="Arial"/>
        </w:rPr>
        <w:t xml:space="preserve">           [Sub-s. (6) </w:t>
      </w:r>
      <w:proofErr w:type="gramStart"/>
      <w:r>
        <w:rPr>
          <w:rFonts w:ascii="Arial" w:hAnsi="Arial"/>
        </w:rPr>
        <w:t>added</w:t>
      </w:r>
      <w:proofErr w:type="gramEnd"/>
      <w:r>
        <w:rPr>
          <w:rFonts w:ascii="Arial" w:hAnsi="Arial"/>
        </w:rPr>
        <w:t xml:space="preserve"> by s. 32 (c) of Act No. 19 of 2014.] </w:t>
      </w:r>
    </w:p>
    <w:p w:rsidR="00C54D1C" w:rsidRDefault="00441B0D">
      <w:pPr>
        <w:pStyle w:val="BodyA"/>
        <w:spacing w:after="0" w:line="360" w:lineRule="auto"/>
        <w:ind w:left="709" w:hanging="709"/>
        <w:jc w:val="both"/>
        <w:rPr>
          <w:rFonts w:ascii="Arial" w:eastAsia="Arial" w:hAnsi="Arial" w:cs="Arial"/>
          <w:position w:val="-16"/>
        </w:rPr>
      </w:pPr>
      <w:r>
        <w:rPr>
          <w:rFonts w:ascii="Arial" w:hAnsi="Arial"/>
        </w:rPr>
        <w:t xml:space="preserve">(7) </w:t>
      </w:r>
      <w:r>
        <w:rPr>
          <w:rFonts w:ascii="Arial" w:hAnsi="Arial"/>
        </w:rPr>
        <w:tab/>
        <w:t>Proof of delivery contemplated in subsection (5) is satisfied by—</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xml:space="preserve">)     </w:t>
      </w:r>
      <w:proofErr w:type="gramStart"/>
      <w:r>
        <w:rPr>
          <w:rFonts w:ascii="Arial" w:hAnsi="Arial"/>
        </w:rPr>
        <w:t>written</w:t>
      </w:r>
      <w:proofErr w:type="gramEnd"/>
      <w:r>
        <w:rPr>
          <w:rFonts w:ascii="Arial" w:hAnsi="Arial"/>
        </w:rPr>
        <w:t xml:space="preserve"> confirmation by the postal service or its </w:t>
      </w:r>
      <w:proofErr w:type="spellStart"/>
      <w:r>
        <w:rPr>
          <w:rFonts w:ascii="Arial" w:hAnsi="Arial"/>
        </w:rPr>
        <w:t>authorised</w:t>
      </w:r>
      <w:proofErr w:type="spellEnd"/>
      <w:r>
        <w:rPr>
          <w:rFonts w:ascii="Arial" w:hAnsi="Arial"/>
        </w:rPr>
        <w:t xml:space="preserve"> agent, of delivery to the relevant post office or postal agency; or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 xml:space="preserve">) </w:t>
      </w:r>
      <w:r>
        <w:rPr>
          <w:rFonts w:ascii="Arial" w:hAnsi="Arial"/>
          <w:position w:val="-16"/>
        </w:rPr>
        <w:tab/>
      </w:r>
      <w:proofErr w:type="gramStart"/>
      <w:r>
        <w:rPr>
          <w:rFonts w:ascii="Arial" w:hAnsi="Arial"/>
        </w:rPr>
        <w:t>the</w:t>
      </w:r>
      <w:proofErr w:type="gramEnd"/>
      <w:r>
        <w:rPr>
          <w:rFonts w:ascii="Arial" w:hAnsi="Arial"/>
        </w:rPr>
        <w:t xml:space="preserve"> signature or identifying mark of the recipient contemplated in subsection (5) (b).     [Sub-s. (7) </w:t>
      </w:r>
      <w:proofErr w:type="gramStart"/>
      <w:r>
        <w:rPr>
          <w:rFonts w:ascii="Arial" w:hAnsi="Arial"/>
        </w:rPr>
        <w:t>added</w:t>
      </w:r>
      <w:proofErr w:type="gramEnd"/>
      <w:r>
        <w:rPr>
          <w:rFonts w:ascii="Arial" w:hAnsi="Arial"/>
        </w:rPr>
        <w:t xml:space="preserve"> by s. 32 (c) of Act No. 19 of 2014.] </w:t>
      </w:r>
    </w:p>
    <w:p w:rsidR="00C54D1C" w:rsidRDefault="00C54D1C">
      <w:pPr>
        <w:pStyle w:val="BodyA"/>
        <w:spacing w:after="0" w:line="360" w:lineRule="auto"/>
        <w:ind w:left="709" w:hanging="709"/>
        <w:jc w:val="both"/>
        <w:rPr>
          <w:rFonts w:ascii="Arial" w:eastAsia="Arial" w:hAnsi="Arial" w:cs="Arial"/>
        </w:rPr>
      </w:pPr>
    </w:p>
    <w:p w:rsidR="00C54D1C" w:rsidRDefault="00441B0D">
      <w:pPr>
        <w:pStyle w:val="BodyA"/>
        <w:spacing w:after="0" w:line="360" w:lineRule="auto"/>
        <w:jc w:val="both"/>
        <w:rPr>
          <w:rFonts w:ascii="Arial" w:eastAsia="Arial" w:hAnsi="Arial" w:cs="Arial"/>
        </w:rPr>
      </w:pPr>
      <w:r>
        <w:rPr>
          <w:rFonts w:ascii="Arial" w:hAnsi="Arial"/>
          <w:b/>
          <w:bCs/>
        </w:rPr>
        <w:t>130. Debt procedures in a Court.</w:t>
      </w:r>
      <w:r>
        <w:rPr>
          <w:rFonts w:ascii="Arial" w:hAnsi="Arial"/>
        </w:rPr>
        <w:t>—</w:t>
      </w:r>
    </w:p>
    <w:p w:rsidR="00C54D1C" w:rsidRDefault="00441B0D">
      <w:pPr>
        <w:pStyle w:val="BodyA"/>
        <w:spacing w:after="0" w:line="360" w:lineRule="auto"/>
        <w:jc w:val="both"/>
        <w:rPr>
          <w:rFonts w:ascii="Arial" w:eastAsia="Arial" w:hAnsi="Arial" w:cs="Arial"/>
        </w:rPr>
      </w:pPr>
      <w:r>
        <w:rPr>
          <w:rFonts w:ascii="Arial" w:hAnsi="Arial"/>
        </w:rPr>
        <w:lastRenderedPageBreak/>
        <w:t xml:space="preserve">(1) </w:t>
      </w:r>
      <w:r>
        <w:rPr>
          <w:rFonts w:ascii="Arial" w:hAnsi="Arial"/>
        </w:rPr>
        <w:tab/>
        <w:t xml:space="preserve">Subject to subsection (2) a credit provider may approach the court for an order to enforce a credit agreement only if, at that time, the consumer is in default and has been in default under that credit agreement for at least 20 business days and—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xml:space="preserve">) </w:t>
      </w:r>
      <w:r>
        <w:rPr>
          <w:rFonts w:ascii="Arial" w:hAnsi="Arial"/>
          <w:position w:val="-16"/>
        </w:rPr>
        <w:tab/>
      </w:r>
      <w:r>
        <w:rPr>
          <w:rFonts w:ascii="Arial" w:hAnsi="Arial"/>
        </w:rPr>
        <w:t xml:space="preserve">at least 10 business days have elapsed since the credit provider delivered a notice to the consumer as contemplated in section 86 (10), or section 129 (1), as the case may be; </w:t>
      </w:r>
    </w:p>
    <w:p w:rsidR="00C54D1C" w:rsidRDefault="00441B0D">
      <w:pPr>
        <w:pStyle w:val="BodyA"/>
        <w:spacing w:after="0" w:line="360" w:lineRule="auto"/>
        <w:ind w:firstLine="709"/>
        <w:jc w:val="both"/>
        <w:rPr>
          <w:rFonts w:ascii="Arial" w:eastAsia="Arial" w:hAnsi="Arial" w:cs="Arial"/>
        </w:rPr>
      </w:pPr>
      <w:r>
        <w:rPr>
          <w:rFonts w:ascii="Arial" w:hAnsi="Arial"/>
        </w:rPr>
        <w:t>[</w:t>
      </w:r>
      <w:proofErr w:type="gramStart"/>
      <w:r>
        <w:rPr>
          <w:rFonts w:ascii="Arial" w:hAnsi="Arial"/>
        </w:rPr>
        <w:t>substituted</w:t>
      </w:r>
      <w:proofErr w:type="gramEnd"/>
      <w:r>
        <w:rPr>
          <w:rFonts w:ascii="Arial" w:hAnsi="Arial"/>
        </w:rPr>
        <w:t xml:space="preserve"> by s. 33 of Act No. 19 of 2014.] </w:t>
      </w:r>
    </w:p>
    <w:p w:rsidR="00C54D1C" w:rsidRDefault="00441B0D">
      <w:pPr>
        <w:pStyle w:val="BodyA"/>
        <w:spacing w:after="0" w:line="360" w:lineRule="auto"/>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  </w:t>
      </w:r>
      <w:r>
        <w:rPr>
          <w:rFonts w:ascii="Arial" w:eastAsia="Arial" w:hAnsi="Arial" w:cs="Arial"/>
          <w:position w:val="-16"/>
        </w:rPr>
        <w:tab/>
      </w:r>
      <w:proofErr w:type="gramStart"/>
      <w:r>
        <w:rPr>
          <w:rFonts w:ascii="Arial" w:hAnsi="Arial"/>
        </w:rPr>
        <w:t>in</w:t>
      </w:r>
      <w:proofErr w:type="gramEnd"/>
      <w:r>
        <w:rPr>
          <w:rFonts w:ascii="Arial" w:hAnsi="Arial"/>
        </w:rPr>
        <w:t xml:space="preserve"> the case of a notice contemplated in section 129 (1), the consumer has—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proofErr w:type="spellStart"/>
      <w:r>
        <w:rPr>
          <w:rFonts w:ascii="Arial" w:hAnsi="Arial"/>
          <w:position w:val="-16"/>
        </w:rPr>
        <w:t>i</w:t>
      </w:r>
      <w:proofErr w:type="spellEnd"/>
      <w:r>
        <w:rPr>
          <w:rFonts w:ascii="Arial" w:hAnsi="Arial"/>
          <w:position w:val="-16"/>
        </w:rPr>
        <w:t xml:space="preserve">)        </w:t>
      </w:r>
      <w:proofErr w:type="gramStart"/>
      <w:r>
        <w:rPr>
          <w:rFonts w:ascii="Arial" w:hAnsi="Arial"/>
        </w:rPr>
        <w:t>not</w:t>
      </w:r>
      <w:proofErr w:type="gramEnd"/>
      <w:r>
        <w:rPr>
          <w:rFonts w:ascii="Arial" w:hAnsi="Arial"/>
        </w:rPr>
        <w:t xml:space="preserve"> responded to that notice; or </w:t>
      </w:r>
    </w:p>
    <w:p w:rsidR="00C54D1C" w:rsidRDefault="00441B0D">
      <w:pPr>
        <w:pStyle w:val="BodyA"/>
        <w:spacing w:after="0" w:line="360" w:lineRule="auto"/>
        <w:jc w:val="both"/>
        <w:rPr>
          <w:rFonts w:ascii="Arial" w:eastAsia="Arial" w:hAnsi="Arial" w:cs="Arial"/>
        </w:rPr>
      </w:pPr>
      <w:r>
        <w:rPr>
          <w:rFonts w:ascii="Arial" w:hAnsi="Arial"/>
          <w:position w:val="-16"/>
        </w:rPr>
        <w:t xml:space="preserve">(ii) </w:t>
      </w:r>
      <w:r>
        <w:rPr>
          <w:rFonts w:ascii="Arial" w:hAnsi="Arial"/>
          <w:position w:val="-16"/>
        </w:rPr>
        <w:tab/>
      </w:r>
      <w:proofErr w:type="gramStart"/>
      <w:r>
        <w:rPr>
          <w:rFonts w:ascii="Arial" w:hAnsi="Arial"/>
        </w:rPr>
        <w:t>responded</w:t>
      </w:r>
      <w:proofErr w:type="gramEnd"/>
      <w:r>
        <w:rPr>
          <w:rFonts w:ascii="Arial" w:hAnsi="Arial"/>
        </w:rPr>
        <w:t xml:space="preserve"> to the notice by rejecting the credit provider’s proposals; and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c</w:t>
      </w:r>
      <w:r>
        <w:rPr>
          <w:rFonts w:ascii="Arial" w:hAnsi="Arial"/>
          <w:position w:val="-16"/>
        </w:rPr>
        <w:t>)  </w:t>
      </w:r>
      <w:r>
        <w:rPr>
          <w:rFonts w:ascii="Arial" w:eastAsia="Arial" w:hAnsi="Arial" w:cs="Arial"/>
          <w:position w:val="-16"/>
        </w:rPr>
        <w:tab/>
      </w:r>
      <w:proofErr w:type="gramStart"/>
      <w:r>
        <w:rPr>
          <w:rFonts w:ascii="Arial" w:hAnsi="Arial"/>
        </w:rPr>
        <w:t>in</w:t>
      </w:r>
      <w:proofErr w:type="gramEnd"/>
      <w:r>
        <w:rPr>
          <w:rFonts w:ascii="Arial" w:hAnsi="Arial"/>
        </w:rPr>
        <w:t xml:space="preserve"> the case of an instalment agreement, secured loan, or lease, the consumer has not surrendered the relevant property to the credit provider as contemplated in section 127. </w:t>
      </w:r>
    </w:p>
    <w:p w:rsidR="00C54D1C" w:rsidRDefault="00441B0D">
      <w:pPr>
        <w:pStyle w:val="BodyA"/>
        <w:spacing w:after="0" w:line="360" w:lineRule="auto"/>
        <w:ind w:left="709" w:hanging="709"/>
        <w:jc w:val="both"/>
        <w:rPr>
          <w:rFonts w:ascii="Arial" w:eastAsia="Arial" w:hAnsi="Arial" w:cs="Arial"/>
        </w:rPr>
      </w:pPr>
      <w:r>
        <w:rPr>
          <w:rFonts w:ascii="Arial" w:hAnsi="Arial"/>
        </w:rPr>
        <w:t>(2)</w:t>
      </w:r>
      <w:r>
        <w:rPr>
          <w:rFonts w:ascii="Arial" w:hAnsi="Arial"/>
        </w:rPr>
        <w:tab/>
        <w:t xml:space="preserve">In addition to the circumstances contemplated in subsection (1), in the case of an instalment agreement, secured loan, or lease, a credit provider may approach the court for an order enforcing the remaining obligations of a consumer under a credit agreement at any time if— </w:t>
      </w:r>
    </w:p>
    <w:p w:rsidR="00C54D1C" w:rsidRDefault="00441B0D">
      <w:pPr>
        <w:pStyle w:val="BodyA"/>
        <w:spacing w:after="0" w:line="360" w:lineRule="auto"/>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xml:space="preserve">) </w:t>
      </w:r>
      <w:r>
        <w:rPr>
          <w:rFonts w:ascii="Arial" w:hAnsi="Arial"/>
          <w:position w:val="-16"/>
        </w:rPr>
        <w:tab/>
      </w:r>
      <w:proofErr w:type="gramStart"/>
      <w:r>
        <w:rPr>
          <w:rFonts w:ascii="Arial" w:hAnsi="Arial"/>
        </w:rPr>
        <w:t>all</w:t>
      </w:r>
      <w:proofErr w:type="gramEnd"/>
      <w:r>
        <w:rPr>
          <w:rFonts w:ascii="Arial" w:hAnsi="Arial"/>
        </w:rPr>
        <w:t xml:space="preserve"> relevant property has been sold pursuant to— </w:t>
      </w:r>
      <w:r>
        <w:rPr>
          <w:rFonts w:ascii="Arial" w:hAnsi="Arial"/>
          <w:position w:val="-16"/>
        </w:rPr>
        <w:t>(</w:t>
      </w:r>
      <w:proofErr w:type="spellStart"/>
      <w:r>
        <w:rPr>
          <w:rFonts w:ascii="Arial" w:hAnsi="Arial"/>
          <w:position w:val="-16"/>
        </w:rPr>
        <w:t>i</w:t>
      </w:r>
      <w:proofErr w:type="spellEnd"/>
      <w:r>
        <w:rPr>
          <w:rFonts w:ascii="Arial" w:hAnsi="Arial"/>
          <w:position w:val="-16"/>
        </w:rPr>
        <w:t xml:space="preserve">) </w:t>
      </w:r>
      <w:r>
        <w:rPr>
          <w:rFonts w:ascii="Arial" w:hAnsi="Arial"/>
        </w:rPr>
        <w:t xml:space="preserve">an attachment order; or </w:t>
      </w:r>
    </w:p>
    <w:p w:rsidR="00C54D1C" w:rsidRDefault="00441B0D">
      <w:pPr>
        <w:pStyle w:val="BodyA"/>
        <w:spacing w:after="0" w:line="360" w:lineRule="auto"/>
        <w:jc w:val="both"/>
        <w:rPr>
          <w:rFonts w:ascii="Arial" w:eastAsia="Arial" w:hAnsi="Arial" w:cs="Arial"/>
        </w:rPr>
      </w:pPr>
      <w:r>
        <w:rPr>
          <w:rFonts w:ascii="Arial" w:hAnsi="Arial"/>
          <w:position w:val="-16"/>
        </w:rPr>
        <w:t>(ii)</w:t>
      </w:r>
      <w:r>
        <w:rPr>
          <w:rFonts w:ascii="Arial" w:hAnsi="Arial"/>
          <w:position w:val="-16"/>
        </w:rPr>
        <w:tab/>
        <w:t xml:space="preserve"> </w:t>
      </w:r>
      <w:proofErr w:type="gramStart"/>
      <w:r>
        <w:rPr>
          <w:rFonts w:ascii="Arial" w:hAnsi="Arial"/>
        </w:rPr>
        <w:t>surrender</w:t>
      </w:r>
      <w:proofErr w:type="gramEnd"/>
      <w:r>
        <w:rPr>
          <w:rFonts w:ascii="Arial" w:hAnsi="Arial"/>
        </w:rPr>
        <w:t xml:space="preserve"> of property in terms of section 127; and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 xml:space="preserve">) </w:t>
      </w:r>
      <w:r>
        <w:rPr>
          <w:rFonts w:ascii="Arial" w:hAnsi="Arial"/>
          <w:position w:val="-16"/>
        </w:rPr>
        <w:tab/>
      </w:r>
      <w:proofErr w:type="gramStart"/>
      <w:r>
        <w:rPr>
          <w:rFonts w:ascii="Arial" w:hAnsi="Arial"/>
        </w:rPr>
        <w:t>the</w:t>
      </w:r>
      <w:proofErr w:type="gramEnd"/>
      <w:r>
        <w:rPr>
          <w:rFonts w:ascii="Arial" w:hAnsi="Arial"/>
        </w:rPr>
        <w:t xml:space="preserve"> net proceeds of sale were insufficient to discharge all the consumer’s financial obligations under the agreement. </w:t>
      </w:r>
    </w:p>
    <w:p w:rsidR="00C54D1C" w:rsidRDefault="00441B0D">
      <w:pPr>
        <w:pStyle w:val="BodyA"/>
        <w:spacing w:after="0" w:line="360" w:lineRule="auto"/>
        <w:ind w:left="709" w:hanging="709"/>
        <w:jc w:val="both"/>
        <w:rPr>
          <w:rFonts w:ascii="Arial" w:eastAsia="Arial" w:hAnsi="Arial" w:cs="Arial"/>
        </w:rPr>
      </w:pPr>
      <w:r>
        <w:rPr>
          <w:rFonts w:ascii="Arial" w:hAnsi="Arial"/>
        </w:rPr>
        <w:t xml:space="preserve">(3) </w:t>
      </w:r>
      <w:r>
        <w:rPr>
          <w:rFonts w:ascii="Arial" w:hAnsi="Arial"/>
        </w:rPr>
        <w:tab/>
        <w:t xml:space="preserve">Despite any provision of law or contract to the contrary, in any proceedings commenced in a court in respect of a credit agreement to which this Act applies, the court may determine the matter only if the court is satisfied that—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xml:space="preserve">) </w:t>
      </w:r>
      <w:r>
        <w:rPr>
          <w:rFonts w:ascii="Arial" w:hAnsi="Arial"/>
          <w:position w:val="-16"/>
        </w:rPr>
        <w:tab/>
      </w:r>
      <w:proofErr w:type="gramStart"/>
      <w:r>
        <w:rPr>
          <w:rFonts w:ascii="Arial" w:hAnsi="Arial"/>
        </w:rPr>
        <w:t>in</w:t>
      </w:r>
      <w:proofErr w:type="gramEnd"/>
      <w:r>
        <w:rPr>
          <w:rFonts w:ascii="Arial" w:hAnsi="Arial"/>
        </w:rPr>
        <w:t xml:space="preserve"> the case of proceedings to which sections 127, 129 or 131 apply, the procedures required by those sections have been complied with;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 xml:space="preserve">) </w:t>
      </w:r>
      <w:r>
        <w:rPr>
          <w:rFonts w:ascii="Arial" w:hAnsi="Arial"/>
          <w:position w:val="-16"/>
        </w:rPr>
        <w:tab/>
      </w:r>
      <w:r>
        <w:rPr>
          <w:rFonts w:ascii="Arial" w:hAnsi="Arial"/>
        </w:rPr>
        <w:t xml:space="preserve">there is no matter arising under that credit agreement, and pending before the Tribunal, that could result in an order affecting the issues to be determined by the court; and </w:t>
      </w:r>
    </w:p>
    <w:p w:rsidR="00C54D1C" w:rsidRDefault="00441B0D">
      <w:pPr>
        <w:pStyle w:val="BodyA"/>
        <w:spacing w:after="0" w:line="360" w:lineRule="auto"/>
        <w:jc w:val="both"/>
        <w:rPr>
          <w:rFonts w:ascii="Arial" w:eastAsia="Arial" w:hAnsi="Arial" w:cs="Arial"/>
        </w:rPr>
      </w:pPr>
      <w:r>
        <w:rPr>
          <w:rFonts w:ascii="Arial" w:hAnsi="Arial"/>
          <w:position w:val="-16"/>
        </w:rPr>
        <w:t>(</w:t>
      </w:r>
      <w:r>
        <w:rPr>
          <w:rFonts w:ascii="Arial" w:hAnsi="Arial"/>
          <w:i/>
          <w:iCs/>
          <w:position w:val="-16"/>
        </w:rPr>
        <w:t>c</w:t>
      </w:r>
      <w:r>
        <w:rPr>
          <w:rFonts w:ascii="Arial" w:hAnsi="Arial"/>
          <w:position w:val="-16"/>
        </w:rPr>
        <w:t xml:space="preserve">) </w:t>
      </w:r>
      <w:r>
        <w:rPr>
          <w:rFonts w:ascii="Arial" w:hAnsi="Arial"/>
          <w:position w:val="-16"/>
        </w:rPr>
        <w:tab/>
      </w:r>
      <w:proofErr w:type="gramStart"/>
      <w:r>
        <w:rPr>
          <w:rFonts w:ascii="Arial" w:hAnsi="Arial"/>
        </w:rPr>
        <w:t>that</w:t>
      </w:r>
      <w:proofErr w:type="gramEnd"/>
      <w:r>
        <w:rPr>
          <w:rFonts w:ascii="Arial" w:hAnsi="Arial"/>
        </w:rPr>
        <w:t xml:space="preserve"> the credit provider has not approached the court—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proofErr w:type="spellStart"/>
      <w:r>
        <w:rPr>
          <w:rFonts w:ascii="Arial" w:hAnsi="Arial"/>
          <w:position w:val="-16"/>
        </w:rPr>
        <w:t>i</w:t>
      </w:r>
      <w:proofErr w:type="spellEnd"/>
      <w:r>
        <w:rPr>
          <w:rFonts w:ascii="Arial" w:hAnsi="Arial"/>
          <w:position w:val="-16"/>
        </w:rPr>
        <w:t xml:space="preserve">) </w:t>
      </w:r>
      <w:r>
        <w:rPr>
          <w:rFonts w:ascii="Arial" w:hAnsi="Arial"/>
          <w:position w:val="-16"/>
        </w:rPr>
        <w:tab/>
      </w:r>
      <w:proofErr w:type="gramStart"/>
      <w:r>
        <w:rPr>
          <w:rFonts w:ascii="Arial" w:hAnsi="Arial"/>
        </w:rPr>
        <w:t>during</w:t>
      </w:r>
      <w:proofErr w:type="gramEnd"/>
      <w:r>
        <w:rPr>
          <w:rFonts w:ascii="Arial" w:hAnsi="Arial"/>
        </w:rPr>
        <w:t xml:space="preserve"> the time that the matter was before a debt counsellor, alternative dispute resolution agent, consumer court or the </w:t>
      </w:r>
      <w:proofErr w:type="spellStart"/>
      <w:r>
        <w:rPr>
          <w:rFonts w:ascii="Arial" w:hAnsi="Arial"/>
        </w:rPr>
        <w:t>ombud</w:t>
      </w:r>
      <w:proofErr w:type="spellEnd"/>
      <w:r>
        <w:rPr>
          <w:rFonts w:ascii="Arial" w:hAnsi="Arial"/>
        </w:rPr>
        <w:t xml:space="preserve"> with jurisdiction; or </w:t>
      </w:r>
    </w:p>
    <w:p w:rsidR="00C54D1C" w:rsidRDefault="00441B0D">
      <w:pPr>
        <w:pStyle w:val="BodyA"/>
        <w:spacing w:after="0" w:line="360" w:lineRule="auto"/>
        <w:jc w:val="both"/>
        <w:rPr>
          <w:rFonts w:ascii="Arial" w:eastAsia="Arial" w:hAnsi="Arial" w:cs="Arial"/>
        </w:rPr>
      </w:pPr>
      <w:r>
        <w:rPr>
          <w:rFonts w:ascii="Arial" w:hAnsi="Arial"/>
          <w:position w:val="-16"/>
        </w:rPr>
        <w:lastRenderedPageBreak/>
        <w:t>(ii)  </w:t>
      </w:r>
      <w:r>
        <w:rPr>
          <w:rFonts w:ascii="Arial" w:eastAsia="Arial" w:hAnsi="Arial" w:cs="Arial"/>
          <w:position w:val="-16"/>
        </w:rPr>
        <w:tab/>
      </w:r>
      <w:proofErr w:type="gramStart"/>
      <w:r>
        <w:rPr>
          <w:rFonts w:ascii="Arial" w:hAnsi="Arial"/>
        </w:rPr>
        <w:t>despite</w:t>
      </w:r>
      <w:proofErr w:type="gramEnd"/>
      <w:r>
        <w:rPr>
          <w:rFonts w:ascii="Arial" w:hAnsi="Arial"/>
        </w:rPr>
        <w:t xml:space="preserve"> the consumer having— </w:t>
      </w:r>
    </w:p>
    <w:p w:rsidR="00C54D1C" w:rsidRDefault="00441B0D">
      <w:pPr>
        <w:pStyle w:val="BodyA"/>
        <w:spacing w:after="0" w:line="360" w:lineRule="auto"/>
        <w:jc w:val="both"/>
        <w:rPr>
          <w:rFonts w:ascii="Arial" w:eastAsia="Arial" w:hAnsi="Arial" w:cs="Arial"/>
        </w:rPr>
      </w:pPr>
      <w:r>
        <w:rPr>
          <w:rFonts w:ascii="Arial" w:hAnsi="Arial"/>
          <w:position w:val="-16"/>
        </w:rPr>
        <w:t>(</w:t>
      </w:r>
      <w:proofErr w:type="gramStart"/>
      <w:r>
        <w:rPr>
          <w:rFonts w:ascii="Arial" w:hAnsi="Arial"/>
          <w:i/>
          <w:iCs/>
          <w:position w:val="-16"/>
          <w:lang w:val="nl-NL"/>
        </w:rPr>
        <w:t>aa</w:t>
      </w:r>
      <w:proofErr w:type="gramEnd"/>
      <w:r>
        <w:rPr>
          <w:rFonts w:ascii="Arial" w:hAnsi="Arial"/>
          <w:position w:val="-16"/>
        </w:rPr>
        <w:t xml:space="preserve">) </w:t>
      </w:r>
      <w:r>
        <w:rPr>
          <w:rFonts w:ascii="Arial" w:hAnsi="Arial"/>
          <w:position w:val="-16"/>
        </w:rPr>
        <w:tab/>
      </w:r>
      <w:r>
        <w:rPr>
          <w:rFonts w:ascii="Arial" w:hAnsi="Arial"/>
        </w:rPr>
        <w:t>surrendered property to the credit provider, and before that property has been sold;</w:t>
      </w:r>
      <w:r>
        <w:rPr>
          <w:rFonts w:ascii="Arial Unicode MS" w:eastAsia="Arial Unicode MS" w:hAnsi="Arial Unicode MS" w:cs="Arial Unicode MS"/>
        </w:rPr>
        <w:br/>
      </w:r>
      <w:r>
        <w:rPr>
          <w:rFonts w:ascii="Arial" w:hAnsi="Arial"/>
          <w:position w:val="-16"/>
        </w:rPr>
        <w:t>(</w:t>
      </w:r>
      <w:r>
        <w:rPr>
          <w:rFonts w:ascii="Arial" w:hAnsi="Arial"/>
          <w:i/>
          <w:iCs/>
          <w:position w:val="-16"/>
        </w:rPr>
        <w:t>bb</w:t>
      </w:r>
      <w:r>
        <w:rPr>
          <w:rFonts w:ascii="Arial" w:hAnsi="Arial"/>
          <w:position w:val="-16"/>
        </w:rPr>
        <w:t xml:space="preserve">) </w:t>
      </w:r>
      <w:r>
        <w:rPr>
          <w:rFonts w:ascii="Arial" w:hAnsi="Arial"/>
          <w:position w:val="-16"/>
        </w:rPr>
        <w:tab/>
      </w:r>
      <w:r>
        <w:rPr>
          <w:rFonts w:ascii="Arial" w:hAnsi="Arial"/>
        </w:rPr>
        <w:t xml:space="preserve">agreed to a proposal made in terms of section 129 (1) (a) and acted in good faith in </w:t>
      </w:r>
    </w:p>
    <w:p w:rsidR="00C54D1C" w:rsidRDefault="00441B0D">
      <w:pPr>
        <w:pStyle w:val="BodyA"/>
        <w:spacing w:after="0" w:line="360" w:lineRule="auto"/>
        <w:ind w:left="709" w:hanging="709"/>
        <w:jc w:val="both"/>
        <w:rPr>
          <w:rFonts w:ascii="Arial" w:eastAsia="Arial" w:hAnsi="Arial" w:cs="Arial"/>
        </w:rPr>
      </w:pPr>
      <w:r>
        <w:rPr>
          <w:rFonts w:ascii="Arial" w:hAnsi="Arial"/>
        </w:rPr>
        <w:t xml:space="preserve">           </w:t>
      </w:r>
      <w:proofErr w:type="gramStart"/>
      <w:r>
        <w:rPr>
          <w:rFonts w:ascii="Arial" w:hAnsi="Arial"/>
        </w:rPr>
        <w:t>fulfilment</w:t>
      </w:r>
      <w:proofErr w:type="gramEnd"/>
      <w:r>
        <w:rPr>
          <w:rFonts w:ascii="Arial" w:hAnsi="Arial"/>
        </w:rPr>
        <w:t xml:space="preserve"> of that agreement; </w:t>
      </w:r>
    </w:p>
    <w:p w:rsidR="00C54D1C" w:rsidRDefault="00441B0D">
      <w:pPr>
        <w:pStyle w:val="BodyA"/>
        <w:spacing w:after="0" w:line="360" w:lineRule="auto"/>
        <w:jc w:val="both"/>
        <w:rPr>
          <w:rFonts w:ascii="Arial" w:eastAsia="Arial" w:hAnsi="Arial" w:cs="Arial"/>
        </w:rPr>
      </w:pPr>
      <w:r>
        <w:rPr>
          <w:rFonts w:ascii="Arial" w:hAnsi="Arial"/>
          <w:position w:val="-16"/>
        </w:rPr>
        <w:t>(</w:t>
      </w:r>
      <w:r>
        <w:rPr>
          <w:rFonts w:ascii="Arial" w:hAnsi="Arial"/>
          <w:i/>
          <w:iCs/>
          <w:position w:val="-16"/>
          <w:lang w:val="it-IT"/>
        </w:rPr>
        <w:t>cc</w:t>
      </w:r>
      <w:r>
        <w:rPr>
          <w:rFonts w:ascii="Arial" w:hAnsi="Arial"/>
          <w:position w:val="-16"/>
        </w:rPr>
        <w:t xml:space="preserve">) </w:t>
      </w:r>
      <w:r>
        <w:rPr>
          <w:rFonts w:ascii="Arial" w:hAnsi="Arial"/>
          <w:position w:val="-16"/>
        </w:rPr>
        <w:tab/>
      </w:r>
      <w:r>
        <w:rPr>
          <w:rFonts w:ascii="Arial" w:hAnsi="Arial"/>
        </w:rPr>
        <w:t xml:space="preserve">complied with an agreed plan as contemplated in section 129 (1) (a); or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proofErr w:type="spellStart"/>
      <w:proofErr w:type="gramStart"/>
      <w:r>
        <w:rPr>
          <w:rFonts w:ascii="Arial" w:hAnsi="Arial"/>
          <w:i/>
          <w:iCs/>
          <w:position w:val="-16"/>
        </w:rPr>
        <w:t>dd</w:t>
      </w:r>
      <w:proofErr w:type="spellEnd"/>
      <w:proofErr w:type="gramEnd"/>
      <w:r>
        <w:rPr>
          <w:rFonts w:ascii="Arial" w:hAnsi="Arial"/>
          <w:position w:val="-16"/>
        </w:rPr>
        <w:t xml:space="preserve">) </w:t>
      </w:r>
      <w:r>
        <w:rPr>
          <w:rFonts w:ascii="Arial" w:hAnsi="Arial"/>
          <w:position w:val="-16"/>
        </w:rPr>
        <w:tab/>
      </w:r>
      <w:r>
        <w:rPr>
          <w:rFonts w:ascii="Arial" w:hAnsi="Arial"/>
        </w:rPr>
        <w:t xml:space="preserve">brought the payments under the credit agreement up to date, as contemplated in section 129 (1) (a). </w:t>
      </w:r>
    </w:p>
    <w:p w:rsidR="00C54D1C" w:rsidRDefault="00441B0D">
      <w:pPr>
        <w:pStyle w:val="BodyA"/>
        <w:spacing w:after="0" w:line="360" w:lineRule="auto"/>
        <w:jc w:val="both"/>
        <w:rPr>
          <w:rFonts w:ascii="Arial" w:eastAsia="Arial" w:hAnsi="Arial" w:cs="Arial"/>
        </w:rPr>
      </w:pPr>
      <w:r>
        <w:rPr>
          <w:rFonts w:ascii="Arial" w:hAnsi="Arial"/>
        </w:rPr>
        <w:t xml:space="preserve">(4) </w:t>
      </w:r>
      <w:r>
        <w:rPr>
          <w:rFonts w:ascii="Arial" w:hAnsi="Arial"/>
        </w:rPr>
        <w:tab/>
        <w:t xml:space="preserve">In any proceedings contemplated in this section, if the court determines that—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a</w:t>
      </w:r>
      <w:r>
        <w:rPr>
          <w:rFonts w:ascii="Arial" w:hAnsi="Arial"/>
          <w:position w:val="-16"/>
        </w:rPr>
        <w:t>)  </w:t>
      </w:r>
      <w:r>
        <w:rPr>
          <w:rFonts w:ascii="Arial" w:eastAsia="Arial" w:hAnsi="Arial" w:cs="Arial"/>
          <w:position w:val="-16"/>
        </w:rPr>
        <w:tab/>
      </w:r>
      <w:proofErr w:type="gramStart"/>
      <w:r>
        <w:rPr>
          <w:rFonts w:ascii="Arial" w:hAnsi="Arial"/>
        </w:rPr>
        <w:t>the</w:t>
      </w:r>
      <w:proofErr w:type="gramEnd"/>
      <w:r>
        <w:rPr>
          <w:rFonts w:ascii="Arial" w:hAnsi="Arial"/>
        </w:rPr>
        <w:t xml:space="preserve"> credit agreement was reckless as described in section 80, the court must make an order contemplated in section 83;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b</w:t>
      </w:r>
      <w:r>
        <w:rPr>
          <w:rFonts w:ascii="Arial" w:hAnsi="Arial"/>
          <w:position w:val="-16"/>
        </w:rPr>
        <w:t>)  </w:t>
      </w:r>
      <w:r>
        <w:rPr>
          <w:rFonts w:ascii="Arial" w:eastAsia="Arial" w:hAnsi="Arial" w:cs="Arial"/>
          <w:position w:val="-16"/>
        </w:rPr>
        <w:tab/>
      </w:r>
      <w:proofErr w:type="gramStart"/>
      <w:r>
        <w:rPr>
          <w:rFonts w:ascii="Arial" w:hAnsi="Arial"/>
        </w:rPr>
        <w:t>the</w:t>
      </w:r>
      <w:proofErr w:type="gramEnd"/>
      <w:r>
        <w:rPr>
          <w:rFonts w:ascii="Arial" w:hAnsi="Arial"/>
        </w:rPr>
        <w:t xml:space="preserve"> credit provider has not complied with the relevant provisions of this Act, as contemplated in subsection (3) (a), or has approached the court in circumstances contemplated in subsection (3) (c) the court must— </w:t>
      </w:r>
    </w:p>
    <w:p w:rsidR="00C54D1C" w:rsidRDefault="00441B0D">
      <w:pPr>
        <w:pStyle w:val="BodyA"/>
        <w:spacing w:after="0" w:line="360" w:lineRule="auto"/>
        <w:jc w:val="both"/>
        <w:rPr>
          <w:rFonts w:ascii="Arial" w:eastAsia="Arial" w:hAnsi="Arial" w:cs="Arial"/>
        </w:rPr>
      </w:pPr>
      <w:r>
        <w:rPr>
          <w:rFonts w:ascii="Arial" w:hAnsi="Arial"/>
          <w:position w:val="-16"/>
        </w:rPr>
        <w:t>(</w:t>
      </w:r>
      <w:proofErr w:type="spellStart"/>
      <w:r>
        <w:rPr>
          <w:rFonts w:ascii="Arial" w:hAnsi="Arial"/>
          <w:position w:val="-16"/>
        </w:rPr>
        <w:t>i</w:t>
      </w:r>
      <w:proofErr w:type="spellEnd"/>
      <w:r>
        <w:rPr>
          <w:rFonts w:ascii="Arial" w:hAnsi="Arial"/>
          <w:position w:val="-16"/>
        </w:rPr>
        <w:t xml:space="preserve">) </w:t>
      </w:r>
      <w:r>
        <w:rPr>
          <w:rFonts w:ascii="Arial" w:hAnsi="Arial"/>
          <w:position w:val="-16"/>
        </w:rPr>
        <w:tab/>
        <w:t> </w:t>
      </w:r>
      <w:proofErr w:type="gramStart"/>
      <w:r>
        <w:rPr>
          <w:rFonts w:ascii="Arial" w:hAnsi="Arial"/>
        </w:rPr>
        <w:t>adjourn</w:t>
      </w:r>
      <w:proofErr w:type="gramEnd"/>
      <w:r>
        <w:rPr>
          <w:rFonts w:ascii="Arial" w:hAnsi="Arial"/>
        </w:rPr>
        <w:t xml:space="preserve"> the matter before it; and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(ii)  </w:t>
      </w:r>
      <w:r>
        <w:rPr>
          <w:rFonts w:ascii="Arial" w:eastAsia="Arial" w:hAnsi="Arial" w:cs="Arial"/>
          <w:position w:val="-16"/>
        </w:rPr>
        <w:tab/>
      </w:r>
      <w:proofErr w:type="gramStart"/>
      <w:r>
        <w:rPr>
          <w:rFonts w:ascii="Arial" w:hAnsi="Arial"/>
        </w:rPr>
        <w:t>make</w:t>
      </w:r>
      <w:proofErr w:type="gramEnd"/>
      <w:r>
        <w:rPr>
          <w:rFonts w:ascii="Arial" w:hAnsi="Arial"/>
        </w:rPr>
        <w:t xml:space="preserve"> an appropriate order setting out the steps the credit provider must complete before the matter may be resumed; </w:t>
      </w:r>
    </w:p>
    <w:p w:rsidR="00C54D1C" w:rsidRDefault="00441B0D">
      <w:pPr>
        <w:pStyle w:val="BodyA"/>
        <w:spacing w:after="0" w:line="360" w:lineRule="auto"/>
        <w:ind w:left="709" w:hanging="709"/>
        <w:jc w:val="both"/>
        <w:rPr>
          <w:rFonts w:ascii="Arial" w:eastAsia="Arial" w:hAnsi="Arial" w:cs="Arial"/>
        </w:rPr>
      </w:pPr>
      <w:r>
        <w:rPr>
          <w:rFonts w:ascii="Arial" w:hAnsi="Arial"/>
          <w:i/>
          <w:iCs/>
          <w:position w:val="-16"/>
        </w:rPr>
        <w:t>(c</w:t>
      </w:r>
      <w:r>
        <w:rPr>
          <w:rFonts w:ascii="Arial" w:hAnsi="Arial"/>
          <w:position w:val="-16"/>
        </w:rPr>
        <w:t>)  </w:t>
      </w:r>
      <w:r>
        <w:rPr>
          <w:rFonts w:ascii="Arial" w:eastAsia="Arial" w:hAnsi="Arial" w:cs="Arial"/>
          <w:position w:val="-16"/>
        </w:rPr>
        <w:tab/>
      </w:r>
      <w:proofErr w:type="gramStart"/>
      <w:r>
        <w:rPr>
          <w:rFonts w:ascii="Arial" w:hAnsi="Arial"/>
        </w:rPr>
        <w:t>the</w:t>
      </w:r>
      <w:proofErr w:type="gramEnd"/>
      <w:r>
        <w:rPr>
          <w:rFonts w:ascii="Arial" w:hAnsi="Arial"/>
        </w:rPr>
        <w:t xml:space="preserve"> credit agreement is subject to a pending debt review in terms of Part D of Chapter 4, the court may— </w:t>
      </w:r>
    </w:p>
    <w:p w:rsidR="00C54D1C" w:rsidRDefault="00441B0D">
      <w:pPr>
        <w:pStyle w:val="BodyA"/>
        <w:spacing w:after="0" w:line="360" w:lineRule="auto"/>
        <w:jc w:val="both"/>
        <w:rPr>
          <w:rFonts w:ascii="Arial" w:eastAsia="Arial" w:hAnsi="Arial" w:cs="Arial"/>
        </w:rPr>
      </w:pPr>
      <w:r>
        <w:rPr>
          <w:rFonts w:ascii="Arial" w:hAnsi="Arial"/>
          <w:position w:val="-16"/>
        </w:rPr>
        <w:t>(</w:t>
      </w:r>
      <w:proofErr w:type="spellStart"/>
      <w:proofErr w:type="gramStart"/>
      <w:r>
        <w:rPr>
          <w:rFonts w:ascii="Arial" w:hAnsi="Arial"/>
          <w:position w:val="-16"/>
        </w:rPr>
        <w:t>i</w:t>
      </w:r>
      <w:proofErr w:type="spellEnd"/>
      <w:proofErr w:type="gramEnd"/>
      <w:r>
        <w:rPr>
          <w:rFonts w:ascii="Arial" w:hAnsi="Arial"/>
          <w:position w:val="-16"/>
        </w:rPr>
        <w:t xml:space="preserve">) </w:t>
      </w:r>
      <w:r>
        <w:rPr>
          <w:rFonts w:ascii="Arial" w:hAnsi="Arial"/>
          <w:position w:val="-16"/>
        </w:rPr>
        <w:tab/>
      </w:r>
      <w:r>
        <w:rPr>
          <w:rFonts w:ascii="Arial" w:hAnsi="Arial"/>
        </w:rPr>
        <w:t xml:space="preserve">adjourn the matter, pending a final determination of the debt review proceedings;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 xml:space="preserve">(ii) </w:t>
      </w:r>
      <w:r>
        <w:rPr>
          <w:rFonts w:ascii="Arial" w:hAnsi="Arial"/>
          <w:position w:val="-16"/>
        </w:rPr>
        <w:tab/>
      </w:r>
      <w:proofErr w:type="gramStart"/>
      <w:r>
        <w:rPr>
          <w:rFonts w:ascii="Arial" w:hAnsi="Arial"/>
        </w:rPr>
        <w:t>order</w:t>
      </w:r>
      <w:proofErr w:type="gramEnd"/>
      <w:r>
        <w:rPr>
          <w:rFonts w:ascii="Arial" w:hAnsi="Arial"/>
        </w:rPr>
        <w:t xml:space="preserve"> the debt counsellor to report directly to the court, and thereafter make an order contemplated in section 85 (b); or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 xml:space="preserve">(iii) </w:t>
      </w:r>
      <w:r>
        <w:rPr>
          <w:rFonts w:ascii="Arial" w:hAnsi="Arial"/>
          <w:position w:val="-16"/>
        </w:rPr>
        <w:tab/>
        <w:t> </w:t>
      </w:r>
      <w:r>
        <w:rPr>
          <w:rFonts w:ascii="Arial" w:hAnsi="Arial"/>
        </w:rPr>
        <w:t xml:space="preserve">if the credit agreement is the only credit agreement to which the consumer is a party, order the debt counsellor to discontinue the debt review proceedings, and make an order contemplated in section 85 (b);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r>
        <w:rPr>
          <w:rFonts w:ascii="Arial" w:hAnsi="Arial"/>
          <w:i/>
          <w:iCs/>
          <w:position w:val="-16"/>
        </w:rPr>
        <w:t>d</w:t>
      </w:r>
      <w:r>
        <w:rPr>
          <w:rFonts w:ascii="Arial" w:hAnsi="Arial"/>
          <w:position w:val="-16"/>
        </w:rPr>
        <w:t>)  </w:t>
      </w:r>
      <w:r>
        <w:rPr>
          <w:rFonts w:ascii="Arial" w:eastAsia="Arial" w:hAnsi="Arial" w:cs="Arial"/>
          <w:position w:val="-16"/>
        </w:rPr>
        <w:tab/>
      </w:r>
      <w:proofErr w:type="gramStart"/>
      <w:r>
        <w:rPr>
          <w:rFonts w:ascii="Arial" w:hAnsi="Arial"/>
        </w:rPr>
        <w:t>there</w:t>
      </w:r>
      <w:proofErr w:type="gramEnd"/>
      <w:r>
        <w:rPr>
          <w:rFonts w:ascii="Arial" w:hAnsi="Arial"/>
        </w:rPr>
        <w:t xml:space="preserve"> is a matter pending before the Tribunal, as contemplated in subsection (3) (b), the court may—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w:t>
      </w:r>
      <w:proofErr w:type="spellStart"/>
      <w:r>
        <w:rPr>
          <w:rFonts w:ascii="Arial" w:hAnsi="Arial"/>
          <w:position w:val="-16"/>
        </w:rPr>
        <w:t>i</w:t>
      </w:r>
      <w:proofErr w:type="spellEnd"/>
      <w:r>
        <w:rPr>
          <w:rFonts w:ascii="Arial" w:hAnsi="Arial"/>
          <w:position w:val="-16"/>
        </w:rPr>
        <w:t>)  </w:t>
      </w:r>
      <w:r>
        <w:rPr>
          <w:rFonts w:ascii="Arial" w:eastAsia="Arial" w:hAnsi="Arial" w:cs="Arial"/>
          <w:position w:val="-16"/>
        </w:rPr>
        <w:tab/>
      </w:r>
      <w:proofErr w:type="gramStart"/>
      <w:r>
        <w:rPr>
          <w:rFonts w:ascii="Arial" w:hAnsi="Arial"/>
        </w:rPr>
        <w:t>adjourn</w:t>
      </w:r>
      <w:proofErr w:type="gramEnd"/>
      <w:r>
        <w:rPr>
          <w:rFonts w:ascii="Arial" w:hAnsi="Arial"/>
        </w:rPr>
        <w:t xml:space="preserve"> the matter before it, pending a determination of the proceedings before the Tribunal; or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t xml:space="preserve">(ii) </w:t>
      </w:r>
      <w:r>
        <w:rPr>
          <w:rFonts w:ascii="Arial" w:hAnsi="Arial"/>
          <w:position w:val="-16"/>
        </w:rPr>
        <w:tab/>
        <w:t> </w:t>
      </w:r>
      <w:proofErr w:type="gramStart"/>
      <w:r>
        <w:rPr>
          <w:rFonts w:ascii="Arial" w:hAnsi="Arial"/>
        </w:rPr>
        <w:t>order</w:t>
      </w:r>
      <w:proofErr w:type="gramEnd"/>
      <w:r>
        <w:rPr>
          <w:rFonts w:ascii="Arial" w:hAnsi="Arial"/>
        </w:rPr>
        <w:t xml:space="preserve"> the Tribunal to adjourn the proceedings before it, and refer the matter to the court for determination; or </w:t>
      </w:r>
    </w:p>
    <w:p w:rsidR="00C54D1C" w:rsidRDefault="00441B0D">
      <w:pPr>
        <w:pStyle w:val="BodyA"/>
        <w:spacing w:after="0" w:line="360" w:lineRule="auto"/>
        <w:ind w:left="709" w:hanging="709"/>
        <w:jc w:val="both"/>
        <w:rPr>
          <w:rFonts w:ascii="Arial" w:eastAsia="Arial" w:hAnsi="Arial" w:cs="Arial"/>
        </w:rPr>
      </w:pPr>
      <w:r>
        <w:rPr>
          <w:rFonts w:ascii="Arial" w:hAnsi="Arial"/>
          <w:position w:val="-16"/>
        </w:rPr>
        <w:lastRenderedPageBreak/>
        <w:t>(</w:t>
      </w:r>
      <w:r>
        <w:rPr>
          <w:rFonts w:ascii="Arial" w:hAnsi="Arial"/>
          <w:i/>
          <w:iCs/>
          <w:position w:val="-16"/>
        </w:rPr>
        <w:t>e</w:t>
      </w:r>
      <w:r>
        <w:rPr>
          <w:rFonts w:ascii="Arial" w:hAnsi="Arial"/>
          <w:position w:val="-16"/>
        </w:rPr>
        <w:t xml:space="preserve">) </w:t>
      </w:r>
      <w:r>
        <w:rPr>
          <w:rFonts w:ascii="Arial" w:hAnsi="Arial"/>
          <w:position w:val="-16"/>
        </w:rPr>
        <w:tab/>
        <w:t> </w:t>
      </w:r>
      <w:proofErr w:type="gramStart"/>
      <w:r>
        <w:rPr>
          <w:rFonts w:ascii="Arial" w:hAnsi="Arial"/>
        </w:rPr>
        <w:t>the</w:t>
      </w:r>
      <w:proofErr w:type="gramEnd"/>
      <w:r>
        <w:rPr>
          <w:rFonts w:ascii="Arial" w:hAnsi="Arial"/>
        </w:rPr>
        <w:t xml:space="preserve"> credit agreement is either suspended or subject to a debt rearrangement order or agreement, and the consumer has complied with that order or agreement, the court must dismiss the matter. </w:t>
      </w:r>
    </w:p>
    <w:p w:rsidR="00C54D1C" w:rsidRDefault="00C54D1C">
      <w:pPr>
        <w:pStyle w:val="BodyA"/>
        <w:tabs>
          <w:tab w:val="left" w:pos="1418"/>
        </w:tabs>
        <w:spacing w:after="0" w:line="360" w:lineRule="auto"/>
        <w:jc w:val="both"/>
        <w:rPr>
          <w:rFonts w:ascii="Arial" w:eastAsia="Arial" w:hAnsi="Arial" w:cs="Arial"/>
          <w:i/>
          <w:iCs/>
        </w:rPr>
      </w:pPr>
    </w:p>
    <w:p w:rsidR="00C54D1C" w:rsidRPr="005C4854" w:rsidRDefault="005C4854" w:rsidP="005C4854">
      <w:pPr>
        <w:spacing w:line="360" w:lineRule="auto"/>
        <w:ind w:left="720" w:hanging="720"/>
        <w:jc w:val="both"/>
        <w:rPr>
          <w:rFonts w:ascii="Arial" w:eastAsia="Arial" w:hAnsi="Arial" w:cs="Arial"/>
          <w:rPrChange w:id="59" w:author="Mokone" w:date="2022-11-30T08:54:00Z">
            <w:rPr>
              <w:rFonts w:eastAsia="Arial" w:cs="Arial"/>
            </w:rPr>
          </w:rPrChange>
        </w:rPr>
        <w:pPrChange w:id="60"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7.</w:t>
      </w:r>
      <w:r>
        <w:rPr>
          <w:rFonts w:ascii="Arial" w:eastAsia="Arial" w:hAnsi="Arial" w:cs="Arial"/>
          <w:color w:val="000000"/>
          <w:u w:color="000000"/>
          <w:lang w:eastAsia="en-ZA"/>
        </w:rPr>
        <w:tab/>
      </w:r>
      <w:r w:rsidR="00441B0D" w:rsidRPr="005C4854">
        <w:rPr>
          <w:rFonts w:ascii="Arial" w:hAnsi="Arial"/>
          <w:rPrChange w:id="61" w:author="Mokone" w:date="2022-11-30T08:54:00Z">
            <w:rPr/>
          </w:rPrChange>
        </w:rPr>
        <w:t xml:space="preserve">The case for the respondents is that the provisions of section 129(1) of </w:t>
      </w:r>
      <w:proofErr w:type="gramStart"/>
      <w:r w:rsidR="00441B0D" w:rsidRPr="005C4854">
        <w:rPr>
          <w:rFonts w:ascii="Arial" w:hAnsi="Arial"/>
          <w:rPrChange w:id="62" w:author="Mokone" w:date="2022-11-30T08:54:00Z">
            <w:rPr/>
          </w:rPrChange>
        </w:rPr>
        <w:t>the  NCA</w:t>
      </w:r>
      <w:proofErr w:type="gramEnd"/>
      <w:r w:rsidR="00441B0D" w:rsidRPr="005C4854">
        <w:rPr>
          <w:rFonts w:ascii="Arial" w:hAnsi="Arial"/>
          <w:rPrChange w:id="63" w:author="Mokone" w:date="2022-11-30T08:54:00Z">
            <w:rPr/>
          </w:rPrChange>
        </w:rPr>
        <w:t xml:space="preserve"> have not been complied with. This contention can, in my view, be dismissed on one of two bases. For the reasons which follow, I will grant the application.</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64" w:author="Mokone" w:date="2022-11-30T08:54:00Z">
            <w:rPr>
              <w:rFonts w:eastAsia="Arial" w:cs="Arial"/>
            </w:rPr>
          </w:rPrChange>
        </w:rPr>
        <w:pPrChange w:id="65"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8.</w:t>
      </w:r>
      <w:r>
        <w:rPr>
          <w:rFonts w:ascii="Arial" w:eastAsia="Arial" w:hAnsi="Arial" w:cs="Arial"/>
          <w:color w:val="000000"/>
          <w:u w:color="000000"/>
          <w:lang w:eastAsia="en-ZA"/>
        </w:rPr>
        <w:tab/>
      </w:r>
      <w:r w:rsidR="00441B0D" w:rsidRPr="005C4854">
        <w:rPr>
          <w:rFonts w:ascii="Arial" w:hAnsi="Arial"/>
          <w:rPrChange w:id="66" w:author="Mokone" w:date="2022-11-30T08:54:00Z">
            <w:rPr/>
          </w:rPrChange>
        </w:rPr>
        <w:t xml:space="preserve">The first basis upon which it can be dismissed is on the basis of the judgment of the Full Court in </w:t>
      </w:r>
      <w:r w:rsidR="00441B0D" w:rsidRPr="005C4854">
        <w:rPr>
          <w:rFonts w:ascii="Arial" w:hAnsi="Arial"/>
          <w:i/>
          <w:iCs/>
          <w:rPrChange w:id="67" w:author="Mokone" w:date="2022-11-30T08:54:00Z">
            <w:rPr>
              <w:i/>
              <w:iCs/>
            </w:rPr>
          </w:rPrChange>
        </w:rPr>
        <w:t>Benson and another v Standard Bank of South Africa (Pty) Ltd and others</w:t>
      </w:r>
      <w:r w:rsidR="00441B0D">
        <w:rPr>
          <w:rStyle w:val="FootnoteReference"/>
          <w:rFonts w:ascii="Arial" w:eastAsia="Arial" w:hAnsi="Arial" w:cs="Arial"/>
        </w:rPr>
        <w:footnoteReference w:id="3"/>
      </w:r>
      <w:r w:rsidR="00441B0D" w:rsidRPr="005C4854">
        <w:rPr>
          <w:rFonts w:ascii="Arial" w:hAnsi="Arial"/>
          <w:i/>
          <w:iCs/>
          <w:rPrChange w:id="68" w:author="Mokone" w:date="2022-11-30T08:54:00Z">
            <w:rPr>
              <w:i/>
              <w:iCs/>
            </w:rPr>
          </w:rPrChange>
        </w:rPr>
        <w:t xml:space="preserve"> </w:t>
      </w:r>
      <w:r w:rsidR="00441B0D" w:rsidRPr="005C4854">
        <w:rPr>
          <w:rFonts w:ascii="Arial" w:hAnsi="Arial"/>
          <w:rPrChange w:id="69" w:author="Mokone" w:date="2022-11-30T08:54:00Z">
            <w:rPr/>
          </w:rPrChange>
        </w:rPr>
        <w:t>to which I am bound, despite criticism of it in some lower courts.</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70" w:author="Mokone" w:date="2022-11-30T08:54:00Z">
            <w:rPr>
              <w:rFonts w:eastAsia="Arial" w:cs="Arial"/>
            </w:rPr>
          </w:rPrChange>
        </w:rPr>
        <w:pPrChange w:id="71"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9.</w:t>
      </w:r>
      <w:r>
        <w:rPr>
          <w:rFonts w:ascii="Arial" w:eastAsia="Arial" w:hAnsi="Arial" w:cs="Arial"/>
          <w:color w:val="000000"/>
          <w:u w:color="000000"/>
          <w:lang w:eastAsia="en-ZA"/>
        </w:rPr>
        <w:tab/>
      </w:r>
      <w:r w:rsidR="00441B0D" w:rsidRPr="005C4854">
        <w:rPr>
          <w:rFonts w:ascii="Arial" w:hAnsi="Arial"/>
          <w:rPrChange w:id="72" w:author="Mokone" w:date="2022-11-30T08:54:00Z">
            <w:rPr/>
          </w:rPrChange>
        </w:rPr>
        <w:t xml:space="preserve">It is common cause that the section 129(1) notice was attached to the founding papers of the application which was served on </w:t>
      </w:r>
      <w:proofErr w:type="spellStart"/>
      <w:r w:rsidR="00441B0D" w:rsidRPr="005C4854">
        <w:rPr>
          <w:rFonts w:ascii="Arial" w:hAnsi="Arial"/>
          <w:rPrChange w:id="73" w:author="Mokone" w:date="2022-11-30T08:54:00Z">
            <w:rPr/>
          </w:rPrChange>
        </w:rPr>
        <w:t>Maseng</w:t>
      </w:r>
      <w:proofErr w:type="spellEnd"/>
      <w:r w:rsidR="00441B0D" w:rsidRPr="005C4854">
        <w:rPr>
          <w:rFonts w:ascii="Arial" w:hAnsi="Arial"/>
          <w:rPrChange w:id="74" w:author="Mokone" w:date="2022-11-30T08:54:00Z">
            <w:rPr/>
          </w:rPrChange>
        </w:rPr>
        <w:t xml:space="preserve">. It is also common cause that </w:t>
      </w:r>
      <w:proofErr w:type="spellStart"/>
      <w:r w:rsidR="00441B0D" w:rsidRPr="005C4854">
        <w:rPr>
          <w:rFonts w:ascii="Arial" w:hAnsi="Arial"/>
          <w:rPrChange w:id="75" w:author="Mokone" w:date="2022-11-30T08:54:00Z">
            <w:rPr/>
          </w:rPrChange>
        </w:rPr>
        <w:t>Maseng</w:t>
      </w:r>
      <w:proofErr w:type="spellEnd"/>
      <w:r w:rsidR="00441B0D" w:rsidRPr="005C4854">
        <w:rPr>
          <w:rFonts w:ascii="Arial" w:hAnsi="Arial"/>
          <w:rPrChange w:id="76" w:author="Mokone" w:date="2022-11-30T08:54:00Z">
            <w:rPr/>
          </w:rPrChange>
        </w:rPr>
        <w:t xml:space="preserve"> picked up the section 129(1) notice on 9 June 2022 at the relevant Post Office. It is also common cause that this is longer than 20 business days prior to the hearing of this application. The respondents therefore have had a considerable period of time prior to the hearing of this application within which to exercise their rights as envisaged by the NCA.</w:t>
      </w:r>
    </w:p>
    <w:p w:rsidR="00C54D1C" w:rsidRDefault="00441B0D">
      <w:pPr>
        <w:pStyle w:val="ListParagraph"/>
        <w:tabs>
          <w:tab w:val="left" w:pos="709"/>
        </w:tabs>
        <w:spacing w:after="0" w:line="360" w:lineRule="auto"/>
        <w:ind w:left="0"/>
        <w:jc w:val="both"/>
        <w:rPr>
          <w:rFonts w:ascii="Arial" w:eastAsia="Arial" w:hAnsi="Arial" w:cs="Arial"/>
          <w:sz w:val="24"/>
          <w:szCs w:val="24"/>
        </w:rPr>
      </w:pPr>
      <w:r>
        <w:rPr>
          <w:rFonts w:ascii="Arial" w:hAnsi="Arial"/>
          <w:sz w:val="24"/>
          <w:szCs w:val="24"/>
        </w:rPr>
        <w:t xml:space="preserve"> </w:t>
      </w:r>
    </w:p>
    <w:p w:rsidR="00C54D1C" w:rsidRPr="005C4854" w:rsidRDefault="005C4854" w:rsidP="005C4854">
      <w:pPr>
        <w:spacing w:line="360" w:lineRule="auto"/>
        <w:ind w:left="720" w:hanging="720"/>
        <w:jc w:val="both"/>
        <w:rPr>
          <w:rFonts w:ascii="Arial" w:eastAsia="Arial" w:hAnsi="Arial" w:cs="Arial"/>
          <w:rPrChange w:id="77" w:author="Mokone" w:date="2022-11-30T08:54:00Z">
            <w:rPr>
              <w:rFonts w:eastAsia="Arial" w:cs="Arial"/>
            </w:rPr>
          </w:rPrChange>
        </w:rPr>
        <w:pPrChange w:id="78"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10.</w:t>
      </w:r>
      <w:r>
        <w:rPr>
          <w:rFonts w:ascii="Arial" w:eastAsia="Arial" w:hAnsi="Arial" w:cs="Arial"/>
          <w:color w:val="000000"/>
          <w:u w:color="000000"/>
          <w:lang w:eastAsia="en-ZA"/>
        </w:rPr>
        <w:tab/>
      </w:r>
      <w:r w:rsidR="00441B0D" w:rsidRPr="005C4854">
        <w:rPr>
          <w:rFonts w:ascii="Arial" w:hAnsi="Arial"/>
          <w:rPrChange w:id="79" w:author="Mokone" w:date="2022-11-30T08:54:00Z">
            <w:rPr/>
          </w:rPrChange>
        </w:rPr>
        <w:t xml:space="preserve">Sections 129 and 130 of the NCA have been the subject of previous litigation. An important case in this regard is </w:t>
      </w:r>
      <w:proofErr w:type="spellStart"/>
      <w:r w:rsidR="00441B0D" w:rsidRPr="005C4854">
        <w:rPr>
          <w:rFonts w:ascii="Arial" w:hAnsi="Arial"/>
          <w:i/>
          <w:iCs/>
          <w:rPrChange w:id="80" w:author="Mokone" w:date="2022-11-30T08:54:00Z">
            <w:rPr>
              <w:i/>
              <w:iCs/>
            </w:rPr>
          </w:rPrChange>
        </w:rPr>
        <w:t>Sebola</w:t>
      </w:r>
      <w:proofErr w:type="spellEnd"/>
      <w:r w:rsidR="00441B0D" w:rsidRPr="005C4854">
        <w:rPr>
          <w:rFonts w:ascii="Arial" w:hAnsi="Arial"/>
          <w:i/>
          <w:iCs/>
          <w:rPrChange w:id="81" w:author="Mokone" w:date="2022-11-30T08:54:00Z">
            <w:rPr>
              <w:i/>
              <w:iCs/>
            </w:rPr>
          </w:rPrChange>
        </w:rPr>
        <w:t xml:space="preserve"> and another v Standard Bank of South Africa Ltd and another</w:t>
      </w:r>
      <w:r w:rsidR="00441B0D">
        <w:rPr>
          <w:rStyle w:val="FootnoteReference"/>
          <w:rFonts w:ascii="Arial" w:eastAsia="Arial" w:hAnsi="Arial" w:cs="Arial"/>
        </w:rPr>
        <w:footnoteReference w:id="4"/>
      </w:r>
      <w:r w:rsidR="00441B0D" w:rsidRPr="005C4854">
        <w:rPr>
          <w:rFonts w:ascii="Arial" w:hAnsi="Arial"/>
          <w:i/>
          <w:iCs/>
          <w:rPrChange w:id="82" w:author="Mokone" w:date="2022-11-30T08:54:00Z">
            <w:rPr>
              <w:i/>
              <w:iCs/>
            </w:rPr>
          </w:rPrChange>
        </w:rPr>
        <w:t>.</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83" w:author="Mokone" w:date="2022-11-30T08:54:00Z">
            <w:rPr>
              <w:rFonts w:eastAsia="Arial" w:cs="Arial"/>
            </w:rPr>
          </w:rPrChange>
        </w:rPr>
        <w:pPrChange w:id="84"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11.</w:t>
      </w:r>
      <w:r>
        <w:rPr>
          <w:rFonts w:ascii="Arial" w:eastAsia="Arial" w:hAnsi="Arial" w:cs="Arial"/>
          <w:color w:val="000000"/>
          <w:u w:color="000000"/>
          <w:lang w:eastAsia="en-ZA"/>
        </w:rPr>
        <w:tab/>
      </w:r>
      <w:r w:rsidR="00441B0D" w:rsidRPr="005C4854">
        <w:rPr>
          <w:rFonts w:ascii="Arial" w:hAnsi="Arial"/>
          <w:rPrChange w:id="85" w:author="Mokone" w:date="2022-11-30T08:54:00Z">
            <w:rPr/>
          </w:rPrChange>
        </w:rPr>
        <w:t>The case, which, importantly, was decided before section 129 in its now amended form, had to consider and make a finding on what is meant by “delivered” in section 129, as read with section 130. In trying to give meaning to the word ‘delivered’, the constitutional court, at para 53 said the following:</w:t>
      </w:r>
    </w:p>
    <w:p w:rsidR="00C54D1C" w:rsidRDefault="00C54D1C">
      <w:pPr>
        <w:pStyle w:val="ListParagraph"/>
        <w:spacing w:after="0" w:line="360" w:lineRule="auto"/>
        <w:ind w:left="0"/>
        <w:jc w:val="both"/>
      </w:pPr>
    </w:p>
    <w:p w:rsidR="00C54D1C" w:rsidRDefault="00441B0D">
      <w:pPr>
        <w:pStyle w:val="ListParagraph"/>
        <w:spacing w:after="0" w:line="360" w:lineRule="auto"/>
        <w:ind w:left="709"/>
        <w:jc w:val="both"/>
        <w:rPr>
          <w:rFonts w:ascii="Arial" w:eastAsia="Arial" w:hAnsi="Arial" w:cs="Arial"/>
          <w:i/>
          <w:iCs/>
        </w:rPr>
      </w:pPr>
      <w:r>
        <w:rPr>
          <w:rFonts w:ascii="Arial" w:hAnsi="Arial"/>
          <w:i/>
          <w:iCs/>
        </w:rPr>
        <w:lastRenderedPageBreak/>
        <w:t>‘</w:t>
      </w:r>
      <w:r>
        <w:rPr>
          <w:rFonts w:ascii="Arial" w:hAnsi="Arial"/>
        </w:rPr>
        <w:t>First, it is impossible to establish what a credit provider is obliged and permitted to do without reading both provisions. Thus, while section 129(1</w:t>
      </w:r>
      <w:proofErr w:type="gramStart"/>
      <w:r>
        <w:rPr>
          <w:rFonts w:ascii="Arial" w:hAnsi="Arial"/>
        </w:rPr>
        <w:t>)(</w:t>
      </w:r>
      <w:proofErr w:type="gramEnd"/>
      <w:r>
        <w:rPr>
          <w:rFonts w:ascii="Arial" w:hAnsi="Arial"/>
        </w:rPr>
        <w:t xml:space="preserve">b) appears to prohibit the commencement of legal proceedings all together (‘may not commence’), section 130 makes it clear that where action is instituted without prior notice, the action is not void. Far from it. The proceedings have life, but a court “must” adjourn the matter, and make an appropriate order requiring the credit provider to complete specified steps before resuming the matter. The bar on proceedings is thus not absolute, but only dilatory. The absence of notice leads to a pause, not to nullity. But to deduce this, it is necessary to read section 129 in the light of section 130. Section 129 prescribes what a credit provider must do (notices contemplated) before judgment can be obtained, while section 130 sets out how this can be proved (by delivery).’ </w:t>
      </w:r>
    </w:p>
    <w:p w:rsidR="00C54D1C" w:rsidRDefault="00C54D1C">
      <w:pPr>
        <w:pStyle w:val="ListParagraph"/>
        <w:tabs>
          <w:tab w:val="left" w:pos="709"/>
        </w:tabs>
        <w:spacing w:after="0" w:line="360" w:lineRule="auto"/>
        <w:ind w:left="709"/>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86" w:author="Mokone" w:date="2022-11-30T08:54:00Z">
            <w:rPr>
              <w:rFonts w:eastAsia="Arial" w:cs="Arial"/>
            </w:rPr>
          </w:rPrChange>
        </w:rPr>
        <w:pPrChange w:id="87"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12.</w:t>
      </w:r>
      <w:r>
        <w:rPr>
          <w:rFonts w:ascii="Arial" w:eastAsia="Arial" w:hAnsi="Arial" w:cs="Arial"/>
          <w:color w:val="000000"/>
          <w:u w:color="000000"/>
          <w:lang w:eastAsia="en-ZA"/>
        </w:rPr>
        <w:tab/>
      </w:r>
      <w:r w:rsidR="00441B0D" w:rsidRPr="005C4854">
        <w:rPr>
          <w:rFonts w:ascii="Arial" w:hAnsi="Arial"/>
          <w:rPrChange w:id="88" w:author="Mokone" w:date="2022-11-30T08:54:00Z">
            <w:rPr/>
          </w:rPrChange>
        </w:rPr>
        <w:t>Therefore, even if the version of the respondents is to be believed, that does not mean that I can dismiss this application. It still has “life” as described by the Constitutional Court.</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89" w:author="Mokone" w:date="2022-11-30T08:54:00Z">
            <w:rPr>
              <w:rFonts w:eastAsia="Arial" w:cs="Arial"/>
            </w:rPr>
          </w:rPrChange>
        </w:rPr>
        <w:pPrChange w:id="90"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13.</w:t>
      </w:r>
      <w:r>
        <w:rPr>
          <w:rFonts w:ascii="Arial" w:eastAsia="Arial" w:hAnsi="Arial" w:cs="Arial"/>
          <w:color w:val="000000"/>
          <w:u w:color="000000"/>
          <w:lang w:eastAsia="en-ZA"/>
        </w:rPr>
        <w:tab/>
      </w:r>
      <w:proofErr w:type="gramStart"/>
      <w:r w:rsidR="00441B0D" w:rsidRPr="005C4854">
        <w:rPr>
          <w:rFonts w:ascii="Arial" w:hAnsi="Arial"/>
          <w:rPrChange w:id="91" w:author="Mokone" w:date="2022-11-30T08:54:00Z">
            <w:rPr/>
          </w:rPrChange>
        </w:rPr>
        <w:t xml:space="preserve">In  </w:t>
      </w:r>
      <w:r w:rsidR="00441B0D" w:rsidRPr="005C4854">
        <w:rPr>
          <w:rFonts w:ascii="Arial" w:hAnsi="Arial"/>
          <w:i/>
          <w:iCs/>
          <w:lang w:val="fr-FR"/>
          <w:rPrChange w:id="92" w:author="Mokone" w:date="2022-11-30T08:54:00Z">
            <w:rPr>
              <w:i/>
              <w:iCs/>
              <w:lang w:val="fr-FR"/>
            </w:rPr>
          </w:rPrChange>
        </w:rPr>
        <w:t>Benson</w:t>
      </w:r>
      <w:proofErr w:type="gramEnd"/>
      <w:r w:rsidR="00441B0D" w:rsidRPr="005C4854">
        <w:rPr>
          <w:rFonts w:ascii="Arial" w:hAnsi="Arial"/>
          <w:rPrChange w:id="93" w:author="Mokone" w:date="2022-11-30T08:54:00Z">
            <w:rPr/>
          </w:rPrChange>
        </w:rPr>
        <w:t xml:space="preserve"> the full court said this at para 16:</w:t>
      </w:r>
    </w:p>
    <w:p w:rsidR="00C54D1C" w:rsidRDefault="00C54D1C">
      <w:pPr>
        <w:pStyle w:val="BodyA"/>
        <w:spacing w:after="0" w:line="360" w:lineRule="auto"/>
        <w:jc w:val="both"/>
      </w:pPr>
    </w:p>
    <w:p w:rsidR="00C54D1C" w:rsidRDefault="00441B0D">
      <w:pPr>
        <w:pStyle w:val="BodyA"/>
        <w:spacing w:after="0" w:line="360" w:lineRule="auto"/>
        <w:ind w:left="709"/>
        <w:jc w:val="both"/>
        <w:rPr>
          <w:rFonts w:ascii="Arial" w:eastAsia="Arial" w:hAnsi="Arial" w:cs="Arial"/>
          <w:b/>
          <w:bCs/>
        </w:rPr>
      </w:pPr>
      <w:r>
        <w:rPr>
          <w:rFonts w:ascii="Arial" w:hAnsi="Arial"/>
          <w:i/>
          <w:iCs/>
          <w:sz w:val="24"/>
          <w:szCs w:val="24"/>
        </w:rPr>
        <w:t>‘</w:t>
      </w:r>
      <w:r>
        <w:rPr>
          <w:rFonts w:ascii="Arial" w:hAnsi="Arial"/>
        </w:rPr>
        <w:t xml:space="preserve">In </w:t>
      </w:r>
      <w:proofErr w:type="spellStart"/>
      <w:r>
        <w:rPr>
          <w:rFonts w:ascii="Arial" w:hAnsi="Arial"/>
        </w:rPr>
        <w:t>Sebola</w:t>
      </w:r>
      <w:proofErr w:type="spellEnd"/>
      <w:r>
        <w:rPr>
          <w:rFonts w:ascii="Arial" w:hAnsi="Arial"/>
        </w:rPr>
        <w:t xml:space="preserve">, the Constitutional Court made the following clear. First, the commencement of proceedings without prior notice does not render the proceedings a nullity, but simply requires an adjournment of proceedings so as to permit the credit provider to give notice before the proceedings may be resumed. A failure to give notice does not invalidate the proceedings but is simply dilatory (see para [53]). Second, the delivery of the notice in terms of </w:t>
      </w:r>
      <w:proofErr w:type="spellStart"/>
      <w:r>
        <w:rPr>
          <w:rFonts w:ascii="Arial" w:hAnsi="Arial"/>
        </w:rPr>
        <w:t>ss</w:t>
      </w:r>
      <w:proofErr w:type="spellEnd"/>
      <w:r>
        <w:rPr>
          <w:rFonts w:ascii="Arial" w:hAnsi="Arial"/>
        </w:rPr>
        <w:t xml:space="preserve"> 129 and 130 requires the credit provider to aver and prove that the notice in s129 was delivered to the consumer. Where the post is used, it will suffice to show delivery if there is proof of registered dispatch to the address of the consumer, together with proof that the proof that the notice reached the appropriate post office for delivery to the consumer, in the absence of proof to the contrary (see para [87] and [88]</w:t>
      </w:r>
      <w:r>
        <w:rPr>
          <w:rFonts w:ascii="Arial" w:hAnsi="Arial"/>
          <w:b/>
          <w:bCs/>
        </w:rPr>
        <w:t>’.</w:t>
      </w:r>
    </w:p>
    <w:p w:rsidR="00C54D1C" w:rsidRDefault="00C54D1C">
      <w:pPr>
        <w:pStyle w:val="BodyA"/>
        <w:spacing w:after="0" w:line="360" w:lineRule="auto"/>
        <w:jc w:val="both"/>
        <w:rPr>
          <w:rFonts w:ascii="Arial" w:eastAsia="Arial" w:hAnsi="Arial" w:cs="Arial"/>
          <w:b/>
          <w:bCs/>
        </w:rPr>
      </w:pPr>
    </w:p>
    <w:p w:rsidR="00C54D1C" w:rsidRDefault="00441B0D">
      <w:pPr>
        <w:pStyle w:val="BodyA"/>
        <w:spacing w:after="0" w:line="360" w:lineRule="auto"/>
        <w:jc w:val="both"/>
        <w:rPr>
          <w:rFonts w:ascii="Arial" w:eastAsia="Arial" w:hAnsi="Arial" w:cs="Arial"/>
          <w:sz w:val="24"/>
          <w:szCs w:val="24"/>
        </w:rPr>
      </w:pPr>
      <w:r>
        <w:rPr>
          <w:rFonts w:ascii="Arial" w:hAnsi="Arial"/>
          <w:sz w:val="24"/>
          <w:szCs w:val="24"/>
        </w:rPr>
        <w:t xml:space="preserve">And further at para 18 in </w:t>
      </w:r>
      <w:r>
        <w:rPr>
          <w:rFonts w:ascii="Arial" w:hAnsi="Arial"/>
          <w:i/>
          <w:iCs/>
          <w:sz w:val="24"/>
          <w:szCs w:val="24"/>
          <w:lang w:val="fr-FR"/>
        </w:rPr>
        <w:t>Benson</w:t>
      </w:r>
      <w:r>
        <w:rPr>
          <w:rFonts w:ascii="Arial" w:hAnsi="Arial"/>
          <w:sz w:val="24"/>
          <w:szCs w:val="24"/>
        </w:rPr>
        <w:t>:</w:t>
      </w:r>
    </w:p>
    <w:p w:rsidR="00C54D1C" w:rsidRDefault="00C54D1C">
      <w:pPr>
        <w:pStyle w:val="BodyA"/>
        <w:spacing w:after="0" w:line="360" w:lineRule="auto"/>
        <w:jc w:val="both"/>
        <w:rPr>
          <w:rFonts w:ascii="Arial" w:eastAsia="Arial" w:hAnsi="Arial" w:cs="Arial"/>
          <w:sz w:val="24"/>
          <w:szCs w:val="24"/>
        </w:rPr>
      </w:pPr>
    </w:p>
    <w:p w:rsidR="00C54D1C" w:rsidRDefault="00441B0D">
      <w:pPr>
        <w:pStyle w:val="BodyA"/>
        <w:spacing w:after="0" w:line="360" w:lineRule="auto"/>
        <w:ind w:left="709"/>
        <w:jc w:val="both"/>
        <w:rPr>
          <w:rFonts w:ascii="Arial" w:eastAsia="Arial" w:hAnsi="Arial" w:cs="Arial"/>
          <w:color w:val="242121"/>
          <w:u w:color="242121"/>
        </w:rPr>
      </w:pPr>
      <w:r>
        <w:rPr>
          <w:rFonts w:ascii="Arial" w:hAnsi="Arial"/>
        </w:rPr>
        <w:t>‘</w:t>
      </w:r>
      <w:r>
        <w:rPr>
          <w:rFonts w:ascii="Arial" w:hAnsi="Arial"/>
          <w:color w:val="242121"/>
          <w:u w:color="242121"/>
        </w:rPr>
        <w:t>What the </w:t>
      </w:r>
      <w:proofErr w:type="spellStart"/>
      <w:r>
        <w:rPr>
          <w:rFonts w:ascii="Arial" w:hAnsi="Arial"/>
          <w:i/>
          <w:iCs/>
          <w:color w:val="242121"/>
          <w:u w:color="242121"/>
        </w:rPr>
        <w:t>Sebola</w:t>
      </w:r>
      <w:proofErr w:type="spellEnd"/>
      <w:r>
        <w:rPr>
          <w:rFonts w:ascii="Arial" w:hAnsi="Arial"/>
          <w:i/>
          <w:iCs/>
          <w:color w:val="242121"/>
          <w:u w:color="242121"/>
        </w:rPr>
        <w:t> </w:t>
      </w:r>
      <w:r>
        <w:rPr>
          <w:rFonts w:ascii="Arial" w:hAnsi="Arial"/>
          <w:color w:val="242121"/>
          <w:u w:color="242121"/>
        </w:rPr>
        <w:t>decision did not have to decide is whether any non-compliance with the provisions of the NCA that is cured prior to the hearing of the application for judgment by default, nevertheless requires an adjournment of the application.  The answer to this question flows from the provisions of s 130 (4) (b</w:t>
      </w:r>
      <w:proofErr w:type="gramStart"/>
      <w:r>
        <w:rPr>
          <w:rFonts w:ascii="Arial" w:hAnsi="Arial"/>
          <w:color w:val="242121"/>
          <w:u w:color="242121"/>
        </w:rPr>
        <w:t>)(</w:t>
      </w:r>
      <w:proofErr w:type="gramEnd"/>
      <w:r>
        <w:rPr>
          <w:rFonts w:ascii="Arial" w:hAnsi="Arial"/>
          <w:color w:val="242121"/>
          <w:u w:color="242121"/>
        </w:rPr>
        <w:t xml:space="preserve">ii). If there are no </w:t>
      </w:r>
      <w:r>
        <w:rPr>
          <w:rFonts w:ascii="Arial" w:hAnsi="Arial"/>
          <w:color w:val="242121"/>
          <w:u w:color="242121"/>
        </w:rPr>
        <w:lastRenderedPageBreak/>
        <w:t>further steps that are required of the credit provider, there can be no purpose served in adjourning the proceedings. Further delay would serve no purpose, and, as </w:t>
      </w:r>
      <w:proofErr w:type="spellStart"/>
      <w:r>
        <w:rPr>
          <w:rFonts w:ascii="Arial" w:hAnsi="Arial"/>
          <w:i/>
          <w:iCs/>
          <w:color w:val="242121"/>
          <w:u w:color="242121"/>
        </w:rPr>
        <w:t>Sebola</w:t>
      </w:r>
      <w:proofErr w:type="spellEnd"/>
      <w:r>
        <w:rPr>
          <w:rFonts w:ascii="Arial" w:hAnsi="Arial"/>
          <w:color w:val="242121"/>
          <w:u w:color="242121"/>
        </w:rPr>
        <w:t> makes plain, any non-compliance does not invalidate the proceedings but simply delays their finalization to ensure that due process is followed and the credit receiver can enjoy his or her rights.  Of course, the non-compliance must be properly cured, and the credit receiver must be given the statutory time to consider his or her position. But if that is done between the time that the non-compliance is cured and the time that the matter is heard in court, to require an adjournment for its own sake has no point and is inconsistent with the scheme of ss129 and 130. In so far as the decision in </w:t>
      </w:r>
      <w:proofErr w:type="spellStart"/>
      <w:r>
        <w:rPr>
          <w:rFonts w:ascii="Arial" w:hAnsi="Arial"/>
          <w:i/>
          <w:iCs/>
          <w:color w:val="242121"/>
          <w:u w:color="242121"/>
        </w:rPr>
        <w:t>Kgomo</w:t>
      </w:r>
      <w:proofErr w:type="spellEnd"/>
      <w:r>
        <w:rPr>
          <w:rFonts w:ascii="Arial" w:hAnsi="Arial"/>
          <w:color w:val="242121"/>
          <w:u w:color="242121"/>
        </w:rPr>
        <w:t> suggests otherwise, I am in respectful disagreement with it.’</w:t>
      </w:r>
    </w:p>
    <w:p w:rsidR="00C54D1C" w:rsidRDefault="00C54D1C">
      <w:pPr>
        <w:pStyle w:val="BodyA"/>
        <w:spacing w:after="0" w:line="360" w:lineRule="auto"/>
        <w:jc w:val="both"/>
        <w:rPr>
          <w:rFonts w:ascii="Arial" w:eastAsia="Arial" w:hAnsi="Arial" w:cs="Arial"/>
        </w:rPr>
      </w:pPr>
    </w:p>
    <w:p w:rsidR="00C54D1C" w:rsidRPr="005C4854" w:rsidRDefault="005C4854" w:rsidP="005C4854">
      <w:pPr>
        <w:spacing w:line="360" w:lineRule="auto"/>
        <w:ind w:left="720" w:hanging="720"/>
        <w:jc w:val="both"/>
        <w:rPr>
          <w:rFonts w:ascii="Arial" w:eastAsia="Arial" w:hAnsi="Arial" w:cs="Arial"/>
          <w:rPrChange w:id="94" w:author="Mokone" w:date="2022-11-30T08:54:00Z">
            <w:rPr>
              <w:rFonts w:eastAsia="Arial" w:cs="Arial"/>
            </w:rPr>
          </w:rPrChange>
        </w:rPr>
        <w:pPrChange w:id="95"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14.</w:t>
      </w:r>
      <w:r>
        <w:rPr>
          <w:rFonts w:ascii="Arial" w:eastAsia="Arial" w:hAnsi="Arial" w:cs="Arial"/>
          <w:color w:val="000000"/>
          <w:u w:color="000000"/>
          <w:lang w:eastAsia="en-ZA"/>
        </w:rPr>
        <w:tab/>
      </w:r>
      <w:proofErr w:type="spellStart"/>
      <w:r w:rsidR="00441B0D" w:rsidRPr="005C4854">
        <w:rPr>
          <w:rFonts w:ascii="Arial" w:hAnsi="Arial"/>
          <w:rPrChange w:id="96" w:author="Mokone" w:date="2022-11-30T08:54:00Z">
            <w:rPr/>
          </w:rPrChange>
        </w:rPr>
        <w:t>Mr</w:t>
      </w:r>
      <w:proofErr w:type="spellEnd"/>
      <w:r w:rsidR="00441B0D" w:rsidRPr="005C4854">
        <w:rPr>
          <w:rFonts w:ascii="Arial" w:hAnsi="Arial"/>
          <w:rPrChange w:id="97" w:author="Mokone" w:date="2022-11-30T08:54:00Z">
            <w:rPr/>
          </w:rPrChange>
        </w:rPr>
        <w:t xml:space="preserve"> </w:t>
      </w:r>
      <w:proofErr w:type="spellStart"/>
      <w:r w:rsidR="00441B0D" w:rsidRPr="005C4854">
        <w:rPr>
          <w:rFonts w:ascii="Arial" w:hAnsi="Arial"/>
          <w:rPrChange w:id="98" w:author="Mokone" w:date="2022-11-30T08:54:00Z">
            <w:rPr/>
          </w:rPrChange>
        </w:rPr>
        <w:t>Mosala</w:t>
      </w:r>
      <w:proofErr w:type="spellEnd"/>
      <w:r w:rsidR="00441B0D" w:rsidRPr="005C4854">
        <w:rPr>
          <w:rFonts w:ascii="Arial" w:hAnsi="Arial"/>
          <w:rPrChange w:id="99" w:author="Mokone" w:date="2022-11-30T08:54:00Z">
            <w:rPr/>
          </w:rPrChange>
        </w:rPr>
        <w:t xml:space="preserve">, appearing for </w:t>
      </w:r>
      <w:proofErr w:type="spellStart"/>
      <w:r w:rsidR="00441B0D" w:rsidRPr="005C4854">
        <w:rPr>
          <w:rFonts w:ascii="Arial" w:hAnsi="Arial"/>
          <w:rPrChange w:id="100" w:author="Mokone" w:date="2022-11-30T08:54:00Z">
            <w:rPr/>
          </w:rPrChange>
        </w:rPr>
        <w:t>Maseng</w:t>
      </w:r>
      <w:proofErr w:type="spellEnd"/>
      <w:r w:rsidR="00441B0D" w:rsidRPr="005C4854">
        <w:rPr>
          <w:rFonts w:ascii="Arial" w:hAnsi="Arial"/>
          <w:rPrChange w:id="101" w:author="Mokone" w:date="2022-11-30T08:54:00Z">
            <w:rPr/>
          </w:rPrChange>
        </w:rPr>
        <w:t>, when making submissions on this issue simply asked for the matter to be adjourned without, in any manner, submitting what the purpose for that would be and how it would affect the way forward. He made no suggestions as to any further directions or steps to be taken. I can think of none. Certainly the Respondents do not deal with this in the answering evidence and have not therefore suggested any.</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02" w:author="Mokone" w:date="2022-11-30T08:54:00Z">
            <w:rPr>
              <w:rFonts w:eastAsia="Arial" w:cs="Arial"/>
            </w:rPr>
          </w:rPrChange>
        </w:rPr>
        <w:pPrChange w:id="103"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15.</w:t>
      </w:r>
      <w:r>
        <w:rPr>
          <w:rFonts w:ascii="Arial" w:eastAsia="Arial" w:hAnsi="Arial" w:cs="Arial"/>
          <w:color w:val="000000"/>
          <w:u w:color="000000"/>
          <w:lang w:eastAsia="en-ZA"/>
        </w:rPr>
        <w:tab/>
      </w:r>
      <w:r w:rsidR="00441B0D" w:rsidRPr="005C4854">
        <w:rPr>
          <w:rFonts w:ascii="Arial" w:hAnsi="Arial"/>
          <w:rPrChange w:id="104" w:author="Mokone" w:date="2022-11-30T08:54:00Z">
            <w:rPr/>
          </w:rPrChange>
        </w:rPr>
        <w:t xml:space="preserve">Given my understanding of </w:t>
      </w:r>
      <w:r w:rsidR="00441B0D" w:rsidRPr="005C4854">
        <w:rPr>
          <w:rFonts w:ascii="Arial" w:hAnsi="Arial"/>
          <w:i/>
          <w:iCs/>
          <w:lang w:val="fr-FR"/>
          <w:rPrChange w:id="105" w:author="Mokone" w:date="2022-11-30T08:54:00Z">
            <w:rPr>
              <w:i/>
              <w:iCs/>
              <w:lang w:val="fr-FR"/>
            </w:rPr>
          </w:rPrChange>
        </w:rPr>
        <w:t>Benson</w:t>
      </w:r>
      <w:r w:rsidR="00441B0D" w:rsidRPr="005C4854">
        <w:rPr>
          <w:rFonts w:ascii="Arial" w:hAnsi="Arial"/>
          <w:rPrChange w:id="106" w:author="Mokone" w:date="2022-11-30T08:54:00Z">
            <w:rPr/>
          </w:rPrChange>
        </w:rPr>
        <w:t xml:space="preserve">, I find that section 129(1) has thus been complied with. I cannot think of any further steps to be taken and a postponement will only be an ‘adjournment for its own sake’. That would, in the words of </w:t>
      </w:r>
      <w:r w:rsidR="00441B0D" w:rsidRPr="005C4854">
        <w:rPr>
          <w:rFonts w:ascii="Arial" w:hAnsi="Arial"/>
          <w:i/>
          <w:iCs/>
          <w:lang w:val="fr-FR"/>
          <w:rPrChange w:id="107" w:author="Mokone" w:date="2022-11-30T08:54:00Z">
            <w:rPr>
              <w:i/>
              <w:iCs/>
              <w:lang w:val="fr-FR"/>
            </w:rPr>
          </w:rPrChange>
        </w:rPr>
        <w:t>Benson</w:t>
      </w:r>
      <w:r w:rsidR="00441B0D" w:rsidRPr="005C4854">
        <w:rPr>
          <w:rFonts w:ascii="Arial" w:hAnsi="Arial"/>
          <w:rPrChange w:id="108" w:author="Mokone" w:date="2022-11-30T08:54:00Z">
            <w:rPr/>
          </w:rPrChange>
        </w:rPr>
        <w:t xml:space="preserve">, be ‘inconsistent with the scheme of ss129 and 130’. I am bound by this </w:t>
      </w:r>
      <w:proofErr w:type="spellStart"/>
      <w:r w:rsidR="00441B0D" w:rsidRPr="005C4854">
        <w:rPr>
          <w:rFonts w:ascii="Arial" w:hAnsi="Arial"/>
          <w:rPrChange w:id="109" w:author="Mokone" w:date="2022-11-30T08:54:00Z">
            <w:rPr/>
          </w:rPrChange>
        </w:rPr>
        <w:t>judgement</w:t>
      </w:r>
      <w:proofErr w:type="spellEnd"/>
      <w:r w:rsidR="00441B0D" w:rsidRPr="005C4854">
        <w:rPr>
          <w:rFonts w:ascii="Arial" w:hAnsi="Arial"/>
          <w:rPrChange w:id="110" w:author="Mokone" w:date="2022-11-30T08:54:00Z">
            <w:rPr/>
          </w:rPrChange>
        </w:rPr>
        <w:t xml:space="preserve"> and, in any event, am in agreement with the reasoning set out therein. On this basis I would grant the relief sought.</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11" w:author="Mokone" w:date="2022-11-30T08:54:00Z">
            <w:rPr>
              <w:rFonts w:eastAsia="Arial" w:cs="Arial"/>
            </w:rPr>
          </w:rPrChange>
        </w:rPr>
        <w:pPrChange w:id="112"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16.</w:t>
      </w:r>
      <w:r>
        <w:rPr>
          <w:rFonts w:ascii="Arial" w:eastAsia="Arial" w:hAnsi="Arial" w:cs="Arial"/>
          <w:color w:val="000000"/>
          <w:u w:color="000000"/>
          <w:lang w:eastAsia="en-ZA"/>
        </w:rPr>
        <w:tab/>
      </w:r>
      <w:r w:rsidR="00441B0D" w:rsidRPr="005C4854">
        <w:rPr>
          <w:rFonts w:ascii="Arial" w:hAnsi="Arial"/>
          <w:rPrChange w:id="113" w:author="Mokone" w:date="2022-11-30T08:54:00Z">
            <w:rPr/>
          </w:rPrChange>
        </w:rPr>
        <w:t xml:space="preserve">I also deal with the other ground of opposition, in case that I am incorrect in following the Benson case. This is the contention of </w:t>
      </w:r>
      <w:proofErr w:type="spellStart"/>
      <w:r w:rsidR="00441B0D" w:rsidRPr="005C4854">
        <w:rPr>
          <w:rFonts w:ascii="Arial" w:hAnsi="Arial"/>
          <w:rPrChange w:id="114" w:author="Mokone" w:date="2022-11-30T08:54:00Z">
            <w:rPr/>
          </w:rPrChange>
        </w:rPr>
        <w:t>Maseng</w:t>
      </w:r>
      <w:proofErr w:type="spellEnd"/>
      <w:r w:rsidR="00441B0D" w:rsidRPr="005C4854">
        <w:rPr>
          <w:rFonts w:ascii="Arial" w:hAnsi="Arial"/>
          <w:rPrChange w:id="115" w:author="Mokone" w:date="2022-11-30T08:54:00Z">
            <w:rPr/>
          </w:rPrChange>
        </w:rPr>
        <w:t xml:space="preserve"> that the section 129(1) notice was not ‘delivered’ as required by section 129 as read with section 130 of the NCA. The section of course now reads differently to that which was considered by the Constitutional Court in </w:t>
      </w:r>
      <w:proofErr w:type="spellStart"/>
      <w:r w:rsidR="00441B0D" w:rsidRPr="005C4854">
        <w:rPr>
          <w:rFonts w:ascii="Arial" w:hAnsi="Arial"/>
          <w:rPrChange w:id="116" w:author="Mokone" w:date="2022-11-30T08:54:00Z">
            <w:rPr/>
          </w:rPrChange>
        </w:rPr>
        <w:t>Sebola</w:t>
      </w:r>
      <w:proofErr w:type="spellEnd"/>
      <w:r w:rsidR="00441B0D" w:rsidRPr="005C4854">
        <w:rPr>
          <w:rFonts w:ascii="Arial" w:hAnsi="Arial"/>
          <w:rPrChange w:id="117" w:author="Mokone" w:date="2022-11-30T08:54:00Z">
            <w:rPr/>
          </w:rPrChange>
        </w:rPr>
        <w:t xml:space="preserve">. I am advised by counsel for FNB that there is no judgment of which he is aware in this division that has interpreted sections 129(5)-(7) since they have been included in the NCA by way of the 2014 amendment. </w:t>
      </w:r>
    </w:p>
    <w:p w:rsidR="00C54D1C" w:rsidRDefault="00C54D1C">
      <w:pPr>
        <w:pStyle w:val="BodyA"/>
        <w:spacing w:after="0" w:line="360" w:lineRule="auto"/>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18" w:author="Mokone" w:date="2022-11-30T08:54:00Z">
            <w:rPr>
              <w:rFonts w:eastAsia="Arial" w:cs="Arial"/>
            </w:rPr>
          </w:rPrChange>
        </w:rPr>
        <w:pPrChange w:id="119"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lastRenderedPageBreak/>
        <w:t>17.</w:t>
      </w:r>
      <w:r>
        <w:rPr>
          <w:rFonts w:ascii="Arial" w:eastAsia="Arial" w:hAnsi="Arial" w:cs="Arial"/>
          <w:color w:val="000000"/>
          <w:u w:color="000000"/>
          <w:lang w:eastAsia="en-ZA"/>
        </w:rPr>
        <w:tab/>
      </w:r>
      <w:r w:rsidR="00441B0D" w:rsidRPr="005C4854">
        <w:rPr>
          <w:rFonts w:ascii="Arial" w:hAnsi="Arial"/>
          <w:rPrChange w:id="120" w:author="Mokone" w:date="2022-11-30T08:54:00Z">
            <w:rPr/>
          </w:rPrChange>
        </w:rPr>
        <w:t>The Respondents have attached to the answering papers as annex “P5”</w:t>
      </w:r>
      <w:r w:rsidR="00441B0D">
        <w:rPr>
          <w:rStyle w:val="FootnoteReference"/>
          <w:rFonts w:ascii="Arial" w:eastAsia="Arial" w:hAnsi="Arial" w:cs="Arial"/>
        </w:rPr>
        <w:footnoteReference w:id="5"/>
      </w:r>
      <w:r w:rsidR="00441B0D" w:rsidRPr="005C4854">
        <w:rPr>
          <w:rFonts w:ascii="Arial" w:hAnsi="Arial"/>
          <w:rPrChange w:id="121" w:author="Mokone" w:date="2022-11-30T08:54:00Z">
            <w:rPr/>
          </w:rPrChange>
        </w:rPr>
        <w:t xml:space="preserve"> the “Parcel Tracking Results” which seems to indicate that on 21 April 2022 at 08:32am the first notification was sent to the recipient. That is what the document says. That, according to the submissions made by counsel for the </w:t>
      </w:r>
      <w:proofErr w:type="gramStart"/>
      <w:r w:rsidR="00441B0D" w:rsidRPr="005C4854">
        <w:rPr>
          <w:rFonts w:ascii="Arial" w:hAnsi="Arial"/>
          <w:rPrChange w:id="122" w:author="Mokone" w:date="2022-11-30T08:54:00Z">
            <w:rPr/>
          </w:rPrChange>
        </w:rPr>
        <w:t>respondents</w:t>
      </w:r>
      <w:proofErr w:type="gramEnd"/>
      <w:r w:rsidR="00441B0D" w:rsidRPr="005C4854">
        <w:rPr>
          <w:rFonts w:ascii="Arial" w:hAnsi="Arial"/>
          <w:rPrChange w:id="123" w:author="Mokone" w:date="2022-11-30T08:54:00Z">
            <w:rPr/>
          </w:rPrChange>
        </w:rPr>
        <w:t xml:space="preserve"> means that the first notification was received by the correct Post Office and that it had been delivered to the relevant Post Office. FNB did everything that it was required by the NCA to do was the submission to me by counsel for the Respondents. To me it is also indicative of the fact that the first notification was, at least, sent to </w:t>
      </w:r>
      <w:proofErr w:type="spellStart"/>
      <w:r w:rsidR="00441B0D" w:rsidRPr="005C4854">
        <w:rPr>
          <w:rFonts w:ascii="Arial" w:hAnsi="Arial"/>
          <w:rPrChange w:id="124" w:author="Mokone" w:date="2022-11-30T08:54:00Z">
            <w:rPr/>
          </w:rPrChange>
        </w:rPr>
        <w:t>Maseng</w:t>
      </w:r>
      <w:proofErr w:type="spellEnd"/>
      <w:r w:rsidR="00441B0D" w:rsidRPr="005C4854">
        <w:rPr>
          <w:rFonts w:ascii="Arial" w:hAnsi="Arial"/>
          <w:rPrChange w:id="125" w:author="Mokone" w:date="2022-11-30T08:54:00Z">
            <w:rPr/>
          </w:rPrChange>
        </w:rPr>
        <w:t>.</w:t>
      </w:r>
    </w:p>
    <w:p w:rsidR="00C54D1C" w:rsidRDefault="00C54D1C">
      <w:pPr>
        <w:pStyle w:val="ListParagraph"/>
        <w:tabs>
          <w:tab w:val="left" w:pos="709"/>
        </w:tabs>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26" w:author="Mokone" w:date="2022-11-30T08:54:00Z">
            <w:rPr>
              <w:rFonts w:eastAsia="Arial" w:cs="Arial"/>
            </w:rPr>
          </w:rPrChange>
        </w:rPr>
        <w:pPrChange w:id="127" w:author="Mokone" w:date="2022-11-30T08:54:00Z">
          <w:pPr>
            <w:pStyle w:val="ListParagraph"/>
            <w:numPr>
              <w:numId w:val="5"/>
            </w:numPr>
            <w:spacing w:after="0" w:line="360" w:lineRule="auto"/>
            <w:ind w:hanging="720"/>
            <w:jc w:val="both"/>
          </w:pPr>
        </w:pPrChange>
      </w:pPr>
      <w:r>
        <w:rPr>
          <w:rFonts w:ascii="Arial" w:eastAsia="Arial" w:hAnsi="Arial" w:cs="Arial"/>
          <w:color w:val="000000"/>
          <w:u w:color="000000"/>
          <w:lang w:eastAsia="en-ZA"/>
        </w:rPr>
        <w:t>18.</w:t>
      </w:r>
      <w:r>
        <w:rPr>
          <w:rFonts w:ascii="Arial" w:eastAsia="Arial" w:hAnsi="Arial" w:cs="Arial"/>
          <w:color w:val="000000"/>
          <w:u w:color="000000"/>
          <w:lang w:eastAsia="en-ZA"/>
        </w:rPr>
        <w:tab/>
      </w:r>
      <w:r w:rsidR="00441B0D" w:rsidRPr="005C4854">
        <w:rPr>
          <w:rFonts w:ascii="Arial" w:hAnsi="Arial"/>
          <w:rPrChange w:id="128" w:author="Mokone" w:date="2022-11-30T08:54:00Z">
            <w:rPr/>
          </w:rPrChange>
        </w:rPr>
        <w:t>But the Respondents contend that they never received this notice. In support of their contention they rely on a letter from the Post Office dated 27 June 2022 addressed to them which states as follows:</w:t>
      </w:r>
    </w:p>
    <w:p w:rsidR="00C54D1C" w:rsidRDefault="00C54D1C">
      <w:pPr>
        <w:pStyle w:val="ListParagraph"/>
        <w:spacing w:after="0" w:line="360" w:lineRule="auto"/>
        <w:ind w:left="0"/>
        <w:jc w:val="both"/>
      </w:pPr>
    </w:p>
    <w:p w:rsidR="00C54D1C" w:rsidRDefault="00441B0D">
      <w:pPr>
        <w:pStyle w:val="ListParagraph"/>
        <w:spacing w:after="0" w:line="360" w:lineRule="auto"/>
        <w:ind w:left="709"/>
        <w:jc w:val="both"/>
        <w:rPr>
          <w:rFonts w:ascii="Arial" w:eastAsia="Arial" w:hAnsi="Arial" w:cs="Arial"/>
        </w:rPr>
      </w:pPr>
      <w:r>
        <w:rPr>
          <w:rFonts w:ascii="Arial" w:hAnsi="Arial"/>
        </w:rPr>
        <w:t>‘The item with tracking no. RC478817708ZA</w:t>
      </w:r>
      <w:r>
        <w:rPr>
          <w:rFonts w:ascii="Arial" w:eastAsia="Arial" w:hAnsi="Arial" w:cs="Arial"/>
          <w:vertAlign w:val="superscript"/>
        </w:rPr>
        <w:footnoteReference w:id="6"/>
      </w:r>
      <w:r>
        <w:rPr>
          <w:rFonts w:ascii="Arial" w:hAnsi="Arial"/>
        </w:rPr>
        <w:t xml:space="preserve"> was received at Halfway House post office on the 21st of April 2022 and a first notification was issued by the Mail Delivery section on the same day to deliver. During this period delivery of mail was irregular because of transport challenges.</w:t>
      </w:r>
    </w:p>
    <w:p w:rsidR="00C54D1C" w:rsidRDefault="00C54D1C">
      <w:pPr>
        <w:pStyle w:val="ListParagraph"/>
        <w:spacing w:after="0" w:line="360" w:lineRule="auto"/>
        <w:ind w:left="0"/>
        <w:jc w:val="both"/>
        <w:rPr>
          <w:rFonts w:ascii="Arial" w:eastAsia="Arial" w:hAnsi="Arial" w:cs="Arial"/>
        </w:rPr>
      </w:pPr>
    </w:p>
    <w:p w:rsidR="00C54D1C" w:rsidRDefault="00441B0D">
      <w:pPr>
        <w:pStyle w:val="ListParagraph"/>
        <w:spacing w:after="0" w:line="360" w:lineRule="auto"/>
        <w:ind w:left="709" w:hanging="709"/>
        <w:jc w:val="both"/>
        <w:rPr>
          <w:rFonts w:ascii="Arial" w:eastAsia="Arial" w:hAnsi="Arial" w:cs="Arial"/>
        </w:rPr>
      </w:pPr>
      <w:r>
        <w:rPr>
          <w:rFonts w:ascii="Arial" w:hAnsi="Arial"/>
        </w:rPr>
        <w:t xml:space="preserve">            The abovementioned tracking number it is hereby confirmed that it was collected by recipient on the 9th of June 2022 with a tracking no. issued by sender and not a notification slip issued by the Post Office.’</w:t>
      </w:r>
    </w:p>
    <w:p w:rsidR="00C54D1C" w:rsidRDefault="00C54D1C">
      <w:pPr>
        <w:pStyle w:val="ListParagraph"/>
        <w:tabs>
          <w:tab w:val="left" w:pos="709"/>
        </w:tabs>
        <w:spacing w:after="0" w:line="360" w:lineRule="auto"/>
        <w:ind w:left="709" w:hanging="709"/>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29" w:author="Mokone" w:date="2022-11-30T08:54:00Z">
            <w:rPr>
              <w:rFonts w:eastAsia="Arial" w:cs="Arial"/>
            </w:rPr>
          </w:rPrChange>
        </w:rPr>
        <w:pPrChange w:id="130"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19.</w:t>
      </w:r>
      <w:r>
        <w:rPr>
          <w:rFonts w:ascii="Arial" w:eastAsia="Arial" w:hAnsi="Arial" w:cs="Arial"/>
          <w:color w:val="000000"/>
          <w:u w:color="000000"/>
          <w:lang w:eastAsia="en-ZA"/>
        </w:rPr>
        <w:tab/>
      </w:r>
      <w:r w:rsidR="00441B0D" w:rsidRPr="005C4854">
        <w:rPr>
          <w:rFonts w:ascii="Arial" w:hAnsi="Arial"/>
          <w:rPrChange w:id="131" w:author="Mokone" w:date="2022-11-30T08:54:00Z">
            <w:rPr/>
          </w:rPrChange>
        </w:rPr>
        <w:t>The Respondents also rely on the handwritten note by an unidentified person</w:t>
      </w:r>
      <w:r w:rsidR="00441B0D">
        <w:rPr>
          <w:rFonts w:eastAsia="Arial" w:cs="Arial"/>
          <w:vertAlign w:val="superscript"/>
        </w:rPr>
        <w:footnoteReference w:id="7"/>
      </w:r>
      <w:r w:rsidR="00441B0D" w:rsidRPr="005C4854">
        <w:rPr>
          <w:rFonts w:ascii="Arial" w:hAnsi="Arial"/>
          <w:rPrChange w:id="132" w:author="Mokone" w:date="2022-11-30T08:54:00Z">
            <w:rPr/>
          </w:rPrChange>
        </w:rPr>
        <w:t xml:space="preserve"> dated 10 June 2022 on the ‘P</w:t>
      </w:r>
      <w:proofErr w:type="spellStart"/>
      <w:r w:rsidR="00441B0D" w:rsidRPr="005C4854">
        <w:rPr>
          <w:rFonts w:ascii="Arial" w:hAnsi="Arial"/>
          <w:lang w:val="es-ES_tradnl"/>
          <w:rPrChange w:id="133" w:author="Mokone" w:date="2022-11-30T08:54:00Z">
            <w:rPr>
              <w:lang w:val="es-ES_tradnl"/>
            </w:rPr>
          </w:rPrChange>
        </w:rPr>
        <w:t>arcel</w:t>
      </w:r>
      <w:proofErr w:type="spellEnd"/>
      <w:r w:rsidR="00441B0D" w:rsidRPr="005C4854">
        <w:rPr>
          <w:rFonts w:ascii="Arial" w:hAnsi="Arial"/>
          <w:lang w:val="es-ES_tradnl"/>
          <w:rPrChange w:id="134" w:author="Mokone" w:date="2022-11-30T08:54:00Z">
            <w:rPr>
              <w:lang w:val="es-ES_tradnl"/>
            </w:rPr>
          </w:rPrChange>
        </w:rPr>
        <w:t xml:space="preserve"> </w:t>
      </w:r>
      <w:r w:rsidR="00441B0D" w:rsidRPr="005C4854">
        <w:rPr>
          <w:rFonts w:ascii="Arial" w:hAnsi="Arial"/>
          <w:rPrChange w:id="135" w:author="Mokone" w:date="2022-11-30T08:54:00Z">
            <w:rPr/>
          </w:rPrChange>
        </w:rPr>
        <w:t>Tracking Results’ which states the following:</w:t>
      </w:r>
    </w:p>
    <w:p w:rsidR="00C54D1C" w:rsidRDefault="00C54D1C">
      <w:pPr>
        <w:pStyle w:val="BodyA"/>
        <w:tabs>
          <w:tab w:val="left" w:pos="709"/>
        </w:tabs>
        <w:spacing w:after="0" w:line="360" w:lineRule="auto"/>
        <w:jc w:val="both"/>
      </w:pPr>
    </w:p>
    <w:p w:rsidR="00C54D1C" w:rsidRDefault="00441B0D">
      <w:pPr>
        <w:pStyle w:val="BodyA"/>
        <w:tabs>
          <w:tab w:val="left" w:pos="709"/>
        </w:tabs>
        <w:spacing w:after="0" w:line="360" w:lineRule="auto"/>
        <w:ind w:left="709" w:hanging="709"/>
        <w:jc w:val="both"/>
        <w:rPr>
          <w:rFonts w:ascii="Arial" w:eastAsia="Arial" w:hAnsi="Arial" w:cs="Arial"/>
        </w:rPr>
      </w:pPr>
      <w:r>
        <w:rPr>
          <w:rFonts w:ascii="Arial" w:hAnsi="Arial"/>
        </w:rPr>
        <w:t xml:space="preserve">            ‘</w:t>
      </w:r>
      <w:proofErr w:type="spellStart"/>
      <w:r>
        <w:rPr>
          <w:rFonts w:ascii="Arial" w:hAnsi="Arial"/>
          <w:lang w:val="es-ES_tradnl"/>
        </w:rPr>
        <w:t>Dear</w:t>
      </w:r>
      <w:proofErr w:type="spellEnd"/>
      <w:r>
        <w:rPr>
          <w:rFonts w:ascii="Arial" w:hAnsi="Arial"/>
          <w:lang w:val="es-ES_tradnl"/>
        </w:rPr>
        <w:t xml:space="preserve"> sir / </w:t>
      </w:r>
      <w:proofErr w:type="spellStart"/>
      <w:r>
        <w:rPr>
          <w:rFonts w:ascii="Arial" w:hAnsi="Arial"/>
          <w:lang w:val="es-ES_tradnl"/>
        </w:rPr>
        <w:t>madam</w:t>
      </w:r>
      <w:proofErr w:type="spellEnd"/>
    </w:p>
    <w:p w:rsidR="00C54D1C" w:rsidRDefault="00441B0D">
      <w:pPr>
        <w:pStyle w:val="BodyA"/>
        <w:tabs>
          <w:tab w:val="left" w:pos="709"/>
        </w:tabs>
        <w:spacing w:after="0" w:line="360" w:lineRule="auto"/>
        <w:ind w:left="709" w:hanging="709"/>
        <w:jc w:val="both"/>
        <w:rPr>
          <w:rFonts w:ascii="Arial" w:eastAsia="Arial" w:hAnsi="Arial" w:cs="Arial"/>
        </w:rPr>
      </w:pPr>
      <w:r>
        <w:rPr>
          <w:rFonts w:ascii="Arial" w:hAnsi="Arial"/>
        </w:rPr>
        <w:t xml:space="preserve">            Due to transport challenges there was no delivery of mail in Midstream – from March, April and May 2022’.</w:t>
      </w:r>
    </w:p>
    <w:p w:rsidR="00C54D1C" w:rsidRDefault="00C54D1C">
      <w:pPr>
        <w:pStyle w:val="BodyA"/>
        <w:tabs>
          <w:tab w:val="left" w:pos="709"/>
        </w:tabs>
        <w:spacing w:after="0" w:line="360" w:lineRule="auto"/>
        <w:jc w:val="both"/>
        <w:rPr>
          <w:rFonts w:ascii="Arial" w:eastAsia="Arial" w:hAnsi="Arial" w:cs="Arial"/>
        </w:rPr>
      </w:pPr>
    </w:p>
    <w:p w:rsidR="00C54D1C" w:rsidRPr="005C4854" w:rsidRDefault="005C4854" w:rsidP="005C4854">
      <w:pPr>
        <w:spacing w:line="360" w:lineRule="auto"/>
        <w:ind w:left="709" w:hanging="709"/>
        <w:jc w:val="both"/>
        <w:rPr>
          <w:rFonts w:ascii="Arial" w:eastAsia="Arial" w:hAnsi="Arial" w:cs="Arial"/>
          <w:rPrChange w:id="136" w:author="Mokone" w:date="2022-11-30T08:54:00Z">
            <w:rPr>
              <w:rFonts w:eastAsia="Arial" w:cs="Arial"/>
            </w:rPr>
          </w:rPrChange>
        </w:rPr>
        <w:pPrChange w:id="137" w:author="Mokone" w:date="2022-11-30T08:54:00Z">
          <w:pPr>
            <w:pStyle w:val="ListParagraph"/>
            <w:numPr>
              <w:numId w:val="6"/>
            </w:numPr>
            <w:spacing w:after="0" w:line="360" w:lineRule="auto"/>
            <w:ind w:left="709" w:hanging="709"/>
            <w:jc w:val="both"/>
          </w:pPr>
        </w:pPrChange>
      </w:pPr>
      <w:r>
        <w:rPr>
          <w:rFonts w:ascii="Arial" w:eastAsia="Arial" w:hAnsi="Arial" w:cs="Arial"/>
          <w:color w:val="000000"/>
          <w:u w:color="000000"/>
          <w:lang w:eastAsia="en-ZA"/>
        </w:rPr>
        <w:t>20.</w:t>
      </w:r>
      <w:r>
        <w:rPr>
          <w:rFonts w:ascii="Arial" w:eastAsia="Arial" w:hAnsi="Arial" w:cs="Arial"/>
          <w:color w:val="000000"/>
          <w:u w:color="000000"/>
          <w:lang w:eastAsia="en-ZA"/>
        </w:rPr>
        <w:tab/>
      </w:r>
      <w:r w:rsidR="00441B0D" w:rsidRPr="005C4854">
        <w:rPr>
          <w:rFonts w:ascii="Arial" w:hAnsi="Arial"/>
          <w:rPrChange w:id="138" w:author="Mokone" w:date="2022-11-30T08:54:00Z">
            <w:rPr/>
          </w:rPrChange>
        </w:rPr>
        <w:t>The respondents contend this in the answering affidavit:</w:t>
      </w:r>
    </w:p>
    <w:p w:rsidR="00C54D1C" w:rsidRDefault="00C54D1C">
      <w:pPr>
        <w:pStyle w:val="ListParagraph"/>
        <w:spacing w:after="0" w:line="360" w:lineRule="auto"/>
        <w:ind w:left="0"/>
        <w:jc w:val="both"/>
      </w:pPr>
    </w:p>
    <w:p w:rsidR="00C54D1C" w:rsidRDefault="00441B0D">
      <w:pPr>
        <w:pStyle w:val="ListParagraph"/>
        <w:spacing w:after="0" w:line="360" w:lineRule="auto"/>
        <w:ind w:left="709" w:hanging="709"/>
        <w:jc w:val="both"/>
        <w:rPr>
          <w:rFonts w:ascii="Arial" w:eastAsia="Arial" w:hAnsi="Arial" w:cs="Arial"/>
        </w:rPr>
      </w:pPr>
      <w:r>
        <w:rPr>
          <w:rFonts w:ascii="Arial" w:hAnsi="Arial"/>
        </w:rPr>
        <w:lastRenderedPageBreak/>
        <w:t xml:space="preserve">           ‘On the same day when the item was received by the post office it was then sent to the mail delivery section for delivery to the Respondents.</w:t>
      </w:r>
    </w:p>
    <w:p w:rsidR="00C54D1C" w:rsidRDefault="00C54D1C">
      <w:pPr>
        <w:pStyle w:val="ListParagraph"/>
        <w:spacing w:after="0" w:line="360" w:lineRule="auto"/>
        <w:ind w:left="0"/>
        <w:jc w:val="both"/>
        <w:rPr>
          <w:rFonts w:ascii="Arial" w:eastAsia="Arial" w:hAnsi="Arial" w:cs="Arial"/>
        </w:rPr>
      </w:pPr>
    </w:p>
    <w:p w:rsidR="00C54D1C" w:rsidRDefault="00441B0D">
      <w:pPr>
        <w:pStyle w:val="ListParagraph"/>
        <w:spacing w:after="0" w:line="360" w:lineRule="auto"/>
        <w:ind w:left="709" w:hanging="709"/>
        <w:jc w:val="both"/>
        <w:rPr>
          <w:rFonts w:ascii="Arial" w:eastAsia="Arial" w:hAnsi="Arial" w:cs="Arial"/>
        </w:rPr>
      </w:pPr>
      <w:r>
        <w:rPr>
          <w:rFonts w:ascii="Arial" w:hAnsi="Arial"/>
        </w:rPr>
        <w:t xml:space="preserve">            When the notice arrived at the mail delivery section it was never sent to the respondents and this was due to transport challenges which the Post Office was experiencing specifically with delivery of mail to Midstream.</w:t>
      </w:r>
    </w:p>
    <w:p w:rsidR="00C54D1C" w:rsidRDefault="00C54D1C">
      <w:pPr>
        <w:pStyle w:val="ListParagraph"/>
        <w:spacing w:after="0" w:line="360" w:lineRule="auto"/>
        <w:ind w:left="0"/>
        <w:jc w:val="both"/>
        <w:rPr>
          <w:rFonts w:ascii="Arial" w:eastAsia="Arial" w:hAnsi="Arial" w:cs="Arial"/>
        </w:rPr>
      </w:pPr>
    </w:p>
    <w:p w:rsidR="00C54D1C" w:rsidRDefault="00441B0D">
      <w:pPr>
        <w:pStyle w:val="ListParagraph"/>
        <w:spacing w:after="0" w:line="360" w:lineRule="auto"/>
        <w:ind w:left="709"/>
        <w:jc w:val="both"/>
        <w:rPr>
          <w:rFonts w:ascii="Arial" w:eastAsia="Arial" w:hAnsi="Arial" w:cs="Arial"/>
          <w:i/>
          <w:iCs/>
          <w:sz w:val="24"/>
          <w:szCs w:val="24"/>
        </w:rPr>
      </w:pPr>
      <w:r>
        <w:rPr>
          <w:rFonts w:ascii="Arial" w:hAnsi="Arial"/>
        </w:rPr>
        <w:t xml:space="preserve">According to the Post Office there was no delivery of mail to Midstream for March, April and for May 2022. We attach herein a letter from the branch manager of the Halfway House post office </w:t>
      </w:r>
      <w:proofErr w:type="spellStart"/>
      <w:r>
        <w:rPr>
          <w:rFonts w:ascii="Arial" w:hAnsi="Arial"/>
        </w:rPr>
        <w:t>Mr</w:t>
      </w:r>
      <w:proofErr w:type="spellEnd"/>
      <w:r>
        <w:rPr>
          <w:rFonts w:ascii="Arial" w:hAnsi="Arial"/>
        </w:rPr>
        <w:t xml:space="preserve"> </w:t>
      </w:r>
      <w:proofErr w:type="spellStart"/>
      <w:r>
        <w:rPr>
          <w:rFonts w:ascii="Arial" w:hAnsi="Arial"/>
        </w:rPr>
        <w:t>Ndaba</w:t>
      </w:r>
      <w:proofErr w:type="spellEnd"/>
      <w:r>
        <w:rPr>
          <w:rFonts w:ascii="Arial" w:hAnsi="Arial"/>
        </w:rPr>
        <w:t xml:space="preserve"> and a note made by </w:t>
      </w:r>
      <w:proofErr w:type="spellStart"/>
      <w:r>
        <w:rPr>
          <w:rFonts w:ascii="Arial" w:hAnsi="Arial"/>
        </w:rPr>
        <w:t>Mr</w:t>
      </w:r>
      <w:proofErr w:type="spellEnd"/>
      <w:r>
        <w:rPr>
          <w:rFonts w:ascii="Arial" w:hAnsi="Arial"/>
        </w:rPr>
        <w:t xml:space="preserve"> </w:t>
      </w:r>
      <w:proofErr w:type="spellStart"/>
      <w:r>
        <w:rPr>
          <w:rFonts w:ascii="Arial" w:hAnsi="Arial"/>
        </w:rPr>
        <w:t>Malatji</w:t>
      </w:r>
      <w:proofErr w:type="spellEnd"/>
      <w:r>
        <w:rPr>
          <w:rFonts w:ascii="Arial" w:hAnsi="Arial"/>
        </w:rPr>
        <w:t xml:space="preserve"> the mail delivery section head on the tracking and trace report. Attached herein respectively as annexures “T4” and “T5”.</w:t>
      </w:r>
    </w:p>
    <w:p w:rsidR="00C54D1C" w:rsidRDefault="00C54D1C">
      <w:pPr>
        <w:pStyle w:val="BodyA"/>
        <w:tabs>
          <w:tab w:val="left" w:pos="709"/>
        </w:tabs>
        <w:spacing w:after="0" w:line="360" w:lineRule="auto"/>
        <w:jc w:val="both"/>
        <w:rPr>
          <w:rFonts w:ascii="Arial" w:eastAsia="Arial" w:hAnsi="Arial" w:cs="Arial"/>
          <w:i/>
          <w:iCs/>
          <w:sz w:val="24"/>
          <w:szCs w:val="24"/>
        </w:rPr>
      </w:pPr>
    </w:p>
    <w:p w:rsidR="00C54D1C" w:rsidRDefault="00441B0D">
      <w:pPr>
        <w:pStyle w:val="BodyA"/>
        <w:tabs>
          <w:tab w:val="left" w:pos="709"/>
        </w:tabs>
        <w:spacing w:after="0" w:line="360" w:lineRule="auto"/>
        <w:ind w:left="709" w:hanging="709"/>
        <w:jc w:val="both"/>
        <w:rPr>
          <w:rFonts w:ascii="Arial" w:eastAsia="Arial" w:hAnsi="Arial" w:cs="Arial"/>
        </w:rPr>
      </w:pPr>
      <w:r>
        <w:rPr>
          <w:rFonts w:ascii="Arial" w:hAnsi="Arial"/>
        </w:rPr>
        <w:t xml:space="preserve">            On the 1</w:t>
      </w:r>
      <w:r>
        <w:rPr>
          <w:rFonts w:ascii="Arial" w:hAnsi="Arial"/>
          <w:vertAlign w:val="superscript"/>
        </w:rPr>
        <w:t>st</w:t>
      </w:r>
      <w:r>
        <w:rPr>
          <w:rFonts w:ascii="Arial" w:hAnsi="Arial"/>
        </w:rPr>
        <w:t xml:space="preserve"> June 2022 the respondents received form 2A Notice of Application for Monetary Judgment from the </w:t>
      </w:r>
      <w:proofErr w:type="gramStart"/>
      <w:r>
        <w:rPr>
          <w:rFonts w:ascii="Arial" w:hAnsi="Arial"/>
        </w:rPr>
        <w:t>Applicants.</w:t>
      </w:r>
      <w:proofErr w:type="gramEnd"/>
      <w:r>
        <w:rPr>
          <w:rFonts w:ascii="Arial" w:hAnsi="Arial"/>
        </w:rPr>
        <w:t xml:space="preserve"> </w:t>
      </w:r>
    </w:p>
    <w:p w:rsidR="00C54D1C" w:rsidRDefault="00C54D1C">
      <w:pPr>
        <w:pStyle w:val="ListParagraph"/>
        <w:spacing w:after="0" w:line="360" w:lineRule="auto"/>
        <w:ind w:left="0"/>
        <w:jc w:val="both"/>
        <w:rPr>
          <w:rFonts w:ascii="Arial" w:eastAsia="Arial" w:hAnsi="Arial" w:cs="Arial"/>
        </w:rPr>
      </w:pPr>
    </w:p>
    <w:p w:rsidR="00C54D1C" w:rsidRDefault="00441B0D">
      <w:pPr>
        <w:pStyle w:val="ListParagraph"/>
        <w:spacing w:after="0" w:line="360" w:lineRule="auto"/>
        <w:ind w:left="709" w:hanging="709"/>
        <w:jc w:val="both"/>
        <w:rPr>
          <w:rFonts w:ascii="Arial" w:eastAsia="Arial" w:hAnsi="Arial" w:cs="Arial"/>
        </w:rPr>
      </w:pPr>
      <w:r>
        <w:rPr>
          <w:rFonts w:ascii="Arial" w:hAnsi="Arial"/>
        </w:rPr>
        <w:t xml:space="preserve">           Upon receiving legal advice the respondents went to the </w:t>
      </w:r>
      <w:proofErr w:type="spellStart"/>
      <w:r>
        <w:rPr>
          <w:rFonts w:ascii="Arial" w:hAnsi="Arial"/>
        </w:rPr>
        <w:t>Half Way</w:t>
      </w:r>
      <w:proofErr w:type="spellEnd"/>
      <w:r>
        <w:rPr>
          <w:rFonts w:ascii="Arial" w:hAnsi="Arial"/>
        </w:rPr>
        <w:t xml:space="preserve"> House to determine if indeed a sec 129 notice was delivered to the post office which they ignored according to the allegations in the applicant’s plea.</w:t>
      </w:r>
    </w:p>
    <w:p w:rsidR="00C54D1C" w:rsidRDefault="00C54D1C">
      <w:pPr>
        <w:pStyle w:val="ListParagraph"/>
        <w:spacing w:after="0" w:line="360" w:lineRule="auto"/>
        <w:ind w:left="0"/>
        <w:jc w:val="both"/>
        <w:rPr>
          <w:rFonts w:ascii="Arial" w:eastAsia="Arial" w:hAnsi="Arial" w:cs="Arial"/>
        </w:rPr>
      </w:pPr>
    </w:p>
    <w:p w:rsidR="00C54D1C" w:rsidRDefault="00441B0D">
      <w:pPr>
        <w:pStyle w:val="ListParagraph"/>
        <w:spacing w:after="0" w:line="360" w:lineRule="auto"/>
        <w:ind w:left="709"/>
        <w:jc w:val="both"/>
        <w:rPr>
          <w:rFonts w:ascii="Arial" w:eastAsia="Arial" w:hAnsi="Arial" w:cs="Arial"/>
        </w:rPr>
      </w:pPr>
      <w:r>
        <w:rPr>
          <w:rFonts w:ascii="Arial" w:hAnsi="Arial"/>
        </w:rPr>
        <w:t>On the 9</w:t>
      </w:r>
      <w:r>
        <w:rPr>
          <w:rFonts w:ascii="Arial" w:hAnsi="Arial"/>
          <w:vertAlign w:val="superscript"/>
        </w:rPr>
        <w:t>th</w:t>
      </w:r>
      <w:r>
        <w:rPr>
          <w:rFonts w:ascii="Arial" w:hAnsi="Arial"/>
        </w:rPr>
        <w:t xml:space="preserve"> of June the Respondents went to Half Way House and obtained a Sec 129 Notice for the first time from the post office”.</w:t>
      </w:r>
    </w:p>
    <w:p w:rsidR="00C54D1C" w:rsidRDefault="00C54D1C">
      <w:pPr>
        <w:pStyle w:val="ListParagraph"/>
        <w:tabs>
          <w:tab w:val="left" w:pos="709"/>
        </w:tabs>
        <w:spacing w:after="0" w:line="360" w:lineRule="auto"/>
        <w:ind w:left="709" w:hanging="709"/>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39" w:author="Mokone" w:date="2022-11-30T08:54:00Z">
            <w:rPr>
              <w:rFonts w:eastAsia="Arial" w:cs="Arial"/>
            </w:rPr>
          </w:rPrChange>
        </w:rPr>
        <w:pPrChange w:id="140"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21.</w:t>
      </w:r>
      <w:r>
        <w:rPr>
          <w:rFonts w:ascii="Arial" w:eastAsia="Arial" w:hAnsi="Arial" w:cs="Arial"/>
          <w:color w:val="000000"/>
          <w:u w:color="000000"/>
          <w:lang w:eastAsia="en-ZA"/>
        </w:rPr>
        <w:tab/>
      </w:r>
      <w:r w:rsidR="00441B0D" w:rsidRPr="005C4854">
        <w:rPr>
          <w:rFonts w:ascii="Arial" w:hAnsi="Arial"/>
          <w:rPrChange w:id="141" w:author="Mokone" w:date="2022-11-30T08:54:00Z">
            <w:rPr/>
          </w:rPrChange>
        </w:rPr>
        <w:t xml:space="preserve">The aforesaid is crucial to the opposition for the Respondents in order to rebut the onus on them to show that despite the postal records they did not receive the notice. It lies at the heart of the </w:t>
      </w:r>
      <w:proofErr w:type="spellStart"/>
      <w:r w:rsidR="00441B0D" w:rsidRPr="005C4854">
        <w:rPr>
          <w:rFonts w:ascii="Arial" w:hAnsi="Arial"/>
          <w:rPrChange w:id="142" w:author="Mokone" w:date="2022-11-30T08:54:00Z">
            <w:rPr/>
          </w:rPrChange>
        </w:rPr>
        <w:t>defence</w:t>
      </w:r>
      <w:proofErr w:type="spellEnd"/>
      <w:r w:rsidR="00441B0D" w:rsidRPr="005C4854">
        <w:rPr>
          <w:rFonts w:ascii="Arial" w:hAnsi="Arial"/>
          <w:rPrChange w:id="143" w:author="Mokone" w:date="2022-11-30T08:54:00Z">
            <w:rPr/>
          </w:rPrChange>
        </w:rPr>
        <w:t xml:space="preserve">. </w:t>
      </w:r>
    </w:p>
    <w:p w:rsidR="00C54D1C" w:rsidRDefault="00C54D1C">
      <w:pPr>
        <w:pStyle w:val="ListParagraph"/>
        <w:spacing w:after="0" w:line="360" w:lineRule="auto"/>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44" w:author="Mokone" w:date="2022-11-30T08:54:00Z">
            <w:rPr>
              <w:rFonts w:eastAsia="Arial" w:cs="Arial"/>
            </w:rPr>
          </w:rPrChange>
        </w:rPr>
        <w:pPrChange w:id="145"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22.</w:t>
      </w:r>
      <w:r>
        <w:rPr>
          <w:rFonts w:ascii="Arial" w:eastAsia="Arial" w:hAnsi="Arial" w:cs="Arial"/>
          <w:color w:val="000000"/>
          <w:u w:color="000000"/>
          <w:lang w:eastAsia="en-ZA"/>
        </w:rPr>
        <w:tab/>
      </w:r>
      <w:proofErr w:type="gramStart"/>
      <w:r w:rsidR="00441B0D" w:rsidRPr="005C4854">
        <w:rPr>
          <w:rFonts w:ascii="Arial" w:hAnsi="Arial"/>
          <w:rPrChange w:id="146" w:author="Mokone" w:date="2022-11-30T08:54:00Z">
            <w:rPr/>
          </w:rPrChange>
        </w:rPr>
        <w:t>But</w:t>
      </w:r>
      <w:proofErr w:type="gramEnd"/>
      <w:r w:rsidR="00441B0D" w:rsidRPr="005C4854">
        <w:rPr>
          <w:rFonts w:ascii="Arial" w:hAnsi="Arial"/>
          <w:rPrChange w:id="147" w:author="Mokone" w:date="2022-11-30T08:54:00Z">
            <w:rPr/>
          </w:rPrChange>
        </w:rPr>
        <w:t xml:space="preserve"> the letter from the Post Office and the handwritten note on the ‘Parcel Tracking Results document is clearly of a hearsay nature</w:t>
      </w:r>
      <w:r w:rsidR="00441B0D">
        <w:rPr>
          <w:rStyle w:val="FootnoteReference"/>
          <w:rFonts w:ascii="Arial" w:eastAsia="Arial" w:hAnsi="Arial" w:cs="Arial"/>
        </w:rPr>
        <w:footnoteReference w:id="8"/>
      </w:r>
      <w:r w:rsidR="00441B0D" w:rsidRPr="005C4854">
        <w:rPr>
          <w:rFonts w:ascii="Arial" w:hAnsi="Arial"/>
          <w:rPrChange w:id="148" w:author="Mokone" w:date="2022-11-30T08:54:00Z">
            <w:rPr/>
          </w:rPrChange>
        </w:rPr>
        <w:t xml:space="preserve">. There are no supporting affidavits from the authors of those documents. They are inadmissible, as there is no application currently before me to lead evidence of a hearsay nature in terms of the relevant statute and even if they are admissible, they carry no weight. There is no explanation as to why there are no supporting affidavits from the authors. On my enquiry why there are no </w:t>
      </w:r>
      <w:r w:rsidR="00441B0D" w:rsidRPr="005C4854">
        <w:rPr>
          <w:rFonts w:ascii="Arial" w:hAnsi="Arial"/>
          <w:rPrChange w:id="149" w:author="Mokone" w:date="2022-11-30T08:54:00Z">
            <w:rPr/>
          </w:rPrChange>
        </w:rPr>
        <w:lastRenderedPageBreak/>
        <w:t>supporting affidavits, the submission was made to the effect that no court has ever required this.</w:t>
      </w:r>
      <w:r w:rsidR="00441B0D">
        <w:rPr>
          <w:rStyle w:val="FootnoteReference"/>
          <w:rFonts w:ascii="Arial" w:eastAsia="Arial" w:hAnsi="Arial" w:cs="Arial"/>
        </w:rPr>
        <w:footnoteReference w:id="9"/>
      </w:r>
      <w:r w:rsidR="00441B0D" w:rsidRPr="005C4854">
        <w:rPr>
          <w:rFonts w:ascii="Arial" w:hAnsi="Arial"/>
          <w:rPrChange w:id="150" w:author="Mokone" w:date="2022-11-30T08:54:00Z">
            <w:rPr/>
          </w:rPrChange>
        </w:rPr>
        <w:t xml:space="preserve"> I was concerned about the hearsay nature of the evidence and, </w:t>
      </w:r>
      <w:proofErr w:type="spellStart"/>
      <w:r w:rsidR="00441B0D" w:rsidRPr="005C4854">
        <w:rPr>
          <w:rFonts w:ascii="Arial" w:hAnsi="Arial"/>
          <w:rPrChange w:id="151" w:author="Mokone" w:date="2022-11-30T08:54:00Z">
            <w:rPr/>
          </w:rPrChange>
        </w:rPr>
        <w:t>cognisant</w:t>
      </w:r>
      <w:proofErr w:type="spellEnd"/>
      <w:r w:rsidR="00441B0D" w:rsidRPr="005C4854">
        <w:rPr>
          <w:rFonts w:ascii="Arial" w:hAnsi="Arial"/>
          <w:rPrChange w:id="152" w:author="Mokone" w:date="2022-11-30T08:54:00Z">
            <w:rPr/>
          </w:rPrChange>
        </w:rPr>
        <w:t xml:space="preserve"> of the far reaching effect of the relief sought, I raised this with counsel for </w:t>
      </w:r>
      <w:proofErr w:type="spellStart"/>
      <w:r w:rsidR="00441B0D" w:rsidRPr="005C4854">
        <w:rPr>
          <w:rFonts w:ascii="Arial" w:hAnsi="Arial"/>
          <w:rPrChange w:id="153" w:author="Mokone" w:date="2022-11-30T08:54:00Z">
            <w:rPr/>
          </w:rPrChange>
        </w:rPr>
        <w:t>Maseng</w:t>
      </w:r>
      <w:proofErr w:type="spellEnd"/>
      <w:r w:rsidR="00441B0D" w:rsidRPr="005C4854">
        <w:rPr>
          <w:rFonts w:ascii="Arial" w:hAnsi="Arial"/>
          <w:rPrChange w:id="154" w:author="Mokone" w:date="2022-11-30T08:54:00Z">
            <w:rPr/>
          </w:rPrChange>
        </w:rPr>
        <w:t xml:space="preserve"> and debated it at length with him. He was, naturally, reluctant to concede its hearsay nature, no doubt </w:t>
      </w:r>
      <w:proofErr w:type="spellStart"/>
      <w:r w:rsidR="00441B0D" w:rsidRPr="005C4854">
        <w:rPr>
          <w:rFonts w:ascii="Arial" w:hAnsi="Arial"/>
          <w:rPrChange w:id="155" w:author="Mokone" w:date="2022-11-30T08:54:00Z">
            <w:rPr/>
          </w:rPrChange>
        </w:rPr>
        <w:t>realising</w:t>
      </w:r>
      <w:proofErr w:type="spellEnd"/>
      <w:r w:rsidR="00441B0D" w:rsidRPr="005C4854">
        <w:rPr>
          <w:rFonts w:ascii="Arial" w:hAnsi="Arial"/>
          <w:rPrChange w:id="156" w:author="Mokone" w:date="2022-11-30T08:54:00Z">
            <w:rPr/>
          </w:rPrChange>
        </w:rPr>
        <w:t xml:space="preserve"> the impact that it would have on the case. This debate was late in the afternoon and the matter could not finish and was adjourned to the next morning. At one stage during the debate he suggested calling witnesses from the Post Office for oral evidence. Then he wanted to bring an application to postpone the matter. I advised him he should do so if he wishes and I will consider the merits of the postponement application and adjudicate thereon. At 16:00 I adjourned for the day and advised counsel for </w:t>
      </w:r>
      <w:proofErr w:type="spellStart"/>
      <w:r w:rsidR="00441B0D" w:rsidRPr="005C4854">
        <w:rPr>
          <w:rFonts w:ascii="Arial" w:hAnsi="Arial"/>
          <w:rPrChange w:id="157" w:author="Mokone" w:date="2022-11-30T08:54:00Z">
            <w:rPr/>
          </w:rPrChange>
        </w:rPr>
        <w:t>Maseng</w:t>
      </w:r>
      <w:proofErr w:type="spellEnd"/>
      <w:r w:rsidR="00441B0D" w:rsidRPr="005C4854">
        <w:rPr>
          <w:rFonts w:ascii="Arial" w:hAnsi="Arial"/>
          <w:rPrChange w:id="158" w:author="Mokone" w:date="2022-11-30T08:54:00Z">
            <w:rPr/>
          </w:rPrChange>
        </w:rPr>
        <w:t xml:space="preserve"> that he must consider his position and advise the court the next morning of his plans. When court resumed he made further submissions on the merits of the matter, but there was no application for postponement to lead further evidence. </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59" w:author="Mokone" w:date="2022-11-30T08:54:00Z">
            <w:rPr>
              <w:rFonts w:eastAsia="Arial" w:cs="Arial"/>
            </w:rPr>
          </w:rPrChange>
        </w:rPr>
        <w:pPrChange w:id="160"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23.</w:t>
      </w:r>
      <w:r>
        <w:rPr>
          <w:rFonts w:ascii="Arial" w:eastAsia="Arial" w:hAnsi="Arial" w:cs="Arial"/>
          <w:color w:val="000000"/>
          <w:u w:color="000000"/>
          <w:lang w:eastAsia="en-ZA"/>
        </w:rPr>
        <w:tab/>
      </w:r>
      <w:r w:rsidR="00441B0D" w:rsidRPr="005C4854">
        <w:rPr>
          <w:rFonts w:ascii="Arial" w:hAnsi="Arial"/>
          <w:rPrChange w:id="161" w:author="Mokone" w:date="2022-11-30T08:54:00Z">
            <w:rPr/>
          </w:rPrChange>
        </w:rPr>
        <w:t xml:space="preserve">Subsequent to the </w:t>
      </w:r>
      <w:proofErr w:type="spellStart"/>
      <w:r w:rsidR="00441B0D" w:rsidRPr="005C4854">
        <w:rPr>
          <w:rFonts w:ascii="Arial" w:hAnsi="Arial"/>
          <w:i/>
          <w:iCs/>
          <w:rPrChange w:id="162" w:author="Mokone" w:date="2022-11-30T08:54:00Z">
            <w:rPr>
              <w:i/>
              <w:iCs/>
            </w:rPr>
          </w:rPrChange>
        </w:rPr>
        <w:t>Sebola</w:t>
      </w:r>
      <w:proofErr w:type="spellEnd"/>
      <w:r w:rsidR="00441B0D" w:rsidRPr="005C4854">
        <w:rPr>
          <w:rFonts w:ascii="Arial" w:hAnsi="Arial"/>
          <w:rPrChange w:id="163" w:author="Mokone" w:date="2022-11-30T08:54:00Z">
            <w:rPr/>
          </w:rPrChange>
        </w:rPr>
        <w:t xml:space="preserve"> decision, section 129 has been amended somewhat. I have quoted it earlier on in my judgment. It seems to me that the amendment was made due to the difficulties the Constitutional Court encountered in giving meaning to the word ‘delivered’ </w:t>
      </w:r>
      <w:r w:rsidR="00441B0D" w:rsidRPr="005C4854">
        <w:rPr>
          <w:rFonts w:ascii="Arial" w:hAnsi="Arial"/>
          <w:lang w:val="fr-FR"/>
          <w:rPrChange w:id="164" w:author="Mokone" w:date="2022-11-30T08:54:00Z">
            <w:rPr>
              <w:lang w:val="fr-FR"/>
            </w:rPr>
          </w:rPrChange>
        </w:rPr>
        <w:t xml:space="preserve">in section 129(1) as </w:t>
      </w:r>
      <w:proofErr w:type="spellStart"/>
      <w:r w:rsidR="00441B0D" w:rsidRPr="005C4854">
        <w:rPr>
          <w:rFonts w:ascii="Arial" w:hAnsi="Arial"/>
          <w:lang w:val="fr-FR"/>
          <w:rPrChange w:id="165" w:author="Mokone" w:date="2022-11-30T08:54:00Z">
            <w:rPr>
              <w:lang w:val="fr-FR"/>
            </w:rPr>
          </w:rPrChange>
        </w:rPr>
        <w:t>read</w:t>
      </w:r>
      <w:proofErr w:type="spellEnd"/>
      <w:r w:rsidR="00441B0D" w:rsidRPr="005C4854">
        <w:rPr>
          <w:rFonts w:ascii="Arial" w:hAnsi="Arial"/>
          <w:lang w:val="fr-FR"/>
          <w:rPrChange w:id="166" w:author="Mokone" w:date="2022-11-30T08:54:00Z">
            <w:rPr>
              <w:lang w:val="fr-FR"/>
            </w:rPr>
          </w:rPrChange>
        </w:rPr>
        <w:t xml:space="preserve"> </w:t>
      </w:r>
      <w:proofErr w:type="spellStart"/>
      <w:r w:rsidR="00441B0D" w:rsidRPr="005C4854">
        <w:rPr>
          <w:rFonts w:ascii="Arial" w:hAnsi="Arial"/>
          <w:lang w:val="fr-FR"/>
          <w:rPrChange w:id="167" w:author="Mokone" w:date="2022-11-30T08:54:00Z">
            <w:rPr>
              <w:lang w:val="fr-FR"/>
            </w:rPr>
          </w:rPrChange>
        </w:rPr>
        <w:t>with</w:t>
      </w:r>
      <w:proofErr w:type="spellEnd"/>
      <w:r w:rsidR="00441B0D" w:rsidRPr="005C4854">
        <w:rPr>
          <w:rFonts w:ascii="Arial" w:hAnsi="Arial"/>
          <w:lang w:val="fr-FR"/>
          <w:rPrChange w:id="168" w:author="Mokone" w:date="2022-11-30T08:54:00Z">
            <w:rPr>
              <w:lang w:val="fr-FR"/>
            </w:rPr>
          </w:rPrChange>
        </w:rPr>
        <w:t xml:space="preserve"> section 130</w:t>
      </w:r>
      <w:r w:rsidR="00441B0D" w:rsidRPr="005C4854">
        <w:rPr>
          <w:rFonts w:ascii="Arial" w:hAnsi="Arial"/>
          <w:rPrChange w:id="169" w:author="Mokone" w:date="2022-11-30T08:54:00Z">
            <w:rPr/>
          </w:rPrChange>
        </w:rPr>
        <w:t>, as there was no definition of it in the NCA. My speculation might be incorrect in this regard, but it matters not.</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70" w:author="Mokone" w:date="2022-11-30T08:54:00Z">
            <w:rPr>
              <w:rFonts w:eastAsia="Arial" w:cs="Arial"/>
            </w:rPr>
          </w:rPrChange>
        </w:rPr>
        <w:pPrChange w:id="171" w:author="Mokone" w:date="2022-11-30T08:54:00Z">
          <w:pPr>
            <w:pStyle w:val="ListParagraph"/>
            <w:numPr>
              <w:numId w:val="3"/>
            </w:numPr>
            <w:spacing w:after="0" w:line="360" w:lineRule="auto"/>
            <w:ind w:hanging="720"/>
            <w:jc w:val="both"/>
          </w:pPr>
        </w:pPrChange>
      </w:pPr>
      <w:r>
        <w:rPr>
          <w:rFonts w:ascii="Arial" w:eastAsia="Arial" w:hAnsi="Arial" w:cs="Arial"/>
          <w:color w:val="000000"/>
          <w:u w:color="000000"/>
          <w:lang w:eastAsia="en-ZA"/>
        </w:rPr>
        <w:t>24.</w:t>
      </w:r>
      <w:r>
        <w:rPr>
          <w:rFonts w:ascii="Arial" w:eastAsia="Arial" w:hAnsi="Arial" w:cs="Arial"/>
          <w:color w:val="000000"/>
          <w:u w:color="000000"/>
          <w:lang w:eastAsia="en-ZA"/>
        </w:rPr>
        <w:tab/>
      </w:r>
      <w:r w:rsidR="00441B0D" w:rsidRPr="005C4854">
        <w:rPr>
          <w:rFonts w:ascii="Arial" w:hAnsi="Arial"/>
          <w:rPrChange w:id="172" w:author="Mokone" w:date="2022-11-30T08:54:00Z">
            <w:rPr/>
          </w:rPrChange>
        </w:rPr>
        <w:t xml:space="preserve">Counsel for FNB contended that he is unaware of any decision in this division dealing with sections 129(5) – (7) subsequent to the amendment. He did however refer me to the case of </w:t>
      </w:r>
      <w:proofErr w:type="spellStart"/>
      <w:r w:rsidR="00441B0D" w:rsidRPr="005C4854">
        <w:rPr>
          <w:rFonts w:ascii="Arial" w:hAnsi="Arial"/>
          <w:i/>
          <w:iCs/>
          <w:rPrChange w:id="173" w:author="Mokone" w:date="2022-11-30T08:54:00Z">
            <w:rPr>
              <w:i/>
              <w:iCs/>
            </w:rPr>
          </w:rPrChange>
        </w:rPr>
        <w:t>Wesbank</w:t>
      </w:r>
      <w:proofErr w:type="spellEnd"/>
      <w:r w:rsidR="00441B0D" w:rsidRPr="005C4854">
        <w:rPr>
          <w:rFonts w:ascii="Arial" w:hAnsi="Arial"/>
          <w:i/>
          <w:iCs/>
          <w:rPrChange w:id="174" w:author="Mokone" w:date="2022-11-30T08:54:00Z">
            <w:rPr>
              <w:i/>
              <w:iCs/>
            </w:rPr>
          </w:rPrChange>
        </w:rPr>
        <w:t xml:space="preserve"> v </w:t>
      </w:r>
      <w:proofErr w:type="spellStart"/>
      <w:r w:rsidR="00441B0D" w:rsidRPr="005C4854">
        <w:rPr>
          <w:rFonts w:ascii="Arial" w:hAnsi="Arial"/>
          <w:i/>
          <w:iCs/>
          <w:rPrChange w:id="175" w:author="Mokone" w:date="2022-11-30T08:54:00Z">
            <w:rPr>
              <w:i/>
              <w:iCs/>
            </w:rPr>
          </w:rPrChange>
        </w:rPr>
        <w:t>Ralushe</w:t>
      </w:r>
      <w:proofErr w:type="spellEnd"/>
      <w:r w:rsidR="00441B0D">
        <w:rPr>
          <w:rFonts w:eastAsia="Arial" w:cs="Arial"/>
          <w:i/>
          <w:iCs/>
          <w:vertAlign w:val="superscript"/>
        </w:rPr>
        <w:footnoteReference w:id="10"/>
      </w:r>
      <w:r w:rsidR="00441B0D" w:rsidRPr="005C4854">
        <w:rPr>
          <w:rFonts w:ascii="Arial" w:hAnsi="Arial"/>
          <w:i/>
          <w:iCs/>
          <w:rPrChange w:id="176" w:author="Mokone" w:date="2022-11-30T08:54:00Z">
            <w:rPr>
              <w:i/>
              <w:iCs/>
            </w:rPr>
          </w:rPrChange>
        </w:rPr>
        <w:t xml:space="preserve">, </w:t>
      </w:r>
      <w:r w:rsidR="00441B0D" w:rsidRPr="005C4854">
        <w:rPr>
          <w:rFonts w:ascii="Arial" w:hAnsi="Arial"/>
          <w:rPrChange w:id="177" w:author="Mokone" w:date="2022-11-30T08:54:00Z">
            <w:rPr/>
          </w:rPrChange>
        </w:rPr>
        <w:t xml:space="preserve">a decision of the East Cape Division, </w:t>
      </w:r>
      <w:proofErr w:type="spellStart"/>
      <w:r w:rsidR="00441B0D" w:rsidRPr="005C4854">
        <w:rPr>
          <w:rFonts w:ascii="Arial" w:hAnsi="Arial"/>
          <w:rPrChange w:id="178" w:author="Mokone" w:date="2022-11-30T08:54:00Z">
            <w:rPr/>
          </w:rPrChange>
        </w:rPr>
        <w:t>Grahamstown</w:t>
      </w:r>
      <w:proofErr w:type="spellEnd"/>
      <w:r w:rsidR="00441B0D" w:rsidRPr="005C4854">
        <w:rPr>
          <w:rFonts w:ascii="Arial" w:hAnsi="Arial"/>
          <w:rPrChange w:id="179" w:author="Mokone" w:date="2022-11-30T08:54:00Z">
            <w:rPr/>
          </w:rPrChange>
        </w:rPr>
        <w:t xml:space="preserve"> which, incidentally, finds itself in disagreement with the judgment in the Benson case on the issues referred to in my judgment</w:t>
      </w:r>
      <w:r w:rsidR="00441B0D">
        <w:rPr>
          <w:rStyle w:val="FootnoteReference"/>
          <w:rFonts w:ascii="Arial" w:eastAsia="Arial" w:hAnsi="Arial" w:cs="Arial"/>
        </w:rPr>
        <w:footnoteReference w:id="11"/>
      </w:r>
      <w:r w:rsidR="00441B0D" w:rsidRPr="005C4854">
        <w:rPr>
          <w:rFonts w:ascii="Arial" w:hAnsi="Arial"/>
          <w:rPrChange w:id="180" w:author="Mokone" w:date="2022-11-30T08:54:00Z">
            <w:rPr/>
          </w:rPrChange>
        </w:rPr>
        <w:t xml:space="preserve">. I need not address those concerns expressed in the </w:t>
      </w:r>
      <w:proofErr w:type="spellStart"/>
      <w:r w:rsidR="00441B0D" w:rsidRPr="005C4854">
        <w:rPr>
          <w:rFonts w:ascii="Arial" w:hAnsi="Arial"/>
          <w:rPrChange w:id="181" w:author="Mokone" w:date="2022-11-30T08:54:00Z">
            <w:rPr/>
          </w:rPrChange>
        </w:rPr>
        <w:t>Wesbank</w:t>
      </w:r>
      <w:proofErr w:type="spellEnd"/>
      <w:r w:rsidR="00441B0D" w:rsidRPr="005C4854">
        <w:rPr>
          <w:rFonts w:ascii="Arial" w:hAnsi="Arial"/>
          <w:rPrChange w:id="182" w:author="Mokone" w:date="2022-11-30T08:54:00Z">
            <w:rPr/>
          </w:rPrChange>
        </w:rPr>
        <w:t xml:space="preserve"> case </w:t>
      </w:r>
      <w:r w:rsidR="00441B0D" w:rsidRPr="005C4854">
        <w:rPr>
          <w:rFonts w:ascii="Arial" w:hAnsi="Arial"/>
          <w:rPrChange w:id="183" w:author="Mokone" w:date="2022-11-30T08:54:00Z">
            <w:rPr/>
          </w:rPrChange>
        </w:rPr>
        <w:lastRenderedPageBreak/>
        <w:t>because I am bound to follow the Benson case. It is my view, in any event, that the reasoning in the Benson case is sound.</w:t>
      </w:r>
    </w:p>
    <w:p w:rsidR="00C54D1C" w:rsidRDefault="00C54D1C">
      <w:pPr>
        <w:pStyle w:val="ListParagraph"/>
        <w:spacing w:after="0" w:line="360" w:lineRule="auto"/>
        <w:ind w:left="0"/>
        <w:jc w:val="both"/>
        <w:rPr>
          <w:rFonts w:ascii="Arial" w:eastAsia="Arial" w:hAnsi="Arial" w:cs="Arial"/>
          <w:sz w:val="24"/>
          <w:szCs w:val="24"/>
        </w:rPr>
      </w:pPr>
    </w:p>
    <w:p w:rsidR="00C54D1C" w:rsidRPr="005C4854" w:rsidRDefault="005C4854" w:rsidP="005C4854">
      <w:pPr>
        <w:spacing w:line="360" w:lineRule="auto"/>
        <w:ind w:left="720" w:hanging="720"/>
        <w:jc w:val="both"/>
        <w:rPr>
          <w:rFonts w:ascii="Arial" w:eastAsia="Arial" w:hAnsi="Arial" w:cs="Arial"/>
          <w:rPrChange w:id="184" w:author="Mokone" w:date="2022-11-30T08:54:00Z">
            <w:rPr>
              <w:rFonts w:eastAsia="Arial" w:cs="Arial"/>
            </w:rPr>
          </w:rPrChange>
        </w:rPr>
        <w:pPrChange w:id="185" w:author="Mokone" w:date="2022-11-30T08:54:00Z">
          <w:pPr>
            <w:pStyle w:val="ListParagraph"/>
            <w:numPr>
              <w:numId w:val="7"/>
            </w:numPr>
            <w:spacing w:after="0" w:line="360" w:lineRule="auto"/>
            <w:ind w:hanging="720"/>
            <w:jc w:val="both"/>
          </w:pPr>
        </w:pPrChange>
      </w:pPr>
      <w:r>
        <w:rPr>
          <w:rFonts w:ascii="Arial" w:eastAsia="Arial" w:hAnsi="Arial" w:cs="Arial"/>
          <w:color w:val="000000"/>
          <w:u w:color="000000"/>
          <w:lang w:eastAsia="en-ZA"/>
        </w:rPr>
        <w:t>25.</w:t>
      </w:r>
      <w:r>
        <w:rPr>
          <w:rFonts w:ascii="Arial" w:eastAsia="Arial" w:hAnsi="Arial" w:cs="Arial"/>
          <w:color w:val="000000"/>
          <w:u w:color="000000"/>
          <w:lang w:eastAsia="en-ZA"/>
        </w:rPr>
        <w:tab/>
      </w:r>
      <w:r w:rsidR="00441B0D" w:rsidRPr="005C4854">
        <w:rPr>
          <w:rFonts w:ascii="Arial" w:hAnsi="Arial"/>
          <w:rPrChange w:id="186" w:author="Mokone" w:date="2022-11-30T08:54:00Z">
            <w:rPr/>
          </w:rPrChange>
        </w:rPr>
        <w:t xml:space="preserve">Nevertheless, </w:t>
      </w:r>
      <w:proofErr w:type="spellStart"/>
      <w:r w:rsidR="00441B0D" w:rsidRPr="005C4854">
        <w:rPr>
          <w:rFonts w:ascii="Arial" w:hAnsi="Arial"/>
          <w:rPrChange w:id="187" w:author="Mokone" w:date="2022-11-30T08:54:00Z">
            <w:rPr/>
          </w:rPrChange>
        </w:rPr>
        <w:t>Wesbank</w:t>
      </w:r>
      <w:proofErr w:type="spellEnd"/>
      <w:r w:rsidR="00441B0D" w:rsidRPr="005C4854">
        <w:rPr>
          <w:rFonts w:ascii="Arial" w:hAnsi="Arial"/>
          <w:rPrChange w:id="188" w:author="Mokone" w:date="2022-11-30T08:54:00Z">
            <w:rPr/>
          </w:rPrChange>
        </w:rPr>
        <w:t xml:space="preserve"> deals with these sections and states:</w:t>
      </w:r>
    </w:p>
    <w:p w:rsidR="00C54D1C" w:rsidRDefault="00441B0D">
      <w:pPr>
        <w:pStyle w:val="ListParagraph"/>
        <w:spacing w:after="0" w:line="360" w:lineRule="auto"/>
        <w:ind w:left="0"/>
        <w:jc w:val="both"/>
        <w:rPr>
          <w:rFonts w:ascii="Arial" w:eastAsia="Arial" w:hAnsi="Arial" w:cs="Arial"/>
        </w:rPr>
      </w:pPr>
      <w:r>
        <w:rPr>
          <w:rFonts w:ascii="Arial" w:eastAsia="Arial" w:hAnsi="Arial" w:cs="Arial"/>
          <w:sz w:val="24"/>
          <w:szCs w:val="24"/>
        </w:rPr>
        <w:tab/>
      </w:r>
    </w:p>
    <w:p w:rsidR="00C54D1C" w:rsidRDefault="00441B0D">
      <w:pPr>
        <w:pStyle w:val="Default"/>
        <w:spacing w:line="360" w:lineRule="auto"/>
        <w:ind w:left="709" w:hanging="709"/>
        <w:jc w:val="both"/>
        <w:rPr>
          <w:rFonts w:ascii="Arial" w:eastAsia="Arial" w:hAnsi="Arial" w:cs="Arial"/>
          <w:color w:val="242020"/>
          <w:u w:color="242020"/>
          <w:shd w:val="clear" w:color="auto" w:fill="FFFFFF"/>
        </w:rPr>
      </w:pPr>
      <w:r>
        <w:rPr>
          <w:rFonts w:ascii="Arial" w:hAnsi="Arial"/>
          <w:color w:val="242020"/>
          <w:u w:color="242020"/>
          <w:shd w:val="clear" w:color="auto" w:fill="FFFFFF"/>
        </w:rPr>
        <w:t xml:space="preserve">'[52] </w:t>
      </w:r>
      <w:r>
        <w:rPr>
          <w:rFonts w:ascii="Arial" w:hAnsi="Arial"/>
          <w:color w:val="242020"/>
          <w:u w:color="242020"/>
          <w:shd w:val="clear" w:color="auto" w:fill="FFFFFF"/>
        </w:rPr>
        <w:tab/>
        <w:t>Section 7 of the Interpretation Act provides for service of a properly addressed posted registered letter as deemed to be effected “</w:t>
      </w:r>
      <w:r>
        <w:rPr>
          <w:rFonts w:ascii="Arial" w:hAnsi="Arial"/>
          <w:i/>
          <w:iCs/>
          <w:color w:val="242020"/>
          <w:u w:color="242020"/>
          <w:shd w:val="clear" w:color="auto" w:fill="FFFFFF"/>
        </w:rPr>
        <w:t>unless the contrary is proved”</w:t>
      </w:r>
      <w:r>
        <w:rPr>
          <w:rFonts w:ascii="Arial" w:hAnsi="Arial"/>
          <w:color w:val="242020"/>
          <w:u w:color="242020"/>
          <w:shd w:val="clear" w:color="auto" w:fill="FFFFFF"/>
        </w:rPr>
        <w:t>.</w:t>
      </w:r>
    </w:p>
    <w:p w:rsidR="00C54D1C" w:rsidRDefault="00441B0D">
      <w:pPr>
        <w:pStyle w:val="Default"/>
        <w:spacing w:line="360" w:lineRule="auto"/>
        <w:ind w:left="709" w:hanging="709"/>
        <w:jc w:val="both"/>
        <w:rPr>
          <w:rFonts w:ascii="Arial" w:eastAsia="Arial" w:hAnsi="Arial" w:cs="Arial"/>
          <w:i/>
          <w:iCs/>
          <w:color w:val="242020"/>
          <w:u w:color="242020"/>
          <w:shd w:val="clear" w:color="auto" w:fill="FFFFFF"/>
        </w:rPr>
      </w:pPr>
      <w:r>
        <w:rPr>
          <w:rFonts w:ascii="Arial" w:hAnsi="Arial"/>
          <w:color w:val="242020"/>
          <w:u w:color="242020"/>
          <w:shd w:val="clear" w:color="auto" w:fill="FFFFFF"/>
        </w:rPr>
        <w:t>[53]</w:t>
      </w:r>
      <w:r>
        <w:rPr>
          <w:rFonts w:ascii="Arial" w:hAnsi="Arial"/>
          <w:color w:val="242020"/>
          <w:u w:color="242020"/>
          <w:shd w:val="clear" w:color="auto" w:fill="FFFFFF"/>
        </w:rPr>
        <w:tab/>
        <w:t>Section 129 (5) the NCA requires the notice to be “</w:t>
      </w:r>
      <w:r>
        <w:rPr>
          <w:rFonts w:ascii="Arial" w:hAnsi="Arial"/>
          <w:i/>
          <w:iCs/>
          <w:color w:val="242020"/>
          <w:u w:color="242020"/>
          <w:shd w:val="clear" w:color="auto" w:fill="FFFFFF"/>
        </w:rPr>
        <w:t>delivered”</w:t>
      </w:r>
      <w:r>
        <w:rPr>
          <w:rFonts w:ascii="Arial" w:hAnsi="Arial"/>
          <w:color w:val="242020"/>
          <w:u w:color="242020"/>
          <w:shd w:val="clear" w:color="auto" w:fill="FFFFFF"/>
        </w:rPr>
        <w:t xml:space="preserve"> by </w:t>
      </w:r>
      <w:r>
        <w:rPr>
          <w:rFonts w:ascii="Arial" w:hAnsi="Arial"/>
          <w:i/>
          <w:iCs/>
          <w:color w:val="242020"/>
          <w:u w:color="242020"/>
          <w:shd w:val="clear" w:color="auto" w:fill="FFFFFF"/>
          <w:lang w:val="pt-PT"/>
        </w:rPr>
        <w:t>inter alia</w:t>
      </w:r>
      <w:r>
        <w:rPr>
          <w:rFonts w:ascii="Arial" w:hAnsi="Arial"/>
          <w:color w:val="242020"/>
          <w:u w:color="242020"/>
          <w:shd w:val="clear" w:color="auto" w:fill="FFFFFF"/>
        </w:rPr>
        <w:t xml:space="preserve"> registered mail.  Section 129 (7) provides that</w:t>
      </w:r>
      <w:proofErr w:type="gramStart"/>
      <w:r>
        <w:rPr>
          <w:rFonts w:ascii="Arial" w:hAnsi="Arial"/>
          <w:color w:val="242020"/>
          <w:u w:color="242020"/>
          <w:shd w:val="clear" w:color="auto" w:fill="FFFFFF"/>
        </w:rPr>
        <w:t>  “</w:t>
      </w:r>
      <w:proofErr w:type="gramEnd"/>
      <w:r>
        <w:rPr>
          <w:rFonts w:ascii="Arial" w:hAnsi="Arial"/>
          <w:i/>
          <w:iCs/>
          <w:color w:val="242020"/>
          <w:u w:color="242020"/>
          <w:shd w:val="clear" w:color="auto" w:fill="FFFFFF"/>
        </w:rPr>
        <w:t>Proof of delivery contemplated in subsection (5) is satisfied by: (a) Written confirmation by the postal service …… of delivery to the relevant post office……”.</w:t>
      </w:r>
    </w:p>
    <w:p w:rsidR="00C54D1C" w:rsidRDefault="00C54D1C">
      <w:pPr>
        <w:pStyle w:val="Default"/>
        <w:spacing w:line="360" w:lineRule="auto"/>
        <w:ind w:left="709" w:hanging="709"/>
        <w:jc w:val="both"/>
        <w:rPr>
          <w:rFonts w:ascii="Arial" w:eastAsia="Arial" w:hAnsi="Arial" w:cs="Arial"/>
          <w:color w:val="242020"/>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u w:color="242020"/>
          <w:shd w:val="clear" w:color="auto" w:fill="FFFFFF"/>
        </w:rPr>
      </w:pPr>
      <w:r>
        <w:rPr>
          <w:rFonts w:ascii="Arial" w:hAnsi="Arial"/>
          <w:color w:val="242020"/>
          <w:u w:color="242020"/>
          <w:shd w:val="clear" w:color="auto" w:fill="FFFFFF"/>
        </w:rPr>
        <w:t>[54]</w:t>
      </w:r>
      <w:r>
        <w:rPr>
          <w:rFonts w:ascii="Arial" w:hAnsi="Arial"/>
          <w:color w:val="242020"/>
          <w:u w:color="242020"/>
          <w:shd w:val="clear" w:color="auto" w:fill="FFFFFF"/>
        </w:rPr>
        <w:tab/>
        <w:t>It seems to me that this presumption is one of law rebuttable only by facts on a balance of probabilities (the Defendant bearing the onus) showing failure of the prior fact being “</w:t>
      </w:r>
      <w:r>
        <w:rPr>
          <w:rFonts w:ascii="Arial" w:hAnsi="Arial"/>
          <w:i/>
          <w:iCs/>
          <w:color w:val="242020"/>
          <w:u w:color="242020"/>
          <w:shd w:val="clear" w:color="auto" w:fill="FFFFFF"/>
        </w:rPr>
        <w:t xml:space="preserve">written confirmation”.  </w:t>
      </w:r>
      <w:r>
        <w:rPr>
          <w:rFonts w:ascii="Arial" w:hAnsi="Arial"/>
          <w:color w:val="242020"/>
          <w:u w:color="242020"/>
          <w:shd w:val="clear" w:color="auto" w:fill="FFFFFF"/>
        </w:rPr>
        <w:t>Once established delivery to the consumer is satisfied it being unnecessary to go to the next step in the evidence, being delivery by the post office to the address (of a registered slip).</w:t>
      </w:r>
    </w:p>
    <w:p w:rsidR="00C54D1C" w:rsidRDefault="00C54D1C">
      <w:pPr>
        <w:pStyle w:val="Default"/>
        <w:spacing w:line="360" w:lineRule="auto"/>
        <w:ind w:left="709" w:hanging="709"/>
        <w:jc w:val="both"/>
        <w:rPr>
          <w:rFonts w:ascii="Arial" w:eastAsia="Arial" w:hAnsi="Arial" w:cs="Arial"/>
          <w:color w:val="242020"/>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u w:color="242020"/>
          <w:shd w:val="clear" w:color="auto" w:fill="FFFFFF"/>
        </w:rPr>
      </w:pPr>
      <w:r>
        <w:rPr>
          <w:rFonts w:ascii="Arial" w:hAnsi="Arial"/>
          <w:color w:val="242020"/>
          <w:u w:color="242020"/>
          <w:shd w:val="clear" w:color="auto" w:fill="FFFFFF"/>
        </w:rPr>
        <w:t>[55]</w:t>
      </w:r>
      <w:r>
        <w:rPr>
          <w:rFonts w:ascii="Arial" w:hAnsi="Arial"/>
          <w:color w:val="242020"/>
          <w:u w:color="242020"/>
          <w:shd w:val="clear" w:color="auto" w:fill="FFFFFF"/>
        </w:rPr>
        <w:tab/>
        <w:t xml:space="preserve">In this matter there is the relevant proof of delivery to the relevant post office and that is sufficient.  Whether or not Defendant received a slip or not or whether this was delivered is legally irrelevant, delivery being </w:t>
      </w:r>
      <w:proofErr w:type="gramStart"/>
      <w:r>
        <w:rPr>
          <w:rFonts w:ascii="Arial" w:hAnsi="Arial"/>
          <w:color w:val="242020"/>
          <w:u w:color="242020"/>
          <w:shd w:val="clear" w:color="auto" w:fill="FFFFFF"/>
        </w:rPr>
        <w:t>presumed.</w:t>
      </w:r>
      <w:proofErr w:type="gramEnd"/>
    </w:p>
    <w:p w:rsidR="00C54D1C" w:rsidRDefault="00C54D1C">
      <w:pPr>
        <w:pStyle w:val="Default"/>
        <w:spacing w:line="360" w:lineRule="auto"/>
        <w:jc w:val="both"/>
        <w:rPr>
          <w:rFonts w:ascii="Arial" w:eastAsia="Arial" w:hAnsi="Arial" w:cs="Arial"/>
          <w:b/>
          <w:bCs/>
          <w:color w:val="242020"/>
          <w:u w:val="single" w:color="242020"/>
          <w:shd w:val="clear" w:color="auto" w:fill="FFFFFF"/>
        </w:rPr>
      </w:pPr>
    </w:p>
    <w:p w:rsidR="00C54D1C" w:rsidRDefault="00441B0D">
      <w:pPr>
        <w:pStyle w:val="Default"/>
        <w:spacing w:line="360" w:lineRule="auto"/>
        <w:jc w:val="both"/>
        <w:rPr>
          <w:rFonts w:ascii="Arial" w:eastAsia="Arial" w:hAnsi="Arial" w:cs="Arial"/>
          <w:color w:val="242020"/>
          <w:u w:color="242020"/>
          <w:shd w:val="clear" w:color="auto" w:fill="FFFFFF"/>
        </w:rPr>
      </w:pPr>
      <w:r>
        <w:rPr>
          <w:rFonts w:ascii="Arial" w:hAnsi="Arial"/>
          <w:b/>
          <w:bCs/>
          <w:color w:val="242020"/>
          <w:u w:val="single" w:color="242020"/>
          <w:shd w:val="clear" w:color="auto" w:fill="FFFFFF"/>
        </w:rPr>
        <w:t>THE FACTS</w:t>
      </w:r>
    </w:p>
    <w:p w:rsidR="00C54D1C" w:rsidRDefault="00C54D1C">
      <w:pPr>
        <w:pStyle w:val="Default"/>
        <w:spacing w:line="360" w:lineRule="auto"/>
        <w:jc w:val="both"/>
        <w:rPr>
          <w:rFonts w:ascii="Arial" w:eastAsia="Arial" w:hAnsi="Arial" w:cs="Arial"/>
          <w:color w:val="242020"/>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u w:color="242020"/>
          <w:shd w:val="clear" w:color="auto" w:fill="FFFFFF"/>
        </w:rPr>
      </w:pPr>
      <w:r>
        <w:rPr>
          <w:rFonts w:ascii="Arial" w:hAnsi="Arial"/>
          <w:color w:val="242020"/>
          <w:u w:color="242020"/>
          <w:shd w:val="clear" w:color="auto" w:fill="FFFFFF"/>
        </w:rPr>
        <w:t>[56]</w:t>
      </w:r>
      <w:r>
        <w:rPr>
          <w:rFonts w:ascii="Arial" w:hAnsi="Arial"/>
          <w:color w:val="242020"/>
          <w:u w:color="242020"/>
          <w:shd w:val="clear" w:color="auto" w:fill="FFFFFF"/>
        </w:rPr>
        <w:tab/>
        <w:t>Plaintiff has presented the relevant proof of posting by registered mail and a track and trace report demonstrating not only written confirmation by the postal service of delivery to the relevant Queenstown Post Office but further dispatch of the first notice to the consumer.</w:t>
      </w:r>
    </w:p>
    <w:p w:rsidR="00C54D1C" w:rsidRDefault="00C54D1C">
      <w:pPr>
        <w:pStyle w:val="Default"/>
        <w:spacing w:line="360" w:lineRule="auto"/>
        <w:ind w:left="709" w:hanging="709"/>
        <w:jc w:val="both"/>
        <w:rPr>
          <w:rFonts w:ascii="Arial" w:eastAsia="Arial" w:hAnsi="Arial" w:cs="Arial"/>
          <w:color w:val="242020"/>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u w:color="242020"/>
          <w:shd w:val="clear" w:color="auto" w:fill="FFFFFF"/>
        </w:rPr>
      </w:pPr>
      <w:r>
        <w:rPr>
          <w:rFonts w:ascii="Arial" w:hAnsi="Arial"/>
          <w:color w:val="242020"/>
          <w:u w:color="242020"/>
          <w:shd w:val="clear" w:color="auto" w:fill="FFFFFF"/>
        </w:rPr>
        <w:t>[57]</w:t>
      </w:r>
      <w:r>
        <w:rPr>
          <w:rFonts w:ascii="Arial" w:hAnsi="Arial"/>
          <w:color w:val="242020"/>
          <w:u w:color="242020"/>
          <w:shd w:val="clear" w:color="auto" w:fill="FFFFFF"/>
        </w:rPr>
        <w:tab/>
        <w:t>The evidence of the Defendant was that his physical address has an external post box in the perimeter available to the postal services and that he checked this regularly on his arrival at home from time to time.</w:t>
      </w:r>
    </w:p>
    <w:p w:rsidR="00C54D1C" w:rsidRDefault="00C54D1C">
      <w:pPr>
        <w:pStyle w:val="Default"/>
        <w:spacing w:line="360" w:lineRule="auto"/>
        <w:ind w:left="709" w:hanging="709"/>
        <w:jc w:val="both"/>
        <w:rPr>
          <w:rFonts w:ascii="Arial" w:eastAsia="Arial" w:hAnsi="Arial" w:cs="Arial"/>
          <w:color w:val="242020"/>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u w:color="242020"/>
          <w:shd w:val="clear" w:color="auto" w:fill="FFFFFF"/>
        </w:rPr>
      </w:pPr>
      <w:r>
        <w:rPr>
          <w:rFonts w:ascii="Arial" w:hAnsi="Arial"/>
          <w:color w:val="242020"/>
          <w:u w:color="242020"/>
          <w:shd w:val="clear" w:color="auto" w:fill="FFFFFF"/>
        </w:rPr>
        <w:t>[58]</w:t>
      </w:r>
      <w:r>
        <w:rPr>
          <w:rFonts w:ascii="Arial" w:hAnsi="Arial"/>
          <w:color w:val="242020"/>
          <w:u w:color="242020"/>
          <w:shd w:val="clear" w:color="auto" w:fill="FFFFFF"/>
        </w:rPr>
        <w:tab/>
        <w:t>He said that at the relevant time he followed this procedure and that no postal slip relevant was received.</w:t>
      </w:r>
    </w:p>
    <w:p w:rsidR="00C54D1C" w:rsidRDefault="00C54D1C">
      <w:pPr>
        <w:pStyle w:val="Default"/>
        <w:spacing w:line="360" w:lineRule="auto"/>
        <w:ind w:left="709" w:hanging="709"/>
        <w:jc w:val="both"/>
        <w:rPr>
          <w:rFonts w:ascii="Arial" w:eastAsia="Arial" w:hAnsi="Arial" w:cs="Arial"/>
          <w:color w:val="242020"/>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u w:color="242020"/>
          <w:shd w:val="clear" w:color="auto" w:fill="FFFFFF"/>
        </w:rPr>
      </w:pPr>
      <w:r>
        <w:rPr>
          <w:rFonts w:ascii="Arial" w:hAnsi="Arial"/>
          <w:color w:val="242020"/>
          <w:u w:color="242020"/>
          <w:shd w:val="clear" w:color="auto" w:fill="FFFFFF"/>
        </w:rPr>
        <w:lastRenderedPageBreak/>
        <w:t>[59]</w:t>
      </w:r>
      <w:r>
        <w:rPr>
          <w:rFonts w:ascii="Arial" w:hAnsi="Arial"/>
          <w:color w:val="242020"/>
          <w:u w:color="242020"/>
          <w:shd w:val="clear" w:color="auto" w:fill="FFFFFF"/>
        </w:rPr>
        <w:tab/>
        <w:t>Had he received a slip he said that he would have collected the item and if he had received a Section 129 notice would have gone to Plaintiff bank to negotiate payment.</w:t>
      </w:r>
    </w:p>
    <w:p w:rsidR="00C54D1C" w:rsidRDefault="00C54D1C">
      <w:pPr>
        <w:pStyle w:val="Default"/>
        <w:spacing w:line="360" w:lineRule="auto"/>
        <w:ind w:left="709" w:hanging="709"/>
        <w:jc w:val="both"/>
        <w:rPr>
          <w:rFonts w:ascii="Arial" w:eastAsia="Arial" w:hAnsi="Arial" w:cs="Arial"/>
          <w:color w:val="242020"/>
          <w:u w:color="242020"/>
          <w:shd w:val="clear" w:color="auto" w:fill="FFFFFF"/>
        </w:rPr>
      </w:pPr>
    </w:p>
    <w:p w:rsidR="00C54D1C" w:rsidRDefault="00441B0D">
      <w:pPr>
        <w:pStyle w:val="Default"/>
        <w:spacing w:line="360" w:lineRule="auto"/>
        <w:ind w:left="709" w:hanging="709"/>
        <w:jc w:val="both"/>
        <w:rPr>
          <w:rFonts w:ascii="Arial" w:eastAsia="Arial" w:hAnsi="Arial" w:cs="Arial"/>
          <w:i/>
          <w:iCs/>
          <w:color w:val="242020"/>
          <w:u w:color="242020"/>
          <w:shd w:val="clear" w:color="auto" w:fill="FFFFFF"/>
        </w:rPr>
      </w:pPr>
      <w:r>
        <w:rPr>
          <w:rFonts w:ascii="Arial" w:hAnsi="Arial"/>
          <w:color w:val="242020"/>
          <w:u w:color="242020"/>
          <w:shd w:val="clear" w:color="auto" w:fill="FFFFFF"/>
        </w:rPr>
        <w:t>[60]</w:t>
      </w:r>
      <w:r>
        <w:rPr>
          <w:rFonts w:ascii="Arial" w:hAnsi="Arial"/>
          <w:color w:val="242020"/>
          <w:u w:color="242020"/>
          <w:shd w:val="clear" w:color="auto" w:fill="FFFFFF"/>
        </w:rPr>
        <w:tab/>
        <w:t xml:space="preserve">There are then the two mutually contradictory versions applicable. Put in terms of </w:t>
      </w:r>
      <w:proofErr w:type="spellStart"/>
      <w:r>
        <w:rPr>
          <w:rFonts w:ascii="Arial" w:hAnsi="Arial"/>
          <w:b/>
          <w:bCs/>
          <w:i/>
          <w:iCs/>
          <w:color w:val="242020"/>
          <w:u w:color="242020"/>
          <w:shd w:val="clear" w:color="auto" w:fill="FFFFFF"/>
        </w:rPr>
        <w:t>Sebola</w:t>
      </w:r>
      <w:proofErr w:type="spellEnd"/>
      <w:r>
        <w:rPr>
          <w:rFonts w:ascii="Arial" w:hAnsi="Arial"/>
          <w:b/>
          <w:bCs/>
          <w:color w:val="242020"/>
          <w:u w:color="242020"/>
          <w:shd w:val="clear" w:color="auto" w:fill="FFFFFF"/>
        </w:rPr>
        <w:t xml:space="preserve"> </w:t>
      </w:r>
      <w:r>
        <w:rPr>
          <w:rFonts w:ascii="Arial" w:hAnsi="Arial"/>
          <w:color w:val="242020"/>
          <w:u w:color="242020"/>
          <w:shd w:val="clear" w:color="auto" w:fill="FFFFFF"/>
        </w:rPr>
        <w:t xml:space="preserve">and </w:t>
      </w:r>
      <w:proofErr w:type="spellStart"/>
      <w:r>
        <w:rPr>
          <w:rFonts w:ascii="Arial" w:hAnsi="Arial"/>
          <w:b/>
          <w:bCs/>
          <w:i/>
          <w:iCs/>
          <w:color w:val="242020"/>
          <w:u w:color="242020"/>
          <w:shd w:val="clear" w:color="auto" w:fill="FFFFFF"/>
        </w:rPr>
        <w:t>Kubyana</w:t>
      </w:r>
      <w:proofErr w:type="spellEnd"/>
      <w:r>
        <w:rPr>
          <w:rFonts w:ascii="Arial" w:hAnsi="Arial"/>
          <w:b/>
          <w:bCs/>
          <w:i/>
          <w:iCs/>
          <w:color w:val="242020"/>
          <w:u w:color="242020"/>
          <w:shd w:val="clear" w:color="auto" w:fill="FFFFFF"/>
        </w:rPr>
        <w:t xml:space="preserve"> </w:t>
      </w:r>
      <w:r>
        <w:rPr>
          <w:rFonts w:ascii="Arial" w:hAnsi="Arial"/>
          <w:color w:val="242020"/>
          <w:u w:color="242020"/>
          <w:shd w:val="clear" w:color="auto" w:fill="FFFFFF"/>
        </w:rPr>
        <w:t>the onus is on the Defendant to rebut the inference/presumption of delivery, but in the context of Section 129.  The question is however that I have concluded that once proof of delivery to the correct post office is proved and not rebutted this is the end of the matter.  If I am incorrect this issue rebuttal however falls to be considered on the facts.</w:t>
      </w:r>
      <w:r>
        <w:rPr>
          <w:rFonts w:ascii="Arial" w:hAnsi="Arial"/>
          <w:i/>
          <w:iCs/>
          <w:color w:val="242020"/>
          <w:u w:color="242020"/>
          <w:shd w:val="clear" w:color="auto" w:fill="FFFFFF"/>
        </w:rPr>
        <w:t>'</w:t>
      </w:r>
    </w:p>
    <w:p w:rsidR="00C54D1C" w:rsidRDefault="00C54D1C">
      <w:pPr>
        <w:pStyle w:val="Default"/>
        <w:spacing w:line="360" w:lineRule="auto"/>
        <w:jc w:val="both"/>
        <w:rPr>
          <w:rFonts w:ascii="Arial" w:eastAsia="Arial" w:hAnsi="Arial" w:cs="Arial"/>
          <w:i/>
          <w:iCs/>
          <w:color w:val="242020"/>
          <w:sz w:val="32"/>
          <w:szCs w:val="32"/>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sz w:val="24"/>
          <w:szCs w:val="24"/>
          <w:u w:color="242020"/>
          <w:shd w:val="clear" w:color="auto" w:fill="FFFFFF"/>
        </w:rPr>
      </w:pPr>
      <w:r>
        <w:rPr>
          <w:rFonts w:ascii="Arial" w:hAnsi="Arial"/>
          <w:color w:val="242020"/>
          <w:sz w:val="24"/>
          <w:szCs w:val="24"/>
          <w:u w:color="242020"/>
          <w:shd w:val="clear" w:color="auto" w:fill="FFFFFF"/>
        </w:rPr>
        <w:t xml:space="preserve">[25] </w:t>
      </w:r>
      <w:r>
        <w:rPr>
          <w:rFonts w:ascii="Arial" w:hAnsi="Arial"/>
          <w:color w:val="242020"/>
          <w:sz w:val="24"/>
          <w:szCs w:val="24"/>
          <w:u w:color="242020"/>
          <w:shd w:val="clear" w:color="auto" w:fill="FFFFFF"/>
        </w:rPr>
        <w:tab/>
        <w:t xml:space="preserve">I am in agreement with this reasoning and, on the facts of this case, given the inadmissibility of the evidence to which I have referred, the provisions of section 129 have been complied with. Here, too, there is proof of delivery to the relevant Post Office and proof of the track and trace results. There is no admissible evidence which, on a balance of probabilities, disturbs this evidence in any manner. This means that </w:t>
      </w:r>
      <w:proofErr w:type="spellStart"/>
      <w:r>
        <w:rPr>
          <w:rFonts w:ascii="Arial" w:hAnsi="Arial"/>
          <w:color w:val="242020"/>
          <w:sz w:val="24"/>
          <w:szCs w:val="24"/>
          <w:u w:color="242020"/>
          <w:shd w:val="clear" w:color="auto" w:fill="FFFFFF"/>
        </w:rPr>
        <w:t>Maseng</w:t>
      </w:r>
      <w:proofErr w:type="spellEnd"/>
      <w:r>
        <w:rPr>
          <w:rFonts w:ascii="Arial" w:hAnsi="Arial"/>
          <w:color w:val="242020"/>
          <w:sz w:val="24"/>
          <w:szCs w:val="24"/>
          <w:u w:color="242020"/>
          <w:shd w:val="clear" w:color="auto" w:fill="FFFFFF"/>
        </w:rPr>
        <w:t xml:space="preserve"> has not discharged the onus to rebut the presumption of delivery.  </w:t>
      </w:r>
    </w:p>
    <w:p w:rsidR="00C54D1C" w:rsidRDefault="00C54D1C">
      <w:pPr>
        <w:pStyle w:val="Default"/>
        <w:spacing w:line="360" w:lineRule="auto"/>
        <w:jc w:val="both"/>
        <w:rPr>
          <w:rFonts w:ascii="Arial" w:eastAsia="Arial" w:hAnsi="Arial" w:cs="Arial"/>
          <w:color w:val="242020"/>
          <w:sz w:val="24"/>
          <w:szCs w:val="24"/>
          <w:u w:color="242020"/>
          <w:shd w:val="clear" w:color="auto" w:fill="FFFFFF"/>
        </w:rPr>
      </w:pPr>
    </w:p>
    <w:p w:rsidR="00C54D1C" w:rsidRDefault="00441B0D">
      <w:pPr>
        <w:pStyle w:val="Default"/>
        <w:spacing w:line="360" w:lineRule="auto"/>
        <w:ind w:left="709" w:hanging="709"/>
        <w:jc w:val="both"/>
        <w:rPr>
          <w:rFonts w:ascii="Arial" w:eastAsia="Arial" w:hAnsi="Arial" w:cs="Arial"/>
          <w:color w:val="242020"/>
          <w:sz w:val="24"/>
          <w:szCs w:val="24"/>
          <w:u w:color="242020"/>
          <w:shd w:val="clear" w:color="auto" w:fill="FFFF00"/>
        </w:rPr>
      </w:pPr>
      <w:r>
        <w:rPr>
          <w:rFonts w:ascii="Arial" w:hAnsi="Arial"/>
          <w:color w:val="242020"/>
          <w:sz w:val="24"/>
          <w:szCs w:val="24"/>
          <w:u w:color="242020"/>
          <w:shd w:val="clear" w:color="auto" w:fill="FFFFFF"/>
        </w:rPr>
        <w:t xml:space="preserve">[26] </w:t>
      </w:r>
      <w:r>
        <w:rPr>
          <w:rFonts w:ascii="Arial" w:hAnsi="Arial"/>
          <w:color w:val="242020"/>
          <w:sz w:val="24"/>
          <w:szCs w:val="24"/>
          <w:u w:color="242020"/>
          <w:shd w:val="clear" w:color="auto" w:fill="FFFFFF"/>
        </w:rPr>
        <w:tab/>
        <w:t xml:space="preserve">Not a single submission was made by counsel for </w:t>
      </w:r>
      <w:proofErr w:type="spellStart"/>
      <w:r>
        <w:rPr>
          <w:rFonts w:ascii="Arial" w:hAnsi="Arial"/>
          <w:color w:val="242020"/>
          <w:sz w:val="24"/>
          <w:szCs w:val="24"/>
          <w:u w:color="242020"/>
          <w:shd w:val="clear" w:color="auto" w:fill="FFFFFF"/>
        </w:rPr>
        <w:t>Maseng</w:t>
      </w:r>
      <w:proofErr w:type="spellEnd"/>
      <w:r>
        <w:rPr>
          <w:rFonts w:ascii="Arial" w:hAnsi="Arial"/>
          <w:color w:val="242020"/>
          <w:sz w:val="24"/>
          <w:szCs w:val="24"/>
          <w:u w:color="242020"/>
          <w:shd w:val="clear" w:color="auto" w:fill="FFFFFF"/>
        </w:rPr>
        <w:t xml:space="preserve"> on rule 46A and he unequivocally said that the only ground of opposition was non-compliance with section 129 of the NCA. I now have deal with the issue of the reserve price of the property. In this matter there is a large discrepancy between the market value and the municipal value. The market value is said to be R11 400000.00 and the municipal value approximately R 4 900000.00. What I have done is this. I have reduced the market value by 27% and subtracted the outstanding amount due to the local authority of R 210 870.00 and the outstanding amount due for levies of R 3990.00 and reached an amount of approximately R8 100 000.00. In attempting to strike a fair balance to both parties, I have decided to set a reserve price of R8 000 000.00 and make the order set out below.</w:t>
      </w:r>
    </w:p>
    <w:p w:rsidR="00C54D1C" w:rsidRDefault="00C54D1C">
      <w:pPr>
        <w:pStyle w:val="ListParagraph"/>
        <w:spacing w:after="0" w:line="360" w:lineRule="auto"/>
        <w:ind w:left="709" w:hanging="709"/>
        <w:jc w:val="both"/>
        <w:rPr>
          <w:rFonts w:ascii="Arial" w:eastAsia="Arial" w:hAnsi="Arial" w:cs="Arial"/>
          <w:b/>
          <w:bCs/>
          <w:sz w:val="24"/>
          <w:szCs w:val="24"/>
          <w:u w:val="single"/>
          <w:lang w:val="pt-PT"/>
        </w:rPr>
      </w:pPr>
    </w:p>
    <w:p w:rsidR="00C54D1C" w:rsidRDefault="00441B0D">
      <w:pPr>
        <w:pStyle w:val="ListParagraph"/>
        <w:spacing w:after="0" w:line="360" w:lineRule="auto"/>
        <w:ind w:left="709" w:hanging="709"/>
        <w:jc w:val="both"/>
        <w:rPr>
          <w:rFonts w:ascii="Arial" w:eastAsia="Arial" w:hAnsi="Arial" w:cs="Arial"/>
          <w:b/>
          <w:bCs/>
          <w:sz w:val="24"/>
          <w:szCs w:val="24"/>
          <w:u w:val="single"/>
          <w:lang w:val="pt-PT"/>
        </w:rPr>
      </w:pPr>
      <w:r>
        <w:rPr>
          <w:rFonts w:ascii="Arial" w:hAnsi="Arial"/>
          <w:b/>
          <w:bCs/>
          <w:sz w:val="24"/>
          <w:szCs w:val="24"/>
          <w:u w:val="single"/>
          <w:lang w:val="pt-PT"/>
        </w:rPr>
        <w:t>Order</w:t>
      </w:r>
    </w:p>
    <w:p w:rsidR="00C54D1C" w:rsidRDefault="00C54D1C">
      <w:pPr>
        <w:pStyle w:val="ListParagraph"/>
        <w:spacing w:after="0" w:line="360" w:lineRule="auto"/>
        <w:ind w:left="709" w:hanging="709"/>
        <w:jc w:val="both"/>
        <w:rPr>
          <w:rFonts w:ascii="Arial" w:eastAsia="Arial" w:hAnsi="Arial" w:cs="Arial"/>
          <w:sz w:val="24"/>
          <w:szCs w:val="24"/>
        </w:rPr>
      </w:pPr>
    </w:p>
    <w:p w:rsidR="00C54D1C" w:rsidRDefault="00441B0D">
      <w:pPr>
        <w:pStyle w:val="ListParagraph"/>
        <w:spacing w:after="0" w:line="360" w:lineRule="auto"/>
        <w:ind w:left="709" w:hanging="709"/>
        <w:jc w:val="both"/>
        <w:rPr>
          <w:rFonts w:ascii="Arial" w:eastAsia="Arial" w:hAnsi="Arial" w:cs="Arial"/>
          <w:b/>
          <w:bCs/>
          <w:sz w:val="24"/>
          <w:szCs w:val="24"/>
          <w:u w:val="single"/>
        </w:rPr>
      </w:pPr>
      <w:r>
        <w:rPr>
          <w:rFonts w:ascii="Arial" w:hAnsi="Arial"/>
          <w:sz w:val="24"/>
          <w:szCs w:val="24"/>
        </w:rPr>
        <w:t>[27]</w:t>
      </w:r>
      <w:r>
        <w:rPr>
          <w:rFonts w:ascii="Arial" w:hAnsi="Arial"/>
          <w:sz w:val="24"/>
          <w:szCs w:val="24"/>
        </w:rPr>
        <w:tab/>
        <w:t xml:space="preserve">Judgment is granted in </w:t>
      </w:r>
      <w:proofErr w:type="spellStart"/>
      <w:r>
        <w:rPr>
          <w:rFonts w:ascii="Arial" w:hAnsi="Arial"/>
          <w:sz w:val="24"/>
          <w:szCs w:val="24"/>
        </w:rPr>
        <w:t>favour</w:t>
      </w:r>
      <w:proofErr w:type="spellEnd"/>
      <w:r>
        <w:rPr>
          <w:rFonts w:ascii="Arial" w:hAnsi="Arial"/>
          <w:sz w:val="24"/>
          <w:szCs w:val="24"/>
        </w:rPr>
        <w:t xml:space="preserve"> of the applicant against the first and second respondents in the following terms:</w:t>
      </w:r>
    </w:p>
    <w:p w:rsidR="00C54D1C" w:rsidRDefault="00C54D1C">
      <w:pPr>
        <w:pStyle w:val="ListParagraph"/>
        <w:spacing w:after="0" w:line="360" w:lineRule="auto"/>
        <w:ind w:left="0"/>
        <w:jc w:val="both"/>
        <w:rPr>
          <w:rFonts w:ascii="Arial" w:eastAsia="Arial" w:hAnsi="Arial" w:cs="Arial"/>
          <w:sz w:val="24"/>
          <w:szCs w:val="24"/>
        </w:rPr>
      </w:pPr>
    </w:p>
    <w:p w:rsidR="00C54D1C" w:rsidRDefault="00441B0D">
      <w:pPr>
        <w:pStyle w:val="BodyA"/>
        <w:spacing w:after="0" w:line="360" w:lineRule="auto"/>
        <w:jc w:val="both"/>
        <w:rPr>
          <w:rFonts w:ascii="Arial" w:eastAsia="Arial" w:hAnsi="Arial" w:cs="Arial"/>
          <w:sz w:val="24"/>
          <w:szCs w:val="24"/>
        </w:rPr>
      </w:pPr>
      <w:r>
        <w:rPr>
          <w:rFonts w:ascii="Arial" w:hAnsi="Arial"/>
          <w:sz w:val="24"/>
          <w:szCs w:val="24"/>
        </w:rPr>
        <w:t>27.1</w:t>
      </w:r>
      <w:r>
        <w:rPr>
          <w:rFonts w:ascii="Arial" w:hAnsi="Arial"/>
          <w:sz w:val="24"/>
          <w:szCs w:val="24"/>
        </w:rPr>
        <w:tab/>
        <w:t>Payment of R684 143</w:t>
      </w:r>
      <w:proofErr w:type="gramStart"/>
      <w:r>
        <w:rPr>
          <w:rFonts w:ascii="Arial" w:hAnsi="Arial"/>
          <w:sz w:val="24"/>
          <w:szCs w:val="24"/>
        </w:rPr>
        <w:t>,18</w:t>
      </w:r>
      <w:proofErr w:type="gramEnd"/>
      <w:r>
        <w:rPr>
          <w:rFonts w:ascii="Arial" w:hAnsi="Arial"/>
          <w:sz w:val="24"/>
          <w:szCs w:val="24"/>
        </w:rPr>
        <w:t>;</w:t>
      </w:r>
    </w:p>
    <w:p w:rsidR="00C54D1C" w:rsidRDefault="00C54D1C">
      <w:pPr>
        <w:pStyle w:val="BodyA"/>
        <w:spacing w:after="0" w:line="360" w:lineRule="auto"/>
        <w:jc w:val="both"/>
        <w:rPr>
          <w:rFonts w:ascii="Arial" w:eastAsia="Arial" w:hAnsi="Arial" w:cs="Arial"/>
          <w:sz w:val="24"/>
          <w:szCs w:val="24"/>
        </w:rPr>
      </w:pPr>
    </w:p>
    <w:p w:rsidR="00C54D1C" w:rsidRDefault="00441B0D">
      <w:pPr>
        <w:pStyle w:val="BodyA"/>
        <w:spacing w:after="0" w:line="360" w:lineRule="auto"/>
        <w:ind w:left="709" w:hanging="709"/>
        <w:jc w:val="both"/>
        <w:rPr>
          <w:rFonts w:ascii="Arial" w:eastAsia="Arial" w:hAnsi="Arial" w:cs="Arial"/>
          <w:sz w:val="24"/>
          <w:szCs w:val="24"/>
        </w:rPr>
      </w:pPr>
      <w:r>
        <w:rPr>
          <w:rFonts w:ascii="Arial" w:hAnsi="Arial"/>
          <w:sz w:val="24"/>
          <w:szCs w:val="24"/>
        </w:rPr>
        <w:t>27.2</w:t>
      </w:r>
      <w:r>
        <w:rPr>
          <w:rFonts w:ascii="Arial" w:hAnsi="Arial"/>
          <w:sz w:val="24"/>
          <w:szCs w:val="24"/>
        </w:rPr>
        <w:tab/>
        <w:t>Interest on the sum of R684 143.18 at the rate of 7.75% per annum, calculated daily and compounded monthly in arrears, from 4 March 2022 to date of payment, both days inclusive.</w:t>
      </w:r>
    </w:p>
    <w:p w:rsidR="00C54D1C" w:rsidRDefault="00C54D1C">
      <w:pPr>
        <w:pStyle w:val="ListParagraph"/>
        <w:spacing w:after="0" w:line="360" w:lineRule="auto"/>
        <w:ind w:left="0"/>
        <w:jc w:val="both"/>
        <w:rPr>
          <w:rFonts w:ascii="Arial" w:eastAsia="Arial" w:hAnsi="Arial" w:cs="Arial"/>
          <w:sz w:val="24"/>
          <w:szCs w:val="24"/>
        </w:rPr>
      </w:pPr>
    </w:p>
    <w:p w:rsidR="00C54D1C" w:rsidRDefault="00441B0D">
      <w:pPr>
        <w:pStyle w:val="ListParagraph"/>
        <w:spacing w:after="0" w:line="360" w:lineRule="auto"/>
        <w:ind w:left="709" w:hanging="709"/>
        <w:jc w:val="both"/>
        <w:rPr>
          <w:rFonts w:ascii="Arial" w:eastAsia="Arial" w:hAnsi="Arial" w:cs="Arial"/>
          <w:sz w:val="24"/>
          <w:szCs w:val="24"/>
        </w:rPr>
      </w:pPr>
      <w:r>
        <w:rPr>
          <w:rFonts w:ascii="Arial" w:hAnsi="Arial"/>
          <w:sz w:val="24"/>
          <w:szCs w:val="24"/>
        </w:rPr>
        <w:t>[28]</w:t>
      </w:r>
      <w:r>
        <w:rPr>
          <w:rFonts w:ascii="Arial" w:hAnsi="Arial"/>
          <w:sz w:val="24"/>
          <w:szCs w:val="24"/>
        </w:rPr>
        <w:tab/>
        <w:t>The following immovable property is declared specifically executable in terms of rule 46(8)(d) read with rule 46(8)(e) with a reserve price of R8 000 000.00</w:t>
      </w:r>
    </w:p>
    <w:p w:rsidR="00C54D1C" w:rsidRDefault="00C54D1C">
      <w:pPr>
        <w:pStyle w:val="ListParagraph"/>
        <w:spacing w:after="0" w:line="360" w:lineRule="auto"/>
        <w:ind w:left="0"/>
        <w:jc w:val="both"/>
        <w:rPr>
          <w:rFonts w:ascii="Arial" w:eastAsia="Arial" w:hAnsi="Arial" w:cs="Arial"/>
          <w:b/>
          <w:bCs/>
          <w:sz w:val="24"/>
          <w:szCs w:val="24"/>
        </w:rPr>
      </w:pPr>
    </w:p>
    <w:p w:rsidR="00C54D1C" w:rsidRDefault="00441B0D">
      <w:pPr>
        <w:pStyle w:val="ListParagraph"/>
        <w:spacing w:after="0" w:line="360" w:lineRule="auto"/>
        <w:ind w:left="709"/>
        <w:jc w:val="both"/>
        <w:rPr>
          <w:rFonts w:ascii="Arial" w:eastAsia="Arial" w:hAnsi="Arial" w:cs="Arial"/>
          <w:b/>
          <w:bCs/>
          <w:sz w:val="24"/>
          <w:szCs w:val="24"/>
        </w:rPr>
      </w:pPr>
      <w:r>
        <w:rPr>
          <w:rFonts w:ascii="Arial" w:hAnsi="Arial"/>
          <w:b/>
          <w:bCs/>
          <w:sz w:val="24"/>
          <w:szCs w:val="24"/>
        </w:rPr>
        <w:t>ERF 4207 MIDSTREAM ESTATE EXT 53 TOWNSHIP, REGISTRATION DIVISION J.R., PROVINCE OF GAUTENG;</w:t>
      </w:r>
    </w:p>
    <w:p w:rsidR="00C54D1C" w:rsidRDefault="00441B0D">
      <w:pPr>
        <w:pStyle w:val="ListParagraph"/>
        <w:spacing w:after="0" w:line="360" w:lineRule="auto"/>
        <w:ind w:left="709"/>
        <w:jc w:val="both"/>
        <w:rPr>
          <w:rFonts w:ascii="Arial" w:eastAsia="Arial" w:hAnsi="Arial" w:cs="Arial"/>
          <w:b/>
          <w:bCs/>
          <w:sz w:val="24"/>
          <w:szCs w:val="24"/>
          <w:lang w:val="de-DE"/>
        </w:rPr>
      </w:pPr>
      <w:r>
        <w:rPr>
          <w:rFonts w:ascii="Arial" w:hAnsi="Arial"/>
          <w:b/>
          <w:bCs/>
          <w:sz w:val="24"/>
          <w:szCs w:val="24"/>
          <w:lang w:val="de-DE"/>
        </w:rPr>
        <w:t>MEASURING 2003 (TWO THOUSAND AND THREE) SQUARE METRES HELD BY DEED OF TRANSFER NO T08246/2016</w:t>
      </w:r>
    </w:p>
    <w:p w:rsidR="00C54D1C" w:rsidRDefault="00441B0D">
      <w:pPr>
        <w:pStyle w:val="ListParagraph"/>
        <w:spacing w:after="0" w:line="360" w:lineRule="auto"/>
        <w:ind w:left="709"/>
        <w:jc w:val="both"/>
        <w:rPr>
          <w:rFonts w:ascii="Arial" w:eastAsia="Arial" w:hAnsi="Arial" w:cs="Arial"/>
          <w:b/>
          <w:bCs/>
          <w:sz w:val="24"/>
          <w:szCs w:val="24"/>
        </w:rPr>
      </w:pPr>
      <w:r>
        <w:rPr>
          <w:rFonts w:ascii="Arial" w:hAnsi="Arial"/>
          <w:b/>
          <w:bCs/>
          <w:sz w:val="24"/>
          <w:szCs w:val="24"/>
        </w:rPr>
        <w:t>SUBJECT TO THE CONDITIONS THEREIN CONTAIN AND MORE ESPECIALLY SUBJECT TO THE RESTRICTIVE CONDITIONS IN FAVOUR OF MIDSTREAM HILL HOME OWNERS ASSOCIATION, NPC REG NO   2009/015026/08</w:t>
      </w:r>
    </w:p>
    <w:p w:rsidR="00C54D1C" w:rsidRDefault="00C54D1C">
      <w:pPr>
        <w:pStyle w:val="ListParagraph"/>
        <w:spacing w:after="0" w:line="360" w:lineRule="auto"/>
        <w:ind w:left="0"/>
        <w:jc w:val="both"/>
        <w:rPr>
          <w:rFonts w:ascii="Arial" w:eastAsia="Arial" w:hAnsi="Arial" w:cs="Arial"/>
          <w:b/>
          <w:bCs/>
          <w:sz w:val="24"/>
          <w:szCs w:val="24"/>
        </w:rPr>
      </w:pPr>
    </w:p>
    <w:p w:rsidR="00C54D1C" w:rsidRDefault="00441B0D">
      <w:pPr>
        <w:pStyle w:val="BodyB"/>
        <w:spacing w:line="360" w:lineRule="auto"/>
        <w:ind w:left="709" w:hanging="709"/>
        <w:jc w:val="both"/>
        <w:rPr>
          <w:rFonts w:ascii="Arial" w:eastAsia="Arial" w:hAnsi="Arial" w:cs="Arial"/>
        </w:rPr>
      </w:pPr>
      <w:r>
        <w:rPr>
          <w:rFonts w:ascii="Arial" w:hAnsi="Arial"/>
        </w:rPr>
        <w:t>[29]</w:t>
      </w:r>
      <w:r>
        <w:rPr>
          <w:rFonts w:ascii="Arial" w:hAnsi="Arial"/>
        </w:rPr>
        <w:tab/>
        <w:t xml:space="preserve">The registrar is </w:t>
      </w:r>
      <w:proofErr w:type="spellStart"/>
      <w:r>
        <w:rPr>
          <w:rFonts w:ascii="Arial" w:hAnsi="Arial"/>
        </w:rPr>
        <w:t>authorised</w:t>
      </w:r>
      <w:proofErr w:type="spellEnd"/>
      <w:r>
        <w:rPr>
          <w:rFonts w:ascii="Arial" w:hAnsi="Arial"/>
        </w:rPr>
        <w:t xml:space="preserve"> to issue a writ of execution against the immovable property described in prayer [28] </w:t>
      </w:r>
      <w:r>
        <w:rPr>
          <w:rFonts w:ascii="Arial" w:hAnsi="Arial"/>
          <w:i/>
          <w:iCs/>
        </w:rPr>
        <w:t>(supra),</w:t>
      </w:r>
      <w:r>
        <w:rPr>
          <w:rFonts w:ascii="Arial" w:hAnsi="Arial"/>
        </w:rPr>
        <w:t xml:space="preserve"> in terms of rule 46(1)(a)(ii) read with rule 46A(2)(c);</w:t>
      </w:r>
    </w:p>
    <w:p w:rsidR="00C54D1C" w:rsidRDefault="00C54D1C">
      <w:pPr>
        <w:pStyle w:val="ListParagraph"/>
        <w:spacing w:after="0" w:line="360" w:lineRule="auto"/>
        <w:jc w:val="both"/>
        <w:rPr>
          <w:rFonts w:ascii="Arial" w:eastAsia="Arial" w:hAnsi="Arial" w:cs="Arial"/>
          <w:sz w:val="24"/>
          <w:szCs w:val="24"/>
        </w:rPr>
      </w:pPr>
    </w:p>
    <w:p w:rsidR="00C54D1C" w:rsidRDefault="00441B0D">
      <w:pPr>
        <w:pStyle w:val="ListParagraph"/>
        <w:spacing w:after="0" w:line="360" w:lineRule="auto"/>
        <w:ind w:left="709" w:hanging="709"/>
        <w:jc w:val="both"/>
        <w:rPr>
          <w:rFonts w:ascii="Arial" w:eastAsia="Arial" w:hAnsi="Arial" w:cs="Arial"/>
          <w:sz w:val="24"/>
          <w:szCs w:val="24"/>
        </w:rPr>
      </w:pPr>
      <w:r>
        <w:rPr>
          <w:rFonts w:ascii="Arial" w:hAnsi="Arial"/>
          <w:sz w:val="24"/>
          <w:szCs w:val="24"/>
        </w:rPr>
        <w:t>[30]</w:t>
      </w:r>
      <w:r>
        <w:rPr>
          <w:rFonts w:ascii="Arial" w:hAnsi="Arial"/>
          <w:sz w:val="24"/>
          <w:szCs w:val="24"/>
        </w:rPr>
        <w:tab/>
        <w:t>The first and second respondents to pay the costs of this application on an attorney and client scale, jointly and severally.</w:t>
      </w:r>
    </w:p>
    <w:p w:rsidR="00C54D1C" w:rsidRDefault="00C54D1C">
      <w:pPr>
        <w:pStyle w:val="ListParagraph"/>
        <w:spacing w:after="0" w:line="360" w:lineRule="auto"/>
        <w:ind w:left="360"/>
        <w:jc w:val="both"/>
        <w:rPr>
          <w:rFonts w:ascii="Arial" w:eastAsia="Arial" w:hAnsi="Arial" w:cs="Arial"/>
          <w:sz w:val="24"/>
          <w:szCs w:val="24"/>
        </w:rPr>
      </w:pPr>
    </w:p>
    <w:p w:rsidR="00C54D1C" w:rsidRDefault="00C54D1C">
      <w:pPr>
        <w:pStyle w:val="ListParagraph"/>
        <w:spacing w:after="0" w:line="360" w:lineRule="auto"/>
        <w:ind w:left="709" w:hanging="709"/>
        <w:jc w:val="both"/>
        <w:rPr>
          <w:rFonts w:ascii="Arial" w:eastAsia="Arial" w:hAnsi="Arial" w:cs="Arial"/>
          <w:i/>
          <w:iCs/>
          <w:sz w:val="24"/>
          <w:szCs w:val="24"/>
        </w:rPr>
      </w:pPr>
    </w:p>
    <w:p w:rsidR="00C54D1C" w:rsidRDefault="00C54D1C">
      <w:pPr>
        <w:pStyle w:val="ListParagraph"/>
        <w:spacing w:after="0" w:line="360" w:lineRule="auto"/>
        <w:ind w:left="567" w:hanging="567"/>
        <w:jc w:val="both"/>
        <w:rPr>
          <w:rFonts w:ascii="Arial" w:eastAsia="Arial" w:hAnsi="Arial" w:cs="Arial"/>
          <w:sz w:val="24"/>
          <w:szCs w:val="24"/>
        </w:rPr>
      </w:pPr>
    </w:p>
    <w:p w:rsidR="00C54D1C" w:rsidRDefault="00441B0D">
      <w:pPr>
        <w:pStyle w:val="BodyA"/>
        <w:spacing w:line="360" w:lineRule="auto"/>
        <w:ind w:left="1080"/>
        <w:jc w:val="right"/>
        <w:rPr>
          <w:rFonts w:ascii="Arial" w:eastAsia="Arial" w:hAnsi="Arial" w:cs="Arial"/>
          <w:sz w:val="24"/>
          <w:szCs w:val="24"/>
        </w:rPr>
      </w:pPr>
      <w:r>
        <w:rPr>
          <w:rFonts w:ascii="Arial" w:hAnsi="Arial"/>
          <w:sz w:val="24"/>
          <w:szCs w:val="24"/>
        </w:rPr>
        <w:t>_________________</w:t>
      </w:r>
    </w:p>
    <w:p w:rsidR="00C54D1C" w:rsidRDefault="00441B0D">
      <w:pPr>
        <w:pStyle w:val="BodyA"/>
        <w:spacing w:line="360" w:lineRule="auto"/>
        <w:ind w:left="1080"/>
        <w:jc w:val="right"/>
        <w:rPr>
          <w:rFonts w:ascii="Arial" w:eastAsia="Arial" w:hAnsi="Arial" w:cs="Arial"/>
          <w:b/>
          <w:bCs/>
          <w:sz w:val="24"/>
          <w:szCs w:val="24"/>
          <w:lang w:val="de-DE"/>
        </w:rPr>
      </w:pPr>
      <w:r>
        <w:rPr>
          <w:rFonts w:ascii="Arial" w:hAnsi="Arial"/>
          <w:b/>
          <w:bCs/>
          <w:sz w:val="24"/>
          <w:szCs w:val="24"/>
          <w:lang w:val="de-DE"/>
        </w:rPr>
        <w:t>REINARD MICHAU</w:t>
      </w:r>
    </w:p>
    <w:p w:rsidR="00C54D1C" w:rsidRDefault="00441B0D">
      <w:pPr>
        <w:pStyle w:val="BodyA"/>
        <w:spacing w:after="236"/>
        <w:ind w:left="10" w:right="56"/>
        <w:jc w:val="right"/>
        <w:rPr>
          <w:rFonts w:ascii="Arial" w:eastAsia="Arial" w:hAnsi="Arial" w:cs="Arial"/>
          <w:sz w:val="24"/>
          <w:szCs w:val="24"/>
        </w:rPr>
      </w:pPr>
      <w:r>
        <w:rPr>
          <w:rFonts w:ascii="Arial" w:hAnsi="Arial"/>
          <w:sz w:val="24"/>
          <w:szCs w:val="24"/>
        </w:rPr>
        <w:t xml:space="preserve">ACTING JUDGE OF THE HIGH COURT  </w:t>
      </w:r>
    </w:p>
    <w:p w:rsidR="00C54D1C" w:rsidRDefault="00441B0D">
      <w:pPr>
        <w:pStyle w:val="BodyA"/>
        <w:keepNext/>
        <w:keepLines/>
        <w:spacing w:after="236"/>
        <w:ind w:left="10" w:right="56" w:hanging="10"/>
        <w:jc w:val="right"/>
        <w:outlineLvl w:val="1"/>
        <w:rPr>
          <w:rFonts w:ascii="Arial" w:eastAsia="Arial" w:hAnsi="Arial" w:cs="Arial"/>
          <w:sz w:val="24"/>
          <w:szCs w:val="24"/>
          <w:lang w:val="de-DE"/>
        </w:rPr>
      </w:pPr>
      <w:r>
        <w:rPr>
          <w:rFonts w:ascii="Arial" w:hAnsi="Arial"/>
          <w:sz w:val="24"/>
          <w:szCs w:val="24"/>
          <w:lang w:val="de-DE"/>
        </w:rPr>
        <w:lastRenderedPageBreak/>
        <w:t xml:space="preserve">GAUTENG DIVISION, PRETORIA </w:t>
      </w:r>
    </w:p>
    <w:p w:rsidR="00C54D1C" w:rsidRDefault="00C54D1C">
      <w:pPr>
        <w:pStyle w:val="BodyA"/>
        <w:spacing w:after="0" w:line="256" w:lineRule="auto"/>
        <w:jc w:val="both"/>
        <w:rPr>
          <w:rFonts w:ascii="Arial" w:eastAsia="Arial" w:hAnsi="Arial" w:cs="Arial"/>
          <w:sz w:val="24"/>
          <w:szCs w:val="24"/>
        </w:rPr>
      </w:pPr>
    </w:p>
    <w:p w:rsidR="00C54D1C" w:rsidRDefault="00441B0D">
      <w:pPr>
        <w:pStyle w:val="BodyA"/>
        <w:spacing w:line="360" w:lineRule="auto"/>
        <w:jc w:val="both"/>
        <w:rPr>
          <w:rFonts w:ascii="Arial" w:eastAsia="Arial" w:hAnsi="Arial" w:cs="Arial"/>
          <w:sz w:val="24"/>
          <w:szCs w:val="24"/>
        </w:rPr>
      </w:pPr>
      <w:r>
        <w:rPr>
          <w:rFonts w:ascii="Arial" w:hAnsi="Arial"/>
          <w:sz w:val="24"/>
          <w:szCs w:val="24"/>
        </w:rPr>
        <w:t xml:space="preserve">Date of hearing:       15 November 2022 </w:t>
      </w:r>
    </w:p>
    <w:p w:rsidR="00C54D1C" w:rsidRDefault="00441B0D">
      <w:pPr>
        <w:pStyle w:val="BodyA"/>
        <w:spacing w:line="360" w:lineRule="auto"/>
        <w:jc w:val="both"/>
        <w:rPr>
          <w:rFonts w:ascii="Arial" w:eastAsia="Arial" w:hAnsi="Arial" w:cs="Arial"/>
          <w:sz w:val="24"/>
          <w:szCs w:val="24"/>
        </w:rPr>
      </w:pPr>
      <w:r>
        <w:rPr>
          <w:rFonts w:ascii="Arial" w:hAnsi="Arial"/>
          <w:sz w:val="24"/>
          <w:szCs w:val="24"/>
        </w:rPr>
        <w:t>Date of judgment:</w:t>
      </w:r>
      <w:r>
        <w:rPr>
          <w:rFonts w:ascii="Arial" w:hAnsi="Arial"/>
          <w:sz w:val="24"/>
          <w:szCs w:val="24"/>
        </w:rPr>
        <w:tab/>
        <w:t>18 November 2022</w:t>
      </w:r>
    </w:p>
    <w:p w:rsidR="00C54D1C" w:rsidRDefault="00441B0D">
      <w:pPr>
        <w:pStyle w:val="BodyA"/>
        <w:spacing w:line="360" w:lineRule="auto"/>
        <w:jc w:val="both"/>
        <w:rPr>
          <w:rFonts w:ascii="Arial" w:eastAsia="Arial" w:hAnsi="Arial" w:cs="Arial"/>
          <w:sz w:val="24"/>
          <w:szCs w:val="24"/>
        </w:rPr>
      </w:pPr>
      <w:r>
        <w:rPr>
          <w:rFonts w:ascii="Arial" w:hAnsi="Arial"/>
          <w:b/>
          <w:bCs/>
          <w:sz w:val="24"/>
          <w:szCs w:val="24"/>
          <w:u w:val="single"/>
        </w:rPr>
        <w:t xml:space="preserve">Appearance </w:t>
      </w:r>
    </w:p>
    <w:p w:rsidR="00C54D1C" w:rsidRDefault="00441B0D">
      <w:pPr>
        <w:pStyle w:val="BodyA"/>
        <w:tabs>
          <w:tab w:val="left" w:pos="3969"/>
        </w:tabs>
        <w:spacing w:line="360" w:lineRule="auto"/>
        <w:jc w:val="both"/>
        <w:rPr>
          <w:rFonts w:ascii="Arial" w:eastAsia="Arial" w:hAnsi="Arial" w:cs="Arial"/>
          <w:sz w:val="24"/>
          <w:szCs w:val="24"/>
          <w:lang w:val="nl-NL"/>
        </w:rPr>
      </w:pPr>
      <w:r>
        <w:rPr>
          <w:rFonts w:ascii="Arial" w:hAnsi="Arial"/>
          <w:sz w:val="24"/>
          <w:szCs w:val="24"/>
          <w:lang w:val="nl-NL"/>
        </w:rPr>
        <w:t xml:space="preserve"> On behalf of the Applicant</w:t>
      </w:r>
      <w:r>
        <w:rPr>
          <w:rFonts w:ascii="Arial" w:hAnsi="Arial"/>
          <w:sz w:val="24"/>
          <w:szCs w:val="24"/>
          <w:lang w:val="nl-NL"/>
        </w:rPr>
        <w:tab/>
        <w:t>NG Louw</w:t>
      </w:r>
    </w:p>
    <w:p w:rsidR="00C54D1C" w:rsidRDefault="00441B0D">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Cell: 073</w:t>
      </w:r>
      <w:r>
        <w:rPr>
          <w:rFonts w:ascii="Arial" w:hAnsi="Arial"/>
          <w:sz w:val="24"/>
          <w:szCs w:val="24"/>
        </w:rPr>
        <w:t> 352 2914</w:t>
      </w:r>
    </w:p>
    <w:p w:rsidR="00C54D1C" w:rsidRDefault="00441B0D">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Email: nlouw@lawcircle.co.za</w:t>
      </w:r>
      <w:r>
        <w:rPr>
          <w:rFonts w:ascii="Arial" w:eastAsia="Arial" w:hAnsi="Arial" w:cs="Arial"/>
          <w:sz w:val="24"/>
          <w:szCs w:val="24"/>
        </w:rPr>
        <w:tab/>
      </w:r>
    </w:p>
    <w:p w:rsidR="00C54D1C" w:rsidRDefault="00441B0D">
      <w:pPr>
        <w:pStyle w:val="BodyA"/>
        <w:tabs>
          <w:tab w:val="left" w:pos="3969"/>
        </w:tabs>
        <w:spacing w:line="360" w:lineRule="auto"/>
        <w:jc w:val="both"/>
        <w:rPr>
          <w:rFonts w:ascii="Arial" w:eastAsia="Arial" w:hAnsi="Arial" w:cs="Arial"/>
          <w:sz w:val="24"/>
          <w:szCs w:val="24"/>
          <w:lang w:val="it-IT"/>
        </w:rPr>
      </w:pPr>
      <w:r>
        <w:rPr>
          <w:rFonts w:ascii="Arial" w:hAnsi="Arial"/>
          <w:sz w:val="24"/>
          <w:szCs w:val="24"/>
          <w:lang w:val="it-IT"/>
        </w:rPr>
        <w:t>Instructed by</w:t>
      </w:r>
      <w:r>
        <w:rPr>
          <w:rFonts w:ascii="Arial" w:hAnsi="Arial"/>
          <w:sz w:val="24"/>
          <w:szCs w:val="24"/>
          <w:lang w:val="it-IT"/>
        </w:rPr>
        <w:tab/>
        <w:t>Rorich Wolmarans &amp; Luderitz Inc.</w:t>
      </w:r>
    </w:p>
    <w:p w:rsidR="00C54D1C" w:rsidRDefault="00441B0D">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lang w:val="de-DE"/>
        </w:rPr>
        <w:tab/>
        <w:t>Tel: 012</w:t>
      </w:r>
      <w:r>
        <w:rPr>
          <w:rFonts w:ascii="Arial" w:hAnsi="Arial"/>
          <w:sz w:val="24"/>
          <w:szCs w:val="24"/>
        </w:rPr>
        <w:t> 362 8990</w:t>
      </w:r>
    </w:p>
    <w:p w:rsidR="00C54D1C" w:rsidRDefault="00441B0D">
      <w:pPr>
        <w:pStyle w:val="BodyA"/>
        <w:tabs>
          <w:tab w:val="left" w:pos="3969"/>
        </w:tabs>
        <w:spacing w:line="360" w:lineRule="auto"/>
        <w:jc w:val="both"/>
        <w:rPr>
          <w:rFonts w:ascii="Arial" w:eastAsia="Arial" w:hAnsi="Arial" w:cs="Arial"/>
          <w:sz w:val="24"/>
          <w:szCs w:val="24"/>
        </w:rPr>
      </w:pPr>
      <w:r>
        <w:rPr>
          <w:rFonts w:ascii="Arial" w:hAnsi="Arial"/>
          <w:sz w:val="24"/>
          <w:szCs w:val="24"/>
        </w:rPr>
        <w:t xml:space="preserve">On behalf of the Respondents </w:t>
      </w:r>
      <w:r>
        <w:rPr>
          <w:rFonts w:ascii="Arial" w:hAnsi="Arial"/>
          <w:sz w:val="24"/>
          <w:szCs w:val="24"/>
        </w:rPr>
        <w:tab/>
      </w:r>
      <w:proofErr w:type="spellStart"/>
      <w:r>
        <w:rPr>
          <w:rFonts w:ascii="Arial" w:hAnsi="Arial"/>
          <w:sz w:val="24"/>
          <w:szCs w:val="24"/>
        </w:rPr>
        <w:t>Adv</w:t>
      </w:r>
      <w:proofErr w:type="spellEnd"/>
      <w:r>
        <w:rPr>
          <w:rFonts w:ascii="Arial" w:hAnsi="Arial"/>
          <w:sz w:val="24"/>
          <w:szCs w:val="24"/>
        </w:rPr>
        <w:t xml:space="preserve"> </w:t>
      </w:r>
      <w:proofErr w:type="spellStart"/>
      <w:r>
        <w:rPr>
          <w:rFonts w:ascii="Arial" w:hAnsi="Arial"/>
          <w:sz w:val="24"/>
          <w:szCs w:val="24"/>
        </w:rPr>
        <w:t>Mosala</w:t>
      </w:r>
      <w:proofErr w:type="spellEnd"/>
    </w:p>
    <w:p w:rsidR="00C54D1C" w:rsidRDefault="00441B0D">
      <w:pPr>
        <w:pStyle w:val="BodyA"/>
        <w:tabs>
          <w:tab w:val="left" w:pos="3969"/>
        </w:tabs>
        <w:spacing w:line="360" w:lineRule="auto"/>
        <w:jc w:val="both"/>
        <w:rPr>
          <w:rFonts w:ascii="Arial" w:eastAsia="Arial" w:hAnsi="Arial" w:cs="Arial"/>
          <w:sz w:val="24"/>
          <w:szCs w:val="24"/>
          <w:lang w:val="de-DE"/>
        </w:rPr>
      </w:pPr>
      <w:r>
        <w:rPr>
          <w:rFonts w:ascii="Arial" w:hAnsi="Arial"/>
          <w:sz w:val="24"/>
          <w:szCs w:val="24"/>
          <w:lang w:val="de-DE"/>
        </w:rPr>
        <w:t>Instructed by</w:t>
      </w:r>
      <w:r>
        <w:rPr>
          <w:rFonts w:ascii="Arial" w:hAnsi="Arial"/>
          <w:sz w:val="24"/>
          <w:szCs w:val="24"/>
          <w:lang w:val="de-DE"/>
        </w:rPr>
        <w:tab/>
        <w:t>Christian N Mosala</w:t>
      </w:r>
    </w:p>
    <w:p w:rsidR="00C54D1C" w:rsidRDefault="00441B0D">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lang w:val="de-DE"/>
        </w:rPr>
        <w:tab/>
        <w:t>Cell: 082</w:t>
      </w:r>
      <w:r>
        <w:rPr>
          <w:rFonts w:ascii="Arial" w:hAnsi="Arial"/>
          <w:sz w:val="24"/>
          <w:szCs w:val="24"/>
        </w:rPr>
        <w:t> 444 3913</w:t>
      </w:r>
      <w:r>
        <w:rPr>
          <w:rFonts w:ascii="Arial" w:hAnsi="Arial"/>
          <w:sz w:val="24"/>
          <w:szCs w:val="24"/>
        </w:rPr>
        <w:tab/>
      </w:r>
    </w:p>
    <w:p w:rsidR="00C54D1C" w:rsidRDefault="00441B0D">
      <w:pPr>
        <w:pStyle w:val="BodyA"/>
        <w:tabs>
          <w:tab w:val="left" w:pos="3969"/>
        </w:tabs>
        <w:spacing w:line="360" w:lineRule="auto"/>
        <w:jc w:val="both"/>
        <w:rPr>
          <w:rFonts w:ascii="Arial" w:eastAsia="Arial" w:hAnsi="Arial" w:cs="Arial"/>
          <w:sz w:val="24"/>
          <w:szCs w:val="24"/>
        </w:rPr>
      </w:pPr>
      <w:r>
        <w:rPr>
          <w:rFonts w:ascii="Arial" w:eastAsia="Arial" w:hAnsi="Arial" w:cs="Arial"/>
          <w:sz w:val="24"/>
          <w:szCs w:val="24"/>
        </w:rPr>
        <w:tab/>
        <w:t xml:space="preserve">Email: Advchristianmosala@counseltsa.co.za </w:t>
      </w:r>
    </w:p>
    <w:p w:rsidR="00C54D1C" w:rsidRDefault="00C54D1C">
      <w:pPr>
        <w:pStyle w:val="BodyA"/>
        <w:spacing w:line="360" w:lineRule="auto"/>
        <w:jc w:val="both"/>
        <w:rPr>
          <w:rFonts w:ascii="Arial" w:eastAsia="Arial" w:hAnsi="Arial" w:cs="Arial"/>
          <w:sz w:val="24"/>
          <w:szCs w:val="24"/>
        </w:rPr>
      </w:pPr>
    </w:p>
    <w:p w:rsidR="00C54D1C" w:rsidRDefault="00C54D1C">
      <w:pPr>
        <w:pStyle w:val="BodyA"/>
        <w:spacing w:line="360" w:lineRule="auto"/>
        <w:jc w:val="both"/>
      </w:pPr>
    </w:p>
    <w:sectPr w:rsidR="00C54D1C">
      <w:headerReference w:type="default" r:id="rId8"/>
      <w:footerReference w:type="default" r:id="rId9"/>
      <w:headerReference w:type="first" r:id="rId10"/>
      <w:footerReference w:type="first" r:id="rId11"/>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5D" w:rsidRDefault="00A67A5D">
      <w:r>
        <w:separator/>
      </w:r>
    </w:p>
  </w:endnote>
  <w:endnote w:type="continuationSeparator" w:id="0">
    <w:p w:rsidR="00A67A5D" w:rsidRDefault="00A6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1C" w:rsidRDefault="00C54D1C">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1C" w:rsidRDefault="00C54D1C">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5D" w:rsidRDefault="00A67A5D">
      <w:r>
        <w:separator/>
      </w:r>
    </w:p>
  </w:footnote>
  <w:footnote w:type="continuationSeparator" w:id="0">
    <w:p w:rsidR="00A67A5D" w:rsidRDefault="00A67A5D">
      <w:r>
        <w:continuationSeparator/>
      </w:r>
    </w:p>
  </w:footnote>
  <w:footnote w:type="continuationNotice" w:id="1">
    <w:p w:rsidR="00A67A5D" w:rsidRDefault="00A67A5D"/>
  </w:footnote>
  <w:footnote w:id="2">
    <w:p w:rsidR="00C54D1C" w:rsidRDefault="00441B0D">
      <w:pPr>
        <w:pStyle w:val="FootnoteText"/>
      </w:pPr>
      <w:r>
        <w:rPr>
          <w:rFonts w:ascii="Arial" w:eastAsia="Arial" w:hAnsi="Arial" w:cs="Arial"/>
          <w:sz w:val="24"/>
          <w:szCs w:val="24"/>
          <w:vertAlign w:val="superscript"/>
        </w:rPr>
        <w:footnoteRef/>
      </w:r>
      <w:r>
        <w:t xml:space="preserve"> These statements were not refuted by </w:t>
      </w:r>
      <w:proofErr w:type="spellStart"/>
      <w:r>
        <w:t>Maseng</w:t>
      </w:r>
      <w:proofErr w:type="spellEnd"/>
    </w:p>
  </w:footnote>
  <w:footnote w:id="3">
    <w:p w:rsidR="00C54D1C" w:rsidRDefault="00441B0D">
      <w:pPr>
        <w:pStyle w:val="FootnoteText"/>
      </w:pPr>
      <w:r>
        <w:rPr>
          <w:rFonts w:ascii="Arial" w:eastAsia="Arial" w:hAnsi="Arial" w:cs="Arial"/>
          <w:sz w:val="24"/>
          <w:szCs w:val="24"/>
          <w:vertAlign w:val="superscript"/>
        </w:rPr>
        <w:footnoteRef/>
      </w:r>
      <w:r>
        <w:t xml:space="preserve"> 2019 (1) SA 152 (GJ) 'the Benson' case</w:t>
      </w:r>
    </w:p>
  </w:footnote>
  <w:footnote w:id="4">
    <w:p w:rsidR="00C54D1C" w:rsidRDefault="00441B0D">
      <w:pPr>
        <w:pStyle w:val="FootnoteText"/>
      </w:pPr>
      <w:r>
        <w:rPr>
          <w:rFonts w:ascii="Arial" w:eastAsia="Arial" w:hAnsi="Arial" w:cs="Arial"/>
          <w:sz w:val="24"/>
          <w:szCs w:val="24"/>
          <w:vertAlign w:val="superscript"/>
        </w:rPr>
        <w:footnoteRef/>
      </w:r>
      <w:r>
        <w:t xml:space="preserve"> 2012 (5) SA 142 (CC)</w:t>
      </w:r>
    </w:p>
  </w:footnote>
  <w:footnote w:id="5">
    <w:p w:rsidR="00C54D1C" w:rsidRDefault="00441B0D">
      <w:pPr>
        <w:pStyle w:val="FootnoteText"/>
      </w:pPr>
      <w:r>
        <w:rPr>
          <w:rFonts w:ascii="Arial" w:eastAsia="Arial" w:hAnsi="Arial" w:cs="Arial"/>
          <w:sz w:val="24"/>
          <w:szCs w:val="24"/>
          <w:vertAlign w:val="superscript"/>
        </w:rPr>
        <w:footnoteRef/>
      </w:r>
      <w:r>
        <w:t xml:space="preserve"> </w:t>
      </w:r>
      <w:proofErr w:type="spellStart"/>
      <w:r>
        <w:t>CaseLines</w:t>
      </w:r>
      <w:proofErr w:type="spellEnd"/>
      <w:r>
        <w:t xml:space="preserve"> reference L35</w:t>
      </w:r>
    </w:p>
  </w:footnote>
  <w:footnote w:id="6">
    <w:p w:rsidR="00C54D1C" w:rsidRDefault="00441B0D">
      <w:pPr>
        <w:pStyle w:val="FootnoteText"/>
      </w:pPr>
      <w:r>
        <w:rPr>
          <w:rFonts w:ascii="Arial" w:eastAsia="Arial" w:hAnsi="Arial" w:cs="Arial"/>
          <w:vertAlign w:val="superscript"/>
        </w:rPr>
        <w:footnoteRef/>
      </w:r>
      <w:r>
        <w:t xml:space="preserve"> It is common cause that this is the correct number</w:t>
      </w:r>
    </w:p>
  </w:footnote>
  <w:footnote w:id="7">
    <w:p w:rsidR="00C54D1C" w:rsidRDefault="00441B0D">
      <w:pPr>
        <w:pStyle w:val="FootnoteText"/>
      </w:pPr>
      <w:r>
        <w:rPr>
          <w:rFonts w:ascii="Arial" w:eastAsia="Arial" w:hAnsi="Arial" w:cs="Arial"/>
          <w:sz w:val="24"/>
          <w:szCs w:val="24"/>
          <w:vertAlign w:val="superscript"/>
        </w:rPr>
        <w:footnoteRef/>
      </w:r>
      <w:r>
        <w:t xml:space="preserve"> There is a signature attached, but I cannot read it.</w:t>
      </w:r>
    </w:p>
  </w:footnote>
  <w:footnote w:id="8">
    <w:p w:rsidR="00C54D1C" w:rsidRDefault="00441B0D">
      <w:pPr>
        <w:pStyle w:val="FootnoteText"/>
      </w:pPr>
      <w:r>
        <w:rPr>
          <w:rFonts w:ascii="Arial" w:eastAsia="Arial" w:hAnsi="Arial" w:cs="Arial"/>
          <w:sz w:val="24"/>
          <w:szCs w:val="24"/>
          <w:vertAlign w:val="superscript"/>
        </w:rPr>
        <w:footnoteRef/>
      </w:r>
      <w:r>
        <w:t xml:space="preserve"> As is the rendition of </w:t>
      </w:r>
      <w:proofErr w:type="spellStart"/>
      <w:r>
        <w:t>Maseng</w:t>
      </w:r>
      <w:proofErr w:type="spellEnd"/>
      <w:r>
        <w:t xml:space="preserve"> of what allegedly happened at the Post Office during that period.</w:t>
      </w:r>
    </w:p>
  </w:footnote>
  <w:footnote w:id="9">
    <w:p w:rsidR="00C54D1C" w:rsidRDefault="00441B0D">
      <w:pPr>
        <w:pStyle w:val="FootnoteText"/>
      </w:pPr>
      <w:r>
        <w:rPr>
          <w:rFonts w:ascii="Arial" w:eastAsia="Arial" w:hAnsi="Arial" w:cs="Arial"/>
          <w:sz w:val="24"/>
          <w:szCs w:val="24"/>
          <w:vertAlign w:val="superscript"/>
        </w:rPr>
        <w:footnoteRef/>
      </w:r>
      <w:r>
        <w:t xml:space="preserve"> Counsel for the Respondents submitted that he appears regularly in matters of this nature. This, seemingly, emboldened him to make this submission. </w:t>
      </w:r>
    </w:p>
  </w:footnote>
  <w:footnote w:id="10">
    <w:p w:rsidR="00C54D1C" w:rsidRDefault="00441B0D">
      <w:pPr>
        <w:pStyle w:val="FootnoteText"/>
      </w:pPr>
      <w:r>
        <w:rPr>
          <w:rFonts w:ascii="Arial" w:eastAsia="Arial" w:hAnsi="Arial" w:cs="Arial"/>
          <w:i/>
          <w:iCs/>
          <w:sz w:val="24"/>
          <w:szCs w:val="24"/>
          <w:vertAlign w:val="superscript"/>
        </w:rPr>
        <w:footnoteRef/>
      </w:r>
      <w:r>
        <w:t xml:space="preserve"> 2022 (2) SA 626 (ECG)</w:t>
      </w:r>
    </w:p>
  </w:footnote>
  <w:footnote w:id="11">
    <w:p w:rsidR="00C54D1C" w:rsidRDefault="00441B0D">
      <w:pPr>
        <w:pStyle w:val="FootnoteText"/>
      </w:pPr>
      <w:r>
        <w:rPr>
          <w:rFonts w:ascii="Arial" w:eastAsia="Arial" w:hAnsi="Arial" w:cs="Arial"/>
          <w:sz w:val="24"/>
          <w:szCs w:val="24"/>
          <w:vertAlign w:val="superscript"/>
        </w:rPr>
        <w:footnoteRef/>
      </w:r>
      <w:r>
        <w:t xml:space="preserve"> See paras 28-30 of the </w:t>
      </w:r>
      <w:proofErr w:type="spellStart"/>
      <w:r>
        <w:rPr>
          <w:i/>
          <w:iCs/>
        </w:rPr>
        <w:t>Wesbank</w:t>
      </w:r>
      <w:proofErr w:type="spellEnd"/>
      <w:r>
        <w:rPr>
          <w:i/>
          <w:iCs/>
        </w:rPr>
        <w:t xml:space="preserve"> </w:t>
      </w:r>
      <w:r>
        <w:t>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1C" w:rsidRDefault="00441B0D">
    <w:pPr>
      <w:pStyle w:val="Header"/>
      <w:tabs>
        <w:tab w:val="clear" w:pos="9026"/>
        <w:tab w:val="right" w:pos="9000"/>
      </w:tabs>
      <w:jc w:val="right"/>
    </w:pPr>
    <w:r>
      <w:fldChar w:fldCharType="begin"/>
    </w:r>
    <w:r>
      <w:instrText xml:space="preserve"> PAGE </w:instrText>
    </w:r>
    <w:r>
      <w:fldChar w:fldCharType="separate"/>
    </w:r>
    <w:r w:rsidR="005C4854">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1C" w:rsidRDefault="00C54D1C">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11AB9"/>
    <w:multiLevelType w:val="multilevel"/>
    <w:tmpl w:val="B2C83240"/>
    <w:styleLink w:val="ImportedStyle2"/>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05"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5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1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7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9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29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65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562927C9"/>
    <w:multiLevelType w:val="multilevel"/>
    <w:tmpl w:val="B2C83240"/>
    <w:numStyleLink w:val="ImportedStyle2"/>
  </w:abstractNum>
  <w:abstractNum w:abstractNumId="2">
    <w:nsid w:val="6BC6598E"/>
    <w:multiLevelType w:val="hybridMultilevel"/>
    <w:tmpl w:val="C400CB32"/>
    <w:lvl w:ilvl="0" w:tplc="C0B42EDC">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6E6C36A">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B0E404">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5DCF2AC">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E38A4">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2011A">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5149A46">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24651E">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2C7944">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1"/>
    <w:lvlOverride w:ilvl="0">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59"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6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667"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171"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start w:val="1"/>
        <w:numFmt w:val="decimal"/>
        <w:lvlText w:val="%1."/>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573" w:hanging="8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077" w:hanging="9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581" w:hanging="1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085" w:hanging="1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8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41" w:hanging="7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645" w:hanging="9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4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53" w:hanging="1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1C"/>
    <w:rsid w:val="00090BDB"/>
    <w:rsid w:val="00441B0D"/>
    <w:rsid w:val="005C4854"/>
    <w:rsid w:val="00612831"/>
    <w:rsid w:val="00A67A5D"/>
    <w:rsid w:val="00C54D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094D-90F0-4627-8881-E08F7AD1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styleId="FootnoteText">
    <w:name w:val="footnote text"/>
    <w:rPr>
      <w:rFonts w:ascii="Calibri" w:eastAsia="Calibri" w:hAnsi="Calibri" w:cs="Calibri"/>
      <w:color w:val="000000"/>
      <w:u w:color="000000"/>
      <w:lang w:val="en-US"/>
    </w:rPr>
  </w:style>
  <w:style w:type="character" w:styleId="FootnoteReference">
    <w:name w:val="footnote reference"/>
    <w:rPr>
      <w:vertAlign w:val="superscript"/>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1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3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Molebogeng Raseroka</dc:creator>
  <cp:lastModifiedBy>Mokone</cp:lastModifiedBy>
  <cp:revision>3</cp:revision>
  <cp:lastPrinted>2022-11-18T10:59:00Z</cp:lastPrinted>
  <dcterms:created xsi:type="dcterms:W3CDTF">2022-11-30T06:54:00Z</dcterms:created>
  <dcterms:modified xsi:type="dcterms:W3CDTF">2022-11-30T06:56:00Z</dcterms:modified>
</cp:coreProperties>
</file>