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81E4B" w14:textId="77777777" w:rsidR="001C2DA1" w:rsidRPr="0084067A" w:rsidRDefault="001C2DA1" w:rsidP="0084067A">
      <w:pPr>
        <w:jc w:val="center"/>
        <w:rPr>
          <w:b/>
          <w:u w:val="none"/>
        </w:rPr>
      </w:pPr>
    </w:p>
    <w:p w14:paraId="1E8ED856" w14:textId="77777777" w:rsidR="001C2DA1" w:rsidRDefault="001C2DA1" w:rsidP="0084067A">
      <w:pPr>
        <w:jc w:val="center"/>
        <w:rPr>
          <w:b/>
          <w:u w:val="none"/>
        </w:rPr>
      </w:pPr>
      <w:r w:rsidRPr="0084067A">
        <w:rPr>
          <w:b/>
          <w:u w:val="none"/>
        </w:rPr>
        <w:t xml:space="preserve">IN THE HIGH COURT OF </w:t>
      </w:r>
      <w:r w:rsidR="00371B79" w:rsidRPr="0084067A">
        <w:rPr>
          <w:b/>
          <w:u w:val="none"/>
        </w:rPr>
        <w:t>SOUTH AFRICA</w:t>
      </w:r>
    </w:p>
    <w:p w14:paraId="690E1619" w14:textId="77777777" w:rsidR="008037EC" w:rsidRPr="0084067A" w:rsidRDefault="008037EC" w:rsidP="0084067A">
      <w:pPr>
        <w:jc w:val="center"/>
        <w:rPr>
          <w:b/>
          <w:u w:val="none"/>
        </w:rPr>
      </w:pPr>
    </w:p>
    <w:p w14:paraId="5C729DC7" w14:textId="77777777" w:rsidR="001C2DA1" w:rsidRPr="0084067A" w:rsidRDefault="001C2DA1" w:rsidP="0084067A">
      <w:pPr>
        <w:jc w:val="center"/>
        <w:rPr>
          <w:b/>
          <w:u w:val="none"/>
        </w:rPr>
      </w:pPr>
      <w:r w:rsidRPr="0084067A">
        <w:rPr>
          <w:b/>
          <w:u w:val="none"/>
        </w:rPr>
        <w:t>(</w:t>
      </w:r>
      <w:r w:rsidR="00371B79" w:rsidRPr="0084067A">
        <w:rPr>
          <w:b/>
          <w:u w:val="none"/>
        </w:rPr>
        <w:t>GAUTENG DIVISION, PRETORIA</w:t>
      </w:r>
      <w:r w:rsidRPr="0084067A">
        <w:rPr>
          <w:b/>
          <w:u w:val="none"/>
        </w:rPr>
        <w:t>)</w:t>
      </w:r>
    </w:p>
    <w:p w14:paraId="341BB19D" w14:textId="77777777" w:rsidR="002F4398" w:rsidRPr="0084067A" w:rsidRDefault="002F4398" w:rsidP="00D3790A">
      <w:pPr>
        <w:rPr>
          <w:b/>
          <w:u w:val="none"/>
        </w:rPr>
      </w:pPr>
    </w:p>
    <w:p w14:paraId="2579911B" w14:textId="77777777" w:rsidR="0086145C" w:rsidRPr="00BB1C3F" w:rsidRDefault="00694469" w:rsidP="00BB1C3F">
      <w:pPr>
        <w:jc w:val="center"/>
        <w:rPr>
          <w:b/>
          <w:u w:val="none"/>
        </w:rPr>
      </w:pPr>
      <w:r w:rsidRPr="0084067A">
        <w:rPr>
          <w:b/>
          <w:noProof/>
          <w:u w:val="none"/>
          <w:lang w:val="en-US" w:eastAsia="en-US"/>
        </w:rPr>
        <mc:AlternateContent>
          <mc:Choice Requires="wpc">
            <w:drawing>
              <wp:inline distT="0" distB="0" distL="0" distR="0" wp14:anchorId="58270BC3" wp14:editId="6CFB0A1C">
                <wp:extent cx="1162050" cy="1247774"/>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90624"/>
                          </a:xfrm>
                          <a:prstGeom prst="rect">
                            <a:avLst/>
                          </a:prstGeom>
                          <a:noFill/>
                          <a:ln>
                            <a:noFill/>
                          </a:ln>
                        </pic:spPr>
                      </pic:pic>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84CFCD" id="Canvas 2" o:spid="_x0000_s1026" editas="canvas" style="width:91.5pt;height:98.25pt;mso-position-horizontal-relative:char;mso-position-vertical-relative:line" coordsize="11620,12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20;height:12471;visibility:visible;mso-wrap-style:square">
                  <v:fill o:detectmouseclick="t"/>
                  <v:path o:connecttype="none"/>
                </v:shape>
                <v:shape id="Picture 6" o:spid="_x0000_s1028" type="#_x0000_t75" alt="Description: Description: cid:image002.jpg@01D019DE.127D2590" style="position:absolute;width:11620;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">
                  <v:imagedata r:id="rId10" r:href="rId11"/>
                </v:shape>
                <w10:anchorlock/>
              </v:group>
            </w:pict>
          </mc:Fallback>
        </mc:AlternateContent>
      </w:r>
    </w:p>
    <w:p w14:paraId="43C06DB5" w14:textId="77777777" w:rsidR="0086145C" w:rsidRDefault="0086145C" w:rsidP="0054215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u w:val="none"/>
        </w:rPr>
      </w:pPr>
    </w:p>
    <w:p w14:paraId="483D9BBC" w14:textId="77777777" w:rsidR="0086145C" w:rsidRPr="007C20F4" w:rsidRDefault="0086145C" w:rsidP="0054215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u w:val="none"/>
        </w:rPr>
      </w:pPr>
    </w:p>
    <w:p w14:paraId="7E8C531C" w14:textId="77777777" w:rsidR="00052F10" w:rsidRPr="0084067A" w:rsidRDefault="007C20F4" w:rsidP="008037EC">
      <w:pPr>
        <w:rPr>
          <w:b/>
          <w:u w:val="none"/>
        </w:rPr>
      </w:pPr>
      <w:r w:rsidRPr="0084067A">
        <w:rPr>
          <w:b/>
          <w:noProof/>
          <w:lang w:val="en-US" w:eastAsia="en-US"/>
        </w:rPr>
        <mc:AlternateContent>
          <mc:Choice Requires="wps">
            <w:drawing>
              <wp:anchor distT="0" distB="0" distL="114300" distR="114300" simplePos="0" relativeHeight="251659264" behindDoc="0" locked="0" layoutInCell="1" allowOverlap="1" wp14:anchorId="75BFBEF1" wp14:editId="580D1D9C">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14:paraId="24A5C043" w14:textId="77777777" w:rsidR="008120F4" w:rsidRPr="00913F95" w:rsidRDefault="008120F4" w:rsidP="00D3790A">
                            <w:pPr>
                              <w:jc w:val="center"/>
                              <w:rPr>
                                <w:rFonts w:ascii="Century Gothic" w:hAnsi="Century Gothic"/>
                                <w:b/>
                                <w:sz w:val="20"/>
                                <w:szCs w:val="20"/>
                              </w:rPr>
                            </w:pPr>
                          </w:p>
                          <w:p w14:paraId="05CD95A6" w14:textId="77777777" w:rsidR="008120F4" w:rsidRPr="007C20F4" w:rsidRDefault="008120F4"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DELETE WHICHEVER IS NOT APPLICABLE</w:t>
                            </w:r>
                          </w:p>
                          <w:p w14:paraId="3AF2A379" w14:textId="08E9D523" w:rsidR="008120F4" w:rsidRPr="007C20F4" w:rsidRDefault="007F78CB" w:rsidP="007F78CB">
                            <w:pPr>
                              <w:widowControl w:val="0"/>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(1)</w:t>
                            </w:r>
                            <w:r w:rsidRPr="007C20F4">
                              <w:rPr>
                                <w:rFonts w:ascii="Calibri" w:eastAsia="Calibri" w:hAnsi="Calibri" w:cs="Times New Roman"/>
                                <w:sz w:val="20"/>
                                <w:szCs w:val="20"/>
                                <w:u w:val="none"/>
                                <w:lang w:val="af-ZA" w:eastAsia="en-US"/>
                              </w:rPr>
                              <w:tab/>
                            </w:r>
                            <w:r w:rsidR="008120F4" w:rsidRPr="007C20F4">
                              <w:rPr>
                                <w:rFonts w:ascii="Calibri" w:eastAsia="Calibri" w:hAnsi="Calibri" w:cs="Times New Roman"/>
                                <w:sz w:val="20"/>
                                <w:szCs w:val="20"/>
                                <w:u w:val="none"/>
                                <w:lang w:val="af-ZA" w:eastAsia="en-US"/>
                              </w:rPr>
                              <w:t>REPORTABLE: YES/NO</w:t>
                            </w:r>
                          </w:p>
                          <w:p w14:paraId="09762C35" w14:textId="11767817" w:rsidR="008120F4" w:rsidRPr="007C20F4" w:rsidRDefault="007F78CB" w:rsidP="007F78CB">
                            <w:pPr>
                              <w:widowControl w:val="0"/>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(2)</w:t>
                            </w:r>
                            <w:r w:rsidRPr="007C20F4">
                              <w:rPr>
                                <w:rFonts w:ascii="Calibri" w:eastAsia="Calibri" w:hAnsi="Calibri" w:cs="Times New Roman"/>
                                <w:sz w:val="20"/>
                                <w:szCs w:val="20"/>
                                <w:u w:val="none"/>
                                <w:lang w:val="af-ZA" w:eastAsia="en-US"/>
                              </w:rPr>
                              <w:tab/>
                            </w:r>
                            <w:r w:rsidR="008120F4" w:rsidRPr="007C20F4">
                              <w:rPr>
                                <w:rFonts w:ascii="Calibri" w:eastAsia="Calibri" w:hAnsi="Calibri" w:cs="Times New Roman"/>
                                <w:sz w:val="20"/>
                                <w:szCs w:val="20"/>
                                <w:u w:val="none"/>
                                <w:lang w:val="af-ZA" w:eastAsia="en-US"/>
                              </w:rPr>
                              <w:t>OF INTEREST TO OTHERS JUDGES: YES/NO</w:t>
                            </w:r>
                          </w:p>
                          <w:p w14:paraId="158A992A" w14:textId="33DF1D5E" w:rsidR="008120F4" w:rsidRPr="007C20F4" w:rsidRDefault="007F78CB" w:rsidP="007F78CB">
                            <w:pPr>
                              <w:widowControl w:val="0"/>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(3)</w:t>
                            </w:r>
                            <w:r w:rsidRPr="007C20F4">
                              <w:rPr>
                                <w:rFonts w:ascii="Calibri" w:eastAsia="Calibri" w:hAnsi="Calibri" w:cs="Times New Roman"/>
                                <w:sz w:val="20"/>
                                <w:szCs w:val="20"/>
                                <w:u w:val="none"/>
                                <w:lang w:val="af-ZA" w:eastAsia="en-US"/>
                              </w:rPr>
                              <w:tab/>
                            </w:r>
                            <w:r w:rsidR="008120F4" w:rsidRPr="007C20F4">
                              <w:rPr>
                                <w:rFonts w:ascii="Calibri" w:eastAsia="Calibri" w:hAnsi="Calibri" w:cs="Times New Roman"/>
                                <w:sz w:val="20"/>
                                <w:szCs w:val="20"/>
                                <w:u w:val="none"/>
                                <w:lang w:val="af-ZA" w:eastAsia="en-US"/>
                              </w:rPr>
                              <w:t>REVISED</w:t>
                            </w:r>
                          </w:p>
                          <w:p w14:paraId="0122A4AC" w14:textId="77777777" w:rsidR="008120F4" w:rsidRPr="007C20F4" w:rsidRDefault="008120F4" w:rsidP="007C20F4">
                            <w:pPr>
                              <w:tabs>
                                <w:tab w:val="center" w:pos="4320"/>
                                <w:tab w:val="right" w:pos="8640"/>
                              </w:tabs>
                              <w:spacing w:after="200" w:line="276" w:lineRule="auto"/>
                              <w:ind w:left="720"/>
                              <w:contextualSpacing/>
                              <w:rPr>
                                <w:rFonts w:ascii="Calibri" w:eastAsia="Calibri" w:hAnsi="Calibri" w:cs="Times New Roman"/>
                                <w:sz w:val="20"/>
                                <w:szCs w:val="20"/>
                                <w:u w:val="none"/>
                                <w:lang w:val="af-ZA" w:eastAsia="en-US"/>
                              </w:rPr>
                            </w:pPr>
                          </w:p>
                          <w:p w14:paraId="291407BE" w14:textId="77777777" w:rsidR="008120F4" w:rsidRPr="007C20F4" w:rsidRDefault="008120F4"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    ..............................................</w:t>
                            </w:r>
                          </w:p>
                          <w:p w14:paraId="0079D2C7" w14:textId="77777777" w:rsidR="008120F4" w:rsidRPr="00D3790A" w:rsidRDefault="008120F4" w:rsidP="007C20F4">
                            <w:pPr>
                              <w:rPr>
                                <w:rFonts w:ascii="Century Gothic" w:hAnsi="Century Gothic"/>
                                <w:sz w:val="18"/>
                                <w:szCs w:val="18"/>
                                <w:u w:val="none"/>
                              </w:rPr>
                            </w:pPr>
                            <w:r w:rsidRPr="007C20F4">
                              <w:rPr>
                                <w:rFonts w:ascii="Calibri" w:hAnsi="Calibri" w:cs="Times New Roman"/>
                                <w:sz w:val="20"/>
                                <w:szCs w:val="20"/>
                                <w:u w:val="none"/>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FBEF1"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">
                <v:textbox>
                  <w:txbxContent>
                    <w:p w14:paraId="24A5C043" w14:textId="77777777" w:rsidR="008120F4" w:rsidRPr="00913F95" w:rsidRDefault="008120F4" w:rsidP="00D3790A">
                      <w:pPr>
                        <w:jc w:val="center"/>
                        <w:rPr>
                          <w:rFonts w:ascii="Century Gothic" w:hAnsi="Century Gothic"/>
                          <w:b/>
                          <w:sz w:val="20"/>
                          <w:szCs w:val="20"/>
                        </w:rPr>
                      </w:pPr>
                    </w:p>
                    <w:p w14:paraId="05CD95A6" w14:textId="77777777" w:rsidR="008120F4" w:rsidRPr="007C20F4" w:rsidRDefault="008120F4"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DELETE WHICHEVER IS NOT APPLICABLE</w:t>
                      </w:r>
                    </w:p>
                    <w:p w14:paraId="3AF2A379" w14:textId="08E9D523" w:rsidR="008120F4" w:rsidRPr="007C20F4" w:rsidRDefault="007F78CB" w:rsidP="007F78CB">
                      <w:pPr>
                        <w:widowControl w:val="0"/>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(1)</w:t>
                      </w:r>
                      <w:r w:rsidRPr="007C20F4">
                        <w:rPr>
                          <w:rFonts w:ascii="Calibri" w:eastAsia="Calibri" w:hAnsi="Calibri" w:cs="Times New Roman"/>
                          <w:sz w:val="20"/>
                          <w:szCs w:val="20"/>
                          <w:u w:val="none"/>
                          <w:lang w:val="af-ZA" w:eastAsia="en-US"/>
                        </w:rPr>
                        <w:tab/>
                      </w:r>
                      <w:r w:rsidR="008120F4" w:rsidRPr="007C20F4">
                        <w:rPr>
                          <w:rFonts w:ascii="Calibri" w:eastAsia="Calibri" w:hAnsi="Calibri" w:cs="Times New Roman"/>
                          <w:sz w:val="20"/>
                          <w:szCs w:val="20"/>
                          <w:u w:val="none"/>
                          <w:lang w:val="af-ZA" w:eastAsia="en-US"/>
                        </w:rPr>
                        <w:t>REPORTABLE: YES/NO</w:t>
                      </w:r>
                    </w:p>
                    <w:p w14:paraId="09762C35" w14:textId="11767817" w:rsidR="008120F4" w:rsidRPr="007C20F4" w:rsidRDefault="007F78CB" w:rsidP="007F78CB">
                      <w:pPr>
                        <w:widowControl w:val="0"/>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(2)</w:t>
                      </w:r>
                      <w:r w:rsidRPr="007C20F4">
                        <w:rPr>
                          <w:rFonts w:ascii="Calibri" w:eastAsia="Calibri" w:hAnsi="Calibri" w:cs="Times New Roman"/>
                          <w:sz w:val="20"/>
                          <w:szCs w:val="20"/>
                          <w:u w:val="none"/>
                          <w:lang w:val="af-ZA" w:eastAsia="en-US"/>
                        </w:rPr>
                        <w:tab/>
                      </w:r>
                      <w:r w:rsidR="008120F4" w:rsidRPr="007C20F4">
                        <w:rPr>
                          <w:rFonts w:ascii="Calibri" w:eastAsia="Calibri" w:hAnsi="Calibri" w:cs="Times New Roman"/>
                          <w:sz w:val="20"/>
                          <w:szCs w:val="20"/>
                          <w:u w:val="none"/>
                          <w:lang w:val="af-ZA" w:eastAsia="en-US"/>
                        </w:rPr>
                        <w:t>OF INTEREST TO OTHERS JUDGES: YES/NO</w:t>
                      </w:r>
                    </w:p>
                    <w:p w14:paraId="158A992A" w14:textId="33DF1D5E" w:rsidR="008120F4" w:rsidRPr="007C20F4" w:rsidRDefault="007F78CB" w:rsidP="007F78CB">
                      <w:pPr>
                        <w:widowControl w:val="0"/>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(3)</w:t>
                      </w:r>
                      <w:r w:rsidRPr="007C20F4">
                        <w:rPr>
                          <w:rFonts w:ascii="Calibri" w:eastAsia="Calibri" w:hAnsi="Calibri" w:cs="Times New Roman"/>
                          <w:sz w:val="20"/>
                          <w:szCs w:val="20"/>
                          <w:u w:val="none"/>
                          <w:lang w:val="af-ZA" w:eastAsia="en-US"/>
                        </w:rPr>
                        <w:tab/>
                      </w:r>
                      <w:r w:rsidR="008120F4" w:rsidRPr="007C20F4">
                        <w:rPr>
                          <w:rFonts w:ascii="Calibri" w:eastAsia="Calibri" w:hAnsi="Calibri" w:cs="Times New Roman"/>
                          <w:sz w:val="20"/>
                          <w:szCs w:val="20"/>
                          <w:u w:val="none"/>
                          <w:lang w:val="af-ZA" w:eastAsia="en-US"/>
                        </w:rPr>
                        <w:t>REVISED</w:t>
                      </w:r>
                    </w:p>
                    <w:p w14:paraId="0122A4AC" w14:textId="77777777" w:rsidR="008120F4" w:rsidRPr="007C20F4" w:rsidRDefault="008120F4" w:rsidP="007C20F4">
                      <w:pPr>
                        <w:tabs>
                          <w:tab w:val="center" w:pos="4320"/>
                          <w:tab w:val="right" w:pos="8640"/>
                        </w:tabs>
                        <w:spacing w:after="200" w:line="276" w:lineRule="auto"/>
                        <w:ind w:left="720"/>
                        <w:contextualSpacing/>
                        <w:rPr>
                          <w:rFonts w:ascii="Calibri" w:eastAsia="Calibri" w:hAnsi="Calibri" w:cs="Times New Roman"/>
                          <w:sz w:val="20"/>
                          <w:szCs w:val="20"/>
                          <w:u w:val="none"/>
                          <w:lang w:val="af-ZA" w:eastAsia="en-US"/>
                        </w:rPr>
                      </w:pPr>
                    </w:p>
                    <w:p w14:paraId="291407BE" w14:textId="77777777" w:rsidR="008120F4" w:rsidRPr="007C20F4" w:rsidRDefault="008120F4"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    ..............................................</w:t>
                      </w:r>
                    </w:p>
                    <w:p w14:paraId="0079D2C7" w14:textId="77777777" w:rsidR="008120F4" w:rsidRPr="00D3790A" w:rsidRDefault="008120F4" w:rsidP="007C20F4">
                      <w:pPr>
                        <w:rPr>
                          <w:rFonts w:ascii="Century Gothic" w:hAnsi="Century Gothic"/>
                          <w:sz w:val="18"/>
                          <w:szCs w:val="18"/>
                          <w:u w:val="none"/>
                        </w:rPr>
                      </w:pPr>
                      <w:r w:rsidRPr="007C20F4">
                        <w:rPr>
                          <w:rFonts w:ascii="Calibri" w:hAnsi="Calibri" w:cs="Times New Roman"/>
                          <w:sz w:val="20"/>
                          <w:szCs w:val="20"/>
                          <w:u w:val="none"/>
                        </w:rPr>
                        <w:t xml:space="preserve">         DATE                           SIGNATURE</w:t>
                      </w:r>
                    </w:p>
                  </w:txbxContent>
                </v:textbox>
              </v:shape>
            </w:pict>
          </mc:Fallback>
        </mc:AlternateContent>
      </w:r>
    </w:p>
    <w:p w14:paraId="685D54E0" w14:textId="77777777" w:rsidR="00052F10" w:rsidRPr="0084067A" w:rsidRDefault="00052F10" w:rsidP="0084067A">
      <w:pPr>
        <w:jc w:val="center"/>
        <w:rPr>
          <w:b/>
          <w:u w:val="none"/>
        </w:rPr>
      </w:pPr>
    </w:p>
    <w:p w14:paraId="5F8E1161" w14:textId="77777777" w:rsidR="007C20F4" w:rsidRPr="007C20F4" w:rsidRDefault="00AE0757" w:rsidP="007C20F4">
      <w:pPr>
        <w:tabs>
          <w:tab w:val="right" w:pos="8199"/>
        </w:tabs>
        <w:spacing w:line="360" w:lineRule="auto"/>
        <w:rPr>
          <w:u w:val="none"/>
        </w:rPr>
      </w:pPr>
      <w:r w:rsidRPr="00AE0757">
        <w:rPr>
          <w:b/>
          <w:u w:val="none"/>
        </w:rPr>
        <w:tab/>
      </w:r>
      <w:r w:rsidRPr="00AE0757">
        <w:rPr>
          <w:b/>
          <w:u w:val="none"/>
        </w:rPr>
        <w:tab/>
      </w:r>
      <w:r w:rsidRPr="00AE0757">
        <w:rPr>
          <w:b/>
          <w:u w:val="none"/>
        </w:rPr>
        <w:tab/>
      </w:r>
      <w:r w:rsidRPr="00AE0757">
        <w:rPr>
          <w:b/>
          <w:u w:val="none"/>
        </w:rPr>
        <w:tab/>
      </w:r>
      <w:r w:rsidRPr="00AE0757">
        <w:rPr>
          <w:b/>
          <w:u w:val="none"/>
        </w:rPr>
        <w:tab/>
      </w:r>
      <w:r w:rsidRPr="00AE0757">
        <w:rPr>
          <w:b/>
          <w:u w:val="none"/>
        </w:rPr>
        <w:tab/>
      </w:r>
      <w:r w:rsidRPr="00AE0757">
        <w:rPr>
          <w:b/>
          <w:u w:val="none"/>
        </w:rPr>
        <w:tab/>
      </w:r>
      <w:r w:rsidR="00FA2BF9">
        <w:rPr>
          <w:b/>
          <w:u w:val="none"/>
        </w:rPr>
        <w:t>CASE NO: A</w:t>
      </w:r>
      <w:r w:rsidR="00BB1C3F">
        <w:rPr>
          <w:b/>
          <w:u w:val="none"/>
        </w:rPr>
        <w:t>88/20</w:t>
      </w:r>
      <w:r w:rsidR="00FB30A5">
        <w:rPr>
          <w:b/>
          <w:u w:val="none"/>
        </w:rPr>
        <w:t>21</w:t>
      </w:r>
    </w:p>
    <w:p w14:paraId="683DA7AD" w14:textId="77777777" w:rsidR="007C20F4" w:rsidRDefault="007C20F4"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sidRPr="007C20F4">
        <w:rPr>
          <w:u w:val="none"/>
        </w:rPr>
        <w:t>In the matter between:</w:t>
      </w:r>
    </w:p>
    <w:p w14:paraId="20569834" w14:textId="77777777" w:rsidR="00BB1C3F" w:rsidRDefault="00BB1C3F"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14:paraId="3519BC23" w14:textId="77777777" w:rsidR="00BB1C3F" w:rsidRPr="00BB1C3F" w:rsidRDefault="00BB1C3F" w:rsidP="00BB1C3F">
      <w:pPr>
        <w:widowControl w:val="0"/>
        <w:kinsoku w:val="0"/>
        <w:overflowPunct w:val="0"/>
        <w:autoSpaceDE w:val="0"/>
        <w:autoSpaceDN w:val="0"/>
        <w:adjustRightInd w:val="0"/>
        <w:spacing w:before="93" w:line="360" w:lineRule="auto"/>
        <w:jc w:val="both"/>
        <w:rPr>
          <w:rFonts w:eastAsiaTheme="minorEastAsia"/>
          <w:color w:val="000000" w:themeColor="text1"/>
          <w:u w:val="none"/>
          <w:lang w:eastAsia="en-ZA"/>
        </w:rPr>
      </w:pPr>
      <w:r w:rsidRPr="00BB1C3F">
        <w:rPr>
          <w:rFonts w:eastAsiaTheme="minorEastAsia"/>
          <w:b/>
          <w:bCs/>
          <w:color w:val="000000" w:themeColor="text1"/>
          <w:u w:val="none"/>
          <w:lang w:eastAsia="en-ZA"/>
        </w:rPr>
        <w:t>FIRSTRAND BANK LIMITED</w:t>
      </w:r>
      <w:r w:rsidRPr="00BB1C3F">
        <w:rPr>
          <w:rFonts w:eastAsiaTheme="minorEastAsia"/>
          <w:b/>
          <w:bCs/>
          <w:color w:val="000000" w:themeColor="text1"/>
          <w:u w:val="none"/>
          <w:lang w:eastAsia="en-ZA"/>
        </w:rPr>
        <w:tab/>
      </w:r>
      <w:r w:rsidRPr="00BB1C3F">
        <w:rPr>
          <w:rFonts w:eastAsiaTheme="minorEastAsia"/>
          <w:b/>
          <w:bCs/>
          <w:color w:val="000000" w:themeColor="text1"/>
          <w:u w:val="none"/>
          <w:lang w:eastAsia="en-ZA"/>
        </w:rPr>
        <w:tab/>
      </w:r>
      <w:r w:rsidRPr="00BB1C3F">
        <w:rPr>
          <w:rFonts w:eastAsiaTheme="minorEastAsia"/>
          <w:b/>
          <w:bCs/>
          <w:color w:val="000000" w:themeColor="text1"/>
          <w:u w:val="none"/>
          <w:lang w:eastAsia="en-ZA"/>
        </w:rPr>
        <w:tab/>
      </w:r>
      <w:r w:rsidRPr="00BB1C3F">
        <w:rPr>
          <w:rFonts w:eastAsiaTheme="minorEastAsia"/>
          <w:b/>
          <w:bCs/>
          <w:color w:val="000000" w:themeColor="text1"/>
          <w:u w:val="none"/>
          <w:lang w:eastAsia="en-ZA"/>
        </w:rPr>
        <w:tab/>
      </w:r>
      <w:r w:rsidRPr="00BB1C3F">
        <w:rPr>
          <w:rFonts w:eastAsiaTheme="minorEastAsia"/>
          <w:b/>
          <w:bCs/>
          <w:color w:val="000000" w:themeColor="text1"/>
          <w:u w:val="none"/>
          <w:lang w:eastAsia="en-ZA"/>
        </w:rPr>
        <w:tab/>
      </w:r>
      <w:r>
        <w:rPr>
          <w:rFonts w:eastAsiaTheme="minorEastAsia"/>
          <w:b/>
          <w:bCs/>
          <w:color w:val="000000" w:themeColor="text1"/>
          <w:u w:val="none"/>
          <w:lang w:eastAsia="en-ZA"/>
        </w:rPr>
        <w:t xml:space="preserve">   </w:t>
      </w:r>
      <w:r w:rsidR="00FA2BF9">
        <w:rPr>
          <w:rFonts w:eastAsiaTheme="minorEastAsia"/>
          <w:b/>
          <w:bCs/>
          <w:color w:val="000000" w:themeColor="text1"/>
          <w:u w:val="none"/>
          <w:lang w:eastAsia="en-ZA"/>
        </w:rPr>
        <w:t xml:space="preserve"> </w:t>
      </w:r>
      <w:r w:rsidR="00FA2BF9" w:rsidRPr="00FA2BF9">
        <w:rPr>
          <w:rFonts w:eastAsiaTheme="minorEastAsia"/>
          <w:b/>
          <w:bCs/>
          <w:color w:val="000000" w:themeColor="text1"/>
          <w:u w:val="none"/>
          <w:lang w:eastAsia="en-ZA"/>
        </w:rPr>
        <w:t xml:space="preserve">  </w:t>
      </w:r>
      <w:r w:rsidRPr="00FA2BF9">
        <w:rPr>
          <w:rFonts w:eastAsiaTheme="minorEastAsia"/>
          <w:b/>
          <w:bCs/>
          <w:color w:val="000000" w:themeColor="text1"/>
          <w:u w:val="none"/>
          <w:lang w:eastAsia="en-ZA"/>
        </w:rPr>
        <w:t xml:space="preserve"> </w:t>
      </w:r>
      <w:r w:rsidRPr="00FA2BF9">
        <w:rPr>
          <w:rFonts w:eastAsiaTheme="minorEastAsia"/>
          <w:b/>
          <w:color w:val="000000" w:themeColor="text1"/>
          <w:u w:val="none"/>
          <w:lang w:eastAsia="en-ZA"/>
        </w:rPr>
        <w:t>Appellant</w:t>
      </w:r>
    </w:p>
    <w:p w14:paraId="37535BDD" w14:textId="77777777" w:rsidR="00BB1C3F" w:rsidRPr="00BB1C3F" w:rsidRDefault="00BB1C3F" w:rsidP="00BB1C3F">
      <w:pPr>
        <w:widowControl w:val="0"/>
        <w:kinsoku w:val="0"/>
        <w:overflowPunct w:val="0"/>
        <w:autoSpaceDE w:val="0"/>
        <w:autoSpaceDN w:val="0"/>
        <w:adjustRightInd w:val="0"/>
        <w:spacing w:line="360" w:lineRule="auto"/>
        <w:jc w:val="both"/>
        <w:rPr>
          <w:rFonts w:eastAsiaTheme="minorEastAsia"/>
          <w:color w:val="000000" w:themeColor="text1"/>
          <w:u w:val="none"/>
          <w:lang w:eastAsia="en-ZA"/>
        </w:rPr>
      </w:pPr>
      <w:r w:rsidRPr="00BB1C3F">
        <w:rPr>
          <w:rFonts w:eastAsiaTheme="minorEastAsia"/>
          <w:color w:val="000000" w:themeColor="text1"/>
          <w:u w:val="none"/>
          <w:lang w:eastAsia="en-ZA"/>
        </w:rPr>
        <w:t>and</w:t>
      </w:r>
    </w:p>
    <w:p w14:paraId="13F7FC43" w14:textId="77777777" w:rsidR="00BB1C3F" w:rsidRPr="00BB1C3F" w:rsidRDefault="00BB1C3F" w:rsidP="00BB1C3F">
      <w:pPr>
        <w:widowControl w:val="0"/>
        <w:kinsoku w:val="0"/>
        <w:overflowPunct w:val="0"/>
        <w:autoSpaceDE w:val="0"/>
        <w:autoSpaceDN w:val="0"/>
        <w:adjustRightInd w:val="0"/>
        <w:spacing w:line="360" w:lineRule="auto"/>
        <w:jc w:val="both"/>
        <w:rPr>
          <w:rFonts w:eastAsiaTheme="minorEastAsia"/>
          <w:color w:val="000000" w:themeColor="text1"/>
          <w:u w:val="none"/>
          <w:lang w:eastAsia="en-ZA"/>
        </w:rPr>
      </w:pPr>
      <w:r w:rsidRPr="00BB1C3F">
        <w:rPr>
          <w:rFonts w:eastAsiaTheme="minorEastAsia"/>
          <w:b/>
          <w:bCs/>
          <w:color w:val="000000" w:themeColor="text1"/>
          <w:u w:val="none"/>
          <w:lang w:eastAsia="en-ZA"/>
        </w:rPr>
        <w:tab/>
      </w:r>
      <w:r w:rsidRPr="00BB1C3F">
        <w:rPr>
          <w:rFonts w:eastAsiaTheme="minorEastAsia"/>
          <w:b/>
          <w:bCs/>
          <w:color w:val="000000" w:themeColor="text1"/>
          <w:u w:val="none"/>
          <w:lang w:eastAsia="en-ZA"/>
        </w:rPr>
        <w:tab/>
      </w:r>
    </w:p>
    <w:p w14:paraId="2B955B0D" w14:textId="77777777" w:rsidR="00BB1C3F" w:rsidRPr="00BB1C3F" w:rsidRDefault="00BB1C3F" w:rsidP="00BB1C3F">
      <w:pPr>
        <w:widowControl w:val="0"/>
        <w:kinsoku w:val="0"/>
        <w:overflowPunct w:val="0"/>
        <w:autoSpaceDE w:val="0"/>
        <w:autoSpaceDN w:val="0"/>
        <w:adjustRightInd w:val="0"/>
        <w:spacing w:line="360" w:lineRule="auto"/>
        <w:jc w:val="both"/>
        <w:rPr>
          <w:rFonts w:eastAsiaTheme="minorEastAsia"/>
          <w:b/>
          <w:color w:val="000000" w:themeColor="text1"/>
          <w:u w:val="none"/>
          <w:lang w:eastAsia="en-ZA"/>
        </w:rPr>
      </w:pPr>
      <w:r w:rsidRPr="00BB1C3F">
        <w:rPr>
          <w:rFonts w:eastAsiaTheme="minorEastAsia"/>
          <w:b/>
          <w:color w:val="000000" w:themeColor="text1"/>
          <w:u w:val="none"/>
          <w:lang w:eastAsia="en-ZA"/>
        </w:rPr>
        <w:t xml:space="preserve">IBEST (PTY) LTD </w:t>
      </w:r>
      <w:r w:rsidRPr="00BB1C3F">
        <w:rPr>
          <w:rFonts w:eastAsiaTheme="minorEastAsia"/>
          <w:b/>
          <w:color w:val="000000" w:themeColor="text1"/>
          <w:u w:val="none"/>
          <w:lang w:eastAsia="en-ZA"/>
        </w:rPr>
        <w:tab/>
        <w:t xml:space="preserve"> </w:t>
      </w:r>
      <w:r w:rsidRPr="00BB1C3F">
        <w:rPr>
          <w:rFonts w:eastAsiaTheme="minorEastAsia"/>
          <w:b/>
          <w:color w:val="000000" w:themeColor="text1"/>
          <w:u w:val="none"/>
          <w:lang w:eastAsia="en-ZA"/>
        </w:rPr>
        <w:tab/>
      </w:r>
      <w:r w:rsidRPr="00BB1C3F">
        <w:rPr>
          <w:rFonts w:eastAsiaTheme="minorEastAsia"/>
          <w:b/>
          <w:color w:val="000000" w:themeColor="text1"/>
          <w:u w:val="none"/>
          <w:lang w:eastAsia="en-ZA"/>
        </w:rPr>
        <w:tab/>
      </w:r>
      <w:r w:rsidRPr="00BB1C3F">
        <w:rPr>
          <w:rFonts w:eastAsiaTheme="minorEastAsia"/>
          <w:b/>
          <w:color w:val="000000" w:themeColor="text1"/>
          <w:u w:val="none"/>
          <w:lang w:eastAsia="en-ZA"/>
        </w:rPr>
        <w:tab/>
      </w:r>
      <w:r w:rsidRPr="00BB1C3F">
        <w:rPr>
          <w:rFonts w:eastAsiaTheme="minorEastAsia"/>
          <w:b/>
          <w:color w:val="000000" w:themeColor="text1"/>
          <w:u w:val="none"/>
          <w:lang w:eastAsia="en-ZA"/>
        </w:rPr>
        <w:tab/>
      </w:r>
      <w:r w:rsidRPr="00BB1C3F">
        <w:rPr>
          <w:rFonts w:eastAsiaTheme="minorEastAsia"/>
          <w:b/>
          <w:color w:val="000000" w:themeColor="text1"/>
          <w:u w:val="none"/>
          <w:lang w:eastAsia="en-ZA"/>
        </w:rPr>
        <w:tab/>
      </w:r>
      <w:r w:rsidRPr="00BB1C3F">
        <w:rPr>
          <w:rFonts w:eastAsiaTheme="minorEastAsia"/>
          <w:b/>
          <w:color w:val="000000" w:themeColor="text1"/>
          <w:u w:val="none"/>
          <w:lang w:eastAsia="en-ZA"/>
        </w:rPr>
        <w:tab/>
      </w:r>
      <w:r w:rsidR="00FA2BF9">
        <w:rPr>
          <w:rFonts w:eastAsiaTheme="minorEastAsia"/>
          <w:b/>
          <w:color w:val="000000" w:themeColor="text1"/>
          <w:u w:val="none"/>
          <w:lang w:eastAsia="en-ZA"/>
        </w:rPr>
        <w:t xml:space="preserve"> </w:t>
      </w:r>
      <w:r w:rsidR="00FA2BF9" w:rsidRPr="00FA2BF9">
        <w:rPr>
          <w:rFonts w:eastAsiaTheme="minorEastAsia"/>
          <w:b/>
          <w:color w:val="000000" w:themeColor="text1"/>
          <w:u w:val="none"/>
          <w:lang w:eastAsia="en-ZA"/>
        </w:rPr>
        <w:t xml:space="preserve"> </w:t>
      </w:r>
      <w:r w:rsidRPr="00FA2BF9">
        <w:rPr>
          <w:rFonts w:eastAsiaTheme="minorEastAsia"/>
          <w:b/>
          <w:color w:val="000000" w:themeColor="text1"/>
          <w:u w:val="none"/>
          <w:lang w:eastAsia="en-ZA"/>
        </w:rPr>
        <w:t xml:space="preserve"> </w:t>
      </w:r>
      <w:r w:rsidRPr="00FA2BF9">
        <w:rPr>
          <w:rFonts w:eastAsiaTheme="minorEastAsia"/>
          <w:b/>
          <w:color w:val="000000"/>
          <w:u w:val="none"/>
          <w:lang w:eastAsia="en-ZA"/>
        </w:rPr>
        <w:t>Respondent</w:t>
      </w:r>
    </w:p>
    <w:p w14:paraId="1BD2CADB" w14:textId="77777777" w:rsidR="00F62AF0" w:rsidRDefault="00F62AF0" w:rsidP="007C20F4">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14:paraId="00BCF1D4" w14:textId="77777777" w:rsidR="00F62AF0" w:rsidRDefault="00F62AF0"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14:paraId="6B960351" w14:textId="77777777" w:rsidR="00F62AF0" w:rsidRDefault="00F62AF0" w:rsidP="00F62AF0">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u w:val="none"/>
        </w:rPr>
      </w:pPr>
      <w:r>
        <w:rPr>
          <w:u w:val="none"/>
        </w:rPr>
        <w:t>JUDGMENT</w:t>
      </w:r>
    </w:p>
    <w:p w14:paraId="750A2832" w14:textId="77777777" w:rsidR="00FA2BF9" w:rsidRDefault="00FA2BF9" w:rsidP="00F62AF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p>
    <w:p w14:paraId="21B4EF97" w14:textId="77777777" w:rsidR="00F62AF0" w:rsidRDefault="00F62AF0" w:rsidP="00F62AF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r w:rsidRPr="00F62AF0">
        <w:rPr>
          <w:b/>
        </w:rPr>
        <w:t>TOLMAY, J:</w:t>
      </w:r>
    </w:p>
    <w:p w14:paraId="35583D36" w14:textId="77777777" w:rsidR="00F62AF0" w:rsidRPr="00F62AF0" w:rsidRDefault="00F62AF0" w:rsidP="00F62AF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p>
    <w:p w14:paraId="153113CA" w14:textId="77777777" w:rsidR="00F62AF0" w:rsidRPr="00F62AF0" w:rsidRDefault="00F62AF0" w:rsidP="00F62AF0">
      <w:pPr>
        <w:spacing w:line="480" w:lineRule="auto"/>
        <w:jc w:val="both"/>
        <w:rPr>
          <w:b/>
          <w:lang w:val="en-US"/>
        </w:rPr>
      </w:pPr>
      <w:r w:rsidRPr="00F62AF0">
        <w:rPr>
          <w:b/>
          <w:lang w:val="en-US"/>
        </w:rPr>
        <w:t>INTRODUCTION</w:t>
      </w:r>
    </w:p>
    <w:p w14:paraId="16D0F7B0" w14:textId="77777777" w:rsidR="00F62AF0" w:rsidRDefault="00F62AF0" w:rsidP="00BB1C3F">
      <w:pPr>
        <w:spacing w:line="480" w:lineRule="auto"/>
        <w:jc w:val="both"/>
        <w:rPr>
          <w:u w:val="none"/>
          <w:lang w:val="en-US"/>
        </w:rPr>
      </w:pPr>
      <w:r>
        <w:rPr>
          <w:u w:val="none"/>
          <w:lang w:val="en-US"/>
        </w:rPr>
        <w:lastRenderedPageBreak/>
        <w:t>[1]</w:t>
      </w:r>
      <w:r>
        <w:rPr>
          <w:u w:val="none"/>
          <w:lang w:val="en-US"/>
        </w:rPr>
        <w:tab/>
      </w:r>
      <w:r w:rsidR="00BB1C3F">
        <w:rPr>
          <w:u w:val="none"/>
          <w:lang w:val="en-US"/>
        </w:rPr>
        <w:t xml:space="preserve">This is an appeal against the whole of the judgment </w:t>
      </w:r>
      <w:r w:rsidR="00747CA9">
        <w:rPr>
          <w:u w:val="none"/>
          <w:lang w:val="en-US"/>
        </w:rPr>
        <w:t>of the c</w:t>
      </w:r>
      <w:r w:rsidR="00BB1C3F">
        <w:rPr>
          <w:u w:val="none"/>
          <w:lang w:val="en-US"/>
        </w:rPr>
        <w:t xml:space="preserve">ourt </w:t>
      </w:r>
      <w:r w:rsidR="00BB1C3F" w:rsidRPr="00747CA9">
        <w:rPr>
          <w:i/>
          <w:u w:val="none"/>
          <w:lang w:val="en-US"/>
        </w:rPr>
        <w:t>a quo</w:t>
      </w:r>
      <w:r w:rsidR="00BB1C3F">
        <w:rPr>
          <w:u w:val="none"/>
          <w:lang w:val="en-US"/>
        </w:rPr>
        <w:t>, wherein the application of the appellant to wind up the respondent was dismissed. Leave to appeal was granted on 2 December 2021.</w:t>
      </w:r>
    </w:p>
    <w:p w14:paraId="69BAE377" w14:textId="77777777" w:rsidR="00BB1C3F" w:rsidRDefault="00BB1C3F" w:rsidP="00BB1C3F">
      <w:pPr>
        <w:spacing w:line="480" w:lineRule="auto"/>
        <w:jc w:val="both"/>
        <w:rPr>
          <w:u w:val="none"/>
          <w:lang w:val="en-US"/>
        </w:rPr>
      </w:pPr>
    </w:p>
    <w:p w14:paraId="41B545D7" w14:textId="30D1413E" w:rsidR="00BB1C3F" w:rsidRDefault="00BB1C3F" w:rsidP="00BB1C3F">
      <w:pPr>
        <w:spacing w:line="480" w:lineRule="auto"/>
        <w:jc w:val="both"/>
        <w:rPr>
          <w:u w:val="none"/>
          <w:lang w:val="en-US"/>
        </w:rPr>
      </w:pPr>
      <w:r>
        <w:rPr>
          <w:u w:val="none"/>
          <w:lang w:val="en-US"/>
        </w:rPr>
        <w:t>[2]</w:t>
      </w:r>
      <w:r>
        <w:rPr>
          <w:u w:val="none"/>
          <w:lang w:val="en-US"/>
        </w:rPr>
        <w:tab/>
        <w:t>The application for winding up was premised on section 344(f) read with section 345(1)(a) of the Companies Act</w:t>
      </w:r>
      <w:r w:rsidR="00CE3D11">
        <w:rPr>
          <w:u w:val="none"/>
          <w:lang w:val="en-US"/>
        </w:rPr>
        <w:t xml:space="preserve"> No 61 of 1973</w:t>
      </w:r>
      <w:r>
        <w:rPr>
          <w:u w:val="none"/>
          <w:lang w:val="en-US"/>
        </w:rPr>
        <w:t xml:space="preserve"> (“the Act”) in that a demand in terms of  section</w:t>
      </w:r>
      <w:r w:rsidR="00CE3D11">
        <w:rPr>
          <w:u w:val="none"/>
          <w:lang w:val="en-US"/>
        </w:rPr>
        <w:t xml:space="preserve"> 345(1)(a)</w:t>
      </w:r>
      <w:r>
        <w:rPr>
          <w:u w:val="none"/>
          <w:lang w:val="en-US"/>
        </w:rPr>
        <w:t xml:space="preserve"> was not met</w:t>
      </w:r>
      <w:r w:rsidR="00CE3D11">
        <w:rPr>
          <w:u w:val="none"/>
          <w:lang w:val="en-US"/>
        </w:rPr>
        <w:t>,</w:t>
      </w:r>
      <w:r>
        <w:rPr>
          <w:u w:val="none"/>
          <w:lang w:val="en-US"/>
        </w:rPr>
        <w:t xml:space="preserve"> and section 344(f) </w:t>
      </w:r>
      <w:r w:rsidR="00FA2BF9">
        <w:rPr>
          <w:u w:val="none"/>
          <w:lang w:val="en-US"/>
        </w:rPr>
        <w:t>read</w:t>
      </w:r>
      <w:r>
        <w:rPr>
          <w:u w:val="none"/>
          <w:lang w:val="en-US"/>
        </w:rPr>
        <w:t xml:space="preserve"> with section 345(1)(c) of the Ac</w:t>
      </w:r>
      <w:r w:rsidR="00FA2BF9">
        <w:rPr>
          <w:u w:val="none"/>
          <w:lang w:val="en-US"/>
        </w:rPr>
        <w:t>t, t</w:t>
      </w:r>
      <w:r>
        <w:rPr>
          <w:u w:val="none"/>
          <w:lang w:val="en-US"/>
        </w:rPr>
        <w:t xml:space="preserve">hat </w:t>
      </w:r>
      <w:r w:rsidR="00FA2BF9">
        <w:rPr>
          <w:u w:val="none"/>
          <w:lang w:val="en-US"/>
        </w:rPr>
        <w:t>it was proven</w:t>
      </w:r>
      <w:r>
        <w:rPr>
          <w:u w:val="none"/>
          <w:lang w:val="en-US"/>
        </w:rPr>
        <w:t xml:space="preserve"> to the satisfaction </w:t>
      </w:r>
      <w:r w:rsidR="00FA2BF9">
        <w:rPr>
          <w:u w:val="none"/>
          <w:lang w:val="en-US"/>
        </w:rPr>
        <w:t>o</w:t>
      </w:r>
      <w:r>
        <w:rPr>
          <w:u w:val="none"/>
          <w:lang w:val="en-US"/>
        </w:rPr>
        <w:t xml:space="preserve">f the </w:t>
      </w:r>
      <w:r w:rsidR="00FA2BF9">
        <w:rPr>
          <w:u w:val="none"/>
          <w:lang w:val="en-US"/>
        </w:rPr>
        <w:t>c</w:t>
      </w:r>
      <w:r>
        <w:rPr>
          <w:u w:val="none"/>
          <w:lang w:val="en-US"/>
        </w:rPr>
        <w:t>ourt that the respondent wa</w:t>
      </w:r>
      <w:r w:rsidR="003A1351">
        <w:rPr>
          <w:u w:val="none"/>
          <w:lang w:val="en-US"/>
        </w:rPr>
        <w:t xml:space="preserve">s unable to pay </w:t>
      </w:r>
      <w:r>
        <w:rPr>
          <w:u w:val="none"/>
          <w:lang w:val="en-US"/>
        </w:rPr>
        <w:t>i</w:t>
      </w:r>
      <w:r w:rsidR="003A1351">
        <w:rPr>
          <w:u w:val="none"/>
          <w:lang w:val="en-US"/>
        </w:rPr>
        <w:t>t</w:t>
      </w:r>
      <w:r>
        <w:rPr>
          <w:u w:val="none"/>
          <w:lang w:val="en-US"/>
        </w:rPr>
        <w:t>s debts.</w:t>
      </w:r>
    </w:p>
    <w:p w14:paraId="62451B60" w14:textId="77777777" w:rsidR="00BB1C3F" w:rsidRDefault="00BB1C3F" w:rsidP="00BB1C3F">
      <w:pPr>
        <w:spacing w:line="480" w:lineRule="auto"/>
        <w:jc w:val="both"/>
        <w:rPr>
          <w:u w:val="none"/>
          <w:lang w:val="en-US"/>
        </w:rPr>
      </w:pPr>
    </w:p>
    <w:p w14:paraId="10381CA7" w14:textId="161733E2" w:rsidR="00BB1C3F" w:rsidRDefault="00BB1C3F" w:rsidP="00BB1C3F">
      <w:pPr>
        <w:spacing w:line="480" w:lineRule="auto"/>
        <w:jc w:val="both"/>
        <w:rPr>
          <w:u w:val="none"/>
          <w:lang w:val="en-US"/>
        </w:rPr>
      </w:pPr>
      <w:r>
        <w:rPr>
          <w:u w:val="none"/>
          <w:lang w:val="en-US"/>
        </w:rPr>
        <w:t>[3]</w:t>
      </w:r>
      <w:r w:rsidR="00657082">
        <w:rPr>
          <w:u w:val="none"/>
          <w:lang w:val="en-US"/>
        </w:rPr>
        <w:t xml:space="preserve">  I</w:t>
      </w:r>
      <w:r>
        <w:rPr>
          <w:u w:val="none"/>
          <w:lang w:val="en-US"/>
        </w:rPr>
        <w:t>t is common ca</w:t>
      </w:r>
      <w:r w:rsidR="008120F4">
        <w:rPr>
          <w:u w:val="none"/>
          <w:lang w:val="en-US"/>
        </w:rPr>
        <w:t>u</w:t>
      </w:r>
      <w:r>
        <w:rPr>
          <w:u w:val="none"/>
          <w:lang w:val="en-US"/>
        </w:rPr>
        <w:t>se that the respondent is indebted to the appellant by virtue of a credit facility agreement in terms whereof the appellant granted a credit facility of R3 340 000-00 to the respondent. This was repayable in installments. The respondent failed to comply with the terms of the agreement and despite demand failed to rectify its breach. The facility was cancelled by the appellant</w:t>
      </w:r>
      <w:r w:rsidR="003A1351">
        <w:rPr>
          <w:u w:val="none"/>
          <w:lang w:val="en-US"/>
        </w:rPr>
        <w:t>.</w:t>
      </w:r>
      <w:r>
        <w:rPr>
          <w:u w:val="none"/>
          <w:lang w:val="en-US"/>
        </w:rPr>
        <w:t xml:space="preserve"> </w:t>
      </w:r>
      <w:r w:rsidR="003A1351">
        <w:rPr>
          <w:u w:val="none"/>
          <w:lang w:val="en-US"/>
        </w:rPr>
        <w:t>O</w:t>
      </w:r>
      <w:r>
        <w:rPr>
          <w:u w:val="none"/>
          <w:lang w:val="en-US"/>
        </w:rPr>
        <w:t>n 18 December 2015 the respondent was indebted to the appellant in the amount of R3 296 109-63 together with interest.</w:t>
      </w:r>
    </w:p>
    <w:p w14:paraId="53AFDFEC" w14:textId="77777777" w:rsidR="00BB1C3F" w:rsidRDefault="00BB1C3F" w:rsidP="00BB1C3F">
      <w:pPr>
        <w:spacing w:line="480" w:lineRule="auto"/>
        <w:jc w:val="both"/>
        <w:rPr>
          <w:u w:val="none"/>
          <w:lang w:val="en-US"/>
        </w:rPr>
      </w:pPr>
    </w:p>
    <w:p w14:paraId="1D2E55DA" w14:textId="77777777" w:rsidR="00BB1C3F" w:rsidRDefault="00BB1C3F" w:rsidP="00BB1C3F">
      <w:pPr>
        <w:spacing w:line="480" w:lineRule="auto"/>
        <w:jc w:val="both"/>
        <w:rPr>
          <w:u w:val="none"/>
          <w:lang w:val="en-US"/>
        </w:rPr>
      </w:pPr>
      <w:r>
        <w:rPr>
          <w:u w:val="none"/>
          <w:lang w:val="en-US"/>
        </w:rPr>
        <w:t>[4]</w:t>
      </w:r>
      <w:r>
        <w:rPr>
          <w:u w:val="none"/>
          <w:lang w:val="en-US"/>
        </w:rPr>
        <w:tab/>
        <w:t>On 9 December</w:t>
      </w:r>
      <w:r w:rsidR="00FA2BF9">
        <w:rPr>
          <w:u w:val="none"/>
          <w:lang w:val="en-US"/>
        </w:rPr>
        <w:t xml:space="preserve"> 2015</w:t>
      </w:r>
      <w:r>
        <w:rPr>
          <w:u w:val="none"/>
          <w:lang w:val="en-US"/>
        </w:rPr>
        <w:t xml:space="preserve"> a demand in terms of section 345(</w:t>
      </w:r>
      <w:r w:rsidR="00747CA9">
        <w:rPr>
          <w:u w:val="none"/>
          <w:lang w:val="en-US"/>
        </w:rPr>
        <w:t>1</w:t>
      </w:r>
      <w:r>
        <w:rPr>
          <w:u w:val="none"/>
          <w:lang w:val="en-US"/>
        </w:rPr>
        <w:t xml:space="preserve">)(a) of the Act was served on the respondent. Despite the lapse of more than 21 days the respondent failed to make any payment to the </w:t>
      </w:r>
      <w:r w:rsidR="00747CA9">
        <w:rPr>
          <w:u w:val="none"/>
          <w:lang w:val="en-US"/>
        </w:rPr>
        <w:t>appellant</w:t>
      </w:r>
      <w:r>
        <w:rPr>
          <w:u w:val="none"/>
          <w:lang w:val="en-US"/>
        </w:rPr>
        <w:t xml:space="preserve">. The appellant </w:t>
      </w:r>
      <w:r w:rsidR="008120F4">
        <w:rPr>
          <w:u w:val="none"/>
          <w:lang w:val="en-US"/>
        </w:rPr>
        <w:t xml:space="preserve">launched </w:t>
      </w:r>
      <w:r>
        <w:rPr>
          <w:u w:val="none"/>
          <w:lang w:val="en-US"/>
        </w:rPr>
        <w:t>an application for the respondent’s liquidation (the firs</w:t>
      </w:r>
      <w:r w:rsidR="00747CA9">
        <w:rPr>
          <w:u w:val="none"/>
          <w:lang w:val="en-US"/>
        </w:rPr>
        <w:t>t</w:t>
      </w:r>
      <w:r>
        <w:rPr>
          <w:u w:val="none"/>
          <w:lang w:val="en-US"/>
        </w:rPr>
        <w:t xml:space="preserve"> </w:t>
      </w:r>
      <w:r w:rsidR="00747CA9">
        <w:rPr>
          <w:u w:val="none"/>
          <w:lang w:val="en-US"/>
        </w:rPr>
        <w:t>winding</w:t>
      </w:r>
      <w:r>
        <w:rPr>
          <w:u w:val="none"/>
          <w:lang w:val="en-US"/>
        </w:rPr>
        <w:t xml:space="preserve"> up application).</w:t>
      </w:r>
    </w:p>
    <w:p w14:paraId="15A03C01" w14:textId="77777777" w:rsidR="00747CA9" w:rsidRDefault="00747CA9" w:rsidP="00BB1C3F">
      <w:pPr>
        <w:spacing w:line="480" w:lineRule="auto"/>
        <w:jc w:val="both"/>
        <w:rPr>
          <w:u w:val="none"/>
          <w:lang w:val="en-US"/>
        </w:rPr>
      </w:pPr>
    </w:p>
    <w:p w14:paraId="3F2AA17E" w14:textId="2BA2B97B" w:rsidR="00747CA9" w:rsidRDefault="00747CA9" w:rsidP="00BB1C3F">
      <w:pPr>
        <w:spacing w:line="480" w:lineRule="auto"/>
        <w:jc w:val="both"/>
        <w:rPr>
          <w:u w:val="none"/>
          <w:lang w:val="en-US"/>
        </w:rPr>
      </w:pPr>
      <w:r>
        <w:rPr>
          <w:u w:val="none"/>
          <w:lang w:val="en-US"/>
        </w:rPr>
        <w:lastRenderedPageBreak/>
        <w:t>[5]</w:t>
      </w:r>
      <w:r>
        <w:rPr>
          <w:u w:val="none"/>
          <w:lang w:val="en-US"/>
        </w:rPr>
        <w:tab/>
        <w:t xml:space="preserve">The first </w:t>
      </w:r>
      <w:r w:rsidR="003A1351">
        <w:rPr>
          <w:u w:val="none"/>
          <w:lang w:val="en-US"/>
        </w:rPr>
        <w:t>winding up</w:t>
      </w:r>
      <w:r>
        <w:rPr>
          <w:u w:val="none"/>
          <w:lang w:val="en-US"/>
        </w:rPr>
        <w:t xml:space="preserve"> application was settled between the parties</w:t>
      </w:r>
      <w:r w:rsidR="00657082">
        <w:rPr>
          <w:u w:val="none"/>
          <w:lang w:val="en-US"/>
        </w:rPr>
        <w:t xml:space="preserve"> and</w:t>
      </w:r>
      <w:r>
        <w:rPr>
          <w:u w:val="none"/>
          <w:lang w:val="en-US"/>
        </w:rPr>
        <w:t xml:space="preserve"> </w:t>
      </w:r>
      <w:r w:rsidR="008120F4">
        <w:rPr>
          <w:u w:val="none"/>
          <w:lang w:val="en-US"/>
        </w:rPr>
        <w:t>the following were terms of the agreement</w:t>
      </w:r>
      <w:r>
        <w:rPr>
          <w:u w:val="none"/>
          <w:lang w:val="en-US"/>
        </w:rPr>
        <w:t>:</w:t>
      </w:r>
    </w:p>
    <w:p w14:paraId="61824247" w14:textId="77777777" w:rsidR="00747CA9" w:rsidRDefault="00747CA9" w:rsidP="00747CA9">
      <w:pPr>
        <w:spacing w:line="480" w:lineRule="auto"/>
        <w:ind w:left="1440" w:hanging="720"/>
        <w:jc w:val="both"/>
        <w:rPr>
          <w:u w:val="none"/>
          <w:lang w:val="en-US"/>
        </w:rPr>
      </w:pPr>
      <w:r>
        <w:rPr>
          <w:u w:val="none"/>
          <w:lang w:val="en-US"/>
        </w:rPr>
        <w:t>a)</w:t>
      </w:r>
      <w:r>
        <w:rPr>
          <w:u w:val="none"/>
          <w:lang w:val="en-US"/>
        </w:rPr>
        <w:tab/>
        <w:t>The respondent undertook to pay the appellant the amount of R4</w:t>
      </w:r>
      <w:r w:rsidR="003A1351">
        <w:rPr>
          <w:u w:val="none"/>
          <w:lang w:val="en-US"/>
        </w:rPr>
        <w:t xml:space="preserve"> 0</w:t>
      </w:r>
      <w:r>
        <w:rPr>
          <w:u w:val="none"/>
          <w:lang w:val="en-US"/>
        </w:rPr>
        <w:t>00 000-00 by 31 January 2018;</w:t>
      </w:r>
    </w:p>
    <w:p w14:paraId="5D358006" w14:textId="77777777" w:rsidR="00747CA9" w:rsidRDefault="00747CA9" w:rsidP="00747CA9">
      <w:pPr>
        <w:spacing w:line="480" w:lineRule="auto"/>
        <w:ind w:left="1440" w:hanging="720"/>
        <w:jc w:val="both"/>
        <w:rPr>
          <w:u w:val="none"/>
          <w:lang w:val="en-US"/>
        </w:rPr>
      </w:pPr>
      <w:r>
        <w:rPr>
          <w:u w:val="none"/>
          <w:lang w:val="en-US"/>
        </w:rPr>
        <w:t>b)</w:t>
      </w:r>
      <w:r>
        <w:rPr>
          <w:u w:val="none"/>
          <w:lang w:val="en-US"/>
        </w:rPr>
        <w:tab/>
        <w:t>The respondent granted a Power of Attorney to the appellant in respect of the respondent’s immovable property;</w:t>
      </w:r>
    </w:p>
    <w:p w14:paraId="687D4509" w14:textId="77777777" w:rsidR="00747CA9" w:rsidRDefault="00747CA9" w:rsidP="00747CA9">
      <w:pPr>
        <w:spacing w:line="480" w:lineRule="auto"/>
        <w:ind w:left="1440" w:hanging="720"/>
        <w:jc w:val="both"/>
        <w:rPr>
          <w:u w:val="none"/>
          <w:lang w:val="en-US"/>
        </w:rPr>
      </w:pPr>
      <w:r>
        <w:rPr>
          <w:u w:val="none"/>
          <w:lang w:val="en-US"/>
        </w:rPr>
        <w:t>c)</w:t>
      </w:r>
      <w:r>
        <w:rPr>
          <w:u w:val="none"/>
          <w:lang w:val="en-US"/>
        </w:rPr>
        <w:tab/>
        <w:t>Should the respondent fail to pay the aforesaid amount on the due date</w:t>
      </w:r>
      <w:r w:rsidR="00FA2BF9">
        <w:rPr>
          <w:u w:val="none"/>
          <w:lang w:val="en-US"/>
        </w:rPr>
        <w:t>, t</w:t>
      </w:r>
      <w:r>
        <w:rPr>
          <w:u w:val="none"/>
          <w:lang w:val="en-US"/>
        </w:rPr>
        <w:t>he appellant would be entitled to proceed with the sale of the immovable property in terms of the Power of Attorney.</w:t>
      </w:r>
    </w:p>
    <w:p w14:paraId="28CE68D3" w14:textId="77777777" w:rsidR="00747CA9" w:rsidRDefault="00747CA9" w:rsidP="00747CA9">
      <w:pPr>
        <w:spacing w:line="480" w:lineRule="auto"/>
        <w:jc w:val="both"/>
        <w:rPr>
          <w:u w:val="none"/>
          <w:lang w:val="en-US"/>
        </w:rPr>
      </w:pPr>
    </w:p>
    <w:p w14:paraId="1198387A" w14:textId="7C210B2D" w:rsidR="00747CA9" w:rsidRDefault="00747CA9" w:rsidP="00747CA9">
      <w:pPr>
        <w:spacing w:line="480" w:lineRule="auto"/>
        <w:jc w:val="both"/>
        <w:rPr>
          <w:u w:val="none"/>
          <w:lang w:val="en-US"/>
        </w:rPr>
      </w:pPr>
      <w:r>
        <w:rPr>
          <w:u w:val="none"/>
          <w:lang w:val="en-US"/>
        </w:rPr>
        <w:t>[6]</w:t>
      </w:r>
      <w:r>
        <w:rPr>
          <w:u w:val="none"/>
          <w:lang w:val="en-US"/>
        </w:rPr>
        <w:tab/>
        <w:t>The respondent failed</w:t>
      </w:r>
      <w:r w:rsidR="008120F4">
        <w:rPr>
          <w:u w:val="none"/>
          <w:lang w:val="en-US"/>
        </w:rPr>
        <w:t xml:space="preserve"> to mak</w:t>
      </w:r>
      <w:r>
        <w:rPr>
          <w:u w:val="none"/>
          <w:lang w:val="en-US"/>
        </w:rPr>
        <w:t>e payment as agreed</w:t>
      </w:r>
      <w:r w:rsidR="003A1351">
        <w:rPr>
          <w:u w:val="none"/>
          <w:lang w:val="en-US"/>
        </w:rPr>
        <w:t xml:space="preserve"> on 31 January 2018</w:t>
      </w:r>
      <w:r>
        <w:rPr>
          <w:u w:val="none"/>
          <w:lang w:val="en-US"/>
        </w:rPr>
        <w:t>. The appellant proceeded to take steps to arrange an auction to sell the immovable property as agree</w:t>
      </w:r>
      <w:r w:rsidR="00657082">
        <w:rPr>
          <w:u w:val="none"/>
          <w:lang w:val="en-US"/>
        </w:rPr>
        <w:t>d</w:t>
      </w:r>
      <w:r w:rsidR="003A1351">
        <w:rPr>
          <w:u w:val="none"/>
          <w:lang w:val="en-US"/>
        </w:rPr>
        <w:t>.</w:t>
      </w:r>
      <w:r w:rsidR="00657082">
        <w:rPr>
          <w:u w:val="none"/>
          <w:lang w:val="en-US"/>
        </w:rPr>
        <w:t xml:space="preserve"> The </w:t>
      </w:r>
      <w:r>
        <w:rPr>
          <w:u w:val="none"/>
          <w:lang w:val="en-US"/>
        </w:rPr>
        <w:t xml:space="preserve">respondent </w:t>
      </w:r>
      <w:r w:rsidR="003A1351">
        <w:rPr>
          <w:u w:val="none"/>
          <w:lang w:val="en-US"/>
        </w:rPr>
        <w:t xml:space="preserve">however disputed the appellant’s entitlement to proceed to sell the property </w:t>
      </w:r>
      <w:r w:rsidR="00657082">
        <w:rPr>
          <w:u w:val="none"/>
          <w:lang w:val="en-US"/>
        </w:rPr>
        <w:t>by way of</w:t>
      </w:r>
      <w:r w:rsidR="003A1351">
        <w:rPr>
          <w:u w:val="none"/>
          <w:lang w:val="en-US"/>
        </w:rPr>
        <w:t xml:space="preserve"> auction.</w:t>
      </w:r>
      <w:r>
        <w:rPr>
          <w:u w:val="none"/>
          <w:lang w:val="en-US"/>
        </w:rPr>
        <w:t xml:space="preserve"> The property was not sold. This then resulted in the second winding up application which was dismissed by the court </w:t>
      </w:r>
      <w:r w:rsidRPr="00747CA9">
        <w:rPr>
          <w:i/>
          <w:u w:val="none"/>
          <w:lang w:val="en-US"/>
        </w:rPr>
        <w:t>a quo</w:t>
      </w:r>
      <w:r>
        <w:rPr>
          <w:u w:val="none"/>
          <w:lang w:val="en-US"/>
        </w:rPr>
        <w:t>.</w:t>
      </w:r>
    </w:p>
    <w:p w14:paraId="17BB6149" w14:textId="77777777" w:rsidR="00747CA9" w:rsidRDefault="00747CA9" w:rsidP="00747CA9">
      <w:pPr>
        <w:spacing w:line="480" w:lineRule="auto"/>
        <w:jc w:val="both"/>
        <w:rPr>
          <w:u w:val="none"/>
          <w:lang w:val="en-US"/>
        </w:rPr>
      </w:pPr>
    </w:p>
    <w:p w14:paraId="0A8FF382" w14:textId="4DE8A5A2" w:rsidR="00747CA9" w:rsidRDefault="00747CA9" w:rsidP="00747CA9">
      <w:pPr>
        <w:spacing w:line="480" w:lineRule="auto"/>
        <w:jc w:val="both"/>
        <w:rPr>
          <w:u w:val="none"/>
          <w:lang w:val="en-US"/>
        </w:rPr>
      </w:pPr>
      <w:r>
        <w:rPr>
          <w:u w:val="none"/>
          <w:lang w:val="en-US"/>
        </w:rPr>
        <w:t>[7]</w:t>
      </w:r>
      <w:r>
        <w:rPr>
          <w:u w:val="none"/>
          <w:lang w:val="en-US"/>
        </w:rPr>
        <w:tab/>
        <w:t xml:space="preserve">The court </w:t>
      </w:r>
      <w:r w:rsidRPr="00747CA9">
        <w:rPr>
          <w:i/>
          <w:u w:val="none"/>
          <w:lang w:val="en-US"/>
        </w:rPr>
        <w:t>a quo</w:t>
      </w:r>
      <w:r>
        <w:rPr>
          <w:u w:val="none"/>
          <w:lang w:val="en-US"/>
        </w:rPr>
        <w:t xml:space="preserve"> found that reliance </w:t>
      </w:r>
      <w:r w:rsidR="008120F4">
        <w:rPr>
          <w:u w:val="none"/>
          <w:lang w:val="en-US"/>
        </w:rPr>
        <w:t>on</w:t>
      </w:r>
      <w:r>
        <w:rPr>
          <w:u w:val="none"/>
          <w:lang w:val="en-US"/>
        </w:rPr>
        <w:t xml:space="preserve"> section 345(1)(a) </w:t>
      </w:r>
      <w:r w:rsidR="008120F4">
        <w:rPr>
          <w:u w:val="none"/>
          <w:lang w:val="en-US"/>
        </w:rPr>
        <w:t xml:space="preserve">should </w:t>
      </w:r>
      <w:r>
        <w:rPr>
          <w:u w:val="none"/>
          <w:lang w:val="en-US"/>
        </w:rPr>
        <w:t>fail because the respondent denied receipt of demand</w:t>
      </w:r>
      <w:r w:rsidR="008120F4">
        <w:rPr>
          <w:u w:val="none"/>
          <w:lang w:val="en-US"/>
        </w:rPr>
        <w:t xml:space="preserve"> and no proof of proper service</w:t>
      </w:r>
      <w:r>
        <w:rPr>
          <w:u w:val="none"/>
          <w:lang w:val="en-US"/>
        </w:rPr>
        <w:t xml:space="preserve"> of the demand</w:t>
      </w:r>
      <w:r w:rsidR="008120F4">
        <w:rPr>
          <w:u w:val="none"/>
          <w:lang w:val="en-US"/>
        </w:rPr>
        <w:t xml:space="preserve"> was pro</w:t>
      </w:r>
      <w:r w:rsidR="00005ADE">
        <w:rPr>
          <w:u w:val="none"/>
          <w:lang w:val="en-US"/>
        </w:rPr>
        <w:t>vided</w:t>
      </w:r>
      <w:r>
        <w:rPr>
          <w:u w:val="none"/>
          <w:lang w:val="en-US"/>
        </w:rPr>
        <w:t xml:space="preserve">. The second problem </w:t>
      </w:r>
      <w:r w:rsidR="008120F4">
        <w:rPr>
          <w:u w:val="none"/>
          <w:lang w:val="en-US"/>
        </w:rPr>
        <w:t xml:space="preserve">according to the court </w:t>
      </w:r>
      <w:r w:rsidR="008120F4" w:rsidRPr="008120F4">
        <w:rPr>
          <w:i/>
          <w:u w:val="none"/>
          <w:lang w:val="en-US"/>
        </w:rPr>
        <w:t>a quo</w:t>
      </w:r>
      <w:r w:rsidR="003A1351">
        <w:rPr>
          <w:i/>
          <w:u w:val="none"/>
          <w:lang w:val="en-US"/>
        </w:rPr>
        <w:t>,</w:t>
      </w:r>
      <w:r w:rsidR="008120F4" w:rsidRPr="008120F4">
        <w:rPr>
          <w:i/>
          <w:u w:val="none"/>
          <w:lang w:val="en-US"/>
        </w:rPr>
        <w:t xml:space="preserve"> </w:t>
      </w:r>
      <w:r>
        <w:rPr>
          <w:u w:val="none"/>
          <w:lang w:val="en-US"/>
        </w:rPr>
        <w:t xml:space="preserve">was that the demand delivered during December 2015, was at the time of the hearing </w:t>
      </w:r>
      <w:r w:rsidR="00FA2BF9">
        <w:rPr>
          <w:u w:val="none"/>
          <w:lang w:val="en-US"/>
        </w:rPr>
        <w:t>three</w:t>
      </w:r>
      <w:r>
        <w:rPr>
          <w:u w:val="none"/>
          <w:lang w:val="en-US"/>
        </w:rPr>
        <w:t xml:space="preserve"> and a half</w:t>
      </w:r>
      <w:r w:rsidR="003A1351">
        <w:rPr>
          <w:u w:val="none"/>
          <w:lang w:val="en-US"/>
        </w:rPr>
        <w:t xml:space="preserve"> years </w:t>
      </w:r>
      <w:r>
        <w:rPr>
          <w:u w:val="none"/>
          <w:lang w:val="en-US"/>
        </w:rPr>
        <w:t>o</w:t>
      </w:r>
      <w:r w:rsidR="003A1351">
        <w:rPr>
          <w:u w:val="none"/>
          <w:lang w:val="en-US"/>
        </w:rPr>
        <w:t>ld</w:t>
      </w:r>
      <w:r>
        <w:rPr>
          <w:u w:val="none"/>
          <w:lang w:val="en-US"/>
        </w:rPr>
        <w:t xml:space="preserve">. The court </w:t>
      </w:r>
      <w:r w:rsidRPr="00747CA9">
        <w:rPr>
          <w:i/>
          <w:u w:val="none"/>
          <w:lang w:val="en-US"/>
        </w:rPr>
        <w:t>a quo</w:t>
      </w:r>
      <w:r>
        <w:rPr>
          <w:i/>
          <w:u w:val="none"/>
          <w:lang w:val="en-US"/>
        </w:rPr>
        <w:t xml:space="preserve"> </w:t>
      </w:r>
      <w:r>
        <w:rPr>
          <w:u w:val="none"/>
          <w:lang w:val="en-US"/>
        </w:rPr>
        <w:t>concluded that the appellant could not prove that the respondent’s financial position had not changed</w:t>
      </w:r>
      <w:r w:rsidR="00005ADE">
        <w:rPr>
          <w:u w:val="none"/>
          <w:lang w:val="en-US"/>
        </w:rPr>
        <w:t>, applying</w:t>
      </w:r>
      <w:r>
        <w:rPr>
          <w:u w:val="none"/>
          <w:lang w:val="en-US"/>
        </w:rPr>
        <w:t xml:space="preserve"> the same practice applicable in the instance </w:t>
      </w:r>
      <w:r w:rsidR="003A1351">
        <w:rPr>
          <w:u w:val="none"/>
          <w:lang w:val="en-US"/>
        </w:rPr>
        <w:t xml:space="preserve">of a </w:t>
      </w:r>
      <w:r w:rsidR="003A1351" w:rsidRPr="003A1351">
        <w:rPr>
          <w:i/>
          <w:u w:val="none"/>
          <w:lang w:val="en-US"/>
        </w:rPr>
        <w:t>nulla bona</w:t>
      </w:r>
      <w:r w:rsidR="003A1351">
        <w:rPr>
          <w:u w:val="none"/>
          <w:lang w:val="en-US"/>
        </w:rPr>
        <w:t xml:space="preserve"> </w:t>
      </w:r>
      <w:r w:rsidR="003A1351">
        <w:rPr>
          <w:u w:val="none"/>
          <w:lang w:val="en-US"/>
        </w:rPr>
        <w:lastRenderedPageBreak/>
        <w:t>return</w:t>
      </w:r>
      <w:r w:rsidR="00253029">
        <w:rPr>
          <w:u w:val="none"/>
          <w:lang w:val="en-US"/>
        </w:rPr>
        <w:t xml:space="preserve">, </w:t>
      </w:r>
      <w:r w:rsidR="00005ADE">
        <w:rPr>
          <w:u w:val="none"/>
          <w:lang w:val="en-US"/>
        </w:rPr>
        <w:t>namely</w:t>
      </w:r>
      <w:r w:rsidR="003A1351">
        <w:rPr>
          <w:u w:val="none"/>
          <w:lang w:val="en-US"/>
        </w:rPr>
        <w:t xml:space="preserve"> </w:t>
      </w:r>
      <w:r>
        <w:rPr>
          <w:u w:val="none"/>
          <w:lang w:val="en-US"/>
        </w:rPr>
        <w:t xml:space="preserve">that no reliance can be placed on a </w:t>
      </w:r>
      <w:r w:rsidRPr="00747CA9">
        <w:rPr>
          <w:i/>
          <w:u w:val="none"/>
          <w:lang w:val="en-US"/>
        </w:rPr>
        <w:t>nulla bona</w:t>
      </w:r>
      <w:r>
        <w:rPr>
          <w:u w:val="none"/>
          <w:lang w:val="en-US"/>
        </w:rPr>
        <w:t xml:space="preserve"> return that is older than six months.</w:t>
      </w:r>
    </w:p>
    <w:p w14:paraId="4F7D685D" w14:textId="77777777" w:rsidR="003A1351" w:rsidRDefault="003A1351" w:rsidP="00747CA9">
      <w:pPr>
        <w:spacing w:line="480" w:lineRule="auto"/>
        <w:jc w:val="both"/>
        <w:rPr>
          <w:u w:val="none"/>
          <w:lang w:val="en-US"/>
        </w:rPr>
      </w:pPr>
    </w:p>
    <w:p w14:paraId="1919A316" w14:textId="7133159E" w:rsidR="003A1351" w:rsidRDefault="00747CA9" w:rsidP="00747CA9">
      <w:pPr>
        <w:spacing w:line="480" w:lineRule="auto"/>
        <w:jc w:val="both"/>
        <w:rPr>
          <w:u w:val="none"/>
          <w:lang w:val="en-US"/>
        </w:rPr>
      </w:pPr>
      <w:r>
        <w:rPr>
          <w:u w:val="none"/>
          <w:lang w:val="en-US"/>
        </w:rPr>
        <w:t>[8]</w:t>
      </w:r>
      <w:r>
        <w:rPr>
          <w:u w:val="none"/>
          <w:lang w:val="en-US"/>
        </w:rPr>
        <w:tab/>
        <w:t xml:space="preserve">Although the aforesaid approach may </w:t>
      </w:r>
      <w:r w:rsidR="00CE3D11">
        <w:rPr>
          <w:u w:val="none"/>
          <w:lang w:val="en-US"/>
        </w:rPr>
        <w:t>in certain circumstances</w:t>
      </w:r>
      <w:r>
        <w:rPr>
          <w:u w:val="none"/>
          <w:lang w:val="en-US"/>
        </w:rPr>
        <w:t xml:space="preserve"> be salutary, the fact</w:t>
      </w:r>
      <w:r w:rsidR="003A1351">
        <w:rPr>
          <w:u w:val="none"/>
          <w:lang w:val="en-US"/>
        </w:rPr>
        <w:t>s</w:t>
      </w:r>
      <w:r>
        <w:rPr>
          <w:u w:val="none"/>
          <w:lang w:val="en-US"/>
        </w:rPr>
        <w:t xml:space="preserve"> and history of the respondent’s management of the credit facility and </w:t>
      </w:r>
      <w:r w:rsidR="00D86415">
        <w:rPr>
          <w:u w:val="none"/>
          <w:lang w:val="en-US"/>
        </w:rPr>
        <w:t>failure</w:t>
      </w:r>
      <w:r>
        <w:rPr>
          <w:u w:val="none"/>
          <w:lang w:val="en-US"/>
        </w:rPr>
        <w:t xml:space="preserve"> to comply with </w:t>
      </w:r>
      <w:r w:rsidR="00CE3D11">
        <w:rPr>
          <w:u w:val="none"/>
          <w:lang w:val="en-US"/>
        </w:rPr>
        <w:t>its</w:t>
      </w:r>
      <w:r>
        <w:rPr>
          <w:u w:val="none"/>
          <w:lang w:val="en-US"/>
        </w:rPr>
        <w:t xml:space="preserve"> obligation can hardly be ignored. If the respondent’s financial position </w:t>
      </w:r>
      <w:r w:rsidR="003A1351">
        <w:rPr>
          <w:u w:val="none"/>
          <w:lang w:val="en-US"/>
        </w:rPr>
        <w:t xml:space="preserve">improved it </w:t>
      </w:r>
      <w:r w:rsidR="00D86415">
        <w:rPr>
          <w:u w:val="none"/>
          <w:lang w:val="en-US"/>
        </w:rPr>
        <w:t xml:space="preserve"> would have made good on hi</w:t>
      </w:r>
      <w:r>
        <w:rPr>
          <w:u w:val="none"/>
          <w:lang w:val="en-US"/>
        </w:rPr>
        <w:t xml:space="preserve">s obligation towards appellant. In my view it is </w:t>
      </w:r>
      <w:r w:rsidR="00D86415">
        <w:rPr>
          <w:u w:val="none"/>
          <w:lang w:val="en-US"/>
        </w:rPr>
        <w:t>obvious</w:t>
      </w:r>
      <w:r>
        <w:rPr>
          <w:u w:val="none"/>
          <w:lang w:val="en-US"/>
        </w:rPr>
        <w:t xml:space="preserve"> that one’</w:t>
      </w:r>
      <w:r w:rsidR="00005ADE">
        <w:rPr>
          <w:u w:val="none"/>
          <w:lang w:val="en-US"/>
        </w:rPr>
        <w:t>s</w:t>
      </w:r>
      <w:r>
        <w:rPr>
          <w:u w:val="none"/>
          <w:lang w:val="en-US"/>
        </w:rPr>
        <w:t xml:space="preserve"> financial situation may change</w:t>
      </w:r>
      <w:r w:rsidR="003A1351">
        <w:rPr>
          <w:u w:val="none"/>
          <w:lang w:val="en-US"/>
        </w:rPr>
        <w:t xml:space="preserve"> as time</w:t>
      </w:r>
      <w:r w:rsidR="008120F4">
        <w:rPr>
          <w:u w:val="none"/>
          <w:lang w:val="en-US"/>
        </w:rPr>
        <w:t xml:space="preserve"> goes by, b</w:t>
      </w:r>
      <w:r>
        <w:rPr>
          <w:u w:val="none"/>
          <w:lang w:val="en-US"/>
        </w:rPr>
        <w:t>ut if a debtor</w:t>
      </w:r>
      <w:r w:rsidR="008120F4">
        <w:rPr>
          <w:u w:val="none"/>
          <w:lang w:val="en-US"/>
        </w:rPr>
        <w:t>,</w:t>
      </w:r>
      <w:r>
        <w:rPr>
          <w:u w:val="none"/>
          <w:lang w:val="en-US"/>
        </w:rPr>
        <w:t xml:space="preserve"> not only fail</w:t>
      </w:r>
      <w:r w:rsidR="00E97BA6">
        <w:rPr>
          <w:u w:val="none"/>
          <w:lang w:val="en-US"/>
        </w:rPr>
        <w:t>s</w:t>
      </w:r>
      <w:r>
        <w:rPr>
          <w:u w:val="none"/>
          <w:lang w:val="en-US"/>
        </w:rPr>
        <w:t xml:space="preserve"> to pay a debt that </w:t>
      </w:r>
      <w:r w:rsidR="00CE3D11">
        <w:rPr>
          <w:u w:val="none"/>
          <w:lang w:val="en-US"/>
        </w:rPr>
        <w:t>it</w:t>
      </w:r>
      <w:r>
        <w:rPr>
          <w:u w:val="none"/>
          <w:lang w:val="en-US"/>
        </w:rPr>
        <w:t xml:space="preserve"> ha</w:t>
      </w:r>
      <w:r w:rsidR="00005ADE">
        <w:rPr>
          <w:u w:val="none"/>
          <w:lang w:val="en-US"/>
        </w:rPr>
        <w:t>d previously</w:t>
      </w:r>
      <w:r>
        <w:rPr>
          <w:u w:val="none"/>
          <w:lang w:val="en-US"/>
        </w:rPr>
        <w:t xml:space="preserve"> admitted</w:t>
      </w:r>
      <w:r w:rsidR="008120F4">
        <w:rPr>
          <w:u w:val="none"/>
          <w:lang w:val="en-US"/>
        </w:rPr>
        <w:t>,</w:t>
      </w:r>
      <w:r>
        <w:rPr>
          <w:u w:val="none"/>
          <w:lang w:val="en-US"/>
        </w:rPr>
        <w:t xml:space="preserve"> </w:t>
      </w:r>
      <w:r w:rsidR="003A1351">
        <w:rPr>
          <w:u w:val="none"/>
          <w:lang w:val="en-US"/>
        </w:rPr>
        <w:t>but also</w:t>
      </w:r>
      <w:r w:rsidR="00005ADE">
        <w:rPr>
          <w:u w:val="none"/>
          <w:lang w:val="en-US"/>
        </w:rPr>
        <w:t xml:space="preserve"> failed</w:t>
      </w:r>
      <w:r w:rsidR="003A1351">
        <w:rPr>
          <w:u w:val="none"/>
          <w:lang w:val="en-US"/>
        </w:rPr>
        <w:t xml:space="preserve"> </w:t>
      </w:r>
      <w:r>
        <w:rPr>
          <w:u w:val="none"/>
          <w:lang w:val="en-US"/>
        </w:rPr>
        <w:t xml:space="preserve">to comply with a </w:t>
      </w:r>
      <w:r w:rsidR="00D86415">
        <w:rPr>
          <w:u w:val="none"/>
          <w:lang w:val="en-US"/>
        </w:rPr>
        <w:t>settlement</w:t>
      </w:r>
      <w:r>
        <w:rPr>
          <w:u w:val="none"/>
          <w:lang w:val="en-US"/>
        </w:rPr>
        <w:t xml:space="preserve"> agreement</w:t>
      </w:r>
      <w:r w:rsidR="00005ADE">
        <w:rPr>
          <w:u w:val="none"/>
          <w:lang w:val="en-US"/>
        </w:rPr>
        <w:t xml:space="preserve"> that </w:t>
      </w:r>
      <w:r w:rsidR="00CE3D11">
        <w:rPr>
          <w:u w:val="none"/>
          <w:lang w:val="en-US"/>
        </w:rPr>
        <w:t>it</w:t>
      </w:r>
      <w:r w:rsidR="00005ADE">
        <w:rPr>
          <w:u w:val="none"/>
          <w:lang w:val="en-US"/>
        </w:rPr>
        <w:t xml:space="preserve"> will pay th</w:t>
      </w:r>
      <w:r w:rsidR="00CE3D11">
        <w:rPr>
          <w:u w:val="none"/>
          <w:lang w:val="en-US"/>
        </w:rPr>
        <w:t>at</w:t>
      </w:r>
      <w:r w:rsidR="00005ADE">
        <w:rPr>
          <w:u w:val="none"/>
          <w:lang w:val="en-US"/>
        </w:rPr>
        <w:t xml:space="preserve"> debt,</w:t>
      </w:r>
      <w:r>
        <w:rPr>
          <w:u w:val="none"/>
          <w:lang w:val="en-US"/>
        </w:rPr>
        <w:t xml:space="preserve"> </w:t>
      </w:r>
      <w:r w:rsidR="003A1351">
        <w:rPr>
          <w:u w:val="none"/>
          <w:lang w:val="en-US"/>
        </w:rPr>
        <w:t xml:space="preserve">it can safely be inferred that its financial position did not improve and that it is </w:t>
      </w:r>
      <w:r w:rsidR="00005ADE">
        <w:rPr>
          <w:u w:val="none"/>
          <w:lang w:val="en-US"/>
        </w:rPr>
        <w:t>un</w:t>
      </w:r>
      <w:r w:rsidR="003A1351">
        <w:rPr>
          <w:u w:val="none"/>
          <w:lang w:val="en-US"/>
        </w:rPr>
        <w:t>able to pay its debts.</w:t>
      </w:r>
      <w:r>
        <w:rPr>
          <w:u w:val="none"/>
          <w:lang w:val="en-US"/>
        </w:rPr>
        <w:t xml:space="preserve"> One should take</w:t>
      </w:r>
      <w:r w:rsidR="00005ADE">
        <w:rPr>
          <w:u w:val="none"/>
          <w:lang w:val="en-US"/>
        </w:rPr>
        <w:t xml:space="preserve"> into account</w:t>
      </w:r>
      <w:r>
        <w:rPr>
          <w:u w:val="none"/>
          <w:lang w:val="en-US"/>
        </w:rPr>
        <w:t xml:space="preserve"> all the surround</w:t>
      </w:r>
      <w:r w:rsidR="00D86415">
        <w:rPr>
          <w:u w:val="none"/>
          <w:lang w:val="en-US"/>
        </w:rPr>
        <w:t>ing</w:t>
      </w:r>
      <w:r>
        <w:rPr>
          <w:u w:val="none"/>
          <w:lang w:val="en-US"/>
        </w:rPr>
        <w:t xml:space="preserve"> </w:t>
      </w:r>
      <w:r w:rsidR="00D86415">
        <w:rPr>
          <w:u w:val="none"/>
          <w:lang w:val="en-US"/>
        </w:rPr>
        <w:t>circumstances</w:t>
      </w:r>
      <w:r>
        <w:rPr>
          <w:u w:val="none"/>
          <w:lang w:val="en-US"/>
        </w:rPr>
        <w:t xml:space="preserve"> and not only focus on the effluxion of time</w:t>
      </w:r>
      <w:r w:rsidR="00005ADE">
        <w:rPr>
          <w:u w:val="none"/>
          <w:lang w:val="en-US"/>
        </w:rPr>
        <w:t>.</w:t>
      </w:r>
    </w:p>
    <w:p w14:paraId="07923AAB" w14:textId="77777777" w:rsidR="00D86415" w:rsidRDefault="003A1351" w:rsidP="00747CA9">
      <w:pPr>
        <w:spacing w:line="480" w:lineRule="auto"/>
        <w:jc w:val="both"/>
        <w:rPr>
          <w:u w:val="none"/>
          <w:lang w:val="en-US"/>
        </w:rPr>
      </w:pPr>
      <w:r>
        <w:rPr>
          <w:u w:val="none"/>
          <w:lang w:val="en-US"/>
        </w:rPr>
        <w:t xml:space="preserve"> </w:t>
      </w:r>
    </w:p>
    <w:p w14:paraId="0FE16407" w14:textId="41E2C635" w:rsidR="00D86415" w:rsidRDefault="00D86415" w:rsidP="00747CA9">
      <w:pPr>
        <w:spacing w:line="480" w:lineRule="auto"/>
        <w:jc w:val="both"/>
        <w:rPr>
          <w:u w:val="none"/>
          <w:lang w:val="en-US"/>
        </w:rPr>
      </w:pPr>
      <w:r>
        <w:rPr>
          <w:u w:val="none"/>
          <w:lang w:val="en-US"/>
        </w:rPr>
        <w:t>[9]</w:t>
      </w:r>
      <w:r>
        <w:rPr>
          <w:u w:val="none"/>
          <w:lang w:val="en-US"/>
        </w:rPr>
        <w:tab/>
        <w:t xml:space="preserve">The court </w:t>
      </w:r>
      <w:r w:rsidRPr="00D86415">
        <w:rPr>
          <w:i/>
          <w:u w:val="none"/>
          <w:lang w:val="en-US"/>
        </w:rPr>
        <w:t>a quo</w:t>
      </w:r>
      <w:r>
        <w:rPr>
          <w:u w:val="none"/>
          <w:lang w:val="en-US"/>
        </w:rPr>
        <w:t xml:space="preserve"> correctly found that a company’s inability to pay may be proved in any manner. In my view the mere fact that the respondent did not pay its debt in terms of either the demand</w:t>
      </w:r>
      <w:r w:rsidR="003A1351">
        <w:rPr>
          <w:u w:val="none"/>
          <w:lang w:val="en-US"/>
        </w:rPr>
        <w:t>,</w:t>
      </w:r>
      <w:r>
        <w:rPr>
          <w:u w:val="none"/>
          <w:lang w:val="en-US"/>
        </w:rPr>
        <w:t xml:space="preserve"> or the later settlement is sufficient proof of an inability to pay its debts</w:t>
      </w:r>
      <w:r w:rsidR="00005ADE">
        <w:rPr>
          <w:u w:val="none"/>
          <w:lang w:val="en-US"/>
        </w:rPr>
        <w:t xml:space="preserve"> as envisaged in the Act.</w:t>
      </w:r>
      <w:r>
        <w:rPr>
          <w:u w:val="none"/>
          <w:lang w:val="en-US"/>
        </w:rPr>
        <w:t xml:space="preserve"> It is also significant that the respondent did not deny its inability to pay its debts in the papers before the court. The fact of the matter is that the respondent ha</w:t>
      </w:r>
      <w:r w:rsidR="00005ADE">
        <w:rPr>
          <w:u w:val="none"/>
          <w:lang w:val="en-US"/>
        </w:rPr>
        <w:t>d</w:t>
      </w:r>
      <w:r>
        <w:rPr>
          <w:u w:val="none"/>
          <w:lang w:val="en-US"/>
        </w:rPr>
        <w:t xml:space="preserve"> not paid its debt since 2015. Also of importance is that the respondent’s case </w:t>
      </w:r>
      <w:r w:rsidR="003A1351">
        <w:rPr>
          <w:u w:val="none"/>
          <w:lang w:val="en-US"/>
        </w:rPr>
        <w:t>before the court was not based o</w:t>
      </w:r>
      <w:r>
        <w:rPr>
          <w:u w:val="none"/>
          <w:lang w:val="en-US"/>
        </w:rPr>
        <w:t>n any allegation that it is indeed able to pay its debt</w:t>
      </w:r>
      <w:r w:rsidR="003A1351">
        <w:rPr>
          <w:u w:val="none"/>
          <w:lang w:val="en-US"/>
        </w:rPr>
        <w:t>s</w:t>
      </w:r>
      <w:r>
        <w:rPr>
          <w:u w:val="none"/>
          <w:lang w:val="en-US"/>
        </w:rPr>
        <w:t xml:space="preserve">. Our </w:t>
      </w:r>
      <w:r>
        <w:rPr>
          <w:u w:val="none"/>
          <w:lang w:val="en-US"/>
        </w:rPr>
        <w:lastRenderedPageBreak/>
        <w:t>courts have found that failure to pay on dem</w:t>
      </w:r>
      <w:r w:rsidR="008120F4">
        <w:rPr>
          <w:u w:val="none"/>
          <w:lang w:val="en-US"/>
        </w:rPr>
        <w:t xml:space="preserve">and </w:t>
      </w:r>
      <w:r>
        <w:rPr>
          <w:u w:val="none"/>
          <w:lang w:val="en-US"/>
        </w:rPr>
        <w:t xml:space="preserve"> is </w:t>
      </w:r>
      <w:r w:rsidRPr="00D86415">
        <w:rPr>
          <w:i/>
          <w:u w:val="none"/>
          <w:lang w:val="en-US"/>
        </w:rPr>
        <w:t>prima facie</w:t>
      </w:r>
      <w:r>
        <w:rPr>
          <w:u w:val="none"/>
          <w:lang w:val="en-US"/>
        </w:rPr>
        <w:t xml:space="preserve"> proof of an inability to pay </w:t>
      </w:r>
      <w:r w:rsidR="00005ADE">
        <w:rPr>
          <w:u w:val="none"/>
          <w:lang w:val="en-US"/>
        </w:rPr>
        <w:t>a</w:t>
      </w:r>
      <w:r>
        <w:rPr>
          <w:u w:val="none"/>
          <w:lang w:val="en-US"/>
        </w:rPr>
        <w:t xml:space="preserve"> debt.</w:t>
      </w:r>
      <w:r>
        <w:rPr>
          <w:rStyle w:val="FootnoteReference"/>
          <w:u w:val="none"/>
          <w:lang w:val="en-US"/>
        </w:rPr>
        <w:footnoteReference w:id="1"/>
      </w:r>
      <w:r>
        <w:rPr>
          <w:u w:val="none"/>
          <w:lang w:val="en-US"/>
        </w:rPr>
        <w:t xml:space="preserve">  </w:t>
      </w:r>
    </w:p>
    <w:p w14:paraId="54C712F8" w14:textId="77777777" w:rsidR="00D86415" w:rsidRDefault="00D86415" w:rsidP="00747CA9">
      <w:pPr>
        <w:spacing w:line="480" w:lineRule="auto"/>
        <w:jc w:val="both"/>
        <w:rPr>
          <w:u w:val="none"/>
          <w:lang w:val="en-US"/>
        </w:rPr>
      </w:pPr>
    </w:p>
    <w:p w14:paraId="742F974C" w14:textId="029C67F4" w:rsidR="008120F4" w:rsidRDefault="00D86415" w:rsidP="00747CA9">
      <w:pPr>
        <w:spacing w:line="480" w:lineRule="auto"/>
        <w:jc w:val="both"/>
        <w:rPr>
          <w:u w:val="none"/>
          <w:lang w:val="en-US"/>
        </w:rPr>
      </w:pPr>
      <w:r>
        <w:rPr>
          <w:u w:val="none"/>
          <w:lang w:val="en-US"/>
        </w:rPr>
        <w:t>[10]</w:t>
      </w:r>
      <w:r>
        <w:rPr>
          <w:u w:val="none"/>
          <w:lang w:val="en-US"/>
        </w:rPr>
        <w:tab/>
        <w:t xml:space="preserve">The respondent opposed the application </w:t>
      </w:r>
      <w:r w:rsidR="008120F4">
        <w:rPr>
          <w:u w:val="none"/>
          <w:lang w:val="en-US"/>
        </w:rPr>
        <w:t xml:space="preserve">on </w:t>
      </w:r>
      <w:r>
        <w:rPr>
          <w:u w:val="none"/>
          <w:lang w:val="en-US"/>
        </w:rPr>
        <w:t xml:space="preserve">the basis that liquidation is not appropriate where the appellant has another, less invasive remedy available. In this instance the sale of the immovable property. The court </w:t>
      </w:r>
      <w:r w:rsidRPr="0040214C">
        <w:rPr>
          <w:i/>
          <w:u w:val="none"/>
          <w:lang w:val="en-US"/>
        </w:rPr>
        <w:t>a quo</w:t>
      </w:r>
      <w:r>
        <w:rPr>
          <w:u w:val="none"/>
          <w:lang w:val="en-US"/>
        </w:rPr>
        <w:t xml:space="preserve"> found that the director of the respondent was not </w:t>
      </w:r>
      <w:r w:rsidR="00005ADE">
        <w:rPr>
          <w:u w:val="none"/>
          <w:lang w:val="en-US"/>
        </w:rPr>
        <w:t>obstructive when he refused to allow the sale by way of auction</w:t>
      </w:r>
      <w:r>
        <w:rPr>
          <w:u w:val="none"/>
          <w:lang w:val="en-US"/>
        </w:rPr>
        <w:t xml:space="preserve">. The papers reveal that the director refused to co-operate with the auctioneer as </w:t>
      </w:r>
      <w:r w:rsidR="008120F4">
        <w:rPr>
          <w:u w:val="none"/>
          <w:lang w:val="en-US"/>
        </w:rPr>
        <w:t xml:space="preserve">he alleged that </w:t>
      </w:r>
      <w:r>
        <w:rPr>
          <w:u w:val="none"/>
          <w:lang w:val="en-US"/>
        </w:rPr>
        <w:t xml:space="preserve">the Power of Attorney did not make provision for the sale of the immovable property on an auction. A perusal of the </w:t>
      </w:r>
      <w:r w:rsidR="008120F4">
        <w:rPr>
          <w:u w:val="none"/>
          <w:lang w:val="en-US"/>
        </w:rPr>
        <w:t xml:space="preserve">Power of Attorney </w:t>
      </w:r>
      <w:r>
        <w:rPr>
          <w:u w:val="none"/>
          <w:lang w:val="en-US"/>
        </w:rPr>
        <w:t>reveals that it provides for the sale of the property</w:t>
      </w:r>
      <w:r w:rsidR="008120F4">
        <w:rPr>
          <w:u w:val="none"/>
          <w:lang w:val="en-US"/>
        </w:rPr>
        <w:t xml:space="preserve"> by private treaty or auction</w:t>
      </w:r>
      <w:r w:rsidR="00253029">
        <w:rPr>
          <w:u w:val="none"/>
          <w:lang w:val="en-US"/>
        </w:rPr>
        <w:t xml:space="preserve">. </w:t>
      </w:r>
      <w:r w:rsidR="00005ADE">
        <w:rPr>
          <w:u w:val="none"/>
          <w:lang w:val="en-US"/>
        </w:rPr>
        <w:t>The property was not sold and the appell</w:t>
      </w:r>
      <w:r w:rsidR="00AC02AB">
        <w:rPr>
          <w:u w:val="none"/>
          <w:lang w:val="en-US"/>
        </w:rPr>
        <w:t>ant decided to proceed with the winding up application.</w:t>
      </w:r>
      <w:r>
        <w:rPr>
          <w:u w:val="none"/>
          <w:lang w:val="en-US"/>
        </w:rPr>
        <w:t xml:space="preserve"> </w:t>
      </w:r>
    </w:p>
    <w:p w14:paraId="60CC2B54" w14:textId="77777777" w:rsidR="00591EDC" w:rsidRDefault="008120F4" w:rsidP="00747CA9">
      <w:pPr>
        <w:spacing w:line="480" w:lineRule="auto"/>
        <w:jc w:val="both"/>
        <w:rPr>
          <w:u w:val="none"/>
          <w:lang w:val="en-US"/>
        </w:rPr>
      </w:pPr>
      <w:r>
        <w:rPr>
          <w:u w:val="none"/>
          <w:lang w:val="en-US"/>
        </w:rPr>
        <w:t xml:space="preserve"> </w:t>
      </w:r>
    </w:p>
    <w:p w14:paraId="13A724F0" w14:textId="3008F6DF" w:rsidR="00591EDC" w:rsidRDefault="00591EDC" w:rsidP="00747CA9">
      <w:pPr>
        <w:spacing w:line="480" w:lineRule="auto"/>
        <w:jc w:val="both"/>
        <w:rPr>
          <w:u w:val="none"/>
          <w:lang w:val="en-US"/>
        </w:rPr>
      </w:pPr>
      <w:r>
        <w:rPr>
          <w:u w:val="none"/>
          <w:lang w:val="en-US"/>
        </w:rPr>
        <w:t>[11]</w:t>
      </w:r>
      <w:r>
        <w:rPr>
          <w:u w:val="none"/>
          <w:lang w:val="en-US"/>
        </w:rPr>
        <w:tab/>
        <w:t>The court</w:t>
      </w:r>
      <w:r w:rsidRPr="0040214C">
        <w:rPr>
          <w:i/>
          <w:u w:val="none"/>
          <w:lang w:val="en-US"/>
        </w:rPr>
        <w:t xml:space="preserve"> a quo </w:t>
      </w:r>
      <w:r>
        <w:rPr>
          <w:u w:val="none"/>
          <w:lang w:val="en-US"/>
        </w:rPr>
        <w:t xml:space="preserve">correctly held that as a general proposition there is no obligation on a creditor who has made out a case for winding up to follow a more benevolent route. The court </w:t>
      </w:r>
      <w:r w:rsidRPr="0040214C">
        <w:rPr>
          <w:i/>
          <w:u w:val="none"/>
          <w:lang w:val="en-US"/>
        </w:rPr>
        <w:t>a quo</w:t>
      </w:r>
      <w:r>
        <w:rPr>
          <w:u w:val="none"/>
          <w:lang w:val="en-US"/>
        </w:rPr>
        <w:t xml:space="preserve"> however held that the appellant’s reliance on the respondent’s failure to pay the settlement amount </w:t>
      </w:r>
      <w:r w:rsidR="008120F4">
        <w:rPr>
          <w:u w:val="none"/>
          <w:lang w:val="en-US"/>
        </w:rPr>
        <w:t>during</w:t>
      </w:r>
      <w:r>
        <w:rPr>
          <w:u w:val="none"/>
          <w:lang w:val="en-US"/>
        </w:rPr>
        <w:t xml:space="preserve"> J</w:t>
      </w:r>
      <w:r w:rsidR="0040214C">
        <w:rPr>
          <w:u w:val="none"/>
          <w:lang w:val="en-US"/>
        </w:rPr>
        <w:t>anuary 2018</w:t>
      </w:r>
      <w:r w:rsidR="008120F4">
        <w:rPr>
          <w:u w:val="none"/>
          <w:lang w:val="en-US"/>
        </w:rPr>
        <w:t>,</w:t>
      </w:r>
      <w:r>
        <w:rPr>
          <w:u w:val="none"/>
          <w:lang w:val="en-US"/>
        </w:rPr>
        <w:t xml:space="preserve"> while </w:t>
      </w:r>
      <w:r w:rsidR="003A1351">
        <w:rPr>
          <w:u w:val="none"/>
          <w:lang w:val="en-US"/>
        </w:rPr>
        <w:t xml:space="preserve">it </w:t>
      </w:r>
      <w:r>
        <w:rPr>
          <w:u w:val="none"/>
          <w:lang w:val="en-US"/>
        </w:rPr>
        <w:t>tender</w:t>
      </w:r>
      <w:r w:rsidR="003A1351">
        <w:rPr>
          <w:u w:val="none"/>
          <w:lang w:val="en-US"/>
        </w:rPr>
        <w:t>ed</w:t>
      </w:r>
      <w:r>
        <w:rPr>
          <w:u w:val="none"/>
          <w:lang w:val="en-US"/>
        </w:rPr>
        <w:t xml:space="preserve"> the sale of the immovable property was insufficient to establish that </w:t>
      </w:r>
      <w:r w:rsidR="0040214C">
        <w:rPr>
          <w:u w:val="none"/>
          <w:lang w:val="en-US"/>
        </w:rPr>
        <w:t>th</w:t>
      </w:r>
      <w:r>
        <w:rPr>
          <w:u w:val="none"/>
          <w:lang w:val="en-US"/>
        </w:rPr>
        <w:t>e</w:t>
      </w:r>
      <w:r w:rsidR="008120F4">
        <w:rPr>
          <w:u w:val="none"/>
          <w:lang w:val="en-US"/>
        </w:rPr>
        <w:t xml:space="preserve"> respondent wa</w:t>
      </w:r>
      <w:r>
        <w:rPr>
          <w:u w:val="none"/>
          <w:lang w:val="en-US"/>
        </w:rPr>
        <w:t>s unable to pay its debts</w:t>
      </w:r>
      <w:r w:rsidR="003A1351">
        <w:rPr>
          <w:u w:val="none"/>
          <w:lang w:val="en-US"/>
        </w:rPr>
        <w:t>.</w:t>
      </w:r>
      <w:r>
        <w:rPr>
          <w:u w:val="none"/>
          <w:lang w:val="en-US"/>
        </w:rPr>
        <w:t xml:space="preserve"> In my view this </w:t>
      </w:r>
      <w:r w:rsidR="008120F4">
        <w:rPr>
          <w:u w:val="none"/>
          <w:lang w:val="en-US"/>
        </w:rPr>
        <w:t xml:space="preserve">approach </w:t>
      </w:r>
      <w:r>
        <w:rPr>
          <w:u w:val="none"/>
          <w:lang w:val="en-US"/>
        </w:rPr>
        <w:t>cannot be correct if one considers the history of the matter. What is common cause is that the respondent ha</w:t>
      </w:r>
      <w:r w:rsidR="00AC02AB">
        <w:rPr>
          <w:u w:val="none"/>
          <w:lang w:val="en-US"/>
        </w:rPr>
        <w:t>d</w:t>
      </w:r>
      <w:r>
        <w:rPr>
          <w:u w:val="none"/>
          <w:lang w:val="en-US"/>
        </w:rPr>
        <w:t xml:space="preserve"> failed to pay the debt of the appellant since 2015. If </w:t>
      </w:r>
      <w:r w:rsidR="008120F4">
        <w:rPr>
          <w:u w:val="none"/>
          <w:lang w:val="en-US"/>
        </w:rPr>
        <w:t>the respondent</w:t>
      </w:r>
      <w:r>
        <w:rPr>
          <w:u w:val="none"/>
          <w:lang w:val="en-US"/>
        </w:rPr>
        <w:t xml:space="preserve"> was indeed able to pay its debt, it </w:t>
      </w:r>
      <w:r>
        <w:rPr>
          <w:u w:val="none"/>
          <w:lang w:val="en-US"/>
        </w:rPr>
        <w:lastRenderedPageBreak/>
        <w:t xml:space="preserve">should have done so. </w:t>
      </w:r>
      <w:r w:rsidR="003A1351">
        <w:rPr>
          <w:u w:val="none"/>
          <w:lang w:val="en-US"/>
        </w:rPr>
        <w:t>D</w:t>
      </w:r>
      <w:r>
        <w:rPr>
          <w:u w:val="none"/>
          <w:lang w:val="en-US"/>
        </w:rPr>
        <w:t>espite the expiry of seven years no attempt has been made to pay the debt, consequently an inference that the respondent is</w:t>
      </w:r>
      <w:r w:rsidR="008120F4">
        <w:rPr>
          <w:u w:val="none"/>
          <w:lang w:val="en-US"/>
        </w:rPr>
        <w:t xml:space="preserve"> still </w:t>
      </w:r>
      <w:r>
        <w:rPr>
          <w:u w:val="none"/>
          <w:lang w:val="en-US"/>
        </w:rPr>
        <w:t xml:space="preserve"> unable to pay its debt is the only rational inference to </w:t>
      </w:r>
      <w:r w:rsidR="003A1351">
        <w:rPr>
          <w:u w:val="none"/>
          <w:lang w:val="en-US"/>
        </w:rPr>
        <w:t>be made.</w:t>
      </w:r>
    </w:p>
    <w:p w14:paraId="0E40C27D" w14:textId="77777777" w:rsidR="003A1351" w:rsidRDefault="003A1351" w:rsidP="00747CA9">
      <w:pPr>
        <w:spacing w:line="480" w:lineRule="auto"/>
        <w:jc w:val="both"/>
        <w:rPr>
          <w:u w:val="none"/>
          <w:lang w:val="en-US"/>
        </w:rPr>
      </w:pPr>
    </w:p>
    <w:p w14:paraId="78B7BF42" w14:textId="43B6570A" w:rsidR="008120F4" w:rsidRDefault="00591EDC" w:rsidP="00747CA9">
      <w:pPr>
        <w:spacing w:line="480" w:lineRule="auto"/>
        <w:jc w:val="both"/>
        <w:rPr>
          <w:u w:val="none"/>
          <w:lang w:val="en-US"/>
        </w:rPr>
      </w:pPr>
      <w:r>
        <w:rPr>
          <w:u w:val="none"/>
          <w:lang w:val="en-US"/>
        </w:rPr>
        <w:t>[12]</w:t>
      </w:r>
      <w:r>
        <w:rPr>
          <w:u w:val="none"/>
          <w:lang w:val="en-US"/>
        </w:rPr>
        <w:tab/>
        <w:t xml:space="preserve">The court </w:t>
      </w:r>
      <w:r w:rsidRPr="00C27126">
        <w:rPr>
          <w:i/>
          <w:u w:val="none"/>
          <w:lang w:val="en-US"/>
        </w:rPr>
        <w:t>a quo</w:t>
      </w:r>
      <w:r>
        <w:rPr>
          <w:u w:val="none"/>
          <w:lang w:val="en-US"/>
        </w:rPr>
        <w:t xml:space="preserve">  relied on </w:t>
      </w:r>
      <w:r w:rsidR="008120F4">
        <w:rPr>
          <w:u w:val="none"/>
          <w:lang w:val="en-US"/>
        </w:rPr>
        <w:t>its discretion</w:t>
      </w:r>
      <w:r>
        <w:rPr>
          <w:u w:val="none"/>
          <w:lang w:val="en-US"/>
        </w:rPr>
        <w:t xml:space="preserve"> to refuse the winding up</w:t>
      </w:r>
      <w:r w:rsidR="00AC02AB">
        <w:rPr>
          <w:u w:val="none"/>
          <w:lang w:val="en-US"/>
        </w:rPr>
        <w:t>.</w:t>
      </w:r>
      <w:r>
        <w:rPr>
          <w:u w:val="none"/>
          <w:lang w:val="en-US"/>
        </w:rPr>
        <w:t xml:space="preserve"> </w:t>
      </w:r>
      <w:r w:rsidR="00AC02AB">
        <w:rPr>
          <w:u w:val="none"/>
          <w:lang w:val="en-US"/>
        </w:rPr>
        <w:t>I</w:t>
      </w:r>
      <w:r>
        <w:rPr>
          <w:u w:val="none"/>
          <w:lang w:val="en-US"/>
        </w:rPr>
        <w:t>n my view the discretion was not exercised correctly and judicially in light of the present and historical facts.</w:t>
      </w:r>
      <w:r w:rsidR="008120F4">
        <w:rPr>
          <w:u w:val="none"/>
          <w:lang w:val="en-US"/>
        </w:rPr>
        <w:t xml:space="preserve"> </w:t>
      </w:r>
      <w:r w:rsidR="00C27126">
        <w:rPr>
          <w:u w:val="none"/>
          <w:lang w:val="en-US"/>
        </w:rPr>
        <w:t>It is trite that the mere fact that the value of a company’s assets may exceed the amount of its liabilities does not preclude a finding that the company is unable to pay its debts and such a finding may be made if the relevant assets are not readily reali</w:t>
      </w:r>
      <w:r w:rsidR="006C3F9C">
        <w:rPr>
          <w:u w:val="none"/>
          <w:lang w:val="en-US"/>
        </w:rPr>
        <w:t>s</w:t>
      </w:r>
      <w:r w:rsidR="00C27126">
        <w:rPr>
          <w:u w:val="none"/>
          <w:lang w:val="en-US"/>
        </w:rPr>
        <w:t>able.</w:t>
      </w:r>
      <w:r w:rsidR="00C27126">
        <w:rPr>
          <w:rStyle w:val="FootnoteReference"/>
          <w:u w:val="none"/>
          <w:lang w:val="en-US"/>
        </w:rPr>
        <w:footnoteReference w:id="2"/>
      </w:r>
      <w:r w:rsidR="008120F4">
        <w:rPr>
          <w:u w:val="none"/>
          <w:lang w:val="en-US"/>
        </w:rPr>
        <w:t xml:space="preserve"> </w:t>
      </w:r>
      <w:r w:rsidR="006C3F9C">
        <w:rPr>
          <w:u w:val="none"/>
          <w:lang w:val="en-US"/>
        </w:rPr>
        <w:t>T</w:t>
      </w:r>
      <w:r w:rsidR="0040214C">
        <w:rPr>
          <w:u w:val="none"/>
          <w:lang w:val="en-US"/>
        </w:rPr>
        <w:t xml:space="preserve">he actions of the director in preventing the sale of the property, caused a </w:t>
      </w:r>
      <w:r w:rsidR="008120F4">
        <w:rPr>
          <w:u w:val="none"/>
          <w:lang w:val="en-US"/>
        </w:rPr>
        <w:t xml:space="preserve">further </w:t>
      </w:r>
      <w:r w:rsidR="0040214C">
        <w:rPr>
          <w:u w:val="none"/>
          <w:lang w:val="en-US"/>
        </w:rPr>
        <w:t xml:space="preserve">delay </w:t>
      </w:r>
      <w:r w:rsidR="008120F4">
        <w:rPr>
          <w:u w:val="none"/>
          <w:lang w:val="en-US"/>
        </w:rPr>
        <w:t xml:space="preserve">and </w:t>
      </w:r>
      <w:r w:rsidR="00AC02AB">
        <w:rPr>
          <w:u w:val="none"/>
          <w:lang w:val="en-US"/>
        </w:rPr>
        <w:t>as a result the asset was not readily reali</w:t>
      </w:r>
      <w:r w:rsidR="006C3F9C">
        <w:rPr>
          <w:u w:val="none"/>
          <w:lang w:val="en-US"/>
        </w:rPr>
        <w:t>s</w:t>
      </w:r>
      <w:r w:rsidR="00AC02AB">
        <w:rPr>
          <w:u w:val="none"/>
          <w:lang w:val="en-US"/>
        </w:rPr>
        <w:t>able</w:t>
      </w:r>
    </w:p>
    <w:p w14:paraId="3C31454E" w14:textId="77777777" w:rsidR="0040214C" w:rsidRDefault="008120F4" w:rsidP="00747CA9">
      <w:pPr>
        <w:spacing w:line="480" w:lineRule="auto"/>
        <w:jc w:val="both"/>
        <w:rPr>
          <w:u w:val="none"/>
          <w:lang w:val="en-US"/>
        </w:rPr>
      </w:pPr>
      <w:r>
        <w:rPr>
          <w:u w:val="none"/>
          <w:lang w:val="en-US"/>
        </w:rPr>
        <w:t xml:space="preserve"> </w:t>
      </w:r>
    </w:p>
    <w:p w14:paraId="493CA4C4" w14:textId="3A0F37F2" w:rsidR="00BE43A1" w:rsidRDefault="008120F4" w:rsidP="00747CA9">
      <w:pPr>
        <w:spacing w:line="480" w:lineRule="auto"/>
        <w:jc w:val="both"/>
        <w:rPr>
          <w:u w:val="none"/>
          <w:lang w:val="en-US"/>
        </w:rPr>
      </w:pPr>
      <w:r>
        <w:rPr>
          <w:u w:val="none"/>
          <w:lang w:val="en-US"/>
        </w:rPr>
        <w:t>[1</w:t>
      </w:r>
      <w:r w:rsidR="00AC02AB">
        <w:rPr>
          <w:u w:val="none"/>
          <w:lang w:val="en-US"/>
        </w:rPr>
        <w:t>3</w:t>
      </w:r>
      <w:r w:rsidR="0040214C">
        <w:rPr>
          <w:u w:val="none"/>
          <w:lang w:val="en-US"/>
        </w:rPr>
        <w:t>]</w:t>
      </w:r>
      <w:r w:rsidR="0040214C">
        <w:rPr>
          <w:u w:val="none"/>
          <w:lang w:val="en-US"/>
        </w:rPr>
        <w:tab/>
        <w:t xml:space="preserve">The </w:t>
      </w:r>
      <w:r>
        <w:rPr>
          <w:u w:val="none"/>
          <w:lang w:val="en-US"/>
        </w:rPr>
        <w:t xml:space="preserve">appellant was well within its right to bring a second winding up application. The </w:t>
      </w:r>
      <w:r w:rsidR="0040214C">
        <w:rPr>
          <w:u w:val="none"/>
          <w:lang w:val="en-US"/>
        </w:rPr>
        <w:t>court</w:t>
      </w:r>
      <w:r w:rsidR="00AC02AB">
        <w:rPr>
          <w:u w:val="none"/>
          <w:lang w:val="en-US"/>
        </w:rPr>
        <w:t xml:space="preserve"> had</w:t>
      </w:r>
      <w:r w:rsidR="0040214C">
        <w:rPr>
          <w:u w:val="none"/>
          <w:lang w:val="en-US"/>
        </w:rPr>
        <w:t xml:space="preserve"> a discretion to refuse the win</w:t>
      </w:r>
      <w:r>
        <w:rPr>
          <w:u w:val="none"/>
          <w:lang w:val="en-US"/>
        </w:rPr>
        <w:t>d</w:t>
      </w:r>
      <w:r w:rsidR="0040214C">
        <w:rPr>
          <w:u w:val="none"/>
          <w:lang w:val="en-US"/>
        </w:rPr>
        <w:t>ing up, but</w:t>
      </w:r>
      <w:r w:rsidR="00AC02AB">
        <w:rPr>
          <w:u w:val="none"/>
          <w:lang w:val="en-US"/>
        </w:rPr>
        <w:t xml:space="preserve"> </w:t>
      </w:r>
      <w:r w:rsidR="006C3F9C">
        <w:rPr>
          <w:u w:val="none"/>
          <w:lang w:val="en-US"/>
        </w:rPr>
        <w:t>a court’s</w:t>
      </w:r>
      <w:r w:rsidR="0040214C">
        <w:rPr>
          <w:u w:val="none"/>
          <w:lang w:val="en-US"/>
        </w:rPr>
        <w:t xml:space="preserve"> discretion is limited where a creditor has a debt which the </w:t>
      </w:r>
      <w:r w:rsidR="00BE43A1">
        <w:rPr>
          <w:u w:val="none"/>
          <w:lang w:val="en-US"/>
        </w:rPr>
        <w:t>company</w:t>
      </w:r>
      <w:r w:rsidR="003A1351">
        <w:rPr>
          <w:u w:val="none"/>
          <w:lang w:val="en-US"/>
        </w:rPr>
        <w:t xml:space="preserve"> cannot pay. T</w:t>
      </w:r>
      <w:r w:rsidR="0040214C">
        <w:rPr>
          <w:u w:val="none"/>
          <w:lang w:val="en-US"/>
        </w:rPr>
        <w:t xml:space="preserve">he creditor is entitled, </w:t>
      </w:r>
      <w:r w:rsidR="0040214C" w:rsidRPr="00BE43A1">
        <w:rPr>
          <w:i/>
          <w:u w:val="none"/>
          <w:lang w:val="en-US"/>
        </w:rPr>
        <w:t>ex debito justi</w:t>
      </w:r>
      <w:r w:rsidR="00BE43A1" w:rsidRPr="00BE43A1">
        <w:rPr>
          <w:i/>
          <w:u w:val="none"/>
          <w:lang w:val="en-US"/>
        </w:rPr>
        <w:t>tiae</w:t>
      </w:r>
      <w:r w:rsidR="00BE43A1">
        <w:rPr>
          <w:u w:val="none"/>
          <w:lang w:val="en-US"/>
        </w:rPr>
        <w:t xml:space="preserve"> to </w:t>
      </w:r>
      <w:r>
        <w:rPr>
          <w:u w:val="none"/>
          <w:lang w:val="en-US"/>
        </w:rPr>
        <w:t xml:space="preserve">a </w:t>
      </w:r>
      <w:r w:rsidR="00BE43A1">
        <w:rPr>
          <w:u w:val="none"/>
          <w:lang w:val="en-US"/>
        </w:rPr>
        <w:t>winding up order</w:t>
      </w:r>
      <w:r w:rsidR="00BE43A1">
        <w:rPr>
          <w:rStyle w:val="FootnoteReference"/>
          <w:u w:val="none"/>
          <w:lang w:val="en-US"/>
        </w:rPr>
        <w:footnoteReference w:id="3"/>
      </w:r>
      <w:r w:rsidR="00BE43A1">
        <w:rPr>
          <w:u w:val="none"/>
          <w:lang w:val="en-US"/>
        </w:rPr>
        <w:t>.</w:t>
      </w:r>
      <w:r>
        <w:rPr>
          <w:u w:val="none"/>
          <w:lang w:val="en-US"/>
        </w:rPr>
        <w:t xml:space="preserve"> </w:t>
      </w:r>
      <w:r w:rsidR="00064A7F">
        <w:rPr>
          <w:u w:val="none"/>
          <w:lang w:val="en-US"/>
        </w:rPr>
        <w:t xml:space="preserve"> </w:t>
      </w:r>
      <w:r w:rsidR="00AC02AB">
        <w:rPr>
          <w:u w:val="none"/>
          <w:lang w:val="en-US"/>
        </w:rPr>
        <w:t>T</w:t>
      </w:r>
      <w:r w:rsidR="00BE43A1">
        <w:rPr>
          <w:u w:val="none"/>
          <w:lang w:val="en-US"/>
        </w:rPr>
        <w:t>he court</w:t>
      </w:r>
      <w:r w:rsidR="00AC02AB">
        <w:rPr>
          <w:u w:val="none"/>
          <w:lang w:val="en-US"/>
        </w:rPr>
        <w:t>’s</w:t>
      </w:r>
      <w:r w:rsidR="00BE43A1">
        <w:rPr>
          <w:u w:val="none"/>
          <w:lang w:val="en-US"/>
        </w:rPr>
        <w:t xml:space="preserve"> discretion to refuse the grant</w:t>
      </w:r>
      <w:r w:rsidR="00064A7F">
        <w:rPr>
          <w:u w:val="none"/>
          <w:lang w:val="en-US"/>
        </w:rPr>
        <w:t xml:space="preserve">ing </w:t>
      </w:r>
      <w:r w:rsidR="00BE43A1">
        <w:rPr>
          <w:u w:val="none"/>
          <w:lang w:val="en-US"/>
        </w:rPr>
        <w:t xml:space="preserve">of </w:t>
      </w:r>
      <w:r w:rsidR="00064A7F">
        <w:rPr>
          <w:u w:val="none"/>
          <w:lang w:val="en-US"/>
        </w:rPr>
        <w:t xml:space="preserve">a </w:t>
      </w:r>
      <w:r w:rsidR="00BE43A1">
        <w:rPr>
          <w:u w:val="none"/>
          <w:lang w:val="en-US"/>
        </w:rPr>
        <w:t xml:space="preserve">winding up order where an unpaid creditor applies </w:t>
      </w:r>
      <w:r w:rsidR="003A1351">
        <w:rPr>
          <w:u w:val="none"/>
          <w:lang w:val="en-US"/>
        </w:rPr>
        <w:t xml:space="preserve">for it </w:t>
      </w:r>
      <w:r w:rsidR="00BE43A1">
        <w:rPr>
          <w:u w:val="none"/>
          <w:lang w:val="en-US"/>
        </w:rPr>
        <w:t>is a “very narrow one”, is rarely exercised and only in special or unusual circumstances.</w:t>
      </w:r>
      <w:r w:rsidR="00BE43A1">
        <w:rPr>
          <w:rStyle w:val="FootnoteReference"/>
          <w:u w:val="none"/>
          <w:lang w:val="en-US"/>
        </w:rPr>
        <w:footnoteReference w:id="4"/>
      </w:r>
    </w:p>
    <w:p w14:paraId="3689CE77" w14:textId="77777777" w:rsidR="00BE43A1" w:rsidRDefault="00BE43A1" w:rsidP="00747CA9">
      <w:pPr>
        <w:spacing w:line="480" w:lineRule="auto"/>
        <w:jc w:val="both"/>
        <w:rPr>
          <w:u w:val="none"/>
          <w:lang w:val="en-US"/>
        </w:rPr>
      </w:pPr>
    </w:p>
    <w:p w14:paraId="5FC28E36" w14:textId="62A10928" w:rsidR="00BE43A1" w:rsidRDefault="008120F4" w:rsidP="00747CA9">
      <w:pPr>
        <w:spacing w:line="480" w:lineRule="auto"/>
        <w:jc w:val="both"/>
        <w:rPr>
          <w:u w:val="none"/>
          <w:lang w:val="en-US"/>
        </w:rPr>
      </w:pPr>
      <w:r>
        <w:rPr>
          <w:u w:val="none"/>
          <w:lang w:val="en-US"/>
        </w:rPr>
        <w:t>[1</w:t>
      </w:r>
      <w:r w:rsidR="004B49CD">
        <w:rPr>
          <w:u w:val="none"/>
          <w:lang w:val="en-US"/>
        </w:rPr>
        <w:t>4</w:t>
      </w:r>
      <w:r w:rsidR="00BE43A1">
        <w:rPr>
          <w:u w:val="none"/>
          <w:lang w:val="en-US"/>
        </w:rPr>
        <w:t>]</w:t>
      </w:r>
      <w:r w:rsidR="00BE43A1">
        <w:rPr>
          <w:u w:val="none"/>
          <w:lang w:val="en-US"/>
        </w:rPr>
        <w:tab/>
      </w:r>
      <w:r w:rsidR="00B53635">
        <w:rPr>
          <w:u w:val="none"/>
          <w:lang w:val="en-US"/>
        </w:rPr>
        <w:t>It is clear that the</w:t>
      </w:r>
      <w:r w:rsidR="00FD24DA">
        <w:rPr>
          <w:u w:val="none"/>
          <w:lang w:val="en-US"/>
        </w:rPr>
        <w:t xml:space="preserve"> respo</w:t>
      </w:r>
      <w:r w:rsidR="00B53635">
        <w:rPr>
          <w:u w:val="none"/>
          <w:lang w:val="en-US"/>
        </w:rPr>
        <w:t>ndent could and cannot meet current demands on it and a winding up order should follow.</w:t>
      </w:r>
      <w:r w:rsidR="00B53635">
        <w:rPr>
          <w:rStyle w:val="FootnoteReference"/>
          <w:u w:val="none"/>
          <w:lang w:val="en-US"/>
        </w:rPr>
        <w:footnoteReference w:id="5"/>
      </w:r>
      <w:r w:rsidR="003D2703">
        <w:rPr>
          <w:u w:val="none"/>
          <w:lang w:val="en-US"/>
        </w:rPr>
        <w:t xml:space="preserve"> It is also trite that where proper grounds for winding up are established a court ought not to exercise its discretion against someone seeking a winding up order</w:t>
      </w:r>
      <w:r w:rsidR="008E06A8">
        <w:rPr>
          <w:u w:val="none"/>
          <w:lang w:val="en-US"/>
        </w:rPr>
        <w:t>,</w:t>
      </w:r>
      <w:r w:rsidR="003D2703">
        <w:rPr>
          <w:u w:val="none"/>
          <w:lang w:val="en-US"/>
        </w:rPr>
        <w:t xml:space="preserve"> unless there exist</w:t>
      </w:r>
      <w:r w:rsidR="00064A7F">
        <w:rPr>
          <w:u w:val="none"/>
          <w:lang w:val="en-US"/>
        </w:rPr>
        <w:t>s</w:t>
      </w:r>
      <w:r w:rsidR="003D2703">
        <w:rPr>
          <w:u w:val="none"/>
          <w:lang w:val="en-US"/>
        </w:rPr>
        <w:t xml:space="preserve"> an improper or ulterior motive.</w:t>
      </w:r>
      <w:r w:rsidR="003D2703">
        <w:rPr>
          <w:rStyle w:val="FootnoteReference"/>
          <w:u w:val="none"/>
          <w:lang w:val="en-US"/>
        </w:rPr>
        <w:footnoteReference w:id="6"/>
      </w:r>
      <w:r w:rsidR="003D2703">
        <w:rPr>
          <w:u w:val="none"/>
          <w:lang w:val="en-US"/>
        </w:rPr>
        <w:t xml:space="preserve"> On the papers no such ulterior motive could be inferred nor was there any evidence of such a motive</w:t>
      </w:r>
      <w:r w:rsidR="005659DB">
        <w:rPr>
          <w:u w:val="none"/>
          <w:lang w:val="en-US"/>
        </w:rPr>
        <w:t xml:space="preserve"> </w:t>
      </w:r>
      <w:r w:rsidR="003D2703">
        <w:rPr>
          <w:u w:val="none"/>
          <w:lang w:val="en-US"/>
        </w:rPr>
        <w:t>.</w:t>
      </w:r>
      <w:r w:rsidR="008E06A8">
        <w:rPr>
          <w:u w:val="none"/>
          <w:lang w:val="en-US"/>
        </w:rPr>
        <w:t>In my view there exists no bona fide dispute</w:t>
      </w:r>
      <w:r w:rsidR="005659DB">
        <w:rPr>
          <w:u w:val="none"/>
          <w:lang w:val="en-US"/>
        </w:rPr>
        <w:t xml:space="preserve"> of facts, that would require that the matter be referred to oral evidence.</w:t>
      </w:r>
    </w:p>
    <w:p w14:paraId="45D6856F" w14:textId="77777777" w:rsidR="003D2703" w:rsidRDefault="003D2703" w:rsidP="00747CA9">
      <w:pPr>
        <w:spacing w:line="480" w:lineRule="auto"/>
        <w:jc w:val="both"/>
        <w:rPr>
          <w:u w:val="none"/>
          <w:lang w:val="en-US"/>
        </w:rPr>
      </w:pPr>
    </w:p>
    <w:p w14:paraId="51C9C8AB" w14:textId="4D261CFD" w:rsidR="003D2703" w:rsidRDefault="00064A7F" w:rsidP="00747CA9">
      <w:pPr>
        <w:spacing w:line="480" w:lineRule="auto"/>
        <w:jc w:val="both"/>
        <w:rPr>
          <w:u w:val="none"/>
          <w:lang w:val="en-US"/>
        </w:rPr>
      </w:pPr>
      <w:r>
        <w:rPr>
          <w:u w:val="none"/>
          <w:lang w:val="en-US"/>
        </w:rPr>
        <w:t>[1</w:t>
      </w:r>
      <w:r w:rsidR="004B49CD">
        <w:rPr>
          <w:u w:val="none"/>
          <w:lang w:val="en-US"/>
        </w:rPr>
        <w:t>5</w:t>
      </w:r>
      <w:r w:rsidR="003D2703">
        <w:rPr>
          <w:u w:val="none"/>
          <w:lang w:val="en-US"/>
        </w:rPr>
        <w:t>]</w:t>
      </w:r>
      <w:r w:rsidR="003D2703">
        <w:rPr>
          <w:u w:val="none"/>
          <w:lang w:val="en-US"/>
        </w:rPr>
        <w:tab/>
        <w:t>In the light of all the facts the appeal should be upheld.</w:t>
      </w:r>
    </w:p>
    <w:p w14:paraId="45241DB0" w14:textId="77777777" w:rsidR="003D2703" w:rsidRDefault="003D2703" w:rsidP="00747CA9">
      <w:pPr>
        <w:spacing w:line="480" w:lineRule="auto"/>
        <w:jc w:val="both"/>
        <w:rPr>
          <w:u w:val="none"/>
          <w:lang w:val="en-US"/>
        </w:rPr>
      </w:pPr>
    </w:p>
    <w:p w14:paraId="1593D36A" w14:textId="1D1F01B4" w:rsidR="003D2703" w:rsidRDefault="00064A7F" w:rsidP="00747CA9">
      <w:pPr>
        <w:spacing w:line="480" w:lineRule="auto"/>
        <w:jc w:val="both"/>
        <w:rPr>
          <w:u w:val="none"/>
          <w:lang w:val="en-US"/>
        </w:rPr>
      </w:pPr>
      <w:r>
        <w:rPr>
          <w:u w:val="none"/>
          <w:lang w:val="en-US"/>
        </w:rPr>
        <w:t>[1</w:t>
      </w:r>
      <w:r w:rsidR="004B49CD">
        <w:rPr>
          <w:u w:val="none"/>
          <w:lang w:val="en-US"/>
        </w:rPr>
        <w:t>6</w:t>
      </w:r>
      <w:r w:rsidR="003D2703">
        <w:rPr>
          <w:u w:val="none"/>
          <w:lang w:val="en-US"/>
        </w:rPr>
        <w:t>]</w:t>
      </w:r>
      <w:r w:rsidR="003D2703">
        <w:rPr>
          <w:u w:val="none"/>
          <w:lang w:val="en-US"/>
        </w:rPr>
        <w:tab/>
        <w:t>I propose the following order:</w:t>
      </w:r>
    </w:p>
    <w:p w14:paraId="63224141" w14:textId="77777777" w:rsidR="003D2703" w:rsidRPr="003D2703" w:rsidRDefault="003D2703" w:rsidP="00747CA9">
      <w:pPr>
        <w:spacing w:line="480" w:lineRule="auto"/>
        <w:jc w:val="both"/>
        <w:rPr>
          <w:b/>
          <w:u w:val="none"/>
          <w:lang w:val="en-US"/>
        </w:rPr>
      </w:pPr>
    </w:p>
    <w:p w14:paraId="342E39D9" w14:textId="70BD93E1" w:rsidR="003D2703" w:rsidRPr="007F78CB" w:rsidRDefault="007F78CB" w:rsidP="007F78CB">
      <w:pPr>
        <w:spacing w:line="480" w:lineRule="auto"/>
        <w:ind w:left="1080" w:hanging="360"/>
        <w:jc w:val="both"/>
        <w:rPr>
          <w:b/>
          <w:u w:val="none"/>
          <w:lang w:val="en-US"/>
        </w:rPr>
      </w:pPr>
      <w:r w:rsidRPr="003D2703">
        <w:rPr>
          <w:b/>
          <w:u w:val="none"/>
          <w:lang w:val="en-US"/>
        </w:rPr>
        <w:t>1.</w:t>
      </w:r>
      <w:r w:rsidRPr="003D2703">
        <w:rPr>
          <w:b/>
          <w:u w:val="none"/>
          <w:lang w:val="en-US"/>
        </w:rPr>
        <w:tab/>
      </w:r>
      <w:r w:rsidR="003D2703" w:rsidRPr="007F78CB">
        <w:rPr>
          <w:b/>
          <w:u w:val="none"/>
          <w:lang w:val="en-US"/>
        </w:rPr>
        <w:t>The appeal is upheld;</w:t>
      </w:r>
    </w:p>
    <w:p w14:paraId="6C6E0E80" w14:textId="547185BF" w:rsidR="003D2703" w:rsidRPr="007F78CB" w:rsidRDefault="007F78CB" w:rsidP="007F78CB">
      <w:pPr>
        <w:spacing w:line="480" w:lineRule="auto"/>
        <w:ind w:left="1080" w:hanging="360"/>
        <w:jc w:val="both"/>
        <w:rPr>
          <w:b/>
          <w:u w:val="none"/>
          <w:lang w:val="en-US"/>
        </w:rPr>
      </w:pPr>
      <w:r w:rsidRPr="003D2703">
        <w:rPr>
          <w:b/>
          <w:u w:val="none"/>
          <w:lang w:val="en-US"/>
        </w:rPr>
        <w:t>2.</w:t>
      </w:r>
      <w:r w:rsidRPr="003D2703">
        <w:rPr>
          <w:b/>
          <w:u w:val="none"/>
          <w:lang w:val="en-US"/>
        </w:rPr>
        <w:tab/>
      </w:r>
      <w:r w:rsidR="003D2703" w:rsidRPr="007F78CB">
        <w:rPr>
          <w:b/>
          <w:u w:val="none"/>
          <w:lang w:val="en-US"/>
        </w:rPr>
        <w:t>The order of the court a quo is set aside and the following order made:</w:t>
      </w:r>
    </w:p>
    <w:p w14:paraId="552F2814" w14:textId="710EDC74" w:rsidR="003D2703" w:rsidRPr="007F78CB" w:rsidRDefault="007F78CB" w:rsidP="007F78CB">
      <w:pPr>
        <w:spacing w:line="480" w:lineRule="auto"/>
        <w:ind w:left="1440" w:hanging="360"/>
        <w:jc w:val="both"/>
        <w:rPr>
          <w:b/>
          <w:u w:val="none"/>
          <w:lang w:val="en-US"/>
        </w:rPr>
      </w:pPr>
      <w:r w:rsidRPr="003D2703">
        <w:rPr>
          <w:b/>
          <w:u w:val="none"/>
          <w:lang w:val="en-US"/>
        </w:rPr>
        <w:t>2.</w:t>
      </w:r>
      <w:bookmarkStart w:id="0" w:name="_GoBack"/>
      <w:bookmarkEnd w:id="0"/>
      <w:r w:rsidRPr="003D2703">
        <w:rPr>
          <w:b/>
          <w:u w:val="none"/>
          <w:lang w:val="en-US"/>
        </w:rPr>
        <w:t>1</w:t>
      </w:r>
      <w:r w:rsidRPr="003D2703">
        <w:rPr>
          <w:b/>
          <w:u w:val="none"/>
          <w:lang w:val="en-US"/>
        </w:rPr>
        <w:tab/>
      </w:r>
      <w:r w:rsidR="003D2703" w:rsidRPr="007F78CB">
        <w:rPr>
          <w:b/>
          <w:u w:val="none"/>
          <w:lang w:val="en-US"/>
        </w:rPr>
        <w:t xml:space="preserve">  The respondent</w:t>
      </w:r>
      <w:r w:rsidR="003A1351" w:rsidRPr="007F78CB">
        <w:rPr>
          <w:b/>
          <w:u w:val="none"/>
          <w:lang w:val="en-US"/>
        </w:rPr>
        <w:t xml:space="preserve"> company is hereby placed under final winding </w:t>
      </w:r>
      <w:r w:rsidR="003D2703" w:rsidRPr="007F78CB">
        <w:rPr>
          <w:b/>
          <w:u w:val="none"/>
          <w:lang w:val="en-US"/>
        </w:rPr>
        <w:t>up</w:t>
      </w:r>
      <w:r w:rsidR="00253029" w:rsidRPr="007F78CB">
        <w:rPr>
          <w:b/>
          <w:u w:val="none"/>
          <w:lang w:val="en-US"/>
        </w:rPr>
        <w:t>.</w:t>
      </w:r>
    </w:p>
    <w:p w14:paraId="0D21708B" w14:textId="4E08938C" w:rsidR="003D2703" w:rsidRPr="007F78CB" w:rsidRDefault="007F78CB" w:rsidP="007F78CB">
      <w:pPr>
        <w:spacing w:line="480" w:lineRule="auto"/>
        <w:ind w:left="1440" w:hanging="360"/>
        <w:jc w:val="both"/>
        <w:rPr>
          <w:b/>
          <w:u w:val="none"/>
          <w:lang w:val="en-US"/>
        </w:rPr>
      </w:pPr>
      <w:r>
        <w:rPr>
          <w:b/>
          <w:u w:val="none"/>
          <w:lang w:val="en-US"/>
        </w:rPr>
        <w:t>2.2</w:t>
      </w:r>
      <w:r>
        <w:rPr>
          <w:b/>
          <w:u w:val="none"/>
          <w:lang w:val="en-US"/>
        </w:rPr>
        <w:tab/>
      </w:r>
      <w:r w:rsidR="003A1351" w:rsidRPr="007F78CB">
        <w:rPr>
          <w:b/>
          <w:u w:val="none"/>
          <w:lang w:val="en-US"/>
        </w:rPr>
        <w:t xml:space="preserve">  The costs to be costs in the liquidation. </w:t>
      </w:r>
    </w:p>
    <w:p w14:paraId="56E73FD7" w14:textId="77777777" w:rsidR="006938E9" w:rsidRDefault="006938E9" w:rsidP="006938E9">
      <w:pPr>
        <w:tabs>
          <w:tab w:val="left" w:pos="0"/>
          <w:tab w:val="left" w:pos="720"/>
          <w:tab w:val="left" w:pos="1890"/>
          <w:tab w:val="left" w:pos="2340"/>
        </w:tabs>
        <w:spacing w:line="480" w:lineRule="auto"/>
        <w:contextualSpacing/>
        <w:jc w:val="right"/>
        <w:rPr>
          <w:b/>
          <w:bCs/>
          <w:color w:val="000000" w:themeColor="text1"/>
          <w:u w:val="none"/>
        </w:rPr>
      </w:pPr>
      <w:r>
        <w:rPr>
          <w:b/>
          <w:bCs/>
          <w:color w:val="000000" w:themeColor="text1"/>
          <w:u w:val="none"/>
        </w:rPr>
        <w:t>____________________</w:t>
      </w:r>
    </w:p>
    <w:p w14:paraId="0088EF8E" w14:textId="77777777" w:rsidR="006938E9" w:rsidRDefault="006938E9" w:rsidP="006938E9">
      <w:pPr>
        <w:tabs>
          <w:tab w:val="left" w:pos="0"/>
          <w:tab w:val="left" w:pos="720"/>
          <w:tab w:val="left" w:pos="1890"/>
          <w:tab w:val="left" w:pos="2340"/>
        </w:tabs>
        <w:spacing w:line="480" w:lineRule="auto"/>
        <w:contextualSpacing/>
        <w:jc w:val="right"/>
        <w:rPr>
          <w:b/>
          <w:bCs/>
          <w:color w:val="000000" w:themeColor="text1"/>
          <w:u w:val="none"/>
        </w:rPr>
      </w:pPr>
      <w:r>
        <w:rPr>
          <w:b/>
          <w:bCs/>
          <w:color w:val="000000" w:themeColor="text1"/>
          <w:u w:val="none"/>
        </w:rPr>
        <w:t>R G TOLMAY</w:t>
      </w:r>
    </w:p>
    <w:p w14:paraId="205AC2E6" w14:textId="77777777" w:rsidR="006938E9" w:rsidRDefault="006938E9" w:rsidP="006938E9">
      <w:pPr>
        <w:tabs>
          <w:tab w:val="left" w:pos="0"/>
          <w:tab w:val="left" w:pos="720"/>
          <w:tab w:val="left" w:pos="1890"/>
          <w:tab w:val="left" w:pos="2340"/>
        </w:tabs>
        <w:spacing w:line="480" w:lineRule="auto"/>
        <w:contextualSpacing/>
        <w:jc w:val="right"/>
        <w:rPr>
          <w:b/>
          <w:bCs/>
          <w:color w:val="000000" w:themeColor="text1"/>
          <w:u w:val="none"/>
        </w:rPr>
      </w:pPr>
      <w:r>
        <w:rPr>
          <w:b/>
          <w:bCs/>
          <w:color w:val="000000" w:themeColor="text1"/>
          <w:u w:val="none"/>
        </w:rPr>
        <w:t>JUDGE OF THE HIGH COURT</w:t>
      </w:r>
    </w:p>
    <w:p w14:paraId="54F3C0C1" w14:textId="77777777" w:rsidR="003A1351" w:rsidRPr="006938E9" w:rsidRDefault="003A1351" w:rsidP="006938E9">
      <w:pPr>
        <w:tabs>
          <w:tab w:val="left" w:pos="0"/>
          <w:tab w:val="left" w:pos="720"/>
          <w:tab w:val="left" w:pos="1890"/>
          <w:tab w:val="left" w:pos="2340"/>
        </w:tabs>
        <w:spacing w:line="480" w:lineRule="auto"/>
        <w:contextualSpacing/>
        <w:jc w:val="right"/>
        <w:rPr>
          <w:b/>
          <w:bCs/>
          <w:color w:val="000000" w:themeColor="text1"/>
          <w:u w:val="none"/>
        </w:rPr>
      </w:pPr>
    </w:p>
    <w:p w14:paraId="2636913B" w14:textId="77777777" w:rsidR="006938E9" w:rsidRPr="006938E9" w:rsidRDefault="006938E9" w:rsidP="006938E9">
      <w:pPr>
        <w:tabs>
          <w:tab w:val="left" w:pos="0"/>
          <w:tab w:val="left" w:pos="720"/>
          <w:tab w:val="left" w:pos="1890"/>
          <w:tab w:val="left" w:pos="2340"/>
        </w:tabs>
        <w:spacing w:line="480" w:lineRule="auto"/>
        <w:contextualSpacing/>
        <w:jc w:val="right"/>
        <w:rPr>
          <w:b/>
          <w:bCs/>
          <w:color w:val="000000" w:themeColor="text1"/>
          <w:u w:val="none"/>
        </w:rPr>
      </w:pPr>
      <w:r w:rsidRPr="006938E9">
        <w:rPr>
          <w:b/>
          <w:bCs/>
          <w:color w:val="000000" w:themeColor="text1"/>
          <w:u w:val="none"/>
        </w:rPr>
        <w:t>____________________</w:t>
      </w:r>
    </w:p>
    <w:p w14:paraId="166E4FD0" w14:textId="6532C06D" w:rsidR="006938E9" w:rsidRDefault="006938E9" w:rsidP="006938E9">
      <w:pPr>
        <w:tabs>
          <w:tab w:val="left" w:pos="0"/>
          <w:tab w:val="left" w:pos="720"/>
          <w:tab w:val="left" w:pos="1890"/>
          <w:tab w:val="left" w:pos="2340"/>
        </w:tabs>
        <w:spacing w:line="480" w:lineRule="auto"/>
        <w:contextualSpacing/>
        <w:jc w:val="right"/>
        <w:rPr>
          <w:b/>
          <w:bCs/>
          <w:color w:val="000000" w:themeColor="text1"/>
          <w:u w:val="none"/>
        </w:rPr>
      </w:pPr>
      <w:r w:rsidRPr="006938E9">
        <w:rPr>
          <w:b/>
          <w:bCs/>
          <w:color w:val="000000" w:themeColor="text1"/>
          <w:u w:val="none"/>
        </w:rPr>
        <w:t>S</w:t>
      </w:r>
      <w:r w:rsidR="00E97BA6">
        <w:rPr>
          <w:b/>
          <w:bCs/>
          <w:color w:val="000000" w:themeColor="text1"/>
          <w:u w:val="none"/>
        </w:rPr>
        <w:t>ELBY</w:t>
      </w:r>
      <w:r w:rsidRPr="006938E9">
        <w:rPr>
          <w:b/>
          <w:bCs/>
          <w:color w:val="000000" w:themeColor="text1"/>
          <w:u w:val="none"/>
        </w:rPr>
        <w:t xml:space="preserve"> BAQWA </w:t>
      </w:r>
    </w:p>
    <w:p w14:paraId="20F8AE10" w14:textId="77777777" w:rsidR="006938E9" w:rsidRDefault="006938E9" w:rsidP="006938E9">
      <w:pPr>
        <w:tabs>
          <w:tab w:val="left" w:pos="0"/>
          <w:tab w:val="left" w:pos="720"/>
          <w:tab w:val="left" w:pos="1890"/>
          <w:tab w:val="left" w:pos="2340"/>
        </w:tabs>
        <w:spacing w:line="480" w:lineRule="auto"/>
        <w:contextualSpacing/>
        <w:jc w:val="right"/>
        <w:rPr>
          <w:b/>
          <w:bCs/>
          <w:color w:val="000000" w:themeColor="text1"/>
          <w:u w:val="none"/>
        </w:rPr>
      </w:pPr>
      <w:r>
        <w:rPr>
          <w:b/>
          <w:bCs/>
          <w:color w:val="000000" w:themeColor="text1"/>
          <w:u w:val="none"/>
        </w:rPr>
        <w:t>JUDGE OF THE HIGH COURT</w:t>
      </w:r>
    </w:p>
    <w:p w14:paraId="7F3A6AEF" w14:textId="77777777" w:rsidR="006938E9" w:rsidRDefault="006938E9" w:rsidP="003A1351">
      <w:pPr>
        <w:tabs>
          <w:tab w:val="left" w:pos="0"/>
          <w:tab w:val="left" w:pos="720"/>
          <w:tab w:val="left" w:pos="1890"/>
          <w:tab w:val="left" w:pos="2340"/>
        </w:tabs>
        <w:spacing w:line="480" w:lineRule="auto"/>
        <w:contextualSpacing/>
        <w:jc w:val="center"/>
        <w:rPr>
          <w:b/>
          <w:bCs/>
          <w:color w:val="000000" w:themeColor="text1"/>
          <w:u w:val="none"/>
        </w:rPr>
      </w:pPr>
    </w:p>
    <w:p w14:paraId="7F254BD4" w14:textId="77777777" w:rsidR="006938E9" w:rsidRDefault="006938E9" w:rsidP="006938E9">
      <w:pPr>
        <w:tabs>
          <w:tab w:val="left" w:pos="0"/>
          <w:tab w:val="left" w:pos="720"/>
          <w:tab w:val="left" w:pos="1890"/>
          <w:tab w:val="left" w:pos="2340"/>
        </w:tabs>
        <w:spacing w:line="480" w:lineRule="auto"/>
        <w:contextualSpacing/>
        <w:jc w:val="right"/>
        <w:rPr>
          <w:b/>
          <w:bCs/>
          <w:color w:val="000000" w:themeColor="text1"/>
          <w:u w:val="none"/>
        </w:rPr>
      </w:pPr>
      <w:r>
        <w:rPr>
          <w:b/>
          <w:bCs/>
          <w:color w:val="000000" w:themeColor="text1"/>
          <w:u w:val="none"/>
        </w:rPr>
        <w:t>___________________</w:t>
      </w:r>
    </w:p>
    <w:p w14:paraId="54DB11B4" w14:textId="77777777" w:rsidR="006938E9" w:rsidRDefault="006938E9" w:rsidP="006938E9">
      <w:pPr>
        <w:tabs>
          <w:tab w:val="left" w:pos="0"/>
          <w:tab w:val="left" w:pos="720"/>
          <w:tab w:val="left" w:pos="1890"/>
          <w:tab w:val="left" w:pos="2340"/>
        </w:tabs>
        <w:spacing w:line="480" w:lineRule="auto"/>
        <w:contextualSpacing/>
        <w:jc w:val="right"/>
        <w:rPr>
          <w:b/>
          <w:bCs/>
          <w:color w:val="000000" w:themeColor="text1"/>
          <w:u w:val="none"/>
        </w:rPr>
      </w:pPr>
      <w:r>
        <w:rPr>
          <w:b/>
          <w:bCs/>
          <w:color w:val="000000" w:themeColor="text1"/>
          <w:u w:val="none"/>
        </w:rPr>
        <w:t>C SARDIWALLA</w:t>
      </w:r>
    </w:p>
    <w:p w14:paraId="734312CF" w14:textId="77777777" w:rsidR="006938E9" w:rsidRPr="006938E9" w:rsidRDefault="006938E9" w:rsidP="006938E9">
      <w:pPr>
        <w:tabs>
          <w:tab w:val="left" w:pos="0"/>
          <w:tab w:val="left" w:pos="720"/>
          <w:tab w:val="left" w:pos="1890"/>
          <w:tab w:val="left" w:pos="2340"/>
        </w:tabs>
        <w:spacing w:line="480" w:lineRule="auto"/>
        <w:contextualSpacing/>
        <w:jc w:val="right"/>
        <w:rPr>
          <w:b/>
          <w:bCs/>
          <w:color w:val="000000" w:themeColor="text1"/>
          <w:u w:val="none"/>
        </w:rPr>
      </w:pPr>
      <w:r>
        <w:rPr>
          <w:b/>
          <w:bCs/>
          <w:color w:val="000000" w:themeColor="text1"/>
          <w:u w:val="none"/>
        </w:rPr>
        <w:t>JUDGE OF THE HIGH COURT</w:t>
      </w:r>
    </w:p>
    <w:p w14:paraId="6F358908" w14:textId="77777777" w:rsidR="006938E9" w:rsidRDefault="006938E9" w:rsidP="006938E9">
      <w:pPr>
        <w:tabs>
          <w:tab w:val="left" w:pos="0"/>
          <w:tab w:val="left" w:pos="720"/>
          <w:tab w:val="left" w:pos="1890"/>
          <w:tab w:val="left" w:pos="2340"/>
        </w:tabs>
        <w:spacing w:line="480" w:lineRule="auto"/>
        <w:contextualSpacing/>
        <w:rPr>
          <w:b/>
          <w:bCs/>
          <w:color w:val="000000" w:themeColor="text1"/>
          <w:u w:val="none"/>
        </w:rPr>
      </w:pPr>
    </w:p>
    <w:p w14:paraId="73D6DF3B" w14:textId="77777777" w:rsidR="006938E9" w:rsidRPr="006938E9" w:rsidRDefault="006938E9" w:rsidP="006938E9">
      <w:pPr>
        <w:tabs>
          <w:tab w:val="left" w:pos="0"/>
          <w:tab w:val="left" w:pos="720"/>
          <w:tab w:val="left" w:pos="1890"/>
          <w:tab w:val="left" w:pos="2340"/>
        </w:tabs>
        <w:spacing w:line="480" w:lineRule="auto"/>
        <w:contextualSpacing/>
        <w:rPr>
          <w:bCs/>
          <w:color w:val="000000" w:themeColor="text1"/>
          <w:u w:val="none"/>
        </w:rPr>
      </w:pPr>
      <w:r w:rsidRPr="006938E9">
        <w:rPr>
          <w:bCs/>
          <w:color w:val="000000" w:themeColor="text1"/>
          <w:u w:val="none"/>
        </w:rPr>
        <w:t xml:space="preserve">Appearances: </w:t>
      </w:r>
    </w:p>
    <w:p w14:paraId="153EC6DC" w14:textId="77777777" w:rsidR="006938E9" w:rsidRPr="006938E9" w:rsidRDefault="006938E9" w:rsidP="006938E9">
      <w:pPr>
        <w:tabs>
          <w:tab w:val="left" w:pos="0"/>
          <w:tab w:val="left" w:pos="720"/>
          <w:tab w:val="left" w:pos="1890"/>
          <w:tab w:val="left" w:pos="2340"/>
        </w:tabs>
        <w:spacing w:line="480" w:lineRule="auto"/>
        <w:contextualSpacing/>
        <w:rPr>
          <w:bCs/>
          <w:color w:val="000000" w:themeColor="text1"/>
          <w:u w:val="none"/>
        </w:rPr>
      </w:pPr>
      <w:r w:rsidRPr="006938E9">
        <w:rPr>
          <w:bCs/>
          <w:color w:val="000000" w:themeColor="text1"/>
          <w:u w:val="none"/>
        </w:rPr>
        <w:t xml:space="preserve">For the Applicant: </w:t>
      </w:r>
      <w:r w:rsidRPr="006938E9">
        <w:rPr>
          <w:bCs/>
          <w:color w:val="000000" w:themeColor="text1"/>
          <w:u w:val="none"/>
        </w:rPr>
        <w:tab/>
      </w:r>
      <w:r>
        <w:rPr>
          <w:bCs/>
          <w:color w:val="000000" w:themeColor="text1"/>
          <w:u w:val="none"/>
        </w:rPr>
        <w:tab/>
      </w:r>
      <w:r w:rsidRPr="006938E9">
        <w:rPr>
          <w:bCs/>
          <w:color w:val="000000" w:themeColor="text1"/>
          <w:u w:val="none"/>
        </w:rPr>
        <w:t>Adv N.G Louw</w:t>
      </w:r>
      <w:r w:rsidRPr="006938E9">
        <w:rPr>
          <w:bCs/>
          <w:color w:val="000000" w:themeColor="text1"/>
          <w:u w:val="none"/>
        </w:rPr>
        <w:tab/>
      </w:r>
    </w:p>
    <w:p w14:paraId="245F931B" w14:textId="77777777" w:rsidR="006938E9" w:rsidRPr="006938E9" w:rsidRDefault="006938E9" w:rsidP="006938E9">
      <w:pPr>
        <w:tabs>
          <w:tab w:val="left" w:pos="0"/>
          <w:tab w:val="left" w:pos="720"/>
          <w:tab w:val="left" w:pos="1890"/>
          <w:tab w:val="left" w:pos="2340"/>
        </w:tabs>
        <w:spacing w:line="480" w:lineRule="auto"/>
        <w:contextualSpacing/>
        <w:rPr>
          <w:bCs/>
          <w:color w:val="000000" w:themeColor="text1"/>
          <w:u w:val="none"/>
        </w:rPr>
      </w:pPr>
      <w:r w:rsidRPr="006938E9">
        <w:rPr>
          <w:bCs/>
          <w:color w:val="000000" w:themeColor="text1"/>
          <w:u w:val="none"/>
        </w:rPr>
        <w:t>Instructed by:</w:t>
      </w:r>
      <w:r w:rsidRPr="006938E9">
        <w:rPr>
          <w:bCs/>
          <w:color w:val="000000" w:themeColor="text1"/>
          <w:u w:val="none"/>
        </w:rPr>
        <w:tab/>
      </w:r>
      <w:r>
        <w:rPr>
          <w:bCs/>
          <w:color w:val="000000" w:themeColor="text1"/>
          <w:u w:val="none"/>
        </w:rPr>
        <w:tab/>
      </w:r>
      <w:r>
        <w:rPr>
          <w:bCs/>
          <w:color w:val="000000" w:themeColor="text1"/>
          <w:u w:val="none"/>
        </w:rPr>
        <w:tab/>
      </w:r>
      <w:r w:rsidRPr="006938E9">
        <w:rPr>
          <w:bCs/>
          <w:color w:val="000000" w:themeColor="text1"/>
          <w:u w:val="none"/>
        </w:rPr>
        <w:t>RWL Inc.</w:t>
      </w:r>
      <w:r w:rsidRPr="006938E9">
        <w:rPr>
          <w:bCs/>
          <w:color w:val="000000" w:themeColor="text1"/>
          <w:u w:val="none"/>
        </w:rPr>
        <w:tab/>
      </w:r>
    </w:p>
    <w:p w14:paraId="019B3A98" w14:textId="77777777" w:rsidR="006938E9" w:rsidRPr="006938E9" w:rsidRDefault="006938E9" w:rsidP="006938E9">
      <w:pPr>
        <w:tabs>
          <w:tab w:val="left" w:pos="0"/>
          <w:tab w:val="left" w:pos="720"/>
          <w:tab w:val="left" w:pos="1890"/>
          <w:tab w:val="left" w:pos="2340"/>
        </w:tabs>
        <w:spacing w:line="480" w:lineRule="auto"/>
        <w:contextualSpacing/>
        <w:rPr>
          <w:bCs/>
          <w:color w:val="000000" w:themeColor="text1"/>
          <w:u w:val="none"/>
        </w:rPr>
      </w:pPr>
    </w:p>
    <w:p w14:paraId="3B238D25" w14:textId="77777777" w:rsidR="006938E9" w:rsidRPr="006938E9" w:rsidRDefault="006938E9" w:rsidP="006938E9">
      <w:pPr>
        <w:tabs>
          <w:tab w:val="left" w:pos="0"/>
          <w:tab w:val="left" w:pos="720"/>
          <w:tab w:val="left" w:pos="1890"/>
          <w:tab w:val="left" w:pos="2340"/>
        </w:tabs>
        <w:spacing w:line="480" w:lineRule="auto"/>
        <w:contextualSpacing/>
        <w:rPr>
          <w:bCs/>
          <w:color w:val="000000" w:themeColor="text1"/>
          <w:u w:val="none"/>
        </w:rPr>
      </w:pPr>
    </w:p>
    <w:p w14:paraId="5DEA998F" w14:textId="77777777" w:rsidR="006938E9" w:rsidRPr="006938E9" w:rsidRDefault="006938E9" w:rsidP="006938E9">
      <w:pPr>
        <w:tabs>
          <w:tab w:val="left" w:pos="0"/>
          <w:tab w:val="left" w:pos="720"/>
          <w:tab w:val="left" w:pos="1890"/>
          <w:tab w:val="left" w:pos="2340"/>
        </w:tabs>
        <w:spacing w:line="480" w:lineRule="auto"/>
        <w:contextualSpacing/>
        <w:rPr>
          <w:bCs/>
          <w:color w:val="000000" w:themeColor="text1"/>
          <w:u w:val="none"/>
        </w:rPr>
      </w:pPr>
      <w:r w:rsidRPr="006938E9">
        <w:rPr>
          <w:bCs/>
          <w:color w:val="000000" w:themeColor="text1"/>
          <w:u w:val="none"/>
        </w:rPr>
        <w:t>For the Respondent:</w:t>
      </w:r>
      <w:r>
        <w:rPr>
          <w:bCs/>
          <w:color w:val="000000" w:themeColor="text1"/>
          <w:u w:val="none"/>
        </w:rPr>
        <w:tab/>
      </w:r>
      <w:r>
        <w:rPr>
          <w:bCs/>
          <w:color w:val="000000" w:themeColor="text1"/>
          <w:u w:val="none"/>
        </w:rPr>
        <w:tab/>
      </w:r>
      <w:r w:rsidRPr="006938E9">
        <w:rPr>
          <w:bCs/>
          <w:color w:val="000000" w:themeColor="text1"/>
          <w:u w:val="none"/>
        </w:rPr>
        <w:t xml:space="preserve"> Adv AR Coetsee</w:t>
      </w:r>
      <w:r w:rsidRPr="006938E9">
        <w:rPr>
          <w:bCs/>
          <w:color w:val="000000" w:themeColor="text1"/>
          <w:u w:val="none"/>
        </w:rPr>
        <w:tab/>
      </w:r>
    </w:p>
    <w:p w14:paraId="0C11F571" w14:textId="77777777" w:rsidR="006938E9" w:rsidRPr="006938E9" w:rsidRDefault="006938E9" w:rsidP="006938E9">
      <w:pPr>
        <w:tabs>
          <w:tab w:val="left" w:pos="0"/>
          <w:tab w:val="left" w:pos="720"/>
          <w:tab w:val="left" w:pos="1890"/>
          <w:tab w:val="left" w:pos="2340"/>
        </w:tabs>
        <w:spacing w:line="480" w:lineRule="auto"/>
        <w:contextualSpacing/>
        <w:rPr>
          <w:bCs/>
          <w:color w:val="000000" w:themeColor="text1"/>
          <w:u w:val="none"/>
        </w:rPr>
      </w:pPr>
      <w:r w:rsidRPr="006938E9">
        <w:rPr>
          <w:bCs/>
          <w:color w:val="000000" w:themeColor="text1"/>
          <w:u w:val="none"/>
        </w:rPr>
        <w:t>Instructed by:</w:t>
      </w:r>
      <w:r w:rsidRPr="006938E9">
        <w:rPr>
          <w:bCs/>
          <w:color w:val="000000" w:themeColor="text1"/>
          <w:u w:val="none"/>
        </w:rPr>
        <w:tab/>
      </w:r>
      <w:r>
        <w:rPr>
          <w:bCs/>
          <w:color w:val="000000" w:themeColor="text1"/>
          <w:u w:val="none"/>
        </w:rPr>
        <w:tab/>
      </w:r>
      <w:r>
        <w:rPr>
          <w:bCs/>
          <w:color w:val="000000" w:themeColor="text1"/>
          <w:u w:val="none"/>
        </w:rPr>
        <w:tab/>
      </w:r>
      <w:r w:rsidRPr="006938E9">
        <w:rPr>
          <w:bCs/>
          <w:color w:val="000000" w:themeColor="text1"/>
          <w:u w:val="none"/>
        </w:rPr>
        <w:t>Prinsloo Bekker Attorneys</w:t>
      </w:r>
    </w:p>
    <w:p w14:paraId="2801B882" w14:textId="77777777" w:rsidR="006938E9" w:rsidRPr="006938E9" w:rsidRDefault="006938E9" w:rsidP="006938E9">
      <w:pPr>
        <w:tabs>
          <w:tab w:val="left" w:pos="0"/>
          <w:tab w:val="left" w:pos="720"/>
          <w:tab w:val="left" w:pos="1890"/>
          <w:tab w:val="left" w:pos="2340"/>
        </w:tabs>
        <w:spacing w:line="480" w:lineRule="auto"/>
        <w:contextualSpacing/>
        <w:rPr>
          <w:bCs/>
          <w:color w:val="000000" w:themeColor="text1"/>
          <w:u w:val="none"/>
        </w:rPr>
      </w:pPr>
    </w:p>
    <w:p w14:paraId="65101F80" w14:textId="77777777" w:rsidR="006938E9" w:rsidRPr="006938E9" w:rsidRDefault="006938E9" w:rsidP="006938E9">
      <w:pPr>
        <w:tabs>
          <w:tab w:val="left" w:pos="0"/>
          <w:tab w:val="left" w:pos="720"/>
          <w:tab w:val="left" w:pos="1890"/>
          <w:tab w:val="left" w:pos="2340"/>
        </w:tabs>
        <w:spacing w:line="480" w:lineRule="auto"/>
        <w:contextualSpacing/>
        <w:rPr>
          <w:bCs/>
          <w:color w:val="000000" w:themeColor="text1"/>
          <w:u w:val="none"/>
        </w:rPr>
      </w:pPr>
      <w:r w:rsidRPr="006938E9">
        <w:rPr>
          <w:bCs/>
          <w:color w:val="000000" w:themeColor="text1"/>
          <w:u w:val="none"/>
        </w:rPr>
        <w:t>Date of appeal:</w:t>
      </w:r>
      <w:r w:rsidRPr="006938E9">
        <w:rPr>
          <w:bCs/>
          <w:color w:val="000000" w:themeColor="text1"/>
          <w:u w:val="none"/>
        </w:rPr>
        <w:tab/>
      </w:r>
      <w:r>
        <w:rPr>
          <w:bCs/>
          <w:color w:val="000000" w:themeColor="text1"/>
          <w:u w:val="none"/>
        </w:rPr>
        <w:tab/>
      </w:r>
      <w:r>
        <w:rPr>
          <w:bCs/>
          <w:color w:val="000000" w:themeColor="text1"/>
          <w:u w:val="none"/>
        </w:rPr>
        <w:tab/>
      </w:r>
      <w:r w:rsidRPr="006938E9">
        <w:rPr>
          <w:bCs/>
          <w:color w:val="000000" w:themeColor="text1"/>
          <w:u w:val="none"/>
        </w:rPr>
        <w:t>13 April 2022</w:t>
      </w:r>
    </w:p>
    <w:p w14:paraId="36956E42" w14:textId="77777777" w:rsidR="006938E9" w:rsidRPr="006938E9" w:rsidRDefault="006938E9" w:rsidP="006938E9">
      <w:pPr>
        <w:tabs>
          <w:tab w:val="left" w:pos="0"/>
          <w:tab w:val="left" w:pos="720"/>
          <w:tab w:val="left" w:pos="1890"/>
          <w:tab w:val="left" w:pos="2340"/>
        </w:tabs>
        <w:spacing w:line="480" w:lineRule="auto"/>
        <w:contextualSpacing/>
        <w:rPr>
          <w:bCs/>
          <w:color w:val="000000" w:themeColor="text1"/>
          <w:u w:val="none"/>
        </w:rPr>
      </w:pPr>
      <w:r w:rsidRPr="006938E9">
        <w:rPr>
          <w:bCs/>
          <w:color w:val="000000" w:themeColor="text1"/>
          <w:u w:val="none"/>
        </w:rPr>
        <w:t>Date of judgment:</w:t>
      </w:r>
      <w:r w:rsidRPr="006938E9">
        <w:rPr>
          <w:bCs/>
          <w:color w:val="000000" w:themeColor="text1"/>
          <w:u w:val="none"/>
        </w:rPr>
        <w:tab/>
      </w:r>
      <w:r>
        <w:rPr>
          <w:bCs/>
          <w:color w:val="000000" w:themeColor="text1"/>
          <w:u w:val="none"/>
        </w:rPr>
        <w:tab/>
      </w:r>
      <w:r w:rsidRPr="006938E9">
        <w:rPr>
          <w:bCs/>
          <w:color w:val="000000" w:themeColor="text1"/>
          <w:u w:val="none"/>
        </w:rPr>
        <w:t>2022</w:t>
      </w:r>
      <w:r w:rsidRPr="006938E9">
        <w:rPr>
          <w:bCs/>
          <w:color w:val="000000" w:themeColor="text1"/>
          <w:u w:val="none"/>
        </w:rPr>
        <w:tab/>
      </w:r>
      <w:r w:rsidRPr="006938E9">
        <w:rPr>
          <w:bCs/>
          <w:color w:val="000000" w:themeColor="text1"/>
          <w:u w:val="none"/>
        </w:rPr>
        <w:tab/>
      </w:r>
    </w:p>
    <w:p w14:paraId="1DB39E04" w14:textId="77777777" w:rsidR="006938E9" w:rsidRPr="00D97AA0" w:rsidRDefault="006938E9" w:rsidP="006938E9">
      <w:pPr>
        <w:tabs>
          <w:tab w:val="left" w:pos="0"/>
          <w:tab w:val="left" w:pos="720"/>
          <w:tab w:val="left" w:pos="1890"/>
          <w:tab w:val="left" w:pos="2340"/>
        </w:tabs>
        <w:spacing w:line="480" w:lineRule="auto"/>
        <w:contextualSpacing/>
        <w:rPr>
          <w:bCs/>
          <w:color w:val="000000" w:themeColor="text1"/>
        </w:rPr>
      </w:pPr>
    </w:p>
    <w:p w14:paraId="0EC1B03C" w14:textId="77777777" w:rsidR="006938E9" w:rsidRPr="00D97AA0" w:rsidRDefault="006938E9" w:rsidP="006938E9">
      <w:pPr>
        <w:tabs>
          <w:tab w:val="left" w:pos="0"/>
          <w:tab w:val="left" w:pos="720"/>
          <w:tab w:val="left" w:pos="1890"/>
          <w:tab w:val="left" w:pos="2340"/>
        </w:tabs>
        <w:spacing w:line="480" w:lineRule="auto"/>
        <w:contextualSpacing/>
        <w:rPr>
          <w:bCs/>
          <w:color w:val="000000" w:themeColor="text1"/>
        </w:rPr>
      </w:pPr>
    </w:p>
    <w:p w14:paraId="3792AACA" w14:textId="77777777" w:rsidR="006938E9" w:rsidRPr="00D97AA0" w:rsidRDefault="006938E9" w:rsidP="006938E9"/>
    <w:p w14:paraId="10AEDBAE" w14:textId="77777777" w:rsidR="006938E9" w:rsidRPr="003D2703" w:rsidRDefault="006938E9" w:rsidP="003D2703">
      <w:pPr>
        <w:spacing w:line="480" w:lineRule="auto"/>
        <w:jc w:val="both"/>
        <w:rPr>
          <w:b/>
          <w:u w:val="none"/>
          <w:lang w:val="en-US"/>
        </w:rPr>
      </w:pPr>
    </w:p>
    <w:p w14:paraId="1F2E62F4" w14:textId="77777777" w:rsidR="003D2703" w:rsidRDefault="003D2703" w:rsidP="00747CA9">
      <w:pPr>
        <w:spacing w:line="480" w:lineRule="auto"/>
        <w:jc w:val="both"/>
        <w:rPr>
          <w:u w:val="none"/>
          <w:lang w:val="en-US"/>
        </w:rPr>
      </w:pPr>
    </w:p>
    <w:p w14:paraId="5196DBB8" w14:textId="77777777" w:rsidR="00BE43A1" w:rsidRDefault="00BE43A1" w:rsidP="00747CA9">
      <w:pPr>
        <w:spacing w:line="480" w:lineRule="auto"/>
        <w:jc w:val="both"/>
        <w:rPr>
          <w:u w:val="none"/>
          <w:lang w:val="en-US"/>
        </w:rPr>
      </w:pPr>
    </w:p>
    <w:p w14:paraId="2377FAB6" w14:textId="77777777" w:rsidR="00591EDC" w:rsidRDefault="00591EDC" w:rsidP="00747CA9">
      <w:pPr>
        <w:spacing w:line="480" w:lineRule="auto"/>
        <w:jc w:val="both"/>
        <w:rPr>
          <w:u w:val="none"/>
          <w:lang w:val="en-US"/>
        </w:rPr>
      </w:pPr>
    </w:p>
    <w:p w14:paraId="4CD9DBED" w14:textId="77777777" w:rsidR="00591EDC" w:rsidRPr="00747CA9" w:rsidRDefault="00591EDC" w:rsidP="00747CA9">
      <w:pPr>
        <w:spacing w:line="480" w:lineRule="auto"/>
        <w:jc w:val="both"/>
        <w:rPr>
          <w:u w:val="none"/>
          <w:lang w:val="en-US"/>
        </w:rPr>
      </w:pPr>
    </w:p>
    <w:p w14:paraId="5CD6FBB2" w14:textId="77777777" w:rsidR="00747CA9" w:rsidRDefault="00747CA9" w:rsidP="00747CA9">
      <w:pPr>
        <w:spacing w:line="480" w:lineRule="auto"/>
        <w:ind w:left="1440" w:hanging="720"/>
        <w:jc w:val="both"/>
        <w:rPr>
          <w:u w:val="none"/>
          <w:lang w:val="en-US"/>
        </w:rPr>
      </w:pPr>
    </w:p>
    <w:p w14:paraId="3E82CB62" w14:textId="77777777" w:rsidR="00BB1C3F" w:rsidRDefault="00BB1C3F" w:rsidP="00BB1C3F">
      <w:pPr>
        <w:spacing w:line="480" w:lineRule="auto"/>
        <w:jc w:val="both"/>
        <w:rPr>
          <w:u w:val="none"/>
          <w:lang w:val="en-US"/>
        </w:rPr>
      </w:pPr>
    </w:p>
    <w:p w14:paraId="3AC141C6" w14:textId="77777777" w:rsidR="00BB1C3F" w:rsidRDefault="00BB1C3F" w:rsidP="00BB1C3F">
      <w:pPr>
        <w:spacing w:line="480" w:lineRule="auto"/>
        <w:jc w:val="both"/>
        <w:rPr>
          <w:u w:val="none"/>
          <w:lang w:val="en-US"/>
        </w:rPr>
      </w:pPr>
    </w:p>
    <w:p w14:paraId="2305143C" w14:textId="77777777" w:rsidR="00BB1C3F" w:rsidRPr="00F62AF0" w:rsidRDefault="00BB1C3F" w:rsidP="00BB1C3F">
      <w:pPr>
        <w:spacing w:line="480" w:lineRule="auto"/>
        <w:jc w:val="both"/>
        <w:rPr>
          <w:u w:val="none"/>
          <w:lang w:val="en-US"/>
        </w:rPr>
      </w:pPr>
    </w:p>
    <w:p w14:paraId="14E60A55" w14:textId="77777777" w:rsidR="004E7116" w:rsidRPr="00F62AF0" w:rsidRDefault="004E7116" w:rsidP="004E7116">
      <w:pPr>
        <w:rPr>
          <w:b/>
          <w:u w:val="none"/>
        </w:rPr>
      </w:pPr>
    </w:p>
    <w:sectPr w:rsidR="004E7116" w:rsidRPr="00F62AF0" w:rsidSect="00F43516">
      <w:headerReference w:type="default" r:id="rId12"/>
      <w:pgSz w:w="11906" w:h="16838"/>
      <w:pgMar w:top="1440" w:right="1841"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F1F97" w14:textId="77777777" w:rsidR="002956C1" w:rsidRDefault="002956C1" w:rsidP="00BA7B3F">
      <w:r>
        <w:separator/>
      </w:r>
    </w:p>
  </w:endnote>
  <w:endnote w:type="continuationSeparator" w:id="0">
    <w:p w14:paraId="10E78CD8" w14:textId="77777777" w:rsidR="002956C1" w:rsidRDefault="002956C1" w:rsidP="00BA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C8DF6" w14:textId="77777777" w:rsidR="002956C1" w:rsidRDefault="002956C1" w:rsidP="00BA7B3F">
      <w:r>
        <w:separator/>
      </w:r>
    </w:p>
  </w:footnote>
  <w:footnote w:type="continuationSeparator" w:id="0">
    <w:p w14:paraId="55E2E5AE" w14:textId="77777777" w:rsidR="002956C1" w:rsidRDefault="002956C1" w:rsidP="00BA7B3F">
      <w:r>
        <w:continuationSeparator/>
      </w:r>
    </w:p>
  </w:footnote>
  <w:footnote w:id="1">
    <w:p w14:paraId="128D6777" w14:textId="58BC9769" w:rsidR="008120F4" w:rsidRPr="00D86415" w:rsidRDefault="008120F4">
      <w:pPr>
        <w:pStyle w:val="FootnoteText"/>
        <w:rPr>
          <w:u w:val="none"/>
        </w:rPr>
      </w:pPr>
      <w:r w:rsidRPr="00D86415">
        <w:rPr>
          <w:rStyle w:val="FootnoteReference"/>
          <w:u w:val="none"/>
        </w:rPr>
        <w:footnoteRef/>
      </w:r>
      <w:r w:rsidRPr="00D86415">
        <w:rPr>
          <w:u w:val="none"/>
        </w:rPr>
        <w:t xml:space="preserve"> See Rosenbach &amp; Co (Pty) Ltd v Singh’s Bazaar (Pty) Ltd 1962(4) SA 593 (D), </w:t>
      </w:r>
      <w:r w:rsidR="00253029" w:rsidRPr="00D86415">
        <w:rPr>
          <w:u w:val="none"/>
        </w:rPr>
        <w:t>Kal</w:t>
      </w:r>
      <w:r w:rsidR="00CE3D11">
        <w:rPr>
          <w:u w:val="none"/>
        </w:rPr>
        <w:t>k</w:t>
      </w:r>
      <w:r w:rsidRPr="00D86415">
        <w:rPr>
          <w:u w:val="none"/>
        </w:rPr>
        <w:t xml:space="preserve"> Bay Fisheries Ltd 1905 TH 22</w:t>
      </w:r>
      <w:r>
        <w:rPr>
          <w:u w:val="none"/>
        </w:rPr>
        <w:t>.</w:t>
      </w:r>
    </w:p>
  </w:footnote>
  <w:footnote w:id="2">
    <w:p w14:paraId="55C700F8" w14:textId="6B102F71" w:rsidR="008120F4" w:rsidRPr="00C27126" w:rsidRDefault="008120F4">
      <w:pPr>
        <w:pStyle w:val="FootnoteText"/>
        <w:rPr>
          <w:u w:val="none"/>
        </w:rPr>
      </w:pPr>
      <w:r w:rsidRPr="00C27126">
        <w:rPr>
          <w:rStyle w:val="FootnoteReference"/>
          <w:u w:val="none"/>
        </w:rPr>
        <w:footnoteRef/>
      </w:r>
      <w:r w:rsidRPr="00C27126">
        <w:rPr>
          <w:u w:val="none"/>
        </w:rPr>
        <w:t xml:space="preserve"> Rosenbach </w:t>
      </w:r>
      <w:r w:rsidRPr="00C27126">
        <w:rPr>
          <w:i/>
          <w:u w:val="none"/>
        </w:rPr>
        <w:t>supra</w:t>
      </w:r>
      <w:r w:rsidR="00AC02AB">
        <w:rPr>
          <w:u w:val="none"/>
        </w:rPr>
        <w:t xml:space="preserve"> </w:t>
      </w:r>
      <w:r w:rsidR="00253029">
        <w:rPr>
          <w:u w:val="none"/>
        </w:rPr>
        <w:t>597</w:t>
      </w:r>
      <w:r w:rsidRPr="00C27126">
        <w:rPr>
          <w:u w:val="none"/>
        </w:rPr>
        <w:t>.</w:t>
      </w:r>
      <w:r w:rsidR="006C3F9C">
        <w:rPr>
          <w:u w:val="none"/>
        </w:rPr>
        <w:t>See also Murray NO and others v</w:t>
      </w:r>
      <w:r w:rsidR="005659DB">
        <w:rPr>
          <w:u w:val="none"/>
        </w:rPr>
        <w:t xml:space="preserve"> </w:t>
      </w:r>
      <w:r w:rsidR="006C3F9C">
        <w:rPr>
          <w:u w:val="none"/>
        </w:rPr>
        <w:t>African Global Holdings (Pty) Ltd</w:t>
      </w:r>
      <w:r w:rsidR="005659DB">
        <w:rPr>
          <w:u w:val="none"/>
        </w:rPr>
        <w:t xml:space="preserve"> </w:t>
      </w:r>
      <w:r w:rsidR="006C3F9C">
        <w:rPr>
          <w:u w:val="none"/>
        </w:rPr>
        <w:t>2020(2) SA 93(SCA)</w:t>
      </w:r>
    </w:p>
  </w:footnote>
  <w:footnote w:id="3">
    <w:p w14:paraId="4E7D0189" w14:textId="7CA22297" w:rsidR="008120F4" w:rsidRPr="00BE43A1" w:rsidRDefault="008120F4">
      <w:pPr>
        <w:pStyle w:val="FootnoteText"/>
        <w:rPr>
          <w:u w:val="none"/>
        </w:rPr>
      </w:pPr>
      <w:r w:rsidRPr="00BE43A1">
        <w:rPr>
          <w:rStyle w:val="FootnoteReference"/>
          <w:u w:val="none"/>
        </w:rPr>
        <w:footnoteRef/>
      </w:r>
      <w:r w:rsidRPr="00BE43A1">
        <w:rPr>
          <w:u w:val="none"/>
        </w:rPr>
        <w:t xml:space="preserve"> H</w:t>
      </w:r>
      <w:r>
        <w:rPr>
          <w:u w:val="none"/>
        </w:rPr>
        <w:t>enochsberg</w:t>
      </w:r>
      <w:r w:rsidR="00064A7F">
        <w:rPr>
          <w:u w:val="none"/>
        </w:rPr>
        <w:t xml:space="preserve"> on the C</w:t>
      </w:r>
      <w:r w:rsidRPr="00BE43A1">
        <w:rPr>
          <w:u w:val="none"/>
        </w:rPr>
        <w:t xml:space="preserve">ompanies Act </w:t>
      </w:r>
      <w:r w:rsidR="006C3F9C">
        <w:rPr>
          <w:u w:val="none"/>
        </w:rPr>
        <w:t>71</w:t>
      </w:r>
      <w:r w:rsidRPr="00BE43A1">
        <w:rPr>
          <w:u w:val="none"/>
        </w:rPr>
        <w:t xml:space="preserve"> of </w:t>
      </w:r>
      <w:r w:rsidR="006C3F9C">
        <w:rPr>
          <w:u w:val="none"/>
        </w:rPr>
        <w:t>2008</w:t>
      </w:r>
      <w:r w:rsidRPr="00BE43A1">
        <w:rPr>
          <w:u w:val="none"/>
        </w:rPr>
        <w:t>, vol</w:t>
      </w:r>
      <w:r w:rsidR="006C3F9C">
        <w:rPr>
          <w:u w:val="none"/>
        </w:rPr>
        <w:t xml:space="preserve"> 2</w:t>
      </w:r>
      <w:r w:rsidRPr="00BE43A1">
        <w:rPr>
          <w:u w:val="none"/>
        </w:rPr>
        <w:t xml:space="preserve">, </w:t>
      </w:r>
      <w:r w:rsidR="006C3F9C">
        <w:rPr>
          <w:u w:val="none"/>
        </w:rPr>
        <w:t xml:space="preserve">APPT </w:t>
      </w:r>
      <w:r w:rsidR="008E06A8">
        <w:rPr>
          <w:u w:val="none"/>
        </w:rPr>
        <w:t>-42[issue15]</w:t>
      </w:r>
      <w:r w:rsidRPr="00BE43A1">
        <w:rPr>
          <w:u w:val="none"/>
        </w:rPr>
        <w:t xml:space="preserve">, Rosenbach </w:t>
      </w:r>
      <w:r w:rsidRPr="00BE43A1">
        <w:rPr>
          <w:i/>
          <w:u w:val="none"/>
        </w:rPr>
        <w:t>supra</w:t>
      </w:r>
      <w:r w:rsidRPr="00BE43A1">
        <w:rPr>
          <w:u w:val="none"/>
        </w:rPr>
        <w:t xml:space="preserve"> </w:t>
      </w:r>
      <w:r w:rsidR="00253029">
        <w:rPr>
          <w:u w:val="none"/>
        </w:rPr>
        <w:t>597</w:t>
      </w:r>
    </w:p>
  </w:footnote>
  <w:footnote w:id="4">
    <w:p w14:paraId="2CB0BDA3" w14:textId="75579D4B" w:rsidR="008120F4" w:rsidRPr="00BE43A1" w:rsidRDefault="008120F4">
      <w:pPr>
        <w:pStyle w:val="FootnoteText"/>
        <w:rPr>
          <w:u w:val="none"/>
        </w:rPr>
      </w:pPr>
      <w:r w:rsidRPr="00BE43A1">
        <w:rPr>
          <w:rStyle w:val="FootnoteReference"/>
          <w:u w:val="none"/>
        </w:rPr>
        <w:footnoteRef/>
      </w:r>
      <w:r w:rsidRPr="00BE43A1">
        <w:rPr>
          <w:u w:val="none"/>
        </w:rPr>
        <w:t xml:space="preserve"> Afgri Operations Ltd v Hamba Fleer Manag</w:t>
      </w:r>
      <w:r>
        <w:rPr>
          <w:u w:val="none"/>
        </w:rPr>
        <w:t>e</w:t>
      </w:r>
      <w:r w:rsidR="00064A7F">
        <w:rPr>
          <w:u w:val="none"/>
        </w:rPr>
        <w:t>ment (Pty) L</w:t>
      </w:r>
      <w:r w:rsidRPr="00BE43A1">
        <w:rPr>
          <w:u w:val="none"/>
        </w:rPr>
        <w:t>td (542/16) ZASCA 24 (24 March 2017)</w:t>
      </w:r>
      <w:r>
        <w:rPr>
          <w:u w:val="none"/>
        </w:rPr>
        <w:t xml:space="preserve"> see also Service Trade Supplies (Pty) Ltd v Dasco &amp; Sons (Pty) Ltd 1962(3) SA 424 (T) at 428B; Orestisolve </w:t>
      </w:r>
      <w:r w:rsidR="008E06A8">
        <w:rPr>
          <w:u w:val="none"/>
        </w:rPr>
        <w:t>(Pty) Ltd t/a Essa Investments v NDF Investment Holdings</w:t>
      </w:r>
      <w:r w:rsidR="005659DB">
        <w:rPr>
          <w:u w:val="none"/>
        </w:rPr>
        <w:t xml:space="preserve"> </w:t>
      </w:r>
      <w:r w:rsidR="008E06A8">
        <w:rPr>
          <w:u w:val="none"/>
        </w:rPr>
        <w:t>(Pty) Ltd and others 2015(4)</w:t>
      </w:r>
      <w:r>
        <w:rPr>
          <w:u w:val="none"/>
        </w:rPr>
        <w:t xml:space="preserve"> para 18 and Victory Parade Trading 74 (Pty) Ltd t/a Agri-Best SA v Tropical Paradise 93 (Pty) Ltd t/a Vari Foods (13641/2006) [2007] ZAWCHC 32; [2007] JOL 200096 (C)</w:t>
      </w:r>
      <w:r w:rsidR="00064A7F">
        <w:rPr>
          <w:u w:val="none"/>
        </w:rPr>
        <w:t xml:space="preserve"> p</w:t>
      </w:r>
      <w:r>
        <w:rPr>
          <w:u w:val="none"/>
        </w:rPr>
        <w:t>ara 28.</w:t>
      </w:r>
    </w:p>
  </w:footnote>
  <w:footnote w:id="5">
    <w:p w14:paraId="1367DA07" w14:textId="77777777" w:rsidR="008120F4" w:rsidRPr="003D2703" w:rsidRDefault="008120F4">
      <w:pPr>
        <w:pStyle w:val="FootnoteText"/>
        <w:rPr>
          <w:u w:val="none"/>
        </w:rPr>
      </w:pPr>
      <w:r w:rsidRPr="003D2703">
        <w:rPr>
          <w:rStyle w:val="FootnoteReference"/>
          <w:u w:val="none"/>
        </w:rPr>
        <w:footnoteRef/>
      </w:r>
      <w:r w:rsidRPr="003D2703">
        <w:rPr>
          <w:u w:val="none"/>
        </w:rPr>
        <w:t xml:space="preserve"> Absa Bank V Rhebokskloof (Pty) Ltd &amp; Others 1993(4) SA 436 (C).</w:t>
      </w:r>
    </w:p>
  </w:footnote>
  <w:footnote w:id="6">
    <w:p w14:paraId="122400C8" w14:textId="77777777" w:rsidR="008120F4" w:rsidRPr="003D2703" w:rsidRDefault="008120F4">
      <w:pPr>
        <w:pStyle w:val="FootnoteText"/>
        <w:rPr>
          <w:u w:val="none"/>
        </w:rPr>
      </w:pPr>
      <w:r w:rsidRPr="003D2703">
        <w:rPr>
          <w:rStyle w:val="FootnoteReference"/>
          <w:u w:val="none"/>
        </w:rPr>
        <w:footnoteRef/>
      </w:r>
      <w:r w:rsidR="00064A7F">
        <w:rPr>
          <w:u w:val="none"/>
        </w:rPr>
        <w:t xml:space="preserve"> Wackrill</w:t>
      </w:r>
      <w:r w:rsidRPr="003D2703">
        <w:rPr>
          <w:u w:val="none"/>
        </w:rPr>
        <w:t xml:space="preserve"> v Sandton International Removals (Pty) Ltd &amp; Others 1984(1) at 293.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980973"/>
      <w:docPartObj>
        <w:docPartGallery w:val="Page Numbers (Top of Page)"/>
        <w:docPartUnique/>
      </w:docPartObj>
    </w:sdtPr>
    <w:sdtEndPr>
      <w:rPr>
        <w:noProof/>
      </w:rPr>
    </w:sdtEndPr>
    <w:sdtContent>
      <w:p w14:paraId="68C3C8BA" w14:textId="77777777" w:rsidR="008120F4" w:rsidRDefault="008120F4">
        <w:pPr>
          <w:pStyle w:val="Header"/>
          <w:jc w:val="center"/>
        </w:pPr>
        <w:r>
          <w:fldChar w:fldCharType="begin"/>
        </w:r>
        <w:r>
          <w:instrText xml:space="preserve"> PAGE   \* MERGEFORMAT </w:instrText>
        </w:r>
        <w:r>
          <w:fldChar w:fldCharType="separate"/>
        </w:r>
        <w:r w:rsidR="007F78CB">
          <w:rPr>
            <w:noProof/>
          </w:rPr>
          <w:t>8</w:t>
        </w:r>
        <w:r>
          <w:rPr>
            <w:noProof/>
          </w:rPr>
          <w:fldChar w:fldCharType="end"/>
        </w:r>
      </w:p>
    </w:sdtContent>
  </w:sdt>
  <w:p w14:paraId="39F871F8" w14:textId="77777777" w:rsidR="008120F4" w:rsidRDefault="00812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7622"/>
    <w:multiLevelType w:val="hybridMultilevel"/>
    <w:tmpl w:val="A7060C9C"/>
    <w:lvl w:ilvl="0" w:tplc="1C090001">
      <w:start w:val="1"/>
      <w:numFmt w:val="bullet"/>
      <w:lvlText w:val=""/>
      <w:lvlJc w:val="left"/>
      <w:pPr>
        <w:ind w:left="3195" w:hanging="360"/>
      </w:pPr>
      <w:rPr>
        <w:rFonts w:ascii="Symbol" w:hAnsi="Symbol" w:hint="default"/>
      </w:rPr>
    </w:lvl>
    <w:lvl w:ilvl="1" w:tplc="1C090003" w:tentative="1">
      <w:start w:val="1"/>
      <w:numFmt w:val="bullet"/>
      <w:lvlText w:val="o"/>
      <w:lvlJc w:val="left"/>
      <w:pPr>
        <w:ind w:left="3915" w:hanging="360"/>
      </w:pPr>
      <w:rPr>
        <w:rFonts w:ascii="Courier New" w:hAnsi="Courier New" w:cs="Courier New" w:hint="default"/>
      </w:rPr>
    </w:lvl>
    <w:lvl w:ilvl="2" w:tplc="1C090005">
      <w:start w:val="1"/>
      <w:numFmt w:val="bullet"/>
      <w:lvlText w:val=""/>
      <w:lvlJc w:val="left"/>
      <w:pPr>
        <w:ind w:left="4635" w:hanging="360"/>
      </w:pPr>
      <w:rPr>
        <w:rFonts w:ascii="Wingdings" w:hAnsi="Wingdings" w:hint="default"/>
      </w:rPr>
    </w:lvl>
    <w:lvl w:ilvl="3" w:tplc="1C090001" w:tentative="1">
      <w:start w:val="1"/>
      <w:numFmt w:val="bullet"/>
      <w:lvlText w:val=""/>
      <w:lvlJc w:val="left"/>
      <w:pPr>
        <w:ind w:left="5355" w:hanging="360"/>
      </w:pPr>
      <w:rPr>
        <w:rFonts w:ascii="Symbol" w:hAnsi="Symbol" w:hint="default"/>
      </w:rPr>
    </w:lvl>
    <w:lvl w:ilvl="4" w:tplc="1C090003" w:tentative="1">
      <w:start w:val="1"/>
      <w:numFmt w:val="bullet"/>
      <w:lvlText w:val="o"/>
      <w:lvlJc w:val="left"/>
      <w:pPr>
        <w:ind w:left="6075" w:hanging="360"/>
      </w:pPr>
      <w:rPr>
        <w:rFonts w:ascii="Courier New" w:hAnsi="Courier New" w:cs="Courier New" w:hint="default"/>
      </w:rPr>
    </w:lvl>
    <w:lvl w:ilvl="5" w:tplc="1C090005" w:tentative="1">
      <w:start w:val="1"/>
      <w:numFmt w:val="bullet"/>
      <w:lvlText w:val=""/>
      <w:lvlJc w:val="left"/>
      <w:pPr>
        <w:ind w:left="6795" w:hanging="360"/>
      </w:pPr>
      <w:rPr>
        <w:rFonts w:ascii="Wingdings" w:hAnsi="Wingdings" w:hint="default"/>
      </w:rPr>
    </w:lvl>
    <w:lvl w:ilvl="6" w:tplc="1C090001" w:tentative="1">
      <w:start w:val="1"/>
      <w:numFmt w:val="bullet"/>
      <w:lvlText w:val=""/>
      <w:lvlJc w:val="left"/>
      <w:pPr>
        <w:ind w:left="7515" w:hanging="360"/>
      </w:pPr>
      <w:rPr>
        <w:rFonts w:ascii="Symbol" w:hAnsi="Symbol" w:hint="default"/>
      </w:rPr>
    </w:lvl>
    <w:lvl w:ilvl="7" w:tplc="1C090003" w:tentative="1">
      <w:start w:val="1"/>
      <w:numFmt w:val="bullet"/>
      <w:lvlText w:val="o"/>
      <w:lvlJc w:val="left"/>
      <w:pPr>
        <w:ind w:left="8235" w:hanging="360"/>
      </w:pPr>
      <w:rPr>
        <w:rFonts w:ascii="Courier New" w:hAnsi="Courier New" w:cs="Courier New" w:hint="default"/>
      </w:rPr>
    </w:lvl>
    <w:lvl w:ilvl="8" w:tplc="1C090005" w:tentative="1">
      <w:start w:val="1"/>
      <w:numFmt w:val="bullet"/>
      <w:lvlText w:val=""/>
      <w:lvlJc w:val="left"/>
      <w:pPr>
        <w:ind w:left="8955" w:hanging="360"/>
      </w:pPr>
      <w:rPr>
        <w:rFonts w:ascii="Wingdings" w:hAnsi="Wingdings" w:hint="default"/>
      </w:rPr>
    </w:lvl>
  </w:abstractNum>
  <w:abstractNum w:abstractNumId="1">
    <w:nsid w:val="03700744"/>
    <w:multiLevelType w:val="hybridMultilevel"/>
    <w:tmpl w:val="CCF2F6F2"/>
    <w:lvl w:ilvl="0" w:tplc="888CFF98">
      <w:start w:val="1"/>
      <w:numFmt w:val="decimal"/>
      <w:lvlText w:val="[%1]"/>
      <w:lvlJc w:val="left"/>
      <w:pPr>
        <w:ind w:left="1287" w:hanging="360"/>
      </w:pPr>
      <w:rPr>
        <w:rFonts w:cs="Times New Roman" w:hint="default"/>
        <w:b w:val="0"/>
        <w:i w:val="0"/>
        <w:color w:val="auto"/>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
    <w:nsid w:val="051A69F5"/>
    <w:multiLevelType w:val="hybridMultilevel"/>
    <w:tmpl w:val="76F05FD6"/>
    <w:lvl w:ilvl="0" w:tplc="1C090001">
      <w:start w:val="1"/>
      <w:numFmt w:val="bullet"/>
      <w:lvlText w:val=""/>
      <w:lvlJc w:val="left"/>
      <w:pPr>
        <w:ind w:left="2858" w:hanging="360"/>
      </w:pPr>
      <w:rPr>
        <w:rFonts w:ascii="Symbol" w:hAnsi="Symbol" w:hint="default"/>
      </w:rPr>
    </w:lvl>
    <w:lvl w:ilvl="1" w:tplc="1C090003" w:tentative="1">
      <w:start w:val="1"/>
      <w:numFmt w:val="bullet"/>
      <w:lvlText w:val="o"/>
      <w:lvlJc w:val="left"/>
      <w:pPr>
        <w:ind w:left="3578" w:hanging="360"/>
      </w:pPr>
      <w:rPr>
        <w:rFonts w:ascii="Courier New" w:hAnsi="Courier New" w:cs="Courier New" w:hint="default"/>
      </w:rPr>
    </w:lvl>
    <w:lvl w:ilvl="2" w:tplc="1C090005" w:tentative="1">
      <w:start w:val="1"/>
      <w:numFmt w:val="bullet"/>
      <w:lvlText w:val=""/>
      <w:lvlJc w:val="left"/>
      <w:pPr>
        <w:ind w:left="4298" w:hanging="360"/>
      </w:pPr>
      <w:rPr>
        <w:rFonts w:ascii="Wingdings" w:hAnsi="Wingdings" w:hint="default"/>
      </w:rPr>
    </w:lvl>
    <w:lvl w:ilvl="3" w:tplc="1C090001" w:tentative="1">
      <w:start w:val="1"/>
      <w:numFmt w:val="bullet"/>
      <w:lvlText w:val=""/>
      <w:lvlJc w:val="left"/>
      <w:pPr>
        <w:ind w:left="5018" w:hanging="360"/>
      </w:pPr>
      <w:rPr>
        <w:rFonts w:ascii="Symbol" w:hAnsi="Symbol" w:hint="default"/>
      </w:rPr>
    </w:lvl>
    <w:lvl w:ilvl="4" w:tplc="1C090003" w:tentative="1">
      <w:start w:val="1"/>
      <w:numFmt w:val="bullet"/>
      <w:lvlText w:val="o"/>
      <w:lvlJc w:val="left"/>
      <w:pPr>
        <w:ind w:left="5738" w:hanging="360"/>
      </w:pPr>
      <w:rPr>
        <w:rFonts w:ascii="Courier New" w:hAnsi="Courier New" w:cs="Courier New" w:hint="default"/>
      </w:rPr>
    </w:lvl>
    <w:lvl w:ilvl="5" w:tplc="1C090005" w:tentative="1">
      <w:start w:val="1"/>
      <w:numFmt w:val="bullet"/>
      <w:lvlText w:val=""/>
      <w:lvlJc w:val="left"/>
      <w:pPr>
        <w:ind w:left="6458" w:hanging="360"/>
      </w:pPr>
      <w:rPr>
        <w:rFonts w:ascii="Wingdings" w:hAnsi="Wingdings" w:hint="default"/>
      </w:rPr>
    </w:lvl>
    <w:lvl w:ilvl="6" w:tplc="1C090001" w:tentative="1">
      <w:start w:val="1"/>
      <w:numFmt w:val="bullet"/>
      <w:lvlText w:val=""/>
      <w:lvlJc w:val="left"/>
      <w:pPr>
        <w:ind w:left="7178" w:hanging="360"/>
      </w:pPr>
      <w:rPr>
        <w:rFonts w:ascii="Symbol" w:hAnsi="Symbol" w:hint="default"/>
      </w:rPr>
    </w:lvl>
    <w:lvl w:ilvl="7" w:tplc="1C090003" w:tentative="1">
      <w:start w:val="1"/>
      <w:numFmt w:val="bullet"/>
      <w:lvlText w:val="o"/>
      <w:lvlJc w:val="left"/>
      <w:pPr>
        <w:ind w:left="7898" w:hanging="360"/>
      </w:pPr>
      <w:rPr>
        <w:rFonts w:ascii="Courier New" w:hAnsi="Courier New" w:cs="Courier New" w:hint="default"/>
      </w:rPr>
    </w:lvl>
    <w:lvl w:ilvl="8" w:tplc="1C090005" w:tentative="1">
      <w:start w:val="1"/>
      <w:numFmt w:val="bullet"/>
      <w:lvlText w:val=""/>
      <w:lvlJc w:val="left"/>
      <w:pPr>
        <w:ind w:left="8618" w:hanging="360"/>
      </w:pPr>
      <w:rPr>
        <w:rFonts w:ascii="Wingdings" w:hAnsi="Wingdings" w:hint="default"/>
      </w:rPr>
    </w:lvl>
  </w:abstractNum>
  <w:abstractNum w:abstractNumId="3">
    <w:nsid w:val="0FC3549A"/>
    <w:multiLevelType w:val="hybridMultilevel"/>
    <w:tmpl w:val="4CA6EA92"/>
    <w:lvl w:ilvl="0" w:tplc="21E26300">
      <w:start w:val="1"/>
      <w:numFmt w:val="decimal"/>
      <w:lvlText w:val="%1."/>
      <w:lvlJc w:val="left"/>
      <w:pPr>
        <w:ind w:left="1815" w:hanging="360"/>
      </w:pPr>
      <w:rPr>
        <w:rFonts w:hint="default"/>
      </w:rPr>
    </w:lvl>
    <w:lvl w:ilvl="1" w:tplc="1C090019" w:tentative="1">
      <w:start w:val="1"/>
      <w:numFmt w:val="lowerLetter"/>
      <w:lvlText w:val="%2."/>
      <w:lvlJc w:val="left"/>
      <w:pPr>
        <w:ind w:left="2535" w:hanging="360"/>
      </w:pPr>
    </w:lvl>
    <w:lvl w:ilvl="2" w:tplc="1C09001B" w:tentative="1">
      <w:start w:val="1"/>
      <w:numFmt w:val="lowerRoman"/>
      <w:lvlText w:val="%3."/>
      <w:lvlJc w:val="right"/>
      <w:pPr>
        <w:ind w:left="3255" w:hanging="180"/>
      </w:pPr>
    </w:lvl>
    <w:lvl w:ilvl="3" w:tplc="1C09000F" w:tentative="1">
      <w:start w:val="1"/>
      <w:numFmt w:val="decimal"/>
      <w:lvlText w:val="%4."/>
      <w:lvlJc w:val="left"/>
      <w:pPr>
        <w:ind w:left="3975" w:hanging="360"/>
      </w:pPr>
    </w:lvl>
    <w:lvl w:ilvl="4" w:tplc="1C090019" w:tentative="1">
      <w:start w:val="1"/>
      <w:numFmt w:val="lowerLetter"/>
      <w:lvlText w:val="%5."/>
      <w:lvlJc w:val="left"/>
      <w:pPr>
        <w:ind w:left="4695" w:hanging="360"/>
      </w:pPr>
    </w:lvl>
    <w:lvl w:ilvl="5" w:tplc="1C09001B" w:tentative="1">
      <w:start w:val="1"/>
      <w:numFmt w:val="lowerRoman"/>
      <w:lvlText w:val="%6."/>
      <w:lvlJc w:val="right"/>
      <w:pPr>
        <w:ind w:left="5415" w:hanging="180"/>
      </w:pPr>
    </w:lvl>
    <w:lvl w:ilvl="6" w:tplc="1C09000F" w:tentative="1">
      <w:start w:val="1"/>
      <w:numFmt w:val="decimal"/>
      <w:lvlText w:val="%7."/>
      <w:lvlJc w:val="left"/>
      <w:pPr>
        <w:ind w:left="6135" w:hanging="360"/>
      </w:pPr>
    </w:lvl>
    <w:lvl w:ilvl="7" w:tplc="1C090019" w:tentative="1">
      <w:start w:val="1"/>
      <w:numFmt w:val="lowerLetter"/>
      <w:lvlText w:val="%8."/>
      <w:lvlJc w:val="left"/>
      <w:pPr>
        <w:ind w:left="6855" w:hanging="360"/>
      </w:pPr>
    </w:lvl>
    <w:lvl w:ilvl="8" w:tplc="1C09001B" w:tentative="1">
      <w:start w:val="1"/>
      <w:numFmt w:val="lowerRoman"/>
      <w:lvlText w:val="%9."/>
      <w:lvlJc w:val="right"/>
      <w:pPr>
        <w:ind w:left="7575" w:hanging="180"/>
      </w:pPr>
    </w:lvl>
  </w:abstractNum>
  <w:abstractNum w:abstractNumId="4">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C6D1B82"/>
    <w:multiLevelType w:val="multilevel"/>
    <w:tmpl w:val="E3781324"/>
    <w:lvl w:ilvl="0">
      <w:start w:val="3"/>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6">
    <w:nsid w:val="2FDE204B"/>
    <w:multiLevelType w:val="multilevel"/>
    <w:tmpl w:val="EC5292E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8A5EA3"/>
    <w:multiLevelType w:val="hybridMultilevel"/>
    <w:tmpl w:val="6A98DB6A"/>
    <w:lvl w:ilvl="0" w:tplc="BF6AD650">
      <w:start w:val="1"/>
      <w:numFmt w:val="decimal"/>
      <w:lvlText w:val="%1."/>
      <w:lvlJc w:val="left"/>
      <w:pPr>
        <w:ind w:left="1233" w:hanging="360"/>
      </w:pPr>
      <w:rPr>
        <w:rFonts w:hint="default"/>
      </w:rPr>
    </w:lvl>
    <w:lvl w:ilvl="1" w:tplc="1C090019" w:tentative="1">
      <w:start w:val="1"/>
      <w:numFmt w:val="lowerLetter"/>
      <w:lvlText w:val="%2."/>
      <w:lvlJc w:val="left"/>
      <w:pPr>
        <w:ind w:left="1953" w:hanging="360"/>
      </w:pPr>
    </w:lvl>
    <w:lvl w:ilvl="2" w:tplc="1C09001B" w:tentative="1">
      <w:start w:val="1"/>
      <w:numFmt w:val="lowerRoman"/>
      <w:lvlText w:val="%3."/>
      <w:lvlJc w:val="right"/>
      <w:pPr>
        <w:ind w:left="2673" w:hanging="180"/>
      </w:pPr>
    </w:lvl>
    <w:lvl w:ilvl="3" w:tplc="1C09000F" w:tentative="1">
      <w:start w:val="1"/>
      <w:numFmt w:val="decimal"/>
      <w:lvlText w:val="%4."/>
      <w:lvlJc w:val="left"/>
      <w:pPr>
        <w:ind w:left="3393" w:hanging="360"/>
      </w:pPr>
    </w:lvl>
    <w:lvl w:ilvl="4" w:tplc="1C090019" w:tentative="1">
      <w:start w:val="1"/>
      <w:numFmt w:val="lowerLetter"/>
      <w:lvlText w:val="%5."/>
      <w:lvlJc w:val="left"/>
      <w:pPr>
        <w:ind w:left="4113" w:hanging="360"/>
      </w:pPr>
    </w:lvl>
    <w:lvl w:ilvl="5" w:tplc="1C09001B" w:tentative="1">
      <w:start w:val="1"/>
      <w:numFmt w:val="lowerRoman"/>
      <w:lvlText w:val="%6."/>
      <w:lvlJc w:val="right"/>
      <w:pPr>
        <w:ind w:left="4833" w:hanging="180"/>
      </w:pPr>
    </w:lvl>
    <w:lvl w:ilvl="6" w:tplc="1C09000F" w:tentative="1">
      <w:start w:val="1"/>
      <w:numFmt w:val="decimal"/>
      <w:lvlText w:val="%7."/>
      <w:lvlJc w:val="left"/>
      <w:pPr>
        <w:ind w:left="5553" w:hanging="360"/>
      </w:pPr>
    </w:lvl>
    <w:lvl w:ilvl="7" w:tplc="1C090019" w:tentative="1">
      <w:start w:val="1"/>
      <w:numFmt w:val="lowerLetter"/>
      <w:lvlText w:val="%8."/>
      <w:lvlJc w:val="left"/>
      <w:pPr>
        <w:ind w:left="6273" w:hanging="360"/>
      </w:pPr>
    </w:lvl>
    <w:lvl w:ilvl="8" w:tplc="1C09001B" w:tentative="1">
      <w:start w:val="1"/>
      <w:numFmt w:val="lowerRoman"/>
      <w:lvlText w:val="%9."/>
      <w:lvlJc w:val="right"/>
      <w:pPr>
        <w:ind w:left="6993" w:hanging="180"/>
      </w:pPr>
    </w:lvl>
  </w:abstractNum>
  <w:abstractNum w:abstractNumId="8">
    <w:nsid w:val="3B92192A"/>
    <w:multiLevelType w:val="hybridMultilevel"/>
    <w:tmpl w:val="A2BE0226"/>
    <w:lvl w:ilvl="0" w:tplc="AC4C7FC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42FB476E"/>
    <w:multiLevelType w:val="hybridMultilevel"/>
    <w:tmpl w:val="80C2370E"/>
    <w:lvl w:ilvl="0" w:tplc="1C09000F">
      <w:start w:val="1"/>
      <w:numFmt w:val="decimal"/>
      <w:lvlText w:val="%1."/>
      <w:lvlJc w:val="left"/>
      <w:pPr>
        <w:ind w:left="2988" w:hanging="360"/>
      </w:pPr>
    </w:lvl>
    <w:lvl w:ilvl="1" w:tplc="1C09000F">
      <w:start w:val="1"/>
      <w:numFmt w:val="decimal"/>
      <w:lvlText w:val="%2."/>
      <w:lvlJc w:val="left"/>
      <w:pPr>
        <w:ind w:left="3708" w:hanging="360"/>
      </w:pPr>
    </w:lvl>
    <w:lvl w:ilvl="2" w:tplc="1C09001B" w:tentative="1">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10">
    <w:nsid w:val="43491C14"/>
    <w:multiLevelType w:val="hybridMultilevel"/>
    <w:tmpl w:val="720814E8"/>
    <w:lvl w:ilvl="0" w:tplc="90464DB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48EE0ED2"/>
    <w:multiLevelType w:val="hybridMultilevel"/>
    <w:tmpl w:val="5C2EED60"/>
    <w:lvl w:ilvl="0" w:tplc="888CFF98">
      <w:start w:val="1"/>
      <w:numFmt w:val="decimal"/>
      <w:lvlText w:val="[%1]"/>
      <w:lvlJc w:val="left"/>
      <w:pPr>
        <w:ind w:left="720" w:hanging="360"/>
      </w:pPr>
      <w:rPr>
        <w:rFonts w:cs="Times New Roman"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598767F"/>
    <w:multiLevelType w:val="multilevel"/>
    <w:tmpl w:val="5C9653B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3">
    <w:nsid w:val="6C316BAE"/>
    <w:multiLevelType w:val="hybridMultilevel"/>
    <w:tmpl w:val="A8AC6250"/>
    <w:lvl w:ilvl="0" w:tplc="739CB57A">
      <w:start w:val="1"/>
      <w:numFmt w:val="lowerLetter"/>
      <w:lvlText w:val="(%1)"/>
      <w:lvlJc w:val="left"/>
      <w:pPr>
        <w:ind w:left="2010" w:hanging="39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4">
    <w:nsid w:val="6DF52499"/>
    <w:multiLevelType w:val="hybridMultilevel"/>
    <w:tmpl w:val="98ACADC8"/>
    <w:lvl w:ilvl="0" w:tplc="888CFF98">
      <w:start w:val="1"/>
      <w:numFmt w:val="decimal"/>
      <w:lvlText w:val="[%1]"/>
      <w:lvlJc w:val="left"/>
      <w:pPr>
        <w:ind w:left="720" w:hanging="360"/>
      </w:pPr>
      <w:rPr>
        <w:rFonts w:cs="Times New Roman"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F3B0C74"/>
    <w:multiLevelType w:val="hybridMultilevel"/>
    <w:tmpl w:val="15E2F1B0"/>
    <w:lvl w:ilvl="0" w:tplc="FEB27F76">
      <w:start w:val="1"/>
      <w:numFmt w:val="decimal"/>
      <w:lvlText w:val="[%1]"/>
      <w:lvlJc w:val="left"/>
      <w:pPr>
        <w:ind w:left="360" w:hanging="360"/>
      </w:pPr>
      <w:rPr>
        <w:rFonts w:cs="Times New Roman" w:hint="default"/>
        <w:i w:val="0"/>
        <w:color w:val="auto"/>
      </w:rPr>
    </w:lvl>
    <w:lvl w:ilvl="1" w:tplc="E21CDDA0">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15AFE"/>
    <w:multiLevelType w:val="multilevel"/>
    <w:tmpl w:val="EC5292E4"/>
    <w:lvl w:ilvl="0">
      <w:start w:val="1"/>
      <w:numFmt w:val="decimal"/>
      <w:lvlText w:val="%1."/>
      <w:lvlJc w:val="left"/>
      <w:pPr>
        <w:ind w:left="360" w:hanging="360"/>
      </w:pPr>
    </w:lvl>
    <w:lvl w:ilvl="1">
      <w:start w:val="1"/>
      <w:numFmt w:val="decimal"/>
      <w:lvlText w:val="%1.%2."/>
      <w:lvlJc w:val="left"/>
      <w:pPr>
        <w:ind w:left="2417"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4"/>
  </w:num>
  <w:num w:numId="3">
    <w:abstractNumId w:val="6"/>
  </w:num>
  <w:num w:numId="4">
    <w:abstractNumId w:val="16"/>
  </w:num>
  <w:num w:numId="5">
    <w:abstractNumId w:val="0"/>
  </w:num>
  <w:num w:numId="6">
    <w:abstractNumId w:val="9"/>
  </w:num>
  <w:num w:numId="7">
    <w:abstractNumId w:val="2"/>
  </w:num>
  <w:num w:numId="8">
    <w:abstractNumId w:val="5"/>
  </w:num>
  <w:num w:numId="9">
    <w:abstractNumId w:val="14"/>
  </w:num>
  <w:num w:numId="10">
    <w:abstractNumId w:val="3"/>
  </w:num>
  <w:num w:numId="11">
    <w:abstractNumId w:val="11"/>
  </w:num>
  <w:num w:numId="12">
    <w:abstractNumId w:val="7"/>
  </w:num>
  <w:num w:numId="13">
    <w:abstractNumId w:val="1"/>
  </w:num>
  <w:num w:numId="14">
    <w:abstractNumId w:val="8"/>
  </w:num>
  <w:num w:numId="15">
    <w:abstractNumId w:val="10"/>
  </w:num>
  <w:num w:numId="16">
    <w:abstractNumId w:val="13"/>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98"/>
    <w:rsid w:val="00000302"/>
    <w:rsid w:val="00000FE5"/>
    <w:rsid w:val="0000344F"/>
    <w:rsid w:val="00004F65"/>
    <w:rsid w:val="00005ADE"/>
    <w:rsid w:val="00010C00"/>
    <w:rsid w:val="00012406"/>
    <w:rsid w:val="00013E20"/>
    <w:rsid w:val="00014B11"/>
    <w:rsid w:val="00014EC7"/>
    <w:rsid w:val="00021812"/>
    <w:rsid w:val="000255CC"/>
    <w:rsid w:val="00032FE7"/>
    <w:rsid w:val="00037E83"/>
    <w:rsid w:val="00041FC7"/>
    <w:rsid w:val="0004375D"/>
    <w:rsid w:val="00047B67"/>
    <w:rsid w:val="00052296"/>
    <w:rsid w:val="0005291E"/>
    <w:rsid w:val="00052973"/>
    <w:rsid w:val="00052D61"/>
    <w:rsid w:val="00052F10"/>
    <w:rsid w:val="00053534"/>
    <w:rsid w:val="000537F3"/>
    <w:rsid w:val="00055CD8"/>
    <w:rsid w:val="00057BC2"/>
    <w:rsid w:val="000612F5"/>
    <w:rsid w:val="00062888"/>
    <w:rsid w:val="000643BA"/>
    <w:rsid w:val="00064A7F"/>
    <w:rsid w:val="0007237C"/>
    <w:rsid w:val="00072D01"/>
    <w:rsid w:val="00077462"/>
    <w:rsid w:val="00080621"/>
    <w:rsid w:val="00082DAB"/>
    <w:rsid w:val="00084232"/>
    <w:rsid w:val="000854E8"/>
    <w:rsid w:val="000909DF"/>
    <w:rsid w:val="00095039"/>
    <w:rsid w:val="00095934"/>
    <w:rsid w:val="00095D38"/>
    <w:rsid w:val="000A124A"/>
    <w:rsid w:val="000A1427"/>
    <w:rsid w:val="000A1855"/>
    <w:rsid w:val="000A3641"/>
    <w:rsid w:val="000A4A12"/>
    <w:rsid w:val="000A5059"/>
    <w:rsid w:val="000A613E"/>
    <w:rsid w:val="000A6A6C"/>
    <w:rsid w:val="000B0A73"/>
    <w:rsid w:val="000B0CA5"/>
    <w:rsid w:val="000B291A"/>
    <w:rsid w:val="000B370E"/>
    <w:rsid w:val="000B3AC7"/>
    <w:rsid w:val="000C0ADC"/>
    <w:rsid w:val="000C5CA7"/>
    <w:rsid w:val="000C6905"/>
    <w:rsid w:val="000C690A"/>
    <w:rsid w:val="000C6B8C"/>
    <w:rsid w:val="000D367A"/>
    <w:rsid w:val="000D5866"/>
    <w:rsid w:val="000D64B0"/>
    <w:rsid w:val="000D6A47"/>
    <w:rsid w:val="000E13B0"/>
    <w:rsid w:val="000E681E"/>
    <w:rsid w:val="000F1480"/>
    <w:rsid w:val="000F2671"/>
    <w:rsid w:val="00100A30"/>
    <w:rsid w:val="001061DD"/>
    <w:rsid w:val="00106C0E"/>
    <w:rsid w:val="001074D6"/>
    <w:rsid w:val="0011019A"/>
    <w:rsid w:val="0011098B"/>
    <w:rsid w:val="00110C78"/>
    <w:rsid w:val="001127A7"/>
    <w:rsid w:val="001132B9"/>
    <w:rsid w:val="00116AA7"/>
    <w:rsid w:val="00122426"/>
    <w:rsid w:val="00124024"/>
    <w:rsid w:val="0012424E"/>
    <w:rsid w:val="00125367"/>
    <w:rsid w:val="00125451"/>
    <w:rsid w:val="00126D6C"/>
    <w:rsid w:val="00131EB4"/>
    <w:rsid w:val="00132F91"/>
    <w:rsid w:val="00133ACD"/>
    <w:rsid w:val="001345E7"/>
    <w:rsid w:val="00135550"/>
    <w:rsid w:val="00136B15"/>
    <w:rsid w:val="00136B2F"/>
    <w:rsid w:val="00140E14"/>
    <w:rsid w:val="00147AA3"/>
    <w:rsid w:val="00147D65"/>
    <w:rsid w:val="0015259D"/>
    <w:rsid w:val="00153DE4"/>
    <w:rsid w:val="0016537F"/>
    <w:rsid w:val="00177D10"/>
    <w:rsid w:val="00181391"/>
    <w:rsid w:val="001816D2"/>
    <w:rsid w:val="00181EAA"/>
    <w:rsid w:val="001824F7"/>
    <w:rsid w:val="00182D80"/>
    <w:rsid w:val="00187667"/>
    <w:rsid w:val="0019283F"/>
    <w:rsid w:val="00193571"/>
    <w:rsid w:val="00194B51"/>
    <w:rsid w:val="001A1BA4"/>
    <w:rsid w:val="001A492C"/>
    <w:rsid w:val="001A521F"/>
    <w:rsid w:val="001A5986"/>
    <w:rsid w:val="001B1BC7"/>
    <w:rsid w:val="001B2C0F"/>
    <w:rsid w:val="001C13DA"/>
    <w:rsid w:val="001C2DA1"/>
    <w:rsid w:val="001C405F"/>
    <w:rsid w:val="001C45D9"/>
    <w:rsid w:val="001C5B52"/>
    <w:rsid w:val="001C633E"/>
    <w:rsid w:val="001C69F0"/>
    <w:rsid w:val="001D0235"/>
    <w:rsid w:val="001D2EC5"/>
    <w:rsid w:val="001D3713"/>
    <w:rsid w:val="001D42B2"/>
    <w:rsid w:val="001D4636"/>
    <w:rsid w:val="001D4C92"/>
    <w:rsid w:val="001D5BE0"/>
    <w:rsid w:val="001E06DC"/>
    <w:rsid w:val="001E0DE4"/>
    <w:rsid w:val="001E22FD"/>
    <w:rsid w:val="001E2ED7"/>
    <w:rsid w:val="001E3A61"/>
    <w:rsid w:val="001E3C8B"/>
    <w:rsid w:val="001E4751"/>
    <w:rsid w:val="001E4A7B"/>
    <w:rsid w:val="001E5C67"/>
    <w:rsid w:val="001E6EE5"/>
    <w:rsid w:val="001E738F"/>
    <w:rsid w:val="001F5A2B"/>
    <w:rsid w:val="001F639B"/>
    <w:rsid w:val="001F662A"/>
    <w:rsid w:val="001F6A27"/>
    <w:rsid w:val="001F7056"/>
    <w:rsid w:val="001F731A"/>
    <w:rsid w:val="00212C2E"/>
    <w:rsid w:val="00213F6B"/>
    <w:rsid w:val="002151AC"/>
    <w:rsid w:val="002154CE"/>
    <w:rsid w:val="002173B2"/>
    <w:rsid w:val="00220735"/>
    <w:rsid w:val="00221D68"/>
    <w:rsid w:val="0022500D"/>
    <w:rsid w:val="00226E10"/>
    <w:rsid w:val="002301B2"/>
    <w:rsid w:val="00230B2D"/>
    <w:rsid w:val="00232F4A"/>
    <w:rsid w:val="0023306D"/>
    <w:rsid w:val="00236EDA"/>
    <w:rsid w:val="0024591F"/>
    <w:rsid w:val="00251DCE"/>
    <w:rsid w:val="00253029"/>
    <w:rsid w:val="00261E27"/>
    <w:rsid w:val="00263871"/>
    <w:rsid w:val="00264A57"/>
    <w:rsid w:val="00266249"/>
    <w:rsid w:val="002675D3"/>
    <w:rsid w:val="00267E59"/>
    <w:rsid w:val="002701E0"/>
    <w:rsid w:val="00272A12"/>
    <w:rsid w:val="00273E8F"/>
    <w:rsid w:val="00273EEB"/>
    <w:rsid w:val="002772C5"/>
    <w:rsid w:val="0027762C"/>
    <w:rsid w:val="00277A0E"/>
    <w:rsid w:val="00277B86"/>
    <w:rsid w:val="002807FF"/>
    <w:rsid w:val="00284BB7"/>
    <w:rsid w:val="002867A9"/>
    <w:rsid w:val="00292E1D"/>
    <w:rsid w:val="002953D1"/>
    <w:rsid w:val="002956C1"/>
    <w:rsid w:val="00295A13"/>
    <w:rsid w:val="00295F34"/>
    <w:rsid w:val="00296734"/>
    <w:rsid w:val="00296D2E"/>
    <w:rsid w:val="002976F0"/>
    <w:rsid w:val="002A06EE"/>
    <w:rsid w:val="002A20BA"/>
    <w:rsid w:val="002B0B99"/>
    <w:rsid w:val="002B4A13"/>
    <w:rsid w:val="002B799F"/>
    <w:rsid w:val="002B7BA9"/>
    <w:rsid w:val="002C33BF"/>
    <w:rsid w:val="002C61DF"/>
    <w:rsid w:val="002D25AA"/>
    <w:rsid w:val="002D342D"/>
    <w:rsid w:val="002D4045"/>
    <w:rsid w:val="002D6E87"/>
    <w:rsid w:val="002E3412"/>
    <w:rsid w:val="002E3A7E"/>
    <w:rsid w:val="002E72DB"/>
    <w:rsid w:val="002F4398"/>
    <w:rsid w:val="002F447F"/>
    <w:rsid w:val="002F5147"/>
    <w:rsid w:val="00304B7A"/>
    <w:rsid w:val="00304D35"/>
    <w:rsid w:val="00305105"/>
    <w:rsid w:val="00307629"/>
    <w:rsid w:val="00307716"/>
    <w:rsid w:val="0031134D"/>
    <w:rsid w:val="00313AB8"/>
    <w:rsid w:val="00321543"/>
    <w:rsid w:val="0033068F"/>
    <w:rsid w:val="00330B77"/>
    <w:rsid w:val="00330F64"/>
    <w:rsid w:val="003310E5"/>
    <w:rsid w:val="00331F67"/>
    <w:rsid w:val="00332D59"/>
    <w:rsid w:val="0033337E"/>
    <w:rsid w:val="00334912"/>
    <w:rsid w:val="003372F8"/>
    <w:rsid w:val="00341FA5"/>
    <w:rsid w:val="003453FD"/>
    <w:rsid w:val="00346410"/>
    <w:rsid w:val="00346C5F"/>
    <w:rsid w:val="00353093"/>
    <w:rsid w:val="00353FB9"/>
    <w:rsid w:val="003574AF"/>
    <w:rsid w:val="00361E4B"/>
    <w:rsid w:val="003627FC"/>
    <w:rsid w:val="00362E4A"/>
    <w:rsid w:val="003662D5"/>
    <w:rsid w:val="003667CA"/>
    <w:rsid w:val="00367B5B"/>
    <w:rsid w:val="003715EA"/>
    <w:rsid w:val="00371B79"/>
    <w:rsid w:val="00372047"/>
    <w:rsid w:val="00374EAD"/>
    <w:rsid w:val="003837F4"/>
    <w:rsid w:val="00383941"/>
    <w:rsid w:val="003861CF"/>
    <w:rsid w:val="00387183"/>
    <w:rsid w:val="00387591"/>
    <w:rsid w:val="00392DD2"/>
    <w:rsid w:val="00395101"/>
    <w:rsid w:val="003A1351"/>
    <w:rsid w:val="003A3B9C"/>
    <w:rsid w:val="003B1A79"/>
    <w:rsid w:val="003B1B97"/>
    <w:rsid w:val="003B20DB"/>
    <w:rsid w:val="003B6017"/>
    <w:rsid w:val="003C275F"/>
    <w:rsid w:val="003C31D4"/>
    <w:rsid w:val="003C6CA8"/>
    <w:rsid w:val="003C7BBF"/>
    <w:rsid w:val="003D2703"/>
    <w:rsid w:val="003D50B1"/>
    <w:rsid w:val="003D54FD"/>
    <w:rsid w:val="003D5899"/>
    <w:rsid w:val="003E2094"/>
    <w:rsid w:val="003E5AA6"/>
    <w:rsid w:val="003E6A5B"/>
    <w:rsid w:val="003F20D1"/>
    <w:rsid w:val="003F35C1"/>
    <w:rsid w:val="003F7F12"/>
    <w:rsid w:val="00401168"/>
    <w:rsid w:val="00401C8C"/>
    <w:rsid w:val="0040214C"/>
    <w:rsid w:val="004021A9"/>
    <w:rsid w:val="00402609"/>
    <w:rsid w:val="004148C8"/>
    <w:rsid w:val="00417F03"/>
    <w:rsid w:val="00421057"/>
    <w:rsid w:val="00422953"/>
    <w:rsid w:val="00423710"/>
    <w:rsid w:val="0043066C"/>
    <w:rsid w:val="0043225F"/>
    <w:rsid w:val="004328D2"/>
    <w:rsid w:val="004339CB"/>
    <w:rsid w:val="00434E61"/>
    <w:rsid w:val="0043724E"/>
    <w:rsid w:val="0043725C"/>
    <w:rsid w:val="0044733A"/>
    <w:rsid w:val="00450952"/>
    <w:rsid w:val="00453E78"/>
    <w:rsid w:val="0045617C"/>
    <w:rsid w:val="00460F6B"/>
    <w:rsid w:val="0046139D"/>
    <w:rsid w:val="004643C2"/>
    <w:rsid w:val="004651AF"/>
    <w:rsid w:val="00467977"/>
    <w:rsid w:val="00470FB3"/>
    <w:rsid w:val="0047100D"/>
    <w:rsid w:val="0047167F"/>
    <w:rsid w:val="00471E6C"/>
    <w:rsid w:val="0048075A"/>
    <w:rsid w:val="00481188"/>
    <w:rsid w:val="00481206"/>
    <w:rsid w:val="00483891"/>
    <w:rsid w:val="0048512E"/>
    <w:rsid w:val="00493727"/>
    <w:rsid w:val="0049440D"/>
    <w:rsid w:val="004A02DC"/>
    <w:rsid w:val="004A3D79"/>
    <w:rsid w:val="004A53A5"/>
    <w:rsid w:val="004A5917"/>
    <w:rsid w:val="004B49CD"/>
    <w:rsid w:val="004B7248"/>
    <w:rsid w:val="004C1469"/>
    <w:rsid w:val="004C19DF"/>
    <w:rsid w:val="004C5AD1"/>
    <w:rsid w:val="004C6093"/>
    <w:rsid w:val="004D002B"/>
    <w:rsid w:val="004D0C44"/>
    <w:rsid w:val="004D1395"/>
    <w:rsid w:val="004D5E37"/>
    <w:rsid w:val="004D631E"/>
    <w:rsid w:val="004E20A2"/>
    <w:rsid w:val="004E24B9"/>
    <w:rsid w:val="004E26BD"/>
    <w:rsid w:val="004E36B9"/>
    <w:rsid w:val="004E5573"/>
    <w:rsid w:val="004E5A13"/>
    <w:rsid w:val="004E5EE4"/>
    <w:rsid w:val="004E7116"/>
    <w:rsid w:val="004F3F18"/>
    <w:rsid w:val="004F4009"/>
    <w:rsid w:val="004F42EB"/>
    <w:rsid w:val="004F46CA"/>
    <w:rsid w:val="004F4A4D"/>
    <w:rsid w:val="0050361A"/>
    <w:rsid w:val="005068A7"/>
    <w:rsid w:val="0051048D"/>
    <w:rsid w:val="00510EDF"/>
    <w:rsid w:val="00513ADC"/>
    <w:rsid w:val="005150F5"/>
    <w:rsid w:val="0051516A"/>
    <w:rsid w:val="005155BC"/>
    <w:rsid w:val="00515C37"/>
    <w:rsid w:val="005175F2"/>
    <w:rsid w:val="005224BA"/>
    <w:rsid w:val="00522B82"/>
    <w:rsid w:val="005230AF"/>
    <w:rsid w:val="005235BF"/>
    <w:rsid w:val="00526254"/>
    <w:rsid w:val="005276B2"/>
    <w:rsid w:val="005309A7"/>
    <w:rsid w:val="005309FB"/>
    <w:rsid w:val="00531731"/>
    <w:rsid w:val="0053181A"/>
    <w:rsid w:val="005329A9"/>
    <w:rsid w:val="00535FBE"/>
    <w:rsid w:val="005360B4"/>
    <w:rsid w:val="005408ED"/>
    <w:rsid w:val="0054105C"/>
    <w:rsid w:val="00541244"/>
    <w:rsid w:val="00541291"/>
    <w:rsid w:val="00542156"/>
    <w:rsid w:val="00546A64"/>
    <w:rsid w:val="005529D3"/>
    <w:rsid w:val="00555F17"/>
    <w:rsid w:val="00557576"/>
    <w:rsid w:val="00557B2D"/>
    <w:rsid w:val="005601DE"/>
    <w:rsid w:val="005615D7"/>
    <w:rsid w:val="005630D4"/>
    <w:rsid w:val="005659DB"/>
    <w:rsid w:val="00565A56"/>
    <w:rsid w:val="00565BF6"/>
    <w:rsid w:val="00574B67"/>
    <w:rsid w:val="00577207"/>
    <w:rsid w:val="00577FA4"/>
    <w:rsid w:val="00580DD1"/>
    <w:rsid w:val="0058346E"/>
    <w:rsid w:val="0059045C"/>
    <w:rsid w:val="00591EDC"/>
    <w:rsid w:val="005934E3"/>
    <w:rsid w:val="005A0EAD"/>
    <w:rsid w:val="005A62B4"/>
    <w:rsid w:val="005A64BD"/>
    <w:rsid w:val="005B2241"/>
    <w:rsid w:val="005B6963"/>
    <w:rsid w:val="005B7423"/>
    <w:rsid w:val="005B7EF7"/>
    <w:rsid w:val="005C318F"/>
    <w:rsid w:val="005C34AF"/>
    <w:rsid w:val="005C445A"/>
    <w:rsid w:val="005C4CB8"/>
    <w:rsid w:val="005D4718"/>
    <w:rsid w:val="005E3D31"/>
    <w:rsid w:val="005F0792"/>
    <w:rsid w:val="005F117A"/>
    <w:rsid w:val="005F1D17"/>
    <w:rsid w:val="005F66C9"/>
    <w:rsid w:val="00604E69"/>
    <w:rsid w:val="00606B47"/>
    <w:rsid w:val="00613D18"/>
    <w:rsid w:val="00614803"/>
    <w:rsid w:val="0061571A"/>
    <w:rsid w:val="006165BB"/>
    <w:rsid w:val="00617300"/>
    <w:rsid w:val="00622B15"/>
    <w:rsid w:val="006264E3"/>
    <w:rsid w:val="00630149"/>
    <w:rsid w:val="006336DC"/>
    <w:rsid w:val="006343FD"/>
    <w:rsid w:val="00634F22"/>
    <w:rsid w:val="00637AF2"/>
    <w:rsid w:val="006429BC"/>
    <w:rsid w:val="00643654"/>
    <w:rsid w:val="006530EB"/>
    <w:rsid w:val="0065431A"/>
    <w:rsid w:val="0065563E"/>
    <w:rsid w:val="006563BF"/>
    <w:rsid w:val="00657082"/>
    <w:rsid w:val="006639C2"/>
    <w:rsid w:val="00663E7F"/>
    <w:rsid w:val="006655EF"/>
    <w:rsid w:val="00666255"/>
    <w:rsid w:val="006667B8"/>
    <w:rsid w:val="0067096B"/>
    <w:rsid w:val="006709B2"/>
    <w:rsid w:val="00673631"/>
    <w:rsid w:val="00674A38"/>
    <w:rsid w:val="00680548"/>
    <w:rsid w:val="00680FF0"/>
    <w:rsid w:val="00685324"/>
    <w:rsid w:val="006938E9"/>
    <w:rsid w:val="00694469"/>
    <w:rsid w:val="006A674D"/>
    <w:rsid w:val="006A7D0D"/>
    <w:rsid w:val="006B0E4E"/>
    <w:rsid w:val="006B1EB7"/>
    <w:rsid w:val="006B6C3C"/>
    <w:rsid w:val="006C0CA6"/>
    <w:rsid w:val="006C38B1"/>
    <w:rsid w:val="006C3F9C"/>
    <w:rsid w:val="006C45D9"/>
    <w:rsid w:val="006D22B0"/>
    <w:rsid w:val="006D2DF7"/>
    <w:rsid w:val="006D4CB9"/>
    <w:rsid w:val="006E3F24"/>
    <w:rsid w:val="006E48D0"/>
    <w:rsid w:val="006E74A4"/>
    <w:rsid w:val="00701836"/>
    <w:rsid w:val="00702348"/>
    <w:rsid w:val="007143C5"/>
    <w:rsid w:val="00715DC4"/>
    <w:rsid w:val="00717026"/>
    <w:rsid w:val="00717919"/>
    <w:rsid w:val="007213CE"/>
    <w:rsid w:val="007232D8"/>
    <w:rsid w:val="00727682"/>
    <w:rsid w:val="00727779"/>
    <w:rsid w:val="00735E39"/>
    <w:rsid w:val="0073729B"/>
    <w:rsid w:val="00737654"/>
    <w:rsid w:val="0074081F"/>
    <w:rsid w:val="00747CA9"/>
    <w:rsid w:val="00750EA0"/>
    <w:rsid w:val="00754688"/>
    <w:rsid w:val="007547DA"/>
    <w:rsid w:val="007610F3"/>
    <w:rsid w:val="00762AC7"/>
    <w:rsid w:val="00762B65"/>
    <w:rsid w:val="007652F3"/>
    <w:rsid w:val="00767716"/>
    <w:rsid w:val="00767807"/>
    <w:rsid w:val="00771896"/>
    <w:rsid w:val="00774892"/>
    <w:rsid w:val="00775D68"/>
    <w:rsid w:val="007769EF"/>
    <w:rsid w:val="00776EA8"/>
    <w:rsid w:val="007770D6"/>
    <w:rsid w:val="0078073D"/>
    <w:rsid w:val="00782310"/>
    <w:rsid w:val="00784264"/>
    <w:rsid w:val="00787CB6"/>
    <w:rsid w:val="00793590"/>
    <w:rsid w:val="00795F67"/>
    <w:rsid w:val="007960E4"/>
    <w:rsid w:val="00796593"/>
    <w:rsid w:val="007A13E7"/>
    <w:rsid w:val="007A1687"/>
    <w:rsid w:val="007A2542"/>
    <w:rsid w:val="007A70F2"/>
    <w:rsid w:val="007B07F5"/>
    <w:rsid w:val="007B1902"/>
    <w:rsid w:val="007B222E"/>
    <w:rsid w:val="007B5E81"/>
    <w:rsid w:val="007B601B"/>
    <w:rsid w:val="007B671F"/>
    <w:rsid w:val="007C20F4"/>
    <w:rsid w:val="007C3117"/>
    <w:rsid w:val="007C4DF3"/>
    <w:rsid w:val="007D3D14"/>
    <w:rsid w:val="007D6358"/>
    <w:rsid w:val="007D657D"/>
    <w:rsid w:val="007D75FE"/>
    <w:rsid w:val="007E1A41"/>
    <w:rsid w:val="007E2762"/>
    <w:rsid w:val="007E4339"/>
    <w:rsid w:val="007E5558"/>
    <w:rsid w:val="007F0074"/>
    <w:rsid w:val="007F0CED"/>
    <w:rsid w:val="007F10D6"/>
    <w:rsid w:val="007F32EE"/>
    <w:rsid w:val="007F47F2"/>
    <w:rsid w:val="007F78CB"/>
    <w:rsid w:val="00802072"/>
    <w:rsid w:val="00803181"/>
    <w:rsid w:val="008037EC"/>
    <w:rsid w:val="00805234"/>
    <w:rsid w:val="00805971"/>
    <w:rsid w:val="008060DD"/>
    <w:rsid w:val="00806491"/>
    <w:rsid w:val="00811263"/>
    <w:rsid w:val="008120F4"/>
    <w:rsid w:val="00813612"/>
    <w:rsid w:val="008142D8"/>
    <w:rsid w:val="008155B2"/>
    <w:rsid w:val="00816EFF"/>
    <w:rsid w:val="00817C0F"/>
    <w:rsid w:val="00822B86"/>
    <w:rsid w:val="0082339A"/>
    <w:rsid w:val="00826091"/>
    <w:rsid w:val="008268C9"/>
    <w:rsid w:val="00827B78"/>
    <w:rsid w:val="00831339"/>
    <w:rsid w:val="008360C6"/>
    <w:rsid w:val="0084067A"/>
    <w:rsid w:val="00841CA6"/>
    <w:rsid w:val="00842714"/>
    <w:rsid w:val="00842F8F"/>
    <w:rsid w:val="008467D9"/>
    <w:rsid w:val="008501FB"/>
    <w:rsid w:val="008512F2"/>
    <w:rsid w:val="008604C7"/>
    <w:rsid w:val="0086145C"/>
    <w:rsid w:val="00863C58"/>
    <w:rsid w:val="008645DE"/>
    <w:rsid w:val="00864AE0"/>
    <w:rsid w:val="0087031E"/>
    <w:rsid w:val="008716C1"/>
    <w:rsid w:val="00871B23"/>
    <w:rsid w:val="00871E62"/>
    <w:rsid w:val="00872349"/>
    <w:rsid w:val="008728B6"/>
    <w:rsid w:val="008729D8"/>
    <w:rsid w:val="008731F6"/>
    <w:rsid w:val="00876495"/>
    <w:rsid w:val="0087661F"/>
    <w:rsid w:val="0087717F"/>
    <w:rsid w:val="00880C9F"/>
    <w:rsid w:val="0088127A"/>
    <w:rsid w:val="008875A4"/>
    <w:rsid w:val="00892D0A"/>
    <w:rsid w:val="00897BA8"/>
    <w:rsid w:val="008A1085"/>
    <w:rsid w:val="008A13BD"/>
    <w:rsid w:val="008A309D"/>
    <w:rsid w:val="008A39F2"/>
    <w:rsid w:val="008A3FD6"/>
    <w:rsid w:val="008A435B"/>
    <w:rsid w:val="008A5459"/>
    <w:rsid w:val="008A73B2"/>
    <w:rsid w:val="008B0B42"/>
    <w:rsid w:val="008B1854"/>
    <w:rsid w:val="008B3C9D"/>
    <w:rsid w:val="008B45B1"/>
    <w:rsid w:val="008B56BA"/>
    <w:rsid w:val="008B6A4B"/>
    <w:rsid w:val="008C0A76"/>
    <w:rsid w:val="008C5EAF"/>
    <w:rsid w:val="008D17AE"/>
    <w:rsid w:val="008D2311"/>
    <w:rsid w:val="008D332C"/>
    <w:rsid w:val="008D5DD8"/>
    <w:rsid w:val="008D658C"/>
    <w:rsid w:val="008E06A8"/>
    <w:rsid w:val="008E2028"/>
    <w:rsid w:val="008E3F62"/>
    <w:rsid w:val="008F7797"/>
    <w:rsid w:val="00900EA9"/>
    <w:rsid w:val="00903272"/>
    <w:rsid w:val="0090515A"/>
    <w:rsid w:val="00910DE6"/>
    <w:rsid w:val="00911423"/>
    <w:rsid w:val="00913DDB"/>
    <w:rsid w:val="009175F8"/>
    <w:rsid w:val="009204B1"/>
    <w:rsid w:val="009209E1"/>
    <w:rsid w:val="009253DD"/>
    <w:rsid w:val="00933157"/>
    <w:rsid w:val="0093663C"/>
    <w:rsid w:val="00940F74"/>
    <w:rsid w:val="00942C6D"/>
    <w:rsid w:val="009502A6"/>
    <w:rsid w:val="009559DA"/>
    <w:rsid w:val="00955D8E"/>
    <w:rsid w:val="00957B9B"/>
    <w:rsid w:val="00961C94"/>
    <w:rsid w:val="009627D3"/>
    <w:rsid w:val="0096554D"/>
    <w:rsid w:val="00966D5B"/>
    <w:rsid w:val="00972793"/>
    <w:rsid w:val="0097797E"/>
    <w:rsid w:val="00981B5C"/>
    <w:rsid w:val="00985363"/>
    <w:rsid w:val="0099035A"/>
    <w:rsid w:val="009904CD"/>
    <w:rsid w:val="0099075E"/>
    <w:rsid w:val="00991DEE"/>
    <w:rsid w:val="0099454D"/>
    <w:rsid w:val="00994559"/>
    <w:rsid w:val="009955FB"/>
    <w:rsid w:val="00995DB7"/>
    <w:rsid w:val="00996C9B"/>
    <w:rsid w:val="00997C55"/>
    <w:rsid w:val="009A177E"/>
    <w:rsid w:val="009A2D3E"/>
    <w:rsid w:val="009A54B0"/>
    <w:rsid w:val="009B7C4D"/>
    <w:rsid w:val="009C243F"/>
    <w:rsid w:val="009C59AB"/>
    <w:rsid w:val="009C68FF"/>
    <w:rsid w:val="009D1955"/>
    <w:rsid w:val="009D4A08"/>
    <w:rsid w:val="009D714E"/>
    <w:rsid w:val="009E02FA"/>
    <w:rsid w:val="009E17C4"/>
    <w:rsid w:val="009E43AE"/>
    <w:rsid w:val="009E7726"/>
    <w:rsid w:val="009F07B8"/>
    <w:rsid w:val="009F1F3D"/>
    <w:rsid w:val="009F25C1"/>
    <w:rsid w:val="009F3EFC"/>
    <w:rsid w:val="009F4489"/>
    <w:rsid w:val="009F46B1"/>
    <w:rsid w:val="00A02A8F"/>
    <w:rsid w:val="00A03511"/>
    <w:rsid w:val="00A04332"/>
    <w:rsid w:val="00A15381"/>
    <w:rsid w:val="00A153E4"/>
    <w:rsid w:val="00A20C31"/>
    <w:rsid w:val="00A23A3A"/>
    <w:rsid w:val="00A2741C"/>
    <w:rsid w:val="00A308CD"/>
    <w:rsid w:val="00A33F0A"/>
    <w:rsid w:val="00A3697E"/>
    <w:rsid w:val="00A37E49"/>
    <w:rsid w:val="00A4393E"/>
    <w:rsid w:val="00A466BC"/>
    <w:rsid w:val="00A47C3E"/>
    <w:rsid w:val="00A50786"/>
    <w:rsid w:val="00A5094F"/>
    <w:rsid w:val="00A53264"/>
    <w:rsid w:val="00A617B8"/>
    <w:rsid w:val="00A625DE"/>
    <w:rsid w:val="00A6483E"/>
    <w:rsid w:val="00A65269"/>
    <w:rsid w:val="00A65B96"/>
    <w:rsid w:val="00A67088"/>
    <w:rsid w:val="00A67A9E"/>
    <w:rsid w:val="00A73C01"/>
    <w:rsid w:val="00A74BB7"/>
    <w:rsid w:val="00A7552D"/>
    <w:rsid w:val="00A75E18"/>
    <w:rsid w:val="00A83B54"/>
    <w:rsid w:val="00A83FF6"/>
    <w:rsid w:val="00A850BB"/>
    <w:rsid w:val="00A941DD"/>
    <w:rsid w:val="00A97409"/>
    <w:rsid w:val="00A97C4A"/>
    <w:rsid w:val="00AA1A12"/>
    <w:rsid w:val="00AA1B9D"/>
    <w:rsid w:val="00AA41B0"/>
    <w:rsid w:val="00AA4292"/>
    <w:rsid w:val="00AA4E63"/>
    <w:rsid w:val="00AA624A"/>
    <w:rsid w:val="00AA7542"/>
    <w:rsid w:val="00AB64CE"/>
    <w:rsid w:val="00AC02AB"/>
    <w:rsid w:val="00AC0890"/>
    <w:rsid w:val="00AC5A6C"/>
    <w:rsid w:val="00AD117D"/>
    <w:rsid w:val="00AD22EC"/>
    <w:rsid w:val="00AD34D4"/>
    <w:rsid w:val="00AD4120"/>
    <w:rsid w:val="00AD798C"/>
    <w:rsid w:val="00AD7CA5"/>
    <w:rsid w:val="00AE0757"/>
    <w:rsid w:val="00AE0A01"/>
    <w:rsid w:val="00AE134E"/>
    <w:rsid w:val="00AE1B96"/>
    <w:rsid w:val="00AE4357"/>
    <w:rsid w:val="00AE760B"/>
    <w:rsid w:val="00AE7F9A"/>
    <w:rsid w:val="00AF18A0"/>
    <w:rsid w:val="00AF1B8A"/>
    <w:rsid w:val="00AF2FE9"/>
    <w:rsid w:val="00AF38DB"/>
    <w:rsid w:val="00AF6BC9"/>
    <w:rsid w:val="00B01163"/>
    <w:rsid w:val="00B03AEF"/>
    <w:rsid w:val="00B04800"/>
    <w:rsid w:val="00B12D14"/>
    <w:rsid w:val="00B13281"/>
    <w:rsid w:val="00B140FC"/>
    <w:rsid w:val="00B206DA"/>
    <w:rsid w:val="00B24A98"/>
    <w:rsid w:val="00B262C5"/>
    <w:rsid w:val="00B3323E"/>
    <w:rsid w:val="00B34400"/>
    <w:rsid w:val="00B422FE"/>
    <w:rsid w:val="00B42833"/>
    <w:rsid w:val="00B50E77"/>
    <w:rsid w:val="00B520D5"/>
    <w:rsid w:val="00B53635"/>
    <w:rsid w:val="00B53A9E"/>
    <w:rsid w:val="00B53C93"/>
    <w:rsid w:val="00B60EAA"/>
    <w:rsid w:val="00B615D6"/>
    <w:rsid w:val="00B636C2"/>
    <w:rsid w:val="00B638C8"/>
    <w:rsid w:val="00B64313"/>
    <w:rsid w:val="00B644D4"/>
    <w:rsid w:val="00B64A71"/>
    <w:rsid w:val="00B655A8"/>
    <w:rsid w:val="00B726DB"/>
    <w:rsid w:val="00B76CA9"/>
    <w:rsid w:val="00B828E8"/>
    <w:rsid w:val="00B82CF9"/>
    <w:rsid w:val="00B844A8"/>
    <w:rsid w:val="00B919F3"/>
    <w:rsid w:val="00B96098"/>
    <w:rsid w:val="00B9688C"/>
    <w:rsid w:val="00B96E75"/>
    <w:rsid w:val="00BA1ADB"/>
    <w:rsid w:val="00BA38BC"/>
    <w:rsid w:val="00BA5B93"/>
    <w:rsid w:val="00BA72F4"/>
    <w:rsid w:val="00BA7B3F"/>
    <w:rsid w:val="00BB0E6C"/>
    <w:rsid w:val="00BB1C3F"/>
    <w:rsid w:val="00BB316D"/>
    <w:rsid w:val="00BB7F07"/>
    <w:rsid w:val="00BD00E8"/>
    <w:rsid w:val="00BD0720"/>
    <w:rsid w:val="00BD1815"/>
    <w:rsid w:val="00BE2EC2"/>
    <w:rsid w:val="00BE3922"/>
    <w:rsid w:val="00BE43A1"/>
    <w:rsid w:val="00BE6A48"/>
    <w:rsid w:val="00BE72ED"/>
    <w:rsid w:val="00BF3A7C"/>
    <w:rsid w:val="00BF511A"/>
    <w:rsid w:val="00BF65C4"/>
    <w:rsid w:val="00C0031D"/>
    <w:rsid w:val="00C02622"/>
    <w:rsid w:val="00C044B0"/>
    <w:rsid w:val="00C057E4"/>
    <w:rsid w:val="00C05E9F"/>
    <w:rsid w:val="00C0619C"/>
    <w:rsid w:val="00C064AB"/>
    <w:rsid w:val="00C07765"/>
    <w:rsid w:val="00C1077F"/>
    <w:rsid w:val="00C12449"/>
    <w:rsid w:val="00C12477"/>
    <w:rsid w:val="00C13F51"/>
    <w:rsid w:val="00C14708"/>
    <w:rsid w:val="00C151FD"/>
    <w:rsid w:val="00C27126"/>
    <w:rsid w:val="00C342A7"/>
    <w:rsid w:val="00C42307"/>
    <w:rsid w:val="00C43149"/>
    <w:rsid w:val="00C44631"/>
    <w:rsid w:val="00C45058"/>
    <w:rsid w:val="00C4537C"/>
    <w:rsid w:val="00C461F0"/>
    <w:rsid w:val="00C503F8"/>
    <w:rsid w:val="00C51829"/>
    <w:rsid w:val="00C56554"/>
    <w:rsid w:val="00C56741"/>
    <w:rsid w:val="00C5768D"/>
    <w:rsid w:val="00C57996"/>
    <w:rsid w:val="00C60843"/>
    <w:rsid w:val="00C62859"/>
    <w:rsid w:val="00C656E7"/>
    <w:rsid w:val="00C71132"/>
    <w:rsid w:val="00C71E29"/>
    <w:rsid w:val="00C74443"/>
    <w:rsid w:val="00C77A34"/>
    <w:rsid w:val="00C81400"/>
    <w:rsid w:val="00C84BA1"/>
    <w:rsid w:val="00C97235"/>
    <w:rsid w:val="00CA5BAD"/>
    <w:rsid w:val="00CA66E3"/>
    <w:rsid w:val="00CA75CF"/>
    <w:rsid w:val="00CB04D7"/>
    <w:rsid w:val="00CB178D"/>
    <w:rsid w:val="00CB59EB"/>
    <w:rsid w:val="00CB5CF9"/>
    <w:rsid w:val="00CC0732"/>
    <w:rsid w:val="00CC2815"/>
    <w:rsid w:val="00CC77EE"/>
    <w:rsid w:val="00CD1593"/>
    <w:rsid w:val="00CD22E3"/>
    <w:rsid w:val="00CD440D"/>
    <w:rsid w:val="00CD634C"/>
    <w:rsid w:val="00CD6C53"/>
    <w:rsid w:val="00CD6EF8"/>
    <w:rsid w:val="00CD76AC"/>
    <w:rsid w:val="00CE0FCA"/>
    <w:rsid w:val="00CE3D11"/>
    <w:rsid w:val="00CF02F2"/>
    <w:rsid w:val="00CF6174"/>
    <w:rsid w:val="00D0004A"/>
    <w:rsid w:val="00D00912"/>
    <w:rsid w:val="00D01C34"/>
    <w:rsid w:val="00D05E9F"/>
    <w:rsid w:val="00D064BF"/>
    <w:rsid w:val="00D06697"/>
    <w:rsid w:val="00D07904"/>
    <w:rsid w:val="00D12B50"/>
    <w:rsid w:val="00D13241"/>
    <w:rsid w:val="00D15854"/>
    <w:rsid w:val="00D1666C"/>
    <w:rsid w:val="00D21C49"/>
    <w:rsid w:val="00D22A77"/>
    <w:rsid w:val="00D33684"/>
    <w:rsid w:val="00D3790A"/>
    <w:rsid w:val="00D4184D"/>
    <w:rsid w:val="00D440A3"/>
    <w:rsid w:val="00D46B52"/>
    <w:rsid w:val="00D51322"/>
    <w:rsid w:val="00D5661B"/>
    <w:rsid w:val="00D617CC"/>
    <w:rsid w:val="00D6596A"/>
    <w:rsid w:val="00D65C10"/>
    <w:rsid w:val="00D71D91"/>
    <w:rsid w:val="00D72425"/>
    <w:rsid w:val="00D7583B"/>
    <w:rsid w:val="00D75D18"/>
    <w:rsid w:val="00D776A1"/>
    <w:rsid w:val="00D80BDF"/>
    <w:rsid w:val="00D819D7"/>
    <w:rsid w:val="00D84C93"/>
    <w:rsid w:val="00D86415"/>
    <w:rsid w:val="00D86480"/>
    <w:rsid w:val="00D9004B"/>
    <w:rsid w:val="00D9248E"/>
    <w:rsid w:val="00D92A99"/>
    <w:rsid w:val="00D93B34"/>
    <w:rsid w:val="00D94DA3"/>
    <w:rsid w:val="00D94DA9"/>
    <w:rsid w:val="00DA2470"/>
    <w:rsid w:val="00DA4E65"/>
    <w:rsid w:val="00DA564D"/>
    <w:rsid w:val="00DA63AC"/>
    <w:rsid w:val="00DB3C37"/>
    <w:rsid w:val="00DB3E9A"/>
    <w:rsid w:val="00DB5150"/>
    <w:rsid w:val="00DB5C46"/>
    <w:rsid w:val="00DB6302"/>
    <w:rsid w:val="00DC1C19"/>
    <w:rsid w:val="00DC2BC3"/>
    <w:rsid w:val="00DC3982"/>
    <w:rsid w:val="00DC5780"/>
    <w:rsid w:val="00DC66DD"/>
    <w:rsid w:val="00DC704C"/>
    <w:rsid w:val="00DC7244"/>
    <w:rsid w:val="00DD0659"/>
    <w:rsid w:val="00DD1C3B"/>
    <w:rsid w:val="00DD287D"/>
    <w:rsid w:val="00DD333A"/>
    <w:rsid w:val="00DD4061"/>
    <w:rsid w:val="00DD4DFB"/>
    <w:rsid w:val="00DE3015"/>
    <w:rsid w:val="00DE4CCC"/>
    <w:rsid w:val="00DE60AE"/>
    <w:rsid w:val="00DE6B09"/>
    <w:rsid w:val="00DF1D24"/>
    <w:rsid w:val="00E020A6"/>
    <w:rsid w:val="00E04110"/>
    <w:rsid w:val="00E056E8"/>
    <w:rsid w:val="00E07309"/>
    <w:rsid w:val="00E1114F"/>
    <w:rsid w:val="00E111FE"/>
    <w:rsid w:val="00E16418"/>
    <w:rsid w:val="00E164D1"/>
    <w:rsid w:val="00E24EE0"/>
    <w:rsid w:val="00E27E27"/>
    <w:rsid w:val="00E3095B"/>
    <w:rsid w:val="00E31DF4"/>
    <w:rsid w:val="00E32B78"/>
    <w:rsid w:val="00E34C43"/>
    <w:rsid w:val="00E42172"/>
    <w:rsid w:val="00E426E1"/>
    <w:rsid w:val="00E46C50"/>
    <w:rsid w:val="00E50390"/>
    <w:rsid w:val="00E51087"/>
    <w:rsid w:val="00E520D0"/>
    <w:rsid w:val="00E53722"/>
    <w:rsid w:val="00E54D1A"/>
    <w:rsid w:val="00E5743C"/>
    <w:rsid w:val="00E57E04"/>
    <w:rsid w:val="00E57F3C"/>
    <w:rsid w:val="00E73D09"/>
    <w:rsid w:val="00E777B7"/>
    <w:rsid w:val="00E82950"/>
    <w:rsid w:val="00E84628"/>
    <w:rsid w:val="00E862F3"/>
    <w:rsid w:val="00E90002"/>
    <w:rsid w:val="00E926A9"/>
    <w:rsid w:val="00E93A42"/>
    <w:rsid w:val="00E97BA6"/>
    <w:rsid w:val="00EA0D1D"/>
    <w:rsid w:val="00EA104B"/>
    <w:rsid w:val="00EA3922"/>
    <w:rsid w:val="00EA3C9E"/>
    <w:rsid w:val="00EA46B8"/>
    <w:rsid w:val="00EA7836"/>
    <w:rsid w:val="00EB013F"/>
    <w:rsid w:val="00EB1483"/>
    <w:rsid w:val="00EB1D70"/>
    <w:rsid w:val="00EB1EF7"/>
    <w:rsid w:val="00EB2DC7"/>
    <w:rsid w:val="00EB658D"/>
    <w:rsid w:val="00EC033F"/>
    <w:rsid w:val="00EC11D5"/>
    <w:rsid w:val="00EC3445"/>
    <w:rsid w:val="00EC35AB"/>
    <w:rsid w:val="00EC423D"/>
    <w:rsid w:val="00EC5C00"/>
    <w:rsid w:val="00EC6D21"/>
    <w:rsid w:val="00ED3D78"/>
    <w:rsid w:val="00ED6920"/>
    <w:rsid w:val="00ED69A7"/>
    <w:rsid w:val="00ED7D0F"/>
    <w:rsid w:val="00EE0FB4"/>
    <w:rsid w:val="00EE2143"/>
    <w:rsid w:val="00EE6BFA"/>
    <w:rsid w:val="00EF1892"/>
    <w:rsid w:val="00F01ED9"/>
    <w:rsid w:val="00F022DF"/>
    <w:rsid w:val="00F0778D"/>
    <w:rsid w:val="00F13C8D"/>
    <w:rsid w:val="00F17154"/>
    <w:rsid w:val="00F27699"/>
    <w:rsid w:val="00F27FCD"/>
    <w:rsid w:val="00F3186E"/>
    <w:rsid w:val="00F3419B"/>
    <w:rsid w:val="00F348E3"/>
    <w:rsid w:val="00F37ECB"/>
    <w:rsid w:val="00F40B63"/>
    <w:rsid w:val="00F43516"/>
    <w:rsid w:val="00F45DA6"/>
    <w:rsid w:val="00F46515"/>
    <w:rsid w:val="00F51443"/>
    <w:rsid w:val="00F514B5"/>
    <w:rsid w:val="00F548E5"/>
    <w:rsid w:val="00F54D1D"/>
    <w:rsid w:val="00F55A67"/>
    <w:rsid w:val="00F57B63"/>
    <w:rsid w:val="00F57B9A"/>
    <w:rsid w:val="00F57FC0"/>
    <w:rsid w:val="00F60F01"/>
    <w:rsid w:val="00F62AF0"/>
    <w:rsid w:val="00F64BB2"/>
    <w:rsid w:val="00F72DEE"/>
    <w:rsid w:val="00F75929"/>
    <w:rsid w:val="00F76CBB"/>
    <w:rsid w:val="00F806F2"/>
    <w:rsid w:val="00F82740"/>
    <w:rsid w:val="00F92645"/>
    <w:rsid w:val="00F9743C"/>
    <w:rsid w:val="00F97664"/>
    <w:rsid w:val="00FA0022"/>
    <w:rsid w:val="00FA2BF9"/>
    <w:rsid w:val="00FA6133"/>
    <w:rsid w:val="00FA77FD"/>
    <w:rsid w:val="00FA7D81"/>
    <w:rsid w:val="00FB06A7"/>
    <w:rsid w:val="00FB0D08"/>
    <w:rsid w:val="00FB30A5"/>
    <w:rsid w:val="00FB5994"/>
    <w:rsid w:val="00FB7788"/>
    <w:rsid w:val="00FC02D1"/>
    <w:rsid w:val="00FC04EF"/>
    <w:rsid w:val="00FC1495"/>
    <w:rsid w:val="00FC1EFD"/>
    <w:rsid w:val="00FC2233"/>
    <w:rsid w:val="00FC2642"/>
    <w:rsid w:val="00FD24DA"/>
    <w:rsid w:val="00FD2B91"/>
    <w:rsid w:val="00FD38F1"/>
    <w:rsid w:val="00FD3C75"/>
    <w:rsid w:val="00FD3E39"/>
    <w:rsid w:val="00FD7B2D"/>
    <w:rsid w:val="00FE3554"/>
    <w:rsid w:val="00FE59DE"/>
    <w:rsid w:val="00FF25F4"/>
    <w:rsid w:val="00FF5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52BC9"/>
  <w15:docId w15:val="{29A010FE-089D-4B25-B832-3447F64F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98"/>
    <w:rPr>
      <w:rFonts w:ascii="Arial" w:hAnsi="Arial" w:cs="Arial"/>
      <w:sz w:val="24"/>
      <w:szCs w:val="24"/>
      <w:u w:val="single"/>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A3"/>
    <w:pPr>
      <w:ind w:left="720"/>
      <w:contextualSpacing/>
    </w:pPr>
  </w:style>
  <w:style w:type="paragraph" w:styleId="BalloonText">
    <w:name w:val="Balloon Text"/>
    <w:basedOn w:val="Normal"/>
    <w:link w:val="BalloonTextChar"/>
    <w:rsid w:val="005B7423"/>
    <w:rPr>
      <w:rFonts w:ascii="Tahoma" w:hAnsi="Tahoma" w:cs="Tahoma"/>
      <w:sz w:val="16"/>
      <w:szCs w:val="16"/>
    </w:rPr>
  </w:style>
  <w:style w:type="character" w:customStyle="1" w:styleId="BalloonTextChar">
    <w:name w:val="Balloon Text Char"/>
    <w:basedOn w:val="DefaultParagraphFont"/>
    <w:link w:val="BalloonText"/>
    <w:rsid w:val="005B7423"/>
    <w:rPr>
      <w:rFonts w:ascii="Tahoma" w:hAnsi="Tahoma" w:cs="Tahoma"/>
      <w:sz w:val="16"/>
      <w:szCs w:val="16"/>
      <w:u w:val="single"/>
      <w:lang w:val="en-GB" w:eastAsia="en-GB"/>
    </w:rPr>
  </w:style>
  <w:style w:type="paragraph" w:styleId="Header">
    <w:name w:val="header"/>
    <w:basedOn w:val="Normal"/>
    <w:link w:val="HeaderChar"/>
    <w:uiPriority w:val="99"/>
    <w:rsid w:val="00BA7B3F"/>
    <w:pPr>
      <w:tabs>
        <w:tab w:val="center" w:pos="4513"/>
        <w:tab w:val="right" w:pos="9026"/>
      </w:tabs>
    </w:pPr>
  </w:style>
  <w:style w:type="character" w:customStyle="1" w:styleId="HeaderChar">
    <w:name w:val="Header Char"/>
    <w:basedOn w:val="DefaultParagraphFont"/>
    <w:link w:val="Header"/>
    <w:uiPriority w:val="99"/>
    <w:rsid w:val="00BA7B3F"/>
    <w:rPr>
      <w:rFonts w:ascii="Arial" w:hAnsi="Arial" w:cs="Arial"/>
      <w:sz w:val="24"/>
      <w:szCs w:val="24"/>
      <w:u w:val="single"/>
      <w:lang w:val="en-GB" w:eastAsia="en-GB"/>
    </w:rPr>
  </w:style>
  <w:style w:type="paragraph" w:styleId="Footer">
    <w:name w:val="footer"/>
    <w:basedOn w:val="Normal"/>
    <w:link w:val="FooterChar"/>
    <w:rsid w:val="00BA7B3F"/>
    <w:pPr>
      <w:tabs>
        <w:tab w:val="center" w:pos="4513"/>
        <w:tab w:val="right" w:pos="9026"/>
      </w:tabs>
    </w:pPr>
  </w:style>
  <w:style w:type="character" w:customStyle="1" w:styleId="FooterChar">
    <w:name w:val="Footer Char"/>
    <w:basedOn w:val="DefaultParagraphFont"/>
    <w:link w:val="Footer"/>
    <w:rsid w:val="00BA7B3F"/>
    <w:rPr>
      <w:rFonts w:ascii="Arial" w:hAnsi="Arial" w:cs="Arial"/>
      <w:sz w:val="24"/>
      <w:szCs w:val="24"/>
      <w:u w:val="single"/>
      <w:lang w:val="en-GB" w:eastAsia="en-GB"/>
    </w:rPr>
  </w:style>
  <w:style w:type="paragraph" w:customStyle="1" w:styleId="lg-annotation">
    <w:name w:val="lg-annotation"/>
    <w:basedOn w:val="Normal"/>
    <w:rsid w:val="00DB6302"/>
    <w:pPr>
      <w:spacing w:before="40"/>
      <w:ind w:left="567" w:right="567"/>
      <w:jc w:val="center"/>
    </w:pPr>
    <w:rPr>
      <w:rFonts w:ascii="Verdana" w:hAnsi="Verdana" w:cs="Times New Roman"/>
      <w:color w:val="000000"/>
      <w:sz w:val="16"/>
      <w:szCs w:val="16"/>
      <w:u w:val="none"/>
      <w:lang w:val="en-US" w:eastAsia="en-US"/>
    </w:rPr>
  </w:style>
  <w:style w:type="paragraph" w:customStyle="1" w:styleId="lg-section">
    <w:name w:val="lg-section"/>
    <w:basedOn w:val="Normal"/>
    <w:rsid w:val="00DB6302"/>
    <w:pPr>
      <w:spacing w:before="300"/>
      <w:ind w:firstLine="403"/>
      <w:jc w:val="both"/>
    </w:pPr>
    <w:rPr>
      <w:rFonts w:ascii="Verdana" w:hAnsi="Verdana" w:cs="Times New Roman"/>
      <w:color w:val="000000"/>
      <w:sz w:val="18"/>
      <w:szCs w:val="18"/>
      <w:u w:val="none"/>
      <w:lang w:val="en-US" w:eastAsia="en-US"/>
    </w:rPr>
  </w:style>
  <w:style w:type="paragraph" w:customStyle="1" w:styleId="ws-link">
    <w:name w:val="ws-link"/>
    <w:basedOn w:val="Normal"/>
    <w:rsid w:val="00DB6302"/>
    <w:pPr>
      <w:jc w:val="center"/>
    </w:pPr>
    <w:rPr>
      <w:rFonts w:ascii="Verdana" w:hAnsi="Verdana" w:cs="Times New Roman"/>
      <w:color w:val="000000"/>
      <w:sz w:val="18"/>
      <w:szCs w:val="18"/>
      <w:u w:val="none"/>
      <w:lang w:val="en-US" w:eastAsia="en-US"/>
    </w:rPr>
  </w:style>
  <w:style w:type="paragraph" w:customStyle="1" w:styleId="lg-para3">
    <w:name w:val="lg-para3"/>
    <w:basedOn w:val="Normal"/>
    <w:rsid w:val="00DB6302"/>
    <w:pPr>
      <w:spacing w:before="120"/>
      <w:ind w:firstLine="601"/>
      <w:jc w:val="both"/>
    </w:pPr>
    <w:rPr>
      <w:rFonts w:ascii="Verdana" w:hAnsi="Verdana" w:cs="Times New Roman"/>
      <w:color w:val="000000"/>
      <w:sz w:val="18"/>
      <w:szCs w:val="18"/>
      <w:u w:val="none"/>
      <w:lang w:val="en-US" w:eastAsia="en-US"/>
    </w:rPr>
  </w:style>
  <w:style w:type="paragraph" w:styleId="FootnoteText">
    <w:name w:val="footnote text"/>
    <w:basedOn w:val="Normal"/>
    <w:link w:val="FootnoteTextChar"/>
    <w:uiPriority w:val="99"/>
    <w:semiHidden/>
    <w:unhideWhenUsed/>
    <w:rsid w:val="00510EDF"/>
    <w:rPr>
      <w:sz w:val="20"/>
      <w:szCs w:val="20"/>
    </w:rPr>
  </w:style>
  <w:style w:type="character" w:customStyle="1" w:styleId="FootnoteTextChar">
    <w:name w:val="Footnote Text Char"/>
    <w:basedOn w:val="DefaultParagraphFont"/>
    <w:link w:val="FootnoteText"/>
    <w:uiPriority w:val="99"/>
    <w:semiHidden/>
    <w:rsid w:val="00510EDF"/>
    <w:rPr>
      <w:rFonts w:ascii="Arial" w:hAnsi="Arial" w:cs="Arial"/>
      <w:u w:val="single"/>
      <w:lang w:val="en-GB" w:eastAsia="en-GB"/>
    </w:rPr>
  </w:style>
  <w:style w:type="character" w:styleId="FootnoteReference">
    <w:name w:val="footnote reference"/>
    <w:basedOn w:val="DefaultParagraphFont"/>
    <w:uiPriority w:val="99"/>
    <w:semiHidden/>
    <w:unhideWhenUsed/>
    <w:rsid w:val="00510EDF"/>
    <w:rPr>
      <w:vertAlign w:val="superscript"/>
    </w:rPr>
  </w:style>
  <w:style w:type="character" w:styleId="Hyperlink">
    <w:name w:val="Hyperlink"/>
    <w:basedOn w:val="DefaultParagraphFont"/>
    <w:unhideWhenUsed/>
    <w:rsid w:val="00CE0FCA"/>
    <w:rPr>
      <w:color w:val="0000FF" w:themeColor="hyperlink"/>
      <w:u w:val="single"/>
    </w:rPr>
  </w:style>
  <w:style w:type="character" w:styleId="CommentReference">
    <w:name w:val="annotation reference"/>
    <w:basedOn w:val="DefaultParagraphFont"/>
    <w:semiHidden/>
    <w:unhideWhenUsed/>
    <w:rsid w:val="00C461F0"/>
    <w:rPr>
      <w:sz w:val="16"/>
      <w:szCs w:val="16"/>
    </w:rPr>
  </w:style>
  <w:style w:type="paragraph" w:styleId="CommentText">
    <w:name w:val="annotation text"/>
    <w:basedOn w:val="Normal"/>
    <w:link w:val="CommentTextChar"/>
    <w:semiHidden/>
    <w:unhideWhenUsed/>
    <w:rsid w:val="00C461F0"/>
    <w:rPr>
      <w:sz w:val="20"/>
      <w:szCs w:val="20"/>
    </w:rPr>
  </w:style>
  <w:style w:type="character" w:customStyle="1" w:styleId="CommentTextChar">
    <w:name w:val="Comment Text Char"/>
    <w:basedOn w:val="DefaultParagraphFont"/>
    <w:link w:val="CommentText"/>
    <w:semiHidden/>
    <w:rsid w:val="00C461F0"/>
    <w:rPr>
      <w:rFonts w:ascii="Arial" w:hAnsi="Arial" w:cs="Arial"/>
      <w:u w:val="single"/>
      <w:lang w:val="en-GB" w:eastAsia="en-GB"/>
    </w:rPr>
  </w:style>
  <w:style w:type="paragraph" w:styleId="CommentSubject">
    <w:name w:val="annotation subject"/>
    <w:basedOn w:val="CommentText"/>
    <w:next w:val="CommentText"/>
    <w:link w:val="CommentSubjectChar"/>
    <w:semiHidden/>
    <w:unhideWhenUsed/>
    <w:rsid w:val="00C461F0"/>
    <w:rPr>
      <w:b/>
      <w:bCs/>
    </w:rPr>
  </w:style>
  <w:style w:type="character" w:customStyle="1" w:styleId="CommentSubjectChar">
    <w:name w:val="Comment Subject Char"/>
    <w:basedOn w:val="CommentTextChar"/>
    <w:link w:val="CommentSubject"/>
    <w:semiHidden/>
    <w:rsid w:val="00C461F0"/>
    <w:rPr>
      <w:rFonts w:ascii="Arial" w:hAnsi="Arial" w:cs="Arial"/>
      <w:b/>
      <w:bCs/>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8834">
      <w:bodyDiv w:val="1"/>
      <w:marLeft w:val="0"/>
      <w:marRight w:val="0"/>
      <w:marTop w:val="0"/>
      <w:marBottom w:val="0"/>
      <w:divBdr>
        <w:top w:val="none" w:sz="0" w:space="0" w:color="auto"/>
        <w:left w:val="none" w:sz="0" w:space="0" w:color="auto"/>
        <w:bottom w:val="none" w:sz="0" w:space="0" w:color="auto"/>
        <w:right w:val="none" w:sz="0" w:space="0" w:color="auto"/>
      </w:divBdr>
    </w:div>
    <w:div w:id="2004628463">
      <w:bodyDiv w:val="1"/>
      <w:marLeft w:val="0"/>
      <w:marRight w:val="0"/>
      <w:marTop w:val="0"/>
      <w:marBottom w:val="0"/>
      <w:divBdr>
        <w:top w:val="none" w:sz="0" w:space="0" w:color="auto"/>
        <w:left w:val="none" w:sz="0" w:space="0" w:color="auto"/>
        <w:bottom w:val="none" w:sz="0" w:space="0" w:color="auto"/>
        <w:right w:val="none" w:sz="0" w:space="0" w:color="auto"/>
      </w:divBdr>
    </w:div>
    <w:div w:id="20249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409E.9324623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BD58B-CCCC-473F-96E6-BA0518A1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tmaponya</dc:creator>
  <cp:lastModifiedBy>Mokone</cp:lastModifiedBy>
  <cp:revision>5</cp:revision>
  <cp:lastPrinted>2022-11-19T08:10:00Z</cp:lastPrinted>
  <dcterms:created xsi:type="dcterms:W3CDTF">2022-11-30T07:03:00Z</dcterms:created>
  <dcterms:modified xsi:type="dcterms:W3CDTF">2022-11-30T07:19:00Z</dcterms:modified>
</cp:coreProperties>
</file>