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78" w:rsidRPr="007E384D" w:rsidRDefault="00AE6B78" w:rsidP="00FF0AC8">
      <w:pPr>
        <w:spacing w:after="0" w:line="360" w:lineRule="auto"/>
        <w:jc w:val="center"/>
        <w:rPr>
          <w:rFonts w:ascii="Arial" w:hAnsi="Arial" w:cs="Arial"/>
          <w:b/>
        </w:rPr>
      </w:pPr>
      <w:bookmarkStart w:id="0" w:name="_GoBack"/>
      <w:bookmarkEnd w:id="0"/>
      <w:r w:rsidRPr="007E384D">
        <w:rPr>
          <w:rFonts w:ascii="Arial" w:hAnsi="Arial" w:cs="Arial"/>
          <w:noProof/>
          <w:lang w:val="en-US"/>
        </w:rPr>
        <w:drawing>
          <wp:anchor distT="0" distB="0" distL="114300" distR="114300" simplePos="0" relativeHeight="251659264" behindDoc="0" locked="0" layoutInCell="1" allowOverlap="1" wp14:anchorId="5C7A8DBB" wp14:editId="649C29EE">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AE6B78" w:rsidRPr="007E384D" w:rsidRDefault="00AE6B78" w:rsidP="00FF0AC8">
      <w:pPr>
        <w:spacing w:after="0" w:line="360" w:lineRule="auto"/>
        <w:jc w:val="center"/>
        <w:rPr>
          <w:rFonts w:ascii="Arial" w:hAnsi="Arial" w:cs="Arial"/>
          <w:b/>
        </w:rPr>
      </w:pPr>
    </w:p>
    <w:p w:rsidR="00AE6B78" w:rsidRPr="007E384D" w:rsidRDefault="00AE6B78" w:rsidP="00FF0AC8">
      <w:pPr>
        <w:spacing w:after="0" w:line="360" w:lineRule="auto"/>
        <w:jc w:val="center"/>
        <w:rPr>
          <w:rFonts w:ascii="Arial" w:eastAsia="Times New Roman" w:hAnsi="Arial" w:cs="Arial"/>
          <w:b/>
          <w:lang w:eastAsia="en-GB"/>
        </w:rPr>
      </w:pPr>
      <w:r w:rsidRPr="007E384D">
        <w:rPr>
          <w:rFonts w:ascii="Arial" w:eastAsia="Times New Roman" w:hAnsi="Arial" w:cs="Arial"/>
          <w:b/>
          <w:lang w:eastAsia="en-GB"/>
        </w:rPr>
        <w:t>IN THE HIGH COURT OF SOUTH AFRICA</w:t>
      </w:r>
    </w:p>
    <w:p w:rsidR="00AE6B78" w:rsidRPr="007E384D" w:rsidRDefault="00AE6B78" w:rsidP="00FF0AC8">
      <w:pPr>
        <w:spacing w:after="0" w:line="360" w:lineRule="auto"/>
        <w:jc w:val="center"/>
        <w:rPr>
          <w:rFonts w:ascii="Arial" w:eastAsia="Times New Roman" w:hAnsi="Arial" w:cs="Arial"/>
          <w:b/>
          <w:lang w:eastAsia="en-GB"/>
        </w:rPr>
      </w:pPr>
      <w:r w:rsidRPr="007E384D">
        <w:rPr>
          <w:rFonts w:ascii="Arial" w:eastAsia="Times New Roman" w:hAnsi="Arial" w:cs="Arial"/>
          <w:b/>
          <w:lang w:eastAsia="en-GB"/>
        </w:rPr>
        <w:t>(GAUTENG DIVISION, PRETORIA)</w:t>
      </w:r>
    </w:p>
    <w:p w:rsidR="00AE6B78" w:rsidRPr="00390CA1" w:rsidRDefault="00AE6B78" w:rsidP="00FF0AC8">
      <w:pPr>
        <w:spacing w:after="0" w:line="360" w:lineRule="auto"/>
        <w:rPr>
          <w:rFonts w:ascii="Arial" w:eastAsia="Times New Roman" w:hAnsi="Arial" w:cs="Arial"/>
          <w:b/>
          <w:sz w:val="20"/>
          <w:szCs w:val="20"/>
          <w:lang w:eastAsia="en-GB"/>
        </w:rPr>
      </w:pPr>
    </w:p>
    <w:p w:rsidR="00AE6B78" w:rsidRPr="007E384D" w:rsidRDefault="00AE6B78" w:rsidP="00FF0AC8">
      <w:pPr>
        <w:pStyle w:val="NormalWeb"/>
        <w:spacing w:before="0" w:beforeAutospacing="0" w:after="0" w:afterAutospacing="0" w:line="360" w:lineRule="auto"/>
        <w:ind w:left="4320"/>
        <w:rPr>
          <w:rFonts w:ascii="Arial" w:hAnsi="Arial" w:cs="Arial"/>
          <w:sz w:val="22"/>
          <w:szCs w:val="22"/>
        </w:rPr>
      </w:pPr>
      <w:r>
        <w:rPr>
          <w:rFonts w:ascii="Arial" w:eastAsia="Calibri" w:hAnsi="Arial" w:cs="Arial"/>
          <w:b/>
          <w:sz w:val="22"/>
          <w:szCs w:val="22"/>
        </w:rPr>
        <w:t xml:space="preserve">                    </w:t>
      </w:r>
      <w:r w:rsidRPr="007E384D">
        <w:rPr>
          <w:rFonts w:ascii="Arial" w:eastAsia="Calibri" w:hAnsi="Arial" w:cs="Arial"/>
          <w:b/>
          <w:sz w:val="22"/>
          <w:szCs w:val="22"/>
        </w:rPr>
        <w:t>Case Number</w:t>
      </w:r>
      <w:r w:rsidRPr="007E384D">
        <w:rPr>
          <w:rFonts w:ascii="Arial" w:eastAsia="Calibri" w:hAnsi="Arial" w:cs="Arial"/>
          <w:sz w:val="22"/>
          <w:szCs w:val="22"/>
        </w:rPr>
        <w:t xml:space="preserve">: </w:t>
      </w:r>
      <w:r>
        <w:rPr>
          <w:rFonts w:ascii="Arial" w:eastAsia="Calibri" w:hAnsi="Arial" w:cs="Arial"/>
          <w:noProof/>
          <w:sz w:val="22"/>
          <w:szCs w:val="22"/>
        </w:rPr>
        <w:t>92792/2019</w:t>
      </w:r>
    </w:p>
    <w:p w:rsidR="00AE6B78" w:rsidRPr="00390CA1" w:rsidRDefault="00AE6B78" w:rsidP="00FF0AC8">
      <w:pPr>
        <w:pStyle w:val="NormalWeb"/>
        <w:spacing w:before="0" w:beforeAutospacing="0" w:after="0" w:afterAutospacing="0" w:line="360" w:lineRule="auto"/>
        <w:ind w:left="5760" w:firstLine="720"/>
        <w:rPr>
          <w:rFonts w:ascii="Arial" w:hAnsi="Arial" w:cs="Arial"/>
        </w:rPr>
      </w:pPr>
      <w:r w:rsidRPr="00390CA1">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560177FC" wp14:editId="1164E74D">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382F33" w:rsidRDefault="00382F33" w:rsidP="00AE6B78">
                            <w:pPr>
                              <w:jc w:val="center"/>
                              <w:rPr>
                                <w:rFonts w:ascii="Century Gothic" w:hAnsi="Century Gothic"/>
                                <w:b/>
                                <w:sz w:val="2"/>
                                <w:szCs w:val="18"/>
                              </w:rPr>
                            </w:pPr>
                          </w:p>
                          <w:p w:rsidR="00382F33" w:rsidRDefault="00382F33" w:rsidP="00AE6B78">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382F33" w:rsidRDefault="00382F33" w:rsidP="00AE6B78">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382F33" w:rsidRDefault="00382F33" w:rsidP="00AE6B78">
                            <w:pPr>
                              <w:rPr>
                                <w:rFonts w:ascii="Century Gothic" w:hAnsi="Century Gothic"/>
                                <w:b/>
                                <w:sz w:val="18"/>
                                <w:szCs w:val="18"/>
                              </w:rPr>
                            </w:pPr>
                          </w:p>
                          <w:p w:rsidR="00382F33" w:rsidRDefault="00382F33" w:rsidP="00AE6B78">
                            <w:pPr>
                              <w:rPr>
                                <w:rFonts w:ascii="Century Gothic" w:hAnsi="Century Gothic"/>
                                <w:b/>
                                <w:sz w:val="18"/>
                                <w:szCs w:val="18"/>
                              </w:rPr>
                            </w:pPr>
                            <w:r>
                              <w:rPr>
                                <w:rFonts w:ascii="Century Gothic" w:hAnsi="Century Gothic"/>
                                <w:b/>
                                <w:sz w:val="18"/>
                                <w:szCs w:val="18"/>
                              </w:rPr>
                              <w:t xml:space="preserve"> …………..………….............</w:t>
                            </w:r>
                          </w:p>
                          <w:p w:rsidR="00382F33" w:rsidRDefault="00382F33" w:rsidP="00AE6B78">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25 NOVEMBER 2022 </w:t>
                            </w:r>
                          </w:p>
                          <w:p w:rsidR="00382F33" w:rsidRDefault="00382F33" w:rsidP="00AE6B7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0177FC"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382F33" w:rsidRDefault="00382F33" w:rsidP="00AE6B78">
                      <w:pPr>
                        <w:jc w:val="center"/>
                        <w:rPr>
                          <w:rFonts w:ascii="Century Gothic" w:hAnsi="Century Gothic"/>
                          <w:b/>
                          <w:sz w:val="2"/>
                          <w:szCs w:val="18"/>
                        </w:rPr>
                      </w:pPr>
                    </w:p>
                    <w:p w:rsidR="00382F33" w:rsidRDefault="00382F33" w:rsidP="00AE6B78">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382F33" w:rsidRDefault="00382F33" w:rsidP="00AE6B78">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382F33" w:rsidRDefault="00382F33" w:rsidP="00AE6B78">
                      <w:pPr>
                        <w:rPr>
                          <w:rFonts w:ascii="Century Gothic" w:hAnsi="Century Gothic"/>
                          <w:b/>
                          <w:sz w:val="18"/>
                          <w:szCs w:val="18"/>
                        </w:rPr>
                      </w:pPr>
                    </w:p>
                    <w:p w:rsidR="00382F33" w:rsidRDefault="00382F33" w:rsidP="00AE6B78">
                      <w:pPr>
                        <w:rPr>
                          <w:rFonts w:ascii="Century Gothic" w:hAnsi="Century Gothic"/>
                          <w:b/>
                          <w:sz w:val="18"/>
                          <w:szCs w:val="18"/>
                        </w:rPr>
                      </w:pPr>
                      <w:r>
                        <w:rPr>
                          <w:rFonts w:ascii="Century Gothic" w:hAnsi="Century Gothic"/>
                          <w:b/>
                          <w:sz w:val="18"/>
                          <w:szCs w:val="18"/>
                        </w:rPr>
                        <w:t xml:space="preserve"> …………..………….............</w:t>
                      </w:r>
                    </w:p>
                    <w:p w:rsidR="00382F33" w:rsidRDefault="00382F33" w:rsidP="00AE6B78">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25 NOVEMBER 2022 </w:t>
                      </w:r>
                    </w:p>
                    <w:p w:rsidR="00382F33" w:rsidRDefault="00382F33" w:rsidP="00AE6B78">
                      <w:pPr>
                        <w:rPr>
                          <w:rFonts w:ascii="Century Gothic" w:hAnsi="Century Gothic"/>
                          <w:b/>
                          <w:sz w:val="2"/>
                          <w:szCs w:val="18"/>
                        </w:rPr>
                      </w:pPr>
                    </w:p>
                  </w:txbxContent>
                </v:textbox>
              </v:shape>
            </w:pict>
          </mc:Fallback>
        </mc:AlternateContent>
      </w:r>
    </w:p>
    <w:p w:rsidR="00AE6B78" w:rsidRPr="00390CA1" w:rsidRDefault="00AE6B78" w:rsidP="00FF0AC8">
      <w:pPr>
        <w:pStyle w:val="NormalWeb"/>
        <w:spacing w:before="0" w:beforeAutospacing="0" w:after="0" w:afterAutospacing="0" w:line="360" w:lineRule="auto"/>
        <w:ind w:left="5760" w:firstLine="720"/>
        <w:rPr>
          <w:rFonts w:ascii="Arial" w:hAnsi="Arial" w:cs="Arial"/>
        </w:rPr>
      </w:pPr>
    </w:p>
    <w:p w:rsidR="00AE6B78" w:rsidRPr="00390CA1" w:rsidRDefault="00AE6B78" w:rsidP="00FF0AC8">
      <w:pPr>
        <w:spacing w:after="0" w:line="360" w:lineRule="auto"/>
        <w:jc w:val="center"/>
        <w:rPr>
          <w:rFonts w:ascii="Arial" w:hAnsi="Arial" w:cs="Arial"/>
          <w:b/>
          <w:sz w:val="20"/>
          <w:szCs w:val="20"/>
        </w:rPr>
      </w:pPr>
    </w:p>
    <w:p w:rsidR="00AE6B78" w:rsidRPr="00390CA1" w:rsidRDefault="00AE6B78" w:rsidP="00FF0AC8">
      <w:pPr>
        <w:spacing w:after="0" w:line="360" w:lineRule="auto"/>
        <w:jc w:val="center"/>
        <w:rPr>
          <w:rFonts w:ascii="Arial" w:hAnsi="Arial" w:cs="Arial"/>
          <w:b/>
          <w:sz w:val="20"/>
          <w:szCs w:val="20"/>
        </w:rPr>
      </w:pPr>
    </w:p>
    <w:p w:rsidR="00AE6B78" w:rsidRDefault="00AE6B78" w:rsidP="00FF0AC8">
      <w:pPr>
        <w:pStyle w:val="NormalWeb"/>
        <w:spacing w:before="0" w:beforeAutospacing="0" w:after="0" w:afterAutospacing="0" w:line="360" w:lineRule="auto"/>
        <w:jc w:val="center"/>
        <w:rPr>
          <w:rFonts w:ascii="Arial" w:eastAsia="Calibri" w:hAnsi="Arial" w:cs="Arial"/>
          <w:b/>
        </w:rPr>
      </w:pPr>
      <w:r w:rsidRPr="00390CA1">
        <w:rPr>
          <w:rFonts w:ascii="Arial" w:eastAsia="Calibri" w:hAnsi="Arial" w:cs="Arial"/>
          <w:b/>
        </w:rPr>
        <w:t xml:space="preserve">   </w:t>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r w:rsidRPr="00390CA1">
        <w:rPr>
          <w:rFonts w:ascii="Arial" w:eastAsia="Calibri" w:hAnsi="Arial" w:cs="Arial"/>
          <w:b/>
        </w:rPr>
        <w:tab/>
      </w:r>
    </w:p>
    <w:p w:rsidR="00FF0AC8" w:rsidRDefault="00FF0AC8" w:rsidP="00FF0AC8">
      <w:pPr>
        <w:pStyle w:val="NormalWeb"/>
        <w:spacing w:before="0" w:beforeAutospacing="0" w:after="0" w:afterAutospacing="0" w:line="360" w:lineRule="auto"/>
        <w:jc w:val="center"/>
        <w:rPr>
          <w:rFonts w:ascii="Arial" w:eastAsia="Calibri" w:hAnsi="Arial" w:cs="Arial"/>
          <w:b/>
        </w:rPr>
      </w:pPr>
    </w:p>
    <w:p w:rsidR="00FF0AC8" w:rsidRDefault="00FF0AC8" w:rsidP="00FF0AC8">
      <w:pPr>
        <w:pStyle w:val="NormalWeb"/>
        <w:spacing w:before="0" w:beforeAutospacing="0" w:after="0" w:afterAutospacing="0" w:line="360" w:lineRule="auto"/>
        <w:jc w:val="center"/>
        <w:rPr>
          <w:rFonts w:ascii="Arial" w:eastAsia="Calibri" w:hAnsi="Arial" w:cs="Arial"/>
          <w:b/>
        </w:rPr>
      </w:pPr>
    </w:p>
    <w:p w:rsidR="00AE6B78" w:rsidRDefault="00AE6B78" w:rsidP="00FF0AC8">
      <w:pPr>
        <w:pStyle w:val="NormalWeb"/>
        <w:spacing w:before="0" w:beforeAutospacing="0" w:after="0" w:afterAutospacing="0" w:line="360" w:lineRule="auto"/>
        <w:rPr>
          <w:rFonts w:ascii="Arial" w:hAnsi="Arial" w:cs="Arial"/>
        </w:rPr>
      </w:pPr>
      <w:r w:rsidRPr="00390CA1">
        <w:rPr>
          <w:rFonts w:ascii="Arial" w:hAnsi="Arial" w:cs="Arial"/>
        </w:rPr>
        <w:t xml:space="preserve">In the matter between: </w:t>
      </w:r>
    </w:p>
    <w:p w:rsidR="002D03D7" w:rsidRPr="00390CA1" w:rsidRDefault="002D03D7" w:rsidP="00FF0AC8">
      <w:pPr>
        <w:pStyle w:val="NormalWeb"/>
        <w:spacing w:before="0" w:beforeAutospacing="0" w:after="0" w:afterAutospacing="0" w:line="360" w:lineRule="auto"/>
        <w:rPr>
          <w:rFonts w:ascii="Arial" w:eastAsia="Calibri" w:hAnsi="Arial" w:cs="Arial"/>
          <w:b/>
        </w:rPr>
      </w:pPr>
    </w:p>
    <w:p w:rsidR="00AE6B78" w:rsidRDefault="00AE6B78" w:rsidP="001378CE">
      <w:pPr>
        <w:tabs>
          <w:tab w:val="right" w:pos="8222"/>
        </w:tabs>
        <w:spacing w:after="0" w:line="360" w:lineRule="auto"/>
        <w:rPr>
          <w:rFonts w:ascii="Arial" w:hAnsi="Arial" w:cs="Arial"/>
        </w:rPr>
      </w:pPr>
      <w:r>
        <w:rPr>
          <w:rFonts w:ascii="Arial" w:hAnsi="Arial" w:cs="Arial"/>
        </w:rPr>
        <w:t>CASTING, FORGING AND MACHINING                                                                 CLUSTER OF SOUTH AFRICA (NPC)</w:t>
      </w:r>
      <w:r>
        <w:rPr>
          <w:rFonts w:ascii="Arial" w:hAnsi="Arial" w:cs="Arial"/>
        </w:rPr>
        <w:tab/>
        <w:t xml:space="preserve">FIRST </w:t>
      </w:r>
      <w:r w:rsidRPr="005733DB">
        <w:rPr>
          <w:rFonts w:ascii="Arial" w:hAnsi="Arial" w:cs="Arial"/>
        </w:rPr>
        <w:t>APPLICANT</w:t>
      </w:r>
    </w:p>
    <w:p w:rsidR="00AE6B78" w:rsidRDefault="00AE6B78" w:rsidP="002D03D7">
      <w:pPr>
        <w:tabs>
          <w:tab w:val="right" w:pos="8222"/>
        </w:tabs>
        <w:spacing w:after="0" w:line="360" w:lineRule="auto"/>
        <w:rPr>
          <w:rFonts w:ascii="Arial" w:hAnsi="Arial" w:cs="Arial"/>
        </w:rPr>
      </w:pPr>
      <w:r>
        <w:rPr>
          <w:rFonts w:ascii="Arial" w:hAnsi="Arial" w:cs="Arial"/>
        </w:rPr>
        <w:t>SCAW SOUTH AFRICA (PTY) LTD</w:t>
      </w:r>
      <w:r>
        <w:rPr>
          <w:rFonts w:ascii="Arial" w:hAnsi="Arial" w:cs="Arial"/>
        </w:rPr>
        <w:tab/>
        <w:t>SECOND APPLICANT</w:t>
      </w:r>
    </w:p>
    <w:p w:rsidR="00AE6B78" w:rsidRDefault="00AE6B78" w:rsidP="002D03D7">
      <w:pPr>
        <w:tabs>
          <w:tab w:val="right" w:pos="8222"/>
        </w:tabs>
        <w:spacing w:after="0" w:line="360" w:lineRule="auto"/>
        <w:rPr>
          <w:rFonts w:ascii="Arial" w:hAnsi="Arial" w:cs="Arial"/>
        </w:rPr>
      </w:pPr>
      <w:r>
        <w:rPr>
          <w:rFonts w:ascii="Arial" w:hAnsi="Arial" w:cs="Arial"/>
        </w:rPr>
        <w:t>DUNROSE TRADING 57 (PTY) LTD</w:t>
      </w:r>
      <w:r>
        <w:rPr>
          <w:rFonts w:ascii="Arial" w:hAnsi="Arial" w:cs="Arial"/>
        </w:rPr>
        <w:tab/>
        <w:t xml:space="preserve">THIRD </w:t>
      </w:r>
      <w:r w:rsidRPr="006C54ED">
        <w:rPr>
          <w:rFonts w:ascii="Arial" w:hAnsi="Arial" w:cs="Arial"/>
        </w:rPr>
        <w:t>APPLICANT</w:t>
      </w:r>
    </w:p>
    <w:p w:rsidR="00AE6B78" w:rsidRDefault="00AE6B78" w:rsidP="002D03D7">
      <w:pPr>
        <w:tabs>
          <w:tab w:val="right" w:pos="8222"/>
        </w:tabs>
        <w:spacing w:after="0" w:line="360" w:lineRule="auto"/>
        <w:rPr>
          <w:rFonts w:ascii="Arial" w:hAnsi="Arial" w:cs="Arial"/>
        </w:rPr>
      </w:pPr>
      <w:r>
        <w:rPr>
          <w:rFonts w:ascii="Arial" w:hAnsi="Arial" w:cs="Arial"/>
        </w:rPr>
        <w:t>INTERNATIONAL WIRE CONVERTORS (PTY) LTD</w:t>
      </w:r>
      <w:r>
        <w:rPr>
          <w:rFonts w:ascii="Arial" w:hAnsi="Arial" w:cs="Arial"/>
        </w:rPr>
        <w:tab/>
        <w:t xml:space="preserve">FOURTH </w:t>
      </w:r>
      <w:r w:rsidRPr="006C54ED">
        <w:rPr>
          <w:rFonts w:ascii="Arial" w:hAnsi="Arial" w:cs="Arial"/>
        </w:rPr>
        <w:t>APPLICANT</w:t>
      </w:r>
    </w:p>
    <w:p w:rsidR="002D03D7" w:rsidRDefault="00AE6B78" w:rsidP="002D03D7">
      <w:pPr>
        <w:tabs>
          <w:tab w:val="right" w:pos="8222"/>
        </w:tabs>
        <w:spacing w:after="0" w:line="360" w:lineRule="auto"/>
        <w:rPr>
          <w:rFonts w:ascii="Arial" w:hAnsi="Arial" w:cs="Arial"/>
        </w:rPr>
      </w:pPr>
      <w:r>
        <w:rPr>
          <w:rFonts w:ascii="Arial" w:hAnsi="Arial" w:cs="Arial"/>
        </w:rPr>
        <w:t>ABRACON PROPERTY 1 (PTY) LTD</w:t>
      </w:r>
      <w:r>
        <w:rPr>
          <w:rFonts w:ascii="Arial" w:hAnsi="Arial" w:cs="Arial"/>
        </w:rPr>
        <w:tab/>
        <w:t>FIFTH APPLICANT</w:t>
      </w:r>
    </w:p>
    <w:p w:rsidR="00AE6B78" w:rsidRPr="005733DB" w:rsidRDefault="00AE6B78" w:rsidP="002D03D7">
      <w:pPr>
        <w:tabs>
          <w:tab w:val="right" w:pos="8222"/>
        </w:tabs>
        <w:spacing w:after="0" w:line="360" w:lineRule="auto"/>
        <w:rPr>
          <w:rFonts w:ascii="Arial" w:hAnsi="Arial" w:cs="Arial"/>
        </w:rPr>
      </w:pPr>
    </w:p>
    <w:p w:rsidR="00AE6B78" w:rsidRDefault="00AE6B78" w:rsidP="002D03D7">
      <w:pPr>
        <w:tabs>
          <w:tab w:val="right" w:pos="8222"/>
        </w:tabs>
        <w:spacing w:after="0" w:line="360" w:lineRule="auto"/>
        <w:rPr>
          <w:rFonts w:ascii="Arial" w:hAnsi="Arial" w:cs="Arial"/>
        </w:rPr>
      </w:pPr>
      <w:r>
        <w:rPr>
          <w:rFonts w:ascii="Arial" w:hAnsi="Arial" w:cs="Arial"/>
        </w:rPr>
        <w:t>a</w:t>
      </w:r>
      <w:r w:rsidRPr="005733DB">
        <w:rPr>
          <w:rFonts w:ascii="Arial" w:hAnsi="Arial" w:cs="Arial"/>
        </w:rPr>
        <w:t>nd</w:t>
      </w:r>
      <w:r>
        <w:rPr>
          <w:rFonts w:ascii="Arial" w:hAnsi="Arial" w:cs="Arial"/>
        </w:rPr>
        <w:t xml:space="preserve">        </w:t>
      </w:r>
    </w:p>
    <w:p w:rsidR="00AE6B78" w:rsidRPr="005733DB" w:rsidRDefault="00AE6B78" w:rsidP="002D03D7">
      <w:pPr>
        <w:tabs>
          <w:tab w:val="right" w:pos="8222"/>
        </w:tabs>
        <w:spacing w:after="0" w:line="360" w:lineRule="auto"/>
        <w:rPr>
          <w:rFonts w:ascii="Arial" w:hAnsi="Arial" w:cs="Arial"/>
        </w:rPr>
      </w:pPr>
    </w:p>
    <w:p w:rsidR="00AE6B78" w:rsidRPr="005733DB" w:rsidRDefault="00AE6B78" w:rsidP="002D03D7">
      <w:pPr>
        <w:tabs>
          <w:tab w:val="right" w:pos="8222"/>
        </w:tabs>
        <w:spacing w:after="0" w:line="360" w:lineRule="auto"/>
        <w:rPr>
          <w:rFonts w:ascii="Arial" w:hAnsi="Arial" w:cs="Arial"/>
        </w:rPr>
      </w:pPr>
      <w:r>
        <w:rPr>
          <w:rFonts w:ascii="Arial" w:hAnsi="Arial" w:cs="Arial"/>
        </w:rPr>
        <w:t>NATIONAL ENERGY REGULATOR OF SA</w:t>
      </w:r>
      <w:r>
        <w:rPr>
          <w:rFonts w:ascii="Arial" w:hAnsi="Arial" w:cs="Arial"/>
        </w:rPr>
        <w:tab/>
        <w:t>FIRST RESPONDENT</w:t>
      </w:r>
    </w:p>
    <w:p w:rsidR="00AE6B78" w:rsidRPr="005733DB" w:rsidRDefault="00AE6B78" w:rsidP="002D03D7">
      <w:pPr>
        <w:tabs>
          <w:tab w:val="right" w:pos="8222"/>
        </w:tabs>
        <w:spacing w:after="0" w:line="360" w:lineRule="auto"/>
        <w:rPr>
          <w:rFonts w:ascii="Arial" w:hAnsi="Arial" w:cs="Arial"/>
        </w:rPr>
      </w:pPr>
      <w:r>
        <w:rPr>
          <w:rFonts w:ascii="Arial" w:hAnsi="Arial" w:cs="Arial"/>
        </w:rPr>
        <w:t>CITY POWER SOC LTD</w:t>
      </w:r>
      <w:r>
        <w:rPr>
          <w:rFonts w:ascii="Arial" w:hAnsi="Arial" w:cs="Arial"/>
        </w:rPr>
        <w:tab/>
        <w:t xml:space="preserve">SECOND RESPONDENT </w:t>
      </w:r>
    </w:p>
    <w:p w:rsidR="002D03D7" w:rsidRDefault="00AE6B78" w:rsidP="002D03D7">
      <w:pPr>
        <w:tabs>
          <w:tab w:val="right" w:pos="8222"/>
        </w:tabs>
        <w:spacing w:after="0" w:line="360" w:lineRule="auto"/>
        <w:rPr>
          <w:rFonts w:ascii="Arial" w:hAnsi="Arial" w:cs="Arial"/>
        </w:rPr>
      </w:pPr>
      <w:r>
        <w:rPr>
          <w:rFonts w:ascii="Arial" w:hAnsi="Arial" w:cs="Arial"/>
        </w:rPr>
        <w:t>CITY OF JOHANNESBURG</w:t>
      </w:r>
      <w:r>
        <w:rPr>
          <w:rFonts w:ascii="Arial" w:hAnsi="Arial" w:cs="Arial"/>
        </w:rPr>
        <w:tab/>
      </w:r>
    </w:p>
    <w:p w:rsidR="002D03D7" w:rsidRDefault="00AE6B78" w:rsidP="00917D2E">
      <w:pPr>
        <w:tabs>
          <w:tab w:val="right" w:pos="8222"/>
        </w:tabs>
        <w:spacing w:after="0" w:line="360" w:lineRule="auto"/>
        <w:rPr>
          <w:rFonts w:ascii="Arial" w:hAnsi="Arial" w:cs="Arial"/>
        </w:rPr>
      </w:pPr>
      <w:r>
        <w:rPr>
          <w:rFonts w:ascii="Arial" w:hAnsi="Arial" w:cs="Arial"/>
        </w:rPr>
        <w:t>METROPOLITAN MUNICIPALITY</w:t>
      </w:r>
      <w:r>
        <w:rPr>
          <w:rFonts w:ascii="Arial" w:hAnsi="Arial" w:cs="Arial"/>
        </w:rPr>
        <w:tab/>
        <w:t>THIRD RESPONDENT</w:t>
      </w:r>
    </w:p>
    <w:p w:rsidR="00AE6B78" w:rsidRPr="00FF0AC8" w:rsidRDefault="00AE6B78" w:rsidP="00FF0AC8">
      <w:pPr>
        <w:pStyle w:val="NormalWeb"/>
        <w:spacing w:before="0" w:beforeAutospacing="0" w:after="0" w:afterAutospacing="0" w:line="360" w:lineRule="auto"/>
        <w:rPr>
          <w:rFonts w:ascii="Arial" w:hAnsi="Arial" w:cs="Arial"/>
          <w:b/>
        </w:rPr>
      </w:pPr>
      <w:r w:rsidRPr="00FF0AC8">
        <w:rPr>
          <w:rFonts w:ascii="Arial" w:hAnsi="Arial" w:cs="Arial"/>
          <w:b/>
        </w:rPr>
        <w:t>______________________________________________________________</w:t>
      </w:r>
    </w:p>
    <w:p w:rsidR="002D03D7" w:rsidRDefault="002D03D7" w:rsidP="00FF0AC8">
      <w:pPr>
        <w:pStyle w:val="NormalWeb"/>
        <w:pBdr>
          <w:bottom w:val="single" w:sz="12" w:space="1" w:color="auto"/>
        </w:pBdr>
        <w:spacing w:before="0" w:beforeAutospacing="0" w:after="0" w:afterAutospacing="0" w:line="360" w:lineRule="auto"/>
        <w:jc w:val="center"/>
        <w:rPr>
          <w:rFonts w:ascii="Arial" w:hAnsi="Arial" w:cs="Arial"/>
          <w:b/>
        </w:rPr>
      </w:pPr>
    </w:p>
    <w:p w:rsidR="00AE6B78" w:rsidRDefault="00AE6B78" w:rsidP="00FF0AC8">
      <w:pPr>
        <w:pStyle w:val="NormalWeb"/>
        <w:pBdr>
          <w:bottom w:val="single" w:sz="12" w:space="1" w:color="auto"/>
        </w:pBdr>
        <w:spacing w:before="0" w:beforeAutospacing="0" w:after="0" w:afterAutospacing="0" w:line="360" w:lineRule="auto"/>
        <w:jc w:val="center"/>
        <w:rPr>
          <w:rFonts w:ascii="Arial" w:hAnsi="Arial" w:cs="Arial"/>
          <w:b/>
        </w:rPr>
      </w:pPr>
      <w:r w:rsidRPr="0055013A">
        <w:rPr>
          <w:rFonts w:ascii="Arial" w:hAnsi="Arial" w:cs="Arial"/>
          <w:b/>
        </w:rPr>
        <w:t>JUDGMENT</w:t>
      </w:r>
    </w:p>
    <w:p w:rsidR="002D03D7" w:rsidRPr="0055013A" w:rsidRDefault="002D03D7" w:rsidP="00FF0AC8">
      <w:pPr>
        <w:pStyle w:val="NormalWeb"/>
        <w:pBdr>
          <w:bottom w:val="single" w:sz="12" w:space="1" w:color="auto"/>
        </w:pBdr>
        <w:spacing w:before="0" w:beforeAutospacing="0" w:after="0" w:afterAutospacing="0" w:line="360" w:lineRule="auto"/>
        <w:jc w:val="center"/>
        <w:rPr>
          <w:rFonts w:ascii="Arial" w:hAnsi="Arial" w:cs="Arial"/>
          <w:b/>
        </w:rPr>
      </w:pPr>
    </w:p>
    <w:p w:rsidR="00AE6B78" w:rsidRPr="00917D2E" w:rsidRDefault="00AE6B78" w:rsidP="00FF0AC8">
      <w:pPr>
        <w:spacing w:after="0" w:line="360" w:lineRule="auto"/>
        <w:jc w:val="both"/>
        <w:rPr>
          <w:rFonts w:ascii="Arial" w:hAnsi="Arial" w:cs="Arial"/>
        </w:rPr>
      </w:pPr>
      <w:r>
        <w:rPr>
          <w:rFonts w:ascii="Arial" w:hAnsi="Arial" w:cs="Arial"/>
          <w:b/>
        </w:rPr>
        <w:t>KUBUSHI J</w:t>
      </w:r>
    </w:p>
    <w:p w:rsidR="00C41BBC" w:rsidRPr="00DC27BC" w:rsidRDefault="00C41BBC" w:rsidP="00917D2E">
      <w:pPr>
        <w:spacing w:line="360" w:lineRule="auto"/>
        <w:jc w:val="both"/>
        <w:rPr>
          <w:rFonts w:ascii="Arial" w:hAnsi="Arial" w:cs="Arial"/>
          <w:b/>
          <w:color w:val="000000"/>
          <w:sz w:val="24"/>
          <w:szCs w:val="24"/>
        </w:rPr>
      </w:pPr>
      <w:r w:rsidRPr="00DC27BC">
        <w:rPr>
          <w:rFonts w:ascii="Arial" w:hAnsi="Arial" w:cs="Arial"/>
          <w:b/>
          <w:color w:val="000000"/>
          <w:sz w:val="24"/>
          <w:szCs w:val="24"/>
        </w:rPr>
        <w:lastRenderedPageBreak/>
        <w:t>INTRODUCTION</w:t>
      </w: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 xml:space="preserve">This application relates to the municipal electricity tariffs (‘the tariffs”) that were approved by the </w:t>
      </w:r>
      <w:r w:rsidRPr="00334D8D">
        <w:rPr>
          <w:rFonts w:ascii="Arial" w:hAnsi="Arial" w:cs="Arial"/>
          <w:color w:val="000000"/>
          <w:sz w:val="24"/>
          <w:szCs w:val="24"/>
        </w:rPr>
        <w:t>First Respondent</w:t>
      </w:r>
      <w:r>
        <w:rPr>
          <w:rFonts w:ascii="Arial" w:hAnsi="Arial" w:cs="Arial"/>
          <w:color w:val="000000"/>
          <w:sz w:val="24"/>
          <w:szCs w:val="24"/>
        </w:rPr>
        <w:t>, the NATIONAL ENERGY REGULATOR OF SOUTH AFRICA,</w:t>
      </w:r>
      <w:r w:rsidRPr="00334D8D">
        <w:rPr>
          <w:rFonts w:ascii="Arial" w:hAnsi="Arial" w:cs="Arial"/>
          <w:color w:val="000000"/>
          <w:sz w:val="24"/>
          <w:szCs w:val="24"/>
        </w:rPr>
        <w:t xml:space="preserve"> ("NERSA") </w:t>
      </w:r>
      <w:r>
        <w:rPr>
          <w:rFonts w:ascii="Arial" w:hAnsi="Arial" w:cs="Arial"/>
          <w:color w:val="000000"/>
          <w:sz w:val="24"/>
          <w:szCs w:val="24"/>
        </w:rPr>
        <w:t xml:space="preserve">in respect of </w:t>
      </w:r>
      <w:r w:rsidRPr="00334D8D">
        <w:rPr>
          <w:rFonts w:ascii="Arial" w:hAnsi="Arial" w:cs="Arial"/>
          <w:color w:val="000000"/>
          <w:sz w:val="24"/>
          <w:szCs w:val="24"/>
        </w:rPr>
        <w:t>the S</w:t>
      </w:r>
      <w:r>
        <w:rPr>
          <w:rFonts w:ascii="Arial" w:hAnsi="Arial" w:cs="Arial"/>
          <w:color w:val="000000"/>
          <w:sz w:val="24"/>
          <w:szCs w:val="24"/>
        </w:rPr>
        <w:t xml:space="preserve">econd Respondent, </w:t>
      </w:r>
      <w:r w:rsidRPr="00334D8D">
        <w:rPr>
          <w:rFonts w:ascii="Arial" w:hAnsi="Arial" w:cs="Arial"/>
          <w:color w:val="000000"/>
          <w:sz w:val="24"/>
          <w:szCs w:val="24"/>
        </w:rPr>
        <w:t>CITY POWER SOC LTD</w:t>
      </w:r>
      <w:r>
        <w:rPr>
          <w:rFonts w:ascii="Arial" w:hAnsi="Arial" w:cs="Arial"/>
          <w:color w:val="000000"/>
          <w:sz w:val="24"/>
          <w:szCs w:val="24"/>
        </w:rPr>
        <w:t>, ("</w:t>
      </w:r>
      <w:r w:rsidRPr="00334D8D">
        <w:rPr>
          <w:rFonts w:ascii="Arial" w:hAnsi="Arial" w:cs="Arial"/>
          <w:color w:val="000000"/>
          <w:sz w:val="24"/>
          <w:szCs w:val="24"/>
        </w:rPr>
        <w:t>City Power"</w:t>
      </w:r>
      <w:r>
        <w:rPr>
          <w:rFonts w:ascii="Arial" w:hAnsi="Arial" w:cs="Arial"/>
          <w:color w:val="000000"/>
          <w:sz w:val="24"/>
          <w:szCs w:val="24"/>
        </w:rPr>
        <w:t>) for the 2019/2020 financial year. Almost three municipal financial years had elapsed before this matter could be heard by this Court.</w:t>
      </w:r>
    </w:p>
    <w:p w:rsidR="00016C83" w:rsidRDefault="00016C83" w:rsidP="00FF0AC8">
      <w:pPr>
        <w:spacing w:after="0" w:line="360" w:lineRule="auto"/>
        <w:jc w:val="both"/>
        <w:rPr>
          <w:rFonts w:ascii="Arial" w:hAnsi="Arial" w:cs="Arial"/>
          <w:color w:val="000000"/>
          <w:sz w:val="24"/>
          <w:szCs w:val="24"/>
        </w:rPr>
      </w:pP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[2]</w:t>
      </w:r>
      <w:r>
        <w:rPr>
          <w:rFonts w:ascii="Arial" w:hAnsi="Arial" w:cs="Arial"/>
          <w:color w:val="000000"/>
          <w:sz w:val="24"/>
          <w:szCs w:val="24"/>
        </w:rPr>
        <w:tab/>
        <w:t>The</w:t>
      </w:r>
      <w:r w:rsidRPr="00334D8D">
        <w:rPr>
          <w:rFonts w:ascii="Arial" w:hAnsi="Arial" w:cs="Arial"/>
          <w:color w:val="000000"/>
          <w:sz w:val="24"/>
          <w:szCs w:val="24"/>
        </w:rPr>
        <w:t xml:space="preserve"> application</w:t>
      </w:r>
      <w:r>
        <w:rPr>
          <w:rFonts w:ascii="Arial" w:hAnsi="Arial" w:cs="Arial"/>
          <w:color w:val="000000"/>
          <w:sz w:val="24"/>
          <w:szCs w:val="24"/>
        </w:rPr>
        <w:t xml:space="preserve">, itself, pertains </w:t>
      </w:r>
      <w:r w:rsidRPr="00334D8D">
        <w:rPr>
          <w:rFonts w:ascii="Arial" w:hAnsi="Arial" w:cs="Arial"/>
          <w:color w:val="000000"/>
          <w:sz w:val="24"/>
          <w:szCs w:val="24"/>
        </w:rPr>
        <w:t xml:space="preserve">to </w:t>
      </w:r>
      <w:r>
        <w:rPr>
          <w:rFonts w:ascii="Arial" w:hAnsi="Arial" w:cs="Arial"/>
          <w:color w:val="000000"/>
          <w:sz w:val="24"/>
          <w:szCs w:val="24"/>
        </w:rPr>
        <w:t xml:space="preserve">the </w:t>
      </w:r>
      <w:r w:rsidRPr="00334D8D">
        <w:rPr>
          <w:rFonts w:ascii="Arial" w:hAnsi="Arial" w:cs="Arial"/>
          <w:color w:val="000000"/>
          <w:sz w:val="24"/>
          <w:szCs w:val="24"/>
        </w:rPr>
        <w:t xml:space="preserve">review </w:t>
      </w:r>
      <w:r>
        <w:rPr>
          <w:rFonts w:ascii="Arial" w:hAnsi="Arial" w:cs="Arial"/>
          <w:color w:val="000000"/>
          <w:sz w:val="24"/>
          <w:szCs w:val="24"/>
        </w:rPr>
        <w:t xml:space="preserve">of </w:t>
      </w:r>
      <w:r w:rsidRPr="00334D8D">
        <w:rPr>
          <w:rFonts w:ascii="Arial" w:hAnsi="Arial" w:cs="Arial"/>
          <w:color w:val="000000"/>
          <w:sz w:val="24"/>
          <w:szCs w:val="24"/>
        </w:rPr>
        <w:t xml:space="preserve">the decision by </w:t>
      </w:r>
      <w:r>
        <w:rPr>
          <w:rFonts w:ascii="Arial" w:hAnsi="Arial" w:cs="Arial"/>
          <w:color w:val="000000"/>
          <w:sz w:val="24"/>
          <w:szCs w:val="24"/>
        </w:rPr>
        <w:t>NERSA</w:t>
      </w:r>
      <w:r w:rsidRPr="00334D8D">
        <w:rPr>
          <w:rFonts w:ascii="Arial" w:hAnsi="Arial" w:cs="Arial"/>
          <w:color w:val="000000"/>
          <w:sz w:val="24"/>
          <w:szCs w:val="24"/>
        </w:rPr>
        <w:t xml:space="preserve"> taken on or about 10 July 2019 to approve tariff</w:t>
      </w:r>
      <w:r>
        <w:rPr>
          <w:rFonts w:ascii="Arial" w:hAnsi="Arial" w:cs="Arial"/>
          <w:color w:val="000000"/>
          <w:sz w:val="24"/>
          <w:szCs w:val="24"/>
        </w:rPr>
        <w:t>s</w:t>
      </w:r>
      <w:r w:rsidRPr="00334D8D">
        <w:rPr>
          <w:rFonts w:ascii="Arial" w:hAnsi="Arial" w:cs="Arial"/>
          <w:color w:val="000000"/>
          <w:sz w:val="24"/>
          <w:szCs w:val="24"/>
        </w:rPr>
        <w:t xml:space="preserve"> for</w:t>
      </w:r>
      <w:r>
        <w:rPr>
          <w:rFonts w:ascii="Arial" w:hAnsi="Arial" w:cs="Arial"/>
          <w:color w:val="000000"/>
          <w:sz w:val="24"/>
          <w:szCs w:val="24"/>
        </w:rPr>
        <w:t>, City Power, for the 2019/2020 financial year</w:t>
      </w:r>
      <w:r w:rsidRPr="00334D8D">
        <w:rPr>
          <w:rFonts w:ascii="Arial" w:hAnsi="Arial" w:cs="Arial"/>
          <w:color w:val="000000"/>
          <w:sz w:val="24"/>
          <w:szCs w:val="24"/>
        </w:rPr>
        <w:t xml:space="preserve"> (the "impugned decision") on the grounds that it was unlawful, irrational and unjustified. The review </w:t>
      </w:r>
      <w:r>
        <w:rPr>
          <w:rFonts w:ascii="Arial" w:hAnsi="Arial" w:cs="Arial"/>
          <w:color w:val="000000"/>
          <w:sz w:val="24"/>
          <w:szCs w:val="24"/>
        </w:rPr>
        <w:t>was</w:t>
      </w:r>
      <w:r w:rsidRPr="00334D8D">
        <w:rPr>
          <w:rFonts w:ascii="Arial" w:hAnsi="Arial" w:cs="Arial"/>
          <w:color w:val="000000"/>
          <w:sz w:val="24"/>
          <w:szCs w:val="24"/>
        </w:rPr>
        <w:t xml:space="preserve"> brought under the Promotion of Administrative Justice Act ("PAJA")</w:t>
      </w:r>
      <w:r>
        <w:rPr>
          <w:rFonts w:ascii="Arial" w:hAnsi="Arial" w:cs="Arial"/>
          <w:color w:val="000000"/>
          <w:sz w:val="24"/>
          <w:szCs w:val="24"/>
        </w:rPr>
        <w:t>,</w:t>
      </w:r>
      <w:r>
        <w:rPr>
          <w:rStyle w:val="FootnoteReference"/>
          <w:rFonts w:ascii="Arial" w:hAnsi="Arial" w:cs="Arial"/>
          <w:color w:val="000000"/>
          <w:sz w:val="24"/>
          <w:szCs w:val="24"/>
        </w:rPr>
        <w:footnoteReference w:id="1"/>
      </w:r>
      <w:r w:rsidRPr="00334D8D">
        <w:rPr>
          <w:rFonts w:ascii="Arial" w:hAnsi="Arial" w:cs="Arial"/>
          <w:color w:val="000000"/>
          <w:sz w:val="24"/>
          <w:szCs w:val="24"/>
        </w:rPr>
        <w:t xml:space="preserve"> read with section 33 of the Constitution, alternatively the rule of law.</w:t>
      </w:r>
    </w:p>
    <w:p w:rsidR="00016C83" w:rsidRPr="00334D8D" w:rsidRDefault="00016C83" w:rsidP="00FF0AC8">
      <w:pPr>
        <w:spacing w:after="0" w:line="360" w:lineRule="auto"/>
        <w:jc w:val="both"/>
        <w:rPr>
          <w:rFonts w:ascii="Arial" w:hAnsi="Arial" w:cs="Arial"/>
          <w:color w:val="000000"/>
          <w:sz w:val="24"/>
          <w:szCs w:val="24"/>
        </w:rPr>
      </w:pPr>
    </w:p>
    <w:p w:rsidR="00C41BBC" w:rsidRDefault="00C41BBC" w:rsidP="00917D2E">
      <w:pPr>
        <w:spacing w:line="360" w:lineRule="auto"/>
        <w:jc w:val="both"/>
        <w:rPr>
          <w:rFonts w:ascii="Arial" w:hAnsi="Arial" w:cs="Arial"/>
          <w:b/>
          <w:color w:val="000000"/>
          <w:sz w:val="24"/>
          <w:szCs w:val="24"/>
        </w:rPr>
      </w:pPr>
      <w:r w:rsidRPr="00DC27BC">
        <w:rPr>
          <w:rFonts w:ascii="Arial" w:hAnsi="Arial" w:cs="Arial"/>
          <w:b/>
          <w:color w:val="000000"/>
          <w:sz w:val="24"/>
          <w:szCs w:val="24"/>
        </w:rPr>
        <w:t>THE PARTIES</w:t>
      </w: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t xml:space="preserve">A short background of the parties involved in these proceedings, is set out herein, in order to provide an understanding as to how they relate to each other and why it is that the Applicants brought this application against the Respondents. </w:t>
      </w:r>
    </w:p>
    <w:p w:rsidR="00016C83" w:rsidRPr="00334D8D" w:rsidRDefault="00016C83" w:rsidP="00FF0AC8">
      <w:pPr>
        <w:spacing w:after="0" w:line="360" w:lineRule="auto"/>
        <w:jc w:val="both"/>
        <w:rPr>
          <w:rFonts w:ascii="Arial" w:hAnsi="Arial" w:cs="Arial"/>
          <w:color w:val="000000"/>
          <w:sz w:val="24"/>
          <w:szCs w:val="24"/>
        </w:rPr>
      </w:pPr>
    </w:p>
    <w:p w:rsidR="00C41BBC" w:rsidRPr="00016C83" w:rsidRDefault="00C41BBC" w:rsidP="00917D2E">
      <w:pPr>
        <w:spacing w:line="360" w:lineRule="auto"/>
        <w:jc w:val="both"/>
        <w:rPr>
          <w:rFonts w:ascii="Arial" w:hAnsi="Arial" w:cs="Arial"/>
          <w:color w:val="000000"/>
          <w:sz w:val="24"/>
          <w:szCs w:val="24"/>
        </w:rPr>
      </w:pPr>
      <w:r w:rsidRPr="00334D8D">
        <w:rPr>
          <w:rFonts w:ascii="Arial" w:hAnsi="Arial" w:cs="Arial"/>
          <w:color w:val="000000"/>
          <w:sz w:val="24"/>
          <w:szCs w:val="24"/>
        </w:rPr>
        <w:tab/>
      </w:r>
      <w:r w:rsidRPr="00016C83">
        <w:rPr>
          <w:rFonts w:ascii="Arial" w:hAnsi="Arial" w:cs="Arial"/>
          <w:color w:val="000000"/>
          <w:sz w:val="24"/>
          <w:szCs w:val="24"/>
        </w:rPr>
        <w:t>The Applicants</w:t>
      </w:r>
    </w:p>
    <w:p w:rsidR="000D42C6"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[4]</w:t>
      </w:r>
      <w:r>
        <w:rPr>
          <w:rFonts w:ascii="Arial" w:hAnsi="Arial" w:cs="Arial"/>
          <w:color w:val="000000"/>
          <w:sz w:val="24"/>
          <w:szCs w:val="24"/>
        </w:rPr>
        <w:tab/>
      </w:r>
      <w:r w:rsidRPr="00334D8D">
        <w:rPr>
          <w:rFonts w:ascii="Arial" w:hAnsi="Arial" w:cs="Arial"/>
          <w:color w:val="000000"/>
          <w:sz w:val="24"/>
          <w:szCs w:val="24"/>
        </w:rPr>
        <w:t>The First A</w:t>
      </w:r>
      <w:r>
        <w:rPr>
          <w:rFonts w:ascii="Arial" w:hAnsi="Arial" w:cs="Arial"/>
          <w:color w:val="000000"/>
          <w:sz w:val="24"/>
          <w:szCs w:val="24"/>
        </w:rPr>
        <w:t>pplicant is</w:t>
      </w:r>
      <w:r w:rsidRPr="00334D8D">
        <w:rPr>
          <w:rFonts w:ascii="Arial" w:hAnsi="Arial" w:cs="Arial"/>
          <w:color w:val="000000"/>
          <w:sz w:val="24"/>
          <w:szCs w:val="24"/>
        </w:rPr>
        <w:t xml:space="preserve"> CASTING, FORGING AND MACHINING CLUSTER OF SOUTH AFRICA (NPC) ("CFMC"), whose primary business is to promote the growth and development of the metals manufacturing industry in South Africa. CMFC represents t</w:t>
      </w:r>
      <w:r>
        <w:rPr>
          <w:rFonts w:ascii="Arial" w:hAnsi="Arial" w:cs="Arial"/>
          <w:color w:val="000000"/>
          <w:sz w:val="24"/>
          <w:szCs w:val="24"/>
        </w:rPr>
        <w:t>he collective interests of the A</w:t>
      </w:r>
      <w:r w:rsidRPr="00334D8D">
        <w:rPr>
          <w:rFonts w:ascii="Arial" w:hAnsi="Arial" w:cs="Arial"/>
          <w:color w:val="000000"/>
          <w:sz w:val="24"/>
          <w:szCs w:val="24"/>
        </w:rPr>
        <w:t xml:space="preserve">pplicants by pursuing growth and development of the metals manufacturing industry in South Africa. </w:t>
      </w:r>
    </w:p>
    <w:p w:rsidR="00E04218"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lastRenderedPageBreak/>
        <w:t>[5]</w:t>
      </w:r>
      <w:r>
        <w:rPr>
          <w:rFonts w:ascii="Arial" w:hAnsi="Arial" w:cs="Arial"/>
          <w:color w:val="000000"/>
          <w:sz w:val="24"/>
          <w:szCs w:val="24"/>
        </w:rPr>
        <w:tab/>
      </w:r>
      <w:r w:rsidRPr="00334D8D">
        <w:rPr>
          <w:rFonts w:ascii="Arial" w:hAnsi="Arial" w:cs="Arial"/>
          <w:color w:val="000000"/>
          <w:sz w:val="24"/>
          <w:szCs w:val="24"/>
        </w:rPr>
        <w:t xml:space="preserve">The </w:t>
      </w:r>
      <w:r>
        <w:rPr>
          <w:rFonts w:ascii="Arial" w:hAnsi="Arial" w:cs="Arial"/>
          <w:color w:val="000000"/>
          <w:sz w:val="24"/>
          <w:szCs w:val="24"/>
        </w:rPr>
        <w:t>other A</w:t>
      </w:r>
      <w:r w:rsidRPr="00334D8D">
        <w:rPr>
          <w:rFonts w:ascii="Arial" w:hAnsi="Arial" w:cs="Arial"/>
          <w:color w:val="000000"/>
          <w:sz w:val="24"/>
          <w:szCs w:val="24"/>
        </w:rPr>
        <w:t>pplicants</w:t>
      </w:r>
      <w:r>
        <w:rPr>
          <w:rFonts w:ascii="Arial" w:hAnsi="Arial" w:cs="Arial"/>
          <w:color w:val="000000"/>
          <w:sz w:val="24"/>
          <w:szCs w:val="24"/>
        </w:rPr>
        <w:t xml:space="preserve"> </w:t>
      </w:r>
      <w:r w:rsidRPr="00334D8D">
        <w:rPr>
          <w:rFonts w:ascii="Arial" w:hAnsi="Arial" w:cs="Arial"/>
          <w:color w:val="000000"/>
          <w:sz w:val="24"/>
          <w:szCs w:val="24"/>
        </w:rPr>
        <w:t>are all members of CMFC and pursue a common objective.</w:t>
      </w:r>
      <w:r>
        <w:rPr>
          <w:rFonts w:ascii="Arial" w:hAnsi="Arial" w:cs="Arial"/>
          <w:color w:val="000000"/>
          <w:sz w:val="24"/>
          <w:szCs w:val="24"/>
        </w:rPr>
        <w:t xml:space="preserve"> The</w:t>
      </w:r>
      <w:r w:rsidRPr="00334D8D">
        <w:rPr>
          <w:rFonts w:ascii="Arial" w:hAnsi="Arial" w:cs="Arial"/>
          <w:color w:val="000000"/>
          <w:sz w:val="24"/>
          <w:szCs w:val="24"/>
        </w:rPr>
        <w:t xml:space="preserve"> Applicants (other than CMFC), are all businesses operating within the municipal boundaries of the Third Respondent, City of Johannesburg Metropolitan Municipality (“C</w:t>
      </w:r>
      <w:r>
        <w:rPr>
          <w:rFonts w:ascii="Arial" w:hAnsi="Arial" w:cs="Arial"/>
          <w:color w:val="000000"/>
          <w:sz w:val="24"/>
          <w:szCs w:val="24"/>
        </w:rPr>
        <w:t>ity of Johannesburg") or ("the M</w:t>
      </w:r>
      <w:r w:rsidRPr="00334D8D">
        <w:rPr>
          <w:rFonts w:ascii="Arial" w:hAnsi="Arial" w:cs="Arial"/>
          <w:color w:val="000000"/>
          <w:sz w:val="24"/>
          <w:szCs w:val="24"/>
        </w:rPr>
        <w:t>unicipality"). They are all consumers and users of electricity supplied by City Power, and all fall within the class of "industrial electricity users".</w:t>
      </w:r>
    </w:p>
    <w:p w:rsidR="000D42C6" w:rsidRPr="00334D8D" w:rsidRDefault="000D42C6" w:rsidP="00FF0AC8">
      <w:pPr>
        <w:spacing w:after="0" w:line="360" w:lineRule="auto"/>
        <w:jc w:val="both"/>
        <w:rPr>
          <w:rFonts w:ascii="Arial" w:hAnsi="Arial" w:cs="Arial"/>
          <w:color w:val="000000"/>
          <w:sz w:val="24"/>
          <w:szCs w:val="24"/>
        </w:rPr>
      </w:pPr>
    </w:p>
    <w:p w:rsidR="00C41BBC" w:rsidRPr="00334D8D" w:rsidRDefault="00C41BBC" w:rsidP="00917D2E">
      <w:pPr>
        <w:spacing w:line="360" w:lineRule="auto"/>
        <w:jc w:val="both"/>
        <w:rPr>
          <w:rFonts w:ascii="Arial" w:hAnsi="Arial" w:cs="Arial"/>
          <w:b/>
          <w:bCs/>
          <w:color w:val="000000"/>
          <w:spacing w:val="24"/>
          <w:kern w:val="24"/>
          <w:sz w:val="24"/>
          <w:szCs w:val="24"/>
          <w:u w:val="single"/>
        </w:rPr>
      </w:pPr>
      <w:r w:rsidRPr="00334D8D">
        <w:rPr>
          <w:rFonts w:ascii="Arial" w:hAnsi="Arial" w:cs="Arial"/>
          <w:color w:val="000000"/>
          <w:sz w:val="24"/>
          <w:szCs w:val="24"/>
        </w:rPr>
        <w:tab/>
        <w:t>The Respondents</w:t>
      </w:r>
    </w:p>
    <w:p w:rsidR="00527DA4"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Pr="00334D8D">
        <w:rPr>
          <w:rFonts w:ascii="Arial" w:hAnsi="Arial" w:cs="Arial"/>
          <w:color w:val="000000"/>
          <w:sz w:val="24"/>
          <w:szCs w:val="24"/>
        </w:rPr>
        <w:t>NERSA is a regulatory authority established in terms of section 3 of the National Ene</w:t>
      </w:r>
      <w:r>
        <w:rPr>
          <w:rFonts w:ascii="Arial" w:hAnsi="Arial" w:cs="Arial"/>
          <w:color w:val="000000"/>
          <w:sz w:val="24"/>
          <w:szCs w:val="24"/>
        </w:rPr>
        <w:t>rgy Regulator Act ("NERSA Act").</w:t>
      </w:r>
      <w:r w:rsidRPr="00334D8D">
        <w:rPr>
          <w:rStyle w:val="FootnoteReference"/>
          <w:rFonts w:ascii="Arial" w:hAnsi="Arial" w:cs="Arial"/>
          <w:color w:val="000000"/>
          <w:sz w:val="24"/>
          <w:szCs w:val="24"/>
        </w:rPr>
        <w:footnoteReference w:id="2"/>
      </w:r>
      <w:r>
        <w:rPr>
          <w:rFonts w:ascii="Arial" w:hAnsi="Arial" w:cs="Arial"/>
          <w:color w:val="000000"/>
          <w:sz w:val="24"/>
          <w:szCs w:val="24"/>
        </w:rPr>
        <w:t xml:space="preserve"> </w:t>
      </w:r>
      <w:r w:rsidRPr="00334D8D">
        <w:rPr>
          <w:rFonts w:ascii="Arial" w:hAnsi="Arial" w:cs="Arial"/>
          <w:color w:val="000000"/>
          <w:sz w:val="24"/>
          <w:szCs w:val="24"/>
        </w:rPr>
        <w:t>NERSA's mandate is to regulate the electricity industry in South Africa in terms of the Electricity Regulation Act (“the ERA”).</w:t>
      </w:r>
      <w:r w:rsidRPr="00334D8D">
        <w:rPr>
          <w:rStyle w:val="FootnoteReference"/>
          <w:rFonts w:ascii="Arial" w:hAnsi="Arial" w:cs="Arial"/>
          <w:color w:val="000000"/>
          <w:sz w:val="24"/>
          <w:szCs w:val="24"/>
        </w:rPr>
        <w:footnoteReference w:id="3"/>
      </w:r>
      <w:r w:rsidRPr="00334D8D">
        <w:rPr>
          <w:rFonts w:ascii="Arial" w:hAnsi="Arial" w:cs="Arial"/>
          <w:color w:val="000000"/>
          <w:sz w:val="24"/>
          <w:szCs w:val="24"/>
        </w:rPr>
        <w:t xml:space="preserve"> NERSA took the decision that is impugned in this application.</w:t>
      </w:r>
      <w:r>
        <w:rPr>
          <w:rFonts w:ascii="Arial" w:hAnsi="Arial" w:cs="Arial"/>
          <w:color w:val="000000"/>
          <w:sz w:val="24"/>
          <w:szCs w:val="24"/>
        </w:rPr>
        <w:t xml:space="preserve"> </w:t>
      </w:r>
    </w:p>
    <w:p w:rsidR="000D42C6" w:rsidRDefault="000D42C6"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C41BBC" w:rsidRPr="00334D8D">
        <w:rPr>
          <w:rFonts w:ascii="Arial" w:hAnsi="Arial" w:cs="Arial"/>
          <w:color w:val="000000"/>
          <w:sz w:val="24"/>
          <w:szCs w:val="24"/>
        </w:rPr>
        <w:t>City Power</w:t>
      </w:r>
      <w:r w:rsidR="00C41BBC">
        <w:rPr>
          <w:rFonts w:ascii="Arial" w:hAnsi="Arial" w:cs="Arial"/>
          <w:color w:val="000000"/>
          <w:sz w:val="24"/>
          <w:szCs w:val="24"/>
        </w:rPr>
        <w:t xml:space="preserve"> is</w:t>
      </w:r>
      <w:r w:rsidR="00C41BBC" w:rsidRPr="00334D8D">
        <w:rPr>
          <w:rFonts w:ascii="Arial" w:hAnsi="Arial" w:cs="Arial"/>
          <w:color w:val="000000"/>
          <w:sz w:val="24"/>
          <w:szCs w:val="24"/>
        </w:rPr>
        <w:t xml:space="preserve"> a municipal entity, wholly owned by the City of Johannesburg established as a municipal owned entity. City Power conducts business by providing an energy distribution service to the City of Johannesburg. C</w:t>
      </w:r>
      <w:r w:rsidR="00C41BBC">
        <w:rPr>
          <w:rFonts w:ascii="Arial" w:hAnsi="Arial" w:cs="Arial"/>
          <w:color w:val="000000"/>
          <w:sz w:val="24"/>
          <w:szCs w:val="24"/>
        </w:rPr>
        <w:t>ity Power</w:t>
      </w:r>
      <w:r w:rsidR="00C41BBC" w:rsidRPr="00334D8D">
        <w:rPr>
          <w:rFonts w:ascii="Arial" w:hAnsi="Arial" w:cs="Arial"/>
          <w:color w:val="000000"/>
          <w:sz w:val="24"/>
          <w:szCs w:val="24"/>
        </w:rPr>
        <w:t xml:space="preserve"> is licensed by NERSA as the sole authorised distributor of electricity in the Johannesburg Metropolitan Area as designated for C</w:t>
      </w:r>
      <w:r w:rsidR="00C41BBC">
        <w:rPr>
          <w:rFonts w:ascii="Arial" w:hAnsi="Arial" w:cs="Arial"/>
          <w:color w:val="000000"/>
          <w:sz w:val="24"/>
          <w:szCs w:val="24"/>
        </w:rPr>
        <w:t>ity Power</w:t>
      </w:r>
      <w:r w:rsidR="00C41BBC" w:rsidRPr="00334D8D">
        <w:rPr>
          <w:rFonts w:ascii="Arial" w:hAnsi="Arial" w:cs="Arial"/>
          <w:color w:val="000000"/>
          <w:sz w:val="24"/>
          <w:szCs w:val="24"/>
        </w:rPr>
        <w:t xml:space="preserve"> in the applicable distribution licence. City Power discharges the electricity distribution function on behalf of and as agent of the City of Johannesburg, and, it thu</w:t>
      </w:r>
      <w:r w:rsidR="00C41BBC">
        <w:rPr>
          <w:rFonts w:ascii="Arial" w:hAnsi="Arial" w:cs="Arial"/>
          <w:color w:val="000000"/>
          <w:sz w:val="24"/>
          <w:szCs w:val="24"/>
        </w:rPr>
        <w:t>s, steps into the shoes of the M</w:t>
      </w:r>
      <w:r w:rsidR="00C41BBC" w:rsidRPr="00334D8D">
        <w:rPr>
          <w:rFonts w:ascii="Arial" w:hAnsi="Arial" w:cs="Arial"/>
          <w:color w:val="000000"/>
          <w:sz w:val="24"/>
          <w:szCs w:val="24"/>
        </w:rPr>
        <w:t>unicipality, and assumes all of its constitutional obligations and rights.</w:t>
      </w:r>
    </w:p>
    <w:p w:rsidR="000D42C6" w:rsidRPr="00334D8D" w:rsidRDefault="000D42C6" w:rsidP="00FF0AC8">
      <w:pPr>
        <w:spacing w:after="0" w:line="360" w:lineRule="auto"/>
        <w:jc w:val="both"/>
        <w:rPr>
          <w:rFonts w:ascii="Arial" w:hAnsi="Arial" w:cs="Arial"/>
          <w:color w:val="000000"/>
          <w:sz w:val="24"/>
          <w:szCs w:val="24"/>
        </w:rPr>
      </w:pPr>
    </w:p>
    <w:p w:rsidR="00527DA4"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1D3E9F">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t xml:space="preserve">The </w:t>
      </w:r>
      <w:r w:rsidRPr="00334D8D">
        <w:rPr>
          <w:rFonts w:ascii="Arial" w:hAnsi="Arial" w:cs="Arial"/>
          <w:color w:val="000000"/>
          <w:sz w:val="24"/>
          <w:szCs w:val="24"/>
        </w:rPr>
        <w:t>City of Johannesburg is a Category A Municipality established in terms of section 12 of the Local Government: Municipal Structures Act.</w:t>
      </w:r>
      <w:r w:rsidRPr="00334D8D">
        <w:rPr>
          <w:rStyle w:val="FootnoteReference"/>
          <w:rFonts w:ascii="Arial" w:hAnsi="Arial" w:cs="Arial"/>
          <w:color w:val="000000"/>
          <w:sz w:val="24"/>
          <w:szCs w:val="24"/>
        </w:rPr>
        <w:footnoteReference w:id="4"/>
      </w:r>
      <w:r w:rsidR="0040065A">
        <w:rPr>
          <w:rFonts w:ascii="Arial" w:hAnsi="Arial" w:cs="Arial"/>
          <w:color w:val="000000"/>
          <w:sz w:val="24"/>
          <w:szCs w:val="24"/>
        </w:rPr>
        <w:t xml:space="preserve"> </w:t>
      </w:r>
      <w:r w:rsidR="00527DA4">
        <w:rPr>
          <w:rFonts w:ascii="Arial" w:hAnsi="Arial" w:cs="Arial"/>
          <w:color w:val="000000"/>
          <w:sz w:val="24"/>
          <w:szCs w:val="24"/>
        </w:rPr>
        <w:t>N</w:t>
      </w:r>
      <w:r w:rsidRPr="00334D8D">
        <w:rPr>
          <w:rFonts w:ascii="Arial" w:hAnsi="Arial" w:cs="Arial"/>
          <w:color w:val="000000"/>
          <w:sz w:val="24"/>
          <w:szCs w:val="24"/>
        </w:rPr>
        <w:t xml:space="preserve">o </w:t>
      </w:r>
      <w:r w:rsidR="00527DA4">
        <w:rPr>
          <w:rFonts w:ascii="Arial" w:hAnsi="Arial" w:cs="Arial"/>
          <w:color w:val="000000"/>
          <w:sz w:val="24"/>
          <w:szCs w:val="24"/>
        </w:rPr>
        <w:t xml:space="preserve">specific </w:t>
      </w:r>
      <w:r w:rsidRPr="00334D8D">
        <w:rPr>
          <w:rFonts w:ascii="Arial" w:hAnsi="Arial" w:cs="Arial"/>
          <w:color w:val="000000"/>
          <w:sz w:val="24"/>
          <w:szCs w:val="24"/>
        </w:rPr>
        <w:t xml:space="preserve">relief </w:t>
      </w:r>
      <w:r w:rsidR="00527DA4">
        <w:rPr>
          <w:rFonts w:ascii="Arial" w:hAnsi="Arial" w:cs="Arial"/>
          <w:color w:val="000000"/>
          <w:sz w:val="24"/>
          <w:szCs w:val="24"/>
        </w:rPr>
        <w:t xml:space="preserve">is sought </w:t>
      </w:r>
      <w:r w:rsidRPr="00334D8D">
        <w:rPr>
          <w:rFonts w:ascii="Arial" w:hAnsi="Arial" w:cs="Arial"/>
          <w:color w:val="000000"/>
          <w:sz w:val="24"/>
          <w:szCs w:val="24"/>
        </w:rPr>
        <w:t xml:space="preserve">against </w:t>
      </w:r>
      <w:r>
        <w:rPr>
          <w:rFonts w:ascii="Arial" w:hAnsi="Arial" w:cs="Arial"/>
          <w:color w:val="000000"/>
          <w:sz w:val="24"/>
          <w:szCs w:val="24"/>
        </w:rPr>
        <w:t xml:space="preserve">the City of </w:t>
      </w:r>
      <w:r w:rsidRPr="00334D8D">
        <w:rPr>
          <w:rFonts w:ascii="Arial" w:hAnsi="Arial" w:cs="Arial"/>
          <w:color w:val="000000"/>
          <w:sz w:val="24"/>
          <w:szCs w:val="24"/>
        </w:rPr>
        <w:t>Johannesburg</w:t>
      </w:r>
      <w:r w:rsidR="00527DA4">
        <w:rPr>
          <w:rFonts w:ascii="Arial" w:hAnsi="Arial" w:cs="Arial"/>
          <w:color w:val="000000"/>
          <w:sz w:val="24"/>
          <w:szCs w:val="24"/>
        </w:rPr>
        <w:t xml:space="preserve"> in these proceedings, and </w:t>
      </w:r>
      <w:r w:rsidRPr="00334D8D">
        <w:rPr>
          <w:rFonts w:ascii="Arial" w:hAnsi="Arial" w:cs="Arial"/>
          <w:color w:val="000000"/>
          <w:sz w:val="24"/>
          <w:szCs w:val="24"/>
        </w:rPr>
        <w:t xml:space="preserve">is cited </w:t>
      </w:r>
      <w:r w:rsidR="00527DA4">
        <w:rPr>
          <w:rFonts w:ascii="Arial" w:hAnsi="Arial" w:cs="Arial"/>
          <w:color w:val="000000"/>
          <w:sz w:val="24"/>
          <w:szCs w:val="24"/>
        </w:rPr>
        <w:t xml:space="preserve">only </w:t>
      </w:r>
      <w:r w:rsidRPr="00334D8D">
        <w:rPr>
          <w:rFonts w:ascii="Arial" w:hAnsi="Arial" w:cs="Arial"/>
          <w:color w:val="000000"/>
          <w:sz w:val="24"/>
          <w:szCs w:val="24"/>
        </w:rPr>
        <w:t xml:space="preserve">on </w:t>
      </w:r>
      <w:r w:rsidR="00527DA4">
        <w:rPr>
          <w:rFonts w:ascii="Arial" w:hAnsi="Arial" w:cs="Arial"/>
          <w:color w:val="000000"/>
          <w:sz w:val="24"/>
          <w:szCs w:val="24"/>
        </w:rPr>
        <w:t xml:space="preserve">the basis of </w:t>
      </w:r>
      <w:r w:rsidRPr="00334D8D">
        <w:rPr>
          <w:rFonts w:ascii="Arial" w:hAnsi="Arial" w:cs="Arial"/>
          <w:color w:val="000000"/>
          <w:sz w:val="24"/>
          <w:szCs w:val="24"/>
        </w:rPr>
        <w:t>its interest in</w:t>
      </w:r>
      <w:r w:rsidR="00527DA4">
        <w:rPr>
          <w:rFonts w:ascii="Arial" w:hAnsi="Arial" w:cs="Arial"/>
          <w:color w:val="000000"/>
          <w:sz w:val="24"/>
          <w:szCs w:val="24"/>
        </w:rPr>
        <w:t xml:space="preserve"> the outcome of the application. </w:t>
      </w:r>
      <w:r w:rsidR="00527DA4">
        <w:rPr>
          <w:rFonts w:ascii="Arial" w:hAnsi="Arial" w:cs="Arial"/>
          <w:color w:val="000000"/>
          <w:sz w:val="24"/>
          <w:szCs w:val="24"/>
        </w:rPr>
        <w:lastRenderedPageBreak/>
        <w:t>The City of Johannesburg, has opted to oppose the application and together with City Power, are represented by the same counsel.</w:t>
      </w:r>
    </w:p>
    <w:p w:rsidR="000D42C6" w:rsidRPr="00334D8D" w:rsidRDefault="000D42C6" w:rsidP="00FF0AC8">
      <w:pPr>
        <w:spacing w:after="0" w:line="360" w:lineRule="auto"/>
        <w:jc w:val="both"/>
        <w:rPr>
          <w:rFonts w:ascii="Arial" w:hAnsi="Arial" w:cs="Arial"/>
          <w:color w:val="000000"/>
          <w:sz w:val="24"/>
          <w:szCs w:val="24"/>
        </w:rPr>
      </w:pP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1D3E9F">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Pr="00334D8D">
        <w:rPr>
          <w:rFonts w:ascii="Arial" w:hAnsi="Arial" w:cs="Arial"/>
          <w:color w:val="000000"/>
          <w:sz w:val="24"/>
          <w:szCs w:val="24"/>
        </w:rPr>
        <w:t>All of the Respondents</w:t>
      </w:r>
      <w:r>
        <w:rPr>
          <w:rFonts w:ascii="Arial" w:hAnsi="Arial" w:cs="Arial"/>
          <w:color w:val="000000"/>
          <w:sz w:val="24"/>
          <w:szCs w:val="24"/>
        </w:rPr>
        <w:t>,</w:t>
      </w:r>
      <w:r w:rsidRPr="00334D8D">
        <w:rPr>
          <w:rFonts w:ascii="Arial" w:hAnsi="Arial" w:cs="Arial"/>
          <w:color w:val="000000"/>
          <w:sz w:val="24"/>
          <w:szCs w:val="24"/>
        </w:rPr>
        <w:t xml:space="preserve"> are Organs of State.</w:t>
      </w:r>
    </w:p>
    <w:p w:rsidR="000D42C6" w:rsidRDefault="000D42C6" w:rsidP="00FF0AC8">
      <w:pPr>
        <w:spacing w:after="0" w:line="360" w:lineRule="auto"/>
        <w:jc w:val="both"/>
        <w:rPr>
          <w:rFonts w:ascii="Arial" w:hAnsi="Arial" w:cs="Arial"/>
          <w:color w:val="000000"/>
          <w:sz w:val="24"/>
          <w:szCs w:val="24"/>
        </w:rPr>
      </w:pPr>
    </w:p>
    <w:p w:rsidR="000D42C6" w:rsidRPr="00917D2E" w:rsidRDefault="00C41BBC" w:rsidP="00917D2E">
      <w:pPr>
        <w:spacing w:line="360" w:lineRule="auto"/>
        <w:jc w:val="both"/>
        <w:rPr>
          <w:rFonts w:ascii="Arial" w:hAnsi="Arial" w:cs="Arial"/>
          <w:b/>
          <w:color w:val="000000"/>
          <w:sz w:val="24"/>
          <w:szCs w:val="24"/>
        </w:rPr>
      </w:pPr>
      <w:r w:rsidRPr="001378CE">
        <w:rPr>
          <w:rFonts w:ascii="Arial" w:hAnsi="Arial" w:cs="Arial"/>
          <w:b/>
          <w:color w:val="000000"/>
          <w:sz w:val="24"/>
          <w:szCs w:val="24"/>
        </w:rPr>
        <w:t>LOCUS STANDI</w:t>
      </w: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1D3E9F">
        <w:rPr>
          <w:rFonts w:ascii="Arial" w:hAnsi="Arial" w:cs="Arial"/>
          <w:color w:val="000000"/>
          <w:sz w:val="24"/>
          <w:szCs w:val="24"/>
        </w:rPr>
        <w:t>10</w:t>
      </w:r>
      <w:r>
        <w:rPr>
          <w:rFonts w:ascii="Arial" w:hAnsi="Arial" w:cs="Arial"/>
          <w:color w:val="000000"/>
          <w:sz w:val="24"/>
          <w:szCs w:val="24"/>
        </w:rPr>
        <w:t>]</w:t>
      </w:r>
      <w:r>
        <w:rPr>
          <w:rFonts w:ascii="Arial" w:hAnsi="Arial" w:cs="Arial"/>
          <w:color w:val="000000"/>
          <w:sz w:val="24"/>
          <w:szCs w:val="24"/>
        </w:rPr>
        <w:tab/>
        <w:t>It was contended on behalf of the Applicants that the impugned decision affects not only the Applicants, and those who are dependent on the Applicants for their livelihoods, but also the entire Johannesburg Metropolitan Area, and the Republic, more broadly. This was said to be so because the effect of the impugned decision, if it was allowed to proceed, will be that many of the Applicants’ businesses were to become unsustainable, with consequential disastrous effects for the local and broader economy. Moreover, the public had an interest in seeing the rule of law upheld, which was what the Applicants seek to achieve in this application.</w:t>
      </w:r>
    </w:p>
    <w:p w:rsidR="00683C91" w:rsidRDefault="00683C91"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[11</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The Applicants</w:t>
      </w:r>
      <w:r w:rsidR="00C41BBC">
        <w:rPr>
          <w:rFonts w:ascii="Arial" w:hAnsi="Arial" w:cs="Arial"/>
          <w:color w:val="000000"/>
          <w:sz w:val="24"/>
          <w:szCs w:val="24"/>
        </w:rPr>
        <w:t>, as a result,</w:t>
      </w:r>
      <w:r w:rsidR="00C41BBC" w:rsidRPr="00334D8D">
        <w:rPr>
          <w:rFonts w:ascii="Arial" w:hAnsi="Arial" w:cs="Arial"/>
          <w:color w:val="000000"/>
          <w:sz w:val="24"/>
          <w:szCs w:val="24"/>
        </w:rPr>
        <w:t xml:space="preserve"> </w:t>
      </w:r>
      <w:r w:rsidR="00C41BBC">
        <w:rPr>
          <w:rFonts w:ascii="Arial" w:hAnsi="Arial" w:cs="Arial"/>
          <w:color w:val="000000"/>
          <w:sz w:val="24"/>
          <w:szCs w:val="24"/>
        </w:rPr>
        <w:t>brought</w:t>
      </w:r>
      <w:r w:rsidR="00C41BBC" w:rsidRPr="00334D8D">
        <w:rPr>
          <w:rFonts w:ascii="Arial" w:hAnsi="Arial" w:cs="Arial"/>
          <w:color w:val="000000"/>
          <w:sz w:val="24"/>
          <w:szCs w:val="24"/>
        </w:rPr>
        <w:t xml:space="preserve"> this application: in terms of section 38(a) of the Constitution in their own interest; in terms of section 38(e) of the Constitution on behalf of their employees, shareholders and downstream consumers of the products they manufacture, who will all be adversely affected by the tariff increase, should the review not be upheld; and in terms of section 38(d) of the Constitution in the public interest</w:t>
      </w:r>
    </w:p>
    <w:p w:rsidR="00FA650F" w:rsidRDefault="00FA650F" w:rsidP="00FF0AC8">
      <w:pPr>
        <w:spacing w:after="0" w:line="360" w:lineRule="auto"/>
        <w:jc w:val="both"/>
        <w:rPr>
          <w:rFonts w:ascii="Arial" w:hAnsi="Arial" w:cs="Arial"/>
          <w:color w:val="000000"/>
          <w:sz w:val="24"/>
          <w:szCs w:val="24"/>
        </w:rPr>
      </w:pPr>
    </w:p>
    <w:p w:rsidR="00C41BBC" w:rsidRDefault="00C41BBC" w:rsidP="00917D2E">
      <w:pPr>
        <w:spacing w:line="360" w:lineRule="auto"/>
        <w:jc w:val="both"/>
        <w:rPr>
          <w:rFonts w:ascii="Arial" w:hAnsi="Arial" w:cs="Arial"/>
          <w:b/>
          <w:color w:val="000000"/>
          <w:sz w:val="24"/>
          <w:szCs w:val="24"/>
        </w:rPr>
      </w:pPr>
      <w:r w:rsidRPr="00DC27BC">
        <w:rPr>
          <w:rFonts w:ascii="Arial" w:hAnsi="Arial" w:cs="Arial"/>
          <w:b/>
          <w:color w:val="000000"/>
          <w:sz w:val="24"/>
          <w:szCs w:val="24"/>
        </w:rPr>
        <w:t>BACKGROUND</w:t>
      </w: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[12</w:t>
      </w:r>
      <w:r w:rsidR="00C41BBC">
        <w:rPr>
          <w:rFonts w:ascii="Arial" w:hAnsi="Arial" w:cs="Arial"/>
          <w:color w:val="000000"/>
          <w:sz w:val="24"/>
          <w:szCs w:val="24"/>
        </w:rPr>
        <w:t>]</w:t>
      </w:r>
      <w:r w:rsidR="00C41BBC">
        <w:rPr>
          <w:rFonts w:ascii="Arial" w:hAnsi="Arial" w:cs="Arial"/>
          <w:color w:val="000000"/>
          <w:sz w:val="24"/>
          <w:szCs w:val="24"/>
        </w:rPr>
        <w:tab/>
        <w:t>The mandate of NERSA as the regulatory authority of the energy sector in South Africa, includes the regulation of electricity supply industry. In terms of section 4(ii) of the ERA</w:t>
      </w:r>
      <w:r w:rsidR="0040065A">
        <w:rPr>
          <w:rFonts w:ascii="Arial" w:hAnsi="Arial" w:cs="Arial"/>
          <w:color w:val="000000"/>
          <w:sz w:val="24"/>
          <w:szCs w:val="24"/>
        </w:rPr>
        <w:t>,</w:t>
      </w:r>
      <w:r w:rsidR="00C41BBC">
        <w:rPr>
          <w:rFonts w:ascii="Arial" w:hAnsi="Arial" w:cs="Arial"/>
          <w:color w:val="000000"/>
          <w:sz w:val="24"/>
          <w:szCs w:val="24"/>
        </w:rPr>
        <w:t xml:space="preserve"> NERSA regulates the electricity prices and tariffs. As part of the regulation of electricity prices and tariffs, NERSA determines electricity tariffs and/or approves electricity tariff increases. The powers and function to determine tariffs or approve tariff increases</w:t>
      </w:r>
      <w:r w:rsidR="0040065A">
        <w:rPr>
          <w:rFonts w:ascii="Arial" w:hAnsi="Arial" w:cs="Arial"/>
          <w:color w:val="000000"/>
          <w:sz w:val="24"/>
          <w:szCs w:val="24"/>
        </w:rPr>
        <w:t>,</w:t>
      </w:r>
      <w:r w:rsidR="00C41BBC">
        <w:rPr>
          <w:rFonts w:ascii="Arial" w:hAnsi="Arial" w:cs="Arial"/>
          <w:color w:val="000000"/>
          <w:sz w:val="24"/>
          <w:szCs w:val="24"/>
        </w:rPr>
        <w:t xml:space="preserve"> are sourced from the </w:t>
      </w:r>
      <w:r w:rsidR="00C41BBC">
        <w:rPr>
          <w:rFonts w:ascii="Arial" w:hAnsi="Arial" w:cs="Arial"/>
          <w:color w:val="000000"/>
          <w:sz w:val="24"/>
          <w:szCs w:val="24"/>
        </w:rPr>
        <w:lastRenderedPageBreak/>
        <w:t>Constitution, the ERA and the Electricity Pricing Policy of the South African Electricity Supply Industry (“the EPP”).</w:t>
      </w:r>
      <w:r w:rsidR="00C41BBC">
        <w:rPr>
          <w:rStyle w:val="FootnoteReference"/>
          <w:rFonts w:ascii="Arial" w:hAnsi="Arial" w:cs="Arial"/>
          <w:color w:val="000000"/>
          <w:sz w:val="24"/>
          <w:szCs w:val="24"/>
        </w:rPr>
        <w:footnoteReference w:id="5"/>
      </w:r>
    </w:p>
    <w:p w:rsidR="00B36801" w:rsidRDefault="00B36801"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[13</w:t>
      </w:r>
      <w:r w:rsidR="00C41BBC">
        <w:rPr>
          <w:rFonts w:ascii="Arial" w:hAnsi="Arial" w:cs="Arial"/>
          <w:color w:val="000000"/>
          <w:sz w:val="24"/>
          <w:szCs w:val="24"/>
        </w:rPr>
        <w:t>]</w:t>
      </w:r>
      <w:r w:rsidR="00C41BBC">
        <w:rPr>
          <w:rFonts w:ascii="Arial" w:hAnsi="Arial" w:cs="Arial"/>
          <w:color w:val="000000"/>
          <w:sz w:val="24"/>
          <w:szCs w:val="24"/>
        </w:rPr>
        <w:tab/>
        <w:t xml:space="preserve">NERSA acts as the regulator of, </w:t>
      </w:r>
      <w:r w:rsidR="00C41BBC" w:rsidRPr="006D0512">
        <w:rPr>
          <w:rFonts w:ascii="Arial" w:hAnsi="Arial" w:cs="Arial"/>
          <w:i/>
          <w:color w:val="000000"/>
          <w:sz w:val="24"/>
          <w:szCs w:val="24"/>
        </w:rPr>
        <w:t>inter alia</w:t>
      </w:r>
      <w:r w:rsidR="00C41BBC">
        <w:rPr>
          <w:rFonts w:ascii="Arial" w:hAnsi="Arial" w:cs="Arial"/>
          <w:color w:val="000000"/>
          <w:sz w:val="24"/>
          <w:szCs w:val="24"/>
        </w:rPr>
        <w:t>, electricity tariffs for ESKOM and municipalities. In both instances</w:t>
      </w:r>
      <w:r w:rsidR="00EE0D2D">
        <w:rPr>
          <w:rFonts w:ascii="Arial" w:hAnsi="Arial" w:cs="Arial"/>
          <w:color w:val="000000"/>
          <w:sz w:val="24"/>
          <w:szCs w:val="24"/>
        </w:rPr>
        <w:t>,</w:t>
      </w:r>
      <w:r w:rsidR="00C41BBC">
        <w:rPr>
          <w:rFonts w:ascii="Arial" w:hAnsi="Arial" w:cs="Arial"/>
          <w:color w:val="000000"/>
          <w:sz w:val="24"/>
          <w:szCs w:val="24"/>
        </w:rPr>
        <w:t xml:space="preserve"> NERSA derives its authority from section 15(1) of the ERA. ESKOM generates, transmits, and distributes electricity to industrial, mining, commercial, agricultural, residential customers and municipalities. Certain municipalities in the country, like City of Johannesburg, are licenced by</w:t>
      </w:r>
      <w:r w:rsidR="00C46EF0">
        <w:rPr>
          <w:rFonts w:ascii="Arial" w:hAnsi="Arial" w:cs="Arial"/>
          <w:color w:val="000000"/>
          <w:sz w:val="24"/>
          <w:szCs w:val="24"/>
        </w:rPr>
        <w:t xml:space="preserve"> NERSA to distribute</w:t>
      </w:r>
      <w:r w:rsidR="00C41BBC">
        <w:rPr>
          <w:rFonts w:ascii="Arial" w:hAnsi="Arial" w:cs="Arial"/>
          <w:color w:val="000000"/>
          <w:sz w:val="24"/>
          <w:szCs w:val="24"/>
        </w:rPr>
        <w:t xml:space="preserve"> electricity within their licensed area. The electricity they distribute to their customers, is purchased in bulk from ESKOM. City Power buys bulk electricity from ES</w:t>
      </w:r>
      <w:r w:rsidR="00C46EF0">
        <w:rPr>
          <w:rFonts w:ascii="Arial" w:hAnsi="Arial" w:cs="Arial"/>
          <w:color w:val="000000"/>
          <w:sz w:val="24"/>
          <w:szCs w:val="24"/>
        </w:rPr>
        <w:t>KOM and distributes</w:t>
      </w:r>
      <w:r w:rsidR="00C41BBC">
        <w:rPr>
          <w:rFonts w:ascii="Arial" w:hAnsi="Arial" w:cs="Arial"/>
          <w:color w:val="000000"/>
          <w:sz w:val="24"/>
          <w:szCs w:val="24"/>
        </w:rPr>
        <w:t xml:space="preserve"> it to its customers within the Johannesburg Metropolitan Area. In terms of section 15(2) of the ERA,</w:t>
      </w:r>
      <w:r w:rsidR="00C41BBC">
        <w:rPr>
          <w:rStyle w:val="FootnoteReference"/>
          <w:rFonts w:ascii="Arial" w:hAnsi="Arial" w:cs="Arial"/>
          <w:color w:val="000000"/>
          <w:sz w:val="24"/>
          <w:szCs w:val="24"/>
        </w:rPr>
        <w:footnoteReference w:id="6"/>
      </w:r>
      <w:r w:rsidR="00C41BBC">
        <w:rPr>
          <w:rFonts w:ascii="Arial" w:hAnsi="Arial" w:cs="Arial"/>
          <w:color w:val="000000"/>
          <w:sz w:val="24"/>
          <w:szCs w:val="24"/>
        </w:rPr>
        <w:t xml:space="preserve"> a licensee like City Power, may not charge a customer any tariff</w:t>
      </w:r>
      <w:r w:rsidR="00C46EF0">
        <w:rPr>
          <w:rFonts w:ascii="Arial" w:hAnsi="Arial" w:cs="Arial"/>
          <w:color w:val="000000"/>
          <w:sz w:val="24"/>
          <w:szCs w:val="24"/>
        </w:rPr>
        <w:t>, for the distribution of electricity,</w:t>
      </w:r>
      <w:r w:rsidR="00C41BBC">
        <w:rPr>
          <w:rFonts w:ascii="Arial" w:hAnsi="Arial" w:cs="Arial"/>
          <w:color w:val="000000"/>
          <w:sz w:val="24"/>
          <w:szCs w:val="24"/>
        </w:rPr>
        <w:t xml:space="preserve"> other than that determined or approved by NERSA. Hence, before City Power can ch</w:t>
      </w:r>
      <w:r w:rsidR="00C46EF0">
        <w:rPr>
          <w:rFonts w:ascii="Arial" w:hAnsi="Arial" w:cs="Arial"/>
          <w:color w:val="000000"/>
          <w:sz w:val="24"/>
          <w:szCs w:val="24"/>
        </w:rPr>
        <w:t>arge tariffs</w:t>
      </w:r>
      <w:r w:rsidR="00C41BBC">
        <w:rPr>
          <w:rFonts w:ascii="Arial" w:hAnsi="Arial" w:cs="Arial"/>
          <w:color w:val="000000"/>
          <w:sz w:val="24"/>
          <w:szCs w:val="24"/>
        </w:rPr>
        <w:t xml:space="preserve"> to its customers, it must first apply to NERSA for approval of such tariffs.  </w:t>
      </w:r>
    </w:p>
    <w:p w:rsidR="00EE0D2D" w:rsidRDefault="00EE0D2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[14</w:t>
      </w:r>
      <w:r w:rsidR="00C41BBC">
        <w:rPr>
          <w:rFonts w:ascii="Arial" w:hAnsi="Arial" w:cs="Arial"/>
          <w:color w:val="000000"/>
          <w:sz w:val="24"/>
          <w:szCs w:val="24"/>
        </w:rPr>
        <w:t>]</w:t>
      </w:r>
      <w:r w:rsidR="00C41BBC">
        <w:rPr>
          <w:rFonts w:ascii="Arial" w:hAnsi="Arial" w:cs="Arial"/>
          <w:color w:val="000000"/>
          <w:sz w:val="24"/>
          <w:szCs w:val="24"/>
        </w:rPr>
        <w:tab/>
        <w:t xml:space="preserve">The method NERSA uses when setting or approving electricity tariffs is called the Guideline and Benchmarking </w:t>
      </w:r>
      <w:r w:rsidR="00246EC0">
        <w:rPr>
          <w:rFonts w:ascii="Arial" w:hAnsi="Arial" w:cs="Arial"/>
          <w:color w:val="000000"/>
          <w:sz w:val="24"/>
          <w:szCs w:val="24"/>
        </w:rPr>
        <w:t>Method</w:t>
      </w:r>
      <w:r w:rsidR="007C534F">
        <w:rPr>
          <w:rFonts w:ascii="Arial" w:hAnsi="Arial" w:cs="Arial"/>
          <w:color w:val="000000"/>
          <w:sz w:val="24"/>
          <w:szCs w:val="24"/>
        </w:rPr>
        <w:t>,</w:t>
      </w:r>
      <w:r w:rsidR="00C41BBC">
        <w:rPr>
          <w:rFonts w:ascii="Arial" w:hAnsi="Arial" w:cs="Arial"/>
          <w:color w:val="000000"/>
          <w:sz w:val="24"/>
          <w:szCs w:val="24"/>
        </w:rPr>
        <w:t xml:space="preserve"> which involves an annual approval of a percentage guideline increase and a review of the municipal benchmarks. The guideline increase is said to assist municipalities in the preparation of their budgets, while the revised benchmarks are used in the evaluation of the municipal tariffs applications. The benchmarks are, also, developed to ensure that tariffs across municipalities are not vastly different.</w:t>
      </w:r>
    </w:p>
    <w:p w:rsidR="004148EE" w:rsidRDefault="004148EE"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[15</w:t>
      </w:r>
      <w:r w:rsidR="00C41BBC">
        <w:rPr>
          <w:rFonts w:ascii="Arial" w:hAnsi="Arial" w:cs="Arial"/>
          <w:color w:val="000000"/>
          <w:sz w:val="24"/>
          <w:szCs w:val="24"/>
        </w:rPr>
        <w:t>]</w:t>
      </w:r>
      <w:r w:rsidR="00C41BBC">
        <w:rPr>
          <w:rFonts w:ascii="Arial" w:hAnsi="Arial" w:cs="Arial"/>
          <w:color w:val="000000"/>
          <w:sz w:val="24"/>
          <w:szCs w:val="24"/>
        </w:rPr>
        <w:tab/>
        <w:t>The municipal tariff guideline increase is developed based on ESKOM’s approved bulk price increase of electricity to municipalities, and the increase in the municipalities’ cost structures.</w:t>
      </w:r>
      <w:r w:rsidR="00C41BBC" w:rsidRPr="006D0512">
        <w:rPr>
          <w:rFonts w:ascii="Arial" w:hAnsi="Arial" w:cs="Arial"/>
          <w:color w:val="000000"/>
          <w:sz w:val="24"/>
          <w:szCs w:val="24"/>
        </w:rPr>
        <w:t xml:space="preserve"> </w:t>
      </w:r>
      <w:r w:rsidR="00C41BBC">
        <w:rPr>
          <w:rFonts w:ascii="Arial" w:hAnsi="Arial" w:cs="Arial"/>
          <w:color w:val="000000"/>
          <w:sz w:val="24"/>
          <w:szCs w:val="24"/>
        </w:rPr>
        <w:t xml:space="preserve">For this reason, the approval of the municipal </w:t>
      </w:r>
      <w:r w:rsidR="00C41BBC">
        <w:rPr>
          <w:rFonts w:ascii="Arial" w:hAnsi="Arial" w:cs="Arial"/>
          <w:color w:val="000000"/>
          <w:sz w:val="24"/>
          <w:szCs w:val="24"/>
        </w:rPr>
        <w:lastRenderedPageBreak/>
        <w:t>guideline increase is determined subsequent to the ESKOM Retail Structural Adjustments (ERTSA) and the M</w:t>
      </w:r>
      <w:r w:rsidR="00C41BBC" w:rsidRPr="00334D8D">
        <w:rPr>
          <w:rFonts w:ascii="Arial" w:hAnsi="Arial" w:cs="Arial"/>
          <w:color w:val="000000"/>
          <w:sz w:val="24"/>
          <w:szCs w:val="24"/>
        </w:rPr>
        <w:t>ulti-</w:t>
      </w:r>
      <w:r w:rsidR="00C41BBC">
        <w:rPr>
          <w:rFonts w:ascii="Arial" w:hAnsi="Arial" w:cs="Arial"/>
          <w:color w:val="000000"/>
          <w:sz w:val="24"/>
          <w:szCs w:val="24"/>
        </w:rPr>
        <w:t>Y</w:t>
      </w:r>
      <w:r w:rsidR="00C41BBC" w:rsidRPr="00334D8D">
        <w:rPr>
          <w:rFonts w:ascii="Arial" w:hAnsi="Arial" w:cs="Arial"/>
          <w:color w:val="000000"/>
          <w:sz w:val="24"/>
          <w:szCs w:val="24"/>
        </w:rPr>
        <w:t xml:space="preserve">ear </w:t>
      </w:r>
      <w:r w:rsidR="00C41BBC">
        <w:rPr>
          <w:rFonts w:ascii="Arial" w:hAnsi="Arial" w:cs="Arial"/>
          <w:color w:val="000000"/>
          <w:sz w:val="24"/>
          <w:szCs w:val="24"/>
        </w:rPr>
        <w:t>Determination ("MYPD</w:t>
      </w:r>
      <w:r w:rsidR="00C41BBC" w:rsidRPr="00334D8D">
        <w:rPr>
          <w:rFonts w:ascii="Arial" w:hAnsi="Arial" w:cs="Arial"/>
          <w:color w:val="000000"/>
          <w:sz w:val="24"/>
          <w:szCs w:val="24"/>
        </w:rPr>
        <w:t>")</w:t>
      </w:r>
      <w:r w:rsidR="00C41BBC">
        <w:rPr>
          <w:rFonts w:ascii="Arial" w:hAnsi="Arial" w:cs="Arial"/>
          <w:color w:val="000000"/>
          <w:sz w:val="24"/>
          <w:szCs w:val="24"/>
        </w:rPr>
        <w:t xml:space="preserve"> of the ESKOM’s tariffs. </w:t>
      </w:r>
    </w:p>
    <w:p w:rsidR="004148EE" w:rsidRDefault="004148EE"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[16</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 xml:space="preserve">The </w:t>
      </w:r>
      <w:r w:rsidR="00C41BBC">
        <w:rPr>
          <w:rFonts w:ascii="Arial" w:hAnsi="Arial" w:cs="Arial"/>
          <w:color w:val="000000"/>
          <w:sz w:val="24"/>
          <w:szCs w:val="24"/>
        </w:rPr>
        <w:t xml:space="preserve">process for the </w:t>
      </w:r>
      <w:r w:rsidR="00C41BBC" w:rsidRPr="00334D8D">
        <w:rPr>
          <w:rFonts w:ascii="Arial" w:hAnsi="Arial" w:cs="Arial"/>
          <w:color w:val="000000"/>
          <w:sz w:val="24"/>
          <w:szCs w:val="24"/>
        </w:rPr>
        <w:t xml:space="preserve">determination </w:t>
      </w:r>
      <w:r w:rsidR="00C41BBC">
        <w:rPr>
          <w:rFonts w:ascii="Arial" w:hAnsi="Arial" w:cs="Arial"/>
          <w:color w:val="000000"/>
          <w:sz w:val="24"/>
          <w:szCs w:val="24"/>
        </w:rPr>
        <w:t xml:space="preserve">and approval </w:t>
      </w:r>
      <w:r w:rsidR="00C41BBC" w:rsidRPr="00334D8D">
        <w:rPr>
          <w:rFonts w:ascii="Arial" w:hAnsi="Arial" w:cs="Arial"/>
          <w:color w:val="000000"/>
          <w:sz w:val="24"/>
          <w:szCs w:val="24"/>
        </w:rPr>
        <w:t xml:space="preserve">of </w:t>
      </w:r>
      <w:r w:rsidR="00C46EF0">
        <w:rPr>
          <w:rFonts w:ascii="Arial" w:hAnsi="Arial" w:cs="Arial"/>
          <w:color w:val="000000"/>
          <w:sz w:val="24"/>
          <w:szCs w:val="24"/>
        </w:rPr>
        <w:t xml:space="preserve">municipal </w:t>
      </w:r>
      <w:r w:rsidR="00C41BBC" w:rsidRPr="00334D8D">
        <w:rPr>
          <w:rFonts w:ascii="Arial" w:hAnsi="Arial" w:cs="Arial"/>
          <w:color w:val="000000"/>
          <w:sz w:val="24"/>
          <w:szCs w:val="24"/>
        </w:rPr>
        <w:t xml:space="preserve">electricity </w:t>
      </w:r>
      <w:r w:rsidR="00C41BBC">
        <w:rPr>
          <w:rFonts w:ascii="Arial" w:hAnsi="Arial" w:cs="Arial"/>
          <w:color w:val="000000"/>
          <w:sz w:val="24"/>
          <w:szCs w:val="24"/>
        </w:rPr>
        <w:t>tariffs by NERSA</w:t>
      </w:r>
      <w:r w:rsidR="00C46EF0">
        <w:rPr>
          <w:rFonts w:ascii="Arial" w:hAnsi="Arial" w:cs="Arial"/>
          <w:color w:val="000000"/>
          <w:sz w:val="24"/>
          <w:szCs w:val="24"/>
        </w:rPr>
        <w:t>,</w:t>
      </w:r>
      <w:r w:rsidR="00C41BBC">
        <w:rPr>
          <w:rFonts w:ascii="Arial" w:hAnsi="Arial" w:cs="Arial"/>
          <w:color w:val="000000"/>
          <w:sz w:val="24"/>
          <w:szCs w:val="24"/>
        </w:rPr>
        <w:t xml:space="preserve"> commences a year preceding the year in which the determination or approval of the tariff is made, by the submission of Distribution Forms (“D-Forms”) to NERSA by municipalities. The closing date for the submission of D-Forms is the end of October of the preceding year. </w:t>
      </w:r>
    </w:p>
    <w:p w:rsidR="004148EE" w:rsidRDefault="004148EE"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[17</w:t>
      </w:r>
      <w:r w:rsidR="00C41BBC">
        <w:rPr>
          <w:rFonts w:ascii="Arial" w:hAnsi="Arial" w:cs="Arial"/>
          <w:color w:val="000000"/>
          <w:sz w:val="24"/>
          <w:szCs w:val="24"/>
        </w:rPr>
        <w:t>]</w:t>
      </w:r>
      <w:r w:rsidR="00C41BBC">
        <w:rPr>
          <w:rFonts w:ascii="Arial" w:hAnsi="Arial" w:cs="Arial"/>
          <w:color w:val="000000"/>
          <w:sz w:val="24"/>
          <w:szCs w:val="24"/>
        </w:rPr>
        <w:tab/>
        <w:t xml:space="preserve">These forms contain information regarding the financial position and efficiency levels of the municipality, as well as data regarding the customer’s consumption patterns and the number of customers </w:t>
      </w:r>
      <w:r w:rsidR="00C41BBC" w:rsidRPr="007A6DB1">
        <w:rPr>
          <w:rFonts w:ascii="Arial" w:hAnsi="Arial" w:cs="Arial"/>
          <w:i/>
          <w:color w:val="000000"/>
          <w:sz w:val="24"/>
          <w:szCs w:val="24"/>
        </w:rPr>
        <w:t>per</w:t>
      </w:r>
      <w:r w:rsidR="00C41BBC">
        <w:rPr>
          <w:rFonts w:ascii="Arial" w:hAnsi="Arial" w:cs="Arial"/>
          <w:color w:val="000000"/>
          <w:sz w:val="24"/>
          <w:szCs w:val="24"/>
        </w:rPr>
        <w:t xml:space="preserve"> tariff category. The information is said to assist NERSA in the analysis of the tariffs and in determining the revenues that the municipality collects from the various tariff categories. The D-Forms that are primarily used for the tariff approval process are financial forms (D1 Forms), Market Information (D2 Forms), and Human Resources Information (D3 Forms).  </w:t>
      </w:r>
      <w:r w:rsidR="000F364A">
        <w:rPr>
          <w:rFonts w:ascii="Arial" w:hAnsi="Arial" w:cs="Arial"/>
          <w:color w:val="000000"/>
          <w:sz w:val="24"/>
          <w:szCs w:val="24"/>
        </w:rPr>
        <w:t xml:space="preserve">It is said that </w:t>
      </w:r>
      <w:r w:rsidR="00C41BBC">
        <w:rPr>
          <w:rFonts w:ascii="Arial" w:hAnsi="Arial" w:cs="Arial"/>
          <w:color w:val="000000"/>
          <w:sz w:val="24"/>
          <w:szCs w:val="24"/>
        </w:rPr>
        <w:t>NERSA will not consider any municipal tariff application without the submission of appropriate and accurate D-Forms information.</w:t>
      </w:r>
    </w:p>
    <w:p w:rsidR="004148EE" w:rsidRDefault="004148EE"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[18</w:t>
      </w:r>
      <w:r w:rsidR="00C41BBC">
        <w:rPr>
          <w:rFonts w:ascii="Arial" w:hAnsi="Arial" w:cs="Arial"/>
          <w:color w:val="000000"/>
          <w:sz w:val="24"/>
          <w:szCs w:val="24"/>
        </w:rPr>
        <w:t>]</w:t>
      </w:r>
      <w:r w:rsidR="00C41BBC">
        <w:rPr>
          <w:rFonts w:ascii="Arial" w:hAnsi="Arial" w:cs="Arial"/>
          <w:color w:val="000000"/>
          <w:sz w:val="24"/>
          <w:szCs w:val="24"/>
        </w:rPr>
        <w:tab/>
        <w:t xml:space="preserve">The submission of D-Forms is followed by </w:t>
      </w:r>
      <w:r w:rsidR="00C41BBC" w:rsidRPr="00334D8D">
        <w:rPr>
          <w:rFonts w:ascii="Arial" w:hAnsi="Arial" w:cs="Arial"/>
          <w:color w:val="000000"/>
          <w:sz w:val="24"/>
          <w:szCs w:val="24"/>
        </w:rPr>
        <w:t xml:space="preserve">the </w:t>
      </w:r>
      <w:r w:rsidR="00C41BBC">
        <w:rPr>
          <w:rFonts w:ascii="Arial" w:hAnsi="Arial" w:cs="Arial"/>
          <w:color w:val="000000"/>
          <w:sz w:val="24"/>
          <w:szCs w:val="24"/>
        </w:rPr>
        <w:t xml:space="preserve">MYPD process </w:t>
      </w:r>
      <w:r w:rsidR="00C41BBC" w:rsidRPr="00334D8D">
        <w:rPr>
          <w:rFonts w:ascii="Arial" w:hAnsi="Arial" w:cs="Arial"/>
          <w:color w:val="000000"/>
          <w:sz w:val="24"/>
          <w:szCs w:val="24"/>
        </w:rPr>
        <w:t>by NERSA, followed</w:t>
      </w:r>
      <w:r w:rsidR="00C41BBC">
        <w:rPr>
          <w:rFonts w:ascii="Arial" w:hAnsi="Arial" w:cs="Arial"/>
          <w:color w:val="000000"/>
          <w:sz w:val="24"/>
          <w:szCs w:val="24"/>
        </w:rPr>
        <w:t>,</w:t>
      </w:r>
      <w:r w:rsidR="00C41BBC" w:rsidRPr="00334D8D">
        <w:rPr>
          <w:rFonts w:ascii="Arial" w:hAnsi="Arial" w:cs="Arial"/>
          <w:color w:val="000000"/>
          <w:sz w:val="24"/>
          <w:szCs w:val="24"/>
        </w:rPr>
        <w:t xml:space="preserve"> thereafter</w:t>
      </w:r>
      <w:r w:rsidR="00C41BBC">
        <w:rPr>
          <w:rFonts w:ascii="Arial" w:hAnsi="Arial" w:cs="Arial"/>
          <w:color w:val="000000"/>
          <w:sz w:val="24"/>
          <w:szCs w:val="24"/>
        </w:rPr>
        <w:t>,</w:t>
      </w:r>
      <w:r w:rsidR="00C41BBC" w:rsidRPr="00334D8D">
        <w:rPr>
          <w:rFonts w:ascii="Arial" w:hAnsi="Arial" w:cs="Arial"/>
          <w:color w:val="000000"/>
          <w:sz w:val="24"/>
          <w:szCs w:val="24"/>
        </w:rPr>
        <w:t xml:space="preserve"> by NERSA</w:t>
      </w:r>
      <w:r w:rsidR="00C41BBC">
        <w:rPr>
          <w:rFonts w:ascii="Arial" w:hAnsi="Arial" w:cs="Arial"/>
          <w:color w:val="000000"/>
          <w:sz w:val="24"/>
          <w:szCs w:val="24"/>
        </w:rPr>
        <w:t xml:space="preserve"> issuing </w:t>
      </w:r>
      <w:r w:rsidR="00C41BBC" w:rsidRPr="00334D8D">
        <w:rPr>
          <w:rFonts w:ascii="Arial" w:hAnsi="Arial" w:cs="Arial"/>
          <w:color w:val="000000"/>
          <w:sz w:val="24"/>
          <w:szCs w:val="24"/>
        </w:rPr>
        <w:t xml:space="preserve">the municipal tariff guideline and the application by municipal licensees for approval of increases in terms of the issued NERSA guideline. </w:t>
      </w:r>
    </w:p>
    <w:p w:rsidR="004148EE" w:rsidRDefault="004148EE"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[19</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Periodically, NERSA engages in a MYPD</w:t>
      </w:r>
      <w:r w:rsidR="00C41BBC">
        <w:rPr>
          <w:rFonts w:ascii="Arial" w:hAnsi="Arial" w:cs="Arial"/>
          <w:color w:val="000000"/>
          <w:sz w:val="24"/>
          <w:szCs w:val="24"/>
        </w:rPr>
        <w:t xml:space="preserve"> </w:t>
      </w:r>
      <w:r w:rsidR="00C41BBC" w:rsidRPr="00334D8D">
        <w:rPr>
          <w:rFonts w:ascii="Arial" w:hAnsi="Arial" w:cs="Arial"/>
          <w:color w:val="000000"/>
          <w:sz w:val="24"/>
          <w:szCs w:val="24"/>
        </w:rPr>
        <w:t>in respect of ESKOM</w:t>
      </w:r>
      <w:r w:rsidR="00C41BBC">
        <w:rPr>
          <w:rFonts w:ascii="Arial" w:hAnsi="Arial" w:cs="Arial"/>
          <w:color w:val="000000"/>
          <w:sz w:val="24"/>
          <w:szCs w:val="24"/>
        </w:rPr>
        <w:t>,</w:t>
      </w:r>
      <w:r w:rsidR="00C41BBC" w:rsidRPr="00334D8D">
        <w:rPr>
          <w:rFonts w:ascii="Arial" w:hAnsi="Arial" w:cs="Arial"/>
          <w:color w:val="000000"/>
          <w:sz w:val="24"/>
          <w:szCs w:val="24"/>
        </w:rPr>
        <w:t xml:space="preserve"> in terms of which NERSA approves the various tariffs which ESKOM is allowed to charge in respect of its electricity business over the period covered by the determination. These tariffs include, amongst others, the Supply Tariff, that is, the tariff at which ESKOM supplies electricity in bulk to other licensees (such </w:t>
      </w:r>
      <w:r w:rsidR="00C41BBC" w:rsidRPr="00334D8D">
        <w:rPr>
          <w:rFonts w:ascii="Arial" w:hAnsi="Arial" w:cs="Arial"/>
          <w:color w:val="000000"/>
          <w:sz w:val="24"/>
          <w:szCs w:val="24"/>
        </w:rPr>
        <w:lastRenderedPageBreak/>
        <w:t xml:space="preserve">as City </w:t>
      </w:r>
      <w:r w:rsidR="00F5094F">
        <w:rPr>
          <w:rFonts w:ascii="Arial" w:hAnsi="Arial" w:cs="Arial"/>
          <w:color w:val="000000"/>
          <w:sz w:val="24"/>
          <w:szCs w:val="24"/>
        </w:rPr>
        <w:t>Power</w:t>
      </w:r>
      <w:r w:rsidR="00C41BBC" w:rsidRPr="00334D8D">
        <w:rPr>
          <w:rFonts w:ascii="Arial" w:hAnsi="Arial" w:cs="Arial"/>
          <w:color w:val="000000"/>
          <w:sz w:val="24"/>
          <w:szCs w:val="24"/>
        </w:rPr>
        <w:t xml:space="preserve">). </w:t>
      </w:r>
      <w:r w:rsidR="00C41BBC">
        <w:rPr>
          <w:rFonts w:ascii="Arial" w:hAnsi="Arial" w:cs="Arial"/>
          <w:color w:val="000000"/>
          <w:sz w:val="24"/>
          <w:szCs w:val="24"/>
        </w:rPr>
        <w:t xml:space="preserve">The </w:t>
      </w:r>
      <w:r w:rsidR="00C41BBC" w:rsidRPr="00334D8D">
        <w:rPr>
          <w:rFonts w:ascii="Arial" w:hAnsi="Arial" w:cs="Arial"/>
          <w:color w:val="000000"/>
          <w:sz w:val="24"/>
          <w:szCs w:val="24"/>
        </w:rPr>
        <w:t>tariff</w:t>
      </w:r>
      <w:r w:rsidR="00C41BBC">
        <w:rPr>
          <w:rFonts w:ascii="Arial" w:hAnsi="Arial" w:cs="Arial"/>
          <w:color w:val="000000"/>
          <w:sz w:val="24"/>
          <w:szCs w:val="24"/>
        </w:rPr>
        <w:t>, also,</w:t>
      </w:r>
      <w:r w:rsidR="00C41BBC" w:rsidRPr="00334D8D">
        <w:rPr>
          <w:rFonts w:ascii="Arial" w:hAnsi="Arial" w:cs="Arial"/>
          <w:color w:val="000000"/>
          <w:sz w:val="24"/>
          <w:szCs w:val="24"/>
        </w:rPr>
        <w:t xml:space="preserve"> includes the costs of generation and transmission of electricity plus a "reasonable rate of retur</w:t>
      </w:r>
      <w:r w:rsidR="00C41BBC">
        <w:rPr>
          <w:rFonts w:ascii="Arial" w:hAnsi="Arial" w:cs="Arial"/>
          <w:color w:val="000000"/>
          <w:sz w:val="24"/>
          <w:szCs w:val="24"/>
        </w:rPr>
        <w:t>n"</w:t>
      </w:r>
      <w:r w:rsidR="00C41BBC" w:rsidRPr="00334D8D">
        <w:rPr>
          <w:rFonts w:ascii="Arial" w:hAnsi="Arial" w:cs="Arial"/>
          <w:color w:val="000000"/>
          <w:sz w:val="24"/>
          <w:szCs w:val="24"/>
        </w:rPr>
        <w:t>, but does not include any charges in relation to the distribution of electricity.</w:t>
      </w:r>
    </w:p>
    <w:p w:rsidR="006D2796" w:rsidRPr="00334D8D" w:rsidRDefault="006D2796" w:rsidP="00FF0AC8">
      <w:pPr>
        <w:spacing w:after="0" w:line="360" w:lineRule="auto"/>
        <w:jc w:val="both"/>
        <w:rPr>
          <w:rFonts w:ascii="Arial" w:hAnsi="Arial" w:cs="Arial"/>
          <w:color w:val="000000"/>
          <w:sz w:val="24"/>
          <w:szCs w:val="24"/>
        </w:rPr>
      </w:pPr>
    </w:p>
    <w:p w:rsidR="00C41BBC" w:rsidRPr="00334D8D" w:rsidRDefault="001D3E9F" w:rsidP="00917D2E">
      <w:pPr>
        <w:spacing w:line="360" w:lineRule="auto"/>
        <w:jc w:val="both"/>
        <w:rPr>
          <w:rFonts w:ascii="Arial" w:hAnsi="Arial" w:cs="Arial"/>
          <w:color w:val="000000"/>
          <w:sz w:val="24"/>
          <w:szCs w:val="24"/>
        </w:rPr>
      </w:pPr>
      <w:r>
        <w:rPr>
          <w:rFonts w:ascii="Arial" w:hAnsi="Arial" w:cs="Arial"/>
          <w:color w:val="000000"/>
          <w:sz w:val="24"/>
          <w:szCs w:val="24"/>
        </w:rPr>
        <w:t>[20</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Following the completion of t</w:t>
      </w:r>
      <w:r w:rsidR="00C41BBC">
        <w:rPr>
          <w:rFonts w:ascii="Arial" w:hAnsi="Arial" w:cs="Arial"/>
          <w:color w:val="000000"/>
          <w:sz w:val="24"/>
          <w:szCs w:val="24"/>
        </w:rPr>
        <w:t>he MYPD process, NERSA uses the outcome of the MYPD together with the information derived from the D-Forms, to annually, issue</w:t>
      </w:r>
      <w:r w:rsidR="00C41BBC" w:rsidRPr="00334D8D">
        <w:rPr>
          <w:rFonts w:ascii="Arial" w:hAnsi="Arial" w:cs="Arial"/>
          <w:color w:val="000000"/>
          <w:sz w:val="24"/>
          <w:szCs w:val="24"/>
        </w:rPr>
        <w:t xml:space="preserve"> a Municipal Tariff Guideline </w:t>
      </w:r>
      <w:r w:rsidR="00C41BBC">
        <w:rPr>
          <w:rFonts w:ascii="Arial" w:hAnsi="Arial" w:cs="Arial"/>
          <w:color w:val="000000"/>
          <w:sz w:val="24"/>
          <w:szCs w:val="24"/>
        </w:rPr>
        <w:t xml:space="preserve">Increase </w:t>
      </w:r>
      <w:r w:rsidR="00C41BBC" w:rsidRPr="00334D8D">
        <w:rPr>
          <w:rFonts w:ascii="Arial" w:hAnsi="Arial" w:cs="Arial"/>
          <w:color w:val="000000"/>
          <w:sz w:val="24"/>
          <w:szCs w:val="24"/>
        </w:rPr>
        <w:t>(the "Tariff Guideline"</w:t>
      </w:r>
      <w:r w:rsidR="00C41BBC">
        <w:rPr>
          <w:rFonts w:ascii="Arial" w:hAnsi="Arial" w:cs="Arial"/>
          <w:color w:val="000000"/>
          <w:sz w:val="24"/>
          <w:szCs w:val="24"/>
        </w:rPr>
        <w:t xml:space="preserve">). The Tariff Guideline is extrapolated from a sample of the information contained in the D-Forms and </w:t>
      </w:r>
      <w:r w:rsidR="00C41BBC" w:rsidRPr="00334D8D">
        <w:rPr>
          <w:rFonts w:ascii="Arial" w:hAnsi="Arial" w:cs="Arial"/>
          <w:color w:val="000000"/>
          <w:sz w:val="24"/>
          <w:szCs w:val="24"/>
        </w:rPr>
        <w:t>compris</w:t>
      </w:r>
      <w:r w:rsidR="00C41BBC">
        <w:rPr>
          <w:rFonts w:ascii="Arial" w:hAnsi="Arial" w:cs="Arial"/>
          <w:color w:val="000000"/>
          <w:sz w:val="24"/>
          <w:szCs w:val="24"/>
        </w:rPr>
        <w:t>e of</w:t>
      </w:r>
      <w:r w:rsidR="00C41BBC" w:rsidRPr="00334D8D">
        <w:rPr>
          <w:rFonts w:ascii="Arial" w:hAnsi="Arial" w:cs="Arial"/>
          <w:color w:val="000000"/>
          <w:sz w:val="24"/>
          <w:szCs w:val="24"/>
        </w:rPr>
        <w:t>:</w:t>
      </w:r>
    </w:p>
    <w:p w:rsidR="00C41BBC" w:rsidRPr="00334D8D" w:rsidRDefault="001D3E9F" w:rsidP="00FA10F9">
      <w:pPr>
        <w:spacing w:after="0" w:line="360" w:lineRule="auto"/>
        <w:ind w:left="1560" w:hanging="567"/>
        <w:jc w:val="both"/>
        <w:rPr>
          <w:rFonts w:ascii="Arial" w:hAnsi="Arial" w:cs="Arial"/>
          <w:color w:val="000000"/>
          <w:sz w:val="24"/>
          <w:szCs w:val="24"/>
        </w:rPr>
      </w:pPr>
      <w:r>
        <w:rPr>
          <w:rFonts w:ascii="Arial" w:hAnsi="Arial" w:cs="Arial"/>
          <w:color w:val="000000"/>
          <w:sz w:val="24"/>
          <w:szCs w:val="24"/>
        </w:rPr>
        <w:t>20</w:t>
      </w:r>
      <w:r w:rsidR="00C41BBC">
        <w:rPr>
          <w:rFonts w:ascii="Arial" w:hAnsi="Arial" w:cs="Arial"/>
          <w:color w:val="000000"/>
          <w:sz w:val="24"/>
          <w:szCs w:val="24"/>
        </w:rPr>
        <w:t>.1</w:t>
      </w:r>
      <w:r w:rsidR="00C41BBC">
        <w:rPr>
          <w:rFonts w:ascii="Arial" w:hAnsi="Arial" w:cs="Arial"/>
          <w:color w:val="000000"/>
          <w:sz w:val="24"/>
          <w:szCs w:val="24"/>
        </w:rPr>
        <w:tab/>
      </w:r>
      <w:r w:rsidR="00C41BBC" w:rsidRPr="00334D8D">
        <w:rPr>
          <w:rFonts w:ascii="Arial" w:hAnsi="Arial" w:cs="Arial"/>
          <w:color w:val="000000"/>
          <w:sz w:val="24"/>
          <w:szCs w:val="24"/>
        </w:rPr>
        <w:t>a guideline increase for licensees (most of the licensees are Municipalities; some, like City Power are municipal entities) over the previous guide</w:t>
      </w:r>
      <w:r w:rsidR="00C41BBC">
        <w:rPr>
          <w:rFonts w:ascii="Arial" w:hAnsi="Arial" w:cs="Arial"/>
          <w:color w:val="000000"/>
          <w:sz w:val="24"/>
          <w:szCs w:val="24"/>
        </w:rPr>
        <w:t>line</w:t>
      </w:r>
      <w:r w:rsidR="00C41BBC" w:rsidRPr="00334D8D">
        <w:rPr>
          <w:rFonts w:ascii="Arial" w:hAnsi="Arial" w:cs="Arial"/>
          <w:color w:val="000000"/>
          <w:sz w:val="24"/>
          <w:szCs w:val="24"/>
        </w:rPr>
        <w:t xml:space="preserve"> tariff</w:t>
      </w:r>
      <w:r w:rsidR="00C41BBC">
        <w:rPr>
          <w:rFonts w:ascii="Arial" w:hAnsi="Arial" w:cs="Arial"/>
          <w:color w:val="000000"/>
          <w:sz w:val="24"/>
          <w:szCs w:val="24"/>
        </w:rPr>
        <w:t>,</w:t>
      </w:r>
      <w:r w:rsidR="00C41BBC" w:rsidRPr="00334D8D">
        <w:rPr>
          <w:rFonts w:ascii="Arial" w:hAnsi="Arial" w:cs="Arial"/>
          <w:color w:val="000000"/>
          <w:sz w:val="24"/>
          <w:szCs w:val="24"/>
        </w:rPr>
        <w:t xml:space="preserve"> of a fixed percentage; and</w:t>
      </w:r>
    </w:p>
    <w:p w:rsidR="00C41BBC" w:rsidRDefault="001D3E9F" w:rsidP="00FA10F9">
      <w:pPr>
        <w:spacing w:after="0" w:line="360" w:lineRule="auto"/>
        <w:ind w:left="1560" w:hanging="567"/>
        <w:jc w:val="both"/>
        <w:rPr>
          <w:rFonts w:ascii="Arial" w:hAnsi="Arial" w:cs="Arial"/>
          <w:color w:val="000000"/>
          <w:sz w:val="24"/>
          <w:szCs w:val="24"/>
        </w:rPr>
      </w:pPr>
      <w:r>
        <w:rPr>
          <w:rFonts w:ascii="Arial" w:hAnsi="Arial" w:cs="Arial"/>
          <w:color w:val="000000"/>
          <w:sz w:val="24"/>
          <w:szCs w:val="24"/>
        </w:rPr>
        <w:t>20</w:t>
      </w:r>
      <w:r w:rsidR="00C41BBC">
        <w:rPr>
          <w:rFonts w:ascii="Arial" w:hAnsi="Arial" w:cs="Arial"/>
          <w:color w:val="000000"/>
          <w:sz w:val="24"/>
          <w:szCs w:val="24"/>
        </w:rPr>
        <w:t>.2</w:t>
      </w:r>
      <w:r w:rsidR="00C41BBC">
        <w:rPr>
          <w:rFonts w:ascii="Arial" w:hAnsi="Arial" w:cs="Arial"/>
          <w:color w:val="000000"/>
          <w:sz w:val="24"/>
          <w:szCs w:val="24"/>
        </w:rPr>
        <w:tab/>
      </w:r>
      <w:r w:rsidR="00C41BBC" w:rsidRPr="00334D8D">
        <w:rPr>
          <w:rFonts w:ascii="Arial" w:hAnsi="Arial" w:cs="Arial"/>
          <w:color w:val="000000"/>
          <w:sz w:val="24"/>
          <w:szCs w:val="24"/>
        </w:rPr>
        <w:t>a benchmark price in respect of each Municipal (licensee) customer category.</w:t>
      </w:r>
    </w:p>
    <w:p w:rsidR="006D2796" w:rsidRPr="00334D8D" w:rsidRDefault="006D2796" w:rsidP="00FF0AC8">
      <w:pPr>
        <w:spacing w:after="0" w:line="360" w:lineRule="auto"/>
        <w:ind w:left="1440" w:hanging="720"/>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[21</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The Tariff Guideline sets the tariffs that NERSA deems justifiable to be raised by municipal licensees when supplying electricity to t</w:t>
      </w:r>
      <w:r w:rsidR="00C41BBC" w:rsidRPr="00854D84">
        <w:rPr>
          <w:rFonts w:ascii="Arial" w:hAnsi="Arial" w:cs="Arial"/>
          <w:color w:val="000000"/>
          <w:sz w:val="24"/>
          <w:szCs w:val="24"/>
        </w:rPr>
        <w:t>heir var</w:t>
      </w:r>
      <w:r w:rsidR="00C41BBC">
        <w:rPr>
          <w:rFonts w:ascii="Arial" w:hAnsi="Arial" w:cs="Arial"/>
          <w:color w:val="000000"/>
          <w:sz w:val="24"/>
          <w:szCs w:val="24"/>
        </w:rPr>
        <w:t>ious categories of customers, and</w:t>
      </w:r>
      <w:r w:rsidR="00C41BBC" w:rsidRPr="00854D84">
        <w:rPr>
          <w:rFonts w:ascii="Arial" w:hAnsi="Arial" w:cs="Arial"/>
          <w:color w:val="000000"/>
          <w:sz w:val="24"/>
          <w:szCs w:val="24"/>
        </w:rPr>
        <w:t xml:space="preserve"> is updated annually.</w:t>
      </w:r>
    </w:p>
    <w:p w:rsidR="00FA10F9" w:rsidRPr="00854D84" w:rsidRDefault="00FA10F9"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[22</w:t>
      </w:r>
      <w:r w:rsidR="00C41BBC">
        <w:rPr>
          <w:rFonts w:ascii="Arial" w:hAnsi="Arial" w:cs="Arial"/>
          <w:color w:val="000000"/>
          <w:sz w:val="24"/>
          <w:szCs w:val="24"/>
        </w:rPr>
        <w:t>]</w:t>
      </w:r>
      <w:r w:rsidR="00C41BBC">
        <w:rPr>
          <w:rFonts w:ascii="Arial" w:hAnsi="Arial" w:cs="Arial"/>
          <w:color w:val="000000"/>
          <w:sz w:val="24"/>
          <w:szCs w:val="24"/>
        </w:rPr>
        <w:tab/>
      </w:r>
      <w:r w:rsidR="00C41BBC" w:rsidRPr="00854D84">
        <w:rPr>
          <w:rFonts w:ascii="Arial" w:hAnsi="Arial" w:cs="Arial"/>
          <w:color w:val="000000"/>
          <w:sz w:val="24"/>
          <w:szCs w:val="24"/>
        </w:rPr>
        <w:t>NERSA, also, reviews the tariff benchmarks and recommends the new benchmarks that would be used in the evaluation of the municipal tariff applications and are developed in order to ensure that tariffs across municipalities are not vastly different.</w:t>
      </w:r>
    </w:p>
    <w:p w:rsidR="009F5B6E" w:rsidRPr="00854D84" w:rsidRDefault="009F5B6E" w:rsidP="00FF0AC8">
      <w:pPr>
        <w:spacing w:after="0" w:line="360" w:lineRule="auto"/>
        <w:jc w:val="both"/>
        <w:rPr>
          <w:rFonts w:ascii="Arial" w:hAnsi="Arial" w:cs="Arial"/>
          <w:color w:val="000000"/>
          <w:sz w:val="24"/>
          <w:szCs w:val="24"/>
        </w:rPr>
      </w:pPr>
    </w:p>
    <w:p w:rsidR="00C41BBC" w:rsidRPr="00334D8D"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[23</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The Tariff Guideline</w:t>
      </w:r>
      <w:r w:rsidR="00C41BBC">
        <w:rPr>
          <w:rFonts w:ascii="Arial" w:hAnsi="Arial" w:cs="Arial"/>
          <w:color w:val="000000"/>
          <w:sz w:val="24"/>
          <w:szCs w:val="24"/>
        </w:rPr>
        <w:t>, done in terms of the benchmark formulation,</w:t>
      </w:r>
      <w:r w:rsidR="00C41BBC" w:rsidRPr="00334D8D">
        <w:rPr>
          <w:rFonts w:ascii="Arial" w:hAnsi="Arial" w:cs="Arial"/>
          <w:color w:val="000000"/>
          <w:sz w:val="24"/>
          <w:szCs w:val="24"/>
        </w:rPr>
        <w:t xml:space="preserve"> </w:t>
      </w:r>
      <w:r w:rsidR="00C41BBC">
        <w:rPr>
          <w:rFonts w:ascii="Arial" w:hAnsi="Arial" w:cs="Arial"/>
          <w:color w:val="000000"/>
          <w:sz w:val="24"/>
          <w:szCs w:val="24"/>
        </w:rPr>
        <w:t xml:space="preserve">is communicated to municipal distributors as a guideline in determining their annual electricity tariffs. This </w:t>
      </w:r>
      <w:r w:rsidR="00C41BBC" w:rsidRPr="00334D8D">
        <w:rPr>
          <w:rFonts w:ascii="Arial" w:hAnsi="Arial" w:cs="Arial"/>
          <w:color w:val="000000"/>
          <w:sz w:val="24"/>
          <w:szCs w:val="24"/>
        </w:rPr>
        <w:t>occurs in the following manner:</w:t>
      </w:r>
    </w:p>
    <w:p w:rsidR="00C41BBC" w:rsidRPr="00334D8D" w:rsidRDefault="00C41BBC"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lastRenderedPageBreak/>
        <w:t>2</w:t>
      </w:r>
      <w:r w:rsidR="001D3E9F">
        <w:rPr>
          <w:rFonts w:ascii="Arial" w:hAnsi="Arial" w:cs="Arial"/>
          <w:color w:val="000000"/>
          <w:sz w:val="24"/>
          <w:szCs w:val="24"/>
        </w:rPr>
        <w:t>3</w:t>
      </w:r>
      <w:r>
        <w:rPr>
          <w:rFonts w:ascii="Arial" w:hAnsi="Arial" w:cs="Arial"/>
          <w:color w:val="000000"/>
          <w:sz w:val="24"/>
          <w:szCs w:val="24"/>
        </w:rPr>
        <w:t>.1</w:t>
      </w:r>
      <w:r>
        <w:rPr>
          <w:rFonts w:ascii="Arial" w:hAnsi="Arial" w:cs="Arial"/>
          <w:color w:val="000000"/>
          <w:sz w:val="24"/>
          <w:szCs w:val="24"/>
        </w:rPr>
        <w:tab/>
        <w:t>NERSA issues</w:t>
      </w:r>
      <w:r w:rsidR="00327F7D">
        <w:rPr>
          <w:rFonts w:ascii="Arial" w:hAnsi="Arial" w:cs="Arial"/>
          <w:color w:val="000000"/>
          <w:sz w:val="24"/>
          <w:szCs w:val="24"/>
        </w:rPr>
        <w:t xml:space="preserve"> a C</w:t>
      </w:r>
      <w:r w:rsidRPr="00334D8D">
        <w:rPr>
          <w:rFonts w:ascii="Arial" w:hAnsi="Arial" w:cs="Arial"/>
          <w:color w:val="000000"/>
          <w:sz w:val="24"/>
          <w:szCs w:val="24"/>
        </w:rPr>
        <w:t xml:space="preserve">onsultation </w:t>
      </w:r>
      <w:r w:rsidR="00327F7D">
        <w:rPr>
          <w:rFonts w:ascii="Arial" w:hAnsi="Arial" w:cs="Arial"/>
          <w:color w:val="000000"/>
          <w:sz w:val="24"/>
          <w:szCs w:val="24"/>
        </w:rPr>
        <w:t>P</w:t>
      </w:r>
      <w:r w:rsidR="005B1021">
        <w:rPr>
          <w:rFonts w:ascii="Arial" w:hAnsi="Arial" w:cs="Arial"/>
          <w:color w:val="000000"/>
          <w:sz w:val="24"/>
          <w:szCs w:val="24"/>
        </w:rPr>
        <w:t>aper</w:t>
      </w:r>
      <w:r w:rsidR="005B1021">
        <w:rPr>
          <w:rStyle w:val="FootnoteReference"/>
          <w:rFonts w:ascii="Arial" w:hAnsi="Arial" w:cs="Arial"/>
          <w:color w:val="000000"/>
          <w:sz w:val="24"/>
          <w:szCs w:val="24"/>
        </w:rPr>
        <w:footnoteReference w:id="7"/>
      </w:r>
      <w:r w:rsidRPr="00334D8D">
        <w:rPr>
          <w:rFonts w:ascii="Arial" w:hAnsi="Arial" w:cs="Arial"/>
          <w:color w:val="000000"/>
          <w:sz w:val="24"/>
          <w:szCs w:val="24"/>
        </w:rPr>
        <w:t xml:space="preserve"> setting out proposed increases to the Municipal Tariff Guideline for the forthcoming financial year. This normally happens during September to October of the year preceding the financial year in respect of which the guideline tariff will become applicable; </w:t>
      </w:r>
    </w:p>
    <w:p w:rsidR="00C41BBC" w:rsidRPr="00334D8D" w:rsidRDefault="001D3E9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23</w:t>
      </w:r>
      <w:r w:rsidR="00C41BBC">
        <w:rPr>
          <w:rFonts w:ascii="Arial" w:hAnsi="Arial" w:cs="Arial"/>
          <w:color w:val="000000"/>
          <w:sz w:val="24"/>
          <w:szCs w:val="24"/>
        </w:rPr>
        <w:t>.2</w:t>
      </w:r>
      <w:r w:rsidR="00C41BBC">
        <w:rPr>
          <w:rFonts w:ascii="Arial" w:hAnsi="Arial" w:cs="Arial"/>
          <w:color w:val="000000"/>
          <w:sz w:val="24"/>
          <w:szCs w:val="24"/>
        </w:rPr>
        <w:tab/>
      </w:r>
      <w:r w:rsidR="00C41BBC" w:rsidRPr="00334D8D">
        <w:rPr>
          <w:rFonts w:ascii="Arial" w:hAnsi="Arial" w:cs="Arial"/>
          <w:color w:val="000000"/>
          <w:sz w:val="24"/>
          <w:szCs w:val="24"/>
        </w:rPr>
        <w:t>Consultation between NERSA and licensees (municipalities) and stakeholders</w:t>
      </w:r>
      <w:r w:rsidR="00C41BBC">
        <w:rPr>
          <w:rFonts w:ascii="Arial" w:hAnsi="Arial" w:cs="Arial"/>
          <w:color w:val="000000"/>
          <w:sz w:val="24"/>
          <w:szCs w:val="24"/>
        </w:rPr>
        <w:t>, takes place</w:t>
      </w:r>
      <w:r w:rsidR="00C41BBC" w:rsidRPr="00334D8D">
        <w:rPr>
          <w:rFonts w:ascii="Arial" w:hAnsi="Arial" w:cs="Arial"/>
          <w:color w:val="000000"/>
          <w:sz w:val="24"/>
          <w:szCs w:val="24"/>
        </w:rPr>
        <w:t>;</w:t>
      </w:r>
    </w:p>
    <w:p w:rsidR="00C41BBC" w:rsidRPr="00334D8D" w:rsidRDefault="001D3E9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23</w:t>
      </w:r>
      <w:r w:rsidR="00C41BBC">
        <w:rPr>
          <w:rFonts w:ascii="Arial" w:hAnsi="Arial" w:cs="Arial"/>
          <w:color w:val="000000"/>
          <w:sz w:val="24"/>
          <w:szCs w:val="24"/>
        </w:rPr>
        <w:t>.3</w:t>
      </w:r>
      <w:r w:rsidR="00C41BBC">
        <w:rPr>
          <w:rFonts w:ascii="Arial" w:hAnsi="Arial" w:cs="Arial"/>
          <w:color w:val="000000"/>
          <w:sz w:val="24"/>
          <w:szCs w:val="24"/>
        </w:rPr>
        <w:tab/>
        <w:t xml:space="preserve">After the consultation process </w:t>
      </w:r>
      <w:r w:rsidR="00C41BBC" w:rsidRPr="00334D8D">
        <w:rPr>
          <w:rFonts w:ascii="Arial" w:hAnsi="Arial" w:cs="Arial"/>
          <w:color w:val="000000"/>
          <w:sz w:val="24"/>
          <w:szCs w:val="24"/>
        </w:rPr>
        <w:t>NERSA determin</w:t>
      </w:r>
      <w:r w:rsidR="00C41BBC">
        <w:rPr>
          <w:rFonts w:ascii="Arial" w:hAnsi="Arial" w:cs="Arial"/>
          <w:color w:val="000000"/>
          <w:sz w:val="24"/>
          <w:szCs w:val="24"/>
        </w:rPr>
        <w:t xml:space="preserve">es </w:t>
      </w:r>
      <w:r w:rsidR="00C41BBC" w:rsidRPr="00334D8D">
        <w:rPr>
          <w:rFonts w:ascii="Arial" w:hAnsi="Arial" w:cs="Arial"/>
          <w:color w:val="000000"/>
          <w:sz w:val="24"/>
          <w:szCs w:val="24"/>
        </w:rPr>
        <w:t xml:space="preserve">the Municipal Tariff Guideline for the relevant year during March to April of the year during which the increases are to take effect; and </w:t>
      </w:r>
    </w:p>
    <w:p w:rsidR="00C41BBC" w:rsidRDefault="001D3E9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23</w:t>
      </w:r>
      <w:r w:rsidR="00C41BBC">
        <w:rPr>
          <w:rFonts w:ascii="Arial" w:hAnsi="Arial" w:cs="Arial"/>
          <w:color w:val="000000"/>
          <w:sz w:val="24"/>
          <w:szCs w:val="24"/>
        </w:rPr>
        <w:t>.4</w:t>
      </w:r>
      <w:r w:rsidR="00C41BBC">
        <w:rPr>
          <w:rFonts w:ascii="Arial" w:hAnsi="Arial" w:cs="Arial"/>
          <w:color w:val="000000"/>
          <w:sz w:val="24"/>
          <w:szCs w:val="24"/>
        </w:rPr>
        <w:tab/>
      </w:r>
      <w:r w:rsidR="00C41BBC" w:rsidRPr="00334D8D">
        <w:rPr>
          <w:rFonts w:ascii="Arial" w:hAnsi="Arial" w:cs="Arial"/>
          <w:color w:val="000000"/>
          <w:sz w:val="24"/>
          <w:szCs w:val="24"/>
        </w:rPr>
        <w:t xml:space="preserve">The determined Municipal Tariff Guideline and its reasons therefor </w:t>
      </w:r>
      <w:r w:rsidR="00C41BBC">
        <w:rPr>
          <w:rFonts w:ascii="Arial" w:hAnsi="Arial" w:cs="Arial"/>
          <w:color w:val="000000"/>
          <w:sz w:val="24"/>
          <w:szCs w:val="24"/>
        </w:rPr>
        <w:t xml:space="preserve">are then published </w:t>
      </w:r>
      <w:r w:rsidR="00C41BBC" w:rsidRPr="00334D8D">
        <w:rPr>
          <w:rFonts w:ascii="Arial" w:hAnsi="Arial" w:cs="Arial"/>
          <w:color w:val="000000"/>
          <w:sz w:val="24"/>
          <w:szCs w:val="24"/>
        </w:rPr>
        <w:t>by NERSA on the NERSA Website, in compliance with the provisions of section 10(2) of the ERA.</w:t>
      </w:r>
    </w:p>
    <w:p w:rsidR="00FA10F9" w:rsidRPr="00334D8D" w:rsidRDefault="00FA10F9" w:rsidP="00FF0AC8">
      <w:pPr>
        <w:spacing w:after="0" w:line="360" w:lineRule="auto"/>
        <w:ind w:left="1440" w:hanging="720"/>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[24</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Following the issuing of the Tariff Guideline, all municipal license</w:t>
      </w:r>
      <w:r w:rsidR="00C41BBC">
        <w:rPr>
          <w:rFonts w:ascii="Arial" w:hAnsi="Arial" w:cs="Arial"/>
          <w:color w:val="000000"/>
          <w:sz w:val="24"/>
          <w:szCs w:val="24"/>
        </w:rPr>
        <w:t xml:space="preserve">es </w:t>
      </w:r>
      <w:r w:rsidR="00C41BBC" w:rsidRPr="00334D8D">
        <w:rPr>
          <w:rFonts w:ascii="Arial" w:hAnsi="Arial" w:cs="Arial"/>
          <w:color w:val="000000"/>
          <w:sz w:val="24"/>
          <w:szCs w:val="24"/>
        </w:rPr>
        <w:t>are required to submit fully motivated proposals to NERSA in respect of their tariffs for the forthcoming year. The submission</w:t>
      </w:r>
      <w:r w:rsidR="00C41BBC">
        <w:rPr>
          <w:rFonts w:ascii="Arial" w:hAnsi="Arial" w:cs="Arial"/>
          <w:color w:val="000000"/>
          <w:sz w:val="24"/>
          <w:szCs w:val="24"/>
        </w:rPr>
        <w:t>s of the applications,</w:t>
      </w:r>
      <w:r w:rsidR="00C41BBC" w:rsidRPr="00334D8D">
        <w:rPr>
          <w:rFonts w:ascii="Arial" w:hAnsi="Arial" w:cs="Arial"/>
          <w:color w:val="000000"/>
          <w:sz w:val="24"/>
          <w:szCs w:val="24"/>
        </w:rPr>
        <w:t xml:space="preserve"> </w:t>
      </w:r>
      <w:r w:rsidR="00C41BBC">
        <w:rPr>
          <w:rFonts w:ascii="Arial" w:hAnsi="Arial" w:cs="Arial"/>
          <w:color w:val="000000"/>
          <w:sz w:val="24"/>
          <w:szCs w:val="24"/>
        </w:rPr>
        <w:t>ar</w:t>
      </w:r>
      <w:r w:rsidR="00C41BBC" w:rsidRPr="00334D8D">
        <w:rPr>
          <w:rFonts w:ascii="Arial" w:hAnsi="Arial" w:cs="Arial"/>
          <w:color w:val="000000"/>
          <w:sz w:val="24"/>
          <w:szCs w:val="24"/>
        </w:rPr>
        <w:t>e intended to take place during April to June</w:t>
      </w:r>
      <w:r w:rsidR="00C41BBC">
        <w:rPr>
          <w:rFonts w:ascii="Arial" w:hAnsi="Arial" w:cs="Arial"/>
          <w:color w:val="000000"/>
          <w:sz w:val="24"/>
          <w:szCs w:val="24"/>
        </w:rPr>
        <w:t>, for implementation on 1 July of that year</w:t>
      </w:r>
      <w:r w:rsidR="00C41BBC" w:rsidRPr="00334D8D">
        <w:rPr>
          <w:rFonts w:ascii="Arial" w:hAnsi="Arial" w:cs="Arial"/>
          <w:color w:val="000000"/>
          <w:sz w:val="24"/>
          <w:szCs w:val="24"/>
        </w:rPr>
        <w:t xml:space="preserve">. </w:t>
      </w:r>
    </w:p>
    <w:p w:rsidR="0065580D" w:rsidRPr="00334D8D" w:rsidRDefault="0065580D" w:rsidP="00FF0AC8">
      <w:pPr>
        <w:spacing w:after="0" w:line="360" w:lineRule="auto"/>
        <w:jc w:val="both"/>
        <w:rPr>
          <w:rFonts w:ascii="Arial" w:hAnsi="Arial" w:cs="Arial"/>
          <w:color w:val="000000"/>
          <w:sz w:val="24"/>
          <w:szCs w:val="24"/>
        </w:rPr>
      </w:pPr>
    </w:p>
    <w:p w:rsidR="00C41BBC" w:rsidRPr="00334D8D" w:rsidRDefault="001D3E9F" w:rsidP="00917D2E">
      <w:pPr>
        <w:spacing w:line="360" w:lineRule="auto"/>
        <w:jc w:val="both"/>
        <w:rPr>
          <w:rFonts w:ascii="Arial" w:hAnsi="Arial" w:cs="Arial"/>
          <w:color w:val="000000"/>
          <w:sz w:val="24"/>
          <w:szCs w:val="24"/>
        </w:rPr>
      </w:pPr>
      <w:r>
        <w:rPr>
          <w:rFonts w:ascii="Arial" w:hAnsi="Arial" w:cs="Arial"/>
          <w:color w:val="000000"/>
          <w:sz w:val="24"/>
          <w:szCs w:val="24"/>
        </w:rPr>
        <w:t>[25</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 xml:space="preserve">The approval process proceeds as follows: </w:t>
      </w:r>
    </w:p>
    <w:p w:rsidR="00C41BBC" w:rsidRPr="00334D8D" w:rsidRDefault="00C41BBC"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2</w:t>
      </w:r>
      <w:r w:rsidR="001D3E9F">
        <w:rPr>
          <w:rFonts w:ascii="Arial" w:hAnsi="Arial" w:cs="Arial"/>
          <w:color w:val="000000"/>
          <w:sz w:val="24"/>
          <w:szCs w:val="24"/>
        </w:rPr>
        <w:t>5</w:t>
      </w:r>
      <w:r>
        <w:rPr>
          <w:rFonts w:ascii="Arial" w:hAnsi="Arial" w:cs="Arial"/>
          <w:color w:val="000000"/>
          <w:sz w:val="24"/>
          <w:szCs w:val="24"/>
        </w:rPr>
        <w:t>.1</w:t>
      </w:r>
      <w:r>
        <w:rPr>
          <w:rFonts w:ascii="Arial" w:hAnsi="Arial" w:cs="Arial"/>
          <w:color w:val="000000"/>
          <w:sz w:val="24"/>
          <w:szCs w:val="24"/>
        </w:rPr>
        <w:tab/>
      </w:r>
      <w:r w:rsidRPr="00334D8D">
        <w:rPr>
          <w:rFonts w:ascii="Arial" w:hAnsi="Arial" w:cs="Arial"/>
          <w:color w:val="000000"/>
          <w:sz w:val="24"/>
          <w:szCs w:val="24"/>
        </w:rPr>
        <w:t xml:space="preserve">If the licensee's proposal falls within the parameters of the Municipal Tariff Guideline, the proposal is generally accepted and approved by NERSA without further consideration; but </w:t>
      </w:r>
    </w:p>
    <w:p w:rsidR="0065580D" w:rsidRPr="00334D8D" w:rsidRDefault="001D3E9F" w:rsidP="00917D2E">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25</w:t>
      </w:r>
      <w:r w:rsidR="00C41BBC">
        <w:rPr>
          <w:rFonts w:ascii="Arial" w:hAnsi="Arial" w:cs="Arial"/>
          <w:color w:val="000000"/>
          <w:sz w:val="24"/>
          <w:szCs w:val="24"/>
        </w:rPr>
        <w:t>.2</w:t>
      </w:r>
      <w:r w:rsidR="00C41BBC">
        <w:rPr>
          <w:rFonts w:ascii="Arial" w:hAnsi="Arial" w:cs="Arial"/>
          <w:color w:val="000000"/>
          <w:sz w:val="24"/>
          <w:szCs w:val="24"/>
        </w:rPr>
        <w:tab/>
      </w:r>
      <w:r w:rsidR="00C41BBC" w:rsidRPr="00334D8D">
        <w:rPr>
          <w:rFonts w:ascii="Arial" w:hAnsi="Arial" w:cs="Arial"/>
          <w:color w:val="000000"/>
          <w:sz w:val="24"/>
          <w:szCs w:val="24"/>
        </w:rPr>
        <w:t xml:space="preserve">If the proposal exceeds the approved Municipal Tariff Guideline, the proposal is referred to as an "above the guideline" increase, </w:t>
      </w:r>
      <w:r w:rsidR="00C41BBC">
        <w:rPr>
          <w:rFonts w:ascii="Arial" w:hAnsi="Arial" w:cs="Arial"/>
          <w:color w:val="000000"/>
          <w:sz w:val="24"/>
          <w:szCs w:val="24"/>
        </w:rPr>
        <w:t xml:space="preserve">and will have to be justified before consideration and approval or rejection </w:t>
      </w:r>
      <w:r w:rsidR="003071C9">
        <w:rPr>
          <w:rFonts w:ascii="Arial" w:hAnsi="Arial" w:cs="Arial"/>
          <w:color w:val="000000"/>
          <w:sz w:val="24"/>
          <w:szCs w:val="24"/>
        </w:rPr>
        <w:t>by NERSA.</w:t>
      </w: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lastRenderedPageBreak/>
        <w:t>[26</w:t>
      </w:r>
      <w:r w:rsidR="00C41BBC">
        <w:rPr>
          <w:rFonts w:ascii="Arial" w:hAnsi="Arial" w:cs="Arial"/>
          <w:color w:val="000000"/>
          <w:sz w:val="24"/>
          <w:szCs w:val="24"/>
        </w:rPr>
        <w:t>]</w:t>
      </w:r>
      <w:r w:rsidR="00C41BBC">
        <w:rPr>
          <w:rFonts w:ascii="Arial" w:hAnsi="Arial" w:cs="Arial"/>
          <w:color w:val="000000"/>
          <w:sz w:val="24"/>
          <w:szCs w:val="24"/>
        </w:rPr>
        <w:tab/>
        <w:t>T</w:t>
      </w:r>
      <w:r w:rsidR="00C41BBC" w:rsidRPr="00334D8D">
        <w:rPr>
          <w:rFonts w:ascii="Arial" w:hAnsi="Arial" w:cs="Arial"/>
          <w:color w:val="000000"/>
          <w:sz w:val="24"/>
          <w:szCs w:val="24"/>
        </w:rPr>
        <w:t xml:space="preserve">he electricity tariffs </w:t>
      </w:r>
      <w:r w:rsidR="00C41BBC">
        <w:rPr>
          <w:rFonts w:ascii="Arial" w:hAnsi="Arial" w:cs="Arial"/>
          <w:color w:val="000000"/>
          <w:sz w:val="24"/>
          <w:szCs w:val="24"/>
        </w:rPr>
        <w:t xml:space="preserve">approved by NERSA </w:t>
      </w:r>
      <w:r w:rsidR="00C41BBC" w:rsidRPr="00334D8D">
        <w:rPr>
          <w:rFonts w:ascii="Arial" w:hAnsi="Arial" w:cs="Arial"/>
          <w:color w:val="000000"/>
          <w:sz w:val="24"/>
          <w:szCs w:val="24"/>
        </w:rPr>
        <w:t xml:space="preserve">are incorporated into each municipality's annual Budget and submitted to Council for approval. Following the completion of the municipal budget process, the Municipal Tariff takes effect with the implementation of the Municipal Budget on 1 July of every year. The </w:t>
      </w:r>
      <w:r w:rsidR="00C41BBC">
        <w:rPr>
          <w:rFonts w:ascii="Arial" w:hAnsi="Arial" w:cs="Arial"/>
          <w:color w:val="000000"/>
          <w:sz w:val="24"/>
          <w:szCs w:val="24"/>
        </w:rPr>
        <w:t xml:space="preserve">impugned decision </w:t>
      </w:r>
      <w:r w:rsidR="00C41BBC" w:rsidRPr="00334D8D">
        <w:rPr>
          <w:rFonts w:ascii="Arial" w:hAnsi="Arial" w:cs="Arial"/>
          <w:color w:val="000000"/>
          <w:sz w:val="24"/>
          <w:szCs w:val="24"/>
        </w:rPr>
        <w:t xml:space="preserve">is the outcome of this process </w:t>
      </w:r>
      <w:r w:rsidR="00C41BBC">
        <w:rPr>
          <w:rFonts w:ascii="Arial" w:hAnsi="Arial" w:cs="Arial"/>
          <w:color w:val="000000"/>
          <w:sz w:val="24"/>
          <w:szCs w:val="24"/>
        </w:rPr>
        <w:t xml:space="preserve">in </w:t>
      </w:r>
      <w:r w:rsidR="00C41BBC" w:rsidRPr="00334D8D">
        <w:rPr>
          <w:rFonts w:ascii="Arial" w:hAnsi="Arial" w:cs="Arial"/>
          <w:color w:val="000000"/>
          <w:sz w:val="24"/>
          <w:szCs w:val="24"/>
        </w:rPr>
        <w:t>reg</w:t>
      </w:r>
      <w:r w:rsidR="00C41BBC">
        <w:rPr>
          <w:rFonts w:ascii="Arial" w:hAnsi="Arial" w:cs="Arial"/>
          <w:color w:val="000000"/>
          <w:sz w:val="24"/>
          <w:szCs w:val="24"/>
        </w:rPr>
        <w:t xml:space="preserve">ard to </w:t>
      </w:r>
      <w:r w:rsidR="00C41BBC" w:rsidRPr="00334D8D">
        <w:rPr>
          <w:rFonts w:ascii="Arial" w:hAnsi="Arial" w:cs="Arial"/>
          <w:color w:val="000000"/>
          <w:sz w:val="24"/>
          <w:szCs w:val="24"/>
        </w:rPr>
        <w:t>the submission of tariff</w:t>
      </w:r>
      <w:r w:rsidR="00C41BBC">
        <w:rPr>
          <w:rFonts w:ascii="Arial" w:hAnsi="Arial" w:cs="Arial"/>
          <w:color w:val="000000"/>
          <w:sz w:val="24"/>
          <w:szCs w:val="24"/>
        </w:rPr>
        <w:t>s</w:t>
      </w:r>
      <w:r w:rsidR="00C41BBC" w:rsidRPr="00334D8D">
        <w:rPr>
          <w:rFonts w:ascii="Arial" w:hAnsi="Arial" w:cs="Arial"/>
          <w:color w:val="000000"/>
          <w:sz w:val="24"/>
          <w:szCs w:val="24"/>
        </w:rPr>
        <w:t xml:space="preserve"> application by City Power</w:t>
      </w:r>
      <w:r w:rsidR="00C41BBC">
        <w:rPr>
          <w:rFonts w:ascii="Arial" w:hAnsi="Arial" w:cs="Arial"/>
          <w:color w:val="000000"/>
          <w:sz w:val="24"/>
          <w:szCs w:val="24"/>
        </w:rPr>
        <w:t xml:space="preserve"> and the resultant </w:t>
      </w:r>
      <w:r w:rsidR="000F364A">
        <w:rPr>
          <w:rFonts w:ascii="Arial" w:hAnsi="Arial" w:cs="Arial"/>
          <w:color w:val="000000"/>
          <w:sz w:val="24"/>
          <w:szCs w:val="24"/>
        </w:rPr>
        <w:t>approval of</w:t>
      </w:r>
      <w:r w:rsidR="00C41BBC" w:rsidRPr="00334D8D">
        <w:rPr>
          <w:rFonts w:ascii="Arial" w:hAnsi="Arial" w:cs="Arial"/>
          <w:color w:val="000000"/>
          <w:sz w:val="24"/>
          <w:szCs w:val="24"/>
        </w:rPr>
        <w:t xml:space="preserve"> </w:t>
      </w:r>
      <w:r w:rsidR="00C41BBC">
        <w:rPr>
          <w:rFonts w:ascii="Arial" w:hAnsi="Arial" w:cs="Arial"/>
          <w:color w:val="000000"/>
          <w:sz w:val="24"/>
          <w:szCs w:val="24"/>
        </w:rPr>
        <w:t>tariffs of the City of Johannesburg for the 2019/2020 financial year</w:t>
      </w:r>
      <w:r w:rsidR="00C41BBC" w:rsidRPr="00334D8D">
        <w:rPr>
          <w:rFonts w:ascii="Arial" w:hAnsi="Arial" w:cs="Arial"/>
          <w:color w:val="000000"/>
          <w:sz w:val="24"/>
          <w:szCs w:val="24"/>
        </w:rPr>
        <w:t>.</w:t>
      </w:r>
    </w:p>
    <w:p w:rsidR="0065580D" w:rsidRDefault="0065580D" w:rsidP="00FF0AC8">
      <w:pPr>
        <w:spacing w:after="0" w:line="360" w:lineRule="auto"/>
        <w:jc w:val="both"/>
        <w:rPr>
          <w:rFonts w:ascii="Arial" w:hAnsi="Arial" w:cs="Arial"/>
          <w:color w:val="000000"/>
          <w:sz w:val="24"/>
          <w:szCs w:val="24"/>
        </w:rPr>
      </w:pPr>
    </w:p>
    <w:p w:rsidR="00C41BBC" w:rsidRDefault="00C41BBC" w:rsidP="00917D2E">
      <w:pPr>
        <w:spacing w:line="360" w:lineRule="auto"/>
        <w:jc w:val="both"/>
        <w:rPr>
          <w:rFonts w:ascii="Arial" w:hAnsi="Arial" w:cs="Arial"/>
          <w:b/>
          <w:color w:val="000000"/>
          <w:sz w:val="24"/>
          <w:szCs w:val="24"/>
        </w:rPr>
      </w:pPr>
      <w:r w:rsidRPr="00DC27BC">
        <w:rPr>
          <w:rFonts w:ascii="Arial" w:hAnsi="Arial" w:cs="Arial"/>
          <w:b/>
          <w:color w:val="000000"/>
          <w:sz w:val="24"/>
          <w:szCs w:val="24"/>
        </w:rPr>
        <w:t>CITY POWERS’ APPLICATION</w:t>
      </w: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[27</w:t>
      </w:r>
      <w:r w:rsidR="00C41BBC">
        <w:rPr>
          <w:rFonts w:ascii="Arial" w:hAnsi="Arial" w:cs="Arial"/>
          <w:color w:val="000000"/>
          <w:sz w:val="24"/>
          <w:szCs w:val="24"/>
        </w:rPr>
        <w:t>]</w:t>
      </w:r>
      <w:r w:rsidR="00C41BBC">
        <w:rPr>
          <w:rFonts w:ascii="Arial" w:hAnsi="Arial" w:cs="Arial"/>
          <w:color w:val="000000"/>
          <w:sz w:val="24"/>
          <w:szCs w:val="24"/>
        </w:rPr>
        <w:tab/>
        <w:t xml:space="preserve">The process set out above, is the same process that NERSA followed when setting tariffs for the 2019/2020 financial year. The only difference is that in the 2019/2020 financial year, NERSA is said to have used D-Forms for the 2017/2018 financial year instead of the 2018/2019 financial year. In addition, the </w:t>
      </w:r>
      <w:r w:rsidR="00C41BBC" w:rsidRPr="00334D8D">
        <w:rPr>
          <w:rFonts w:ascii="Arial" w:hAnsi="Arial" w:cs="Arial"/>
          <w:color w:val="000000"/>
          <w:sz w:val="24"/>
          <w:szCs w:val="24"/>
        </w:rPr>
        <w:t xml:space="preserve">Municipal Guideline determination </w:t>
      </w:r>
      <w:r w:rsidR="00C41BBC">
        <w:rPr>
          <w:rFonts w:ascii="Arial" w:hAnsi="Arial" w:cs="Arial"/>
          <w:color w:val="000000"/>
          <w:sz w:val="24"/>
          <w:szCs w:val="24"/>
        </w:rPr>
        <w:t xml:space="preserve">were issued </w:t>
      </w:r>
      <w:r w:rsidR="00C41BBC" w:rsidRPr="00334D8D">
        <w:rPr>
          <w:rFonts w:ascii="Arial" w:hAnsi="Arial" w:cs="Arial"/>
          <w:color w:val="000000"/>
          <w:sz w:val="24"/>
          <w:szCs w:val="24"/>
        </w:rPr>
        <w:t>on 23 May 2019</w:t>
      </w:r>
      <w:r w:rsidR="00C41BBC">
        <w:rPr>
          <w:rFonts w:ascii="Arial" w:hAnsi="Arial" w:cs="Arial"/>
          <w:color w:val="000000"/>
          <w:sz w:val="24"/>
          <w:szCs w:val="24"/>
        </w:rPr>
        <w:t xml:space="preserve"> instead of April to June 2019</w:t>
      </w:r>
      <w:r w:rsidR="00C41BBC" w:rsidRPr="00334D8D">
        <w:rPr>
          <w:rFonts w:ascii="Arial" w:hAnsi="Arial" w:cs="Arial"/>
          <w:color w:val="000000"/>
          <w:sz w:val="24"/>
          <w:szCs w:val="24"/>
        </w:rPr>
        <w:t>.</w:t>
      </w:r>
    </w:p>
    <w:p w:rsidR="00730C77" w:rsidRDefault="00730C77"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[28</w:t>
      </w:r>
      <w:r w:rsidR="00C41BBC">
        <w:rPr>
          <w:rFonts w:ascii="Arial" w:hAnsi="Arial" w:cs="Arial"/>
          <w:color w:val="000000"/>
          <w:sz w:val="24"/>
          <w:szCs w:val="24"/>
        </w:rPr>
        <w:t>]</w:t>
      </w:r>
      <w:r w:rsidR="00C41BBC">
        <w:rPr>
          <w:rFonts w:ascii="Arial" w:hAnsi="Arial" w:cs="Arial"/>
          <w:color w:val="000000"/>
          <w:sz w:val="24"/>
          <w:szCs w:val="24"/>
        </w:rPr>
        <w:tab/>
        <w:t>City Power submitted its tariffs increase application for the 2019/20</w:t>
      </w:r>
      <w:r w:rsidR="00327F7D">
        <w:rPr>
          <w:rFonts w:ascii="Arial" w:hAnsi="Arial" w:cs="Arial"/>
          <w:color w:val="000000"/>
          <w:sz w:val="24"/>
          <w:szCs w:val="24"/>
        </w:rPr>
        <w:t>20</w:t>
      </w:r>
      <w:r w:rsidR="00C41BBC">
        <w:rPr>
          <w:rFonts w:ascii="Arial" w:hAnsi="Arial" w:cs="Arial"/>
          <w:color w:val="000000"/>
          <w:sz w:val="24"/>
          <w:szCs w:val="24"/>
        </w:rPr>
        <w:t xml:space="preserve"> financial year, on 14 March 2019. The application was to increase the tariffs by 12,20%. As earlier stated, NERSA issued</w:t>
      </w:r>
      <w:r w:rsidR="00C41BBC" w:rsidRPr="00334D8D">
        <w:rPr>
          <w:rFonts w:ascii="Arial" w:hAnsi="Arial" w:cs="Arial"/>
          <w:color w:val="000000"/>
          <w:sz w:val="24"/>
          <w:szCs w:val="24"/>
        </w:rPr>
        <w:t xml:space="preserve"> its Municipal Guideline determination on 23 May 2019</w:t>
      </w:r>
      <w:r w:rsidR="00C41BBC">
        <w:rPr>
          <w:rFonts w:ascii="Arial" w:hAnsi="Arial" w:cs="Arial"/>
          <w:color w:val="000000"/>
          <w:sz w:val="24"/>
          <w:szCs w:val="24"/>
        </w:rPr>
        <w:t>. On receipt of the municipal tariff guideline letter from NERSA, City Power submitted another application which amended the tariff increase of 12.20% to 13,07% in line with NERSA’s guideline tariffs. NERSA approved the 13,07% tariff increase as applied for by City Power. This is the decision that is being challenged by the Applicants in these proceedings.</w:t>
      </w:r>
    </w:p>
    <w:p w:rsidR="009F5B6E" w:rsidRPr="00334D8D" w:rsidRDefault="009F5B6E" w:rsidP="00FF0AC8">
      <w:pPr>
        <w:spacing w:after="0" w:line="360" w:lineRule="auto"/>
        <w:jc w:val="both"/>
        <w:rPr>
          <w:rFonts w:ascii="Arial" w:hAnsi="Arial" w:cs="Arial"/>
          <w:color w:val="000000"/>
          <w:sz w:val="24"/>
          <w:szCs w:val="24"/>
        </w:rPr>
      </w:pPr>
    </w:p>
    <w:p w:rsidR="009F5B6E" w:rsidRPr="00DC27BC" w:rsidRDefault="00C41BBC" w:rsidP="00917D2E">
      <w:pPr>
        <w:spacing w:line="360" w:lineRule="auto"/>
        <w:jc w:val="both"/>
        <w:rPr>
          <w:rFonts w:ascii="Arial" w:hAnsi="Arial" w:cs="Arial"/>
          <w:b/>
          <w:color w:val="000000"/>
          <w:sz w:val="24"/>
          <w:szCs w:val="24"/>
        </w:rPr>
      </w:pPr>
      <w:r w:rsidRPr="00DC27BC">
        <w:rPr>
          <w:rFonts w:ascii="Arial" w:hAnsi="Arial" w:cs="Arial"/>
          <w:b/>
          <w:color w:val="000000"/>
          <w:sz w:val="24"/>
          <w:szCs w:val="24"/>
        </w:rPr>
        <w:t>PR</w:t>
      </w:r>
      <w:r w:rsidR="00EF4C1A">
        <w:rPr>
          <w:rFonts w:ascii="Arial" w:hAnsi="Arial" w:cs="Arial"/>
          <w:b/>
          <w:color w:val="000000"/>
          <w:sz w:val="24"/>
          <w:szCs w:val="24"/>
        </w:rPr>
        <w:t>OCEDURAL</w:t>
      </w:r>
      <w:r w:rsidRPr="00DC27BC">
        <w:rPr>
          <w:rFonts w:ascii="Arial" w:hAnsi="Arial" w:cs="Arial"/>
          <w:b/>
          <w:color w:val="000000"/>
          <w:sz w:val="24"/>
          <w:szCs w:val="24"/>
        </w:rPr>
        <w:t xml:space="preserve"> ISSUES</w:t>
      </w:r>
    </w:p>
    <w:p w:rsidR="00C41BBC" w:rsidRPr="00334D8D" w:rsidRDefault="00C41BBC" w:rsidP="00917D2E">
      <w:pPr>
        <w:spacing w:line="360" w:lineRule="auto"/>
        <w:jc w:val="both"/>
        <w:rPr>
          <w:rFonts w:ascii="Arial" w:hAnsi="Arial" w:cs="Arial"/>
          <w:color w:val="000000"/>
          <w:sz w:val="24"/>
          <w:szCs w:val="24"/>
        </w:rPr>
      </w:pPr>
      <w:r w:rsidRPr="00334D8D">
        <w:rPr>
          <w:rFonts w:ascii="Arial" w:hAnsi="Arial" w:cs="Arial"/>
          <w:color w:val="000000"/>
          <w:sz w:val="24"/>
          <w:szCs w:val="24"/>
        </w:rPr>
        <w:tab/>
        <w:t>Disputes of fact</w:t>
      </w: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[29</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The issue of disputes of fact, more particularly between the expert report</w:t>
      </w:r>
      <w:r w:rsidR="00C41BBC">
        <w:rPr>
          <w:rFonts w:ascii="Arial" w:hAnsi="Arial" w:cs="Arial"/>
          <w:color w:val="000000"/>
          <w:sz w:val="24"/>
          <w:szCs w:val="24"/>
        </w:rPr>
        <w:t>s</w:t>
      </w:r>
      <w:r w:rsidR="00C41BBC" w:rsidRPr="00334D8D">
        <w:rPr>
          <w:rFonts w:ascii="Arial" w:hAnsi="Arial" w:cs="Arial"/>
          <w:color w:val="000000"/>
          <w:sz w:val="24"/>
          <w:szCs w:val="24"/>
        </w:rPr>
        <w:t xml:space="preserve"> on which the parties relied, arose sharply in NERSA’s papers, this issue </w:t>
      </w:r>
      <w:r w:rsidR="00C41BBC" w:rsidRPr="00334D8D">
        <w:rPr>
          <w:rFonts w:ascii="Arial" w:hAnsi="Arial" w:cs="Arial"/>
          <w:color w:val="000000"/>
          <w:sz w:val="24"/>
          <w:szCs w:val="24"/>
        </w:rPr>
        <w:lastRenderedPageBreak/>
        <w:t xml:space="preserve">was however, </w:t>
      </w:r>
      <w:r w:rsidR="00F714C4">
        <w:rPr>
          <w:rFonts w:ascii="Arial" w:hAnsi="Arial" w:cs="Arial"/>
          <w:color w:val="000000"/>
          <w:sz w:val="24"/>
          <w:szCs w:val="24"/>
        </w:rPr>
        <w:t xml:space="preserve">abandoned by NERSA at the commencement of the proceedings. </w:t>
      </w:r>
      <w:r w:rsidR="00C41BBC">
        <w:rPr>
          <w:rFonts w:ascii="Arial" w:hAnsi="Arial" w:cs="Arial"/>
          <w:color w:val="000000"/>
          <w:sz w:val="24"/>
          <w:szCs w:val="24"/>
        </w:rPr>
        <w:t>The issue will not be considered in this judgment.</w:t>
      </w:r>
    </w:p>
    <w:p w:rsidR="00D96AA7" w:rsidRPr="00334D8D" w:rsidRDefault="00D96AA7" w:rsidP="00FF0AC8">
      <w:pPr>
        <w:spacing w:after="0" w:line="360" w:lineRule="auto"/>
        <w:jc w:val="both"/>
        <w:rPr>
          <w:rFonts w:ascii="Arial" w:hAnsi="Arial" w:cs="Arial"/>
          <w:color w:val="000000"/>
          <w:sz w:val="24"/>
          <w:szCs w:val="24"/>
        </w:rPr>
      </w:pPr>
    </w:p>
    <w:p w:rsidR="00361F28" w:rsidRPr="00334D8D" w:rsidRDefault="00361F28" w:rsidP="00917D2E">
      <w:pPr>
        <w:spacing w:line="360" w:lineRule="auto"/>
        <w:jc w:val="both"/>
        <w:rPr>
          <w:rFonts w:ascii="Arial" w:hAnsi="Arial" w:cs="Arial"/>
          <w:color w:val="000000"/>
          <w:sz w:val="24"/>
          <w:szCs w:val="24"/>
        </w:rPr>
      </w:pPr>
      <w:r w:rsidRPr="00334D8D">
        <w:rPr>
          <w:rFonts w:ascii="Arial" w:hAnsi="Arial" w:cs="Arial"/>
          <w:color w:val="000000"/>
          <w:sz w:val="24"/>
          <w:szCs w:val="24"/>
        </w:rPr>
        <w:tab/>
      </w:r>
      <w:r w:rsidR="00433BD9">
        <w:rPr>
          <w:rFonts w:ascii="Arial" w:hAnsi="Arial" w:cs="Arial"/>
          <w:color w:val="000000"/>
          <w:sz w:val="24"/>
          <w:szCs w:val="24"/>
        </w:rPr>
        <w:t>The</w:t>
      </w:r>
      <w:r w:rsidRPr="00334D8D">
        <w:rPr>
          <w:rFonts w:ascii="Arial" w:hAnsi="Arial" w:cs="Arial"/>
          <w:color w:val="000000"/>
          <w:sz w:val="24"/>
          <w:szCs w:val="24"/>
        </w:rPr>
        <w:t xml:space="preserve"> Rule 53 Record</w:t>
      </w: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[30</w:t>
      </w:r>
      <w:r w:rsidR="00361F28">
        <w:rPr>
          <w:rFonts w:ascii="Arial" w:hAnsi="Arial" w:cs="Arial"/>
          <w:color w:val="000000"/>
          <w:sz w:val="24"/>
          <w:szCs w:val="24"/>
        </w:rPr>
        <w:t>]</w:t>
      </w:r>
      <w:r w:rsidR="00361F28">
        <w:rPr>
          <w:rFonts w:ascii="Arial" w:hAnsi="Arial" w:cs="Arial"/>
          <w:color w:val="000000"/>
          <w:sz w:val="24"/>
          <w:szCs w:val="24"/>
        </w:rPr>
        <w:tab/>
      </w:r>
      <w:r w:rsidR="00361F28" w:rsidRPr="00334D8D">
        <w:rPr>
          <w:rFonts w:ascii="Arial" w:hAnsi="Arial" w:cs="Arial"/>
          <w:color w:val="000000"/>
          <w:sz w:val="24"/>
          <w:szCs w:val="24"/>
        </w:rPr>
        <w:t xml:space="preserve">At </w:t>
      </w:r>
      <w:r w:rsidR="00361F28">
        <w:rPr>
          <w:rFonts w:ascii="Arial" w:hAnsi="Arial" w:cs="Arial"/>
          <w:color w:val="000000"/>
          <w:sz w:val="24"/>
          <w:szCs w:val="24"/>
        </w:rPr>
        <w:t xml:space="preserve">the </w:t>
      </w:r>
      <w:r w:rsidR="00361F28" w:rsidRPr="00334D8D">
        <w:rPr>
          <w:rFonts w:ascii="Arial" w:hAnsi="Arial" w:cs="Arial"/>
          <w:color w:val="000000"/>
          <w:sz w:val="24"/>
          <w:szCs w:val="24"/>
        </w:rPr>
        <w:t>commencement of the hearing</w:t>
      </w:r>
      <w:r w:rsidR="00361F28">
        <w:rPr>
          <w:rFonts w:ascii="Arial" w:hAnsi="Arial" w:cs="Arial"/>
          <w:color w:val="000000"/>
          <w:sz w:val="24"/>
          <w:szCs w:val="24"/>
        </w:rPr>
        <w:t>,</w:t>
      </w:r>
      <w:r w:rsidR="00361F28" w:rsidRPr="00334D8D">
        <w:rPr>
          <w:rFonts w:ascii="Arial" w:hAnsi="Arial" w:cs="Arial"/>
          <w:color w:val="000000"/>
          <w:sz w:val="24"/>
          <w:szCs w:val="24"/>
        </w:rPr>
        <w:t xml:space="preserve"> the Applicants’ counsel </w:t>
      </w:r>
      <w:r w:rsidR="00361F28">
        <w:rPr>
          <w:rFonts w:ascii="Arial" w:hAnsi="Arial" w:cs="Arial"/>
          <w:color w:val="000000"/>
          <w:sz w:val="24"/>
          <w:szCs w:val="24"/>
        </w:rPr>
        <w:t>raised the issue of the delay occasioned by the supplementation of the Rule 53 Record (“the Record”), by NERSA and the late filing of City Power</w:t>
      </w:r>
      <w:r w:rsidR="003812DD">
        <w:rPr>
          <w:rFonts w:ascii="Arial" w:hAnsi="Arial" w:cs="Arial"/>
          <w:color w:val="000000"/>
          <w:sz w:val="24"/>
          <w:szCs w:val="24"/>
        </w:rPr>
        <w:t>’s answering affidavit</w:t>
      </w:r>
      <w:r w:rsidR="00361F28">
        <w:rPr>
          <w:rFonts w:ascii="Arial" w:hAnsi="Arial" w:cs="Arial"/>
          <w:color w:val="000000"/>
          <w:sz w:val="24"/>
          <w:szCs w:val="24"/>
        </w:rPr>
        <w:t xml:space="preserve">. The Applicants requested that such delay be attributed to NERSA and City Power when the issue of remedy is considered, and that the supplementary Records filed be struck </w:t>
      </w:r>
      <w:r w:rsidR="003812DD">
        <w:rPr>
          <w:rFonts w:ascii="Arial" w:hAnsi="Arial" w:cs="Arial"/>
          <w:color w:val="000000"/>
          <w:sz w:val="24"/>
          <w:szCs w:val="24"/>
        </w:rPr>
        <w:t xml:space="preserve">out </w:t>
      </w:r>
      <w:r w:rsidR="00361F28">
        <w:rPr>
          <w:rFonts w:ascii="Arial" w:hAnsi="Arial" w:cs="Arial"/>
          <w:color w:val="000000"/>
          <w:sz w:val="24"/>
          <w:szCs w:val="24"/>
        </w:rPr>
        <w:t>from the record of proceedings.</w:t>
      </w:r>
    </w:p>
    <w:p w:rsidR="00C949DF" w:rsidRDefault="00C949DF"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[31</w:t>
      </w:r>
      <w:r w:rsidR="00361F28">
        <w:rPr>
          <w:rFonts w:ascii="Arial" w:hAnsi="Arial" w:cs="Arial"/>
          <w:color w:val="000000"/>
          <w:sz w:val="24"/>
          <w:szCs w:val="24"/>
        </w:rPr>
        <w:t>]</w:t>
      </w:r>
      <w:r w:rsidR="00361F28">
        <w:rPr>
          <w:rFonts w:ascii="Arial" w:hAnsi="Arial" w:cs="Arial"/>
          <w:color w:val="000000"/>
          <w:sz w:val="24"/>
          <w:szCs w:val="24"/>
        </w:rPr>
        <w:tab/>
        <w:t xml:space="preserve">In opposing the Applicants’ application for the striking </w:t>
      </w:r>
      <w:r w:rsidR="003812DD">
        <w:rPr>
          <w:rFonts w:ascii="Arial" w:hAnsi="Arial" w:cs="Arial"/>
          <w:color w:val="000000"/>
          <w:sz w:val="24"/>
          <w:szCs w:val="24"/>
        </w:rPr>
        <w:t xml:space="preserve">out </w:t>
      </w:r>
      <w:r w:rsidR="00361F28">
        <w:rPr>
          <w:rFonts w:ascii="Arial" w:hAnsi="Arial" w:cs="Arial"/>
          <w:color w:val="000000"/>
          <w:sz w:val="24"/>
          <w:szCs w:val="24"/>
        </w:rPr>
        <w:t>of the supplementary Records from the record of proceedings, NERSA</w:t>
      </w:r>
      <w:r w:rsidR="00361F28" w:rsidRPr="00334D8D">
        <w:rPr>
          <w:rFonts w:ascii="Arial" w:hAnsi="Arial" w:cs="Arial"/>
          <w:color w:val="000000"/>
          <w:sz w:val="24"/>
          <w:szCs w:val="24"/>
        </w:rPr>
        <w:t xml:space="preserve"> </w:t>
      </w:r>
      <w:r w:rsidR="00361F28">
        <w:rPr>
          <w:rFonts w:ascii="Arial" w:hAnsi="Arial" w:cs="Arial"/>
          <w:color w:val="000000"/>
          <w:sz w:val="24"/>
          <w:szCs w:val="24"/>
        </w:rPr>
        <w:t xml:space="preserve">submitted that such application should not be granted on the </w:t>
      </w:r>
      <w:r w:rsidR="00361F28" w:rsidRPr="00334D8D">
        <w:rPr>
          <w:rFonts w:ascii="Arial" w:hAnsi="Arial" w:cs="Arial"/>
          <w:color w:val="000000"/>
          <w:sz w:val="24"/>
          <w:szCs w:val="24"/>
        </w:rPr>
        <w:t>ground</w:t>
      </w:r>
      <w:r w:rsidR="00361F28">
        <w:rPr>
          <w:rFonts w:ascii="Arial" w:hAnsi="Arial" w:cs="Arial"/>
          <w:color w:val="000000"/>
          <w:sz w:val="24"/>
          <w:szCs w:val="24"/>
        </w:rPr>
        <w:t xml:space="preserve"> </w:t>
      </w:r>
      <w:r w:rsidR="00361F28" w:rsidRPr="00334D8D">
        <w:rPr>
          <w:rFonts w:ascii="Arial" w:hAnsi="Arial" w:cs="Arial"/>
          <w:color w:val="000000"/>
          <w:sz w:val="24"/>
          <w:szCs w:val="24"/>
        </w:rPr>
        <w:t xml:space="preserve">that </w:t>
      </w:r>
      <w:r w:rsidR="00361F28">
        <w:rPr>
          <w:rFonts w:ascii="Arial" w:hAnsi="Arial" w:cs="Arial"/>
          <w:color w:val="000000"/>
          <w:sz w:val="24"/>
          <w:szCs w:val="24"/>
        </w:rPr>
        <w:t xml:space="preserve">the delay is not attributable to it, but to the Applicants. NERSA, further, argued that since </w:t>
      </w:r>
      <w:r w:rsidR="00361F28" w:rsidRPr="00334D8D">
        <w:rPr>
          <w:rFonts w:ascii="Arial" w:hAnsi="Arial" w:cs="Arial"/>
          <w:color w:val="000000"/>
          <w:sz w:val="24"/>
          <w:szCs w:val="24"/>
        </w:rPr>
        <w:t xml:space="preserve">there </w:t>
      </w:r>
      <w:r w:rsidR="00361F28">
        <w:rPr>
          <w:rFonts w:ascii="Arial" w:hAnsi="Arial" w:cs="Arial"/>
          <w:color w:val="000000"/>
          <w:sz w:val="24"/>
          <w:szCs w:val="24"/>
        </w:rPr>
        <w:t>was</w:t>
      </w:r>
      <w:r w:rsidR="00361F28" w:rsidRPr="00334D8D">
        <w:rPr>
          <w:rFonts w:ascii="Arial" w:hAnsi="Arial" w:cs="Arial"/>
          <w:color w:val="000000"/>
          <w:sz w:val="24"/>
          <w:szCs w:val="24"/>
        </w:rPr>
        <w:t xml:space="preserve"> no formal application before Court </w:t>
      </w:r>
      <w:r w:rsidR="00361F28">
        <w:rPr>
          <w:rFonts w:ascii="Arial" w:hAnsi="Arial" w:cs="Arial"/>
          <w:color w:val="000000"/>
          <w:sz w:val="24"/>
          <w:szCs w:val="24"/>
        </w:rPr>
        <w:t xml:space="preserve">for the striking </w:t>
      </w:r>
      <w:r w:rsidR="003812DD">
        <w:rPr>
          <w:rFonts w:ascii="Arial" w:hAnsi="Arial" w:cs="Arial"/>
          <w:color w:val="000000"/>
          <w:sz w:val="24"/>
          <w:szCs w:val="24"/>
        </w:rPr>
        <w:t xml:space="preserve">out </w:t>
      </w:r>
      <w:r w:rsidR="00361F28">
        <w:rPr>
          <w:rFonts w:ascii="Arial" w:hAnsi="Arial" w:cs="Arial"/>
          <w:color w:val="000000"/>
          <w:sz w:val="24"/>
          <w:szCs w:val="24"/>
        </w:rPr>
        <w:t xml:space="preserve">of the supplementary Records from the record of proceedings, NERSA was ambushed, as it was </w:t>
      </w:r>
      <w:r w:rsidR="00361F28" w:rsidRPr="00334D8D">
        <w:rPr>
          <w:rFonts w:ascii="Arial" w:hAnsi="Arial" w:cs="Arial"/>
          <w:color w:val="000000"/>
          <w:sz w:val="24"/>
          <w:szCs w:val="24"/>
        </w:rPr>
        <w:t xml:space="preserve">not informed that </w:t>
      </w:r>
      <w:r w:rsidR="00361F28">
        <w:rPr>
          <w:rFonts w:ascii="Arial" w:hAnsi="Arial" w:cs="Arial"/>
          <w:color w:val="000000"/>
          <w:sz w:val="24"/>
          <w:szCs w:val="24"/>
        </w:rPr>
        <w:t>such</w:t>
      </w:r>
      <w:r w:rsidR="00361F28" w:rsidRPr="00334D8D">
        <w:rPr>
          <w:rFonts w:ascii="Arial" w:hAnsi="Arial" w:cs="Arial"/>
          <w:color w:val="000000"/>
          <w:sz w:val="24"/>
          <w:szCs w:val="24"/>
        </w:rPr>
        <w:t xml:space="preserve"> application </w:t>
      </w:r>
      <w:r w:rsidR="00361F28">
        <w:rPr>
          <w:rFonts w:ascii="Arial" w:hAnsi="Arial" w:cs="Arial"/>
          <w:color w:val="000000"/>
          <w:sz w:val="24"/>
          <w:szCs w:val="24"/>
        </w:rPr>
        <w:t>was to</w:t>
      </w:r>
      <w:r w:rsidR="00361F28" w:rsidRPr="00334D8D">
        <w:rPr>
          <w:rFonts w:ascii="Arial" w:hAnsi="Arial" w:cs="Arial"/>
          <w:color w:val="000000"/>
          <w:sz w:val="24"/>
          <w:szCs w:val="24"/>
        </w:rPr>
        <w:t xml:space="preserve"> be argued in Court. </w:t>
      </w:r>
    </w:p>
    <w:p w:rsidR="00FB5FA8" w:rsidRDefault="00FB5FA8"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[32</w:t>
      </w:r>
      <w:r w:rsidR="00361F28">
        <w:rPr>
          <w:rFonts w:ascii="Arial" w:hAnsi="Arial" w:cs="Arial"/>
          <w:color w:val="000000"/>
          <w:sz w:val="24"/>
          <w:szCs w:val="24"/>
        </w:rPr>
        <w:t>]</w:t>
      </w:r>
      <w:r w:rsidR="00361F28">
        <w:rPr>
          <w:rFonts w:ascii="Arial" w:hAnsi="Arial" w:cs="Arial"/>
          <w:color w:val="000000"/>
          <w:sz w:val="24"/>
          <w:szCs w:val="24"/>
        </w:rPr>
        <w:tab/>
        <w:t>City Power argued that the delay ought not to be placed at its door as it played no role in the supplementation of the Record.</w:t>
      </w:r>
    </w:p>
    <w:p w:rsidR="00F8716E" w:rsidRDefault="00F8716E"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[33</w:t>
      </w:r>
      <w:r w:rsidR="00361F28">
        <w:rPr>
          <w:rFonts w:ascii="Arial" w:hAnsi="Arial" w:cs="Arial"/>
          <w:color w:val="000000"/>
          <w:sz w:val="24"/>
          <w:szCs w:val="24"/>
        </w:rPr>
        <w:t>]</w:t>
      </w:r>
      <w:r w:rsidR="00361F28">
        <w:rPr>
          <w:rFonts w:ascii="Arial" w:hAnsi="Arial" w:cs="Arial"/>
          <w:color w:val="000000"/>
          <w:sz w:val="24"/>
          <w:szCs w:val="24"/>
        </w:rPr>
        <w:tab/>
        <w:t>The common cause chronology of events, in regard to the Record</w:t>
      </w:r>
      <w:r w:rsidR="003812DD">
        <w:rPr>
          <w:rFonts w:ascii="Arial" w:hAnsi="Arial" w:cs="Arial"/>
          <w:color w:val="000000"/>
          <w:sz w:val="24"/>
          <w:szCs w:val="24"/>
        </w:rPr>
        <w:t>,</w:t>
      </w:r>
      <w:r w:rsidR="00361F28">
        <w:rPr>
          <w:rFonts w:ascii="Arial" w:hAnsi="Arial" w:cs="Arial"/>
          <w:color w:val="000000"/>
          <w:sz w:val="24"/>
          <w:szCs w:val="24"/>
        </w:rPr>
        <w:t xml:space="preserve"> are that the original Record was filed on 25 June 2020. On 19 August 2021, after the Applicants had supplemented their founding affidavit, as required in terms of Uniform Rule 53, and had, also, filed its first heads of argument, NERSA supplemented the Record by filing the first supplementary Record. The first supplementary Record contained documents that NERSA argued were before it when the impugned decision was taken and were erroneously omitted when the Record was compiled. The Applicants in turn filed a Rule 30A notice, requesting NERSA to provide certain </w:t>
      </w:r>
      <w:r w:rsidR="007526F2">
        <w:rPr>
          <w:rFonts w:ascii="Arial" w:hAnsi="Arial" w:cs="Arial"/>
          <w:color w:val="000000"/>
          <w:sz w:val="24"/>
          <w:szCs w:val="24"/>
        </w:rPr>
        <w:t>documents, which</w:t>
      </w:r>
      <w:r w:rsidR="00361F28">
        <w:rPr>
          <w:rFonts w:ascii="Arial" w:hAnsi="Arial" w:cs="Arial"/>
          <w:color w:val="000000"/>
          <w:sz w:val="24"/>
          <w:szCs w:val="24"/>
        </w:rPr>
        <w:t xml:space="preserve"> would authenticate the </w:t>
      </w:r>
      <w:r w:rsidR="00361F28">
        <w:rPr>
          <w:rFonts w:ascii="Arial" w:hAnsi="Arial" w:cs="Arial"/>
          <w:color w:val="000000"/>
          <w:sz w:val="24"/>
          <w:szCs w:val="24"/>
        </w:rPr>
        <w:lastRenderedPageBreak/>
        <w:t>fact that documents filed with the first supplementary Record were before NERSA at the time of taking the impugned decision. NERSA responded to the said notice by indicating that such documents were not available. On 22 November 2021, together with its answering affidavit, NERSA filed the second supplementary Record, which sought to replace City Power’s Annual Financial Statement for the 2018/</w:t>
      </w:r>
      <w:r w:rsidR="00327F7D">
        <w:rPr>
          <w:rFonts w:ascii="Arial" w:hAnsi="Arial" w:cs="Arial"/>
          <w:color w:val="000000"/>
          <w:sz w:val="24"/>
          <w:szCs w:val="24"/>
        </w:rPr>
        <w:t>20</w:t>
      </w:r>
      <w:r w:rsidR="00361F28">
        <w:rPr>
          <w:rFonts w:ascii="Arial" w:hAnsi="Arial" w:cs="Arial"/>
          <w:color w:val="000000"/>
          <w:sz w:val="24"/>
          <w:szCs w:val="24"/>
        </w:rPr>
        <w:t>19 financial year with that of the 2017/</w:t>
      </w:r>
      <w:r w:rsidR="00327F7D">
        <w:rPr>
          <w:rFonts w:ascii="Arial" w:hAnsi="Arial" w:cs="Arial"/>
          <w:color w:val="000000"/>
          <w:sz w:val="24"/>
          <w:szCs w:val="24"/>
        </w:rPr>
        <w:t>20</w:t>
      </w:r>
      <w:r w:rsidR="00361F28">
        <w:rPr>
          <w:rFonts w:ascii="Arial" w:hAnsi="Arial" w:cs="Arial"/>
          <w:color w:val="000000"/>
          <w:sz w:val="24"/>
          <w:szCs w:val="24"/>
        </w:rPr>
        <w:t>18 financial year, filed with the first supplementary Record. City Power, in turn, filed its answering affidavit on 10 December 2021.</w:t>
      </w:r>
    </w:p>
    <w:p w:rsidR="007526F2" w:rsidRDefault="007526F2"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[34</w:t>
      </w:r>
      <w:r w:rsidR="00361F28">
        <w:rPr>
          <w:rFonts w:ascii="Arial" w:hAnsi="Arial" w:cs="Arial"/>
          <w:color w:val="000000"/>
          <w:sz w:val="24"/>
          <w:szCs w:val="24"/>
        </w:rPr>
        <w:t>]</w:t>
      </w:r>
      <w:r w:rsidR="00361F28">
        <w:rPr>
          <w:rFonts w:ascii="Arial" w:hAnsi="Arial" w:cs="Arial"/>
          <w:color w:val="000000"/>
          <w:sz w:val="24"/>
          <w:szCs w:val="24"/>
        </w:rPr>
        <w:tab/>
        <w:t>In the circumstances, the Record was filed five (5) months late. NERSA supplemented the Record for the first time twenty (20) months after the application was launched, and twenty-two (22) months after the launch of the application, NERSA filed the second supplementary Record. The full Record, which should have been filed in January 2020, was filed almost two years later on 22 November 2021. The Record was filed in full, after the Applicants had filed a supplementary affidavit in terms of Rule 53, the first heads of argument, and the second supplementary affidavit in terms of Rule 53. City Power, on the other hand, filed its answering affidavit almost 2 years after the launch of the application. By the time the matter was heard before this Court, the delay had taken the matter</w:t>
      </w:r>
      <w:r w:rsidR="003812DD">
        <w:rPr>
          <w:rFonts w:ascii="Arial" w:hAnsi="Arial" w:cs="Arial"/>
          <w:color w:val="000000"/>
          <w:sz w:val="24"/>
          <w:szCs w:val="24"/>
        </w:rPr>
        <w:t xml:space="preserve"> out of the 2019/20</w:t>
      </w:r>
      <w:r w:rsidR="00327F7D">
        <w:rPr>
          <w:rFonts w:ascii="Arial" w:hAnsi="Arial" w:cs="Arial"/>
          <w:color w:val="000000"/>
          <w:sz w:val="24"/>
          <w:szCs w:val="24"/>
        </w:rPr>
        <w:t>20</w:t>
      </w:r>
      <w:r w:rsidR="003812DD">
        <w:rPr>
          <w:rFonts w:ascii="Arial" w:hAnsi="Arial" w:cs="Arial"/>
          <w:color w:val="000000"/>
          <w:sz w:val="24"/>
          <w:szCs w:val="24"/>
        </w:rPr>
        <w:t xml:space="preserve"> tariff year</w:t>
      </w:r>
      <w:r w:rsidR="00361F28">
        <w:rPr>
          <w:rFonts w:ascii="Arial" w:hAnsi="Arial" w:cs="Arial"/>
          <w:color w:val="000000"/>
          <w:sz w:val="24"/>
          <w:szCs w:val="24"/>
        </w:rPr>
        <w:t xml:space="preserve"> into almost three years down the line. </w:t>
      </w:r>
    </w:p>
    <w:p w:rsidR="007526F2" w:rsidRDefault="007526F2"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[35</w:t>
      </w:r>
      <w:r w:rsidR="00361F28">
        <w:rPr>
          <w:rFonts w:ascii="Arial" w:hAnsi="Arial" w:cs="Arial"/>
          <w:color w:val="000000"/>
          <w:sz w:val="24"/>
          <w:szCs w:val="24"/>
        </w:rPr>
        <w:t>]</w:t>
      </w:r>
      <w:r w:rsidR="00361F28">
        <w:rPr>
          <w:rFonts w:ascii="Arial" w:hAnsi="Arial" w:cs="Arial"/>
          <w:color w:val="000000"/>
          <w:sz w:val="24"/>
          <w:szCs w:val="24"/>
        </w:rPr>
        <w:tab/>
        <w:t>The Applicants’ proposition in regard to the issue of delay, was that it would primarily, be relevant to the question of remedy, in relation to providing them with substantive relief in the form of the right not to be charged the unlawful tariffs that City Power charged them for 2019/</w:t>
      </w:r>
      <w:r w:rsidR="00327F7D">
        <w:rPr>
          <w:rFonts w:ascii="Arial" w:hAnsi="Arial" w:cs="Arial"/>
          <w:color w:val="000000"/>
          <w:sz w:val="24"/>
          <w:szCs w:val="24"/>
        </w:rPr>
        <w:t>20</w:t>
      </w:r>
      <w:r w:rsidR="00361F28">
        <w:rPr>
          <w:rFonts w:ascii="Arial" w:hAnsi="Arial" w:cs="Arial"/>
          <w:color w:val="000000"/>
          <w:sz w:val="24"/>
          <w:szCs w:val="24"/>
        </w:rPr>
        <w:t xml:space="preserve">20 financial year. </w:t>
      </w:r>
    </w:p>
    <w:p w:rsidR="00917D2E" w:rsidRDefault="00917D2E"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[36</w:t>
      </w:r>
      <w:r w:rsidR="00361F28">
        <w:rPr>
          <w:rFonts w:ascii="Arial" w:hAnsi="Arial" w:cs="Arial"/>
          <w:color w:val="000000"/>
          <w:sz w:val="24"/>
          <w:szCs w:val="24"/>
        </w:rPr>
        <w:t>]</w:t>
      </w:r>
      <w:r w:rsidR="00361F28">
        <w:rPr>
          <w:rFonts w:ascii="Arial" w:hAnsi="Arial" w:cs="Arial"/>
          <w:color w:val="000000"/>
          <w:sz w:val="24"/>
          <w:szCs w:val="24"/>
        </w:rPr>
        <w:tab/>
        <w:t xml:space="preserve">As will appear more fully later in the judgment, the issue of the delay occasioned by the supplementation of the Record was finally resolved by the filing of a draft remedy proposal by City Power, which provided the Applicants with a substantive retrospective relief. The Applicants will, as a result, not have </w:t>
      </w:r>
      <w:r w:rsidR="00361F28">
        <w:rPr>
          <w:rFonts w:ascii="Arial" w:hAnsi="Arial" w:cs="Arial"/>
          <w:color w:val="000000"/>
          <w:sz w:val="24"/>
          <w:szCs w:val="24"/>
        </w:rPr>
        <w:lastRenderedPageBreak/>
        <w:t>a problem with being deprived of substantive relief, if they are successful, because of the delay.</w:t>
      </w:r>
    </w:p>
    <w:p w:rsidR="000515ED" w:rsidRDefault="000515ED" w:rsidP="00FF0AC8">
      <w:pPr>
        <w:spacing w:after="0" w:line="360" w:lineRule="auto"/>
        <w:jc w:val="both"/>
        <w:rPr>
          <w:rFonts w:ascii="Arial" w:hAnsi="Arial" w:cs="Arial"/>
          <w:color w:val="000000"/>
          <w:sz w:val="24"/>
          <w:szCs w:val="24"/>
        </w:rPr>
      </w:pPr>
    </w:p>
    <w:p w:rsidR="00361F28"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[37</w:t>
      </w:r>
      <w:r w:rsidR="00361F28">
        <w:rPr>
          <w:rFonts w:ascii="Arial" w:hAnsi="Arial" w:cs="Arial"/>
          <w:color w:val="000000"/>
          <w:sz w:val="24"/>
          <w:szCs w:val="24"/>
        </w:rPr>
        <w:t>]</w:t>
      </w:r>
      <w:r w:rsidR="00361F28">
        <w:rPr>
          <w:rFonts w:ascii="Arial" w:hAnsi="Arial" w:cs="Arial"/>
          <w:color w:val="000000"/>
          <w:sz w:val="24"/>
          <w:szCs w:val="24"/>
        </w:rPr>
        <w:tab/>
        <w:t>In regard to the application for the striking</w:t>
      </w:r>
      <w:r w:rsidR="003812DD">
        <w:rPr>
          <w:rFonts w:ascii="Arial" w:hAnsi="Arial" w:cs="Arial"/>
          <w:color w:val="000000"/>
          <w:sz w:val="24"/>
          <w:szCs w:val="24"/>
        </w:rPr>
        <w:t xml:space="preserve"> out</w:t>
      </w:r>
      <w:r w:rsidR="00361F28">
        <w:rPr>
          <w:rFonts w:ascii="Arial" w:hAnsi="Arial" w:cs="Arial"/>
          <w:color w:val="000000"/>
          <w:sz w:val="24"/>
          <w:szCs w:val="24"/>
        </w:rPr>
        <w:t xml:space="preserve"> of the supplementary Records from the record of proceedings, it is t</w:t>
      </w:r>
      <w:r w:rsidR="00361F28" w:rsidRPr="00334D8D">
        <w:rPr>
          <w:rFonts w:ascii="Arial" w:hAnsi="Arial" w:cs="Arial"/>
          <w:color w:val="000000"/>
          <w:sz w:val="24"/>
          <w:szCs w:val="24"/>
        </w:rPr>
        <w:t>his Court</w:t>
      </w:r>
      <w:r w:rsidR="00361F28">
        <w:rPr>
          <w:rFonts w:ascii="Arial" w:hAnsi="Arial" w:cs="Arial"/>
          <w:color w:val="000000"/>
          <w:sz w:val="24"/>
          <w:szCs w:val="24"/>
        </w:rPr>
        <w:t>’</w:t>
      </w:r>
      <w:r w:rsidR="00361F28" w:rsidRPr="00334D8D">
        <w:rPr>
          <w:rFonts w:ascii="Arial" w:hAnsi="Arial" w:cs="Arial"/>
          <w:color w:val="000000"/>
          <w:sz w:val="24"/>
          <w:szCs w:val="24"/>
        </w:rPr>
        <w:t xml:space="preserve">s view that </w:t>
      </w:r>
      <w:r w:rsidR="00361F28">
        <w:rPr>
          <w:rFonts w:ascii="Arial" w:hAnsi="Arial" w:cs="Arial"/>
          <w:color w:val="000000"/>
          <w:sz w:val="24"/>
          <w:szCs w:val="24"/>
        </w:rPr>
        <w:t xml:space="preserve">the supplementary </w:t>
      </w:r>
      <w:r w:rsidR="00361F28" w:rsidRPr="00334D8D">
        <w:rPr>
          <w:rFonts w:ascii="Arial" w:hAnsi="Arial" w:cs="Arial"/>
          <w:color w:val="000000"/>
          <w:sz w:val="24"/>
          <w:szCs w:val="24"/>
        </w:rPr>
        <w:t>Record</w:t>
      </w:r>
      <w:r w:rsidR="00361F28">
        <w:rPr>
          <w:rFonts w:ascii="Arial" w:hAnsi="Arial" w:cs="Arial"/>
          <w:color w:val="000000"/>
          <w:sz w:val="24"/>
          <w:szCs w:val="24"/>
        </w:rPr>
        <w:t>s should not be struck o</w:t>
      </w:r>
      <w:r w:rsidR="003812DD">
        <w:rPr>
          <w:rFonts w:ascii="Arial" w:hAnsi="Arial" w:cs="Arial"/>
          <w:color w:val="000000"/>
          <w:sz w:val="24"/>
          <w:szCs w:val="24"/>
        </w:rPr>
        <w:t>ut</w:t>
      </w:r>
      <w:r w:rsidR="00361F28">
        <w:rPr>
          <w:rFonts w:ascii="Arial" w:hAnsi="Arial" w:cs="Arial"/>
          <w:color w:val="000000"/>
          <w:sz w:val="24"/>
          <w:szCs w:val="24"/>
        </w:rPr>
        <w:t xml:space="preserve">. In this Court’s opinion, the Record as filed by NERSA </w:t>
      </w:r>
      <w:r w:rsidR="00361F28" w:rsidRPr="00334D8D">
        <w:rPr>
          <w:rFonts w:ascii="Arial" w:hAnsi="Arial" w:cs="Arial"/>
          <w:color w:val="000000"/>
          <w:sz w:val="24"/>
          <w:szCs w:val="24"/>
        </w:rPr>
        <w:t xml:space="preserve">will </w:t>
      </w:r>
      <w:r w:rsidR="00361F28">
        <w:rPr>
          <w:rFonts w:ascii="Arial" w:hAnsi="Arial" w:cs="Arial"/>
          <w:color w:val="000000"/>
          <w:sz w:val="24"/>
          <w:szCs w:val="24"/>
        </w:rPr>
        <w:t>provide</w:t>
      </w:r>
      <w:r w:rsidR="00361F28" w:rsidRPr="00334D8D">
        <w:rPr>
          <w:rFonts w:ascii="Arial" w:hAnsi="Arial" w:cs="Arial"/>
          <w:color w:val="000000"/>
          <w:sz w:val="24"/>
          <w:szCs w:val="24"/>
        </w:rPr>
        <w:t xml:space="preserve"> </w:t>
      </w:r>
      <w:r w:rsidR="00361F28">
        <w:rPr>
          <w:rFonts w:ascii="Arial" w:hAnsi="Arial" w:cs="Arial"/>
          <w:color w:val="000000"/>
          <w:sz w:val="24"/>
          <w:szCs w:val="24"/>
        </w:rPr>
        <w:t>this Court with</w:t>
      </w:r>
      <w:r w:rsidR="00361F28" w:rsidRPr="00334D8D">
        <w:rPr>
          <w:rFonts w:ascii="Arial" w:hAnsi="Arial" w:cs="Arial"/>
          <w:color w:val="000000"/>
          <w:sz w:val="24"/>
          <w:szCs w:val="24"/>
        </w:rPr>
        <w:t xml:space="preserve"> a </w:t>
      </w:r>
      <w:r w:rsidR="00361F28">
        <w:rPr>
          <w:rFonts w:ascii="Arial" w:hAnsi="Arial" w:cs="Arial"/>
          <w:color w:val="000000"/>
          <w:sz w:val="24"/>
          <w:szCs w:val="24"/>
        </w:rPr>
        <w:t>m</w:t>
      </w:r>
      <w:r w:rsidR="00361F28" w:rsidRPr="00334D8D">
        <w:rPr>
          <w:rFonts w:ascii="Arial" w:hAnsi="Arial" w:cs="Arial"/>
          <w:color w:val="000000"/>
          <w:sz w:val="24"/>
          <w:szCs w:val="24"/>
        </w:rPr>
        <w:t xml:space="preserve">uch better perspective </w:t>
      </w:r>
      <w:r w:rsidR="00361F28">
        <w:rPr>
          <w:rFonts w:ascii="Arial" w:hAnsi="Arial" w:cs="Arial"/>
          <w:color w:val="000000"/>
          <w:sz w:val="24"/>
          <w:szCs w:val="24"/>
        </w:rPr>
        <w:t xml:space="preserve">since all the </w:t>
      </w:r>
      <w:r w:rsidR="00327F7D">
        <w:rPr>
          <w:rFonts w:ascii="Arial" w:hAnsi="Arial" w:cs="Arial"/>
          <w:color w:val="000000"/>
          <w:sz w:val="24"/>
          <w:szCs w:val="24"/>
        </w:rPr>
        <w:t>documents</w:t>
      </w:r>
      <w:r w:rsidR="00361F28">
        <w:rPr>
          <w:rFonts w:ascii="Arial" w:hAnsi="Arial" w:cs="Arial"/>
          <w:color w:val="000000"/>
          <w:sz w:val="24"/>
          <w:szCs w:val="24"/>
        </w:rPr>
        <w:t xml:space="preserve"> will be before it, when the matter is </w:t>
      </w:r>
      <w:r w:rsidR="00361F28" w:rsidRPr="00334D8D">
        <w:rPr>
          <w:rFonts w:ascii="Arial" w:hAnsi="Arial" w:cs="Arial"/>
          <w:color w:val="000000"/>
          <w:sz w:val="24"/>
          <w:szCs w:val="24"/>
        </w:rPr>
        <w:t>deal</w:t>
      </w:r>
      <w:r w:rsidR="00361F28">
        <w:rPr>
          <w:rFonts w:ascii="Arial" w:hAnsi="Arial" w:cs="Arial"/>
          <w:color w:val="000000"/>
          <w:sz w:val="24"/>
          <w:szCs w:val="24"/>
        </w:rPr>
        <w:t xml:space="preserve">t </w:t>
      </w:r>
      <w:r w:rsidR="00361F28" w:rsidRPr="00334D8D">
        <w:rPr>
          <w:rFonts w:ascii="Arial" w:hAnsi="Arial" w:cs="Arial"/>
          <w:color w:val="000000"/>
          <w:sz w:val="24"/>
          <w:szCs w:val="24"/>
        </w:rPr>
        <w:t>with.</w:t>
      </w:r>
      <w:r w:rsidR="00361F28">
        <w:rPr>
          <w:rFonts w:ascii="Arial" w:hAnsi="Arial" w:cs="Arial"/>
          <w:color w:val="000000"/>
          <w:sz w:val="24"/>
          <w:szCs w:val="24"/>
        </w:rPr>
        <w:t xml:space="preserve"> </w:t>
      </w:r>
    </w:p>
    <w:p w:rsidR="000515ED" w:rsidRDefault="000515ED" w:rsidP="00FF0AC8">
      <w:pPr>
        <w:spacing w:after="0" w:line="360" w:lineRule="auto"/>
        <w:jc w:val="both"/>
        <w:rPr>
          <w:rFonts w:ascii="Arial" w:hAnsi="Arial" w:cs="Arial"/>
          <w:color w:val="000000"/>
          <w:sz w:val="24"/>
          <w:szCs w:val="24"/>
        </w:rPr>
      </w:pPr>
    </w:p>
    <w:p w:rsidR="000656DE" w:rsidRDefault="000656DE" w:rsidP="00917D2E">
      <w:pPr>
        <w:spacing w:line="360" w:lineRule="auto"/>
        <w:ind w:firstLine="720"/>
        <w:jc w:val="both"/>
        <w:rPr>
          <w:rFonts w:ascii="Arial" w:hAnsi="Arial" w:cs="Arial"/>
          <w:sz w:val="24"/>
          <w:szCs w:val="24"/>
        </w:rPr>
      </w:pPr>
      <w:r>
        <w:rPr>
          <w:rFonts w:ascii="Arial" w:hAnsi="Arial" w:cs="Arial"/>
          <w:sz w:val="24"/>
          <w:szCs w:val="24"/>
        </w:rPr>
        <w:t>The Applicants have challenged the wrong decision</w:t>
      </w:r>
    </w:p>
    <w:p w:rsidR="000656DE" w:rsidRDefault="001D3E9F" w:rsidP="00FF0AC8">
      <w:pPr>
        <w:spacing w:after="0" w:line="360" w:lineRule="auto"/>
        <w:jc w:val="both"/>
        <w:rPr>
          <w:rFonts w:ascii="Arial" w:hAnsi="Arial" w:cs="Arial"/>
          <w:sz w:val="24"/>
          <w:szCs w:val="24"/>
        </w:rPr>
      </w:pPr>
      <w:r>
        <w:rPr>
          <w:rFonts w:ascii="Arial" w:hAnsi="Arial" w:cs="Arial"/>
          <w:sz w:val="24"/>
          <w:szCs w:val="24"/>
        </w:rPr>
        <w:t>[38</w:t>
      </w:r>
      <w:r w:rsidR="000656DE">
        <w:rPr>
          <w:rFonts w:ascii="Arial" w:hAnsi="Arial" w:cs="Arial"/>
          <w:sz w:val="24"/>
          <w:szCs w:val="24"/>
        </w:rPr>
        <w:t>]</w:t>
      </w:r>
      <w:r w:rsidR="000656DE">
        <w:rPr>
          <w:rFonts w:ascii="Arial" w:hAnsi="Arial" w:cs="Arial"/>
          <w:sz w:val="24"/>
          <w:szCs w:val="24"/>
        </w:rPr>
        <w:tab/>
        <w:t>City Power submitted in oral argument before this Court that the Applicants’ challenge in these proceedings is misdirected, and, as such, fatal to their case.</w:t>
      </w:r>
      <w:r w:rsidR="000656DE" w:rsidRPr="00A900C5">
        <w:rPr>
          <w:rFonts w:ascii="Arial" w:hAnsi="Arial" w:cs="Arial"/>
          <w:sz w:val="24"/>
          <w:szCs w:val="24"/>
        </w:rPr>
        <w:t xml:space="preserve"> </w:t>
      </w:r>
      <w:r w:rsidR="000656DE">
        <w:rPr>
          <w:rFonts w:ascii="Arial" w:hAnsi="Arial" w:cs="Arial"/>
          <w:sz w:val="24"/>
          <w:szCs w:val="24"/>
        </w:rPr>
        <w:t>The gravamen of City Power’s complaint was that while the Applicants’ concern is primarily with the tariff decision, they have taken no steps to challenge it. They</w:t>
      </w:r>
      <w:r w:rsidR="00346C77">
        <w:rPr>
          <w:rFonts w:ascii="Arial" w:hAnsi="Arial" w:cs="Arial"/>
          <w:sz w:val="24"/>
          <w:szCs w:val="24"/>
        </w:rPr>
        <w:t>, instead,</w:t>
      </w:r>
      <w:r w:rsidR="000656DE">
        <w:rPr>
          <w:rFonts w:ascii="Arial" w:hAnsi="Arial" w:cs="Arial"/>
          <w:sz w:val="24"/>
          <w:szCs w:val="24"/>
        </w:rPr>
        <w:t xml:space="preserve"> </w:t>
      </w:r>
      <w:r w:rsidR="00435231">
        <w:rPr>
          <w:rFonts w:ascii="Arial" w:hAnsi="Arial" w:cs="Arial"/>
          <w:sz w:val="24"/>
          <w:szCs w:val="24"/>
        </w:rPr>
        <w:t>sought</w:t>
      </w:r>
      <w:r w:rsidR="000656DE">
        <w:rPr>
          <w:rFonts w:ascii="Arial" w:hAnsi="Arial" w:cs="Arial"/>
          <w:sz w:val="24"/>
          <w:szCs w:val="24"/>
        </w:rPr>
        <w:t xml:space="preserve"> to challenge the tariff decision by raising arguments</w:t>
      </w:r>
      <w:r w:rsidR="000515ED">
        <w:rPr>
          <w:rFonts w:ascii="Arial" w:hAnsi="Arial" w:cs="Arial"/>
          <w:sz w:val="24"/>
          <w:szCs w:val="24"/>
        </w:rPr>
        <w:t>,</w:t>
      </w:r>
      <w:r w:rsidR="000656DE">
        <w:rPr>
          <w:rFonts w:ascii="Arial" w:hAnsi="Arial" w:cs="Arial"/>
          <w:sz w:val="24"/>
          <w:szCs w:val="24"/>
        </w:rPr>
        <w:t xml:space="preserve"> which are directed at the Guideline and Benchmarking </w:t>
      </w:r>
      <w:r w:rsidR="00246EC0">
        <w:rPr>
          <w:rFonts w:ascii="Arial" w:hAnsi="Arial" w:cs="Arial"/>
          <w:sz w:val="24"/>
          <w:szCs w:val="24"/>
        </w:rPr>
        <w:t>Method</w:t>
      </w:r>
      <w:r w:rsidR="000656DE">
        <w:rPr>
          <w:rFonts w:ascii="Arial" w:hAnsi="Arial" w:cs="Arial"/>
          <w:sz w:val="24"/>
          <w:szCs w:val="24"/>
        </w:rPr>
        <w:t xml:space="preserve">, which is misdirected, so City Power argued. </w:t>
      </w:r>
    </w:p>
    <w:p w:rsidR="000515ED" w:rsidRDefault="000515ED" w:rsidP="00FF0AC8">
      <w:pPr>
        <w:spacing w:after="0" w:line="360" w:lineRule="auto"/>
        <w:jc w:val="both"/>
        <w:rPr>
          <w:rFonts w:ascii="Arial" w:hAnsi="Arial" w:cs="Arial"/>
          <w:sz w:val="24"/>
          <w:szCs w:val="24"/>
        </w:rPr>
      </w:pPr>
    </w:p>
    <w:p w:rsidR="00435231" w:rsidRDefault="001D3E9F" w:rsidP="00FF0AC8">
      <w:pPr>
        <w:spacing w:after="0" w:line="360" w:lineRule="auto"/>
        <w:jc w:val="both"/>
        <w:rPr>
          <w:rFonts w:ascii="Arial" w:hAnsi="Arial" w:cs="Arial"/>
          <w:sz w:val="24"/>
          <w:szCs w:val="24"/>
        </w:rPr>
      </w:pPr>
      <w:r>
        <w:rPr>
          <w:rFonts w:ascii="Arial" w:hAnsi="Arial" w:cs="Arial"/>
          <w:sz w:val="24"/>
          <w:szCs w:val="24"/>
        </w:rPr>
        <w:t>[39</w:t>
      </w:r>
      <w:r w:rsidR="000656DE">
        <w:rPr>
          <w:rFonts w:ascii="Arial" w:hAnsi="Arial" w:cs="Arial"/>
          <w:sz w:val="24"/>
          <w:szCs w:val="24"/>
        </w:rPr>
        <w:t>]</w:t>
      </w:r>
      <w:r w:rsidR="000656DE">
        <w:rPr>
          <w:rFonts w:ascii="Arial" w:hAnsi="Arial" w:cs="Arial"/>
          <w:sz w:val="24"/>
          <w:szCs w:val="24"/>
        </w:rPr>
        <w:tab/>
      </w:r>
      <w:r w:rsidR="00435231">
        <w:rPr>
          <w:rFonts w:ascii="Arial" w:hAnsi="Arial" w:cs="Arial"/>
          <w:sz w:val="24"/>
          <w:szCs w:val="24"/>
        </w:rPr>
        <w:t xml:space="preserve">The argument was that the Guideline and Benchmarking </w:t>
      </w:r>
      <w:r w:rsidR="00246EC0">
        <w:rPr>
          <w:rFonts w:ascii="Arial" w:hAnsi="Arial" w:cs="Arial"/>
          <w:sz w:val="24"/>
          <w:szCs w:val="24"/>
        </w:rPr>
        <w:t>Method</w:t>
      </w:r>
      <w:r w:rsidR="00435231">
        <w:rPr>
          <w:rFonts w:ascii="Arial" w:hAnsi="Arial" w:cs="Arial"/>
          <w:sz w:val="24"/>
          <w:szCs w:val="24"/>
        </w:rPr>
        <w:t xml:space="preserve">ology is an administrative decision, and the Applicants should not have expected NERSA to depart from the trite principle that NERSA was bound to follow the guideline and not depart from it unless it was set aside by a Court. </w:t>
      </w:r>
    </w:p>
    <w:p w:rsidR="00922D2B" w:rsidRDefault="00922D2B" w:rsidP="00FF0AC8">
      <w:pPr>
        <w:spacing w:after="0" w:line="360" w:lineRule="auto"/>
        <w:jc w:val="both"/>
        <w:rPr>
          <w:rFonts w:ascii="Arial" w:hAnsi="Arial" w:cs="Arial"/>
          <w:sz w:val="24"/>
          <w:szCs w:val="24"/>
        </w:rPr>
      </w:pPr>
    </w:p>
    <w:p w:rsidR="00922D2B" w:rsidRDefault="001D3E9F" w:rsidP="00FF0AC8">
      <w:pPr>
        <w:spacing w:after="0" w:line="360" w:lineRule="auto"/>
        <w:jc w:val="both"/>
        <w:rPr>
          <w:rFonts w:ascii="Arial" w:hAnsi="Arial" w:cs="Arial"/>
          <w:sz w:val="24"/>
          <w:szCs w:val="24"/>
        </w:rPr>
      </w:pPr>
      <w:r>
        <w:rPr>
          <w:rFonts w:ascii="Arial" w:hAnsi="Arial" w:cs="Arial"/>
          <w:sz w:val="24"/>
          <w:szCs w:val="24"/>
        </w:rPr>
        <w:t>[40</w:t>
      </w:r>
      <w:r w:rsidR="000656DE">
        <w:rPr>
          <w:rFonts w:ascii="Arial" w:hAnsi="Arial" w:cs="Arial"/>
          <w:sz w:val="24"/>
          <w:szCs w:val="24"/>
        </w:rPr>
        <w:t>]</w:t>
      </w:r>
      <w:r w:rsidR="000656DE">
        <w:rPr>
          <w:rFonts w:ascii="Arial" w:hAnsi="Arial" w:cs="Arial"/>
          <w:sz w:val="24"/>
          <w:szCs w:val="24"/>
        </w:rPr>
        <w:tab/>
        <w:t>Furthermore, it was City Power’s contention that it formulated its application on the understanding that it would be assessed according to the tariff guidelines and benchmarks which were published a week before it submitted its tariff application increase to NERSA. According to City Power, it would have been procedurally unfair for NERSA to have applied a different set of rules to those</w:t>
      </w:r>
      <w:r w:rsidR="00922D2B">
        <w:rPr>
          <w:rFonts w:ascii="Arial" w:hAnsi="Arial" w:cs="Arial"/>
          <w:sz w:val="24"/>
          <w:szCs w:val="24"/>
        </w:rPr>
        <w:t>,</w:t>
      </w:r>
      <w:r w:rsidR="000656DE">
        <w:rPr>
          <w:rFonts w:ascii="Arial" w:hAnsi="Arial" w:cs="Arial"/>
          <w:sz w:val="24"/>
          <w:szCs w:val="24"/>
        </w:rPr>
        <w:t xml:space="preserve"> which were in place at the time it submitted its tariff application increase. City Power had, thus, a legitimate expectation that its application would be assessed using the Guideline and Benchmarking approach.</w:t>
      </w:r>
    </w:p>
    <w:p w:rsidR="000656DE" w:rsidRDefault="001D3E9F" w:rsidP="00FF0AC8">
      <w:pPr>
        <w:spacing w:after="0" w:line="360" w:lineRule="auto"/>
        <w:jc w:val="both"/>
        <w:rPr>
          <w:rFonts w:ascii="Arial" w:hAnsi="Arial" w:cs="Arial"/>
          <w:sz w:val="24"/>
          <w:szCs w:val="24"/>
        </w:rPr>
      </w:pPr>
      <w:r>
        <w:rPr>
          <w:rFonts w:ascii="Arial" w:hAnsi="Arial" w:cs="Arial"/>
          <w:sz w:val="24"/>
          <w:szCs w:val="24"/>
        </w:rPr>
        <w:lastRenderedPageBreak/>
        <w:t>[41</w:t>
      </w:r>
      <w:r w:rsidR="000656DE">
        <w:rPr>
          <w:rFonts w:ascii="Arial" w:hAnsi="Arial" w:cs="Arial"/>
          <w:sz w:val="24"/>
          <w:szCs w:val="24"/>
        </w:rPr>
        <w:t>]</w:t>
      </w:r>
      <w:r w:rsidR="000656DE">
        <w:rPr>
          <w:rFonts w:ascii="Arial" w:hAnsi="Arial" w:cs="Arial"/>
          <w:sz w:val="24"/>
          <w:szCs w:val="24"/>
        </w:rPr>
        <w:tab/>
        <w:t xml:space="preserve">Relying on the decision in the </w:t>
      </w:r>
      <w:r w:rsidR="000656DE" w:rsidRPr="000402DB">
        <w:rPr>
          <w:rFonts w:ascii="Arial" w:hAnsi="Arial" w:cs="Arial"/>
          <w:i/>
          <w:sz w:val="24"/>
          <w:szCs w:val="24"/>
        </w:rPr>
        <w:t>Oudekraal</w:t>
      </w:r>
      <w:r w:rsidR="000656DE">
        <w:rPr>
          <w:rFonts w:ascii="Arial" w:hAnsi="Arial" w:cs="Arial"/>
          <w:sz w:val="24"/>
          <w:szCs w:val="24"/>
        </w:rPr>
        <w:t xml:space="preserve"> principle,</w:t>
      </w:r>
      <w:r w:rsidR="000656DE">
        <w:rPr>
          <w:rStyle w:val="FootnoteReference"/>
          <w:rFonts w:ascii="Arial" w:hAnsi="Arial" w:cs="Arial"/>
          <w:sz w:val="24"/>
          <w:szCs w:val="24"/>
        </w:rPr>
        <w:footnoteReference w:id="8"/>
      </w:r>
      <w:r w:rsidR="000656DE">
        <w:rPr>
          <w:rFonts w:ascii="Arial" w:hAnsi="Arial" w:cs="Arial"/>
          <w:sz w:val="24"/>
          <w:szCs w:val="24"/>
        </w:rPr>
        <w:t xml:space="preserve"> City Power argued that the fatal shortcoming in the Applicants approach, is that since they have not sought to review the Guideline and Benchmarking </w:t>
      </w:r>
      <w:r w:rsidR="00246EC0">
        <w:rPr>
          <w:rFonts w:ascii="Arial" w:hAnsi="Arial" w:cs="Arial"/>
          <w:sz w:val="24"/>
          <w:szCs w:val="24"/>
        </w:rPr>
        <w:t>Method</w:t>
      </w:r>
      <w:r w:rsidR="000656DE">
        <w:rPr>
          <w:rFonts w:ascii="Arial" w:hAnsi="Arial" w:cs="Arial"/>
          <w:sz w:val="24"/>
          <w:szCs w:val="24"/>
        </w:rPr>
        <w:t xml:space="preserve">, that methodology was to be treated as valid and binding, unless and until it was reviewed and set aside by a competent Court of law.  </w:t>
      </w:r>
      <w:r w:rsidR="00346C77">
        <w:rPr>
          <w:rFonts w:ascii="Arial" w:hAnsi="Arial" w:cs="Arial"/>
          <w:sz w:val="24"/>
          <w:szCs w:val="24"/>
        </w:rPr>
        <w:t>Therefore, City Power submitted, the Applicants could not challenge the tariff decision by raising arguments</w:t>
      </w:r>
      <w:r w:rsidR="00922D2B">
        <w:rPr>
          <w:rFonts w:ascii="Arial" w:hAnsi="Arial" w:cs="Arial"/>
          <w:sz w:val="24"/>
          <w:szCs w:val="24"/>
        </w:rPr>
        <w:t>,</w:t>
      </w:r>
      <w:r w:rsidR="00346C77">
        <w:rPr>
          <w:rFonts w:ascii="Arial" w:hAnsi="Arial" w:cs="Arial"/>
          <w:sz w:val="24"/>
          <w:szCs w:val="24"/>
        </w:rPr>
        <w:t xml:space="preserve"> which were directed at the Guideline and Benchmarking </w:t>
      </w:r>
      <w:r w:rsidR="00246EC0">
        <w:rPr>
          <w:rFonts w:ascii="Arial" w:hAnsi="Arial" w:cs="Arial"/>
          <w:sz w:val="24"/>
          <w:szCs w:val="24"/>
        </w:rPr>
        <w:t>Method</w:t>
      </w:r>
      <w:r w:rsidR="00346C77">
        <w:rPr>
          <w:rFonts w:ascii="Arial" w:hAnsi="Arial" w:cs="Arial"/>
          <w:sz w:val="24"/>
          <w:szCs w:val="24"/>
        </w:rPr>
        <w:t>.</w:t>
      </w:r>
      <w:r w:rsidR="00346C77" w:rsidRPr="00346C77">
        <w:rPr>
          <w:rFonts w:ascii="Arial" w:hAnsi="Arial" w:cs="Arial"/>
          <w:sz w:val="24"/>
          <w:szCs w:val="24"/>
        </w:rPr>
        <w:t xml:space="preserve"> </w:t>
      </w:r>
      <w:r w:rsidR="00346C77">
        <w:rPr>
          <w:rFonts w:ascii="Arial" w:hAnsi="Arial" w:cs="Arial"/>
          <w:sz w:val="24"/>
          <w:szCs w:val="24"/>
        </w:rPr>
        <w:t>Consequently</w:t>
      </w:r>
      <w:r w:rsidR="000656DE">
        <w:rPr>
          <w:rFonts w:ascii="Arial" w:hAnsi="Arial" w:cs="Arial"/>
          <w:sz w:val="24"/>
          <w:szCs w:val="24"/>
        </w:rPr>
        <w:t xml:space="preserve">, City Power contended for the dismissal of the Applicants’ case on the basis that the Guideline and Benchmarking </w:t>
      </w:r>
      <w:r w:rsidR="00246EC0">
        <w:rPr>
          <w:rFonts w:ascii="Arial" w:hAnsi="Arial" w:cs="Arial"/>
          <w:sz w:val="24"/>
          <w:szCs w:val="24"/>
        </w:rPr>
        <w:t>Method</w:t>
      </w:r>
      <w:r w:rsidR="000656DE">
        <w:rPr>
          <w:rFonts w:ascii="Arial" w:hAnsi="Arial" w:cs="Arial"/>
          <w:sz w:val="24"/>
          <w:szCs w:val="24"/>
        </w:rPr>
        <w:t xml:space="preserve">ology was obligatory and should be followed because of the </w:t>
      </w:r>
      <w:r w:rsidR="000656DE" w:rsidRPr="00B647B9">
        <w:rPr>
          <w:rFonts w:ascii="Arial" w:hAnsi="Arial" w:cs="Arial"/>
          <w:i/>
          <w:sz w:val="24"/>
          <w:szCs w:val="24"/>
        </w:rPr>
        <w:t>Oudekraal</w:t>
      </w:r>
      <w:r w:rsidR="000656DE">
        <w:rPr>
          <w:rFonts w:ascii="Arial" w:hAnsi="Arial" w:cs="Arial"/>
          <w:sz w:val="24"/>
          <w:szCs w:val="24"/>
        </w:rPr>
        <w:t xml:space="preserve"> principle</w:t>
      </w:r>
      <w:r w:rsidR="00922D2B">
        <w:rPr>
          <w:rFonts w:ascii="Arial" w:hAnsi="Arial" w:cs="Arial"/>
          <w:sz w:val="24"/>
          <w:szCs w:val="24"/>
        </w:rPr>
        <w:t>.</w:t>
      </w:r>
      <w:r w:rsidR="000656DE">
        <w:rPr>
          <w:rFonts w:ascii="Arial" w:hAnsi="Arial" w:cs="Arial"/>
          <w:sz w:val="24"/>
          <w:szCs w:val="24"/>
        </w:rPr>
        <w:t xml:space="preserve"> </w:t>
      </w:r>
      <w:r w:rsidR="00093CFC">
        <w:rPr>
          <w:rFonts w:ascii="Arial" w:hAnsi="Arial" w:cs="Arial"/>
          <w:sz w:val="24"/>
          <w:szCs w:val="24"/>
        </w:rPr>
        <w:t xml:space="preserve">In, further, developing the argument, City Power submitted that the </w:t>
      </w:r>
      <w:proofErr w:type="spellStart"/>
      <w:r w:rsidR="00093CFC" w:rsidRPr="00093CFC">
        <w:rPr>
          <w:rFonts w:ascii="Arial" w:hAnsi="Arial" w:cs="Arial"/>
          <w:i/>
          <w:sz w:val="24"/>
          <w:szCs w:val="24"/>
        </w:rPr>
        <w:t>Oudekraal</w:t>
      </w:r>
      <w:proofErr w:type="spellEnd"/>
      <w:r w:rsidR="00093CFC">
        <w:rPr>
          <w:rFonts w:ascii="Arial" w:hAnsi="Arial" w:cs="Arial"/>
          <w:sz w:val="24"/>
          <w:szCs w:val="24"/>
        </w:rPr>
        <w:t xml:space="preserve"> principle, i</w:t>
      </w:r>
      <w:r w:rsidR="00346C77">
        <w:rPr>
          <w:rFonts w:ascii="Arial" w:hAnsi="Arial" w:cs="Arial"/>
          <w:sz w:val="24"/>
          <w:szCs w:val="24"/>
        </w:rPr>
        <w:t>s</w:t>
      </w:r>
      <w:r w:rsidR="000656DE">
        <w:rPr>
          <w:rFonts w:ascii="Arial" w:hAnsi="Arial" w:cs="Arial"/>
          <w:sz w:val="24"/>
          <w:szCs w:val="24"/>
        </w:rPr>
        <w:t xml:space="preserve"> recognised as authority by other Constitutional Court judgments,</w:t>
      </w:r>
      <w:r w:rsidR="000656DE">
        <w:rPr>
          <w:rStyle w:val="FootnoteReference"/>
          <w:rFonts w:ascii="Arial" w:hAnsi="Arial" w:cs="Arial"/>
          <w:sz w:val="24"/>
          <w:szCs w:val="24"/>
        </w:rPr>
        <w:footnoteReference w:id="9"/>
      </w:r>
      <w:r w:rsidR="000656DE">
        <w:rPr>
          <w:rFonts w:ascii="Arial" w:hAnsi="Arial" w:cs="Arial"/>
          <w:sz w:val="24"/>
          <w:szCs w:val="24"/>
        </w:rPr>
        <w:t xml:space="preserve"> for the trite proposition that until an administrative act is set aside by Court, it exists in fact</w:t>
      </w:r>
      <w:r w:rsidR="00346C77">
        <w:rPr>
          <w:rFonts w:ascii="Arial" w:hAnsi="Arial" w:cs="Arial"/>
          <w:sz w:val="24"/>
          <w:szCs w:val="24"/>
        </w:rPr>
        <w:t>, and is to be treated as valid,</w:t>
      </w:r>
      <w:r w:rsidR="000656DE">
        <w:rPr>
          <w:rFonts w:ascii="Arial" w:hAnsi="Arial" w:cs="Arial"/>
          <w:sz w:val="24"/>
          <w:szCs w:val="24"/>
        </w:rPr>
        <w:t xml:space="preserve"> and </w:t>
      </w:r>
      <w:r w:rsidR="00346C77">
        <w:rPr>
          <w:rFonts w:ascii="Arial" w:hAnsi="Arial" w:cs="Arial"/>
          <w:sz w:val="24"/>
          <w:szCs w:val="24"/>
        </w:rPr>
        <w:t>as a result</w:t>
      </w:r>
      <w:r w:rsidR="000656DE">
        <w:rPr>
          <w:rFonts w:ascii="Arial" w:hAnsi="Arial" w:cs="Arial"/>
          <w:sz w:val="24"/>
          <w:szCs w:val="24"/>
        </w:rPr>
        <w:t>, NERSA had no discretion to exercise under the circumstances. The further submission was that, even if it can be found that NERSA had a discretion</w:t>
      </w:r>
      <w:r w:rsidR="00093CFC">
        <w:rPr>
          <w:rFonts w:ascii="Arial" w:hAnsi="Arial" w:cs="Arial"/>
          <w:sz w:val="24"/>
          <w:szCs w:val="24"/>
        </w:rPr>
        <w:t>,</w:t>
      </w:r>
      <w:r w:rsidR="000656DE">
        <w:rPr>
          <w:rFonts w:ascii="Arial" w:hAnsi="Arial" w:cs="Arial"/>
          <w:sz w:val="24"/>
          <w:szCs w:val="24"/>
        </w:rPr>
        <w:t xml:space="preserve"> or that </w:t>
      </w:r>
      <w:r w:rsidR="000656DE" w:rsidRPr="002F2B37">
        <w:rPr>
          <w:rFonts w:ascii="Arial" w:hAnsi="Arial" w:cs="Arial"/>
          <w:i/>
          <w:sz w:val="24"/>
          <w:szCs w:val="24"/>
        </w:rPr>
        <w:t>PG Group</w:t>
      </w:r>
      <w:r w:rsidR="000656DE">
        <w:rPr>
          <w:rFonts w:ascii="Arial" w:hAnsi="Arial" w:cs="Arial"/>
          <w:sz w:val="24"/>
          <w:szCs w:val="24"/>
        </w:rPr>
        <w:t xml:space="preserve"> was on point, NERSA acted lawfully and rationally in choosing to </w:t>
      </w:r>
      <w:r w:rsidR="00093CFC">
        <w:rPr>
          <w:rFonts w:ascii="Arial" w:hAnsi="Arial" w:cs="Arial"/>
          <w:sz w:val="24"/>
          <w:szCs w:val="24"/>
        </w:rPr>
        <w:t>follow</w:t>
      </w:r>
      <w:r w:rsidR="000656DE">
        <w:rPr>
          <w:rFonts w:ascii="Arial" w:hAnsi="Arial" w:cs="Arial"/>
          <w:sz w:val="24"/>
          <w:szCs w:val="24"/>
        </w:rPr>
        <w:t xml:space="preserve"> the </w:t>
      </w:r>
      <w:r w:rsidR="00922D2B">
        <w:rPr>
          <w:rFonts w:ascii="Arial" w:hAnsi="Arial" w:cs="Arial"/>
          <w:sz w:val="24"/>
          <w:szCs w:val="24"/>
        </w:rPr>
        <w:t>policy</w:t>
      </w:r>
      <w:r w:rsidR="000656DE">
        <w:rPr>
          <w:rFonts w:ascii="Arial" w:hAnsi="Arial" w:cs="Arial"/>
          <w:sz w:val="24"/>
          <w:szCs w:val="24"/>
        </w:rPr>
        <w:t xml:space="preserve"> and</w:t>
      </w:r>
      <w:r w:rsidR="00093CFC">
        <w:rPr>
          <w:rFonts w:ascii="Arial" w:hAnsi="Arial" w:cs="Arial"/>
          <w:sz w:val="24"/>
          <w:szCs w:val="24"/>
        </w:rPr>
        <w:t>,</w:t>
      </w:r>
      <w:r w:rsidR="000656DE">
        <w:rPr>
          <w:rFonts w:ascii="Arial" w:hAnsi="Arial" w:cs="Arial"/>
          <w:sz w:val="24"/>
          <w:szCs w:val="24"/>
        </w:rPr>
        <w:t xml:space="preserve"> that must be so, because the policy was not set aside.</w:t>
      </w:r>
    </w:p>
    <w:p w:rsidR="00922D2B" w:rsidRDefault="00922D2B"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t>[42</w:t>
      </w:r>
      <w:r w:rsidR="000656DE">
        <w:rPr>
          <w:rFonts w:ascii="Arial" w:hAnsi="Arial" w:cs="Arial"/>
          <w:sz w:val="24"/>
          <w:szCs w:val="24"/>
        </w:rPr>
        <w:t>]</w:t>
      </w:r>
      <w:r w:rsidR="000656DE">
        <w:rPr>
          <w:rFonts w:ascii="Arial" w:hAnsi="Arial" w:cs="Arial"/>
          <w:sz w:val="24"/>
          <w:szCs w:val="24"/>
        </w:rPr>
        <w:tab/>
        <w:t xml:space="preserve">Conversely, the Applicants’ argument was that City Power’s argument as set out above is misguided in that it depends on the proposition that NERSA’s Guideline and Benchmarking </w:t>
      </w:r>
      <w:r w:rsidR="00246EC0">
        <w:rPr>
          <w:rFonts w:ascii="Arial" w:hAnsi="Arial" w:cs="Arial"/>
          <w:sz w:val="24"/>
          <w:szCs w:val="24"/>
        </w:rPr>
        <w:t>Method</w:t>
      </w:r>
      <w:r w:rsidR="000656DE">
        <w:rPr>
          <w:rFonts w:ascii="Arial" w:hAnsi="Arial" w:cs="Arial"/>
          <w:sz w:val="24"/>
          <w:szCs w:val="24"/>
        </w:rPr>
        <w:t xml:space="preserve"> is not a guideline but rather some form of binding law. The contention was that, such an argument would collapse if NERSA’s Guideline and Benchmarking </w:t>
      </w:r>
      <w:r w:rsidR="00246EC0">
        <w:rPr>
          <w:rFonts w:ascii="Arial" w:hAnsi="Arial" w:cs="Arial"/>
          <w:sz w:val="24"/>
          <w:szCs w:val="24"/>
        </w:rPr>
        <w:t>Method</w:t>
      </w:r>
      <w:r w:rsidR="000656DE">
        <w:rPr>
          <w:rFonts w:ascii="Arial" w:hAnsi="Arial" w:cs="Arial"/>
          <w:sz w:val="24"/>
          <w:szCs w:val="24"/>
        </w:rPr>
        <w:t xml:space="preserve"> were to be held as a guideline.</w:t>
      </w:r>
    </w:p>
    <w:p w:rsidR="001B010E" w:rsidRDefault="001B010E"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lastRenderedPageBreak/>
        <w:t>[43</w:t>
      </w:r>
      <w:r w:rsidR="000656DE">
        <w:rPr>
          <w:rFonts w:ascii="Arial" w:hAnsi="Arial" w:cs="Arial"/>
          <w:sz w:val="24"/>
          <w:szCs w:val="24"/>
        </w:rPr>
        <w:t>]</w:t>
      </w:r>
      <w:r w:rsidR="000656DE">
        <w:rPr>
          <w:rFonts w:ascii="Arial" w:hAnsi="Arial" w:cs="Arial"/>
          <w:sz w:val="24"/>
          <w:szCs w:val="24"/>
        </w:rPr>
        <w:tab/>
        <w:t>In the main, the Applicants’ argument was that there is nothing in law precluding it from challenging the tariff decision without attacking the underlying methodology, and this is what they were doing in these proceedings.</w:t>
      </w:r>
    </w:p>
    <w:p w:rsidR="001B010E" w:rsidRDefault="001B010E"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color w:val="000000"/>
          <w:sz w:val="24"/>
          <w:szCs w:val="24"/>
        </w:rPr>
      </w:pPr>
      <w:r>
        <w:rPr>
          <w:rFonts w:ascii="Arial" w:hAnsi="Arial" w:cs="Arial"/>
          <w:sz w:val="24"/>
          <w:szCs w:val="24"/>
        </w:rPr>
        <w:t>[44</w:t>
      </w:r>
      <w:r w:rsidR="000656DE">
        <w:rPr>
          <w:rFonts w:ascii="Arial" w:hAnsi="Arial" w:cs="Arial"/>
          <w:sz w:val="24"/>
          <w:szCs w:val="24"/>
        </w:rPr>
        <w:t>]</w:t>
      </w:r>
      <w:r w:rsidR="000656DE">
        <w:rPr>
          <w:rFonts w:ascii="Arial" w:hAnsi="Arial" w:cs="Arial"/>
          <w:sz w:val="24"/>
          <w:szCs w:val="24"/>
        </w:rPr>
        <w:tab/>
        <w:t xml:space="preserve">It is not in dispute that the Applicants are in these proceedings challenging the impugned tariff decision and not the Guideline and Benchmarking </w:t>
      </w:r>
      <w:r w:rsidR="00246EC0">
        <w:rPr>
          <w:rFonts w:ascii="Arial" w:hAnsi="Arial" w:cs="Arial"/>
          <w:sz w:val="24"/>
          <w:szCs w:val="24"/>
        </w:rPr>
        <w:t>M</w:t>
      </w:r>
      <w:r w:rsidR="000656DE">
        <w:rPr>
          <w:rFonts w:ascii="Arial" w:hAnsi="Arial" w:cs="Arial"/>
          <w:sz w:val="24"/>
          <w:szCs w:val="24"/>
        </w:rPr>
        <w:t xml:space="preserve">ethodology used by NERSA when it determined City Power tariffs. </w:t>
      </w:r>
      <w:r w:rsidR="000656DE" w:rsidRPr="004B3A27">
        <w:rPr>
          <w:rFonts w:ascii="Arial" w:hAnsi="Arial" w:cs="Arial"/>
          <w:color w:val="000000"/>
          <w:sz w:val="24"/>
          <w:szCs w:val="24"/>
        </w:rPr>
        <w:t>It is</w:t>
      </w:r>
      <w:r w:rsidR="000656DE">
        <w:rPr>
          <w:rFonts w:ascii="Arial" w:hAnsi="Arial" w:cs="Arial"/>
          <w:color w:val="000000"/>
          <w:sz w:val="24"/>
          <w:szCs w:val="24"/>
        </w:rPr>
        <w:t>, also,</w:t>
      </w:r>
      <w:r w:rsidR="000656DE" w:rsidRPr="004B3A27">
        <w:rPr>
          <w:rFonts w:ascii="Arial" w:hAnsi="Arial" w:cs="Arial"/>
          <w:color w:val="000000"/>
          <w:sz w:val="24"/>
          <w:szCs w:val="24"/>
        </w:rPr>
        <w:t xml:space="preserve"> not in dispute that the impugned tariff decision is a separate and independent administra</w:t>
      </w:r>
      <w:r w:rsidR="000656DE">
        <w:rPr>
          <w:rFonts w:ascii="Arial" w:hAnsi="Arial" w:cs="Arial"/>
          <w:color w:val="000000"/>
          <w:sz w:val="24"/>
          <w:szCs w:val="24"/>
        </w:rPr>
        <w:t xml:space="preserve">tive decision from the </w:t>
      </w:r>
      <w:r w:rsidR="000656DE" w:rsidRPr="00797FB2">
        <w:rPr>
          <w:rFonts w:ascii="Arial" w:hAnsi="Arial" w:cs="Arial"/>
          <w:color w:val="000000"/>
          <w:sz w:val="24"/>
          <w:szCs w:val="24"/>
        </w:rPr>
        <w:t>Guideline and Benchmark</w:t>
      </w:r>
      <w:r w:rsidR="000656DE">
        <w:rPr>
          <w:rFonts w:ascii="Arial" w:hAnsi="Arial" w:cs="Arial"/>
          <w:color w:val="000000"/>
          <w:sz w:val="24"/>
          <w:szCs w:val="24"/>
        </w:rPr>
        <w:t>ing</w:t>
      </w:r>
      <w:r w:rsidR="000656DE" w:rsidRPr="00797FB2">
        <w:rPr>
          <w:rFonts w:ascii="Arial" w:hAnsi="Arial" w:cs="Arial"/>
          <w:color w:val="000000"/>
          <w:sz w:val="24"/>
          <w:szCs w:val="24"/>
        </w:rPr>
        <w:t xml:space="preserve"> approach, and </w:t>
      </w:r>
      <w:r w:rsidR="000656DE">
        <w:rPr>
          <w:rFonts w:ascii="Arial" w:hAnsi="Arial" w:cs="Arial"/>
          <w:color w:val="000000"/>
          <w:sz w:val="24"/>
          <w:szCs w:val="24"/>
        </w:rPr>
        <w:t xml:space="preserve">that </w:t>
      </w:r>
      <w:r w:rsidR="000656DE" w:rsidRPr="00797FB2">
        <w:rPr>
          <w:rFonts w:ascii="Arial" w:hAnsi="Arial" w:cs="Arial"/>
          <w:color w:val="000000"/>
          <w:sz w:val="24"/>
          <w:szCs w:val="24"/>
        </w:rPr>
        <w:t xml:space="preserve">nothing </w:t>
      </w:r>
      <w:r w:rsidR="000656DE">
        <w:rPr>
          <w:rFonts w:ascii="Arial" w:hAnsi="Arial" w:cs="Arial"/>
          <w:color w:val="000000"/>
          <w:sz w:val="24"/>
          <w:szCs w:val="24"/>
        </w:rPr>
        <w:t>precludes the A</w:t>
      </w:r>
      <w:r w:rsidR="000656DE" w:rsidRPr="00797FB2">
        <w:rPr>
          <w:rFonts w:ascii="Arial" w:hAnsi="Arial" w:cs="Arial"/>
          <w:color w:val="000000"/>
          <w:sz w:val="24"/>
          <w:szCs w:val="24"/>
        </w:rPr>
        <w:t>pplicants from challe</w:t>
      </w:r>
      <w:r w:rsidR="000656DE">
        <w:rPr>
          <w:rFonts w:ascii="Arial" w:hAnsi="Arial" w:cs="Arial"/>
          <w:color w:val="000000"/>
          <w:sz w:val="24"/>
          <w:szCs w:val="24"/>
        </w:rPr>
        <w:t xml:space="preserve">nging only the tariff decision </w:t>
      </w:r>
      <w:r w:rsidR="000656DE" w:rsidRPr="00797FB2">
        <w:rPr>
          <w:rFonts w:ascii="Arial" w:hAnsi="Arial" w:cs="Arial"/>
          <w:color w:val="000000"/>
          <w:sz w:val="24"/>
          <w:szCs w:val="24"/>
        </w:rPr>
        <w:t xml:space="preserve">without challenging the </w:t>
      </w:r>
      <w:r w:rsidR="000656DE">
        <w:rPr>
          <w:rFonts w:ascii="Arial" w:hAnsi="Arial" w:cs="Arial"/>
          <w:color w:val="000000"/>
          <w:sz w:val="24"/>
          <w:szCs w:val="24"/>
        </w:rPr>
        <w:t xml:space="preserve">underlying </w:t>
      </w:r>
      <w:r w:rsidR="000656DE" w:rsidRPr="00797FB2">
        <w:rPr>
          <w:rFonts w:ascii="Arial" w:hAnsi="Arial" w:cs="Arial"/>
          <w:color w:val="000000"/>
          <w:sz w:val="24"/>
          <w:szCs w:val="24"/>
        </w:rPr>
        <w:t xml:space="preserve">methodology </w:t>
      </w:r>
      <w:r w:rsidR="000656DE">
        <w:rPr>
          <w:rFonts w:ascii="Arial" w:hAnsi="Arial" w:cs="Arial"/>
          <w:color w:val="000000"/>
          <w:sz w:val="24"/>
          <w:szCs w:val="24"/>
        </w:rPr>
        <w:t>that</w:t>
      </w:r>
      <w:r w:rsidR="000656DE" w:rsidRPr="00797FB2">
        <w:rPr>
          <w:rFonts w:ascii="Arial" w:hAnsi="Arial" w:cs="Arial"/>
          <w:color w:val="000000"/>
          <w:sz w:val="24"/>
          <w:szCs w:val="24"/>
        </w:rPr>
        <w:t xml:space="preserve"> produced it. </w:t>
      </w:r>
    </w:p>
    <w:p w:rsidR="001B010E" w:rsidRPr="00797FB2" w:rsidRDefault="001B010E" w:rsidP="00FF0AC8">
      <w:pPr>
        <w:spacing w:after="0" w:line="360" w:lineRule="auto"/>
        <w:jc w:val="both"/>
        <w:rPr>
          <w:rFonts w:ascii="Arial" w:hAnsi="Arial" w:cs="Arial"/>
          <w:color w:val="000000"/>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t>[45</w:t>
      </w:r>
      <w:r w:rsidR="000656DE">
        <w:rPr>
          <w:rFonts w:ascii="Arial" w:hAnsi="Arial" w:cs="Arial"/>
          <w:sz w:val="24"/>
          <w:szCs w:val="24"/>
        </w:rPr>
        <w:t>]</w:t>
      </w:r>
      <w:r w:rsidR="000656DE">
        <w:rPr>
          <w:rFonts w:ascii="Arial" w:hAnsi="Arial" w:cs="Arial"/>
          <w:sz w:val="24"/>
          <w:szCs w:val="24"/>
        </w:rPr>
        <w:tab/>
        <w:t xml:space="preserve">The controversy, as seen by this Court, is whether NERSA’s Guideline and Benchmarking </w:t>
      </w:r>
      <w:r w:rsidR="00246EC0">
        <w:rPr>
          <w:rFonts w:ascii="Arial" w:hAnsi="Arial" w:cs="Arial"/>
          <w:sz w:val="24"/>
          <w:szCs w:val="24"/>
        </w:rPr>
        <w:t>Method</w:t>
      </w:r>
      <w:r w:rsidR="000656DE">
        <w:rPr>
          <w:rFonts w:ascii="Arial" w:hAnsi="Arial" w:cs="Arial"/>
          <w:sz w:val="24"/>
          <w:szCs w:val="24"/>
        </w:rPr>
        <w:t xml:space="preserve"> is binding on NERSA, as contended for by City Power or whether, as a guideline, it is not binding and affords NERSA an exercise of discretion when applying it, as argued by the Applicants. </w:t>
      </w:r>
    </w:p>
    <w:p w:rsidR="001B010E" w:rsidRDefault="001B010E"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t>[46</w:t>
      </w:r>
      <w:r w:rsidR="000656DE">
        <w:rPr>
          <w:rFonts w:ascii="Arial" w:hAnsi="Arial" w:cs="Arial"/>
          <w:sz w:val="24"/>
          <w:szCs w:val="24"/>
        </w:rPr>
        <w:t>]</w:t>
      </w:r>
      <w:r w:rsidR="000656DE">
        <w:rPr>
          <w:rFonts w:ascii="Arial" w:hAnsi="Arial" w:cs="Arial"/>
          <w:sz w:val="24"/>
          <w:szCs w:val="24"/>
        </w:rPr>
        <w:tab/>
        <w:t xml:space="preserve">City Power’s suggestion that the Guideline and Benchmarking </w:t>
      </w:r>
      <w:r w:rsidR="00246EC0">
        <w:rPr>
          <w:rFonts w:ascii="Arial" w:hAnsi="Arial" w:cs="Arial"/>
          <w:sz w:val="24"/>
          <w:szCs w:val="24"/>
        </w:rPr>
        <w:t>Method</w:t>
      </w:r>
      <w:r w:rsidR="000656DE">
        <w:rPr>
          <w:rFonts w:ascii="Arial" w:hAnsi="Arial" w:cs="Arial"/>
          <w:sz w:val="24"/>
          <w:szCs w:val="24"/>
        </w:rPr>
        <w:t xml:space="preserve"> is an administrative decision that is binding until set aside by a Court of law, is reinforced by City Power’s reliance on the </w:t>
      </w:r>
      <w:r w:rsidR="000656DE" w:rsidRPr="009B4313">
        <w:rPr>
          <w:rFonts w:ascii="Arial" w:hAnsi="Arial" w:cs="Arial"/>
          <w:i/>
          <w:sz w:val="24"/>
          <w:szCs w:val="24"/>
        </w:rPr>
        <w:t>Oudekraal</w:t>
      </w:r>
      <w:r w:rsidR="000656DE">
        <w:rPr>
          <w:rFonts w:ascii="Arial" w:hAnsi="Arial" w:cs="Arial"/>
          <w:sz w:val="24"/>
          <w:szCs w:val="24"/>
        </w:rPr>
        <w:t xml:space="preserve"> principle, as alluded to earlier in this judgment. Whereas, the Applicants’ assertion that the methodology is a guideline which is not binding and affords NERSA an exercise of discretion when applying it, is fortified by the Applicants’ reliance on the principle in </w:t>
      </w:r>
      <w:r w:rsidR="000656DE" w:rsidRPr="00B22089">
        <w:rPr>
          <w:rFonts w:ascii="Arial" w:hAnsi="Arial" w:cs="Arial"/>
          <w:i/>
          <w:sz w:val="24"/>
          <w:szCs w:val="24"/>
        </w:rPr>
        <w:t>PG Group</w:t>
      </w:r>
      <w:r w:rsidR="000656DE">
        <w:rPr>
          <w:rFonts w:ascii="Arial" w:hAnsi="Arial" w:cs="Arial"/>
          <w:sz w:val="24"/>
          <w:szCs w:val="24"/>
        </w:rPr>
        <w:t>,</w:t>
      </w:r>
      <w:r w:rsidR="000656DE">
        <w:rPr>
          <w:rStyle w:val="FootnoteReference"/>
          <w:rFonts w:ascii="Arial" w:hAnsi="Arial" w:cs="Arial"/>
          <w:sz w:val="24"/>
          <w:szCs w:val="24"/>
        </w:rPr>
        <w:footnoteReference w:id="10"/>
      </w:r>
      <w:r w:rsidR="000656DE">
        <w:rPr>
          <w:rFonts w:ascii="Arial" w:hAnsi="Arial" w:cs="Arial"/>
          <w:sz w:val="24"/>
          <w:szCs w:val="24"/>
        </w:rPr>
        <w:t xml:space="preserve"> that states that a methodology is not law but a guideline that allows the exercise of a discretion when applying it. </w:t>
      </w:r>
    </w:p>
    <w:p w:rsidR="00917D2E" w:rsidRDefault="00917D2E"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color w:val="000000"/>
          <w:sz w:val="24"/>
          <w:szCs w:val="24"/>
        </w:rPr>
      </w:pPr>
      <w:r>
        <w:rPr>
          <w:rFonts w:ascii="Arial" w:hAnsi="Arial" w:cs="Arial"/>
          <w:sz w:val="24"/>
          <w:szCs w:val="24"/>
        </w:rPr>
        <w:t>[47</w:t>
      </w:r>
      <w:r w:rsidR="000656DE">
        <w:rPr>
          <w:rFonts w:ascii="Arial" w:hAnsi="Arial" w:cs="Arial"/>
          <w:sz w:val="24"/>
          <w:szCs w:val="24"/>
        </w:rPr>
        <w:t>]</w:t>
      </w:r>
      <w:r w:rsidR="000656DE">
        <w:rPr>
          <w:rFonts w:ascii="Arial" w:hAnsi="Arial" w:cs="Arial"/>
          <w:sz w:val="24"/>
          <w:szCs w:val="24"/>
        </w:rPr>
        <w:tab/>
        <w:t xml:space="preserve">The Constitutional Court in its decision in </w:t>
      </w:r>
      <w:r w:rsidR="000656DE" w:rsidRPr="0077212E">
        <w:rPr>
          <w:rFonts w:ascii="Arial" w:hAnsi="Arial" w:cs="Arial"/>
          <w:i/>
          <w:sz w:val="24"/>
          <w:szCs w:val="24"/>
        </w:rPr>
        <w:t>PG Group</w:t>
      </w:r>
      <w:r w:rsidR="00435231">
        <w:rPr>
          <w:rFonts w:ascii="Arial" w:hAnsi="Arial" w:cs="Arial"/>
          <w:i/>
          <w:sz w:val="24"/>
          <w:szCs w:val="24"/>
        </w:rPr>
        <w:t>,</w:t>
      </w:r>
      <w:r w:rsidR="000656DE">
        <w:rPr>
          <w:rStyle w:val="FootnoteReference"/>
          <w:rFonts w:ascii="Arial" w:hAnsi="Arial" w:cs="Arial"/>
          <w:sz w:val="24"/>
          <w:szCs w:val="24"/>
        </w:rPr>
        <w:footnoteReference w:id="11"/>
      </w:r>
      <w:r w:rsidR="00762D48" w:rsidRPr="00762D48">
        <w:rPr>
          <w:rFonts w:ascii="Arial" w:hAnsi="Arial" w:cs="Arial"/>
          <w:sz w:val="24"/>
          <w:szCs w:val="24"/>
        </w:rPr>
        <w:t>when</w:t>
      </w:r>
      <w:r w:rsidR="000656DE">
        <w:rPr>
          <w:rFonts w:ascii="Arial" w:hAnsi="Arial" w:cs="Arial"/>
          <w:i/>
          <w:sz w:val="24"/>
          <w:szCs w:val="24"/>
        </w:rPr>
        <w:t xml:space="preserve"> </w:t>
      </w:r>
      <w:r w:rsidR="00762D48">
        <w:rPr>
          <w:rFonts w:ascii="Arial" w:hAnsi="Arial" w:cs="Arial"/>
          <w:sz w:val="24"/>
          <w:szCs w:val="24"/>
        </w:rPr>
        <w:t xml:space="preserve">dealing with the Gas Act, </w:t>
      </w:r>
      <w:r w:rsidR="000656DE">
        <w:rPr>
          <w:rFonts w:ascii="Arial" w:hAnsi="Arial" w:cs="Arial"/>
          <w:sz w:val="24"/>
          <w:szCs w:val="24"/>
        </w:rPr>
        <w:t xml:space="preserve">held </w:t>
      </w:r>
      <w:r w:rsidR="000656DE" w:rsidRPr="00AC243D">
        <w:rPr>
          <w:rFonts w:ascii="Arial" w:hAnsi="Arial" w:cs="Arial"/>
          <w:color w:val="000000"/>
          <w:sz w:val="24"/>
          <w:szCs w:val="24"/>
        </w:rPr>
        <w:t xml:space="preserve">that the maximum pricing methodology is not law, but rather </w:t>
      </w:r>
      <w:r w:rsidR="000656DE" w:rsidRPr="00AC243D">
        <w:rPr>
          <w:rFonts w:ascii="Arial" w:hAnsi="Arial" w:cs="Arial"/>
          <w:color w:val="000000"/>
          <w:sz w:val="24"/>
          <w:szCs w:val="24"/>
        </w:rPr>
        <w:lastRenderedPageBreak/>
        <w:t xml:space="preserve">a guideline made in accordance with the </w:t>
      </w:r>
      <w:r w:rsidR="000656DE">
        <w:rPr>
          <w:rFonts w:ascii="Arial" w:hAnsi="Arial" w:cs="Arial"/>
          <w:color w:val="000000"/>
          <w:sz w:val="24"/>
          <w:szCs w:val="24"/>
        </w:rPr>
        <w:t xml:space="preserve">empowering legislation. </w:t>
      </w:r>
      <w:r w:rsidR="00D313F5">
        <w:rPr>
          <w:rFonts w:ascii="Arial" w:hAnsi="Arial" w:cs="Arial"/>
          <w:color w:val="000000"/>
          <w:sz w:val="24"/>
          <w:szCs w:val="24"/>
        </w:rPr>
        <w:t>In addition,</w:t>
      </w:r>
      <w:r w:rsidR="000656DE" w:rsidRPr="00AC243D">
        <w:rPr>
          <w:rFonts w:ascii="Arial" w:hAnsi="Arial" w:cs="Arial"/>
          <w:color w:val="000000"/>
          <w:sz w:val="24"/>
          <w:szCs w:val="24"/>
        </w:rPr>
        <w:t xml:space="preserve"> NERSA</w:t>
      </w:r>
      <w:r w:rsidR="000656DE">
        <w:rPr>
          <w:rFonts w:ascii="Arial" w:hAnsi="Arial" w:cs="Arial"/>
          <w:color w:val="000000"/>
          <w:sz w:val="24"/>
          <w:szCs w:val="24"/>
        </w:rPr>
        <w:t>, in that judgment,</w:t>
      </w:r>
      <w:r w:rsidR="000656DE" w:rsidRPr="00AC243D">
        <w:rPr>
          <w:rFonts w:ascii="Arial" w:hAnsi="Arial" w:cs="Arial"/>
          <w:color w:val="000000"/>
          <w:sz w:val="24"/>
          <w:szCs w:val="24"/>
        </w:rPr>
        <w:t xml:space="preserve"> had a discretion not to rigidly apply </w:t>
      </w:r>
      <w:r w:rsidR="000656DE">
        <w:rPr>
          <w:rFonts w:ascii="Arial" w:hAnsi="Arial" w:cs="Arial"/>
          <w:color w:val="000000"/>
          <w:sz w:val="24"/>
          <w:szCs w:val="24"/>
        </w:rPr>
        <w:t>the maximum price methodology, i</w:t>
      </w:r>
      <w:r w:rsidR="000656DE" w:rsidRPr="00AC243D">
        <w:rPr>
          <w:rFonts w:ascii="Arial" w:hAnsi="Arial" w:cs="Arial"/>
          <w:color w:val="000000"/>
          <w:sz w:val="24"/>
          <w:szCs w:val="24"/>
        </w:rPr>
        <w:t>f</w:t>
      </w:r>
      <w:r w:rsidR="000656DE">
        <w:rPr>
          <w:rFonts w:ascii="Arial" w:hAnsi="Arial" w:cs="Arial"/>
          <w:color w:val="000000"/>
          <w:sz w:val="24"/>
          <w:szCs w:val="24"/>
        </w:rPr>
        <w:t xml:space="preserve"> </w:t>
      </w:r>
      <w:r w:rsidR="000656DE" w:rsidRPr="00AC243D">
        <w:rPr>
          <w:rFonts w:ascii="Arial" w:hAnsi="Arial" w:cs="Arial"/>
          <w:color w:val="000000"/>
          <w:sz w:val="24"/>
          <w:szCs w:val="24"/>
        </w:rPr>
        <w:t>its application would lead to irrationa</w:t>
      </w:r>
      <w:r w:rsidR="000656DE">
        <w:rPr>
          <w:rFonts w:ascii="Arial" w:hAnsi="Arial" w:cs="Arial"/>
          <w:color w:val="000000"/>
          <w:sz w:val="24"/>
          <w:szCs w:val="24"/>
        </w:rPr>
        <w:t>l or otherwise unlawful results</w:t>
      </w:r>
      <w:r w:rsidR="000656DE" w:rsidRPr="00AC243D">
        <w:rPr>
          <w:rFonts w:ascii="Arial" w:hAnsi="Arial" w:cs="Arial"/>
          <w:color w:val="000000"/>
          <w:sz w:val="24"/>
          <w:szCs w:val="24"/>
        </w:rPr>
        <w:t>.</w:t>
      </w:r>
    </w:p>
    <w:p w:rsidR="00D313F5" w:rsidRDefault="00D313F5" w:rsidP="00FF0AC8">
      <w:pPr>
        <w:spacing w:after="0" w:line="360" w:lineRule="auto"/>
        <w:jc w:val="both"/>
        <w:rPr>
          <w:rFonts w:ascii="Arial" w:hAnsi="Arial" w:cs="Arial"/>
          <w:color w:val="000000"/>
          <w:sz w:val="24"/>
          <w:szCs w:val="24"/>
        </w:rPr>
      </w:pPr>
    </w:p>
    <w:p w:rsidR="000656DE"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[48</w:t>
      </w:r>
      <w:r w:rsidR="000656DE">
        <w:rPr>
          <w:rFonts w:ascii="Arial" w:hAnsi="Arial" w:cs="Arial"/>
          <w:color w:val="000000"/>
          <w:sz w:val="24"/>
          <w:szCs w:val="24"/>
        </w:rPr>
        <w:t>]</w:t>
      </w:r>
      <w:r w:rsidR="000656DE">
        <w:rPr>
          <w:rFonts w:ascii="Arial" w:hAnsi="Arial" w:cs="Arial"/>
          <w:color w:val="000000"/>
          <w:sz w:val="24"/>
          <w:szCs w:val="24"/>
        </w:rPr>
        <w:tab/>
        <w:t xml:space="preserve">Similarly, in this matter, if it could be found that NERSA’s Guideline and Benchmarking </w:t>
      </w:r>
      <w:r w:rsidR="00246EC0">
        <w:rPr>
          <w:rFonts w:ascii="Arial" w:hAnsi="Arial" w:cs="Arial"/>
          <w:color w:val="000000"/>
          <w:sz w:val="24"/>
          <w:szCs w:val="24"/>
        </w:rPr>
        <w:t>Method</w:t>
      </w:r>
      <w:r w:rsidR="000656DE">
        <w:rPr>
          <w:rFonts w:ascii="Arial" w:hAnsi="Arial" w:cs="Arial"/>
          <w:color w:val="000000"/>
          <w:sz w:val="24"/>
          <w:szCs w:val="24"/>
        </w:rPr>
        <w:t xml:space="preserve"> was a guideline and not a binding decision, as argued by City Power, then in that event, as a guideline, it will allow NERSA to exercise its discretion not to rigidly apply the methodology</w:t>
      </w:r>
      <w:r w:rsidR="00093CFC">
        <w:rPr>
          <w:rFonts w:ascii="Arial" w:hAnsi="Arial" w:cs="Arial"/>
          <w:color w:val="000000"/>
          <w:sz w:val="24"/>
          <w:szCs w:val="24"/>
        </w:rPr>
        <w:t xml:space="preserve"> i</w:t>
      </w:r>
      <w:r w:rsidR="000656DE">
        <w:rPr>
          <w:rFonts w:ascii="Arial" w:hAnsi="Arial" w:cs="Arial"/>
          <w:color w:val="000000"/>
          <w:sz w:val="24"/>
          <w:szCs w:val="24"/>
        </w:rPr>
        <w:t xml:space="preserve">f its application would lead to irrational or otherwise unlawful results.  </w:t>
      </w:r>
    </w:p>
    <w:p w:rsidR="009C7CF9" w:rsidRDefault="009C7CF9"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t>[49</w:t>
      </w:r>
      <w:r w:rsidR="000656DE">
        <w:rPr>
          <w:rFonts w:ascii="Arial" w:hAnsi="Arial" w:cs="Arial"/>
          <w:sz w:val="24"/>
          <w:szCs w:val="24"/>
        </w:rPr>
        <w:t>]</w:t>
      </w:r>
      <w:r w:rsidR="000656DE">
        <w:rPr>
          <w:rFonts w:ascii="Arial" w:hAnsi="Arial" w:cs="Arial"/>
          <w:sz w:val="24"/>
          <w:szCs w:val="24"/>
        </w:rPr>
        <w:tab/>
        <w:t xml:space="preserve">This Court is of the view that the Applicants’ argument that NERSA’s Guideline and Benchmarking </w:t>
      </w:r>
      <w:r w:rsidR="00246EC0">
        <w:rPr>
          <w:rFonts w:ascii="Arial" w:hAnsi="Arial" w:cs="Arial"/>
          <w:sz w:val="24"/>
          <w:szCs w:val="24"/>
        </w:rPr>
        <w:t>Method</w:t>
      </w:r>
      <w:r w:rsidR="000656DE">
        <w:rPr>
          <w:rFonts w:ascii="Arial" w:hAnsi="Arial" w:cs="Arial"/>
          <w:sz w:val="24"/>
          <w:szCs w:val="24"/>
        </w:rPr>
        <w:t xml:space="preserve"> is a guideline, is valid, simply because the method says it’s a guideline – the Guideline and Benchmarking </w:t>
      </w:r>
      <w:r w:rsidR="00246EC0">
        <w:rPr>
          <w:rFonts w:ascii="Arial" w:hAnsi="Arial" w:cs="Arial"/>
          <w:sz w:val="24"/>
          <w:szCs w:val="24"/>
        </w:rPr>
        <w:t>Method</w:t>
      </w:r>
      <w:r w:rsidR="000656DE">
        <w:rPr>
          <w:rFonts w:ascii="Arial" w:hAnsi="Arial" w:cs="Arial"/>
          <w:sz w:val="24"/>
          <w:szCs w:val="24"/>
        </w:rPr>
        <w:t xml:space="preserve">, and NERSA itself, throughout its papers, regards the method as a guideline.  </w:t>
      </w:r>
    </w:p>
    <w:p w:rsidR="009C7CF9" w:rsidRDefault="009C7CF9" w:rsidP="00FF0AC8">
      <w:pPr>
        <w:spacing w:after="0" w:line="360" w:lineRule="auto"/>
        <w:jc w:val="both"/>
        <w:rPr>
          <w:rFonts w:ascii="Arial" w:hAnsi="Arial" w:cs="Arial"/>
          <w:sz w:val="24"/>
          <w:szCs w:val="24"/>
        </w:rPr>
      </w:pPr>
    </w:p>
    <w:p w:rsidR="000656DE" w:rsidRPr="00884B4F" w:rsidRDefault="001D3E9F" w:rsidP="00FF0AC8">
      <w:pPr>
        <w:spacing w:after="0" w:line="360" w:lineRule="auto"/>
        <w:jc w:val="both"/>
        <w:rPr>
          <w:rFonts w:ascii="Arial" w:hAnsi="Arial" w:cs="Arial"/>
          <w:sz w:val="24"/>
          <w:szCs w:val="24"/>
        </w:rPr>
      </w:pPr>
      <w:r>
        <w:rPr>
          <w:rFonts w:ascii="Arial" w:hAnsi="Arial" w:cs="Arial"/>
          <w:sz w:val="24"/>
          <w:szCs w:val="24"/>
        </w:rPr>
        <w:t>[50</w:t>
      </w:r>
      <w:r w:rsidR="000656DE">
        <w:rPr>
          <w:rFonts w:ascii="Arial" w:hAnsi="Arial" w:cs="Arial"/>
          <w:sz w:val="24"/>
          <w:szCs w:val="24"/>
        </w:rPr>
        <w:t>]</w:t>
      </w:r>
      <w:r w:rsidR="000656DE">
        <w:rPr>
          <w:rFonts w:ascii="Arial" w:hAnsi="Arial" w:cs="Arial"/>
          <w:sz w:val="24"/>
          <w:szCs w:val="24"/>
        </w:rPr>
        <w:tab/>
        <w:t xml:space="preserve">Having found that the method is a guideline, it stands to reason that in applying it, NERSA is allowed to exercise its discretion not to rigidly apply it. A good example that, NERSA exercises a discretion when applying the methodology, is in regard to NERSA’s tariff determination </w:t>
      </w:r>
      <w:r w:rsidR="009C7CF9">
        <w:rPr>
          <w:rFonts w:ascii="Arial" w:hAnsi="Arial" w:cs="Arial"/>
          <w:sz w:val="24"/>
          <w:szCs w:val="24"/>
        </w:rPr>
        <w:t>process, which</w:t>
      </w:r>
      <w:r w:rsidR="000656DE">
        <w:rPr>
          <w:rFonts w:ascii="Arial" w:hAnsi="Arial" w:cs="Arial"/>
          <w:sz w:val="24"/>
          <w:szCs w:val="24"/>
        </w:rPr>
        <w:t xml:space="preserve"> runs on D-Forms and require cost information from the municipalities. If there was no discretion to exercise, and NERSA was to rigidly apply the methodology, the information derived from the D-Forms would be </w:t>
      </w:r>
      <w:r w:rsidR="009C7CF9">
        <w:rPr>
          <w:rFonts w:ascii="Arial" w:hAnsi="Arial" w:cs="Arial"/>
          <w:sz w:val="24"/>
          <w:szCs w:val="24"/>
        </w:rPr>
        <w:t>unnecessary</w:t>
      </w:r>
      <w:r w:rsidR="000656DE">
        <w:rPr>
          <w:rFonts w:ascii="Arial" w:hAnsi="Arial" w:cs="Arial"/>
          <w:sz w:val="24"/>
          <w:szCs w:val="24"/>
        </w:rPr>
        <w:t>. Moreover, if NERSA were to rigidly apply the methodology with the result that</w:t>
      </w:r>
      <w:r w:rsidR="000656DE">
        <w:rPr>
          <w:rFonts w:ascii="Arial" w:hAnsi="Arial" w:cs="Arial"/>
          <w:color w:val="000000"/>
          <w:sz w:val="24"/>
          <w:szCs w:val="24"/>
        </w:rPr>
        <w:t xml:space="preserve"> </w:t>
      </w:r>
      <w:r w:rsidR="000656DE" w:rsidRPr="00AC243D">
        <w:rPr>
          <w:rFonts w:ascii="Arial" w:hAnsi="Arial" w:cs="Arial"/>
          <w:color w:val="000000"/>
          <w:sz w:val="24"/>
          <w:szCs w:val="24"/>
        </w:rPr>
        <w:t>its application would lead to irrationa</w:t>
      </w:r>
      <w:r w:rsidR="000656DE">
        <w:rPr>
          <w:rFonts w:ascii="Arial" w:hAnsi="Arial" w:cs="Arial"/>
          <w:color w:val="000000"/>
          <w:sz w:val="24"/>
          <w:szCs w:val="24"/>
        </w:rPr>
        <w:t>l or otherwise unlawful outcomes, then it would be acting contrary to the provisions of the Constitution, the ERA and the EPP, which are binding on NERSA and City Power</w:t>
      </w:r>
      <w:r w:rsidR="000656DE" w:rsidRPr="00AC243D">
        <w:rPr>
          <w:rFonts w:ascii="Arial" w:hAnsi="Arial" w:cs="Arial"/>
          <w:color w:val="000000"/>
          <w:sz w:val="24"/>
          <w:szCs w:val="24"/>
        </w:rPr>
        <w:t>.</w:t>
      </w:r>
      <w:r w:rsidR="000656DE">
        <w:rPr>
          <w:rFonts w:ascii="Arial" w:hAnsi="Arial" w:cs="Arial"/>
          <w:color w:val="000000"/>
          <w:sz w:val="24"/>
          <w:szCs w:val="24"/>
        </w:rPr>
        <w:t xml:space="preserve"> </w:t>
      </w:r>
    </w:p>
    <w:p w:rsidR="00917D2E" w:rsidRDefault="00917D2E" w:rsidP="00FF0AC8">
      <w:pPr>
        <w:spacing w:after="0" w:line="360" w:lineRule="auto"/>
        <w:jc w:val="both"/>
        <w:rPr>
          <w:rFonts w:ascii="Arial" w:hAnsi="Arial" w:cs="Arial"/>
          <w:color w:val="000000"/>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color w:val="000000"/>
          <w:sz w:val="24"/>
          <w:szCs w:val="24"/>
        </w:rPr>
        <w:lastRenderedPageBreak/>
        <w:t>[51</w:t>
      </w:r>
      <w:r w:rsidR="000656DE">
        <w:rPr>
          <w:rFonts w:ascii="Arial" w:hAnsi="Arial" w:cs="Arial"/>
          <w:color w:val="000000"/>
          <w:sz w:val="24"/>
          <w:szCs w:val="24"/>
        </w:rPr>
        <w:t>]</w:t>
      </w:r>
      <w:r w:rsidR="000656DE">
        <w:rPr>
          <w:rFonts w:ascii="Arial" w:hAnsi="Arial" w:cs="Arial"/>
          <w:color w:val="000000"/>
          <w:sz w:val="24"/>
          <w:szCs w:val="24"/>
        </w:rPr>
        <w:tab/>
        <w:t xml:space="preserve">The majority judgment, in </w:t>
      </w:r>
      <w:r w:rsidR="000656DE" w:rsidRPr="0028168D">
        <w:rPr>
          <w:rFonts w:ascii="Arial" w:hAnsi="Arial" w:cs="Arial"/>
          <w:i/>
          <w:color w:val="000000"/>
          <w:sz w:val="24"/>
          <w:szCs w:val="24"/>
        </w:rPr>
        <w:t>PG Group</w:t>
      </w:r>
      <w:r w:rsidR="000656DE">
        <w:rPr>
          <w:rFonts w:ascii="Arial" w:hAnsi="Arial" w:cs="Arial"/>
          <w:color w:val="000000"/>
          <w:sz w:val="24"/>
          <w:szCs w:val="24"/>
        </w:rPr>
        <w:t>,</w:t>
      </w:r>
      <w:r w:rsidR="000656DE">
        <w:rPr>
          <w:rStyle w:val="FootnoteReference"/>
          <w:rFonts w:ascii="Arial" w:hAnsi="Arial" w:cs="Arial"/>
          <w:color w:val="000000"/>
          <w:sz w:val="24"/>
          <w:szCs w:val="24"/>
        </w:rPr>
        <w:footnoteReference w:id="12"/>
      </w:r>
      <w:r w:rsidR="000656DE">
        <w:rPr>
          <w:rFonts w:ascii="Arial" w:hAnsi="Arial" w:cs="Arial"/>
          <w:color w:val="000000"/>
          <w:sz w:val="24"/>
          <w:szCs w:val="24"/>
        </w:rPr>
        <w:t xml:space="preserve"> held, also, that determining rationality, whether under PAJA or not, must include some evaluation of the process by which a decision was made – in other words, the process leading to a decision (or the means) must be rationally related to the purpose or ends. This puts to bed City Power’s proposition that </w:t>
      </w:r>
      <w:r w:rsidR="000656DE">
        <w:rPr>
          <w:rFonts w:ascii="Arial" w:hAnsi="Arial" w:cs="Arial"/>
          <w:sz w:val="24"/>
          <w:szCs w:val="24"/>
        </w:rPr>
        <w:t xml:space="preserve">the Applicants are </w:t>
      </w:r>
      <w:r w:rsidR="00762D48">
        <w:rPr>
          <w:rFonts w:ascii="Arial" w:hAnsi="Arial" w:cs="Arial"/>
          <w:sz w:val="24"/>
          <w:szCs w:val="24"/>
        </w:rPr>
        <w:t xml:space="preserve">not allowed to </w:t>
      </w:r>
      <w:r w:rsidR="000656DE">
        <w:rPr>
          <w:rFonts w:ascii="Arial" w:hAnsi="Arial" w:cs="Arial"/>
          <w:sz w:val="24"/>
          <w:szCs w:val="24"/>
        </w:rPr>
        <w:t>challeng</w:t>
      </w:r>
      <w:r w:rsidR="00762D48">
        <w:rPr>
          <w:rFonts w:ascii="Arial" w:hAnsi="Arial" w:cs="Arial"/>
          <w:sz w:val="24"/>
          <w:szCs w:val="24"/>
        </w:rPr>
        <w:t>e</w:t>
      </w:r>
      <w:r w:rsidR="000656DE">
        <w:rPr>
          <w:rFonts w:ascii="Arial" w:hAnsi="Arial" w:cs="Arial"/>
          <w:sz w:val="24"/>
          <w:szCs w:val="24"/>
        </w:rPr>
        <w:t xml:space="preserve"> the tariff decision by raising </w:t>
      </w:r>
      <w:r w:rsidR="009C7CF9">
        <w:rPr>
          <w:rFonts w:ascii="Arial" w:hAnsi="Arial" w:cs="Arial"/>
          <w:sz w:val="24"/>
          <w:szCs w:val="24"/>
        </w:rPr>
        <w:t>arguments, which</w:t>
      </w:r>
      <w:r w:rsidR="000656DE">
        <w:rPr>
          <w:rFonts w:ascii="Arial" w:hAnsi="Arial" w:cs="Arial"/>
          <w:sz w:val="24"/>
          <w:szCs w:val="24"/>
        </w:rPr>
        <w:t xml:space="preserve"> are directed at </w:t>
      </w:r>
      <w:r w:rsidR="00F8023A">
        <w:rPr>
          <w:rFonts w:ascii="Arial" w:hAnsi="Arial" w:cs="Arial"/>
          <w:sz w:val="24"/>
          <w:szCs w:val="24"/>
        </w:rPr>
        <w:t>the Guideline and Benchmarking M</w:t>
      </w:r>
      <w:r w:rsidR="000656DE">
        <w:rPr>
          <w:rFonts w:ascii="Arial" w:hAnsi="Arial" w:cs="Arial"/>
          <w:sz w:val="24"/>
          <w:szCs w:val="24"/>
        </w:rPr>
        <w:t>ethod.</w:t>
      </w:r>
      <w:r w:rsidR="00B03DD2">
        <w:rPr>
          <w:rFonts w:ascii="Arial" w:hAnsi="Arial" w:cs="Arial"/>
          <w:sz w:val="24"/>
          <w:szCs w:val="24"/>
        </w:rPr>
        <w:t xml:space="preserve"> This is so, even though it is clear from the Applicants’ papers that the pleaded case of rationality was directed at the impugned decision itself, and not the process leading to the decision.</w:t>
      </w:r>
    </w:p>
    <w:p w:rsidR="009C7CF9" w:rsidRDefault="009C7CF9" w:rsidP="00FF0AC8">
      <w:pPr>
        <w:spacing w:after="0" w:line="360" w:lineRule="auto"/>
        <w:jc w:val="both"/>
        <w:rPr>
          <w:rFonts w:ascii="Arial" w:hAnsi="Arial" w:cs="Arial"/>
          <w:sz w:val="24"/>
          <w:szCs w:val="24"/>
        </w:rPr>
      </w:pPr>
    </w:p>
    <w:p w:rsidR="00F8023A" w:rsidRDefault="001D3E9F" w:rsidP="00F8023A">
      <w:pPr>
        <w:spacing w:after="0" w:line="360" w:lineRule="auto"/>
        <w:jc w:val="both"/>
        <w:rPr>
          <w:rFonts w:ascii="Arial" w:hAnsi="Arial" w:cs="Arial"/>
          <w:bCs/>
          <w:sz w:val="24"/>
          <w:szCs w:val="24"/>
          <w:lang w:val="en-GB"/>
        </w:rPr>
      </w:pPr>
      <w:r>
        <w:rPr>
          <w:rFonts w:ascii="Arial" w:hAnsi="Arial" w:cs="Arial"/>
          <w:sz w:val="24"/>
          <w:szCs w:val="24"/>
        </w:rPr>
        <w:t>[52</w:t>
      </w:r>
      <w:r w:rsidR="000656DE">
        <w:rPr>
          <w:rFonts w:ascii="Arial" w:hAnsi="Arial" w:cs="Arial"/>
          <w:sz w:val="24"/>
          <w:szCs w:val="24"/>
        </w:rPr>
        <w:t>]</w:t>
      </w:r>
      <w:r w:rsidR="000656DE">
        <w:rPr>
          <w:rFonts w:ascii="Arial" w:hAnsi="Arial" w:cs="Arial"/>
          <w:sz w:val="24"/>
          <w:szCs w:val="24"/>
        </w:rPr>
        <w:tab/>
      </w:r>
      <w:r w:rsidR="00762D48">
        <w:rPr>
          <w:rFonts w:ascii="Arial" w:hAnsi="Arial" w:cs="Arial"/>
          <w:sz w:val="24"/>
          <w:szCs w:val="24"/>
        </w:rPr>
        <w:t>City Power’s</w:t>
      </w:r>
      <w:r w:rsidR="00701250">
        <w:rPr>
          <w:rFonts w:ascii="Arial" w:hAnsi="Arial" w:cs="Arial"/>
          <w:sz w:val="24"/>
          <w:szCs w:val="24"/>
        </w:rPr>
        <w:t xml:space="preserve"> proposition that the methodology is an administrative decision – a guideline decision and benchmark decision, is in this Court’s view,</w:t>
      </w:r>
      <w:r w:rsidR="00762D48" w:rsidRPr="00762D48">
        <w:rPr>
          <w:rFonts w:ascii="Arial" w:hAnsi="Arial" w:cs="Arial"/>
          <w:sz w:val="24"/>
          <w:szCs w:val="24"/>
        </w:rPr>
        <w:t xml:space="preserve"> </w:t>
      </w:r>
      <w:r w:rsidR="00762D48">
        <w:rPr>
          <w:rFonts w:ascii="Arial" w:hAnsi="Arial" w:cs="Arial"/>
          <w:sz w:val="24"/>
          <w:szCs w:val="24"/>
        </w:rPr>
        <w:t>misguided</w:t>
      </w:r>
      <w:r w:rsidR="00701250">
        <w:rPr>
          <w:rFonts w:ascii="Arial" w:hAnsi="Arial" w:cs="Arial"/>
          <w:sz w:val="24"/>
          <w:szCs w:val="24"/>
        </w:rPr>
        <w:t xml:space="preserve">. </w:t>
      </w:r>
      <w:r w:rsidR="00701250" w:rsidRPr="006D1D55">
        <w:rPr>
          <w:rFonts w:ascii="Arial" w:hAnsi="Arial" w:cs="Arial"/>
          <w:bCs/>
          <w:iCs/>
          <w:sz w:val="24"/>
          <w:szCs w:val="24"/>
          <w:lang w:val="en-GB"/>
        </w:rPr>
        <w:t xml:space="preserve">The </w:t>
      </w:r>
      <w:r w:rsidR="009C7CF9" w:rsidRPr="006D1D55">
        <w:rPr>
          <w:rFonts w:ascii="Arial" w:hAnsi="Arial" w:cs="Arial"/>
          <w:bCs/>
          <w:iCs/>
          <w:sz w:val="24"/>
          <w:szCs w:val="24"/>
          <w:lang w:val="en-GB"/>
        </w:rPr>
        <w:t xml:space="preserve">Constitutional Court in </w:t>
      </w:r>
      <w:r w:rsidR="009C7CF9" w:rsidRPr="00093CFC">
        <w:rPr>
          <w:rFonts w:ascii="Arial" w:hAnsi="Arial" w:cs="Arial"/>
          <w:bCs/>
          <w:i/>
          <w:iCs/>
          <w:sz w:val="24"/>
          <w:szCs w:val="24"/>
          <w:lang w:val="en-GB"/>
        </w:rPr>
        <w:t>PG Group</w:t>
      </w:r>
      <w:r w:rsidR="009C7CF9" w:rsidRPr="006D1D55">
        <w:rPr>
          <w:rFonts w:ascii="Arial" w:hAnsi="Arial" w:cs="Arial"/>
          <w:bCs/>
          <w:iCs/>
          <w:sz w:val="24"/>
          <w:szCs w:val="24"/>
          <w:lang w:val="en-GB"/>
        </w:rPr>
        <w:t xml:space="preserve"> left the question of whether a methodology is an administrative action in terms of PAJA open</w:t>
      </w:r>
      <w:r w:rsidR="00701250" w:rsidRPr="006D1D55">
        <w:rPr>
          <w:rFonts w:ascii="Arial" w:hAnsi="Arial" w:cs="Arial"/>
          <w:bCs/>
          <w:iCs/>
          <w:sz w:val="24"/>
          <w:szCs w:val="24"/>
          <w:lang w:val="en-GB"/>
        </w:rPr>
        <w:t>.</w:t>
      </w:r>
      <w:r w:rsidR="00701250" w:rsidRPr="006D1D55">
        <w:rPr>
          <w:rFonts w:ascii="Arial" w:hAnsi="Arial" w:cs="Arial"/>
          <w:bCs/>
          <w:iCs/>
          <w:sz w:val="24"/>
          <w:szCs w:val="24"/>
          <w:vertAlign w:val="superscript"/>
          <w:lang w:val="en-GB"/>
        </w:rPr>
        <w:footnoteReference w:id="13"/>
      </w:r>
      <w:r w:rsidR="00701250" w:rsidRPr="006D1D55">
        <w:rPr>
          <w:rFonts w:ascii="Arial" w:hAnsi="Arial" w:cs="Arial"/>
          <w:bCs/>
          <w:iCs/>
          <w:sz w:val="24"/>
          <w:szCs w:val="24"/>
          <w:lang w:val="en-GB"/>
        </w:rPr>
        <w:t xml:space="preserve"> However, that Court, in its majority judgment, </w:t>
      </w:r>
      <w:r w:rsidR="00701250">
        <w:rPr>
          <w:rFonts w:ascii="Arial" w:hAnsi="Arial" w:cs="Arial"/>
          <w:bCs/>
          <w:iCs/>
          <w:sz w:val="24"/>
          <w:szCs w:val="24"/>
          <w:lang w:val="en-GB"/>
        </w:rPr>
        <w:t xml:space="preserve">as earlier stated, </w:t>
      </w:r>
      <w:r w:rsidR="00701250" w:rsidRPr="006D1D55">
        <w:rPr>
          <w:rFonts w:ascii="Arial" w:hAnsi="Arial" w:cs="Arial"/>
          <w:bCs/>
          <w:iCs/>
          <w:sz w:val="24"/>
          <w:szCs w:val="24"/>
          <w:lang w:val="en-GB"/>
        </w:rPr>
        <w:t xml:space="preserve">took a view that a methodology </w:t>
      </w:r>
      <w:r w:rsidR="00701250" w:rsidRPr="006D1D55">
        <w:rPr>
          <w:rFonts w:ascii="Arial" w:hAnsi="Arial" w:cs="Arial"/>
          <w:bCs/>
          <w:sz w:val="24"/>
          <w:szCs w:val="24"/>
          <w:lang w:val="en-GB"/>
        </w:rPr>
        <w:t>is not law, but rather a guideline.</w:t>
      </w:r>
      <w:r w:rsidR="00701250" w:rsidRPr="006D1D55">
        <w:rPr>
          <w:rFonts w:ascii="Arial" w:hAnsi="Arial" w:cs="Arial"/>
          <w:bCs/>
          <w:sz w:val="24"/>
          <w:szCs w:val="24"/>
          <w:vertAlign w:val="superscript"/>
          <w:lang w:val="en-GB"/>
        </w:rPr>
        <w:footnoteReference w:id="14"/>
      </w:r>
      <w:r w:rsidR="00701250" w:rsidRPr="006D1D55">
        <w:rPr>
          <w:rFonts w:ascii="Arial" w:hAnsi="Arial" w:cs="Arial"/>
          <w:bCs/>
          <w:sz w:val="24"/>
          <w:szCs w:val="24"/>
          <w:lang w:val="en-GB"/>
        </w:rPr>
        <w:t xml:space="preserve"> Similarly, the Methodology in this matter is a guideline made in accordance with empowering legislation.</w:t>
      </w:r>
      <w:r w:rsidR="00701250" w:rsidRPr="006D1D55">
        <w:rPr>
          <w:rFonts w:ascii="Arial" w:hAnsi="Arial" w:cs="Arial"/>
          <w:bCs/>
          <w:sz w:val="24"/>
          <w:szCs w:val="24"/>
          <w:vertAlign w:val="superscript"/>
          <w:lang w:val="en-GB"/>
        </w:rPr>
        <w:footnoteReference w:id="15"/>
      </w:r>
      <w:r w:rsidR="00701250">
        <w:rPr>
          <w:rFonts w:ascii="Arial" w:hAnsi="Arial" w:cs="Arial"/>
          <w:bCs/>
          <w:sz w:val="24"/>
          <w:szCs w:val="24"/>
          <w:lang w:val="en-GB"/>
        </w:rPr>
        <w:t xml:space="preserve"> In this Court’s opinion, an administrative decision is taken at the time of adoption of a guideline and benchmark as a methodology to be used when tariffs are determined, and once, the decision is made, and the methodology adopted, </w:t>
      </w:r>
      <w:r w:rsidR="00F8023A">
        <w:rPr>
          <w:rFonts w:ascii="Arial" w:hAnsi="Arial" w:cs="Arial"/>
          <w:bCs/>
          <w:sz w:val="24"/>
          <w:szCs w:val="24"/>
          <w:lang w:val="en-GB"/>
        </w:rPr>
        <w:t>the Guideline and Benchmarking M</w:t>
      </w:r>
      <w:r w:rsidR="00701250">
        <w:rPr>
          <w:rFonts w:ascii="Arial" w:hAnsi="Arial" w:cs="Arial"/>
          <w:bCs/>
          <w:sz w:val="24"/>
          <w:szCs w:val="24"/>
          <w:lang w:val="en-GB"/>
        </w:rPr>
        <w:t>ethod, is now a guideline or policy.</w:t>
      </w:r>
      <w:r w:rsidR="00F8023A">
        <w:rPr>
          <w:rFonts w:ascii="Arial" w:hAnsi="Arial" w:cs="Arial"/>
          <w:bCs/>
          <w:sz w:val="24"/>
          <w:szCs w:val="24"/>
          <w:lang w:val="en-GB"/>
        </w:rPr>
        <w:t xml:space="preserve"> Additionally, a guideline or policy </w:t>
      </w:r>
      <w:r w:rsidR="00F8023A" w:rsidRPr="006D1D55">
        <w:rPr>
          <w:rFonts w:ascii="Arial" w:hAnsi="Arial" w:cs="Arial"/>
          <w:bCs/>
          <w:sz w:val="24"/>
          <w:szCs w:val="24"/>
          <w:lang w:val="en-GB"/>
        </w:rPr>
        <w:t>may be attacked on the grounds of unlawfulness and invalidity in terms of section 172(1)(a) of the Constitution, on the basis that such policy or guideline is inconsistent with the principle of legality and, thus, invalid.</w:t>
      </w:r>
      <w:r w:rsidR="00F8023A">
        <w:rPr>
          <w:rStyle w:val="FootnoteReference"/>
          <w:rFonts w:ascii="Arial" w:hAnsi="Arial" w:cs="Arial"/>
          <w:bCs/>
          <w:sz w:val="24"/>
          <w:szCs w:val="24"/>
          <w:lang w:val="en-GB"/>
        </w:rPr>
        <w:footnoteReference w:id="16"/>
      </w:r>
    </w:p>
    <w:p w:rsidR="00F8023A" w:rsidRDefault="00F8023A" w:rsidP="00FF0AC8">
      <w:pPr>
        <w:spacing w:after="0" w:line="360" w:lineRule="auto"/>
        <w:jc w:val="both"/>
        <w:rPr>
          <w:rFonts w:ascii="Arial" w:hAnsi="Arial" w:cs="Arial"/>
          <w:bCs/>
          <w:sz w:val="24"/>
          <w:szCs w:val="24"/>
          <w:lang w:val="en-GB"/>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lastRenderedPageBreak/>
        <w:t>[53</w:t>
      </w:r>
      <w:r w:rsidR="00701250">
        <w:rPr>
          <w:rFonts w:ascii="Arial" w:hAnsi="Arial" w:cs="Arial"/>
          <w:sz w:val="24"/>
          <w:szCs w:val="24"/>
        </w:rPr>
        <w:t>]</w:t>
      </w:r>
      <w:r w:rsidR="00701250">
        <w:rPr>
          <w:rFonts w:ascii="Arial" w:hAnsi="Arial" w:cs="Arial"/>
          <w:sz w:val="24"/>
          <w:szCs w:val="24"/>
        </w:rPr>
        <w:tab/>
      </w:r>
      <w:r w:rsidR="000656DE">
        <w:rPr>
          <w:rFonts w:ascii="Arial" w:hAnsi="Arial" w:cs="Arial"/>
          <w:sz w:val="24"/>
          <w:szCs w:val="24"/>
        </w:rPr>
        <w:t xml:space="preserve">Consequently, this Court holds that it is bound by the Constitutional Court in </w:t>
      </w:r>
      <w:r w:rsidR="000656DE" w:rsidRPr="0028168D">
        <w:rPr>
          <w:rFonts w:ascii="Arial" w:hAnsi="Arial" w:cs="Arial"/>
          <w:i/>
          <w:sz w:val="24"/>
          <w:szCs w:val="24"/>
        </w:rPr>
        <w:t>PG Group</w:t>
      </w:r>
      <w:r w:rsidR="000656DE">
        <w:rPr>
          <w:rFonts w:ascii="Arial" w:hAnsi="Arial" w:cs="Arial"/>
          <w:sz w:val="24"/>
          <w:szCs w:val="24"/>
        </w:rPr>
        <w:t>, which clearly state that a methodology is a guideline that allows the exercise of discretion in its application and that there is nothing that proscribes the Applicants from challenging the tariff decision without having to challenge the underlying methodology or the process leading to such a decision.</w:t>
      </w:r>
    </w:p>
    <w:p w:rsidR="009518E7" w:rsidRDefault="009518E7" w:rsidP="00FF0AC8">
      <w:pPr>
        <w:spacing w:after="0" w:line="360" w:lineRule="auto"/>
        <w:jc w:val="both"/>
        <w:rPr>
          <w:rFonts w:ascii="Arial" w:hAnsi="Arial" w:cs="Arial"/>
          <w:sz w:val="24"/>
          <w:szCs w:val="24"/>
        </w:rPr>
      </w:pPr>
    </w:p>
    <w:p w:rsidR="000656DE" w:rsidRDefault="001D3E9F" w:rsidP="00FF0AC8">
      <w:pPr>
        <w:spacing w:after="0" w:line="360" w:lineRule="auto"/>
        <w:jc w:val="both"/>
        <w:rPr>
          <w:rFonts w:ascii="Arial" w:hAnsi="Arial" w:cs="Arial"/>
          <w:sz w:val="24"/>
          <w:szCs w:val="24"/>
        </w:rPr>
      </w:pPr>
      <w:r>
        <w:rPr>
          <w:rFonts w:ascii="Arial" w:hAnsi="Arial" w:cs="Arial"/>
          <w:sz w:val="24"/>
          <w:szCs w:val="24"/>
        </w:rPr>
        <w:t>[54</w:t>
      </w:r>
      <w:r w:rsidR="00701250">
        <w:rPr>
          <w:rFonts w:ascii="Arial" w:hAnsi="Arial" w:cs="Arial"/>
          <w:sz w:val="24"/>
          <w:szCs w:val="24"/>
        </w:rPr>
        <w:t>]</w:t>
      </w:r>
      <w:r w:rsidR="00701250">
        <w:rPr>
          <w:rFonts w:ascii="Arial" w:hAnsi="Arial" w:cs="Arial"/>
          <w:sz w:val="24"/>
          <w:szCs w:val="24"/>
        </w:rPr>
        <w:tab/>
        <w:t>H</w:t>
      </w:r>
      <w:r w:rsidR="000656DE">
        <w:rPr>
          <w:rFonts w:ascii="Arial" w:hAnsi="Arial" w:cs="Arial"/>
          <w:sz w:val="24"/>
          <w:szCs w:val="24"/>
        </w:rPr>
        <w:t>aving made such a finding, it follows that the Applicants have challenge</w:t>
      </w:r>
      <w:r w:rsidR="00C00CA1">
        <w:rPr>
          <w:rFonts w:ascii="Arial" w:hAnsi="Arial" w:cs="Arial"/>
          <w:sz w:val="24"/>
          <w:szCs w:val="24"/>
        </w:rPr>
        <w:t>d</w:t>
      </w:r>
      <w:r w:rsidR="000656DE">
        <w:rPr>
          <w:rFonts w:ascii="Arial" w:hAnsi="Arial" w:cs="Arial"/>
          <w:sz w:val="24"/>
          <w:szCs w:val="24"/>
        </w:rPr>
        <w:t xml:space="preserve"> the correct decision.</w:t>
      </w:r>
    </w:p>
    <w:p w:rsidR="009C7CF9" w:rsidRPr="00237475" w:rsidRDefault="009C7CF9" w:rsidP="00FF0AC8">
      <w:pPr>
        <w:spacing w:after="0" w:line="360" w:lineRule="auto"/>
        <w:jc w:val="both"/>
        <w:rPr>
          <w:rFonts w:ascii="Arial" w:hAnsi="Arial" w:cs="Arial"/>
          <w:color w:val="000000"/>
          <w:sz w:val="24"/>
          <w:szCs w:val="24"/>
        </w:rPr>
      </w:pPr>
    </w:p>
    <w:p w:rsidR="00C41BBC" w:rsidRDefault="00C41BBC" w:rsidP="00917D2E">
      <w:pPr>
        <w:spacing w:line="360" w:lineRule="auto"/>
        <w:jc w:val="both"/>
        <w:rPr>
          <w:rFonts w:ascii="Arial" w:hAnsi="Arial" w:cs="Arial"/>
          <w:b/>
          <w:sz w:val="24"/>
          <w:szCs w:val="24"/>
        </w:rPr>
      </w:pPr>
      <w:r w:rsidRPr="00DC27BC">
        <w:rPr>
          <w:rFonts w:ascii="Arial" w:hAnsi="Arial" w:cs="Arial"/>
          <w:b/>
          <w:sz w:val="24"/>
          <w:szCs w:val="24"/>
        </w:rPr>
        <w:t>THE APPLICANTS’ GROUNDS OF REVIEW</w:t>
      </w:r>
    </w:p>
    <w:p w:rsidR="00C41BBC" w:rsidRPr="00334D8D" w:rsidRDefault="00573DA7" w:rsidP="00917D2E">
      <w:pPr>
        <w:spacing w:line="360" w:lineRule="auto"/>
        <w:jc w:val="both"/>
        <w:rPr>
          <w:rFonts w:ascii="Arial" w:hAnsi="Arial" w:cs="Arial"/>
          <w:sz w:val="24"/>
          <w:szCs w:val="24"/>
        </w:rPr>
      </w:pPr>
      <w:r>
        <w:rPr>
          <w:rFonts w:ascii="Arial" w:hAnsi="Arial" w:cs="Arial"/>
          <w:sz w:val="24"/>
          <w:szCs w:val="24"/>
        </w:rPr>
        <w:t>[</w:t>
      </w:r>
      <w:r w:rsidR="00DC27BC">
        <w:rPr>
          <w:rFonts w:ascii="Arial" w:hAnsi="Arial" w:cs="Arial"/>
          <w:sz w:val="24"/>
          <w:szCs w:val="24"/>
        </w:rPr>
        <w:t>5</w:t>
      </w:r>
      <w:r w:rsidR="001D3E9F">
        <w:rPr>
          <w:rFonts w:ascii="Arial" w:hAnsi="Arial" w:cs="Arial"/>
          <w:sz w:val="24"/>
          <w:szCs w:val="24"/>
        </w:rPr>
        <w:t>5</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The Applicants raised a number of grounds of review in the</w:t>
      </w:r>
      <w:r w:rsidR="00C41BBC">
        <w:rPr>
          <w:rFonts w:ascii="Arial" w:hAnsi="Arial" w:cs="Arial"/>
          <w:sz w:val="24"/>
          <w:szCs w:val="24"/>
        </w:rPr>
        <w:t>ir papers</w:t>
      </w:r>
      <w:r w:rsidR="00C41BBC" w:rsidRPr="00334D8D">
        <w:rPr>
          <w:rFonts w:ascii="Arial" w:hAnsi="Arial" w:cs="Arial"/>
          <w:sz w:val="24"/>
          <w:szCs w:val="24"/>
        </w:rPr>
        <w:t>, but,</w:t>
      </w:r>
      <w:r w:rsidR="00C41BBC">
        <w:rPr>
          <w:rFonts w:ascii="Arial" w:hAnsi="Arial" w:cs="Arial"/>
          <w:sz w:val="24"/>
          <w:szCs w:val="24"/>
        </w:rPr>
        <w:t xml:space="preserve"> in oral argument</w:t>
      </w:r>
      <w:r w:rsidR="00C41BBC" w:rsidRPr="00334D8D">
        <w:rPr>
          <w:rFonts w:ascii="Arial" w:hAnsi="Arial" w:cs="Arial"/>
          <w:sz w:val="24"/>
          <w:szCs w:val="24"/>
        </w:rPr>
        <w:t xml:space="preserve"> before this Court, only three of those grounds</w:t>
      </w:r>
      <w:r w:rsidR="00C41BBC">
        <w:rPr>
          <w:rFonts w:ascii="Arial" w:hAnsi="Arial" w:cs="Arial"/>
          <w:sz w:val="24"/>
          <w:szCs w:val="24"/>
        </w:rPr>
        <w:t xml:space="preserve">, which </w:t>
      </w:r>
      <w:r w:rsidR="009518E7">
        <w:rPr>
          <w:rFonts w:ascii="Arial" w:hAnsi="Arial" w:cs="Arial"/>
          <w:sz w:val="24"/>
          <w:szCs w:val="24"/>
        </w:rPr>
        <w:t xml:space="preserve">according to </w:t>
      </w:r>
      <w:r w:rsidR="00C41BBC">
        <w:rPr>
          <w:rFonts w:ascii="Arial" w:hAnsi="Arial" w:cs="Arial"/>
          <w:sz w:val="24"/>
          <w:szCs w:val="24"/>
        </w:rPr>
        <w:t>the Applicants</w:t>
      </w:r>
      <w:r w:rsidR="009C7CF9">
        <w:rPr>
          <w:rFonts w:ascii="Arial" w:hAnsi="Arial" w:cs="Arial"/>
          <w:sz w:val="24"/>
          <w:szCs w:val="24"/>
        </w:rPr>
        <w:t>,</w:t>
      </w:r>
      <w:r w:rsidR="00C41BBC">
        <w:rPr>
          <w:rFonts w:ascii="Arial" w:hAnsi="Arial" w:cs="Arial"/>
          <w:sz w:val="24"/>
          <w:szCs w:val="24"/>
        </w:rPr>
        <w:t xml:space="preserve"> are most important and reflect</w:t>
      </w:r>
      <w:r w:rsidR="00C41BBC" w:rsidRPr="00334D8D">
        <w:rPr>
          <w:rFonts w:ascii="Arial" w:hAnsi="Arial" w:cs="Arial"/>
          <w:sz w:val="24"/>
          <w:szCs w:val="24"/>
        </w:rPr>
        <w:t xml:space="preserve"> the obvious flaws in NERSA’s decision to </w:t>
      </w:r>
      <w:r w:rsidR="00C41BBC">
        <w:rPr>
          <w:rFonts w:ascii="Arial" w:hAnsi="Arial" w:cs="Arial"/>
          <w:sz w:val="24"/>
          <w:szCs w:val="24"/>
        </w:rPr>
        <w:t>approve the City Power tariffs</w:t>
      </w:r>
      <w:r w:rsidR="00C41BBC" w:rsidRPr="00334D8D">
        <w:rPr>
          <w:rFonts w:ascii="Arial" w:hAnsi="Arial" w:cs="Arial"/>
          <w:sz w:val="24"/>
          <w:szCs w:val="24"/>
        </w:rPr>
        <w:t xml:space="preserve">, were argued. The Applicants maintained that they stand by all the grounds of review </w:t>
      </w:r>
      <w:r w:rsidR="00C41BBC">
        <w:rPr>
          <w:rFonts w:ascii="Arial" w:hAnsi="Arial" w:cs="Arial"/>
          <w:sz w:val="24"/>
          <w:szCs w:val="24"/>
        </w:rPr>
        <w:t>set</w:t>
      </w:r>
      <w:r w:rsidR="00C41BBC" w:rsidRPr="00334D8D">
        <w:rPr>
          <w:rFonts w:ascii="Arial" w:hAnsi="Arial" w:cs="Arial"/>
          <w:sz w:val="24"/>
          <w:szCs w:val="24"/>
        </w:rPr>
        <w:t xml:space="preserve"> out</w:t>
      </w:r>
      <w:r w:rsidR="00C41BBC">
        <w:rPr>
          <w:rFonts w:ascii="Arial" w:hAnsi="Arial" w:cs="Arial"/>
          <w:sz w:val="24"/>
          <w:szCs w:val="24"/>
        </w:rPr>
        <w:t xml:space="preserve"> in their papers, and were not abandoning any</w:t>
      </w:r>
      <w:r w:rsidR="00C41BBC" w:rsidRPr="00334D8D">
        <w:rPr>
          <w:rFonts w:ascii="Arial" w:hAnsi="Arial" w:cs="Arial"/>
          <w:sz w:val="24"/>
          <w:szCs w:val="24"/>
        </w:rPr>
        <w:t>. The three grounds of review are:</w:t>
      </w:r>
    </w:p>
    <w:p w:rsidR="00C41BBC" w:rsidRPr="00334D8D" w:rsidRDefault="005B1021" w:rsidP="00FF0AC8">
      <w:pPr>
        <w:spacing w:after="0" w:line="360" w:lineRule="auto"/>
        <w:ind w:left="1440" w:hanging="720"/>
        <w:jc w:val="both"/>
        <w:rPr>
          <w:rFonts w:ascii="Arial" w:hAnsi="Arial" w:cs="Arial"/>
          <w:sz w:val="24"/>
          <w:szCs w:val="24"/>
        </w:rPr>
      </w:pPr>
      <w:r>
        <w:rPr>
          <w:rFonts w:ascii="Arial" w:hAnsi="Arial" w:cs="Arial"/>
          <w:sz w:val="24"/>
          <w:szCs w:val="24"/>
        </w:rPr>
        <w:t>5</w:t>
      </w:r>
      <w:r w:rsidR="001D3E9F">
        <w:rPr>
          <w:rFonts w:ascii="Arial" w:hAnsi="Arial" w:cs="Arial"/>
          <w:sz w:val="24"/>
          <w:szCs w:val="24"/>
        </w:rPr>
        <w:t>5</w:t>
      </w:r>
      <w:r w:rsidR="00C41BBC">
        <w:rPr>
          <w:rFonts w:ascii="Arial" w:hAnsi="Arial" w:cs="Arial"/>
          <w:sz w:val="24"/>
          <w:szCs w:val="24"/>
        </w:rPr>
        <w:t>.1</w:t>
      </w:r>
      <w:r w:rsidR="00C41BBC">
        <w:rPr>
          <w:rFonts w:ascii="Arial" w:hAnsi="Arial" w:cs="Arial"/>
          <w:sz w:val="24"/>
          <w:szCs w:val="24"/>
        </w:rPr>
        <w:tab/>
      </w:r>
      <w:r w:rsidR="00C41BBC" w:rsidRPr="00334D8D">
        <w:rPr>
          <w:rFonts w:ascii="Arial" w:hAnsi="Arial" w:cs="Arial"/>
          <w:sz w:val="24"/>
          <w:szCs w:val="24"/>
        </w:rPr>
        <w:t>The first ground of review is that in adopting the approach NERSA is using, it acted in an objectively irrational manner and had regard to irrelevant considerations, by using the wrong benchmarks to measure the City Power tariffs.</w:t>
      </w:r>
    </w:p>
    <w:p w:rsidR="00C41BBC" w:rsidRPr="00334D8D" w:rsidRDefault="005B1021" w:rsidP="00FF0AC8">
      <w:pPr>
        <w:spacing w:after="0" w:line="360" w:lineRule="auto"/>
        <w:ind w:left="1440" w:hanging="720"/>
        <w:jc w:val="both"/>
        <w:rPr>
          <w:rFonts w:ascii="Arial" w:hAnsi="Arial" w:cs="Arial"/>
          <w:sz w:val="24"/>
          <w:szCs w:val="24"/>
        </w:rPr>
      </w:pPr>
      <w:r>
        <w:rPr>
          <w:rFonts w:ascii="Arial" w:hAnsi="Arial" w:cs="Arial"/>
          <w:sz w:val="24"/>
          <w:szCs w:val="24"/>
        </w:rPr>
        <w:t>5</w:t>
      </w:r>
      <w:r w:rsidR="001D3E9F">
        <w:rPr>
          <w:rFonts w:ascii="Arial" w:hAnsi="Arial" w:cs="Arial"/>
          <w:sz w:val="24"/>
          <w:szCs w:val="24"/>
        </w:rPr>
        <w:t>5</w:t>
      </w:r>
      <w:r w:rsidR="00C41BBC">
        <w:rPr>
          <w:rFonts w:ascii="Arial" w:hAnsi="Arial" w:cs="Arial"/>
          <w:sz w:val="24"/>
          <w:szCs w:val="24"/>
        </w:rPr>
        <w:t>.2</w:t>
      </w:r>
      <w:r w:rsidR="00C41BBC">
        <w:rPr>
          <w:rFonts w:ascii="Arial" w:hAnsi="Arial" w:cs="Arial"/>
          <w:sz w:val="24"/>
          <w:szCs w:val="24"/>
        </w:rPr>
        <w:tab/>
      </w:r>
      <w:r w:rsidR="00C41BBC" w:rsidRPr="00334D8D">
        <w:rPr>
          <w:rFonts w:ascii="Arial" w:hAnsi="Arial" w:cs="Arial"/>
          <w:sz w:val="24"/>
          <w:szCs w:val="24"/>
        </w:rPr>
        <w:t xml:space="preserve">The second ground of review is that, NERSA did not consider the cost of supply of particular customer categories, and this </w:t>
      </w:r>
      <w:r w:rsidR="00C41BBC">
        <w:rPr>
          <w:rFonts w:ascii="Arial" w:hAnsi="Arial" w:cs="Arial"/>
          <w:sz w:val="24"/>
          <w:szCs w:val="24"/>
        </w:rPr>
        <w:t>rendered</w:t>
      </w:r>
      <w:r w:rsidR="00C41BBC" w:rsidRPr="00334D8D">
        <w:rPr>
          <w:rFonts w:ascii="Arial" w:hAnsi="Arial" w:cs="Arial"/>
          <w:sz w:val="24"/>
          <w:szCs w:val="24"/>
        </w:rPr>
        <w:t xml:space="preserve"> the determination of the tariffs illegal and inconsistent with the ERA and the EPP.</w:t>
      </w:r>
    </w:p>
    <w:p w:rsidR="003A723D" w:rsidRPr="00334D8D" w:rsidRDefault="005B1021" w:rsidP="0001076D">
      <w:pPr>
        <w:spacing w:after="0" w:line="360" w:lineRule="auto"/>
        <w:ind w:left="1440" w:hanging="720"/>
        <w:jc w:val="both"/>
        <w:rPr>
          <w:rFonts w:ascii="Arial" w:hAnsi="Arial" w:cs="Arial"/>
          <w:sz w:val="24"/>
          <w:szCs w:val="24"/>
        </w:rPr>
      </w:pPr>
      <w:r>
        <w:rPr>
          <w:rFonts w:ascii="Arial" w:hAnsi="Arial" w:cs="Arial"/>
          <w:sz w:val="24"/>
          <w:szCs w:val="24"/>
        </w:rPr>
        <w:t>5</w:t>
      </w:r>
      <w:r w:rsidR="001D3E9F">
        <w:rPr>
          <w:rFonts w:ascii="Arial" w:hAnsi="Arial" w:cs="Arial"/>
          <w:sz w:val="24"/>
          <w:szCs w:val="24"/>
        </w:rPr>
        <w:t>5</w:t>
      </w:r>
      <w:r w:rsidR="00C41BBC">
        <w:rPr>
          <w:rFonts w:ascii="Arial" w:hAnsi="Arial" w:cs="Arial"/>
          <w:sz w:val="24"/>
          <w:szCs w:val="24"/>
        </w:rPr>
        <w:t>.3</w:t>
      </w:r>
      <w:r w:rsidR="00C41BBC">
        <w:rPr>
          <w:rFonts w:ascii="Arial" w:hAnsi="Arial" w:cs="Arial"/>
          <w:sz w:val="24"/>
          <w:szCs w:val="24"/>
        </w:rPr>
        <w:tab/>
      </w:r>
      <w:r w:rsidR="00C41BBC" w:rsidRPr="00334D8D">
        <w:rPr>
          <w:rFonts w:ascii="Arial" w:hAnsi="Arial" w:cs="Arial"/>
          <w:sz w:val="24"/>
          <w:szCs w:val="24"/>
        </w:rPr>
        <w:t xml:space="preserve">The last ground of review is that, NERSA acted unconstitutionally and unlawfully by approving </w:t>
      </w:r>
      <w:r w:rsidR="00C41BBC">
        <w:rPr>
          <w:rFonts w:ascii="Arial" w:hAnsi="Arial" w:cs="Arial"/>
          <w:sz w:val="24"/>
          <w:szCs w:val="24"/>
        </w:rPr>
        <w:t xml:space="preserve">the </w:t>
      </w:r>
      <w:r w:rsidR="00C41BBC" w:rsidRPr="00334D8D">
        <w:rPr>
          <w:rFonts w:ascii="Arial" w:hAnsi="Arial" w:cs="Arial"/>
          <w:sz w:val="24"/>
          <w:szCs w:val="24"/>
        </w:rPr>
        <w:t>City Power tariffs without having regard to any cost of supply study, and without being able to assess whether the set tariffs are reflective of City Power’s overall cost of supply.</w:t>
      </w:r>
    </w:p>
    <w:p w:rsidR="00C41BBC" w:rsidRDefault="005B1021" w:rsidP="00FF0AC8">
      <w:pPr>
        <w:spacing w:after="0" w:line="360" w:lineRule="auto"/>
        <w:jc w:val="both"/>
        <w:rPr>
          <w:rFonts w:ascii="Arial" w:hAnsi="Arial" w:cs="Arial"/>
          <w:color w:val="000000"/>
          <w:sz w:val="24"/>
          <w:szCs w:val="24"/>
        </w:rPr>
      </w:pPr>
      <w:r>
        <w:rPr>
          <w:rFonts w:ascii="Arial" w:hAnsi="Arial" w:cs="Arial"/>
          <w:color w:val="000000"/>
          <w:sz w:val="24"/>
          <w:szCs w:val="24"/>
        </w:rPr>
        <w:lastRenderedPageBreak/>
        <w:t>[5</w:t>
      </w:r>
      <w:r w:rsidR="001D3E9F">
        <w:rPr>
          <w:rFonts w:ascii="Arial" w:hAnsi="Arial" w:cs="Arial"/>
          <w:color w:val="000000"/>
          <w:sz w:val="24"/>
          <w:szCs w:val="24"/>
        </w:rPr>
        <w:t>6</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 xml:space="preserve">For all these reasons, including those stated in the </w:t>
      </w:r>
      <w:r w:rsidR="00C41BBC">
        <w:rPr>
          <w:rFonts w:ascii="Arial" w:hAnsi="Arial" w:cs="Arial"/>
          <w:color w:val="000000"/>
          <w:sz w:val="24"/>
          <w:szCs w:val="24"/>
        </w:rPr>
        <w:t>Applicants’ papers</w:t>
      </w:r>
      <w:r w:rsidR="00C41BBC" w:rsidRPr="00334D8D">
        <w:rPr>
          <w:rFonts w:ascii="Arial" w:hAnsi="Arial" w:cs="Arial"/>
          <w:color w:val="000000"/>
          <w:sz w:val="24"/>
          <w:szCs w:val="24"/>
        </w:rPr>
        <w:t xml:space="preserve">, it </w:t>
      </w:r>
      <w:r w:rsidR="00993146">
        <w:rPr>
          <w:rFonts w:ascii="Arial" w:hAnsi="Arial" w:cs="Arial"/>
          <w:color w:val="000000"/>
          <w:sz w:val="24"/>
          <w:szCs w:val="24"/>
        </w:rPr>
        <w:t>was</w:t>
      </w:r>
      <w:r w:rsidR="00C41BBC" w:rsidRPr="00334D8D">
        <w:rPr>
          <w:rFonts w:ascii="Arial" w:hAnsi="Arial" w:cs="Arial"/>
          <w:color w:val="000000"/>
          <w:sz w:val="24"/>
          <w:szCs w:val="24"/>
        </w:rPr>
        <w:t xml:space="preserve"> submitted, on behalf of the Applicants, that the tariffs are irrational; contrary to law; not authorised by the empowering provisions; taken in circumstances where relevant considerations were not taken into account and irrelevant considerations were included; and are unreasonable.</w:t>
      </w:r>
    </w:p>
    <w:p w:rsidR="003A723D" w:rsidRPr="00334D8D" w:rsidRDefault="003A723D" w:rsidP="00FF0AC8">
      <w:pPr>
        <w:spacing w:after="0" w:line="360" w:lineRule="auto"/>
        <w:jc w:val="both"/>
        <w:rPr>
          <w:rFonts w:ascii="Arial" w:hAnsi="Arial" w:cs="Arial"/>
          <w:color w:val="000000"/>
          <w:sz w:val="24"/>
          <w:szCs w:val="24"/>
        </w:rPr>
      </w:pPr>
    </w:p>
    <w:p w:rsidR="003A723D" w:rsidRPr="00917D2E" w:rsidRDefault="00C41BBC" w:rsidP="00917D2E">
      <w:pPr>
        <w:spacing w:line="360" w:lineRule="auto"/>
        <w:jc w:val="both"/>
        <w:rPr>
          <w:rFonts w:ascii="Arial" w:hAnsi="Arial" w:cs="Arial"/>
          <w:b/>
          <w:sz w:val="24"/>
          <w:szCs w:val="24"/>
        </w:rPr>
      </w:pPr>
      <w:r w:rsidRPr="005B1021">
        <w:rPr>
          <w:rFonts w:ascii="Arial" w:hAnsi="Arial" w:cs="Arial"/>
          <w:b/>
          <w:sz w:val="24"/>
          <w:szCs w:val="24"/>
        </w:rPr>
        <w:t>ARGUMENTS</w:t>
      </w:r>
    </w:p>
    <w:p w:rsidR="003A723D" w:rsidRDefault="00C41BBC" w:rsidP="00917D2E">
      <w:pPr>
        <w:spacing w:line="360" w:lineRule="auto"/>
        <w:jc w:val="both"/>
        <w:rPr>
          <w:rFonts w:ascii="Arial" w:hAnsi="Arial" w:cs="Arial"/>
          <w:sz w:val="24"/>
          <w:szCs w:val="24"/>
        </w:rPr>
      </w:pPr>
      <w:r>
        <w:rPr>
          <w:rFonts w:ascii="Arial" w:hAnsi="Arial" w:cs="Arial"/>
          <w:sz w:val="24"/>
          <w:szCs w:val="24"/>
        </w:rPr>
        <w:tab/>
        <w:t>The Applicants</w:t>
      </w:r>
    </w:p>
    <w:p w:rsidR="00C41BBC" w:rsidRDefault="005B1021" w:rsidP="00FF0AC8">
      <w:pPr>
        <w:spacing w:after="0" w:line="360" w:lineRule="auto"/>
        <w:jc w:val="both"/>
        <w:rPr>
          <w:rFonts w:ascii="Arial" w:hAnsi="Arial" w:cs="Arial"/>
          <w:sz w:val="24"/>
          <w:szCs w:val="24"/>
        </w:rPr>
      </w:pPr>
      <w:r>
        <w:rPr>
          <w:rFonts w:ascii="Arial" w:hAnsi="Arial" w:cs="Arial"/>
          <w:sz w:val="24"/>
          <w:szCs w:val="24"/>
        </w:rPr>
        <w:t>[5</w:t>
      </w:r>
      <w:r w:rsidR="001D3E9F">
        <w:rPr>
          <w:rFonts w:ascii="Arial" w:hAnsi="Arial" w:cs="Arial"/>
          <w:sz w:val="24"/>
          <w:szCs w:val="24"/>
        </w:rPr>
        <w:t>7</w:t>
      </w:r>
      <w:r w:rsidR="00C41BBC">
        <w:rPr>
          <w:rFonts w:ascii="Arial" w:hAnsi="Arial" w:cs="Arial"/>
          <w:sz w:val="24"/>
          <w:szCs w:val="24"/>
        </w:rPr>
        <w:t>]</w:t>
      </w:r>
      <w:r w:rsidR="00C41BBC">
        <w:rPr>
          <w:rFonts w:ascii="Arial" w:hAnsi="Arial" w:cs="Arial"/>
          <w:sz w:val="24"/>
          <w:szCs w:val="24"/>
        </w:rPr>
        <w:tab/>
        <w:t>The Applicants’ core complaint is that NERSA’s tariff decision did not comply with the applicable legislation, was not cost-reflective and was not based on verified or reliable information.</w:t>
      </w:r>
    </w:p>
    <w:p w:rsidR="003A723D" w:rsidRPr="00334D8D" w:rsidRDefault="003A723D" w:rsidP="00FF0AC8">
      <w:pPr>
        <w:spacing w:after="0" w:line="360" w:lineRule="auto"/>
        <w:jc w:val="both"/>
        <w:rPr>
          <w:rFonts w:ascii="Arial" w:hAnsi="Arial" w:cs="Arial"/>
          <w:sz w:val="24"/>
          <w:szCs w:val="24"/>
        </w:rPr>
      </w:pPr>
    </w:p>
    <w:p w:rsidR="00C41BBC" w:rsidRDefault="005B1021" w:rsidP="00917D2E">
      <w:pPr>
        <w:spacing w:line="360" w:lineRule="auto"/>
        <w:jc w:val="both"/>
        <w:rPr>
          <w:rFonts w:ascii="Arial" w:hAnsi="Arial" w:cs="Arial"/>
          <w:color w:val="000000"/>
          <w:sz w:val="24"/>
          <w:szCs w:val="24"/>
        </w:rPr>
      </w:pPr>
      <w:r>
        <w:rPr>
          <w:rFonts w:ascii="Arial" w:hAnsi="Arial" w:cs="Arial"/>
          <w:color w:val="000000"/>
          <w:sz w:val="24"/>
          <w:szCs w:val="24"/>
        </w:rPr>
        <w:t>[5</w:t>
      </w:r>
      <w:r w:rsidR="001D3E9F">
        <w:rPr>
          <w:rFonts w:ascii="Arial" w:hAnsi="Arial" w:cs="Arial"/>
          <w:color w:val="000000"/>
          <w:sz w:val="24"/>
          <w:szCs w:val="24"/>
        </w:rPr>
        <w:t>8</w:t>
      </w:r>
      <w:r w:rsidR="00C41BBC">
        <w:rPr>
          <w:rFonts w:ascii="Arial" w:hAnsi="Arial" w:cs="Arial"/>
          <w:color w:val="000000"/>
          <w:sz w:val="24"/>
          <w:szCs w:val="24"/>
        </w:rPr>
        <w:t>]</w:t>
      </w:r>
      <w:r w:rsidR="00C41BBC">
        <w:rPr>
          <w:rFonts w:ascii="Arial" w:hAnsi="Arial" w:cs="Arial"/>
          <w:color w:val="000000"/>
          <w:sz w:val="24"/>
          <w:szCs w:val="24"/>
        </w:rPr>
        <w:tab/>
        <w:t xml:space="preserve">The submission by the Applicants </w:t>
      </w:r>
      <w:r w:rsidR="00993146">
        <w:rPr>
          <w:rFonts w:ascii="Arial" w:hAnsi="Arial" w:cs="Arial"/>
          <w:color w:val="000000"/>
          <w:sz w:val="24"/>
          <w:szCs w:val="24"/>
        </w:rPr>
        <w:t>was</w:t>
      </w:r>
      <w:r w:rsidR="00C41BBC">
        <w:rPr>
          <w:rFonts w:ascii="Arial" w:hAnsi="Arial" w:cs="Arial"/>
          <w:color w:val="000000"/>
          <w:sz w:val="24"/>
          <w:szCs w:val="24"/>
        </w:rPr>
        <w:t xml:space="preserve"> that </w:t>
      </w:r>
      <w:r w:rsidR="00C41BBC" w:rsidRPr="00B9623D">
        <w:rPr>
          <w:rFonts w:ascii="Arial" w:hAnsi="Arial" w:cs="Arial"/>
          <w:color w:val="000000"/>
          <w:sz w:val="24"/>
          <w:szCs w:val="24"/>
        </w:rPr>
        <w:t xml:space="preserve">NERSA's determination of the tariffs which are at issue in this application fails to </w:t>
      </w:r>
      <w:r w:rsidR="00C41BBC">
        <w:rPr>
          <w:rFonts w:ascii="Arial" w:hAnsi="Arial" w:cs="Arial"/>
          <w:color w:val="000000"/>
          <w:sz w:val="24"/>
          <w:szCs w:val="24"/>
        </w:rPr>
        <w:t>comply with the</w:t>
      </w:r>
      <w:r w:rsidR="00C41BBC" w:rsidRPr="00B9623D">
        <w:rPr>
          <w:rFonts w:ascii="Arial" w:hAnsi="Arial" w:cs="Arial"/>
          <w:color w:val="000000"/>
          <w:sz w:val="24"/>
          <w:szCs w:val="24"/>
        </w:rPr>
        <w:t xml:space="preserve"> regul</w:t>
      </w:r>
      <w:r w:rsidR="00C41BBC">
        <w:rPr>
          <w:rFonts w:ascii="Arial" w:hAnsi="Arial" w:cs="Arial"/>
          <w:color w:val="000000"/>
          <w:sz w:val="24"/>
          <w:szCs w:val="24"/>
        </w:rPr>
        <w:t>atory framework in at least three respects, each of which render the tariff unlawful and contrary to the ER</w:t>
      </w:r>
      <w:r w:rsidR="00C41BBC" w:rsidRPr="00B9623D">
        <w:rPr>
          <w:rFonts w:ascii="Arial" w:hAnsi="Arial" w:cs="Arial"/>
          <w:color w:val="000000"/>
          <w:sz w:val="24"/>
          <w:szCs w:val="24"/>
        </w:rPr>
        <w:t>A</w:t>
      </w:r>
      <w:r w:rsidR="00C41BBC">
        <w:rPr>
          <w:rFonts w:ascii="Arial" w:hAnsi="Arial" w:cs="Arial"/>
          <w:color w:val="000000"/>
          <w:sz w:val="24"/>
          <w:szCs w:val="24"/>
        </w:rPr>
        <w:t xml:space="preserve"> read with the EPP, as follows</w:t>
      </w:r>
      <w:r w:rsidR="00C41BBC" w:rsidRPr="00B9623D">
        <w:rPr>
          <w:rFonts w:ascii="Arial" w:hAnsi="Arial" w:cs="Arial"/>
          <w:color w:val="000000"/>
          <w:sz w:val="24"/>
          <w:szCs w:val="24"/>
        </w:rPr>
        <w:t xml:space="preserve">: </w:t>
      </w:r>
    </w:p>
    <w:p w:rsidR="00C41BBC" w:rsidRPr="00B9623D" w:rsidRDefault="005B1021"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5</w:t>
      </w:r>
      <w:r w:rsidR="001D3E9F">
        <w:rPr>
          <w:rFonts w:ascii="Arial" w:hAnsi="Arial" w:cs="Arial"/>
          <w:color w:val="000000"/>
          <w:sz w:val="24"/>
          <w:szCs w:val="24"/>
        </w:rPr>
        <w:t>8</w:t>
      </w:r>
      <w:r w:rsidR="00C41BBC">
        <w:rPr>
          <w:rFonts w:ascii="Arial" w:hAnsi="Arial" w:cs="Arial"/>
          <w:color w:val="000000"/>
          <w:sz w:val="24"/>
          <w:szCs w:val="24"/>
        </w:rPr>
        <w:t>.1</w:t>
      </w:r>
      <w:r w:rsidR="00C41BBC">
        <w:rPr>
          <w:rFonts w:ascii="Arial" w:hAnsi="Arial" w:cs="Arial"/>
          <w:color w:val="000000"/>
          <w:sz w:val="24"/>
          <w:szCs w:val="24"/>
        </w:rPr>
        <w:tab/>
        <w:t xml:space="preserve">First, </w:t>
      </w:r>
      <w:r w:rsidR="00C41BBC" w:rsidRPr="00B9623D">
        <w:rPr>
          <w:rFonts w:ascii="Arial" w:hAnsi="Arial" w:cs="Arial"/>
          <w:color w:val="000000"/>
          <w:sz w:val="24"/>
          <w:szCs w:val="24"/>
        </w:rPr>
        <w:t>NERSA</w:t>
      </w:r>
      <w:r w:rsidR="00C41BBC">
        <w:rPr>
          <w:rFonts w:ascii="Arial" w:hAnsi="Arial" w:cs="Arial"/>
          <w:color w:val="000000"/>
          <w:sz w:val="24"/>
          <w:szCs w:val="24"/>
        </w:rPr>
        <w:t>’s</w:t>
      </w:r>
      <w:r w:rsidR="00C41BBC" w:rsidRPr="00B9623D">
        <w:rPr>
          <w:rFonts w:ascii="Arial" w:hAnsi="Arial" w:cs="Arial"/>
          <w:color w:val="000000"/>
          <w:sz w:val="24"/>
          <w:szCs w:val="24"/>
        </w:rPr>
        <w:t xml:space="preserve"> Guidelines for municipal tariff setting </w:t>
      </w:r>
      <w:r w:rsidR="00C41BBC">
        <w:rPr>
          <w:rFonts w:ascii="Arial" w:hAnsi="Arial" w:cs="Arial"/>
          <w:color w:val="000000"/>
          <w:sz w:val="24"/>
          <w:szCs w:val="24"/>
        </w:rPr>
        <w:t>did</w:t>
      </w:r>
      <w:r w:rsidR="00C41BBC" w:rsidRPr="00B9623D">
        <w:rPr>
          <w:rFonts w:ascii="Arial" w:hAnsi="Arial" w:cs="Arial"/>
          <w:color w:val="000000"/>
          <w:sz w:val="24"/>
          <w:szCs w:val="24"/>
        </w:rPr>
        <w:t xml:space="preserve"> not require tariff applicants (including municipalities such as City Power) to demonstrate the cost-basis for their tariffs. There </w:t>
      </w:r>
      <w:r w:rsidR="00C41BBC">
        <w:rPr>
          <w:rFonts w:ascii="Arial" w:hAnsi="Arial" w:cs="Arial"/>
          <w:color w:val="000000"/>
          <w:sz w:val="24"/>
          <w:szCs w:val="24"/>
        </w:rPr>
        <w:t>was</w:t>
      </w:r>
      <w:r w:rsidR="00C41BBC" w:rsidRPr="00B9623D">
        <w:rPr>
          <w:rFonts w:ascii="Arial" w:hAnsi="Arial" w:cs="Arial"/>
          <w:color w:val="000000"/>
          <w:sz w:val="24"/>
          <w:szCs w:val="24"/>
        </w:rPr>
        <w:t xml:space="preserve"> accordingly no cos</w:t>
      </w:r>
      <w:r w:rsidR="00C41BBC">
        <w:rPr>
          <w:rFonts w:ascii="Arial" w:hAnsi="Arial" w:cs="Arial"/>
          <w:color w:val="000000"/>
          <w:sz w:val="24"/>
          <w:szCs w:val="24"/>
        </w:rPr>
        <w:t>t-basis for the tariffs imposed. The tariffs were</w:t>
      </w:r>
      <w:r w:rsidR="00C41BBC" w:rsidRPr="00B9623D">
        <w:rPr>
          <w:rFonts w:ascii="Arial" w:hAnsi="Arial" w:cs="Arial"/>
          <w:color w:val="000000"/>
          <w:sz w:val="24"/>
          <w:szCs w:val="24"/>
        </w:rPr>
        <w:t xml:space="preserve"> not based on costs as required by section15(1)</w:t>
      </w:r>
      <w:r w:rsidR="00C41BBC">
        <w:rPr>
          <w:rFonts w:ascii="Arial" w:hAnsi="Arial" w:cs="Arial"/>
          <w:color w:val="000000"/>
          <w:sz w:val="24"/>
          <w:szCs w:val="24"/>
        </w:rPr>
        <w:t>(a) of the ERA (not cost-reflective)</w:t>
      </w:r>
      <w:r w:rsidR="00C41BBC" w:rsidRPr="00B9623D">
        <w:rPr>
          <w:rFonts w:ascii="Arial" w:hAnsi="Arial" w:cs="Arial"/>
          <w:color w:val="000000"/>
          <w:sz w:val="24"/>
          <w:szCs w:val="24"/>
        </w:rPr>
        <w:t>;</w:t>
      </w:r>
      <w:r w:rsidR="00C41BBC">
        <w:rPr>
          <w:rFonts w:ascii="Arial" w:hAnsi="Arial" w:cs="Arial"/>
          <w:color w:val="000000"/>
          <w:sz w:val="24"/>
          <w:szCs w:val="24"/>
        </w:rPr>
        <w:t xml:space="preserve"> but, were</w:t>
      </w:r>
      <w:r w:rsidR="00C41BBC" w:rsidRPr="00B9623D">
        <w:rPr>
          <w:rFonts w:ascii="Arial" w:hAnsi="Arial" w:cs="Arial"/>
          <w:color w:val="000000"/>
          <w:sz w:val="24"/>
          <w:szCs w:val="24"/>
        </w:rPr>
        <w:t xml:space="preserve"> based on the previous years' </w:t>
      </w:r>
      <w:r w:rsidR="00C41BBC">
        <w:rPr>
          <w:rFonts w:ascii="Arial" w:hAnsi="Arial" w:cs="Arial"/>
          <w:color w:val="000000"/>
          <w:sz w:val="24"/>
          <w:szCs w:val="24"/>
        </w:rPr>
        <w:t>tariffs</w:t>
      </w:r>
      <w:r w:rsidR="00C41BBC" w:rsidRPr="00B9623D">
        <w:rPr>
          <w:rFonts w:ascii="Arial" w:hAnsi="Arial" w:cs="Arial"/>
          <w:color w:val="000000"/>
          <w:sz w:val="24"/>
          <w:szCs w:val="24"/>
        </w:rPr>
        <w:t xml:space="preserve"> set by NERSA in terms of its benchmarking approach </w:t>
      </w:r>
      <w:r w:rsidR="00C41BBC">
        <w:rPr>
          <w:rFonts w:ascii="Arial" w:hAnsi="Arial" w:cs="Arial"/>
          <w:color w:val="000000"/>
          <w:sz w:val="24"/>
          <w:szCs w:val="24"/>
        </w:rPr>
        <w:t xml:space="preserve">as </w:t>
      </w:r>
      <w:r w:rsidR="00C41BBC" w:rsidRPr="00B9623D">
        <w:rPr>
          <w:rFonts w:ascii="Arial" w:hAnsi="Arial" w:cs="Arial"/>
          <w:color w:val="000000"/>
          <w:sz w:val="24"/>
          <w:szCs w:val="24"/>
        </w:rPr>
        <w:t>set out in the Municipal Guideline</w:t>
      </w:r>
      <w:r w:rsidR="00C41BBC">
        <w:rPr>
          <w:rFonts w:ascii="Arial" w:hAnsi="Arial" w:cs="Arial"/>
          <w:color w:val="000000"/>
          <w:sz w:val="24"/>
          <w:szCs w:val="24"/>
        </w:rPr>
        <w:t>.</w:t>
      </w:r>
      <w:r w:rsidR="00C41BBC" w:rsidRPr="00B9623D">
        <w:rPr>
          <w:rFonts w:ascii="Arial" w:hAnsi="Arial" w:cs="Arial"/>
          <w:color w:val="000000"/>
          <w:sz w:val="24"/>
          <w:szCs w:val="24"/>
        </w:rPr>
        <w:t xml:space="preserve"> </w:t>
      </w:r>
      <w:r w:rsidR="00C41BBC">
        <w:rPr>
          <w:rFonts w:ascii="Arial" w:hAnsi="Arial" w:cs="Arial"/>
          <w:color w:val="000000"/>
          <w:sz w:val="24"/>
          <w:szCs w:val="24"/>
        </w:rPr>
        <w:t>A further argument</w:t>
      </w:r>
      <w:r w:rsidR="00C41BBC" w:rsidRPr="00B9623D">
        <w:rPr>
          <w:rFonts w:ascii="Arial" w:hAnsi="Arial" w:cs="Arial"/>
          <w:color w:val="000000"/>
          <w:sz w:val="24"/>
          <w:szCs w:val="24"/>
        </w:rPr>
        <w:t xml:space="preserve"> </w:t>
      </w:r>
      <w:r w:rsidR="00993146">
        <w:rPr>
          <w:rFonts w:ascii="Arial" w:hAnsi="Arial" w:cs="Arial"/>
          <w:color w:val="000000"/>
          <w:sz w:val="24"/>
          <w:szCs w:val="24"/>
        </w:rPr>
        <w:t>was</w:t>
      </w:r>
      <w:r w:rsidR="00C41BBC">
        <w:rPr>
          <w:rFonts w:ascii="Arial" w:hAnsi="Arial" w:cs="Arial"/>
          <w:color w:val="000000"/>
          <w:sz w:val="24"/>
          <w:szCs w:val="24"/>
        </w:rPr>
        <w:t xml:space="preserve"> that </w:t>
      </w:r>
      <w:r w:rsidR="00C41BBC" w:rsidRPr="00B9623D">
        <w:rPr>
          <w:rFonts w:ascii="Arial" w:hAnsi="Arial" w:cs="Arial"/>
          <w:color w:val="000000"/>
          <w:sz w:val="24"/>
          <w:szCs w:val="24"/>
        </w:rPr>
        <w:t xml:space="preserve">NERSA </w:t>
      </w:r>
      <w:r w:rsidR="00C41BBC">
        <w:rPr>
          <w:rFonts w:ascii="Arial" w:hAnsi="Arial" w:cs="Arial"/>
          <w:color w:val="000000"/>
          <w:sz w:val="24"/>
          <w:szCs w:val="24"/>
        </w:rPr>
        <w:t>had n</w:t>
      </w:r>
      <w:r w:rsidR="00C41BBC" w:rsidRPr="00B9623D">
        <w:rPr>
          <w:rFonts w:ascii="Arial" w:hAnsi="Arial" w:cs="Arial"/>
          <w:color w:val="000000"/>
          <w:sz w:val="24"/>
          <w:szCs w:val="24"/>
        </w:rPr>
        <w:t xml:space="preserve">ever determined a cost reflective tariff for City Power. </w:t>
      </w:r>
      <w:r w:rsidR="00C41BBC">
        <w:rPr>
          <w:rFonts w:ascii="Arial" w:hAnsi="Arial" w:cs="Arial"/>
          <w:color w:val="000000"/>
          <w:sz w:val="24"/>
          <w:szCs w:val="24"/>
        </w:rPr>
        <w:t>The</w:t>
      </w:r>
      <w:r w:rsidR="00C41BBC" w:rsidRPr="00B9623D">
        <w:rPr>
          <w:rFonts w:ascii="Arial" w:hAnsi="Arial" w:cs="Arial"/>
          <w:color w:val="000000"/>
          <w:sz w:val="24"/>
          <w:szCs w:val="24"/>
        </w:rPr>
        <w:t xml:space="preserve"> generic indexing approach </w:t>
      </w:r>
      <w:r w:rsidR="00C41BBC">
        <w:rPr>
          <w:rFonts w:ascii="Arial" w:hAnsi="Arial" w:cs="Arial"/>
          <w:color w:val="000000"/>
          <w:sz w:val="24"/>
          <w:szCs w:val="24"/>
        </w:rPr>
        <w:t>was</w:t>
      </w:r>
      <w:r w:rsidR="00C41BBC" w:rsidRPr="00B9623D">
        <w:rPr>
          <w:rFonts w:ascii="Arial" w:hAnsi="Arial" w:cs="Arial"/>
          <w:color w:val="000000"/>
          <w:sz w:val="24"/>
          <w:szCs w:val="24"/>
        </w:rPr>
        <w:t xml:space="preserve"> wholly unrelated to the reasonable costs incurred by City Power in providing its licensed distribution service and </w:t>
      </w:r>
      <w:r w:rsidR="00C41BBC">
        <w:rPr>
          <w:rFonts w:ascii="Arial" w:hAnsi="Arial" w:cs="Arial"/>
          <w:color w:val="000000"/>
          <w:sz w:val="24"/>
          <w:szCs w:val="24"/>
        </w:rPr>
        <w:t>was</w:t>
      </w:r>
      <w:r w:rsidR="00C41BBC" w:rsidRPr="00B9623D">
        <w:rPr>
          <w:rFonts w:ascii="Arial" w:hAnsi="Arial" w:cs="Arial"/>
          <w:color w:val="000000"/>
          <w:sz w:val="24"/>
          <w:szCs w:val="24"/>
        </w:rPr>
        <w:t xml:space="preserve"> inconsistent with the ERA and the EPP.</w:t>
      </w:r>
    </w:p>
    <w:p w:rsidR="00C41BBC" w:rsidRPr="00B9623D" w:rsidRDefault="005B1021"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lastRenderedPageBreak/>
        <w:t>5</w:t>
      </w:r>
      <w:r w:rsidR="001D3E9F">
        <w:rPr>
          <w:rFonts w:ascii="Arial" w:hAnsi="Arial" w:cs="Arial"/>
          <w:color w:val="000000"/>
          <w:sz w:val="24"/>
          <w:szCs w:val="24"/>
        </w:rPr>
        <w:t>8</w:t>
      </w:r>
      <w:r w:rsidR="00C41BBC">
        <w:rPr>
          <w:rFonts w:ascii="Arial" w:hAnsi="Arial" w:cs="Arial"/>
          <w:color w:val="000000"/>
          <w:sz w:val="24"/>
          <w:szCs w:val="24"/>
        </w:rPr>
        <w:t>.2</w:t>
      </w:r>
      <w:r w:rsidR="00C41BBC">
        <w:rPr>
          <w:rFonts w:ascii="Arial" w:hAnsi="Arial" w:cs="Arial"/>
          <w:color w:val="000000"/>
          <w:sz w:val="24"/>
          <w:szCs w:val="24"/>
        </w:rPr>
        <w:tab/>
      </w:r>
      <w:r w:rsidR="00C41BBC" w:rsidRPr="00B9623D">
        <w:rPr>
          <w:rFonts w:ascii="Arial" w:hAnsi="Arial" w:cs="Arial"/>
          <w:color w:val="000000"/>
          <w:sz w:val="24"/>
          <w:szCs w:val="24"/>
        </w:rPr>
        <w:t xml:space="preserve">Second, the tariffs </w:t>
      </w:r>
      <w:r w:rsidR="00C41BBC">
        <w:rPr>
          <w:rFonts w:ascii="Arial" w:hAnsi="Arial" w:cs="Arial"/>
          <w:color w:val="000000"/>
          <w:sz w:val="24"/>
          <w:szCs w:val="24"/>
        </w:rPr>
        <w:t>were</w:t>
      </w:r>
      <w:r w:rsidR="00C41BBC" w:rsidRPr="00B9623D">
        <w:rPr>
          <w:rFonts w:ascii="Arial" w:hAnsi="Arial" w:cs="Arial"/>
          <w:color w:val="000000"/>
          <w:sz w:val="24"/>
          <w:szCs w:val="24"/>
        </w:rPr>
        <w:t xml:space="preserve"> entirely generic. The process </w:t>
      </w:r>
      <w:r w:rsidR="00C41BBC">
        <w:rPr>
          <w:rFonts w:ascii="Arial" w:hAnsi="Arial" w:cs="Arial"/>
          <w:color w:val="000000"/>
          <w:sz w:val="24"/>
          <w:szCs w:val="24"/>
        </w:rPr>
        <w:t>was</w:t>
      </w:r>
      <w:r w:rsidR="00C41BBC" w:rsidRPr="00B9623D">
        <w:rPr>
          <w:rFonts w:ascii="Arial" w:hAnsi="Arial" w:cs="Arial"/>
          <w:color w:val="000000"/>
          <w:sz w:val="24"/>
          <w:szCs w:val="24"/>
        </w:rPr>
        <w:t xml:space="preserve"> focused on </w:t>
      </w:r>
      <w:r w:rsidR="00C41BBC">
        <w:rPr>
          <w:rFonts w:ascii="Arial" w:hAnsi="Arial" w:cs="Arial"/>
          <w:color w:val="000000"/>
          <w:sz w:val="24"/>
          <w:szCs w:val="24"/>
        </w:rPr>
        <w:t xml:space="preserve">the </w:t>
      </w:r>
      <w:r w:rsidR="00C41BBC" w:rsidRPr="00B9623D">
        <w:rPr>
          <w:rFonts w:ascii="Arial" w:hAnsi="Arial" w:cs="Arial"/>
          <w:color w:val="000000"/>
          <w:sz w:val="24"/>
          <w:szCs w:val="24"/>
        </w:rPr>
        <w:t>determination of a generic approved tariff increase percentage and if a municipality's tariffs prior to the in</w:t>
      </w:r>
      <w:r w:rsidR="0005429B">
        <w:rPr>
          <w:rFonts w:ascii="Arial" w:hAnsi="Arial" w:cs="Arial"/>
          <w:color w:val="000000"/>
          <w:sz w:val="24"/>
          <w:szCs w:val="24"/>
        </w:rPr>
        <w:t>crease were already above cost-</w:t>
      </w:r>
      <w:r w:rsidR="00C41BBC" w:rsidRPr="00B9623D">
        <w:rPr>
          <w:rFonts w:ascii="Arial" w:hAnsi="Arial" w:cs="Arial"/>
          <w:color w:val="000000"/>
          <w:sz w:val="24"/>
          <w:szCs w:val="24"/>
        </w:rPr>
        <w:t>reflective levels</w:t>
      </w:r>
      <w:r w:rsidR="00C41BBC">
        <w:rPr>
          <w:rFonts w:ascii="Arial" w:hAnsi="Arial" w:cs="Arial"/>
          <w:color w:val="000000"/>
          <w:sz w:val="24"/>
          <w:szCs w:val="24"/>
        </w:rPr>
        <w:t>,</w:t>
      </w:r>
      <w:r w:rsidR="00C41BBC" w:rsidRPr="00B9623D">
        <w:rPr>
          <w:rFonts w:ascii="Arial" w:hAnsi="Arial" w:cs="Arial"/>
          <w:color w:val="000000"/>
          <w:sz w:val="24"/>
          <w:szCs w:val="24"/>
        </w:rPr>
        <w:t xml:space="preserve"> then the application of an "approved" increase merely perpetuate</w:t>
      </w:r>
      <w:r w:rsidR="00C41BBC">
        <w:rPr>
          <w:rFonts w:ascii="Arial" w:hAnsi="Arial" w:cs="Arial"/>
          <w:color w:val="000000"/>
          <w:sz w:val="24"/>
          <w:szCs w:val="24"/>
        </w:rPr>
        <w:t>d</w:t>
      </w:r>
      <w:r w:rsidR="00C41BBC" w:rsidRPr="00B9623D">
        <w:rPr>
          <w:rFonts w:ascii="Arial" w:hAnsi="Arial" w:cs="Arial"/>
          <w:color w:val="000000"/>
          <w:sz w:val="24"/>
          <w:szCs w:val="24"/>
        </w:rPr>
        <w:t xml:space="preserve"> this state of affairs. There </w:t>
      </w:r>
      <w:r w:rsidR="00C41BBC">
        <w:rPr>
          <w:rFonts w:ascii="Arial" w:hAnsi="Arial" w:cs="Arial"/>
          <w:color w:val="000000"/>
          <w:sz w:val="24"/>
          <w:szCs w:val="24"/>
        </w:rPr>
        <w:t>was,</w:t>
      </w:r>
      <w:r w:rsidR="00C41BBC" w:rsidRPr="00B9623D">
        <w:rPr>
          <w:rFonts w:ascii="Arial" w:hAnsi="Arial" w:cs="Arial"/>
          <w:color w:val="000000"/>
          <w:sz w:val="24"/>
          <w:szCs w:val="24"/>
        </w:rPr>
        <w:t xml:space="preserve"> thus</w:t>
      </w:r>
      <w:r w:rsidR="00C41BBC">
        <w:rPr>
          <w:rFonts w:ascii="Arial" w:hAnsi="Arial" w:cs="Arial"/>
          <w:color w:val="000000"/>
          <w:sz w:val="24"/>
          <w:szCs w:val="24"/>
        </w:rPr>
        <w:t>,</w:t>
      </w:r>
      <w:r w:rsidR="00C41BBC" w:rsidRPr="00B9623D">
        <w:rPr>
          <w:rFonts w:ascii="Arial" w:hAnsi="Arial" w:cs="Arial"/>
          <w:color w:val="000000"/>
          <w:sz w:val="24"/>
          <w:szCs w:val="24"/>
        </w:rPr>
        <w:t xml:space="preserve"> no question or consideration of "reasonableness" or cost reflectivity in relation to any of the tariffs imposed as required by section 15(1)</w:t>
      </w:r>
      <w:r w:rsidR="00C41BBC">
        <w:rPr>
          <w:rFonts w:ascii="Arial" w:hAnsi="Arial" w:cs="Arial"/>
          <w:color w:val="000000"/>
          <w:sz w:val="24"/>
          <w:szCs w:val="24"/>
        </w:rPr>
        <w:t>(a) of the ERA</w:t>
      </w:r>
      <w:r w:rsidR="00C41BBC" w:rsidRPr="00B9623D">
        <w:rPr>
          <w:rFonts w:ascii="Arial" w:hAnsi="Arial" w:cs="Arial"/>
          <w:color w:val="000000"/>
          <w:sz w:val="24"/>
          <w:szCs w:val="24"/>
        </w:rPr>
        <w:t>.</w:t>
      </w:r>
    </w:p>
    <w:p w:rsidR="00C41BBC" w:rsidRDefault="005B1021"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5</w:t>
      </w:r>
      <w:r w:rsidR="001D3E9F">
        <w:rPr>
          <w:rFonts w:ascii="Arial" w:hAnsi="Arial" w:cs="Arial"/>
          <w:color w:val="000000"/>
          <w:sz w:val="24"/>
          <w:szCs w:val="24"/>
        </w:rPr>
        <w:t>8</w:t>
      </w:r>
      <w:r w:rsidR="00C41BBC">
        <w:rPr>
          <w:rFonts w:ascii="Arial" w:hAnsi="Arial" w:cs="Arial"/>
          <w:color w:val="000000"/>
          <w:sz w:val="24"/>
          <w:szCs w:val="24"/>
        </w:rPr>
        <w:t>.3</w:t>
      </w:r>
      <w:r w:rsidR="00C41BBC">
        <w:rPr>
          <w:rFonts w:ascii="Arial" w:hAnsi="Arial" w:cs="Arial"/>
          <w:color w:val="000000"/>
          <w:sz w:val="24"/>
          <w:szCs w:val="24"/>
        </w:rPr>
        <w:tab/>
        <w:t>Third</w:t>
      </w:r>
      <w:r w:rsidR="00C41BBC" w:rsidRPr="00B9623D">
        <w:rPr>
          <w:rFonts w:ascii="Arial" w:hAnsi="Arial" w:cs="Arial"/>
          <w:color w:val="000000"/>
          <w:sz w:val="24"/>
          <w:szCs w:val="24"/>
        </w:rPr>
        <w:t>, the tariffs set by NERSA did not consider the different costs of supplying different customer categories as required by section 15(</w:t>
      </w:r>
      <w:r w:rsidR="00C41BBC">
        <w:rPr>
          <w:rFonts w:ascii="Arial" w:hAnsi="Arial" w:cs="Arial"/>
          <w:color w:val="000000"/>
          <w:sz w:val="24"/>
          <w:szCs w:val="24"/>
        </w:rPr>
        <w:t>1</w:t>
      </w:r>
      <w:r w:rsidR="00C41BBC" w:rsidRPr="00B9623D">
        <w:rPr>
          <w:rFonts w:ascii="Arial" w:hAnsi="Arial" w:cs="Arial"/>
          <w:color w:val="000000"/>
          <w:sz w:val="24"/>
          <w:szCs w:val="24"/>
        </w:rPr>
        <w:t xml:space="preserve">)(d) of </w:t>
      </w:r>
      <w:r w:rsidR="00C41BBC">
        <w:rPr>
          <w:rFonts w:ascii="Arial" w:hAnsi="Arial" w:cs="Arial"/>
          <w:color w:val="000000"/>
          <w:sz w:val="24"/>
          <w:szCs w:val="24"/>
        </w:rPr>
        <w:t>t</w:t>
      </w:r>
      <w:r w:rsidR="00C41BBC" w:rsidRPr="00B9623D">
        <w:rPr>
          <w:rFonts w:ascii="Arial" w:hAnsi="Arial" w:cs="Arial"/>
          <w:color w:val="000000"/>
          <w:sz w:val="24"/>
          <w:szCs w:val="24"/>
        </w:rPr>
        <w:t xml:space="preserve">he ERA </w:t>
      </w:r>
      <w:r w:rsidR="00C41BBC">
        <w:rPr>
          <w:rFonts w:ascii="Arial" w:hAnsi="Arial" w:cs="Arial"/>
          <w:color w:val="000000"/>
          <w:sz w:val="24"/>
          <w:szCs w:val="24"/>
        </w:rPr>
        <w:t>read with</w:t>
      </w:r>
      <w:r w:rsidR="00C41BBC" w:rsidRPr="00B9623D">
        <w:rPr>
          <w:rFonts w:ascii="Arial" w:hAnsi="Arial" w:cs="Arial"/>
          <w:color w:val="000000"/>
          <w:sz w:val="24"/>
          <w:szCs w:val="24"/>
        </w:rPr>
        <w:t xml:space="preserve"> Policy Position 2 of the EPP, nor </w:t>
      </w:r>
      <w:r w:rsidR="00C41BBC">
        <w:rPr>
          <w:rFonts w:ascii="Arial" w:hAnsi="Arial" w:cs="Arial"/>
          <w:color w:val="000000"/>
          <w:sz w:val="24"/>
          <w:szCs w:val="24"/>
        </w:rPr>
        <w:t>was</w:t>
      </w:r>
      <w:r w:rsidR="00C41BBC" w:rsidRPr="00B9623D">
        <w:rPr>
          <w:rFonts w:ascii="Arial" w:hAnsi="Arial" w:cs="Arial"/>
          <w:color w:val="000000"/>
          <w:sz w:val="24"/>
          <w:szCs w:val="24"/>
        </w:rPr>
        <w:t xml:space="preserve"> there any evidence of any approval by NERSA for cross-subsidies or other pricing to customers that depart</w:t>
      </w:r>
      <w:r w:rsidR="00C41BBC">
        <w:rPr>
          <w:rFonts w:ascii="Arial" w:hAnsi="Arial" w:cs="Arial"/>
          <w:color w:val="000000"/>
          <w:sz w:val="24"/>
          <w:szCs w:val="24"/>
        </w:rPr>
        <w:t>ed</w:t>
      </w:r>
      <w:r w:rsidR="00C41BBC" w:rsidRPr="00B9623D">
        <w:rPr>
          <w:rFonts w:ascii="Arial" w:hAnsi="Arial" w:cs="Arial"/>
          <w:color w:val="000000"/>
          <w:sz w:val="24"/>
          <w:szCs w:val="24"/>
        </w:rPr>
        <w:t xml:space="preserve"> from cost-reflective levels </w:t>
      </w:r>
      <w:r w:rsidR="00C41BBC" w:rsidRPr="00C41BBC">
        <w:rPr>
          <w:rFonts w:ascii="Arial" w:hAnsi="Arial" w:cs="Arial"/>
          <w:i/>
          <w:sz w:val="24"/>
          <w:szCs w:val="24"/>
        </w:rPr>
        <w:t>per</w:t>
      </w:r>
      <w:r w:rsidR="00C41BBC" w:rsidRPr="00C41BBC">
        <w:rPr>
          <w:rFonts w:ascii="Arial" w:hAnsi="Arial" w:cs="Arial"/>
          <w:sz w:val="24"/>
          <w:szCs w:val="24"/>
        </w:rPr>
        <w:t xml:space="preserve"> </w:t>
      </w:r>
      <w:r w:rsidR="00C41BBC" w:rsidRPr="00B9623D">
        <w:rPr>
          <w:rFonts w:ascii="Arial" w:hAnsi="Arial" w:cs="Arial"/>
          <w:color w:val="000000"/>
          <w:sz w:val="24"/>
          <w:szCs w:val="24"/>
        </w:rPr>
        <w:t>customer category. It was</w:t>
      </w:r>
      <w:r w:rsidR="00C41BBC">
        <w:rPr>
          <w:rFonts w:ascii="Arial" w:hAnsi="Arial" w:cs="Arial"/>
          <w:color w:val="000000"/>
          <w:sz w:val="24"/>
          <w:szCs w:val="24"/>
        </w:rPr>
        <w:t>,</w:t>
      </w:r>
      <w:r w:rsidR="00C41BBC" w:rsidRPr="00B9623D">
        <w:rPr>
          <w:rFonts w:ascii="Arial" w:hAnsi="Arial" w:cs="Arial"/>
          <w:color w:val="000000"/>
          <w:sz w:val="24"/>
          <w:szCs w:val="24"/>
        </w:rPr>
        <w:t xml:space="preserve"> thus</w:t>
      </w:r>
      <w:r w:rsidR="00C41BBC">
        <w:rPr>
          <w:rFonts w:ascii="Arial" w:hAnsi="Arial" w:cs="Arial"/>
          <w:color w:val="000000"/>
          <w:sz w:val="24"/>
          <w:szCs w:val="24"/>
        </w:rPr>
        <w:t>,</w:t>
      </w:r>
      <w:r w:rsidR="00C41BBC" w:rsidRPr="00B9623D">
        <w:rPr>
          <w:rFonts w:ascii="Arial" w:hAnsi="Arial" w:cs="Arial"/>
          <w:color w:val="000000"/>
          <w:sz w:val="24"/>
          <w:szCs w:val="24"/>
        </w:rPr>
        <w:t xml:space="preserve"> factually impossible for NERSA to have determined whether the tariffs </w:t>
      </w:r>
      <w:r w:rsidR="00C41BBC" w:rsidRPr="00C41BBC">
        <w:rPr>
          <w:rFonts w:ascii="Arial" w:hAnsi="Arial" w:cs="Arial"/>
          <w:i/>
          <w:sz w:val="24"/>
          <w:szCs w:val="24"/>
        </w:rPr>
        <w:t>per</w:t>
      </w:r>
      <w:r w:rsidR="00C41BBC" w:rsidRPr="00C41BBC">
        <w:rPr>
          <w:rFonts w:ascii="Arial" w:hAnsi="Arial" w:cs="Arial"/>
          <w:sz w:val="24"/>
          <w:szCs w:val="24"/>
        </w:rPr>
        <w:t xml:space="preserve"> </w:t>
      </w:r>
      <w:r w:rsidR="00C41BBC" w:rsidRPr="00B9623D">
        <w:rPr>
          <w:rFonts w:ascii="Arial" w:hAnsi="Arial" w:cs="Arial"/>
          <w:color w:val="000000"/>
          <w:sz w:val="24"/>
          <w:szCs w:val="24"/>
        </w:rPr>
        <w:t xml:space="preserve">customer category </w:t>
      </w:r>
      <w:r w:rsidR="00C41BBC">
        <w:rPr>
          <w:rFonts w:ascii="Arial" w:hAnsi="Arial" w:cs="Arial"/>
          <w:color w:val="000000"/>
          <w:sz w:val="24"/>
          <w:szCs w:val="24"/>
        </w:rPr>
        <w:t>were</w:t>
      </w:r>
      <w:r w:rsidR="00C41BBC" w:rsidRPr="00B9623D">
        <w:rPr>
          <w:rFonts w:ascii="Arial" w:hAnsi="Arial" w:cs="Arial"/>
          <w:color w:val="000000"/>
          <w:sz w:val="24"/>
          <w:szCs w:val="24"/>
        </w:rPr>
        <w:t xml:space="preserve"> cost-reflective, as those costs </w:t>
      </w:r>
      <w:r w:rsidR="00C41BBC">
        <w:rPr>
          <w:rFonts w:ascii="Arial" w:hAnsi="Arial" w:cs="Arial"/>
          <w:color w:val="000000"/>
          <w:sz w:val="24"/>
          <w:szCs w:val="24"/>
        </w:rPr>
        <w:t>were</w:t>
      </w:r>
      <w:r w:rsidR="00C41BBC" w:rsidRPr="00B9623D">
        <w:rPr>
          <w:rFonts w:ascii="Arial" w:hAnsi="Arial" w:cs="Arial"/>
          <w:color w:val="000000"/>
          <w:sz w:val="24"/>
          <w:szCs w:val="24"/>
        </w:rPr>
        <w:t xml:space="preserve"> unknown.</w:t>
      </w:r>
    </w:p>
    <w:p w:rsidR="00E224EF" w:rsidRPr="00334D8D" w:rsidRDefault="00E224EF" w:rsidP="00FF0AC8">
      <w:pPr>
        <w:spacing w:after="0" w:line="360" w:lineRule="auto"/>
        <w:ind w:left="1440" w:hanging="720"/>
        <w:jc w:val="both"/>
        <w:rPr>
          <w:rFonts w:ascii="Arial" w:hAnsi="Arial" w:cs="Arial"/>
          <w:sz w:val="24"/>
          <w:szCs w:val="24"/>
        </w:rPr>
      </w:pPr>
    </w:p>
    <w:p w:rsidR="00C41BBC" w:rsidRPr="00334D8D" w:rsidRDefault="00C41BBC" w:rsidP="00917D2E">
      <w:pPr>
        <w:spacing w:line="360" w:lineRule="auto"/>
        <w:jc w:val="both"/>
        <w:rPr>
          <w:rFonts w:ascii="Arial" w:hAnsi="Arial" w:cs="Arial"/>
          <w:sz w:val="24"/>
          <w:szCs w:val="24"/>
        </w:rPr>
      </w:pPr>
      <w:r w:rsidRPr="00334D8D">
        <w:rPr>
          <w:rFonts w:ascii="Arial" w:hAnsi="Arial" w:cs="Arial"/>
          <w:sz w:val="24"/>
          <w:szCs w:val="24"/>
        </w:rPr>
        <w:tab/>
        <w:t>NERSA</w:t>
      </w: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5D086E">
        <w:rPr>
          <w:rFonts w:ascii="Arial" w:hAnsi="Arial" w:cs="Arial"/>
          <w:color w:val="000000"/>
          <w:sz w:val="24"/>
          <w:szCs w:val="24"/>
        </w:rPr>
        <w:t>5</w:t>
      </w:r>
      <w:r w:rsidR="001D3E9F">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t>NERSA, in rejecting the Applicants’ argument, submitted, that the</w:t>
      </w:r>
      <w:r w:rsidRPr="00334D8D">
        <w:rPr>
          <w:rFonts w:ascii="Arial" w:hAnsi="Arial" w:cs="Arial"/>
          <w:color w:val="000000"/>
          <w:sz w:val="24"/>
          <w:szCs w:val="24"/>
        </w:rPr>
        <w:t xml:space="preserve"> most important feature of section 15(1) </w:t>
      </w:r>
      <w:r>
        <w:rPr>
          <w:rFonts w:ascii="Arial" w:hAnsi="Arial" w:cs="Arial"/>
          <w:color w:val="000000"/>
          <w:sz w:val="24"/>
          <w:szCs w:val="24"/>
        </w:rPr>
        <w:t xml:space="preserve">of the ERA </w:t>
      </w:r>
      <w:r w:rsidR="00993146">
        <w:rPr>
          <w:rFonts w:ascii="Arial" w:hAnsi="Arial" w:cs="Arial"/>
          <w:color w:val="000000"/>
          <w:sz w:val="24"/>
          <w:szCs w:val="24"/>
        </w:rPr>
        <w:t>was</w:t>
      </w:r>
      <w:r w:rsidRPr="00334D8D">
        <w:rPr>
          <w:rFonts w:ascii="Arial" w:hAnsi="Arial" w:cs="Arial"/>
          <w:color w:val="000000"/>
          <w:sz w:val="24"/>
          <w:szCs w:val="24"/>
        </w:rPr>
        <w:t xml:space="preserve"> that it does not prescribe how NERSA should determine whether the licensee covers costs plus a reasonable margin or return. </w:t>
      </w:r>
      <w:r>
        <w:rPr>
          <w:rFonts w:ascii="Arial" w:hAnsi="Arial" w:cs="Arial"/>
          <w:color w:val="000000"/>
          <w:sz w:val="24"/>
          <w:szCs w:val="24"/>
        </w:rPr>
        <w:t xml:space="preserve">The contention </w:t>
      </w:r>
      <w:r w:rsidR="00993146">
        <w:rPr>
          <w:rFonts w:ascii="Arial" w:hAnsi="Arial" w:cs="Arial"/>
          <w:color w:val="000000"/>
          <w:sz w:val="24"/>
          <w:szCs w:val="24"/>
        </w:rPr>
        <w:t>was</w:t>
      </w:r>
      <w:r>
        <w:rPr>
          <w:rFonts w:ascii="Arial" w:hAnsi="Arial" w:cs="Arial"/>
          <w:color w:val="000000"/>
          <w:sz w:val="24"/>
          <w:szCs w:val="24"/>
        </w:rPr>
        <w:t xml:space="preserve"> that it was </w:t>
      </w:r>
      <w:r w:rsidRPr="00334D8D">
        <w:rPr>
          <w:rFonts w:ascii="Arial" w:hAnsi="Arial" w:cs="Arial"/>
          <w:color w:val="000000"/>
          <w:sz w:val="24"/>
          <w:szCs w:val="24"/>
        </w:rPr>
        <w:t xml:space="preserve">incumbent upon NERSA to develop </w:t>
      </w:r>
      <w:r>
        <w:rPr>
          <w:rFonts w:ascii="Arial" w:hAnsi="Arial" w:cs="Arial"/>
          <w:color w:val="000000"/>
          <w:sz w:val="24"/>
          <w:szCs w:val="24"/>
        </w:rPr>
        <w:t>m</w:t>
      </w:r>
      <w:r w:rsidRPr="00334D8D">
        <w:rPr>
          <w:rFonts w:ascii="Arial" w:hAnsi="Arial" w:cs="Arial"/>
          <w:color w:val="000000"/>
          <w:sz w:val="24"/>
          <w:szCs w:val="24"/>
        </w:rPr>
        <w:t xml:space="preserve">unicipality guidelines that </w:t>
      </w:r>
      <w:r>
        <w:rPr>
          <w:rFonts w:ascii="Arial" w:hAnsi="Arial" w:cs="Arial"/>
          <w:color w:val="000000"/>
          <w:sz w:val="24"/>
          <w:szCs w:val="24"/>
        </w:rPr>
        <w:t>gave</w:t>
      </w:r>
      <w:r w:rsidRPr="00334D8D">
        <w:rPr>
          <w:rFonts w:ascii="Arial" w:hAnsi="Arial" w:cs="Arial"/>
          <w:color w:val="000000"/>
          <w:sz w:val="24"/>
          <w:szCs w:val="24"/>
        </w:rPr>
        <w:t xml:space="preserve"> effect to the jurisdictional facts set out in section 15(1) of the ERA. In the absence </w:t>
      </w:r>
      <w:r>
        <w:rPr>
          <w:rFonts w:ascii="Arial" w:hAnsi="Arial" w:cs="Arial"/>
          <w:color w:val="000000"/>
          <w:sz w:val="24"/>
          <w:szCs w:val="24"/>
        </w:rPr>
        <w:t xml:space="preserve">of </w:t>
      </w:r>
      <w:r w:rsidRPr="00334D8D">
        <w:rPr>
          <w:rFonts w:ascii="Arial" w:hAnsi="Arial" w:cs="Arial"/>
          <w:color w:val="000000"/>
          <w:sz w:val="24"/>
          <w:szCs w:val="24"/>
        </w:rPr>
        <w:t xml:space="preserve">the </w:t>
      </w:r>
      <w:r>
        <w:rPr>
          <w:rFonts w:ascii="Arial" w:hAnsi="Arial" w:cs="Arial"/>
          <w:color w:val="000000"/>
          <w:sz w:val="24"/>
          <w:szCs w:val="24"/>
        </w:rPr>
        <w:t xml:space="preserve">cost of supply </w:t>
      </w:r>
      <w:r w:rsidRPr="00334D8D">
        <w:rPr>
          <w:rFonts w:ascii="Arial" w:hAnsi="Arial" w:cs="Arial"/>
          <w:color w:val="000000"/>
          <w:sz w:val="24"/>
          <w:szCs w:val="24"/>
        </w:rPr>
        <w:t xml:space="preserve">study, </w:t>
      </w:r>
      <w:r>
        <w:rPr>
          <w:rFonts w:ascii="Arial" w:hAnsi="Arial" w:cs="Arial"/>
          <w:color w:val="000000"/>
          <w:sz w:val="24"/>
          <w:szCs w:val="24"/>
        </w:rPr>
        <w:t xml:space="preserve">it was argued that, </w:t>
      </w:r>
      <w:r w:rsidRPr="00334D8D">
        <w:rPr>
          <w:rFonts w:ascii="Arial" w:hAnsi="Arial" w:cs="Arial"/>
          <w:color w:val="000000"/>
          <w:sz w:val="24"/>
          <w:szCs w:val="24"/>
        </w:rPr>
        <w:t xml:space="preserve">NERSA </w:t>
      </w:r>
      <w:r>
        <w:rPr>
          <w:rFonts w:ascii="Arial" w:hAnsi="Arial" w:cs="Arial"/>
          <w:color w:val="000000"/>
          <w:sz w:val="24"/>
          <w:szCs w:val="24"/>
        </w:rPr>
        <w:t>was</w:t>
      </w:r>
      <w:r w:rsidRPr="00334D8D">
        <w:rPr>
          <w:rFonts w:ascii="Arial" w:hAnsi="Arial" w:cs="Arial"/>
          <w:color w:val="000000"/>
          <w:sz w:val="24"/>
          <w:szCs w:val="24"/>
        </w:rPr>
        <w:t xml:space="preserve"> empowered to exercise the powers conferred </w:t>
      </w:r>
      <w:r>
        <w:rPr>
          <w:rFonts w:ascii="Arial" w:hAnsi="Arial" w:cs="Arial"/>
          <w:color w:val="000000"/>
          <w:sz w:val="24"/>
          <w:szCs w:val="24"/>
        </w:rPr>
        <w:t xml:space="preserve">upon it </w:t>
      </w:r>
      <w:r w:rsidRPr="00334D8D">
        <w:rPr>
          <w:rFonts w:ascii="Arial" w:hAnsi="Arial" w:cs="Arial"/>
          <w:color w:val="000000"/>
          <w:sz w:val="24"/>
          <w:szCs w:val="24"/>
        </w:rPr>
        <w:t>by the ERA and t</w:t>
      </w:r>
      <w:r>
        <w:rPr>
          <w:rFonts w:ascii="Arial" w:hAnsi="Arial" w:cs="Arial"/>
          <w:color w:val="000000"/>
          <w:sz w:val="24"/>
          <w:szCs w:val="24"/>
        </w:rPr>
        <w:t xml:space="preserve">he EPP, </w:t>
      </w:r>
      <w:r w:rsidRPr="001378CE">
        <w:rPr>
          <w:rFonts w:ascii="Arial" w:hAnsi="Arial" w:cs="Arial"/>
          <w:i/>
          <w:color w:val="000000"/>
          <w:sz w:val="24"/>
          <w:szCs w:val="24"/>
        </w:rPr>
        <w:t>to wit</w:t>
      </w:r>
      <w:r>
        <w:rPr>
          <w:rFonts w:ascii="Arial" w:hAnsi="Arial" w:cs="Arial"/>
          <w:color w:val="000000"/>
          <w:sz w:val="24"/>
          <w:szCs w:val="24"/>
        </w:rPr>
        <w:t>, to request the m</w:t>
      </w:r>
      <w:r w:rsidRPr="00334D8D">
        <w:rPr>
          <w:rFonts w:ascii="Arial" w:hAnsi="Arial" w:cs="Arial"/>
          <w:color w:val="000000"/>
          <w:sz w:val="24"/>
          <w:szCs w:val="24"/>
        </w:rPr>
        <w:t xml:space="preserve">unicipalities to furnish relevant information regarding their costs. In so doing, NERSA </w:t>
      </w:r>
      <w:r>
        <w:rPr>
          <w:rFonts w:ascii="Arial" w:hAnsi="Arial" w:cs="Arial"/>
          <w:color w:val="000000"/>
          <w:sz w:val="24"/>
          <w:szCs w:val="24"/>
        </w:rPr>
        <w:t xml:space="preserve">would </w:t>
      </w:r>
      <w:r w:rsidRPr="00334D8D">
        <w:rPr>
          <w:rFonts w:ascii="Arial" w:hAnsi="Arial" w:cs="Arial"/>
          <w:color w:val="000000"/>
          <w:sz w:val="24"/>
          <w:szCs w:val="24"/>
        </w:rPr>
        <w:t xml:space="preserve">have </w:t>
      </w:r>
      <w:r>
        <w:rPr>
          <w:rFonts w:ascii="Arial" w:hAnsi="Arial" w:cs="Arial"/>
          <w:color w:val="000000"/>
          <w:sz w:val="24"/>
          <w:szCs w:val="24"/>
        </w:rPr>
        <w:t xml:space="preserve">had </w:t>
      </w:r>
      <w:r w:rsidRPr="00334D8D">
        <w:rPr>
          <w:rFonts w:ascii="Arial" w:hAnsi="Arial" w:cs="Arial"/>
          <w:color w:val="000000"/>
          <w:sz w:val="24"/>
          <w:szCs w:val="24"/>
        </w:rPr>
        <w:t xml:space="preserve">all the relevant information regarding costs. This information </w:t>
      </w:r>
      <w:r>
        <w:rPr>
          <w:rFonts w:ascii="Arial" w:hAnsi="Arial" w:cs="Arial"/>
          <w:color w:val="000000"/>
          <w:sz w:val="24"/>
          <w:szCs w:val="24"/>
        </w:rPr>
        <w:t>would have</w:t>
      </w:r>
      <w:r w:rsidRPr="00334D8D">
        <w:rPr>
          <w:rFonts w:ascii="Arial" w:hAnsi="Arial" w:cs="Arial"/>
          <w:color w:val="000000"/>
          <w:sz w:val="24"/>
          <w:szCs w:val="24"/>
        </w:rPr>
        <w:t xml:space="preserve"> assist</w:t>
      </w:r>
      <w:r>
        <w:rPr>
          <w:rFonts w:ascii="Arial" w:hAnsi="Arial" w:cs="Arial"/>
          <w:color w:val="000000"/>
          <w:sz w:val="24"/>
          <w:szCs w:val="24"/>
        </w:rPr>
        <w:t>ed</w:t>
      </w:r>
      <w:r w:rsidRPr="00334D8D">
        <w:rPr>
          <w:rFonts w:ascii="Arial" w:hAnsi="Arial" w:cs="Arial"/>
          <w:color w:val="000000"/>
          <w:sz w:val="24"/>
          <w:szCs w:val="24"/>
        </w:rPr>
        <w:t xml:space="preserve"> in terms of determining whether the </w:t>
      </w:r>
      <w:r>
        <w:rPr>
          <w:rFonts w:ascii="Arial" w:hAnsi="Arial" w:cs="Arial"/>
          <w:color w:val="000000"/>
          <w:sz w:val="24"/>
          <w:szCs w:val="24"/>
        </w:rPr>
        <w:t>m</w:t>
      </w:r>
      <w:r w:rsidRPr="00334D8D">
        <w:rPr>
          <w:rFonts w:ascii="Arial" w:hAnsi="Arial" w:cs="Arial"/>
          <w:color w:val="000000"/>
          <w:sz w:val="24"/>
          <w:szCs w:val="24"/>
        </w:rPr>
        <w:t xml:space="preserve">unicipality </w:t>
      </w:r>
      <w:r>
        <w:rPr>
          <w:rFonts w:ascii="Arial" w:hAnsi="Arial" w:cs="Arial"/>
          <w:color w:val="000000"/>
          <w:sz w:val="24"/>
          <w:szCs w:val="24"/>
        </w:rPr>
        <w:t xml:space="preserve">concerned, </w:t>
      </w:r>
      <w:r w:rsidRPr="00334D8D">
        <w:rPr>
          <w:rFonts w:ascii="Arial" w:hAnsi="Arial" w:cs="Arial"/>
          <w:color w:val="000000"/>
          <w:sz w:val="24"/>
          <w:szCs w:val="24"/>
        </w:rPr>
        <w:lastRenderedPageBreak/>
        <w:t>cover</w:t>
      </w:r>
      <w:r>
        <w:rPr>
          <w:rFonts w:ascii="Arial" w:hAnsi="Arial" w:cs="Arial"/>
          <w:color w:val="000000"/>
          <w:sz w:val="24"/>
          <w:szCs w:val="24"/>
        </w:rPr>
        <w:t>ed</w:t>
      </w:r>
      <w:r w:rsidRPr="00334D8D">
        <w:rPr>
          <w:rFonts w:ascii="Arial" w:hAnsi="Arial" w:cs="Arial"/>
          <w:color w:val="000000"/>
          <w:sz w:val="24"/>
          <w:szCs w:val="24"/>
        </w:rPr>
        <w:t xml:space="preserve"> </w:t>
      </w:r>
      <w:r>
        <w:rPr>
          <w:rFonts w:ascii="Arial" w:hAnsi="Arial" w:cs="Arial"/>
          <w:color w:val="000000"/>
          <w:sz w:val="24"/>
          <w:szCs w:val="24"/>
        </w:rPr>
        <w:t>its</w:t>
      </w:r>
      <w:r w:rsidRPr="00334D8D">
        <w:rPr>
          <w:rFonts w:ascii="Arial" w:hAnsi="Arial" w:cs="Arial"/>
          <w:color w:val="000000"/>
          <w:sz w:val="24"/>
          <w:szCs w:val="24"/>
        </w:rPr>
        <w:t xml:space="preserve"> costs and the reasonable margin or return</w:t>
      </w:r>
      <w:r>
        <w:rPr>
          <w:rFonts w:ascii="Arial" w:hAnsi="Arial" w:cs="Arial"/>
          <w:color w:val="000000"/>
          <w:sz w:val="24"/>
          <w:szCs w:val="24"/>
        </w:rPr>
        <w:t>,</w:t>
      </w:r>
      <w:r w:rsidRPr="00334D8D">
        <w:rPr>
          <w:rFonts w:ascii="Arial" w:hAnsi="Arial" w:cs="Arial"/>
          <w:color w:val="000000"/>
          <w:sz w:val="24"/>
          <w:szCs w:val="24"/>
        </w:rPr>
        <w:t xml:space="preserve"> as envisaged by both the ERA and EPP.</w:t>
      </w:r>
    </w:p>
    <w:p w:rsidR="00CA1EA8" w:rsidRPr="00334D8D" w:rsidRDefault="00CA1EA8" w:rsidP="00FF0AC8">
      <w:pPr>
        <w:spacing w:after="0" w:line="360" w:lineRule="auto"/>
        <w:jc w:val="both"/>
        <w:rPr>
          <w:rFonts w:ascii="Arial" w:hAnsi="Arial" w:cs="Arial"/>
          <w:color w:val="000000"/>
          <w:sz w:val="24"/>
          <w:szCs w:val="24"/>
        </w:rPr>
      </w:pP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1D3E9F">
        <w:rPr>
          <w:rFonts w:ascii="Arial" w:hAnsi="Arial" w:cs="Arial"/>
          <w:color w:val="000000"/>
          <w:sz w:val="24"/>
          <w:szCs w:val="24"/>
        </w:rPr>
        <w:t>60</w:t>
      </w:r>
      <w:r>
        <w:rPr>
          <w:rFonts w:ascii="Arial" w:hAnsi="Arial" w:cs="Arial"/>
          <w:color w:val="000000"/>
          <w:sz w:val="24"/>
          <w:szCs w:val="24"/>
        </w:rPr>
        <w:t>]</w:t>
      </w:r>
      <w:r>
        <w:rPr>
          <w:rFonts w:ascii="Arial" w:hAnsi="Arial" w:cs="Arial"/>
          <w:color w:val="000000"/>
          <w:sz w:val="24"/>
          <w:szCs w:val="24"/>
        </w:rPr>
        <w:tab/>
      </w:r>
      <w:r w:rsidR="0005429B">
        <w:rPr>
          <w:rFonts w:ascii="Arial" w:hAnsi="Arial" w:cs="Arial"/>
          <w:color w:val="000000"/>
          <w:sz w:val="24"/>
          <w:szCs w:val="24"/>
        </w:rPr>
        <w:t>NERSA, argued further that, t</w:t>
      </w:r>
      <w:r>
        <w:rPr>
          <w:rFonts w:ascii="Arial" w:hAnsi="Arial" w:cs="Arial"/>
          <w:color w:val="000000"/>
          <w:sz w:val="24"/>
          <w:szCs w:val="24"/>
        </w:rPr>
        <w:t>he fact that the cost of supply</w:t>
      </w:r>
      <w:r w:rsidRPr="00334D8D">
        <w:rPr>
          <w:rFonts w:ascii="Arial" w:hAnsi="Arial" w:cs="Arial"/>
          <w:color w:val="000000"/>
          <w:sz w:val="24"/>
          <w:szCs w:val="24"/>
        </w:rPr>
        <w:t xml:space="preserve"> study</w:t>
      </w:r>
      <w:r>
        <w:rPr>
          <w:rFonts w:ascii="Arial" w:hAnsi="Arial" w:cs="Arial"/>
          <w:color w:val="000000"/>
          <w:sz w:val="24"/>
          <w:szCs w:val="24"/>
        </w:rPr>
        <w:t xml:space="preserve"> </w:t>
      </w:r>
      <w:r w:rsidRPr="00334D8D">
        <w:rPr>
          <w:rFonts w:ascii="Arial" w:hAnsi="Arial" w:cs="Arial"/>
          <w:color w:val="000000"/>
          <w:sz w:val="24"/>
          <w:szCs w:val="24"/>
        </w:rPr>
        <w:t xml:space="preserve">was not conducted, </w:t>
      </w:r>
      <w:r>
        <w:rPr>
          <w:rFonts w:ascii="Arial" w:hAnsi="Arial" w:cs="Arial"/>
          <w:color w:val="000000"/>
          <w:sz w:val="24"/>
          <w:szCs w:val="24"/>
        </w:rPr>
        <w:t>did</w:t>
      </w:r>
      <w:r w:rsidRPr="00334D8D">
        <w:rPr>
          <w:rFonts w:ascii="Arial" w:hAnsi="Arial" w:cs="Arial"/>
          <w:color w:val="000000"/>
          <w:sz w:val="24"/>
          <w:szCs w:val="24"/>
        </w:rPr>
        <w:t xml:space="preserve"> not mean that other avenues including the powers of NERSA to sour</w:t>
      </w:r>
      <w:r>
        <w:rPr>
          <w:rFonts w:ascii="Arial" w:hAnsi="Arial" w:cs="Arial"/>
          <w:color w:val="000000"/>
          <w:sz w:val="24"/>
          <w:szCs w:val="24"/>
        </w:rPr>
        <w:t>ce financial information from a</w:t>
      </w:r>
      <w:r w:rsidRPr="00334D8D">
        <w:rPr>
          <w:rFonts w:ascii="Arial" w:hAnsi="Arial" w:cs="Arial"/>
          <w:color w:val="000000"/>
          <w:sz w:val="24"/>
          <w:szCs w:val="24"/>
        </w:rPr>
        <w:t xml:space="preserve"> </w:t>
      </w:r>
      <w:r>
        <w:rPr>
          <w:rFonts w:ascii="Arial" w:hAnsi="Arial" w:cs="Arial"/>
          <w:color w:val="000000"/>
          <w:sz w:val="24"/>
          <w:szCs w:val="24"/>
        </w:rPr>
        <w:t>m</w:t>
      </w:r>
      <w:r w:rsidRPr="00334D8D">
        <w:rPr>
          <w:rFonts w:ascii="Arial" w:hAnsi="Arial" w:cs="Arial"/>
          <w:color w:val="000000"/>
          <w:sz w:val="24"/>
          <w:szCs w:val="24"/>
        </w:rPr>
        <w:t xml:space="preserve">unicipality, </w:t>
      </w:r>
      <w:r>
        <w:rPr>
          <w:rFonts w:ascii="Arial" w:hAnsi="Arial" w:cs="Arial"/>
          <w:color w:val="000000"/>
          <w:sz w:val="24"/>
          <w:szCs w:val="24"/>
        </w:rPr>
        <w:t>was</w:t>
      </w:r>
      <w:r w:rsidRPr="00334D8D">
        <w:rPr>
          <w:rFonts w:ascii="Arial" w:hAnsi="Arial" w:cs="Arial"/>
          <w:color w:val="000000"/>
          <w:sz w:val="24"/>
          <w:szCs w:val="24"/>
        </w:rPr>
        <w:t xml:space="preserve"> ineffectual. NERSA </w:t>
      </w:r>
      <w:r w:rsidR="00993146">
        <w:rPr>
          <w:rFonts w:ascii="Arial" w:hAnsi="Arial" w:cs="Arial"/>
          <w:color w:val="000000"/>
          <w:sz w:val="24"/>
          <w:szCs w:val="24"/>
        </w:rPr>
        <w:t>contended</w:t>
      </w:r>
      <w:r>
        <w:rPr>
          <w:rFonts w:ascii="Arial" w:hAnsi="Arial" w:cs="Arial"/>
          <w:color w:val="000000"/>
          <w:sz w:val="24"/>
          <w:szCs w:val="24"/>
        </w:rPr>
        <w:t xml:space="preserve"> that it </w:t>
      </w:r>
      <w:r w:rsidRPr="00334D8D">
        <w:rPr>
          <w:rFonts w:ascii="Arial" w:hAnsi="Arial" w:cs="Arial"/>
          <w:color w:val="000000"/>
          <w:sz w:val="24"/>
          <w:szCs w:val="24"/>
        </w:rPr>
        <w:t xml:space="preserve">sourced the information from the Municipality specifically to determine cost reflective tariffs as the </w:t>
      </w:r>
      <w:r>
        <w:rPr>
          <w:rFonts w:ascii="Arial" w:hAnsi="Arial" w:cs="Arial"/>
          <w:color w:val="000000"/>
          <w:sz w:val="24"/>
          <w:szCs w:val="24"/>
        </w:rPr>
        <w:t>cost of supply</w:t>
      </w:r>
      <w:r w:rsidRPr="00334D8D">
        <w:rPr>
          <w:rFonts w:ascii="Arial" w:hAnsi="Arial" w:cs="Arial"/>
          <w:color w:val="000000"/>
          <w:sz w:val="24"/>
          <w:szCs w:val="24"/>
        </w:rPr>
        <w:t xml:space="preserve"> study of the Municipality was found to be insufficient.</w:t>
      </w:r>
    </w:p>
    <w:p w:rsidR="00CA1EA8" w:rsidRPr="00334D8D" w:rsidRDefault="00CA1EA8"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[61</w:t>
      </w:r>
      <w:r w:rsidR="00C41BBC">
        <w:rPr>
          <w:rFonts w:ascii="Arial" w:hAnsi="Arial" w:cs="Arial"/>
          <w:color w:val="000000"/>
          <w:sz w:val="24"/>
          <w:szCs w:val="24"/>
        </w:rPr>
        <w:t>]</w:t>
      </w:r>
      <w:r w:rsidR="00C41BBC">
        <w:rPr>
          <w:rFonts w:ascii="Arial" w:hAnsi="Arial" w:cs="Arial"/>
          <w:color w:val="000000"/>
          <w:sz w:val="24"/>
          <w:szCs w:val="24"/>
        </w:rPr>
        <w:tab/>
        <w:t>In response to the A</w:t>
      </w:r>
      <w:r w:rsidR="00C41BBC" w:rsidRPr="00334D8D">
        <w:rPr>
          <w:rFonts w:ascii="Arial" w:hAnsi="Arial" w:cs="Arial"/>
          <w:color w:val="000000"/>
          <w:sz w:val="24"/>
          <w:szCs w:val="24"/>
        </w:rPr>
        <w:t>pplicants</w:t>
      </w:r>
      <w:r w:rsidR="00C41BBC">
        <w:rPr>
          <w:rFonts w:ascii="Arial" w:hAnsi="Arial" w:cs="Arial"/>
          <w:color w:val="000000"/>
          <w:sz w:val="24"/>
          <w:szCs w:val="24"/>
        </w:rPr>
        <w:t>’ argument</w:t>
      </w:r>
      <w:r w:rsidR="00C41BBC" w:rsidRPr="00334D8D">
        <w:rPr>
          <w:rFonts w:ascii="Arial" w:hAnsi="Arial" w:cs="Arial"/>
          <w:color w:val="000000"/>
          <w:sz w:val="24"/>
          <w:szCs w:val="24"/>
        </w:rPr>
        <w:t xml:space="preserve"> that the methodology</w:t>
      </w:r>
      <w:r w:rsidR="00C41BBC">
        <w:rPr>
          <w:rFonts w:ascii="Arial" w:hAnsi="Arial" w:cs="Arial"/>
          <w:color w:val="000000"/>
          <w:sz w:val="24"/>
          <w:szCs w:val="24"/>
        </w:rPr>
        <w:t xml:space="preserve"> that NERSA used when setting the City Power tariffs did </w:t>
      </w:r>
      <w:r w:rsidR="00C41BBC" w:rsidRPr="00334D8D">
        <w:rPr>
          <w:rFonts w:ascii="Arial" w:hAnsi="Arial" w:cs="Arial"/>
          <w:color w:val="000000"/>
          <w:sz w:val="24"/>
          <w:szCs w:val="24"/>
        </w:rPr>
        <w:t>not enable the Municipality to: be efficient; prescribe incentives for continued development; provide end users with information regarding cost of consumption; and avoid undue discrimination amongst customer category</w:t>
      </w:r>
      <w:r w:rsidR="00C41BBC">
        <w:rPr>
          <w:rFonts w:ascii="Arial" w:hAnsi="Arial" w:cs="Arial"/>
          <w:color w:val="000000"/>
          <w:sz w:val="24"/>
          <w:szCs w:val="24"/>
        </w:rPr>
        <w:t xml:space="preserve">, NERSA’s submission </w:t>
      </w:r>
      <w:r w:rsidR="00993146">
        <w:rPr>
          <w:rFonts w:ascii="Arial" w:hAnsi="Arial" w:cs="Arial"/>
          <w:color w:val="000000"/>
          <w:sz w:val="24"/>
          <w:szCs w:val="24"/>
        </w:rPr>
        <w:t>was</w:t>
      </w:r>
      <w:r w:rsidR="00C41BBC">
        <w:rPr>
          <w:rFonts w:ascii="Arial" w:hAnsi="Arial" w:cs="Arial"/>
          <w:color w:val="000000"/>
          <w:sz w:val="24"/>
          <w:szCs w:val="24"/>
        </w:rPr>
        <w:t xml:space="preserve"> that the Applicants incorrectly interpreted the provisions of section 15(1) of the ERA</w:t>
      </w:r>
      <w:r w:rsidR="00C41BBC" w:rsidRPr="00334D8D">
        <w:rPr>
          <w:rFonts w:ascii="Arial" w:hAnsi="Arial" w:cs="Arial"/>
          <w:color w:val="000000"/>
          <w:sz w:val="24"/>
          <w:szCs w:val="24"/>
        </w:rPr>
        <w:t>.</w:t>
      </w:r>
      <w:r w:rsidR="00C41BBC">
        <w:rPr>
          <w:rFonts w:ascii="Arial" w:hAnsi="Arial" w:cs="Arial"/>
          <w:color w:val="000000"/>
          <w:sz w:val="24"/>
          <w:szCs w:val="24"/>
        </w:rPr>
        <w:t xml:space="preserve"> According to NERSA, </w:t>
      </w:r>
      <w:r w:rsidR="00C41BBC" w:rsidRPr="00334D8D">
        <w:rPr>
          <w:rFonts w:ascii="Arial" w:hAnsi="Arial" w:cs="Arial"/>
          <w:color w:val="000000"/>
          <w:sz w:val="24"/>
          <w:szCs w:val="24"/>
        </w:rPr>
        <w:t xml:space="preserve">the method </w:t>
      </w:r>
      <w:r w:rsidR="00C41BBC">
        <w:rPr>
          <w:rFonts w:ascii="Arial" w:hAnsi="Arial" w:cs="Arial"/>
          <w:color w:val="000000"/>
          <w:sz w:val="24"/>
          <w:szCs w:val="24"/>
        </w:rPr>
        <w:t xml:space="preserve">it </w:t>
      </w:r>
      <w:r w:rsidR="00C41BBC" w:rsidRPr="00334D8D">
        <w:rPr>
          <w:rFonts w:ascii="Arial" w:hAnsi="Arial" w:cs="Arial"/>
          <w:color w:val="000000"/>
          <w:sz w:val="24"/>
          <w:szCs w:val="24"/>
        </w:rPr>
        <w:t>used in this case</w:t>
      </w:r>
      <w:r w:rsidR="00C41BBC">
        <w:rPr>
          <w:rFonts w:ascii="Arial" w:hAnsi="Arial" w:cs="Arial"/>
          <w:color w:val="000000"/>
          <w:sz w:val="24"/>
          <w:szCs w:val="24"/>
        </w:rPr>
        <w:t>,</w:t>
      </w:r>
      <w:r w:rsidR="00C41BBC" w:rsidRPr="00334D8D">
        <w:rPr>
          <w:rFonts w:ascii="Arial" w:hAnsi="Arial" w:cs="Arial"/>
          <w:color w:val="000000"/>
          <w:sz w:val="24"/>
          <w:szCs w:val="24"/>
        </w:rPr>
        <w:t xml:space="preserve"> albeit</w:t>
      </w:r>
      <w:r w:rsidR="00C41BBC">
        <w:rPr>
          <w:rFonts w:ascii="Arial" w:hAnsi="Arial" w:cs="Arial"/>
          <w:color w:val="000000"/>
          <w:sz w:val="24"/>
          <w:szCs w:val="24"/>
        </w:rPr>
        <w:t>,</w:t>
      </w:r>
      <w:r w:rsidR="00C41BBC" w:rsidRPr="00334D8D">
        <w:rPr>
          <w:rFonts w:ascii="Arial" w:hAnsi="Arial" w:cs="Arial"/>
          <w:color w:val="000000"/>
          <w:sz w:val="24"/>
          <w:szCs w:val="24"/>
        </w:rPr>
        <w:t xml:space="preserve"> </w:t>
      </w:r>
      <w:r w:rsidR="00C41BBC">
        <w:rPr>
          <w:rFonts w:ascii="Arial" w:hAnsi="Arial" w:cs="Arial"/>
          <w:color w:val="000000"/>
          <w:sz w:val="24"/>
          <w:szCs w:val="24"/>
        </w:rPr>
        <w:t xml:space="preserve">the </w:t>
      </w:r>
      <w:r w:rsidR="00C41BBC" w:rsidRPr="00334D8D">
        <w:rPr>
          <w:rFonts w:ascii="Arial" w:hAnsi="Arial" w:cs="Arial"/>
          <w:color w:val="000000"/>
          <w:sz w:val="24"/>
          <w:szCs w:val="24"/>
        </w:rPr>
        <w:t>benchmark methodology</w:t>
      </w:r>
      <w:r w:rsidR="00C41BBC">
        <w:rPr>
          <w:rFonts w:ascii="Arial" w:hAnsi="Arial" w:cs="Arial"/>
          <w:color w:val="000000"/>
          <w:sz w:val="24"/>
          <w:szCs w:val="24"/>
        </w:rPr>
        <w:t>,</w:t>
      </w:r>
      <w:r w:rsidR="00C41BBC" w:rsidRPr="00334D8D">
        <w:rPr>
          <w:rFonts w:ascii="Arial" w:hAnsi="Arial" w:cs="Arial"/>
          <w:color w:val="000000"/>
          <w:sz w:val="24"/>
          <w:szCs w:val="24"/>
        </w:rPr>
        <w:t xml:space="preserve"> took cognisance of the individual cost of supply of the Municipality. Therefore, the fact that the methodology </w:t>
      </w:r>
      <w:r w:rsidR="00C41BBC">
        <w:rPr>
          <w:rFonts w:ascii="Arial" w:hAnsi="Arial" w:cs="Arial"/>
          <w:color w:val="000000"/>
          <w:sz w:val="24"/>
          <w:szCs w:val="24"/>
        </w:rPr>
        <w:t>was</w:t>
      </w:r>
      <w:r w:rsidR="00C41BBC" w:rsidRPr="00334D8D">
        <w:rPr>
          <w:rFonts w:ascii="Arial" w:hAnsi="Arial" w:cs="Arial"/>
          <w:color w:val="000000"/>
          <w:sz w:val="24"/>
          <w:szCs w:val="24"/>
        </w:rPr>
        <w:t xml:space="preserve"> referred to as </w:t>
      </w:r>
      <w:r w:rsidR="00DA6111">
        <w:rPr>
          <w:rFonts w:ascii="Arial" w:hAnsi="Arial" w:cs="Arial"/>
          <w:color w:val="000000"/>
          <w:sz w:val="24"/>
          <w:szCs w:val="24"/>
        </w:rPr>
        <w:t xml:space="preserve">a </w:t>
      </w:r>
      <w:r w:rsidR="00C41BBC" w:rsidRPr="00334D8D">
        <w:rPr>
          <w:rFonts w:ascii="Arial" w:hAnsi="Arial" w:cs="Arial"/>
          <w:color w:val="000000"/>
          <w:sz w:val="24"/>
          <w:szCs w:val="24"/>
        </w:rPr>
        <w:t xml:space="preserve">benchmark </w:t>
      </w:r>
      <w:r w:rsidR="00C41BBC">
        <w:rPr>
          <w:rFonts w:ascii="Arial" w:hAnsi="Arial" w:cs="Arial"/>
          <w:color w:val="000000"/>
          <w:sz w:val="24"/>
          <w:szCs w:val="24"/>
        </w:rPr>
        <w:t>did</w:t>
      </w:r>
      <w:r w:rsidR="00C41BBC" w:rsidRPr="00334D8D">
        <w:rPr>
          <w:rFonts w:ascii="Arial" w:hAnsi="Arial" w:cs="Arial"/>
          <w:color w:val="000000"/>
          <w:sz w:val="24"/>
          <w:szCs w:val="24"/>
        </w:rPr>
        <w:t xml:space="preserve"> not mean that it </w:t>
      </w:r>
      <w:r w:rsidR="00C41BBC">
        <w:rPr>
          <w:rFonts w:ascii="Arial" w:hAnsi="Arial" w:cs="Arial"/>
          <w:color w:val="000000"/>
          <w:sz w:val="24"/>
          <w:szCs w:val="24"/>
        </w:rPr>
        <w:t>was</w:t>
      </w:r>
      <w:r w:rsidR="00C41BBC" w:rsidRPr="00334D8D">
        <w:rPr>
          <w:rFonts w:ascii="Arial" w:hAnsi="Arial" w:cs="Arial"/>
          <w:color w:val="000000"/>
          <w:sz w:val="24"/>
          <w:szCs w:val="24"/>
        </w:rPr>
        <w:t xml:space="preserve"> not capable of sourcing relevant information for the purpose of determining whether it covered costs and a reasonable margin or return. In fact, the ERA </w:t>
      </w:r>
      <w:r w:rsidR="00C41BBC">
        <w:rPr>
          <w:rFonts w:ascii="Arial" w:hAnsi="Arial" w:cs="Arial"/>
          <w:color w:val="000000"/>
          <w:sz w:val="24"/>
          <w:szCs w:val="24"/>
        </w:rPr>
        <w:t>conferred</w:t>
      </w:r>
      <w:r w:rsidR="00C41BBC" w:rsidRPr="00334D8D">
        <w:rPr>
          <w:rFonts w:ascii="Arial" w:hAnsi="Arial" w:cs="Arial"/>
          <w:color w:val="000000"/>
          <w:sz w:val="24"/>
          <w:szCs w:val="24"/>
        </w:rPr>
        <w:t xml:space="preserve"> powers on NERSA to seek any information from the Municipality to determine the tariff</w:t>
      </w:r>
      <w:r w:rsidR="00C41BBC">
        <w:rPr>
          <w:rFonts w:ascii="Arial" w:hAnsi="Arial" w:cs="Arial"/>
          <w:color w:val="000000"/>
          <w:sz w:val="24"/>
          <w:szCs w:val="24"/>
        </w:rPr>
        <w:t>s in question</w:t>
      </w:r>
      <w:r w:rsidR="00C41BBC" w:rsidRPr="00334D8D">
        <w:rPr>
          <w:rFonts w:ascii="Arial" w:hAnsi="Arial" w:cs="Arial"/>
          <w:color w:val="000000"/>
          <w:sz w:val="24"/>
          <w:szCs w:val="24"/>
        </w:rPr>
        <w:t>.</w:t>
      </w:r>
    </w:p>
    <w:p w:rsidR="00DA6111" w:rsidRPr="00334D8D" w:rsidRDefault="00DA6111" w:rsidP="00FF0AC8">
      <w:pPr>
        <w:spacing w:after="0" w:line="360" w:lineRule="auto"/>
        <w:jc w:val="both"/>
        <w:rPr>
          <w:rFonts w:ascii="Arial" w:hAnsi="Arial" w:cs="Arial"/>
          <w:color w:val="000000"/>
          <w:sz w:val="24"/>
          <w:szCs w:val="24"/>
        </w:rPr>
      </w:pPr>
    </w:p>
    <w:p w:rsidR="00C41BBC" w:rsidRDefault="005D086E" w:rsidP="00FF0AC8">
      <w:pPr>
        <w:spacing w:after="0" w:line="360" w:lineRule="auto"/>
        <w:jc w:val="both"/>
        <w:rPr>
          <w:rFonts w:ascii="Arial" w:hAnsi="Arial" w:cs="Arial"/>
          <w:color w:val="000000"/>
          <w:sz w:val="24"/>
          <w:szCs w:val="24"/>
        </w:rPr>
      </w:pPr>
      <w:r>
        <w:rPr>
          <w:rFonts w:ascii="Arial" w:hAnsi="Arial" w:cs="Arial"/>
          <w:color w:val="000000"/>
          <w:sz w:val="24"/>
          <w:szCs w:val="24"/>
        </w:rPr>
        <w:t>[6</w:t>
      </w:r>
      <w:r w:rsidR="001D3E9F">
        <w:rPr>
          <w:rFonts w:ascii="Arial" w:hAnsi="Arial" w:cs="Arial"/>
          <w:color w:val="000000"/>
          <w:sz w:val="24"/>
          <w:szCs w:val="24"/>
        </w:rPr>
        <w:t>2</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Second</w:t>
      </w:r>
      <w:r w:rsidR="00C41BBC">
        <w:rPr>
          <w:rFonts w:ascii="Arial" w:hAnsi="Arial" w:cs="Arial"/>
          <w:color w:val="000000"/>
          <w:sz w:val="24"/>
          <w:szCs w:val="24"/>
        </w:rPr>
        <w:t>ly</w:t>
      </w:r>
      <w:r w:rsidR="00C41BBC" w:rsidRPr="00334D8D">
        <w:rPr>
          <w:rFonts w:ascii="Arial" w:hAnsi="Arial" w:cs="Arial"/>
          <w:color w:val="000000"/>
          <w:sz w:val="24"/>
          <w:szCs w:val="24"/>
        </w:rPr>
        <w:t xml:space="preserve">, </w:t>
      </w:r>
      <w:r w:rsidR="0005429B">
        <w:rPr>
          <w:rFonts w:ascii="Arial" w:hAnsi="Arial" w:cs="Arial"/>
          <w:color w:val="000000"/>
          <w:sz w:val="24"/>
          <w:szCs w:val="24"/>
        </w:rPr>
        <w:t xml:space="preserve">as NERSA argued, </w:t>
      </w:r>
      <w:r w:rsidR="00C41BBC" w:rsidRPr="00334D8D">
        <w:rPr>
          <w:rFonts w:ascii="Arial" w:hAnsi="Arial" w:cs="Arial"/>
          <w:color w:val="000000"/>
          <w:sz w:val="24"/>
          <w:szCs w:val="24"/>
        </w:rPr>
        <w:t xml:space="preserve">the </w:t>
      </w:r>
      <w:r w:rsidR="00C41BBC">
        <w:rPr>
          <w:rFonts w:ascii="Arial" w:hAnsi="Arial" w:cs="Arial"/>
          <w:color w:val="000000"/>
          <w:sz w:val="24"/>
          <w:szCs w:val="24"/>
        </w:rPr>
        <w:t>A</w:t>
      </w:r>
      <w:r w:rsidR="00C41BBC" w:rsidRPr="00334D8D">
        <w:rPr>
          <w:rFonts w:ascii="Arial" w:hAnsi="Arial" w:cs="Arial"/>
          <w:color w:val="000000"/>
          <w:sz w:val="24"/>
          <w:szCs w:val="24"/>
        </w:rPr>
        <w:t>pplicants incorrectly state</w:t>
      </w:r>
      <w:r w:rsidR="00993146">
        <w:rPr>
          <w:rFonts w:ascii="Arial" w:hAnsi="Arial" w:cs="Arial"/>
          <w:color w:val="000000"/>
          <w:sz w:val="24"/>
          <w:szCs w:val="24"/>
        </w:rPr>
        <w:t>d</w:t>
      </w:r>
      <w:r w:rsidR="00C41BBC" w:rsidRPr="00334D8D">
        <w:rPr>
          <w:rFonts w:ascii="Arial" w:hAnsi="Arial" w:cs="Arial"/>
          <w:color w:val="000000"/>
          <w:sz w:val="24"/>
          <w:szCs w:val="24"/>
        </w:rPr>
        <w:t xml:space="preserve"> that the Municipality provided no independently verified or reliable cost information to NERSA in respect of the impugned decision and </w:t>
      </w:r>
      <w:r w:rsidR="00C41BBC">
        <w:rPr>
          <w:rFonts w:ascii="Arial" w:hAnsi="Arial" w:cs="Arial"/>
          <w:color w:val="000000"/>
          <w:sz w:val="24"/>
          <w:szCs w:val="24"/>
        </w:rPr>
        <w:t xml:space="preserve">that </w:t>
      </w:r>
      <w:r w:rsidR="00C41BBC" w:rsidRPr="00334D8D">
        <w:rPr>
          <w:rFonts w:ascii="Arial" w:hAnsi="Arial" w:cs="Arial"/>
          <w:color w:val="000000"/>
          <w:sz w:val="24"/>
          <w:szCs w:val="24"/>
        </w:rPr>
        <w:t xml:space="preserve">NERSA took no steps to establish the actual costs of supplying electricity within </w:t>
      </w:r>
      <w:r w:rsidR="00C41BBC">
        <w:rPr>
          <w:rFonts w:ascii="Arial" w:hAnsi="Arial" w:cs="Arial"/>
          <w:color w:val="000000"/>
          <w:sz w:val="24"/>
          <w:szCs w:val="24"/>
        </w:rPr>
        <w:t xml:space="preserve">the City of </w:t>
      </w:r>
      <w:r w:rsidR="00C41BBC" w:rsidRPr="00334D8D">
        <w:rPr>
          <w:rFonts w:ascii="Arial" w:hAnsi="Arial" w:cs="Arial"/>
          <w:color w:val="000000"/>
          <w:sz w:val="24"/>
          <w:szCs w:val="24"/>
        </w:rPr>
        <w:t>Johannesburg.</w:t>
      </w:r>
    </w:p>
    <w:p w:rsidR="00D44665" w:rsidRDefault="00D44665" w:rsidP="00FF0AC8">
      <w:pPr>
        <w:spacing w:after="0" w:line="360" w:lineRule="auto"/>
        <w:jc w:val="both"/>
        <w:rPr>
          <w:rFonts w:ascii="Arial" w:hAnsi="Arial" w:cs="Arial"/>
          <w:color w:val="000000"/>
          <w:sz w:val="24"/>
          <w:szCs w:val="24"/>
        </w:rPr>
      </w:pPr>
    </w:p>
    <w:p w:rsidR="00F86AC0" w:rsidRDefault="00F86AC0" w:rsidP="00FF0AC8">
      <w:pPr>
        <w:spacing w:after="0" w:line="360" w:lineRule="auto"/>
        <w:jc w:val="both"/>
        <w:rPr>
          <w:rFonts w:ascii="Arial" w:hAnsi="Arial" w:cs="Arial"/>
          <w:color w:val="000000"/>
          <w:sz w:val="24"/>
          <w:szCs w:val="24"/>
        </w:rPr>
      </w:pPr>
    </w:p>
    <w:p w:rsidR="005D086E" w:rsidRDefault="005D086E" w:rsidP="00917D2E">
      <w:pPr>
        <w:spacing w:line="360" w:lineRule="auto"/>
        <w:jc w:val="both"/>
        <w:rPr>
          <w:rFonts w:ascii="Arial" w:hAnsi="Arial" w:cs="Arial"/>
          <w:color w:val="000000"/>
          <w:sz w:val="24"/>
          <w:szCs w:val="24"/>
        </w:rPr>
      </w:pPr>
      <w:r>
        <w:rPr>
          <w:rFonts w:ascii="Arial" w:hAnsi="Arial" w:cs="Arial"/>
          <w:color w:val="000000"/>
          <w:sz w:val="24"/>
          <w:szCs w:val="24"/>
        </w:rPr>
        <w:lastRenderedPageBreak/>
        <w:tab/>
        <w:t>City Power</w:t>
      </w:r>
    </w:p>
    <w:p w:rsidR="005D086E" w:rsidRDefault="001D3E9F" w:rsidP="00FF0AC8">
      <w:pPr>
        <w:spacing w:after="0" w:line="360" w:lineRule="auto"/>
        <w:jc w:val="both"/>
        <w:rPr>
          <w:rFonts w:ascii="Arial" w:hAnsi="Arial" w:cs="Arial"/>
          <w:sz w:val="24"/>
          <w:szCs w:val="24"/>
        </w:rPr>
      </w:pPr>
      <w:r>
        <w:rPr>
          <w:rFonts w:ascii="Arial" w:hAnsi="Arial" w:cs="Arial"/>
          <w:sz w:val="24"/>
          <w:szCs w:val="24"/>
        </w:rPr>
        <w:t>[63</w:t>
      </w:r>
      <w:r w:rsidR="005D086E">
        <w:rPr>
          <w:rFonts w:ascii="Arial" w:hAnsi="Arial" w:cs="Arial"/>
          <w:sz w:val="24"/>
          <w:szCs w:val="24"/>
        </w:rPr>
        <w:t>]</w:t>
      </w:r>
      <w:r w:rsidR="005D086E">
        <w:rPr>
          <w:rFonts w:ascii="Arial" w:hAnsi="Arial" w:cs="Arial"/>
          <w:sz w:val="24"/>
          <w:szCs w:val="24"/>
        </w:rPr>
        <w:tab/>
        <w:t xml:space="preserve">Before this Court, City Power argued three points in opposition to the arguments raised by the Applicants in this Court. </w:t>
      </w:r>
    </w:p>
    <w:p w:rsidR="002250B8" w:rsidRDefault="002250B8" w:rsidP="00FF0AC8">
      <w:pPr>
        <w:spacing w:after="0" w:line="360" w:lineRule="auto"/>
        <w:jc w:val="both"/>
        <w:rPr>
          <w:rFonts w:ascii="Arial" w:hAnsi="Arial" w:cs="Arial"/>
          <w:sz w:val="24"/>
          <w:szCs w:val="24"/>
        </w:rPr>
      </w:pPr>
    </w:p>
    <w:p w:rsidR="005D086E" w:rsidRDefault="001D3E9F" w:rsidP="00FF0AC8">
      <w:pPr>
        <w:spacing w:after="0" w:line="360" w:lineRule="auto"/>
        <w:jc w:val="both"/>
        <w:rPr>
          <w:rFonts w:ascii="Arial" w:hAnsi="Arial" w:cs="Arial"/>
          <w:sz w:val="24"/>
          <w:szCs w:val="24"/>
        </w:rPr>
      </w:pPr>
      <w:r>
        <w:rPr>
          <w:rFonts w:ascii="Arial" w:hAnsi="Arial" w:cs="Arial"/>
          <w:sz w:val="24"/>
          <w:szCs w:val="24"/>
        </w:rPr>
        <w:t>[64</w:t>
      </w:r>
      <w:r w:rsidR="005D086E">
        <w:rPr>
          <w:rFonts w:ascii="Arial" w:hAnsi="Arial" w:cs="Arial"/>
          <w:sz w:val="24"/>
          <w:szCs w:val="24"/>
        </w:rPr>
        <w:t>]</w:t>
      </w:r>
      <w:r w:rsidR="005D086E">
        <w:rPr>
          <w:rFonts w:ascii="Arial" w:hAnsi="Arial" w:cs="Arial"/>
          <w:sz w:val="24"/>
          <w:szCs w:val="24"/>
        </w:rPr>
        <w:tab/>
        <w:t>The first point was that of the Applicants’ contention that the impugned decision produced City Power tariffs that were 43% higher than the other municipalities. The second point was in respect of the contention that the Applicants attacked the wrong decision, which has already been dealt with</w:t>
      </w:r>
      <w:r w:rsidR="006A1718">
        <w:rPr>
          <w:rFonts w:ascii="Arial" w:hAnsi="Arial" w:cs="Arial"/>
          <w:sz w:val="24"/>
          <w:szCs w:val="24"/>
        </w:rPr>
        <w:t xml:space="preserve"> earlier</w:t>
      </w:r>
      <w:r w:rsidR="005D086E">
        <w:rPr>
          <w:rFonts w:ascii="Arial" w:hAnsi="Arial" w:cs="Arial"/>
          <w:sz w:val="24"/>
          <w:szCs w:val="24"/>
        </w:rPr>
        <w:t xml:space="preserve">. </w:t>
      </w:r>
      <w:r w:rsidR="00F968EC">
        <w:rPr>
          <w:rFonts w:ascii="Arial" w:hAnsi="Arial" w:cs="Arial"/>
          <w:sz w:val="24"/>
          <w:szCs w:val="24"/>
        </w:rPr>
        <w:t>T</w:t>
      </w:r>
      <w:r w:rsidR="005D086E">
        <w:rPr>
          <w:rFonts w:ascii="Arial" w:hAnsi="Arial" w:cs="Arial"/>
          <w:sz w:val="24"/>
          <w:szCs w:val="24"/>
        </w:rPr>
        <w:t xml:space="preserve">he last point was that argued by the Applicants that NERSA misapplied the methodology. </w:t>
      </w:r>
    </w:p>
    <w:p w:rsidR="006A1718" w:rsidRDefault="006A1718" w:rsidP="00FF0AC8">
      <w:pPr>
        <w:spacing w:after="0" w:line="360" w:lineRule="auto"/>
        <w:jc w:val="both"/>
        <w:rPr>
          <w:rFonts w:ascii="Arial" w:hAnsi="Arial" w:cs="Arial"/>
          <w:sz w:val="24"/>
          <w:szCs w:val="24"/>
        </w:rPr>
      </w:pPr>
    </w:p>
    <w:p w:rsidR="005D086E" w:rsidRDefault="001D3E9F" w:rsidP="00FF0AC8">
      <w:pPr>
        <w:spacing w:after="0" w:line="360" w:lineRule="auto"/>
        <w:jc w:val="both"/>
        <w:rPr>
          <w:rFonts w:ascii="Arial" w:hAnsi="Arial" w:cs="Arial"/>
          <w:sz w:val="24"/>
          <w:szCs w:val="24"/>
        </w:rPr>
      </w:pPr>
      <w:r>
        <w:rPr>
          <w:rFonts w:ascii="Arial" w:hAnsi="Arial" w:cs="Arial"/>
          <w:sz w:val="24"/>
          <w:szCs w:val="24"/>
        </w:rPr>
        <w:t>[65</w:t>
      </w:r>
      <w:r w:rsidR="005D086E">
        <w:rPr>
          <w:rFonts w:ascii="Arial" w:hAnsi="Arial" w:cs="Arial"/>
          <w:sz w:val="24"/>
          <w:szCs w:val="24"/>
        </w:rPr>
        <w:t>]</w:t>
      </w:r>
      <w:r w:rsidR="005D086E">
        <w:rPr>
          <w:rFonts w:ascii="Arial" w:hAnsi="Arial" w:cs="Arial"/>
          <w:sz w:val="24"/>
          <w:szCs w:val="24"/>
        </w:rPr>
        <w:tab/>
        <w:t xml:space="preserve">As regards the grounds of review raised by the Applicants, City Power submitted that the first ground of review, that of unlawfulness, and the second ground of review, that of the failure to consider relevant considerations and considering irrelevant considerations, </w:t>
      </w:r>
      <w:r w:rsidR="005D086E" w:rsidRPr="00DE151B">
        <w:rPr>
          <w:rFonts w:ascii="Arial" w:hAnsi="Arial" w:cs="Arial"/>
          <w:sz w:val="24"/>
          <w:szCs w:val="24"/>
        </w:rPr>
        <w:t>were hit by the wrong challenge</w:t>
      </w:r>
      <w:r w:rsidR="005D086E">
        <w:rPr>
          <w:rFonts w:ascii="Arial" w:hAnsi="Arial" w:cs="Arial"/>
          <w:sz w:val="24"/>
          <w:szCs w:val="24"/>
        </w:rPr>
        <w:t xml:space="preserve"> point and required no further elaboration. The only ground of review that </w:t>
      </w:r>
      <w:r w:rsidR="00C511CE">
        <w:rPr>
          <w:rFonts w:ascii="Arial" w:hAnsi="Arial" w:cs="Arial"/>
          <w:sz w:val="24"/>
          <w:szCs w:val="24"/>
        </w:rPr>
        <w:t>remained</w:t>
      </w:r>
      <w:r w:rsidR="005D086E">
        <w:rPr>
          <w:rFonts w:ascii="Arial" w:hAnsi="Arial" w:cs="Arial"/>
          <w:sz w:val="24"/>
          <w:szCs w:val="24"/>
        </w:rPr>
        <w:t xml:space="preserve"> was partly addressed by NERSA’s counsel, and City Power wanted to make some additions to it, that is, the point that, NERSA misapplied the methodology. </w:t>
      </w:r>
    </w:p>
    <w:p w:rsidR="00C511CE" w:rsidRDefault="00C511CE" w:rsidP="00FF0AC8">
      <w:pPr>
        <w:spacing w:after="0" w:line="360" w:lineRule="auto"/>
        <w:jc w:val="both"/>
        <w:rPr>
          <w:rFonts w:ascii="Arial" w:hAnsi="Arial" w:cs="Arial"/>
          <w:sz w:val="24"/>
          <w:szCs w:val="24"/>
        </w:rPr>
      </w:pPr>
    </w:p>
    <w:p w:rsidR="005D086E" w:rsidRDefault="001D3E9F" w:rsidP="00FF0AC8">
      <w:pPr>
        <w:spacing w:after="0" w:line="360" w:lineRule="auto"/>
        <w:jc w:val="both"/>
        <w:rPr>
          <w:rFonts w:ascii="Arial" w:hAnsi="Arial" w:cs="Arial"/>
          <w:sz w:val="24"/>
          <w:szCs w:val="24"/>
        </w:rPr>
      </w:pPr>
      <w:r>
        <w:rPr>
          <w:rFonts w:ascii="Arial" w:hAnsi="Arial" w:cs="Arial"/>
          <w:sz w:val="24"/>
          <w:szCs w:val="24"/>
        </w:rPr>
        <w:t>[66</w:t>
      </w:r>
      <w:r w:rsidR="005D086E">
        <w:rPr>
          <w:rFonts w:ascii="Arial" w:hAnsi="Arial" w:cs="Arial"/>
          <w:sz w:val="24"/>
          <w:szCs w:val="24"/>
        </w:rPr>
        <w:t>]</w:t>
      </w:r>
      <w:r w:rsidR="005D086E">
        <w:rPr>
          <w:rFonts w:ascii="Arial" w:hAnsi="Arial" w:cs="Arial"/>
          <w:sz w:val="24"/>
          <w:szCs w:val="24"/>
        </w:rPr>
        <w:tab/>
        <w:t xml:space="preserve">City Power’s argument in this regard was that the wrong benchmark approach, as contended for by the Applicants, was not applied to all City Power tariffs. The method, as specifically argued by the Applicants, was wrongly applied to the business conventional tariffs and the industrial medium voltage TOU tariffs. In support of its argument, City Power, referred to a </w:t>
      </w:r>
      <w:r w:rsidR="005D086E" w:rsidRPr="000A61B8">
        <w:rPr>
          <w:rFonts w:ascii="Arial" w:hAnsi="Arial" w:cs="Arial"/>
          <w:sz w:val="24"/>
          <w:szCs w:val="24"/>
        </w:rPr>
        <w:t xml:space="preserve">judgment in </w:t>
      </w:r>
      <w:r w:rsidR="005D086E" w:rsidRPr="00BA6E0C">
        <w:rPr>
          <w:rFonts w:ascii="Arial" w:hAnsi="Arial" w:cs="Arial"/>
          <w:i/>
          <w:color w:val="000000"/>
          <w:sz w:val="24"/>
          <w:szCs w:val="24"/>
        </w:rPr>
        <w:t>Retail Motor Industry Organisation</w:t>
      </w:r>
      <w:r w:rsidR="005D086E">
        <w:rPr>
          <w:rFonts w:ascii="Arial" w:hAnsi="Arial" w:cs="Arial"/>
          <w:i/>
          <w:color w:val="000000"/>
          <w:sz w:val="24"/>
          <w:szCs w:val="24"/>
        </w:rPr>
        <w:t>,</w:t>
      </w:r>
      <w:r w:rsidR="005D086E" w:rsidRPr="000A61B8">
        <w:rPr>
          <w:rStyle w:val="FootnoteReference"/>
          <w:rFonts w:ascii="Arial" w:hAnsi="Arial" w:cs="Arial"/>
          <w:color w:val="000000"/>
          <w:sz w:val="24"/>
          <w:szCs w:val="24"/>
        </w:rPr>
        <w:footnoteReference w:id="17"/>
      </w:r>
      <w:r w:rsidR="005D086E">
        <w:rPr>
          <w:rFonts w:ascii="Arial" w:hAnsi="Arial" w:cs="Arial"/>
          <w:i/>
          <w:color w:val="000000"/>
          <w:sz w:val="24"/>
          <w:szCs w:val="24"/>
        </w:rPr>
        <w:t xml:space="preserve"> </w:t>
      </w:r>
      <w:r w:rsidR="005D086E">
        <w:rPr>
          <w:rFonts w:ascii="Arial" w:hAnsi="Arial" w:cs="Arial"/>
          <w:color w:val="000000"/>
          <w:sz w:val="24"/>
          <w:szCs w:val="24"/>
        </w:rPr>
        <w:t xml:space="preserve">where </w:t>
      </w:r>
      <w:r w:rsidR="005D086E" w:rsidRPr="000A61B8">
        <w:rPr>
          <w:rFonts w:ascii="Arial" w:hAnsi="Arial" w:cs="Arial"/>
          <w:sz w:val="24"/>
          <w:szCs w:val="24"/>
        </w:rPr>
        <w:t>the Supreme Court of Appeal</w:t>
      </w:r>
      <w:r w:rsidR="005D086E">
        <w:rPr>
          <w:rFonts w:ascii="Arial" w:hAnsi="Arial" w:cs="Arial"/>
          <w:sz w:val="24"/>
          <w:szCs w:val="24"/>
        </w:rPr>
        <w:t xml:space="preserve">, </w:t>
      </w:r>
      <w:r w:rsidR="005D086E" w:rsidRPr="00BA6E0C">
        <w:rPr>
          <w:rFonts w:ascii="Arial" w:hAnsi="Arial" w:cs="Arial"/>
          <w:i/>
          <w:sz w:val="24"/>
          <w:szCs w:val="24"/>
        </w:rPr>
        <w:t>per</w:t>
      </w:r>
      <w:r w:rsidR="005D086E">
        <w:rPr>
          <w:rFonts w:ascii="Arial" w:hAnsi="Arial" w:cs="Arial"/>
          <w:sz w:val="24"/>
          <w:szCs w:val="24"/>
        </w:rPr>
        <w:t xml:space="preserve"> Justice Plasket, dealt with the question of what happens when a single decision has parts that are good and parts that are bad. That Court,</w:t>
      </w:r>
      <w:r w:rsidR="005D086E" w:rsidRPr="000A61B8">
        <w:rPr>
          <w:rFonts w:ascii="Arial" w:hAnsi="Arial" w:cs="Arial"/>
          <w:color w:val="000000"/>
          <w:sz w:val="24"/>
          <w:szCs w:val="24"/>
        </w:rPr>
        <w:t xml:space="preserve"> </w:t>
      </w:r>
      <w:r w:rsidR="005D086E">
        <w:rPr>
          <w:rFonts w:ascii="Arial" w:hAnsi="Arial" w:cs="Arial"/>
          <w:sz w:val="24"/>
          <w:szCs w:val="24"/>
        </w:rPr>
        <w:t xml:space="preserve">advocated for the </w:t>
      </w:r>
      <w:r w:rsidR="005D086E">
        <w:rPr>
          <w:rFonts w:ascii="Arial" w:hAnsi="Arial" w:cs="Arial"/>
          <w:sz w:val="24"/>
          <w:szCs w:val="24"/>
        </w:rPr>
        <w:lastRenderedPageBreak/>
        <w:t>fashioning of a remedy which only set aside the bad part and retaining the good part. On the basis of that judgment, City Power argued for the severance of the two tariffs that were</w:t>
      </w:r>
      <w:r w:rsidR="00EE129A">
        <w:rPr>
          <w:rFonts w:ascii="Arial" w:hAnsi="Arial" w:cs="Arial"/>
          <w:sz w:val="24"/>
          <w:szCs w:val="24"/>
        </w:rPr>
        <w:t xml:space="preserve"> adversely</w:t>
      </w:r>
      <w:r w:rsidR="005D086E">
        <w:rPr>
          <w:rFonts w:ascii="Arial" w:hAnsi="Arial" w:cs="Arial"/>
          <w:sz w:val="24"/>
          <w:szCs w:val="24"/>
        </w:rPr>
        <w:t xml:space="preserve"> affected, in this matter.</w:t>
      </w:r>
    </w:p>
    <w:p w:rsidR="00005FBD" w:rsidRDefault="00005FBD" w:rsidP="00FF0AC8">
      <w:pPr>
        <w:spacing w:after="0" w:line="360" w:lineRule="auto"/>
        <w:jc w:val="both"/>
        <w:rPr>
          <w:rFonts w:ascii="Arial" w:hAnsi="Arial" w:cs="Arial"/>
          <w:sz w:val="24"/>
          <w:szCs w:val="24"/>
        </w:rPr>
      </w:pPr>
    </w:p>
    <w:p w:rsidR="005D086E" w:rsidRDefault="001D3E9F" w:rsidP="00FF0AC8">
      <w:pPr>
        <w:spacing w:after="0" w:line="360" w:lineRule="auto"/>
        <w:jc w:val="both"/>
        <w:rPr>
          <w:rFonts w:ascii="Arial" w:hAnsi="Arial" w:cs="Arial"/>
          <w:sz w:val="24"/>
          <w:szCs w:val="24"/>
        </w:rPr>
      </w:pPr>
      <w:r>
        <w:rPr>
          <w:rFonts w:ascii="Arial" w:hAnsi="Arial" w:cs="Arial"/>
          <w:sz w:val="24"/>
          <w:szCs w:val="24"/>
        </w:rPr>
        <w:t>[67</w:t>
      </w:r>
      <w:r w:rsidR="005D086E">
        <w:rPr>
          <w:rFonts w:ascii="Arial" w:hAnsi="Arial" w:cs="Arial"/>
          <w:sz w:val="24"/>
          <w:szCs w:val="24"/>
        </w:rPr>
        <w:t>]</w:t>
      </w:r>
      <w:r w:rsidR="005D086E">
        <w:rPr>
          <w:rFonts w:ascii="Arial" w:hAnsi="Arial" w:cs="Arial"/>
          <w:sz w:val="24"/>
          <w:szCs w:val="24"/>
        </w:rPr>
        <w:tab/>
        <w:t>City Power’s proposition would have been appropriate only if the Applicants had raised it as the only ground of review. The order would, correctly so, be confined to the commercial and industrial tariffs. The challenge</w:t>
      </w:r>
      <w:r w:rsidR="00EE129A">
        <w:rPr>
          <w:rFonts w:ascii="Arial" w:hAnsi="Arial" w:cs="Arial"/>
          <w:sz w:val="24"/>
          <w:szCs w:val="24"/>
        </w:rPr>
        <w:t xml:space="preserve"> for City Power</w:t>
      </w:r>
      <w:r w:rsidR="005D086E">
        <w:rPr>
          <w:rFonts w:ascii="Arial" w:hAnsi="Arial" w:cs="Arial"/>
          <w:sz w:val="24"/>
          <w:szCs w:val="24"/>
        </w:rPr>
        <w:t>, however, is that there are other grounds of review the ruling of which</w:t>
      </w:r>
      <w:r w:rsidR="00EE129A">
        <w:rPr>
          <w:rFonts w:ascii="Arial" w:hAnsi="Arial" w:cs="Arial"/>
          <w:sz w:val="24"/>
          <w:szCs w:val="24"/>
        </w:rPr>
        <w:t xml:space="preserve">, as will appear clearly hereunder, </w:t>
      </w:r>
      <w:r w:rsidR="007422B2">
        <w:rPr>
          <w:rFonts w:ascii="Arial" w:hAnsi="Arial" w:cs="Arial"/>
          <w:sz w:val="24"/>
          <w:szCs w:val="24"/>
        </w:rPr>
        <w:t>are</w:t>
      </w:r>
      <w:r w:rsidR="00EE129A">
        <w:rPr>
          <w:rFonts w:ascii="Arial" w:hAnsi="Arial" w:cs="Arial"/>
          <w:sz w:val="24"/>
          <w:szCs w:val="24"/>
        </w:rPr>
        <w:t xml:space="preserve"> in favour of the Applicants.</w:t>
      </w:r>
      <w:r w:rsidR="005D086E">
        <w:rPr>
          <w:rFonts w:ascii="Arial" w:hAnsi="Arial" w:cs="Arial"/>
          <w:sz w:val="24"/>
          <w:szCs w:val="24"/>
        </w:rPr>
        <w:t xml:space="preserve"> Moreover, in view of the order that City Power has proposed, </w:t>
      </w:r>
      <w:r w:rsidR="00EE129A">
        <w:rPr>
          <w:rFonts w:ascii="Arial" w:hAnsi="Arial" w:cs="Arial"/>
          <w:sz w:val="24"/>
          <w:szCs w:val="24"/>
        </w:rPr>
        <w:t xml:space="preserve">as will appear hereunder, </w:t>
      </w:r>
      <w:r w:rsidR="005D086E">
        <w:rPr>
          <w:rFonts w:ascii="Arial" w:hAnsi="Arial" w:cs="Arial"/>
          <w:sz w:val="24"/>
          <w:szCs w:val="24"/>
        </w:rPr>
        <w:t>severance will not be necessary because the order makes it clear that it is only the Applicants who will have any claim to the benefit of the adjusted tariffs</w:t>
      </w:r>
      <w:r w:rsidR="007422B2">
        <w:rPr>
          <w:rFonts w:ascii="Arial" w:hAnsi="Arial" w:cs="Arial"/>
          <w:sz w:val="24"/>
          <w:szCs w:val="24"/>
        </w:rPr>
        <w:t>, and residential tariffs will not be affected</w:t>
      </w:r>
      <w:r w:rsidR="005D086E">
        <w:rPr>
          <w:rFonts w:ascii="Arial" w:hAnsi="Arial" w:cs="Arial"/>
          <w:sz w:val="24"/>
          <w:szCs w:val="24"/>
        </w:rPr>
        <w:t>.</w:t>
      </w:r>
    </w:p>
    <w:p w:rsidR="00005FBD" w:rsidRDefault="00005FBD" w:rsidP="00FF0AC8">
      <w:pPr>
        <w:spacing w:after="0" w:line="360" w:lineRule="auto"/>
        <w:jc w:val="both"/>
        <w:rPr>
          <w:rFonts w:ascii="Arial" w:hAnsi="Arial" w:cs="Arial"/>
          <w:sz w:val="24"/>
          <w:szCs w:val="24"/>
        </w:rPr>
      </w:pPr>
    </w:p>
    <w:p w:rsidR="005D086E" w:rsidRDefault="001D3E9F" w:rsidP="00FF0AC8">
      <w:pPr>
        <w:spacing w:after="0" w:line="360" w:lineRule="auto"/>
        <w:jc w:val="both"/>
        <w:rPr>
          <w:rFonts w:ascii="Arial" w:hAnsi="Arial" w:cs="Arial"/>
          <w:sz w:val="24"/>
          <w:szCs w:val="24"/>
        </w:rPr>
      </w:pPr>
      <w:r>
        <w:rPr>
          <w:rFonts w:ascii="Arial" w:hAnsi="Arial" w:cs="Arial"/>
          <w:sz w:val="24"/>
          <w:szCs w:val="24"/>
        </w:rPr>
        <w:t>[68</w:t>
      </w:r>
      <w:r w:rsidR="005D086E">
        <w:rPr>
          <w:rFonts w:ascii="Arial" w:hAnsi="Arial" w:cs="Arial"/>
          <w:sz w:val="24"/>
          <w:szCs w:val="24"/>
        </w:rPr>
        <w:t>]</w:t>
      </w:r>
      <w:r w:rsidR="005D086E">
        <w:rPr>
          <w:rFonts w:ascii="Arial" w:hAnsi="Arial" w:cs="Arial"/>
          <w:sz w:val="24"/>
          <w:szCs w:val="24"/>
        </w:rPr>
        <w:tab/>
        <w:t>Consequently, this point is not sustainable</w:t>
      </w:r>
      <w:r w:rsidR="007422B2">
        <w:rPr>
          <w:rFonts w:ascii="Arial" w:hAnsi="Arial" w:cs="Arial"/>
          <w:sz w:val="24"/>
          <w:szCs w:val="24"/>
        </w:rPr>
        <w:t>,</w:t>
      </w:r>
      <w:r w:rsidR="00EE129A">
        <w:rPr>
          <w:rFonts w:ascii="Arial" w:hAnsi="Arial" w:cs="Arial"/>
          <w:sz w:val="24"/>
          <w:szCs w:val="24"/>
        </w:rPr>
        <w:t xml:space="preserve"> </w:t>
      </w:r>
      <w:r w:rsidR="007422B2">
        <w:rPr>
          <w:rFonts w:ascii="Arial" w:hAnsi="Arial" w:cs="Arial"/>
          <w:sz w:val="24"/>
          <w:szCs w:val="24"/>
        </w:rPr>
        <w:t xml:space="preserve">and, if the Applicants are successful, </w:t>
      </w:r>
      <w:r w:rsidR="00EE129A">
        <w:rPr>
          <w:rFonts w:ascii="Arial" w:hAnsi="Arial" w:cs="Arial"/>
          <w:sz w:val="24"/>
          <w:szCs w:val="24"/>
        </w:rPr>
        <w:t>Prayer 2 of the notice of motion ought to be granted as it is.</w:t>
      </w:r>
    </w:p>
    <w:p w:rsidR="00005FBD" w:rsidRPr="000A61B8" w:rsidRDefault="00005FBD" w:rsidP="00FF0AC8">
      <w:pPr>
        <w:spacing w:after="0" w:line="360" w:lineRule="auto"/>
        <w:jc w:val="both"/>
        <w:rPr>
          <w:rFonts w:ascii="Arial" w:hAnsi="Arial" w:cs="Arial"/>
          <w:sz w:val="24"/>
          <w:szCs w:val="24"/>
        </w:rPr>
      </w:pPr>
    </w:p>
    <w:p w:rsidR="00C41BBC" w:rsidRDefault="00C41BBC" w:rsidP="00917D2E">
      <w:pPr>
        <w:spacing w:line="360" w:lineRule="auto"/>
        <w:jc w:val="both"/>
        <w:rPr>
          <w:rFonts w:ascii="Arial" w:hAnsi="Arial" w:cs="Arial"/>
          <w:b/>
          <w:sz w:val="24"/>
          <w:szCs w:val="24"/>
        </w:rPr>
      </w:pPr>
      <w:r w:rsidRPr="00C00CA1">
        <w:rPr>
          <w:rFonts w:ascii="Arial" w:hAnsi="Arial" w:cs="Arial"/>
          <w:b/>
          <w:sz w:val="24"/>
          <w:szCs w:val="24"/>
        </w:rPr>
        <w:t>THE ISSUE FOR DETERMINATION</w:t>
      </w:r>
    </w:p>
    <w:p w:rsidR="00C41BBC" w:rsidRDefault="00C41BBC" w:rsidP="00FF0AC8">
      <w:pPr>
        <w:spacing w:after="0" w:line="360" w:lineRule="auto"/>
        <w:jc w:val="both"/>
        <w:rPr>
          <w:rFonts w:ascii="Arial" w:hAnsi="Arial" w:cs="Arial"/>
          <w:sz w:val="24"/>
          <w:szCs w:val="24"/>
        </w:rPr>
      </w:pPr>
      <w:r>
        <w:rPr>
          <w:rFonts w:ascii="Arial" w:hAnsi="Arial" w:cs="Arial"/>
          <w:sz w:val="24"/>
          <w:szCs w:val="24"/>
        </w:rPr>
        <w:t>[</w:t>
      </w:r>
      <w:r w:rsidR="001D3E9F">
        <w:rPr>
          <w:rFonts w:ascii="Arial" w:hAnsi="Arial" w:cs="Arial"/>
          <w:sz w:val="24"/>
          <w:szCs w:val="24"/>
        </w:rPr>
        <w:t>69</w:t>
      </w:r>
      <w:r>
        <w:rPr>
          <w:rFonts w:ascii="Arial" w:hAnsi="Arial" w:cs="Arial"/>
          <w:sz w:val="24"/>
          <w:szCs w:val="24"/>
        </w:rPr>
        <w:t>]</w:t>
      </w:r>
      <w:r>
        <w:rPr>
          <w:rFonts w:ascii="Arial" w:hAnsi="Arial" w:cs="Arial"/>
          <w:sz w:val="24"/>
          <w:szCs w:val="24"/>
        </w:rPr>
        <w:tab/>
      </w:r>
      <w:r w:rsidRPr="00334D8D">
        <w:rPr>
          <w:rFonts w:ascii="Arial" w:hAnsi="Arial" w:cs="Arial"/>
          <w:sz w:val="24"/>
          <w:szCs w:val="24"/>
        </w:rPr>
        <w:t xml:space="preserve">The issue for this Court to determine is whether the decision taken by NERSA when it approved the electricity tariffs for City Power </w:t>
      </w:r>
      <w:r>
        <w:rPr>
          <w:rFonts w:ascii="Arial" w:hAnsi="Arial" w:cs="Arial"/>
          <w:sz w:val="24"/>
          <w:szCs w:val="24"/>
        </w:rPr>
        <w:t>was</w:t>
      </w:r>
      <w:r w:rsidRPr="00334D8D">
        <w:rPr>
          <w:rFonts w:ascii="Arial" w:hAnsi="Arial" w:cs="Arial"/>
          <w:sz w:val="24"/>
          <w:szCs w:val="24"/>
        </w:rPr>
        <w:t xml:space="preserve"> unlawful.</w:t>
      </w:r>
    </w:p>
    <w:p w:rsidR="00005FBD" w:rsidRPr="00334D8D" w:rsidRDefault="00005FBD" w:rsidP="00FF0AC8">
      <w:pPr>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sz w:val="24"/>
          <w:szCs w:val="24"/>
        </w:rPr>
        <w:t>[70</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According to NERSA, </w:t>
      </w:r>
      <w:r w:rsidR="00C41BBC" w:rsidRPr="00334D8D">
        <w:rPr>
          <w:rFonts w:ascii="Arial" w:hAnsi="Arial" w:cs="Arial"/>
          <w:color w:val="000000"/>
          <w:sz w:val="24"/>
          <w:szCs w:val="24"/>
        </w:rPr>
        <w:t>the relevant question for the purpose of this inquiry should be whether NERSA was in possession of sufficient information to de</w:t>
      </w:r>
      <w:r w:rsidR="00993146">
        <w:rPr>
          <w:rFonts w:ascii="Arial" w:hAnsi="Arial" w:cs="Arial"/>
          <w:color w:val="000000"/>
          <w:sz w:val="24"/>
          <w:szCs w:val="24"/>
        </w:rPr>
        <w:t>termine cost reflective tariffs, and</w:t>
      </w:r>
      <w:r w:rsidR="00C41BBC" w:rsidRPr="00334D8D">
        <w:rPr>
          <w:rFonts w:ascii="Arial" w:hAnsi="Arial" w:cs="Arial"/>
          <w:color w:val="000000"/>
          <w:sz w:val="24"/>
          <w:szCs w:val="24"/>
        </w:rPr>
        <w:t xml:space="preserve"> whether the method used </w:t>
      </w:r>
      <w:r w:rsidR="00C41BBC">
        <w:rPr>
          <w:rFonts w:ascii="Arial" w:hAnsi="Arial" w:cs="Arial"/>
          <w:color w:val="000000"/>
          <w:sz w:val="24"/>
          <w:szCs w:val="24"/>
        </w:rPr>
        <w:t>was</w:t>
      </w:r>
      <w:r w:rsidR="00C41BBC" w:rsidRPr="00334D8D">
        <w:rPr>
          <w:rFonts w:ascii="Arial" w:hAnsi="Arial" w:cs="Arial"/>
          <w:color w:val="000000"/>
          <w:sz w:val="24"/>
          <w:szCs w:val="24"/>
        </w:rPr>
        <w:t xml:space="preserve"> in line with the ERA and other relevant legal frameworks.</w:t>
      </w:r>
    </w:p>
    <w:p w:rsidR="00005FBD" w:rsidRPr="00334D8D" w:rsidRDefault="00005FBD" w:rsidP="00FF0AC8">
      <w:pPr>
        <w:spacing w:after="0" w:line="360" w:lineRule="auto"/>
        <w:jc w:val="both"/>
        <w:rPr>
          <w:rFonts w:ascii="Arial" w:hAnsi="Arial" w:cs="Arial"/>
          <w:sz w:val="24"/>
          <w:szCs w:val="24"/>
        </w:rPr>
      </w:pPr>
    </w:p>
    <w:p w:rsidR="00C41BBC" w:rsidRDefault="00C00CA1" w:rsidP="00917D2E">
      <w:pPr>
        <w:spacing w:line="360" w:lineRule="auto"/>
        <w:jc w:val="both"/>
        <w:rPr>
          <w:rFonts w:ascii="Arial" w:hAnsi="Arial" w:cs="Arial"/>
          <w:b/>
          <w:sz w:val="24"/>
          <w:szCs w:val="24"/>
        </w:rPr>
      </w:pPr>
      <w:r w:rsidRPr="00C00CA1">
        <w:rPr>
          <w:rFonts w:ascii="Arial" w:hAnsi="Arial" w:cs="Arial"/>
          <w:b/>
          <w:sz w:val="24"/>
          <w:szCs w:val="24"/>
        </w:rPr>
        <w:t>ELECTRICITY REGULATION FRAMEWORK</w:t>
      </w: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[71</w:t>
      </w:r>
      <w:r w:rsidR="00C41BBC">
        <w:rPr>
          <w:rFonts w:ascii="Arial" w:hAnsi="Arial" w:cs="Arial"/>
          <w:color w:val="000000"/>
          <w:sz w:val="24"/>
          <w:szCs w:val="24"/>
        </w:rPr>
        <w:t>]</w:t>
      </w:r>
      <w:r w:rsidR="00C41BBC">
        <w:rPr>
          <w:rFonts w:ascii="Arial" w:hAnsi="Arial" w:cs="Arial"/>
          <w:color w:val="000000"/>
          <w:sz w:val="24"/>
          <w:szCs w:val="24"/>
        </w:rPr>
        <w:tab/>
      </w:r>
      <w:r w:rsidR="00C41BBC" w:rsidRPr="00FA30AB">
        <w:rPr>
          <w:rFonts w:ascii="Arial" w:hAnsi="Arial" w:cs="Arial"/>
          <w:color w:val="000000"/>
          <w:sz w:val="24"/>
          <w:szCs w:val="24"/>
        </w:rPr>
        <w:t xml:space="preserve">The parties are agreed that NERSA is required to determine an electricity tariff with reference to the applicable legal prescripts. These legal </w:t>
      </w:r>
      <w:r w:rsidR="00C41BBC" w:rsidRPr="00FA30AB">
        <w:rPr>
          <w:rFonts w:ascii="Arial" w:hAnsi="Arial" w:cs="Arial"/>
          <w:color w:val="000000"/>
          <w:sz w:val="24"/>
          <w:szCs w:val="24"/>
        </w:rPr>
        <w:lastRenderedPageBreak/>
        <w:t>prescripts include the</w:t>
      </w:r>
      <w:r w:rsidR="00EE129A">
        <w:rPr>
          <w:rFonts w:ascii="Arial" w:hAnsi="Arial" w:cs="Arial"/>
          <w:color w:val="000000"/>
          <w:sz w:val="24"/>
          <w:szCs w:val="24"/>
        </w:rPr>
        <w:t xml:space="preserve"> Constitution, the ERA,</w:t>
      </w:r>
      <w:r w:rsidR="00C41BBC" w:rsidRPr="00FA30AB">
        <w:rPr>
          <w:rFonts w:ascii="Arial" w:hAnsi="Arial" w:cs="Arial"/>
          <w:color w:val="000000"/>
          <w:sz w:val="24"/>
          <w:szCs w:val="24"/>
        </w:rPr>
        <w:t xml:space="preserve"> and the </w:t>
      </w:r>
      <w:r w:rsidR="00C41BBC">
        <w:rPr>
          <w:rFonts w:ascii="Arial" w:hAnsi="Arial" w:cs="Arial"/>
          <w:color w:val="000000"/>
          <w:sz w:val="24"/>
          <w:szCs w:val="24"/>
        </w:rPr>
        <w:t>EPP, which bind both NERSA and the m</w:t>
      </w:r>
      <w:r w:rsidR="00C41BBC" w:rsidRPr="00FA30AB">
        <w:rPr>
          <w:rFonts w:ascii="Arial" w:hAnsi="Arial" w:cs="Arial"/>
          <w:color w:val="000000"/>
          <w:sz w:val="24"/>
          <w:szCs w:val="24"/>
        </w:rPr>
        <w:t>unicipalities (including City Power).</w:t>
      </w:r>
      <w:r w:rsidR="00EE129A">
        <w:rPr>
          <w:rStyle w:val="FootnoteReference"/>
          <w:rFonts w:ascii="Arial" w:hAnsi="Arial" w:cs="Arial"/>
          <w:color w:val="000000"/>
          <w:sz w:val="24"/>
          <w:szCs w:val="24"/>
        </w:rPr>
        <w:footnoteReference w:id="18"/>
      </w:r>
    </w:p>
    <w:p w:rsidR="00FA453D" w:rsidRDefault="00FA453D" w:rsidP="00FF0AC8">
      <w:pPr>
        <w:spacing w:after="0" w:line="360" w:lineRule="auto"/>
        <w:jc w:val="both"/>
        <w:rPr>
          <w:rFonts w:ascii="Arial" w:hAnsi="Arial" w:cs="Arial"/>
          <w:color w:val="000000"/>
          <w:sz w:val="24"/>
          <w:szCs w:val="24"/>
        </w:rPr>
      </w:pPr>
    </w:p>
    <w:p w:rsidR="00C951C7" w:rsidRPr="00334D8D" w:rsidRDefault="001D3E9F" w:rsidP="00FF0AC8">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C951C7">
        <w:rPr>
          <w:rFonts w:ascii="Arial" w:hAnsi="Arial" w:cs="Arial"/>
          <w:sz w:val="24"/>
          <w:szCs w:val="24"/>
        </w:rPr>
        <w:t>The principles that NERSA ough</w:t>
      </w:r>
      <w:r w:rsidR="00C951C7" w:rsidRPr="00334D8D">
        <w:rPr>
          <w:rFonts w:ascii="Arial" w:hAnsi="Arial" w:cs="Arial"/>
          <w:sz w:val="24"/>
          <w:szCs w:val="24"/>
        </w:rPr>
        <w:t xml:space="preserve">t </w:t>
      </w:r>
      <w:r w:rsidR="00C951C7">
        <w:rPr>
          <w:rFonts w:ascii="Arial" w:hAnsi="Arial" w:cs="Arial"/>
          <w:sz w:val="24"/>
          <w:szCs w:val="24"/>
        </w:rPr>
        <w:t xml:space="preserve">to have </w:t>
      </w:r>
      <w:r w:rsidR="00C951C7" w:rsidRPr="00334D8D">
        <w:rPr>
          <w:rFonts w:ascii="Arial" w:hAnsi="Arial" w:cs="Arial"/>
          <w:sz w:val="24"/>
          <w:szCs w:val="24"/>
        </w:rPr>
        <w:t>take</w:t>
      </w:r>
      <w:r w:rsidR="00C951C7">
        <w:rPr>
          <w:rFonts w:ascii="Arial" w:hAnsi="Arial" w:cs="Arial"/>
          <w:sz w:val="24"/>
          <w:szCs w:val="24"/>
        </w:rPr>
        <w:t>n</w:t>
      </w:r>
      <w:r w:rsidR="00C951C7" w:rsidRPr="00334D8D">
        <w:rPr>
          <w:rFonts w:ascii="Arial" w:hAnsi="Arial" w:cs="Arial"/>
          <w:sz w:val="24"/>
          <w:szCs w:val="24"/>
        </w:rPr>
        <w:t xml:space="preserve"> into consideration when setting municipal electricity</w:t>
      </w:r>
      <w:r w:rsidR="00C951C7">
        <w:rPr>
          <w:rFonts w:ascii="Arial" w:hAnsi="Arial" w:cs="Arial"/>
          <w:sz w:val="24"/>
          <w:szCs w:val="24"/>
        </w:rPr>
        <w:t xml:space="preserve"> tariffs, including those of</w:t>
      </w:r>
      <w:r w:rsidR="00C951C7" w:rsidRPr="00334D8D">
        <w:rPr>
          <w:rFonts w:ascii="Arial" w:hAnsi="Arial" w:cs="Arial"/>
          <w:sz w:val="24"/>
          <w:szCs w:val="24"/>
        </w:rPr>
        <w:t xml:space="preserve"> </w:t>
      </w:r>
      <w:r w:rsidR="00C951C7">
        <w:rPr>
          <w:rFonts w:ascii="Arial" w:hAnsi="Arial" w:cs="Arial"/>
          <w:sz w:val="24"/>
          <w:szCs w:val="24"/>
        </w:rPr>
        <w:t>City Power</w:t>
      </w:r>
      <w:r w:rsidR="00C951C7" w:rsidRPr="00334D8D">
        <w:rPr>
          <w:rFonts w:ascii="Arial" w:hAnsi="Arial" w:cs="Arial"/>
          <w:sz w:val="24"/>
          <w:szCs w:val="24"/>
        </w:rPr>
        <w:t xml:space="preserve">, are reflected in section 15(1) of the ERA read with certain relevant Policy Positions of the EPP. </w:t>
      </w:r>
    </w:p>
    <w:p w:rsidR="00917D2E" w:rsidRDefault="00917D2E" w:rsidP="00FF0AC8">
      <w:pPr>
        <w:spacing w:after="0" w:line="360" w:lineRule="auto"/>
        <w:jc w:val="both"/>
        <w:rPr>
          <w:rFonts w:ascii="Arial" w:hAnsi="Arial" w:cs="Arial"/>
          <w:sz w:val="24"/>
          <w:szCs w:val="24"/>
        </w:rPr>
      </w:pPr>
    </w:p>
    <w:p w:rsidR="00C951C7" w:rsidRDefault="00C951C7" w:rsidP="00FF0AC8">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Pr="00334D8D">
        <w:rPr>
          <w:rFonts w:ascii="Arial" w:hAnsi="Arial" w:cs="Arial"/>
          <w:sz w:val="24"/>
          <w:szCs w:val="24"/>
        </w:rPr>
        <w:t xml:space="preserve">The principles are stated in section 15(1) </w:t>
      </w:r>
      <w:r>
        <w:rPr>
          <w:rFonts w:ascii="Arial" w:hAnsi="Arial" w:cs="Arial"/>
          <w:sz w:val="24"/>
          <w:szCs w:val="24"/>
        </w:rPr>
        <w:t xml:space="preserve">of the ERA </w:t>
      </w:r>
      <w:r w:rsidRPr="00334D8D">
        <w:rPr>
          <w:rFonts w:ascii="Arial" w:hAnsi="Arial" w:cs="Arial"/>
          <w:sz w:val="24"/>
          <w:szCs w:val="24"/>
        </w:rPr>
        <w:t>as follows: a licence condition determined under section 14 relating to the setting or approval of prices, charges and tariffs and the regulation of revenues (a) must enable an efficient licensee to recover the full cost of its licensed activities, including a reasonable margin or return; (b) must provide for or prescribe incentives for continued improvement of the technical and economic efficiency with which services are to be provided; (c) must give end users proper information regarding the costs that their consumption imposes on the licensee’s business; (d) must avoid undue discrimination between customer categories; and (e) may permit the cross-subsidy of tariffs to certain classes of customers.</w:t>
      </w:r>
    </w:p>
    <w:p w:rsidR="00FA453D" w:rsidRDefault="00FA453D" w:rsidP="00FF0AC8">
      <w:pPr>
        <w:spacing w:after="0" w:line="360" w:lineRule="auto"/>
        <w:jc w:val="both"/>
        <w:rPr>
          <w:rFonts w:ascii="Arial" w:hAnsi="Arial" w:cs="Arial"/>
          <w:sz w:val="24"/>
          <w:szCs w:val="24"/>
        </w:rPr>
      </w:pPr>
    </w:p>
    <w:p w:rsidR="00C951C7" w:rsidRDefault="00C951C7" w:rsidP="00FF0AC8">
      <w:pPr>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t>In essence, the key requirements, in terms of section 15(1) of the ERA, include allowing for cost recovery of an efficient municipality, incentive for improvement of efficiency, proper information regarding costs of consumption, avoiding undue discrimination between customer categories, and explicit allowance for cross-subsidisation between classes of customers.</w:t>
      </w:r>
    </w:p>
    <w:p w:rsidR="00FA453D" w:rsidRPr="00334D8D" w:rsidRDefault="00FA453D" w:rsidP="00FF0AC8">
      <w:pPr>
        <w:spacing w:after="0" w:line="360" w:lineRule="auto"/>
        <w:jc w:val="both"/>
        <w:rPr>
          <w:rFonts w:ascii="Arial" w:hAnsi="Arial" w:cs="Arial"/>
          <w:sz w:val="24"/>
          <w:szCs w:val="24"/>
        </w:rPr>
      </w:pPr>
    </w:p>
    <w:p w:rsidR="001F1824" w:rsidRDefault="00C951C7" w:rsidP="00FF0AC8">
      <w:pPr>
        <w:spacing w:after="0" w:line="360" w:lineRule="auto"/>
        <w:jc w:val="both"/>
        <w:rPr>
          <w:rFonts w:ascii="Arial" w:hAnsi="Arial" w:cs="Arial"/>
          <w:color w:val="000000"/>
          <w:sz w:val="24"/>
          <w:szCs w:val="24"/>
        </w:rPr>
      </w:pPr>
      <w:r>
        <w:rPr>
          <w:rFonts w:ascii="Arial" w:hAnsi="Arial" w:cs="Arial"/>
          <w:sz w:val="24"/>
          <w:szCs w:val="24"/>
        </w:rPr>
        <w:t>[75]</w:t>
      </w:r>
      <w:r>
        <w:rPr>
          <w:rFonts w:ascii="Arial" w:hAnsi="Arial" w:cs="Arial"/>
          <w:sz w:val="24"/>
          <w:szCs w:val="24"/>
        </w:rPr>
        <w:tab/>
      </w:r>
      <w:r w:rsidRPr="00334D8D">
        <w:rPr>
          <w:rFonts w:ascii="Arial" w:hAnsi="Arial" w:cs="Arial"/>
          <w:sz w:val="24"/>
          <w:szCs w:val="24"/>
        </w:rPr>
        <w:t>The Applicants have based their grounds of review, argued orally in Court, mainly on the principles in subsection</w:t>
      </w:r>
      <w:r>
        <w:rPr>
          <w:rFonts w:ascii="Arial" w:hAnsi="Arial" w:cs="Arial"/>
          <w:sz w:val="24"/>
          <w:szCs w:val="24"/>
        </w:rPr>
        <w:t>s 15(1)</w:t>
      </w:r>
      <w:r w:rsidRPr="00334D8D">
        <w:rPr>
          <w:rFonts w:ascii="Arial" w:hAnsi="Arial" w:cs="Arial"/>
          <w:sz w:val="24"/>
          <w:szCs w:val="24"/>
        </w:rPr>
        <w:t xml:space="preserve"> (a)</w:t>
      </w:r>
      <w:r>
        <w:rPr>
          <w:rFonts w:ascii="Arial" w:hAnsi="Arial" w:cs="Arial"/>
          <w:sz w:val="24"/>
          <w:szCs w:val="24"/>
        </w:rPr>
        <w:t xml:space="preserve">, </w:t>
      </w:r>
      <w:r w:rsidRPr="00334D8D">
        <w:rPr>
          <w:rFonts w:ascii="Arial" w:hAnsi="Arial" w:cs="Arial"/>
          <w:sz w:val="24"/>
          <w:szCs w:val="24"/>
        </w:rPr>
        <w:t xml:space="preserve">(d) and (e) of the ERA. The principles that are relied upon are that the setting or approval of prices, charges and tariffs (a) must enable an efficient licensee to recover the full cost </w:t>
      </w:r>
      <w:r w:rsidRPr="00334D8D">
        <w:rPr>
          <w:rFonts w:ascii="Arial" w:hAnsi="Arial" w:cs="Arial"/>
          <w:sz w:val="24"/>
          <w:szCs w:val="24"/>
        </w:rPr>
        <w:lastRenderedPageBreak/>
        <w:t>of its licensed activities, including a reasonable margin or return; (d) must avoid undue discrimination between customer categories; and (e) may permit the cross-subsidy of tariffs to certain classes of customers.</w:t>
      </w:r>
      <w:r w:rsidR="00FA453D">
        <w:rPr>
          <w:rFonts w:ascii="Arial" w:hAnsi="Arial" w:cs="Arial"/>
          <w:color w:val="000000"/>
          <w:sz w:val="24"/>
          <w:szCs w:val="24"/>
        </w:rPr>
        <w:t xml:space="preserve"> </w:t>
      </w:r>
      <w:r w:rsidR="001F1824">
        <w:rPr>
          <w:rFonts w:ascii="Arial" w:hAnsi="Arial" w:cs="Arial"/>
          <w:color w:val="000000"/>
          <w:sz w:val="24"/>
          <w:szCs w:val="24"/>
        </w:rPr>
        <w:t>Section 27(h) of the E</w:t>
      </w:r>
      <w:r w:rsidR="001F1824" w:rsidRPr="001F1824">
        <w:rPr>
          <w:rFonts w:ascii="Arial" w:hAnsi="Arial" w:cs="Arial"/>
          <w:color w:val="000000"/>
          <w:sz w:val="24"/>
          <w:szCs w:val="24"/>
        </w:rPr>
        <w:t xml:space="preserve">RA makes </w:t>
      </w:r>
      <w:r w:rsidR="001F1824">
        <w:rPr>
          <w:rFonts w:ascii="Arial" w:hAnsi="Arial" w:cs="Arial"/>
          <w:color w:val="000000"/>
          <w:sz w:val="24"/>
          <w:szCs w:val="24"/>
        </w:rPr>
        <w:t xml:space="preserve">it </w:t>
      </w:r>
      <w:r w:rsidR="001F1824" w:rsidRPr="001F1824">
        <w:rPr>
          <w:rFonts w:ascii="Arial" w:hAnsi="Arial" w:cs="Arial"/>
          <w:color w:val="000000"/>
          <w:sz w:val="24"/>
          <w:szCs w:val="24"/>
        </w:rPr>
        <w:t xml:space="preserve">clear that the </w:t>
      </w:r>
      <w:r w:rsidR="001F1824">
        <w:rPr>
          <w:rFonts w:ascii="Arial" w:hAnsi="Arial" w:cs="Arial"/>
          <w:color w:val="000000"/>
          <w:sz w:val="24"/>
          <w:szCs w:val="24"/>
        </w:rPr>
        <w:t>E</w:t>
      </w:r>
      <w:r w:rsidR="001F1824" w:rsidRPr="001F1824">
        <w:rPr>
          <w:rFonts w:ascii="Arial" w:hAnsi="Arial" w:cs="Arial"/>
          <w:color w:val="000000"/>
          <w:sz w:val="24"/>
          <w:szCs w:val="24"/>
        </w:rPr>
        <w:t>PP is binding on the City of Johannesburg and all other municipalities</w:t>
      </w:r>
      <w:r w:rsidR="001F1824">
        <w:rPr>
          <w:rFonts w:ascii="Arial" w:hAnsi="Arial" w:cs="Arial"/>
          <w:color w:val="000000"/>
          <w:sz w:val="24"/>
          <w:szCs w:val="24"/>
        </w:rPr>
        <w:t>.</w:t>
      </w:r>
      <w:r w:rsidR="00FF156F">
        <w:rPr>
          <w:rFonts w:ascii="Arial" w:hAnsi="Arial" w:cs="Arial"/>
          <w:color w:val="000000"/>
          <w:sz w:val="24"/>
          <w:szCs w:val="24"/>
        </w:rPr>
        <w:t xml:space="preserve"> Thus, the relevant sections of the EPP, namely, section 2 read with Policy Positions 1,</w:t>
      </w:r>
      <w:r w:rsidR="00081503">
        <w:rPr>
          <w:rStyle w:val="FootnoteReference"/>
          <w:rFonts w:ascii="Arial" w:hAnsi="Arial" w:cs="Arial"/>
          <w:color w:val="000000"/>
          <w:sz w:val="24"/>
          <w:szCs w:val="24"/>
        </w:rPr>
        <w:footnoteReference w:id="19"/>
      </w:r>
      <w:r w:rsidR="00FF156F">
        <w:rPr>
          <w:rFonts w:ascii="Arial" w:hAnsi="Arial" w:cs="Arial"/>
          <w:color w:val="000000"/>
          <w:sz w:val="24"/>
          <w:szCs w:val="24"/>
        </w:rPr>
        <w:t xml:space="preserve"> 2</w:t>
      </w:r>
      <w:r w:rsidR="00081503">
        <w:rPr>
          <w:rStyle w:val="FootnoteReference"/>
          <w:rFonts w:ascii="Arial" w:hAnsi="Arial" w:cs="Arial"/>
          <w:color w:val="000000"/>
          <w:sz w:val="24"/>
          <w:szCs w:val="24"/>
        </w:rPr>
        <w:footnoteReference w:id="20"/>
      </w:r>
      <w:r w:rsidR="00FF156F">
        <w:rPr>
          <w:rFonts w:ascii="Arial" w:hAnsi="Arial" w:cs="Arial"/>
          <w:color w:val="000000"/>
          <w:sz w:val="24"/>
          <w:szCs w:val="24"/>
        </w:rPr>
        <w:t xml:space="preserve"> and 4</w:t>
      </w:r>
      <w:r w:rsidR="00081503">
        <w:rPr>
          <w:rStyle w:val="FootnoteReference"/>
          <w:rFonts w:ascii="Arial" w:hAnsi="Arial" w:cs="Arial"/>
          <w:color w:val="000000"/>
          <w:sz w:val="24"/>
          <w:szCs w:val="24"/>
        </w:rPr>
        <w:footnoteReference w:id="21"/>
      </w:r>
      <w:r w:rsidR="00FF156F">
        <w:rPr>
          <w:rFonts w:ascii="Arial" w:hAnsi="Arial" w:cs="Arial"/>
          <w:color w:val="000000"/>
          <w:sz w:val="24"/>
          <w:szCs w:val="24"/>
        </w:rPr>
        <w:t xml:space="preserve"> dealing with the general tariff principles; </w:t>
      </w:r>
      <w:r w:rsidR="00A3364E">
        <w:rPr>
          <w:rFonts w:ascii="Arial" w:hAnsi="Arial" w:cs="Arial"/>
          <w:color w:val="000000"/>
          <w:sz w:val="24"/>
          <w:szCs w:val="24"/>
        </w:rPr>
        <w:t xml:space="preserve">and, </w:t>
      </w:r>
      <w:r w:rsidR="00FF156F">
        <w:rPr>
          <w:rFonts w:ascii="Arial" w:hAnsi="Arial" w:cs="Arial"/>
          <w:color w:val="000000"/>
          <w:sz w:val="24"/>
          <w:szCs w:val="24"/>
        </w:rPr>
        <w:t xml:space="preserve">section </w:t>
      </w:r>
      <w:r w:rsidR="00A3364E">
        <w:rPr>
          <w:rFonts w:ascii="Arial" w:hAnsi="Arial" w:cs="Arial"/>
          <w:color w:val="000000"/>
          <w:sz w:val="24"/>
          <w:szCs w:val="24"/>
        </w:rPr>
        <w:t>8 read with Policy Positions 23,</w:t>
      </w:r>
      <w:r w:rsidR="00081503">
        <w:rPr>
          <w:rStyle w:val="FootnoteReference"/>
          <w:rFonts w:ascii="Arial" w:hAnsi="Arial" w:cs="Arial"/>
          <w:color w:val="000000"/>
          <w:sz w:val="24"/>
          <w:szCs w:val="24"/>
        </w:rPr>
        <w:footnoteReference w:id="22"/>
      </w:r>
      <w:r w:rsidR="00A3364E">
        <w:rPr>
          <w:rFonts w:ascii="Arial" w:hAnsi="Arial" w:cs="Arial"/>
          <w:color w:val="000000"/>
          <w:sz w:val="24"/>
          <w:szCs w:val="24"/>
        </w:rPr>
        <w:t xml:space="preserve"> 26,</w:t>
      </w:r>
      <w:r w:rsidR="00081503">
        <w:rPr>
          <w:rStyle w:val="FootnoteReference"/>
          <w:rFonts w:ascii="Arial" w:hAnsi="Arial" w:cs="Arial"/>
          <w:color w:val="000000"/>
          <w:sz w:val="24"/>
          <w:szCs w:val="24"/>
        </w:rPr>
        <w:footnoteReference w:id="23"/>
      </w:r>
      <w:r w:rsidR="00A3364E">
        <w:rPr>
          <w:rFonts w:ascii="Arial" w:hAnsi="Arial" w:cs="Arial"/>
          <w:color w:val="000000"/>
          <w:sz w:val="24"/>
          <w:szCs w:val="24"/>
        </w:rPr>
        <w:t xml:space="preserve"> 27</w:t>
      </w:r>
      <w:r w:rsidR="00EF4C1A">
        <w:rPr>
          <w:rStyle w:val="FootnoteReference"/>
          <w:rFonts w:ascii="Arial" w:hAnsi="Arial" w:cs="Arial"/>
          <w:color w:val="000000"/>
          <w:sz w:val="24"/>
          <w:szCs w:val="24"/>
        </w:rPr>
        <w:footnoteReference w:id="24"/>
      </w:r>
      <w:r w:rsidR="00A3364E">
        <w:rPr>
          <w:rFonts w:ascii="Arial" w:hAnsi="Arial" w:cs="Arial"/>
          <w:color w:val="000000"/>
          <w:sz w:val="24"/>
          <w:szCs w:val="24"/>
        </w:rPr>
        <w:t xml:space="preserve"> and 29</w:t>
      </w:r>
      <w:r w:rsidR="00EF4C1A">
        <w:rPr>
          <w:rStyle w:val="FootnoteReference"/>
          <w:rFonts w:ascii="Arial" w:hAnsi="Arial" w:cs="Arial"/>
          <w:color w:val="000000"/>
          <w:sz w:val="24"/>
          <w:szCs w:val="24"/>
        </w:rPr>
        <w:footnoteReference w:id="25"/>
      </w:r>
      <w:r w:rsidR="00A3364E">
        <w:rPr>
          <w:rFonts w:ascii="Arial" w:hAnsi="Arial" w:cs="Arial"/>
          <w:color w:val="000000"/>
          <w:sz w:val="24"/>
          <w:szCs w:val="24"/>
        </w:rPr>
        <w:t xml:space="preserve"> dealing with cost of supply studies, must be adhered to.</w:t>
      </w:r>
    </w:p>
    <w:p w:rsidR="00FA453D" w:rsidRPr="001F1824" w:rsidRDefault="00FA453D" w:rsidP="00FF0AC8">
      <w:pPr>
        <w:spacing w:after="0" w:line="360" w:lineRule="auto"/>
        <w:jc w:val="both"/>
        <w:rPr>
          <w:rFonts w:ascii="Arial" w:hAnsi="Arial" w:cs="Arial"/>
          <w:sz w:val="24"/>
          <w:szCs w:val="24"/>
        </w:rPr>
      </w:pPr>
    </w:p>
    <w:p w:rsidR="00C41BBC" w:rsidRDefault="00C41BBC" w:rsidP="00917D2E">
      <w:pPr>
        <w:spacing w:line="360" w:lineRule="auto"/>
        <w:jc w:val="both"/>
        <w:rPr>
          <w:rFonts w:ascii="Arial" w:hAnsi="Arial" w:cs="Arial"/>
          <w:b/>
          <w:sz w:val="24"/>
          <w:szCs w:val="24"/>
        </w:rPr>
      </w:pPr>
      <w:r w:rsidRPr="00D1092A">
        <w:rPr>
          <w:rFonts w:ascii="Arial" w:hAnsi="Arial" w:cs="Arial"/>
          <w:b/>
          <w:sz w:val="24"/>
          <w:szCs w:val="24"/>
        </w:rPr>
        <w:t>A</w:t>
      </w:r>
      <w:r w:rsidR="00C951C7">
        <w:rPr>
          <w:rFonts w:ascii="Arial" w:hAnsi="Arial" w:cs="Arial"/>
          <w:b/>
          <w:sz w:val="24"/>
          <w:szCs w:val="24"/>
        </w:rPr>
        <w:t>PPLICATION OF THE LAW TO FACTS</w:t>
      </w:r>
    </w:p>
    <w:p w:rsidR="00C951C7" w:rsidRDefault="001D3E9F" w:rsidP="00FF0AC8">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C951C7">
        <w:rPr>
          <w:rFonts w:ascii="Arial" w:hAnsi="Arial" w:cs="Arial"/>
          <w:sz w:val="24"/>
          <w:szCs w:val="24"/>
        </w:rPr>
        <w:t>The three grounds of review raised orally by the Applicant in Court, are dealt with hereunder.</w:t>
      </w:r>
    </w:p>
    <w:p w:rsidR="00D17245" w:rsidRPr="00C951C7" w:rsidRDefault="00D17245" w:rsidP="00FF0AC8">
      <w:pPr>
        <w:spacing w:after="0" w:line="360" w:lineRule="auto"/>
        <w:jc w:val="both"/>
        <w:rPr>
          <w:rFonts w:ascii="Arial" w:hAnsi="Arial" w:cs="Arial"/>
          <w:sz w:val="24"/>
          <w:szCs w:val="24"/>
        </w:rPr>
      </w:pPr>
    </w:p>
    <w:p w:rsidR="00C41BBC" w:rsidRPr="00334D8D" w:rsidRDefault="00C41BBC" w:rsidP="00917D2E">
      <w:pPr>
        <w:spacing w:line="360" w:lineRule="auto"/>
        <w:ind w:left="720"/>
        <w:jc w:val="both"/>
        <w:rPr>
          <w:rFonts w:ascii="Arial" w:hAnsi="Arial" w:cs="Arial"/>
          <w:sz w:val="24"/>
          <w:szCs w:val="24"/>
        </w:rPr>
      </w:pPr>
      <w:r>
        <w:rPr>
          <w:rFonts w:ascii="Arial" w:hAnsi="Arial" w:cs="Arial"/>
          <w:sz w:val="24"/>
          <w:szCs w:val="24"/>
        </w:rPr>
        <w:t>Whether NERSA’s failure to</w:t>
      </w:r>
      <w:r w:rsidRPr="00334D8D">
        <w:rPr>
          <w:rFonts w:ascii="Arial" w:hAnsi="Arial" w:cs="Arial"/>
          <w:sz w:val="24"/>
          <w:szCs w:val="24"/>
        </w:rPr>
        <w:t xml:space="preserve"> consider a cost of supply study, </w:t>
      </w:r>
      <w:r>
        <w:rPr>
          <w:rFonts w:ascii="Arial" w:hAnsi="Arial" w:cs="Arial"/>
          <w:sz w:val="24"/>
          <w:szCs w:val="24"/>
        </w:rPr>
        <w:t>for City Power resulted in</w:t>
      </w:r>
      <w:r w:rsidRPr="00334D8D">
        <w:rPr>
          <w:rFonts w:ascii="Arial" w:hAnsi="Arial" w:cs="Arial"/>
          <w:sz w:val="24"/>
          <w:szCs w:val="24"/>
        </w:rPr>
        <w:t xml:space="preserve"> the set tariffs</w:t>
      </w:r>
      <w:r>
        <w:rPr>
          <w:rFonts w:ascii="Arial" w:hAnsi="Arial" w:cs="Arial"/>
          <w:sz w:val="24"/>
          <w:szCs w:val="24"/>
        </w:rPr>
        <w:t>,</w:t>
      </w:r>
      <w:r w:rsidRPr="00334D8D">
        <w:rPr>
          <w:rFonts w:ascii="Arial" w:hAnsi="Arial" w:cs="Arial"/>
          <w:sz w:val="24"/>
          <w:szCs w:val="24"/>
        </w:rPr>
        <w:t xml:space="preserve"> </w:t>
      </w:r>
      <w:r>
        <w:rPr>
          <w:rFonts w:ascii="Arial" w:hAnsi="Arial" w:cs="Arial"/>
          <w:sz w:val="24"/>
          <w:szCs w:val="24"/>
        </w:rPr>
        <w:t xml:space="preserve">being tariff </w:t>
      </w:r>
      <w:r w:rsidRPr="00334D8D">
        <w:rPr>
          <w:rFonts w:ascii="Arial" w:hAnsi="Arial" w:cs="Arial"/>
          <w:sz w:val="24"/>
          <w:szCs w:val="24"/>
        </w:rPr>
        <w:t xml:space="preserve">reflective </w:t>
      </w:r>
      <w:r>
        <w:rPr>
          <w:rFonts w:ascii="Arial" w:hAnsi="Arial" w:cs="Arial"/>
          <w:sz w:val="24"/>
          <w:szCs w:val="24"/>
        </w:rPr>
        <w:t>instead of cost reflective</w:t>
      </w:r>
      <w:r w:rsidR="00154C2C">
        <w:rPr>
          <w:rFonts w:ascii="Arial" w:hAnsi="Arial" w:cs="Arial"/>
          <w:sz w:val="24"/>
          <w:szCs w:val="24"/>
        </w:rPr>
        <w:t>.</w:t>
      </w:r>
    </w:p>
    <w:p w:rsidR="00C41BBC" w:rsidRPr="00334D8D" w:rsidRDefault="005D086E" w:rsidP="00917D2E">
      <w:pPr>
        <w:tabs>
          <w:tab w:val="left" w:pos="0"/>
        </w:tabs>
        <w:spacing w:line="360" w:lineRule="auto"/>
        <w:jc w:val="both"/>
        <w:rPr>
          <w:rFonts w:ascii="Arial" w:hAnsi="Arial" w:cs="Arial"/>
          <w:sz w:val="24"/>
          <w:szCs w:val="24"/>
        </w:rPr>
      </w:pPr>
      <w:r>
        <w:rPr>
          <w:rFonts w:ascii="Arial" w:hAnsi="Arial" w:cs="Arial"/>
          <w:sz w:val="24"/>
          <w:szCs w:val="24"/>
        </w:rPr>
        <w:t>[7</w:t>
      </w:r>
      <w:r w:rsidR="001D3E9F">
        <w:rPr>
          <w:rFonts w:ascii="Arial" w:hAnsi="Arial" w:cs="Arial"/>
          <w:sz w:val="24"/>
          <w:szCs w:val="24"/>
        </w:rPr>
        <w:t>7</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The principle set out in subsection 15(1)(a) of the ERA prescribes that municipal electricity tariffs must be cost reflective instead of tariff reflective. The </w:t>
      </w:r>
      <w:r w:rsidR="00C41BBC" w:rsidRPr="00334D8D">
        <w:rPr>
          <w:rFonts w:ascii="Arial" w:hAnsi="Arial" w:cs="Arial"/>
          <w:sz w:val="24"/>
          <w:szCs w:val="24"/>
        </w:rPr>
        <w:lastRenderedPageBreak/>
        <w:t xml:space="preserve">EPP, as well, makes it clear that tariffs must be cost reflective. </w:t>
      </w:r>
      <w:r w:rsidR="00246EC0">
        <w:rPr>
          <w:rFonts w:ascii="Arial" w:hAnsi="Arial" w:cs="Arial"/>
          <w:sz w:val="24"/>
          <w:szCs w:val="24"/>
        </w:rPr>
        <w:t>Section</w:t>
      </w:r>
      <w:r w:rsidR="00C41BBC" w:rsidRPr="00334D8D">
        <w:rPr>
          <w:rFonts w:ascii="Arial" w:hAnsi="Arial" w:cs="Arial"/>
          <w:sz w:val="24"/>
          <w:szCs w:val="24"/>
        </w:rPr>
        <w:t xml:space="preserve"> 8 of the EPP, which deals with distribution pricing, emphasises this by stating that </w:t>
      </w:r>
      <w:r w:rsidR="00C41BBC">
        <w:rPr>
          <w:rFonts w:ascii="Arial" w:hAnsi="Arial" w:cs="Arial"/>
          <w:sz w:val="24"/>
          <w:szCs w:val="24"/>
        </w:rPr>
        <w:t>-</w:t>
      </w:r>
    </w:p>
    <w:p w:rsidR="00C41BBC" w:rsidRPr="00563016" w:rsidRDefault="00C41BBC" w:rsidP="00FF0AC8">
      <w:pPr>
        <w:tabs>
          <w:tab w:val="left" w:pos="0"/>
        </w:tabs>
        <w:spacing w:after="0" w:line="360" w:lineRule="auto"/>
        <w:ind w:left="720"/>
        <w:jc w:val="both"/>
        <w:rPr>
          <w:rFonts w:ascii="Arial" w:hAnsi="Arial" w:cs="Arial"/>
          <w:sz w:val="20"/>
          <w:szCs w:val="20"/>
        </w:rPr>
      </w:pPr>
      <w:r w:rsidRPr="00563016">
        <w:rPr>
          <w:rFonts w:ascii="Arial" w:hAnsi="Arial" w:cs="Arial"/>
          <w:sz w:val="20"/>
          <w:szCs w:val="20"/>
        </w:rPr>
        <w:t>“</w:t>
      </w:r>
      <w:r w:rsidR="0058677D">
        <w:rPr>
          <w:rFonts w:ascii="Arial" w:hAnsi="Arial" w:cs="Arial"/>
          <w:sz w:val="20"/>
          <w:szCs w:val="20"/>
        </w:rPr>
        <w:t>…</w:t>
      </w:r>
      <w:r w:rsidRPr="001378CE">
        <w:rPr>
          <w:rFonts w:ascii="Arial" w:hAnsi="Arial" w:cs="Arial"/>
          <w:i/>
          <w:sz w:val="20"/>
          <w:szCs w:val="20"/>
        </w:rPr>
        <w:t>T</w:t>
      </w:r>
      <w:r w:rsidR="0058677D">
        <w:rPr>
          <w:rFonts w:ascii="Arial" w:hAnsi="Arial" w:cs="Arial"/>
          <w:i/>
          <w:sz w:val="20"/>
          <w:szCs w:val="20"/>
        </w:rPr>
        <w:t>his</w:t>
      </w:r>
      <w:r w:rsidRPr="001378CE">
        <w:rPr>
          <w:rFonts w:ascii="Arial" w:hAnsi="Arial" w:cs="Arial"/>
          <w:i/>
          <w:sz w:val="20"/>
          <w:szCs w:val="20"/>
        </w:rPr>
        <w:t xml:space="preserve"> first section will address the key principle for distribution pricing, namely that tariffs would be cost reflective and in support of cost reflectivity</w:t>
      </w:r>
      <w:r w:rsidRPr="00563016">
        <w:rPr>
          <w:rFonts w:ascii="Arial" w:hAnsi="Arial" w:cs="Arial"/>
          <w:sz w:val="20"/>
          <w:szCs w:val="20"/>
        </w:rPr>
        <w:t>.”</w:t>
      </w:r>
    </w:p>
    <w:p w:rsidR="00C41BBC" w:rsidRDefault="00C41BBC" w:rsidP="00FF0AC8">
      <w:pPr>
        <w:tabs>
          <w:tab w:val="left" w:pos="0"/>
        </w:tabs>
        <w:spacing w:after="0" w:line="360" w:lineRule="auto"/>
        <w:jc w:val="both"/>
        <w:rPr>
          <w:rFonts w:ascii="Arial" w:hAnsi="Arial" w:cs="Arial"/>
          <w:color w:val="000000"/>
          <w:sz w:val="24"/>
          <w:szCs w:val="24"/>
        </w:rPr>
      </w:pPr>
    </w:p>
    <w:p w:rsidR="00C41BBC" w:rsidRDefault="005D086E" w:rsidP="00FF0AC8">
      <w:pPr>
        <w:tabs>
          <w:tab w:val="left" w:pos="0"/>
        </w:tabs>
        <w:spacing w:after="0" w:line="360" w:lineRule="auto"/>
        <w:jc w:val="both"/>
        <w:rPr>
          <w:rFonts w:ascii="Arial" w:hAnsi="Arial" w:cs="Arial"/>
          <w:sz w:val="24"/>
          <w:szCs w:val="24"/>
        </w:rPr>
      </w:pPr>
      <w:r>
        <w:rPr>
          <w:rFonts w:ascii="Arial" w:hAnsi="Arial" w:cs="Arial"/>
          <w:color w:val="000000"/>
          <w:sz w:val="24"/>
          <w:szCs w:val="24"/>
        </w:rPr>
        <w:t>[7</w:t>
      </w:r>
      <w:r w:rsidR="001D3E9F">
        <w:rPr>
          <w:rFonts w:ascii="Arial" w:hAnsi="Arial" w:cs="Arial"/>
          <w:color w:val="000000"/>
          <w:sz w:val="24"/>
          <w:szCs w:val="24"/>
        </w:rPr>
        <w:t>8</w:t>
      </w:r>
      <w:r w:rsidR="00C41BBC">
        <w:rPr>
          <w:rFonts w:ascii="Arial" w:hAnsi="Arial" w:cs="Arial"/>
          <w:color w:val="000000"/>
          <w:sz w:val="24"/>
          <w:szCs w:val="24"/>
        </w:rPr>
        <w:t>]</w:t>
      </w:r>
      <w:r w:rsidR="00C41BBC">
        <w:rPr>
          <w:rFonts w:ascii="Arial" w:hAnsi="Arial" w:cs="Arial"/>
          <w:color w:val="000000"/>
          <w:sz w:val="24"/>
          <w:szCs w:val="24"/>
        </w:rPr>
        <w:tab/>
      </w:r>
      <w:r w:rsidR="00C41BBC" w:rsidRPr="00334D8D">
        <w:rPr>
          <w:rFonts w:ascii="Arial" w:hAnsi="Arial" w:cs="Arial"/>
          <w:color w:val="000000"/>
          <w:sz w:val="24"/>
          <w:szCs w:val="24"/>
        </w:rPr>
        <w:t>The EPP requires the Municipalities to conduct a cost of study within a period of five years from the date on which the policy was published.</w:t>
      </w:r>
      <w:r w:rsidR="00C41BBC">
        <w:rPr>
          <w:rFonts w:ascii="Arial" w:hAnsi="Arial" w:cs="Arial"/>
          <w:sz w:val="24"/>
          <w:szCs w:val="24"/>
        </w:rPr>
        <w:t xml:space="preserve"> </w:t>
      </w:r>
      <w:r w:rsidR="00C41BBC" w:rsidRPr="00334D8D">
        <w:rPr>
          <w:rFonts w:ascii="Arial" w:hAnsi="Arial" w:cs="Arial"/>
          <w:sz w:val="24"/>
          <w:szCs w:val="24"/>
        </w:rPr>
        <w:t xml:space="preserve">Policy Position 23 of the EPP, emphatically states that electricity distributors should undertake cost of supply studies at least every five years, </w:t>
      </w:r>
      <w:r w:rsidR="00043375">
        <w:rPr>
          <w:rFonts w:ascii="Arial" w:hAnsi="Arial" w:cs="Arial"/>
          <w:sz w:val="24"/>
          <w:szCs w:val="24"/>
        </w:rPr>
        <w:t>but</w:t>
      </w:r>
      <w:r w:rsidR="00C41BBC" w:rsidRPr="00334D8D">
        <w:rPr>
          <w:rFonts w:ascii="Arial" w:hAnsi="Arial" w:cs="Arial"/>
          <w:sz w:val="24"/>
          <w:szCs w:val="24"/>
        </w:rPr>
        <w:t xml:space="preserve"> at least when significant license structure changes </w:t>
      </w:r>
      <w:r w:rsidR="00DF4563">
        <w:rPr>
          <w:rFonts w:ascii="Arial" w:hAnsi="Arial" w:cs="Arial"/>
          <w:sz w:val="24"/>
          <w:szCs w:val="24"/>
        </w:rPr>
        <w:t>occur, such as in customer base,</w:t>
      </w:r>
      <w:r w:rsidR="00C41BBC" w:rsidRPr="00334D8D">
        <w:rPr>
          <w:rFonts w:ascii="Arial" w:hAnsi="Arial" w:cs="Arial"/>
          <w:sz w:val="24"/>
          <w:szCs w:val="24"/>
        </w:rPr>
        <w:t xml:space="preserve"> relationship</w:t>
      </w:r>
      <w:r w:rsidR="00DF4563">
        <w:rPr>
          <w:rFonts w:ascii="Arial" w:hAnsi="Arial" w:cs="Arial"/>
          <w:sz w:val="24"/>
          <w:szCs w:val="24"/>
        </w:rPr>
        <w:t>s</w:t>
      </w:r>
      <w:r w:rsidR="00C41BBC" w:rsidRPr="00334D8D">
        <w:rPr>
          <w:rFonts w:ascii="Arial" w:hAnsi="Arial" w:cs="Arial"/>
          <w:sz w:val="24"/>
          <w:szCs w:val="24"/>
        </w:rPr>
        <w:t xml:space="preserve"> between cost components and sales volumes.</w:t>
      </w:r>
    </w:p>
    <w:p w:rsidR="005A1158" w:rsidRDefault="005A1158" w:rsidP="00FF0AC8">
      <w:pPr>
        <w:tabs>
          <w:tab w:val="left" w:pos="0"/>
        </w:tabs>
        <w:spacing w:after="0" w:line="360" w:lineRule="auto"/>
        <w:jc w:val="both"/>
        <w:rPr>
          <w:rFonts w:ascii="Arial" w:hAnsi="Arial" w:cs="Arial"/>
          <w:sz w:val="24"/>
          <w:szCs w:val="24"/>
        </w:rPr>
      </w:pPr>
    </w:p>
    <w:p w:rsidR="00C41BBC" w:rsidRDefault="005D086E" w:rsidP="00FF0AC8">
      <w:pPr>
        <w:tabs>
          <w:tab w:val="left" w:pos="0"/>
        </w:tabs>
        <w:spacing w:after="0" w:line="360" w:lineRule="auto"/>
        <w:jc w:val="both"/>
        <w:rPr>
          <w:rFonts w:ascii="Arial" w:hAnsi="Arial" w:cs="Arial"/>
          <w:sz w:val="24"/>
          <w:szCs w:val="24"/>
        </w:rPr>
      </w:pPr>
      <w:r>
        <w:rPr>
          <w:rFonts w:ascii="Arial" w:hAnsi="Arial" w:cs="Arial"/>
          <w:sz w:val="24"/>
          <w:szCs w:val="24"/>
        </w:rPr>
        <w:t>[7</w:t>
      </w:r>
      <w:r w:rsidR="001D3E9F">
        <w:rPr>
          <w:rFonts w:ascii="Arial" w:hAnsi="Arial" w:cs="Arial"/>
          <w:sz w:val="24"/>
          <w:szCs w:val="24"/>
        </w:rPr>
        <w:t>9</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In </w:t>
      </w:r>
      <w:r w:rsidR="00F541E2">
        <w:rPr>
          <w:rFonts w:ascii="Arial" w:hAnsi="Arial" w:cs="Arial"/>
          <w:sz w:val="24"/>
          <w:szCs w:val="24"/>
        </w:rPr>
        <w:t>terms of the EPP,</w:t>
      </w:r>
      <w:r w:rsidR="00C41BBC" w:rsidRPr="00334D8D">
        <w:rPr>
          <w:rFonts w:ascii="Arial" w:hAnsi="Arial" w:cs="Arial"/>
          <w:sz w:val="24"/>
          <w:szCs w:val="24"/>
        </w:rPr>
        <w:t xml:space="preserve"> for NERSA to determine electricity tariffs that are cost reflective, a cost of supply study must be carried out by each municipality before such tariffs are set. This process will enable NERSA to assess the overall cost of supply of a municipality applying for </w:t>
      </w:r>
      <w:r w:rsidR="00C41BBC">
        <w:rPr>
          <w:rFonts w:ascii="Arial" w:hAnsi="Arial" w:cs="Arial"/>
          <w:sz w:val="24"/>
          <w:szCs w:val="24"/>
        </w:rPr>
        <w:t xml:space="preserve">a determination or </w:t>
      </w:r>
      <w:r w:rsidR="00C41BBC" w:rsidRPr="00334D8D">
        <w:rPr>
          <w:rFonts w:ascii="Arial" w:hAnsi="Arial" w:cs="Arial"/>
          <w:sz w:val="24"/>
          <w:szCs w:val="24"/>
        </w:rPr>
        <w:t>an increase of its tariffs for that financial year.</w:t>
      </w:r>
      <w:r w:rsidR="00F541E2">
        <w:rPr>
          <w:rFonts w:ascii="Arial" w:hAnsi="Arial" w:cs="Arial"/>
          <w:sz w:val="24"/>
          <w:szCs w:val="24"/>
        </w:rPr>
        <w:t xml:space="preserve"> The cost of supply study should have been carried out within five (5) years from the promulgation of the EPP.</w:t>
      </w:r>
    </w:p>
    <w:p w:rsidR="005A1158" w:rsidRDefault="005A1158" w:rsidP="00FF0AC8">
      <w:pPr>
        <w:tabs>
          <w:tab w:val="left" w:pos="0"/>
        </w:tabs>
        <w:spacing w:after="0" w:line="360" w:lineRule="auto"/>
        <w:jc w:val="both"/>
        <w:rPr>
          <w:rFonts w:ascii="Arial" w:hAnsi="Arial" w:cs="Arial"/>
          <w:sz w:val="24"/>
          <w:szCs w:val="24"/>
        </w:rPr>
      </w:pPr>
    </w:p>
    <w:p w:rsidR="00C41BBC" w:rsidRDefault="005D086E" w:rsidP="00FF0AC8">
      <w:pPr>
        <w:tabs>
          <w:tab w:val="left" w:pos="0"/>
        </w:tabs>
        <w:spacing w:after="0" w:line="360" w:lineRule="auto"/>
        <w:jc w:val="both"/>
        <w:rPr>
          <w:rFonts w:ascii="Arial" w:hAnsi="Arial" w:cs="Arial"/>
          <w:color w:val="000000"/>
          <w:sz w:val="24"/>
          <w:szCs w:val="24"/>
        </w:rPr>
      </w:pPr>
      <w:r>
        <w:rPr>
          <w:rFonts w:ascii="Arial" w:hAnsi="Arial" w:cs="Arial"/>
          <w:sz w:val="24"/>
          <w:szCs w:val="24"/>
        </w:rPr>
        <w:t>[</w:t>
      </w:r>
      <w:r w:rsidR="001D3E9F">
        <w:rPr>
          <w:rFonts w:ascii="Arial" w:hAnsi="Arial" w:cs="Arial"/>
          <w:sz w:val="24"/>
          <w:szCs w:val="24"/>
        </w:rPr>
        <w:t>80</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NERSA </w:t>
      </w:r>
      <w:r w:rsidR="00C41BBC">
        <w:rPr>
          <w:rFonts w:ascii="Arial" w:hAnsi="Arial" w:cs="Arial"/>
          <w:sz w:val="24"/>
          <w:szCs w:val="24"/>
        </w:rPr>
        <w:t>in its papers, concedes, correctly so,</w:t>
      </w:r>
      <w:r w:rsidR="00C41BBC" w:rsidRPr="00334D8D">
        <w:rPr>
          <w:rFonts w:ascii="Arial" w:hAnsi="Arial" w:cs="Arial"/>
          <w:sz w:val="24"/>
          <w:szCs w:val="24"/>
        </w:rPr>
        <w:t xml:space="preserve"> that a cost of supply study </w:t>
      </w:r>
      <w:r w:rsidR="00C41BBC" w:rsidRPr="00334D8D">
        <w:rPr>
          <w:rFonts w:ascii="Arial" w:hAnsi="Arial" w:cs="Arial"/>
          <w:color w:val="000000"/>
          <w:sz w:val="24"/>
          <w:szCs w:val="24"/>
        </w:rPr>
        <w:t xml:space="preserve">determines the actual cost </w:t>
      </w:r>
      <w:r w:rsidR="00C41BBC" w:rsidRPr="00334D8D">
        <w:rPr>
          <w:rFonts w:ascii="Arial" w:hAnsi="Arial" w:cs="Arial"/>
          <w:i/>
          <w:color w:val="000000"/>
          <w:sz w:val="24"/>
          <w:szCs w:val="24"/>
        </w:rPr>
        <w:t>per</w:t>
      </w:r>
      <w:r w:rsidR="00C41BBC">
        <w:rPr>
          <w:rFonts w:ascii="Arial" w:hAnsi="Arial" w:cs="Arial"/>
          <w:color w:val="000000"/>
          <w:sz w:val="24"/>
          <w:szCs w:val="24"/>
        </w:rPr>
        <w:t xml:space="preserve"> customer group, and,</w:t>
      </w:r>
      <w:r w:rsidR="00C41BBC" w:rsidRPr="00334D8D">
        <w:rPr>
          <w:rFonts w:ascii="Arial" w:hAnsi="Arial" w:cs="Arial"/>
          <w:color w:val="000000"/>
          <w:sz w:val="24"/>
          <w:szCs w:val="24"/>
        </w:rPr>
        <w:t xml:space="preserve"> allows for cost-reflective pricing </w:t>
      </w:r>
      <w:r w:rsidR="00C41BBC" w:rsidRPr="00334D8D">
        <w:rPr>
          <w:rFonts w:ascii="Arial" w:hAnsi="Arial" w:cs="Arial"/>
          <w:i/>
          <w:color w:val="000000"/>
          <w:sz w:val="24"/>
          <w:szCs w:val="24"/>
        </w:rPr>
        <w:t>per</w:t>
      </w:r>
      <w:r w:rsidR="00C41BBC" w:rsidRPr="00334D8D">
        <w:rPr>
          <w:rFonts w:ascii="Arial" w:hAnsi="Arial" w:cs="Arial"/>
          <w:color w:val="000000"/>
          <w:sz w:val="24"/>
          <w:szCs w:val="24"/>
        </w:rPr>
        <w:t xml:space="preserve"> customer category in line with </w:t>
      </w:r>
      <w:r w:rsidR="00C41BBC">
        <w:rPr>
          <w:rFonts w:ascii="Arial" w:hAnsi="Arial" w:cs="Arial"/>
          <w:color w:val="000000"/>
          <w:sz w:val="24"/>
          <w:szCs w:val="24"/>
        </w:rPr>
        <w:t xml:space="preserve">the relevant provisions of the ERA and </w:t>
      </w:r>
      <w:r w:rsidR="00C41BBC" w:rsidRPr="00334D8D">
        <w:rPr>
          <w:rFonts w:ascii="Arial" w:hAnsi="Arial" w:cs="Arial"/>
          <w:color w:val="000000"/>
          <w:sz w:val="24"/>
          <w:szCs w:val="24"/>
        </w:rPr>
        <w:t xml:space="preserve">the EPP. </w:t>
      </w:r>
    </w:p>
    <w:p w:rsidR="005A1158" w:rsidRDefault="005A1158" w:rsidP="00FF0AC8">
      <w:pPr>
        <w:tabs>
          <w:tab w:val="left" w:pos="0"/>
        </w:tabs>
        <w:spacing w:after="0" w:line="360" w:lineRule="auto"/>
        <w:jc w:val="both"/>
        <w:rPr>
          <w:rFonts w:ascii="Arial" w:hAnsi="Arial" w:cs="Arial"/>
          <w:color w:val="000000"/>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[81</w:t>
      </w:r>
      <w:r w:rsidR="00C41BBC">
        <w:rPr>
          <w:rFonts w:ascii="Arial" w:hAnsi="Arial" w:cs="Arial"/>
          <w:sz w:val="24"/>
          <w:szCs w:val="24"/>
        </w:rPr>
        <w:t>]</w:t>
      </w:r>
      <w:r w:rsidR="00C41BBC">
        <w:rPr>
          <w:rFonts w:ascii="Arial" w:hAnsi="Arial" w:cs="Arial"/>
          <w:sz w:val="24"/>
          <w:szCs w:val="24"/>
        </w:rPr>
        <w:tab/>
        <w:t xml:space="preserve">From the evidence proffered by NERSA in these papers, it is quite clear that NERSA acknowledges that a cost of supply study is a requirement, which must be complied with, for the achievement of a cost reflective municipal tariff. </w:t>
      </w:r>
    </w:p>
    <w:p w:rsidR="00C157BD" w:rsidRPr="00334D8D" w:rsidRDefault="00C157BD" w:rsidP="00FF0AC8">
      <w:pPr>
        <w:tabs>
          <w:tab w:val="left" w:pos="0"/>
        </w:tabs>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[82</w:t>
      </w:r>
      <w:r w:rsidR="00C41BBC">
        <w:rPr>
          <w:rFonts w:ascii="Arial" w:hAnsi="Arial" w:cs="Arial"/>
          <w:color w:val="000000"/>
          <w:sz w:val="24"/>
          <w:szCs w:val="24"/>
        </w:rPr>
        <w:t>]</w:t>
      </w:r>
      <w:r w:rsidR="00C41BBC">
        <w:rPr>
          <w:rFonts w:ascii="Arial" w:hAnsi="Arial" w:cs="Arial"/>
          <w:color w:val="000000"/>
          <w:sz w:val="24"/>
          <w:szCs w:val="24"/>
        </w:rPr>
        <w:tab/>
        <w:t xml:space="preserve">Firstly, in its response to the Applicants’ argument that the methodology used in determining the guideline was based on averages which do not accurately reflect the operating circumstances of each municipality and the cost </w:t>
      </w:r>
      <w:r w:rsidR="00C41BBC">
        <w:rPr>
          <w:rFonts w:ascii="Arial" w:hAnsi="Arial" w:cs="Arial"/>
          <w:color w:val="000000"/>
          <w:sz w:val="24"/>
          <w:szCs w:val="24"/>
        </w:rPr>
        <w:lastRenderedPageBreak/>
        <w:t xml:space="preserve">drivers impacting on the different input costs </w:t>
      </w:r>
      <w:r w:rsidR="00C41BBC" w:rsidRPr="001A692E">
        <w:rPr>
          <w:rFonts w:ascii="Arial" w:hAnsi="Arial" w:cs="Arial"/>
          <w:i/>
          <w:color w:val="000000"/>
          <w:sz w:val="24"/>
          <w:szCs w:val="24"/>
        </w:rPr>
        <w:t>per</w:t>
      </w:r>
      <w:r w:rsidR="00C41BBC">
        <w:rPr>
          <w:rFonts w:ascii="Arial" w:hAnsi="Arial" w:cs="Arial"/>
          <w:color w:val="000000"/>
          <w:sz w:val="24"/>
          <w:szCs w:val="24"/>
        </w:rPr>
        <w:t xml:space="preserve"> municipality, NERSA, acknowledged that an averaging approach was not ideal, given the uniqueness of each entity, and conceded that an ideal situation will only result when each municipality is assessed individually based on its unique cost structure and load profile. </w:t>
      </w:r>
      <w:r w:rsidR="00C157BD">
        <w:rPr>
          <w:rFonts w:ascii="Arial" w:hAnsi="Arial" w:cs="Arial"/>
          <w:color w:val="000000"/>
          <w:sz w:val="24"/>
          <w:szCs w:val="24"/>
        </w:rPr>
        <w:t>In addition</w:t>
      </w:r>
      <w:r w:rsidR="00C41BBC">
        <w:rPr>
          <w:rFonts w:ascii="Arial" w:hAnsi="Arial" w:cs="Arial"/>
          <w:color w:val="000000"/>
          <w:sz w:val="24"/>
          <w:szCs w:val="24"/>
        </w:rPr>
        <w:t xml:space="preserve">, </w:t>
      </w:r>
      <w:r w:rsidR="00C94F09">
        <w:rPr>
          <w:rFonts w:ascii="Arial" w:hAnsi="Arial" w:cs="Arial"/>
          <w:color w:val="000000"/>
          <w:sz w:val="24"/>
          <w:szCs w:val="24"/>
        </w:rPr>
        <w:t xml:space="preserve">it also, stated that, </w:t>
      </w:r>
      <w:r w:rsidR="00C41BBC">
        <w:rPr>
          <w:rFonts w:ascii="Arial" w:hAnsi="Arial" w:cs="Arial"/>
          <w:color w:val="000000"/>
          <w:sz w:val="24"/>
          <w:szCs w:val="24"/>
        </w:rPr>
        <w:t>this can only be achieved by means of a cost of supply study.</w:t>
      </w:r>
    </w:p>
    <w:p w:rsidR="00A86DDC" w:rsidRDefault="00A86DDC"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[83</w:t>
      </w:r>
      <w:r w:rsidR="00C41BBC">
        <w:rPr>
          <w:rFonts w:ascii="Arial" w:hAnsi="Arial" w:cs="Arial"/>
          <w:color w:val="000000"/>
          <w:sz w:val="24"/>
          <w:szCs w:val="24"/>
        </w:rPr>
        <w:t>]</w:t>
      </w:r>
      <w:r w:rsidR="00C41BBC">
        <w:rPr>
          <w:rFonts w:ascii="Arial" w:hAnsi="Arial" w:cs="Arial"/>
          <w:color w:val="000000"/>
          <w:sz w:val="24"/>
          <w:szCs w:val="24"/>
        </w:rPr>
        <w:tab/>
        <w:t xml:space="preserve">Secondly, NERSA, acknowledged that the cost of supply studies and outcomes </w:t>
      </w:r>
      <w:r w:rsidR="00F541E2">
        <w:rPr>
          <w:rFonts w:ascii="Arial" w:hAnsi="Arial" w:cs="Arial"/>
          <w:color w:val="000000"/>
          <w:sz w:val="24"/>
          <w:szCs w:val="24"/>
        </w:rPr>
        <w:t xml:space="preserve">thereto, </w:t>
      </w:r>
      <w:r w:rsidR="00C41BBC">
        <w:rPr>
          <w:rFonts w:ascii="Arial" w:hAnsi="Arial" w:cs="Arial"/>
          <w:color w:val="000000"/>
          <w:sz w:val="24"/>
          <w:szCs w:val="24"/>
        </w:rPr>
        <w:t>should be available as a normal course of business as they are required as pa</w:t>
      </w:r>
      <w:r w:rsidR="00043375">
        <w:rPr>
          <w:rFonts w:ascii="Arial" w:hAnsi="Arial" w:cs="Arial"/>
          <w:color w:val="000000"/>
          <w:sz w:val="24"/>
          <w:szCs w:val="24"/>
        </w:rPr>
        <w:t xml:space="preserve">rt of the regulatory framework, </w:t>
      </w:r>
      <w:r w:rsidR="00C41BBC">
        <w:rPr>
          <w:rFonts w:ascii="Arial" w:hAnsi="Arial" w:cs="Arial"/>
          <w:color w:val="000000"/>
          <w:sz w:val="24"/>
          <w:szCs w:val="24"/>
        </w:rPr>
        <w:t>that is,</w:t>
      </w:r>
      <w:r w:rsidR="00043375">
        <w:rPr>
          <w:rFonts w:ascii="Arial" w:hAnsi="Arial" w:cs="Arial"/>
          <w:color w:val="000000"/>
          <w:sz w:val="24"/>
          <w:szCs w:val="24"/>
        </w:rPr>
        <w:t xml:space="preserve"> in terms of Policy Position 23</w:t>
      </w:r>
      <w:r w:rsidR="00F541E2">
        <w:rPr>
          <w:rFonts w:ascii="Arial" w:hAnsi="Arial" w:cs="Arial"/>
          <w:color w:val="000000"/>
          <w:sz w:val="24"/>
          <w:szCs w:val="24"/>
        </w:rPr>
        <w:t xml:space="preserve"> of the EPP</w:t>
      </w:r>
      <w:r w:rsidR="00C41BBC">
        <w:rPr>
          <w:rFonts w:ascii="Arial" w:hAnsi="Arial" w:cs="Arial"/>
          <w:color w:val="000000"/>
          <w:sz w:val="24"/>
          <w:szCs w:val="24"/>
        </w:rPr>
        <w:t>.</w:t>
      </w:r>
    </w:p>
    <w:p w:rsidR="00C157BD" w:rsidRDefault="00C157B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[84</w:t>
      </w:r>
      <w:r w:rsidR="00C41BBC">
        <w:rPr>
          <w:rFonts w:ascii="Arial" w:hAnsi="Arial" w:cs="Arial"/>
          <w:color w:val="000000"/>
          <w:sz w:val="24"/>
          <w:szCs w:val="24"/>
        </w:rPr>
        <w:t>]</w:t>
      </w:r>
      <w:r w:rsidR="00C41BBC">
        <w:rPr>
          <w:rFonts w:ascii="Arial" w:hAnsi="Arial" w:cs="Arial"/>
          <w:color w:val="000000"/>
          <w:sz w:val="24"/>
          <w:szCs w:val="24"/>
        </w:rPr>
        <w:tab/>
        <w:t>Furthermore, NERSA conceded that it used the benchmarking methodology only because there was no other method available, and that it had taken steps to ensure that municipalities carry out their respective cost of supply studies. It is not in dispute that NERSA had, by then, already directed municipalities to submit cost of supply studies that should allow a shift towards cost reflective tariffs for electricity tariffs to reflect efficient costs and reasonable return for every licensee, in line with the requirements of the ERA and the EPP.</w:t>
      </w:r>
    </w:p>
    <w:p w:rsidR="00267771" w:rsidRDefault="00267771" w:rsidP="00FF0AC8">
      <w:pPr>
        <w:spacing w:after="0" w:line="360" w:lineRule="auto"/>
        <w:jc w:val="both"/>
        <w:rPr>
          <w:rFonts w:ascii="Arial" w:hAnsi="Arial" w:cs="Arial"/>
          <w:color w:val="000000"/>
          <w:sz w:val="24"/>
          <w:szCs w:val="24"/>
        </w:rPr>
      </w:pPr>
    </w:p>
    <w:p w:rsidR="00C41BBC" w:rsidRDefault="005D086E"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C41BBC">
        <w:rPr>
          <w:rFonts w:ascii="Arial" w:hAnsi="Arial" w:cs="Arial"/>
          <w:color w:val="000000"/>
          <w:sz w:val="24"/>
          <w:szCs w:val="24"/>
        </w:rPr>
        <w:t>8</w:t>
      </w:r>
      <w:r w:rsidR="001D3E9F">
        <w:rPr>
          <w:rFonts w:ascii="Arial" w:hAnsi="Arial" w:cs="Arial"/>
          <w:color w:val="000000"/>
          <w:sz w:val="24"/>
          <w:szCs w:val="24"/>
        </w:rPr>
        <w:t>5</w:t>
      </w:r>
      <w:r w:rsidR="00C41BBC">
        <w:rPr>
          <w:rFonts w:ascii="Arial" w:hAnsi="Arial" w:cs="Arial"/>
          <w:color w:val="000000"/>
          <w:sz w:val="24"/>
          <w:szCs w:val="24"/>
        </w:rPr>
        <w:t>]</w:t>
      </w:r>
      <w:r w:rsidR="00C41BBC">
        <w:rPr>
          <w:rFonts w:ascii="Arial" w:hAnsi="Arial" w:cs="Arial"/>
          <w:color w:val="000000"/>
          <w:sz w:val="24"/>
          <w:szCs w:val="24"/>
        </w:rPr>
        <w:tab/>
        <w:t>From what is stated above, there appears to be no doubt that NERSA supported the fact that municipalities should undergo a cost of supply study as that would have definitely enabled NERSA to determine tariffs that are based on each municipality’s cost of supply.</w:t>
      </w:r>
    </w:p>
    <w:p w:rsidR="00267771" w:rsidRDefault="00267771"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[86</w:t>
      </w:r>
      <w:r w:rsidR="00C41BBC">
        <w:rPr>
          <w:rFonts w:ascii="Arial" w:hAnsi="Arial" w:cs="Arial"/>
          <w:color w:val="000000"/>
          <w:sz w:val="24"/>
          <w:szCs w:val="24"/>
        </w:rPr>
        <w:t>]</w:t>
      </w:r>
      <w:r w:rsidR="00C41BBC">
        <w:rPr>
          <w:rFonts w:ascii="Arial" w:hAnsi="Arial" w:cs="Arial"/>
          <w:color w:val="000000"/>
          <w:sz w:val="24"/>
          <w:szCs w:val="24"/>
        </w:rPr>
        <w:tab/>
        <w:t xml:space="preserve">That NERSA supported the view that the cost of supply studies, were important, was, clearly, reflected in its response to some of the concerns raised by stakeholders during the consultation process. NERSA agreed, during those consultations, that municipalities must develop cost of supply studies that will reflect the true cost of supplying electricity to their customers. And, in order to show the seriousness in which NERSA took the requirement for cost of supply </w:t>
      </w:r>
      <w:r w:rsidR="00C41BBC">
        <w:rPr>
          <w:rFonts w:ascii="Arial" w:hAnsi="Arial" w:cs="Arial"/>
          <w:color w:val="000000"/>
          <w:sz w:val="24"/>
          <w:szCs w:val="24"/>
        </w:rPr>
        <w:lastRenderedPageBreak/>
        <w:t xml:space="preserve">studies, it approved a cost of supply study framework and implored all municipalities to undertake and submit cost of supply studies, so that the revenue earned by the municipalities </w:t>
      </w:r>
      <w:r w:rsidR="00C41BBC" w:rsidRPr="00AC6596">
        <w:rPr>
          <w:rFonts w:ascii="Arial" w:hAnsi="Arial" w:cs="Arial"/>
          <w:i/>
          <w:color w:val="000000"/>
          <w:sz w:val="24"/>
          <w:szCs w:val="24"/>
        </w:rPr>
        <w:t>per</w:t>
      </w:r>
      <w:r w:rsidR="00C41BBC">
        <w:rPr>
          <w:rFonts w:ascii="Arial" w:hAnsi="Arial" w:cs="Arial"/>
          <w:color w:val="000000"/>
          <w:sz w:val="24"/>
          <w:szCs w:val="24"/>
        </w:rPr>
        <w:t xml:space="preserve"> tariff category, was aligned with the cost of supply of electricity. Municipalities were informed to use the framework as a guideline when developing their cost of supply studies. In addition, NERSA undertook to continue to support and engage licensees when they develop their cost of supply studies, so as to ensure a smooth transition towards the cost of supply study implementation.</w:t>
      </w:r>
    </w:p>
    <w:p w:rsidR="005E526C" w:rsidRDefault="005E526C"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[87</w:t>
      </w:r>
      <w:r w:rsidR="00C41BBC">
        <w:rPr>
          <w:rFonts w:ascii="Arial" w:hAnsi="Arial" w:cs="Arial"/>
          <w:color w:val="000000"/>
          <w:sz w:val="24"/>
          <w:szCs w:val="24"/>
        </w:rPr>
        <w:t>]</w:t>
      </w:r>
      <w:r w:rsidR="00C41BBC">
        <w:rPr>
          <w:rFonts w:ascii="Arial" w:hAnsi="Arial" w:cs="Arial"/>
          <w:color w:val="000000"/>
          <w:sz w:val="24"/>
          <w:szCs w:val="24"/>
        </w:rPr>
        <w:tab/>
        <w:t>It is not in dispute that City Power did not supply NERSA with a cost of supply study before its application was considered by NERSA. Both NERSA and City Power conceded in their evidence before this Court that at the time of approval of City Power tariffs, City Power’s cost of supply studies did not serve before NERSA for consideration. NERSA stated that the cost of supply study furnished to it by City Power was insufficient and could not be considered.</w:t>
      </w:r>
    </w:p>
    <w:p w:rsidR="005E526C" w:rsidRDefault="005E526C"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[88</w:t>
      </w:r>
      <w:r w:rsidR="00C41BBC">
        <w:rPr>
          <w:rFonts w:ascii="Arial" w:hAnsi="Arial" w:cs="Arial"/>
          <w:color w:val="000000"/>
          <w:sz w:val="24"/>
          <w:szCs w:val="24"/>
        </w:rPr>
        <w:t>]</w:t>
      </w:r>
      <w:r w:rsidR="00C41BBC">
        <w:rPr>
          <w:rFonts w:ascii="Arial" w:hAnsi="Arial" w:cs="Arial"/>
          <w:color w:val="000000"/>
          <w:sz w:val="24"/>
          <w:szCs w:val="24"/>
        </w:rPr>
        <w:tab/>
        <w:t xml:space="preserve">On the basis of what this Court has stated above, which is mainly based on the evidence of NERSA, it is evident that without the cost of supply study serving before it, at the time of considering City Power tariffs, NERSA could not have been able to assess City Power’s true cost of supply. </w:t>
      </w:r>
    </w:p>
    <w:p w:rsidR="005E526C" w:rsidRDefault="005E526C" w:rsidP="00FF0AC8">
      <w:pPr>
        <w:spacing w:after="0" w:line="360" w:lineRule="auto"/>
        <w:jc w:val="both"/>
        <w:rPr>
          <w:rFonts w:ascii="Arial" w:hAnsi="Arial" w:cs="Arial"/>
          <w:color w:val="000000"/>
          <w:sz w:val="24"/>
          <w:szCs w:val="24"/>
        </w:rPr>
      </w:pPr>
    </w:p>
    <w:p w:rsidR="00C41BBC" w:rsidRDefault="001D3E9F" w:rsidP="00FF0AC8">
      <w:pPr>
        <w:tabs>
          <w:tab w:val="left" w:pos="0"/>
        </w:tabs>
        <w:spacing w:after="0" w:line="360" w:lineRule="auto"/>
        <w:jc w:val="both"/>
        <w:rPr>
          <w:rFonts w:ascii="Arial" w:hAnsi="Arial" w:cs="Arial"/>
          <w:color w:val="000000"/>
          <w:sz w:val="24"/>
          <w:szCs w:val="24"/>
        </w:rPr>
      </w:pPr>
      <w:r>
        <w:rPr>
          <w:rFonts w:ascii="Arial" w:hAnsi="Arial" w:cs="Arial"/>
          <w:color w:val="000000"/>
          <w:sz w:val="24"/>
          <w:szCs w:val="24"/>
        </w:rPr>
        <w:t>[89</w:t>
      </w:r>
      <w:r w:rsidR="00C41BBC">
        <w:rPr>
          <w:rFonts w:ascii="Arial" w:hAnsi="Arial" w:cs="Arial"/>
          <w:color w:val="000000"/>
          <w:sz w:val="24"/>
          <w:szCs w:val="24"/>
        </w:rPr>
        <w:t>]</w:t>
      </w:r>
      <w:r w:rsidR="00C41BBC">
        <w:rPr>
          <w:rFonts w:ascii="Arial" w:hAnsi="Arial" w:cs="Arial"/>
          <w:color w:val="000000"/>
          <w:sz w:val="24"/>
          <w:szCs w:val="24"/>
        </w:rPr>
        <w:tab/>
        <w:t xml:space="preserve">NERSA’s contention that the methodology it used enabled it to </w:t>
      </w:r>
      <w:r w:rsidR="00C41BBC">
        <w:rPr>
          <w:rFonts w:ascii="Arial" w:hAnsi="Arial" w:cs="Arial"/>
          <w:sz w:val="24"/>
          <w:szCs w:val="24"/>
        </w:rPr>
        <w:t>take</w:t>
      </w:r>
      <w:r w:rsidR="00C41BBC" w:rsidRPr="00334D8D">
        <w:rPr>
          <w:rFonts w:ascii="Arial" w:hAnsi="Arial" w:cs="Arial"/>
          <w:sz w:val="24"/>
          <w:szCs w:val="24"/>
        </w:rPr>
        <w:t xml:space="preserve"> into account the overall cost of supply</w:t>
      </w:r>
      <w:r w:rsidR="00C41BBC">
        <w:rPr>
          <w:rFonts w:ascii="Arial" w:hAnsi="Arial" w:cs="Arial"/>
          <w:sz w:val="24"/>
          <w:szCs w:val="24"/>
        </w:rPr>
        <w:t xml:space="preserve"> of City Power, is, in this Court’s view, without merit. </w:t>
      </w:r>
      <w:r w:rsidR="00C41BBC">
        <w:rPr>
          <w:rFonts w:ascii="Arial" w:hAnsi="Arial" w:cs="Arial"/>
          <w:color w:val="000000"/>
          <w:sz w:val="24"/>
          <w:szCs w:val="24"/>
        </w:rPr>
        <w:t>The evidence on record, based on City Power’s version, indicates that City Power’s application for tariffs increment, itself, was not based on costs, it was merely based on an estimate of what NERSA’s guideline tariff would be.</w:t>
      </w:r>
    </w:p>
    <w:p w:rsidR="005E526C" w:rsidRPr="00C41BBC" w:rsidRDefault="005E526C" w:rsidP="00FF0AC8">
      <w:pPr>
        <w:tabs>
          <w:tab w:val="left" w:pos="0"/>
        </w:tabs>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5D086E">
        <w:rPr>
          <w:rFonts w:ascii="Arial" w:hAnsi="Arial" w:cs="Arial"/>
          <w:color w:val="000000"/>
          <w:sz w:val="24"/>
          <w:szCs w:val="24"/>
        </w:rPr>
        <w:t>9</w:t>
      </w:r>
      <w:r>
        <w:rPr>
          <w:rFonts w:ascii="Arial" w:hAnsi="Arial" w:cs="Arial"/>
          <w:color w:val="000000"/>
          <w:sz w:val="24"/>
          <w:szCs w:val="24"/>
        </w:rPr>
        <w:t>0</w:t>
      </w:r>
      <w:r w:rsidR="00C41BBC">
        <w:rPr>
          <w:rFonts w:ascii="Arial" w:hAnsi="Arial" w:cs="Arial"/>
          <w:color w:val="000000"/>
          <w:sz w:val="24"/>
          <w:szCs w:val="24"/>
        </w:rPr>
        <w:t>]</w:t>
      </w:r>
      <w:r w:rsidR="00C41BBC">
        <w:rPr>
          <w:rFonts w:ascii="Arial" w:hAnsi="Arial" w:cs="Arial"/>
          <w:color w:val="000000"/>
          <w:sz w:val="24"/>
          <w:szCs w:val="24"/>
        </w:rPr>
        <w:tab/>
        <w:t xml:space="preserve">In its own evidence City Power stated that it initially applied for a tariff increment of 12,20% based on an estimate of what it thought NERSA’s guideline percentage increase would be. City Power stated, further that when NERSA later on publicised its guideline, which was more than that City Power </w:t>
      </w:r>
      <w:r w:rsidR="00C41BBC">
        <w:rPr>
          <w:rFonts w:ascii="Arial" w:hAnsi="Arial" w:cs="Arial"/>
          <w:color w:val="000000"/>
          <w:sz w:val="24"/>
          <w:szCs w:val="24"/>
        </w:rPr>
        <w:lastRenderedPageBreak/>
        <w:t xml:space="preserve">applied for, it had to reapply and request an amendment of the percentage increase to 13,07% in line with NERSA’s publicised percentage increase, which application was approved without much ado. </w:t>
      </w:r>
    </w:p>
    <w:p w:rsidR="005E526C" w:rsidRDefault="005E526C"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[91</w:t>
      </w:r>
      <w:r w:rsidR="00C41BBC">
        <w:rPr>
          <w:rFonts w:ascii="Arial" w:hAnsi="Arial" w:cs="Arial"/>
          <w:color w:val="000000"/>
          <w:sz w:val="24"/>
          <w:szCs w:val="24"/>
        </w:rPr>
        <w:t>]</w:t>
      </w:r>
      <w:r w:rsidR="00C41BBC">
        <w:rPr>
          <w:rFonts w:ascii="Arial" w:hAnsi="Arial" w:cs="Arial"/>
          <w:color w:val="000000"/>
          <w:sz w:val="24"/>
          <w:szCs w:val="24"/>
        </w:rPr>
        <w:tab/>
        <w:t xml:space="preserve">City Power’s application would have been approved without much ado because it fell squarely within the percentage increase set by NERSA. In the Consultation Paper that was circulated to NERSA’s stakeholders, including the municipalities, at the time, NERSA mentioned that municipalities must submit their specific cost drivers should they be different from the ones presented by NERSA in the Consultation Paper. The Consultation Paper, furthermore, mentioned that municipalities applying for an increase that was above the guideline have to justify their increases to NERSA. Moreover, in NERSA’s ‘Reason for Decision’ of the ‘Determination of the Municipal Tariff Guideline for the Financial Year 2019/2020 and the Revision of the Municipal Tariff Benchmarks Decision’, it was stated that municipalities applying for an increase that was above the guideline </w:t>
      </w:r>
      <w:r w:rsidR="005E526C">
        <w:rPr>
          <w:rFonts w:ascii="Arial" w:hAnsi="Arial" w:cs="Arial"/>
          <w:color w:val="000000"/>
          <w:sz w:val="24"/>
          <w:szCs w:val="24"/>
        </w:rPr>
        <w:t>would</w:t>
      </w:r>
      <w:r w:rsidR="00C41BBC">
        <w:rPr>
          <w:rFonts w:ascii="Arial" w:hAnsi="Arial" w:cs="Arial"/>
          <w:color w:val="000000"/>
          <w:sz w:val="24"/>
          <w:szCs w:val="24"/>
        </w:rPr>
        <w:t xml:space="preserve"> have to justify their increases to NERSA.</w:t>
      </w:r>
    </w:p>
    <w:p w:rsidR="005E526C" w:rsidRDefault="005E526C" w:rsidP="00FF0AC8">
      <w:pPr>
        <w:spacing w:after="0" w:line="360" w:lineRule="auto"/>
        <w:jc w:val="both"/>
        <w:rPr>
          <w:rFonts w:ascii="Arial" w:hAnsi="Arial" w:cs="Arial"/>
          <w:color w:val="000000"/>
          <w:sz w:val="24"/>
          <w:szCs w:val="24"/>
        </w:rPr>
      </w:pPr>
    </w:p>
    <w:p w:rsidR="005E0C9D"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[92</w:t>
      </w:r>
      <w:r w:rsidR="00C41BBC">
        <w:rPr>
          <w:rFonts w:ascii="Arial" w:hAnsi="Arial" w:cs="Arial"/>
          <w:color w:val="000000"/>
          <w:sz w:val="24"/>
          <w:szCs w:val="24"/>
        </w:rPr>
        <w:t>]</w:t>
      </w:r>
      <w:r w:rsidR="00C41BBC">
        <w:rPr>
          <w:rFonts w:ascii="Arial" w:hAnsi="Arial" w:cs="Arial"/>
          <w:color w:val="000000"/>
          <w:sz w:val="24"/>
          <w:szCs w:val="24"/>
        </w:rPr>
        <w:tab/>
        <w:t>It follows that since City Power’s tariff increment was within NERSA’s guideline, its application would be approved without it having to justify anything. In fact, City Power did not have to motivate its application because it had applied in line with the percentage tariff guideline issued by NERSA. City Power’s application was approved even without having to explain why it changed the tariff increment it had originally applied for which was lower than that issued by NERSA, to the one that was i</w:t>
      </w:r>
      <w:r w:rsidR="005E0C9D">
        <w:rPr>
          <w:rFonts w:ascii="Arial" w:hAnsi="Arial" w:cs="Arial"/>
          <w:color w:val="000000"/>
          <w:sz w:val="24"/>
          <w:szCs w:val="24"/>
        </w:rPr>
        <w:t xml:space="preserve">n line with NERSA’s guideline.  </w:t>
      </w:r>
      <w:r w:rsidR="00C41BBC">
        <w:rPr>
          <w:rFonts w:ascii="Arial" w:hAnsi="Arial" w:cs="Arial"/>
          <w:color w:val="000000"/>
          <w:sz w:val="24"/>
          <w:szCs w:val="24"/>
        </w:rPr>
        <w:t xml:space="preserve">Of concern is that </w:t>
      </w:r>
      <w:r w:rsidR="005E0C9D">
        <w:rPr>
          <w:rFonts w:ascii="Arial" w:hAnsi="Arial" w:cs="Arial"/>
          <w:color w:val="000000"/>
          <w:sz w:val="24"/>
          <w:szCs w:val="24"/>
        </w:rPr>
        <w:t xml:space="preserve">some of the tariffs proposed by </w:t>
      </w:r>
      <w:r w:rsidR="00C41BBC">
        <w:rPr>
          <w:rFonts w:ascii="Arial" w:hAnsi="Arial" w:cs="Arial"/>
          <w:color w:val="000000"/>
          <w:sz w:val="24"/>
          <w:szCs w:val="24"/>
        </w:rPr>
        <w:t>City Power</w:t>
      </w:r>
      <w:r w:rsidR="005E0C9D">
        <w:rPr>
          <w:rFonts w:ascii="Arial" w:hAnsi="Arial" w:cs="Arial"/>
          <w:color w:val="000000"/>
          <w:sz w:val="24"/>
          <w:szCs w:val="24"/>
        </w:rPr>
        <w:t xml:space="preserve"> in its application, because they fell </w:t>
      </w:r>
      <w:r w:rsidR="00C41BBC">
        <w:rPr>
          <w:rFonts w:ascii="Arial" w:hAnsi="Arial" w:cs="Arial"/>
          <w:color w:val="000000"/>
          <w:sz w:val="24"/>
          <w:szCs w:val="24"/>
        </w:rPr>
        <w:t xml:space="preserve">within the guideline were approved even though NERSA did not have benchmark tariffs for them. </w:t>
      </w:r>
    </w:p>
    <w:p w:rsidR="00110194" w:rsidRDefault="00110194" w:rsidP="00FF0AC8">
      <w:pPr>
        <w:spacing w:after="0" w:line="360" w:lineRule="auto"/>
        <w:jc w:val="both"/>
        <w:rPr>
          <w:rFonts w:ascii="Arial" w:hAnsi="Arial" w:cs="Arial"/>
          <w:color w:val="000000"/>
          <w:sz w:val="24"/>
          <w:szCs w:val="24"/>
        </w:rPr>
      </w:pPr>
    </w:p>
    <w:p w:rsidR="00846EDE"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[93]</w:t>
      </w:r>
      <w:r>
        <w:rPr>
          <w:rFonts w:ascii="Arial" w:hAnsi="Arial" w:cs="Arial"/>
          <w:color w:val="000000"/>
          <w:sz w:val="24"/>
          <w:szCs w:val="24"/>
        </w:rPr>
        <w:tab/>
      </w:r>
      <w:r w:rsidR="000821BA">
        <w:rPr>
          <w:rFonts w:ascii="Arial" w:hAnsi="Arial" w:cs="Arial"/>
          <w:color w:val="000000"/>
          <w:sz w:val="24"/>
          <w:szCs w:val="24"/>
        </w:rPr>
        <w:t xml:space="preserve">Importantly, the method used by NERSA, does not allow for the actual distribution costs to be identified or investigated, but, is instead, reflective of tariffs charged by other municipalities. This is occasioned by the fact that this </w:t>
      </w:r>
      <w:r w:rsidR="000821BA">
        <w:rPr>
          <w:rFonts w:ascii="Arial" w:hAnsi="Arial" w:cs="Arial"/>
          <w:color w:val="000000"/>
          <w:sz w:val="24"/>
          <w:szCs w:val="24"/>
        </w:rPr>
        <w:lastRenderedPageBreak/>
        <w:t>is the method that was used to derive the original benchmark values that were set some ten (10) years ago by NERSA. The actual tariffs have never be</w:t>
      </w:r>
      <w:r w:rsidR="00043375">
        <w:rPr>
          <w:rFonts w:ascii="Arial" w:hAnsi="Arial" w:cs="Arial"/>
          <w:color w:val="000000"/>
          <w:sz w:val="24"/>
          <w:szCs w:val="24"/>
        </w:rPr>
        <w:t>en</w:t>
      </w:r>
      <w:r w:rsidR="000821BA">
        <w:rPr>
          <w:rFonts w:ascii="Arial" w:hAnsi="Arial" w:cs="Arial"/>
          <w:color w:val="000000"/>
          <w:sz w:val="24"/>
          <w:szCs w:val="24"/>
        </w:rPr>
        <w:t xml:space="preserve"> determined because of this method. The benchmarks </w:t>
      </w:r>
      <w:r w:rsidR="00043375">
        <w:rPr>
          <w:rFonts w:ascii="Arial" w:hAnsi="Arial" w:cs="Arial"/>
          <w:color w:val="000000"/>
          <w:sz w:val="24"/>
          <w:szCs w:val="24"/>
        </w:rPr>
        <w:t>have</w:t>
      </w:r>
      <w:r w:rsidR="000821BA">
        <w:rPr>
          <w:rFonts w:ascii="Arial" w:hAnsi="Arial" w:cs="Arial"/>
          <w:color w:val="000000"/>
          <w:sz w:val="24"/>
          <w:szCs w:val="24"/>
        </w:rPr>
        <w:t xml:space="preserve"> simply </w:t>
      </w:r>
      <w:r w:rsidR="00043375">
        <w:rPr>
          <w:rFonts w:ascii="Arial" w:hAnsi="Arial" w:cs="Arial"/>
          <w:color w:val="000000"/>
          <w:sz w:val="24"/>
          <w:szCs w:val="24"/>
        </w:rPr>
        <w:t xml:space="preserve">been, annually, </w:t>
      </w:r>
      <w:r w:rsidR="000821BA">
        <w:rPr>
          <w:rFonts w:ascii="Arial" w:hAnsi="Arial" w:cs="Arial"/>
          <w:color w:val="000000"/>
          <w:sz w:val="24"/>
          <w:szCs w:val="24"/>
        </w:rPr>
        <w:t>escalated since then without regard to the actual underlying costs of any municipality</w:t>
      </w:r>
      <w:r w:rsidR="00043375">
        <w:rPr>
          <w:rFonts w:ascii="Arial" w:hAnsi="Arial" w:cs="Arial"/>
          <w:color w:val="000000"/>
          <w:sz w:val="24"/>
          <w:szCs w:val="24"/>
        </w:rPr>
        <w:t>, City of Johannesburg, included.</w:t>
      </w:r>
      <w:r w:rsidR="000821BA">
        <w:rPr>
          <w:rFonts w:ascii="Arial" w:hAnsi="Arial" w:cs="Arial"/>
          <w:color w:val="000000"/>
          <w:sz w:val="24"/>
          <w:szCs w:val="24"/>
        </w:rPr>
        <w:t xml:space="preserve">   </w:t>
      </w:r>
      <w:r w:rsidR="00043375">
        <w:rPr>
          <w:rFonts w:ascii="Arial" w:hAnsi="Arial" w:cs="Arial"/>
          <w:color w:val="000000"/>
          <w:sz w:val="24"/>
          <w:szCs w:val="24"/>
        </w:rPr>
        <w:t>Without the actual underlying costs being determined, City Power’s true cost of supply will never be known and any tariff set by NERSA will remain in contravention of the legislative and regulatory framework and, therefore, unlawful.</w:t>
      </w:r>
    </w:p>
    <w:p w:rsidR="00C55EDF" w:rsidRDefault="00C55EDF"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[94</w:t>
      </w:r>
      <w:r w:rsidR="00C41BBC">
        <w:rPr>
          <w:rFonts w:ascii="Arial" w:hAnsi="Arial" w:cs="Arial"/>
          <w:color w:val="000000"/>
          <w:sz w:val="24"/>
          <w:szCs w:val="24"/>
        </w:rPr>
        <w:t>]</w:t>
      </w:r>
      <w:r w:rsidR="00C41BBC">
        <w:rPr>
          <w:rFonts w:ascii="Arial" w:hAnsi="Arial" w:cs="Arial"/>
          <w:color w:val="000000"/>
          <w:sz w:val="24"/>
          <w:szCs w:val="24"/>
        </w:rPr>
        <w:tab/>
        <w:t>Addition</w:t>
      </w:r>
      <w:r w:rsidR="00F541E2">
        <w:rPr>
          <w:rFonts w:ascii="Arial" w:hAnsi="Arial" w:cs="Arial"/>
          <w:color w:val="000000"/>
          <w:sz w:val="24"/>
          <w:szCs w:val="24"/>
        </w:rPr>
        <w:t>ally, the Record of D</w:t>
      </w:r>
      <w:r w:rsidR="00043375">
        <w:rPr>
          <w:rFonts w:ascii="Arial" w:hAnsi="Arial" w:cs="Arial"/>
          <w:color w:val="000000"/>
          <w:sz w:val="24"/>
          <w:szCs w:val="24"/>
        </w:rPr>
        <w:t>ecision does</w:t>
      </w:r>
      <w:r w:rsidR="00C41BBC">
        <w:rPr>
          <w:rFonts w:ascii="Arial" w:hAnsi="Arial" w:cs="Arial"/>
          <w:color w:val="000000"/>
          <w:sz w:val="24"/>
          <w:szCs w:val="24"/>
        </w:rPr>
        <w:t xml:space="preserve"> not </w:t>
      </w:r>
      <w:r w:rsidR="00043375">
        <w:rPr>
          <w:rFonts w:ascii="Arial" w:hAnsi="Arial" w:cs="Arial"/>
          <w:color w:val="000000"/>
          <w:sz w:val="24"/>
          <w:szCs w:val="24"/>
        </w:rPr>
        <w:t>indicate that there was</w:t>
      </w:r>
      <w:r w:rsidR="00C41BBC">
        <w:rPr>
          <w:rFonts w:ascii="Arial" w:hAnsi="Arial" w:cs="Arial"/>
          <w:color w:val="000000"/>
          <w:sz w:val="24"/>
          <w:szCs w:val="24"/>
        </w:rPr>
        <w:t xml:space="preserve"> sufficient cost based information to enable NERSA to determine the true cost</w:t>
      </w:r>
      <w:r w:rsidR="000F4827">
        <w:rPr>
          <w:rFonts w:ascii="Arial" w:hAnsi="Arial" w:cs="Arial"/>
          <w:color w:val="000000"/>
          <w:sz w:val="24"/>
          <w:szCs w:val="24"/>
        </w:rPr>
        <w:t xml:space="preserve"> of supply for City Power. The R</w:t>
      </w:r>
      <w:r w:rsidR="00C41BBC">
        <w:rPr>
          <w:rFonts w:ascii="Arial" w:hAnsi="Arial" w:cs="Arial"/>
          <w:color w:val="000000"/>
          <w:sz w:val="24"/>
          <w:szCs w:val="24"/>
        </w:rPr>
        <w:t xml:space="preserve">ecord of </w:t>
      </w:r>
      <w:r w:rsidR="000F4827">
        <w:rPr>
          <w:rFonts w:ascii="Arial" w:hAnsi="Arial" w:cs="Arial"/>
          <w:color w:val="000000"/>
          <w:sz w:val="24"/>
          <w:szCs w:val="24"/>
        </w:rPr>
        <w:t>D</w:t>
      </w:r>
      <w:r w:rsidR="00C41BBC">
        <w:rPr>
          <w:rFonts w:ascii="Arial" w:hAnsi="Arial" w:cs="Arial"/>
          <w:color w:val="000000"/>
          <w:sz w:val="24"/>
          <w:szCs w:val="24"/>
        </w:rPr>
        <w:t>ecision states that when developing the percentage guideline for the 2019/</w:t>
      </w:r>
      <w:r w:rsidR="000F4827">
        <w:rPr>
          <w:rFonts w:ascii="Arial" w:hAnsi="Arial" w:cs="Arial"/>
          <w:color w:val="000000"/>
          <w:sz w:val="24"/>
          <w:szCs w:val="24"/>
        </w:rPr>
        <w:t>20</w:t>
      </w:r>
      <w:r w:rsidR="00C41BBC">
        <w:rPr>
          <w:rFonts w:ascii="Arial" w:hAnsi="Arial" w:cs="Arial"/>
          <w:color w:val="000000"/>
          <w:sz w:val="24"/>
          <w:szCs w:val="24"/>
        </w:rPr>
        <w:t>20 financial year, NERSA cons</w:t>
      </w:r>
      <w:r w:rsidR="005E0C9D">
        <w:rPr>
          <w:rFonts w:ascii="Arial" w:hAnsi="Arial" w:cs="Arial"/>
          <w:color w:val="000000"/>
          <w:sz w:val="24"/>
          <w:szCs w:val="24"/>
        </w:rPr>
        <w:t>idered</w:t>
      </w:r>
      <w:r w:rsidR="00C41BBC">
        <w:rPr>
          <w:rFonts w:ascii="Arial" w:hAnsi="Arial" w:cs="Arial"/>
          <w:color w:val="000000"/>
          <w:sz w:val="24"/>
          <w:szCs w:val="24"/>
        </w:rPr>
        <w:t xml:space="preserve"> the 2016/</w:t>
      </w:r>
      <w:r w:rsidR="000F4827">
        <w:rPr>
          <w:rFonts w:ascii="Arial" w:hAnsi="Arial" w:cs="Arial"/>
          <w:color w:val="000000"/>
          <w:sz w:val="24"/>
          <w:szCs w:val="24"/>
        </w:rPr>
        <w:t>20</w:t>
      </w:r>
      <w:r w:rsidR="00C41BBC">
        <w:rPr>
          <w:rFonts w:ascii="Arial" w:hAnsi="Arial" w:cs="Arial"/>
          <w:color w:val="000000"/>
          <w:sz w:val="24"/>
          <w:szCs w:val="24"/>
        </w:rPr>
        <w:t>17 D-Forms information which was used to determine whether there would be any changes to the mu</w:t>
      </w:r>
      <w:r w:rsidR="005E0C9D">
        <w:rPr>
          <w:rFonts w:ascii="Arial" w:hAnsi="Arial" w:cs="Arial"/>
          <w:color w:val="000000"/>
          <w:sz w:val="24"/>
          <w:szCs w:val="24"/>
        </w:rPr>
        <w:t>nicipality’s cost structures. T</w:t>
      </w:r>
      <w:r w:rsidR="00C41BBC">
        <w:rPr>
          <w:rFonts w:ascii="Arial" w:hAnsi="Arial" w:cs="Arial"/>
          <w:color w:val="000000"/>
          <w:sz w:val="24"/>
          <w:szCs w:val="24"/>
        </w:rPr>
        <w:t>he D-Forms were</w:t>
      </w:r>
      <w:r w:rsidR="005E0C9D">
        <w:rPr>
          <w:rFonts w:ascii="Arial" w:hAnsi="Arial" w:cs="Arial"/>
          <w:color w:val="000000"/>
          <w:sz w:val="24"/>
          <w:szCs w:val="24"/>
        </w:rPr>
        <w:t>, also,</w:t>
      </w:r>
      <w:r w:rsidR="00C41BBC">
        <w:rPr>
          <w:rFonts w:ascii="Arial" w:hAnsi="Arial" w:cs="Arial"/>
          <w:color w:val="000000"/>
          <w:sz w:val="24"/>
          <w:szCs w:val="24"/>
        </w:rPr>
        <w:t xml:space="preserve"> considered </w:t>
      </w:r>
      <w:r w:rsidR="005E0C9D">
        <w:rPr>
          <w:rFonts w:ascii="Arial" w:hAnsi="Arial" w:cs="Arial"/>
          <w:color w:val="000000"/>
          <w:sz w:val="24"/>
          <w:szCs w:val="24"/>
        </w:rPr>
        <w:t xml:space="preserve">to </w:t>
      </w:r>
      <w:r w:rsidR="00C41BBC">
        <w:rPr>
          <w:rFonts w:ascii="Arial" w:hAnsi="Arial" w:cs="Arial"/>
          <w:color w:val="000000"/>
          <w:sz w:val="24"/>
          <w:szCs w:val="24"/>
        </w:rPr>
        <w:t>determin</w:t>
      </w:r>
      <w:r w:rsidR="005E0C9D">
        <w:rPr>
          <w:rFonts w:ascii="Arial" w:hAnsi="Arial" w:cs="Arial"/>
          <w:color w:val="000000"/>
          <w:sz w:val="24"/>
          <w:szCs w:val="24"/>
        </w:rPr>
        <w:t>e</w:t>
      </w:r>
      <w:r w:rsidR="00C41BBC">
        <w:rPr>
          <w:rFonts w:ascii="Arial" w:hAnsi="Arial" w:cs="Arial"/>
          <w:color w:val="000000"/>
          <w:sz w:val="24"/>
          <w:szCs w:val="24"/>
        </w:rPr>
        <w:t xml:space="preserve"> whether the weights of the cost drivers that have been developed need to be revised and maintained.</w:t>
      </w:r>
    </w:p>
    <w:p w:rsidR="00C55EDF" w:rsidRDefault="00C55EDF"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[95</w:t>
      </w:r>
      <w:r w:rsidR="00C41BBC">
        <w:rPr>
          <w:rFonts w:ascii="Arial" w:hAnsi="Arial" w:cs="Arial"/>
          <w:color w:val="000000"/>
          <w:sz w:val="24"/>
          <w:szCs w:val="24"/>
        </w:rPr>
        <w:t>]</w:t>
      </w:r>
      <w:r w:rsidR="00C41BBC">
        <w:rPr>
          <w:rFonts w:ascii="Arial" w:hAnsi="Arial" w:cs="Arial"/>
          <w:color w:val="000000"/>
          <w:sz w:val="24"/>
          <w:szCs w:val="24"/>
        </w:rPr>
        <w:tab/>
        <w:t xml:space="preserve">As is evident from what is said above, the D-Forms information </w:t>
      </w:r>
      <w:r w:rsidR="000F4827">
        <w:rPr>
          <w:rFonts w:ascii="Arial" w:hAnsi="Arial" w:cs="Arial"/>
          <w:color w:val="000000"/>
          <w:sz w:val="24"/>
          <w:szCs w:val="24"/>
        </w:rPr>
        <w:t xml:space="preserve">for the financial year 2016/2017, </w:t>
      </w:r>
      <w:r w:rsidR="00C41BBC">
        <w:rPr>
          <w:rFonts w:ascii="Arial" w:hAnsi="Arial" w:cs="Arial"/>
          <w:color w:val="000000"/>
          <w:sz w:val="24"/>
          <w:szCs w:val="24"/>
        </w:rPr>
        <w:t>was used to determine the percentage guideline</w:t>
      </w:r>
      <w:r w:rsidR="000F4827">
        <w:rPr>
          <w:rFonts w:ascii="Arial" w:hAnsi="Arial" w:cs="Arial"/>
          <w:color w:val="000000"/>
          <w:sz w:val="24"/>
          <w:szCs w:val="24"/>
        </w:rPr>
        <w:t xml:space="preserve"> for the 2019/2020 financial year</w:t>
      </w:r>
      <w:r w:rsidR="00C41BBC">
        <w:rPr>
          <w:rFonts w:ascii="Arial" w:hAnsi="Arial" w:cs="Arial"/>
          <w:color w:val="000000"/>
          <w:sz w:val="24"/>
          <w:szCs w:val="24"/>
        </w:rPr>
        <w:t>.  Ordinarily the information that ought to have been used, should have been the information of the preceding year, that is, the information from the D-Forms of the 2018/2019 financial year. Undoubtedly, therefore, the information that was used to determine the City Power tariffs, was outdated</w:t>
      </w:r>
      <w:r w:rsidR="00DF4563">
        <w:rPr>
          <w:rFonts w:ascii="Arial" w:hAnsi="Arial" w:cs="Arial"/>
          <w:color w:val="000000"/>
          <w:sz w:val="24"/>
          <w:szCs w:val="24"/>
        </w:rPr>
        <w:t>, and NERSA’s argument that it had credible financial information that assisted it to approve a tariff that allows for the recovery of efficiently incurred costs including a reasonable margin or return, is not sustainable</w:t>
      </w:r>
      <w:r w:rsidR="00C41BBC">
        <w:rPr>
          <w:rFonts w:ascii="Arial" w:hAnsi="Arial" w:cs="Arial"/>
          <w:color w:val="000000"/>
          <w:sz w:val="24"/>
          <w:szCs w:val="24"/>
        </w:rPr>
        <w:t xml:space="preserve">. NERSA stated, as well, that the information submitted in the D-Forms was expected to be accurate as it was mainly based on previously audited ring-fenced financial statements. It argued that it did not have to doubt that information as it was from audited financial statements. NERSA, also, </w:t>
      </w:r>
      <w:r w:rsidR="00C41BBC">
        <w:rPr>
          <w:rFonts w:ascii="Arial" w:hAnsi="Arial" w:cs="Arial"/>
          <w:color w:val="000000"/>
          <w:sz w:val="24"/>
          <w:szCs w:val="24"/>
        </w:rPr>
        <w:lastRenderedPageBreak/>
        <w:t>acknowledged that it had seen an improvement in the quality of data submitted by the municipalities.</w:t>
      </w:r>
    </w:p>
    <w:p w:rsidR="00CB13DD" w:rsidRDefault="00CB13DD" w:rsidP="00FF0AC8">
      <w:pPr>
        <w:spacing w:after="0" w:line="360" w:lineRule="auto"/>
        <w:jc w:val="both"/>
        <w:rPr>
          <w:rFonts w:ascii="Arial" w:hAnsi="Arial" w:cs="Arial"/>
          <w:color w:val="000000"/>
          <w:sz w:val="24"/>
          <w:szCs w:val="24"/>
        </w:rPr>
      </w:pPr>
    </w:p>
    <w:p w:rsidR="00CB13DD"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[96</w:t>
      </w:r>
      <w:r w:rsidR="00C41BBC">
        <w:rPr>
          <w:rFonts w:ascii="Arial" w:hAnsi="Arial" w:cs="Arial"/>
          <w:color w:val="000000"/>
          <w:sz w:val="24"/>
          <w:szCs w:val="24"/>
        </w:rPr>
        <w:t>]</w:t>
      </w:r>
      <w:r w:rsidR="00C41BBC">
        <w:rPr>
          <w:rFonts w:ascii="Arial" w:hAnsi="Arial" w:cs="Arial"/>
          <w:color w:val="000000"/>
          <w:sz w:val="24"/>
          <w:szCs w:val="24"/>
        </w:rPr>
        <w:tab/>
        <w:t>This statement, in this Court’s view, is an indication that there have been some discrepancies noted by NERSA previously in regard to the information provided in the D-Forms, which appears not to have been dealt with satisfactory and completely. Save for saying</w:t>
      </w:r>
      <w:r w:rsidR="00CB13DD">
        <w:rPr>
          <w:rFonts w:ascii="Arial" w:hAnsi="Arial" w:cs="Arial"/>
          <w:color w:val="000000"/>
          <w:sz w:val="24"/>
          <w:szCs w:val="24"/>
        </w:rPr>
        <w:t>,</w:t>
      </w:r>
      <w:r w:rsidR="00EB66A2">
        <w:rPr>
          <w:rFonts w:ascii="Arial" w:hAnsi="Arial" w:cs="Arial"/>
          <w:color w:val="000000"/>
          <w:sz w:val="24"/>
          <w:szCs w:val="24"/>
        </w:rPr>
        <w:t xml:space="preserve"> </w:t>
      </w:r>
      <w:r w:rsidR="00C41BBC">
        <w:rPr>
          <w:rFonts w:ascii="Arial" w:hAnsi="Arial" w:cs="Arial"/>
          <w:color w:val="000000"/>
          <w:sz w:val="24"/>
          <w:szCs w:val="24"/>
        </w:rPr>
        <w:t xml:space="preserve">it had seen some improvements, NERSA, does not state what </w:t>
      </w:r>
      <w:r w:rsidR="00CB13DD">
        <w:rPr>
          <w:rFonts w:ascii="Arial" w:hAnsi="Arial" w:cs="Arial"/>
          <w:color w:val="000000"/>
          <w:sz w:val="24"/>
          <w:szCs w:val="24"/>
        </w:rPr>
        <w:t>the discrepancies were</w:t>
      </w:r>
      <w:r w:rsidR="00C41BBC">
        <w:rPr>
          <w:rFonts w:ascii="Arial" w:hAnsi="Arial" w:cs="Arial"/>
          <w:color w:val="000000"/>
          <w:sz w:val="24"/>
          <w:szCs w:val="24"/>
        </w:rPr>
        <w:t xml:space="preserve"> and in what manner </w:t>
      </w:r>
      <w:r w:rsidR="00CB13DD">
        <w:rPr>
          <w:rFonts w:ascii="Arial" w:hAnsi="Arial" w:cs="Arial"/>
          <w:color w:val="000000"/>
          <w:sz w:val="24"/>
          <w:szCs w:val="24"/>
        </w:rPr>
        <w:t>those discrepancies have</w:t>
      </w:r>
      <w:r w:rsidR="00C41BBC">
        <w:rPr>
          <w:rFonts w:ascii="Arial" w:hAnsi="Arial" w:cs="Arial"/>
          <w:color w:val="000000"/>
          <w:sz w:val="24"/>
          <w:szCs w:val="24"/>
        </w:rPr>
        <w:t xml:space="preserve"> improved. Therefore, without that explanation by NERSA, it cannot be </w:t>
      </w:r>
      <w:r w:rsidR="000F4827">
        <w:rPr>
          <w:rFonts w:ascii="Arial" w:hAnsi="Arial" w:cs="Arial"/>
          <w:color w:val="000000"/>
          <w:sz w:val="24"/>
          <w:szCs w:val="24"/>
        </w:rPr>
        <w:t>categorically stated,</w:t>
      </w:r>
      <w:r w:rsidR="00C41BBC">
        <w:rPr>
          <w:rFonts w:ascii="Arial" w:hAnsi="Arial" w:cs="Arial"/>
          <w:color w:val="000000"/>
          <w:sz w:val="24"/>
          <w:szCs w:val="24"/>
        </w:rPr>
        <w:t xml:space="preserve"> that the discrepancies that NERSA had noted previously, have been completely and satisfactory dealt with, nor can NERSA say, with certainty, that the information that was before it when it took the impugned decision was accurate and reliable. </w:t>
      </w:r>
    </w:p>
    <w:p w:rsidR="000F4827" w:rsidRDefault="000F4827" w:rsidP="00FF0AC8">
      <w:pPr>
        <w:spacing w:after="0" w:line="360" w:lineRule="auto"/>
        <w:jc w:val="both"/>
        <w:rPr>
          <w:rFonts w:ascii="Arial" w:hAnsi="Arial" w:cs="Arial"/>
          <w:color w:val="000000"/>
          <w:sz w:val="24"/>
          <w:szCs w:val="24"/>
        </w:rPr>
      </w:pPr>
    </w:p>
    <w:p w:rsidR="00C41BBC" w:rsidRDefault="00C41BBC" w:rsidP="00FF0AC8">
      <w:pPr>
        <w:spacing w:after="0" w:line="360" w:lineRule="auto"/>
        <w:jc w:val="both"/>
        <w:rPr>
          <w:rFonts w:ascii="Arial" w:hAnsi="Arial" w:cs="Arial"/>
          <w:color w:val="000000"/>
          <w:sz w:val="24"/>
          <w:szCs w:val="24"/>
        </w:rPr>
      </w:pPr>
      <w:r>
        <w:rPr>
          <w:rFonts w:ascii="Arial" w:hAnsi="Arial" w:cs="Arial"/>
          <w:color w:val="000000"/>
          <w:sz w:val="24"/>
          <w:szCs w:val="24"/>
        </w:rPr>
        <w:t>[</w:t>
      </w:r>
      <w:r w:rsidR="001D3E9F">
        <w:rPr>
          <w:rFonts w:ascii="Arial" w:hAnsi="Arial" w:cs="Arial"/>
          <w:color w:val="000000"/>
          <w:sz w:val="24"/>
          <w:szCs w:val="24"/>
        </w:rPr>
        <w:t>9</w:t>
      </w:r>
      <w:r>
        <w:rPr>
          <w:rFonts w:ascii="Arial" w:hAnsi="Arial" w:cs="Arial"/>
          <w:color w:val="000000"/>
          <w:sz w:val="24"/>
          <w:szCs w:val="24"/>
        </w:rPr>
        <w:t>7]</w:t>
      </w:r>
      <w:r>
        <w:rPr>
          <w:rFonts w:ascii="Arial" w:hAnsi="Arial" w:cs="Arial"/>
          <w:color w:val="000000"/>
          <w:sz w:val="24"/>
          <w:szCs w:val="24"/>
        </w:rPr>
        <w:tab/>
        <w:t>Moreover, even if, as NERSA wanted to argue, the information was contained in audited and ring-fenced, financial statements, the fact remains that the information in those financial statements, was definitely dated.</w:t>
      </w:r>
    </w:p>
    <w:p w:rsidR="00CB13DD" w:rsidRDefault="00CB13D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[98</w:t>
      </w:r>
      <w:r w:rsidR="00C41BBC">
        <w:rPr>
          <w:rFonts w:ascii="Arial" w:hAnsi="Arial" w:cs="Arial"/>
          <w:color w:val="000000"/>
          <w:sz w:val="24"/>
          <w:szCs w:val="24"/>
        </w:rPr>
        <w:t>]</w:t>
      </w:r>
      <w:r w:rsidR="00C41BBC">
        <w:rPr>
          <w:rFonts w:ascii="Arial" w:hAnsi="Arial" w:cs="Arial"/>
          <w:color w:val="000000"/>
          <w:sz w:val="24"/>
          <w:szCs w:val="24"/>
        </w:rPr>
        <w:tab/>
        <w:t xml:space="preserve">NERSA’s challenges are further compounded by the fact that </w:t>
      </w:r>
      <w:r w:rsidR="00C41BBC" w:rsidRPr="00334D8D">
        <w:rPr>
          <w:rFonts w:ascii="Arial" w:hAnsi="Arial" w:cs="Arial"/>
          <w:color w:val="000000"/>
          <w:sz w:val="24"/>
          <w:szCs w:val="24"/>
        </w:rPr>
        <w:t xml:space="preserve">the benchmark </w:t>
      </w:r>
      <w:r w:rsidR="00C41BBC">
        <w:rPr>
          <w:rFonts w:ascii="Arial" w:hAnsi="Arial" w:cs="Arial"/>
          <w:color w:val="000000"/>
          <w:sz w:val="24"/>
          <w:szCs w:val="24"/>
        </w:rPr>
        <w:t>was developed based on</w:t>
      </w:r>
      <w:r w:rsidR="00C41BBC" w:rsidRPr="00334D8D">
        <w:rPr>
          <w:rFonts w:ascii="Arial" w:hAnsi="Arial" w:cs="Arial"/>
          <w:color w:val="000000"/>
          <w:sz w:val="24"/>
          <w:szCs w:val="24"/>
        </w:rPr>
        <w:t xml:space="preserve"> information contained in a stratified sample of all municipalities</w:t>
      </w:r>
      <w:r w:rsidR="00C41BBC">
        <w:rPr>
          <w:rFonts w:ascii="Arial" w:hAnsi="Arial" w:cs="Arial"/>
          <w:color w:val="000000"/>
          <w:sz w:val="24"/>
          <w:szCs w:val="24"/>
        </w:rPr>
        <w:t>,</w:t>
      </w:r>
      <w:r w:rsidR="00C41BBC" w:rsidRPr="00334D8D">
        <w:rPr>
          <w:rFonts w:ascii="Arial" w:hAnsi="Arial" w:cs="Arial"/>
          <w:color w:val="000000"/>
          <w:sz w:val="24"/>
          <w:szCs w:val="24"/>
        </w:rPr>
        <w:t xml:space="preserve"> and </w:t>
      </w:r>
      <w:r w:rsidR="00C41BBC">
        <w:rPr>
          <w:rFonts w:ascii="Arial" w:hAnsi="Arial" w:cs="Arial"/>
          <w:color w:val="000000"/>
          <w:sz w:val="24"/>
          <w:szCs w:val="24"/>
        </w:rPr>
        <w:t>City Power tariffs were increased by that</w:t>
      </w:r>
      <w:r w:rsidR="00C41BBC" w:rsidRPr="00334D8D">
        <w:rPr>
          <w:rFonts w:ascii="Arial" w:hAnsi="Arial" w:cs="Arial"/>
          <w:color w:val="000000"/>
          <w:sz w:val="24"/>
          <w:szCs w:val="24"/>
        </w:rPr>
        <w:t xml:space="preserve"> benchmark</w:t>
      </w:r>
      <w:r w:rsidR="00C41BBC">
        <w:rPr>
          <w:rFonts w:ascii="Arial" w:hAnsi="Arial" w:cs="Arial"/>
          <w:color w:val="000000"/>
          <w:sz w:val="24"/>
          <w:szCs w:val="24"/>
        </w:rPr>
        <w:t>. City Power tariffs can, therefore, not be said to be cost reflective, under the circumstances.</w:t>
      </w:r>
    </w:p>
    <w:p w:rsidR="00CB13DD" w:rsidRDefault="00CB13D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[99</w:t>
      </w:r>
      <w:r w:rsidR="00C41BBC">
        <w:rPr>
          <w:rFonts w:ascii="Arial" w:hAnsi="Arial" w:cs="Arial"/>
          <w:color w:val="000000"/>
          <w:sz w:val="24"/>
          <w:szCs w:val="24"/>
        </w:rPr>
        <w:t>]</w:t>
      </w:r>
      <w:r w:rsidR="00C41BBC">
        <w:rPr>
          <w:rFonts w:ascii="Arial" w:hAnsi="Arial" w:cs="Arial"/>
          <w:color w:val="000000"/>
          <w:sz w:val="24"/>
          <w:szCs w:val="24"/>
        </w:rPr>
        <w:tab/>
        <w:t xml:space="preserve">Of fundamental importance is that NERSA conceded that it </w:t>
      </w:r>
      <w:r w:rsidR="00CB13DD">
        <w:rPr>
          <w:rFonts w:ascii="Arial" w:hAnsi="Arial" w:cs="Arial"/>
          <w:color w:val="000000"/>
          <w:sz w:val="24"/>
          <w:szCs w:val="24"/>
        </w:rPr>
        <w:t>could</w:t>
      </w:r>
      <w:r w:rsidR="00C41BBC">
        <w:rPr>
          <w:rFonts w:ascii="Arial" w:hAnsi="Arial" w:cs="Arial"/>
          <w:color w:val="000000"/>
          <w:sz w:val="24"/>
          <w:szCs w:val="24"/>
        </w:rPr>
        <w:t xml:space="preserve"> only develop and implement costs reflective tariffs upon submis</w:t>
      </w:r>
      <w:r w:rsidR="000F4827">
        <w:rPr>
          <w:rFonts w:ascii="Arial" w:hAnsi="Arial" w:cs="Arial"/>
          <w:color w:val="000000"/>
          <w:sz w:val="24"/>
          <w:szCs w:val="24"/>
        </w:rPr>
        <w:t>sion of the cost of supply studies</w:t>
      </w:r>
      <w:r w:rsidR="00C41BBC">
        <w:rPr>
          <w:rFonts w:ascii="Arial" w:hAnsi="Arial" w:cs="Arial"/>
          <w:color w:val="000000"/>
          <w:sz w:val="24"/>
          <w:szCs w:val="24"/>
        </w:rPr>
        <w:t xml:space="preserve"> by municipalities. City Power did not submit a cost of supply study. </w:t>
      </w:r>
      <w:r w:rsidR="00CB13DD">
        <w:rPr>
          <w:rFonts w:ascii="Arial" w:hAnsi="Arial" w:cs="Arial"/>
          <w:color w:val="000000"/>
          <w:sz w:val="24"/>
          <w:szCs w:val="24"/>
        </w:rPr>
        <w:t>Therefore, i</w:t>
      </w:r>
      <w:r w:rsidR="00C41BBC">
        <w:rPr>
          <w:rFonts w:ascii="Arial" w:hAnsi="Arial" w:cs="Arial"/>
          <w:color w:val="000000"/>
          <w:sz w:val="24"/>
          <w:szCs w:val="24"/>
        </w:rPr>
        <w:t xml:space="preserve">t </w:t>
      </w:r>
      <w:r w:rsidR="00CB13DD">
        <w:rPr>
          <w:rFonts w:ascii="Arial" w:hAnsi="Arial" w:cs="Arial"/>
          <w:color w:val="000000"/>
          <w:sz w:val="24"/>
          <w:szCs w:val="24"/>
        </w:rPr>
        <w:t xml:space="preserve">is </w:t>
      </w:r>
      <w:r w:rsidR="00382F33">
        <w:rPr>
          <w:rFonts w:ascii="Arial" w:hAnsi="Arial" w:cs="Arial"/>
          <w:color w:val="000000"/>
          <w:sz w:val="24"/>
          <w:szCs w:val="24"/>
        </w:rPr>
        <w:t>goes without saying</w:t>
      </w:r>
      <w:r w:rsidR="00C41BBC">
        <w:rPr>
          <w:rFonts w:ascii="Arial" w:hAnsi="Arial" w:cs="Arial"/>
          <w:color w:val="000000"/>
          <w:sz w:val="24"/>
          <w:szCs w:val="24"/>
        </w:rPr>
        <w:t xml:space="preserve"> that NERSA could not determine cost reflective tariffs for City Power. </w:t>
      </w:r>
    </w:p>
    <w:p w:rsidR="00CB13DD" w:rsidRPr="00C41BBC" w:rsidRDefault="00CB13DD" w:rsidP="00FF0AC8">
      <w:pPr>
        <w:spacing w:after="0" w:line="360" w:lineRule="auto"/>
        <w:jc w:val="both"/>
        <w:rPr>
          <w:rFonts w:ascii="Arial" w:hAnsi="Arial" w:cs="Arial"/>
          <w:color w:val="000000"/>
          <w:sz w:val="24"/>
          <w:szCs w:val="24"/>
        </w:rPr>
      </w:pPr>
    </w:p>
    <w:p w:rsidR="00C41BBC" w:rsidRPr="00334D8D" w:rsidRDefault="00C41BBC" w:rsidP="00917D2E">
      <w:pPr>
        <w:spacing w:line="360" w:lineRule="auto"/>
        <w:ind w:left="720"/>
        <w:jc w:val="both"/>
        <w:rPr>
          <w:rFonts w:ascii="Arial" w:hAnsi="Arial" w:cs="Arial"/>
          <w:sz w:val="24"/>
          <w:szCs w:val="24"/>
        </w:rPr>
      </w:pPr>
      <w:r w:rsidRPr="00334D8D">
        <w:rPr>
          <w:rFonts w:ascii="Arial" w:hAnsi="Arial" w:cs="Arial"/>
          <w:sz w:val="24"/>
          <w:szCs w:val="24"/>
        </w:rPr>
        <w:lastRenderedPageBreak/>
        <w:t>Whether NERSA did not consider the cost of supply of particular customer categ</w:t>
      </w:r>
      <w:r>
        <w:rPr>
          <w:rFonts w:ascii="Arial" w:hAnsi="Arial" w:cs="Arial"/>
          <w:sz w:val="24"/>
          <w:szCs w:val="24"/>
        </w:rPr>
        <w:t xml:space="preserve">ories </w:t>
      </w: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[100</w:t>
      </w:r>
      <w:r w:rsidR="00C41BBC">
        <w:rPr>
          <w:rFonts w:ascii="Arial" w:hAnsi="Arial" w:cs="Arial"/>
          <w:sz w:val="24"/>
          <w:szCs w:val="24"/>
        </w:rPr>
        <w:t>]</w:t>
      </w:r>
      <w:r w:rsidR="00C41BBC">
        <w:rPr>
          <w:rFonts w:ascii="Arial" w:hAnsi="Arial" w:cs="Arial"/>
          <w:sz w:val="24"/>
          <w:szCs w:val="24"/>
        </w:rPr>
        <w:tab/>
        <w:t xml:space="preserve">Going further, NERSA did not have before it, information that would have assisted it to assess City Power’s cost of supply to different categories of customers, because the costs, thereof, were not known. This was so because NERSA had not in the first place determined City Power’s </w:t>
      </w:r>
      <w:r w:rsidR="00C41BBC" w:rsidRPr="00334D8D">
        <w:rPr>
          <w:rFonts w:ascii="Arial" w:hAnsi="Arial" w:cs="Arial"/>
          <w:sz w:val="24"/>
          <w:szCs w:val="24"/>
        </w:rPr>
        <w:t>over</w:t>
      </w:r>
      <w:r w:rsidR="00C41BBC">
        <w:rPr>
          <w:rFonts w:ascii="Arial" w:hAnsi="Arial" w:cs="Arial"/>
          <w:sz w:val="24"/>
          <w:szCs w:val="24"/>
        </w:rPr>
        <w:t>all cost of supply.</w:t>
      </w:r>
    </w:p>
    <w:p w:rsidR="000C2CE4" w:rsidRDefault="000C2CE4" w:rsidP="00FF0AC8">
      <w:pPr>
        <w:tabs>
          <w:tab w:val="left" w:pos="0"/>
        </w:tabs>
        <w:spacing w:after="0" w:line="360" w:lineRule="auto"/>
        <w:jc w:val="both"/>
        <w:rPr>
          <w:rFonts w:ascii="Arial" w:hAnsi="Arial" w:cs="Arial"/>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[101</w:t>
      </w:r>
      <w:r w:rsidR="00C41BBC">
        <w:rPr>
          <w:rFonts w:ascii="Arial" w:hAnsi="Arial" w:cs="Arial"/>
          <w:sz w:val="24"/>
          <w:szCs w:val="24"/>
        </w:rPr>
        <w:t>]</w:t>
      </w:r>
      <w:r w:rsidR="00C41BBC">
        <w:rPr>
          <w:rFonts w:ascii="Arial" w:hAnsi="Arial" w:cs="Arial"/>
          <w:sz w:val="24"/>
          <w:szCs w:val="24"/>
        </w:rPr>
        <w:tab/>
        <w:t>I</w:t>
      </w:r>
      <w:r w:rsidR="00C41BBC" w:rsidRPr="00334D8D">
        <w:rPr>
          <w:rFonts w:ascii="Arial" w:hAnsi="Arial" w:cs="Arial"/>
          <w:sz w:val="24"/>
          <w:szCs w:val="24"/>
        </w:rPr>
        <w:t>n terms of subsection 15(1)(d) of the ERA, discrimination between customer categories is allowed, but undue discrimination should be avoided. The subsection provides that the setting or approval of prices, charges and tariff</w:t>
      </w:r>
      <w:r w:rsidR="00C41BBC">
        <w:rPr>
          <w:rFonts w:ascii="Arial" w:hAnsi="Arial" w:cs="Arial"/>
          <w:sz w:val="24"/>
          <w:szCs w:val="24"/>
        </w:rPr>
        <w:t>s</w:t>
      </w:r>
      <w:r w:rsidR="00C41BBC" w:rsidRPr="00334D8D">
        <w:rPr>
          <w:rFonts w:ascii="Arial" w:hAnsi="Arial" w:cs="Arial"/>
          <w:sz w:val="24"/>
          <w:szCs w:val="24"/>
        </w:rPr>
        <w:t xml:space="preserve"> must avoid undue discrimination between customer categories.</w:t>
      </w:r>
      <w:r w:rsidR="00C41BBC" w:rsidRPr="00EA298B">
        <w:rPr>
          <w:rFonts w:ascii="Arial" w:hAnsi="Arial" w:cs="Arial"/>
          <w:sz w:val="24"/>
          <w:szCs w:val="24"/>
        </w:rPr>
        <w:t xml:space="preserve"> </w:t>
      </w:r>
    </w:p>
    <w:p w:rsidR="000C2CE4" w:rsidRDefault="000C2CE4" w:rsidP="00FF0AC8">
      <w:pPr>
        <w:tabs>
          <w:tab w:val="left" w:pos="0"/>
        </w:tabs>
        <w:spacing w:after="0" w:line="360" w:lineRule="auto"/>
        <w:jc w:val="both"/>
        <w:rPr>
          <w:rFonts w:ascii="Arial" w:hAnsi="Arial" w:cs="Arial"/>
          <w:sz w:val="24"/>
          <w:szCs w:val="24"/>
        </w:rPr>
      </w:pPr>
    </w:p>
    <w:p w:rsidR="00C41BBC" w:rsidRPr="00334D8D" w:rsidRDefault="001D3E9F" w:rsidP="00382F33">
      <w:pPr>
        <w:tabs>
          <w:tab w:val="left" w:pos="0"/>
        </w:tabs>
        <w:spacing w:line="360" w:lineRule="auto"/>
        <w:jc w:val="both"/>
        <w:rPr>
          <w:rFonts w:ascii="Arial" w:hAnsi="Arial" w:cs="Arial"/>
          <w:sz w:val="24"/>
          <w:szCs w:val="24"/>
        </w:rPr>
      </w:pPr>
      <w:r>
        <w:rPr>
          <w:rFonts w:ascii="Arial" w:hAnsi="Arial" w:cs="Arial"/>
          <w:sz w:val="24"/>
          <w:szCs w:val="24"/>
        </w:rPr>
        <w:t>[102</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The non-discrimination principle is further articulated in </w:t>
      </w:r>
      <w:r w:rsidR="00382F33">
        <w:rPr>
          <w:rFonts w:ascii="Arial" w:hAnsi="Arial" w:cs="Arial"/>
          <w:sz w:val="24"/>
          <w:szCs w:val="24"/>
        </w:rPr>
        <w:t>section</w:t>
      </w:r>
      <w:r w:rsidR="00C41BBC" w:rsidRPr="00334D8D">
        <w:rPr>
          <w:rFonts w:ascii="Arial" w:hAnsi="Arial" w:cs="Arial"/>
          <w:sz w:val="24"/>
          <w:szCs w:val="24"/>
        </w:rPr>
        <w:t xml:space="preserve"> 2.5 </w:t>
      </w:r>
      <w:r w:rsidR="00382F33">
        <w:rPr>
          <w:rFonts w:ascii="Arial" w:hAnsi="Arial" w:cs="Arial"/>
          <w:sz w:val="24"/>
          <w:szCs w:val="24"/>
        </w:rPr>
        <w:t>read with</w:t>
      </w:r>
      <w:r w:rsidR="00C41BBC" w:rsidRPr="00334D8D">
        <w:rPr>
          <w:rFonts w:ascii="Arial" w:hAnsi="Arial" w:cs="Arial"/>
          <w:sz w:val="24"/>
          <w:szCs w:val="24"/>
        </w:rPr>
        <w:t xml:space="preserve"> Policy Position 4 of the EPP, where the non-discrimination principle is set out as follows:</w:t>
      </w:r>
    </w:p>
    <w:p w:rsidR="00C41BBC" w:rsidRDefault="00C41BBC" w:rsidP="00FF0AC8">
      <w:pPr>
        <w:tabs>
          <w:tab w:val="left" w:pos="0"/>
        </w:tabs>
        <w:spacing w:after="0" w:line="360" w:lineRule="auto"/>
        <w:ind w:left="720"/>
        <w:jc w:val="both"/>
        <w:rPr>
          <w:rFonts w:ascii="Arial" w:hAnsi="Arial" w:cs="Arial"/>
          <w:sz w:val="20"/>
          <w:szCs w:val="20"/>
        </w:rPr>
      </w:pPr>
      <w:r w:rsidRPr="00287148">
        <w:rPr>
          <w:rFonts w:ascii="Arial" w:hAnsi="Arial" w:cs="Arial"/>
          <w:sz w:val="20"/>
          <w:szCs w:val="20"/>
        </w:rPr>
        <w:t>“</w:t>
      </w:r>
      <w:r w:rsidRPr="001378CE">
        <w:rPr>
          <w:rFonts w:ascii="Arial" w:hAnsi="Arial" w:cs="Arial"/>
          <w:i/>
          <w:sz w:val="20"/>
          <w:szCs w:val="20"/>
        </w:rPr>
        <w:t>There are currently a number of obstacles</w:t>
      </w:r>
      <w:r w:rsidR="00A50653">
        <w:rPr>
          <w:rFonts w:ascii="Arial" w:hAnsi="Arial" w:cs="Arial"/>
          <w:i/>
          <w:sz w:val="20"/>
          <w:szCs w:val="20"/>
        </w:rPr>
        <w:t>,</w:t>
      </w:r>
      <w:r w:rsidRPr="001378CE">
        <w:rPr>
          <w:rFonts w:ascii="Arial" w:hAnsi="Arial" w:cs="Arial"/>
          <w:i/>
          <w:sz w:val="20"/>
          <w:szCs w:val="20"/>
        </w:rPr>
        <w:t xml:space="preserve"> principally relating to cross subsidies that prevent the full implementation of non-discriminatory pricing approach. These discriminatory practices have created a situation where similar customers are subject to significantly different tariffs without any real differences in the cost of supply</w:t>
      </w:r>
      <w:r w:rsidR="00A50653">
        <w:rPr>
          <w:rFonts w:ascii="Arial" w:hAnsi="Arial" w:cs="Arial"/>
          <w:i/>
          <w:sz w:val="20"/>
          <w:szCs w:val="20"/>
        </w:rPr>
        <w:t>.</w:t>
      </w:r>
      <w:r w:rsidRPr="001378CE">
        <w:rPr>
          <w:rFonts w:ascii="Arial" w:hAnsi="Arial" w:cs="Arial"/>
          <w:i/>
          <w:sz w:val="20"/>
          <w:szCs w:val="20"/>
        </w:rPr>
        <w:t xml:space="preserve"> </w:t>
      </w:r>
      <w:r w:rsidR="00A50653">
        <w:rPr>
          <w:rFonts w:ascii="Arial" w:hAnsi="Arial" w:cs="Arial"/>
          <w:i/>
          <w:sz w:val="20"/>
          <w:szCs w:val="20"/>
        </w:rPr>
        <w:t>T</w:t>
      </w:r>
      <w:r w:rsidRPr="001378CE">
        <w:rPr>
          <w:rFonts w:ascii="Arial" w:hAnsi="Arial" w:cs="Arial"/>
          <w:i/>
          <w:sz w:val="20"/>
          <w:szCs w:val="20"/>
        </w:rPr>
        <w:t>his undermines the efficient allocation of resources and prevents healthy competition within similar industries. This means that the full potential and benefits of electricity could only be extended to all customers once these discriminatory pricing practices are removed. The obstacles should therefore, be addressed and removed</w:t>
      </w:r>
      <w:r>
        <w:rPr>
          <w:rFonts w:ascii="Arial" w:hAnsi="Arial" w:cs="Arial"/>
          <w:sz w:val="20"/>
          <w:szCs w:val="20"/>
        </w:rPr>
        <w:t>”</w:t>
      </w:r>
      <w:r w:rsidRPr="00287148">
        <w:rPr>
          <w:rFonts w:ascii="Arial" w:hAnsi="Arial" w:cs="Arial"/>
          <w:sz w:val="20"/>
          <w:szCs w:val="20"/>
        </w:rPr>
        <w:t>.</w:t>
      </w:r>
    </w:p>
    <w:p w:rsidR="000C2CE4" w:rsidRPr="00287148" w:rsidRDefault="000C2CE4" w:rsidP="00FF0AC8">
      <w:pPr>
        <w:tabs>
          <w:tab w:val="left" w:pos="0"/>
        </w:tabs>
        <w:spacing w:after="0" w:line="360" w:lineRule="auto"/>
        <w:ind w:left="720"/>
        <w:jc w:val="both"/>
        <w:rPr>
          <w:rFonts w:ascii="Arial" w:hAnsi="Arial" w:cs="Arial"/>
          <w:sz w:val="20"/>
          <w:szCs w:val="20"/>
        </w:rPr>
      </w:pPr>
    </w:p>
    <w:p w:rsidR="00EB66A2"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[103</w:t>
      </w:r>
      <w:r w:rsidR="00C41BBC">
        <w:rPr>
          <w:rFonts w:ascii="Arial" w:hAnsi="Arial" w:cs="Arial"/>
          <w:sz w:val="24"/>
          <w:szCs w:val="24"/>
        </w:rPr>
        <w:t>]</w:t>
      </w:r>
      <w:r w:rsidR="00C41BBC">
        <w:rPr>
          <w:rFonts w:ascii="Arial" w:hAnsi="Arial" w:cs="Arial"/>
          <w:sz w:val="24"/>
          <w:szCs w:val="24"/>
        </w:rPr>
        <w:tab/>
        <w:t>Furthermore, c</w:t>
      </w:r>
      <w:r w:rsidR="00C41BBC" w:rsidRPr="00334D8D">
        <w:rPr>
          <w:rFonts w:ascii="Arial" w:hAnsi="Arial" w:cs="Arial"/>
          <w:sz w:val="24"/>
          <w:szCs w:val="24"/>
        </w:rPr>
        <w:t>ategor</w:t>
      </w:r>
      <w:r w:rsidR="00C41BBC">
        <w:rPr>
          <w:rFonts w:ascii="Arial" w:hAnsi="Arial" w:cs="Arial"/>
          <w:sz w:val="24"/>
          <w:szCs w:val="24"/>
        </w:rPr>
        <w:t>ies</w:t>
      </w:r>
      <w:r w:rsidR="00C41BBC" w:rsidRPr="00334D8D">
        <w:rPr>
          <w:rFonts w:ascii="Arial" w:hAnsi="Arial" w:cs="Arial"/>
          <w:sz w:val="24"/>
          <w:szCs w:val="24"/>
        </w:rPr>
        <w:t xml:space="preserve"> of customers</w:t>
      </w:r>
      <w:r w:rsidR="00C41BBC">
        <w:rPr>
          <w:rFonts w:ascii="Arial" w:hAnsi="Arial" w:cs="Arial"/>
          <w:sz w:val="24"/>
          <w:szCs w:val="24"/>
        </w:rPr>
        <w:t>, for a</w:t>
      </w:r>
      <w:r w:rsidR="00C41BBC" w:rsidRPr="00334D8D">
        <w:rPr>
          <w:rFonts w:ascii="Arial" w:hAnsi="Arial" w:cs="Arial"/>
          <w:sz w:val="24"/>
          <w:szCs w:val="24"/>
        </w:rPr>
        <w:t xml:space="preserve"> </w:t>
      </w:r>
      <w:r w:rsidR="00C41BBC">
        <w:rPr>
          <w:rFonts w:ascii="Arial" w:hAnsi="Arial" w:cs="Arial"/>
          <w:sz w:val="24"/>
          <w:szCs w:val="24"/>
        </w:rPr>
        <w:t xml:space="preserve">municipality, </w:t>
      </w:r>
      <w:r w:rsidR="00C41BBC" w:rsidRPr="00334D8D">
        <w:rPr>
          <w:rFonts w:ascii="Arial" w:hAnsi="Arial" w:cs="Arial"/>
          <w:sz w:val="24"/>
          <w:szCs w:val="24"/>
        </w:rPr>
        <w:t>are allowed</w:t>
      </w:r>
      <w:r w:rsidR="00C41BBC">
        <w:rPr>
          <w:rFonts w:ascii="Arial" w:hAnsi="Arial" w:cs="Arial"/>
          <w:sz w:val="24"/>
          <w:szCs w:val="24"/>
        </w:rPr>
        <w:t>,</w:t>
      </w:r>
      <w:r w:rsidR="00C41BBC" w:rsidRPr="00334D8D">
        <w:rPr>
          <w:rFonts w:ascii="Arial" w:hAnsi="Arial" w:cs="Arial"/>
          <w:sz w:val="24"/>
          <w:szCs w:val="24"/>
        </w:rPr>
        <w:t xml:space="preserve"> in terms of section 15(1)(e) of the ERA</w:t>
      </w:r>
      <w:r w:rsidR="00C41BBC">
        <w:rPr>
          <w:rFonts w:ascii="Arial" w:hAnsi="Arial" w:cs="Arial"/>
          <w:sz w:val="24"/>
          <w:szCs w:val="24"/>
        </w:rPr>
        <w:t>,</w:t>
      </w:r>
      <w:r w:rsidR="00C41BBC" w:rsidRPr="00334D8D">
        <w:rPr>
          <w:rFonts w:ascii="Arial" w:hAnsi="Arial" w:cs="Arial"/>
          <w:sz w:val="24"/>
          <w:szCs w:val="24"/>
        </w:rPr>
        <w:t xml:space="preserve"> to subsidise each other, that is, cross-subsidisation is allowed between the customer categories</w:t>
      </w:r>
      <w:r w:rsidR="00C41BBC">
        <w:rPr>
          <w:rFonts w:ascii="Arial" w:hAnsi="Arial" w:cs="Arial"/>
          <w:sz w:val="24"/>
          <w:szCs w:val="24"/>
        </w:rPr>
        <w:t>, but such cross-subsidy must be deliberate and transparent</w:t>
      </w:r>
      <w:r w:rsidR="00C41BBC" w:rsidRPr="00334D8D">
        <w:rPr>
          <w:rFonts w:ascii="Arial" w:hAnsi="Arial" w:cs="Arial"/>
          <w:sz w:val="24"/>
          <w:szCs w:val="24"/>
        </w:rPr>
        <w:t>.</w:t>
      </w:r>
      <w:r w:rsidR="00C41BBC">
        <w:rPr>
          <w:rFonts w:ascii="Arial" w:hAnsi="Arial" w:cs="Arial"/>
          <w:sz w:val="24"/>
          <w:szCs w:val="24"/>
        </w:rPr>
        <w:t xml:space="preserve"> </w:t>
      </w:r>
      <w:r w:rsidR="008032E7">
        <w:rPr>
          <w:rFonts w:ascii="Arial" w:hAnsi="Arial" w:cs="Arial"/>
          <w:sz w:val="24"/>
          <w:szCs w:val="24"/>
        </w:rPr>
        <w:t>Furthermore, the EPP provides that the number of customer categories for tariff purposes should be justifiable to NERSA based on cost drivers and customer base.</w:t>
      </w:r>
      <w:r w:rsidR="008032E7">
        <w:rPr>
          <w:rStyle w:val="FootnoteReference"/>
          <w:rFonts w:ascii="Arial" w:hAnsi="Arial" w:cs="Arial"/>
          <w:sz w:val="24"/>
          <w:szCs w:val="24"/>
        </w:rPr>
        <w:footnoteReference w:id="26"/>
      </w:r>
    </w:p>
    <w:p w:rsidR="00C41BBC" w:rsidRDefault="001D3E9F" w:rsidP="00FF0AC8">
      <w:pPr>
        <w:spacing w:after="0" w:line="360" w:lineRule="auto"/>
        <w:jc w:val="both"/>
        <w:rPr>
          <w:rFonts w:ascii="Arial" w:hAnsi="Arial" w:cs="Arial"/>
          <w:sz w:val="24"/>
          <w:szCs w:val="24"/>
        </w:rPr>
      </w:pPr>
      <w:r>
        <w:rPr>
          <w:rFonts w:ascii="Arial" w:hAnsi="Arial" w:cs="Arial"/>
          <w:sz w:val="24"/>
          <w:szCs w:val="24"/>
        </w:rPr>
        <w:lastRenderedPageBreak/>
        <w:t>[104</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It is clear</w:t>
      </w:r>
      <w:r w:rsidR="00C41BBC">
        <w:rPr>
          <w:rFonts w:ascii="Arial" w:hAnsi="Arial" w:cs="Arial"/>
          <w:sz w:val="24"/>
          <w:szCs w:val="24"/>
        </w:rPr>
        <w:t>, from the above stated,</w:t>
      </w:r>
      <w:r w:rsidR="00C41BBC" w:rsidRPr="00334D8D">
        <w:rPr>
          <w:rFonts w:ascii="Arial" w:hAnsi="Arial" w:cs="Arial"/>
          <w:sz w:val="24"/>
          <w:szCs w:val="24"/>
        </w:rPr>
        <w:t xml:space="preserve"> that over and above cost of</w:t>
      </w:r>
      <w:r w:rsidR="00B32641">
        <w:rPr>
          <w:rFonts w:ascii="Arial" w:hAnsi="Arial" w:cs="Arial"/>
          <w:sz w:val="24"/>
          <w:szCs w:val="24"/>
        </w:rPr>
        <w:t xml:space="preserve"> supply of a customer, NERSA had</w:t>
      </w:r>
      <w:r w:rsidR="00C41BBC" w:rsidRPr="00334D8D">
        <w:rPr>
          <w:rFonts w:ascii="Arial" w:hAnsi="Arial" w:cs="Arial"/>
          <w:sz w:val="24"/>
          <w:szCs w:val="24"/>
        </w:rPr>
        <w:t xml:space="preserve">, also, to consider the cost of supply by customer category and the </w:t>
      </w:r>
      <w:r w:rsidR="00C41BBC">
        <w:rPr>
          <w:rFonts w:ascii="Arial" w:hAnsi="Arial" w:cs="Arial"/>
          <w:sz w:val="24"/>
          <w:szCs w:val="24"/>
        </w:rPr>
        <w:t xml:space="preserve">discrimination and </w:t>
      </w:r>
      <w:r w:rsidR="00C41BBC" w:rsidRPr="00334D8D">
        <w:rPr>
          <w:rFonts w:ascii="Arial" w:hAnsi="Arial" w:cs="Arial"/>
          <w:sz w:val="24"/>
          <w:szCs w:val="24"/>
        </w:rPr>
        <w:t>cross</w:t>
      </w:r>
      <w:r w:rsidR="00C41BBC">
        <w:rPr>
          <w:rFonts w:ascii="Arial" w:hAnsi="Arial" w:cs="Arial"/>
          <w:sz w:val="24"/>
          <w:szCs w:val="24"/>
        </w:rPr>
        <w:t>-</w:t>
      </w:r>
      <w:r w:rsidR="00C41BBC" w:rsidRPr="00334D8D">
        <w:rPr>
          <w:rFonts w:ascii="Arial" w:hAnsi="Arial" w:cs="Arial"/>
          <w:sz w:val="24"/>
          <w:szCs w:val="24"/>
        </w:rPr>
        <w:t>subsidisation between the customer categories.</w:t>
      </w:r>
      <w:r w:rsidR="00C41BBC">
        <w:rPr>
          <w:rFonts w:ascii="Arial" w:hAnsi="Arial" w:cs="Arial"/>
          <w:sz w:val="24"/>
          <w:szCs w:val="24"/>
        </w:rPr>
        <w:t xml:space="preserve"> </w:t>
      </w:r>
    </w:p>
    <w:p w:rsidR="00EB66A2" w:rsidRDefault="00EB66A2" w:rsidP="00FF0AC8">
      <w:pPr>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sz w:val="24"/>
          <w:szCs w:val="24"/>
        </w:rPr>
        <w:t>[105</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NERSA</w:t>
      </w:r>
      <w:r w:rsidR="00C41BBC">
        <w:rPr>
          <w:rFonts w:ascii="Arial" w:hAnsi="Arial" w:cs="Arial"/>
          <w:sz w:val="24"/>
          <w:szCs w:val="24"/>
        </w:rPr>
        <w:t>, in its evidence,</w:t>
      </w:r>
      <w:r w:rsidR="00C41BBC" w:rsidRPr="00334D8D">
        <w:rPr>
          <w:rFonts w:ascii="Arial" w:hAnsi="Arial" w:cs="Arial"/>
          <w:sz w:val="24"/>
          <w:szCs w:val="24"/>
        </w:rPr>
        <w:t xml:space="preserve"> </w:t>
      </w:r>
      <w:r w:rsidR="00C41BBC">
        <w:rPr>
          <w:rFonts w:ascii="Arial" w:hAnsi="Arial" w:cs="Arial"/>
          <w:sz w:val="24"/>
          <w:szCs w:val="24"/>
        </w:rPr>
        <w:t>conceded, correctly so,</w:t>
      </w:r>
      <w:r w:rsidR="00C41BBC" w:rsidRPr="00334D8D">
        <w:rPr>
          <w:rFonts w:ascii="Arial" w:hAnsi="Arial" w:cs="Arial"/>
          <w:sz w:val="24"/>
          <w:szCs w:val="24"/>
        </w:rPr>
        <w:t xml:space="preserve"> that </w:t>
      </w:r>
      <w:r w:rsidR="00C41BBC">
        <w:rPr>
          <w:rFonts w:ascii="Arial" w:hAnsi="Arial" w:cs="Arial"/>
          <w:sz w:val="24"/>
          <w:szCs w:val="24"/>
        </w:rPr>
        <w:t xml:space="preserve">it is, by means of </w:t>
      </w:r>
      <w:r w:rsidR="00C41BBC" w:rsidRPr="00334D8D">
        <w:rPr>
          <w:rFonts w:ascii="Arial" w:hAnsi="Arial" w:cs="Arial"/>
          <w:sz w:val="24"/>
          <w:szCs w:val="24"/>
        </w:rPr>
        <w:t>a cost of supply study</w:t>
      </w:r>
      <w:r w:rsidR="00C41BBC">
        <w:rPr>
          <w:rFonts w:ascii="Arial" w:hAnsi="Arial" w:cs="Arial"/>
          <w:sz w:val="24"/>
          <w:szCs w:val="24"/>
        </w:rPr>
        <w:t>,</w:t>
      </w:r>
      <w:r w:rsidR="00C41BBC" w:rsidRPr="00334D8D">
        <w:rPr>
          <w:rFonts w:ascii="Arial" w:hAnsi="Arial" w:cs="Arial"/>
          <w:sz w:val="24"/>
          <w:szCs w:val="24"/>
        </w:rPr>
        <w:t xml:space="preserve"> </w:t>
      </w:r>
      <w:r w:rsidR="00C41BBC">
        <w:rPr>
          <w:rFonts w:ascii="Arial" w:hAnsi="Arial" w:cs="Arial"/>
          <w:sz w:val="24"/>
          <w:szCs w:val="24"/>
        </w:rPr>
        <w:t xml:space="preserve">that </w:t>
      </w:r>
      <w:r w:rsidR="00C41BBC" w:rsidRPr="00334D8D">
        <w:rPr>
          <w:rFonts w:ascii="Arial" w:hAnsi="Arial" w:cs="Arial"/>
          <w:color w:val="000000"/>
          <w:sz w:val="24"/>
          <w:szCs w:val="24"/>
        </w:rPr>
        <w:t xml:space="preserve">the actual cost </w:t>
      </w:r>
      <w:r w:rsidR="00C41BBC" w:rsidRPr="00334D8D">
        <w:rPr>
          <w:rFonts w:ascii="Arial" w:hAnsi="Arial" w:cs="Arial"/>
          <w:i/>
          <w:color w:val="000000"/>
          <w:sz w:val="24"/>
          <w:szCs w:val="24"/>
        </w:rPr>
        <w:t>per</w:t>
      </w:r>
      <w:r w:rsidR="00C41BBC" w:rsidRPr="00334D8D">
        <w:rPr>
          <w:rFonts w:ascii="Arial" w:hAnsi="Arial" w:cs="Arial"/>
          <w:color w:val="000000"/>
          <w:sz w:val="24"/>
          <w:szCs w:val="24"/>
        </w:rPr>
        <w:t xml:space="preserve"> customer group</w:t>
      </w:r>
      <w:r w:rsidR="00C41BBC">
        <w:rPr>
          <w:rFonts w:ascii="Arial" w:hAnsi="Arial" w:cs="Arial"/>
          <w:color w:val="000000"/>
          <w:sz w:val="24"/>
          <w:szCs w:val="24"/>
        </w:rPr>
        <w:t xml:space="preserve"> can be determined</w:t>
      </w:r>
      <w:r w:rsidR="00C41BBC" w:rsidRPr="00334D8D">
        <w:rPr>
          <w:rFonts w:ascii="Arial" w:hAnsi="Arial" w:cs="Arial"/>
          <w:color w:val="000000"/>
          <w:sz w:val="24"/>
          <w:szCs w:val="24"/>
        </w:rPr>
        <w:t>. This</w:t>
      </w:r>
      <w:r w:rsidR="00C41BBC">
        <w:rPr>
          <w:rFonts w:ascii="Arial" w:hAnsi="Arial" w:cs="Arial"/>
          <w:color w:val="000000"/>
          <w:sz w:val="24"/>
          <w:szCs w:val="24"/>
        </w:rPr>
        <w:t>, according to NERSA,</w:t>
      </w:r>
      <w:r w:rsidR="00C41BBC" w:rsidRPr="00334D8D">
        <w:rPr>
          <w:rFonts w:ascii="Arial" w:hAnsi="Arial" w:cs="Arial"/>
          <w:color w:val="000000"/>
          <w:sz w:val="24"/>
          <w:szCs w:val="24"/>
        </w:rPr>
        <w:t xml:space="preserve"> allows for cost-reflective pricing </w:t>
      </w:r>
      <w:r w:rsidR="00C41BBC" w:rsidRPr="00334D8D">
        <w:rPr>
          <w:rFonts w:ascii="Arial" w:hAnsi="Arial" w:cs="Arial"/>
          <w:i/>
          <w:color w:val="000000"/>
          <w:sz w:val="24"/>
          <w:szCs w:val="24"/>
        </w:rPr>
        <w:t>per</w:t>
      </w:r>
      <w:r w:rsidR="00C41BBC" w:rsidRPr="00334D8D">
        <w:rPr>
          <w:rFonts w:ascii="Arial" w:hAnsi="Arial" w:cs="Arial"/>
          <w:color w:val="000000"/>
          <w:sz w:val="24"/>
          <w:szCs w:val="24"/>
        </w:rPr>
        <w:t xml:space="preserve"> customer category</w:t>
      </w:r>
      <w:r w:rsidR="00C41BBC">
        <w:rPr>
          <w:rFonts w:ascii="Arial" w:hAnsi="Arial" w:cs="Arial"/>
          <w:color w:val="000000"/>
          <w:sz w:val="24"/>
          <w:szCs w:val="24"/>
        </w:rPr>
        <w:t xml:space="preserve"> in line with the EPP, and </w:t>
      </w:r>
      <w:r w:rsidR="00C41BBC" w:rsidRPr="00334D8D">
        <w:rPr>
          <w:rFonts w:ascii="Arial" w:hAnsi="Arial" w:cs="Arial"/>
          <w:color w:val="000000"/>
          <w:sz w:val="24"/>
          <w:szCs w:val="24"/>
        </w:rPr>
        <w:t>provide</w:t>
      </w:r>
      <w:r w:rsidR="00C41BBC">
        <w:rPr>
          <w:rFonts w:ascii="Arial" w:hAnsi="Arial" w:cs="Arial"/>
          <w:color w:val="000000"/>
          <w:sz w:val="24"/>
          <w:szCs w:val="24"/>
        </w:rPr>
        <w:t>s a means of ascertaining cross-</w:t>
      </w:r>
      <w:r w:rsidR="00C41BBC" w:rsidRPr="00334D8D">
        <w:rPr>
          <w:rFonts w:ascii="Arial" w:hAnsi="Arial" w:cs="Arial"/>
          <w:color w:val="000000"/>
          <w:sz w:val="24"/>
          <w:szCs w:val="24"/>
        </w:rPr>
        <w:t>subsidi</w:t>
      </w:r>
      <w:r w:rsidR="00C41BBC">
        <w:rPr>
          <w:rFonts w:ascii="Arial" w:hAnsi="Arial" w:cs="Arial"/>
          <w:color w:val="000000"/>
          <w:sz w:val="24"/>
          <w:szCs w:val="24"/>
        </w:rPr>
        <w:t>s</w:t>
      </w:r>
      <w:r w:rsidR="00C41BBC" w:rsidRPr="00334D8D">
        <w:rPr>
          <w:rFonts w:ascii="Arial" w:hAnsi="Arial" w:cs="Arial"/>
          <w:color w:val="000000"/>
          <w:sz w:val="24"/>
          <w:szCs w:val="24"/>
        </w:rPr>
        <w:t>ation</w:t>
      </w:r>
      <w:r w:rsidR="00C41BBC">
        <w:rPr>
          <w:rFonts w:ascii="Arial" w:hAnsi="Arial" w:cs="Arial"/>
          <w:color w:val="000000"/>
          <w:sz w:val="24"/>
          <w:szCs w:val="24"/>
        </w:rPr>
        <w:t>, particularly,</w:t>
      </w:r>
      <w:r w:rsidR="00C41BBC" w:rsidRPr="00334D8D">
        <w:rPr>
          <w:rFonts w:ascii="Arial" w:hAnsi="Arial" w:cs="Arial"/>
          <w:color w:val="000000"/>
          <w:sz w:val="24"/>
          <w:szCs w:val="24"/>
        </w:rPr>
        <w:t xml:space="preserve"> between the residential customers and comme</w:t>
      </w:r>
      <w:r w:rsidR="00C41BBC">
        <w:rPr>
          <w:rFonts w:ascii="Arial" w:hAnsi="Arial" w:cs="Arial"/>
          <w:color w:val="000000"/>
          <w:sz w:val="24"/>
          <w:szCs w:val="24"/>
        </w:rPr>
        <w:t>rcial customers as envisaged</w:t>
      </w:r>
      <w:r w:rsidR="00C41BBC" w:rsidRPr="00334D8D">
        <w:rPr>
          <w:rFonts w:ascii="Arial" w:hAnsi="Arial" w:cs="Arial"/>
          <w:color w:val="000000"/>
          <w:sz w:val="24"/>
          <w:szCs w:val="24"/>
        </w:rPr>
        <w:t xml:space="preserve">. </w:t>
      </w:r>
    </w:p>
    <w:p w:rsidR="00CD1BB0" w:rsidRDefault="00CD1BB0" w:rsidP="00FF0AC8">
      <w:pPr>
        <w:spacing w:after="0" w:line="360" w:lineRule="auto"/>
        <w:jc w:val="both"/>
        <w:rPr>
          <w:rFonts w:ascii="Arial" w:hAnsi="Arial" w:cs="Arial"/>
          <w:color w:val="000000"/>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[106</w:t>
      </w:r>
      <w:r w:rsidR="00C41BBC">
        <w:rPr>
          <w:rFonts w:ascii="Arial" w:hAnsi="Arial" w:cs="Arial"/>
          <w:sz w:val="24"/>
          <w:szCs w:val="24"/>
        </w:rPr>
        <w:t>]</w:t>
      </w:r>
      <w:r w:rsidR="00C41BBC">
        <w:rPr>
          <w:rFonts w:ascii="Arial" w:hAnsi="Arial" w:cs="Arial"/>
          <w:sz w:val="24"/>
          <w:szCs w:val="24"/>
        </w:rPr>
        <w:tab/>
        <w:t xml:space="preserve">What, however, is apparent on record, is that </w:t>
      </w:r>
      <w:r w:rsidR="00C41BBC" w:rsidRPr="00334D8D">
        <w:rPr>
          <w:rFonts w:ascii="Arial" w:hAnsi="Arial" w:cs="Arial"/>
          <w:sz w:val="24"/>
          <w:szCs w:val="24"/>
        </w:rPr>
        <w:t>NERSA did not consider the different costs of supplying dif</w:t>
      </w:r>
      <w:r w:rsidR="00C41BBC">
        <w:rPr>
          <w:rFonts w:ascii="Arial" w:hAnsi="Arial" w:cs="Arial"/>
          <w:sz w:val="24"/>
          <w:szCs w:val="24"/>
        </w:rPr>
        <w:t>ferent customer categories, nor wa</w:t>
      </w:r>
      <w:r w:rsidR="00C41BBC" w:rsidRPr="00334D8D">
        <w:rPr>
          <w:rFonts w:ascii="Arial" w:hAnsi="Arial" w:cs="Arial"/>
          <w:sz w:val="24"/>
          <w:szCs w:val="24"/>
        </w:rPr>
        <w:t xml:space="preserve">s there any approval by NERSA </w:t>
      </w:r>
      <w:r w:rsidR="00C41BBC">
        <w:rPr>
          <w:rFonts w:ascii="Arial" w:hAnsi="Arial" w:cs="Arial"/>
          <w:sz w:val="24"/>
          <w:szCs w:val="24"/>
        </w:rPr>
        <w:t>of</w:t>
      </w:r>
      <w:r w:rsidR="00C41BBC" w:rsidRPr="00334D8D">
        <w:rPr>
          <w:rFonts w:ascii="Arial" w:hAnsi="Arial" w:cs="Arial"/>
          <w:sz w:val="24"/>
          <w:szCs w:val="24"/>
        </w:rPr>
        <w:t xml:space="preserve"> cross-subsidies or other p</w:t>
      </w:r>
      <w:r w:rsidR="00846EDE">
        <w:rPr>
          <w:rFonts w:ascii="Arial" w:hAnsi="Arial" w:cs="Arial"/>
          <w:sz w:val="24"/>
          <w:szCs w:val="24"/>
        </w:rPr>
        <w:t>ricing to customers that departed</w:t>
      </w:r>
      <w:r w:rsidR="00C41BBC" w:rsidRPr="00334D8D">
        <w:rPr>
          <w:rFonts w:ascii="Arial" w:hAnsi="Arial" w:cs="Arial"/>
          <w:sz w:val="24"/>
          <w:szCs w:val="24"/>
        </w:rPr>
        <w:t xml:space="preserve"> from cost </w:t>
      </w:r>
      <w:r w:rsidR="00C41BBC">
        <w:rPr>
          <w:rFonts w:ascii="Arial" w:hAnsi="Arial" w:cs="Arial"/>
          <w:sz w:val="24"/>
          <w:szCs w:val="24"/>
        </w:rPr>
        <w:t>reflective</w:t>
      </w:r>
      <w:r w:rsidR="00C41BBC" w:rsidRPr="00334D8D">
        <w:rPr>
          <w:rFonts w:ascii="Arial" w:hAnsi="Arial" w:cs="Arial"/>
          <w:sz w:val="24"/>
          <w:szCs w:val="24"/>
        </w:rPr>
        <w:t xml:space="preserve"> levels </w:t>
      </w:r>
      <w:r w:rsidR="00C41BBC" w:rsidRPr="005225E8">
        <w:rPr>
          <w:rFonts w:ascii="Arial" w:hAnsi="Arial" w:cs="Arial"/>
          <w:i/>
          <w:sz w:val="24"/>
          <w:szCs w:val="24"/>
        </w:rPr>
        <w:t>per</w:t>
      </w:r>
      <w:r w:rsidR="00C41BBC" w:rsidRPr="00334D8D">
        <w:rPr>
          <w:rFonts w:ascii="Arial" w:hAnsi="Arial" w:cs="Arial"/>
          <w:sz w:val="24"/>
          <w:szCs w:val="24"/>
        </w:rPr>
        <w:t xml:space="preserve"> customer category. </w:t>
      </w:r>
      <w:r w:rsidR="00846EDE">
        <w:rPr>
          <w:rFonts w:ascii="Arial" w:hAnsi="Arial" w:cs="Arial"/>
          <w:sz w:val="24"/>
          <w:szCs w:val="24"/>
        </w:rPr>
        <w:t>In fact, NERSA, itself, conceded</w:t>
      </w:r>
      <w:r w:rsidR="00C41BBC" w:rsidRPr="00334D8D">
        <w:rPr>
          <w:rFonts w:ascii="Arial" w:hAnsi="Arial" w:cs="Arial"/>
          <w:sz w:val="24"/>
          <w:szCs w:val="24"/>
        </w:rPr>
        <w:t xml:space="preserve"> that it did not have regard to costs </w:t>
      </w:r>
      <w:r w:rsidR="00C41BBC" w:rsidRPr="005225E8">
        <w:rPr>
          <w:rFonts w:ascii="Arial" w:hAnsi="Arial" w:cs="Arial"/>
          <w:i/>
          <w:sz w:val="24"/>
          <w:szCs w:val="24"/>
        </w:rPr>
        <w:t>per</w:t>
      </w:r>
      <w:r w:rsidR="00C41BBC" w:rsidRPr="00334D8D">
        <w:rPr>
          <w:rFonts w:ascii="Arial" w:hAnsi="Arial" w:cs="Arial"/>
          <w:sz w:val="24"/>
          <w:szCs w:val="24"/>
        </w:rPr>
        <w:t xml:space="preserve"> customer category. A detailed assessment of costs </w:t>
      </w:r>
      <w:r w:rsidR="00C41BBC" w:rsidRPr="005225E8">
        <w:rPr>
          <w:rFonts w:ascii="Arial" w:hAnsi="Arial" w:cs="Arial"/>
          <w:i/>
          <w:sz w:val="24"/>
          <w:szCs w:val="24"/>
        </w:rPr>
        <w:t>per</w:t>
      </w:r>
      <w:r w:rsidR="00C41BBC" w:rsidRPr="00334D8D">
        <w:rPr>
          <w:rFonts w:ascii="Arial" w:hAnsi="Arial" w:cs="Arial"/>
          <w:sz w:val="24"/>
          <w:szCs w:val="24"/>
        </w:rPr>
        <w:t xml:space="preserve"> customer category was not possible and it could not</w:t>
      </w:r>
      <w:r w:rsidR="00C41BBC">
        <w:rPr>
          <w:rFonts w:ascii="Arial" w:hAnsi="Arial" w:cs="Arial"/>
          <w:sz w:val="24"/>
          <w:szCs w:val="24"/>
        </w:rPr>
        <w:t xml:space="preserve"> have been possible because </w:t>
      </w:r>
      <w:r w:rsidR="00C41BBC" w:rsidRPr="00334D8D">
        <w:rPr>
          <w:rFonts w:ascii="Arial" w:hAnsi="Arial" w:cs="Arial"/>
          <w:sz w:val="24"/>
          <w:szCs w:val="24"/>
        </w:rPr>
        <w:t xml:space="preserve">City Power did not make a cost of supply study available to NERSA. </w:t>
      </w:r>
    </w:p>
    <w:p w:rsidR="00CD1BB0" w:rsidRDefault="00CD1BB0" w:rsidP="00FF0AC8">
      <w:pPr>
        <w:tabs>
          <w:tab w:val="left" w:pos="0"/>
        </w:tabs>
        <w:spacing w:after="0" w:line="360" w:lineRule="auto"/>
        <w:jc w:val="both"/>
        <w:rPr>
          <w:rFonts w:ascii="Arial" w:hAnsi="Arial" w:cs="Arial"/>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[107</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The extent to which there ha</w:t>
      </w:r>
      <w:r w:rsidR="00C41BBC">
        <w:rPr>
          <w:rFonts w:ascii="Arial" w:hAnsi="Arial" w:cs="Arial"/>
          <w:sz w:val="24"/>
          <w:szCs w:val="24"/>
        </w:rPr>
        <w:t>d</w:t>
      </w:r>
      <w:r w:rsidR="00C41BBC" w:rsidRPr="00334D8D">
        <w:rPr>
          <w:rFonts w:ascii="Arial" w:hAnsi="Arial" w:cs="Arial"/>
          <w:sz w:val="24"/>
          <w:szCs w:val="24"/>
        </w:rPr>
        <w:t xml:space="preserve"> been </w:t>
      </w:r>
      <w:r w:rsidR="00C41BBC">
        <w:rPr>
          <w:rFonts w:ascii="Arial" w:hAnsi="Arial" w:cs="Arial"/>
          <w:sz w:val="24"/>
          <w:szCs w:val="24"/>
        </w:rPr>
        <w:t xml:space="preserve">undue discrimination or </w:t>
      </w:r>
      <w:r w:rsidR="00C41BBC" w:rsidRPr="00334D8D">
        <w:rPr>
          <w:rFonts w:ascii="Arial" w:hAnsi="Arial" w:cs="Arial"/>
          <w:sz w:val="24"/>
          <w:szCs w:val="24"/>
        </w:rPr>
        <w:t>cross-subsidisation between the different c</w:t>
      </w:r>
      <w:r w:rsidR="00C41BBC">
        <w:rPr>
          <w:rFonts w:ascii="Arial" w:hAnsi="Arial" w:cs="Arial"/>
          <w:sz w:val="24"/>
          <w:szCs w:val="24"/>
        </w:rPr>
        <w:t>ustomer categories, same could,</w:t>
      </w:r>
      <w:r w:rsidR="00C41BBC" w:rsidRPr="00334D8D">
        <w:rPr>
          <w:rFonts w:ascii="Arial" w:hAnsi="Arial" w:cs="Arial"/>
          <w:sz w:val="24"/>
          <w:szCs w:val="24"/>
        </w:rPr>
        <w:t xml:space="preserve"> not be determined as the data on which to base such an assessment was not before NERSA at the time of decision making. NERSA could only determine whether any undue discrimination </w:t>
      </w:r>
      <w:r w:rsidR="00C41BBC">
        <w:rPr>
          <w:rFonts w:ascii="Arial" w:hAnsi="Arial" w:cs="Arial"/>
          <w:sz w:val="24"/>
          <w:szCs w:val="24"/>
        </w:rPr>
        <w:t xml:space="preserve">or cross subsidisation </w:t>
      </w:r>
      <w:r w:rsidR="00C41BBC" w:rsidRPr="00334D8D">
        <w:rPr>
          <w:rFonts w:ascii="Arial" w:hAnsi="Arial" w:cs="Arial"/>
          <w:sz w:val="24"/>
          <w:szCs w:val="24"/>
        </w:rPr>
        <w:t>between customer categories occurred</w:t>
      </w:r>
      <w:r w:rsidR="00C41BBC">
        <w:rPr>
          <w:rFonts w:ascii="Arial" w:hAnsi="Arial" w:cs="Arial"/>
          <w:sz w:val="24"/>
          <w:szCs w:val="24"/>
        </w:rPr>
        <w:t>,</w:t>
      </w:r>
      <w:r w:rsidR="00C41BBC" w:rsidRPr="00334D8D">
        <w:rPr>
          <w:rFonts w:ascii="Arial" w:hAnsi="Arial" w:cs="Arial"/>
          <w:sz w:val="24"/>
          <w:szCs w:val="24"/>
        </w:rPr>
        <w:t xml:space="preserve"> by considering the costs of supply by customer category</w:t>
      </w:r>
      <w:r w:rsidR="00C41BBC">
        <w:rPr>
          <w:rFonts w:ascii="Arial" w:hAnsi="Arial" w:cs="Arial"/>
          <w:sz w:val="24"/>
          <w:szCs w:val="24"/>
        </w:rPr>
        <w:t>, which could have been enabled by a cost of supply study</w:t>
      </w:r>
      <w:r w:rsidR="00C41BBC" w:rsidRPr="00334D8D">
        <w:rPr>
          <w:rFonts w:ascii="Arial" w:hAnsi="Arial" w:cs="Arial"/>
          <w:sz w:val="24"/>
          <w:szCs w:val="24"/>
        </w:rPr>
        <w:t xml:space="preserve">.  </w:t>
      </w:r>
    </w:p>
    <w:p w:rsidR="006D4228" w:rsidRPr="00334D8D" w:rsidRDefault="006D4228" w:rsidP="00FF0AC8">
      <w:pPr>
        <w:tabs>
          <w:tab w:val="left" w:pos="0"/>
        </w:tabs>
        <w:spacing w:after="0" w:line="360" w:lineRule="auto"/>
        <w:jc w:val="both"/>
        <w:rPr>
          <w:rFonts w:ascii="Arial" w:hAnsi="Arial" w:cs="Arial"/>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w:t>
      </w:r>
      <w:r w:rsidR="00C41BBC">
        <w:rPr>
          <w:rFonts w:ascii="Arial" w:hAnsi="Arial" w:cs="Arial"/>
          <w:sz w:val="24"/>
          <w:szCs w:val="24"/>
        </w:rPr>
        <w:t>1</w:t>
      </w:r>
      <w:r>
        <w:rPr>
          <w:rFonts w:ascii="Arial" w:hAnsi="Arial" w:cs="Arial"/>
          <w:sz w:val="24"/>
          <w:szCs w:val="24"/>
        </w:rPr>
        <w:t>08</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Section 15(1)(d) of the ERA read with the principles set out in Policy Positions 2, 4 and 29 of the EPP, makes it clear that NERSA must consider </w:t>
      </w:r>
      <w:r w:rsidR="00C41BBC" w:rsidRPr="00334D8D">
        <w:rPr>
          <w:rFonts w:ascii="Arial" w:hAnsi="Arial" w:cs="Arial"/>
          <w:sz w:val="24"/>
          <w:szCs w:val="24"/>
        </w:rPr>
        <w:lastRenderedPageBreak/>
        <w:t xml:space="preserve">cost of supply through the whole service, that is, the service of the customer, as well as, within customer categories of that customer. </w:t>
      </w:r>
    </w:p>
    <w:p w:rsidR="00DC331D" w:rsidRDefault="00DC331D" w:rsidP="00FF0AC8">
      <w:pPr>
        <w:tabs>
          <w:tab w:val="left" w:pos="0"/>
        </w:tabs>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[109</w:t>
      </w:r>
      <w:r w:rsidR="00C41BBC">
        <w:rPr>
          <w:rFonts w:ascii="Arial" w:hAnsi="Arial" w:cs="Arial"/>
          <w:color w:val="000000"/>
          <w:sz w:val="24"/>
          <w:szCs w:val="24"/>
        </w:rPr>
        <w:t>]</w:t>
      </w:r>
      <w:r w:rsidR="00C41BBC">
        <w:rPr>
          <w:rFonts w:ascii="Arial" w:hAnsi="Arial" w:cs="Arial"/>
          <w:color w:val="000000"/>
          <w:sz w:val="24"/>
          <w:szCs w:val="24"/>
        </w:rPr>
        <w:tab/>
        <w:t>Of importance is that the methodology adopted by NERSA was unable to assess the cost of supply of City Power. In its evidence, NERSA acknowledged that although the benchmarking approach created discrepancies between the tariffs of various municipalities, it was, however, developed to ensure that tariffs across municipalities are not vastly different when evaluating the municipal tariff application. NERSA, also, admitted that certain customer categories like industry and business, largely overpay for the rendered distribution services if compared with other customers, particularly residential, which results is substantial cross–subsidisation requiring a cross-subsidy framework, that would clearly define how subsidies should be shared amongst customers.</w:t>
      </w:r>
    </w:p>
    <w:p w:rsidR="00DC331D" w:rsidRDefault="00DC331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[110</w:t>
      </w:r>
      <w:r w:rsidR="00C41BBC">
        <w:rPr>
          <w:rFonts w:ascii="Arial" w:hAnsi="Arial" w:cs="Arial"/>
          <w:color w:val="000000"/>
          <w:sz w:val="24"/>
          <w:szCs w:val="24"/>
        </w:rPr>
        <w:t>]</w:t>
      </w:r>
      <w:r w:rsidR="00C41BBC">
        <w:rPr>
          <w:rFonts w:ascii="Arial" w:hAnsi="Arial" w:cs="Arial"/>
          <w:color w:val="000000"/>
          <w:sz w:val="24"/>
          <w:szCs w:val="24"/>
        </w:rPr>
        <w:tab/>
        <w:t xml:space="preserve">From the record, it is common cause that no cross-subsidy framework was developed. Certainly, at the time of the approval of City Power tariffs no such framework existed. It can, thus, be safe for this Court to infer that there might have been undue discrimination and cross-subsidies between City Power’s customer categories, which remained undetected. The methodology that was in place at the time, as NERSA conceded, was developed to ensure that tariffs across municipalities are not vastly different. It was not developed to assess cost of supply of licensee’s services or cost of supply </w:t>
      </w:r>
      <w:r w:rsidR="00C41BBC" w:rsidRPr="00911AF1">
        <w:rPr>
          <w:rFonts w:ascii="Arial" w:hAnsi="Arial" w:cs="Arial"/>
          <w:i/>
          <w:color w:val="000000"/>
          <w:sz w:val="24"/>
          <w:szCs w:val="24"/>
        </w:rPr>
        <w:t>per</w:t>
      </w:r>
      <w:r w:rsidR="00C41BBC">
        <w:rPr>
          <w:rFonts w:ascii="Arial" w:hAnsi="Arial" w:cs="Arial"/>
          <w:color w:val="000000"/>
          <w:sz w:val="24"/>
          <w:szCs w:val="24"/>
        </w:rPr>
        <w:t xml:space="preserve"> customer category.</w:t>
      </w:r>
    </w:p>
    <w:p w:rsidR="00DC331D" w:rsidRPr="00B9623D" w:rsidRDefault="00DC331D" w:rsidP="00FF0AC8">
      <w:pPr>
        <w:spacing w:after="0" w:line="360" w:lineRule="auto"/>
        <w:jc w:val="both"/>
        <w:rPr>
          <w:rFonts w:ascii="Arial" w:hAnsi="Arial" w:cs="Arial"/>
          <w:color w:val="000000"/>
          <w:sz w:val="24"/>
          <w:szCs w:val="24"/>
        </w:rPr>
      </w:pPr>
    </w:p>
    <w:p w:rsidR="00C41BBC" w:rsidRDefault="001D3E9F" w:rsidP="00FF0AC8">
      <w:pPr>
        <w:tabs>
          <w:tab w:val="left" w:pos="0"/>
        </w:tabs>
        <w:spacing w:after="0" w:line="360" w:lineRule="auto"/>
        <w:jc w:val="both"/>
        <w:rPr>
          <w:rFonts w:ascii="Arial" w:hAnsi="Arial" w:cs="Arial"/>
          <w:sz w:val="24"/>
          <w:szCs w:val="24"/>
        </w:rPr>
      </w:pPr>
      <w:r>
        <w:rPr>
          <w:rFonts w:ascii="Arial" w:hAnsi="Arial" w:cs="Arial"/>
          <w:sz w:val="24"/>
          <w:szCs w:val="24"/>
        </w:rPr>
        <w:t>[111</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It is evident from the evidence on record, which NERSA appears not to be disputing, that NERSA made no attempt whatsoever to consider the cost of supply to different customer categories.</w:t>
      </w:r>
      <w:r w:rsidR="00C41BBC">
        <w:rPr>
          <w:rFonts w:ascii="Arial" w:hAnsi="Arial" w:cs="Arial"/>
          <w:sz w:val="24"/>
          <w:szCs w:val="24"/>
        </w:rPr>
        <w:t xml:space="preserve"> </w:t>
      </w:r>
      <w:r w:rsidR="00C41BBC">
        <w:rPr>
          <w:rFonts w:ascii="Arial" w:hAnsi="Arial" w:cs="Arial"/>
          <w:color w:val="000000"/>
          <w:sz w:val="24"/>
          <w:szCs w:val="24"/>
        </w:rPr>
        <w:t xml:space="preserve">This is so because the methodology that was used by NERSA to develop the benchmarks was materially </w:t>
      </w:r>
      <w:r w:rsidR="00DC331D">
        <w:rPr>
          <w:rFonts w:ascii="Arial" w:hAnsi="Arial" w:cs="Arial"/>
          <w:color w:val="000000"/>
          <w:sz w:val="24"/>
          <w:szCs w:val="24"/>
        </w:rPr>
        <w:t>flawed,</w:t>
      </w:r>
      <w:r w:rsidR="00C41BBC">
        <w:rPr>
          <w:rFonts w:ascii="Arial" w:hAnsi="Arial" w:cs="Arial"/>
          <w:color w:val="000000"/>
          <w:sz w:val="24"/>
          <w:szCs w:val="24"/>
        </w:rPr>
        <w:t xml:space="preserve"> as it did not assist NERSA to investigate the </w:t>
      </w:r>
      <w:r w:rsidR="00C41BBC" w:rsidRPr="00334D8D">
        <w:rPr>
          <w:rFonts w:ascii="Arial" w:hAnsi="Arial" w:cs="Arial"/>
          <w:sz w:val="24"/>
          <w:szCs w:val="24"/>
        </w:rPr>
        <w:t xml:space="preserve">cost of supply through the whole </w:t>
      </w:r>
      <w:r w:rsidR="00C41BBC" w:rsidRPr="00334D8D">
        <w:rPr>
          <w:rFonts w:ascii="Arial" w:hAnsi="Arial" w:cs="Arial"/>
          <w:sz w:val="24"/>
          <w:szCs w:val="24"/>
        </w:rPr>
        <w:lastRenderedPageBreak/>
        <w:t xml:space="preserve">service, that is, the service of </w:t>
      </w:r>
      <w:r w:rsidR="00C41BBC">
        <w:rPr>
          <w:rFonts w:ascii="Arial" w:hAnsi="Arial" w:cs="Arial"/>
          <w:sz w:val="24"/>
          <w:szCs w:val="24"/>
        </w:rPr>
        <w:t>City Power</w:t>
      </w:r>
      <w:r w:rsidR="00C41BBC" w:rsidRPr="00334D8D">
        <w:rPr>
          <w:rFonts w:ascii="Arial" w:hAnsi="Arial" w:cs="Arial"/>
          <w:sz w:val="24"/>
          <w:szCs w:val="24"/>
        </w:rPr>
        <w:t xml:space="preserve">, as well as, within customer categories of </w:t>
      </w:r>
      <w:r w:rsidR="00C41BBC">
        <w:rPr>
          <w:rFonts w:ascii="Arial" w:hAnsi="Arial" w:cs="Arial"/>
          <w:sz w:val="24"/>
          <w:szCs w:val="24"/>
        </w:rPr>
        <w:t>City Power</w:t>
      </w:r>
      <w:r w:rsidR="00C41BBC" w:rsidRPr="00334D8D">
        <w:rPr>
          <w:rFonts w:ascii="Arial" w:hAnsi="Arial" w:cs="Arial"/>
          <w:sz w:val="24"/>
          <w:szCs w:val="24"/>
        </w:rPr>
        <w:t xml:space="preserve">. </w:t>
      </w:r>
    </w:p>
    <w:p w:rsidR="00DC331D" w:rsidRPr="00883A74" w:rsidRDefault="00DC331D" w:rsidP="00FF0AC8">
      <w:pPr>
        <w:tabs>
          <w:tab w:val="left" w:pos="0"/>
        </w:tabs>
        <w:spacing w:after="0" w:line="360" w:lineRule="auto"/>
        <w:jc w:val="both"/>
        <w:rPr>
          <w:rFonts w:ascii="Arial" w:hAnsi="Arial" w:cs="Arial"/>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[112</w:t>
      </w:r>
      <w:r w:rsidR="00C41BBC">
        <w:rPr>
          <w:rFonts w:ascii="Arial" w:hAnsi="Arial" w:cs="Arial"/>
          <w:color w:val="000000"/>
          <w:sz w:val="24"/>
          <w:szCs w:val="24"/>
        </w:rPr>
        <w:t>]</w:t>
      </w:r>
      <w:r w:rsidR="00C41BBC">
        <w:rPr>
          <w:rFonts w:ascii="Arial" w:hAnsi="Arial" w:cs="Arial"/>
          <w:color w:val="000000"/>
          <w:sz w:val="24"/>
          <w:szCs w:val="24"/>
        </w:rPr>
        <w:tab/>
        <w:t>According to NERSA’s Consultation Paper, the municipal electricity tariff benchmarks for the 2019/</w:t>
      </w:r>
      <w:r w:rsidR="00B172D8">
        <w:rPr>
          <w:rFonts w:ascii="Arial" w:hAnsi="Arial" w:cs="Arial"/>
          <w:color w:val="000000"/>
          <w:sz w:val="24"/>
          <w:szCs w:val="24"/>
        </w:rPr>
        <w:t>20</w:t>
      </w:r>
      <w:r w:rsidR="00C41BBC">
        <w:rPr>
          <w:rFonts w:ascii="Arial" w:hAnsi="Arial" w:cs="Arial"/>
          <w:color w:val="000000"/>
          <w:sz w:val="24"/>
          <w:szCs w:val="24"/>
        </w:rPr>
        <w:t xml:space="preserve">20 financial year, were based on five assumed tariff/customer categories, whilst City Power’s application was based on more than five customer categories. NERSA having assumed the customer categories, it cannot be said that it </w:t>
      </w:r>
      <w:r w:rsidR="00BA4A5D">
        <w:rPr>
          <w:rFonts w:ascii="Arial" w:hAnsi="Arial" w:cs="Arial"/>
          <w:color w:val="000000"/>
          <w:sz w:val="24"/>
          <w:szCs w:val="24"/>
        </w:rPr>
        <w:t>considered City Power’s customer categories</w:t>
      </w:r>
      <w:r w:rsidR="00C41BBC">
        <w:rPr>
          <w:rFonts w:ascii="Arial" w:hAnsi="Arial" w:cs="Arial"/>
          <w:color w:val="000000"/>
          <w:sz w:val="24"/>
          <w:szCs w:val="24"/>
        </w:rPr>
        <w:t>. Even if it can be said that NERSA did consider those assumed customer categories for City Power, nevertheless, it is evident that not all City Power’s customer categories were included in that assumption, when the percentage tariffs were set.</w:t>
      </w:r>
    </w:p>
    <w:p w:rsidR="00BA4A5D" w:rsidRDefault="00BA4A5D" w:rsidP="00FF0AC8">
      <w:pPr>
        <w:spacing w:after="0" w:line="360" w:lineRule="auto"/>
        <w:jc w:val="both"/>
        <w:rPr>
          <w:rFonts w:ascii="Arial" w:hAnsi="Arial" w:cs="Arial"/>
          <w:color w:val="000000"/>
          <w:sz w:val="24"/>
          <w:szCs w:val="24"/>
        </w:rPr>
      </w:pPr>
    </w:p>
    <w:p w:rsidR="00C41BBC" w:rsidRDefault="001D3E9F" w:rsidP="00FF0AC8">
      <w:pPr>
        <w:spacing w:after="0" w:line="360" w:lineRule="auto"/>
        <w:jc w:val="both"/>
        <w:rPr>
          <w:rFonts w:ascii="Arial" w:hAnsi="Arial" w:cs="Arial"/>
          <w:color w:val="000000"/>
          <w:sz w:val="24"/>
          <w:szCs w:val="24"/>
        </w:rPr>
      </w:pPr>
      <w:r>
        <w:rPr>
          <w:rFonts w:ascii="Arial" w:hAnsi="Arial" w:cs="Arial"/>
          <w:color w:val="000000"/>
          <w:sz w:val="24"/>
          <w:szCs w:val="24"/>
        </w:rPr>
        <w:t>[113</w:t>
      </w:r>
      <w:r w:rsidR="00C41BBC">
        <w:rPr>
          <w:rFonts w:ascii="Arial" w:hAnsi="Arial" w:cs="Arial"/>
          <w:color w:val="000000"/>
          <w:sz w:val="24"/>
          <w:szCs w:val="24"/>
        </w:rPr>
        <w:t>]</w:t>
      </w:r>
      <w:r w:rsidR="00C41BBC">
        <w:rPr>
          <w:rFonts w:ascii="Arial" w:hAnsi="Arial" w:cs="Arial"/>
          <w:color w:val="000000"/>
          <w:sz w:val="24"/>
          <w:szCs w:val="24"/>
        </w:rPr>
        <w:tab/>
        <w:t>Furthermore, NERSA acknowledged in the stakeholder engagement process that there should be different financial benchmarks for municipalities, applying different depreciation regimes. It, further, acknowledged that it was not correct to use the same benchmark to utilities using different accounting regime</w:t>
      </w:r>
      <w:r w:rsidR="00B172D8">
        <w:rPr>
          <w:rFonts w:ascii="Arial" w:hAnsi="Arial" w:cs="Arial"/>
          <w:color w:val="000000"/>
          <w:sz w:val="24"/>
          <w:szCs w:val="24"/>
        </w:rPr>
        <w:t>s</w:t>
      </w:r>
      <w:r w:rsidR="00C41BBC">
        <w:rPr>
          <w:rFonts w:ascii="Arial" w:hAnsi="Arial" w:cs="Arial"/>
          <w:color w:val="000000"/>
          <w:sz w:val="24"/>
          <w:szCs w:val="24"/>
        </w:rPr>
        <w:t xml:space="preserve">. However, the evidence proffered in this matter indicates the opposite. It is obvious that the benchmarks that were used by NERSA, having been developed from stratified samples, were used in the same way for all municipalities even those which used different accounting regimes. There is no evidence on record that indicates whether NERSA treated City Power differently from other municipalities that applied </w:t>
      </w:r>
      <w:r w:rsidR="00B172D8">
        <w:rPr>
          <w:rFonts w:ascii="Arial" w:hAnsi="Arial" w:cs="Arial"/>
          <w:color w:val="000000"/>
          <w:sz w:val="24"/>
          <w:szCs w:val="24"/>
        </w:rPr>
        <w:t>depreciation regimes or</w:t>
      </w:r>
      <w:r w:rsidR="00C41BBC">
        <w:rPr>
          <w:rFonts w:ascii="Arial" w:hAnsi="Arial" w:cs="Arial"/>
          <w:color w:val="000000"/>
          <w:sz w:val="24"/>
          <w:szCs w:val="24"/>
        </w:rPr>
        <w:t xml:space="preserve"> accounting regimes</w:t>
      </w:r>
      <w:r w:rsidR="00B172D8">
        <w:rPr>
          <w:rFonts w:ascii="Arial" w:hAnsi="Arial" w:cs="Arial"/>
          <w:color w:val="000000"/>
          <w:sz w:val="24"/>
          <w:szCs w:val="24"/>
        </w:rPr>
        <w:t>, that are different from those of City Power</w:t>
      </w:r>
      <w:r w:rsidR="00C41BBC">
        <w:rPr>
          <w:rFonts w:ascii="Arial" w:hAnsi="Arial" w:cs="Arial"/>
          <w:color w:val="000000"/>
          <w:sz w:val="24"/>
          <w:szCs w:val="24"/>
        </w:rPr>
        <w:t>.</w:t>
      </w:r>
    </w:p>
    <w:p w:rsidR="00BA4A5D" w:rsidRDefault="00BA4A5D" w:rsidP="00FF0AC8">
      <w:pPr>
        <w:spacing w:after="0" w:line="360" w:lineRule="auto"/>
        <w:jc w:val="both"/>
        <w:rPr>
          <w:rFonts w:ascii="Arial" w:hAnsi="Arial" w:cs="Arial"/>
          <w:color w:val="000000"/>
          <w:sz w:val="24"/>
          <w:szCs w:val="24"/>
        </w:rPr>
      </w:pPr>
    </w:p>
    <w:p w:rsidR="00C41BBC" w:rsidRDefault="004D03DB" w:rsidP="00FF0AC8">
      <w:pPr>
        <w:spacing w:after="0" w:line="360" w:lineRule="auto"/>
        <w:jc w:val="both"/>
        <w:rPr>
          <w:rFonts w:ascii="Arial" w:hAnsi="Arial" w:cs="Arial"/>
          <w:color w:val="000000"/>
          <w:sz w:val="24"/>
          <w:szCs w:val="24"/>
        </w:rPr>
      </w:pPr>
      <w:r>
        <w:rPr>
          <w:rFonts w:ascii="Arial" w:hAnsi="Arial" w:cs="Arial"/>
          <w:color w:val="000000"/>
          <w:sz w:val="24"/>
          <w:szCs w:val="24"/>
        </w:rPr>
        <w:t>[114</w:t>
      </w:r>
      <w:r w:rsidR="00C41BBC">
        <w:rPr>
          <w:rFonts w:ascii="Arial" w:hAnsi="Arial" w:cs="Arial"/>
          <w:color w:val="000000"/>
          <w:sz w:val="24"/>
          <w:szCs w:val="24"/>
        </w:rPr>
        <w:t>]</w:t>
      </w:r>
      <w:r w:rsidR="00C41BBC">
        <w:rPr>
          <w:rFonts w:ascii="Arial" w:hAnsi="Arial" w:cs="Arial"/>
          <w:color w:val="000000"/>
          <w:sz w:val="24"/>
          <w:szCs w:val="24"/>
        </w:rPr>
        <w:tab/>
        <w:t xml:space="preserve">Earlier in this judgment, it was found that the methodology used by NERSA is not able to determine a licensee’s cost of supply. This being so, it </w:t>
      </w:r>
      <w:r w:rsidR="00B172D8">
        <w:rPr>
          <w:rFonts w:ascii="Arial" w:hAnsi="Arial" w:cs="Arial"/>
          <w:color w:val="000000"/>
          <w:sz w:val="24"/>
          <w:szCs w:val="24"/>
        </w:rPr>
        <w:t>obvious</w:t>
      </w:r>
      <w:r w:rsidR="00C41BBC">
        <w:rPr>
          <w:rFonts w:ascii="Arial" w:hAnsi="Arial" w:cs="Arial"/>
          <w:color w:val="000000"/>
          <w:sz w:val="24"/>
          <w:szCs w:val="24"/>
        </w:rPr>
        <w:t xml:space="preserve"> that </w:t>
      </w:r>
      <w:r w:rsidR="00C41BBC" w:rsidRPr="00334D8D">
        <w:rPr>
          <w:rFonts w:ascii="Arial" w:hAnsi="Arial" w:cs="Arial"/>
          <w:color w:val="000000"/>
          <w:sz w:val="24"/>
          <w:szCs w:val="24"/>
        </w:rPr>
        <w:t xml:space="preserve">the benchmark </w:t>
      </w:r>
      <w:r w:rsidR="00C41BBC">
        <w:rPr>
          <w:rFonts w:ascii="Arial" w:hAnsi="Arial" w:cs="Arial"/>
          <w:color w:val="000000"/>
          <w:sz w:val="24"/>
          <w:szCs w:val="24"/>
        </w:rPr>
        <w:t xml:space="preserve">would </w:t>
      </w:r>
      <w:r w:rsidR="00C41BBC" w:rsidRPr="00334D8D">
        <w:rPr>
          <w:rFonts w:ascii="Arial" w:hAnsi="Arial" w:cs="Arial"/>
          <w:color w:val="000000"/>
          <w:sz w:val="24"/>
          <w:szCs w:val="24"/>
        </w:rPr>
        <w:t xml:space="preserve">not </w:t>
      </w:r>
      <w:r w:rsidR="00C41BBC">
        <w:rPr>
          <w:rFonts w:ascii="Arial" w:hAnsi="Arial" w:cs="Arial"/>
          <w:color w:val="000000"/>
          <w:sz w:val="24"/>
          <w:szCs w:val="24"/>
        </w:rPr>
        <w:t xml:space="preserve">have </w:t>
      </w:r>
      <w:r w:rsidR="00C41BBC" w:rsidRPr="00334D8D">
        <w:rPr>
          <w:rFonts w:ascii="Arial" w:hAnsi="Arial" w:cs="Arial"/>
          <w:color w:val="000000"/>
          <w:sz w:val="24"/>
          <w:szCs w:val="24"/>
        </w:rPr>
        <w:t>ensure</w:t>
      </w:r>
      <w:r w:rsidR="00C41BBC">
        <w:rPr>
          <w:rFonts w:ascii="Arial" w:hAnsi="Arial" w:cs="Arial"/>
          <w:color w:val="000000"/>
          <w:sz w:val="24"/>
          <w:szCs w:val="24"/>
        </w:rPr>
        <w:t>d</w:t>
      </w:r>
      <w:r w:rsidR="00C41BBC" w:rsidRPr="00334D8D">
        <w:rPr>
          <w:rFonts w:ascii="Arial" w:hAnsi="Arial" w:cs="Arial"/>
          <w:color w:val="000000"/>
          <w:sz w:val="24"/>
          <w:szCs w:val="24"/>
        </w:rPr>
        <w:t xml:space="preserve"> cost reflecti</w:t>
      </w:r>
      <w:r w:rsidR="00C41BBC">
        <w:rPr>
          <w:rFonts w:ascii="Arial" w:hAnsi="Arial" w:cs="Arial"/>
          <w:color w:val="000000"/>
          <w:sz w:val="24"/>
          <w:szCs w:val="24"/>
        </w:rPr>
        <w:t xml:space="preserve">ve tariffs for City Power’s customer categories. </w:t>
      </w:r>
    </w:p>
    <w:p w:rsidR="00BA4A5D" w:rsidRDefault="00BA4A5D" w:rsidP="00FF0AC8">
      <w:pPr>
        <w:spacing w:after="0" w:line="360" w:lineRule="auto"/>
        <w:jc w:val="both"/>
        <w:rPr>
          <w:rFonts w:ascii="Arial" w:hAnsi="Arial" w:cs="Arial"/>
          <w:color w:val="000000"/>
          <w:sz w:val="24"/>
          <w:szCs w:val="24"/>
        </w:rPr>
      </w:pPr>
    </w:p>
    <w:p w:rsidR="00C41BBC" w:rsidRDefault="004D03DB" w:rsidP="00FF0AC8">
      <w:pPr>
        <w:tabs>
          <w:tab w:val="left" w:pos="0"/>
        </w:tabs>
        <w:spacing w:after="0" w:line="360" w:lineRule="auto"/>
        <w:jc w:val="both"/>
        <w:rPr>
          <w:rFonts w:ascii="Arial" w:hAnsi="Arial" w:cs="Arial"/>
          <w:sz w:val="24"/>
          <w:szCs w:val="24"/>
        </w:rPr>
      </w:pPr>
      <w:r>
        <w:rPr>
          <w:rFonts w:ascii="Arial" w:hAnsi="Arial" w:cs="Arial"/>
          <w:sz w:val="24"/>
          <w:szCs w:val="24"/>
        </w:rPr>
        <w:lastRenderedPageBreak/>
        <w:t>[115</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In terms of the ERA and </w:t>
      </w:r>
      <w:r w:rsidR="00C41BBC">
        <w:rPr>
          <w:rFonts w:ascii="Arial" w:hAnsi="Arial" w:cs="Arial"/>
          <w:sz w:val="24"/>
          <w:szCs w:val="24"/>
        </w:rPr>
        <w:t xml:space="preserve">the </w:t>
      </w:r>
      <w:r w:rsidR="00C41BBC" w:rsidRPr="00334D8D">
        <w:rPr>
          <w:rFonts w:ascii="Arial" w:hAnsi="Arial" w:cs="Arial"/>
          <w:sz w:val="24"/>
          <w:szCs w:val="24"/>
        </w:rPr>
        <w:t>EPP</w:t>
      </w:r>
      <w:r w:rsidR="00C41BBC">
        <w:rPr>
          <w:rFonts w:ascii="Arial" w:hAnsi="Arial" w:cs="Arial"/>
          <w:sz w:val="24"/>
          <w:szCs w:val="24"/>
        </w:rPr>
        <w:t>,</w:t>
      </w:r>
      <w:r w:rsidR="00C41BBC" w:rsidRPr="00334D8D">
        <w:rPr>
          <w:rFonts w:ascii="Arial" w:hAnsi="Arial" w:cs="Arial"/>
          <w:sz w:val="24"/>
          <w:szCs w:val="24"/>
        </w:rPr>
        <w:t xml:space="preserve"> if a</w:t>
      </w:r>
      <w:r w:rsidR="00C41BBC">
        <w:rPr>
          <w:rFonts w:ascii="Arial" w:hAnsi="Arial" w:cs="Arial"/>
          <w:sz w:val="24"/>
          <w:szCs w:val="24"/>
        </w:rPr>
        <w:t xml:space="preserve"> council of a municipality wanted</w:t>
      </w:r>
      <w:r w:rsidR="00C41BBC" w:rsidRPr="00334D8D">
        <w:rPr>
          <w:rFonts w:ascii="Arial" w:hAnsi="Arial" w:cs="Arial"/>
          <w:sz w:val="24"/>
          <w:szCs w:val="24"/>
        </w:rPr>
        <w:t xml:space="preserve"> to cross subsidise, it must do so deliberately and in a way that is transparent. It must </w:t>
      </w:r>
      <w:r w:rsidR="00C41BBC">
        <w:rPr>
          <w:rFonts w:ascii="Arial" w:hAnsi="Arial" w:cs="Arial"/>
          <w:sz w:val="24"/>
          <w:szCs w:val="24"/>
        </w:rPr>
        <w:t>show the cost of supply</w:t>
      </w:r>
      <w:r w:rsidR="00C41BBC" w:rsidRPr="00334D8D">
        <w:rPr>
          <w:rFonts w:ascii="Arial" w:hAnsi="Arial" w:cs="Arial"/>
          <w:sz w:val="24"/>
          <w:szCs w:val="24"/>
        </w:rPr>
        <w:t xml:space="preserve"> of customers who are going to be subsidised. Cross-subsidisation must, also, exclude any undue discrimination. </w:t>
      </w:r>
      <w:r w:rsidR="00BA4A5D" w:rsidRPr="00334D8D">
        <w:rPr>
          <w:rFonts w:ascii="Arial" w:hAnsi="Arial" w:cs="Arial"/>
          <w:sz w:val="24"/>
          <w:szCs w:val="24"/>
        </w:rPr>
        <w:t xml:space="preserve">In </w:t>
      </w:r>
      <w:r w:rsidR="00B172D8">
        <w:rPr>
          <w:rFonts w:ascii="Arial" w:hAnsi="Arial" w:cs="Arial"/>
          <w:sz w:val="24"/>
          <w:szCs w:val="24"/>
        </w:rPr>
        <w:t>the view of this Court</w:t>
      </w:r>
      <w:r w:rsidR="00C41BBC" w:rsidRPr="00334D8D">
        <w:rPr>
          <w:rFonts w:ascii="Arial" w:hAnsi="Arial" w:cs="Arial"/>
          <w:sz w:val="24"/>
          <w:szCs w:val="24"/>
        </w:rPr>
        <w:t xml:space="preserve">, this </w:t>
      </w:r>
      <w:r w:rsidR="00C41BBC">
        <w:rPr>
          <w:rFonts w:ascii="Arial" w:hAnsi="Arial" w:cs="Arial"/>
          <w:sz w:val="24"/>
          <w:szCs w:val="24"/>
        </w:rPr>
        <w:t>could</w:t>
      </w:r>
      <w:r w:rsidR="00C41BBC" w:rsidRPr="00334D8D">
        <w:rPr>
          <w:rFonts w:ascii="Arial" w:hAnsi="Arial" w:cs="Arial"/>
          <w:sz w:val="24"/>
          <w:szCs w:val="24"/>
        </w:rPr>
        <w:t xml:space="preserve"> only be properly done where a cost of supply study has been done.</w:t>
      </w:r>
    </w:p>
    <w:p w:rsidR="00BA4A5D" w:rsidRPr="00334D8D" w:rsidRDefault="00BA4A5D" w:rsidP="00FF0AC8">
      <w:pPr>
        <w:tabs>
          <w:tab w:val="left" w:pos="0"/>
        </w:tabs>
        <w:spacing w:after="0" w:line="360" w:lineRule="auto"/>
        <w:jc w:val="both"/>
        <w:rPr>
          <w:rFonts w:ascii="Arial" w:hAnsi="Arial" w:cs="Arial"/>
          <w:sz w:val="24"/>
          <w:szCs w:val="24"/>
        </w:rPr>
      </w:pPr>
    </w:p>
    <w:p w:rsidR="00C41BBC" w:rsidRDefault="00C41BBC" w:rsidP="00FF0AC8">
      <w:pPr>
        <w:tabs>
          <w:tab w:val="left" w:pos="0"/>
        </w:tabs>
        <w:spacing w:after="0" w:line="360" w:lineRule="auto"/>
        <w:jc w:val="both"/>
        <w:rPr>
          <w:rFonts w:ascii="Arial" w:hAnsi="Arial" w:cs="Arial"/>
          <w:sz w:val="24"/>
          <w:szCs w:val="24"/>
        </w:rPr>
      </w:pPr>
      <w:r>
        <w:rPr>
          <w:rFonts w:ascii="Arial" w:hAnsi="Arial" w:cs="Arial"/>
          <w:sz w:val="24"/>
          <w:szCs w:val="24"/>
        </w:rPr>
        <w:t>[</w:t>
      </w:r>
      <w:r w:rsidR="004D03DB">
        <w:rPr>
          <w:rFonts w:ascii="Arial" w:hAnsi="Arial" w:cs="Arial"/>
          <w:sz w:val="24"/>
          <w:szCs w:val="24"/>
        </w:rPr>
        <w:t>116</w:t>
      </w:r>
      <w:r>
        <w:rPr>
          <w:rFonts w:ascii="Arial" w:hAnsi="Arial" w:cs="Arial"/>
          <w:sz w:val="24"/>
          <w:szCs w:val="24"/>
        </w:rPr>
        <w:t>]</w:t>
      </w:r>
      <w:r>
        <w:rPr>
          <w:rFonts w:ascii="Arial" w:hAnsi="Arial" w:cs="Arial"/>
          <w:sz w:val="24"/>
          <w:szCs w:val="24"/>
        </w:rPr>
        <w:tab/>
      </w:r>
      <w:r w:rsidRPr="00334D8D">
        <w:rPr>
          <w:rFonts w:ascii="Arial" w:hAnsi="Arial" w:cs="Arial"/>
          <w:sz w:val="24"/>
          <w:szCs w:val="24"/>
        </w:rPr>
        <w:t xml:space="preserve">Policy Position 23 of the EPP, dealing with cost of supply studies, at </w:t>
      </w:r>
      <w:r w:rsidR="00B172D8">
        <w:rPr>
          <w:rFonts w:ascii="Arial" w:hAnsi="Arial" w:cs="Arial"/>
          <w:sz w:val="24"/>
          <w:szCs w:val="24"/>
        </w:rPr>
        <w:t>section</w:t>
      </w:r>
      <w:r w:rsidRPr="00334D8D">
        <w:rPr>
          <w:rFonts w:ascii="Arial" w:hAnsi="Arial" w:cs="Arial"/>
          <w:sz w:val="24"/>
          <w:szCs w:val="24"/>
        </w:rPr>
        <w:t xml:space="preserve"> 8.1 thereof, emphasises that </w:t>
      </w:r>
      <w:r w:rsidRPr="003F30C4">
        <w:rPr>
          <w:rFonts w:ascii="Arial" w:hAnsi="Arial" w:cs="Arial"/>
          <w:i/>
          <w:sz w:val="24"/>
          <w:szCs w:val="24"/>
        </w:rPr>
        <w:t>‘the industry’s cost of supply methodology and some models to calculate these costs have existed for more than ten years.</w:t>
      </w:r>
      <w:r w:rsidRPr="00334D8D">
        <w:rPr>
          <w:rFonts w:ascii="Arial" w:hAnsi="Arial" w:cs="Arial"/>
          <w:sz w:val="24"/>
          <w:szCs w:val="24"/>
        </w:rPr>
        <w:t xml:space="preserve"> </w:t>
      </w:r>
      <w:r w:rsidRPr="003F30C4">
        <w:rPr>
          <w:rFonts w:ascii="Arial" w:hAnsi="Arial" w:cs="Arial"/>
          <w:i/>
          <w:sz w:val="24"/>
          <w:szCs w:val="24"/>
        </w:rPr>
        <w:t>It</w:t>
      </w:r>
      <w:r w:rsidRPr="00334D8D">
        <w:rPr>
          <w:rFonts w:ascii="Arial" w:hAnsi="Arial" w:cs="Arial"/>
          <w:sz w:val="24"/>
          <w:szCs w:val="24"/>
        </w:rPr>
        <w:t xml:space="preserve"> </w:t>
      </w:r>
      <w:r w:rsidRPr="003F30C4">
        <w:rPr>
          <w:rFonts w:ascii="Arial" w:hAnsi="Arial" w:cs="Arial"/>
          <w:i/>
          <w:sz w:val="24"/>
          <w:szCs w:val="24"/>
        </w:rPr>
        <w:t>has, nevertheless, only been applied by a few utilities, thus leaving the extent of cross subsidies largely unknown’</w:t>
      </w:r>
      <w:r w:rsidRPr="00334D8D">
        <w:rPr>
          <w:rFonts w:ascii="Arial" w:hAnsi="Arial" w:cs="Arial"/>
          <w:sz w:val="24"/>
          <w:szCs w:val="24"/>
        </w:rPr>
        <w:t xml:space="preserve">. </w:t>
      </w:r>
    </w:p>
    <w:p w:rsidR="00BA4A5D" w:rsidRDefault="00BA4A5D" w:rsidP="00FF0AC8">
      <w:pPr>
        <w:tabs>
          <w:tab w:val="left" w:pos="0"/>
        </w:tabs>
        <w:spacing w:after="0" w:line="360" w:lineRule="auto"/>
        <w:jc w:val="both"/>
        <w:rPr>
          <w:rFonts w:ascii="Arial" w:hAnsi="Arial" w:cs="Arial"/>
          <w:sz w:val="24"/>
          <w:szCs w:val="24"/>
        </w:rPr>
      </w:pPr>
    </w:p>
    <w:p w:rsidR="00552E86" w:rsidRDefault="004D03DB" w:rsidP="00552E86">
      <w:pPr>
        <w:tabs>
          <w:tab w:val="left" w:pos="0"/>
        </w:tabs>
        <w:spacing w:after="0" w:line="360" w:lineRule="auto"/>
        <w:jc w:val="both"/>
        <w:rPr>
          <w:rFonts w:ascii="Arial" w:hAnsi="Arial" w:cs="Arial"/>
          <w:sz w:val="24"/>
          <w:szCs w:val="24"/>
        </w:rPr>
      </w:pPr>
      <w:r>
        <w:rPr>
          <w:rFonts w:ascii="Arial" w:hAnsi="Arial" w:cs="Arial"/>
          <w:sz w:val="24"/>
          <w:szCs w:val="24"/>
        </w:rPr>
        <w:t>[</w:t>
      </w:r>
      <w:r w:rsidR="00C41BBC">
        <w:rPr>
          <w:rFonts w:ascii="Arial" w:hAnsi="Arial" w:cs="Arial"/>
          <w:sz w:val="24"/>
          <w:szCs w:val="24"/>
        </w:rPr>
        <w:t>1</w:t>
      </w:r>
      <w:r>
        <w:rPr>
          <w:rFonts w:ascii="Arial" w:hAnsi="Arial" w:cs="Arial"/>
          <w:sz w:val="24"/>
          <w:szCs w:val="24"/>
        </w:rPr>
        <w:t>17</w:t>
      </w:r>
      <w:r w:rsidR="00C41BBC">
        <w:rPr>
          <w:rFonts w:ascii="Arial" w:hAnsi="Arial" w:cs="Arial"/>
          <w:sz w:val="24"/>
          <w:szCs w:val="24"/>
        </w:rPr>
        <w:t>]</w:t>
      </w:r>
      <w:r w:rsidR="00C41BBC">
        <w:rPr>
          <w:rFonts w:ascii="Arial" w:hAnsi="Arial" w:cs="Arial"/>
          <w:sz w:val="24"/>
          <w:szCs w:val="24"/>
        </w:rPr>
        <w:tab/>
        <w:t xml:space="preserve">Without the cost of supply study, and, therefore, the cost of supply of City Power, which would result in the cost of supply of City Power’s customer categories, </w:t>
      </w:r>
      <w:r w:rsidR="00C41BBC" w:rsidRPr="00334D8D">
        <w:rPr>
          <w:rFonts w:ascii="Arial" w:hAnsi="Arial" w:cs="Arial"/>
          <w:sz w:val="24"/>
          <w:szCs w:val="24"/>
        </w:rPr>
        <w:t xml:space="preserve">NERSA </w:t>
      </w:r>
      <w:r w:rsidR="00C41BBC">
        <w:rPr>
          <w:rFonts w:ascii="Arial" w:hAnsi="Arial" w:cs="Arial"/>
          <w:sz w:val="24"/>
          <w:szCs w:val="24"/>
        </w:rPr>
        <w:t>w</w:t>
      </w:r>
      <w:r w:rsidR="00C41BBC" w:rsidRPr="00334D8D">
        <w:rPr>
          <w:rFonts w:ascii="Arial" w:hAnsi="Arial" w:cs="Arial"/>
          <w:sz w:val="24"/>
          <w:szCs w:val="24"/>
        </w:rPr>
        <w:t>ould</w:t>
      </w:r>
      <w:r w:rsidR="00C41BBC">
        <w:rPr>
          <w:rFonts w:ascii="Arial" w:hAnsi="Arial" w:cs="Arial"/>
          <w:sz w:val="24"/>
          <w:szCs w:val="24"/>
        </w:rPr>
        <w:t xml:space="preserve"> not have been able to investigate the extent, if any, of undue discrimination or cross-subsidisation between City Power’s customer categories. W</w:t>
      </w:r>
      <w:r w:rsidR="00C41BBC" w:rsidRPr="00334D8D">
        <w:rPr>
          <w:rFonts w:ascii="Arial" w:hAnsi="Arial" w:cs="Arial"/>
          <w:sz w:val="24"/>
          <w:szCs w:val="24"/>
        </w:rPr>
        <w:t xml:space="preserve">hen setting </w:t>
      </w:r>
      <w:r w:rsidR="00C41BBC">
        <w:rPr>
          <w:rFonts w:ascii="Arial" w:hAnsi="Arial" w:cs="Arial"/>
          <w:sz w:val="24"/>
          <w:szCs w:val="24"/>
        </w:rPr>
        <w:t xml:space="preserve">or approving municipal </w:t>
      </w:r>
      <w:r w:rsidR="00C41BBC" w:rsidRPr="00334D8D">
        <w:rPr>
          <w:rFonts w:ascii="Arial" w:hAnsi="Arial" w:cs="Arial"/>
          <w:sz w:val="24"/>
          <w:szCs w:val="24"/>
        </w:rPr>
        <w:t>tariffs,</w:t>
      </w:r>
      <w:r w:rsidR="00C41BBC">
        <w:rPr>
          <w:rFonts w:ascii="Arial" w:hAnsi="Arial" w:cs="Arial"/>
          <w:sz w:val="24"/>
          <w:szCs w:val="24"/>
        </w:rPr>
        <w:t xml:space="preserve"> </w:t>
      </w:r>
      <w:r w:rsidR="00552E86">
        <w:rPr>
          <w:rFonts w:ascii="Arial" w:hAnsi="Arial" w:cs="Arial"/>
          <w:sz w:val="24"/>
          <w:szCs w:val="24"/>
        </w:rPr>
        <w:t>NERSA was enjoined by the provisions of the ERA and the EPP, to consider these principles, and assess whether</w:t>
      </w:r>
      <w:r w:rsidR="0001076D">
        <w:rPr>
          <w:rFonts w:ascii="Arial" w:hAnsi="Arial" w:cs="Arial"/>
          <w:sz w:val="24"/>
          <w:szCs w:val="24"/>
        </w:rPr>
        <w:t xml:space="preserve"> or not</w:t>
      </w:r>
      <w:r w:rsidR="00552E86">
        <w:rPr>
          <w:rFonts w:ascii="Arial" w:hAnsi="Arial" w:cs="Arial"/>
          <w:sz w:val="24"/>
          <w:szCs w:val="24"/>
        </w:rPr>
        <w:t xml:space="preserve"> there was </w:t>
      </w:r>
      <w:r w:rsidR="0001076D">
        <w:rPr>
          <w:rFonts w:ascii="Arial" w:hAnsi="Arial" w:cs="Arial"/>
          <w:sz w:val="24"/>
          <w:szCs w:val="24"/>
        </w:rPr>
        <w:t>undue</w:t>
      </w:r>
      <w:r w:rsidR="00552E86">
        <w:rPr>
          <w:rFonts w:ascii="Arial" w:hAnsi="Arial" w:cs="Arial"/>
          <w:sz w:val="24"/>
          <w:szCs w:val="24"/>
        </w:rPr>
        <w:t xml:space="preserve"> discrimination or cross-subsidisation that was deliberate and transparent.</w:t>
      </w:r>
    </w:p>
    <w:p w:rsidR="00BA4A5D" w:rsidRDefault="00BA4A5D" w:rsidP="00FF0AC8">
      <w:pPr>
        <w:tabs>
          <w:tab w:val="left" w:pos="0"/>
        </w:tabs>
        <w:spacing w:after="0" w:line="360" w:lineRule="auto"/>
        <w:jc w:val="both"/>
        <w:rPr>
          <w:rFonts w:ascii="Arial" w:hAnsi="Arial" w:cs="Arial"/>
          <w:sz w:val="24"/>
          <w:szCs w:val="24"/>
        </w:rPr>
      </w:pPr>
    </w:p>
    <w:p w:rsidR="00C41BBC" w:rsidRDefault="004D03DB" w:rsidP="00FF0AC8">
      <w:pPr>
        <w:tabs>
          <w:tab w:val="left" w:pos="0"/>
        </w:tabs>
        <w:spacing w:after="0" w:line="360" w:lineRule="auto"/>
        <w:jc w:val="both"/>
        <w:rPr>
          <w:rFonts w:ascii="Arial" w:hAnsi="Arial" w:cs="Arial"/>
          <w:sz w:val="24"/>
          <w:szCs w:val="24"/>
        </w:rPr>
      </w:pPr>
      <w:r>
        <w:rPr>
          <w:rFonts w:ascii="Arial" w:hAnsi="Arial" w:cs="Arial"/>
          <w:sz w:val="24"/>
          <w:szCs w:val="24"/>
        </w:rPr>
        <w:t>[118</w:t>
      </w:r>
      <w:r w:rsidR="00C41BBC">
        <w:rPr>
          <w:rFonts w:ascii="Arial" w:hAnsi="Arial" w:cs="Arial"/>
          <w:sz w:val="24"/>
          <w:szCs w:val="24"/>
        </w:rPr>
        <w:t>]</w:t>
      </w:r>
      <w:r w:rsidR="00C41BBC">
        <w:rPr>
          <w:rFonts w:ascii="Arial" w:hAnsi="Arial" w:cs="Arial"/>
          <w:sz w:val="24"/>
          <w:szCs w:val="24"/>
        </w:rPr>
        <w:tab/>
      </w:r>
      <w:r w:rsidR="00C41BBC" w:rsidRPr="00334D8D">
        <w:rPr>
          <w:rFonts w:ascii="Arial" w:hAnsi="Arial" w:cs="Arial"/>
          <w:sz w:val="24"/>
          <w:szCs w:val="24"/>
        </w:rPr>
        <w:t xml:space="preserve">Even if it </w:t>
      </w:r>
      <w:r w:rsidR="00C41BBC">
        <w:rPr>
          <w:rFonts w:ascii="Arial" w:hAnsi="Arial" w:cs="Arial"/>
          <w:sz w:val="24"/>
          <w:szCs w:val="24"/>
        </w:rPr>
        <w:t>were to</w:t>
      </w:r>
      <w:r w:rsidR="00C41BBC" w:rsidRPr="00334D8D">
        <w:rPr>
          <w:rFonts w:ascii="Arial" w:hAnsi="Arial" w:cs="Arial"/>
          <w:sz w:val="24"/>
          <w:szCs w:val="24"/>
        </w:rPr>
        <w:t xml:space="preserve"> be accepted that t</w:t>
      </w:r>
      <w:r w:rsidR="00C41BBC">
        <w:rPr>
          <w:rFonts w:ascii="Arial" w:hAnsi="Arial" w:cs="Arial"/>
          <w:sz w:val="24"/>
          <w:szCs w:val="24"/>
        </w:rPr>
        <w:t xml:space="preserve">he method adopted by NERSA did </w:t>
      </w:r>
      <w:r w:rsidR="00C41BBC" w:rsidRPr="00334D8D">
        <w:rPr>
          <w:rFonts w:ascii="Arial" w:hAnsi="Arial" w:cs="Arial"/>
          <w:sz w:val="24"/>
          <w:szCs w:val="24"/>
        </w:rPr>
        <w:t>consider the cost of supply of each municipality, what it cannot cont</w:t>
      </w:r>
      <w:r w:rsidR="00C41BBC">
        <w:rPr>
          <w:rFonts w:ascii="Arial" w:hAnsi="Arial" w:cs="Arial"/>
          <w:sz w:val="24"/>
          <w:szCs w:val="24"/>
        </w:rPr>
        <w:t>est is that the methodology did</w:t>
      </w:r>
      <w:r w:rsidR="00C41BBC" w:rsidRPr="00334D8D">
        <w:rPr>
          <w:rFonts w:ascii="Arial" w:hAnsi="Arial" w:cs="Arial"/>
          <w:sz w:val="24"/>
          <w:szCs w:val="24"/>
        </w:rPr>
        <w:t xml:space="preserve"> not look at costs within customer categories and the cross subsidisation between the customer categories. This is a requirement, in terms of the ERA and the EPP, that NERSA must comply with and which is binding on the municipalities, including City </w:t>
      </w:r>
      <w:r w:rsidR="00007F0A" w:rsidRPr="00334D8D">
        <w:rPr>
          <w:rFonts w:ascii="Arial" w:hAnsi="Arial" w:cs="Arial"/>
          <w:sz w:val="24"/>
          <w:szCs w:val="24"/>
        </w:rPr>
        <w:t>Power that</w:t>
      </w:r>
      <w:r w:rsidR="00C41BBC" w:rsidRPr="00334D8D">
        <w:rPr>
          <w:rFonts w:ascii="Arial" w:hAnsi="Arial" w:cs="Arial"/>
          <w:sz w:val="24"/>
          <w:szCs w:val="24"/>
        </w:rPr>
        <w:t xml:space="preserve"> NERSA faile</w:t>
      </w:r>
      <w:r w:rsidR="00DC798E">
        <w:rPr>
          <w:rFonts w:ascii="Arial" w:hAnsi="Arial" w:cs="Arial"/>
          <w:sz w:val="24"/>
          <w:szCs w:val="24"/>
        </w:rPr>
        <w:t xml:space="preserve">d to adhere to. </w:t>
      </w:r>
      <w:r w:rsidR="00C41BBC" w:rsidRPr="00334D8D">
        <w:rPr>
          <w:rFonts w:ascii="Arial" w:hAnsi="Arial" w:cs="Arial"/>
          <w:sz w:val="24"/>
          <w:szCs w:val="24"/>
        </w:rPr>
        <w:t xml:space="preserve">Because no cost of supply study was provided, NERSA, actually, had no way of assessing the extent of any </w:t>
      </w:r>
      <w:r w:rsidR="00C41BBC">
        <w:rPr>
          <w:rFonts w:ascii="Arial" w:hAnsi="Arial" w:cs="Arial"/>
          <w:sz w:val="24"/>
          <w:szCs w:val="24"/>
        </w:rPr>
        <w:t xml:space="preserve">discrimination and whether such discrimination </w:t>
      </w:r>
      <w:r w:rsidR="00C41BBC">
        <w:rPr>
          <w:rFonts w:ascii="Arial" w:hAnsi="Arial" w:cs="Arial"/>
          <w:sz w:val="24"/>
          <w:szCs w:val="24"/>
        </w:rPr>
        <w:lastRenderedPageBreak/>
        <w:t xml:space="preserve">was </w:t>
      </w:r>
      <w:r w:rsidR="00552E86">
        <w:rPr>
          <w:rFonts w:ascii="Arial" w:hAnsi="Arial" w:cs="Arial"/>
          <w:sz w:val="24"/>
          <w:szCs w:val="24"/>
        </w:rPr>
        <w:t xml:space="preserve">not </w:t>
      </w:r>
      <w:r w:rsidR="00C41BBC">
        <w:rPr>
          <w:rFonts w:ascii="Arial" w:hAnsi="Arial" w:cs="Arial"/>
          <w:sz w:val="24"/>
          <w:szCs w:val="24"/>
        </w:rPr>
        <w:t xml:space="preserve">undue, as well as, </w:t>
      </w:r>
      <w:r w:rsidR="00C41BBC" w:rsidRPr="00334D8D">
        <w:rPr>
          <w:rFonts w:ascii="Arial" w:hAnsi="Arial" w:cs="Arial"/>
          <w:sz w:val="24"/>
          <w:szCs w:val="24"/>
        </w:rPr>
        <w:t>cross subsidies between customer categories, and to determine whether such cross subsidies were deliberate and transparent.</w:t>
      </w:r>
    </w:p>
    <w:p w:rsidR="00007F0A" w:rsidRDefault="00007F0A" w:rsidP="00FF0AC8">
      <w:pPr>
        <w:tabs>
          <w:tab w:val="left" w:pos="0"/>
        </w:tabs>
        <w:spacing w:after="0" w:line="360" w:lineRule="auto"/>
        <w:jc w:val="both"/>
        <w:rPr>
          <w:rFonts w:ascii="Arial" w:hAnsi="Arial" w:cs="Arial"/>
          <w:sz w:val="24"/>
          <w:szCs w:val="24"/>
        </w:rPr>
      </w:pPr>
    </w:p>
    <w:p w:rsidR="00C41BBC" w:rsidRDefault="004D03DB" w:rsidP="00FF0AC8">
      <w:pPr>
        <w:tabs>
          <w:tab w:val="left" w:pos="0"/>
        </w:tabs>
        <w:spacing w:after="0" w:line="360" w:lineRule="auto"/>
        <w:jc w:val="both"/>
        <w:rPr>
          <w:rFonts w:ascii="Arial" w:hAnsi="Arial" w:cs="Arial"/>
          <w:sz w:val="24"/>
          <w:szCs w:val="24"/>
        </w:rPr>
      </w:pPr>
      <w:r>
        <w:rPr>
          <w:rFonts w:ascii="Arial" w:hAnsi="Arial" w:cs="Arial"/>
          <w:sz w:val="24"/>
          <w:szCs w:val="24"/>
        </w:rPr>
        <w:t>[119</w:t>
      </w:r>
      <w:r w:rsidR="00DC798E">
        <w:rPr>
          <w:rFonts w:ascii="Arial" w:hAnsi="Arial" w:cs="Arial"/>
          <w:sz w:val="24"/>
          <w:szCs w:val="24"/>
        </w:rPr>
        <w:t>]</w:t>
      </w:r>
      <w:r w:rsidR="00DC798E">
        <w:rPr>
          <w:rFonts w:ascii="Arial" w:hAnsi="Arial" w:cs="Arial"/>
          <w:sz w:val="24"/>
          <w:szCs w:val="24"/>
        </w:rPr>
        <w:tab/>
      </w:r>
      <w:r w:rsidR="00C41BBC" w:rsidRPr="009E0DD8">
        <w:rPr>
          <w:rFonts w:ascii="Arial" w:hAnsi="Arial" w:cs="Arial"/>
          <w:sz w:val="24"/>
          <w:szCs w:val="24"/>
        </w:rPr>
        <w:t>The Applicants’ ground of review that the tariff decision taken by NERSA when it determined the City Power t</w:t>
      </w:r>
      <w:r w:rsidR="00552E86">
        <w:rPr>
          <w:rFonts w:ascii="Arial" w:hAnsi="Arial" w:cs="Arial"/>
          <w:sz w:val="24"/>
          <w:szCs w:val="24"/>
        </w:rPr>
        <w:t>ariffs was unlawful because it wa</w:t>
      </w:r>
      <w:r w:rsidR="00C41BBC" w:rsidRPr="009E0DD8">
        <w:rPr>
          <w:rFonts w:ascii="Arial" w:hAnsi="Arial" w:cs="Arial"/>
          <w:sz w:val="24"/>
          <w:szCs w:val="24"/>
        </w:rPr>
        <w:t xml:space="preserve">s in breach of section 15(1)(d) </w:t>
      </w:r>
      <w:r w:rsidR="00C41BBC">
        <w:rPr>
          <w:rFonts w:ascii="Arial" w:hAnsi="Arial" w:cs="Arial"/>
          <w:sz w:val="24"/>
          <w:szCs w:val="24"/>
        </w:rPr>
        <w:t xml:space="preserve">and (e) </w:t>
      </w:r>
      <w:r w:rsidR="00C41BBC" w:rsidRPr="009E0DD8">
        <w:rPr>
          <w:rFonts w:ascii="Arial" w:hAnsi="Arial" w:cs="Arial"/>
          <w:sz w:val="24"/>
          <w:szCs w:val="24"/>
        </w:rPr>
        <w:t>of the ERA, and principles 2, 4 and 29 of the EPP, is in this Court’s view correct</w:t>
      </w:r>
      <w:r w:rsidR="00C41BBC">
        <w:rPr>
          <w:rFonts w:ascii="Arial" w:hAnsi="Arial" w:cs="Arial"/>
          <w:sz w:val="24"/>
          <w:szCs w:val="24"/>
        </w:rPr>
        <w:t>, and ought, therefore, to succeed</w:t>
      </w:r>
      <w:r w:rsidR="00DC798E">
        <w:rPr>
          <w:rFonts w:ascii="Arial" w:hAnsi="Arial" w:cs="Arial"/>
          <w:sz w:val="24"/>
          <w:szCs w:val="24"/>
        </w:rPr>
        <w:t>.</w:t>
      </w:r>
    </w:p>
    <w:p w:rsidR="00007F0A" w:rsidRDefault="00007F0A" w:rsidP="00FF0AC8">
      <w:pPr>
        <w:tabs>
          <w:tab w:val="left" w:pos="0"/>
        </w:tabs>
        <w:spacing w:after="0" w:line="360" w:lineRule="auto"/>
        <w:jc w:val="both"/>
        <w:rPr>
          <w:rFonts w:ascii="Arial" w:hAnsi="Arial" w:cs="Arial"/>
          <w:sz w:val="24"/>
          <w:szCs w:val="24"/>
        </w:rPr>
      </w:pPr>
    </w:p>
    <w:p w:rsidR="00C41BBC" w:rsidRDefault="00C41BBC" w:rsidP="00917D2E">
      <w:pPr>
        <w:spacing w:line="360" w:lineRule="auto"/>
        <w:ind w:left="720"/>
        <w:jc w:val="both"/>
        <w:rPr>
          <w:rFonts w:ascii="Arial" w:hAnsi="Arial" w:cs="Arial"/>
          <w:sz w:val="24"/>
          <w:szCs w:val="24"/>
        </w:rPr>
      </w:pPr>
      <w:r w:rsidRPr="00334D8D">
        <w:rPr>
          <w:rFonts w:ascii="Arial" w:hAnsi="Arial" w:cs="Arial"/>
          <w:sz w:val="24"/>
          <w:szCs w:val="24"/>
        </w:rPr>
        <w:t>Whether NERSA considered irrelevant considerations</w:t>
      </w:r>
      <w:r>
        <w:rPr>
          <w:rFonts w:ascii="Arial" w:hAnsi="Arial" w:cs="Arial"/>
          <w:sz w:val="24"/>
          <w:szCs w:val="24"/>
        </w:rPr>
        <w:t xml:space="preserve"> and did not consider relevant considerations</w:t>
      </w:r>
    </w:p>
    <w:p w:rsidR="00C41BBC" w:rsidRDefault="004D03DB" w:rsidP="00FF0AC8">
      <w:pPr>
        <w:tabs>
          <w:tab w:val="left" w:pos="0"/>
        </w:tabs>
        <w:spacing w:after="0" w:line="360" w:lineRule="auto"/>
        <w:jc w:val="both"/>
        <w:rPr>
          <w:rFonts w:ascii="Arial" w:hAnsi="Arial" w:cs="Arial"/>
          <w:color w:val="000000"/>
          <w:sz w:val="24"/>
          <w:szCs w:val="24"/>
        </w:rPr>
      </w:pPr>
      <w:r>
        <w:rPr>
          <w:rFonts w:ascii="Arial" w:hAnsi="Arial" w:cs="Arial"/>
          <w:sz w:val="24"/>
          <w:szCs w:val="24"/>
        </w:rPr>
        <w:t>[120</w:t>
      </w:r>
      <w:r w:rsidR="00DC798E">
        <w:rPr>
          <w:rFonts w:ascii="Arial" w:hAnsi="Arial" w:cs="Arial"/>
          <w:sz w:val="24"/>
          <w:szCs w:val="24"/>
        </w:rPr>
        <w:t>]</w:t>
      </w:r>
      <w:r w:rsidR="00DC798E">
        <w:rPr>
          <w:rFonts w:ascii="Arial" w:hAnsi="Arial" w:cs="Arial"/>
          <w:sz w:val="24"/>
          <w:szCs w:val="24"/>
        </w:rPr>
        <w:tab/>
      </w:r>
      <w:r w:rsidR="00552E86">
        <w:rPr>
          <w:rFonts w:ascii="Arial" w:hAnsi="Arial" w:cs="Arial"/>
          <w:sz w:val="24"/>
          <w:szCs w:val="24"/>
        </w:rPr>
        <w:t>Although NERSA wa</w:t>
      </w:r>
      <w:r w:rsidR="00C41BBC">
        <w:rPr>
          <w:rFonts w:ascii="Arial" w:hAnsi="Arial" w:cs="Arial"/>
          <w:sz w:val="24"/>
          <w:szCs w:val="24"/>
        </w:rPr>
        <w:t xml:space="preserve">s of the view that there was sufficient information </w:t>
      </w:r>
      <w:r w:rsidR="00C41BBC">
        <w:rPr>
          <w:rFonts w:ascii="Arial" w:hAnsi="Arial" w:cs="Arial"/>
          <w:color w:val="000000"/>
          <w:sz w:val="24"/>
          <w:szCs w:val="24"/>
        </w:rPr>
        <w:t>before NERSA</w:t>
      </w:r>
      <w:r w:rsidR="00C41BBC" w:rsidRPr="00334D8D">
        <w:rPr>
          <w:rFonts w:ascii="Arial" w:hAnsi="Arial" w:cs="Arial"/>
          <w:color w:val="000000"/>
          <w:sz w:val="24"/>
          <w:szCs w:val="24"/>
        </w:rPr>
        <w:t xml:space="preserve"> to a</w:t>
      </w:r>
      <w:r w:rsidR="00C41BBC">
        <w:rPr>
          <w:rFonts w:ascii="Arial" w:hAnsi="Arial" w:cs="Arial"/>
          <w:color w:val="000000"/>
          <w:sz w:val="24"/>
          <w:szCs w:val="24"/>
        </w:rPr>
        <w:t xml:space="preserve">pprove the City Power </w:t>
      </w:r>
      <w:r w:rsidR="00C41BBC" w:rsidRPr="00334D8D">
        <w:rPr>
          <w:rFonts w:ascii="Arial" w:hAnsi="Arial" w:cs="Arial"/>
          <w:color w:val="000000"/>
          <w:sz w:val="24"/>
          <w:szCs w:val="24"/>
        </w:rPr>
        <w:t>tariff</w:t>
      </w:r>
      <w:r w:rsidR="00C41BBC">
        <w:rPr>
          <w:rFonts w:ascii="Arial" w:hAnsi="Arial" w:cs="Arial"/>
          <w:color w:val="000000"/>
          <w:sz w:val="24"/>
          <w:szCs w:val="24"/>
        </w:rPr>
        <w:t>s, (D-Forms and financial statements); and that the information that was allowed, was credible</w:t>
      </w:r>
      <w:r w:rsidR="00C41BBC" w:rsidRPr="00334D8D">
        <w:rPr>
          <w:rFonts w:ascii="Arial" w:hAnsi="Arial" w:cs="Arial"/>
          <w:color w:val="000000"/>
          <w:sz w:val="24"/>
          <w:szCs w:val="24"/>
        </w:rPr>
        <w:t xml:space="preserve"> </w:t>
      </w:r>
      <w:r w:rsidR="00C41BBC">
        <w:rPr>
          <w:rFonts w:ascii="Arial" w:hAnsi="Arial" w:cs="Arial"/>
          <w:color w:val="000000"/>
          <w:sz w:val="24"/>
          <w:szCs w:val="24"/>
        </w:rPr>
        <w:t xml:space="preserve">and reliable, the problem is that </w:t>
      </w:r>
      <w:r w:rsidR="00C41BBC" w:rsidRPr="00334D8D">
        <w:rPr>
          <w:rFonts w:ascii="Arial" w:hAnsi="Arial" w:cs="Arial"/>
          <w:color w:val="000000"/>
          <w:sz w:val="24"/>
          <w:szCs w:val="24"/>
        </w:rPr>
        <w:t xml:space="preserve">the benchmark </w:t>
      </w:r>
      <w:r w:rsidR="00C41BBC">
        <w:rPr>
          <w:rFonts w:ascii="Arial" w:hAnsi="Arial" w:cs="Arial"/>
          <w:color w:val="000000"/>
          <w:sz w:val="24"/>
          <w:szCs w:val="24"/>
        </w:rPr>
        <w:t>was developed based on</w:t>
      </w:r>
      <w:r w:rsidR="00C41BBC" w:rsidRPr="00334D8D">
        <w:rPr>
          <w:rFonts w:ascii="Arial" w:hAnsi="Arial" w:cs="Arial"/>
          <w:color w:val="000000"/>
          <w:sz w:val="24"/>
          <w:szCs w:val="24"/>
        </w:rPr>
        <w:t xml:space="preserve"> information contained in a stratified sample of all municipalities and </w:t>
      </w:r>
      <w:r w:rsidR="00C41BBC">
        <w:rPr>
          <w:rFonts w:ascii="Arial" w:hAnsi="Arial" w:cs="Arial"/>
          <w:color w:val="000000"/>
          <w:sz w:val="24"/>
          <w:szCs w:val="24"/>
        </w:rPr>
        <w:t>City Power tariffs were increased by that</w:t>
      </w:r>
      <w:r w:rsidR="00C41BBC" w:rsidRPr="00334D8D">
        <w:rPr>
          <w:rFonts w:ascii="Arial" w:hAnsi="Arial" w:cs="Arial"/>
          <w:color w:val="000000"/>
          <w:sz w:val="24"/>
          <w:szCs w:val="24"/>
        </w:rPr>
        <w:t xml:space="preserve"> benchmark</w:t>
      </w:r>
      <w:r w:rsidR="00C41BBC">
        <w:rPr>
          <w:rFonts w:ascii="Arial" w:hAnsi="Arial" w:cs="Arial"/>
          <w:color w:val="000000"/>
          <w:sz w:val="24"/>
          <w:szCs w:val="24"/>
        </w:rPr>
        <w:t xml:space="preserve">.  The information as such </w:t>
      </w:r>
      <w:r w:rsidR="00552E86">
        <w:rPr>
          <w:rFonts w:ascii="Arial" w:hAnsi="Arial" w:cs="Arial"/>
          <w:color w:val="000000"/>
          <w:sz w:val="24"/>
          <w:szCs w:val="24"/>
        </w:rPr>
        <w:t>wa</w:t>
      </w:r>
      <w:r w:rsidR="00C41BBC">
        <w:rPr>
          <w:rFonts w:ascii="Arial" w:hAnsi="Arial" w:cs="Arial"/>
          <w:color w:val="000000"/>
          <w:sz w:val="24"/>
          <w:szCs w:val="24"/>
        </w:rPr>
        <w:t>s not municipality speci</w:t>
      </w:r>
      <w:r w:rsidR="00552E86">
        <w:rPr>
          <w:rFonts w:ascii="Arial" w:hAnsi="Arial" w:cs="Arial"/>
          <w:color w:val="000000"/>
          <w:sz w:val="24"/>
          <w:szCs w:val="24"/>
        </w:rPr>
        <w:t>fic, hence the tariff increase wa</w:t>
      </w:r>
      <w:r w:rsidR="00C41BBC">
        <w:rPr>
          <w:rFonts w:ascii="Arial" w:hAnsi="Arial" w:cs="Arial"/>
          <w:color w:val="000000"/>
          <w:sz w:val="24"/>
          <w:szCs w:val="24"/>
        </w:rPr>
        <w:t>s not cost reflective.</w:t>
      </w:r>
    </w:p>
    <w:p w:rsidR="00151E77" w:rsidRDefault="00151E77" w:rsidP="00FF0AC8">
      <w:pPr>
        <w:tabs>
          <w:tab w:val="left" w:pos="0"/>
        </w:tabs>
        <w:spacing w:after="0" w:line="360" w:lineRule="auto"/>
        <w:jc w:val="both"/>
        <w:rPr>
          <w:rFonts w:ascii="Arial" w:hAnsi="Arial" w:cs="Arial"/>
          <w:color w:val="000000"/>
          <w:sz w:val="24"/>
          <w:szCs w:val="24"/>
        </w:rPr>
      </w:pPr>
    </w:p>
    <w:p w:rsidR="00C41BBC" w:rsidRDefault="004D03DB" w:rsidP="00FF0AC8">
      <w:pPr>
        <w:tabs>
          <w:tab w:val="left" w:pos="0"/>
        </w:tabs>
        <w:spacing w:after="0" w:line="360" w:lineRule="auto"/>
        <w:jc w:val="both"/>
        <w:rPr>
          <w:rFonts w:ascii="Arial" w:hAnsi="Arial" w:cs="Arial"/>
          <w:color w:val="000000"/>
          <w:sz w:val="24"/>
          <w:szCs w:val="24"/>
        </w:rPr>
      </w:pPr>
      <w:r>
        <w:rPr>
          <w:rFonts w:ascii="Arial" w:hAnsi="Arial" w:cs="Arial"/>
          <w:color w:val="000000"/>
          <w:sz w:val="24"/>
          <w:szCs w:val="24"/>
        </w:rPr>
        <w:t>[121</w:t>
      </w:r>
      <w:r w:rsidR="00DC798E">
        <w:rPr>
          <w:rFonts w:ascii="Arial" w:hAnsi="Arial" w:cs="Arial"/>
          <w:color w:val="000000"/>
          <w:sz w:val="24"/>
          <w:szCs w:val="24"/>
        </w:rPr>
        <w:t>]</w:t>
      </w:r>
      <w:r w:rsidR="00DC798E">
        <w:rPr>
          <w:rFonts w:ascii="Arial" w:hAnsi="Arial" w:cs="Arial"/>
          <w:color w:val="000000"/>
          <w:sz w:val="24"/>
          <w:szCs w:val="24"/>
        </w:rPr>
        <w:tab/>
      </w:r>
      <w:r w:rsidR="00C41BBC">
        <w:rPr>
          <w:rFonts w:ascii="Arial" w:hAnsi="Arial" w:cs="Arial"/>
          <w:color w:val="000000"/>
          <w:sz w:val="24"/>
          <w:szCs w:val="24"/>
        </w:rPr>
        <w:t>In setting the percentage increase for City Power, NERSA did not consider City Power’s D-Forms and other information, alone. The other municipalities’ information was put in the mix to develop a percentage increase which applied to all the municipalities equally.</w:t>
      </w:r>
      <w:r w:rsidR="00FB02CE">
        <w:rPr>
          <w:rFonts w:ascii="Arial" w:hAnsi="Arial" w:cs="Arial"/>
          <w:color w:val="000000"/>
          <w:sz w:val="24"/>
          <w:szCs w:val="24"/>
        </w:rPr>
        <w:t xml:space="preserve"> In essence, NERSA engaged in a process of comparing the base values across municipalities in an effort to assess efficiency on a broad level. The value NERSA arrived </w:t>
      </w:r>
      <w:r w:rsidR="00151E77">
        <w:rPr>
          <w:rFonts w:ascii="Arial" w:hAnsi="Arial" w:cs="Arial"/>
          <w:color w:val="000000"/>
          <w:sz w:val="24"/>
          <w:szCs w:val="24"/>
        </w:rPr>
        <w:t>at</w:t>
      </w:r>
      <w:r w:rsidR="00FB02CE">
        <w:rPr>
          <w:rFonts w:ascii="Arial" w:hAnsi="Arial" w:cs="Arial"/>
          <w:color w:val="000000"/>
          <w:sz w:val="24"/>
          <w:szCs w:val="24"/>
        </w:rPr>
        <w:t xml:space="preserve"> was based on averages acros</w:t>
      </w:r>
      <w:r w:rsidR="00552E86">
        <w:rPr>
          <w:rFonts w:ascii="Arial" w:hAnsi="Arial" w:cs="Arial"/>
          <w:color w:val="000000"/>
          <w:sz w:val="24"/>
          <w:szCs w:val="24"/>
        </w:rPr>
        <w:t>s all municipalities, and not on</w:t>
      </w:r>
      <w:r w:rsidR="00FB02CE">
        <w:rPr>
          <w:rFonts w:ascii="Arial" w:hAnsi="Arial" w:cs="Arial"/>
          <w:color w:val="000000"/>
          <w:sz w:val="24"/>
          <w:szCs w:val="24"/>
        </w:rPr>
        <w:t xml:space="preserve"> City Power</w:t>
      </w:r>
      <w:r w:rsidR="00552E86">
        <w:rPr>
          <w:rFonts w:ascii="Arial" w:hAnsi="Arial" w:cs="Arial"/>
          <w:color w:val="000000"/>
          <w:sz w:val="24"/>
          <w:szCs w:val="24"/>
        </w:rPr>
        <w:t>’s base value,</w:t>
      </w:r>
      <w:r w:rsidR="00FB02CE">
        <w:rPr>
          <w:rFonts w:ascii="Arial" w:hAnsi="Arial" w:cs="Arial"/>
          <w:color w:val="000000"/>
          <w:sz w:val="24"/>
          <w:szCs w:val="24"/>
        </w:rPr>
        <w:t xml:space="preserve"> only. </w:t>
      </w:r>
    </w:p>
    <w:p w:rsidR="00151E77" w:rsidRDefault="00151E77" w:rsidP="00FF0AC8">
      <w:pPr>
        <w:tabs>
          <w:tab w:val="left" w:pos="0"/>
        </w:tabs>
        <w:spacing w:after="0" w:line="360" w:lineRule="auto"/>
        <w:jc w:val="both"/>
        <w:rPr>
          <w:rFonts w:ascii="Arial" w:hAnsi="Arial" w:cs="Arial"/>
          <w:color w:val="000000"/>
          <w:sz w:val="24"/>
          <w:szCs w:val="24"/>
        </w:rPr>
      </w:pPr>
    </w:p>
    <w:p w:rsidR="00C41BBC" w:rsidRDefault="004D03DB" w:rsidP="00FF0AC8">
      <w:pPr>
        <w:tabs>
          <w:tab w:val="left" w:pos="0"/>
        </w:tabs>
        <w:spacing w:after="0" w:line="360" w:lineRule="auto"/>
        <w:jc w:val="both"/>
        <w:rPr>
          <w:rFonts w:ascii="Arial" w:hAnsi="Arial" w:cs="Arial"/>
          <w:color w:val="000000"/>
          <w:sz w:val="24"/>
          <w:szCs w:val="24"/>
        </w:rPr>
      </w:pPr>
      <w:r>
        <w:rPr>
          <w:rFonts w:ascii="Arial" w:hAnsi="Arial" w:cs="Arial"/>
          <w:color w:val="000000"/>
          <w:sz w:val="24"/>
          <w:szCs w:val="24"/>
        </w:rPr>
        <w:t>[122</w:t>
      </w:r>
      <w:r w:rsidR="00DC798E">
        <w:rPr>
          <w:rFonts w:ascii="Arial" w:hAnsi="Arial" w:cs="Arial"/>
          <w:color w:val="000000"/>
          <w:sz w:val="24"/>
          <w:szCs w:val="24"/>
        </w:rPr>
        <w:t>]</w:t>
      </w:r>
      <w:r w:rsidR="00DC798E">
        <w:rPr>
          <w:rFonts w:ascii="Arial" w:hAnsi="Arial" w:cs="Arial"/>
          <w:color w:val="000000"/>
          <w:sz w:val="24"/>
          <w:szCs w:val="24"/>
        </w:rPr>
        <w:tab/>
      </w:r>
      <w:r w:rsidR="000E0ADA">
        <w:rPr>
          <w:rFonts w:ascii="Arial" w:hAnsi="Arial" w:cs="Arial"/>
          <w:color w:val="000000"/>
          <w:sz w:val="24"/>
          <w:szCs w:val="24"/>
        </w:rPr>
        <w:t xml:space="preserve">Furthermore, as already stated, the information from the D-Forms was stale as it was for the 2016/2017 financial year when it ought to have been for the 2018/2019 financial year. Consequently, </w:t>
      </w:r>
      <w:r w:rsidR="00C41BBC">
        <w:rPr>
          <w:rFonts w:ascii="Arial" w:hAnsi="Arial" w:cs="Arial"/>
          <w:color w:val="000000"/>
          <w:sz w:val="24"/>
          <w:szCs w:val="24"/>
        </w:rPr>
        <w:t>NERSA’s contention that th</w:t>
      </w:r>
      <w:r w:rsidR="00552E86">
        <w:rPr>
          <w:rFonts w:ascii="Arial" w:hAnsi="Arial" w:cs="Arial"/>
          <w:color w:val="000000"/>
          <w:sz w:val="24"/>
          <w:szCs w:val="24"/>
        </w:rPr>
        <w:t>e process of approving tariffs wa</w:t>
      </w:r>
      <w:r w:rsidR="00C41BBC">
        <w:rPr>
          <w:rFonts w:ascii="Arial" w:hAnsi="Arial" w:cs="Arial"/>
          <w:color w:val="000000"/>
          <w:sz w:val="24"/>
          <w:szCs w:val="24"/>
        </w:rPr>
        <w:t>s n</w:t>
      </w:r>
      <w:r w:rsidR="00552E86">
        <w:rPr>
          <w:rFonts w:ascii="Arial" w:hAnsi="Arial" w:cs="Arial"/>
          <w:color w:val="000000"/>
          <w:sz w:val="24"/>
          <w:szCs w:val="24"/>
        </w:rPr>
        <w:t>ot mechanical and that the tariffs we</w:t>
      </w:r>
      <w:r w:rsidR="00C41BBC">
        <w:rPr>
          <w:rFonts w:ascii="Arial" w:hAnsi="Arial" w:cs="Arial"/>
          <w:color w:val="000000"/>
          <w:sz w:val="24"/>
          <w:szCs w:val="24"/>
        </w:rPr>
        <w:t xml:space="preserve">re </w:t>
      </w:r>
      <w:r w:rsidR="00C41BBC">
        <w:rPr>
          <w:rFonts w:ascii="Arial" w:hAnsi="Arial" w:cs="Arial"/>
          <w:color w:val="000000"/>
          <w:sz w:val="24"/>
          <w:szCs w:val="24"/>
        </w:rPr>
        <w:lastRenderedPageBreak/>
        <w:t>considered on a case-by-case basis, cannot be correct when the aforementioned reasons are considered.</w:t>
      </w:r>
      <w:r w:rsidR="000E0ADA">
        <w:rPr>
          <w:rFonts w:ascii="Arial" w:hAnsi="Arial" w:cs="Arial"/>
          <w:color w:val="000000"/>
          <w:sz w:val="24"/>
          <w:szCs w:val="24"/>
        </w:rPr>
        <w:t xml:space="preserve"> </w:t>
      </w:r>
    </w:p>
    <w:p w:rsidR="00151E77" w:rsidRDefault="00151E77" w:rsidP="00FF0AC8">
      <w:pPr>
        <w:tabs>
          <w:tab w:val="left" w:pos="0"/>
        </w:tabs>
        <w:spacing w:after="0" w:line="360" w:lineRule="auto"/>
        <w:jc w:val="both"/>
        <w:rPr>
          <w:rFonts w:ascii="Arial" w:hAnsi="Arial" w:cs="Arial"/>
          <w:color w:val="000000"/>
          <w:sz w:val="24"/>
          <w:szCs w:val="24"/>
        </w:rPr>
      </w:pPr>
    </w:p>
    <w:p w:rsidR="00C41BBC" w:rsidRDefault="004D03DB" w:rsidP="00FF0AC8">
      <w:pPr>
        <w:tabs>
          <w:tab w:val="left" w:pos="0"/>
        </w:tabs>
        <w:spacing w:after="0" w:line="360" w:lineRule="auto"/>
        <w:jc w:val="both"/>
        <w:rPr>
          <w:rFonts w:ascii="Arial" w:hAnsi="Arial" w:cs="Arial"/>
          <w:color w:val="000000"/>
          <w:sz w:val="24"/>
          <w:szCs w:val="24"/>
        </w:rPr>
      </w:pPr>
      <w:r>
        <w:rPr>
          <w:rFonts w:ascii="Arial" w:hAnsi="Arial" w:cs="Arial"/>
          <w:color w:val="000000"/>
          <w:sz w:val="24"/>
          <w:szCs w:val="24"/>
        </w:rPr>
        <w:t>[123</w:t>
      </w:r>
      <w:r w:rsidR="00DC798E">
        <w:rPr>
          <w:rFonts w:ascii="Arial" w:hAnsi="Arial" w:cs="Arial"/>
          <w:color w:val="000000"/>
          <w:sz w:val="24"/>
          <w:szCs w:val="24"/>
        </w:rPr>
        <w:t>]</w:t>
      </w:r>
      <w:r w:rsidR="00DC798E">
        <w:rPr>
          <w:rFonts w:ascii="Arial" w:hAnsi="Arial" w:cs="Arial"/>
          <w:color w:val="000000"/>
          <w:sz w:val="24"/>
          <w:szCs w:val="24"/>
        </w:rPr>
        <w:tab/>
      </w:r>
      <w:r w:rsidR="00C41BBC">
        <w:rPr>
          <w:rFonts w:ascii="Arial" w:hAnsi="Arial" w:cs="Arial"/>
          <w:color w:val="000000"/>
          <w:sz w:val="24"/>
          <w:szCs w:val="24"/>
        </w:rPr>
        <w:t xml:space="preserve">Fundamentally, without a cost of supply study, it cannot be said that the information in the D-Forms and the audited financial statements, even if it could </w:t>
      </w:r>
      <w:r w:rsidR="000E0ADA">
        <w:rPr>
          <w:rFonts w:ascii="Arial" w:hAnsi="Arial" w:cs="Arial"/>
          <w:color w:val="000000"/>
          <w:sz w:val="24"/>
          <w:szCs w:val="24"/>
        </w:rPr>
        <w:t xml:space="preserve">have </w:t>
      </w:r>
      <w:r w:rsidR="00C41BBC">
        <w:rPr>
          <w:rFonts w:ascii="Arial" w:hAnsi="Arial" w:cs="Arial"/>
          <w:color w:val="000000"/>
          <w:sz w:val="24"/>
          <w:szCs w:val="24"/>
        </w:rPr>
        <w:t>b</w:t>
      </w:r>
      <w:r w:rsidR="000E0ADA">
        <w:rPr>
          <w:rFonts w:ascii="Arial" w:hAnsi="Arial" w:cs="Arial"/>
          <w:color w:val="000000"/>
          <w:sz w:val="24"/>
          <w:szCs w:val="24"/>
        </w:rPr>
        <w:t>e</w:t>
      </w:r>
      <w:r w:rsidR="00C41BBC">
        <w:rPr>
          <w:rFonts w:ascii="Arial" w:hAnsi="Arial" w:cs="Arial"/>
          <w:color w:val="000000"/>
          <w:sz w:val="24"/>
          <w:szCs w:val="24"/>
        </w:rPr>
        <w:t>e</w:t>
      </w:r>
      <w:r w:rsidR="000E0ADA">
        <w:rPr>
          <w:rFonts w:ascii="Arial" w:hAnsi="Arial" w:cs="Arial"/>
          <w:color w:val="000000"/>
          <w:sz w:val="24"/>
          <w:szCs w:val="24"/>
        </w:rPr>
        <w:t>n</w:t>
      </w:r>
      <w:r w:rsidR="00C41BBC">
        <w:rPr>
          <w:rFonts w:ascii="Arial" w:hAnsi="Arial" w:cs="Arial"/>
          <w:color w:val="000000"/>
          <w:sz w:val="24"/>
          <w:szCs w:val="24"/>
        </w:rPr>
        <w:t xml:space="preserve"> accepted as not being outdated, was properly applied. It follows that when the percentage increase was determined irrelevant consideration were taken into account and relevant considerations, which could have been provided by a cost of supply study, were not considered. </w:t>
      </w:r>
    </w:p>
    <w:p w:rsidR="00151E77" w:rsidRDefault="00151E77" w:rsidP="00FF0AC8">
      <w:pPr>
        <w:tabs>
          <w:tab w:val="left" w:pos="0"/>
        </w:tabs>
        <w:spacing w:after="0" w:line="360" w:lineRule="auto"/>
        <w:jc w:val="both"/>
        <w:rPr>
          <w:rFonts w:ascii="Arial" w:hAnsi="Arial" w:cs="Arial"/>
          <w:color w:val="000000"/>
          <w:sz w:val="24"/>
          <w:szCs w:val="24"/>
        </w:rPr>
      </w:pPr>
    </w:p>
    <w:p w:rsidR="00C41BBC" w:rsidRDefault="00C41BBC" w:rsidP="00917D2E">
      <w:pPr>
        <w:tabs>
          <w:tab w:val="left" w:pos="0"/>
        </w:tabs>
        <w:spacing w:line="360" w:lineRule="auto"/>
        <w:jc w:val="both"/>
        <w:rPr>
          <w:rFonts w:ascii="Arial" w:hAnsi="Arial" w:cs="Arial"/>
          <w:b/>
          <w:sz w:val="24"/>
          <w:szCs w:val="24"/>
        </w:rPr>
      </w:pPr>
      <w:r w:rsidRPr="00FB02CE">
        <w:rPr>
          <w:rFonts w:ascii="Arial" w:hAnsi="Arial" w:cs="Arial"/>
          <w:b/>
          <w:sz w:val="24"/>
          <w:szCs w:val="24"/>
        </w:rPr>
        <w:t>CONCLUSION</w:t>
      </w:r>
    </w:p>
    <w:p w:rsidR="00C951C7" w:rsidRDefault="004D03DB" w:rsidP="00FF0AC8">
      <w:pPr>
        <w:spacing w:after="0" w:line="360" w:lineRule="auto"/>
        <w:jc w:val="both"/>
        <w:rPr>
          <w:rFonts w:ascii="Arial" w:hAnsi="Arial" w:cs="Arial"/>
          <w:sz w:val="24"/>
          <w:szCs w:val="24"/>
        </w:rPr>
      </w:pPr>
      <w:r>
        <w:rPr>
          <w:rFonts w:ascii="Arial" w:hAnsi="Arial" w:cs="Arial"/>
          <w:sz w:val="24"/>
          <w:szCs w:val="24"/>
        </w:rPr>
        <w:t>[124</w:t>
      </w:r>
      <w:r w:rsidR="00DC798E">
        <w:rPr>
          <w:rFonts w:ascii="Arial" w:hAnsi="Arial" w:cs="Arial"/>
          <w:sz w:val="24"/>
          <w:szCs w:val="24"/>
        </w:rPr>
        <w:t>]</w:t>
      </w:r>
      <w:r w:rsidR="00C951C7">
        <w:rPr>
          <w:rFonts w:ascii="Arial" w:hAnsi="Arial" w:cs="Arial"/>
          <w:sz w:val="24"/>
          <w:szCs w:val="24"/>
        </w:rPr>
        <w:tab/>
      </w:r>
      <w:r w:rsidR="00C951C7" w:rsidRPr="00334D8D">
        <w:rPr>
          <w:rFonts w:ascii="Arial" w:hAnsi="Arial" w:cs="Arial"/>
          <w:sz w:val="24"/>
          <w:szCs w:val="24"/>
        </w:rPr>
        <w:t>In essence, the Applicants’ case</w:t>
      </w:r>
      <w:r w:rsidR="00C951C7">
        <w:rPr>
          <w:rFonts w:ascii="Arial" w:hAnsi="Arial" w:cs="Arial"/>
          <w:sz w:val="24"/>
          <w:szCs w:val="24"/>
        </w:rPr>
        <w:t xml:space="preserve"> hinged on the fact that there wa</w:t>
      </w:r>
      <w:r w:rsidR="00C951C7" w:rsidRPr="00334D8D">
        <w:rPr>
          <w:rFonts w:ascii="Arial" w:hAnsi="Arial" w:cs="Arial"/>
          <w:sz w:val="24"/>
          <w:szCs w:val="24"/>
        </w:rPr>
        <w:t>s no cost of supply study developed for the City of Johannesburg</w:t>
      </w:r>
      <w:r w:rsidR="00C951C7">
        <w:rPr>
          <w:rFonts w:ascii="Arial" w:hAnsi="Arial" w:cs="Arial"/>
          <w:sz w:val="24"/>
          <w:szCs w:val="24"/>
        </w:rPr>
        <w:t>, at the time NERSA took the decision to set the 2019/2020 financial year, City Power tariffs</w:t>
      </w:r>
      <w:r w:rsidR="00C951C7" w:rsidRPr="00334D8D">
        <w:rPr>
          <w:rFonts w:ascii="Arial" w:hAnsi="Arial" w:cs="Arial"/>
          <w:sz w:val="24"/>
          <w:szCs w:val="24"/>
        </w:rPr>
        <w:t>.</w:t>
      </w:r>
    </w:p>
    <w:p w:rsidR="00151E77" w:rsidRDefault="00151E77" w:rsidP="00FF0AC8">
      <w:pPr>
        <w:spacing w:after="0" w:line="360" w:lineRule="auto"/>
        <w:jc w:val="both"/>
        <w:rPr>
          <w:rFonts w:ascii="Arial" w:hAnsi="Arial" w:cs="Arial"/>
          <w:sz w:val="24"/>
          <w:szCs w:val="24"/>
        </w:rPr>
      </w:pPr>
    </w:p>
    <w:p w:rsidR="00C41BBC" w:rsidRDefault="00DC798E" w:rsidP="00FF0AC8">
      <w:pPr>
        <w:spacing w:after="0" w:line="360" w:lineRule="auto"/>
        <w:jc w:val="both"/>
        <w:rPr>
          <w:rFonts w:ascii="Arial" w:hAnsi="Arial" w:cs="Arial"/>
          <w:sz w:val="24"/>
          <w:szCs w:val="24"/>
        </w:rPr>
      </w:pPr>
      <w:r>
        <w:rPr>
          <w:rFonts w:ascii="Arial" w:hAnsi="Arial" w:cs="Arial"/>
          <w:sz w:val="24"/>
          <w:szCs w:val="24"/>
        </w:rPr>
        <w:t>[</w:t>
      </w:r>
      <w:r w:rsidR="004D03DB">
        <w:rPr>
          <w:rFonts w:ascii="Arial" w:hAnsi="Arial" w:cs="Arial"/>
          <w:sz w:val="24"/>
          <w:szCs w:val="24"/>
        </w:rPr>
        <w:t>125</w:t>
      </w:r>
      <w:r>
        <w:rPr>
          <w:rFonts w:ascii="Arial" w:hAnsi="Arial" w:cs="Arial"/>
          <w:sz w:val="24"/>
          <w:szCs w:val="24"/>
        </w:rPr>
        <w:t>]</w:t>
      </w:r>
      <w:r>
        <w:rPr>
          <w:rFonts w:ascii="Arial" w:hAnsi="Arial" w:cs="Arial"/>
          <w:sz w:val="24"/>
          <w:szCs w:val="24"/>
        </w:rPr>
        <w:tab/>
      </w:r>
      <w:r w:rsidR="00C41BBC" w:rsidRPr="00334D8D">
        <w:rPr>
          <w:rFonts w:ascii="Arial" w:hAnsi="Arial" w:cs="Arial"/>
          <w:sz w:val="24"/>
          <w:szCs w:val="24"/>
        </w:rPr>
        <w:t>Without a cost of supply study, which the EPP emphasises it should be carried out every five years,</w:t>
      </w:r>
      <w:r w:rsidR="00C41BBC" w:rsidRPr="00334D8D">
        <w:rPr>
          <w:rStyle w:val="FootnoteReference"/>
          <w:rFonts w:ascii="Arial" w:hAnsi="Arial" w:cs="Arial"/>
          <w:sz w:val="24"/>
          <w:szCs w:val="24"/>
        </w:rPr>
        <w:footnoteReference w:id="27"/>
      </w:r>
      <w:r w:rsidR="00C41BBC" w:rsidRPr="00334D8D">
        <w:rPr>
          <w:rFonts w:ascii="Arial" w:hAnsi="Arial" w:cs="Arial"/>
          <w:sz w:val="24"/>
          <w:szCs w:val="24"/>
        </w:rPr>
        <w:t xml:space="preserve"> by each municipa</w:t>
      </w:r>
      <w:r w:rsidR="00C41BBC">
        <w:rPr>
          <w:rFonts w:ascii="Arial" w:hAnsi="Arial" w:cs="Arial"/>
          <w:sz w:val="24"/>
          <w:szCs w:val="24"/>
        </w:rPr>
        <w:t>lity, NERSA could not</w:t>
      </w:r>
      <w:r w:rsidR="00C41BBC" w:rsidRPr="00334D8D">
        <w:rPr>
          <w:rFonts w:ascii="Arial" w:hAnsi="Arial" w:cs="Arial"/>
          <w:sz w:val="24"/>
          <w:szCs w:val="24"/>
        </w:rPr>
        <w:t xml:space="preserve"> assess the overall cost of supply of the municipality applying for an increase of its tariffs,</w:t>
      </w:r>
      <w:r w:rsidR="00FF156F">
        <w:rPr>
          <w:rStyle w:val="FootnoteReference"/>
          <w:rFonts w:ascii="Arial" w:hAnsi="Arial" w:cs="Arial"/>
          <w:sz w:val="24"/>
          <w:szCs w:val="24"/>
        </w:rPr>
        <w:footnoteReference w:id="28"/>
      </w:r>
      <w:r w:rsidR="00C41BBC" w:rsidRPr="00334D8D">
        <w:rPr>
          <w:rFonts w:ascii="Arial" w:hAnsi="Arial" w:cs="Arial"/>
          <w:sz w:val="24"/>
          <w:szCs w:val="24"/>
        </w:rPr>
        <w:t xml:space="preserve"> or the cost of supply of the customer categories of that municipality, and, as a result, NERSA </w:t>
      </w:r>
      <w:r w:rsidR="00C41BBC">
        <w:rPr>
          <w:rFonts w:ascii="Arial" w:hAnsi="Arial" w:cs="Arial"/>
          <w:sz w:val="24"/>
          <w:szCs w:val="24"/>
        </w:rPr>
        <w:t>could not</w:t>
      </w:r>
      <w:r w:rsidR="00C41BBC" w:rsidRPr="00334D8D">
        <w:rPr>
          <w:rFonts w:ascii="Arial" w:hAnsi="Arial" w:cs="Arial"/>
          <w:sz w:val="24"/>
          <w:szCs w:val="24"/>
        </w:rPr>
        <w:t xml:space="preserve"> lawfully set tariffs for such a municipality. This is what happened in the case of City Power.  </w:t>
      </w:r>
    </w:p>
    <w:p w:rsidR="00151E77" w:rsidRDefault="00151E77" w:rsidP="00FF0AC8">
      <w:pPr>
        <w:spacing w:after="0" w:line="360" w:lineRule="auto"/>
        <w:jc w:val="both"/>
        <w:rPr>
          <w:rFonts w:ascii="Arial" w:hAnsi="Arial" w:cs="Arial"/>
          <w:sz w:val="24"/>
          <w:szCs w:val="24"/>
        </w:rPr>
      </w:pPr>
    </w:p>
    <w:p w:rsidR="00A3364E" w:rsidRDefault="00E83060" w:rsidP="00FF0AC8">
      <w:pPr>
        <w:spacing w:after="0" w:line="36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A3364E">
        <w:rPr>
          <w:rFonts w:ascii="Arial" w:hAnsi="Arial" w:cs="Arial"/>
          <w:sz w:val="24"/>
          <w:szCs w:val="24"/>
        </w:rPr>
        <w:t xml:space="preserve">NERSA, has continually in its argument stated that a cost of supply study is the responsibility of individual municipalities and that without being furnished with one, like in this matter, it will continue to apply the Guideline and Benchmarking </w:t>
      </w:r>
      <w:r w:rsidR="00246EC0">
        <w:rPr>
          <w:rFonts w:ascii="Arial" w:hAnsi="Arial" w:cs="Arial"/>
          <w:sz w:val="24"/>
          <w:szCs w:val="24"/>
        </w:rPr>
        <w:t>Method</w:t>
      </w:r>
      <w:r w:rsidR="00A3364E">
        <w:rPr>
          <w:rFonts w:ascii="Arial" w:hAnsi="Arial" w:cs="Arial"/>
          <w:sz w:val="24"/>
          <w:szCs w:val="24"/>
        </w:rPr>
        <w:t xml:space="preserve"> when setting municipality tariffs. However, NERSA has been enjoined by the EPP to see that within five (5) years that cost reflective </w:t>
      </w:r>
      <w:r w:rsidR="00A3364E">
        <w:rPr>
          <w:rFonts w:ascii="Arial" w:hAnsi="Arial" w:cs="Arial"/>
          <w:sz w:val="24"/>
          <w:szCs w:val="24"/>
        </w:rPr>
        <w:lastRenderedPageBreak/>
        <w:t>tariffs shall reflect all costs components.</w:t>
      </w:r>
      <w:r w:rsidR="00A3364E">
        <w:rPr>
          <w:rStyle w:val="FootnoteReference"/>
          <w:rFonts w:ascii="Arial" w:hAnsi="Arial" w:cs="Arial"/>
          <w:sz w:val="24"/>
          <w:szCs w:val="24"/>
        </w:rPr>
        <w:footnoteReference w:id="29"/>
      </w:r>
      <w:r w:rsidR="00A3364E">
        <w:rPr>
          <w:rFonts w:ascii="Arial" w:hAnsi="Arial" w:cs="Arial"/>
          <w:sz w:val="24"/>
          <w:szCs w:val="24"/>
        </w:rPr>
        <w:t xml:space="preserve"> The calculation of the five (5) year period should have started from 2008, when the EPP was promulgated. </w:t>
      </w:r>
    </w:p>
    <w:p w:rsidR="00151E77" w:rsidRPr="00334D8D" w:rsidRDefault="00151E77" w:rsidP="00FF0AC8">
      <w:pPr>
        <w:spacing w:after="0" w:line="360" w:lineRule="auto"/>
        <w:jc w:val="both"/>
        <w:rPr>
          <w:rFonts w:ascii="Arial" w:hAnsi="Arial" w:cs="Arial"/>
          <w:sz w:val="24"/>
          <w:szCs w:val="24"/>
        </w:rPr>
      </w:pPr>
    </w:p>
    <w:p w:rsidR="00C41BBC" w:rsidRDefault="00DC798E" w:rsidP="00FF0AC8">
      <w:pPr>
        <w:spacing w:after="0" w:line="360" w:lineRule="auto"/>
        <w:jc w:val="both"/>
        <w:rPr>
          <w:rFonts w:ascii="Arial" w:hAnsi="Arial" w:cs="Arial"/>
          <w:sz w:val="24"/>
          <w:szCs w:val="24"/>
        </w:rPr>
      </w:pPr>
      <w:r>
        <w:rPr>
          <w:rFonts w:ascii="Arial" w:hAnsi="Arial" w:cs="Arial"/>
          <w:sz w:val="24"/>
          <w:szCs w:val="24"/>
        </w:rPr>
        <w:t>[1</w:t>
      </w:r>
      <w:r w:rsidR="004D03DB">
        <w:rPr>
          <w:rFonts w:ascii="Arial" w:hAnsi="Arial" w:cs="Arial"/>
          <w:sz w:val="24"/>
          <w:szCs w:val="24"/>
        </w:rPr>
        <w:t>2</w:t>
      </w:r>
      <w:r w:rsidR="00E83060">
        <w:rPr>
          <w:rFonts w:ascii="Arial" w:hAnsi="Arial" w:cs="Arial"/>
          <w:sz w:val="24"/>
          <w:szCs w:val="24"/>
        </w:rPr>
        <w:t>7</w:t>
      </w:r>
      <w:r>
        <w:rPr>
          <w:rFonts w:ascii="Arial" w:hAnsi="Arial" w:cs="Arial"/>
          <w:sz w:val="24"/>
          <w:szCs w:val="24"/>
        </w:rPr>
        <w:t>]</w:t>
      </w:r>
      <w:r>
        <w:rPr>
          <w:rFonts w:ascii="Arial" w:hAnsi="Arial" w:cs="Arial"/>
          <w:sz w:val="24"/>
          <w:szCs w:val="24"/>
        </w:rPr>
        <w:tab/>
      </w:r>
      <w:r w:rsidR="00C41BBC" w:rsidRPr="00334D8D">
        <w:rPr>
          <w:rFonts w:ascii="Arial" w:hAnsi="Arial" w:cs="Arial"/>
          <w:sz w:val="24"/>
          <w:szCs w:val="24"/>
        </w:rPr>
        <w:t xml:space="preserve">City Power having conceded that it did not carry out a cost of supply study for its application for the 2019/2020 financial year tariffs approval, it cannot be said that the decision </w:t>
      </w:r>
      <w:r w:rsidR="00C41BBC">
        <w:rPr>
          <w:rFonts w:ascii="Arial" w:hAnsi="Arial" w:cs="Arial"/>
          <w:sz w:val="24"/>
          <w:szCs w:val="24"/>
        </w:rPr>
        <w:t>NERSA</w:t>
      </w:r>
      <w:r w:rsidR="00C41BBC" w:rsidRPr="00334D8D">
        <w:rPr>
          <w:rFonts w:ascii="Arial" w:hAnsi="Arial" w:cs="Arial"/>
          <w:sz w:val="24"/>
          <w:szCs w:val="24"/>
        </w:rPr>
        <w:t xml:space="preserve"> </w:t>
      </w:r>
      <w:r w:rsidR="000E0ADA">
        <w:rPr>
          <w:rFonts w:ascii="Arial" w:hAnsi="Arial" w:cs="Arial"/>
          <w:sz w:val="24"/>
          <w:szCs w:val="24"/>
        </w:rPr>
        <w:t>took to set City Power tariffs wa</w:t>
      </w:r>
      <w:r w:rsidR="00C41BBC" w:rsidRPr="00334D8D">
        <w:rPr>
          <w:rFonts w:ascii="Arial" w:hAnsi="Arial" w:cs="Arial"/>
          <w:sz w:val="24"/>
          <w:szCs w:val="24"/>
        </w:rPr>
        <w:t>s lawful. This is so because without the cost of supply study, NERSA could not assess the correct overall cost of supply for City Power</w:t>
      </w:r>
      <w:r w:rsidR="0073250D">
        <w:rPr>
          <w:rFonts w:ascii="Arial" w:hAnsi="Arial" w:cs="Arial"/>
          <w:sz w:val="24"/>
          <w:szCs w:val="24"/>
        </w:rPr>
        <w:t>, and</w:t>
      </w:r>
      <w:r w:rsidR="00C41BBC" w:rsidRPr="00334D8D">
        <w:rPr>
          <w:rFonts w:ascii="Arial" w:hAnsi="Arial" w:cs="Arial"/>
          <w:sz w:val="24"/>
          <w:szCs w:val="24"/>
        </w:rPr>
        <w:t xml:space="preserve"> </w:t>
      </w:r>
      <w:r w:rsidR="00C41BBC">
        <w:rPr>
          <w:rFonts w:ascii="Arial" w:hAnsi="Arial" w:cs="Arial"/>
          <w:sz w:val="24"/>
          <w:szCs w:val="24"/>
        </w:rPr>
        <w:t>without the correct overall cost of supply, NERSA could not assess</w:t>
      </w:r>
      <w:r w:rsidR="00C41BBC" w:rsidRPr="00334D8D">
        <w:rPr>
          <w:rFonts w:ascii="Arial" w:hAnsi="Arial" w:cs="Arial"/>
          <w:sz w:val="24"/>
          <w:szCs w:val="24"/>
        </w:rPr>
        <w:t xml:space="preserve"> the cost of supply of City Power’s customer categories. NERSA could, also no</w:t>
      </w:r>
      <w:r w:rsidR="000E0ADA">
        <w:rPr>
          <w:rFonts w:ascii="Arial" w:hAnsi="Arial" w:cs="Arial"/>
          <w:sz w:val="24"/>
          <w:szCs w:val="24"/>
        </w:rPr>
        <w:t>t assess whether there was</w:t>
      </w:r>
      <w:r w:rsidR="00C41BBC" w:rsidRPr="00334D8D">
        <w:rPr>
          <w:rFonts w:ascii="Arial" w:hAnsi="Arial" w:cs="Arial"/>
          <w:sz w:val="24"/>
          <w:szCs w:val="24"/>
        </w:rPr>
        <w:t xml:space="preserve"> discrimination </w:t>
      </w:r>
      <w:r w:rsidR="0073250D">
        <w:rPr>
          <w:rFonts w:ascii="Arial" w:hAnsi="Arial" w:cs="Arial"/>
          <w:sz w:val="24"/>
          <w:szCs w:val="24"/>
        </w:rPr>
        <w:t xml:space="preserve">that occurred </w:t>
      </w:r>
      <w:r w:rsidR="00C41BBC" w:rsidRPr="00334D8D">
        <w:rPr>
          <w:rFonts w:ascii="Arial" w:hAnsi="Arial" w:cs="Arial"/>
          <w:sz w:val="24"/>
          <w:szCs w:val="24"/>
        </w:rPr>
        <w:t xml:space="preserve">between the customer categories </w:t>
      </w:r>
      <w:r w:rsidR="000E0ADA">
        <w:rPr>
          <w:rFonts w:ascii="Arial" w:hAnsi="Arial" w:cs="Arial"/>
          <w:sz w:val="24"/>
          <w:szCs w:val="24"/>
        </w:rPr>
        <w:t xml:space="preserve">and </w:t>
      </w:r>
      <w:r w:rsidR="0073250D">
        <w:rPr>
          <w:rFonts w:ascii="Arial" w:hAnsi="Arial" w:cs="Arial"/>
          <w:sz w:val="24"/>
          <w:szCs w:val="24"/>
        </w:rPr>
        <w:t xml:space="preserve">if discrimination did occur, </w:t>
      </w:r>
      <w:r w:rsidR="000E0ADA">
        <w:rPr>
          <w:rFonts w:ascii="Arial" w:hAnsi="Arial" w:cs="Arial"/>
          <w:sz w:val="24"/>
          <w:szCs w:val="24"/>
        </w:rPr>
        <w:t>whether such discrimination was undue</w:t>
      </w:r>
      <w:r w:rsidR="0073250D">
        <w:rPr>
          <w:rFonts w:ascii="Arial" w:hAnsi="Arial" w:cs="Arial"/>
          <w:sz w:val="24"/>
          <w:szCs w:val="24"/>
        </w:rPr>
        <w:t xml:space="preserve"> or not. NERSA could, also, not assess whether </w:t>
      </w:r>
      <w:r w:rsidR="00C41BBC" w:rsidRPr="00334D8D">
        <w:rPr>
          <w:rFonts w:ascii="Arial" w:hAnsi="Arial" w:cs="Arial"/>
          <w:sz w:val="24"/>
          <w:szCs w:val="24"/>
        </w:rPr>
        <w:t>there was any cross-subsidisation that occurred between the customer categories</w:t>
      </w:r>
      <w:r w:rsidR="0073250D">
        <w:rPr>
          <w:rFonts w:ascii="Arial" w:hAnsi="Arial" w:cs="Arial"/>
          <w:sz w:val="24"/>
          <w:szCs w:val="24"/>
        </w:rPr>
        <w:t>,</w:t>
      </w:r>
      <w:r w:rsidR="00C41BBC" w:rsidRPr="00334D8D">
        <w:rPr>
          <w:rFonts w:ascii="Arial" w:hAnsi="Arial" w:cs="Arial"/>
          <w:sz w:val="24"/>
          <w:szCs w:val="24"/>
        </w:rPr>
        <w:t xml:space="preserve"> and</w:t>
      </w:r>
      <w:r w:rsidR="0073250D">
        <w:rPr>
          <w:rFonts w:ascii="Arial" w:hAnsi="Arial" w:cs="Arial"/>
          <w:sz w:val="24"/>
          <w:szCs w:val="24"/>
        </w:rPr>
        <w:t>, that</w:t>
      </w:r>
      <w:r w:rsidR="00C41BBC" w:rsidRPr="00334D8D">
        <w:rPr>
          <w:rFonts w:ascii="Arial" w:hAnsi="Arial" w:cs="Arial"/>
          <w:sz w:val="24"/>
          <w:szCs w:val="24"/>
        </w:rPr>
        <w:t xml:space="preserve"> if such cross-subsidisation did occur, whether </w:t>
      </w:r>
      <w:r w:rsidR="0073250D">
        <w:rPr>
          <w:rFonts w:ascii="Arial" w:hAnsi="Arial" w:cs="Arial"/>
          <w:sz w:val="24"/>
          <w:szCs w:val="24"/>
        </w:rPr>
        <w:t xml:space="preserve">or not </w:t>
      </w:r>
      <w:r w:rsidR="00C41BBC" w:rsidRPr="00334D8D">
        <w:rPr>
          <w:rFonts w:ascii="Arial" w:hAnsi="Arial" w:cs="Arial"/>
          <w:sz w:val="24"/>
          <w:szCs w:val="24"/>
        </w:rPr>
        <w:t xml:space="preserve">it was deliberate and transparent. As such the </w:t>
      </w:r>
      <w:r w:rsidR="00404264">
        <w:rPr>
          <w:rFonts w:ascii="Arial" w:hAnsi="Arial" w:cs="Arial"/>
          <w:sz w:val="24"/>
          <w:szCs w:val="24"/>
        </w:rPr>
        <w:t xml:space="preserve">impugned </w:t>
      </w:r>
      <w:r w:rsidR="00C41BBC" w:rsidRPr="00334D8D">
        <w:rPr>
          <w:rFonts w:ascii="Arial" w:hAnsi="Arial" w:cs="Arial"/>
          <w:sz w:val="24"/>
          <w:szCs w:val="24"/>
        </w:rPr>
        <w:t xml:space="preserve">decision is unlawful, unconstitutional and invalid. </w:t>
      </w:r>
    </w:p>
    <w:p w:rsidR="00151E77" w:rsidRDefault="00151E77" w:rsidP="00FF0AC8">
      <w:pPr>
        <w:spacing w:after="0" w:line="360" w:lineRule="auto"/>
        <w:jc w:val="both"/>
        <w:rPr>
          <w:rFonts w:ascii="Arial" w:hAnsi="Arial" w:cs="Arial"/>
          <w:sz w:val="24"/>
          <w:szCs w:val="24"/>
        </w:rPr>
      </w:pPr>
    </w:p>
    <w:p w:rsidR="00EE129A" w:rsidRDefault="00E83060" w:rsidP="00FF0AC8">
      <w:pPr>
        <w:spacing w:after="0" w:line="360" w:lineRule="auto"/>
        <w:jc w:val="both"/>
        <w:rPr>
          <w:rFonts w:ascii="Arial" w:hAnsi="Arial" w:cs="Arial"/>
          <w:sz w:val="24"/>
          <w:szCs w:val="24"/>
        </w:rPr>
      </w:pPr>
      <w:r>
        <w:rPr>
          <w:rFonts w:ascii="Arial" w:hAnsi="Arial" w:cs="Arial"/>
          <w:color w:val="000000"/>
          <w:sz w:val="24"/>
          <w:szCs w:val="24"/>
        </w:rPr>
        <w:t>[128]</w:t>
      </w:r>
      <w:r>
        <w:rPr>
          <w:rFonts w:ascii="Arial" w:hAnsi="Arial" w:cs="Arial"/>
          <w:color w:val="000000"/>
          <w:sz w:val="24"/>
          <w:szCs w:val="24"/>
        </w:rPr>
        <w:tab/>
      </w:r>
      <w:r w:rsidR="001E2E1A" w:rsidRPr="00127404">
        <w:rPr>
          <w:rFonts w:ascii="Arial" w:hAnsi="Arial" w:cs="Arial"/>
          <w:color w:val="000000"/>
          <w:sz w:val="24"/>
          <w:szCs w:val="24"/>
        </w:rPr>
        <w:t xml:space="preserve">As the Constitutional Court confirmed in </w:t>
      </w:r>
      <w:r w:rsidR="001E2E1A" w:rsidRPr="001E2E1A">
        <w:rPr>
          <w:rFonts w:ascii="Arial" w:hAnsi="Arial" w:cs="Arial"/>
          <w:i/>
          <w:color w:val="000000"/>
          <w:sz w:val="24"/>
          <w:szCs w:val="24"/>
        </w:rPr>
        <w:t>PG Group</w:t>
      </w:r>
      <w:r w:rsidR="001E2E1A">
        <w:rPr>
          <w:rFonts w:ascii="Arial" w:hAnsi="Arial" w:cs="Arial"/>
          <w:color w:val="000000"/>
          <w:sz w:val="24"/>
          <w:szCs w:val="24"/>
        </w:rPr>
        <w:t>,</w:t>
      </w:r>
      <w:r w:rsidR="001E2E1A">
        <w:rPr>
          <w:rStyle w:val="FootnoteReference"/>
          <w:rFonts w:ascii="Arial" w:hAnsi="Arial" w:cs="Arial"/>
          <w:color w:val="000000"/>
          <w:sz w:val="24"/>
          <w:szCs w:val="24"/>
        </w:rPr>
        <w:footnoteReference w:id="30"/>
      </w:r>
      <w:r w:rsidR="001E2E1A">
        <w:rPr>
          <w:rFonts w:ascii="Arial" w:hAnsi="Arial" w:cs="Arial"/>
          <w:color w:val="000000"/>
          <w:sz w:val="24"/>
          <w:szCs w:val="24"/>
        </w:rPr>
        <w:t xml:space="preserve"> </w:t>
      </w:r>
      <w:r w:rsidR="001E2E1A" w:rsidRPr="00127404">
        <w:rPr>
          <w:rFonts w:ascii="Arial" w:hAnsi="Arial" w:cs="Arial"/>
          <w:color w:val="000000"/>
          <w:sz w:val="24"/>
          <w:szCs w:val="24"/>
        </w:rPr>
        <w:t>information relating to costs is a necessary input into a tariff determination. Without that information, there is "</w:t>
      </w:r>
      <w:r w:rsidR="001E2E1A" w:rsidRPr="001378CE">
        <w:rPr>
          <w:rFonts w:ascii="Arial" w:hAnsi="Arial" w:cs="Arial"/>
          <w:i/>
          <w:color w:val="000000"/>
          <w:sz w:val="24"/>
          <w:szCs w:val="24"/>
        </w:rPr>
        <w:t>a missing or faulty link between the means and the end</w:t>
      </w:r>
      <w:r w:rsidR="005300F3">
        <w:rPr>
          <w:rFonts w:ascii="Arial" w:hAnsi="Arial" w:cs="Arial"/>
          <w:i/>
          <w:color w:val="000000"/>
          <w:sz w:val="24"/>
          <w:szCs w:val="24"/>
        </w:rPr>
        <w:t>s</w:t>
      </w:r>
      <w:r w:rsidR="00151E77">
        <w:rPr>
          <w:rFonts w:ascii="Arial" w:hAnsi="Arial" w:cs="Arial"/>
          <w:color w:val="000000"/>
          <w:sz w:val="24"/>
          <w:szCs w:val="24"/>
        </w:rPr>
        <w:t>”</w:t>
      </w:r>
      <w:r w:rsidR="005300F3">
        <w:rPr>
          <w:rFonts w:ascii="Arial" w:hAnsi="Arial" w:cs="Arial"/>
          <w:color w:val="000000"/>
          <w:sz w:val="24"/>
          <w:szCs w:val="24"/>
        </w:rPr>
        <w:t>,</w:t>
      </w:r>
      <w:r w:rsidR="001E2E1A" w:rsidRPr="00127404">
        <w:rPr>
          <w:rFonts w:ascii="Arial" w:hAnsi="Arial" w:cs="Arial"/>
          <w:color w:val="000000"/>
          <w:sz w:val="24"/>
          <w:szCs w:val="24"/>
        </w:rPr>
        <w:t xml:space="preserve"> it is </w:t>
      </w:r>
      <w:r w:rsidR="0073250D">
        <w:rPr>
          <w:rFonts w:ascii="Arial" w:hAnsi="Arial" w:cs="Arial"/>
          <w:color w:val="000000"/>
          <w:sz w:val="24"/>
          <w:szCs w:val="24"/>
        </w:rPr>
        <w:t xml:space="preserve">a </w:t>
      </w:r>
      <w:r w:rsidR="001E2E1A" w:rsidRPr="00127404">
        <w:rPr>
          <w:rFonts w:ascii="Arial" w:hAnsi="Arial" w:cs="Arial"/>
          <w:color w:val="000000"/>
          <w:sz w:val="24"/>
          <w:szCs w:val="24"/>
        </w:rPr>
        <w:t xml:space="preserve">procedural irrationality that signifies the material irrationality. </w:t>
      </w:r>
      <w:r w:rsidR="001E2E1A">
        <w:rPr>
          <w:rFonts w:ascii="Arial" w:hAnsi="Arial" w:cs="Arial"/>
          <w:color w:val="000000"/>
          <w:sz w:val="24"/>
          <w:szCs w:val="24"/>
        </w:rPr>
        <w:t xml:space="preserve">On the facts of this matter, </w:t>
      </w:r>
      <w:r w:rsidR="001E2E1A" w:rsidRPr="00127404">
        <w:rPr>
          <w:rFonts w:ascii="Arial" w:hAnsi="Arial" w:cs="Arial"/>
          <w:color w:val="000000"/>
          <w:sz w:val="24"/>
          <w:szCs w:val="24"/>
        </w:rPr>
        <w:t xml:space="preserve">this reasoning applies equally to the </w:t>
      </w:r>
      <w:r w:rsidR="001E2E1A">
        <w:rPr>
          <w:rFonts w:ascii="Arial" w:hAnsi="Arial" w:cs="Arial"/>
          <w:color w:val="000000"/>
          <w:sz w:val="24"/>
          <w:szCs w:val="24"/>
        </w:rPr>
        <w:t>City of Johannesburg</w:t>
      </w:r>
      <w:r w:rsidR="001E2E1A" w:rsidRPr="00127404">
        <w:rPr>
          <w:rFonts w:ascii="Arial" w:hAnsi="Arial" w:cs="Arial"/>
          <w:color w:val="000000"/>
          <w:sz w:val="24"/>
          <w:szCs w:val="24"/>
        </w:rPr>
        <w:t xml:space="preserve"> tarif</w:t>
      </w:r>
      <w:r w:rsidR="001E2E1A">
        <w:rPr>
          <w:rFonts w:ascii="Arial" w:hAnsi="Arial" w:cs="Arial"/>
          <w:color w:val="000000"/>
          <w:sz w:val="24"/>
          <w:szCs w:val="24"/>
        </w:rPr>
        <w:t>f determination by NERSA. Irrationality has, thus, been established.</w:t>
      </w:r>
      <w:r w:rsidR="00404264" w:rsidRPr="00404264">
        <w:rPr>
          <w:rFonts w:ascii="Arial" w:hAnsi="Arial" w:cs="Arial"/>
          <w:sz w:val="24"/>
          <w:szCs w:val="24"/>
        </w:rPr>
        <w:t xml:space="preserve"> </w:t>
      </w:r>
      <w:r w:rsidR="00404264">
        <w:rPr>
          <w:rFonts w:ascii="Arial" w:hAnsi="Arial" w:cs="Arial"/>
          <w:sz w:val="24"/>
          <w:szCs w:val="24"/>
        </w:rPr>
        <w:t>Accordingly</w:t>
      </w:r>
      <w:r w:rsidR="00FA49AA">
        <w:rPr>
          <w:rFonts w:ascii="Arial" w:hAnsi="Arial" w:cs="Arial"/>
          <w:sz w:val="24"/>
          <w:szCs w:val="24"/>
        </w:rPr>
        <w:t xml:space="preserve">, </w:t>
      </w:r>
      <w:r w:rsidR="00EE129A" w:rsidRPr="00334D8D">
        <w:rPr>
          <w:rFonts w:ascii="Arial" w:hAnsi="Arial" w:cs="Arial"/>
          <w:sz w:val="24"/>
          <w:szCs w:val="24"/>
        </w:rPr>
        <w:t>NERSA’s decision</w:t>
      </w:r>
      <w:r w:rsidR="001E2E1A">
        <w:rPr>
          <w:rFonts w:ascii="Arial" w:hAnsi="Arial" w:cs="Arial"/>
          <w:sz w:val="24"/>
          <w:szCs w:val="24"/>
        </w:rPr>
        <w:t>,</w:t>
      </w:r>
      <w:r w:rsidR="00EE129A" w:rsidRPr="00334D8D">
        <w:rPr>
          <w:rFonts w:ascii="Arial" w:hAnsi="Arial" w:cs="Arial"/>
          <w:sz w:val="24"/>
          <w:szCs w:val="24"/>
        </w:rPr>
        <w:t xml:space="preserve"> taken when set</w:t>
      </w:r>
      <w:r w:rsidR="00FA49AA">
        <w:rPr>
          <w:rFonts w:ascii="Arial" w:hAnsi="Arial" w:cs="Arial"/>
          <w:sz w:val="24"/>
          <w:szCs w:val="24"/>
        </w:rPr>
        <w:t xml:space="preserve">ting City Power </w:t>
      </w:r>
      <w:r w:rsidR="00EE129A" w:rsidRPr="00334D8D">
        <w:rPr>
          <w:rFonts w:ascii="Arial" w:hAnsi="Arial" w:cs="Arial"/>
          <w:sz w:val="24"/>
          <w:szCs w:val="24"/>
        </w:rPr>
        <w:t xml:space="preserve">tariffs for the 2019/2020 financial year, is </w:t>
      </w:r>
      <w:r w:rsidR="00404264">
        <w:rPr>
          <w:rFonts w:ascii="Arial" w:hAnsi="Arial" w:cs="Arial"/>
          <w:sz w:val="24"/>
          <w:szCs w:val="24"/>
        </w:rPr>
        <w:t>hereby declared unlawful,</w:t>
      </w:r>
      <w:r w:rsidR="00EE129A" w:rsidRPr="00334D8D">
        <w:rPr>
          <w:rFonts w:ascii="Arial" w:hAnsi="Arial" w:cs="Arial"/>
          <w:sz w:val="24"/>
          <w:szCs w:val="24"/>
        </w:rPr>
        <w:t xml:space="preserve"> unconstitutional</w:t>
      </w:r>
      <w:r w:rsidR="00404264">
        <w:rPr>
          <w:rFonts w:ascii="Arial" w:hAnsi="Arial" w:cs="Arial"/>
          <w:sz w:val="24"/>
          <w:szCs w:val="24"/>
        </w:rPr>
        <w:t xml:space="preserve"> and invalid,</w:t>
      </w:r>
      <w:r w:rsidR="00EE129A" w:rsidRPr="00334D8D">
        <w:rPr>
          <w:rFonts w:ascii="Arial" w:hAnsi="Arial" w:cs="Arial"/>
          <w:sz w:val="24"/>
          <w:szCs w:val="24"/>
        </w:rPr>
        <w:t xml:space="preserve"> </w:t>
      </w:r>
      <w:r w:rsidR="00404264">
        <w:rPr>
          <w:rFonts w:ascii="Arial" w:hAnsi="Arial" w:cs="Arial"/>
          <w:sz w:val="24"/>
          <w:szCs w:val="24"/>
        </w:rPr>
        <w:t>it</w:t>
      </w:r>
      <w:r w:rsidR="00EE129A" w:rsidRPr="00334D8D">
        <w:rPr>
          <w:rFonts w:ascii="Arial" w:hAnsi="Arial" w:cs="Arial"/>
          <w:sz w:val="24"/>
          <w:szCs w:val="24"/>
        </w:rPr>
        <w:t xml:space="preserve"> ought to be reviewed and set aside as prayed for by the Applicants.</w:t>
      </w:r>
      <w:r w:rsidR="0073250D">
        <w:rPr>
          <w:rFonts w:ascii="Arial" w:hAnsi="Arial" w:cs="Arial"/>
          <w:sz w:val="24"/>
          <w:szCs w:val="24"/>
        </w:rPr>
        <w:t xml:space="preserve"> </w:t>
      </w:r>
    </w:p>
    <w:p w:rsidR="00404264" w:rsidRDefault="00404264" w:rsidP="00FF0AC8">
      <w:pPr>
        <w:spacing w:after="0" w:line="360" w:lineRule="auto"/>
        <w:jc w:val="both"/>
        <w:rPr>
          <w:rFonts w:ascii="Arial" w:hAnsi="Arial" w:cs="Arial"/>
          <w:sz w:val="24"/>
          <w:szCs w:val="24"/>
        </w:rPr>
      </w:pPr>
    </w:p>
    <w:p w:rsidR="005300F3" w:rsidRPr="001E2E1A" w:rsidRDefault="005300F3" w:rsidP="00FF0AC8">
      <w:pPr>
        <w:spacing w:after="0" w:line="360" w:lineRule="auto"/>
        <w:jc w:val="both"/>
        <w:rPr>
          <w:rFonts w:ascii="Arial" w:hAnsi="Arial" w:cs="Arial"/>
          <w:color w:val="000000"/>
          <w:sz w:val="24"/>
          <w:szCs w:val="24"/>
        </w:rPr>
      </w:pPr>
    </w:p>
    <w:p w:rsidR="00C41BBC" w:rsidRDefault="00C41BBC" w:rsidP="00917D2E">
      <w:pPr>
        <w:spacing w:line="360" w:lineRule="auto"/>
        <w:jc w:val="both"/>
        <w:rPr>
          <w:rFonts w:ascii="Arial" w:hAnsi="Arial" w:cs="Arial"/>
          <w:b/>
          <w:color w:val="000000"/>
          <w:sz w:val="24"/>
          <w:szCs w:val="24"/>
        </w:rPr>
      </w:pPr>
      <w:r w:rsidRPr="004D03DB">
        <w:rPr>
          <w:rFonts w:ascii="Arial" w:hAnsi="Arial" w:cs="Arial"/>
          <w:b/>
          <w:color w:val="000000"/>
          <w:sz w:val="24"/>
          <w:szCs w:val="24"/>
        </w:rPr>
        <w:lastRenderedPageBreak/>
        <w:t>EXPERT EVIDENCE</w:t>
      </w:r>
    </w:p>
    <w:p w:rsidR="002B4AD5" w:rsidRDefault="004D03DB" w:rsidP="00FF0AC8">
      <w:pPr>
        <w:spacing w:after="0" w:line="360" w:lineRule="auto"/>
        <w:jc w:val="both"/>
        <w:rPr>
          <w:rFonts w:ascii="Arial" w:hAnsi="Arial" w:cs="Arial"/>
          <w:color w:val="000000"/>
          <w:sz w:val="24"/>
          <w:szCs w:val="24"/>
        </w:rPr>
      </w:pPr>
      <w:r>
        <w:rPr>
          <w:rFonts w:ascii="Arial" w:hAnsi="Arial" w:cs="Arial"/>
          <w:color w:val="000000"/>
          <w:sz w:val="24"/>
          <w:szCs w:val="24"/>
        </w:rPr>
        <w:t>[12</w:t>
      </w:r>
      <w:r w:rsidR="00E83060">
        <w:rPr>
          <w:rFonts w:ascii="Arial" w:hAnsi="Arial" w:cs="Arial"/>
          <w:color w:val="000000"/>
          <w:sz w:val="24"/>
          <w:szCs w:val="24"/>
        </w:rPr>
        <w:t>9</w:t>
      </w:r>
      <w:r w:rsidR="00DC798E">
        <w:rPr>
          <w:rFonts w:ascii="Arial" w:hAnsi="Arial" w:cs="Arial"/>
          <w:color w:val="000000"/>
          <w:sz w:val="24"/>
          <w:szCs w:val="24"/>
        </w:rPr>
        <w:t>]</w:t>
      </w:r>
      <w:r w:rsidR="00DC798E">
        <w:rPr>
          <w:rFonts w:ascii="Arial" w:hAnsi="Arial" w:cs="Arial"/>
          <w:color w:val="000000"/>
          <w:sz w:val="24"/>
          <w:szCs w:val="24"/>
        </w:rPr>
        <w:tab/>
      </w:r>
      <w:r w:rsidR="001D3E9F">
        <w:rPr>
          <w:rFonts w:ascii="Arial" w:hAnsi="Arial" w:cs="Arial"/>
          <w:color w:val="000000"/>
          <w:sz w:val="24"/>
          <w:szCs w:val="24"/>
        </w:rPr>
        <w:t>Each of the</w:t>
      </w:r>
      <w:r w:rsidR="00C41BBC">
        <w:rPr>
          <w:rFonts w:ascii="Arial" w:hAnsi="Arial" w:cs="Arial"/>
          <w:color w:val="000000"/>
          <w:sz w:val="24"/>
          <w:szCs w:val="24"/>
        </w:rPr>
        <w:t xml:space="preserve"> parties commissioned</w:t>
      </w:r>
      <w:r w:rsidR="00C41BBC" w:rsidRPr="00334D8D">
        <w:rPr>
          <w:rFonts w:ascii="Arial" w:hAnsi="Arial" w:cs="Arial"/>
          <w:color w:val="000000"/>
          <w:sz w:val="24"/>
          <w:szCs w:val="24"/>
        </w:rPr>
        <w:t xml:space="preserve"> economic experts to analyse the </w:t>
      </w:r>
      <w:r w:rsidR="00404264">
        <w:rPr>
          <w:rFonts w:ascii="Arial" w:hAnsi="Arial" w:cs="Arial"/>
          <w:color w:val="000000"/>
          <w:sz w:val="24"/>
          <w:szCs w:val="24"/>
        </w:rPr>
        <w:t>R</w:t>
      </w:r>
      <w:r w:rsidR="00C41BBC" w:rsidRPr="00334D8D">
        <w:rPr>
          <w:rFonts w:ascii="Arial" w:hAnsi="Arial" w:cs="Arial"/>
          <w:color w:val="000000"/>
          <w:sz w:val="24"/>
          <w:szCs w:val="24"/>
        </w:rPr>
        <w:t xml:space="preserve">ecord of </w:t>
      </w:r>
      <w:r w:rsidR="00404264">
        <w:rPr>
          <w:rFonts w:ascii="Arial" w:hAnsi="Arial" w:cs="Arial"/>
          <w:color w:val="000000"/>
          <w:sz w:val="24"/>
          <w:szCs w:val="24"/>
        </w:rPr>
        <w:t>D</w:t>
      </w:r>
      <w:r w:rsidR="00C41BBC" w:rsidRPr="00334D8D">
        <w:rPr>
          <w:rFonts w:ascii="Arial" w:hAnsi="Arial" w:cs="Arial"/>
          <w:color w:val="000000"/>
          <w:sz w:val="24"/>
          <w:szCs w:val="24"/>
        </w:rPr>
        <w:t xml:space="preserve">ecision and to determine whether it could be said that the tariffs were cost reflective. </w:t>
      </w:r>
    </w:p>
    <w:p w:rsidR="005300F3" w:rsidRDefault="005300F3" w:rsidP="00FF0AC8">
      <w:pPr>
        <w:spacing w:after="0" w:line="360" w:lineRule="auto"/>
        <w:jc w:val="both"/>
        <w:rPr>
          <w:rFonts w:ascii="Arial" w:hAnsi="Arial" w:cs="Arial"/>
          <w:color w:val="000000"/>
          <w:sz w:val="24"/>
          <w:szCs w:val="24"/>
        </w:rPr>
      </w:pPr>
    </w:p>
    <w:p w:rsidR="00C41BBC" w:rsidRDefault="00AE6B78" w:rsidP="00FF0AC8">
      <w:pPr>
        <w:spacing w:after="0" w:line="360" w:lineRule="auto"/>
        <w:jc w:val="both"/>
        <w:rPr>
          <w:rFonts w:ascii="Arial" w:hAnsi="Arial" w:cs="Arial"/>
          <w:color w:val="000000"/>
          <w:sz w:val="24"/>
          <w:szCs w:val="24"/>
        </w:rPr>
      </w:pPr>
      <w:r>
        <w:rPr>
          <w:rFonts w:ascii="Arial" w:hAnsi="Arial" w:cs="Arial"/>
          <w:color w:val="000000"/>
          <w:sz w:val="24"/>
          <w:szCs w:val="24"/>
        </w:rPr>
        <w:t>[130</w:t>
      </w:r>
      <w:r w:rsidR="004D03DB">
        <w:rPr>
          <w:rFonts w:ascii="Arial" w:hAnsi="Arial" w:cs="Arial"/>
          <w:color w:val="000000"/>
          <w:sz w:val="24"/>
          <w:szCs w:val="24"/>
        </w:rPr>
        <w:t>]</w:t>
      </w:r>
      <w:r w:rsidR="004D03DB">
        <w:rPr>
          <w:rFonts w:ascii="Arial" w:hAnsi="Arial" w:cs="Arial"/>
          <w:color w:val="000000"/>
          <w:sz w:val="24"/>
          <w:szCs w:val="24"/>
        </w:rPr>
        <w:tab/>
      </w:r>
      <w:r w:rsidR="00B03DD2">
        <w:rPr>
          <w:rFonts w:ascii="Arial" w:hAnsi="Arial" w:cs="Arial"/>
          <w:color w:val="000000"/>
          <w:sz w:val="24"/>
          <w:szCs w:val="24"/>
        </w:rPr>
        <w:t>Based on the final decision this Court</w:t>
      </w:r>
      <w:r w:rsidR="00C41BBC">
        <w:rPr>
          <w:rFonts w:ascii="Arial" w:hAnsi="Arial" w:cs="Arial"/>
          <w:color w:val="000000"/>
          <w:sz w:val="24"/>
          <w:szCs w:val="24"/>
        </w:rPr>
        <w:t xml:space="preserve"> eventually reached</w:t>
      </w:r>
      <w:r w:rsidR="00B03DD2">
        <w:rPr>
          <w:rFonts w:ascii="Arial" w:hAnsi="Arial" w:cs="Arial"/>
          <w:color w:val="000000"/>
          <w:sz w:val="24"/>
          <w:szCs w:val="24"/>
        </w:rPr>
        <w:t>,</w:t>
      </w:r>
      <w:r w:rsidR="00C41BBC">
        <w:rPr>
          <w:rFonts w:ascii="Arial" w:hAnsi="Arial" w:cs="Arial"/>
          <w:color w:val="000000"/>
          <w:sz w:val="24"/>
          <w:szCs w:val="24"/>
        </w:rPr>
        <w:t xml:space="preserve"> in t</w:t>
      </w:r>
      <w:r w:rsidR="001D3E9F">
        <w:rPr>
          <w:rFonts w:ascii="Arial" w:hAnsi="Arial" w:cs="Arial"/>
          <w:color w:val="000000"/>
          <w:sz w:val="24"/>
          <w:szCs w:val="24"/>
        </w:rPr>
        <w:t>his application</w:t>
      </w:r>
      <w:r w:rsidR="00B03DD2">
        <w:rPr>
          <w:rFonts w:ascii="Arial" w:hAnsi="Arial" w:cs="Arial"/>
          <w:color w:val="000000"/>
          <w:sz w:val="24"/>
          <w:szCs w:val="24"/>
        </w:rPr>
        <w:t>,</w:t>
      </w:r>
      <w:r w:rsidR="00C41BBC">
        <w:rPr>
          <w:rFonts w:ascii="Arial" w:hAnsi="Arial" w:cs="Arial"/>
          <w:color w:val="000000"/>
          <w:sz w:val="24"/>
          <w:szCs w:val="24"/>
        </w:rPr>
        <w:t xml:space="preserve"> on the co</w:t>
      </w:r>
      <w:r w:rsidR="00B03DD2">
        <w:rPr>
          <w:rFonts w:ascii="Arial" w:hAnsi="Arial" w:cs="Arial"/>
          <w:color w:val="000000"/>
          <w:sz w:val="24"/>
          <w:szCs w:val="24"/>
        </w:rPr>
        <w:t>mmon cause facts,</w:t>
      </w:r>
      <w:r w:rsidR="00C41BBC">
        <w:rPr>
          <w:rFonts w:ascii="Arial" w:hAnsi="Arial" w:cs="Arial"/>
          <w:color w:val="000000"/>
          <w:sz w:val="24"/>
          <w:szCs w:val="24"/>
        </w:rPr>
        <w:t xml:space="preserve"> it </w:t>
      </w:r>
      <w:r w:rsidR="00B03DD2">
        <w:rPr>
          <w:rFonts w:ascii="Arial" w:hAnsi="Arial" w:cs="Arial"/>
          <w:color w:val="000000"/>
          <w:sz w:val="24"/>
          <w:szCs w:val="24"/>
        </w:rPr>
        <w:t xml:space="preserve">was not </w:t>
      </w:r>
      <w:r w:rsidR="00C41BBC">
        <w:rPr>
          <w:rFonts w:ascii="Arial" w:hAnsi="Arial" w:cs="Arial"/>
          <w:color w:val="000000"/>
          <w:sz w:val="24"/>
          <w:szCs w:val="24"/>
        </w:rPr>
        <w:t xml:space="preserve">necessary </w:t>
      </w:r>
      <w:r w:rsidR="00B03DD2">
        <w:rPr>
          <w:rFonts w:ascii="Arial" w:hAnsi="Arial" w:cs="Arial"/>
          <w:color w:val="000000"/>
          <w:sz w:val="24"/>
          <w:szCs w:val="24"/>
        </w:rPr>
        <w:t xml:space="preserve">for the Court </w:t>
      </w:r>
      <w:r w:rsidR="00C41BBC">
        <w:rPr>
          <w:rFonts w:ascii="Arial" w:hAnsi="Arial" w:cs="Arial"/>
          <w:color w:val="000000"/>
          <w:sz w:val="24"/>
          <w:szCs w:val="24"/>
        </w:rPr>
        <w:t xml:space="preserve">to make use of the reports of the experts which are, in any </w:t>
      </w:r>
      <w:r w:rsidR="00B03DD2">
        <w:rPr>
          <w:rFonts w:ascii="Arial" w:hAnsi="Arial" w:cs="Arial"/>
          <w:color w:val="000000"/>
          <w:sz w:val="24"/>
          <w:szCs w:val="24"/>
        </w:rPr>
        <w:t>event</w:t>
      </w:r>
      <w:r w:rsidR="00C41BBC">
        <w:rPr>
          <w:rFonts w:ascii="Arial" w:hAnsi="Arial" w:cs="Arial"/>
          <w:color w:val="000000"/>
          <w:sz w:val="24"/>
          <w:szCs w:val="24"/>
        </w:rPr>
        <w:t>,</w:t>
      </w:r>
      <w:r w:rsidR="00DC798E">
        <w:rPr>
          <w:rFonts w:ascii="Arial" w:hAnsi="Arial" w:cs="Arial"/>
          <w:color w:val="000000"/>
          <w:sz w:val="24"/>
          <w:szCs w:val="24"/>
        </w:rPr>
        <w:t xml:space="preserve"> based on divergent opinions.</w:t>
      </w:r>
    </w:p>
    <w:p w:rsidR="005300F3" w:rsidRDefault="005300F3" w:rsidP="00FF0AC8">
      <w:pPr>
        <w:spacing w:after="0" w:line="360" w:lineRule="auto"/>
        <w:jc w:val="both"/>
        <w:rPr>
          <w:rFonts w:ascii="Arial" w:hAnsi="Arial" w:cs="Arial"/>
          <w:color w:val="000000"/>
          <w:sz w:val="24"/>
          <w:szCs w:val="24"/>
        </w:rPr>
      </w:pPr>
    </w:p>
    <w:p w:rsidR="007112AF" w:rsidRDefault="007112AF" w:rsidP="00917D2E">
      <w:pPr>
        <w:spacing w:line="360" w:lineRule="auto"/>
        <w:jc w:val="both"/>
        <w:rPr>
          <w:rFonts w:ascii="Arial" w:hAnsi="Arial" w:cs="Arial"/>
          <w:b/>
          <w:sz w:val="24"/>
          <w:szCs w:val="24"/>
        </w:rPr>
      </w:pPr>
      <w:r w:rsidRPr="002D38B1">
        <w:rPr>
          <w:rFonts w:ascii="Arial" w:hAnsi="Arial" w:cs="Arial"/>
          <w:b/>
          <w:sz w:val="24"/>
          <w:szCs w:val="24"/>
        </w:rPr>
        <w:t>REMEDY</w:t>
      </w:r>
    </w:p>
    <w:p w:rsidR="007112AF" w:rsidRPr="00DB5013" w:rsidRDefault="007112AF" w:rsidP="00917D2E">
      <w:pPr>
        <w:spacing w:line="360" w:lineRule="auto"/>
        <w:jc w:val="both"/>
        <w:rPr>
          <w:rFonts w:ascii="Arial" w:hAnsi="Arial" w:cs="Arial"/>
          <w:sz w:val="24"/>
          <w:szCs w:val="24"/>
        </w:rPr>
      </w:pPr>
      <w:r>
        <w:rPr>
          <w:rFonts w:ascii="Arial" w:hAnsi="Arial" w:cs="Arial"/>
          <w:sz w:val="24"/>
          <w:szCs w:val="24"/>
        </w:rPr>
        <w:t>[131]</w:t>
      </w:r>
      <w:r>
        <w:rPr>
          <w:rFonts w:ascii="Arial" w:hAnsi="Arial" w:cs="Arial"/>
          <w:sz w:val="24"/>
          <w:szCs w:val="24"/>
        </w:rPr>
        <w:tab/>
      </w:r>
      <w:r w:rsidRPr="00DB5013">
        <w:rPr>
          <w:rFonts w:ascii="Arial" w:hAnsi="Arial" w:cs="Arial"/>
          <w:sz w:val="24"/>
          <w:szCs w:val="24"/>
        </w:rPr>
        <w:t xml:space="preserve">In addition to the declaratory relief of invalidity of the impugned decision, the remedy sought by the Applicants in the amended notice of motion is for this Court to </w:t>
      </w:r>
    </w:p>
    <w:p w:rsidR="007112AF" w:rsidRPr="00DB5013" w:rsidRDefault="007112A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r>
      <w:r w:rsidRPr="00DB5013">
        <w:rPr>
          <w:rFonts w:ascii="Arial" w:hAnsi="Arial" w:cs="Arial"/>
          <w:color w:val="000000"/>
          <w:sz w:val="24"/>
          <w:szCs w:val="24"/>
        </w:rPr>
        <w:t>Suspend the declaration of invalidity in prayer 1A until finalisation of the process contemplated in prayers 3 and 4 below.</w:t>
      </w:r>
    </w:p>
    <w:p w:rsidR="007112AF" w:rsidRPr="00DB5013" w:rsidRDefault="007112A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r>
      <w:r w:rsidRPr="00DB5013">
        <w:rPr>
          <w:rFonts w:ascii="Arial" w:hAnsi="Arial" w:cs="Arial"/>
          <w:color w:val="000000"/>
          <w:sz w:val="24"/>
          <w:szCs w:val="24"/>
        </w:rPr>
        <w:t xml:space="preserve">Remit the decision back to NERSA, along with directions as to how the decision should be taken, and, pending the re-taking by NERSA of the impugned decision. </w:t>
      </w:r>
    </w:p>
    <w:p w:rsidR="007112AF" w:rsidRPr="00DB5013" w:rsidRDefault="007112AF" w:rsidP="00FF0AC8">
      <w:pPr>
        <w:spacing w:after="0" w:line="360" w:lineRule="auto"/>
        <w:ind w:left="1440" w:hanging="720"/>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r>
      <w:r w:rsidRPr="00DB5013">
        <w:rPr>
          <w:rFonts w:ascii="Arial" w:hAnsi="Arial" w:cs="Arial"/>
          <w:color w:val="000000"/>
          <w:sz w:val="24"/>
          <w:szCs w:val="24"/>
        </w:rPr>
        <w:t>Order the retrospective reconciliation of the tariffs originally charged against the tariffs lawfully to be determined on</w:t>
      </w:r>
      <w:r>
        <w:rPr>
          <w:rFonts w:ascii="Arial" w:hAnsi="Arial" w:cs="Arial"/>
          <w:color w:val="000000"/>
          <w:sz w:val="24"/>
          <w:szCs w:val="24"/>
        </w:rPr>
        <w:t xml:space="preserve"> remittal and repayment to the A</w:t>
      </w:r>
      <w:r w:rsidRPr="00DB5013">
        <w:rPr>
          <w:rFonts w:ascii="Arial" w:hAnsi="Arial" w:cs="Arial"/>
          <w:color w:val="000000"/>
          <w:sz w:val="24"/>
          <w:szCs w:val="24"/>
        </w:rPr>
        <w:t>pplicants of any amounts due in terms of that reconciliation.</w:t>
      </w:r>
    </w:p>
    <w:p w:rsidR="007112AF" w:rsidRDefault="007112AF" w:rsidP="00FF0AC8">
      <w:pPr>
        <w:spacing w:after="0" w:line="360" w:lineRule="auto"/>
        <w:ind w:left="1440" w:hanging="780"/>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r>
      <w:r w:rsidRPr="00DB5013">
        <w:rPr>
          <w:rFonts w:ascii="Arial" w:hAnsi="Arial" w:cs="Arial"/>
          <w:color w:val="000000"/>
          <w:sz w:val="24"/>
          <w:szCs w:val="24"/>
        </w:rPr>
        <w:t xml:space="preserve">Declare that all future tariff determinations must be made on a cost recovery basis and by means of a </w:t>
      </w:r>
      <w:r w:rsidR="00D57FBB" w:rsidRPr="00DB5013">
        <w:rPr>
          <w:rFonts w:ascii="Arial" w:hAnsi="Arial" w:cs="Arial"/>
          <w:color w:val="000000"/>
          <w:sz w:val="24"/>
          <w:szCs w:val="24"/>
        </w:rPr>
        <w:t>process, which</w:t>
      </w:r>
      <w:r w:rsidRPr="00DB5013">
        <w:rPr>
          <w:rFonts w:ascii="Arial" w:hAnsi="Arial" w:cs="Arial"/>
          <w:color w:val="000000"/>
          <w:sz w:val="24"/>
          <w:szCs w:val="24"/>
        </w:rPr>
        <w:t xml:space="preserve"> ensures that the City of Johannesburg furnishes NERSA with all the prescribed </w:t>
      </w:r>
      <w:r w:rsidR="00D57FBB" w:rsidRPr="00DB5013">
        <w:rPr>
          <w:rFonts w:ascii="Arial" w:hAnsi="Arial" w:cs="Arial"/>
          <w:color w:val="000000"/>
          <w:sz w:val="24"/>
          <w:szCs w:val="24"/>
        </w:rPr>
        <w:t>information, which</w:t>
      </w:r>
      <w:r w:rsidRPr="00DB5013">
        <w:rPr>
          <w:rFonts w:ascii="Arial" w:hAnsi="Arial" w:cs="Arial"/>
          <w:color w:val="000000"/>
          <w:sz w:val="24"/>
          <w:szCs w:val="24"/>
        </w:rPr>
        <w:t xml:space="preserve"> is necessary for NERSA to determine a cost-based tariff.</w:t>
      </w:r>
    </w:p>
    <w:p w:rsidR="00D57FBB" w:rsidRPr="00DB5013" w:rsidRDefault="00D57FBB" w:rsidP="00FF0AC8">
      <w:pPr>
        <w:spacing w:after="0" w:line="360" w:lineRule="auto"/>
        <w:ind w:left="1440" w:hanging="780"/>
        <w:jc w:val="both"/>
        <w:rPr>
          <w:rFonts w:ascii="Arial" w:hAnsi="Arial" w:cs="Arial"/>
          <w:color w:val="000000"/>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lastRenderedPageBreak/>
        <w:t>[132]</w:t>
      </w:r>
      <w:r>
        <w:rPr>
          <w:rFonts w:ascii="Arial" w:hAnsi="Arial" w:cs="Arial"/>
          <w:color w:val="000000"/>
          <w:sz w:val="24"/>
          <w:szCs w:val="24"/>
        </w:rPr>
        <w:tab/>
        <w:t>City Power</w:t>
      </w:r>
      <w:r w:rsidRPr="00DB5013">
        <w:rPr>
          <w:rFonts w:ascii="Arial" w:hAnsi="Arial" w:cs="Arial"/>
          <w:color w:val="000000"/>
          <w:sz w:val="24"/>
          <w:szCs w:val="24"/>
        </w:rPr>
        <w:t xml:space="preserve"> seem</w:t>
      </w:r>
      <w:r>
        <w:rPr>
          <w:rFonts w:ascii="Arial" w:hAnsi="Arial" w:cs="Arial"/>
          <w:color w:val="000000"/>
          <w:sz w:val="24"/>
          <w:szCs w:val="24"/>
        </w:rPr>
        <w:t>ed</w:t>
      </w:r>
      <w:r w:rsidRPr="00DB5013">
        <w:rPr>
          <w:rFonts w:ascii="Arial" w:hAnsi="Arial" w:cs="Arial"/>
          <w:color w:val="000000"/>
          <w:sz w:val="24"/>
          <w:szCs w:val="24"/>
        </w:rPr>
        <w:t xml:space="preserve"> not </w:t>
      </w:r>
      <w:r>
        <w:rPr>
          <w:rFonts w:ascii="Arial" w:hAnsi="Arial" w:cs="Arial"/>
          <w:color w:val="000000"/>
          <w:sz w:val="24"/>
          <w:szCs w:val="24"/>
        </w:rPr>
        <w:t xml:space="preserve">to be </w:t>
      </w:r>
      <w:r w:rsidRPr="00DB5013">
        <w:rPr>
          <w:rFonts w:ascii="Arial" w:hAnsi="Arial" w:cs="Arial"/>
          <w:color w:val="000000"/>
          <w:sz w:val="24"/>
          <w:szCs w:val="24"/>
        </w:rPr>
        <w:t>too adverse</w:t>
      </w:r>
      <w:r>
        <w:rPr>
          <w:rFonts w:ascii="Arial" w:hAnsi="Arial" w:cs="Arial"/>
          <w:color w:val="000000"/>
          <w:sz w:val="24"/>
          <w:szCs w:val="24"/>
        </w:rPr>
        <w:t>,</w:t>
      </w:r>
      <w:r w:rsidRPr="00DB5013">
        <w:rPr>
          <w:rFonts w:ascii="Arial" w:hAnsi="Arial" w:cs="Arial"/>
          <w:color w:val="000000"/>
          <w:sz w:val="24"/>
          <w:szCs w:val="24"/>
        </w:rPr>
        <w:t xml:space="preserve"> t</w:t>
      </w:r>
      <w:r>
        <w:rPr>
          <w:rFonts w:ascii="Arial" w:hAnsi="Arial" w:cs="Arial"/>
          <w:color w:val="000000"/>
          <w:sz w:val="24"/>
          <w:szCs w:val="24"/>
        </w:rPr>
        <w:t xml:space="preserve">o </w:t>
      </w:r>
      <w:r w:rsidRPr="00DB5013">
        <w:rPr>
          <w:rFonts w:ascii="Arial" w:hAnsi="Arial" w:cs="Arial"/>
          <w:color w:val="000000"/>
          <w:sz w:val="24"/>
          <w:szCs w:val="24"/>
        </w:rPr>
        <w:t>the remedy sought</w:t>
      </w:r>
      <w:r>
        <w:rPr>
          <w:rFonts w:ascii="Arial" w:hAnsi="Arial" w:cs="Arial"/>
          <w:color w:val="000000"/>
          <w:sz w:val="24"/>
          <w:szCs w:val="24"/>
        </w:rPr>
        <w:t xml:space="preserve"> by the Applicants, i</w:t>
      </w:r>
      <w:r w:rsidRPr="00DB5013">
        <w:rPr>
          <w:rFonts w:ascii="Arial" w:hAnsi="Arial" w:cs="Arial"/>
          <w:color w:val="000000"/>
          <w:sz w:val="24"/>
          <w:szCs w:val="24"/>
        </w:rPr>
        <w:t>n the event that the declaratory remedy of invalidity sought by the Applicants is gra</w:t>
      </w:r>
      <w:r>
        <w:rPr>
          <w:rFonts w:ascii="Arial" w:hAnsi="Arial" w:cs="Arial"/>
          <w:color w:val="000000"/>
          <w:sz w:val="24"/>
          <w:szCs w:val="24"/>
        </w:rPr>
        <w:t>nted in their favour. City Power, however, argued against the insertion of the retrospective application of the remedy in so far as the Applicants sought refund of the tariffs for the financial period of 2020/2</w:t>
      </w:r>
      <w:r w:rsidR="009D37BA">
        <w:rPr>
          <w:rFonts w:ascii="Arial" w:hAnsi="Arial" w:cs="Arial"/>
          <w:color w:val="000000"/>
          <w:sz w:val="24"/>
          <w:szCs w:val="24"/>
        </w:rPr>
        <w:t>02</w:t>
      </w:r>
      <w:r>
        <w:rPr>
          <w:rFonts w:ascii="Arial" w:hAnsi="Arial" w:cs="Arial"/>
          <w:color w:val="000000"/>
          <w:sz w:val="24"/>
          <w:szCs w:val="24"/>
        </w:rPr>
        <w:t xml:space="preserve">1 and thereafter.  </w:t>
      </w:r>
    </w:p>
    <w:p w:rsidR="00D57FBB" w:rsidRDefault="00D57FBB"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t>[133]</w:t>
      </w:r>
      <w:r>
        <w:rPr>
          <w:rFonts w:ascii="Arial" w:hAnsi="Arial" w:cs="Arial"/>
          <w:color w:val="000000"/>
          <w:sz w:val="24"/>
          <w:szCs w:val="24"/>
        </w:rPr>
        <w:tab/>
        <w:t xml:space="preserve">City Power submitted further that it would not be just and equitable for this Court to make an order prescribing how NERSA should conduct itself in future when determining electricity tariffs as this would be tantamount to violating the principle of separation of powers. </w:t>
      </w:r>
    </w:p>
    <w:p w:rsidR="00D57FBB" w:rsidRDefault="00D57FBB" w:rsidP="00FF0AC8">
      <w:pPr>
        <w:spacing w:after="0" w:line="360" w:lineRule="auto"/>
        <w:jc w:val="both"/>
        <w:rPr>
          <w:rFonts w:ascii="Arial" w:hAnsi="Arial" w:cs="Arial"/>
          <w:color w:val="000000"/>
          <w:sz w:val="24"/>
          <w:szCs w:val="24"/>
        </w:rPr>
      </w:pPr>
    </w:p>
    <w:p w:rsidR="007112AF" w:rsidRPr="00FC6347" w:rsidRDefault="007112AF" w:rsidP="00917D2E">
      <w:pPr>
        <w:spacing w:line="360" w:lineRule="auto"/>
        <w:jc w:val="both"/>
        <w:rPr>
          <w:rFonts w:ascii="Arial" w:hAnsi="Arial" w:cs="Arial"/>
          <w:color w:val="000000"/>
          <w:sz w:val="20"/>
          <w:szCs w:val="20"/>
        </w:rPr>
      </w:pPr>
      <w:r>
        <w:rPr>
          <w:rFonts w:ascii="Arial" w:hAnsi="Arial" w:cs="Arial"/>
          <w:color w:val="000000"/>
          <w:sz w:val="24"/>
          <w:szCs w:val="24"/>
        </w:rPr>
        <w:t>[134]</w:t>
      </w:r>
      <w:r>
        <w:rPr>
          <w:rFonts w:ascii="Arial" w:hAnsi="Arial" w:cs="Arial"/>
          <w:color w:val="000000"/>
          <w:sz w:val="24"/>
          <w:szCs w:val="24"/>
        </w:rPr>
        <w:tab/>
        <w:t xml:space="preserve">It, in that regard, </w:t>
      </w:r>
      <w:r w:rsidRPr="00DB5013">
        <w:rPr>
          <w:rFonts w:ascii="Arial" w:hAnsi="Arial" w:cs="Arial"/>
          <w:color w:val="000000"/>
          <w:sz w:val="24"/>
          <w:szCs w:val="24"/>
        </w:rPr>
        <w:t xml:space="preserve">proposed </w:t>
      </w:r>
      <w:r>
        <w:rPr>
          <w:rFonts w:ascii="Arial" w:hAnsi="Arial" w:cs="Arial"/>
          <w:color w:val="000000"/>
          <w:sz w:val="24"/>
          <w:szCs w:val="24"/>
        </w:rPr>
        <w:t xml:space="preserve">what it considered to be a </w:t>
      </w:r>
      <w:r w:rsidRPr="00DB5013">
        <w:rPr>
          <w:rFonts w:ascii="Arial" w:hAnsi="Arial" w:cs="Arial"/>
          <w:color w:val="000000"/>
          <w:sz w:val="24"/>
          <w:szCs w:val="24"/>
        </w:rPr>
        <w:t>just and equitable remedy</w:t>
      </w:r>
      <w:r>
        <w:rPr>
          <w:rFonts w:ascii="Arial" w:hAnsi="Arial" w:cs="Arial"/>
          <w:color w:val="000000"/>
          <w:sz w:val="24"/>
          <w:szCs w:val="24"/>
        </w:rPr>
        <w:t xml:space="preserve"> to</w:t>
      </w:r>
      <w:r w:rsidRPr="00DB5013">
        <w:rPr>
          <w:rFonts w:ascii="Arial" w:hAnsi="Arial" w:cs="Arial"/>
          <w:color w:val="000000"/>
          <w:sz w:val="24"/>
          <w:szCs w:val="24"/>
        </w:rPr>
        <w:t xml:space="preserve"> be granted</w:t>
      </w:r>
      <w:r>
        <w:rPr>
          <w:rFonts w:ascii="Arial" w:hAnsi="Arial" w:cs="Arial"/>
          <w:color w:val="000000"/>
          <w:sz w:val="24"/>
          <w:szCs w:val="24"/>
        </w:rPr>
        <w:t>, as follows</w:t>
      </w:r>
      <w:r w:rsidRPr="00DB5013">
        <w:rPr>
          <w:rFonts w:ascii="Arial" w:hAnsi="Arial" w:cs="Arial"/>
          <w:color w:val="000000"/>
          <w:sz w:val="24"/>
          <w:szCs w:val="24"/>
        </w:rPr>
        <w:t>:</w:t>
      </w:r>
    </w:p>
    <w:p w:rsidR="007112AF" w:rsidRPr="001378CE" w:rsidRDefault="007112AF" w:rsidP="00FF0AC8">
      <w:pPr>
        <w:pStyle w:val="ListParagraph"/>
        <w:numPr>
          <w:ilvl w:val="0"/>
          <w:numId w:val="2"/>
        </w:numPr>
        <w:spacing w:after="0" w:line="360" w:lineRule="auto"/>
        <w:jc w:val="both"/>
        <w:rPr>
          <w:rFonts w:ascii="Arial" w:hAnsi="Arial" w:cs="Arial"/>
          <w:color w:val="000000"/>
          <w:szCs w:val="20"/>
        </w:rPr>
      </w:pPr>
      <w:r w:rsidRPr="001378CE">
        <w:rPr>
          <w:rFonts w:ascii="Arial" w:hAnsi="Arial" w:cs="Arial"/>
          <w:color w:val="000000"/>
          <w:szCs w:val="20"/>
        </w:rPr>
        <w:t>The decision of the First Respondent, published on the First Respondent's website on or about 16 August 2019 (with retrospective effect to 1 July 2019), to approve an electricity tariff for the Second Respondent for the 2019/2020 tariff year ("the tariff decision"), is reviewed and set aside.</w:t>
      </w:r>
    </w:p>
    <w:p w:rsidR="007112AF" w:rsidRPr="001378CE" w:rsidRDefault="007112AF" w:rsidP="00FF0AC8">
      <w:pPr>
        <w:pStyle w:val="ListParagraph"/>
        <w:numPr>
          <w:ilvl w:val="0"/>
          <w:numId w:val="2"/>
        </w:numPr>
        <w:spacing w:after="0" w:line="360" w:lineRule="auto"/>
        <w:jc w:val="both"/>
        <w:rPr>
          <w:rFonts w:ascii="Arial" w:hAnsi="Arial" w:cs="Arial"/>
          <w:color w:val="000000"/>
          <w:szCs w:val="20"/>
        </w:rPr>
      </w:pPr>
      <w:r w:rsidRPr="001378CE">
        <w:rPr>
          <w:rFonts w:ascii="Arial" w:hAnsi="Arial" w:cs="Arial"/>
          <w:color w:val="000000"/>
          <w:szCs w:val="20"/>
        </w:rPr>
        <w:t xml:space="preserve">Save to the extent set out in paragraph 3 below, the order in paragraph 1 shall not have any retrospective effect and shall not affect any amounts that became due to the Second/Third Respondents pursuant to the tariff decision. </w:t>
      </w:r>
    </w:p>
    <w:p w:rsidR="007112AF" w:rsidRPr="001378CE" w:rsidRDefault="007112AF" w:rsidP="00FF0AC8">
      <w:pPr>
        <w:pStyle w:val="ListParagraph"/>
        <w:numPr>
          <w:ilvl w:val="0"/>
          <w:numId w:val="2"/>
        </w:numPr>
        <w:spacing w:after="0" w:line="360" w:lineRule="auto"/>
        <w:jc w:val="both"/>
        <w:rPr>
          <w:rFonts w:ascii="Arial" w:hAnsi="Arial" w:cs="Arial"/>
          <w:color w:val="000000"/>
          <w:szCs w:val="20"/>
        </w:rPr>
      </w:pPr>
      <w:r w:rsidRPr="001378CE">
        <w:rPr>
          <w:rFonts w:ascii="Arial" w:hAnsi="Arial" w:cs="Arial"/>
          <w:color w:val="000000"/>
          <w:szCs w:val="20"/>
        </w:rPr>
        <w:t xml:space="preserve">In respect of the Applicants (which shall include the members of the applicants as at the date of instituting the present application), the following regime shall apply subject to paragraph 4 below: </w:t>
      </w:r>
    </w:p>
    <w:p w:rsidR="007112AF" w:rsidRPr="001378CE" w:rsidRDefault="007112AF" w:rsidP="00FF0AC8">
      <w:pPr>
        <w:pStyle w:val="ListParagraph"/>
        <w:numPr>
          <w:ilvl w:val="1"/>
          <w:numId w:val="2"/>
        </w:numPr>
        <w:spacing w:after="0" w:line="360" w:lineRule="auto"/>
        <w:jc w:val="both"/>
        <w:rPr>
          <w:rFonts w:ascii="Arial" w:hAnsi="Arial" w:cs="Arial"/>
          <w:color w:val="000000"/>
          <w:szCs w:val="20"/>
        </w:rPr>
      </w:pPr>
      <w:r w:rsidRPr="001378CE">
        <w:rPr>
          <w:rFonts w:ascii="Arial" w:hAnsi="Arial" w:cs="Arial"/>
          <w:color w:val="000000"/>
          <w:szCs w:val="20"/>
        </w:rPr>
        <w:t>The Applicants and the Second/Third Respondents will seek to resolve by mutual agreement their dispute regarding the applicable electricity tariffs payable for the 2019/2020 tariff year;</w:t>
      </w:r>
    </w:p>
    <w:p w:rsidR="007112AF" w:rsidRPr="001378CE" w:rsidRDefault="007112AF" w:rsidP="00FF0AC8">
      <w:pPr>
        <w:pStyle w:val="ListParagraph"/>
        <w:numPr>
          <w:ilvl w:val="1"/>
          <w:numId w:val="2"/>
        </w:numPr>
        <w:spacing w:after="0" w:line="360" w:lineRule="auto"/>
        <w:jc w:val="both"/>
        <w:rPr>
          <w:rFonts w:ascii="Arial" w:hAnsi="Arial" w:cs="Arial"/>
          <w:color w:val="000000"/>
          <w:szCs w:val="20"/>
        </w:rPr>
      </w:pPr>
      <w:r w:rsidRPr="001378CE">
        <w:rPr>
          <w:rFonts w:ascii="Arial" w:hAnsi="Arial" w:cs="Arial"/>
          <w:color w:val="000000"/>
          <w:szCs w:val="20"/>
        </w:rPr>
        <w:t xml:space="preserve">If agreement is not reached in terms of paragraph 3.1 within thirty (30) days of the date of this order, the tariff decision is remitted to the First Respondent, for it to take a decision only </w:t>
      </w:r>
      <w:r w:rsidRPr="001378CE">
        <w:rPr>
          <w:rFonts w:ascii="Arial" w:hAnsi="Arial" w:cs="Arial"/>
          <w:color w:val="000000"/>
          <w:szCs w:val="20"/>
        </w:rPr>
        <w:lastRenderedPageBreak/>
        <w:t xml:space="preserve">on the applicable electricity tariffs payable by the Applicants for the 2019/2020 tariff year; and </w:t>
      </w:r>
    </w:p>
    <w:p w:rsidR="007112AF" w:rsidRPr="001378CE" w:rsidRDefault="007112AF" w:rsidP="00FF0AC8">
      <w:pPr>
        <w:pStyle w:val="ListParagraph"/>
        <w:numPr>
          <w:ilvl w:val="1"/>
          <w:numId w:val="2"/>
        </w:numPr>
        <w:spacing w:after="0" w:line="360" w:lineRule="auto"/>
        <w:jc w:val="both"/>
        <w:rPr>
          <w:rFonts w:ascii="Arial" w:hAnsi="Arial" w:cs="Arial"/>
          <w:color w:val="000000"/>
          <w:szCs w:val="20"/>
        </w:rPr>
      </w:pPr>
      <w:r w:rsidRPr="001378CE">
        <w:rPr>
          <w:rFonts w:ascii="Arial" w:hAnsi="Arial" w:cs="Arial"/>
          <w:color w:val="000000"/>
          <w:szCs w:val="20"/>
        </w:rPr>
        <w:t>Following the agreement in paragraph 3.1 or a valid decision as contemplated in paragraph 3.2:</w:t>
      </w:r>
    </w:p>
    <w:p w:rsidR="007112AF" w:rsidRPr="001378CE" w:rsidRDefault="007112AF" w:rsidP="00FF0AC8">
      <w:pPr>
        <w:spacing w:after="0" w:line="360" w:lineRule="auto"/>
        <w:ind w:left="2880" w:hanging="720"/>
        <w:jc w:val="both"/>
        <w:rPr>
          <w:rFonts w:ascii="Arial" w:hAnsi="Arial" w:cs="Arial"/>
          <w:color w:val="000000"/>
          <w:szCs w:val="20"/>
        </w:rPr>
      </w:pPr>
      <w:r w:rsidRPr="001378CE">
        <w:rPr>
          <w:rFonts w:ascii="Arial" w:hAnsi="Arial" w:cs="Arial"/>
          <w:color w:val="000000"/>
          <w:szCs w:val="20"/>
        </w:rPr>
        <w:t xml:space="preserve">3.3.1. </w:t>
      </w:r>
      <w:r w:rsidRPr="001378CE">
        <w:rPr>
          <w:rFonts w:ascii="Arial" w:hAnsi="Arial" w:cs="Arial"/>
          <w:color w:val="000000"/>
          <w:szCs w:val="20"/>
        </w:rPr>
        <w:tab/>
        <w:t xml:space="preserve">If the Applicants owe amounts to the Second/Third Respondents arising from the agreement in paragraph 3.1 or the decision in paragraph 3.2, they shall pay these amounts forthwith; and </w:t>
      </w:r>
    </w:p>
    <w:p w:rsidR="007112AF" w:rsidRDefault="007112AF" w:rsidP="00FF0AC8">
      <w:pPr>
        <w:spacing w:after="0" w:line="360" w:lineRule="auto"/>
        <w:ind w:left="2880" w:hanging="720"/>
        <w:jc w:val="both"/>
        <w:rPr>
          <w:rFonts w:ascii="Arial" w:hAnsi="Arial" w:cs="Arial"/>
          <w:color w:val="000000"/>
          <w:szCs w:val="20"/>
        </w:rPr>
      </w:pPr>
      <w:r w:rsidRPr="001378CE">
        <w:rPr>
          <w:rFonts w:ascii="Arial" w:hAnsi="Arial" w:cs="Arial"/>
          <w:color w:val="000000"/>
          <w:szCs w:val="20"/>
        </w:rPr>
        <w:t xml:space="preserve">3.3.2. </w:t>
      </w:r>
      <w:r w:rsidRPr="001378CE">
        <w:rPr>
          <w:rFonts w:ascii="Arial" w:hAnsi="Arial" w:cs="Arial"/>
          <w:color w:val="000000"/>
          <w:szCs w:val="20"/>
        </w:rPr>
        <w:tab/>
        <w:t>If the Second/Third Respondents owe amounts to the Applicants arising from the agreement in paragraph 3.1 or the decision in paragraph 3.2, they shall credit the Applicants with these amounts forthwith.</w:t>
      </w:r>
    </w:p>
    <w:p w:rsidR="00D57FBB" w:rsidRPr="001378CE" w:rsidRDefault="00D57FBB" w:rsidP="00FF0AC8">
      <w:pPr>
        <w:spacing w:after="0" w:line="360" w:lineRule="auto"/>
        <w:ind w:left="2880" w:hanging="720"/>
        <w:jc w:val="both"/>
        <w:rPr>
          <w:rFonts w:ascii="Arial" w:hAnsi="Arial" w:cs="Arial"/>
          <w:color w:val="000000"/>
          <w:sz w:val="28"/>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t>[135]</w:t>
      </w:r>
      <w:r>
        <w:rPr>
          <w:rFonts w:ascii="Arial" w:hAnsi="Arial" w:cs="Arial"/>
          <w:color w:val="000000"/>
          <w:sz w:val="24"/>
          <w:szCs w:val="24"/>
        </w:rPr>
        <w:tab/>
        <w:t>In support of City Power’s argument and suggested draft remedy, NERSA emphasised City Power’s submission that the Court should not grant a remedy whereby a regulator, like NERSA, would be told what it must do when taking a decision. NERSA, as such, made a suggestion that an order be granted remitting the matter to NERSA for reconsideration of the tariffs, without having to prescribe to NERSA what it must do because NERSA does not regulate the industry only as between City Power, the City of Johannesburg and the Applicants, but, that there are other role players which will be impacted upon by anything that NERSA was going to do.</w:t>
      </w:r>
    </w:p>
    <w:p w:rsidR="00372BAD" w:rsidRDefault="00372BAD"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t>[136]</w:t>
      </w:r>
      <w:r>
        <w:rPr>
          <w:rFonts w:ascii="Arial" w:hAnsi="Arial" w:cs="Arial"/>
          <w:color w:val="000000"/>
          <w:sz w:val="24"/>
          <w:szCs w:val="24"/>
        </w:rPr>
        <w:tab/>
        <w:t>NERSA was also, adverse, to the retrospective effect of the remedy, contending that the order is made in 2021/22 for the tariff decision taken in 2019/20. As such, NERSA cautioned about the ramification of such a remedy, which if not guarded may open flood gates for other parties who were impacted by the tariff decision.</w:t>
      </w:r>
    </w:p>
    <w:p w:rsidR="008B6385" w:rsidRDefault="008B6385"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t>[137]</w:t>
      </w:r>
      <w:r>
        <w:rPr>
          <w:rFonts w:ascii="Arial" w:hAnsi="Arial" w:cs="Arial"/>
          <w:color w:val="000000"/>
          <w:sz w:val="24"/>
          <w:szCs w:val="24"/>
        </w:rPr>
        <w:tab/>
        <w:t xml:space="preserve">The Applicants, did not have a problem with the draft remedy as suggested by City Power and supported by NERSA, in that, the proposed remedy provided them with substantive relief, in respect of the challenged </w:t>
      </w:r>
      <w:r>
        <w:rPr>
          <w:rFonts w:ascii="Arial" w:hAnsi="Arial" w:cs="Arial"/>
          <w:color w:val="000000"/>
          <w:sz w:val="24"/>
          <w:szCs w:val="24"/>
        </w:rPr>
        <w:lastRenderedPageBreak/>
        <w:t xml:space="preserve">tariffs. They were, however, not satisfied by the omission in the draft remedy of the prayer that they said addressed the future. Their contention was that such a prayer was particularly </w:t>
      </w:r>
      <w:r w:rsidR="00BE7345">
        <w:rPr>
          <w:rFonts w:ascii="Arial" w:hAnsi="Arial" w:cs="Arial"/>
          <w:color w:val="000000"/>
          <w:sz w:val="24"/>
          <w:szCs w:val="24"/>
        </w:rPr>
        <w:t>important,</w:t>
      </w:r>
      <w:r>
        <w:rPr>
          <w:rFonts w:ascii="Arial" w:hAnsi="Arial" w:cs="Arial"/>
          <w:color w:val="000000"/>
          <w:sz w:val="24"/>
          <w:szCs w:val="24"/>
        </w:rPr>
        <w:t xml:space="preserve"> as this dispute will be replayed again as soon as NERSA makes its next tariff determination; and that NERSA seemed not to accept that it was bound by the provisions of section 27(h) of the ERA to execute the reticulation function in accordance with the EPP. Thus, an order fashioned to incorporate the future, would ensure that NERSA complies with the provisions of the ERA and EPP, so the argument went. </w:t>
      </w:r>
    </w:p>
    <w:p w:rsidR="00BE7345" w:rsidRPr="009B29E7" w:rsidRDefault="00BE7345"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sz w:val="24"/>
          <w:szCs w:val="24"/>
        </w:rPr>
      </w:pPr>
      <w:r>
        <w:rPr>
          <w:rFonts w:ascii="Arial" w:hAnsi="Arial" w:cs="Arial"/>
          <w:sz w:val="24"/>
          <w:szCs w:val="24"/>
        </w:rPr>
        <w:t>[138]</w:t>
      </w:r>
      <w:r>
        <w:rPr>
          <w:rFonts w:ascii="Arial" w:hAnsi="Arial" w:cs="Arial"/>
          <w:sz w:val="24"/>
          <w:szCs w:val="24"/>
        </w:rPr>
        <w:tab/>
      </w:r>
      <w:r w:rsidRPr="00DB5013">
        <w:rPr>
          <w:rFonts w:ascii="Arial" w:hAnsi="Arial" w:cs="Arial"/>
          <w:sz w:val="24"/>
          <w:szCs w:val="24"/>
        </w:rPr>
        <w:t>In terms of sect</w:t>
      </w:r>
      <w:r>
        <w:rPr>
          <w:rFonts w:ascii="Arial" w:hAnsi="Arial" w:cs="Arial"/>
          <w:sz w:val="24"/>
          <w:szCs w:val="24"/>
        </w:rPr>
        <w:t>ion 172(1)(b) of the Constitution and section 8 of PAJA,</w:t>
      </w:r>
      <w:r w:rsidR="008E6BD8">
        <w:rPr>
          <w:rStyle w:val="FootnoteReference"/>
          <w:rFonts w:ascii="Arial" w:hAnsi="Arial" w:cs="Arial"/>
          <w:sz w:val="24"/>
          <w:szCs w:val="24"/>
        </w:rPr>
        <w:footnoteReference w:id="31"/>
      </w:r>
      <w:r>
        <w:rPr>
          <w:rFonts w:ascii="Arial" w:hAnsi="Arial" w:cs="Arial"/>
          <w:sz w:val="24"/>
          <w:szCs w:val="24"/>
        </w:rPr>
        <w:t xml:space="preserve"> </w:t>
      </w:r>
      <w:r w:rsidRPr="00DB5013">
        <w:rPr>
          <w:rFonts w:ascii="Arial" w:hAnsi="Arial" w:cs="Arial"/>
          <w:sz w:val="24"/>
          <w:szCs w:val="24"/>
        </w:rPr>
        <w:t>this Court has a wide discretion to consider an appropriate relief following the finding of unlawfulness in the impugned decision.</w:t>
      </w:r>
      <w:r>
        <w:rPr>
          <w:rFonts w:ascii="Arial" w:hAnsi="Arial" w:cs="Arial"/>
          <w:sz w:val="24"/>
          <w:szCs w:val="24"/>
        </w:rPr>
        <w:t xml:space="preserve"> The remedy to be granted must be just and equitable.</w:t>
      </w:r>
    </w:p>
    <w:p w:rsidR="006D64E6" w:rsidRDefault="006D64E6" w:rsidP="00FF0AC8">
      <w:pPr>
        <w:spacing w:after="0" w:line="360" w:lineRule="auto"/>
        <w:jc w:val="both"/>
        <w:rPr>
          <w:rFonts w:ascii="Arial" w:hAnsi="Arial" w:cs="Arial"/>
          <w:sz w:val="24"/>
          <w:szCs w:val="24"/>
        </w:rPr>
      </w:pPr>
    </w:p>
    <w:p w:rsidR="007112AF" w:rsidRPr="007112AF" w:rsidRDefault="007112AF" w:rsidP="00917D2E">
      <w:pPr>
        <w:spacing w:line="360" w:lineRule="auto"/>
        <w:jc w:val="both"/>
        <w:rPr>
          <w:rFonts w:ascii="Arial" w:hAnsi="Arial" w:cs="Arial"/>
          <w:sz w:val="24"/>
          <w:szCs w:val="24"/>
        </w:rPr>
      </w:pPr>
      <w:r>
        <w:rPr>
          <w:rFonts w:ascii="Arial" w:hAnsi="Arial" w:cs="Arial"/>
          <w:sz w:val="24"/>
          <w:szCs w:val="24"/>
        </w:rPr>
        <w:t>[139]</w:t>
      </w:r>
      <w:r>
        <w:rPr>
          <w:rFonts w:ascii="Arial" w:hAnsi="Arial" w:cs="Arial"/>
          <w:sz w:val="24"/>
          <w:szCs w:val="24"/>
        </w:rPr>
        <w:tab/>
        <w:t xml:space="preserve">The Constitutional Court in </w:t>
      </w:r>
      <w:r w:rsidRPr="00235BCD">
        <w:rPr>
          <w:rFonts w:ascii="Arial" w:hAnsi="Arial" w:cs="Arial"/>
          <w:bCs/>
          <w:i/>
          <w:iCs/>
          <w:spacing w:val="26"/>
          <w:sz w:val="24"/>
          <w:szCs w:val="24"/>
        </w:rPr>
        <w:t>Hoërskool</w:t>
      </w:r>
      <w:r w:rsidRPr="00235BCD">
        <w:rPr>
          <w:rFonts w:ascii="Arial" w:hAnsi="Arial" w:cs="Arial"/>
          <w:i/>
          <w:sz w:val="24"/>
          <w:szCs w:val="24"/>
        </w:rPr>
        <w:t xml:space="preserve"> Ermelo</w:t>
      </w:r>
      <w:r>
        <w:rPr>
          <w:rFonts w:ascii="Arial" w:hAnsi="Arial" w:cs="Arial"/>
          <w:sz w:val="24"/>
          <w:szCs w:val="24"/>
        </w:rPr>
        <w:t>,</w:t>
      </w:r>
      <w:r>
        <w:rPr>
          <w:rStyle w:val="FootnoteReference"/>
          <w:rFonts w:ascii="Arial" w:hAnsi="Arial" w:cs="Arial"/>
          <w:sz w:val="24"/>
          <w:szCs w:val="24"/>
        </w:rPr>
        <w:footnoteReference w:id="32"/>
      </w:r>
      <w:r>
        <w:rPr>
          <w:rFonts w:ascii="Arial" w:hAnsi="Arial" w:cs="Arial"/>
          <w:sz w:val="24"/>
          <w:szCs w:val="24"/>
        </w:rPr>
        <w:t xml:space="preserve"> when granting a remedy based on section 172(1)(b) of the Constitution, expressed itself as follows:</w:t>
      </w:r>
    </w:p>
    <w:p w:rsidR="007112AF" w:rsidRPr="001378CE" w:rsidRDefault="005E526C" w:rsidP="001378CE">
      <w:pPr>
        <w:pStyle w:val="NormalWeb"/>
        <w:shd w:val="clear" w:color="auto" w:fill="FFFFFF"/>
        <w:spacing w:before="0" w:beforeAutospacing="0" w:after="0" w:afterAutospacing="0" w:line="360" w:lineRule="auto"/>
        <w:ind w:left="1080"/>
        <w:jc w:val="both"/>
        <w:rPr>
          <w:rFonts w:ascii="Arial" w:hAnsi="Arial" w:cs="Arial"/>
          <w:i/>
          <w:color w:val="242121"/>
          <w:sz w:val="20"/>
          <w:szCs w:val="20"/>
        </w:rPr>
      </w:pPr>
      <w:r>
        <w:rPr>
          <w:rFonts w:ascii="Arial" w:hAnsi="Arial" w:cs="Arial"/>
          <w:color w:val="242121"/>
          <w:sz w:val="20"/>
          <w:szCs w:val="20"/>
        </w:rPr>
        <w:t>“</w:t>
      </w:r>
      <w:r w:rsidR="007112AF" w:rsidRPr="001378CE">
        <w:rPr>
          <w:rFonts w:ascii="Arial" w:hAnsi="Arial" w:cs="Arial"/>
          <w:i/>
          <w:color w:val="242121"/>
          <w:sz w:val="20"/>
          <w:szCs w:val="20"/>
        </w:rPr>
        <w:t xml:space="preserve">The power to make such an order derives from section 172(1)(b) of the Constitution. First, section 172(1)(a) requires a court, when deciding a constitutional matter within its power, to declare any law or conduct that is inconsistent with the Constitution invalid to the extent of its inconsistency. Section 172(1)(b) of the Constitution provides that when this Court decides a constitutional matter within its power it </w:t>
      </w:r>
      <w:r w:rsidRPr="001378CE">
        <w:rPr>
          <w:rFonts w:ascii="Arial" w:hAnsi="Arial" w:cs="Arial"/>
          <w:i/>
          <w:color w:val="242121"/>
          <w:sz w:val="20"/>
          <w:szCs w:val="20"/>
        </w:rPr>
        <w:t>‘</w:t>
      </w:r>
      <w:r w:rsidR="007112AF" w:rsidRPr="001378CE">
        <w:rPr>
          <w:rFonts w:ascii="Arial" w:hAnsi="Arial" w:cs="Arial"/>
          <w:i/>
          <w:color w:val="242121"/>
          <w:sz w:val="20"/>
          <w:szCs w:val="20"/>
        </w:rPr>
        <w:t>may make any order that is just and equitable</w:t>
      </w:r>
      <w:r w:rsidRPr="001378CE">
        <w:rPr>
          <w:rFonts w:ascii="Arial" w:hAnsi="Arial" w:cs="Arial"/>
          <w:i/>
          <w:color w:val="242121"/>
          <w:sz w:val="20"/>
          <w:szCs w:val="20"/>
        </w:rPr>
        <w:t>’</w:t>
      </w:r>
      <w:r w:rsidR="007112AF" w:rsidRPr="001378CE">
        <w:rPr>
          <w:rFonts w:ascii="Arial" w:hAnsi="Arial" w:cs="Arial"/>
          <w:i/>
          <w:color w:val="242121"/>
          <w:sz w:val="20"/>
          <w:szCs w:val="20"/>
        </w:rPr>
        <w:t>. The litmus test will be whether considerations of justice and equity in a particular case dictate that the order be made. In other words, the order must be fair and just within the context of a particular dispute.</w:t>
      </w:r>
    </w:p>
    <w:p w:rsidR="007112AF" w:rsidRDefault="007112AF" w:rsidP="001378CE">
      <w:pPr>
        <w:pStyle w:val="NormalWeb"/>
        <w:shd w:val="clear" w:color="auto" w:fill="FFFFFF"/>
        <w:spacing w:before="0" w:beforeAutospacing="0" w:after="0" w:afterAutospacing="0" w:line="360" w:lineRule="auto"/>
        <w:ind w:left="1080"/>
        <w:jc w:val="both"/>
        <w:rPr>
          <w:rFonts w:ascii="Arial" w:hAnsi="Arial" w:cs="Arial"/>
          <w:color w:val="242121"/>
        </w:rPr>
      </w:pPr>
      <w:r w:rsidRPr="001378CE">
        <w:rPr>
          <w:rFonts w:ascii="Arial" w:hAnsi="Arial" w:cs="Arial"/>
          <w:i/>
          <w:color w:val="242121"/>
          <w:sz w:val="20"/>
          <w:szCs w:val="20"/>
        </w:rPr>
        <w:t xml:space="preserve">It is clear that section 172(1)(b) confers wide remedial powers on a competent court adjudicating a constitutional matter. The remedial power envisaged in section 172(1)(b) is not only available when a court makes an order of constitutional </w:t>
      </w:r>
      <w:r w:rsidRPr="001378CE">
        <w:rPr>
          <w:rFonts w:ascii="Arial" w:hAnsi="Arial" w:cs="Arial"/>
          <w:i/>
          <w:color w:val="242121"/>
          <w:sz w:val="20"/>
          <w:szCs w:val="20"/>
        </w:rPr>
        <w:lastRenderedPageBreak/>
        <w:t>invalidity of a law or conduct under section 172(1)(a). A just and equitable order may be made even in instances where the outcome of a constitutional dispute does not hinge on constitutional invalidity of legislation or conduct.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In several cases, this Court has found it fair to fashion orders to facilitate a substantive resolution of the underlying dispute between the parties. Sometimes orders of this class have taken the form of structural interdicts or supervisory orders. This approach is valuable and advances constitutional justice particularly by ensuring that the parties themselves become part of the solution.”</w:t>
      </w:r>
      <w:r>
        <w:rPr>
          <w:rFonts w:ascii="Arial" w:hAnsi="Arial" w:cs="Arial"/>
          <w:color w:val="242121"/>
          <w:sz w:val="20"/>
          <w:szCs w:val="20"/>
        </w:rPr>
        <w:t xml:space="preserve"> (</w:t>
      </w:r>
      <w:r w:rsidR="006D64E6">
        <w:rPr>
          <w:rFonts w:ascii="Arial" w:hAnsi="Arial" w:cs="Arial"/>
          <w:color w:val="242121"/>
        </w:rPr>
        <w:t>Footnote</w:t>
      </w:r>
      <w:r>
        <w:rPr>
          <w:rFonts w:ascii="Arial" w:hAnsi="Arial" w:cs="Arial"/>
          <w:color w:val="242121"/>
        </w:rPr>
        <w:t xml:space="preserve"> omitted) </w:t>
      </w:r>
    </w:p>
    <w:p w:rsidR="006D64E6" w:rsidRPr="00235BCD" w:rsidRDefault="006D64E6" w:rsidP="001378CE">
      <w:pPr>
        <w:pStyle w:val="NormalWeb"/>
        <w:shd w:val="clear" w:color="auto" w:fill="FFFFFF"/>
        <w:spacing w:before="0" w:beforeAutospacing="0" w:after="0" w:afterAutospacing="0" w:line="360" w:lineRule="auto"/>
        <w:ind w:left="1080"/>
        <w:jc w:val="both"/>
        <w:rPr>
          <w:rFonts w:ascii="Arial" w:hAnsi="Arial" w:cs="Arial"/>
          <w:color w:val="242121"/>
          <w:sz w:val="20"/>
          <w:szCs w:val="20"/>
        </w:rPr>
      </w:pPr>
    </w:p>
    <w:p w:rsidR="007112AF" w:rsidRDefault="007112AF" w:rsidP="00FF0AC8">
      <w:pPr>
        <w:pStyle w:val="NormalWeb"/>
        <w:spacing w:before="0" w:beforeAutospacing="0" w:after="0" w:afterAutospacing="0" w:line="360" w:lineRule="auto"/>
        <w:jc w:val="both"/>
        <w:rPr>
          <w:rFonts w:ascii="Arial" w:hAnsi="Arial" w:cs="Arial"/>
          <w:color w:val="000000"/>
        </w:rPr>
      </w:pPr>
      <w:r>
        <w:rPr>
          <w:rFonts w:ascii="Arial" w:hAnsi="Arial" w:cs="Arial"/>
          <w:color w:val="000000"/>
        </w:rPr>
        <w:t>[140]</w:t>
      </w:r>
      <w:r>
        <w:rPr>
          <w:rFonts w:ascii="Arial" w:hAnsi="Arial" w:cs="Arial"/>
          <w:color w:val="000000"/>
        </w:rPr>
        <w:tab/>
      </w:r>
      <w:r w:rsidRPr="00DB5013">
        <w:rPr>
          <w:rFonts w:ascii="Arial" w:hAnsi="Arial" w:cs="Arial"/>
          <w:color w:val="000000"/>
        </w:rPr>
        <w:t xml:space="preserve">The </w:t>
      </w:r>
      <w:r w:rsidRPr="00E75211">
        <w:rPr>
          <w:rFonts w:ascii="Arial" w:hAnsi="Arial" w:cs="Arial"/>
          <w:i/>
          <w:color w:val="000000"/>
        </w:rPr>
        <w:t>PG Group</w:t>
      </w:r>
      <w:r w:rsidRPr="00DB5013">
        <w:rPr>
          <w:rFonts w:ascii="Arial" w:hAnsi="Arial" w:cs="Arial"/>
          <w:color w:val="000000"/>
        </w:rPr>
        <w:t xml:space="preserve"> litigation</w:t>
      </w:r>
      <w:r>
        <w:rPr>
          <w:rFonts w:ascii="Arial" w:hAnsi="Arial" w:cs="Arial"/>
          <w:color w:val="000000"/>
        </w:rPr>
        <w:t>, on the other hand,</w:t>
      </w:r>
      <w:r w:rsidRPr="00DB5013">
        <w:rPr>
          <w:rFonts w:ascii="Arial" w:hAnsi="Arial" w:cs="Arial"/>
          <w:color w:val="000000"/>
        </w:rPr>
        <w:t xml:space="preserve"> demonstrates that the </w:t>
      </w:r>
      <w:r>
        <w:rPr>
          <w:rFonts w:ascii="Arial" w:hAnsi="Arial" w:cs="Arial"/>
          <w:color w:val="000000"/>
        </w:rPr>
        <w:t>C</w:t>
      </w:r>
      <w:r w:rsidRPr="00DB5013">
        <w:rPr>
          <w:rFonts w:ascii="Arial" w:hAnsi="Arial" w:cs="Arial"/>
          <w:color w:val="000000"/>
        </w:rPr>
        <w:t>ourts will, in appropriate cases</w:t>
      </w:r>
      <w:r>
        <w:rPr>
          <w:rFonts w:ascii="Arial" w:hAnsi="Arial" w:cs="Arial"/>
          <w:color w:val="000000"/>
        </w:rPr>
        <w:t>,</w:t>
      </w:r>
      <w:r w:rsidRPr="00DB5013">
        <w:rPr>
          <w:rFonts w:ascii="Arial" w:hAnsi="Arial" w:cs="Arial"/>
          <w:color w:val="000000"/>
        </w:rPr>
        <w:t xml:space="preserve"> where NERSA's conduct has been shown to be unreasonable or contrary to the empowering legislation, have "not the slightest hesitation" to set aside NERSA's tariff determina</w:t>
      </w:r>
      <w:r w:rsidR="0001076D">
        <w:rPr>
          <w:rFonts w:ascii="Arial" w:hAnsi="Arial" w:cs="Arial"/>
          <w:color w:val="000000"/>
        </w:rPr>
        <w:t>tions</w:t>
      </w:r>
      <w:r w:rsidRPr="00DB5013">
        <w:rPr>
          <w:rFonts w:ascii="Arial" w:hAnsi="Arial" w:cs="Arial"/>
          <w:color w:val="000000"/>
        </w:rPr>
        <w:t>.</w:t>
      </w:r>
      <w:r w:rsidR="0001076D">
        <w:rPr>
          <w:rStyle w:val="FootnoteReference"/>
          <w:rFonts w:ascii="Arial" w:hAnsi="Arial" w:cs="Arial"/>
          <w:color w:val="000000"/>
        </w:rPr>
        <w:footnoteReference w:id="33"/>
      </w:r>
      <w:r w:rsidRPr="00DB5013">
        <w:rPr>
          <w:rFonts w:ascii="Arial" w:hAnsi="Arial" w:cs="Arial"/>
          <w:color w:val="000000"/>
        </w:rPr>
        <w:t xml:space="preserve"> The Court will also ensure that the remedy granted is meaningful and will ensure that proper tariffs are to be imposed, even retrospectively.</w:t>
      </w:r>
      <w:r>
        <w:rPr>
          <w:rFonts w:ascii="Arial" w:hAnsi="Arial" w:cs="Arial"/>
          <w:color w:val="000000"/>
        </w:rPr>
        <w:t xml:space="preserve"> </w:t>
      </w:r>
    </w:p>
    <w:p w:rsidR="00051889" w:rsidRPr="00DB5013" w:rsidRDefault="00051889" w:rsidP="00FF0AC8">
      <w:pPr>
        <w:pStyle w:val="NormalWeb"/>
        <w:spacing w:before="0" w:beforeAutospacing="0" w:after="0" w:afterAutospacing="0" w:line="360" w:lineRule="auto"/>
        <w:jc w:val="both"/>
        <w:rPr>
          <w:rFonts w:ascii="Arial" w:hAnsi="Arial" w:cs="Arial"/>
          <w:color w:val="000000"/>
        </w:rPr>
      </w:pPr>
    </w:p>
    <w:p w:rsidR="00051889" w:rsidRDefault="007112AF" w:rsidP="00FF0AC8">
      <w:pPr>
        <w:pStyle w:val="NormalWeb"/>
        <w:spacing w:before="0" w:beforeAutospacing="0" w:after="0" w:afterAutospacing="0" w:line="360" w:lineRule="auto"/>
        <w:jc w:val="both"/>
        <w:rPr>
          <w:rFonts w:ascii="Arial" w:hAnsi="Arial" w:cs="Arial"/>
          <w:color w:val="000000"/>
        </w:rPr>
      </w:pPr>
      <w:r>
        <w:rPr>
          <w:rFonts w:ascii="Arial" w:hAnsi="Arial" w:cs="Arial"/>
          <w:color w:val="000000"/>
        </w:rPr>
        <w:t>[141]</w:t>
      </w:r>
      <w:r>
        <w:rPr>
          <w:rFonts w:ascii="Arial" w:hAnsi="Arial" w:cs="Arial"/>
          <w:color w:val="000000"/>
        </w:rPr>
        <w:tab/>
        <w:t>It is trite that when</w:t>
      </w:r>
      <w:r w:rsidRPr="00DB5013">
        <w:rPr>
          <w:rFonts w:ascii="Arial" w:hAnsi="Arial" w:cs="Arial"/>
          <w:color w:val="000000"/>
        </w:rPr>
        <w:t xml:space="preserve"> </w:t>
      </w:r>
      <w:r>
        <w:rPr>
          <w:rFonts w:ascii="Arial" w:hAnsi="Arial" w:cs="Arial"/>
          <w:color w:val="000000"/>
        </w:rPr>
        <w:t xml:space="preserve">invoking the provisions of section 172(1)(b) of the Constitution, the </w:t>
      </w:r>
      <w:r w:rsidRPr="00DB5013">
        <w:rPr>
          <w:rFonts w:ascii="Arial" w:hAnsi="Arial" w:cs="Arial"/>
          <w:color w:val="000000"/>
        </w:rPr>
        <w:t xml:space="preserve">granting </w:t>
      </w:r>
      <w:r>
        <w:rPr>
          <w:rFonts w:ascii="Arial" w:hAnsi="Arial" w:cs="Arial"/>
          <w:color w:val="000000"/>
        </w:rPr>
        <w:t xml:space="preserve">of </w:t>
      </w:r>
      <w:r w:rsidRPr="00DB5013">
        <w:rPr>
          <w:rFonts w:ascii="Arial" w:hAnsi="Arial" w:cs="Arial"/>
          <w:color w:val="000000"/>
        </w:rPr>
        <w:t>a just and equitable remedy</w:t>
      </w:r>
      <w:r>
        <w:rPr>
          <w:rFonts w:ascii="Arial" w:hAnsi="Arial" w:cs="Arial"/>
          <w:color w:val="000000"/>
        </w:rPr>
        <w:t xml:space="preserve"> in the circumstances of this case, must ensure that the tariffs a</w:t>
      </w:r>
      <w:r w:rsidRPr="00DB5013">
        <w:rPr>
          <w:rFonts w:ascii="Arial" w:hAnsi="Arial" w:cs="Arial"/>
          <w:color w:val="000000"/>
        </w:rPr>
        <w:t>re adjusted retrospectively to a lawful amount.</w:t>
      </w:r>
    </w:p>
    <w:p w:rsidR="009D37BA" w:rsidRPr="00DB5013" w:rsidRDefault="009D37BA" w:rsidP="00FF0AC8">
      <w:pPr>
        <w:pStyle w:val="NormalWeb"/>
        <w:spacing w:before="0" w:beforeAutospacing="0" w:after="0" w:afterAutospacing="0" w:line="360" w:lineRule="auto"/>
        <w:jc w:val="both"/>
        <w:rPr>
          <w:rFonts w:ascii="Arial" w:hAnsi="Arial" w:cs="Arial"/>
          <w:color w:val="000000"/>
        </w:rPr>
      </w:pPr>
    </w:p>
    <w:p w:rsidR="00051889" w:rsidRDefault="007112AF" w:rsidP="00FF0AC8">
      <w:pPr>
        <w:spacing w:after="0" w:line="360" w:lineRule="auto"/>
        <w:jc w:val="both"/>
        <w:rPr>
          <w:rFonts w:ascii="Arial" w:hAnsi="Arial" w:cs="Arial"/>
          <w:sz w:val="24"/>
          <w:szCs w:val="24"/>
        </w:rPr>
      </w:pPr>
      <w:r>
        <w:rPr>
          <w:rFonts w:ascii="Arial" w:hAnsi="Arial" w:cs="Arial"/>
          <w:sz w:val="24"/>
          <w:szCs w:val="24"/>
        </w:rPr>
        <w:t>[142]</w:t>
      </w:r>
      <w:r>
        <w:rPr>
          <w:rFonts w:ascii="Arial" w:hAnsi="Arial" w:cs="Arial"/>
          <w:sz w:val="24"/>
          <w:szCs w:val="24"/>
        </w:rPr>
        <w:tab/>
        <w:t>The parties agreed</w:t>
      </w:r>
      <w:r w:rsidR="00C05C06">
        <w:rPr>
          <w:rFonts w:ascii="Arial" w:hAnsi="Arial" w:cs="Arial"/>
          <w:sz w:val="24"/>
          <w:szCs w:val="24"/>
        </w:rPr>
        <w:t xml:space="preserve"> </w:t>
      </w:r>
      <w:r>
        <w:rPr>
          <w:rFonts w:ascii="Arial" w:hAnsi="Arial" w:cs="Arial"/>
          <w:sz w:val="24"/>
          <w:szCs w:val="24"/>
        </w:rPr>
        <w:t xml:space="preserve">to the substantive remedy which ought to be granted in favour of the Applicants as </w:t>
      </w:r>
      <w:r w:rsidRPr="00E75211">
        <w:rPr>
          <w:rFonts w:ascii="Arial" w:hAnsi="Arial" w:cs="Arial"/>
          <w:i/>
          <w:sz w:val="24"/>
          <w:szCs w:val="24"/>
        </w:rPr>
        <w:t>per</w:t>
      </w:r>
      <w:r>
        <w:rPr>
          <w:rFonts w:ascii="Arial" w:hAnsi="Arial" w:cs="Arial"/>
          <w:sz w:val="24"/>
          <w:szCs w:val="24"/>
        </w:rPr>
        <w:t xml:space="preserve"> the draft remedy proposed by City Power. The Applicants appear, also, to be conten</w:t>
      </w:r>
      <w:r w:rsidR="00C05C06">
        <w:rPr>
          <w:rFonts w:ascii="Arial" w:hAnsi="Arial" w:cs="Arial"/>
          <w:sz w:val="24"/>
          <w:szCs w:val="24"/>
        </w:rPr>
        <w:t>t</w:t>
      </w:r>
      <w:r>
        <w:rPr>
          <w:rFonts w:ascii="Arial" w:hAnsi="Arial" w:cs="Arial"/>
          <w:sz w:val="24"/>
          <w:szCs w:val="24"/>
        </w:rPr>
        <w:t xml:space="preserve"> that the proposed draft remedy does </w:t>
      </w:r>
      <w:r>
        <w:rPr>
          <w:rFonts w:ascii="Arial" w:hAnsi="Arial" w:cs="Arial"/>
          <w:sz w:val="24"/>
          <w:szCs w:val="24"/>
        </w:rPr>
        <w:lastRenderedPageBreak/>
        <w:t xml:space="preserve">not extend to other parties except the Applicants and that the retrospective effect thereof covers only the period in </w:t>
      </w:r>
      <w:r w:rsidR="00C05C06">
        <w:rPr>
          <w:rFonts w:ascii="Arial" w:hAnsi="Arial" w:cs="Arial"/>
          <w:sz w:val="24"/>
          <w:szCs w:val="24"/>
        </w:rPr>
        <w:t>question, which</w:t>
      </w:r>
      <w:r>
        <w:rPr>
          <w:rFonts w:ascii="Arial" w:hAnsi="Arial" w:cs="Arial"/>
          <w:sz w:val="24"/>
          <w:szCs w:val="24"/>
        </w:rPr>
        <w:t xml:space="preserve"> is the 2019/</w:t>
      </w:r>
      <w:r w:rsidR="009D37BA">
        <w:rPr>
          <w:rFonts w:ascii="Arial" w:hAnsi="Arial" w:cs="Arial"/>
          <w:sz w:val="24"/>
          <w:szCs w:val="24"/>
        </w:rPr>
        <w:t>20</w:t>
      </w:r>
      <w:r>
        <w:rPr>
          <w:rFonts w:ascii="Arial" w:hAnsi="Arial" w:cs="Arial"/>
          <w:sz w:val="24"/>
          <w:szCs w:val="24"/>
        </w:rPr>
        <w:t>20 financial period. What remained the challenge was the additional declaratory relief sought by the Applicants in regard to the future, that is, an order prescribing how NERSA should conduct itself when setting tariffs, in the future.</w:t>
      </w:r>
    </w:p>
    <w:p w:rsidR="008E6BD8" w:rsidRDefault="008E6BD8" w:rsidP="00FF0AC8">
      <w:pPr>
        <w:spacing w:after="0" w:line="360" w:lineRule="auto"/>
        <w:jc w:val="both"/>
        <w:rPr>
          <w:rFonts w:ascii="Arial" w:hAnsi="Arial" w:cs="Arial"/>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sz w:val="24"/>
          <w:szCs w:val="24"/>
        </w:rPr>
        <w:t>[143]</w:t>
      </w:r>
      <w:r>
        <w:rPr>
          <w:rFonts w:ascii="Arial" w:hAnsi="Arial" w:cs="Arial"/>
          <w:sz w:val="24"/>
          <w:szCs w:val="24"/>
        </w:rPr>
        <w:tab/>
        <w:t>In this Court’s view</w:t>
      </w:r>
      <w:r w:rsidR="00C05C06">
        <w:rPr>
          <w:rFonts w:ascii="Arial" w:hAnsi="Arial" w:cs="Arial"/>
          <w:sz w:val="24"/>
          <w:szCs w:val="24"/>
        </w:rPr>
        <w:t>,</w:t>
      </w:r>
      <w:r>
        <w:rPr>
          <w:rFonts w:ascii="Arial" w:hAnsi="Arial" w:cs="Arial"/>
          <w:sz w:val="24"/>
          <w:szCs w:val="24"/>
        </w:rPr>
        <w:t xml:space="preserve"> the agreement by the parties as to the extent of the retrospectivity of the refund of the tariffs, is correct. </w:t>
      </w:r>
      <w:r>
        <w:rPr>
          <w:rFonts w:ascii="Arial" w:hAnsi="Arial" w:cs="Arial"/>
          <w:color w:val="000000"/>
          <w:sz w:val="24"/>
          <w:szCs w:val="24"/>
        </w:rPr>
        <w:t>It would never have been just and equitable for the remedy sought by the Applicants, to reach all the way back into those periods (2020/2</w:t>
      </w:r>
      <w:r w:rsidR="009D37BA">
        <w:rPr>
          <w:rFonts w:ascii="Arial" w:hAnsi="Arial" w:cs="Arial"/>
          <w:color w:val="000000"/>
          <w:sz w:val="24"/>
          <w:szCs w:val="24"/>
        </w:rPr>
        <w:t>02</w:t>
      </w:r>
      <w:r>
        <w:rPr>
          <w:rFonts w:ascii="Arial" w:hAnsi="Arial" w:cs="Arial"/>
          <w:color w:val="000000"/>
          <w:sz w:val="24"/>
          <w:szCs w:val="24"/>
        </w:rPr>
        <w:t>1 tariff year and the tariffs thereafter) and result in the extraordinary potential for refunds that will cause calamity for the Municipality. Fundamentally, there was no basis to interfere with the 2020/2</w:t>
      </w:r>
      <w:r w:rsidR="00246EC0">
        <w:rPr>
          <w:rFonts w:ascii="Arial" w:hAnsi="Arial" w:cs="Arial"/>
          <w:color w:val="000000"/>
          <w:sz w:val="24"/>
          <w:szCs w:val="24"/>
        </w:rPr>
        <w:t>02</w:t>
      </w:r>
      <w:r>
        <w:rPr>
          <w:rFonts w:ascii="Arial" w:hAnsi="Arial" w:cs="Arial"/>
          <w:color w:val="000000"/>
          <w:sz w:val="24"/>
          <w:szCs w:val="24"/>
        </w:rPr>
        <w:t xml:space="preserve">1 tariff year and the tariffs thereafter, since there would be separate </w:t>
      </w:r>
      <w:r w:rsidR="00C05C06">
        <w:rPr>
          <w:rFonts w:ascii="Arial" w:hAnsi="Arial" w:cs="Arial"/>
          <w:color w:val="000000"/>
          <w:sz w:val="24"/>
          <w:szCs w:val="24"/>
        </w:rPr>
        <w:t>decisions, which</w:t>
      </w:r>
      <w:r>
        <w:rPr>
          <w:rFonts w:ascii="Arial" w:hAnsi="Arial" w:cs="Arial"/>
          <w:color w:val="000000"/>
          <w:sz w:val="24"/>
          <w:szCs w:val="24"/>
        </w:rPr>
        <w:t xml:space="preserve"> have not been challenged.</w:t>
      </w:r>
    </w:p>
    <w:p w:rsidR="00051889" w:rsidRPr="002A0F41" w:rsidRDefault="00051889"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sz w:val="24"/>
          <w:szCs w:val="24"/>
        </w:rPr>
      </w:pPr>
      <w:r>
        <w:rPr>
          <w:rFonts w:ascii="Arial" w:hAnsi="Arial" w:cs="Arial"/>
          <w:sz w:val="24"/>
          <w:szCs w:val="24"/>
        </w:rPr>
        <w:t>[144]</w:t>
      </w:r>
      <w:r>
        <w:rPr>
          <w:rFonts w:ascii="Arial" w:hAnsi="Arial" w:cs="Arial"/>
          <w:sz w:val="24"/>
          <w:szCs w:val="24"/>
        </w:rPr>
        <w:tab/>
        <w:t xml:space="preserve">This Court is in agreement that it is not for this Court to prescribe to NERSA what it must do when taking a tariff decision. This Court has clearly expressed itself in the judgment and has stated as </w:t>
      </w:r>
      <w:r w:rsidR="008478C7">
        <w:rPr>
          <w:rFonts w:ascii="Arial" w:hAnsi="Arial" w:cs="Arial"/>
          <w:sz w:val="24"/>
          <w:szCs w:val="24"/>
        </w:rPr>
        <w:t>s</w:t>
      </w:r>
      <w:r>
        <w:rPr>
          <w:rFonts w:ascii="Arial" w:hAnsi="Arial" w:cs="Arial"/>
          <w:sz w:val="24"/>
          <w:szCs w:val="24"/>
        </w:rPr>
        <w:t>uch what NERSA did that was wrong and what it needs to correct. It is therefore unnecessary for this Court to grant the relief that the Applicant</w:t>
      </w:r>
      <w:r w:rsidR="008478C7">
        <w:rPr>
          <w:rFonts w:ascii="Arial" w:hAnsi="Arial" w:cs="Arial"/>
          <w:sz w:val="24"/>
          <w:szCs w:val="24"/>
        </w:rPr>
        <w:t>s</w:t>
      </w:r>
      <w:r>
        <w:rPr>
          <w:rFonts w:ascii="Arial" w:hAnsi="Arial" w:cs="Arial"/>
          <w:sz w:val="24"/>
          <w:szCs w:val="24"/>
        </w:rPr>
        <w:t xml:space="preserve"> seek. </w:t>
      </w:r>
    </w:p>
    <w:p w:rsidR="00051889" w:rsidRDefault="00051889" w:rsidP="00FF0AC8">
      <w:pPr>
        <w:spacing w:after="0" w:line="360" w:lineRule="auto"/>
        <w:jc w:val="both"/>
        <w:rPr>
          <w:rFonts w:ascii="Arial" w:hAnsi="Arial" w:cs="Arial"/>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sz w:val="24"/>
          <w:szCs w:val="24"/>
        </w:rPr>
        <w:t>[145]</w:t>
      </w:r>
      <w:r>
        <w:rPr>
          <w:rFonts w:ascii="Arial" w:hAnsi="Arial" w:cs="Arial"/>
          <w:sz w:val="24"/>
          <w:szCs w:val="24"/>
        </w:rPr>
        <w:tab/>
        <w:t xml:space="preserve">The further argument by City Power that such an order will be remiss for lack of joinder to these proceedings of other role players, who might be impacted by such an order, is valid, as well. It is </w:t>
      </w:r>
      <w:r w:rsidR="002607C1">
        <w:rPr>
          <w:rFonts w:ascii="Arial" w:hAnsi="Arial" w:cs="Arial"/>
          <w:sz w:val="24"/>
          <w:szCs w:val="24"/>
        </w:rPr>
        <w:t>indeed,</w:t>
      </w:r>
      <w:r>
        <w:rPr>
          <w:rFonts w:ascii="Arial" w:hAnsi="Arial" w:cs="Arial"/>
          <w:sz w:val="24"/>
          <w:szCs w:val="24"/>
        </w:rPr>
        <w:t xml:space="preserve"> so that NERSA </w:t>
      </w:r>
      <w:r>
        <w:rPr>
          <w:rFonts w:ascii="Arial" w:hAnsi="Arial" w:cs="Arial"/>
          <w:color w:val="000000"/>
          <w:sz w:val="24"/>
          <w:szCs w:val="24"/>
        </w:rPr>
        <w:t>does not regulate the industry only as between City Power, the City of Johannesburg and the Applicants. NERSA can, also, not treat City Power differently from other municipalities when it comes to the determination of electricity tariffs. Whatever remedy is granted to the Applicants which would prescribe the manner in which NERSA should conduct itself when determining electricity tariffs, will have an impact on other municipal electricity distributors.</w:t>
      </w:r>
    </w:p>
    <w:p w:rsidR="00051889" w:rsidRDefault="00051889" w:rsidP="00FF0AC8">
      <w:pPr>
        <w:spacing w:after="0" w:line="360" w:lineRule="auto"/>
        <w:jc w:val="both"/>
        <w:rPr>
          <w:rFonts w:ascii="Arial" w:hAnsi="Arial" w:cs="Arial"/>
          <w:color w:val="000000"/>
          <w:sz w:val="24"/>
          <w:szCs w:val="24"/>
        </w:rPr>
      </w:pPr>
    </w:p>
    <w:p w:rsidR="007112AF" w:rsidRDefault="007112AF" w:rsidP="00FF0AC8">
      <w:pPr>
        <w:spacing w:after="0" w:line="360" w:lineRule="auto"/>
        <w:jc w:val="both"/>
        <w:rPr>
          <w:rFonts w:ascii="Arial" w:hAnsi="Arial" w:cs="Arial"/>
          <w:color w:val="000000"/>
          <w:sz w:val="24"/>
          <w:szCs w:val="24"/>
        </w:rPr>
      </w:pPr>
      <w:r>
        <w:rPr>
          <w:rFonts w:ascii="Arial" w:hAnsi="Arial" w:cs="Arial"/>
          <w:color w:val="000000"/>
          <w:sz w:val="24"/>
          <w:szCs w:val="24"/>
        </w:rPr>
        <w:lastRenderedPageBreak/>
        <w:t>[146]</w:t>
      </w:r>
      <w:r>
        <w:rPr>
          <w:rFonts w:ascii="Arial" w:hAnsi="Arial" w:cs="Arial"/>
          <w:color w:val="000000"/>
          <w:sz w:val="24"/>
          <w:szCs w:val="24"/>
        </w:rPr>
        <w:tab/>
        <w:t>It is this Court’s view that the remedy sought by the Applicants will definitely have an impact on other municipal electricity distributors and it will, consequently, not be just and equitable to grant such a remedy.  Under the circumstances, a just and equitable remedy, that this Court should grant, is that proposed by City Power.</w:t>
      </w:r>
    </w:p>
    <w:p w:rsidR="00051889" w:rsidRPr="00DB5013" w:rsidRDefault="00051889" w:rsidP="00FF0AC8">
      <w:pPr>
        <w:spacing w:after="0" w:line="360" w:lineRule="auto"/>
        <w:jc w:val="both"/>
        <w:rPr>
          <w:rFonts w:ascii="Arial" w:hAnsi="Arial" w:cs="Arial"/>
          <w:sz w:val="24"/>
          <w:szCs w:val="24"/>
        </w:rPr>
      </w:pPr>
    </w:p>
    <w:p w:rsidR="00DC798E" w:rsidRDefault="00DC798E" w:rsidP="00917D2E">
      <w:pPr>
        <w:tabs>
          <w:tab w:val="left" w:pos="0"/>
        </w:tabs>
        <w:spacing w:line="360" w:lineRule="auto"/>
        <w:jc w:val="both"/>
        <w:rPr>
          <w:rFonts w:ascii="Arial" w:hAnsi="Arial" w:cs="Arial"/>
          <w:b/>
          <w:sz w:val="24"/>
          <w:szCs w:val="24"/>
        </w:rPr>
      </w:pPr>
      <w:r w:rsidRPr="004D03DB">
        <w:rPr>
          <w:rFonts w:ascii="Arial" w:hAnsi="Arial" w:cs="Arial"/>
          <w:b/>
          <w:sz w:val="24"/>
          <w:szCs w:val="24"/>
        </w:rPr>
        <w:t>COSTS</w:t>
      </w:r>
    </w:p>
    <w:p w:rsidR="002C2D41" w:rsidRDefault="00AE6B78" w:rsidP="00FF0AC8">
      <w:pPr>
        <w:tabs>
          <w:tab w:val="left" w:pos="0"/>
        </w:tabs>
        <w:spacing w:after="0" w:line="360" w:lineRule="auto"/>
        <w:jc w:val="both"/>
        <w:rPr>
          <w:rFonts w:ascii="Arial" w:hAnsi="Arial" w:cs="Arial"/>
          <w:sz w:val="24"/>
          <w:szCs w:val="24"/>
        </w:rPr>
      </w:pPr>
      <w:r>
        <w:rPr>
          <w:rFonts w:ascii="Arial" w:hAnsi="Arial" w:cs="Arial"/>
          <w:sz w:val="24"/>
          <w:szCs w:val="24"/>
        </w:rPr>
        <w:t>[1</w:t>
      </w:r>
      <w:r w:rsidR="007112AF">
        <w:rPr>
          <w:rFonts w:ascii="Arial" w:hAnsi="Arial" w:cs="Arial"/>
          <w:sz w:val="24"/>
          <w:szCs w:val="24"/>
        </w:rPr>
        <w:t>47</w:t>
      </w:r>
      <w:r>
        <w:rPr>
          <w:rFonts w:ascii="Arial" w:hAnsi="Arial" w:cs="Arial"/>
          <w:sz w:val="24"/>
          <w:szCs w:val="24"/>
        </w:rPr>
        <w:t>]</w:t>
      </w:r>
      <w:r>
        <w:rPr>
          <w:rFonts w:ascii="Arial" w:hAnsi="Arial" w:cs="Arial"/>
          <w:sz w:val="24"/>
          <w:szCs w:val="24"/>
        </w:rPr>
        <w:tab/>
      </w:r>
      <w:r w:rsidR="002C2D41">
        <w:rPr>
          <w:rFonts w:ascii="Arial" w:hAnsi="Arial" w:cs="Arial"/>
          <w:sz w:val="24"/>
          <w:szCs w:val="24"/>
        </w:rPr>
        <w:t>The Applicants as the successful parties have prayed for a punitive cost order against NERSA on the basis of an alleged shifting case, and that such costs to include the costs of two counsel.</w:t>
      </w:r>
      <w:r w:rsidR="00573DA7">
        <w:rPr>
          <w:rFonts w:ascii="Arial" w:hAnsi="Arial" w:cs="Arial"/>
          <w:sz w:val="24"/>
          <w:szCs w:val="24"/>
        </w:rPr>
        <w:t xml:space="preserve"> They, also, prayed for costs against City Power.</w:t>
      </w:r>
    </w:p>
    <w:p w:rsidR="00051889" w:rsidRDefault="00051889" w:rsidP="00FF0AC8">
      <w:pPr>
        <w:tabs>
          <w:tab w:val="left" w:pos="0"/>
        </w:tabs>
        <w:spacing w:after="0" w:line="360" w:lineRule="auto"/>
        <w:jc w:val="both"/>
        <w:rPr>
          <w:rFonts w:ascii="Arial" w:hAnsi="Arial" w:cs="Arial"/>
          <w:sz w:val="24"/>
          <w:szCs w:val="24"/>
        </w:rPr>
      </w:pPr>
    </w:p>
    <w:p w:rsidR="002C2D41" w:rsidRDefault="007112AF" w:rsidP="00FF0AC8">
      <w:pPr>
        <w:tabs>
          <w:tab w:val="left" w:pos="0"/>
        </w:tabs>
        <w:spacing w:after="0" w:line="360" w:lineRule="auto"/>
        <w:jc w:val="both"/>
        <w:rPr>
          <w:rFonts w:ascii="Arial" w:hAnsi="Arial" w:cs="Arial"/>
          <w:sz w:val="24"/>
          <w:szCs w:val="24"/>
        </w:rPr>
      </w:pPr>
      <w:r>
        <w:rPr>
          <w:rFonts w:ascii="Arial" w:hAnsi="Arial" w:cs="Arial"/>
          <w:sz w:val="24"/>
          <w:szCs w:val="24"/>
        </w:rPr>
        <w:t>[148</w:t>
      </w:r>
      <w:r w:rsidR="00AE6B78">
        <w:rPr>
          <w:rFonts w:ascii="Arial" w:hAnsi="Arial" w:cs="Arial"/>
          <w:sz w:val="24"/>
          <w:szCs w:val="24"/>
        </w:rPr>
        <w:t>]</w:t>
      </w:r>
      <w:r w:rsidR="00AE6B78">
        <w:rPr>
          <w:rFonts w:ascii="Arial" w:hAnsi="Arial" w:cs="Arial"/>
          <w:sz w:val="24"/>
          <w:szCs w:val="24"/>
        </w:rPr>
        <w:tab/>
      </w:r>
      <w:r w:rsidR="002C2D41">
        <w:rPr>
          <w:rFonts w:ascii="Arial" w:hAnsi="Arial" w:cs="Arial"/>
          <w:sz w:val="24"/>
          <w:szCs w:val="24"/>
        </w:rPr>
        <w:t>It is the view of this Court that punitive costs against NERSA are not warranted in this matter. There is no eviden</w:t>
      </w:r>
      <w:r w:rsidR="00573DA7">
        <w:rPr>
          <w:rFonts w:ascii="Arial" w:hAnsi="Arial" w:cs="Arial"/>
          <w:sz w:val="24"/>
          <w:szCs w:val="24"/>
        </w:rPr>
        <w:t xml:space="preserve">ce, none was argued before this </w:t>
      </w:r>
      <w:r w:rsidR="002607C1">
        <w:rPr>
          <w:rFonts w:ascii="Arial" w:hAnsi="Arial" w:cs="Arial"/>
          <w:sz w:val="24"/>
          <w:szCs w:val="24"/>
        </w:rPr>
        <w:t>Court that</w:t>
      </w:r>
      <w:r w:rsidR="00573DA7">
        <w:rPr>
          <w:rFonts w:ascii="Arial" w:hAnsi="Arial" w:cs="Arial"/>
          <w:sz w:val="24"/>
          <w:szCs w:val="24"/>
        </w:rPr>
        <w:t xml:space="preserve"> established that NERSA</w:t>
      </w:r>
      <w:r w:rsidR="002C2D41">
        <w:rPr>
          <w:rFonts w:ascii="Arial" w:hAnsi="Arial" w:cs="Arial"/>
          <w:sz w:val="24"/>
          <w:szCs w:val="24"/>
        </w:rPr>
        <w:t xml:space="preserve"> was a vexatious or frivolous litigant in these proceedings</w:t>
      </w:r>
      <w:r w:rsidR="00573DA7">
        <w:rPr>
          <w:rFonts w:ascii="Arial" w:hAnsi="Arial" w:cs="Arial"/>
          <w:sz w:val="24"/>
          <w:szCs w:val="24"/>
        </w:rPr>
        <w:t>,</w:t>
      </w:r>
      <w:r w:rsidR="002C2D41">
        <w:rPr>
          <w:rFonts w:ascii="Arial" w:hAnsi="Arial" w:cs="Arial"/>
          <w:sz w:val="24"/>
          <w:szCs w:val="24"/>
        </w:rPr>
        <w:t xml:space="preserve"> warranting that it be mulcted with a punitive cost order.</w:t>
      </w:r>
    </w:p>
    <w:p w:rsidR="00051889" w:rsidRDefault="00051889" w:rsidP="00FF0AC8">
      <w:pPr>
        <w:tabs>
          <w:tab w:val="left" w:pos="0"/>
        </w:tabs>
        <w:spacing w:after="0" w:line="360" w:lineRule="auto"/>
        <w:jc w:val="both"/>
        <w:rPr>
          <w:rFonts w:ascii="Arial" w:hAnsi="Arial" w:cs="Arial"/>
          <w:sz w:val="24"/>
          <w:szCs w:val="24"/>
        </w:rPr>
      </w:pPr>
    </w:p>
    <w:p w:rsidR="00573DA7" w:rsidRDefault="007112AF" w:rsidP="00FF0AC8">
      <w:pPr>
        <w:tabs>
          <w:tab w:val="left" w:pos="0"/>
        </w:tabs>
        <w:spacing w:after="0" w:line="360" w:lineRule="auto"/>
        <w:jc w:val="both"/>
        <w:rPr>
          <w:rFonts w:ascii="Arial" w:hAnsi="Arial" w:cs="Arial"/>
          <w:sz w:val="24"/>
          <w:szCs w:val="24"/>
        </w:rPr>
      </w:pPr>
      <w:r>
        <w:rPr>
          <w:rFonts w:ascii="Arial" w:hAnsi="Arial" w:cs="Arial"/>
          <w:sz w:val="24"/>
          <w:szCs w:val="24"/>
        </w:rPr>
        <w:t>[149</w:t>
      </w:r>
      <w:r w:rsidR="00AE6B78">
        <w:rPr>
          <w:rFonts w:ascii="Arial" w:hAnsi="Arial" w:cs="Arial"/>
          <w:sz w:val="24"/>
          <w:szCs w:val="24"/>
        </w:rPr>
        <w:t>]</w:t>
      </w:r>
      <w:r w:rsidR="00AE6B78">
        <w:rPr>
          <w:rFonts w:ascii="Arial" w:hAnsi="Arial" w:cs="Arial"/>
          <w:sz w:val="24"/>
          <w:szCs w:val="24"/>
        </w:rPr>
        <w:tab/>
      </w:r>
      <w:r w:rsidR="002C2D41">
        <w:rPr>
          <w:rFonts w:ascii="Arial" w:hAnsi="Arial" w:cs="Arial"/>
          <w:sz w:val="24"/>
          <w:szCs w:val="24"/>
        </w:rPr>
        <w:t xml:space="preserve">This Court is in agreement that </w:t>
      </w:r>
      <w:r w:rsidR="00446954">
        <w:rPr>
          <w:rFonts w:ascii="Arial" w:hAnsi="Arial" w:cs="Arial"/>
          <w:sz w:val="24"/>
          <w:szCs w:val="24"/>
        </w:rPr>
        <w:t xml:space="preserve">the issues in this matter were complex and important to warrant the employment of two counsel – one senior and one junior. </w:t>
      </w:r>
    </w:p>
    <w:p w:rsidR="00051889" w:rsidRDefault="00051889" w:rsidP="00FF0AC8">
      <w:pPr>
        <w:tabs>
          <w:tab w:val="left" w:pos="0"/>
        </w:tabs>
        <w:spacing w:after="0" w:line="360" w:lineRule="auto"/>
        <w:jc w:val="both"/>
        <w:rPr>
          <w:rFonts w:ascii="Arial" w:hAnsi="Arial" w:cs="Arial"/>
          <w:sz w:val="24"/>
          <w:szCs w:val="24"/>
        </w:rPr>
      </w:pPr>
    </w:p>
    <w:p w:rsidR="002C2D41" w:rsidRDefault="007112AF" w:rsidP="00FF0AC8">
      <w:pPr>
        <w:tabs>
          <w:tab w:val="left" w:pos="0"/>
        </w:tabs>
        <w:spacing w:after="0" w:line="360" w:lineRule="auto"/>
        <w:jc w:val="both"/>
        <w:rPr>
          <w:rFonts w:ascii="Arial" w:hAnsi="Arial" w:cs="Arial"/>
          <w:sz w:val="24"/>
          <w:szCs w:val="24"/>
        </w:rPr>
      </w:pPr>
      <w:r>
        <w:rPr>
          <w:rFonts w:ascii="Arial" w:hAnsi="Arial" w:cs="Arial"/>
          <w:sz w:val="24"/>
          <w:szCs w:val="24"/>
        </w:rPr>
        <w:t>[150</w:t>
      </w:r>
      <w:r w:rsidR="00AE6B78">
        <w:rPr>
          <w:rFonts w:ascii="Arial" w:hAnsi="Arial" w:cs="Arial"/>
          <w:sz w:val="24"/>
          <w:szCs w:val="24"/>
        </w:rPr>
        <w:t>]</w:t>
      </w:r>
      <w:r w:rsidR="00AE6B78">
        <w:rPr>
          <w:rFonts w:ascii="Arial" w:hAnsi="Arial" w:cs="Arial"/>
          <w:sz w:val="24"/>
          <w:szCs w:val="24"/>
        </w:rPr>
        <w:tab/>
      </w:r>
      <w:r w:rsidR="00573DA7">
        <w:rPr>
          <w:rFonts w:ascii="Arial" w:hAnsi="Arial" w:cs="Arial"/>
          <w:sz w:val="24"/>
          <w:szCs w:val="24"/>
        </w:rPr>
        <w:t xml:space="preserve">Therefore, an order for costs on a party and party scale, inclusive of costs consequent upon the employment of two counsel, ought to be granted </w:t>
      </w:r>
      <w:r w:rsidR="001710A2">
        <w:rPr>
          <w:rFonts w:ascii="Arial" w:hAnsi="Arial" w:cs="Arial"/>
          <w:sz w:val="24"/>
          <w:szCs w:val="24"/>
        </w:rPr>
        <w:t xml:space="preserve">jointly and severally </w:t>
      </w:r>
      <w:r w:rsidR="00573DA7">
        <w:rPr>
          <w:rFonts w:ascii="Arial" w:hAnsi="Arial" w:cs="Arial"/>
          <w:sz w:val="24"/>
          <w:szCs w:val="24"/>
        </w:rPr>
        <w:t>against NERSA and City Power</w:t>
      </w:r>
      <w:r w:rsidR="001710A2">
        <w:rPr>
          <w:rFonts w:ascii="Arial" w:hAnsi="Arial" w:cs="Arial"/>
          <w:sz w:val="24"/>
          <w:szCs w:val="24"/>
        </w:rPr>
        <w:t>,</w:t>
      </w:r>
      <w:r w:rsidR="00573DA7">
        <w:rPr>
          <w:rFonts w:ascii="Arial" w:hAnsi="Arial" w:cs="Arial"/>
          <w:sz w:val="24"/>
          <w:szCs w:val="24"/>
        </w:rPr>
        <w:t xml:space="preserve"> in favour of the Applicants.  </w:t>
      </w:r>
    </w:p>
    <w:p w:rsidR="00917D2E" w:rsidRDefault="00917D2E" w:rsidP="00FF0AC8">
      <w:pPr>
        <w:tabs>
          <w:tab w:val="left" w:pos="0"/>
        </w:tabs>
        <w:spacing w:after="0" w:line="360" w:lineRule="auto"/>
        <w:jc w:val="both"/>
        <w:rPr>
          <w:rFonts w:ascii="Arial" w:hAnsi="Arial" w:cs="Arial"/>
          <w:b/>
          <w:sz w:val="24"/>
          <w:szCs w:val="24"/>
        </w:rPr>
      </w:pPr>
    </w:p>
    <w:p w:rsidR="008E6BD8" w:rsidRDefault="008E6BD8" w:rsidP="00FF0AC8">
      <w:pPr>
        <w:tabs>
          <w:tab w:val="left" w:pos="0"/>
        </w:tabs>
        <w:spacing w:after="0" w:line="360" w:lineRule="auto"/>
        <w:jc w:val="both"/>
        <w:rPr>
          <w:rFonts w:ascii="Arial" w:hAnsi="Arial" w:cs="Arial"/>
          <w:b/>
          <w:sz w:val="24"/>
          <w:szCs w:val="24"/>
        </w:rPr>
      </w:pPr>
    </w:p>
    <w:p w:rsidR="008E6BD8" w:rsidRDefault="008E6BD8" w:rsidP="00FF0AC8">
      <w:pPr>
        <w:tabs>
          <w:tab w:val="left" w:pos="0"/>
        </w:tabs>
        <w:spacing w:after="0" w:line="360" w:lineRule="auto"/>
        <w:jc w:val="both"/>
        <w:rPr>
          <w:rFonts w:ascii="Arial" w:hAnsi="Arial" w:cs="Arial"/>
          <w:b/>
          <w:sz w:val="24"/>
          <w:szCs w:val="24"/>
        </w:rPr>
      </w:pPr>
    </w:p>
    <w:p w:rsidR="008E6BD8" w:rsidRDefault="008E6BD8" w:rsidP="00FF0AC8">
      <w:pPr>
        <w:tabs>
          <w:tab w:val="left" w:pos="0"/>
        </w:tabs>
        <w:spacing w:after="0" w:line="360" w:lineRule="auto"/>
        <w:jc w:val="both"/>
        <w:rPr>
          <w:rFonts w:ascii="Arial" w:hAnsi="Arial" w:cs="Arial"/>
          <w:b/>
          <w:sz w:val="24"/>
          <w:szCs w:val="24"/>
        </w:rPr>
      </w:pPr>
    </w:p>
    <w:p w:rsidR="008E6BD8" w:rsidRDefault="008E6BD8" w:rsidP="00FF0AC8">
      <w:pPr>
        <w:tabs>
          <w:tab w:val="left" w:pos="0"/>
        </w:tabs>
        <w:spacing w:after="0" w:line="360" w:lineRule="auto"/>
        <w:jc w:val="both"/>
        <w:rPr>
          <w:rFonts w:ascii="Arial" w:hAnsi="Arial" w:cs="Arial"/>
          <w:b/>
          <w:sz w:val="24"/>
          <w:szCs w:val="24"/>
        </w:rPr>
      </w:pPr>
    </w:p>
    <w:p w:rsidR="008E6BD8" w:rsidRDefault="008E6BD8" w:rsidP="00FF0AC8">
      <w:pPr>
        <w:tabs>
          <w:tab w:val="left" w:pos="0"/>
        </w:tabs>
        <w:spacing w:after="0" w:line="360" w:lineRule="auto"/>
        <w:jc w:val="both"/>
        <w:rPr>
          <w:rFonts w:ascii="Arial" w:hAnsi="Arial" w:cs="Arial"/>
          <w:b/>
          <w:sz w:val="24"/>
          <w:szCs w:val="24"/>
        </w:rPr>
      </w:pPr>
    </w:p>
    <w:p w:rsidR="00C41BBC" w:rsidRDefault="00C41BBC" w:rsidP="00917D2E">
      <w:pPr>
        <w:tabs>
          <w:tab w:val="left" w:pos="0"/>
        </w:tabs>
        <w:spacing w:line="360" w:lineRule="auto"/>
        <w:jc w:val="both"/>
        <w:rPr>
          <w:rFonts w:ascii="Arial" w:hAnsi="Arial" w:cs="Arial"/>
          <w:b/>
          <w:sz w:val="24"/>
          <w:szCs w:val="24"/>
        </w:rPr>
      </w:pPr>
      <w:r w:rsidRPr="004D03DB">
        <w:rPr>
          <w:rFonts w:ascii="Arial" w:hAnsi="Arial" w:cs="Arial"/>
          <w:b/>
          <w:sz w:val="24"/>
          <w:szCs w:val="24"/>
        </w:rPr>
        <w:lastRenderedPageBreak/>
        <w:t>THE ORDER</w:t>
      </w:r>
    </w:p>
    <w:p w:rsidR="00AE6B78" w:rsidRDefault="007112AF" w:rsidP="00917D2E">
      <w:pPr>
        <w:tabs>
          <w:tab w:val="left" w:pos="0"/>
        </w:tabs>
        <w:spacing w:line="360" w:lineRule="auto"/>
        <w:jc w:val="both"/>
        <w:rPr>
          <w:rFonts w:ascii="Arial" w:hAnsi="Arial" w:cs="Arial"/>
          <w:sz w:val="24"/>
          <w:szCs w:val="24"/>
        </w:rPr>
      </w:pPr>
      <w:r>
        <w:rPr>
          <w:rFonts w:ascii="Arial" w:hAnsi="Arial" w:cs="Arial"/>
          <w:sz w:val="24"/>
          <w:szCs w:val="24"/>
        </w:rPr>
        <w:t>[151</w:t>
      </w:r>
      <w:r w:rsidR="00DC798E">
        <w:rPr>
          <w:rFonts w:ascii="Arial" w:hAnsi="Arial" w:cs="Arial"/>
          <w:sz w:val="24"/>
          <w:szCs w:val="24"/>
        </w:rPr>
        <w:t>]</w:t>
      </w:r>
      <w:r w:rsidR="00DC798E">
        <w:rPr>
          <w:rFonts w:ascii="Arial" w:hAnsi="Arial" w:cs="Arial"/>
          <w:sz w:val="24"/>
          <w:szCs w:val="24"/>
        </w:rPr>
        <w:tab/>
      </w:r>
      <w:r w:rsidR="00AE6B78">
        <w:rPr>
          <w:rFonts w:ascii="Arial" w:hAnsi="Arial" w:cs="Arial"/>
          <w:sz w:val="24"/>
          <w:szCs w:val="24"/>
        </w:rPr>
        <w:t>The following order is made</w:t>
      </w:r>
    </w:p>
    <w:p w:rsidR="00AE6B78" w:rsidRDefault="00AE6B78" w:rsidP="00917D2E">
      <w:pPr>
        <w:tabs>
          <w:tab w:val="left" w:pos="0"/>
        </w:tabs>
        <w:spacing w:line="360" w:lineRule="auto"/>
        <w:jc w:val="both"/>
        <w:rPr>
          <w:rFonts w:ascii="Arial" w:hAnsi="Arial" w:cs="Arial"/>
          <w:sz w:val="24"/>
          <w:szCs w:val="24"/>
        </w:rPr>
      </w:pPr>
      <w:r>
        <w:rPr>
          <w:rFonts w:ascii="Arial" w:hAnsi="Arial" w:cs="Arial"/>
          <w:sz w:val="24"/>
          <w:szCs w:val="24"/>
        </w:rPr>
        <w:tab/>
        <w:t>1.</w:t>
      </w:r>
      <w:r>
        <w:rPr>
          <w:rFonts w:ascii="Arial" w:hAnsi="Arial" w:cs="Arial"/>
          <w:sz w:val="24"/>
          <w:szCs w:val="24"/>
        </w:rPr>
        <w:tab/>
      </w:r>
      <w:r w:rsidR="00C41BBC">
        <w:rPr>
          <w:rFonts w:ascii="Arial" w:hAnsi="Arial" w:cs="Arial"/>
          <w:sz w:val="24"/>
          <w:szCs w:val="24"/>
        </w:rPr>
        <w:t xml:space="preserve">The application is </w:t>
      </w:r>
      <w:r>
        <w:rPr>
          <w:rFonts w:ascii="Arial" w:hAnsi="Arial" w:cs="Arial"/>
          <w:sz w:val="24"/>
          <w:szCs w:val="24"/>
        </w:rPr>
        <w:t>granted.</w:t>
      </w:r>
    </w:p>
    <w:p w:rsidR="00AE6B78" w:rsidRDefault="00C6375B" w:rsidP="00C6375B">
      <w:pPr>
        <w:tabs>
          <w:tab w:val="left" w:pos="0"/>
        </w:tabs>
        <w:spacing w:after="0" w:line="360" w:lineRule="auto"/>
        <w:ind w:left="1440" w:hanging="1440"/>
        <w:jc w:val="both"/>
        <w:rPr>
          <w:rFonts w:ascii="Arial" w:hAnsi="Arial" w:cs="Arial"/>
          <w:sz w:val="24"/>
          <w:szCs w:val="24"/>
        </w:rPr>
      </w:pPr>
      <w:r>
        <w:rPr>
          <w:rFonts w:ascii="Arial" w:hAnsi="Arial" w:cs="Arial"/>
          <w:sz w:val="24"/>
          <w:szCs w:val="24"/>
        </w:rPr>
        <w:t xml:space="preserve">           </w:t>
      </w:r>
      <w:r w:rsidR="00AE6B78">
        <w:rPr>
          <w:rFonts w:ascii="Arial" w:hAnsi="Arial" w:cs="Arial"/>
          <w:sz w:val="24"/>
          <w:szCs w:val="24"/>
        </w:rPr>
        <w:t>2.</w:t>
      </w:r>
      <w:r w:rsidR="00AE6B78">
        <w:rPr>
          <w:rFonts w:ascii="Arial" w:hAnsi="Arial" w:cs="Arial"/>
          <w:sz w:val="24"/>
          <w:szCs w:val="24"/>
        </w:rPr>
        <w:tab/>
        <w:t xml:space="preserve">The Draft Order </w:t>
      </w:r>
      <w:r>
        <w:rPr>
          <w:rFonts w:ascii="Arial" w:hAnsi="Arial" w:cs="Arial"/>
          <w:sz w:val="24"/>
          <w:szCs w:val="24"/>
        </w:rPr>
        <w:t xml:space="preserve">annexed to this judgment </w:t>
      </w:r>
      <w:r w:rsidR="00AE6B78">
        <w:rPr>
          <w:rFonts w:ascii="Arial" w:hAnsi="Arial" w:cs="Arial"/>
          <w:sz w:val="24"/>
          <w:szCs w:val="24"/>
        </w:rPr>
        <w:t>is made an order of Court.</w:t>
      </w:r>
    </w:p>
    <w:p w:rsidR="001378CE" w:rsidRDefault="001378CE" w:rsidP="00FF0AC8">
      <w:pPr>
        <w:spacing w:after="0" w:line="360" w:lineRule="auto"/>
        <w:rPr>
          <w:rFonts w:ascii="Arial" w:hAnsi="Arial" w:cs="Arial"/>
          <w:sz w:val="24"/>
          <w:szCs w:val="24"/>
        </w:rPr>
      </w:pPr>
    </w:p>
    <w:p w:rsidR="00016C83" w:rsidRDefault="00016C83" w:rsidP="00FF0AC8">
      <w:pPr>
        <w:spacing w:after="0" w:line="360" w:lineRule="auto"/>
        <w:rPr>
          <w:rFonts w:ascii="Arial" w:hAnsi="Arial" w:cs="Arial"/>
          <w:sz w:val="24"/>
          <w:szCs w:val="24"/>
        </w:rPr>
      </w:pPr>
    </w:p>
    <w:p w:rsidR="00AE6B78" w:rsidRPr="0042321E" w:rsidRDefault="00AE6B78" w:rsidP="00FF0AC8">
      <w:pPr>
        <w:spacing w:after="0" w:line="360" w:lineRule="auto"/>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AE6B78" w:rsidRPr="0042321E" w:rsidRDefault="00AE6B78" w:rsidP="00917D2E">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AE6B78" w:rsidRPr="0042321E" w:rsidRDefault="00AE6B78" w:rsidP="00917D2E">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AE6B78" w:rsidRPr="00C953E8" w:rsidRDefault="00AE6B78" w:rsidP="00917D2E">
      <w:pPr>
        <w:spacing w:after="0" w:line="240" w:lineRule="auto"/>
        <w:jc w:val="right"/>
        <w:rPr>
          <w:rFonts w:ascii="Segoe UI" w:hAnsi="Segoe UI" w:cs="Segoe UI"/>
          <w:b/>
          <w:sz w:val="24"/>
          <w:szCs w:val="24"/>
        </w:rPr>
      </w:pPr>
      <w:r w:rsidRPr="0042321E">
        <w:rPr>
          <w:rFonts w:ascii="Segoe UI" w:hAnsi="Segoe UI" w:cs="Segoe UI"/>
          <w:b/>
          <w:sz w:val="24"/>
          <w:szCs w:val="24"/>
        </w:rPr>
        <w:t>GAUTENG DIVISION, PRETORIA</w:t>
      </w:r>
    </w:p>
    <w:p w:rsidR="00AE6B78" w:rsidRDefault="00AE6B78" w:rsidP="00FF0AC8">
      <w:pPr>
        <w:spacing w:after="0" w:line="360" w:lineRule="auto"/>
        <w:jc w:val="both"/>
        <w:rPr>
          <w:rFonts w:ascii="Arial" w:hAnsi="Arial" w:cs="Arial"/>
          <w:color w:val="000000"/>
          <w:sz w:val="24"/>
          <w:szCs w:val="24"/>
          <w:u w:val="single"/>
        </w:rPr>
      </w:pPr>
    </w:p>
    <w:p w:rsidR="00F5094F" w:rsidRDefault="00F5094F" w:rsidP="00FF0AC8">
      <w:pPr>
        <w:spacing w:after="0" w:line="360" w:lineRule="auto"/>
        <w:jc w:val="both"/>
        <w:rPr>
          <w:rFonts w:ascii="Arial" w:hAnsi="Arial" w:cs="Arial"/>
          <w:color w:val="000000"/>
          <w:sz w:val="24"/>
          <w:szCs w:val="24"/>
          <w:u w:val="single"/>
        </w:rPr>
      </w:pPr>
    </w:p>
    <w:p w:rsidR="00016C83" w:rsidRPr="001378CE" w:rsidRDefault="00016C83" w:rsidP="00FF0AC8">
      <w:pPr>
        <w:spacing w:after="0" w:line="360" w:lineRule="auto"/>
        <w:jc w:val="both"/>
        <w:rPr>
          <w:rFonts w:ascii="Arial" w:hAnsi="Arial" w:cs="Arial"/>
          <w:color w:val="000000"/>
          <w:sz w:val="24"/>
          <w:szCs w:val="24"/>
        </w:rPr>
      </w:pPr>
      <w:r w:rsidRPr="001378CE">
        <w:rPr>
          <w:rFonts w:ascii="Arial" w:hAnsi="Arial" w:cs="Arial"/>
          <w:color w:val="000000"/>
          <w:sz w:val="24"/>
          <w:szCs w:val="24"/>
        </w:rPr>
        <w:t xml:space="preserve">Delivered:  </w:t>
      </w:r>
      <w:r w:rsidRPr="001378CE">
        <w:rPr>
          <w:rFonts w:ascii="Arial" w:hAnsi="Arial" w:cs="Arial"/>
          <w:color w:val="000000"/>
          <w:sz w:val="24"/>
          <w:szCs w:val="24"/>
        </w:rPr>
        <w:tab/>
        <w:t>This judgment was handed down electronically by circulation to the parties’ legal representatives by e-mail. The date and time for hand</w:t>
      </w:r>
      <w:r w:rsidR="00917D2E">
        <w:rPr>
          <w:rFonts w:ascii="Arial" w:hAnsi="Arial" w:cs="Arial"/>
          <w:color w:val="000000"/>
          <w:sz w:val="24"/>
          <w:szCs w:val="24"/>
        </w:rPr>
        <w:t xml:space="preserve">-down is deemed to be 10h00 on 25 </w:t>
      </w:r>
      <w:r w:rsidRPr="001378CE">
        <w:rPr>
          <w:rFonts w:ascii="Arial" w:hAnsi="Arial" w:cs="Arial"/>
          <w:color w:val="000000"/>
          <w:sz w:val="24"/>
          <w:szCs w:val="24"/>
        </w:rPr>
        <w:t>November 2022.</w:t>
      </w:r>
    </w:p>
    <w:p w:rsidR="00917D2E" w:rsidRDefault="00917D2E" w:rsidP="00FF0AC8">
      <w:pPr>
        <w:spacing w:after="0" w:line="360" w:lineRule="auto"/>
        <w:jc w:val="both"/>
        <w:rPr>
          <w:rFonts w:ascii="Arial" w:hAnsi="Arial" w:cs="Arial"/>
          <w:color w:val="000000"/>
          <w:sz w:val="24"/>
          <w:szCs w:val="24"/>
          <w:u w:val="single"/>
        </w:rPr>
      </w:pPr>
    </w:p>
    <w:p w:rsidR="00AE6B78" w:rsidRPr="001378CE" w:rsidRDefault="00AE6B78" w:rsidP="00FF0AC8">
      <w:pPr>
        <w:spacing w:after="0" w:line="360" w:lineRule="auto"/>
        <w:jc w:val="both"/>
        <w:rPr>
          <w:rFonts w:ascii="Arial" w:hAnsi="Arial" w:cs="Arial"/>
          <w:b/>
          <w:color w:val="000000"/>
          <w:sz w:val="24"/>
          <w:szCs w:val="20"/>
        </w:rPr>
      </w:pPr>
      <w:r w:rsidRPr="001378CE">
        <w:rPr>
          <w:rFonts w:ascii="Arial" w:hAnsi="Arial" w:cs="Arial"/>
          <w:b/>
          <w:color w:val="000000"/>
          <w:sz w:val="24"/>
          <w:szCs w:val="20"/>
          <w:u w:val="single"/>
        </w:rPr>
        <w:t>APPEARANCES</w:t>
      </w:r>
      <w:r w:rsidRPr="001378CE">
        <w:rPr>
          <w:rFonts w:ascii="Arial" w:hAnsi="Arial" w:cs="Arial"/>
          <w:b/>
          <w:color w:val="000000"/>
          <w:sz w:val="24"/>
          <w:szCs w:val="20"/>
        </w:rPr>
        <w:t>:</w:t>
      </w:r>
    </w:p>
    <w:p w:rsidR="00AE6B78" w:rsidRPr="001378CE" w:rsidRDefault="00AE6B78"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APPLICANTS’ COUNSEL:</w:t>
      </w:r>
      <w:r w:rsidRPr="001378CE">
        <w:rPr>
          <w:rFonts w:ascii="Arial" w:hAnsi="Arial" w:cs="Arial"/>
          <w:sz w:val="24"/>
          <w:szCs w:val="20"/>
        </w:rPr>
        <w:tab/>
      </w:r>
      <w:r w:rsidRPr="001378CE">
        <w:rPr>
          <w:rFonts w:ascii="Arial" w:hAnsi="Arial" w:cs="Arial"/>
          <w:sz w:val="24"/>
          <w:szCs w:val="20"/>
        </w:rPr>
        <w:tab/>
      </w:r>
      <w:r w:rsidR="007112AF" w:rsidRPr="001378CE">
        <w:rPr>
          <w:rFonts w:ascii="Arial" w:hAnsi="Arial" w:cs="Arial"/>
          <w:sz w:val="24"/>
          <w:szCs w:val="20"/>
        </w:rPr>
        <w:tab/>
        <w:t xml:space="preserve"> ADV.</w:t>
      </w:r>
      <w:r w:rsidRPr="001378CE">
        <w:rPr>
          <w:rFonts w:ascii="Arial" w:hAnsi="Arial" w:cs="Arial"/>
          <w:sz w:val="24"/>
          <w:szCs w:val="20"/>
        </w:rPr>
        <w:t xml:space="preserve"> M CHASKALSON SC</w:t>
      </w:r>
    </w:p>
    <w:p w:rsidR="00AE6B78" w:rsidRPr="001378CE" w:rsidRDefault="00AE6B78"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007112AF" w:rsidRPr="001378CE">
        <w:rPr>
          <w:rFonts w:ascii="Arial" w:hAnsi="Arial" w:cs="Arial"/>
          <w:sz w:val="24"/>
          <w:szCs w:val="20"/>
        </w:rPr>
        <w:t xml:space="preserve"> </w:t>
      </w:r>
      <w:r w:rsidRPr="001378CE">
        <w:rPr>
          <w:rFonts w:ascii="Arial" w:hAnsi="Arial" w:cs="Arial"/>
          <w:sz w:val="24"/>
          <w:szCs w:val="20"/>
        </w:rPr>
        <w:t>ADV. S PUDIFIN-JONES</w:t>
      </w:r>
    </w:p>
    <w:p w:rsidR="00AE6B78" w:rsidRPr="001378CE" w:rsidRDefault="00AE6B78"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APPLICANTS’ ATTORNEYS:</w:t>
      </w:r>
      <w:r w:rsidRPr="001378CE">
        <w:rPr>
          <w:rFonts w:ascii="Arial" w:hAnsi="Arial" w:cs="Arial"/>
          <w:sz w:val="24"/>
          <w:szCs w:val="20"/>
        </w:rPr>
        <w:tab/>
      </w:r>
      <w:r w:rsidRPr="001378CE">
        <w:rPr>
          <w:rFonts w:ascii="Arial" w:hAnsi="Arial" w:cs="Arial"/>
          <w:sz w:val="24"/>
          <w:szCs w:val="20"/>
        </w:rPr>
        <w:tab/>
      </w:r>
      <w:r w:rsidR="007112AF" w:rsidRPr="001378CE">
        <w:rPr>
          <w:rFonts w:ascii="Arial" w:hAnsi="Arial" w:cs="Arial"/>
          <w:sz w:val="24"/>
          <w:szCs w:val="20"/>
        </w:rPr>
        <w:t xml:space="preserve"> </w:t>
      </w:r>
      <w:r w:rsidRPr="001378CE">
        <w:rPr>
          <w:rFonts w:ascii="Arial" w:hAnsi="Arial" w:cs="Arial"/>
          <w:sz w:val="24"/>
          <w:szCs w:val="20"/>
        </w:rPr>
        <w:t>JOUBERT</w:t>
      </w:r>
      <w:r w:rsidR="00B3050E">
        <w:rPr>
          <w:rFonts w:ascii="Arial" w:hAnsi="Arial" w:cs="Arial"/>
          <w:sz w:val="24"/>
          <w:szCs w:val="20"/>
        </w:rPr>
        <w:t> </w:t>
      </w:r>
      <w:r w:rsidRPr="001378CE">
        <w:rPr>
          <w:rFonts w:ascii="Arial" w:hAnsi="Arial" w:cs="Arial"/>
          <w:sz w:val="24"/>
          <w:szCs w:val="20"/>
        </w:rPr>
        <w:t>GALPIN SEARLE INC</w:t>
      </w:r>
    </w:p>
    <w:p w:rsidR="00AE6B78" w:rsidRPr="001378CE" w:rsidRDefault="007112AF"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FIRST RESPONDENT’S COUNSEL:</w:t>
      </w:r>
      <w:r w:rsidRPr="001378CE">
        <w:rPr>
          <w:rFonts w:ascii="Arial" w:hAnsi="Arial" w:cs="Arial"/>
          <w:sz w:val="24"/>
          <w:szCs w:val="20"/>
        </w:rPr>
        <w:tab/>
      </w:r>
      <w:r w:rsidR="00B3050E">
        <w:rPr>
          <w:rFonts w:ascii="Arial" w:hAnsi="Arial" w:cs="Arial"/>
          <w:sz w:val="24"/>
          <w:szCs w:val="20"/>
        </w:rPr>
        <w:t xml:space="preserve"> </w:t>
      </w:r>
      <w:r w:rsidR="00AE6B78" w:rsidRPr="001378CE">
        <w:rPr>
          <w:rFonts w:ascii="Arial" w:hAnsi="Arial" w:cs="Arial"/>
          <w:sz w:val="24"/>
          <w:szCs w:val="20"/>
        </w:rPr>
        <w:t>ADV. P MOKOENA SC</w:t>
      </w:r>
    </w:p>
    <w:p w:rsidR="00B3050E" w:rsidRPr="001378CE" w:rsidRDefault="00AE6B78"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007112AF" w:rsidRPr="001378CE">
        <w:rPr>
          <w:rFonts w:ascii="Arial" w:hAnsi="Arial" w:cs="Arial"/>
          <w:sz w:val="24"/>
          <w:szCs w:val="20"/>
        </w:rPr>
        <w:t xml:space="preserve"> </w:t>
      </w:r>
      <w:r w:rsidRPr="001378CE">
        <w:rPr>
          <w:rFonts w:ascii="Arial" w:hAnsi="Arial" w:cs="Arial"/>
          <w:sz w:val="24"/>
          <w:szCs w:val="20"/>
        </w:rPr>
        <w:t>ADV. P MANAGA</w:t>
      </w:r>
    </w:p>
    <w:p w:rsidR="00AE6B78" w:rsidRPr="001378CE" w:rsidRDefault="007112AF" w:rsidP="00B3050E">
      <w:pPr>
        <w:tabs>
          <w:tab w:val="left" w:pos="0"/>
        </w:tabs>
        <w:spacing w:after="0" w:line="360" w:lineRule="auto"/>
        <w:ind w:left="4395" w:hanging="4395"/>
        <w:jc w:val="both"/>
        <w:rPr>
          <w:rFonts w:ascii="Arial" w:hAnsi="Arial" w:cs="Arial"/>
          <w:sz w:val="24"/>
          <w:szCs w:val="20"/>
        </w:rPr>
      </w:pPr>
      <w:r w:rsidRPr="001378CE">
        <w:rPr>
          <w:rFonts w:ascii="Arial" w:hAnsi="Arial" w:cs="Arial"/>
          <w:sz w:val="24"/>
          <w:szCs w:val="20"/>
        </w:rPr>
        <w:t>FIRST RESPONDENT ATTORNEYS:</w:t>
      </w:r>
      <w:r w:rsidR="00B3050E">
        <w:rPr>
          <w:rFonts w:ascii="Arial" w:hAnsi="Arial" w:cs="Arial"/>
          <w:sz w:val="24"/>
          <w:szCs w:val="20"/>
        </w:rPr>
        <w:tab/>
      </w:r>
      <w:r w:rsidRPr="001378CE">
        <w:rPr>
          <w:rFonts w:ascii="Arial" w:hAnsi="Arial" w:cs="Arial"/>
          <w:sz w:val="24"/>
          <w:szCs w:val="20"/>
        </w:rPr>
        <w:t xml:space="preserve">CHEADLE </w:t>
      </w:r>
      <w:r w:rsidR="00AE6B78" w:rsidRPr="001378CE">
        <w:rPr>
          <w:rFonts w:ascii="Arial" w:hAnsi="Arial" w:cs="Arial"/>
          <w:sz w:val="24"/>
          <w:szCs w:val="20"/>
        </w:rPr>
        <w:t>THOMPSON &amp; HAYSOM INC</w:t>
      </w:r>
    </w:p>
    <w:p w:rsidR="00B3050E" w:rsidRDefault="00AE6B78"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 xml:space="preserve">SECOND &amp; THIRD RESPONDENTS’ </w:t>
      </w:r>
    </w:p>
    <w:p w:rsidR="00AE6B78" w:rsidRPr="001378CE" w:rsidRDefault="00AE6B78" w:rsidP="00B3050E">
      <w:pPr>
        <w:tabs>
          <w:tab w:val="left" w:pos="0"/>
          <w:tab w:val="right" w:pos="4253"/>
        </w:tabs>
        <w:spacing w:after="0" w:line="360" w:lineRule="auto"/>
        <w:jc w:val="both"/>
        <w:rPr>
          <w:rFonts w:ascii="Arial" w:hAnsi="Arial" w:cs="Arial"/>
          <w:sz w:val="24"/>
          <w:szCs w:val="20"/>
        </w:rPr>
      </w:pPr>
      <w:r w:rsidRPr="001378CE">
        <w:rPr>
          <w:rFonts w:ascii="Arial" w:hAnsi="Arial" w:cs="Arial"/>
          <w:sz w:val="24"/>
          <w:szCs w:val="20"/>
        </w:rPr>
        <w:t xml:space="preserve">COUNSEL: </w:t>
      </w:r>
      <w:r w:rsidR="00B3050E">
        <w:rPr>
          <w:rFonts w:ascii="Arial" w:hAnsi="Arial" w:cs="Arial"/>
          <w:sz w:val="24"/>
          <w:szCs w:val="20"/>
        </w:rPr>
        <w:tab/>
      </w:r>
      <w:r w:rsidR="00B3050E">
        <w:rPr>
          <w:rFonts w:ascii="Arial" w:hAnsi="Arial" w:cs="Arial"/>
          <w:sz w:val="24"/>
          <w:szCs w:val="20"/>
        </w:rPr>
        <w:tab/>
        <w:t xml:space="preserve"> </w:t>
      </w:r>
      <w:r w:rsidRPr="001378CE">
        <w:rPr>
          <w:rFonts w:ascii="Arial" w:hAnsi="Arial" w:cs="Arial"/>
          <w:sz w:val="24"/>
          <w:szCs w:val="20"/>
        </w:rPr>
        <w:t>ADV. S BUDLENDER SC</w:t>
      </w:r>
    </w:p>
    <w:p w:rsidR="00AE6B78" w:rsidRPr="001378CE" w:rsidRDefault="007112AF" w:rsidP="00FF0AC8">
      <w:pPr>
        <w:tabs>
          <w:tab w:val="left" w:pos="0"/>
        </w:tabs>
        <w:spacing w:after="0" w:line="360" w:lineRule="auto"/>
        <w:jc w:val="both"/>
        <w:rPr>
          <w:rFonts w:ascii="Arial" w:hAnsi="Arial" w:cs="Arial"/>
          <w:sz w:val="24"/>
          <w:szCs w:val="20"/>
        </w:rPr>
      </w:pP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r>
      <w:r w:rsidRPr="001378CE">
        <w:rPr>
          <w:rFonts w:ascii="Arial" w:hAnsi="Arial" w:cs="Arial"/>
          <w:sz w:val="24"/>
          <w:szCs w:val="20"/>
        </w:rPr>
        <w:tab/>
        <w:t xml:space="preserve">          </w:t>
      </w:r>
      <w:r w:rsidR="00B3050E">
        <w:rPr>
          <w:rFonts w:ascii="Arial" w:hAnsi="Arial" w:cs="Arial"/>
          <w:sz w:val="24"/>
          <w:szCs w:val="20"/>
        </w:rPr>
        <w:t xml:space="preserve">  </w:t>
      </w:r>
      <w:r w:rsidR="00AE6B78" w:rsidRPr="001378CE">
        <w:rPr>
          <w:rFonts w:ascii="Arial" w:hAnsi="Arial" w:cs="Arial"/>
          <w:sz w:val="24"/>
          <w:szCs w:val="20"/>
        </w:rPr>
        <w:t>ADV. P NGCONCO</w:t>
      </w:r>
    </w:p>
    <w:p w:rsidR="00AE6B78" w:rsidRDefault="00AE6B78" w:rsidP="00B3050E">
      <w:pPr>
        <w:spacing w:after="0" w:line="360" w:lineRule="auto"/>
        <w:ind w:left="4395" w:hanging="4395"/>
        <w:jc w:val="both"/>
        <w:rPr>
          <w:rFonts w:ascii="Arial" w:hAnsi="Arial" w:cs="Arial"/>
          <w:sz w:val="24"/>
          <w:szCs w:val="20"/>
        </w:rPr>
      </w:pPr>
      <w:r w:rsidRPr="001378CE">
        <w:rPr>
          <w:rFonts w:ascii="Arial" w:hAnsi="Arial" w:cs="Arial"/>
          <w:sz w:val="24"/>
          <w:szCs w:val="20"/>
        </w:rPr>
        <w:t>SECOND &amp; THIRD RESPONDENTS’ ATTORNEYS: EDWARD NATHAN SONNENBERGS INC</w:t>
      </w:r>
      <w:r w:rsidR="007112AF" w:rsidRPr="001378CE">
        <w:rPr>
          <w:rFonts w:ascii="Arial" w:hAnsi="Arial" w:cs="Arial"/>
          <w:sz w:val="24"/>
          <w:szCs w:val="20"/>
        </w:rPr>
        <w:t xml:space="preserve">      </w:t>
      </w:r>
    </w:p>
    <w:p w:rsidR="008E6BD8" w:rsidRDefault="008E6BD8" w:rsidP="008E6BD8">
      <w:pPr>
        <w:spacing w:after="0" w:line="240" w:lineRule="auto"/>
        <w:jc w:val="center"/>
        <w:rPr>
          <w:rFonts w:ascii="Arial" w:hAnsi="Arial" w:cs="Arial"/>
          <w:b/>
        </w:rPr>
      </w:pPr>
      <w:r>
        <w:rPr>
          <w:noProof/>
          <w:lang w:val="en-US"/>
        </w:rPr>
        <w:lastRenderedPageBreak/>
        <w:drawing>
          <wp:anchor distT="0" distB="0" distL="114300" distR="114300" simplePos="0" relativeHeight="251662336" behindDoc="0" locked="0" layoutInCell="1" allowOverlap="1" wp14:anchorId="11D98E7F" wp14:editId="623C6012">
            <wp:simplePos x="0" y="0"/>
            <wp:positionH relativeFrom="margin">
              <wp:posOffset>2047240</wp:posOffset>
            </wp:positionH>
            <wp:positionV relativeFrom="paragraph">
              <wp:posOffset>-1038225</wp:posOffset>
            </wp:positionV>
            <wp:extent cx="1162050" cy="1189990"/>
            <wp:effectExtent l="0" t="0" r="0" b="0"/>
            <wp:wrapNone/>
            <wp:docPr id="2" name="Picture 2"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8E6BD8" w:rsidRDefault="008E6BD8" w:rsidP="008E6BD8">
      <w:pPr>
        <w:spacing w:after="0" w:line="240" w:lineRule="auto"/>
        <w:jc w:val="center"/>
        <w:rPr>
          <w:rFonts w:ascii="Arial" w:hAnsi="Arial" w:cs="Arial"/>
          <w:b/>
        </w:rPr>
      </w:pPr>
    </w:p>
    <w:p w:rsidR="008E6BD8" w:rsidRDefault="008E6BD8" w:rsidP="008E6BD8">
      <w:pPr>
        <w:spacing w:after="0" w:line="240" w:lineRule="auto"/>
        <w:jc w:val="center"/>
        <w:rPr>
          <w:rFonts w:ascii="Arial" w:eastAsia="Times New Roman" w:hAnsi="Arial" w:cs="Arial"/>
          <w:b/>
          <w:lang w:eastAsia="en-GB"/>
        </w:rPr>
      </w:pPr>
      <w:r>
        <w:rPr>
          <w:rFonts w:ascii="Arial" w:eastAsia="Times New Roman" w:hAnsi="Arial" w:cs="Arial"/>
          <w:b/>
          <w:lang w:eastAsia="en-GB"/>
        </w:rPr>
        <w:t>IN THE HIGH COURT OF SOUTH AFRICA</w:t>
      </w:r>
    </w:p>
    <w:p w:rsidR="008E6BD8" w:rsidRDefault="008E6BD8" w:rsidP="008E6BD8">
      <w:pPr>
        <w:spacing w:after="0" w:line="240" w:lineRule="auto"/>
        <w:jc w:val="center"/>
        <w:rPr>
          <w:rFonts w:ascii="Arial" w:eastAsia="Times New Roman" w:hAnsi="Arial" w:cs="Arial"/>
          <w:b/>
          <w:lang w:eastAsia="en-GB"/>
        </w:rPr>
      </w:pPr>
    </w:p>
    <w:p w:rsidR="008E6BD8" w:rsidRDefault="008E6BD8" w:rsidP="008E6BD8">
      <w:pPr>
        <w:spacing w:after="0" w:line="240" w:lineRule="auto"/>
        <w:jc w:val="center"/>
        <w:rPr>
          <w:rFonts w:ascii="Arial" w:eastAsia="Times New Roman" w:hAnsi="Arial" w:cs="Arial"/>
          <w:b/>
          <w:lang w:eastAsia="en-GB"/>
        </w:rPr>
      </w:pPr>
      <w:r>
        <w:rPr>
          <w:rFonts w:ascii="Arial" w:eastAsia="Times New Roman" w:hAnsi="Arial" w:cs="Arial"/>
          <w:b/>
          <w:lang w:eastAsia="en-GB"/>
        </w:rPr>
        <w:t>(GAUTENG DIVISION, PRETORIA)</w:t>
      </w:r>
    </w:p>
    <w:p w:rsidR="008E6BD8" w:rsidRDefault="008E6BD8" w:rsidP="008E6BD8">
      <w:pPr>
        <w:spacing w:after="0" w:line="240" w:lineRule="auto"/>
        <w:rPr>
          <w:rFonts w:ascii="Arial" w:eastAsia="Times New Roman" w:hAnsi="Arial" w:cs="Arial"/>
          <w:b/>
          <w:sz w:val="20"/>
          <w:szCs w:val="20"/>
          <w:lang w:eastAsia="en-GB"/>
        </w:rPr>
      </w:pPr>
    </w:p>
    <w:p w:rsidR="008E6BD8" w:rsidRPr="00B51125" w:rsidRDefault="008E6BD8" w:rsidP="008E6BD8">
      <w:pPr>
        <w:spacing w:line="480" w:lineRule="auto"/>
        <w:jc w:val="right"/>
        <w:rPr>
          <w:rFonts w:ascii="Arial" w:hAnsi="Arial" w:cs="Arial"/>
          <w:color w:val="000000"/>
          <w:sz w:val="24"/>
          <w:szCs w:val="24"/>
        </w:rPr>
      </w:pPr>
      <w:r>
        <w:rPr>
          <w:rFonts w:ascii="Arial" w:eastAsia="Calibri" w:hAnsi="Arial" w:cs="Arial"/>
          <w:b/>
        </w:rPr>
        <w:t xml:space="preserve">                    Case Number</w:t>
      </w:r>
      <w:r>
        <w:rPr>
          <w:rFonts w:ascii="Arial" w:eastAsia="Calibri" w:hAnsi="Arial" w:cs="Arial"/>
        </w:rPr>
        <w:t xml:space="preserve">: </w:t>
      </w:r>
      <w:r>
        <w:rPr>
          <w:rFonts w:ascii="Arial" w:eastAsia="Calibri" w:hAnsi="Arial" w:cs="Arial"/>
          <w:noProof/>
        </w:rPr>
        <w:t>92792/2019</w:t>
      </w:r>
    </w:p>
    <w:p w:rsidR="008E6BD8" w:rsidRPr="00FD7ED8" w:rsidRDefault="008E6BD8" w:rsidP="008E6BD8">
      <w:pPr>
        <w:pStyle w:val="NormalWeb"/>
        <w:spacing w:line="360" w:lineRule="auto"/>
        <w:rPr>
          <w:rFonts w:ascii="Arial" w:eastAsia="Calibri" w:hAnsi="Arial" w:cs="Arial"/>
          <w:b/>
        </w:rPr>
      </w:pPr>
      <w:r w:rsidRPr="00FD7ED8">
        <w:rPr>
          <w:rFonts w:ascii="Arial" w:hAnsi="Arial" w:cs="Arial"/>
        </w:rPr>
        <w:t xml:space="preserve">In the matter between: </w:t>
      </w:r>
    </w:p>
    <w:p w:rsidR="008E6BD8" w:rsidRPr="00FD7ED8" w:rsidRDefault="008E6BD8" w:rsidP="008E6BD8">
      <w:pPr>
        <w:rPr>
          <w:rFonts w:ascii="Arial" w:hAnsi="Arial" w:cs="Arial"/>
          <w:sz w:val="24"/>
          <w:szCs w:val="24"/>
        </w:rPr>
      </w:pPr>
      <w:r w:rsidRPr="00FD7ED8">
        <w:rPr>
          <w:rFonts w:ascii="Arial" w:hAnsi="Arial" w:cs="Arial"/>
          <w:sz w:val="24"/>
          <w:szCs w:val="24"/>
        </w:rPr>
        <w:t>CASTING, FORGING AND MACHINING                                                                 CLUSTER OF SOUTH AFRI</w:t>
      </w:r>
      <w:r>
        <w:rPr>
          <w:rFonts w:ascii="Arial" w:hAnsi="Arial" w:cs="Arial"/>
          <w:sz w:val="24"/>
          <w:szCs w:val="24"/>
        </w:rPr>
        <w:t>CA (NPC)</w:t>
      </w:r>
      <w:r>
        <w:rPr>
          <w:rFonts w:ascii="Arial" w:hAnsi="Arial" w:cs="Arial"/>
          <w:sz w:val="24"/>
          <w:szCs w:val="24"/>
        </w:rPr>
        <w:tab/>
      </w:r>
      <w:r>
        <w:rPr>
          <w:rFonts w:ascii="Arial" w:hAnsi="Arial" w:cs="Arial"/>
          <w:sz w:val="24"/>
          <w:szCs w:val="24"/>
        </w:rPr>
        <w:tab/>
      </w:r>
      <w:r>
        <w:rPr>
          <w:rFonts w:ascii="Arial" w:hAnsi="Arial" w:cs="Arial"/>
          <w:sz w:val="24"/>
          <w:szCs w:val="24"/>
        </w:rPr>
        <w:tab/>
      </w:r>
      <w:r w:rsidRPr="00FD7ED8">
        <w:rPr>
          <w:rFonts w:ascii="Arial" w:hAnsi="Arial" w:cs="Arial"/>
          <w:sz w:val="24"/>
          <w:szCs w:val="24"/>
        </w:rPr>
        <w:t>FIRST APPLICANT</w:t>
      </w:r>
    </w:p>
    <w:p w:rsidR="008E6BD8" w:rsidRPr="00FD7ED8" w:rsidRDefault="008E6BD8" w:rsidP="008E6BD8">
      <w:pPr>
        <w:rPr>
          <w:rFonts w:ascii="Arial" w:hAnsi="Arial" w:cs="Arial"/>
          <w:sz w:val="24"/>
          <w:szCs w:val="24"/>
        </w:rPr>
      </w:pPr>
      <w:r>
        <w:rPr>
          <w:rFonts w:ascii="Arial" w:hAnsi="Arial" w:cs="Arial"/>
          <w:sz w:val="24"/>
          <w:szCs w:val="24"/>
        </w:rPr>
        <w:t>SCAW SOUTH AFRICA (PTY) LTD</w:t>
      </w:r>
      <w:r>
        <w:rPr>
          <w:rFonts w:ascii="Arial" w:hAnsi="Arial" w:cs="Arial"/>
          <w:sz w:val="24"/>
          <w:szCs w:val="24"/>
        </w:rPr>
        <w:tab/>
      </w:r>
      <w:r>
        <w:rPr>
          <w:rFonts w:ascii="Arial" w:hAnsi="Arial" w:cs="Arial"/>
          <w:sz w:val="24"/>
          <w:szCs w:val="24"/>
        </w:rPr>
        <w:tab/>
      </w:r>
      <w:r>
        <w:rPr>
          <w:rFonts w:ascii="Arial" w:hAnsi="Arial" w:cs="Arial"/>
          <w:sz w:val="24"/>
          <w:szCs w:val="24"/>
        </w:rPr>
        <w:tab/>
      </w:r>
      <w:r w:rsidRPr="00FD7ED8">
        <w:rPr>
          <w:rFonts w:ascii="Arial" w:hAnsi="Arial" w:cs="Arial"/>
          <w:sz w:val="24"/>
          <w:szCs w:val="24"/>
        </w:rPr>
        <w:t>SECOND APPLICANT</w:t>
      </w:r>
    </w:p>
    <w:p w:rsidR="008E6BD8" w:rsidRPr="00FD7ED8" w:rsidRDefault="008E6BD8" w:rsidP="008E6BD8">
      <w:pPr>
        <w:rPr>
          <w:rFonts w:ascii="Arial" w:hAnsi="Arial" w:cs="Arial"/>
          <w:sz w:val="24"/>
          <w:szCs w:val="24"/>
        </w:rPr>
      </w:pPr>
      <w:r>
        <w:rPr>
          <w:rFonts w:ascii="Arial" w:hAnsi="Arial" w:cs="Arial"/>
          <w:sz w:val="24"/>
          <w:szCs w:val="24"/>
        </w:rPr>
        <w:t>DUNROSE TRADING 57 (PTY) LTD</w:t>
      </w:r>
      <w:r>
        <w:rPr>
          <w:rFonts w:ascii="Arial" w:hAnsi="Arial" w:cs="Arial"/>
          <w:sz w:val="24"/>
          <w:szCs w:val="24"/>
        </w:rPr>
        <w:tab/>
      </w:r>
      <w:r>
        <w:rPr>
          <w:rFonts w:ascii="Arial" w:hAnsi="Arial" w:cs="Arial"/>
          <w:sz w:val="24"/>
          <w:szCs w:val="24"/>
        </w:rPr>
        <w:tab/>
      </w:r>
      <w:r>
        <w:rPr>
          <w:rFonts w:ascii="Arial" w:hAnsi="Arial" w:cs="Arial"/>
          <w:sz w:val="24"/>
          <w:szCs w:val="24"/>
        </w:rPr>
        <w:tab/>
      </w:r>
      <w:r w:rsidRPr="00FD7ED8">
        <w:rPr>
          <w:rFonts w:ascii="Arial" w:hAnsi="Arial" w:cs="Arial"/>
          <w:sz w:val="24"/>
          <w:szCs w:val="24"/>
        </w:rPr>
        <w:t>THIRD APPLICANT</w:t>
      </w:r>
    </w:p>
    <w:p w:rsidR="008E6BD8" w:rsidRPr="00FD7ED8" w:rsidRDefault="008E6BD8" w:rsidP="008E6BD8">
      <w:pPr>
        <w:rPr>
          <w:rFonts w:ascii="Arial" w:hAnsi="Arial" w:cs="Arial"/>
          <w:sz w:val="24"/>
          <w:szCs w:val="24"/>
        </w:rPr>
      </w:pPr>
      <w:r w:rsidRPr="00FD7ED8">
        <w:rPr>
          <w:rFonts w:ascii="Arial" w:hAnsi="Arial" w:cs="Arial"/>
          <w:sz w:val="24"/>
          <w:szCs w:val="24"/>
        </w:rPr>
        <w:t>INTERNATIONAL WIRE CONVERTORS (PTY) LTD</w:t>
      </w:r>
      <w:r w:rsidRPr="00FD7ED8">
        <w:rPr>
          <w:rFonts w:ascii="Arial" w:hAnsi="Arial" w:cs="Arial"/>
          <w:sz w:val="24"/>
          <w:szCs w:val="24"/>
        </w:rPr>
        <w:tab/>
        <w:t>FOURTH APPLICANT</w:t>
      </w:r>
    </w:p>
    <w:p w:rsidR="008E6BD8" w:rsidRPr="00FD7ED8" w:rsidRDefault="008E6BD8" w:rsidP="008E6BD8">
      <w:pPr>
        <w:rPr>
          <w:rFonts w:ascii="Arial" w:hAnsi="Arial" w:cs="Arial"/>
          <w:sz w:val="24"/>
          <w:szCs w:val="24"/>
        </w:rPr>
      </w:pPr>
      <w:r w:rsidRPr="00FD7ED8">
        <w:rPr>
          <w:rFonts w:ascii="Arial" w:hAnsi="Arial" w:cs="Arial"/>
          <w:sz w:val="24"/>
          <w:szCs w:val="24"/>
        </w:rPr>
        <w:t>ABRACON PROPERTY 1 (PTY) LTD</w:t>
      </w:r>
      <w:r w:rsidRPr="00FD7ED8">
        <w:rPr>
          <w:rFonts w:ascii="Arial" w:hAnsi="Arial" w:cs="Arial"/>
          <w:sz w:val="24"/>
          <w:szCs w:val="24"/>
        </w:rPr>
        <w:tab/>
      </w:r>
      <w:r w:rsidRPr="00FD7ED8">
        <w:rPr>
          <w:rFonts w:ascii="Arial" w:hAnsi="Arial" w:cs="Arial"/>
          <w:sz w:val="24"/>
          <w:szCs w:val="24"/>
        </w:rPr>
        <w:tab/>
      </w:r>
      <w:r w:rsidRPr="00FD7ED8">
        <w:rPr>
          <w:rFonts w:ascii="Arial" w:hAnsi="Arial" w:cs="Arial"/>
          <w:sz w:val="24"/>
          <w:szCs w:val="24"/>
        </w:rPr>
        <w:tab/>
        <w:t>FIFTH APPLICANT</w:t>
      </w:r>
      <w:r w:rsidRPr="00FD7ED8">
        <w:rPr>
          <w:rFonts w:ascii="Arial" w:hAnsi="Arial" w:cs="Arial"/>
          <w:sz w:val="24"/>
          <w:szCs w:val="24"/>
        </w:rPr>
        <w:tab/>
      </w:r>
      <w:r w:rsidRPr="00FD7ED8">
        <w:rPr>
          <w:rFonts w:ascii="Arial" w:hAnsi="Arial" w:cs="Arial"/>
          <w:sz w:val="24"/>
          <w:szCs w:val="24"/>
        </w:rPr>
        <w:tab/>
      </w:r>
    </w:p>
    <w:p w:rsidR="008E6BD8" w:rsidRPr="00FD7ED8" w:rsidRDefault="008E6BD8" w:rsidP="008E6BD8">
      <w:pPr>
        <w:rPr>
          <w:rFonts w:ascii="Arial" w:hAnsi="Arial" w:cs="Arial"/>
          <w:sz w:val="24"/>
          <w:szCs w:val="24"/>
        </w:rPr>
      </w:pPr>
      <w:r w:rsidRPr="00FD7ED8">
        <w:rPr>
          <w:rFonts w:ascii="Arial" w:hAnsi="Arial" w:cs="Arial"/>
          <w:sz w:val="24"/>
          <w:szCs w:val="24"/>
        </w:rPr>
        <w:t xml:space="preserve">and       </w:t>
      </w:r>
    </w:p>
    <w:p w:rsidR="008E6BD8" w:rsidRPr="00FD7ED8" w:rsidRDefault="008E6BD8" w:rsidP="008E6BD8">
      <w:pPr>
        <w:rPr>
          <w:rFonts w:ascii="Arial" w:hAnsi="Arial" w:cs="Arial"/>
          <w:sz w:val="24"/>
          <w:szCs w:val="24"/>
        </w:rPr>
      </w:pPr>
    </w:p>
    <w:p w:rsidR="008E6BD8" w:rsidRPr="00FD7ED8" w:rsidRDefault="008E6BD8" w:rsidP="008E6BD8">
      <w:pPr>
        <w:rPr>
          <w:rFonts w:ascii="Arial" w:hAnsi="Arial" w:cs="Arial"/>
          <w:sz w:val="24"/>
          <w:szCs w:val="24"/>
        </w:rPr>
      </w:pPr>
      <w:r w:rsidRPr="00FD7ED8">
        <w:rPr>
          <w:rFonts w:ascii="Arial" w:hAnsi="Arial" w:cs="Arial"/>
          <w:sz w:val="24"/>
          <w:szCs w:val="24"/>
        </w:rPr>
        <w:t>NATIONAL ENERG</w:t>
      </w:r>
      <w:r>
        <w:rPr>
          <w:rFonts w:ascii="Arial" w:hAnsi="Arial" w:cs="Arial"/>
          <w:sz w:val="24"/>
          <w:szCs w:val="24"/>
        </w:rPr>
        <w:t>Y REGULATOR OF SA</w:t>
      </w:r>
      <w:r>
        <w:rPr>
          <w:rFonts w:ascii="Arial" w:hAnsi="Arial" w:cs="Arial"/>
          <w:sz w:val="24"/>
          <w:szCs w:val="24"/>
        </w:rPr>
        <w:tab/>
      </w:r>
      <w:r>
        <w:rPr>
          <w:rFonts w:ascii="Arial" w:hAnsi="Arial" w:cs="Arial"/>
          <w:sz w:val="24"/>
          <w:szCs w:val="24"/>
        </w:rPr>
        <w:tab/>
      </w:r>
      <w:r w:rsidRPr="00FD7ED8">
        <w:rPr>
          <w:rFonts w:ascii="Arial" w:hAnsi="Arial" w:cs="Arial"/>
          <w:sz w:val="24"/>
          <w:szCs w:val="24"/>
        </w:rPr>
        <w:t>FIRST RESPONDENT</w:t>
      </w:r>
    </w:p>
    <w:p w:rsidR="008E6BD8" w:rsidRPr="00FD7ED8" w:rsidRDefault="008E6BD8" w:rsidP="008E6BD8">
      <w:pPr>
        <w:tabs>
          <w:tab w:val="right" w:pos="8222"/>
        </w:tabs>
        <w:rPr>
          <w:rFonts w:ascii="Arial" w:hAnsi="Arial" w:cs="Arial"/>
          <w:sz w:val="24"/>
          <w:szCs w:val="24"/>
        </w:rPr>
      </w:pPr>
      <w:r>
        <w:rPr>
          <w:rFonts w:ascii="Arial" w:hAnsi="Arial" w:cs="Arial"/>
          <w:sz w:val="24"/>
          <w:szCs w:val="24"/>
        </w:rPr>
        <w:t>CITY POWER SOC LTD</w:t>
      </w:r>
      <w:r>
        <w:rPr>
          <w:rFonts w:ascii="Arial" w:hAnsi="Arial" w:cs="Arial"/>
          <w:sz w:val="24"/>
          <w:szCs w:val="24"/>
        </w:rPr>
        <w:tab/>
      </w:r>
      <w:r w:rsidRPr="00FD7ED8">
        <w:rPr>
          <w:rFonts w:ascii="Arial" w:hAnsi="Arial" w:cs="Arial"/>
          <w:sz w:val="24"/>
          <w:szCs w:val="24"/>
        </w:rPr>
        <w:t xml:space="preserve">SECOND RESPONDENT </w:t>
      </w:r>
    </w:p>
    <w:p w:rsidR="008E6BD8" w:rsidRDefault="008E6BD8" w:rsidP="008E6BD8">
      <w:pPr>
        <w:spacing w:line="480" w:lineRule="auto"/>
        <w:jc w:val="both"/>
        <w:rPr>
          <w:rFonts w:ascii="Arial" w:hAnsi="Arial" w:cs="Arial"/>
          <w:sz w:val="24"/>
          <w:szCs w:val="24"/>
        </w:rPr>
      </w:pPr>
      <w:r w:rsidRPr="00FD7ED8">
        <w:rPr>
          <w:rFonts w:ascii="Arial" w:hAnsi="Arial" w:cs="Arial"/>
          <w:sz w:val="24"/>
          <w:szCs w:val="24"/>
        </w:rPr>
        <w:t>CITY OF JOHANNESBURG</w:t>
      </w:r>
      <w:r w:rsidRPr="00FD7ED8">
        <w:rPr>
          <w:rFonts w:ascii="Arial" w:hAnsi="Arial" w:cs="Arial"/>
          <w:sz w:val="24"/>
          <w:szCs w:val="24"/>
        </w:rPr>
        <w:tab/>
      </w:r>
      <w:r w:rsidRPr="00FD7ED8">
        <w:rPr>
          <w:rFonts w:ascii="Arial" w:hAnsi="Arial" w:cs="Arial"/>
          <w:sz w:val="24"/>
          <w:szCs w:val="24"/>
        </w:rPr>
        <w:tab/>
      </w:r>
      <w:r w:rsidRPr="00FD7ED8">
        <w:rPr>
          <w:rFonts w:ascii="Arial" w:hAnsi="Arial" w:cs="Arial"/>
          <w:sz w:val="24"/>
          <w:szCs w:val="24"/>
        </w:rPr>
        <w:tab/>
      </w:r>
      <w:r w:rsidRPr="00FD7ED8">
        <w:rPr>
          <w:rFonts w:ascii="Arial" w:hAnsi="Arial" w:cs="Arial"/>
          <w:sz w:val="24"/>
          <w:szCs w:val="24"/>
        </w:rPr>
        <w:tab/>
      </w:r>
      <w:r w:rsidRPr="00FD7ED8">
        <w:rPr>
          <w:rFonts w:ascii="Arial" w:hAnsi="Arial" w:cs="Arial"/>
          <w:sz w:val="24"/>
          <w:szCs w:val="24"/>
        </w:rPr>
        <w:tab/>
      </w:r>
      <w:r w:rsidRPr="00FD7ED8">
        <w:rPr>
          <w:rFonts w:ascii="Arial" w:hAnsi="Arial" w:cs="Arial"/>
          <w:sz w:val="24"/>
          <w:szCs w:val="24"/>
        </w:rPr>
        <w:tab/>
        <w:t xml:space="preserve">  </w:t>
      </w:r>
      <w:r>
        <w:rPr>
          <w:rFonts w:ascii="Arial" w:hAnsi="Arial" w:cs="Arial"/>
          <w:sz w:val="24"/>
          <w:szCs w:val="24"/>
        </w:rPr>
        <w:t xml:space="preserve">   METROPOLITAN MUNICIPALITY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FD7ED8">
        <w:rPr>
          <w:rFonts w:ascii="Arial" w:hAnsi="Arial" w:cs="Arial"/>
          <w:sz w:val="24"/>
          <w:szCs w:val="24"/>
        </w:rPr>
        <w:t>THIRD RESPONDENT</w:t>
      </w:r>
    </w:p>
    <w:p w:rsidR="008E6BD8" w:rsidRDefault="008E6BD8" w:rsidP="008E6BD8">
      <w:pPr>
        <w:spacing w:line="480" w:lineRule="auto"/>
        <w:jc w:val="both"/>
        <w:rPr>
          <w:rFonts w:ascii="Arial" w:hAnsi="Arial" w:cs="Arial"/>
          <w:sz w:val="24"/>
          <w:szCs w:val="24"/>
        </w:rPr>
      </w:pPr>
    </w:p>
    <w:p w:rsidR="008E6BD8" w:rsidRDefault="008E6BD8" w:rsidP="008E6BD8">
      <w:pPr>
        <w:spacing w:line="480" w:lineRule="auto"/>
        <w:jc w:val="both"/>
        <w:rPr>
          <w:rFonts w:ascii="Arial" w:hAnsi="Arial" w:cs="Arial"/>
        </w:rPr>
      </w:pPr>
      <w:r>
        <w:rPr>
          <w:rFonts w:ascii="Arial" w:hAnsi="Arial" w:cs="Arial"/>
        </w:rPr>
        <w:t xml:space="preserve">This Order is made an Order of Court by the Judge whose name is reflected herein, duly stamped by the Registrar of the Court and submitted electronically to the Parties/their legal representatives by email. This Order is further uploaded on </w:t>
      </w:r>
      <w:proofErr w:type="spellStart"/>
      <w:r>
        <w:rPr>
          <w:rFonts w:ascii="Arial" w:hAnsi="Arial" w:cs="Arial"/>
        </w:rPr>
        <w:t>Caselines</w:t>
      </w:r>
      <w:proofErr w:type="spellEnd"/>
      <w:r>
        <w:rPr>
          <w:rFonts w:ascii="Arial" w:hAnsi="Arial" w:cs="Arial"/>
        </w:rPr>
        <w:t xml:space="preserve"> by the Judge’s secretary. The date of this Order is deemed to </w:t>
      </w:r>
      <w:proofErr w:type="gramStart"/>
      <w:r>
        <w:rPr>
          <w:rFonts w:ascii="Arial" w:hAnsi="Arial" w:cs="Arial"/>
        </w:rPr>
        <w:t xml:space="preserve">be  </w:t>
      </w:r>
      <w:r w:rsidR="003C1063">
        <w:rPr>
          <w:rFonts w:ascii="Arial" w:hAnsi="Arial" w:cs="Arial"/>
        </w:rPr>
        <w:t>25</w:t>
      </w:r>
      <w:proofErr w:type="gramEnd"/>
      <w:r w:rsidR="003C1063">
        <w:rPr>
          <w:rFonts w:ascii="Arial" w:hAnsi="Arial" w:cs="Arial"/>
        </w:rPr>
        <w:t xml:space="preserve"> </w:t>
      </w:r>
      <w:r>
        <w:rPr>
          <w:rFonts w:ascii="Arial" w:hAnsi="Arial" w:cs="Arial"/>
        </w:rPr>
        <w:t>November 2022.</w:t>
      </w:r>
    </w:p>
    <w:p w:rsidR="008E6BD8" w:rsidRDefault="008E6BD8" w:rsidP="008E6BD8">
      <w:pPr>
        <w:spacing w:line="480" w:lineRule="auto"/>
        <w:jc w:val="both"/>
        <w:rPr>
          <w:rFonts w:ascii="Arial" w:hAnsi="Arial" w:cs="Arial"/>
        </w:rPr>
      </w:pPr>
    </w:p>
    <w:p w:rsidR="008E6BD8" w:rsidRPr="00B51125" w:rsidRDefault="008E6BD8" w:rsidP="008E6BD8">
      <w:pPr>
        <w:spacing w:line="480" w:lineRule="auto"/>
        <w:jc w:val="both"/>
        <w:rPr>
          <w:rFonts w:ascii="Arial" w:hAnsi="Arial" w:cs="Arial"/>
          <w:color w:val="000000"/>
          <w:sz w:val="24"/>
          <w:szCs w:val="24"/>
        </w:rPr>
      </w:pPr>
      <w:r>
        <w:rPr>
          <w:rFonts w:ascii="Arial" w:hAnsi="Arial" w:cs="Arial"/>
        </w:rPr>
        <w:lastRenderedPageBreak/>
        <w:t>__________________________________________________________________</w:t>
      </w:r>
    </w:p>
    <w:p w:rsidR="008E6BD8" w:rsidRDefault="008E6BD8" w:rsidP="008E6BD8">
      <w:pPr>
        <w:spacing w:line="480" w:lineRule="auto"/>
        <w:jc w:val="center"/>
        <w:rPr>
          <w:rFonts w:ascii="Arial" w:hAnsi="Arial" w:cs="Arial"/>
          <w:b/>
          <w:color w:val="000000"/>
          <w:sz w:val="24"/>
          <w:szCs w:val="24"/>
        </w:rPr>
      </w:pPr>
      <w:r w:rsidRPr="00B51125">
        <w:rPr>
          <w:rFonts w:ascii="Arial" w:hAnsi="Arial" w:cs="Arial"/>
          <w:b/>
          <w:color w:val="000000"/>
          <w:sz w:val="24"/>
          <w:szCs w:val="24"/>
        </w:rPr>
        <w:t>COURT ORDER</w:t>
      </w:r>
    </w:p>
    <w:p w:rsidR="008E6BD8" w:rsidRPr="00B51125" w:rsidRDefault="008E6BD8" w:rsidP="008E6BD8">
      <w:pPr>
        <w:spacing w:line="480" w:lineRule="auto"/>
        <w:rPr>
          <w:rFonts w:ascii="Arial" w:hAnsi="Arial" w:cs="Arial"/>
          <w:b/>
          <w:color w:val="000000"/>
          <w:sz w:val="24"/>
          <w:szCs w:val="24"/>
        </w:rPr>
      </w:pPr>
      <w:r>
        <w:rPr>
          <w:rFonts w:ascii="Arial" w:hAnsi="Arial" w:cs="Arial"/>
          <w:b/>
          <w:color w:val="000000"/>
          <w:sz w:val="24"/>
          <w:szCs w:val="24"/>
        </w:rPr>
        <w:t>____________________________________________________________</w:t>
      </w:r>
    </w:p>
    <w:p w:rsidR="008E6BD8" w:rsidRPr="00B51125" w:rsidRDefault="008E6BD8" w:rsidP="008E6BD8">
      <w:pPr>
        <w:spacing w:line="480" w:lineRule="auto"/>
        <w:jc w:val="both"/>
        <w:rPr>
          <w:rFonts w:ascii="Arial" w:hAnsi="Arial" w:cs="Arial"/>
          <w:color w:val="000000"/>
          <w:sz w:val="24"/>
          <w:szCs w:val="24"/>
        </w:rPr>
      </w:pPr>
    </w:p>
    <w:p w:rsidR="008E6BD8" w:rsidRPr="00B51125" w:rsidRDefault="008E6BD8" w:rsidP="008E6BD8">
      <w:pPr>
        <w:spacing w:line="480" w:lineRule="auto"/>
        <w:ind w:left="720" w:hanging="720"/>
        <w:jc w:val="both"/>
        <w:rPr>
          <w:rFonts w:ascii="Arial" w:hAnsi="Arial" w:cs="Arial"/>
          <w:color w:val="000000"/>
          <w:sz w:val="24"/>
          <w:szCs w:val="24"/>
        </w:rPr>
      </w:pPr>
      <w:r w:rsidRPr="00B51125">
        <w:rPr>
          <w:rFonts w:ascii="Arial" w:hAnsi="Arial" w:cs="Arial"/>
          <w:color w:val="000000"/>
          <w:sz w:val="24"/>
          <w:szCs w:val="24"/>
        </w:rPr>
        <w:t xml:space="preserve">1. </w:t>
      </w:r>
      <w:r w:rsidRPr="00B51125">
        <w:rPr>
          <w:rFonts w:ascii="Arial" w:hAnsi="Arial" w:cs="Arial"/>
          <w:color w:val="000000"/>
          <w:sz w:val="24"/>
          <w:szCs w:val="24"/>
        </w:rPr>
        <w:tab/>
        <w:t>The decision of the First Respondent, published on the First Respondent's website on or about 16 August 2019 (with retrospective effect to 1 July 2019), to approve an electricity tariff for the Second Respondent for the 2019/2020 tariff year ("the tariff decision"), is reviewed and set aside.</w:t>
      </w:r>
    </w:p>
    <w:p w:rsidR="008E6BD8" w:rsidRPr="00B51125" w:rsidRDefault="008E6BD8" w:rsidP="008E6BD8">
      <w:pPr>
        <w:spacing w:line="480" w:lineRule="auto"/>
        <w:ind w:left="720" w:hanging="720"/>
        <w:jc w:val="both"/>
        <w:rPr>
          <w:rFonts w:ascii="Arial" w:hAnsi="Arial" w:cs="Arial"/>
          <w:color w:val="000000"/>
          <w:sz w:val="24"/>
          <w:szCs w:val="24"/>
        </w:rPr>
      </w:pPr>
      <w:r w:rsidRPr="00B51125">
        <w:rPr>
          <w:rFonts w:ascii="Arial" w:hAnsi="Arial" w:cs="Arial"/>
          <w:color w:val="000000"/>
          <w:sz w:val="24"/>
          <w:szCs w:val="24"/>
        </w:rPr>
        <w:t xml:space="preserve">2. </w:t>
      </w:r>
      <w:r w:rsidRPr="00B51125">
        <w:rPr>
          <w:rFonts w:ascii="Arial" w:hAnsi="Arial" w:cs="Arial"/>
          <w:color w:val="000000"/>
          <w:sz w:val="24"/>
          <w:szCs w:val="24"/>
        </w:rPr>
        <w:tab/>
        <w:t xml:space="preserve">Save to the extent set out in paragraph 3 below, the order in paragraph 1 shall not have any retrospective effect and shall not affect any amounts that became due to the Second/Third Respondents pursuant to the tariff decision. </w:t>
      </w:r>
    </w:p>
    <w:p w:rsidR="008E6BD8" w:rsidRPr="00B51125" w:rsidRDefault="008E6BD8" w:rsidP="008E6BD8">
      <w:pPr>
        <w:spacing w:line="480" w:lineRule="auto"/>
        <w:ind w:left="720" w:hanging="720"/>
        <w:jc w:val="both"/>
        <w:rPr>
          <w:rFonts w:ascii="Arial" w:hAnsi="Arial" w:cs="Arial"/>
          <w:color w:val="000000"/>
          <w:sz w:val="24"/>
          <w:szCs w:val="24"/>
        </w:rPr>
      </w:pPr>
      <w:r w:rsidRPr="00B51125">
        <w:rPr>
          <w:rFonts w:ascii="Arial" w:hAnsi="Arial" w:cs="Arial"/>
          <w:color w:val="000000"/>
          <w:sz w:val="24"/>
          <w:szCs w:val="24"/>
        </w:rPr>
        <w:t xml:space="preserve">3. </w:t>
      </w:r>
      <w:r w:rsidRPr="00B51125">
        <w:rPr>
          <w:rFonts w:ascii="Arial" w:hAnsi="Arial" w:cs="Arial"/>
          <w:color w:val="000000"/>
          <w:sz w:val="24"/>
          <w:szCs w:val="24"/>
        </w:rPr>
        <w:tab/>
        <w:t xml:space="preserve">In respect of the Applicants (which shall include the members of the applicants as at the date of instituting the present application), the following regime shall apply: </w:t>
      </w:r>
    </w:p>
    <w:p w:rsidR="008E6BD8" w:rsidRPr="00B51125" w:rsidRDefault="008E6BD8" w:rsidP="008E6BD8">
      <w:pPr>
        <w:spacing w:line="480" w:lineRule="auto"/>
        <w:ind w:left="1440" w:hanging="720"/>
        <w:jc w:val="both"/>
        <w:rPr>
          <w:rFonts w:ascii="Arial" w:hAnsi="Arial" w:cs="Arial"/>
          <w:color w:val="000000"/>
          <w:sz w:val="24"/>
          <w:szCs w:val="24"/>
        </w:rPr>
      </w:pPr>
      <w:r w:rsidRPr="00B51125">
        <w:rPr>
          <w:rFonts w:ascii="Arial" w:hAnsi="Arial" w:cs="Arial"/>
          <w:color w:val="000000"/>
          <w:sz w:val="24"/>
          <w:szCs w:val="24"/>
        </w:rPr>
        <w:t xml:space="preserve">3.1. </w:t>
      </w:r>
      <w:r w:rsidRPr="00B51125">
        <w:rPr>
          <w:rFonts w:ascii="Arial" w:hAnsi="Arial" w:cs="Arial"/>
          <w:color w:val="000000"/>
          <w:sz w:val="24"/>
          <w:szCs w:val="24"/>
        </w:rPr>
        <w:tab/>
        <w:t xml:space="preserve">The Applicants and the Second/Third Respondents will seek to resolve by mutual agreement their dispute regarding the applicable electricity tariffs payable for the 2019/2020 tariff year; </w:t>
      </w:r>
    </w:p>
    <w:p w:rsidR="008E6BD8" w:rsidRPr="00B51125" w:rsidRDefault="008E6BD8" w:rsidP="008E6BD8">
      <w:pPr>
        <w:spacing w:line="480" w:lineRule="auto"/>
        <w:ind w:left="1440" w:hanging="720"/>
        <w:jc w:val="both"/>
        <w:rPr>
          <w:rFonts w:ascii="Arial" w:hAnsi="Arial" w:cs="Arial"/>
          <w:color w:val="000000"/>
          <w:sz w:val="24"/>
          <w:szCs w:val="24"/>
        </w:rPr>
      </w:pPr>
      <w:r w:rsidRPr="00B51125">
        <w:rPr>
          <w:rFonts w:ascii="Arial" w:hAnsi="Arial" w:cs="Arial"/>
          <w:color w:val="000000"/>
          <w:sz w:val="24"/>
          <w:szCs w:val="24"/>
        </w:rPr>
        <w:t xml:space="preserve">3.2. </w:t>
      </w:r>
      <w:r w:rsidRPr="00B51125">
        <w:rPr>
          <w:rFonts w:ascii="Arial" w:hAnsi="Arial" w:cs="Arial"/>
          <w:color w:val="000000"/>
          <w:sz w:val="24"/>
          <w:szCs w:val="24"/>
        </w:rPr>
        <w:tab/>
        <w:t xml:space="preserve">If agreement is not reached in terms of paragraph 3.1 within 30 days of the date of this order, the tariff decision is remitted to the </w:t>
      </w:r>
      <w:r w:rsidRPr="00B51125">
        <w:rPr>
          <w:rFonts w:ascii="Arial" w:hAnsi="Arial" w:cs="Arial"/>
          <w:color w:val="000000"/>
          <w:sz w:val="24"/>
          <w:szCs w:val="24"/>
        </w:rPr>
        <w:lastRenderedPageBreak/>
        <w:t xml:space="preserve">First Respondent, for it to take a decision only on the applicable electricity tariffs payable by the Applicants for the 2019/2020 tariff year; and </w:t>
      </w:r>
    </w:p>
    <w:p w:rsidR="008E6BD8" w:rsidRPr="00B51125" w:rsidRDefault="008E6BD8" w:rsidP="008E6BD8">
      <w:pPr>
        <w:spacing w:line="480" w:lineRule="auto"/>
        <w:ind w:left="1440" w:hanging="720"/>
        <w:jc w:val="both"/>
        <w:rPr>
          <w:rFonts w:ascii="Arial" w:hAnsi="Arial" w:cs="Arial"/>
          <w:color w:val="000000"/>
          <w:sz w:val="24"/>
          <w:szCs w:val="24"/>
        </w:rPr>
      </w:pPr>
      <w:r w:rsidRPr="00B51125">
        <w:rPr>
          <w:rFonts w:ascii="Arial" w:hAnsi="Arial" w:cs="Arial"/>
          <w:color w:val="000000"/>
          <w:sz w:val="24"/>
          <w:szCs w:val="24"/>
        </w:rPr>
        <w:t xml:space="preserve">3.3. </w:t>
      </w:r>
      <w:r w:rsidRPr="00B51125">
        <w:rPr>
          <w:rFonts w:ascii="Arial" w:hAnsi="Arial" w:cs="Arial"/>
          <w:color w:val="000000"/>
          <w:sz w:val="24"/>
          <w:szCs w:val="24"/>
        </w:rPr>
        <w:tab/>
        <w:t xml:space="preserve">Following the agreement in paragraph 3.1 or the decision in paragraph 3.2: </w:t>
      </w:r>
    </w:p>
    <w:p w:rsidR="008E6BD8" w:rsidRPr="00B51125" w:rsidRDefault="008E6BD8" w:rsidP="008E6BD8">
      <w:pPr>
        <w:spacing w:line="480" w:lineRule="auto"/>
        <w:ind w:left="2310" w:hanging="870"/>
        <w:jc w:val="both"/>
        <w:rPr>
          <w:rFonts w:ascii="Arial" w:hAnsi="Arial" w:cs="Arial"/>
          <w:color w:val="000000"/>
          <w:sz w:val="24"/>
          <w:szCs w:val="24"/>
        </w:rPr>
      </w:pPr>
      <w:r w:rsidRPr="00B51125">
        <w:rPr>
          <w:rFonts w:ascii="Arial" w:hAnsi="Arial" w:cs="Arial"/>
          <w:color w:val="000000"/>
          <w:sz w:val="24"/>
          <w:szCs w:val="24"/>
        </w:rPr>
        <w:t xml:space="preserve">3.3.1. </w:t>
      </w:r>
      <w:r w:rsidRPr="00B51125">
        <w:rPr>
          <w:rFonts w:ascii="Arial" w:hAnsi="Arial" w:cs="Arial"/>
          <w:color w:val="000000"/>
          <w:sz w:val="24"/>
          <w:szCs w:val="24"/>
        </w:rPr>
        <w:tab/>
        <w:t xml:space="preserve">If the Applicants owe amounts to the Second/Third Respondents arising from the agreement in paragraph 3.1 or a valid decision in paragraph 3.2, they shall pay these amounts forthwith; and </w:t>
      </w:r>
    </w:p>
    <w:p w:rsidR="008E6BD8" w:rsidRPr="00B51125" w:rsidRDefault="008E6BD8" w:rsidP="008E6BD8">
      <w:pPr>
        <w:spacing w:line="480" w:lineRule="auto"/>
        <w:ind w:left="2310" w:hanging="870"/>
        <w:jc w:val="both"/>
        <w:rPr>
          <w:rFonts w:ascii="Arial" w:hAnsi="Arial" w:cs="Arial"/>
          <w:color w:val="000000"/>
          <w:sz w:val="24"/>
          <w:szCs w:val="24"/>
        </w:rPr>
      </w:pPr>
      <w:r w:rsidRPr="00B51125">
        <w:rPr>
          <w:rFonts w:ascii="Arial" w:hAnsi="Arial" w:cs="Arial"/>
          <w:color w:val="000000"/>
          <w:sz w:val="24"/>
          <w:szCs w:val="24"/>
        </w:rPr>
        <w:t xml:space="preserve">3.3.2. </w:t>
      </w:r>
      <w:r w:rsidRPr="00B51125">
        <w:rPr>
          <w:rFonts w:ascii="Arial" w:hAnsi="Arial" w:cs="Arial"/>
          <w:color w:val="000000"/>
          <w:sz w:val="24"/>
          <w:szCs w:val="24"/>
        </w:rPr>
        <w:tab/>
        <w:t>If the Second/Third Respondents owe amounts to the Applicants arising from the agreement in paragraph 3.1 or a valid decision in paragraph 3.2, they shall credit the Applicants with these amounts forthwith.</w:t>
      </w:r>
    </w:p>
    <w:p w:rsidR="008E6BD8" w:rsidRDefault="008E6BD8" w:rsidP="008E6BD8">
      <w:pPr>
        <w:spacing w:line="480" w:lineRule="auto"/>
        <w:ind w:left="1440" w:hanging="720"/>
        <w:jc w:val="both"/>
        <w:rPr>
          <w:rFonts w:ascii="Arial" w:hAnsi="Arial" w:cs="Arial"/>
          <w:color w:val="000000"/>
          <w:sz w:val="24"/>
          <w:szCs w:val="24"/>
        </w:rPr>
      </w:pPr>
      <w:r w:rsidRPr="00B51125">
        <w:rPr>
          <w:rFonts w:ascii="Arial" w:hAnsi="Arial" w:cs="Arial"/>
          <w:color w:val="000000"/>
          <w:sz w:val="24"/>
          <w:szCs w:val="24"/>
        </w:rPr>
        <w:t xml:space="preserve">4. </w:t>
      </w:r>
      <w:r w:rsidRPr="00B51125">
        <w:rPr>
          <w:rFonts w:ascii="Arial" w:hAnsi="Arial" w:cs="Arial"/>
          <w:color w:val="000000"/>
          <w:sz w:val="24"/>
          <w:szCs w:val="24"/>
        </w:rPr>
        <w:tab/>
        <w:t>The respondents are directed jointly and severally to pay the costs of the applicants, such costs to include the costs of two counsel – one senior and one junior.</w:t>
      </w:r>
    </w:p>
    <w:p w:rsidR="008E6BD8" w:rsidRDefault="008E6BD8" w:rsidP="008E6BD8">
      <w:pPr>
        <w:spacing w:line="480" w:lineRule="auto"/>
        <w:ind w:left="1440" w:hanging="720"/>
        <w:jc w:val="both"/>
        <w:rPr>
          <w:rFonts w:ascii="Arial" w:hAnsi="Arial" w:cs="Arial"/>
          <w:color w:val="000000"/>
          <w:sz w:val="24"/>
          <w:szCs w:val="24"/>
        </w:rPr>
      </w:pPr>
    </w:p>
    <w:p w:rsidR="008E6BD8" w:rsidRDefault="008E6BD8" w:rsidP="008E6BD8">
      <w:pPr>
        <w:spacing w:line="480" w:lineRule="auto"/>
        <w:ind w:left="1440" w:hanging="720"/>
        <w:jc w:val="both"/>
        <w:rPr>
          <w:rFonts w:ascii="Arial" w:hAnsi="Arial" w:cs="Arial"/>
          <w:color w:val="000000"/>
          <w:sz w:val="24"/>
          <w:szCs w:val="24"/>
        </w:rPr>
      </w:pPr>
    </w:p>
    <w:p w:rsidR="008E6BD8" w:rsidRDefault="008E6BD8" w:rsidP="008E6BD8">
      <w:pPr>
        <w:autoSpaceDE w:val="0"/>
        <w:autoSpaceDN w:val="0"/>
        <w:adjustRightInd w:val="0"/>
        <w:spacing w:after="0" w:line="360" w:lineRule="auto"/>
        <w:jc w:val="right"/>
        <w:rPr>
          <w:rFonts w:ascii="Arial-BoldMT" w:hAnsi="Arial-BoldMT" w:cs="Arial-BoldMT"/>
          <w:b/>
          <w:bCs/>
          <w:color w:val="000000"/>
          <w:sz w:val="24"/>
          <w:szCs w:val="24"/>
        </w:rPr>
      </w:pPr>
      <w:r>
        <w:rPr>
          <w:rFonts w:ascii="Arial-BoldMT" w:hAnsi="Arial-BoldMT" w:cs="Arial-BoldMT"/>
          <w:b/>
          <w:bCs/>
          <w:color w:val="000000"/>
          <w:sz w:val="24"/>
          <w:szCs w:val="24"/>
        </w:rPr>
        <w:t>________________________________</w:t>
      </w:r>
    </w:p>
    <w:p w:rsidR="008E6BD8" w:rsidRPr="000C1428" w:rsidRDefault="008E6BD8" w:rsidP="008E6BD8">
      <w:pPr>
        <w:autoSpaceDE w:val="0"/>
        <w:autoSpaceDN w:val="0"/>
        <w:adjustRightInd w:val="0"/>
        <w:spacing w:after="0" w:line="360" w:lineRule="auto"/>
        <w:jc w:val="right"/>
        <w:rPr>
          <w:rFonts w:ascii="Arial" w:hAnsi="Arial" w:cs="Arial"/>
          <w:b/>
          <w:bCs/>
          <w:color w:val="000000"/>
          <w:sz w:val="24"/>
          <w:szCs w:val="24"/>
        </w:rPr>
      </w:pPr>
      <w:r w:rsidRPr="000C1428">
        <w:rPr>
          <w:rFonts w:ascii="Arial" w:hAnsi="Arial" w:cs="Arial"/>
          <w:b/>
          <w:bCs/>
          <w:color w:val="000000"/>
          <w:sz w:val="24"/>
          <w:szCs w:val="24"/>
        </w:rPr>
        <w:t>REGISTRAR OF THE HIGH COURT</w:t>
      </w:r>
    </w:p>
    <w:p w:rsidR="008E6BD8" w:rsidRDefault="008E6BD8" w:rsidP="008E6BD8">
      <w:pPr>
        <w:autoSpaceDE w:val="0"/>
        <w:autoSpaceDN w:val="0"/>
        <w:adjustRightInd w:val="0"/>
        <w:spacing w:after="0" w:line="360" w:lineRule="auto"/>
        <w:jc w:val="right"/>
        <w:rPr>
          <w:rFonts w:ascii="Arial" w:hAnsi="Arial" w:cs="Arial"/>
          <w:color w:val="000000"/>
          <w:sz w:val="24"/>
          <w:szCs w:val="24"/>
        </w:rPr>
      </w:pPr>
      <w:r w:rsidRPr="000C1428">
        <w:rPr>
          <w:rFonts w:ascii="Arial" w:hAnsi="Arial" w:cs="Arial"/>
          <w:color w:val="000000"/>
          <w:sz w:val="24"/>
          <w:szCs w:val="24"/>
        </w:rPr>
        <w:t>GAUTENG DIVISION</w:t>
      </w:r>
      <w:r>
        <w:rPr>
          <w:rFonts w:ascii="Arial" w:hAnsi="Arial" w:cs="Arial"/>
          <w:color w:val="000000"/>
          <w:sz w:val="24"/>
          <w:szCs w:val="24"/>
        </w:rPr>
        <w:t>, PRETORIA</w:t>
      </w:r>
    </w:p>
    <w:p w:rsidR="008E6BD8" w:rsidRDefault="008E6BD8" w:rsidP="008E6BD8">
      <w:pPr>
        <w:autoSpaceDE w:val="0"/>
        <w:autoSpaceDN w:val="0"/>
        <w:adjustRightInd w:val="0"/>
        <w:spacing w:after="0" w:line="360" w:lineRule="auto"/>
        <w:rPr>
          <w:rFonts w:ascii="Arial" w:hAnsi="Arial" w:cs="Arial"/>
          <w:color w:val="000000"/>
          <w:sz w:val="24"/>
          <w:szCs w:val="24"/>
        </w:rPr>
      </w:pPr>
    </w:p>
    <w:p w:rsidR="008E6BD8" w:rsidRPr="000C1428" w:rsidRDefault="008E6BD8" w:rsidP="008E6BD8">
      <w:pPr>
        <w:autoSpaceDE w:val="0"/>
        <w:autoSpaceDN w:val="0"/>
        <w:adjustRightInd w:val="0"/>
        <w:spacing w:after="0" w:line="360" w:lineRule="auto"/>
        <w:jc w:val="right"/>
        <w:rPr>
          <w:rFonts w:ascii="Arial" w:hAnsi="Arial" w:cs="Arial"/>
          <w:color w:val="000000"/>
          <w:sz w:val="24"/>
          <w:szCs w:val="24"/>
        </w:rPr>
      </w:pPr>
    </w:p>
    <w:p w:rsidR="008E6BD8" w:rsidRDefault="008E6BD8" w:rsidP="008E6BD8">
      <w:pPr>
        <w:spacing w:line="240" w:lineRule="auto"/>
        <w:jc w:val="both"/>
        <w:rPr>
          <w:rFonts w:ascii="Arial" w:hAnsi="Arial" w:cs="Arial"/>
          <w:color w:val="000000"/>
          <w:sz w:val="24"/>
          <w:szCs w:val="24"/>
        </w:rPr>
      </w:pPr>
      <w:r>
        <w:rPr>
          <w:rFonts w:ascii="Arial" w:hAnsi="Arial" w:cs="Arial"/>
          <w:color w:val="000000"/>
          <w:sz w:val="24"/>
          <w:szCs w:val="24"/>
          <w:u w:val="single"/>
        </w:rPr>
        <w:t>APPEARANCES</w:t>
      </w:r>
      <w:r>
        <w:rPr>
          <w:rFonts w:ascii="Arial" w:hAnsi="Arial" w:cs="Arial"/>
          <w:color w:val="000000"/>
          <w:sz w:val="24"/>
          <w:szCs w:val="24"/>
        </w:rPr>
        <w:t>:</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Pr>
          <w:rFonts w:ascii="Arial" w:hAnsi="Arial" w:cs="Arial"/>
          <w:sz w:val="24"/>
          <w:szCs w:val="24"/>
        </w:rPr>
        <w:tab/>
      </w:r>
      <w:r>
        <w:rPr>
          <w:rFonts w:ascii="Arial" w:hAnsi="Arial" w:cs="Arial"/>
          <w:sz w:val="24"/>
          <w:szCs w:val="24"/>
        </w:rPr>
        <w:tab/>
        <w:t>ADV. M CHASKALSON SC</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S PUDIFIN-JONES</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r>
      <w:r>
        <w:rPr>
          <w:rFonts w:ascii="Arial" w:hAnsi="Arial" w:cs="Arial"/>
          <w:sz w:val="24"/>
          <w:szCs w:val="24"/>
        </w:rPr>
        <w:tab/>
        <w:t>JOUBERT GALPIN SEARLE INC</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FIRST RESPONDENT’S COUNSEL:</w:t>
      </w:r>
      <w:r>
        <w:rPr>
          <w:rFonts w:ascii="Arial" w:hAnsi="Arial" w:cs="Arial"/>
          <w:sz w:val="24"/>
          <w:szCs w:val="24"/>
        </w:rPr>
        <w:tab/>
      </w:r>
      <w:r>
        <w:rPr>
          <w:rFonts w:ascii="Arial" w:hAnsi="Arial" w:cs="Arial"/>
          <w:sz w:val="24"/>
          <w:szCs w:val="24"/>
        </w:rPr>
        <w:tab/>
      </w:r>
      <w:r>
        <w:rPr>
          <w:rFonts w:ascii="Arial" w:hAnsi="Arial" w:cs="Arial"/>
          <w:sz w:val="24"/>
          <w:szCs w:val="24"/>
        </w:rPr>
        <w:tab/>
        <w:t>ADV. P MOKOENA SC</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ADV. P MANAGA</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FIRST RESPONDENT ATTORNEYS:</w:t>
      </w:r>
      <w:r>
        <w:rPr>
          <w:rFonts w:ascii="Arial" w:hAnsi="Arial" w:cs="Arial"/>
          <w:sz w:val="24"/>
          <w:szCs w:val="24"/>
        </w:rPr>
        <w:tab/>
        <w:t>CHEADLE THOMPSON &amp; HAYSOM INC</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SECOND &amp; THIRD RESPONDENTS’ COUNSEL:    ADV. S BUDLENDER SC</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ADV. P NGCONCO</w:t>
      </w:r>
    </w:p>
    <w:p w:rsidR="008E6BD8" w:rsidRDefault="008E6BD8" w:rsidP="008E6BD8">
      <w:pPr>
        <w:tabs>
          <w:tab w:val="left" w:pos="0"/>
        </w:tabs>
        <w:spacing w:line="360" w:lineRule="auto"/>
        <w:jc w:val="both"/>
        <w:rPr>
          <w:rFonts w:ascii="Arial" w:hAnsi="Arial" w:cs="Arial"/>
          <w:sz w:val="24"/>
          <w:szCs w:val="24"/>
        </w:rPr>
      </w:pPr>
      <w:r>
        <w:rPr>
          <w:rFonts w:ascii="Arial" w:hAnsi="Arial" w:cs="Arial"/>
          <w:sz w:val="24"/>
          <w:szCs w:val="24"/>
        </w:rPr>
        <w:t>SECOND &amp; THIRD RESPONDENTS’ ATTORNEYS: EDWARD NATHAN SONNENBERGS INC</w:t>
      </w:r>
    </w:p>
    <w:p w:rsidR="008E6BD8" w:rsidRPr="00B51125" w:rsidRDefault="008E6BD8" w:rsidP="008E6BD8">
      <w:pPr>
        <w:spacing w:line="480" w:lineRule="auto"/>
        <w:ind w:left="1440" w:hanging="720"/>
        <w:jc w:val="both"/>
        <w:rPr>
          <w:rFonts w:ascii="Arial" w:hAnsi="Arial" w:cs="Arial"/>
          <w:sz w:val="24"/>
          <w:szCs w:val="24"/>
        </w:rPr>
      </w:pPr>
    </w:p>
    <w:p w:rsidR="008E6BD8" w:rsidRPr="001378CE" w:rsidRDefault="008E6BD8" w:rsidP="00B3050E">
      <w:pPr>
        <w:spacing w:after="0" w:line="360" w:lineRule="auto"/>
        <w:ind w:left="4395" w:hanging="4395"/>
        <w:jc w:val="both"/>
        <w:rPr>
          <w:rFonts w:ascii="Arial" w:hAnsi="Arial" w:cs="Arial"/>
          <w:sz w:val="24"/>
          <w:szCs w:val="20"/>
        </w:rPr>
      </w:pPr>
    </w:p>
    <w:sectPr w:rsidR="008E6BD8" w:rsidRPr="001378CE" w:rsidSect="0016555B">
      <w:headerReference w:type="default" r:id="rId10"/>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B5" w:rsidRDefault="00FC0EB5" w:rsidP="00C41BBC">
      <w:pPr>
        <w:spacing w:after="0" w:line="240" w:lineRule="auto"/>
      </w:pPr>
      <w:r>
        <w:separator/>
      </w:r>
    </w:p>
  </w:endnote>
  <w:endnote w:type="continuationSeparator" w:id="0">
    <w:p w:rsidR="00FC0EB5" w:rsidRDefault="00FC0EB5" w:rsidP="00C4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B5" w:rsidRDefault="00FC0EB5" w:rsidP="00C41BBC">
      <w:pPr>
        <w:spacing w:after="0" w:line="240" w:lineRule="auto"/>
      </w:pPr>
      <w:r>
        <w:separator/>
      </w:r>
    </w:p>
  </w:footnote>
  <w:footnote w:type="continuationSeparator" w:id="0">
    <w:p w:rsidR="00FC0EB5" w:rsidRDefault="00FC0EB5" w:rsidP="00C41BBC">
      <w:pPr>
        <w:spacing w:after="0" w:line="240" w:lineRule="auto"/>
      </w:pPr>
      <w:r>
        <w:continuationSeparator/>
      </w:r>
    </w:p>
  </w:footnote>
  <w:footnote w:id="1">
    <w:p w:rsidR="00382F33" w:rsidRPr="007A6DB1" w:rsidRDefault="00382F33" w:rsidP="00C41BBC">
      <w:pPr>
        <w:pStyle w:val="FootnoteText"/>
        <w:rPr>
          <w:lang w:val="en-GB"/>
        </w:rPr>
      </w:pPr>
      <w:r>
        <w:rPr>
          <w:rStyle w:val="FootnoteReference"/>
        </w:rPr>
        <w:footnoteRef/>
      </w:r>
      <w:r>
        <w:t xml:space="preserve"> </w:t>
      </w:r>
      <w:r w:rsidRPr="001378CE">
        <w:rPr>
          <w:rFonts w:ascii="Arial" w:hAnsi="Arial" w:cs="Arial"/>
          <w:sz w:val="18"/>
          <w:lang w:val="en-GB"/>
        </w:rPr>
        <w:t>Act No 3 of 2000.</w:t>
      </w:r>
    </w:p>
  </w:footnote>
  <w:footnote w:id="2">
    <w:p w:rsidR="00382F33" w:rsidRPr="001378CE" w:rsidRDefault="00382F33" w:rsidP="00C41BBC">
      <w:pPr>
        <w:pStyle w:val="FootnoteText"/>
        <w:rPr>
          <w:rFonts w:ascii="Arial" w:hAnsi="Arial" w:cs="Arial"/>
        </w:rPr>
      </w:pPr>
      <w:r>
        <w:rPr>
          <w:rStyle w:val="FootnoteReference"/>
        </w:rPr>
        <w:footnoteRef/>
      </w:r>
      <w:r>
        <w:t xml:space="preserve">  </w:t>
      </w:r>
      <w:r w:rsidRPr="001378CE">
        <w:rPr>
          <w:rFonts w:ascii="Arial" w:hAnsi="Arial" w:cs="Arial"/>
          <w:sz w:val="18"/>
        </w:rPr>
        <w:t xml:space="preserve">Act No </w:t>
      </w:r>
      <w:r w:rsidRPr="001378CE">
        <w:rPr>
          <w:rFonts w:ascii="Arial" w:hAnsi="Arial" w:cs="Arial"/>
          <w:color w:val="000000"/>
          <w:sz w:val="18"/>
        </w:rPr>
        <w:t>40 of 2004.</w:t>
      </w:r>
    </w:p>
  </w:footnote>
  <w:footnote w:id="3">
    <w:p w:rsidR="00382F33" w:rsidRPr="001378CE" w:rsidRDefault="00382F33" w:rsidP="00C41BBC">
      <w:pPr>
        <w:pStyle w:val="FootnoteText"/>
        <w:rPr>
          <w:rFonts w:ascii="Arial" w:hAnsi="Arial" w:cs="Arial"/>
        </w:rPr>
      </w:pPr>
      <w:r w:rsidRPr="001378CE">
        <w:rPr>
          <w:rStyle w:val="FootnoteReference"/>
          <w:rFonts w:ascii="Arial" w:hAnsi="Arial" w:cs="Arial"/>
        </w:rPr>
        <w:footnoteRef/>
      </w:r>
      <w:r w:rsidRPr="001378CE">
        <w:rPr>
          <w:rFonts w:ascii="Arial" w:hAnsi="Arial" w:cs="Arial"/>
        </w:rPr>
        <w:t xml:space="preserve">  </w:t>
      </w:r>
      <w:r w:rsidRPr="001378CE">
        <w:rPr>
          <w:rFonts w:ascii="Arial" w:hAnsi="Arial" w:cs="Arial"/>
          <w:sz w:val="18"/>
        </w:rPr>
        <w:t xml:space="preserve">Act No </w:t>
      </w:r>
      <w:r w:rsidRPr="001378CE">
        <w:rPr>
          <w:rFonts w:ascii="Arial" w:hAnsi="Arial" w:cs="Arial"/>
          <w:color w:val="000000"/>
          <w:sz w:val="18"/>
        </w:rPr>
        <w:t>4 of 2006.</w:t>
      </w:r>
    </w:p>
  </w:footnote>
  <w:footnote w:id="4">
    <w:p w:rsidR="00382F33" w:rsidRDefault="00382F33" w:rsidP="00C41BBC">
      <w:pPr>
        <w:pStyle w:val="FootnoteText"/>
      </w:pPr>
      <w:r>
        <w:rPr>
          <w:rStyle w:val="FootnoteReference"/>
        </w:rPr>
        <w:footnoteRef/>
      </w:r>
      <w:r>
        <w:t xml:space="preserve">  </w:t>
      </w:r>
      <w:r w:rsidRPr="001378CE">
        <w:rPr>
          <w:rFonts w:ascii="Arial" w:hAnsi="Arial" w:cs="Arial"/>
          <w:sz w:val="18"/>
        </w:rPr>
        <w:t xml:space="preserve">Act No </w:t>
      </w:r>
      <w:r w:rsidRPr="001378CE">
        <w:rPr>
          <w:rFonts w:ascii="Arial" w:hAnsi="Arial" w:cs="Arial"/>
          <w:color w:val="000000"/>
          <w:sz w:val="18"/>
        </w:rPr>
        <w:t>117 of 1998.</w:t>
      </w:r>
    </w:p>
  </w:footnote>
  <w:footnote w:id="5">
    <w:p w:rsidR="00382F33" w:rsidRPr="001378CE" w:rsidRDefault="00382F33" w:rsidP="00C41BBC">
      <w:pPr>
        <w:pStyle w:val="FootnoteText"/>
        <w:rPr>
          <w:rFonts w:ascii="Arial" w:hAnsi="Arial" w:cs="Arial"/>
          <w:sz w:val="18"/>
        </w:rPr>
      </w:pPr>
      <w:r>
        <w:rPr>
          <w:rStyle w:val="FootnoteReference"/>
        </w:rPr>
        <w:footnoteRef/>
      </w:r>
      <w:r>
        <w:t xml:space="preserve">  </w:t>
      </w:r>
      <w:r w:rsidRPr="001378CE">
        <w:rPr>
          <w:rFonts w:ascii="Arial" w:hAnsi="Arial" w:cs="Arial"/>
          <w:sz w:val="18"/>
        </w:rPr>
        <w:t>Promulgated in Government Gazette No 31741 dated 19 December 2008.</w:t>
      </w:r>
    </w:p>
  </w:footnote>
  <w:footnote w:id="6">
    <w:p w:rsidR="00382F33" w:rsidRPr="001378CE" w:rsidRDefault="00382F33" w:rsidP="001378CE">
      <w:pPr>
        <w:spacing w:after="0" w:line="240" w:lineRule="auto"/>
        <w:ind w:left="567" w:hanging="567"/>
        <w:jc w:val="both"/>
        <w:rPr>
          <w:rFonts w:ascii="Arial" w:hAnsi="Arial" w:cs="Arial"/>
          <w:color w:val="000000" w:themeColor="text1"/>
          <w:sz w:val="18"/>
          <w:szCs w:val="20"/>
        </w:rPr>
      </w:pPr>
      <w:r w:rsidRPr="001378CE">
        <w:rPr>
          <w:rStyle w:val="FootnoteReference"/>
          <w:rFonts w:ascii="Arial" w:hAnsi="Arial" w:cs="Arial"/>
          <w:sz w:val="18"/>
          <w:szCs w:val="20"/>
        </w:rPr>
        <w:footnoteRef/>
      </w:r>
      <w:r w:rsidRPr="001378CE">
        <w:rPr>
          <w:rFonts w:ascii="Arial" w:hAnsi="Arial" w:cs="Arial"/>
          <w:sz w:val="18"/>
          <w:szCs w:val="20"/>
        </w:rPr>
        <w:t xml:space="preserve"> “</w:t>
      </w:r>
      <w:r w:rsidRPr="001378CE">
        <w:rPr>
          <w:rFonts w:ascii="Arial" w:hAnsi="Arial" w:cs="Arial"/>
          <w:color w:val="000000" w:themeColor="text1"/>
          <w:sz w:val="18"/>
          <w:szCs w:val="20"/>
        </w:rPr>
        <w:t>A licensee may not charge a customer any other tariff and make use of provisions in agreements</w:t>
      </w:r>
    </w:p>
    <w:p w:rsidR="00382F33" w:rsidRPr="001378CE" w:rsidRDefault="00382F33" w:rsidP="001378CE">
      <w:pPr>
        <w:spacing w:after="0" w:line="240" w:lineRule="auto"/>
        <w:ind w:left="567" w:hanging="567"/>
        <w:jc w:val="both"/>
        <w:rPr>
          <w:rFonts w:ascii="Arial" w:hAnsi="Arial" w:cs="Arial"/>
          <w:color w:val="000000" w:themeColor="text1"/>
          <w:sz w:val="18"/>
          <w:szCs w:val="20"/>
        </w:rPr>
      </w:pPr>
      <w:r w:rsidRPr="001378CE">
        <w:rPr>
          <w:rFonts w:ascii="Arial" w:hAnsi="Arial" w:cs="Arial"/>
          <w:color w:val="000000" w:themeColor="text1"/>
          <w:sz w:val="18"/>
          <w:szCs w:val="20"/>
        </w:rPr>
        <w:t>other than that determined or approved by the Regulator as part of its licensing conditions.”</w:t>
      </w:r>
    </w:p>
    <w:p w:rsidR="00382F33" w:rsidRDefault="00382F33" w:rsidP="00C41BBC">
      <w:pPr>
        <w:pStyle w:val="FootnoteText"/>
        <w:jc w:val="both"/>
      </w:pPr>
    </w:p>
  </w:footnote>
  <w:footnote w:id="7">
    <w:p w:rsidR="00382F33" w:rsidRPr="00154ABD" w:rsidRDefault="00382F33" w:rsidP="00AE1C77">
      <w:pPr>
        <w:spacing w:line="240" w:lineRule="auto"/>
        <w:jc w:val="both"/>
        <w:rPr>
          <w:rFonts w:cstheme="minorHAnsi"/>
          <w:sz w:val="20"/>
          <w:szCs w:val="20"/>
        </w:rPr>
      </w:pPr>
      <w:r>
        <w:rPr>
          <w:rStyle w:val="FootnoteReference"/>
        </w:rPr>
        <w:footnoteRef/>
      </w:r>
      <w:r>
        <w:t xml:space="preserve"> </w:t>
      </w:r>
      <w:r w:rsidRPr="001378CE">
        <w:rPr>
          <w:rFonts w:ascii="Arial" w:hAnsi="Arial" w:cs="Arial"/>
          <w:color w:val="000000"/>
          <w:sz w:val="18"/>
          <w:szCs w:val="20"/>
        </w:rPr>
        <w:t>Consultation Paper on the "Municipal Tariff Guideline Increase, Benchmarks and Proposed timelines for the Municipal Tariff Approval Process for the 2019/2020 Financial Year" ("the Tariff Guideline and Benchmarks Consultation Paper").</w:t>
      </w:r>
    </w:p>
    <w:p w:rsidR="00382F33" w:rsidRDefault="00382F33">
      <w:pPr>
        <w:pStyle w:val="FootnoteText"/>
      </w:pPr>
    </w:p>
  </w:footnote>
  <w:footnote w:id="8">
    <w:p w:rsidR="00382F33" w:rsidRPr="001378CE" w:rsidRDefault="00382F33" w:rsidP="000656DE">
      <w:pPr>
        <w:spacing w:after="0" w:line="240" w:lineRule="auto"/>
        <w:jc w:val="both"/>
        <w:rPr>
          <w:rFonts w:ascii="Arial" w:hAnsi="Arial" w:cs="Arial"/>
          <w:szCs w:val="24"/>
        </w:rPr>
      </w:pPr>
      <w:r>
        <w:rPr>
          <w:rStyle w:val="FootnoteReference"/>
        </w:rPr>
        <w:footnoteRef/>
      </w:r>
      <w:r>
        <w:t xml:space="preserve"> </w:t>
      </w:r>
      <w:r w:rsidRPr="001378CE">
        <w:rPr>
          <w:rStyle w:val="Emphasis"/>
          <w:rFonts w:ascii="Arial" w:hAnsi="Arial" w:cs="Arial"/>
          <w:sz w:val="18"/>
          <w:szCs w:val="20"/>
          <w:shd w:val="clear" w:color="auto" w:fill="FFFFFF"/>
        </w:rPr>
        <w:t>Oudekraal Estates (Pty) Ltd v City of Cape Town and Others</w:t>
      </w:r>
      <w:r w:rsidRPr="001378CE">
        <w:rPr>
          <w:rStyle w:val="Emphasis"/>
          <w:rFonts w:ascii="Arial" w:hAnsi="Arial" w:cs="Arial"/>
          <w:i w:val="0"/>
          <w:sz w:val="18"/>
          <w:szCs w:val="20"/>
          <w:shd w:val="clear" w:color="auto" w:fill="FFFFFF"/>
        </w:rPr>
        <w:t> </w:t>
      </w:r>
      <w:r w:rsidRPr="001378CE">
        <w:rPr>
          <w:rFonts w:ascii="Arial" w:hAnsi="Arial" w:cs="Arial"/>
          <w:sz w:val="18"/>
          <w:szCs w:val="20"/>
          <w:shd w:val="clear" w:color="auto" w:fill="FFFFFF"/>
        </w:rPr>
        <w:t>2004 (6) SA 222 (SCA).</w:t>
      </w:r>
    </w:p>
  </w:footnote>
  <w:footnote w:id="9">
    <w:p w:rsidR="00382F33" w:rsidRPr="001B010E" w:rsidRDefault="00382F33" w:rsidP="000656DE">
      <w:pPr>
        <w:pStyle w:val="FootnoteText"/>
      </w:pPr>
      <w:r w:rsidRPr="001378CE">
        <w:rPr>
          <w:rStyle w:val="FootnoteReference"/>
          <w:rFonts w:ascii="Arial" w:hAnsi="Arial" w:cs="Arial"/>
          <w:sz w:val="18"/>
        </w:rPr>
        <w:footnoteRef/>
      </w:r>
      <w:r w:rsidRPr="001378CE">
        <w:rPr>
          <w:rFonts w:ascii="Arial" w:hAnsi="Arial" w:cs="Arial"/>
          <w:sz w:val="18"/>
        </w:rPr>
        <w:t xml:space="preserve"> </w:t>
      </w:r>
      <w:r w:rsidRPr="001378CE">
        <w:rPr>
          <w:rFonts w:ascii="Arial" w:hAnsi="Arial" w:cs="Arial"/>
          <w:i/>
          <w:sz w:val="18"/>
        </w:rPr>
        <w:t>MEC for Health, Eastern Cape and Another v Kirkland Investments (Pty) Ltd t/a Eye and Lazer Institute</w:t>
      </w:r>
      <w:r w:rsidRPr="001378CE">
        <w:rPr>
          <w:rFonts w:ascii="Arial" w:hAnsi="Arial" w:cs="Arial"/>
          <w:sz w:val="18"/>
        </w:rPr>
        <w:t xml:space="preserve"> 2014 (3) SA 481 (CC) para 101; </w:t>
      </w:r>
      <w:r w:rsidRPr="001378CE">
        <w:rPr>
          <w:rFonts w:ascii="Arial" w:hAnsi="Arial" w:cs="Arial"/>
          <w:i/>
          <w:sz w:val="18"/>
        </w:rPr>
        <w:t>Merafong City Local Municipality v AngloGold Ashanti Ltd</w:t>
      </w:r>
      <w:r w:rsidRPr="001378CE">
        <w:rPr>
          <w:rFonts w:ascii="Arial" w:hAnsi="Arial" w:cs="Arial"/>
          <w:sz w:val="18"/>
        </w:rPr>
        <w:t xml:space="preserve"> 2017 (2) SA 211 (CC) paras 41 and 43; </w:t>
      </w:r>
      <w:r w:rsidRPr="001378CE">
        <w:rPr>
          <w:rFonts w:ascii="Arial" w:hAnsi="Arial" w:cs="Arial"/>
          <w:i/>
          <w:sz w:val="18"/>
        </w:rPr>
        <w:t>Department of Transport and Other v Tasima</w:t>
      </w:r>
      <w:r w:rsidRPr="001378CE">
        <w:rPr>
          <w:rFonts w:ascii="Arial" w:hAnsi="Arial" w:cs="Arial"/>
          <w:sz w:val="18"/>
        </w:rPr>
        <w:t xml:space="preserve"> (Pty) Ltd 2017 (2) SA 622 (CC) para 147.</w:t>
      </w:r>
    </w:p>
  </w:footnote>
  <w:footnote w:id="10">
    <w:p w:rsidR="00382F33" w:rsidRDefault="00382F33" w:rsidP="000656DE">
      <w:pPr>
        <w:pStyle w:val="FootnoteText"/>
      </w:pPr>
      <w:r>
        <w:rPr>
          <w:rStyle w:val="FootnoteReference"/>
        </w:rPr>
        <w:footnoteRef/>
      </w:r>
      <w:r>
        <w:t xml:space="preserve">  </w:t>
      </w:r>
      <w:r w:rsidRPr="001378CE">
        <w:rPr>
          <w:rFonts w:ascii="Arial" w:hAnsi="Arial" w:cs="Arial"/>
          <w:i/>
          <w:sz w:val="18"/>
        </w:rPr>
        <w:t>National Energy Regulator of South Africa v PG Group (Pty) Limited and Others</w:t>
      </w:r>
      <w:r w:rsidRPr="001378CE">
        <w:rPr>
          <w:rFonts w:ascii="Arial" w:hAnsi="Arial" w:cs="Arial"/>
          <w:sz w:val="18"/>
        </w:rPr>
        <w:t xml:space="preserve"> 2020 (1) SA 450 (CC).</w:t>
      </w:r>
    </w:p>
  </w:footnote>
  <w:footnote w:id="11">
    <w:p w:rsidR="00382F33" w:rsidRDefault="00382F33" w:rsidP="000656DE">
      <w:pPr>
        <w:pStyle w:val="FootnoteText"/>
      </w:pPr>
      <w:r>
        <w:rPr>
          <w:rStyle w:val="FootnoteReference"/>
        </w:rPr>
        <w:footnoteRef/>
      </w:r>
      <w:r>
        <w:t xml:space="preserve">  </w:t>
      </w:r>
      <w:r w:rsidRPr="001378CE">
        <w:rPr>
          <w:rFonts w:ascii="Arial" w:hAnsi="Arial" w:cs="Arial"/>
          <w:sz w:val="18"/>
        </w:rPr>
        <w:t>Para 33.</w:t>
      </w:r>
    </w:p>
  </w:footnote>
  <w:footnote w:id="12">
    <w:p w:rsidR="00382F33" w:rsidRPr="001378CE" w:rsidRDefault="00382F33" w:rsidP="000656DE">
      <w:pPr>
        <w:pStyle w:val="FootnoteText"/>
        <w:rPr>
          <w:rFonts w:ascii="Arial" w:hAnsi="Arial" w:cs="Arial"/>
          <w:sz w:val="18"/>
        </w:rPr>
      </w:pPr>
      <w:r>
        <w:rPr>
          <w:rStyle w:val="FootnoteReference"/>
        </w:rPr>
        <w:footnoteRef/>
      </w:r>
      <w:r>
        <w:t xml:space="preserve">  </w:t>
      </w:r>
      <w:r w:rsidRPr="001378CE">
        <w:rPr>
          <w:rFonts w:ascii="Arial" w:hAnsi="Arial" w:cs="Arial"/>
          <w:sz w:val="18"/>
        </w:rPr>
        <w:t>Para 48.</w:t>
      </w:r>
    </w:p>
  </w:footnote>
  <w:footnote w:id="13">
    <w:p w:rsidR="00382F33" w:rsidRPr="001378CE" w:rsidRDefault="00382F33" w:rsidP="00701250">
      <w:pPr>
        <w:pStyle w:val="NoSpacing"/>
        <w:rPr>
          <w:rFonts w:ascii="Arial" w:hAnsi="Arial" w:cs="Arial"/>
          <w:sz w:val="18"/>
          <w:szCs w:val="20"/>
        </w:rPr>
      </w:pPr>
      <w:r w:rsidRPr="001378CE">
        <w:rPr>
          <w:rStyle w:val="FootnoteReference"/>
          <w:rFonts w:ascii="Arial" w:hAnsi="Arial" w:cs="Arial"/>
          <w:sz w:val="18"/>
          <w:szCs w:val="20"/>
        </w:rPr>
        <w:footnoteRef/>
      </w:r>
      <w:r w:rsidRPr="001378CE">
        <w:rPr>
          <w:rFonts w:ascii="Arial" w:hAnsi="Arial" w:cs="Arial"/>
          <w:sz w:val="18"/>
          <w:szCs w:val="20"/>
        </w:rPr>
        <w:t xml:space="preserve">  Para 31.</w:t>
      </w:r>
    </w:p>
  </w:footnote>
  <w:footnote w:id="14">
    <w:p w:rsidR="00382F33" w:rsidRPr="001378CE" w:rsidRDefault="00382F33" w:rsidP="00701250">
      <w:pPr>
        <w:pStyle w:val="NoSpacing"/>
        <w:rPr>
          <w:rFonts w:ascii="Arial" w:hAnsi="Arial" w:cs="Arial"/>
          <w:sz w:val="18"/>
          <w:szCs w:val="20"/>
        </w:rPr>
      </w:pPr>
      <w:r w:rsidRPr="001378CE">
        <w:rPr>
          <w:rStyle w:val="FootnoteReference"/>
          <w:rFonts w:ascii="Arial" w:hAnsi="Arial" w:cs="Arial"/>
          <w:sz w:val="18"/>
          <w:szCs w:val="20"/>
        </w:rPr>
        <w:footnoteRef/>
      </w:r>
      <w:r w:rsidRPr="001378CE">
        <w:rPr>
          <w:rFonts w:ascii="Arial" w:hAnsi="Arial" w:cs="Arial"/>
          <w:sz w:val="18"/>
          <w:szCs w:val="20"/>
        </w:rPr>
        <w:t xml:space="preserve">  Para 33.</w:t>
      </w:r>
    </w:p>
  </w:footnote>
  <w:footnote w:id="15">
    <w:p w:rsidR="00382F33" w:rsidRPr="001378CE" w:rsidRDefault="00382F33" w:rsidP="00701250">
      <w:pPr>
        <w:pStyle w:val="NoSpacing"/>
        <w:rPr>
          <w:rFonts w:ascii="Arial" w:hAnsi="Arial" w:cs="Arial"/>
          <w:sz w:val="18"/>
          <w:szCs w:val="20"/>
        </w:rPr>
      </w:pPr>
      <w:r w:rsidRPr="001378CE">
        <w:rPr>
          <w:rStyle w:val="FootnoteReference"/>
          <w:rFonts w:ascii="Arial" w:hAnsi="Arial" w:cs="Arial"/>
          <w:sz w:val="18"/>
          <w:szCs w:val="20"/>
        </w:rPr>
        <w:footnoteRef/>
      </w:r>
      <w:r w:rsidRPr="001378CE">
        <w:rPr>
          <w:rFonts w:ascii="Arial" w:hAnsi="Arial" w:cs="Arial"/>
          <w:sz w:val="18"/>
          <w:szCs w:val="20"/>
        </w:rPr>
        <w:t xml:space="preserve">  Section 35(1) of the ERA.</w:t>
      </w:r>
    </w:p>
  </w:footnote>
  <w:footnote w:id="16">
    <w:p w:rsidR="00382F33" w:rsidRDefault="00382F33">
      <w:pPr>
        <w:pStyle w:val="FootnoteText"/>
      </w:pPr>
      <w:r>
        <w:rPr>
          <w:rStyle w:val="FootnoteReference"/>
        </w:rPr>
        <w:footnoteRef/>
      </w:r>
      <w:r>
        <w:t xml:space="preserve">  See </w:t>
      </w:r>
      <w:r w:rsidRPr="009518E7">
        <w:rPr>
          <w:rFonts w:cstheme="minorHAnsi"/>
          <w:bCs/>
          <w:iCs/>
          <w:lang w:val="en-GB"/>
        </w:rPr>
        <w:t>City of Johannesburg Metropolitan Municipality v Blue Moonlight Properties 39 Pty Ltd and Another</w:t>
      </w:r>
      <w:r>
        <w:rPr>
          <w:rFonts w:cstheme="minorHAnsi"/>
          <w:bCs/>
          <w:iCs/>
          <w:lang w:val="en-GB"/>
        </w:rPr>
        <w:t xml:space="preserve"> 2012 (2) SA 104 (CC) para 104(e</w:t>
      </w:r>
      <w:proofErr w:type="gramStart"/>
      <w:r>
        <w:rPr>
          <w:rFonts w:cstheme="minorHAnsi"/>
          <w:bCs/>
          <w:iCs/>
          <w:lang w:val="en-GB"/>
        </w:rPr>
        <w:t>)(</w:t>
      </w:r>
      <w:proofErr w:type="gramEnd"/>
      <w:r>
        <w:rPr>
          <w:rFonts w:cstheme="minorHAnsi"/>
          <w:bCs/>
          <w:iCs/>
          <w:lang w:val="en-GB"/>
        </w:rPr>
        <w:t xml:space="preserve">iii). </w:t>
      </w:r>
    </w:p>
  </w:footnote>
  <w:footnote w:id="17">
    <w:p w:rsidR="00382F33" w:rsidRPr="000A61B8" w:rsidRDefault="00382F33" w:rsidP="005D086E">
      <w:pPr>
        <w:spacing w:line="240" w:lineRule="auto"/>
        <w:jc w:val="both"/>
        <w:rPr>
          <w:rFonts w:cstheme="minorHAnsi"/>
          <w:sz w:val="20"/>
          <w:szCs w:val="20"/>
        </w:rPr>
      </w:pPr>
      <w:r>
        <w:rPr>
          <w:rStyle w:val="FootnoteReference"/>
        </w:rPr>
        <w:footnoteRef/>
      </w:r>
      <w:r>
        <w:t xml:space="preserve">  </w:t>
      </w:r>
      <w:r w:rsidRPr="001378CE">
        <w:rPr>
          <w:rFonts w:ascii="Arial" w:hAnsi="Arial" w:cs="Arial"/>
          <w:i/>
          <w:color w:val="000000"/>
          <w:sz w:val="18"/>
          <w:szCs w:val="20"/>
        </w:rPr>
        <w:t xml:space="preserve">Retail Motor Industry Organisation and Another v Minister of Water and Environmental Affairs and Another </w:t>
      </w:r>
      <w:r w:rsidRPr="001378CE">
        <w:rPr>
          <w:rFonts w:ascii="Arial" w:hAnsi="Arial" w:cs="Arial"/>
          <w:color w:val="000000"/>
          <w:sz w:val="18"/>
          <w:szCs w:val="20"/>
        </w:rPr>
        <w:t>2014 (3) SA 251 (SCA).</w:t>
      </w:r>
    </w:p>
    <w:p w:rsidR="00382F33" w:rsidRDefault="00382F33" w:rsidP="005D086E">
      <w:pPr>
        <w:pStyle w:val="FootnoteText"/>
      </w:pPr>
    </w:p>
  </w:footnote>
  <w:footnote w:id="18">
    <w:p w:rsidR="00382F33" w:rsidRDefault="00382F33">
      <w:pPr>
        <w:pStyle w:val="FootnoteText"/>
      </w:pPr>
      <w:r>
        <w:rPr>
          <w:rStyle w:val="FootnoteReference"/>
        </w:rPr>
        <w:footnoteRef/>
      </w:r>
      <w:r>
        <w:t xml:space="preserve">  </w:t>
      </w:r>
      <w:r w:rsidRPr="001378CE">
        <w:rPr>
          <w:rFonts w:ascii="Arial" w:hAnsi="Arial" w:cs="Arial"/>
          <w:sz w:val="18"/>
        </w:rPr>
        <w:t>See section 27(h) of the ERA.</w:t>
      </w:r>
    </w:p>
  </w:footnote>
  <w:footnote w:id="19">
    <w:p w:rsidR="00382F33" w:rsidRPr="001378CE" w:rsidRDefault="00382F33" w:rsidP="00081503">
      <w:pPr>
        <w:spacing w:after="0" w:line="240" w:lineRule="auto"/>
        <w:rPr>
          <w:rFonts w:ascii="Arial" w:hAnsi="Arial" w:cs="Arial"/>
          <w:sz w:val="18"/>
          <w:szCs w:val="18"/>
        </w:rPr>
      </w:pPr>
      <w:r>
        <w:rPr>
          <w:rStyle w:val="FootnoteReference"/>
        </w:rPr>
        <w:footnoteRef/>
      </w:r>
      <w:r>
        <w:t xml:space="preserve">  </w:t>
      </w:r>
      <w:r w:rsidRPr="001378CE">
        <w:rPr>
          <w:rFonts w:ascii="Arial" w:hAnsi="Arial" w:cs="Arial"/>
          <w:sz w:val="18"/>
          <w:szCs w:val="18"/>
        </w:rPr>
        <w:t>“(a) The revenue requirement for a regulated licensee must be set at a level which covers the full cost of production, including a reasonable risk adjusted margin or return on appropriate asset values. . .”</w:t>
      </w:r>
    </w:p>
  </w:footnote>
  <w:footnote w:id="20">
    <w:p w:rsidR="00382F33" w:rsidRPr="001378CE" w:rsidRDefault="00382F33" w:rsidP="00081503">
      <w:pPr>
        <w:spacing w:after="0"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“Electricity tariffs must reflect the efficient cost of rendering electricity services as accurately as practical. . .”</w:t>
      </w:r>
    </w:p>
  </w:footnote>
  <w:footnote w:id="21">
    <w:p w:rsidR="00382F33" w:rsidRPr="001378CE" w:rsidRDefault="00382F33" w:rsidP="00081503">
      <w:pPr>
        <w:spacing w:after="0"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“All forms of discriminatory pricing practices must be identified and removed, other than those permitted under specific cross-subsidisation/developmental programmes, or be transparently reflected to unlock the full potential of electricity to all.”</w:t>
      </w:r>
    </w:p>
  </w:footnote>
  <w:footnote w:id="22">
    <w:p w:rsidR="00382F33" w:rsidRPr="001378CE" w:rsidRDefault="00382F33" w:rsidP="00081503">
      <w:pPr>
        <w:spacing w:after="0"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“Electricity distributors shall undertake COS studies at least every five years, but at least when significant licensee structure changes occur, such as in customer base, relationships between cost components and sales volumes. . .”</w:t>
      </w:r>
    </w:p>
  </w:footnote>
  <w:footnote w:id="23">
    <w:p w:rsidR="00382F33" w:rsidRPr="001378CE" w:rsidRDefault="00382F33" w:rsidP="00EF4C1A">
      <w:pPr>
        <w:spacing w:after="0"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“(a) The number of consumer categories for tariff purposes should be justifiable to NERSA based on cost drivers and customer base: . . .”</w:t>
      </w:r>
    </w:p>
  </w:footnote>
  <w:footnote w:id="24">
    <w:p w:rsidR="00382F33" w:rsidRPr="001378CE" w:rsidRDefault="00382F33" w:rsidP="00EF4C1A">
      <w:pPr>
        <w:spacing w:after="0"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“NERSA must see within five years that cost reflective tariffs shall reflect all the following cost components as far as possible: . . .”</w:t>
      </w:r>
    </w:p>
  </w:footnote>
  <w:footnote w:id="25">
    <w:p w:rsidR="00382F33" w:rsidRPr="001378CE" w:rsidRDefault="00382F33" w:rsidP="00EF4C1A">
      <w:pPr>
        <w:spacing w:line="240" w:lineRule="auto"/>
        <w:rPr>
          <w:rFonts w:ascii="Arial" w:hAnsi="Arial" w:cs="Arial"/>
          <w:sz w:val="18"/>
          <w:szCs w:val="18"/>
        </w:rPr>
      </w:pPr>
      <w:r w:rsidRPr="001378CE">
        <w:rPr>
          <w:rStyle w:val="FootnoteReference"/>
          <w:rFonts w:ascii="Arial" w:hAnsi="Arial" w:cs="Arial"/>
          <w:sz w:val="18"/>
          <w:szCs w:val="18"/>
        </w:rPr>
        <w:footnoteRef/>
      </w:r>
      <w:r w:rsidRPr="001378CE">
        <w:rPr>
          <w:rFonts w:ascii="Arial" w:hAnsi="Arial" w:cs="Arial"/>
          <w:sz w:val="18"/>
          <w:szCs w:val="18"/>
        </w:rPr>
        <w:t xml:space="preserve">  “Tariff structure and levels shall be aligned with the results from the COS studies in which the resultant income will equal the revenue requirement.”</w:t>
      </w:r>
    </w:p>
    <w:p w:rsidR="00382F33" w:rsidRDefault="00382F33">
      <w:pPr>
        <w:pStyle w:val="FootnoteText"/>
      </w:pPr>
    </w:p>
  </w:footnote>
  <w:footnote w:id="26">
    <w:p w:rsidR="00382F33" w:rsidRDefault="00382F33">
      <w:pPr>
        <w:pStyle w:val="FootnoteText"/>
      </w:pPr>
      <w:r>
        <w:rPr>
          <w:rStyle w:val="FootnoteReference"/>
        </w:rPr>
        <w:footnoteRef/>
      </w:r>
      <w:r>
        <w:t xml:space="preserve">  </w:t>
      </w:r>
      <w:r w:rsidRPr="001378CE">
        <w:rPr>
          <w:rFonts w:ascii="Arial" w:hAnsi="Arial" w:cs="Arial"/>
          <w:sz w:val="18"/>
        </w:rPr>
        <w:t>Section 8.4 of the EPP read with Policy Position 26.</w:t>
      </w:r>
    </w:p>
  </w:footnote>
  <w:footnote w:id="27">
    <w:p w:rsidR="00382F33" w:rsidRPr="001378CE" w:rsidRDefault="00382F33" w:rsidP="00C41BBC">
      <w:pPr>
        <w:pStyle w:val="FootnoteText"/>
        <w:rPr>
          <w:rFonts w:ascii="Arial" w:hAnsi="Arial" w:cs="Arial"/>
          <w:sz w:val="18"/>
        </w:rPr>
      </w:pPr>
      <w:r>
        <w:rPr>
          <w:rStyle w:val="FootnoteReference"/>
        </w:rPr>
        <w:footnoteRef/>
      </w:r>
      <w:r>
        <w:t xml:space="preserve">  </w:t>
      </w:r>
      <w:r w:rsidRPr="001378CE">
        <w:rPr>
          <w:rFonts w:ascii="Arial" w:hAnsi="Arial" w:cs="Arial"/>
          <w:sz w:val="18"/>
        </w:rPr>
        <w:t>Policy Position 23 of the EPP.</w:t>
      </w:r>
    </w:p>
  </w:footnote>
  <w:footnote w:id="28">
    <w:p w:rsidR="00382F33" w:rsidRPr="001378CE" w:rsidRDefault="00382F33">
      <w:pPr>
        <w:pStyle w:val="FootnoteText"/>
        <w:rPr>
          <w:rFonts w:ascii="Arial" w:hAnsi="Arial" w:cs="Arial"/>
          <w:sz w:val="18"/>
        </w:rPr>
      </w:pPr>
      <w:r w:rsidRPr="001378CE">
        <w:rPr>
          <w:rStyle w:val="FootnoteReference"/>
          <w:rFonts w:ascii="Arial" w:hAnsi="Arial" w:cs="Arial"/>
          <w:sz w:val="18"/>
        </w:rPr>
        <w:footnoteRef/>
      </w:r>
      <w:r w:rsidRPr="001378CE">
        <w:rPr>
          <w:rFonts w:ascii="Arial" w:hAnsi="Arial" w:cs="Arial"/>
          <w:sz w:val="18"/>
        </w:rPr>
        <w:t xml:space="preserve">  Section 8.8 read with Policy Position 29 emphasises that the tariff structure and levels should be aligned with the results from the cost of supply studies in which the resultant income will equal revenue requirements.</w:t>
      </w:r>
    </w:p>
  </w:footnote>
  <w:footnote w:id="29">
    <w:p w:rsidR="00382F33" w:rsidRPr="001378CE" w:rsidRDefault="00382F33">
      <w:pPr>
        <w:pStyle w:val="FootnoteText"/>
        <w:rPr>
          <w:sz w:val="18"/>
        </w:rPr>
      </w:pPr>
      <w:r w:rsidRPr="001378CE">
        <w:rPr>
          <w:rStyle w:val="FootnoteReference"/>
          <w:rFonts w:ascii="Arial" w:hAnsi="Arial" w:cs="Arial"/>
          <w:sz w:val="18"/>
        </w:rPr>
        <w:footnoteRef/>
      </w:r>
      <w:r w:rsidRPr="001378CE">
        <w:rPr>
          <w:rFonts w:ascii="Arial" w:hAnsi="Arial" w:cs="Arial"/>
          <w:sz w:val="18"/>
        </w:rPr>
        <w:t xml:space="preserve">  Section 8.5 read with Policy Position 27 of the EPP.</w:t>
      </w:r>
    </w:p>
  </w:footnote>
  <w:footnote w:id="30">
    <w:p w:rsidR="00382F33" w:rsidRDefault="00382F33">
      <w:pPr>
        <w:pStyle w:val="FootnoteText"/>
      </w:pPr>
      <w:r>
        <w:rPr>
          <w:rStyle w:val="FootnoteReference"/>
        </w:rPr>
        <w:footnoteRef/>
      </w:r>
      <w:r>
        <w:t xml:space="preserve">  </w:t>
      </w:r>
      <w:r w:rsidRPr="001378CE">
        <w:rPr>
          <w:rFonts w:ascii="Arial" w:hAnsi="Arial" w:cs="Arial"/>
          <w:sz w:val="18"/>
        </w:rPr>
        <w:t>Para 51.</w:t>
      </w:r>
    </w:p>
  </w:footnote>
  <w:footnote w:id="31">
    <w:p w:rsidR="008E6BD8" w:rsidRPr="008E6BD8" w:rsidRDefault="008E6BD8" w:rsidP="008E6BD8">
      <w:pPr>
        <w:tabs>
          <w:tab w:val="left" w:pos="0"/>
        </w:tabs>
        <w:spacing w:after="0" w:line="240" w:lineRule="auto"/>
        <w:jc w:val="both"/>
        <w:rPr>
          <w:rFonts w:ascii="Arial" w:hAnsi="Arial" w:cs="Arial"/>
          <w:b/>
          <w:sz w:val="20"/>
          <w:szCs w:val="20"/>
        </w:rPr>
      </w:pPr>
      <w:r>
        <w:rPr>
          <w:rStyle w:val="FootnoteReference"/>
        </w:rPr>
        <w:footnoteRef/>
      </w:r>
      <w:r>
        <w:t xml:space="preserve">  </w:t>
      </w:r>
      <w:r w:rsidRPr="008E6BD8">
        <w:rPr>
          <w:b/>
          <w:sz w:val="20"/>
          <w:szCs w:val="20"/>
        </w:rPr>
        <w:t>Remedies in proceedings for judicial review</w:t>
      </w:r>
      <w:r w:rsidRPr="008E6BD8">
        <w:rPr>
          <w:sz w:val="20"/>
          <w:szCs w:val="20"/>
        </w:rPr>
        <w:t xml:space="preserve"> 8 (1) The court or tribunal, in proceedings for judicial review in terms of section 6(1), may grant any order that is just and equitable</w:t>
      </w:r>
      <w:r>
        <w:rPr>
          <w:sz w:val="20"/>
          <w:szCs w:val="20"/>
        </w:rPr>
        <w:t>.</w:t>
      </w:r>
    </w:p>
  </w:footnote>
  <w:footnote w:id="32">
    <w:p w:rsidR="00382F33" w:rsidRPr="00917D2E" w:rsidRDefault="00382F33" w:rsidP="001378CE">
      <w:pPr>
        <w:shd w:val="clear" w:color="auto" w:fill="FFFFFF"/>
        <w:spacing w:after="0" w:line="240" w:lineRule="auto"/>
        <w:outlineLvl w:val="1"/>
        <w:rPr>
          <w:rFonts w:ascii="Times New Roman" w:eastAsia="Times New Roman" w:hAnsi="Times New Roman" w:cs="Times New Roman"/>
          <w:sz w:val="20"/>
          <w:szCs w:val="20"/>
          <w:lang w:eastAsia="en-ZA"/>
        </w:rPr>
      </w:pPr>
      <w:r>
        <w:rPr>
          <w:rStyle w:val="FootnoteReference"/>
        </w:rPr>
        <w:footnoteRef/>
      </w:r>
      <w:r>
        <w:t xml:space="preserve"> </w:t>
      </w:r>
      <w:r w:rsidRPr="00917D2E">
        <w:rPr>
          <w:rFonts w:ascii="Arial" w:hAnsi="Arial" w:cs="Arial"/>
          <w:bCs/>
          <w:iCs/>
          <w:spacing w:val="26"/>
          <w:sz w:val="18"/>
          <w:szCs w:val="20"/>
        </w:rPr>
        <w:t>Head of Department</w:t>
      </w:r>
      <w:r w:rsidRPr="00917D2E">
        <w:rPr>
          <w:rFonts w:ascii="Arial" w:hAnsi="Arial" w:cs="Arial"/>
          <w:bCs/>
          <w:spacing w:val="26"/>
          <w:sz w:val="18"/>
          <w:szCs w:val="20"/>
        </w:rPr>
        <w:t xml:space="preserve"> </w:t>
      </w:r>
      <w:r w:rsidRPr="00917D2E">
        <w:rPr>
          <w:rFonts w:ascii="Arial" w:hAnsi="Arial" w:cs="Arial"/>
          <w:bCs/>
          <w:iCs/>
          <w:spacing w:val="26"/>
          <w:sz w:val="18"/>
          <w:szCs w:val="20"/>
        </w:rPr>
        <w:t xml:space="preserve">Mpumalanga v </w:t>
      </w:r>
      <w:proofErr w:type="spellStart"/>
      <w:r w:rsidRPr="00917D2E">
        <w:rPr>
          <w:rFonts w:ascii="Arial" w:hAnsi="Arial" w:cs="Arial"/>
          <w:bCs/>
          <w:iCs/>
          <w:spacing w:val="26"/>
          <w:sz w:val="18"/>
          <w:szCs w:val="20"/>
        </w:rPr>
        <w:t>Hoërskool</w:t>
      </w:r>
      <w:proofErr w:type="spellEnd"/>
      <w:r w:rsidRPr="00917D2E">
        <w:rPr>
          <w:rFonts w:ascii="Arial" w:hAnsi="Arial" w:cs="Arial"/>
          <w:bCs/>
          <w:iCs/>
          <w:spacing w:val="26"/>
          <w:sz w:val="18"/>
          <w:szCs w:val="20"/>
        </w:rPr>
        <w:t xml:space="preserve"> Ermelo</w:t>
      </w:r>
      <w:r w:rsidRPr="00917D2E">
        <w:rPr>
          <w:rFonts w:ascii="Arial" w:eastAsia="Times New Roman" w:hAnsi="Arial" w:cs="Arial"/>
          <w:sz w:val="18"/>
          <w:szCs w:val="20"/>
          <w:lang w:eastAsia="en-ZA"/>
        </w:rPr>
        <w:t xml:space="preserve"> 2010 (2) SA 415 (CC) at 96-97.</w:t>
      </w:r>
    </w:p>
    <w:p w:rsidR="00382F33" w:rsidRDefault="00382F33">
      <w:pPr>
        <w:pStyle w:val="FootnoteText"/>
      </w:pPr>
    </w:p>
  </w:footnote>
  <w:footnote w:id="33">
    <w:p w:rsidR="0001076D" w:rsidRPr="0001076D" w:rsidRDefault="0001076D" w:rsidP="0001076D">
      <w:pPr>
        <w:shd w:val="clear" w:color="auto" w:fill="FFFFFF"/>
        <w:spacing w:before="240" w:after="180" w:line="288" w:lineRule="atLeast"/>
        <w:jc w:val="both"/>
        <w:outlineLvl w:val="1"/>
        <w:rPr>
          <w:rFonts w:eastAsia="Times New Roman" w:cstheme="minorHAnsi"/>
          <w:sz w:val="20"/>
          <w:szCs w:val="20"/>
          <w:lang w:eastAsia="en-ZA"/>
        </w:rPr>
      </w:pPr>
      <w:r>
        <w:rPr>
          <w:rStyle w:val="FootnoteReference"/>
        </w:rPr>
        <w:footnoteRef/>
      </w:r>
      <w:r>
        <w:t xml:space="preserve">  </w:t>
      </w:r>
      <w:r w:rsidRPr="0001076D">
        <w:rPr>
          <w:rFonts w:eastAsia="Times New Roman" w:cstheme="minorHAnsi"/>
          <w:sz w:val="20"/>
          <w:szCs w:val="20"/>
          <w:lang w:eastAsia="en-ZA"/>
        </w:rPr>
        <w:t>PG Group Ltd and Others v National Energy Regulator of South Africa and Another 2018 (5) SA 150 (SCA).</w:t>
      </w:r>
    </w:p>
    <w:p w:rsidR="0001076D" w:rsidRDefault="0001076D">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74395"/>
      <w:docPartObj>
        <w:docPartGallery w:val="Page Numbers (Top of Page)"/>
        <w:docPartUnique/>
      </w:docPartObj>
    </w:sdtPr>
    <w:sdtEndPr>
      <w:rPr>
        <w:noProof/>
      </w:rPr>
    </w:sdtEndPr>
    <w:sdtContent>
      <w:p w:rsidR="00382F33" w:rsidRDefault="00382F33">
        <w:pPr>
          <w:pStyle w:val="Header"/>
          <w:jc w:val="right"/>
        </w:pPr>
        <w:r>
          <w:fldChar w:fldCharType="begin"/>
        </w:r>
        <w:r>
          <w:instrText xml:space="preserve"> PAGE   \* MERGEFORMAT </w:instrText>
        </w:r>
        <w:r>
          <w:fldChar w:fldCharType="separate"/>
        </w:r>
        <w:r w:rsidR="008D1B63">
          <w:rPr>
            <w:noProof/>
          </w:rPr>
          <w:t>21</w:t>
        </w:r>
        <w:r>
          <w:rPr>
            <w:noProof/>
          </w:rPr>
          <w:fldChar w:fldCharType="end"/>
        </w:r>
      </w:p>
    </w:sdtContent>
  </w:sdt>
  <w:p w:rsidR="00382F33" w:rsidRDefault="0038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456211FF"/>
    <w:multiLevelType w:val="multilevel"/>
    <w:tmpl w:val="695A0AD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
    <w:nsid w:val="57134CA4"/>
    <w:multiLevelType w:val="hybridMultilevel"/>
    <w:tmpl w:val="21DA04CC"/>
    <w:lvl w:ilvl="0" w:tplc="1C09000F">
      <w:start w:val="96"/>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BC"/>
    <w:rsid w:val="00005FBD"/>
    <w:rsid w:val="00007F0A"/>
    <w:rsid w:val="0001076D"/>
    <w:rsid w:val="00016C83"/>
    <w:rsid w:val="0004086F"/>
    <w:rsid w:val="00043375"/>
    <w:rsid w:val="000515ED"/>
    <w:rsid w:val="00051889"/>
    <w:rsid w:val="0005429B"/>
    <w:rsid w:val="00056E18"/>
    <w:rsid w:val="000656DE"/>
    <w:rsid w:val="00081503"/>
    <w:rsid w:val="000821BA"/>
    <w:rsid w:val="00093CFC"/>
    <w:rsid w:val="000C2CE4"/>
    <w:rsid w:val="000D42C6"/>
    <w:rsid w:val="000E0ADA"/>
    <w:rsid w:val="000F364A"/>
    <w:rsid w:val="000F4827"/>
    <w:rsid w:val="00110194"/>
    <w:rsid w:val="00123056"/>
    <w:rsid w:val="001321CD"/>
    <w:rsid w:val="001378CE"/>
    <w:rsid w:val="00151E77"/>
    <w:rsid w:val="00154C2C"/>
    <w:rsid w:val="0016555B"/>
    <w:rsid w:val="001710A2"/>
    <w:rsid w:val="0018430F"/>
    <w:rsid w:val="00186F47"/>
    <w:rsid w:val="001B010E"/>
    <w:rsid w:val="001C3D88"/>
    <w:rsid w:val="001D3E9F"/>
    <w:rsid w:val="001E2E1A"/>
    <w:rsid w:val="001F1824"/>
    <w:rsid w:val="002250B8"/>
    <w:rsid w:val="00246EC0"/>
    <w:rsid w:val="00254AE9"/>
    <w:rsid w:val="002607C1"/>
    <w:rsid w:val="00267771"/>
    <w:rsid w:val="00276852"/>
    <w:rsid w:val="002776EA"/>
    <w:rsid w:val="002957AF"/>
    <w:rsid w:val="002B4AD5"/>
    <w:rsid w:val="002C2D41"/>
    <w:rsid w:val="002D03D7"/>
    <w:rsid w:val="002E691D"/>
    <w:rsid w:val="003071C9"/>
    <w:rsid w:val="00327F7D"/>
    <w:rsid w:val="00346C77"/>
    <w:rsid w:val="00350962"/>
    <w:rsid w:val="00361F28"/>
    <w:rsid w:val="00370F29"/>
    <w:rsid w:val="00372BAD"/>
    <w:rsid w:val="003770EE"/>
    <w:rsid w:val="003812DD"/>
    <w:rsid w:val="00382F33"/>
    <w:rsid w:val="003A1339"/>
    <w:rsid w:val="003A723D"/>
    <w:rsid w:val="003A786F"/>
    <w:rsid w:val="003C1063"/>
    <w:rsid w:val="0040065A"/>
    <w:rsid w:val="00404264"/>
    <w:rsid w:val="00404D28"/>
    <w:rsid w:val="004130A4"/>
    <w:rsid w:val="004148EE"/>
    <w:rsid w:val="00424E64"/>
    <w:rsid w:val="00433BD9"/>
    <w:rsid w:val="00435231"/>
    <w:rsid w:val="0044050B"/>
    <w:rsid w:val="00446954"/>
    <w:rsid w:val="004D03DB"/>
    <w:rsid w:val="004D7CB6"/>
    <w:rsid w:val="00527DA4"/>
    <w:rsid w:val="005300F3"/>
    <w:rsid w:val="00552E86"/>
    <w:rsid w:val="00563017"/>
    <w:rsid w:val="00573DA7"/>
    <w:rsid w:val="0058677D"/>
    <w:rsid w:val="005A1158"/>
    <w:rsid w:val="005A400E"/>
    <w:rsid w:val="005B1021"/>
    <w:rsid w:val="005D086E"/>
    <w:rsid w:val="005E0C9D"/>
    <w:rsid w:val="005E2FDF"/>
    <w:rsid w:val="005E526C"/>
    <w:rsid w:val="005F1322"/>
    <w:rsid w:val="0061113D"/>
    <w:rsid w:val="00621575"/>
    <w:rsid w:val="00624403"/>
    <w:rsid w:val="00641429"/>
    <w:rsid w:val="00652BE1"/>
    <w:rsid w:val="0065580D"/>
    <w:rsid w:val="00657185"/>
    <w:rsid w:val="0066795B"/>
    <w:rsid w:val="00681D0E"/>
    <w:rsid w:val="00683C91"/>
    <w:rsid w:val="006A1718"/>
    <w:rsid w:val="006D2796"/>
    <w:rsid w:val="006D4228"/>
    <w:rsid w:val="006D64E6"/>
    <w:rsid w:val="00701250"/>
    <w:rsid w:val="007112AF"/>
    <w:rsid w:val="00730C77"/>
    <w:rsid w:val="0073250D"/>
    <w:rsid w:val="007422B2"/>
    <w:rsid w:val="007526F2"/>
    <w:rsid w:val="007552DF"/>
    <w:rsid w:val="00762D48"/>
    <w:rsid w:val="0077409D"/>
    <w:rsid w:val="007A3A25"/>
    <w:rsid w:val="007C534F"/>
    <w:rsid w:val="007E3327"/>
    <w:rsid w:val="008032E7"/>
    <w:rsid w:val="008133BC"/>
    <w:rsid w:val="00831536"/>
    <w:rsid w:val="00846EDE"/>
    <w:rsid w:val="008478C7"/>
    <w:rsid w:val="008616FF"/>
    <w:rsid w:val="00890D33"/>
    <w:rsid w:val="008B6385"/>
    <w:rsid w:val="008C379A"/>
    <w:rsid w:val="008D1B63"/>
    <w:rsid w:val="008E6BD8"/>
    <w:rsid w:val="00914F34"/>
    <w:rsid w:val="00917D2E"/>
    <w:rsid w:val="00922D2B"/>
    <w:rsid w:val="009518E7"/>
    <w:rsid w:val="00993146"/>
    <w:rsid w:val="00995EF6"/>
    <w:rsid w:val="009C7CF9"/>
    <w:rsid w:val="009D37BA"/>
    <w:rsid w:val="009E3E85"/>
    <w:rsid w:val="009F42BE"/>
    <w:rsid w:val="009F5B6E"/>
    <w:rsid w:val="00A24282"/>
    <w:rsid w:val="00A3364E"/>
    <w:rsid w:val="00A50653"/>
    <w:rsid w:val="00A5572D"/>
    <w:rsid w:val="00A86DDC"/>
    <w:rsid w:val="00AA6636"/>
    <w:rsid w:val="00AE1C77"/>
    <w:rsid w:val="00AE6B78"/>
    <w:rsid w:val="00B03DD2"/>
    <w:rsid w:val="00B172D8"/>
    <w:rsid w:val="00B3050E"/>
    <w:rsid w:val="00B32641"/>
    <w:rsid w:val="00B36801"/>
    <w:rsid w:val="00B47468"/>
    <w:rsid w:val="00B50D24"/>
    <w:rsid w:val="00B96772"/>
    <w:rsid w:val="00BA4A5D"/>
    <w:rsid w:val="00BB72D0"/>
    <w:rsid w:val="00BD5C0D"/>
    <w:rsid w:val="00BD5CB2"/>
    <w:rsid w:val="00BE7345"/>
    <w:rsid w:val="00C00CA1"/>
    <w:rsid w:val="00C05C06"/>
    <w:rsid w:val="00C147A4"/>
    <w:rsid w:val="00C157BD"/>
    <w:rsid w:val="00C41BBC"/>
    <w:rsid w:val="00C46EF0"/>
    <w:rsid w:val="00C511CE"/>
    <w:rsid w:val="00C55EDF"/>
    <w:rsid w:val="00C6375B"/>
    <w:rsid w:val="00C651D6"/>
    <w:rsid w:val="00C766FF"/>
    <w:rsid w:val="00C949DF"/>
    <w:rsid w:val="00C94F09"/>
    <w:rsid w:val="00C951C7"/>
    <w:rsid w:val="00CA1EA8"/>
    <w:rsid w:val="00CA7F24"/>
    <w:rsid w:val="00CB13DD"/>
    <w:rsid w:val="00CD1BB0"/>
    <w:rsid w:val="00D0553B"/>
    <w:rsid w:val="00D103A5"/>
    <w:rsid w:val="00D1092A"/>
    <w:rsid w:val="00D17245"/>
    <w:rsid w:val="00D313F5"/>
    <w:rsid w:val="00D358BC"/>
    <w:rsid w:val="00D44665"/>
    <w:rsid w:val="00D57FBB"/>
    <w:rsid w:val="00D7676D"/>
    <w:rsid w:val="00D96AA7"/>
    <w:rsid w:val="00DA6111"/>
    <w:rsid w:val="00DC27BC"/>
    <w:rsid w:val="00DC331D"/>
    <w:rsid w:val="00DC798E"/>
    <w:rsid w:val="00DD7017"/>
    <w:rsid w:val="00DF4563"/>
    <w:rsid w:val="00E002CF"/>
    <w:rsid w:val="00E04218"/>
    <w:rsid w:val="00E224EF"/>
    <w:rsid w:val="00E54F97"/>
    <w:rsid w:val="00E7613A"/>
    <w:rsid w:val="00E83060"/>
    <w:rsid w:val="00EB43F5"/>
    <w:rsid w:val="00EB66A2"/>
    <w:rsid w:val="00EE0D2D"/>
    <w:rsid w:val="00EE129A"/>
    <w:rsid w:val="00EF2296"/>
    <w:rsid w:val="00EF4C1A"/>
    <w:rsid w:val="00F14E13"/>
    <w:rsid w:val="00F5094F"/>
    <w:rsid w:val="00F541E2"/>
    <w:rsid w:val="00F56DBA"/>
    <w:rsid w:val="00F714C4"/>
    <w:rsid w:val="00F8023A"/>
    <w:rsid w:val="00F86AC0"/>
    <w:rsid w:val="00F8716E"/>
    <w:rsid w:val="00F968EC"/>
    <w:rsid w:val="00FA10F9"/>
    <w:rsid w:val="00FA453D"/>
    <w:rsid w:val="00FA48CF"/>
    <w:rsid w:val="00FA49AA"/>
    <w:rsid w:val="00FA650F"/>
    <w:rsid w:val="00FB02CE"/>
    <w:rsid w:val="00FB5FA8"/>
    <w:rsid w:val="00FC0EB5"/>
    <w:rsid w:val="00FD33BB"/>
    <w:rsid w:val="00FE0E6A"/>
    <w:rsid w:val="00FF0AC8"/>
    <w:rsid w:val="00FF15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26922-99A4-4407-83F0-3852CAE2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BC"/>
  </w:style>
  <w:style w:type="paragraph" w:styleId="Heading2">
    <w:name w:val="heading 2"/>
    <w:basedOn w:val="Normal"/>
    <w:link w:val="Heading2Char"/>
    <w:uiPriority w:val="9"/>
    <w:qFormat/>
    <w:rsid w:val="0001076D"/>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1B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BBC"/>
    <w:rPr>
      <w:sz w:val="20"/>
      <w:szCs w:val="20"/>
    </w:rPr>
  </w:style>
  <w:style w:type="character" w:styleId="FootnoteReference">
    <w:name w:val="footnote reference"/>
    <w:basedOn w:val="DefaultParagraphFont"/>
    <w:uiPriority w:val="99"/>
    <w:semiHidden/>
    <w:unhideWhenUsed/>
    <w:rsid w:val="00C41BBC"/>
    <w:rPr>
      <w:vertAlign w:val="superscript"/>
    </w:rPr>
  </w:style>
  <w:style w:type="character" w:styleId="Emphasis">
    <w:name w:val="Emphasis"/>
    <w:basedOn w:val="DefaultParagraphFont"/>
    <w:uiPriority w:val="20"/>
    <w:qFormat/>
    <w:rsid w:val="00DC27BC"/>
    <w:rPr>
      <w:i/>
      <w:iCs/>
    </w:rPr>
  </w:style>
  <w:style w:type="paragraph" w:styleId="NoSpacing">
    <w:name w:val="No Spacing"/>
    <w:uiPriority w:val="1"/>
    <w:qFormat/>
    <w:rsid w:val="00701250"/>
    <w:pPr>
      <w:spacing w:after="0" w:line="240" w:lineRule="auto"/>
    </w:pPr>
  </w:style>
  <w:style w:type="paragraph" w:styleId="NormalWeb">
    <w:name w:val="Normal (Web)"/>
    <w:basedOn w:val="Normal"/>
    <w:uiPriority w:val="99"/>
    <w:unhideWhenUsed/>
    <w:rsid w:val="00AE6B7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7112AF"/>
    <w:pPr>
      <w:ind w:left="720"/>
      <w:contextualSpacing/>
    </w:pPr>
  </w:style>
  <w:style w:type="paragraph" w:styleId="Header">
    <w:name w:val="header"/>
    <w:basedOn w:val="Normal"/>
    <w:link w:val="HeaderChar"/>
    <w:uiPriority w:val="99"/>
    <w:unhideWhenUsed/>
    <w:rsid w:val="00711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2AF"/>
  </w:style>
  <w:style w:type="paragraph" w:styleId="Footer">
    <w:name w:val="footer"/>
    <w:basedOn w:val="Normal"/>
    <w:link w:val="FooterChar"/>
    <w:uiPriority w:val="99"/>
    <w:unhideWhenUsed/>
    <w:rsid w:val="00711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2AF"/>
  </w:style>
  <w:style w:type="paragraph" w:styleId="BalloonText">
    <w:name w:val="Balloon Text"/>
    <w:basedOn w:val="Normal"/>
    <w:link w:val="BalloonTextChar"/>
    <w:uiPriority w:val="99"/>
    <w:semiHidden/>
    <w:unhideWhenUsed/>
    <w:rsid w:val="009F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6E"/>
    <w:rPr>
      <w:rFonts w:ascii="Segoe UI" w:hAnsi="Segoe UI" w:cs="Segoe UI"/>
      <w:sz w:val="18"/>
      <w:szCs w:val="18"/>
    </w:rPr>
  </w:style>
  <w:style w:type="character" w:customStyle="1" w:styleId="Heading2Char">
    <w:name w:val="Heading 2 Char"/>
    <w:basedOn w:val="DefaultParagraphFont"/>
    <w:link w:val="Heading2"/>
    <w:uiPriority w:val="9"/>
    <w:rsid w:val="0001076D"/>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7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221B-DE90-4714-8850-6BAB4662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12549</Words>
  <Characters>71533</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2022-11-24T22:10:00Z</cp:lastPrinted>
  <dcterms:created xsi:type="dcterms:W3CDTF">2022-12-06T04:26:00Z</dcterms:created>
  <dcterms:modified xsi:type="dcterms:W3CDTF">2022-12-06T04:26:00Z</dcterms:modified>
</cp:coreProperties>
</file>