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8DD0" w14:textId="77777777" w:rsidR="00EE5395" w:rsidRPr="009F2288" w:rsidRDefault="00EE5395" w:rsidP="00EE5395">
      <w:pPr>
        <w:spacing w:line="360" w:lineRule="auto"/>
        <w:jc w:val="center"/>
        <w:rPr>
          <w:rFonts w:ascii="Arial" w:eastAsia="Calibri" w:hAnsi="Arial" w:cs="Arial"/>
          <w:b/>
          <w:color w:val="000000" w:themeColor="text1"/>
          <w:sz w:val="28"/>
          <w:szCs w:val="28"/>
          <w:u w:val="single"/>
        </w:rPr>
      </w:pPr>
      <w:r w:rsidRPr="009F2288">
        <w:rPr>
          <w:rFonts w:ascii="Arial" w:hAnsi="Arial" w:cs="Arial"/>
          <w:noProof/>
          <w:color w:val="000000" w:themeColor="text1"/>
        </w:rPr>
        <w:drawing>
          <wp:inline distT="0" distB="0" distL="0" distR="0" wp14:anchorId="1034D325" wp14:editId="5594E431">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6003D21" w14:textId="77777777" w:rsidR="00EE5395" w:rsidRPr="009F2288" w:rsidRDefault="00EE5395" w:rsidP="00EE5395">
      <w:pPr>
        <w:spacing w:line="360" w:lineRule="auto"/>
        <w:jc w:val="center"/>
        <w:rPr>
          <w:rFonts w:ascii="Arial" w:eastAsia="Calibri" w:hAnsi="Arial" w:cs="Arial"/>
          <w:b/>
          <w:color w:val="000000" w:themeColor="text1"/>
          <w:sz w:val="28"/>
          <w:szCs w:val="28"/>
          <w:u w:val="single"/>
        </w:rPr>
      </w:pPr>
      <w:r w:rsidRPr="009F2288">
        <w:rPr>
          <w:rFonts w:ascii="Arial" w:eastAsia="Calibri" w:hAnsi="Arial" w:cs="Arial"/>
          <w:b/>
          <w:color w:val="000000" w:themeColor="text1"/>
          <w:sz w:val="28"/>
          <w:szCs w:val="28"/>
          <w:u w:val="single"/>
        </w:rPr>
        <w:t>IN THE HIGH COURT OF SOUTH AFRICA</w:t>
      </w:r>
    </w:p>
    <w:p w14:paraId="7235E949" w14:textId="77777777" w:rsidR="00EE5395" w:rsidRPr="009F2288" w:rsidRDefault="00EE5395" w:rsidP="00EE5395">
      <w:pPr>
        <w:spacing w:line="360" w:lineRule="auto"/>
        <w:jc w:val="center"/>
        <w:rPr>
          <w:rFonts w:ascii="Arial" w:eastAsia="Calibri" w:hAnsi="Arial" w:cs="Arial"/>
          <w:b/>
          <w:color w:val="000000" w:themeColor="text1"/>
          <w:sz w:val="28"/>
          <w:szCs w:val="28"/>
        </w:rPr>
      </w:pPr>
      <w:r w:rsidRPr="009F2288">
        <w:rPr>
          <w:rFonts w:ascii="Arial" w:eastAsia="Calibri" w:hAnsi="Arial" w:cs="Arial"/>
          <w:b/>
          <w:color w:val="000000" w:themeColor="text1"/>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tblGrid>
      <w:tr w:rsidR="00EE5395" w:rsidRPr="009F2288" w14:paraId="67AF0DC0" w14:textId="77777777" w:rsidTr="0055364A">
        <w:tc>
          <w:tcPr>
            <w:tcW w:w="4815" w:type="dxa"/>
          </w:tcPr>
          <w:p w14:paraId="19438E9B" w14:textId="77777777" w:rsidR="00EE5395" w:rsidRPr="009F2288" w:rsidRDefault="00EE5395" w:rsidP="0055364A">
            <w:pPr>
              <w:spacing w:line="240" w:lineRule="auto"/>
              <w:rPr>
                <w:rFonts w:ascii="Arial" w:eastAsia="Calibri" w:hAnsi="Arial" w:cs="Arial"/>
                <w:b/>
                <w:color w:val="000000" w:themeColor="text1"/>
                <w:sz w:val="18"/>
                <w:szCs w:val="18"/>
              </w:rPr>
            </w:pPr>
            <w:r w:rsidRPr="009F2288">
              <w:rPr>
                <w:rFonts w:ascii="Arial" w:eastAsia="Calibri" w:hAnsi="Arial" w:cs="Arial"/>
                <w:b/>
                <w:color w:val="000000" w:themeColor="text1"/>
                <w:sz w:val="18"/>
                <w:szCs w:val="18"/>
              </w:rPr>
              <w:t>DELETE WHICHEVER IS NOT APPLICABLE</w:t>
            </w:r>
          </w:p>
          <w:p w14:paraId="4FC2982A" w14:textId="77777777" w:rsidR="00EE5395" w:rsidRPr="009F2288" w:rsidRDefault="00EE5395" w:rsidP="0055364A">
            <w:pPr>
              <w:spacing w:line="240" w:lineRule="auto"/>
              <w:rPr>
                <w:rFonts w:ascii="Arial" w:eastAsia="Calibri" w:hAnsi="Arial" w:cs="Arial"/>
                <w:b/>
                <w:color w:val="000000" w:themeColor="text1"/>
                <w:sz w:val="18"/>
                <w:szCs w:val="18"/>
              </w:rPr>
            </w:pPr>
            <w:r w:rsidRPr="009F2288">
              <w:rPr>
                <w:rFonts w:ascii="Arial" w:eastAsia="Calibri" w:hAnsi="Arial" w:cs="Arial"/>
                <w:b/>
                <w:color w:val="000000" w:themeColor="text1"/>
                <w:sz w:val="18"/>
                <w:szCs w:val="18"/>
              </w:rPr>
              <w:t>(1) REPORTABLE:  NO.</w:t>
            </w:r>
          </w:p>
          <w:p w14:paraId="77546483" w14:textId="77777777" w:rsidR="00EE5395" w:rsidRPr="009F2288" w:rsidRDefault="00EE5395" w:rsidP="0055364A">
            <w:pPr>
              <w:spacing w:line="240" w:lineRule="auto"/>
              <w:rPr>
                <w:rFonts w:ascii="Arial" w:eastAsia="Calibri" w:hAnsi="Arial" w:cs="Arial"/>
                <w:b/>
                <w:color w:val="000000" w:themeColor="text1"/>
                <w:sz w:val="18"/>
                <w:szCs w:val="18"/>
              </w:rPr>
            </w:pPr>
            <w:r w:rsidRPr="009F2288">
              <w:rPr>
                <w:rFonts w:ascii="Arial" w:eastAsia="Calibri" w:hAnsi="Arial" w:cs="Arial"/>
                <w:b/>
                <w:color w:val="000000" w:themeColor="text1"/>
                <w:sz w:val="18"/>
                <w:szCs w:val="18"/>
              </w:rPr>
              <w:t>(2) OF INTEREST TO OTHER JUDGES:  NO.</w:t>
            </w:r>
          </w:p>
          <w:p w14:paraId="7BA0ECF3" w14:textId="5D96D4B2" w:rsidR="00EE5395" w:rsidRPr="009F2288" w:rsidRDefault="00EE5395" w:rsidP="00BC1839">
            <w:pPr>
              <w:spacing w:line="240" w:lineRule="auto"/>
              <w:rPr>
                <w:rFonts w:ascii="Arial" w:eastAsia="Calibri" w:hAnsi="Arial" w:cs="Arial"/>
                <w:b/>
                <w:color w:val="000000" w:themeColor="text1"/>
                <w:sz w:val="18"/>
                <w:szCs w:val="18"/>
                <w:u w:val="single"/>
              </w:rPr>
            </w:pPr>
            <w:r w:rsidRPr="009F2288">
              <w:rPr>
                <w:rFonts w:ascii="Arial" w:eastAsia="Calibri" w:hAnsi="Arial" w:cs="Arial"/>
                <w:b/>
                <w:color w:val="000000" w:themeColor="text1"/>
                <w:sz w:val="18"/>
                <w:szCs w:val="18"/>
                <w:u w:val="single"/>
              </w:rPr>
              <w:t>DATE</w:t>
            </w:r>
            <w:r w:rsidRPr="009F2288">
              <w:rPr>
                <w:rFonts w:ascii="Arial" w:eastAsia="Calibri" w:hAnsi="Arial" w:cs="Arial"/>
                <w:b/>
                <w:color w:val="000000" w:themeColor="text1"/>
                <w:sz w:val="18"/>
                <w:szCs w:val="18"/>
              </w:rPr>
              <w:t xml:space="preserve"> </w:t>
            </w:r>
            <w:r w:rsidR="00070356">
              <w:rPr>
                <w:rFonts w:ascii="Arial" w:eastAsia="Calibri" w:hAnsi="Arial" w:cs="Arial"/>
                <w:b/>
                <w:color w:val="000000" w:themeColor="text1"/>
                <w:sz w:val="18"/>
                <w:szCs w:val="18"/>
              </w:rPr>
              <w:t>25 NOVEMBER</w:t>
            </w:r>
            <w:r w:rsidR="00BC1839">
              <w:rPr>
                <w:rFonts w:ascii="Arial" w:eastAsia="Calibri" w:hAnsi="Arial" w:cs="Arial"/>
                <w:b/>
                <w:color w:val="000000" w:themeColor="text1"/>
                <w:sz w:val="18"/>
                <w:szCs w:val="18"/>
              </w:rPr>
              <w:t xml:space="preserve"> 2022 </w:t>
            </w:r>
            <w:r w:rsidRPr="009F2288">
              <w:rPr>
                <w:rFonts w:ascii="Arial" w:eastAsia="Calibri" w:hAnsi="Arial" w:cs="Arial"/>
                <w:b/>
                <w:color w:val="000000" w:themeColor="text1"/>
                <w:sz w:val="18"/>
                <w:szCs w:val="18"/>
                <w:u w:val="single"/>
              </w:rPr>
              <w:t>SIGNATURE</w:t>
            </w:r>
          </w:p>
        </w:tc>
      </w:tr>
    </w:tbl>
    <w:p w14:paraId="41AF791C" w14:textId="77777777" w:rsidR="00EE5395" w:rsidRPr="007A5D76" w:rsidRDefault="00EE5395" w:rsidP="00EE5395">
      <w:pPr>
        <w:spacing w:line="360" w:lineRule="auto"/>
        <w:jc w:val="right"/>
        <w:rPr>
          <w:rFonts w:ascii="Arial" w:eastAsia="Calibri" w:hAnsi="Arial" w:cs="Arial"/>
          <w:color w:val="000000" w:themeColor="text1"/>
          <w:sz w:val="24"/>
          <w:szCs w:val="24"/>
        </w:rPr>
      </w:pPr>
      <w:r w:rsidRPr="007A5D76">
        <w:rPr>
          <w:rFonts w:ascii="Arial" w:eastAsia="Calibri" w:hAnsi="Arial" w:cs="Arial"/>
          <w:color w:val="000000" w:themeColor="text1"/>
          <w:sz w:val="24"/>
          <w:szCs w:val="24"/>
        </w:rPr>
        <w:t xml:space="preserve">Case Number: </w:t>
      </w:r>
      <w:r w:rsidR="00E32323" w:rsidRPr="007A5D76">
        <w:rPr>
          <w:rFonts w:ascii="Arial" w:eastAsia="Calibri" w:hAnsi="Arial" w:cs="Arial"/>
          <w:color w:val="000000" w:themeColor="text1"/>
          <w:sz w:val="24"/>
          <w:szCs w:val="24"/>
        </w:rPr>
        <w:t>9179/2017</w:t>
      </w:r>
    </w:p>
    <w:p w14:paraId="03C5F267" w14:textId="77777777" w:rsidR="00EE5395" w:rsidRPr="007A5D76" w:rsidRDefault="00EE5395" w:rsidP="00EE5395">
      <w:pPr>
        <w:spacing w:line="360" w:lineRule="auto"/>
        <w:jc w:val="both"/>
        <w:rPr>
          <w:rFonts w:ascii="Arial" w:eastAsia="Calibri" w:hAnsi="Arial" w:cs="Arial"/>
          <w:color w:val="000000" w:themeColor="text1"/>
          <w:sz w:val="24"/>
          <w:szCs w:val="24"/>
        </w:rPr>
      </w:pPr>
      <w:r w:rsidRPr="007A5D76">
        <w:rPr>
          <w:rFonts w:ascii="Arial" w:eastAsia="Calibri" w:hAnsi="Arial" w:cs="Arial"/>
          <w:color w:val="000000" w:themeColor="text1"/>
          <w:sz w:val="24"/>
          <w:szCs w:val="24"/>
        </w:rPr>
        <w:t>In the matter between:</w:t>
      </w:r>
    </w:p>
    <w:p w14:paraId="5BF11AFB" w14:textId="77777777" w:rsidR="00EE5395" w:rsidRPr="007A5D76" w:rsidRDefault="00E32323" w:rsidP="00EE5395">
      <w:pPr>
        <w:spacing w:line="360" w:lineRule="auto"/>
        <w:rPr>
          <w:rFonts w:ascii="Arial" w:hAnsi="Arial" w:cs="Arial"/>
          <w:color w:val="000000" w:themeColor="text1"/>
          <w:sz w:val="24"/>
          <w:szCs w:val="24"/>
        </w:rPr>
      </w:pPr>
      <w:r w:rsidRPr="007A5D76">
        <w:rPr>
          <w:rFonts w:ascii="Arial" w:hAnsi="Arial" w:cs="Arial"/>
          <w:b/>
          <w:color w:val="000000" w:themeColor="text1"/>
          <w:sz w:val="24"/>
          <w:szCs w:val="24"/>
        </w:rPr>
        <w:t>ZELDA LYNN HOLTZMAN</w:t>
      </w:r>
      <w:r w:rsidR="00EE5395" w:rsidRPr="007A5D76">
        <w:rPr>
          <w:rFonts w:ascii="Arial" w:hAnsi="Arial" w:cs="Arial"/>
          <w:b/>
          <w:color w:val="000000" w:themeColor="text1"/>
          <w:sz w:val="24"/>
          <w:szCs w:val="24"/>
        </w:rPr>
        <w:tab/>
      </w:r>
      <w:r w:rsidR="00EE5395" w:rsidRPr="007A5D76">
        <w:rPr>
          <w:rFonts w:ascii="Arial" w:hAnsi="Arial" w:cs="Arial"/>
          <w:b/>
          <w:color w:val="000000" w:themeColor="text1"/>
          <w:sz w:val="24"/>
          <w:szCs w:val="24"/>
        </w:rPr>
        <w:tab/>
      </w:r>
      <w:r w:rsidRPr="007A5D76">
        <w:rPr>
          <w:rFonts w:ascii="Arial" w:hAnsi="Arial" w:cs="Arial"/>
          <w:b/>
          <w:color w:val="000000" w:themeColor="text1"/>
          <w:sz w:val="24"/>
          <w:szCs w:val="24"/>
        </w:rPr>
        <w:tab/>
      </w:r>
      <w:r w:rsidRPr="007A5D76">
        <w:rPr>
          <w:rFonts w:ascii="Arial" w:hAnsi="Arial" w:cs="Arial"/>
          <w:b/>
          <w:color w:val="000000" w:themeColor="text1"/>
          <w:sz w:val="24"/>
          <w:szCs w:val="24"/>
        </w:rPr>
        <w:tab/>
      </w:r>
      <w:r w:rsidRPr="007A5D76">
        <w:rPr>
          <w:rFonts w:ascii="Arial" w:hAnsi="Arial" w:cs="Arial"/>
          <w:b/>
          <w:color w:val="000000" w:themeColor="text1"/>
          <w:sz w:val="24"/>
          <w:szCs w:val="24"/>
        </w:rPr>
        <w:tab/>
      </w:r>
      <w:r w:rsidRPr="007A5D76">
        <w:rPr>
          <w:rFonts w:ascii="Arial" w:hAnsi="Arial" w:cs="Arial"/>
          <w:b/>
          <w:color w:val="000000" w:themeColor="text1"/>
          <w:sz w:val="24"/>
          <w:szCs w:val="24"/>
        </w:rPr>
        <w:tab/>
        <w:t xml:space="preserve">   </w:t>
      </w:r>
      <w:r w:rsidR="007A5D76">
        <w:rPr>
          <w:rFonts w:ascii="Arial" w:hAnsi="Arial" w:cs="Arial"/>
          <w:b/>
          <w:color w:val="000000" w:themeColor="text1"/>
          <w:sz w:val="24"/>
          <w:szCs w:val="24"/>
        </w:rPr>
        <w:t xml:space="preserve">    </w:t>
      </w:r>
      <w:r w:rsidRPr="007A5D76">
        <w:rPr>
          <w:rFonts w:ascii="Arial" w:hAnsi="Arial" w:cs="Arial"/>
          <w:color w:val="000000" w:themeColor="text1"/>
          <w:sz w:val="24"/>
          <w:szCs w:val="24"/>
        </w:rPr>
        <w:t xml:space="preserve">First Plaintiff </w:t>
      </w:r>
    </w:p>
    <w:p w14:paraId="4BA4E68D" w14:textId="77777777" w:rsidR="00E32323" w:rsidRPr="007A5D76" w:rsidRDefault="00E32323" w:rsidP="00EE5395">
      <w:pPr>
        <w:spacing w:line="360" w:lineRule="auto"/>
        <w:rPr>
          <w:rFonts w:ascii="Arial" w:hAnsi="Arial" w:cs="Arial"/>
          <w:b/>
          <w:color w:val="000000" w:themeColor="text1"/>
          <w:sz w:val="24"/>
          <w:szCs w:val="24"/>
        </w:rPr>
      </w:pPr>
      <w:r w:rsidRPr="007A5D76">
        <w:rPr>
          <w:rFonts w:ascii="Arial" w:hAnsi="Arial" w:cs="Arial"/>
          <w:b/>
          <w:color w:val="000000" w:themeColor="text1"/>
          <w:sz w:val="24"/>
          <w:szCs w:val="24"/>
        </w:rPr>
        <w:t xml:space="preserve">THE EXECUTOR IN THE ESTATE OF THE LATE </w:t>
      </w:r>
    </w:p>
    <w:p w14:paraId="102D811F" w14:textId="77777777" w:rsidR="00E32323" w:rsidRPr="007A5D76" w:rsidRDefault="00E32323" w:rsidP="00EE5395">
      <w:pPr>
        <w:spacing w:line="360" w:lineRule="auto"/>
        <w:rPr>
          <w:rFonts w:ascii="Arial" w:hAnsi="Arial" w:cs="Arial"/>
          <w:color w:val="000000" w:themeColor="text1"/>
          <w:sz w:val="24"/>
          <w:szCs w:val="24"/>
        </w:rPr>
      </w:pPr>
      <w:r w:rsidRPr="007A5D76">
        <w:rPr>
          <w:rFonts w:ascii="Arial" w:hAnsi="Arial" w:cs="Arial"/>
          <w:b/>
          <w:color w:val="000000" w:themeColor="text1"/>
          <w:sz w:val="24"/>
          <w:szCs w:val="24"/>
        </w:rPr>
        <w:t>ALAN DUNNE N.O.</w:t>
      </w:r>
      <w:r w:rsidRPr="007A5D76">
        <w:rPr>
          <w:rFonts w:ascii="Arial" w:hAnsi="Arial" w:cs="Arial"/>
          <w:color w:val="000000" w:themeColor="text1"/>
          <w:sz w:val="24"/>
          <w:szCs w:val="24"/>
        </w:rPr>
        <w:t xml:space="preserve">                                                          </w:t>
      </w:r>
      <w:r w:rsidR="007A5D76">
        <w:rPr>
          <w:rFonts w:ascii="Arial" w:hAnsi="Arial" w:cs="Arial"/>
          <w:color w:val="000000" w:themeColor="text1"/>
          <w:sz w:val="24"/>
          <w:szCs w:val="24"/>
        </w:rPr>
        <w:t xml:space="preserve">                    </w:t>
      </w:r>
      <w:r w:rsidRPr="007A5D76">
        <w:rPr>
          <w:rFonts w:ascii="Arial" w:hAnsi="Arial" w:cs="Arial"/>
          <w:color w:val="000000" w:themeColor="text1"/>
          <w:sz w:val="24"/>
          <w:szCs w:val="24"/>
        </w:rPr>
        <w:t xml:space="preserve">Second Plaintiff </w:t>
      </w:r>
    </w:p>
    <w:p w14:paraId="3CBF4A32" w14:textId="77777777" w:rsidR="00EE5395" w:rsidRPr="007A5D76" w:rsidRDefault="00EE5395" w:rsidP="00EE5395">
      <w:pPr>
        <w:spacing w:line="360" w:lineRule="auto"/>
        <w:rPr>
          <w:rFonts w:ascii="Arial" w:hAnsi="Arial" w:cs="Arial"/>
          <w:color w:val="000000" w:themeColor="text1"/>
          <w:sz w:val="24"/>
          <w:szCs w:val="24"/>
        </w:rPr>
      </w:pPr>
      <w:r w:rsidRPr="007A5D76">
        <w:rPr>
          <w:rFonts w:ascii="Arial" w:hAnsi="Arial" w:cs="Arial"/>
          <w:color w:val="000000" w:themeColor="text1"/>
          <w:sz w:val="24"/>
          <w:szCs w:val="24"/>
        </w:rPr>
        <w:t>and</w:t>
      </w:r>
    </w:p>
    <w:p w14:paraId="118E2207" w14:textId="77777777" w:rsidR="00EE5395" w:rsidRPr="007A5D76" w:rsidRDefault="006E0D2A" w:rsidP="00EE5395">
      <w:pPr>
        <w:spacing w:line="360" w:lineRule="auto"/>
        <w:rPr>
          <w:rFonts w:ascii="Arial" w:hAnsi="Arial" w:cs="Arial"/>
          <w:color w:val="000000" w:themeColor="text1"/>
          <w:sz w:val="24"/>
          <w:szCs w:val="24"/>
        </w:rPr>
      </w:pPr>
      <w:r>
        <w:rPr>
          <w:rFonts w:ascii="Arial" w:hAnsi="Arial" w:cs="Arial"/>
          <w:b/>
          <w:color w:val="000000" w:themeColor="text1"/>
          <w:sz w:val="24"/>
          <w:szCs w:val="24"/>
        </w:rPr>
        <w:t>SIGN AND SEAL TRADING</w:t>
      </w:r>
      <w:r w:rsidR="00E32323" w:rsidRPr="007A5D76">
        <w:rPr>
          <w:rFonts w:ascii="Arial" w:hAnsi="Arial" w:cs="Arial"/>
          <w:b/>
          <w:color w:val="000000" w:themeColor="text1"/>
          <w:sz w:val="24"/>
          <w:szCs w:val="24"/>
        </w:rPr>
        <w:t xml:space="preserve"> 32 (PTY) LIMITED               </w:t>
      </w:r>
      <w:r w:rsidR="007A5D76">
        <w:rPr>
          <w:rFonts w:ascii="Arial" w:hAnsi="Arial" w:cs="Arial"/>
          <w:b/>
          <w:color w:val="000000" w:themeColor="text1"/>
          <w:sz w:val="24"/>
          <w:szCs w:val="24"/>
        </w:rPr>
        <w:t xml:space="preserve">                   </w:t>
      </w:r>
      <w:r w:rsidR="00E32323" w:rsidRPr="007A5D76">
        <w:rPr>
          <w:rFonts w:ascii="Arial" w:hAnsi="Arial" w:cs="Arial"/>
          <w:color w:val="000000" w:themeColor="text1"/>
          <w:sz w:val="24"/>
          <w:szCs w:val="24"/>
        </w:rPr>
        <w:t xml:space="preserve">First Defendant </w:t>
      </w:r>
    </w:p>
    <w:p w14:paraId="14BC336C" w14:textId="77777777" w:rsidR="00E32323" w:rsidRPr="007A5D76" w:rsidRDefault="00E32323" w:rsidP="00EE5395">
      <w:pPr>
        <w:spacing w:line="360" w:lineRule="auto"/>
        <w:rPr>
          <w:rFonts w:ascii="Arial" w:hAnsi="Arial" w:cs="Arial"/>
          <w:color w:val="000000" w:themeColor="text1"/>
          <w:sz w:val="24"/>
          <w:szCs w:val="24"/>
        </w:rPr>
      </w:pPr>
      <w:r w:rsidRPr="007A5D76">
        <w:rPr>
          <w:rFonts w:ascii="Arial" w:hAnsi="Arial" w:cs="Arial"/>
          <w:b/>
          <w:color w:val="000000" w:themeColor="text1"/>
          <w:sz w:val="24"/>
          <w:szCs w:val="24"/>
        </w:rPr>
        <w:t>BULLET PROOF INVESTMENTS (PTY) LIMITED</w:t>
      </w:r>
      <w:r w:rsidRPr="007A5D76">
        <w:rPr>
          <w:rFonts w:ascii="Arial" w:hAnsi="Arial" w:cs="Arial"/>
          <w:color w:val="000000" w:themeColor="text1"/>
          <w:sz w:val="24"/>
          <w:szCs w:val="24"/>
        </w:rPr>
        <w:t xml:space="preserve">     </w:t>
      </w:r>
      <w:r w:rsidR="007A5D76">
        <w:rPr>
          <w:rFonts w:ascii="Arial" w:hAnsi="Arial" w:cs="Arial"/>
          <w:color w:val="000000" w:themeColor="text1"/>
          <w:sz w:val="24"/>
          <w:szCs w:val="24"/>
        </w:rPr>
        <w:t xml:space="preserve">                    </w:t>
      </w:r>
      <w:r w:rsidRPr="007A5D76">
        <w:rPr>
          <w:rFonts w:ascii="Arial" w:hAnsi="Arial" w:cs="Arial"/>
          <w:color w:val="000000" w:themeColor="text1"/>
          <w:sz w:val="24"/>
          <w:szCs w:val="24"/>
        </w:rPr>
        <w:t xml:space="preserve">Second Defendant </w:t>
      </w:r>
    </w:p>
    <w:p w14:paraId="130D77A6" w14:textId="77777777" w:rsidR="00E32323" w:rsidRPr="007A5D76" w:rsidRDefault="00E32323" w:rsidP="00EE5395">
      <w:pPr>
        <w:spacing w:line="360" w:lineRule="auto"/>
        <w:rPr>
          <w:rFonts w:ascii="Arial" w:hAnsi="Arial" w:cs="Arial"/>
          <w:color w:val="000000" w:themeColor="text1"/>
          <w:sz w:val="24"/>
          <w:szCs w:val="24"/>
        </w:rPr>
      </w:pPr>
      <w:r w:rsidRPr="007A5D76">
        <w:rPr>
          <w:rFonts w:ascii="Arial" w:hAnsi="Arial" w:cs="Arial"/>
          <w:b/>
          <w:color w:val="000000" w:themeColor="text1"/>
          <w:sz w:val="24"/>
          <w:szCs w:val="24"/>
        </w:rPr>
        <w:t>INTO SA TSHWANE (PTY) LIMITED</w:t>
      </w:r>
      <w:r w:rsidRPr="007A5D76">
        <w:rPr>
          <w:rFonts w:ascii="Arial" w:hAnsi="Arial" w:cs="Arial"/>
          <w:color w:val="000000" w:themeColor="text1"/>
          <w:sz w:val="24"/>
          <w:szCs w:val="24"/>
        </w:rPr>
        <w:t xml:space="preserve">                              </w:t>
      </w:r>
      <w:r w:rsidR="007A5D76">
        <w:rPr>
          <w:rFonts w:ascii="Arial" w:hAnsi="Arial" w:cs="Arial"/>
          <w:color w:val="000000" w:themeColor="text1"/>
          <w:sz w:val="24"/>
          <w:szCs w:val="24"/>
        </w:rPr>
        <w:t xml:space="preserve">                   </w:t>
      </w:r>
      <w:r w:rsidRPr="007A5D76">
        <w:rPr>
          <w:rFonts w:ascii="Arial" w:hAnsi="Arial" w:cs="Arial"/>
          <w:color w:val="000000" w:themeColor="text1"/>
          <w:sz w:val="24"/>
          <w:szCs w:val="24"/>
        </w:rPr>
        <w:t xml:space="preserve">Third Defendant </w:t>
      </w:r>
    </w:p>
    <w:p w14:paraId="06B3E4BD" w14:textId="77777777" w:rsidR="00E32323" w:rsidRPr="007A5D76" w:rsidRDefault="00E32323" w:rsidP="00EE5395">
      <w:pPr>
        <w:spacing w:line="360" w:lineRule="auto"/>
        <w:rPr>
          <w:rFonts w:ascii="Arial" w:hAnsi="Arial" w:cs="Arial"/>
          <w:color w:val="000000" w:themeColor="text1"/>
          <w:sz w:val="24"/>
          <w:szCs w:val="24"/>
        </w:rPr>
      </w:pPr>
      <w:r w:rsidRPr="007A5D76">
        <w:rPr>
          <w:rFonts w:ascii="Arial" w:hAnsi="Arial" w:cs="Arial"/>
          <w:b/>
          <w:color w:val="000000" w:themeColor="text1"/>
          <w:sz w:val="24"/>
          <w:szCs w:val="24"/>
        </w:rPr>
        <w:t>RALPH MICHAEL ERTNER</w:t>
      </w:r>
      <w:r w:rsidRPr="007A5D76">
        <w:rPr>
          <w:rFonts w:ascii="Arial" w:hAnsi="Arial" w:cs="Arial"/>
          <w:color w:val="000000" w:themeColor="text1"/>
          <w:sz w:val="24"/>
          <w:szCs w:val="24"/>
        </w:rPr>
        <w:t xml:space="preserve">                                          </w:t>
      </w:r>
      <w:r w:rsidR="007A5D76">
        <w:rPr>
          <w:rFonts w:ascii="Arial" w:hAnsi="Arial" w:cs="Arial"/>
          <w:color w:val="000000" w:themeColor="text1"/>
          <w:sz w:val="24"/>
          <w:szCs w:val="24"/>
        </w:rPr>
        <w:t xml:space="preserve">                   </w:t>
      </w:r>
      <w:r w:rsidRPr="007A5D76">
        <w:rPr>
          <w:rFonts w:ascii="Arial" w:hAnsi="Arial" w:cs="Arial"/>
          <w:color w:val="000000" w:themeColor="text1"/>
          <w:sz w:val="24"/>
          <w:szCs w:val="24"/>
        </w:rPr>
        <w:t xml:space="preserve">Fourth Defendant </w:t>
      </w:r>
    </w:p>
    <w:p w14:paraId="3E5ADA70" w14:textId="77777777" w:rsidR="00EE5395" w:rsidRPr="009F2288" w:rsidRDefault="00EE5395" w:rsidP="00EE5395">
      <w:pPr>
        <w:spacing w:after="0" w:line="360" w:lineRule="auto"/>
        <w:rPr>
          <w:rFonts w:ascii="Arial" w:hAnsi="Arial" w:cs="Arial"/>
          <w:color w:val="000000" w:themeColor="text1"/>
          <w:sz w:val="20"/>
          <w:szCs w:val="20"/>
        </w:rPr>
      </w:pPr>
    </w:p>
    <w:p w14:paraId="3E7AC1DF" w14:textId="77777777" w:rsidR="00EE5395" w:rsidRPr="009F2288" w:rsidRDefault="00EE5395" w:rsidP="00EE5395">
      <w:pPr>
        <w:pBdr>
          <w:top w:val="single" w:sz="12" w:space="1" w:color="auto"/>
          <w:bottom w:val="single" w:sz="12" w:space="11" w:color="auto"/>
        </w:pBdr>
        <w:spacing w:after="0" w:line="360" w:lineRule="auto"/>
        <w:jc w:val="center"/>
        <w:rPr>
          <w:rFonts w:ascii="Arial" w:hAnsi="Arial" w:cs="Arial"/>
          <w:b/>
          <w:color w:val="000000" w:themeColor="text1"/>
          <w:sz w:val="28"/>
          <w:szCs w:val="28"/>
        </w:rPr>
      </w:pPr>
    </w:p>
    <w:p w14:paraId="066C50EC" w14:textId="77777777" w:rsidR="00EE5395" w:rsidRPr="009F2288" w:rsidRDefault="00EE5395" w:rsidP="00EE5395">
      <w:pPr>
        <w:pBdr>
          <w:top w:val="single" w:sz="12" w:space="1" w:color="auto"/>
          <w:bottom w:val="single" w:sz="12" w:space="11" w:color="auto"/>
        </w:pBdr>
        <w:spacing w:after="0" w:line="360" w:lineRule="auto"/>
        <w:jc w:val="center"/>
        <w:rPr>
          <w:rFonts w:ascii="Arial" w:hAnsi="Arial" w:cs="Arial"/>
          <w:b/>
          <w:color w:val="000000" w:themeColor="text1"/>
          <w:sz w:val="28"/>
          <w:szCs w:val="28"/>
        </w:rPr>
      </w:pPr>
      <w:r w:rsidRPr="009F2288">
        <w:rPr>
          <w:rFonts w:ascii="Arial" w:hAnsi="Arial" w:cs="Arial"/>
          <w:b/>
          <w:color w:val="000000" w:themeColor="text1"/>
          <w:sz w:val="28"/>
          <w:szCs w:val="28"/>
        </w:rPr>
        <w:t>JUDGMENT</w:t>
      </w:r>
    </w:p>
    <w:p w14:paraId="04691719" w14:textId="77777777" w:rsidR="00CD72A4" w:rsidRDefault="00CD72A4" w:rsidP="00BC1839">
      <w:pPr>
        <w:spacing w:after="360" w:line="360" w:lineRule="auto"/>
        <w:rPr>
          <w:rFonts w:ascii="Arial" w:hAnsi="Arial" w:cs="Arial"/>
          <w:b/>
          <w:color w:val="000000" w:themeColor="text1"/>
          <w:sz w:val="24"/>
          <w:szCs w:val="24"/>
        </w:rPr>
      </w:pPr>
    </w:p>
    <w:p w14:paraId="4EA7D7BF" w14:textId="77777777" w:rsidR="00276401" w:rsidRDefault="00276401" w:rsidP="00BC1839">
      <w:pPr>
        <w:spacing w:after="360" w:line="360" w:lineRule="auto"/>
        <w:rPr>
          <w:rFonts w:ascii="Arial" w:hAnsi="Arial" w:cs="Arial"/>
          <w:b/>
          <w:color w:val="000000" w:themeColor="text1"/>
          <w:sz w:val="24"/>
          <w:szCs w:val="24"/>
        </w:rPr>
      </w:pPr>
    </w:p>
    <w:p w14:paraId="180CA709" w14:textId="77777777" w:rsidR="00EE5395" w:rsidRPr="00BC1839" w:rsidRDefault="00EE5395" w:rsidP="00BC1839">
      <w:pPr>
        <w:spacing w:after="360" w:line="360" w:lineRule="auto"/>
        <w:rPr>
          <w:rFonts w:ascii="Arial" w:hAnsi="Arial" w:cs="Arial"/>
          <w:b/>
          <w:color w:val="000000" w:themeColor="text1"/>
          <w:sz w:val="24"/>
          <w:szCs w:val="24"/>
        </w:rPr>
      </w:pPr>
      <w:r w:rsidRPr="009F2288">
        <w:rPr>
          <w:rFonts w:ascii="Arial" w:hAnsi="Arial" w:cs="Arial"/>
          <w:b/>
          <w:color w:val="000000" w:themeColor="text1"/>
          <w:sz w:val="24"/>
          <w:szCs w:val="24"/>
        </w:rPr>
        <w:lastRenderedPageBreak/>
        <w:t>BESTER, AJ</w:t>
      </w:r>
    </w:p>
    <w:p w14:paraId="54AA04CE" w14:textId="0A63EFE1" w:rsidR="001154EC" w:rsidRDefault="00C12554" w:rsidP="00C12554">
      <w:pPr>
        <w:pStyle w:val="1"/>
        <w:numPr>
          <w:ilvl w:val="0"/>
          <w:numId w:val="0"/>
        </w:numPr>
        <w:tabs>
          <w:tab w:val="left" w:pos="567"/>
        </w:tabs>
        <w:ind w:left="567" w:hanging="567"/>
      </w:pPr>
      <w:r>
        <w:rPr>
          <w:bCs w:val="0"/>
          <w:lang w:val="en-ZA"/>
        </w:rPr>
        <w:t>1.</w:t>
      </w:r>
      <w:r>
        <w:rPr>
          <w:bCs w:val="0"/>
          <w:lang w:val="en-ZA"/>
        </w:rPr>
        <w:tab/>
      </w:r>
      <w:r w:rsidR="008A2692">
        <w:t>Th</w:t>
      </w:r>
      <w:r w:rsidR="001154EC">
        <w:t>is is an application for leave to appeal against my judgment and order dated 26 September 2022 in terms of which I made the following order:</w:t>
      </w:r>
    </w:p>
    <w:p w14:paraId="50C63876" w14:textId="7CB016B4" w:rsidR="001154EC" w:rsidRDefault="00C12554" w:rsidP="00C12554">
      <w:pPr>
        <w:pStyle w:val="1"/>
        <w:numPr>
          <w:ilvl w:val="0"/>
          <w:numId w:val="0"/>
        </w:numPr>
        <w:ind w:left="927" w:hanging="360"/>
      </w:pPr>
      <w:r>
        <w:t>1.1</w:t>
      </w:r>
      <w:r>
        <w:tab/>
      </w:r>
      <w:r w:rsidR="001154EC">
        <w:t>It is declared that the plaintiffs are entitled to 37,5% of the net proceeds held in trust by attorneys Cliffe Dekker Hofmeyr after payment of all or any amounts due to SARS.</w:t>
      </w:r>
    </w:p>
    <w:p w14:paraId="310AF56A" w14:textId="28DE8C10" w:rsidR="001154EC" w:rsidRDefault="00C12554" w:rsidP="00C12554">
      <w:pPr>
        <w:pStyle w:val="1"/>
        <w:numPr>
          <w:ilvl w:val="0"/>
          <w:numId w:val="0"/>
        </w:numPr>
        <w:ind w:left="927" w:hanging="360"/>
      </w:pPr>
      <w:r>
        <w:t>1.2</w:t>
      </w:r>
      <w:r>
        <w:tab/>
      </w:r>
      <w:r w:rsidR="001154EC">
        <w:t xml:space="preserve">It is ordered that payment of 37.5% of the net proceeds minus the deduction of all amounts due to SARS provided for in paragraph 1 above is to be made to the plaintiffs within ten (10) days of the final determination of the liability to SARS. </w:t>
      </w:r>
    </w:p>
    <w:p w14:paraId="2A723553" w14:textId="47AF3DB1" w:rsidR="001154EC" w:rsidRDefault="00C12554" w:rsidP="00C12554">
      <w:pPr>
        <w:pStyle w:val="1"/>
        <w:numPr>
          <w:ilvl w:val="0"/>
          <w:numId w:val="0"/>
        </w:numPr>
        <w:ind w:left="927" w:hanging="360"/>
      </w:pPr>
      <w:r>
        <w:t>1.3</w:t>
      </w:r>
      <w:r>
        <w:tab/>
      </w:r>
      <w:r w:rsidR="001154EC">
        <w:t xml:space="preserve">The first and second defendants are ordered to pay interest on the aforesaid amount 10.5% per annum </w:t>
      </w:r>
      <w:r w:rsidR="001154EC" w:rsidRPr="001154EC">
        <w:rPr>
          <w:i/>
        </w:rPr>
        <w:t>a tempore morae</w:t>
      </w:r>
      <w:r w:rsidR="001154EC">
        <w:t xml:space="preserve"> from 6 February 2017 to date of final payment. </w:t>
      </w:r>
    </w:p>
    <w:p w14:paraId="3229BCE4" w14:textId="2C760BCB" w:rsidR="001154EC" w:rsidRDefault="00C12554" w:rsidP="00C12554">
      <w:pPr>
        <w:pStyle w:val="1"/>
        <w:numPr>
          <w:ilvl w:val="0"/>
          <w:numId w:val="0"/>
        </w:numPr>
        <w:ind w:left="927" w:hanging="360"/>
      </w:pPr>
      <w:r>
        <w:t>1.4</w:t>
      </w:r>
      <w:r>
        <w:tab/>
      </w:r>
      <w:r w:rsidR="001154EC">
        <w:t xml:space="preserve">The first and second defendants are ordered to pay the plaintiffs’ costs of suit, including all reserved costs orders and the costs of the interdict application in the Western Cape High Court, Cape Town under case number 24144/2016. </w:t>
      </w:r>
    </w:p>
    <w:p w14:paraId="7B60D2BD" w14:textId="53097262" w:rsidR="000449EE" w:rsidRDefault="00C12554" w:rsidP="00C12554">
      <w:pPr>
        <w:pStyle w:val="1"/>
        <w:numPr>
          <w:ilvl w:val="0"/>
          <w:numId w:val="0"/>
        </w:numPr>
        <w:tabs>
          <w:tab w:val="left" w:pos="567"/>
        </w:tabs>
        <w:ind w:left="567" w:hanging="567"/>
      </w:pPr>
      <w:r>
        <w:rPr>
          <w:bCs w:val="0"/>
          <w:lang w:val="en-ZA"/>
        </w:rPr>
        <w:t>2.</w:t>
      </w:r>
      <w:r>
        <w:rPr>
          <w:bCs w:val="0"/>
          <w:lang w:val="en-ZA"/>
        </w:rPr>
        <w:tab/>
      </w:r>
      <w:r w:rsidR="001154EC">
        <w:t xml:space="preserve">The first and second defendants brought an application for leave to appeal. </w:t>
      </w:r>
    </w:p>
    <w:p w14:paraId="0EDB4CEB" w14:textId="64B3712B" w:rsidR="00B823DE" w:rsidRPr="00B823DE" w:rsidRDefault="00C12554" w:rsidP="00C12554">
      <w:pPr>
        <w:pStyle w:val="1"/>
        <w:numPr>
          <w:ilvl w:val="0"/>
          <w:numId w:val="0"/>
        </w:numPr>
        <w:tabs>
          <w:tab w:val="left" w:pos="567"/>
        </w:tabs>
        <w:ind w:left="567" w:hanging="567"/>
      </w:pPr>
      <w:r w:rsidRPr="00B823DE">
        <w:rPr>
          <w:bCs w:val="0"/>
          <w:lang w:val="en-ZA"/>
        </w:rPr>
        <w:t>3.</w:t>
      </w:r>
      <w:r w:rsidRPr="00B823DE">
        <w:rPr>
          <w:bCs w:val="0"/>
          <w:lang w:val="en-ZA"/>
        </w:rPr>
        <w:tab/>
      </w:r>
      <w:r w:rsidR="006B75C5" w:rsidRPr="000449EE">
        <w:t>The test for leave to appeal is set out in section 17 (1) of the Superior Courts Act 10 of 2013 (“</w:t>
      </w:r>
      <w:r w:rsidR="006B75C5" w:rsidRPr="000449EE">
        <w:rPr>
          <w:b/>
          <w:i/>
        </w:rPr>
        <w:t>the Act</w:t>
      </w:r>
      <w:r w:rsidR="006B75C5" w:rsidRPr="000449EE">
        <w:t xml:space="preserve">”), which </w:t>
      </w:r>
      <w:r w:rsidR="00B823DE">
        <w:t>provides that l</w:t>
      </w:r>
      <w:r w:rsidR="00B823DE" w:rsidRPr="00B823DE">
        <w:rPr>
          <w:color w:val="000000"/>
        </w:rPr>
        <w:t>eave to appeal may only be given where the judge or judges</w:t>
      </w:r>
      <w:r w:rsidR="00B823DE">
        <w:rPr>
          <w:color w:val="000000"/>
        </w:rPr>
        <w:t xml:space="preserve"> </w:t>
      </w:r>
      <w:r w:rsidR="00B823DE" w:rsidRPr="00B823DE">
        <w:rPr>
          <w:color w:val="000000"/>
        </w:rPr>
        <w:t>concerned are of the opinion that</w:t>
      </w:r>
      <w:r w:rsidR="00B823DE">
        <w:rPr>
          <w:color w:val="000000"/>
        </w:rPr>
        <w:t xml:space="preserve">: </w:t>
      </w:r>
      <w:r w:rsidR="00B823DE" w:rsidRPr="00B823DE">
        <w:rPr>
          <w:color w:val="000000"/>
        </w:rPr>
        <w:t>(</w:t>
      </w:r>
      <w:r w:rsidR="00B823DE" w:rsidRPr="00B823DE">
        <w:rPr>
          <w:i/>
          <w:iCs/>
          <w:color w:val="000000"/>
        </w:rPr>
        <w:t>a</w:t>
      </w:r>
      <w:r w:rsidR="00B823DE">
        <w:rPr>
          <w:color w:val="000000"/>
        </w:rPr>
        <w:t xml:space="preserve"> </w:t>
      </w:r>
      <w:r w:rsidR="00B823DE" w:rsidRPr="00B823DE">
        <w:rPr>
          <w:color w:val="000000"/>
        </w:rPr>
        <w:t xml:space="preserve">(i) </w:t>
      </w:r>
      <w:r w:rsidR="00B823DE" w:rsidRPr="00B823DE">
        <w:rPr>
          <w:color w:val="000000"/>
          <w:u w:val="single"/>
        </w:rPr>
        <w:t>the appeal would have a reasonable prospect of success</w:t>
      </w:r>
      <w:r w:rsidR="00B823DE" w:rsidRPr="00B823DE">
        <w:rPr>
          <w:color w:val="000000"/>
        </w:rPr>
        <w:t>; o</w:t>
      </w:r>
      <w:r w:rsidR="00B823DE">
        <w:rPr>
          <w:color w:val="000000"/>
        </w:rPr>
        <w:t xml:space="preserve">r </w:t>
      </w:r>
      <w:r w:rsidR="00B823DE" w:rsidRPr="00B823DE">
        <w:rPr>
          <w:color w:val="000000"/>
        </w:rPr>
        <w:t>(ii)  there is some other compelling reason why the appeal should be heard,</w:t>
      </w:r>
      <w:r w:rsidR="00D77127">
        <w:rPr>
          <w:color w:val="000000"/>
        </w:rPr>
        <w:t xml:space="preserve"> </w:t>
      </w:r>
      <w:r w:rsidR="00B823DE" w:rsidRPr="00B823DE">
        <w:rPr>
          <w:color w:val="000000"/>
        </w:rPr>
        <w:t>including conflicting judgments on the matter under consideration;</w:t>
      </w:r>
      <w:r w:rsidR="00B823DE">
        <w:rPr>
          <w:color w:val="000000"/>
        </w:rPr>
        <w:t xml:space="preserve"> (b) </w:t>
      </w:r>
      <w:r w:rsidR="00B823DE" w:rsidRPr="00B823DE">
        <w:rPr>
          <w:color w:val="000000"/>
        </w:rPr>
        <w:t>the decision sought on appeal does not fall within the ambit of section 16 (2) (</w:t>
      </w:r>
      <w:r w:rsidR="00B823DE" w:rsidRPr="00B823DE">
        <w:rPr>
          <w:i/>
          <w:iCs/>
          <w:color w:val="000000"/>
        </w:rPr>
        <w:t>a</w:t>
      </w:r>
      <w:r w:rsidR="00B823DE" w:rsidRPr="00B823DE">
        <w:rPr>
          <w:color w:val="000000"/>
        </w:rPr>
        <w:t>); and</w:t>
      </w:r>
      <w:r w:rsidR="00B823DE">
        <w:rPr>
          <w:color w:val="000000"/>
        </w:rPr>
        <w:t xml:space="preserve"> (c) </w:t>
      </w:r>
      <w:r w:rsidR="00B823DE" w:rsidRPr="00B823DE">
        <w:rPr>
          <w:color w:val="000000"/>
        </w:rPr>
        <w:t>where the decision sought to be appealed does not dispose of all the issues in the case, the appeal would lead to a just and prompt resolution of the real issues between the parties.</w:t>
      </w:r>
    </w:p>
    <w:p w14:paraId="6259FDB6" w14:textId="09719024" w:rsidR="00B823DE" w:rsidRPr="00B823DE" w:rsidRDefault="00C12554" w:rsidP="00C12554">
      <w:pPr>
        <w:pStyle w:val="1"/>
        <w:numPr>
          <w:ilvl w:val="0"/>
          <w:numId w:val="0"/>
        </w:numPr>
        <w:tabs>
          <w:tab w:val="left" w:pos="567"/>
        </w:tabs>
        <w:ind w:left="567" w:hanging="567"/>
      </w:pPr>
      <w:r w:rsidRPr="00B823DE">
        <w:rPr>
          <w:bCs w:val="0"/>
          <w:lang w:val="en-ZA"/>
        </w:rPr>
        <w:t>4.</w:t>
      </w:r>
      <w:r w:rsidRPr="00B823DE">
        <w:rPr>
          <w:bCs w:val="0"/>
          <w:lang w:val="en-ZA"/>
        </w:rPr>
        <w:tab/>
      </w:r>
      <w:r w:rsidR="00B823DE">
        <w:rPr>
          <w:color w:val="000000"/>
        </w:rPr>
        <w:t>I did not understand Mr Elliott SC</w:t>
      </w:r>
      <w:r w:rsidR="00D77127">
        <w:rPr>
          <w:color w:val="000000"/>
        </w:rPr>
        <w:t>,</w:t>
      </w:r>
      <w:r w:rsidR="00B823DE">
        <w:rPr>
          <w:color w:val="000000"/>
        </w:rPr>
        <w:t xml:space="preserve"> who appeared for the applicants in the </w:t>
      </w:r>
      <w:r w:rsidR="00B823DE">
        <w:rPr>
          <w:color w:val="000000"/>
        </w:rPr>
        <w:lastRenderedPageBreak/>
        <w:t>application for leave to appeal</w:t>
      </w:r>
      <w:r w:rsidR="00D77127">
        <w:rPr>
          <w:color w:val="000000"/>
        </w:rPr>
        <w:t>,</w:t>
      </w:r>
      <w:r w:rsidR="00B823DE">
        <w:rPr>
          <w:color w:val="000000"/>
        </w:rPr>
        <w:t xml:space="preserve"> to argue that the application arises on the basis of any provision other than section 17(1)(a).</w:t>
      </w:r>
    </w:p>
    <w:p w14:paraId="543F91C8" w14:textId="3940E3D7" w:rsidR="006B75C5" w:rsidRDefault="00C12554" w:rsidP="00C12554">
      <w:pPr>
        <w:pStyle w:val="1"/>
        <w:numPr>
          <w:ilvl w:val="0"/>
          <w:numId w:val="0"/>
        </w:numPr>
        <w:tabs>
          <w:tab w:val="left" w:pos="567"/>
        </w:tabs>
        <w:ind w:left="567" w:hanging="567"/>
      </w:pPr>
      <w:r>
        <w:rPr>
          <w:bCs w:val="0"/>
          <w:lang w:val="en-ZA"/>
        </w:rPr>
        <w:t>5.</w:t>
      </w:r>
      <w:r>
        <w:rPr>
          <w:bCs w:val="0"/>
          <w:lang w:val="en-ZA"/>
        </w:rPr>
        <w:tab/>
      </w:r>
      <w:r w:rsidR="006B75C5" w:rsidRPr="00B823DE">
        <w:t>Reasonable prospects of success has previously been defined to mean that there is a reasonable possibility that another court may come to a different decision.</w:t>
      </w:r>
      <w:r w:rsidR="006B75C5" w:rsidRPr="001635CE">
        <w:rPr>
          <w:rStyle w:val="FootnoteReference"/>
        </w:rPr>
        <w:footnoteReference w:id="1"/>
      </w:r>
      <w:r w:rsidR="00B823DE">
        <w:t xml:space="preserve"> </w:t>
      </w:r>
      <w:r w:rsidR="006B75C5" w:rsidRPr="00B823DE">
        <w:t xml:space="preserve">In </w:t>
      </w:r>
      <w:r w:rsidR="006B75C5" w:rsidRPr="00B823DE">
        <w:rPr>
          <w:b/>
          <w:bCs w:val="0"/>
        </w:rPr>
        <w:t>Acting National Director of Public Prosecutions and Others v Democratic Alliance in re: Democratic Alliance v Acting National Director of Public Prosecutions and other</w:t>
      </w:r>
      <w:r w:rsidR="006B75C5" w:rsidRPr="00B823DE">
        <w:t>s</w:t>
      </w:r>
      <w:r w:rsidR="006B75C5" w:rsidRPr="001635CE">
        <w:rPr>
          <w:rStyle w:val="FootnoteReference"/>
        </w:rPr>
        <w:footnoteReference w:id="2"/>
      </w:r>
      <w:r w:rsidR="006B75C5" w:rsidRPr="00B823DE">
        <w:t>, Ledwaba DJP, writing for the full court, considered the test as contemplated in section 17 of the Act and suggested that the inclusion of the word “would” indicates a measure of certainty that another court will differ from the court whose judgment is sought to be appealed against.</w:t>
      </w:r>
    </w:p>
    <w:p w14:paraId="42A5752F" w14:textId="7EFAFCE3" w:rsidR="00CA14F9" w:rsidRDefault="00C12554" w:rsidP="00C12554">
      <w:pPr>
        <w:pStyle w:val="1"/>
        <w:numPr>
          <w:ilvl w:val="0"/>
          <w:numId w:val="0"/>
        </w:numPr>
        <w:tabs>
          <w:tab w:val="left" w:pos="567"/>
        </w:tabs>
        <w:ind w:left="567" w:hanging="567"/>
      </w:pPr>
      <w:r>
        <w:rPr>
          <w:bCs w:val="0"/>
          <w:lang w:val="en-ZA"/>
        </w:rPr>
        <w:t>6.</w:t>
      </w:r>
      <w:r>
        <w:rPr>
          <w:bCs w:val="0"/>
          <w:lang w:val="en-ZA"/>
        </w:rPr>
        <w:tab/>
      </w:r>
      <w:r w:rsidR="00B823DE">
        <w:t>The test for leave to appeal has therefore become more stringent than what was previously the case</w:t>
      </w:r>
      <w:r w:rsidR="00D77127">
        <w:t xml:space="preserve">.  In the </w:t>
      </w:r>
      <w:r w:rsidR="00CA14F9">
        <w:t xml:space="preserve">earlier judgment of Bertelsmann J in </w:t>
      </w:r>
      <w:r w:rsidR="00CA14F9" w:rsidRPr="00CA14F9">
        <w:rPr>
          <w:b/>
          <w:bCs w:val="0"/>
        </w:rPr>
        <w:t>The Mont Chevaux Trust v Tina Goosen &amp; 18 Others</w:t>
      </w:r>
      <w:r w:rsidR="00CA14F9">
        <w:t xml:space="preserve"> 2014 JDR 2325 (LCC) </w:t>
      </w:r>
      <w:r w:rsidR="00D77127">
        <w:t xml:space="preserve">the learned judge arrived at the same conclusion at </w:t>
      </w:r>
      <w:r w:rsidR="00CA14F9">
        <w:t>paragraph 6</w:t>
      </w:r>
      <w:r w:rsidR="00D77127">
        <w:t xml:space="preserve"> of his judgment: </w:t>
      </w:r>
    </w:p>
    <w:p w14:paraId="5D5802C8" w14:textId="540345F9" w:rsidR="00CA14F9" w:rsidRDefault="00CA14F9" w:rsidP="00CA14F9">
      <w:pPr>
        <w:pStyle w:val="1"/>
        <w:numPr>
          <w:ilvl w:val="0"/>
          <w:numId w:val="0"/>
        </w:numPr>
        <w:spacing w:line="240" w:lineRule="auto"/>
        <w:ind w:left="562"/>
      </w:pPr>
      <w:r>
        <w:t>“It is clear that the threshold for granting leave to appeal against a judgment of a High Court has been raised in the new Act. The former test whether leave to appeal should be granted was a reasonable prospect that another court might come to a different conclusion, see Van Heerden v Cronwright &amp; Others 1985 (2) SA 342 (T) at 343H. The use of the word “would” in the new statute indicates a measure of certainty that another court will differ from the court whose judgment is sought to be appealed against.’ [6] ‘In order to succeed, therefore, the appellant must convince this Court on proper grounds that he has prospects of success on appeal 5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2902A02E" w14:textId="58B3A62D" w:rsidR="00CA14F9" w:rsidRDefault="00C12554" w:rsidP="00C12554">
      <w:pPr>
        <w:pStyle w:val="1"/>
        <w:numPr>
          <w:ilvl w:val="0"/>
          <w:numId w:val="0"/>
        </w:numPr>
        <w:tabs>
          <w:tab w:val="left" w:pos="567"/>
        </w:tabs>
        <w:ind w:left="567" w:hanging="567"/>
      </w:pPr>
      <w:r>
        <w:rPr>
          <w:bCs w:val="0"/>
          <w:lang w:val="en-ZA"/>
        </w:rPr>
        <w:t>7.</w:t>
      </w:r>
      <w:r>
        <w:rPr>
          <w:bCs w:val="0"/>
          <w:lang w:val="en-ZA"/>
        </w:rPr>
        <w:tab/>
      </w:r>
      <w:r w:rsidR="00CD38E7">
        <w:t xml:space="preserve">Mr Elliot SC’s primary submission was that the Court erred in not placing </w:t>
      </w:r>
      <w:r w:rsidR="0018258D">
        <w:t xml:space="preserve">adequate </w:t>
      </w:r>
      <w:r w:rsidR="00CD38E7">
        <w:t xml:space="preserve">weight on the unchallenged evidence of Mr McAllorum that ninety nine percent of the loan payments made by Tara to the first defendant were to cover the bond instalments of the first defendant.  In developing his argument, he </w:t>
      </w:r>
      <w:r w:rsidR="00CD38E7">
        <w:lastRenderedPageBreak/>
        <w:t xml:space="preserve">submitted that the Court erred in finding that Mr McAllorum lacked personal knowledge regarding the role of Blend in conducting the daily operations of the company including the management of its financial affairs and how it disbursed funds on behalf of the first defendant.  </w:t>
      </w:r>
    </w:p>
    <w:p w14:paraId="6B1923A3" w14:textId="101D8CEA" w:rsidR="0018258D" w:rsidRDefault="00C12554" w:rsidP="00C12554">
      <w:pPr>
        <w:pStyle w:val="1"/>
        <w:numPr>
          <w:ilvl w:val="0"/>
          <w:numId w:val="0"/>
        </w:numPr>
        <w:tabs>
          <w:tab w:val="left" w:pos="567"/>
        </w:tabs>
        <w:ind w:left="567" w:hanging="567"/>
      </w:pPr>
      <w:r>
        <w:rPr>
          <w:bCs w:val="0"/>
          <w:lang w:val="en-ZA"/>
        </w:rPr>
        <w:t>8.</w:t>
      </w:r>
      <w:r>
        <w:rPr>
          <w:bCs w:val="0"/>
          <w:lang w:val="en-ZA"/>
        </w:rPr>
        <w:tab/>
      </w:r>
      <w:r w:rsidR="00CD38E7">
        <w:t xml:space="preserve">The fact that Mr McAllorum may have spent time on the phone talking to Blend, albeit the Court was not told who precisely of Blend he communicated with, makes no difference in my view. It did not have the effect of transforming his evidence on the issue into direct primary evidence of a witness with personal knowledge of the matters. </w:t>
      </w:r>
      <w:r w:rsidR="0018258D">
        <w:t xml:space="preserve"> </w:t>
      </w:r>
    </w:p>
    <w:p w14:paraId="2DE36D08" w14:textId="728915FD" w:rsidR="0018258D" w:rsidRDefault="00C12554" w:rsidP="00C12554">
      <w:pPr>
        <w:pStyle w:val="1"/>
        <w:numPr>
          <w:ilvl w:val="0"/>
          <w:numId w:val="0"/>
        </w:numPr>
        <w:tabs>
          <w:tab w:val="left" w:pos="567"/>
        </w:tabs>
        <w:ind w:left="567" w:hanging="567"/>
      </w:pPr>
      <w:r>
        <w:rPr>
          <w:bCs w:val="0"/>
          <w:lang w:val="en-ZA"/>
        </w:rPr>
        <w:t>9.</w:t>
      </w:r>
      <w:r>
        <w:rPr>
          <w:bCs w:val="0"/>
          <w:lang w:val="en-ZA"/>
        </w:rPr>
        <w:tab/>
      </w:r>
      <w:r w:rsidR="0018258D">
        <w:t xml:space="preserve">While Mr Corbett SC did not object at trial that this evidence constituted inadmissible hearsay, I understood his argument to be that even if admitted, the weight to be attached to this evidence was so negligible that it did not assist the defendants in discharging the onus of proving </w:t>
      </w:r>
      <w:r w:rsidR="00FB0476">
        <w:t xml:space="preserve">that the </w:t>
      </w:r>
      <w:r w:rsidR="0018258D">
        <w:t xml:space="preserve">entitlement </w:t>
      </w:r>
      <w:r w:rsidR="00FB0476">
        <w:t xml:space="preserve">of the plaintiffs </w:t>
      </w:r>
      <w:r w:rsidR="0018258D">
        <w:t>to 37.</w:t>
      </w:r>
      <w:r w:rsidR="005E0C9A">
        <w:t>5</w:t>
      </w:r>
      <w:r w:rsidR="0018258D">
        <w:t xml:space="preserve">% percent of the net proceeds available for distribution by the first defendant stood to be reduced by payment of the first defendant’s debts which it alleged included the repayment of R2 118 589.46 to Tara on the strength of a loan account in the first defendant. </w:t>
      </w:r>
    </w:p>
    <w:p w14:paraId="3E8A0460" w14:textId="7B90869C" w:rsidR="00004D00" w:rsidRDefault="00C12554" w:rsidP="00C12554">
      <w:pPr>
        <w:pStyle w:val="1"/>
        <w:numPr>
          <w:ilvl w:val="0"/>
          <w:numId w:val="0"/>
        </w:numPr>
        <w:tabs>
          <w:tab w:val="left" w:pos="567"/>
        </w:tabs>
        <w:ind w:left="567" w:hanging="567"/>
      </w:pPr>
      <w:r>
        <w:rPr>
          <w:bCs w:val="0"/>
          <w:lang w:val="en-ZA"/>
        </w:rPr>
        <w:t>10.</w:t>
      </w:r>
      <w:r>
        <w:rPr>
          <w:bCs w:val="0"/>
          <w:lang w:val="en-ZA"/>
        </w:rPr>
        <w:tab/>
      </w:r>
      <w:r w:rsidR="00004D00">
        <w:t xml:space="preserve">The case of the defendants in establishing </w:t>
      </w:r>
      <w:r w:rsidR="0018258D">
        <w:t xml:space="preserve">the existence of the loan amount by Tara required evidence not only from Mr McAllorum, but someone with personal knowledge of the disbursement of the loan amount on its behalf for and on behalf of the first defendant.   </w:t>
      </w:r>
    </w:p>
    <w:p w14:paraId="7D3D4FD5" w14:textId="1B9D45EE" w:rsidR="00FB0476" w:rsidRDefault="00C12554" w:rsidP="00C12554">
      <w:pPr>
        <w:pStyle w:val="1"/>
        <w:numPr>
          <w:ilvl w:val="0"/>
          <w:numId w:val="0"/>
        </w:numPr>
        <w:tabs>
          <w:tab w:val="left" w:pos="567"/>
        </w:tabs>
        <w:ind w:left="567" w:hanging="567"/>
      </w:pPr>
      <w:r>
        <w:rPr>
          <w:bCs w:val="0"/>
          <w:lang w:val="en-ZA"/>
        </w:rPr>
        <w:t>11.</w:t>
      </w:r>
      <w:r>
        <w:rPr>
          <w:bCs w:val="0"/>
          <w:lang w:val="en-ZA"/>
        </w:rPr>
        <w:tab/>
      </w:r>
      <w:r w:rsidR="00004D00">
        <w:t xml:space="preserve">The difficulty I have </w:t>
      </w:r>
      <w:r w:rsidR="005E0C9A">
        <w:t xml:space="preserve">is twofold. </w:t>
      </w:r>
    </w:p>
    <w:p w14:paraId="63486831" w14:textId="732989ED" w:rsidR="00FB0476" w:rsidRDefault="00C12554" w:rsidP="00C12554">
      <w:pPr>
        <w:pStyle w:val="1"/>
        <w:numPr>
          <w:ilvl w:val="0"/>
          <w:numId w:val="0"/>
        </w:numPr>
        <w:tabs>
          <w:tab w:val="left" w:pos="567"/>
        </w:tabs>
        <w:ind w:left="567" w:hanging="567"/>
      </w:pPr>
      <w:r>
        <w:rPr>
          <w:bCs w:val="0"/>
          <w:lang w:val="en-ZA"/>
        </w:rPr>
        <w:t>12.</w:t>
      </w:r>
      <w:r>
        <w:rPr>
          <w:bCs w:val="0"/>
          <w:lang w:val="en-ZA"/>
        </w:rPr>
        <w:tab/>
      </w:r>
      <w:r w:rsidR="00004D00">
        <w:t xml:space="preserve">Firstly, no representative from Blend was called to shed light </w:t>
      </w:r>
      <w:r w:rsidR="005E0C9A">
        <w:t xml:space="preserve">on the financial affairs of the first defendant and how these were dealt with including any payments received from Tara. The </w:t>
      </w:r>
      <w:r w:rsidR="00004D00">
        <w:t>Court was not favoured with an explanation for the defendants’ failure to do so</w:t>
      </w:r>
      <w:r w:rsidR="00FB0476">
        <w:t xml:space="preserve"> save for the one to which I return to below</w:t>
      </w:r>
      <w:r w:rsidR="00004D00">
        <w:t xml:space="preserve">.  </w:t>
      </w:r>
    </w:p>
    <w:p w14:paraId="3C63191F" w14:textId="1B2B9CC2" w:rsidR="00004D00" w:rsidRDefault="00C12554" w:rsidP="00C12554">
      <w:pPr>
        <w:pStyle w:val="1"/>
        <w:numPr>
          <w:ilvl w:val="0"/>
          <w:numId w:val="0"/>
        </w:numPr>
        <w:tabs>
          <w:tab w:val="left" w:pos="567"/>
        </w:tabs>
        <w:ind w:left="567" w:hanging="567"/>
      </w:pPr>
      <w:r>
        <w:rPr>
          <w:bCs w:val="0"/>
          <w:lang w:val="en-ZA"/>
        </w:rPr>
        <w:t>13.</w:t>
      </w:r>
      <w:r>
        <w:rPr>
          <w:bCs w:val="0"/>
          <w:lang w:val="en-ZA"/>
        </w:rPr>
        <w:tab/>
      </w:r>
      <w:r w:rsidR="00004D00">
        <w:t>The deficiencies in the evidence of Mr McAllorum were therefore not cured, but in any ev</w:t>
      </w:r>
      <w:r w:rsidR="0018258D">
        <w:t xml:space="preserve">ent, direct evidence of a witness with personal knowledge was required </w:t>
      </w:r>
      <w:r w:rsidR="0018258D">
        <w:lastRenderedPageBreak/>
        <w:t xml:space="preserve">to address the long list of payments Tara is said to have made to the first defendant </w:t>
      </w:r>
      <w:r w:rsidR="0018258D" w:rsidRPr="00FB0476">
        <w:rPr>
          <w:u w:val="single"/>
        </w:rPr>
        <w:t>and how those were disbursed</w:t>
      </w:r>
      <w:r w:rsidR="0018258D">
        <w:t>.  Th</w:t>
      </w:r>
      <w:r w:rsidR="005E0C9A">
        <w:t xml:space="preserve">is </w:t>
      </w:r>
      <w:r w:rsidR="00FB0476">
        <w:t xml:space="preserve">evidence was particularly important in that the defendants only presented bank statements from TARA but not bank statement from the first defendant to show the receipt of the loan sums </w:t>
      </w:r>
      <w:r w:rsidR="005E0C9A">
        <w:t xml:space="preserve">said to have been made by Tara </w:t>
      </w:r>
      <w:r w:rsidR="00FB0476">
        <w:t xml:space="preserve">and how they were dealt with </w:t>
      </w:r>
      <w:r w:rsidR="005E0C9A">
        <w:t>(</w:t>
      </w:r>
      <w:r w:rsidR="00FB0476">
        <w:t>including if indeed the payments were made to Nedbank</w:t>
      </w:r>
      <w:r w:rsidR="005E0C9A">
        <w:t>)</w:t>
      </w:r>
      <w:r w:rsidR="00FB0476">
        <w:t>.  Mr McAllorum could not possibly have had personal knowledge of these matters since he was at all times in Dublin, left the management of the financial affairs to Blend and I did not hear him to testify that he considered the bank statements of the defendant regularly and was familiar with them. This evidence could presumably have been led by someone from Blend who was directly involved in the affairs of the first defendant</w:t>
      </w:r>
      <w:r w:rsidR="005E0C9A">
        <w:t xml:space="preserve"> and who</w:t>
      </w:r>
      <w:r w:rsidR="00FB0476">
        <w:t xml:space="preserve"> </w:t>
      </w:r>
      <w:r w:rsidR="005E0C9A">
        <w:t xml:space="preserve">had access to its bank accounts </w:t>
      </w:r>
      <w:r w:rsidR="00FB0476">
        <w:t xml:space="preserve">but in the absence of </w:t>
      </w:r>
      <w:r w:rsidR="005E0C9A">
        <w:t xml:space="preserve">the evidence from </w:t>
      </w:r>
      <w:r w:rsidR="00FB0476">
        <w:t xml:space="preserve">such a witness, the documentary evidence </w:t>
      </w:r>
      <w:r w:rsidR="005E0C9A">
        <w:t xml:space="preserve">in the form of the first defendant’s bank statements </w:t>
      </w:r>
      <w:r w:rsidR="00FB0476">
        <w:t xml:space="preserve">became more critical. </w:t>
      </w:r>
    </w:p>
    <w:p w14:paraId="1343EFB7" w14:textId="46A74C6C" w:rsidR="00FB0476" w:rsidRDefault="00C12554" w:rsidP="00C12554">
      <w:pPr>
        <w:pStyle w:val="1"/>
        <w:numPr>
          <w:ilvl w:val="0"/>
          <w:numId w:val="0"/>
        </w:numPr>
        <w:tabs>
          <w:tab w:val="left" w:pos="567"/>
        </w:tabs>
        <w:ind w:left="567" w:hanging="567"/>
      </w:pPr>
      <w:r>
        <w:rPr>
          <w:bCs w:val="0"/>
          <w:lang w:val="en-ZA"/>
        </w:rPr>
        <w:t>14.</w:t>
      </w:r>
      <w:r>
        <w:rPr>
          <w:bCs w:val="0"/>
          <w:lang w:val="en-ZA"/>
        </w:rPr>
        <w:tab/>
      </w:r>
      <w:r w:rsidR="00FB0476">
        <w:t xml:space="preserve">The absence of evidence from Blend was explained on the basis they no longer possessed records but this does not excuse the importance of someone with personal knowledge shedding light on the </w:t>
      </w:r>
      <w:r w:rsidR="00BC24FC">
        <w:t xml:space="preserve">daily </w:t>
      </w:r>
      <w:r w:rsidR="00FB0476">
        <w:t xml:space="preserve">role and function of Blend </w:t>
      </w:r>
      <w:r w:rsidR="00BC24FC">
        <w:t xml:space="preserve">in taking charge of the financial affairs of the first defendant.  </w:t>
      </w:r>
      <w:r w:rsidR="005E0C9A">
        <w:t xml:space="preserve">The loss of records of Blend presumably also did not mean that the bank records of the first defendant could not be procured, given that the bank would have held them at all times. </w:t>
      </w:r>
    </w:p>
    <w:p w14:paraId="5DB2C3D1" w14:textId="4D5B67BB" w:rsidR="00BC24FC" w:rsidRDefault="00C12554" w:rsidP="00C12554">
      <w:pPr>
        <w:pStyle w:val="1"/>
        <w:numPr>
          <w:ilvl w:val="0"/>
          <w:numId w:val="0"/>
        </w:numPr>
        <w:tabs>
          <w:tab w:val="left" w:pos="567"/>
        </w:tabs>
        <w:ind w:left="567" w:hanging="567"/>
      </w:pPr>
      <w:r>
        <w:rPr>
          <w:bCs w:val="0"/>
          <w:lang w:val="en-ZA"/>
        </w:rPr>
        <w:t>15</w:t>
      </w:r>
      <w:bookmarkStart w:id="0" w:name="_GoBack"/>
      <w:bookmarkEnd w:id="0"/>
      <w:r>
        <w:rPr>
          <w:bCs w:val="0"/>
          <w:lang w:val="en-ZA"/>
        </w:rPr>
        <w:t>.</w:t>
      </w:r>
      <w:r>
        <w:rPr>
          <w:bCs w:val="0"/>
          <w:lang w:val="en-ZA"/>
        </w:rPr>
        <w:tab/>
      </w:r>
      <w:r w:rsidR="00BC24FC">
        <w:t xml:space="preserve">When viewed in this light the evidence of Mr McAllorum did not assist the defendants in discharging the onus that they attracted. </w:t>
      </w:r>
      <w:r w:rsidR="00070356">
        <w:t xml:space="preserve">  The evidence of Mr Edwards too did not assist.  By his own admission the financial statements were too qualified for any real value to be placed on them and he certainly was not in a position where it can be said that he had personal knowledge of the disbursement of the loan amount </w:t>
      </w:r>
      <w:r w:rsidR="005E0C9A">
        <w:t xml:space="preserve">Tara is </w:t>
      </w:r>
      <w:r w:rsidR="00070356">
        <w:t xml:space="preserve">alleged </w:t>
      </w:r>
      <w:r w:rsidR="005E0C9A">
        <w:t xml:space="preserve">to have made. </w:t>
      </w:r>
    </w:p>
    <w:p w14:paraId="17F8E103" w14:textId="725BF88F" w:rsidR="00070356" w:rsidRDefault="00C12554" w:rsidP="00C12554">
      <w:pPr>
        <w:pStyle w:val="1"/>
        <w:numPr>
          <w:ilvl w:val="0"/>
          <w:numId w:val="0"/>
        </w:numPr>
        <w:tabs>
          <w:tab w:val="left" w:pos="567"/>
        </w:tabs>
        <w:ind w:left="567" w:hanging="567"/>
      </w:pPr>
      <w:r>
        <w:rPr>
          <w:bCs w:val="0"/>
          <w:lang w:val="en-ZA"/>
        </w:rPr>
        <w:t>16.</w:t>
      </w:r>
      <w:r>
        <w:rPr>
          <w:bCs w:val="0"/>
          <w:lang w:val="en-ZA"/>
        </w:rPr>
        <w:tab/>
      </w:r>
      <w:r w:rsidR="00070356">
        <w:t xml:space="preserve">For all of these reasons I am of the view that there are no reasonable prospects of success on appeal with the result that I make an order in the following terms: </w:t>
      </w:r>
    </w:p>
    <w:p w14:paraId="1F5C681D" w14:textId="7B549BE3" w:rsidR="00276401" w:rsidRPr="00276401" w:rsidRDefault="00070356" w:rsidP="00070356">
      <w:pPr>
        <w:pStyle w:val="1"/>
        <w:numPr>
          <w:ilvl w:val="0"/>
          <w:numId w:val="0"/>
        </w:numPr>
        <w:ind w:left="567"/>
        <w:rPr>
          <w:sz w:val="31"/>
        </w:rPr>
      </w:pPr>
      <w:r>
        <w:t xml:space="preserve">The application for leave to appeal is dismissed with costs. </w:t>
      </w:r>
      <w:r w:rsidR="00276401">
        <w:t xml:space="preserve"> </w:t>
      </w:r>
    </w:p>
    <w:p w14:paraId="26BEF1D1" w14:textId="34D93DE6" w:rsidR="00DF4BDD" w:rsidRDefault="00DF4BDD" w:rsidP="00DF4BDD">
      <w:pPr>
        <w:pStyle w:val="1"/>
        <w:numPr>
          <w:ilvl w:val="0"/>
          <w:numId w:val="0"/>
        </w:numPr>
      </w:pPr>
      <w:r>
        <w:lastRenderedPageBreak/>
        <w:t>DATED ON THIS THE 2</w:t>
      </w:r>
      <w:r w:rsidR="00070356">
        <w:t>5</w:t>
      </w:r>
      <w:r w:rsidR="00070356" w:rsidRPr="00070356">
        <w:rPr>
          <w:vertAlign w:val="superscript"/>
        </w:rPr>
        <w:t>th</w:t>
      </w:r>
      <w:r w:rsidR="00070356">
        <w:t xml:space="preserve"> DAY OF NOVEMBER 2022 </w:t>
      </w:r>
    </w:p>
    <w:p w14:paraId="064F9FAB" w14:textId="77777777" w:rsidR="00276401" w:rsidRPr="00276401" w:rsidRDefault="00276401" w:rsidP="00276401">
      <w:pPr>
        <w:pStyle w:val="1"/>
        <w:numPr>
          <w:ilvl w:val="0"/>
          <w:numId w:val="0"/>
        </w:numPr>
        <w:ind w:left="567"/>
        <w:rPr>
          <w:sz w:val="31"/>
        </w:rPr>
      </w:pPr>
    </w:p>
    <w:p w14:paraId="37AD1433" w14:textId="77777777" w:rsidR="00BC1839" w:rsidRPr="009F2288" w:rsidRDefault="00BC1839" w:rsidP="00BC1839">
      <w:pPr>
        <w:spacing w:line="240" w:lineRule="auto"/>
        <w:jc w:val="right"/>
        <w:rPr>
          <w:rFonts w:ascii="Arial" w:eastAsia="Calibri" w:hAnsi="Arial" w:cs="Arial"/>
          <w:b/>
          <w:sz w:val="24"/>
          <w:szCs w:val="24"/>
        </w:rPr>
      </w:pPr>
    </w:p>
    <w:p w14:paraId="05ECC165" w14:textId="77777777" w:rsidR="00BC1839" w:rsidRPr="009F2288" w:rsidRDefault="00BC1839" w:rsidP="00BC1839">
      <w:pPr>
        <w:spacing w:line="240" w:lineRule="auto"/>
        <w:jc w:val="right"/>
        <w:rPr>
          <w:rFonts w:ascii="Arial" w:eastAsia="Calibri" w:hAnsi="Arial" w:cs="Arial"/>
        </w:rPr>
      </w:pPr>
      <w:r w:rsidRPr="009F2288">
        <w:rPr>
          <w:rFonts w:ascii="Arial" w:eastAsia="Calibri" w:hAnsi="Arial" w:cs="Arial"/>
          <w:b/>
          <w:sz w:val="24"/>
          <w:szCs w:val="24"/>
        </w:rPr>
        <w:t>__________________</w:t>
      </w:r>
    </w:p>
    <w:p w14:paraId="66C40380" w14:textId="77777777" w:rsidR="00BC1839" w:rsidRDefault="00BC1839" w:rsidP="00BC1839">
      <w:pPr>
        <w:spacing w:line="240" w:lineRule="auto"/>
        <w:jc w:val="right"/>
        <w:rPr>
          <w:rFonts w:ascii="Arial" w:eastAsia="Calibri" w:hAnsi="Arial" w:cs="Arial"/>
          <w:b/>
          <w:sz w:val="24"/>
          <w:szCs w:val="24"/>
        </w:rPr>
      </w:pPr>
      <w:r w:rsidRPr="009F2288">
        <w:rPr>
          <w:rFonts w:ascii="Arial" w:eastAsia="Calibri" w:hAnsi="Arial" w:cs="Arial"/>
          <w:b/>
          <w:sz w:val="24"/>
          <w:szCs w:val="24"/>
        </w:rPr>
        <w:t>BESTER</w:t>
      </w:r>
      <w:r>
        <w:rPr>
          <w:rFonts w:ascii="Arial" w:eastAsia="Calibri" w:hAnsi="Arial" w:cs="Arial"/>
          <w:b/>
          <w:sz w:val="24"/>
          <w:szCs w:val="24"/>
        </w:rPr>
        <w:t xml:space="preserve"> AJ</w:t>
      </w:r>
    </w:p>
    <w:p w14:paraId="08C72E1B" w14:textId="77777777" w:rsidR="00DF4BDD" w:rsidRDefault="00DF4BDD" w:rsidP="00BC1839">
      <w:pPr>
        <w:spacing w:line="240" w:lineRule="auto"/>
        <w:jc w:val="right"/>
        <w:rPr>
          <w:rFonts w:ascii="Arial" w:eastAsia="Calibri" w:hAnsi="Arial" w:cs="Arial"/>
          <w:b/>
          <w:sz w:val="24"/>
          <w:szCs w:val="24"/>
        </w:rPr>
      </w:pPr>
    </w:p>
    <w:p w14:paraId="5C4064CC" w14:textId="77777777" w:rsidR="00DF4BDD" w:rsidRDefault="00DF4BDD" w:rsidP="00BC1839">
      <w:pPr>
        <w:spacing w:line="240" w:lineRule="auto"/>
        <w:jc w:val="right"/>
        <w:rPr>
          <w:rFonts w:ascii="Arial" w:eastAsia="Calibri" w:hAnsi="Arial" w:cs="Arial"/>
          <w:b/>
          <w:sz w:val="24"/>
          <w:szCs w:val="24"/>
        </w:rPr>
      </w:pPr>
    </w:p>
    <w:p w14:paraId="2D67DFA5" w14:textId="77777777" w:rsidR="00DF4BDD" w:rsidRPr="009F2288" w:rsidRDefault="00DF4BDD" w:rsidP="00DF4BDD">
      <w:pPr>
        <w:spacing w:line="360" w:lineRule="auto"/>
        <w:jc w:val="both"/>
        <w:rPr>
          <w:rFonts w:ascii="Arial" w:eastAsia="Calibri" w:hAnsi="Arial" w:cs="Arial"/>
          <w:sz w:val="24"/>
          <w:szCs w:val="24"/>
        </w:rPr>
      </w:pPr>
      <w:r w:rsidRPr="009F2288">
        <w:rPr>
          <w:rFonts w:ascii="Arial" w:eastAsia="Calibri" w:hAnsi="Arial" w:cs="Arial"/>
          <w:b/>
          <w:bCs/>
          <w:sz w:val="24"/>
          <w:szCs w:val="24"/>
        </w:rPr>
        <w:t xml:space="preserve">FOR THE </w:t>
      </w:r>
      <w:r>
        <w:rPr>
          <w:rFonts w:ascii="Arial" w:eastAsia="Calibri" w:hAnsi="Arial" w:cs="Arial"/>
          <w:b/>
          <w:bCs/>
          <w:sz w:val="24"/>
          <w:szCs w:val="24"/>
        </w:rPr>
        <w:t xml:space="preserve">PLAINTIFF:  P CORBETT SC </w:t>
      </w:r>
    </w:p>
    <w:p w14:paraId="04FB8840" w14:textId="77777777" w:rsidR="00DF4BDD" w:rsidRPr="009F2288" w:rsidRDefault="00DF4BDD" w:rsidP="00DF4BDD">
      <w:pPr>
        <w:rPr>
          <w:rFonts w:ascii="Arial" w:eastAsia="Calibri" w:hAnsi="Arial" w:cs="Arial"/>
          <w:sz w:val="24"/>
          <w:szCs w:val="24"/>
        </w:rPr>
      </w:pPr>
    </w:p>
    <w:p w14:paraId="40A6A16B" w14:textId="77777777" w:rsidR="00DF4BDD" w:rsidRPr="009F2288" w:rsidRDefault="00DF4BDD" w:rsidP="00DF4BDD">
      <w:pPr>
        <w:spacing w:after="0" w:line="240" w:lineRule="auto"/>
        <w:jc w:val="both"/>
        <w:rPr>
          <w:rFonts w:ascii="Arial" w:hAnsi="Arial" w:cs="Arial"/>
          <w:bCs/>
          <w:color w:val="000000" w:themeColor="text1"/>
          <w:sz w:val="24"/>
          <w:szCs w:val="24"/>
        </w:rPr>
      </w:pPr>
      <w:r w:rsidRPr="009F2288">
        <w:rPr>
          <w:rFonts w:ascii="Arial" w:eastAsia="Calibri" w:hAnsi="Arial" w:cs="Arial"/>
          <w:b/>
          <w:bCs/>
          <w:sz w:val="24"/>
          <w:szCs w:val="24"/>
        </w:rPr>
        <w:t>INSTRUCTED BY</w:t>
      </w:r>
      <w:r w:rsidRPr="009F2288">
        <w:rPr>
          <w:rFonts w:ascii="Arial" w:eastAsia="Calibri" w:hAnsi="Arial" w:cs="Arial"/>
          <w:sz w:val="24"/>
          <w:szCs w:val="24"/>
        </w:rPr>
        <w:t xml:space="preserve">:  </w:t>
      </w:r>
      <w:r>
        <w:rPr>
          <w:rFonts w:ascii="Arial" w:hAnsi="Arial" w:cs="Arial"/>
          <w:sz w:val="24"/>
        </w:rPr>
        <w:t xml:space="preserve">VAN RENSBURG &amp; CO </w:t>
      </w:r>
    </w:p>
    <w:p w14:paraId="538B591E" w14:textId="77777777" w:rsidR="00DF4BDD" w:rsidRPr="009F2288" w:rsidRDefault="00DF4BDD" w:rsidP="00DF4BDD">
      <w:pPr>
        <w:rPr>
          <w:rFonts w:ascii="Arial" w:hAnsi="Arial" w:cs="Arial"/>
          <w:sz w:val="24"/>
          <w:szCs w:val="24"/>
        </w:rPr>
      </w:pPr>
    </w:p>
    <w:p w14:paraId="23E6A62C" w14:textId="77777777" w:rsidR="00DF4BDD" w:rsidRPr="009F2288" w:rsidRDefault="00DF4BDD" w:rsidP="00DF4BDD">
      <w:pPr>
        <w:spacing w:line="360" w:lineRule="auto"/>
        <w:jc w:val="both"/>
        <w:rPr>
          <w:rFonts w:ascii="Arial" w:eastAsia="Calibri" w:hAnsi="Arial" w:cs="Arial"/>
          <w:sz w:val="24"/>
          <w:szCs w:val="24"/>
        </w:rPr>
      </w:pPr>
    </w:p>
    <w:p w14:paraId="6281AA64" w14:textId="77777777" w:rsidR="00DF4BDD" w:rsidRDefault="00DF4BDD" w:rsidP="00DF4BDD">
      <w:pPr>
        <w:spacing w:line="360" w:lineRule="auto"/>
        <w:jc w:val="both"/>
        <w:rPr>
          <w:rFonts w:ascii="Arial" w:eastAsia="Calibri" w:hAnsi="Arial" w:cs="Arial"/>
          <w:sz w:val="24"/>
          <w:szCs w:val="24"/>
        </w:rPr>
      </w:pPr>
      <w:r w:rsidRPr="009F2288">
        <w:rPr>
          <w:rFonts w:ascii="Arial" w:eastAsia="Calibri" w:hAnsi="Arial" w:cs="Arial"/>
          <w:b/>
          <w:sz w:val="24"/>
          <w:szCs w:val="24"/>
        </w:rPr>
        <w:t>F</w:t>
      </w:r>
      <w:r w:rsidRPr="009F2288">
        <w:rPr>
          <w:rFonts w:ascii="Arial" w:eastAsia="Calibri" w:hAnsi="Arial" w:cs="Arial"/>
          <w:b/>
          <w:bCs/>
          <w:sz w:val="24"/>
          <w:szCs w:val="24"/>
        </w:rPr>
        <w:t xml:space="preserve">OR THE </w:t>
      </w:r>
      <w:r>
        <w:rPr>
          <w:rFonts w:ascii="Arial" w:eastAsia="Calibri" w:hAnsi="Arial" w:cs="Arial"/>
          <w:b/>
          <w:bCs/>
          <w:sz w:val="24"/>
          <w:szCs w:val="24"/>
        </w:rPr>
        <w:t xml:space="preserve">FIRST AND SECOND DEFENDANTS: G ELLIOT SC </w:t>
      </w:r>
    </w:p>
    <w:p w14:paraId="2372B850" w14:textId="77777777" w:rsidR="00DF4BDD" w:rsidRPr="009F2288" w:rsidRDefault="00DF4BDD" w:rsidP="00DF4BDD">
      <w:pPr>
        <w:spacing w:line="360" w:lineRule="auto"/>
        <w:jc w:val="both"/>
        <w:rPr>
          <w:rFonts w:ascii="Arial" w:eastAsia="Calibri" w:hAnsi="Arial" w:cs="Arial"/>
          <w:sz w:val="24"/>
          <w:szCs w:val="24"/>
        </w:rPr>
      </w:pPr>
    </w:p>
    <w:p w14:paraId="0315A3D1" w14:textId="77777777" w:rsidR="00DF4BDD" w:rsidRPr="009F2288" w:rsidRDefault="00DF4BDD" w:rsidP="00DF4BDD">
      <w:pPr>
        <w:spacing w:line="240" w:lineRule="auto"/>
        <w:rPr>
          <w:rFonts w:ascii="Arial" w:hAnsi="Arial" w:cs="Arial"/>
          <w:sz w:val="24"/>
          <w:szCs w:val="24"/>
        </w:rPr>
      </w:pPr>
      <w:r w:rsidRPr="009F2288">
        <w:rPr>
          <w:rFonts w:ascii="Arial" w:eastAsia="Calibri" w:hAnsi="Arial" w:cs="Arial"/>
          <w:b/>
          <w:bCs/>
          <w:sz w:val="24"/>
          <w:szCs w:val="24"/>
        </w:rPr>
        <w:t>INSTRUCTED BY</w:t>
      </w:r>
      <w:r w:rsidRPr="009F2288">
        <w:rPr>
          <w:rFonts w:ascii="Arial" w:eastAsia="Calibri" w:hAnsi="Arial" w:cs="Arial"/>
          <w:sz w:val="24"/>
          <w:szCs w:val="24"/>
        </w:rPr>
        <w:t xml:space="preserve">: </w:t>
      </w:r>
      <w:r>
        <w:rPr>
          <w:rFonts w:ascii="Arial" w:eastAsia="Calibri" w:hAnsi="Arial" w:cs="Arial"/>
          <w:sz w:val="24"/>
          <w:szCs w:val="24"/>
        </w:rPr>
        <w:t xml:space="preserve">THOMSON WILKS ATTORNEYS </w:t>
      </w:r>
    </w:p>
    <w:p w14:paraId="703A38BA" w14:textId="77777777" w:rsidR="00DF4BDD" w:rsidRPr="009F2288" w:rsidRDefault="00DF4BDD" w:rsidP="00DF4BDD">
      <w:pPr>
        <w:spacing w:line="360" w:lineRule="auto"/>
        <w:jc w:val="both"/>
        <w:rPr>
          <w:rFonts w:ascii="Arial" w:eastAsia="Calibri" w:hAnsi="Arial" w:cs="Arial"/>
          <w:sz w:val="24"/>
          <w:szCs w:val="24"/>
        </w:rPr>
      </w:pPr>
    </w:p>
    <w:p w14:paraId="049F336F" w14:textId="659BC804" w:rsidR="00DF4BDD" w:rsidRPr="009F2288" w:rsidRDefault="00DF4BDD" w:rsidP="00DF4BDD">
      <w:pPr>
        <w:spacing w:line="360" w:lineRule="auto"/>
        <w:jc w:val="both"/>
        <w:rPr>
          <w:rFonts w:ascii="Arial" w:hAnsi="Arial" w:cs="Arial"/>
        </w:rPr>
      </w:pPr>
      <w:r w:rsidRPr="009F2288">
        <w:rPr>
          <w:rFonts w:ascii="Arial" w:eastAsia="Calibri" w:hAnsi="Arial" w:cs="Arial"/>
          <w:b/>
          <w:bCs/>
          <w:sz w:val="24"/>
          <w:szCs w:val="24"/>
        </w:rPr>
        <w:t>DATE OF JUDGMENT</w:t>
      </w:r>
      <w:r w:rsidRPr="009F2288">
        <w:rPr>
          <w:rFonts w:ascii="Arial" w:eastAsia="Calibri" w:hAnsi="Arial" w:cs="Arial"/>
          <w:sz w:val="24"/>
          <w:szCs w:val="24"/>
        </w:rPr>
        <w:t xml:space="preserve">: </w:t>
      </w:r>
      <w:r w:rsidR="00070356">
        <w:rPr>
          <w:rFonts w:ascii="Arial" w:eastAsia="Calibri" w:hAnsi="Arial" w:cs="Arial"/>
          <w:sz w:val="24"/>
          <w:szCs w:val="24"/>
        </w:rPr>
        <w:t xml:space="preserve">25 November 2022 </w:t>
      </w:r>
    </w:p>
    <w:p w14:paraId="6A84D71A" w14:textId="77777777" w:rsidR="00DF4BDD" w:rsidRPr="009F2288" w:rsidRDefault="00DF4BDD" w:rsidP="00DF4BDD">
      <w:pPr>
        <w:spacing w:line="240" w:lineRule="auto"/>
        <w:rPr>
          <w:rFonts w:ascii="Arial" w:eastAsia="Calibri" w:hAnsi="Arial" w:cs="Arial"/>
          <w:b/>
          <w:sz w:val="24"/>
          <w:szCs w:val="24"/>
        </w:rPr>
      </w:pPr>
    </w:p>
    <w:p w14:paraId="053CFFFA" w14:textId="77777777" w:rsidR="00843E00" w:rsidRPr="00464C2E" w:rsidRDefault="00843E00">
      <w:pPr>
        <w:rPr>
          <w:rFonts w:ascii="Arial" w:eastAsia="Calibri" w:hAnsi="Arial" w:cs="Arial"/>
          <w:b/>
          <w:sz w:val="24"/>
          <w:szCs w:val="24"/>
        </w:rPr>
      </w:pPr>
    </w:p>
    <w:sectPr w:rsidR="00843E00" w:rsidRPr="00464C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A137" w14:textId="77777777" w:rsidR="00E62560" w:rsidRDefault="00E62560" w:rsidP="00EE5395">
      <w:pPr>
        <w:spacing w:after="0" w:line="240" w:lineRule="auto"/>
      </w:pPr>
      <w:r>
        <w:separator/>
      </w:r>
    </w:p>
  </w:endnote>
  <w:endnote w:type="continuationSeparator" w:id="0">
    <w:p w14:paraId="2733AA79" w14:textId="77777777" w:rsidR="00E62560" w:rsidRDefault="00E62560" w:rsidP="00E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4A19" w14:textId="77777777" w:rsidR="00E62560" w:rsidRDefault="00E62560" w:rsidP="00EE5395">
      <w:pPr>
        <w:spacing w:after="0" w:line="240" w:lineRule="auto"/>
      </w:pPr>
      <w:r>
        <w:separator/>
      </w:r>
    </w:p>
  </w:footnote>
  <w:footnote w:type="continuationSeparator" w:id="0">
    <w:p w14:paraId="508D632E" w14:textId="77777777" w:rsidR="00E62560" w:rsidRDefault="00E62560" w:rsidP="00EE5395">
      <w:pPr>
        <w:spacing w:after="0" w:line="240" w:lineRule="auto"/>
      </w:pPr>
      <w:r>
        <w:continuationSeparator/>
      </w:r>
    </w:p>
  </w:footnote>
  <w:footnote w:id="1">
    <w:p w14:paraId="25C87DA0" w14:textId="77777777" w:rsidR="006B75C5" w:rsidRPr="00CD38E7" w:rsidRDefault="006B75C5" w:rsidP="006B75C5">
      <w:pPr>
        <w:pStyle w:val="FootnoteText"/>
        <w:rPr>
          <w:rFonts w:ascii="Arial" w:hAnsi="Arial" w:cs="Arial"/>
          <w:color w:val="000000" w:themeColor="text1"/>
          <w:lang w:val="en-ZA"/>
        </w:rPr>
      </w:pPr>
      <w:r w:rsidRPr="00CD38E7">
        <w:rPr>
          <w:rStyle w:val="FootnoteReference"/>
          <w:rFonts w:ascii="Arial" w:hAnsi="Arial" w:cs="Arial"/>
          <w:color w:val="000000" w:themeColor="text1"/>
        </w:rPr>
        <w:footnoteRef/>
      </w:r>
      <w:r w:rsidRPr="00CD38E7">
        <w:rPr>
          <w:rFonts w:ascii="Arial" w:hAnsi="Arial" w:cs="Arial"/>
          <w:color w:val="000000" w:themeColor="text1"/>
        </w:rPr>
        <w:t xml:space="preserve"> </w:t>
      </w:r>
      <w:r w:rsidRPr="00CD38E7">
        <w:rPr>
          <w:rFonts w:ascii="Arial" w:hAnsi="Arial" w:cs="Arial"/>
          <w:color w:val="000000" w:themeColor="text1"/>
          <w:lang w:val="en-ZA"/>
        </w:rPr>
        <w:t>Van Heerden v Cronwight and others 1985 (2) SA 342 (t) AT 343l.</w:t>
      </w:r>
    </w:p>
  </w:footnote>
  <w:footnote w:id="2">
    <w:p w14:paraId="2C0E0715" w14:textId="77777777" w:rsidR="00CD38E7" w:rsidRDefault="006B75C5" w:rsidP="006B75C5">
      <w:pPr>
        <w:pStyle w:val="FootnoteText"/>
        <w:rPr>
          <w:rFonts w:ascii="Arial" w:hAnsi="Arial" w:cs="Arial"/>
          <w:color w:val="000000" w:themeColor="text1"/>
          <w:lang w:val="en-US"/>
        </w:rPr>
      </w:pPr>
      <w:r w:rsidRPr="00CD38E7">
        <w:rPr>
          <w:rStyle w:val="FootnoteReference"/>
          <w:rFonts w:ascii="Arial" w:hAnsi="Arial" w:cs="Arial"/>
          <w:color w:val="000000" w:themeColor="text1"/>
        </w:rPr>
        <w:footnoteRef/>
      </w:r>
      <w:r w:rsidRPr="00CD38E7">
        <w:rPr>
          <w:rFonts w:ascii="Arial" w:hAnsi="Arial" w:cs="Arial"/>
          <w:color w:val="000000" w:themeColor="text1"/>
        </w:rPr>
        <w:t xml:space="preserve"> Acting National Director of Public Prosecutions and Others v Democratic Alliance in re: Democratic </w:t>
      </w:r>
      <w:r w:rsidR="00CD38E7">
        <w:rPr>
          <w:rFonts w:ascii="Arial" w:hAnsi="Arial" w:cs="Arial"/>
          <w:color w:val="000000" w:themeColor="text1"/>
          <w:lang w:val="en-US"/>
        </w:rPr>
        <w:t xml:space="preserve">     </w:t>
      </w:r>
    </w:p>
    <w:p w14:paraId="39ED6E5C" w14:textId="77777777" w:rsidR="00CD38E7" w:rsidRDefault="00CD38E7" w:rsidP="00CD38E7">
      <w:pPr>
        <w:pStyle w:val="FootnoteText"/>
        <w:rPr>
          <w:rFonts w:ascii="Arial" w:hAnsi="Arial" w:cs="Arial"/>
          <w:color w:val="000000" w:themeColor="text1"/>
          <w:lang w:val="en-ZA" w:eastAsia="en-ZA"/>
        </w:rPr>
      </w:pPr>
      <w:r>
        <w:rPr>
          <w:rFonts w:ascii="Arial" w:hAnsi="Arial" w:cs="Arial"/>
          <w:color w:val="000000" w:themeColor="text1"/>
          <w:lang w:val="en-US"/>
        </w:rPr>
        <w:t xml:space="preserve">  </w:t>
      </w:r>
      <w:r w:rsidR="006B75C5" w:rsidRPr="00CD38E7">
        <w:rPr>
          <w:rFonts w:ascii="Arial" w:hAnsi="Arial" w:cs="Arial"/>
          <w:color w:val="000000" w:themeColor="text1"/>
        </w:rPr>
        <w:t>Alliance</w:t>
      </w:r>
      <w:r>
        <w:rPr>
          <w:rFonts w:ascii="Arial" w:hAnsi="Arial" w:cs="Arial"/>
          <w:color w:val="000000" w:themeColor="text1"/>
          <w:lang w:val="en-US"/>
        </w:rPr>
        <w:t xml:space="preserve"> </w:t>
      </w:r>
      <w:r w:rsidR="006B75C5" w:rsidRPr="00CD38E7">
        <w:rPr>
          <w:rFonts w:ascii="Arial" w:hAnsi="Arial" w:cs="Arial"/>
          <w:color w:val="000000" w:themeColor="text1"/>
        </w:rPr>
        <w:t xml:space="preserve">v Acting National Director of Public Prosecutions and </w:t>
      </w:r>
      <w:r w:rsidR="00CA14F9" w:rsidRPr="00CD38E7">
        <w:rPr>
          <w:rFonts w:ascii="Arial" w:hAnsi="Arial" w:cs="Arial"/>
          <w:color w:val="000000" w:themeColor="text1"/>
          <w:lang w:val="en-US"/>
        </w:rPr>
        <w:t xml:space="preserve">Others </w:t>
      </w:r>
      <w:r w:rsidRPr="00CD38E7">
        <w:rPr>
          <w:rFonts w:ascii="Arial" w:hAnsi="Arial" w:cs="Arial"/>
          <w:color w:val="000000" w:themeColor="text1"/>
          <w:lang w:val="en-ZA" w:eastAsia="en-ZA"/>
        </w:rPr>
        <w:t xml:space="preserve">(19577/09) [2016] ZAGPPHC </w:t>
      </w:r>
    </w:p>
    <w:p w14:paraId="47237591" w14:textId="16377F29" w:rsidR="00CD38E7" w:rsidRPr="00CD38E7" w:rsidRDefault="00CD38E7" w:rsidP="00CD38E7">
      <w:pPr>
        <w:pStyle w:val="FootnoteText"/>
        <w:rPr>
          <w:rFonts w:ascii="Arial" w:hAnsi="Arial" w:cs="Arial"/>
          <w:color w:val="000000" w:themeColor="text1"/>
        </w:rPr>
      </w:pPr>
      <w:r>
        <w:rPr>
          <w:rFonts w:ascii="Arial" w:hAnsi="Arial" w:cs="Arial"/>
          <w:color w:val="000000" w:themeColor="text1"/>
          <w:lang w:val="en-ZA" w:eastAsia="en-ZA"/>
        </w:rPr>
        <w:t xml:space="preserve">  </w:t>
      </w:r>
      <w:r w:rsidRPr="00CD38E7">
        <w:rPr>
          <w:rFonts w:ascii="Arial" w:hAnsi="Arial" w:cs="Arial"/>
          <w:color w:val="000000" w:themeColor="text1"/>
          <w:lang w:val="en-ZA" w:eastAsia="en-ZA"/>
        </w:rPr>
        <w:t>489 (24 June 2016)</w:t>
      </w:r>
      <w:r>
        <w:rPr>
          <w:rFonts w:ascii="Arial" w:hAnsi="Arial" w:cs="Arial"/>
          <w:color w:val="000000" w:themeColor="text1"/>
          <w:lang w:val="en-ZA" w:eastAsia="en-ZA"/>
        </w:rPr>
        <w:t xml:space="preserve"> at para 25. </w:t>
      </w:r>
    </w:p>
    <w:p w14:paraId="1788200B" w14:textId="36621DD5" w:rsidR="006B75C5" w:rsidRPr="00CA14F9" w:rsidRDefault="006B75C5" w:rsidP="006B75C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4110"/>
      <w:docPartObj>
        <w:docPartGallery w:val="Page Numbers (Top of Page)"/>
        <w:docPartUnique/>
      </w:docPartObj>
    </w:sdtPr>
    <w:sdtEndPr>
      <w:rPr>
        <w:noProof/>
      </w:rPr>
    </w:sdtEndPr>
    <w:sdtContent>
      <w:p w14:paraId="4BEFC17D" w14:textId="77777777" w:rsidR="007B0527" w:rsidRDefault="007B0527">
        <w:pPr>
          <w:pStyle w:val="Header"/>
          <w:jc w:val="right"/>
        </w:pPr>
        <w:r>
          <w:fldChar w:fldCharType="begin"/>
        </w:r>
        <w:r>
          <w:instrText xml:space="preserve"> PAGE   \* MERGEFORMAT </w:instrText>
        </w:r>
        <w:r>
          <w:fldChar w:fldCharType="separate"/>
        </w:r>
        <w:r w:rsidR="00C12554">
          <w:rPr>
            <w:noProof/>
          </w:rPr>
          <w:t>5</w:t>
        </w:r>
        <w:r>
          <w:rPr>
            <w:noProof/>
          </w:rPr>
          <w:fldChar w:fldCharType="end"/>
        </w:r>
      </w:p>
    </w:sdtContent>
  </w:sdt>
  <w:p w14:paraId="47DEAA15" w14:textId="77777777" w:rsidR="007B0527" w:rsidRDefault="007B0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0FE"/>
    <w:multiLevelType w:val="multilevel"/>
    <w:tmpl w:val="47840FD0"/>
    <w:lvl w:ilvl="0">
      <w:start w:val="1"/>
      <w:numFmt w:val="decimal"/>
      <w:lvlText w:val="%1."/>
      <w:lvlJc w:val="left"/>
      <w:pPr>
        <w:ind w:left="808" w:hanging="708"/>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18" w:hanging="711"/>
      </w:pPr>
      <w:rPr>
        <w:rFonts w:hint="default"/>
        <w:w w:val="99"/>
        <w:lang w:val="en-US" w:eastAsia="en-US" w:bidi="ar-SA"/>
      </w:rPr>
    </w:lvl>
    <w:lvl w:ilvl="2">
      <w:start w:val="1"/>
      <w:numFmt w:val="decimal"/>
      <w:lvlText w:val="%1.%2.%3"/>
      <w:lvlJc w:val="left"/>
      <w:pPr>
        <w:ind w:left="2369" w:hanging="711"/>
      </w:pPr>
      <w:rPr>
        <w:rFonts w:ascii="Arial" w:eastAsia="Arial" w:hAnsi="Arial" w:cs="Arial" w:hint="default"/>
        <w:b w:val="0"/>
        <w:bCs w:val="0"/>
        <w:i w:val="0"/>
        <w:iCs w:val="0"/>
        <w:spacing w:val="-1"/>
        <w:w w:val="99"/>
        <w:sz w:val="24"/>
        <w:szCs w:val="24"/>
        <w:lang w:val="en-US" w:eastAsia="en-US" w:bidi="ar-SA"/>
      </w:rPr>
    </w:lvl>
    <w:lvl w:ilvl="3">
      <w:numFmt w:val="bullet"/>
      <w:lvlText w:val="•"/>
      <w:lvlJc w:val="left"/>
      <w:pPr>
        <w:ind w:left="3220" w:hanging="711"/>
      </w:pPr>
      <w:rPr>
        <w:rFonts w:hint="default"/>
        <w:lang w:val="en-US" w:eastAsia="en-US" w:bidi="ar-SA"/>
      </w:rPr>
    </w:lvl>
    <w:lvl w:ilvl="4">
      <w:numFmt w:val="bullet"/>
      <w:lvlText w:val="•"/>
      <w:lvlJc w:val="left"/>
      <w:pPr>
        <w:ind w:left="4081" w:hanging="711"/>
      </w:pPr>
      <w:rPr>
        <w:rFonts w:hint="default"/>
        <w:lang w:val="en-US" w:eastAsia="en-US" w:bidi="ar-SA"/>
      </w:rPr>
    </w:lvl>
    <w:lvl w:ilvl="5">
      <w:numFmt w:val="bullet"/>
      <w:lvlText w:val="•"/>
      <w:lvlJc w:val="left"/>
      <w:pPr>
        <w:ind w:left="4941" w:hanging="711"/>
      </w:pPr>
      <w:rPr>
        <w:rFonts w:hint="default"/>
        <w:lang w:val="en-US" w:eastAsia="en-US" w:bidi="ar-SA"/>
      </w:rPr>
    </w:lvl>
    <w:lvl w:ilvl="6">
      <w:numFmt w:val="bullet"/>
      <w:lvlText w:val="•"/>
      <w:lvlJc w:val="left"/>
      <w:pPr>
        <w:ind w:left="5802" w:hanging="711"/>
      </w:pPr>
      <w:rPr>
        <w:rFonts w:hint="default"/>
        <w:lang w:val="en-US" w:eastAsia="en-US" w:bidi="ar-SA"/>
      </w:rPr>
    </w:lvl>
    <w:lvl w:ilvl="7">
      <w:numFmt w:val="bullet"/>
      <w:lvlText w:val="•"/>
      <w:lvlJc w:val="left"/>
      <w:pPr>
        <w:ind w:left="6662" w:hanging="711"/>
      </w:pPr>
      <w:rPr>
        <w:rFonts w:hint="default"/>
        <w:lang w:val="en-US" w:eastAsia="en-US" w:bidi="ar-SA"/>
      </w:rPr>
    </w:lvl>
    <w:lvl w:ilvl="8">
      <w:numFmt w:val="bullet"/>
      <w:lvlText w:val="•"/>
      <w:lvlJc w:val="left"/>
      <w:pPr>
        <w:ind w:left="7523" w:hanging="711"/>
      </w:pPr>
      <w:rPr>
        <w:rFonts w:hint="default"/>
        <w:lang w:val="en-US" w:eastAsia="en-US" w:bidi="ar-SA"/>
      </w:rPr>
    </w:lvl>
  </w:abstractNum>
  <w:abstractNum w:abstractNumId="1">
    <w:nsid w:val="03CF4258"/>
    <w:multiLevelType w:val="hybridMultilevel"/>
    <w:tmpl w:val="A09AD1A6"/>
    <w:lvl w:ilvl="0" w:tplc="45D8D868">
      <w:start w:val="2"/>
      <w:numFmt w:val="lowerLetter"/>
      <w:lvlText w:val="(%1)"/>
      <w:lvlJc w:val="left"/>
      <w:pPr>
        <w:ind w:left="4188" w:hanging="360"/>
      </w:pPr>
      <w:rPr>
        <w:rFonts w:hint="default"/>
        <w:b w:val="0"/>
      </w:rPr>
    </w:lvl>
    <w:lvl w:ilvl="1" w:tplc="1C090019">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2">
    <w:nsid w:val="05D14668"/>
    <w:multiLevelType w:val="multilevel"/>
    <w:tmpl w:val="724C58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666555"/>
    <w:multiLevelType w:val="multilevel"/>
    <w:tmpl w:val="1988E79A"/>
    <w:lvl w:ilvl="0">
      <w:start w:val="1"/>
      <w:numFmt w:val="decimal"/>
      <w:lvlText w:val="%1."/>
      <w:lvlJc w:val="left"/>
      <w:pPr>
        <w:tabs>
          <w:tab w:val="num" w:pos="1021"/>
        </w:tabs>
        <w:ind w:left="1021" w:hanging="1021"/>
      </w:pPr>
      <w:rPr>
        <w:rFonts w:ascii="Arial" w:hAnsi="Arial" w:hint="default"/>
        <w:b w:val="0"/>
        <w:i w:val="0"/>
        <w:sz w:val="24"/>
        <w:szCs w:val="24"/>
        <w:lang w:val="en-ZA"/>
      </w:rPr>
    </w:lvl>
    <w:lvl w:ilvl="1">
      <w:start w:val="1"/>
      <w:numFmt w:val="decimal"/>
      <w:lvlText w:val="%1.%2."/>
      <w:lvlJc w:val="left"/>
      <w:pPr>
        <w:tabs>
          <w:tab w:val="num" w:pos="1928"/>
        </w:tabs>
        <w:ind w:left="1928" w:hanging="907"/>
      </w:pPr>
      <w:rPr>
        <w:rFonts w:ascii="Arial" w:hAnsi="Arial" w:hint="default"/>
        <w:b w:val="0"/>
        <w:i w:val="0"/>
        <w:sz w:val="24"/>
        <w:szCs w:val="24"/>
      </w:rPr>
    </w:lvl>
    <w:lvl w:ilvl="2">
      <w:start w:val="1"/>
      <w:numFmt w:val="decimal"/>
      <w:lvlText w:val="%1.%2.%3."/>
      <w:lvlJc w:val="left"/>
      <w:pPr>
        <w:tabs>
          <w:tab w:val="num" w:pos="3402"/>
        </w:tabs>
        <w:ind w:left="3402" w:hanging="1474"/>
      </w:pPr>
      <w:rPr>
        <w:rFonts w:ascii="Arial" w:hAnsi="Arial" w:hint="default"/>
        <w:b w:val="0"/>
        <w:i w:val="0"/>
        <w:sz w:val="24"/>
        <w:szCs w:val="24"/>
      </w:rPr>
    </w:lvl>
    <w:lvl w:ilvl="3">
      <w:start w:val="1"/>
      <w:numFmt w:val="decimal"/>
      <w:lvlText w:val="%1.%2.%3.%4."/>
      <w:lvlJc w:val="left"/>
      <w:pPr>
        <w:tabs>
          <w:tab w:val="num" w:pos="4820"/>
        </w:tabs>
        <w:ind w:left="4820" w:hanging="141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18824F2"/>
    <w:multiLevelType w:val="multilevel"/>
    <w:tmpl w:val="420A0C2A"/>
    <w:lvl w:ilvl="0">
      <w:start w:val="7"/>
      <w:numFmt w:val="decimal"/>
      <w:lvlText w:val="%1"/>
      <w:lvlJc w:val="left"/>
      <w:pPr>
        <w:ind w:left="540" w:hanging="540"/>
      </w:pPr>
      <w:rPr>
        <w:rFonts w:hint="default"/>
      </w:rPr>
    </w:lvl>
    <w:lvl w:ilvl="1">
      <w:start w:val="2"/>
      <w:numFmt w:val="decimal"/>
      <w:lvlText w:val="%1.%2"/>
      <w:lvlJc w:val="left"/>
      <w:pPr>
        <w:ind w:left="1504" w:hanging="54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512" w:hanging="1800"/>
      </w:pPr>
      <w:rPr>
        <w:rFonts w:hint="default"/>
      </w:rPr>
    </w:lvl>
  </w:abstractNum>
  <w:abstractNum w:abstractNumId="5">
    <w:nsid w:val="39B0560C"/>
    <w:multiLevelType w:val="multilevel"/>
    <w:tmpl w:val="6C3814BE"/>
    <w:lvl w:ilvl="0">
      <w:start w:val="12"/>
      <w:numFmt w:val="decimal"/>
      <w:lvlText w:val="%1"/>
      <w:lvlJc w:val="left"/>
      <w:pPr>
        <w:ind w:left="1556" w:hanging="760"/>
      </w:pPr>
      <w:rPr>
        <w:rFonts w:hint="default"/>
        <w:lang w:val="en-US" w:eastAsia="en-US" w:bidi="ar-SA"/>
      </w:rPr>
    </w:lvl>
    <w:lvl w:ilvl="1">
      <w:start w:val="1"/>
      <w:numFmt w:val="decimal"/>
      <w:lvlText w:val="%1.%2"/>
      <w:lvlJc w:val="left"/>
      <w:pPr>
        <w:ind w:left="1556" w:hanging="760"/>
      </w:pPr>
      <w:rPr>
        <w:rFonts w:ascii="Arial" w:eastAsia="Arial" w:hAnsi="Arial" w:cs="Arial" w:hint="default"/>
        <w:b w:val="0"/>
        <w:bCs w:val="0"/>
        <w:i w:val="0"/>
        <w:iCs/>
        <w:w w:val="100"/>
        <w:sz w:val="24"/>
        <w:szCs w:val="24"/>
        <w:lang w:val="en-US" w:eastAsia="en-US" w:bidi="ar-SA"/>
      </w:rPr>
    </w:lvl>
    <w:lvl w:ilvl="2">
      <w:start w:val="1"/>
      <w:numFmt w:val="decimal"/>
      <w:lvlText w:val="%1.%2.%3"/>
      <w:lvlJc w:val="left"/>
      <w:pPr>
        <w:ind w:left="2316" w:hanging="760"/>
      </w:pPr>
      <w:rPr>
        <w:rFonts w:ascii="Arial" w:eastAsia="Arial" w:hAnsi="Arial" w:cs="Arial" w:hint="default"/>
        <w:b w:val="0"/>
        <w:bCs w:val="0"/>
        <w:i w:val="0"/>
        <w:iCs/>
        <w:w w:val="100"/>
        <w:sz w:val="24"/>
        <w:szCs w:val="24"/>
        <w:lang w:val="en-US" w:eastAsia="en-US" w:bidi="ar-SA"/>
      </w:rPr>
    </w:lvl>
    <w:lvl w:ilvl="3">
      <w:numFmt w:val="bullet"/>
      <w:lvlText w:val="•"/>
      <w:lvlJc w:val="left"/>
      <w:pPr>
        <w:ind w:left="3960" w:hanging="760"/>
      </w:pPr>
      <w:rPr>
        <w:rFonts w:hint="default"/>
        <w:lang w:val="en-US" w:eastAsia="en-US" w:bidi="ar-SA"/>
      </w:rPr>
    </w:lvl>
    <w:lvl w:ilvl="4">
      <w:numFmt w:val="bullet"/>
      <w:lvlText w:val="•"/>
      <w:lvlJc w:val="left"/>
      <w:pPr>
        <w:ind w:left="4780" w:hanging="760"/>
      </w:pPr>
      <w:rPr>
        <w:rFonts w:hint="default"/>
        <w:lang w:val="en-US" w:eastAsia="en-US" w:bidi="ar-SA"/>
      </w:rPr>
    </w:lvl>
    <w:lvl w:ilvl="5">
      <w:numFmt w:val="bullet"/>
      <w:lvlText w:val="•"/>
      <w:lvlJc w:val="left"/>
      <w:pPr>
        <w:ind w:left="5600" w:hanging="760"/>
      </w:pPr>
      <w:rPr>
        <w:rFonts w:hint="default"/>
        <w:lang w:val="en-US" w:eastAsia="en-US" w:bidi="ar-SA"/>
      </w:rPr>
    </w:lvl>
    <w:lvl w:ilvl="6">
      <w:numFmt w:val="bullet"/>
      <w:lvlText w:val="•"/>
      <w:lvlJc w:val="left"/>
      <w:pPr>
        <w:ind w:left="6420" w:hanging="760"/>
      </w:pPr>
      <w:rPr>
        <w:rFonts w:hint="default"/>
        <w:lang w:val="en-US" w:eastAsia="en-US" w:bidi="ar-SA"/>
      </w:rPr>
    </w:lvl>
    <w:lvl w:ilvl="7">
      <w:numFmt w:val="bullet"/>
      <w:lvlText w:val="•"/>
      <w:lvlJc w:val="left"/>
      <w:pPr>
        <w:ind w:left="7240" w:hanging="760"/>
      </w:pPr>
      <w:rPr>
        <w:rFonts w:hint="default"/>
        <w:lang w:val="en-US" w:eastAsia="en-US" w:bidi="ar-SA"/>
      </w:rPr>
    </w:lvl>
    <w:lvl w:ilvl="8">
      <w:numFmt w:val="bullet"/>
      <w:lvlText w:val="•"/>
      <w:lvlJc w:val="left"/>
      <w:pPr>
        <w:ind w:left="8060" w:hanging="760"/>
      </w:pPr>
      <w:rPr>
        <w:rFonts w:hint="default"/>
        <w:lang w:val="en-US" w:eastAsia="en-US" w:bidi="ar-SA"/>
      </w:rPr>
    </w:lvl>
  </w:abstractNum>
  <w:abstractNum w:abstractNumId="6">
    <w:nsid w:val="3D9248B4"/>
    <w:multiLevelType w:val="hybridMultilevel"/>
    <w:tmpl w:val="ED741822"/>
    <w:lvl w:ilvl="0" w:tplc="34445C02">
      <w:start w:val="1"/>
      <w:numFmt w:val="upperLetter"/>
      <w:lvlText w:val="%1."/>
      <w:lvlJc w:val="left"/>
      <w:pPr>
        <w:ind w:left="825" w:hanging="709"/>
      </w:pPr>
      <w:rPr>
        <w:rFonts w:ascii="Arial" w:eastAsia="Arial" w:hAnsi="Arial" w:cs="Arial" w:hint="default"/>
        <w:b w:val="0"/>
        <w:bCs w:val="0"/>
        <w:i w:val="0"/>
        <w:iCs w:val="0"/>
        <w:w w:val="100"/>
        <w:sz w:val="24"/>
        <w:szCs w:val="24"/>
        <w:lang w:val="en-US" w:eastAsia="en-US" w:bidi="ar-SA"/>
      </w:rPr>
    </w:lvl>
    <w:lvl w:ilvl="1" w:tplc="145EA38E">
      <w:numFmt w:val="bullet"/>
      <w:lvlText w:val="•"/>
      <w:lvlJc w:val="left"/>
      <w:pPr>
        <w:ind w:left="1480" w:hanging="709"/>
      </w:pPr>
      <w:rPr>
        <w:rFonts w:hint="default"/>
        <w:lang w:val="en-US" w:eastAsia="en-US" w:bidi="ar-SA"/>
      </w:rPr>
    </w:lvl>
    <w:lvl w:ilvl="2" w:tplc="03042344">
      <w:numFmt w:val="bullet"/>
      <w:lvlText w:val="•"/>
      <w:lvlJc w:val="left"/>
      <w:pPr>
        <w:ind w:left="1540" w:hanging="709"/>
      </w:pPr>
      <w:rPr>
        <w:rFonts w:hint="default"/>
        <w:lang w:val="en-US" w:eastAsia="en-US" w:bidi="ar-SA"/>
      </w:rPr>
    </w:lvl>
    <w:lvl w:ilvl="3" w:tplc="3DE02E5E">
      <w:numFmt w:val="bullet"/>
      <w:lvlText w:val="•"/>
      <w:lvlJc w:val="left"/>
      <w:pPr>
        <w:ind w:left="2560" w:hanging="709"/>
      </w:pPr>
      <w:rPr>
        <w:rFonts w:hint="default"/>
        <w:lang w:val="en-US" w:eastAsia="en-US" w:bidi="ar-SA"/>
      </w:rPr>
    </w:lvl>
    <w:lvl w:ilvl="4" w:tplc="3FFC08E4">
      <w:numFmt w:val="bullet"/>
      <w:lvlText w:val="•"/>
      <w:lvlJc w:val="left"/>
      <w:pPr>
        <w:ind w:left="3580" w:hanging="709"/>
      </w:pPr>
      <w:rPr>
        <w:rFonts w:hint="default"/>
        <w:lang w:val="en-US" w:eastAsia="en-US" w:bidi="ar-SA"/>
      </w:rPr>
    </w:lvl>
    <w:lvl w:ilvl="5" w:tplc="64F0AFFC">
      <w:numFmt w:val="bullet"/>
      <w:lvlText w:val="•"/>
      <w:lvlJc w:val="left"/>
      <w:pPr>
        <w:ind w:left="4600" w:hanging="709"/>
      </w:pPr>
      <w:rPr>
        <w:rFonts w:hint="default"/>
        <w:lang w:val="en-US" w:eastAsia="en-US" w:bidi="ar-SA"/>
      </w:rPr>
    </w:lvl>
    <w:lvl w:ilvl="6" w:tplc="0DA84C04">
      <w:numFmt w:val="bullet"/>
      <w:lvlText w:val="•"/>
      <w:lvlJc w:val="left"/>
      <w:pPr>
        <w:ind w:left="5620" w:hanging="709"/>
      </w:pPr>
      <w:rPr>
        <w:rFonts w:hint="default"/>
        <w:lang w:val="en-US" w:eastAsia="en-US" w:bidi="ar-SA"/>
      </w:rPr>
    </w:lvl>
    <w:lvl w:ilvl="7" w:tplc="CA7EFE58">
      <w:numFmt w:val="bullet"/>
      <w:lvlText w:val="•"/>
      <w:lvlJc w:val="left"/>
      <w:pPr>
        <w:ind w:left="6640" w:hanging="709"/>
      </w:pPr>
      <w:rPr>
        <w:rFonts w:hint="default"/>
        <w:lang w:val="en-US" w:eastAsia="en-US" w:bidi="ar-SA"/>
      </w:rPr>
    </w:lvl>
    <w:lvl w:ilvl="8" w:tplc="12B2B5D8">
      <w:numFmt w:val="bullet"/>
      <w:lvlText w:val="•"/>
      <w:lvlJc w:val="left"/>
      <w:pPr>
        <w:ind w:left="7660" w:hanging="709"/>
      </w:pPr>
      <w:rPr>
        <w:rFonts w:hint="default"/>
        <w:lang w:val="en-US" w:eastAsia="en-US" w:bidi="ar-SA"/>
      </w:rPr>
    </w:lvl>
  </w:abstractNum>
  <w:abstractNum w:abstractNumId="7">
    <w:nsid w:val="495166AD"/>
    <w:multiLevelType w:val="multilevel"/>
    <w:tmpl w:val="D69CD6EA"/>
    <w:lvl w:ilvl="0">
      <w:start w:val="1"/>
      <w:numFmt w:val="decimal"/>
      <w:lvlText w:val="%1."/>
      <w:lvlJc w:val="left"/>
      <w:pPr>
        <w:tabs>
          <w:tab w:val="num" w:pos="1021"/>
        </w:tabs>
        <w:ind w:left="1021" w:hanging="1021"/>
      </w:pPr>
      <w:rPr>
        <w:rFonts w:ascii="Arial" w:hAnsi="Arial" w:hint="default"/>
        <w:b w:val="0"/>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5735A26"/>
    <w:multiLevelType w:val="multilevel"/>
    <w:tmpl w:val="E26CC92E"/>
    <w:lvl w:ilvl="0">
      <w:start w:val="1"/>
      <w:numFmt w:val="decimal"/>
      <w:pStyle w:val="1"/>
      <w:lvlText w:val="%1."/>
      <w:lvlJc w:val="left"/>
      <w:pPr>
        <w:tabs>
          <w:tab w:val="num" w:pos="567"/>
        </w:tabs>
        <w:ind w:left="567" w:hanging="567"/>
      </w:pPr>
      <w:rPr>
        <w:rFonts w:hint="default"/>
        <w:b w:val="0"/>
        <w:bCs w:val="0"/>
        <w:i w:val="0"/>
        <w:iCs w:val="0"/>
        <w:sz w:val="24"/>
        <w:szCs w:val="24"/>
        <w:lang w:val="en-ZA"/>
      </w:rPr>
    </w:lvl>
    <w:lvl w:ilvl="1">
      <w:start w:val="1"/>
      <w:numFmt w:val="decimal"/>
      <w:pStyle w:val="2"/>
      <w:lvlText w:val="%1.%2."/>
      <w:lvlJc w:val="left"/>
      <w:pPr>
        <w:tabs>
          <w:tab w:val="num" w:pos="1134"/>
        </w:tabs>
        <w:ind w:left="1134" w:hanging="1134"/>
      </w:pPr>
      <w:rPr>
        <w:rFonts w:hint="default"/>
        <w:b w:val="0"/>
        <w:i w:val="0"/>
        <w:sz w:val="24"/>
        <w:szCs w:val="24"/>
      </w:rPr>
    </w:lvl>
    <w:lvl w:ilvl="2">
      <w:start w:val="1"/>
      <w:numFmt w:val="decimal"/>
      <w:pStyle w:val="3"/>
      <w:lvlText w:val="%1.%2.%3."/>
      <w:lvlJc w:val="left"/>
      <w:pPr>
        <w:tabs>
          <w:tab w:val="num" w:pos="1701"/>
        </w:tabs>
        <w:ind w:left="1701" w:hanging="1701"/>
      </w:pPr>
      <w:rPr>
        <w:rFonts w:hint="default"/>
        <w:b w:val="0"/>
        <w:i w:val="0"/>
        <w:sz w:val="24"/>
        <w:szCs w:val="24"/>
      </w:rPr>
    </w:lvl>
    <w:lvl w:ilvl="3">
      <w:start w:val="1"/>
      <w:numFmt w:val="decimal"/>
      <w:pStyle w:val="4"/>
      <w:lvlText w:val="%1.%2.%3.%4."/>
      <w:lvlJc w:val="left"/>
      <w:pPr>
        <w:tabs>
          <w:tab w:val="num" w:pos="2268"/>
        </w:tabs>
        <w:ind w:left="2268" w:hanging="2268"/>
      </w:pPr>
      <w:rPr>
        <w:rFonts w:hint="default"/>
        <w:b w:val="0"/>
        <w:i w:val="0"/>
        <w:sz w:val="24"/>
        <w:szCs w:val="24"/>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4EC46C3"/>
    <w:multiLevelType w:val="multilevel"/>
    <w:tmpl w:val="E878FE3C"/>
    <w:lvl w:ilvl="0">
      <w:start w:val="1"/>
      <w:numFmt w:val="decimal"/>
      <w:lvlText w:val="%1."/>
      <w:lvlJc w:val="left"/>
      <w:pPr>
        <w:tabs>
          <w:tab w:val="num" w:pos="1021"/>
        </w:tabs>
        <w:ind w:left="1021" w:hanging="1021"/>
      </w:pPr>
      <w:rPr>
        <w:rFonts w:ascii="Arial" w:hAnsi="Arial" w:hint="default"/>
        <w:b w:val="0"/>
      </w:rPr>
    </w:lvl>
    <w:lvl w:ilvl="1">
      <w:start w:val="1"/>
      <w:numFmt w:val="decimal"/>
      <w:lvlText w:val="%1.%2."/>
      <w:lvlJc w:val="left"/>
      <w:pPr>
        <w:tabs>
          <w:tab w:val="num" w:pos="1928"/>
        </w:tabs>
        <w:ind w:left="1928" w:hanging="907"/>
      </w:pPr>
      <w:rPr>
        <w:rFonts w:ascii="Arial" w:hAnsi="Arial" w:hint="default"/>
        <w:b w:val="0"/>
      </w:rPr>
    </w:lvl>
    <w:lvl w:ilvl="2">
      <w:start w:val="1"/>
      <w:numFmt w:val="lowerRoman"/>
      <w:lvlText w:val="(%3)"/>
      <w:lvlJc w:val="left"/>
      <w:pPr>
        <w:tabs>
          <w:tab w:val="num" w:pos="3402"/>
        </w:tabs>
        <w:ind w:left="3402" w:hanging="1474"/>
      </w:pPr>
      <w:rPr>
        <w:rFonts w:ascii="Arial" w:eastAsia="Times New Roman" w:hAnsi="Arial" w:cs="Arial"/>
        <w:b w:val="0"/>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5"/>
    <w:rsid w:val="00000C73"/>
    <w:rsid w:val="00004D00"/>
    <w:rsid w:val="000449EE"/>
    <w:rsid w:val="00051E32"/>
    <w:rsid w:val="00070356"/>
    <w:rsid w:val="000D4A95"/>
    <w:rsid w:val="001154EC"/>
    <w:rsid w:val="0012499F"/>
    <w:rsid w:val="0018258D"/>
    <w:rsid w:val="001838DC"/>
    <w:rsid w:val="001A2528"/>
    <w:rsid w:val="001F076F"/>
    <w:rsid w:val="00276401"/>
    <w:rsid w:val="002D18DF"/>
    <w:rsid w:val="00314B8D"/>
    <w:rsid w:val="003164A2"/>
    <w:rsid w:val="0037634D"/>
    <w:rsid w:val="004472FF"/>
    <w:rsid w:val="004648FB"/>
    <w:rsid w:val="00464C2E"/>
    <w:rsid w:val="00474182"/>
    <w:rsid w:val="00490656"/>
    <w:rsid w:val="004C045D"/>
    <w:rsid w:val="00522E00"/>
    <w:rsid w:val="00535D7E"/>
    <w:rsid w:val="0055364A"/>
    <w:rsid w:val="005E0C9A"/>
    <w:rsid w:val="006360D8"/>
    <w:rsid w:val="006B75C5"/>
    <w:rsid w:val="006E0D2A"/>
    <w:rsid w:val="007A5D76"/>
    <w:rsid w:val="007B0527"/>
    <w:rsid w:val="007C341C"/>
    <w:rsid w:val="007F7369"/>
    <w:rsid w:val="007F7DA6"/>
    <w:rsid w:val="008249BC"/>
    <w:rsid w:val="00843E00"/>
    <w:rsid w:val="00883A88"/>
    <w:rsid w:val="008A2692"/>
    <w:rsid w:val="00913291"/>
    <w:rsid w:val="00A112AB"/>
    <w:rsid w:val="00A26C38"/>
    <w:rsid w:val="00A93487"/>
    <w:rsid w:val="00A9522E"/>
    <w:rsid w:val="00AA490A"/>
    <w:rsid w:val="00B823DE"/>
    <w:rsid w:val="00B93CB9"/>
    <w:rsid w:val="00BC1839"/>
    <w:rsid w:val="00BC24FC"/>
    <w:rsid w:val="00BD5A9B"/>
    <w:rsid w:val="00C12554"/>
    <w:rsid w:val="00CA14F9"/>
    <w:rsid w:val="00CD38E7"/>
    <w:rsid w:val="00CD72A4"/>
    <w:rsid w:val="00D2268A"/>
    <w:rsid w:val="00D77127"/>
    <w:rsid w:val="00DF4BDD"/>
    <w:rsid w:val="00E32323"/>
    <w:rsid w:val="00E62560"/>
    <w:rsid w:val="00EB2D8E"/>
    <w:rsid w:val="00EE5395"/>
    <w:rsid w:val="00FB0476"/>
    <w:rsid w:val="00FB7F2A"/>
    <w:rsid w:val="00FC30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E1CD"/>
  <w15:chartTrackingRefBased/>
  <w15:docId w15:val="{AA79083F-5422-402D-80E7-0C3947E3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95"/>
    <w:rPr>
      <w:lang w:val="en-US"/>
    </w:rPr>
  </w:style>
  <w:style w:type="paragraph" w:styleId="Heading1">
    <w:name w:val="heading 1"/>
    <w:basedOn w:val="Normal"/>
    <w:link w:val="Heading1Char"/>
    <w:uiPriority w:val="1"/>
    <w:qFormat/>
    <w:rsid w:val="008A2692"/>
    <w:pPr>
      <w:widowControl w:val="0"/>
      <w:autoSpaceDE w:val="0"/>
      <w:autoSpaceDN w:val="0"/>
      <w:spacing w:after="0" w:line="240" w:lineRule="auto"/>
      <w:ind w:left="118"/>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CD3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Footnote Text Char1,Footnote Text Char1 Char Char,Footnote Text Char Char Char Char Char,Footnote Text Char Char1 Char Char,Footnote Text Char Char1 Char,Footnote Text Char2,fn"/>
    <w:basedOn w:val="Normal"/>
    <w:link w:val="FootnoteTextChar"/>
    <w:qFormat/>
    <w:rsid w:val="00EE539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Char Char Char,Footnote Text Char Char Char Char,Footnote Text Char Char Char1,Footnote Text Char1 Char,Footnote Text Char1 Char Char Char,Footnote Text Char Char Char Char Char Char,Footnote Text Char Char1 Char Char Char,fn Char"/>
    <w:basedOn w:val="DefaultParagraphFont"/>
    <w:link w:val="FootnoteText"/>
    <w:rsid w:val="00EE5395"/>
    <w:rPr>
      <w:rFonts w:ascii="Times New Roman" w:eastAsia="Times New Roman" w:hAnsi="Times New Roman" w:cs="Times New Roman"/>
      <w:sz w:val="20"/>
      <w:szCs w:val="20"/>
      <w:lang w:val="x-none" w:eastAsia="x-none"/>
    </w:rPr>
  </w:style>
  <w:style w:type="character" w:styleId="FootnoteReference">
    <w:name w:val="footnote reference"/>
    <w:aliases w:val="Footnotes refss,(NECG) Footnote Reference,fr,Appel note de bas de page,Ref,de nota al pie,註腳內容,Footnote symbol,Style 12,Footnote,Footnote Reference + Superscript,Heading 6 Char1,do not use4 Char1,Footnote Reference in text,ftref,Nota"/>
    <w:qFormat/>
    <w:rsid w:val="00EE5395"/>
    <w:rPr>
      <w:vertAlign w:val="superscript"/>
    </w:rPr>
  </w:style>
  <w:style w:type="paragraph" w:styleId="ListParagraph">
    <w:name w:val="List Paragraph"/>
    <w:basedOn w:val="Normal"/>
    <w:uiPriority w:val="1"/>
    <w:qFormat/>
    <w:rsid w:val="00EE5395"/>
    <w:pPr>
      <w:spacing w:after="200" w:line="276" w:lineRule="auto"/>
      <w:ind w:left="720"/>
      <w:contextualSpacing/>
    </w:pPr>
    <w:rPr>
      <w:lang w:val="en-ZA"/>
    </w:rPr>
  </w:style>
  <w:style w:type="paragraph" w:customStyle="1" w:styleId="1">
    <w:name w:val="1"/>
    <w:basedOn w:val="Normal"/>
    <w:link w:val="1Char"/>
    <w:qFormat/>
    <w:rsid w:val="00EE5395"/>
    <w:pPr>
      <w:widowControl w:val="0"/>
      <w:numPr>
        <w:numId w:val="1"/>
      </w:numPr>
      <w:spacing w:after="360" w:line="360" w:lineRule="auto"/>
      <w:jc w:val="both"/>
    </w:pPr>
    <w:rPr>
      <w:rFonts w:ascii="Arial" w:eastAsia="Times New Roman" w:hAnsi="Arial" w:cs="Arial"/>
      <w:bCs/>
      <w:color w:val="000000" w:themeColor="text1"/>
      <w:kern w:val="25"/>
      <w:sz w:val="24"/>
      <w:szCs w:val="24"/>
      <w:lang w:val="en-GB" w:eastAsia="en-GB"/>
    </w:rPr>
  </w:style>
  <w:style w:type="paragraph" w:customStyle="1" w:styleId="2">
    <w:name w:val="2"/>
    <w:basedOn w:val="Normal"/>
    <w:qFormat/>
    <w:rsid w:val="00EE5395"/>
    <w:pPr>
      <w:widowControl w:val="0"/>
      <w:numPr>
        <w:ilvl w:val="1"/>
        <w:numId w:val="1"/>
      </w:numPr>
      <w:spacing w:after="360" w:line="360" w:lineRule="auto"/>
      <w:jc w:val="both"/>
    </w:pPr>
    <w:rPr>
      <w:rFonts w:ascii="Arial" w:eastAsia="Times New Roman" w:hAnsi="Arial" w:cs="Arial"/>
      <w:bCs/>
      <w:color w:val="000000" w:themeColor="text1"/>
      <w:kern w:val="25"/>
      <w:sz w:val="24"/>
      <w:szCs w:val="24"/>
      <w:lang w:val="en-GB" w:eastAsia="en-GB"/>
    </w:rPr>
  </w:style>
  <w:style w:type="paragraph" w:customStyle="1" w:styleId="3">
    <w:name w:val="3"/>
    <w:basedOn w:val="Normal"/>
    <w:qFormat/>
    <w:rsid w:val="00EE5395"/>
    <w:pPr>
      <w:widowControl w:val="0"/>
      <w:numPr>
        <w:ilvl w:val="2"/>
        <w:numId w:val="1"/>
      </w:numPr>
      <w:spacing w:after="360" w:line="360" w:lineRule="auto"/>
      <w:jc w:val="both"/>
    </w:pPr>
    <w:rPr>
      <w:rFonts w:ascii="Arial" w:eastAsia="Times New Roman" w:hAnsi="Arial" w:cs="Arial"/>
      <w:bCs/>
      <w:color w:val="000000" w:themeColor="text1"/>
      <w:kern w:val="25"/>
      <w:sz w:val="24"/>
      <w:szCs w:val="24"/>
      <w:lang w:val="en-GB" w:eastAsia="en-GB"/>
    </w:rPr>
  </w:style>
  <w:style w:type="paragraph" w:customStyle="1" w:styleId="4">
    <w:name w:val="4"/>
    <w:basedOn w:val="2"/>
    <w:qFormat/>
    <w:rsid w:val="00EE5395"/>
    <w:pPr>
      <w:numPr>
        <w:ilvl w:val="3"/>
      </w:numPr>
    </w:pPr>
    <w:rPr>
      <w:iCs/>
    </w:rPr>
  </w:style>
  <w:style w:type="paragraph" w:customStyle="1" w:styleId="5">
    <w:name w:val="5"/>
    <w:basedOn w:val="4"/>
    <w:qFormat/>
    <w:rsid w:val="00EE5395"/>
    <w:pPr>
      <w:numPr>
        <w:ilvl w:val="4"/>
      </w:numPr>
    </w:pPr>
    <w:rPr>
      <w:iCs w:val="0"/>
      <w:szCs w:val="16"/>
      <w:lang w:eastAsia="en-ZA"/>
    </w:rPr>
  </w:style>
  <w:style w:type="character" w:customStyle="1" w:styleId="1Char">
    <w:name w:val="1 Char"/>
    <w:basedOn w:val="DefaultParagraphFont"/>
    <w:link w:val="1"/>
    <w:rsid w:val="00EE5395"/>
    <w:rPr>
      <w:rFonts w:ascii="Arial" w:eastAsia="Times New Roman" w:hAnsi="Arial" w:cs="Arial"/>
      <w:bCs/>
      <w:color w:val="000000" w:themeColor="text1"/>
      <w:kern w:val="25"/>
      <w:sz w:val="24"/>
      <w:szCs w:val="24"/>
      <w:lang w:val="en-GB" w:eastAsia="en-GB"/>
    </w:rPr>
  </w:style>
  <w:style w:type="paragraph" w:styleId="Header">
    <w:name w:val="header"/>
    <w:basedOn w:val="Normal"/>
    <w:link w:val="HeaderChar"/>
    <w:uiPriority w:val="99"/>
    <w:unhideWhenUsed/>
    <w:rsid w:val="007A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76"/>
    <w:rPr>
      <w:lang w:val="en-US"/>
    </w:rPr>
  </w:style>
  <w:style w:type="paragraph" w:styleId="Footer">
    <w:name w:val="footer"/>
    <w:basedOn w:val="Normal"/>
    <w:link w:val="FooterChar"/>
    <w:uiPriority w:val="99"/>
    <w:unhideWhenUsed/>
    <w:rsid w:val="007A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76"/>
    <w:rPr>
      <w:lang w:val="en-US"/>
    </w:rPr>
  </w:style>
  <w:style w:type="character" w:customStyle="1" w:styleId="Heading1Char">
    <w:name w:val="Heading 1 Char"/>
    <w:basedOn w:val="DefaultParagraphFont"/>
    <w:link w:val="Heading1"/>
    <w:uiPriority w:val="1"/>
    <w:rsid w:val="008A2692"/>
    <w:rPr>
      <w:rFonts w:ascii="Arial" w:eastAsia="Arial" w:hAnsi="Arial" w:cs="Arial"/>
      <w:b/>
      <w:bCs/>
      <w:sz w:val="24"/>
      <w:szCs w:val="24"/>
      <w:lang w:val="en-US"/>
    </w:rPr>
  </w:style>
  <w:style w:type="paragraph" w:styleId="BodyText">
    <w:name w:val="Body Text"/>
    <w:basedOn w:val="Normal"/>
    <w:link w:val="BodyTextChar"/>
    <w:uiPriority w:val="1"/>
    <w:qFormat/>
    <w:rsid w:val="008A269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A2692"/>
    <w:rPr>
      <w:rFonts w:ascii="Arial" w:eastAsia="Arial" w:hAnsi="Arial" w:cs="Arial"/>
      <w:sz w:val="24"/>
      <w:szCs w:val="24"/>
      <w:lang w:val="en-US"/>
    </w:rPr>
  </w:style>
  <w:style w:type="paragraph" w:customStyle="1" w:styleId="TableParagraph">
    <w:name w:val="Table Paragraph"/>
    <w:basedOn w:val="Normal"/>
    <w:uiPriority w:val="1"/>
    <w:qFormat/>
    <w:rsid w:val="008A2692"/>
    <w:pPr>
      <w:widowControl w:val="0"/>
      <w:autoSpaceDE w:val="0"/>
      <w:autoSpaceDN w:val="0"/>
      <w:spacing w:after="0" w:line="240" w:lineRule="auto"/>
    </w:pPr>
    <w:rPr>
      <w:rFonts w:ascii="Arial" w:eastAsia="Arial" w:hAnsi="Arial" w:cs="Arial"/>
    </w:rPr>
  </w:style>
  <w:style w:type="paragraph" w:customStyle="1" w:styleId="Myown">
    <w:name w:val="My own"/>
    <w:basedOn w:val="Normal"/>
    <w:rsid w:val="006B75C5"/>
    <w:pPr>
      <w:tabs>
        <w:tab w:val="num" w:pos="0"/>
      </w:tabs>
      <w:spacing w:before="360" w:after="360" w:line="480" w:lineRule="auto"/>
      <w:ind w:left="706" w:hanging="706"/>
      <w:jc w:val="both"/>
    </w:pPr>
    <w:rPr>
      <w:rFonts w:ascii="Times New Roman" w:eastAsia="Times New Roman" w:hAnsi="Times New Roman" w:cs="Times New Roman"/>
      <w:sz w:val="24"/>
      <w:szCs w:val="24"/>
      <w:lang w:val="en-ZA"/>
    </w:rPr>
  </w:style>
  <w:style w:type="paragraph" w:customStyle="1" w:styleId="lg-section">
    <w:name w:val="lg-section"/>
    <w:basedOn w:val="Normal"/>
    <w:rsid w:val="00B823D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a-i-sl">
    <w:name w:val="lg-i-a-i-sl"/>
    <w:basedOn w:val="Normal"/>
    <w:rsid w:val="00B823D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a-1">
    <w:name w:val="lg-i-a-1"/>
    <w:basedOn w:val="Normal"/>
    <w:rsid w:val="00B823D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B823D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2Char">
    <w:name w:val="Heading 2 Char"/>
    <w:basedOn w:val="DefaultParagraphFont"/>
    <w:link w:val="Heading2"/>
    <w:uiPriority w:val="9"/>
    <w:semiHidden/>
    <w:rsid w:val="00CD38E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5731">
      <w:bodyDiv w:val="1"/>
      <w:marLeft w:val="0"/>
      <w:marRight w:val="0"/>
      <w:marTop w:val="0"/>
      <w:marBottom w:val="0"/>
      <w:divBdr>
        <w:top w:val="none" w:sz="0" w:space="0" w:color="auto"/>
        <w:left w:val="none" w:sz="0" w:space="0" w:color="auto"/>
        <w:bottom w:val="none" w:sz="0" w:space="0" w:color="auto"/>
        <w:right w:val="none" w:sz="0" w:space="0" w:color="auto"/>
      </w:divBdr>
    </w:div>
    <w:div w:id="1075972709">
      <w:bodyDiv w:val="1"/>
      <w:marLeft w:val="0"/>
      <w:marRight w:val="0"/>
      <w:marTop w:val="0"/>
      <w:marBottom w:val="0"/>
      <w:divBdr>
        <w:top w:val="none" w:sz="0" w:space="0" w:color="auto"/>
        <w:left w:val="none" w:sz="0" w:space="0" w:color="auto"/>
        <w:bottom w:val="none" w:sz="0" w:space="0" w:color="auto"/>
        <w:right w:val="none" w:sz="0" w:space="0" w:color="auto"/>
      </w:divBdr>
    </w:div>
    <w:div w:id="19833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Bester</dc:creator>
  <cp:keywords/>
  <dc:description/>
  <cp:lastModifiedBy>Mokone</cp:lastModifiedBy>
  <cp:revision>3</cp:revision>
  <cp:lastPrinted>2022-11-25T14:21:00Z</cp:lastPrinted>
  <dcterms:created xsi:type="dcterms:W3CDTF">2022-12-06T05:07:00Z</dcterms:created>
  <dcterms:modified xsi:type="dcterms:W3CDTF">2022-12-06T05:11:00Z</dcterms:modified>
</cp:coreProperties>
</file>