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DC" w:rsidRDefault="00BE2ADC" w:rsidP="00B50E11">
      <w:pPr>
        <w:pStyle w:val="Body"/>
        <w:jc w:val="center"/>
        <w:rPr>
          <w:noProof/>
        </w:rPr>
      </w:pPr>
      <w:bookmarkStart w:id="0" w:name="_GoBack"/>
      <w:bookmarkEnd w:id="0"/>
    </w:p>
    <w:p w:rsidR="00BE2ADC" w:rsidRDefault="00BE2ADC" w:rsidP="00B50E11">
      <w:pPr>
        <w:pStyle w:val="Body"/>
        <w:jc w:val="center"/>
        <w:rPr>
          <w:noProof/>
        </w:rPr>
      </w:pPr>
    </w:p>
    <w:p w:rsidR="00B50E11" w:rsidRDefault="00B50E11" w:rsidP="00B50E11">
      <w:pPr>
        <w:pStyle w:val="Body"/>
        <w:jc w:val="center"/>
      </w:pPr>
      <w:r>
        <w:rPr>
          <w:noProof/>
        </w:rPr>
        <w:drawing>
          <wp:inline distT="0" distB="0" distL="0" distR="0" wp14:anchorId="6B5B6C71" wp14:editId="7C72EDB2">
            <wp:extent cx="1511300" cy="1517650"/>
            <wp:effectExtent l="0" t="0" r="0" b="63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526249" cy="1532662"/>
                    </a:xfrm>
                    <a:prstGeom prst="rect">
                      <a:avLst/>
                    </a:prstGeom>
                    <a:ln w="12700" cap="flat">
                      <a:noFill/>
                      <a:miter lim="400000"/>
                    </a:ln>
                    <a:effectLst/>
                  </pic:spPr>
                </pic:pic>
              </a:graphicData>
            </a:graphic>
          </wp:inline>
        </w:drawing>
      </w:r>
    </w:p>
    <w:p w:rsidR="00B50E11" w:rsidRPr="00BE2ADC" w:rsidRDefault="00B50E11" w:rsidP="00BE2ADC">
      <w:pPr>
        <w:pStyle w:val="Body"/>
        <w:spacing w:line="360" w:lineRule="auto"/>
        <w:jc w:val="center"/>
        <w:outlineLvl w:val="0"/>
        <w:rPr>
          <w:rFonts w:cs="Arial"/>
          <w:b/>
          <w:bCs/>
        </w:rPr>
      </w:pPr>
      <w:r w:rsidRPr="00BE2ADC">
        <w:rPr>
          <w:rFonts w:cs="Arial"/>
          <w:b/>
          <w:bCs/>
        </w:rPr>
        <w:t xml:space="preserve">IN THE HIGH </w:t>
      </w:r>
      <w:r w:rsidR="00E87C23" w:rsidRPr="00BE2ADC">
        <w:rPr>
          <w:rFonts w:cs="Arial"/>
          <w:b/>
          <w:bCs/>
        </w:rPr>
        <w:t>COURT</w:t>
      </w:r>
      <w:r w:rsidRPr="00BE2ADC">
        <w:rPr>
          <w:rFonts w:cs="Arial"/>
          <w:b/>
          <w:bCs/>
        </w:rPr>
        <w:t xml:space="preserve"> OF SOUTH AFRICA</w:t>
      </w:r>
    </w:p>
    <w:p w:rsidR="00C519B2" w:rsidRDefault="001102B0" w:rsidP="00BE2ADC">
      <w:pPr>
        <w:pStyle w:val="Body"/>
        <w:spacing w:line="360" w:lineRule="auto"/>
        <w:jc w:val="center"/>
        <w:rPr>
          <w:rFonts w:cs="Arial"/>
          <w:b/>
          <w:bCs/>
          <w:lang w:val="de-DE"/>
        </w:rPr>
      </w:pPr>
      <w:r w:rsidRPr="00BE2ADC">
        <w:rPr>
          <w:rFonts w:cs="Arial"/>
          <w:b/>
          <w:bCs/>
          <w:lang w:val="de-DE"/>
        </w:rPr>
        <w:t>GAUTENG DIVISION, PRETORIA</w:t>
      </w:r>
    </w:p>
    <w:p w:rsidR="00BE2ADC" w:rsidRPr="00BE2ADC" w:rsidRDefault="00BE2ADC" w:rsidP="00BE2ADC">
      <w:pPr>
        <w:pStyle w:val="Body"/>
        <w:spacing w:line="360" w:lineRule="auto"/>
        <w:jc w:val="center"/>
        <w:rPr>
          <w:rFonts w:cs="Arial"/>
          <w:b/>
          <w:bCs/>
          <w:lang w:val="de-DE"/>
        </w:rPr>
      </w:pPr>
    </w:p>
    <w:p w:rsidR="001102B0" w:rsidRPr="00076447" w:rsidRDefault="001102B0" w:rsidP="00E12A80">
      <w:pPr>
        <w:pStyle w:val="Body"/>
        <w:jc w:val="center"/>
        <w:rPr>
          <w:rFonts w:cs="Arial"/>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7"/>
      </w:tblGrid>
      <w:tr w:rsidR="00C519B2" w:rsidRPr="004164F3" w:rsidTr="001102B0">
        <w:trPr>
          <w:trHeight w:val="2152"/>
        </w:trPr>
        <w:tc>
          <w:tcPr>
            <w:tcW w:w="4477" w:type="dxa"/>
          </w:tcPr>
          <w:p w:rsidR="001102B0" w:rsidRPr="001102B0" w:rsidRDefault="001102B0" w:rsidP="00C64B6A">
            <w:pPr>
              <w:rPr>
                <w:rFonts w:ascii="Arial Unicode MS" w:eastAsia="Arial Unicode MS" w:hAnsi="Arial Unicode MS" w:cs="Arial Unicode MS"/>
                <w:b/>
                <w:sz w:val="8"/>
                <w:szCs w:val="8"/>
              </w:rPr>
            </w:pPr>
          </w:p>
          <w:p w:rsidR="00C519B2" w:rsidRPr="001102B0" w:rsidRDefault="00C519B2" w:rsidP="00C64B6A">
            <w:pPr>
              <w:rPr>
                <w:rFonts w:ascii="Arial Unicode MS" w:eastAsia="Arial Unicode MS" w:hAnsi="Arial Unicode MS" w:cs="Arial Unicode MS"/>
                <w:b/>
                <w:sz w:val="20"/>
                <w:szCs w:val="20"/>
              </w:rPr>
            </w:pPr>
            <w:r w:rsidRPr="001102B0">
              <w:rPr>
                <w:rFonts w:ascii="Arial Unicode MS" w:eastAsia="Arial Unicode MS" w:hAnsi="Arial Unicode MS" w:cs="Arial Unicode MS"/>
                <w:b/>
                <w:sz w:val="20"/>
                <w:szCs w:val="20"/>
              </w:rPr>
              <w:t>DELETE WHICHEVER IS NOT APPLICABLE</w:t>
            </w:r>
          </w:p>
          <w:p w:rsidR="00C519B2" w:rsidRPr="001102B0" w:rsidRDefault="00C519B2" w:rsidP="00C64B6A">
            <w:pPr>
              <w:rPr>
                <w:rFonts w:ascii="Arial Unicode MS" w:eastAsia="Arial Unicode MS" w:hAnsi="Arial Unicode MS" w:cs="Arial Unicode MS"/>
                <w:sz w:val="20"/>
                <w:szCs w:val="20"/>
              </w:rPr>
            </w:pPr>
            <w:r w:rsidRPr="001102B0">
              <w:rPr>
                <w:rFonts w:ascii="Arial Unicode MS" w:eastAsia="Arial Unicode MS" w:hAnsi="Arial Unicode MS" w:cs="Arial Unicode MS"/>
                <w:sz w:val="20"/>
                <w:szCs w:val="20"/>
              </w:rPr>
              <w:t>(1)</w:t>
            </w:r>
            <w:r w:rsidR="00E87C23" w:rsidRPr="001102B0">
              <w:rPr>
                <w:rFonts w:ascii="Arial Unicode MS" w:eastAsia="Arial Unicode MS" w:hAnsi="Arial Unicode MS" w:cs="Arial Unicode MS"/>
                <w:sz w:val="20"/>
                <w:szCs w:val="20"/>
              </w:rPr>
              <w:t xml:space="preserve">  </w:t>
            </w:r>
            <w:r w:rsidR="001102B0">
              <w:rPr>
                <w:rFonts w:ascii="Arial Unicode MS" w:eastAsia="Arial Unicode MS" w:hAnsi="Arial Unicode MS" w:cs="Arial Unicode MS"/>
                <w:sz w:val="20"/>
                <w:szCs w:val="20"/>
              </w:rPr>
              <w:t xml:space="preserve">REPORTABLE:   </w:t>
            </w:r>
            <w:r w:rsidRPr="001102B0">
              <w:rPr>
                <w:rFonts w:ascii="Arial Unicode MS" w:eastAsia="Arial Unicode MS" w:hAnsi="Arial Unicode MS" w:cs="Arial Unicode MS"/>
                <w:strike/>
                <w:sz w:val="20"/>
                <w:szCs w:val="20"/>
              </w:rPr>
              <w:t>YE</w:t>
            </w:r>
            <w:r w:rsidR="009B3D4B" w:rsidRPr="001102B0">
              <w:rPr>
                <w:rFonts w:ascii="Arial Unicode MS" w:eastAsia="Arial Unicode MS" w:hAnsi="Arial Unicode MS" w:cs="Arial Unicode MS"/>
                <w:strike/>
                <w:sz w:val="20"/>
                <w:szCs w:val="20"/>
              </w:rPr>
              <w:t>S</w:t>
            </w:r>
            <w:r w:rsidRPr="001102B0">
              <w:rPr>
                <w:rFonts w:ascii="Arial Unicode MS" w:eastAsia="Arial Unicode MS" w:hAnsi="Arial Unicode MS" w:cs="Arial Unicode MS"/>
                <w:sz w:val="20"/>
                <w:szCs w:val="20"/>
              </w:rPr>
              <w:t>/</w:t>
            </w:r>
            <w:r w:rsidRPr="001102B0">
              <w:rPr>
                <w:rFonts w:ascii="Arial Unicode MS" w:eastAsia="Arial Unicode MS" w:hAnsi="Arial Unicode MS" w:cs="Arial Unicode MS"/>
                <w:b/>
                <w:bCs/>
                <w:sz w:val="20"/>
                <w:szCs w:val="20"/>
              </w:rPr>
              <w:t>NO</w:t>
            </w:r>
          </w:p>
          <w:p w:rsidR="00C519B2" w:rsidRPr="001102B0" w:rsidRDefault="00C519B2" w:rsidP="00C64B6A">
            <w:pPr>
              <w:rPr>
                <w:rFonts w:ascii="Arial Unicode MS" w:eastAsia="Arial Unicode MS" w:hAnsi="Arial Unicode MS" w:cs="Arial Unicode MS"/>
                <w:sz w:val="20"/>
                <w:szCs w:val="20"/>
              </w:rPr>
            </w:pPr>
            <w:r w:rsidRPr="001102B0">
              <w:rPr>
                <w:rFonts w:ascii="Arial Unicode MS" w:eastAsia="Arial Unicode MS" w:hAnsi="Arial Unicode MS" w:cs="Arial Unicode MS"/>
                <w:sz w:val="20"/>
                <w:szCs w:val="20"/>
              </w:rPr>
              <w:t>(2)</w:t>
            </w:r>
            <w:r w:rsidR="00E87C23" w:rsidRPr="001102B0">
              <w:rPr>
                <w:rFonts w:ascii="Arial Unicode MS" w:eastAsia="Arial Unicode MS" w:hAnsi="Arial Unicode MS" w:cs="Arial Unicode MS"/>
                <w:sz w:val="20"/>
                <w:szCs w:val="20"/>
              </w:rPr>
              <w:t xml:space="preserve">  </w:t>
            </w:r>
            <w:r w:rsidRPr="001102B0">
              <w:rPr>
                <w:rFonts w:ascii="Arial Unicode MS" w:eastAsia="Arial Unicode MS" w:hAnsi="Arial Unicode MS" w:cs="Arial Unicode MS"/>
                <w:sz w:val="20"/>
                <w:szCs w:val="20"/>
              </w:rPr>
              <w:t xml:space="preserve">OF INTEREST TO OTHER JUDGES: </w:t>
            </w:r>
            <w:r w:rsidR="00E87C23" w:rsidRPr="001102B0">
              <w:rPr>
                <w:rFonts w:ascii="Arial Unicode MS" w:eastAsia="Arial Unicode MS" w:hAnsi="Arial Unicode MS" w:cs="Arial Unicode MS"/>
                <w:b/>
                <w:bCs/>
                <w:sz w:val="20"/>
                <w:szCs w:val="20"/>
              </w:rPr>
              <w:t xml:space="preserve"> </w:t>
            </w:r>
            <w:r w:rsidR="001102B0">
              <w:rPr>
                <w:rFonts w:ascii="Arial Unicode MS" w:eastAsia="Arial Unicode MS" w:hAnsi="Arial Unicode MS" w:cs="Arial Unicode MS"/>
                <w:b/>
                <w:bCs/>
                <w:sz w:val="20"/>
                <w:szCs w:val="20"/>
              </w:rPr>
              <w:t xml:space="preserve"> </w:t>
            </w:r>
            <w:r w:rsidRPr="001102B0">
              <w:rPr>
                <w:rFonts w:ascii="Arial Unicode MS" w:eastAsia="Arial Unicode MS" w:hAnsi="Arial Unicode MS" w:cs="Arial Unicode MS"/>
                <w:strike/>
                <w:sz w:val="20"/>
                <w:szCs w:val="20"/>
              </w:rPr>
              <w:t>YES</w:t>
            </w:r>
            <w:r w:rsidRPr="001102B0">
              <w:rPr>
                <w:rFonts w:ascii="Arial Unicode MS" w:eastAsia="Arial Unicode MS" w:hAnsi="Arial Unicode MS" w:cs="Arial Unicode MS"/>
                <w:sz w:val="20"/>
                <w:szCs w:val="20"/>
              </w:rPr>
              <w:t>/</w:t>
            </w:r>
            <w:r w:rsidRPr="001102B0">
              <w:rPr>
                <w:rFonts w:ascii="Arial Unicode MS" w:eastAsia="Arial Unicode MS" w:hAnsi="Arial Unicode MS" w:cs="Arial Unicode MS"/>
                <w:b/>
                <w:bCs/>
                <w:sz w:val="20"/>
                <w:szCs w:val="20"/>
              </w:rPr>
              <w:t>NO</w:t>
            </w:r>
          </w:p>
          <w:p w:rsidR="00C519B2" w:rsidRPr="001102B0" w:rsidRDefault="00C519B2" w:rsidP="00C64B6A">
            <w:pPr>
              <w:rPr>
                <w:rFonts w:ascii="Arial Unicode MS" w:eastAsia="Arial Unicode MS" w:hAnsi="Arial Unicode MS" w:cs="Arial Unicode MS"/>
                <w:sz w:val="20"/>
                <w:szCs w:val="20"/>
              </w:rPr>
            </w:pPr>
            <w:r w:rsidRPr="001102B0">
              <w:rPr>
                <w:rFonts w:ascii="Arial Unicode MS" w:eastAsia="Arial Unicode MS" w:hAnsi="Arial Unicode MS" w:cs="Arial Unicode MS"/>
                <w:sz w:val="20"/>
                <w:szCs w:val="20"/>
              </w:rPr>
              <w:t>(3)</w:t>
            </w:r>
            <w:r w:rsidR="00E87C23" w:rsidRPr="001102B0">
              <w:rPr>
                <w:rFonts w:ascii="Arial Unicode MS" w:eastAsia="Arial Unicode MS" w:hAnsi="Arial Unicode MS" w:cs="Arial Unicode MS"/>
                <w:sz w:val="20"/>
                <w:szCs w:val="20"/>
              </w:rPr>
              <w:t xml:space="preserve">  </w:t>
            </w:r>
            <w:r w:rsidRPr="001102B0">
              <w:rPr>
                <w:rFonts w:ascii="Arial Unicode MS" w:eastAsia="Arial Unicode MS" w:hAnsi="Arial Unicode MS" w:cs="Arial Unicode MS"/>
                <w:sz w:val="20"/>
                <w:szCs w:val="20"/>
              </w:rPr>
              <w:t>REVISED</w:t>
            </w:r>
            <w:r w:rsidR="000E55BD" w:rsidRPr="001102B0">
              <w:rPr>
                <w:rFonts w:ascii="Arial Unicode MS" w:eastAsia="Arial Unicode MS" w:hAnsi="Arial Unicode MS" w:cs="Arial Unicode MS"/>
                <w:sz w:val="20"/>
                <w:szCs w:val="20"/>
              </w:rPr>
              <w:t xml:space="preserve">: </w:t>
            </w:r>
            <w:r w:rsidR="001102B0">
              <w:rPr>
                <w:rFonts w:ascii="Arial Unicode MS" w:eastAsia="Arial Unicode MS" w:hAnsi="Arial Unicode MS" w:cs="Arial Unicode MS"/>
                <w:sz w:val="20"/>
                <w:szCs w:val="20"/>
              </w:rPr>
              <w:t xml:space="preserve">  </w:t>
            </w:r>
            <w:r w:rsidR="001102B0" w:rsidRPr="001102B0">
              <w:rPr>
                <w:rFonts w:ascii="Arial Unicode MS" w:eastAsia="Arial Unicode MS" w:hAnsi="Arial Unicode MS" w:cs="Arial Unicode MS"/>
                <w:strike/>
                <w:sz w:val="20"/>
                <w:szCs w:val="20"/>
              </w:rPr>
              <w:t>YES</w:t>
            </w:r>
            <w:r w:rsidR="001102B0" w:rsidRPr="001102B0">
              <w:rPr>
                <w:rFonts w:ascii="Arial Unicode MS" w:eastAsia="Arial Unicode MS" w:hAnsi="Arial Unicode MS" w:cs="Arial Unicode MS"/>
                <w:sz w:val="20"/>
                <w:szCs w:val="20"/>
              </w:rPr>
              <w:t>/</w:t>
            </w:r>
            <w:r w:rsidR="001102B0" w:rsidRPr="001102B0">
              <w:rPr>
                <w:rFonts w:ascii="Arial Unicode MS" w:eastAsia="Arial Unicode MS" w:hAnsi="Arial Unicode MS" w:cs="Arial Unicode MS"/>
                <w:b/>
                <w:bCs/>
                <w:sz w:val="20"/>
                <w:szCs w:val="20"/>
              </w:rPr>
              <w:t>NO</w:t>
            </w:r>
          </w:p>
          <w:p w:rsidR="00C519B2" w:rsidRPr="001102B0" w:rsidRDefault="00C519B2" w:rsidP="00C64B6A">
            <w:pPr>
              <w:spacing w:before="120"/>
              <w:rPr>
                <w:rFonts w:ascii="Arial Unicode MS" w:eastAsia="Arial Unicode MS" w:hAnsi="Arial Unicode MS" w:cs="Arial Unicode MS"/>
                <w:sz w:val="20"/>
                <w:szCs w:val="20"/>
              </w:rPr>
            </w:pPr>
            <w:r w:rsidRPr="001102B0">
              <w:rPr>
                <w:rFonts w:ascii="Arial Unicode MS" w:eastAsia="Arial Unicode MS" w:hAnsi="Arial Unicode MS" w:cs="Arial Unicode MS"/>
                <w:sz w:val="20"/>
                <w:szCs w:val="20"/>
              </w:rPr>
              <w:t>DATE:</w:t>
            </w:r>
            <w:r w:rsidR="00097B87">
              <w:rPr>
                <w:rFonts w:ascii="Arial Unicode MS" w:eastAsia="Arial Unicode MS" w:hAnsi="Arial Unicode MS" w:cs="Arial Unicode MS"/>
                <w:sz w:val="20"/>
                <w:szCs w:val="20"/>
              </w:rPr>
              <w:t xml:space="preserve">  </w:t>
            </w:r>
            <w:r w:rsidR="00097B87" w:rsidRPr="00097B87">
              <w:rPr>
                <w:rFonts w:ascii="Arial Unicode MS" w:eastAsia="Arial Unicode MS" w:hAnsi="Arial Unicode MS" w:cs="Arial Unicode MS"/>
                <w:b/>
                <w:sz w:val="20"/>
                <w:szCs w:val="20"/>
              </w:rPr>
              <w:t>25 November 2022</w:t>
            </w:r>
            <w:r w:rsidRPr="001102B0">
              <w:rPr>
                <w:rFonts w:ascii="Arial Unicode MS" w:eastAsia="Arial Unicode MS" w:hAnsi="Arial Unicode MS" w:cs="Arial Unicode MS"/>
                <w:sz w:val="20"/>
                <w:szCs w:val="20"/>
              </w:rPr>
              <w:tab/>
            </w:r>
          </w:p>
          <w:p w:rsidR="00E965B7" w:rsidRPr="001102B0" w:rsidRDefault="00E965B7" w:rsidP="00C64B6A">
            <w:pPr>
              <w:rPr>
                <w:rFonts w:ascii="Arial Unicode MS" w:eastAsia="Arial Unicode MS" w:hAnsi="Arial Unicode MS" w:cs="Arial Unicode MS"/>
                <w:sz w:val="20"/>
                <w:szCs w:val="20"/>
              </w:rPr>
            </w:pPr>
          </w:p>
          <w:p w:rsidR="001102B0" w:rsidRDefault="00C519B2" w:rsidP="00C64B6A">
            <w:pPr>
              <w:rPr>
                <w:rFonts w:ascii="Arial Unicode MS" w:eastAsia="Arial Unicode MS" w:hAnsi="Arial Unicode MS" w:cs="Arial Unicode MS"/>
                <w:sz w:val="20"/>
                <w:szCs w:val="20"/>
              </w:rPr>
            </w:pPr>
            <w:r w:rsidRPr="001102B0">
              <w:rPr>
                <w:rFonts w:ascii="Arial Unicode MS" w:eastAsia="Arial Unicode MS" w:hAnsi="Arial Unicode MS" w:cs="Arial Unicode MS"/>
                <w:sz w:val="20"/>
                <w:szCs w:val="20"/>
              </w:rPr>
              <w:t>SIGNATURE:</w:t>
            </w:r>
          </w:p>
          <w:p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ab/>
            </w:r>
          </w:p>
        </w:tc>
      </w:tr>
    </w:tbl>
    <w:p w:rsidR="0052011D" w:rsidRPr="00076447" w:rsidRDefault="0052011D" w:rsidP="00C1227A">
      <w:pPr>
        <w:pStyle w:val="Body"/>
        <w:jc w:val="right"/>
        <w:outlineLvl w:val="0"/>
        <w:rPr>
          <w:rFonts w:cs="Arial"/>
          <w:sz w:val="16"/>
          <w:szCs w:val="16"/>
        </w:rPr>
      </w:pPr>
    </w:p>
    <w:p w:rsidR="00B50E11" w:rsidRDefault="001102B0" w:rsidP="00C1227A">
      <w:pPr>
        <w:pStyle w:val="Body"/>
        <w:jc w:val="right"/>
        <w:outlineLvl w:val="0"/>
        <w:rPr>
          <w:rFonts w:cs="Arial"/>
          <w:b/>
          <w:bCs/>
          <w:sz w:val="24"/>
          <w:szCs w:val="24"/>
        </w:rPr>
      </w:pPr>
      <w:r>
        <w:rPr>
          <w:rFonts w:cs="Arial"/>
          <w:b/>
          <w:bCs/>
          <w:sz w:val="24"/>
          <w:szCs w:val="24"/>
        </w:rPr>
        <w:t>Case No:</w:t>
      </w:r>
      <w:r w:rsidR="00B50E11" w:rsidRPr="0031449E">
        <w:rPr>
          <w:rFonts w:cs="Arial"/>
          <w:b/>
          <w:bCs/>
          <w:sz w:val="24"/>
          <w:szCs w:val="24"/>
        </w:rPr>
        <w:t xml:space="preserve"> </w:t>
      </w:r>
      <w:r w:rsidR="00765BC3">
        <w:rPr>
          <w:rFonts w:cs="Arial"/>
          <w:b/>
          <w:bCs/>
          <w:sz w:val="24"/>
          <w:szCs w:val="24"/>
        </w:rPr>
        <w:t>2</w:t>
      </w:r>
      <w:r>
        <w:rPr>
          <w:rFonts w:cs="Arial"/>
          <w:b/>
          <w:bCs/>
          <w:sz w:val="24"/>
          <w:szCs w:val="24"/>
        </w:rPr>
        <w:t>1647/</w:t>
      </w:r>
      <w:r w:rsidR="00765BC3">
        <w:rPr>
          <w:rFonts w:cs="Arial"/>
          <w:b/>
          <w:bCs/>
          <w:sz w:val="24"/>
          <w:szCs w:val="24"/>
        </w:rPr>
        <w:t>2021</w:t>
      </w:r>
    </w:p>
    <w:p w:rsidR="002A03CD" w:rsidRPr="00076447" w:rsidRDefault="002A03CD" w:rsidP="00076447">
      <w:pPr>
        <w:pStyle w:val="Body"/>
        <w:outlineLvl w:val="0"/>
        <w:rPr>
          <w:rFonts w:cs="Arial"/>
          <w:b/>
          <w:bCs/>
          <w:sz w:val="16"/>
          <w:szCs w:val="16"/>
        </w:rPr>
      </w:pPr>
    </w:p>
    <w:p w:rsidR="002A03CD" w:rsidRDefault="002A03CD" w:rsidP="002A03CD">
      <w:pPr>
        <w:pStyle w:val="Body"/>
        <w:outlineLvl w:val="0"/>
        <w:rPr>
          <w:rFonts w:cs="Arial"/>
          <w:bCs/>
          <w:sz w:val="24"/>
          <w:szCs w:val="24"/>
        </w:rPr>
      </w:pPr>
      <w:r w:rsidRPr="002A03CD">
        <w:rPr>
          <w:rFonts w:cs="Arial"/>
          <w:bCs/>
          <w:sz w:val="24"/>
          <w:szCs w:val="24"/>
        </w:rPr>
        <w:t>In the matter between:</w:t>
      </w:r>
      <w:r w:rsidR="00076447">
        <w:rPr>
          <w:rFonts w:cs="Arial"/>
          <w:bCs/>
          <w:sz w:val="24"/>
          <w:szCs w:val="24"/>
        </w:rPr>
        <w:t>-</w:t>
      </w:r>
    </w:p>
    <w:p w:rsidR="002A03CD" w:rsidRPr="002A03CD" w:rsidRDefault="002A03CD" w:rsidP="00A21DAE">
      <w:pPr>
        <w:tabs>
          <w:tab w:val="left" w:pos="0"/>
          <w:tab w:val="right" w:pos="9360"/>
        </w:tabs>
        <w:spacing w:line="480" w:lineRule="auto"/>
        <w:rPr>
          <w:rFonts w:ascii="Arial" w:eastAsia="Arial Unicode MS" w:hAnsi="Arial" w:cs="Arial"/>
          <w:sz w:val="22"/>
          <w:szCs w:val="22"/>
          <w:lang w:val="en-ZA" w:eastAsia="en-GB"/>
        </w:rPr>
      </w:pPr>
      <w:r w:rsidRPr="002A03CD">
        <w:rPr>
          <w:rFonts w:ascii="Arial" w:eastAsia="Arial Unicode MS" w:hAnsi="Arial" w:cs="Arial"/>
          <w:b/>
          <w:sz w:val="22"/>
          <w:szCs w:val="22"/>
          <w:lang w:val="en-ZA" w:eastAsia="en-GB"/>
        </w:rPr>
        <w:t>SOUTH AFRICAN SECURITISATION PROGRAMME (RF) LTD</w:t>
      </w:r>
      <w:r w:rsidRPr="002A03CD">
        <w:rPr>
          <w:rFonts w:ascii="Arial" w:eastAsia="Arial Unicode MS" w:hAnsi="Arial" w:cs="Arial"/>
          <w:b/>
          <w:sz w:val="22"/>
          <w:szCs w:val="22"/>
          <w:lang w:val="en-ZA" w:eastAsia="en-GB"/>
        </w:rPr>
        <w:tab/>
      </w:r>
      <w:r w:rsidRPr="002A03CD">
        <w:rPr>
          <w:rFonts w:ascii="Arial" w:eastAsia="Arial Unicode MS" w:hAnsi="Arial" w:cs="Arial"/>
          <w:sz w:val="22"/>
          <w:szCs w:val="22"/>
          <w:lang w:val="en-ZA" w:eastAsia="en-GB"/>
        </w:rPr>
        <w:t>First Plaintiff</w:t>
      </w:r>
    </w:p>
    <w:p w:rsidR="002A03CD" w:rsidRPr="002A03CD" w:rsidRDefault="002A03CD" w:rsidP="00A21DAE">
      <w:pPr>
        <w:tabs>
          <w:tab w:val="left" w:pos="0"/>
          <w:tab w:val="right" w:pos="9360"/>
        </w:tabs>
        <w:spacing w:line="480" w:lineRule="auto"/>
        <w:rPr>
          <w:rFonts w:ascii="Arial" w:eastAsia="Arial Unicode MS" w:hAnsi="Arial" w:cs="Arial"/>
          <w:sz w:val="22"/>
          <w:szCs w:val="22"/>
          <w:lang w:val="en-ZA" w:eastAsia="en-GB"/>
        </w:rPr>
      </w:pPr>
      <w:r w:rsidRPr="002A03CD">
        <w:rPr>
          <w:rFonts w:ascii="Arial" w:eastAsia="Arial Unicode MS" w:hAnsi="Arial" w:cs="Arial"/>
          <w:b/>
          <w:sz w:val="22"/>
          <w:szCs w:val="22"/>
          <w:lang w:val="en-ZA" w:eastAsia="en-GB"/>
        </w:rPr>
        <w:t>FINTECH UNDERWRITING (PTY) LTD</w:t>
      </w:r>
      <w:r w:rsidRPr="002A03CD">
        <w:rPr>
          <w:rFonts w:ascii="Arial" w:eastAsia="Arial Unicode MS" w:hAnsi="Arial" w:cs="Arial"/>
          <w:b/>
          <w:sz w:val="22"/>
          <w:szCs w:val="22"/>
          <w:lang w:val="en-ZA" w:eastAsia="en-GB"/>
        </w:rPr>
        <w:tab/>
      </w:r>
      <w:r w:rsidRPr="002A03CD">
        <w:rPr>
          <w:rFonts w:ascii="Arial" w:eastAsia="Arial Unicode MS" w:hAnsi="Arial" w:cs="Arial"/>
          <w:sz w:val="22"/>
          <w:szCs w:val="22"/>
          <w:lang w:val="en-ZA" w:eastAsia="en-GB"/>
        </w:rPr>
        <w:t>Second Plaintiff</w:t>
      </w:r>
    </w:p>
    <w:p w:rsidR="002A03CD" w:rsidRPr="002A03CD" w:rsidRDefault="002A03CD" w:rsidP="00A21DAE">
      <w:pPr>
        <w:tabs>
          <w:tab w:val="left" w:pos="0"/>
          <w:tab w:val="right" w:pos="9360"/>
        </w:tabs>
        <w:spacing w:line="480" w:lineRule="auto"/>
        <w:rPr>
          <w:rFonts w:ascii="Arial" w:eastAsia="Arial Unicode MS" w:hAnsi="Arial" w:cs="Arial"/>
          <w:sz w:val="22"/>
          <w:szCs w:val="22"/>
          <w:lang w:val="en-ZA" w:eastAsia="en-GB"/>
        </w:rPr>
      </w:pPr>
      <w:r w:rsidRPr="002A03CD">
        <w:rPr>
          <w:rFonts w:ascii="Arial" w:eastAsia="Arial Unicode MS" w:hAnsi="Arial" w:cs="Arial"/>
          <w:b/>
          <w:sz w:val="22"/>
          <w:szCs w:val="22"/>
          <w:lang w:val="en-ZA" w:eastAsia="en-GB"/>
        </w:rPr>
        <w:t>SUNLYN (PTY) LTD</w:t>
      </w:r>
      <w:r w:rsidRPr="002A03CD">
        <w:rPr>
          <w:rFonts w:ascii="Arial" w:eastAsia="Arial Unicode MS" w:hAnsi="Arial" w:cs="Arial"/>
          <w:b/>
          <w:sz w:val="22"/>
          <w:szCs w:val="22"/>
          <w:lang w:val="en-ZA" w:eastAsia="en-GB"/>
        </w:rPr>
        <w:tab/>
      </w:r>
      <w:r w:rsidRPr="002A03CD">
        <w:rPr>
          <w:rFonts w:ascii="Arial" w:eastAsia="Arial Unicode MS" w:hAnsi="Arial" w:cs="Arial"/>
          <w:sz w:val="22"/>
          <w:szCs w:val="22"/>
          <w:lang w:val="en-ZA" w:eastAsia="en-GB"/>
        </w:rPr>
        <w:t>Third Plaintiff</w:t>
      </w:r>
    </w:p>
    <w:p w:rsidR="002A03CD" w:rsidRDefault="002A03CD" w:rsidP="002A03CD">
      <w:pPr>
        <w:tabs>
          <w:tab w:val="left" w:pos="0"/>
          <w:tab w:val="left" w:pos="3000"/>
          <w:tab w:val="left" w:pos="6480"/>
          <w:tab w:val="right" w:pos="9639"/>
        </w:tabs>
        <w:spacing w:line="480" w:lineRule="auto"/>
        <w:jc w:val="center"/>
        <w:rPr>
          <w:rFonts w:ascii="Arial Unicode MS" w:eastAsia="Arial Unicode MS" w:hAnsi="Arial Unicode MS" w:cs="Arial Unicode MS"/>
          <w:sz w:val="22"/>
          <w:szCs w:val="22"/>
          <w:lang w:val="en-ZA" w:eastAsia="en-GB"/>
        </w:rPr>
      </w:pPr>
      <w:r w:rsidRPr="009036E7">
        <w:rPr>
          <w:rFonts w:ascii="Arial Unicode MS" w:eastAsia="Arial Unicode MS" w:hAnsi="Arial Unicode MS" w:cs="Arial Unicode MS"/>
          <w:sz w:val="22"/>
          <w:szCs w:val="22"/>
          <w:lang w:val="en-ZA" w:eastAsia="en-GB"/>
        </w:rPr>
        <w:t>V</w:t>
      </w:r>
    </w:p>
    <w:p w:rsidR="002A03CD" w:rsidRPr="002A03CD" w:rsidRDefault="002A03CD" w:rsidP="00A21DAE">
      <w:pPr>
        <w:tabs>
          <w:tab w:val="left" w:pos="0"/>
          <w:tab w:val="left" w:pos="5040"/>
          <w:tab w:val="left" w:pos="6663"/>
          <w:tab w:val="right" w:pos="9360"/>
        </w:tabs>
        <w:spacing w:line="480" w:lineRule="auto"/>
        <w:rPr>
          <w:rFonts w:ascii="Arial" w:eastAsia="Arial Unicode MS" w:hAnsi="Arial" w:cs="Arial"/>
          <w:sz w:val="22"/>
          <w:szCs w:val="22"/>
          <w:lang w:val="en-ZA" w:eastAsia="en-GB"/>
        </w:rPr>
      </w:pPr>
      <w:r w:rsidRPr="002A03CD">
        <w:rPr>
          <w:rFonts w:ascii="Arial" w:eastAsia="Arial Unicode MS" w:hAnsi="Arial" w:cs="Arial"/>
          <w:b/>
          <w:sz w:val="22"/>
          <w:szCs w:val="22"/>
          <w:lang w:val="en-ZA" w:eastAsia="en-GB"/>
        </w:rPr>
        <w:t xml:space="preserve">CELLSECURE MONITORING AND RESPONSE (PTY) LTD </w:t>
      </w:r>
      <w:r w:rsidRPr="002A03CD">
        <w:rPr>
          <w:rFonts w:ascii="Arial" w:eastAsia="Arial Unicode MS" w:hAnsi="Arial" w:cs="Arial"/>
          <w:b/>
          <w:sz w:val="22"/>
          <w:szCs w:val="22"/>
          <w:lang w:val="en-ZA" w:eastAsia="en-GB"/>
        </w:rPr>
        <w:tab/>
      </w:r>
      <w:r w:rsidRPr="002A03CD">
        <w:rPr>
          <w:rFonts w:ascii="Arial" w:eastAsia="Arial Unicode MS" w:hAnsi="Arial" w:cs="Arial"/>
          <w:b/>
          <w:sz w:val="22"/>
          <w:szCs w:val="22"/>
          <w:lang w:val="en-ZA" w:eastAsia="en-GB"/>
        </w:rPr>
        <w:tab/>
      </w:r>
      <w:r w:rsidRPr="002A03CD">
        <w:rPr>
          <w:rFonts w:ascii="Arial" w:eastAsia="Arial Unicode MS" w:hAnsi="Arial" w:cs="Arial"/>
          <w:sz w:val="22"/>
          <w:szCs w:val="22"/>
          <w:lang w:val="en-ZA" w:eastAsia="en-GB"/>
        </w:rPr>
        <w:t>First Defendant</w:t>
      </w:r>
    </w:p>
    <w:p w:rsidR="002A03CD" w:rsidRDefault="002A03CD" w:rsidP="00A21DAE">
      <w:pPr>
        <w:tabs>
          <w:tab w:val="left" w:pos="0"/>
          <w:tab w:val="left" w:pos="5040"/>
          <w:tab w:val="left" w:pos="6663"/>
          <w:tab w:val="right" w:pos="9360"/>
        </w:tabs>
        <w:spacing w:line="480" w:lineRule="auto"/>
        <w:rPr>
          <w:rFonts w:ascii="Arial" w:eastAsia="Arial Unicode MS" w:hAnsi="Arial" w:cs="Arial"/>
          <w:sz w:val="22"/>
          <w:szCs w:val="22"/>
          <w:lang w:val="en-ZA" w:eastAsia="en-GB"/>
        </w:rPr>
      </w:pPr>
      <w:r w:rsidRPr="002A03CD">
        <w:rPr>
          <w:rFonts w:ascii="Arial" w:eastAsia="Arial Unicode MS" w:hAnsi="Arial" w:cs="Arial"/>
          <w:b/>
          <w:sz w:val="22"/>
          <w:szCs w:val="22"/>
          <w:lang w:val="en-ZA" w:eastAsia="en-GB"/>
        </w:rPr>
        <w:t xml:space="preserve">CELLSURE INTERACTIVE MANAGEMENT SOLUTIONS (PTY) LTD </w:t>
      </w:r>
      <w:r>
        <w:rPr>
          <w:rFonts w:ascii="Arial" w:eastAsia="Arial Unicode MS" w:hAnsi="Arial" w:cs="Arial"/>
          <w:b/>
          <w:sz w:val="22"/>
          <w:szCs w:val="22"/>
          <w:lang w:val="en-ZA" w:eastAsia="en-GB"/>
        </w:rPr>
        <w:tab/>
      </w:r>
      <w:r w:rsidRPr="002A03CD">
        <w:rPr>
          <w:rFonts w:ascii="Arial" w:eastAsia="Arial Unicode MS" w:hAnsi="Arial" w:cs="Arial"/>
          <w:sz w:val="22"/>
          <w:szCs w:val="22"/>
          <w:lang w:val="en-ZA" w:eastAsia="en-GB"/>
        </w:rPr>
        <w:t>Second Defendant</w:t>
      </w:r>
    </w:p>
    <w:p w:rsidR="002A03CD" w:rsidRPr="002A03CD" w:rsidRDefault="002A03CD" w:rsidP="00A21DAE">
      <w:pPr>
        <w:tabs>
          <w:tab w:val="left" w:pos="0"/>
          <w:tab w:val="left" w:pos="5040"/>
          <w:tab w:val="left" w:pos="6663"/>
          <w:tab w:val="right" w:pos="9360"/>
        </w:tabs>
        <w:spacing w:line="480" w:lineRule="auto"/>
        <w:rPr>
          <w:rFonts w:ascii="Arial" w:eastAsia="Arial Unicode MS" w:hAnsi="Arial" w:cs="Arial"/>
          <w:sz w:val="22"/>
          <w:szCs w:val="22"/>
          <w:lang w:val="en-ZA" w:eastAsia="en-GB"/>
        </w:rPr>
      </w:pPr>
      <w:r w:rsidRPr="002A03CD">
        <w:rPr>
          <w:rFonts w:ascii="Arial" w:eastAsia="Arial Unicode MS" w:hAnsi="Arial" w:cs="Arial"/>
          <w:b/>
          <w:sz w:val="22"/>
          <w:szCs w:val="22"/>
          <w:lang w:val="en-ZA" w:eastAsia="en-GB"/>
        </w:rPr>
        <w:t xml:space="preserve">CELLSURE </w:t>
      </w:r>
      <w:r>
        <w:rPr>
          <w:rFonts w:ascii="Arial" w:eastAsia="Arial Unicode MS" w:hAnsi="Arial" w:cs="Arial"/>
          <w:b/>
          <w:sz w:val="22"/>
          <w:szCs w:val="22"/>
          <w:lang w:val="en-ZA" w:eastAsia="en-GB"/>
        </w:rPr>
        <w:t>HOLDINGS (</w:t>
      </w:r>
      <w:r w:rsidRPr="002A03CD">
        <w:rPr>
          <w:rFonts w:ascii="Arial" w:eastAsia="Arial Unicode MS" w:hAnsi="Arial" w:cs="Arial"/>
          <w:b/>
          <w:sz w:val="22"/>
          <w:szCs w:val="22"/>
          <w:lang w:val="en-ZA" w:eastAsia="en-GB"/>
        </w:rPr>
        <w:t xml:space="preserve">PTY) LTD </w:t>
      </w:r>
      <w:r w:rsidRPr="002A03CD">
        <w:rPr>
          <w:rFonts w:ascii="Arial" w:eastAsia="Arial Unicode MS" w:hAnsi="Arial" w:cs="Arial"/>
          <w:b/>
          <w:sz w:val="22"/>
          <w:szCs w:val="22"/>
          <w:lang w:val="en-ZA" w:eastAsia="en-GB"/>
        </w:rPr>
        <w:tab/>
      </w:r>
      <w:r w:rsidRPr="002A03CD">
        <w:rPr>
          <w:rFonts w:ascii="Arial" w:eastAsia="Arial Unicode MS" w:hAnsi="Arial" w:cs="Arial"/>
          <w:b/>
          <w:sz w:val="22"/>
          <w:szCs w:val="22"/>
          <w:lang w:val="en-ZA" w:eastAsia="en-GB"/>
        </w:rPr>
        <w:tab/>
      </w:r>
      <w:r>
        <w:rPr>
          <w:rFonts w:ascii="Arial" w:eastAsia="Arial Unicode MS" w:hAnsi="Arial" w:cs="Arial"/>
          <w:b/>
          <w:sz w:val="22"/>
          <w:szCs w:val="22"/>
          <w:lang w:val="en-ZA" w:eastAsia="en-GB"/>
        </w:rPr>
        <w:tab/>
      </w:r>
      <w:r>
        <w:rPr>
          <w:rFonts w:ascii="Arial" w:eastAsia="Arial Unicode MS" w:hAnsi="Arial" w:cs="Arial"/>
          <w:sz w:val="22"/>
          <w:szCs w:val="22"/>
          <w:lang w:val="en-ZA" w:eastAsia="en-GB"/>
        </w:rPr>
        <w:t>Third</w:t>
      </w:r>
      <w:r w:rsidRPr="002A03CD">
        <w:rPr>
          <w:rFonts w:ascii="Arial" w:eastAsia="Arial Unicode MS" w:hAnsi="Arial" w:cs="Arial"/>
          <w:sz w:val="22"/>
          <w:szCs w:val="22"/>
          <w:lang w:val="en-ZA" w:eastAsia="en-GB"/>
        </w:rPr>
        <w:t xml:space="preserve"> Defendant</w:t>
      </w: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260F2D" w:rsidRPr="00076447" w:rsidTr="00260F2D">
        <w:trPr>
          <w:trHeight w:val="1045"/>
        </w:trPr>
        <w:tc>
          <w:tcPr>
            <w:tcW w:w="9487" w:type="dxa"/>
          </w:tcPr>
          <w:p w:rsidR="00260F2D" w:rsidRPr="00076447" w:rsidRDefault="00260F2D" w:rsidP="00520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b/>
                <w:bCs/>
                <w:sz w:val="22"/>
                <w:szCs w:val="22"/>
              </w:rPr>
            </w:pPr>
            <w:r w:rsidRPr="00076447">
              <w:rPr>
                <w:rFonts w:ascii="Arial" w:hAnsi="Arial" w:cs="Arial"/>
                <w:b/>
                <w:bCs/>
                <w:sz w:val="22"/>
                <w:szCs w:val="22"/>
              </w:rPr>
              <w:lastRenderedPageBreak/>
              <w:tab/>
            </w:r>
            <w:r w:rsidRPr="00076447">
              <w:rPr>
                <w:rFonts w:ascii="Arial" w:hAnsi="Arial" w:cs="Arial"/>
                <w:b/>
                <w:bCs/>
                <w:sz w:val="22"/>
                <w:szCs w:val="22"/>
              </w:rPr>
              <w:tab/>
            </w:r>
            <w:r w:rsidRPr="00076447">
              <w:rPr>
                <w:rFonts w:ascii="Arial" w:hAnsi="Arial" w:cs="Arial"/>
                <w:b/>
                <w:bCs/>
                <w:sz w:val="22"/>
                <w:szCs w:val="22"/>
              </w:rPr>
              <w:tab/>
            </w:r>
            <w:r w:rsidRPr="00076447">
              <w:rPr>
                <w:rFonts w:ascii="Arial" w:hAnsi="Arial" w:cs="Arial"/>
                <w:b/>
                <w:bCs/>
                <w:sz w:val="22"/>
                <w:szCs w:val="22"/>
              </w:rPr>
              <w:tab/>
            </w:r>
            <w:r w:rsidRPr="00076447">
              <w:rPr>
                <w:rFonts w:ascii="Arial" w:hAnsi="Arial" w:cs="Arial"/>
                <w:b/>
                <w:bCs/>
                <w:sz w:val="22"/>
                <w:szCs w:val="22"/>
              </w:rPr>
              <w:tab/>
            </w:r>
            <w:r w:rsidRPr="00076447">
              <w:rPr>
                <w:rFonts w:ascii="Arial" w:hAnsi="Arial" w:cs="Arial"/>
                <w:b/>
                <w:bCs/>
                <w:sz w:val="22"/>
                <w:szCs w:val="22"/>
              </w:rPr>
              <w:tab/>
            </w:r>
            <w:r w:rsidRPr="00076447">
              <w:rPr>
                <w:rFonts w:ascii="Arial" w:hAnsi="Arial" w:cs="Arial"/>
                <w:b/>
                <w:bCs/>
                <w:sz w:val="22"/>
                <w:szCs w:val="22"/>
              </w:rPr>
              <w:tab/>
            </w:r>
            <w:r w:rsidRPr="00076447">
              <w:rPr>
                <w:rFonts w:ascii="Arial" w:hAnsi="Arial" w:cs="Arial"/>
                <w:b/>
                <w:bCs/>
                <w:sz w:val="22"/>
                <w:szCs w:val="22"/>
              </w:rPr>
              <w:tab/>
            </w:r>
            <w:r w:rsidRPr="00076447">
              <w:rPr>
                <w:rFonts w:ascii="Arial" w:hAnsi="Arial" w:cs="Arial"/>
                <w:b/>
                <w:bCs/>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7482"/>
            </w:tblGrid>
            <w:tr w:rsidR="00260F2D" w:rsidRPr="00076447" w:rsidTr="0063569A">
              <w:tc>
                <w:tcPr>
                  <w:tcW w:w="1790" w:type="dxa"/>
                </w:tcPr>
                <w:p w:rsidR="00260F2D" w:rsidRPr="00076447"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2"/>
                      <w:szCs w:val="22"/>
                    </w:rPr>
                  </w:pPr>
                  <w:r w:rsidRPr="00076447">
                    <w:rPr>
                      <w:rFonts w:eastAsia="Times New Roman" w:cs="Arial"/>
                      <w:b/>
                      <w:bCs/>
                      <w:sz w:val="22"/>
                      <w:szCs w:val="22"/>
                      <w:lang w:val="en-ZA"/>
                    </w:rPr>
                    <w:t>Coram:</w:t>
                  </w:r>
                  <w:r w:rsidRPr="00076447">
                    <w:rPr>
                      <w:rFonts w:eastAsia="Times New Roman" w:cs="Arial"/>
                      <w:sz w:val="22"/>
                      <w:szCs w:val="22"/>
                      <w:lang w:val="en-ZA"/>
                    </w:rPr>
                    <w:t>          </w:t>
                  </w:r>
                </w:p>
              </w:tc>
              <w:tc>
                <w:tcPr>
                  <w:tcW w:w="7513" w:type="dxa"/>
                </w:tcPr>
                <w:p w:rsidR="00260F2D" w:rsidRPr="00076447" w:rsidRDefault="001102B0" w:rsidP="0063569A">
                  <w:pPr>
                    <w:tabs>
                      <w:tab w:val="left" w:pos="1417"/>
                    </w:tabs>
                    <w:spacing w:after="120" w:line="276" w:lineRule="auto"/>
                    <w:ind w:left="2268" w:hanging="2268"/>
                    <w:rPr>
                      <w:rFonts w:ascii="Arial" w:eastAsia="Times New Roman" w:hAnsi="Arial" w:cs="Arial"/>
                      <w:color w:val="000000"/>
                      <w:sz w:val="22"/>
                      <w:szCs w:val="22"/>
                    </w:rPr>
                  </w:pPr>
                  <w:r w:rsidRPr="00076447">
                    <w:rPr>
                      <w:rFonts w:ascii="Arial" w:eastAsia="Times New Roman" w:hAnsi="Arial" w:cs="Arial"/>
                      <w:color w:val="000000"/>
                      <w:sz w:val="22"/>
                      <w:szCs w:val="22"/>
                    </w:rPr>
                    <w:t>Kooverjie J</w:t>
                  </w:r>
                </w:p>
                <w:p w:rsidR="00260F2D" w:rsidRPr="00076447"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2"/>
                      <w:szCs w:val="22"/>
                    </w:rPr>
                  </w:pPr>
                </w:p>
              </w:tc>
            </w:tr>
            <w:tr w:rsidR="00260F2D" w:rsidRPr="00076447" w:rsidTr="0063569A">
              <w:tc>
                <w:tcPr>
                  <w:tcW w:w="1790" w:type="dxa"/>
                </w:tcPr>
                <w:p w:rsidR="00260F2D" w:rsidRPr="00076447"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2"/>
                      <w:szCs w:val="22"/>
                    </w:rPr>
                  </w:pPr>
                  <w:r w:rsidRPr="00076447">
                    <w:rPr>
                      <w:rFonts w:eastAsia="Times New Roman" w:cs="Arial"/>
                      <w:b/>
                      <w:bCs/>
                      <w:sz w:val="22"/>
                      <w:szCs w:val="22"/>
                      <w:lang w:val="en-ZA"/>
                    </w:rPr>
                    <w:t>Heard on</w:t>
                  </w:r>
                  <w:r w:rsidRPr="00076447">
                    <w:rPr>
                      <w:rFonts w:eastAsia="Times New Roman" w:cs="Arial"/>
                      <w:sz w:val="22"/>
                      <w:szCs w:val="22"/>
                      <w:lang w:val="en-ZA"/>
                    </w:rPr>
                    <w:t>:      </w:t>
                  </w:r>
                </w:p>
              </w:tc>
              <w:tc>
                <w:tcPr>
                  <w:tcW w:w="7513" w:type="dxa"/>
                </w:tcPr>
                <w:p w:rsidR="00260F2D" w:rsidRPr="00076447" w:rsidRDefault="00260F2D" w:rsidP="0063569A">
                  <w:pPr>
                    <w:spacing w:after="120" w:line="276" w:lineRule="auto"/>
                    <w:ind w:left="2268" w:hanging="2268"/>
                    <w:jc w:val="both"/>
                    <w:rPr>
                      <w:rFonts w:ascii="Arial" w:eastAsia="Times New Roman" w:hAnsi="Arial" w:cs="Arial"/>
                      <w:color w:val="000000"/>
                      <w:sz w:val="22"/>
                      <w:szCs w:val="22"/>
                    </w:rPr>
                  </w:pPr>
                  <w:r w:rsidRPr="00076447">
                    <w:rPr>
                      <w:rFonts w:ascii="Arial" w:eastAsia="Times New Roman" w:hAnsi="Arial" w:cs="Arial"/>
                      <w:color w:val="000000"/>
                      <w:sz w:val="22"/>
                      <w:szCs w:val="22"/>
                      <w:lang w:val="en-ZA"/>
                    </w:rPr>
                    <w:t xml:space="preserve"> </w:t>
                  </w:r>
                  <w:r w:rsidR="00076447" w:rsidRPr="00076447">
                    <w:rPr>
                      <w:rFonts w:ascii="Arial" w:eastAsia="Times New Roman" w:hAnsi="Arial" w:cs="Arial"/>
                      <w:color w:val="000000"/>
                      <w:sz w:val="22"/>
                      <w:szCs w:val="22"/>
                      <w:lang w:val="en-ZA"/>
                    </w:rPr>
                    <w:t>25 October 2022</w:t>
                  </w:r>
                </w:p>
                <w:p w:rsidR="00260F2D" w:rsidRPr="00076447"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2"/>
                      <w:szCs w:val="22"/>
                    </w:rPr>
                  </w:pPr>
                </w:p>
              </w:tc>
            </w:tr>
            <w:tr w:rsidR="00260F2D" w:rsidRPr="00076447" w:rsidTr="0063569A">
              <w:trPr>
                <w:trHeight w:val="60"/>
              </w:trPr>
              <w:tc>
                <w:tcPr>
                  <w:tcW w:w="1790" w:type="dxa"/>
                </w:tcPr>
                <w:p w:rsidR="00260F2D" w:rsidRPr="00076447" w:rsidRDefault="00260F2D" w:rsidP="00BE2A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2"/>
                      <w:szCs w:val="22"/>
                    </w:rPr>
                  </w:pPr>
                  <w:r w:rsidRPr="00076447">
                    <w:rPr>
                      <w:rFonts w:eastAsia="Times New Roman" w:cs="Arial"/>
                      <w:b/>
                      <w:bCs/>
                      <w:sz w:val="22"/>
                      <w:szCs w:val="22"/>
                      <w:lang w:val="en-ZA"/>
                    </w:rPr>
                    <w:t xml:space="preserve">Delivered:   </w:t>
                  </w:r>
                </w:p>
              </w:tc>
              <w:tc>
                <w:tcPr>
                  <w:tcW w:w="7513" w:type="dxa"/>
                </w:tcPr>
                <w:p w:rsidR="00260F2D" w:rsidRPr="00076447" w:rsidRDefault="00097B87" w:rsidP="00097B87">
                  <w:pPr>
                    <w:tabs>
                      <w:tab w:val="left" w:pos="0"/>
                    </w:tabs>
                    <w:spacing w:after="120" w:line="360" w:lineRule="auto"/>
                    <w:ind w:right="360" w:hanging="21"/>
                    <w:jc w:val="both"/>
                    <w:rPr>
                      <w:rFonts w:ascii="Arial" w:eastAsia="Times New Roman" w:hAnsi="Arial" w:cs="Arial"/>
                      <w:color w:val="000000"/>
                      <w:sz w:val="22"/>
                      <w:szCs w:val="22"/>
                      <w:lang w:val="en-ZA"/>
                    </w:rPr>
                  </w:pPr>
                  <w:r>
                    <w:rPr>
                      <w:rFonts w:ascii="Arial" w:eastAsia="Times New Roman" w:hAnsi="Arial" w:cs="Arial"/>
                      <w:color w:val="000000"/>
                      <w:sz w:val="22"/>
                      <w:szCs w:val="22"/>
                      <w:lang w:val="en-ZA"/>
                    </w:rPr>
                    <w:t xml:space="preserve">25 November </w:t>
                  </w:r>
                  <w:r w:rsidR="001102B0" w:rsidRPr="00076447">
                    <w:rPr>
                      <w:rFonts w:ascii="Arial" w:eastAsia="Times New Roman" w:hAnsi="Arial" w:cs="Arial"/>
                      <w:color w:val="000000"/>
                      <w:sz w:val="22"/>
                      <w:szCs w:val="22"/>
                      <w:lang w:val="en-ZA"/>
                    </w:rPr>
                    <w:t>2022</w:t>
                  </w:r>
                  <w:r w:rsidR="00260F2D" w:rsidRPr="00076447">
                    <w:rPr>
                      <w:rFonts w:ascii="Arial" w:eastAsia="Times New Roman" w:hAnsi="Arial" w:cs="Arial"/>
                      <w:color w:val="000000"/>
                      <w:sz w:val="22"/>
                      <w:szCs w:val="22"/>
                      <w:lang w:val="en-ZA"/>
                    </w:rPr>
                    <w:t xml:space="preserve"> - This judgment was handed down electronically by circulation to the parties' representatives by email, by being uploaded to the </w:t>
                  </w:r>
                  <w:r w:rsidR="00260F2D" w:rsidRPr="00076447">
                    <w:rPr>
                      <w:rFonts w:ascii="Arial" w:eastAsia="Times New Roman" w:hAnsi="Arial" w:cs="Arial"/>
                      <w:i/>
                      <w:iCs/>
                      <w:color w:val="000000"/>
                      <w:sz w:val="22"/>
                      <w:szCs w:val="22"/>
                      <w:lang w:val="en-ZA"/>
                    </w:rPr>
                    <w:t>CaseLines</w:t>
                  </w:r>
                  <w:r w:rsidR="00260F2D" w:rsidRPr="00076447">
                    <w:rPr>
                      <w:rFonts w:ascii="Arial" w:eastAsia="Times New Roman" w:hAnsi="Arial" w:cs="Arial"/>
                      <w:color w:val="000000"/>
                      <w:sz w:val="22"/>
                      <w:szCs w:val="22"/>
                      <w:lang w:val="en-ZA"/>
                    </w:rPr>
                    <w:t xml:space="preserve"> system of the GD and by release to SAFLII. The date and time for hand-down is deemed to be </w:t>
                  </w:r>
                  <w:r>
                    <w:rPr>
                      <w:rFonts w:ascii="Arial" w:eastAsia="Times New Roman" w:hAnsi="Arial" w:cs="Arial"/>
                      <w:color w:val="000000"/>
                      <w:sz w:val="22"/>
                      <w:szCs w:val="22"/>
                      <w:lang w:val="en-ZA"/>
                    </w:rPr>
                    <w:t>14:00</w:t>
                  </w:r>
                  <w:r w:rsidR="00260F2D" w:rsidRPr="00076447">
                    <w:rPr>
                      <w:rFonts w:ascii="Arial" w:eastAsia="Times New Roman" w:hAnsi="Arial" w:cs="Arial"/>
                      <w:color w:val="000000"/>
                      <w:sz w:val="22"/>
                      <w:szCs w:val="22"/>
                      <w:lang w:val="en-ZA"/>
                    </w:rPr>
                    <w:t xml:space="preserve"> on </w:t>
                  </w:r>
                  <w:r>
                    <w:rPr>
                      <w:rFonts w:ascii="Arial" w:eastAsia="Times New Roman" w:hAnsi="Arial" w:cs="Arial"/>
                      <w:color w:val="000000"/>
                      <w:sz w:val="22"/>
                      <w:szCs w:val="22"/>
                      <w:lang w:val="en-ZA"/>
                    </w:rPr>
                    <w:t>25 November</w:t>
                  </w:r>
                  <w:r w:rsidR="00260F2D" w:rsidRPr="00076447">
                    <w:rPr>
                      <w:rFonts w:ascii="Arial" w:eastAsia="Times New Roman" w:hAnsi="Arial" w:cs="Arial"/>
                      <w:color w:val="000000"/>
                      <w:sz w:val="22"/>
                      <w:szCs w:val="22"/>
                      <w:lang w:val="en-ZA"/>
                    </w:rPr>
                    <w:t xml:space="preserve"> 2022.</w:t>
                  </w:r>
                </w:p>
              </w:tc>
            </w:tr>
          </w:tbl>
          <w:p w:rsidR="00260F2D" w:rsidRPr="00076447"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2"/>
                <w:szCs w:val="22"/>
              </w:rPr>
            </w:pPr>
          </w:p>
        </w:tc>
      </w:tr>
    </w:tbl>
    <w:p w:rsidR="00260F2D" w:rsidRPr="00076447" w:rsidRDefault="00260F2D" w:rsidP="0050250E">
      <w:pPr>
        <w:spacing w:after="240" w:line="360" w:lineRule="auto"/>
        <w:jc w:val="both"/>
        <w:rPr>
          <w:rFonts w:ascii="Arial" w:hAnsi="Arial" w:cs="Arial"/>
          <w:b/>
          <w:bCs/>
          <w:sz w:val="22"/>
          <w:szCs w:val="22"/>
          <w:lang w:val="en-ZA"/>
        </w:rPr>
      </w:pPr>
    </w:p>
    <w:p w:rsidR="00AD3193" w:rsidRPr="00F26931" w:rsidRDefault="00260F2D" w:rsidP="00BE2ADC">
      <w:pPr>
        <w:spacing w:line="360" w:lineRule="auto"/>
        <w:ind w:left="144"/>
        <w:jc w:val="both"/>
        <w:rPr>
          <w:rFonts w:ascii="Arial" w:hAnsi="Arial" w:cs="Arial"/>
          <w:bCs/>
          <w:sz w:val="22"/>
          <w:szCs w:val="22"/>
          <w:lang w:val="en-ZA"/>
        </w:rPr>
      </w:pPr>
      <w:r w:rsidRPr="00076447">
        <w:rPr>
          <w:rFonts w:ascii="Arial" w:hAnsi="Arial" w:cs="Arial"/>
          <w:b/>
          <w:bCs/>
          <w:sz w:val="22"/>
          <w:szCs w:val="22"/>
          <w:lang w:val="en-ZA"/>
        </w:rPr>
        <w:t>SUMMARY:</w:t>
      </w:r>
      <w:r w:rsidR="00F64284" w:rsidRPr="00076447">
        <w:rPr>
          <w:rFonts w:ascii="Arial" w:hAnsi="Arial" w:cs="Arial"/>
          <w:b/>
          <w:bCs/>
          <w:sz w:val="22"/>
          <w:szCs w:val="22"/>
          <w:lang w:val="en-ZA"/>
        </w:rPr>
        <w:tab/>
      </w:r>
      <w:r w:rsidR="00F26931">
        <w:rPr>
          <w:rFonts w:ascii="Arial" w:hAnsi="Arial" w:cs="Arial"/>
          <w:b/>
          <w:bCs/>
          <w:sz w:val="22"/>
          <w:szCs w:val="22"/>
          <w:lang w:val="en-ZA"/>
        </w:rPr>
        <w:tab/>
      </w:r>
      <w:r w:rsidR="00F26931">
        <w:rPr>
          <w:rFonts w:ascii="Arial" w:hAnsi="Arial" w:cs="Arial"/>
          <w:bCs/>
          <w:sz w:val="22"/>
          <w:szCs w:val="22"/>
          <w:lang w:val="en-ZA"/>
        </w:rPr>
        <w:t xml:space="preserve">Rectification permissible in summary judgment proceedings – </w:t>
      </w:r>
      <w:r w:rsidR="00C941C5">
        <w:rPr>
          <w:rFonts w:ascii="Arial" w:hAnsi="Arial" w:cs="Arial"/>
          <w:bCs/>
          <w:sz w:val="22"/>
          <w:szCs w:val="22"/>
          <w:lang w:val="en-ZA"/>
        </w:rPr>
        <w:t>t</w:t>
      </w:r>
      <w:r w:rsidR="00F26931">
        <w:rPr>
          <w:rFonts w:ascii="Arial" w:hAnsi="Arial" w:cs="Arial"/>
          <w:bCs/>
          <w:sz w:val="22"/>
          <w:szCs w:val="22"/>
          <w:lang w:val="en-ZA"/>
        </w:rPr>
        <w:t xml:space="preserve">he defences raised are not </w:t>
      </w:r>
      <w:r w:rsidR="00F26931">
        <w:rPr>
          <w:rFonts w:ascii="Arial" w:hAnsi="Arial" w:cs="Arial"/>
          <w:bCs/>
          <w:i/>
          <w:sz w:val="22"/>
          <w:szCs w:val="22"/>
          <w:lang w:val="en-ZA"/>
        </w:rPr>
        <w:t>bona fide</w:t>
      </w:r>
      <w:r w:rsidR="00F26931">
        <w:rPr>
          <w:rFonts w:ascii="Arial" w:hAnsi="Arial" w:cs="Arial"/>
          <w:bCs/>
          <w:sz w:val="22"/>
          <w:szCs w:val="22"/>
          <w:lang w:val="en-ZA"/>
        </w:rPr>
        <w:t xml:space="preserve"> as they are no</w:t>
      </w:r>
      <w:r w:rsidR="00C941C5">
        <w:rPr>
          <w:rFonts w:ascii="Arial" w:hAnsi="Arial" w:cs="Arial"/>
          <w:bCs/>
          <w:sz w:val="22"/>
          <w:szCs w:val="22"/>
          <w:lang w:val="en-ZA"/>
        </w:rPr>
        <w:t>t in accordance with the plea - t</w:t>
      </w:r>
      <w:r w:rsidR="00F26931">
        <w:rPr>
          <w:rFonts w:ascii="Arial" w:hAnsi="Arial" w:cs="Arial"/>
          <w:bCs/>
          <w:sz w:val="22"/>
          <w:szCs w:val="22"/>
          <w:lang w:val="en-ZA"/>
        </w:rPr>
        <w:t xml:space="preserve">he contents of the plea are material when determining </w:t>
      </w:r>
      <w:r w:rsidR="00F26931">
        <w:rPr>
          <w:rFonts w:ascii="Arial" w:hAnsi="Arial" w:cs="Arial"/>
          <w:bCs/>
          <w:i/>
          <w:sz w:val="22"/>
          <w:szCs w:val="22"/>
          <w:lang w:val="en-ZA"/>
        </w:rPr>
        <w:t xml:space="preserve">bona fide </w:t>
      </w:r>
      <w:r w:rsidR="00C941C5">
        <w:rPr>
          <w:rFonts w:ascii="Arial" w:hAnsi="Arial" w:cs="Arial"/>
          <w:bCs/>
          <w:sz w:val="22"/>
          <w:szCs w:val="22"/>
          <w:lang w:val="en-ZA"/>
        </w:rPr>
        <w:t>defences.</w:t>
      </w:r>
    </w:p>
    <w:p w:rsidR="00AD3193" w:rsidRPr="00076447" w:rsidRDefault="00AD3193" w:rsidP="00BE2ADC">
      <w:pPr>
        <w:spacing w:line="360" w:lineRule="auto"/>
        <w:ind w:left="144"/>
        <w:jc w:val="both"/>
        <w:rPr>
          <w:rFonts w:ascii="Arial" w:hAnsi="Arial" w:cs="Arial"/>
          <w:b/>
          <w:bCs/>
          <w:sz w:val="22"/>
          <w:szCs w:val="22"/>
          <w:lang w:val="en-ZA"/>
        </w:rPr>
      </w:pPr>
    </w:p>
    <w:p w:rsidR="00AD3193" w:rsidRPr="00076447" w:rsidRDefault="00AD3193" w:rsidP="00BE2ADC">
      <w:pPr>
        <w:spacing w:line="360" w:lineRule="auto"/>
        <w:ind w:left="144"/>
        <w:jc w:val="both"/>
        <w:rPr>
          <w:rFonts w:ascii="Arial" w:hAnsi="Arial" w:cs="Arial"/>
          <w:b/>
          <w:bCs/>
          <w:sz w:val="22"/>
          <w:szCs w:val="22"/>
          <w:lang w:val="en-ZA"/>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1102B0" w:rsidRPr="0031449E" w:rsidTr="00C941C5">
        <w:tc>
          <w:tcPr>
            <w:tcW w:w="8928" w:type="dxa"/>
          </w:tcPr>
          <w:p w:rsidR="001102B0" w:rsidRDefault="001102B0" w:rsidP="00463B6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r>
              <w:rPr>
                <w:rFonts w:eastAsia="Tahoma" w:cs="Arial"/>
                <w:b/>
                <w:bCs/>
                <w:sz w:val="32"/>
                <w:szCs w:val="24"/>
                <w:lang w:val="de-DE"/>
              </w:rPr>
              <w:t xml:space="preserve"> </w:t>
            </w:r>
          </w:p>
          <w:p w:rsidR="001102B0" w:rsidRPr="00E965B7" w:rsidRDefault="001102B0" w:rsidP="00463B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eastAsia="Tahoma" w:cs="Arial"/>
                <w:b/>
                <w:bCs/>
                <w:sz w:val="24"/>
                <w:szCs w:val="24"/>
                <w:lang w:val="de-DE"/>
              </w:rPr>
            </w:pPr>
            <w:r>
              <w:rPr>
                <w:rFonts w:eastAsia="Tahoma" w:cs="Arial"/>
                <w:b/>
                <w:bCs/>
                <w:sz w:val="28"/>
                <w:szCs w:val="28"/>
                <w:lang w:val="de-DE"/>
              </w:rPr>
              <w:t>ORDER</w:t>
            </w:r>
            <w:r w:rsidRPr="0050250E">
              <w:rPr>
                <w:rFonts w:eastAsia="Tahoma" w:cs="Arial"/>
                <w:b/>
                <w:bCs/>
                <w:sz w:val="28"/>
                <w:szCs w:val="28"/>
                <w:lang w:val="de-DE"/>
              </w:rPr>
              <w:t xml:space="preserve"> </w:t>
            </w:r>
          </w:p>
        </w:tc>
      </w:tr>
    </w:tbl>
    <w:p w:rsidR="001102B0" w:rsidRPr="0050250E" w:rsidRDefault="001102B0" w:rsidP="0050250E">
      <w:pPr>
        <w:spacing w:after="240" w:line="360" w:lineRule="auto"/>
        <w:ind w:left="142"/>
        <w:jc w:val="both"/>
        <w:rPr>
          <w:rFonts w:ascii="Arial" w:hAnsi="Arial" w:cs="Arial"/>
          <w:lang w:val="en-ZA"/>
        </w:rPr>
      </w:pPr>
    </w:p>
    <w:p w:rsidR="00712E6E" w:rsidRPr="00712E6E" w:rsidRDefault="00712E6E" w:rsidP="00712E6E">
      <w:pPr>
        <w:autoSpaceDE w:val="0"/>
        <w:autoSpaceDN w:val="0"/>
        <w:adjustRightInd w:val="0"/>
        <w:spacing w:line="480" w:lineRule="auto"/>
        <w:jc w:val="both"/>
        <w:rPr>
          <w:rFonts w:ascii="Arial" w:eastAsia="Times New Roman" w:hAnsi="Arial" w:cs="Arial"/>
          <w:sz w:val="22"/>
          <w:szCs w:val="22"/>
        </w:rPr>
      </w:pPr>
      <w:r>
        <w:rPr>
          <w:rFonts w:ascii="Arial" w:eastAsia="Times New Roman" w:hAnsi="Arial" w:cs="Arial"/>
          <w:sz w:val="22"/>
          <w:szCs w:val="22"/>
        </w:rPr>
        <w:t>It is ordered</w:t>
      </w:r>
      <w:r w:rsidRPr="00712E6E">
        <w:rPr>
          <w:rFonts w:ascii="Arial" w:eastAsia="Times New Roman" w:hAnsi="Arial" w:cs="Arial"/>
          <w:sz w:val="22"/>
          <w:szCs w:val="22"/>
        </w:rPr>
        <w:t>:</w:t>
      </w:r>
      <w:r>
        <w:rPr>
          <w:rFonts w:ascii="Arial" w:eastAsia="Times New Roman" w:hAnsi="Arial" w:cs="Arial"/>
          <w:sz w:val="22"/>
          <w:szCs w:val="22"/>
        </w:rPr>
        <w:t>-</w:t>
      </w:r>
    </w:p>
    <w:p w:rsidR="00712E6E" w:rsidRPr="00712E6E" w:rsidRDefault="00712E6E" w:rsidP="00712E6E">
      <w:pPr>
        <w:autoSpaceDE w:val="0"/>
        <w:autoSpaceDN w:val="0"/>
        <w:adjustRightInd w:val="0"/>
        <w:spacing w:line="480" w:lineRule="auto"/>
        <w:jc w:val="both"/>
        <w:rPr>
          <w:rFonts w:ascii="Arial" w:eastAsia="Times New Roman" w:hAnsi="Arial" w:cs="Arial"/>
          <w:sz w:val="22"/>
          <w:szCs w:val="22"/>
        </w:rPr>
      </w:pPr>
      <w:r w:rsidRPr="00712E6E">
        <w:rPr>
          <w:rFonts w:ascii="Arial" w:eastAsia="Times New Roman" w:hAnsi="Arial" w:cs="Arial"/>
          <w:sz w:val="22"/>
          <w:szCs w:val="22"/>
        </w:rPr>
        <w:t>1.</w:t>
      </w:r>
      <w:r w:rsidRPr="00712E6E">
        <w:rPr>
          <w:rFonts w:ascii="Arial" w:eastAsia="Times New Roman" w:hAnsi="Arial" w:cs="Arial"/>
          <w:sz w:val="22"/>
          <w:szCs w:val="22"/>
        </w:rPr>
        <w:tab/>
        <w:t xml:space="preserve">Rectification of the rental schedule to the rental agreement by the substitution on the </w:t>
      </w:r>
      <w:r>
        <w:rPr>
          <w:rFonts w:ascii="Arial" w:eastAsia="Times New Roman" w:hAnsi="Arial" w:cs="Arial"/>
          <w:sz w:val="22"/>
          <w:szCs w:val="22"/>
        </w:rPr>
        <w:tab/>
      </w:r>
      <w:r w:rsidRPr="00712E6E">
        <w:rPr>
          <w:rFonts w:ascii="Arial" w:eastAsia="Times New Roman" w:hAnsi="Arial" w:cs="Arial"/>
          <w:sz w:val="22"/>
          <w:szCs w:val="22"/>
        </w:rPr>
        <w:t xml:space="preserve">description of the user recorded as Cellsecure Holdings (Pty) Ltd – 2001 (007287/07 </w:t>
      </w:r>
      <w:r w:rsidR="00D77EE6">
        <w:rPr>
          <w:rFonts w:ascii="Arial" w:eastAsia="Times New Roman" w:hAnsi="Arial" w:cs="Arial"/>
          <w:sz w:val="22"/>
          <w:szCs w:val="22"/>
        </w:rPr>
        <w:tab/>
      </w:r>
      <w:r w:rsidRPr="00712E6E">
        <w:rPr>
          <w:rFonts w:ascii="Arial" w:eastAsia="Times New Roman" w:hAnsi="Arial" w:cs="Arial"/>
          <w:sz w:val="22"/>
          <w:szCs w:val="22"/>
        </w:rPr>
        <w:t>with Cellsecure Monitoring and Response (Pty) Ltd – 1999/020357/07.</w:t>
      </w:r>
    </w:p>
    <w:p w:rsidR="00712E6E" w:rsidRPr="00712E6E" w:rsidRDefault="00712E6E" w:rsidP="00712E6E">
      <w:pPr>
        <w:autoSpaceDE w:val="0"/>
        <w:autoSpaceDN w:val="0"/>
        <w:adjustRightInd w:val="0"/>
        <w:spacing w:line="480" w:lineRule="auto"/>
        <w:jc w:val="both"/>
        <w:rPr>
          <w:rFonts w:ascii="Arial" w:eastAsia="Times New Roman" w:hAnsi="Arial" w:cs="Arial"/>
          <w:sz w:val="22"/>
          <w:szCs w:val="22"/>
        </w:rPr>
      </w:pPr>
      <w:r w:rsidRPr="00712E6E">
        <w:rPr>
          <w:rFonts w:ascii="Arial" w:eastAsia="Times New Roman" w:hAnsi="Arial" w:cs="Arial"/>
          <w:sz w:val="22"/>
          <w:szCs w:val="22"/>
        </w:rPr>
        <w:t>2.</w:t>
      </w:r>
      <w:r w:rsidRPr="00712E6E">
        <w:rPr>
          <w:rFonts w:ascii="Arial" w:eastAsia="Times New Roman" w:hAnsi="Arial" w:cs="Arial"/>
          <w:sz w:val="22"/>
          <w:szCs w:val="22"/>
        </w:rPr>
        <w:tab/>
        <w:t>Payment of the sum of R4,327,956.81.</w:t>
      </w:r>
    </w:p>
    <w:p w:rsidR="00712E6E" w:rsidRPr="00712E6E" w:rsidRDefault="00712E6E" w:rsidP="00712E6E">
      <w:pPr>
        <w:autoSpaceDE w:val="0"/>
        <w:autoSpaceDN w:val="0"/>
        <w:adjustRightInd w:val="0"/>
        <w:spacing w:line="480" w:lineRule="auto"/>
        <w:jc w:val="both"/>
        <w:rPr>
          <w:rFonts w:ascii="Arial" w:eastAsia="Times New Roman" w:hAnsi="Arial" w:cs="Arial"/>
          <w:sz w:val="22"/>
          <w:szCs w:val="22"/>
        </w:rPr>
      </w:pPr>
      <w:r w:rsidRPr="00712E6E">
        <w:rPr>
          <w:rFonts w:ascii="Arial" w:eastAsia="Times New Roman" w:hAnsi="Arial" w:cs="Arial"/>
          <w:sz w:val="22"/>
          <w:szCs w:val="22"/>
        </w:rPr>
        <w:t>3.</w:t>
      </w:r>
      <w:r w:rsidRPr="00712E6E">
        <w:rPr>
          <w:rFonts w:ascii="Arial" w:eastAsia="Times New Roman" w:hAnsi="Arial" w:cs="Arial"/>
          <w:sz w:val="22"/>
          <w:szCs w:val="22"/>
        </w:rPr>
        <w:tab/>
        <w:t xml:space="preserve">Interest on the aforesaid sum at the rate of 13% (prime plus 6%) per annum </w:t>
      </w:r>
      <w:r w:rsidRPr="00712E6E">
        <w:rPr>
          <w:rFonts w:ascii="Arial" w:eastAsia="Times New Roman" w:hAnsi="Arial" w:cs="Arial"/>
          <w:sz w:val="22"/>
          <w:szCs w:val="22"/>
        </w:rPr>
        <w:tab/>
      </w:r>
      <w:r w:rsidRPr="00712E6E">
        <w:rPr>
          <w:rFonts w:ascii="Arial" w:eastAsia="Times New Roman" w:hAnsi="Arial" w:cs="Arial"/>
          <w:sz w:val="22"/>
          <w:szCs w:val="22"/>
        </w:rPr>
        <w:tab/>
        <w:t>from 22 January 2021 to date of payment.</w:t>
      </w:r>
    </w:p>
    <w:p w:rsidR="00712E6E" w:rsidRPr="00712E6E" w:rsidRDefault="00712E6E" w:rsidP="00712E6E">
      <w:pPr>
        <w:autoSpaceDE w:val="0"/>
        <w:autoSpaceDN w:val="0"/>
        <w:adjustRightInd w:val="0"/>
        <w:spacing w:line="480" w:lineRule="auto"/>
        <w:jc w:val="both"/>
        <w:rPr>
          <w:rFonts w:ascii="Arial" w:eastAsia="Times New Roman" w:hAnsi="Arial" w:cs="Arial"/>
          <w:sz w:val="22"/>
          <w:szCs w:val="22"/>
        </w:rPr>
      </w:pPr>
      <w:r w:rsidRPr="00712E6E">
        <w:rPr>
          <w:rFonts w:ascii="Arial" w:eastAsia="Times New Roman" w:hAnsi="Arial" w:cs="Arial"/>
          <w:sz w:val="22"/>
          <w:szCs w:val="22"/>
        </w:rPr>
        <w:t>4.</w:t>
      </w:r>
      <w:r w:rsidRPr="00712E6E">
        <w:rPr>
          <w:rFonts w:ascii="Arial" w:eastAsia="Times New Roman" w:hAnsi="Arial" w:cs="Arial"/>
          <w:sz w:val="22"/>
          <w:szCs w:val="22"/>
        </w:rPr>
        <w:tab/>
        <w:t>Costs of suit.</w:t>
      </w:r>
    </w:p>
    <w:p w:rsidR="00AD3193" w:rsidRPr="00C4520D" w:rsidRDefault="00AD3193" w:rsidP="00C4520D">
      <w:pPr>
        <w:pStyle w:val="WLGLevel1"/>
        <w:numPr>
          <w:ilvl w:val="0"/>
          <w:numId w:val="0"/>
        </w:numPr>
        <w:spacing w:line="360" w:lineRule="auto"/>
        <w:ind w:left="851" w:hanging="851"/>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E87C23" w:rsidRPr="0031449E" w:rsidTr="00195908">
        <w:tc>
          <w:tcPr>
            <w:tcW w:w="9350" w:type="dxa"/>
          </w:tcPr>
          <w:p w:rsidR="00E87C23" w:rsidRDefault="00E87C23" w:rsidP="00E87C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r>
              <w:rPr>
                <w:rFonts w:eastAsia="Tahoma" w:cs="Arial"/>
                <w:b/>
                <w:bCs/>
                <w:sz w:val="32"/>
                <w:szCs w:val="24"/>
                <w:lang w:val="de-DE"/>
              </w:rPr>
              <w:lastRenderedPageBreak/>
              <w:t xml:space="preserve"> </w:t>
            </w:r>
          </w:p>
          <w:p w:rsidR="00E87C23" w:rsidRPr="00E965B7" w:rsidRDefault="00E87C23" w:rsidP="00E965B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eastAsia="Tahoma" w:cs="Arial"/>
                <w:b/>
                <w:bCs/>
                <w:sz w:val="24"/>
                <w:szCs w:val="24"/>
                <w:lang w:val="de-DE"/>
              </w:rPr>
            </w:pPr>
            <w:r w:rsidRPr="0050250E">
              <w:rPr>
                <w:rFonts w:eastAsia="Tahoma" w:cs="Arial"/>
                <w:b/>
                <w:bCs/>
                <w:sz w:val="28"/>
                <w:szCs w:val="28"/>
                <w:lang w:val="de-DE"/>
              </w:rPr>
              <w:t>JUDGMENT</w:t>
            </w:r>
            <w:r w:rsidR="00F07FAF" w:rsidRPr="0050250E">
              <w:rPr>
                <w:rFonts w:eastAsia="Tahoma" w:cs="Arial"/>
                <w:b/>
                <w:bCs/>
                <w:sz w:val="28"/>
                <w:szCs w:val="28"/>
                <w:lang w:val="de-DE"/>
              </w:rPr>
              <w:t xml:space="preserve"> </w:t>
            </w:r>
          </w:p>
        </w:tc>
      </w:tr>
    </w:tbl>
    <w:p w:rsidR="00E87C23" w:rsidRDefault="00E87C23" w:rsidP="00E87C23">
      <w:pPr>
        <w:pStyle w:val="Body"/>
        <w:jc w:val="both"/>
        <w:rPr>
          <w:b/>
          <w:sz w:val="22"/>
          <w:szCs w:val="22"/>
        </w:rPr>
      </w:pPr>
    </w:p>
    <w:p w:rsidR="00E87C23" w:rsidRDefault="001102B0" w:rsidP="00E87C23">
      <w:pPr>
        <w:pStyle w:val="Body"/>
        <w:jc w:val="both"/>
        <w:rPr>
          <w:b/>
          <w:sz w:val="22"/>
          <w:szCs w:val="22"/>
          <w:u w:val="single"/>
        </w:rPr>
      </w:pPr>
      <w:r>
        <w:rPr>
          <w:b/>
          <w:sz w:val="22"/>
          <w:szCs w:val="22"/>
          <w:u w:val="single"/>
        </w:rPr>
        <w:t>KOOVERJIE</w:t>
      </w:r>
      <w:r w:rsidR="00E87C23" w:rsidRPr="00C519B2">
        <w:rPr>
          <w:b/>
          <w:sz w:val="22"/>
          <w:szCs w:val="22"/>
          <w:u w:val="single"/>
        </w:rPr>
        <w:t xml:space="preserve"> J</w:t>
      </w:r>
    </w:p>
    <w:p w:rsidR="00712E6E" w:rsidRDefault="00712E6E" w:rsidP="00E87C23">
      <w:pPr>
        <w:pStyle w:val="Body"/>
        <w:jc w:val="both"/>
        <w:rPr>
          <w:b/>
          <w:sz w:val="22"/>
          <w:szCs w:val="22"/>
          <w:u w:val="single"/>
        </w:rPr>
      </w:pPr>
    </w:p>
    <w:p w:rsidR="00712E6E" w:rsidRDefault="00712E6E" w:rsidP="00712E6E">
      <w:pPr>
        <w:spacing w:line="480" w:lineRule="auto"/>
        <w:ind w:left="720" w:hanging="720"/>
        <w:jc w:val="both"/>
        <w:rPr>
          <w:rFonts w:ascii="Arial" w:hAnsi="Arial" w:cs="Arial"/>
          <w:sz w:val="22"/>
          <w:szCs w:val="22"/>
        </w:rPr>
      </w:pPr>
      <w:r>
        <w:rPr>
          <w:rFonts w:ascii="Arial" w:hAnsi="Arial" w:cs="Arial"/>
          <w:b/>
          <w:sz w:val="22"/>
          <w:szCs w:val="22"/>
          <w:u w:val="single"/>
        </w:rPr>
        <w:t>SUMMARY JUDGMENT</w:t>
      </w:r>
    </w:p>
    <w:p w:rsidR="00712E6E" w:rsidRPr="003B5A48"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The plaintiffs instituted action against the first defendant on the basis of an alleged breach of a written rental agreement.  The plaintiffs now seek summary judgment against the defendants for payment of the outstanding rental amounts.</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b/>
          <w:sz w:val="22"/>
          <w:szCs w:val="22"/>
          <w:u w:val="single"/>
        </w:rPr>
        <w:t>CONDONATION</w:t>
      </w:r>
    </w:p>
    <w:p w:rsidR="00712E6E" w:rsidRPr="003B5A48"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defendants requested condonation for the non-timeous filing of their </w:t>
      </w:r>
      <w:r w:rsidR="00A21DAE">
        <w:rPr>
          <w:rFonts w:ascii="Arial" w:hAnsi="Arial" w:cs="Arial"/>
          <w:sz w:val="22"/>
          <w:szCs w:val="22"/>
        </w:rPr>
        <w:t xml:space="preserve">opposing </w:t>
      </w:r>
      <w:r>
        <w:rPr>
          <w:rFonts w:ascii="Arial" w:hAnsi="Arial" w:cs="Arial"/>
          <w:sz w:val="22"/>
          <w:szCs w:val="22"/>
        </w:rPr>
        <w:t>affidavit.  The defendants were required to file their affidavit five days before the hearing of the application.  However, the affidavit was only filed a day before the set down date.  This caused the matter to be removed with the defendants tendering the wasted costs occasioned by the postponement.  The core explanation was that the defendants’ instructing attorney developed severe COVID symptoms at the time and was unable to timeously attend to the matter and consult with the defendants.</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It was argued that there was no prejudice to the plaintiff.</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I am amenable to grant condonation for the late filing of the opposing affidavit as I find the explanation to be reasonable</w:t>
      </w:r>
      <w:r w:rsidR="00A21DAE">
        <w:rPr>
          <w:rFonts w:ascii="Arial" w:hAnsi="Arial" w:cs="Arial"/>
          <w:sz w:val="22"/>
          <w:szCs w:val="22"/>
        </w:rPr>
        <w:t xml:space="preserve"> and furthermore the plaintiffs have not contested the defendants’ explanation</w:t>
      </w:r>
      <w:r w:rsidR="00F26931">
        <w:rPr>
          <w:rFonts w:ascii="Arial" w:hAnsi="Arial" w:cs="Arial"/>
          <w:sz w:val="22"/>
          <w:szCs w:val="22"/>
        </w:rPr>
        <w:t xml:space="preserve"> for the delay</w:t>
      </w:r>
      <w:r w:rsidR="00A21DAE">
        <w:rPr>
          <w:rFonts w:ascii="Arial" w:hAnsi="Arial" w:cs="Arial"/>
          <w:sz w:val="22"/>
          <w:szCs w:val="22"/>
        </w:rPr>
        <w:t>.</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b/>
          <w:sz w:val="22"/>
          <w:szCs w:val="22"/>
          <w:u w:val="single"/>
        </w:rPr>
        <w:t>BACKGROUND</w:t>
      </w:r>
    </w:p>
    <w:p w:rsidR="00712E6E" w:rsidRDefault="00712E6E" w:rsidP="00712E6E">
      <w:pPr>
        <w:spacing w:line="480" w:lineRule="auto"/>
        <w:ind w:left="720" w:hanging="720"/>
        <w:jc w:val="both"/>
        <w:rPr>
          <w:rFonts w:ascii="Arial" w:hAnsi="Arial" w:cs="Arial"/>
          <w:sz w:val="22"/>
          <w:szCs w:val="22"/>
        </w:rPr>
      </w:pPr>
    </w:p>
    <w:p w:rsidR="00A21DAE" w:rsidRDefault="00712E6E" w:rsidP="00712E6E">
      <w:pPr>
        <w:spacing w:line="480" w:lineRule="auto"/>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In July 2018 the first defendant and Alternative Rental Solutions (Pty) Ltd (“ARS”), previously TBI Asset Rentals (Pty) Ltd (“TBI”), the cedent, concluded a rental agreement with the defendants.  Such agreement together with the rental schedule was annexed as Annexure ‘A1’</w:t>
      </w:r>
      <w:r w:rsidR="00A21DAE">
        <w:rPr>
          <w:rFonts w:ascii="Arial" w:hAnsi="Arial" w:cs="Arial"/>
          <w:sz w:val="22"/>
          <w:szCs w:val="22"/>
        </w:rPr>
        <w:t xml:space="preserve"> to the particulars of claim</w:t>
      </w:r>
      <w:r>
        <w:rPr>
          <w:rFonts w:ascii="Arial" w:hAnsi="Arial" w:cs="Arial"/>
          <w:sz w:val="22"/>
          <w:szCs w:val="22"/>
        </w:rPr>
        <w:t xml:space="preserve">.  The rental agreement commenced on 1 August 2018 and the duration was for a period of 60 months.  The monthly rental instalments </w:t>
      </w:r>
      <w:r w:rsidR="00F26931">
        <w:rPr>
          <w:rFonts w:ascii="Arial" w:hAnsi="Arial" w:cs="Arial"/>
          <w:sz w:val="22"/>
          <w:szCs w:val="22"/>
        </w:rPr>
        <w:t>were</w:t>
      </w:r>
      <w:r w:rsidR="00A21DAE">
        <w:rPr>
          <w:rFonts w:ascii="Arial" w:hAnsi="Arial" w:cs="Arial"/>
          <w:sz w:val="22"/>
          <w:szCs w:val="22"/>
        </w:rPr>
        <w:t xml:space="preserve"> </w:t>
      </w:r>
      <w:r>
        <w:rPr>
          <w:rFonts w:ascii="Arial" w:hAnsi="Arial" w:cs="Arial"/>
          <w:sz w:val="22"/>
          <w:szCs w:val="22"/>
        </w:rPr>
        <w:t xml:space="preserve">calculated to R107,825.62.  </w:t>
      </w:r>
    </w:p>
    <w:p w:rsidR="00A21DAE" w:rsidRDefault="00A21DAE" w:rsidP="00712E6E">
      <w:pPr>
        <w:spacing w:line="480" w:lineRule="auto"/>
        <w:ind w:left="720" w:hanging="720"/>
        <w:jc w:val="both"/>
        <w:rPr>
          <w:rFonts w:ascii="Arial" w:hAnsi="Arial" w:cs="Arial"/>
          <w:sz w:val="22"/>
          <w:szCs w:val="22"/>
        </w:rPr>
      </w:pPr>
    </w:p>
    <w:p w:rsidR="00712E6E" w:rsidRDefault="00A21DAE" w:rsidP="00712E6E">
      <w:pPr>
        <w:spacing w:line="480" w:lineRule="auto"/>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00712E6E">
        <w:rPr>
          <w:rFonts w:ascii="Arial" w:hAnsi="Arial" w:cs="Arial"/>
          <w:sz w:val="22"/>
          <w:szCs w:val="22"/>
        </w:rPr>
        <w:t>I</w:t>
      </w:r>
      <w:r w:rsidR="00F26931">
        <w:rPr>
          <w:rFonts w:ascii="Arial" w:hAnsi="Arial" w:cs="Arial"/>
          <w:sz w:val="22"/>
          <w:szCs w:val="22"/>
        </w:rPr>
        <w:t>t was alleged that i</w:t>
      </w:r>
      <w:r w:rsidR="00712E6E">
        <w:rPr>
          <w:rFonts w:ascii="Arial" w:hAnsi="Arial" w:cs="Arial"/>
          <w:sz w:val="22"/>
          <w:szCs w:val="22"/>
        </w:rPr>
        <w:t>f the rental agreement had run its full period the total amount would have been R6,468,937.20.  The first defendant only paid R2,140,980.39 which was for a period of 18 months.</w:t>
      </w:r>
      <w:r>
        <w:rPr>
          <w:rFonts w:ascii="Arial" w:hAnsi="Arial" w:cs="Arial"/>
          <w:sz w:val="22"/>
          <w:szCs w:val="22"/>
        </w:rPr>
        <w:t xml:space="preserve">  </w:t>
      </w:r>
      <w:r w:rsidR="00712E6E">
        <w:rPr>
          <w:rFonts w:ascii="Arial" w:hAnsi="Arial" w:cs="Arial"/>
          <w:sz w:val="22"/>
          <w:szCs w:val="22"/>
        </w:rPr>
        <w:t xml:space="preserve">It was alleged that an amount of R4,327,956.81 remains due and payable.  The second and third defendants bound themselves as guarantors and co-principal debtors with the first defendant.  </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There were also various cessions.  The rights, title and interest in the rental agreement were ceded from ARS to Sunlyn (Pty) Ltd (the third plaintiff).  The second cession was with Fintech Underwriting (Pty) Ltd (the second plaintiff) and the third cession with the first plaintiff, the South African Securitisation Programme (RF) (Pty) Ltd (“SASP”).  </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The first defendant, Cellsecure Monitoring and Response (Pty) Ltd signed a written certificate of acceptance accepting delivery of the equipment.  </w:t>
      </w:r>
    </w:p>
    <w:p w:rsidR="00BE2ADC" w:rsidRDefault="00BE2ADC"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lastRenderedPageBreak/>
        <w:t>[9]</w:t>
      </w:r>
      <w:r>
        <w:rPr>
          <w:rFonts w:ascii="Arial" w:hAnsi="Arial" w:cs="Arial"/>
          <w:sz w:val="22"/>
          <w:szCs w:val="22"/>
        </w:rPr>
        <w:tab/>
        <w:t>In these proceedings t</w:t>
      </w:r>
      <w:r w:rsidR="00F26931">
        <w:rPr>
          <w:rFonts w:ascii="Arial" w:hAnsi="Arial" w:cs="Arial"/>
          <w:sz w:val="22"/>
          <w:szCs w:val="22"/>
        </w:rPr>
        <w:t>he plaintiffs’ main contention wa</w:t>
      </w:r>
      <w:r>
        <w:rPr>
          <w:rFonts w:ascii="Arial" w:hAnsi="Arial" w:cs="Arial"/>
          <w:sz w:val="22"/>
          <w:szCs w:val="22"/>
        </w:rPr>
        <w:t>s that the new defences raised in the affidavit have no merit and same should have been raised in the plea.  The new defences raised by the defendants were the following:</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(i)</w:t>
      </w:r>
      <w:r>
        <w:rPr>
          <w:rFonts w:ascii="Arial" w:hAnsi="Arial" w:cs="Arial"/>
          <w:sz w:val="22"/>
          <w:szCs w:val="22"/>
        </w:rPr>
        <w:tab/>
        <w:t xml:space="preserve">the rental agreement does not record the true nature of the agreement </w:t>
      </w:r>
      <w:r>
        <w:rPr>
          <w:rFonts w:ascii="Arial" w:hAnsi="Arial" w:cs="Arial"/>
          <w:sz w:val="22"/>
          <w:szCs w:val="22"/>
        </w:rPr>
        <w:tab/>
        <w:t>between the parties;</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(ii)</w:t>
      </w:r>
      <w:r>
        <w:rPr>
          <w:rFonts w:ascii="Arial" w:hAnsi="Arial" w:cs="Arial"/>
          <w:sz w:val="22"/>
          <w:szCs w:val="22"/>
        </w:rPr>
        <w:tab/>
        <w:t>the certificate of acceptance was signed in error;</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(iii)</w:t>
      </w:r>
      <w:r>
        <w:rPr>
          <w:rFonts w:ascii="Arial" w:hAnsi="Arial" w:cs="Arial"/>
          <w:sz w:val="22"/>
          <w:szCs w:val="22"/>
        </w:rPr>
        <w:tab/>
        <w:t xml:space="preserve">the certificate of balance does not constitute </w:t>
      </w:r>
      <w:r>
        <w:rPr>
          <w:rFonts w:ascii="Arial" w:hAnsi="Arial" w:cs="Arial"/>
          <w:i/>
          <w:sz w:val="22"/>
          <w:szCs w:val="22"/>
        </w:rPr>
        <w:t>prima facie</w:t>
      </w:r>
      <w:r>
        <w:rPr>
          <w:rFonts w:ascii="Arial" w:hAnsi="Arial" w:cs="Arial"/>
          <w:sz w:val="22"/>
          <w:szCs w:val="22"/>
        </w:rPr>
        <w:t xml:space="preserve"> proof of the first </w:t>
      </w:r>
      <w:r>
        <w:rPr>
          <w:rFonts w:ascii="Arial" w:hAnsi="Arial" w:cs="Arial"/>
          <w:sz w:val="22"/>
          <w:szCs w:val="22"/>
        </w:rPr>
        <w:tab/>
        <w:t xml:space="preserve">defendant’s indebtedness.  Moreso it was defective as it should have been </w:t>
      </w:r>
      <w:r>
        <w:rPr>
          <w:rFonts w:ascii="Arial" w:hAnsi="Arial" w:cs="Arial"/>
          <w:sz w:val="22"/>
          <w:szCs w:val="22"/>
        </w:rPr>
        <w:tab/>
        <w:t>signed by “ARS” and not “SASFIN”;</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(iv)</w:t>
      </w:r>
      <w:r>
        <w:rPr>
          <w:rFonts w:ascii="Arial" w:hAnsi="Arial" w:cs="Arial"/>
          <w:sz w:val="22"/>
          <w:szCs w:val="22"/>
        </w:rPr>
        <w:tab/>
        <w:t xml:space="preserve">no certificate of balance was furnished in respect of the second and third </w:t>
      </w:r>
      <w:r>
        <w:rPr>
          <w:rFonts w:ascii="Arial" w:hAnsi="Arial" w:cs="Arial"/>
          <w:sz w:val="22"/>
          <w:szCs w:val="22"/>
        </w:rPr>
        <w:tab/>
        <w:t>defendants’ indebtedness;</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(v)</w:t>
      </w:r>
      <w:r>
        <w:rPr>
          <w:rFonts w:ascii="Arial" w:hAnsi="Arial" w:cs="Arial"/>
          <w:sz w:val="22"/>
          <w:szCs w:val="22"/>
        </w:rPr>
        <w:tab/>
        <w:t>the deponent lacked personal knowledge;</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(vi)</w:t>
      </w:r>
      <w:r>
        <w:rPr>
          <w:rFonts w:ascii="Arial" w:hAnsi="Arial" w:cs="Arial"/>
          <w:sz w:val="22"/>
          <w:szCs w:val="22"/>
        </w:rPr>
        <w:tab/>
        <w:t>a dispute was raised regarding the rectification the plaintiff proposed.</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b/>
          <w:sz w:val="22"/>
          <w:szCs w:val="22"/>
          <w:u w:val="single"/>
        </w:rPr>
        <w:t>THE PLEADINGS</w:t>
      </w:r>
    </w:p>
    <w:p w:rsidR="00712E6E" w:rsidRPr="004420FE" w:rsidRDefault="00712E6E" w:rsidP="00712E6E">
      <w:pPr>
        <w:spacing w:line="480" w:lineRule="auto"/>
        <w:ind w:left="720" w:hanging="720"/>
        <w:jc w:val="both"/>
        <w:rPr>
          <w:rFonts w:ascii="Arial" w:hAnsi="Arial" w:cs="Arial"/>
          <w:sz w:val="22"/>
          <w:szCs w:val="22"/>
        </w:rPr>
      </w:pPr>
    </w:p>
    <w:p w:rsidR="00F26931" w:rsidRDefault="00712E6E" w:rsidP="00712E6E">
      <w:pPr>
        <w:spacing w:line="480" w:lineRule="auto"/>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It cannot be disputed that the plea constituted bare denials.  </w:t>
      </w:r>
      <w:r w:rsidR="00A21DAE">
        <w:rPr>
          <w:rFonts w:ascii="Arial" w:hAnsi="Arial" w:cs="Arial"/>
          <w:sz w:val="22"/>
          <w:szCs w:val="22"/>
        </w:rPr>
        <w:t>It is established law that a</w:t>
      </w:r>
      <w:r>
        <w:rPr>
          <w:rFonts w:ascii="Arial" w:hAnsi="Arial" w:cs="Arial"/>
          <w:sz w:val="22"/>
          <w:szCs w:val="22"/>
        </w:rPr>
        <w:t xml:space="preserve"> plea constitutes a bare denial when the defendant does not clearly and concisely state the material facts upon which he relies for his defence, alternatively does not state his defence with sufficient particularity to enable the plaintiff to reply thereto.  </w:t>
      </w:r>
    </w:p>
    <w:p w:rsidR="00F26931" w:rsidRDefault="00F26931" w:rsidP="00712E6E">
      <w:pPr>
        <w:spacing w:line="480" w:lineRule="auto"/>
        <w:ind w:left="720" w:hanging="720"/>
        <w:jc w:val="both"/>
        <w:rPr>
          <w:rFonts w:ascii="Arial" w:hAnsi="Arial" w:cs="Arial"/>
          <w:sz w:val="22"/>
          <w:szCs w:val="22"/>
        </w:rPr>
      </w:pPr>
    </w:p>
    <w:p w:rsidR="00712E6E" w:rsidRDefault="00F26931" w:rsidP="00712E6E">
      <w:pPr>
        <w:spacing w:line="480" w:lineRule="auto"/>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A21DAE">
        <w:rPr>
          <w:rFonts w:ascii="Arial" w:hAnsi="Arial" w:cs="Arial"/>
          <w:sz w:val="22"/>
          <w:szCs w:val="22"/>
        </w:rPr>
        <w:t>The plaintiff</w:t>
      </w:r>
      <w:r w:rsidR="00712E6E">
        <w:rPr>
          <w:rFonts w:ascii="Arial" w:hAnsi="Arial" w:cs="Arial"/>
          <w:sz w:val="22"/>
          <w:szCs w:val="22"/>
        </w:rPr>
        <w:t>s</w:t>
      </w:r>
      <w:r w:rsidR="00A21DAE">
        <w:rPr>
          <w:rFonts w:ascii="Arial" w:hAnsi="Arial" w:cs="Arial"/>
          <w:sz w:val="22"/>
          <w:szCs w:val="22"/>
        </w:rPr>
        <w:t>, in their supporting affidavit</w:t>
      </w:r>
      <w:r w:rsidR="00712E6E">
        <w:rPr>
          <w:rFonts w:ascii="Arial" w:hAnsi="Arial" w:cs="Arial"/>
          <w:sz w:val="22"/>
          <w:szCs w:val="22"/>
        </w:rPr>
        <w:t xml:space="preserve"> to the summary judgment application</w:t>
      </w:r>
      <w:r w:rsidR="00A21DAE">
        <w:rPr>
          <w:rFonts w:ascii="Arial" w:hAnsi="Arial" w:cs="Arial"/>
          <w:sz w:val="22"/>
          <w:szCs w:val="22"/>
        </w:rPr>
        <w:t>,</w:t>
      </w:r>
      <w:r w:rsidR="00712E6E">
        <w:rPr>
          <w:rFonts w:ascii="Arial" w:hAnsi="Arial" w:cs="Arial"/>
          <w:sz w:val="22"/>
          <w:szCs w:val="22"/>
        </w:rPr>
        <w:t xml:space="preserve"> alleged</w:t>
      </w:r>
      <w:r w:rsidR="00A21DAE">
        <w:rPr>
          <w:rFonts w:ascii="Arial" w:hAnsi="Arial" w:cs="Arial"/>
          <w:sz w:val="22"/>
          <w:szCs w:val="22"/>
        </w:rPr>
        <w:t xml:space="preserve"> in paragraph 9</w:t>
      </w:r>
      <w:r w:rsidR="00712E6E">
        <w:rPr>
          <w:rFonts w:ascii="Arial" w:hAnsi="Arial" w:cs="Arial"/>
          <w:sz w:val="22"/>
          <w:szCs w:val="22"/>
        </w:rPr>
        <w:t>:</w:t>
      </w:r>
    </w:p>
    <w:p w:rsidR="00712E6E"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Pr>
          <w:rFonts w:ascii="Arial" w:hAnsi="Arial" w:cs="Arial"/>
          <w:i/>
          <w:sz w:val="22"/>
          <w:szCs w:val="22"/>
        </w:rPr>
        <w:t>“9.</w:t>
      </w:r>
      <w:r>
        <w:rPr>
          <w:rFonts w:ascii="Arial" w:hAnsi="Arial" w:cs="Arial"/>
          <w:i/>
          <w:sz w:val="22"/>
          <w:szCs w:val="22"/>
        </w:rPr>
        <w:tab/>
        <w:t>I have read and considered the summons an</w:t>
      </w:r>
      <w:r w:rsidR="00A21DAE">
        <w:rPr>
          <w:rFonts w:ascii="Arial" w:hAnsi="Arial" w:cs="Arial"/>
          <w:i/>
          <w:sz w:val="22"/>
          <w:szCs w:val="22"/>
        </w:rPr>
        <w:t xml:space="preserve">d particulars of claim in this </w:t>
      </w:r>
      <w:r w:rsidR="00D77EE6">
        <w:rPr>
          <w:rFonts w:ascii="Arial" w:hAnsi="Arial" w:cs="Arial"/>
          <w:i/>
          <w:sz w:val="22"/>
          <w:szCs w:val="22"/>
        </w:rPr>
        <w:tab/>
      </w:r>
      <w:r>
        <w:rPr>
          <w:rFonts w:ascii="Arial" w:hAnsi="Arial" w:cs="Arial"/>
          <w:i/>
          <w:sz w:val="22"/>
          <w:szCs w:val="22"/>
        </w:rPr>
        <w:t>action.  I have read and considered the respon</w:t>
      </w:r>
      <w:r w:rsidR="00A21DAE">
        <w:rPr>
          <w:rFonts w:ascii="Arial" w:hAnsi="Arial" w:cs="Arial"/>
          <w:i/>
          <w:sz w:val="22"/>
          <w:szCs w:val="22"/>
        </w:rPr>
        <w:t xml:space="preserve">dents’ plea.  The respondents’ </w:t>
      </w:r>
      <w:r w:rsidR="00D77EE6">
        <w:rPr>
          <w:rFonts w:ascii="Arial" w:hAnsi="Arial" w:cs="Arial"/>
          <w:i/>
          <w:sz w:val="22"/>
          <w:szCs w:val="22"/>
        </w:rPr>
        <w:tab/>
      </w:r>
      <w:r>
        <w:rPr>
          <w:rFonts w:ascii="Arial" w:hAnsi="Arial" w:cs="Arial"/>
          <w:i/>
          <w:sz w:val="22"/>
          <w:szCs w:val="22"/>
        </w:rPr>
        <w:t xml:space="preserve">plea raises no </w:t>
      </w:r>
      <w:r w:rsidR="00A21DAE">
        <w:rPr>
          <w:rFonts w:ascii="Arial" w:hAnsi="Arial" w:cs="Arial"/>
          <w:i/>
          <w:sz w:val="22"/>
          <w:szCs w:val="22"/>
        </w:rPr>
        <w:tab/>
      </w:r>
      <w:r>
        <w:rPr>
          <w:rFonts w:ascii="Arial" w:hAnsi="Arial" w:cs="Arial"/>
          <w:i/>
          <w:sz w:val="22"/>
          <w:szCs w:val="22"/>
        </w:rPr>
        <w:t xml:space="preserve">triable issues whatsoever.  The respondents have </w:t>
      </w:r>
      <w:r w:rsidR="00A21DAE">
        <w:rPr>
          <w:rFonts w:ascii="Arial" w:hAnsi="Arial" w:cs="Arial"/>
          <w:i/>
          <w:sz w:val="22"/>
          <w:szCs w:val="22"/>
        </w:rPr>
        <w:t xml:space="preserve">failed to </w:t>
      </w:r>
      <w:r w:rsidR="00D77EE6">
        <w:rPr>
          <w:rFonts w:ascii="Arial" w:hAnsi="Arial" w:cs="Arial"/>
          <w:i/>
          <w:sz w:val="22"/>
          <w:szCs w:val="22"/>
        </w:rPr>
        <w:lastRenderedPageBreak/>
        <w:tab/>
      </w:r>
      <w:r w:rsidR="00A21DAE">
        <w:rPr>
          <w:rFonts w:ascii="Arial" w:hAnsi="Arial" w:cs="Arial"/>
          <w:i/>
          <w:sz w:val="22"/>
          <w:szCs w:val="22"/>
        </w:rPr>
        <w:t xml:space="preserve">make </w:t>
      </w:r>
      <w:r>
        <w:rPr>
          <w:rFonts w:ascii="Arial" w:hAnsi="Arial" w:cs="Arial"/>
          <w:i/>
          <w:sz w:val="22"/>
          <w:szCs w:val="22"/>
        </w:rPr>
        <w:t xml:space="preserve">a single positive allegation which would </w:t>
      </w:r>
      <w:r w:rsidR="00A21DAE">
        <w:rPr>
          <w:rFonts w:ascii="Arial" w:hAnsi="Arial" w:cs="Arial"/>
          <w:i/>
          <w:sz w:val="22"/>
          <w:szCs w:val="22"/>
        </w:rPr>
        <w:t xml:space="preserve">constitute a defence to SASP.s </w:t>
      </w:r>
      <w:r w:rsidR="00D77EE6">
        <w:rPr>
          <w:rFonts w:ascii="Arial" w:hAnsi="Arial" w:cs="Arial"/>
          <w:i/>
          <w:sz w:val="22"/>
          <w:szCs w:val="22"/>
        </w:rPr>
        <w:tab/>
      </w:r>
      <w:r>
        <w:rPr>
          <w:rFonts w:ascii="Arial" w:hAnsi="Arial" w:cs="Arial"/>
          <w:i/>
          <w:sz w:val="22"/>
          <w:szCs w:val="22"/>
        </w:rPr>
        <w:t xml:space="preserve">claim.  The respondents have simply sought to boldly deny every allegation </w:t>
      </w:r>
      <w:r>
        <w:rPr>
          <w:rFonts w:ascii="Arial" w:hAnsi="Arial" w:cs="Arial"/>
          <w:i/>
          <w:sz w:val="22"/>
          <w:szCs w:val="22"/>
        </w:rPr>
        <w:tab/>
        <w:t>made on behalf of SASP.”</w:t>
      </w:r>
    </w:p>
    <w:p w:rsidR="00712E6E" w:rsidRDefault="00712E6E" w:rsidP="00712E6E">
      <w:pPr>
        <w:spacing w:line="480" w:lineRule="auto"/>
        <w:ind w:left="720" w:hanging="720"/>
        <w:jc w:val="both"/>
        <w:rPr>
          <w:rFonts w:ascii="Arial" w:hAnsi="Arial" w:cs="Arial"/>
          <w:i/>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[1</w:t>
      </w:r>
      <w:r w:rsidR="001706BF">
        <w:rPr>
          <w:rFonts w:ascii="Arial" w:hAnsi="Arial" w:cs="Arial"/>
          <w:sz w:val="22"/>
          <w:szCs w:val="22"/>
        </w:rPr>
        <w:t>2</w:t>
      </w:r>
      <w:r>
        <w:rPr>
          <w:rFonts w:ascii="Arial" w:hAnsi="Arial" w:cs="Arial"/>
          <w:sz w:val="22"/>
          <w:szCs w:val="22"/>
        </w:rPr>
        <w:t>]</w:t>
      </w:r>
      <w:r>
        <w:rPr>
          <w:rFonts w:ascii="Arial" w:hAnsi="Arial" w:cs="Arial"/>
          <w:sz w:val="22"/>
          <w:szCs w:val="22"/>
        </w:rPr>
        <w:tab/>
        <w:t>Upon receipt of the plea, the plaintif</w:t>
      </w:r>
      <w:r w:rsidR="00C941C5">
        <w:rPr>
          <w:rFonts w:ascii="Arial" w:hAnsi="Arial" w:cs="Arial"/>
          <w:sz w:val="22"/>
          <w:szCs w:val="22"/>
        </w:rPr>
        <w:t>f</w:t>
      </w:r>
      <w:r w:rsidR="0004090E">
        <w:rPr>
          <w:rFonts w:ascii="Arial" w:hAnsi="Arial" w:cs="Arial"/>
          <w:sz w:val="22"/>
          <w:szCs w:val="22"/>
        </w:rPr>
        <w:t>s</w:t>
      </w:r>
      <w:r w:rsidR="00C941C5">
        <w:rPr>
          <w:rFonts w:ascii="Arial" w:hAnsi="Arial" w:cs="Arial"/>
          <w:sz w:val="22"/>
          <w:szCs w:val="22"/>
        </w:rPr>
        <w:t xml:space="preserve"> claimed that </w:t>
      </w:r>
      <w:r>
        <w:rPr>
          <w:rFonts w:ascii="Arial" w:hAnsi="Arial" w:cs="Arial"/>
          <w:sz w:val="22"/>
          <w:szCs w:val="22"/>
        </w:rPr>
        <w:t>t</w:t>
      </w:r>
      <w:r w:rsidR="00C941C5">
        <w:rPr>
          <w:rFonts w:ascii="Arial" w:hAnsi="Arial" w:cs="Arial"/>
          <w:sz w:val="22"/>
          <w:szCs w:val="22"/>
        </w:rPr>
        <w:t>heir</w:t>
      </w:r>
      <w:r>
        <w:rPr>
          <w:rFonts w:ascii="Arial" w:hAnsi="Arial" w:cs="Arial"/>
          <w:sz w:val="22"/>
          <w:szCs w:val="22"/>
        </w:rPr>
        <w:t xml:space="preserve"> case remained undisputed, more particularly that:</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(i)</w:t>
      </w:r>
      <w:r>
        <w:rPr>
          <w:rFonts w:ascii="Arial" w:hAnsi="Arial" w:cs="Arial"/>
          <w:sz w:val="22"/>
          <w:szCs w:val="22"/>
        </w:rPr>
        <w:tab/>
        <w:t>the monthly rental was due and payable;</w:t>
      </w:r>
    </w:p>
    <w:p w:rsidR="00712E6E" w:rsidRDefault="00A21DAE" w:rsidP="00712E6E">
      <w:pPr>
        <w:spacing w:line="480" w:lineRule="auto"/>
        <w:ind w:left="720" w:hanging="720"/>
        <w:jc w:val="both"/>
        <w:rPr>
          <w:rFonts w:ascii="Arial" w:hAnsi="Arial" w:cs="Arial"/>
          <w:sz w:val="22"/>
          <w:szCs w:val="22"/>
        </w:rPr>
      </w:pPr>
      <w:r>
        <w:rPr>
          <w:rFonts w:ascii="Arial" w:hAnsi="Arial" w:cs="Arial"/>
          <w:sz w:val="22"/>
          <w:szCs w:val="22"/>
        </w:rPr>
        <w:tab/>
        <w:t>(ii)</w:t>
      </w:r>
      <w:r>
        <w:rPr>
          <w:rFonts w:ascii="Arial" w:hAnsi="Arial" w:cs="Arial"/>
          <w:sz w:val="22"/>
          <w:szCs w:val="22"/>
        </w:rPr>
        <w:tab/>
      </w:r>
      <w:r w:rsidR="00712E6E">
        <w:rPr>
          <w:rFonts w:ascii="Arial" w:hAnsi="Arial" w:cs="Arial"/>
          <w:sz w:val="22"/>
          <w:szCs w:val="22"/>
        </w:rPr>
        <w:t>the equipment</w:t>
      </w:r>
      <w:r>
        <w:rPr>
          <w:rFonts w:ascii="Arial" w:hAnsi="Arial" w:cs="Arial"/>
          <w:sz w:val="22"/>
          <w:szCs w:val="22"/>
        </w:rPr>
        <w:t xml:space="preserve"> was delivered</w:t>
      </w:r>
      <w:r w:rsidR="00712E6E">
        <w:rPr>
          <w:rFonts w:ascii="Arial" w:hAnsi="Arial" w:cs="Arial"/>
          <w:sz w:val="22"/>
          <w:szCs w:val="22"/>
        </w:rPr>
        <w:t>;</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(iii)</w:t>
      </w:r>
      <w:r>
        <w:rPr>
          <w:rFonts w:ascii="Arial" w:hAnsi="Arial" w:cs="Arial"/>
          <w:sz w:val="22"/>
          <w:szCs w:val="22"/>
        </w:rPr>
        <w:tab/>
        <w:t>the</w:t>
      </w:r>
      <w:r w:rsidR="00A21DAE">
        <w:rPr>
          <w:rFonts w:ascii="Arial" w:hAnsi="Arial" w:cs="Arial"/>
          <w:sz w:val="22"/>
          <w:szCs w:val="22"/>
        </w:rPr>
        <w:t xml:space="preserve"> second and third defendants signed as </w:t>
      </w:r>
      <w:r>
        <w:rPr>
          <w:rFonts w:ascii="Arial" w:hAnsi="Arial" w:cs="Arial"/>
          <w:sz w:val="22"/>
          <w:szCs w:val="22"/>
        </w:rPr>
        <w:t xml:space="preserve">guarantors and co-principal </w:t>
      </w:r>
      <w:r w:rsidR="00D77EE6">
        <w:rPr>
          <w:rFonts w:ascii="Arial" w:hAnsi="Arial" w:cs="Arial"/>
          <w:sz w:val="22"/>
          <w:szCs w:val="22"/>
        </w:rPr>
        <w:tab/>
      </w:r>
      <w:r>
        <w:rPr>
          <w:rFonts w:ascii="Arial" w:hAnsi="Arial" w:cs="Arial"/>
          <w:sz w:val="22"/>
          <w:szCs w:val="22"/>
        </w:rPr>
        <w:t>debtors</w:t>
      </w:r>
      <w:r w:rsidR="00A21DAE">
        <w:rPr>
          <w:rFonts w:ascii="Arial" w:hAnsi="Arial" w:cs="Arial"/>
          <w:sz w:val="22"/>
          <w:szCs w:val="22"/>
        </w:rPr>
        <w:t xml:space="preserve"> to the agreement</w:t>
      </w:r>
      <w:r>
        <w:rPr>
          <w:rFonts w:ascii="Arial" w:hAnsi="Arial" w:cs="Arial"/>
          <w:sz w:val="22"/>
          <w:szCs w:val="22"/>
        </w:rPr>
        <w:t>;</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(iv)</w:t>
      </w:r>
      <w:r>
        <w:rPr>
          <w:rFonts w:ascii="Arial" w:hAnsi="Arial" w:cs="Arial"/>
          <w:sz w:val="22"/>
          <w:szCs w:val="22"/>
        </w:rPr>
        <w:tab/>
      </w:r>
      <w:r w:rsidR="00A21DAE">
        <w:rPr>
          <w:rFonts w:ascii="Arial" w:hAnsi="Arial" w:cs="Arial"/>
          <w:sz w:val="22"/>
          <w:szCs w:val="22"/>
        </w:rPr>
        <w:t xml:space="preserve">there was a </w:t>
      </w:r>
      <w:r>
        <w:rPr>
          <w:rFonts w:ascii="Arial" w:hAnsi="Arial" w:cs="Arial"/>
          <w:sz w:val="22"/>
          <w:szCs w:val="22"/>
        </w:rPr>
        <w:t>cession of rights; and</w:t>
      </w:r>
    </w:p>
    <w:p w:rsidR="00712E6E" w:rsidRDefault="00A21DAE" w:rsidP="00712E6E">
      <w:pPr>
        <w:spacing w:line="480" w:lineRule="auto"/>
        <w:ind w:left="720" w:hanging="720"/>
        <w:jc w:val="both"/>
        <w:rPr>
          <w:rFonts w:ascii="Arial" w:hAnsi="Arial" w:cs="Arial"/>
          <w:sz w:val="22"/>
          <w:szCs w:val="22"/>
        </w:rPr>
      </w:pPr>
      <w:r>
        <w:rPr>
          <w:rFonts w:ascii="Arial" w:hAnsi="Arial" w:cs="Arial"/>
          <w:sz w:val="22"/>
          <w:szCs w:val="22"/>
        </w:rPr>
        <w:tab/>
        <w:t>(v)</w:t>
      </w:r>
      <w:r>
        <w:rPr>
          <w:rFonts w:ascii="Arial" w:hAnsi="Arial" w:cs="Arial"/>
          <w:sz w:val="22"/>
          <w:szCs w:val="22"/>
        </w:rPr>
        <w:tab/>
      </w:r>
      <w:r w:rsidR="00712E6E">
        <w:rPr>
          <w:rFonts w:ascii="Arial" w:hAnsi="Arial" w:cs="Arial"/>
          <w:sz w:val="22"/>
          <w:szCs w:val="22"/>
        </w:rPr>
        <w:t>the rental agreement</w:t>
      </w:r>
      <w:r>
        <w:rPr>
          <w:rFonts w:ascii="Arial" w:hAnsi="Arial" w:cs="Arial"/>
          <w:sz w:val="22"/>
          <w:szCs w:val="22"/>
        </w:rPr>
        <w:t xml:space="preserve"> was breached</w:t>
      </w:r>
      <w:r w:rsidR="00712E6E">
        <w:rPr>
          <w:rFonts w:ascii="Arial" w:hAnsi="Arial" w:cs="Arial"/>
          <w:sz w:val="22"/>
          <w:szCs w:val="22"/>
        </w:rPr>
        <w:t>.</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[1</w:t>
      </w:r>
      <w:r w:rsidR="001706BF">
        <w:rPr>
          <w:rFonts w:ascii="Arial" w:hAnsi="Arial" w:cs="Arial"/>
          <w:sz w:val="22"/>
          <w:szCs w:val="22"/>
        </w:rPr>
        <w:t>3</w:t>
      </w:r>
      <w:r>
        <w:rPr>
          <w:rFonts w:ascii="Arial" w:hAnsi="Arial" w:cs="Arial"/>
          <w:sz w:val="22"/>
          <w:szCs w:val="22"/>
        </w:rPr>
        <w:t>]</w:t>
      </w:r>
      <w:r>
        <w:rPr>
          <w:rFonts w:ascii="Arial" w:hAnsi="Arial" w:cs="Arial"/>
          <w:sz w:val="22"/>
          <w:szCs w:val="22"/>
        </w:rPr>
        <w:tab/>
        <w:t>In paragraphs 7 to 10 of the particulars of claim, the plaintiff</w:t>
      </w:r>
      <w:r w:rsidR="00C941C5">
        <w:rPr>
          <w:rFonts w:ascii="Arial" w:hAnsi="Arial" w:cs="Arial"/>
          <w:sz w:val="22"/>
          <w:szCs w:val="22"/>
        </w:rPr>
        <w:t>s</w:t>
      </w:r>
      <w:r>
        <w:rPr>
          <w:rFonts w:ascii="Arial" w:hAnsi="Arial" w:cs="Arial"/>
          <w:sz w:val="22"/>
          <w:szCs w:val="22"/>
        </w:rPr>
        <w:t xml:space="preserve"> sought rectification </w:t>
      </w:r>
      <w:r w:rsidR="00A21DAE">
        <w:rPr>
          <w:rFonts w:ascii="Arial" w:hAnsi="Arial" w:cs="Arial"/>
          <w:sz w:val="22"/>
          <w:szCs w:val="22"/>
        </w:rPr>
        <w:t xml:space="preserve">in that </w:t>
      </w:r>
      <w:r>
        <w:rPr>
          <w:rFonts w:ascii="Arial" w:hAnsi="Arial" w:cs="Arial"/>
          <w:sz w:val="22"/>
          <w:szCs w:val="22"/>
        </w:rPr>
        <w:t xml:space="preserve">the </w:t>
      </w:r>
      <w:r w:rsidR="00A21DAE">
        <w:rPr>
          <w:rFonts w:ascii="Arial" w:hAnsi="Arial" w:cs="Arial"/>
          <w:sz w:val="22"/>
          <w:szCs w:val="22"/>
        </w:rPr>
        <w:t>name of the “user”</w:t>
      </w:r>
      <w:r>
        <w:rPr>
          <w:rFonts w:ascii="Arial" w:hAnsi="Arial" w:cs="Arial"/>
          <w:sz w:val="22"/>
          <w:szCs w:val="22"/>
        </w:rPr>
        <w:t xml:space="preserve"> should have been the first defendant and not the third defendant.  The plaintiff submitted that due to a common error, the name of the third defendant, Cellsecure Holdings (Pty) Ltd was recorded.   </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[1</w:t>
      </w:r>
      <w:r w:rsidR="001706BF">
        <w:rPr>
          <w:rFonts w:ascii="Arial" w:hAnsi="Arial" w:cs="Arial"/>
          <w:sz w:val="22"/>
          <w:szCs w:val="22"/>
        </w:rPr>
        <w:t>4</w:t>
      </w:r>
      <w:r>
        <w:rPr>
          <w:rFonts w:ascii="Arial" w:hAnsi="Arial" w:cs="Arial"/>
          <w:sz w:val="22"/>
          <w:szCs w:val="22"/>
        </w:rPr>
        <w:t>]</w:t>
      </w:r>
      <w:r>
        <w:rPr>
          <w:rFonts w:ascii="Arial" w:hAnsi="Arial" w:cs="Arial"/>
          <w:sz w:val="22"/>
          <w:szCs w:val="22"/>
        </w:rPr>
        <w:tab/>
        <w:t>The following was pleaded:</w:t>
      </w:r>
    </w:p>
    <w:p w:rsidR="00712E6E"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sidRPr="005F7762">
        <w:rPr>
          <w:rFonts w:ascii="Arial" w:hAnsi="Arial" w:cs="Arial"/>
          <w:i/>
          <w:sz w:val="22"/>
          <w:szCs w:val="22"/>
        </w:rPr>
        <w:t>“</w:t>
      </w:r>
      <w:r>
        <w:rPr>
          <w:rFonts w:ascii="Arial" w:hAnsi="Arial" w:cs="Arial"/>
          <w:i/>
          <w:sz w:val="22"/>
          <w:szCs w:val="22"/>
        </w:rPr>
        <w:t>7.</w:t>
      </w:r>
      <w:r>
        <w:rPr>
          <w:rFonts w:ascii="Arial" w:hAnsi="Arial" w:cs="Arial"/>
          <w:i/>
          <w:sz w:val="22"/>
          <w:szCs w:val="22"/>
        </w:rPr>
        <w:tab/>
      </w:r>
      <w:r w:rsidRPr="005F7762">
        <w:rPr>
          <w:rFonts w:ascii="Arial" w:hAnsi="Arial" w:cs="Arial"/>
          <w:i/>
          <w:sz w:val="22"/>
          <w:szCs w:val="22"/>
        </w:rPr>
        <w:t xml:space="preserve">On or about 18 July 2018 and at Midrand, Alternative Rental Solutions (Pty) </w:t>
      </w:r>
      <w:r>
        <w:rPr>
          <w:rFonts w:ascii="Arial" w:hAnsi="Arial" w:cs="Arial"/>
          <w:i/>
          <w:sz w:val="22"/>
          <w:szCs w:val="22"/>
        </w:rPr>
        <w:tab/>
      </w:r>
      <w:r w:rsidRPr="005F7762">
        <w:rPr>
          <w:rFonts w:ascii="Arial" w:hAnsi="Arial" w:cs="Arial"/>
          <w:i/>
          <w:sz w:val="22"/>
          <w:szCs w:val="22"/>
        </w:rPr>
        <w:t xml:space="preserve">Ltd (previously known as TBI Asset Rentals (Pty) Ltd and before that as 1973 </w:t>
      </w:r>
      <w:r>
        <w:rPr>
          <w:rFonts w:ascii="Arial" w:hAnsi="Arial" w:cs="Arial"/>
          <w:i/>
          <w:sz w:val="22"/>
          <w:szCs w:val="22"/>
        </w:rPr>
        <w:tab/>
      </w:r>
      <w:r w:rsidRPr="005F7762">
        <w:rPr>
          <w:rFonts w:ascii="Arial" w:hAnsi="Arial" w:cs="Arial"/>
          <w:i/>
          <w:sz w:val="22"/>
          <w:szCs w:val="22"/>
        </w:rPr>
        <w:t xml:space="preserve">ARS (Pty) Ltd with registration number 2017/481700/07 (hereinafter referred </w:t>
      </w:r>
      <w:r>
        <w:rPr>
          <w:rFonts w:ascii="Arial" w:hAnsi="Arial" w:cs="Arial"/>
          <w:i/>
          <w:sz w:val="22"/>
          <w:szCs w:val="22"/>
        </w:rPr>
        <w:tab/>
      </w:r>
      <w:r w:rsidRPr="005F7762">
        <w:rPr>
          <w:rFonts w:ascii="Arial" w:hAnsi="Arial" w:cs="Arial"/>
          <w:i/>
          <w:sz w:val="22"/>
          <w:szCs w:val="22"/>
        </w:rPr>
        <w:t xml:space="preserve">to as “the hirer”) and the first defendant, both parties represented by duly </w:t>
      </w:r>
      <w:r>
        <w:rPr>
          <w:rFonts w:ascii="Arial" w:hAnsi="Arial" w:cs="Arial"/>
          <w:i/>
          <w:sz w:val="22"/>
          <w:szCs w:val="22"/>
        </w:rPr>
        <w:tab/>
      </w:r>
      <w:r w:rsidRPr="005F7762">
        <w:rPr>
          <w:rFonts w:ascii="Arial" w:hAnsi="Arial" w:cs="Arial"/>
          <w:i/>
          <w:sz w:val="22"/>
          <w:szCs w:val="22"/>
        </w:rPr>
        <w:t xml:space="preserve">authorised persons, entered into a written rental agreement (“the rental </w:t>
      </w:r>
      <w:r>
        <w:rPr>
          <w:rFonts w:ascii="Arial" w:hAnsi="Arial" w:cs="Arial"/>
          <w:i/>
          <w:sz w:val="22"/>
          <w:szCs w:val="22"/>
        </w:rPr>
        <w:tab/>
      </w:r>
      <w:r w:rsidRPr="005F7762">
        <w:rPr>
          <w:rFonts w:ascii="Arial" w:hAnsi="Arial" w:cs="Arial"/>
          <w:i/>
          <w:sz w:val="22"/>
          <w:szCs w:val="22"/>
        </w:rPr>
        <w:t xml:space="preserve">agreement”), a copy whereof is annexed as Annexure ‘A1’, the terms thereof </w:t>
      </w:r>
      <w:r>
        <w:rPr>
          <w:rFonts w:ascii="Arial" w:hAnsi="Arial" w:cs="Arial"/>
          <w:i/>
          <w:sz w:val="22"/>
          <w:szCs w:val="22"/>
        </w:rPr>
        <w:tab/>
      </w:r>
      <w:r w:rsidRPr="005F7762">
        <w:rPr>
          <w:rFonts w:ascii="Arial" w:hAnsi="Arial" w:cs="Arial"/>
          <w:i/>
          <w:sz w:val="22"/>
          <w:szCs w:val="22"/>
        </w:rPr>
        <w:t xml:space="preserve">to be incorporated herein by reference.  </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lastRenderedPageBreak/>
        <w:tab/>
        <w:t>8.</w:t>
      </w:r>
      <w:r>
        <w:rPr>
          <w:rFonts w:ascii="Arial" w:hAnsi="Arial" w:cs="Arial"/>
          <w:i/>
          <w:sz w:val="22"/>
          <w:szCs w:val="22"/>
        </w:rPr>
        <w:tab/>
        <w:t xml:space="preserve">The rental schedule to the rental agreement does not record the correct </w:t>
      </w:r>
      <w:r>
        <w:rPr>
          <w:rFonts w:ascii="Arial" w:hAnsi="Arial" w:cs="Arial"/>
          <w:i/>
          <w:sz w:val="22"/>
          <w:szCs w:val="22"/>
        </w:rPr>
        <w:tab/>
        <w:t xml:space="preserve">agreement between the parties, in that the first defendant is incorrectly </w:t>
      </w:r>
      <w:r>
        <w:rPr>
          <w:rFonts w:ascii="Arial" w:hAnsi="Arial" w:cs="Arial"/>
          <w:i/>
          <w:sz w:val="22"/>
          <w:szCs w:val="22"/>
        </w:rPr>
        <w:tab/>
        <w:t>recorded.</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tab/>
        <w:t>9.</w:t>
      </w:r>
      <w:r>
        <w:rPr>
          <w:rFonts w:ascii="Arial" w:hAnsi="Arial" w:cs="Arial"/>
          <w:i/>
          <w:sz w:val="22"/>
          <w:szCs w:val="22"/>
        </w:rPr>
        <w:tab/>
        <w:t xml:space="preserve">The rental schedule recorded Cellsecure Holdings (Pty) Ltd – 2001/007287/07 </w:t>
      </w:r>
      <w:r>
        <w:rPr>
          <w:rFonts w:ascii="Arial" w:hAnsi="Arial" w:cs="Arial"/>
          <w:i/>
          <w:sz w:val="22"/>
          <w:szCs w:val="22"/>
        </w:rPr>
        <w:tab/>
        <w:t xml:space="preserve">as a user where it should have recorded Cellsecure Monitoring and Response </w:t>
      </w:r>
      <w:r>
        <w:rPr>
          <w:rFonts w:ascii="Arial" w:hAnsi="Arial" w:cs="Arial"/>
          <w:i/>
          <w:sz w:val="22"/>
          <w:szCs w:val="22"/>
        </w:rPr>
        <w:tab/>
        <w:t>(Pty) Ltd – 1999/020357/07 as the user.</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tab/>
        <w:t>10.</w:t>
      </w:r>
      <w:r>
        <w:rPr>
          <w:rFonts w:ascii="Arial" w:hAnsi="Arial" w:cs="Arial"/>
          <w:i/>
          <w:sz w:val="22"/>
          <w:szCs w:val="22"/>
        </w:rPr>
        <w:tab/>
        <w:t xml:space="preserve">The failure to correctly record the first defendant on the rental schedule to the </w:t>
      </w:r>
      <w:r>
        <w:rPr>
          <w:rFonts w:ascii="Arial" w:hAnsi="Arial" w:cs="Arial"/>
          <w:i/>
          <w:sz w:val="22"/>
          <w:szCs w:val="22"/>
        </w:rPr>
        <w:tab/>
        <w:t xml:space="preserve">rental agreement was occasioned by a common error between the parties and </w:t>
      </w:r>
      <w:r>
        <w:rPr>
          <w:rFonts w:ascii="Arial" w:hAnsi="Arial" w:cs="Arial"/>
          <w:i/>
          <w:sz w:val="22"/>
          <w:szCs w:val="22"/>
        </w:rPr>
        <w:tab/>
        <w:t xml:space="preserve">the parties concluded the rental agreement in a bona fide but mistaken belief </w:t>
      </w:r>
      <w:r>
        <w:rPr>
          <w:rFonts w:ascii="Arial" w:hAnsi="Arial" w:cs="Arial"/>
          <w:i/>
          <w:sz w:val="22"/>
          <w:szCs w:val="22"/>
        </w:rPr>
        <w:tab/>
        <w:t>that it recorded the correct agreement between the parties.”</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tab/>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[1</w:t>
      </w:r>
      <w:r w:rsidR="001706BF">
        <w:rPr>
          <w:rFonts w:ascii="Arial" w:hAnsi="Arial" w:cs="Arial"/>
          <w:sz w:val="22"/>
          <w:szCs w:val="22"/>
        </w:rPr>
        <w:t>5</w:t>
      </w:r>
      <w:r>
        <w:rPr>
          <w:rFonts w:ascii="Arial" w:hAnsi="Arial" w:cs="Arial"/>
          <w:sz w:val="22"/>
          <w:szCs w:val="22"/>
        </w:rPr>
        <w:t>]</w:t>
      </w:r>
      <w:r>
        <w:rPr>
          <w:rFonts w:ascii="Arial" w:hAnsi="Arial" w:cs="Arial"/>
          <w:sz w:val="22"/>
          <w:szCs w:val="22"/>
        </w:rPr>
        <w:tab/>
        <w:t>The defendants’ response to the said paragraphs was:</w:t>
      </w:r>
    </w:p>
    <w:p w:rsidR="00712E6E" w:rsidRPr="00E95AD1" w:rsidRDefault="00712E6E" w:rsidP="00712E6E">
      <w:pPr>
        <w:spacing w:line="480" w:lineRule="auto"/>
        <w:ind w:left="720" w:hanging="720"/>
        <w:jc w:val="both"/>
        <w:rPr>
          <w:rFonts w:ascii="Arial" w:hAnsi="Arial" w:cs="Arial"/>
          <w:sz w:val="22"/>
          <w:szCs w:val="22"/>
        </w:rPr>
      </w:pPr>
      <w:r>
        <w:rPr>
          <w:rFonts w:ascii="Arial" w:hAnsi="Arial" w:cs="Arial"/>
          <w:sz w:val="22"/>
          <w:szCs w:val="22"/>
        </w:rPr>
        <w:tab/>
      </w:r>
      <w:r>
        <w:rPr>
          <w:rFonts w:ascii="Arial" w:hAnsi="Arial" w:cs="Arial"/>
          <w:i/>
          <w:sz w:val="22"/>
          <w:szCs w:val="22"/>
        </w:rPr>
        <w:t>“Save to admit that the first defendant attended to the signing of the document purporting to be a rental agreement, the balance of this paragraph is denied and the defendants put the plaintiffs to the proof thereof.”</w:t>
      </w:r>
      <w:r>
        <w:rPr>
          <w:rFonts w:ascii="Arial" w:hAnsi="Arial" w:cs="Arial"/>
          <w:sz w:val="22"/>
          <w:szCs w:val="22"/>
        </w:rPr>
        <w:t xml:space="preserve"> (Paragraph 4 of the plea).</w:t>
      </w:r>
    </w:p>
    <w:p w:rsidR="00712E6E" w:rsidRDefault="00712E6E" w:rsidP="00712E6E">
      <w:pPr>
        <w:spacing w:line="480" w:lineRule="auto"/>
        <w:ind w:left="720" w:hanging="720"/>
        <w:jc w:val="both"/>
        <w:rPr>
          <w:rFonts w:ascii="Arial" w:hAnsi="Arial" w:cs="Arial"/>
          <w:sz w:val="22"/>
          <w:szCs w:val="22"/>
        </w:rPr>
      </w:pPr>
      <w:r>
        <w:rPr>
          <w:rFonts w:ascii="Arial" w:hAnsi="Arial" w:cs="Arial"/>
          <w:i/>
          <w:sz w:val="22"/>
          <w:szCs w:val="22"/>
        </w:rPr>
        <w:tab/>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[1</w:t>
      </w:r>
      <w:r w:rsidR="001706BF">
        <w:rPr>
          <w:rFonts w:ascii="Arial" w:hAnsi="Arial" w:cs="Arial"/>
          <w:sz w:val="22"/>
          <w:szCs w:val="22"/>
        </w:rPr>
        <w:t>6</w:t>
      </w:r>
      <w:r>
        <w:rPr>
          <w:rFonts w:ascii="Arial" w:hAnsi="Arial" w:cs="Arial"/>
          <w:sz w:val="22"/>
          <w:szCs w:val="22"/>
        </w:rPr>
        <w:t>]</w:t>
      </w:r>
      <w:r>
        <w:rPr>
          <w:rFonts w:ascii="Arial" w:hAnsi="Arial" w:cs="Arial"/>
          <w:sz w:val="22"/>
          <w:szCs w:val="22"/>
        </w:rPr>
        <w:tab/>
        <w:t xml:space="preserve">Further at paragraphs 12 and 13, the plaintiff pleaded that the rental equipment was delivered and the rental amounts were due and payable: </w:t>
      </w:r>
    </w:p>
    <w:p w:rsidR="00712E6E"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Pr>
          <w:rFonts w:ascii="Arial" w:hAnsi="Arial" w:cs="Arial"/>
          <w:i/>
          <w:sz w:val="22"/>
          <w:szCs w:val="22"/>
        </w:rPr>
        <w:t>“12.</w:t>
      </w:r>
      <w:r>
        <w:rPr>
          <w:rFonts w:ascii="Arial" w:hAnsi="Arial" w:cs="Arial"/>
          <w:i/>
          <w:sz w:val="22"/>
          <w:szCs w:val="22"/>
        </w:rPr>
        <w:tab/>
        <w:t xml:space="preserve">The first defendant would pay rentals to the hirer of R107,815.62 plus VAT per </w:t>
      </w:r>
      <w:r>
        <w:rPr>
          <w:rFonts w:ascii="Arial" w:hAnsi="Arial" w:cs="Arial"/>
          <w:i/>
          <w:sz w:val="22"/>
          <w:szCs w:val="22"/>
        </w:rPr>
        <w:tab/>
        <w:t xml:space="preserve">month, commencing on the date as defined in the rental agreement and </w:t>
      </w:r>
      <w:r>
        <w:rPr>
          <w:rFonts w:ascii="Arial" w:hAnsi="Arial" w:cs="Arial"/>
          <w:i/>
          <w:sz w:val="22"/>
          <w:szCs w:val="22"/>
        </w:rPr>
        <w:tab/>
        <w:t xml:space="preserve">thereafter on the same day of each succeeding month.  The first defendant </w:t>
      </w:r>
      <w:r>
        <w:rPr>
          <w:rFonts w:ascii="Arial" w:hAnsi="Arial" w:cs="Arial"/>
          <w:i/>
          <w:sz w:val="22"/>
          <w:szCs w:val="22"/>
        </w:rPr>
        <w:tab/>
        <w:t xml:space="preserve">acknowledged that the equipment had been delivered and installed in </w:t>
      </w:r>
      <w:r>
        <w:rPr>
          <w:rFonts w:ascii="Arial" w:hAnsi="Arial" w:cs="Arial"/>
          <w:i/>
          <w:sz w:val="22"/>
          <w:szCs w:val="22"/>
        </w:rPr>
        <w:tab/>
        <w:t>accordance with the terms and conditions of the rental agreement.</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tab/>
        <w:t>13.</w:t>
      </w:r>
      <w:r>
        <w:rPr>
          <w:rFonts w:ascii="Arial" w:hAnsi="Arial" w:cs="Arial"/>
          <w:i/>
          <w:sz w:val="22"/>
          <w:szCs w:val="22"/>
        </w:rPr>
        <w:tab/>
        <w:t xml:space="preserve">The hirer accordingly complied with all its obligations in terms of the rental </w:t>
      </w:r>
      <w:r>
        <w:rPr>
          <w:rFonts w:ascii="Arial" w:hAnsi="Arial" w:cs="Arial"/>
          <w:i/>
          <w:sz w:val="22"/>
          <w:szCs w:val="22"/>
        </w:rPr>
        <w:tab/>
        <w:t xml:space="preserve">agreement.  The certificate of acceptance signed by the first defendant is </w:t>
      </w:r>
      <w:r>
        <w:rPr>
          <w:rFonts w:ascii="Arial" w:hAnsi="Arial" w:cs="Arial"/>
          <w:i/>
          <w:sz w:val="22"/>
          <w:szCs w:val="22"/>
        </w:rPr>
        <w:tab/>
        <w:t>annexed hereto and marked Annexure ‘A2’ thereto.”</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lastRenderedPageBreak/>
        <w:tab/>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[1</w:t>
      </w:r>
      <w:r w:rsidR="001706BF">
        <w:rPr>
          <w:rFonts w:ascii="Arial" w:hAnsi="Arial" w:cs="Arial"/>
          <w:sz w:val="22"/>
          <w:szCs w:val="22"/>
        </w:rPr>
        <w:t>7</w:t>
      </w:r>
      <w:r>
        <w:rPr>
          <w:rFonts w:ascii="Arial" w:hAnsi="Arial" w:cs="Arial"/>
          <w:sz w:val="22"/>
          <w:szCs w:val="22"/>
        </w:rPr>
        <w:t>]</w:t>
      </w:r>
      <w:r>
        <w:rPr>
          <w:rFonts w:ascii="Arial" w:hAnsi="Arial" w:cs="Arial"/>
          <w:sz w:val="22"/>
          <w:szCs w:val="22"/>
        </w:rPr>
        <w:tab/>
        <w:t xml:space="preserve">The defendant’s response </w:t>
      </w:r>
      <w:r w:rsidR="0004090E">
        <w:rPr>
          <w:rFonts w:ascii="Arial" w:hAnsi="Arial" w:cs="Arial"/>
          <w:sz w:val="22"/>
          <w:szCs w:val="22"/>
        </w:rPr>
        <w:t xml:space="preserve">thereto </w:t>
      </w:r>
      <w:r>
        <w:rPr>
          <w:rFonts w:ascii="Arial" w:hAnsi="Arial" w:cs="Arial"/>
          <w:sz w:val="22"/>
          <w:szCs w:val="22"/>
        </w:rPr>
        <w:t>constitutes a b</w:t>
      </w:r>
      <w:r w:rsidR="0004090E">
        <w:rPr>
          <w:rFonts w:ascii="Arial" w:hAnsi="Arial" w:cs="Arial"/>
          <w:sz w:val="22"/>
          <w:szCs w:val="22"/>
        </w:rPr>
        <w:t>are denial.  At paragraph 5 it wa</w:t>
      </w:r>
      <w:r>
        <w:rPr>
          <w:rFonts w:ascii="Arial" w:hAnsi="Arial" w:cs="Arial"/>
          <w:sz w:val="22"/>
          <w:szCs w:val="22"/>
        </w:rPr>
        <w:t>s pleaded:</w:t>
      </w:r>
    </w:p>
    <w:p w:rsidR="00712E6E"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Pr>
          <w:rFonts w:ascii="Arial" w:hAnsi="Arial" w:cs="Arial"/>
          <w:i/>
          <w:sz w:val="22"/>
          <w:szCs w:val="22"/>
        </w:rPr>
        <w:t>“5.</w:t>
      </w:r>
      <w:r>
        <w:rPr>
          <w:rFonts w:ascii="Arial" w:hAnsi="Arial" w:cs="Arial"/>
          <w:i/>
          <w:sz w:val="22"/>
          <w:szCs w:val="22"/>
        </w:rPr>
        <w:tab/>
        <w:t>The allegations are denied.”</w:t>
      </w:r>
    </w:p>
    <w:p w:rsidR="00712E6E" w:rsidRDefault="00712E6E" w:rsidP="00712E6E">
      <w:pPr>
        <w:spacing w:line="480" w:lineRule="auto"/>
        <w:ind w:left="720" w:hanging="720"/>
        <w:jc w:val="both"/>
        <w:rPr>
          <w:rFonts w:ascii="Arial" w:hAnsi="Arial" w:cs="Arial"/>
          <w:i/>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[1</w:t>
      </w:r>
      <w:r w:rsidR="001706BF">
        <w:rPr>
          <w:rFonts w:ascii="Arial" w:hAnsi="Arial" w:cs="Arial"/>
          <w:sz w:val="22"/>
          <w:szCs w:val="22"/>
        </w:rPr>
        <w:t>8</w:t>
      </w:r>
      <w:r>
        <w:rPr>
          <w:rFonts w:ascii="Arial" w:hAnsi="Arial" w:cs="Arial"/>
          <w:sz w:val="22"/>
          <w:szCs w:val="22"/>
        </w:rPr>
        <w:t>]</w:t>
      </w:r>
      <w:r>
        <w:rPr>
          <w:rFonts w:ascii="Arial" w:hAnsi="Arial" w:cs="Arial"/>
          <w:sz w:val="22"/>
          <w:szCs w:val="22"/>
        </w:rPr>
        <w:tab/>
        <w:t>At paragraphs 15 to 17, the plaintiff</w:t>
      </w:r>
      <w:r w:rsidR="00C941C5">
        <w:rPr>
          <w:rFonts w:ascii="Arial" w:hAnsi="Arial" w:cs="Arial"/>
          <w:sz w:val="22"/>
          <w:szCs w:val="22"/>
        </w:rPr>
        <w:t>s</w:t>
      </w:r>
      <w:r>
        <w:rPr>
          <w:rFonts w:ascii="Arial" w:hAnsi="Arial" w:cs="Arial"/>
          <w:sz w:val="22"/>
          <w:szCs w:val="22"/>
        </w:rPr>
        <w:t xml:space="preserve"> pleaded that the second and third defendants bound themselves as guarantors</w:t>
      </w:r>
      <w:r w:rsidR="00A21DAE">
        <w:rPr>
          <w:rFonts w:ascii="Arial" w:hAnsi="Arial" w:cs="Arial"/>
          <w:sz w:val="22"/>
          <w:szCs w:val="22"/>
        </w:rPr>
        <w:t>.  T</w:t>
      </w:r>
      <w:r>
        <w:rPr>
          <w:rFonts w:ascii="Arial" w:hAnsi="Arial" w:cs="Arial"/>
          <w:sz w:val="22"/>
          <w:szCs w:val="22"/>
        </w:rPr>
        <w:t>he defendants’ response thereto was again a bare denial.</w:t>
      </w:r>
      <w:r w:rsidR="00A21DAE">
        <w:rPr>
          <w:rFonts w:ascii="Arial" w:hAnsi="Arial" w:cs="Arial"/>
          <w:sz w:val="22"/>
          <w:szCs w:val="22"/>
        </w:rPr>
        <w:t xml:space="preserve">  </w:t>
      </w:r>
      <w:r>
        <w:rPr>
          <w:rFonts w:ascii="Arial" w:hAnsi="Arial" w:cs="Arial"/>
          <w:sz w:val="22"/>
          <w:szCs w:val="22"/>
        </w:rPr>
        <w:t xml:space="preserve">The same response was furnished regarding the cessions which the plaintiff pleaded in paragraphs 18 to 25 in its particulars of claim.  </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[19]</w:t>
      </w:r>
      <w:r>
        <w:rPr>
          <w:rFonts w:ascii="Arial" w:hAnsi="Arial" w:cs="Arial"/>
          <w:sz w:val="22"/>
          <w:szCs w:val="22"/>
        </w:rPr>
        <w:tab/>
        <w:t>On the issue of the amount due and payable</w:t>
      </w:r>
      <w:r w:rsidR="00A21DAE">
        <w:rPr>
          <w:rFonts w:ascii="Arial" w:hAnsi="Arial" w:cs="Arial"/>
          <w:sz w:val="22"/>
          <w:szCs w:val="22"/>
        </w:rPr>
        <w:t xml:space="preserve"> </w:t>
      </w:r>
      <w:r>
        <w:rPr>
          <w:rFonts w:ascii="Arial" w:hAnsi="Arial" w:cs="Arial"/>
          <w:sz w:val="22"/>
          <w:szCs w:val="22"/>
        </w:rPr>
        <w:t>the plaintiffs pleaded</w:t>
      </w:r>
      <w:r w:rsidR="00A21DAE">
        <w:rPr>
          <w:rFonts w:ascii="Arial" w:hAnsi="Arial" w:cs="Arial"/>
          <w:sz w:val="22"/>
          <w:szCs w:val="22"/>
        </w:rPr>
        <w:t xml:space="preserve"> at paragraphs 30 to 34</w:t>
      </w:r>
      <w:r>
        <w:rPr>
          <w:rFonts w:ascii="Arial" w:hAnsi="Arial" w:cs="Arial"/>
          <w:sz w:val="22"/>
          <w:szCs w:val="22"/>
        </w:rPr>
        <w:t>:</w:t>
      </w:r>
    </w:p>
    <w:p w:rsidR="00712E6E"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Pr>
          <w:rFonts w:ascii="Arial" w:hAnsi="Arial" w:cs="Arial"/>
          <w:i/>
          <w:sz w:val="22"/>
          <w:szCs w:val="22"/>
        </w:rPr>
        <w:t>“THE AMOUNTS DUE BY THE DEFENDANT</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tab/>
        <w:t>30.</w:t>
      </w:r>
      <w:r>
        <w:rPr>
          <w:rFonts w:ascii="Arial" w:hAnsi="Arial" w:cs="Arial"/>
          <w:i/>
          <w:sz w:val="22"/>
          <w:szCs w:val="22"/>
        </w:rPr>
        <w:tab/>
        <w:t xml:space="preserve">The first defendant breached the terms of the rental agreement in that it failed </w:t>
      </w:r>
      <w:r>
        <w:rPr>
          <w:rFonts w:ascii="Arial" w:hAnsi="Arial" w:cs="Arial"/>
          <w:i/>
          <w:sz w:val="22"/>
          <w:szCs w:val="22"/>
        </w:rPr>
        <w:tab/>
        <w:t>to maintain regular monthly payments.</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tab/>
        <w:t>31.</w:t>
      </w:r>
      <w:r>
        <w:rPr>
          <w:rFonts w:ascii="Arial" w:hAnsi="Arial" w:cs="Arial"/>
          <w:i/>
          <w:sz w:val="22"/>
          <w:szCs w:val="22"/>
        </w:rPr>
        <w:tab/>
        <w:t xml:space="preserve">The failure to continue to maintain the monthly agreed upon instalments </w:t>
      </w:r>
      <w:r>
        <w:rPr>
          <w:rFonts w:ascii="Arial" w:hAnsi="Arial" w:cs="Arial"/>
          <w:i/>
          <w:sz w:val="22"/>
          <w:szCs w:val="22"/>
        </w:rPr>
        <w:tab/>
        <w:t xml:space="preserve">constituted a breach of the rental agreement which breach entitle SASP to </w:t>
      </w:r>
      <w:r>
        <w:rPr>
          <w:rFonts w:ascii="Arial" w:hAnsi="Arial" w:cs="Arial"/>
          <w:i/>
          <w:sz w:val="22"/>
          <w:szCs w:val="22"/>
        </w:rPr>
        <w:tab/>
        <w:t xml:space="preserve">claim immediate payment of all the amounts which have been payable in </w:t>
      </w:r>
      <w:r>
        <w:rPr>
          <w:rFonts w:ascii="Arial" w:hAnsi="Arial" w:cs="Arial"/>
          <w:i/>
          <w:sz w:val="22"/>
          <w:szCs w:val="22"/>
        </w:rPr>
        <w:tab/>
        <w:t xml:space="preserve">terms of the rental agreement until the expiry of the rental period, whether </w:t>
      </w:r>
      <w:r>
        <w:rPr>
          <w:rFonts w:ascii="Arial" w:hAnsi="Arial" w:cs="Arial"/>
          <w:i/>
          <w:sz w:val="22"/>
          <w:szCs w:val="22"/>
        </w:rPr>
        <w:tab/>
        <w:t>such amounts are then due for payment or not.</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tab/>
        <w:t>32.</w:t>
      </w:r>
      <w:r>
        <w:rPr>
          <w:rFonts w:ascii="Arial" w:hAnsi="Arial" w:cs="Arial"/>
          <w:i/>
          <w:sz w:val="22"/>
          <w:szCs w:val="22"/>
        </w:rPr>
        <w:tab/>
        <w:t xml:space="preserve">As at 21 January 2021 the outstanding balance in respect of the rental </w:t>
      </w:r>
      <w:r>
        <w:rPr>
          <w:rFonts w:ascii="Arial" w:hAnsi="Arial" w:cs="Arial"/>
          <w:i/>
          <w:sz w:val="22"/>
          <w:szCs w:val="22"/>
        </w:rPr>
        <w:tab/>
        <w:t xml:space="preserve">agreement calculated to an amount of R4,327,956.81 and in confirmation of </w:t>
      </w:r>
      <w:r>
        <w:rPr>
          <w:rFonts w:ascii="Arial" w:hAnsi="Arial" w:cs="Arial"/>
          <w:i/>
          <w:sz w:val="22"/>
          <w:szCs w:val="22"/>
        </w:rPr>
        <w:tab/>
        <w:t xml:space="preserve">such amount, a certificate of balance is issued by SASP and annexed hereto </w:t>
      </w:r>
      <w:r>
        <w:rPr>
          <w:rFonts w:ascii="Arial" w:hAnsi="Arial" w:cs="Arial"/>
          <w:i/>
          <w:sz w:val="22"/>
          <w:szCs w:val="22"/>
        </w:rPr>
        <w:tab/>
        <w:t>as ‘E’.</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tab/>
        <w:t>33.</w:t>
      </w:r>
      <w:r>
        <w:rPr>
          <w:rFonts w:ascii="Arial" w:hAnsi="Arial" w:cs="Arial"/>
          <w:i/>
          <w:sz w:val="22"/>
          <w:szCs w:val="22"/>
        </w:rPr>
        <w:tab/>
        <w:t xml:space="preserve">The prime rate as defined in the rental agreement as of date of due payment </w:t>
      </w:r>
      <w:r>
        <w:rPr>
          <w:rFonts w:ascii="Arial" w:hAnsi="Arial" w:cs="Arial"/>
          <w:i/>
          <w:sz w:val="22"/>
          <w:szCs w:val="22"/>
        </w:rPr>
        <w:tab/>
        <w:t>being 21 January 2021, was 7.00% per annum.</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lastRenderedPageBreak/>
        <w:tab/>
        <w:t>34.</w:t>
      </w:r>
      <w:r>
        <w:rPr>
          <w:rFonts w:ascii="Arial" w:hAnsi="Arial" w:cs="Arial"/>
          <w:i/>
          <w:sz w:val="22"/>
          <w:szCs w:val="22"/>
        </w:rPr>
        <w:tab/>
        <w:t xml:space="preserve">In the premises, the first, second and third defendants, jointly and severally, </w:t>
      </w:r>
      <w:r>
        <w:rPr>
          <w:rFonts w:ascii="Arial" w:hAnsi="Arial" w:cs="Arial"/>
          <w:i/>
          <w:sz w:val="22"/>
          <w:szCs w:val="22"/>
        </w:rPr>
        <w:tab/>
        <w:t xml:space="preserve">the one paying, the other to be absolved, are indebted to SASP in the amount </w:t>
      </w:r>
      <w:r>
        <w:rPr>
          <w:rFonts w:ascii="Arial" w:hAnsi="Arial" w:cs="Arial"/>
          <w:i/>
          <w:sz w:val="22"/>
          <w:szCs w:val="22"/>
        </w:rPr>
        <w:tab/>
        <w:t xml:space="preserve">of R4,327,956.81 together with interest thereon at a rate of 13.00% (prime </w:t>
      </w:r>
      <w:r>
        <w:rPr>
          <w:rFonts w:ascii="Arial" w:hAnsi="Arial" w:cs="Arial"/>
          <w:i/>
          <w:sz w:val="22"/>
          <w:szCs w:val="22"/>
        </w:rPr>
        <w:tab/>
        <w:t>plus 6%) per annum from 22 January 2021 to date of final payment.”</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tab/>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w:t>
      </w:r>
      <w:r w:rsidR="001706BF">
        <w:rPr>
          <w:rFonts w:ascii="Arial" w:hAnsi="Arial" w:cs="Arial"/>
          <w:sz w:val="22"/>
          <w:szCs w:val="22"/>
        </w:rPr>
        <w:t>20</w:t>
      </w:r>
      <w:r>
        <w:rPr>
          <w:rFonts w:ascii="Arial" w:hAnsi="Arial" w:cs="Arial"/>
          <w:sz w:val="22"/>
          <w:szCs w:val="22"/>
        </w:rPr>
        <w:t>]</w:t>
      </w:r>
      <w:r>
        <w:rPr>
          <w:rFonts w:ascii="Arial" w:hAnsi="Arial" w:cs="Arial"/>
          <w:sz w:val="22"/>
          <w:szCs w:val="22"/>
        </w:rPr>
        <w:tab/>
        <w:t>The defendants’ response once more constituted a bare denial</w:t>
      </w:r>
      <w:r w:rsidR="00A21DAE">
        <w:rPr>
          <w:rFonts w:ascii="Arial" w:hAnsi="Arial" w:cs="Arial"/>
          <w:sz w:val="22"/>
          <w:szCs w:val="22"/>
        </w:rPr>
        <w:t>.  The response in the plea at paragraph 11 was</w:t>
      </w:r>
      <w:r>
        <w:rPr>
          <w:rFonts w:ascii="Arial" w:hAnsi="Arial" w:cs="Arial"/>
          <w:sz w:val="22"/>
          <w:szCs w:val="22"/>
        </w:rPr>
        <w:t>:</w:t>
      </w:r>
    </w:p>
    <w:p w:rsidR="00712E6E"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Pr>
          <w:rFonts w:ascii="Arial" w:hAnsi="Arial" w:cs="Arial"/>
          <w:i/>
          <w:sz w:val="22"/>
          <w:szCs w:val="22"/>
        </w:rPr>
        <w:t>“11.</w:t>
      </w:r>
      <w:r>
        <w:rPr>
          <w:rFonts w:ascii="Arial" w:hAnsi="Arial" w:cs="Arial"/>
          <w:i/>
          <w:sz w:val="22"/>
          <w:szCs w:val="22"/>
        </w:rPr>
        <w:tab/>
        <w:t>The allegations are denied.”</w:t>
      </w:r>
    </w:p>
    <w:p w:rsidR="00712E6E" w:rsidRDefault="00712E6E" w:rsidP="00712E6E">
      <w:pPr>
        <w:spacing w:line="480" w:lineRule="auto"/>
        <w:ind w:left="720" w:hanging="720"/>
        <w:jc w:val="both"/>
        <w:rPr>
          <w:rFonts w:ascii="Arial" w:hAnsi="Arial" w:cs="Arial"/>
          <w:i/>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[2</w:t>
      </w:r>
      <w:r w:rsidR="001706BF">
        <w:rPr>
          <w:rFonts w:ascii="Arial" w:hAnsi="Arial" w:cs="Arial"/>
          <w:sz w:val="22"/>
          <w:szCs w:val="22"/>
        </w:rPr>
        <w:t>1</w:t>
      </w:r>
      <w:r>
        <w:rPr>
          <w:rFonts w:ascii="Arial" w:hAnsi="Arial" w:cs="Arial"/>
          <w:sz w:val="22"/>
          <w:szCs w:val="22"/>
        </w:rPr>
        <w:t>]</w:t>
      </w:r>
      <w:r>
        <w:rPr>
          <w:rFonts w:ascii="Arial" w:hAnsi="Arial" w:cs="Arial"/>
          <w:sz w:val="22"/>
          <w:szCs w:val="22"/>
        </w:rPr>
        <w:tab/>
        <w:t xml:space="preserve">Ordinarily such bare denials would entitle a plaintiff to relief sought in its claim.  In </w:t>
      </w:r>
      <w:r w:rsidRPr="007C6B5C">
        <w:rPr>
          <w:rFonts w:ascii="Arial" w:hAnsi="Arial" w:cs="Arial"/>
          <w:b/>
          <w:i/>
          <w:sz w:val="22"/>
          <w:szCs w:val="22"/>
        </w:rPr>
        <w:t>Bragan</w:t>
      </w:r>
      <w:r>
        <w:rPr>
          <w:rStyle w:val="FootnoteReference"/>
          <w:rFonts w:ascii="Arial" w:hAnsi="Arial" w:cs="Arial"/>
          <w:sz w:val="22"/>
          <w:szCs w:val="22"/>
        </w:rPr>
        <w:footnoteReference w:id="1"/>
      </w:r>
      <w:r>
        <w:rPr>
          <w:rFonts w:ascii="Arial" w:hAnsi="Arial" w:cs="Arial"/>
          <w:sz w:val="22"/>
          <w:szCs w:val="22"/>
        </w:rPr>
        <w:t xml:space="preserve"> </w:t>
      </w:r>
      <w:r w:rsidRPr="007C6B5C">
        <w:rPr>
          <w:rFonts w:ascii="Arial" w:hAnsi="Arial" w:cs="Arial"/>
          <w:sz w:val="22"/>
          <w:szCs w:val="22"/>
        </w:rPr>
        <w:t>at</w:t>
      </w:r>
      <w:r>
        <w:rPr>
          <w:rFonts w:ascii="Arial" w:hAnsi="Arial" w:cs="Arial"/>
          <w:sz w:val="22"/>
          <w:szCs w:val="22"/>
        </w:rPr>
        <w:t xml:space="preserve"> paragraph 16 the court remarked:</w:t>
      </w:r>
    </w:p>
    <w:p w:rsidR="00712E6E"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Pr>
          <w:rFonts w:ascii="Arial" w:hAnsi="Arial" w:cs="Arial"/>
          <w:i/>
          <w:sz w:val="22"/>
          <w:szCs w:val="22"/>
        </w:rPr>
        <w:t>“An applicant for summary judgment is therefore entitled to rely on a plea in considering whether or not to launch an application for summary judgment.  Where a defendant has failed to disclose a defence in its plea, a plaintiff (in most instances) be entitled to the relief sought in its claim.”</w:t>
      </w:r>
    </w:p>
    <w:p w:rsidR="00712E6E" w:rsidRDefault="00712E6E" w:rsidP="00712E6E">
      <w:pPr>
        <w:spacing w:line="480" w:lineRule="auto"/>
        <w:ind w:left="720" w:hanging="720"/>
        <w:jc w:val="both"/>
        <w:rPr>
          <w:rFonts w:ascii="Arial" w:hAnsi="Arial" w:cs="Arial"/>
          <w:sz w:val="22"/>
          <w:szCs w:val="22"/>
        </w:rPr>
      </w:pPr>
      <w:r>
        <w:rPr>
          <w:rFonts w:ascii="Arial" w:hAnsi="Arial" w:cs="Arial"/>
          <w:i/>
          <w:sz w:val="22"/>
          <w:szCs w:val="22"/>
        </w:rPr>
        <w:tab/>
      </w:r>
      <w:r>
        <w:rPr>
          <w:rFonts w:ascii="Arial" w:hAnsi="Arial" w:cs="Arial"/>
          <w:sz w:val="22"/>
          <w:szCs w:val="22"/>
        </w:rPr>
        <w:t>The court further went on to say:</w:t>
      </w:r>
    </w:p>
    <w:p w:rsidR="00712E6E"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Pr>
          <w:rFonts w:ascii="Arial" w:hAnsi="Arial" w:cs="Arial"/>
          <w:i/>
          <w:sz w:val="22"/>
          <w:szCs w:val="22"/>
        </w:rPr>
        <w:t xml:space="preserve">“I accept that there may be circumstances in which a defendant in summary judgment may well be able to raise a defence in an affidavit resisting summary judgment but which was not raised in its plea.  </w:t>
      </w:r>
      <w:r w:rsidRPr="001A2BF8">
        <w:rPr>
          <w:rFonts w:ascii="Arial" w:hAnsi="Arial" w:cs="Arial"/>
          <w:i/>
          <w:sz w:val="22"/>
          <w:szCs w:val="22"/>
        </w:rPr>
        <w:t>However, this is not the case in the present matter.  In the present circumstances the defences raised in the affidavit resisting summary judgment clearly were an afterthought for the reasons I have already alluded to.</w:t>
      </w:r>
      <w:r>
        <w:rPr>
          <w:rFonts w:ascii="Arial" w:hAnsi="Arial" w:cs="Arial"/>
          <w:i/>
          <w:sz w:val="22"/>
          <w:szCs w:val="22"/>
        </w:rPr>
        <w:t xml:space="preserve">  This is precisely what the drafters of the new rule have tried to avoid.”</w:t>
      </w:r>
    </w:p>
    <w:p w:rsidR="00712E6E" w:rsidRPr="005C21D7" w:rsidRDefault="00712E6E" w:rsidP="00712E6E">
      <w:pPr>
        <w:spacing w:line="480" w:lineRule="auto"/>
        <w:ind w:left="720" w:hanging="720"/>
        <w:jc w:val="both"/>
        <w:rPr>
          <w:rFonts w:ascii="Arial" w:hAnsi="Arial" w:cs="Arial"/>
          <w:sz w:val="22"/>
          <w:szCs w:val="22"/>
        </w:rPr>
      </w:pPr>
      <w:r>
        <w:rPr>
          <w:rFonts w:ascii="Arial" w:hAnsi="Arial" w:cs="Arial"/>
          <w:i/>
          <w:sz w:val="22"/>
          <w:szCs w:val="22"/>
        </w:rPr>
        <w:tab/>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lastRenderedPageBreak/>
        <w:t>[2</w:t>
      </w:r>
      <w:r w:rsidR="001706BF">
        <w:rPr>
          <w:rFonts w:ascii="Arial" w:hAnsi="Arial" w:cs="Arial"/>
          <w:sz w:val="22"/>
          <w:szCs w:val="22"/>
        </w:rPr>
        <w:t>2</w:t>
      </w:r>
      <w:r>
        <w:rPr>
          <w:rFonts w:ascii="Arial" w:hAnsi="Arial" w:cs="Arial"/>
          <w:sz w:val="22"/>
          <w:szCs w:val="22"/>
        </w:rPr>
        <w:t>]</w:t>
      </w:r>
      <w:r>
        <w:rPr>
          <w:rFonts w:ascii="Arial" w:hAnsi="Arial" w:cs="Arial"/>
          <w:sz w:val="22"/>
          <w:szCs w:val="22"/>
        </w:rPr>
        <w:tab/>
        <w:t xml:space="preserve">Cognisance is taken of the fact that with the amendments to Rule 32, a plaintiff is only able to apply for summary judgment after the delivery of the plea.  Previously, summary judgment proceedings could be instituted </w:t>
      </w:r>
      <w:r w:rsidR="00A21DAE">
        <w:rPr>
          <w:rFonts w:ascii="Arial" w:hAnsi="Arial" w:cs="Arial"/>
          <w:sz w:val="22"/>
          <w:szCs w:val="22"/>
        </w:rPr>
        <w:t xml:space="preserve">upon </w:t>
      </w:r>
      <w:r>
        <w:rPr>
          <w:rFonts w:ascii="Arial" w:hAnsi="Arial" w:cs="Arial"/>
          <w:sz w:val="22"/>
          <w:szCs w:val="22"/>
        </w:rPr>
        <w:t xml:space="preserve">the notice of intention to defend </w:t>
      </w:r>
      <w:r w:rsidR="00A21DAE">
        <w:rPr>
          <w:rFonts w:ascii="Arial" w:hAnsi="Arial" w:cs="Arial"/>
          <w:sz w:val="22"/>
          <w:szCs w:val="22"/>
        </w:rPr>
        <w:t>being</w:t>
      </w:r>
      <w:r>
        <w:rPr>
          <w:rFonts w:ascii="Arial" w:hAnsi="Arial" w:cs="Arial"/>
          <w:sz w:val="22"/>
          <w:szCs w:val="22"/>
        </w:rPr>
        <w:t xml:space="preserve"> filed.  The rationale behind the amendments was so that summary judgment proceedings could be adjudicated on the basis of the defendant’s pleaded defence.   This was particularly to avoid a situation where the defendant’s version in its opposing summary judgment application diverges materially from the subsequently delivered plea.</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[2</w:t>
      </w:r>
      <w:r w:rsidR="001706BF">
        <w:rPr>
          <w:rFonts w:ascii="Arial" w:hAnsi="Arial" w:cs="Arial"/>
          <w:sz w:val="22"/>
          <w:szCs w:val="22"/>
        </w:rPr>
        <w:t>3</w:t>
      </w:r>
      <w:r>
        <w:rPr>
          <w:rFonts w:ascii="Arial" w:hAnsi="Arial" w:cs="Arial"/>
          <w:sz w:val="22"/>
          <w:szCs w:val="22"/>
        </w:rPr>
        <w:t>]</w:t>
      </w:r>
      <w:r>
        <w:rPr>
          <w:rFonts w:ascii="Arial" w:hAnsi="Arial" w:cs="Arial"/>
          <w:sz w:val="22"/>
          <w:szCs w:val="22"/>
        </w:rPr>
        <w:tab/>
        <w:t xml:space="preserve">In </w:t>
      </w:r>
      <w:r>
        <w:rPr>
          <w:rFonts w:ascii="Arial" w:hAnsi="Arial" w:cs="Arial"/>
          <w:b/>
          <w:i/>
          <w:sz w:val="22"/>
          <w:szCs w:val="22"/>
        </w:rPr>
        <w:t>Bragan</w:t>
      </w:r>
      <w:r>
        <w:rPr>
          <w:rFonts w:ascii="Arial" w:hAnsi="Arial" w:cs="Arial"/>
          <w:sz w:val="22"/>
          <w:szCs w:val="22"/>
        </w:rPr>
        <w:t xml:space="preserve"> reference was made to the </w:t>
      </w:r>
      <w:r w:rsidRPr="00ED40EF">
        <w:rPr>
          <w:rFonts w:ascii="Arial" w:hAnsi="Arial" w:cs="Arial"/>
          <w:b/>
          <w:i/>
          <w:sz w:val="22"/>
          <w:szCs w:val="22"/>
        </w:rPr>
        <w:t>Firstrand Bank Ltd v Shabangu and Others</w:t>
      </w:r>
      <w:r w:rsidRPr="00ED40EF">
        <w:rPr>
          <w:rStyle w:val="FootnoteReference"/>
          <w:rFonts w:ascii="Arial" w:hAnsi="Arial" w:cs="Arial"/>
          <w:sz w:val="22"/>
          <w:szCs w:val="22"/>
        </w:rPr>
        <w:footnoteReference w:id="2"/>
      </w:r>
      <w:r>
        <w:rPr>
          <w:rFonts w:ascii="Arial" w:hAnsi="Arial" w:cs="Arial"/>
          <w:sz w:val="22"/>
          <w:szCs w:val="22"/>
        </w:rPr>
        <w:t xml:space="preserve"> matter where the rationale of the amended Rule 32 process was explained:</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r>
      <w:r>
        <w:rPr>
          <w:rFonts w:ascii="Arial" w:hAnsi="Arial" w:cs="Arial"/>
          <w:i/>
          <w:sz w:val="22"/>
          <w:szCs w:val="22"/>
        </w:rPr>
        <w:t>“It sets out the intention of the legislature to address the shortcomings of the position under the old rule bearing in mind that the plaintiff is required to bring a summary judgment application at the time when a possible defence to the claim has not yet been disclosed in the plea.  The amended rule now requires an affidavit in support of summary judgment to be filed only once the defendant’s defence to the action is apparent, by virtue of having been set out in a plea.”</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b/>
          <w:sz w:val="22"/>
          <w:szCs w:val="22"/>
          <w:u w:val="single"/>
        </w:rPr>
      </w:pPr>
      <w:r w:rsidRPr="00D66450">
        <w:rPr>
          <w:rFonts w:ascii="Arial" w:hAnsi="Arial" w:cs="Arial"/>
          <w:b/>
          <w:i/>
          <w:sz w:val="22"/>
          <w:szCs w:val="22"/>
          <w:u w:val="single"/>
        </w:rPr>
        <w:t>BONA FIDE</w:t>
      </w:r>
      <w:r>
        <w:rPr>
          <w:rFonts w:ascii="Arial" w:hAnsi="Arial" w:cs="Arial"/>
          <w:b/>
          <w:sz w:val="22"/>
          <w:szCs w:val="22"/>
          <w:u w:val="single"/>
        </w:rPr>
        <w:t xml:space="preserve"> DEFENCE</w:t>
      </w:r>
    </w:p>
    <w:p w:rsidR="0004090E" w:rsidRDefault="0004090E" w:rsidP="0004090E">
      <w:pPr>
        <w:spacing w:line="480" w:lineRule="auto"/>
        <w:ind w:left="720" w:hanging="720"/>
        <w:jc w:val="both"/>
        <w:rPr>
          <w:rFonts w:ascii="Arial" w:hAnsi="Arial" w:cs="Arial"/>
          <w:sz w:val="22"/>
          <w:szCs w:val="22"/>
        </w:rPr>
      </w:pPr>
    </w:p>
    <w:p w:rsidR="0004090E" w:rsidRDefault="0004090E" w:rsidP="0004090E">
      <w:pPr>
        <w:spacing w:line="480" w:lineRule="auto"/>
        <w:ind w:left="720" w:hanging="720"/>
        <w:jc w:val="both"/>
        <w:rPr>
          <w:rFonts w:ascii="Arial" w:hAnsi="Arial" w:cs="Arial"/>
          <w:sz w:val="22"/>
          <w:szCs w:val="22"/>
        </w:rPr>
      </w:pPr>
      <w:r>
        <w:rPr>
          <w:rFonts w:ascii="Arial" w:hAnsi="Arial" w:cs="Arial"/>
          <w:sz w:val="22"/>
          <w:szCs w:val="22"/>
        </w:rPr>
        <w:t>[24]</w:t>
      </w:r>
      <w:r>
        <w:rPr>
          <w:rFonts w:ascii="Arial" w:hAnsi="Arial" w:cs="Arial"/>
          <w:sz w:val="22"/>
          <w:szCs w:val="22"/>
        </w:rPr>
        <w:tab/>
        <w:t xml:space="preserve">In order to successfully resist the summary judgment application, the defendants must satisfy the court that they have a </w:t>
      </w:r>
      <w:r w:rsidRPr="00791A87">
        <w:rPr>
          <w:rFonts w:ascii="Arial" w:hAnsi="Arial" w:cs="Arial"/>
          <w:i/>
          <w:sz w:val="22"/>
          <w:szCs w:val="22"/>
        </w:rPr>
        <w:t>bona fide</w:t>
      </w:r>
      <w:r>
        <w:rPr>
          <w:rFonts w:ascii="Arial" w:hAnsi="Arial" w:cs="Arial"/>
          <w:sz w:val="22"/>
          <w:szCs w:val="22"/>
        </w:rPr>
        <w:t xml:space="preserve"> defence by disclosing fully the nature and the material facts upon which the defence is premised.  Whilst it is not required of the defendants to exhaustively deal with the facts and the evidence relied upon, they must at least disclose the defences and the material facts with sufficient particularity and </w:t>
      </w:r>
      <w:r>
        <w:rPr>
          <w:rFonts w:ascii="Arial" w:hAnsi="Arial" w:cs="Arial"/>
          <w:sz w:val="22"/>
          <w:szCs w:val="22"/>
        </w:rPr>
        <w:lastRenderedPageBreak/>
        <w:t xml:space="preserve">completeness so as to enable the court to decide whether the aforesaid discloses a </w:t>
      </w:r>
      <w:r>
        <w:rPr>
          <w:rFonts w:ascii="Arial" w:hAnsi="Arial" w:cs="Arial"/>
          <w:i/>
          <w:sz w:val="22"/>
          <w:szCs w:val="22"/>
        </w:rPr>
        <w:t>bona fide</w:t>
      </w:r>
      <w:r>
        <w:rPr>
          <w:rFonts w:ascii="Arial" w:hAnsi="Arial" w:cs="Arial"/>
          <w:sz w:val="22"/>
          <w:szCs w:val="22"/>
        </w:rPr>
        <w:t xml:space="preserve"> defence.</w:t>
      </w:r>
      <w:r>
        <w:rPr>
          <w:rStyle w:val="FootnoteReference"/>
          <w:rFonts w:ascii="Arial" w:hAnsi="Arial" w:cs="Arial"/>
          <w:sz w:val="22"/>
          <w:szCs w:val="22"/>
        </w:rPr>
        <w:footnoteReference w:id="3"/>
      </w:r>
      <w:r>
        <w:rPr>
          <w:rFonts w:ascii="Arial" w:hAnsi="Arial" w:cs="Arial"/>
          <w:sz w:val="22"/>
          <w:szCs w:val="22"/>
        </w:rPr>
        <w:t xml:space="preserve">  </w:t>
      </w:r>
    </w:p>
    <w:p w:rsidR="00712E6E" w:rsidRDefault="00712E6E" w:rsidP="00712E6E">
      <w:pPr>
        <w:spacing w:line="480" w:lineRule="auto"/>
        <w:ind w:left="720" w:hanging="720"/>
        <w:jc w:val="both"/>
        <w:rPr>
          <w:rFonts w:ascii="Arial" w:hAnsi="Arial" w:cs="Arial"/>
          <w:sz w:val="22"/>
          <w:szCs w:val="22"/>
        </w:rPr>
      </w:pPr>
    </w:p>
    <w:p w:rsidR="0004090E" w:rsidRDefault="0004090E" w:rsidP="0004090E">
      <w:pPr>
        <w:spacing w:line="480" w:lineRule="auto"/>
        <w:ind w:left="720" w:hanging="720"/>
        <w:jc w:val="both"/>
        <w:rPr>
          <w:rFonts w:ascii="Arial" w:hAnsi="Arial" w:cs="Arial"/>
          <w:sz w:val="22"/>
          <w:szCs w:val="22"/>
        </w:rPr>
      </w:pPr>
      <w:r>
        <w:rPr>
          <w:rFonts w:ascii="Arial" w:hAnsi="Arial" w:cs="Arial"/>
          <w:sz w:val="22"/>
          <w:szCs w:val="22"/>
        </w:rPr>
        <w:t>[2</w:t>
      </w:r>
      <w:r w:rsidR="001706BF">
        <w:rPr>
          <w:rFonts w:ascii="Arial" w:hAnsi="Arial" w:cs="Arial"/>
          <w:sz w:val="22"/>
          <w:szCs w:val="22"/>
        </w:rPr>
        <w:t>5</w:t>
      </w:r>
      <w:r>
        <w:rPr>
          <w:rFonts w:ascii="Arial" w:hAnsi="Arial" w:cs="Arial"/>
          <w:sz w:val="22"/>
          <w:szCs w:val="22"/>
        </w:rPr>
        <w:t>]</w:t>
      </w:r>
      <w:r>
        <w:rPr>
          <w:rFonts w:ascii="Arial" w:hAnsi="Arial" w:cs="Arial"/>
          <w:sz w:val="22"/>
          <w:szCs w:val="22"/>
        </w:rPr>
        <w:tab/>
        <w:t>Rule 32(3) requires an opposing affidavit to fully disclose the nature and grounds of the defence and the material facts relied upon.  A defendant cannot merely make bald denials.</w:t>
      </w:r>
      <w:r>
        <w:rPr>
          <w:rStyle w:val="FootnoteReference"/>
          <w:rFonts w:ascii="Arial" w:hAnsi="Arial" w:cs="Arial"/>
          <w:sz w:val="22"/>
          <w:szCs w:val="22"/>
        </w:rPr>
        <w:footnoteReference w:id="4"/>
      </w:r>
    </w:p>
    <w:p w:rsidR="0004090E" w:rsidRDefault="0004090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[2</w:t>
      </w:r>
      <w:r w:rsidR="001706BF">
        <w:rPr>
          <w:rFonts w:ascii="Arial" w:hAnsi="Arial" w:cs="Arial"/>
          <w:sz w:val="22"/>
          <w:szCs w:val="22"/>
        </w:rPr>
        <w:t>6</w:t>
      </w:r>
      <w:r>
        <w:rPr>
          <w:rFonts w:ascii="Arial" w:hAnsi="Arial" w:cs="Arial"/>
          <w:sz w:val="22"/>
          <w:szCs w:val="22"/>
        </w:rPr>
        <w:t>]</w:t>
      </w:r>
      <w:r>
        <w:rPr>
          <w:rFonts w:ascii="Arial" w:hAnsi="Arial" w:cs="Arial"/>
          <w:sz w:val="22"/>
          <w:szCs w:val="22"/>
        </w:rPr>
        <w:tab/>
        <w:t xml:space="preserve">At paragraph 15 in </w:t>
      </w:r>
      <w:r>
        <w:rPr>
          <w:rFonts w:ascii="Arial" w:hAnsi="Arial" w:cs="Arial"/>
          <w:b/>
          <w:i/>
          <w:sz w:val="22"/>
          <w:szCs w:val="22"/>
        </w:rPr>
        <w:t>Bragan</w:t>
      </w:r>
      <w:r>
        <w:rPr>
          <w:rFonts w:ascii="Arial" w:hAnsi="Arial" w:cs="Arial"/>
          <w:sz w:val="22"/>
          <w:szCs w:val="22"/>
        </w:rPr>
        <w:t xml:space="preserve"> the court reiterated the purpose of pleadings.  It stated:</w:t>
      </w:r>
    </w:p>
    <w:p w:rsidR="00712E6E" w:rsidRPr="007C6B5C"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Pr>
          <w:rFonts w:ascii="Arial" w:hAnsi="Arial" w:cs="Arial"/>
          <w:i/>
          <w:sz w:val="22"/>
          <w:szCs w:val="22"/>
        </w:rPr>
        <w:t xml:space="preserve">“The role of pleadings in litigation is well-known and need not be restated in detail.  The object of the pleadings is to define the issues upon which a court will be called upon to adjudicate and to enable the parties to prepare for trial on the issues as defined.  Pleas are answers by the defendant to the claims made against it by the plaintiff and in which its defence is set out.  </w:t>
      </w:r>
      <w:r w:rsidRPr="007C6B5C">
        <w:rPr>
          <w:rFonts w:ascii="Arial" w:hAnsi="Arial" w:cs="Arial"/>
          <w:i/>
          <w:sz w:val="22"/>
          <w:szCs w:val="22"/>
        </w:rPr>
        <w:t>Rule 22(2) stipulates:</w:t>
      </w:r>
      <w:r w:rsidR="00A21DAE">
        <w:rPr>
          <w:rFonts w:ascii="Arial" w:hAnsi="Arial" w:cs="Arial"/>
          <w:i/>
          <w:sz w:val="22"/>
          <w:szCs w:val="22"/>
        </w:rPr>
        <w:t xml:space="preserve">  </w:t>
      </w:r>
    </w:p>
    <w:p w:rsidR="00712E6E"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Pr>
          <w:rFonts w:ascii="Arial" w:hAnsi="Arial" w:cs="Arial"/>
          <w:i/>
          <w:sz w:val="22"/>
          <w:szCs w:val="22"/>
        </w:rPr>
        <w:t>A defendant shall in its plea either admit or deny or confess and avoid all material facts alleged in the combined summons or declaration or state which of the stated facts are not admitted and to what extent and shall clearly and concisely state all material facts upon which it relies.”</w:t>
      </w:r>
    </w:p>
    <w:p w:rsidR="00712E6E" w:rsidRDefault="00712E6E" w:rsidP="00712E6E">
      <w:pPr>
        <w:spacing w:line="480" w:lineRule="auto"/>
        <w:ind w:left="720" w:hanging="720"/>
        <w:jc w:val="both"/>
        <w:rPr>
          <w:rFonts w:ascii="Arial" w:hAnsi="Arial" w:cs="Arial"/>
          <w:i/>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[2</w:t>
      </w:r>
      <w:r w:rsidR="001706BF">
        <w:rPr>
          <w:rFonts w:ascii="Arial" w:hAnsi="Arial" w:cs="Arial"/>
          <w:sz w:val="22"/>
          <w:szCs w:val="22"/>
        </w:rPr>
        <w:t>7</w:t>
      </w:r>
      <w:r>
        <w:rPr>
          <w:rFonts w:ascii="Arial" w:hAnsi="Arial" w:cs="Arial"/>
          <w:sz w:val="22"/>
          <w:szCs w:val="22"/>
        </w:rPr>
        <w:t>]</w:t>
      </w:r>
      <w:r>
        <w:rPr>
          <w:rFonts w:ascii="Arial" w:hAnsi="Arial" w:cs="Arial"/>
          <w:sz w:val="22"/>
          <w:szCs w:val="22"/>
        </w:rPr>
        <w:tab/>
        <w:t xml:space="preserve">I am of the view that in determining whether a defence is </w:t>
      </w:r>
      <w:r w:rsidRPr="00950671">
        <w:rPr>
          <w:rFonts w:ascii="Arial" w:hAnsi="Arial" w:cs="Arial"/>
          <w:i/>
          <w:sz w:val="22"/>
          <w:szCs w:val="22"/>
        </w:rPr>
        <w:t>bona fide</w:t>
      </w:r>
      <w:r>
        <w:rPr>
          <w:rFonts w:ascii="Arial" w:hAnsi="Arial" w:cs="Arial"/>
          <w:sz w:val="22"/>
          <w:szCs w:val="22"/>
        </w:rPr>
        <w:t xml:space="preserve"> and whether there are triable issues, </w:t>
      </w:r>
      <w:r w:rsidR="00EB6903">
        <w:rPr>
          <w:rFonts w:ascii="Arial" w:hAnsi="Arial" w:cs="Arial"/>
          <w:sz w:val="22"/>
          <w:szCs w:val="22"/>
        </w:rPr>
        <w:t xml:space="preserve">the </w:t>
      </w:r>
      <w:r>
        <w:rPr>
          <w:rFonts w:ascii="Arial" w:hAnsi="Arial" w:cs="Arial"/>
          <w:sz w:val="22"/>
          <w:szCs w:val="22"/>
        </w:rPr>
        <w:t>contents of the plea</w:t>
      </w:r>
      <w:r w:rsidR="00EB6903">
        <w:rPr>
          <w:rFonts w:ascii="Arial" w:hAnsi="Arial" w:cs="Arial"/>
          <w:sz w:val="22"/>
          <w:szCs w:val="22"/>
        </w:rPr>
        <w:t xml:space="preserve"> are material</w:t>
      </w:r>
      <w:r>
        <w:rPr>
          <w:rFonts w:ascii="Arial" w:hAnsi="Arial" w:cs="Arial"/>
          <w:sz w:val="22"/>
          <w:szCs w:val="22"/>
        </w:rPr>
        <w:t xml:space="preserve">.  </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[2</w:t>
      </w:r>
      <w:r w:rsidR="001706BF">
        <w:rPr>
          <w:rFonts w:ascii="Arial" w:hAnsi="Arial" w:cs="Arial"/>
          <w:sz w:val="22"/>
          <w:szCs w:val="22"/>
        </w:rPr>
        <w:t>8</w:t>
      </w:r>
      <w:r>
        <w:rPr>
          <w:rFonts w:ascii="Arial" w:hAnsi="Arial" w:cs="Arial"/>
          <w:sz w:val="22"/>
          <w:szCs w:val="22"/>
        </w:rPr>
        <w:t>]</w:t>
      </w:r>
      <w:r>
        <w:rPr>
          <w:rFonts w:ascii="Arial" w:hAnsi="Arial" w:cs="Arial"/>
          <w:sz w:val="22"/>
          <w:szCs w:val="22"/>
        </w:rPr>
        <w:tab/>
        <w:t xml:space="preserve">It is for this reason that the defendants are required to fully set out the nature and the grounds of its defence as well as the material facts relied upon in its affidavit, with </w:t>
      </w:r>
      <w:r>
        <w:rPr>
          <w:rFonts w:ascii="Arial" w:hAnsi="Arial" w:cs="Arial"/>
          <w:sz w:val="22"/>
          <w:szCs w:val="22"/>
        </w:rPr>
        <w:lastRenderedPageBreak/>
        <w:t>reference to the plea.</w:t>
      </w:r>
      <w:r>
        <w:rPr>
          <w:rStyle w:val="FootnoteReference"/>
          <w:rFonts w:ascii="Arial" w:hAnsi="Arial" w:cs="Arial"/>
          <w:sz w:val="22"/>
          <w:szCs w:val="22"/>
        </w:rPr>
        <w:footnoteReference w:id="5"/>
      </w:r>
      <w:r>
        <w:rPr>
          <w:rFonts w:ascii="Arial" w:hAnsi="Arial" w:cs="Arial"/>
          <w:sz w:val="22"/>
          <w:szCs w:val="22"/>
        </w:rPr>
        <w:t xml:space="preserve">  The defences therefore raised in the affidavit supporting summary judgment should be in harmony with the plea.</w:t>
      </w:r>
      <w:r>
        <w:rPr>
          <w:rStyle w:val="FootnoteReference"/>
          <w:rFonts w:ascii="Arial" w:hAnsi="Arial" w:cs="Arial"/>
          <w:sz w:val="22"/>
          <w:szCs w:val="22"/>
        </w:rPr>
        <w:footnoteReference w:id="6"/>
      </w:r>
      <w:r>
        <w:rPr>
          <w:rFonts w:ascii="Arial" w:hAnsi="Arial" w:cs="Arial"/>
          <w:sz w:val="22"/>
          <w:szCs w:val="22"/>
        </w:rPr>
        <w:t xml:space="preserve">  The plea should further comply with the provision of Rule 18(4) and 22(2) in that it should clearly and concisely set out all the material facts relied upon for the defence in order for the plaintiff in the context of summary judgment proceedings, to consider whether or not the defence as pleaded raises any issue for trial.</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[2</w:t>
      </w:r>
      <w:r w:rsidR="001706BF">
        <w:rPr>
          <w:rFonts w:ascii="Arial" w:hAnsi="Arial" w:cs="Arial"/>
          <w:sz w:val="22"/>
          <w:szCs w:val="22"/>
        </w:rPr>
        <w:t>9</w:t>
      </w:r>
      <w:r>
        <w:rPr>
          <w:rFonts w:ascii="Arial" w:hAnsi="Arial" w:cs="Arial"/>
          <w:sz w:val="22"/>
          <w:szCs w:val="22"/>
        </w:rPr>
        <w:t>]</w:t>
      </w:r>
      <w:r>
        <w:rPr>
          <w:rFonts w:ascii="Arial" w:hAnsi="Arial" w:cs="Arial"/>
          <w:sz w:val="22"/>
          <w:szCs w:val="22"/>
        </w:rPr>
        <w:tab/>
        <w:t xml:space="preserve">Pleadings define the ambit of the dispute.  They indicate what the nature of the dispute is and what facts must be proven by the plaintiff to sustain the claim.  </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w:t>
      </w:r>
      <w:r w:rsidR="001706BF">
        <w:rPr>
          <w:rFonts w:ascii="Arial" w:hAnsi="Arial" w:cs="Arial"/>
          <w:sz w:val="22"/>
          <w:szCs w:val="22"/>
        </w:rPr>
        <w:t>30</w:t>
      </w:r>
      <w:r>
        <w:rPr>
          <w:rFonts w:ascii="Arial" w:hAnsi="Arial" w:cs="Arial"/>
          <w:sz w:val="22"/>
          <w:szCs w:val="22"/>
        </w:rPr>
        <w:t>]</w:t>
      </w:r>
      <w:r>
        <w:rPr>
          <w:rFonts w:ascii="Arial" w:hAnsi="Arial" w:cs="Arial"/>
          <w:sz w:val="22"/>
          <w:szCs w:val="22"/>
        </w:rPr>
        <w:tab/>
        <w:t>The golden rule of a pleading is that the opposite party must be fairly appraised of the case which is to be raised against him, and denials much accordingly be pleaded with such certainty that he may be able to know what the issues in dispute are.</w:t>
      </w:r>
      <w:r>
        <w:rPr>
          <w:rStyle w:val="FootnoteReference"/>
          <w:rFonts w:ascii="Arial" w:hAnsi="Arial" w:cs="Arial"/>
          <w:sz w:val="22"/>
          <w:szCs w:val="22"/>
        </w:rPr>
        <w:footnoteReference w:id="7"/>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[3</w:t>
      </w:r>
      <w:r w:rsidR="001706BF">
        <w:rPr>
          <w:rFonts w:ascii="Arial" w:hAnsi="Arial" w:cs="Arial"/>
          <w:sz w:val="22"/>
          <w:szCs w:val="22"/>
        </w:rPr>
        <w:t>1</w:t>
      </w:r>
      <w:r>
        <w:rPr>
          <w:rFonts w:ascii="Arial" w:hAnsi="Arial" w:cs="Arial"/>
          <w:sz w:val="22"/>
          <w:szCs w:val="22"/>
        </w:rPr>
        <w:t>]</w:t>
      </w:r>
      <w:r>
        <w:rPr>
          <w:rFonts w:ascii="Arial" w:hAnsi="Arial" w:cs="Arial"/>
          <w:sz w:val="22"/>
          <w:szCs w:val="22"/>
        </w:rPr>
        <w:tab/>
        <w:t>Notably the defences set out in the opposing affidavit that concern the merits, namely the rental amount due and payable; delivery of the equipment; and th</w:t>
      </w:r>
      <w:r w:rsidR="00EB6903">
        <w:rPr>
          <w:rFonts w:ascii="Arial" w:hAnsi="Arial" w:cs="Arial"/>
          <w:sz w:val="22"/>
          <w:szCs w:val="22"/>
        </w:rPr>
        <w:t>at th</w:t>
      </w:r>
      <w:r>
        <w:rPr>
          <w:rFonts w:ascii="Arial" w:hAnsi="Arial" w:cs="Arial"/>
          <w:sz w:val="22"/>
          <w:szCs w:val="22"/>
        </w:rPr>
        <w:t>e rental agreement does not record the true nature of the agreement, are not in harmony with the plea.</w:t>
      </w:r>
      <w:r>
        <w:rPr>
          <w:rStyle w:val="FootnoteReference"/>
          <w:rFonts w:ascii="Arial" w:hAnsi="Arial" w:cs="Arial"/>
          <w:sz w:val="22"/>
          <w:szCs w:val="22"/>
        </w:rPr>
        <w:footnoteReference w:id="8"/>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[3</w:t>
      </w:r>
      <w:r w:rsidR="001706BF">
        <w:rPr>
          <w:rFonts w:ascii="Arial" w:hAnsi="Arial" w:cs="Arial"/>
          <w:sz w:val="22"/>
          <w:szCs w:val="22"/>
        </w:rPr>
        <w:t>2</w:t>
      </w:r>
      <w:r>
        <w:rPr>
          <w:rFonts w:ascii="Arial" w:hAnsi="Arial" w:cs="Arial"/>
          <w:sz w:val="22"/>
          <w:szCs w:val="22"/>
        </w:rPr>
        <w:t>]</w:t>
      </w:r>
      <w:r>
        <w:rPr>
          <w:rFonts w:ascii="Arial" w:hAnsi="Arial" w:cs="Arial"/>
          <w:sz w:val="22"/>
          <w:szCs w:val="22"/>
        </w:rPr>
        <w:tab/>
        <w:t>For the defendants to be successful, it was vital to have set out the material facts upon which the defences were premised.  Instead the responses constitute bare denials.</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lastRenderedPageBreak/>
        <w:t>[3</w:t>
      </w:r>
      <w:r w:rsidR="001706BF">
        <w:rPr>
          <w:rFonts w:ascii="Arial" w:hAnsi="Arial" w:cs="Arial"/>
          <w:sz w:val="22"/>
          <w:szCs w:val="22"/>
        </w:rPr>
        <w:t>3</w:t>
      </w:r>
      <w:r>
        <w:rPr>
          <w:rFonts w:ascii="Arial" w:hAnsi="Arial" w:cs="Arial"/>
          <w:sz w:val="22"/>
          <w:szCs w:val="22"/>
        </w:rPr>
        <w:t>]</w:t>
      </w:r>
      <w:r>
        <w:rPr>
          <w:rFonts w:ascii="Arial" w:hAnsi="Arial" w:cs="Arial"/>
          <w:sz w:val="22"/>
          <w:szCs w:val="22"/>
        </w:rPr>
        <w:tab/>
        <w:t xml:space="preserve">I am mindful that a </w:t>
      </w:r>
      <w:r w:rsidRPr="00150182">
        <w:rPr>
          <w:rFonts w:ascii="Arial" w:hAnsi="Arial" w:cs="Arial"/>
          <w:i/>
          <w:sz w:val="22"/>
          <w:szCs w:val="22"/>
        </w:rPr>
        <w:t>bona fide</w:t>
      </w:r>
      <w:r>
        <w:rPr>
          <w:rFonts w:ascii="Arial" w:hAnsi="Arial" w:cs="Arial"/>
          <w:sz w:val="22"/>
          <w:szCs w:val="22"/>
        </w:rPr>
        <w:t xml:space="preserve"> defence is assessed upon a consideration of the extent to which the nature and grounds of the defence and the material facts relied upon have been canvassed.  </w:t>
      </w:r>
      <w:r>
        <w:rPr>
          <w:rFonts w:ascii="Arial" w:hAnsi="Arial" w:cs="Arial"/>
          <w:i/>
          <w:sz w:val="22"/>
          <w:szCs w:val="22"/>
        </w:rPr>
        <w:t>Bona fides</w:t>
      </w:r>
      <w:r>
        <w:rPr>
          <w:rFonts w:ascii="Arial" w:hAnsi="Arial" w:cs="Arial"/>
          <w:sz w:val="22"/>
          <w:szCs w:val="22"/>
        </w:rPr>
        <w:t xml:space="preserve"> does not mean that the defendant has to satisfy the court that his version is believed to be true.  All the defendant is required to do is to swear to a defence valid in law, in a manner which is not seriously unconvincing.  Put differently, he should show that there is a reasonable possibility that the defence he advances may succeed on trial.</w:t>
      </w:r>
      <w:r>
        <w:rPr>
          <w:rStyle w:val="FootnoteReference"/>
          <w:rFonts w:ascii="Arial" w:hAnsi="Arial" w:cs="Arial"/>
          <w:sz w:val="22"/>
          <w:szCs w:val="22"/>
        </w:rPr>
        <w:footnoteReference w:id="9"/>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[3</w:t>
      </w:r>
      <w:r w:rsidR="001706BF">
        <w:rPr>
          <w:rFonts w:ascii="Arial" w:hAnsi="Arial" w:cs="Arial"/>
          <w:sz w:val="22"/>
          <w:szCs w:val="22"/>
        </w:rPr>
        <w:t>4</w:t>
      </w:r>
      <w:r>
        <w:rPr>
          <w:rFonts w:ascii="Arial" w:hAnsi="Arial" w:cs="Arial"/>
          <w:sz w:val="22"/>
          <w:szCs w:val="22"/>
        </w:rPr>
        <w:t>]</w:t>
      </w:r>
      <w:r>
        <w:rPr>
          <w:rFonts w:ascii="Arial" w:hAnsi="Arial" w:cs="Arial"/>
          <w:sz w:val="22"/>
          <w:szCs w:val="22"/>
        </w:rPr>
        <w:tab/>
        <w:t xml:space="preserve">I am further mindful that at this stage of the proceedings, the court is not required to decide the disputed issues or determine whether or not there is a balance of probabilities in favour of another.  The court merely considers whether the facts alleged by the defendant constitute a good defence in law and whether that defence appears to be </w:t>
      </w:r>
      <w:r>
        <w:rPr>
          <w:rFonts w:ascii="Arial" w:hAnsi="Arial" w:cs="Arial"/>
          <w:i/>
          <w:sz w:val="22"/>
          <w:szCs w:val="22"/>
        </w:rPr>
        <w:t>bona fide</w:t>
      </w:r>
      <w:r>
        <w:rPr>
          <w:rFonts w:ascii="Arial" w:hAnsi="Arial" w:cs="Arial"/>
          <w:sz w:val="22"/>
          <w:szCs w:val="22"/>
        </w:rPr>
        <w:t>.</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b/>
          <w:sz w:val="22"/>
          <w:szCs w:val="22"/>
          <w:u w:val="single"/>
        </w:rPr>
        <w:t>THE DEFENCES</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sidRPr="00A3503E">
        <w:rPr>
          <w:rFonts w:ascii="Arial" w:hAnsi="Arial" w:cs="Arial"/>
          <w:b/>
          <w:sz w:val="22"/>
          <w:szCs w:val="22"/>
        </w:rPr>
        <w:tab/>
      </w:r>
      <w:r>
        <w:rPr>
          <w:rFonts w:ascii="Arial" w:hAnsi="Arial" w:cs="Arial"/>
          <w:b/>
          <w:sz w:val="22"/>
          <w:szCs w:val="22"/>
          <w:u w:val="single"/>
        </w:rPr>
        <w:t>Rental Agreement</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[3</w:t>
      </w:r>
      <w:r w:rsidR="001706BF">
        <w:rPr>
          <w:rFonts w:ascii="Arial" w:hAnsi="Arial" w:cs="Arial"/>
          <w:sz w:val="22"/>
          <w:szCs w:val="22"/>
        </w:rPr>
        <w:t>5</w:t>
      </w:r>
      <w:r>
        <w:rPr>
          <w:rFonts w:ascii="Arial" w:hAnsi="Arial" w:cs="Arial"/>
          <w:sz w:val="22"/>
          <w:szCs w:val="22"/>
        </w:rPr>
        <w:t>]</w:t>
      </w:r>
      <w:r>
        <w:rPr>
          <w:rFonts w:ascii="Arial" w:hAnsi="Arial" w:cs="Arial"/>
          <w:sz w:val="22"/>
          <w:szCs w:val="22"/>
        </w:rPr>
        <w:tab/>
        <w:t>As alluded to above, the defendants placed the issue of rectification into dispute.  The plaintiffs pleaded that due to a common error between the parties, the rental schedule incorrectly reflected the name of the third defendant instead of the first defendant.</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[3</w:t>
      </w:r>
      <w:r w:rsidR="001706BF">
        <w:rPr>
          <w:rFonts w:ascii="Arial" w:hAnsi="Arial" w:cs="Arial"/>
          <w:sz w:val="22"/>
          <w:szCs w:val="22"/>
        </w:rPr>
        <w:t>6</w:t>
      </w:r>
      <w:r>
        <w:rPr>
          <w:rFonts w:ascii="Arial" w:hAnsi="Arial" w:cs="Arial"/>
          <w:sz w:val="22"/>
          <w:szCs w:val="22"/>
        </w:rPr>
        <w:t>]</w:t>
      </w:r>
      <w:r>
        <w:rPr>
          <w:rFonts w:ascii="Arial" w:hAnsi="Arial" w:cs="Arial"/>
          <w:sz w:val="22"/>
          <w:szCs w:val="22"/>
        </w:rPr>
        <w:tab/>
        <w:t xml:space="preserve">A claim for rectification of a contract may be granted in summary judgment proceedings provided that the plaintiffs </w:t>
      </w:r>
      <w:r w:rsidR="0004090E">
        <w:rPr>
          <w:rFonts w:ascii="Arial" w:hAnsi="Arial" w:cs="Arial"/>
          <w:sz w:val="22"/>
          <w:szCs w:val="22"/>
        </w:rPr>
        <w:t xml:space="preserve">are able to demonstrate </w:t>
      </w:r>
      <w:r>
        <w:rPr>
          <w:rFonts w:ascii="Arial" w:hAnsi="Arial" w:cs="Arial"/>
          <w:sz w:val="22"/>
          <w:szCs w:val="22"/>
        </w:rPr>
        <w:t xml:space="preserve">that the parties were </w:t>
      </w:r>
      <w:r>
        <w:rPr>
          <w:rFonts w:ascii="Arial" w:hAnsi="Arial" w:cs="Arial"/>
          <w:sz w:val="22"/>
          <w:szCs w:val="22"/>
        </w:rPr>
        <w:lastRenderedPageBreak/>
        <w:t>ad idem as to the respects in which their written contract does not concisely reflect their agreement.</w:t>
      </w:r>
      <w:r>
        <w:rPr>
          <w:rStyle w:val="FootnoteReference"/>
          <w:rFonts w:ascii="Arial" w:hAnsi="Arial" w:cs="Arial"/>
          <w:sz w:val="22"/>
          <w:szCs w:val="22"/>
        </w:rPr>
        <w:footnoteReference w:id="10"/>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[3</w:t>
      </w:r>
      <w:r w:rsidR="001706BF">
        <w:rPr>
          <w:rFonts w:ascii="Arial" w:hAnsi="Arial" w:cs="Arial"/>
          <w:sz w:val="22"/>
          <w:szCs w:val="22"/>
        </w:rPr>
        <w:t>7</w:t>
      </w:r>
      <w:r>
        <w:rPr>
          <w:rFonts w:ascii="Arial" w:hAnsi="Arial" w:cs="Arial"/>
          <w:sz w:val="22"/>
          <w:szCs w:val="22"/>
        </w:rPr>
        <w:t>]</w:t>
      </w:r>
      <w:r>
        <w:rPr>
          <w:rFonts w:ascii="Arial" w:hAnsi="Arial" w:cs="Arial"/>
          <w:sz w:val="22"/>
          <w:szCs w:val="22"/>
        </w:rPr>
        <w:tab/>
        <w:t>In the opposing affidavit, the defendants raise issue with the fact that the rental schedule incorrectly record</w:t>
      </w:r>
      <w:r w:rsidR="00EB6903">
        <w:rPr>
          <w:rFonts w:ascii="Arial" w:hAnsi="Arial" w:cs="Arial"/>
          <w:sz w:val="22"/>
          <w:szCs w:val="22"/>
        </w:rPr>
        <w:t>ed</w:t>
      </w:r>
      <w:r>
        <w:rPr>
          <w:rFonts w:ascii="Arial" w:hAnsi="Arial" w:cs="Arial"/>
          <w:sz w:val="22"/>
          <w:szCs w:val="22"/>
        </w:rPr>
        <w:t xml:space="preserve"> the agreement between the parties.</w:t>
      </w:r>
      <w:r w:rsidR="00EB6903">
        <w:rPr>
          <w:rFonts w:ascii="Arial" w:hAnsi="Arial" w:cs="Arial"/>
          <w:sz w:val="22"/>
          <w:szCs w:val="22"/>
        </w:rPr>
        <w:t xml:space="preserve">  </w:t>
      </w:r>
      <w:r>
        <w:rPr>
          <w:rFonts w:ascii="Arial" w:hAnsi="Arial" w:cs="Arial"/>
          <w:sz w:val="22"/>
          <w:szCs w:val="22"/>
        </w:rPr>
        <w:t>In particular, they disputed that:</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(i)</w:t>
      </w:r>
      <w:r>
        <w:rPr>
          <w:rFonts w:ascii="Arial" w:hAnsi="Arial" w:cs="Arial"/>
          <w:sz w:val="22"/>
          <w:szCs w:val="22"/>
        </w:rPr>
        <w:tab/>
        <w:t>the amount stipulated in the rental schedule;</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(ii)</w:t>
      </w:r>
      <w:r>
        <w:rPr>
          <w:rFonts w:ascii="Arial" w:hAnsi="Arial" w:cs="Arial"/>
          <w:sz w:val="22"/>
          <w:szCs w:val="22"/>
        </w:rPr>
        <w:tab/>
        <w:t>Part B to the schedule is non-existent;</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(iii)</w:t>
      </w:r>
      <w:r>
        <w:rPr>
          <w:rFonts w:ascii="Arial" w:hAnsi="Arial" w:cs="Arial"/>
          <w:sz w:val="22"/>
          <w:szCs w:val="22"/>
        </w:rPr>
        <w:tab/>
        <w:t>no rental quotation was agreed upon by the parties;</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(iv)</w:t>
      </w:r>
      <w:r>
        <w:rPr>
          <w:rFonts w:ascii="Arial" w:hAnsi="Arial" w:cs="Arial"/>
          <w:sz w:val="22"/>
          <w:szCs w:val="22"/>
        </w:rPr>
        <w:tab/>
        <w:t>the wording in the rental schedule is vague.</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t>However</w:t>
      </w:r>
      <w:r w:rsidR="001706BF">
        <w:rPr>
          <w:rFonts w:ascii="Arial" w:hAnsi="Arial" w:cs="Arial"/>
          <w:sz w:val="22"/>
          <w:szCs w:val="22"/>
        </w:rPr>
        <w:t>,</w:t>
      </w:r>
      <w:r>
        <w:rPr>
          <w:rFonts w:ascii="Arial" w:hAnsi="Arial" w:cs="Arial"/>
          <w:sz w:val="22"/>
          <w:szCs w:val="22"/>
        </w:rPr>
        <w:t xml:space="preserve"> they do so without placing the material facts they rely upon, hence setting out their version.</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[3</w:t>
      </w:r>
      <w:r w:rsidR="001706BF">
        <w:rPr>
          <w:rFonts w:ascii="Arial" w:hAnsi="Arial" w:cs="Arial"/>
          <w:sz w:val="22"/>
          <w:szCs w:val="22"/>
        </w:rPr>
        <w:t>8</w:t>
      </w:r>
      <w:r>
        <w:rPr>
          <w:rFonts w:ascii="Arial" w:hAnsi="Arial" w:cs="Arial"/>
          <w:sz w:val="22"/>
          <w:szCs w:val="22"/>
        </w:rPr>
        <w:t>]</w:t>
      </w:r>
      <w:r>
        <w:rPr>
          <w:rFonts w:ascii="Arial" w:hAnsi="Arial" w:cs="Arial"/>
          <w:sz w:val="22"/>
          <w:szCs w:val="22"/>
        </w:rPr>
        <w:tab/>
        <w:t>A sufficient and full disclosure of the material facts is necessary to persuade the court that what the defendants alleged, if it is proved at the trial, would constitute a defence to the plaintiff’s claim.  The onus is always on the party claiming rectification to show, on a balance of probabilities, that it should be granted.</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 xml:space="preserve"> </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w:t>
      </w:r>
      <w:r w:rsidR="00D77EE6">
        <w:rPr>
          <w:rFonts w:ascii="Arial" w:hAnsi="Arial" w:cs="Arial"/>
          <w:sz w:val="22"/>
          <w:szCs w:val="22"/>
        </w:rPr>
        <w:t>3</w:t>
      </w:r>
      <w:r w:rsidR="001706BF">
        <w:rPr>
          <w:rFonts w:ascii="Arial" w:hAnsi="Arial" w:cs="Arial"/>
          <w:sz w:val="22"/>
          <w:szCs w:val="22"/>
        </w:rPr>
        <w:t>9</w:t>
      </w:r>
      <w:r>
        <w:rPr>
          <w:rFonts w:ascii="Arial" w:hAnsi="Arial" w:cs="Arial"/>
          <w:sz w:val="22"/>
          <w:szCs w:val="22"/>
        </w:rPr>
        <w:t>]</w:t>
      </w:r>
      <w:r>
        <w:rPr>
          <w:rFonts w:ascii="Arial" w:hAnsi="Arial" w:cs="Arial"/>
          <w:sz w:val="22"/>
          <w:szCs w:val="22"/>
        </w:rPr>
        <w:tab/>
        <w:t>Rectification of a written agreement is a remedy available in instances where the agreement, through a common mistake, does not reflect the true intention of the contracting parties or where it erroneously does not record the agreement between the parties.</w:t>
      </w:r>
      <w:r>
        <w:rPr>
          <w:rStyle w:val="FootnoteReference"/>
          <w:rFonts w:ascii="Arial" w:hAnsi="Arial" w:cs="Arial"/>
          <w:sz w:val="22"/>
          <w:szCs w:val="22"/>
        </w:rPr>
        <w:footnoteReference w:id="11"/>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lastRenderedPageBreak/>
        <w:t>[</w:t>
      </w:r>
      <w:r w:rsidR="001706BF">
        <w:rPr>
          <w:rFonts w:ascii="Arial" w:hAnsi="Arial" w:cs="Arial"/>
          <w:sz w:val="22"/>
          <w:szCs w:val="22"/>
        </w:rPr>
        <w:t>40</w:t>
      </w:r>
      <w:r>
        <w:rPr>
          <w:rFonts w:ascii="Arial" w:hAnsi="Arial" w:cs="Arial"/>
          <w:sz w:val="22"/>
          <w:szCs w:val="22"/>
        </w:rPr>
        <w:t>]</w:t>
      </w:r>
      <w:r>
        <w:rPr>
          <w:rFonts w:ascii="Arial" w:hAnsi="Arial" w:cs="Arial"/>
          <w:sz w:val="22"/>
          <w:szCs w:val="22"/>
        </w:rPr>
        <w:tab/>
        <w:t>The pr</w:t>
      </w:r>
      <w:r w:rsidR="00EB6903">
        <w:rPr>
          <w:rFonts w:ascii="Arial" w:hAnsi="Arial" w:cs="Arial"/>
          <w:sz w:val="22"/>
          <w:szCs w:val="22"/>
        </w:rPr>
        <w:t>incipl</w:t>
      </w:r>
      <w:r w:rsidR="00C941C5">
        <w:rPr>
          <w:rFonts w:ascii="Arial" w:hAnsi="Arial" w:cs="Arial"/>
          <w:sz w:val="22"/>
          <w:szCs w:val="22"/>
        </w:rPr>
        <w:t>e</w:t>
      </w:r>
      <w:r w:rsidR="00EB6903">
        <w:rPr>
          <w:rFonts w:ascii="Arial" w:hAnsi="Arial" w:cs="Arial"/>
          <w:sz w:val="22"/>
          <w:szCs w:val="22"/>
        </w:rPr>
        <w:t xml:space="preserve"> </w:t>
      </w:r>
      <w:r>
        <w:rPr>
          <w:rFonts w:ascii="Arial" w:hAnsi="Arial" w:cs="Arial"/>
          <w:sz w:val="22"/>
          <w:szCs w:val="22"/>
        </w:rPr>
        <w:t xml:space="preserve">requirement for rectification is </w:t>
      </w:r>
      <w:r w:rsidR="00EB6903">
        <w:rPr>
          <w:rFonts w:ascii="Arial" w:hAnsi="Arial" w:cs="Arial"/>
          <w:sz w:val="22"/>
          <w:szCs w:val="22"/>
        </w:rPr>
        <w:t xml:space="preserve">that the </w:t>
      </w:r>
      <w:r>
        <w:rPr>
          <w:rFonts w:ascii="Arial" w:hAnsi="Arial" w:cs="Arial"/>
          <w:sz w:val="22"/>
          <w:szCs w:val="22"/>
        </w:rPr>
        <w:t>common continuing intention of the parties</w:t>
      </w:r>
      <w:r w:rsidR="00EB6903">
        <w:rPr>
          <w:rFonts w:ascii="Arial" w:hAnsi="Arial" w:cs="Arial"/>
          <w:sz w:val="22"/>
          <w:szCs w:val="22"/>
        </w:rPr>
        <w:t xml:space="preserve"> </w:t>
      </w:r>
      <w:r>
        <w:rPr>
          <w:rFonts w:ascii="Arial" w:hAnsi="Arial" w:cs="Arial"/>
          <w:sz w:val="22"/>
          <w:szCs w:val="22"/>
        </w:rPr>
        <w:t xml:space="preserve">is not reflected in the agreement.  </w:t>
      </w:r>
      <w:r w:rsidR="00EB6903">
        <w:rPr>
          <w:rFonts w:ascii="Arial" w:hAnsi="Arial" w:cs="Arial"/>
          <w:sz w:val="22"/>
          <w:szCs w:val="22"/>
        </w:rPr>
        <w:t xml:space="preserve">Therefore </w:t>
      </w:r>
      <w:r>
        <w:rPr>
          <w:rFonts w:ascii="Arial" w:hAnsi="Arial" w:cs="Arial"/>
          <w:sz w:val="22"/>
          <w:szCs w:val="22"/>
        </w:rPr>
        <w:t xml:space="preserve">the parties </w:t>
      </w:r>
      <w:r w:rsidR="00EB6903">
        <w:rPr>
          <w:rFonts w:ascii="Arial" w:hAnsi="Arial" w:cs="Arial"/>
          <w:sz w:val="22"/>
          <w:szCs w:val="22"/>
        </w:rPr>
        <w:t xml:space="preserve">cannot cause the incorrect words in their agreement to be the true intention.  This </w:t>
      </w:r>
      <w:r w:rsidR="00C941C5">
        <w:rPr>
          <w:rFonts w:ascii="Arial" w:hAnsi="Arial" w:cs="Arial"/>
          <w:sz w:val="22"/>
          <w:szCs w:val="22"/>
        </w:rPr>
        <w:t xml:space="preserve">is contrary to the basis of our contractual </w:t>
      </w:r>
      <w:r>
        <w:rPr>
          <w:rFonts w:ascii="Arial" w:hAnsi="Arial" w:cs="Arial"/>
          <w:sz w:val="22"/>
          <w:szCs w:val="22"/>
        </w:rPr>
        <w:t>law.</w:t>
      </w:r>
      <w:r>
        <w:rPr>
          <w:rStyle w:val="FootnoteReference"/>
          <w:rFonts w:ascii="Arial" w:hAnsi="Arial" w:cs="Arial"/>
          <w:sz w:val="22"/>
          <w:szCs w:val="22"/>
        </w:rPr>
        <w:footnoteReference w:id="12"/>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[4</w:t>
      </w:r>
      <w:r w:rsidR="001706BF">
        <w:rPr>
          <w:rFonts w:ascii="Arial" w:hAnsi="Arial" w:cs="Arial"/>
          <w:sz w:val="22"/>
          <w:szCs w:val="22"/>
        </w:rPr>
        <w:t>1</w:t>
      </w:r>
      <w:r>
        <w:rPr>
          <w:rFonts w:ascii="Arial" w:hAnsi="Arial" w:cs="Arial"/>
          <w:sz w:val="22"/>
          <w:szCs w:val="22"/>
        </w:rPr>
        <w:t>]</w:t>
      </w:r>
      <w:r>
        <w:rPr>
          <w:rFonts w:ascii="Arial" w:hAnsi="Arial" w:cs="Arial"/>
          <w:sz w:val="22"/>
          <w:szCs w:val="22"/>
        </w:rPr>
        <w:tab/>
        <w:t xml:space="preserve">In </w:t>
      </w:r>
      <w:r>
        <w:rPr>
          <w:rFonts w:ascii="Arial" w:hAnsi="Arial" w:cs="Arial"/>
          <w:b/>
          <w:i/>
          <w:sz w:val="22"/>
          <w:szCs w:val="22"/>
        </w:rPr>
        <w:t>Brits v Van Heerden</w:t>
      </w:r>
      <w:r w:rsidRPr="002A0C30">
        <w:rPr>
          <w:rStyle w:val="FootnoteReference"/>
          <w:rFonts w:ascii="Arial" w:hAnsi="Arial" w:cs="Arial"/>
          <w:sz w:val="22"/>
          <w:szCs w:val="22"/>
        </w:rPr>
        <w:footnoteReference w:id="13"/>
      </w:r>
      <w:r>
        <w:rPr>
          <w:rFonts w:ascii="Arial" w:hAnsi="Arial" w:cs="Arial"/>
          <w:sz w:val="22"/>
          <w:szCs w:val="22"/>
        </w:rPr>
        <w:t>the court stated that rec</w:t>
      </w:r>
      <w:r w:rsidR="00EB6903">
        <w:rPr>
          <w:rFonts w:ascii="Arial" w:hAnsi="Arial" w:cs="Arial"/>
          <w:sz w:val="22"/>
          <w:szCs w:val="22"/>
        </w:rPr>
        <w:t>t</w:t>
      </w:r>
      <w:r>
        <w:rPr>
          <w:rFonts w:ascii="Arial" w:hAnsi="Arial" w:cs="Arial"/>
          <w:sz w:val="22"/>
          <w:szCs w:val="22"/>
        </w:rPr>
        <w:t>ification may be granted where the written memorial of an agreement does not reflect the true consensus of the parties.</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[4</w:t>
      </w:r>
      <w:r w:rsidR="001706BF">
        <w:rPr>
          <w:rFonts w:ascii="Arial" w:hAnsi="Arial" w:cs="Arial"/>
          <w:sz w:val="22"/>
          <w:szCs w:val="22"/>
        </w:rPr>
        <w:t>2</w:t>
      </w:r>
      <w:r>
        <w:rPr>
          <w:rFonts w:ascii="Arial" w:hAnsi="Arial" w:cs="Arial"/>
          <w:sz w:val="22"/>
          <w:szCs w:val="22"/>
        </w:rPr>
        <w:t>]</w:t>
      </w:r>
      <w:r>
        <w:rPr>
          <w:rFonts w:ascii="Arial" w:hAnsi="Arial" w:cs="Arial"/>
          <w:sz w:val="22"/>
          <w:szCs w:val="22"/>
        </w:rPr>
        <w:tab/>
        <w:t>On the facts I have noted that both the Master Level Agreement and the Addendum thereto recorded the first defendant as the “user”.</w:t>
      </w:r>
      <w:r w:rsidRPr="002A0C30">
        <w:rPr>
          <w:rStyle w:val="FootnoteReference"/>
          <w:rFonts w:ascii="Arial" w:hAnsi="Arial" w:cs="Arial"/>
          <w:sz w:val="22"/>
          <w:szCs w:val="22"/>
        </w:rPr>
        <w:t xml:space="preserve"> </w:t>
      </w:r>
      <w:r>
        <w:rPr>
          <w:rStyle w:val="FootnoteReference"/>
          <w:rFonts w:ascii="Arial" w:hAnsi="Arial" w:cs="Arial"/>
          <w:sz w:val="22"/>
          <w:szCs w:val="22"/>
        </w:rPr>
        <w:footnoteReference w:id="14"/>
      </w:r>
      <w:r>
        <w:rPr>
          <w:rFonts w:ascii="Arial" w:hAnsi="Arial" w:cs="Arial"/>
          <w:sz w:val="22"/>
          <w:szCs w:val="22"/>
        </w:rPr>
        <w:t xml:space="preserve">  The rental schedule, however, reflect</w:t>
      </w:r>
      <w:r w:rsidR="0004090E">
        <w:rPr>
          <w:rFonts w:ascii="Arial" w:hAnsi="Arial" w:cs="Arial"/>
          <w:sz w:val="22"/>
          <w:szCs w:val="22"/>
        </w:rPr>
        <w:t>ed</w:t>
      </w:r>
      <w:r>
        <w:rPr>
          <w:rFonts w:ascii="Arial" w:hAnsi="Arial" w:cs="Arial"/>
          <w:sz w:val="22"/>
          <w:szCs w:val="22"/>
        </w:rPr>
        <w:t xml:space="preserve"> the third defendant’s name as the “user”.  This was clearly an error.  </w:t>
      </w:r>
      <w:r w:rsidR="0004090E">
        <w:rPr>
          <w:rFonts w:ascii="Arial" w:hAnsi="Arial" w:cs="Arial"/>
          <w:sz w:val="22"/>
          <w:szCs w:val="22"/>
        </w:rPr>
        <w:t>Therefore i</w:t>
      </w:r>
      <w:r>
        <w:rPr>
          <w:rFonts w:ascii="Arial" w:hAnsi="Arial" w:cs="Arial"/>
          <w:sz w:val="22"/>
          <w:szCs w:val="22"/>
        </w:rPr>
        <w:t xml:space="preserve">t cannot be </w:t>
      </w:r>
      <w:r w:rsidR="0004090E">
        <w:rPr>
          <w:rFonts w:ascii="Arial" w:hAnsi="Arial" w:cs="Arial"/>
          <w:sz w:val="22"/>
          <w:szCs w:val="22"/>
        </w:rPr>
        <w:t xml:space="preserve">gainsaid </w:t>
      </w:r>
      <w:r>
        <w:rPr>
          <w:rFonts w:ascii="Arial" w:hAnsi="Arial" w:cs="Arial"/>
          <w:sz w:val="22"/>
          <w:szCs w:val="22"/>
        </w:rPr>
        <w:t>that the parties’ continued common intention</w:t>
      </w:r>
      <w:r w:rsidR="0004090E">
        <w:rPr>
          <w:rFonts w:ascii="Arial" w:hAnsi="Arial" w:cs="Arial"/>
          <w:sz w:val="22"/>
          <w:szCs w:val="22"/>
        </w:rPr>
        <w:t>,</w:t>
      </w:r>
      <w:r>
        <w:rPr>
          <w:rFonts w:ascii="Arial" w:hAnsi="Arial" w:cs="Arial"/>
          <w:sz w:val="22"/>
          <w:szCs w:val="22"/>
        </w:rPr>
        <w:t xml:space="preserve"> at all relevant times</w:t>
      </w:r>
      <w:r w:rsidR="0004090E">
        <w:rPr>
          <w:rFonts w:ascii="Arial" w:hAnsi="Arial" w:cs="Arial"/>
          <w:sz w:val="22"/>
          <w:szCs w:val="22"/>
        </w:rPr>
        <w:t>,</w:t>
      </w:r>
      <w:r>
        <w:rPr>
          <w:rFonts w:ascii="Arial" w:hAnsi="Arial" w:cs="Arial"/>
          <w:sz w:val="22"/>
          <w:szCs w:val="22"/>
        </w:rPr>
        <w:t xml:space="preserve"> was that the “user” was the first defendant, Cellsecure Monitoring and Response (Pty) Ltd.  </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[4</w:t>
      </w:r>
      <w:r w:rsidR="001706BF">
        <w:rPr>
          <w:rFonts w:ascii="Arial" w:hAnsi="Arial" w:cs="Arial"/>
          <w:sz w:val="22"/>
          <w:szCs w:val="22"/>
        </w:rPr>
        <w:t>3</w:t>
      </w:r>
      <w:r>
        <w:rPr>
          <w:rFonts w:ascii="Arial" w:hAnsi="Arial" w:cs="Arial"/>
          <w:sz w:val="22"/>
          <w:szCs w:val="22"/>
        </w:rPr>
        <w:t>]</w:t>
      </w:r>
      <w:r>
        <w:rPr>
          <w:rFonts w:ascii="Arial" w:hAnsi="Arial" w:cs="Arial"/>
          <w:sz w:val="22"/>
          <w:szCs w:val="22"/>
        </w:rPr>
        <w:tab/>
        <w:t xml:space="preserve">The further defences </w:t>
      </w:r>
      <w:r w:rsidR="00C941C5">
        <w:rPr>
          <w:rFonts w:ascii="Arial" w:hAnsi="Arial" w:cs="Arial"/>
          <w:sz w:val="22"/>
          <w:szCs w:val="22"/>
        </w:rPr>
        <w:t xml:space="preserve">that </w:t>
      </w:r>
      <w:r>
        <w:rPr>
          <w:rFonts w:ascii="Arial" w:hAnsi="Arial" w:cs="Arial"/>
          <w:sz w:val="22"/>
          <w:szCs w:val="22"/>
        </w:rPr>
        <w:t>pertain to the wording</w:t>
      </w:r>
      <w:r w:rsidR="00C941C5">
        <w:rPr>
          <w:rFonts w:ascii="Arial" w:hAnsi="Arial" w:cs="Arial"/>
          <w:sz w:val="22"/>
          <w:szCs w:val="22"/>
        </w:rPr>
        <w:t xml:space="preserve"> in the rental schedule, namely the use of the word “services”</w:t>
      </w:r>
      <w:r>
        <w:rPr>
          <w:rFonts w:ascii="Arial" w:hAnsi="Arial" w:cs="Arial"/>
          <w:sz w:val="22"/>
          <w:szCs w:val="22"/>
        </w:rPr>
        <w:t xml:space="preserve"> and </w:t>
      </w:r>
      <w:r w:rsidR="00E87905">
        <w:rPr>
          <w:rFonts w:ascii="Arial" w:hAnsi="Arial" w:cs="Arial"/>
          <w:sz w:val="22"/>
          <w:szCs w:val="22"/>
        </w:rPr>
        <w:t>further that Annexure ‘B’ wa</w:t>
      </w:r>
      <w:r>
        <w:rPr>
          <w:rFonts w:ascii="Arial" w:hAnsi="Arial" w:cs="Arial"/>
          <w:sz w:val="22"/>
          <w:szCs w:val="22"/>
        </w:rPr>
        <w:t>s not attached to the schedule</w:t>
      </w:r>
      <w:r w:rsidR="00E87905">
        <w:rPr>
          <w:rFonts w:ascii="Arial" w:hAnsi="Arial" w:cs="Arial"/>
          <w:sz w:val="22"/>
          <w:szCs w:val="22"/>
        </w:rPr>
        <w:t xml:space="preserve"> are, in my view,</w:t>
      </w:r>
      <w:r>
        <w:rPr>
          <w:rFonts w:ascii="Arial" w:hAnsi="Arial" w:cs="Arial"/>
          <w:sz w:val="22"/>
          <w:szCs w:val="22"/>
        </w:rPr>
        <w:t xml:space="preserve"> not </w:t>
      </w:r>
      <w:r>
        <w:rPr>
          <w:rFonts w:ascii="Arial" w:hAnsi="Arial" w:cs="Arial"/>
          <w:i/>
          <w:sz w:val="22"/>
          <w:szCs w:val="22"/>
        </w:rPr>
        <w:t xml:space="preserve">bona </w:t>
      </w:r>
      <w:r w:rsidRPr="00E87905">
        <w:rPr>
          <w:rFonts w:ascii="Arial" w:hAnsi="Arial" w:cs="Arial"/>
          <w:i/>
          <w:sz w:val="22"/>
          <w:szCs w:val="22"/>
        </w:rPr>
        <w:t>fide</w:t>
      </w:r>
      <w:r>
        <w:rPr>
          <w:rFonts w:ascii="Arial" w:hAnsi="Arial" w:cs="Arial"/>
          <w:sz w:val="22"/>
          <w:szCs w:val="22"/>
        </w:rPr>
        <w:t>.  The defendants should have at least raised such defences in their plea and illustrated the basis of their defences.  Instead, their response constituted a bare denial.  The</w:t>
      </w:r>
      <w:r w:rsidR="00E87905">
        <w:rPr>
          <w:rFonts w:ascii="Arial" w:hAnsi="Arial" w:cs="Arial"/>
          <w:sz w:val="22"/>
          <w:szCs w:val="22"/>
        </w:rPr>
        <w:t xml:space="preserve"> only</w:t>
      </w:r>
      <w:r>
        <w:rPr>
          <w:rFonts w:ascii="Arial" w:hAnsi="Arial" w:cs="Arial"/>
          <w:sz w:val="22"/>
          <w:szCs w:val="22"/>
        </w:rPr>
        <w:t xml:space="preserve"> inescapable conclusion that </w:t>
      </w:r>
      <w:r w:rsidR="00E87905">
        <w:rPr>
          <w:rFonts w:ascii="Arial" w:hAnsi="Arial" w:cs="Arial"/>
          <w:sz w:val="22"/>
          <w:szCs w:val="22"/>
        </w:rPr>
        <w:t>one can draw i</w:t>
      </w:r>
      <w:r>
        <w:rPr>
          <w:rFonts w:ascii="Arial" w:hAnsi="Arial" w:cs="Arial"/>
          <w:sz w:val="22"/>
          <w:szCs w:val="22"/>
        </w:rPr>
        <w:t>s that the said defence</w:t>
      </w:r>
      <w:r w:rsidR="00E87905">
        <w:rPr>
          <w:rFonts w:ascii="Arial" w:hAnsi="Arial" w:cs="Arial"/>
          <w:sz w:val="22"/>
          <w:szCs w:val="22"/>
        </w:rPr>
        <w:t>s were</w:t>
      </w:r>
      <w:r>
        <w:rPr>
          <w:rFonts w:ascii="Arial" w:hAnsi="Arial" w:cs="Arial"/>
          <w:sz w:val="22"/>
          <w:szCs w:val="22"/>
        </w:rPr>
        <w:t xml:space="preserve"> contrived.  In the premises, the plaintiffs’ relief for rectification is granted. </w:t>
      </w:r>
    </w:p>
    <w:p w:rsidR="00712E6E" w:rsidRPr="002A0C30"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b/>
          <w:sz w:val="22"/>
          <w:szCs w:val="22"/>
          <w:u w:val="single"/>
        </w:rPr>
        <w:t>DELIVERY OF THE EQUIPMENT</w:t>
      </w:r>
    </w:p>
    <w:p w:rsidR="00712E6E" w:rsidRPr="00150182" w:rsidRDefault="00712E6E" w:rsidP="00712E6E">
      <w:pPr>
        <w:spacing w:line="480" w:lineRule="auto"/>
        <w:ind w:left="720" w:hanging="720"/>
        <w:jc w:val="both"/>
        <w:rPr>
          <w:rFonts w:ascii="Arial" w:hAnsi="Arial" w:cs="Arial"/>
          <w:sz w:val="22"/>
          <w:szCs w:val="22"/>
        </w:rPr>
      </w:pPr>
    </w:p>
    <w:p w:rsidR="0004090E" w:rsidRDefault="00712E6E" w:rsidP="00712E6E">
      <w:pPr>
        <w:spacing w:line="480" w:lineRule="auto"/>
        <w:ind w:left="720" w:hanging="720"/>
        <w:jc w:val="both"/>
        <w:rPr>
          <w:rFonts w:ascii="Arial" w:hAnsi="Arial" w:cs="Arial"/>
          <w:sz w:val="22"/>
          <w:szCs w:val="22"/>
        </w:rPr>
      </w:pPr>
      <w:r>
        <w:rPr>
          <w:rFonts w:ascii="Arial" w:hAnsi="Arial" w:cs="Arial"/>
          <w:sz w:val="22"/>
          <w:szCs w:val="22"/>
        </w:rPr>
        <w:t>[4</w:t>
      </w:r>
      <w:r w:rsidR="001706BF">
        <w:rPr>
          <w:rFonts w:ascii="Arial" w:hAnsi="Arial" w:cs="Arial"/>
          <w:sz w:val="22"/>
          <w:szCs w:val="22"/>
        </w:rPr>
        <w:t>4</w:t>
      </w:r>
      <w:r>
        <w:rPr>
          <w:rFonts w:ascii="Arial" w:hAnsi="Arial" w:cs="Arial"/>
          <w:sz w:val="22"/>
          <w:szCs w:val="22"/>
        </w:rPr>
        <w:t>]</w:t>
      </w:r>
      <w:r>
        <w:rPr>
          <w:rFonts w:ascii="Arial" w:hAnsi="Arial" w:cs="Arial"/>
          <w:sz w:val="22"/>
          <w:szCs w:val="22"/>
        </w:rPr>
        <w:tab/>
        <w:t xml:space="preserve">On this aspect the defendants raise the defence of </w:t>
      </w:r>
      <w:r>
        <w:rPr>
          <w:rFonts w:ascii="Arial" w:hAnsi="Arial" w:cs="Arial"/>
          <w:i/>
          <w:sz w:val="22"/>
          <w:szCs w:val="22"/>
        </w:rPr>
        <w:t>justus error</w:t>
      </w:r>
      <w:r>
        <w:rPr>
          <w:rFonts w:ascii="Arial" w:hAnsi="Arial" w:cs="Arial"/>
          <w:sz w:val="22"/>
          <w:szCs w:val="22"/>
        </w:rPr>
        <w:t xml:space="preserve">.  Mr van der Merwe, </w:t>
      </w:r>
      <w:r w:rsidR="00E87905">
        <w:rPr>
          <w:rFonts w:ascii="Arial" w:hAnsi="Arial" w:cs="Arial"/>
          <w:sz w:val="22"/>
          <w:szCs w:val="22"/>
        </w:rPr>
        <w:t xml:space="preserve">who deposed to the affidavit </w:t>
      </w:r>
      <w:r>
        <w:rPr>
          <w:rFonts w:ascii="Arial" w:hAnsi="Arial" w:cs="Arial"/>
          <w:sz w:val="22"/>
          <w:szCs w:val="22"/>
        </w:rPr>
        <w:t>on behalf of the defendants, argued that the certificate of acceptan</w:t>
      </w:r>
      <w:r w:rsidR="00E87905">
        <w:rPr>
          <w:rFonts w:ascii="Arial" w:hAnsi="Arial" w:cs="Arial"/>
          <w:sz w:val="22"/>
          <w:szCs w:val="22"/>
        </w:rPr>
        <w:t xml:space="preserve">ce was signed without him </w:t>
      </w:r>
      <w:r>
        <w:rPr>
          <w:rFonts w:ascii="Arial" w:hAnsi="Arial" w:cs="Arial"/>
          <w:sz w:val="22"/>
          <w:szCs w:val="22"/>
        </w:rPr>
        <w:t>reading through the contents</w:t>
      </w:r>
      <w:r w:rsidR="00E87905">
        <w:rPr>
          <w:rFonts w:ascii="Arial" w:hAnsi="Arial" w:cs="Arial"/>
          <w:sz w:val="22"/>
          <w:szCs w:val="22"/>
        </w:rPr>
        <w:t xml:space="preserve"> thereof</w:t>
      </w:r>
      <w:r>
        <w:rPr>
          <w:rFonts w:ascii="Arial" w:hAnsi="Arial" w:cs="Arial"/>
          <w:sz w:val="22"/>
          <w:szCs w:val="22"/>
        </w:rPr>
        <w:t xml:space="preserve">.  Again this does not constitute a </w:t>
      </w:r>
      <w:r>
        <w:rPr>
          <w:rFonts w:ascii="Arial" w:hAnsi="Arial" w:cs="Arial"/>
          <w:i/>
          <w:sz w:val="22"/>
          <w:szCs w:val="22"/>
        </w:rPr>
        <w:t>bona fide</w:t>
      </w:r>
      <w:r>
        <w:rPr>
          <w:rFonts w:ascii="Arial" w:hAnsi="Arial" w:cs="Arial"/>
          <w:sz w:val="22"/>
          <w:szCs w:val="22"/>
        </w:rPr>
        <w:t xml:space="preserve"> defence.  </w:t>
      </w:r>
    </w:p>
    <w:p w:rsidR="0004090E" w:rsidRDefault="0004090E" w:rsidP="00712E6E">
      <w:pPr>
        <w:spacing w:line="480" w:lineRule="auto"/>
        <w:ind w:left="720" w:hanging="720"/>
        <w:jc w:val="both"/>
        <w:rPr>
          <w:rFonts w:ascii="Arial" w:hAnsi="Arial" w:cs="Arial"/>
          <w:sz w:val="22"/>
          <w:szCs w:val="22"/>
        </w:rPr>
      </w:pPr>
    </w:p>
    <w:p w:rsidR="00712E6E" w:rsidRDefault="0004090E" w:rsidP="00712E6E">
      <w:pPr>
        <w:spacing w:line="480" w:lineRule="auto"/>
        <w:ind w:left="720" w:hanging="720"/>
        <w:jc w:val="both"/>
        <w:rPr>
          <w:rFonts w:ascii="Arial" w:hAnsi="Arial" w:cs="Arial"/>
          <w:sz w:val="22"/>
          <w:szCs w:val="22"/>
        </w:rPr>
      </w:pPr>
      <w:r>
        <w:rPr>
          <w:rFonts w:ascii="Arial" w:hAnsi="Arial" w:cs="Arial"/>
          <w:sz w:val="22"/>
          <w:szCs w:val="22"/>
        </w:rPr>
        <w:t>[4</w:t>
      </w:r>
      <w:r w:rsidR="001706BF">
        <w:rPr>
          <w:rFonts w:ascii="Arial" w:hAnsi="Arial" w:cs="Arial"/>
          <w:sz w:val="22"/>
          <w:szCs w:val="22"/>
        </w:rPr>
        <w:t>5</w:t>
      </w:r>
      <w:r>
        <w:rPr>
          <w:rFonts w:ascii="Arial" w:hAnsi="Arial" w:cs="Arial"/>
          <w:sz w:val="22"/>
          <w:szCs w:val="22"/>
        </w:rPr>
        <w:t>]</w:t>
      </w:r>
      <w:r>
        <w:rPr>
          <w:rFonts w:ascii="Arial" w:hAnsi="Arial" w:cs="Arial"/>
          <w:sz w:val="22"/>
          <w:szCs w:val="22"/>
        </w:rPr>
        <w:tab/>
      </w:r>
      <w:r w:rsidR="00E87905">
        <w:rPr>
          <w:rFonts w:ascii="Arial" w:hAnsi="Arial" w:cs="Arial"/>
          <w:sz w:val="22"/>
          <w:szCs w:val="22"/>
        </w:rPr>
        <w:t>In my view, t</w:t>
      </w:r>
      <w:r w:rsidR="00712E6E">
        <w:rPr>
          <w:rFonts w:ascii="Arial" w:hAnsi="Arial" w:cs="Arial"/>
          <w:sz w:val="22"/>
          <w:szCs w:val="22"/>
        </w:rPr>
        <w:t xml:space="preserve">he defendants can surely not escape their obligations by relying on Mr van der Merwe’s omission to read the certificate confirming the delivery of the rental equipment.  A mistaken party is not able to escape from a contract if his conduct of not reading the certificate was </w:t>
      </w:r>
      <w:r>
        <w:rPr>
          <w:rFonts w:ascii="Arial" w:hAnsi="Arial" w:cs="Arial"/>
          <w:sz w:val="22"/>
          <w:szCs w:val="22"/>
        </w:rPr>
        <w:t>due to his own action.  There are</w:t>
      </w:r>
      <w:r w:rsidR="00712E6E">
        <w:rPr>
          <w:rFonts w:ascii="Arial" w:hAnsi="Arial" w:cs="Arial"/>
          <w:sz w:val="22"/>
          <w:szCs w:val="22"/>
        </w:rPr>
        <w:t xml:space="preserve"> no allegation</w:t>
      </w:r>
      <w:r>
        <w:rPr>
          <w:rFonts w:ascii="Arial" w:hAnsi="Arial" w:cs="Arial"/>
          <w:sz w:val="22"/>
          <w:szCs w:val="22"/>
        </w:rPr>
        <w:t>s that the plaintiffs misled him or that misrepresentations were made.</w:t>
      </w:r>
      <w:r w:rsidR="00712E6E">
        <w:rPr>
          <w:rStyle w:val="FootnoteReference"/>
          <w:rFonts w:ascii="Arial" w:hAnsi="Arial" w:cs="Arial"/>
          <w:sz w:val="22"/>
          <w:szCs w:val="22"/>
        </w:rPr>
        <w:footnoteReference w:id="15"/>
      </w:r>
      <w:r w:rsidR="00712E6E">
        <w:rPr>
          <w:rFonts w:ascii="Arial" w:hAnsi="Arial" w:cs="Arial"/>
          <w:sz w:val="22"/>
          <w:szCs w:val="22"/>
        </w:rPr>
        <w:t xml:space="preserve"> </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[4</w:t>
      </w:r>
      <w:r w:rsidR="001706BF">
        <w:rPr>
          <w:rFonts w:ascii="Arial" w:hAnsi="Arial" w:cs="Arial"/>
          <w:sz w:val="22"/>
          <w:szCs w:val="22"/>
        </w:rPr>
        <w:t>6</w:t>
      </w:r>
      <w:r>
        <w:rPr>
          <w:rFonts w:ascii="Arial" w:hAnsi="Arial" w:cs="Arial"/>
          <w:sz w:val="22"/>
          <w:szCs w:val="22"/>
        </w:rPr>
        <w:t>]</w:t>
      </w:r>
      <w:r>
        <w:rPr>
          <w:rFonts w:ascii="Arial" w:hAnsi="Arial" w:cs="Arial"/>
          <w:sz w:val="22"/>
          <w:szCs w:val="22"/>
        </w:rPr>
        <w:tab/>
        <w:t xml:space="preserve">In fact, the wording in the certificate </w:t>
      </w:r>
      <w:r w:rsidR="0004090E">
        <w:rPr>
          <w:rFonts w:ascii="Arial" w:hAnsi="Arial" w:cs="Arial"/>
          <w:sz w:val="22"/>
          <w:szCs w:val="22"/>
        </w:rPr>
        <w:t xml:space="preserve">expressly and </w:t>
      </w:r>
      <w:r>
        <w:rPr>
          <w:rFonts w:ascii="Arial" w:hAnsi="Arial" w:cs="Arial"/>
          <w:sz w:val="22"/>
          <w:szCs w:val="22"/>
        </w:rPr>
        <w:t>clearly set out:</w:t>
      </w:r>
    </w:p>
    <w:p w:rsidR="00712E6E"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Pr>
          <w:rFonts w:ascii="Arial" w:hAnsi="Arial" w:cs="Arial"/>
          <w:i/>
          <w:sz w:val="22"/>
          <w:szCs w:val="22"/>
        </w:rPr>
        <w:t>“… Kindly sign at the foot of the copy hereof, thereby confirming that the goods have been delivered and installed to your satisfaction, on receipt of which we shall pay the supplier.</w:t>
      </w:r>
    </w:p>
    <w:p w:rsidR="00712E6E" w:rsidRDefault="00712E6E" w:rsidP="00712E6E">
      <w:pPr>
        <w:spacing w:line="480" w:lineRule="auto"/>
        <w:ind w:left="720" w:hanging="720"/>
        <w:jc w:val="both"/>
        <w:rPr>
          <w:rFonts w:ascii="Arial" w:hAnsi="Arial" w:cs="Arial"/>
          <w:i/>
          <w:sz w:val="22"/>
          <w:szCs w:val="22"/>
        </w:rPr>
      </w:pPr>
      <w:r>
        <w:rPr>
          <w:rFonts w:ascii="Arial" w:hAnsi="Arial" w:cs="Arial"/>
          <w:i/>
          <w:sz w:val="22"/>
          <w:szCs w:val="22"/>
        </w:rPr>
        <w:tab/>
        <w:t>Once signed … which will constitute your confirmation of the commencement of your liability to us in terms of the agreement.”</w:t>
      </w:r>
    </w:p>
    <w:p w:rsidR="00712E6E" w:rsidRDefault="00712E6E" w:rsidP="00712E6E">
      <w:pPr>
        <w:spacing w:line="480" w:lineRule="auto"/>
        <w:ind w:left="720" w:hanging="720"/>
        <w:jc w:val="both"/>
        <w:rPr>
          <w:rFonts w:ascii="Arial" w:hAnsi="Arial" w:cs="Arial"/>
          <w:i/>
          <w:sz w:val="22"/>
          <w:szCs w:val="22"/>
        </w:rPr>
      </w:pPr>
    </w:p>
    <w:p w:rsidR="00712E6E" w:rsidRPr="0004090E" w:rsidRDefault="00712E6E" w:rsidP="00712E6E">
      <w:pPr>
        <w:spacing w:line="480" w:lineRule="auto"/>
        <w:ind w:left="720" w:hanging="720"/>
        <w:jc w:val="both"/>
        <w:rPr>
          <w:rFonts w:ascii="Arial" w:hAnsi="Arial" w:cs="Arial"/>
          <w:sz w:val="22"/>
          <w:szCs w:val="22"/>
        </w:rPr>
      </w:pPr>
      <w:r>
        <w:rPr>
          <w:rFonts w:ascii="Arial" w:hAnsi="Arial" w:cs="Arial"/>
          <w:sz w:val="22"/>
          <w:szCs w:val="22"/>
        </w:rPr>
        <w:t>[4</w:t>
      </w:r>
      <w:r w:rsidR="001706BF">
        <w:rPr>
          <w:rFonts w:ascii="Arial" w:hAnsi="Arial" w:cs="Arial"/>
          <w:sz w:val="22"/>
          <w:szCs w:val="22"/>
        </w:rPr>
        <w:t>7</w:t>
      </w:r>
      <w:r>
        <w:rPr>
          <w:rFonts w:ascii="Arial" w:hAnsi="Arial" w:cs="Arial"/>
          <w:sz w:val="22"/>
          <w:szCs w:val="22"/>
        </w:rPr>
        <w:t>]</w:t>
      </w:r>
      <w:r>
        <w:rPr>
          <w:rFonts w:ascii="Arial" w:hAnsi="Arial" w:cs="Arial"/>
          <w:sz w:val="22"/>
          <w:szCs w:val="22"/>
        </w:rPr>
        <w:tab/>
        <w:t xml:space="preserve">The question that begs an answer is: why was such version not pleaded in the plea?  To the contrary, </w:t>
      </w:r>
      <w:r w:rsidR="00E87905">
        <w:rPr>
          <w:rFonts w:ascii="Arial" w:hAnsi="Arial" w:cs="Arial"/>
          <w:sz w:val="22"/>
          <w:szCs w:val="22"/>
        </w:rPr>
        <w:t xml:space="preserve">as indicated above, </w:t>
      </w:r>
      <w:r>
        <w:rPr>
          <w:rFonts w:ascii="Arial" w:hAnsi="Arial" w:cs="Arial"/>
          <w:sz w:val="22"/>
          <w:szCs w:val="22"/>
        </w:rPr>
        <w:t>the defendants’ response in the plea constituted a bare denial.</w:t>
      </w:r>
      <w:r w:rsidR="0004090E">
        <w:rPr>
          <w:rFonts w:ascii="Arial" w:hAnsi="Arial" w:cs="Arial"/>
          <w:sz w:val="22"/>
          <w:szCs w:val="22"/>
        </w:rPr>
        <w:t xml:space="preserve">  This defence, in my view, is also not </w:t>
      </w:r>
      <w:r w:rsidR="0004090E">
        <w:rPr>
          <w:rFonts w:ascii="Arial" w:hAnsi="Arial" w:cs="Arial"/>
          <w:i/>
          <w:sz w:val="22"/>
          <w:szCs w:val="22"/>
        </w:rPr>
        <w:t>bona fide</w:t>
      </w:r>
      <w:r w:rsidR="0004090E">
        <w:rPr>
          <w:rFonts w:ascii="Arial" w:hAnsi="Arial" w:cs="Arial"/>
          <w:sz w:val="22"/>
          <w:szCs w:val="22"/>
        </w:rPr>
        <w:t>.</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b/>
          <w:sz w:val="22"/>
          <w:szCs w:val="22"/>
          <w:u w:val="single"/>
        </w:rPr>
        <w:t>AMOUNTS OWING</w:t>
      </w:r>
      <w:r>
        <w:rPr>
          <w:rFonts w:ascii="Arial" w:hAnsi="Arial" w:cs="Arial"/>
          <w:sz w:val="22"/>
          <w:szCs w:val="22"/>
        </w:rPr>
        <w:t xml:space="preserve"> </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[4</w:t>
      </w:r>
      <w:r w:rsidR="001706BF">
        <w:rPr>
          <w:rFonts w:ascii="Arial" w:hAnsi="Arial" w:cs="Arial"/>
          <w:sz w:val="22"/>
          <w:szCs w:val="22"/>
        </w:rPr>
        <w:t>8</w:t>
      </w:r>
      <w:r>
        <w:rPr>
          <w:rFonts w:ascii="Arial" w:hAnsi="Arial" w:cs="Arial"/>
          <w:sz w:val="22"/>
          <w:szCs w:val="22"/>
        </w:rPr>
        <w:t>]</w:t>
      </w:r>
      <w:r>
        <w:rPr>
          <w:rFonts w:ascii="Arial" w:hAnsi="Arial" w:cs="Arial"/>
          <w:sz w:val="22"/>
          <w:szCs w:val="22"/>
        </w:rPr>
        <w:tab/>
        <w:t xml:space="preserve">It is not in dispute that the defendants complied with their payment obligations for at least 18 months in respect of the said agreement.  </w:t>
      </w:r>
      <w:r w:rsidR="0004090E">
        <w:rPr>
          <w:rFonts w:ascii="Arial" w:hAnsi="Arial" w:cs="Arial"/>
          <w:sz w:val="22"/>
          <w:szCs w:val="22"/>
        </w:rPr>
        <w:t xml:space="preserve">Despite a bare denial in the plea, they now, </w:t>
      </w:r>
      <w:r>
        <w:rPr>
          <w:rFonts w:ascii="Arial" w:hAnsi="Arial" w:cs="Arial"/>
          <w:sz w:val="22"/>
          <w:szCs w:val="22"/>
        </w:rPr>
        <w:t>in their opposing affidavit</w:t>
      </w:r>
      <w:r w:rsidR="0004090E">
        <w:rPr>
          <w:rFonts w:ascii="Arial" w:hAnsi="Arial" w:cs="Arial"/>
          <w:sz w:val="22"/>
          <w:szCs w:val="22"/>
        </w:rPr>
        <w:t xml:space="preserve">, raise the issue of </w:t>
      </w:r>
      <w:r>
        <w:rPr>
          <w:rFonts w:ascii="Arial" w:hAnsi="Arial" w:cs="Arial"/>
          <w:sz w:val="22"/>
          <w:szCs w:val="22"/>
        </w:rPr>
        <w:t>SASFIN</w:t>
      </w:r>
      <w:r w:rsidR="0004090E">
        <w:rPr>
          <w:rFonts w:ascii="Arial" w:hAnsi="Arial" w:cs="Arial"/>
          <w:sz w:val="22"/>
          <w:szCs w:val="22"/>
        </w:rPr>
        <w:t>’s authority</w:t>
      </w:r>
      <w:r>
        <w:rPr>
          <w:rFonts w:ascii="Arial" w:hAnsi="Arial" w:cs="Arial"/>
          <w:sz w:val="22"/>
          <w:szCs w:val="22"/>
        </w:rPr>
        <w:t>.</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[4</w:t>
      </w:r>
      <w:r w:rsidR="001706BF">
        <w:rPr>
          <w:rFonts w:ascii="Arial" w:hAnsi="Arial" w:cs="Arial"/>
          <w:sz w:val="22"/>
          <w:szCs w:val="22"/>
        </w:rPr>
        <w:t>9</w:t>
      </w:r>
      <w:r>
        <w:rPr>
          <w:rFonts w:ascii="Arial" w:hAnsi="Arial" w:cs="Arial"/>
          <w:sz w:val="22"/>
          <w:szCs w:val="22"/>
        </w:rPr>
        <w:t>]</w:t>
      </w:r>
      <w:r>
        <w:rPr>
          <w:rFonts w:ascii="Arial" w:hAnsi="Arial" w:cs="Arial"/>
          <w:sz w:val="22"/>
          <w:szCs w:val="22"/>
        </w:rPr>
        <w:tab/>
        <w:t>The defendant</w:t>
      </w:r>
      <w:r w:rsidR="00EB1FD7">
        <w:rPr>
          <w:rFonts w:ascii="Arial" w:hAnsi="Arial" w:cs="Arial"/>
          <w:sz w:val="22"/>
          <w:szCs w:val="22"/>
        </w:rPr>
        <w:t>s</w:t>
      </w:r>
      <w:r>
        <w:rPr>
          <w:rFonts w:ascii="Arial" w:hAnsi="Arial" w:cs="Arial"/>
          <w:sz w:val="22"/>
          <w:szCs w:val="22"/>
        </w:rPr>
        <w:t xml:space="preserve"> do not dispute that the certificate of balance constitutes </w:t>
      </w:r>
      <w:r>
        <w:rPr>
          <w:rFonts w:ascii="Arial" w:hAnsi="Arial" w:cs="Arial"/>
          <w:i/>
          <w:sz w:val="22"/>
          <w:szCs w:val="22"/>
        </w:rPr>
        <w:t>prima facie</w:t>
      </w:r>
      <w:r>
        <w:rPr>
          <w:rFonts w:ascii="Arial" w:hAnsi="Arial" w:cs="Arial"/>
          <w:sz w:val="22"/>
          <w:szCs w:val="22"/>
        </w:rPr>
        <w:t xml:space="preserve"> proof of the amount owing.  The contentions raised are that:  the certificate was not agreed to between the parties; secondly, the certificate does not set out the basis of the calculation in arriving at the amount of indebtedness; thirdly, the certificate had to be certified by TBI and not SASFIN; and lastly, the parties agreed to a certificate issued by the hirer, TBI, and not a cessionary of TBI.</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w:t>
      </w:r>
      <w:r w:rsidR="001706BF">
        <w:rPr>
          <w:rFonts w:ascii="Arial" w:hAnsi="Arial" w:cs="Arial"/>
          <w:sz w:val="22"/>
          <w:szCs w:val="22"/>
        </w:rPr>
        <w:t>50</w:t>
      </w:r>
      <w:r>
        <w:rPr>
          <w:rFonts w:ascii="Arial" w:hAnsi="Arial" w:cs="Arial"/>
          <w:sz w:val="22"/>
          <w:szCs w:val="22"/>
        </w:rPr>
        <w:t>]</w:t>
      </w:r>
      <w:r>
        <w:rPr>
          <w:rFonts w:ascii="Arial" w:hAnsi="Arial" w:cs="Arial"/>
          <w:sz w:val="22"/>
          <w:szCs w:val="22"/>
        </w:rPr>
        <w:tab/>
        <w:t>I have noted that the master rental agreement recorded that the amount of indebtedness would be that which is set out in the certificate of balance.  Clause 2.10.3 of the Master Lease Agreement states:</w:t>
      </w: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ab/>
      </w:r>
      <w:r>
        <w:rPr>
          <w:rFonts w:ascii="Arial" w:hAnsi="Arial" w:cs="Arial"/>
          <w:i/>
          <w:sz w:val="22"/>
          <w:szCs w:val="22"/>
        </w:rPr>
        <w:t>“A certificate signed by any of our managers or authorized person(s) certifying the amount due by the user or any other matter relating thereto, will on the face of it, be the amount of the user’s indebtedness.  It shall not be necessary to prove the appointment of the person signing such certificate.”</w:t>
      </w:r>
      <w:r w:rsidRPr="00336B76">
        <w:rPr>
          <w:rStyle w:val="FootnoteReference"/>
          <w:rFonts w:ascii="Arial" w:hAnsi="Arial" w:cs="Arial"/>
          <w:sz w:val="22"/>
          <w:szCs w:val="22"/>
        </w:rPr>
        <w:footnoteReference w:id="16"/>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w:t>
      </w:r>
      <w:r w:rsidR="001706BF">
        <w:rPr>
          <w:rFonts w:ascii="Arial" w:hAnsi="Arial" w:cs="Arial"/>
          <w:sz w:val="22"/>
          <w:szCs w:val="22"/>
        </w:rPr>
        <w:t>51</w:t>
      </w:r>
      <w:r>
        <w:rPr>
          <w:rFonts w:ascii="Arial" w:hAnsi="Arial" w:cs="Arial"/>
          <w:sz w:val="22"/>
          <w:szCs w:val="22"/>
        </w:rPr>
        <w:t>]</w:t>
      </w:r>
      <w:r>
        <w:rPr>
          <w:rFonts w:ascii="Arial" w:hAnsi="Arial" w:cs="Arial"/>
          <w:sz w:val="22"/>
          <w:szCs w:val="22"/>
        </w:rPr>
        <w:tab/>
        <w:t xml:space="preserve">The certificate of balance further sets out the following that:  the person certifying the balance is a senior litigation manager of SASFIN Bank; SASFIN administrates and manages the rental agreements on behalf of the first plaintiff; and the facts are within </w:t>
      </w:r>
      <w:r>
        <w:rPr>
          <w:rFonts w:ascii="Arial" w:hAnsi="Arial" w:cs="Arial"/>
          <w:sz w:val="22"/>
          <w:szCs w:val="22"/>
        </w:rPr>
        <w:lastRenderedPageBreak/>
        <w:t>his personal knowledge and he is duly authorized to certify the indebtedness of the user on behalf of the SASP.</w:t>
      </w:r>
      <w:r>
        <w:rPr>
          <w:rStyle w:val="FootnoteReference"/>
          <w:rFonts w:ascii="Arial" w:hAnsi="Arial" w:cs="Arial"/>
          <w:sz w:val="22"/>
          <w:szCs w:val="22"/>
        </w:rPr>
        <w:footnoteReference w:id="17"/>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[5</w:t>
      </w:r>
      <w:r w:rsidR="001706BF">
        <w:rPr>
          <w:rFonts w:ascii="Arial" w:hAnsi="Arial" w:cs="Arial"/>
          <w:sz w:val="22"/>
          <w:szCs w:val="22"/>
        </w:rPr>
        <w:t>2</w:t>
      </w:r>
      <w:r>
        <w:rPr>
          <w:rFonts w:ascii="Arial" w:hAnsi="Arial" w:cs="Arial"/>
          <w:sz w:val="22"/>
          <w:szCs w:val="22"/>
        </w:rPr>
        <w:t>]</w:t>
      </w:r>
      <w:r>
        <w:rPr>
          <w:rFonts w:ascii="Arial" w:hAnsi="Arial" w:cs="Arial"/>
          <w:sz w:val="22"/>
          <w:szCs w:val="22"/>
        </w:rPr>
        <w:tab/>
        <w:t xml:space="preserve">It should be </w:t>
      </w:r>
      <w:r w:rsidR="0004090E">
        <w:rPr>
          <w:rFonts w:ascii="Arial" w:hAnsi="Arial" w:cs="Arial"/>
          <w:sz w:val="22"/>
          <w:szCs w:val="22"/>
        </w:rPr>
        <w:t xml:space="preserve">emphasized </w:t>
      </w:r>
      <w:r>
        <w:rPr>
          <w:rFonts w:ascii="Arial" w:hAnsi="Arial" w:cs="Arial"/>
          <w:sz w:val="22"/>
          <w:szCs w:val="22"/>
        </w:rPr>
        <w:t xml:space="preserve">that the said defences are once again raised without the defendants setting out a version of what the amount should be as well as the </w:t>
      </w:r>
      <w:r w:rsidR="00E87905">
        <w:rPr>
          <w:rFonts w:ascii="Arial" w:hAnsi="Arial" w:cs="Arial"/>
          <w:sz w:val="22"/>
          <w:szCs w:val="22"/>
        </w:rPr>
        <w:t>fac</w:t>
      </w:r>
      <w:r>
        <w:rPr>
          <w:rFonts w:ascii="Arial" w:hAnsi="Arial" w:cs="Arial"/>
          <w:sz w:val="22"/>
          <w:szCs w:val="22"/>
        </w:rPr>
        <w:t>t that</w:t>
      </w:r>
      <w:r w:rsidR="00E87905">
        <w:rPr>
          <w:rFonts w:ascii="Arial" w:hAnsi="Arial" w:cs="Arial"/>
          <w:sz w:val="22"/>
          <w:szCs w:val="22"/>
        </w:rPr>
        <w:t xml:space="preserve"> there was an agreement </w:t>
      </w:r>
      <w:r>
        <w:rPr>
          <w:rFonts w:ascii="Arial" w:hAnsi="Arial" w:cs="Arial"/>
          <w:sz w:val="22"/>
          <w:szCs w:val="22"/>
        </w:rPr>
        <w:t xml:space="preserve">that the certificate would be issued by TBI.  </w:t>
      </w:r>
    </w:p>
    <w:p w:rsidR="00712E6E" w:rsidRDefault="00712E6E" w:rsidP="00712E6E">
      <w:pPr>
        <w:spacing w:line="480" w:lineRule="auto"/>
        <w:ind w:left="720" w:hanging="720"/>
        <w:jc w:val="both"/>
        <w:rPr>
          <w:rFonts w:ascii="Arial" w:hAnsi="Arial" w:cs="Arial"/>
          <w:sz w:val="22"/>
          <w:szCs w:val="22"/>
        </w:rPr>
      </w:pPr>
    </w:p>
    <w:p w:rsidR="00712E6E" w:rsidRPr="009E0B07" w:rsidRDefault="00712E6E" w:rsidP="00712E6E">
      <w:pPr>
        <w:spacing w:line="480" w:lineRule="auto"/>
        <w:ind w:left="720" w:hanging="720"/>
        <w:jc w:val="both"/>
        <w:rPr>
          <w:rFonts w:ascii="Arial" w:hAnsi="Arial" w:cs="Arial"/>
          <w:sz w:val="22"/>
          <w:szCs w:val="22"/>
        </w:rPr>
      </w:pPr>
      <w:r>
        <w:rPr>
          <w:rFonts w:ascii="Arial" w:hAnsi="Arial" w:cs="Arial"/>
          <w:sz w:val="22"/>
          <w:szCs w:val="22"/>
        </w:rPr>
        <w:t>[5</w:t>
      </w:r>
      <w:r w:rsidR="001706BF">
        <w:rPr>
          <w:rFonts w:ascii="Arial" w:hAnsi="Arial" w:cs="Arial"/>
          <w:sz w:val="22"/>
          <w:szCs w:val="22"/>
        </w:rPr>
        <w:t>3</w:t>
      </w:r>
      <w:r>
        <w:rPr>
          <w:rFonts w:ascii="Arial" w:hAnsi="Arial" w:cs="Arial"/>
          <w:sz w:val="22"/>
          <w:szCs w:val="22"/>
        </w:rPr>
        <w:t>]</w:t>
      </w:r>
      <w:r>
        <w:rPr>
          <w:rFonts w:ascii="Arial" w:hAnsi="Arial" w:cs="Arial"/>
          <w:sz w:val="22"/>
          <w:szCs w:val="22"/>
        </w:rPr>
        <w:tab/>
      </w:r>
      <w:r w:rsidR="0004090E">
        <w:rPr>
          <w:rFonts w:ascii="Arial" w:hAnsi="Arial" w:cs="Arial"/>
          <w:sz w:val="22"/>
          <w:szCs w:val="22"/>
        </w:rPr>
        <w:t>I may mention that o</w:t>
      </w:r>
      <w:r>
        <w:rPr>
          <w:rFonts w:ascii="Arial" w:hAnsi="Arial" w:cs="Arial"/>
          <w:sz w:val="22"/>
          <w:szCs w:val="22"/>
        </w:rPr>
        <w:t xml:space="preserve">ur rules of court allow parties to amend their pleadings.  In this instance, the defendants could have amended their plea so as to align the defences raised in the affidavit.  Instead the plea remains one of bare denial and does not raise any triable issues.  I reiterate, the defendants could not rely on defences which are unrelated to their version on the plea.  On this basis the rest of the defences are not </w:t>
      </w:r>
      <w:r>
        <w:rPr>
          <w:rFonts w:ascii="Arial" w:hAnsi="Arial" w:cs="Arial"/>
          <w:i/>
          <w:sz w:val="22"/>
          <w:szCs w:val="22"/>
        </w:rPr>
        <w:t>bona fide</w:t>
      </w:r>
      <w:r>
        <w:rPr>
          <w:rFonts w:ascii="Arial" w:hAnsi="Arial" w:cs="Arial"/>
          <w:sz w:val="22"/>
          <w:szCs w:val="22"/>
        </w:rPr>
        <w:t>.</w:t>
      </w:r>
    </w:p>
    <w:p w:rsidR="00712E6E" w:rsidRDefault="00712E6E" w:rsidP="00712E6E">
      <w:pPr>
        <w:spacing w:line="480" w:lineRule="auto"/>
        <w:ind w:left="720" w:hanging="720"/>
        <w:jc w:val="both"/>
        <w:rPr>
          <w:rFonts w:ascii="Arial" w:hAnsi="Arial" w:cs="Arial"/>
          <w:sz w:val="22"/>
          <w:szCs w:val="22"/>
        </w:rPr>
      </w:pPr>
    </w:p>
    <w:p w:rsidR="00712E6E" w:rsidRDefault="00712E6E" w:rsidP="00EB6903">
      <w:pPr>
        <w:spacing w:line="480" w:lineRule="auto"/>
        <w:ind w:left="720" w:hanging="720"/>
        <w:jc w:val="both"/>
        <w:rPr>
          <w:rFonts w:ascii="Arial" w:hAnsi="Arial" w:cs="Arial"/>
          <w:sz w:val="22"/>
          <w:szCs w:val="22"/>
        </w:rPr>
      </w:pPr>
      <w:r>
        <w:rPr>
          <w:rFonts w:ascii="Arial" w:hAnsi="Arial" w:cs="Arial"/>
          <w:sz w:val="22"/>
          <w:szCs w:val="22"/>
        </w:rPr>
        <w:t>[5</w:t>
      </w:r>
      <w:r w:rsidR="001706BF">
        <w:rPr>
          <w:rFonts w:ascii="Arial" w:hAnsi="Arial" w:cs="Arial"/>
          <w:sz w:val="22"/>
          <w:szCs w:val="22"/>
        </w:rPr>
        <w:t>4</w:t>
      </w:r>
      <w:r>
        <w:rPr>
          <w:rFonts w:ascii="Arial" w:hAnsi="Arial" w:cs="Arial"/>
          <w:sz w:val="22"/>
          <w:szCs w:val="22"/>
        </w:rPr>
        <w:t>]</w:t>
      </w:r>
      <w:r>
        <w:rPr>
          <w:rFonts w:ascii="Arial" w:hAnsi="Arial" w:cs="Arial"/>
          <w:sz w:val="22"/>
          <w:szCs w:val="22"/>
        </w:rPr>
        <w:tab/>
        <w:t xml:space="preserve">A defendant who intends to disclose a </w:t>
      </w:r>
      <w:r>
        <w:rPr>
          <w:rFonts w:ascii="Arial" w:hAnsi="Arial" w:cs="Arial"/>
          <w:i/>
          <w:sz w:val="22"/>
          <w:szCs w:val="22"/>
        </w:rPr>
        <w:t xml:space="preserve">bona fide </w:t>
      </w:r>
      <w:r>
        <w:rPr>
          <w:rFonts w:ascii="Arial" w:hAnsi="Arial" w:cs="Arial"/>
          <w:sz w:val="22"/>
          <w:szCs w:val="22"/>
        </w:rPr>
        <w:t>defence in its affidavit which is not raised in its plea should first deliver its notice of intention to amend the plea in terms of Rule 28(1)(ii).   The court may, in terms of Rule 28(10), at any stage before judgment grant leave to a party to amend any pleading or document.</w:t>
      </w:r>
      <w:r>
        <w:rPr>
          <w:rStyle w:val="FootnoteReference"/>
          <w:rFonts w:ascii="Arial" w:hAnsi="Arial" w:cs="Arial"/>
          <w:sz w:val="22"/>
          <w:szCs w:val="22"/>
        </w:rPr>
        <w:footnoteReference w:id="18"/>
      </w:r>
      <w:r>
        <w:rPr>
          <w:rFonts w:ascii="Arial" w:hAnsi="Arial" w:cs="Arial"/>
          <w:sz w:val="22"/>
          <w:szCs w:val="22"/>
        </w:rPr>
        <w:t xml:space="preserve"> </w:t>
      </w:r>
    </w:p>
    <w:p w:rsidR="00712E6E" w:rsidRDefault="00712E6E" w:rsidP="00712E6E">
      <w:pPr>
        <w:spacing w:line="480" w:lineRule="auto"/>
        <w:ind w:left="720" w:hanging="720"/>
        <w:jc w:val="both"/>
        <w:rPr>
          <w:rFonts w:ascii="Arial" w:hAnsi="Arial" w:cs="Arial"/>
          <w:sz w:val="22"/>
          <w:szCs w:val="22"/>
        </w:rPr>
      </w:pPr>
    </w:p>
    <w:p w:rsidR="00712E6E" w:rsidRDefault="00712E6E" w:rsidP="00712E6E">
      <w:pPr>
        <w:spacing w:line="480" w:lineRule="auto"/>
        <w:ind w:left="720" w:hanging="720"/>
        <w:jc w:val="both"/>
        <w:rPr>
          <w:rFonts w:ascii="Arial" w:hAnsi="Arial" w:cs="Arial"/>
          <w:sz w:val="22"/>
          <w:szCs w:val="22"/>
        </w:rPr>
      </w:pPr>
      <w:r>
        <w:rPr>
          <w:rFonts w:ascii="Arial" w:hAnsi="Arial" w:cs="Arial"/>
          <w:sz w:val="22"/>
          <w:szCs w:val="22"/>
        </w:rPr>
        <w:t>[5</w:t>
      </w:r>
      <w:r w:rsidR="001706BF">
        <w:rPr>
          <w:rFonts w:ascii="Arial" w:hAnsi="Arial" w:cs="Arial"/>
          <w:sz w:val="22"/>
          <w:szCs w:val="22"/>
        </w:rPr>
        <w:t>5</w:t>
      </w:r>
      <w:r>
        <w:rPr>
          <w:rFonts w:ascii="Arial" w:hAnsi="Arial" w:cs="Arial"/>
          <w:sz w:val="22"/>
          <w:szCs w:val="22"/>
        </w:rPr>
        <w:t>]</w:t>
      </w:r>
      <w:r>
        <w:rPr>
          <w:rFonts w:ascii="Arial" w:hAnsi="Arial" w:cs="Arial"/>
          <w:sz w:val="22"/>
          <w:szCs w:val="22"/>
        </w:rPr>
        <w:tab/>
        <w:t xml:space="preserve">The Supreme Court of Appeal in </w:t>
      </w:r>
      <w:r w:rsidRPr="004D5145">
        <w:rPr>
          <w:rFonts w:ascii="Arial" w:hAnsi="Arial" w:cs="Arial"/>
          <w:b/>
          <w:i/>
          <w:sz w:val="22"/>
          <w:szCs w:val="22"/>
        </w:rPr>
        <w:t>N</w:t>
      </w:r>
      <w:r w:rsidRPr="00E40B77">
        <w:rPr>
          <w:rFonts w:ascii="Arial" w:hAnsi="Arial" w:cs="Arial"/>
          <w:b/>
          <w:i/>
          <w:sz w:val="22"/>
          <w:szCs w:val="22"/>
        </w:rPr>
        <w:t>PGS Protection and Security Services CC v Firstrand Bank Ltd</w:t>
      </w:r>
      <w:r w:rsidRPr="003747E9">
        <w:rPr>
          <w:rStyle w:val="FootnoteReference"/>
          <w:rFonts w:ascii="Arial" w:hAnsi="Arial" w:cs="Arial"/>
          <w:sz w:val="22"/>
          <w:szCs w:val="22"/>
        </w:rPr>
        <w:footnoteReference w:id="19"/>
      </w:r>
      <w:r>
        <w:rPr>
          <w:rFonts w:ascii="Arial" w:hAnsi="Arial" w:cs="Arial"/>
          <w:sz w:val="22"/>
          <w:szCs w:val="22"/>
        </w:rPr>
        <w:t xml:space="preserve"> </w:t>
      </w:r>
      <w:r w:rsidR="0004090E">
        <w:rPr>
          <w:rFonts w:ascii="Arial" w:hAnsi="Arial" w:cs="Arial"/>
          <w:sz w:val="22"/>
          <w:szCs w:val="22"/>
        </w:rPr>
        <w:t>warned litigants</w:t>
      </w:r>
      <w:r>
        <w:rPr>
          <w:rFonts w:ascii="Arial" w:hAnsi="Arial" w:cs="Arial"/>
          <w:sz w:val="22"/>
          <w:szCs w:val="22"/>
        </w:rPr>
        <w:t xml:space="preserve"> that:</w:t>
      </w:r>
    </w:p>
    <w:p w:rsidR="00712E6E" w:rsidRPr="00E40B77" w:rsidRDefault="00712E6E" w:rsidP="00712E6E">
      <w:pPr>
        <w:spacing w:line="480" w:lineRule="auto"/>
        <w:ind w:left="720" w:hanging="720"/>
        <w:jc w:val="both"/>
        <w:rPr>
          <w:rFonts w:ascii="Arial" w:hAnsi="Arial" w:cs="Arial"/>
          <w:i/>
          <w:sz w:val="22"/>
          <w:szCs w:val="22"/>
        </w:rPr>
      </w:pPr>
      <w:r>
        <w:rPr>
          <w:rFonts w:ascii="Arial" w:hAnsi="Arial" w:cs="Arial"/>
          <w:sz w:val="22"/>
          <w:szCs w:val="22"/>
        </w:rPr>
        <w:tab/>
      </w:r>
      <w:r>
        <w:rPr>
          <w:rFonts w:ascii="Arial" w:hAnsi="Arial" w:cs="Arial"/>
          <w:i/>
          <w:sz w:val="22"/>
          <w:szCs w:val="22"/>
        </w:rPr>
        <w:t xml:space="preserve">“The ever increasing perception that bold averments and sketchy propositions are sufficient to stave off summary judgment is misplaced and not supported by the trite general principles developed over many decades by the court.  See for example the </w:t>
      </w:r>
      <w:r>
        <w:rPr>
          <w:rFonts w:ascii="Arial" w:hAnsi="Arial" w:cs="Arial"/>
          <w:i/>
          <w:sz w:val="22"/>
          <w:szCs w:val="22"/>
        </w:rPr>
        <w:lastRenderedPageBreak/>
        <w:t>well-known judgment of this court in Maharaj v Barclays Bank Ltd 1976 (1) SA 418 A where the proper approach to applications for summary judgment is stated.”</w:t>
      </w:r>
    </w:p>
    <w:p w:rsidR="00712E6E" w:rsidRDefault="00712E6E" w:rsidP="00712E6E">
      <w:pPr>
        <w:autoSpaceDE w:val="0"/>
        <w:autoSpaceDN w:val="0"/>
        <w:adjustRightInd w:val="0"/>
        <w:spacing w:line="480" w:lineRule="auto"/>
        <w:jc w:val="both"/>
        <w:rPr>
          <w:rFonts w:ascii="Arial" w:hAnsi="Arial" w:cs="Arial"/>
          <w:sz w:val="22"/>
          <w:szCs w:val="22"/>
        </w:rPr>
      </w:pPr>
    </w:p>
    <w:p w:rsidR="00E87905" w:rsidRDefault="00E87905" w:rsidP="00712E6E">
      <w:pPr>
        <w:autoSpaceDE w:val="0"/>
        <w:autoSpaceDN w:val="0"/>
        <w:adjustRightInd w:val="0"/>
        <w:spacing w:line="480" w:lineRule="auto"/>
        <w:jc w:val="both"/>
        <w:rPr>
          <w:rFonts w:ascii="Arial" w:hAnsi="Arial" w:cs="Arial"/>
          <w:sz w:val="22"/>
          <w:szCs w:val="22"/>
        </w:rPr>
      </w:pPr>
      <w:r>
        <w:rPr>
          <w:rFonts w:ascii="Arial" w:hAnsi="Arial" w:cs="Arial"/>
          <w:b/>
          <w:sz w:val="22"/>
          <w:szCs w:val="22"/>
          <w:u w:val="single"/>
        </w:rPr>
        <w:t>PERSONAL KNOWLEDGE</w:t>
      </w:r>
    </w:p>
    <w:p w:rsidR="00E87905" w:rsidRPr="00E87905" w:rsidRDefault="00E87905" w:rsidP="00712E6E">
      <w:pPr>
        <w:autoSpaceDE w:val="0"/>
        <w:autoSpaceDN w:val="0"/>
        <w:adjustRightInd w:val="0"/>
        <w:spacing w:line="480" w:lineRule="auto"/>
        <w:jc w:val="both"/>
        <w:rPr>
          <w:rFonts w:ascii="Arial" w:hAnsi="Arial" w:cs="Arial"/>
          <w:sz w:val="22"/>
          <w:szCs w:val="22"/>
        </w:rPr>
      </w:pPr>
    </w:p>
    <w:p w:rsidR="00EB6903" w:rsidRDefault="00EB6903" w:rsidP="00EB6903">
      <w:pPr>
        <w:autoSpaceDE w:val="0"/>
        <w:autoSpaceDN w:val="0"/>
        <w:adjustRightInd w:val="0"/>
        <w:spacing w:line="480" w:lineRule="auto"/>
        <w:ind w:left="720" w:hanging="720"/>
        <w:jc w:val="both"/>
        <w:rPr>
          <w:rFonts w:ascii="Arial" w:hAnsi="Arial" w:cs="Arial"/>
          <w:sz w:val="22"/>
          <w:szCs w:val="22"/>
        </w:rPr>
      </w:pPr>
      <w:r>
        <w:rPr>
          <w:rFonts w:ascii="Arial" w:hAnsi="Arial" w:cs="Arial"/>
          <w:sz w:val="22"/>
          <w:szCs w:val="22"/>
        </w:rPr>
        <w:t>[5</w:t>
      </w:r>
      <w:r w:rsidR="001706BF">
        <w:rPr>
          <w:rFonts w:ascii="Arial" w:hAnsi="Arial" w:cs="Arial"/>
          <w:sz w:val="22"/>
          <w:szCs w:val="22"/>
        </w:rPr>
        <w:t>6</w:t>
      </w:r>
      <w:r>
        <w:rPr>
          <w:rFonts w:ascii="Arial" w:hAnsi="Arial" w:cs="Arial"/>
          <w:sz w:val="22"/>
          <w:szCs w:val="22"/>
        </w:rPr>
        <w:t>]</w:t>
      </w:r>
      <w:r>
        <w:rPr>
          <w:rFonts w:ascii="Arial" w:hAnsi="Arial" w:cs="Arial"/>
          <w:sz w:val="22"/>
          <w:szCs w:val="22"/>
        </w:rPr>
        <w:tab/>
      </w:r>
      <w:r w:rsidR="0004090E">
        <w:rPr>
          <w:rFonts w:ascii="Arial" w:hAnsi="Arial" w:cs="Arial"/>
          <w:sz w:val="22"/>
          <w:szCs w:val="22"/>
        </w:rPr>
        <w:t xml:space="preserve">It is acknowledged that this defence could not have been raised in the plea.  However, a determination must be made as to whether the defence has merit.  </w:t>
      </w:r>
      <w:r>
        <w:rPr>
          <w:rFonts w:ascii="Arial" w:hAnsi="Arial" w:cs="Arial"/>
          <w:sz w:val="22"/>
          <w:szCs w:val="22"/>
        </w:rPr>
        <w:t xml:space="preserve">The </w:t>
      </w:r>
      <w:r w:rsidR="00E87905">
        <w:rPr>
          <w:rFonts w:ascii="Arial" w:hAnsi="Arial" w:cs="Arial"/>
          <w:sz w:val="22"/>
          <w:szCs w:val="22"/>
        </w:rPr>
        <w:t xml:space="preserve">defendants raised the point </w:t>
      </w:r>
      <w:r>
        <w:rPr>
          <w:rFonts w:ascii="Arial" w:hAnsi="Arial" w:cs="Arial"/>
          <w:sz w:val="22"/>
          <w:szCs w:val="22"/>
        </w:rPr>
        <w:t xml:space="preserve">that the deponent </w:t>
      </w:r>
      <w:r w:rsidR="00E87905">
        <w:rPr>
          <w:rFonts w:ascii="Arial" w:hAnsi="Arial" w:cs="Arial"/>
          <w:sz w:val="22"/>
          <w:szCs w:val="22"/>
        </w:rPr>
        <w:t xml:space="preserve">to the supporting affidavit </w:t>
      </w:r>
      <w:r w:rsidR="0004090E">
        <w:rPr>
          <w:rFonts w:ascii="Arial" w:hAnsi="Arial" w:cs="Arial"/>
          <w:sz w:val="22"/>
          <w:szCs w:val="22"/>
        </w:rPr>
        <w:t>lacked</w:t>
      </w:r>
      <w:r>
        <w:rPr>
          <w:rFonts w:ascii="Arial" w:hAnsi="Arial" w:cs="Arial"/>
          <w:sz w:val="22"/>
          <w:szCs w:val="22"/>
        </w:rPr>
        <w:t xml:space="preserve"> personal knowledge.  It was further argued that the mere fact that the deponent was authorized to ac</w:t>
      </w:r>
      <w:r w:rsidR="0004090E">
        <w:rPr>
          <w:rFonts w:ascii="Arial" w:hAnsi="Arial" w:cs="Arial"/>
          <w:sz w:val="22"/>
          <w:szCs w:val="22"/>
        </w:rPr>
        <w:t>t</w:t>
      </w:r>
      <w:r>
        <w:rPr>
          <w:rFonts w:ascii="Arial" w:hAnsi="Arial" w:cs="Arial"/>
          <w:sz w:val="22"/>
          <w:szCs w:val="22"/>
        </w:rPr>
        <w:t xml:space="preserve"> on behalf of the plaintiffs does not imply that he has personal knowledge.</w:t>
      </w:r>
    </w:p>
    <w:p w:rsidR="00201317" w:rsidRDefault="00201317" w:rsidP="00EB6903">
      <w:pPr>
        <w:autoSpaceDE w:val="0"/>
        <w:autoSpaceDN w:val="0"/>
        <w:adjustRightInd w:val="0"/>
        <w:spacing w:line="480" w:lineRule="auto"/>
        <w:ind w:left="720" w:hanging="720"/>
        <w:jc w:val="both"/>
        <w:rPr>
          <w:rFonts w:ascii="Arial" w:hAnsi="Arial" w:cs="Arial"/>
          <w:sz w:val="22"/>
          <w:szCs w:val="22"/>
        </w:rPr>
      </w:pPr>
    </w:p>
    <w:p w:rsidR="00201317" w:rsidRDefault="00201317" w:rsidP="00EB6903">
      <w:pPr>
        <w:autoSpaceDE w:val="0"/>
        <w:autoSpaceDN w:val="0"/>
        <w:adjustRightInd w:val="0"/>
        <w:spacing w:line="480" w:lineRule="auto"/>
        <w:ind w:left="720" w:hanging="720"/>
        <w:jc w:val="both"/>
        <w:rPr>
          <w:rFonts w:ascii="Arial" w:hAnsi="Arial" w:cs="Arial"/>
          <w:sz w:val="22"/>
          <w:szCs w:val="22"/>
        </w:rPr>
      </w:pPr>
      <w:r>
        <w:rPr>
          <w:rFonts w:ascii="Arial" w:hAnsi="Arial" w:cs="Arial"/>
          <w:sz w:val="22"/>
          <w:szCs w:val="22"/>
        </w:rPr>
        <w:t>[5</w:t>
      </w:r>
      <w:r w:rsidR="001706BF">
        <w:rPr>
          <w:rFonts w:ascii="Arial" w:hAnsi="Arial" w:cs="Arial"/>
          <w:sz w:val="22"/>
          <w:szCs w:val="22"/>
        </w:rPr>
        <w:t>7</w:t>
      </w:r>
      <w:r>
        <w:rPr>
          <w:rFonts w:ascii="Arial" w:hAnsi="Arial" w:cs="Arial"/>
          <w:sz w:val="22"/>
          <w:szCs w:val="22"/>
        </w:rPr>
        <w:t>]</w:t>
      </w:r>
      <w:r>
        <w:rPr>
          <w:rFonts w:ascii="Arial" w:hAnsi="Arial" w:cs="Arial"/>
          <w:sz w:val="22"/>
          <w:szCs w:val="22"/>
        </w:rPr>
        <w:tab/>
        <w:t>In my view, there is no merit to this defence.  The deponent states in his affidavit the following that:  the defendants’ files are in h</w:t>
      </w:r>
      <w:r w:rsidR="00E87905">
        <w:rPr>
          <w:rFonts w:ascii="Arial" w:hAnsi="Arial" w:cs="Arial"/>
          <w:sz w:val="22"/>
          <w:szCs w:val="22"/>
        </w:rPr>
        <w:t xml:space="preserve">is possession and control; </w:t>
      </w:r>
      <w:r>
        <w:rPr>
          <w:rFonts w:ascii="Arial" w:hAnsi="Arial" w:cs="Arial"/>
          <w:sz w:val="22"/>
          <w:szCs w:val="22"/>
        </w:rPr>
        <w:t>he has familiarized him</w:t>
      </w:r>
      <w:r w:rsidR="00E87905">
        <w:rPr>
          <w:rFonts w:ascii="Arial" w:hAnsi="Arial" w:cs="Arial"/>
          <w:sz w:val="22"/>
          <w:szCs w:val="22"/>
        </w:rPr>
        <w:t>self with the documents and</w:t>
      </w:r>
      <w:r>
        <w:rPr>
          <w:rFonts w:ascii="Arial" w:hAnsi="Arial" w:cs="Arial"/>
          <w:sz w:val="22"/>
          <w:szCs w:val="22"/>
        </w:rPr>
        <w:t xml:space="preserve"> he was duly authorized to represent the first plaintiff.</w:t>
      </w:r>
      <w:r>
        <w:rPr>
          <w:rStyle w:val="FootnoteReference"/>
          <w:rFonts w:ascii="Arial" w:hAnsi="Arial" w:cs="Arial"/>
          <w:sz w:val="22"/>
          <w:szCs w:val="22"/>
        </w:rPr>
        <w:footnoteReference w:id="20"/>
      </w:r>
      <w:r>
        <w:rPr>
          <w:rFonts w:ascii="Arial" w:hAnsi="Arial" w:cs="Arial"/>
          <w:sz w:val="22"/>
          <w:szCs w:val="22"/>
        </w:rPr>
        <w:t xml:space="preserve">  Under the said circumstances, the deponent acquired knowledge of the matter.</w:t>
      </w:r>
    </w:p>
    <w:p w:rsidR="00201317" w:rsidRDefault="00201317" w:rsidP="00EB6903">
      <w:pPr>
        <w:autoSpaceDE w:val="0"/>
        <w:autoSpaceDN w:val="0"/>
        <w:adjustRightInd w:val="0"/>
        <w:spacing w:line="480" w:lineRule="auto"/>
        <w:ind w:left="720" w:hanging="720"/>
        <w:jc w:val="both"/>
        <w:rPr>
          <w:rFonts w:ascii="Arial" w:hAnsi="Arial" w:cs="Arial"/>
          <w:sz w:val="22"/>
          <w:szCs w:val="22"/>
        </w:rPr>
      </w:pPr>
    </w:p>
    <w:p w:rsidR="00201317" w:rsidRDefault="00201317" w:rsidP="00EB6903">
      <w:pPr>
        <w:autoSpaceDE w:val="0"/>
        <w:autoSpaceDN w:val="0"/>
        <w:adjustRightInd w:val="0"/>
        <w:spacing w:line="480" w:lineRule="auto"/>
        <w:ind w:left="720" w:hanging="720"/>
        <w:jc w:val="both"/>
        <w:rPr>
          <w:rFonts w:ascii="Arial" w:hAnsi="Arial" w:cs="Arial"/>
          <w:sz w:val="22"/>
          <w:szCs w:val="22"/>
        </w:rPr>
      </w:pPr>
      <w:r>
        <w:rPr>
          <w:rFonts w:ascii="Arial" w:hAnsi="Arial" w:cs="Arial"/>
          <w:sz w:val="22"/>
          <w:szCs w:val="22"/>
        </w:rPr>
        <w:t>[5</w:t>
      </w:r>
      <w:r w:rsidR="001706BF">
        <w:rPr>
          <w:rFonts w:ascii="Arial" w:hAnsi="Arial" w:cs="Arial"/>
          <w:sz w:val="22"/>
          <w:szCs w:val="22"/>
        </w:rPr>
        <w:t>8</w:t>
      </w:r>
      <w:r>
        <w:rPr>
          <w:rFonts w:ascii="Arial" w:hAnsi="Arial" w:cs="Arial"/>
          <w:sz w:val="22"/>
          <w:szCs w:val="22"/>
        </w:rPr>
        <w:t>]</w:t>
      </w:r>
      <w:r>
        <w:rPr>
          <w:rFonts w:ascii="Arial" w:hAnsi="Arial" w:cs="Arial"/>
          <w:sz w:val="22"/>
          <w:szCs w:val="22"/>
        </w:rPr>
        <w:tab/>
        <w:t>Our courts have been seized with this legal point time and again.  It has exhaustively been found that where an applicant was an entity, the deponent to the affidavit need not have first had knowledge of the facts.  The deponent could rely on the documents in its possession and upon perusal thereof confirm his/her personal knowledge of the matter.</w:t>
      </w:r>
      <w:r>
        <w:rPr>
          <w:rStyle w:val="FootnoteReference"/>
          <w:rFonts w:ascii="Arial" w:hAnsi="Arial" w:cs="Arial"/>
          <w:sz w:val="22"/>
          <w:szCs w:val="22"/>
        </w:rPr>
        <w:footnoteReference w:id="21"/>
      </w:r>
    </w:p>
    <w:p w:rsidR="00201317" w:rsidRDefault="00201317" w:rsidP="00EB6903">
      <w:pPr>
        <w:autoSpaceDE w:val="0"/>
        <w:autoSpaceDN w:val="0"/>
        <w:adjustRightInd w:val="0"/>
        <w:spacing w:line="480" w:lineRule="auto"/>
        <w:ind w:left="720" w:hanging="720"/>
        <w:jc w:val="both"/>
        <w:rPr>
          <w:rFonts w:ascii="Arial" w:hAnsi="Arial" w:cs="Arial"/>
          <w:sz w:val="22"/>
          <w:szCs w:val="22"/>
        </w:rPr>
      </w:pPr>
    </w:p>
    <w:p w:rsidR="00712E6E" w:rsidRDefault="00712E6E" w:rsidP="00712E6E">
      <w:pPr>
        <w:autoSpaceDE w:val="0"/>
        <w:autoSpaceDN w:val="0"/>
        <w:adjustRightInd w:val="0"/>
        <w:spacing w:line="480" w:lineRule="auto"/>
        <w:jc w:val="both"/>
        <w:rPr>
          <w:rFonts w:ascii="Arial" w:hAnsi="Arial" w:cs="Arial"/>
          <w:sz w:val="22"/>
          <w:szCs w:val="22"/>
        </w:rPr>
      </w:pPr>
      <w:r>
        <w:rPr>
          <w:rFonts w:ascii="Arial" w:hAnsi="Arial" w:cs="Arial"/>
          <w:b/>
          <w:sz w:val="22"/>
          <w:szCs w:val="22"/>
          <w:u w:val="single"/>
        </w:rPr>
        <w:t>CO</w:t>
      </w:r>
      <w:r w:rsidR="00E87905">
        <w:rPr>
          <w:rFonts w:ascii="Arial" w:hAnsi="Arial" w:cs="Arial"/>
          <w:b/>
          <w:sz w:val="22"/>
          <w:szCs w:val="22"/>
          <w:u w:val="single"/>
        </w:rPr>
        <w:t>NCLUSION</w:t>
      </w:r>
    </w:p>
    <w:p w:rsidR="00712E6E" w:rsidRDefault="00712E6E" w:rsidP="00712E6E">
      <w:pPr>
        <w:autoSpaceDE w:val="0"/>
        <w:autoSpaceDN w:val="0"/>
        <w:adjustRightInd w:val="0"/>
        <w:spacing w:line="480" w:lineRule="auto"/>
        <w:jc w:val="both"/>
        <w:rPr>
          <w:rFonts w:ascii="Arial" w:hAnsi="Arial" w:cs="Arial"/>
          <w:sz w:val="22"/>
          <w:szCs w:val="22"/>
        </w:rPr>
      </w:pPr>
    </w:p>
    <w:p w:rsidR="00765BC3" w:rsidRPr="00BB3A19" w:rsidRDefault="00712E6E" w:rsidP="00BB3A19">
      <w:pPr>
        <w:pStyle w:val="FootnoteText"/>
        <w:spacing w:line="480" w:lineRule="auto"/>
        <w:ind w:left="720" w:hanging="720"/>
        <w:rPr>
          <w:rFonts w:ascii="Arial" w:hAnsi="Arial" w:cs="Arial"/>
          <w:sz w:val="22"/>
          <w:szCs w:val="22"/>
        </w:rPr>
      </w:pPr>
      <w:r w:rsidRPr="00BB3A19">
        <w:rPr>
          <w:rFonts w:ascii="Arial" w:hAnsi="Arial" w:cs="Arial"/>
          <w:sz w:val="22"/>
          <w:szCs w:val="22"/>
        </w:rPr>
        <w:t>[5</w:t>
      </w:r>
      <w:r w:rsidR="001706BF">
        <w:rPr>
          <w:rFonts w:ascii="Arial" w:hAnsi="Arial" w:cs="Arial"/>
          <w:sz w:val="22"/>
          <w:szCs w:val="22"/>
        </w:rPr>
        <w:t>9</w:t>
      </w:r>
      <w:r w:rsidRPr="00BB3A19">
        <w:rPr>
          <w:rFonts w:ascii="Arial" w:hAnsi="Arial" w:cs="Arial"/>
          <w:sz w:val="22"/>
          <w:szCs w:val="22"/>
        </w:rPr>
        <w:t>]</w:t>
      </w:r>
      <w:r w:rsidRPr="00BB3A19">
        <w:rPr>
          <w:rFonts w:ascii="Arial" w:hAnsi="Arial" w:cs="Arial"/>
          <w:sz w:val="22"/>
          <w:szCs w:val="22"/>
        </w:rPr>
        <w:tab/>
        <w:t>In</w:t>
      </w:r>
      <w:r w:rsidR="00EB6903" w:rsidRPr="00BB3A19">
        <w:rPr>
          <w:rFonts w:ascii="Arial" w:hAnsi="Arial" w:cs="Arial"/>
          <w:sz w:val="22"/>
          <w:szCs w:val="22"/>
        </w:rPr>
        <w:t xml:space="preserve"> conclusion, </w:t>
      </w:r>
      <w:r w:rsidR="0004090E">
        <w:rPr>
          <w:rFonts w:ascii="Arial" w:hAnsi="Arial" w:cs="Arial"/>
          <w:sz w:val="22"/>
          <w:szCs w:val="22"/>
        </w:rPr>
        <w:t xml:space="preserve">I find that </w:t>
      </w:r>
      <w:r w:rsidR="00EB6903" w:rsidRPr="00BB3A19">
        <w:rPr>
          <w:rFonts w:ascii="Arial" w:hAnsi="Arial" w:cs="Arial"/>
          <w:sz w:val="22"/>
          <w:szCs w:val="22"/>
        </w:rPr>
        <w:t xml:space="preserve">the defendants’ defences </w:t>
      </w:r>
      <w:r w:rsidR="0004090E">
        <w:rPr>
          <w:rFonts w:ascii="Arial" w:hAnsi="Arial" w:cs="Arial"/>
          <w:sz w:val="22"/>
          <w:szCs w:val="22"/>
        </w:rPr>
        <w:t xml:space="preserve">are unsustainable.  </w:t>
      </w:r>
      <w:r w:rsidR="00EB6903" w:rsidRPr="00BB3A19">
        <w:rPr>
          <w:rFonts w:ascii="Arial" w:hAnsi="Arial" w:cs="Arial"/>
          <w:sz w:val="22"/>
          <w:szCs w:val="22"/>
        </w:rPr>
        <w:t xml:space="preserve">In my view, they are not </w:t>
      </w:r>
      <w:r w:rsidR="00EB6903" w:rsidRPr="00BB3A19">
        <w:rPr>
          <w:rFonts w:ascii="Arial" w:hAnsi="Arial" w:cs="Arial"/>
          <w:i/>
          <w:sz w:val="22"/>
          <w:szCs w:val="22"/>
        </w:rPr>
        <w:t>bona fide</w:t>
      </w:r>
      <w:r w:rsidR="00EB6903" w:rsidRPr="00BB3A19">
        <w:rPr>
          <w:rFonts w:ascii="Arial" w:hAnsi="Arial" w:cs="Arial"/>
          <w:sz w:val="22"/>
          <w:szCs w:val="22"/>
        </w:rPr>
        <w:t>, nor are they good in law.  In</w:t>
      </w:r>
      <w:r w:rsidRPr="00BB3A19">
        <w:rPr>
          <w:rFonts w:ascii="Arial" w:hAnsi="Arial" w:cs="Arial"/>
          <w:sz w:val="22"/>
          <w:szCs w:val="22"/>
        </w:rPr>
        <w:t xml:space="preserve"> the premises, I find that the plaintiffs are entitled to the relief sought.  </w:t>
      </w:r>
    </w:p>
    <w:p w:rsidR="00076447" w:rsidRDefault="00076447" w:rsidP="00EB6903">
      <w:pPr>
        <w:spacing w:line="480" w:lineRule="auto"/>
        <w:ind w:left="720" w:hanging="720"/>
        <w:rPr>
          <w:rFonts w:ascii="Arial" w:hAnsi="Arial" w:cs="Arial"/>
          <w:sz w:val="22"/>
          <w:szCs w:val="22"/>
        </w:rPr>
      </w:pPr>
    </w:p>
    <w:p w:rsidR="00076447" w:rsidRDefault="00076447" w:rsidP="00EB6903">
      <w:pPr>
        <w:spacing w:line="480" w:lineRule="auto"/>
        <w:ind w:hanging="720"/>
        <w:rPr>
          <w:rFonts w:ascii="Arial" w:hAnsi="Arial" w:cs="Arial"/>
          <w:sz w:val="22"/>
          <w:szCs w:val="22"/>
        </w:rPr>
      </w:pPr>
    </w:p>
    <w:p w:rsidR="00076447" w:rsidRDefault="00076447" w:rsidP="00712E6E">
      <w:pPr>
        <w:rPr>
          <w:rFonts w:ascii="Arial" w:hAnsi="Arial" w:cs="Arial"/>
          <w:sz w:val="22"/>
          <w:szCs w:val="22"/>
        </w:rPr>
      </w:pPr>
    </w:p>
    <w:p w:rsidR="00076447" w:rsidRDefault="00076447" w:rsidP="00712E6E"/>
    <w:p w:rsidR="00D3705F" w:rsidRDefault="00D3705F" w:rsidP="00D3705F">
      <w:pPr>
        <w:pStyle w:val="Body"/>
        <w:rPr>
          <w:rFonts w:cs="Arial"/>
          <w:b/>
          <w:bCs/>
          <w:sz w:val="24"/>
          <w:szCs w:val="24"/>
        </w:rPr>
      </w:pPr>
    </w:p>
    <w:p w:rsidR="00D3705F" w:rsidRDefault="00D3705F" w:rsidP="00D3705F">
      <w:pPr>
        <w:pStyle w:val="Body"/>
        <w:rPr>
          <w:rFonts w:cs="Arial"/>
          <w:b/>
          <w:bCs/>
          <w:sz w:val="24"/>
          <w:szCs w:val="24"/>
        </w:rPr>
      </w:pPr>
    </w:p>
    <w:p w:rsidR="00D3705F" w:rsidRPr="00DB4BAE" w:rsidRDefault="00D3705F" w:rsidP="001102B0">
      <w:pPr>
        <w:pStyle w:val="Body"/>
        <w:spacing w:after="120" w:line="240" w:lineRule="auto"/>
        <w:ind w:left="720"/>
        <w:jc w:val="right"/>
        <w:rPr>
          <w:rFonts w:cs="Arial"/>
          <w:sz w:val="24"/>
          <w:szCs w:val="24"/>
        </w:rPr>
      </w:pPr>
      <w:r w:rsidRPr="00DB4BAE">
        <w:rPr>
          <w:rFonts w:cs="Arial"/>
          <w:b/>
          <w:bCs/>
          <w:sz w:val="24"/>
          <w:szCs w:val="24"/>
        </w:rPr>
        <w:t>_____________________________</w:t>
      </w:r>
    </w:p>
    <w:p w:rsidR="00D3705F" w:rsidRPr="00DB4BAE" w:rsidRDefault="001102B0" w:rsidP="00D77EE6">
      <w:pPr>
        <w:pStyle w:val="BodyA"/>
        <w:spacing w:after="120"/>
        <w:ind w:left="6660"/>
        <w:jc w:val="right"/>
        <w:rPr>
          <w:rFonts w:ascii="Arial" w:hAnsi="Arial" w:cs="Arial"/>
          <w:b/>
          <w:bCs/>
          <w:sz w:val="24"/>
          <w:szCs w:val="24"/>
        </w:rPr>
      </w:pPr>
      <w:r>
        <w:rPr>
          <w:rFonts w:ascii="Arial" w:hAnsi="Arial" w:cs="Arial"/>
          <w:b/>
          <w:bCs/>
          <w:sz w:val="24"/>
          <w:szCs w:val="24"/>
        </w:rPr>
        <w:t>H KOOVERJIE</w:t>
      </w:r>
    </w:p>
    <w:p w:rsidR="00D3705F" w:rsidRPr="00DB4BAE" w:rsidRDefault="00D3705F" w:rsidP="001102B0">
      <w:pPr>
        <w:pStyle w:val="BodyA"/>
        <w:spacing w:before="120" w:after="120"/>
        <w:ind w:left="720"/>
        <w:jc w:val="right"/>
        <w:rPr>
          <w:rFonts w:ascii="Arial" w:hAnsi="Arial" w:cs="Arial"/>
          <w:b/>
          <w:bCs/>
          <w:sz w:val="24"/>
          <w:szCs w:val="24"/>
        </w:rPr>
      </w:pPr>
      <w:r w:rsidRPr="00DB4BAE">
        <w:rPr>
          <w:rFonts w:ascii="Arial" w:hAnsi="Arial" w:cs="Arial"/>
          <w:b/>
          <w:bCs/>
          <w:sz w:val="24"/>
          <w:szCs w:val="24"/>
        </w:rPr>
        <w:t xml:space="preserve"> JUDGE OF THE HIGH COURT</w:t>
      </w:r>
    </w:p>
    <w:p w:rsidR="00D3705F" w:rsidRPr="00DB4BAE" w:rsidRDefault="00D3705F" w:rsidP="001102B0">
      <w:pPr>
        <w:spacing w:before="120" w:after="120"/>
        <w:ind w:left="720"/>
        <w:jc w:val="right"/>
        <w:rPr>
          <w:rFonts w:ascii="Arial" w:eastAsia="Arial Unicode MS" w:hAnsi="Arial" w:cs="Arial"/>
          <w:b/>
        </w:rPr>
      </w:pPr>
      <w:r w:rsidRPr="00DB4BAE">
        <w:rPr>
          <w:rFonts w:ascii="Arial" w:eastAsia="Arial Unicode MS" w:hAnsi="Arial" w:cs="Arial"/>
          <w:b/>
        </w:rPr>
        <w:t>GAUTENG DIVISION, PRETORIA</w:t>
      </w:r>
    </w:p>
    <w:p w:rsidR="00D3705F" w:rsidRPr="00077E92" w:rsidRDefault="00D3705F" w:rsidP="001102B0">
      <w:pPr>
        <w:pStyle w:val="BodyA"/>
        <w:ind w:left="720"/>
        <w:jc w:val="right"/>
        <w:rPr>
          <w:rFonts w:ascii="Arial" w:eastAsia="Tahoma" w:hAnsi="Arial" w:cs="Arial"/>
          <w:b/>
          <w:bCs/>
        </w:rPr>
      </w:pPr>
    </w:p>
    <w:p w:rsidR="00D3705F" w:rsidRDefault="00D3705F" w:rsidP="001102B0">
      <w:pPr>
        <w:spacing w:line="480" w:lineRule="auto"/>
        <w:ind w:left="567" w:hanging="567"/>
        <w:jc w:val="right"/>
        <w:rPr>
          <w:rFonts w:ascii="Arial" w:hAnsi="Arial" w:cs="Arial"/>
        </w:rPr>
      </w:pPr>
    </w:p>
    <w:p w:rsidR="00076447" w:rsidRDefault="00076447" w:rsidP="00076447">
      <w:pPr>
        <w:tabs>
          <w:tab w:val="left" w:pos="3000"/>
        </w:tabs>
        <w:spacing w:line="360" w:lineRule="auto"/>
        <w:rPr>
          <w:rFonts w:ascii="Calibri" w:eastAsia="Arial Unicode MS" w:hAnsi="Calibri" w:cs="Arial Unicode MS"/>
          <w:sz w:val="22"/>
          <w:szCs w:val="22"/>
          <w:u w:val="single"/>
          <w:lang w:val="en-GB" w:eastAsia="en-GB"/>
        </w:rPr>
      </w:pPr>
    </w:p>
    <w:p w:rsidR="00076447" w:rsidRPr="00076447" w:rsidRDefault="00076447" w:rsidP="00076447">
      <w:pPr>
        <w:tabs>
          <w:tab w:val="left" w:pos="3000"/>
        </w:tabs>
        <w:spacing w:line="360" w:lineRule="auto"/>
        <w:rPr>
          <w:rFonts w:ascii="Calibri" w:eastAsia="Arial Unicode MS" w:hAnsi="Calibri" w:cs="Arial Unicode MS"/>
          <w:sz w:val="22"/>
          <w:szCs w:val="22"/>
          <w:lang w:val="en-GB" w:eastAsia="en-GB"/>
        </w:rPr>
      </w:pPr>
      <w:r w:rsidRPr="00076447">
        <w:rPr>
          <w:rFonts w:ascii="Calibri" w:eastAsia="Arial Unicode MS" w:hAnsi="Calibri" w:cs="Arial Unicode MS"/>
          <w:sz w:val="22"/>
          <w:szCs w:val="22"/>
          <w:u w:val="single"/>
          <w:lang w:val="en-GB" w:eastAsia="en-GB"/>
        </w:rPr>
        <w:t>Appearances</w:t>
      </w:r>
      <w:r w:rsidRPr="00076447">
        <w:rPr>
          <w:rFonts w:ascii="Calibri" w:eastAsia="Arial Unicode MS" w:hAnsi="Calibri" w:cs="Arial Unicode MS"/>
          <w:sz w:val="22"/>
          <w:szCs w:val="22"/>
          <w:lang w:val="en-GB" w:eastAsia="en-GB"/>
        </w:rPr>
        <w:t>:</w:t>
      </w:r>
    </w:p>
    <w:p w:rsidR="00076447" w:rsidRPr="00076447" w:rsidRDefault="00076447" w:rsidP="00076447">
      <w:pPr>
        <w:tabs>
          <w:tab w:val="left" w:pos="3000"/>
        </w:tabs>
        <w:spacing w:line="360" w:lineRule="auto"/>
        <w:rPr>
          <w:rFonts w:ascii="Calibri" w:eastAsia="Arial Unicode MS" w:hAnsi="Calibri" w:cs="Arial Unicode MS"/>
          <w:sz w:val="22"/>
          <w:szCs w:val="22"/>
          <w:lang w:val="en-GB" w:eastAsia="en-GB"/>
        </w:rPr>
      </w:pPr>
      <w:r w:rsidRPr="00076447">
        <w:rPr>
          <w:rFonts w:ascii="Calibri" w:eastAsia="Arial Unicode MS" w:hAnsi="Calibri" w:cs="Arial Unicode MS"/>
          <w:sz w:val="22"/>
          <w:szCs w:val="22"/>
          <w:lang w:val="en-GB" w:eastAsia="en-GB"/>
        </w:rPr>
        <w:t>Counsel for the applicant:</w:t>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t>Adv S Aucamp</w:t>
      </w:r>
    </w:p>
    <w:p w:rsidR="00076447" w:rsidRPr="00076447" w:rsidRDefault="00076447" w:rsidP="00076447">
      <w:pPr>
        <w:tabs>
          <w:tab w:val="left" w:pos="3000"/>
        </w:tabs>
        <w:spacing w:line="360" w:lineRule="auto"/>
        <w:rPr>
          <w:rFonts w:ascii="Calibri" w:eastAsia="Arial Unicode MS" w:hAnsi="Calibri" w:cs="Arial Unicode MS"/>
          <w:sz w:val="22"/>
          <w:szCs w:val="22"/>
          <w:lang w:val="en-GB" w:eastAsia="en-GB"/>
        </w:rPr>
      </w:pPr>
      <w:r w:rsidRPr="00076447">
        <w:rPr>
          <w:rFonts w:ascii="Calibri" w:eastAsia="Arial Unicode MS" w:hAnsi="Calibri" w:cs="Arial Unicode MS"/>
          <w:sz w:val="22"/>
          <w:szCs w:val="22"/>
          <w:lang w:val="en-GB" w:eastAsia="en-GB"/>
        </w:rPr>
        <w:t>Instructed by:</w:t>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t>Smit, Jones &amp; Pratt</w:t>
      </w:r>
    </w:p>
    <w:p w:rsidR="00076447" w:rsidRPr="00076447" w:rsidRDefault="00076447" w:rsidP="00076447">
      <w:pPr>
        <w:tabs>
          <w:tab w:val="left" w:pos="3000"/>
        </w:tabs>
        <w:spacing w:line="360" w:lineRule="auto"/>
        <w:rPr>
          <w:rFonts w:ascii="Calibri" w:eastAsia="Arial Unicode MS" w:hAnsi="Calibri" w:cs="Arial Unicode MS"/>
          <w:sz w:val="22"/>
          <w:szCs w:val="22"/>
          <w:lang w:val="en-GB" w:eastAsia="en-GB"/>
        </w:rPr>
      </w:pP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t>c/o Bezuidenhout Lak Attorneys</w:t>
      </w:r>
    </w:p>
    <w:p w:rsidR="00076447" w:rsidRPr="00076447" w:rsidRDefault="00076447" w:rsidP="00076447">
      <w:pPr>
        <w:tabs>
          <w:tab w:val="left" w:pos="3000"/>
        </w:tabs>
        <w:spacing w:line="360" w:lineRule="auto"/>
        <w:rPr>
          <w:rFonts w:ascii="Calibri" w:eastAsia="Arial Unicode MS" w:hAnsi="Calibri" w:cs="Arial Unicode MS"/>
          <w:sz w:val="22"/>
          <w:szCs w:val="22"/>
          <w:lang w:val="en-ZA" w:eastAsia="en-GB"/>
        </w:rPr>
      </w:pPr>
    </w:p>
    <w:p w:rsidR="00076447" w:rsidRPr="00076447" w:rsidRDefault="00076447" w:rsidP="00076447">
      <w:pPr>
        <w:tabs>
          <w:tab w:val="left" w:pos="3000"/>
        </w:tabs>
        <w:spacing w:line="360" w:lineRule="auto"/>
        <w:rPr>
          <w:rFonts w:ascii="Calibri" w:eastAsia="Arial Unicode MS" w:hAnsi="Calibri" w:cs="Arial Unicode MS"/>
          <w:sz w:val="22"/>
          <w:szCs w:val="22"/>
          <w:lang w:val="en-ZA" w:eastAsia="en-GB"/>
        </w:rPr>
      </w:pPr>
      <w:r w:rsidRPr="00076447">
        <w:rPr>
          <w:rFonts w:ascii="Calibri" w:eastAsia="Arial Unicode MS" w:hAnsi="Calibri" w:cs="Arial Unicode MS"/>
          <w:sz w:val="22"/>
          <w:szCs w:val="22"/>
          <w:lang w:val="en-GB" w:eastAsia="en-GB"/>
        </w:rPr>
        <w:t>Counsel for the respondent:</w:t>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ZA" w:eastAsia="en-GB"/>
        </w:rPr>
        <w:t>Adv LVR van T</w:t>
      </w:r>
      <w:r w:rsidR="001706BF">
        <w:rPr>
          <w:rFonts w:ascii="Calibri" w:eastAsia="Arial Unicode MS" w:hAnsi="Calibri" w:cs="Arial Unicode MS"/>
          <w:sz w:val="22"/>
          <w:szCs w:val="22"/>
          <w:lang w:val="en-ZA" w:eastAsia="en-GB"/>
        </w:rPr>
        <w:t>o</w:t>
      </w:r>
      <w:r w:rsidRPr="00076447">
        <w:rPr>
          <w:rFonts w:ascii="Calibri" w:eastAsia="Arial Unicode MS" w:hAnsi="Calibri" w:cs="Arial Unicode MS"/>
          <w:sz w:val="22"/>
          <w:szCs w:val="22"/>
          <w:lang w:val="en-ZA" w:eastAsia="en-GB"/>
        </w:rPr>
        <w:t>nder</w:t>
      </w:r>
    </w:p>
    <w:p w:rsidR="00076447" w:rsidRPr="00076447" w:rsidRDefault="00076447" w:rsidP="00076447">
      <w:pPr>
        <w:tabs>
          <w:tab w:val="left" w:pos="3000"/>
        </w:tabs>
        <w:spacing w:line="360" w:lineRule="auto"/>
        <w:rPr>
          <w:rFonts w:ascii="Calibri" w:eastAsia="Arial Unicode MS" w:hAnsi="Calibri" w:cs="Arial Unicode MS"/>
          <w:sz w:val="22"/>
          <w:szCs w:val="22"/>
          <w:lang w:val="en-GB" w:eastAsia="en-GB"/>
        </w:rPr>
      </w:pPr>
      <w:r w:rsidRPr="00076447">
        <w:rPr>
          <w:rFonts w:ascii="Calibri" w:eastAsia="Arial Unicode MS" w:hAnsi="Calibri" w:cs="Arial Unicode MS"/>
          <w:sz w:val="22"/>
          <w:szCs w:val="22"/>
          <w:lang w:val="en-GB" w:eastAsia="en-GB"/>
        </w:rPr>
        <w:t>Instructed by:</w:t>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t>Smit Sewgoolam Inc</w:t>
      </w:r>
    </w:p>
    <w:p w:rsidR="00076447" w:rsidRPr="00076447" w:rsidRDefault="00076447" w:rsidP="00076447">
      <w:pPr>
        <w:tabs>
          <w:tab w:val="left" w:pos="3000"/>
        </w:tabs>
        <w:spacing w:line="360" w:lineRule="auto"/>
        <w:rPr>
          <w:rFonts w:ascii="Calibri" w:eastAsia="Arial Unicode MS" w:hAnsi="Calibri" w:cs="Arial Unicode MS"/>
          <w:sz w:val="22"/>
          <w:szCs w:val="22"/>
          <w:lang w:val="en-GB" w:eastAsia="en-GB"/>
        </w:rPr>
      </w:pPr>
      <w:r w:rsidRPr="00076447">
        <w:rPr>
          <w:rFonts w:ascii="Calibri" w:eastAsia="Arial Unicode MS" w:hAnsi="Calibri" w:cs="Arial Unicode MS"/>
          <w:sz w:val="22"/>
          <w:szCs w:val="22"/>
          <w:lang w:val="en-GB" w:eastAsia="en-GB"/>
        </w:rPr>
        <w:tab/>
      </w:r>
    </w:p>
    <w:p w:rsidR="00076447" w:rsidRPr="00076447" w:rsidRDefault="00076447" w:rsidP="00076447">
      <w:pPr>
        <w:tabs>
          <w:tab w:val="left" w:pos="3000"/>
        </w:tabs>
        <w:spacing w:line="360" w:lineRule="auto"/>
        <w:rPr>
          <w:rFonts w:ascii="Calibri" w:eastAsia="Arial Unicode MS" w:hAnsi="Calibri" w:cs="Arial Unicode MS"/>
          <w:sz w:val="22"/>
          <w:szCs w:val="22"/>
          <w:lang w:val="en-ZA" w:eastAsia="en-GB"/>
        </w:rPr>
      </w:pPr>
      <w:r w:rsidRPr="00076447">
        <w:rPr>
          <w:rFonts w:ascii="Calibri" w:eastAsia="Arial Unicode MS" w:hAnsi="Calibri" w:cs="Arial Unicode MS"/>
          <w:sz w:val="22"/>
          <w:szCs w:val="22"/>
          <w:lang w:val="en-GB" w:eastAsia="en-GB"/>
        </w:rPr>
        <w:t>Date heard:</w:t>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t>25 October 2022</w:t>
      </w:r>
    </w:p>
    <w:p w:rsidR="00076447" w:rsidRPr="00076447" w:rsidRDefault="00076447" w:rsidP="00076447">
      <w:pPr>
        <w:tabs>
          <w:tab w:val="left" w:pos="3000"/>
        </w:tabs>
        <w:spacing w:line="360" w:lineRule="auto"/>
        <w:rPr>
          <w:rFonts w:ascii="Arial" w:eastAsia="Times New Roman" w:hAnsi="Arial" w:cs="Arial"/>
          <w:sz w:val="22"/>
          <w:szCs w:val="22"/>
        </w:rPr>
      </w:pPr>
      <w:r w:rsidRPr="00076447">
        <w:rPr>
          <w:rFonts w:ascii="Calibri" w:eastAsia="Arial Unicode MS" w:hAnsi="Calibri" w:cs="Arial Unicode MS"/>
          <w:sz w:val="22"/>
          <w:szCs w:val="22"/>
          <w:lang w:val="en-GB" w:eastAsia="en-GB"/>
        </w:rPr>
        <w:t>Date of Judgment:</w:t>
      </w:r>
      <w:r w:rsidRPr="00076447">
        <w:rPr>
          <w:rFonts w:ascii="Calibri" w:eastAsia="Arial Unicode MS" w:hAnsi="Calibri" w:cs="Arial Unicode MS"/>
          <w:sz w:val="22"/>
          <w:szCs w:val="22"/>
          <w:lang w:val="en-GB" w:eastAsia="en-GB"/>
        </w:rPr>
        <w:tab/>
      </w:r>
      <w:r w:rsidRPr="00076447">
        <w:rPr>
          <w:rFonts w:ascii="Calibri" w:eastAsia="Arial Unicode MS" w:hAnsi="Calibri" w:cs="Arial Unicode MS"/>
          <w:sz w:val="22"/>
          <w:szCs w:val="22"/>
          <w:lang w:val="en-GB" w:eastAsia="en-GB"/>
        </w:rPr>
        <w:tab/>
      </w:r>
      <w:r w:rsidR="00097B87">
        <w:rPr>
          <w:rFonts w:ascii="Calibri" w:eastAsia="Arial Unicode MS" w:hAnsi="Calibri" w:cs="Arial Unicode MS"/>
          <w:sz w:val="22"/>
          <w:szCs w:val="22"/>
          <w:lang w:val="en-ZA" w:eastAsia="en-GB"/>
        </w:rPr>
        <w:t xml:space="preserve">  </w:t>
      </w:r>
      <w:r w:rsidR="00097B87">
        <w:rPr>
          <w:rFonts w:ascii="Calibri" w:eastAsia="Arial Unicode MS" w:hAnsi="Calibri" w:cs="Arial Unicode MS"/>
          <w:sz w:val="22"/>
          <w:szCs w:val="22"/>
          <w:lang w:val="en-ZA" w:eastAsia="en-GB"/>
        </w:rPr>
        <w:tab/>
      </w:r>
      <w:r w:rsidR="00097B87">
        <w:rPr>
          <w:rFonts w:ascii="Calibri" w:eastAsia="Arial Unicode MS" w:hAnsi="Calibri" w:cs="Arial Unicode MS"/>
          <w:sz w:val="22"/>
          <w:szCs w:val="22"/>
          <w:lang w:val="en-ZA" w:eastAsia="en-GB"/>
        </w:rPr>
        <w:tab/>
        <w:t xml:space="preserve">25 </w:t>
      </w:r>
      <w:r w:rsidRPr="00076447">
        <w:rPr>
          <w:rFonts w:ascii="Calibri" w:eastAsia="Arial Unicode MS" w:hAnsi="Calibri" w:cs="Arial Unicode MS"/>
          <w:sz w:val="22"/>
          <w:szCs w:val="22"/>
          <w:lang w:val="en-ZA" w:eastAsia="en-GB"/>
        </w:rPr>
        <w:t>November 2022</w:t>
      </w:r>
    </w:p>
    <w:p w:rsidR="00D3705F" w:rsidRDefault="00D3705F" w:rsidP="00D3705F">
      <w:pPr>
        <w:spacing w:line="480" w:lineRule="auto"/>
        <w:ind w:left="567" w:hanging="567"/>
        <w:jc w:val="both"/>
        <w:rPr>
          <w:rFonts w:ascii="Arial" w:hAnsi="Arial" w:cs="Arial"/>
        </w:rPr>
      </w:pPr>
    </w:p>
    <w:p w:rsidR="00D3705F" w:rsidRPr="00DC2897" w:rsidRDefault="00D3705F" w:rsidP="00D3705F">
      <w:pPr>
        <w:spacing w:line="480" w:lineRule="auto"/>
        <w:ind w:left="567" w:hanging="567"/>
        <w:jc w:val="both"/>
        <w:rPr>
          <w:rFonts w:ascii="Arial" w:hAnsi="Arial" w:cs="Arial"/>
        </w:rPr>
      </w:pP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r w:rsidRPr="00DC2897">
        <w:rPr>
          <w:rFonts w:ascii="Arial" w:hAnsi="Arial" w:cs="Arial"/>
        </w:rPr>
        <w:tab/>
      </w:r>
    </w:p>
    <w:p w:rsidR="00765BC3" w:rsidRPr="00D3705F" w:rsidRDefault="00D3705F" w:rsidP="00D3705F">
      <w:pPr>
        <w:spacing w:line="480" w:lineRule="auto"/>
        <w:ind w:left="567" w:hanging="567"/>
        <w:jc w:val="both"/>
        <w:rPr>
          <w:rFonts w:ascii="Arial" w:hAnsi="Arial" w:cs="Arial"/>
        </w:rPr>
      </w:pPr>
      <w:r w:rsidRPr="00DC2897">
        <w:rPr>
          <w:rFonts w:ascii="Arial" w:hAnsi="Arial" w:cs="Arial"/>
        </w:rPr>
        <w:tab/>
      </w:r>
      <w:r w:rsidRPr="00DC2897">
        <w:rPr>
          <w:rFonts w:ascii="Arial" w:hAnsi="Arial" w:cs="Arial"/>
        </w:rPr>
        <w:tab/>
      </w:r>
      <w:r w:rsidRPr="00DC2897">
        <w:rPr>
          <w:rFonts w:ascii="Arial" w:hAnsi="Arial" w:cs="Arial"/>
        </w:rPr>
        <w:tab/>
      </w:r>
    </w:p>
    <w:sectPr w:rsidR="00765BC3" w:rsidRPr="00D3705F" w:rsidSect="00D77EE6">
      <w:headerReference w:type="even" r:id="rId9"/>
      <w:headerReference w:type="default" r:id="rId10"/>
      <w:endnotePr>
        <w:numFmt w:val="decimal"/>
      </w:endnotePr>
      <w:pgSz w:w="12240" w:h="15840" w:code="1"/>
      <w:pgMar w:top="144" w:right="1728" w:bottom="1238" w:left="158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FC" w:rsidRDefault="00BC33FC" w:rsidP="008C18AE">
      <w:r>
        <w:separator/>
      </w:r>
    </w:p>
  </w:endnote>
  <w:endnote w:type="continuationSeparator" w:id="0">
    <w:p w:rsidR="00BC33FC" w:rsidRDefault="00BC33FC"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FC" w:rsidRDefault="00BC33FC" w:rsidP="008C18AE">
      <w:r>
        <w:separator/>
      </w:r>
    </w:p>
  </w:footnote>
  <w:footnote w:type="continuationSeparator" w:id="0">
    <w:p w:rsidR="00BC33FC" w:rsidRDefault="00BC33FC" w:rsidP="008C18AE">
      <w:r>
        <w:continuationSeparator/>
      </w:r>
    </w:p>
  </w:footnote>
  <w:footnote w:id="1">
    <w:p w:rsidR="00712E6E" w:rsidRPr="00076447" w:rsidRDefault="00712E6E" w:rsidP="00712E6E">
      <w:pPr>
        <w:pStyle w:val="FootnoteText"/>
        <w:rPr>
          <w:rFonts w:cs="Times New Roman"/>
          <w:szCs w:val="20"/>
        </w:rPr>
      </w:pPr>
      <w:r w:rsidRPr="00076447">
        <w:rPr>
          <w:rStyle w:val="FootnoteReference"/>
          <w:rFonts w:cs="Times New Roman"/>
          <w:szCs w:val="20"/>
        </w:rPr>
        <w:footnoteRef/>
      </w:r>
      <w:r>
        <w:t xml:space="preserve"> </w:t>
      </w:r>
      <w:r w:rsidRPr="00076447">
        <w:rPr>
          <w:rFonts w:cs="Times New Roman"/>
          <w:szCs w:val="20"/>
        </w:rPr>
        <w:t>Bragan Chemicals (Pty) Ltd v Devland Cash and Carry (Pty) Ltd and Another (11096/20) [2020] ZAGPP 387, 5 August 2020</w:t>
      </w:r>
    </w:p>
  </w:footnote>
  <w:footnote w:id="2">
    <w:p w:rsidR="00712E6E" w:rsidRPr="00076447" w:rsidRDefault="00712E6E" w:rsidP="00712E6E">
      <w:pPr>
        <w:pStyle w:val="FootnoteText"/>
        <w:rPr>
          <w:rFonts w:cs="Times New Roman"/>
          <w:b/>
          <w:i/>
          <w:szCs w:val="20"/>
        </w:rPr>
      </w:pPr>
      <w:r w:rsidRPr="00076447">
        <w:rPr>
          <w:rStyle w:val="FootnoteReference"/>
          <w:rFonts w:cs="Times New Roman"/>
          <w:szCs w:val="20"/>
        </w:rPr>
        <w:footnoteRef/>
      </w:r>
      <w:r w:rsidRPr="00076447">
        <w:rPr>
          <w:rFonts w:cs="Times New Roman"/>
          <w:szCs w:val="20"/>
        </w:rPr>
        <w:t xml:space="preserve"> 2020 (1) SA 155 (GJ), see paragraphs 14 and 15 of </w:t>
      </w:r>
      <w:r w:rsidRPr="00076447">
        <w:rPr>
          <w:rFonts w:cs="Times New Roman"/>
          <w:b/>
          <w:i/>
          <w:szCs w:val="20"/>
        </w:rPr>
        <w:t>Bragan</w:t>
      </w:r>
    </w:p>
  </w:footnote>
  <w:footnote w:id="3">
    <w:p w:rsidR="0004090E" w:rsidRPr="00076447" w:rsidRDefault="0004090E" w:rsidP="0004090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Maharaj v Barclays National Bank Ltd 1976 (1) SA 419 at 426</w:t>
      </w:r>
    </w:p>
  </w:footnote>
  <w:footnote w:id="4">
    <w:p w:rsidR="0004090E" w:rsidRPr="00076447" w:rsidRDefault="0004090E" w:rsidP="0004090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NPGS matter at par 11</w:t>
      </w:r>
    </w:p>
  </w:footnote>
  <w:footnote w:id="5">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Tumileng Trading CC v National Security and Fire (Pty) Ltd 2020 (6) SA 524 (WCC) at paragraphs 22, 24, 26 – 27.</w:t>
      </w:r>
    </w:p>
  </w:footnote>
  <w:footnote w:id="6">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Erasmus Superior Court Practice</w:t>
      </w:r>
      <w:r w:rsidR="00EB6903">
        <w:rPr>
          <w:rFonts w:cs="Times New Roman"/>
          <w:szCs w:val="20"/>
        </w:rPr>
        <w:t xml:space="preserve"> van Loggerenberg</w:t>
      </w:r>
      <w:r w:rsidRPr="00076447">
        <w:rPr>
          <w:rFonts w:cs="Times New Roman"/>
          <w:szCs w:val="20"/>
        </w:rPr>
        <w:t>, Second Edition, P D1-416</w:t>
      </w:r>
    </w:p>
  </w:footnote>
  <w:footnote w:id="7">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Modipane v MM Dada Bk h/a Dada Motors Lichtenburg (1559/2010) [2011] ZANWHC 43 (30 June 2011)</w:t>
      </w:r>
    </w:p>
  </w:footnote>
  <w:footnote w:id="8">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Belrex 95 CC v Barday 2021 (3) SA 178 WCC at par 35</w:t>
      </w:r>
    </w:p>
  </w:footnote>
  <w:footnote w:id="9">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Erasmus </w:t>
      </w:r>
      <w:r w:rsidR="00EB6903">
        <w:rPr>
          <w:rFonts w:cs="Times New Roman"/>
          <w:szCs w:val="20"/>
        </w:rPr>
        <w:t xml:space="preserve">Superior Court Practice, Van Loggerenberg, P </w:t>
      </w:r>
      <w:r w:rsidRPr="00076447">
        <w:rPr>
          <w:rFonts w:cs="Times New Roman"/>
          <w:szCs w:val="20"/>
        </w:rPr>
        <w:t>D1-411</w:t>
      </w:r>
    </w:p>
  </w:footnote>
  <w:footnote w:id="10">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PCL Consulting (Pty) Ltd t/a Phillips Consulting SA v Tresso Trading 119 (Pty) Ltd 2009 (4) SA 68</w:t>
      </w:r>
    </w:p>
  </w:footnote>
  <w:footnote w:id="11">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PV v EV (843/2018) ZASCA 76 (30 May 2019 at par 13</w:t>
      </w:r>
    </w:p>
  </w:footnote>
  <w:footnote w:id="12">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PV v EV, par 13</w:t>
      </w:r>
    </w:p>
  </w:footnote>
  <w:footnote w:id="13">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2001 (3) SA 257C at 283B</w:t>
      </w:r>
    </w:p>
  </w:footnote>
  <w:footnote w:id="14">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001-19 and 001-31</w:t>
      </w:r>
    </w:p>
  </w:footnote>
  <w:footnote w:id="15">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Slip Knot Investments 777 v Du Toit 2011 (4) SA 72 and Constantia Insurance Co Ltd v Composure 2003 (4) SA 345 (SCA) at par 19</w:t>
      </w:r>
    </w:p>
  </w:footnote>
  <w:footnote w:id="16">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P 001-22</w:t>
      </w:r>
    </w:p>
  </w:footnote>
  <w:footnote w:id="17">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P 001-80</w:t>
      </w:r>
    </w:p>
  </w:footnote>
  <w:footnote w:id="18">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Belrex 95 CC v Barday 2021 (3) SA 178 (WCC)</w:t>
      </w:r>
    </w:p>
  </w:footnote>
  <w:footnote w:id="19">
    <w:p w:rsidR="00712E6E" w:rsidRPr="00076447" w:rsidRDefault="00712E6E" w:rsidP="00712E6E">
      <w:pPr>
        <w:pStyle w:val="FootnoteText"/>
        <w:rPr>
          <w:rFonts w:cs="Times New Roman"/>
          <w:szCs w:val="20"/>
        </w:rPr>
      </w:pPr>
      <w:r w:rsidRPr="00076447">
        <w:rPr>
          <w:rStyle w:val="FootnoteReference"/>
          <w:rFonts w:cs="Times New Roman"/>
          <w:szCs w:val="20"/>
        </w:rPr>
        <w:footnoteRef/>
      </w:r>
      <w:r w:rsidRPr="00076447">
        <w:rPr>
          <w:rFonts w:cs="Times New Roman"/>
          <w:szCs w:val="20"/>
        </w:rPr>
        <w:t xml:space="preserve"> 2020 (1) SA 494 (SCA) at 509 F-G</w:t>
      </w:r>
    </w:p>
  </w:footnote>
  <w:footnote w:id="20">
    <w:p w:rsidR="00201317" w:rsidRPr="00201317" w:rsidRDefault="00201317">
      <w:pPr>
        <w:pStyle w:val="FootnoteText"/>
        <w:rPr>
          <w:rFonts w:cs="Times New Roman"/>
          <w:szCs w:val="20"/>
        </w:rPr>
      </w:pPr>
      <w:r w:rsidRPr="00201317">
        <w:rPr>
          <w:rStyle w:val="FootnoteReference"/>
          <w:rFonts w:cs="Times New Roman"/>
          <w:szCs w:val="20"/>
        </w:rPr>
        <w:footnoteRef/>
      </w:r>
      <w:r w:rsidRPr="00201317">
        <w:rPr>
          <w:rFonts w:cs="Times New Roman"/>
          <w:szCs w:val="20"/>
        </w:rPr>
        <w:t xml:space="preserve"> P 006-5</w:t>
      </w:r>
    </w:p>
  </w:footnote>
  <w:footnote w:id="21">
    <w:p w:rsidR="00201317" w:rsidRPr="00201317" w:rsidRDefault="00201317">
      <w:pPr>
        <w:pStyle w:val="FootnoteText"/>
        <w:rPr>
          <w:rFonts w:cs="Times New Roman"/>
          <w:szCs w:val="20"/>
        </w:rPr>
      </w:pPr>
      <w:r w:rsidRPr="00201317">
        <w:rPr>
          <w:rStyle w:val="FootnoteReference"/>
          <w:rFonts w:cs="Times New Roman"/>
          <w:szCs w:val="20"/>
        </w:rPr>
        <w:footnoteRef/>
      </w:r>
      <w:r w:rsidRPr="00201317">
        <w:rPr>
          <w:rFonts w:cs="Times New Roman"/>
          <w:szCs w:val="20"/>
        </w:rPr>
        <w:t xml:space="preserve"> Rees and Another v Investec Bank Ltd 2014 (4) SA 220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9A" w:rsidRDefault="0063569A"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569A" w:rsidRDefault="0063569A"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01324"/>
      <w:docPartObj>
        <w:docPartGallery w:val="Page Numbers (Top of Page)"/>
        <w:docPartUnique/>
      </w:docPartObj>
    </w:sdtPr>
    <w:sdtEndPr>
      <w:rPr>
        <w:noProof/>
      </w:rPr>
    </w:sdtEndPr>
    <w:sdtContent>
      <w:p w:rsidR="001706BF" w:rsidRDefault="001706BF">
        <w:pPr>
          <w:pStyle w:val="Header"/>
          <w:jc w:val="center"/>
        </w:pPr>
        <w:r>
          <w:fldChar w:fldCharType="begin"/>
        </w:r>
        <w:r>
          <w:instrText xml:space="preserve"> PAGE   \* MERGEFORMAT </w:instrText>
        </w:r>
        <w:r>
          <w:fldChar w:fldCharType="separate"/>
        </w:r>
        <w:r w:rsidR="00300745">
          <w:rPr>
            <w:noProof/>
          </w:rPr>
          <w:t>4</w:t>
        </w:r>
        <w:r>
          <w:rPr>
            <w:noProof/>
          </w:rPr>
          <w:fldChar w:fldCharType="end"/>
        </w:r>
      </w:p>
    </w:sdtContent>
  </w:sdt>
  <w:p w:rsidR="0063569A" w:rsidRDefault="0063569A"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337A3"/>
    <w:multiLevelType w:val="hybridMultilevel"/>
    <w:tmpl w:val="832A7AE4"/>
    <w:lvl w:ilvl="0" w:tplc="B1466DEC">
      <w:start w:val="1"/>
      <w:numFmt w:val="lowerLetter"/>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
    <w:nsid w:val="1D004CAA"/>
    <w:multiLevelType w:val="hybridMultilevel"/>
    <w:tmpl w:val="5516A036"/>
    <w:lvl w:ilvl="0" w:tplc="F4CE259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232D3050"/>
    <w:multiLevelType w:val="multilevel"/>
    <w:tmpl w:val="0D36367A"/>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3AD2A40"/>
    <w:multiLevelType w:val="multilevel"/>
    <w:tmpl w:val="5FF6D7CA"/>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2071A0F"/>
    <w:multiLevelType w:val="hybridMultilevel"/>
    <w:tmpl w:val="C95454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A61304"/>
    <w:multiLevelType w:val="multilevel"/>
    <w:tmpl w:val="59DE3662"/>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6">
    <w:nsid w:val="77D90C12"/>
    <w:multiLevelType w:val="hybridMultilevel"/>
    <w:tmpl w:val="1474F7FA"/>
    <w:lvl w:ilvl="0" w:tplc="D658781A">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01B7"/>
    <w:rsid w:val="0000394C"/>
    <w:rsid w:val="00004A9C"/>
    <w:rsid w:val="000060CB"/>
    <w:rsid w:val="00007B6A"/>
    <w:rsid w:val="000104B4"/>
    <w:rsid w:val="000200A5"/>
    <w:rsid w:val="00020BF8"/>
    <w:rsid w:val="000218AC"/>
    <w:rsid w:val="0002295E"/>
    <w:rsid w:val="00022E29"/>
    <w:rsid w:val="00030EDB"/>
    <w:rsid w:val="00033B19"/>
    <w:rsid w:val="0003697B"/>
    <w:rsid w:val="0004090E"/>
    <w:rsid w:val="00050078"/>
    <w:rsid w:val="00050F49"/>
    <w:rsid w:val="00052547"/>
    <w:rsid w:val="000538FC"/>
    <w:rsid w:val="000578D1"/>
    <w:rsid w:val="00062CEF"/>
    <w:rsid w:val="0006302B"/>
    <w:rsid w:val="00067975"/>
    <w:rsid w:val="00070EA4"/>
    <w:rsid w:val="000714B1"/>
    <w:rsid w:val="0007211D"/>
    <w:rsid w:val="000730BB"/>
    <w:rsid w:val="00076447"/>
    <w:rsid w:val="00080330"/>
    <w:rsid w:val="00080F95"/>
    <w:rsid w:val="000829DC"/>
    <w:rsid w:val="0008376B"/>
    <w:rsid w:val="0008544C"/>
    <w:rsid w:val="00085E25"/>
    <w:rsid w:val="0008693D"/>
    <w:rsid w:val="00092C66"/>
    <w:rsid w:val="00093A0C"/>
    <w:rsid w:val="0009577C"/>
    <w:rsid w:val="000959B4"/>
    <w:rsid w:val="000964D1"/>
    <w:rsid w:val="000971DB"/>
    <w:rsid w:val="00097B87"/>
    <w:rsid w:val="000A11F4"/>
    <w:rsid w:val="000A1578"/>
    <w:rsid w:val="000A1AA2"/>
    <w:rsid w:val="000A26D7"/>
    <w:rsid w:val="000A5272"/>
    <w:rsid w:val="000A6AC5"/>
    <w:rsid w:val="000C091F"/>
    <w:rsid w:val="000C1577"/>
    <w:rsid w:val="000C1D16"/>
    <w:rsid w:val="000C4554"/>
    <w:rsid w:val="000D0136"/>
    <w:rsid w:val="000D0E63"/>
    <w:rsid w:val="000D4685"/>
    <w:rsid w:val="000E07B1"/>
    <w:rsid w:val="000E172E"/>
    <w:rsid w:val="000E2882"/>
    <w:rsid w:val="000E5109"/>
    <w:rsid w:val="000E5543"/>
    <w:rsid w:val="000E55BD"/>
    <w:rsid w:val="000E5FB9"/>
    <w:rsid w:val="000E6633"/>
    <w:rsid w:val="000F535B"/>
    <w:rsid w:val="00101D88"/>
    <w:rsid w:val="001021EE"/>
    <w:rsid w:val="00103B10"/>
    <w:rsid w:val="00103EC1"/>
    <w:rsid w:val="001102B0"/>
    <w:rsid w:val="001106CD"/>
    <w:rsid w:val="00114724"/>
    <w:rsid w:val="0011570F"/>
    <w:rsid w:val="00121456"/>
    <w:rsid w:val="00121C78"/>
    <w:rsid w:val="00131289"/>
    <w:rsid w:val="0013492F"/>
    <w:rsid w:val="001410CA"/>
    <w:rsid w:val="00144EA8"/>
    <w:rsid w:val="0014709B"/>
    <w:rsid w:val="00147C2B"/>
    <w:rsid w:val="00151F35"/>
    <w:rsid w:val="00155668"/>
    <w:rsid w:val="0016046F"/>
    <w:rsid w:val="00161F55"/>
    <w:rsid w:val="00163683"/>
    <w:rsid w:val="001706BF"/>
    <w:rsid w:val="001721F5"/>
    <w:rsid w:val="0017317E"/>
    <w:rsid w:val="0017465D"/>
    <w:rsid w:val="0018359A"/>
    <w:rsid w:val="0018654C"/>
    <w:rsid w:val="00192F71"/>
    <w:rsid w:val="00193741"/>
    <w:rsid w:val="00194AFD"/>
    <w:rsid w:val="00194BAE"/>
    <w:rsid w:val="00195908"/>
    <w:rsid w:val="001A21CD"/>
    <w:rsid w:val="001A3451"/>
    <w:rsid w:val="001A52B0"/>
    <w:rsid w:val="001A7F86"/>
    <w:rsid w:val="001B288A"/>
    <w:rsid w:val="001B487B"/>
    <w:rsid w:val="001C3AEB"/>
    <w:rsid w:val="001C7E6B"/>
    <w:rsid w:val="001D6C62"/>
    <w:rsid w:val="001D6F4F"/>
    <w:rsid w:val="001E2843"/>
    <w:rsid w:val="001E2CE3"/>
    <w:rsid w:val="001E6710"/>
    <w:rsid w:val="001F07DD"/>
    <w:rsid w:val="001F450A"/>
    <w:rsid w:val="001F4AE5"/>
    <w:rsid w:val="002003EF"/>
    <w:rsid w:val="00201317"/>
    <w:rsid w:val="00201A93"/>
    <w:rsid w:val="002040D5"/>
    <w:rsid w:val="00205098"/>
    <w:rsid w:val="00206012"/>
    <w:rsid w:val="002073B7"/>
    <w:rsid w:val="0020751F"/>
    <w:rsid w:val="0021216F"/>
    <w:rsid w:val="002129F5"/>
    <w:rsid w:val="00222329"/>
    <w:rsid w:val="00227A0E"/>
    <w:rsid w:val="00231953"/>
    <w:rsid w:val="00232BFD"/>
    <w:rsid w:val="00232EA0"/>
    <w:rsid w:val="002332DE"/>
    <w:rsid w:val="00235638"/>
    <w:rsid w:val="00242E76"/>
    <w:rsid w:val="00244901"/>
    <w:rsid w:val="00254146"/>
    <w:rsid w:val="00255485"/>
    <w:rsid w:val="00256849"/>
    <w:rsid w:val="00260F2D"/>
    <w:rsid w:val="00262240"/>
    <w:rsid w:val="00264079"/>
    <w:rsid w:val="00265336"/>
    <w:rsid w:val="00267036"/>
    <w:rsid w:val="0027008F"/>
    <w:rsid w:val="00270B1D"/>
    <w:rsid w:val="00273985"/>
    <w:rsid w:val="002740B5"/>
    <w:rsid w:val="0027691A"/>
    <w:rsid w:val="00280528"/>
    <w:rsid w:val="00281CA0"/>
    <w:rsid w:val="00282A6E"/>
    <w:rsid w:val="00283B34"/>
    <w:rsid w:val="002868F7"/>
    <w:rsid w:val="002875FA"/>
    <w:rsid w:val="00287E6E"/>
    <w:rsid w:val="002914E5"/>
    <w:rsid w:val="00291E9A"/>
    <w:rsid w:val="00293A69"/>
    <w:rsid w:val="0029767F"/>
    <w:rsid w:val="002A03CD"/>
    <w:rsid w:val="002A2D7B"/>
    <w:rsid w:val="002A3982"/>
    <w:rsid w:val="002A51AF"/>
    <w:rsid w:val="002A53F8"/>
    <w:rsid w:val="002A6A3F"/>
    <w:rsid w:val="002B0A35"/>
    <w:rsid w:val="002B4437"/>
    <w:rsid w:val="002B69B1"/>
    <w:rsid w:val="002C0FFB"/>
    <w:rsid w:val="002C413A"/>
    <w:rsid w:val="002C4D4E"/>
    <w:rsid w:val="002C7527"/>
    <w:rsid w:val="002C7AFB"/>
    <w:rsid w:val="002D1B87"/>
    <w:rsid w:val="002D288B"/>
    <w:rsid w:val="002D6A2A"/>
    <w:rsid w:val="002D6BF0"/>
    <w:rsid w:val="002E1F21"/>
    <w:rsid w:val="002E2007"/>
    <w:rsid w:val="002E20D8"/>
    <w:rsid w:val="002E220C"/>
    <w:rsid w:val="002F3B32"/>
    <w:rsid w:val="002F610D"/>
    <w:rsid w:val="00300745"/>
    <w:rsid w:val="00307191"/>
    <w:rsid w:val="003130F3"/>
    <w:rsid w:val="00313396"/>
    <w:rsid w:val="003155D7"/>
    <w:rsid w:val="00316515"/>
    <w:rsid w:val="003168C5"/>
    <w:rsid w:val="00322298"/>
    <w:rsid w:val="00323F5E"/>
    <w:rsid w:val="00330DE1"/>
    <w:rsid w:val="00333325"/>
    <w:rsid w:val="003348C6"/>
    <w:rsid w:val="00334F20"/>
    <w:rsid w:val="00335D42"/>
    <w:rsid w:val="00336F9F"/>
    <w:rsid w:val="00342015"/>
    <w:rsid w:val="003459A7"/>
    <w:rsid w:val="00353BB5"/>
    <w:rsid w:val="00353E5B"/>
    <w:rsid w:val="00360697"/>
    <w:rsid w:val="00361136"/>
    <w:rsid w:val="00363165"/>
    <w:rsid w:val="00371BE5"/>
    <w:rsid w:val="00375DC6"/>
    <w:rsid w:val="0038358C"/>
    <w:rsid w:val="003838F9"/>
    <w:rsid w:val="00385391"/>
    <w:rsid w:val="00385FBC"/>
    <w:rsid w:val="00390120"/>
    <w:rsid w:val="00390B5F"/>
    <w:rsid w:val="00397445"/>
    <w:rsid w:val="003A0F8D"/>
    <w:rsid w:val="003A14B0"/>
    <w:rsid w:val="003A20FB"/>
    <w:rsid w:val="003A3574"/>
    <w:rsid w:val="003A5BC8"/>
    <w:rsid w:val="003B6C23"/>
    <w:rsid w:val="003C20EF"/>
    <w:rsid w:val="003C415E"/>
    <w:rsid w:val="003C432D"/>
    <w:rsid w:val="003D7268"/>
    <w:rsid w:val="003E5CCD"/>
    <w:rsid w:val="003E6BDA"/>
    <w:rsid w:val="003E7D7E"/>
    <w:rsid w:val="003F0C07"/>
    <w:rsid w:val="003F136E"/>
    <w:rsid w:val="003F2236"/>
    <w:rsid w:val="003F37AE"/>
    <w:rsid w:val="003F46D7"/>
    <w:rsid w:val="00402FAB"/>
    <w:rsid w:val="00406F88"/>
    <w:rsid w:val="004075F2"/>
    <w:rsid w:val="00412E0C"/>
    <w:rsid w:val="00413603"/>
    <w:rsid w:val="00413E2B"/>
    <w:rsid w:val="00416EA1"/>
    <w:rsid w:val="00417BE7"/>
    <w:rsid w:val="0042184A"/>
    <w:rsid w:val="004247F2"/>
    <w:rsid w:val="00425F53"/>
    <w:rsid w:val="00432B66"/>
    <w:rsid w:val="004367B8"/>
    <w:rsid w:val="00440D4B"/>
    <w:rsid w:val="0044117D"/>
    <w:rsid w:val="00442156"/>
    <w:rsid w:val="0044361B"/>
    <w:rsid w:val="00443ADE"/>
    <w:rsid w:val="00444C8B"/>
    <w:rsid w:val="0044572B"/>
    <w:rsid w:val="00446EFE"/>
    <w:rsid w:val="0045149D"/>
    <w:rsid w:val="00452748"/>
    <w:rsid w:val="00452A4C"/>
    <w:rsid w:val="00453C16"/>
    <w:rsid w:val="00453CF3"/>
    <w:rsid w:val="00454072"/>
    <w:rsid w:val="00456CAB"/>
    <w:rsid w:val="00460F1A"/>
    <w:rsid w:val="00461E12"/>
    <w:rsid w:val="00463D10"/>
    <w:rsid w:val="00475569"/>
    <w:rsid w:val="00475A8E"/>
    <w:rsid w:val="00475DE0"/>
    <w:rsid w:val="0048191C"/>
    <w:rsid w:val="00482966"/>
    <w:rsid w:val="004854D5"/>
    <w:rsid w:val="0049074E"/>
    <w:rsid w:val="0049313B"/>
    <w:rsid w:val="004A1DD2"/>
    <w:rsid w:val="004A73EB"/>
    <w:rsid w:val="004B08C6"/>
    <w:rsid w:val="004B5013"/>
    <w:rsid w:val="004C0936"/>
    <w:rsid w:val="004C6A1E"/>
    <w:rsid w:val="004D12FE"/>
    <w:rsid w:val="004D3845"/>
    <w:rsid w:val="004D3E1C"/>
    <w:rsid w:val="004D5698"/>
    <w:rsid w:val="004D658A"/>
    <w:rsid w:val="004D67A2"/>
    <w:rsid w:val="004E41FB"/>
    <w:rsid w:val="004E581A"/>
    <w:rsid w:val="004E6C18"/>
    <w:rsid w:val="004F0167"/>
    <w:rsid w:val="004F1F56"/>
    <w:rsid w:val="004F53EA"/>
    <w:rsid w:val="004F6419"/>
    <w:rsid w:val="00500DA0"/>
    <w:rsid w:val="0050250E"/>
    <w:rsid w:val="005069D9"/>
    <w:rsid w:val="00514611"/>
    <w:rsid w:val="005152B7"/>
    <w:rsid w:val="0051651C"/>
    <w:rsid w:val="0052011D"/>
    <w:rsid w:val="00522834"/>
    <w:rsid w:val="0052438F"/>
    <w:rsid w:val="0052535A"/>
    <w:rsid w:val="00531669"/>
    <w:rsid w:val="0053699C"/>
    <w:rsid w:val="00540198"/>
    <w:rsid w:val="00547503"/>
    <w:rsid w:val="005475F2"/>
    <w:rsid w:val="00547AC7"/>
    <w:rsid w:val="00551B4C"/>
    <w:rsid w:val="0055431B"/>
    <w:rsid w:val="005560EF"/>
    <w:rsid w:val="0056449D"/>
    <w:rsid w:val="00567950"/>
    <w:rsid w:val="0057074A"/>
    <w:rsid w:val="0057076A"/>
    <w:rsid w:val="005720E9"/>
    <w:rsid w:val="00584468"/>
    <w:rsid w:val="00587548"/>
    <w:rsid w:val="00587BF3"/>
    <w:rsid w:val="00594578"/>
    <w:rsid w:val="00595099"/>
    <w:rsid w:val="005A2A1F"/>
    <w:rsid w:val="005A2F73"/>
    <w:rsid w:val="005B0DB3"/>
    <w:rsid w:val="005B118D"/>
    <w:rsid w:val="005B153A"/>
    <w:rsid w:val="005B6266"/>
    <w:rsid w:val="005B75C1"/>
    <w:rsid w:val="005C7EFA"/>
    <w:rsid w:val="005D3007"/>
    <w:rsid w:val="005D3129"/>
    <w:rsid w:val="005D4335"/>
    <w:rsid w:val="005D4790"/>
    <w:rsid w:val="005E2259"/>
    <w:rsid w:val="005E230C"/>
    <w:rsid w:val="005E343C"/>
    <w:rsid w:val="005E448E"/>
    <w:rsid w:val="005F16FA"/>
    <w:rsid w:val="005F49B3"/>
    <w:rsid w:val="005F4BFF"/>
    <w:rsid w:val="005F51B9"/>
    <w:rsid w:val="005F653D"/>
    <w:rsid w:val="006036F8"/>
    <w:rsid w:val="00603D7B"/>
    <w:rsid w:val="00605316"/>
    <w:rsid w:val="006077A9"/>
    <w:rsid w:val="006108CE"/>
    <w:rsid w:val="00612675"/>
    <w:rsid w:val="00612696"/>
    <w:rsid w:val="00613E4D"/>
    <w:rsid w:val="00615A0C"/>
    <w:rsid w:val="00621654"/>
    <w:rsid w:val="006216B4"/>
    <w:rsid w:val="006257C1"/>
    <w:rsid w:val="0063569A"/>
    <w:rsid w:val="00637C14"/>
    <w:rsid w:val="006430C0"/>
    <w:rsid w:val="00644BB3"/>
    <w:rsid w:val="00646138"/>
    <w:rsid w:val="00650745"/>
    <w:rsid w:val="00651B9B"/>
    <w:rsid w:val="00653433"/>
    <w:rsid w:val="00654FD2"/>
    <w:rsid w:val="00655236"/>
    <w:rsid w:val="00656569"/>
    <w:rsid w:val="00660826"/>
    <w:rsid w:val="00661AA8"/>
    <w:rsid w:val="006630FB"/>
    <w:rsid w:val="00665F7E"/>
    <w:rsid w:val="006710DC"/>
    <w:rsid w:val="0067399C"/>
    <w:rsid w:val="00675035"/>
    <w:rsid w:val="00676987"/>
    <w:rsid w:val="00677BC9"/>
    <w:rsid w:val="00683071"/>
    <w:rsid w:val="00686AFF"/>
    <w:rsid w:val="00695533"/>
    <w:rsid w:val="006A1AA8"/>
    <w:rsid w:val="006A2498"/>
    <w:rsid w:val="006A37E3"/>
    <w:rsid w:val="006A5954"/>
    <w:rsid w:val="006A6DDB"/>
    <w:rsid w:val="006A770C"/>
    <w:rsid w:val="006B0014"/>
    <w:rsid w:val="006B3D1D"/>
    <w:rsid w:val="006B44D6"/>
    <w:rsid w:val="006B5516"/>
    <w:rsid w:val="006B67ED"/>
    <w:rsid w:val="006C705A"/>
    <w:rsid w:val="006D6F58"/>
    <w:rsid w:val="006E193E"/>
    <w:rsid w:val="006E4415"/>
    <w:rsid w:val="006E462C"/>
    <w:rsid w:val="006E6557"/>
    <w:rsid w:val="006F2787"/>
    <w:rsid w:val="006F40B5"/>
    <w:rsid w:val="00700358"/>
    <w:rsid w:val="00700E66"/>
    <w:rsid w:val="00701132"/>
    <w:rsid w:val="00703511"/>
    <w:rsid w:val="00707C51"/>
    <w:rsid w:val="0071053D"/>
    <w:rsid w:val="00712E6E"/>
    <w:rsid w:val="00713A5D"/>
    <w:rsid w:val="00715D2A"/>
    <w:rsid w:val="00720FEF"/>
    <w:rsid w:val="0072221F"/>
    <w:rsid w:val="0072253A"/>
    <w:rsid w:val="007240E6"/>
    <w:rsid w:val="007305A7"/>
    <w:rsid w:val="0073212D"/>
    <w:rsid w:val="00733657"/>
    <w:rsid w:val="00733746"/>
    <w:rsid w:val="00735EB8"/>
    <w:rsid w:val="00736CDA"/>
    <w:rsid w:val="00737291"/>
    <w:rsid w:val="00742BAE"/>
    <w:rsid w:val="00743A35"/>
    <w:rsid w:val="007458C9"/>
    <w:rsid w:val="00750CC1"/>
    <w:rsid w:val="00753AD4"/>
    <w:rsid w:val="00755484"/>
    <w:rsid w:val="00763002"/>
    <w:rsid w:val="00764D0D"/>
    <w:rsid w:val="00765BC3"/>
    <w:rsid w:val="0076608B"/>
    <w:rsid w:val="007679D5"/>
    <w:rsid w:val="00771E0F"/>
    <w:rsid w:val="007728D2"/>
    <w:rsid w:val="00773FEA"/>
    <w:rsid w:val="00777941"/>
    <w:rsid w:val="00785866"/>
    <w:rsid w:val="00785F78"/>
    <w:rsid w:val="007875AE"/>
    <w:rsid w:val="0078777C"/>
    <w:rsid w:val="007925FD"/>
    <w:rsid w:val="007970E1"/>
    <w:rsid w:val="007A288E"/>
    <w:rsid w:val="007A53BB"/>
    <w:rsid w:val="007A6F48"/>
    <w:rsid w:val="007B1CEA"/>
    <w:rsid w:val="007B2C1E"/>
    <w:rsid w:val="007B46F6"/>
    <w:rsid w:val="007B63CD"/>
    <w:rsid w:val="007B78A3"/>
    <w:rsid w:val="007C373C"/>
    <w:rsid w:val="007C6C98"/>
    <w:rsid w:val="007C7D36"/>
    <w:rsid w:val="007D17B5"/>
    <w:rsid w:val="007D24A3"/>
    <w:rsid w:val="007D4803"/>
    <w:rsid w:val="007E14BF"/>
    <w:rsid w:val="007E5CFD"/>
    <w:rsid w:val="007E6B79"/>
    <w:rsid w:val="007E7B98"/>
    <w:rsid w:val="007F0BBF"/>
    <w:rsid w:val="007F267C"/>
    <w:rsid w:val="007F3E57"/>
    <w:rsid w:val="007F6920"/>
    <w:rsid w:val="007F7FED"/>
    <w:rsid w:val="0080634A"/>
    <w:rsid w:val="00806DFA"/>
    <w:rsid w:val="00821962"/>
    <w:rsid w:val="00822511"/>
    <w:rsid w:val="00831091"/>
    <w:rsid w:val="0083215B"/>
    <w:rsid w:val="0083710F"/>
    <w:rsid w:val="00837200"/>
    <w:rsid w:val="008402F6"/>
    <w:rsid w:val="00840547"/>
    <w:rsid w:val="008412BE"/>
    <w:rsid w:val="0084332A"/>
    <w:rsid w:val="008465D6"/>
    <w:rsid w:val="00852B2D"/>
    <w:rsid w:val="00857310"/>
    <w:rsid w:val="00860899"/>
    <w:rsid w:val="008627C4"/>
    <w:rsid w:val="008644CC"/>
    <w:rsid w:val="008649B6"/>
    <w:rsid w:val="00866025"/>
    <w:rsid w:val="008702E3"/>
    <w:rsid w:val="008812CB"/>
    <w:rsid w:val="0088233C"/>
    <w:rsid w:val="00883E47"/>
    <w:rsid w:val="00892766"/>
    <w:rsid w:val="008956FD"/>
    <w:rsid w:val="008A3877"/>
    <w:rsid w:val="008A6396"/>
    <w:rsid w:val="008B1A58"/>
    <w:rsid w:val="008B1B71"/>
    <w:rsid w:val="008B2182"/>
    <w:rsid w:val="008B6AB5"/>
    <w:rsid w:val="008C18AE"/>
    <w:rsid w:val="008C2424"/>
    <w:rsid w:val="008C30DD"/>
    <w:rsid w:val="008C3603"/>
    <w:rsid w:val="008C45A5"/>
    <w:rsid w:val="008D34A8"/>
    <w:rsid w:val="008D4FD5"/>
    <w:rsid w:val="008D738D"/>
    <w:rsid w:val="008E295E"/>
    <w:rsid w:val="008E2CA8"/>
    <w:rsid w:val="008E3210"/>
    <w:rsid w:val="008E3838"/>
    <w:rsid w:val="008E3CBC"/>
    <w:rsid w:val="008E4705"/>
    <w:rsid w:val="008E5BBF"/>
    <w:rsid w:val="008E61F0"/>
    <w:rsid w:val="008F2EA2"/>
    <w:rsid w:val="009007B6"/>
    <w:rsid w:val="00901159"/>
    <w:rsid w:val="009026AA"/>
    <w:rsid w:val="00905EBE"/>
    <w:rsid w:val="00911000"/>
    <w:rsid w:val="00911F9D"/>
    <w:rsid w:val="009155B3"/>
    <w:rsid w:val="00916812"/>
    <w:rsid w:val="00916FDE"/>
    <w:rsid w:val="009227A6"/>
    <w:rsid w:val="00923678"/>
    <w:rsid w:val="00923E09"/>
    <w:rsid w:val="00926EAA"/>
    <w:rsid w:val="00934721"/>
    <w:rsid w:val="0093492C"/>
    <w:rsid w:val="0093762E"/>
    <w:rsid w:val="00940B57"/>
    <w:rsid w:val="00941562"/>
    <w:rsid w:val="00944BDE"/>
    <w:rsid w:val="0094618C"/>
    <w:rsid w:val="0095114B"/>
    <w:rsid w:val="0095576C"/>
    <w:rsid w:val="009567D8"/>
    <w:rsid w:val="009601A4"/>
    <w:rsid w:val="00962B70"/>
    <w:rsid w:val="00965032"/>
    <w:rsid w:val="00972E77"/>
    <w:rsid w:val="009732B6"/>
    <w:rsid w:val="00974554"/>
    <w:rsid w:val="00974894"/>
    <w:rsid w:val="00976D15"/>
    <w:rsid w:val="00977E1A"/>
    <w:rsid w:val="00982553"/>
    <w:rsid w:val="009838D5"/>
    <w:rsid w:val="00987290"/>
    <w:rsid w:val="00990570"/>
    <w:rsid w:val="00992DEB"/>
    <w:rsid w:val="009950C9"/>
    <w:rsid w:val="009A269B"/>
    <w:rsid w:val="009A2D04"/>
    <w:rsid w:val="009A33C1"/>
    <w:rsid w:val="009A79F1"/>
    <w:rsid w:val="009B099B"/>
    <w:rsid w:val="009B2BC9"/>
    <w:rsid w:val="009B36AA"/>
    <w:rsid w:val="009B3D4B"/>
    <w:rsid w:val="009B3E83"/>
    <w:rsid w:val="009B4C31"/>
    <w:rsid w:val="009C0A48"/>
    <w:rsid w:val="009C514B"/>
    <w:rsid w:val="009C6042"/>
    <w:rsid w:val="009D29E3"/>
    <w:rsid w:val="009D318B"/>
    <w:rsid w:val="009D3ABC"/>
    <w:rsid w:val="009D57DB"/>
    <w:rsid w:val="009E1EF1"/>
    <w:rsid w:val="009E2FF8"/>
    <w:rsid w:val="009F22F0"/>
    <w:rsid w:val="009F43A4"/>
    <w:rsid w:val="009F5E83"/>
    <w:rsid w:val="00A00768"/>
    <w:rsid w:val="00A01777"/>
    <w:rsid w:val="00A02FD9"/>
    <w:rsid w:val="00A055B0"/>
    <w:rsid w:val="00A06E43"/>
    <w:rsid w:val="00A07432"/>
    <w:rsid w:val="00A12932"/>
    <w:rsid w:val="00A13793"/>
    <w:rsid w:val="00A14806"/>
    <w:rsid w:val="00A14959"/>
    <w:rsid w:val="00A156AE"/>
    <w:rsid w:val="00A15E04"/>
    <w:rsid w:val="00A161B0"/>
    <w:rsid w:val="00A165EA"/>
    <w:rsid w:val="00A21DAE"/>
    <w:rsid w:val="00A22388"/>
    <w:rsid w:val="00A24B93"/>
    <w:rsid w:val="00A30486"/>
    <w:rsid w:val="00A323D2"/>
    <w:rsid w:val="00A32C10"/>
    <w:rsid w:val="00A337E6"/>
    <w:rsid w:val="00A3600A"/>
    <w:rsid w:val="00A43F9C"/>
    <w:rsid w:val="00A4634B"/>
    <w:rsid w:val="00A52EE8"/>
    <w:rsid w:val="00A54C36"/>
    <w:rsid w:val="00A55C3C"/>
    <w:rsid w:val="00A56BC1"/>
    <w:rsid w:val="00A600CF"/>
    <w:rsid w:val="00A61AE8"/>
    <w:rsid w:val="00A62353"/>
    <w:rsid w:val="00A63F51"/>
    <w:rsid w:val="00A66FF5"/>
    <w:rsid w:val="00A67CBE"/>
    <w:rsid w:val="00A75EF4"/>
    <w:rsid w:val="00A77551"/>
    <w:rsid w:val="00A775F2"/>
    <w:rsid w:val="00A8052B"/>
    <w:rsid w:val="00A83A03"/>
    <w:rsid w:val="00A84193"/>
    <w:rsid w:val="00A8522E"/>
    <w:rsid w:val="00A9010C"/>
    <w:rsid w:val="00A901C5"/>
    <w:rsid w:val="00AA475A"/>
    <w:rsid w:val="00AA5F45"/>
    <w:rsid w:val="00AA663B"/>
    <w:rsid w:val="00AB1510"/>
    <w:rsid w:val="00AB2DE7"/>
    <w:rsid w:val="00AB40AF"/>
    <w:rsid w:val="00AB4CA7"/>
    <w:rsid w:val="00AB636E"/>
    <w:rsid w:val="00AB6798"/>
    <w:rsid w:val="00AB6877"/>
    <w:rsid w:val="00AC09ED"/>
    <w:rsid w:val="00AD3193"/>
    <w:rsid w:val="00AD49F8"/>
    <w:rsid w:val="00AD7C32"/>
    <w:rsid w:val="00AE19AF"/>
    <w:rsid w:val="00AE1E5D"/>
    <w:rsid w:val="00AE4E9C"/>
    <w:rsid w:val="00AF1197"/>
    <w:rsid w:val="00AF1688"/>
    <w:rsid w:val="00AF3194"/>
    <w:rsid w:val="00AF3F68"/>
    <w:rsid w:val="00B036F0"/>
    <w:rsid w:val="00B05716"/>
    <w:rsid w:val="00B11DEB"/>
    <w:rsid w:val="00B120C9"/>
    <w:rsid w:val="00B12662"/>
    <w:rsid w:val="00B20170"/>
    <w:rsid w:val="00B21489"/>
    <w:rsid w:val="00B2186B"/>
    <w:rsid w:val="00B21E88"/>
    <w:rsid w:val="00B22495"/>
    <w:rsid w:val="00B244B7"/>
    <w:rsid w:val="00B3097A"/>
    <w:rsid w:val="00B3106B"/>
    <w:rsid w:val="00B361A3"/>
    <w:rsid w:val="00B404D0"/>
    <w:rsid w:val="00B44F10"/>
    <w:rsid w:val="00B50E11"/>
    <w:rsid w:val="00B62CCE"/>
    <w:rsid w:val="00B64D36"/>
    <w:rsid w:val="00B70181"/>
    <w:rsid w:val="00B72F08"/>
    <w:rsid w:val="00B73443"/>
    <w:rsid w:val="00B76129"/>
    <w:rsid w:val="00B8347D"/>
    <w:rsid w:val="00B862D2"/>
    <w:rsid w:val="00B908DF"/>
    <w:rsid w:val="00B90D72"/>
    <w:rsid w:val="00B91270"/>
    <w:rsid w:val="00B92074"/>
    <w:rsid w:val="00B92366"/>
    <w:rsid w:val="00B92A41"/>
    <w:rsid w:val="00B9551D"/>
    <w:rsid w:val="00B95693"/>
    <w:rsid w:val="00B95E84"/>
    <w:rsid w:val="00BA1F62"/>
    <w:rsid w:val="00BA5982"/>
    <w:rsid w:val="00BB3A19"/>
    <w:rsid w:val="00BB3F25"/>
    <w:rsid w:val="00BB3F9A"/>
    <w:rsid w:val="00BB6202"/>
    <w:rsid w:val="00BC0DEB"/>
    <w:rsid w:val="00BC33FC"/>
    <w:rsid w:val="00BD1DB5"/>
    <w:rsid w:val="00BD2454"/>
    <w:rsid w:val="00BD647C"/>
    <w:rsid w:val="00BE257B"/>
    <w:rsid w:val="00BE2ADC"/>
    <w:rsid w:val="00BE6CCB"/>
    <w:rsid w:val="00BF09B4"/>
    <w:rsid w:val="00BF43E1"/>
    <w:rsid w:val="00C03C15"/>
    <w:rsid w:val="00C04C43"/>
    <w:rsid w:val="00C1009D"/>
    <w:rsid w:val="00C11D38"/>
    <w:rsid w:val="00C1227A"/>
    <w:rsid w:val="00C16DB2"/>
    <w:rsid w:val="00C252A9"/>
    <w:rsid w:val="00C32A6F"/>
    <w:rsid w:val="00C33AAD"/>
    <w:rsid w:val="00C359FB"/>
    <w:rsid w:val="00C35AE1"/>
    <w:rsid w:val="00C4185B"/>
    <w:rsid w:val="00C44625"/>
    <w:rsid w:val="00C4520D"/>
    <w:rsid w:val="00C45291"/>
    <w:rsid w:val="00C45CF3"/>
    <w:rsid w:val="00C46E2F"/>
    <w:rsid w:val="00C476E5"/>
    <w:rsid w:val="00C50A22"/>
    <w:rsid w:val="00C519B2"/>
    <w:rsid w:val="00C52737"/>
    <w:rsid w:val="00C53A35"/>
    <w:rsid w:val="00C53B19"/>
    <w:rsid w:val="00C5727B"/>
    <w:rsid w:val="00C60890"/>
    <w:rsid w:val="00C63FFA"/>
    <w:rsid w:val="00C64B6A"/>
    <w:rsid w:val="00C7071F"/>
    <w:rsid w:val="00C72619"/>
    <w:rsid w:val="00C72A6C"/>
    <w:rsid w:val="00C7361A"/>
    <w:rsid w:val="00C7460D"/>
    <w:rsid w:val="00C80336"/>
    <w:rsid w:val="00C82E72"/>
    <w:rsid w:val="00C8430A"/>
    <w:rsid w:val="00C87F56"/>
    <w:rsid w:val="00C9262D"/>
    <w:rsid w:val="00C941C5"/>
    <w:rsid w:val="00CA078B"/>
    <w:rsid w:val="00CA67E2"/>
    <w:rsid w:val="00CA6C2A"/>
    <w:rsid w:val="00CA7442"/>
    <w:rsid w:val="00CB1F1D"/>
    <w:rsid w:val="00CB2381"/>
    <w:rsid w:val="00CB2439"/>
    <w:rsid w:val="00CB6F8A"/>
    <w:rsid w:val="00CC3AB3"/>
    <w:rsid w:val="00CD1BDD"/>
    <w:rsid w:val="00CE09E5"/>
    <w:rsid w:val="00CE0CC7"/>
    <w:rsid w:val="00CE30E0"/>
    <w:rsid w:val="00CE3BED"/>
    <w:rsid w:val="00CF05BE"/>
    <w:rsid w:val="00CF08CE"/>
    <w:rsid w:val="00CF0F09"/>
    <w:rsid w:val="00CF1C9D"/>
    <w:rsid w:val="00CF51FB"/>
    <w:rsid w:val="00CF7090"/>
    <w:rsid w:val="00CF7D86"/>
    <w:rsid w:val="00CF7D99"/>
    <w:rsid w:val="00D00B2E"/>
    <w:rsid w:val="00D01565"/>
    <w:rsid w:val="00D026E5"/>
    <w:rsid w:val="00D0642F"/>
    <w:rsid w:val="00D07002"/>
    <w:rsid w:val="00D10577"/>
    <w:rsid w:val="00D1280F"/>
    <w:rsid w:val="00D15C8C"/>
    <w:rsid w:val="00D16320"/>
    <w:rsid w:val="00D1638A"/>
    <w:rsid w:val="00D17425"/>
    <w:rsid w:val="00D17B06"/>
    <w:rsid w:val="00D2145B"/>
    <w:rsid w:val="00D23118"/>
    <w:rsid w:val="00D23AB6"/>
    <w:rsid w:val="00D2698D"/>
    <w:rsid w:val="00D314A6"/>
    <w:rsid w:val="00D31928"/>
    <w:rsid w:val="00D344C1"/>
    <w:rsid w:val="00D36006"/>
    <w:rsid w:val="00D3705F"/>
    <w:rsid w:val="00D373D9"/>
    <w:rsid w:val="00D40135"/>
    <w:rsid w:val="00D42B06"/>
    <w:rsid w:val="00D47041"/>
    <w:rsid w:val="00D523A1"/>
    <w:rsid w:val="00D526DF"/>
    <w:rsid w:val="00D61362"/>
    <w:rsid w:val="00D643F2"/>
    <w:rsid w:val="00D72025"/>
    <w:rsid w:val="00D725B6"/>
    <w:rsid w:val="00D75D27"/>
    <w:rsid w:val="00D75F3B"/>
    <w:rsid w:val="00D77C76"/>
    <w:rsid w:val="00D77EE6"/>
    <w:rsid w:val="00D911AC"/>
    <w:rsid w:val="00D91BA3"/>
    <w:rsid w:val="00D9427C"/>
    <w:rsid w:val="00D94ADD"/>
    <w:rsid w:val="00DA44A9"/>
    <w:rsid w:val="00DA7A8D"/>
    <w:rsid w:val="00DB19FF"/>
    <w:rsid w:val="00DB60E6"/>
    <w:rsid w:val="00DC0738"/>
    <w:rsid w:val="00DD0D2F"/>
    <w:rsid w:val="00DD4D3D"/>
    <w:rsid w:val="00DD5A44"/>
    <w:rsid w:val="00DD7178"/>
    <w:rsid w:val="00DE0282"/>
    <w:rsid w:val="00DE0308"/>
    <w:rsid w:val="00DE0346"/>
    <w:rsid w:val="00DE0CF0"/>
    <w:rsid w:val="00DE1587"/>
    <w:rsid w:val="00DE39D7"/>
    <w:rsid w:val="00DF0D64"/>
    <w:rsid w:val="00DF1032"/>
    <w:rsid w:val="00DF1FC4"/>
    <w:rsid w:val="00DF4D83"/>
    <w:rsid w:val="00E01835"/>
    <w:rsid w:val="00E02EAF"/>
    <w:rsid w:val="00E03204"/>
    <w:rsid w:val="00E03B46"/>
    <w:rsid w:val="00E067A2"/>
    <w:rsid w:val="00E077DF"/>
    <w:rsid w:val="00E07A72"/>
    <w:rsid w:val="00E12A80"/>
    <w:rsid w:val="00E15BCC"/>
    <w:rsid w:val="00E25A3E"/>
    <w:rsid w:val="00E2606B"/>
    <w:rsid w:val="00E3052B"/>
    <w:rsid w:val="00E31629"/>
    <w:rsid w:val="00E331B6"/>
    <w:rsid w:val="00E36FD9"/>
    <w:rsid w:val="00E43F8E"/>
    <w:rsid w:val="00E45186"/>
    <w:rsid w:val="00E4759E"/>
    <w:rsid w:val="00E50554"/>
    <w:rsid w:val="00E507F0"/>
    <w:rsid w:val="00E51144"/>
    <w:rsid w:val="00E55848"/>
    <w:rsid w:val="00E55C66"/>
    <w:rsid w:val="00E63F2E"/>
    <w:rsid w:val="00E6515C"/>
    <w:rsid w:val="00E65FD4"/>
    <w:rsid w:val="00E7210A"/>
    <w:rsid w:val="00E72A79"/>
    <w:rsid w:val="00E802B6"/>
    <w:rsid w:val="00E82E00"/>
    <w:rsid w:val="00E82F1E"/>
    <w:rsid w:val="00E8500B"/>
    <w:rsid w:val="00E8695C"/>
    <w:rsid w:val="00E86AD4"/>
    <w:rsid w:val="00E87905"/>
    <w:rsid w:val="00E87C23"/>
    <w:rsid w:val="00E904E4"/>
    <w:rsid w:val="00E916A7"/>
    <w:rsid w:val="00E932B5"/>
    <w:rsid w:val="00E9478D"/>
    <w:rsid w:val="00E94C86"/>
    <w:rsid w:val="00E95904"/>
    <w:rsid w:val="00E95FDF"/>
    <w:rsid w:val="00E965B7"/>
    <w:rsid w:val="00E972D3"/>
    <w:rsid w:val="00EA316A"/>
    <w:rsid w:val="00EA66AD"/>
    <w:rsid w:val="00EB1FD7"/>
    <w:rsid w:val="00EB239A"/>
    <w:rsid w:val="00EB6903"/>
    <w:rsid w:val="00EC4FE5"/>
    <w:rsid w:val="00EC72BA"/>
    <w:rsid w:val="00EC7C52"/>
    <w:rsid w:val="00ED011F"/>
    <w:rsid w:val="00ED23AA"/>
    <w:rsid w:val="00ED58E4"/>
    <w:rsid w:val="00ED68B8"/>
    <w:rsid w:val="00EE0738"/>
    <w:rsid w:val="00EE0DBB"/>
    <w:rsid w:val="00EE1161"/>
    <w:rsid w:val="00EE709D"/>
    <w:rsid w:val="00EE7699"/>
    <w:rsid w:val="00EE7C9E"/>
    <w:rsid w:val="00EF0C48"/>
    <w:rsid w:val="00EF46E6"/>
    <w:rsid w:val="00EF5F44"/>
    <w:rsid w:val="00EF626F"/>
    <w:rsid w:val="00F00B18"/>
    <w:rsid w:val="00F0330D"/>
    <w:rsid w:val="00F0562B"/>
    <w:rsid w:val="00F06E7C"/>
    <w:rsid w:val="00F07FAF"/>
    <w:rsid w:val="00F10750"/>
    <w:rsid w:val="00F12440"/>
    <w:rsid w:val="00F142DB"/>
    <w:rsid w:val="00F16056"/>
    <w:rsid w:val="00F20D5C"/>
    <w:rsid w:val="00F21520"/>
    <w:rsid w:val="00F22289"/>
    <w:rsid w:val="00F25D67"/>
    <w:rsid w:val="00F26354"/>
    <w:rsid w:val="00F26931"/>
    <w:rsid w:val="00F27F84"/>
    <w:rsid w:val="00F34654"/>
    <w:rsid w:val="00F3578B"/>
    <w:rsid w:val="00F357F6"/>
    <w:rsid w:val="00F43A15"/>
    <w:rsid w:val="00F43C52"/>
    <w:rsid w:val="00F44185"/>
    <w:rsid w:val="00F442D7"/>
    <w:rsid w:val="00F471C4"/>
    <w:rsid w:val="00F5238A"/>
    <w:rsid w:val="00F53553"/>
    <w:rsid w:val="00F5420B"/>
    <w:rsid w:val="00F55C9B"/>
    <w:rsid w:val="00F56324"/>
    <w:rsid w:val="00F57032"/>
    <w:rsid w:val="00F579ED"/>
    <w:rsid w:val="00F57BC1"/>
    <w:rsid w:val="00F63187"/>
    <w:rsid w:val="00F63AA6"/>
    <w:rsid w:val="00F64177"/>
    <w:rsid w:val="00F64284"/>
    <w:rsid w:val="00F67AE3"/>
    <w:rsid w:val="00F70A12"/>
    <w:rsid w:val="00F71C68"/>
    <w:rsid w:val="00F7380D"/>
    <w:rsid w:val="00F743E1"/>
    <w:rsid w:val="00F85632"/>
    <w:rsid w:val="00F867F4"/>
    <w:rsid w:val="00F87163"/>
    <w:rsid w:val="00F90936"/>
    <w:rsid w:val="00F9379B"/>
    <w:rsid w:val="00F93BA4"/>
    <w:rsid w:val="00F95B0D"/>
    <w:rsid w:val="00F96145"/>
    <w:rsid w:val="00F97E13"/>
    <w:rsid w:val="00FA1191"/>
    <w:rsid w:val="00FA547D"/>
    <w:rsid w:val="00FB0ED4"/>
    <w:rsid w:val="00FC01F2"/>
    <w:rsid w:val="00FC0385"/>
    <w:rsid w:val="00FC13A4"/>
    <w:rsid w:val="00FC34D5"/>
    <w:rsid w:val="00FC61F3"/>
    <w:rsid w:val="00FC76E7"/>
    <w:rsid w:val="00FD07EE"/>
    <w:rsid w:val="00FD36CE"/>
    <w:rsid w:val="00FD48A0"/>
    <w:rsid w:val="00FD5090"/>
    <w:rsid w:val="00FD5648"/>
    <w:rsid w:val="00FE07D3"/>
    <w:rsid w:val="00FE4DF3"/>
    <w:rsid w:val="00FE53D2"/>
    <w:rsid w:val="00FE7668"/>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19"/>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65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B3A19"/>
    <w:rPr>
      <w:rFonts w:ascii="Times New Roman" w:hAnsi="Times New Roman"/>
      <w:sz w:val="20"/>
    </w:rPr>
  </w:style>
  <w:style w:type="character" w:customStyle="1" w:styleId="FootnoteTextChar">
    <w:name w:val="Footnote Text Char"/>
    <w:basedOn w:val="DefaultParagraphFont"/>
    <w:link w:val="FootnoteText"/>
    <w:rsid w:val="00BB3A19"/>
    <w:rPr>
      <w:rFonts w:ascii="Times New Roman" w:hAnsi="Times New Roman"/>
      <w:sz w:val="20"/>
    </w:rPr>
  </w:style>
  <w:style w:type="character" w:styleId="FootnoteReference">
    <w:name w:val="footnote reference"/>
    <w:basedOn w:val="DefaultParagraphFont"/>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EndnoteText">
    <w:name w:val="endnote text"/>
    <w:basedOn w:val="Normal"/>
    <w:link w:val="EndnoteTextChar"/>
    <w:uiPriority w:val="99"/>
    <w:semiHidden/>
    <w:unhideWhenUsed/>
    <w:rsid w:val="00D23118"/>
    <w:rPr>
      <w:sz w:val="20"/>
      <w:szCs w:val="20"/>
    </w:rPr>
  </w:style>
  <w:style w:type="character" w:customStyle="1" w:styleId="EndnoteTextChar">
    <w:name w:val="Endnote Text Char"/>
    <w:basedOn w:val="DefaultParagraphFont"/>
    <w:link w:val="EndnoteText"/>
    <w:uiPriority w:val="99"/>
    <w:semiHidden/>
    <w:rsid w:val="00D23118"/>
    <w:rPr>
      <w:sz w:val="20"/>
      <w:szCs w:val="20"/>
    </w:rPr>
  </w:style>
  <w:style w:type="character" w:styleId="EndnoteReference">
    <w:name w:val="endnote reference"/>
    <w:basedOn w:val="DefaultParagraphFont"/>
    <w:uiPriority w:val="99"/>
    <w:semiHidden/>
    <w:unhideWhenUsed/>
    <w:rsid w:val="00D23118"/>
    <w:rPr>
      <w:vertAlign w:val="superscript"/>
    </w:rPr>
  </w:style>
  <w:style w:type="paragraph" w:customStyle="1" w:styleId="LegalList1">
    <w:name w:val="Legal_List1"/>
    <w:basedOn w:val="Normal"/>
    <w:semiHidden/>
    <w:rsid w:val="00E87C23"/>
    <w:pPr>
      <w:suppressAutoHyphens/>
      <w:spacing w:after="360" w:line="480" w:lineRule="auto"/>
      <w:jc w:val="both"/>
      <w:outlineLvl w:val="0"/>
    </w:pPr>
    <w:rPr>
      <w:rFonts w:ascii="Arial" w:eastAsia="Times New Roman" w:hAnsi="Arial" w:cs="Times New Roman"/>
      <w:lang w:val="en-GB" w:eastAsia="en-GB"/>
    </w:rPr>
  </w:style>
  <w:style w:type="paragraph" w:customStyle="1" w:styleId="LegalMAINHEADING">
    <w:name w:val="Legal_MAINHEADING"/>
    <w:basedOn w:val="LegalNormal"/>
    <w:next w:val="LegalNormal"/>
    <w:semiHidden/>
    <w:rsid w:val="00E87C23"/>
    <w:pPr>
      <w:keepNext/>
      <w:spacing w:before="480"/>
    </w:pPr>
    <w:rPr>
      <w:b/>
      <w:caps/>
    </w:rPr>
  </w:style>
  <w:style w:type="paragraph" w:customStyle="1" w:styleId="LegalTramLines">
    <w:name w:val="Legal_TramLines"/>
    <w:basedOn w:val="LegalNormal"/>
    <w:next w:val="LegalNormal"/>
    <w:semiHidden/>
    <w:rsid w:val="00E87C23"/>
    <w:pPr>
      <w:pBdr>
        <w:top w:val="single" w:sz="4" w:space="18" w:color="auto"/>
        <w:bottom w:val="single" w:sz="4" w:space="18" w:color="auto"/>
      </w:pBdr>
      <w:spacing w:after="480" w:line="240" w:lineRule="auto"/>
      <w:jc w:val="center"/>
    </w:pPr>
    <w:rPr>
      <w:rFonts w:ascii="Arial Bold" w:hAnsi="Arial Bold"/>
      <w:b/>
    </w:rPr>
  </w:style>
  <w:style w:type="paragraph" w:customStyle="1" w:styleId="LegalNormal">
    <w:name w:val="Legal_Normal"/>
    <w:basedOn w:val="Normal"/>
    <w:rsid w:val="00E87C23"/>
    <w:pPr>
      <w:suppressAutoHyphens/>
      <w:spacing w:after="360" w:line="480" w:lineRule="auto"/>
      <w:jc w:val="both"/>
    </w:pPr>
    <w:rPr>
      <w:rFonts w:ascii="Arial" w:eastAsia="Times New Roman" w:hAnsi="Arial" w:cs="Times New Roman"/>
      <w:lang w:val="en-GB" w:eastAsia="en-GB"/>
    </w:rPr>
  </w:style>
  <w:style w:type="character" w:customStyle="1" w:styleId="Heading3Char">
    <w:name w:val="Heading 3 Char"/>
    <w:basedOn w:val="DefaultParagraphFont"/>
    <w:link w:val="Heading3"/>
    <w:uiPriority w:val="9"/>
    <w:semiHidden/>
    <w:rsid w:val="006E6557"/>
    <w:rPr>
      <w:rFonts w:asciiTheme="majorHAnsi" w:eastAsiaTheme="majorEastAsia" w:hAnsiTheme="majorHAnsi" w:cstheme="majorBidi"/>
      <w:color w:val="1F3763" w:themeColor="accent1" w:themeShade="7F"/>
    </w:rPr>
  </w:style>
  <w:style w:type="table" w:customStyle="1" w:styleId="TableGrid1">
    <w:name w:val="TableGrid1"/>
    <w:rsid w:val="00765BC3"/>
    <w:rPr>
      <w:rFonts w:eastAsiaTheme="minorEastAsia"/>
      <w:sz w:val="22"/>
      <w:szCs w:val="22"/>
      <w:lang w:val="en-ZA" w:eastAsia="en-ZA"/>
    </w:rPr>
    <w:tblPr>
      <w:tblCellMar>
        <w:top w:w="0" w:type="dxa"/>
        <w:left w:w="0" w:type="dxa"/>
        <w:bottom w:w="0" w:type="dxa"/>
        <w:right w:w="0" w:type="dxa"/>
      </w:tblCellMar>
    </w:tblPr>
  </w:style>
  <w:style w:type="paragraph" w:customStyle="1" w:styleId="WLGLevel1">
    <w:name w:val="WLGLevel1"/>
    <w:basedOn w:val="Normal"/>
    <w:qFormat/>
    <w:rsid w:val="00F7380D"/>
    <w:pPr>
      <w:numPr>
        <w:numId w:val="6"/>
      </w:numPr>
      <w:suppressAutoHyphens/>
      <w:spacing w:before="320" w:after="320" w:line="480" w:lineRule="auto"/>
      <w:jc w:val="both"/>
      <w:outlineLvl w:val="0"/>
    </w:pPr>
    <w:rPr>
      <w:rFonts w:ascii="Arial" w:eastAsia="Times New Roman" w:hAnsi="Arial" w:cs="Times New Roman"/>
      <w:szCs w:val="20"/>
      <w:lang w:val="en-ZA"/>
    </w:rPr>
  </w:style>
  <w:style w:type="paragraph" w:customStyle="1" w:styleId="WLGLevel2">
    <w:name w:val="WLGLevel2"/>
    <w:basedOn w:val="Normal"/>
    <w:qFormat/>
    <w:rsid w:val="00F7380D"/>
    <w:pPr>
      <w:numPr>
        <w:ilvl w:val="1"/>
        <w:numId w:val="6"/>
      </w:numPr>
      <w:suppressAutoHyphens/>
      <w:spacing w:after="320" w:line="480" w:lineRule="auto"/>
      <w:jc w:val="both"/>
      <w:outlineLvl w:val="1"/>
    </w:pPr>
    <w:rPr>
      <w:rFonts w:ascii="Arial" w:eastAsia="Times New Roman" w:hAnsi="Arial" w:cs="Times New Roman"/>
      <w:szCs w:val="20"/>
      <w:lang w:val="en-ZA"/>
    </w:rPr>
  </w:style>
  <w:style w:type="paragraph" w:customStyle="1" w:styleId="WLGLevel3">
    <w:name w:val="WLGLevel3"/>
    <w:basedOn w:val="Normal"/>
    <w:qFormat/>
    <w:rsid w:val="00F7380D"/>
    <w:pPr>
      <w:numPr>
        <w:ilvl w:val="2"/>
        <w:numId w:val="6"/>
      </w:numPr>
      <w:suppressAutoHyphens/>
      <w:spacing w:after="320" w:line="480" w:lineRule="auto"/>
      <w:jc w:val="both"/>
      <w:outlineLvl w:val="2"/>
    </w:pPr>
    <w:rPr>
      <w:rFonts w:ascii="Arial" w:eastAsia="Times New Roman" w:hAnsi="Arial" w:cs="Times New Roman"/>
      <w:szCs w:val="20"/>
      <w:lang w:val="en-ZA"/>
    </w:rPr>
  </w:style>
  <w:style w:type="paragraph" w:customStyle="1" w:styleId="WLGLevel4">
    <w:name w:val="WLGLevel4"/>
    <w:basedOn w:val="Normal"/>
    <w:qFormat/>
    <w:rsid w:val="00F7380D"/>
    <w:pPr>
      <w:numPr>
        <w:ilvl w:val="3"/>
        <w:numId w:val="6"/>
      </w:numPr>
      <w:suppressAutoHyphens/>
      <w:spacing w:after="320" w:line="480" w:lineRule="auto"/>
      <w:jc w:val="both"/>
      <w:outlineLvl w:val="3"/>
    </w:pPr>
    <w:rPr>
      <w:rFonts w:ascii="Arial" w:eastAsia="Times New Roman" w:hAnsi="Arial" w:cs="Times New Roman"/>
      <w:szCs w:val="20"/>
      <w:lang w:val="en-ZA"/>
    </w:rPr>
  </w:style>
  <w:style w:type="paragraph" w:customStyle="1" w:styleId="WLGLevel5">
    <w:name w:val="WLGLevel5"/>
    <w:basedOn w:val="Normal"/>
    <w:qFormat/>
    <w:rsid w:val="00F7380D"/>
    <w:pPr>
      <w:numPr>
        <w:ilvl w:val="4"/>
        <w:numId w:val="6"/>
      </w:numPr>
      <w:suppressAutoHyphens/>
      <w:spacing w:after="320" w:line="480" w:lineRule="auto"/>
      <w:jc w:val="both"/>
      <w:outlineLvl w:val="4"/>
    </w:pPr>
    <w:rPr>
      <w:rFonts w:ascii="Arial" w:eastAsia="Times New Roman" w:hAnsi="Arial" w:cs="Times New Roman"/>
      <w:szCs w:val="20"/>
      <w:lang w:val="en-ZA"/>
    </w:rPr>
  </w:style>
  <w:style w:type="paragraph" w:styleId="Footer">
    <w:name w:val="footer"/>
    <w:basedOn w:val="Normal"/>
    <w:link w:val="FooterChar"/>
    <w:uiPriority w:val="99"/>
    <w:unhideWhenUsed/>
    <w:rsid w:val="00BE2ADC"/>
    <w:pPr>
      <w:tabs>
        <w:tab w:val="center" w:pos="4680"/>
        <w:tab w:val="right" w:pos="9360"/>
      </w:tabs>
    </w:pPr>
  </w:style>
  <w:style w:type="character" w:customStyle="1" w:styleId="FooterChar">
    <w:name w:val="Footer Char"/>
    <w:basedOn w:val="DefaultParagraphFont"/>
    <w:link w:val="Footer"/>
    <w:uiPriority w:val="99"/>
    <w:rsid w:val="00BE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44543315">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761491403">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C9AE52-6D31-4662-93E4-4F8DF65F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Mokone</cp:lastModifiedBy>
  <cp:revision>2</cp:revision>
  <cp:lastPrinted>2022-04-10T14:08:00Z</cp:lastPrinted>
  <dcterms:created xsi:type="dcterms:W3CDTF">2022-12-06T07:18:00Z</dcterms:created>
  <dcterms:modified xsi:type="dcterms:W3CDTF">2022-12-06T07:18:00Z</dcterms:modified>
</cp:coreProperties>
</file>