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DD" w:rsidRDefault="004022DD" w:rsidP="004022DD">
      <w:pPr>
        <w:spacing w:line="360" w:lineRule="auto"/>
        <w:jc w:val="center"/>
        <w:rPr>
          <w:rFonts w:ascii="Raavi" w:eastAsia="Calibri" w:hAnsi="Raavi" w:cs="Raavi"/>
          <w:b/>
          <w:sz w:val="28"/>
          <w:szCs w:val="28"/>
          <w:u w:val="single"/>
        </w:rPr>
      </w:pPr>
      <w:bookmarkStart w:id="0" w:name="_GoBack"/>
      <w:bookmarkEnd w:id="0"/>
      <w:r>
        <w:rPr>
          <w:noProof/>
          <w:lang w:val="en-US"/>
        </w:rPr>
        <w:drawing>
          <wp:inline distT="0" distB="0" distL="0" distR="0" wp14:anchorId="30E6DB75" wp14:editId="237DE8E1">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4022DD" w:rsidRPr="004A2202" w:rsidRDefault="004022DD" w:rsidP="004022DD">
      <w:pPr>
        <w:spacing w:line="360" w:lineRule="auto"/>
        <w:jc w:val="center"/>
        <w:rPr>
          <w:rFonts w:ascii="Raavi" w:eastAsia="Calibri" w:hAnsi="Raavi" w:cs="Raavi"/>
          <w:b/>
          <w:sz w:val="28"/>
          <w:szCs w:val="28"/>
          <w:u w:val="single"/>
        </w:rPr>
      </w:pPr>
      <w:r>
        <w:rPr>
          <w:rFonts w:ascii="Raavi" w:eastAsia="Calibri" w:hAnsi="Raavi" w:cs="Raavi"/>
          <w:b/>
          <w:sz w:val="28"/>
          <w:szCs w:val="28"/>
          <w:u w:val="single"/>
        </w:rPr>
        <w:t>IN THE HIGH COURT OF SOUTH AFRICA</w:t>
      </w:r>
    </w:p>
    <w:p w:rsidR="004022DD" w:rsidRPr="004A2202" w:rsidRDefault="004022DD" w:rsidP="004022DD">
      <w:pPr>
        <w:spacing w:line="360" w:lineRule="auto"/>
        <w:jc w:val="center"/>
        <w:rPr>
          <w:rFonts w:ascii="Raavi" w:eastAsia="Calibri" w:hAnsi="Raavi" w:cs="Raavi"/>
          <w:b/>
          <w:sz w:val="28"/>
          <w:szCs w:val="28"/>
        </w:rPr>
      </w:pPr>
      <w:r>
        <w:rPr>
          <w:rFonts w:ascii="Raavi" w:eastAsia="Calibri" w:hAnsi="Raavi" w:cs="Raavi"/>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4022DD" w:rsidRPr="004A2202" w:rsidTr="00FB0323">
        <w:tc>
          <w:tcPr>
            <w:tcW w:w="4428" w:type="dxa"/>
          </w:tcPr>
          <w:p w:rsidR="004022DD" w:rsidRPr="004A2202" w:rsidRDefault="004022DD" w:rsidP="00FB0323">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DELETE WHICHEVER IS NOT APPLICABLE</w:t>
            </w:r>
          </w:p>
          <w:p w:rsidR="004022DD" w:rsidRPr="004A2202" w:rsidRDefault="002E63F7" w:rsidP="00FB0323">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(1) REPORTABLE:  YES</w:t>
            </w:r>
            <w:r w:rsidR="004022DD" w:rsidRPr="004A2202">
              <w:rPr>
                <w:rFonts w:ascii="Times New Roman" w:eastAsia="Calibri" w:hAnsi="Times New Roman" w:cs="Times New Roman"/>
                <w:b/>
                <w:sz w:val="18"/>
                <w:szCs w:val="18"/>
              </w:rPr>
              <w:t>.</w:t>
            </w:r>
          </w:p>
          <w:p w:rsidR="004022DD" w:rsidRPr="004A2202" w:rsidRDefault="004022DD" w:rsidP="00FB0323">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(2) OF INT</w:t>
            </w:r>
            <w:r w:rsidR="002E63F7">
              <w:rPr>
                <w:rFonts w:ascii="Times New Roman" w:eastAsia="Calibri" w:hAnsi="Times New Roman" w:cs="Times New Roman"/>
                <w:b/>
                <w:sz w:val="18"/>
                <w:szCs w:val="18"/>
              </w:rPr>
              <w:t>EREST TO OTHER JUDGES:  YES</w:t>
            </w:r>
            <w:r w:rsidRPr="004A2202">
              <w:rPr>
                <w:rFonts w:ascii="Times New Roman" w:eastAsia="Calibri" w:hAnsi="Times New Roman" w:cs="Times New Roman"/>
                <w:b/>
                <w:sz w:val="18"/>
                <w:szCs w:val="18"/>
              </w:rPr>
              <w:t>.</w:t>
            </w:r>
          </w:p>
          <w:p w:rsidR="004022DD" w:rsidRPr="004A2202" w:rsidRDefault="004022DD" w:rsidP="00FB0323">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(3) REVISED.</w:t>
            </w:r>
          </w:p>
          <w:p w:rsidR="004022DD" w:rsidRPr="004A2202" w:rsidRDefault="002E308D" w:rsidP="00FB0323">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2022-12-01</w:t>
            </w:r>
          </w:p>
          <w:p w:rsidR="004022DD" w:rsidRPr="004A2202" w:rsidRDefault="004022DD" w:rsidP="00FB0323">
            <w:pPr>
              <w:spacing w:line="240" w:lineRule="auto"/>
              <w:rPr>
                <w:rFonts w:ascii="Times New Roman" w:eastAsia="Calibri" w:hAnsi="Times New Roman" w:cs="Times New Roman"/>
                <w:b/>
                <w:sz w:val="18"/>
                <w:szCs w:val="18"/>
                <w:u w:val="single"/>
              </w:rPr>
            </w:pPr>
            <w:r w:rsidRPr="004A2202">
              <w:rPr>
                <w:rFonts w:ascii="Times New Roman" w:eastAsia="Calibri" w:hAnsi="Times New Roman" w:cs="Times New Roman"/>
                <w:b/>
                <w:sz w:val="18"/>
                <w:szCs w:val="18"/>
                <w:u w:val="single"/>
              </w:rPr>
              <w:t>DATE</w:t>
            </w:r>
            <w:r w:rsidRPr="004A2202">
              <w:rPr>
                <w:rFonts w:ascii="Times New Roman" w:eastAsia="Calibri" w:hAnsi="Times New Roman" w:cs="Times New Roman"/>
                <w:b/>
                <w:sz w:val="18"/>
                <w:szCs w:val="18"/>
              </w:rPr>
              <w:t xml:space="preserve">                                            </w:t>
            </w:r>
            <w:r w:rsidRPr="004A2202">
              <w:rPr>
                <w:rFonts w:ascii="Times New Roman" w:eastAsia="Calibri" w:hAnsi="Times New Roman" w:cs="Times New Roman"/>
                <w:b/>
                <w:sz w:val="18"/>
                <w:szCs w:val="18"/>
                <w:u w:val="single"/>
              </w:rPr>
              <w:t>SIGNATURE</w:t>
            </w:r>
          </w:p>
        </w:tc>
      </w:tr>
    </w:tbl>
    <w:p w:rsidR="004022DD" w:rsidRPr="0077760D" w:rsidRDefault="004022DD" w:rsidP="004022DD">
      <w:pPr>
        <w:spacing w:line="360" w:lineRule="auto"/>
        <w:jc w:val="right"/>
        <w:rPr>
          <w:rFonts w:ascii="Arial" w:eastAsia="Calibri" w:hAnsi="Arial" w:cs="Arial"/>
          <w:sz w:val="24"/>
          <w:szCs w:val="24"/>
        </w:rPr>
      </w:pPr>
      <w:r w:rsidRPr="0077760D">
        <w:rPr>
          <w:rFonts w:ascii="Arial" w:eastAsia="Calibri" w:hAnsi="Arial" w:cs="Arial"/>
          <w:sz w:val="24"/>
          <w:szCs w:val="24"/>
        </w:rPr>
        <w:t>Case Number:  A194/2021</w:t>
      </w:r>
    </w:p>
    <w:p w:rsidR="004022DD" w:rsidRPr="0077760D" w:rsidRDefault="004022DD" w:rsidP="004022DD">
      <w:pPr>
        <w:spacing w:line="360" w:lineRule="auto"/>
        <w:jc w:val="both"/>
        <w:rPr>
          <w:rFonts w:ascii="Arial" w:eastAsia="Calibri" w:hAnsi="Arial" w:cs="Arial"/>
          <w:sz w:val="24"/>
          <w:szCs w:val="24"/>
        </w:rPr>
      </w:pPr>
      <w:r w:rsidRPr="0077760D">
        <w:rPr>
          <w:rFonts w:ascii="Arial" w:eastAsia="Calibri" w:hAnsi="Arial" w:cs="Arial"/>
          <w:sz w:val="24"/>
          <w:szCs w:val="24"/>
        </w:rPr>
        <w:t>In the matter between:</w:t>
      </w:r>
    </w:p>
    <w:p w:rsidR="004022DD" w:rsidRPr="0077760D" w:rsidRDefault="004022DD" w:rsidP="004022DD">
      <w:pPr>
        <w:spacing w:line="360" w:lineRule="auto"/>
        <w:rPr>
          <w:rFonts w:ascii="Arial" w:hAnsi="Arial" w:cs="Arial"/>
          <w:sz w:val="24"/>
          <w:szCs w:val="24"/>
        </w:rPr>
      </w:pPr>
      <w:r w:rsidRPr="0077760D">
        <w:rPr>
          <w:rFonts w:ascii="Arial" w:hAnsi="Arial" w:cs="Arial"/>
          <w:b/>
          <w:sz w:val="24"/>
          <w:szCs w:val="24"/>
        </w:rPr>
        <w:t xml:space="preserve">KAREL JOHANNES VAN AS N.O.                        </w:t>
      </w:r>
      <w:r w:rsidR="00DC2489">
        <w:rPr>
          <w:rFonts w:ascii="Arial" w:hAnsi="Arial" w:cs="Arial"/>
          <w:b/>
          <w:sz w:val="24"/>
          <w:szCs w:val="24"/>
        </w:rPr>
        <w:t xml:space="preserve">                               </w:t>
      </w:r>
      <w:r w:rsidRPr="0077760D">
        <w:rPr>
          <w:rFonts w:ascii="Arial" w:hAnsi="Arial" w:cs="Arial"/>
          <w:sz w:val="24"/>
          <w:szCs w:val="24"/>
        </w:rPr>
        <w:t>First Appellant</w:t>
      </w:r>
    </w:p>
    <w:p w:rsidR="004022DD" w:rsidRPr="0077760D" w:rsidRDefault="004022DD" w:rsidP="004022DD">
      <w:pPr>
        <w:spacing w:line="360" w:lineRule="auto"/>
        <w:rPr>
          <w:rFonts w:ascii="Arial" w:hAnsi="Arial" w:cs="Arial"/>
          <w:sz w:val="24"/>
          <w:szCs w:val="24"/>
        </w:rPr>
      </w:pPr>
      <w:r w:rsidRPr="0077760D">
        <w:rPr>
          <w:rFonts w:ascii="Arial" w:hAnsi="Arial" w:cs="Arial"/>
          <w:b/>
          <w:sz w:val="24"/>
          <w:szCs w:val="24"/>
        </w:rPr>
        <w:t xml:space="preserve">STAR STONE CRUSHERS N.O.                       </w:t>
      </w:r>
      <w:r w:rsidR="00DC2489">
        <w:rPr>
          <w:rFonts w:ascii="Arial" w:hAnsi="Arial" w:cs="Arial"/>
          <w:b/>
          <w:sz w:val="24"/>
          <w:szCs w:val="24"/>
        </w:rPr>
        <w:t xml:space="preserve">                               </w:t>
      </w:r>
      <w:r w:rsidRPr="0077760D">
        <w:rPr>
          <w:rFonts w:ascii="Arial" w:hAnsi="Arial" w:cs="Arial"/>
          <w:sz w:val="24"/>
          <w:szCs w:val="24"/>
        </w:rPr>
        <w:t>Second Appellant</w:t>
      </w:r>
    </w:p>
    <w:p w:rsidR="004022DD" w:rsidRPr="00DC2489" w:rsidRDefault="004022DD" w:rsidP="004022DD">
      <w:pPr>
        <w:spacing w:line="360" w:lineRule="auto"/>
        <w:rPr>
          <w:rFonts w:ascii="Arial" w:hAnsi="Arial" w:cs="Arial"/>
          <w:sz w:val="24"/>
          <w:szCs w:val="24"/>
        </w:rPr>
      </w:pPr>
      <w:r w:rsidRPr="0077760D">
        <w:rPr>
          <w:rFonts w:ascii="Arial" w:hAnsi="Arial" w:cs="Arial"/>
          <w:b/>
          <w:sz w:val="24"/>
          <w:szCs w:val="24"/>
        </w:rPr>
        <w:t xml:space="preserve">CHRISTINE CATHERINE VAN AS N.O.                                           </w:t>
      </w:r>
      <w:r w:rsidR="00DC2489">
        <w:rPr>
          <w:rFonts w:ascii="Arial" w:hAnsi="Arial" w:cs="Arial"/>
          <w:b/>
          <w:sz w:val="24"/>
          <w:szCs w:val="24"/>
        </w:rPr>
        <w:t xml:space="preserve">   </w:t>
      </w:r>
      <w:r w:rsidRPr="0077760D">
        <w:rPr>
          <w:rFonts w:ascii="Arial" w:hAnsi="Arial" w:cs="Arial"/>
          <w:sz w:val="24"/>
          <w:szCs w:val="24"/>
        </w:rPr>
        <w:t>Third Appellant</w:t>
      </w:r>
    </w:p>
    <w:p w:rsidR="004022DD" w:rsidRPr="00DC2489" w:rsidRDefault="004022DD" w:rsidP="004022DD">
      <w:pPr>
        <w:spacing w:line="360" w:lineRule="auto"/>
        <w:rPr>
          <w:rFonts w:ascii="Arial" w:hAnsi="Arial" w:cs="Arial"/>
          <w:sz w:val="24"/>
          <w:szCs w:val="24"/>
        </w:rPr>
      </w:pPr>
      <w:r w:rsidRPr="0077760D">
        <w:rPr>
          <w:rFonts w:ascii="Arial" w:hAnsi="Arial" w:cs="Arial"/>
          <w:sz w:val="24"/>
          <w:szCs w:val="24"/>
        </w:rPr>
        <w:t>and</w:t>
      </w:r>
    </w:p>
    <w:p w:rsidR="004022DD" w:rsidRDefault="004022DD" w:rsidP="004022DD">
      <w:pPr>
        <w:spacing w:line="360" w:lineRule="auto"/>
        <w:rPr>
          <w:rFonts w:ascii="Arial" w:hAnsi="Arial" w:cs="Arial"/>
          <w:sz w:val="24"/>
          <w:szCs w:val="24"/>
        </w:rPr>
      </w:pPr>
      <w:r w:rsidRPr="0077760D">
        <w:rPr>
          <w:rFonts w:ascii="Arial" w:hAnsi="Arial" w:cs="Arial"/>
          <w:b/>
          <w:sz w:val="24"/>
          <w:szCs w:val="24"/>
        </w:rPr>
        <w:t xml:space="preserve">GERTRUIDA SUSANNA JACOBS N.O.                                           </w:t>
      </w:r>
      <w:r w:rsidRPr="0077760D">
        <w:rPr>
          <w:rFonts w:ascii="Arial" w:hAnsi="Arial" w:cs="Arial"/>
          <w:sz w:val="24"/>
          <w:szCs w:val="24"/>
        </w:rPr>
        <w:t>First Respondent</w:t>
      </w:r>
    </w:p>
    <w:p w:rsidR="00DC2489" w:rsidRPr="00DC2489" w:rsidRDefault="00DC2489" w:rsidP="004022DD">
      <w:pPr>
        <w:spacing w:line="360" w:lineRule="auto"/>
        <w:rPr>
          <w:rFonts w:ascii="Arial" w:hAnsi="Arial" w:cs="Arial"/>
          <w:sz w:val="24"/>
          <w:szCs w:val="24"/>
        </w:rPr>
      </w:pPr>
      <w:r>
        <w:rPr>
          <w:rFonts w:ascii="Arial" w:hAnsi="Arial" w:cs="Arial"/>
          <w:b/>
          <w:sz w:val="24"/>
          <w:szCs w:val="24"/>
        </w:rPr>
        <w:t xml:space="preserve">DAWID MATTHEE N.O.                                                               </w:t>
      </w:r>
      <w:r>
        <w:rPr>
          <w:rFonts w:ascii="Arial" w:hAnsi="Arial" w:cs="Arial"/>
          <w:sz w:val="24"/>
          <w:szCs w:val="24"/>
        </w:rPr>
        <w:t>Second Respondent</w:t>
      </w:r>
    </w:p>
    <w:p w:rsidR="00DC2489" w:rsidRDefault="00DC2489" w:rsidP="004022DD">
      <w:pPr>
        <w:rPr>
          <w:rFonts w:ascii="Arial" w:hAnsi="Arial" w:cs="Arial"/>
          <w:b/>
          <w:sz w:val="24"/>
          <w:szCs w:val="24"/>
        </w:rPr>
      </w:pPr>
    </w:p>
    <w:p w:rsidR="00DC2489" w:rsidRDefault="00DC2489" w:rsidP="00DC2489">
      <w:pPr>
        <w:pBdr>
          <w:top w:val="single" w:sz="12" w:space="1" w:color="auto"/>
          <w:bottom w:val="single" w:sz="12" w:space="1" w:color="auto"/>
        </w:pBdr>
        <w:spacing w:line="240" w:lineRule="auto"/>
        <w:jc w:val="center"/>
        <w:rPr>
          <w:rFonts w:ascii="Arial" w:hAnsi="Arial" w:cs="Arial"/>
          <w:b/>
          <w:sz w:val="24"/>
          <w:szCs w:val="24"/>
        </w:rPr>
      </w:pPr>
    </w:p>
    <w:p w:rsidR="00DC2489" w:rsidRDefault="00DC2489" w:rsidP="00DC2489">
      <w:pPr>
        <w:pBdr>
          <w:top w:val="single" w:sz="12" w:space="1" w:color="auto"/>
          <w:bottom w:val="single" w:sz="12" w:space="1" w:color="auto"/>
        </w:pBdr>
        <w:spacing w:line="240" w:lineRule="auto"/>
        <w:jc w:val="center"/>
        <w:rPr>
          <w:rFonts w:ascii="Arial" w:hAnsi="Arial" w:cs="Arial"/>
          <w:b/>
          <w:sz w:val="24"/>
          <w:szCs w:val="24"/>
        </w:rPr>
      </w:pPr>
      <w:r>
        <w:rPr>
          <w:rFonts w:ascii="Arial" w:hAnsi="Arial" w:cs="Arial"/>
          <w:b/>
          <w:sz w:val="24"/>
          <w:szCs w:val="24"/>
        </w:rPr>
        <w:t>JUDGMENT</w:t>
      </w:r>
    </w:p>
    <w:p w:rsidR="00DC2489" w:rsidRDefault="00DC2489" w:rsidP="00DC2489">
      <w:pPr>
        <w:pBdr>
          <w:top w:val="single" w:sz="12" w:space="1" w:color="auto"/>
          <w:bottom w:val="single" w:sz="12" w:space="1" w:color="auto"/>
        </w:pBdr>
        <w:spacing w:line="240" w:lineRule="auto"/>
        <w:jc w:val="center"/>
        <w:rPr>
          <w:rFonts w:ascii="Arial" w:hAnsi="Arial" w:cs="Arial"/>
          <w:b/>
          <w:sz w:val="24"/>
          <w:szCs w:val="24"/>
        </w:rPr>
      </w:pPr>
    </w:p>
    <w:p w:rsidR="00DC2489" w:rsidRDefault="00DC2489" w:rsidP="00DC2489">
      <w:pPr>
        <w:spacing w:line="240" w:lineRule="auto"/>
        <w:jc w:val="both"/>
        <w:rPr>
          <w:rFonts w:ascii="Arial" w:hAnsi="Arial" w:cs="Arial"/>
          <w:b/>
          <w:sz w:val="24"/>
          <w:szCs w:val="24"/>
        </w:rPr>
      </w:pPr>
    </w:p>
    <w:p w:rsidR="00DC2489" w:rsidRDefault="00DC2489" w:rsidP="004022DD">
      <w:pPr>
        <w:rPr>
          <w:rFonts w:ascii="Arial" w:hAnsi="Arial" w:cs="Arial"/>
          <w:b/>
          <w:sz w:val="24"/>
          <w:szCs w:val="24"/>
        </w:rPr>
      </w:pPr>
    </w:p>
    <w:p w:rsidR="004022DD" w:rsidRPr="0077760D" w:rsidRDefault="004022DD" w:rsidP="004022DD">
      <w:pPr>
        <w:rPr>
          <w:rFonts w:ascii="Arial" w:hAnsi="Arial" w:cs="Arial"/>
          <w:b/>
          <w:sz w:val="24"/>
          <w:szCs w:val="24"/>
        </w:rPr>
      </w:pPr>
      <w:r w:rsidRPr="0077760D">
        <w:rPr>
          <w:rFonts w:ascii="Arial" w:hAnsi="Arial" w:cs="Arial"/>
          <w:b/>
          <w:sz w:val="24"/>
          <w:szCs w:val="24"/>
        </w:rPr>
        <w:lastRenderedPageBreak/>
        <w:t>POTTERILL J</w:t>
      </w:r>
    </w:p>
    <w:p w:rsidR="004022DD" w:rsidRPr="0077760D" w:rsidRDefault="004022DD" w:rsidP="004022DD">
      <w:pPr>
        <w:rPr>
          <w:rFonts w:ascii="Arial" w:hAnsi="Arial" w:cs="Arial"/>
          <w:b/>
          <w:sz w:val="24"/>
          <w:szCs w:val="24"/>
        </w:rPr>
      </w:pPr>
    </w:p>
    <w:p w:rsidR="00306737" w:rsidRPr="00306737" w:rsidRDefault="00306737" w:rsidP="004022DD">
      <w:pPr>
        <w:rPr>
          <w:rFonts w:ascii="Arial" w:hAnsi="Arial" w:cs="Arial"/>
          <w:sz w:val="24"/>
          <w:szCs w:val="24"/>
          <w:u w:val="single"/>
        </w:rPr>
      </w:pPr>
      <w:r>
        <w:rPr>
          <w:rFonts w:ascii="Arial" w:hAnsi="Arial" w:cs="Arial"/>
          <w:b/>
          <w:sz w:val="24"/>
          <w:szCs w:val="24"/>
        </w:rPr>
        <w:tab/>
      </w:r>
      <w:r>
        <w:rPr>
          <w:rFonts w:ascii="Arial" w:hAnsi="Arial" w:cs="Arial"/>
          <w:sz w:val="24"/>
          <w:szCs w:val="24"/>
          <w:u w:val="single"/>
        </w:rPr>
        <w:t>Background</w:t>
      </w:r>
    </w:p>
    <w:p w:rsidR="00306737" w:rsidRDefault="004022DD" w:rsidP="00306737">
      <w:pPr>
        <w:spacing w:line="360" w:lineRule="auto"/>
        <w:ind w:left="720" w:hanging="720"/>
        <w:jc w:val="both"/>
        <w:rPr>
          <w:rFonts w:ascii="Arial" w:hAnsi="Arial" w:cs="Arial"/>
          <w:sz w:val="24"/>
          <w:szCs w:val="24"/>
        </w:rPr>
      </w:pPr>
      <w:r w:rsidRPr="00874BEF">
        <w:rPr>
          <w:rFonts w:ascii="Arial" w:hAnsi="Arial" w:cs="Arial"/>
          <w:sz w:val="24"/>
          <w:szCs w:val="24"/>
        </w:rPr>
        <w:t>[1]</w:t>
      </w:r>
      <w:r w:rsidR="00874BEF" w:rsidRPr="00874BEF">
        <w:rPr>
          <w:rFonts w:ascii="Arial" w:hAnsi="Arial" w:cs="Arial"/>
          <w:sz w:val="24"/>
          <w:szCs w:val="24"/>
        </w:rPr>
        <w:tab/>
      </w:r>
      <w:r w:rsidR="00874BEF">
        <w:rPr>
          <w:rFonts w:ascii="Arial" w:hAnsi="Arial" w:cs="Arial"/>
          <w:sz w:val="24"/>
          <w:szCs w:val="24"/>
        </w:rPr>
        <w:t xml:space="preserve">The appellants, Karel Johannes van As N.O., Star Stone Crushers CC and Christine van As N.O. [the appellants] are pursuant to leave granted by the Supreme Court of Appeal appealing the court </w:t>
      </w:r>
      <w:r w:rsidR="00874BEF">
        <w:rPr>
          <w:rFonts w:ascii="Arial" w:hAnsi="Arial" w:cs="Arial"/>
          <w:i/>
          <w:sz w:val="24"/>
          <w:szCs w:val="24"/>
        </w:rPr>
        <w:t xml:space="preserve">a quo’s </w:t>
      </w:r>
      <w:r w:rsidR="00874BEF">
        <w:rPr>
          <w:rFonts w:ascii="Arial" w:hAnsi="Arial" w:cs="Arial"/>
          <w:sz w:val="24"/>
          <w:szCs w:val="24"/>
        </w:rPr>
        <w:t xml:space="preserve">order to uphold a </w:t>
      </w:r>
      <w:r w:rsidR="0077760D">
        <w:rPr>
          <w:rFonts w:ascii="Arial" w:hAnsi="Arial" w:cs="Arial"/>
          <w:i/>
          <w:sz w:val="24"/>
          <w:szCs w:val="24"/>
        </w:rPr>
        <w:t xml:space="preserve">point in limine, </w:t>
      </w:r>
      <w:r w:rsidR="00306737">
        <w:rPr>
          <w:rFonts w:ascii="Arial" w:hAnsi="Arial" w:cs="Arial"/>
          <w:sz w:val="24"/>
          <w:szCs w:val="24"/>
        </w:rPr>
        <w:t>dismissing the applicants’</w:t>
      </w:r>
      <w:r w:rsidR="00874BEF">
        <w:rPr>
          <w:rFonts w:ascii="Arial" w:hAnsi="Arial" w:cs="Arial"/>
          <w:sz w:val="24"/>
          <w:szCs w:val="24"/>
        </w:rPr>
        <w:t xml:space="preserve"> application with costs, </w:t>
      </w:r>
      <w:r w:rsidR="00306737">
        <w:rPr>
          <w:rFonts w:ascii="Arial" w:hAnsi="Arial" w:cs="Arial"/>
          <w:sz w:val="24"/>
          <w:szCs w:val="24"/>
        </w:rPr>
        <w:t xml:space="preserve">with </w:t>
      </w:r>
      <w:r w:rsidR="00874BEF">
        <w:rPr>
          <w:rFonts w:ascii="Arial" w:hAnsi="Arial" w:cs="Arial"/>
          <w:sz w:val="24"/>
          <w:szCs w:val="24"/>
        </w:rPr>
        <w:t xml:space="preserve">costs to include the costs of the counter-appeal.  </w:t>
      </w:r>
      <w:r w:rsidR="00306737">
        <w:rPr>
          <w:rFonts w:ascii="Arial" w:hAnsi="Arial" w:cs="Arial"/>
          <w:sz w:val="24"/>
          <w:szCs w:val="24"/>
        </w:rPr>
        <w:t>For ease of reference I</w:t>
      </w:r>
      <w:r w:rsidR="00790C18">
        <w:rPr>
          <w:rFonts w:ascii="Arial" w:hAnsi="Arial" w:cs="Arial"/>
          <w:sz w:val="24"/>
          <w:szCs w:val="24"/>
        </w:rPr>
        <w:t xml:space="preserve"> refer to</w:t>
      </w:r>
      <w:r w:rsidR="00306737">
        <w:rPr>
          <w:rFonts w:ascii="Arial" w:hAnsi="Arial" w:cs="Arial"/>
          <w:sz w:val="24"/>
          <w:szCs w:val="24"/>
        </w:rPr>
        <w:t xml:space="preserve"> </w:t>
      </w:r>
      <w:r w:rsidR="00306737" w:rsidRPr="00306737">
        <w:rPr>
          <w:rFonts w:ascii="Arial" w:hAnsi="Arial" w:cs="Arial"/>
          <w:i/>
          <w:sz w:val="24"/>
          <w:szCs w:val="24"/>
        </w:rPr>
        <w:t>“the appellants”</w:t>
      </w:r>
      <w:r w:rsidR="00306737">
        <w:rPr>
          <w:rFonts w:ascii="Arial" w:hAnsi="Arial" w:cs="Arial"/>
          <w:sz w:val="24"/>
          <w:szCs w:val="24"/>
        </w:rPr>
        <w:t xml:space="preserve"> also as</w:t>
      </w:r>
      <w:r w:rsidR="00790C18">
        <w:rPr>
          <w:rFonts w:ascii="Arial" w:hAnsi="Arial" w:cs="Arial"/>
          <w:sz w:val="24"/>
          <w:szCs w:val="24"/>
        </w:rPr>
        <w:t xml:space="preserve"> the applicants in the application</w:t>
      </w:r>
      <w:r w:rsidR="00306737">
        <w:rPr>
          <w:rFonts w:ascii="Arial" w:hAnsi="Arial" w:cs="Arial"/>
          <w:sz w:val="24"/>
          <w:szCs w:val="24"/>
        </w:rPr>
        <w:t xml:space="preserve"> and </w:t>
      </w:r>
      <w:r w:rsidR="00306737" w:rsidRPr="00306737">
        <w:rPr>
          <w:rFonts w:ascii="Arial" w:hAnsi="Arial" w:cs="Arial"/>
          <w:i/>
          <w:sz w:val="24"/>
          <w:szCs w:val="24"/>
        </w:rPr>
        <w:t>“the respondents”</w:t>
      </w:r>
      <w:r w:rsidR="00790C18">
        <w:rPr>
          <w:rFonts w:ascii="Arial" w:hAnsi="Arial" w:cs="Arial"/>
          <w:i/>
          <w:sz w:val="24"/>
          <w:szCs w:val="24"/>
        </w:rPr>
        <w:t xml:space="preserve">, </w:t>
      </w:r>
      <w:r w:rsidR="00790C18">
        <w:rPr>
          <w:rFonts w:ascii="Arial" w:hAnsi="Arial" w:cs="Arial"/>
          <w:sz w:val="24"/>
          <w:szCs w:val="24"/>
        </w:rPr>
        <w:t xml:space="preserve">as </w:t>
      </w:r>
      <w:r w:rsidR="00306737">
        <w:rPr>
          <w:rFonts w:ascii="Arial" w:hAnsi="Arial" w:cs="Arial"/>
          <w:sz w:val="24"/>
          <w:szCs w:val="24"/>
        </w:rPr>
        <w:t>in the appeal and application.  The appeal was by agreement re-instated.</w:t>
      </w:r>
    </w:p>
    <w:p w:rsidR="004022DD" w:rsidRPr="00874BEF" w:rsidRDefault="00306737" w:rsidP="00306737">
      <w:pPr>
        <w:spacing w:line="360" w:lineRule="auto"/>
        <w:ind w:left="720" w:hanging="720"/>
        <w:jc w:val="both"/>
        <w:rPr>
          <w:rFonts w:ascii="Arial" w:hAnsi="Arial" w:cs="Arial"/>
          <w:sz w:val="24"/>
          <w:szCs w:val="24"/>
        </w:rPr>
      </w:pPr>
      <w:r>
        <w:rPr>
          <w:rFonts w:ascii="Arial" w:hAnsi="Arial" w:cs="Arial"/>
          <w:sz w:val="24"/>
          <w:szCs w:val="24"/>
        </w:rPr>
        <w:t xml:space="preserve"> </w:t>
      </w:r>
    </w:p>
    <w:p w:rsidR="004022DD" w:rsidRDefault="004022DD" w:rsidP="00E4437E">
      <w:pPr>
        <w:spacing w:line="360" w:lineRule="auto"/>
        <w:ind w:left="720" w:hanging="720"/>
        <w:jc w:val="both"/>
        <w:rPr>
          <w:rFonts w:ascii="Arial" w:hAnsi="Arial" w:cs="Arial"/>
          <w:sz w:val="24"/>
          <w:szCs w:val="24"/>
        </w:rPr>
      </w:pPr>
      <w:r w:rsidRPr="00874BEF">
        <w:rPr>
          <w:rFonts w:ascii="Arial" w:hAnsi="Arial" w:cs="Arial"/>
          <w:sz w:val="24"/>
          <w:szCs w:val="24"/>
        </w:rPr>
        <w:t>[2]</w:t>
      </w:r>
      <w:r w:rsidR="00874BEF">
        <w:rPr>
          <w:rFonts w:ascii="Arial" w:hAnsi="Arial" w:cs="Arial"/>
          <w:sz w:val="24"/>
          <w:szCs w:val="24"/>
        </w:rPr>
        <w:tab/>
        <w:t>The respondents raised the point that the appellants’ founding affidavit did not comply with Regulation 4(2) of the Regulations Governing the Administration of an Oath or Affirmation promulgated in terms of section 10 of the Justice</w:t>
      </w:r>
      <w:r w:rsidR="006E01A6">
        <w:rPr>
          <w:rFonts w:ascii="Arial" w:hAnsi="Arial" w:cs="Arial"/>
          <w:sz w:val="24"/>
          <w:szCs w:val="24"/>
        </w:rPr>
        <w:t xml:space="preserve">s of the Peace and Commissioners </w:t>
      </w:r>
      <w:r w:rsidR="00874BEF">
        <w:rPr>
          <w:rFonts w:ascii="Arial" w:hAnsi="Arial" w:cs="Arial"/>
          <w:sz w:val="24"/>
          <w:szCs w:val="24"/>
        </w:rPr>
        <w:t>of Oath</w:t>
      </w:r>
      <w:r w:rsidR="006E01A6">
        <w:rPr>
          <w:rFonts w:ascii="Arial" w:hAnsi="Arial" w:cs="Arial"/>
          <w:sz w:val="24"/>
          <w:szCs w:val="24"/>
        </w:rPr>
        <w:t>s</w:t>
      </w:r>
      <w:r w:rsidR="00874BEF">
        <w:rPr>
          <w:rFonts w:ascii="Arial" w:hAnsi="Arial" w:cs="Arial"/>
          <w:sz w:val="24"/>
          <w:szCs w:val="24"/>
        </w:rPr>
        <w:t xml:space="preserve"> Act 16 of 1963 [the Regulations].</w:t>
      </w:r>
    </w:p>
    <w:p w:rsidR="00874BEF" w:rsidRDefault="00874BEF" w:rsidP="00874BEF">
      <w:pPr>
        <w:spacing w:line="360" w:lineRule="auto"/>
        <w:rPr>
          <w:rFonts w:ascii="Arial" w:hAnsi="Arial" w:cs="Arial"/>
          <w:sz w:val="24"/>
          <w:szCs w:val="24"/>
        </w:rPr>
      </w:pPr>
    </w:p>
    <w:p w:rsidR="002E1918" w:rsidRDefault="00874BEF" w:rsidP="00306737">
      <w:pPr>
        <w:spacing w:line="36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t>The founding affidavit reflected that the deponent had signed the affidavit.  Directly below it was printed:</w:t>
      </w:r>
    </w:p>
    <w:p w:rsidR="002E1918" w:rsidRPr="00071241" w:rsidRDefault="002E1918" w:rsidP="002E1918">
      <w:pPr>
        <w:spacing w:line="360" w:lineRule="auto"/>
        <w:ind w:left="1440"/>
        <w:jc w:val="both"/>
        <w:rPr>
          <w:rFonts w:ascii="Arial" w:hAnsi="Arial" w:cs="Arial"/>
          <w:i/>
          <w:sz w:val="24"/>
          <w:szCs w:val="24"/>
        </w:rPr>
      </w:pPr>
      <w:r w:rsidRPr="00071241">
        <w:rPr>
          <w:rFonts w:ascii="Arial" w:hAnsi="Arial" w:cs="Arial"/>
          <w:i/>
          <w:sz w:val="24"/>
          <w:szCs w:val="24"/>
        </w:rPr>
        <w:t>“I certify that on the 26</w:t>
      </w:r>
      <w:r w:rsidRPr="00071241">
        <w:rPr>
          <w:rFonts w:ascii="Arial" w:hAnsi="Arial" w:cs="Arial"/>
          <w:i/>
          <w:sz w:val="24"/>
          <w:szCs w:val="24"/>
          <w:vertAlign w:val="superscript"/>
        </w:rPr>
        <w:t>th</w:t>
      </w:r>
      <w:r w:rsidRPr="00071241">
        <w:rPr>
          <w:rFonts w:ascii="Arial" w:hAnsi="Arial" w:cs="Arial"/>
          <w:i/>
          <w:sz w:val="24"/>
          <w:szCs w:val="24"/>
        </w:rPr>
        <w:t xml:space="preserve"> (entered in manuscript) day of July 2019 at Pretoria (entered in manuscript) and in my presence the deponent signed the Affidavit and declared that he knows and understand the contents hereof, has no objection to taking this oath and considered the oath to be binding on his conscience, and I further certify that the requirements of Regulation GN 1258 of 21 July 1972, amended by GN R1648 on 19 August 1977, and as further amended by GN R</w:t>
      </w:r>
      <w:r w:rsidR="00071241" w:rsidRPr="00071241">
        <w:rPr>
          <w:rFonts w:ascii="Arial" w:hAnsi="Arial" w:cs="Arial"/>
          <w:i/>
          <w:sz w:val="24"/>
          <w:szCs w:val="24"/>
        </w:rPr>
        <w:t>1428 of</w:t>
      </w:r>
      <w:r w:rsidRPr="00071241">
        <w:rPr>
          <w:rFonts w:ascii="Arial" w:hAnsi="Arial" w:cs="Arial"/>
          <w:i/>
          <w:sz w:val="24"/>
          <w:szCs w:val="24"/>
        </w:rPr>
        <w:t xml:space="preserve"> 11 July 1980, and as further amended by GN R774 of 23 April 1982 in terms of Section 10 of the Justices of the Peace and Commissioners of Oaths Act, Act 16 of 1963 have been complied with in all respects.”</w:t>
      </w:r>
    </w:p>
    <w:p w:rsidR="00874BEF" w:rsidRDefault="00874BEF" w:rsidP="00874BEF">
      <w:pPr>
        <w:spacing w:line="360" w:lineRule="auto"/>
        <w:ind w:left="720" w:hanging="720"/>
        <w:rPr>
          <w:rFonts w:ascii="Arial" w:hAnsi="Arial" w:cs="Arial"/>
          <w:sz w:val="24"/>
          <w:szCs w:val="24"/>
        </w:rPr>
      </w:pPr>
    </w:p>
    <w:p w:rsidR="00874BEF" w:rsidRDefault="00874BEF" w:rsidP="00874BEF">
      <w:pPr>
        <w:spacing w:line="360" w:lineRule="auto"/>
        <w:ind w:left="720" w:hanging="720"/>
        <w:jc w:val="both"/>
        <w:rPr>
          <w:rFonts w:ascii="Arial" w:hAnsi="Arial" w:cs="Arial"/>
          <w:sz w:val="24"/>
          <w:szCs w:val="24"/>
        </w:rPr>
      </w:pPr>
      <w:r>
        <w:rPr>
          <w:rFonts w:ascii="Arial" w:hAnsi="Arial" w:cs="Arial"/>
          <w:sz w:val="24"/>
          <w:szCs w:val="24"/>
        </w:rPr>
        <w:lastRenderedPageBreak/>
        <w:tab/>
        <w:t xml:space="preserve">Below this paragraph is printed </w:t>
      </w:r>
      <w:r w:rsidRPr="006E01A6">
        <w:rPr>
          <w:rFonts w:ascii="Arial" w:hAnsi="Arial" w:cs="Arial"/>
          <w:i/>
          <w:sz w:val="24"/>
          <w:szCs w:val="24"/>
        </w:rPr>
        <w:t>“Commissioner of Oaths”</w:t>
      </w:r>
      <w:r w:rsidR="0077760D">
        <w:rPr>
          <w:rFonts w:ascii="Arial" w:hAnsi="Arial" w:cs="Arial"/>
          <w:sz w:val="24"/>
          <w:szCs w:val="24"/>
        </w:rPr>
        <w:t xml:space="preserve"> and </w:t>
      </w:r>
      <w:r>
        <w:rPr>
          <w:rFonts w:ascii="Arial" w:hAnsi="Arial" w:cs="Arial"/>
          <w:sz w:val="24"/>
          <w:szCs w:val="24"/>
        </w:rPr>
        <w:t>above the print a signature was appended.  The affidavit and all the attachments were initialled on each page with two different initia</w:t>
      </w:r>
      <w:r w:rsidR="0077760D">
        <w:rPr>
          <w:rFonts w:ascii="Arial" w:hAnsi="Arial" w:cs="Arial"/>
          <w:sz w:val="24"/>
          <w:szCs w:val="24"/>
        </w:rPr>
        <w:t xml:space="preserve">ls.  It was undisputed that </w:t>
      </w:r>
      <w:r w:rsidR="00790C18">
        <w:rPr>
          <w:rFonts w:ascii="Arial" w:hAnsi="Arial" w:cs="Arial"/>
          <w:sz w:val="24"/>
          <w:szCs w:val="24"/>
        </w:rPr>
        <w:t xml:space="preserve">one </w:t>
      </w:r>
      <w:r w:rsidR="00DD7601">
        <w:rPr>
          <w:rFonts w:ascii="Arial" w:hAnsi="Arial" w:cs="Arial"/>
          <w:sz w:val="24"/>
          <w:szCs w:val="24"/>
        </w:rPr>
        <w:t xml:space="preserve">set </w:t>
      </w:r>
      <w:r w:rsidR="0077760D">
        <w:rPr>
          <w:rFonts w:ascii="Arial" w:hAnsi="Arial" w:cs="Arial"/>
          <w:sz w:val="24"/>
          <w:szCs w:val="24"/>
        </w:rPr>
        <w:t>of the initials was that of the deponent and the other that of the unidentified Commissioner of Oaths.</w:t>
      </w:r>
    </w:p>
    <w:p w:rsidR="007C2BD4" w:rsidRDefault="007C2BD4" w:rsidP="00874BEF">
      <w:pPr>
        <w:spacing w:line="360" w:lineRule="auto"/>
        <w:rPr>
          <w:rFonts w:ascii="Arial" w:hAnsi="Arial" w:cs="Arial"/>
          <w:sz w:val="24"/>
          <w:szCs w:val="24"/>
        </w:rPr>
      </w:pPr>
    </w:p>
    <w:p w:rsidR="007C2BD4" w:rsidRDefault="00306737" w:rsidP="007C2BD4">
      <w:pPr>
        <w:spacing w:line="360" w:lineRule="auto"/>
        <w:ind w:left="720" w:hanging="720"/>
        <w:jc w:val="both"/>
        <w:rPr>
          <w:rFonts w:ascii="Arial" w:hAnsi="Arial" w:cs="Arial"/>
          <w:sz w:val="24"/>
          <w:szCs w:val="24"/>
        </w:rPr>
      </w:pPr>
      <w:r>
        <w:rPr>
          <w:rFonts w:ascii="Arial" w:hAnsi="Arial" w:cs="Arial"/>
          <w:sz w:val="24"/>
          <w:szCs w:val="24"/>
        </w:rPr>
        <w:t>[4</w:t>
      </w:r>
      <w:r w:rsidR="007C2BD4">
        <w:rPr>
          <w:rFonts w:ascii="Arial" w:hAnsi="Arial" w:cs="Arial"/>
          <w:sz w:val="24"/>
          <w:szCs w:val="24"/>
        </w:rPr>
        <w:t>]</w:t>
      </w:r>
      <w:r w:rsidR="007C2BD4">
        <w:rPr>
          <w:rFonts w:ascii="Arial" w:hAnsi="Arial" w:cs="Arial"/>
          <w:sz w:val="24"/>
          <w:szCs w:val="24"/>
        </w:rPr>
        <w:tab/>
        <w:t xml:space="preserve">It is </w:t>
      </w:r>
      <w:r>
        <w:rPr>
          <w:rFonts w:ascii="Arial" w:hAnsi="Arial" w:cs="Arial"/>
          <w:sz w:val="24"/>
          <w:szCs w:val="24"/>
        </w:rPr>
        <w:t xml:space="preserve">thus </w:t>
      </w:r>
      <w:r w:rsidR="007C2BD4">
        <w:rPr>
          <w:rFonts w:ascii="Arial" w:hAnsi="Arial" w:cs="Arial"/>
          <w:sz w:val="24"/>
          <w:szCs w:val="24"/>
        </w:rPr>
        <w:t xml:space="preserve">common cause that the full names of the commissioner, his or her designation and the area for which appointment was held, or his or her office appointed </w:t>
      </w:r>
      <w:r w:rsidR="007C2BD4">
        <w:rPr>
          <w:rFonts w:ascii="Arial" w:hAnsi="Arial" w:cs="Arial"/>
          <w:i/>
          <w:sz w:val="24"/>
          <w:szCs w:val="24"/>
        </w:rPr>
        <w:t xml:space="preserve">ex officio </w:t>
      </w:r>
      <w:r w:rsidR="007C2BD4">
        <w:rPr>
          <w:rFonts w:ascii="Arial" w:hAnsi="Arial" w:cs="Arial"/>
          <w:sz w:val="24"/>
          <w:szCs w:val="24"/>
        </w:rPr>
        <w:t xml:space="preserve">was absent.  The respondents </w:t>
      </w:r>
      <w:r w:rsidR="0077760D">
        <w:rPr>
          <w:rFonts w:ascii="Arial" w:hAnsi="Arial" w:cs="Arial"/>
          <w:sz w:val="24"/>
          <w:szCs w:val="24"/>
        </w:rPr>
        <w:t>argue that these omissions constitute a lack of compliance</w:t>
      </w:r>
      <w:r w:rsidR="007C2BD4">
        <w:rPr>
          <w:rFonts w:ascii="Arial" w:hAnsi="Arial" w:cs="Arial"/>
          <w:sz w:val="24"/>
          <w:szCs w:val="24"/>
        </w:rPr>
        <w:t xml:space="preserve"> with Regulation 4(2).  </w:t>
      </w:r>
      <w:r>
        <w:rPr>
          <w:rFonts w:ascii="Arial" w:hAnsi="Arial" w:cs="Arial"/>
          <w:sz w:val="24"/>
          <w:szCs w:val="24"/>
        </w:rPr>
        <w:t xml:space="preserve">It was not in the answering affidavit disputed that the oath was in fact administered.  </w:t>
      </w:r>
      <w:r w:rsidR="007C2BD4">
        <w:rPr>
          <w:rFonts w:ascii="Arial" w:hAnsi="Arial" w:cs="Arial"/>
          <w:sz w:val="24"/>
          <w:szCs w:val="24"/>
        </w:rPr>
        <w:t>T</w:t>
      </w:r>
      <w:r>
        <w:rPr>
          <w:rFonts w:ascii="Arial" w:hAnsi="Arial" w:cs="Arial"/>
          <w:sz w:val="24"/>
          <w:szCs w:val="24"/>
        </w:rPr>
        <w:t>he argument went that t</w:t>
      </w:r>
      <w:r w:rsidR="007C2BD4">
        <w:rPr>
          <w:rFonts w:ascii="Arial" w:hAnsi="Arial" w:cs="Arial"/>
          <w:sz w:val="24"/>
          <w:szCs w:val="24"/>
        </w:rPr>
        <w:t xml:space="preserve">his non-compliance left the appellants with no affidavit </w:t>
      </w:r>
      <w:r>
        <w:rPr>
          <w:rFonts w:ascii="Arial" w:hAnsi="Arial" w:cs="Arial"/>
          <w:sz w:val="24"/>
          <w:szCs w:val="24"/>
        </w:rPr>
        <w:t xml:space="preserve">in support of the notice of motion </w:t>
      </w:r>
      <w:r w:rsidR="007C2BD4">
        <w:rPr>
          <w:rFonts w:ascii="Arial" w:hAnsi="Arial" w:cs="Arial"/>
          <w:sz w:val="24"/>
          <w:szCs w:val="24"/>
        </w:rPr>
        <w:t xml:space="preserve">as required in terms of Rule 6 of the Uniform Rules of Court and therefore the application should be dismissed with costs.  </w:t>
      </w:r>
    </w:p>
    <w:p w:rsidR="00306737" w:rsidRDefault="00306737" w:rsidP="007C2BD4">
      <w:pPr>
        <w:spacing w:line="360" w:lineRule="auto"/>
        <w:ind w:left="720" w:hanging="720"/>
        <w:jc w:val="both"/>
        <w:rPr>
          <w:rFonts w:ascii="Arial" w:hAnsi="Arial" w:cs="Arial"/>
          <w:sz w:val="24"/>
          <w:szCs w:val="24"/>
        </w:rPr>
      </w:pPr>
    </w:p>
    <w:p w:rsidR="007C2BD4" w:rsidRDefault="00306737" w:rsidP="007C2BD4">
      <w:pPr>
        <w:spacing w:line="360" w:lineRule="auto"/>
        <w:ind w:left="720" w:hanging="720"/>
        <w:jc w:val="both"/>
        <w:rPr>
          <w:rFonts w:ascii="Arial" w:hAnsi="Arial" w:cs="Arial"/>
          <w:sz w:val="24"/>
          <w:szCs w:val="24"/>
        </w:rPr>
      </w:pPr>
      <w:r>
        <w:rPr>
          <w:rFonts w:ascii="Arial" w:hAnsi="Arial" w:cs="Arial"/>
          <w:sz w:val="24"/>
          <w:szCs w:val="24"/>
        </w:rPr>
        <w:t>[5</w:t>
      </w:r>
      <w:r w:rsidR="007C2BD4">
        <w:rPr>
          <w:rFonts w:ascii="Arial" w:hAnsi="Arial" w:cs="Arial"/>
          <w:sz w:val="24"/>
          <w:szCs w:val="24"/>
        </w:rPr>
        <w:t>]</w:t>
      </w:r>
      <w:r w:rsidR="007C2BD4">
        <w:rPr>
          <w:rFonts w:ascii="Arial" w:hAnsi="Arial" w:cs="Arial"/>
          <w:sz w:val="24"/>
          <w:szCs w:val="24"/>
        </w:rPr>
        <w:tab/>
        <w:t xml:space="preserve">The appellants responded with a replying </w:t>
      </w:r>
      <w:r w:rsidR="0077760D">
        <w:rPr>
          <w:rFonts w:ascii="Arial" w:hAnsi="Arial" w:cs="Arial"/>
          <w:sz w:val="24"/>
          <w:szCs w:val="24"/>
        </w:rPr>
        <w:t xml:space="preserve">affidavit stating </w:t>
      </w:r>
      <w:r w:rsidR="006E01A6">
        <w:rPr>
          <w:rFonts w:ascii="Arial" w:hAnsi="Arial" w:cs="Arial"/>
          <w:sz w:val="24"/>
          <w:szCs w:val="24"/>
        </w:rPr>
        <w:t>that the Commissioner of O</w:t>
      </w:r>
      <w:r w:rsidR="007C2BD4">
        <w:rPr>
          <w:rFonts w:ascii="Arial" w:hAnsi="Arial" w:cs="Arial"/>
          <w:sz w:val="24"/>
          <w:szCs w:val="24"/>
        </w:rPr>
        <w:t>aths was Mr Derik Greyling, a practising attorney employed</w:t>
      </w:r>
      <w:r w:rsidR="006E01A6">
        <w:rPr>
          <w:rFonts w:ascii="Arial" w:hAnsi="Arial" w:cs="Arial"/>
          <w:sz w:val="24"/>
          <w:szCs w:val="24"/>
        </w:rPr>
        <w:t xml:space="preserve"> by Ma</w:t>
      </w:r>
      <w:r w:rsidR="007C2BD4">
        <w:rPr>
          <w:rFonts w:ascii="Arial" w:hAnsi="Arial" w:cs="Arial"/>
          <w:sz w:val="24"/>
          <w:szCs w:val="24"/>
        </w:rPr>
        <w:t>kole Osman Attorneys at 1</w:t>
      </w:r>
      <w:r w:rsidR="007C2BD4" w:rsidRPr="007C2BD4">
        <w:rPr>
          <w:rFonts w:ascii="Arial" w:hAnsi="Arial" w:cs="Arial"/>
          <w:sz w:val="24"/>
          <w:szCs w:val="24"/>
          <w:vertAlign w:val="superscript"/>
        </w:rPr>
        <w:t>st</w:t>
      </w:r>
      <w:r w:rsidR="007C2BD4">
        <w:rPr>
          <w:rFonts w:ascii="Arial" w:hAnsi="Arial" w:cs="Arial"/>
          <w:sz w:val="24"/>
          <w:szCs w:val="24"/>
        </w:rPr>
        <w:t xml:space="preserve"> Floor, King’s Gate, 5 10</w:t>
      </w:r>
      <w:r w:rsidR="007C2BD4" w:rsidRPr="007C2BD4">
        <w:rPr>
          <w:rFonts w:ascii="Arial" w:hAnsi="Arial" w:cs="Arial"/>
          <w:sz w:val="24"/>
          <w:szCs w:val="24"/>
          <w:vertAlign w:val="superscript"/>
        </w:rPr>
        <w:t>th</w:t>
      </w:r>
      <w:r w:rsidR="007C2BD4">
        <w:rPr>
          <w:rFonts w:ascii="Arial" w:hAnsi="Arial" w:cs="Arial"/>
          <w:sz w:val="24"/>
          <w:szCs w:val="24"/>
        </w:rPr>
        <w:t xml:space="preserve"> Street, Menlo Park, Pretoria.  The deponent’s attorney, Ms. Magdel van Biljon was present and simultaneously deposed to her confirmatory affidavit i</w:t>
      </w:r>
      <w:r>
        <w:rPr>
          <w:rFonts w:ascii="Arial" w:hAnsi="Arial" w:cs="Arial"/>
          <w:sz w:val="24"/>
          <w:szCs w:val="24"/>
        </w:rPr>
        <w:t>n front of Mr Derik Greyling.  I</w:t>
      </w:r>
      <w:r w:rsidR="007C2BD4">
        <w:rPr>
          <w:rFonts w:ascii="Arial" w:hAnsi="Arial" w:cs="Arial"/>
          <w:sz w:val="24"/>
          <w:szCs w:val="24"/>
        </w:rPr>
        <w:t>n Ms Van Biljon’s confirmatory affidav</w:t>
      </w:r>
      <w:r w:rsidR="0077760D">
        <w:rPr>
          <w:rFonts w:ascii="Arial" w:hAnsi="Arial" w:cs="Arial"/>
          <w:sz w:val="24"/>
          <w:szCs w:val="24"/>
        </w:rPr>
        <w:t xml:space="preserve">it the details of Mr Greyling are </w:t>
      </w:r>
      <w:r w:rsidR="007C2BD4">
        <w:rPr>
          <w:rFonts w:ascii="Arial" w:hAnsi="Arial" w:cs="Arial"/>
          <w:sz w:val="24"/>
          <w:szCs w:val="24"/>
        </w:rPr>
        <w:t xml:space="preserve">reflected in full as required in terms of Rule 4(2).  Mr Greyling’s affidavit </w:t>
      </w:r>
      <w:r w:rsidR="0077760D">
        <w:rPr>
          <w:rFonts w:ascii="Arial" w:hAnsi="Arial" w:cs="Arial"/>
          <w:sz w:val="24"/>
          <w:szCs w:val="24"/>
        </w:rPr>
        <w:t xml:space="preserve">is </w:t>
      </w:r>
      <w:r w:rsidR="007C2BD4">
        <w:rPr>
          <w:rFonts w:ascii="Arial" w:hAnsi="Arial" w:cs="Arial"/>
          <w:sz w:val="24"/>
          <w:szCs w:val="24"/>
        </w:rPr>
        <w:t xml:space="preserve">attached to the replying affidavit </w:t>
      </w:r>
      <w:r w:rsidR="0077760D">
        <w:rPr>
          <w:rFonts w:ascii="Arial" w:hAnsi="Arial" w:cs="Arial"/>
          <w:sz w:val="24"/>
          <w:szCs w:val="24"/>
        </w:rPr>
        <w:t xml:space="preserve">and </w:t>
      </w:r>
      <w:r w:rsidR="007C2BD4">
        <w:rPr>
          <w:rFonts w:ascii="Arial" w:hAnsi="Arial" w:cs="Arial"/>
          <w:sz w:val="24"/>
          <w:szCs w:val="24"/>
        </w:rPr>
        <w:t xml:space="preserve">confirms that Mr Van As took the oath in front of him on 26 July 2019.  The signature reflected above the words </w:t>
      </w:r>
      <w:r w:rsidR="007C2BD4" w:rsidRPr="006E01A6">
        <w:rPr>
          <w:rFonts w:ascii="Arial" w:hAnsi="Arial" w:cs="Arial"/>
          <w:i/>
          <w:sz w:val="24"/>
          <w:szCs w:val="24"/>
        </w:rPr>
        <w:t>“Commissioner of Oaths”</w:t>
      </w:r>
      <w:r w:rsidR="007C2BD4">
        <w:rPr>
          <w:rFonts w:ascii="Arial" w:hAnsi="Arial" w:cs="Arial"/>
          <w:sz w:val="24"/>
          <w:szCs w:val="24"/>
        </w:rPr>
        <w:t xml:space="preserve"> </w:t>
      </w:r>
      <w:r>
        <w:rPr>
          <w:rFonts w:ascii="Arial" w:hAnsi="Arial" w:cs="Arial"/>
          <w:sz w:val="24"/>
          <w:szCs w:val="24"/>
        </w:rPr>
        <w:t>is indeed his signature.  H</w:t>
      </w:r>
      <w:r w:rsidR="007C2BD4">
        <w:rPr>
          <w:rFonts w:ascii="Arial" w:hAnsi="Arial" w:cs="Arial"/>
          <w:sz w:val="24"/>
          <w:szCs w:val="24"/>
        </w:rPr>
        <w:t xml:space="preserve">e </w:t>
      </w:r>
      <w:r>
        <w:rPr>
          <w:rFonts w:ascii="Arial" w:hAnsi="Arial" w:cs="Arial"/>
          <w:sz w:val="24"/>
          <w:szCs w:val="24"/>
        </w:rPr>
        <w:t xml:space="preserve">explained that he </w:t>
      </w:r>
      <w:r w:rsidR="007C2BD4">
        <w:rPr>
          <w:rFonts w:ascii="Arial" w:hAnsi="Arial" w:cs="Arial"/>
          <w:sz w:val="24"/>
          <w:szCs w:val="24"/>
        </w:rPr>
        <w:t>omi</w:t>
      </w:r>
      <w:r w:rsidR="0077760D">
        <w:rPr>
          <w:rFonts w:ascii="Arial" w:hAnsi="Arial" w:cs="Arial"/>
          <w:sz w:val="24"/>
          <w:szCs w:val="24"/>
        </w:rPr>
        <w:t xml:space="preserve">tted to stamp </w:t>
      </w:r>
      <w:r w:rsidR="007C2BD4">
        <w:rPr>
          <w:rFonts w:ascii="Arial" w:hAnsi="Arial" w:cs="Arial"/>
          <w:sz w:val="24"/>
          <w:szCs w:val="24"/>
        </w:rPr>
        <w:t>the details of his busin</w:t>
      </w:r>
      <w:r>
        <w:rPr>
          <w:rFonts w:ascii="Arial" w:hAnsi="Arial" w:cs="Arial"/>
          <w:sz w:val="24"/>
          <w:szCs w:val="24"/>
        </w:rPr>
        <w:t>ess address and his designation on the founding affidavit, but did so on the confirmatory affidavit.</w:t>
      </w:r>
    </w:p>
    <w:p w:rsidR="00611428" w:rsidRDefault="00611428" w:rsidP="007C2BD4">
      <w:pPr>
        <w:spacing w:line="360" w:lineRule="auto"/>
        <w:ind w:left="720" w:hanging="720"/>
        <w:jc w:val="both"/>
        <w:rPr>
          <w:rFonts w:ascii="Arial" w:hAnsi="Arial" w:cs="Arial"/>
          <w:sz w:val="24"/>
          <w:szCs w:val="24"/>
        </w:rPr>
      </w:pPr>
    </w:p>
    <w:p w:rsidR="00306737" w:rsidRPr="00790C18" w:rsidRDefault="00790C18" w:rsidP="007C2BD4">
      <w:pPr>
        <w:spacing w:line="360" w:lineRule="auto"/>
        <w:ind w:left="720" w:hanging="720"/>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Regulatory Framework</w:t>
      </w:r>
    </w:p>
    <w:p w:rsidR="00306737" w:rsidRPr="00306737" w:rsidRDefault="00306737" w:rsidP="00306737">
      <w:pPr>
        <w:spacing w:line="360" w:lineRule="auto"/>
        <w:rPr>
          <w:rFonts w:ascii="Arial" w:hAnsi="Arial" w:cs="Arial"/>
          <w:sz w:val="24"/>
          <w:szCs w:val="24"/>
        </w:rPr>
      </w:pPr>
      <w:r>
        <w:rPr>
          <w:rFonts w:ascii="Arial" w:hAnsi="Arial" w:cs="Arial"/>
          <w:sz w:val="24"/>
          <w:szCs w:val="24"/>
        </w:rPr>
        <w:t>[6]</w:t>
      </w:r>
      <w:r>
        <w:rPr>
          <w:rFonts w:ascii="Arial" w:hAnsi="Arial" w:cs="Arial"/>
          <w:sz w:val="24"/>
          <w:szCs w:val="24"/>
        </w:rPr>
        <w:tab/>
        <w:t>Regulation 4(2) provides:</w:t>
      </w:r>
    </w:p>
    <w:p w:rsidR="00306737" w:rsidRPr="006E01A6" w:rsidRDefault="00306737" w:rsidP="00306737">
      <w:pPr>
        <w:spacing w:line="360" w:lineRule="auto"/>
        <w:rPr>
          <w:rFonts w:ascii="Arial" w:hAnsi="Arial" w:cs="Arial"/>
          <w:i/>
          <w:sz w:val="24"/>
          <w:szCs w:val="24"/>
        </w:rPr>
      </w:pPr>
      <w:r w:rsidRPr="006E01A6">
        <w:rPr>
          <w:rFonts w:ascii="Arial" w:hAnsi="Arial" w:cs="Arial"/>
          <w:i/>
          <w:sz w:val="24"/>
          <w:szCs w:val="24"/>
        </w:rPr>
        <w:lastRenderedPageBreak/>
        <w:tab/>
      </w:r>
      <w:r w:rsidRPr="006E01A6">
        <w:rPr>
          <w:rFonts w:ascii="Arial" w:hAnsi="Arial" w:cs="Arial"/>
          <w:i/>
          <w:sz w:val="24"/>
          <w:szCs w:val="24"/>
        </w:rPr>
        <w:tab/>
        <w:t>“4.</w:t>
      </w:r>
    </w:p>
    <w:p w:rsidR="00306737" w:rsidRPr="00306737" w:rsidRDefault="00306737" w:rsidP="00306737">
      <w:pPr>
        <w:pStyle w:val="ListParagraph"/>
        <w:numPr>
          <w:ilvl w:val="0"/>
          <w:numId w:val="2"/>
        </w:numPr>
        <w:spacing w:line="360" w:lineRule="auto"/>
        <w:jc w:val="both"/>
        <w:rPr>
          <w:rFonts w:ascii="Arial" w:hAnsi="Arial" w:cs="Arial"/>
          <w:i/>
          <w:sz w:val="24"/>
          <w:szCs w:val="24"/>
        </w:rPr>
      </w:pPr>
      <w:r w:rsidRPr="00306737">
        <w:rPr>
          <w:rFonts w:ascii="Arial" w:hAnsi="Arial" w:cs="Arial"/>
          <w:i/>
          <w:sz w:val="24"/>
          <w:szCs w:val="24"/>
        </w:rPr>
        <w:t>Below the deponent’s signature or mark the commissioner of oaths shall certify that the deponent has acknowledged that he knows and understands the contents of the declaration and he shall state the manner, place and date of taking the declaration.</w:t>
      </w:r>
    </w:p>
    <w:p w:rsidR="00306737" w:rsidRPr="00306737" w:rsidRDefault="00306737" w:rsidP="00306737">
      <w:pPr>
        <w:pStyle w:val="ListParagraph"/>
        <w:numPr>
          <w:ilvl w:val="0"/>
          <w:numId w:val="2"/>
        </w:numPr>
        <w:spacing w:line="360" w:lineRule="auto"/>
        <w:jc w:val="both"/>
        <w:rPr>
          <w:rFonts w:ascii="Arial" w:hAnsi="Arial" w:cs="Arial"/>
          <w:i/>
          <w:sz w:val="24"/>
          <w:szCs w:val="24"/>
        </w:rPr>
      </w:pPr>
      <w:r w:rsidRPr="00306737">
        <w:rPr>
          <w:rFonts w:ascii="Arial" w:hAnsi="Arial" w:cs="Arial"/>
          <w:i/>
          <w:sz w:val="24"/>
          <w:szCs w:val="24"/>
        </w:rPr>
        <w:t>The commissioner of oaths shall –</w:t>
      </w:r>
    </w:p>
    <w:p w:rsidR="00306737" w:rsidRPr="00306737" w:rsidRDefault="00306737" w:rsidP="00306737">
      <w:pPr>
        <w:pStyle w:val="ListParagraph"/>
        <w:numPr>
          <w:ilvl w:val="0"/>
          <w:numId w:val="3"/>
        </w:numPr>
        <w:spacing w:line="360" w:lineRule="auto"/>
        <w:jc w:val="both"/>
        <w:rPr>
          <w:rFonts w:ascii="Arial" w:hAnsi="Arial" w:cs="Arial"/>
          <w:i/>
          <w:sz w:val="24"/>
          <w:szCs w:val="24"/>
        </w:rPr>
      </w:pPr>
      <w:r w:rsidRPr="00306737">
        <w:rPr>
          <w:rFonts w:ascii="Arial" w:hAnsi="Arial" w:cs="Arial"/>
          <w:i/>
          <w:sz w:val="24"/>
          <w:szCs w:val="24"/>
        </w:rPr>
        <w:t>sign the declaration and print his full name and business address below his signature; and</w:t>
      </w:r>
    </w:p>
    <w:p w:rsidR="00306737" w:rsidRPr="00306737" w:rsidRDefault="00306737" w:rsidP="00306737">
      <w:pPr>
        <w:pStyle w:val="ListParagraph"/>
        <w:numPr>
          <w:ilvl w:val="0"/>
          <w:numId w:val="3"/>
        </w:numPr>
        <w:spacing w:line="360" w:lineRule="auto"/>
        <w:jc w:val="both"/>
        <w:rPr>
          <w:rFonts w:ascii="Arial" w:hAnsi="Arial" w:cs="Arial"/>
          <w:i/>
          <w:sz w:val="24"/>
          <w:szCs w:val="24"/>
        </w:rPr>
      </w:pPr>
      <w:r w:rsidRPr="00306737">
        <w:rPr>
          <w:rFonts w:ascii="Arial" w:hAnsi="Arial" w:cs="Arial"/>
          <w:i/>
          <w:sz w:val="24"/>
          <w:szCs w:val="24"/>
        </w:rPr>
        <w:t>state his designation and the area for which he held his appointment or the office held by him if he held his appointment ex officio</w:t>
      </w:r>
      <w:r>
        <w:rPr>
          <w:rFonts w:ascii="Arial" w:hAnsi="Arial" w:cs="Arial"/>
          <w:i/>
          <w:sz w:val="24"/>
          <w:szCs w:val="24"/>
        </w:rPr>
        <w:t xml:space="preserve">.” </w:t>
      </w:r>
    </w:p>
    <w:p w:rsidR="007C2BD4" w:rsidRDefault="007C2BD4" w:rsidP="00306737">
      <w:pPr>
        <w:spacing w:line="360" w:lineRule="auto"/>
        <w:jc w:val="both"/>
        <w:rPr>
          <w:rFonts w:ascii="Arial" w:hAnsi="Arial" w:cs="Arial"/>
          <w:sz w:val="24"/>
          <w:szCs w:val="24"/>
        </w:rPr>
      </w:pPr>
    </w:p>
    <w:p w:rsidR="00A8466F" w:rsidRPr="00A8466F" w:rsidRDefault="00A8466F" w:rsidP="00A8466F">
      <w:pPr>
        <w:spacing w:line="360" w:lineRule="auto"/>
        <w:ind w:left="720"/>
        <w:jc w:val="both"/>
        <w:rPr>
          <w:rFonts w:ascii="Arial" w:hAnsi="Arial" w:cs="Arial"/>
          <w:i/>
          <w:sz w:val="24"/>
          <w:szCs w:val="24"/>
          <w:u w:val="single"/>
        </w:rPr>
      </w:pPr>
      <w:r>
        <w:rPr>
          <w:rFonts w:ascii="Arial" w:hAnsi="Arial" w:cs="Arial"/>
          <w:sz w:val="24"/>
          <w:szCs w:val="24"/>
          <w:u w:val="single"/>
        </w:rPr>
        <w:t xml:space="preserve">The findings of the court </w:t>
      </w:r>
      <w:r>
        <w:rPr>
          <w:rFonts w:ascii="Arial" w:hAnsi="Arial" w:cs="Arial"/>
          <w:i/>
          <w:sz w:val="24"/>
          <w:szCs w:val="24"/>
          <w:u w:val="single"/>
        </w:rPr>
        <w:t>a quo</w:t>
      </w:r>
    </w:p>
    <w:p w:rsidR="007C2BD4" w:rsidRPr="00FB44A6" w:rsidRDefault="007C2BD4" w:rsidP="007C2BD4">
      <w:pPr>
        <w:spacing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court </w:t>
      </w:r>
      <w:r>
        <w:rPr>
          <w:rFonts w:ascii="Arial" w:hAnsi="Arial" w:cs="Arial"/>
          <w:i/>
          <w:sz w:val="24"/>
          <w:szCs w:val="24"/>
        </w:rPr>
        <w:t xml:space="preserve">a quo </w:t>
      </w:r>
      <w:r>
        <w:rPr>
          <w:rFonts w:ascii="Arial" w:hAnsi="Arial" w:cs="Arial"/>
          <w:sz w:val="24"/>
          <w:szCs w:val="24"/>
        </w:rPr>
        <w:t>found that despite Full Courts</w:t>
      </w:r>
      <w:r w:rsidR="0077760D">
        <w:rPr>
          <w:rStyle w:val="FootnoteReference"/>
          <w:rFonts w:ascii="Arial" w:hAnsi="Arial" w:cs="Arial"/>
          <w:sz w:val="24"/>
          <w:szCs w:val="24"/>
        </w:rPr>
        <w:footnoteReference w:id="1"/>
      </w:r>
      <w:r w:rsidR="00306737">
        <w:rPr>
          <w:rFonts w:ascii="Arial" w:hAnsi="Arial" w:cs="Arial"/>
          <w:sz w:val="24"/>
          <w:szCs w:val="24"/>
        </w:rPr>
        <w:t xml:space="preserve"> having consistently found that</w:t>
      </w:r>
      <w:r w:rsidR="0077760D">
        <w:rPr>
          <w:rFonts w:ascii="Arial" w:hAnsi="Arial" w:cs="Arial"/>
          <w:sz w:val="24"/>
          <w:szCs w:val="24"/>
        </w:rPr>
        <w:t xml:space="preserve"> </w:t>
      </w:r>
      <w:r>
        <w:rPr>
          <w:rFonts w:ascii="Arial" w:hAnsi="Arial" w:cs="Arial"/>
          <w:sz w:val="24"/>
          <w:szCs w:val="24"/>
        </w:rPr>
        <w:t>the requirement</w:t>
      </w:r>
      <w:r w:rsidR="00FB44A6">
        <w:rPr>
          <w:rFonts w:ascii="Arial" w:hAnsi="Arial" w:cs="Arial"/>
          <w:sz w:val="24"/>
          <w:szCs w:val="24"/>
        </w:rPr>
        <w:t>s</w:t>
      </w:r>
      <w:r>
        <w:rPr>
          <w:rFonts w:ascii="Arial" w:hAnsi="Arial" w:cs="Arial"/>
          <w:sz w:val="24"/>
          <w:szCs w:val="24"/>
        </w:rPr>
        <w:t xml:space="preserve"> of Regu</w:t>
      </w:r>
      <w:r w:rsidR="0077760D">
        <w:rPr>
          <w:rFonts w:ascii="Arial" w:hAnsi="Arial" w:cs="Arial"/>
          <w:sz w:val="24"/>
          <w:szCs w:val="24"/>
        </w:rPr>
        <w:t xml:space="preserve">lation 4(2) are directory, </w:t>
      </w:r>
      <w:r>
        <w:rPr>
          <w:rFonts w:ascii="Arial" w:hAnsi="Arial" w:cs="Arial"/>
          <w:sz w:val="24"/>
          <w:szCs w:val="24"/>
        </w:rPr>
        <w:t xml:space="preserve">the non-compliance of Regulation 4(2) </w:t>
      </w:r>
      <w:r w:rsidR="0077760D">
        <w:rPr>
          <w:rFonts w:ascii="Arial" w:hAnsi="Arial" w:cs="Arial"/>
          <w:sz w:val="24"/>
          <w:szCs w:val="24"/>
        </w:rPr>
        <w:t xml:space="preserve">left the founding affidavit </w:t>
      </w:r>
      <w:r w:rsidR="00B85DFD">
        <w:rPr>
          <w:rFonts w:ascii="Arial" w:hAnsi="Arial" w:cs="Arial"/>
          <w:sz w:val="24"/>
          <w:szCs w:val="24"/>
        </w:rPr>
        <w:t>deficient,</w:t>
      </w:r>
      <w:r w:rsidR="00AD33BD">
        <w:rPr>
          <w:rFonts w:ascii="Arial" w:hAnsi="Arial" w:cs="Arial"/>
          <w:sz w:val="24"/>
          <w:szCs w:val="24"/>
        </w:rPr>
        <w:t xml:space="preserve">  leaving the respondents with no case to meet.  The court </w:t>
      </w:r>
      <w:r w:rsidR="00AD33BD">
        <w:rPr>
          <w:rFonts w:ascii="Arial" w:hAnsi="Arial" w:cs="Arial"/>
          <w:i/>
          <w:sz w:val="24"/>
          <w:szCs w:val="24"/>
        </w:rPr>
        <w:t xml:space="preserve">a quo </w:t>
      </w:r>
      <w:r w:rsidR="00AD33BD">
        <w:rPr>
          <w:rFonts w:ascii="Arial" w:hAnsi="Arial" w:cs="Arial"/>
          <w:sz w:val="24"/>
          <w:szCs w:val="24"/>
        </w:rPr>
        <w:t xml:space="preserve">found this while acknowledging the trend </w:t>
      </w:r>
      <w:r w:rsidR="00AD33BD" w:rsidRPr="006E01A6">
        <w:rPr>
          <w:rFonts w:ascii="Arial" w:hAnsi="Arial" w:cs="Arial"/>
          <w:i/>
          <w:sz w:val="24"/>
          <w:szCs w:val="24"/>
        </w:rPr>
        <w:t xml:space="preserve">“of presiding officers to exercise their discretion to condone non-compliance with Regulation 4 on the premise that </w:t>
      </w:r>
      <w:r w:rsidR="00790C18">
        <w:rPr>
          <w:rFonts w:ascii="Arial" w:hAnsi="Arial" w:cs="Arial"/>
          <w:i/>
          <w:sz w:val="24"/>
          <w:szCs w:val="24"/>
        </w:rPr>
        <w:t>there is substantial compliance</w:t>
      </w:r>
      <w:r w:rsidR="006E01A6" w:rsidRPr="006E01A6">
        <w:rPr>
          <w:rFonts w:ascii="Arial" w:hAnsi="Arial" w:cs="Arial"/>
          <w:i/>
          <w:sz w:val="24"/>
          <w:szCs w:val="24"/>
        </w:rPr>
        <w:t>”</w:t>
      </w:r>
      <w:r w:rsidR="0077760D">
        <w:rPr>
          <w:rFonts w:ascii="Arial" w:hAnsi="Arial" w:cs="Arial"/>
          <w:i/>
          <w:sz w:val="24"/>
          <w:szCs w:val="24"/>
        </w:rPr>
        <w:t xml:space="preserve">, </w:t>
      </w:r>
      <w:r w:rsidR="0077760D">
        <w:rPr>
          <w:rFonts w:ascii="Arial" w:hAnsi="Arial" w:cs="Arial"/>
          <w:sz w:val="24"/>
          <w:szCs w:val="24"/>
        </w:rPr>
        <w:t>and</w:t>
      </w:r>
      <w:r w:rsidR="00FB44A6">
        <w:rPr>
          <w:rFonts w:ascii="Arial" w:hAnsi="Arial" w:cs="Arial"/>
          <w:sz w:val="24"/>
          <w:szCs w:val="24"/>
        </w:rPr>
        <w:t xml:space="preserve"> </w:t>
      </w:r>
      <w:r w:rsidR="0077760D">
        <w:rPr>
          <w:rFonts w:ascii="Arial" w:hAnsi="Arial" w:cs="Arial"/>
          <w:sz w:val="24"/>
          <w:szCs w:val="24"/>
        </w:rPr>
        <w:t>expressing</w:t>
      </w:r>
      <w:r w:rsidR="00790C18">
        <w:rPr>
          <w:rFonts w:ascii="Arial" w:hAnsi="Arial" w:cs="Arial"/>
          <w:sz w:val="24"/>
          <w:szCs w:val="24"/>
        </w:rPr>
        <w:t xml:space="preserve"> that she </w:t>
      </w:r>
      <w:r w:rsidR="00FB44A6">
        <w:rPr>
          <w:rFonts w:ascii="Arial" w:hAnsi="Arial" w:cs="Arial"/>
          <w:sz w:val="24"/>
          <w:szCs w:val="24"/>
        </w:rPr>
        <w:t>did not conform to that school of thought.</w:t>
      </w:r>
    </w:p>
    <w:p w:rsidR="00AD33BD" w:rsidRDefault="00AD33BD" w:rsidP="007C2BD4">
      <w:pPr>
        <w:spacing w:line="360" w:lineRule="auto"/>
        <w:ind w:left="720" w:hanging="720"/>
        <w:jc w:val="both"/>
        <w:rPr>
          <w:rFonts w:ascii="Arial" w:hAnsi="Arial" w:cs="Arial"/>
          <w:sz w:val="24"/>
          <w:szCs w:val="24"/>
        </w:rPr>
      </w:pPr>
    </w:p>
    <w:p w:rsidR="00AD33BD" w:rsidRDefault="00AD33BD" w:rsidP="007C2BD4">
      <w:pPr>
        <w:spacing w:line="360" w:lineRule="auto"/>
        <w:ind w:left="720" w:hanging="720"/>
        <w:jc w:val="both"/>
        <w:rPr>
          <w:rFonts w:ascii="Arial" w:hAnsi="Arial" w:cs="Arial"/>
          <w:i/>
          <w:sz w:val="24"/>
          <w:szCs w:val="24"/>
        </w:rPr>
      </w:pPr>
      <w:r>
        <w:rPr>
          <w:rFonts w:ascii="Arial" w:hAnsi="Arial" w:cs="Arial"/>
          <w:sz w:val="24"/>
          <w:szCs w:val="24"/>
        </w:rPr>
        <w:t>[8]</w:t>
      </w:r>
      <w:r>
        <w:rPr>
          <w:rFonts w:ascii="Arial" w:hAnsi="Arial" w:cs="Arial"/>
          <w:sz w:val="24"/>
          <w:szCs w:val="24"/>
        </w:rPr>
        <w:tab/>
        <w:t xml:space="preserve">The court </w:t>
      </w:r>
      <w:r>
        <w:rPr>
          <w:rFonts w:ascii="Arial" w:hAnsi="Arial" w:cs="Arial"/>
          <w:i/>
          <w:sz w:val="24"/>
          <w:szCs w:val="24"/>
        </w:rPr>
        <w:t xml:space="preserve">a quo </w:t>
      </w:r>
      <w:r>
        <w:rPr>
          <w:rFonts w:ascii="Arial" w:hAnsi="Arial" w:cs="Arial"/>
          <w:sz w:val="24"/>
          <w:szCs w:val="24"/>
        </w:rPr>
        <w:t xml:space="preserve">furthermore found that the non-compliance with this </w:t>
      </w:r>
      <w:r w:rsidRPr="00742A6F">
        <w:rPr>
          <w:rFonts w:ascii="Arial" w:hAnsi="Arial" w:cs="Arial"/>
          <w:i/>
          <w:sz w:val="24"/>
          <w:szCs w:val="24"/>
        </w:rPr>
        <w:t xml:space="preserve">“statutory provision in the absence of provisions relating to the condonation of same, as is in this case is fatal to the appellant’s application.  This is so as the Act </w:t>
      </w:r>
      <w:r w:rsidR="001B39D6" w:rsidRPr="00742A6F">
        <w:rPr>
          <w:rFonts w:ascii="Arial" w:hAnsi="Arial" w:cs="Arial"/>
          <w:i/>
          <w:sz w:val="24"/>
          <w:szCs w:val="24"/>
        </w:rPr>
        <w:t xml:space="preserve">does not make </w:t>
      </w:r>
      <w:r w:rsidR="00742A6F" w:rsidRPr="00742A6F">
        <w:rPr>
          <w:rFonts w:ascii="Arial" w:hAnsi="Arial" w:cs="Arial"/>
          <w:i/>
          <w:sz w:val="24"/>
          <w:szCs w:val="24"/>
        </w:rPr>
        <w:t>provision for built in mechanism of condonation.”</w:t>
      </w:r>
    </w:p>
    <w:p w:rsidR="00F8433F" w:rsidRDefault="00F8433F" w:rsidP="007C2BD4">
      <w:pPr>
        <w:spacing w:line="360" w:lineRule="auto"/>
        <w:ind w:left="720" w:hanging="720"/>
        <w:jc w:val="both"/>
        <w:rPr>
          <w:rFonts w:ascii="Arial" w:hAnsi="Arial" w:cs="Arial"/>
          <w:i/>
          <w:sz w:val="24"/>
          <w:szCs w:val="24"/>
        </w:rPr>
      </w:pPr>
    </w:p>
    <w:p w:rsidR="00F8433F" w:rsidRPr="00F8433F" w:rsidRDefault="00FB44A6" w:rsidP="007C2BD4">
      <w:pPr>
        <w:spacing w:line="360" w:lineRule="auto"/>
        <w:ind w:left="720" w:hanging="720"/>
        <w:jc w:val="both"/>
        <w:rPr>
          <w:rFonts w:ascii="Arial" w:hAnsi="Arial" w:cs="Arial"/>
          <w:i/>
          <w:sz w:val="24"/>
          <w:szCs w:val="24"/>
        </w:rPr>
      </w:pPr>
      <w:r>
        <w:rPr>
          <w:rFonts w:ascii="Arial" w:hAnsi="Arial" w:cs="Arial"/>
          <w:sz w:val="24"/>
          <w:szCs w:val="24"/>
        </w:rPr>
        <w:lastRenderedPageBreak/>
        <w:t>[9]</w:t>
      </w:r>
      <w:r>
        <w:rPr>
          <w:rFonts w:ascii="Arial" w:hAnsi="Arial" w:cs="Arial"/>
          <w:sz w:val="24"/>
          <w:szCs w:val="24"/>
        </w:rPr>
        <w:tab/>
        <w:t>T</w:t>
      </w:r>
      <w:r w:rsidR="00F8433F">
        <w:rPr>
          <w:rFonts w:ascii="Arial" w:hAnsi="Arial" w:cs="Arial"/>
          <w:sz w:val="24"/>
          <w:szCs w:val="24"/>
        </w:rPr>
        <w:t xml:space="preserve">he court found that an improperly commissioned affidavit can be cured </w:t>
      </w:r>
      <w:r w:rsidR="0077760D">
        <w:rPr>
          <w:rFonts w:ascii="Arial" w:hAnsi="Arial" w:cs="Arial"/>
          <w:sz w:val="24"/>
          <w:szCs w:val="24"/>
        </w:rPr>
        <w:t xml:space="preserve">procedurally </w:t>
      </w:r>
      <w:r w:rsidR="00F8433F">
        <w:rPr>
          <w:rFonts w:ascii="Arial" w:hAnsi="Arial" w:cs="Arial"/>
          <w:sz w:val="24"/>
          <w:szCs w:val="24"/>
        </w:rPr>
        <w:t>by handing up at the hearing a</w:t>
      </w:r>
      <w:r w:rsidR="005D6A33">
        <w:rPr>
          <w:rFonts w:ascii="Arial" w:hAnsi="Arial" w:cs="Arial"/>
          <w:sz w:val="24"/>
          <w:szCs w:val="24"/>
        </w:rPr>
        <w:t xml:space="preserve"> newly commissioned affidavit, </w:t>
      </w:r>
      <w:r w:rsidR="00F8433F">
        <w:rPr>
          <w:rFonts w:ascii="Arial" w:hAnsi="Arial" w:cs="Arial"/>
          <w:sz w:val="24"/>
          <w:szCs w:val="24"/>
        </w:rPr>
        <w:t xml:space="preserve">but not </w:t>
      </w:r>
      <w:r w:rsidR="00F8433F" w:rsidRPr="00F8433F">
        <w:rPr>
          <w:rFonts w:ascii="Arial" w:hAnsi="Arial" w:cs="Arial"/>
          <w:i/>
          <w:sz w:val="24"/>
          <w:szCs w:val="24"/>
        </w:rPr>
        <w:t>“by delivering a further affidavit which explains the oversight.”</w:t>
      </w:r>
    </w:p>
    <w:p w:rsidR="00AD33BD" w:rsidRDefault="00AD33BD" w:rsidP="007C2BD4">
      <w:pPr>
        <w:spacing w:line="360" w:lineRule="auto"/>
        <w:ind w:left="720" w:hanging="720"/>
        <w:jc w:val="both"/>
        <w:rPr>
          <w:rFonts w:ascii="Arial" w:hAnsi="Arial" w:cs="Arial"/>
          <w:sz w:val="24"/>
          <w:szCs w:val="24"/>
        </w:rPr>
      </w:pPr>
    </w:p>
    <w:p w:rsidR="00F8433F" w:rsidRPr="00F8433F" w:rsidRDefault="00F8433F" w:rsidP="007C2BD4">
      <w:pPr>
        <w:spacing w:line="360" w:lineRule="auto"/>
        <w:ind w:left="720" w:hanging="720"/>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Can a court of appeal interfere wi</w:t>
      </w:r>
      <w:r w:rsidR="00790C18">
        <w:rPr>
          <w:rFonts w:ascii="Arial" w:hAnsi="Arial" w:cs="Arial"/>
          <w:sz w:val="24"/>
          <w:szCs w:val="24"/>
          <w:u w:val="single"/>
        </w:rPr>
        <w:t>th the exercising of a discre</w:t>
      </w:r>
      <w:r>
        <w:rPr>
          <w:rFonts w:ascii="Arial" w:hAnsi="Arial" w:cs="Arial"/>
          <w:sz w:val="24"/>
          <w:szCs w:val="24"/>
          <w:u w:val="single"/>
        </w:rPr>
        <w:t>tion?</w:t>
      </w:r>
    </w:p>
    <w:p w:rsidR="00F8433F" w:rsidRDefault="00FB44A6" w:rsidP="00FB44A6">
      <w:pPr>
        <w:spacing w:line="360" w:lineRule="auto"/>
        <w:ind w:left="720" w:hanging="720"/>
        <w:jc w:val="both"/>
        <w:rPr>
          <w:rFonts w:ascii="Arial" w:hAnsi="Arial" w:cs="Arial"/>
          <w:sz w:val="24"/>
          <w:szCs w:val="24"/>
        </w:rPr>
      </w:pPr>
      <w:r>
        <w:rPr>
          <w:rFonts w:ascii="Arial" w:hAnsi="Arial" w:cs="Arial"/>
          <w:sz w:val="24"/>
          <w:szCs w:val="24"/>
        </w:rPr>
        <w:t>[10</w:t>
      </w:r>
      <w:r w:rsidR="00AD33BD">
        <w:rPr>
          <w:rFonts w:ascii="Arial" w:hAnsi="Arial" w:cs="Arial"/>
          <w:sz w:val="24"/>
          <w:szCs w:val="24"/>
        </w:rPr>
        <w:t>]</w:t>
      </w:r>
      <w:r w:rsidR="00742A6F">
        <w:rPr>
          <w:rFonts w:ascii="Arial" w:hAnsi="Arial" w:cs="Arial"/>
          <w:sz w:val="24"/>
          <w:szCs w:val="24"/>
        </w:rPr>
        <w:tab/>
      </w:r>
      <w:r w:rsidR="00F8433F">
        <w:rPr>
          <w:rFonts w:ascii="Arial" w:hAnsi="Arial" w:cs="Arial"/>
          <w:sz w:val="24"/>
          <w:szCs w:val="24"/>
        </w:rPr>
        <w:t xml:space="preserve">The court </w:t>
      </w:r>
      <w:r w:rsidR="00F8433F">
        <w:rPr>
          <w:rFonts w:ascii="Arial" w:hAnsi="Arial" w:cs="Arial"/>
          <w:i/>
          <w:sz w:val="24"/>
          <w:szCs w:val="24"/>
        </w:rPr>
        <w:t xml:space="preserve">a quo </w:t>
      </w:r>
      <w:r w:rsidR="00F8433F">
        <w:rPr>
          <w:rFonts w:ascii="Arial" w:hAnsi="Arial" w:cs="Arial"/>
          <w:sz w:val="24"/>
          <w:szCs w:val="24"/>
        </w:rPr>
        <w:t xml:space="preserve">had exercised a discretion disallowing the founding </w:t>
      </w:r>
      <w:r w:rsidR="00F8433F" w:rsidRPr="00F8433F">
        <w:rPr>
          <w:rFonts w:ascii="Arial" w:hAnsi="Arial" w:cs="Arial"/>
          <w:i/>
          <w:sz w:val="24"/>
          <w:szCs w:val="24"/>
        </w:rPr>
        <w:t>“affidavit”.</w:t>
      </w:r>
      <w:r w:rsidR="00F8433F">
        <w:rPr>
          <w:rFonts w:ascii="Arial" w:hAnsi="Arial" w:cs="Arial"/>
          <w:sz w:val="24"/>
          <w:szCs w:val="24"/>
        </w:rPr>
        <w:t xml:space="preserve">  A discretion is however not unfettered and must be exercised judicially upon consideration of the facts of each case.</w:t>
      </w:r>
    </w:p>
    <w:p w:rsidR="00F8433F" w:rsidRDefault="00F8433F" w:rsidP="007C2BD4">
      <w:pPr>
        <w:spacing w:line="360" w:lineRule="auto"/>
        <w:ind w:left="720" w:hanging="720"/>
        <w:jc w:val="both"/>
        <w:rPr>
          <w:rFonts w:ascii="Arial" w:hAnsi="Arial" w:cs="Arial"/>
          <w:i/>
          <w:sz w:val="24"/>
          <w:szCs w:val="24"/>
        </w:rPr>
      </w:pPr>
      <w:r>
        <w:rPr>
          <w:rFonts w:ascii="Arial" w:hAnsi="Arial" w:cs="Arial"/>
          <w:sz w:val="24"/>
          <w:szCs w:val="24"/>
        </w:rPr>
        <w:tab/>
      </w:r>
      <w:r w:rsidRPr="00F8433F">
        <w:rPr>
          <w:rFonts w:ascii="Arial" w:hAnsi="Arial" w:cs="Arial"/>
          <w:i/>
          <w:sz w:val="24"/>
          <w:szCs w:val="24"/>
        </w:rPr>
        <w:t>“The power of interference on appeal is limited to cases of vitiation by misd</w:t>
      </w:r>
      <w:r w:rsidR="006E01A6">
        <w:rPr>
          <w:rFonts w:ascii="Arial" w:hAnsi="Arial" w:cs="Arial"/>
          <w:i/>
          <w:sz w:val="24"/>
          <w:szCs w:val="24"/>
        </w:rPr>
        <w:t xml:space="preserve">irection or irregularity, or </w:t>
      </w:r>
      <w:r w:rsidRPr="00F8433F">
        <w:rPr>
          <w:rFonts w:ascii="Arial" w:hAnsi="Arial" w:cs="Arial"/>
          <w:i/>
          <w:sz w:val="24"/>
          <w:szCs w:val="24"/>
        </w:rPr>
        <w:t xml:space="preserve">the absence of grounds on which a court, acting reasonably, could have made the order in question.  The </w:t>
      </w:r>
      <w:r w:rsidR="006E01A6">
        <w:rPr>
          <w:rFonts w:ascii="Arial" w:hAnsi="Arial" w:cs="Arial"/>
          <w:i/>
          <w:sz w:val="24"/>
          <w:szCs w:val="24"/>
        </w:rPr>
        <w:t>C</w:t>
      </w:r>
      <w:r w:rsidRPr="00F8433F">
        <w:rPr>
          <w:rFonts w:ascii="Arial" w:hAnsi="Arial" w:cs="Arial"/>
          <w:i/>
          <w:sz w:val="24"/>
          <w:szCs w:val="24"/>
        </w:rPr>
        <w:t>ourt of appeal cannot interfere merely on the ground that it would itself have made a different order.”</w:t>
      </w:r>
      <w:r>
        <w:rPr>
          <w:rStyle w:val="FootnoteReference"/>
          <w:rFonts w:ascii="Arial" w:hAnsi="Arial" w:cs="Arial"/>
          <w:i/>
          <w:sz w:val="24"/>
          <w:szCs w:val="24"/>
        </w:rPr>
        <w:footnoteReference w:id="2"/>
      </w:r>
    </w:p>
    <w:p w:rsidR="00F8433F" w:rsidRDefault="00F8433F" w:rsidP="007C2BD4">
      <w:pPr>
        <w:spacing w:line="360" w:lineRule="auto"/>
        <w:ind w:left="720" w:hanging="720"/>
        <w:jc w:val="both"/>
        <w:rPr>
          <w:rFonts w:ascii="Arial" w:hAnsi="Arial" w:cs="Arial"/>
          <w:i/>
          <w:sz w:val="24"/>
          <w:szCs w:val="24"/>
        </w:rPr>
      </w:pPr>
    </w:p>
    <w:p w:rsidR="00F8433F" w:rsidRDefault="00FB44A6" w:rsidP="00FB44A6">
      <w:pPr>
        <w:spacing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F8433F">
        <w:rPr>
          <w:rFonts w:ascii="Arial" w:hAnsi="Arial" w:cs="Arial"/>
          <w:sz w:val="24"/>
          <w:szCs w:val="24"/>
        </w:rPr>
        <w:t xml:space="preserve">In </w:t>
      </w:r>
      <w:r w:rsidR="00F8433F">
        <w:rPr>
          <w:rFonts w:ascii="Arial" w:hAnsi="Arial" w:cs="Arial"/>
          <w:i/>
          <w:sz w:val="24"/>
          <w:szCs w:val="24"/>
        </w:rPr>
        <w:t xml:space="preserve">Trencon Construction (Pty) Ltd v Industrial Development Corporation of South Africa Ltd </w:t>
      </w:r>
      <w:r w:rsidR="006E01A6">
        <w:rPr>
          <w:rFonts w:ascii="Arial" w:hAnsi="Arial" w:cs="Arial"/>
          <w:i/>
          <w:sz w:val="24"/>
          <w:szCs w:val="24"/>
        </w:rPr>
        <w:t xml:space="preserve">and Another </w:t>
      </w:r>
      <w:r w:rsidR="006E01A6">
        <w:rPr>
          <w:rFonts w:ascii="Arial" w:hAnsi="Arial" w:cs="Arial"/>
          <w:sz w:val="24"/>
          <w:szCs w:val="24"/>
        </w:rPr>
        <w:t>2015 (5) SA 245</w:t>
      </w:r>
      <w:r w:rsidR="00F8433F">
        <w:rPr>
          <w:rFonts w:ascii="Arial" w:hAnsi="Arial" w:cs="Arial"/>
          <w:sz w:val="24"/>
          <w:szCs w:val="24"/>
        </w:rPr>
        <w:t xml:space="preserve"> (CC) at paras </w:t>
      </w:r>
      <w:r w:rsidR="006E01A6">
        <w:rPr>
          <w:rFonts w:ascii="Arial" w:hAnsi="Arial" w:cs="Arial"/>
          <w:sz w:val="24"/>
          <w:szCs w:val="24"/>
        </w:rPr>
        <w:t>[</w:t>
      </w:r>
      <w:r w:rsidR="00F8433F">
        <w:rPr>
          <w:rFonts w:ascii="Arial" w:hAnsi="Arial" w:cs="Arial"/>
          <w:sz w:val="24"/>
          <w:szCs w:val="24"/>
        </w:rPr>
        <w:t>83</w:t>
      </w:r>
      <w:r w:rsidR="006E01A6">
        <w:rPr>
          <w:rFonts w:ascii="Arial" w:hAnsi="Arial" w:cs="Arial"/>
          <w:sz w:val="24"/>
          <w:szCs w:val="24"/>
        </w:rPr>
        <w:t>]</w:t>
      </w:r>
      <w:r w:rsidR="00F8433F">
        <w:rPr>
          <w:rFonts w:ascii="Arial" w:hAnsi="Arial" w:cs="Arial"/>
          <w:sz w:val="24"/>
          <w:szCs w:val="24"/>
        </w:rPr>
        <w:t xml:space="preserve"> and </w:t>
      </w:r>
      <w:r w:rsidR="006E01A6">
        <w:rPr>
          <w:rFonts w:ascii="Arial" w:hAnsi="Arial" w:cs="Arial"/>
          <w:sz w:val="24"/>
          <w:szCs w:val="24"/>
        </w:rPr>
        <w:t>[</w:t>
      </w:r>
      <w:r w:rsidR="00F8433F">
        <w:rPr>
          <w:rFonts w:ascii="Arial" w:hAnsi="Arial" w:cs="Arial"/>
          <w:sz w:val="24"/>
          <w:szCs w:val="24"/>
        </w:rPr>
        <w:t>85</w:t>
      </w:r>
      <w:r w:rsidR="006E01A6">
        <w:rPr>
          <w:rFonts w:ascii="Arial" w:hAnsi="Arial" w:cs="Arial"/>
          <w:sz w:val="24"/>
          <w:szCs w:val="24"/>
        </w:rPr>
        <w:t>]</w:t>
      </w:r>
      <w:r w:rsidR="00F8433F">
        <w:rPr>
          <w:rFonts w:ascii="Arial" w:hAnsi="Arial" w:cs="Arial"/>
          <w:sz w:val="24"/>
          <w:szCs w:val="24"/>
        </w:rPr>
        <w:t>-</w:t>
      </w:r>
      <w:r w:rsidR="006E01A6">
        <w:rPr>
          <w:rFonts w:ascii="Arial" w:hAnsi="Arial" w:cs="Arial"/>
          <w:sz w:val="24"/>
          <w:szCs w:val="24"/>
        </w:rPr>
        <w:t>[8</w:t>
      </w:r>
      <w:r w:rsidR="00F8433F">
        <w:rPr>
          <w:rFonts w:ascii="Arial" w:hAnsi="Arial" w:cs="Arial"/>
          <w:sz w:val="24"/>
          <w:szCs w:val="24"/>
        </w:rPr>
        <w:t>7</w:t>
      </w:r>
      <w:r w:rsidR="006E01A6">
        <w:rPr>
          <w:rFonts w:ascii="Arial" w:hAnsi="Arial" w:cs="Arial"/>
          <w:sz w:val="24"/>
          <w:szCs w:val="24"/>
        </w:rPr>
        <w:t>]</w:t>
      </w:r>
      <w:r w:rsidR="00F8433F">
        <w:rPr>
          <w:rFonts w:ascii="Arial" w:hAnsi="Arial" w:cs="Arial"/>
          <w:sz w:val="24"/>
          <w:szCs w:val="24"/>
        </w:rPr>
        <w:t xml:space="preserve"> the Court found that:</w:t>
      </w:r>
    </w:p>
    <w:p w:rsidR="006E01A6" w:rsidRDefault="00F8433F" w:rsidP="006E01A6">
      <w:pPr>
        <w:spacing w:line="360" w:lineRule="auto"/>
        <w:ind w:left="2160" w:hanging="720"/>
        <w:jc w:val="both"/>
        <w:rPr>
          <w:rFonts w:ascii="Arial" w:hAnsi="Arial" w:cs="Arial"/>
          <w:i/>
          <w:sz w:val="24"/>
          <w:szCs w:val="24"/>
        </w:rPr>
      </w:pPr>
      <w:r w:rsidRPr="003223F0">
        <w:rPr>
          <w:rFonts w:ascii="Arial" w:hAnsi="Arial" w:cs="Arial"/>
          <w:i/>
          <w:sz w:val="24"/>
          <w:szCs w:val="24"/>
        </w:rPr>
        <w:t>“</w:t>
      </w:r>
      <w:r w:rsidR="006E01A6">
        <w:rPr>
          <w:rFonts w:ascii="Arial" w:hAnsi="Arial" w:cs="Arial"/>
          <w:i/>
          <w:sz w:val="24"/>
          <w:szCs w:val="24"/>
        </w:rPr>
        <w:t>[85]</w:t>
      </w:r>
      <w:r w:rsidR="006E01A6">
        <w:rPr>
          <w:rFonts w:ascii="Arial" w:hAnsi="Arial" w:cs="Arial"/>
          <w:i/>
          <w:sz w:val="24"/>
          <w:szCs w:val="24"/>
        </w:rPr>
        <w:tab/>
      </w:r>
      <w:r w:rsidRPr="003223F0">
        <w:rPr>
          <w:rFonts w:ascii="Arial" w:hAnsi="Arial" w:cs="Arial"/>
          <w:i/>
          <w:sz w:val="24"/>
          <w:szCs w:val="24"/>
        </w:rPr>
        <w:t>A discretion in the true sense is found where the lower court has a wider range of equally permissible options available to it.  This type of dis</w:t>
      </w:r>
      <w:r w:rsidR="006E01A6">
        <w:rPr>
          <w:rFonts w:ascii="Arial" w:hAnsi="Arial" w:cs="Arial"/>
          <w:i/>
          <w:sz w:val="24"/>
          <w:szCs w:val="24"/>
        </w:rPr>
        <w:t>cretion has been found by this c</w:t>
      </w:r>
      <w:r w:rsidRPr="003223F0">
        <w:rPr>
          <w:rFonts w:ascii="Arial" w:hAnsi="Arial" w:cs="Arial"/>
          <w:i/>
          <w:sz w:val="24"/>
          <w:szCs w:val="24"/>
        </w:rPr>
        <w:t xml:space="preserve">ourt in many instances, including matters of </w:t>
      </w:r>
      <w:r w:rsidR="003223F0" w:rsidRPr="003223F0">
        <w:rPr>
          <w:rFonts w:ascii="Arial" w:hAnsi="Arial" w:cs="Arial"/>
          <w:i/>
          <w:sz w:val="24"/>
          <w:szCs w:val="24"/>
        </w:rPr>
        <w:t xml:space="preserve">costs, damages and in the award </w:t>
      </w:r>
      <w:r w:rsidR="006E01A6">
        <w:rPr>
          <w:rFonts w:ascii="Arial" w:hAnsi="Arial" w:cs="Arial"/>
          <w:i/>
          <w:sz w:val="24"/>
          <w:szCs w:val="24"/>
        </w:rPr>
        <w:t>of a remedy in terms of s 35</w:t>
      </w:r>
      <w:r w:rsidR="003223F0" w:rsidRPr="003223F0">
        <w:rPr>
          <w:rFonts w:ascii="Arial" w:hAnsi="Arial" w:cs="Arial"/>
          <w:i/>
          <w:sz w:val="24"/>
          <w:szCs w:val="24"/>
        </w:rPr>
        <w:t xml:space="preserve"> of the Restitution of Land Rights Act.  It is ‘true’ in that the lower court has an election of which option it will apply and any option can never said to be wrong a</w:t>
      </w:r>
      <w:r w:rsidR="006E01A6">
        <w:rPr>
          <w:rFonts w:ascii="Arial" w:hAnsi="Arial" w:cs="Arial"/>
          <w:i/>
          <w:sz w:val="24"/>
          <w:szCs w:val="24"/>
        </w:rPr>
        <w:t>s each is entirely permissible.</w:t>
      </w:r>
    </w:p>
    <w:p w:rsidR="006E01A6" w:rsidRPr="006E01A6" w:rsidRDefault="006E01A6" w:rsidP="006E01A6">
      <w:pPr>
        <w:spacing w:line="360" w:lineRule="auto"/>
        <w:ind w:left="2160" w:hanging="720"/>
        <w:jc w:val="both"/>
        <w:rPr>
          <w:rFonts w:ascii="Arial" w:hAnsi="Arial" w:cs="Arial"/>
          <w:i/>
          <w:sz w:val="24"/>
          <w:szCs w:val="24"/>
        </w:rPr>
      </w:pPr>
      <w:r w:rsidRPr="006E01A6">
        <w:rPr>
          <w:rFonts w:ascii="Arial" w:hAnsi="Arial" w:cs="Arial"/>
          <w:i/>
          <w:sz w:val="24"/>
          <w:szCs w:val="24"/>
        </w:rPr>
        <w:t>[86]</w:t>
      </w:r>
      <w:r w:rsidRPr="006E01A6">
        <w:rPr>
          <w:rFonts w:ascii="Arial" w:hAnsi="Arial" w:cs="Arial"/>
          <w:i/>
          <w:sz w:val="24"/>
          <w:szCs w:val="24"/>
        </w:rPr>
        <w:tab/>
      </w:r>
      <w:r w:rsidR="003223F0" w:rsidRPr="006E01A6">
        <w:rPr>
          <w:rFonts w:ascii="Arial" w:hAnsi="Arial" w:cs="Arial"/>
          <w:i/>
          <w:sz w:val="24"/>
          <w:szCs w:val="24"/>
        </w:rPr>
        <w:t>In contrast, where a court has a discretion in the loose sense, it does not necessarily have a choice bet</w:t>
      </w:r>
      <w:r w:rsidRPr="006E01A6">
        <w:rPr>
          <w:rFonts w:ascii="Arial" w:hAnsi="Arial" w:cs="Arial"/>
          <w:i/>
          <w:sz w:val="24"/>
          <w:szCs w:val="24"/>
        </w:rPr>
        <w:t>ween equally permission options …</w:t>
      </w:r>
    </w:p>
    <w:p w:rsidR="003223F0" w:rsidRPr="006E01A6" w:rsidRDefault="006E01A6" w:rsidP="006E01A6">
      <w:pPr>
        <w:spacing w:line="360" w:lineRule="auto"/>
        <w:ind w:left="2160" w:hanging="720"/>
        <w:jc w:val="both"/>
        <w:rPr>
          <w:rFonts w:ascii="Arial" w:hAnsi="Arial" w:cs="Arial"/>
          <w:i/>
          <w:sz w:val="24"/>
          <w:szCs w:val="24"/>
        </w:rPr>
      </w:pPr>
      <w:r w:rsidRPr="006E01A6">
        <w:rPr>
          <w:rFonts w:ascii="Arial" w:hAnsi="Arial" w:cs="Arial"/>
          <w:i/>
          <w:sz w:val="24"/>
          <w:szCs w:val="24"/>
        </w:rPr>
        <w:lastRenderedPageBreak/>
        <w:t>[87]</w:t>
      </w:r>
      <w:r w:rsidRPr="006E01A6">
        <w:rPr>
          <w:rFonts w:ascii="Arial" w:hAnsi="Arial" w:cs="Arial"/>
          <w:i/>
          <w:sz w:val="24"/>
          <w:szCs w:val="24"/>
        </w:rPr>
        <w:tab/>
        <w:t xml:space="preserve">… </w:t>
      </w:r>
      <w:r w:rsidR="003223F0" w:rsidRPr="006E01A6">
        <w:rPr>
          <w:rFonts w:ascii="Arial" w:hAnsi="Arial" w:cs="Arial"/>
          <w:i/>
          <w:sz w:val="24"/>
          <w:szCs w:val="24"/>
        </w:rPr>
        <w:t>In the instance of a discretion in the loose sense, an appellate court is equally capable of determining the matter in the same manner as the court of first instance and can therefore substitute its own discretion without first having to find that the court of instance did not act judicially.  However, even where a discretion in the loose sense is conferred on a lower court, an appellate court’s power to interfere may be curtailed by broader policy consideration</w:t>
      </w:r>
      <w:r w:rsidRPr="006E01A6">
        <w:rPr>
          <w:rFonts w:ascii="Arial" w:hAnsi="Arial" w:cs="Arial"/>
          <w:i/>
          <w:sz w:val="24"/>
          <w:szCs w:val="24"/>
        </w:rPr>
        <w:t>s</w:t>
      </w:r>
      <w:r w:rsidR="003223F0" w:rsidRPr="006E01A6">
        <w:rPr>
          <w:rFonts w:ascii="Arial" w:hAnsi="Arial" w:cs="Arial"/>
          <w:i/>
          <w:sz w:val="24"/>
          <w:szCs w:val="24"/>
        </w:rPr>
        <w:t>.  Therefore, whenever an appellate court interferes with a discretion in a loose sense, it must be guarded.</w:t>
      </w:r>
      <w:r w:rsidRPr="006E01A6">
        <w:rPr>
          <w:rFonts w:ascii="Arial" w:hAnsi="Arial" w:cs="Arial"/>
          <w:i/>
          <w:sz w:val="24"/>
          <w:szCs w:val="24"/>
        </w:rPr>
        <w:t>”</w:t>
      </w:r>
    </w:p>
    <w:p w:rsidR="007C2BD4" w:rsidRDefault="007C2BD4" w:rsidP="007C2BD4">
      <w:pPr>
        <w:spacing w:line="360" w:lineRule="auto"/>
        <w:ind w:left="720" w:hanging="720"/>
        <w:jc w:val="both"/>
        <w:rPr>
          <w:rFonts w:ascii="Arial" w:hAnsi="Arial" w:cs="Arial"/>
          <w:sz w:val="24"/>
          <w:szCs w:val="24"/>
        </w:rPr>
      </w:pPr>
    </w:p>
    <w:p w:rsidR="004022DD" w:rsidRPr="003223F0" w:rsidRDefault="00FB44A6" w:rsidP="003223F0">
      <w:pPr>
        <w:spacing w:line="360" w:lineRule="auto"/>
        <w:ind w:left="720" w:hanging="720"/>
        <w:rPr>
          <w:rFonts w:ascii="Arial" w:hAnsi="Arial" w:cs="Arial"/>
          <w:sz w:val="24"/>
          <w:szCs w:val="24"/>
        </w:rPr>
      </w:pPr>
      <w:r>
        <w:rPr>
          <w:rFonts w:ascii="Arial" w:hAnsi="Arial" w:cs="Arial"/>
          <w:sz w:val="24"/>
          <w:szCs w:val="24"/>
        </w:rPr>
        <w:t>[12</w:t>
      </w:r>
      <w:r w:rsidR="003223F0">
        <w:rPr>
          <w:rFonts w:ascii="Arial" w:hAnsi="Arial" w:cs="Arial"/>
          <w:sz w:val="24"/>
          <w:szCs w:val="24"/>
        </w:rPr>
        <w:t>]</w:t>
      </w:r>
      <w:r w:rsidR="003223F0">
        <w:rPr>
          <w:rFonts w:ascii="Arial" w:hAnsi="Arial" w:cs="Arial"/>
          <w:sz w:val="24"/>
          <w:szCs w:val="24"/>
        </w:rPr>
        <w:tab/>
        <w:t xml:space="preserve">I can thus </w:t>
      </w:r>
      <w:r w:rsidR="00790C18">
        <w:rPr>
          <w:rFonts w:ascii="Arial" w:hAnsi="Arial" w:cs="Arial"/>
          <w:sz w:val="24"/>
          <w:szCs w:val="24"/>
        </w:rPr>
        <w:t xml:space="preserve">cautiously </w:t>
      </w:r>
      <w:r w:rsidR="003223F0">
        <w:rPr>
          <w:rFonts w:ascii="Arial" w:hAnsi="Arial" w:cs="Arial"/>
          <w:sz w:val="24"/>
          <w:szCs w:val="24"/>
        </w:rPr>
        <w:t xml:space="preserve">interfere with the loose discretion as exercised by the Court </w:t>
      </w:r>
      <w:r w:rsidR="00790C18">
        <w:rPr>
          <w:rFonts w:ascii="Arial" w:hAnsi="Arial" w:cs="Arial"/>
          <w:i/>
          <w:sz w:val="24"/>
          <w:szCs w:val="24"/>
        </w:rPr>
        <w:t>a quo.</w:t>
      </w:r>
    </w:p>
    <w:p w:rsidR="003223F0" w:rsidRDefault="003223F0" w:rsidP="00874BEF">
      <w:pPr>
        <w:spacing w:line="360" w:lineRule="auto"/>
        <w:rPr>
          <w:rFonts w:ascii="Arial" w:hAnsi="Arial" w:cs="Arial"/>
          <w:sz w:val="24"/>
          <w:szCs w:val="24"/>
        </w:rPr>
      </w:pPr>
    </w:p>
    <w:p w:rsidR="003223F0" w:rsidRPr="003223F0" w:rsidRDefault="003223F0" w:rsidP="00874BEF">
      <w:pPr>
        <w:spacing w:line="360" w:lineRule="auto"/>
        <w:rPr>
          <w:rFonts w:ascii="Arial" w:hAnsi="Arial" w:cs="Arial"/>
          <w:sz w:val="24"/>
          <w:szCs w:val="24"/>
          <w:u w:val="single"/>
        </w:rPr>
      </w:pPr>
      <w:r>
        <w:rPr>
          <w:rFonts w:ascii="Arial" w:hAnsi="Arial" w:cs="Arial"/>
          <w:sz w:val="24"/>
          <w:szCs w:val="24"/>
        </w:rPr>
        <w:tab/>
      </w:r>
      <w:r>
        <w:rPr>
          <w:rFonts w:ascii="Arial" w:hAnsi="Arial" w:cs="Arial"/>
          <w:sz w:val="24"/>
          <w:szCs w:val="24"/>
          <w:u w:val="single"/>
        </w:rPr>
        <w:t>Procedural misdirections</w:t>
      </w:r>
    </w:p>
    <w:p w:rsidR="003223F0" w:rsidRPr="00A8466F" w:rsidRDefault="00FB44A6" w:rsidP="00FB0323">
      <w:pPr>
        <w:spacing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The</w:t>
      </w:r>
      <w:r w:rsidR="00790C18">
        <w:rPr>
          <w:rFonts w:ascii="Arial" w:hAnsi="Arial" w:cs="Arial"/>
          <w:sz w:val="24"/>
          <w:szCs w:val="24"/>
        </w:rPr>
        <w:t xml:space="preserve"> court incorrectly conflated </w:t>
      </w:r>
      <w:r w:rsidR="003223F0">
        <w:rPr>
          <w:rFonts w:ascii="Arial" w:hAnsi="Arial" w:cs="Arial"/>
          <w:sz w:val="24"/>
          <w:szCs w:val="24"/>
        </w:rPr>
        <w:t>an application for condonation and the exercising of a discretion.  The regulations do not provide for condonation for</w:t>
      </w:r>
      <w:r w:rsidR="006E01A6">
        <w:rPr>
          <w:rFonts w:ascii="Arial" w:hAnsi="Arial" w:cs="Arial"/>
          <w:sz w:val="24"/>
          <w:szCs w:val="24"/>
        </w:rPr>
        <w:t xml:space="preserve"> non-compliance with Regulation</w:t>
      </w:r>
      <w:r w:rsidR="003223F0">
        <w:rPr>
          <w:rFonts w:ascii="Arial" w:hAnsi="Arial" w:cs="Arial"/>
          <w:sz w:val="24"/>
          <w:szCs w:val="24"/>
        </w:rPr>
        <w:t xml:space="preserve"> 4(2), but that does not render a court powerless.  As the court </w:t>
      </w:r>
      <w:r w:rsidR="003223F0">
        <w:rPr>
          <w:rFonts w:ascii="Arial" w:hAnsi="Arial" w:cs="Arial"/>
          <w:i/>
          <w:sz w:val="24"/>
          <w:szCs w:val="24"/>
        </w:rPr>
        <w:t xml:space="preserve">a quo </w:t>
      </w:r>
      <w:r>
        <w:rPr>
          <w:rFonts w:ascii="Arial" w:hAnsi="Arial" w:cs="Arial"/>
          <w:sz w:val="24"/>
          <w:szCs w:val="24"/>
        </w:rPr>
        <w:t>itself remarked</w:t>
      </w:r>
      <w:r w:rsidR="003223F0">
        <w:rPr>
          <w:rFonts w:ascii="Arial" w:hAnsi="Arial" w:cs="Arial"/>
          <w:sz w:val="24"/>
          <w:szCs w:val="24"/>
        </w:rPr>
        <w:t xml:space="preserve">, the courts </w:t>
      </w:r>
      <w:r>
        <w:rPr>
          <w:rFonts w:ascii="Arial" w:hAnsi="Arial" w:cs="Arial"/>
          <w:sz w:val="24"/>
          <w:szCs w:val="24"/>
        </w:rPr>
        <w:t xml:space="preserve">regularly </w:t>
      </w:r>
      <w:r w:rsidR="00A8466F">
        <w:rPr>
          <w:rFonts w:ascii="Arial" w:hAnsi="Arial" w:cs="Arial"/>
          <w:sz w:val="24"/>
          <w:szCs w:val="24"/>
        </w:rPr>
        <w:t xml:space="preserve">exercise a discretion </w:t>
      </w:r>
      <w:r>
        <w:rPr>
          <w:rFonts w:ascii="Arial" w:hAnsi="Arial" w:cs="Arial"/>
          <w:sz w:val="24"/>
          <w:szCs w:val="24"/>
        </w:rPr>
        <w:t xml:space="preserve">to condone non-compliance </w:t>
      </w:r>
      <w:r w:rsidR="003223F0">
        <w:rPr>
          <w:rFonts w:ascii="Arial" w:hAnsi="Arial" w:cs="Arial"/>
          <w:sz w:val="24"/>
          <w:szCs w:val="24"/>
        </w:rPr>
        <w:t>if there is substantial compliance with the Regulatio</w:t>
      </w:r>
      <w:r>
        <w:rPr>
          <w:rFonts w:ascii="Arial" w:hAnsi="Arial" w:cs="Arial"/>
          <w:sz w:val="24"/>
          <w:szCs w:val="24"/>
        </w:rPr>
        <w:t>n</w:t>
      </w:r>
      <w:r w:rsidR="003223F0">
        <w:rPr>
          <w:rFonts w:ascii="Arial" w:hAnsi="Arial" w:cs="Arial"/>
          <w:sz w:val="24"/>
          <w:szCs w:val="24"/>
        </w:rPr>
        <w:t>.</w:t>
      </w:r>
      <w:r>
        <w:rPr>
          <w:rFonts w:ascii="Arial" w:hAnsi="Arial" w:cs="Arial"/>
          <w:sz w:val="24"/>
          <w:szCs w:val="24"/>
        </w:rPr>
        <w:t xml:space="preserve">  </w:t>
      </w:r>
      <w:r w:rsidR="00170F2A">
        <w:rPr>
          <w:rFonts w:ascii="Arial" w:hAnsi="Arial" w:cs="Arial"/>
          <w:sz w:val="24"/>
          <w:szCs w:val="24"/>
        </w:rPr>
        <w:t xml:space="preserve">The court </w:t>
      </w:r>
      <w:r w:rsidR="00170F2A">
        <w:rPr>
          <w:rFonts w:ascii="Arial" w:hAnsi="Arial" w:cs="Arial"/>
          <w:i/>
          <w:sz w:val="24"/>
          <w:szCs w:val="24"/>
        </w:rPr>
        <w:t xml:space="preserve">a quo </w:t>
      </w:r>
      <w:r w:rsidR="00170F2A">
        <w:rPr>
          <w:rFonts w:ascii="Arial" w:hAnsi="Arial" w:cs="Arial"/>
          <w:sz w:val="24"/>
          <w:szCs w:val="24"/>
        </w:rPr>
        <w:t xml:space="preserve">turned a blind eye to the replying affidavit and did not exercise her discretion on the facts therein.  </w:t>
      </w:r>
      <w:r>
        <w:rPr>
          <w:rFonts w:ascii="Arial" w:hAnsi="Arial" w:cs="Arial"/>
          <w:sz w:val="24"/>
          <w:szCs w:val="24"/>
        </w:rPr>
        <w:t xml:space="preserve">In applying the </w:t>
      </w:r>
      <w:r>
        <w:rPr>
          <w:rFonts w:ascii="Arial" w:hAnsi="Arial" w:cs="Arial"/>
          <w:i/>
          <w:sz w:val="24"/>
          <w:szCs w:val="24"/>
        </w:rPr>
        <w:t>Plascon-Evans</w:t>
      </w:r>
      <w:r>
        <w:rPr>
          <w:rStyle w:val="FootnoteReference"/>
          <w:rFonts w:ascii="Arial" w:hAnsi="Arial" w:cs="Arial"/>
          <w:i/>
          <w:sz w:val="24"/>
          <w:szCs w:val="24"/>
        </w:rPr>
        <w:footnoteReference w:id="3"/>
      </w:r>
      <w:r>
        <w:rPr>
          <w:rFonts w:ascii="Arial" w:hAnsi="Arial" w:cs="Arial"/>
          <w:sz w:val="24"/>
          <w:szCs w:val="24"/>
        </w:rPr>
        <w:t xml:space="preserve"> rule the court ought to have accepted the version set out in the replying affidavit.  </w:t>
      </w:r>
      <w:r w:rsidR="00170F2A">
        <w:rPr>
          <w:rFonts w:ascii="Arial" w:hAnsi="Arial" w:cs="Arial"/>
          <w:sz w:val="24"/>
          <w:szCs w:val="24"/>
        </w:rPr>
        <w:t>When that version is accepted then there is a proper affidavit complying with Regulation 4(2) before court.</w:t>
      </w:r>
      <w:r w:rsidR="00A8466F">
        <w:rPr>
          <w:rFonts w:ascii="Arial" w:hAnsi="Arial" w:cs="Arial"/>
          <w:sz w:val="24"/>
          <w:szCs w:val="24"/>
        </w:rPr>
        <w:t xml:space="preserve">  The point </w:t>
      </w:r>
      <w:r w:rsidR="00A8466F">
        <w:rPr>
          <w:rFonts w:ascii="Arial" w:hAnsi="Arial" w:cs="Arial"/>
          <w:i/>
          <w:sz w:val="24"/>
          <w:szCs w:val="24"/>
        </w:rPr>
        <w:t xml:space="preserve">in limine </w:t>
      </w:r>
      <w:r w:rsidR="00A8466F">
        <w:rPr>
          <w:rFonts w:ascii="Arial" w:hAnsi="Arial" w:cs="Arial"/>
          <w:sz w:val="24"/>
          <w:szCs w:val="24"/>
        </w:rPr>
        <w:t>had to be dismissed.</w:t>
      </w:r>
    </w:p>
    <w:p w:rsidR="003223F0" w:rsidRDefault="003223F0" w:rsidP="00874BEF">
      <w:pPr>
        <w:spacing w:line="360" w:lineRule="auto"/>
        <w:rPr>
          <w:rFonts w:ascii="Arial" w:hAnsi="Arial" w:cs="Arial"/>
          <w:sz w:val="24"/>
          <w:szCs w:val="24"/>
        </w:rPr>
      </w:pPr>
    </w:p>
    <w:p w:rsidR="003223F0" w:rsidRDefault="00FB44A6" w:rsidP="00FB0323">
      <w:pPr>
        <w:spacing w:line="360" w:lineRule="auto"/>
        <w:ind w:left="720" w:hanging="720"/>
        <w:jc w:val="both"/>
        <w:rPr>
          <w:rFonts w:ascii="Arial" w:hAnsi="Arial" w:cs="Arial"/>
          <w:sz w:val="24"/>
          <w:szCs w:val="24"/>
        </w:rPr>
      </w:pPr>
      <w:r>
        <w:rPr>
          <w:rFonts w:ascii="Arial" w:hAnsi="Arial" w:cs="Arial"/>
          <w:sz w:val="24"/>
          <w:szCs w:val="24"/>
        </w:rPr>
        <w:lastRenderedPageBreak/>
        <w:t>[14</w:t>
      </w:r>
      <w:r w:rsidR="003223F0">
        <w:rPr>
          <w:rFonts w:ascii="Arial" w:hAnsi="Arial" w:cs="Arial"/>
          <w:sz w:val="24"/>
          <w:szCs w:val="24"/>
        </w:rPr>
        <w:t>]</w:t>
      </w:r>
      <w:r w:rsidR="00FB0323">
        <w:rPr>
          <w:rFonts w:ascii="Arial" w:hAnsi="Arial" w:cs="Arial"/>
          <w:sz w:val="24"/>
          <w:szCs w:val="24"/>
        </w:rPr>
        <w:tab/>
        <w:t>The further procedural misdire</w:t>
      </w:r>
      <w:r>
        <w:rPr>
          <w:rFonts w:ascii="Arial" w:hAnsi="Arial" w:cs="Arial"/>
          <w:sz w:val="24"/>
          <w:szCs w:val="24"/>
        </w:rPr>
        <w:t xml:space="preserve">ction was that the </w:t>
      </w:r>
      <w:r w:rsidR="00FB0323">
        <w:rPr>
          <w:rFonts w:ascii="Arial" w:hAnsi="Arial" w:cs="Arial"/>
          <w:sz w:val="24"/>
          <w:szCs w:val="24"/>
        </w:rPr>
        <w:t xml:space="preserve">replying affidavit did not </w:t>
      </w:r>
      <w:r>
        <w:rPr>
          <w:rFonts w:ascii="Arial" w:hAnsi="Arial" w:cs="Arial"/>
          <w:sz w:val="24"/>
          <w:szCs w:val="24"/>
        </w:rPr>
        <w:t xml:space="preserve">cure the defects in </w:t>
      </w:r>
      <w:r w:rsidR="00FB0323">
        <w:rPr>
          <w:rFonts w:ascii="Arial" w:hAnsi="Arial" w:cs="Arial"/>
          <w:sz w:val="24"/>
          <w:szCs w:val="24"/>
        </w:rPr>
        <w:t>the founding affidavit, but that in its stead a corrected founding affidavit should have been handed up at court.</w:t>
      </w:r>
    </w:p>
    <w:p w:rsidR="00FB0323" w:rsidRDefault="00FB0323" w:rsidP="00FB0323">
      <w:pPr>
        <w:spacing w:line="360" w:lineRule="auto"/>
        <w:ind w:left="720" w:hanging="720"/>
        <w:jc w:val="both"/>
        <w:rPr>
          <w:rFonts w:ascii="Arial" w:hAnsi="Arial" w:cs="Arial"/>
          <w:sz w:val="24"/>
          <w:szCs w:val="24"/>
        </w:rPr>
      </w:pPr>
    </w:p>
    <w:p w:rsidR="00FB0323" w:rsidRPr="00FB0323" w:rsidRDefault="00874FAA" w:rsidP="00FB0323">
      <w:pPr>
        <w:spacing w:line="360" w:lineRule="auto"/>
        <w:ind w:left="720" w:hanging="720"/>
        <w:jc w:val="both"/>
        <w:rPr>
          <w:rFonts w:ascii="Arial" w:hAnsi="Arial" w:cs="Arial"/>
          <w:sz w:val="24"/>
          <w:szCs w:val="24"/>
        </w:rPr>
      </w:pPr>
      <w:r>
        <w:rPr>
          <w:rFonts w:ascii="Arial" w:hAnsi="Arial" w:cs="Arial"/>
          <w:sz w:val="24"/>
          <w:szCs w:val="24"/>
        </w:rPr>
        <w:t>[15</w:t>
      </w:r>
      <w:r w:rsidR="00FB0323">
        <w:rPr>
          <w:rFonts w:ascii="Arial" w:hAnsi="Arial" w:cs="Arial"/>
          <w:sz w:val="24"/>
          <w:szCs w:val="24"/>
        </w:rPr>
        <w:t>]</w:t>
      </w:r>
      <w:r w:rsidR="00FB0323">
        <w:rPr>
          <w:rFonts w:ascii="Arial" w:hAnsi="Arial" w:cs="Arial"/>
          <w:sz w:val="24"/>
          <w:szCs w:val="24"/>
        </w:rPr>
        <w:tab/>
        <w:t xml:space="preserve"> A reply to the point </w:t>
      </w:r>
      <w:r w:rsidR="00FB0323">
        <w:rPr>
          <w:rFonts w:ascii="Arial" w:hAnsi="Arial" w:cs="Arial"/>
          <w:i/>
          <w:sz w:val="24"/>
          <w:szCs w:val="24"/>
        </w:rPr>
        <w:t xml:space="preserve">in limine </w:t>
      </w:r>
      <w:r w:rsidR="00D43EB9">
        <w:rPr>
          <w:rFonts w:ascii="Arial" w:hAnsi="Arial" w:cs="Arial"/>
          <w:sz w:val="24"/>
          <w:szCs w:val="24"/>
        </w:rPr>
        <w:t xml:space="preserve">did not constitute new facts; </w:t>
      </w:r>
      <w:r w:rsidR="006E01A6">
        <w:rPr>
          <w:rFonts w:ascii="Arial" w:hAnsi="Arial" w:cs="Arial"/>
          <w:sz w:val="24"/>
          <w:szCs w:val="24"/>
        </w:rPr>
        <w:t xml:space="preserve">a </w:t>
      </w:r>
      <w:r w:rsidR="00FB0323">
        <w:rPr>
          <w:rFonts w:ascii="Arial" w:hAnsi="Arial" w:cs="Arial"/>
          <w:sz w:val="24"/>
          <w:szCs w:val="24"/>
        </w:rPr>
        <w:t>person sig</w:t>
      </w:r>
      <w:r w:rsidR="0077760D">
        <w:rPr>
          <w:rFonts w:ascii="Arial" w:hAnsi="Arial" w:cs="Arial"/>
          <w:sz w:val="24"/>
          <w:szCs w:val="24"/>
        </w:rPr>
        <w:t>ned as Commissioner of Oaths. Insofar as t</w:t>
      </w:r>
      <w:r w:rsidR="00FB0323">
        <w:rPr>
          <w:rFonts w:ascii="Arial" w:hAnsi="Arial" w:cs="Arial"/>
          <w:sz w:val="24"/>
          <w:szCs w:val="24"/>
        </w:rPr>
        <w:t>his signature is placed in dispute as not reflecting who’s signatu</w:t>
      </w:r>
      <w:r>
        <w:rPr>
          <w:rFonts w:ascii="Arial" w:hAnsi="Arial" w:cs="Arial"/>
          <w:sz w:val="24"/>
          <w:szCs w:val="24"/>
        </w:rPr>
        <w:t>re it is, the reply answers thereto</w:t>
      </w:r>
      <w:r w:rsidR="00FB0323">
        <w:rPr>
          <w:rFonts w:ascii="Arial" w:hAnsi="Arial" w:cs="Arial"/>
          <w:sz w:val="24"/>
          <w:szCs w:val="24"/>
        </w:rPr>
        <w:t>.  With no bar to acce</w:t>
      </w:r>
      <w:r w:rsidR="004C499D">
        <w:rPr>
          <w:rFonts w:ascii="Arial" w:hAnsi="Arial" w:cs="Arial"/>
          <w:sz w:val="24"/>
          <w:szCs w:val="24"/>
        </w:rPr>
        <w:t xml:space="preserve">pting this evidence, the court was obligated in terms of the </w:t>
      </w:r>
      <w:r w:rsidR="00FB0323">
        <w:rPr>
          <w:rFonts w:ascii="Arial" w:hAnsi="Arial" w:cs="Arial"/>
          <w:i/>
          <w:sz w:val="24"/>
          <w:szCs w:val="24"/>
        </w:rPr>
        <w:t xml:space="preserve">Plascon-Evans </w:t>
      </w:r>
      <w:r w:rsidR="004C499D">
        <w:rPr>
          <w:rFonts w:ascii="Arial" w:hAnsi="Arial" w:cs="Arial"/>
          <w:sz w:val="24"/>
          <w:szCs w:val="24"/>
        </w:rPr>
        <w:t>rule</w:t>
      </w:r>
      <w:r w:rsidR="00FB0323">
        <w:rPr>
          <w:rFonts w:ascii="Arial" w:hAnsi="Arial" w:cs="Arial"/>
          <w:sz w:val="24"/>
          <w:szCs w:val="24"/>
        </w:rPr>
        <w:t xml:space="preserve"> to accept this evidence.  If this evidence is to be accepted the court must be satisfied as to who the Commissioner of Oaths was, his designation and that the deponent took the oath before him.  If that is so, then the initial non-compliance with Regulation 4(2) has to be condoned.  The court </w:t>
      </w:r>
      <w:r w:rsidR="00FB0323">
        <w:rPr>
          <w:rFonts w:ascii="Arial" w:hAnsi="Arial" w:cs="Arial"/>
          <w:i/>
          <w:sz w:val="24"/>
          <w:szCs w:val="24"/>
        </w:rPr>
        <w:t xml:space="preserve">a quo </w:t>
      </w:r>
      <w:r w:rsidR="00FB0323">
        <w:rPr>
          <w:rFonts w:ascii="Arial" w:hAnsi="Arial" w:cs="Arial"/>
          <w:sz w:val="24"/>
          <w:szCs w:val="24"/>
        </w:rPr>
        <w:t>mate</w:t>
      </w:r>
      <w:r w:rsidR="004C499D">
        <w:rPr>
          <w:rFonts w:ascii="Arial" w:hAnsi="Arial" w:cs="Arial"/>
          <w:sz w:val="24"/>
          <w:szCs w:val="24"/>
        </w:rPr>
        <w:t xml:space="preserve">rially misdirected itself in </w:t>
      </w:r>
      <w:r w:rsidR="00FB0323">
        <w:rPr>
          <w:rFonts w:ascii="Arial" w:hAnsi="Arial" w:cs="Arial"/>
          <w:sz w:val="24"/>
          <w:szCs w:val="24"/>
        </w:rPr>
        <w:t>upholding the point.</w:t>
      </w:r>
    </w:p>
    <w:p w:rsidR="00FB0323" w:rsidRDefault="00FB0323" w:rsidP="00FB0323">
      <w:pPr>
        <w:spacing w:line="360" w:lineRule="auto"/>
        <w:ind w:left="720" w:hanging="720"/>
        <w:jc w:val="both"/>
        <w:rPr>
          <w:rFonts w:ascii="Arial" w:hAnsi="Arial" w:cs="Arial"/>
          <w:sz w:val="24"/>
          <w:szCs w:val="24"/>
        </w:rPr>
      </w:pPr>
    </w:p>
    <w:p w:rsidR="00FB0323" w:rsidRDefault="004C499D" w:rsidP="00FB0323">
      <w:pPr>
        <w:spacing w:line="360" w:lineRule="auto"/>
        <w:ind w:left="720" w:hanging="720"/>
        <w:jc w:val="both"/>
        <w:rPr>
          <w:rFonts w:ascii="Arial" w:hAnsi="Arial" w:cs="Arial"/>
          <w:sz w:val="24"/>
          <w:szCs w:val="24"/>
        </w:rPr>
      </w:pPr>
      <w:r>
        <w:rPr>
          <w:rFonts w:ascii="Arial" w:hAnsi="Arial" w:cs="Arial"/>
          <w:sz w:val="24"/>
          <w:szCs w:val="24"/>
        </w:rPr>
        <w:t>[16</w:t>
      </w:r>
      <w:r w:rsidR="00FB0323">
        <w:rPr>
          <w:rFonts w:ascii="Arial" w:hAnsi="Arial" w:cs="Arial"/>
          <w:sz w:val="24"/>
          <w:szCs w:val="24"/>
        </w:rPr>
        <w:t>]</w:t>
      </w:r>
      <w:r w:rsidR="00FB0323">
        <w:rPr>
          <w:rFonts w:ascii="Arial" w:hAnsi="Arial" w:cs="Arial"/>
          <w:sz w:val="24"/>
          <w:szCs w:val="24"/>
        </w:rPr>
        <w:tab/>
        <w:t xml:space="preserve">It must be remarked, that handing up a founding affidavit at the hearing does not </w:t>
      </w:r>
      <w:r w:rsidR="00FB0323">
        <w:rPr>
          <w:rFonts w:ascii="Arial" w:hAnsi="Arial" w:cs="Arial"/>
          <w:i/>
          <w:sz w:val="24"/>
          <w:szCs w:val="24"/>
        </w:rPr>
        <w:t xml:space="preserve">ipso facto </w:t>
      </w:r>
      <w:r w:rsidR="00FB0323">
        <w:rPr>
          <w:rFonts w:ascii="Arial" w:hAnsi="Arial" w:cs="Arial"/>
          <w:sz w:val="24"/>
          <w:szCs w:val="24"/>
        </w:rPr>
        <w:t xml:space="preserve">cure the deficiency in </w:t>
      </w:r>
      <w:r>
        <w:rPr>
          <w:rFonts w:ascii="Arial" w:hAnsi="Arial" w:cs="Arial"/>
          <w:sz w:val="24"/>
          <w:szCs w:val="24"/>
        </w:rPr>
        <w:t xml:space="preserve">the original founding affidavit, </w:t>
      </w:r>
      <w:r w:rsidR="00FB0323">
        <w:rPr>
          <w:rFonts w:ascii="Arial" w:hAnsi="Arial" w:cs="Arial"/>
          <w:sz w:val="24"/>
          <w:szCs w:val="24"/>
        </w:rPr>
        <w:t xml:space="preserve">destroying the point </w:t>
      </w:r>
      <w:r w:rsidR="00FB0323">
        <w:rPr>
          <w:rFonts w:ascii="Arial" w:hAnsi="Arial" w:cs="Arial"/>
          <w:i/>
          <w:sz w:val="24"/>
          <w:szCs w:val="24"/>
        </w:rPr>
        <w:t xml:space="preserve">in limine.  </w:t>
      </w:r>
      <w:r w:rsidR="00FB0323">
        <w:rPr>
          <w:rFonts w:ascii="Arial" w:hAnsi="Arial" w:cs="Arial"/>
          <w:sz w:val="24"/>
          <w:szCs w:val="24"/>
        </w:rPr>
        <w:t>The respondents can still argue that they are ambushed with a new affidavit that was not previously before court.  It can lead to exa</w:t>
      </w:r>
      <w:r w:rsidR="00DD7601">
        <w:rPr>
          <w:rFonts w:ascii="Arial" w:hAnsi="Arial" w:cs="Arial"/>
          <w:sz w:val="24"/>
          <w:szCs w:val="24"/>
        </w:rPr>
        <w:t>ctly the same argument requiring</w:t>
      </w:r>
      <w:r w:rsidR="00FB0323">
        <w:rPr>
          <w:rFonts w:ascii="Arial" w:hAnsi="Arial" w:cs="Arial"/>
          <w:sz w:val="24"/>
          <w:szCs w:val="24"/>
        </w:rPr>
        <w:t xml:space="preserve"> the court to exercise a discretion.  Either option is thus open to a party to cure the deficiency in an affidavit.  A party</w:t>
      </w:r>
      <w:r>
        <w:rPr>
          <w:rFonts w:ascii="Arial" w:hAnsi="Arial" w:cs="Arial"/>
          <w:sz w:val="24"/>
          <w:szCs w:val="24"/>
        </w:rPr>
        <w:t xml:space="preserve"> can also, with the leave of court</w:t>
      </w:r>
      <w:r w:rsidR="00FB0323">
        <w:rPr>
          <w:rFonts w:ascii="Arial" w:hAnsi="Arial" w:cs="Arial"/>
          <w:sz w:val="24"/>
          <w:szCs w:val="24"/>
        </w:rPr>
        <w:t xml:space="preserve">, opt to call a witness to cure the deficiency.  </w:t>
      </w:r>
    </w:p>
    <w:p w:rsidR="00FB0323" w:rsidRDefault="00FB0323" w:rsidP="00FB0323">
      <w:pPr>
        <w:spacing w:line="360" w:lineRule="auto"/>
        <w:ind w:left="720" w:hanging="720"/>
        <w:jc w:val="both"/>
        <w:rPr>
          <w:rFonts w:ascii="Arial" w:hAnsi="Arial" w:cs="Arial"/>
          <w:sz w:val="24"/>
          <w:szCs w:val="24"/>
        </w:rPr>
      </w:pPr>
    </w:p>
    <w:p w:rsidR="00FB0323" w:rsidRPr="00FB0323" w:rsidRDefault="00FB0323" w:rsidP="00FB0323">
      <w:pPr>
        <w:spacing w:line="360" w:lineRule="auto"/>
        <w:ind w:left="720" w:hanging="720"/>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Substantive misdirection</w:t>
      </w:r>
    </w:p>
    <w:p w:rsidR="00FB0323" w:rsidRDefault="004C499D" w:rsidP="004C499D">
      <w:pPr>
        <w:spacing w:line="360" w:lineRule="auto"/>
        <w:ind w:left="720" w:hanging="720"/>
        <w:jc w:val="both"/>
        <w:rPr>
          <w:rFonts w:ascii="Arial" w:hAnsi="Arial" w:cs="Arial"/>
          <w:sz w:val="24"/>
          <w:szCs w:val="24"/>
        </w:rPr>
      </w:pPr>
      <w:r>
        <w:rPr>
          <w:rFonts w:ascii="Arial" w:hAnsi="Arial" w:cs="Arial"/>
          <w:sz w:val="24"/>
          <w:szCs w:val="24"/>
        </w:rPr>
        <w:t>[17</w:t>
      </w:r>
      <w:r w:rsidR="00FB0323">
        <w:rPr>
          <w:rFonts w:ascii="Arial" w:hAnsi="Arial" w:cs="Arial"/>
          <w:sz w:val="24"/>
          <w:szCs w:val="24"/>
        </w:rPr>
        <w:t xml:space="preserve">] </w:t>
      </w:r>
      <w:r w:rsidR="00FB0323">
        <w:rPr>
          <w:rFonts w:ascii="Arial" w:hAnsi="Arial" w:cs="Arial"/>
          <w:sz w:val="24"/>
          <w:szCs w:val="24"/>
        </w:rPr>
        <w:tab/>
        <w:t xml:space="preserve">A court must be satisfied that a document had been sworn </w:t>
      </w:r>
      <w:r>
        <w:rPr>
          <w:rFonts w:ascii="Arial" w:hAnsi="Arial" w:cs="Arial"/>
          <w:sz w:val="24"/>
          <w:szCs w:val="24"/>
        </w:rPr>
        <w:t xml:space="preserve">or attested </w:t>
      </w:r>
      <w:r w:rsidR="00FB0323">
        <w:rPr>
          <w:rFonts w:ascii="Arial" w:hAnsi="Arial" w:cs="Arial"/>
          <w:sz w:val="24"/>
          <w:szCs w:val="24"/>
        </w:rPr>
        <w:t>to and signed in the presence of a Commissioner of Oaths.  The Commissioner of Oaths must be an independent person that could not have influenced the deponent.</w:t>
      </w:r>
      <w:r>
        <w:rPr>
          <w:rFonts w:ascii="Arial" w:hAnsi="Arial" w:cs="Arial"/>
          <w:sz w:val="24"/>
          <w:szCs w:val="24"/>
        </w:rPr>
        <w:t xml:space="preserve">  </w:t>
      </w:r>
      <w:r w:rsidR="00FB0323">
        <w:rPr>
          <w:rFonts w:ascii="Arial" w:hAnsi="Arial" w:cs="Arial"/>
          <w:sz w:val="24"/>
          <w:szCs w:val="24"/>
        </w:rPr>
        <w:t xml:space="preserve">As far back as 1979 Roper J in </w:t>
      </w:r>
      <w:r w:rsidR="006E01A6">
        <w:rPr>
          <w:rFonts w:ascii="Arial" w:hAnsi="Arial" w:cs="Arial"/>
          <w:i/>
          <w:sz w:val="24"/>
          <w:szCs w:val="24"/>
        </w:rPr>
        <w:t>Abromowitz v Jacquet</w:t>
      </w:r>
      <w:r w:rsidR="00FB0323">
        <w:rPr>
          <w:rFonts w:ascii="Arial" w:hAnsi="Arial" w:cs="Arial"/>
          <w:i/>
          <w:sz w:val="24"/>
          <w:szCs w:val="24"/>
        </w:rPr>
        <w:t xml:space="preserve"> and Another</w:t>
      </w:r>
      <w:r w:rsidR="00FB0323">
        <w:rPr>
          <w:rStyle w:val="FootnoteReference"/>
          <w:rFonts w:ascii="Arial" w:hAnsi="Arial" w:cs="Arial"/>
          <w:i/>
          <w:sz w:val="24"/>
          <w:szCs w:val="24"/>
        </w:rPr>
        <w:footnoteReference w:id="4"/>
      </w:r>
      <w:r w:rsidR="00FB0323">
        <w:rPr>
          <w:rFonts w:ascii="Arial" w:hAnsi="Arial" w:cs="Arial"/>
          <w:i/>
          <w:sz w:val="24"/>
          <w:szCs w:val="24"/>
        </w:rPr>
        <w:t xml:space="preserve"> </w:t>
      </w:r>
      <w:r>
        <w:rPr>
          <w:rFonts w:ascii="Arial" w:hAnsi="Arial" w:cs="Arial"/>
          <w:sz w:val="24"/>
          <w:szCs w:val="24"/>
        </w:rPr>
        <w:t xml:space="preserve">in the WLD it was </w:t>
      </w:r>
      <w:r w:rsidR="00FB0323">
        <w:rPr>
          <w:rFonts w:ascii="Arial" w:hAnsi="Arial" w:cs="Arial"/>
          <w:sz w:val="24"/>
          <w:szCs w:val="24"/>
        </w:rPr>
        <w:t>found that</w:t>
      </w:r>
      <w:r w:rsidR="009B3E4E">
        <w:rPr>
          <w:rFonts w:ascii="Arial" w:hAnsi="Arial" w:cs="Arial"/>
          <w:sz w:val="24"/>
          <w:szCs w:val="24"/>
        </w:rPr>
        <w:t>:</w:t>
      </w:r>
    </w:p>
    <w:p w:rsidR="009B3E4E" w:rsidRDefault="009B3E4E" w:rsidP="009B3E4E">
      <w:pPr>
        <w:spacing w:line="360" w:lineRule="auto"/>
        <w:ind w:left="1440"/>
        <w:jc w:val="both"/>
        <w:rPr>
          <w:rFonts w:ascii="Arial" w:hAnsi="Arial" w:cs="Arial"/>
          <w:i/>
          <w:sz w:val="24"/>
          <w:szCs w:val="24"/>
        </w:rPr>
      </w:pPr>
      <w:r w:rsidRPr="009B3E4E">
        <w:rPr>
          <w:rFonts w:ascii="Arial" w:hAnsi="Arial" w:cs="Arial"/>
          <w:i/>
          <w:sz w:val="24"/>
          <w:szCs w:val="24"/>
        </w:rPr>
        <w:lastRenderedPageBreak/>
        <w:t>“I do not think, however, that it could be contended that the proper course, where an affidavit is imperfectly attested, is to reject it and proceed with the case as if no affidavit had been made, and without giving the party who tendered the affidavit an opportunity of putting the information contained in it before the Court in a regular manner.”</w:t>
      </w:r>
    </w:p>
    <w:p w:rsidR="006E01A6" w:rsidRPr="009B3E4E" w:rsidRDefault="006E01A6" w:rsidP="009B3E4E">
      <w:pPr>
        <w:spacing w:line="360" w:lineRule="auto"/>
        <w:ind w:left="1440"/>
        <w:jc w:val="both"/>
        <w:rPr>
          <w:rFonts w:ascii="Arial" w:hAnsi="Arial" w:cs="Arial"/>
          <w:i/>
          <w:sz w:val="24"/>
          <w:szCs w:val="24"/>
        </w:rPr>
      </w:pPr>
    </w:p>
    <w:p w:rsidR="009B3E4E" w:rsidRDefault="004C499D" w:rsidP="006E01A6">
      <w:pPr>
        <w:spacing w:line="360" w:lineRule="auto"/>
        <w:ind w:left="720" w:hanging="720"/>
        <w:jc w:val="both"/>
        <w:rPr>
          <w:rFonts w:ascii="Arial" w:hAnsi="Arial" w:cs="Arial"/>
          <w:sz w:val="24"/>
          <w:szCs w:val="24"/>
        </w:rPr>
      </w:pPr>
      <w:r>
        <w:rPr>
          <w:rFonts w:ascii="Arial" w:hAnsi="Arial" w:cs="Arial"/>
          <w:sz w:val="24"/>
          <w:szCs w:val="24"/>
        </w:rPr>
        <w:t>[18</w:t>
      </w:r>
      <w:r w:rsidR="009B3E4E">
        <w:rPr>
          <w:rFonts w:ascii="Arial" w:hAnsi="Arial" w:cs="Arial"/>
          <w:sz w:val="24"/>
          <w:szCs w:val="24"/>
        </w:rPr>
        <w:t>]</w:t>
      </w:r>
      <w:r w:rsidR="009B3E4E">
        <w:rPr>
          <w:rFonts w:ascii="Arial" w:hAnsi="Arial" w:cs="Arial"/>
          <w:sz w:val="24"/>
          <w:szCs w:val="24"/>
        </w:rPr>
        <w:tab/>
        <w:t xml:space="preserve">In </w:t>
      </w:r>
      <w:r w:rsidR="009B3E4E">
        <w:rPr>
          <w:rFonts w:ascii="Arial" w:hAnsi="Arial" w:cs="Arial"/>
          <w:i/>
          <w:sz w:val="24"/>
          <w:szCs w:val="24"/>
        </w:rPr>
        <w:t>Lohrman v Vaal Ontwikkeling</w:t>
      </w:r>
      <w:r w:rsidR="006E01A6">
        <w:rPr>
          <w:rFonts w:ascii="Arial" w:hAnsi="Arial" w:cs="Arial"/>
          <w:i/>
          <w:sz w:val="24"/>
          <w:szCs w:val="24"/>
        </w:rPr>
        <w:t>smaatskappy (Edms) Bpk</w:t>
      </w:r>
      <w:r w:rsidR="009B3E4E">
        <w:rPr>
          <w:rStyle w:val="FootnoteReference"/>
          <w:rFonts w:ascii="Arial" w:hAnsi="Arial" w:cs="Arial"/>
          <w:i/>
          <w:sz w:val="24"/>
          <w:szCs w:val="24"/>
        </w:rPr>
        <w:footnoteReference w:id="5"/>
      </w:r>
      <w:r w:rsidR="009B3E4E">
        <w:rPr>
          <w:rFonts w:ascii="Arial" w:hAnsi="Arial" w:cs="Arial"/>
          <w:i/>
          <w:sz w:val="24"/>
          <w:szCs w:val="24"/>
        </w:rPr>
        <w:t xml:space="preserve"> </w:t>
      </w:r>
      <w:r w:rsidR="009B3E4E">
        <w:rPr>
          <w:rFonts w:ascii="Arial" w:hAnsi="Arial" w:cs="Arial"/>
          <w:sz w:val="24"/>
          <w:szCs w:val="24"/>
        </w:rPr>
        <w:t>a Full Court of this Division found that:</w:t>
      </w:r>
    </w:p>
    <w:p w:rsidR="009B3E4E" w:rsidRDefault="009B3E4E" w:rsidP="009B3E4E">
      <w:pPr>
        <w:spacing w:line="360" w:lineRule="auto"/>
        <w:ind w:left="1440"/>
        <w:jc w:val="both"/>
        <w:rPr>
          <w:rFonts w:ascii="Arial" w:hAnsi="Arial" w:cs="Arial"/>
          <w:i/>
          <w:sz w:val="24"/>
          <w:szCs w:val="24"/>
        </w:rPr>
      </w:pPr>
      <w:r w:rsidRPr="009B3E4E">
        <w:rPr>
          <w:rFonts w:ascii="Arial" w:hAnsi="Arial" w:cs="Arial"/>
          <w:i/>
          <w:sz w:val="24"/>
          <w:szCs w:val="24"/>
        </w:rPr>
        <w:t>“Even, however, if this approach be insufficiently formalistic, it nevertheless seems to be that the documents in question is an affidavit.  It is now settled (at least in the Transvaal) that the requirements as contained in regs 1, 2, 3 and 4 are not p</w:t>
      </w:r>
      <w:r w:rsidR="00F20947">
        <w:rPr>
          <w:rFonts w:ascii="Arial" w:hAnsi="Arial" w:cs="Arial"/>
          <w:i/>
          <w:sz w:val="24"/>
          <w:szCs w:val="24"/>
        </w:rPr>
        <w:t>eremptory but merely directory;</w:t>
      </w:r>
      <w:r w:rsidRPr="009B3E4E">
        <w:rPr>
          <w:rFonts w:ascii="Arial" w:hAnsi="Arial" w:cs="Arial"/>
          <w:i/>
          <w:sz w:val="24"/>
          <w:szCs w:val="24"/>
        </w:rPr>
        <w:t xml:space="preserve"> the Court has a discretion to refuse</w:t>
      </w:r>
      <w:r w:rsidR="006E01A6">
        <w:rPr>
          <w:rFonts w:ascii="Arial" w:hAnsi="Arial" w:cs="Arial"/>
          <w:i/>
          <w:sz w:val="24"/>
          <w:szCs w:val="24"/>
        </w:rPr>
        <w:t xml:space="preserve"> to receive an affidavit atteste</w:t>
      </w:r>
      <w:r w:rsidRPr="009B3E4E">
        <w:rPr>
          <w:rFonts w:ascii="Arial" w:hAnsi="Arial" w:cs="Arial"/>
          <w:i/>
          <w:sz w:val="24"/>
          <w:szCs w:val="24"/>
        </w:rPr>
        <w:t>d otherwise than in accordance with the regulations depending upon whether substantial comp</w:t>
      </w:r>
      <w:r w:rsidR="006E01A6">
        <w:rPr>
          <w:rFonts w:ascii="Arial" w:hAnsi="Arial" w:cs="Arial"/>
          <w:i/>
          <w:sz w:val="24"/>
          <w:szCs w:val="24"/>
        </w:rPr>
        <w:t>liance with them has been proved</w:t>
      </w:r>
      <w:r w:rsidRPr="009B3E4E">
        <w:rPr>
          <w:rFonts w:ascii="Arial" w:hAnsi="Arial" w:cs="Arial"/>
          <w:i/>
          <w:sz w:val="24"/>
          <w:szCs w:val="24"/>
        </w:rPr>
        <w:t xml:space="preserve"> or not.”</w:t>
      </w:r>
    </w:p>
    <w:p w:rsidR="009B3E4E" w:rsidRDefault="009B3E4E" w:rsidP="009B3E4E">
      <w:pPr>
        <w:spacing w:line="360" w:lineRule="auto"/>
        <w:ind w:left="1440"/>
        <w:jc w:val="both"/>
        <w:rPr>
          <w:rFonts w:ascii="Arial" w:hAnsi="Arial" w:cs="Arial"/>
          <w:i/>
          <w:sz w:val="24"/>
          <w:szCs w:val="24"/>
        </w:rPr>
      </w:pPr>
    </w:p>
    <w:p w:rsidR="009B3E4E" w:rsidRPr="00650142" w:rsidRDefault="004C499D" w:rsidP="009B3E4E">
      <w:pPr>
        <w:spacing w:line="360" w:lineRule="auto"/>
        <w:ind w:left="720" w:hanging="720"/>
        <w:jc w:val="both"/>
        <w:rPr>
          <w:rFonts w:ascii="Arial" w:hAnsi="Arial" w:cs="Arial"/>
          <w:sz w:val="24"/>
          <w:szCs w:val="24"/>
        </w:rPr>
      </w:pPr>
      <w:r>
        <w:rPr>
          <w:rFonts w:ascii="Arial" w:hAnsi="Arial" w:cs="Arial"/>
          <w:sz w:val="24"/>
          <w:szCs w:val="24"/>
        </w:rPr>
        <w:t>[19</w:t>
      </w:r>
      <w:r w:rsidR="009B3E4E">
        <w:rPr>
          <w:rFonts w:ascii="Arial" w:hAnsi="Arial" w:cs="Arial"/>
          <w:sz w:val="24"/>
          <w:szCs w:val="24"/>
        </w:rPr>
        <w:t>]</w:t>
      </w:r>
      <w:r w:rsidR="009B3E4E">
        <w:rPr>
          <w:rFonts w:ascii="Arial" w:hAnsi="Arial" w:cs="Arial"/>
          <w:sz w:val="24"/>
          <w:szCs w:val="24"/>
        </w:rPr>
        <w:tab/>
        <w:t xml:space="preserve">The court </w:t>
      </w:r>
      <w:r>
        <w:rPr>
          <w:rFonts w:ascii="Arial" w:hAnsi="Arial" w:cs="Arial"/>
          <w:i/>
          <w:sz w:val="24"/>
          <w:szCs w:val="24"/>
        </w:rPr>
        <w:t xml:space="preserve">a quo </w:t>
      </w:r>
      <w:r>
        <w:rPr>
          <w:rFonts w:ascii="Arial" w:hAnsi="Arial" w:cs="Arial"/>
          <w:sz w:val="24"/>
          <w:szCs w:val="24"/>
        </w:rPr>
        <w:t xml:space="preserve">referred to this Full Court finding, but </w:t>
      </w:r>
      <w:r w:rsidR="009B3E4E">
        <w:rPr>
          <w:rFonts w:ascii="Arial" w:hAnsi="Arial" w:cs="Arial"/>
          <w:sz w:val="24"/>
          <w:szCs w:val="24"/>
        </w:rPr>
        <w:t xml:space="preserve">found that </w:t>
      </w:r>
      <w:r w:rsidR="009B3E4E" w:rsidRPr="009B3E4E">
        <w:rPr>
          <w:rFonts w:ascii="Arial" w:hAnsi="Arial" w:cs="Arial"/>
          <w:i/>
          <w:sz w:val="24"/>
          <w:szCs w:val="24"/>
        </w:rPr>
        <w:t>“compliance is thus key</w:t>
      </w:r>
      <w:r>
        <w:rPr>
          <w:rFonts w:ascii="Arial" w:hAnsi="Arial" w:cs="Arial"/>
          <w:i/>
          <w:sz w:val="24"/>
          <w:szCs w:val="24"/>
        </w:rPr>
        <w:t>.</w:t>
      </w:r>
      <w:r w:rsidR="009B3E4E" w:rsidRPr="009B3E4E">
        <w:rPr>
          <w:rFonts w:ascii="Arial" w:hAnsi="Arial" w:cs="Arial"/>
          <w:i/>
          <w:sz w:val="24"/>
          <w:szCs w:val="24"/>
        </w:rPr>
        <w:t>”</w:t>
      </w:r>
      <w:r>
        <w:rPr>
          <w:rFonts w:ascii="Arial" w:hAnsi="Arial" w:cs="Arial"/>
          <w:sz w:val="24"/>
          <w:szCs w:val="24"/>
        </w:rPr>
        <w:t xml:space="preserve">  She ignored the trite principle of </w:t>
      </w:r>
      <w:r>
        <w:rPr>
          <w:rFonts w:ascii="Arial" w:hAnsi="Arial" w:cs="Arial"/>
          <w:i/>
          <w:sz w:val="24"/>
          <w:szCs w:val="24"/>
        </w:rPr>
        <w:t xml:space="preserve">stare decisis </w:t>
      </w:r>
      <w:r>
        <w:rPr>
          <w:rFonts w:ascii="Arial" w:hAnsi="Arial" w:cs="Arial"/>
          <w:sz w:val="24"/>
          <w:szCs w:val="24"/>
        </w:rPr>
        <w:t>in not exercising</w:t>
      </w:r>
      <w:r w:rsidR="00A8466F">
        <w:rPr>
          <w:rFonts w:ascii="Arial" w:hAnsi="Arial" w:cs="Arial"/>
          <w:sz w:val="24"/>
          <w:szCs w:val="24"/>
        </w:rPr>
        <w:t xml:space="preserve"> her discretion</w:t>
      </w:r>
      <w:r>
        <w:rPr>
          <w:rFonts w:ascii="Arial" w:hAnsi="Arial" w:cs="Arial"/>
          <w:sz w:val="24"/>
          <w:szCs w:val="24"/>
        </w:rPr>
        <w:t xml:space="preserve"> on all the facts placed before her.  </w:t>
      </w:r>
      <w:r w:rsidR="009B3E4E">
        <w:rPr>
          <w:rFonts w:ascii="Arial" w:hAnsi="Arial" w:cs="Arial"/>
          <w:sz w:val="24"/>
          <w:szCs w:val="24"/>
        </w:rPr>
        <w:t xml:space="preserve">The content </w:t>
      </w:r>
      <w:r w:rsidR="00650142">
        <w:rPr>
          <w:rFonts w:ascii="Arial" w:hAnsi="Arial" w:cs="Arial"/>
          <w:sz w:val="24"/>
          <w:szCs w:val="24"/>
        </w:rPr>
        <w:t xml:space="preserve">of the replying affidavit was </w:t>
      </w:r>
      <w:r>
        <w:rPr>
          <w:rFonts w:ascii="Arial" w:hAnsi="Arial" w:cs="Arial"/>
          <w:sz w:val="24"/>
          <w:szCs w:val="24"/>
        </w:rPr>
        <w:t xml:space="preserve">either </w:t>
      </w:r>
      <w:r w:rsidR="00650142">
        <w:rPr>
          <w:rFonts w:ascii="Arial" w:hAnsi="Arial" w:cs="Arial"/>
          <w:sz w:val="24"/>
          <w:szCs w:val="24"/>
        </w:rPr>
        <w:t>ignored</w:t>
      </w:r>
      <w:r>
        <w:rPr>
          <w:rFonts w:ascii="Arial" w:hAnsi="Arial" w:cs="Arial"/>
          <w:sz w:val="24"/>
          <w:szCs w:val="24"/>
        </w:rPr>
        <w:t xml:space="preserve"> or rejected, but what is clear, </w:t>
      </w:r>
      <w:r w:rsidR="00650142">
        <w:rPr>
          <w:rFonts w:ascii="Arial" w:hAnsi="Arial" w:cs="Arial"/>
          <w:sz w:val="24"/>
          <w:szCs w:val="24"/>
        </w:rPr>
        <w:t xml:space="preserve">is that the facts therein, contrary to the </w:t>
      </w:r>
      <w:r w:rsidR="00650142">
        <w:rPr>
          <w:rFonts w:ascii="Arial" w:hAnsi="Arial" w:cs="Arial"/>
          <w:i/>
          <w:sz w:val="24"/>
          <w:szCs w:val="24"/>
        </w:rPr>
        <w:t xml:space="preserve">Plascon-Evans </w:t>
      </w:r>
      <w:r w:rsidR="0077760D">
        <w:rPr>
          <w:rFonts w:ascii="Arial" w:hAnsi="Arial" w:cs="Arial"/>
          <w:sz w:val="24"/>
          <w:szCs w:val="24"/>
        </w:rPr>
        <w:t>rule, were</w:t>
      </w:r>
      <w:r w:rsidR="00650142">
        <w:rPr>
          <w:rFonts w:ascii="Arial" w:hAnsi="Arial" w:cs="Arial"/>
          <w:sz w:val="24"/>
          <w:szCs w:val="24"/>
        </w:rPr>
        <w:t xml:space="preserve"> not factored in when the court </w:t>
      </w:r>
      <w:r w:rsidR="00650142">
        <w:rPr>
          <w:rFonts w:ascii="Arial" w:hAnsi="Arial" w:cs="Arial"/>
          <w:i/>
          <w:sz w:val="24"/>
          <w:szCs w:val="24"/>
        </w:rPr>
        <w:t xml:space="preserve">a quo </w:t>
      </w:r>
      <w:r w:rsidR="00650142">
        <w:rPr>
          <w:rFonts w:ascii="Arial" w:hAnsi="Arial" w:cs="Arial"/>
          <w:sz w:val="24"/>
          <w:szCs w:val="24"/>
        </w:rPr>
        <w:t>exercised its discretion.  Excluding these facts was a material misdirection and an incorrect exercising of judicial discretion.</w:t>
      </w:r>
    </w:p>
    <w:p w:rsidR="009B3E4E" w:rsidRDefault="009B3E4E" w:rsidP="009B3E4E">
      <w:pPr>
        <w:spacing w:line="360" w:lineRule="auto"/>
        <w:jc w:val="both"/>
        <w:rPr>
          <w:rFonts w:ascii="Arial" w:hAnsi="Arial" w:cs="Arial"/>
          <w:sz w:val="24"/>
          <w:szCs w:val="24"/>
        </w:rPr>
      </w:pPr>
    </w:p>
    <w:p w:rsidR="009B3E4E" w:rsidRDefault="004C499D" w:rsidP="002D3118">
      <w:pPr>
        <w:spacing w:line="360" w:lineRule="auto"/>
        <w:ind w:left="720" w:hanging="720"/>
        <w:jc w:val="both"/>
        <w:rPr>
          <w:rFonts w:ascii="Arial" w:hAnsi="Arial" w:cs="Arial"/>
          <w:sz w:val="24"/>
          <w:szCs w:val="24"/>
        </w:rPr>
      </w:pPr>
      <w:r>
        <w:rPr>
          <w:rFonts w:ascii="Arial" w:hAnsi="Arial" w:cs="Arial"/>
          <w:sz w:val="24"/>
          <w:szCs w:val="24"/>
        </w:rPr>
        <w:t>[20</w:t>
      </w:r>
      <w:r w:rsidR="009B3E4E">
        <w:rPr>
          <w:rFonts w:ascii="Arial" w:hAnsi="Arial" w:cs="Arial"/>
          <w:sz w:val="24"/>
          <w:szCs w:val="24"/>
        </w:rPr>
        <w:t>]</w:t>
      </w:r>
      <w:r w:rsidR="00163259">
        <w:rPr>
          <w:rFonts w:ascii="Arial" w:hAnsi="Arial" w:cs="Arial"/>
          <w:sz w:val="24"/>
          <w:szCs w:val="24"/>
        </w:rPr>
        <w:tab/>
        <w:t xml:space="preserve">In </w:t>
      </w:r>
      <w:r w:rsidR="002D3118">
        <w:rPr>
          <w:rFonts w:ascii="Arial" w:hAnsi="Arial" w:cs="Arial"/>
          <w:sz w:val="24"/>
          <w:szCs w:val="24"/>
        </w:rPr>
        <w:t xml:space="preserve">a nutshell, the Commissioner of Oaths neglected to place his full names, designation </w:t>
      </w:r>
      <w:r w:rsidR="002D3118">
        <w:rPr>
          <w:rFonts w:ascii="Arial" w:hAnsi="Arial" w:cs="Arial"/>
          <w:i/>
          <w:sz w:val="24"/>
          <w:szCs w:val="24"/>
        </w:rPr>
        <w:t xml:space="preserve">ex officio </w:t>
      </w:r>
      <w:r w:rsidR="002D3118">
        <w:rPr>
          <w:rFonts w:ascii="Arial" w:hAnsi="Arial" w:cs="Arial"/>
          <w:sz w:val="24"/>
          <w:szCs w:val="24"/>
        </w:rPr>
        <w:t xml:space="preserve">and address on the founding affidavit.  The Commissioner of Oaths explains this under oath in the replying affidavit.  The fact that the deponent was in front of him and took the oath is confirmed in a confirmatory </w:t>
      </w:r>
      <w:r w:rsidR="002D3118">
        <w:rPr>
          <w:rFonts w:ascii="Arial" w:hAnsi="Arial" w:cs="Arial"/>
          <w:sz w:val="24"/>
          <w:szCs w:val="24"/>
        </w:rPr>
        <w:lastRenderedPageBreak/>
        <w:t>affidavit.  With nothing to gainsay th</w:t>
      </w:r>
      <w:r>
        <w:rPr>
          <w:rFonts w:ascii="Arial" w:hAnsi="Arial" w:cs="Arial"/>
          <w:sz w:val="24"/>
          <w:szCs w:val="24"/>
        </w:rPr>
        <w:t xml:space="preserve">ese facts there was an </w:t>
      </w:r>
      <w:r w:rsidR="002D3118">
        <w:rPr>
          <w:rFonts w:ascii="Arial" w:hAnsi="Arial" w:cs="Arial"/>
          <w:sz w:val="24"/>
          <w:szCs w:val="24"/>
        </w:rPr>
        <w:t xml:space="preserve">affidavit before the court and the point </w:t>
      </w:r>
      <w:r w:rsidR="002D3118">
        <w:rPr>
          <w:rFonts w:ascii="Arial" w:hAnsi="Arial" w:cs="Arial"/>
          <w:i/>
          <w:sz w:val="24"/>
          <w:szCs w:val="24"/>
        </w:rPr>
        <w:t xml:space="preserve">in limine </w:t>
      </w:r>
      <w:r w:rsidR="002D3118">
        <w:rPr>
          <w:rFonts w:ascii="Arial" w:hAnsi="Arial" w:cs="Arial"/>
          <w:sz w:val="24"/>
          <w:szCs w:val="24"/>
        </w:rPr>
        <w:t>should have been dismissed.</w:t>
      </w:r>
    </w:p>
    <w:p w:rsidR="002D3118" w:rsidRDefault="002D3118" w:rsidP="002D3118">
      <w:pPr>
        <w:spacing w:line="360" w:lineRule="auto"/>
        <w:ind w:left="720" w:hanging="720"/>
        <w:jc w:val="both"/>
        <w:rPr>
          <w:rFonts w:ascii="Arial" w:hAnsi="Arial" w:cs="Arial"/>
          <w:sz w:val="24"/>
          <w:szCs w:val="24"/>
        </w:rPr>
      </w:pPr>
    </w:p>
    <w:p w:rsidR="002D3118" w:rsidRDefault="004C499D" w:rsidP="002D3118">
      <w:pPr>
        <w:spacing w:line="360" w:lineRule="auto"/>
        <w:ind w:left="720" w:hanging="720"/>
        <w:jc w:val="both"/>
        <w:rPr>
          <w:rFonts w:ascii="Arial" w:hAnsi="Arial" w:cs="Arial"/>
          <w:sz w:val="24"/>
          <w:szCs w:val="24"/>
        </w:rPr>
      </w:pPr>
      <w:r>
        <w:rPr>
          <w:rFonts w:ascii="Arial" w:hAnsi="Arial" w:cs="Arial"/>
          <w:sz w:val="24"/>
          <w:szCs w:val="24"/>
        </w:rPr>
        <w:t>[21</w:t>
      </w:r>
      <w:r w:rsidR="002D3118">
        <w:rPr>
          <w:rFonts w:ascii="Arial" w:hAnsi="Arial" w:cs="Arial"/>
          <w:sz w:val="24"/>
          <w:szCs w:val="24"/>
        </w:rPr>
        <w:t>]</w:t>
      </w:r>
      <w:r w:rsidR="002D3118">
        <w:rPr>
          <w:rFonts w:ascii="Arial" w:hAnsi="Arial" w:cs="Arial"/>
          <w:sz w:val="24"/>
          <w:szCs w:val="24"/>
        </w:rPr>
        <w:tab/>
        <w:t>I accordingly make the following order:</w:t>
      </w:r>
    </w:p>
    <w:p w:rsidR="002D3118" w:rsidRDefault="004C499D" w:rsidP="002D3118">
      <w:pPr>
        <w:spacing w:line="360" w:lineRule="auto"/>
        <w:ind w:left="720" w:hanging="720"/>
        <w:jc w:val="both"/>
        <w:rPr>
          <w:rFonts w:ascii="Arial" w:hAnsi="Arial" w:cs="Arial"/>
          <w:sz w:val="24"/>
          <w:szCs w:val="24"/>
        </w:rPr>
      </w:pPr>
      <w:r>
        <w:rPr>
          <w:rFonts w:ascii="Arial" w:hAnsi="Arial" w:cs="Arial"/>
          <w:sz w:val="24"/>
          <w:szCs w:val="24"/>
        </w:rPr>
        <w:tab/>
        <w:t>21</w:t>
      </w:r>
      <w:r w:rsidR="002D3118">
        <w:rPr>
          <w:rFonts w:ascii="Arial" w:hAnsi="Arial" w:cs="Arial"/>
          <w:sz w:val="24"/>
          <w:szCs w:val="24"/>
        </w:rPr>
        <w:t>.1</w:t>
      </w:r>
      <w:r w:rsidR="002D3118">
        <w:rPr>
          <w:rFonts w:ascii="Arial" w:hAnsi="Arial" w:cs="Arial"/>
          <w:sz w:val="24"/>
          <w:szCs w:val="24"/>
        </w:rPr>
        <w:tab/>
        <w:t xml:space="preserve">The appeal is upheld with costs.  </w:t>
      </w:r>
    </w:p>
    <w:p w:rsidR="002D3118" w:rsidRDefault="004C499D" w:rsidP="002D3118">
      <w:pPr>
        <w:spacing w:line="360" w:lineRule="auto"/>
        <w:ind w:left="720" w:hanging="720"/>
        <w:jc w:val="both"/>
        <w:rPr>
          <w:rFonts w:ascii="Arial" w:hAnsi="Arial" w:cs="Arial"/>
          <w:sz w:val="24"/>
          <w:szCs w:val="24"/>
        </w:rPr>
      </w:pPr>
      <w:r>
        <w:rPr>
          <w:rFonts w:ascii="Arial" w:hAnsi="Arial" w:cs="Arial"/>
          <w:sz w:val="24"/>
          <w:szCs w:val="24"/>
        </w:rPr>
        <w:tab/>
        <w:t>21</w:t>
      </w:r>
      <w:r w:rsidR="002D3118">
        <w:rPr>
          <w:rFonts w:ascii="Arial" w:hAnsi="Arial" w:cs="Arial"/>
          <w:sz w:val="24"/>
          <w:szCs w:val="24"/>
        </w:rPr>
        <w:t>.2</w:t>
      </w:r>
      <w:r w:rsidR="002D3118">
        <w:rPr>
          <w:rFonts w:ascii="Arial" w:hAnsi="Arial" w:cs="Arial"/>
          <w:sz w:val="24"/>
          <w:szCs w:val="24"/>
        </w:rPr>
        <w:tab/>
        <w:t xml:space="preserve">The order of the court </w:t>
      </w:r>
      <w:r w:rsidR="002D3118">
        <w:rPr>
          <w:rFonts w:ascii="Arial" w:hAnsi="Arial" w:cs="Arial"/>
          <w:i/>
          <w:sz w:val="24"/>
          <w:szCs w:val="24"/>
        </w:rPr>
        <w:t xml:space="preserve">a quo </w:t>
      </w:r>
      <w:r w:rsidR="002D3118">
        <w:rPr>
          <w:rFonts w:ascii="Arial" w:hAnsi="Arial" w:cs="Arial"/>
          <w:sz w:val="24"/>
          <w:szCs w:val="24"/>
        </w:rPr>
        <w:t>is set aside and replaced with the following:</w:t>
      </w:r>
    </w:p>
    <w:p w:rsidR="00790C18" w:rsidRPr="00790C18" w:rsidRDefault="00790C18" w:rsidP="00790C18">
      <w:pPr>
        <w:spacing w:line="360" w:lineRule="auto"/>
        <w:ind w:left="1440"/>
        <w:jc w:val="both"/>
        <w:rPr>
          <w:rFonts w:ascii="Arial" w:hAnsi="Arial" w:cs="Arial"/>
          <w:sz w:val="24"/>
          <w:szCs w:val="24"/>
        </w:rPr>
      </w:pPr>
      <w:r>
        <w:rPr>
          <w:rFonts w:ascii="Arial" w:hAnsi="Arial" w:cs="Arial"/>
          <w:sz w:val="24"/>
          <w:szCs w:val="24"/>
        </w:rPr>
        <w:t xml:space="preserve">“The point </w:t>
      </w:r>
      <w:r>
        <w:rPr>
          <w:rFonts w:ascii="Arial" w:hAnsi="Arial" w:cs="Arial"/>
          <w:i/>
          <w:sz w:val="24"/>
          <w:szCs w:val="24"/>
        </w:rPr>
        <w:t xml:space="preserve">in limine </w:t>
      </w:r>
      <w:r>
        <w:rPr>
          <w:rFonts w:ascii="Arial" w:hAnsi="Arial" w:cs="Arial"/>
          <w:sz w:val="24"/>
          <w:szCs w:val="24"/>
        </w:rPr>
        <w:t>is dismissed with costs.  The matter is referred back to the High Court for adjudication on the merits.”</w:t>
      </w:r>
    </w:p>
    <w:p w:rsidR="003223F0" w:rsidRDefault="003223F0" w:rsidP="00874BEF">
      <w:pPr>
        <w:spacing w:line="360" w:lineRule="auto"/>
        <w:rPr>
          <w:rFonts w:ascii="Arial" w:hAnsi="Arial" w:cs="Arial"/>
          <w:sz w:val="24"/>
          <w:szCs w:val="24"/>
        </w:rPr>
      </w:pPr>
    </w:p>
    <w:p w:rsidR="003223F0" w:rsidRPr="00874BEF" w:rsidRDefault="003223F0" w:rsidP="00874BEF">
      <w:pPr>
        <w:spacing w:line="360" w:lineRule="auto"/>
        <w:rPr>
          <w:rFonts w:ascii="Arial" w:hAnsi="Arial" w:cs="Arial"/>
          <w:sz w:val="24"/>
          <w:szCs w:val="24"/>
        </w:rPr>
      </w:pPr>
    </w:p>
    <w:p w:rsidR="004022DD" w:rsidRPr="00874BEF" w:rsidRDefault="004022DD" w:rsidP="00874BEF">
      <w:pPr>
        <w:spacing w:line="360" w:lineRule="auto"/>
        <w:jc w:val="right"/>
        <w:rPr>
          <w:rFonts w:ascii="Arial" w:eastAsia="Calibri" w:hAnsi="Arial" w:cs="Arial"/>
          <w:sz w:val="24"/>
          <w:szCs w:val="24"/>
        </w:rPr>
      </w:pPr>
      <w:r w:rsidRPr="00874BEF">
        <w:rPr>
          <w:rFonts w:ascii="Arial" w:eastAsia="Calibri" w:hAnsi="Arial" w:cs="Arial"/>
          <w:b/>
          <w:sz w:val="24"/>
          <w:szCs w:val="24"/>
        </w:rPr>
        <w:t>__________________</w:t>
      </w:r>
    </w:p>
    <w:p w:rsidR="004022DD" w:rsidRPr="00874BEF" w:rsidRDefault="004022DD" w:rsidP="00874BEF">
      <w:pPr>
        <w:spacing w:line="360" w:lineRule="auto"/>
        <w:jc w:val="right"/>
        <w:rPr>
          <w:rFonts w:ascii="Arial" w:eastAsia="Calibri" w:hAnsi="Arial" w:cs="Arial"/>
          <w:b/>
          <w:sz w:val="24"/>
          <w:szCs w:val="24"/>
        </w:rPr>
      </w:pPr>
      <w:r w:rsidRPr="00874BEF">
        <w:rPr>
          <w:rFonts w:ascii="Arial" w:eastAsia="Calibri" w:hAnsi="Arial" w:cs="Arial"/>
          <w:b/>
          <w:sz w:val="24"/>
          <w:szCs w:val="24"/>
        </w:rPr>
        <w:t>S. POTTERILL</w:t>
      </w:r>
    </w:p>
    <w:p w:rsidR="004022DD" w:rsidRDefault="004022DD" w:rsidP="00874BEF">
      <w:pPr>
        <w:spacing w:line="360" w:lineRule="auto"/>
        <w:jc w:val="right"/>
        <w:rPr>
          <w:rFonts w:ascii="Arial" w:eastAsia="Calibri" w:hAnsi="Arial" w:cs="Arial"/>
          <w:b/>
          <w:sz w:val="24"/>
          <w:szCs w:val="24"/>
        </w:rPr>
      </w:pPr>
      <w:r w:rsidRPr="00874BEF">
        <w:rPr>
          <w:rFonts w:ascii="Arial" w:eastAsia="Calibri" w:hAnsi="Arial" w:cs="Arial"/>
          <w:b/>
          <w:sz w:val="24"/>
          <w:szCs w:val="24"/>
        </w:rPr>
        <w:t>JUDGE OF THE HIGH COURT</w:t>
      </w:r>
    </w:p>
    <w:p w:rsidR="00790C18" w:rsidRDefault="002D3118" w:rsidP="00790C18">
      <w:pPr>
        <w:spacing w:line="360" w:lineRule="auto"/>
        <w:jc w:val="both"/>
        <w:rPr>
          <w:rFonts w:ascii="Arial" w:eastAsia="Calibri" w:hAnsi="Arial" w:cs="Arial"/>
          <w:sz w:val="24"/>
          <w:szCs w:val="24"/>
        </w:rPr>
      </w:pPr>
      <w:r>
        <w:rPr>
          <w:rFonts w:ascii="Arial" w:eastAsia="Calibri" w:hAnsi="Arial" w:cs="Arial"/>
          <w:sz w:val="24"/>
          <w:szCs w:val="24"/>
        </w:rPr>
        <w:t>I agree</w:t>
      </w:r>
    </w:p>
    <w:p w:rsidR="004B5ACC" w:rsidRPr="00790C18" w:rsidRDefault="004B5ACC" w:rsidP="004B5ACC">
      <w:pPr>
        <w:spacing w:line="360" w:lineRule="auto"/>
        <w:jc w:val="right"/>
        <w:rPr>
          <w:rFonts w:ascii="Arial" w:eastAsia="Calibri" w:hAnsi="Arial" w:cs="Arial"/>
          <w:sz w:val="24"/>
          <w:szCs w:val="24"/>
        </w:rPr>
      </w:pPr>
    </w:p>
    <w:p w:rsidR="002D3118" w:rsidRPr="00874BEF" w:rsidRDefault="002D3118" w:rsidP="002D3118">
      <w:pPr>
        <w:spacing w:line="360" w:lineRule="auto"/>
        <w:jc w:val="right"/>
        <w:rPr>
          <w:rFonts w:ascii="Arial" w:eastAsia="Calibri" w:hAnsi="Arial" w:cs="Arial"/>
          <w:sz w:val="24"/>
          <w:szCs w:val="24"/>
        </w:rPr>
      </w:pPr>
      <w:r w:rsidRPr="00874BEF">
        <w:rPr>
          <w:rFonts w:ascii="Arial" w:eastAsia="Calibri" w:hAnsi="Arial" w:cs="Arial"/>
          <w:b/>
          <w:sz w:val="24"/>
          <w:szCs w:val="24"/>
        </w:rPr>
        <w:t>__________________</w:t>
      </w:r>
    </w:p>
    <w:p w:rsidR="002D3118" w:rsidRPr="00874BEF" w:rsidRDefault="004558F9" w:rsidP="002D3118">
      <w:pPr>
        <w:spacing w:line="360" w:lineRule="auto"/>
        <w:jc w:val="right"/>
        <w:rPr>
          <w:rFonts w:ascii="Arial" w:eastAsia="Calibri" w:hAnsi="Arial" w:cs="Arial"/>
          <w:b/>
          <w:sz w:val="24"/>
          <w:szCs w:val="24"/>
        </w:rPr>
      </w:pPr>
      <w:r>
        <w:rPr>
          <w:rFonts w:ascii="Arial" w:eastAsia="Calibri" w:hAnsi="Arial" w:cs="Arial"/>
          <w:b/>
          <w:sz w:val="24"/>
          <w:szCs w:val="24"/>
        </w:rPr>
        <w:t xml:space="preserve">B. </w:t>
      </w:r>
      <w:r w:rsidR="006E01A6">
        <w:rPr>
          <w:rFonts w:ascii="Arial" w:eastAsia="Calibri" w:hAnsi="Arial" w:cs="Arial"/>
          <w:b/>
          <w:sz w:val="24"/>
          <w:szCs w:val="24"/>
        </w:rPr>
        <w:t>NEUKIRCHER</w:t>
      </w:r>
    </w:p>
    <w:p w:rsidR="002D3118" w:rsidRDefault="002D3118" w:rsidP="002D3118">
      <w:pPr>
        <w:spacing w:line="360" w:lineRule="auto"/>
        <w:jc w:val="right"/>
        <w:rPr>
          <w:rFonts w:ascii="Arial" w:eastAsia="Calibri" w:hAnsi="Arial" w:cs="Arial"/>
          <w:b/>
          <w:sz w:val="24"/>
          <w:szCs w:val="24"/>
        </w:rPr>
      </w:pPr>
      <w:r w:rsidRPr="00874BEF">
        <w:rPr>
          <w:rFonts w:ascii="Arial" w:eastAsia="Calibri" w:hAnsi="Arial" w:cs="Arial"/>
          <w:b/>
          <w:sz w:val="24"/>
          <w:szCs w:val="24"/>
        </w:rPr>
        <w:t>JUDGE OF THE HIGH COURT</w:t>
      </w:r>
    </w:p>
    <w:p w:rsidR="00790C18" w:rsidRPr="00790C18" w:rsidRDefault="002D3118" w:rsidP="002D3118">
      <w:pPr>
        <w:spacing w:line="360" w:lineRule="auto"/>
        <w:rPr>
          <w:rFonts w:ascii="Arial" w:eastAsia="Calibri" w:hAnsi="Arial" w:cs="Arial"/>
          <w:sz w:val="24"/>
          <w:szCs w:val="24"/>
        </w:rPr>
      </w:pPr>
      <w:r>
        <w:rPr>
          <w:rFonts w:ascii="Arial" w:eastAsia="Calibri" w:hAnsi="Arial" w:cs="Arial"/>
          <w:sz w:val="24"/>
          <w:szCs w:val="24"/>
        </w:rPr>
        <w:t>I agree</w:t>
      </w:r>
    </w:p>
    <w:p w:rsidR="002D3118" w:rsidRPr="00874BEF" w:rsidRDefault="002D3118" w:rsidP="002D3118">
      <w:pPr>
        <w:spacing w:line="360" w:lineRule="auto"/>
        <w:jc w:val="right"/>
        <w:rPr>
          <w:rFonts w:ascii="Arial" w:eastAsia="Calibri" w:hAnsi="Arial" w:cs="Arial"/>
          <w:sz w:val="24"/>
          <w:szCs w:val="24"/>
        </w:rPr>
      </w:pPr>
      <w:r w:rsidRPr="00874BEF">
        <w:rPr>
          <w:rFonts w:ascii="Arial" w:eastAsia="Calibri" w:hAnsi="Arial" w:cs="Arial"/>
          <w:b/>
          <w:sz w:val="24"/>
          <w:szCs w:val="24"/>
        </w:rPr>
        <w:t>__________________</w:t>
      </w:r>
    </w:p>
    <w:p w:rsidR="002D3118" w:rsidRPr="00874BEF" w:rsidRDefault="004558F9" w:rsidP="002D3118">
      <w:pPr>
        <w:spacing w:line="360" w:lineRule="auto"/>
        <w:jc w:val="right"/>
        <w:rPr>
          <w:rFonts w:ascii="Arial" w:eastAsia="Calibri" w:hAnsi="Arial" w:cs="Arial"/>
          <w:b/>
          <w:sz w:val="24"/>
          <w:szCs w:val="24"/>
        </w:rPr>
      </w:pPr>
      <w:r>
        <w:rPr>
          <w:rFonts w:ascii="Arial" w:eastAsia="Calibri" w:hAnsi="Arial" w:cs="Arial"/>
          <w:b/>
          <w:sz w:val="24"/>
          <w:szCs w:val="24"/>
        </w:rPr>
        <w:t xml:space="preserve">N. </w:t>
      </w:r>
      <w:r w:rsidR="006E01A6">
        <w:rPr>
          <w:rFonts w:ascii="Arial" w:eastAsia="Calibri" w:hAnsi="Arial" w:cs="Arial"/>
          <w:b/>
          <w:sz w:val="24"/>
          <w:szCs w:val="24"/>
        </w:rPr>
        <w:t>TSHOMBE</w:t>
      </w:r>
    </w:p>
    <w:p w:rsidR="002D3118" w:rsidRDefault="006E01A6" w:rsidP="002D3118">
      <w:pPr>
        <w:spacing w:line="360" w:lineRule="auto"/>
        <w:jc w:val="right"/>
        <w:rPr>
          <w:rFonts w:ascii="Arial" w:eastAsia="Calibri" w:hAnsi="Arial" w:cs="Arial"/>
          <w:b/>
          <w:sz w:val="24"/>
          <w:szCs w:val="24"/>
        </w:rPr>
      </w:pPr>
      <w:r>
        <w:rPr>
          <w:rFonts w:ascii="Arial" w:eastAsia="Calibri" w:hAnsi="Arial" w:cs="Arial"/>
          <w:b/>
          <w:sz w:val="24"/>
          <w:szCs w:val="24"/>
        </w:rPr>
        <w:t xml:space="preserve">ACTING </w:t>
      </w:r>
      <w:r w:rsidR="002D3118" w:rsidRPr="00874BEF">
        <w:rPr>
          <w:rFonts w:ascii="Arial" w:eastAsia="Calibri" w:hAnsi="Arial" w:cs="Arial"/>
          <w:b/>
          <w:sz w:val="24"/>
          <w:szCs w:val="24"/>
        </w:rPr>
        <w:t>JUDGE OF THE HIGH COURT</w:t>
      </w:r>
    </w:p>
    <w:p w:rsidR="00790C18" w:rsidRDefault="00790C18">
      <w:pPr>
        <w:spacing w:after="160" w:line="259" w:lineRule="auto"/>
        <w:rPr>
          <w:rFonts w:ascii="Arial" w:eastAsia="Calibri" w:hAnsi="Arial" w:cs="Arial"/>
          <w:sz w:val="24"/>
          <w:szCs w:val="24"/>
        </w:rPr>
      </w:pPr>
      <w:r>
        <w:rPr>
          <w:rFonts w:ascii="Arial" w:eastAsia="Calibri" w:hAnsi="Arial" w:cs="Arial"/>
          <w:sz w:val="24"/>
          <w:szCs w:val="24"/>
        </w:rPr>
        <w:br w:type="page"/>
      </w:r>
    </w:p>
    <w:p w:rsidR="004022DD" w:rsidRPr="00874BEF" w:rsidRDefault="004022DD" w:rsidP="006D5E36">
      <w:pPr>
        <w:spacing w:after="160" w:line="259" w:lineRule="auto"/>
        <w:rPr>
          <w:rFonts w:ascii="Arial" w:eastAsia="Calibri" w:hAnsi="Arial" w:cs="Arial"/>
          <w:sz w:val="24"/>
          <w:szCs w:val="24"/>
        </w:rPr>
      </w:pPr>
      <w:r w:rsidRPr="00874BEF">
        <w:rPr>
          <w:rFonts w:ascii="Arial" w:eastAsia="Calibri" w:hAnsi="Arial" w:cs="Arial"/>
          <w:sz w:val="24"/>
          <w:szCs w:val="24"/>
        </w:rPr>
        <w:lastRenderedPageBreak/>
        <w:t>CASE NO:</w:t>
      </w:r>
      <w:r w:rsidR="002D3118">
        <w:rPr>
          <w:rFonts w:ascii="Arial" w:eastAsia="Calibri" w:hAnsi="Arial" w:cs="Arial"/>
          <w:sz w:val="24"/>
          <w:szCs w:val="24"/>
        </w:rPr>
        <w:t xml:space="preserve">  A194/2021</w:t>
      </w:r>
    </w:p>
    <w:p w:rsidR="004022DD" w:rsidRPr="00874BEF" w:rsidRDefault="004022DD" w:rsidP="00874BEF">
      <w:pPr>
        <w:spacing w:line="360" w:lineRule="auto"/>
        <w:rPr>
          <w:rFonts w:ascii="Arial" w:eastAsia="Calibri" w:hAnsi="Arial" w:cs="Arial"/>
          <w:sz w:val="24"/>
          <w:szCs w:val="24"/>
        </w:rPr>
      </w:pPr>
    </w:p>
    <w:p w:rsidR="004022DD" w:rsidRPr="00874BEF" w:rsidRDefault="004022DD" w:rsidP="00874BEF">
      <w:pPr>
        <w:spacing w:line="360" w:lineRule="auto"/>
        <w:rPr>
          <w:rFonts w:ascii="Arial" w:eastAsia="Calibri" w:hAnsi="Arial" w:cs="Arial"/>
          <w:sz w:val="24"/>
          <w:szCs w:val="24"/>
        </w:rPr>
      </w:pPr>
      <w:r w:rsidRPr="00874BEF">
        <w:rPr>
          <w:rFonts w:ascii="Arial" w:eastAsia="Calibri" w:hAnsi="Arial" w:cs="Arial"/>
          <w:sz w:val="24"/>
          <w:szCs w:val="24"/>
        </w:rPr>
        <w:t xml:space="preserve">HEARD ON:   </w:t>
      </w:r>
      <w:r w:rsidR="006D5E36">
        <w:rPr>
          <w:rFonts w:ascii="Arial" w:eastAsia="Calibri" w:hAnsi="Arial" w:cs="Arial"/>
          <w:sz w:val="24"/>
          <w:szCs w:val="24"/>
        </w:rPr>
        <w:t>9 November 2022</w:t>
      </w:r>
      <w:r w:rsidRPr="00874BEF">
        <w:rPr>
          <w:rFonts w:ascii="Arial" w:eastAsia="Calibri" w:hAnsi="Arial" w:cs="Arial"/>
          <w:sz w:val="24"/>
          <w:szCs w:val="24"/>
        </w:rPr>
        <w:t xml:space="preserve"> </w:t>
      </w:r>
    </w:p>
    <w:p w:rsidR="004022DD" w:rsidRPr="00874BEF" w:rsidRDefault="004022DD" w:rsidP="00874BEF">
      <w:pPr>
        <w:spacing w:line="360" w:lineRule="auto"/>
        <w:rPr>
          <w:rFonts w:ascii="Arial" w:eastAsia="Calibri" w:hAnsi="Arial" w:cs="Arial"/>
          <w:sz w:val="24"/>
          <w:szCs w:val="24"/>
        </w:rPr>
      </w:pPr>
    </w:p>
    <w:p w:rsidR="004022DD" w:rsidRPr="00874BEF" w:rsidRDefault="006D5E36" w:rsidP="00874BEF">
      <w:pPr>
        <w:spacing w:line="360" w:lineRule="auto"/>
        <w:rPr>
          <w:rFonts w:ascii="Arial" w:eastAsia="Calibri" w:hAnsi="Arial" w:cs="Arial"/>
          <w:sz w:val="24"/>
          <w:szCs w:val="24"/>
        </w:rPr>
      </w:pPr>
      <w:r>
        <w:rPr>
          <w:rFonts w:ascii="Arial" w:eastAsia="Calibri" w:hAnsi="Arial" w:cs="Arial"/>
          <w:sz w:val="24"/>
          <w:szCs w:val="24"/>
        </w:rPr>
        <w:t>FOR THE APPELLANTS:  ADV. A. VORSTER</w:t>
      </w:r>
    </w:p>
    <w:p w:rsidR="004022DD" w:rsidRPr="00874BEF" w:rsidRDefault="004022DD" w:rsidP="00874BEF">
      <w:pPr>
        <w:spacing w:line="360" w:lineRule="auto"/>
        <w:rPr>
          <w:rFonts w:ascii="Arial" w:eastAsia="Calibri" w:hAnsi="Arial" w:cs="Arial"/>
          <w:sz w:val="24"/>
          <w:szCs w:val="24"/>
        </w:rPr>
      </w:pPr>
    </w:p>
    <w:p w:rsidR="004022DD" w:rsidRPr="00874BEF" w:rsidRDefault="004022DD" w:rsidP="00874BEF">
      <w:pPr>
        <w:spacing w:line="360" w:lineRule="auto"/>
        <w:rPr>
          <w:rFonts w:ascii="Arial" w:eastAsia="Calibri" w:hAnsi="Arial" w:cs="Arial"/>
          <w:sz w:val="24"/>
          <w:szCs w:val="24"/>
        </w:rPr>
      </w:pPr>
      <w:r w:rsidRPr="00874BEF">
        <w:rPr>
          <w:rFonts w:ascii="Arial" w:eastAsia="Calibri" w:hAnsi="Arial" w:cs="Arial"/>
          <w:sz w:val="24"/>
          <w:szCs w:val="24"/>
        </w:rPr>
        <w:t xml:space="preserve">INSTRUCTED BY:  </w:t>
      </w:r>
      <w:r w:rsidR="001A1F76">
        <w:rPr>
          <w:rFonts w:ascii="Arial" w:eastAsia="Calibri" w:hAnsi="Arial" w:cs="Arial"/>
          <w:sz w:val="24"/>
          <w:szCs w:val="24"/>
        </w:rPr>
        <w:t>Gildenhuys Malatji Inc.</w:t>
      </w:r>
    </w:p>
    <w:p w:rsidR="004022DD" w:rsidRPr="00874BEF" w:rsidRDefault="004022DD" w:rsidP="00874BEF">
      <w:pPr>
        <w:spacing w:line="360" w:lineRule="auto"/>
        <w:rPr>
          <w:rFonts w:ascii="Arial" w:eastAsia="Calibri" w:hAnsi="Arial" w:cs="Arial"/>
          <w:sz w:val="24"/>
          <w:szCs w:val="24"/>
        </w:rPr>
      </w:pPr>
    </w:p>
    <w:p w:rsidR="004022DD" w:rsidRPr="00874BEF" w:rsidRDefault="006D5E36" w:rsidP="00874BEF">
      <w:pPr>
        <w:spacing w:line="360" w:lineRule="auto"/>
        <w:rPr>
          <w:rFonts w:ascii="Arial" w:eastAsia="Calibri" w:hAnsi="Arial" w:cs="Arial"/>
          <w:sz w:val="24"/>
          <w:szCs w:val="24"/>
        </w:rPr>
      </w:pPr>
      <w:r>
        <w:rPr>
          <w:rFonts w:ascii="Arial" w:eastAsia="Calibri" w:hAnsi="Arial" w:cs="Arial"/>
          <w:sz w:val="24"/>
          <w:szCs w:val="24"/>
        </w:rPr>
        <w:t>FOR THE RESPONDENTS</w:t>
      </w:r>
      <w:r w:rsidR="004022DD" w:rsidRPr="00874BEF">
        <w:rPr>
          <w:rFonts w:ascii="Arial" w:eastAsia="Calibri" w:hAnsi="Arial" w:cs="Arial"/>
          <w:sz w:val="24"/>
          <w:szCs w:val="24"/>
        </w:rPr>
        <w:t xml:space="preserve">:  ADV. </w:t>
      </w:r>
      <w:r>
        <w:rPr>
          <w:rFonts w:ascii="Arial" w:eastAsia="Calibri" w:hAnsi="Arial" w:cs="Arial"/>
          <w:sz w:val="24"/>
          <w:szCs w:val="24"/>
        </w:rPr>
        <w:t>J.G.W. BASSON</w:t>
      </w:r>
    </w:p>
    <w:p w:rsidR="004022DD" w:rsidRPr="00874BEF" w:rsidRDefault="004022DD" w:rsidP="00874BEF">
      <w:pPr>
        <w:spacing w:line="360" w:lineRule="auto"/>
        <w:rPr>
          <w:rFonts w:ascii="Arial" w:eastAsia="Calibri" w:hAnsi="Arial" w:cs="Arial"/>
          <w:sz w:val="24"/>
          <w:szCs w:val="24"/>
        </w:rPr>
      </w:pPr>
    </w:p>
    <w:p w:rsidR="004022DD" w:rsidRPr="00874BEF" w:rsidRDefault="004022DD" w:rsidP="00874BEF">
      <w:pPr>
        <w:spacing w:line="360" w:lineRule="auto"/>
        <w:rPr>
          <w:rFonts w:ascii="Arial" w:eastAsia="Calibri" w:hAnsi="Arial" w:cs="Arial"/>
          <w:sz w:val="24"/>
          <w:szCs w:val="24"/>
        </w:rPr>
      </w:pPr>
      <w:r w:rsidRPr="00874BEF">
        <w:rPr>
          <w:rFonts w:ascii="Arial" w:eastAsia="Calibri" w:hAnsi="Arial" w:cs="Arial"/>
          <w:sz w:val="24"/>
          <w:szCs w:val="24"/>
        </w:rPr>
        <w:t xml:space="preserve">INSTRUCTED BY:  </w:t>
      </w:r>
      <w:r w:rsidR="001A1F76">
        <w:rPr>
          <w:rFonts w:ascii="Arial" w:eastAsia="Calibri" w:hAnsi="Arial" w:cs="Arial"/>
          <w:sz w:val="24"/>
          <w:szCs w:val="24"/>
        </w:rPr>
        <w:t>Bernhard van der Hoven Attorneys</w:t>
      </w:r>
    </w:p>
    <w:p w:rsidR="004022DD" w:rsidRPr="00874BEF" w:rsidRDefault="004022DD" w:rsidP="00874BEF">
      <w:pPr>
        <w:spacing w:line="360" w:lineRule="auto"/>
        <w:rPr>
          <w:rFonts w:ascii="Arial" w:eastAsia="Calibri" w:hAnsi="Arial" w:cs="Arial"/>
          <w:sz w:val="24"/>
          <w:szCs w:val="24"/>
        </w:rPr>
      </w:pPr>
    </w:p>
    <w:p w:rsidR="004022DD" w:rsidRPr="00874BEF" w:rsidRDefault="004022DD" w:rsidP="00874BEF">
      <w:pPr>
        <w:spacing w:line="360" w:lineRule="auto"/>
        <w:rPr>
          <w:rFonts w:ascii="Arial" w:eastAsia="Calibri" w:hAnsi="Arial" w:cs="Arial"/>
          <w:sz w:val="24"/>
          <w:szCs w:val="24"/>
        </w:rPr>
      </w:pPr>
      <w:r w:rsidRPr="00874BEF">
        <w:rPr>
          <w:rFonts w:ascii="Arial" w:eastAsia="Calibri" w:hAnsi="Arial" w:cs="Arial"/>
          <w:sz w:val="24"/>
          <w:szCs w:val="24"/>
        </w:rPr>
        <w:t xml:space="preserve">DATE OF JUDGMENT:     </w:t>
      </w:r>
      <w:r w:rsidR="002E308D">
        <w:rPr>
          <w:rFonts w:ascii="Arial" w:eastAsia="Calibri" w:hAnsi="Arial" w:cs="Arial"/>
          <w:sz w:val="24"/>
          <w:szCs w:val="24"/>
        </w:rPr>
        <w:t>1</w:t>
      </w:r>
      <w:r w:rsidR="002E63F7">
        <w:rPr>
          <w:rFonts w:ascii="Arial" w:eastAsia="Calibri" w:hAnsi="Arial" w:cs="Arial"/>
          <w:sz w:val="24"/>
          <w:szCs w:val="24"/>
        </w:rPr>
        <w:t xml:space="preserve"> December 2022</w:t>
      </w:r>
    </w:p>
    <w:p w:rsidR="004022DD" w:rsidRPr="00874BEF" w:rsidRDefault="004022DD" w:rsidP="00874BEF">
      <w:pPr>
        <w:spacing w:line="360" w:lineRule="auto"/>
        <w:rPr>
          <w:rFonts w:ascii="Arial" w:hAnsi="Arial" w:cs="Arial"/>
          <w:sz w:val="24"/>
          <w:szCs w:val="24"/>
        </w:rPr>
      </w:pPr>
    </w:p>
    <w:p w:rsidR="004022DD" w:rsidRPr="00874BEF" w:rsidRDefault="004022DD" w:rsidP="004022DD">
      <w:pPr>
        <w:rPr>
          <w:rFonts w:ascii="Arial" w:hAnsi="Arial" w:cs="Arial"/>
          <w:b/>
          <w:sz w:val="24"/>
          <w:szCs w:val="24"/>
        </w:rPr>
      </w:pPr>
    </w:p>
    <w:p w:rsidR="00440524" w:rsidRDefault="00440524"/>
    <w:sectPr w:rsidR="0044052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406" w:rsidRDefault="00100406" w:rsidP="007C2BD4">
      <w:pPr>
        <w:spacing w:after="0" w:line="240" w:lineRule="auto"/>
      </w:pPr>
      <w:r>
        <w:separator/>
      </w:r>
    </w:p>
  </w:endnote>
  <w:endnote w:type="continuationSeparator" w:id="0">
    <w:p w:rsidR="00100406" w:rsidRDefault="00100406" w:rsidP="007C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1"/>
    <w:family w:val="roman"/>
    <w:notTrueType/>
    <w:pitch w:val="variable"/>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406" w:rsidRDefault="00100406" w:rsidP="007C2BD4">
      <w:pPr>
        <w:spacing w:after="0" w:line="240" w:lineRule="auto"/>
      </w:pPr>
      <w:r>
        <w:separator/>
      </w:r>
    </w:p>
  </w:footnote>
  <w:footnote w:type="continuationSeparator" w:id="0">
    <w:p w:rsidR="00100406" w:rsidRDefault="00100406" w:rsidP="007C2BD4">
      <w:pPr>
        <w:spacing w:after="0" w:line="240" w:lineRule="auto"/>
      </w:pPr>
      <w:r>
        <w:continuationSeparator/>
      </w:r>
    </w:p>
  </w:footnote>
  <w:footnote w:id="1">
    <w:p w:rsidR="0077760D" w:rsidRPr="00306737" w:rsidRDefault="0077760D" w:rsidP="0077760D">
      <w:pPr>
        <w:pStyle w:val="FootnoteText"/>
        <w:rPr>
          <w:lang w:val="en-GB"/>
        </w:rPr>
      </w:pPr>
      <w:r>
        <w:rPr>
          <w:rStyle w:val="FootnoteReference"/>
        </w:rPr>
        <w:footnoteRef/>
      </w:r>
      <w:r>
        <w:t xml:space="preserve"> </w:t>
      </w:r>
      <w:r>
        <w:rPr>
          <w:i/>
          <w:lang w:val="en-GB"/>
        </w:rPr>
        <w:t xml:space="preserve">S v Munn </w:t>
      </w:r>
      <w:r>
        <w:rPr>
          <w:lang w:val="en-GB"/>
        </w:rPr>
        <w:t xml:space="preserve">1973 (3) SA 734 (NC) at 737H;  </w:t>
      </w:r>
      <w:r>
        <w:rPr>
          <w:i/>
          <w:lang w:val="en-GB"/>
        </w:rPr>
        <w:t xml:space="preserve">S v Msibi </w:t>
      </w:r>
      <w:r>
        <w:rPr>
          <w:lang w:val="en-GB"/>
        </w:rPr>
        <w:t>1974 (4) SA 821 (T)</w:t>
      </w:r>
    </w:p>
    <w:p w:rsidR="0077760D" w:rsidRPr="0077760D" w:rsidRDefault="0077760D">
      <w:pPr>
        <w:pStyle w:val="FootnoteText"/>
        <w:rPr>
          <w:lang w:val="en-GB"/>
        </w:rPr>
      </w:pPr>
    </w:p>
  </w:footnote>
  <w:footnote w:id="2">
    <w:p w:rsidR="00FB0323" w:rsidRPr="00F8433F" w:rsidRDefault="00FB0323">
      <w:pPr>
        <w:pStyle w:val="FootnoteText"/>
        <w:rPr>
          <w:lang w:val="en-GB"/>
        </w:rPr>
      </w:pPr>
      <w:r>
        <w:rPr>
          <w:rStyle w:val="FootnoteReference"/>
        </w:rPr>
        <w:footnoteRef/>
      </w:r>
      <w:r>
        <w:t xml:space="preserve"> </w:t>
      </w:r>
      <w:r>
        <w:rPr>
          <w:i/>
          <w:lang w:val="en-GB"/>
        </w:rPr>
        <w:t xml:space="preserve">Attorney-General, Eastern Cape v Blom </w:t>
      </w:r>
      <w:r w:rsidR="006E01A6">
        <w:rPr>
          <w:i/>
          <w:lang w:val="en-GB"/>
        </w:rPr>
        <w:t xml:space="preserve">and Others </w:t>
      </w:r>
      <w:r>
        <w:rPr>
          <w:lang w:val="en-GB"/>
        </w:rPr>
        <w:t>1988 (4) SA 645 (A) at 670D-F</w:t>
      </w:r>
    </w:p>
  </w:footnote>
  <w:footnote w:id="3">
    <w:p w:rsidR="00AC16E1" w:rsidRPr="00AC16E1" w:rsidRDefault="00FB44A6" w:rsidP="00AC16E1">
      <w:pPr>
        <w:pStyle w:val="FootnoteText"/>
        <w:rPr>
          <w:lang w:val="en-GB"/>
        </w:rPr>
      </w:pPr>
      <w:r>
        <w:rPr>
          <w:rStyle w:val="FootnoteReference"/>
        </w:rPr>
        <w:footnoteRef/>
      </w:r>
      <w:r>
        <w:t xml:space="preserve"> </w:t>
      </w:r>
      <w:r w:rsidR="00AC16E1" w:rsidRPr="00AC16E1">
        <w:rPr>
          <w:i/>
        </w:rPr>
        <w:t xml:space="preserve">Plascon-Evans Paints (Pty) Ltd v Van Riebeeck Paints Ltd </w:t>
      </w:r>
      <w:r w:rsidR="00AC16E1" w:rsidRPr="00AC16E1">
        <w:t>1984 (3) SA 623 (A);</w:t>
      </w:r>
      <w:r w:rsidR="00AC16E1" w:rsidRPr="00AC16E1">
        <w:rPr>
          <w:b/>
        </w:rPr>
        <w:t xml:space="preserve">  </w:t>
      </w:r>
      <w:r w:rsidR="00AC16E1" w:rsidRPr="00AC16E1">
        <w:rPr>
          <w:i/>
        </w:rPr>
        <w:t xml:space="preserve">Director of Public Prosecutions v Zuma </w:t>
      </w:r>
      <w:r w:rsidR="00AC16E1" w:rsidRPr="00AC16E1">
        <w:t xml:space="preserve">2009 (2) SA 277 (SCA);  </w:t>
      </w:r>
      <w:r w:rsidR="00AC16E1" w:rsidRPr="00AC16E1">
        <w:rPr>
          <w:i/>
        </w:rPr>
        <w:t xml:space="preserve">Wightman t/a JW Construction v Headfour (Pty) Ltd and Another </w:t>
      </w:r>
      <w:r w:rsidR="00AC16E1" w:rsidRPr="00AC16E1">
        <w:t xml:space="preserve">2008 (3) SA 371 (SCA) at 375D-F </w:t>
      </w:r>
    </w:p>
    <w:p w:rsidR="00FB44A6" w:rsidRPr="00FB44A6" w:rsidRDefault="00FB44A6">
      <w:pPr>
        <w:pStyle w:val="FootnoteText"/>
        <w:rPr>
          <w:lang w:val="en-GB"/>
        </w:rPr>
      </w:pPr>
    </w:p>
  </w:footnote>
  <w:footnote w:id="4">
    <w:p w:rsidR="00FB0323" w:rsidRPr="00FB0323" w:rsidRDefault="00FB0323">
      <w:pPr>
        <w:pStyle w:val="FootnoteText"/>
        <w:rPr>
          <w:lang w:val="en-GB"/>
        </w:rPr>
      </w:pPr>
      <w:r>
        <w:rPr>
          <w:rStyle w:val="FootnoteReference"/>
        </w:rPr>
        <w:footnoteRef/>
      </w:r>
      <w:r>
        <w:t xml:space="preserve"> </w:t>
      </w:r>
      <w:r w:rsidR="009B3E4E">
        <w:rPr>
          <w:lang w:val="en-GB"/>
        </w:rPr>
        <w:t>1950 (2)</w:t>
      </w:r>
      <w:r w:rsidR="006E01A6">
        <w:rPr>
          <w:lang w:val="en-GB"/>
        </w:rPr>
        <w:t xml:space="preserve"> SA</w:t>
      </w:r>
      <w:r w:rsidR="009B3E4E">
        <w:rPr>
          <w:lang w:val="en-GB"/>
        </w:rPr>
        <w:t xml:space="preserve"> 247 (W)</w:t>
      </w:r>
    </w:p>
  </w:footnote>
  <w:footnote w:id="5">
    <w:p w:rsidR="009B3E4E" w:rsidRPr="009B3E4E" w:rsidRDefault="009B3E4E">
      <w:pPr>
        <w:pStyle w:val="FootnoteText"/>
        <w:rPr>
          <w:lang w:val="en-GB"/>
        </w:rPr>
      </w:pPr>
      <w:r>
        <w:rPr>
          <w:rStyle w:val="FootnoteReference"/>
        </w:rPr>
        <w:footnoteRef/>
      </w:r>
      <w:r>
        <w:t xml:space="preserve"> </w:t>
      </w:r>
      <w:r>
        <w:rPr>
          <w:lang w:val="en-GB"/>
        </w:rPr>
        <w:t>1979 (</w:t>
      </w:r>
      <w:r w:rsidR="006E01A6">
        <w:rPr>
          <w:lang w:val="en-GB"/>
        </w:rPr>
        <w:t>3</w:t>
      </w:r>
      <w:r>
        <w:rPr>
          <w:lang w:val="en-GB"/>
        </w:rPr>
        <w:t>) SA 391 (T)</w:t>
      </w:r>
      <w:r w:rsidR="0077760D">
        <w:rPr>
          <w:lang w:val="en-GB"/>
        </w:rPr>
        <w:t xml:space="preserve"> at 398G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024094"/>
      <w:docPartObj>
        <w:docPartGallery w:val="Page Numbers (Top of Page)"/>
        <w:docPartUnique/>
      </w:docPartObj>
    </w:sdtPr>
    <w:sdtEndPr>
      <w:rPr>
        <w:noProof/>
      </w:rPr>
    </w:sdtEndPr>
    <w:sdtContent>
      <w:p w:rsidR="00FB0323" w:rsidRDefault="00FB0323">
        <w:pPr>
          <w:pStyle w:val="Header"/>
          <w:jc w:val="center"/>
        </w:pPr>
        <w:r>
          <w:fldChar w:fldCharType="begin"/>
        </w:r>
        <w:r>
          <w:instrText xml:space="preserve"> PAGE   \* MERGEFORMAT </w:instrText>
        </w:r>
        <w:r>
          <w:fldChar w:fldCharType="separate"/>
        </w:r>
        <w:r w:rsidR="00983424">
          <w:rPr>
            <w:noProof/>
          </w:rPr>
          <w:t>3</w:t>
        </w:r>
        <w:r>
          <w:rPr>
            <w:noProof/>
          </w:rPr>
          <w:fldChar w:fldCharType="end"/>
        </w:r>
      </w:p>
    </w:sdtContent>
  </w:sdt>
  <w:p w:rsidR="00FB0323" w:rsidRDefault="00FB0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E02B5"/>
    <w:multiLevelType w:val="hybridMultilevel"/>
    <w:tmpl w:val="15A49E54"/>
    <w:lvl w:ilvl="0" w:tplc="9F249608">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128246B4"/>
    <w:multiLevelType w:val="hybridMultilevel"/>
    <w:tmpl w:val="106668B4"/>
    <w:lvl w:ilvl="0" w:tplc="23F6E96A">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
    <w:nsid w:val="23D2591B"/>
    <w:multiLevelType w:val="hybridMultilevel"/>
    <w:tmpl w:val="3D74ED5E"/>
    <w:lvl w:ilvl="0" w:tplc="3B1E7D30">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DD"/>
    <w:rsid w:val="00071241"/>
    <w:rsid w:val="00100406"/>
    <w:rsid w:val="00163259"/>
    <w:rsid w:val="00170F2A"/>
    <w:rsid w:val="001A1F76"/>
    <w:rsid w:val="001B39D6"/>
    <w:rsid w:val="00216D5E"/>
    <w:rsid w:val="002D3118"/>
    <w:rsid w:val="002E1918"/>
    <w:rsid w:val="002E308D"/>
    <w:rsid w:val="002E63F7"/>
    <w:rsid w:val="00306737"/>
    <w:rsid w:val="003223F0"/>
    <w:rsid w:val="00346F63"/>
    <w:rsid w:val="00363798"/>
    <w:rsid w:val="00366FEE"/>
    <w:rsid w:val="003C26C0"/>
    <w:rsid w:val="004022DD"/>
    <w:rsid w:val="00440524"/>
    <w:rsid w:val="004558F9"/>
    <w:rsid w:val="00461916"/>
    <w:rsid w:val="004B5ACC"/>
    <w:rsid w:val="004C499D"/>
    <w:rsid w:val="005225D4"/>
    <w:rsid w:val="005D6A33"/>
    <w:rsid w:val="00611428"/>
    <w:rsid w:val="00650142"/>
    <w:rsid w:val="006D5E36"/>
    <w:rsid w:val="006E01A6"/>
    <w:rsid w:val="00742A6F"/>
    <w:rsid w:val="0077760D"/>
    <w:rsid w:val="00790C18"/>
    <w:rsid w:val="007C2BD4"/>
    <w:rsid w:val="00874BEF"/>
    <w:rsid w:val="00874FAA"/>
    <w:rsid w:val="009005EC"/>
    <w:rsid w:val="00956281"/>
    <w:rsid w:val="00983424"/>
    <w:rsid w:val="009A341F"/>
    <w:rsid w:val="009B3E4E"/>
    <w:rsid w:val="00A8466F"/>
    <w:rsid w:val="00AC16E1"/>
    <w:rsid w:val="00AD33BD"/>
    <w:rsid w:val="00B83718"/>
    <w:rsid w:val="00B85DFD"/>
    <w:rsid w:val="00CE1A43"/>
    <w:rsid w:val="00CE52FE"/>
    <w:rsid w:val="00D23124"/>
    <w:rsid w:val="00D43EB9"/>
    <w:rsid w:val="00D85218"/>
    <w:rsid w:val="00DC2489"/>
    <w:rsid w:val="00DD7601"/>
    <w:rsid w:val="00E4437E"/>
    <w:rsid w:val="00F01306"/>
    <w:rsid w:val="00F20947"/>
    <w:rsid w:val="00F63AA9"/>
    <w:rsid w:val="00F8433F"/>
    <w:rsid w:val="00FB0323"/>
    <w:rsid w:val="00FB44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FCAD4-1486-45E0-89DC-A98B45F1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2DD"/>
  </w:style>
  <w:style w:type="paragraph" w:styleId="FootnoteText">
    <w:name w:val="footnote text"/>
    <w:basedOn w:val="Normal"/>
    <w:link w:val="FootnoteTextChar"/>
    <w:uiPriority w:val="99"/>
    <w:semiHidden/>
    <w:unhideWhenUsed/>
    <w:rsid w:val="007C2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BD4"/>
    <w:rPr>
      <w:sz w:val="20"/>
      <w:szCs w:val="20"/>
    </w:rPr>
  </w:style>
  <w:style w:type="character" w:styleId="FootnoteReference">
    <w:name w:val="footnote reference"/>
    <w:basedOn w:val="DefaultParagraphFont"/>
    <w:uiPriority w:val="99"/>
    <w:semiHidden/>
    <w:unhideWhenUsed/>
    <w:rsid w:val="007C2BD4"/>
    <w:rPr>
      <w:vertAlign w:val="superscript"/>
    </w:rPr>
  </w:style>
  <w:style w:type="paragraph" w:styleId="ListParagraph">
    <w:name w:val="List Paragraph"/>
    <w:basedOn w:val="Normal"/>
    <w:uiPriority w:val="34"/>
    <w:qFormat/>
    <w:rsid w:val="00CE52FE"/>
    <w:pPr>
      <w:ind w:left="720"/>
      <w:contextualSpacing/>
    </w:pPr>
  </w:style>
  <w:style w:type="paragraph" w:styleId="BalloonText">
    <w:name w:val="Balloon Text"/>
    <w:basedOn w:val="Normal"/>
    <w:link w:val="BalloonTextChar"/>
    <w:uiPriority w:val="99"/>
    <w:semiHidden/>
    <w:unhideWhenUsed/>
    <w:rsid w:val="006E0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B3A45-0068-45AE-895E-B4AA56F5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Mokone</cp:lastModifiedBy>
  <cp:revision>2</cp:revision>
  <cp:lastPrinted>2022-11-30T10:18:00Z</cp:lastPrinted>
  <dcterms:created xsi:type="dcterms:W3CDTF">2022-12-06T07:25:00Z</dcterms:created>
  <dcterms:modified xsi:type="dcterms:W3CDTF">2022-12-06T07:25:00Z</dcterms:modified>
</cp:coreProperties>
</file>