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D9A28" w14:textId="77777777" w:rsidR="00ED2FC5" w:rsidRPr="006A7B9C" w:rsidRDefault="00ED2FC5" w:rsidP="008D13A9">
      <w:pPr>
        <w:spacing w:after="0" w:line="360" w:lineRule="auto"/>
        <w:ind w:left="2160" w:firstLine="720"/>
        <w:rPr>
          <w:rFonts w:ascii="Arial" w:eastAsia="Times New Roman" w:hAnsi="Arial" w:cs="Arial"/>
          <w:sz w:val="24"/>
          <w:szCs w:val="24"/>
          <w:lang w:eastAsia="en-GB"/>
        </w:rPr>
      </w:pPr>
      <w:bookmarkStart w:id="0" w:name="_GoBack"/>
      <w:bookmarkEnd w:id="0"/>
      <w:r w:rsidRPr="006A7B9C">
        <w:rPr>
          <w:rFonts w:ascii="Arial" w:eastAsia="Times New Roman" w:hAnsi="Arial" w:cs="Arial"/>
          <w:sz w:val="24"/>
          <w:szCs w:val="24"/>
          <w:lang w:eastAsia="en-GB"/>
        </w:rPr>
        <w:t>REPUBLIC OF SOUTH AFRICA</w:t>
      </w:r>
    </w:p>
    <w:p w14:paraId="13AFB578" w14:textId="77777777" w:rsidR="00ED2FC5" w:rsidRPr="006A7B9C" w:rsidRDefault="00ED2FC5" w:rsidP="008D13A9">
      <w:pPr>
        <w:spacing w:after="0" w:line="360" w:lineRule="auto"/>
        <w:ind w:left="566" w:hangingChars="236" w:hanging="566"/>
        <w:jc w:val="center"/>
        <w:rPr>
          <w:rFonts w:ascii="Arial" w:eastAsia="Times New Roman" w:hAnsi="Arial" w:cs="Arial"/>
          <w:sz w:val="24"/>
          <w:szCs w:val="24"/>
          <w:lang w:eastAsia="en-GB"/>
        </w:rPr>
      </w:pPr>
      <w:r w:rsidRPr="006A7B9C">
        <w:rPr>
          <w:rFonts w:ascii="Arial" w:hAnsi="Arial" w:cs="Arial"/>
          <w:noProof/>
          <w:sz w:val="24"/>
          <w:szCs w:val="24"/>
          <w:lang w:val="en-US"/>
        </w:rPr>
        <w:drawing>
          <wp:inline distT="0" distB="0" distL="0" distR="0" wp14:anchorId="4B46B1FA" wp14:editId="72269D95">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11">
                      <a:extLst>
                        <a:ext uri="{BEBA8EAE-BF5A-486C-A8C5-ECC9F3942E4B}">
                          <a14:imgProps xmlns:a14="http://schemas.microsoft.com/office/drawing/2010/main">
                            <a14:imgLayer r:embed="rId1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56D17444" w14:textId="77777777" w:rsidR="00ED2FC5" w:rsidRPr="006A7B9C" w:rsidRDefault="00ED2FC5" w:rsidP="008D13A9">
      <w:pPr>
        <w:spacing w:after="0" w:line="360" w:lineRule="auto"/>
        <w:ind w:left="566" w:hangingChars="236" w:hanging="566"/>
        <w:jc w:val="center"/>
        <w:rPr>
          <w:rFonts w:ascii="Arial" w:eastAsia="Times New Roman" w:hAnsi="Arial" w:cs="Arial"/>
          <w:sz w:val="24"/>
          <w:szCs w:val="24"/>
          <w:lang w:eastAsia="en-GB"/>
        </w:rPr>
      </w:pPr>
      <w:r w:rsidRPr="006A7B9C">
        <w:rPr>
          <w:rFonts w:ascii="Arial" w:eastAsia="Times New Roman" w:hAnsi="Arial" w:cs="Arial"/>
          <w:sz w:val="24"/>
          <w:szCs w:val="24"/>
          <w:lang w:eastAsia="en-GB"/>
        </w:rPr>
        <w:t>IN THE HIGH COURT OF SOUTH AFRICA</w:t>
      </w:r>
    </w:p>
    <w:p w14:paraId="3C662CF8" w14:textId="77777777" w:rsidR="00ED2FC5" w:rsidRPr="006A7B9C" w:rsidRDefault="00ED2FC5" w:rsidP="008D13A9">
      <w:pPr>
        <w:spacing w:after="0" w:line="360" w:lineRule="auto"/>
        <w:ind w:left="566" w:hangingChars="236" w:hanging="566"/>
        <w:jc w:val="center"/>
        <w:rPr>
          <w:rFonts w:ascii="Arial" w:eastAsia="Times New Roman" w:hAnsi="Arial" w:cs="Arial"/>
          <w:sz w:val="24"/>
          <w:szCs w:val="24"/>
          <w:lang w:eastAsia="en-GB"/>
        </w:rPr>
      </w:pPr>
      <w:r w:rsidRPr="006A7B9C">
        <w:rPr>
          <w:rFonts w:ascii="Arial" w:eastAsia="Times New Roman" w:hAnsi="Arial" w:cs="Arial"/>
          <w:sz w:val="24"/>
          <w:szCs w:val="24"/>
          <w:lang w:eastAsia="en-GB"/>
        </w:rPr>
        <w:t>GAUTENG DIVISION, PRETORIA</w:t>
      </w:r>
    </w:p>
    <w:p w14:paraId="36D7FEE2" w14:textId="77777777" w:rsidR="00F97315" w:rsidRPr="006A7B9C" w:rsidRDefault="003F64B3" w:rsidP="008D13A9">
      <w:pPr>
        <w:pStyle w:val="NormalWeb"/>
        <w:spacing w:before="0" w:beforeAutospacing="0" w:after="0" w:afterAutospacing="0" w:line="360" w:lineRule="auto"/>
        <w:jc w:val="right"/>
        <w:rPr>
          <w:rFonts w:ascii="Arial" w:hAnsi="Arial" w:cs="Arial"/>
          <w:lang w:eastAsia="en-GB"/>
        </w:rPr>
      </w:pPr>
      <w:r w:rsidRPr="006A7B9C">
        <w:rPr>
          <w:rFonts w:ascii="Arial" w:hAnsi="Arial" w:cs="Arial"/>
          <w:lang w:eastAsia="en-GB"/>
        </w:rPr>
        <w:t>CASE NO</w:t>
      </w:r>
      <w:r w:rsidR="00502D52" w:rsidRPr="006A7B9C">
        <w:rPr>
          <w:rFonts w:ascii="Arial" w:hAnsi="Arial" w:cs="Arial"/>
          <w:lang w:eastAsia="en-GB"/>
        </w:rPr>
        <w:t xml:space="preserve">: </w:t>
      </w:r>
      <w:r w:rsidR="00600679" w:rsidRPr="006A7B9C">
        <w:rPr>
          <w:rFonts w:ascii="Arial" w:hAnsi="Arial" w:cs="Arial"/>
          <w:lang w:eastAsia="en-GB"/>
        </w:rPr>
        <w:t>A52/2022</w:t>
      </w:r>
    </w:p>
    <w:p w14:paraId="175A074F" w14:textId="77777777" w:rsidR="00665539" w:rsidRPr="006A7B9C" w:rsidRDefault="00665539" w:rsidP="008D13A9">
      <w:pPr>
        <w:spacing w:after="0" w:line="360" w:lineRule="auto"/>
        <w:ind w:left="566" w:hangingChars="236" w:hanging="566"/>
        <w:jc w:val="right"/>
        <w:rPr>
          <w:rFonts w:ascii="Arial" w:eastAsia="Times New Roman" w:hAnsi="Arial" w:cs="Arial"/>
          <w:sz w:val="24"/>
          <w:szCs w:val="24"/>
          <w:lang w:eastAsia="en-GB"/>
        </w:rPr>
      </w:pPr>
    </w:p>
    <w:p w14:paraId="73D7280E" w14:textId="77777777" w:rsidR="002033C4" w:rsidRPr="006A7B9C" w:rsidRDefault="00F36A7E" w:rsidP="008D13A9">
      <w:pPr>
        <w:spacing w:after="0" w:line="360" w:lineRule="auto"/>
        <w:ind w:left="566" w:hangingChars="236" w:hanging="566"/>
        <w:jc w:val="center"/>
        <w:rPr>
          <w:rFonts w:ascii="Arial" w:eastAsia="Times New Roman" w:hAnsi="Arial" w:cs="Arial"/>
          <w:sz w:val="24"/>
          <w:szCs w:val="24"/>
          <w:lang w:eastAsia="en-GB"/>
        </w:rPr>
      </w:pPr>
      <w:r w:rsidRPr="006A7B9C">
        <w:rPr>
          <w:rFonts w:ascii="Arial" w:hAnsi="Arial" w:cs="Arial"/>
          <w:noProof/>
          <w:sz w:val="24"/>
          <w:szCs w:val="24"/>
          <w:lang w:val="en-US"/>
        </w:rPr>
        <mc:AlternateContent>
          <mc:Choice Requires="wps">
            <w:drawing>
              <wp:anchor distT="0" distB="0" distL="114300" distR="114300" simplePos="0" relativeHeight="251658240" behindDoc="0" locked="0" layoutInCell="1" allowOverlap="1" wp14:anchorId="4E784E32" wp14:editId="688A0817">
                <wp:simplePos x="0" y="0"/>
                <wp:positionH relativeFrom="margin">
                  <wp:align>left</wp:align>
                </wp:positionH>
                <wp:positionV relativeFrom="paragraph">
                  <wp:posOffset>11430</wp:posOffset>
                </wp:positionV>
                <wp:extent cx="3232785" cy="1320800"/>
                <wp:effectExtent l="0" t="0" r="2476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320800"/>
                        </a:xfrm>
                        <a:prstGeom prst="rect">
                          <a:avLst/>
                        </a:prstGeom>
                        <a:solidFill>
                          <a:srgbClr val="FFFFFF"/>
                        </a:solidFill>
                        <a:ln w="9525">
                          <a:solidFill>
                            <a:srgbClr val="000000"/>
                          </a:solidFill>
                          <a:miter lim="800000"/>
                          <a:headEnd/>
                          <a:tailEnd/>
                        </a:ln>
                      </wps:spPr>
                      <wps:txbx>
                        <w:txbxContent>
                          <w:p w14:paraId="44A23E31" w14:textId="77777777" w:rsidR="00B741D6" w:rsidRDefault="00B741D6" w:rsidP="00B55201">
                            <w:pPr>
                              <w:rPr>
                                <w:rFonts w:ascii="Century Gothic" w:hAnsi="Century Gothic"/>
                                <w:b/>
                                <w:sz w:val="20"/>
                                <w:szCs w:val="20"/>
                              </w:rPr>
                            </w:pPr>
                          </w:p>
                          <w:p w14:paraId="1F38C282" w14:textId="7B316B91" w:rsidR="00B741D6" w:rsidRDefault="00B81D04" w:rsidP="00221ACF">
                            <w:pPr>
                              <w:numPr>
                                <w:ilvl w:val="0"/>
                                <w:numId w:val="1"/>
                              </w:numPr>
                              <w:spacing w:after="0" w:line="240" w:lineRule="auto"/>
                              <w:rPr>
                                <w:rFonts w:ascii="Century Gothic" w:hAnsi="Century Gothic"/>
                                <w:sz w:val="20"/>
                                <w:szCs w:val="20"/>
                              </w:rPr>
                            </w:pPr>
                            <w:r>
                              <w:rPr>
                                <w:rFonts w:ascii="Century Gothic" w:hAnsi="Century Gothic"/>
                                <w:sz w:val="20"/>
                                <w:szCs w:val="20"/>
                              </w:rPr>
                              <w:t>REPORTABLE: YES</w:t>
                            </w:r>
                          </w:p>
                          <w:p w14:paraId="5F8AAD7F" w14:textId="286AE78A" w:rsidR="00B741D6" w:rsidRDefault="00B81D04" w:rsidP="00221ACF">
                            <w:pPr>
                              <w:numPr>
                                <w:ilvl w:val="0"/>
                                <w:numId w:val="1"/>
                              </w:numPr>
                              <w:spacing w:after="0" w:line="240" w:lineRule="auto"/>
                              <w:rPr>
                                <w:rFonts w:ascii="Century Gothic" w:hAnsi="Century Gothic"/>
                                <w:sz w:val="20"/>
                                <w:szCs w:val="20"/>
                              </w:rPr>
                            </w:pPr>
                            <w:r>
                              <w:rPr>
                                <w:rFonts w:ascii="Century Gothic" w:hAnsi="Century Gothic"/>
                                <w:sz w:val="20"/>
                                <w:szCs w:val="20"/>
                              </w:rPr>
                              <w:t>OF INTEREST TO OTHER JUDGES: YES</w:t>
                            </w:r>
                          </w:p>
                          <w:p w14:paraId="662ECAC9" w14:textId="77777777" w:rsidR="00B741D6" w:rsidRDefault="00B741D6" w:rsidP="00221ACF">
                            <w:pPr>
                              <w:numPr>
                                <w:ilvl w:val="0"/>
                                <w:numId w:val="1"/>
                              </w:numPr>
                              <w:spacing w:after="0" w:line="240" w:lineRule="auto"/>
                              <w:rPr>
                                <w:rFonts w:ascii="Century Gothic" w:hAnsi="Century Gothic"/>
                                <w:sz w:val="20"/>
                                <w:szCs w:val="20"/>
                              </w:rPr>
                            </w:pPr>
                            <w:r>
                              <w:rPr>
                                <w:rFonts w:ascii="Century Gothic" w:hAnsi="Century Gothic"/>
                                <w:sz w:val="20"/>
                                <w:szCs w:val="20"/>
                              </w:rPr>
                              <w:t>REVISED: NO</w:t>
                            </w:r>
                          </w:p>
                          <w:p w14:paraId="2C265F35" w14:textId="77777777" w:rsidR="00B741D6" w:rsidRDefault="00B741D6"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571F3417" w14:textId="77777777" w:rsidR="00B741D6" w:rsidRDefault="00B741D6" w:rsidP="00ED2FC5">
                            <w:pPr>
                              <w:spacing w:after="0" w:line="240" w:lineRule="auto"/>
                              <w:ind w:firstLine="180"/>
                              <w:rPr>
                                <w:rFonts w:ascii="Century Gothic" w:hAnsi="Century Gothic"/>
                                <w:sz w:val="20"/>
                                <w:szCs w:val="20"/>
                              </w:rPr>
                            </w:pPr>
                            <w:r>
                              <w:rPr>
                                <w:rFonts w:ascii="Century Gothic" w:hAnsi="Century Gothic"/>
                                <w:sz w:val="20"/>
                                <w:szCs w:val="20"/>
                              </w:rPr>
                              <w:t>________________                   ___________________</w:t>
                            </w:r>
                          </w:p>
                          <w:p w14:paraId="631E4D44" w14:textId="77777777" w:rsidR="00B741D6" w:rsidRPr="00F36A7E" w:rsidRDefault="00B741D6" w:rsidP="00F36A7E">
                            <w:pPr>
                              <w:spacing w:after="0" w:line="240" w:lineRule="auto"/>
                              <w:ind w:firstLine="180"/>
                              <w:rPr>
                                <w:rFonts w:ascii="Century Gothic" w:hAnsi="Century Gothic"/>
                                <w:sz w:val="20"/>
                                <w:szCs w:val="20"/>
                              </w:rPr>
                            </w:pPr>
                            <w:r>
                              <w:rPr>
                                <w:rFonts w:ascii="Century Gothic" w:hAnsi="Century Gothic"/>
                                <w:sz w:val="20"/>
                                <w:szCs w:val="20"/>
                              </w:rPr>
                              <w:t xml:space="preserve">Date   </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Century Gothic" w:hAnsi="Century Gothic"/>
                                <w:sz w:val="20"/>
                                <w:szCs w:val="20"/>
                              </w:rPr>
                              <w:t>Signature</w:t>
                            </w: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4E784E32" id="_x0000_t202" coordsize="21600,21600" o:spt="202" path="m,l,21600r21600,l21600,xe">
                <v:stroke joinstyle="miter"/>
                <v:path gradientshapeok="t" o:connecttype="rect"/>
              </v:shapetype>
              <v:shape id="Text Box 2" o:spid="_x0000_s1026" type="#_x0000_t202" style="position:absolute;left:0;text-align:left;margin-left:0;margin-top:.9pt;width:254.55pt;height:104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">
                <v:textbox>
                  <w:txbxContent>
                    <w:p w14:paraId="44A23E31" w14:textId="77777777" w:rsidR="00B741D6" w:rsidRDefault="00B741D6" w:rsidP="00B55201">
                      <w:pPr>
                        <w:rPr>
                          <w:rFonts w:ascii="Century Gothic" w:hAnsi="Century Gothic"/>
                          <w:b/>
                          <w:sz w:val="20"/>
                          <w:szCs w:val="20"/>
                        </w:rPr>
                      </w:pPr>
                    </w:p>
                    <w:p w14:paraId="1F38C282" w14:textId="7B316B91" w:rsidR="00B741D6" w:rsidRDefault="00B81D04" w:rsidP="00221ACF">
                      <w:pPr>
                        <w:numPr>
                          <w:ilvl w:val="0"/>
                          <w:numId w:val="1"/>
                        </w:numPr>
                        <w:spacing w:after="0" w:line="240" w:lineRule="auto"/>
                        <w:rPr>
                          <w:rFonts w:ascii="Century Gothic" w:hAnsi="Century Gothic"/>
                          <w:sz w:val="20"/>
                          <w:szCs w:val="20"/>
                        </w:rPr>
                      </w:pPr>
                      <w:r>
                        <w:rPr>
                          <w:rFonts w:ascii="Century Gothic" w:hAnsi="Century Gothic"/>
                          <w:sz w:val="20"/>
                          <w:szCs w:val="20"/>
                        </w:rPr>
                        <w:t>REPORTABLE: YES</w:t>
                      </w:r>
                    </w:p>
                    <w:p w14:paraId="5F8AAD7F" w14:textId="286AE78A" w:rsidR="00B741D6" w:rsidRDefault="00B81D04" w:rsidP="00221ACF">
                      <w:pPr>
                        <w:numPr>
                          <w:ilvl w:val="0"/>
                          <w:numId w:val="1"/>
                        </w:numPr>
                        <w:spacing w:after="0" w:line="240" w:lineRule="auto"/>
                        <w:rPr>
                          <w:rFonts w:ascii="Century Gothic" w:hAnsi="Century Gothic"/>
                          <w:sz w:val="20"/>
                          <w:szCs w:val="20"/>
                        </w:rPr>
                      </w:pPr>
                      <w:r>
                        <w:rPr>
                          <w:rFonts w:ascii="Century Gothic" w:hAnsi="Century Gothic"/>
                          <w:sz w:val="20"/>
                          <w:szCs w:val="20"/>
                        </w:rPr>
                        <w:t>OF INTEREST TO OTHER JUDGES: YES</w:t>
                      </w:r>
                    </w:p>
                    <w:p w14:paraId="662ECAC9" w14:textId="77777777" w:rsidR="00B741D6" w:rsidRDefault="00B741D6" w:rsidP="00221ACF">
                      <w:pPr>
                        <w:numPr>
                          <w:ilvl w:val="0"/>
                          <w:numId w:val="1"/>
                        </w:numPr>
                        <w:spacing w:after="0" w:line="240" w:lineRule="auto"/>
                        <w:rPr>
                          <w:rFonts w:ascii="Century Gothic" w:hAnsi="Century Gothic"/>
                          <w:sz w:val="20"/>
                          <w:szCs w:val="20"/>
                        </w:rPr>
                      </w:pPr>
                      <w:r>
                        <w:rPr>
                          <w:rFonts w:ascii="Century Gothic" w:hAnsi="Century Gothic"/>
                          <w:sz w:val="20"/>
                          <w:szCs w:val="20"/>
                        </w:rPr>
                        <w:t>REVISED: NO</w:t>
                      </w:r>
                    </w:p>
                    <w:p w14:paraId="2C265F35" w14:textId="77777777" w:rsidR="00B741D6" w:rsidRDefault="00B741D6"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571F3417" w14:textId="77777777" w:rsidR="00B741D6" w:rsidRDefault="00B741D6" w:rsidP="00ED2FC5">
                      <w:pPr>
                        <w:spacing w:after="0" w:line="240" w:lineRule="auto"/>
                        <w:ind w:firstLine="180"/>
                        <w:rPr>
                          <w:rFonts w:ascii="Century Gothic" w:hAnsi="Century Gothic"/>
                          <w:sz w:val="20"/>
                          <w:szCs w:val="20"/>
                        </w:rPr>
                      </w:pPr>
                      <w:r>
                        <w:rPr>
                          <w:rFonts w:ascii="Century Gothic" w:hAnsi="Century Gothic"/>
                          <w:sz w:val="20"/>
                          <w:szCs w:val="20"/>
                        </w:rPr>
                        <w:t>________________                   ___________________</w:t>
                      </w:r>
                    </w:p>
                    <w:p w14:paraId="631E4D44" w14:textId="77777777" w:rsidR="00B741D6" w:rsidRPr="00F36A7E" w:rsidRDefault="00B741D6" w:rsidP="00F36A7E">
                      <w:pPr>
                        <w:spacing w:after="0" w:line="240" w:lineRule="auto"/>
                        <w:ind w:firstLine="180"/>
                        <w:rPr>
                          <w:rFonts w:ascii="Century Gothic" w:hAnsi="Century Gothic"/>
                          <w:sz w:val="20"/>
                          <w:szCs w:val="20"/>
                        </w:rPr>
                      </w:pPr>
                      <w:r>
                        <w:rPr>
                          <w:rFonts w:ascii="Century Gothic" w:hAnsi="Century Gothic"/>
                          <w:sz w:val="20"/>
                          <w:szCs w:val="20"/>
                        </w:rPr>
                        <w:t xml:space="preserve">Date   </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Century Gothic" w:hAnsi="Century Gothic"/>
                          <w:sz w:val="20"/>
                          <w:szCs w:val="20"/>
                        </w:rPr>
                        <w:t>Signature</w:t>
                      </w:r>
                      <w:r>
                        <w:rPr>
                          <w:rFonts w:ascii="Century Gothic" w:hAnsi="Century Gothic"/>
                          <w:b/>
                          <w:sz w:val="18"/>
                          <w:szCs w:val="18"/>
                        </w:rPr>
                        <w:t xml:space="preserve">    </w:t>
                      </w:r>
                    </w:p>
                  </w:txbxContent>
                </v:textbox>
                <w10:wrap anchorx="margin"/>
              </v:shape>
            </w:pict>
          </mc:Fallback>
        </mc:AlternateContent>
      </w:r>
    </w:p>
    <w:p w14:paraId="2028906F" w14:textId="77777777" w:rsidR="00C160A1" w:rsidRPr="006A7B9C" w:rsidRDefault="00C160A1" w:rsidP="008D13A9">
      <w:pPr>
        <w:spacing w:after="0" w:line="360" w:lineRule="auto"/>
        <w:jc w:val="center"/>
        <w:rPr>
          <w:rFonts w:ascii="Arial" w:hAnsi="Arial" w:cs="Arial"/>
          <w:sz w:val="24"/>
          <w:szCs w:val="24"/>
        </w:rPr>
      </w:pPr>
    </w:p>
    <w:p w14:paraId="4F39A2CD" w14:textId="77777777" w:rsidR="00ED2FC5" w:rsidRPr="006A7B9C" w:rsidRDefault="00ED2FC5" w:rsidP="008D13A9">
      <w:pPr>
        <w:tabs>
          <w:tab w:val="left" w:pos="4917"/>
        </w:tabs>
        <w:spacing w:after="0" w:line="360" w:lineRule="auto"/>
        <w:jc w:val="center"/>
        <w:rPr>
          <w:rFonts w:ascii="Arial" w:hAnsi="Arial" w:cs="Arial"/>
          <w:sz w:val="24"/>
          <w:szCs w:val="24"/>
        </w:rPr>
      </w:pPr>
    </w:p>
    <w:p w14:paraId="71278051" w14:textId="77777777" w:rsidR="00ED2FC5" w:rsidRPr="006A7B9C" w:rsidRDefault="00ED2FC5" w:rsidP="008D13A9">
      <w:pPr>
        <w:tabs>
          <w:tab w:val="left" w:pos="4917"/>
        </w:tabs>
        <w:spacing w:after="0" w:line="360" w:lineRule="auto"/>
        <w:jc w:val="center"/>
        <w:rPr>
          <w:rFonts w:ascii="Arial" w:hAnsi="Arial" w:cs="Arial"/>
          <w:sz w:val="24"/>
          <w:szCs w:val="24"/>
        </w:rPr>
      </w:pPr>
    </w:p>
    <w:p w14:paraId="13728835" w14:textId="77777777" w:rsidR="00C17911" w:rsidRPr="006A7B9C" w:rsidRDefault="00C17911" w:rsidP="008D13A9">
      <w:pPr>
        <w:tabs>
          <w:tab w:val="left" w:pos="4917"/>
        </w:tabs>
        <w:spacing w:after="0" w:line="360" w:lineRule="auto"/>
        <w:rPr>
          <w:rFonts w:ascii="Arial" w:hAnsi="Arial" w:cs="Arial"/>
          <w:sz w:val="24"/>
          <w:szCs w:val="24"/>
        </w:rPr>
      </w:pPr>
    </w:p>
    <w:p w14:paraId="43860E71" w14:textId="77777777" w:rsidR="009C403B" w:rsidRDefault="009C403B" w:rsidP="008D13A9">
      <w:pPr>
        <w:tabs>
          <w:tab w:val="left" w:pos="4917"/>
        </w:tabs>
        <w:spacing w:after="0" w:line="360" w:lineRule="auto"/>
        <w:rPr>
          <w:rFonts w:ascii="Arial" w:hAnsi="Arial" w:cs="Arial"/>
          <w:sz w:val="24"/>
          <w:szCs w:val="24"/>
        </w:rPr>
      </w:pPr>
    </w:p>
    <w:p w14:paraId="2BE01892" w14:textId="063893AD" w:rsidR="00195336" w:rsidRDefault="009C6780" w:rsidP="008D13A9">
      <w:pPr>
        <w:tabs>
          <w:tab w:val="left" w:pos="4917"/>
        </w:tabs>
        <w:spacing w:after="0" w:line="360" w:lineRule="auto"/>
        <w:rPr>
          <w:rFonts w:ascii="Arial" w:hAnsi="Arial" w:cs="Arial"/>
          <w:sz w:val="24"/>
          <w:szCs w:val="24"/>
        </w:rPr>
      </w:pPr>
      <w:r w:rsidRPr="006A7B9C">
        <w:rPr>
          <w:rFonts w:ascii="Arial" w:hAnsi="Arial" w:cs="Arial"/>
          <w:sz w:val="24"/>
          <w:szCs w:val="24"/>
        </w:rPr>
        <w:t>In the matter between:</w:t>
      </w:r>
    </w:p>
    <w:p w14:paraId="4F1B5F2C" w14:textId="77777777" w:rsidR="00195336" w:rsidRPr="006A7B9C" w:rsidRDefault="00195336" w:rsidP="008D13A9">
      <w:pPr>
        <w:tabs>
          <w:tab w:val="left" w:pos="4917"/>
        </w:tabs>
        <w:spacing w:after="0" w:line="360" w:lineRule="auto"/>
        <w:rPr>
          <w:rFonts w:ascii="Arial" w:hAnsi="Arial" w:cs="Arial"/>
          <w:sz w:val="24"/>
          <w:szCs w:val="24"/>
        </w:rPr>
      </w:pPr>
    </w:p>
    <w:p w14:paraId="6E749F2A" w14:textId="103F164C" w:rsidR="009C403B" w:rsidRDefault="00B04F7A" w:rsidP="008D13A9">
      <w:pPr>
        <w:tabs>
          <w:tab w:val="left" w:pos="3375"/>
          <w:tab w:val="left" w:pos="4917"/>
        </w:tabs>
        <w:spacing w:after="0" w:line="360" w:lineRule="auto"/>
        <w:rPr>
          <w:rFonts w:ascii="Arial" w:hAnsi="Arial" w:cs="Arial"/>
          <w:sz w:val="24"/>
          <w:szCs w:val="24"/>
        </w:rPr>
      </w:pPr>
      <w:r w:rsidRPr="006A7B9C">
        <w:rPr>
          <w:rFonts w:ascii="Arial" w:hAnsi="Arial" w:cs="Arial"/>
          <w:sz w:val="24"/>
          <w:szCs w:val="24"/>
        </w:rPr>
        <w:t xml:space="preserve">HENNOPS SPORTS (PTY) LTD </w:t>
      </w:r>
      <w:r w:rsidRPr="006A7B9C">
        <w:rPr>
          <w:rFonts w:ascii="Arial" w:hAnsi="Arial" w:cs="Arial"/>
          <w:sz w:val="24"/>
          <w:szCs w:val="24"/>
        </w:rPr>
        <w:tab/>
      </w:r>
      <w:r w:rsidR="00A03CD6" w:rsidRPr="006A7B9C">
        <w:rPr>
          <w:rFonts w:ascii="Arial" w:hAnsi="Arial" w:cs="Arial"/>
          <w:sz w:val="24"/>
          <w:szCs w:val="24"/>
        </w:rPr>
        <w:tab/>
      </w:r>
      <w:r w:rsidR="00A03CD6" w:rsidRPr="006A7B9C">
        <w:rPr>
          <w:rFonts w:ascii="Arial" w:hAnsi="Arial" w:cs="Arial"/>
          <w:sz w:val="24"/>
          <w:szCs w:val="24"/>
        </w:rPr>
        <w:tab/>
      </w:r>
      <w:r w:rsidR="00A03CD6" w:rsidRPr="006A7B9C">
        <w:rPr>
          <w:rFonts w:ascii="Arial" w:hAnsi="Arial" w:cs="Arial"/>
          <w:sz w:val="24"/>
          <w:szCs w:val="24"/>
        </w:rPr>
        <w:tab/>
      </w:r>
      <w:r w:rsidR="00424660">
        <w:rPr>
          <w:rFonts w:ascii="Arial" w:hAnsi="Arial" w:cs="Arial"/>
          <w:sz w:val="24"/>
          <w:szCs w:val="24"/>
        </w:rPr>
        <w:tab/>
      </w:r>
      <w:r w:rsidR="00424660">
        <w:rPr>
          <w:rFonts w:ascii="Arial" w:hAnsi="Arial" w:cs="Arial"/>
          <w:sz w:val="24"/>
          <w:szCs w:val="24"/>
        </w:rPr>
        <w:tab/>
        <w:t xml:space="preserve">   </w:t>
      </w:r>
      <w:r w:rsidR="00F97315" w:rsidRPr="006A7B9C">
        <w:rPr>
          <w:rFonts w:ascii="Arial" w:hAnsi="Arial" w:cs="Arial"/>
          <w:sz w:val="24"/>
          <w:szCs w:val="24"/>
        </w:rPr>
        <w:t>APPELLANT</w:t>
      </w:r>
    </w:p>
    <w:p w14:paraId="681EF56C" w14:textId="00132394" w:rsidR="00BB506C" w:rsidRPr="006A7B9C" w:rsidRDefault="00BB506C" w:rsidP="008D13A9">
      <w:pPr>
        <w:tabs>
          <w:tab w:val="left" w:pos="3375"/>
          <w:tab w:val="left" w:pos="4917"/>
        </w:tabs>
        <w:spacing w:after="0" w:line="360" w:lineRule="auto"/>
        <w:rPr>
          <w:rFonts w:ascii="Arial" w:hAnsi="Arial" w:cs="Arial"/>
          <w:sz w:val="24"/>
          <w:szCs w:val="24"/>
        </w:rPr>
      </w:pPr>
    </w:p>
    <w:p w14:paraId="06BA134B" w14:textId="7B0427E6" w:rsidR="00BB506C" w:rsidRDefault="009C403B" w:rsidP="008D13A9">
      <w:pPr>
        <w:tabs>
          <w:tab w:val="left" w:pos="4917"/>
        </w:tabs>
        <w:spacing w:after="0" w:line="360" w:lineRule="auto"/>
        <w:rPr>
          <w:rFonts w:ascii="Arial" w:hAnsi="Arial" w:cs="Arial"/>
          <w:sz w:val="24"/>
          <w:szCs w:val="24"/>
        </w:rPr>
      </w:pPr>
      <w:r w:rsidRPr="006A7B9C">
        <w:rPr>
          <w:rFonts w:ascii="Arial" w:hAnsi="Arial" w:cs="Arial"/>
          <w:sz w:val="24"/>
          <w:szCs w:val="24"/>
        </w:rPr>
        <w:t>A</w:t>
      </w:r>
      <w:r w:rsidR="00BB506C" w:rsidRPr="006A7B9C">
        <w:rPr>
          <w:rFonts w:ascii="Arial" w:hAnsi="Arial" w:cs="Arial"/>
          <w:sz w:val="24"/>
          <w:szCs w:val="24"/>
        </w:rPr>
        <w:t>nd</w:t>
      </w:r>
    </w:p>
    <w:p w14:paraId="4C209B5B" w14:textId="77777777" w:rsidR="009C403B" w:rsidRPr="006A7B9C" w:rsidRDefault="009C403B" w:rsidP="008D13A9">
      <w:pPr>
        <w:tabs>
          <w:tab w:val="left" w:pos="4917"/>
        </w:tabs>
        <w:spacing w:after="0" w:line="360" w:lineRule="auto"/>
        <w:rPr>
          <w:rFonts w:ascii="Arial" w:hAnsi="Arial" w:cs="Arial"/>
          <w:sz w:val="24"/>
          <w:szCs w:val="24"/>
        </w:rPr>
      </w:pPr>
    </w:p>
    <w:p w14:paraId="2B82DCAB" w14:textId="77777777" w:rsidR="00F97315" w:rsidRPr="006A7B9C" w:rsidRDefault="00B04F7A" w:rsidP="008D13A9">
      <w:pPr>
        <w:spacing w:after="0" w:line="360" w:lineRule="auto"/>
        <w:rPr>
          <w:rFonts w:ascii="Arial" w:hAnsi="Arial" w:cs="Arial"/>
          <w:sz w:val="24"/>
          <w:szCs w:val="24"/>
        </w:rPr>
      </w:pPr>
      <w:r w:rsidRPr="006A7B9C">
        <w:rPr>
          <w:rFonts w:ascii="Arial" w:hAnsi="Arial" w:cs="Arial"/>
          <w:sz w:val="24"/>
          <w:szCs w:val="24"/>
        </w:rPr>
        <w:t>LUHAN AUTO (PTY) LTD</w:t>
      </w:r>
      <w:r w:rsidRPr="006A7B9C">
        <w:rPr>
          <w:rFonts w:ascii="Arial" w:hAnsi="Arial" w:cs="Arial"/>
          <w:sz w:val="24"/>
          <w:szCs w:val="24"/>
        </w:rPr>
        <w:tab/>
      </w:r>
      <w:r w:rsidRPr="006A7B9C">
        <w:rPr>
          <w:rFonts w:ascii="Arial" w:hAnsi="Arial" w:cs="Arial"/>
          <w:sz w:val="24"/>
          <w:szCs w:val="24"/>
        </w:rPr>
        <w:tab/>
      </w:r>
      <w:r w:rsidRPr="006A7B9C">
        <w:rPr>
          <w:rFonts w:ascii="Arial" w:hAnsi="Arial" w:cs="Arial"/>
          <w:sz w:val="24"/>
          <w:szCs w:val="24"/>
        </w:rPr>
        <w:tab/>
      </w:r>
      <w:r w:rsidRPr="006A7B9C">
        <w:rPr>
          <w:rFonts w:ascii="Arial" w:hAnsi="Arial" w:cs="Arial"/>
          <w:sz w:val="24"/>
          <w:szCs w:val="24"/>
        </w:rPr>
        <w:tab/>
      </w:r>
      <w:r w:rsidRPr="006A7B9C">
        <w:rPr>
          <w:rFonts w:ascii="Arial" w:hAnsi="Arial" w:cs="Arial"/>
          <w:sz w:val="24"/>
          <w:szCs w:val="24"/>
        </w:rPr>
        <w:tab/>
      </w:r>
      <w:r w:rsidRPr="006A7B9C">
        <w:rPr>
          <w:rFonts w:ascii="Arial" w:hAnsi="Arial" w:cs="Arial"/>
          <w:sz w:val="24"/>
          <w:szCs w:val="24"/>
        </w:rPr>
        <w:tab/>
      </w:r>
      <w:r w:rsidRPr="006A7B9C">
        <w:rPr>
          <w:rFonts w:ascii="Arial" w:hAnsi="Arial" w:cs="Arial"/>
          <w:sz w:val="24"/>
          <w:szCs w:val="24"/>
        </w:rPr>
        <w:tab/>
      </w:r>
      <w:r w:rsidR="00424660">
        <w:rPr>
          <w:rFonts w:ascii="Arial" w:hAnsi="Arial" w:cs="Arial"/>
          <w:sz w:val="24"/>
          <w:szCs w:val="24"/>
        </w:rPr>
        <w:t xml:space="preserve">          </w:t>
      </w:r>
      <w:r w:rsidR="004C407A" w:rsidRPr="006A7B9C">
        <w:rPr>
          <w:rFonts w:ascii="Arial" w:hAnsi="Arial" w:cs="Arial"/>
          <w:sz w:val="24"/>
          <w:szCs w:val="24"/>
        </w:rPr>
        <w:t>RESPONDENT</w:t>
      </w:r>
    </w:p>
    <w:p w14:paraId="56585D58" w14:textId="77777777" w:rsidR="00F97315" w:rsidRPr="006A7B9C" w:rsidRDefault="00F97315" w:rsidP="008D13A9">
      <w:pPr>
        <w:spacing w:after="0" w:line="360" w:lineRule="auto"/>
        <w:rPr>
          <w:rFonts w:ascii="Arial" w:hAnsi="Arial" w:cs="Arial"/>
          <w:sz w:val="24"/>
          <w:szCs w:val="24"/>
        </w:rPr>
      </w:pPr>
    </w:p>
    <w:p w14:paraId="1701CEEA" w14:textId="77777777" w:rsidR="00F91EAF" w:rsidRPr="006A7B9C" w:rsidRDefault="00F73FF3" w:rsidP="0019783A">
      <w:pPr>
        <w:tabs>
          <w:tab w:val="left" w:pos="1215"/>
        </w:tabs>
        <w:spacing w:after="0" w:line="360" w:lineRule="auto"/>
        <w:jc w:val="both"/>
        <w:rPr>
          <w:rFonts w:ascii="Arial" w:eastAsia="Calibri" w:hAnsi="Arial" w:cs="Arial"/>
          <w:sz w:val="24"/>
          <w:szCs w:val="24"/>
        </w:rPr>
      </w:pPr>
      <w:r w:rsidRPr="006A7B9C">
        <w:rPr>
          <w:rFonts w:ascii="Arial" w:eastAsia="Calibri" w:hAnsi="Arial" w:cs="Arial"/>
          <w:sz w:val="24"/>
          <w:szCs w:val="24"/>
        </w:rPr>
        <w:t>Summary:</w:t>
      </w:r>
      <w:r w:rsidRPr="006A7B9C">
        <w:rPr>
          <w:rFonts w:ascii="Arial" w:eastAsia="Calibri" w:hAnsi="Arial" w:cs="Arial"/>
          <w:sz w:val="24"/>
          <w:szCs w:val="24"/>
        </w:rPr>
        <w:tab/>
      </w:r>
      <w:r w:rsidRPr="006A7B9C">
        <w:rPr>
          <w:rFonts w:ascii="Arial" w:eastAsia="Calibri" w:hAnsi="Arial" w:cs="Arial"/>
          <w:sz w:val="24"/>
          <w:szCs w:val="24"/>
        </w:rPr>
        <w:tab/>
      </w:r>
      <w:r w:rsidR="00B04F7A" w:rsidRPr="006A7B9C">
        <w:rPr>
          <w:rFonts w:ascii="Arial" w:eastAsia="Calibri" w:hAnsi="Arial" w:cs="Arial"/>
          <w:sz w:val="24"/>
          <w:szCs w:val="24"/>
        </w:rPr>
        <w:t>Appeal against a judgment of the Magistrate’s Court. The appellant is claiming arrear rental and penalties arising from a written lease agreement. Parties concluded a lease agreement, in terms of which the appellant (lessor) leased certain premises to the respondent (lessee) in order to conduct a motor vehicle dealership bu</w:t>
      </w:r>
      <w:r w:rsidR="00E20DE5" w:rsidRPr="006A7B9C">
        <w:rPr>
          <w:rFonts w:ascii="Arial" w:eastAsia="Calibri" w:hAnsi="Arial" w:cs="Arial"/>
          <w:sz w:val="24"/>
          <w:szCs w:val="24"/>
        </w:rPr>
        <w:t>siness. During March 2020, the G</w:t>
      </w:r>
      <w:r w:rsidR="00B04F7A" w:rsidRPr="006A7B9C">
        <w:rPr>
          <w:rFonts w:ascii="Arial" w:eastAsia="Calibri" w:hAnsi="Arial" w:cs="Arial"/>
          <w:sz w:val="24"/>
          <w:szCs w:val="24"/>
        </w:rPr>
        <w:t>overnment of South Africa issued regulations in order to manage the outbreak of a COVID-19 pandemic. In the</w:t>
      </w:r>
      <w:r w:rsidR="00E20DE5" w:rsidRPr="006A7B9C">
        <w:rPr>
          <w:rFonts w:ascii="Arial" w:eastAsia="Calibri" w:hAnsi="Arial" w:cs="Arial"/>
          <w:sz w:val="24"/>
          <w:szCs w:val="24"/>
        </w:rPr>
        <w:t>se</w:t>
      </w:r>
      <w:r w:rsidR="00B04F7A" w:rsidRPr="006A7B9C">
        <w:rPr>
          <w:rFonts w:ascii="Arial" w:eastAsia="Calibri" w:hAnsi="Arial" w:cs="Arial"/>
          <w:sz w:val="24"/>
          <w:szCs w:val="24"/>
        </w:rPr>
        <w:t xml:space="preserve"> regulations</w:t>
      </w:r>
      <w:r w:rsidR="00E20DE5" w:rsidRPr="006A7B9C">
        <w:rPr>
          <w:rFonts w:ascii="Arial" w:eastAsia="Calibri" w:hAnsi="Arial" w:cs="Arial"/>
          <w:sz w:val="24"/>
          <w:szCs w:val="24"/>
        </w:rPr>
        <w:t>, it was proclaimed that</w:t>
      </w:r>
      <w:r w:rsidR="00B04F7A" w:rsidRPr="006A7B9C">
        <w:rPr>
          <w:rFonts w:ascii="Arial" w:eastAsia="Calibri" w:hAnsi="Arial" w:cs="Arial"/>
          <w:sz w:val="24"/>
          <w:szCs w:val="24"/>
        </w:rPr>
        <w:t xml:space="preserve"> al</w:t>
      </w:r>
      <w:r w:rsidR="00E20DE5" w:rsidRPr="006A7B9C">
        <w:rPr>
          <w:rFonts w:ascii="Arial" w:eastAsia="Calibri" w:hAnsi="Arial" w:cs="Arial"/>
          <w:sz w:val="24"/>
          <w:szCs w:val="24"/>
        </w:rPr>
        <w:t>l non-essential businesses were</w:t>
      </w:r>
      <w:r w:rsidR="00F91EAF" w:rsidRPr="006A7B9C">
        <w:rPr>
          <w:rFonts w:ascii="Arial" w:eastAsia="Calibri" w:hAnsi="Arial" w:cs="Arial"/>
          <w:sz w:val="24"/>
          <w:szCs w:val="24"/>
        </w:rPr>
        <w:t xml:space="preserve"> to cease operations during a lockdown period. The business</w:t>
      </w:r>
      <w:r w:rsidR="00E20DE5" w:rsidRPr="006A7B9C">
        <w:rPr>
          <w:rFonts w:ascii="Arial" w:eastAsia="Calibri" w:hAnsi="Arial" w:cs="Arial"/>
          <w:sz w:val="24"/>
          <w:szCs w:val="24"/>
        </w:rPr>
        <w:t xml:space="preserve"> (motor vehicle dealership)</w:t>
      </w:r>
      <w:r w:rsidR="00F91EAF" w:rsidRPr="006A7B9C">
        <w:rPr>
          <w:rFonts w:ascii="Arial" w:eastAsia="Calibri" w:hAnsi="Arial" w:cs="Arial"/>
          <w:sz w:val="24"/>
          <w:szCs w:val="24"/>
        </w:rPr>
        <w:t xml:space="preserve"> ran by the lessee was a non-essential busines</w:t>
      </w:r>
      <w:r w:rsidR="00E20DE5" w:rsidRPr="006A7B9C">
        <w:rPr>
          <w:rFonts w:ascii="Arial" w:eastAsia="Calibri" w:hAnsi="Arial" w:cs="Arial"/>
          <w:sz w:val="24"/>
          <w:szCs w:val="24"/>
        </w:rPr>
        <w:t xml:space="preserve">s and it </w:t>
      </w:r>
      <w:r w:rsidR="00E20DE5" w:rsidRPr="006A7B9C">
        <w:rPr>
          <w:rFonts w:ascii="Arial" w:eastAsia="Calibri" w:hAnsi="Arial" w:cs="Arial"/>
          <w:sz w:val="24"/>
          <w:szCs w:val="24"/>
        </w:rPr>
        <w:lastRenderedPageBreak/>
        <w:t>closed down as regulated</w:t>
      </w:r>
      <w:r w:rsidR="00F91EAF" w:rsidRPr="006A7B9C">
        <w:rPr>
          <w:rFonts w:ascii="Arial" w:eastAsia="Calibri" w:hAnsi="Arial" w:cs="Arial"/>
          <w:sz w:val="24"/>
          <w:szCs w:val="24"/>
        </w:rPr>
        <w:t>. Resultantly, the lessee was unable to</w:t>
      </w:r>
      <w:r w:rsidR="00E20DE5" w:rsidRPr="006A7B9C">
        <w:rPr>
          <w:rFonts w:ascii="Arial" w:eastAsia="Calibri" w:hAnsi="Arial" w:cs="Arial"/>
          <w:sz w:val="24"/>
          <w:szCs w:val="24"/>
        </w:rPr>
        <w:t xml:space="preserve"> generate income to</w:t>
      </w:r>
      <w:r w:rsidR="00F91EAF" w:rsidRPr="006A7B9C">
        <w:rPr>
          <w:rFonts w:ascii="Arial" w:eastAsia="Calibri" w:hAnsi="Arial" w:cs="Arial"/>
          <w:sz w:val="24"/>
          <w:szCs w:val="24"/>
        </w:rPr>
        <w:t xml:space="preserve"> afford the agreed rental amount. A compromise was reached between the lessor and the lessee to reduce the rental amount for a certain period.</w:t>
      </w:r>
    </w:p>
    <w:p w14:paraId="3B6BA799" w14:textId="77777777" w:rsidR="00F91EAF" w:rsidRPr="006A7B9C" w:rsidRDefault="00F91EAF" w:rsidP="0019783A">
      <w:pPr>
        <w:tabs>
          <w:tab w:val="left" w:pos="1215"/>
        </w:tabs>
        <w:spacing w:after="0" w:line="360" w:lineRule="auto"/>
        <w:jc w:val="both"/>
        <w:rPr>
          <w:rFonts w:ascii="Arial" w:eastAsia="Calibri" w:hAnsi="Arial" w:cs="Arial"/>
          <w:sz w:val="24"/>
          <w:szCs w:val="24"/>
        </w:rPr>
      </w:pPr>
    </w:p>
    <w:p w14:paraId="2C096217" w14:textId="7948A79A" w:rsidR="004E4F4A" w:rsidRPr="006A7B9C" w:rsidRDefault="00F91EAF">
      <w:pPr>
        <w:tabs>
          <w:tab w:val="left" w:pos="1215"/>
        </w:tabs>
        <w:spacing w:after="0" w:line="360" w:lineRule="auto"/>
        <w:jc w:val="both"/>
        <w:rPr>
          <w:rFonts w:ascii="Arial" w:eastAsia="Calibri" w:hAnsi="Arial" w:cs="Arial"/>
          <w:sz w:val="24"/>
          <w:szCs w:val="24"/>
        </w:rPr>
      </w:pPr>
      <w:r w:rsidRPr="006A7B9C">
        <w:rPr>
          <w:rFonts w:ascii="Arial" w:eastAsia="Calibri" w:hAnsi="Arial" w:cs="Arial"/>
          <w:sz w:val="24"/>
          <w:szCs w:val="24"/>
        </w:rPr>
        <w:t>That notwithstanding, the lessee fell into arrears.</w:t>
      </w:r>
      <w:r w:rsidR="00E20DE5" w:rsidRPr="006A7B9C">
        <w:rPr>
          <w:rFonts w:ascii="Arial" w:eastAsia="Calibri" w:hAnsi="Arial" w:cs="Arial"/>
          <w:sz w:val="24"/>
          <w:szCs w:val="24"/>
        </w:rPr>
        <w:t xml:space="preserve"> Accordingly, as agreed, the lessor unilaterally cancelled the compromise. In due course</w:t>
      </w:r>
      <w:r w:rsidRPr="006A7B9C">
        <w:rPr>
          <w:rFonts w:ascii="Arial" w:eastAsia="Calibri" w:hAnsi="Arial" w:cs="Arial"/>
          <w:sz w:val="24"/>
          <w:szCs w:val="24"/>
        </w:rPr>
        <w:t xml:space="preserve">, the lessor instituted a claim for </w:t>
      </w:r>
      <w:r w:rsidR="00E20DE5" w:rsidRPr="006A7B9C">
        <w:rPr>
          <w:rFonts w:ascii="Arial" w:eastAsia="Calibri" w:hAnsi="Arial" w:cs="Arial"/>
          <w:sz w:val="24"/>
          <w:szCs w:val="24"/>
        </w:rPr>
        <w:t xml:space="preserve">the </w:t>
      </w:r>
      <w:r w:rsidRPr="006A7B9C">
        <w:rPr>
          <w:rFonts w:ascii="Arial" w:eastAsia="Calibri" w:hAnsi="Arial" w:cs="Arial"/>
          <w:sz w:val="24"/>
          <w:szCs w:val="24"/>
        </w:rPr>
        <w:t xml:space="preserve">payment of arrear rental and penalties in the Court </w:t>
      </w:r>
      <w:r w:rsidRPr="006A7B9C">
        <w:rPr>
          <w:rFonts w:ascii="Arial" w:eastAsia="Calibri" w:hAnsi="Arial" w:cs="Arial"/>
          <w:i/>
          <w:sz w:val="24"/>
          <w:szCs w:val="24"/>
        </w:rPr>
        <w:t>a quo</w:t>
      </w:r>
      <w:r w:rsidRPr="006A7B9C">
        <w:rPr>
          <w:rFonts w:ascii="Arial" w:eastAsia="Calibri" w:hAnsi="Arial" w:cs="Arial"/>
          <w:sz w:val="24"/>
          <w:szCs w:val="24"/>
        </w:rPr>
        <w:t>. The lessee raised a defence of</w:t>
      </w:r>
      <w:r w:rsidR="00E20DE5" w:rsidRPr="006A7B9C">
        <w:rPr>
          <w:rFonts w:ascii="Arial" w:eastAsia="Calibri" w:hAnsi="Arial" w:cs="Arial"/>
          <w:sz w:val="24"/>
          <w:szCs w:val="24"/>
        </w:rPr>
        <w:t xml:space="preserve"> </w:t>
      </w:r>
      <w:r w:rsidR="00E20DE5" w:rsidRPr="006A7B9C">
        <w:rPr>
          <w:rFonts w:ascii="Arial" w:eastAsia="Calibri" w:hAnsi="Arial" w:cs="Arial"/>
          <w:i/>
          <w:sz w:val="24"/>
          <w:szCs w:val="24"/>
        </w:rPr>
        <w:t>causus fort</w:t>
      </w:r>
      <w:r w:rsidR="009703E9">
        <w:rPr>
          <w:rFonts w:ascii="Arial" w:eastAsia="Calibri" w:hAnsi="Arial" w:cs="Arial"/>
          <w:i/>
          <w:sz w:val="24"/>
          <w:szCs w:val="24"/>
        </w:rPr>
        <w:t>u</w:t>
      </w:r>
      <w:r w:rsidR="00E20DE5" w:rsidRPr="006A7B9C">
        <w:rPr>
          <w:rFonts w:ascii="Arial" w:eastAsia="Calibri" w:hAnsi="Arial" w:cs="Arial"/>
          <w:i/>
          <w:sz w:val="24"/>
          <w:szCs w:val="24"/>
        </w:rPr>
        <w:t>itus</w:t>
      </w:r>
      <w:r w:rsidR="00E20DE5" w:rsidRPr="006A7B9C">
        <w:rPr>
          <w:rFonts w:ascii="Arial" w:eastAsia="Calibri" w:hAnsi="Arial" w:cs="Arial"/>
          <w:sz w:val="24"/>
          <w:szCs w:val="24"/>
        </w:rPr>
        <w:t xml:space="preserve"> or</w:t>
      </w:r>
      <w:r w:rsidRPr="006A7B9C">
        <w:rPr>
          <w:rFonts w:ascii="Arial" w:eastAsia="Calibri" w:hAnsi="Arial" w:cs="Arial"/>
          <w:sz w:val="24"/>
          <w:szCs w:val="24"/>
        </w:rPr>
        <w:t xml:space="preserve"> supervening impossibility</w:t>
      </w:r>
      <w:r w:rsidR="00E20DE5" w:rsidRPr="006A7B9C">
        <w:rPr>
          <w:rFonts w:ascii="Arial" w:eastAsia="Calibri" w:hAnsi="Arial" w:cs="Arial"/>
          <w:sz w:val="24"/>
          <w:szCs w:val="24"/>
        </w:rPr>
        <w:t xml:space="preserve"> of performance</w:t>
      </w:r>
      <w:r w:rsidRPr="006A7B9C">
        <w:rPr>
          <w:rFonts w:ascii="Arial" w:eastAsia="Calibri" w:hAnsi="Arial" w:cs="Arial"/>
          <w:sz w:val="24"/>
          <w:szCs w:val="24"/>
        </w:rPr>
        <w:t xml:space="preserve">; sought a novation of the agreement; sought an amendment of the agreement; as well as rectification of the agreement in order to reflect a reduced rental amount. </w:t>
      </w:r>
      <w:r w:rsidR="004E4F4A" w:rsidRPr="006A7B9C">
        <w:rPr>
          <w:rFonts w:ascii="Arial" w:eastAsia="Calibri" w:hAnsi="Arial" w:cs="Arial"/>
          <w:sz w:val="24"/>
          <w:szCs w:val="24"/>
        </w:rPr>
        <w:t xml:space="preserve">The Court </w:t>
      </w:r>
      <w:r w:rsidR="004E4F4A" w:rsidRPr="006A7B9C">
        <w:rPr>
          <w:rFonts w:ascii="Arial" w:eastAsia="Calibri" w:hAnsi="Arial" w:cs="Arial"/>
          <w:i/>
          <w:sz w:val="24"/>
          <w:szCs w:val="24"/>
        </w:rPr>
        <w:t>a quo</w:t>
      </w:r>
      <w:r w:rsidR="004E4F4A" w:rsidRPr="006A7B9C">
        <w:rPr>
          <w:rFonts w:ascii="Arial" w:eastAsia="Calibri" w:hAnsi="Arial" w:cs="Arial"/>
          <w:sz w:val="24"/>
          <w:szCs w:val="24"/>
        </w:rPr>
        <w:t xml:space="preserve"> upheld the defence and granted the reliefs sought by the lessee. Additionally, the Court </w:t>
      </w:r>
      <w:r w:rsidR="004E4F4A" w:rsidRPr="006A7B9C">
        <w:rPr>
          <w:rFonts w:ascii="Arial" w:eastAsia="Calibri" w:hAnsi="Arial" w:cs="Arial"/>
          <w:i/>
          <w:sz w:val="24"/>
          <w:szCs w:val="24"/>
        </w:rPr>
        <w:t>a quo</w:t>
      </w:r>
      <w:r w:rsidR="004E4F4A" w:rsidRPr="006A7B9C">
        <w:rPr>
          <w:rFonts w:ascii="Arial" w:eastAsia="Calibri" w:hAnsi="Arial" w:cs="Arial"/>
          <w:sz w:val="24"/>
          <w:szCs w:val="24"/>
        </w:rPr>
        <w:t xml:space="preserve"> ordered the lessee to pay 50% of the reduced rental for the perio</w:t>
      </w:r>
      <w:r w:rsidR="00D76BF2" w:rsidRPr="006A7B9C">
        <w:rPr>
          <w:rFonts w:ascii="Arial" w:eastAsia="Calibri" w:hAnsi="Arial" w:cs="Arial"/>
          <w:sz w:val="24"/>
          <w:szCs w:val="24"/>
        </w:rPr>
        <w:t>d June and July 2020. The lessee</w:t>
      </w:r>
      <w:r w:rsidR="004E4F4A" w:rsidRPr="006A7B9C">
        <w:rPr>
          <w:rFonts w:ascii="Arial" w:eastAsia="Calibri" w:hAnsi="Arial" w:cs="Arial"/>
          <w:sz w:val="24"/>
          <w:szCs w:val="24"/>
        </w:rPr>
        <w:t xml:space="preserve"> was also ordered to pay costs on attorney and client scale. Aggrieved thereby the lessor launched the present appeal.</w:t>
      </w:r>
    </w:p>
    <w:p w14:paraId="7F04C719" w14:textId="77777777" w:rsidR="004E4F4A" w:rsidRPr="006A7B9C" w:rsidRDefault="004E4F4A">
      <w:pPr>
        <w:tabs>
          <w:tab w:val="left" w:pos="1215"/>
        </w:tabs>
        <w:spacing w:after="0" w:line="360" w:lineRule="auto"/>
        <w:jc w:val="both"/>
        <w:rPr>
          <w:rFonts w:ascii="Arial" w:eastAsia="Calibri" w:hAnsi="Arial" w:cs="Arial"/>
          <w:sz w:val="24"/>
          <w:szCs w:val="24"/>
        </w:rPr>
      </w:pPr>
    </w:p>
    <w:p w14:paraId="7556F381" w14:textId="77777777" w:rsidR="004C7426" w:rsidRPr="006A7B9C" w:rsidRDefault="00D76BF2">
      <w:pPr>
        <w:tabs>
          <w:tab w:val="left" w:pos="1215"/>
        </w:tabs>
        <w:spacing w:after="0" w:line="360" w:lineRule="auto"/>
        <w:jc w:val="both"/>
        <w:rPr>
          <w:rFonts w:ascii="Arial" w:eastAsia="Calibri" w:hAnsi="Arial" w:cs="Arial"/>
          <w:sz w:val="24"/>
          <w:szCs w:val="24"/>
        </w:rPr>
      </w:pPr>
      <w:r w:rsidRPr="006A7B9C">
        <w:rPr>
          <w:rFonts w:ascii="Arial" w:eastAsia="Calibri" w:hAnsi="Arial" w:cs="Arial"/>
          <w:sz w:val="24"/>
          <w:szCs w:val="24"/>
        </w:rPr>
        <w:t>The findings of this Court are</w:t>
      </w:r>
      <w:r w:rsidR="004E4F4A" w:rsidRPr="006A7B9C">
        <w:rPr>
          <w:rFonts w:ascii="Arial" w:eastAsia="Calibri" w:hAnsi="Arial" w:cs="Arial"/>
          <w:sz w:val="24"/>
          <w:szCs w:val="24"/>
        </w:rPr>
        <w:t xml:space="preserve"> that the Court </w:t>
      </w:r>
      <w:r w:rsidR="004E4F4A" w:rsidRPr="006A7B9C">
        <w:rPr>
          <w:rFonts w:ascii="Arial" w:eastAsia="Calibri" w:hAnsi="Arial" w:cs="Arial"/>
          <w:i/>
          <w:sz w:val="24"/>
          <w:szCs w:val="24"/>
        </w:rPr>
        <w:t>a quo</w:t>
      </w:r>
      <w:r w:rsidR="004E4F4A" w:rsidRPr="006A7B9C">
        <w:rPr>
          <w:rFonts w:ascii="Arial" w:eastAsia="Calibri" w:hAnsi="Arial" w:cs="Arial"/>
          <w:sz w:val="24"/>
          <w:szCs w:val="24"/>
        </w:rPr>
        <w:t xml:space="preserve"> erred in concluding that COVID-19 restrictions constituted a supervening impossibility</w:t>
      </w:r>
      <w:r w:rsidRPr="006A7B9C">
        <w:rPr>
          <w:rFonts w:ascii="Arial" w:eastAsia="Calibri" w:hAnsi="Arial" w:cs="Arial"/>
          <w:sz w:val="24"/>
          <w:szCs w:val="24"/>
        </w:rPr>
        <w:t xml:space="preserve"> of performance</w:t>
      </w:r>
      <w:r w:rsidR="004E4F4A" w:rsidRPr="006A7B9C">
        <w:rPr>
          <w:rFonts w:ascii="Arial" w:eastAsia="Calibri" w:hAnsi="Arial" w:cs="Arial"/>
          <w:sz w:val="24"/>
          <w:szCs w:val="24"/>
        </w:rPr>
        <w:t xml:space="preserve"> for the lease agreement. Given the nature of the contract involved herein the cessation of operations did not fundamentally change the nature of the contract as concluded by the parties. The</w:t>
      </w:r>
      <w:r w:rsidRPr="006A7B9C">
        <w:rPr>
          <w:rFonts w:ascii="Arial" w:eastAsia="Calibri" w:hAnsi="Arial" w:cs="Arial"/>
          <w:sz w:val="24"/>
          <w:szCs w:val="24"/>
        </w:rPr>
        <w:t xml:space="preserve"> operation of the</w:t>
      </w:r>
      <w:r w:rsidR="004E4F4A" w:rsidRPr="006A7B9C">
        <w:rPr>
          <w:rFonts w:ascii="Arial" w:eastAsia="Calibri" w:hAnsi="Arial" w:cs="Arial"/>
          <w:sz w:val="24"/>
          <w:szCs w:val="24"/>
        </w:rPr>
        <w:t xml:space="preserve"> lease agreement was not destroyed </w:t>
      </w:r>
      <w:r w:rsidR="004C7426" w:rsidRPr="006A7B9C">
        <w:rPr>
          <w:rFonts w:ascii="Arial" w:eastAsia="Calibri" w:hAnsi="Arial" w:cs="Arial"/>
          <w:sz w:val="24"/>
          <w:szCs w:val="24"/>
        </w:rPr>
        <w:t xml:space="preserve">by the introduction of the regulations. </w:t>
      </w:r>
    </w:p>
    <w:p w14:paraId="23C88B95" w14:textId="77777777" w:rsidR="004C7426" w:rsidRPr="006A7B9C" w:rsidRDefault="004C7426">
      <w:pPr>
        <w:tabs>
          <w:tab w:val="left" w:pos="1215"/>
        </w:tabs>
        <w:spacing w:after="0" w:line="360" w:lineRule="auto"/>
        <w:jc w:val="both"/>
        <w:rPr>
          <w:rFonts w:ascii="Arial" w:eastAsia="Calibri" w:hAnsi="Arial" w:cs="Arial"/>
          <w:sz w:val="24"/>
          <w:szCs w:val="24"/>
        </w:rPr>
      </w:pPr>
    </w:p>
    <w:p w14:paraId="5F9FA65F" w14:textId="45061500" w:rsidR="00CC6460" w:rsidRPr="006A7B9C" w:rsidRDefault="004C7426">
      <w:pPr>
        <w:tabs>
          <w:tab w:val="left" w:pos="1215"/>
        </w:tabs>
        <w:spacing w:after="0" w:line="360" w:lineRule="auto"/>
        <w:jc w:val="both"/>
        <w:rPr>
          <w:rFonts w:ascii="Arial" w:eastAsia="Calibri" w:hAnsi="Arial" w:cs="Arial"/>
          <w:sz w:val="24"/>
          <w:szCs w:val="24"/>
        </w:rPr>
      </w:pPr>
      <w:r w:rsidRPr="006A7B9C">
        <w:rPr>
          <w:rFonts w:ascii="Arial" w:eastAsia="Calibri" w:hAnsi="Arial" w:cs="Arial"/>
          <w:sz w:val="24"/>
          <w:szCs w:val="24"/>
        </w:rPr>
        <w:t>The lease agreement was not amended since the provisions of clause 8 of the agreement were not met.</w:t>
      </w:r>
      <w:r w:rsidR="00D76BF2" w:rsidRPr="006A7B9C">
        <w:rPr>
          <w:rFonts w:ascii="Arial" w:eastAsia="Calibri" w:hAnsi="Arial" w:cs="Arial"/>
          <w:sz w:val="24"/>
          <w:szCs w:val="24"/>
        </w:rPr>
        <w:t xml:space="preserve"> The parties agreed on a non-variation clause.</w:t>
      </w:r>
      <w:r w:rsidRPr="006A7B9C">
        <w:rPr>
          <w:rFonts w:ascii="Arial" w:eastAsia="Calibri" w:hAnsi="Arial" w:cs="Arial"/>
          <w:sz w:val="24"/>
          <w:szCs w:val="24"/>
        </w:rPr>
        <w:t xml:space="preserve"> Therefore, the rental</w:t>
      </w:r>
      <w:r w:rsidR="00D76BF2" w:rsidRPr="006A7B9C">
        <w:rPr>
          <w:rFonts w:ascii="Arial" w:eastAsia="Calibri" w:hAnsi="Arial" w:cs="Arial"/>
          <w:sz w:val="24"/>
          <w:szCs w:val="24"/>
        </w:rPr>
        <w:t xml:space="preserve"> amount</w:t>
      </w:r>
      <w:r w:rsidRPr="006A7B9C">
        <w:rPr>
          <w:rFonts w:ascii="Arial" w:eastAsia="Calibri" w:hAnsi="Arial" w:cs="Arial"/>
          <w:sz w:val="24"/>
          <w:szCs w:val="24"/>
        </w:rPr>
        <w:t xml:space="preserve"> clause cannot be amended contrary to the </w:t>
      </w:r>
      <w:r w:rsidR="00D76BF2" w:rsidRPr="006A7B9C">
        <w:rPr>
          <w:rFonts w:ascii="Arial" w:eastAsia="Calibri" w:hAnsi="Arial" w:cs="Arial"/>
          <w:sz w:val="24"/>
          <w:szCs w:val="24"/>
        </w:rPr>
        <w:t xml:space="preserve">non-variation </w:t>
      </w:r>
      <w:r w:rsidRPr="006A7B9C">
        <w:rPr>
          <w:rFonts w:ascii="Arial" w:eastAsia="Calibri" w:hAnsi="Arial" w:cs="Arial"/>
          <w:sz w:val="24"/>
          <w:szCs w:val="24"/>
        </w:rPr>
        <w:t xml:space="preserve">clause. All </w:t>
      </w:r>
      <w:r w:rsidR="00D76BF2" w:rsidRPr="006A7B9C">
        <w:rPr>
          <w:rFonts w:ascii="Arial" w:eastAsia="Calibri" w:hAnsi="Arial" w:cs="Arial"/>
          <w:sz w:val="24"/>
          <w:szCs w:val="24"/>
        </w:rPr>
        <w:t xml:space="preserve">what </w:t>
      </w:r>
      <w:r w:rsidRPr="006A7B9C">
        <w:rPr>
          <w:rFonts w:ascii="Arial" w:eastAsia="Calibri" w:hAnsi="Arial" w:cs="Arial"/>
          <w:sz w:val="24"/>
          <w:szCs w:val="24"/>
        </w:rPr>
        <w:t xml:space="preserve">the parties reached is a </w:t>
      </w:r>
      <w:r w:rsidR="00C9715E" w:rsidRPr="006A7B9C">
        <w:rPr>
          <w:rFonts w:ascii="Arial" w:eastAsia="Calibri" w:hAnsi="Arial" w:cs="Arial"/>
          <w:sz w:val="24"/>
          <w:szCs w:val="24"/>
        </w:rPr>
        <w:t>compromise, which was for a specific period,</w:t>
      </w:r>
      <w:r w:rsidRPr="006A7B9C">
        <w:rPr>
          <w:rFonts w:ascii="Arial" w:eastAsia="Calibri" w:hAnsi="Arial" w:cs="Arial"/>
          <w:sz w:val="24"/>
          <w:szCs w:val="24"/>
        </w:rPr>
        <w:t xml:space="preserve"> and such did not amount to an amendment of an agreement. The </w:t>
      </w:r>
      <w:r w:rsidR="00CC6460" w:rsidRPr="006A7B9C">
        <w:rPr>
          <w:rFonts w:ascii="Arial" w:eastAsia="Calibri" w:hAnsi="Arial" w:cs="Arial"/>
          <w:sz w:val="24"/>
          <w:szCs w:val="24"/>
        </w:rPr>
        <w:t>agreement was not novated</w:t>
      </w:r>
      <w:r w:rsidR="00D76BF2" w:rsidRPr="006A7B9C">
        <w:rPr>
          <w:rFonts w:ascii="Arial" w:eastAsia="Calibri" w:hAnsi="Arial" w:cs="Arial"/>
          <w:sz w:val="24"/>
          <w:szCs w:val="24"/>
        </w:rPr>
        <w:t xml:space="preserve"> either</w:t>
      </w:r>
      <w:r w:rsidR="00CC6460" w:rsidRPr="006A7B9C">
        <w:rPr>
          <w:rFonts w:ascii="Arial" w:eastAsia="Calibri" w:hAnsi="Arial" w:cs="Arial"/>
          <w:sz w:val="24"/>
          <w:szCs w:val="24"/>
        </w:rPr>
        <w:t>. The lease agreement was not replaced by a new lease agreement. The</w:t>
      </w:r>
      <w:r w:rsidR="00D76BF2" w:rsidRPr="006A7B9C">
        <w:rPr>
          <w:rFonts w:ascii="Arial" w:eastAsia="Calibri" w:hAnsi="Arial" w:cs="Arial"/>
          <w:sz w:val="24"/>
          <w:szCs w:val="24"/>
        </w:rPr>
        <w:t xml:space="preserve"> requirements of the relief of replication were</w:t>
      </w:r>
      <w:r w:rsidR="00CC6460" w:rsidRPr="006A7B9C">
        <w:rPr>
          <w:rFonts w:ascii="Arial" w:eastAsia="Calibri" w:hAnsi="Arial" w:cs="Arial"/>
          <w:sz w:val="24"/>
          <w:szCs w:val="24"/>
        </w:rPr>
        <w:t xml:space="preserve"> not established and</w:t>
      </w:r>
      <w:r w:rsidR="00D76BF2" w:rsidRPr="006A7B9C">
        <w:rPr>
          <w:rFonts w:ascii="Arial" w:eastAsia="Calibri" w:hAnsi="Arial" w:cs="Arial"/>
          <w:sz w:val="24"/>
          <w:szCs w:val="24"/>
        </w:rPr>
        <w:t xml:space="preserve"> the relief</w:t>
      </w:r>
      <w:r w:rsidR="00CC6460" w:rsidRPr="006A7B9C">
        <w:rPr>
          <w:rFonts w:ascii="Arial" w:eastAsia="Calibri" w:hAnsi="Arial" w:cs="Arial"/>
          <w:sz w:val="24"/>
          <w:szCs w:val="24"/>
        </w:rPr>
        <w:t xml:space="preserve"> was </w:t>
      </w:r>
      <w:r w:rsidR="00D76BF2" w:rsidRPr="006A7B9C">
        <w:rPr>
          <w:rFonts w:ascii="Arial" w:eastAsia="Calibri" w:hAnsi="Arial" w:cs="Arial"/>
          <w:sz w:val="24"/>
          <w:szCs w:val="24"/>
        </w:rPr>
        <w:t>wrongly granted. The requirements</w:t>
      </w:r>
      <w:r w:rsidR="00CC6460" w:rsidRPr="006A7B9C">
        <w:rPr>
          <w:rFonts w:ascii="Arial" w:eastAsia="Calibri" w:hAnsi="Arial" w:cs="Arial"/>
          <w:sz w:val="24"/>
          <w:szCs w:val="24"/>
        </w:rPr>
        <w:t xml:space="preserve"> of section 3 of the Conventional Penalties Act (Penalties)</w:t>
      </w:r>
      <w:r w:rsidR="00D76BF2" w:rsidRPr="006A7B9C">
        <w:rPr>
          <w:rFonts w:ascii="Arial" w:eastAsia="Calibri" w:hAnsi="Arial" w:cs="Arial"/>
          <w:sz w:val="24"/>
          <w:szCs w:val="24"/>
        </w:rPr>
        <w:t xml:space="preserve"> as pleaded were</w:t>
      </w:r>
      <w:r w:rsidR="00CC6460" w:rsidRPr="006A7B9C">
        <w:rPr>
          <w:rFonts w:ascii="Arial" w:eastAsia="Calibri" w:hAnsi="Arial" w:cs="Arial"/>
          <w:sz w:val="24"/>
          <w:szCs w:val="24"/>
        </w:rPr>
        <w:t xml:space="preserve"> not established by the lessee. </w:t>
      </w:r>
      <w:r w:rsidR="00D76BF2" w:rsidRPr="006A7B9C">
        <w:rPr>
          <w:rFonts w:ascii="Arial" w:eastAsia="Calibri" w:hAnsi="Arial" w:cs="Arial"/>
          <w:sz w:val="24"/>
          <w:szCs w:val="24"/>
        </w:rPr>
        <w:t xml:space="preserve"> The lessee bore the </w:t>
      </w:r>
      <w:r w:rsidR="00D76BF2" w:rsidRPr="006A7B9C">
        <w:rPr>
          <w:rFonts w:ascii="Arial" w:eastAsia="Calibri" w:hAnsi="Arial" w:cs="Arial"/>
          <w:i/>
          <w:sz w:val="24"/>
          <w:szCs w:val="24"/>
        </w:rPr>
        <w:t>onus</w:t>
      </w:r>
      <w:r w:rsidR="00D76BF2" w:rsidRPr="006A7B9C">
        <w:rPr>
          <w:rFonts w:ascii="Arial" w:eastAsia="Calibri" w:hAnsi="Arial" w:cs="Arial"/>
          <w:sz w:val="24"/>
          <w:szCs w:val="24"/>
        </w:rPr>
        <w:t xml:space="preserve"> to establish the disproportion between the penalties and the prejudice suffered by the </w:t>
      </w:r>
      <w:r w:rsidR="00DC1F17" w:rsidRPr="006A7B9C">
        <w:rPr>
          <w:rFonts w:ascii="Arial" w:eastAsia="Calibri" w:hAnsi="Arial" w:cs="Arial"/>
          <w:sz w:val="24"/>
          <w:szCs w:val="24"/>
        </w:rPr>
        <w:t>lessor. The</w:t>
      </w:r>
      <w:r w:rsidR="00CC6460" w:rsidRPr="006A7B9C">
        <w:rPr>
          <w:rFonts w:ascii="Arial" w:eastAsia="Calibri" w:hAnsi="Arial" w:cs="Arial"/>
          <w:sz w:val="24"/>
          <w:szCs w:val="24"/>
        </w:rPr>
        <w:t xml:space="preserve"> lessee was not entitled to</w:t>
      </w:r>
      <w:r w:rsidR="00DC1F17" w:rsidRPr="006A7B9C">
        <w:rPr>
          <w:rFonts w:ascii="Arial" w:eastAsia="Calibri" w:hAnsi="Arial" w:cs="Arial"/>
          <w:sz w:val="24"/>
          <w:szCs w:val="24"/>
        </w:rPr>
        <w:t xml:space="preserve"> a</w:t>
      </w:r>
      <w:r w:rsidR="00CC6460" w:rsidRPr="006A7B9C">
        <w:rPr>
          <w:rFonts w:ascii="Arial" w:eastAsia="Calibri" w:hAnsi="Arial" w:cs="Arial"/>
          <w:sz w:val="24"/>
          <w:szCs w:val="24"/>
        </w:rPr>
        <w:t xml:space="preserve"> reduction of rental for the period of June and July 2020. </w:t>
      </w:r>
    </w:p>
    <w:p w14:paraId="0ABE8326" w14:textId="77777777" w:rsidR="00DC1F17" w:rsidRPr="006A7B9C" w:rsidRDefault="00DC1F17">
      <w:pPr>
        <w:tabs>
          <w:tab w:val="left" w:pos="1215"/>
        </w:tabs>
        <w:spacing w:after="0" w:line="360" w:lineRule="auto"/>
        <w:jc w:val="both"/>
        <w:rPr>
          <w:rFonts w:ascii="Arial" w:eastAsia="Calibri" w:hAnsi="Arial" w:cs="Arial"/>
          <w:sz w:val="24"/>
          <w:szCs w:val="24"/>
        </w:rPr>
      </w:pPr>
    </w:p>
    <w:p w14:paraId="49BA0D37" w14:textId="15607AD8" w:rsidR="00DC1F17" w:rsidRPr="006A7B9C" w:rsidRDefault="00CC6460">
      <w:pPr>
        <w:tabs>
          <w:tab w:val="left" w:pos="1215"/>
        </w:tabs>
        <w:spacing w:after="0" w:line="360" w:lineRule="auto"/>
        <w:jc w:val="both"/>
        <w:rPr>
          <w:rFonts w:ascii="Arial" w:eastAsia="Calibri" w:hAnsi="Arial" w:cs="Arial"/>
          <w:sz w:val="24"/>
          <w:szCs w:val="24"/>
        </w:rPr>
      </w:pPr>
      <w:r w:rsidRPr="006A7B9C">
        <w:rPr>
          <w:rFonts w:ascii="Arial" w:eastAsia="Calibri" w:hAnsi="Arial" w:cs="Arial"/>
          <w:sz w:val="24"/>
          <w:szCs w:val="24"/>
        </w:rPr>
        <w:lastRenderedPageBreak/>
        <w:t xml:space="preserve">Held: (1) The appeal is upheld. Held: (2) The judgment and order of the Court </w:t>
      </w:r>
      <w:r w:rsidRPr="006A7B9C">
        <w:rPr>
          <w:rFonts w:ascii="Arial" w:eastAsia="Calibri" w:hAnsi="Arial" w:cs="Arial"/>
          <w:i/>
          <w:sz w:val="24"/>
          <w:szCs w:val="24"/>
        </w:rPr>
        <w:t>a quo</w:t>
      </w:r>
      <w:r w:rsidRPr="006A7B9C">
        <w:rPr>
          <w:rFonts w:ascii="Arial" w:eastAsia="Calibri" w:hAnsi="Arial" w:cs="Arial"/>
          <w:sz w:val="24"/>
          <w:szCs w:val="24"/>
        </w:rPr>
        <w:t xml:space="preserve"> is set</w:t>
      </w:r>
      <w:r w:rsidR="00B36313" w:rsidRPr="006A7B9C">
        <w:rPr>
          <w:rFonts w:ascii="Arial" w:eastAsia="Calibri" w:hAnsi="Arial" w:cs="Arial"/>
          <w:sz w:val="24"/>
          <w:szCs w:val="24"/>
        </w:rPr>
        <w:t xml:space="preserve"> aside</w:t>
      </w:r>
      <w:r w:rsidR="00DC1F17" w:rsidRPr="006A7B9C">
        <w:rPr>
          <w:rFonts w:ascii="Arial" w:eastAsia="Calibri" w:hAnsi="Arial" w:cs="Arial"/>
          <w:sz w:val="24"/>
          <w:szCs w:val="24"/>
        </w:rPr>
        <w:t xml:space="preserve"> barring the costs </w:t>
      </w:r>
      <w:r w:rsidR="00C9715E" w:rsidRPr="006A7B9C">
        <w:rPr>
          <w:rFonts w:ascii="Arial" w:eastAsia="Calibri" w:hAnsi="Arial" w:cs="Arial"/>
          <w:sz w:val="24"/>
          <w:szCs w:val="24"/>
        </w:rPr>
        <w:t>order, which was not impugned,</w:t>
      </w:r>
      <w:r w:rsidR="00DC1F17" w:rsidRPr="006A7B9C">
        <w:rPr>
          <w:rFonts w:ascii="Arial" w:eastAsia="Calibri" w:hAnsi="Arial" w:cs="Arial"/>
          <w:sz w:val="24"/>
          <w:szCs w:val="24"/>
        </w:rPr>
        <w:t xml:space="preserve"> by any of the parties</w:t>
      </w:r>
      <w:r w:rsidR="00B36313" w:rsidRPr="006A7B9C">
        <w:rPr>
          <w:rFonts w:ascii="Arial" w:eastAsia="Calibri" w:hAnsi="Arial" w:cs="Arial"/>
          <w:sz w:val="24"/>
          <w:szCs w:val="24"/>
        </w:rPr>
        <w:t>. Held: (3) It is replaced with an order that (a) The lessee is to pay the lessor an amount of R292 437.23 for arrear rental and penalties; (b) The lessee to pay interest on the amount</w:t>
      </w:r>
      <w:r w:rsidR="00DC1F17" w:rsidRPr="006A7B9C">
        <w:rPr>
          <w:rFonts w:ascii="Arial" w:eastAsia="Calibri" w:hAnsi="Arial" w:cs="Arial"/>
          <w:sz w:val="24"/>
          <w:szCs w:val="24"/>
        </w:rPr>
        <w:t xml:space="preserve"> ordered</w:t>
      </w:r>
      <w:r w:rsidR="00B36313" w:rsidRPr="006A7B9C">
        <w:rPr>
          <w:rFonts w:ascii="Arial" w:eastAsia="Calibri" w:hAnsi="Arial" w:cs="Arial"/>
          <w:sz w:val="24"/>
          <w:szCs w:val="24"/>
        </w:rPr>
        <w:t xml:space="preserve"> with effect from 10 July 2020 to date of payment; and (c) The lessee to </w:t>
      </w:r>
      <w:r w:rsidR="00DC1F17" w:rsidRPr="006A7B9C">
        <w:rPr>
          <w:rFonts w:ascii="Arial" w:eastAsia="Calibri" w:hAnsi="Arial" w:cs="Arial"/>
          <w:sz w:val="24"/>
          <w:szCs w:val="24"/>
        </w:rPr>
        <w:t xml:space="preserve">pay the </w:t>
      </w:r>
      <w:r w:rsidR="00B36313" w:rsidRPr="006A7B9C">
        <w:rPr>
          <w:rFonts w:ascii="Arial" w:eastAsia="Calibri" w:hAnsi="Arial" w:cs="Arial"/>
          <w:sz w:val="24"/>
          <w:szCs w:val="24"/>
        </w:rPr>
        <w:t>costs of the appeal on a scale of attorney and client as agreed to in the lease agreement</w:t>
      </w:r>
      <w:r w:rsidR="00DC1F17" w:rsidRPr="006A7B9C">
        <w:rPr>
          <w:rFonts w:ascii="Arial" w:eastAsia="Calibri" w:hAnsi="Arial" w:cs="Arial"/>
          <w:sz w:val="24"/>
          <w:szCs w:val="24"/>
        </w:rPr>
        <w:t>.</w:t>
      </w:r>
    </w:p>
    <w:p w14:paraId="0199CA9B" w14:textId="77777777" w:rsidR="00F73FF3" w:rsidRPr="006A7B9C" w:rsidRDefault="00F73FF3">
      <w:pPr>
        <w:tabs>
          <w:tab w:val="left" w:pos="1215"/>
        </w:tabs>
        <w:spacing w:after="0" w:line="360" w:lineRule="auto"/>
        <w:jc w:val="both"/>
        <w:rPr>
          <w:rFonts w:ascii="Arial" w:eastAsia="Calibri" w:hAnsi="Arial" w:cs="Arial"/>
          <w:sz w:val="24"/>
          <w:szCs w:val="24"/>
        </w:rPr>
      </w:pPr>
      <w:r w:rsidRPr="006A7B9C">
        <w:rPr>
          <w:rFonts w:ascii="Arial" w:eastAsia="Calibri" w:hAnsi="Arial" w:cs="Arial"/>
          <w:sz w:val="24"/>
          <w:szCs w:val="24"/>
        </w:rPr>
        <w:tab/>
        <w:t xml:space="preserve">    </w:t>
      </w:r>
    </w:p>
    <w:p w14:paraId="03FE44B3" w14:textId="77777777" w:rsidR="00F73FF3" w:rsidRPr="006A7B9C" w:rsidRDefault="00F73FF3">
      <w:pPr>
        <w:pBdr>
          <w:top w:val="single" w:sz="12" w:space="1" w:color="auto"/>
          <w:bottom w:val="single" w:sz="12" w:space="1" w:color="auto"/>
        </w:pBdr>
        <w:tabs>
          <w:tab w:val="left" w:pos="5954"/>
        </w:tabs>
        <w:spacing w:after="0" w:line="360" w:lineRule="auto"/>
        <w:jc w:val="center"/>
        <w:rPr>
          <w:rFonts w:ascii="Arial" w:eastAsia="Calibri" w:hAnsi="Arial" w:cs="Arial"/>
          <w:caps/>
          <w:sz w:val="24"/>
          <w:szCs w:val="24"/>
        </w:rPr>
      </w:pPr>
    </w:p>
    <w:p w14:paraId="6CAA6A5E" w14:textId="31555BC7" w:rsidR="00195336" w:rsidRPr="006A7B9C" w:rsidRDefault="00F73FF3" w:rsidP="0019783A">
      <w:pPr>
        <w:pBdr>
          <w:top w:val="single" w:sz="12" w:space="1" w:color="auto"/>
          <w:bottom w:val="single" w:sz="12" w:space="1" w:color="auto"/>
        </w:pBdr>
        <w:tabs>
          <w:tab w:val="left" w:pos="5954"/>
        </w:tabs>
        <w:spacing w:after="0" w:line="360" w:lineRule="auto"/>
        <w:jc w:val="center"/>
        <w:rPr>
          <w:rFonts w:ascii="Arial" w:eastAsia="Calibri" w:hAnsi="Arial" w:cs="Arial"/>
          <w:caps/>
          <w:sz w:val="24"/>
          <w:szCs w:val="24"/>
        </w:rPr>
      </w:pPr>
      <w:r w:rsidRPr="006A7B9C">
        <w:rPr>
          <w:rFonts w:ascii="Arial" w:eastAsia="Calibri" w:hAnsi="Arial" w:cs="Arial"/>
          <w:caps/>
          <w:sz w:val="24"/>
          <w:szCs w:val="24"/>
        </w:rPr>
        <w:t>judgment</w:t>
      </w:r>
    </w:p>
    <w:p w14:paraId="2E05CBE5" w14:textId="77777777" w:rsidR="00745CA4" w:rsidRPr="006A7B9C" w:rsidRDefault="00745CA4" w:rsidP="008D13A9">
      <w:pPr>
        <w:pBdr>
          <w:top w:val="single" w:sz="12" w:space="1" w:color="auto"/>
          <w:bottom w:val="single" w:sz="12" w:space="1" w:color="auto"/>
        </w:pBdr>
        <w:tabs>
          <w:tab w:val="left" w:pos="5954"/>
        </w:tabs>
        <w:spacing w:after="0" w:line="360" w:lineRule="auto"/>
        <w:jc w:val="center"/>
        <w:rPr>
          <w:rFonts w:ascii="Arial" w:eastAsia="Calibri" w:hAnsi="Arial" w:cs="Arial"/>
          <w:sz w:val="24"/>
          <w:szCs w:val="24"/>
        </w:rPr>
      </w:pPr>
    </w:p>
    <w:p w14:paraId="665164F0" w14:textId="77777777" w:rsidR="006936D3" w:rsidRPr="006A7B9C" w:rsidRDefault="006936D3">
      <w:pPr>
        <w:spacing w:after="0" w:line="360" w:lineRule="auto"/>
        <w:jc w:val="both"/>
        <w:rPr>
          <w:rFonts w:ascii="Arial" w:eastAsia="Calibri" w:hAnsi="Arial" w:cs="Arial"/>
          <w:sz w:val="24"/>
          <w:szCs w:val="24"/>
          <w:lang w:val="en-US"/>
        </w:rPr>
      </w:pPr>
    </w:p>
    <w:p w14:paraId="5B9A3F1A" w14:textId="77777777" w:rsidR="00F73FF3" w:rsidRPr="006A7B9C" w:rsidRDefault="00CA397B">
      <w:pPr>
        <w:spacing w:after="0" w:line="360" w:lineRule="auto"/>
        <w:jc w:val="both"/>
        <w:rPr>
          <w:rFonts w:ascii="Arial" w:eastAsia="Calibri" w:hAnsi="Arial" w:cs="Arial"/>
          <w:sz w:val="24"/>
          <w:szCs w:val="24"/>
          <w:lang w:val="en-US"/>
        </w:rPr>
      </w:pPr>
      <w:r w:rsidRPr="006A7B9C">
        <w:rPr>
          <w:rFonts w:ascii="Arial" w:eastAsia="Calibri" w:hAnsi="Arial" w:cs="Arial"/>
          <w:sz w:val="24"/>
          <w:szCs w:val="24"/>
          <w:lang w:val="en-US"/>
        </w:rPr>
        <w:t xml:space="preserve">CORAM: </w:t>
      </w:r>
      <w:r w:rsidR="00F73FF3" w:rsidRPr="006A7B9C">
        <w:rPr>
          <w:rFonts w:ascii="Arial" w:eastAsia="Calibri" w:hAnsi="Arial" w:cs="Arial"/>
          <w:sz w:val="24"/>
          <w:szCs w:val="24"/>
          <w:lang w:val="en-US"/>
        </w:rPr>
        <w:t>MOSHOANA, J</w:t>
      </w:r>
      <w:r w:rsidRPr="006A7B9C">
        <w:rPr>
          <w:rFonts w:ascii="Arial" w:eastAsia="Calibri" w:hAnsi="Arial" w:cs="Arial"/>
          <w:sz w:val="24"/>
          <w:szCs w:val="24"/>
          <w:lang w:val="en-US"/>
        </w:rPr>
        <w:t xml:space="preserve"> (w</w:t>
      </w:r>
      <w:r w:rsidR="00B14D2F" w:rsidRPr="006A7B9C">
        <w:rPr>
          <w:rFonts w:ascii="Arial" w:eastAsia="Calibri" w:hAnsi="Arial" w:cs="Arial"/>
          <w:sz w:val="24"/>
          <w:szCs w:val="24"/>
          <w:lang w:val="en-US"/>
        </w:rPr>
        <w:t xml:space="preserve">ith CAJEE AJ </w:t>
      </w:r>
      <w:r w:rsidR="00745CA4" w:rsidRPr="006A7B9C">
        <w:rPr>
          <w:rFonts w:ascii="Arial" w:eastAsia="Calibri" w:hAnsi="Arial" w:cs="Arial"/>
          <w:sz w:val="24"/>
          <w:szCs w:val="24"/>
          <w:lang w:val="en-US"/>
        </w:rPr>
        <w:t>concurring)</w:t>
      </w:r>
      <w:r w:rsidR="006936D3" w:rsidRPr="006A7B9C">
        <w:rPr>
          <w:rFonts w:ascii="Arial" w:eastAsia="Calibri" w:hAnsi="Arial" w:cs="Arial"/>
          <w:sz w:val="24"/>
          <w:szCs w:val="24"/>
          <w:lang w:val="en-US"/>
        </w:rPr>
        <w:t>.</w:t>
      </w:r>
    </w:p>
    <w:p w14:paraId="619F734C" w14:textId="77777777" w:rsidR="006936D3" w:rsidRPr="006A7B9C" w:rsidRDefault="006936D3">
      <w:pPr>
        <w:spacing w:after="0" w:line="360" w:lineRule="auto"/>
        <w:jc w:val="both"/>
        <w:rPr>
          <w:rFonts w:ascii="Arial" w:eastAsia="Calibri" w:hAnsi="Arial" w:cs="Arial"/>
          <w:sz w:val="24"/>
          <w:szCs w:val="24"/>
          <w:lang w:val="en-US"/>
        </w:rPr>
      </w:pPr>
    </w:p>
    <w:p w14:paraId="3D171ED3" w14:textId="77777777" w:rsidR="00F73FF3" w:rsidRPr="006A7B9C" w:rsidRDefault="00F73FF3">
      <w:pPr>
        <w:spacing w:after="0" w:line="360" w:lineRule="auto"/>
        <w:jc w:val="both"/>
        <w:rPr>
          <w:rFonts w:ascii="Arial" w:eastAsia="Calibri" w:hAnsi="Arial" w:cs="Arial"/>
          <w:sz w:val="24"/>
          <w:szCs w:val="24"/>
          <w:u w:val="single"/>
        </w:rPr>
      </w:pPr>
      <w:r w:rsidRPr="006A7B9C">
        <w:rPr>
          <w:rFonts w:ascii="Arial" w:eastAsia="Calibri" w:hAnsi="Arial" w:cs="Arial"/>
          <w:sz w:val="24"/>
          <w:szCs w:val="24"/>
          <w:u w:val="single"/>
        </w:rPr>
        <w:t xml:space="preserve">Introduction </w:t>
      </w:r>
    </w:p>
    <w:p w14:paraId="3B0653ED" w14:textId="77777777" w:rsidR="00F73FF3" w:rsidRPr="006A7B9C" w:rsidRDefault="00F73FF3">
      <w:pPr>
        <w:spacing w:after="0" w:line="360" w:lineRule="auto"/>
        <w:jc w:val="both"/>
        <w:rPr>
          <w:rFonts w:ascii="Arial" w:eastAsia="Calibri" w:hAnsi="Arial" w:cs="Arial"/>
          <w:sz w:val="24"/>
          <w:szCs w:val="24"/>
          <w:u w:val="single"/>
        </w:rPr>
      </w:pPr>
    </w:p>
    <w:p w14:paraId="7CCE8BAD" w14:textId="557DEF8D" w:rsidR="00B73B7F" w:rsidRPr="006A7B9C" w:rsidRDefault="00B55201" w:rsidP="008D13A9">
      <w:pPr>
        <w:numPr>
          <w:ilvl w:val="0"/>
          <w:numId w:val="32"/>
        </w:numPr>
        <w:tabs>
          <w:tab w:val="num" w:pos="360"/>
        </w:tabs>
        <w:spacing w:after="0" w:line="360" w:lineRule="auto"/>
        <w:ind w:left="720" w:hanging="720"/>
        <w:jc w:val="both"/>
        <w:rPr>
          <w:rFonts w:ascii="Arial" w:eastAsia="Calibri" w:hAnsi="Arial" w:cs="Arial"/>
          <w:sz w:val="24"/>
          <w:szCs w:val="24"/>
        </w:rPr>
      </w:pPr>
      <w:r>
        <w:rPr>
          <w:rFonts w:ascii="Arial" w:eastAsia="Calibri" w:hAnsi="Arial" w:cs="Arial"/>
          <w:sz w:val="24"/>
          <w:szCs w:val="24"/>
        </w:rPr>
        <w:t xml:space="preserve">     </w:t>
      </w:r>
      <w:r w:rsidR="009657F3" w:rsidRPr="006A7B9C">
        <w:rPr>
          <w:rFonts w:ascii="Arial" w:eastAsia="Calibri" w:hAnsi="Arial" w:cs="Arial"/>
          <w:sz w:val="24"/>
          <w:szCs w:val="24"/>
        </w:rPr>
        <w:t>This</w:t>
      </w:r>
      <w:r w:rsidR="006936D3" w:rsidRPr="006A7B9C">
        <w:rPr>
          <w:rFonts w:ascii="Arial" w:eastAsia="Calibri" w:hAnsi="Arial" w:cs="Arial"/>
          <w:sz w:val="24"/>
          <w:szCs w:val="24"/>
        </w:rPr>
        <w:t xml:space="preserve"> is an appeal against the whole judgment and order</w:t>
      </w:r>
      <w:r w:rsidR="00DC1F17" w:rsidRPr="006A7B9C">
        <w:rPr>
          <w:rFonts w:ascii="Arial" w:eastAsia="Calibri" w:hAnsi="Arial" w:cs="Arial"/>
          <w:sz w:val="24"/>
          <w:szCs w:val="24"/>
        </w:rPr>
        <w:t>, barring the costs order,</w:t>
      </w:r>
      <w:r w:rsidR="006936D3" w:rsidRPr="006A7B9C">
        <w:rPr>
          <w:rFonts w:ascii="Arial" w:eastAsia="Calibri" w:hAnsi="Arial" w:cs="Arial"/>
          <w:sz w:val="24"/>
          <w:szCs w:val="24"/>
        </w:rPr>
        <w:t xml:space="preserve"> made by the learned Magistrate Dangalazana on 21 January 2022 out of the Magistrate Court for the District of Tshwane Central held at Pretoria (Court </w:t>
      </w:r>
      <w:r w:rsidR="006936D3" w:rsidRPr="006A7B9C">
        <w:rPr>
          <w:rFonts w:ascii="Arial" w:eastAsia="Calibri" w:hAnsi="Arial" w:cs="Arial"/>
          <w:i/>
          <w:sz w:val="24"/>
          <w:szCs w:val="24"/>
        </w:rPr>
        <w:t>a quo</w:t>
      </w:r>
      <w:r w:rsidR="006936D3" w:rsidRPr="006A7B9C">
        <w:rPr>
          <w:rFonts w:ascii="Arial" w:eastAsia="Calibri" w:hAnsi="Arial" w:cs="Arial"/>
          <w:sz w:val="24"/>
          <w:szCs w:val="24"/>
        </w:rPr>
        <w:t>)</w:t>
      </w:r>
      <w:r w:rsidR="00B73B7F" w:rsidRPr="006A7B9C">
        <w:rPr>
          <w:rFonts w:ascii="Arial" w:eastAsia="Calibri" w:hAnsi="Arial" w:cs="Arial"/>
          <w:sz w:val="24"/>
          <w:szCs w:val="24"/>
        </w:rPr>
        <w:t xml:space="preserve">. The Court </w:t>
      </w:r>
      <w:r w:rsidR="00B73B7F" w:rsidRPr="006A7B9C">
        <w:rPr>
          <w:rFonts w:ascii="Arial" w:eastAsia="Calibri" w:hAnsi="Arial" w:cs="Arial"/>
          <w:i/>
          <w:sz w:val="24"/>
          <w:szCs w:val="24"/>
        </w:rPr>
        <w:t>a quo</w:t>
      </w:r>
      <w:r w:rsidR="00B73B7F" w:rsidRPr="006A7B9C">
        <w:rPr>
          <w:rFonts w:ascii="Arial" w:eastAsia="Calibri" w:hAnsi="Arial" w:cs="Arial"/>
          <w:sz w:val="24"/>
          <w:szCs w:val="24"/>
        </w:rPr>
        <w:t xml:space="preserve"> dismissed the arrear rental claim brough</w:t>
      </w:r>
      <w:r w:rsidR="00DC1F17" w:rsidRPr="006A7B9C">
        <w:rPr>
          <w:rFonts w:ascii="Arial" w:eastAsia="Calibri" w:hAnsi="Arial" w:cs="Arial"/>
          <w:sz w:val="24"/>
          <w:szCs w:val="24"/>
        </w:rPr>
        <w:t xml:space="preserve">t by the appellant before Court; granted the lessor 50% remission for rental for the months of June and July 2020; and; rectified the lease agreement concluded by the parties. </w:t>
      </w:r>
      <w:r w:rsidR="00B73B7F" w:rsidRPr="006A7B9C">
        <w:rPr>
          <w:rFonts w:ascii="Arial" w:eastAsia="Calibri" w:hAnsi="Arial" w:cs="Arial"/>
          <w:sz w:val="24"/>
          <w:szCs w:val="24"/>
        </w:rPr>
        <w:t xml:space="preserve"> </w:t>
      </w:r>
    </w:p>
    <w:p w14:paraId="3FC74A70" w14:textId="22DC2368" w:rsidR="003C1BF1" w:rsidRPr="006A7B9C" w:rsidRDefault="003C1BF1" w:rsidP="008D13A9">
      <w:pPr>
        <w:spacing w:after="0" w:line="360" w:lineRule="auto"/>
        <w:rPr>
          <w:rFonts w:ascii="Arial" w:eastAsia="Calibri" w:hAnsi="Arial" w:cs="Arial"/>
          <w:sz w:val="24"/>
          <w:szCs w:val="24"/>
        </w:rPr>
      </w:pPr>
    </w:p>
    <w:p w14:paraId="5B7F8EB7" w14:textId="77777777" w:rsidR="00485B86" w:rsidRPr="006A7B9C" w:rsidRDefault="009657F3" w:rsidP="008D13A9">
      <w:pPr>
        <w:numPr>
          <w:ilvl w:val="0"/>
          <w:numId w:val="32"/>
        </w:numPr>
        <w:tabs>
          <w:tab w:val="num" w:pos="360"/>
        </w:tabs>
        <w:spacing w:after="0" w:line="360" w:lineRule="auto"/>
        <w:ind w:left="720" w:hanging="720"/>
        <w:jc w:val="both"/>
        <w:rPr>
          <w:rFonts w:ascii="Arial" w:eastAsia="Calibri" w:hAnsi="Arial" w:cs="Arial"/>
          <w:sz w:val="24"/>
          <w:szCs w:val="24"/>
        </w:rPr>
      </w:pPr>
      <w:r w:rsidRPr="006A7B9C">
        <w:rPr>
          <w:rFonts w:ascii="Arial" w:eastAsia="Calibri" w:hAnsi="Arial" w:cs="Arial"/>
          <w:sz w:val="24"/>
          <w:szCs w:val="24"/>
        </w:rPr>
        <w:t xml:space="preserve"> </w:t>
      </w:r>
      <w:r w:rsidR="00071CF7" w:rsidRPr="006A7B9C">
        <w:rPr>
          <w:rFonts w:ascii="Arial" w:eastAsia="Calibri" w:hAnsi="Arial" w:cs="Arial"/>
          <w:sz w:val="24"/>
          <w:szCs w:val="24"/>
        </w:rPr>
        <w:tab/>
      </w:r>
      <w:r w:rsidR="001A66D4" w:rsidRPr="006A7B9C">
        <w:rPr>
          <w:rFonts w:ascii="Arial" w:eastAsia="Calibri" w:hAnsi="Arial" w:cs="Arial"/>
          <w:sz w:val="24"/>
          <w:szCs w:val="24"/>
        </w:rPr>
        <w:t>The appeal was</w:t>
      </w:r>
      <w:r w:rsidR="00071CF7" w:rsidRPr="006A7B9C">
        <w:rPr>
          <w:rFonts w:ascii="Arial" w:eastAsia="Calibri" w:hAnsi="Arial" w:cs="Arial"/>
          <w:sz w:val="24"/>
          <w:szCs w:val="24"/>
        </w:rPr>
        <w:t xml:space="preserve"> duly opposed by the respondent</w:t>
      </w:r>
      <w:r w:rsidR="001A66D4" w:rsidRPr="006A7B9C">
        <w:rPr>
          <w:rFonts w:ascii="Arial" w:eastAsia="Calibri" w:hAnsi="Arial" w:cs="Arial"/>
          <w:sz w:val="24"/>
          <w:szCs w:val="24"/>
        </w:rPr>
        <w:t>, with no cross-appeal launched</w:t>
      </w:r>
      <w:r w:rsidR="0002188D" w:rsidRPr="006A7B9C">
        <w:rPr>
          <w:rFonts w:ascii="Arial" w:eastAsia="Calibri" w:hAnsi="Arial" w:cs="Arial"/>
          <w:sz w:val="24"/>
          <w:szCs w:val="24"/>
        </w:rPr>
        <w:t xml:space="preserve">. </w:t>
      </w:r>
      <w:r w:rsidR="007E3FFB" w:rsidRPr="006A7B9C">
        <w:rPr>
          <w:rFonts w:ascii="Arial" w:eastAsia="Calibri" w:hAnsi="Arial" w:cs="Arial"/>
          <w:sz w:val="24"/>
          <w:szCs w:val="24"/>
        </w:rPr>
        <w:t xml:space="preserve">  </w:t>
      </w:r>
      <w:r w:rsidR="00445DE4" w:rsidRPr="006A7B9C">
        <w:rPr>
          <w:rFonts w:ascii="Arial" w:eastAsia="Calibri" w:hAnsi="Arial" w:cs="Arial"/>
          <w:sz w:val="24"/>
          <w:szCs w:val="24"/>
        </w:rPr>
        <w:t xml:space="preserve"> </w:t>
      </w:r>
    </w:p>
    <w:p w14:paraId="4792EF20" w14:textId="77777777" w:rsidR="00F81C34" w:rsidRPr="006A7B9C" w:rsidRDefault="00F81C34" w:rsidP="008D13A9">
      <w:pPr>
        <w:spacing w:after="0" w:line="360" w:lineRule="auto"/>
        <w:jc w:val="both"/>
        <w:rPr>
          <w:rFonts w:ascii="Arial" w:eastAsia="Calibri" w:hAnsi="Arial" w:cs="Arial"/>
          <w:sz w:val="24"/>
          <w:szCs w:val="24"/>
        </w:rPr>
      </w:pPr>
    </w:p>
    <w:p w14:paraId="6AEC86FF" w14:textId="77777777" w:rsidR="00F73FF3" w:rsidRPr="006A7B9C" w:rsidRDefault="00753A3E" w:rsidP="008D13A9">
      <w:pPr>
        <w:spacing w:after="0" w:line="360" w:lineRule="auto"/>
        <w:jc w:val="both"/>
        <w:rPr>
          <w:rFonts w:ascii="Arial" w:eastAsia="Calibri" w:hAnsi="Arial" w:cs="Arial"/>
          <w:sz w:val="24"/>
          <w:szCs w:val="24"/>
        </w:rPr>
      </w:pPr>
      <w:r w:rsidRPr="006A7B9C">
        <w:rPr>
          <w:rFonts w:ascii="Arial" w:eastAsia="Calibri" w:hAnsi="Arial" w:cs="Arial"/>
          <w:sz w:val="24"/>
          <w:szCs w:val="24"/>
          <w:u w:val="single"/>
        </w:rPr>
        <w:t>Background facts</w:t>
      </w:r>
    </w:p>
    <w:p w14:paraId="0F03E5D1" w14:textId="77777777" w:rsidR="00F73FF3" w:rsidRPr="006A7B9C" w:rsidRDefault="00F73FF3" w:rsidP="0019783A">
      <w:pPr>
        <w:spacing w:after="0" w:line="360" w:lineRule="auto"/>
        <w:jc w:val="both"/>
        <w:rPr>
          <w:rFonts w:ascii="Arial" w:eastAsia="Calibri" w:hAnsi="Arial" w:cs="Arial"/>
          <w:sz w:val="24"/>
          <w:szCs w:val="24"/>
          <w:u w:val="single"/>
        </w:rPr>
      </w:pPr>
    </w:p>
    <w:p w14:paraId="23943C19" w14:textId="77777777" w:rsidR="00224DEA" w:rsidRPr="006A7B9C" w:rsidRDefault="00180FAA" w:rsidP="008D13A9">
      <w:pPr>
        <w:numPr>
          <w:ilvl w:val="0"/>
          <w:numId w:val="32"/>
        </w:numPr>
        <w:tabs>
          <w:tab w:val="num" w:pos="360"/>
        </w:tabs>
        <w:spacing w:after="0" w:line="360" w:lineRule="auto"/>
        <w:ind w:left="720" w:hanging="720"/>
        <w:jc w:val="both"/>
        <w:rPr>
          <w:rFonts w:ascii="Arial" w:eastAsia="Calibri" w:hAnsi="Arial" w:cs="Arial"/>
          <w:sz w:val="24"/>
          <w:szCs w:val="24"/>
        </w:rPr>
      </w:pPr>
      <w:r w:rsidRPr="006A7B9C">
        <w:rPr>
          <w:rFonts w:ascii="Arial" w:eastAsia="Calibri" w:hAnsi="Arial" w:cs="Arial"/>
          <w:sz w:val="24"/>
          <w:szCs w:val="24"/>
        </w:rPr>
        <w:t xml:space="preserve">     </w:t>
      </w:r>
      <w:r w:rsidR="00CD169F" w:rsidRPr="006A7B9C">
        <w:rPr>
          <w:rFonts w:ascii="Arial" w:eastAsia="Calibri" w:hAnsi="Arial" w:cs="Arial"/>
          <w:sz w:val="24"/>
          <w:szCs w:val="24"/>
        </w:rPr>
        <w:t>Pertinent</w:t>
      </w:r>
      <w:r w:rsidR="000B11A6" w:rsidRPr="006A7B9C">
        <w:rPr>
          <w:rFonts w:ascii="Arial" w:eastAsia="Calibri" w:hAnsi="Arial" w:cs="Arial"/>
          <w:sz w:val="24"/>
          <w:szCs w:val="24"/>
        </w:rPr>
        <w:t xml:space="preserve"> to this appeal, on 26 July 2017,</w:t>
      </w:r>
      <w:r w:rsidR="001A66D4" w:rsidRPr="006A7B9C">
        <w:rPr>
          <w:rFonts w:ascii="Arial" w:eastAsia="Calibri" w:hAnsi="Arial" w:cs="Arial"/>
          <w:sz w:val="24"/>
          <w:szCs w:val="24"/>
        </w:rPr>
        <w:t xml:space="preserve"> and</w:t>
      </w:r>
      <w:r w:rsidR="000B11A6" w:rsidRPr="006A7B9C">
        <w:rPr>
          <w:rFonts w:ascii="Arial" w:eastAsia="Calibri" w:hAnsi="Arial" w:cs="Arial"/>
          <w:sz w:val="24"/>
          <w:szCs w:val="24"/>
        </w:rPr>
        <w:t xml:space="preserve"> at Pretoria, </w:t>
      </w:r>
      <w:r w:rsidR="00184C2E" w:rsidRPr="006A7B9C">
        <w:rPr>
          <w:rFonts w:ascii="Arial" w:eastAsia="Calibri" w:hAnsi="Arial" w:cs="Arial"/>
          <w:sz w:val="24"/>
          <w:szCs w:val="24"/>
        </w:rPr>
        <w:t>Hennops Sports (Pty) Ltd (Hennops), the lessor</w:t>
      </w:r>
      <w:r w:rsidR="001A66D4" w:rsidRPr="006A7B9C">
        <w:rPr>
          <w:rFonts w:ascii="Arial" w:eastAsia="Calibri" w:hAnsi="Arial" w:cs="Arial"/>
          <w:sz w:val="24"/>
          <w:szCs w:val="24"/>
        </w:rPr>
        <w:t>,</w:t>
      </w:r>
      <w:r w:rsidR="00184C2E" w:rsidRPr="006A7B9C">
        <w:rPr>
          <w:rFonts w:ascii="Arial" w:eastAsia="Calibri" w:hAnsi="Arial" w:cs="Arial"/>
          <w:sz w:val="24"/>
          <w:szCs w:val="24"/>
        </w:rPr>
        <w:t xml:space="preserve"> and Luhan Auto (Pty) Ltd (Luhan), the lessee, concluded a written agreement, in terms of which Hennops lea</w:t>
      </w:r>
      <w:r w:rsidR="00224DEA" w:rsidRPr="006A7B9C">
        <w:rPr>
          <w:rFonts w:ascii="Arial" w:eastAsia="Calibri" w:hAnsi="Arial" w:cs="Arial"/>
          <w:sz w:val="24"/>
          <w:szCs w:val="24"/>
        </w:rPr>
        <w:t>sed an immovable property,</w:t>
      </w:r>
      <w:r w:rsidR="001A66D4" w:rsidRPr="006A7B9C">
        <w:rPr>
          <w:rFonts w:ascii="Arial" w:eastAsia="Calibri" w:hAnsi="Arial" w:cs="Arial"/>
          <w:sz w:val="24"/>
          <w:szCs w:val="24"/>
        </w:rPr>
        <w:t xml:space="preserve"> </w:t>
      </w:r>
      <w:r w:rsidR="001A66D4" w:rsidRPr="008D13A9">
        <w:rPr>
          <w:rFonts w:ascii="Arial" w:eastAsia="Calibri" w:hAnsi="Arial" w:cs="Arial"/>
          <w:i/>
          <w:sz w:val="24"/>
          <w:szCs w:val="24"/>
        </w:rPr>
        <w:t>to wit</w:t>
      </w:r>
      <w:r w:rsidR="001A66D4" w:rsidRPr="006A7B9C">
        <w:rPr>
          <w:rFonts w:ascii="Arial" w:eastAsia="Calibri" w:hAnsi="Arial" w:cs="Arial"/>
          <w:sz w:val="24"/>
          <w:szCs w:val="24"/>
        </w:rPr>
        <w:t>,</w:t>
      </w:r>
      <w:r w:rsidR="000B11A6" w:rsidRPr="006A7B9C">
        <w:rPr>
          <w:rFonts w:ascii="Arial" w:eastAsia="Calibri" w:hAnsi="Arial" w:cs="Arial"/>
          <w:sz w:val="24"/>
          <w:szCs w:val="24"/>
        </w:rPr>
        <w:t xml:space="preserve"> the remaining extent of Erf 173 Gezina Township</w:t>
      </w:r>
      <w:r w:rsidR="00224DEA" w:rsidRPr="006A7B9C">
        <w:rPr>
          <w:rFonts w:ascii="Arial" w:eastAsia="Calibri" w:hAnsi="Arial" w:cs="Arial"/>
          <w:sz w:val="24"/>
          <w:szCs w:val="24"/>
        </w:rPr>
        <w:t xml:space="preserve"> situated at 522 Ben Swart Street, Gezina</w:t>
      </w:r>
      <w:r w:rsidR="00184C2E" w:rsidRPr="006A7B9C">
        <w:rPr>
          <w:rFonts w:ascii="Arial" w:eastAsia="Calibri" w:hAnsi="Arial" w:cs="Arial"/>
          <w:sz w:val="24"/>
          <w:szCs w:val="24"/>
        </w:rPr>
        <w:t xml:space="preserve"> (Premises) to Luhan in order for it to conduct a business of </w:t>
      </w:r>
      <w:r w:rsidR="00224DEA" w:rsidRPr="006A7B9C">
        <w:rPr>
          <w:rFonts w:ascii="Arial" w:eastAsia="Calibri" w:hAnsi="Arial" w:cs="Arial"/>
          <w:sz w:val="24"/>
          <w:szCs w:val="24"/>
        </w:rPr>
        <w:t>a motor vehicle dealership</w:t>
      </w:r>
      <w:r w:rsidR="00184C2E" w:rsidRPr="006A7B9C">
        <w:rPr>
          <w:rFonts w:ascii="Arial" w:eastAsia="Calibri" w:hAnsi="Arial" w:cs="Arial"/>
          <w:sz w:val="24"/>
          <w:szCs w:val="24"/>
        </w:rPr>
        <w:t>.</w:t>
      </w:r>
      <w:r w:rsidR="000B11A6" w:rsidRPr="006A7B9C">
        <w:rPr>
          <w:rFonts w:ascii="Arial" w:eastAsia="Calibri" w:hAnsi="Arial" w:cs="Arial"/>
          <w:sz w:val="24"/>
          <w:szCs w:val="24"/>
        </w:rPr>
        <w:t xml:space="preserve"> The agreed rental for the use of the premises was set at R77</w:t>
      </w:r>
      <w:r w:rsidR="00C74C46" w:rsidRPr="006A7B9C">
        <w:rPr>
          <w:rFonts w:ascii="Arial" w:eastAsia="Calibri" w:hAnsi="Arial" w:cs="Arial"/>
          <w:sz w:val="24"/>
          <w:szCs w:val="24"/>
        </w:rPr>
        <w:t>, 000.00</w:t>
      </w:r>
      <w:r w:rsidR="000B11A6" w:rsidRPr="006A7B9C">
        <w:rPr>
          <w:rFonts w:ascii="Arial" w:eastAsia="Calibri" w:hAnsi="Arial" w:cs="Arial"/>
          <w:sz w:val="24"/>
          <w:szCs w:val="24"/>
        </w:rPr>
        <w:t xml:space="preserve"> a month payable in advance for a fixed period of five years.</w:t>
      </w:r>
    </w:p>
    <w:p w14:paraId="08D25544" w14:textId="77777777" w:rsidR="00184C2E" w:rsidRPr="006A7B9C" w:rsidRDefault="000B11A6" w:rsidP="008D13A9">
      <w:pPr>
        <w:spacing w:after="0" w:line="360" w:lineRule="auto"/>
        <w:ind w:left="720"/>
        <w:jc w:val="both"/>
        <w:rPr>
          <w:rFonts w:ascii="Arial" w:eastAsia="Calibri" w:hAnsi="Arial" w:cs="Arial"/>
          <w:sz w:val="24"/>
          <w:szCs w:val="24"/>
        </w:rPr>
      </w:pPr>
      <w:r w:rsidRPr="006A7B9C">
        <w:rPr>
          <w:rFonts w:ascii="Arial" w:eastAsia="Calibri" w:hAnsi="Arial" w:cs="Arial"/>
          <w:sz w:val="24"/>
          <w:szCs w:val="24"/>
        </w:rPr>
        <w:lastRenderedPageBreak/>
        <w:t xml:space="preserve"> </w:t>
      </w:r>
    </w:p>
    <w:p w14:paraId="081DBE70" w14:textId="724714DD" w:rsidR="00C37AC8" w:rsidRPr="006A7B9C" w:rsidRDefault="00184C2E" w:rsidP="008D13A9">
      <w:pPr>
        <w:numPr>
          <w:ilvl w:val="0"/>
          <w:numId w:val="32"/>
        </w:numPr>
        <w:tabs>
          <w:tab w:val="num" w:pos="360"/>
        </w:tabs>
        <w:spacing w:after="0" w:line="360" w:lineRule="auto"/>
        <w:ind w:left="720" w:hanging="720"/>
        <w:jc w:val="both"/>
        <w:rPr>
          <w:rFonts w:ascii="Arial" w:eastAsia="Calibri" w:hAnsi="Arial" w:cs="Arial"/>
          <w:sz w:val="24"/>
          <w:szCs w:val="24"/>
        </w:rPr>
      </w:pPr>
      <w:r w:rsidRPr="006A7B9C">
        <w:rPr>
          <w:rFonts w:ascii="Arial" w:eastAsia="Calibri" w:hAnsi="Arial" w:cs="Arial"/>
          <w:sz w:val="24"/>
          <w:szCs w:val="24"/>
        </w:rPr>
        <w:t xml:space="preserve"> </w:t>
      </w:r>
      <w:r w:rsidR="00CD169F" w:rsidRPr="006A7B9C">
        <w:rPr>
          <w:rFonts w:ascii="Arial" w:eastAsia="Calibri" w:hAnsi="Arial" w:cs="Arial"/>
          <w:sz w:val="24"/>
          <w:szCs w:val="24"/>
        </w:rPr>
        <w:t xml:space="preserve"> </w:t>
      </w:r>
      <w:r w:rsidR="007E3FFB" w:rsidRPr="006A7B9C">
        <w:rPr>
          <w:rFonts w:ascii="Arial" w:eastAsia="Calibri" w:hAnsi="Arial" w:cs="Arial"/>
          <w:sz w:val="24"/>
          <w:szCs w:val="24"/>
        </w:rPr>
        <w:t xml:space="preserve"> </w:t>
      </w:r>
      <w:r w:rsidRPr="006A7B9C">
        <w:rPr>
          <w:rFonts w:ascii="Arial" w:eastAsia="Calibri" w:hAnsi="Arial" w:cs="Arial"/>
          <w:sz w:val="24"/>
          <w:szCs w:val="24"/>
        </w:rPr>
        <w:tab/>
      </w:r>
      <w:r w:rsidR="001A66D4" w:rsidRPr="006A7B9C">
        <w:rPr>
          <w:rFonts w:ascii="Arial" w:eastAsia="Calibri" w:hAnsi="Arial" w:cs="Arial"/>
          <w:sz w:val="24"/>
          <w:szCs w:val="24"/>
        </w:rPr>
        <w:t>On or about 25 March 2020, the G</w:t>
      </w:r>
      <w:r w:rsidRPr="006A7B9C">
        <w:rPr>
          <w:rFonts w:ascii="Arial" w:eastAsia="Calibri" w:hAnsi="Arial" w:cs="Arial"/>
          <w:sz w:val="24"/>
          <w:szCs w:val="24"/>
        </w:rPr>
        <w:t xml:space="preserve">overnment of the Republic of South Africa, promulgated regulations, which </w:t>
      </w:r>
      <w:r w:rsidR="000B11A6" w:rsidRPr="006A7B9C">
        <w:rPr>
          <w:rFonts w:ascii="Arial" w:eastAsia="Calibri" w:hAnsi="Arial" w:cs="Arial"/>
          <w:sz w:val="24"/>
          <w:szCs w:val="24"/>
        </w:rPr>
        <w:t>prescribed that during a lockdown period, all businesses that were not considered essential businesses in terms of the regulations should cease operations. Luhan was not an essential business and was compelled to cease</w:t>
      </w:r>
      <w:r w:rsidR="001A66D4" w:rsidRPr="006A7B9C">
        <w:rPr>
          <w:rFonts w:ascii="Arial" w:eastAsia="Calibri" w:hAnsi="Arial" w:cs="Arial"/>
          <w:sz w:val="24"/>
          <w:szCs w:val="24"/>
        </w:rPr>
        <w:t xml:space="preserve"> business</w:t>
      </w:r>
      <w:r w:rsidR="000B11A6" w:rsidRPr="006A7B9C">
        <w:rPr>
          <w:rFonts w:ascii="Arial" w:eastAsia="Calibri" w:hAnsi="Arial" w:cs="Arial"/>
          <w:sz w:val="24"/>
          <w:szCs w:val="24"/>
        </w:rPr>
        <w:t xml:space="preserve"> operations from the premises.</w:t>
      </w:r>
      <w:r w:rsidR="00C37AC8" w:rsidRPr="006A7B9C">
        <w:rPr>
          <w:rFonts w:ascii="Arial" w:eastAsia="Calibri" w:hAnsi="Arial" w:cs="Arial"/>
          <w:sz w:val="24"/>
          <w:szCs w:val="24"/>
        </w:rPr>
        <w:t xml:space="preserve"> Resultantly, Luhan failed to pay rental for the period April to July 2020. The arrear rental inclusive of the 10% penalty amount came to</w:t>
      </w:r>
      <w:r w:rsidR="001A66D4" w:rsidRPr="006A7B9C">
        <w:rPr>
          <w:rFonts w:ascii="Arial" w:eastAsia="Calibri" w:hAnsi="Arial" w:cs="Arial"/>
          <w:sz w:val="24"/>
          <w:szCs w:val="24"/>
        </w:rPr>
        <w:t xml:space="preserve"> an amount of</w:t>
      </w:r>
      <w:r w:rsidR="00C37AC8" w:rsidRPr="006A7B9C">
        <w:rPr>
          <w:rFonts w:ascii="Arial" w:eastAsia="Calibri" w:hAnsi="Arial" w:cs="Arial"/>
          <w:sz w:val="24"/>
          <w:szCs w:val="24"/>
        </w:rPr>
        <w:t xml:space="preserve"> R292 473.23</w:t>
      </w:r>
      <w:r w:rsidR="001A66D4" w:rsidRPr="006A7B9C">
        <w:rPr>
          <w:rFonts w:ascii="Arial" w:eastAsia="Calibri" w:hAnsi="Arial" w:cs="Arial"/>
          <w:sz w:val="24"/>
          <w:szCs w:val="24"/>
        </w:rPr>
        <w:t>, as reflected in the tax invoice</w:t>
      </w:r>
      <w:r w:rsidR="00C37AC8" w:rsidRPr="006A7B9C">
        <w:rPr>
          <w:rFonts w:ascii="Arial" w:eastAsia="Calibri" w:hAnsi="Arial" w:cs="Arial"/>
          <w:sz w:val="24"/>
          <w:szCs w:val="24"/>
        </w:rPr>
        <w:t>.</w:t>
      </w:r>
      <w:r w:rsidR="00ED1C4D" w:rsidRPr="006A7B9C">
        <w:rPr>
          <w:rFonts w:ascii="Arial" w:eastAsia="Calibri" w:hAnsi="Arial" w:cs="Arial"/>
          <w:sz w:val="24"/>
          <w:szCs w:val="24"/>
        </w:rPr>
        <w:t xml:space="preserve"> In February 2022, Luhan and Hennops met to consider a proposal to reduce rental due to the financial constraints faced by Luhan. A compromise was reached, where rental was reduced on a </w:t>
      </w:r>
      <w:r w:rsidR="007536C9" w:rsidRPr="006A7B9C">
        <w:rPr>
          <w:rFonts w:ascii="Arial" w:eastAsia="Calibri" w:hAnsi="Arial" w:cs="Arial"/>
          <w:sz w:val="24"/>
          <w:szCs w:val="24"/>
        </w:rPr>
        <w:t>month-to-month</w:t>
      </w:r>
      <w:r w:rsidR="00ED1C4D" w:rsidRPr="006A7B9C">
        <w:rPr>
          <w:rFonts w:ascii="Arial" w:eastAsia="Calibri" w:hAnsi="Arial" w:cs="Arial"/>
          <w:sz w:val="24"/>
          <w:szCs w:val="24"/>
        </w:rPr>
        <w:t xml:space="preserve"> basis until Hennops decides otherwise. On 26 March 2020, the Government of the Republic of South Africa issued restrictive regulations. Since rental was, in terms of the lease agreement, due in advance, the rental for the month of April 2020, fell due in March 2020. On 31 March 2020, Hennops demanded payment of the compromised amount, failing which the agreed amount of R77 000.00 will be due and payable. Luhan failed to pay the reduced amount. </w:t>
      </w:r>
      <w:r w:rsidR="00B47858" w:rsidRPr="006A7B9C">
        <w:rPr>
          <w:rFonts w:ascii="Arial" w:eastAsia="Calibri" w:hAnsi="Arial" w:cs="Arial"/>
          <w:sz w:val="24"/>
          <w:szCs w:val="24"/>
        </w:rPr>
        <w:t>On</w:t>
      </w:r>
      <w:r w:rsidR="00ED1C4D" w:rsidRPr="006A7B9C">
        <w:rPr>
          <w:rFonts w:ascii="Arial" w:eastAsia="Calibri" w:hAnsi="Arial" w:cs="Arial"/>
          <w:sz w:val="24"/>
          <w:szCs w:val="24"/>
        </w:rPr>
        <w:t xml:space="preserve"> 3 April 2020, Luhan</w:t>
      </w:r>
      <w:r w:rsidR="00B47858" w:rsidRPr="006A7B9C">
        <w:rPr>
          <w:rFonts w:ascii="Arial" w:eastAsia="Calibri" w:hAnsi="Arial" w:cs="Arial"/>
          <w:sz w:val="24"/>
          <w:szCs w:val="24"/>
        </w:rPr>
        <w:t>, as agreed, terminated the compromise and demanded the rental as agreed in the lease agreement. On 30 April 2020, Luhan responded to the demand and raised a dispute over the renta</w:t>
      </w:r>
      <w:r w:rsidR="006D1E94" w:rsidRPr="006A7B9C">
        <w:rPr>
          <w:rFonts w:ascii="Arial" w:eastAsia="Calibri" w:hAnsi="Arial" w:cs="Arial"/>
          <w:sz w:val="24"/>
          <w:szCs w:val="24"/>
        </w:rPr>
        <w:t xml:space="preserve">l amount. </w:t>
      </w:r>
      <w:r w:rsidR="00C37AC8" w:rsidRPr="006A7B9C">
        <w:rPr>
          <w:rFonts w:ascii="Arial" w:eastAsia="Calibri" w:hAnsi="Arial" w:cs="Arial"/>
          <w:sz w:val="24"/>
          <w:szCs w:val="24"/>
        </w:rPr>
        <w:t xml:space="preserve">On or about 10 July 2020, Hennops gave Luhan a notice of breach within the contemplation of the lease agreement. That notwithstanding, Luhan failed to rectify the breach. </w:t>
      </w:r>
    </w:p>
    <w:p w14:paraId="781F9305" w14:textId="77777777" w:rsidR="00C37AC8" w:rsidRPr="006A7B9C" w:rsidRDefault="00C37AC8" w:rsidP="008D13A9">
      <w:pPr>
        <w:pStyle w:val="ListParagraph"/>
        <w:numPr>
          <w:ilvl w:val="0"/>
          <w:numId w:val="0"/>
        </w:numPr>
        <w:spacing w:before="0" w:after="0"/>
        <w:ind w:left="567"/>
        <w:rPr>
          <w:rFonts w:eastAsia="Calibri"/>
        </w:rPr>
      </w:pPr>
    </w:p>
    <w:p w14:paraId="6E5819D4" w14:textId="2BF84917" w:rsidR="0005185D" w:rsidRPr="006A7B9C" w:rsidRDefault="00C37AC8" w:rsidP="008D13A9">
      <w:pPr>
        <w:numPr>
          <w:ilvl w:val="0"/>
          <w:numId w:val="32"/>
        </w:numPr>
        <w:tabs>
          <w:tab w:val="num" w:pos="360"/>
        </w:tabs>
        <w:spacing w:after="0" w:line="360" w:lineRule="auto"/>
        <w:ind w:left="720" w:hanging="720"/>
        <w:jc w:val="both"/>
        <w:rPr>
          <w:rFonts w:ascii="Arial" w:eastAsia="Calibri" w:hAnsi="Arial" w:cs="Arial"/>
          <w:sz w:val="24"/>
          <w:szCs w:val="24"/>
        </w:rPr>
      </w:pPr>
      <w:r w:rsidRPr="006A7B9C">
        <w:rPr>
          <w:rFonts w:ascii="Arial" w:eastAsia="Calibri" w:hAnsi="Arial" w:cs="Arial"/>
          <w:sz w:val="24"/>
          <w:szCs w:val="24"/>
        </w:rPr>
        <w:t xml:space="preserve"> </w:t>
      </w:r>
      <w:r w:rsidR="000B11A6" w:rsidRPr="006A7B9C">
        <w:rPr>
          <w:rFonts w:ascii="Arial" w:eastAsia="Calibri" w:hAnsi="Arial" w:cs="Arial"/>
          <w:sz w:val="24"/>
          <w:szCs w:val="24"/>
        </w:rPr>
        <w:t xml:space="preserve">  </w:t>
      </w:r>
      <w:r w:rsidRPr="006A7B9C">
        <w:rPr>
          <w:rFonts w:ascii="Arial" w:eastAsia="Calibri" w:hAnsi="Arial" w:cs="Arial"/>
          <w:sz w:val="24"/>
          <w:szCs w:val="24"/>
        </w:rPr>
        <w:tab/>
        <w:t>On or about 30 July 2020, Hennops issued summons claiming the arrear rental</w:t>
      </w:r>
      <w:r w:rsidR="006D1E94" w:rsidRPr="006A7B9C">
        <w:rPr>
          <w:rFonts w:ascii="Arial" w:eastAsia="Calibri" w:hAnsi="Arial" w:cs="Arial"/>
          <w:sz w:val="24"/>
          <w:szCs w:val="24"/>
        </w:rPr>
        <w:t xml:space="preserve"> plus penalties</w:t>
      </w:r>
      <w:r w:rsidRPr="006A7B9C">
        <w:rPr>
          <w:rFonts w:ascii="Arial" w:eastAsia="Calibri" w:hAnsi="Arial" w:cs="Arial"/>
          <w:sz w:val="24"/>
          <w:szCs w:val="24"/>
        </w:rPr>
        <w:t xml:space="preserve"> as well as other ancillary claims. Luhan opted to defend the action and also instituted a counterclaim, in terms of which, it sought rectification of the lease agreement. Luhan alleged that with effect from 1 March 2020</w:t>
      </w:r>
      <w:r w:rsidR="00C57027" w:rsidRPr="006A7B9C">
        <w:rPr>
          <w:rFonts w:ascii="Arial" w:eastAsia="Calibri" w:hAnsi="Arial" w:cs="Arial"/>
          <w:sz w:val="24"/>
          <w:szCs w:val="24"/>
        </w:rPr>
        <w:t xml:space="preserve">, it became the common intention of the parties that the rental amount payable by it to Hennops be reduced from the agreed amount of R77 000.00 to an amount of R66 125.00 and that Hennops is to invoice Luhan in such lower amount of rental as the rental due, in accordance with the invoice for 1 March 2020. </w:t>
      </w:r>
      <w:r w:rsidR="009703E9" w:rsidRPr="006A7B9C">
        <w:rPr>
          <w:rFonts w:ascii="Arial" w:eastAsia="Calibri" w:hAnsi="Arial" w:cs="Arial"/>
          <w:sz w:val="24"/>
          <w:szCs w:val="24"/>
        </w:rPr>
        <w:t>Hennops disputed the counterclaim</w:t>
      </w:r>
      <w:r w:rsidR="00C57027" w:rsidRPr="006A7B9C">
        <w:rPr>
          <w:rFonts w:ascii="Arial" w:eastAsia="Calibri" w:hAnsi="Arial" w:cs="Arial"/>
          <w:sz w:val="24"/>
          <w:szCs w:val="24"/>
        </w:rPr>
        <w:t xml:space="preserve">. As part of its defence to the claim, Luhan pleaded </w:t>
      </w:r>
      <w:r w:rsidR="00C57027" w:rsidRPr="006A7B9C">
        <w:rPr>
          <w:rFonts w:ascii="Arial" w:eastAsia="Calibri" w:hAnsi="Arial" w:cs="Arial"/>
          <w:i/>
          <w:sz w:val="24"/>
          <w:szCs w:val="24"/>
        </w:rPr>
        <w:t>casus fortuitus</w:t>
      </w:r>
      <w:r w:rsidR="00C57027" w:rsidRPr="006A7B9C">
        <w:rPr>
          <w:rFonts w:ascii="Arial" w:eastAsia="Calibri" w:hAnsi="Arial" w:cs="Arial"/>
          <w:sz w:val="24"/>
          <w:szCs w:val="24"/>
        </w:rPr>
        <w:t>. Luhan alleged that COVID-19 prevented its commercial activity, as a result</w:t>
      </w:r>
      <w:r w:rsidR="006D1E94" w:rsidRPr="006A7B9C">
        <w:rPr>
          <w:rFonts w:ascii="Arial" w:eastAsia="Calibri" w:hAnsi="Arial" w:cs="Arial"/>
          <w:sz w:val="24"/>
          <w:szCs w:val="24"/>
        </w:rPr>
        <w:t>,</w:t>
      </w:r>
      <w:r w:rsidR="00C57027" w:rsidRPr="006A7B9C">
        <w:rPr>
          <w:rFonts w:ascii="Arial" w:eastAsia="Calibri" w:hAnsi="Arial" w:cs="Arial"/>
          <w:sz w:val="24"/>
          <w:szCs w:val="24"/>
        </w:rPr>
        <w:t xml:space="preserve"> </w:t>
      </w:r>
      <w:r w:rsidR="00C57027" w:rsidRPr="006A7B9C">
        <w:rPr>
          <w:rFonts w:ascii="Arial" w:eastAsia="Calibri" w:hAnsi="Arial" w:cs="Arial"/>
          <w:sz w:val="24"/>
          <w:szCs w:val="24"/>
        </w:rPr>
        <w:lastRenderedPageBreak/>
        <w:t xml:space="preserve">performance of its obligations was temporarily made impossible by the restrictions </w:t>
      </w:r>
      <w:r w:rsidR="0005185D" w:rsidRPr="006A7B9C">
        <w:rPr>
          <w:rFonts w:ascii="Arial" w:eastAsia="Calibri" w:hAnsi="Arial" w:cs="Arial"/>
          <w:sz w:val="24"/>
          <w:szCs w:val="24"/>
        </w:rPr>
        <w:t xml:space="preserve">ordered by Government, and that there was no fault on its side. </w:t>
      </w:r>
    </w:p>
    <w:p w14:paraId="44E3D353" w14:textId="77777777" w:rsidR="0005185D" w:rsidRPr="006A7B9C" w:rsidRDefault="0005185D" w:rsidP="008D13A9">
      <w:pPr>
        <w:pStyle w:val="ListParagraph"/>
        <w:numPr>
          <w:ilvl w:val="0"/>
          <w:numId w:val="0"/>
        </w:numPr>
        <w:spacing w:before="0" w:after="0"/>
        <w:ind w:left="567"/>
        <w:rPr>
          <w:rFonts w:eastAsia="Calibri"/>
        </w:rPr>
      </w:pPr>
    </w:p>
    <w:p w14:paraId="732EF3FC" w14:textId="77777777" w:rsidR="0040301B" w:rsidRPr="006A7B9C" w:rsidRDefault="007E3FFB" w:rsidP="008D13A9">
      <w:pPr>
        <w:numPr>
          <w:ilvl w:val="0"/>
          <w:numId w:val="32"/>
        </w:numPr>
        <w:tabs>
          <w:tab w:val="num" w:pos="360"/>
        </w:tabs>
        <w:spacing w:after="0" w:line="360" w:lineRule="auto"/>
        <w:ind w:left="720" w:hanging="720"/>
        <w:jc w:val="both"/>
        <w:rPr>
          <w:rFonts w:ascii="Arial" w:eastAsia="Calibri" w:hAnsi="Arial" w:cs="Arial"/>
          <w:sz w:val="24"/>
          <w:szCs w:val="24"/>
        </w:rPr>
      </w:pPr>
      <w:r w:rsidRPr="006A7B9C">
        <w:rPr>
          <w:rFonts w:ascii="Arial" w:eastAsia="Calibri" w:hAnsi="Arial" w:cs="Arial"/>
          <w:sz w:val="24"/>
          <w:szCs w:val="24"/>
        </w:rPr>
        <w:t xml:space="preserve"> </w:t>
      </w:r>
      <w:r w:rsidR="0005185D" w:rsidRPr="006A7B9C">
        <w:rPr>
          <w:rFonts w:ascii="Arial" w:eastAsia="Calibri" w:hAnsi="Arial" w:cs="Arial"/>
          <w:sz w:val="24"/>
          <w:szCs w:val="24"/>
        </w:rPr>
        <w:tab/>
        <w:t>According to Luhan, the rental term was reduced and after having made payments in the amount of R49 334.68, the balance owing to Hennops was R82 915.32. I</w:t>
      </w:r>
      <w:r w:rsidR="006D1E94" w:rsidRPr="006A7B9C">
        <w:rPr>
          <w:rFonts w:ascii="Arial" w:eastAsia="Calibri" w:hAnsi="Arial" w:cs="Arial"/>
          <w:sz w:val="24"/>
          <w:szCs w:val="24"/>
        </w:rPr>
        <w:t>t apparently made</w:t>
      </w:r>
      <w:r w:rsidR="000E6A91">
        <w:rPr>
          <w:rFonts w:ascii="Arial" w:eastAsia="Calibri" w:hAnsi="Arial" w:cs="Arial"/>
          <w:sz w:val="24"/>
          <w:szCs w:val="24"/>
        </w:rPr>
        <w:t>,</w:t>
      </w:r>
      <w:r w:rsidR="006D1E94" w:rsidRPr="006A7B9C">
        <w:rPr>
          <w:rFonts w:ascii="Arial" w:eastAsia="Calibri" w:hAnsi="Arial" w:cs="Arial"/>
          <w:sz w:val="24"/>
          <w:szCs w:val="24"/>
        </w:rPr>
        <w:t xml:space="preserve"> a with prejudice offer, which offer was not accepted. Strangely, the </w:t>
      </w:r>
      <w:r w:rsidR="0040301B" w:rsidRPr="006A7B9C">
        <w:rPr>
          <w:rFonts w:ascii="Arial" w:eastAsia="Calibri" w:hAnsi="Arial" w:cs="Arial"/>
          <w:sz w:val="24"/>
          <w:szCs w:val="24"/>
        </w:rPr>
        <w:t xml:space="preserve">Court </w:t>
      </w:r>
      <w:r w:rsidR="0040301B" w:rsidRPr="006A7B9C">
        <w:rPr>
          <w:rFonts w:ascii="Arial" w:eastAsia="Calibri" w:hAnsi="Arial" w:cs="Arial"/>
          <w:i/>
          <w:sz w:val="24"/>
          <w:szCs w:val="24"/>
        </w:rPr>
        <w:t xml:space="preserve">a </w:t>
      </w:r>
      <w:r w:rsidR="006D1E94" w:rsidRPr="006A7B9C">
        <w:rPr>
          <w:rFonts w:ascii="Arial" w:eastAsia="Calibri" w:hAnsi="Arial" w:cs="Arial"/>
          <w:i/>
          <w:sz w:val="24"/>
          <w:szCs w:val="24"/>
        </w:rPr>
        <w:t>quo</w:t>
      </w:r>
      <w:r w:rsidR="006D1E94" w:rsidRPr="006A7B9C">
        <w:rPr>
          <w:rFonts w:ascii="Arial" w:eastAsia="Calibri" w:hAnsi="Arial" w:cs="Arial"/>
          <w:sz w:val="24"/>
          <w:szCs w:val="24"/>
        </w:rPr>
        <w:t xml:space="preserve"> did not even deem it necessary to </w:t>
      </w:r>
      <w:r w:rsidR="0040301B" w:rsidRPr="006A7B9C">
        <w:rPr>
          <w:rFonts w:ascii="Arial" w:eastAsia="Calibri" w:hAnsi="Arial" w:cs="Arial"/>
          <w:sz w:val="24"/>
          <w:szCs w:val="24"/>
        </w:rPr>
        <w:t>enter a judgment in favour of Hennops with respect to the</w:t>
      </w:r>
      <w:r w:rsidR="006D1E94" w:rsidRPr="006A7B9C">
        <w:rPr>
          <w:rFonts w:ascii="Arial" w:eastAsia="Calibri" w:hAnsi="Arial" w:cs="Arial"/>
          <w:sz w:val="24"/>
          <w:szCs w:val="24"/>
        </w:rPr>
        <w:t xml:space="preserve"> owed and admitted </w:t>
      </w:r>
      <w:r w:rsidR="0040301B" w:rsidRPr="006A7B9C">
        <w:rPr>
          <w:rFonts w:ascii="Arial" w:eastAsia="Calibri" w:hAnsi="Arial" w:cs="Arial"/>
          <w:sz w:val="24"/>
          <w:szCs w:val="24"/>
        </w:rPr>
        <w:t xml:space="preserve">amount. As at the time of the institution of the action, Luhan was still in occupation. However, in its plea, it tendered to vacate the premises. Luhan prayed for the claim of Hennops to be dismissed with costs. </w:t>
      </w:r>
    </w:p>
    <w:p w14:paraId="6B530CC5" w14:textId="77777777" w:rsidR="0040301B" w:rsidRPr="006A7B9C" w:rsidRDefault="0040301B" w:rsidP="008D13A9">
      <w:pPr>
        <w:pStyle w:val="ListParagraph"/>
        <w:numPr>
          <w:ilvl w:val="0"/>
          <w:numId w:val="0"/>
        </w:numPr>
        <w:spacing w:before="0" w:after="0"/>
        <w:ind w:left="567"/>
        <w:rPr>
          <w:rFonts w:eastAsia="Calibri"/>
        </w:rPr>
      </w:pPr>
    </w:p>
    <w:p w14:paraId="6C1DD614" w14:textId="77777777" w:rsidR="00974A6B" w:rsidRPr="006A7B9C" w:rsidRDefault="0040301B" w:rsidP="008D13A9">
      <w:pPr>
        <w:numPr>
          <w:ilvl w:val="0"/>
          <w:numId w:val="32"/>
        </w:numPr>
        <w:tabs>
          <w:tab w:val="num" w:pos="360"/>
        </w:tabs>
        <w:spacing w:after="0" w:line="360" w:lineRule="auto"/>
        <w:ind w:left="720" w:hanging="720"/>
        <w:jc w:val="both"/>
        <w:rPr>
          <w:rFonts w:ascii="Arial" w:eastAsia="Calibri" w:hAnsi="Arial" w:cs="Arial"/>
          <w:sz w:val="24"/>
          <w:szCs w:val="24"/>
        </w:rPr>
      </w:pPr>
      <w:r w:rsidRPr="006A7B9C">
        <w:rPr>
          <w:rFonts w:ascii="Arial" w:eastAsia="Calibri" w:hAnsi="Arial" w:cs="Arial"/>
          <w:sz w:val="24"/>
          <w:szCs w:val="24"/>
        </w:rPr>
        <w:t xml:space="preserve"> </w:t>
      </w:r>
      <w:r w:rsidRPr="006A7B9C">
        <w:rPr>
          <w:rFonts w:ascii="Arial" w:eastAsia="Calibri" w:hAnsi="Arial" w:cs="Arial"/>
          <w:sz w:val="24"/>
          <w:szCs w:val="24"/>
        </w:rPr>
        <w:tab/>
        <w:t>At the trial of the action, both parties tendered oral testimony of a witness each</w:t>
      </w:r>
      <w:r w:rsidR="00974A6B" w:rsidRPr="006A7B9C">
        <w:rPr>
          <w:rFonts w:ascii="Arial" w:eastAsia="Calibri" w:hAnsi="Arial" w:cs="Arial"/>
          <w:sz w:val="24"/>
          <w:szCs w:val="24"/>
        </w:rPr>
        <w:t xml:space="preserve"> (Ms Tertia Botha for Hennops and Mr Lucas Venter for Luhan)</w:t>
      </w:r>
      <w:r w:rsidRPr="006A7B9C">
        <w:rPr>
          <w:rFonts w:ascii="Arial" w:eastAsia="Calibri" w:hAnsi="Arial" w:cs="Arial"/>
          <w:sz w:val="24"/>
          <w:szCs w:val="24"/>
        </w:rPr>
        <w:t xml:space="preserve"> as well as other documentary evidence. It became common cause during the trial that due to COVID-19 restrictions, Luhan could not conduct or opera</w:t>
      </w:r>
      <w:r w:rsidR="00D456AE" w:rsidRPr="006A7B9C">
        <w:rPr>
          <w:rFonts w:ascii="Arial" w:eastAsia="Calibri" w:hAnsi="Arial" w:cs="Arial"/>
          <w:sz w:val="24"/>
          <w:szCs w:val="24"/>
        </w:rPr>
        <w:t>te its business at the premises.</w:t>
      </w:r>
      <w:r w:rsidR="006D1E94" w:rsidRPr="006A7B9C">
        <w:rPr>
          <w:rStyle w:val="FootnoteReference"/>
          <w:rFonts w:ascii="Arial" w:eastAsia="Calibri" w:hAnsi="Arial" w:cs="Arial"/>
          <w:sz w:val="24"/>
          <w:szCs w:val="24"/>
        </w:rPr>
        <w:footnoteReference w:id="2"/>
      </w:r>
      <w:r w:rsidR="00D456AE" w:rsidRPr="006A7B9C">
        <w:rPr>
          <w:rFonts w:ascii="Arial" w:eastAsia="Calibri" w:hAnsi="Arial" w:cs="Arial"/>
          <w:sz w:val="24"/>
          <w:szCs w:val="24"/>
        </w:rPr>
        <w:t xml:space="preserve"> </w:t>
      </w:r>
      <w:r w:rsidR="00974A6B" w:rsidRPr="006A7B9C">
        <w:rPr>
          <w:rFonts w:ascii="Arial" w:eastAsia="Calibri" w:hAnsi="Arial" w:cs="Arial"/>
          <w:sz w:val="24"/>
          <w:szCs w:val="24"/>
        </w:rPr>
        <w:t>It also became common cause that a compromise wa</w:t>
      </w:r>
      <w:r w:rsidR="00D456AE" w:rsidRPr="006A7B9C">
        <w:rPr>
          <w:rFonts w:ascii="Arial" w:eastAsia="Calibri" w:hAnsi="Arial" w:cs="Arial"/>
          <w:sz w:val="24"/>
          <w:szCs w:val="24"/>
        </w:rPr>
        <w:t>s reached to reduce rental for some</w:t>
      </w:r>
      <w:r w:rsidR="00974A6B" w:rsidRPr="006A7B9C">
        <w:rPr>
          <w:rFonts w:ascii="Arial" w:eastAsia="Calibri" w:hAnsi="Arial" w:cs="Arial"/>
          <w:sz w:val="24"/>
          <w:szCs w:val="24"/>
        </w:rPr>
        <w:t xml:space="preserve"> period of three months. It also became common cause that an amount of R49 334.68 was paid in respect of the rental for June and July 2020.</w:t>
      </w:r>
    </w:p>
    <w:p w14:paraId="4FAAA87D" w14:textId="77777777" w:rsidR="00974A6B" w:rsidRPr="006A7B9C" w:rsidRDefault="00974A6B" w:rsidP="008D13A9">
      <w:pPr>
        <w:pStyle w:val="ListParagraph"/>
        <w:numPr>
          <w:ilvl w:val="0"/>
          <w:numId w:val="0"/>
        </w:numPr>
        <w:spacing w:before="0" w:after="0"/>
        <w:ind w:left="567"/>
        <w:rPr>
          <w:rFonts w:eastAsia="Calibri"/>
        </w:rPr>
      </w:pPr>
    </w:p>
    <w:p w14:paraId="610E9A8D" w14:textId="77777777" w:rsidR="00ED60A3" w:rsidRPr="006A7B9C" w:rsidRDefault="00974A6B" w:rsidP="008D13A9">
      <w:pPr>
        <w:numPr>
          <w:ilvl w:val="0"/>
          <w:numId w:val="32"/>
        </w:numPr>
        <w:tabs>
          <w:tab w:val="num" w:pos="360"/>
        </w:tabs>
        <w:spacing w:after="0" w:line="360" w:lineRule="auto"/>
        <w:ind w:left="720" w:hanging="720"/>
        <w:jc w:val="both"/>
        <w:rPr>
          <w:rFonts w:ascii="Arial" w:eastAsia="Calibri" w:hAnsi="Arial" w:cs="Arial"/>
          <w:sz w:val="24"/>
          <w:szCs w:val="24"/>
        </w:rPr>
      </w:pPr>
      <w:r w:rsidRPr="006A7B9C">
        <w:rPr>
          <w:rFonts w:ascii="Arial" w:eastAsia="Calibri" w:hAnsi="Arial" w:cs="Arial"/>
          <w:sz w:val="24"/>
          <w:szCs w:val="24"/>
        </w:rPr>
        <w:t xml:space="preserve"> </w:t>
      </w:r>
      <w:r w:rsidRPr="006A7B9C">
        <w:rPr>
          <w:rFonts w:ascii="Arial" w:eastAsia="Calibri" w:hAnsi="Arial" w:cs="Arial"/>
          <w:sz w:val="24"/>
          <w:szCs w:val="24"/>
        </w:rPr>
        <w:tab/>
        <w:t xml:space="preserve">After hearing evidence, the Court </w:t>
      </w:r>
      <w:r w:rsidRPr="006A7B9C">
        <w:rPr>
          <w:rFonts w:ascii="Arial" w:eastAsia="Calibri" w:hAnsi="Arial" w:cs="Arial"/>
          <w:i/>
          <w:sz w:val="24"/>
          <w:szCs w:val="24"/>
        </w:rPr>
        <w:t>a quo</w:t>
      </w:r>
      <w:r w:rsidR="00D456AE" w:rsidRPr="006A7B9C">
        <w:rPr>
          <w:rFonts w:ascii="Arial" w:eastAsia="Calibri" w:hAnsi="Arial" w:cs="Arial"/>
          <w:i/>
          <w:sz w:val="24"/>
          <w:szCs w:val="24"/>
        </w:rPr>
        <w:t>,</w:t>
      </w:r>
      <w:r w:rsidRPr="006A7B9C">
        <w:rPr>
          <w:rFonts w:ascii="Arial" w:eastAsia="Calibri" w:hAnsi="Arial" w:cs="Arial"/>
          <w:sz w:val="24"/>
          <w:szCs w:val="24"/>
        </w:rPr>
        <w:t xml:space="preserve"> on 21 January 2022</w:t>
      </w:r>
      <w:r w:rsidR="00D456AE" w:rsidRPr="006A7B9C">
        <w:rPr>
          <w:rFonts w:ascii="Arial" w:eastAsia="Calibri" w:hAnsi="Arial" w:cs="Arial"/>
          <w:sz w:val="24"/>
          <w:szCs w:val="24"/>
        </w:rPr>
        <w:t>,</w:t>
      </w:r>
      <w:r w:rsidRPr="006A7B9C">
        <w:rPr>
          <w:rFonts w:ascii="Arial" w:eastAsia="Calibri" w:hAnsi="Arial" w:cs="Arial"/>
          <w:sz w:val="24"/>
          <w:szCs w:val="24"/>
        </w:rPr>
        <w:t xml:space="preserve"> handed down a judgment which is the subject of this appeal. </w:t>
      </w:r>
    </w:p>
    <w:p w14:paraId="084BF695" w14:textId="77777777" w:rsidR="00ED60A3" w:rsidRPr="006A7B9C" w:rsidRDefault="00ED60A3" w:rsidP="008D13A9">
      <w:pPr>
        <w:spacing w:after="0" w:line="360" w:lineRule="auto"/>
        <w:ind w:left="720"/>
        <w:jc w:val="both"/>
        <w:rPr>
          <w:rFonts w:ascii="Arial" w:eastAsia="Calibri" w:hAnsi="Arial" w:cs="Arial"/>
          <w:sz w:val="24"/>
          <w:szCs w:val="24"/>
        </w:rPr>
      </w:pPr>
    </w:p>
    <w:p w14:paraId="653F600F" w14:textId="77777777" w:rsidR="00F73FF3" w:rsidRPr="00847DAB" w:rsidRDefault="00274C40" w:rsidP="0019783A">
      <w:pPr>
        <w:spacing w:after="0" w:line="360" w:lineRule="auto"/>
        <w:ind w:left="720" w:hanging="720"/>
        <w:jc w:val="both"/>
        <w:rPr>
          <w:rFonts w:ascii="Arial" w:eastAsia="Calibri" w:hAnsi="Arial" w:cs="Arial"/>
          <w:sz w:val="24"/>
          <w:szCs w:val="24"/>
          <w:u w:val="single"/>
        </w:rPr>
      </w:pPr>
      <w:r w:rsidRPr="00847DAB">
        <w:rPr>
          <w:rFonts w:ascii="Arial" w:eastAsia="Calibri" w:hAnsi="Arial" w:cs="Arial"/>
          <w:sz w:val="24"/>
          <w:szCs w:val="24"/>
          <w:u w:val="single"/>
        </w:rPr>
        <w:t>Analysis</w:t>
      </w:r>
    </w:p>
    <w:p w14:paraId="4B55068D" w14:textId="77777777" w:rsidR="00F73FF3" w:rsidRPr="006A7B9C" w:rsidRDefault="00F73FF3">
      <w:pPr>
        <w:spacing w:after="0" w:line="360" w:lineRule="auto"/>
        <w:rPr>
          <w:rFonts w:ascii="Arial" w:eastAsia="Calibri" w:hAnsi="Arial" w:cs="Arial"/>
          <w:sz w:val="24"/>
          <w:szCs w:val="24"/>
        </w:rPr>
      </w:pPr>
    </w:p>
    <w:p w14:paraId="17E926AB" w14:textId="77777777" w:rsidR="00FF089B" w:rsidRPr="006A7B9C" w:rsidRDefault="00974A6B" w:rsidP="008D13A9">
      <w:pPr>
        <w:numPr>
          <w:ilvl w:val="0"/>
          <w:numId w:val="32"/>
        </w:numPr>
        <w:tabs>
          <w:tab w:val="num" w:pos="360"/>
        </w:tabs>
        <w:spacing w:after="0" w:line="360" w:lineRule="auto"/>
        <w:ind w:left="720" w:hanging="720"/>
        <w:jc w:val="both"/>
        <w:rPr>
          <w:rFonts w:ascii="Arial" w:eastAsia="Calibri" w:hAnsi="Arial" w:cs="Arial"/>
          <w:sz w:val="24"/>
          <w:szCs w:val="24"/>
        </w:rPr>
      </w:pPr>
      <w:r w:rsidRPr="006A7B9C">
        <w:rPr>
          <w:rFonts w:ascii="Arial" w:eastAsia="Calibri" w:hAnsi="Arial" w:cs="Arial"/>
          <w:sz w:val="24"/>
          <w:szCs w:val="24"/>
        </w:rPr>
        <w:t xml:space="preserve"> </w:t>
      </w:r>
      <w:r w:rsidRPr="006A7B9C">
        <w:rPr>
          <w:rFonts w:ascii="Arial" w:eastAsia="Calibri" w:hAnsi="Arial" w:cs="Arial"/>
          <w:sz w:val="24"/>
          <w:szCs w:val="24"/>
        </w:rPr>
        <w:tab/>
      </w:r>
      <w:r w:rsidR="000E6DCE" w:rsidRPr="006A7B9C">
        <w:rPr>
          <w:rFonts w:ascii="Arial" w:eastAsia="Calibri" w:hAnsi="Arial" w:cs="Arial"/>
          <w:sz w:val="24"/>
          <w:szCs w:val="24"/>
        </w:rPr>
        <w:t>The pith of this appeal and the legal question in it is whether supervening impossibility</w:t>
      </w:r>
      <w:r w:rsidR="00D456AE" w:rsidRPr="006A7B9C">
        <w:rPr>
          <w:rFonts w:ascii="Arial" w:eastAsia="Calibri" w:hAnsi="Arial" w:cs="Arial"/>
          <w:sz w:val="24"/>
          <w:szCs w:val="24"/>
        </w:rPr>
        <w:t xml:space="preserve"> of performance occurred in respect of</w:t>
      </w:r>
      <w:r w:rsidR="000E6DCE" w:rsidRPr="006A7B9C">
        <w:rPr>
          <w:rFonts w:ascii="Arial" w:eastAsia="Calibri" w:hAnsi="Arial" w:cs="Arial"/>
          <w:sz w:val="24"/>
          <w:szCs w:val="24"/>
        </w:rPr>
        <w:t xml:space="preserve"> the lease agreement entered into between the appellant and the respondent. </w:t>
      </w:r>
      <w:r w:rsidR="008274AD" w:rsidRPr="006A7B9C">
        <w:rPr>
          <w:rFonts w:ascii="Arial" w:eastAsia="Calibri" w:hAnsi="Arial" w:cs="Arial"/>
          <w:sz w:val="24"/>
          <w:szCs w:val="24"/>
        </w:rPr>
        <w:t xml:space="preserve">Laden </w:t>
      </w:r>
      <w:r w:rsidR="00674D09" w:rsidRPr="006A7B9C">
        <w:rPr>
          <w:rFonts w:ascii="Arial" w:eastAsia="Calibri" w:hAnsi="Arial" w:cs="Arial"/>
          <w:sz w:val="24"/>
          <w:szCs w:val="24"/>
        </w:rPr>
        <w:t>in this appeal is al</w:t>
      </w:r>
      <w:r w:rsidRPr="006A7B9C">
        <w:rPr>
          <w:rFonts w:ascii="Arial" w:eastAsia="Calibri" w:hAnsi="Arial" w:cs="Arial"/>
          <w:sz w:val="24"/>
          <w:szCs w:val="24"/>
        </w:rPr>
        <w:t>so the question whether COVID-19</w:t>
      </w:r>
      <w:r w:rsidR="00674D09" w:rsidRPr="006A7B9C">
        <w:rPr>
          <w:rFonts w:ascii="Arial" w:eastAsia="Calibri" w:hAnsi="Arial" w:cs="Arial"/>
          <w:sz w:val="24"/>
          <w:szCs w:val="24"/>
        </w:rPr>
        <w:t xml:space="preserve"> restrictions in terms of </w:t>
      </w:r>
      <w:r w:rsidR="00D456AE" w:rsidRPr="006A7B9C">
        <w:rPr>
          <w:rFonts w:ascii="Arial" w:eastAsia="Calibri" w:hAnsi="Arial" w:cs="Arial"/>
          <w:sz w:val="24"/>
          <w:szCs w:val="24"/>
        </w:rPr>
        <w:t>the regulations imposed by the G</w:t>
      </w:r>
      <w:r w:rsidR="00674D09" w:rsidRPr="006A7B9C">
        <w:rPr>
          <w:rFonts w:ascii="Arial" w:eastAsia="Calibri" w:hAnsi="Arial" w:cs="Arial"/>
          <w:sz w:val="24"/>
          <w:szCs w:val="24"/>
        </w:rPr>
        <w:t>overnment during the relevant times constitutes supervening impossibility proper in</w:t>
      </w:r>
      <w:r w:rsidR="00D456AE" w:rsidRPr="006A7B9C">
        <w:rPr>
          <w:rFonts w:ascii="Arial" w:eastAsia="Calibri" w:hAnsi="Arial" w:cs="Arial"/>
          <w:sz w:val="24"/>
          <w:szCs w:val="24"/>
        </w:rPr>
        <w:t xml:space="preserve"> respect of</w:t>
      </w:r>
      <w:r w:rsidR="00674D09" w:rsidRPr="006A7B9C">
        <w:rPr>
          <w:rFonts w:ascii="Arial" w:eastAsia="Calibri" w:hAnsi="Arial" w:cs="Arial"/>
          <w:sz w:val="24"/>
          <w:szCs w:val="24"/>
        </w:rPr>
        <w:t xml:space="preserve"> a lease agreement. In our view, the apt name for the doctrine of </w:t>
      </w:r>
      <w:r w:rsidR="00674D09" w:rsidRPr="006A7B9C">
        <w:rPr>
          <w:rFonts w:ascii="Arial" w:eastAsia="Calibri" w:hAnsi="Arial" w:cs="Arial"/>
          <w:sz w:val="24"/>
          <w:szCs w:val="24"/>
        </w:rPr>
        <w:lastRenderedPageBreak/>
        <w:t>supervening impossibility is the doctrine of frustration. It is apt in our view because veritably, what happens or should happen is the frustration of the terms of the agreement</w:t>
      </w:r>
      <w:r w:rsidR="00D456AE" w:rsidRPr="006A7B9C">
        <w:rPr>
          <w:rFonts w:ascii="Arial" w:eastAsia="Calibri" w:hAnsi="Arial" w:cs="Arial"/>
          <w:sz w:val="24"/>
          <w:szCs w:val="24"/>
        </w:rPr>
        <w:t xml:space="preserve"> of whatever nature as between the parties</w:t>
      </w:r>
      <w:r w:rsidR="00674D09" w:rsidRPr="006A7B9C">
        <w:rPr>
          <w:rFonts w:ascii="Arial" w:eastAsia="Calibri" w:hAnsi="Arial" w:cs="Arial"/>
          <w:sz w:val="24"/>
          <w:szCs w:val="24"/>
        </w:rPr>
        <w:t xml:space="preserve">. The dictionary meaning of the word frustration is an act of hindering someone’s plans or efforts. On the other hand, the word impossible when used as a noun, it means that something that cannot be done; and as an adjective, it means not capable of occurring or being accomplished or dealt with. </w:t>
      </w:r>
    </w:p>
    <w:p w14:paraId="667D209F" w14:textId="77777777" w:rsidR="00FF089B" w:rsidRPr="006A7B9C" w:rsidRDefault="00FF089B" w:rsidP="008D13A9">
      <w:pPr>
        <w:spacing w:after="0" w:line="360" w:lineRule="auto"/>
        <w:ind w:left="720"/>
        <w:jc w:val="both"/>
        <w:rPr>
          <w:rFonts w:ascii="Arial" w:eastAsia="Calibri" w:hAnsi="Arial" w:cs="Arial"/>
          <w:sz w:val="24"/>
          <w:szCs w:val="24"/>
        </w:rPr>
      </w:pPr>
    </w:p>
    <w:p w14:paraId="69595DEF" w14:textId="2AE4BC43" w:rsidR="007A5DCB" w:rsidRPr="006A7B9C" w:rsidRDefault="00FF089B" w:rsidP="008D13A9">
      <w:pPr>
        <w:numPr>
          <w:ilvl w:val="0"/>
          <w:numId w:val="32"/>
        </w:numPr>
        <w:tabs>
          <w:tab w:val="num" w:pos="360"/>
        </w:tabs>
        <w:spacing w:after="0" w:line="360" w:lineRule="auto"/>
        <w:ind w:left="720" w:hanging="720"/>
        <w:jc w:val="both"/>
        <w:rPr>
          <w:rFonts w:ascii="Arial" w:eastAsia="Calibri" w:hAnsi="Arial" w:cs="Arial"/>
          <w:sz w:val="24"/>
          <w:szCs w:val="24"/>
        </w:rPr>
      </w:pPr>
      <w:r w:rsidRPr="006A7B9C">
        <w:rPr>
          <w:rFonts w:ascii="Arial" w:eastAsia="Calibri" w:hAnsi="Arial" w:cs="Arial"/>
          <w:sz w:val="24"/>
          <w:szCs w:val="24"/>
        </w:rPr>
        <w:t>In light of the above, the most</w:t>
      </w:r>
      <w:r w:rsidR="00CF20C7">
        <w:rPr>
          <w:rFonts w:ascii="Arial" w:eastAsia="Calibri" w:hAnsi="Arial" w:cs="Arial"/>
          <w:sz w:val="24"/>
          <w:szCs w:val="24"/>
        </w:rPr>
        <w:t xml:space="preserve"> appropriate bestirring point</w:t>
      </w:r>
      <w:r w:rsidRPr="006A7B9C">
        <w:rPr>
          <w:rFonts w:ascii="Arial" w:eastAsia="Calibri" w:hAnsi="Arial" w:cs="Arial"/>
          <w:sz w:val="24"/>
          <w:szCs w:val="24"/>
        </w:rPr>
        <w:t xml:space="preserve"> to consider</w:t>
      </w:r>
      <w:r w:rsidR="00B57299">
        <w:rPr>
          <w:rFonts w:ascii="Arial" w:eastAsia="Calibri" w:hAnsi="Arial" w:cs="Arial"/>
          <w:sz w:val="24"/>
          <w:szCs w:val="24"/>
        </w:rPr>
        <w:t>,</w:t>
      </w:r>
      <w:r w:rsidR="00D456AE" w:rsidRPr="006A7B9C">
        <w:rPr>
          <w:rFonts w:ascii="Arial" w:eastAsia="Calibri" w:hAnsi="Arial" w:cs="Arial"/>
          <w:sz w:val="24"/>
          <w:szCs w:val="24"/>
        </w:rPr>
        <w:t xml:space="preserve"> is</w:t>
      </w:r>
      <w:r w:rsidRPr="006A7B9C">
        <w:rPr>
          <w:rFonts w:ascii="Arial" w:eastAsia="Calibri" w:hAnsi="Arial" w:cs="Arial"/>
          <w:sz w:val="24"/>
          <w:szCs w:val="24"/>
        </w:rPr>
        <w:t xml:space="preserve"> what the </w:t>
      </w:r>
      <w:r w:rsidR="00D456AE" w:rsidRPr="006A7B9C">
        <w:rPr>
          <w:rFonts w:ascii="Arial" w:eastAsia="Calibri" w:hAnsi="Arial" w:cs="Arial"/>
          <w:sz w:val="24"/>
          <w:szCs w:val="24"/>
        </w:rPr>
        <w:t xml:space="preserve">essential </w:t>
      </w:r>
      <w:r w:rsidRPr="006A7B9C">
        <w:rPr>
          <w:rFonts w:ascii="Arial" w:eastAsia="Calibri" w:hAnsi="Arial" w:cs="Arial"/>
          <w:sz w:val="24"/>
          <w:szCs w:val="24"/>
        </w:rPr>
        <w:t>legal requirements of a lease agreement are. This bestir will swiftly navigate this Court to the pith of the end point; namely; does failure to make profit or earn income, affect the co</w:t>
      </w:r>
      <w:r w:rsidR="00D456AE" w:rsidRPr="006A7B9C">
        <w:rPr>
          <w:rFonts w:ascii="Arial" w:eastAsia="Calibri" w:hAnsi="Arial" w:cs="Arial"/>
          <w:sz w:val="24"/>
          <w:szCs w:val="24"/>
        </w:rPr>
        <w:t>ntinuation of a lease agreement or not?</w:t>
      </w:r>
      <w:r w:rsidRPr="006A7B9C">
        <w:rPr>
          <w:rFonts w:ascii="Arial" w:eastAsia="Calibri" w:hAnsi="Arial" w:cs="Arial"/>
          <w:sz w:val="24"/>
          <w:szCs w:val="24"/>
        </w:rPr>
        <w:t xml:space="preserve"> A default position</w:t>
      </w:r>
      <w:r w:rsidR="00D456AE" w:rsidRPr="006A7B9C">
        <w:rPr>
          <w:rFonts w:ascii="Arial" w:eastAsia="Calibri" w:hAnsi="Arial" w:cs="Arial"/>
          <w:sz w:val="24"/>
          <w:szCs w:val="24"/>
        </w:rPr>
        <w:t>, we find, is as always consideration of the</w:t>
      </w:r>
      <w:r w:rsidRPr="006A7B9C">
        <w:rPr>
          <w:rFonts w:ascii="Arial" w:eastAsia="Calibri" w:hAnsi="Arial" w:cs="Arial"/>
          <w:sz w:val="24"/>
          <w:szCs w:val="24"/>
        </w:rPr>
        <w:t xml:space="preserve"> Roman law</w:t>
      </w:r>
      <w:r w:rsidR="00D456AE" w:rsidRPr="006A7B9C">
        <w:rPr>
          <w:rFonts w:ascii="Arial" w:eastAsia="Calibri" w:hAnsi="Arial" w:cs="Arial"/>
          <w:sz w:val="24"/>
          <w:szCs w:val="24"/>
        </w:rPr>
        <w:t xml:space="preserve"> (Civil law),</w:t>
      </w:r>
      <w:r w:rsidRPr="006A7B9C">
        <w:rPr>
          <w:rFonts w:ascii="Arial" w:eastAsia="Calibri" w:hAnsi="Arial" w:cs="Arial"/>
          <w:sz w:val="24"/>
          <w:szCs w:val="24"/>
        </w:rPr>
        <w:t xml:space="preserve"> when it comes to issues of this nature. In Roman </w:t>
      </w:r>
      <w:r w:rsidR="008908D2" w:rsidRPr="006A7B9C">
        <w:rPr>
          <w:rFonts w:ascii="Arial" w:eastAsia="Calibri" w:hAnsi="Arial" w:cs="Arial"/>
          <w:sz w:val="24"/>
          <w:szCs w:val="24"/>
        </w:rPr>
        <w:t>law</w:t>
      </w:r>
      <w:r w:rsidRPr="006A7B9C">
        <w:rPr>
          <w:rFonts w:ascii="Arial" w:eastAsia="Calibri" w:hAnsi="Arial" w:cs="Arial"/>
          <w:sz w:val="24"/>
          <w:szCs w:val="24"/>
        </w:rPr>
        <w:t>, a lease agreement</w:t>
      </w:r>
      <w:r w:rsidR="00D456AE" w:rsidRPr="006A7B9C">
        <w:rPr>
          <w:rFonts w:ascii="Arial" w:eastAsia="Calibri" w:hAnsi="Arial" w:cs="Arial"/>
          <w:sz w:val="24"/>
          <w:szCs w:val="24"/>
        </w:rPr>
        <w:t xml:space="preserve">, as a reciprocal </w:t>
      </w:r>
      <w:r w:rsidR="008908D2" w:rsidRPr="006A7B9C">
        <w:rPr>
          <w:rFonts w:ascii="Arial" w:eastAsia="Calibri" w:hAnsi="Arial" w:cs="Arial"/>
          <w:sz w:val="24"/>
          <w:szCs w:val="24"/>
        </w:rPr>
        <w:t>agreement,</w:t>
      </w:r>
      <w:r w:rsidRPr="006A7B9C">
        <w:rPr>
          <w:rFonts w:ascii="Arial" w:eastAsia="Calibri" w:hAnsi="Arial" w:cs="Arial"/>
          <w:sz w:val="24"/>
          <w:szCs w:val="24"/>
        </w:rPr>
        <w:t xml:space="preserve"> was known as a </w:t>
      </w:r>
      <w:r w:rsidR="008908D2" w:rsidRPr="006A7B9C">
        <w:rPr>
          <w:rFonts w:ascii="Arial" w:eastAsia="Calibri" w:hAnsi="Arial" w:cs="Arial"/>
          <w:i/>
          <w:sz w:val="24"/>
          <w:szCs w:val="24"/>
        </w:rPr>
        <w:t>locatio conductio</w:t>
      </w:r>
      <w:r w:rsidR="008908D2" w:rsidRPr="006A7B9C">
        <w:rPr>
          <w:rFonts w:ascii="Arial" w:eastAsia="Calibri" w:hAnsi="Arial" w:cs="Arial"/>
          <w:sz w:val="24"/>
          <w:szCs w:val="24"/>
        </w:rPr>
        <w:t>. The term</w:t>
      </w:r>
      <w:r w:rsidR="008908D2" w:rsidRPr="006A7B9C">
        <w:rPr>
          <w:rFonts w:ascii="Arial" w:eastAsia="Calibri" w:hAnsi="Arial" w:cs="Arial"/>
          <w:i/>
          <w:sz w:val="24"/>
          <w:szCs w:val="24"/>
        </w:rPr>
        <w:t xml:space="preserve"> locare</w:t>
      </w:r>
      <w:r w:rsidR="008908D2" w:rsidRPr="006A7B9C">
        <w:rPr>
          <w:rFonts w:ascii="Arial" w:eastAsia="Calibri" w:hAnsi="Arial" w:cs="Arial"/>
          <w:sz w:val="24"/>
          <w:szCs w:val="24"/>
        </w:rPr>
        <w:t xml:space="preserve"> as a Latin verb </w:t>
      </w:r>
      <w:r w:rsidR="00B57299" w:rsidRPr="006A7B9C">
        <w:rPr>
          <w:rFonts w:ascii="Arial" w:eastAsia="Calibri" w:hAnsi="Arial" w:cs="Arial"/>
          <w:sz w:val="24"/>
          <w:szCs w:val="24"/>
        </w:rPr>
        <w:t>means,</w:t>
      </w:r>
      <w:r w:rsidR="008908D2" w:rsidRPr="006A7B9C">
        <w:rPr>
          <w:rFonts w:ascii="Arial" w:eastAsia="Calibri" w:hAnsi="Arial" w:cs="Arial"/>
          <w:sz w:val="24"/>
          <w:szCs w:val="24"/>
        </w:rPr>
        <w:t xml:space="preserve"> “</w:t>
      </w:r>
      <w:r w:rsidR="008908D2" w:rsidRPr="008D13A9">
        <w:rPr>
          <w:rFonts w:ascii="Arial" w:eastAsia="Calibri" w:hAnsi="Arial" w:cs="Arial"/>
          <w:i/>
          <w:sz w:val="24"/>
          <w:szCs w:val="24"/>
        </w:rPr>
        <w:t>to put into position, to place</w:t>
      </w:r>
      <w:r w:rsidR="008908D2" w:rsidRPr="006A7B9C">
        <w:rPr>
          <w:rFonts w:ascii="Arial" w:eastAsia="Calibri" w:hAnsi="Arial" w:cs="Arial"/>
          <w:sz w:val="24"/>
          <w:szCs w:val="24"/>
        </w:rPr>
        <w:t xml:space="preserve">”. </w:t>
      </w:r>
      <w:r w:rsidR="008908D2" w:rsidRPr="006A7B9C">
        <w:rPr>
          <w:rFonts w:ascii="Arial" w:eastAsia="Calibri" w:hAnsi="Arial" w:cs="Arial"/>
          <w:i/>
          <w:sz w:val="24"/>
          <w:szCs w:val="24"/>
        </w:rPr>
        <w:t xml:space="preserve">Locare rei </w:t>
      </w:r>
      <w:r w:rsidR="008908D2" w:rsidRPr="006A7B9C">
        <w:rPr>
          <w:rFonts w:ascii="Arial" w:eastAsia="Calibri" w:hAnsi="Arial" w:cs="Arial"/>
          <w:sz w:val="24"/>
          <w:szCs w:val="24"/>
        </w:rPr>
        <w:t xml:space="preserve">means to place an object with another – suitable for a hiring of a thing or object. </w:t>
      </w:r>
      <w:r w:rsidR="008908D2" w:rsidRPr="006A7B9C">
        <w:rPr>
          <w:rFonts w:ascii="Arial" w:eastAsia="Calibri" w:hAnsi="Arial" w:cs="Arial"/>
          <w:i/>
          <w:sz w:val="24"/>
          <w:szCs w:val="24"/>
        </w:rPr>
        <w:t>Conductio,</w:t>
      </w:r>
      <w:r w:rsidR="008908D2" w:rsidRPr="006A7B9C">
        <w:rPr>
          <w:rFonts w:ascii="Arial" w:eastAsia="Calibri" w:hAnsi="Arial" w:cs="Arial"/>
          <w:sz w:val="24"/>
          <w:szCs w:val="24"/>
        </w:rPr>
        <w:t xml:space="preserve"> in Latin means taking or taker. </w:t>
      </w:r>
      <w:r w:rsidR="007A5DCB" w:rsidRPr="006A7B9C">
        <w:rPr>
          <w:rFonts w:ascii="Arial" w:eastAsia="Calibri" w:hAnsi="Arial" w:cs="Arial"/>
          <w:sz w:val="24"/>
          <w:szCs w:val="24"/>
        </w:rPr>
        <w:t xml:space="preserve">Thus, when someone takes or hires a thing or object then a </w:t>
      </w:r>
      <w:r w:rsidR="007A5DCB" w:rsidRPr="006A7B9C">
        <w:rPr>
          <w:rFonts w:ascii="Arial" w:eastAsia="Calibri" w:hAnsi="Arial" w:cs="Arial"/>
          <w:i/>
          <w:sz w:val="24"/>
          <w:szCs w:val="24"/>
        </w:rPr>
        <w:t>locatio conductio rei</w:t>
      </w:r>
      <w:r w:rsidR="007A5DCB" w:rsidRPr="006A7B9C">
        <w:rPr>
          <w:rFonts w:ascii="Arial" w:eastAsia="Calibri" w:hAnsi="Arial" w:cs="Arial"/>
          <w:sz w:val="24"/>
          <w:szCs w:val="24"/>
        </w:rPr>
        <w:t xml:space="preserve"> (contract of lease or hire) happens.</w:t>
      </w:r>
    </w:p>
    <w:p w14:paraId="2475826D" w14:textId="77777777" w:rsidR="007A5DCB" w:rsidRPr="006A7B9C" w:rsidRDefault="007A5DCB" w:rsidP="008D13A9">
      <w:pPr>
        <w:pStyle w:val="ListParagraph"/>
        <w:numPr>
          <w:ilvl w:val="0"/>
          <w:numId w:val="0"/>
        </w:numPr>
        <w:spacing w:before="0" w:after="0"/>
        <w:ind w:left="567"/>
        <w:rPr>
          <w:rFonts w:eastAsia="Calibri"/>
        </w:rPr>
      </w:pPr>
    </w:p>
    <w:p w14:paraId="4B1958F4" w14:textId="77777777" w:rsidR="00E72238" w:rsidRPr="006A7B9C" w:rsidRDefault="007A5DCB" w:rsidP="008D13A9">
      <w:pPr>
        <w:numPr>
          <w:ilvl w:val="0"/>
          <w:numId w:val="32"/>
        </w:numPr>
        <w:tabs>
          <w:tab w:val="num" w:pos="360"/>
        </w:tabs>
        <w:spacing w:after="0" w:line="360" w:lineRule="auto"/>
        <w:ind w:left="720" w:hanging="720"/>
        <w:jc w:val="both"/>
        <w:rPr>
          <w:rFonts w:ascii="Arial" w:eastAsia="Calibri" w:hAnsi="Arial" w:cs="Arial"/>
          <w:sz w:val="24"/>
          <w:szCs w:val="24"/>
        </w:rPr>
      </w:pPr>
      <w:r w:rsidRPr="006A7B9C">
        <w:rPr>
          <w:rFonts w:ascii="Arial" w:eastAsia="Calibri" w:hAnsi="Arial" w:cs="Arial"/>
          <w:sz w:val="24"/>
          <w:szCs w:val="24"/>
        </w:rPr>
        <w:t>Having outlined the Roman law position, then it is important to consider what a</w:t>
      </w:r>
      <w:r w:rsidR="00234678" w:rsidRPr="006A7B9C">
        <w:rPr>
          <w:rFonts w:ascii="Arial" w:eastAsia="Calibri" w:hAnsi="Arial" w:cs="Arial"/>
          <w:sz w:val="24"/>
          <w:szCs w:val="24"/>
        </w:rPr>
        <w:t>ctually a</w:t>
      </w:r>
      <w:r w:rsidRPr="006A7B9C">
        <w:rPr>
          <w:rFonts w:ascii="Arial" w:eastAsia="Calibri" w:hAnsi="Arial" w:cs="Arial"/>
          <w:sz w:val="24"/>
          <w:szCs w:val="24"/>
        </w:rPr>
        <w:t xml:space="preserve"> lease agreement is. Mercifully, this question arose in </w:t>
      </w:r>
      <w:r w:rsidRPr="006A7B9C">
        <w:rPr>
          <w:rFonts w:ascii="Arial" w:eastAsia="Calibri" w:hAnsi="Arial" w:cs="Arial"/>
          <w:i/>
          <w:sz w:val="24"/>
          <w:szCs w:val="24"/>
        </w:rPr>
        <w:t>Ferndale Crossroads Share Block (Pty) Ltd and Others v Johannesburg Metropolitan Municipality and Others</w:t>
      </w:r>
      <w:r w:rsidR="002D2A8E" w:rsidRPr="006A7B9C">
        <w:rPr>
          <w:rFonts w:ascii="Arial" w:eastAsia="Calibri" w:hAnsi="Arial" w:cs="Arial"/>
          <w:i/>
          <w:sz w:val="24"/>
          <w:szCs w:val="24"/>
        </w:rPr>
        <w:t xml:space="preserve"> (Ferndale)</w:t>
      </w:r>
      <w:r w:rsidRPr="006A7B9C">
        <w:rPr>
          <w:rStyle w:val="FootnoteReference"/>
          <w:rFonts w:ascii="Arial" w:eastAsia="Calibri" w:hAnsi="Arial" w:cs="Arial"/>
          <w:sz w:val="24"/>
          <w:szCs w:val="24"/>
        </w:rPr>
        <w:footnoteReference w:id="3"/>
      </w:r>
      <w:r w:rsidRPr="006A7B9C">
        <w:rPr>
          <w:rFonts w:ascii="Arial" w:eastAsia="Calibri" w:hAnsi="Arial" w:cs="Arial"/>
          <w:sz w:val="24"/>
          <w:szCs w:val="24"/>
        </w:rPr>
        <w:t>. Briefly, in this case, a walker’s facilities were caused to be erected outside the wall enclosing a taxi rank</w:t>
      </w:r>
      <w:r w:rsidR="002D2A8E" w:rsidRPr="006A7B9C">
        <w:rPr>
          <w:rFonts w:ascii="Arial" w:eastAsia="Calibri" w:hAnsi="Arial" w:cs="Arial"/>
          <w:sz w:val="24"/>
          <w:szCs w:val="24"/>
        </w:rPr>
        <w:t xml:space="preserve">. The municipality caused a portion of the wall to be demolished. The appellant took a view that a valid lease agreement came into being and the respondent municipality took a divergent view. In answering the question, the Supreme Court of Appeal had regard to the writings by the much celebrated author, AJ Kerr. In his work </w:t>
      </w:r>
      <w:r w:rsidR="002D2A8E" w:rsidRPr="006A7B9C">
        <w:rPr>
          <w:rFonts w:ascii="Arial" w:eastAsia="Calibri" w:hAnsi="Arial" w:cs="Arial"/>
          <w:i/>
          <w:sz w:val="24"/>
          <w:szCs w:val="24"/>
        </w:rPr>
        <w:t>Law of Sale and Lease</w:t>
      </w:r>
      <w:r w:rsidR="002D2A8E" w:rsidRPr="006A7B9C">
        <w:rPr>
          <w:rStyle w:val="FootnoteReference"/>
          <w:rFonts w:ascii="Arial" w:eastAsia="Calibri" w:hAnsi="Arial" w:cs="Arial"/>
          <w:sz w:val="24"/>
          <w:szCs w:val="24"/>
        </w:rPr>
        <w:footnoteReference w:id="4"/>
      </w:r>
      <w:r w:rsidR="002D2A8E" w:rsidRPr="006A7B9C">
        <w:rPr>
          <w:rFonts w:ascii="Arial" w:eastAsia="Calibri" w:hAnsi="Arial" w:cs="Arial"/>
          <w:sz w:val="24"/>
          <w:szCs w:val="24"/>
        </w:rPr>
        <w:t xml:space="preserve">, the learned author stated that a contract of lease is entered into when parties who have the requisite </w:t>
      </w:r>
      <w:r w:rsidR="002D2A8E" w:rsidRPr="006A7B9C">
        <w:rPr>
          <w:rFonts w:ascii="Arial" w:eastAsia="Calibri" w:hAnsi="Arial" w:cs="Arial"/>
          <w:sz w:val="24"/>
          <w:szCs w:val="24"/>
        </w:rPr>
        <w:lastRenderedPageBreak/>
        <w:t xml:space="preserve">intention agree together that the one party called the lessor, shall give the use and enjoyment of </w:t>
      </w:r>
      <w:r w:rsidR="00234678" w:rsidRPr="006A7B9C">
        <w:rPr>
          <w:rFonts w:ascii="Arial" w:eastAsia="Calibri" w:hAnsi="Arial" w:cs="Arial"/>
          <w:sz w:val="24"/>
          <w:szCs w:val="24"/>
        </w:rPr>
        <w:t xml:space="preserve">an </w:t>
      </w:r>
      <w:r w:rsidR="002D2A8E" w:rsidRPr="006A7B9C">
        <w:rPr>
          <w:rFonts w:ascii="Arial" w:eastAsia="Calibri" w:hAnsi="Arial" w:cs="Arial"/>
          <w:sz w:val="24"/>
          <w:szCs w:val="24"/>
        </w:rPr>
        <w:t xml:space="preserve">immovable property to the other, called a lessee, in return for the payment of rent. In </w:t>
      </w:r>
      <w:r w:rsidR="002D2A8E" w:rsidRPr="006A7B9C">
        <w:rPr>
          <w:rFonts w:ascii="Arial" w:eastAsia="Calibri" w:hAnsi="Arial" w:cs="Arial"/>
          <w:i/>
          <w:sz w:val="24"/>
          <w:szCs w:val="24"/>
        </w:rPr>
        <w:t>Kessler v Krogmann</w:t>
      </w:r>
      <w:r w:rsidR="002D2A8E" w:rsidRPr="006A7B9C">
        <w:rPr>
          <w:rStyle w:val="FootnoteReference"/>
          <w:rFonts w:ascii="Arial" w:eastAsia="Calibri" w:hAnsi="Arial" w:cs="Arial"/>
          <w:sz w:val="24"/>
          <w:szCs w:val="24"/>
        </w:rPr>
        <w:footnoteReference w:id="5"/>
      </w:r>
      <w:r w:rsidR="002D2A8E" w:rsidRPr="006A7B9C">
        <w:rPr>
          <w:rFonts w:ascii="Arial" w:eastAsia="Calibri" w:hAnsi="Arial" w:cs="Arial"/>
          <w:i/>
          <w:sz w:val="24"/>
          <w:szCs w:val="24"/>
        </w:rPr>
        <w:t xml:space="preserve">, </w:t>
      </w:r>
      <w:r w:rsidR="00E72238" w:rsidRPr="006A7B9C">
        <w:rPr>
          <w:rFonts w:ascii="Arial" w:eastAsia="Calibri" w:hAnsi="Arial" w:cs="Arial"/>
          <w:sz w:val="24"/>
          <w:szCs w:val="24"/>
        </w:rPr>
        <w:t xml:space="preserve">it was held that the essentials of a lease agreement are that there must be an </w:t>
      </w:r>
      <w:r w:rsidR="00E72238" w:rsidRPr="006A7B9C">
        <w:rPr>
          <w:rFonts w:ascii="Arial" w:eastAsia="Calibri" w:hAnsi="Arial" w:cs="Arial"/>
          <w:sz w:val="24"/>
          <w:szCs w:val="24"/>
          <w:u w:val="single"/>
        </w:rPr>
        <w:t>ascertained thing</w:t>
      </w:r>
      <w:r w:rsidR="00E72238" w:rsidRPr="006A7B9C">
        <w:rPr>
          <w:rFonts w:ascii="Arial" w:eastAsia="Calibri" w:hAnsi="Arial" w:cs="Arial"/>
          <w:sz w:val="24"/>
          <w:szCs w:val="24"/>
        </w:rPr>
        <w:t xml:space="preserve"> and a </w:t>
      </w:r>
      <w:r w:rsidR="00E72238" w:rsidRPr="006A7B9C">
        <w:rPr>
          <w:rFonts w:ascii="Arial" w:eastAsia="Calibri" w:hAnsi="Arial" w:cs="Arial"/>
          <w:sz w:val="24"/>
          <w:szCs w:val="24"/>
          <w:u w:val="single"/>
        </w:rPr>
        <w:t>fixed rent</w:t>
      </w:r>
      <w:r w:rsidR="00E72238" w:rsidRPr="006A7B9C">
        <w:rPr>
          <w:rFonts w:ascii="Arial" w:eastAsia="Calibri" w:hAnsi="Arial" w:cs="Arial"/>
          <w:sz w:val="24"/>
          <w:szCs w:val="24"/>
        </w:rPr>
        <w:t xml:space="preserve"> at which the lessee is to have the </w:t>
      </w:r>
      <w:r w:rsidR="00E72238" w:rsidRPr="006A7B9C">
        <w:rPr>
          <w:rFonts w:ascii="Arial" w:eastAsia="Calibri" w:hAnsi="Arial" w:cs="Arial"/>
          <w:sz w:val="24"/>
          <w:szCs w:val="24"/>
          <w:u w:val="single"/>
        </w:rPr>
        <w:t>use and enjoyment of that thing</w:t>
      </w:r>
      <w:r w:rsidR="00E72238" w:rsidRPr="006A7B9C">
        <w:rPr>
          <w:rFonts w:ascii="Arial" w:eastAsia="Calibri" w:hAnsi="Arial" w:cs="Arial"/>
          <w:sz w:val="24"/>
          <w:szCs w:val="24"/>
        </w:rPr>
        <w:t>.</w:t>
      </w:r>
    </w:p>
    <w:p w14:paraId="26765BD0" w14:textId="2194F116" w:rsidR="00E72238" w:rsidRPr="006A7B9C" w:rsidRDefault="00E72238" w:rsidP="008D13A9">
      <w:pPr>
        <w:spacing w:after="0" w:line="360" w:lineRule="auto"/>
        <w:ind w:left="720"/>
        <w:jc w:val="both"/>
        <w:rPr>
          <w:rFonts w:ascii="Arial" w:eastAsia="Calibri" w:hAnsi="Arial" w:cs="Arial"/>
          <w:sz w:val="24"/>
          <w:szCs w:val="24"/>
        </w:rPr>
      </w:pPr>
    </w:p>
    <w:p w14:paraId="25AD05DE" w14:textId="77777777" w:rsidR="00E72238" w:rsidRPr="006A7B9C" w:rsidRDefault="00E72238" w:rsidP="008D13A9">
      <w:pPr>
        <w:numPr>
          <w:ilvl w:val="0"/>
          <w:numId w:val="32"/>
        </w:numPr>
        <w:tabs>
          <w:tab w:val="num" w:pos="360"/>
        </w:tabs>
        <w:spacing w:after="0" w:line="360" w:lineRule="auto"/>
        <w:ind w:left="720" w:hanging="720"/>
        <w:jc w:val="both"/>
        <w:rPr>
          <w:rFonts w:ascii="Arial" w:eastAsia="Calibri" w:hAnsi="Arial" w:cs="Arial"/>
          <w:sz w:val="24"/>
          <w:szCs w:val="24"/>
        </w:rPr>
      </w:pPr>
      <w:r w:rsidRPr="006A7B9C">
        <w:rPr>
          <w:rFonts w:ascii="Arial" w:eastAsia="Calibri" w:hAnsi="Arial" w:cs="Arial"/>
          <w:sz w:val="24"/>
          <w:szCs w:val="24"/>
        </w:rPr>
        <w:t>Therefore, in common law, parties enter into a contract of lease (</w:t>
      </w:r>
      <w:r w:rsidRPr="006A7B9C">
        <w:rPr>
          <w:rFonts w:ascii="Arial" w:eastAsia="Calibri" w:hAnsi="Arial" w:cs="Arial"/>
          <w:i/>
          <w:sz w:val="24"/>
          <w:szCs w:val="24"/>
        </w:rPr>
        <w:t>locatio conductio rei)</w:t>
      </w:r>
      <w:r w:rsidRPr="006A7B9C">
        <w:rPr>
          <w:rFonts w:ascii="Arial" w:eastAsia="Calibri" w:hAnsi="Arial" w:cs="Arial"/>
          <w:sz w:val="24"/>
          <w:szCs w:val="24"/>
        </w:rPr>
        <w:t xml:space="preserve"> when they agree that the one party, the landlord, will give the temporary use and enjoyment of</w:t>
      </w:r>
      <w:r w:rsidR="00234678" w:rsidRPr="006A7B9C">
        <w:rPr>
          <w:rFonts w:ascii="Arial" w:eastAsia="Calibri" w:hAnsi="Arial" w:cs="Arial"/>
          <w:sz w:val="24"/>
          <w:szCs w:val="24"/>
        </w:rPr>
        <w:t xml:space="preserve"> an</w:t>
      </w:r>
      <w:r w:rsidRPr="006A7B9C">
        <w:rPr>
          <w:rFonts w:ascii="Arial" w:eastAsia="Calibri" w:hAnsi="Arial" w:cs="Arial"/>
          <w:sz w:val="24"/>
          <w:szCs w:val="24"/>
        </w:rPr>
        <w:t xml:space="preserve"> immovable property to the other party, </w:t>
      </w:r>
      <w:r w:rsidR="00234678" w:rsidRPr="006A7B9C">
        <w:rPr>
          <w:rFonts w:ascii="Arial" w:eastAsia="Calibri" w:hAnsi="Arial" w:cs="Arial"/>
          <w:sz w:val="24"/>
          <w:szCs w:val="24"/>
        </w:rPr>
        <w:t xml:space="preserve">the </w:t>
      </w:r>
      <w:r w:rsidRPr="006A7B9C">
        <w:rPr>
          <w:rFonts w:ascii="Arial" w:eastAsia="Calibri" w:hAnsi="Arial" w:cs="Arial"/>
          <w:sz w:val="24"/>
          <w:szCs w:val="24"/>
        </w:rPr>
        <w:t>tenant, in return for the payment of rent.</w:t>
      </w:r>
      <w:r w:rsidRPr="006A7B9C">
        <w:rPr>
          <w:rStyle w:val="FootnoteReference"/>
          <w:rFonts w:ascii="Arial" w:eastAsia="Calibri" w:hAnsi="Arial" w:cs="Arial"/>
          <w:sz w:val="24"/>
          <w:szCs w:val="24"/>
        </w:rPr>
        <w:footnoteReference w:id="6"/>
      </w:r>
      <w:r w:rsidR="002D2A8E" w:rsidRPr="006A7B9C">
        <w:rPr>
          <w:rFonts w:ascii="Arial" w:eastAsia="Calibri" w:hAnsi="Arial" w:cs="Arial"/>
          <w:sz w:val="24"/>
          <w:szCs w:val="24"/>
        </w:rPr>
        <w:t xml:space="preserve"> </w:t>
      </w:r>
      <w:r w:rsidRPr="006A7B9C">
        <w:rPr>
          <w:rFonts w:ascii="Arial" w:eastAsia="Calibri" w:hAnsi="Arial" w:cs="Arial"/>
          <w:sz w:val="24"/>
          <w:szCs w:val="24"/>
        </w:rPr>
        <w:t xml:space="preserve">In the final analysis, a lease agreement is constituted when the following </w:t>
      </w:r>
      <w:r w:rsidR="00234678" w:rsidRPr="006A7B9C">
        <w:rPr>
          <w:rFonts w:ascii="Arial" w:eastAsia="Calibri" w:hAnsi="Arial" w:cs="Arial"/>
          <w:sz w:val="24"/>
          <w:szCs w:val="24"/>
        </w:rPr>
        <w:t xml:space="preserve">essential </w:t>
      </w:r>
      <w:r w:rsidRPr="006A7B9C">
        <w:rPr>
          <w:rFonts w:ascii="Arial" w:eastAsia="Calibri" w:hAnsi="Arial" w:cs="Arial"/>
          <w:sz w:val="24"/>
          <w:szCs w:val="24"/>
        </w:rPr>
        <w:t xml:space="preserve">legal requirements are met; </w:t>
      </w:r>
      <w:r w:rsidRPr="006A7B9C">
        <w:rPr>
          <w:rFonts w:ascii="Arial" w:eastAsia="Calibri" w:hAnsi="Arial" w:cs="Arial"/>
          <w:i/>
          <w:sz w:val="24"/>
          <w:szCs w:val="24"/>
        </w:rPr>
        <w:t>viz</w:t>
      </w:r>
      <w:r w:rsidRPr="006A7B9C">
        <w:rPr>
          <w:rFonts w:ascii="Arial" w:eastAsia="Calibri" w:hAnsi="Arial" w:cs="Arial"/>
          <w:sz w:val="24"/>
          <w:szCs w:val="24"/>
        </w:rPr>
        <w:t xml:space="preserve">; </w:t>
      </w:r>
    </w:p>
    <w:p w14:paraId="79C6DE2D" w14:textId="77777777" w:rsidR="00E72238" w:rsidRPr="006A7B9C" w:rsidRDefault="00E72238" w:rsidP="008D13A9">
      <w:pPr>
        <w:pStyle w:val="ListParagraph"/>
        <w:numPr>
          <w:ilvl w:val="0"/>
          <w:numId w:val="0"/>
        </w:numPr>
        <w:spacing w:before="0" w:after="0"/>
        <w:ind w:left="567"/>
        <w:rPr>
          <w:rFonts w:eastAsia="Calibri"/>
        </w:rPr>
      </w:pPr>
    </w:p>
    <w:p w14:paraId="5D465DF4" w14:textId="77777777" w:rsidR="00E72238" w:rsidRPr="006A7B9C" w:rsidRDefault="00E72238" w:rsidP="008D13A9">
      <w:pPr>
        <w:spacing w:after="0" w:line="360" w:lineRule="auto"/>
        <w:ind w:left="1440"/>
        <w:jc w:val="both"/>
        <w:rPr>
          <w:rFonts w:ascii="Arial" w:eastAsia="Calibri" w:hAnsi="Arial" w:cs="Arial"/>
          <w:i/>
          <w:sz w:val="24"/>
          <w:szCs w:val="24"/>
        </w:rPr>
      </w:pPr>
      <w:r w:rsidRPr="006A7B9C">
        <w:rPr>
          <w:rFonts w:ascii="Arial" w:eastAsia="Calibri" w:hAnsi="Arial" w:cs="Arial"/>
          <w:sz w:val="24"/>
          <w:szCs w:val="24"/>
        </w:rPr>
        <w:t>13.1</w:t>
      </w:r>
      <w:r w:rsidRPr="006A7B9C">
        <w:rPr>
          <w:rFonts w:ascii="Arial" w:eastAsia="Calibri" w:hAnsi="Arial" w:cs="Arial"/>
          <w:sz w:val="24"/>
          <w:szCs w:val="24"/>
        </w:rPr>
        <w:tab/>
      </w:r>
      <w:r w:rsidR="00850872" w:rsidRPr="006A7B9C">
        <w:rPr>
          <w:rFonts w:ascii="Arial" w:eastAsia="Calibri" w:hAnsi="Arial" w:cs="Arial"/>
          <w:sz w:val="24"/>
          <w:szCs w:val="24"/>
        </w:rPr>
        <w:t xml:space="preserve">There must be a lessor – </w:t>
      </w:r>
      <w:r w:rsidR="00850872" w:rsidRPr="006A7B9C">
        <w:rPr>
          <w:rFonts w:ascii="Arial" w:eastAsia="Calibri" w:hAnsi="Arial" w:cs="Arial"/>
          <w:i/>
          <w:sz w:val="24"/>
          <w:szCs w:val="24"/>
        </w:rPr>
        <w:t>locatio;</w:t>
      </w:r>
    </w:p>
    <w:p w14:paraId="6F8F5259" w14:textId="77777777" w:rsidR="00850872" w:rsidRPr="006A7B9C" w:rsidRDefault="00850872" w:rsidP="008D13A9">
      <w:pPr>
        <w:spacing w:after="0" w:line="360" w:lineRule="auto"/>
        <w:ind w:left="1440"/>
        <w:jc w:val="both"/>
        <w:rPr>
          <w:rFonts w:ascii="Arial" w:eastAsia="Calibri" w:hAnsi="Arial" w:cs="Arial"/>
          <w:i/>
          <w:sz w:val="24"/>
          <w:szCs w:val="24"/>
        </w:rPr>
      </w:pPr>
      <w:r w:rsidRPr="006A7B9C">
        <w:rPr>
          <w:rFonts w:ascii="Arial" w:eastAsia="Calibri" w:hAnsi="Arial" w:cs="Arial"/>
          <w:sz w:val="24"/>
          <w:szCs w:val="24"/>
        </w:rPr>
        <w:t>13.2</w:t>
      </w:r>
      <w:r w:rsidRPr="006A7B9C">
        <w:rPr>
          <w:rFonts w:ascii="Arial" w:eastAsia="Calibri" w:hAnsi="Arial" w:cs="Arial"/>
          <w:sz w:val="24"/>
          <w:szCs w:val="24"/>
        </w:rPr>
        <w:tab/>
        <w:t xml:space="preserve">There must be a lessee – </w:t>
      </w:r>
      <w:r w:rsidRPr="006A7B9C">
        <w:rPr>
          <w:rFonts w:ascii="Arial" w:eastAsia="Calibri" w:hAnsi="Arial" w:cs="Arial"/>
          <w:i/>
          <w:sz w:val="24"/>
          <w:szCs w:val="24"/>
        </w:rPr>
        <w:t>conductio;</w:t>
      </w:r>
    </w:p>
    <w:p w14:paraId="68571212" w14:textId="77777777" w:rsidR="00850872" w:rsidRPr="006A7B9C" w:rsidRDefault="00850872" w:rsidP="008D13A9">
      <w:pPr>
        <w:spacing w:after="0" w:line="360" w:lineRule="auto"/>
        <w:ind w:left="1440"/>
        <w:jc w:val="both"/>
        <w:rPr>
          <w:rFonts w:ascii="Arial" w:eastAsia="Calibri" w:hAnsi="Arial" w:cs="Arial"/>
          <w:sz w:val="24"/>
          <w:szCs w:val="24"/>
        </w:rPr>
      </w:pPr>
      <w:r w:rsidRPr="006A7B9C">
        <w:rPr>
          <w:rFonts w:ascii="Arial" w:eastAsia="Calibri" w:hAnsi="Arial" w:cs="Arial"/>
          <w:sz w:val="24"/>
          <w:szCs w:val="24"/>
        </w:rPr>
        <w:t>13.3</w:t>
      </w:r>
      <w:r w:rsidRPr="006A7B9C">
        <w:rPr>
          <w:rFonts w:ascii="Arial" w:eastAsia="Calibri" w:hAnsi="Arial" w:cs="Arial"/>
          <w:sz w:val="24"/>
          <w:szCs w:val="24"/>
        </w:rPr>
        <w:tab/>
        <w:t>There must be a thing (movable or immovable);</w:t>
      </w:r>
    </w:p>
    <w:p w14:paraId="6F5D328C" w14:textId="77777777" w:rsidR="00850872" w:rsidRPr="006A7B9C" w:rsidRDefault="00850872" w:rsidP="008D13A9">
      <w:pPr>
        <w:spacing w:after="0" w:line="360" w:lineRule="auto"/>
        <w:ind w:left="1440"/>
        <w:jc w:val="both"/>
        <w:rPr>
          <w:rFonts w:ascii="Arial" w:eastAsia="Calibri" w:hAnsi="Arial" w:cs="Arial"/>
          <w:sz w:val="24"/>
          <w:szCs w:val="24"/>
        </w:rPr>
      </w:pPr>
      <w:r w:rsidRPr="006A7B9C">
        <w:rPr>
          <w:rFonts w:ascii="Arial" w:eastAsia="Calibri" w:hAnsi="Arial" w:cs="Arial"/>
          <w:sz w:val="24"/>
          <w:szCs w:val="24"/>
        </w:rPr>
        <w:t>13.4</w:t>
      </w:r>
      <w:r w:rsidRPr="006A7B9C">
        <w:rPr>
          <w:rFonts w:ascii="Arial" w:eastAsia="Calibri" w:hAnsi="Arial" w:cs="Arial"/>
          <w:sz w:val="24"/>
          <w:szCs w:val="24"/>
        </w:rPr>
        <w:tab/>
        <w:t xml:space="preserve">There must be a use and or enjoyment of </w:t>
      </w:r>
      <w:r w:rsidRPr="006A7B9C">
        <w:rPr>
          <w:rFonts w:ascii="Arial" w:eastAsia="Calibri" w:hAnsi="Arial" w:cs="Arial"/>
          <w:sz w:val="24"/>
          <w:szCs w:val="24"/>
          <w:u w:val="single"/>
        </w:rPr>
        <w:t>the thing</w:t>
      </w:r>
      <w:r w:rsidR="00837CA9" w:rsidRPr="006A7B9C">
        <w:rPr>
          <w:rFonts w:ascii="Arial" w:eastAsia="Calibri" w:hAnsi="Arial" w:cs="Arial"/>
          <w:sz w:val="24"/>
          <w:szCs w:val="24"/>
        </w:rPr>
        <w:t xml:space="preserve"> -</w:t>
      </w:r>
      <w:r w:rsidRPr="006A7B9C">
        <w:rPr>
          <w:rFonts w:ascii="Arial" w:eastAsia="Calibri" w:hAnsi="Arial" w:cs="Arial"/>
          <w:sz w:val="24"/>
          <w:szCs w:val="24"/>
        </w:rPr>
        <w:t xml:space="preserve"> (</w:t>
      </w:r>
      <w:r w:rsidRPr="006A7B9C">
        <w:rPr>
          <w:rFonts w:ascii="Arial" w:eastAsia="Calibri" w:hAnsi="Arial" w:cs="Arial"/>
          <w:i/>
          <w:sz w:val="24"/>
          <w:szCs w:val="24"/>
        </w:rPr>
        <w:t>usus rei)</w:t>
      </w:r>
      <w:r w:rsidRPr="006A7B9C">
        <w:rPr>
          <w:rFonts w:ascii="Arial" w:eastAsia="Calibri" w:hAnsi="Arial" w:cs="Arial"/>
          <w:sz w:val="24"/>
          <w:szCs w:val="24"/>
        </w:rPr>
        <w:t>;</w:t>
      </w:r>
    </w:p>
    <w:p w14:paraId="65692848" w14:textId="77777777" w:rsidR="00850872" w:rsidRPr="006A7B9C" w:rsidRDefault="00850872" w:rsidP="008D13A9">
      <w:pPr>
        <w:spacing w:after="0" w:line="360" w:lineRule="auto"/>
        <w:ind w:left="2160" w:hanging="720"/>
        <w:jc w:val="both"/>
        <w:rPr>
          <w:rFonts w:ascii="Arial" w:eastAsia="Calibri" w:hAnsi="Arial" w:cs="Arial"/>
          <w:sz w:val="24"/>
          <w:szCs w:val="24"/>
        </w:rPr>
      </w:pPr>
      <w:r w:rsidRPr="006A7B9C">
        <w:rPr>
          <w:rFonts w:ascii="Arial" w:eastAsia="Calibri" w:hAnsi="Arial" w:cs="Arial"/>
          <w:sz w:val="24"/>
          <w:szCs w:val="24"/>
        </w:rPr>
        <w:t>13.5</w:t>
      </w:r>
      <w:r w:rsidRPr="006A7B9C">
        <w:rPr>
          <w:rFonts w:ascii="Arial" w:eastAsia="Calibri" w:hAnsi="Arial" w:cs="Arial"/>
          <w:sz w:val="24"/>
          <w:szCs w:val="24"/>
        </w:rPr>
        <w:tab/>
        <w:t xml:space="preserve">There must </w:t>
      </w:r>
      <w:r w:rsidR="00837CA9" w:rsidRPr="006A7B9C">
        <w:rPr>
          <w:rFonts w:ascii="Arial" w:eastAsia="Calibri" w:hAnsi="Arial" w:cs="Arial"/>
          <w:sz w:val="24"/>
          <w:szCs w:val="24"/>
        </w:rPr>
        <w:t xml:space="preserve">be a fee; price of the </w:t>
      </w:r>
      <w:r w:rsidR="00837CA9" w:rsidRPr="006A7B9C">
        <w:rPr>
          <w:rFonts w:ascii="Arial" w:eastAsia="Calibri" w:hAnsi="Arial" w:cs="Arial"/>
          <w:sz w:val="24"/>
          <w:szCs w:val="24"/>
          <w:u w:val="single"/>
        </w:rPr>
        <w:t>use</w:t>
      </w:r>
      <w:r w:rsidR="00234678" w:rsidRPr="006A7B9C">
        <w:rPr>
          <w:rFonts w:ascii="Arial" w:eastAsia="Calibri" w:hAnsi="Arial" w:cs="Arial"/>
          <w:sz w:val="24"/>
          <w:szCs w:val="24"/>
          <w:u w:val="single"/>
        </w:rPr>
        <w:t xml:space="preserve"> of the thing</w:t>
      </w:r>
      <w:r w:rsidR="00837CA9" w:rsidRPr="006A7B9C">
        <w:rPr>
          <w:rFonts w:ascii="Arial" w:eastAsia="Calibri" w:hAnsi="Arial" w:cs="Arial"/>
          <w:sz w:val="24"/>
          <w:szCs w:val="24"/>
        </w:rPr>
        <w:t xml:space="preserve"> (rent</w:t>
      </w:r>
      <w:r w:rsidR="00234678" w:rsidRPr="006A7B9C">
        <w:rPr>
          <w:rFonts w:ascii="Arial" w:eastAsia="Calibri" w:hAnsi="Arial" w:cs="Arial"/>
          <w:sz w:val="24"/>
          <w:szCs w:val="24"/>
        </w:rPr>
        <w:t>al</w:t>
      </w:r>
      <w:r w:rsidR="00837CA9" w:rsidRPr="006A7B9C">
        <w:rPr>
          <w:rFonts w:ascii="Arial" w:eastAsia="Calibri" w:hAnsi="Arial" w:cs="Arial"/>
          <w:sz w:val="24"/>
          <w:szCs w:val="24"/>
        </w:rPr>
        <w:t>) – (</w:t>
      </w:r>
      <w:r w:rsidR="00837CA9" w:rsidRPr="006A7B9C">
        <w:rPr>
          <w:rFonts w:ascii="Arial" w:eastAsia="Calibri" w:hAnsi="Arial" w:cs="Arial"/>
          <w:i/>
          <w:sz w:val="24"/>
          <w:szCs w:val="24"/>
        </w:rPr>
        <w:t>merces, pretium</w:t>
      </w:r>
      <w:r w:rsidR="00837CA9" w:rsidRPr="006A7B9C">
        <w:rPr>
          <w:rFonts w:ascii="Arial" w:eastAsia="Calibri" w:hAnsi="Arial" w:cs="Arial"/>
          <w:sz w:val="24"/>
          <w:szCs w:val="24"/>
        </w:rPr>
        <w:t>)</w:t>
      </w:r>
    </w:p>
    <w:p w14:paraId="0E3B4314" w14:textId="77777777" w:rsidR="00E72238" w:rsidRPr="006A7B9C" w:rsidRDefault="00E72238" w:rsidP="008D13A9">
      <w:pPr>
        <w:pStyle w:val="ListParagraph"/>
        <w:numPr>
          <w:ilvl w:val="0"/>
          <w:numId w:val="0"/>
        </w:numPr>
        <w:spacing w:before="0" w:after="0"/>
        <w:ind w:left="567"/>
        <w:rPr>
          <w:rFonts w:eastAsia="Calibri"/>
        </w:rPr>
      </w:pPr>
    </w:p>
    <w:p w14:paraId="1288FF7B" w14:textId="77777777" w:rsidR="001877B3" w:rsidRPr="006A7B9C" w:rsidRDefault="00837CA9" w:rsidP="008D13A9">
      <w:pPr>
        <w:numPr>
          <w:ilvl w:val="0"/>
          <w:numId w:val="32"/>
        </w:numPr>
        <w:tabs>
          <w:tab w:val="num" w:pos="360"/>
        </w:tabs>
        <w:spacing w:after="0" w:line="360" w:lineRule="auto"/>
        <w:ind w:left="720" w:hanging="720"/>
        <w:jc w:val="both"/>
        <w:rPr>
          <w:rFonts w:ascii="Arial" w:eastAsia="Calibri" w:hAnsi="Arial" w:cs="Arial"/>
          <w:sz w:val="24"/>
          <w:szCs w:val="24"/>
        </w:rPr>
      </w:pPr>
      <w:r w:rsidRPr="006A7B9C">
        <w:rPr>
          <w:rFonts w:ascii="Arial" w:eastAsia="Calibri" w:hAnsi="Arial" w:cs="Arial"/>
          <w:sz w:val="24"/>
          <w:szCs w:val="24"/>
        </w:rPr>
        <w:t>Put differently, the above are the essential terms of a lease agreement. Destruction of any of those terms spews moribund to the lease agreement.</w:t>
      </w:r>
      <w:r w:rsidR="001877B3" w:rsidRPr="006A7B9C">
        <w:rPr>
          <w:rFonts w:ascii="Arial" w:eastAsia="Calibri" w:hAnsi="Arial" w:cs="Arial"/>
          <w:sz w:val="24"/>
          <w:szCs w:val="24"/>
        </w:rPr>
        <w:t xml:space="preserve"> Having unwrapped the required terms to breathe life into a lease agreement, it is thus appropriate to</w:t>
      </w:r>
      <w:r w:rsidR="00234678" w:rsidRPr="006A7B9C">
        <w:rPr>
          <w:rFonts w:ascii="Arial" w:eastAsia="Calibri" w:hAnsi="Arial" w:cs="Arial"/>
          <w:sz w:val="24"/>
          <w:szCs w:val="24"/>
        </w:rPr>
        <w:t xml:space="preserve"> now</w:t>
      </w:r>
      <w:r w:rsidR="001877B3" w:rsidRPr="006A7B9C">
        <w:rPr>
          <w:rFonts w:ascii="Arial" w:eastAsia="Calibri" w:hAnsi="Arial" w:cs="Arial"/>
          <w:sz w:val="24"/>
          <w:szCs w:val="24"/>
        </w:rPr>
        <w:t xml:space="preserve"> consider the meaning of the phrase, </w:t>
      </w:r>
      <w:r w:rsidR="00234678" w:rsidRPr="006A7B9C">
        <w:rPr>
          <w:rFonts w:ascii="Arial" w:eastAsia="Calibri" w:hAnsi="Arial" w:cs="Arial"/>
          <w:sz w:val="24"/>
          <w:szCs w:val="24"/>
        </w:rPr>
        <w:t>‘</w:t>
      </w:r>
      <w:r w:rsidR="001877B3" w:rsidRPr="006A7B9C">
        <w:rPr>
          <w:rFonts w:ascii="Arial" w:eastAsia="Calibri" w:hAnsi="Arial" w:cs="Arial"/>
          <w:sz w:val="24"/>
          <w:szCs w:val="24"/>
        </w:rPr>
        <w:t>supervening impossibility</w:t>
      </w:r>
      <w:r w:rsidR="00234678" w:rsidRPr="006A7B9C">
        <w:rPr>
          <w:rFonts w:ascii="Arial" w:eastAsia="Calibri" w:hAnsi="Arial" w:cs="Arial"/>
          <w:sz w:val="24"/>
          <w:szCs w:val="24"/>
        </w:rPr>
        <w:t>’</w:t>
      </w:r>
      <w:r w:rsidR="001877B3" w:rsidRPr="006A7B9C">
        <w:rPr>
          <w:rFonts w:ascii="Arial" w:eastAsia="Calibri" w:hAnsi="Arial" w:cs="Arial"/>
          <w:sz w:val="24"/>
          <w:szCs w:val="24"/>
        </w:rPr>
        <w:t>.</w:t>
      </w:r>
    </w:p>
    <w:p w14:paraId="2CBDC16A" w14:textId="77777777" w:rsidR="001877B3" w:rsidRPr="006A7B9C" w:rsidRDefault="001877B3" w:rsidP="008D13A9">
      <w:pPr>
        <w:spacing w:after="0" w:line="360" w:lineRule="auto"/>
        <w:ind w:left="720"/>
        <w:jc w:val="both"/>
        <w:rPr>
          <w:rFonts w:ascii="Arial" w:eastAsia="Calibri" w:hAnsi="Arial" w:cs="Arial"/>
          <w:i/>
          <w:sz w:val="24"/>
          <w:szCs w:val="24"/>
        </w:rPr>
      </w:pPr>
    </w:p>
    <w:p w14:paraId="06B1CE09" w14:textId="77777777" w:rsidR="001877B3" w:rsidRPr="006A7B9C" w:rsidRDefault="001877B3" w:rsidP="008D13A9">
      <w:pPr>
        <w:spacing w:after="0" w:line="360" w:lineRule="auto"/>
        <w:jc w:val="both"/>
        <w:rPr>
          <w:rFonts w:ascii="Arial" w:eastAsia="Calibri" w:hAnsi="Arial" w:cs="Arial"/>
          <w:sz w:val="24"/>
          <w:szCs w:val="24"/>
        </w:rPr>
      </w:pPr>
      <w:r w:rsidRPr="006A7B9C">
        <w:rPr>
          <w:rFonts w:ascii="Arial" w:eastAsia="Calibri" w:hAnsi="Arial" w:cs="Arial"/>
          <w:i/>
          <w:sz w:val="24"/>
          <w:szCs w:val="24"/>
        </w:rPr>
        <w:t>What is the meaning of supervening impossibility?</w:t>
      </w:r>
    </w:p>
    <w:p w14:paraId="6E39F088" w14:textId="77777777" w:rsidR="001877B3" w:rsidRPr="006A7B9C" w:rsidRDefault="001877B3" w:rsidP="008D13A9">
      <w:pPr>
        <w:spacing w:after="0" w:line="360" w:lineRule="auto"/>
        <w:jc w:val="both"/>
        <w:rPr>
          <w:rFonts w:ascii="Arial" w:eastAsia="Calibri" w:hAnsi="Arial" w:cs="Arial"/>
          <w:sz w:val="24"/>
          <w:szCs w:val="24"/>
        </w:rPr>
      </w:pPr>
    </w:p>
    <w:p w14:paraId="3FCD7343" w14:textId="793823B9" w:rsidR="00567C57" w:rsidRPr="006A7B9C" w:rsidRDefault="001877B3" w:rsidP="008D13A9">
      <w:pPr>
        <w:numPr>
          <w:ilvl w:val="0"/>
          <w:numId w:val="32"/>
        </w:numPr>
        <w:tabs>
          <w:tab w:val="num" w:pos="360"/>
        </w:tabs>
        <w:spacing w:after="0" w:line="360" w:lineRule="auto"/>
        <w:ind w:left="720" w:hanging="720"/>
        <w:jc w:val="both"/>
        <w:rPr>
          <w:rFonts w:ascii="Arial" w:eastAsia="Calibri" w:hAnsi="Arial" w:cs="Arial"/>
          <w:sz w:val="24"/>
          <w:szCs w:val="24"/>
        </w:rPr>
      </w:pPr>
      <w:r w:rsidRPr="006A7B9C">
        <w:rPr>
          <w:rFonts w:ascii="Arial" w:eastAsia="Calibri" w:hAnsi="Arial" w:cs="Arial"/>
          <w:sz w:val="24"/>
          <w:szCs w:val="24"/>
        </w:rPr>
        <w:t xml:space="preserve">When parties conclude an agreement, each awaits performance of the terms of an agreement as undertaken. In a lease situation, the lessee awaits the delivery of the thing leased and the lessor awaits payment for the use of the thing. In short, the lessee must be given </w:t>
      </w:r>
      <w:r w:rsidRPr="006A7B9C">
        <w:rPr>
          <w:rFonts w:ascii="Arial" w:eastAsia="Calibri" w:hAnsi="Arial" w:cs="Arial"/>
          <w:i/>
          <w:sz w:val="24"/>
          <w:szCs w:val="24"/>
        </w:rPr>
        <w:t xml:space="preserve">vacuo </w:t>
      </w:r>
      <w:r w:rsidR="00567C57" w:rsidRPr="006A7B9C">
        <w:rPr>
          <w:rFonts w:ascii="Arial" w:eastAsia="Calibri" w:hAnsi="Arial" w:cs="Arial"/>
          <w:i/>
          <w:sz w:val="24"/>
          <w:szCs w:val="24"/>
        </w:rPr>
        <w:t>possessio</w:t>
      </w:r>
      <w:r w:rsidRPr="006A7B9C">
        <w:rPr>
          <w:rFonts w:ascii="Arial" w:eastAsia="Calibri" w:hAnsi="Arial" w:cs="Arial"/>
          <w:sz w:val="24"/>
          <w:szCs w:val="24"/>
        </w:rPr>
        <w:t xml:space="preserve"> – undisturbed possession of the t</w:t>
      </w:r>
      <w:r w:rsidR="00C53CDD">
        <w:rPr>
          <w:rFonts w:ascii="Arial" w:eastAsia="Calibri" w:hAnsi="Arial" w:cs="Arial"/>
          <w:sz w:val="24"/>
          <w:szCs w:val="24"/>
        </w:rPr>
        <w:t>h</w:t>
      </w:r>
      <w:r w:rsidRPr="006A7B9C">
        <w:rPr>
          <w:rFonts w:ascii="Arial" w:eastAsia="Calibri" w:hAnsi="Arial" w:cs="Arial"/>
          <w:sz w:val="24"/>
          <w:szCs w:val="24"/>
        </w:rPr>
        <w:t>ing</w:t>
      </w:r>
      <w:r w:rsidR="00567C57" w:rsidRPr="006A7B9C">
        <w:rPr>
          <w:rFonts w:ascii="Arial" w:eastAsia="Calibri" w:hAnsi="Arial" w:cs="Arial"/>
          <w:sz w:val="24"/>
          <w:szCs w:val="24"/>
        </w:rPr>
        <w:t xml:space="preserve"> and the lessor must be paid his/her rental. However, once the parties </w:t>
      </w:r>
      <w:r w:rsidR="00234678" w:rsidRPr="006A7B9C">
        <w:rPr>
          <w:rFonts w:ascii="Arial" w:eastAsia="Calibri" w:hAnsi="Arial" w:cs="Arial"/>
          <w:sz w:val="24"/>
          <w:szCs w:val="24"/>
        </w:rPr>
        <w:t>conclude</w:t>
      </w:r>
      <w:r w:rsidR="00567C57" w:rsidRPr="006A7B9C">
        <w:rPr>
          <w:rFonts w:ascii="Arial" w:eastAsia="Calibri" w:hAnsi="Arial" w:cs="Arial"/>
          <w:sz w:val="24"/>
          <w:szCs w:val="24"/>
        </w:rPr>
        <w:t xml:space="preserve"> an </w:t>
      </w:r>
      <w:r w:rsidR="00567C57" w:rsidRPr="006A7B9C">
        <w:rPr>
          <w:rFonts w:ascii="Arial" w:eastAsia="Calibri" w:hAnsi="Arial" w:cs="Arial"/>
          <w:sz w:val="24"/>
          <w:szCs w:val="24"/>
        </w:rPr>
        <w:lastRenderedPageBreak/>
        <w:t>agreement and the thing to be hired is destroyed, then the agreement is discharged. As indicated earlier, the best term to describe this phrase is frustration as opposed to impossibility. The reason for that is simply that when parties agree to hire to each other a thing, the</w:t>
      </w:r>
      <w:r w:rsidR="00234678" w:rsidRPr="006A7B9C">
        <w:rPr>
          <w:rFonts w:ascii="Arial" w:eastAsia="Calibri" w:hAnsi="Arial" w:cs="Arial"/>
          <w:sz w:val="24"/>
          <w:szCs w:val="24"/>
        </w:rPr>
        <w:t>y</w:t>
      </w:r>
      <w:r w:rsidR="00567C57" w:rsidRPr="006A7B9C">
        <w:rPr>
          <w:rFonts w:ascii="Arial" w:eastAsia="Calibri" w:hAnsi="Arial" w:cs="Arial"/>
          <w:sz w:val="24"/>
          <w:szCs w:val="24"/>
        </w:rPr>
        <w:t xml:space="preserve"> do so in the circumstances where the thing is in existence. However, if the thing disappears after the agreement, the disappearance frustrates the</w:t>
      </w:r>
      <w:r w:rsidR="00234678" w:rsidRPr="006A7B9C">
        <w:rPr>
          <w:rFonts w:ascii="Arial" w:eastAsia="Calibri" w:hAnsi="Arial" w:cs="Arial"/>
          <w:sz w:val="24"/>
          <w:szCs w:val="24"/>
        </w:rPr>
        <w:t xml:space="preserve"> plans of the</w:t>
      </w:r>
      <w:r w:rsidR="00567C57" w:rsidRPr="006A7B9C">
        <w:rPr>
          <w:rFonts w:ascii="Arial" w:eastAsia="Calibri" w:hAnsi="Arial" w:cs="Arial"/>
          <w:sz w:val="24"/>
          <w:szCs w:val="24"/>
        </w:rPr>
        <w:t xml:space="preserve"> parties. It may well be that the frustration may be removed in due course, b</w:t>
      </w:r>
      <w:r w:rsidR="00F97906">
        <w:rPr>
          <w:rFonts w:ascii="Arial" w:eastAsia="Calibri" w:hAnsi="Arial" w:cs="Arial"/>
          <w:sz w:val="24"/>
          <w:szCs w:val="24"/>
        </w:rPr>
        <w:t>y,</w:t>
      </w:r>
      <w:r w:rsidR="00567C57" w:rsidRPr="006A7B9C">
        <w:rPr>
          <w:rFonts w:ascii="Arial" w:eastAsia="Calibri" w:hAnsi="Arial" w:cs="Arial"/>
          <w:sz w:val="24"/>
          <w:szCs w:val="24"/>
        </w:rPr>
        <w:t xml:space="preserve"> for instance</w:t>
      </w:r>
      <w:r w:rsidR="00F97906">
        <w:rPr>
          <w:rFonts w:ascii="Arial" w:eastAsia="Calibri" w:hAnsi="Arial" w:cs="Arial"/>
          <w:sz w:val="24"/>
          <w:szCs w:val="24"/>
        </w:rPr>
        <w:t>,</w:t>
      </w:r>
      <w:r w:rsidR="00567C57" w:rsidRPr="006A7B9C">
        <w:rPr>
          <w:rFonts w:ascii="Arial" w:eastAsia="Calibri" w:hAnsi="Arial" w:cs="Arial"/>
          <w:sz w:val="24"/>
          <w:szCs w:val="24"/>
        </w:rPr>
        <w:t xml:space="preserve"> a replacement of the thing. </w:t>
      </w:r>
    </w:p>
    <w:p w14:paraId="47CBB3DF" w14:textId="77777777" w:rsidR="00567C57" w:rsidRPr="006A7B9C" w:rsidRDefault="00567C57" w:rsidP="008D13A9">
      <w:pPr>
        <w:spacing w:after="0" w:line="360" w:lineRule="auto"/>
        <w:ind w:left="720"/>
        <w:jc w:val="both"/>
        <w:rPr>
          <w:rFonts w:ascii="Arial" w:eastAsia="Calibri" w:hAnsi="Arial" w:cs="Arial"/>
          <w:sz w:val="24"/>
          <w:szCs w:val="24"/>
        </w:rPr>
      </w:pPr>
    </w:p>
    <w:p w14:paraId="6CC04661" w14:textId="25BB293A" w:rsidR="00BF58F7" w:rsidRPr="006A7B9C" w:rsidRDefault="00567C57" w:rsidP="008D13A9">
      <w:pPr>
        <w:numPr>
          <w:ilvl w:val="0"/>
          <w:numId w:val="32"/>
        </w:numPr>
        <w:tabs>
          <w:tab w:val="num" w:pos="360"/>
        </w:tabs>
        <w:spacing w:after="0" w:line="360" w:lineRule="auto"/>
        <w:ind w:left="720" w:hanging="720"/>
        <w:jc w:val="both"/>
        <w:rPr>
          <w:rFonts w:ascii="Arial" w:eastAsia="Calibri" w:hAnsi="Arial" w:cs="Arial"/>
          <w:sz w:val="24"/>
          <w:szCs w:val="24"/>
        </w:rPr>
      </w:pPr>
      <w:r w:rsidRPr="006A7B9C">
        <w:rPr>
          <w:rFonts w:ascii="Arial" w:eastAsia="Calibri" w:hAnsi="Arial" w:cs="Arial"/>
          <w:sz w:val="24"/>
          <w:szCs w:val="24"/>
        </w:rPr>
        <w:t>Nevertheless, nothing much turns on the</w:t>
      </w:r>
      <w:r w:rsidR="009618F6" w:rsidRPr="006A7B9C">
        <w:rPr>
          <w:rFonts w:ascii="Arial" w:eastAsia="Calibri" w:hAnsi="Arial" w:cs="Arial"/>
          <w:sz w:val="24"/>
          <w:szCs w:val="24"/>
        </w:rPr>
        <w:t xml:space="preserve"> above</w:t>
      </w:r>
      <w:r w:rsidRPr="006A7B9C">
        <w:rPr>
          <w:rFonts w:ascii="Arial" w:eastAsia="Calibri" w:hAnsi="Arial" w:cs="Arial"/>
          <w:sz w:val="24"/>
          <w:szCs w:val="24"/>
        </w:rPr>
        <w:t xml:space="preserve"> description. </w:t>
      </w:r>
      <w:r w:rsidR="0072312B" w:rsidRPr="006A7B9C">
        <w:rPr>
          <w:rFonts w:ascii="Arial" w:eastAsia="Calibri" w:hAnsi="Arial" w:cs="Arial"/>
          <w:sz w:val="24"/>
          <w:szCs w:val="24"/>
        </w:rPr>
        <w:t xml:space="preserve">The best case to have unpacked the principle is that of </w:t>
      </w:r>
      <w:r w:rsidR="00CB2D1E" w:rsidRPr="006A7B9C">
        <w:rPr>
          <w:rFonts w:ascii="Arial" w:eastAsia="Calibri" w:hAnsi="Arial" w:cs="Arial"/>
          <w:i/>
          <w:sz w:val="24"/>
          <w:szCs w:val="24"/>
        </w:rPr>
        <w:t>Taylor v Caldwell (Taylor)</w:t>
      </w:r>
      <w:r w:rsidR="0072312B" w:rsidRPr="006A7B9C">
        <w:rPr>
          <w:rStyle w:val="FootnoteReference"/>
          <w:rFonts w:ascii="Arial" w:eastAsia="Calibri" w:hAnsi="Arial" w:cs="Arial"/>
          <w:sz w:val="24"/>
          <w:szCs w:val="24"/>
        </w:rPr>
        <w:footnoteReference w:id="7"/>
      </w:r>
      <w:r w:rsidR="0072312B" w:rsidRPr="006A7B9C">
        <w:rPr>
          <w:rFonts w:ascii="Arial" w:eastAsia="Calibri" w:hAnsi="Arial" w:cs="Arial"/>
          <w:i/>
          <w:sz w:val="24"/>
          <w:szCs w:val="24"/>
        </w:rPr>
        <w:t xml:space="preserve">. </w:t>
      </w:r>
      <w:r w:rsidR="0072312B" w:rsidRPr="006A7B9C">
        <w:rPr>
          <w:rFonts w:ascii="Arial" w:eastAsia="Calibri" w:hAnsi="Arial" w:cs="Arial"/>
          <w:sz w:val="24"/>
          <w:szCs w:val="24"/>
        </w:rPr>
        <w:t xml:space="preserve">Briefly the parties had on 27 May 1861 entered into a contract by which the defendant agreed to let the plaintiff have the use of the Surrey Gardens and Music Hall on four days then to come, for the purposes of giving a series of four grand concerts, and a day and night fetes at the gardens and hall on those days respectively; and the plaintiff agreed to take the gardens and halls on those days and pay </w:t>
      </w:r>
      <w:r w:rsidR="00BF58F7" w:rsidRPr="006A7B9C">
        <w:rPr>
          <w:rFonts w:ascii="Arial" w:eastAsia="Calibri" w:hAnsi="Arial" w:cs="Arial"/>
          <w:sz w:val="24"/>
          <w:szCs w:val="24"/>
        </w:rPr>
        <w:t xml:space="preserve">100 pounds for each day. After the conclusion of the agreement and before the first day on which the concert was to be given, the hall was destroyed by fire. In consequence of the destruction, the concerts could not be given as intended. </w:t>
      </w:r>
    </w:p>
    <w:p w14:paraId="2758E54F" w14:textId="77777777" w:rsidR="00BF58F7" w:rsidRPr="006A7B9C" w:rsidRDefault="00BF58F7" w:rsidP="008D13A9">
      <w:pPr>
        <w:pStyle w:val="ListParagraph"/>
        <w:numPr>
          <w:ilvl w:val="0"/>
          <w:numId w:val="0"/>
        </w:numPr>
        <w:spacing w:before="0" w:after="0"/>
        <w:ind w:left="567"/>
        <w:rPr>
          <w:rFonts w:eastAsia="Calibri"/>
        </w:rPr>
      </w:pPr>
    </w:p>
    <w:p w14:paraId="1861DB19" w14:textId="77777777" w:rsidR="00050F0F" w:rsidRPr="006A7B9C" w:rsidRDefault="00BF58F7" w:rsidP="008D13A9">
      <w:pPr>
        <w:numPr>
          <w:ilvl w:val="0"/>
          <w:numId w:val="32"/>
        </w:numPr>
        <w:tabs>
          <w:tab w:val="num" w:pos="360"/>
        </w:tabs>
        <w:spacing w:after="0" w:line="360" w:lineRule="auto"/>
        <w:ind w:left="720" w:hanging="720"/>
        <w:jc w:val="both"/>
        <w:rPr>
          <w:rFonts w:ascii="Arial" w:eastAsia="Calibri" w:hAnsi="Arial" w:cs="Arial"/>
          <w:sz w:val="24"/>
          <w:szCs w:val="24"/>
        </w:rPr>
      </w:pPr>
      <w:r w:rsidRPr="006A7B9C">
        <w:rPr>
          <w:rFonts w:ascii="Arial" w:eastAsia="Calibri" w:hAnsi="Arial" w:cs="Arial"/>
          <w:sz w:val="24"/>
          <w:szCs w:val="24"/>
        </w:rPr>
        <w:t xml:space="preserve">In dealing with the dispute, the Court had regard to the Civil law as outlined by Pothier who stated that the debtor is freed from his obligation when the </w:t>
      </w:r>
      <w:r w:rsidRPr="006A7B9C">
        <w:rPr>
          <w:rFonts w:ascii="Arial" w:eastAsia="Calibri" w:hAnsi="Arial" w:cs="Arial"/>
          <w:sz w:val="24"/>
          <w:szCs w:val="24"/>
          <w:u w:val="single"/>
        </w:rPr>
        <w:t>thing</w:t>
      </w:r>
      <w:r w:rsidRPr="006A7B9C">
        <w:rPr>
          <w:rFonts w:ascii="Arial" w:eastAsia="Calibri" w:hAnsi="Arial" w:cs="Arial"/>
          <w:sz w:val="24"/>
          <w:szCs w:val="24"/>
        </w:rPr>
        <w:t xml:space="preserve"> has perished, neither by his act, nor neglect, and before he is in default, unless by some stipulation he has taken on himself the risk of the particular misfortune which has occurred.</w:t>
      </w:r>
      <w:r w:rsidRPr="006A7B9C">
        <w:rPr>
          <w:rStyle w:val="FootnoteReference"/>
          <w:rFonts w:ascii="Arial" w:eastAsia="Calibri" w:hAnsi="Arial" w:cs="Arial"/>
          <w:sz w:val="24"/>
          <w:szCs w:val="24"/>
        </w:rPr>
        <w:footnoteReference w:id="8"/>
      </w:r>
      <w:r w:rsidRPr="006A7B9C">
        <w:rPr>
          <w:rFonts w:ascii="Arial" w:eastAsia="Calibri" w:hAnsi="Arial" w:cs="Arial"/>
          <w:sz w:val="24"/>
          <w:szCs w:val="24"/>
        </w:rPr>
        <w:t xml:space="preserve"> </w:t>
      </w:r>
      <w:r w:rsidR="00CB2D1E" w:rsidRPr="006A7B9C">
        <w:rPr>
          <w:rFonts w:ascii="Arial" w:eastAsia="Calibri" w:hAnsi="Arial" w:cs="Arial"/>
          <w:sz w:val="24"/>
          <w:szCs w:val="24"/>
        </w:rPr>
        <w:t>Thereafter, the Court relied on a long line of cases in order to explain the principle</w:t>
      </w:r>
      <w:r w:rsidR="00CB2D1E" w:rsidRPr="006A7B9C">
        <w:rPr>
          <w:rStyle w:val="FootnoteReference"/>
          <w:rFonts w:ascii="Arial" w:eastAsia="Calibri" w:hAnsi="Arial" w:cs="Arial"/>
          <w:sz w:val="24"/>
          <w:szCs w:val="24"/>
        </w:rPr>
        <w:footnoteReference w:id="9"/>
      </w:r>
      <w:r w:rsidR="00CB2D1E" w:rsidRPr="006A7B9C">
        <w:rPr>
          <w:rFonts w:ascii="Arial" w:eastAsia="Calibri" w:hAnsi="Arial" w:cs="Arial"/>
          <w:sz w:val="24"/>
          <w:szCs w:val="24"/>
        </w:rPr>
        <w:t>.</w:t>
      </w:r>
      <w:r w:rsidR="00050F0F" w:rsidRPr="006A7B9C">
        <w:rPr>
          <w:rFonts w:ascii="Arial" w:eastAsia="Calibri" w:hAnsi="Arial" w:cs="Arial"/>
          <w:sz w:val="24"/>
          <w:szCs w:val="24"/>
        </w:rPr>
        <w:t xml:space="preserve"> Ultimately, the Court reached the following apt conclusion:</w:t>
      </w:r>
    </w:p>
    <w:p w14:paraId="7D1F07EC" w14:textId="77777777" w:rsidR="00050F0F" w:rsidRPr="006A7B9C" w:rsidRDefault="00050F0F" w:rsidP="008D13A9">
      <w:pPr>
        <w:pStyle w:val="ListParagraph"/>
        <w:numPr>
          <w:ilvl w:val="0"/>
          <w:numId w:val="0"/>
        </w:numPr>
        <w:spacing w:before="0" w:after="0"/>
        <w:ind w:left="567"/>
        <w:rPr>
          <w:rFonts w:eastAsia="Calibri"/>
        </w:rPr>
      </w:pPr>
    </w:p>
    <w:p w14:paraId="2A7FF1A1" w14:textId="77777777" w:rsidR="00050F0F" w:rsidRPr="008D13A9" w:rsidRDefault="00050F0F" w:rsidP="008D13A9">
      <w:pPr>
        <w:spacing w:after="0" w:line="360" w:lineRule="auto"/>
        <w:ind w:left="851"/>
        <w:jc w:val="both"/>
        <w:rPr>
          <w:rFonts w:ascii="Arial" w:eastAsia="Calibri" w:hAnsi="Arial" w:cs="Arial"/>
          <w:i/>
          <w:szCs w:val="24"/>
        </w:rPr>
      </w:pPr>
      <w:r w:rsidRPr="006A7B9C">
        <w:rPr>
          <w:rFonts w:ascii="Arial" w:eastAsia="Calibri" w:hAnsi="Arial" w:cs="Arial"/>
          <w:sz w:val="24"/>
          <w:szCs w:val="24"/>
        </w:rPr>
        <w:t>“</w:t>
      </w:r>
      <w:r w:rsidRPr="008D13A9">
        <w:rPr>
          <w:rFonts w:ascii="Arial" w:eastAsia="Calibri" w:hAnsi="Arial" w:cs="Arial"/>
          <w:i/>
          <w:szCs w:val="24"/>
        </w:rPr>
        <w:t xml:space="preserve">In none of these cases is the promise in words other than positive, nor is there any express stipulation that the destruction of the person or thing shall excuse the performance; but that excuse is by law implied, </w:t>
      </w:r>
      <w:r w:rsidRPr="008D13A9">
        <w:rPr>
          <w:rFonts w:ascii="Arial" w:eastAsia="Calibri" w:hAnsi="Arial" w:cs="Arial"/>
          <w:i/>
          <w:szCs w:val="24"/>
          <w:u w:val="single"/>
        </w:rPr>
        <w:t xml:space="preserve">because from the nature of the contract it is apparent that the parties contracted on the basis of the continued existence of the particular person or </w:t>
      </w:r>
      <w:r w:rsidRPr="008D13A9">
        <w:rPr>
          <w:rFonts w:ascii="Arial" w:eastAsia="Calibri" w:hAnsi="Arial" w:cs="Arial"/>
          <w:i/>
          <w:szCs w:val="24"/>
          <w:u w:val="single"/>
        </w:rPr>
        <w:lastRenderedPageBreak/>
        <w:t>chattel. In the present case, looking at the whole contract, we find that the parties contracted on the basis of the continued existence of the Music Hall at the time the concerts were to be given;</w:t>
      </w:r>
      <w:r w:rsidR="00FD4283">
        <w:rPr>
          <w:rFonts w:ascii="Arial" w:eastAsia="Calibri" w:hAnsi="Arial" w:cs="Arial"/>
          <w:i/>
          <w:szCs w:val="24"/>
          <w:u w:val="single"/>
        </w:rPr>
        <w:t xml:space="preserve"> </w:t>
      </w:r>
      <w:r w:rsidRPr="008D13A9">
        <w:rPr>
          <w:rFonts w:ascii="Arial" w:eastAsia="Calibri" w:hAnsi="Arial" w:cs="Arial"/>
          <w:i/>
          <w:szCs w:val="24"/>
          <w:u w:val="single"/>
        </w:rPr>
        <w:t xml:space="preserve"> that being the essential to their performance. We think, therefore, that the Music Hall having ceased to exist, without fault of either party, both parties are excused, the plaintiff</w:t>
      </w:r>
      <w:r w:rsidR="00FD4283">
        <w:rPr>
          <w:rFonts w:ascii="Arial" w:eastAsia="Calibri" w:hAnsi="Arial" w:cs="Arial"/>
          <w:i/>
          <w:szCs w:val="24"/>
          <w:u w:val="single"/>
        </w:rPr>
        <w:t>s</w:t>
      </w:r>
      <w:r w:rsidRPr="008D13A9">
        <w:rPr>
          <w:rFonts w:ascii="Arial" w:eastAsia="Calibri" w:hAnsi="Arial" w:cs="Arial"/>
          <w:i/>
          <w:szCs w:val="24"/>
          <w:u w:val="single"/>
        </w:rPr>
        <w:t xml:space="preserve"> from taking the gardens and paying the money, the defendant from performing their promise to give use of the Hall and Gardens and other thing</w:t>
      </w:r>
      <w:r w:rsidR="00ED76FE" w:rsidRPr="008D13A9">
        <w:rPr>
          <w:rFonts w:ascii="Arial" w:eastAsia="Calibri" w:hAnsi="Arial" w:cs="Arial"/>
          <w:i/>
          <w:szCs w:val="24"/>
          <w:u w:val="single"/>
        </w:rPr>
        <w:t>s…”</w:t>
      </w:r>
      <w:r w:rsidR="00ED76FE" w:rsidRPr="008D13A9">
        <w:rPr>
          <w:rStyle w:val="FootnoteReference"/>
          <w:rFonts w:ascii="Arial" w:eastAsia="Calibri" w:hAnsi="Arial" w:cs="Arial"/>
          <w:i/>
          <w:szCs w:val="24"/>
          <w:u w:val="single"/>
        </w:rPr>
        <w:footnoteReference w:id="10"/>
      </w:r>
      <w:r w:rsidR="00ED76FE" w:rsidRPr="008D13A9">
        <w:rPr>
          <w:rFonts w:ascii="Arial" w:eastAsia="Calibri" w:hAnsi="Arial" w:cs="Arial"/>
          <w:i/>
          <w:szCs w:val="24"/>
        </w:rPr>
        <w:t xml:space="preserve"> [Own emphasis].</w:t>
      </w:r>
    </w:p>
    <w:p w14:paraId="096581F0" w14:textId="77777777" w:rsidR="00050F0F" w:rsidRPr="006A7B9C" w:rsidRDefault="00050F0F" w:rsidP="008D13A9">
      <w:pPr>
        <w:pStyle w:val="ListParagraph"/>
        <w:numPr>
          <w:ilvl w:val="0"/>
          <w:numId w:val="0"/>
        </w:numPr>
        <w:spacing w:before="0" w:after="0"/>
        <w:ind w:left="567"/>
        <w:rPr>
          <w:rFonts w:eastAsia="Calibri"/>
        </w:rPr>
      </w:pPr>
    </w:p>
    <w:p w14:paraId="16367C80" w14:textId="77777777" w:rsidR="00494ECC" w:rsidRPr="006A7B9C" w:rsidRDefault="00ED76FE" w:rsidP="008D13A9">
      <w:pPr>
        <w:numPr>
          <w:ilvl w:val="0"/>
          <w:numId w:val="32"/>
        </w:numPr>
        <w:tabs>
          <w:tab w:val="num" w:pos="360"/>
        </w:tabs>
        <w:spacing w:after="0" w:line="360" w:lineRule="auto"/>
        <w:ind w:left="720" w:hanging="720"/>
        <w:jc w:val="both"/>
        <w:rPr>
          <w:rFonts w:ascii="Arial" w:eastAsia="Calibri" w:hAnsi="Arial" w:cs="Arial"/>
          <w:sz w:val="24"/>
          <w:szCs w:val="24"/>
        </w:rPr>
      </w:pPr>
      <w:r w:rsidRPr="006A7B9C">
        <w:rPr>
          <w:rFonts w:ascii="Arial" w:eastAsia="Calibri" w:hAnsi="Arial" w:cs="Arial"/>
          <w:sz w:val="24"/>
          <w:szCs w:val="24"/>
        </w:rPr>
        <w:t xml:space="preserve">What emerges from </w:t>
      </w:r>
      <w:r w:rsidRPr="006A7B9C">
        <w:rPr>
          <w:rFonts w:ascii="Arial" w:eastAsia="Calibri" w:hAnsi="Arial" w:cs="Arial"/>
          <w:i/>
          <w:sz w:val="24"/>
          <w:szCs w:val="24"/>
        </w:rPr>
        <w:t>Taylor</w:t>
      </w:r>
      <w:r w:rsidRPr="006A7B9C">
        <w:rPr>
          <w:rFonts w:ascii="Arial" w:eastAsia="Calibri" w:hAnsi="Arial" w:cs="Arial"/>
          <w:sz w:val="24"/>
          <w:szCs w:val="24"/>
        </w:rPr>
        <w:t xml:space="preserve"> is that if the thing to be rented and or enjoyed in return of payment is damaged the legal implications thereof are that both parties and not one party are excused from the performance</w:t>
      </w:r>
      <w:r w:rsidR="009618F6" w:rsidRPr="006A7B9C">
        <w:rPr>
          <w:rFonts w:ascii="Arial" w:eastAsia="Calibri" w:hAnsi="Arial" w:cs="Arial"/>
          <w:sz w:val="24"/>
          <w:szCs w:val="24"/>
        </w:rPr>
        <w:t xml:space="preserve"> of the</w:t>
      </w:r>
      <w:r w:rsidRPr="006A7B9C">
        <w:rPr>
          <w:rFonts w:ascii="Arial" w:eastAsia="Calibri" w:hAnsi="Arial" w:cs="Arial"/>
          <w:sz w:val="24"/>
          <w:szCs w:val="24"/>
        </w:rPr>
        <w:t xml:space="preserve"> obligations contractually attracted.</w:t>
      </w:r>
      <w:r w:rsidR="00ED2B6E" w:rsidRPr="006A7B9C">
        <w:rPr>
          <w:rFonts w:ascii="Arial" w:eastAsia="Calibri" w:hAnsi="Arial" w:cs="Arial"/>
          <w:sz w:val="24"/>
          <w:szCs w:val="24"/>
        </w:rPr>
        <w:t xml:space="preserve"> The same principle was followed in </w:t>
      </w:r>
      <w:r w:rsidR="00ED2B6E" w:rsidRPr="006A7B9C">
        <w:rPr>
          <w:rFonts w:ascii="Arial" w:eastAsia="Calibri" w:hAnsi="Arial" w:cs="Arial"/>
          <w:i/>
          <w:sz w:val="24"/>
          <w:szCs w:val="24"/>
        </w:rPr>
        <w:t>Krell v Henry (Krell)</w:t>
      </w:r>
      <w:r w:rsidR="00ED2B6E" w:rsidRPr="006A7B9C">
        <w:rPr>
          <w:rStyle w:val="FootnoteReference"/>
          <w:rFonts w:ascii="Arial" w:eastAsia="Calibri" w:hAnsi="Arial" w:cs="Arial"/>
          <w:i/>
          <w:sz w:val="24"/>
          <w:szCs w:val="24"/>
        </w:rPr>
        <w:footnoteReference w:id="11"/>
      </w:r>
      <w:r w:rsidR="00ED2B6E" w:rsidRPr="006A7B9C">
        <w:rPr>
          <w:rFonts w:ascii="Arial" w:eastAsia="Calibri" w:hAnsi="Arial" w:cs="Arial"/>
          <w:sz w:val="24"/>
          <w:szCs w:val="24"/>
        </w:rPr>
        <w:t xml:space="preserve"> where the coronation did not take place after the plaintiff agreed to hire out the Pall Mall flat for that purpose. Interestingly, in </w:t>
      </w:r>
      <w:r w:rsidR="00ED2B6E" w:rsidRPr="006A7B9C">
        <w:rPr>
          <w:rFonts w:ascii="Arial" w:eastAsia="Calibri" w:hAnsi="Arial" w:cs="Arial"/>
          <w:i/>
          <w:sz w:val="24"/>
          <w:szCs w:val="24"/>
        </w:rPr>
        <w:t>Krell</w:t>
      </w:r>
      <w:r w:rsidR="00ED2B6E" w:rsidRPr="006A7B9C">
        <w:rPr>
          <w:rFonts w:ascii="Arial" w:eastAsia="Calibri" w:hAnsi="Arial" w:cs="Arial"/>
          <w:sz w:val="24"/>
          <w:szCs w:val="24"/>
        </w:rPr>
        <w:t xml:space="preserve"> the Court recognised the fact that both parties did recognise that they regarded the taking place of the coronation procession on the days originally fixed as the foundation of the contract. As it shall later be discussed, in </w:t>
      </w:r>
      <w:r w:rsidR="00ED2B6E" w:rsidRPr="006A7B9C">
        <w:rPr>
          <w:rFonts w:ascii="Arial" w:eastAsia="Calibri" w:hAnsi="Arial" w:cs="Arial"/>
          <w:i/>
          <w:sz w:val="24"/>
          <w:szCs w:val="24"/>
        </w:rPr>
        <w:t>casu</w:t>
      </w:r>
      <w:r w:rsidR="00ED2B6E" w:rsidRPr="006A7B9C">
        <w:rPr>
          <w:rFonts w:ascii="Arial" w:eastAsia="Calibri" w:hAnsi="Arial" w:cs="Arial"/>
          <w:sz w:val="24"/>
          <w:szCs w:val="24"/>
        </w:rPr>
        <w:t xml:space="preserve">, although the lease agreement specifies that the immovable property will be used to conduct a </w:t>
      </w:r>
      <w:r w:rsidR="00494ECC" w:rsidRPr="006A7B9C">
        <w:rPr>
          <w:rFonts w:ascii="Arial" w:eastAsia="Calibri" w:hAnsi="Arial" w:cs="Arial"/>
          <w:sz w:val="24"/>
          <w:szCs w:val="24"/>
        </w:rPr>
        <w:t xml:space="preserve">motor vehicles sales business, the lease agreement was not founded on the successful sales of the motor vehicles, but it was founded on the physical housing of the vehicles. In due course, we shall return to this topic, with a view to demonstrate that there is a disconnection between </w:t>
      </w:r>
      <w:r w:rsidR="00494ECC" w:rsidRPr="006A7B9C">
        <w:rPr>
          <w:rFonts w:ascii="Arial" w:eastAsia="Calibri" w:hAnsi="Arial" w:cs="Arial"/>
          <w:i/>
          <w:sz w:val="24"/>
          <w:szCs w:val="24"/>
        </w:rPr>
        <w:t>vacuo possessio</w:t>
      </w:r>
      <w:r w:rsidR="00494ECC" w:rsidRPr="006A7B9C">
        <w:rPr>
          <w:rFonts w:ascii="Arial" w:eastAsia="Calibri" w:hAnsi="Arial" w:cs="Arial"/>
          <w:sz w:val="24"/>
          <w:szCs w:val="24"/>
        </w:rPr>
        <w:t xml:space="preserve"> and profitable sales in a lease agreement.</w:t>
      </w:r>
    </w:p>
    <w:p w14:paraId="435309B3" w14:textId="77777777" w:rsidR="00494ECC" w:rsidRPr="006A7B9C" w:rsidRDefault="00494ECC" w:rsidP="008D13A9">
      <w:pPr>
        <w:spacing w:after="0" w:line="360" w:lineRule="auto"/>
        <w:ind w:left="720"/>
        <w:jc w:val="both"/>
        <w:rPr>
          <w:rFonts w:ascii="Arial" w:eastAsia="Calibri" w:hAnsi="Arial" w:cs="Arial"/>
          <w:sz w:val="24"/>
          <w:szCs w:val="24"/>
        </w:rPr>
      </w:pPr>
    </w:p>
    <w:p w14:paraId="63A7F1A4" w14:textId="77777777" w:rsidR="00B12AD0" w:rsidRPr="006A7B9C" w:rsidRDefault="00494ECC" w:rsidP="008D13A9">
      <w:pPr>
        <w:numPr>
          <w:ilvl w:val="0"/>
          <w:numId w:val="32"/>
        </w:numPr>
        <w:tabs>
          <w:tab w:val="num" w:pos="360"/>
        </w:tabs>
        <w:spacing w:after="0" w:line="360" w:lineRule="auto"/>
        <w:ind w:left="720" w:hanging="720"/>
        <w:jc w:val="both"/>
        <w:rPr>
          <w:rFonts w:ascii="Arial" w:eastAsia="Calibri" w:hAnsi="Arial" w:cs="Arial"/>
          <w:sz w:val="24"/>
          <w:szCs w:val="24"/>
        </w:rPr>
      </w:pPr>
      <w:r w:rsidRPr="006A7B9C">
        <w:rPr>
          <w:rFonts w:ascii="Arial" w:eastAsia="Calibri" w:hAnsi="Arial" w:cs="Arial"/>
          <w:sz w:val="24"/>
          <w:szCs w:val="24"/>
        </w:rPr>
        <w:t xml:space="preserve">The case of </w:t>
      </w:r>
      <w:r w:rsidRPr="006A7B9C">
        <w:rPr>
          <w:rFonts w:ascii="Arial" w:eastAsia="Calibri" w:hAnsi="Arial" w:cs="Arial"/>
          <w:i/>
          <w:sz w:val="24"/>
          <w:szCs w:val="24"/>
        </w:rPr>
        <w:t>Herne Steam Boat v Hutton (Hutton)</w:t>
      </w:r>
      <w:r w:rsidRPr="006A7B9C">
        <w:rPr>
          <w:rStyle w:val="FootnoteReference"/>
          <w:rFonts w:ascii="Arial" w:eastAsia="Calibri" w:hAnsi="Arial" w:cs="Arial"/>
          <w:sz w:val="24"/>
          <w:szCs w:val="24"/>
        </w:rPr>
        <w:footnoteReference w:id="12"/>
      </w:r>
      <w:r w:rsidRPr="006A7B9C">
        <w:rPr>
          <w:rFonts w:ascii="Arial" w:eastAsia="Calibri" w:hAnsi="Arial" w:cs="Arial"/>
          <w:sz w:val="24"/>
          <w:szCs w:val="24"/>
        </w:rPr>
        <w:t>, perspicuously illuminates the</w:t>
      </w:r>
      <w:r w:rsidR="009618F6" w:rsidRPr="006A7B9C">
        <w:rPr>
          <w:rFonts w:ascii="Arial" w:eastAsia="Calibri" w:hAnsi="Arial" w:cs="Arial"/>
          <w:sz w:val="24"/>
          <w:szCs w:val="24"/>
        </w:rPr>
        <w:t xml:space="preserve"> disconnection</w:t>
      </w:r>
      <w:r w:rsidRPr="006A7B9C">
        <w:rPr>
          <w:rFonts w:ascii="Arial" w:eastAsia="Calibri" w:hAnsi="Arial" w:cs="Arial"/>
          <w:sz w:val="24"/>
          <w:szCs w:val="24"/>
        </w:rPr>
        <w:t xml:space="preserve"> principle. In this case, the Royal naval review was planned to take place in Spithead on 28 June 1902. The parties agreed</w:t>
      </w:r>
      <w:r w:rsidR="000813B3" w:rsidRPr="006A7B9C">
        <w:rPr>
          <w:rFonts w:ascii="Arial" w:eastAsia="Calibri" w:hAnsi="Arial" w:cs="Arial"/>
          <w:sz w:val="24"/>
          <w:szCs w:val="24"/>
        </w:rPr>
        <w:t xml:space="preserve"> that</w:t>
      </w:r>
      <w:r w:rsidRPr="006A7B9C">
        <w:rPr>
          <w:rFonts w:ascii="Arial" w:eastAsia="Calibri" w:hAnsi="Arial" w:cs="Arial"/>
          <w:sz w:val="24"/>
          <w:szCs w:val="24"/>
        </w:rPr>
        <w:t xml:space="preserve"> the steamship named </w:t>
      </w:r>
      <w:r w:rsidRPr="006A7B9C">
        <w:rPr>
          <w:rFonts w:ascii="Arial" w:eastAsia="Calibri" w:hAnsi="Arial" w:cs="Arial"/>
          <w:i/>
          <w:sz w:val="24"/>
          <w:szCs w:val="24"/>
        </w:rPr>
        <w:t>Cynthia</w:t>
      </w:r>
      <w:r w:rsidRPr="006A7B9C">
        <w:rPr>
          <w:rFonts w:ascii="Arial" w:eastAsia="Calibri" w:hAnsi="Arial" w:cs="Arial"/>
          <w:sz w:val="24"/>
          <w:szCs w:val="24"/>
        </w:rPr>
        <w:t xml:space="preserve"> would be at the other party</w:t>
      </w:r>
      <w:r w:rsidR="00B12AD0" w:rsidRPr="006A7B9C">
        <w:rPr>
          <w:rFonts w:ascii="Arial" w:eastAsia="Calibri" w:hAnsi="Arial" w:cs="Arial"/>
          <w:sz w:val="24"/>
          <w:szCs w:val="24"/>
        </w:rPr>
        <w:t>’s disposal on 28 and 29 June to take passengers from Herne</w:t>
      </w:r>
      <w:r w:rsidR="00C73468">
        <w:rPr>
          <w:rFonts w:ascii="Arial" w:eastAsia="Calibri" w:hAnsi="Arial" w:cs="Arial"/>
          <w:sz w:val="24"/>
          <w:szCs w:val="24"/>
        </w:rPr>
        <w:t xml:space="preserve"> </w:t>
      </w:r>
      <w:r w:rsidR="00B12AD0" w:rsidRPr="006A7B9C">
        <w:rPr>
          <w:rFonts w:ascii="Arial" w:eastAsia="Calibri" w:hAnsi="Arial" w:cs="Arial"/>
          <w:sz w:val="24"/>
          <w:szCs w:val="24"/>
        </w:rPr>
        <w:t xml:space="preserve">Bay for the purpose of viewing the naval review and for day’s cruise around the fleet. On 25 June, the naval review was cancelled. The other party refused to pay the balance of the rental of </w:t>
      </w:r>
      <w:r w:rsidR="00B12AD0" w:rsidRPr="006A7B9C">
        <w:rPr>
          <w:rFonts w:ascii="Arial" w:eastAsia="Calibri" w:hAnsi="Arial" w:cs="Arial"/>
          <w:i/>
          <w:sz w:val="24"/>
          <w:szCs w:val="24"/>
        </w:rPr>
        <w:t>Cynthia.</w:t>
      </w:r>
      <w:r w:rsidR="00B12AD0" w:rsidRPr="006A7B9C">
        <w:rPr>
          <w:rFonts w:ascii="Arial" w:eastAsia="Calibri" w:hAnsi="Arial" w:cs="Arial"/>
          <w:sz w:val="24"/>
          <w:szCs w:val="24"/>
        </w:rPr>
        <w:t xml:space="preserve"> Stirling LJ refused to apply the </w:t>
      </w:r>
      <w:r w:rsidR="00B12AD0" w:rsidRPr="006A7B9C">
        <w:rPr>
          <w:rFonts w:ascii="Arial" w:eastAsia="Calibri" w:hAnsi="Arial" w:cs="Arial"/>
          <w:i/>
          <w:sz w:val="24"/>
          <w:szCs w:val="24"/>
        </w:rPr>
        <w:t>Taylor</w:t>
      </w:r>
      <w:r w:rsidR="00B12AD0" w:rsidRPr="006A7B9C">
        <w:rPr>
          <w:rFonts w:ascii="Arial" w:eastAsia="Calibri" w:hAnsi="Arial" w:cs="Arial"/>
          <w:sz w:val="24"/>
          <w:szCs w:val="24"/>
        </w:rPr>
        <w:t xml:space="preserve"> principle and reasoned thus:</w:t>
      </w:r>
    </w:p>
    <w:p w14:paraId="3CEE03B5" w14:textId="77777777" w:rsidR="00B12AD0" w:rsidRPr="006A7B9C" w:rsidRDefault="00B12AD0" w:rsidP="008D13A9">
      <w:pPr>
        <w:spacing w:after="0" w:line="360" w:lineRule="auto"/>
        <w:ind w:left="720"/>
        <w:jc w:val="both"/>
        <w:rPr>
          <w:rFonts w:ascii="Arial" w:eastAsia="Calibri" w:hAnsi="Arial" w:cs="Arial"/>
          <w:sz w:val="24"/>
          <w:szCs w:val="24"/>
        </w:rPr>
      </w:pPr>
    </w:p>
    <w:p w14:paraId="12111C82" w14:textId="77777777" w:rsidR="00B12AD0" w:rsidRPr="008D13A9" w:rsidRDefault="00B12AD0" w:rsidP="008D13A9">
      <w:pPr>
        <w:pStyle w:val="ListParagraph"/>
        <w:numPr>
          <w:ilvl w:val="0"/>
          <w:numId w:val="0"/>
        </w:numPr>
        <w:spacing w:before="0" w:after="0"/>
        <w:ind w:left="851"/>
        <w:rPr>
          <w:rFonts w:eastAsia="Calibri"/>
          <w:i/>
          <w:sz w:val="22"/>
          <w:u w:val="single"/>
        </w:rPr>
      </w:pPr>
      <w:r w:rsidRPr="006A7B9C">
        <w:rPr>
          <w:rFonts w:eastAsia="Calibri"/>
        </w:rPr>
        <w:t>“</w:t>
      </w:r>
      <w:r w:rsidRPr="008D13A9">
        <w:rPr>
          <w:rFonts w:eastAsia="Calibri"/>
          <w:i/>
          <w:sz w:val="22"/>
        </w:rPr>
        <w:t>I am unable to arrive at that conclusion. It seems to me that the reference in the contract to the naval review is easily explained; it was inserted in order to define more e</w:t>
      </w:r>
      <w:r w:rsidR="00640F81" w:rsidRPr="008D13A9">
        <w:rPr>
          <w:rFonts w:eastAsia="Calibri"/>
          <w:i/>
          <w:sz w:val="22"/>
        </w:rPr>
        <w:t xml:space="preserve">xactly the nature of the voyage, and I am unable to treat it as being such a reference as to constitute the naval review </w:t>
      </w:r>
      <w:r w:rsidR="00640F81" w:rsidRPr="008D13A9">
        <w:rPr>
          <w:rFonts w:eastAsia="Calibri"/>
          <w:i/>
          <w:sz w:val="22"/>
          <w:u w:val="single"/>
        </w:rPr>
        <w:t xml:space="preserve">the foundation of the contract so as to entitle either party to the benefit of the doctrine in </w:t>
      </w:r>
      <w:r w:rsidR="00640F81" w:rsidRPr="00F97906">
        <w:rPr>
          <w:rFonts w:eastAsia="Calibri"/>
          <w:i/>
          <w:sz w:val="22"/>
          <w:u w:val="single"/>
        </w:rPr>
        <w:t>Taylor v Caldwell…</w:t>
      </w:r>
      <w:r w:rsidR="00640F81" w:rsidRPr="008D13A9">
        <w:rPr>
          <w:rFonts w:eastAsia="Calibri"/>
          <w:i/>
          <w:sz w:val="22"/>
          <w:u w:val="single"/>
        </w:rPr>
        <w:t xml:space="preserve">  “</w:t>
      </w:r>
    </w:p>
    <w:p w14:paraId="357F7454" w14:textId="77777777" w:rsidR="00640F81" w:rsidRPr="006A7B9C" w:rsidRDefault="00640F81" w:rsidP="008D13A9">
      <w:pPr>
        <w:pStyle w:val="ListParagraph"/>
        <w:numPr>
          <w:ilvl w:val="0"/>
          <w:numId w:val="0"/>
        </w:numPr>
        <w:spacing w:before="0" w:after="0"/>
        <w:ind w:left="2160"/>
        <w:rPr>
          <w:rFonts w:eastAsia="Calibri"/>
          <w:i/>
        </w:rPr>
      </w:pPr>
    </w:p>
    <w:p w14:paraId="759E90D4" w14:textId="77777777" w:rsidR="00261335" w:rsidRPr="006A7B9C" w:rsidRDefault="00261335" w:rsidP="008D13A9">
      <w:pPr>
        <w:numPr>
          <w:ilvl w:val="0"/>
          <w:numId w:val="32"/>
        </w:numPr>
        <w:tabs>
          <w:tab w:val="num" w:pos="360"/>
        </w:tabs>
        <w:spacing w:after="0" w:line="360" w:lineRule="auto"/>
        <w:ind w:left="720" w:hanging="720"/>
        <w:jc w:val="both"/>
        <w:rPr>
          <w:rFonts w:ascii="Arial" w:eastAsia="Calibri" w:hAnsi="Arial" w:cs="Arial"/>
          <w:sz w:val="24"/>
          <w:szCs w:val="24"/>
        </w:rPr>
      </w:pPr>
      <w:r w:rsidRPr="006A7B9C">
        <w:rPr>
          <w:rFonts w:ascii="Arial" w:eastAsia="Calibri" w:hAnsi="Arial" w:cs="Arial"/>
          <w:sz w:val="24"/>
          <w:szCs w:val="24"/>
        </w:rPr>
        <w:t>Of significance, in</w:t>
      </w:r>
      <w:r w:rsidRPr="006A7B9C">
        <w:rPr>
          <w:rFonts w:ascii="Arial" w:eastAsia="Calibri" w:hAnsi="Arial" w:cs="Arial"/>
          <w:i/>
          <w:sz w:val="24"/>
          <w:szCs w:val="24"/>
        </w:rPr>
        <w:t xml:space="preserve"> Hutton</w:t>
      </w:r>
      <w:r w:rsidRPr="006A7B9C">
        <w:rPr>
          <w:rFonts w:ascii="Arial" w:eastAsia="Calibri" w:hAnsi="Arial" w:cs="Arial"/>
          <w:sz w:val="24"/>
          <w:szCs w:val="24"/>
        </w:rPr>
        <w:t xml:space="preserve"> three separate</w:t>
      </w:r>
      <w:r w:rsidR="000813B3" w:rsidRPr="006A7B9C">
        <w:rPr>
          <w:rFonts w:ascii="Arial" w:eastAsia="Calibri" w:hAnsi="Arial" w:cs="Arial"/>
          <w:sz w:val="24"/>
          <w:szCs w:val="24"/>
        </w:rPr>
        <w:t>, but concurring judgments were written</w:t>
      </w:r>
      <w:r w:rsidRPr="006A7B9C">
        <w:rPr>
          <w:rFonts w:ascii="Arial" w:eastAsia="Calibri" w:hAnsi="Arial" w:cs="Arial"/>
          <w:sz w:val="24"/>
          <w:szCs w:val="24"/>
        </w:rPr>
        <w:t>. Interestingly, Romer LJ felicitously stated the following:</w:t>
      </w:r>
    </w:p>
    <w:p w14:paraId="5F271ECF" w14:textId="77777777" w:rsidR="00261335" w:rsidRPr="006A7B9C" w:rsidRDefault="00261335" w:rsidP="008D13A9">
      <w:pPr>
        <w:spacing w:after="0" w:line="360" w:lineRule="auto"/>
        <w:ind w:left="720"/>
        <w:jc w:val="both"/>
        <w:rPr>
          <w:rFonts w:ascii="Arial" w:eastAsia="Calibri" w:hAnsi="Arial" w:cs="Arial"/>
          <w:sz w:val="24"/>
          <w:szCs w:val="24"/>
        </w:rPr>
      </w:pPr>
    </w:p>
    <w:p w14:paraId="7AD5C689" w14:textId="77777777" w:rsidR="00261335" w:rsidRPr="008D13A9" w:rsidRDefault="00261335" w:rsidP="008D13A9">
      <w:pPr>
        <w:spacing w:after="0" w:line="360" w:lineRule="auto"/>
        <w:ind w:left="851"/>
        <w:jc w:val="both"/>
        <w:rPr>
          <w:rFonts w:ascii="Arial" w:eastAsia="Calibri" w:hAnsi="Arial" w:cs="Arial"/>
          <w:i/>
          <w:szCs w:val="24"/>
        </w:rPr>
      </w:pPr>
      <w:r w:rsidRPr="008D13A9">
        <w:rPr>
          <w:rFonts w:ascii="Arial" w:eastAsia="Calibri" w:hAnsi="Arial" w:cs="Arial"/>
          <w:i/>
          <w:szCs w:val="24"/>
        </w:rPr>
        <w:t xml:space="preserve">“The case cannot, in my opinion, be distinguished in principle from many common cases in which, on the hiring of a ship, </w:t>
      </w:r>
      <w:r w:rsidRPr="008D13A9">
        <w:rPr>
          <w:rFonts w:ascii="Arial" w:eastAsia="Calibri" w:hAnsi="Arial" w:cs="Arial"/>
          <w:i/>
          <w:szCs w:val="24"/>
          <w:u w:val="single"/>
        </w:rPr>
        <w:t>you find the objects of hiring stated</w:t>
      </w:r>
      <w:r w:rsidRPr="008D13A9">
        <w:rPr>
          <w:rFonts w:ascii="Arial" w:eastAsia="Calibri" w:hAnsi="Arial" w:cs="Arial"/>
          <w:i/>
          <w:szCs w:val="24"/>
        </w:rPr>
        <w:t xml:space="preserve">. Very often you find the details of the voyage stated with particularity, and also the nature and details of the cargo to be carried… </w:t>
      </w:r>
      <w:r w:rsidRPr="008D13A9">
        <w:rPr>
          <w:rFonts w:ascii="Arial" w:eastAsia="Calibri" w:hAnsi="Arial" w:cs="Arial"/>
          <w:i/>
          <w:szCs w:val="24"/>
          <w:u w:val="single"/>
        </w:rPr>
        <w:t>But this statement of the objects of the hirer of the ship would not, in my opinion, justify him in saying that the owner of the ship had those objects just as much in view as the hirer of the ship</w:t>
      </w:r>
      <w:r w:rsidRPr="008D13A9">
        <w:rPr>
          <w:rFonts w:ascii="Arial" w:eastAsia="Calibri" w:hAnsi="Arial" w:cs="Arial"/>
          <w:i/>
          <w:szCs w:val="24"/>
        </w:rPr>
        <w:t xml:space="preserve">. </w:t>
      </w:r>
      <w:r w:rsidR="00E809F3" w:rsidRPr="008D13A9">
        <w:rPr>
          <w:rFonts w:ascii="Arial" w:eastAsia="Calibri" w:hAnsi="Arial" w:cs="Arial"/>
          <w:i/>
          <w:szCs w:val="24"/>
          <w:u w:val="single"/>
        </w:rPr>
        <w:t>The owner would say “I have an interest in the ship as a passenger and cargo carrying machine, and I enter into the contract simply in that capacity; it is for the hirer to concern himself about the objects.”</w:t>
      </w:r>
      <w:r w:rsidR="00E809F3" w:rsidRPr="008D13A9">
        <w:rPr>
          <w:rFonts w:ascii="Arial" w:eastAsia="Calibri" w:hAnsi="Arial" w:cs="Arial"/>
          <w:i/>
          <w:szCs w:val="24"/>
        </w:rPr>
        <w:t xml:space="preserve"> [Own emphasis]</w:t>
      </w:r>
    </w:p>
    <w:p w14:paraId="762E5FB7" w14:textId="77777777" w:rsidR="00E809F3" w:rsidRPr="008D13A9" w:rsidRDefault="00E809F3" w:rsidP="008D13A9">
      <w:pPr>
        <w:spacing w:after="0" w:line="360" w:lineRule="auto"/>
        <w:ind w:left="851"/>
        <w:jc w:val="both"/>
        <w:rPr>
          <w:rFonts w:ascii="Arial" w:eastAsia="Calibri" w:hAnsi="Arial" w:cs="Arial"/>
          <w:i/>
          <w:szCs w:val="24"/>
        </w:rPr>
      </w:pPr>
    </w:p>
    <w:p w14:paraId="6C1AE9B0" w14:textId="77777777" w:rsidR="00E809F3" w:rsidRPr="006A7B9C" w:rsidRDefault="00E809F3" w:rsidP="008D13A9">
      <w:pPr>
        <w:numPr>
          <w:ilvl w:val="0"/>
          <w:numId w:val="32"/>
        </w:numPr>
        <w:tabs>
          <w:tab w:val="num" w:pos="360"/>
        </w:tabs>
        <w:spacing w:after="0" w:line="360" w:lineRule="auto"/>
        <w:ind w:left="720" w:hanging="720"/>
        <w:jc w:val="both"/>
        <w:rPr>
          <w:rFonts w:ascii="Arial" w:eastAsia="Calibri" w:hAnsi="Arial" w:cs="Arial"/>
          <w:sz w:val="24"/>
          <w:szCs w:val="24"/>
        </w:rPr>
      </w:pPr>
      <w:r w:rsidRPr="006A7B9C">
        <w:rPr>
          <w:rFonts w:ascii="Arial" w:eastAsia="Calibri" w:hAnsi="Arial" w:cs="Arial"/>
          <w:sz w:val="24"/>
          <w:szCs w:val="24"/>
        </w:rPr>
        <w:t>In much similar spew of sagacity; Vaughan Williams LJ concluded thus:</w:t>
      </w:r>
    </w:p>
    <w:p w14:paraId="5F83E8AA" w14:textId="77777777" w:rsidR="00E809F3" w:rsidRPr="006A7B9C" w:rsidRDefault="00E809F3" w:rsidP="008D13A9">
      <w:pPr>
        <w:spacing w:after="0" w:line="360" w:lineRule="auto"/>
        <w:ind w:left="720"/>
        <w:jc w:val="both"/>
        <w:rPr>
          <w:rFonts w:ascii="Arial" w:eastAsia="Calibri" w:hAnsi="Arial" w:cs="Arial"/>
          <w:sz w:val="24"/>
          <w:szCs w:val="24"/>
        </w:rPr>
      </w:pPr>
    </w:p>
    <w:p w14:paraId="6281B8F8" w14:textId="77777777" w:rsidR="00476E60" w:rsidRPr="008D13A9" w:rsidRDefault="00E809F3" w:rsidP="008D13A9">
      <w:pPr>
        <w:spacing w:after="0" w:line="360" w:lineRule="auto"/>
        <w:ind w:left="851"/>
        <w:jc w:val="both"/>
        <w:rPr>
          <w:rFonts w:ascii="Arial" w:eastAsia="Calibri" w:hAnsi="Arial" w:cs="Arial"/>
          <w:i/>
          <w:sz w:val="24"/>
          <w:szCs w:val="24"/>
        </w:rPr>
      </w:pPr>
      <w:r w:rsidRPr="006A7B9C">
        <w:rPr>
          <w:rFonts w:ascii="Arial" w:eastAsia="Calibri" w:hAnsi="Arial" w:cs="Arial"/>
          <w:sz w:val="24"/>
          <w:szCs w:val="24"/>
        </w:rPr>
        <w:t>“</w:t>
      </w:r>
      <w:r w:rsidR="00476E60" w:rsidRPr="008D13A9">
        <w:rPr>
          <w:rFonts w:ascii="Arial" w:eastAsia="Calibri" w:hAnsi="Arial" w:cs="Arial"/>
          <w:i/>
          <w:sz w:val="24"/>
          <w:szCs w:val="24"/>
        </w:rPr>
        <w:t xml:space="preserve">On the contrary, when the contract is properly regarded, I think the purpose of Mr. Hutton, whether of seeing the naval review or going round the fleet with a party of paying guests, </w:t>
      </w:r>
      <w:r w:rsidR="00476E60" w:rsidRPr="008D13A9">
        <w:rPr>
          <w:rFonts w:ascii="Arial" w:eastAsia="Calibri" w:hAnsi="Arial" w:cs="Arial"/>
          <w:i/>
          <w:sz w:val="24"/>
          <w:szCs w:val="24"/>
          <w:u w:val="single"/>
        </w:rPr>
        <w:t>does not lay the foundation of the contract within the authorities….</w:t>
      </w:r>
    </w:p>
    <w:p w14:paraId="25A1DB8F" w14:textId="77777777" w:rsidR="00E809F3" w:rsidRPr="008D13A9" w:rsidRDefault="00E809F3" w:rsidP="008D13A9">
      <w:pPr>
        <w:spacing w:after="0" w:line="360" w:lineRule="auto"/>
        <w:ind w:left="851"/>
        <w:jc w:val="both"/>
        <w:rPr>
          <w:rFonts w:ascii="Arial" w:eastAsia="Calibri" w:hAnsi="Arial" w:cs="Arial"/>
          <w:i/>
          <w:sz w:val="24"/>
          <w:szCs w:val="24"/>
        </w:rPr>
      </w:pPr>
      <w:r w:rsidRPr="008D13A9">
        <w:rPr>
          <w:rFonts w:ascii="Arial" w:eastAsia="Calibri" w:hAnsi="Arial" w:cs="Arial"/>
          <w:i/>
          <w:sz w:val="24"/>
          <w:szCs w:val="24"/>
        </w:rPr>
        <w:t xml:space="preserve">I will content myself with saying this, that I see nothing that makes this contract </w:t>
      </w:r>
      <w:r w:rsidR="00476E60" w:rsidRPr="008D13A9">
        <w:rPr>
          <w:rFonts w:ascii="Arial" w:eastAsia="Calibri" w:hAnsi="Arial" w:cs="Arial"/>
          <w:i/>
          <w:sz w:val="24"/>
          <w:szCs w:val="24"/>
        </w:rPr>
        <w:t xml:space="preserve">differ from a case where, for instance, a person has engaged a brake to take himself and a party to Epsom to see the races there, but for some reason or other, such as the spread of an infectious disease, the races are postponed. In such a </w:t>
      </w:r>
      <w:r w:rsidR="00476E60" w:rsidRPr="008D13A9">
        <w:rPr>
          <w:rFonts w:ascii="Arial" w:eastAsia="Calibri" w:hAnsi="Arial" w:cs="Arial"/>
          <w:i/>
          <w:sz w:val="24"/>
          <w:szCs w:val="24"/>
          <w:u w:val="single"/>
        </w:rPr>
        <w:t>case it could not be said that he could be relieved of his bargain</w:t>
      </w:r>
      <w:r w:rsidR="00FD3D05" w:rsidRPr="008D13A9">
        <w:rPr>
          <w:rFonts w:ascii="Arial" w:eastAsia="Calibri" w:hAnsi="Arial" w:cs="Arial"/>
          <w:i/>
          <w:sz w:val="24"/>
          <w:szCs w:val="24"/>
          <w:u w:val="single"/>
        </w:rPr>
        <w:t xml:space="preserve"> </w:t>
      </w:r>
      <w:r w:rsidR="00FD3D05" w:rsidRPr="008D13A9">
        <w:rPr>
          <w:rFonts w:ascii="Arial" w:eastAsia="Calibri" w:hAnsi="Arial" w:cs="Arial"/>
          <w:i/>
          <w:sz w:val="24"/>
          <w:szCs w:val="24"/>
        </w:rPr>
        <w:t>[Own emphasis]</w:t>
      </w:r>
    </w:p>
    <w:p w14:paraId="4D70D224" w14:textId="77777777" w:rsidR="00FD3D05" w:rsidRPr="006A7B9C" w:rsidRDefault="00FD3D05" w:rsidP="008D13A9">
      <w:pPr>
        <w:spacing w:after="0" w:line="360" w:lineRule="auto"/>
        <w:ind w:left="2160"/>
        <w:jc w:val="both"/>
        <w:rPr>
          <w:rFonts w:ascii="Arial" w:eastAsia="Calibri" w:hAnsi="Arial" w:cs="Arial"/>
          <w:sz w:val="24"/>
          <w:szCs w:val="24"/>
        </w:rPr>
      </w:pPr>
    </w:p>
    <w:p w14:paraId="7C3A9D12" w14:textId="06B76657" w:rsidR="00FD3D05" w:rsidRPr="006A7B9C" w:rsidRDefault="00261335" w:rsidP="008D13A9">
      <w:pPr>
        <w:numPr>
          <w:ilvl w:val="0"/>
          <w:numId w:val="32"/>
        </w:numPr>
        <w:tabs>
          <w:tab w:val="num" w:pos="360"/>
        </w:tabs>
        <w:spacing w:after="0" w:line="360" w:lineRule="auto"/>
        <w:ind w:left="720" w:hanging="720"/>
        <w:jc w:val="both"/>
        <w:rPr>
          <w:rFonts w:ascii="Arial" w:eastAsia="Calibri" w:hAnsi="Arial" w:cs="Arial"/>
          <w:sz w:val="24"/>
          <w:szCs w:val="24"/>
        </w:rPr>
      </w:pPr>
      <w:r w:rsidRPr="006A7B9C">
        <w:rPr>
          <w:rFonts w:ascii="Arial" w:eastAsia="Calibri" w:hAnsi="Arial" w:cs="Arial"/>
          <w:sz w:val="24"/>
          <w:szCs w:val="24"/>
        </w:rPr>
        <w:t xml:space="preserve"> </w:t>
      </w:r>
      <w:r w:rsidR="00FD3D05" w:rsidRPr="006A7B9C">
        <w:rPr>
          <w:rFonts w:ascii="Arial" w:eastAsia="Calibri" w:hAnsi="Arial" w:cs="Arial"/>
          <w:sz w:val="24"/>
          <w:szCs w:val="24"/>
        </w:rPr>
        <w:t xml:space="preserve">A survey of the above authorities depicts that what matters is the foundation of a contract as opposed to the one-sided object of contracting. If the one-sided object of contracting is dashed, the contract is not hit by supervening impossibility nor can it be said that the contract performance is frustrated so as to discharge parties of </w:t>
      </w:r>
      <w:r w:rsidR="00FD3D05" w:rsidRPr="006A7B9C">
        <w:rPr>
          <w:rFonts w:ascii="Arial" w:eastAsia="Calibri" w:hAnsi="Arial" w:cs="Arial"/>
          <w:sz w:val="24"/>
          <w:szCs w:val="24"/>
        </w:rPr>
        <w:lastRenderedPageBreak/>
        <w:t>their respective obligations.</w:t>
      </w:r>
      <w:r w:rsidR="00E23AF4" w:rsidRPr="006A7B9C">
        <w:rPr>
          <w:rFonts w:ascii="Arial" w:eastAsia="Calibri" w:hAnsi="Arial" w:cs="Arial"/>
          <w:sz w:val="24"/>
          <w:szCs w:val="24"/>
        </w:rPr>
        <w:t xml:space="preserve"> It is on the basis of the above exposition that this Court fin</w:t>
      </w:r>
      <w:r w:rsidR="00E22320" w:rsidRPr="006A7B9C">
        <w:rPr>
          <w:rFonts w:ascii="Arial" w:eastAsia="Calibri" w:hAnsi="Arial" w:cs="Arial"/>
          <w:sz w:val="24"/>
          <w:szCs w:val="24"/>
        </w:rPr>
        <w:t>ds no merit in the submission by</w:t>
      </w:r>
      <w:r w:rsidR="00E23AF4" w:rsidRPr="006A7B9C">
        <w:rPr>
          <w:rFonts w:ascii="Arial" w:eastAsia="Calibri" w:hAnsi="Arial" w:cs="Arial"/>
          <w:sz w:val="24"/>
          <w:szCs w:val="24"/>
        </w:rPr>
        <w:t xml:space="preserve"> Mr Britz that the purpose for which Luhan wished to hire the premises for is the foundation or the use and enjoyment, as it were, of the immovable property, </w:t>
      </w:r>
      <w:r w:rsidR="00E22320" w:rsidRPr="006A7B9C">
        <w:rPr>
          <w:rFonts w:ascii="Arial" w:eastAsia="Calibri" w:hAnsi="Arial" w:cs="Arial"/>
          <w:sz w:val="24"/>
          <w:szCs w:val="24"/>
        </w:rPr>
        <w:t xml:space="preserve">and </w:t>
      </w:r>
      <w:r w:rsidR="00E23AF4" w:rsidRPr="006A7B9C">
        <w:rPr>
          <w:rFonts w:ascii="Arial" w:eastAsia="Calibri" w:hAnsi="Arial" w:cs="Arial"/>
          <w:sz w:val="24"/>
          <w:szCs w:val="24"/>
        </w:rPr>
        <w:t>once dashed, the obligations dissipates. Use and enjoyment in the context of a lease agreement is the usability of a leased thing. By way of an example, a lessee may hire a particular vehicle from a vehicle leasing company in order to travel to destination A. In hiring</w:t>
      </w:r>
      <w:r w:rsidR="00E22320" w:rsidRPr="006A7B9C">
        <w:rPr>
          <w:rFonts w:ascii="Arial" w:eastAsia="Calibri" w:hAnsi="Arial" w:cs="Arial"/>
          <w:sz w:val="24"/>
          <w:szCs w:val="24"/>
        </w:rPr>
        <w:t xml:space="preserve"> a particular vehicle, it was</w:t>
      </w:r>
      <w:r w:rsidR="00E23AF4" w:rsidRPr="006A7B9C">
        <w:rPr>
          <w:rFonts w:ascii="Arial" w:eastAsia="Calibri" w:hAnsi="Arial" w:cs="Arial"/>
          <w:sz w:val="24"/>
          <w:szCs w:val="24"/>
        </w:rPr>
        <w:t xml:space="preserve"> the wish of the lessee</w:t>
      </w:r>
      <w:r w:rsidR="00E22320" w:rsidRPr="006A7B9C">
        <w:rPr>
          <w:rFonts w:ascii="Arial" w:eastAsia="Calibri" w:hAnsi="Arial" w:cs="Arial"/>
          <w:sz w:val="24"/>
          <w:szCs w:val="24"/>
        </w:rPr>
        <w:t>, expressed or unexpressed to the lessor,</w:t>
      </w:r>
      <w:r w:rsidR="00E23AF4" w:rsidRPr="006A7B9C">
        <w:rPr>
          <w:rFonts w:ascii="Arial" w:eastAsia="Calibri" w:hAnsi="Arial" w:cs="Arial"/>
          <w:sz w:val="24"/>
          <w:szCs w:val="24"/>
        </w:rPr>
        <w:t xml:space="preserve"> to arrive at the destination, at a specific time. During his travel, the traffic packs up and becomes heavy to a point that the lessee reaches destination A outside the specified time. The fact that the wishes of the lessee were dashed, does not </w:t>
      </w:r>
      <w:r w:rsidR="00C27522" w:rsidRPr="006A7B9C">
        <w:rPr>
          <w:rFonts w:ascii="Arial" w:eastAsia="Calibri" w:hAnsi="Arial" w:cs="Arial"/>
          <w:sz w:val="24"/>
          <w:szCs w:val="24"/>
        </w:rPr>
        <w:t>transmute into</w:t>
      </w:r>
      <w:r w:rsidR="00E22320" w:rsidRPr="006A7B9C">
        <w:rPr>
          <w:rFonts w:ascii="Arial" w:eastAsia="Calibri" w:hAnsi="Arial" w:cs="Arial"/>
          <w:sz w:val="24"/>
          <w:szCs w:val="24"/>
        </w:rPr>
        <w:t xml:space="preserve"> a</w:t>
      </w:r>
      <w:r w:rsidR="00C27522" w:rsidRPr="006A7B9C">
        <w:rPr>
          <w:rFonts w:ascii="Arial" w:eastAsia="Calibri" w:hAnsi="Arial" w:cs="Arial"/>
          <w:sz w:val="24"/>
          <w:szCs w:val="24"/>
        </w:rPr>
        <w:t xml:space="preserve"> loss of </w:t>
      </w:r>
      <w:r w:rsidR="00E22320" w:rsidRPr="006A7B9C">
        <w:rPr>
          <w:rFonts w:ascii="Arial" w:eastAsia="Calibri" w:hAnsi="Arial" w:cs="Arial"/>
          <w:sz w:val="24"/>
          <w:szCs w:val="24"/>
        </w:rPr>
        <w:t xml:space="preserve">the </w:t>
      </w:r>
      <w:r w:rsidR="00C27522" w:rsidRPr="006A7B9C">
        <w:rPr>
          <w:rFonts w:ascii="Arial" w:eastAsia="Calibri" w:hAnsi="Arial" w:cs="Arial"/>
          <w:sz w:val="24"/>
          <w:szCs w:val="24"/>
        </w:rPr>
        <w:t xml:space="preserve">use and enjoyment of the leased vehicle. However, the contrary may be true, if upon leaving the vehicle leasing </w:t>
      </w:r>
      <w:r w:rsidR="00E22320" w:rsidRPr="006A7B9C">
        <w:rPr>
          <w:rFonts w:ascii="Arial" w:eastAsia="Calibri" w:hAnsi="Arial" w:cs="Arial"/>
          <w:sz w:val="24"/>
          <w:szCs w:val="24"/>
        </w:rPr>
        <w:t xml:space="preserve">company </w:t>
      </w:r>
      <w:r w:rsidR="00C27522" w:rsidRPr="006A7B9C">
        <w:rPr>
          <w:rFonts w:ascii="Arial" w:eastAsia="Calibri" w:hAnsi="Arial" w:cs="Arial"/>
          <w:sz w:val="24"/>
          <w:szCs w:val="24"/>
        </w:rPr>
        <w:t xml:space="preserve">premises, the vehicle is completely consumed by fire. </w:t>
      </w:r>
    </w:p>
    <w:p w14:paraId="6FA8AE40" w14:textId="77777777" w:rsidR="00FD3D05" w:rsidRPr="006A7B9C" w:rsidRDefault="00FD3D05" w:rsidP="008D13A9">
      <w:pPr>
        <w:spacing w:after="0" w:line="360" w:lineRule="auto"/>
        <w:ind w:left="720"/>
        <w:jc w:val="both"/>
        <w:rPr>
          <w:rFonts w:ascii="Arial" w:eastAsia="Calibri" w:hAnsi="Arial" w:cs="Arial"/>
          <w:sz w:val="24"/>
          <w:szCs w:val="24"/>
        </w:rPr>
      </w:pPr>
    </w:p>
    <w:p w14:paraId="3531D10D" w14:textId="77777777" w:rsidR="00C1402F" w:rsidRPr="006A7B9C" w:rsidRDefault="00FD3D05" w:rsidP="008D13A9">
      <w:pPr>
        <w:numPr>
          <w:ilvl w:val="0"/>
          <w:numId w:val="32"/>
        </w:numPr>
        <w:tabs>
          <w:tab w:val="num" w:pos="360"/>
        </w:tabs>
        <w:spacing w:after="0" w:line="360" w:lineRule="auto"/>
        <w:ind w:left="720" w:hanging="720"/>
        <w:jc w:val="both"/>
        <w:rPr>
          <w:rFonts w:ascii="Arial" w:eastAsia="Calibri" w:hAnsi="Arial" w:cs="Arial"/>
          <w:sz w:val="24"/>
          <w:szCs w:val="24"/>
        </w:rPr>
      </w:pPr>
      <w:r w:rsidRPr="006A7B9C">
        <w:rPr>
          <w:rFonts w:ascii="Arial" w:eastAsia="Calibri" w:hAnsi="Arial" w:cs="Arial"/>
          <w:sz w:val="24"/>
          <w:szCs w:val="24"/>
        </w:rPr>
        <w:t xml:space="preserve">Commercial impossibility does not give rise to the principle of supervening impossibility. A party cannot be discharged from performing a contract because it is non-profitable for that party. In due course, in this judgment, this Court shall revert to this issue when </w:t>
      </w:r>
      <w:r w:rsidR="00974A6B" w:rsidRPr="006A7B9C">
        <w:rPr>
          <w:rFonts w:ascii="Arial" w:eastAsia="Calibri" w:hAnsi="Arial" w:cs="Arial"/>
          <w:sz w:val="24"/>
          <w:szCs w:val="24"/>
        </w:rPr>
        <w:t>discussing the impact of COVID-1</w:t>
      </w:r>
      <w:r w:rsidRPr="006A7B9C">
        <w:rPr>
          <w:rFonts w:ascii="Arial" w:eastAsia="Calibri" w:hAnsi="Arial" w:cs="Arial"/>
          <w:sz w:val="24"/>
          <w:szCs w:val="24"/>
        </w:rPr>
        <w:t xml:space="preserve">9 regulations. </w:t>
      </w:r>
    </w:p>
    <w:p w14:paraId="532DA6AE" w14:textId="77777777" w:rsidR="00C1402F" w:rsidRPr="006A7B9C" w:rsidRDefault="00C1402F" w:rsidP="008D13A9">
      <w:pPr>
        <w:pStyle w:val="ListParagraph"/>
        <w:numPr>
          <w:ilvl w:val="0"/>
          <w:numId w:val="0"/>
        </w:numPr>
        <w:spacing w:before="0" w:after="0"/>
        <w:ind w:left="567"/>
        <w:rPr>
          <w:rFonts w:eastAsia="Calibri"/>
        </w:rPr>
      </w:pPr>
    </w:p>
    <w:p w14:paraId="19603B94" w14:textId="5CE81EF5" w:rsidR="00CC0F46" w:rsidRPr="006A7B9C" w:rsidRDefault="00C1402F" w:rsidP="008D13A9">
      <w:pPr>
        <w:numPr>
          <w:ilvl w:val="0"/>
          <w:numId w:val="32"/>
        </w:numPr>
        <w:tabs>
          <w:tab w:val="num" w:pos="360"/>
        </w:tabs>
        <w:spacing w:after="0" w:line="360" w:lineRule="auto"/>
        <w:ind w:left="720" w:hanging="720"/>
        <w:jc w:val="both"/>
        <w:rPr>
          <w:rFonts w:ascii="Arial" w:eastAsia="Calibri" w:hAnsi="Arial" w:cs="Arial"/>
          <w:sz w:val="24"/>
          <w:szCs w:val="24"/>
        </w:rPr>
      </w:pPr>
      <w:r w:rsidRPr="006A7B9C">
        <w:rPr>
          <w:rFonts w:ascii="Arial" w:eastAsia="Calibri" w:hAnsi="Arial" w:cs="Arial"/>
          <w:sz w:val="24"/>
          <w:szCs w:val="24"/>
        </w:rPr>
        <w:t>On the facts of this case, there was no supervening impossibility, which woul</w:t>
      </w:r>
      <w:r w:rsidR="007330FF">
        <w:rPr>
          <w:rFonts w:ascii="Arial" w:eastAsia="Calibri" w:hAnsi="Arial" w:cs="Arial"/>
          <w:sz w:val="24"/>
          <w:szCs w:val="24"/>
        </w:rPr>
        <w:t>d have discharged Luhan</w:t>
      </w:r>
      <w:r w:rsidRPr="006A7B9C">
        <w:rPr>
          <w:rFonts w:ascii="Arial" w:eastAsia="Calibri" w:hAnsi="Arial" w:cs="Arial"/>
          <w:sz w:val="24"/>
          <w:szCs w:val="24"/>
        </w:rPr>
        <w:t xml:space="preserve"> from its contractual obligations to pay for the usage of the immovable property. The immovable property remained intact in order to be used to house the motor vehicles to be sold. As it shall later be demonstrated, during the hard lockdown, the regulation</w:t>
      </w:r>
      <w:r w:rsidR="00962012" w:rsidRPr="006A7B9C">
        <w:rPr>
          <w:rFonts w:ascii="Arial" w:eastAsia="Calibri" w:hAnsi="Arial" w:cs="Arial"/>
          <w:sz w:val="24"/>
          <w:szCs w:val="24"/>
        </w:rPr>
        <w:t>s did not prevent parties to lease out immovable properties</w:t>
      </w:r>
      <w:r w:rsidRPr="006A7B9C">
        <w:rPr>
          <w:rFonts w:ascii="Arial" w:eastAsia="Calibri" w:hAnsi="Arial" w:cs="Arial"/>
          <w:sz w:val="24"/>
          <w:szCs w:val="24"/>
        </w:rPr>
        <w:t xml:space="preserve">. The regulations did not render it illegal to house motor vehicles in an immovable property. There is nothing in the regulations that prevented conclusion of lease agreements. </w:t>
      </w:r>
      <w:r w:rsidR="00CC6D59" w:rsidRPr="006A7B9C">
        <w:rPr>
          <w:rFonts w:ascii="Arial" w:eastAsia="Calibri" w:hAnsi="Arial" w:cs="Arial"/>
          <w:sz w:val="24"/>
          <w:szCs w:val="24"/>
        </w:rPr>
        <w:t>In a lease agreement, performance take</w:t>
      </w:r>
      <w:r w:rsidR="00962012" w:rsidRPr="006A7B9C">
        <w:rPr>
          <w:rFonts w:ascii="Arial" w:eastAsia="Calibri" w:hAnsi="Arial" w:cs="Arial"/>
          <w:sz w:val="24"/>
          <w:szCs w:val="24"/>
        </w:rPr>
        <w:t>s</w:t>
      </w:r>
      <w:r w:rsidR="00CC6D59" w:rsidRPr="006A7B9C">
        <w:rPr>
          <w:rFonts w:ascii="Arial" w:eastAsia="Calibri" w:hAnsi="Arial" w:cs="Arial"/>
          <w:sz w:val="24"/>
          <w:szCs w:val="24"/>
        </w:rPr>
        <w:t xml:space="preserve"> place if the lessor give the lessee the usage and enjoyment of a thing.</w:t>
      </w:r>
      <w:r w:rsidR="00962012" w:rsidRPr="006A7B9C">
        <w:rPr>
          <w:rFonts w:ascii="Arial" w:eastAsia="Calibri" w:hAnsi="Arial" w:cs="Arial"/>
          <w:sz w:val="24"/>
          <w:szCs w:val="24"/>
        </w:rPr>
        <w:t xml:space="preserve"> I pause to mention that the use and enjoyment is of the thing leased and not the purpose for which it was leased.</w:t>
      </w:r>
      <w:r w:rsidR="00CC6D59" w:rsidRPr="006A7B9C">
        <w:rPr>
          <w:rFonts w:ascii="Arial" w:eastAsia="Calibri" w:hAnsi="Arial" w:cs="Arial"/>
          <w:sz w:val="24"/>
          <w:szCs w:val="24"/>
        </w:rPr>
        <w:t xml:space="preserve"> If</w:t>
      </w:r>
      <w:r w:rsidR="00962012" w:rsidRPr="006A7B9C">
        <w:rPr>
          <w:rFonts w:ascii="Arial" w:eastAsia="Calibri" w:hAnsi="Arial" w:cs="Arial"/>
          <w:sz w:val="24"/>
          <w:szCs w:val="24"/>
        </w:rPr>
        <w:t xml:space="preserve"> the lessor gives, as it was the case in this matter</w:t>
      </w:r>
      <w:r w:rsidR="008B21F0" w:rsidRPr="006A7B9C">
        <w:rPr>
          <w:rFonts w:ascii="Arial" w:eastAsia="Calibri" w:hAnsi="Arial" w:cs="Arial"/>
          <w:sz w:val="24"/>
          <w:szCs w:val="24"/>
        </w:rPr>
        <w:t>, the lessee usage and enjoyment of the thing leased</w:t>
      </w:r>
      <w:r w:rsidR="00CC6D59" w:rsidRPr="006A7B9C">
        <w:rPr>
          <w:rFonts w:ascii="Arial" w:eastAsia="Calibri" w:hAnsi="Arial" w:cs="Arial"/>
          <w:sz w:val="24"/>
          <w:szCs w:val="24"/>
        </w:rPr>
        <w:t xml:space="preserve">, </w:t>
      </w:r>
      <w:r w:rsidR="008B21F0" w:rsidRPr="006A7B9C">
        <w:rPr>
          <w:rFonts w:ascii="Arial" w:eastAsia="Calibri" w:hAnsi="Arial" w:cs="Arial"/>
          <w:sz w:val="24"/>
          <w:szCs w:val="24"/>
        </w:rPr>
        <w:t xml:space="preserve">then </w:t>
      </w:r>
      <w:r w:rsidR="00CC6D59" w:rsidRPr="006A7B9C">
        <w:rPr>
          <w:rFonts w:ascii="Arial" w:eastAsia="Calibri" w:hAnsi="Arial" w:cs="Arial"/>
          <w:sz w:val="24"/>
          <w:szCs w:val="24"/>
        </w:rPr>
        <w:t>rental payment becomes an awaited performance. The regulations did not render it illegal to give usage</w:t>
      </w:r>
      <w:r w:rsidR="008B21F0" w:rsidRPr="006A7B9C">
        <w:rPr>
          <w:rFonts w:ascii="Arial" w:eastAsia="Calibri" w:hAnsi="Arial" w:cs="Arial"/>
          <w:sz w:val="24"/>
          <w:szCs w:val="24"/>
        </w:rPr>
        <w:t xml:space="preserve"> and enjoyment</w:t>
      </w:r>
      <w:r w:rsidR="00CC6D59" w:rsidRPr="006A7B9C">
        <w:rPr>
          <w:rFonts w:ascii="Arial" w:eastAsia="Calibri" w:hAnsi="Arial" w:cs="Arial"/>
          <w:sz w:val="24"/>
          <w:szCs w:val="24"/>
        </w:rPr>
        <w:t xml:space="preserve"> of an immovable </w:t>
      </w:r>
      <w:r w:rsidR="00CC6D59" w:rsidRPr="006A7B9C">
        <w:rPr>
          <w:rFonts w:ascii="Arial" w:eastAsia="Calibri" w:hAnsi="Arial" w:cs="Arial"/>
          <w:sz w:val="24"/>
          <w:szCs w:val="24"/>
        </w:rPr>
        <w:lastRenderedPageBreak/>
        <w:t xml:space="preserve">property, neither did </w:t>
      </w:r>
      <w:r w:rsidR="008B21F0" w:rsidRPr="006A7B9C">
        <w:rPr>
          <w:rFonts w:ascii="Arial" w:eastAsia="Calibri" w:hAnsi="Arial" w:cs="Arial"/>
          <w:sz w:val="24"/>
          <w:szCs w:val="24"/>
        </w:rPr>
        <w:t xml:space="preserve">it render it illegal to pay </w:t>
      </w:r>
      <w:r w:rsidR="00CC6D59" w:rsidRPr="006A7B9C">
        <w:rPr>
          <w:rFonts w:ascii="Arial" w:eastAsia="Calibri" w:hAnsi="Arial" w:cs="Arial"/>
          <w:sz w:val="24"/>
          <w:szCs w:val="24"/>
        </w:rPr>
        <w:t>rental. Legal impossibility arises if performance of an obligation is prohibited by legislation</w:t>
      </w:r>
      <w:r w:rsidR="00CC6D59" w:rsidRPr="006A7B9C">
        <w:rPr>
          <w:rStyle w:val="FootnoteReference"/>
          <w:rFonts w:ascii="Arial" w:eastAsia="Calibri" w:hAnsi="Arial" w:cs="Arial"/>
          <w:sz w:val="24"/>
          <w:szCs w:val="24"/>
        </w:rPr>
        <w:footnoteReference w:id="13"/>
      </w:r>
      <w:r w:rsidR="00CC6D59" w:rsidRPr="006A7B9C">
        <w:rPr>
          <w:rFonts w:ascii="Arial" w:eastAsia="Calibri" w:hAnsi="Arial" w:cs="Arial"/>
          <w:sz w:val="24"/>
          <w:szCs w:val="24"/>
        </w:rPr>
        <w:t>.</w:t>
      </w:r>
      <w:r w:rsidR="00CC0F46" w:rsidRPr="006A7B9C">
        <w:rPr>
          <w:rFonts w:ascii="Arial" w:eastAsia="Calibri" w:hAnsi="Arial" w:cs="Arial"/>
          <w:sz w:val="24"/>
          <w:szCs w:val="24"/>
        </w:rPr>
        <w:t xml:space="preserve"> The </w:t>
      </w:r>
      <w:r w:rsidR="00CC0F46" w:rsidRPr="006A7B9C">
        <w:rPr>
          <w:rFonts w:ascii="Arial" w:eastAsia="Calibri" w:hAnsi="Arial" w:cs="Arial"/>
          <w:i/>
          <w:sz w:val="24"/>
          <w:szCs w:val="24"/>
        </w:rPr>
        <w:t>Kokstad</w:t>
      </w:r>
      <w:r w:rsidR="00CC0F46" w:rsidRPr="006A7B9C">
        <w:rPr>
          <w:rStyle w:val="FootnoteReference"/>
          <w:rFonts w:ascii="Arial" w:eastAsia="Calibri" w:hAnsi="Arial" w:cs="Arial"/>
          <w:i/>
          <w:sz w:val="24"/>
          <w:szCs w:val="24"/>
        </w:rPr>
        <w:footnoteReference w:id="14"/>
      </w:r>
      <w:r w:rsidR="00CC0F46" w:rsidRPr="006A7B9C">
        <w:rPr>
          <w:rFonts w:ascii="Arial" w:eastAsia="Calibri" w:hAnsi="Arial" w:cs="Arial"/>
          <w:sz w:val="24"/>
          <w:szCs w:val="24"/>
        </w:rPr>
        <w:t xml:space="preserve"> case provides a perfect example of legal impossibility. There a firm was contracted by the municipality to light the streets of Kokstad. During wartime, the partners of the firm were interned as enemy aliens and their business was wound up under the relevant war legislation. The conclusion to reach</w:t>
      </w:r>
      <w:r w:rsidR="008B21F0" w:rsidRPr="006A7B9C">
        <w:rPr>
          <w:rFonts w:ascii="Arial" w:eastAsia="Calibri" w:hAnsi="Arial" w:cs="Arial"/>
          <w:sz w:val="24"/>
          <w:szCs w:val="24"/>
        </w:rPr>
        <w:t xml:space="preserve">, in </w:t>
      </w:r>
      <w:r w:rsidR="008B21F0" w:rsidRPr="006A7B9C">
        <w:rPr>
          <w:rFonts w:ascii="Arial" w:eastAsia="Calibri" w:hAnsi="Arial" w:cs="Arial"/>
          <w:i/>
          <w:sz w:val="24"/>
          <w:szCs w:val="24"/>
        </w:rPr>
        <w:t>casu</w:t>
      </w:r>
      <w:r w:rsidR="008B21F0" w:rsidRPr="006A7B9C">
        <w:rPr>
          <w:rFonts w:ascii="Arial" w:eastAsia="Calibri" w:hAnsi="Arial" w:cs="Arial"/>
          <w:sz w:val="24"/>
          <w:szCs w:val="24"/>
        </w:rPr>
        <w:t>,</w:t>
      </w:r>
      <w:r w:rsidR="00CC0F46" w:rsidRPr="006A7B9C">
        <w:rPr>
          <w:rFonts w:ascii="Arial" w:eastAsia="Calibri" w:hAnsi="Arial" w:cs="Arial"/>
          <w:sz w:val="24"/>
          <w:szCs w:val="24"/>
        </w:rPr>
        <w:t xml:space="preserve"> is that the regulations may have diminished th</w:t>
      </w:r>
      <w:r w:rsidR="00D943BE">
        <w:rPr>
          <w:rFonts w:ascii="Arial" w:eastAsia="Calibri" w:hAnsi="Arial" w:cs="Arial"/>
          <w:sz w:val="24"/>
          <w:szCs w:val="24"/>
        </w:rPr>
        <w:t xml:space="preserve">e profitability of Luhan </w:t>
      </w:r>
      <w:r w:rsidR="00CC0F46" w:rsidRPr="006A7B9C">
        <w:rPr>
          <w:rFonts w:ascii="Arial" w:eastAsia="Calibri" w:hAnsi="Arial" w:cs="Arial"/>
          <w:sz w:val="24"/>
          <w:szCs w:val="24"/>
        </w:rPr>
        <w:t>but did not ren</w:t>
      </w:r>
      <w:r w:rsidR="00D943BE">
        <w:rPr>
          <w:rFonts w:ascii="Arial" w:eastAsia="Calibri" w:hAnsi="Arial" w:cs="Arial"/>
          <w:sz w:val="24"/>
          <w:szCs w:val="24"/>
        </w:rPr>
        <w:t>der it illegal for Luhan</w:t>
      </w:r>
      <w:r w:rsidR="00CC0F46" w:rsidRPr="006A7B9C">
        <w:rPr>
          <w:rFonts w:ascii="Arial" w:eastAsia="Calibri" w:hAnsi="Arial" w:cs="Arial"/>
          <w:sz w:val="24"/>
          <w:szCs w:val="24"/>
        </w:rPr>
        <w:t xml:space="preserve"> to pay ren</w:t>
      </w:r>
      <w:r w:rsidR="00D943BE">
        <w:rPr>
          <w:rFonts w:ascii="Arial" w:eastAsia="Calibri" w:hAnsi="Arial" w:cs="Arial"/>
          <w:sz w:val="24"/>
          <w:szCs w:val="24"/>
        </w:rPr>
        <w:t>t. So much so that Luhan</w:t>
      </w:r>
      <w:r w:rsidR="00CC0F46" w:rsidRPr="006A7B9C">
        <w:rPr>
          <w:rFonts w:ascii="Arial" w:eastAsia="Calibri" w:hAnsi="Arial" w:cs="Arial"/>
          <w:sz w:val="24"/>
          <w:szCs w:val="24"/>
        </w:rPr>
        <w:t xml:space="preserve"> could have sourced income from elsewhere in order to pay rent for the place where it had housed its stock.</w:t>
      </w:r>
      <w:r w:rsidR="008B21F0" w:rsidRPr="006A7B9C">
        <w:rPr>
          <w:rFonts w:ascii="Arial" w:eastAsia="Calibri" w:hAnsi="Arial" w:cs="Arial"/>
          <w:sz w:val="24"/>
          <w:szCs w:val="24"/>
        </w:rPr>
        <w:t xml:space="preserve"> If affordability to pay rental was a foundation of all lease agreements, in all probabilities, demonstration of financial strength would have been an </w:t>
      </w:r>
      <w:r w:rsidR="008B21F0" w:rsidRPr="006A7B9C">
        <w:rPr>
          <w:rFonts w:ascii="Arial" w:eastAsia="Calibri" w:hAnsi="Arial" w:cs="Arial"/>
          <w:i/>
          <w:sz w:val="24"/>
          <w:szCs w:val="24"/>
        </w:rPr>
        <w:t>essentialia</w:t>
      </w:r>
      <w:r w:rsidR="008B21F0" w:rsidRPr="006A7B9C">
        <w:rPr>
          <w:rFonts w:ascii="Arial" w:eastAsia="Calibri" w:hAnsi="Arial" w:cs="Arial"/>
          <w:sz w:val="24"/>
          <w:szCs w:val="24"/>
        </w:rPr>
        <w:t xml:space="preserve"> of a lease agreement.</w:t>
      </w:r>
      <w:r w:rsidR="00CC0F46" w:rsidRPr="006A7B9C">
        <w:rPr>
          <w:rFonts w:ascii="Arial" w:eastAsia="Calibri" w:hAnsi="Arial" w:cs="Arial"/>
          <w:sz w:val="24"/>
          <w:szCs w:val="24"/>
        </w:rPr>
        <w:t xml:space="preserve"> </w:t>
      </w:r>
      <w:r w:rsidR="008B21F0" w:rsidRPr="006A7B9C">
        <w:rPr>
          <w:rFonts w:ascii="Arial" w:eastAsia="Calibri" w:hAnsi="Arial" w:cs="Arial"/>
          <w:sz w:val="24"/>
          <w:szCs w:val="24"/>
        </w:rPr>
        <w:t>What connects payment of rental to the usage and enjoyment of a thing, is not the affordability to pay rental. In a typical lease agreement negotiations, a lessee would approach a le</w:t>
      </w:r>
      <w:r w:rsidR="001E47C5" w:rsidRPr="006A7B9C">
        <w:rPr>
          <w:rFonts w:ascii="Arial" w:eastAsia="Calibri" w:hAnsi="Arial" w:cs="Arial"/>
          <w:sz w:val="24"/>
          <w:szCs w:val="24"/>
        </w:rPr>
        <w:t>ssor and express a wish to use and enjoy</w:t>
      </w:r>
      <w:r w:rsidR="008B21F0" w:rsidRPr="006A7B9C">
        <w:rPr>
          <w:rFonts w:ascii="Arial" w:eastAsia="Calibri" w:hAnsi="Arial" w:cs="Arial"/>
          <w:sz w:val="24"/>
          <w:szCs w:val="24"/>
        </w:rPr>
        <w:t xml:space="preserve"> a thing, be it movable or immovable. In retort, the lessor wo</w:t>
      </w:r>
      <w:r w:rsidR="001E47C5" w:rsidRPr="006A7B9C">
        <w:rPr>
          <w:rFonts w:ascii="Arial" w:eastAsia="Calibri" w:hAnsi="Arial" w:cs="Arial"/>
          <w:sz w:val="24"/>
          <w:szCs w:val="24"/>
        </w:rPr>
        <w:t>uld express the availability of the</w:t>
      </w:r>
      <w:r w:rsidR="008B21F0" w:rsidRPr="006A7B9C">
        <w:rPr>
          <w:rFonts w:ascii="Arial" w:eastAsia="Calibri" w:hAnsi="Arial" w:cs="Arial"/>
          <w:sz w:val="24"/>
          <w:szCs w:val="24"/>
        </w:rPr>
        <w:t xml:space="preserve"> use and enjoyment of the thing. When proposing rental for the use and enjoyment of the thing, the lessor does not say, on condition</w:t>
      </w:r>
      <w:r w:rsidR="00661F0B">
        <w:rPr>
          <w:rFonts w:ascii="Arial" w:eastAsia="Calibri" w:hAnsi="Arial" w:cs="Arial"/>
          <w:sz w:val="24"/>
          <w:szCs w:val="24"/>
        </w:rPr>
        <w:t>,</w:t>
      </w:r>
      <w:r w:rsidR="008B21F0" w:rsidRPr="006A7B9C">
        <w:rPr>
          <w:rFonts w:ascii="Arial" w:eastAsia="Calibri" w:hAnsi="Arial" w:cs="Arial"/>
          <w:sz w:val="24"/>
          <w:szCs w:val="24"/>
        </w:rPr>
        <w:t xml:space="preserve"> y</w:t>
      </w:r>
      <w:r w:rsidR="00D943BE">
        <w:rPr>
          <w:rFonts w:ascii="Arial" w:eastAsia="Calibri" w:hAnsi="Arial" w:cs="Arial"/>
          <w:sz w:val="24"/>
          <w:szCs w:val="24"/>
        </w:rPr>
        <w:t>ou can afford R100.00 a month to</w:t>
      </w:r>
      <w:r w:rsidR="008B21F0" w:rsidRPr="006A7B9C">
        <w:rPr>
          <w:rFonts w:ascii="Arial" w:eastAsia="Calibri" w:hAnsi="Arial" w:cs="Arial"/>
          <w:sz w:val="24"/>
          <w:szCs w:val="24"/>
        </w:rPr>
        <w:t xml:space="preserve"> </w:t>
      </w:r>
      <w:r w:rsidR="001E47C5" w:rsidRPr="006A7B9C">
        <w:rPr>
          <w:rFonts w:ascii="Arial" w:eastAsia="Calibri" w:hAnsi="Arial" w:cs="Arial"/>
          <w:sz w:val="24"/>
          <w:szCs w:val="24"/>
        </w:rPr>
        <w:t>make the use and enjoyment of the thing available. As it is always the case, and it was the case herein, rental is made payable in advance. In other words, a lessee uses and enjoys the thing after having paid for it upfront.</w:t>
      </w:r>
    </w:p>
    <w:p w14:paraId="1BDA527E" w14:textId="77777777" w:rsidR="00CC0F46" w:rsidRPr="006A7B9C" w:rsidRDefault="00CC0F46" w:rsidP="008D13A9">
      <w:pPr>
        <w:spacing w:after="0" w:line="360" w:lineRule="auto"/>
        <w:ind w:left="720"/>
        <w:jc w:val="both"/>
        <w:rPr>
          <w:rFonts w:ascii="Arial" w:eastAsia="Calibri" w:hAnsi="Arial" w:cs="Arial"/>
          <w:sz w:val="24"/>
          <w:szCs w:val="24"/>
        </w:rPr>
      </w:pPr>
    </w:p>
    <w:p w14:paraId="219B6851" w14:textId="77777777" w:rsidR="00ED60A3" w:rsidRPr="006A7B9C" w:rsidRDefault="00CC0F46" w:rsidP="008D13A9">
      <w:pPr>
        <w:numPr>
          <w:ilvl w:val="0"/>
          <w:numId w:val="32"/>
        </w:numPr>
        <w:tabs>
          <w:tab w:val="num" w:pos="360"/>
        </w:tabs>
        <w:spacing w:after="0" w:line="360" w:lineRule="auto"/>
        <w:ind w:left="720" w:hanging="720"/>
        <w:jc w:val="both"/>
        <w:rPr>
          <w:rFonts w:ascii="Arial" w:eastAsia="Calibri" w:hAnsi="Arial" w:cs="Arial"/>
          <w:sz w:val="24"/>
          <w:szCs w:val="24"/>
        </w:rPr>
      </w:pPr>
      <w:r w:rsidRPr="006A7B9C">
        <w:rPr>
          <w:rFonts w:ascii="Arial" w:eastAsia="Calibri" w:hAnsi="Arial" w:cs="Arial"/>
          <w:sz w:val="24"/>
          <w:szCs w:val="24"/>
        </w:rPr>
        <w:t>It must have been so that the purpose of renting the imm</w:t>
      </w:r>
      <w:r w:rsidR="00094E48" w:rsidRPr="006A7B9C">
        <w:rPr>
          <w:rFonts w:ascii="Arial" w:eastAsia="Calibri" w:hAnsi="Arial" w:cs="Arial"/>
          <w:sz w:val="24"/>
          <w:szCs w:val="24"/>
        </w:rPr>
        <w:t>ovable property was to house Luhan’s</w:t>
      </w:r>
      <w:r w:rsidRPr="006A7B9C">
        <w:rPr>
          <w:rFonts w:ascii="Arial" w:eastAsia="Calibri" w:hAnsi="Arial" w:cs="Arial"/>
          <w:sz w:val="24"/>
          <w:szCs w:val="24"/>
        </w:rPr>
        <w:t xml:space="preserve"> stock to be sold</w:t>
      </w:r>
      <w:r w:rsidR="001E47C5" w:rsidRPr="006A7B9C">
        <w:rPr>
          <w:rFonts w:ascii="Arial" w:eastAsia="Calibri" w:hAnsi="Arial" w:cs="Arial"/>
          <w:sz w:val="24"/>
          <w:szCs w:val="24"/>
        </w:rPr>
        <w:t xml:space="preserve"> or keep the stock safe</w:t>
      </w:r>
      <w:r w:rsidRPr="006A7B9C">
        <w:rPr>
          <w:rFonts w:ascii="Arial" w:eastAsia="Calibri" w:hAnsi="Arial" w:cs="Arial"/>
          <w:sz w:val="24"/>
          <w:szCs w:val="24"/>
        </w:rPr>
        <w:t xml:space="preserve">. That purpose was never rendered illegal by any legislation. </w:t>
      </w:r>
      <w:r w:rsidR="007071D8" w:rsidRPr="006A7B9C">
        <w:rPr>
          <w:rFonts w:ascii="Arial" w:eastAsia="Calibri" w:hAnsi="Arial" w:cs="Arial"/>
          <w:sz w:val="24"/>
          <w:szCs w:val="24"/>
        </w:rPr>
        <w:t>One imagines a situation where there is an economic recession. Can it be said tha</w:t>
      </w:r>
      <w:r w:rsidR="002B681C" w:rsidRPr="006A7B9C">
        <w:rPr>
          <w:rFonts w:ascii="Arial" w:eastAsia="Calibri" w:hAnsi="Arial" w:cs="Arial"/>
          <w:sz w:val="24"/>
          <w:szCs w:val="24"/>
        </w:rPr>
        <w:t>t due to the economic recession</w:t>
      </w:r>
      <w:r w:rsidR="007071D8" w:rsidRPr="006A7B9C">
        <w:rPr>
          <w:rFonts w:ascii="Arial" w:eastAsia="Calibri" w:hAnsi="Arial" w:cs="Arial"/>
          <w:sz w:val="24"/>
          <w:szCs w:val="24"/>
        </w:rPr>
        <w:t xml:space="preserve">, the decline in sales of stock housed </w:t>
      </w:r>
      <w:r w:rsidR="00094E48" w:rsidRPr="006A7B9C">
        <w:rPr>
          <w:rFonts w:ascii="Arial" w:eastAsia="Calibri" w:hAnsi="Arial" w:cs="Arial"/>
          <w:sz w:val="24"/>
          <w:szCs w:val="24"/>
        </w:rPr>
        <w:t>in various premises on the strength</w:t>
      </w:r>
      <w:r w:rsidR="007071D8" w:rsidRPr="006A7B9C">
        <w:rPr>
          <w:rFonts w:ascii="Arial" w:eastAsia="Calibri" w:hAnsi="Arial" w:cs="Arial"/>
          <w:sz w:val="24"/>
          <w:szCs w:val="24"/>
        </w:rPr>
        <w:t xml:space="preserve"> of lease agreements, affects the continuation of the housing of the stock? In my view, that cannot be said. It is like saying, because a person has no money to buy food due to</w:t>
      </w:r>
      <w:r w:rsidR="00094E48" w:rsidRPr="006A7B9C">
        <w:rPr>
          <w:rFonts w:ascii="Arial" w:eastAsia="Calibri" w:hAnsi="Arial" w:cs="Arial"/>
          <w:sz w:val="24"/>
          <w:szCs w:val="24"/>
        </w:rPr>
        <w:t xml:space="preserve"> being unemployed</w:t>
      </w:r>
      <w:r w:rsidR="007071D8" w:rsidRPr="006A7B9C">
        <w:rPr>
          <w:rFonts w:ascii="Arial" w:eastAsia="Calibri" w:hAnsi="Arial" w:cs="Arial"/>
          <w:sz w:val="24"/>
          <w:szCs w:val="24"/>
        </w:rPr>
        <w:t xml:space="preserve"> (caused by a</w:t>
      </w:r>
      <w:r w:rsidR="00094E48" w:rsidRPr="006A7B9C">
        <w:rPr>
          <w:rFonts w:ascii="Arial" w:eastAsia="Calibri" w:hAnsi="Arial" w:cs="Arial"/>
          <w:sz w:val="24"/>
          <w:szCs w:val="24"/>
        </w:rPr>
        <w:t xml:space="preserve"> closure of a factory manufacturing</w:t>
      </w:r>
      <w:r w:rsidR="007071D8" w:rsidRPr="006A7B9C">
        <w:rPr>
          <w:rFonts w:ascii="Arial" w:eastAsia="Calibri" w:hAnsi="Arial" w:cs="Arial"/>
          <w:sz w:val="24"/>
          <w:szCs w:val="24"/>
        </w:rPr>
        <w:t xml:space="preserve"> hanging ropes, following a declaration that a de</w:t>
      </w:r>
      <w:r w:rsidR="0059125A" w:rsidRPr="006A7B9C">
        <w:rPr>
          <w:rFonts w:ascii="Arial" w:eastAsia="Calibri" w:hAnsi="Arial" w:cs="Arial"/>
          <w:sz w:val="24"/>
          <w:szCs w:val="24"/>
        </w:rPr>
        <w:t>ath penalty is unconstitutional)</w:t>
      </w:r>
      <w:r w:rsidR="007071D8" w:rsidRPr="006A7B9C">
        <w:rPr>
          <w:rFonts w:ascii="Arial" w:eastAsia="Calibri" w:hAnsi="Arial" w:cs="Arial"/>
          <w:sz w:val="24"/>
          <w:szCs w:val="24"/>
        </w:rPr>
        <w:t xml:space="preserve">, eating food would </w:t>
      </w:r>
      <w:r w:rsidR="007071D8" w:rsidRPr="006A7B9C">
        <w:rPr>
          <w:rFonts w:ascii="Arial" w:eastAsia="Calibri" w:hAnsi="Arial" w:cs="Arial"/>
          <w:sz w:val="24"/>
          <w:szCs w:val="24"/>
        </w:rPr>
        <w:lastRenderedPageBreak/>
        <w:t xml:space="preserve">suddenly </w:t>
      </w:r>
      <w:r w:rsidR="0059125A" w:rsidRPr="006A7B9C">
        <w:rPr>
          <w:rFonts w:ascii="Arial" w:eastAsia="Calibri" w:hAnsi="Arial" w:cs="Arial"/>
          <w:sz w:val="24"/>
          <w:szCs w:val="24"/>
        </w:rPr>
        <w:t>become</w:t>
      </w:r>
      <w:r w:rsidR="007071D8" w:rsidRPr="006A7B9C">
        <w:rPr>
          <w:rFonts w:ascii="Arial" w:eastAsia="Calibri" w:hAnsi="Arial" w:cs="Arial"/>
          <w:sz w:val="24"/>
          <w:szCs w:val="24"/>
        </w:rPr>
        <w:t xml:space="preserve"> unlawful</w:t>
      </w:r>
      <w:r w:rsidR="0059125A" w:rsidRPr="006A7B9C">
        <w:rPr>
          <w:rFonts w:ascii="Arial" w:eastAsia="Calibri" w:hAnsi="Arial" w:cs="Arial"/>
          <w:sz w:val="24"/>
          <w:szCs w:val="24"/>
        </w:rPr>
        <w:t>. Eating food will remain lawful even if unaff</w:t>
      </w:r>
      <w:r w:rsidR="00E746D7" w:rsidRPr="006A7B9C">
        <w:rPr>
          <w:rFonts w:ascii="Arial" w:eastAsia="Calibri" w:hAnsi="Arial" w:cs="Arial"/>
          <w:sz w:val="24"/>
          <w:szCs w:val="24"/>
        </w:rPr>
        <w:t xml:space="preserve">ordable for </w:t>
      </w:r>
      <w:r w:rsidR="00094E48" w:rsidRPr="006A7B9C">
        <w:rPr>
          <w:rFonts w:ascii="Arial" w:eastAsia="Calibri" w:hAnsi="Arial" w:cs="Arial"/>
          <w:sz w:val="24"/>
          <w:szCs w:val="24"/>
        </w:rPr>
        <w:t xml:space="preserve">the </w:t>
      </w:r>
      <w:r w:rsidR="00E746D7" w:rsidRPr="006A7B9C">
        <w:rPr>
          <w:rFonts w:ascii="Arial" w:eastAsia="Calibri" w:hAnsi="Arial" w:cs="Arial"/>
          <w:sz w:val="24"/>
          <w:szCs w:val="24"/>
        </w:rPr>
        <w:t>unemployed persons.</w:t>
      </w:r>
      <w:r w:rsidR="0084669D" w:rsidRPr="006A7B9C">
        <w:rPr>
          <w:rFonts w:ascii="Arial" w:eastAsia="Calibri" w:hAnsi="Arial" w:cs="Arial"/>
          <w:sz w:val="24"/>
          <w:szCs w:val="24"/>
        </w:rPr>
        <w:t xml:space="preserve"> </w:t>
      </w:r>
    </w:p>
    <w:p w14:paraId="61FDBC46" w14:textId="77777777" w:rsidR="0084669D" w:rsidRPr="006A7B9C" w:rsidRDefault="0084669D" w:rsidP="008D13A9">
      <w:pPr>
        <w:spacing w:after="0" w:line="360" w:lineRule="auto"/>
        <w:ind w:left="720"/>
        <w:jc w:val="both"/>
        <w:rPr>
          <w:rFonts w:ascii="Arial" w:eastAsia="Calibri" w:hAnsi="Arial" w:cs="Arial"/>
          <w:sz w:val="24"/>
          <w:szCs w:val="24"/>
        </w:rPr>
      </w:pPr>
    </w:p>
    <w:p w14:paraId="5E2CA2E4" w14:textId="77777777" w:rsidR="0084669D" w:rsidRPr="00D943BE" w:rsidRDefault="00974A6B" w:rsidP="00D943BE">
      <w:pPr>
        <w:spacing w:after="0" w:line="360" w:lineRule="auto"/>
        <w:jc w:val="both"/>
        <w:rPr>
          <w:rFonts w:ascii="Arial" w:eastAsia="Calibri" w:hAnsi="Arial" w:cs="Arial"/>
          <w:i/>
          <w:sz w:val="24"/>
          <w:szCs w:val="24"/>
        </w:rPr>
      </w:pPr>
      <w:r w:rsidRPr="00D943BE">
        <w:rPr>
          <w:rFonts w:ascii="Arial" w:eastAsia="Calibri" w:hAnsi="Arial" w:cs="Arial"/>
          <w:i/>
          <w:sz w:val="24"/>
          <w:szCs w:val="24"/>
        </w:rPr>
        <w:t>Is COVID-1</w:t>
      </w:r>
      <w:r w:rsidR="00E746D7" w:rsidRPr="00D943BE">
        <w:rPr>
          <w:rFonts w:ascii="Arial" w:eastAsia="Calibri" w:hAnsi="Arial" w:cs="Arial"/>
          <w:i/>
          <w:sz w:val="24"/>
          <w:szCs w:val="24"/>
        </w:rPr>
        <w:t>9 Regulations the legal basis to invoke supervening impossibility?</w:t>
      </w:r>
    </w:p>
    <w:p w14:paraId="71720062" w14:textId="77777777" w:rsidR="00ED60A3" w:rsidRPr="006A7B9C" w:rsidRDefault="00ED60A3" w:rsidP="008D13A9">
      <w:pPr>
        <w:spacing w:after="0" w:line="360" w:lineRule="auto"/>
        <w:ind w:left="720"/>
        <w:jc w:val="both"/>
        <w:rPr>
          <w:rFonts w:ascii="Arial" w:eastAsia="Calibri" w:hAnsi="Arial" w:cs="Arial"/>
          <w:sz w:val="24"/>
          <w:szCs w:val="24"/>
        </w:rPr>
      </w:pPr>
    </w:p>
    <w:p w14:paraId="3D859D99" w14:textId="4FF88DEC" w:rsidR="000403A0" w:rsidRPr="006A7B9C" w:rsidRDefault="00974A6B" w:rsidP="008D13A9">
      <w:pPr>
        <w:numPr>
          <w:ilvl w:val="0"/>
          <w:numId w:val="32"/>
        </w:numPr>
        <w:tabs>
          <w:tab w:val="num" w:pos="360"/>
        </w:tabs>
        <w:spacing w:after="0" w:line="360" w:lineRule="auto"/>
        <w:ind w:left="720" w:hanging="720"/>
        <w:jc w:val="both"/>
        <w:rPr>
          <w:rFonts w:ascii="Arial" w:eastAsia="Calibri" w:hAnsi="Arial" w:cs="Arial"/>
          <w:sz w:val="24"/>
          <w:szCs w:val="24"/>
        </w:rPr>
      </w:pPr>
      <w:r w:rsidRPr="006A7B9C">
        <w:rPr>
          <w:rFonts w:ascii="Arial" w:eastAsia="Calibri" w:hAnsi="Arial" w:cs="Arial"/>
          <w:sz w:val="24"/>
          <w:szCs w:val="24"/>
        </w:rPr>
        <w:t>Since the advent of COVID-</w:t>
      </w:r>
      <w:r w:rsidR="00E746D7" w:rsidRPr="006A7B9C">
        <w:rPr>
          <w:rFonts w:ascii="Arial" w:eastAsia="Calibri" w:hAnsi="Arial" w:cs="Arial"/>
          <w:sz w:val="24"/>
          <w:szCs w:val="24"/>
        </w:rPr>
        <w:t xml:space="preserve">19 pandemic and the legislative intervention for the management thereof, a debate arose in various circles as to whether the restriction regulations, particularly during what was known as hard lockdown, </w:t>
      </w:r>
      <w:r w:rsidR="000403A0" w:rsidRPr="006A7B9C">
        <w:rPr>
          <w:rFonts w:ascii="Arial" w:eastAsia="Calibri" w:hAnsi="Arial" w:cs="Arial"/>
          <w:sz w:val="24"/>
          <w:szCs w:val="24"/>
        </w:rPr>
        <w:t xml:space="preserve">brought to the fore </w:t>
      </w:r>
      <w:r w:rsidR="004C1E09" w:rsidRPr="006A7B9C">
        <w:rPr>
          <w:rFonts w:ascii="Arial" w:eastAsia="Calibri" w:hAnsi="Arial" w:cs="Arial"/>
          <w:i/>
          <w:sz w:val="24"/>
          <w:szCs w:val="24"/>
        </w:rPr>
        <w:t>vis major</w:t>
      </w:r>
      <w:r w:rsidR="000403A0" w:rsidRPr="006A7B9C">
        <w:rPr>
          <w:rFonts w:ascii="Arial" w:eastAsia="Calibri" w:hAnsi="Arial" w:cs="Arial"/>
          <w:sz w:val="24"/>
          <w:szCs w:val="24"/>
        </w:rPr>
        <w:t>, which would have entitled parties to be discharged from their contractual obligations. A number of legal pronouncements were made, some in conflict of each other regarding the</w:t>
      </w:r>
      <w:r w:rsidR="00D943BE">
        <w:rPr>
          <w:rFonts w:ascii="Arial" w:eastAsia="Calibri" w:hAnsi="Arial" w:cs="Arial"/>
          <w:sz w:val="24"/>
          <w:szCs w:val="24"/>
        </w:rPr>
        <w:t xml:space="preserve"> correct</w:t>
      </w:r>
      <w:r w:rsidR="000403A0" w:rsidRPr="006A7B9C">
        <w:rPr>
          <w:rFonts w:ascii="Arial" w:eastAsia="Calibri" w:hAnsi="Arial" w:cs="Arial"/>
          <w:sz w:val="24"/>
          <w:szCs w:val="24"/>
        </w:rPr>
        <w:t xml:space="preserve"> legal position on the debate. </w:t>
      </w:r>
    </w:p>
    <w:p w14:paraId="49FBC2EF" w14:textId="77777777" w:rsidR="000403A0" w:rsidRPr="006A7B9C" w:rsidRDefault="000403A0" w:rsidP="008D13A9">
      <w:pPr>
        <w:spacing w:after="0" w:line="360" w:lineRule="auto"/>
        <w:ind w:left="720"/>
        <w:jc w:val="both"/>
        <w:rPr>
          <w:rFonts w:ascii="Arial" w:eastAsia="Calibri" w:hAnsi="Arial" w:cs="Arial"/>
          <w:sz w:val="24"/>
          <w:szCs w:val="24"/>
        </w:rPr>
      </w:pPr>
    </w:p>
    <w:p w14:paraId="5A72282F" w14:textId="17811A29" w:rsidR="000403A0" w:rsidRPr="006A7B9C" w:rsidRDefault="000403A0" w:rsidP="008D13A9">
      <w:pPr>
        <w:numPr>
          <w:ilvl w:val="0"/>
          <w:numId w:val="32"/>
        </w:numPr>
        <w:tabs>
          <w:tab w:val="num" w:pos="360"/>
        </w:tabs>
        <w:spacing w:after="0" w:line="360" w:lineRule="auto"/>
        <w:ind w:left="720" w:hanging="720"/>
        <w:jc w:val="both"/>
        <w:rPr>
          <w:rFonts w:ascii="Arial" w:eastAsia="Calibri" w:hAnsi="Arial" w:cs="Arial"/>
          <w:sz w:val="24"/>
          <w:szCs w:val="24"/>
        </w:rPr>
      </w:pPr>
      <w:r w:rsidRPr="006A7B9C">
        <w:rPr>
          <w:rFonts w:ascii="Arial" w:eastAsia="Calibri" w:hAnsi="Arial" w:cs="Arial"/>
          <w:sz w:val="24"/>
          <w:szCs w:val="24"/>
        </w:rPr>
        <w:t>In this appeal, the learned magistrate</w:t>
      </w:r>
      <w:r w:rsidR="004C1E09" w:rsidRPr="006A7B9C">
        <w:rPr>
          <w:rFonts w:ascii="Arial" w:eastAsia="Calibri" w:hAnsi="Arial" w:cs="Arial"/>
          <w:sz w:val="24"/>
          <w:szCs w:val="24"/>
        </w:rPr>
        <w:t>,</w:t>
      </w:r>
      <w:r w:rsidR="00D943BE">
        <w:rPr>
          <w:rFonts w:ascii="Arial" w:eastAsia="Calibri" w:hAnsi="Arial" w:cs="Arial"/>
          <w:sz w:val="24"/>
          <w:szCs w:val="24"/>
        </w:rPr>
        <w:t xml:space="preserve"> influenced by some </w:t>
      </w:r>
      <w:r w:rsidRPr="006A7B9C">
        <w:rPr>
          <w:rFonts w:ascii="Arial" w:eastAsia="Calibri" w:hAnsi="Arial" w:cs="Arial"/>
          <w:sz w:val="24"/>
          <w:szCs w:val="24"/>
        </w:rPr>
        <w:t>authorities</w:t>
      </w:r>
      <w:r w:rsidR="00D943BE">
        <w:rPr>
          <w:rFonts w:ascii="Arial" w:eastAsia="Calibri" w:hAnsi="Arial" w:cs="Arial"/>
          <w:sz w:val="24"/>
          <w:szCs w:val="24"/>
        </w:rPr>
        <w:t xml:space="preserve"> binding on her Court</w:t>
      </w:r>
      <w:r w:rsidRPr="006A7B9C">
        <w:rPr>
          <w:rFonts w:ascii="Arial" w:eastAsia="Calibri" w:hAnsi="Arial" w:cs="Arial"/>
          <w:sz w:val="24"/>
          <w:szCs w:val="24"/>
        </w:rPr>
        <w:t>, reached a conclusion that the restrictions during the hard l</w:t>
      </w:r>
      <w:r w:rsidR="00D943BE">
        <w:rPr>
          <w:rFonts w:ascii="Arial" w:eastAsia="Calibri" w:hAnsi="Arial" w:cs="Arial"/>
          <w:sz w:val="24"/>
          <w:szCs w:val="24"/>
        </w:rPr>
        <w:t>ockdown discharged Luhan</w:t>
      </w:r>
      <w:r w:rsidRPr="006A7B9C">
        <w:rPr>
          <w:rFonts w:ascii="Arial" w:eastAsia="Calibri" w:hAnsi="Arial" w:cs="Arial"/>
          <w:sz w:val="24"/>
          <w:szCs w:val="24"/>
        </w:rPr>
        <w:t xml:space="preserve"> from its obligation to pay rental for the leased premises</w:t>
      </w:r>
      <w:r w:rsidR="004C1E09" w:rsidRPr="006A7B9C">
        <w:rPr>
          <w:rFonts w:ascii="Arial" w:eastAsia="Calibri" w:hAnsi="Arial" w:cs="Arial"/>
          <w:sz w:val="24"/>
          <w:szCs w:val="24"/>
        </w:rPr>
        <w:t xml:space="preserve"> and limited the obligation in respect of certain months</w:t>
      </w:r>
      <w:r w:rsidRPr="006A7B9C">
        <w:rPr>
          <w:rFonts w:ascii="Arial" w:eastAsia="Calibri" w:hAnsi="Arial" w:cs="Arial"/>
          <w:sz w:val="24"/>
          <w:szCs w:val="24"/>
        </w:rPr>
        <w:t>. Although, the learned magistrate also reached a conclusion, which shall be dealt with later, that</w:t>
      </w:r>
      <w:r w:rsidR="004C1E09" w:rsidRPr="006A7B9C">
        <w:rPr>
          <w:rFonts w:ascii="Arial" w:eastAsia="Calibri" w:hAnsi="Arial" w:cs="Arial"/>
          <w:sz w:val="24"/>
          <w:szCs w:val="24"/>
        </w:rPr>
        <w:t xml:space="preserve"> the</w:t>
      </w:r>
      <w:r w:rsidRPr="006A7B9C">
        <w:rPr>
          <w:rFonts w:ascii="Arial" w:eastAsia="Calibri" w:hAnsi="Arial" w:cs="Arial"/>
          <w:sz w:val="24"/>
          <w:szCs w:val="24"/>
        </w:rPr>
        <w:t xml:space="preserve"> rental obligation was amended or novated, in the main, the defendant received a reprieve from rental obligation due to the restrictions under</w:t>
      </w:r>
      <w:r w:rsidR="004C1E09" w:rsidRPr="006A7B9C">
        <w:rPr>
          <w:rFonts w:ascii="Arial" w:eastAsia="Calibri" w:hAnsi="Arial" w:cs="Arial"/>
          <w:sz w:val="24"/>
          <w:szCs w:val="24"/>
        </w:rPr>
        <w:t xml:space="preserve"> the</w:t>
      </w:r>
      <w:r w:rsidRPr="006A7B9C">
        <w:rPr>
          <w:rFonts w:ascii="Arial" w:eastAsia="Calibri" w:hAnsi="Arial" w:cs="Arial"/>
          <w:sz w:val="24"/>
          <w:szCs w:val="24"/>
        </w:rPr>
        <w:t xml:space="preserve"> hard lockdown. </w:t>
      </w:r>
    </w:p>
    <w:p w14:paraId="687C7959" w14:textId="77777777" w:rsidR="000403A0" w:rsidRPr="006A7B9C" w:rsidRDefault="000403A0" w:rsidP="008D13A9">
      <w:pPr>
        <w:pStyle w:val="ListParagraph"/>
        <w:numPr>
          <w:ilvl w:val="0"/>
          <w:numId w:val="0"/>
        </w:numPr>
        <w:spacing w:before="0" w:after="0"/>
        <w:ind w:left="567"/>
        <w:rPr>
          <w:rFonts w:eastAsia="Calibri"/>
        </w:rPr>
      </w:pPr>
    </w:p>
    <w:p w14:paraId="0A484937" w14:textId="187E582D" w:rsidR="003D5599" w:rsidRPr="006A7B9C" w:rsidRDefault="000403A0" w:rsidP="008D13A9">
      <w:pPr>
        <w:numPr>
          <w:ilvl w:val="0"/>
          <w:numId w:val="32"/>
        </w:numPr>
        <w:tabs>
          <w:tab w:val="num" w:pos="360"/>
        </w:tabs>
        <w:spacing w:after="0" w:line="360" w:lineRule="auto"/>
        <w:ind w:left="720" w:hanging="720"/>
        <w:jc w:val="both"/>
        <w:rPr>
          <w:rFonts w:ascii="Arial" w:eastAsia="Calibri" w:hAnsi="Arial" w:cs="Arial"/>
          <w:sz w:val="24"/>
          <w:szCs w:val="24"/>
        </w:rPr>
      </w:pPr>
      <w:r w:rsidRPr="006A7B9C">
        <w:rPr>
          <w:rFonts w:ascii="Arial" w:eastAsia="Calibri" w:hAnsi="Arial" w:cs="Arial"/>
          <w:sz w:val="24"/>
          <w:szCs w:val="24"/>
        </w:rPr>
        <w:t>It suffices to state upfront that a supervening impossibility affects the performance of the terms of the contract. In this regard,</w:t>
      </w:r>
      <w:r w:rsidR="004C1E09" w:rsidRPr="006A7B9C">
        <w:rPr>
          <w:rFonts w:ascii="Arial" w:eastAsia="Calibri" w:hAnsi="Arial" w:cs="Arial"/>
          <w:sz w:val="24"/>
          <w:szCs w:val="24"/>
        </w:rPr>
        <w:t xml:space="preserve"> the impossibility </w:t>
      </w:r>
      <w:r w:rsidRPr="006A7B9C">
        <w:rPr>
          <w:rFonts w:ascii="Arial" w:eastAsia="Calibri" w:hAnsi="Arial" w:cs="Arial"/>
          <w:sz w:val="24"/>
          <w:szCs w:val="24"/>
        </w:rPr>
        <w:t>must be one that affect</w:t>
      </w:r>
      <w:r w:rsidR="004C1E09" w:rsidRPr="006A7B9C">
        <w:rPr>
          <w:rFonts w:ascii="Arial" w:eastAsia="Calibri" w:hAnsi="Arial" w:cs="Arial"/>
          <w:sz w:val="24"/>
          <w:szCs w:val="24"/>
        </w:rPr>
        <w:t>s</w:t>
      </w:r>
      <w:r w:rsidRPr="006A7B9C">
        <w:rPr>
          <w:rFonts w:ascii="Arial" w:eastAsia="Calibri" w:hAnsi="Arial" w:cs="Arial"/>
          <w:sz w:val="24"/>
          <w:szCs w:val="24"/>
        </w:rPr>
        <w:t xml:space="preserve"> the performance of the</w:t>
      </w:r>
      <w:r w:rsidR="004C1E09" w:rsidRPr="006A7B9C">
        <w:rPr>
          <w:rFonts w:ascii="Arial" w:eastAsia="Calibri" w:hAnsi="Arial" w:cs="Arial"/>
          <w:sz w:val="24"/>
          <w:szCs w:val="24"/>
        </w:rPr>
        <w:t xml:space="preserve"> agreed terms of a</w:t>
      </w:r>
      <w:r w:rsidRPr="006A7B9C">
        <w:rPr>
          <w:rFonts w:ascii="Arial" w:eastAsia="Calibri" w:hAnsi="Arial" w:cs="Arial"/>
          <w:sz w:val="24"/>
          <w:szCs w:val="24"/>
        </w:rPr>
        <w:t xml:space="preserve"> lease contract.</w:t>
      </w:r>
      <w:r w:rsidR="00BB65E7" w:rsidRPr="006A7B9C">
        <w:rPr>
          <w:rFonts w:ascii="Arial" w:eastAsia="Calibri" w:hAnsi="Arial" w:cs="Arial"/>
          <w:sz w:val="24"/>
          <w:szCs w:val="24"/>
        </w:rPr>
        <w:t xml:space="preserve"> The Romans used the word </w:t>
      </w:r>
      <w:r w:rsidR="00BB65E7" w:rsidRPr="006A7B9C">
        <w:rPr>
          <w:rFonts w:ascii="Arial" w:eastAsia="Calibri" w:hAnsi="Arial" w:cs="Arial"/>
          <w:i/>
          <w:sz w:val="24"/>
          <w:szCs w:val="24"/>
        </w:rPr>
        <w:t>solutio</w:t>
      </w:r>
      <w:r w:rsidR="00BB65E7" w:rsidRPr="006A7B9C">
        <w:rPr>
          <w:rFonts w:ascii="Arial" w:eastAsia="Calibri" w:hAnsi="Arial" w:cs="Arial"/>
          <w:sz w:val="24"/>
          <w:szCs w:val="24"/>
        </w:rPr>
        <w:t xml:space="preserve"> to cover not only the payment of money </w:t>
      </w:r>
      <w:r w:rsidR="00520E8E" w:rsidRPr="006A7B9C">
        <w:rPr>
          <w:rFonts w:ascii="Arial" w:eastAsia="Calibri" w:hAnsi="Arial" w:cs="Arial"/>
          <w:sz w:val="24"/>
          <w:szCs w:val="24"/>
        </w:rPr>
        <w:t>but also</w:t>
      </w:r>
      <w:r w:rsidR="00BB65E7" w:rsidRPr="006A7B9C">
        <w:rPr>
          <w:rFonts w:ascii="Arial" w:eastAsia="Calibri" w:hAnsi="Arial" w:cs="Arial"/>
          <w:sz w:val="24"/>
          <w:szCs w:val="24"/>
        </w:rPr>
        <w:t xml:space="preserve"> the delivery of the thing or the performance or non-performance of an act in discharge of a contractual obligation</w:t>
      </w:r>
      <w:r w:rsidR="00BB65E7" w:rsidRPr="006A7B9C">
        <w:rPr>
          <w:rStyle w:val="FootnoteReference"/>
          <w:rFonts w:ascii="Arial" w:eastAsia="Calibri" w:hAnsi="Arial" w:cs="Arial"/>
          <w:sz w:val="24"/>
          <w:szCs w:val="24"/>
        </w:rPr>
        <w:footnoteReference w:id="15"/>
      </w:r>
      <w:r w:rsidR="00BB65E7" w:rsidRPr="006A7B9C">
        <w:rPr>
          <w:rFonts w:ascii="Arial" w:eastAsia="Calibri" w:hAnsi="Arial" w:cs="Arial"/>
          <w:sz w:val="24"/>
          <w:szCs w:val="24"/>
        </w:rPr>
        <w:t>.</w:t>
      </w:r>
      <w:r w:rsidR="00B741D6" w:rsidRPr="006A7B9C">
        <w:rPr>
          <w:rFonts w:ascii="Arial" w:eastAsia="Calibri" w:hAnsi="Arial" w:cs="Arial"/>
          <w:sz w:val="24"/>
          <w:szCs w:val="24"/>
        </w:rPr>
        <w:t xml:space="preserve"> In a lease agreement, performance means (a) delivery of the thing – obligation of the lessor; and (b) payment of rental – obligation of the lessee. It is only proper performance that will discharge the contract</w:t>
      </w:r>
      <w:r w:rsidR="007F5857" w:rsidRPr="006A7B9C">
        <w:rPr>
          <w:rFonts w:ascii="Arial" w:eastAsia="Calibri" w:hAnsi="Arial" w:cs="Arial"/>
          <w:sz w:val="24"/>
          <w:szCs w:val="24"/>
        </w:rPr>
        <w:t xml:space="preserve">. A lease agreement is a reciprocal agreement, the lessor delivers the thing and the lessee pays for the thing or </w:t>
      </w:r>
      <w:r w:rsidR="007F5857" w:rsidRPr="006A7B9C">
        <w:rPr>
          <w:rFonts w:ascii="Arial" w:eastAsia="Calibri" w:hAnsi="Arial" w:cs="Arial"/>
          <w:i/>
          <w:sz w:val="24"/>
          <w:szCs w:val="24"/>
        </w:rPr>
        <w:t>vice versa</w:t>
      </w:r>
      <w:r w:rsidR="007F5857" w:rsidRPr="006A7B9C">
        <w:rPr>
          <w:rFonts w:ascii="Arial" w:eastAsia="Calibri" w:hAnsi="Arial" w:cs="Arial"/>
          <w:sz w:val="24"/>
          <w:szCs w:val="24"/>
        </w:rPr>
        <w:t xml:space="preserve">. The principle of </w:t>
      </w:r>
      <w:r w:rsidR="007F5857" w:rsidRPr="006A7B9C">
        <w:rPr>
          <w:rFonts w:ascii="Arial" w:eastAsia="Calibri" w:hAnsi="Arial" w:cs="Arial"/>
          <w:i/>
          <w:sz w:val="24"/>
          <w:szCs w:val="24"/>
        </w:rPr>
        <w:t>exceptio non adempleti contractus</w:t>
      </w:r>
      <w:r w:rsidR="007F5857" w:rsidRPr="006A7B9C">
        <w:rPr>
          <w:rFonts w:ascii="Arial" w:eastAsia="Calibri" w:hAnsi="Arial" w:cs="Arial"/>
          <w:sz w:val="24"/>
          <w:szCs w:val="24"/>
        </w:rPr>
        <w:t xml:space="preserve"> finds application.</w:t>
      </w:r>
      <w:r w:rsidR="007F5857" w:rsidRPr="006A7B9C">
        <w:rPr>
          <w:rStyle w:val="FootnoteReference"/>
          <w:rFonts w:ascii="Arial" w:eastAsia="Calibri" w:hAnsi="Arial" w:cs="Arial"/>
          <w:sz w:val="24"/>
          <w:szCs w:val="24"/>
        </w:rPr>
        <w:footnoteReference w:id="16"/>
      </w:r>
      <w:r w:rsidR="007F5857" w:rsidRPr="006A7B9C">
        <w:rPr>
          <w:rFonts w:ascii="Arial" w:eastAsia="Calibri" w:hAnsi="Arial" w:cs="Arial"/>
          <w:sz w:val="24"/>
          <w:szCs w:val="24"/>
        </w:rPr>
        <w:t xml:space="preserve"> </w:t>
      </w:r>
      <w:r w:rsidRPr="006A7B9C">
        <w:rPr>
          <w:rFonts w:ascii="Arial" w:eastAsia="Calibri" w:hAnsi="Arial" w:cs="Arial"/>
          <w:sz w:val="24"/>
          <w:szCs w:val="24"/>
        </w:rPr>
        <w:t xml:space="preserve"> During hard lockdown, </w:t>
      </w:r>
      <w:r w:rsidR="003D5599" w:rsidRPr="006A7B9C">
        <w:rPr>
          <w:rFonts w:ascii="Arial" w:eastAsia="Calibri" w:hAnsi="Arial" w:cs="Arial"/>
          <w:sz w:val="24"/>
          <w:szCs w:val="24"/>
        </w:rPr>
        <w:t xml:space="preserve">in terms of the regulations, certain businesses were to close </w:t>
      </w:r>
      <w:r w:rsidR="003D5599" w:rsidRPr="006A7B9C">
        <w:rPr>
          <w:rFonts w:ascii="Arial" w:eastAsia="Calibri" w:hAnsi="Arial" w:cs="Arial"/>
          <w:sz w:val="24"/>
          <w:szCs w:val="24"/>
        </w:rPr>
        <w:lastRenderedPageBreak/>
        <w:t>down unless they rendered what was known as essential services. It is common cause that</w:t>
      </w:r>
      <w:r w:rsidR="004819A9">
        <w:rPr>
          <w:rFonts w:ascii="Arial" w:eastAsia="Calibri" w:hAnsi="Arial" w:cs="Arial"/>
          <w:sz w:val="24"/>
          <w:szCs w:val="24"/>
        </w:rPr>
        <w:t xml:space="preserve"> the business that Luhan</w:t>
      </w:r>
      <w:r w:rsidR="003D5599" w:rsidRPr="006A7B9C">
        <w:rPr>
          <w:rFonts w:ascii="Arial" w:eastAsia="Calibri" w:hAnsi="Arial" w:cs="Arial"/>
          <w:sz w:val="24"/>
          <w:szCs w:val="24"/>
        </w:rPr>
        <w:t xml:space="preserve"> operated was that of sales of motor vehicles. It is also common cause that it was not an essential business and was forced to close down</w:t>
      </w:r>
      <w:r w:rsidR="007F5857" w:rsidRPr="006A7B9C">
        <w:rPr>
          <w:rFonts w:ascii="Arial" w:eastAsia="Calibri" w:hAnsi="Arial" w:cs="Arial"/>
          <w:sz w:val="24"/>
          <w:szCs w:val="24"/>
        </w:rPr>
        <w:t xml:space="preserve"> during the hard lockdown period</w:t>
      </w:r>
      <w:r w:rsidR="003D5599" w:rsidRPr="006A7B9C">
        <w:rPr>
          <w:rFonts w:ascii="Arial" w:eastAsia="Calibri" w:hAnsi="Arial" w:cs="Arial"/>
          <w:sz w:val="24"/>
          <w:szCs w:val="24"/>
        </w:rPr>
        <w:t>. In exact terms, Regulation</w:t>
      </w:r>
      <w:r w:rsidR="00F2581B" w:rsidRPr="006A7B9C">
        <w:rPr>
          <w:rStyle w:val="FootnoteReference"/>
          <w:rFonts w:ascii="Arial" w:eastAsia="Calibri" w:hAnsi="Arial" w:cs="Arial"/>
          <w:sz w:val="24"/>
          <w:szCs w:val="24"/>
        </w:rPr>
        <w:footnoteReference w:id="17"/>
      </w:r>
      <w:r w:rsidR="003D5599" w:rsidRPr="006A7B9C">
        <w:rPr>
          <w:rFonts w:ascii="Arial" w:eastAsia="Calibri" w:hAnsi="Arial" w:cs="Arial"/>
          <w:sz w:val="24"/>
          <w:szCs w:val="24"/>
        </w:rPr>
        <w:t xml:space="preserve"> 11B (1) (b) read as follows:</w:t>
      </w:r>
    </w:p>
    <w:p w14:paraId="122D7C74" w14:textId="77777777" w:rsidR="003D5599" w:rsidRPr="006A7B9C" w:rsidRDefault="003D5599" w:rsidP="008D13A9">
      <w:pPr>
        <w:pStyle w:val="ListParagraph"/>
        <w:numPr>
          <w:ilvl w:val="0"/>
          <w:numId w:val="0"/>
        </w:numPr>
        <w:spacing w:before="0" w:after="0"/>
        <w:ind w:left="567"/>
        <w:rPr>
          <w:rFonts w:eastAsia="Calibri"/>
        </w:rPr>
      </w:pPr>
    </w:p>
    <w:p w14:paraId="760C2DD4" w14:textId="77777777" w:rsidR="003D5599" w:rsidRPr="008D13A9" w:rsidRDefault="003D5599" w:rsidP="008D13A9">
      <w:pPr>
        <w:spacing w:after="0" w:line="360" w:lineRule="auto"/>
        <w:ind w:left="1418"/>
        <w:jc w:val="both"/>
        <w:rPr>
          <w:rFonts w:ascii="Arial" w:eastAsia="Calibri" w:hAnsi="Arial" w:cs="Arial"/>
          <w:i/>
          <w:szCs w:val="24"/>
        </w:rPr>
      </w:pPr>
      <w:r w:rsidRPr="008D13A9">
        <w:rPr>
          <w:rFonts w:ascii="Arial" w:eastAsia="Calibri" w:hAnsi="Arial" w:cs="Arial"/>
          <w:i/>
          <w:szCs w:val="24"/>
        </w:rPr>
        <w:t xml:space="preserve">“11B. (1) (a). For the </w:t>
      </w:r>
      <w:r w:rsidRPr="008D13A9">
        <w:rPr>
          <w:rFonts w:ascii="Arial" w:eastAsia="Calibri" w:hAnsi="Arial" w:cs="Arial"/>
          <w:i/>
          <w:szCs w:val="24"/>
          <w:u w:val="single"/>
        </w:rPr>
        <w:t>period of lockdown</w:t>
      </w:r>
      <w:r w:rsidRPr="008D13A9">
        <w:rPr>
          <w:rFonts w:ascii="Arial" w:eastAsia="Calibri" w:hAnsi="Arial" w:cs="Arial"/>
          <w:i/>
          <w:szCs w:val="24"/>
        </w:rPr>
        <w:t xml:space="preserve"> –</w:t>
      </w:r>
    </w:p>
    <w:p w14:paraId="4C4706FD" w14:textId="77777777" w:rsidR="003D5599" w:rsidRPr="008D13A9" w:rsidRDefault="003D5599" w:rsidP="008D13A9">
      <w:pPr>
        <w:spacing w:after="0" w:line="360" w:lineRule="auto"/>
        <w:ind w:left="851"/>
        <w:jc w:val="both"/>
        <w:rPr>
          <w:rFonts w:ascii="Arial" w:eastAsia="Calibri" w:hAnsi="Arial" w:cs="Arial"/>
          <w:i/>
          <w:szCs w:val="24"/>
        </w:rPr>
      </w:pPr>
      <w:r w:rsidRPr="008D13A9">
        <w:rPr>
          <w:rFonts w:ascii="Arial" w:eastAsia="Calibri" w:hAnsi="Arial" w:cs="Arial"/>
          <w:i/>
          <w:szCs w:val="24"/>
        </w:rPr>
        <w:t>(b)</w:t>
      </w:r>
      <w:r w:rsidR="00F2581B" w:rsidRPr="008D13A9">
        <w:rPr>
          <w:rFonts w:ascii="Arial" w:eastAsia="Calibri" w:hAnsi="Arial" w:cs="Arial"/>
          <w:i/>
          <w:szCs w:val="24"/>
        </w:rPr>
        <w:tab/>
        <w:t xml:space="preserve">All businesses and other entities </w:t>
      </w:r>
      <w:r w:rsidR="00F2581B" w:rsidRPr="008D13A9">
        <w:rPr>
          <w:rFonts w:ascii="Arial" w:eastAsia="Calibri" w:hAnsi="Arial" w:cs="Arial"/>
          <w:i/>
          <w:szCs w:val="24"/>
          <w:u w:val="single"/>
        </w:rPr>
        <w:t>shall cease operations</w:t>
      </w:r>
      <w:r w:rsidR="00F2581B" w:rsidRPr="008D13A9">
        <w:rPr>
          <w:rFonts w:ascii="Arial" w:eastAsia="Calibri" w:hAnsi="Arial" w:cs="Arial"/>
          <w:i/>
          <w:szCs w:val="24"/>
        </w:rPr>
        <w:t xml:space="preserve"> during the lockdown, save for any business or entity involved in the manufacturing supply, or provision of an essential good or service.” [Own emphasis]</w:t>
      </w:r>
    </w:p>
    <w:p w14:paraId="5BE4042E" w14:textId="77777777" w:rsidR="003D5599" w:rsidRPr="006A7B9C" w:rsidRDefault="003D5599" w:rsidP="008D13A9">
      <w:pPr>
        <w:pStyle w:val="ListParagraph"/>
        <w:numPr>
          <w:ilvl w:val="0"/>
          <w:numId w:val="0"/>
        </w:numPr>
        <w:spacing w:before="0" w:after="0"/>
        <w:ind w:left="567"/>
        <w:rPr>
          <w:rFonts w:eastAsia="Calibri"/>
        </w:rPr>
      </w:pPr>
    </w:p>
    <w:p w14:paraId="5581449B" w14:textId="33F9AB3E" w:rsidR="00B01BE5" w:rsidRPr="006A7B9C" w:rsidRDefault="00F2581B" w:rsidP="008D13A9">
      <w:pPr>
        <w:numPr>
          <w:ilvl w:val="0"/>
          <w:numId w:val="32"/>
        </w:numPr>
        <w:tabs>
          <w:tab w:val="num" w:pos="360"/>
        </w:tabs>
        <w:spacing w:after="0" w:line="360" w:lineRule="auto"/>
        <w:ind w:left="720" w:hanging="720"/>
        <w:jc w:val="both"/>
        <w:rPr>
          <w:rFonts w:ascii="Arial" w:eastAsia="Calibri" w:hAnsi="Arial" w:cs="Arial"/>
          <w:sz w:val="24"/>
          <w:szCs w:val="24"/>
        </w:rPr>
      </w:pPr>
      <w:r w:rsidRPr="006A7B9C">
        <w:rPr>
          <w:rFonts w:ascii="Arial" w:eastAsia="Calibri" w:hAnsi="Arial" w:cs="Arial"/>
          <w:sz w:val="24"/>
          <w:szCs w:val="24"/>
        </w:rPr>
        <w:t xml:space="preserve">It is important to note that what the legislation sought to do was to cease operations. In practical terms, this meant that operations must be stopped. Given the definition of a lockdown, which meant, restriction of movement of persons, it must follow that operations that relied in persons moving in and out of the </w:t>
      </w:r>
      <w:r w:rsidR="000E5B83" w:rsidRPr="006A7B9C">
        <w:rPr>
          <w:rFonts w:ascii="Arial" w:eastAsia="Calibri" w:hAnsi="Arial" w:cs="Arial"/>
          <w:sz w:val="24"/>
          <w:szCs w:val="24"/>
        </w:rPr>
        <w:t>premises needed to cease. However, of paramount importance, the regulations did not affect virtual manner of conducting business. As it became a norm, a large contingent of businesses started operating virtually and continued to earn</w:t>
      </w:r>
      <w:r w:rsidR="00F9272E" w:rsidRPr="006A7B9C">
        <w:rPr>
          <w:rFonts w:ascii="Arial" w:eastAsia="Calibri" w:hAnsi="Arial" w:cs="Arial"/>
          <w:sz w:val="24"/>
          <w:szCs w:val="24"/>
        </w:rPr>
        <w:t xml:space="preserve"> an </w:t>
      </w:r>
      <w:r w:rsidR="000E5B83" w:rsidRPr="006A7B9C">
        <w:rPr>
          <w:rFonts w:ascii="Arial" w:eastAsia="Calibri" w:hAnsi="Arial" w:cs="Arial"/>
          <w:sz w:val="24"/>
          <w:szCs w:val="24"/>
        </w:rPr>
        <w:t>income</w:t>
      </w:r>
      <w:r w:rsidR="00F9272E" w:rsidRPr="006A7B9C">
        <w:rPr>
          <w:rFonts w:ascii="Arial" w:eastAsia="Calibri" w:hAnsi="Arial" w:cs="Arial"/>
          <w:sz w:val="24"/>
          <w:szCs w:val="24"/>
        </w:rPr>
        <w:t xml:space="preserve"> albeit at a minimized level</w:t>
      </w:r>
      <w:r w:rsidR="000E5B83" w:rsidRPr="006A7B9C">
        <w:rPr>
          <w:rFonts w:ascii="Arial" w:eastAsia="Calibri" w:hAnsi="Arial" w:cs="Arial"/>
          <w:sz w:val="24"/>
          <w:szCs w:val="24"/>
        </w:rPr>
        <w:t xml:space="preserve">. Nevertheless, pertinent to this appeal, the restrictions did not imply that no vehicles and or stock shall </w:t>
      </w:r>
      <w:r w:rsidR="00F9272E" w:rsidRPr="006A7B9C">
        <w:rPr>
          <w:rFonts w:ascii="Arial" w:eastAsia="Calibri" w:hAnsi="Arial" w:cs="Arial"/>
          <w:sz w:val="24"/>
          <w:szCs w:val="24"/>
        </w:rPr>
        <w:t>be kept and or housed inside an immovable property</w:t>
      </w:r>
      <w:r w:rsidR="000E5B83" w:rsidRPr="006A7B9C">
        <w:rPr>
          <w:rFonts w:ascii="Arial" w:eastAsia="Calibri" w:hAnsi="Arial" w:cs="Arial"/>
          <w:sz w:val="24"/>
          <w:szCs w:val="24"/>
        </w:rPr>
        <w:t xml:space="preserve">. Further, it did not imply that those who attract financial obligations must not honour those obligations. Therefore, it must follow that ceasing of operations did not imply a </w:t>
      </w:r>
      <w:r w:rsidR="000E5B83" w:rsidRPr="006A7B9C">
        <w:rPr>
          <w:rFonts w:ascii="Arial" w:eastAsia="Calibri" w:hAnsi="Arial" w:cs="Arial"/>
          <w:i/>
          <w:sz w:val="24"/>
          <w:szCs w:val="24"/>
        </w:rPr>
        <w:t>hiatus</w:t>
      </w:r>
      <w:r w:rsidR="000E5B83" w:rsidRPr="006A7B9C">
        <w:rPr>
          <w:rFonts w:ascii="Arial" w:eastAsia="Calibri" w:hAnsi="Arial" w:cs="Arial"/>
          <w:sz w:val="24"/>
          <w:szCs w:val="24"/>
        </w:rPr>
        <w:t xml:space="preserve"> of lease agreements. Certainly, during the hard lockdown, premises continued to be hired and rent continued to be paid. There was nothing unlawful about that process. </w:t>
      </w:r>
      <w:r w:rsidR="00F9272E" w:rsidRPr="006A7B9C">
        <w:rPr>
          <w:rFonts w:ascii="Arial" w:eastAsia="Calibri" w:hAnsi="Arial" w:cs="Arial"/>
          <w:sz w:val="24"/>
          <w:szCs w:val="24"/>
        </w:rPr>
        <w:t>Performance in respect of a lease agreement was not made impossible.</w:t>
      </w:r>
    </w:p>
    <w:p w14:paraId="5B31DDBA" w14:textId="77777777" w:rsidR="00B01BE5" w:rsidRPr="006A7B9C" w:rsidRDefault="00B01BE5" w:rsidP="008D13A9">
      <w:pPr>
        <w:spacing w:after="0" w:line="360" w:lineRule="auto"/>
        <w:ind w:left="720"/>
        <w:jc w:val="both"/>
        <w:rPr>
          <w:rFonts w:ascii="Arial" w:eastAsia="Calibri" w:hAnsi="Arial" w:cs="Arial"/>
          <w:sz w:val="24"/>
          <w:szCs w:val="24"/>
        </w:rPr>
      </w:pPr>
    </w:p>
    <w:p w14:paraId="2314063C" w14:textId="0C2B265E" w:rsidR="00820DBC" w:rsidRPr="006A7B9C" w:rsidRDefault="00B01BE5" w:rsidP="008D13A9">
      <w:pPr>
        <w:numPr>
          <w:ilvl w:val="0"/>
          <w:numId w:val="32"/>
        </w:numPr>
        <w:tabs>
          <w:tab w:val="num" w:pos="360"/>
        </w:tabs>
        <w:spacing w:after="0" w:line="360" w:lineRule="auto"/>
        <w:ind w:left="720" w:hanging="720"/>
        <w:jc w:val="both"/>
        <w:rPr>
          <w:rFonts w:ascii="Arial" w:eastAsia="Calibri" w:hAnsi="Arial" w:cs="Arial"/>
          <w:sz w:val="24"/>
          <w:szCs w:val="24"/>
        </w:rPr>
      </w:pPr>
      <w:r w:rsidRPr="006A7B9C">
        <w:rPr>
          <w:rFonts w:ascii="Arial" w:eastAsia="Calibri" w:hAnsi="Arial" w:cs="Arial"/>
          <w:sz w:val="24"/>
          <w:szCs w:val="24"/>
        </w:rPr>
        <w:t xml:space="preserve">In </w:t>
      </w:r>
      <w:r w:rsidRPr="006A7B9C">
        <w:rPr>
          <w:rFonts w:ascii="Arial" w:eastAsia="Calibri" w:hAnsi="Arial" w:cs="Arial"/>
          <w:i/>
          <w:sz w:val="24"/>
          <w:szCs w:val="24"/>
        </w:rPr>
        <w:t>Nogoduka-Ngumbela Consortium (Pty) ltd v Rage Distribution (Pty) Ltd t/a Rage</w:t>
      </w:r>
      <w:r w:rsidR="007C25F1" w:rsidRPr="006A7B9C">
        <w:rPr>
          <w:rFonts w:ascii="Arial" w:eastAsia="Calibri" w:hAnsi="Arial" w:cs="Arial"/>
          <w:i/>
          <w:sz w:val="24"/>
          <w:szCs w:val="24"/>
        </w:rPr>
        <w:t xml:space="preserve"> (Rage)</w:t>
      </w:r>
      <w:r w:rsidRPr="006A7B9C">
        <w:rPr>
          <w:rStyle w:val="FootnoteReference"/>
          <w:rFonts w:ascii="Arial" w:eastAsia="Calibri" w:hAnsi="Arial" w:cs="Arial"/>
          <w:sz w:val="24"/>
          <w:szCs w:val="24"/>
        </w:rPr>
        <w:footnoteReference w:id="18"/>
      </w:r>
      <w:r w:rsidRPr="006A7B9C">
        <w:rPr>
          <w:rFonts w:ascii="Arial" w:eastAsia="Calibri" w:hAnsi="Arial" w:cs="Arial"/>
          <w:sz w:val="24"/>
          <w:szCs w:val="24"/>
        </w:rPr>
        <w:t>, the erudite Acting Justice Pretorius in refusing a claim for summary judgment on the claim for arrear rental, he reached certain conclusions</w:t>
      </w:r>
      <w:r w:rsidR="00AA670F">
        <w:rPr>
          <w:rFonts w:ascii="Arial" w:eastAsia="Calibri" w:hAnsi="Arial" w:cs="Arial"/>
          <w:sz w:val="24"/>
          <w:szCs w:val="24"/>
        </w:rPr>
        <w:t>,</w:t>
      </w:r>
      <w:r w:rsidRPr="006A7B9C">
        <w:rPr>
          <w:rFonts w:ascii="Arial" w:eastAsia="Calibri" w:hAnsi="Arial" w:cs="Arial"/>
          <w:sz w:val="24"/>
          <w:szCs w:val="24"/>
        </w:rPr>
        <w:t xml:space="preserve"> which influenced the findings under appeal. On application of the </w:t>
      </w:r>
      <w:r w:rsidRPr="006A7B9C">
        <w:rPr>
          <w:rFonts w:ascii="Arial" w:eastAsia="Calibri" w:hAnsi="Arial" w:cs="Arial"/>
          <w:i/>
          <w:sz w:val="24"/>
          <w:szCs w:val="24"/>
        </w:rPr>
        <w:t>stare decisis et movere</w:t>
      </w:r>
      <w:r w:rsidRPr="006A7B9C">
        <w:rPr>
          <w:rFonts w:ascii="Arial" w:eastAsia="Calibri" w:hAnsi="Arial" w:cs="Arial"/>
          <w:sz w:val="24"/>
          <w:szCs w:val="24"/>
        </w:rPr>
        <w:t xml:space="preserve"> principl</w:t>
      </w:r>
      <w:r w:rsidR="003C199A" w:rsidRPr="006A7B9C">
        <w:rPr>
          <w:rFonts w:ascii="Arial" w:eastAsia="Calibri" w:hAnsi="Arial" w:cs="Arial"/>
          <w:sz w:val="24"/>
          <w:szCs w:val="24"/>
        </w:rPr>
        <w:t>e, this Court is bound to consider</w:t>
      </w:r>
      <w:r w:rsidRPr="006A7B9C">
        <w:rPr>
          <w:rFonts w:ascii="Arial" w:eastAsia="Calibri" w:hAnsi="Arial" w:cs="Arial"/>
          <w:sz w:val="24"/>
          <w:szCs w:val="24"/>
        </w:rPr>
        <w:t xml:space="preserve"> those conclusions unless it finds that those </w:t>
      </w:r>
      <w:r w:rsidRPr="006A7B9C">
        <w:rPr>
          <w:rFonts w:ascii="Arial" w:eastAsia="Calibri" w:hAnsi="Arial" w:cs="Arial"/>
          <w:sz w:val="24"/>
          <w:szCs w:val="24"/>
        </w:rPr>
        <w:lastRenderedPageBreak/>
        <w:t xml:space="preserve">were clearly wrong. In any event being a decision of a single judge, this Court is not bound to follow it. In his </w:t>
      </w:r>
      <w:r w:rsidR="00AA670F" w:rsidRPr="006A7B9C">
        <w:rPr>
          <w:rFonts w:ascii="Arial" w:eastAsia="Calibri" w:hAnsi="Arial" w:cs="Arial"/>
          <w:sz w:val="24"/>
          <w:szCs w:val="24"/>
        </w:rPr>
        <w:t>judgment,</w:t>
      </w:r>
      <w:r w:rsidRPr="006A7B9C">
        <w:rPr>
          <w:rFonts w:ascii="Arial" w:eastAsia="Calibri" w:hAnsi="Arial" w:cs="Arial"/>
          <w:sz w:val="24"/>
          <w:szCs w:val="24"/>
        </w:rPr>
        <w:t xml:space="preserve"> Pretorius AJ found that </w:t>
      </w:r>
      <w:r w:rsidR="00820DBC" w:rsidRPr="006A7B9C">
        <w:rPr>
          <w:rFonts w:ascii="Arial" w:eastAsia="Calibri" w:hAnsi="Arial" w:cs="Arial"/>
          <w:sz w:val="24"/>
          <w:szCs w:val="24"/>
        </w:rPr>
        <w:t>performance in terms of the lease was prohibited by the promulgation of the Regulations and, as such, the inability to perform constitutes objective legal impossibility.</w:t>
      </w:r>
      <w:r w:rsidR="00820DBC" w:rsidRPr="006A7B9C">
        <w:rPr>
          <w:rStyle w:val="FootnoteReference"/>
          <w:rFonts w:ascii="Arial" w:eastAsia="Calibri" w:hAnsi="Arial" w:cs="Arial"/>
          <w:sz w:val="24"/>
          <w:szCs w:val="24"/>
        </w:rPr>
        <w:footnoteReference w:id="19"/>
      </w:r>
      <w:r w:rsidR="00820DBC" w:rsidRPr="006A7B9C">
        <w:rPr>
          <w:rFonts w:ascii="Arial" w:eastAsia="Calibri" w:hAnsi="Arial" w:cs="Arial"/>
          <w:sz w:val="24"/>
          <w:szCs w:val="24"/>
        </w:rPr>
        <w:t xml:space="preserve"> With considerable regret</w:t>
      </w:r>
      <w:r w:rsidR="00AA670F">
        <w:rPr>
          <w:rFonts w:ascii="Arial" w:eastAsia="Calibri" w:hAnsi="Arial" w:cs="Arial"/>
          <w:sz w:val="24"/>
          <w:szCs w:val="24"/>
        </w:rPr>
        <w:t>,</w:t>
      </w:r>
      <w:r w:rsidR="00820DBC" w:rsidRPr="006A7B9C">
        <w:rPr>
          <w:rFonts w:ascii="Arial" w:eastAsia="Calibri" w:hAnsi="Arial" w:cs="Arial"/>
          <w:sz w:val="24"/>
          <w:szCs w:val="24"/>
        </w:rPr>
        <w:t xml:space="preserve"> we disagree with this finding. As indicated above, nowhere in the Regulations lies a prohibition of performance awaited in a lease agreement (make a leased property available for use and enjoyment and payment of rent in return of the usage and enjoyment). In our considered view, the conclusion that performance was prohibited is a wrong one in law.</w:t>
      </w:r>
    </w:p>
    <w:p w14:paraId="523FE138" w14:textId="77777777" w:rsidR="00820DBC" w:rsidRPr="006A7B9C" w:rsidRDefault="00820DBC" w:rsidP="008D13A9">
      <w:pPr>
        <w:spacing w:after="0" w:line="360" w:lineRule="auto"/>
        <w:jc w:val="both"/>
        <w:rPr>
          <w:rFonts w:ascii="Arial" w:eastAsia="Calibri" w:hAnsi="Arial" w:cs="Arial"/>
          <w:sz w:val="24"/>
          <w:szCs w:val="24"/>
        </w:rPr>
      </w:pPr>
      <w:r w:rsidRPr="006A7B9C">
        <w:rPr>
          <w:rFonts w:ascii="Arial" w:eastAsia="Calibri" w:hAnsi="Arial" w:cs="Arial"/>
          <w:sz w:val="24"/>
          <w:szCs w:val="24"/>
        </w:rPr>
        <w:t xml:space="preserve"> </w:t>
      </w:r>
    </w:p>
    <w:p w14:paraId="77B00EBC" w14:textId="7DC619FA" w:rsidR="00FE666C" w:rsidRPr="006A7B9C" w:rsidRDefault="00820DBC" w:rsidP="008D13A9">
      <w:pPr>
        <w:numPr>
          <w:ilvl w:val="0"/>
          <w:numId w:val="32"/>
        </w:numPr>
        <w:tabs>
          <w:tab w:val="num" w:pos="360"/>
        </w:tabs>
        <w:spacing w:after="0" w:line="360" w:lineRule="auto"/>
        <w:ind w:left="720" w:hanging="720"/>
        <w:jc w:val="both"/>
        <w:rPr>
          <w:rFonts w:ascii="Arial" w:eastAsia="Calibri" w:hAnsi="Arial" w:cs="Arial"/>
          <w:sz w:val="24"/>
          <w:szCs w:val="24"/>
        </w:rPr>
      </w:pPr>
      <w:r w:rsidRPr="006A7B9C">
        <w:rPr>
          <w:rFonts w:ascii="Arial" w:eastAsia="Calibri" w:hAnsi="Arial" w:cs="Arial"/>
          <w:sz w:val="24"/>
          <w:szCs w:val="24"/>
        </w:rPr>
        <w:t xml:space="preserve">Again, this Court disagrees with a conclusion that the March 2020 Regulations deprived lessees wholly of the use and enjoyment of the properties leased and constituted a </w:t>
      </w:r>
      <w:r w:rsidRPr="006A7B9C">
        <w:rPr>
          <w:rFonts w:ascii="Arial" w:eastAsia="Calibri" w:hAnsi="Arial" w:cs="Arial"/>
          <w:i/>
          <w:sz w:val="24"/>
          <w:szCs w:val="24"/>
        </w:rPr>
        <w:t>vis major</w:t>
      </w:r>
      <w:r w:rsidRPr="006A7B9C">
        <w:rPr>
          <w:rFonts w:ascii="Arial" w:eastAsia="Calibri" w:hAnsi="Arial" w:cs="Arial"/>
          <w:sz w:val="24"/>
          <w:szCs w:val="24"/>
        </w:rPr>
        <w:t xml:space="preserve"> event</w:t>
      </w:r>
      <w:r w:rsidRPr="006A7B9C">
        <w:rPr>
          <w:rStyle w:val="FootnoteReference"/>
          <w:rFonts w:ascii="Arial" w:eastAsia="Calibri" w:hAnsi="Arial" w:cs="Arial"/>
          <w:sz w:val="24"/>
          <w:szCs w:val="24"/>
        </w:rPr>
        <w:footnoteReference w:id="20"/>
      </w:r>
      <w:r w:rsidRPr="006A7B9C">
        <w:rPr>
          <w:rFonts w:ascii="Arial" w:eastAsia="Calibri" w:hAnsi="Arial" w:cs="Arial"/>
          <w:sz w:val="24"/>
          <w:szCs w:val="24"/>
        </w:rPr>
        <w:t>.</w:t>
      </w:r>
      <w:r w:rsidR="001637F1" w:rsidRPr="006A7B9C">
        <w:rPr>
          <w:rFonts w:ascii="Arial" w:eastAsia="Calibri" w:hAnsi="Arial" w:cs="Arial"/>
          <w:sz w:val="24"/>
          <w:szCs w:val="24"/>
        </w:rPr>
        <w:t xml:space="preserve"> As indicated earlier, in a lease agreement the use and enjoyment of the property means using the property for the purpose it was hired. In </w:t>
      </w:r>
      <w:r w:rsidR="001637F1" w:rsidRPr="006A7B9C">
        <w:rPr>
          <w:rFonts w:ascii="Arial" w:eastAsia="Calibri" w:hAnsi="Arial" w:cs="Arial"/>
          <w:i/>
          <w:sz w:val="24"/>
          <w:szCs w:val="24"/>
        </w:rPr>
        <w:t>casu</w:t>
      </w:r>
      <w:r w:rsidR="001637F1" w:rsidRPr="006A7B9C">
        <w:rPr>
          <w:rFonts w:ascii="Arial" w:eastAsia="Calibri" w:hAnsi="Arial" w:cs="Arial"/>
          <w:sz w:val="24"/>
          <w:szCs w:val="24"/>
        </w:rPr>
        <w:t>, the property was hired to house the motor vehicles. It may have been the un</w:t>
      </w:r>
      <w:r w:rsidR="003C199A" w:rsidRPr="006A7B9C">
        <w:rPr>
          <w:rFonts w:ascii="Arial" w:eastAsia="Calibri" w:hAnsi="Arial" w:cs="Arial"/>
          <w:sz w:val="24"/>
          <w:szCs w:val="24"/>
        </w:rPr>
        <w:t>derlying object of Luhan</w:t>
      </w:r>
      <w:r w:rsidR="001637F1" w:rsidRPr="006A7B9C">
        <w:rPr>
          <w:rFonts w:ascii="Arial" w:eastAsia="Calibri" w:hAnsi="Arial" w:cs="Arial"/>
          <w:sz w:val="24"/>
          <w:szCs w:val="24"/>
        </w:rPr>
        <w:t xml:space="preserve"> to at the same time run a profitable outfit at the premises. However, that could not have </w:t>
      </w:r>
      <w:r w:rsidR="003C199A" w:rsidRPr="006A7B9C">
        <w:rPr>
          <w:rFonts w:ascii="Arial" w:eastAsia="Calibri" w:hAnsi="Arial" w:cs="Arial"/>
          <w:sz w:val="24"/>
          <w:szCs w:val="24"/>
        </w:rPr>
        <w:t>been the object of Hennops</w:t>
      </w:r>
      <w:r w:rsidR="001637F1" w:rsidRPr="006A7B9C">
        <w:rPr>
          <w:rFonts w:ascii="Arial" w:eastAsia="Calibri" w:hAnsi="Arial" w:cs="Arial"/>
          <w:sz w:val="24"/>
          <w:szCs w:val="24"/>
        </w:rPr>
        <w:t>. It must have b</w:t>
      </w:r>
      <w:r w:rsidR="003C199A" w:rsidRPr="006A7B9C">
        <w:rPr>
          <w:rFonts w:ascii="Arial" w:eastAsia="Calibri" w:hAnsi="Arial" w:cs="Arial"/>
          <w:sz w:val="24"/>
          <w:szCs w:val="24"/>
        </w:rPr>
        <w:t xml:space="preserve">een the object of Hennops </w:t>
      </w:r>
      <w:r w:rsidR="001637F1" w:rsidRPr="006A7B9C">
        <w:rPr>
          <w:rFonts w:ascii="Arial" w:eastAsia="Calibri" w:hAnsi="Arial" w:cs="Arial"/>
          <w:sz w:val="24"/>
          <w:szCs w:val="24"/>
        </w:rPr>
        <w:t>that the premises must provide the required</w:t>
      </w:r>
      <w:r w:rsidR="003A29ED" w:rsidRPr="006A7B9C">
        <w:rPr>
          <w:rFonts w:ascii="Arial" w:eastAsia="Calibri" w:hAnsi="Arial" w:cs="Arial"/>
          <w:sz w:val="24"/>
          <w:szCs w:val="24"/>
        </w:rPr>
        <w:t xml:space="preserve"> hired</w:t>
      </w:r>
      <w:r w:rsidR="001637F1" w:rsidRPr="006A7B9C">
        <w:rPr>
          <w:rFonts w:ascii="Arial" w:eastAsia="Calibri" w:hAnsi="Arial" w:cs="Arial"/>
          <w:sz w:val="24"/>
          <w:szCs w:val="24"/>
        </w:rPr>
        <w:t xml:space="preserve"> square mile to </w:t>
      </w:r>
      <w:r w:rsidR="003A29ED" w:rsidRPr="006A7B9C">
        <w:rPr>
          <w:rFonts w:ascii="Arial" w:eastAsia="Calibri" w:hAnsi="Arial" w:cs="Arial"/>
          <w:sz w:val="24"/>
          <w:szCs w:val="24"/>
        </w:rPr>
        <w:t>house the stock of Luhan</w:t>
      </w:r>
      <w:r w:rsidR="001637F1" w:rsidRPr="006A7B9C">
        <w:rPr>
          <w:rFonts w:ascii="Arial" w:eastAsia="Calibri" w:hAnsi="Arial" w:cs="Arial"/>
          <w:sz w:val="24"/>
          <w:szCs w:val="24"/>
        </w:rPr>
        <w:t>. Undoubtedly, what the Regulations thwarted is the profi</w:t>
      </w:r>
      <w:r w:rsidR="003A29ED" w:rsidRPr="006A7B9C">
        <w:rPr>
          <w:rFonts w:ascii="Arial" w:eastAsia="Calibri" w:hAnsi="Arial" w:cs="Arial"/>
          <w:sz w:val="24"/>
          <w:szCs w:val="24"/>
        </w:rPr>
        <w:t>tability of Luhan</w:t>
      </w:r>
      <w:r w:rsidR="001637F1" w:rsidRPr="006A7B9C">
        <w:rPr>
          <w:rFonts w:ascii="Arial" w:eastAsia="Calibri" w:hAnsi="Arial" w:cs="Arial"/>
          <w:sz w:val="24"/>
          <w:szCs w:val="24"/>
        </w:rPr>
        <w:t xml:space="preserve">. However, the lease agreement was not concluded with the </w:t>
      </w:r>
      <w:r w:rsidR="003A29ED" w:rsidRPr="006A7B9C">
        <w:rPr>
          <w:rFonts w:ascii="Arial" w:eastAsia="Calibri" w:hAnsi="Arial" w:cs="Arial"/>
          <w:sz w:val="24"/>
          <w:szCs w:val="24"/>
        </w:rPr>
        <w:t xml:space="preserve">purpose of making Luhan </w:t>
      </w:r>
      <w:r w:rsidR="001637F1" w:rsidRPr="006A7B9C">
        <w:rPr>
          <w:rFonts w:ascii="Arial" w:eastAsia="Calibri" w:hAnsi="Arial" w:cs="Arial"/>
          <w:sz w:val="24"/>
          <w:szCs w:val="24"/>
        </w:rPr>
        <w:t xml:space="preserve">profitable. Profitability was not the basis of the </w:t>
      </w:r>
      <w:r w:rsidR="003A29ED" w:rsidRPr="006A7B9C">
        <w:rPr>
          <w:rFonts w:ascii="Arial" w:eastAsia="Calibri" w:hAnsi="Arial" w:cs="Arial"/>
          <w:sz w:val="24"/>
          <w:szCs w:val="24"/>
        </w:rPr>
        <w:t xml:space="preserve">lease </w:t>
      </w:r>
      <w:r w:rsidR="001637F1" w:rsidRPr="006A7B9C">
        <w:rPr>
          <w:rFonts w:ascii="Arial" w:eastAsia="Calibri" w:hAnsi="Arial" w:cs="Arial"/>
          <w:sz w:val="24"/>
          <w:szCs w:val="24"/>
        </w:rPr>
        <w:t xml:space="preserve">contract. </w:t>
      </w:r>
      <w:r w:rsidR="001637F1" w:rsidRPr="006A7B9C">
        <w:rPr>
          <w:rFonts w:ascii="Arial" w:eastAsia="Calibri" w:hAnsi="Arial" w:cs="Arial"/>
          <w:i/>
          <w:sz w:val="24"/>
          <w:szCs w:val="24"/>
        </w:rPr>
        <w:t>Vacuo possessio</w:t>
      </w:r>
      <w:r w:rsidR="001637F1" w:rsidRPr="006A7B9C">
        <w:rPr>
          <w:rFonts w:ascii="Arial" w:eastAsia="Calibri" w:hAnsi="Arial" w:cs="Arial"/>
          <w:sz w:val="24"/>
          <w:szCs w:val="24"/>
        </w:rPr>
        <w:t xml:space="preserve"> simply means an undisturbed possession of the leased property. Of significan</w:t>
      </w:r>
      <w:r w:rsidR="00AA670F">
        <w:rPr>
          <w:rFonts w:ascii="Arial" w:eastAsia="Calibri" w:hAnsi="Arial" w:cs="Arial"/>
          <w:sz w:val="24"/>
          <w:szCs w:val="24"/>
        </w:rPr>
        <w:t>ce</w:t>
      </w:r>
      <w:r w:rsidR="001637F1" w:rsidRPr="006A7B9C">
        <w:rPr>
          <w:rFonts w:ascii="Arial" w:eastAsia="Calibri" w:hAnsi="Arial" w:cs="Arial"/>
          <w:sz w:val="24"/>
          <w:szCs w:val="24"/>
        </w:rPr>
        <w:t xml:space="preserve">, </w:t>
      </w:r>
      <w:r w:rsidR="003A29ED" w:rsidRPr="006A7B9C">
        <w:rPr>
          <w:rFonts w:ascii="Arial" w:eastAsia="Calibri" w:hAnsi="Arial" w:cs="Arial"/>
          <w:sz w:val="24"/>
          <w:szCs w:val="24"/>
        </w:rPr>
        <w:t xml:space="preserve">notionally </w:t>
      </w:r>
      <w:r w:rsidR="001637F1" w:rsidRPr="006A7B9C">
        <w:rPr>
          <w:rFonts w:ascii="Arial" w:eastAsia="Calibri" w:hAnsi="Arial" w:cs="Arial"/>
          <w:sz w:val="24"/>
          <w:szCs w:val="24"/>
        </w:rPr>
        <w:t xml:space="preserve">it must be the lessor who must not disturb possession. </w:t>
      </w:r>
      <w:r w:rsidR="00342431" w:rsidRPr="006A7B9C">
        <w:rPr>
          <w:rFonts w:ascii="Arial" w:eastAsia="Calibri" w:hAnsi="Arial" w:cs="Arial"/>
          <w:sz w:val="24"/>
          <w:szCs w:val="24"/>
        </w:rPr>
        <w:t xml:space="preserve">The remedy of </w:t>
      </w:r>
      <w:r w:rsidR="00342431" w:rsidRPr="006A7B9C">
        <w:rPr>
          <w:rFonts w:ascii="Arial" w:eastAsia="Calibri" w:hAnsi="Arial" w:cs="Arial"/>
          <w:i/>
          <w:sz w:val="24"/>
          <w:szCs w:val="24"/>
        </w:rPr>
        <w:t>mandament van spolie</w:t>
      </w:r>
      <w:r w:rsidR="00342431" w:rsidRPr="006A7B9C">
        <w:rPr>
          <w:rFonts w:ascii="Arial" w:eastAsia="Calibri" w:hAnsi="Arial" w:cs="Arial"/>
          <w:sz w:val="24"/>
          <w:szCs w:val="24"/>
        </w:rPr>
        <w:t xml:space="preserve"> does exist to remedy disturbed possession. Nevertheless, the property leased was not destroyed. It existed and on the uncontested evidence, the stock o</w:t>
      </w:r>
      <w:r w:rsidR="00BB7405" w:rsidRPr="006A7B9C">
        <w:rPr>
          <w:rFonts w:ascii="Arial" w:eastAsia="Calibri" w:hAnsi="Arial" w:cs="Arial"/>
          <w:sz w:val="24"/>
          <w:szCs w:val="24"/>
        </w:rPr>
        <w:t>f Luhan</w:t>
      </w:r>
      <w:r w:rsidR="00342431" w:rsidRPr="006A7B9C">
        <w:rPr>
          <w:rFonts w:ascii="Arial" w:eastAsia="Calibri" w:hAnsi="Arial" w:cs="Arial"/>
          <w:sz w:val="24"/>
          <w:szCs w:val="24"/>
        </w:rPr>
        <w:t xml:space="preserve"> remained safely secured during the lockdown period – there lies performance on the part of the appellant. The recipro</w:t>
      </w:r>
      <w:r w:rsidR="004819A9">
        <w:rPr>
          <w:rFonts w:ascii="Arial" w:eastAsia="Calibri" w:hAnsi="Arial" w:cs="Arial"/>
          <w:sz w:val="24"/>
          <w:szCs w:val="24"/>
        </w:rPr>
        <w:t>cal performance by Luhan</w:t>
      </w:r>
      <w:r w:rsidR="00342431" w:rsidRPr="006A7B9C">
        <w:rPr>
          <w:rFonts w:ascii="Arial" w:eastAsia="Calibri" w:hAnsi="Arial" w:cs="Arial"/>
          <w:sz w:val="24"/>
          <w:szCs w:val="24"/>
        </w:rPr>
        <w:t xml:space="preserve"> ought to have been payment of rent. Payment of rent was not rendered impossible by the Regulations. For an example, </w:t>
      </w:r>
      <w:r w:rsidR="00557CCC" w:rsidRPr="006A7B9C">
        <w:rPr>
          <w:rFonts w:ascii="Arial" w:eastAsia="Calibri" w:hAnsi="Arial" w:cs="Arial"/>
          <w:sz w:val="24"/>
          <w:szCs w:val="24"/>
        </w:rPr>
        <w:t>in instances where Luhan</w:t>
      </w:r>
      <w:r w:rsidR="00342431" w:rsidRPr="006A7B9C">
        <w:rPr>
          <w:rFonts w:ascii="Arial" w:eastAsia="Calibri" w:hAnsi="Arial" w:cs="Arial"/>
          <w:sz w:val="24"/>
          <w:szCs w:val="24"/>
        </w:rPr>
        <w:t xml:space="preserve"> did not make profit in order to meet its obligations financially, there was nothing</w:t>
      </w:r>
      <w:r w:rsidR="007C25F1" w:rsidRPr="006A7B9C">
        <w:rPr>
          <w:rFonts w:ascii="Arial" w:eastAsia="Calibri" w:hAnsi="Arial" w:cs="Arial"/>
          <w:sz w:val="24"/>
          <w:szCs w:val="24"/>
        </w:rPr>
        <w:t xml:space="preserve"> to have prevented Luhan</w:t>
      </w:r>
      <w:r w:rsidR="00342431" w:rsidRPr="006A7B9C">
        <w:rPr>
          <w:rFonts w:ascii="Arial" w:eastAsia="Calibri" w:hAnsi="Arial" w:cs="Arial"/>
          <w:sz w:val="24"/>
          <w:szCs w:val="24"/>
        </w:rPr>
        <w:t xml:space="preserve"> to seek other financial interventions like a loan at </w:t>
      </w:r>
      <w:r w:rsidR="00342431" w:rsidRPr="006A7B9C">
        <w:rPr>
          <w:rFonts w:ascii="Arial" w:eastAsia="Calibri" w:hAnsi="Arial" w:cs="Arial"/>
          <w:sz w:val="24"/>
          <w:szCs w:val="24"/>
        </w:rPr>
        <w:lastRenderedPageBreak/>
        <w:t xml:space="preserve">a financial institution or being afforded an overdraft. That </w:t>
      </w:r>
      <w:r w:rsidR="00AA670F">
        <w:rPr>
          <w:rFonts w:ascii="Arial" w:eastAsia="Calibri" w:hAnsi="Arial" w:cs="Arial"/>
          <w:sz w:val="24"/>
          <w:szCs w:val="24"/>
        </w:rPr>
        <w:t xml:space="preserve">being a </w:t>
      </w:r>
      <w:r w:rsidR="00AA670F" w:rsidRPr="006A7B9C">
        <w:rPr>
          <w:rFonts w:ascii="Arial" w:eastAsia="Calibri" w:hAnsi="Arial" w:cs="Arial"/>
          <w:sz w:val="24"/>
          <w:szCs w:val="24"/>
        </w:rPr>
        <w:t>possible</w:t>
      </w:r>
      <w:r w:rsidR="00AA670F">
        <w:rPr>
          <w:rFonts w:ascii="Arial" w:eastAsia="Calibri" w:hAnsi="Arial" w:cs="Arial"/>
          <w:sz w:val="24"/>
          <w:szCs w:val="24"/>
        </w:rPr>
        <w:t xml:space="preserve"> option,</w:t>
      </w:r>
      <w:r w:rsidR="00342431" w:rsidRPr="006A7B9C">
        <w:rPr>
          <w:rFonts w:ascii="Arial" w:eastAsia="Calibri" w:hAnsi="Arial" w:cs="Arial"/>
          <w:sz w:val="24"/>
          <w:szCs w:val="24"/>
        </w:rPr>
        <w:t xml:space="preserve"> how </w:t>
      </w:r>
      <w:r w:rsidR="00AA670F">
        <w:rPr>
          <w:rFonts w:ascii="Arial" w:eastAsia="Calibri" w:hAnsi="Arial" w:cs="Arial"/>
          <w:sz w:val="24"/>
          <w:szCs w:val="24"/>
        </w:rPr>
        <w:t xml:space="preserve">then </w:t>
      </w:r>
      <w:r w:rsidR="00342431" w:rsidRPr="006A7B9C">
        <w:rPr>
          <w:rFonts w:ascii="Arial" w:eastAsia="Calibri" w:hAnsi="Arial" w:cs="Arial"/>
          <w:sz w:val="24"/>
          <w:szCs w:val="24"/>
        </w:rPr>
        <w:t xml:space="preserve">does performance – payment of rent </w:t>
      </w:r>
      <w:r w:rsidR="00AA670F">
        <w:rPr>
          <w:rFonts w:ascii="Arial" w:eastAsia="Calibri" w:hAnsi="Arial" w:cs="Arial"/>
          <w:sz w:val="24"/>
          <w:szCs w:val="24"/>
        </w:rPr>
        <w:t xml:space="preserve">– </w:t>
      </w:r>
      <w:r w:rsidR="00342431" w:rsidRPr="006A7B9C">
        <w:rPr>
          <w:rFonts w:ascii="Arial" w:eastAsia="Calibri" w:hAnsi="Arial" w:cs="Arial"/>
          <w:sz w:val="24"/>
          <w:szCs w:val="24"/>
        </w:rPr>
        <w:t>become impossible? In our view</w:t>
      </w:r>
      <w:r w:rsidR="00AA670F">
        <w:rPr>
          <w:rFonts w:ascii="Arial" w:eastAsia="Calibri" w:hAnsi="Arial" w:cs="Arial"/>
          <w:sz w:val="24"/>
          <w:szCs w:val="24"/>
        </w:rPr>
        <w:t>,</w:t>
      </w:r>
      <w:r w:rsidR="00342431" w:rsidRPr="006A7B9C">
        <w:rPr>
          <w:rFonts w:ascii="Arial" w:eastAsia="Calibri" w:hAnsi="Arial" w:cs="Arial"/>
          <w:sz w:val="24"/>
          <w:szCs w:val="24"/>
        </w:rPr>
        <w:t xml:space="preserve"> an impossibility and or frustration did not manifest itself. An impossibility is not one to affect one party to the contract, it must be one that affect both parties, and importantly, the performance of the terms of the contract. </w:t>
      </w:r>
    </w:p>
    <w:p w14:paraId="383249FE" w14:textId="77777777" w:rsidR="00FE666C" w:rsidRPr="006A7B9C" w:rsidRDefault="00FE666C" w:rsidP="008D13A9">
      <w:pPr>
        <w:spacing w:after="0" w:line="360" w:lineRule="auto"/>
        <w:ind w:left="720"/>
        <w:jc w:val="both"/>
        <w:rPr>
          <w:rFonts w:ascii="Arial" w:eastAsia="Calibri" w:hAnsi="Arial" w:cs="Arial"/>
          <w:sz w:val="24"/>
          <w:szCs w:val="24"/>
        </w:rPr>
      </w:pPr>
    </w:p>
    <w:p w14:paraId="7C4D6D50" w14:textId="77777777" w:rsidR="00FE666C" w:rsidRPr="006A7B9C" w:rsidRDefault="00FE666C" w:rsidP="008D13A9">
      <w:pPr>
        <w:numPr>
          <w:ilvl w:val="0"/>
          <w:numId w:val="32"/>
        </w:numPr>
        <w:tabs>
          <w:tab w:val="num" w:pos="360"/>
        </w:tabs>
        <w:spacing w:after="0" w:line="360" w:lineRule="auto"/>
        <w:ind w:left="720" w:hanging="720"/>
        <w:jc w:val="both"/>
        <w:rPr>
          <w:rFonts w:ascii="Arial" w:eastAsia="Calibri" w:hAnsi="Arial" w:cs="Arial"/>
          <w:sz w:val="24"/>
          <w:szCs w:val="24"/>
        </w:rPr>
      </w:pPr>
      <w:r w:rsidRPr="006A7B9C">
        <w:rPr>
          <w:rFonts w:ascii="Arial" w:eastAsia="Calibri" w:hAnsi="Arial" w:cs="Arial"/>
          <w:sz w:val="24"/>
          <w:szCs w:val="24"/>
        </w:rPr>
        <w:t>In rounding off the findings ma</w:t>
      </w:r>
      <w:r w:rsidR="007C25F1" w:rsidRPr="006A7B9C">
        <w:rPr>
          <w:rFonts w:ascii="Arial" w:eastAsia="Calibri" w:hAnsi="Arial" w:cs="Arial"/>
          <w:sz w:val="24"/>
          <w:szCs w:val="24"/>
        </w:rPr>
        <w:t>de by the learned Acting Justice in</w:t>
      </w:r>
      <w:r w:rsidR="007C25F1" w:rsidRPr="006A7B9C">
        <w:rPr>
          <w:rFonts w:ascii="Arial" w:eastAsia="Calibri" w:hAnsi="Arial" w:cs="Arial"/>
          <w:i/>
          <w:sz w:val="24"/>
          <w:szCs w:val="24"/>
        </w:rPr>
        <w:t xml:space="preserve"> Rage</w:t>
      </w:r>
      <w:r w:rsidR="007C25F1" w:rsidRPr="006A7B9C">
        <w:rPr>
          <w:rFonts w:ascii="Arial" w:eastAsia="Calibri" w:hAnsi="Arial" w:cs="Arial"/>
          <w:sz w:val="24"/>
          <w:szCs w:val="24"/>
        </w:rPr>
        <w:t>,</w:t>
      </w:r>
      <w:r w:rsidRPr="006A7B9C">
        <w:rPr>
          <w:rFonts w:ascii="Arial" w:eastAsia="Calibri" w:hAnsi="Arial" w:cs="Arial"/>
          <w:sz w:val="24"/>
          <w:szCs w:val="24"/>
        </w:rPr>
        <w:t xml:space="preserve"> this Court disagrees wit</w:t>
      </w:r>
      <w:r w:rsidR="007C25F1" w:rsidRPr="006A7B9C">
        <w:rPr>
          <w:rFonts w:ascii="Arial" w:eastAsia="Calibri" w:hAnsi="Arial" w:cs="Arial"/>
          <w:sz w:val="24"/>
          <w:szCs w:val="24"/>
        </w:rPr>
        <w:t>h a conclusion that the act of the G</w:t>
      </w:r>
      <w:r w:rsidRPr="006A7B9C">
        <w:rPr>
          <w:rFonts w:ascii="Arial" w:eastAsia="Calibri" w:hAnsi="Arial" w:cs="Arial"/>
          <w:sz w:val="24"/>
          <w:szCs w:val="24"/>
        </w:rPr>
        <w:t>overnment in promulgating the March 2020 Regulations, and the effect thereof on the obligations of the parties in terms of the lease constituted a supervening legal impossibility</w:t>
      </w:r>
      <w:r w:rsidRPr="006A7B9C">
        <w:rPr>
          <w:rStyle w:val="FootnoteReference"/>
          <w:rFonts w:ascii="Arial" w:eastAsia="Calibri" w:hAnsi="Arial" w:cs="Arial"/>
          <w:sz w:val="24"/>
          <w:szCs w:val="24"/>
        </w:rPr>
        <w:footnoteReference w:id="21"/>
      </w:r>
      <w:r w:rsidRPr="006A7B9C">
        <w:rPr>
          <w:rFonts w:ascii="Arial" w:eastAsia="Calibri" w:hAnsi="Arial" w:cs="Arial"/>
          <w:sz w:val="24"/>
          <w:szCs w:val="24"/>
        </w:rPr>
        <w:t>.</w:t>
      </w:r>
    </w:p>
    <w:p w14:paraId="41678050" w14:textId="77777777" w:rsidR="00FE666C" w:rsidRPr="006A7B9C" w:rsidRDefault="00FE666C" w:rsidP="008D13A9">
      <w:pPr>
        <w:pStyle w:val="ListParagraph"/>
        <w:numPr>
          <w:ilvl w:val="0"/>
          <w:numId w:val="0"/>
        </w:numPr>
        <w:spacing w:before="0" w:after="0"/>
        <w:ind w:left="567"/>
        <w:rPr>
          <w:rFonts w:eastAsia="Calibri"/>
        </w:rPr>
      </w:pPr>
    </w:p>
    <w:p w14:paraId="3AB2466B" w14:textId="77777777" w:rsidR="00231783" w:rsidRPr="006A7B9C" w:rsidRDefault="00FE666C" w:rsidP="008D13A9">
      <w:pPr>
        <w:numPr>
          <w:ilvl w:val="0"/>
          <w:numId w:val="32"/>
        </w:numPr>
        <w:tabs>
          <w:tab w:val="num" w:pos="360"/>
        </w:tabs>
        <w:spacing w:after="0" w:line="360" w:lineRule="auto"/>
        <w:ind w:left="720" w:hanging="720"/>
        <w:jc w:val="both"/>
        <w:rPr>
          <w:rFonts w:ascii="Arial" w:eastAsia="Calibri" w:hAnsi="Arial" w:cs="Arial"/>
          <w:sz w:val="24"/>
          <w:szCs w:val="24"/>
        </w:rPr>
      </w:pPr>
      <w:r w:rsidRPr="006A7B9C">
        <w:rPr>
          <w:rFonts w:ascii="Arial" w:eastAsia="Calibri" w:hAnsi="Arial" w:cs="Arial"/>
          <w:sz w:val="24"/>
          <w:szCs w:val="24"/>
        </w:rPr>
        <w:t>Sadly, in our considered view, the SCA missed the golden opportunity to settle authoritatively</w:t>
      </w:r>
      <w:r w:rsidR="0085415E" w:rsidRPr="006A7B9C">
        <w:rPr>
          <w:rFonts w:ascii="Arial" w:eastAsia="Calibri" w:hAnsi="Arial" w:cs="Arial"/>
          <w:sz w:val="24"/>
          <w:szCs w:val="24"/>
        </w:rPr>
        <w:t xml:space="preserve"> so</w:t>
      </w:r>
      <w:r w:rsidRPr="006A7B9C">
        <w:rPr>
          <w:rFonts w:ascii="Arial" w:eastAsia="Calibri" w:hAnsi="Arial" w:cs="Arial"/>
          <w:sz w:val="24"/>
          <w:szCs w:val="24"/>
        </w:rPr>
        <w:t xml:space="preserve"> this conundrum in the matter of </w:t>
      </w:r>
      <w:r w:rsidRPr="006A7B9C">
        <w:rPr>
          <w:rFonts w:ascii="Arial" w:eastAsia="Calibri" w:hAnsi="Arial" w:cs="Arial"/>
          <w:i/>
          <w:sz w:val="24"/>
          <w:szCs w:val="24"/>
        </w:rPr>
        <w:t>Slabbert N O &amp; 3 Others v Ma-Afrika Hotels t/a Rivierbos Guest House</w:t>
      </w:r>
      <w:r w:rsidR="00231783" w:rsidRPr="006A7B9C">
        <w:rPr>
          <w:rFonts w:ascii="Arial" w:eastAsia="Calibri" w:hAnsi="Arial" w:cs="Arial"/>
          <w:i/>
          <w:sz w:val="24"/>
          <w:szCs w:val="24"/>
        </w:rPr>
        <w:t>.</w:t>
      </w:r>
      <w:r w:rsidRPr="006A7B9C">
        <w:rPr>
          <w:rStyle w:val="FootnoteReference"/>
          <w:rFonts w:ascii="Arial" w:eastAsia="Calibri" w:hAnsi="Arial" w:cs="Arial"/>
          <w:i/>
          <w:sz w:val="24"/>
          <w:szCs w:val="24"/>
        </w:rPr>
        <w:footnoteReference w:id="22"/>
      </w:r>
      <w:r w:rsidR="00B01BE5" w:rsidRPr="006A7B9C">
        <w:rPr>
          <w:rFonts w:ascii="Arial" w:eastAsia="Calibri" w:hAnsi="Arial" w:cs="Arial"/>
          <w:sz w:val="24"/>
          <w:szCs w:val="24"/>
        </w:rPr>
        <w:t xml:space="preserve"> </w:t>
      </w:r>
      <w:r w:rsidR="000E5B83" w:rsidRPr="006A7B9C">
        <w:rPr>
          <w:rFonts w:ascii="Arial" w:eastAsia="Calibri" w:hAnsi="Arial" w:cs="Arial"/>
          <w:sz w:val="24"/>
          <w:szCs w:val="24"/>
        </w:rPr>
        <w:t xml:space="preserve"> </w:t>
      </w:r>
      <w:r w:rsidR="00231783" w:rsidRPr="006A7B9C">
        <w:rPr>
          <w:rFonts w:ascii="Arial" w:eastAsia="Calibri" w:hAnsi="Arial" w:cs="Arial"/>
          <w:sz w:val="24"/>
          <w:szCs w:val="24"/>
        </w:rPr>
        <w:t>The SCA under the pen of the erudite Molemela JA, stated the following:</w:t>
      </w:r>
    </w:p>
    <w:p w14:paraId="64444A0A" w14:textId="77777777" w:rsidR="00231783" w:rsidRPr="006A7B9C" w:rsidRDefault="00231783" w:rsidP="008D13A9">
      <w:pPr>
        <w:pStyle w:val="ListParagraph"/>
        <w:numPr>
          <w:ilvl w:val="0"/>
          <w:numId w:val="0"/>
        </w:numPr>
        <w:spacing w:before="0" w:after="0"/>
        <w:ind w:left="567"/>
        <w:rPr>
          <w:rFonts w:eastAsia="Calibri"/>
        </w:rPr>
      </w:pPr>
    </w:p>
    <w:p w14:paraId="2AD9534D" w14:textId="77777777" w:rsidR="00231783" w:rsidRPr="008D13A9" w:rsidRDefault="00231783" w:rsidP="008D13A9">
      <w:pPr>
        <w:spacing w:after="0" w:line="360" w:lineRule="auto"/>
        <w:ind w:left="851"/>
        <w:jc w:val="both"/>
        <w:rPr>
          <w:rFonts w:ascii="Arial" w:eastAsia="Calibri" w:hAnsi="Arial" w:cs="Arial"/>
          <w:i/>
          <w:szCs w:val="24"/>
        </w:rPr>
      </w:pPr>
      <w:r w:rsidRPr="006A7B9C">
        <w:rPr>
          <w:rFonts w:ascii="Arial" w:eastAsia="Calibri" w:hAnsi="Arial" w:cs="Arial"/>
          <w:sz w:val="24"/>
          <w:szCs w:val="24"/>
        </w:rPr>
        <w:t>“</w:t>
      </w:r>
      <w:r w:rsidRPr="008D13A9">
        <w:rPr>
          <w:rFonts w:ascii="Arial" w:eastAsia="Calibri" w:hAnsi="Arial" w:cs="Arial"/>
          <w:i/>
          <w:szCs w:val="24"/>
        </w:rPr>
        <w:t xml:space="preserve">For reasons that follow, I am of the view that it is not necessary for this Court to decide </w:t>
      </w:r>
      <w:r w:rsidRPr="008D13A9">
        <w:rPr>
          <w:rFonts w:ascii="Arial" w:eastAsia="Calibri" w:hAnsi="Arial" w:cs="Arial"/>
          <w:i/>
          <w:szCs w:val="24"/>
          <w:u w:val="single"/>
        </w:rPr>
        <w:t>whether the restrictive regulations applicable during the period 26 March 2020 to September 2020 constituted a supervening impossibility of performance that discharged the respondent from the liability to pay the full amount of rental</w:t>
      </w:r>
      <w:r w:rsidRPr="008D13A9">
        <w:rPr>
          <w:rFonts w:ascii="Arial" w:eastAsia="Calibri" w:hAnsi="Arial" w:cs="Arial"/>
          <w:i/>
          <w:szCs w:val="24"/>
        </w:rPr>
        <w:t xml:space="preserve">. At best for the respondent, Hansen </w:t>
      </w:r>
      <w:r w:rsidRPr="008D13A9">
        <w:rPr>
          <w:rFonts w:ascii="Arial" w:eastAsia="Calibri" w:hAnsi="Arial" w:cs="Arial"/>
          <w:i/>
          <w:szCs w:val="24"/>
          <w:u w:val="single"/>
        </w:rPr>
        <w:t>may mean</w:t>
      </w:r>
      <w:r w:rsidRPr="008D13A9">
        <w:rPr>
          <w:rFonts w:ascii="Arial" w:eastAsia="Calibri" w:hAnsi="Arial" w:cs="Arial"/>
          <w:i/>
          <w:szCs w:val="24"/>
        </w:rPr>
        <w:t xml:space="preserve"> that the period during which the Covid-19 regulations prohibited or restricted trade (i.e. 26 March 2020 to 20 September 2020</w:t>
      </w:r>
      <w:r w:rsidR="004760EC" w:rsidRPr="008D13A9">
        <w:rPr>
          <w:rFonts w:ascii="Arial" w:eastAsia="Calibri" w:hAnsi="Arial" w:cs="Arial"/>
          <w:i/>
          <w:szCs w:val="24"/>
        </w:rPr>
        <w:t>) is a direct and immediate cause of the inability to perform, thus comparable to the situation described as ‘the first case in Hansen, where the subletting of the property was unattainable as a direct result of the war…”</w:t>
      </w:r>
      <w:r w:rsidRPr="008D13A9">
        <w:rPr>
          <w:rFonts w:ascii="Arial" w:eastAsia="Calibri" w:hAnsi="Arial" w:cs="Arial"/>
          <w:i/>
          <w:szCs w:val="24"/>
        </w:rPr>
        <w:t xml:space="preserve"> </w:t>
      </w:r>
    </w:p>
    <w:p w14:paraId="6E5D7980" w14:textId="77777777" w:rsidR="00231783" w:rsidRPr="008D13A9" w:rsidRDefault="00231783" w:rsidP="008D13A9">
      <w:pPr>
        <w:pStyle w:val="ListParagraph"/>
        <w:numPr>
          <w:ilvl w:val="0"/>
          <w:numId w:val="0"/>
        </w:numPr>
        <w:spacing w:before="0" w:after="0"/>
        <w:ind w:left="851"/>
        <w:rPr>
          <w:rFonts w:eastAsia="Calibri"/>
          <w:i/>
          <w:sz w:val="22"/>
        </w:rPr>
      </w:pPr>
    </w:p>
    <w:p w14:paraId="130B1D1D" w14:textId="77777777" w:rsidR="00082D55" w:rsidRPr="006A7B9C" w:rsidRDefault="004A0330" w:rsidP="008D13A9">
      <w:pPr>
        <w:numPr>
          <w:ilvl w:val="0"/>
          <w:numId w:val="32"/>
        </w:numPr>
        <w:tabs>
          <w:tab w:val="num" w:pos="360"/>
        </w:tabs>
        <w:spacing w:after="0" w:line="360" w:lineRule="auto"/>
        <w:ind w:left="720" w:hanging="720"/>
        <w:jc w:val="both"/>
        <w:rPr>
          <w:rFonts w:ascii="Arial" w:eastAsia="Calibri" w:hAnsi="Arial" w:cs="Arial"/>
          <w:sz w:val="24"/>
          <w:szCs w:val="24"/>
        </w:rPr>
      </w:pPr>
      <w:r w:rsidRPr="006A7B9C">
        <w:rPr>
          <w:rFonts w:ascii="Arial" w:eastAsia="Calibri" w:hAnsi="Arial" w:cs="Arial"/>
          <w:sz w:val="24"/>
          <w:szCs w:val="24"/>
        </w:rPr>
        <w:t xml:space="preserve">All of the above happens in the circumstances </w:t>
      </w:r>
      <w:r w:rsidR="004760EC" w:rsidRPr="006A7B9C">
        <w:rPr>
          <w:rFonts w:ascii="Arial" w:eastAsia="Calibri" w:hAnsi="Arial" w:cs="Arial"/>
          <w:sz w:val="24"/>
          <w:szCs w:val="24"/>
        </w:rPr>
        <w:t xml:space="preserve">where the respondent’s defence was recorded by the Court to be “the Covid-19 Regulations impaired its ability to fully trade and exploit the commercial potential of the premises and thus constituted </w:t>
      </w:r>
      <w:r w:rsidR="004760EC" w:rsidRPr="006A7B9C">
        <w:rPr>
          <w:rFonts w:ascii="Arial" w:eastAsia="Calibri" w:hAnsi="Arial" w:cs="Arial"/>
          <w:i/>
          <w:sz w:val="24"/>
          <w:szCs w:val="24"/>
        </w:rPr>
        <w:t>vis major</w:t>
      </w:r>
      <w:r w:rsidR="004760EC" w:rsidRPr="006A7B9C">
        <w:rPr>
          <w:rFonts w:ascii="Arial" w:eastAsia="Calibri" w:hAnsi="Arial" w:cs="Arial"/>
          <w:sz w:val="24"/>
          <w:szCs w:val="24"/>
        </w:rPr>
        <w:t>, thereby discharging it from the liability to pay rent during alert levels 4 and 5”</w:t>
      </w:r>
      <w:r w:rsidR="004760EC" w:rsidRPr="006A7B9C">
        <w:rPr>
          <w:rStyle w:val="FootnoteReference"/>
          <w:rFonts w:ascii="Arial" w:eastAsia="Calibri" w:hAnsi="Arial" w:cs="Arial"/>
          <w:sz w:val="24"/>
          <w:szCs w:val="24"/>
        </w:rPr>
        <w:footnoteReference w:id="23"/>
      </w:r>
      <w:r w:rsidR="004760EC" w:rsidRPr="006A7B9C">
        <w:rPr>
          <w:rFonts w:ascii="Arial" w:eastAsia="Calibri" w:hAnsi="Arial" w:cs="Arial"/>
          <w:sz w:val="24"/>
          <w:szCs w:val="24"/>
        </w:rPr>
        <w:t xml:space="preserve">. Regrettably, the SCA did not make a </w:t>
      </w:r>
      <w:r w:rsidRPr="006A7B9C">
        <w:rPr>
          <w:rFonts w:ascii="Arial" w:eastAsia="Calibri" w:hAnsi="Arial" w:cs="Arial"/>
          <w:sz w:val="24"/>
          <w:szCs w:val="24"/>
        </w:rPr>
        <w:t xml:space="preserve">definitive </w:t>
      </w:r>
      <w:r w:rsidR="004760EC" w:rsidRPr="006A7B9C">
        <w:rPr>
          <w:rFonts w:ascii="Arial" w:eastAsia="Calibri" w:hAnsi="Arial" w:cs="Arial"/>
          <w:sz w:val="24"/>
          <w:szCs w:val="24"/>
        </w:rPr>
        <w:t>finding</w:t>
      </w:r>
      <w:r w:rsidRPr="006A7B9C">
        <w:rPr>
          <w:rFonts w:ascii="Arial" w:eastAsia="Calibri" w:hAnsi="Arial" w:cs="Arial"/>
          <w:sz w:val="24"/>
          <w:szCs w:val="24"/>
        </w:rPr>
        <w:t xml:space="preserve"> as to</w:t>
      </w:r>
      <w:r w:rsidR="004760EC" w:rsidRPr="006A7B9C">
        <w:rPr>
          <w:rFonts w:ascii="Arial" w:eastAsia="Calibri" w:hAnsi="Arial" w:cs="Arial"/>
          <w:sz w:val="24"/>
          <w:szCs w:val="24"/>
        </w:rPr>
        <w:t xml:space="preserve"> whether the </w:t>
      </w:r>
      <w:r w:rsidR="004760EC" w:rsidRPr="006A7B9C">
        <w:rPr>
          <w:rFonts w:ascii="Arial" w:eastAsia="Calibri" w:hAnsi="Arial" w:cs="Arial"/>
          <w:sz w:val="24"/>
          <w:szCs w:val="24"/>
        </w:rPr>
        <w:lastRenderedPageBreak/>
        <w:t>impairment of an ability to fully trade</w:t>
      </w:r>
      <w:r w:rsidR="00082D55" w:rsidRPr="006A7B9C">
        <w:rPr>
          <w:rFonts w:ascii="Arial" w:eastAsia="Calibri" w:hAnsi="Arial" w:cs="Arial"/>
          <w:sz w:val="24"/>
          <w:szCs w:val="24"/>
        </w:rPr>
        <w:t xml:space="preserve"> and exploit the commercial potential of the premises constituted </w:t>
      </w:r>
      <w:r w:rsidR="00082D55" w:rsidRPr="006A7B9C">
        <w:rPr>
          <w:rFonts w:ascii="Arial" w:eastAsia="Calibri" w:hAnsi="Arial" w:cs="Arial"/>
          <w:i/>
          <w:sz w:val="24"/>
          <w:szCs w:val="24"/>
        </w:rPr>
        <w:t>vis major</w:t>
      </w:r>
      <w:r w:rsidR="00082D55" w:rsidRPr="006A7B9C">
        <w:rPr>
          <w:rFonts w:ascii="Arial" w:eastAsia="Calibri" w:hAnsi="Arial" w:cs="Arial"/>
          <w:sz w:val="24"/>
          <w:szCs w:val="24"/>
        </w:rPr>
        <w:t xml:space="preserve"> that will discharge liability to pay rent during hard lockdown. In our view, this is a critical question that profoundly arises in this matter. </w:t>
      </w:r>
    </w:p>
    <w:p w14:paraId="2C688D85" w14:textId="77777777" w:rsidR="00082D55" w:rsidRPr="006A7B9C" w:rsidRDefault="00082D55" w:rsidP="008D13A9">
      <w:pPr>
        <w:spacing w:after="0" w:line="360" w:lineRule="auto"/>
        <w:ind w:left="720"/>
        <w:jc w:val="both"/>
        <w:rPr>
          <w:rFonts w:ascii="Arial" w:eastAsia="Calibri" w:hAnsi="Arial" w:cs="Arial"/>
          <w:sz w:val="24"/>
          <w:szCs w:val="24"/>
        </w:rPr>
      </w:pPr>
    </w:p>
    <w:p w14:paraId="4209F2B2" w14:textId="77777777" w:rsidR="00326347" w:rsidRPr="006A7B9C" w:rsidRDefault="00082D55" w:rsidP="008D13A9">
      <w:pPr>
        <w:numPr>
          <w:ilvl w:val="0"/>
          <w:numId w:val="32"/>
        </w:numPr>
        <w:tabs>
          <w:tab w:val="num" w:pos="360"/>
        </w:tabs>
        <w:spacing w:after="0" w:line="360" w:lineRule="auto"/>
        <w:ind w:left="720" w:hanging="720"/>
        <w:jc w:val="both"/>
        <w:rPr>
          <w:rFonts w:ascii="Arial" w:eastAsia="Calibri" w:hAnsi="Arial" w:cs="Arial"/>
          <w:sz w:val="24"/>
          <w:szCs w:val="24"/>
        </w:rPr>
      </w:pPr>
      <w:r w:rsidRPr="006A7B9C">
        <w:rPr>
          <w:rFonts w:ascii="Arial" w:eastAsia="Calibri" w:hAnsi="Arial" w:cs="Arial"/>
          <w:sz w:val="24"/>
          <w:szCs w:val="24"/>
        </w:rPr>
        <w:t>Sadly, what app</w:t>
      </w:r>
      <w:r w:rsidR="004A0330" w:rsidRPr="006A7B9C">
        <w:rPr>
          <w:rFonts w:ascii="Arial" w:eastAsia="Calibri" w:hAnsi="Arial" w:cs="Arial"/>
          <w:sz w:val="24"/>
          <w:szCs w:val="24"/>
        </w:rPr>
        <w:t xml:space="preserve">ears, in our respectful view, to be </w:t>
      </w:r>
      <w:r w:rsidRPr="006A7B9C">
        <w:rPr>
          <w:rFonts w:ascii="Arial" w:eastAsia="Calibri" w:hAnsi="Arial" w:cs="Arial"/>
          <w:sz w:val="24"/>
          <w:szCs w:val="24"/>
        </w:rPr>
        <w:t>an ambivalent answer</w:t>
      </w:r>
      <w:r w:rsidR="004A0330" w:rsidRPr="006A7B9C">
        <w:rPr>
          <w:rFonts w:ascii="Arial" w:eastAsia="Calibri" w:hAnsi="Arial" w:cs="Arial"/>
          <w:sz w:val="24"/>
          <w:szCs w:val="24"/>
        </w:rPr>
        <w:t>, supposedly</w:t>
      </w:r>
      <w:r w:rsidRPr="006A7B9C">
        <w:rPr>
          <w:rFonts w:ascii="Arial" w:eastAsia="Calibri" w:hAnsi="Arial" w:cs="Arial"/>
          <w:sz w:val="24"/>
          <w:szCs w:val="24"/>
        </w:rPr>
        <w:t xml:space="preserve"> to be found in the first case of </w:t>
      </w:r>
      <w:r w:rsidRPr="006A7B9C">
        <w:rPr>
          <w:rFonts w:ascii="Arial" w:eastAsia="Calibri" w:hAnsi="Arial" w:cs="Arial"/>
          <w:i/>
          <w:sz w:val="24"/>
          <w:szCs w:val="24"/>
        </w:rPr>
        <w:t>Hansen</w:t>
      </w:r>
      <w:r w:rsidR="004A0330" w:rsidRPr="006A7B9C">
        <w:rPr>
          <w:rFonts w:ascii="Arial" w:eastAsia="Calibri" w:hAnsi="Arial" w:cs="Arial"/>
          <w:i/>
          <w:sz w:val="24"/>
          <w:szCs w:val="24"/>
        </w:rPr>
        <w:t>,</w:t>
      </w:r>
      <w:r w:rsidRPr="006A7B9C">
        <w:rPr>
          <w:rFonts w:ascii="Arial" w:eastAsia="Calibri" w:hAnsi="Arial" w:cs="Arial"/>
          <w:sz w:val="24"/>
          <w:szCs w:val="24"/>
        </w:rPr>
        <w:t xml:space="preserve"> rem</w:t>
      </w:r>
      <w:r w:rsidR="00621971" w:rsidRPr="006A7B9C">
        <w:rPr>
          <w:rFonts w:ascii="Arial" w:eastAsia="Calibri" w:hAnsi="Arial" w:cs="Arial"/>
          <w:sz w:val="24"/>
          <w:szCs w:val="24"/>
        </w:rPr>
        <w:t>ains unhelpful</w:t>
      </w:r>
      <w:r w:rsidRPr="006A7B9C">
        <w:rPr>
          <w:rFonts w:ascii="Arial" w:eastAsia="Calibri" w:hAnsi="Arial" w:cs="Arial"/>
          <w:sz w:val="24"/>
          <w:szCs w:val="24"/>
        </w:rPr>
        <w:t>. In our unguided but considered view, in the first instance the ability to trade fully and exploit the commercial potential has nothing to do with the terms of a lease agreement. Parties do not conclude lease agreement</w:t>
      </w:r>
      <w:r w:rsidR="004A0330" w:rsidRPr="006A7B9C">
        <w:rPr>
          <w:rFonts w:ascii="Arial" w:eastAsia="Calibri" w:hAnsi="Arial" w:cs="Arial"/>
          <w:sz w:val="24"/>
          <w:szCs w:val="24"/>
        </w:rPr>
        <w:t>s</w:t>
      </w:r>
      <w:r w:rsidRPr="006A7B9C">
        <w:rPr>
          <w:rFonts w:ascii="Arial" w:eastAsia="Calibri" w:hAnsi="Arial" w:cs="Arial"/>
          <w:sz w:val="24"/>
          <w:szCs w:val="24"/>
        </w:rPr>
        <w:t xml:space="preserve"> with a sole purpose to trade or exploit the commercial potential. Such purpose </w:t>
      </w:r>
      <w:r w:rsidR="00326347" w:rsidRPr="006A7B9C">
        <w:rPr>
          <w:rFonts w:ascii="Arial" w:eastAsia="Calibri" w:hAnsi="Arial" w:cs="Arial"/>
          <w:sz w:val="24"/>
          <w:szCs w:val="24"/>
        </w:rPr>
        <w:t xml:space="preserve">only serves the interest of the lessee and not that of a lessor. Like in the </w:t>
      </w:r>
      <w:r w:rsidR="00326347" w:rsidRPr="006A7B9C">
        <w:rPr>
          <w:rFonts w:ascii="Arial" w:eastAsia="Calibri" w:hAnsi="Arial" w:cs="Arial"/>
          <w:i/>
          <w:sz w:val="24"/>
          <w:szCs w:val="24"/>
        </w:rPr>
        <w:t>Hutton</w:t>
      </w:r>
      <w:r w:rsidR="00326347" w:rsidRPr="006A7B9C">
        <w:rPr>
          <w:rFonts w:ascii="Arial" w:eastAsia="Calibri" w:hAnsi="Arial" w:cs="Arial"/>
          <w:sz w:val="24"/>
          <w:szCs w:val="24"/>
        </w:rPr>
        <w:t xml:space="preserve"> case, a failure to achieve such a purpose does not give rise to the principle developed in </w:t>
      </w:r>
      <w:r w:rsidR="00326347" w:rsidRPr="006A7B9C">
        <w:rPr>
          <w:rFonts w:ascii="Arial" w:eastAsia="Calibri" w:hAnsi="Arial" w:cs="Arial"/>
          <w:i/>
          <w:sz w:val="24"/>
          <w:szCs w:val="24"/>
        </w:rPr>
        <w:t>Taylor</w:t>
      </w:r>
      <w:r w:rsidR="00326347" w:rsidRPr="006A7B9C">
        <w:rPr>
          <w:rFonts w:ascii="Arial" w:eastAsia="Calibri" w:hAnsi="Arial" w:cs="Arial"/>
          <w:sz w:val="24"/>
          <w:szCs w:val="24"/>
        </w:rPr>
        <w:t xml:space="preserve">. </w:t>
      </w:r>
      <w:r w:rsidRPr="006A7B9C">
        <w:rPr>
          <w:rFonts w:ascii="Arial" w:eastAsia="Calibri" w:hAnsi="Arial" w:cs="Arial"/>
          <w:sz w:val="24"/>
          <w:szCs w:val="24"/>
        </w:rPr>
        <w:t xml:space="preserve"> </w:t>
      </w:r>
    </w:p>
    <w:p w14:paraId="12B0662B" w14:textId="77777777" w:rsidR="00326347" w:rsidRPr="006A7B9C" w:rsidRDefault="00326347" w:rsidP="008D13A9">
      <w:pPr>
        <w:pStyle w:val="ListParagraph"/>
        <w:numPr>
          <w:ilvl w:val="0"/>
          <w:numId w:val="0"/>
        </w:numPr>
        <w:spacing w:before="0" w:after="0"/>
        <w:ind w:left="567"/>
        <w:rPr>
          <w:rFonts w:eastAsia="Calibri"/>
        </w:rPr>
      </w:pPr>
    </w:p>
    <w:p w14:paraId="144C2863" w14:textId="5BA8596A" w:rsidR="005A67EB" w:rsidRPr="006A7B9C" w:rsidRDefault="00326347" w:rsidP="008D13A9">
      <w:pPr>
        <w:numPr>
          <w:ilvl w:val="0"/>
          <w:numId w:val="32"/>
        </w:numPr>
        <w:tabs>
          <w:tab w:val="num" w:pos="360"/>
        </w:tabs>
        <w:spacing w:after="0" w:line="360" w:lineRule="auto"/>
        <w:ind w:left="720" w:hanging="720"/>
        <w:jc w:val="both"/>
        <w:rPr>
          <w:rFonts w:ascii="Arial" w:eastAsia="Calibri" w:hAnsi="Arial" w:cs="Arial"/>
          <w:sz w:val="24"/>
          <w:szCs w:val="24"/>
        </w:rPr>
      </w:pPr>
      <w:r w:rsidRPr="006A7B9C">
        <w:rPr>
          <w:rFonts w:ascii="Arial" w:eastAsia="Calibri" w:hAnsi="Arial" w:cs="Arial"/>
          <w:sz w:val="24"/>
          <w:szCs w:val="24"/>
        </w:rPr>
        <w:t xml:space="preserve">With considerable regret, in our considered view an answer may not even lay in the first case of </w:t>
      </w:r>
      <w:r w:rsidRPr="006A7B9C">
        <w:rPr>
          <w:rFonts w:ascii="Arial" w:eastAsia="Calibri" w:hAnsi="Arial" w:cs="Arial"/>
          <w:i/>
          <w:sz w:val="24"/>
          <w:szCs w:val="24"/>
        </w:rPr>
        <w:t>Hansen.</w:t>
      </w:r>
      <w:r w:rsidRPr="006A7B9C">
        <w:rPr>
          <w:rFonts w:ascii="Arial" w:eastAsia="Calibri" w:hAnsi="Arial" w:cs="Arial"/>
          <w:sz w:val="24"/>
          <w:szCs w:val="24"/>
        </w:rPr>
        <w:t xml:space="preserve"> As we understand the case of </w:t>
      </w:r>
      <w:r w:rsidRPr="006A7B9C">
        <w:rPr>
          <w:rFonts w:ascii="Arial" w:eastAsia="Calibri" w:hAnsi="Arial" w:cs="Arial"/>
          <w:i/>
          <w:sz w:val="24"/>
          <w:szCs w:val="24"/>
        </w:rPr>
        <w:t>Hansen, Schrader &amp; Co v Kopelowitz (Hansen)</w:t>
      </w:r>
      <w:r w:rsidRPr="006A7B9C">
        <w:rPr>
          <w:rStyle w:val="FootnoteReference"/>
          <w:rFonts w:ascii="Arial" w:eastAsia="Calibri" w:hAnsi="Arial" w:cs="Arial"/>
          <w:sz w:val="24"/>
          <w:szCs w:val="24"/>
        </w:rPr>
        <w:footnoteReference w:id="24"/>
      </w:r>
      <w:r w:rsidRPr="006A7B9C">
        <w:rPr>
          <w:rFonts w:ascii="Arial" w:eastAsia="Calibri" w:hAnsi="Arial" w:cs="Arial"/>
          <w:sz w:val="24"/>
          <w:szCs w:val="24"/>
        </w:rPr>
        <w:t xml:space="preserve">, the full Court concluded that loss of beneficial occupation (essential requirement of a lease agreement) must be the direct result of </w:t>
      </w:r>
      <w:r w:rsidR="00DC7B54" w:rsidRPr="006A7B9C">
        <w:rPr>
          <w:rFonts w:ascii="Arial" w:eastAsia="Calibri" w:hAnsi="Arial" w:cs="Arial"/>
          <w:sz w:val="24"/>
          <w:szCs w:val="24"/>
        </w:rPr>
        <w:t xml:space="preserve">the </w:t>
      </w:r>
      <w:r w:rsidR="00DC7B54" w:rsidRPr="006A7B9C">
        <w:rPr>
          <w:rFonts w:ascii="Arial" w:eastAsia="Calibri" w:hAnsi="Arial" w:cs="Arial"/>
          <w:i/>
          <w:sz w:val="24"/>
          <w:szCs w:val="24"/>
        </w:rPr>
        <w:t>vis major</w:t>
      </w:r>
      <w:r w:rsidR="00DC7B54" w:rsidRPr="006A7B9C">
        <w:rPr>
          <w:rFonts w:ascii="Arial" w:eastAsia="Calibri" w:hAnsi="Arial" w:cs="Arial"/>
          <w:sz w:val="24"/>
          <w:szCs w:val="24"/>
        </w:rPr>
        <w:t xml:space="preserve"> not merely indirectly or remotely connected therewith. </w:t>
      </w:r>
      <w:r w:rsidR="0058052B" w:rsidRPr="006A7B9C">
        <w:rPr>
          <w:rFonts w:ascii="Arial" w:eastAsia="Calibri" w:hAnsi="Arial" w:cs="Arial"/>
          <w:sz w:val="24"/>
          <w:szCs w:val="24"/>
        </w:rPr>
        <w:t xml:space="preserve">In </w:t>
      </w:r>
      <w:r w:rsidR="0058052B" w:rsidRPr="006A7B9C">
        <w:rPr>
          <w:rFonts w:ascii="Arial" w:eastAsia="Calibri" w:hAnsi="Arial" w:cs="Arial"/>
          <w:i/>
          <w:sz w:val="24"/>
          <w:szCs w:val="24"/>
        </w:rPr>
        <w:t>Hansen</w:t>
      </w:r>
      <w:r w:rsidR="0058052B" w:rsidRPr="006A7B9C">
        <w:rPr>
          <w:rFonts w:ascii="Arial" w:eastAsia="Calibri" w:hAnsi="Arial" w:cs="Arial"/>
          <w:sz w:val="24"/>
          <w:szCs w:val="24"/>
        </w:rPr>
        <w:t xml:space="preserve">, the defendant sought remission of rent because the country in which the leased property is situated was at war. Aptly, the full Court also concluded that the fact that a great number of people have left the country, so as to reduce the field from which the lessee draws his custom, is no ground for remission of rent because the </w:t>
      </w:r>
      <w:r w:rsidR="0058052B" w:rsidRPr="006A7B9C">
        <w:rPr>
          <w:rFonts w:ascii="Arial" w:eastAsia="Calibri" w:hAnsi="Arial" w:cs="Arial"/>
          <w:i/>
          <w:sz w:val="24"/>
          <w:szCs w:val="24"/>
        </w:rPr>
        <w:t>vis major</w:t>
      </w:r>
      <w:r w:rsidR="0058052B" w:rsidRPr="006A7B9C">
        <w:rPr>
          <w:rFonts w:ascii="Arial" w:eastAsia="Calibri" w:hAnsi="Arial" w:cs="Arial"/>
          <w:sz w:val="24"/>
          <w:szCs w:val="24"/>
        </w:rPr>
        <w:t xml:space="preserve"> must be the direct and immediate cause of the lessee being deprived of the use of the property let.</w:t>
      </w:r>
      <w:r w:rsidR="005A67EB" w:rsidRPr="006A7B9C">
        <w:rPr>
          <w:rFonts w:ascii="Arial" w:eastAsia="Calibri" w:hAnsi="Arial" w:cs="Arial"/>
          <w:sz w:val="24"/>
          <w:szCs w:val="24"/>
        </w:rPr>
        <w:t xml:space="preserve"> We understand this to mean that there </w:t>
      </w:r>
      <w:r w:rsidR="004A0330" w:rsidRPr="006A7B9C">
        <w:rPr>
          <w:rFonts w:ascii="Arial" w:eastAsia="Calibri" w:hAnsi="Arial" w:cs="Arial"/>
          <w:sz w:val="24"/>
          <w:szCs w:val="24"/>
        </w:rPr>
        <w:t>must be a connection between the restrictions – ceasing of</w:t>
      </w:r>
      <w:r w:rsidR="005A67EB" w:rsidRPr="006A7B9C">
        <w:rPr>
          <w:rFonts w:ascii="Arial" w:eastAsia="Calibri" w:hAnsi="Arial" w:cs="Arial"/>
          <w:sz w:val="24"/>
          <w:szCs w:val="24"/>
        </w:rPr>
        <w:t xml:space="preserve"> operations</w:t>
      </w:r>
      <w:r w:rsidR="004A0330" w:rsidRPr="006A7B9C">
        <w:rPr>
          <w:rFonts w:ascii="Arial" w:eastAsia="Calibri" w:hAnsi="Arial" w:cs="Arial"/>
          <w:sz w:val="24"/>
          <w:szCs w:val="24"/>
        </w:rPr>
        <w:t xml:space="preserve"> </w:t>
      </w:r>
      <w:r w:rsidR="00E5440E">
        <w:rPr>
          <w:rFonts w:ascii="Arial" w:eastAsia="Calibri" w:hAnsi="Arial" w:cs="Arial"/>
          <w:sz w:val="24"/>
          <w:szCs w:val="24"/>
        </w:rPr>
        <w:t>–</w:t>
      </w:r>
      <w:r w:rsidR="004A0330" w:rsidRPr="006A7B9C">
        <w:rPr>
          <w:rFonts w:ascii="Arial" w:eastAsia="Calibri" w:hAnsi="Arial" w:cs="Arial"/>
          <w:sz w:val="24"/>
          <w:szCs w:val="24"/>
        </w:rPr>
        <w:t xml:space="preserve"> </w:t>
      </w:r>
      <w:r w:rsidR="005A67EB" w:rsidRPr="006A7B9C">
        <w:rPr>
          <w:rFonts w:ascii="Arial" w:eastAsia="Calibri" w:hAnsi="Arial" w:cs="Arial"/>
          <w:sz w:val="24"/>
          <w:szCs w:val="24"/>
        </w:rPr>
        <w:t>and the deprived use of the property let. This calls for the application of the causation test, it seems to us. As we know it, the causation test is predicated on two legs; viz; factual and legal causation. The exercise involves the search of the proximate cause. The difficulty in this instance, in our view,</w:t>
      </w:r>
      <w:r w:rsidR="00F26E70" w:rsidRPr="006A7B9C">
        <w:rPr>
          <w:rFonts w:ascii="Arial" w:eastAsia="Calibri" w:hAnsi="Arial" w:cs="Arial"/>
          <w:sz w:val="24"/>
          <w:szCs w:val="24"/>
        </w:rPr>
        <w:t xml:space="preserve"> is that there was</w:t>
      </w:r>
      <w:r w:rsidR="005A67EB" w:rsidRPr="006A7B9C">
        <w:rPr>
          <w:rFonts w:ascii="Arial" w:eastAsia="Calibri" w:hAnsi="Arial" w:cs="Arial"/>
          <w:sz w:val="24"/>
          <w:szCs w:val="24"/>
        </w:rPr>
        <w:t xml:space="preserve"> no evidence of loss of enjoyment and or use of the property. On the contrary, du</w:t>
      </w:r>
      <w:r w:rsidR="001A393C">
        <w:rPr>
          <w:rFonts w:ascii="Arial" w:eastAsia="Calibri" w:hAnsi="Arial" w:cs="Arial"/>
          <w:sz w:val="24"/>
          <w:szCs w:val="24"/>
        </w:rPr>
        <w:t>ring the lockdown, Luhan</w:t>
      </w:r>
      <w:r w:rsidR="005A67EB" w:rsidRPr="006A7B9C">
        <w:rPr>
          <w:rFonts w:ascii="Arial" w:eastAsia="Calibri" w:hAnsi="Arial" w:cs="Arial"/>
          <w:sz w:val="24"/>
          <w:szCs w:val="24"/>
        </w:rPr>
        <w:t xml:space="preserve"> remained in undisturbed possession</w:t>
      </w:r>
      <w:r w:rsidR="00794414" w:rsidRPr="006A7B9C">
        <w:rPr>
          <w:rFonts w:ascii="Arial" w:eastAsia="Calibri" w:hAnsi="Arial" w:cs="Arial"/>
          <w:sz w:val="24"/>
          <w:szCs w:val="24"/>
        </w:rPr>
        <w:t xml:space="preserve"> and occupation of the premises</w:t>
      </w:r>
      <w:r w:rsidR="005A67EB" w:rsidRPr="006A7B9C">
        <w:rPr>
          <w:rFonts w:ascii="Arial" w:eastAsia="Calibri" w:hAnsi="Arial" w:cs="Arial"/>
          <w:sz w:val="24"/>
          <w:szCs w:val="24"/>
        </w:rPr>
        <w:t>.</w:t>
      </w:r>
      <w:r w:rsidR="00F26E70" w:rsidRPr="006A7B9C">
        <w:rPr>
          <w:rFonts w:ascii="Arial" w:eastAsia="Calibri" w:hAnsi="Arial" w:cs="Arial"/>
          <w:sz w:val="24"/>
          <w:szCs w:val="24"/>
        </w:rPr>
        <w:t xml:space="preserve"> As an indication that Luhan </w:t>
      </w:r>
      <w:r w:rsidR="00F26E70" w:rsidRPr="006A7B9C">
        <w:rPr>
          <w:rFonts w:ascii="Arial" w:eastAsia="Calibri" w:hAnsi="Arial" w:cs="Arial"/>
          <w:sz w:val="24"/>
          <w:szCs w:val="24"/>
        </w:rPr>
        <w:lastRenderedPageBreak/>
        <w:t>and Hennops were more concerned with the thing to be leased (premises), in clause 5 of the agreement, the</w:t>
      </w:r>
      <w:r w:rsidR="00794414" w:rsidRPr="006A7B9C">
        <w:rPr>
          <w:rFonts w:ascii="Arial" w:eastAsia="Calibri" w:hAnsi="Arial" w:cs="Arial"/>
          <w:sz w:val="24"/>
          <w:szCs w:val="24"/>
        </w:rPr>
        <w:t>y</w:t>
      </w:r>
      <w:r w:rsidR="00F26E70" w:rsidRPr="006A7B9C">
        <w:rPr>
          <w:rFonts w:ascii="Arial" w:eastAsia="Calibri" w:hAnsi="Arial" w:cs="Arial"/>
          <w:sz w:val="24"/>
          <w:szCs w:val="24"/>
        </w:rPr>
        <w:t xml:space="preserve"> agreed that if the leased premises are destroyed or damaged in any way whatsoever to such an extent that the premises becomes unfit for beneficial occupation, termination may occur, remission of rental for deprivation of beneficial occupation of the leased premises</w:t>
      </w:r>
      <w:r w:rsidR="00794414" w:rsidRPr="006A7B9C">
        <w:rPr>
          <w:rFonts w:ascii="Arial" w:eastAsia="Calibri" w:hAnsi="Arial" w:cs="Arial"/>
          <w:sz w:val="24"/>
          <w:szCs w:val="24"/>
        </w:rPr>
        <w:t xml:space="preserve"> may also occur. The parties further agreed that a dispute as to whether beneficial occupation has been lost shall be resolved by an independently practising architect mutually appointed. Most importantly, Luhan agreed that it shall have no claim against Hennops for any loss of beneficial occupation unless caused by wilful, grossly negligent act or omission of Hennops or its agents or employees. This clause is a perspicuous testimony that at the time of contracting it was not within the contemplation of the parties that loss of sales and or restrictions on sales of motor vehicles may lead to termination and or remission of rental.</w:t>
      </w:r>
      <w:r w:rsidR="008710B0" w:rsidRPr="006A7B9C">
        <w:rPr>
          <w:rFonts w:ascii="Arial" w:eastAsia="Calibri" w:hAnsi="Arial" w:cs="Arial"/>
          <w:sz w:val="24"/>
          <w:szCs w:val="24"/>
        </w:rPr>
        <w:t xml:space="preserve"> Situations such as loss of sales or customers was considered and rightfully rejected as the basis for termination and remission in </w:t>
      </w:r>
      <w:r w:rsidR="008710B0" w:rsidRPr="006A7B9C">
        <w:rPr>
          <w:rFonts w:ascii="Arial" w:eastAsia="Calibri" w:hAnsi="Arial" w:cs="Arial"/>
          <w:i/>
          <w:sz w:val="24"/>
          <w:szCs w:val="24"/>
        </w:rPr>
        <w:t>Johannesburg Consolidated Investment Co v Mendelsohn &amp; Bruce Limited (JCI)</w:t>
      </w:r>
      <w:r w:rsidR="008710B0" w:rsidRPr="006A7B9C">
        <w:rPr>
          <w:rStyle w:val="FootnoteReference"/>
          <w:rFonts w:ascii="Arial" w:eastAsia="Calibri" w:hAnsi="Arial" w:cs="Arial"/>
          <w:sz w:val="24"/>
          <w:szCs w:val="24"/>
        </w:rPr>
        <w:footnoteReference w:id="25"/>
      </w:r>
      <w:r w:rsidR="008710B0" w:rsidRPr="006A7B9C">
        <w:rPr>
          <w:rFonts w:ascii="Arial" w:eastAsia="Calibri" w:hAnsi="Arial" w:cs="Arial"/>
          <w:sz w:val="24"/>
          <w:szCs w:val="24"/>
        </w:rPr>
        <w:t xml:space="preserve">. This Court disagrees with a submission by Mr Britz that the </w:t>
      </w:r>
      <w:r w:rsidR="008710B0" w:rsidRPr="006A7B9C">
        <w:rPr>
          <w:rFonts w:ascii="Arial" w:eastAsia="Calibri" w:hAnsi="Arial" w:cs="Arial"/>
          <w:i/>
          <w:sz w:val="24"/>
          <w:szCs w:val="24"/>
        </w:rPr>
        <w:t>JCI</w:t>
      </w:r>
      <w:r w:rsidR="008710B0" w:rsidRPr="006A7B9C">
        <w:rPr>
          <w:rFonts w:ascii="Arial" w:eastAsia="Calibri" w:hAnsi="Arial" w:cs="Arial"/>
          <w:sz w:val="24"/>
          <w:szCs w:val="24"/>
        </w:rPr>
        <w:t xml:space="preserve"> is distinguishable. What was said in </w:t>
      </w:r>
      <w:r w:rsidR="008710B0" w:rsidRPr="006A7B9C">
        <w:rPr>
          <w:rFonts w:ascii="Arial" w:eastAsia="Calibri" w:hAnsi="Arial" w:cs="Arial"/>
          <w:i/>
          <w:sz w:val="24"/>
          <w:szCs w:val="24"/>
        </w:rPr>
        <w:t>JCI</w:t>
      </w:r>
      <w:r w:rsidR="008710B0" w:rsidRPr="006A7B9C">
        <w:rPr>
          <w:rFonts w:ascii="Arial" w:eastAsia="Calibri" w:hAnsi="Arial" w:cs="Arial"/>
          <w:sz w:val="24"/>
          <w:szCs w:val="24"/>
        </w:rPr>
        <w:t xml:space="preserve"> rings true to this day with regard to COVID-19 restrictions</w:t>
      </w:r>
      <w:r w:rsidR="00733127" w:rsidRPr="006A7B9C">
        <w:rPr>
          <w:rFonts w:ascii="Arial" w:eastAsia="Calibri" w:hAnsi="Arial" w:cs="Arial"/>
          <w:sz w:val="24"/>
          <w:szCs w:val="24"/>
        </w:rPr>
        <w:t xml:space="preserve">. </w:t>
      </w:r>
      <w:r w:rsidR="005A67EB" w:rsidRPr="006A7B9C">
        <w:rPr>
          <w:rFonts w:ascii="Arial" w:eastAsia="Calibri" w:hAnsi="Arial" w:cs="Arial"/>
          <w:sz w:val="24"/>
          <w:szCs w:val="24"/>
        </w:rPr>
        <w:t xml:space="preserve"> </w:t>
      </w:r>
    </w:p>
    <w:p w14:paraId="48B60A3F" w14:textId="77777777" w:rsidR="005A67EB" w:rsidRPr="006A7B9C" w:rsidRDefault="005A67EB" w:rsidP="008D13A9">
      <w:pPr>
        <w:spacing w:after="0" w:line="360" w:lineRule="auto"/>
        <w:ind w:left="720"/>
        <w:jc w:val="both"/>
        <w:rPr>
          <w:rFonts w:ascii="Arial" w:eastAsia="Calibri" w:hAnsi="Arial" w:cs="Arial"/>
          <w:sz w:val="24"/>
          <w:szCs w:val="24"/>
        </w:rPr>
      </w:pPr>
    </w:p>
    <w:p w14:paraId="0AB3FA24" w14:textId="77777777" w:rsidR="00622086" w:rsidRPr="006A7B9C" w:rsidRDefault="00733127" w:rsidP="008D13A9">
      <w:pPr>
        <w:numPr>
          <w:ilvl w:val="0"/>
          <w:numId w:val="32"/>
        </w:numPr>
        <w:tabs>
          <w:tab w:val="num" w:pos="360"/>
        </w:tabs>
        <w:spacing w:after="0" w:line="360" w:lineRule="auto"/>
        <w:ind w:left="720" w:hanging="720"/>
        <w:jc w:val="both"/>
        <w:rPr>
          <w:rFonts w:ascii="Arial" w:eastAsia="Calibri" w:hAnsi="Arial" w:cs="Arial"/>
          <w:sz w:val="24"/>
          <w:szCs w:val="24"/>
        </w:rPr>
      </w:pPr>
      <w:r w:rsidRPr="006A7B9C">
        <w:rPr>
          <w:rFonts w:ascii="Arial" w:eastAsia="Calibri" w:hAnsi="Arial" w:cs="Arial"/>
          <w:sz w:val="24"/>
          <w:szCs w:val="24"/>
        </w:rPr>
        <w:t>That which was said</w:t>
      </w:r>
      <w:r w:rsidR="007E10DE" w:rsidRPr="006A7B9C">
        <w:rPr>
          <w:rStyle w:val="FootnoteReference"/>
          <w:rFonts w:ascii="Arial" w:eastAsia="Calibri" w:hAnsi="Arial" w:cs="Arial"/>
          <w:sz w:val="24"/>
          <w:szCs w:val="24"/>
        </w:rPr>
        <w:footnoteReference w:id="26"/>
      </w:r>
      <w:r w:rsidRPr="006A7B9C">
        <w:rPr>
          <w:rFonts w:ascii="Arial" w:eastAsia="Calibri" w:hAnsi="Arial" w:cs="Arial"/>
          <w:sz w:val="24"/>
          <w:szCs w:val="24"/>
        </w:rPr>
        <w:t xml:space="preserve"> by the learned Gilbert AJ in </w:t>
      </w:r>
      <w:r w:rsidRPr="006A7B9C">
        <w:rPr>
          <w:rFonts w:ascii="Arial" w:eastAsia="Calibri" w:hAnsi="Arial" w:cs="Arial"/>
          <w:i/>
          <w:sz w:val="24"/>
          <w:szCs w:val="24"/>
        </w:rPr>
        <w:t xml:space="preserve">Freestone Property Investment (Pty) Ltd v Rernake Consultants CC and </w:t>
      </w:r>
      <w:r w:rsidR="003B0130" w:rsidRPr="006A7B9C">
        <w:rPr>
          <w:rFonts w:ascii="Arial" w:eastAsia="Calibri" w:hAnsi="Arial" w:cs="Arial"/>
          <w:i/>
          <w:sz w:val="24"/>
          <w:szCs w:val="24"/>
        </w:rPr>
        <w:t>another</w:t>
      </w:r>
      <w:r w:rsidR="00310DB9" w:rsidRPr="006A7B9C">
        <w:rPr>
          <w:rFonts w:ascii="Arial" w:eastAsia="Calibri" w:hAnsi="Arial" w:cs="Arial"/>
          <w:i/>
          <w:sz w:val="24"/>
          <w:szCs w:val="24"/>
        </w:rPr>
        <w:t xml:space="preserve"> (Freestone)</w:t>
      </w:r>
      <w:r w:rsidRPr="006A7B9C">
        <w:rPr>
          <w:rStyle w:val="FootnoteReference"/>
          <w:rFonts w:ascii="Arial" w:eastAsia="Calibri" w:hAnsi="Arial" w:cs="Arial"/>
          <w:sz w:val="24"/>
          <w:szCs w:val="24"/>
        </w:rPr>
        <w:footnoteReference w:id="27"/>
      </w:r>
      <w:r w:rsidRPr="006A7B9C">
        <w:rPr>
          <w:rFonts w:ascii="Arial" w:eastAsia="Calibri" w:hAnsi="Arial" w:cs="Arial"/>
          <w:sz w:val="24"/>
          <w:szCs w:val="24"/>
        </w:rPr>
        <w:t xml:space="preserve"> is consistent with what was said in JCI. What matters is the performance of the obligations</w:t>
      </w:r>
      <w:r w:rsidR="00310DB9" w:rsidRPr="006A7B9C">
        <w:rPr>
          <w:rFonts w:ascii="Arial" w:eastAsia="Calibri" w:hAnsi="Arial" w:cs="Arial"/>
          <w:sz w:val="24"/>
          <w:szCs w:val="24"/>
        </w:rPr>
        <w:t xml:space="preserve"> from either side</w:t>
      </w:r>
      <w:r w:rsidRPr="006A7B9C">
        <w:rPr>
          <w:rFonts w:ascii="Arial" w:eastAsia="Calibri" w:hAnsi="Arial" w:cs="Arial"/>
          <w:sz w:val="24"/>
          <w:szCs w:val="24"/>
        </w:rPr>
        <w:t>.</w:t>
      </w:r>
      <w:r w:rsidR="00446C1F" w:rsidRPr="006A7B9C">
        <w:rPr>
          <w:rFonts w:ascii="Arial" w:eastAsia="Calibri" w:hAnsi="Arial" w:cs="Arial"/>
          <w:sz w:val="24"/>
          <w:szCs w:val="24"/>
        </w:rPr>
        <w:t xml:space="preserve"> In deciding the matter, the learned Gilbert AJ departed from an assumption that the hard lockdown incapacitated both parties from performing their respective obligations. Prior thereto he accepted correctly so that our law is settled that a </w:t>
      </w:r>
      <w:r w:rsidR="00446C1F" w:rsidRPr="006A7B9C">
        <w:rPr>
          <w:rFonts w:ascii="Arial" w:eastAsia="Calibri" w:hAnsi="Arial" w:cs="Arial"/>
          <w:i/>
          <w:sz w:val="24"/>
          <w:szCs w:val="24"/>
        </w:rPr>
        <w:t>vis major</w:t>
      </w:r>
      <w:r w:rsidR="00446C1F" w:rsidRPr="006A7B9C">
        <w:rPr>
          <w:rFonts w:ascii="Arial" w:eastAsia="Calibri" w:hAnsi="Arial" w:cs="Arial"/>
          <w:sz w:val="24"/>
          <w:szCs w:val="24"/>
        </w:rPr>
        <w:t xml:space="preserve"> that makes it uneconomical or no longer commercially attractive for a party to carry out its payment obligations cannot constitute a basis to be excused from performance</w:t>
      </w:r>
      <w:r w:rsidR="00446C1F" w:rsidRPr="006A7B9C">
        <w:rPr>
          <w:rStyle w:val="FootnoteReference"/>
          <w:rFonts w:ascii="Arial" w:eastAsia="Calibri" w:hAnsi="Arial" w:cs="Arial"/>
          <w:sz w:val="24"/>
          <w:szCs w:val="24"/>
        </w:rPr>
        <w:footnoteReference w:id="28"/>
      </w:r>
      <w:r w:rsidR="00446C1F" w:rsidRPr="006A7B9C">
        <w:rPr>
          <w:rFonts w:ascii="Arial" w:eastAsia="Calibri" w:hAnsi="Arial" w:cs="Arial"/>
          <w:sz w:val="24"/>
          <w:szCs w:val="24"/>
        </w:rPr>
        <w:t>.</w:t>
      </w:r>
      <w:r w:rsidR="00622086" w:rsidRPr="006A7B9C">
        <w:rPr>
          <w:rFonts w:ascii="Arial" w:eastAsia="Calibri" w:hAnsi="Arial" w:cs="Arial"/>
          <w:sz w:val="24"/>
          <w:szCs w:val="24"/>
        </w:rPr>
        <w:t xml:space="preserve"> Further, he correctly concluded that the declaration of the state of </w:t>
      </w:r>
      <w:r w:rsidR="00622086" w:rsidRPr="006A7B9C">
        <w:rPr>
          <w:rFonts w:ascii="Arial" w:eastAsia="Calibri" w:hAnsi="Arial" w:cs="Arial"/>
          <w:sz w:val="24"/>
          <w:szCs w:val="24"/>
        </w:rPr>
        <w:lastRenderedPageBreak/>
        <w:t>disaster and the continued effect of the COVID-19 pandemic may have resulted in a dramatic decline of custom through the shopping centre in which the leased premises were situated, does not afford a defence to the lessee.</w:t>
      </w:r>
      <w:r w:rsidR="00622086" w:rsidRPr="006A7B9C">
        <w:rPr>
          <w:rStyle w:val="FootnoteReference"/>
          <w:rFonts w:ascii="Arial" w:eastAsia="Calibri" w:hAnsi="Arial" w:cs="Arial"/>
          <w:sz w:val="24"/>
          <w:szCs w:val="24"/>
        </w:rPr>
        <w:footnoteReference w:id="29"/>
      </w:r>
      <w:r w:rsidR="00446C1F" w:rsidRPr="006A7B9C">
        <w:rPr>
          <w:rFonts w:ascii="Arial" w:eastAsia="Calibri" w:hAnsi="Arial" w:cs="Arial"/>
          <w:sz w:val="24"/>
          <w:szCs w:val="24"/>
        </w:rPr>
        <w:t xml:space="preserve"> </w:t>
      </w:r>
      <w:r w:rsidRPr="006A7B9C">
        <w:rPr>
          <w:rFonts w:ascii="Arial" w:eastAsia="Calibri" w:hAnsi="Arial" w:cs="Arial"/>
          <w:sz w:val="24"/>
          <w:szCs w:val="24"/>
        </w:rPr>
        <w:t xml:space="preserve">  </w:t>
      </w:r>
    </w:p>
    <w:p w14:paraId="358FF618" w14:textId="77777777" w:rsidR="00622086" w:rsidRPr="006A7B9C" w:rsidRDefault="00622086" w:rsidP="008D13A9">
      <w:pPr>
        <w:pStyle w:val="ListParagraph"/>
        <w:numPr>
          <w:ilvl w:val="0"/>
          <w:numId w:val="0"/>
        </w:numPr>
        <w:spacing w:before="0" w:after="0"/>
        <w:ind w:left="567"/>
        <w:rPr>
          <w:rFonts w:eastAsia="Calibri"/>
        </w:rPr>
      </w:pPr>
    </w:p>
    <w:p w14:paraId="6EE0C757" w14:textId="77777777" w:rsidR="00BF2889" w:rsidRPr="006A7B9C" w:rsidRDefault="005A67EB" w:rsidP="008D13A9">
      <w:pPr>
        <w:numPr>
          <w:ilvl w:val="0"/>
          <w:numId w:val="32"/>
        </w:numPr>
        <w:tabs>
          <w:tab w:val="num" w:pos="360"/>
        </w:tabs>
        <w:spacing w:after="0" w:line="360" w:lineRule="auto"/>
        <w:ind w:left="720" w:hanging="720"/>
        <w:jc w:val="both"/>
        <w:rPr>
          <w:rFonts w:ascii="Arial" w:eastAsia="Calibri" w:hAnsi="Arial" w:cs="Arial"/>
          <w:sz w:val="24"/>
          <w:szCs w:val="24"/>
        </w:rPr>
      </w:pPr>
      <w:r w:rsidRPr="006A7B9C">
        <w:rPr>
          <w:rFonts w:ascii="Arial" w:eastAsia="Calibri" w:hAnsi="Arial" w:cs="Arial"/>
          <w:sz w:val="24"/>
          <w:szCs w:val="24"/>
        </w:rPr>
        <w:t xml:space="preserve">As bound, we agree with the principle established in </w:t>
      </w:r>
      <w:r w:rsidRPr="006A7B9C">
        <w:rPr>
          <w:rFonts w:ascii="Arial" w:eastAsia="Calibri" w:hAnsi="Arial" w:cs="Arial"/>
          <w:i/>
          <w:sz w:val="24"/>
          <w:szCs w:val="24"/>
        </w:rPr>
        <w:t>Transnet t/a National Ports Authority v Owner of mv Snow Crystal</w:t>
      </w:r>
      <w:r w:rsidRPr="006A7B9C">
        <w:rPr>
          <w:rStyle w:val="FootnoteReference"/>
          <w:rFonts w:ascii="Arial" w:eastAsia="Calibri" w:hAnsi="Arial" w:cs="Arial"/>
          <w:sz w:val="24"/>
          <w:szCs w:val="24"/>
        </w:rPr>
        <w:footnoteReference w:id="30"/>
      </w:r>
      <w:r w:rsidR="00BF2889" w:rsidRPr="006A7B9C">
        <w:rPr>
          <w:rFonts w:ascii="Arial" w:eastAsia="Calibri" w:hAnsi="Arial" w:cs="Arial"/>
          <w:sz w:val="24"/>
          <w:szCs w:val="24"/>
        </w:rPr>
        <w:t xml:space="preserve"> when the Court said:</w:t>
      </w:r>
    </w:p>
    <w:p w14:paraId="404C3F87" w14:textId="77777777" w:rsidR="00BF2889" w:rsidRPr="006A7B9C" w:rsidRDefault="00BF2889" w:rsidP="008D13A9">
      <w:pPr>
        <w:pStyle w:val="ListParagraph"/>
        <w:numPr>
          <w:ilvl w:val="0"/>
          <w:numId w:val="0"/>
        </w:numPr>
        <w:spacing w:before="0" w:after="0"/>
        <w:ind w:left="567"/>
        <w:rPr>
          <w:rFonts w:eastAsia="Calibri"/>
        </w:rPr>
      </w:pPr>
    </w:p>
    <w:p w14:paraId="482DFFAD" w14:textId="370D4D18" w:rsidR="00BF2889" w:rsidRPr="006A7B9C" w:rsidRDefault="00BF2889" w:rsidP="008D13A9">
      <w:pPr>
        <w:spacing w:after="0" w:line="360" w:lineRule="auto"/>
        <w:ind w:left="851"/>
        <w:jc w:val="both"/>
        <w:rPr>
          <w:rFonts w:ascii="Arial" w:eastAsia="Calibri" w:hAnsi="Arial" w:cs="Arial"/>
          <w:sz w:val="24"/>
          <w:szCs w:val="24"/>
        </w:rPr>
      </w:pPr>
      <w:r w:rsidRPr="006A7B9C">
        <w:rPr>
          <w:rFonts w:ascii="Arial" w:eastAsia="Calibri" w:hAnsi="Arial" w:cs="Arial"/>
          <w:sz w:val="24"/>
          <w:szCs w:val="24"/>
        </w:rPr>
        <w:t>“</w:t>
      </w:r>
      <w:r w:rsidR="00FC3E4B">
        <w:rPr>
          <w:rFonts w:ascii="Arial" w:eastAsia="Calibri" w:hAnsi="Arial" w:cs="Arial"/>
          <w:sz w:val="24"/>
          <w:szCs w:val="24"/>
        </w:rPr>
        <w:t>…</w:t>
      </w:r>
      <w:r w:rsidRPr="008D13A9">
        <w:rPr>
          <w:rFonts w:ascii="Arial" w:eastAsia="Calibri" w:hAnsi="Arial" w:cs="Arial"/>
          <w:i/>
          <w:szCs w:val="24"/>
        </w:rPr>
        <w:t xml:space="preserve">As a general rule impossibility of performance brought about by vis major or casus fortuitus will excuse performance of a contract. But it will not always do so. In each case it is necessary to “look to </w:t>
      </w:r>
      <w:r w:rsidRPr="008D13A9">
        <w:rPr>
          <w:rFonts w:ascii="Arial" w:eastAsia="Calibri" w:hAnsi="Arial" w:cs="Arial"/>
          <w:i/>
          <w:szCs w:val="24"/>
          <w:u w:val="single"/>
        </w:rPr>
        <w:t>the nature of the contract</w:t>
      </w:r>
      <w:r w:rsidRPr="008D13A9">
        <w:rPr>
          <w:rFonts w:ascii="Arial" w:eastAsia="Calibri" w:hAnsi="Arial" w:cs="Arial"/>
          <w:i/>
          <w:szCs w:val="24"/>
        </w:rPr>
        <w:t xml:space="preserve">, the relation of the parties, the circumstances of the case, and </w:t>
      </w:r>
      <w:r w:rsidRPr="00074E72">
        <w:rPr>
          <w:rFonts w:ascii="Arial" w:eastAsia="Calibri" w:hAnsi="Arial" w:cs="Arial"/>
          <w:i/>
          <w:szCs w:val="24"/>
          <w:u w:val="single"/>
        </w:rPr>
        <w:t>the nature of the impossibility invoked by the defendant</w:t>
      </w:r>
      <w:r w:rsidRPr="008D13A9">
        <w:rPr>
          <w:rFonts w:ascii="Arial" w:eastAsia="Calibri" w:hAnsi="Arial" w:cs="Arial"/>
          <w:i/>
          <w:szCs w:val="24"/>
        </w:rPr>
        <w:t xml:space="preserve">, to see whether the general rule ought, in the particular circumstance of the case to be </w:t>
      </w:r>
      <w:r w:rsidR="00951B88" w:rsidRPr="008D13A9">
        <w:rPr>
          <w:rFonts w:ascii="Arial" w:eastAsia="Calibri" w:hAnsi="Arial" w:cs="Arial"/>
          <w:i/>
          <w:szCs w:val="24"/>
        </w:rPr>
        <w:t>applie</w:t>
      </w:r>
      <w:r w:rsidR="00FC3E4B">
        <w:rPr>
          <w:rFonts w:ascii="Arial" w:eastAsia="Calibri" w:hAnsi="Arial" w:cs="Arial"/>
          <w:i/>
          <w:szCs w:val="24"/>
        </w:rPr>
        <w:t>d</w:t>
      </w:r>
      <w:r w:rsidR="00951B88" w:rsidRPr="008D13A9">
        <w:rPr>
          <w:rFonts w:ascii="Arial" w:eastAsia="Calibri" w:hAnsi="Arial" w:cs="Arial"/>
          <w:i/>
          <w:szCs w:val="24"/>
        </w:rPr>
        <w:t>…</w:t>
      </w:r>
      <w:r w:rsidRPr="008D13A9">
        <w:rPr>
          <w:rFonts w:ascii="Arial" w:eastAsia="Calibri" w:hAnsi="Arial" w:cs="Arial"/>
          <w:i/>
          <w:szCs w:val="24"/>
        </w:rPr>
        <w:t>” [Own emphasis].</w:t>
      </w:r>
      <w:r w:rsidRPr="008D13A9">
        <w:rPr>
          <w:rFonts w:ascii="Arial" w:eastAsia="Calibri" w:hAnsi="Arial" w:cs="Arial"/>
          <w:szCs w:val="24"/>
        </w:rPr>
        <w:t xml:space="preserve"> </w:t>
      </w:r>
    </w:p>
    <w:p w14:paraId="27B65D53" w14:textId="77777777" w:rsidR="00BF2889" w:rsidRPr="006A7B9C" w:rsidRDefault="00BF2889" w:rsidP="008D13A9">
      <w:pPr>
        <w:pStyle w:val="ListParagraph"/>
        <w:numPr>
          <w:ilvl w:val="0"/>
          <w:numId w:val="0"/>
        </w:numPr>
        <w:spacing w:before="0" w:after="0"/>
        <w:ind w:left="567"/>
        <w:rPr>
          <w:rFonts w:eastAsia="Calibri"/>
        </w:rPr>
      </w:pPr>
    </w:p>
    <w:p w14:paraId="1A270BF3" w14:textId="6A9E2C13" w:rsidR="00D93A32" w:rsidRPr="006A7B9C" w:rsidRDefault="00BF2889" w:rsidP="008D13A9">
      <w:pPr>
        <w:numPr>
          <w:ilvl w:val="0"/>
          <w:numId w:val="32"/>
        </w:numPr>
        <w:tabs>
          <w:tab w:val="num" w:pos="360"/>
        </w:tabs>
        <w:spacing w:after="0" w:line="360" w:lineRule="auto"/>
        <w:ind w:left="720" w:hanging="720"/>
        <w:jc w:val="both"/>
        <w:rPr>
          <w:rFonts w:ascii="Arial" w:eastAsia="Calibri" w:hAnsi="Arial" w:cs="Arial"/>
          <w:sz w:val="24"/>
          <w:szCs w:val="24"/>
        </w:rPr>
      </w:pPr>
      <w:r w:rsidRPr="006A7B9C">
        <w:rPr>
          <w:rFonts w:ascii="Arial" w:eastAsia="Calibri" w:hAnsi="Arial" w:cs="Arial"/>
          <w:sz w:val="24"/>
          <w:szCs w:val="24"/>
        </w:rPr>
        <w:t xml:space="preserve">In </w:t>
      </w:r>
      <w:r w:rsidRPr="006A7B9C">
        <w:rPr>
          <w:rFonts w:ascii="Arial" w:eastAsia="Calibri" w:hAnsi="Arial" w:cs="Arial"/>
          <w:i/>
          <w:sz w:val="24"/>
          <w:szCs w:val="24"/>
        </w:rPr>
        <w:t>casu</w:t>
      </w:r>
      <w:r w:rsidRPr="006A7B9C">
        <w:rPr>
          <w:rFonts w:ascii="Arial" w:eastAsia="Calibri" w:hAnsi="Arial" w:cs="Arial"/>
          <w:sz w:val="24"/>
          <w:szCs w:val="24"/>
        </w:rPr>
        <w:t xml:space="preserve">, the nature of the contract is that of a lease of an immovable property. The impossibility </w:t>
      </w:r>
      <w:r w:rsidR="00074E72">
        <w:rPr>
          <w:rFonts w:ascii="Arial" w:eastAsia="Calibri" w:hAnsi="Arial" w:cs="Arial"/>
          <w:sz w:val="24"/>
          <w:szCs w:val="24"/>
        </w:rPr>
        <w:t>invoked by Luhan</w:t>
      </w:r>
      <w:r w:rsidR="00C93FC0" w:rsidRPr="006A7B9C">
        <w:rPr>
          <w:rFonts w:ascii="Arial" w:eastAsia="Calibri" w:hAnsi="Arial" w:cs="Arial"/>
          <w:sz w:val="24"/>
          <w:szCs w:val="24"/>
        </w:rPr>
        <w:t xml:space="preserve"> is that of cessation of operations</w:t>
      </w:r>
      <w:r w:rsidR="00622086" w:rsidRPr="006A7B9C">
        <w:rPr>
          <w:rFonts w:ascii="Arial" w:eastAsia="Calibri" w:hAnsi="Arial" w:cs="Arial"/>
          <w:sz w:val="24"/>
          <w:szCs w:val="24"/>
        </w:rPr>
        <w:t xml:space="preserve"> by the regulations</w:t>
      </w:r>
      <w:r w:rsidR="00C93FC0" w:rsidRPr="006A7B9C">
        <w:rPr>
          <w:rFonts w:ascii="Arial" w:eastAsia="Calibri" w:hAnsi="Arial" w:cs="Arial"/>
          <w:sz w:val="24"/>
          <w:szCs w:val="24"/>
        </w:rPr>
        <w:t xml:space="preserve">. We have already found that there is a disconnection between the cessation of the operations and the enjoyment of the use of the property. In our view, even if the cessation of the operations constituted a </w:t>
      </w:r>
      <w:r w:rsidR="00C93FC0" w:rsidRPr="006A7B9C">
        <w:rPr>
          <w:rFonts w:ascii="Arial" w:eastAsia="Calibri" w:hAnsi="Arial" w:cs="Arial"/>
          <w:i/>
          <w:sz w:val="24"/>
          <w:szCs w:val="24"/>
        </w:rPr>
        <w:t>vis major</w:t>
      </w:r>
      <w:r w:rsidR="00C93FC0" w:rsidRPr="006A7B9C">
        <w:rPr>
          <w:rFonts w:ascii="Arial" w:eastAsia="Calibri" w:hAnsi="Arial" w:cs="Arial"/>
          <w:sz w:val="24"/>
          <w:szCs w:val="24"/>
        </w:rPr>
        <w:t>, i</w:t>
      </w:r>
      <w:r w:rsidR="00074E72">
        <w:rPr>
          <w:rFonts w:ascii="Arial" w:eastAsia="Calibri" w:hAnsi="Arial" w:cs="Arial"/>
          <w:sz w:val="24"/>
          <w:szCs w:val="24"/>
        </w:rPr>
        <w:t>t was incumbent on Luhan</w:t>
      </w:r>
      <w:r w:rsidR="00C93FC0" w:rsidRPr="006A7B9C">
        <w:rPr>
          <w:rFonts w:ascii="Arial" w:eastAsia="Calibri" w:hAnsi="Arial" w:cs="Arial"/>
          <w:sz w:val="24"/>
          <w:szCs w:val="24"/>
        </w:rPr>
        <w:t xml:space="preserve"> to establish a causal link between the cessation of operation within the context of the Regulations and the failure on its part to perform the rental obligations. There was no such evidence presented to establish such a connection. In </w:t>
      </w:r>
      <w:r w:rsidR="00C93FC0" w:rsidRPr="006A7B9C">
        <w:rPr>
          <w:rFonts w:ascii="Arial" w:eastAsia="Calibri" w:hAnsi="Arial" w:cs="Arial"/>
          <w:i/>
          <w:sz w:val="24"/>
          <w:szCs w:val="24"/>
        </w:rPr>
        <w:t>Hansen</w:t>
      </w:r>
      <w:r w:rsidR="00C93FC0" w:rsidRPr="006A7B9C">
        <w:rPr>
          <w:rFonts w:ascii="Arial" w:eastAsia="Calibri" w:hAnsi="Arial" w:cs="Arial"/>
          <w:sz w:val="24"/>
          <w:szCs w:val="24"/>
        </w:rPr>
        <w:t>, the Court accepted that no doubt the war –</w:t>
      </w:r>
      <w:r w:rsidR="00C93FC0" w:rsidRPr="006A7B9C">
        <w:rPr>
          <w:rFonts w:ascii="Arial" w:eastAsia="Calibri" w:hAnsi="Arial" w:cs="Arial"/>
          <w:i/>
          <w:sz w:val="24"/>
          <w:szCs w:val="24"/>
        </w:rPr>
        <w:t>vis major</w:t>
      </w:r>
      <w:r w:rsidR="00C93FC0" w:rsidRPr="006A7B9C">
        <w:rPr>
          <w:rFonts w:ascii="Arial" w:eastAsia="Calibri" w:hAnsi="Arial" w:cs="Arial"/>
          <w:sz w:val="24"/>
          <w:szCs w:val="24"/>
        </w:rPr>
        <w:t>, was the indirect cause of the dearth in tenants, and a heavy and continued fall in the market may also produce an exodus of people, and lessees of rooms may find themselves, without sub-tenants, but the fall of stock will not be the direct, immediate, and necessary cause of particular bedrooms not being let.</w:t>
      </w:r>
      <w:r w:rsidR="00222554" w:rsidRPr="006A7B9C">
        <w:rPr>
          <w:rFonts w:ascii="Arial" w:eastAsia="Calibri" w:hAnsi="Arial" w:cs="Arial"/>
          <w:sz w:val="24"/>
          <w:szCs w:val="24"/>
        </w:rPr>
        <w:t xml:space="preserve"> It was accepted by the SCA that reduction of rental may also arise in any instances where a lessee did not receive the usage of the property outside the </w:t>
      </w:r>
      <w:r w:rsidR="00222554" w:rsidRPr="006A7B9C">
        <w:rPr>
          <w:rFonts w:ascii="Arial" w:eastAsia="Calibri" w:hAnsi="Arial" w:cs="Arial"/>
          <w:i/>
          <w:sz w:val="24"/>
          <w:szCs w:val="24"/>
        </w:rPr>
        <w:t>vis major</w:t>
      </w:r>
      <w:r w:rsidR="00222554" w:rsidRPr="006A7B9C">
        <w:rPr>
          <w:rFonts w:ascii="Arial" w:eastAsia="Calibri" w:hAnsi="Arial" w:cs="Arial"/>
          <w:sz w:val="24"/>
          <w:szCs w:val="24"/>
        </w:rPr>
        <w:t xml:space="preserve"> situation. This becomes so on application of the </w:t>
      </w:r>
      <w:r w:rsidR="00222554" w:rsidRPr="006A7B9C">
        <w:rPr>
          <w:rFonts w:ascii="Arial" w:eastAsia="Calibri" w:hAnsi="Arial" w:cs="Arial"/>
          <w:i/>
          <w:sz w:val="24"/>
          <w:szCs w:val="24"/>
        </w:rPr>
        <w:t>exceptio non</w:t>
      </w:r>
      <w:r w:rsidR="00222554" w:rsidRPr="006A7B9C">
        <w:rPr>
          <w:rFonts w:ascii="Arial" w:eastAsia="Calibri" w:hAnsi="Arial" w:cs="Arial"/>
          <w:sz w:val="24"/>
          <w:szCs w:val="24"/>
        </w:rPr>
        <w:t xml:space="preserve"> </w:t>
      </w:r>
      <w:r w:rsidR="00222554" w:rsidRPr="006A7B9C">
        <w:rPr>
          <w:rFonts w:ascii="Arial" w:eastAsia="Calibri" w:hAnsi="Arial" w:cs="Arial"/>
          <w:i/>
          <w:sz w:val="24"/>
          <w:szCs w:val="24"/>
        </w:rPr>
        <w:t>adempleti contractus</w:t>
      </w:r>
      <w:r w:rsidR="00984230" w:rsidRPr="006A7B9C">
        <w:rPr>
          <w:rStyle w:val="FootnoteReference"/>
          <w:rFonts w:ascii="Arial" w:eastAsia="Calibri" w:hAnsi="Arial" w:cs="Arial"/>
          <w:sz w:val="24"/>
          <w:szCs w:val="24"/>
        </w:rPr>
        <w:footnoteReference w:id="31"/>
      </w:r>
      <w:r w:rsidR="00984230" w:rsidRPr="006A7B9C">
        <w:rPr>
          <w:rFonts w:ascii="Arial" w:eastAsia="Calibri" w:hAnsi="Arial" w:cs="Arial"/>
          <w:sz w:val="24"/>
          <w:szCs w:val="24"/>
        </w:rPr>
        <w:t xml:space="preserve">. In </w:t>
      </w:r>
      <w:r w:rsidR="00984230" w:rsidRPr="006A7B9C">
        <w:rPr>
          <w:rFonts w:ascii="Arial" w:eastAsia="Calibri" w:hAnsi="Arial" w:cs="Arial"/>
          <w:i/>
          <w:sz w:val="24"/>
          <w:szCs w:val="24"/>
        </w:rPr>
        <w:t>casu</w:t>
      </w:r>
      <w:r w:rsidR="00984230" w:rsidRPr="006A7B9C">
        <w:rPr>
          <w:rFonts w:ascii="Arial" w:eastAsia="Calibri" w:hAnsi="Arial" w:cs="Arial"/>
          <w:sz w:val="24"/>
          <w:szCs w:val="24"/>
        </w:rPr>
        <w:t>, the exception does not arise.</w:t>
      </w:r>
    </w:p>
    <w:p w14:paraId="6702381A" w14:textId="77777777" w:rsidR="00D93A32" w:rsidRPr="006A7B9C" w:rsidRDefault="00D93A32" w:rsidP="008D13A9">
      <w:pPr>
        <w:spacing w:after="0" w:line="360" w:lineRule="auto"/>
        <w:ind w:left="720"/>
        <w:jc w:val="both"/>
        <w:rPr>
          <w:rFonts w:ascii="Arial" w:eastAsia="Calibri" w:hAnsi="Arial" w:cs="Arial"/>
          <w:sz w:val="24"/>
          <w:szCs w:val="24"/>
        </w:rPr>
      </w:pPr>
    </w:p>
    <w:p w14:paraId="5B2F1A94" w14:textId="1687EE98" w:rsidR="00222554" w:rsidRPr="006A7B9C" w:rsidRDefault="00D93A32" w:rsidP="008D13A9">
      <w:pPr>
        <w:numPr>
          <w:ilvl w:val="0"/>
          <w:numId w:val="32"/>
        </w:numPr>
        <w:tabs>
          <w:tab w:val="num" w:pos="360"/>
        </w:tabs>
        <w:spacing w:after="0" w:line="360" w:lineRule="auto"/>
        <w:ind w:left="720" w:hanging="720"/>
        <w:jc w:val="both"/>
        <w:rPr>
          <w:rFonts w:ascii="Arial" w:eastAsia="Calibri" w:hAnsi="Arial" w:cs="Arial"/>
          <w:sz w:val="24"/>
          <w:szCs w:val="24"/>
        </w:rPr>
      </w:pPr>
      <w:r w:rsidRPr="006A7B9C">
        <w:rPr>
          <w:rFonts w:ascii="Arial" w:eastAsia="Calibri" w:hAnsi="Arial" w:cs="Arial"/>
          <w:sz w:val="24"/>
          <w:szCs w:val="24"/>
        </w:rPr>
        <w:t xml:space="preserve">In </w:t>
      </w:r>
      <w:r w:rsidRPr="006A7B9C">
        <w:rPr>
          <w:rFonts w:ascii="Arial" w:eastAsia="Calibri" w:hAnsi="Arial" w:cs="Arial"/>
          <w:i/>
          <w:sz w:val="24"/>
          <w:szCs w:val="24"/>
        </w:rPr>
        <w:t>casu</w:t>
      </w:r>
      <w:r w:rsidRPr="006A7B9C">
        <w:rPr>
          <w:rFonts w:ascii="Arial" w:eastAsia="Calibri" w:hAnsi="Arial" w:cs="Arial"/>
          <w:sz w:val="24"/>
          <w:szCs w:val="24"/>
        </w:rPr>
        <w:t xml:space="preserve">, it </w:t>
      </w:r>
      <w:r w:rsidR="00074E72">
        <w:rPr>
          <w:rFonts w:ascii="Arial" w:eastAsia="Calibri" w:hAnsi="Arial" w:cs="Arial"/>
          <w:sz w:val="24"/>
          <w:szCs w:val="24"/>
        </w:rPr>
        <w:t>is not the case of Luhan</w:t>
      </w:r>
      <w:r w:rsidRPr="006A7B9C">
        <w:rPr>
          <w:rFonts w:ascii="Arial" w:eastAsia="Calibri" w:hAnsi="Arial" w:cs="Arial"/>
          <w:sz w:val="24"/>
          <w:szCs w:val="24"/>
        </w:rPr>
        <w:t xml:space="preserve"> that due to the Regulations, it was unable to fit stock in the rented space and be able to make sufficient profit to perform its obligations. Its defence lies far and between what may be termed the general effect of the restrictions that may have been felt by many who are similarly place</w:t>
      </w:r>
      <w:r w:rsidR="00EA0835" w:rsidRPr="006A7B9C">
        <w:rPr>
          <w:rFonts w:ascii="Arial" w:eastAsia="Calibri" w:hAnsi="Arial" w:cs="Arial"/>
          <w:sz w:val="24"/>
          <w:szCs w:val="24"/>
        </w:rPr>
        <w:t>d</w:t>
      </w:r>
      <w:r w:rsidRPr="006A7B9C">
        <w:rPr>
          <w:rFonts w:ascii="Arial" w:eastAsia="Calibri" w:hAnsi="Arial" w:cs="Arial"/>
          <w:sz w:val="24"/>
          <w:szCs w:val="24"/>
        </w:rPr>
        <w:t>. The general effect of the restrictions was acknowledged by the SCA.</w:t>
      </w:r>
      <w:r w:rsidRPr="006A7B9C">
        <w:rPr>
          <w:rStyle w:val="FootnoteReference"/>
          <w:rFonts w:ascii="Arial" w:eastAsia="Calibri" w:hAnsi="Arial" w:cs="Arial"/>
          <w:sz w:val="24"/>
          <w:szCs w:val="24"/>
        </w:rPr>
        <w:footnoteReference w:id="32"/>
      </w:r>
      <w:r w:rsidRPr="006A7B9C">
        <w:rPr>
          <w:rFonts w:ascii="Arial" w:eastAsia="Calibri" w:hAnsi="Arial" w:cs="Arial"/>
          <w:sz w:val="24"/>
          <w:szCs w:val="24"/>
        </w:rPr>
        <w:t xml:space="preserve"> As indicated earlier, on-line or virtual trading would have been</w:t>
      </w:r>
      <w:r w:rsidR="00EA0835" w:rsidRPr="006A7B9C">
        <w:rPr>
          <w:rFonts w:ascii="Arial" w:eastAsia="Calibri" w:hAnsi="Arial" w:cs="Arial"/>
          <w:sz w:val="24"/>
          <w:szCs w:val="24"/>
        </w:rPr>
        <w:t xml:space="preserve"> a</w:t>
      </w:r>
      <w:r w:rsidRPr="006A7B9C">
        <w:rPr>
          <w:rFonts w:ascii="Arial" w:eastAsia="Calibri" w:hAnsi="Arial" w:cs="Arial"/>
          <w:sz w:val="24"/>
          <w:szCs w:val="24"/>
        </w:rPr>
        <w:t xml:space="preserve"> possible</w:t>
      </w:r>
      <w:r w:rsidR="00EA0835" w:rsidRPr="006A7B9C">
        <w:rPr>
          <w:rFonts w:ascii="Arial" w:eastAsia="Calibri" w:hAnsi="Arial" w:cs="Arial"/>
          <w:sz w:val="24"/>
          <w:szCs w:val="24"/>
        </w:rPr>
        <w:t xml:space="preserve"> method</w:t>
      </w:r>
      <w:r w:rsidRPr="006A7B9C">
        <w:rPr>
          <w:rFonts w:ascii="Arial" w:eastAsia="Calibri" w:hAnsi="Arial" w:cs="Arial"/>
          <w:sz w:val="24"/>
          <w:szCs w:val="24"/>
        </w:rPr>
        <w:t xml:space="preserve"> to sell vehicles </w:t>
      </w:r>
      <w:r w:rsidR="00222554" w:rsidRPr="006A7B9C">
        <w:rPr>
          <w:rFonts w:ascii="Arial" w:eastAsia="Calibri" w:hAnsi="Arial" w:cs="Arial"/>
          <w:sz w:val="24"/>
          <w:szCs w:val="24"/>
        </w:rPr>
        <w:t xml:space="preserve">even in the absence of physical movement of people. Nevertheless, this Court is not satisfied that commercial viability equates loss of enjoyment of the property leased. </w:t>
      </w:r>
    </w:p>
    <w:p w14:paraId="391B9780" w14:textId="77777777" w:rsidR="00222554" w:rsidRPr="006A7B9C" w:rsidRDefault="00222554" w:rsidP="008D13A9">
      <w:pPr>
        <w:pStyle w:val="ListParagraph"/>
        <w:numPr>
          <w:ilvl w:val="0"/>
          <w:numId w:val="0"/>
        </w:numPr>
        <w:spacing w:before="0" w:after="0"/>
        <w:ind w:left="567"/>
        <w:rPr>
          <w:rFonts w:eastAsia="Calibri"/>
        </w:rPr>
      </w:pPr>
    </w:p>
    <w:p w14:paraId="728FED60" w14:textId="77777777" w:rsidR="00984230" w:rsidRPr="006A7B9C" w:rsidRDefault="00222554" w:rsidP="008D13A9">
      <w:pPr>
        <w:numPr>
          <w:ilvl w:val="0"/>
          <w:numId w:val="32"/>
        </w:numPr>
        <w:tabs>
          <w:tab w:val="num" w:pos="360"/>
        </w:tabs>
        <w:spacing w:after="0" w:line="360" w:lineRule="auto"/>
        <w:ind w:left="720" w:hanging="720"/>
        <w:jc w:val="both"/>
        <w:rPr>
          <w:rFonts w:ascii="Arial" w:eastAsia="Calibri" w:hAnsi="Arial" w:cs="Arial"/>
          <w:sz w:val="24"/>
          <w:szCs w:val="24"/>
        </w:rPr>
      </w:pPr>
      <w:r w:rsidRPr="006A7B9C">
        <w:rPr>
          <w:rFonts w:ascii="Arial" w:eastAsia="Calibri" w:hAnsi="Arial" w:cs="Arial"/>
          <w:sz w:val="24"/>
          <w:szCs w:val="24"/>
        </w:rPr>
        <w:t>Accordingly, the conclusion this Court reaches is that the Regulations do not equate supervening impossibility. The situation that obtained in this matter was not unique to South Africa. It happened world-wide. The concept of supervening impossibility is a universal one. As pointed out earlier in other jurisdictions</w:t>
      </w:r>
      <w:r w:rsidR="00984230" w:rsidRPr="006A7B9C">
        <w:rPr>
          <w:rFonts w:ascii="Arial" w:eastAsia="Calibri" w:hAnsi="Arial" w:cs="Arial"/>
          <w:sz w:val="24"/>
          <w:szCs w:val="24"/>
        </w:rPr>
        <w:t xml:space="preserve"> the doctrine</w:t>
      </w:r>
      <w:r w:rsidRPr="006A7B9C">
        <w:rPr>
          <w:rFonts w:ascii="Arial" w:eastAsia="Calibri" w:hAnsi="Arial" w:cs="Arial"/>
          <w:sz w:val="24"/>
          <w:szCs w:val="24"/>
        </w:rPr>
        <w:t xml:space="preserve"> is referred to as a doctrine of frustration. In a very recent Canadian case</w:t>
      </w:r>
      <w:r w:rsidR="00984230" w:rsidRPr="006A7B9C">
        <w:rPr>
          <w:rFonts w:ascii="Arial" w:eastAsia="Calibri" w:hAnsi="Arial" w:cs="Arial"/>
          <w:sz w:val="24"/>
          <w:szCs w:val="24"/>
        </w:rPr>
        <w:t xml:space="preserve"> decided by the Supe</w:t>
      </w:r>
      <w:r w:rsidR="00EA0835" w:rsidRPr="006A7B9C">
        <w:rPr>
          <w:rFonts w:ascii="Arial" w:eastAsia="Calibri" w:hAnsi="Arial" w:cs="Arial"/>
          <w:sz w:val="24"/>
          <w:szCs w:val="24"/>
        </w:rPr>
        <w:t>rior Court of Justice Ontario per</w:t>
      </w:r>
      <w:r w:rsidR="00984230" w:rsidRPr="006A7B9C">
        <w:rPr>
          <w:rFonts w:ascii="Arial" w:eastAsia="Calibri" w:hAnsi="Arial" w:cs="Arial"/>
          <w:sz w:val="24"/>
          <w:szCs w:val="24"/>
        </w:rPr>
        <w:t xml:space="preserve"> the learned Mew J in </w:t>
      </w:r>
      <w:r w:rsidR="00984230" w:rsidRPr="006A7B9C">
        <w:rPr>
          <w:rFonts w:ascii="Arial" w:eastAsia="Calibri" w:hAnsi="Arial" w:cs="Arial"/>
          <w:i/>
          <w:sz w:val="24"/>
          <w:szCs w:val="24"/>
        </w:rPr>
        <w:t>Braebury Development Corporation v Gap (Canada) Inc (Gap)</w:t>
      </w:r>
      <w:r w:rsidR="00984230" w:rsidRPr="006A7B9C">
        <w:rPr>
          <w:rStyle w:val="FootnoteReference"/>
          <w:rFonts w:ascii="Arial" w:eastAsia="Calibri" w:hAnsi="Arial" w:cs="Arial"/>
          <w:sz w:val="24"/>
          <w:szCs w:val="24"/>
        </w:rPr>
        <w:footnoteReference w:id="33"/>
      </w:r>
      <w:r w:rsidR="00984230" w:rsidRPr="006A7B9C">
        <w:rPr>
          <w:rFonts w:ascii="Arial" w:eastAsia="Calibri" w:hAnsi="Arial" w:cs="Arial"/>
          <w:i/>
          <w:sz w:val="24"/>
          <w:szCs w:val="24"/>
        </w:rPr>
        <w:t xml:space="preserve">, </w:t>
      </w:r>
      <w:r w:rsidR="00984230" w:rsidRPr="006A7B9C">
        <w:rPr>
          <w:rFonts w:ascii="Arial" w:eastAsia="Calibri" w:hAnsi="Arial" w:cs="Arial"/>
          <w:sz w:val="24"/>
          <w:szCs w:val="24"/>
        </w:rPr>
        <w:t>dealt with almost similar facts.</w:t>
      </w:r>
      <w:r w:rsidR="00984230" w:rsidRPr="006A7B9C">
        <w:rPr>
          <w:rFonts w:ascii="Arial" w:eastAsia="Calibri" w:hAnsi="Arial" w:cs="Arial"/>
          <w:i/>
          <w:sz w:val="24"/>
          <w:szCs w:val="24"/>
        </w:rPr>
        <w:t xml:space="preserve"> </w:t>
      </w:r>
    </w:p>
    <w:p w14:paraId="169280F3" w14:textId="77777777" w:rsidR="00984230" w:rsidRPr="006A7B9C" w:rsidRDefault="00984230" w:rsidP="008D13A9">
      <w:pPr>
        <w:pStyle w:val="ListParagraph"/>
        <w:numPr>
          <w:ilvl w:val="0"/>
          <w:numId w:val="0"/>
        </w:numPr>
        <w:tabs>
          <w:tab w:val="left" w:pos="4410"/>
        </w:tabs>
        <w:spacing w:before="0" w:after="0"/>
        <w:ind w:left="567"/>
        <w:rPr>
          <w:rFonts w:eastAsia="Calibri"/>
        </w:rPr>
      </w:pPr>
      <w:r w:rsidRPr="006A7B9C">
        <w:rPr>
          <w:rFonts w:eastAsia="Calibri"/>
        </w:rPr>
        <w:tab/>
      </w:r>
    </w:p>
    <w:p w14:paraId="0D69B489" w14:textId="5B55AC88" w:rsidR="001A6D26" w:rsidRPr="006A7B9C" w:rsidRDefault="00984230" w:rsidP="008D13A9">
      <w:pPr>
        <w:numPr>
          <w:ilvl w:val="0"/>
          <w:numId w:val="32"/>
        </w:numPr>
        <w:tabs>
          <w:tab w:val="num" w:pos="360"/>
        </w:tabs>
        <w:spacing w:after="0" w:line="360" w:lineRule="auto"/>
        <w:ind w:left="720" w:hanging="720"/>
        <w:jc w:val="both"/>
        <w:rPr>
          <w:rFonts w:ascii="Arial" w:eastAsia="Calibri" w:hAnsi="Arial" w:cs="Arial"/>
          <w:sz w:val="24"/>
          <w:szCs w:val="24"/>
        </w:rPr>
      </w:pPr>
      <w:r w:rsidRPr="006A7B9C">
        <w:rPr>
          <w:rFonts w:ascii="Arial" w:eastAsia="Calibri" w:hAnsi="Arial" w:cs="Arial"/>
          <w:sz w:val="24"/>
          <w:szCs w:val="24"/>
        </w:rPr>
        <w:t xml:space="preserve">Briefly, the facts in </w:t>
      </w:r>
      <w:r w:rsidRPr="006A7B9C">
        <w:rPr>
          <w:rFonts w:ascii="Arial" w:eastAsia="Calibri" w:hAnsi="Arial" w:cs="Arial"/>
          <w:i/>
          <w:sz w:val="24"/>
          <w:szCs w:val="24"/>
        </w:rPr>
        <w:t>Gap</w:t>
      </w:r>
      <w:r w:rsidRPr="006A7B9C">
        <w:rPr>
          <w:rFonts w:ascii="Arial" w:eastAsia="Calibri" w:hAnsi="Arial" w:cs="Arial"/>
          <w:sz w:val="24"/>
          <w:szCs w:val="24"/>
        </w:rPr>
        <w:t xml:space="preserve"> </w:t>
      </w:r>
      <w:r w:rsidR="00582008" w:rsidRPr="006A7B9C">
        <w:rPr>
          <w:rFonts w:ascii="Arial" w:eastAsia="Calibri" w:hAnsi="Arial" w:cs="Arial"/>
          <w:sz w:val="24"/>
          <w:szCs w:val="24"/>
        </w:rPr>
        <w:t xml:space="preserve">were as follows. For many years, Gap (Canada) Inc operated a retail store from leased premises at 230-234 Princess Street in downtown Kingston. The renewed lease agreement was to end in December 2020. On 17 March 2020, in response to the COVID-19 pandemic, the Government of Ontario declared a provincial state of emergency. On 24 March 2020, the government ordered all non-essential businesses to close to limit the spread of COVID-19. As a result, Gap was required to shut down its store located at the leased premises and was unable to open until the shutdown restrictions were lifted on 19 May 2020. Gap failed to pay rental for April or May 2020. It made partial payment from June to September 2020. </w:t>
      </w:r>
      <w:r w:rsidR="00853755" w:rsidRPr="006A7B9C">
        <w:rPr>
          <w:rFonts w:ascii="Arial" w:eastAsia="Calibri" w:hAnsi="Arial" w:cs="Arial"/>
          <w:sz w:val="24"/>
          <w:szCs w:val="24"/>
        </w:rPr>
        <w:t>Ultimately,</w:t>
      </w:r>
      <w:r w:rsidR="00582008" w:rsidRPr="006A7B9C">
        <w:rPr>
          <w:rFonts w:ascii="Arial" w:eastAsia="Calibri" w:hAnsi="Arial" w:cs="Arial"/>
          <w:sz w:val="24"/>
          <w:szCs w:val="24"/>
        </w:rPr>
        <w:t xml:space="preserve"> it closed shop and moved out. </w:t>
      </w:r>
      <w:r w:rsidR="001A6D26" w:rsidRPr="006A7B9C">
        <w:rPr>
          <w:rFonts w:ascii="Arial" w:eastAsia="Calibri" w:hAnsi="Arial" w:cs="Arial"/>
          <w:sz w:val="24"/>
          <w:szCs w:val="24"/>
        </w:rPr>
        <w:t xml:space="preserve">The plaintiff sued for </w:t>
      </w:r>
      <w:r w:rsidR="001B6833" w:rsidRPr="006A7B9C">
        <w:rPr>
          <w:rFonts w:ascii="Arial" w:eastAsia="Calibri" w:hAnsi="Arial" w:cs="Arial"/>
          <w:sz w:val="24"/>
          <w:szCs w:val="24"/>
        </w:rPr>
        <w:t xml:space="preserve">arrear </w:t>
      </w:r>
      <w:r w:rsidR="001A6D26" w:rsidRPr="006A7B9C">
        <w:rPr>
          <w:rFonts w:ascii="Arial" w:eastAsia="Calibri" w:hAnsi="Arial" w:cs="Arial"/>
          <w:sz w:val="24"/>
          <w:szCs w:val="24"/>
        </w:rPr>
        <w:t xml:space="preserve">rental. As a defence, Gap stated that it was relieved of the obligation to pay the arrears of rent because the purpose of the lease was frustrated by COVID-19 pandemic, which resulted in </w:t>
      </w:r>
      <w:r w:rsidR="00853755" w:rsidRPr="006A7B9C">
        <w:rPr>
          <w:rFonts w:ascii="Arial" w:eastAsia="Calibri" w:hAnsi="Arial" w:cs="Arial"/>
          <w:sz w:val="24"/>
          <w:szCs w:val="24"/>
        </w:rPr>
        <w:t>restrictions, which</w:t>
      </w:r>
      <w:r w:rsidR="001A6D26" w:rsidRPr="006A7B9C">
        <w:rPr>
          <w:rFonts w:ascii="Arial" w:eastAsia="Calibri" w:hAnsi="Arial" w:cs="Arial"/>
          <w:sz w:val="24"/>
          <w:szCs w:val="24"/>
        </w:rPr>
        <w:t xml:space="preserve"> significantly impeded its ability to </w:t>
      </w:r>
      <w:r w:rsidR="001A6D26" w:rsidRPr="006A7B9C">
        <w:rPr>
          <w:rFonts w:ascii="Arial" w:eastAsia="Calibri" w:hAnsi="Arial" w:cs="Arial"/>
          <w:sz w:val="24"/>
          <w:szCs w:val="24"/>
        </w:rPr>
        <w:lastRenderedPageBreak/>
        <w:t>operate its business to the point where it was no longer reasonable, practical, or commercially viable for it to do so.</w:t>
      </w:r>
    </w:p>
    <w:p w14:paraId="2B3F9F79" w14:textId="77777777" w:rsidR="001A6D26" w:rsidRPr="006A7B9C" w:rsidRDefault="001A6D26" w:rsidP="008D13A9">
      <w:pPr>
        <w:spacing w:after="0" w:line="360" w:lineRule="auto"/>
        <w:ind w:left="720"/>
        <w:jc w:val="both"/>
        <w:rPr>
          <w:rFonts w:ascii="Arial" w:eastAsia="Calibri" w:hAnsi="Arial" w:cs="Arial"/>
          <w:sz w:val="24"/>
          <w:szCs w:val="24"/>
        </w:rPr>
      </w:pPr>
    </w:p>
    <w:p w14:paraId="42D5A52C" w14:textId="77777777" w:rsidR="00E96912" w:rsidRPr="006A7B9C" w:rsidRDefault="001A6D26" w:rsidP="008D13A9">
      <w:pPr>
        <w:numPr>
          <w:ilvl w:val="0"/>
          <w:numId w:val="32"/>
        </w:numPr>
        <w:tabs>
          <w:tab w:val="num" w:pos="360"/>
        </w:tabs>
        <w:spacing w:after="0" w:line="360" w:lineRule="auto"/>
        <w:ind w:left="720" w:hanging="720"/>
        <w:jc w:val="both"/>
        <w:rPr>
          <w:rFonts w:ascii="Arial" w:eastAsia="Calibri" w:hAnsi="Arial" w:cs="Arial"/>
          <w:sz w:val="24"/>
          <w:szCs w:val="24"/>
        </w:rPr>
      </w:pPr>
      <w:r w:rsidRPr="006A7B9C">
        <w:rPr>
          <w:rFonts w:ascii="Arial" w:eastAsia="Calibri" w:hAnsi="Arial" w:cs="Arial"/>
          <w:sz w:val="24"/>
          <w:szCs w:val="24"/>
        </w:rPr>
        <w:t xml:space="preserve">Mew J in deciding the case, was heavily influenced by the Supreme Court case of </w:t>
      </w:r>
      <w:r w:rsidRPr="006A7B9C">
        <w:rPr>
          <w:rFonts w:ascii="Arial" w:eastAsia="Calibri" w:hAnsi="Arial" w:cs="Arial"/>
          <w:i/>
          <w:sz w:val="24"/>
          <w:szCs w:val="24"/>
        </w:rPr>
        <w:t>Naylor Group Inc v Ellis-Don Construction Ltd</w:t>
      </w:r>
      <w:r w:rsidR="00E96912" w:rsidRPr="006A7B9C">
        <w:rPr>
          <w:rFonts w:ascii="Arial" w:eastAsia="Calibri" w:hAnsi="Arial" w:cs="Arial"/>
          <w:i/>
          <w:sz w:val="24"/>
          <w:szCs w:val="24"/>
        </w:rPr>
        <w:t xml:space="preserve"> (Naylor)</w:t>
      </w:r>
      <w:r w:rsidRPr="006A7B9C">
        <w:rPr>
          <w:rStyle w:val="FootnoteReference"/>
          <w:rFonts w:ascii="Arial" w:eastAsia="Calibri" w:hAnsi="Arial" w:cs="Arial"/>
          <w:i/>
          <w:sz w:val="24"/>
          <w:szCs w:val="24"/>
        </w:rPr>
        <w:footnoteReference w:id="34"/>
      </w:r>
      <w:r w:rsidR="00E96912" w:rsidRPr="006A7B9C">
        <w:rPr>
          <w:rFonts w:ascii="Arial" w:eastAsia="Calibri" w:hAnsi="Arial" w:cs="Arial"/>
          <w:sz w:val="24"/>
          <w:szCs w:val="24"/>
        </w:rPr>
        <w:t>, where the following was said:</w:t>
      </w:r>
    </w:p>
    <w:p w14:paraId="192E5603" w14:textId="77777777" w:rsidR="00E96912" w:rsidRPr="006A7B9C" w:rsidRDefault="00E96912" w:rsidP="008D13A9">
      <w:pPr>
        <w:pStyle w:val="ListParagraph"/>
        <w:numPr>
          <w:ilvl w:val="0"/>
          <w:numId w:val="0"/>
        </w:numPr>
        <w:spacing w:before="0" w:after="0"/>
        <w:ind w:left="567"/>
        <w:rPr>
          <w:rFonts w:eastAsia="Calibri"/>
        </w:rPr>
      </w:pPr>
    </w:p>
    <w:p w14:paraId="21A68071" w14:textId="77777777" w:rsidR="00E96912" w:rsidRPr="006A7B9C" w:rsidRDefault="00E96912" w:rsidP="008D13A9">
      <w:pPr>
        <w:spacing w:after="0" w:line="360" w:lineRule="auto"/>
        <w:ind w:left="851"/>
        <w:jc w:val="both"/>
        <w:rPr>
          <w:rFonts w:ascii="Arial" w:eastAsia="Calibri" w:hAnsi="Arial" w:cs="Arial"/>
          <w:sz w:val="24"/>
          <w:szCs w:val="24"/>
        </w:rPr>
      </w:pPr>
      <w:r w:rsidRPr="006A7B9C">
        <w:rPr>
          <w:rFonts w:ascii="Arial" w:eastAsia="Calibri" w:hAnsi="Arial" w:cs="Arial"/>
          <w:sz w:val="24"/>
          <w:szCs w:val="24"/>
        </w:rPr>
        <w:t>“</w:t>
      </w:r>
      <w:r w:rsidRPr="008D13A9">
        <w:rPr>
          <w:rFonts w:ascii="Arial" w:eastAsia="Calibri" w:hAnsi="Arial" w:cs="Arial"/>
          <w:i/>
          <w:sz w:val="24"/>
          <w:szCs w:val="24"/>
        </w:rPr>
        <w:t xml:space="preserve">Frustration occurs when a situation has arisen for which the parties made no provision in the contract and </w:t>
      </w:r>
      <w:r w:rsidRPr="008D13A9">
        <w:rPr>
          <w:rFonts w:ascii="Arial" w:eastAsia="Calibri" w:hAnsi="Arial" w:cs="Arial"/>
          <w:i/>
          <w:sz w:val="24"/>
          <w:szCs w:val="24"/>
          <w:u w:val="single"/>
        </w:rPr>
        <w:t xml:space="preserve">performance of the contract becomes a thing radically different from that which was undertaken by the contract.” </w:t>
      </w:r>
      <w:r w:rsidRPr="008D13A9">
        <w:rPr>
          <w:rFonts w:ascii="Arial" w:eastAsia="Calibri" w:hAnsi="Arial" w:cs="Arial"/>
          <w:i/>
          <w:sz w:val="24"/>
          <w:szCs w:val="24"/>
        </w:rPr>
        <w:t>[Own emphasis].</w:t>
      </w:r>
    </w:p>
    <w:p w14:paraId="0B9A303E" w14:textId="77777777" w:rsidR="00E96912" w:rsidRPr="006A7B9C" w:rsidRDefault="00E96912" w:rsidP="008D13A9">
      <w:pPr>
        <w:pStyle w:val="ListParagraph"/>
        <w:numPr>
          <w:ilvl w:val="0"/>
          <w:numId w:val="0"/>
        </w:numPr>
        <w:spacing w:before="0" w:after="0"/>
        <w:ind w:left="567"/>
        <w:rPr>
          <w:rFonts w:eastAsia="Calibri"/>
        </w:rPr>
      </w:pPr>
    </w:p>
    <w:p w14:paraId="35396F0D" w14:textId="77777777" w:rsidR="00E96912" w:rsidRPr="006A7B9C" w:rsidRDefault="00E96912" w:rsidP="008D13A9">
      <w:pPr>
        <w:numPr>
          <w:ilvl w:val="0"/>
          <w:numId w:val="32"/>
        </w:numPr>
        <w:tabs>
          <w:tab w:val="num" w:pos="360"/>
        </w:tabs>
        <w:spacing w:after="0" w:line="360" w:lineRule="auto"/>
        <w:ind w:left="720" w:hanging="720"/>
        <w:jc w:val="both"/>
        <w:rPr>
          <w:rFonts w:ascii="Arial" w:eastAsia="Calibri" w:hAnsi="Arial" w:cs="Arial"/>
          <w:sz w:val="24"/>
          <w:szCs w:val="24"/>
        </w:rPr>
      </w:pPr>
      <w:r w:rsidRPr="006A7B9C">
        <w:rPr>
          <w:rFonts w:ascii="Arial" w:eastAsia="Calibri" w:hAnsi="Arial" w:cs="Arial"/>
          <w:sz w:val="24"/>
          <w:szCs w:val="24"/>
        </w:rPr>
        <w:t>In reaching</w:t>
      </w:r>
      <w:r w:rsidR="00A2232D" w:rsidRPr="006A7B9C">
        <w:rPr>
          <w:rFonts w:ascii="Arial" w:eastAsia="Calibri" w:hAnsi="Arial" w:cs="Arial"/>
          <w:sz w:val="24"/>
          <w:szCs w:val="24"/>
        </w:rPr>
        <w:t xml:space="preserve"> his</w:t>
      </w:r>
      <w:r w:rsidRPr="006A7B9C">
        <w:rPr>
          <w:rFonts w:ascii="Arial" w:eastAsia="Calibri" w:hAnsi="Arial" w:cs="Arial"/>
          <w:sz w:val="24"/>
          <w:szCs w:val="24"/>
        </w:rPr>
        <w:t xml:space="preserve"> conclusions, Mew J stated the following:</w:t>
      </w:r>
    </w:p>
    <w:p w14:paraId="776605DC" w14:textId="77777777" w:rsidR="00E96912" w:rsidRPr="006A7B9C" w:rsidRDefault="00E96912" w:rsidP="008D13A9">
      <w:pPr>
        <w:spacing w:after="0" w:line="360" w:lineRule="auto"/>
        <w:ind w:left="720"/>
        <w:jc w:val="both"/>
        <w:rPr>
          <w:rFonts w:ascii="Arial" w:eastAsia="Calibri" w:hAnsi="Arial" w:cs="Arial"/>
          <w:sz w:val="24"/>
          <w:szCs w:val="24"/>
        </w:rPr>
      </w:pPr>
    </w:p>
    <w:p w14:paraId="1FFBB558" w14:textId="77777777" w:rsidR="00E96912" w:rsidRPr="008D13A9" w:rsidRDefault="00E96912" w:rsidP="008D13A9">
      <w:pPr>
        <w:spacing w:after="0" w:line="360" w:lineRule="auto"/>
        <w:ind w:left="851"/>
        <w:jc w:val="both"/>
        <w:rPr>
          <w:rFonts w:ascii="Arial" w:eastAsia="Calibri" w:hAnsi="Arial" w:cs="Arial"/>
          <w:i/>
          <w:sz w:val="24"/>
          <w:szCs w:val="24"/>
        </w:rPr>
      </w:pPr>
      <w:r w:rsidRPr="008D13A9">
        <w:rPr>
          <w:rFonts w:ascii="Arial" w:eastAsia="Calibri" w:hAnsi="Arial" w:cs="Arial"/>
          <w:i/>
          <w:sz w:val="24"/>
          <w:szCs w:val="24"/>
        </w:rPr>
        <w:t xml:space="preserve">“However, taking the approach articulated in </w:t>
      </w:r>
      <w:r w:rsidRPr="0019783A">
        <w:rPr>
          <w:rFonts w:ascii="Arial" w:eastAsia="Calibri" w:hAnsi="Arial" w:cs="Arial"/>
          <w:i/>
          <w:sz w:val="24"/>
          <w:szCs w:val="24"/>
        </w:rPr>
        <w:t>Naylor</w:t>
      </w:r>
      <w:r w:rsidRPr="00853755">
        <w:rPr>
          <w:rFonts w:ascii="Arial" w:eastAsia="Calibri" w:hAnsi="Arial" w:cs="Arial"/>
          <w:i/>
          <w:sz w:val="24"/>
          <w:szCs w:val="24"/>
        </w:rPr>
        <w:t xml:space="preserve">, </w:t>
      </w:r>
      <w:r w:rsidRPr="008D13A9">
        <w:rPr>
          <w:rFonts w:ascii="Arial" w:eastAsia="Calibri" w:hAnsi="Arial" w:cs="Arial"/>
          <w:i/>
          <w:sz w:val="24"/>
          <w:szCs w:val="24"/>
        </w:rPr>
        <w:t xml:space="preserve">the question is whether the COVID-19 </w:t>
      </w:r>
      <w:r w:rsidRPr="008D13A9">
        <w:rPr>
          <w:rFonts w:ascii="Arial" w:eastAsia="Calibri" w:hAnsi="Arial" w:cs="Arial"/>
          <w:i/>
          <w:sz w:val="24"/>
          <w:szCs w:val="24"/>
          <w:u w:val="single"/>
        </w:rPr>
        <w:t>restrictions radically altered the terms of the lease</w:t>
      </w:r>
      <w:r w:rsidRPr="008D13A9">
        <w:rPr>
          <w:rFonts w:ascii="Arial" w:eastAsia="Calibri" w:hAnsi="Arial" w:cs="Arial"/>
          <w:i/>
          <w:sz w:val="24"/>
          <w:szCs w:val="24"/>
        </w:rPr>
        <w:t xml:space="preserve">. </w:t>
      </w:r>
      <w:r w:rsidR="005E3B6A" w:rsidRPr="008D13A9">
        <w:rPr>
          <w:rFonts w:ascii="Arial" w:eastAsia="Calibri" w:hAnsi="Arial" w:cs="Arial"/>
          <w:i/>
          <w:sz w:val="24"/>
          <w:szCs w:val="24"/>
        </w:rPr>
        <w:t>While this event did prohibit Gap from operating its retail stores temporarily between March 2020 and May 2020, and then at a reduced capacity until September 2020, it is not clear that this would be sufficient to engage the doctrine of frustration.</w:t>
      </w:r>
    </w:p>
    <w:p w14:paraId="1668C484" w14:textId="77777777" w:rsidR="005E3B6A" w:rsidRPr="008D13A9" w:rsidRDefault="00951B88" w:rsidP="008D13A9">
      <w:pPr>
        <w:spacing w:after="0" w:line="360" w:lineRule="auto"/>
        <w:ind w:left="851"/>
        <w:jc w:val="both"/>
        <w:rPr>
          <w:rFonts w:ascii="Arial" w:eastAsia="Calibri" w:hAnsi="Arial" w:cs="Arial"/>
          <w:i/>
          <w:sz w:val="24"/>
          <w:szCs w:val="24"/>
          <w:u w:val="single"/>
        </w:rPr>
      </w:pPr>
      <w:r w:rsidRPr="008D13A9">
        <w:rPr>
          <w:rFonts w:ascii="Arial" w:eastAsia="Calibri" w:hAnsi="Arial" w:cs="Arial"/>
          <w:i/>
          <w:sz w:val="24"/>
          <w:szCs w:val="24"/>
        </w:rPr>
        <w:t>Furthermore,</w:t>
      </w:r>
      <w:r w:rsidR="005E3B6A" w:rsidRPr="008D13A9">
        <w:rPr>
          <w:rFonts w:ascii="Arial" w:eastAsia="Calibri" w:hAnsi="Arial" w:cs="Arial"/>
          <w:i/>
          <w:sz w:val="24"/>
          <w:szCs w:val="24"/>
        </w:rPr>
        <w:t xml:space="preserve"> to radically alter the terms of the lease, </w:t>
      </w:r>
      <w:r w:rsidR="005E3B6A" w:rsidRPr="008D13A9">
        <w:rPr>
          <w:rFonts w:ascii="Arial" w:eastAsia="Calibri" w:hAnsi="Arial" w:cs="Arial"/>
          <w:i/>
          <w:sz w:val="24"/>
          <w:szCs w:val="24"/>
          <w:u w:val="single"/>
        </w:rPr>
        <w:t>the supervening event must not merely increase the burden of satisfying the contractual obligations, but must “affect the nature, meaning, purpose, effect and consequences of the contract so far as</w:t>
      </w:r>
      <w:r w:rsidR="00A2232D" w:rsidRPr="008D13A9">
        <w:rPr>
          <w:rFonts w:ascii="Arial" w:eastAsia="Calibri" w:hAnsi="Arial" w:cs="Arial"/>
          <w:i/>
          <w:sz w:val="24"/>
          <w:szCs w:val="24"/>
          <w:u w:val="single"/>
        </w:rPr>
        <w:t xml:space="preserve"> it</w:t>
      </w:r>
      <w:r w:rsidR="005E3B6A" w:rsidRPr="008D13A9">
        <w:rPr>
          <w:rFonts w:ascii="Arial" w:eastAsia="Calibri" w:hAnsi="Arial" w:cs="Arial"/>
          <w:i/>
          <w:sz w:val="24"/>
          <w:szCs w:val="24"/>
          <w:u w:val="single"/>
        </w:rPr>
        <w:t xml:space="preserve"> concerns either or both parties</w:t>
      </w:r>
      <w:r w:rsidRPr="008D13A9">
        <w:rPr>
          <w:rFonts w:ascii="Arial" w:eastAsia="Calibri" w:hAnsi="Arial" w:cs="Arial"/>
          <w:i/>
          <w:sz w:val="24"/>
          <w:szCs w:val="24"/>
          <w:u w:val="single"/>
        </w:rPr>
        <w:t>.” …</w:t>
      </w:r>
    </w:p>
    <w:p w14:paraId="4C47C3BC" w14:textId="77777777" w:rsidR="005E3B6A" w:rsidRPr="008D13A9" w:rsidRDefault="005E3B6A" w:rsidP="008D13A9">
      <w:pPr>
        <w:spacing w:after="0" w:line="360" w:lineRule="auto"/>
        <w:ind w:left="851"/>
        <w:jc w:val="both"/>
        <w:rPr>
          <w:rFonts w:ascii="Arial" w:eastAsia="Calibri" w:hAnsi="Arial" w:cs="Arial"/>
          <w:i/>
          <w:sz w:val="24"/>
          <w:szCs w:val="24"/>
        </w:rPr>
      </w:pPr>
      <w:r w:rsidRPr="008D13A9">
        <w:rPr>
          <w:rFonts w:ascii="Arial" w:eastAsia="Calibri" w:hAnsi="Arial" w:cs="Arial"/>
          <w:i/>
          <w:sz w:val="24"/>
          <w:szCs w:val="24"/>
        </w:rPr>
        <w:t xml:space="preserve">Given that Gap was not required to operate its retail store under the lease, </w:t>
      </w:r>
      <w:r w:rsidRPr="008D13A9">
        <w:rPr>
          <w:rFonts w:ascii="Arial" w:eastAsia="Calibri" w:hAnsi="Arial" w:cs="Arial"/>
          <w:i/>
          <w:sz w:val="24"/>
          <w:szCs w:val="24"/>
          <w:u w:val="single"/>
        </w:rPr>
        <w:t>its inability to do so cannot be said to have radically altered the lease’s terms, turning it into something completely different than what was intended by the parties entering the lease</w:t>
      </w:r>
      <w:r w:rsidRPr="008D13A9">
        <w:rPr>
          <w:rFonts w:ascii="Arial" w:eastAsia="Calibri" w:hAnsi="Arial" w:cs="Arial"/>
          <w:i/>
          <w:sz w:val="24"/>
          <w:szCs w:val="24"/>
        </w:rPr>
        <w:t>. By contrast, if Gap</w:t>
      </w:r>
      <w:r w:rsidR="009C5B15" w:rsidRPr="008D13A9">
        <w:rPr>
          <w:rFonts w:ascii="Arial" w:eastAsia="Calibri" w:hAnsi="Arial" w:cs="Arial"/>
          <w:i/>
          <w:sz w:val="24"/>
          <w:szCs w:val="24"/>
        </w:rPr>
        <w:t xml:space="preserve"> </w:t>
      </w:r>
      <w:r w:rsidRPr="008D13A9">
        <w:rPr>
          <w:rFonts w:ascii="Arial" w:eastAsia="Calibri" w:hAnsi="Arial" w:cs="Arial"/>
          <w:i/>
          <w:sz w:val="24"/>
          <w:szCs w:val="24"/>
        </w:rPr>
        <w:t xml:space="preserve">had been required under the lease to operate the premises </w:t>
      </w:r>
      <w:r w:rsidR="009C5B15" w:rsidRPr="008D13A9">
        <w:rPr>
          <w:rFonts w:ascii="Arial" w:eastAsia="Calibri" w:hAnsi="Arial" w:cs="Arial"/>
          <w:i/>
          <w:sz w:val="24"/>
          <w:szCs w:val="24"/>
        </w:rPr>
        <w:t>as a retail store, its inability to do so by a supervening event may have risen to the level of radical change required to engage the doctrine of frustration.”</w:t>
      </w:r>
      <w:r w:rsidR="009C5B15" w:rsidRPr="008D13A9">
        <w:rPr>
          <w:rStyle w:val="FootnoteReference"/>
          <w:rFonts w:ascii="Arial" w:eastAsia="Calibri" w:hAnsi="Arial" w:cs="Arial"/>
          <w:i/>
          <w:sz w:val="24"/>
          <w:szCs w:val="24"/>
        </w:rPr>
        <w:footnoteReference w:id="35"/>
      </w:r>
      <w:r w:rsidR="00A2232D" w:rsidRPr="008D13A9">
        <w:rPr>
          <w:rFonts w:ascii="Arial" w:eastAsia="Calibri" w:hAnsi="Arial" w:cs="Arial"/>
          <w:i/>
          <w:sz w:val="24"/>
          <w:szCs w:val="24"/>
        </w:rPr>
        <w:t>[Own emphasis]</w:t>
      </w:r>
    </w:p>
    <w:p w14:paraId="782CDD95" w14:textId="77777777" w:rsidR="009C5B15" w:rsidRPr="006A7B9C" w:rsidRDefault="009C5B15" w:rsidP="008D13A9">
      <w:pPr>
        <w:spacing w:after="0" w:line="360" w:lineRule="auto"/>
        <w:ind w:left="2160"/>
        <w:jc w:val="both"/>
        <w:rPr>
          <w:rFonts w:ascii="Arial" w:eastAsia="Calibri" w:hAnsi="Arial" w:cs="Arial"/>
          <w:sz w:val="24"/>
          <w:szCs w:val="24"/>
        </w:rPr>
      </w:pPr>
    </w:p>
    <w:p w14:paraId="6C3D989C" w14:textId="77777777" w:rsidR="00AD36DB" w:rsidRPr="006A7B9C" w:rsidRDefault="009C5B15" w:rsidP="008D13A9">
      <w:pPr>
        <w:numPr>
          <w:ilvl w:val="0"/>
          <w:numId w:val="32"/>
        </w:numPr>
        <w:tabs>
          <w:tab w:val="num" w:pos="360"/>
        </w:tabs>
        <w:spacing w:after="0" w:line="360" w:lineRule="auto"/>
        <w:ind w:left="720" w:hanging="720"/>
        <w:jc w:val="both"/>
        <w:rPr>
          <w:rFonts w:ascii="Arial" w:eastAsia="Calibri" w:hAnsi="Arial" w:cs="Arial"/>
          <w:sz w:val="24"/>
          <w:szCs w:val="24"/>
        </w:rPr>
      </w:pPr>
      <w:r w:rsidRPr="006A7B9C">
        <w:rPr>
          <w:rFonts w:ascii="Arial" w:eastAsia="Calibri" w:hAnsi="Arial" w:cs="Arial"/>
          <w:sz w:val="24"/>
          <w:szCs w:val="24"/>
        </w:rPr>
        <w:lastRenderedPageBreak/>
        <w:t>This Court plentifully agree with the sentiments expressed</w:t>
      </w:r>
      <w:r w:rsidR="00C0273C" w:rsidRPr="006A7B9C">
        <w:rPr>
          <w:rStyle w:val="FootnoteReference"/>
          <w:rFonts w:ascii="Arial" w:eastAsia="Calibri" w:hAnsi="Arial" w:cs="Arial"/>
          <w:sz w:val="24"/>
          <w:szCs w:val="24"/>
        </w:rPr>
        <w:footnoteReference w:id="36"/>
      </w:r>
      <w:r w:rsidRPr="006A7B9C">
        <w:rPr>
          <w:rFonts w:ascii="Arial" w:eastAsia="Calibri" w:hAnsi="Arial" w:cs="Arial"/>
          <w:sz w:val="24"/>
          <w:szCs w:val="24"/>
        </w:rPr>
        <w:t xml:space="preserve"> by Mew J. Appositely, similar sentiments are expressed </w:t>
      </w:r>
      <w:r w:rsidRPr="006A7B9C">
        <w:rPr>
          <w:rFonts w:ascii="Arial" w:eastAsia="Calibri" w:hAnsi="Arial" w:cs="Arial"/>
          <w:i/>
          <w:sz w:val="24"/>
          <w:szCs w:val="24"/>
        </w:rPr>
        <w:t>mutatis mutandis</w:t>
      </w:r>
      <w:r w:rsidRPr="006A7B9C">
        <w:rPr>
          <w:rFonts w:ascii="Arial" w:eastAsia="Calibri" w:hAnsi="Arial" w:cs="Arial"/>
          <w:sz w:val="24"/>
          <w:szCs w:val="24"/>
        </w:rPr>
        <w:t xml:space="preserve"> in</w:t>
      </w:r>
      <w:r w:rsidRPr="006A7B9C">
        <w:rPr>
          <w:rFonts w:ascii="Arial" w:eastAsia="Calibri" w:hAnsi="Arial" w:cs="Arial"/>
          <w:i/>
          <w:sz w:val="24"/>
          <w:szCs w:val="24"/>
        </w:rPr>
        <w:t xml:space="preserve"> casu.</w:t>
      </w:r>
      <w:r w:rsidRPr="006A7B9C">
        <w:rPr>
          <w:rFonts w:ascii="Arial" w:eastAsia="Calibri" w:hAnsi="Arial" w:cs="Arial"/>
          <w:sz w:val="24"/>
          <w:szCs w:val="24"/>
        </w:rPr>
        <w:t xml:space="preserve"> In this matter, it is not the terms of the lease agreement that the defendant was only allowed to conduct </w:t>
      </w:r>
      <w:r w:rsidR="00951B88" w:rsidRPr="006A7B9C">
        <w:rPr>
          <w:rFonts w:ascii="Arial" w:eastAsia="Calibri" w:hAnsi="Arial" w:cs="Arial"/>
          <w:sz w:val="24"/>
          <w:szCs w:val="24"/>
        </w:rPr>
        <w:t>a specific operation</w:t>
      </w:r>
      <w:r w:rsidR="00AD36DB" w:rsidRPr="006A7B9C">
        <w:rPr>
          <w:rFonts w:ascii="Arial" w:eastAsia="Calibri" w:hAnsi="Arial" w:cs="Arial"/>
          <w:sz w:val="24"/>
          <w:szCs w:val="24"/>
        </w:rPr>
        <w:t xml:space="preserve">. In </w:t>
      </w:r>
      <w:r w:rsidR="00AD36DB" w:rsidRPr="006A7B9C">
        <w:rPr>
          <w:rFonts w:ascii="Arial" w:eastAsia="Calibri" w:hAnsi="Arial" w:cs="Arial"/>
          <w:i/>
          <w:sz w:val="24"/>
          <w:szCs w:val="24"/>
        </w:rPr>
        <w:t>Quebec</w:t>
      </w:r>
      <w:r w:rsidR="00AD36DB" w:rsidRPr="006A7B9C">
        <w:rPr>
          <w:rFonts w:ascii="Arial" w:eastAsia="Calibri" w:hAnsi="Arial" w:cs="Arial"/>
          <w:sz w:val="24"/>
          <w:szCs w:val="24"/>
        </w:rPr>
        <w:t xml:space="preserve"> </w:t>
      </w:r>
      <w:r w:rsidR="00AD36DB" w:rsidRPr="006A7B9C">
        <w:rPr>
          <w:rFonts w:ascii="Arial" w:eastAsia="Calibri" w:hAnsi="Arial" w:cs="Arial"/>
          <w:i/>
          <w:sz w:val="24"/>
          <w:szCs w:val="24"/>
        </w:rPr>
        <w:t>Civil Code in Hengyun International Investments Commerce Inc</w:t>
      </w:r>
      <w:r w:rsidR="00AD36DB" w:rsidRPr="006A7B9C">
        <w:rPr>
          <w:rStyle w:val="FootnoteReference"/>
          <w:rFonts w:ascii="Arial" w:eastAsia="Calibri" w:hAnsi="Arial" w:cs="Arial"/>
          <w:sz w:val="24"/>
          <w:szCs w:val="24"/>
        </w:rPr>
        <w:footnoteReference w:id="37"/>
      </w:r>
      <w:r w:rsidR="00AD36DB" w:rsidRPr="006A7B9C">
        <w:rPr>
          <w:rFonts w:ascii="Arial" w:eastAsia="Calibri" w:hAnsi="Arial" w:cs="Arial"/>
          <w:sz w:val="24"/>
          <w:szCs w:val="24"/>
        </w:rPr>
        <w:t>, the Court held that the Landlord was unable to provide peaceful enjoyment of the leased premises while the tenant was unable to operate a gym due to the COVID-19 restrictions because the lease specified the premises was to be operated “solely as a gym”.</w:t>
      </w:r>
      <w:r w:rsidR="00A2232D" w:rsidRPr="006A7B9C">
        <w:rPr>
          <w:rFonts w:ascii="Arial" w:eastAsia="Calibri" w:hAnsi="Arial" w:cs="Arial"/>
          <w:sz w:val="24"/>
          <w:szCs w:val="24"/>
        </w:rPr>
        <w:t xml:space="preserve"> Inasmuch as the lease agreement mentioned that the premises will be used </w:t>
      </w:r>
      <w:r w:rsidR="00824260" w:rsidRPr="006A7B9C">
        <w:rPr>
          <w:rFonts w:ascii="Arial" w:eastAsia="Calibri" w:hAnsi="Arial" w:cs="Arial"/>
          <w:sz w:val="24"/>
          <w:szCs w:val="24"/>
        </w:rPr>
        <w:t xml:space="preserve">to conduct a sale of motor vehicles, such does not imply that the sale became impossible the same way as a gym. </w:t>
      </w:r>
      <w:r w:rsidR="00AD36DB" w:rsidRPr="006A7B9C">
        <w:rPr>
          <w:rFonts w:ascii="Arial" w:eastAsia="Calibri" w:hAnsi="Arial" w:cs="Arial"/>
          <w:sz w:val="24"/>
          <w:szCs w:val="24"/>
        </w:rPr>
        <w:t xml:space="preserve"> </w:t>
      </w:r>
    </w:p>
    <w:p w14:paraId="12147FB4" w14:textId="77777777" w:rsidR="00AD36DB" w:rsidRPr="006A7B9C" w:rsidRDefault="00AD36DB" w:rsidP="008D13A9">
      <w:pPr>
        <w:spacing w:after="0" w:line="360" w:lineRule="auto"/>
        <w:ind w:left="720"/>
        <w:jc w:val="both"/>
        <w:rPr>
          <w:rFonts w:ascii="Arial" w:eastAsia="Calibri" w:hAnsi="Arial" w:cs="Arial"/>
          <w:sz w:val="24"/>
          <w:szCs w:val="24"/>
        </w:rPr>
      </w:pPr>
    </w:p>
    <w:p w14:paraId="3773C693" w14:textId="2F31C7FA" w:rsidR="00BF168B" w:rsidRPr="006A7B9C" w:rsidRDefault="00AD36DB" w:rsidP="008D13A9">
      <w:pPr>
        <w:numPr>
          <w:ilvl w:val="0"/>
          <w:numId w:val="32"/>
        </w:numPr>
        <w:tabs>
          <w:tab w:val="num" w:pos="360"/>
        </w:tabs>
        <w:spacing w:after="0" w:line="360" w:lineRule="auto"/>
        <w:ind w:left="720" w:hanging="720"/>
        <w:jc w:val="both"/>
        <w:rPr>
          <w:rFonts w:ascii="Arial" w:eastAsia="Calibri" w:hAnsi="Arial" w:cs="Arial"/>
          <w:sz w:val="24"/>
          <w:szCs w:val="24"/>
        </w:rPr>
      </w:pPr>
      <w:r w:rsidRPr="006A7B9C">
        <w:rPr>
          <w:rFonts w:ascii="Arial" w:eastAsia="Calibri" w:hAnsi="Arial" w:cs="Arial"/>
          <w:sz w:val="24"/>
          <w:szCs w:val="24"/>
        </w:rPr>
        <w:t xml:space="preserve">In the circumstances, it must follow that the learned magistrate erred when </w:t>
      </w:r>
      <w:r w:rsidR="00824260" w:rsidRPr="006A7B9C">
        <w:rPr>
          <w:rFonts w:ascii="Arial" w:eastAsia="Calibri" w:hAnsi="Arial" w:cs="Arial"/>
          <w:sz w:val="24"/>
          <w:szCs w:val="24"/>
        </w:rPr>
        <w:t>she concluded that there was</w:t>
      </w:r>
      <w:r w:rsidRPr="006A7B9C">
        <w:rPr>
          <w:rFonts w:ascii="Arial" w:eastAsia="Calibri" w:hAnsi="Arial" w:cs="Arial"/>
          <w:sz w:val="24"/>
          <w:szCs w:val="24"/>
        </w:rPr>
        <w:t xml:space="preserve"> supervening impossibility that</w:t>
      </w:r>
      <w:r w:rsidR="00824260" w:rsidRPr="006A7B9C">
        <w:rPr>
          <w:rFonts w:ascii="Arial" w:eastAsia="Calibri" w:hAnsi="Arial" w:cs="Arial"/>
          <w:sz w:val="24"/>
          <w:szCs w:val="24"/>
        </w:rPr>
        <w:t xml:space="preserve"> entitled Luhan</w:t>
      </w:r>
      <w:r w:rsidRPr="006A7B9C">
        <w:rPr>
          <w:rFonts w:ascii="Arial" w:eastAsia="Calibri" w:hAnsi="Arial" w:cs="Arial"/>
          <w:sz w:val="24"/>
          <w:szCs w:val="24"/>
        </w:rPr>
        <w:t xml:space="preserve"> to be discharged from its contractual obligations. Since, it was</w:t>
      </w:r>
      <w:r w:rsidR="002B4CA9">
        <w:rPr>
          <w:rFonts w:ascii="Arial" w:eastAsia="Calibri" w:hAnsi="Arial" w:cs="Arial"/>
          <w:sz w:val="24"/>
          <w:szCs w:val="24"/>
        </w:rPr>
        <w:t xml:space="preserve"> common cause that Luhan owed rental, Hennops</w:t>
      </w:r>
      <w:r w:rsidRPr="006A7B9C">
        <w:rPr>
          <w:rFonts w:ascii="Arial" w:eastAsia="Calibri" w:hAnsi="Arial" w:cs="Arial"/>
          <w:sz w:val="24"/>
          <w:szCs w:val="24"/>
        </w:rPr>
        <w:t xml:space="preserve"> was entitled to a finding ordering </w:t>
      </w:r>
      <w:r w:rsidR="00824260" w:rsidRPr="006A7B9C">
        <w:rPr>
          <w:rFonts w:ascii="Arial" w:eastAsia="Calibri" w:hAnsi="Arial" w:cs="Arial"/>
          <w:sz w:val="24"/>
          <w:szCs w:val="24"/>
        </w:rPr>
        <w:t>Luhan</w:t>
      </w:r>
      <w:r w:rsidRPr="006A7B9C">
        <w:rPr>
          <w:rFonts w:ascii="Arial" w:eastAsia="Calibri" w:hAnsi="Arial" w:cs="Arial"/>
          <w:sz w:val="24"/>
          <w:szCs w:val="24"/>
        </w:rPr>
        <w:t xml:space="preserve"> to pay the arrear rental</w:t>
      </w:r>
      <w:r w:rsidR="00824260" w:rsidRPr="006A7B9C">
        <w:rPr>
          <w:rFonts w:ascii="Arial" w:eastAsia="Calibri" w:hAnsi="Arial" w:cs="Arial"/>
          <w:sz w:val="24"/>
          <w:szCs w:val="24"/>
        </w:rPr>
        <w:t xml:space="preserve"> and penalties attached to the late payment. </w:t>
      </w:r>
    </w:p>
    <w:p w14:paraId="6F95D95B" w14:textId="77777777" w:rsidR="00BF168B" w:rsidRPr="006A7B9C" w:rsidRDefault="00BF168B" w:rsidP="008D13A9">
      <w:pPr>
        <w:pStyle w:val="ListParagraph"/>
        <w:numPr>
          <w:ilvl w:val="0"/>
          <w:numId w:val="0"/>
        </w:numPr>
        <w:spacing w:before="0" w:after="0"/>
        <w:ind w:left="567"/>
        <w:rPr>
          <w:rFonts w:eastAsia="Calibri"/>
        </w:rPr>
      </w:pPr>
    </w:p>
    <w:p w14:paraId="62C05DBC" w14:textId="77777777" w:rsidR="00BF168B" w:rsidRPr="002B4CA9" w:rsidRDefault="00BF168B" w:rsidP="002B4CA9">
      <w:pPr>
        <w:spacing w:after="0" w:line="360" w:lineRule="auto"/>
        <w:jc w:val="both"/>
        <w:rPr>
          <w:rFonts w:ascii="Arial" w:eastAsia="Calibri" w:hAnsi="Arial" w:cs="Arial"/>
          <w:i/>
          <w:sz w:val="24"/>
          <w:szCs w:val="24"/>
        </w:rPr>
      </w:pPr>
      <w:r w:rsidRPr="002B4CA9">
        <w:rPr>
          <w:rFonts w:ascii="Arial" w:eastAsia="Calibri" w:hAnsi="Arial" w:cs="Arial"/>
          <w:i/>
          <w:sz w:val="24"/>
          <w:szCs w:val="24"/>
        </w:rPr>
        <w:t>Was the contract amended or not?</w:t>
      </w:r>
    </w:p>
    <w:p w14:paraId="08D8E1DF" w14:textId="77777777" w:rsidR="00BF168B" w:rsidRPr="006A7B9C" w:rsidRDefault="00BF168B" w:rsidP="008D13A9">
      <w:pPr>
        <w:spacing w:after="0" w:line="360" w:lineRule="auto"/>
        <w:ind w:left="567" w:hanging="567"/>
        <w:rPr>
          <w:rFonts w:ascii="Arial" w:eastAsia="Calibri" w:hAnsi="Arial" w:cs="Arial"/>
          <w:sz w:val="24"/>
          <w:szCs w:val="24"/>
        </w:rPr>
      </w:pPr>
    </w:p>
    <w:p w14:paraId="035DE30F" w14:textId="36C42851" w:rsidR="00FF200A" w:rsidRPr="006A7B9C" w:rsidRDefault="00824260" w:rsidP="008D13A9">
      <w:pPr>
        <w:numPr>
          <w:ilvl w:val="0"/>
          <w:numId w:val="32"/>
        </w:numPr>
        <w:tabs>
          <w:tab w:val="num" w:pos="360"/>
        </w:tabs>
        <w:spacing w:after="0" w:line="360" w:lineRule="auto"/>
        <w:ind w:left="720" w:hanging="720"/>
        <w:jc w:val="both"/>
        <w:rPr>
          <w:rFonts w:ascii="Arial" w:eastAsia="Calibri" w:hAnsi="Arial" w:cs="Arial"/>
          <w:sz w:val="24"/>
          <w:szCs w:val="24"/>
        </w:rPr>
      </w:pPr>
      <w:r w:rsidRPr="006A7B9C">
        <w:rPr>
          <w:rFonts w:ascii="Arial" w:eastAsia="Calibri" w:hAnsi="Arial" w:cs="Arial"/>
          <w:sz w:val="24"/>
          <w:szCs w:val="24"/>
        </w:rPr>
        <w:t>Luhan</w:t>
      </w:r>
      <w:r w:rsidR="00BF168B" w:rsidRPr="006A7B9C">
        <w:rPr>
          <w:rFonts w:ascii="Arial" w:eastAsia="Calibri" w:hAnsi="Arial" w:cs="Arial"/>
          <w:sz w:val="24"/>
          <w:szCs w:val="24"/>
        </w:rPr>
        <w:t xml:space="preserve"> alleged that the rental clause of the agreement was amended. In terms of clause 8 of the lease agreement, no amendment shall have any legal effect unless reduced to writing and signed by both parties. There is no addendum signed by the parties reflecting the </w:t>
      </w:r>
      <w:r w:rsidR="002B4CA9">
        <w:rPr>
          <w:rFonts w:ascii="Arial" w:eastAsia="Calibri" w:hAnsi="Arial" w:cs="Arial"/>
          <w:sz w:val="24"/>
          <w:szCs w:val="24"/>
        </w:rPr>
        <w:t>rental reduction. On that simple</w:t>
      </w:r>
      <w:r w:rsidR="00BF168B" w:rsidRPr="006A7B9C">
        <w:rPr>
          <w:rFonts w:ascii="Arial" w:eastAsia="Calibri" w:hAnsi="Arial" w:cs="Arial"/>
          <w:sz w:val="24"/>
          <w:szCs w:val="24"/>
        </w:rPr>
        <w:t xml:space="preserve"> basis a conclusion that the lease agreement wa</w:t>
      </w:r>
      <w:r w:rsidRPr="006A7B9C">
        <w:rPr>
          <w:rFonts w:ascii="Arial" w:eastAsia="Calibri" w:hAnsi="Arial" w:cs="Arial"/>
          <w:sz w:val="24"/>
          <w:szCs w:val="24"/>
        </w:rPr>
        <w:t>s amended was made in error. T</w:t>
      </w:r>
      <w:r w:rsidR="00BF168B" w:rsidRPr="006A7B9C">
        <w:rPr>
          <w:rFonts w:ascii="Arial" w:eastAsia="Calibri" w:hAnsi="Arial" w:cs="Arial"/>
          <w:sz w:val="24"/>
          <w:szCs w:val="24"/>
        </w:rPr>
        <w:t xml:space="preserve">he learned magistrate erred in that regard. The letters used to support the alleged amendment, do not support a conclusion that the term was amended instead it </w:t>
      </w:r>
      <w:r w:rsidRPr="006A7B9C">
        <w:rPr>
          <w:rFonts w:ascii="Arial" w:eastAsia="Calibri" w:hAnsi="Arial" w:cs="Arial"/>
          <w:sz w:val="24"/>
          <w:szCs w:val="24"/>
        </w:rPr>
        <w:t xml:space="preserve">demonstrates that Luhan successfully </w:t>
      </w:r>
      <w:r w:rsidR="00BF168B" w:rsidRPr="006A7B9C">
        <w:rPr>
          <w:rFonts w:ascii="Arial" w:eastAsia="Calibri" w:hAnsi="Arial" w:cs="Arial"/>
          <w:sz w:val="24"/>
          <w:szCs w:val="24"/>
        </w:rPr>
        <w:t>negotiated a temporary reprieve, which was acceded to for a specified period. That is nothing but a compromise. A compromise is an agree</w:t>
      </w:r>
      <w:r w:rsidR="00204AAD" w:rsidRPr="006A7B9C">
        <w:rPr>
          <w:rFonts w:ascii="Arial" w:eastAsia="Calibri" w:hAnsi="Arial" w:cs="Arial"/>
          <w:sz w:val="24"/>
          <w:szCs w:val="24"/>
        </w:rPr>
        <w:t>ment</w:t>
      </w:r>
      <w:r w:rsidR="00BF168B" w:rsidRPr="006A7B9C">
        <w:rPr>
          <w:rFonts w:ascii="Arial" w:eastAsia="Calibri" w:hAnsi="Arial" w:cs="Arial"/>
          <w:sz w:val="24"/>
          <w:szCs w:val="24"/>
        </w:rPr>
        <w:t xml:space="preserve"> or settlement of a dispute</w:t>
      </w:r>
      <w:r w:rsidR="00204AAD" w:rsidRPr="006A7B9C">
        <w:rPr>
          <w:rFonts w:ascii="Arial" w:eastAsia="Calibri" w:hAnsi="Arial" w:cs="Arial"/>
          <w:sz w:val="24"/>
          <w:szCs w:val="24"/>
        </w:rPr>
        <w:t xml:space="preserve"> that is reached by each side making concessions.</w:t>
      </w:r>
      <w:r w:rsidR="002658BD" w:rsidRPr="006A7B9C">
        <w:rPr>
          <w:rFonts w:ascii="Arial" w:eastAsia="Calibri" w:hAnsi="Arial" w:cs="Arial"/>
          <w:sz w:val="24"/>
          <w:szCs w:val="24"/>
        </w:rPr>
        <w:t xml:space="preserve"> In </w:t>
      </w:r>
      <w:r w:rsidR="002658BD" w:rsidRPr="006A7B9C">
        <w:rPr>
          <w:rFonts w:ascii="Arial" w:eastAsia="Calibri" w:hAnsi="Arial" w:cs="Arial"/>
          <w:i/>
          <w:sz w:val="24"/>
          <w:szCs w:val="24"/>
        </w:rPr>
        <w:t>casu</w:t>
      </w:r>
      <w:r w:rsidR="002658BD" w:rsidRPr="006A7B9C">
        <w:rPr>
          <w:rFonts w:ascii="Arial" w:eastAsia="Calibri" w:hAnsi="Arial" w:cs="Arial"/>
          <w:sz w:val="24"/>
          <w:szCs w:val="24"/>
        </w:rPr>
        <w:t xml:space="preserve">, </w:t>
      </w:r>
      <w:r w:rsidR="002658BD" w:rsidRPr="006A7B9C">
        <w:rPr>
          <w:rFonts w:ascii="Arial" w:eastAsia="Calibri" w:hAnsi="Arial" w:cs="Arial"/>
          <w:sz w:val="24"/>
          <w:szCs w:val="24"/>
        </w:rPr>
        <w:lastRenderedPageBreak/>
        <w:t>the parties have agreed on a non-variation clause and such agreement must be honoured.</w:t>
      </w:r>
      <w:r w:rsidR="002658BD" w:rsidRPr="006A7B9C">
        <w:rPr>
          <w:rStyle w:val="FootnoteReference"/>
          <w:rFonts w:ascii="Arial" w:eastAsia="Calibri" w:hAnsi="Arial" w:cs="Arial"/>
          <w:sz w:val="24"/>
          <w:szCs w:val="24"/>
        </w:rPr>
        <w:footnoteReference w:id="38"/>
      </w:r>
      <w:r w:rsidR="002658BD" w:rsidRPr="006A7B9C">
        <w:rPr>
          <w:rFonts w:ascii="Arial" w:eastAsia="Calibri" w:hAnsi="Arial" w:cs="Arial"/>
          <w:sz w:val="24"/>
          <w:szCs w:val="24"/>
        </w:rPr>
        <w:t xml:space="preserve"> </w:t>
      </w:r>
    </w:p>
    <w:p w14:paraId="43DC6F05" w14:textId="77777777" w:rsidR="00FF200A" w:rsidRPr="006A7B9C" w:rsidRDefault="00FF200A" w:rsidP="008D13A9">
      <w:pPr>
        <w:spacing w:after="0" w:line="360" w:lineRule="auto"/>
        <w:ind w:left="720"/>
        <w:jc w:val="both"/>
        <w:rPr>
          <w:rFonts w:ascii="Arial" w:eastAsia="Calibri" w:hAnsi="Arial" w:cs="Arial"/>
          <w:sz w:val="24"/>
          <w:szCs w:val="24"/>
        </w:rPr>
      </w:pPr>
    </w:p>
    <w:p w14:paraId="7A9BF1F9" w14:textId="77777777" w:rsidR="002370DB" w:rsidRPr="006A7B9C" w:rsidRDefault="002658BD" w:rsidP="008D13A9">
      <w:pPr>
        <w:numPr>
          <w:ilvl w:val="0"/>
          <w:numId w:val="32"/>
        </w:numPr>
        <w:tabs>
          <w:tab w:val="num" w:pos="360"/>
        </w:tabs>
        <w:spacing w:after="0" w:line="360" w:lineRule="auto"/>
        <w:ind w:left="720" w:hanging="720"/>
        <w:jc w:val="both"/>
        <w:rPr>
          <w:rFonts w:ascii="Arial" w:eastAsia="Calibri" w:hAnsi="Arial" w:cs="Arial"/>
          <w:sz w:val="24"/>
          <w:szCs w:val="24"/>
        </w:rPr>
      </w:pPr>
      <w:r w:rsidRPr="006A7B9C">
        <w:rPr>
          <w:rFonts w:ascii="Arial" w:eastAsia="Calibri" w:hAnsi="Arial" w:cs="Arial"/>
          <w:sz w:val="24"/>
          <w:szCs w:val="24"/>
        </w:rPr>
        <w:t>There is no evidence to suggest that the non-variation clause violated public policy.</w:t>
      </w:r>
      <w:r w:rsidRPr="006A7B9C">
        <w:rPr>
          <w:rStyle w:val="FootnoteReference"/>
          <w:rFonts w:ascii="Arial" w:eastAsia="Calibri" w:hAnsi="Arial" w:cs="Arial"/>
          <w:sz w:val="24"/>
          <w:szCs w:val="24"/>
        </w:rPr>
        <w:footnoteReference w:id="39"/>
      </w:r>
      <w:r w:rsidRPr="006A7B9C">
        <w:rPr>
          <w:rFonts w:ascii="Arial" w:eastAsia="Calibri" w:hAnsi="Arial" w:cs="Arial"/>
          <w:sz w:val="24"/>
          <w:szCs w:val="24"/>
        </w:rPr>
        <w:t xml:space="preserve"> Should a party seek to rely on constitutional violation, such</w:t>
      </w:r>
      <w:r w:rsidR="00824260" w:rsidRPr="006A7B9C">
        <w:rPr>
          <w:rFonts w:ascii="Arial" w:eastAsia="Calibri" w:hAnsi="Arial" w:cs="Arial"/>
          <w:sz w:val="24"/>
          <w:szCs w:val="24"/>
        </w:rPr>
        <w:t xml:space="preserve"> a</w:t>
      </w:r>
      <w:r w:rsidRPr="006A7B9C">
        <w:rPr>
          <w:rFonts w:ascii="Arial" w:eastAsia="Calibri" w:hAnsi="Arial" w:cs="Arial"/>
          <w:sz w:val="24"/>
          <w:szCs w:val="24"/>
        </w:rPr>
        <w:t xml:space="preserve"> party must allege and prove the violation</w:t>
      </w:r>
      <w:r w:rsidR="000B469E" w:rsidRPr="006A7B9C">
        <w:rPr>
          <w:rFonts w:ascii="Arial" w:eastAsia="Calibri" w:hAnsi="Arial" w:cs="Arial"/>
          <w:sz w:val="24"/>
          <w:szCs w:val="24"/>
        </w:rPr>
        <w:t xml:space="preserve"> of the constitutional principle. In </w:t>
      </w:r>
      <w:r w:rsidR="000B469E" w:rsidRPr="006A7B9C">
        <w:rPr>
          <w:rFonts w:ascii="Arial" w:eastAsia="Calibri" w:hAnsi="Arial" w:cs="Arial"/>
          <w:i/>
          <w:sz w:val="24"/>
          <w:szCs w:val="24"/>
        </w:rPr>
        <w:t>casu</w:t>
      </w:r>
      <w:r w:rsidR="000B469E" w:rsidRPr="006A7B9C">
        <w:rPr>
          <w:rFonts w:ascii="Arial" w:eastAsia="Calibri" w:hAnsi="Arial" w:cs="Arial"/>
          <w:sz w:val="24"/>
          <w:szCs w:val="24"/>
        </w:rPr>
        <w:t xml:space="preserve">, there was no such allegation or proof of violation of </w:t>
      </w:r>
      <w:r w:rsidR="00824260" w:rsidRPr="006A7B9C">
        <w:rPr>
          <w:rFonts w:ascii="Arial" w:eastAsia="Calibri" w:hAnsi="Arial" w:cs="Arial"/>
          <w:sz w:val="24"/>
          <w:szCs w:val="24"/>
        </w:rPr>
        <w:t xml:space="preserve">a </w:t>
      </w:r>
      <w:r w:rsidR="000B469E" w:rsidRPr="006A7B9C">
        <w:rPr>
          <w:rFonts w:ascii="Arial" w:eastAsia="Calibri" w:hAnsi="Arial" w:cs="Arial"/>
          <w:sz w:val="24"/>
          <w:szCs w:val="24"/>
        </w:rPr>
        <w:t>constitutional principle. Accordingly, the learned magistrate erred in making any reference to constitutional principles</w:t>
      </w:r>
      <w:r w:rsidRPr="006A7B9C">
        <w:rPr>
          <w:rFonts w:ascii="Arial" w:eastAsia="Calibri" w:hAnsi="Arial" w:cs="Arial"/>
          <w:sz w:val="24"/>
          <w:szCs w:val="24"/>
        </w:rPr>
        <w:t>.</w:t>
      </w:r>
      <w:r w:rsidR="00824260" w:rsidRPr="006A7B9C">
        <w:rPr>
          <w:rFonts w:ascii="Arial" w:eastAsia="Calibri" w:hAnsi="Arial" w:cs="Arial"/>
          <w:sz w:val="24"/>
          <w:szCs w:val="24"/>
        </w:rPr>
        <w:t xml:space="preserve"> Such reference was baseless and made in vacuum.</w:t>
      </w:r>
      <w:r w:rsidR="00027471" w:rsidRPr="006A7B9C">
        <w:rPr>
          <w:rFonts w:ascii="Arial" w:eastAsia="Calibri" w:hAnsi="Arial" w:cs="Arial"/>
          <w:sz w:val="24"/>
          <w:szCs w:val="24"/>
        </w:rPr>
        <w:t xml:space="preserve"> The Constitutional Court in </w:t>
      </w:r>
      <w:r w:rsidR="00027471" w:rsidRPr="006A7B9C">
        <w:rPr>
          <w:rFonts w:ascii="Arial" w:eastAsia="Calibri" w:hAnsi="Arial" w:cs="Arial"/>
          <w:i/>
          <w:sz w:val="24"/>
          <w:szCs w:val="24"/>
        </w:rPr>
        <w:t>Carmichele v Minister of Safety and Security and Another</w:t>
      </w:r>
      <w:r w:rsidR="00DA5A33" w:rsidRPr="006A7B9C">
        <w:rPr>
          <w:rFonts w:ascii="Arial" w:eastAsia="Calibri" w:hAnsi="Arial" w:cs="Arial"/>
          <w:i/>
          <w:sz w:val="24"/>
          <w:szCs w:val="24"/>
        </w:rPr>
        <w:t xml:space="preserve"> (Carmichele)</w:t>
      </w:r>
      <w:r w:rsidR="00027471" w:rsidRPr="006A7B9C">
        <w:rPr>
          <w:rStyle w:val="FootnoteReference"/>
          <w:rFonts w:ascii="Arial" w:eastAsia="Calibri" w:hAnsi="Arial" w:cs="Arial"/>
          <w:sz w:val="24"/>
          <w:szCs w:val="24"/>
        </w:rPr>
        <w:footnoteReference w:id="40"/>
      </w:r>
      <w:r w:rsidR="00027471" w:rsidRPr="006A7B9C">
        <w:rPr>
          <w:rFonts w:ascii="Arial" w:eastAsia="Calibri" w:hAnsi="Arial" w:cs="Arial"/>
          <w:i/>
          <w:sz w:val="24"/>
          <w:szCs w:val="24"/>
        </w:rPr>
        <w:t xml:space="preserve">, </w:t>
      </w:r>
      <w:r w:rsidR="00027471" w:rsidRPr="006A7B9C">
        <w:rPr>
          <w:rFonts w:ascii="Arial" w:eastAsia="Calibri" w:hAnsi="Arial" w:cs="Arial"/>
          <w:sz w:val="24"/>
          <w:szCs w:val="24"/>
        </w:rPr>
        <w:t>held that there are two stages that cannot be hermitically separated, when considering development of the common law, and those are; (a) to consider whether the existing common law, having regard the section 39 (2) objectives, requires development; and (b) how such development is to take place in order to meet the section 39 (2) objective</w:t>
      </w:r>
      <w:r w:rsidR="002370DB" w:rsidRPr="006A7B9C">
        <w:rPr>
          <w:rFonts w:ascii="Arial" w:eastAsia="Calibri" w:hAnsi="Arial" w:cs="Arial"/>
          <w:sz w:val="24"/>
          <w:szCs w:val="24"/>
        </w:rPr>
        <w:t>s.</w:t>
      </w:r>
    </w:p>
    <w:p w14:paraId="4B9ED185" w14:textId="77777777" w:rsidR="002370DB" w:rsidRPr="006A7B9C" w:rsidRDefault="002370DB" w:rsidP="008D13A9">
      <w:pPr>
        <w:spacing w:after="0" w:line="360" w:lineRule="auto"/>
        <w:ind w:left="720"/>
        <w:jc w:val="both"/>
        <w:rPr>
          <w:rFonts w:ascii="Arial" w:eastAsia="Calibri" w:hAnsi="Arial" w:cs="Arial"/>
          <w:sz w:val="24"/>
          <w:szCs w:val="24"/>
        </w:rPr>
      </w:pPr>
    </w:p>
    <w:p w14:paraId="26D8C318" w14:textId="77777777" w:rsidR="00204AAD" w:rsidRPr="006A7B9C" w:rsidRDefault="005E12DB" w:rsidP="008D13A9">
      <w:pPr>
        <w:numPr>
          <w:ilvl w:val="0"/>
          <w:numId w:val="32"/>
        </w:numPr>
        <w:tabs>
          <w:tab w:val="num" w:pos="360"/>
        </w:tabs>
        <w:spacing w:after="0" w:line="360" w:lineRule="auto"/>
        <w:ind w:left="720" w:hanging="720"/>
        <w:jc w:val="both"/>
        <w:rPr>
          <w:rFonts w:ascii="Arial" w:eastAsia="Calibri" w:hAnsi="Arial" w:cs="Arial"/>
          <w:sz w:val="24"/>
          <w:szCs w:val="24"/>
        </w:rPr>
      </w:pPr>
      <w:r w:rsidRPr="006A7B9C">
        <w:rPr>
          <w:rFonts w:ascii="Arial" w:eastAsia="Calibri" w:hAnsi="Arial" w:cs="Arial"/>
          <w:sz w:val="24"/>
          <w:szCs w:val="24"/>
        </w:rPr>
        <w:t xml:space="preserve">The majority judgment in </w:t>
      </w:r>
      <w:r w:rsidRPr="006A7B9C">
        <w:rPr>
          <w:rFonts w:ascii="Arial" w:eastAsia="Calibri" w:hAnsi="Arial" w:cs="Arial"/>
          <w:i/>
          <w:sz w:val="24"/>
          <w:szCs w:val="24"/>
        </w:rPr>
        <w:t>Everfresh Market Virginia (Pty) Ltd v Shoprite Checkers (Pty) Ltd</w:t>
      </w:r>
      <w:r w:rsidRPr="006A7B9C">
        <w:rPr>
          <w:rStyle w:val="FootnoteReference"/>
          <w:rFonts w:ascii="Arial" w:eastAsia="Calibri" w:hAnsi="Arial" w:cs="Arial"/>
          <w:sz w:val="24"/>
          <w:szCs w:val="24"/>
        </w:rPr>
        <w:footnoteReference w:id="41"/>
      </w:r>
      <w:r w:rsidRPr="006A7B9C">
        <w:rPr>
          <w:rFonts w:ascii="Arial" w:eastAsia="Calibri" w:hAnsi="Arial" w:cs="Arial"/>
          <w:sz w:val="24"/>
          <w:szCs w:val="24"/>
        </w:rPr>
        <w:t xml:space="preserve"> penned by Moseneke DCJ had the following to say with regard to constitutional challenges:</w:t>
      </w:r>
    </w:p>
    <w:p w14:paraId="64C13926" w14:textId="77777777" w:rsidR="005E12DB" w:rsidRPr="006A7B9C" w:rsidRDefault="005E12DB" w:rsidP="008D13A9">
      <w:pPr>
        <w:pStyle w:val="ListParagraph"/>
        <w:numPr>
          <w:ilvl w:val="0"/>
          <w:numId w:val="0"/>
        </w:numPr>
        <w:spacing w:before="0" w:after="0"/>
        <w:ind w:left="567"/>
        <w:rPr>
          <w:rFonts w:eastAsia="Calibri"/>
        </w:rPr>
      </w:pPr>
    </w:p>
    <w:p w14:paraId="63BA40F1" w14:textId="00C8BBF8" w:rsidR="005E12DB" w:rsidRPr="006A7B9C" w:rsidRDefault="005E12DB" w:rsidP="008D13A9">
      <w:pPr>
        <w:spacing w:after="0" w:line="360" w:lineRule="auto"/>
        <w:ind w:left="851"/>
        <w:jc w:val="both"/>
        <w:rPr>
          <w:rFonts w:ascii="Arial" w:eastAsia="Calibri" w:hAnsi="Arial" w:cs="Arial"/>
          <w:sz w:val="24"/>
          <w:szCs w:val="24"/>
          <w:u w:val="single"/>
        </w:rPr>
      </w:pPr>
      <w:r w:rsidRPr="006A7B9C">
        <w:rPr>
          <w:rFonts w:ascii="Arial" w:eastAsia="Calibri" w:hAnsi="Arial" w:cs="Arial"/>
          <w:sz w:val="24"/>
          <w:szCs w:val="24"/>
        </w:rPr>
        <w:t>“</w:t>
      </w:r>
      <w:r w:rsidRPr="008D13A9">
        <w:rPr>
          <w:rFonts w:ascii="Arial" w:eastAsia="Calibri" w:hAnsi="Arial" w:cs="Arial"/>
          <w:i/>
          <w:szCs w:val="24"/>
        </w:rPr>
        <w:t>It is so that the test on proper pleading in Prince related to a challenge to the constitutional validity of a provision in a statute. That test however is of equal force where, as in the present case, a party seeks to invoke the Constitution in order to adapt or change an existing precedent or a rule of the common law…in order to promote the spirit, purport</w:t>
      </w:r>
      <w:r w:rsidR="00E944E4" w:rsidRPr="008D13A9">
        <w:rPr>
          <w:rFonts w:ascii="Arial" w:eastAsia="Calibri" w:hAnsi="Arial" w:cs="Arial"/>
          <w:i/>
          <w:szCs w:val="24"/>
        </w:rPr>
        <w:t xml:space="preserve"> and objects of the Bill of Rights. </w:t>
      </w:r>
      <w:r w:rsidR="00E944E4" w:rsidRPr="008D13A9">
        <w:rPr>
          <w:rFonts w:ascii="Arial" w:eastAsia="Calibri" w:hAnsi="Arial" w:cs="Arial"/>
          <w:i/>
          <w:szCs w:val="24"/>
          <w:u w:val="single"/>
        </w:rPr>
        <w:t>Litigants who seek to invoke provisions of section 39 (2) must ordinarily plead their case in the court of first instance in order to warn the other party of the case it will have to meet and relief sought against it…”</w:t>
      </w:r>
      <w:r w:rsidR="00E944E4" w:rsidRPr="006A7B9C">
        <w:rPr>
          <w:rFonts w:ascii="Arial" w:eastAsia="Calibri" w:hAnsi="Arial" w:cs="Arial"/>
          <w:sz w:val="24"/>
          <w:szCs w:val="24"/>
          <w:u w:val="single"/>
        </w:rPr>
        <w:t xml:space="preserve"> </w:t>
      </w:r>
    </w:p>
    <w:p w14:paraId="7B5A4B18" w14:textId="77777777" w:rsidR="005E12DB" w:rsidRPr="006A7B9C" w:rsidRDefault="005E12DB" w:rsidP="008D13A9">
      <w:pPr>
        <w:pStyle w:val="ListParagraph"/>
        <w:numPr>
          <w:ilvl w:val="0"/>
          <w:numId w:val="0"/>
        </w:numPr>
        <w:spacing w:before="0" w:after="0"/>
        <w:ind w:left="567"/>
        <w:rPr>
          <w:rFonts w:eastAsia="Calibri"/>
        </w:rPr>
      </w:pPr>
    </w:p>
    <w:p w14:paraId="51FFC6FD" w14:textId="189A7E91" w:rsidR="005E12DB" w:rsidRPr="006A7B9C" w:rsidRDefault="00BE1688" w:rsidP="008D13A9">
      <w:pPr>
        <w:numPr>
          <w:ilvl w:val="0"/>
          <w:numId w:val="32"/>
        </w:numPr>
        <w:tabs>
          <w:tab w:val="num" w:pos="360"/>
        </w:tabs>
        <w:spacing w:after="0" w:line="360" w:lineRule="auto"/>
        <w:ind w:left="720" w:hanging="720"/>
        <w:jc w:val="both"/>
        <w:rPr>
          <w:rFonts w:ascii="Arial" w:eastAsia="Calibri" w:hAnsi="Arial" w:cs="Arial"/>
          <w:sz w:val="24"/>
          <w:szCs w:val="24"/>
        </w:rPr>
      </w:pPr>
      <w:r w:rsidRPr="006A7B9C">
        <w:rPr>
          <w:rFonts w:ascii="Arial" w:eastAsia="Calibri" w:hAnsi="Arial" w:cs="Arial"/>
          <w:sz w:val="24"/>
          <w:szCs w:val="24"/>
        </w:rPr>
        <w:t xml:space="preserve">In </w:t>
      </w:r>
      <w:r w:rsidRPr="006A7B9C">
        <w:rPr>
          <w:rFonts w:ascii="Arial" w:eastAsia="Calibri" w:hAnsi="Arial" w:cs="Arial"/>
          <w:i/>
          <w:sz w:val="24"/>
          <w:szCs w:val="24"/>
        </w:rPr>
        <w:t>casu</w:t>
      </w:r>
      <w:r w:rsidRPr="006A7B9C">
        <w:rPr>
          <w:rFonts w:ascii="Arial" w:eastAsia="Calibri" w:hAnsi="Arial" w:cs="Arial"/>
          <w:sz w:val="24"/>
          <w:szCs w:val="24"/>
        </w:rPr>
        <w:t>, Luhan did not plead that the non-variation clause is contrary to section 39 (2) of Constitution</w:t>
      </w:r>
      <w:r w:rsidR="00DA5A33" w:rsidRPr="006A7B9C">
        <w:rPr>
          <w:rFonts w:ascii="Arial" w:eastAsia="Calibri" w:hAnsi="Arial" w:cs="Arial"/>
          <w:sz w:val="24"/>
          <w:szCs w:val="24"/>
        </w:rPr>
        <w:t xml:space="preserve"> of the Republic of South Africa</w:t>
      </w:r>
      <w:r w:rsidRPr="006A7B9C">
        <w:rPr>
          <w:rFonts w:ascii="Arial" w:eastAsia="Calibri" w:hAnsi="Arial" w:cs="Arial"/>
          <w:sz w:val="24"/>
          <w:szCs w:val="24"/>
        </w:rPr>
        <w:t xml:space="preserve">. Accordingly, the learned </w:t>
      </w:r>
      <w:r w:rsidRPr="006A7B9C">
        <w:rPr>
          <w:rFonts w:ascii="Arial" w:eastAsia="Calibri" w:hAnsi="Arial" w:cs="Arial"/>
          <w:sz w:val="24"/>
          <w:szCs w:val="24"/>
        </w:rPr>
        <w:lastRenderedPageBreak/>
        <w:t xml:space="preserve">magistrate was not empowered to consider any </w:t>
      </w:r>
      <w:r w:rsidR="00DA5A33" w:rsidRPr="006A7B9C">
        <w:rPr>
          <w:rFonts w:ascii="Arial" w:eastAsia="Calibri" w:hAnsi="Arial" w:cs="Arial"/>
          <w:sz w:val="24"/>
          <w:szCs w:val="24"/>
        </w:rPr>
        <w:t xml:space="preserve">constitutional invalidity. In any event, the </w:t>
      </w:r>
      <w:r w:rsidR="000A0B3B" w:rsidRPr="006A7B9C">
        <w:rPr>
          <w:rFonts w:ascii="Arial" w:eastAsia="Calibri" w:hAnsi="Arial" w:cs="Arial"/>
          <w:sz w:val="24"/>
          <w:szCs w:val="24"/>
        </w:rPr>
        <w:t xml:space="preserve">learned magistrate did not consider the stages mentioned in </w:t>
      </w:r>
      <w:r w:rsidR="000A0B3B" w:rsidRPr="00B81D04">
        <w:rPr>
          <w:rFonts w:ascii="Arial" w:eastAsia="Calibri" w:hAnsi="Arial" w:cs="Arial"/>
          <w:i/>
          <w:sz w:val="24"/>
          <w:szCs w:val="24"/>
        </w:rPr>
        <w:t>Carmichele</w:t>
      </w:r>
      <w:r w:rsidR="00DA5A33" w:rsidRPr="006A7B9C">
        <w:rPr>
          <w:rFonts w:ascii="Arial" w:eastAsia="Calibri" w:hAnsi="Arial" w:cs="Arial"/>
          <w:sz w:val="24"/>
          <w:szCs w:val="24"/>
        </w:rPr>
        <w:t xml:space="preserve">. </w:t>
      </w:r>
    </w:p>
    <w:p w14:paraId="5C81A7B5" w14:textId="77777777" w:rsidR="00204AAD" w:rsidRPr="006A7B9C" w:rsidRDefault="00204AAD" w:rsidP="008D13A9">
      <w:pPr>
        <w:spacing w:after="0" w:line="360" w:lineRule="auto"/>
        <w:ind w:left="720"/>
        <w:jc w:val="both"/>
        <w:rPr>
          <w:rFonts w:ascii="Arial" w:eastAsia="Calibri" w:hAnsi="Arial" w:cs="Arial"/>
          <w:sz w:val="24"/>
          <w:szCs w:val="24"/>
        </w:rPr>
      </w:pPr>
    </w:p>
    <w:p w14:paraId="750BB5C0" w14:textId="77777777" w:rsidR="00204AAD" w:rsidRPr="002B4CA9" w:rsidRDefault="00204AAD" w:rsidP="002B4CA9">
      <w:pPr>
        <w:spacing w:after="0" w:line="360" w:lineRule="auto"/>
        <w:jc w:val="both"/>
        <w:rPr>
          <w:rFonts w:ascii="Arial" w:eastAsia="Calibri" w:hAnsi="Arial" w:cs="Arial"/>
          <w:i/>
          <w:sz w:val="24"/>
          <w:szCs w:val="24"/>
        </w:rPr>
      </w:pPr>
      <w:r w:rsidRPr="002B4CA9">
        <w:rPr>
          <w:rFonts w:ascii="Arial" w:eastAsia="Calibri" w:hAnsi="Arial" w:cs="Arial"/>
          <w:i/>
          <w:sz w:val="24"/>
          <w:szCs w:val="24"/>
        </w:rPr>
        <w:t>Was there a novation?</w:t>
      </w:r>
    </w:p>
    <w:p w14:paraId="5D486F46" w14:textId="77777777" w:rsidR="00204AAD" w:rsidRPr="006A7B9C" w:rsidRDefault="00204AAD" w:rsidP="008D13A9">
      <w:pPr>
        <w:spacing w:after="0" w:line="360" w:lineRule="auto"/>
        <w:jc w:val="both"/>
        <w:rPr>
          <w:rFonts w:ascii="Arial" w:eastAsia="Calibri" w:hAnsi="Arial" w:cs="Arial"/>
          <w:i/>
          <w:sz w:val="24"/>
          <w:szCs w:val="24"/>
        </w:rPr>
      </w:pPr>
    </w:p>
    <w:p w14:paraId="3EE1B941" w14:textId="1E4B6DBD" w:rsidR="005C4793" w:rsidRPr="006A7B9C" w:rsidRDefault="00204AAD" w:rsidP="008D13A9">
      <w:pPr>
        <w:numPr>
          <w:ilvl w:val="0"/>
          <w:numId w:val="32"/>
        </w:numPr>
        <w:tabs>
          <w:tab w:val="num" w:pos="360"/>
        </w:tabs>
        <w:spacing w:after="0" w:line="360" w:lineRule="auto"/>
        <w:ind w:left="720" w:hanging="720"/>
        <w:jc w:val="both"/>
        <w:rPr>
          <w:rFonts w:ascii="Arial" w:eastAsia="Calibri" w:hAnsi="Arial" w:cs="Arial"/>
          <w:sz w:val="24"/>
          <w:szCs w:val="24"/>
        </w:rPr>
      </w:pPr>
      <w:r w:rsidRPr="006A7B9C">
        <w:rPr>
          <w:rFonts w:ascii="Arial" w:eastAsia="Calibri" w:hAnsi="Arial" w:cs="Arial"/>
          <w:sz w:val="24"/>
          <w:szCs w:val="24"/>
        </w:rPr>
        <w:t xml:space="preserve">The learned magistrate </w:t>
      </w:r>
      <w:r w:rsidR="00951B88" w:rsidRPr="006A7B9C">
        <w:rPr>
          <w:rFonts w:ascii="Arial" w:eastAsia="Calibri" w:hAnsi="Arial" w:cs="Arial"/>
          <w:sz w:val="24"/>
          <w:szCs w:val="24"/>
        </w:rPr>
        <w:t>seems</w:t>
      </w:r>
      <w:r w:rsidR="00FF200A" w:rsidRPr="006A7B9C">
        <w:rPr>
          <w:rFonts w:ascii="Arial" w:eastAsia="Calibri" w:hAnsi="Arial" w:cs="Arial"/>
          <w:sz w:val="24"/>
          <w:szCs w:val="24"/>
        </w:rPr>
        <w:t xml:space="preserve"> to have conflated novation with an</w:t>
      </w:r>
      <w:r w:rsidRPr="006A7B9C">
        <w:rPr>
          <w:rFonts w:ascii="Arial" w:eastAsia="Calibri" w:hAnsi="Arial" w:cs="Arial"/>
          <w:sz w:val="24"/>
          <w:szCs w:val="24"/>
        </w:rPr>
        <w:t xml:space="preserve"> amendment. In law a novation is the substitution of a new contract in the place of an old one. Whereas an amendment is an alteration of the terms of the same old contract. </w:t>
      </w:r>
      <w:r w:rsidR="00CA4A1E" w:rsidRPr="006A7B9C">
        <w:rPr>
          <w:rFonts w:ascii="Arial" w:hAnsi="Arial" w:cs="Arial"/>
          <w:sz w:val="24"/>
          <w:szCs w:val="24"/>
        </w:rPr>
        <w:t xml:space="preserve">Novation is a matter of intention and </w:t>
      </w:r>
      <w:r w:rsidR="00CA4A1E" w:rsidRPr="006A7B9C">
        <w:rPr>
          <w:rFonts w:ascii="Arial" w:hAnsi="Arial" w:cs="Arial"/>
          <w:i/>
          <w:sz w:val="24"/>
          <w:szCs w:val="24"/>
        </w:rPr>
        <w:t>consensus</w:t>
      </w:r>
      <w:r w:rsidR="00CA4A1E" w:rsidRPr="006A7B9C">
        <w:rPr>
          <w:rStyle w:val="FootnoteReference"/>
          <w:rFonts w:ascii="Arial" w:hAnsi="Arial" w:cs="Arial"/>
          <w:sz w:val="24"/>
          <w:szCs w:val="24"/>
        </w:rPr>
        <w:footnoteReference w:id="42"/>
      </w:r>
      <w:r w:rsidR="00CA4A1E" w:rsidRPr="006A7B9C">
        <w:rPr>
          <w:rFonts w:ascii="Arial" w:hAnsi="Arial" w:cs="Arial"/>
          <w:sz w:val="24"/>
          <w:szCs w:val="24"/>
        </w:rPr>
        <w:t>. When the parties novate, they intend to replace a valid contract by another valid contract</w:t>
      </w:r>
      <w:r w:rsidR="00CA4A1E" w:rsidRPr="006A7B9C">
        <w:rPr>
          <w:rStyle w:val="FootnoteReference"/>
          <w:rFonts w:ascii="Arial" w:hAnsi="Arial" w:cs="Arial"/>
          <w:sz w:val="24"/>
          <w:szCs w:val="24"/>
        </w:rPr>
        <w:footnoteReference w:id="43"/>
      </w:r>
      <w:r w:rsidR="00CA4A1E" w:rsidRPr="006A7B9C">
        <w:rPr>
          <w:rFonts w:ascii="Arial" w:hAnsi="Arial" w:cs="Arial"/>
          <w:sz w:val="24"/>
          <w:szCs w:val="24"/>
        </w:rPr>
        <w:t xml:space="preserve">. On the facts of this case, there was no </w:t>
      </w:r>
      <w:r w:rsidR="00CA4A1E" w:rsidRPr="002B4CA9">
        <w:rPr>
          <w:rFonts w:ascii="Arial" w:hAnsi="Arial" w:cs="Arial"/>
          <w:i/>
          <w:sz w:val="24"/>
          <w:szCs w:val="24"/>
        </w:rPr>
        <w:t>consensus</w:t>
      </w:r>
      <w:r w:rsidR="00CA4A1E" w:rsidRPr="006A7B9C">
        <w:rPr>
          <w:rFonts w:ascii="Arial" w:hAnsi="Arial" w:cs="Arial"/>
          <w:sz w:val="24"/>
          <w:szCs w:val="24"/>
        </w:rPr>
        <w:t xml:space="preserve"> </w:t>
      </w:r>
      <w:r w:rsidR="002B4CA9">
        <w:rPr>
          <w:rFonts w:ascii="Arial" w:hAnsi="Arial" w:cs="Arial"/>
          <w:sz w:val="24"/>
          <w:szCs w:val="24"/>
        </w:rPr>
        <w:t xml:space="preserve">shown </w:t>
      </w:r>
      <w:r w:rsidR="00CA4A1E" w:rsidRPr="006A7B9C">
        <w:rPr>
          <w:rFonts w:ascii="Arial" w:hAnsi="Arial" w:cs="Arial"/>
          <w:sz w:val="24"/>
          <w:szCs w:val="24"/>
        </w:rPr>
        <w:t xml:space="preserve">that the parties intended to replace the lease agreement with another lease agreement. The only manner in which a contract term may be changed is by an amendment in terms of the agreed terms on amendment. Novation is not the route to follow. </w:t>
      </w:r>
    </w:p>
    <w:p w14:paraId="748CD0DF" w14:textId="77777777" w:rsidR="005C4793" w:rsidRPr="006A7B9C" w:rsidRDefault="005C4793" w:rsidP="008D13A9">
      <w:pPr>
        <w:spacing w:after="0" w:line="360" w:lineRule="auto"/>
        <w:ind w:left="720"/>
        <w:jc w:val="both"/>
        <w:rPr>
          <w:rFonts w:ascii="Arial" w:eastAsia="Calibri" w:hAnsi="Arial" w:cs="Arial"/>
          <w:sz w:val="24"/>
          <w:szCs w:val="24"/>
        </w:rPr>
      </w:pPr>
    </w:p>
    <w:p w14:paraId="5935E82E" w14:textId="77777777" w:rsidR="005C4793" w:rsidRPr="006A7B9C" w:rsidRDefault="005C4793" w:rsidP="008D13A9">
      <w:pPr>
        <w:numPr>
          <w:ilvl w:val="0"/>
          <w:numId w:val="32"/>
        </w:numPr>
        <w:tabs>
          <w:tab w:val="num" w:pos="360"/>
        </w:tabs>
        <w:spacing w:after="0" w:line="360" w:lineRule="auto"/>
        <w:ind w:left="720" w:hanging="720"/>
        <w:jc w:val="both"/>
        <w:rPr>
          <w:rFonts w:ascii="Arial" w:eastAsia="Calibri" w:hAnsi="Arial" w:cs="Arial"/>
          <w:sz w:val="24"/>
          <w:szCs w:val="24"/>
        </w:rPr>
      </w:pPr>
      <w:r w:rsidRPr="006A7B9C">
        <w:rPr>
          <w:rFonts w:ascii="Arial" w:hAnsi="Arial" w:cs="Arial"/>
          <w:sz w:val="24"/>
          <w:szCs w:val="24"/>
        </w:rPr>
        <w:t xml:space="preserve">In the circumstances, the learned magistrate erred when </w:t>
      </w:r>
      <w:r w:rsidR="00FF200A" w:rsidRPr="006A7B9C">
        <w:rPr>
          <w:rFonts w:ascii="Arial" w:hAnsi="Arial" w:cs="Arial"/>
          <w:sz w:val="24"/>
          <w:szCs w:val="24"/>
        </w:rPr>
        <w:t>s</w:t>
      </w:r>
      <w:r w:rsidRPr="006A7B9C">
        <w:rPr>
          <w:rFonts w:ascii="Arial" w:hAnsi="Arial" w:cs="Arial"/>
          <w:sz w:val="24"/>
          <w:szCs w:val="24"/>
        </w:rPr>
        <w:t xml:space="preserve">he held that a novation contract was proven to exist. </w:t>
      </w:r>
    </w:p>
    <w:p w14:paraId="04191F94" w14:textId="77777777" w:rsidR="005C4793" w:rsidRPr="006A7B9C" w:rsidRDefault="005C4793" w:rsidP="008D13A9">
      <w:pPr>
        <w:pStyle w:val="ListParagraph"/>
        <w:numPr>
          <w:ilvl w:val="0"/>
          <w:numId w:val="0"/>
        </w:numPr>
        <w:spacing w:before="0" w:after="0"/>
        <w:ind w:left="567"/>
        <w:rPr>
          <w:rFonts w:eastAsia="Calibri"/>
        </w:rPr>
      </w:pPr>
    </w:p>
    <w:p w14:paraId="52DD35B3" w14:textId="77777777" w:rsidR="005C4793" w:rsidRPr="002B4CA9" w:rsidRDefault="005C4793" w:rsidP="002B4CA9">
      <w:pPr>
        <w:spacing w:after="0" w:line="360" w:lineRule="auto"/>
        <w:jc w:val="both"/>
        <w:rPr>
          <w:rFonts w:ascii="Arial" w:eastAsia="Calibri" w:hAnsi="Arial" w:cs="Arial"/>
          <w:i/>
          <w:sz w:val="24"/>
          <w:szCs w:val="24"/>
        </w:rPr>
      </w:pPr>
      <w:r w:rsidRPr="002B4CA9">
        <w:rPr>
          <w:rFonts w:ascii="Arial" w:eastAsia="Calibri" w:hAnsi="Arial" w:cs="Arial"/>
          <w:i/>
          <w:sz w:val="24"/>
          <w:szCs w:val="24"/>
        </w:rPr>
        <w:t>Was a rectification relief proven?</w:t>
      </w:r>
    </w:p>
    <w:p w14:paraId="0B61F211" w14:textId="4EBDBBFC" w:rsidR="005C4793" w:rsidRPr="006A7B9C" w:rsidRDefault="002B4CA9" w:rsidP="002B4CA9">
      <w:pPr>
        <w:pStyle w:val="ListParagraph"/>
        <w:numPr>
          <w:ilvl w:val="0"/>
          <w:numId w:val="0"/>
        </w:numPr>
        <w:tabs>
          <w:tab w:val="left" w:pos="1860"/>
        </w:tabs>
        <w:spacing w:before="0" w:after="0"/>
        <w:ind w:left="567"/>
      </w:pPr>
      <w:r>
        <w:tab/>
      </w:r>
    </w:p>
    <w:p w14:paraId="47902814" w14:textId="77777777" w:rsidR="00E2101D" w:rsidRPr="006A7B9C" w:rsidRDefault="005C4793" w:rsidP="008D13A9">
      <w:pPr>
        <w:numPr>
          <w:ilvl w:val="0"/>
          <w:numId w:val="32"/>
        </w:numPr>
        <w:tabs>
          <w:tab w:val="num" w:pos="360"/>
        </w:tabs>
        <w:spacing w:after="0" w:line="360" w:lineRule="auto"/>
        <w:ind w:left="720" w:hanging="720"/>
        <w:jc w:val="both"/>
        <w:rPr>
          <w:rFonts w:ascii="Arial" w:eastAsia="Calibri" w:hAnsi="Arial" w:cs="Arial"/>
          <w:sz w:val="24"/>
          <w:szCs w:val="24"/>
        </w:rPr>
      </w:pPr>
      <w:r w:rsidRPr="006A7B9C">
        <w:rPr>
          <w:rFonts w:ascii="Arial" w:hAnsi="Arial" w:cs="Arial"/>
          <w:sz w:val="24"/>
          <w:szCs w:val="24"/>
        </w:rPr>
        <w:t>Strangely, the learned magistrate granted a remedy of rectification. Rectification is a remedy available to insert as it were the common intention of the parties. The parties to the contract must have committed a common mistake</w:t>
      </w:r>
      <w:r w:rsidR="00880D53" w:rsidRPr="006A7B9C">
        <w:rPr>
          <w:rFonts w:ascii="Arial" w:hAnsi="Arial" w:cs="Arial"/>
          <w:sz w:val="24"/>
          <w:szCs w:val="24"/>
        </w:rPr>
        <w:t xml:space="preserve"> at the time of reducing the agreed terms into writing. There can be no common mistake in instances where, as it is the case herein, another party seeks to obtain an amendment of a term or novate the old contract. </w:t>
      </w:r>
      <w:r w:rsidR="004304AA" w:rsidRPr="006A7B9C">
        <w:rPr>
          <w:rFonts w:ascii="Arial" w:hAnsi="Arial" w:cs="Arial"/>
          <w:sz w:val="24"/>
          <w:szCs w:val="24"/>
        </w:rPr>
        <w:t xml:space="preserve">On the contrary, there is no evidence to justify any rectification relief. </w:t>
      </w:r>
      <w:r w:rsidR="00E2101D" w:rsidRPr="006A7B9C">
        <w:rPr>
          <w:rFonts w:ascii="Arial" w:hAnsi="Arial" w:cs="Arial"/>
          <w:sz w:val="24"/>
          <w:szCs w:val="24"/>
        </w:rPr>
        <w:t xml:space="preserve">In </w:t>
      </w:r>
      <w:r w:rsidR="00E2101D" w:rsidRPr="006A7B9C">
        <w:rPr>
          <w:rFonts w:ascii="Arial" w:hAnsi="Arial" w:cs="Arial"/>
          <w:i/>
          <w:sz w:val="24"/>
          <w:szCs w:val="24"/>
        </w:rPr>
        <w:t>Jointwo Holdings (Pty) Ltd v Old Mutual</w:t>
      </w:r>
      <w:r w:rsidR="00E2101D" w:rsidRPr="006A7B9C">
        <w:rPr>
          <w:rFonts w:ascii="Arial" w:hAnsi="Arial" w:cs="Arial"/>
          <w:sz w:val="24"/>
          <w:szCs w:val="24"/>
        </w:rPr>
        <w:t xml:space="preserve"> </w:t>
      </w:r>
      <w:r w:rsidR="00E2101D" w:rsidRPr="006A7B9C">
        <w:rPr>
          <w:rFonts w:ascii="Arial" w:hAnsi="Arial" w:cs="Arial"/>
          <w:i/>
          <w:sz w:val="24"/>
          <w:szCs w:val="24"/>
        </w:rPr>
        <w:t>Life Assurance Co</w:t>
      </w:r>
      <w:r w:rsidR="00E2101D" w:rsidRPr="006A7B9C">
        <w:rPr>
          <w:rStyle w:val="FootnoteReference"/>
          <w:rFonts w:ascii="Arial" w:hAnsi="Arial" w:cs="Arial"/>
          <w:sz w:val="24"/>
          <w:szCs w:val="24"/>
        </w:rPr>
        <w:footnoteReference w:id="44"/>
      </w:r>
      <w:r w:rsidR="00E2101D" w:rsidRPr="006A7B9C">
        <w:rPr>
          <w:rFonts w:ascii="Arial" w:hAnsi="Arial" w:cs="Arial"/>
          <w:sz w:val="24"/>
          <w:szCs w:val="24"/>
        </w:rPr>
        <w:t>, the Court held that:</w:t>
      </w:r>
    </w:p>
    <w:p w14:paraId="005E600F" w14:textId="77777777" w:rsidR="00E2101D" w:rsidRPr="006A7B9C" w:rsidRDefault="00E2101D" w:rsidP="008D13A9">
      <w:pPr>
        <w:spacing w:after="0" w:line="360" w:lineRule="auto"/>
        <w:ind w:left="720"/>
        <w:jc w:val="both"/>
        <w:rPr>
          <w:rFonts w:ascii="Arial" w:eastAsia="Calibri" w:hAnsi="Arial" w:cs="Arial"/>
          <w:sz w:val="24"/>
          <w:szCs w:val="24"/>
        </w:rPr>
      </w:pPr>
    </w:p>
    <w:p w14:paraId="3F97DC4B" w14:textId="77777777" w:rsidR="00E2101D" w:rsidRPr="006A7B9C" w:rsidRDefault="00E2101D" w:rsidP="008D13A9">
      <w:pPr>
        <w:spacing w:after="0" w:line="360" w:lineRule="auto"/>
        <w:ind w:left="851"/>
        <w:jc w:val="both"/>
        <w:rPr>
          <w:rFonts w:ascii="Arial" w:eastAsia="Calibri" w:hAnsi="Arial" w:cs="Arial"/>
          <w:sz w:val="24"/>
          <w:szCs w:val="24"/>
        </w:rPr>
      </w:pPr>
      <w:r w:rsidRPr="006A7B9C">
        <w:rPr>
          <w:rFonts w:ascii="Arial" w:eastAsia="Calibri" w:hAnsi="Arial" w:cs="Arial"/>
          <w:sz w:val="24"/>
          <w:szCs w:val="24"/>
        </w:rPr>
        <w:lastRenderedPageBreak/>
        <w:t>“</w:t>
      </w:r>
      <w:r w:rsidR="00BE17C8" w:rsidRPr="008D13A9">
        <w:rPr>
          <w:rFonts w:ascii="Arial" w:eastAsia="Calibri" w:hAnsi="Arial" w:cs="Arial"/>
          <w:i/>
          <w:szCs w:val="24"/>
        </w:rPr>
        <w:t>For</w:t>
      </w:r>
      <w:r w:rsidRPr="008D13A9">
        <w:rPr>
          <w:rFonts w:ascii="Arial" w:eastAsia="Calibri" w:hAnsi="Arial" w:cs="Arial"/>
          <w:i/>
          <w:szCs w:val="24"/>
        </w:rPr>
        <w:t xml:space="preserve"> rectification [of a contract] to be granted, </w:t>
      </w:r>
      <w:r w:rsidRPr="008D13A9">
        <w:rPr>
          <w:rFonts w:ascii="Arial" w:eastAsia="Calibri" w:hAnsi="Arial" w:cs="Arial"/>
          <w:i/>
          <w:szCs w:val="24"/>
          <w:u w:val="single"/>
        </w:rPr>
        <w:t>it must be established that the written instrument did not correctly reflect what the parties had intended to set out therein.”</w:t>
      </w:r>
      <w:r w:rsidR="00BE17C8" w:rsidRPr="008D13A9">
        <w:rPr>
          <w:rFonts w:ascii="Arial" w:eastAsia="Calibri" w:hAnsi="Arial" w:cs="Arial"/>
          <w:i/>
          <w:szCs w:val="24"/>
          <w:u w:val="single"/>
        </w:rPr>
        <w:t xml:space="preserve"> </w:t>
      </w:r>
      <w:r w:rsidR="00BE17C8" w:rsidRPr="008D13A9">
        <w:rPr>
          <w:rFonts w:ascii="Arial" w:eastAsia="Calibri" w:hAnsi="Arial" w:cs="Arial"/>
          <w:i/>
          <w:szCs w:val="24"/>
        </w:rPr>
        <w:t xml:space="preserve"> [Own emphasis].</w:t>
      </w:r>
    </w:p>
    <w:p w14:paraId="3FEAEF9B" w14:textId="77777777" w:rsidR="00BE17C8" w:rsidRPr="006A7B9C" w:rsidRDefault="00BE17C8" w:rsidP="008D13A9">
      <w:pPr>
        <w:spacing w:after="0" w:line="360" w:lineRule="auto"/>
        <w:ind w:left="2160"/>
        <w:jc w:val="both"/>
        <w:rPr>
          <w:rFonts w:ascii="Arial" w:eastAsia="Calibri" w:hAnsi="Arial" w:cs="Arial"/>
          <w:sz w:val="24"/>
          <w:szCs w:val="24"/>
        </w:rPr>
      </w:pPr>
    </w:p>
    <w:p w14:paraId="32F6E4AD" w14:textId="77777777" w:rsidR="0049094D" w:rsidRPr="006A7B9C" w:rsidRDefault="00BE17C8" w:rsidP="008D13A9">
      <w:pPr>
        <w:numPr>
          <w:ilvl w:val="0"/>
          <w:numId w:val="32"/>
        </w:numPr>
        <w:tabs>
          <w:tab w:val="num" w:pos="360"/>
        </w:tabs>
        <w:spacing w:after="0" w:line="360" w:lineRule="auto"/>
        <w:ind w:left="720" w:hanging="720"/>
        <w:jc w:val="both"/>
        <w:rPr>
          <w:rFonts w:ascii="Arial" w:eastAsia="Calibri" w:hAnsi="Arial" w:cs="Arial"/>
          <w:sz w:val="24"/>
          <w:szCs w:val="24"/>
        </w:rPr>
      </w:pPr>
      <w:r w:rsidRPr="006A7B9C">
        <w:rPr>
          <w:rFonts w:ascii="Arial" w:eastAsia="Calibri" w:hAnsi="Arial" w:cs="Arial"/>
          <w:sz w:val="24"/>
          <w:szCs w:val="24"/>
        </w:rPr>
        <w:t xml:space="preserve">In </w:t>
      </w:r>
      <w:r w:rsidRPr="006A7B9C">
        <w:rPr>
          <w:rFonts w:ascii="Arial" w:eastAsia="Calibri" w:hAnsi="Arial" w:cs="Arial"/>
          <w:i/>
          <w:sz w:val="24"/>
          <w:szCs w:val="24"/>
        </w:rPr>
        <w:t>Propfocus 49 (Pty) Ltd v Wenhandel 4 (Pty) Ltd</w:t>
      </w:r>
      <w:r w:rsidRPr="006A7B9C">
        <w:rPr>
          <w:rStyle w:val="FootnoteReference"/>
          <w:rFonts w:ascii="Arial" w:eastAsia="Calibri" w:hAnsi="Arial" w:cs="Arial"/>
          <w:sz w:val="24"/>
          <w:szCs w:val="24"/>
        </w:rPr>
        <w:footnoteReference w:id="45"/>
      </w:r>
      <w:r w:rsidRPr="006A7B9C">
        <w:rPr>
          <w:rFonts w:ascii="Arial" w:eastAsia="Calibri" w:hAnsi="Arial" w:cs="Arial"/>
          <w:sz w:val="24"/>
          <w:szCs w:val="24"/>
        </w:rPr>
        <w:t xml:space="preserve">, it was held that in order to succeed in a claim for rectification, the party seeking rectification had to prove; (a) that an agreement had been concluded between the parties and reduced to writing; (b) that the written agreement does not reflect the true intention of the parties, and that this requires that the common continuing intention of the parties, as it existed at the time when the agreement was reduced to writing be established; (c) an intention by both parties to reduce the agreement to writing; (d) a mistake in drafting the document, which could have been the result of an intentional act of the other party or a </w:t>
      </w:r>
      <w:r w:rsidRPr="006A7B9C">
        <w:rPr>
          <w:rFonts w:ascii="Arial" w:eastAsia="Calibri" w:hAnsi="Arial" w:cs="Arial"/>
          <w:i/>
          <w:sz w:val="24"/>
          <w:szCs w:val="24"/>
        </w:rPr>
        <w:t>bona fide</w:t>
      </w:r>
      <w:r w:rsidRPr="006A7B9C">
        <w:rPr>
          <w:rFonts w:ascii="Arial" w:eastAsia="Calibri" w:hAnsi="Arial" w:cs="Arial"/>
          <w:sz w:val="24"/>
          <w:szCs w:val="24"/>
        </w:rPr>
        <w:t xml:space="preserve"> common error; and (e) the actual wording of the true agreement.</w:t>
      </w:r>
    </w:p>
    <w:p w14:paraId="44AF92BF" w14:textId="77777777" w:rsidR="0049094D" w:rsidRPr="006A7B9C" w:rsidRDefault="0049094D" w:rsidP="008D13A9">
      <w:pPr>
        <w:spacing w:after="0" w:line="360" w:lineRule="auto"/>
        <w:ind w:left="720"/>
        <w:jc w:val="both"/>
        <w:rPr>
          <w:rFonts w:ascii="Arial" w:eastAsia="Calibri" w:hAnsi="Arial" w:cs="Arial"/>
          <w:sz w:val="24"/>
          <w:szCs w:val="24"/>
        </w:rPr>
      </w:pPr>
    </w:p>
    <w:p w14:paraId="1E9D7152" w14:textId="77777777" w:rsidR="00951B88" w:rsidRPr="006A7B9C" w:rsidRDefault="0049094D" w:rsidP="008D13A9">
      <w:pPr>
        <w:numPr>
          <w:ilvl w:val="0"/>
          <w:numId w:val="32"/>
        </w:numPr>
        <w:tabs>
          <w:tab w:val="num" w:pos="360"/>
        </w:tabs>
        <w:spacing w:after="0" w:line="360" w:lineRule="auto"/>
        <w:ind w:left="720" w:hanging="720"/>
        <w:jc w:val="both"/>
        <w:rPr>
          <w:rFonts w:ascii="Arial" w:eastAsia="Calibri" w:hAnsi="Arial" w:cs="Arial"/>
          <w:sz w:val="24"/>
          <w:szCs w:val="24"/>
        </w:rPr>
      </w:pPr>
      <w:r w:rsidRPr="006A7B9C">
        <w:rPr>
          <w:rFonts w:ascii="Arial" w:eastAsia="Calibri" w:hAnsi="Arial" w:cs="Arial"/>
          <w:sz w:val="24"/>
          <w:szCs w:val="24"/>
        </w:rPr>
        <w:t xml:space="preserve">The requirements outlined above have </w:t>
      </w:r>
      <w:r w:rsidR="00C76D4C" w:rsidRPr="006A7B9C">
        <w:rPr>
          <w:rFonts w:ascii="Arial" w:eastAsia="Calibri" w:hAnsi="Arial" w:cs="Arial"/>
          <w:sz w:val="24"/>
          <w:szCs w:val="24"/>
        </w:rPr>
        <w:t>not been proven by Luhan</w:t>
      </w:r>
      <w:r w:rsidRPr="006A7B9C">
        <w:rPr>
          <w:rFonts w:ascii="Arial" w:eastAsia="Calibri" w:hAnsi="Arial" w:cs="Arial"/>
          <w:sz w:val="24"/>
          <w:szCs w:val="24"/>
        </w:rPr>
        <w:t>. Therefore, rectification as a remedy was not available. In granting a rectification remedy, the learned magistrate erred.</w:t>
      </w:r>
    </w:p>
    <w:p w14:paraId="191118A7" w14:textId="77777777" w:rsidR="00951B88" w:rsidRPr="006A7B9C" w:rsidRDefault="00951B88" w:rsidP="008D13A9">
      <w:pPr>
        <w:spacing w:after="0" w:line="360" w:lineRule="auto"/>
        <w:jc w:val="both"/>
        <w:rPr>
          <w:rFonts w:ascii="Arial" w:eastAsia="Calibri" w:hAnsi="Arial" w:cs="Arial"/>
          <w:sz w:val="24"/>
          <w:szCs w:val="24"/>
        </w:rPr>
      </w:pPr>
    </w:p>
    <w:p w14:paraId="3FEB8B8B" w14:textId="77777777" w:rsidR="00951B88" w:rsidRPr="0083002F" w:rsidRDefault="00951B88" w:rsidP="0083002F">
      <w:pPr>
        <w:spacing w:after="0" w:line="360" w:lineRule="auto"/>
        <w:jc w:val="both"/>
        <w:rPr>
          <w:rFonts w:ascii="Arial" w:eastAsia="Calibri" w:hAnsi="Arial" w:cs="Arial"/>
          <w:i/>
          <w:sz w:val="24"/>
          <w:szCs w:val="24"/>
        </w:rPr>
      </w:pPr>
      <w:r w:rsidRPr="0083002F">
        <w:rPr>
          <w:rFonts w:ascii="Arial" w:eastAsia="Calibri" w:hAnsi="Arial" w:cs="Arial"/>
          <w:i/>
          <w:sz w:val="24"/>
          <w:szCs w:val="24"/>
        </w:rPr>
        <w:t>The issue of penalties</w:t>
      </w:r>
    </w:p>
    <w:p w14:paraId="4A553B45" w14:textId="77777777" w:rsidR="00951B88" w:rsidRPr="006A7B9C" w:rsidRDefault="00951B88" w:rsidP="008D13A9">
      <w:pPr>
        <w:pStyle w:val="ListParagraph"/>
        <w:numPr>
          <w:ilvl w:val="0"/>
          <w:numId w:val="0"/>
        </w:numPr>
        <w:spacing w:before="0" w:after="0"/>
        <w:ind w:left="567"/>
        <w:rPr>
          <w:rFonts w:eastAsia="Calibri"/>
        </w:rPr>
      </w:pPr>
    </w:p>
    <w:p w14:paraId="42CFB5DC" w14:textId="77777777" w:rsidR="00951B88" w:rsidRPr="006A7B9C" w:rsidRDefault="00951B88" w:rsidP="008D13A9">
      <w:pPr>
        <w:numPr>
          <w:ilvl w:val="0"/>
          <w:numId w:val="32"/>
        </w:numPr>
        <w:tabs>
          <w:tab w:val="num" w:pos="360"/>
        </w:tabs>
        <w:spacing w:after="0" w:line="360" w:lineRule="auto"/>
        <w:ind w:left="720" w:hanging="720"/>
        <w:jc w:val="both"/>
        <w:rPr>
          <w:rFonts w:ascii="Arial" w:eastAsia="Calibri" w:hAnsi="Arial" w:cs="Arial"/>
          <w:sz w:val="24"/>
          <w:szCs w:val="24"/>
        </w:rPr>
      </w:pPr>
      <w:r w:rsidRPr="006A7B9C">
        <w:rPr>
          <w:rFonts w:ascii="Arial" w:eastAsia="Calibri" w:hAnsi="Arial" w:cs="Arial"/>
          <w:sz w:val="24"/>
          <w:szCs w:val="24"/>
        </w:rPr>
        <w:t>Clause 19 of the lease agreement, under general conditions make provision for what should happen in the event of late payment of monthly rental. It provides thus:</w:t>
      </w:r>
    </w:p>
    <w:p w14:paraId="35809310" w14:textId="77777777" w:rsidR="00951B88" w:rsidRPr="006A7B9C" w:rsidRDefault="00951B88" w:rsidP="008D13A9">
      <w:pPr>
        <w:spacing w:after="0" w:line="360" w:lineRule="auto"/>
        <w:ind w:left="720"/>
        <w:jc w:val="both"/>
        <w:rPr>
          <w:rFonts w:ascii="Arial" w:eastAsia="Calibri" w:hAnsi="Arial" w:cs="Arial"/>
          <w:sz w:val="24"/>
          <w:szCs w:val="24"/>
        </w:rPr>
      </w:pPr>
    </w:p>
    <w:p w14:paraId="209693FF" w14:textId="77777777" w:rsidR="00951B88" w:rsidRPr="008D13A9" w:rsidRDefault="00B066A7" w:rsidP="008D13A9">
      <w:pPr>
        <w:spacing w:after="0" w:line="360" w:lineRule="auto"/>
        <w:ind w:left="851"/>
        <w:jc w:val="both"/>
        <w:rPr>
          <w:rFonts w:ascii="Arial" w:eastAsia="Calibri" w:hAnsi="Arial" w:cs="Arial"/>
          <w:i/>
          <w:szCs w:val="24"/>
        </w:rPr>
      </w:pPr>
      <w:r w:rsidRPr="006A7B9C">
        <w:rPr>
          <w:rFonts w:ascii="Arial" w:eastAsia="Calibri" w:hAnsi="Arial" w:cs="Arial"/>
          <w:sz w:val="24"/>
          <w:szCs w:val="24"/>
        </w:rPr>
        <w:t>“</w:t>
      </w:r>
      <w:r w:rsidRPr="008D13A9">
        <w:rPr>
          <w:rFonts w:ascii="Arial" w:eastAsia="Calibri" w:hAnsi="Arial" w:cs="Arial"/>
          <w:i/>
          <w:szCs w:val="24"/>
        </w:rPr>
        <w:t xml:space="preserve">Should the monthly rental, </w:t>
      </w:r>
      <w:r w:rsidRPr="008D13A9">
        <w:rPr>
          <w:rFonts w:ascii="Arial" w:eastAsia="Calibri" w:hAnsi="Arial" w:cs="Arial"/>
          <w:i/>
          <w:szCs w:val="24"/>
          <w:u w:val="single"/>
        </w:rPr>
        <w:t>for whatever reason</w:t>
      </w:r>
      <w:r w:rsidRPr="008D13A9">
        <w:rPr>
          <w:rFonts w:ascii="Arial" w:eastAsia="Calibri" w:hAnsi="Arial" w:cs="Arial"/>
          <w:i/>
          <w:szCs w:val="24"/>
        </w:rPr>
        <w:t xml:space="preserve">, be paid </w:t>
      </w:r>
      <w:r w:rsidRPr="008D13A9">
        <w:rPr>
          <w:rFonts w:ascii="Arial" w:eastAsia="Calibri" w:hAnsi="Arial" w:cs="Arial"/>
          <w:i/>
          <w:szCs w:val="24"/>
          <w:u w:val="single"/>
        </w:rPr>
        <w:t>after due date of that particular month</w:t>
      </w:r>
      <w:r w:rsidRPr="008D13A9">
        <w:rPr>
          <w:rFonts w:ascii="Arial" w:eastAsia="Calibri" w:hAnsi="Arial" w:cs="Arial"/>
          <w:i/>
          <w:szCs w:val="24"/>
        </w:rPr>
        <w:t xml:space="preserve">, the parties hereby </w:t>
      </w:r>
      <w:r w:rsidRPr="008D13A9">
        <w:rPr>
          <w:rFonts w:ascii="Arial" w:eastAsia="Calibri" w:hAnsi="Arial" w:cs="Arial"/>
          <w:i/>
          <w:szCs w:val="24"/>
          <w:u w:val="single"/>
        </w:rPr>
        <w:t>specifically agree</w:t>
      </w:r>
      <w:r w:rsidRPr="008D13A9">
        <w:rPr>
          <w:rFonts w:ascii="Arial" w:eastAsia="Calibri" w:hAnsi="Arial" w:cs="Arial"/>
          <w:i/>
          <w:szCs w:val="24"/>
        </w:rPr>
        <w:t xml:space="preserve"> that the LESSEE </w:t>
      </w:r>
      <w:r w:rsidRPr="008D13A9">
        <w:rPr>
          <w:rFonts w:ascii="Arial" w:eastAsia="Calibri" w:hAnsi="Arial" w:cs="Arial"/>
          <w:i/>
          <w:szCs w:val="24"/>
          <w:u w:val="single"/>
        </w:rPr>
        <w:t>shall pay a penalty amount of 10%</w:t>
      </w:r>
      <w:r w:rsidRPr="008D13A9">
        <w:rPr>
          <w:rFonts w:ascii="Arial" w:eastAsia="Calibri" w:hAnsi="Arial" w:cs="Arial"/>
          <w:i/>
          <w:szCs w:val="24"/>
        </w:rPr>
        <w:t xml:space="preserve"> of the Gross Monthly rental in addition to the said monthly rental, to the LESSOR. [Own emphasis]</w:t>
      </w:r>
    </w:p>
    <w:p w14:paraId="4BB8668B" w14:textId="77777777" w:rsidR="00BA1574" w:rsidRPr="006A7B9C" w:rsidRDefault="00BE17C8" w:rsidP="008D13A9">
      <w:pPr>
        <w:spacing w:after="0" w:line="360" w:lineRule="auto"/>
        <w:ind w:left="720"/>
        <w:jc w:val="both"/>
        <w:rPr>
          <w:rFonts w:ascii="Arial" w:eastAsia="Calibri" w:hAnsi="Arial" w:cs="Arial"/>
          <w:sz w:val="24"/>
          <w:szCs w:val="24"/>
        </w:rPr>
      </w:pPr>
      <w:r w:rsidRPr="006A7B9C">
        <w:rPr>
          <w:rFonts w:ascii="Arial" w:eastAsia="Calibri" w:hAnsi="Arial" w:cs="Arial"/>
          <w:sz w:val="24"/>
          <w:szCs w:val="24"/>
        </w:rPr>
        <w:t xml:space="preserve"> </w:t>
      </w:r>
      <w:r w:rsidR="005A67EB" w:rsidRPr="006A7B9C">
        <w:rPr>
          <w:rFonts w:ascii="Arial" w:eastAsia="Calibri" w:hAnsi="Arial" w:cs="Arial"/>
          <w:sz w:val="24"/>
          <w:szCs w:val="24"/>
        </w:rPr>
        <w:t xml:space="preserve"> </w:t>
      </w:r>
      <w:r w:rsidR="0058052B" w:rsidRPr="006A7B9C">
        <w:rPr>
          <w:rFonts w:ascii="Arial" w:eastAsia="Calibri" w:hAnsi="Arial" w:cs="Arial"/>
          <w:sz w:val="24"/>
          <w:szCs w:val="24"/>
        </w:rPr>
        <w:t xml:space="preserve"> </w:t>
      </w:r>
      <w:r w:rsidR="00082D55" w:rsidRPr="006A7B9C">
        <w:rPr>
          <w:rFonts w:ascii="Arial" w:eastAsia="Calibri" w:hAnsi="Arial" w:cs="Arial"/>
          <w:sz w:val="24"/>
          <w:szCs w:val="24"/>
        </w:rPr>
        <w:t xml:space="preserve">  </w:t>
      </w:r>
      <w:r w:rsidR="004760EC" w:rsidRPr="006A7B9C">
        <w:rPr>
          <w:rFonts w:ascii="Arial" w:eastAsia="Calibri" w:hAnsi="Arial" w:cs="Arial"/>
          <w:sz w:val="24"/>
          <w:szCs w:val="24"/>
        </w:rPr>
        <w:t xml:space="preserve"> </w:t>
      </w:r>
      <w:r w:rsidR="000E5B83" w:rsidRPr="006A7B9C">
        <w:rPr>
          <w:rFonts w:ascii="Arial" w:eastAsia="Calibri" w:hAnsi="Arial" w:cs="Arial"/>
          <w:sz w:val="24"/>
          <w:szCs w:val="24"/>
        </w:rPr>
        <w:t xml:space="preserve">  </w:t>
      </w:r>
      <w:r w:rsidR="00F2581B" w:rsidRPr="006A7B9C">
        <w:rPr>
          <w:rFonts w:ascii="Arial" w:eastAsia="Calibri" w:hAnsi="Arial" w:cs="Arial"/>
          <w:sz w:val="24"/>
          <w:szCs w:val="24"/>
        </w:rPr>
        <w:t xml:space="preserve"> </w:t>
      </w:r>
      <w:r w:rsidR="000403A0" w:rsidRPr="006A7B9C">
        <w:rPr>
          <w:rFonts w:ascii="Arial" w:eastAsia="Calibri" w:hAnsi="Arial" w:cs="Arial"/>
          <w:sz w:val="24"/>
          <w:szCs w:val="24"/>
        </w:rPr>
        <w:t xml:space="preserve">   </w:t>
      </w:r>
      <w:r w:rsidR="00E746D7" w:rsidRPr="006A7B9C">
        <w:rPr>
          <w:rFonts w:ascii="Arial" w:eastAsia="Calibri" w:hAnsi="Arial" w:cs="Arial"/>
          <w:sz w:val="24"/>
          <w:szCs w:val="24"/>
        </w:rPr>
        <w:t xml:space="preserve"> </w:t>
      </w:r>
      <w:r w:rsidR="00E7278E" w:rsidRPr="006A7B9C">
        <w:rPr>
          <w:rFonts w:ascii="Arial" w:eastAsia="Calibri" w:hAnsi="Arial" w:cs="Arial"/>
          <w:sz w:val="24"/>
          <w:szCs w:val="24"/>
        </w:rPr>
        <w:t xml:space="preserve"> </w:t>
      </w:r>
      <w:r w:rsidR="00B0634B" w:rsidRPr="006A7B9C">
        <w:rPr>
          <w:rFonts w:ascii="Arial" w:eastAsia="Calibri" w:hAnsi="Arial" w:cs="Arial"/>
          <w:sz w:val="24"/>
          <w:szCs w:val="24"/>
        </w:rPr>
        <w:t xml:space="preserve">  </w:t>
      </w:r>
      <w:r w:rsidR="00AC3ECE" w:rsidRPr="006A7B9C">
        <w:rPr>
          <w:rFonts w:ascii="Arial" w:eastAsia="Calibri" w:hAnsi="Arial" w:cs="Arial"/>
          <w:sz w:val="24"/>
          <w:szCs w:val="24"/>
        </w:rPr>
        <w:t xml:space="preserve"> </w:t>
      </w:r>
    </w:p>
    <w:p w14:paraId="7C42B237" w14:textId="77777777" w:rsidR="00B066A7" w:rsidRPr="006A7B9C" w:rsidRDefault="00B066A7" w:rsidP="008D13A9">
      <w:pPr>
        <w:numPr>
          <w:ilvl w:val="0"/>
          <w:numId w:val="32"/>
        </w:numPr>
        <w:tabs>
          <w:tab w:val="num" w:pos="360"/>
        </w:tabs>
        <w:spacing w:after="0" w:line="360" w:lineRule="auto"/>
        <w:ind w:left="720" w:hanging="720"/>
        <w:jc w:val="both"/>
        <w:rPr>
          <w:rFonts w:ascii="Arial" w:eastAsia="Calibri" w:hAnsi="Arial" w:cs="Arial"/>
          <w:sz w:val="24"/>
          <w:szCs w:val="24"/>
        </w:rPr>
      </w:pPr>
      <w:r w:rsidRPr="006A7B9C">
        <w:rPr>
          <w:rFonts w:ascii="Arial" w:eastAsia="Calibri" w:hAnsi="Arial" w:cs="Arial"/>
          <w:sz w:val="24"/>
          <w:szCs w:val="24"/>
        </w:rPr>
        <w:t xml:space="preserve">It became common cause that Luhan failed to pay rental on the due date and in respect of June and July, Luhan did not pay the full amount. Based on that fact, as specifically agreed and on application of </w:t>
      </w:r>
      <w:r w:rsidRPr="006A7B9C">
        <w:rPr>
          <w:rFonts w:ascii="Arial" w:eastAsia="Calibri" w:hAnsi="Arial" w:cs="Arial"/>
          <w:i/>
          <w:sz w:val="24"/>
          <w:szCs w:val="24"/>
        </w:rPr>
        <w:t>pacta</w:t>
      </w:r>
      <w:r w:rsidR="005A37FE" w:rsidRPr="006A7B9C">
        <w:rPr>
          <w:rFonts w:ascii="Arial" w:eastAsia="Calibri" w:hAnsi="Arial" w:cs="Arial"/>
          <w:i/>
          <w:sz w:val="24"/>
          <w:szCs w:val="24"/>
        </w:rPr>
        <w:t xml:space="preserve"> sunt</w:t>
      </w:r>
      <w:r w:rsidRPr="006A7B9C">
        <w:rPr>
          <w:rFonts w:ascii="Arial" w:eastAsia="Calibri" w:hAnsi="Arial" w:cs="Arial"/>
          <w:i/>
          <w:sz w:val="24"/>
          <w:szCs w:val="24"/>
        </w:rPr>
        <w:t xml:space="preserve"> servanda</w:t>
      </w:r>
      <w:r w:rsidRPr="006A7B9C">
        <w:rPr>
          <w:rFonts w:ascii="Arial" w:eastAsia="Calibri" w:hAnsi="Arial" w:cs="Arial"/>
          <w:sz w:val="24"/>
          <w:szCs w:val="24"/>
        </w:rPr>
        <w:t xml:space="preserve"> principle, Luhan must pay a penalty of 10%.</w:t>
      </w:r>
    </w:p>
    <w:p w14:paraId="25BBF260" w14:textId="77777777" w:rsidR="00B066A7" w:rsidRPr="006A7B9C" w:rsidRDefault="00B066A7" w:rsidP="008D13A9">
      <w:pPr>
        <w:spacing w:after="0" w:line="360" w:lineRule="auto"/>
        <w:ind w:left="720"/>
        <w:jc w:val="both"/>
        <w:rPr>
          <w:rFonts w:ascii="Arial" w:eastAsia="Calibri" w:hAnsi="Arial" w:cs="Arial"/>
          <w:sz w:val="24"/>
          <w:szCs w:val="24"/>
        </w:rPr>
      </w:pPr>
    </w:p>
    <w:p w14:paraId="364E133C" w14:textId="3E6BCD96" w:rsidR="00B066A7" w:rsidRPr="006A7B9C" w:rsidRDefault="00B066A7" w:rsidP="008D13A9">
      <w:pPr>
        <w:numPr>
          <w:ilvl w:val="0"/>
          <w:numId w:val="32"/>
        </w:numPr>
        <w:tabs>
          <w:tab w:val="num" w:pos="360"/>
        </w:tabs>
        <w:spacing w:after="0" w:line="360" w:lineRule="auto"/>
        <w:ind w:left="720" w:hanging="720"/>
        <w:jc w:val="both"/>
        <w:rPr>
          <w:rFonts w:ascii="Arial" w:eastAsia="Calibri" w:hAnsi="Arial" w:cs="Arial"/>
          <w:sz w:val="24"/>
          <w:szCs w:val="24"/>
        </w:rPr>
      </w:pPr>
      <w:r w:rsidRPr="006A7B9C">
        <w:rPr>
          <w:rFonts w:ascii="Arial" w:eastAsia="Calibri" w:hAnsi="Arial" w:cs="Arial"/>
          <w:sz w:val="24"/>
          <w:szCs w:val="24"/>
        </w:rPr>
        <w:t xml:space="preserve">Luhan did not seek an amendment nor novation of this clause. On application of the </w:t>
      </w:r>
      <w:r w:rsidRPr="006A7B9C">
        <w:rPr>
          <w:rFonts w:ascii="Arial" w:eastAsia="Calibri" w:hAnsi="Arial" w:cs="Arial"/>
          <w:i/>
          <w:sz w:val="24"/>
          <w:szCs w:val="24"/>
        </w:rPr>
        <w:t>pacta</w:t>
      </w:r>
      <w:r w:rsidR="005A37FE" w:rsidRPr="006A7B9C">
        <w:rPr>
          <w:rFonts w:ascii="Arial" w:eastAsia="Calibri" w:hAnsi="Arial" w:cs="Arial"/>
          <w:i/>
          <w:sz w:val="24"/>
          <w:szCs w:val="24"/>
        </w:rPr>
        <w:t xml:space="preserve"> sunt</w:t>
      </w:r>
      <w:r w:rsidRPr="006A7B9C">
        <w:rPr>
          <w:rFonts w:ascii="Arial" w:eastAsia="Calibri" w:hAnsi="Arial" w:cs="Arial"/>
          <w:i/>
          <w:sz w:val="24"/>
          <w:szCs w:val="24"/>
        </w:rPr>
        <w:t xml:space="preserve"> servanda</w:t>
      </w:r>
      <w:r w:rsidRPr="006A7B9C">
        <w:rPr>
          <w:rFonts w:ascii="Arial" w:eastAsia="Calibri" w:hAnsi="Arial" w:cs="Arial"/>
          <w:sz w:val="24"/>
          <w:szCs w:val="24"/>
        </w:rPr>
        <w:t xml:space="preserve"> principle, the clause ought to have been given effect. </w:t>
      </w:r>
      <w:r w:rsidR="00F34A8D" w:rsidRPr="006A7B9C">
        <w:rPr>
          <w:rFonts w:ascii="Arial" w:eastAsia="Calibri" w:hAnsi="Arial" w:cs="Arial"/>
          <w:sz w:val="24"/>
          <w:szCs w:val="24"/>
        </w:rPr>
        <w:t>Nowhere in the pleadings did Luhan allege that the penalty of 10% is unreasonable and ought not to be enforced by the Co</w:t>
      </w:r>
      <w:r w:rsidR="00C76D4C" w:rsidRPr="006A7B9C">
        <w:rPr>
          <w:rFonts w:ascii="Arial" w:eastAsia="Calibri" w:hAnsi="Arial" w:cs="Arial"/>
          <w:sz w:val="24"/>
          <w:szCs w:val="24"/>
        </w:rPr>
        <w:t xml:space="preserve">urt. Luhan </w:t>
      </w:r>
      <w:r w:rsidR="00A90EF2" w:rsidRPr="006A7B9C">
        <w:rPr>
          <w:rFonts w:ascii="Arial" w:eastAsia="Calibri" w:hAnsi="Arial" w:cs="Arial"/>
          <w:sz w:val="24"/>
          <w:szCs w:val="24"/>
        </w:rPr>
        <w:t>only pl</w:t>
      </w:r>
      <w:r w:rsidR="00BC4778" w:rsidRPr="006A7B9C">
        <w:rPr>
          <w:rFonts w:ascii="Arial" w:eastAsia="Calibri" w:hAnsi="Arial" w:cs="Arial"/>
          <w:sz w:val="24"/>
          <w:szCs w:val="24"/>
        </w:rPr>
        <w:t>eaded that the penalty is out of proportion to the prejudice suffered by the appellant within the contemplation of the Penalties Act.</w:t>
      </w:r>
      <w:r w:rsidR="00F34A8D" w:rsidRPr="006A7B9C">
        <w:rPr>
          <w:rFonts w:ascii="Arial" w:eastAsia="Calibri" w:hAnsi="Arial" w:cs="Arial"/>
          <w:sz w:val="24"/>
          <w:szCs w:val="24"/>
        </w:rPr>
        <w:t xml:space="preserve"> Regard being had to the judgment of the Court a </w:t>
      </w:r>
      <w:r w:rsidR="00F34A8D" w:rsidRPr="006A7B9C">
        <w:rPr>
          <w:rFonts w:ascii="Arial" w:eastAsia="Calibri" w:hAnsi="Arial" w:cs="Arial"/>
          <w:i/>
          <w:sz w:val="24"/>
          <w:szCs w:val="24"/>
        </w:rPr>
        <w:t>quo</w:t>
      </w:r>
      <w:r w:rsidR="00BC4778" w:rsidRPr="006A7B9C">
        <w:rPr>
          <w:rFonts w:ascii="Arial" w:eastAsia="Calibri" w:hAnsi="Arial" w:cs="Arial"/>
          <w:sz w:val="24"/>
          <w:szCs w:val="24"/>
        </w:rPr>
        <w:t xml:space="preserve">; it seems that Luhan </w:t>
      </w:r>
      <w:r w:rsidR="00F34A8D" w:rsidRPr="006A7B9C">
        <w:rPr>
          <w:rFonts w:ascii="Arial" w:eastAsia="Calibri" w:hAnsi="Arial" w:cs="Arial"/>
          <w:sz w:val="24"/>
          <w:szCs w:val="24"/>
        </w:rPr>
        <w:t>argued that the amount of penalties is disproportionate because of COVID-19. In g</w:t>
      </w:r>
      <w:r w:rsidR="00BC4778" w:rsidRPr="006A7B9C">
        <w:rPr>
          <w:rFonts w:ascii="Arial" w:eastAsia="Calibri" w:hAnsi="Arial" w:cs="Arial"/>
          <w:sz w:val="24"/>
          <w:szCs w:val="24"/>
        </w:rPr>
        <w:t>iving audience to that</w:t>
      </w:r>
      <w:r w:rsidR="00F34A8D" w:rsidRPr="006A7B9C">
        <w:rPr>
          <w:rFonts w:ascii="Arial" w:eastAsia="Calibri" w:hAnsi="Arial" w:cs="Arial"/>
          <w:sz w:val="24"/>
          <w:szCs w:val="24"/>
        </w:rPr>
        <w:t xml:space="preserve"> argument, the learned magistrate invoked the provisions of section 3 of the Conventional Penalties Act</w:t>
      </w:r>
      <w:r w:rsidR="007E49E9" w:rsidRPr="006A7B9C">
        <w:rPr>
          <w:rFonts w:ascii="Arial" w:eastAsia="Calibri" w:hAnsi="Arial" w:cs="Arial"/>
          <w:sz w:val="24"/>
          <w:szCs w:val="24"/>
        </w:rPr>
        <w:t xml:space="preserve"> (Penalties Act)</w:t>
      </w:r>
      <w:r w:rsidR="007E49E9" w:rsidRPr="006A7B9C">
        <w:rPr>
          <w:rStyle w:val="FootnoteReference"/>
          <w:rFonts w:ascii="Arial" w:eastAsia="Calibri" w:hAnsi="Arial" w:cs="Arial"/>
          <w:sz w:val="24"/>
          <w:szCs w:val="24"/>
        </w:rPr>
        <w:footnoteReference w:id="46"/>
      </w:r>
      <w:r w:rsidR="007E49E9" w:rsidRPr="006A7B9C">
        <w:rPr>
          <w:rFonts w:ascii="Arial" w:eastAsia="Calibri" w:hAnsi="Arial" w:cs="Arial"/>
          <w:sz w:val="24"/>
          <w:szCs w:val="24"/>
        </w:rPr>
        <w:t xml:space="preserve"> and took a view that 10% would be harsh. Ultimately</w:t>
      </w:r>
      <w:r w:rsidR="00086DCA">
        <w:rPr>
          <w:rFonts w:ascii="Arial" w:eastAsia="Calibri" w:hAnsi="Arial" w:cs="Arial"/>
          <w:sz w:val="24"/>
          <w:szCs w:val="24"/>
        </w:rPr>
        <w:t>,</w:t>
      </w:r>
      <w:r w:rsidR="007E49E9" w:rsidRPr="006A7B9C">
        <w:rPr>
          <w:rFonts w:ascii="Arial" w:eastAsia="Calibri" w:hAnsi="Arial" w:cs="Arial"/>
          <w:sz w:val="24"/>
          <w:szCs w:val="24"/>
        </w:rPr>
        <w:t xml:space="preserve"> the Court a </w:t>
      </w:r>
      <w:r w:rsidR="007E49E9" w:rsidRPr="006A7B9C">
        <w:rPr>
          <w:rFonts w:ascii="Arial" w:eastAsia="Calibri" w:hAnsi="Arial" w:cs="Arial"/>
          <w:i/>
          <w:sz w:val="24"/>
          <w:szCs w:val="24"/>
        </w:rPr>
        <w:t>quo</w:t>
      </w:r>
      <w:r w:rsidR="007E49E9" w:rsidRPr="006A7B9C">
        <w:rPr>
          <w:rFonts w:ascii="Arial" w:eastAsia="Calibri" w:hAnsi="Arial" w:cs="Arial"/>
          <w:sz w:val="24"/>
          <w:szCs w:val="24"/>
        </w:rPr>
        <w:t xml:space="preserve"> reduced the penalty to 5% instead.</w:t>
      </w:r>
    </w:p>
    <w:p w14:paraId="6C44ADC6" w14:textId="77777777" w:rsidR="007E49E9" w:rsidRPr="006A7B9C" w:rsidRDefault="007E49E9" w:rsidP="008D13A9">
      <w:pPr>
        <w:pStyle w:val="ListParagraph"/>
        <w:numPr>
          <w:ilvl w:val="0"/>
          <w:numId w:val="0"/>
        </w:numPr>
        <w:spacing w:before="0" w:after="0"/>
        <w:ind w:left="567"/>
        <w:rPr>
          <w:rFonts w:eastAsia="Calibri"/>
        </w:rPr>
      </w:pPr>
    </w:p>
    <w:p w14:paraId="21CB81FD" w14:textId="79F643BC" w:rsidR="00AB0328" w:rsidRPr="006A7B9C" w:rsidRDefault="007E49E9" w:rsidP="008D13A9">
      <w:pPr>
        <w:numPr>
          <w:ilvl w:val="0"/>
          <w:numId w:val="32"/>
        </w:numPr>
        <w:tabs>
          <w:tab w:val="num" w:pos="360"/>
        </w:tabs>
        <w:spacing w:after="0" w:line="360" w:lineRule="auto"/>
        <w:ind w:left="720" w:hanging="720"/>
        <w:jc w:val="both"/>
        <w:rPr>
          <w:rFonts w:ascii="Arial" w:eastAsia="Calibri" w:hAnsi="Arial" w:cs="Arial"/>
          <w:sz w:val="24"/>
          <w:szCs w:val="24"/>
        </w:rPr>
      </w:pPr>
      <w:r w:rsidRPr="006A7B9C">
        <w:rPr>
          <w:rFonts w:ascii="Arial" w:eastAsia="Calibri" w:hAnsi="Arial" w:cs="Arial"/>
          <w:sz w:val="24"/>
          <w:szCs w:val="24"/>
        </w:rPr>
        <w:t xml:space="preserve">Section 3 of the Penalties Act, contains a </w:t>
      </w:r>
      <w:r w:rsidRPr="006A7B9C">
        <w:rPr>
          <w:rFonts w:ascii="Arial" w:eastAsia="Calibri" w:hAnsi="Arial" w:cs="Arial"/>
          <w:i/>
          <w:sz w:val="24"/>
          <w:szCs w:val="24"/>
        </w:rPr>
        <w:t>proviso</w:t>
      </w:r>
      <w:r w:rsidRPr="006A7B9C">
        <w:rPr>
          <w:rFonts w:ascii="Arial" w:eastAsia="Calibri" w:hAnsi="Arial" w:cs="Arial"/>
          <w:sz w:val="24"/>
          <w:szCs w:val="24"/>
        </w:rPr>
        <w:t xml:space="preserve"> upon which a Court may exercise its discretionary powers to reduce the penalty. </w:t>
      </w:r>
      <w:r w:rsidR="00BD1A72" w:rsidRPr="006A7B9C">
        <w:rPr>
          <w:rFonts w:ascii="Arial" w:eastAsia="Calibri" w:hAnsi="Arial" w:cs="Arial"/>
          <w:sz w:val="24"/>
          <w:szCs w:val="24"/>
        </w:rPr>
        <w:t xml:space="preserve">At first blush, it may be argued that a Court has </w:t>
      </w:r>
      <w:r w:rsidR="00086DCA" w:rsidRPr="006A7B9C">
        <w:rPr>
          <w:rFonts w:ascii="Arial" w:eastAsia="Calibri" w:hAnsi="Arial" w:cs="Arial"/>
          <w:sz w:val="24"/>
          <w:szCs w:val="24"/>
        </w:rPr>
        <w:t>untrammelled powers</w:t>
      </w:r>
      <w:r w:rsidR="00BD1A72" w:rsidRPr="006A7B9C">
        <w:rPr>
          <w:rFonts w:ascii="Arial" w:eastAsia="Calibri" w:hAnsi="Arial" w:cs="Arial"/>
          <w:sz w:val="24"/>
          <w:szCs w:val="24"/>
        </w:rPr>
        <w:t xml:space="preserve"> to reduce the penalty. This </w:t>
      </w:r>
      <w:r w:rsidR="00086DCA">
        <w:rPr>
          <w:rFonts w:ascii="Arial" w:eastAsia="Calibri" w:hAnsi="Arial" w:cs="Arial"/>
          <w:sz w:val="24"/>
          <w:szCs w:val="24"/>
        </w:rPr>
        <w:t xml:space="preserve">is </w:t>
      </w:r>
      <w:r w:rsidR="00BD1A72" w:rsidRPr="006A7B9C">
        <w:rPr>
          <w:rFonts w:ascii="Arial" w:eastAsia="Calibri" w:hAnsi="Arial" w:cs="Arial"/>
          <w:sz w:val="24"/>
          <w:szCs w:val="24"/>
        </w:rPr>
        <w:t>because the opening part of the section provides that “</w:t>
      </w:r>
      <w:r w:rsidR="00BD1A72" w:rsidRPr="008D13A9">
        <w:rPr>
          <w:rFonts w:ascii="Arial" w:eastAsia="Calibri" w:hAnsi="Arial" w:cs="Arial"/>
          <w:i/>
          <w:sz w:val="24"/>
          <w:szCs w:val="24"/>
        </w:rPr>
        <w:t>if it appears to the court that such penalty is out of proportion to the prejudice suffered by the creditor by reason of the act or omission in respect of which the penalty was stipulated</w:t>
      </w:r>
      <w:r w:rsidR="00BD1A72" w:rsidRPr="006A7B9C">
        <w:rPr>
          <w:rFonts w:ascii="Arial" w:eastAsia="Calibri" w:hAnsi="Arial" w:cs="Arial"/>
          <w:sz w:val="24"/>
          <w:szCs w:val="24"/>
        </w:rPr>
        <w:t xml:space="preserve">”. If the section is read up to there, then a Court would have a </w:t>
      </w:r>
      <w:r w:rsidR="00BD1A72" w:rsidRPr="006A7B9C">
        <w:rPr>
          <w:rFonts w:ascii="Arial" w:eastAsia="Calibri" w:hAnsi="Arial" w:cs="Arial"/>
          <w:i/>
          <w:sz w:val="24"/>
          <w:szCs w:val="24"/>
        </w:rPr>
        <w:t>laissez faire</w:t>
      </w:r>
      <w:r w:rsidR="00BD1A72" w:rsidRPr="006A7B9C">
        <w:rPr>
          <w:rFonts w:ascii="Arial" w:eastAsia="Calibri" w:hAnsi="Arial" w:cs="Arial"/>
          <w:sz w:val="24"/>
          <w:szCs w:val="24"/>
        </w:rPr>
        <w:t xml:space="preserve"> to reduce the penalty. The </w:t>
      </w:r>
      <w:r w:rsidR="00AB0328" w:rsidRPr="006A7B9C">
        <w:rPr>
          <w:rFonts w:ascii="Arial" w:eastAsia="Calibri" w:hAnsi="Arial" w:cs="Arial"/>
          <w:sz w:val="24"/>
          <w:szCs w:val="24"/>
        </w:rPr>
        <w:t>phrase</w:t>
      </w:r>
      <w:r w:rsidR="00BD1A72" w:rsidRPr="006A7B9C">
        <w:rPr>
          <w:rFonts w:ascii="Arial" w:eastAsia="Calibri" w:hAnsi="Arial" w:cs="Arial"/>
          <w:sz w:val="24"/>
          <w:szCs w:val="24"/>
        </w:rPr>
        <w:t xml:space="preserve"> </w:t>
      </w:r>
      <w:r w:rsidR="00AB0328" w:rsidRPr="006A7B9C">
        <w:rPr>
          <w:rFonts w:ascii="Arial" w:eastAsia="Calibri" w:hAnsi="Arial" w:cs="Arial"/>
          <w:sz w:val="24"/>
          <w:szCs w:val="24"/>
        </w:rPr>
        <w:t>‘</w:t>
      </w:r>
      <w:r w:rsidR="00BD1A72" w:rsidRPr="006A7B9C">
        <w:rPr>
          <w:rFonts w:ascii="Arial" w:eastAsia="Calibri" w:hAnsi="Arial" w:cs="Arial"/>
          <w:sz w:val="24"/>
          <w:szCs w:val="24"/>
        </w:rPr>
        <w:t>provided</w:t>
      </w:r>
      <w:r w:rsidR="00AB0328" w:rsidRPr="006A7B9C">
        <w:rPr>
          <w:rFonts w:ascii="Arial" w:eastAsia="Calibri" w:hAnsi="Arial" w:cs="Arial"/>
          <w:sz w:val="24"/>
          <w:szCs w:val="24"/>
        </w:rPr>
        <w:t xml:space="preserve"> that’</w:t>
      </w:r>
      <w:r w:rsidR="00BD1A72" w:rsidRPr="006A7B9C">
        <w:rPr>
          <w:rFonts w:ascii="Arial" w:eastAsia="Calibri" w:hAnsi="Arial" w:cs="Arial"/>
          <w:sz w:val="24"/>
          <w:szCs w:val="24"/>
        </w:rPr>
        <w:t xml:space="preserve"> </w:t>
      </w:r>
      <w:r w:rsidR="00AB0328" w:rsidRPr="006A7B9C">
        <w:rPr>
          <w:rFonts w:ascii="Arial" w:eastAsia="Calibri" w:hAnsi="Arial" w:cs="Arial"/>
          <w:sz w:val="24"/>
          <w:szCs w:val="24"/>
        </w:rPr>
        <w:t>when used in a statute it simply means a condition is introduced.</w:t>
      </w:r>
      <w:r w:rsidR="00AB0328" w:rsidRPr="006A7B9C">
        <w:rPr>
          <w:rStyle w:val="FootnoteReference"/>
          <w:rFonts w:ascii="Arial" w:eastAsia="Calibri" w:hAnsi="Arial" w:cs="Arial"/>
          <w:sz w:val="24"/>
          <w:szCs w:val="24"/>
        </w:rPr>
        <w:footnoteReference w:id="47"/>
      </w:r>
      <w:r w:rsidR="00BD1A72" w:rsidRPr="006A7B9C">
        <w:rPr>
          <w:rFonts w:ascii="Arial" w:eastAsia="Calibri" w:hAnsi="Arial" w:cs="Arial"/>
          <w:sz w:val="24"/>
          <w:szCs w:val="24"/>
        </w:rPr>
        <w:t xml:space="preserve"> </w:t>
      </w:r>
    </w:p>
    <w:p w14:paraId="17468088" w14:textId="77777777" w:rsidR="00AB0328" w:rsidRPr="006A7B9C" w:rsidRDefault="00AB0328" w:rsidP="008D13A9">
      <w:pPr>
        <w:pStyle w:val="ListParagraph"/>
        <w:numPr>
          <w:ilvl w:val="0"/>
          <w:numId w:val="0"/>
        </w:numPr>
        <w:spacing w:before="0" w:after="0"/>
        <w:ind w:left="567"/>
        <w:rPr>
          <w:rFonts w:eastAsia="Calibri"/>
        </w:rPr>
      </w:pPr>
    </w:p>
    <w:p w14:paraId="06BDAF09" w14:textId="779172F0" w:rsidR="00A91CEA" w:rsidRPr="006A7B9C" w:rsidRDefault="00AB0328" w:rsidP="008D13A9">
      <w:pPr>
        <w:numPr>
          <w:ilvl w:val="0"/>
          <w:numId w:val="32"/>
        </w:numPr>
        <w:tabs>
          <w:tab w:val="num" w:pos="360"/>
        </w:tabs>
        <w:spacing w:after="0" w:line="360" w:lineRule="auto"/>
        <w:ind w:left="720" w:hanging="720"/>
        <w:jc w:val="both"/>
        <w:rPr>
          <w:rFonts w:ascii="Arial" w:eastAsia="Calibri" w:hAnsi="Arial" w:cs="Arial"/>
          <w:sz w:val="24"/>
          <w:szCs w:val="24"/>
        </w:rPr>
      </w:pPr>
      <w:r w:rsidRPr="006A7B9C">
        <w:rPr>
          <w:rFonts w:ascii="Arial" w:eastAsia="Calibri" w:hAnsi="Arial" w:cs="Arial"/>
          <w:sz w:val="24"/>
          <w:szCs w:val="24"/>
        </w:rPr>
        <w:t xml:space="preserve">It ought to be borne in mind that what the Court will be doing is to find proportionality </w:t>
      </w:r>
      <w:r w:rsidR="003B637D" w:rsidRPr="006A7B9C">
        <w:rPr>
          <w:rFonts w:ascii="Arial" w:eastAsia="Calibri" w:hAnsi="Arial" w:cs="Arial"/>
          <w:sz w:val="24"/>
          <w:szCs w:val="24"/>
        </w:rPr>
        <w:t xml:space="preserve">between the prejudice suffered by the creditor by reason of failure to pay rent on time, in this regard and the penalty imposed by the stipulation. The condition introduced by the section for the exercise of the discretionary power, is to weigh as it were the creditor’s proprietary interest against any other rightful interest that may be affected. In our view, the primary interest is the proprietary interests of the creditor (Hennops) but it can be outweighed by the rightful </w:t>
      </w:r>
      <w:r w:rsidR="00086DCA" w:rsidRPr="006A7B9C">
        <w:rPr>
          <w:rFonts w:ascii="Arial" w:eastAsia="Calibri" w:hAnsi="Arial" w:cs="Arial"/>
          <w:sz w:val="24"/>
          <w:szCs w:val="24"/>
        </w:rPr>
        <w:t>interests, which</w:t>
      </w:r>
      <w:r w:rsidR="003B637D" w:rsidRPr="006A7B9C">
        <w:rPr>
          <w:rFonts w:ascii="Arial" w:eastAsia="Calibri" w:hAnsi="Arial" w:cs="Arial"/>
          <w:sz w:val="24"/>
          <w:szCs w:val="24"/>
        </w:rPr>
        <w:t xml:space="preserve"> may be affected by the non-payment of rental. </w:t>
      </w:r>
      <w:r w:rsidR="00A91CEA" w:rsidRPr="006A7B9C">
        <w:rPr>
          <w:rFonts w:ascii="Arial" w:eastAsia="Calibri" w:hAnsi="Arial" w:cs="Arial"/>
          <w:sz w:val="24"/>
          <w:szCs w:val="24"/>
        </w:rPr>
        <w:t xml:space="preserve">This implies that those rightful interests must be </w:t>
      </w:r>
      <w:r w:rsidR="00A91CEA" w:rsidRPr="006A7B9C">
        <w:rPr>
          <w:rFonts w:ascii="Arial" w:eastAsia="Calibri" w:hAnsi="Arial" w:cs="Arial"/>
          <w:sz w:val="24"/>
          <w:szCs w:val="24"/>
        </w:rPr>
        <w:lastRenderedPageBreak/>
        <w:t>pleaded and proven</w:t>
      </w:r>
      <w:r w:rsidR="00C74C46" w:rsidRPr="006A7B9C">
        <w:rPr>
          <w:rStyle w:val="FootnoteReference"/>
          <w:rFonts w:ascii="Arial" w:eastAsia="Calibri" w:hAnsi="Arial" w:cs="Arial"/>
          <w:sz w:val="24"/>
          <w:szCs w:val="24"/>
        </w:rPr>
        <w:footnoteReference w:id="48"/>
      </w:r>
      <w:r w:rsidR="00A91CEA" w:rsidRPr="006A7B9C">
        <w:rPr>
          <w:rFonts w:ascii="Arial" w:eastAsia="Calibri" w:hAnsi="Arial" w:cs="Arial"/>
          <w:sz w:val="24"/>
          <w:szCs w:val="24"/>
        </w:rPr>
        <w:t xml:space="preserve">. </w:t>
      </w:r>
      <w:r w:rsidR="00BC4778" w:rsidRPr="006A7B9C">
        <w:rPr>
          <w:rFonts w:ascii="Arial" w:eastAsia="Calibri" w:hAnsi="Arial" w:cs="Arial"/>
          <w:sz w:val="24"/>
          <w:szCs w:val="24"/>
        </w:rPr>
        <w:t xml:space="preserve">Luhan failed to prove the disproportion between the penalty and the prejudice suffered by Hennops. In argument Luhan contended </w:t>
      </w:r>
      <w:r w:rsidR="00A91CEA" w:rsidRPr="006A7B9C">
        <w:rPr>
          <w:rFonts w:ascii="Arial" w:eastAsia="Calibri" w:hAnsi="Arial" w:cs="Arial"/>
          <w:sz w:val="24"/>
          <w:szCs w:val="24"/>
        </w:rPr>
        <w:t xml:space="preserve">that they were excused from paying rental as a result of COVID-19, therefore, the penalties regarding the months of lockdown should be rejected. Based on this, the Court a </w:t>
      </w:r>
      <w:r w:rsidR="00A91CEA" w:rsidRPr="006A7B9C">
        <w:rPr>
          <w:rFonts w:ascii="Arial" w:eastAsia="Calibri" w:hAnsi="Arial" w:cs="Arial"/>
          <w:i/>
          <w:sz w:val="24"/>
          <w:szCs w:val="24"/>
        </w:rPr>
        <w:t>quo</w:t>
      </w:r>
      <w:r w:rsidR="00A91CEA" w:rsidRPr="006A7B9C">
        <w:rPr>
          <w:rFonts w:ascii="Arial" w:eastAsia="Calibri" w:hAnsi="Arial" w:cs="Arial"/>
          <w:sz w:val="24"/>
          <w:szCs w:val="24"/>
        </w:rPr>
        <w:t xml:space="preserve"> took a view that it shall not be in the interest of justice to impose penalty where there was dire financial strain.</w:t>
      </w:r>
    </w:p>
    <w:p w14:paraId="35F0A6A4" w14:textId="77777777" w:rsidR="00A91CEA" w:rsidRPr="006A7B9C" w:rsidRDefault="00A91CEA" w:rsidP="008D13A9">
      <w:pPr>
        <w:pStyle w:val="ListParagraph"/>
        <w:numPr>
          <w:ilvl w:val="0"/>
          <w:numId w:val="0"/>
        </w:numPr>
        <w:spacing w:before="0" w:after="0"/>
        <w:ind w:left="567"/>
        <w:rPr>
          <w:rFonts w:eastAsia="Calibri"/>
        </w:rPr>
      </w:pPr>
    </w:p>
    <w:p w14:paraId="6C35A829" w14:textId="77777777" w:rsidR="00C25D46" w:rsidRPr="006A7B9C" w:rsidRDefault="00A91CEA" w:rsidP="008D13A9">
      <w:pPr>
        <w:numPr>
          <w:ilvl w:val="0"/>
          <w:numId w:val="32"/>
        </w:numPr>
        <w:tabs>
          <w:tab w:val="num" w:pos="360"/>
        </w:tabs>
        <w:spacing w:after="0" w:line="360" w:lineRule="auto"/>
        <w:ind w:left="720" w:hanging="720"/>
        <w:jc w:val="both"/>
        <w:rPr>
          <w:rFonts w:ascii="Arial" w:eastAsia="Calibri" w:hAnsi="Arial" w:cs="Arial"/>
          <w:sz w:val="24"/>
          <w:szCs w:val="24"/>
        </w:rPr>
      </w:pPr>
      <w:r w:rsidRPr="006A7B9C">
        <w:rPr>
          <w:rFonts w:ascii="Arial" w:eastAsia="Calibri" w:hAnsi="Arial" w:cs="Arial"/>
          <w:sz w:val="24"/>
          <w:szCs w:val="24"/>
        </w:rPr>
        <w:t xml:space="preserve">What is required is not the taking into account of the </w:t>
      </w:r>
      <w:r w:rsidR="00665D7B" w:rsidRPr="006A7B9C">
        <w:rPr>
          <w:rFonts w:ascii="Arial" w:eastAsia="Calibri" w:hAnsi="Arial" w:cs="Arial"/>
          <w:sz w:val="24"/>
          <w:szCs w:val="24"/>
        </w:rPr>
        <w:t>interest of justice but to find lack of proportionality between the penalty and the prejudice suffered as a result of non-payment of rent in time. The phrase ‘</w:t>
      </w:r>
      <w:r w:rsidR="00665D7B" w:rsidRPr="006A7B9C">
        <w:rPr>
          <w:rFonts w:ascii="Arial" w:eastAsia="Calibri" w:hAnsi="Arial" w:cs="Arial"/>
          <w:i/>
          <w:sz w:val="24"/>
          <w:szCs w:val="24"/>
        </w:rPr>
        <w:t>out of proportion’</w:t>
      </w:r>
      <w:r w:rsidR="00665D7B" w:rsidRPr="006A7B9C">
        <w:rPr>
          <w:rFonts w:ascii="Arial" w:eastAsia="Calibri" w:hAnsi="Arial" w:cs="Arial"/>
          <w:sz w:val="24"/>
          <w:szCs w:val="24"/>
        </w:rPr>
        <w:t xml:space="preserve"> means lacking the correct or appropriate relationship with the size, shape, or position of the same thing. In other words, what ought to be weighed is the prejudice suffered by Hennops as a result of late payment</w:t>
      </w:r>
      <w:r w:rsidR="00B72489" w:rsidRPr="006A7B9C">
        <w:rPr>
          <w:rStyle w:val="FootnoteReference"/>
          <w:rFonts w:ascii="Arial" w:eastAsia="Calibri" w:hAnsi="Arial" w:cs="Arial"/>
          <w:sz w:val="24"/>
          <w:szCs w:val="24"/>
        </w:rPr>
        <w:footnoteReference w:id="49"/>
      </w:r>
      <w:r w:rsidR="00F52086" w:rsidRPr="006A7B9C">
        <w:rPr>
          <w:rFonts w:ascii="Arial" w:eastAsia="Calibri" w:hAnsi="Arial" w:cs="Arial"/>
          <w:sz w:val="24"/>
          <w:szCs w:val="24"/>
        </w:rPr>
        <w:t xml:space="preserve"> and the penalty imposed. </w:t>
      </w:r>
      <w:r w:rsidR="00864312" w:rsidRPr="006A7B9C">
        <w:rPr>
          <w:rFonts w:ascii="Arial" w:eastAsia="Calibri" w:hAnsi="Arial" w:cs="Arial"/>
          <w:sz w:val="24"/>
          <w:szCs w:val="24"/>
        </w:rPr>
        <w:t>It is apparent that the learned magistrate rejected evidence demonstrating prejudice not that it was controverted but on the basis that it was not supported by proof of the incidental costs. In our view, this cannot be a basis to reject</w:t>
      </w:r>
      <w:r w:rsidR="003B0130" w:rsidRPr="006A7B9C">
        <w:rPr>
          <w:rFonts w:ascii="Arial" w:eastAsia="Calibri" w:hAnsi="Arial" w:cs="Arial"/>
          <w:sz w:val="24"/>
          <w:szCs w:val="24"/>
        </w:rPr>
        <w:t xml:space="preserve"> the</w:t>
      </w:r>
      <w:r w:rsidR="00864312" w:rsidRPr="006A7B9C">
        <w:rPr>
          <w:rFonts w:ascii="Arial" w:eastAsia="Calibri" w:hAnsi="Arial" w:cs="Arial"/>
          <w:sz w:val="24"/>
          <w:szCs w:val="24"/>
        </w:rPr>
        <w:t xml:space="preserve"> testimony that late payment has with it incidental costs. Nonetheless, the exercise is to compare, as it were the prejudice and the penalty. Unless, there is evidence from Luhan that what it agreed to</w:t>
      </w:r>
      <w:r w:rsidR="002658BD" w:rsidRPr="006A7B9C">
        <w:rPr>
          <w:rFonts w:ascii="Arial" w:eastAsia="Calibri" w:hAnsi="Arial" w:cs="Arial"/>
          <w:sz w:val="24"/>
          <w:szCs w:val="24"/>
        </w:rPr>
        <w:t>,</w:t>
      </w:r>
      <w:r w:rsidR="00864312" w:rsidRPr="006A7B9C">
        <w:rPr>
          <w:rFonts w:ascii="Arial" w:eastAsia="Calibri" w:hAnsi="Arial" w:cs="Arial"/>
          <w:sz w:val="24"/>
          <w:szCs w:val="24"/>
        </w:rPr>
        <w:t xml:space="preserve"> specifically</w:t>
      </w:r>
      <w:r w:rsidR="002658BD" w:rsidRPr="006A7B9C">
        <w:rPr>
          <w:rFonts w:ascii="Arial" w:eastAsia="Calibri" w:hAnsi="Arial" w:cs="Arial"/>
          <w:sz w:val="24"/>
          <w:szCs w:val="24"/>
        </w:rPr>
        <w:t>,</w:t>
      </w:r>
      <w:r w:rsidR="00864312" w:rsidRPr="006A7B9C">
        <w:rPr>
          <w:rFonts w:ascii="Arial" w:eastAsia="Calibri" w:hAnsi="Arial" w:cs="Arial"/>
          <w:sz w:val="24"/>
          <w:szCs w:val="24"/>
        </w:rPr>
        <w:t xml:space="preserve"> is out of proportion with the late payment</w:t>
      </w:r>
      <w:r w:rsidR="00F52086" w:rsidRPr="006A7B9C">
        <w:rPr>
          <w:rFonts w:ascii="Arial" w:eastAsia="Calibri" w:hAnsi="Arial" w:cs="Arial"/>
          <w:sz w:val="24"/>
          <w:szCs w:val="24"/>
        </w:rPr>
        <w:t xml:space="preserve"> prejudice</w:t>
      </w:r>
      <w:r w:rsidR="00864312" w:rsidRPr="006A7B9C">
        <w:rPr>
          <w:rFonts w:ascii="Arial" w:eastAsia="Calibri" w:hAnsi="Arial" w:cs="Arial"/>
          <w:sz w:val="24"/>
          <w:szCs w:val="24"/>
        </w:rPr>
        <w:t>, this Court fails to see how a balancing exercise may be arrived at fairly. This legislation was passed before the</w:t>
      </w:r>
      <w:r w:rsidR="003B0130" w:rsidRPr="006A7B9C">
        <w:rPr>
          <w:rFonts w:ascii="Arial" w:eastAsia="Calibri" w:hAnsi="Arial" w:cs="Arial"/>
          <w:sz w:val="24"/>
          <w:szCs w:val="24"/>
        </w:rPr>
        <w:t xml:space="preserve"> adoption of the</w:t>
      </w:r>
      <w:r w:rsidR="00864312" w:rsidRPr="006A7B9C">
        <w:rPr>
          <w:rFonts w:ascii="Arial" w:eastAsia="Calibri" w:hAnsi="Arial" w:cs="Arial"/>
          <w:sz w:val="24"/>
          <w:szCs w:val="24"/>
        </w:rPr>
        <w:t xml:space="preserve"> Constitution. As required, every legislation ought to be interpreted within the prism of the Bill of Rights and by taking into account, holistically so, the text, context and purpose of the legislation. Regard </w:t>
      </w:r>
      <w:r w:rsidR="00F8653F" w:rsidRPr="006A7B9C">
        <w:rPr>
          <w:rFonts w:ascii="Arial" w:eastAsia="Calibri" w:hAnsi="Arial" w:cs="Arial"/>
          <w:sz w:val="24"/>
          <w:szCs w:val="24"/>
        </w:rPr>
        <w:t>being had to</w:t>
      </w:r>
      <w:r w:rsidR="00864312" w:rsidRPr="006A7B9C">
        <w:rPr>
          <w:rFonts w:ascii="Arial" w:eastAsia="Calibri" w:hAnsi="Arial" w:cs="Arial"/>
          <w:sz w:val="24"/>
          <w:szCs w:val="24"/>
        </w:rPr>
        <w:t xml:space="preserve"> the</w:t>
      </w:r>
      <w:r w:rsidR="00F8653F" w:rsidRPr="006A7B9C">
        <w:rPr>
          <w:rFonts w:ascii="Arial" w:eastAsia="Calibri" w:hAnsi="Arial" w:cs="Arial"/>
          <w:sz w:val="24"/>
          <w:szCs w:val="24"/>
        </w:rPr>
        <w:t xml:space="preserve"> long title of this legislation, its purpose is to monitor enforceability of contracts. As it was held in respect of restraint of trade clauses, the general rule with regard to them is that they are generally enforceable unless they are unreasonable or unlawful and against </w:t>
      </w:r>
      <w:r w:rsidR="00F8653F" w:rsidRPr="006A7B9C">
        <w:rPr>
          <w:rFonts w:ascii="Arial" w:eastAsia="Calibri" w:hAnsi="Arial" w:cs="Arial"/>
          <w:sz w:val="24"/>
          <w:szCs w:val="24"/>
        </w:rPr>
        <w:lastRenderedPageBreak/>
        <w:t>public policy</w:t>
      </w:r>
      <w:r w:rsidR="00F8653F" w:rsidRPr="006A7B9C">
        <w:rPr>
          <w:rStyle w:val="FootnoteReference"/>
          <w:rFonts w:ascii="Arial" w:eastAsia="Calibri" w:hAnsi="Arial" w:cs="Arial"/>
          <w:sz w:val="24"/>
          <w:szCs w:val="24"/>
        </w:rPr>
        <w:footnoteReference w:id="50"/>
      </w:r>
      <w:r w:rsidR="00F8653F" w:rsidRPr="006A7B9C">
        <w:rPr>
          <w:rFonts w:ascii="Arial" w:eastAsia="Calibri" w:hAnsi="Arial" w:cs="Arial"/>
          <w:sz w:val="24"/>
          <w:szCs w:val="24"/>
        </w:rPr>
        <w:t xml:space="preserve">. With regard to enforceability as monitored by the Penalties Act, the same principle of unreasonableness, unlawfulness; and </w:t>
      </w:r>
      <w:r w:rsidR="00F8653F" w:rsidRPr="006A7B9C">
        <w:rPr>
          <w:rFonts w:ascii="Arial" w:eastAsia="Calibri" w:hAnsi="Arial" w:cs="Arial"/>
          <w:i/>
          <w:sz w:val="24"/>
          <w:szCs w:val="24"/>
        </w:rPr>
        <w:t>contra bonis mores</w:t>
      </w:r>
      <w:r w:rsidR="00F52086" w:rsidRPr="006A7B9C">
        <w:rPr>
          <w:rFonts w:ascii="Arial" w:eastAsia="Calibri" w:hAnsi="Arial" w:cs="Arial"/>
          <w:sz w:val="24"/>
          <w:szCs w:val="24"/>
        </w:rPr>
        <w:t>, ought to apply, p</w:t>
      </w:r>
      <w:r w:rsidR="00F8653F" w:rsidRPr="006A7B9C">
        <w:rPr>
          <w:rFonts w:ascii="Arial" w:eastAsia="Calibri" w:hAnsi="Arial" w:cs="Arial"/>
          <w:sz w:val="24"/>
          <w:szCs w:val="24"/>
        </w:rPr>
        <w:t xml:space="preserve">articularly where the common law principle of </w:t>
      </w:r>
      <w:r w:rsidR="00F8653F" w:rsidRPr="006A7B9C">
        <w:rPr>
          <w:rFonts w:ascii="Arial" w:eastAsia="Calibri" w:hAnsi="Arial" w:cs="Arial"/>
          <w:i/>
          <w:sz w:val="24"/>
          <w:szCs w:val="24"/>
        </w:rPr>
        <w:t>pacta</w:t>
      </w:r>
      <w:r w:rsidR="000B469E" w:rsidRPr="006A7B9C">
        <w:rPr>
          <w:rFonts w:ascii="Arial" w:eastAsia="Calibri" w:hAnsi="Arial" w:cs="Arial"/>
          <w:i/>
          <w:sz w:val="24"/>
          <w:szCs w:val="24"/>
        </w:rPr>
        <w:t xml:space="preserve"> sunt </w:t>
      </w:r>
      <w:r w:rsidR="00F8653F" w:rsidRPr="006A7B9C">
        <w:rPr>
          <w:rFonts w:ascii="Arial" w:eastAsia="Calibri" w:hAnsi="Arial" w:cs="Arial"/>
          <w:i/>
          <w:sz w:val="24"/>
          <w:szCs w:val="24"/>
        </w:rPr>
        <w:t>servanda</w:t>
      </w:r>
      <w:r w:rsidR="00F8653F" w:rsidRPr="006A7B9C">
        <w:rPr>
          <w:rFonts w:ascii="Arial" w:eastAsia="Calibri" w:hAnsi="Arial" w:cs="Arial"/>
          <w:sz w:val="24"/>
          <w:szCs w:val="24"/>
        </w:rPr>
        <w:t xml:space="preserve"> is developed within the requirements of section 39 (2) of the Constitution.</w:t>
      </w:r>
    </w:p>
    <w:p w14:paraId="61810AC7" w14:textId="77777777" w:rsidR="00C25D46" w:rsidRPr="006A7B9C" w:rsidRDefault="00C25D46" w:rsidP="008D13A9">
      <w:pPr>
        <w:spacing w:after="0" w:line="360" w:lineRule="auto"/>
        <w:ind w:left="720"/>
        <w:jc w:val="both"/>
        <w:rPr>
          <w:rFonts w:ascii="Arial" w:eastAsia="Calibri" w:hAnsi="Arial" w:cs="Arial"/>
          <w:sz w:val="24"/>
          <w:szCs w:val="24"/>
        </w:rPr>
      </w:pPr>
    </w:p>
    <w:p w14:paraId="2E876510" w14:textId="77777777" w:rsidR="00C25D46" w:rsidRPr="006A7B9C" w:rsidRDefault="00C25D46" w:rsidP="008D13A9">
      <w:pPr>
        <w:numPr>
          <w:ilvl w:val="0"/>
          <w:numId w:val="32"/>
        </w:numPr>
        <w:tabs>
          <w:tab w:val="num" w:pos="360"/>
        </w:tabs>
        <w:spacing w:after="0" w:line="360" w:lineRule="auto"/>
        <w:ind w:left="720" w:hanging="720"/>
        <w:jc w:val="both"/>
        <w:rPr>
          <w:rFonts w:ascii="Arial" w:eastAsia="Calibri" w:hAnsi="Arial" w:cs="Arial"/>
          <w:sz w:val="24"/>
          <w:szCs w:val="24"/>
        </w:rPr>
      </w:pPr>
      <w:r w:rsidRPr="006A7B9C">
        <w:rPr>
          <w:rFonts w:ascii="Arial" w:eastAsia="Calibri" w:hAnsi="Arial" w:cs="Arial"/>
          <w:sz w:val="24"/>
          <w:szCs w:val="24"/>
        </w:rPr>
        <w:t>Accordingly, the conclusion to reach is that there was no basis in law to reduce the penalty</w:t>
      </w:r>
      <w:r w:rsidR="00B72489" w:rsidRPr="006A7B9C">
        <w:rPr>
          <w:rStyle w:val="FootnoteReference"/>
          <w:rFonts w:ascii="Arial" w:eastAsia="Calibri" w:hAnsi="Arial" w:cs="Arial"/>
          <w:sz w:val="24"/>
          <w:szCs w:val="24"/>
        </w:rPr>
        <w:footnoteReference w:id="51"/>
      </w:r>
      <w:r w:rsidRPr="006A7B9C">
        <w:rPr>
          <w:rFonts w:ascii="Arial" w:eastAsia="Calibri" w:hAnsi="Arial" w:cs="Arial"/>
          <w:sz w:val="24"/>
          <w:szCs w:val="24"/>
        </w:rPr>
        <w:t>. There is no evidence to support any disproportionality between the prejudice suffered and the late payment of rental. To the extent that the learned magistrate invoked the section 3</w:t>
      </w:r>
      <w:r w:rsidR="003B0130" w:rsidRPr="006A7B9C">
        <w:rPr>
          <w:rFonts w:ascii="Arial" w:eastAsia="Calibri" w:hAnsi="Arial" w:cs="Arial"/>
          <w:sz w:val="24"/>
          <w:szCs w:val="24"/>
        </w:rPr>
        <w:t xml:space="preserve"> of the Penalties Act</w:t>
      </w:r>
      <w:r w:rsidRPr="006A7B9C">
        <w:rPr>
          <w:rFonts w:ascii="Arial" w:eastAsia="Calibri" w:hAnsi="Arial" w:cs="Arial"/>
          <w:sz w:val="24"/>
          <w:szCs w:val="24"/>
        </w:rPr>
        <w:t xml:space="preserve"> discretionary powers, the learned magistrate erred. Therefore, the reduction of 5% cannot be upheld by this Court.</w:t>
      </w:r>
    </w:p>
    <w:p w14:paraId="1B3CD874" w14:textId="6E75E459" w:rsidR="00226DD1" w:rsidRDefault="00226DD1" w:rsidP="008D13A9">
      <w:pPr>
        <w:pStyle w:val="ListParagraph"/>
        <w:numPr>
          <w:ilvl w:val="0"/>
          <w:numId w:val="0"/>
        </w:numPr>
        <w:spacing w:before="0" w:after="0"/>
        <w:ind w:left="567"/>
        <w:rPr>
          <w:rFonts w:eastAsia="Calibri"/>
        </w:rPr>
      </w:pPr>
    </w:p>
    <w:p w14:paraId="3BC609B7" w14:textId="77777777" w:rsidR="003D06D6" w:rsidRPr="006A7B9C" w:rsidRDefault="003D06D6" w:rsidP="008D13A9">
      <w:pPr>
        <w:pStyle w:val="ListParagraph"/>
        <w:numPr>
          <w:ilvl w:val="0"/>
          <w:numId w:val="0"/>
        </w:numPr>
        <w:spacing w:before="0" w:after="0"/>
        <w:ind w:left="567"/>
        <w:rPr>
          <w:rFonts w:eastAsia="Calibri"/>
        </w:rPr>
      </w:pPr>
    </w:p>
    <w:p w14:paraId="0848921E" w14:textId="77777777" w:rsidR="00BC1020" w:rsidRPr="006A7B9C" w:rsidRDefault="00226DD1" w:rsidP="008D13A9">
      <w:pPr>
        <w:spacing w:after="0" w:line="360" w:lineRule="auto"/>
        <w:jc w:val="both"/>
        <w:rPr>
          <w:rFonts w:ascii="Arial" w:eastAsia="Calibri" w:hAnsi="Arial" w:cs="Arial"/>
          <w:sz w:val="24"/>
          <w:szCs w:val="24"/>
          <w:u w:val="single"/>
        </w:rPr>
      </w:pPr>
      <w:r w:rsidRPr="006A7B9C">
        <w:rPr>
          <w:rFonts w:ascii="Arial" w:eastAsia="Calibri" w:hAnsi="Arial" w:cs="Arial"/>
          <w:sz w:val="24"/>
          <w:szCs w:val="24"/>
          <w:u w:val="single"/>
        </w:rPr>
        <w:t>Concluding remarks</w:t>
      </w:r>
    </w:p>
    <w:p w14:paraId="631A304F" w14:textId="77777777" w:rsidR="00BC1020" w:rsidRPr="006A7B9C" w:rsidRDefault="00BC1020" w:rsidP="008D13A9">
      <w:pPr>
        <w:spacing w:after="0" w:line="360" w:lineRule="auto"/>
        <w:ind w:left="720"/>
        <w:jc w:val="both"/>
        <w:rPr>
          <w:rFonts w:ascii="Arial" w:eastAsia="Calibri" w:hAnsi="Arial" w:cs="Arial"/>
          <w:sz w:val="24"/>
          <w:szCs w:val="24"/>
        </w:rPr>
      </w:pPr>
    </w:p>
    <w:p w14:paraId="7EBC355D" w14:textId="77777777" w:rsidR="00226DD1" w:rsidRPr="006A7B9C" w:rsidRDefault="00BC1020" w:rsidP="008D13A9">
      <w:pPr>
        <w:numPr>
          <w:ilvl w:val="0"/>
          <w:numId w:val="32"/>
        </w:numPr>
        <w:tabs>
          <w:tab w:val="num" w:pos="360"/>
        </w:tabs>
        <w:spacing w:after="0" w:line="360" w:lineRule="auto"/>
        <w:ind w:left="720" w:hanging="720"/>
        <w:jc w:val="both"/>
        <w:rPr>
          <w:rFonts w:ascii="Arial" w:eastAsia="Calibri" w:hAnsi="Arial" w:cs="Arial"/>
          <w:sz w:val="24"/>
          <w:szCs w:val="24"/>
        </w:rPr>
      </w:pPr>
      <w:r w:rsidRPr="006A7B9C">
        <w:rPr>
          <w:rFonts w:ascii="Arial" w:eastAsia="Calibri" w:hAnsi="Arial" w:cs="Arial"/>
          <w:sz w:val="24"/>
          <w:szCs w:val="24"/>
        </w:rPr>
        <w:t xml:space="preserve">As demonstrated above, amendment; novation; and rectification are reliefs that cannot be ordered simultaneously. In fact, where a party seeks to novate a term in a contract there is an amendment and not novation. Novation replaces the old with the new. Rectification remedy cannot be used in order to enforce an amendment sought by one party. A clear principle is that rectification shall happen when there is a common mistake. On any interpretation, it cannot be said that when the parties agreed on a rental of R77 000.00, they committed a mistake common to each other. </w:t>
      </w:r>
      <w:r w:rsidR="00C90108" w:rsidRPr="006A7B9C">
        <w:rPr>
          <w:rFonts w:ascii="Arial" w:eastAsia="Calibri" w:hAnsi="Arial" w:cs="Arial"/>
          <w:sz w:val="24"/>
          <w:szCs w:val="24"/>
        </w:rPr>
        <w:t>On 1 March 2020, what happened was a compromise and not a common mistake with regard to the rental amount clause.</w:t>
      </w:r>
      <w:r w:rsidRPr="006A7B9C">
        <w:rPr>
          <w:rFonts w:ascii="Arial" w:eastAsia="Calibri" w:hAnsi="Arial" w:cs="Arial"/>
          <w:sz w:val="24"/>
          <w:szCs w:val="24"/>
        </w:rPr>
        <w:t xml:space="preserve"> So this Court expects care to be exercised by judicial officers when making</w:t>
      </w:r>
      <w:r w:rsidR="003B0130" w:rsidRPr="006A7B9C">
        <w:rPr>
          <w:rFonts w:ascii="Arial" w:eastAsia="Calibri" w:hAnsi="Arial" w:cs="Arial"/>
          <w:sz w:val="24"/>
          <w:szCs w:val="24"/>
        </w:rPr>
        <w:t xml:space="preserve"> Court</w:t>
      </w:r>
      <w:r w:rsidRPr="006A7B9C">
        <w:rPr>
          <w:rFonts w:ascii="Arial" w:eastAsia="Calibri" w:hAnsi="Arial" w:cs="Arial"/>
          <w:sz w:val="24"/>
          <w:szCs w:val="24"/>
        </w:rPr>
        <w:t xml:space="preserve"> orders.  </w:t>
      </w:r>
      <w:r w:rsidR="00226DD1" w:rsidRPr="006A7B9C">
        <w:rPr>
          <w:rFonts w:ascii="Arial" w:eastAsia="Calibri" w:hAnsi="Arial" w:cs="Arial"/>
          <w:sz w:val="24"/>
          <w:szCs w:val="24"/>
        </w:rPr>
        <w:t xml:space="preserve">  </w:t>
      </w:r>
    </w:p>
    <w:p w14:paraId="15583BDB" w14:textId="7B721B19" w:rsidR="007E49E9" w:rsidRDefault="00F8653F" w:rsidP="008D13A9">
      <w:pPr>
        <w:pStyle w:val="ListParagraph"/>
        <w:numPr>
          <w:ilvl w:val="0"/>
          <w:numId w:val="0"/>
        </w:numPr>
        <w:spacing w:before="0" w:after="0"/>
        <w:ind w:left="567"/>
        <w:rPr>
          <w:rFonts w:eastAsia="Calibri"/>
        </w:rPr>
      </w:pPr>
      <w:r w:rsidRPr="006A7B9C">
        <w:rPr>
          <w:rFonts w:eastAsia="Calibri"/>
        </w:rPr>
        <w:t xml:space="preserve"> </w:t>
      </w:r>
      <w:r w:rsidR="00864312" w:rsidRPr="006A7B9C">
        <w:rPr>
          <w:rFonts w:eastAsia="Calibri"/>
        </w:rPr>
        <w:t xml:space="preserve"> </w:t>
      </w:r>
      <w:r w:rsidR="00A91CEA" w:rsidRPr="006A7B9C">
        <w:rPr>
          <w:rFonts w:eastAsia="Calibri"/>
        </w:rPr>
        <w:t xml:space="preserve"> </w:t>
      </w:r>
      <w:r w:rsidR="00BD1A72" w:rsidRPr="006A7B9C">
        <w:rPr>
          <w:rFonts w:eastAsia="Calibri"/>
        </w:rPr>
        <w:t xml:space="preserve"> </w:t>
      </w:r>
      <w:r w:rsidR="007E49E9" w:rsidRPr="006A7B9C">
        <w:rPr>
          <w:rFonts w:eastAsia="Calibri"/>
        </w:rPr>
        <w:t xml:space="preserve"> </w:t>
      </w:r>
    </w:p>
    <w:p w14:paraId="74C0A0E1" w14:textId="77777777" w:rsidR="00167DB6" w:rsidRPr="00167DB6" w:rsidRDefault="00167DB6" w:rsidP="008D13A9">
      <w:pPr>
        <w:pStyle w:val="ListParagraph"/>
        <w:numPr>
          <w:ilvl w:val="0"/>
          <w:numId w:val="0"/>
        </w:numPr>
        <w:rPr>
          <w:rFonts w:eastAsia="Calibri"/>
          <w:u w:val="single"/>
        </w:rPr>
      </w:pPr>
      <w:r w:rsidRPr="00167DB6">
        <w:rPr>
          <w:rFonts w:eastAsia="Calibri"/>
          <w:u w:val="single"/>
        </w:rPr>
        <w:t>Order</w:t>
      </w:r>
    </w:p>
    <w:p w14:paraId="638681EB" w14:textId="4559A524" w:rsidR="00167DB6" w:rsidRDefault="00167DB6" w:rsidP="008D13A9">
      <w:pPr>
        <w:pStyle w:val="ListParagraph"/>
        <w:numPr>
          <w:ilvl w:val="0"/>
          <w:numId w:val="0"/>
        </w:numPr>
        <w:spacing w:before="0" w:after="0"/>
        <w:ind w:left="567"/>
        <w:rPr>
          <w:rFonts w:eastAsia="Calibri"/>
        </w:rPr>
      </w:pPr>
    </w:p>
    <w:p w14:paraId="74FCF8D4" w14:textId="77777777" w:rsidR="00F73FF3" w:rsidRPr="006A7B9C" w:rsidRDefault="00F73FF3" w:rsidP="008D13A9">
      <w:pPr>
        <w:numPr>
          <w:ilvl w:val="0"/>
          <w:numId w:val="32"/>
        </w:numPr>
        <w:tabs>
          <w:tab w:val="num" w:pos="360"/>
        </w:tabs>
        <w:spacing w:after="0" w:line="360" w:lineRule="auto"/>
        <w:ind w:left="720" w:hanging="720"/>
        <w:jc w:val="both"/>
        <w:rPr>
          <w:rFonts w:ascii="Arial" w:eastAsia="Calibri" w:hAnsi="Arial" w:cs="Arial"/>
          <w:sz w:val="24"/>
          <w:szCs w:val="24"/>
        </w:rPr>
      </w:pPr>
      <w:r w:rsidRPr="006A7B9C">
        <w:rPr>
          <w:rFonts w:ascii="Arial" w:eastAsia="Calibri" w:hAnsi="Arial" w:cs="Arial"/>
          <w:sz w:val="24"/>
          <w:szCs w:val="24"/>
        </w:rPr>
        <w:t>For all t</w:t>
      </w:r>
      <w:r w:rsidR="002B681C" w:rsidRPr="006A7B9C">
        <w:rPr>
          <w:rFonts w:ascii="Arial" w:eastAsia="Calibri" w:hAnsi="Arial" w:cs="Arial"/>
          <w:sz w:val="24"/>
          <w:szCs w:val="24"/>
        </w:rPr>
        <w:t xml:space="preserve">he above reasons, the </w:t>
      </w:r>
      <w:r w:rsidRPr="006A7B9C">
        <w:rPr>
          <w:rFonts w:ascii="Arial" w:eastAsia="Calibri" w:hAnsi="Arial" w:cs="Arial"/>
          <w:sz w:val="24"/>
          <w:szCs w:val="24"/>
        </w:rPr>
        <w:t>order</w:t>
      </w:r>
      <w:r w:rsidR="002B681C" w:rsidRPr="006A7B9C">
        <w:rPr>
          <w:rFonts w:ascii="Arial" w:eastAsia="Calibri" w:hAnsi="Arial" w:cs="Arial"/>
          <w:sz w:val="24"/>
          <w:szCs w:val="24"/>
        </w:rPr>
        <w:t xml:space="preserve"> set out above</w:t>
      </w:r>
      <w:r w:rsidRPr="006A7B9C">
        <w:rPr>
          <w:rFonts w:ascii="Arial" w:eastAsia="Calibri" w:hAnsi="Arial" w:cs="Arial"/>
          <w:sz w:val="24"/>
          <w:szCs w:val="24"/>
        </w:rPr>
        <w:t xml:space="preserve"> is made: </w:t>
      </w:r>
    </w:p>
    <w:p w14:paraId="5BA9DA51" w14:textId="77777777" w:rsidR="00167DB6" w:rsidRPr="006A7B9C" w:rsidRDefault="00167DB6" w:rsidP="00167DB6">
      <w:pPr>
        <w:spacing w:after="0" w:line="360" w:lineRule="auto"/>
        <w:ind w:left="720"/>
        <w:jc w:val="both"/>
        <w:rPr>
          <w:rFonts w:ascii="Arial" w:eastAsia="Calibri" w:hAnsi="Arial" w:cs="Arial"/>
          <w:sz w:val="24"/>
          <w:szCs w:val="24"/>
        </w:rPr>
      </w:pPr>
    </w:p>
    <w:p w14:paraId="1E292EAB" w14:textId="77777777" w:rsidR="00167DB6" w:rsidRPr="006A7B9C" w:rsidRDefault="00167DB6" w:rsidP="00167DB6">
      <w:pPr>
        <w:spacing w:after="0" w:line="360" w:lineRule="auto"/>
        <w:ind w:left="2007" w:hanging="567"/>
        <w:rPr>
          <w:rFonts w:ascii="Arial" w:eastAsia="Calibri" w:hAnsi="Arial" w:cs="Arial"/>
          <w:sz w:val="24"/>
          <w:szCs w:val="24"/>
        </w:rPr>
      </w:pPr>
      <w:r w:rsidRPr="006A7B9C">
        <w:rPr>
          <w:rFonts w:ascii="Arial" w:eastAsia="Calibri" w:hAnsi="Arial" w:cs="Arial"/>
          <w:sz w:val="24"/>
          <w:szCs w:val="24"/>
        </w:rPr>
        <w:lastRenderedPageBreak/>
        <w:t>1.1</w:t>
      </w:r>
      <w:r w:rsidRPr="006A7B9C">
        <w:rPr>
          <w:rFonts w:ascii="Arial" w:eastAsia="Calibri" w:hAnsi="Arial" w:cs="Arial"/>
          <w:sz w:val="24"/>
          <w:szCs w:val="24"/>
        </w:rPr>
        <w:tab/>
        <w:t>The appeal is upheld;</w:t>
      </w:r>
    </w:p>
    <w:p w14:paraId="2CF01669" w14:textId="77777777" w:rsidR="00167DB6" w:rsidRPr="006A7B9C" w:rsidRDefault="00167DB6" w:rsidP="00167DB6">
      <w:pPr>
        <w:spacing w:after="0" w:line="360" w:lineRule="auto"/>
        <w:ind w:left="2007" w:hanging="567"/>
        <w:rPr>
          <w:rFonts w:ascii="Arial" w:eastAsia="Calibri" w:hAnsi="Arial" w:cs="Arial"/>
          <w:sz w:val="24"/>
          <w:szCs w:val="24"/>
        </w:rPr>
      </w:pPr>
      <w:r w:rsidRPr="006A7B9C">
        <w:rPr>
          <w:rFonts w:ascii="Arial" w:eastAsia="Calibri" w:hAnsi="Arial" w:cs="Arial"/>
          <w:sz w:val="24"/>
          <w:szCs w:val="24"/>
        </w:rPr>
        <w:t>1.2</w:t>
      </w:r>
      <w:r w:rsidRPr="006A7B9C">
        <w:rPr>
          <w:rFonts w:ascii="Arial" w:eastAsia="Calibri" w:hAnsi="Arial" w:cs="Arial"/>
          <w:sz w:val="24"/>
          <w:szCs w:val="24"/>
        </w:rPr>
        <w:tab/>
        <w:t xml:space="preserve">The judgment and order of the Court </w:t>
      </w:r>
      <w:r w:rsidRPr="006A7B9C">
        <w:rPr>
          <w:rFonts w:ascii="Arial" w:eastAsia="Calibri" w:hAnsi="Arial" w:cs="Arial"/>
          <w:i/>
          <w:sz w:val="24"/>
          <w:szCs w:val="24"/>
        </w:rPr>
        <w:t>a quo</w:t>
      </w:r>
      <w:r w:rsidRPr="006A7B9C">
        <w:rPr>
          <w:rFonts w:ascii="Arial" w:eastAsia="Calibri" w:hAnsi="Arial" w:cs="Arial"/>
          <w:sz w:val="24"/>
          <w:szCs w:val="24"/>
        </w:rPr>
        <w:t xml:space="preserve"> baring the costs order is set aside;</w:t>
      </w:r>
    </w:p>
    <w:p w14:paraId="11988E24" w14:textId="77777777" w:rsidR="00167DB6" w:rsidRPr="006A7B9C" w:rsidRDefault="00167DB6" w:rsidP="00167DB6">
      <w:pPr>
        <w:spacing w:after="0" w:line="360" w:lineRule="auto"/>
        <w:ind w:left="2007" w:hanging="567"/>
        <w:rPr>
          <w:rFonts w:ascii="Arial" w:eastAsia="Calibri" w:hAnsi="Arial" w:cs="Arial"/>
          <w:sz w:val="24"/>
          <w:szCs w:val="24"/>
        </w:rPr>
      </w:pPr>
      <w:r w:rsidRPr="006A7B9C">
        <w:rPr>
          <w:rFonts w:ascii="Arial" w:eastAsia="Calibri" w:hAnsi="Arial" w:cs="Arial"/>
          <w:sz w:val="24"/>
          <w:szCs w:val="24"/>
        </w:rPr>
        <w:t>1.3</w:t>
      </w:r>
      <w:r w:rsidRPr="006A7B9C">
        <w:rPr>
          <w:rFonts w:ascii="Arial" w:eastAsia="Calibri" w:hAnsi="Arial" w:cs="Arial"/>
          <w:sz w:val="24"/>
          <w:szCs w:val="24"/>
        </w:rPr>
        <w:tab/>
        <w:t>It is replaced with the following:</w:t>
      </w:r>
    </w:p>
    <w:p w14:paraId="2491C64F" w14:textId="77777777" w:rsidR="00167DB6" w:rsidRPr="006A7B9C" w:rsidRDefault="00167DB6" w:rsidP="00167DB6">
      <w:pPr>
        <w:spacing w:after="0" w:line="360" w:lineRule="auto"/>
        <w:ind w:left="2007"/>
        <w:rPr>
          <w:rFonts w:ascii="Arial" w:eastAsia="Calibri" w:hAnsi="Arial" w:cs="Arial"/>
          <w:sz w:val="24"/>
          <w:szCs w:val="24"/>
        </w:rPr>
      </w:pPr>
      <w:r w:rsidRPr="006A7B9C">
        <w:rPr>
          <w:rFonts w:ascii="Arial" w:eastAsia="Calibri" w:hAnsi="Arial" w:cs="Arial"/>
          <w:sz w:val="24"/>
          <w:szCs w:val="24"/>
        </w:rPr>
        <w:t xml:space="preserve">1.3.1 </w:t>
      </w:r>
      <w:r w:rsidRPr="006A7B9C">
        <w:rPr>
          <w:rFonts w:ascii="Arial" w:eastAsia="Calibri" w:hAnsi="Arial" w:cs="Arial"/>
          <w:sz w:val="24"/>
          <w:szCs w:val="24"/>
        </w:rPr>
        <w:tab/>
        <w:t>The respondent is ordered to pay to the appellant:</w:t>
      </w:r>
    </w:p>
    <w:p w14:paraId="07718644" w14:textId="77777777" w:rsidR="00167DB6" w:rsidRPr="006A7B9C" w:rsidRDefault="00167DB6" w:rsidP="00167DB6">
      <w:pPr>
        <w:spacing w:after="0" w:line="360" w:lineRule="auto"/>
        <w:ind w:left="2007"/>
        <w:rPr>
          <w:rFonts w:ascii="Arial" w:eastAsia="Calibri" w:hAnsi="Arial" w:cs="Arial"/>
          <w:sz w:val="24"/>
          <w:szCs w:val="24"/>
        </w:rPr>
      </w:pPr>
      <w:r w:rsidRPr="006A7B9C">
        <w:rPr>
          <w:rFonts w:ascii="Arial" w:eastAsia="Calibri" w:hAnsi="Arial" w:cs="Arial"/>
          <w:sz w:val="24"/>
          <w:szCs w:val="24"/>
        </w:rPr>
        <w:t>1.3.1.1 An amount of R292 437.23 in respect of the arrear rental and penalties payable in terms of the lease agreement;</w:t>
      </w:r>
    </w:p>
    <w:p w14:paraId="29388FB5" w14:textId="77777777" w:rsidR="00167DB6" w:rsidRPr="006A7B9C" w:rsidRDefault="00167DB6" w:rsidP="00167DB6">
      <w:pPr>
        <w:spacing w:after="0" w:line="360" w:lineRule="auto"/>
        <w:ind w:left="2007"/>
        <w:rPr>
          <w:rFonts w:ascii="Arial" w:eastAsia="Calibri" w:hAnsi="Arial" w:cs="Arial"/>
          <w:sz w:val="24"/>
          <w:szCs w:val="24"/>
        </w:rPr>
      </w:pPr>
      <w:r w:rsidRPr="006A7B9C">
        <w:rPr>
          <w:rFonts w:ascii="Arial" w:eastAsia="Calibri" w:hAnsi="Arial" w:cs="Arial"/>
          <w:sz w:val="24"/>
          <w:szCs w:val="24"/>
        </w:rPr>
        <w:t>1.3.1.2</w:t>
      </w:r>
      <w:r w:rsidRPr="006A7B9C">
        <w:rPr>
          <w:rFonts w:ascii="Arial" w:eastAsia="Calibri" w:hAnsi="Arial" w:cs="Arial"/>
          <w:sz w:val="24"/>
          <w:szCs w:val="24"/>
        </w:rPr>
        <w:tab/>
        <w:t>The interest on the amount with effect from 10 July 2020 to date of payment;</w:t>
      </w:r>
    </w:p>
    <w:p w14:paraId="79EDE4A6" w14:textId="77777777" w:rsidR="00167DB6" w:rsidRPr="006A7B9C" w:rsidRDefault="00167DB6" w:rsidP="00167DB6">
      <w:pPr>
        <w:spacing w:after="0" w:line="360" w:lineRule="auto"/>
        <w:ind w:left="2007"/>
        <w:rPr>
          <w:rFonts w:ascii="Arial" w:eastAsia="Calibri" w:hAnsi="Arial" w:cs="Arial"/>
          <w:sz w:val="24"/>
          <w:szCs w:val="24"/>
        </w:rPr>
      </w:pPr>
      <w:r w:rsidRPr="006A7B9C">
        <w:rPr>
          <w:rFonts w:ascii="Arial" w:eastAsia="Calibri" w:hAnsi="Arial" w:cs="Arial"/>
          <w:sz w:val="24"/>
          <w:szCs w:val="24"/>
        </w:rPr>
        <w:t>1.3.1.3</w:t>
      </w:r>
      <w:r w:rsidRPr="006A7B9C">
        <w:rPr>
          <w:rFonts w:ascii="Arial" w:eastAsia="Calibri" w:hAnsi="Arial" w:cs="Arial"/>
          <w:sz w:val="24"/>
          <w:szCs w:val="24"/>
        </w:rPr>
        <w:tab/>
        <w:t xml:space="preserve">The costs of the appeal, on a scale of attorney and client in accordance with the provisions of the lease agreement. </w:t>
      </w:r>
    </w:p>
    <w:p w14:paraId="27E2C6AB" w14:textId="570C797D" w:rsidR="00F4544E" w:rsidRDefault="00F4544E" w:rsidP="00167DB6">
      <w:pPr>
        <w:spacing w:after="0" w:line="360" w:lineRule="auto"/>
        <w:jc w:val="both"/>
        <w:rPr>
          <w:rFonts w:ascii="Arial" w:eastAsia="Calibri" w:hAnsi="Arial" w:cs="Arial"/>
          <w:sz w:val="24"/>
          <w:szCs w:val="24"/>
          <w:u w:val="single"/>
        </w:rPr>
      </w:pPr>
    </w:p>
    <w:p w14:paraId="149D8801" w14:textId="771BC917" w:rsidR="00A64544" w:rsidRDefault="00A64544" w:rsidP="00167DB6">
      <w:pPr>
        <w:spacing w:after="0" w:line="360" w:lineRule="auto"/>
        <w:jc w:val="both"/>
        <w:rPr>
          <w:rFonts w:ascii="Arial" w:eastAsia="Calibri" w:hAnsi="Arial" w:cs="Arial"/>
          <w:sz w:val="24"/>
          <w:szCs w:val="24"/>
          <w:u w:val="single"/>
        </w:rPr>
      </w:pPr>
    </w:p>
    <w:p w14:paraId="7FFE5D41" w14:textId="77777777" w:rsidR="00A64544" w:rsidRPr="006A7B9C" w:rsidRDefault="00A64544" w:rsidP="00167DB6">
      <w:pPr>
        <w:spacing w:after="0" w:line="360" w:lineRule="auto"/>
        <w:jc w:val="both"/>
        <w:rPr>
          <w:rFonts w:ascii="Arial" w:eastAsia="Calibri" w:hAnsi="Arial" w:cs="Arial"/>
          <w:sz w:val="24"/>
          <w:szCs w:val="24"/>
          <w:u w:val="single"/>
        </w:rPr>
      </w:pPr>
    </w:p>
    <w:p w14:paraId="41EC4618" w14:textId="77777777" w:rsidR="00F36A7E" w:rsidRPr="006A7B9C" w:rsidRDefault="00F36A7E" w:rsidP="008D13A9">
      <w:pPr>
        <w:pStyle w:val="Judgmentparagraph"/>
        <w:numPr>
          <w:ilvl w:val="0"/>
          <w:numId w:val="0"/>
        </w:numPr>
        <w:spacing w:before="0" w:after="0"/>
      </w:pPr>
    </w:p>
    <w:p w14:paraId="2049D47F" w14:textId="77777777" w:rsidR="004F3075" w:rsidRPr="006A7B9C" w:rsidRDefault="00940E1B" w:rsidP="008D13A9">
      <w:pPr>
        <w:tabs>
          <w:tab w:val="left" w:pos="4917"/>
        </w:tabs>
        <w:spacing w:after="0" w:line="360" w:lineRule="auto"/>
        <w:ind w:left="397" w:hanging="397"/>
        <w:jc w:val="right"/>
        <w:rPr>
          <w:rFonts w:ascii="Arial" w:hAnsi="Arial" w:cs="Arial"/>
          <w:sz w:val="24"/>
          <w:szCs w:val="24"/>
        </w:rPr>
      </w:pPr>
      <w:r w:rsidRPr="006A7B9C">
        <w:rPr>
          <w:rFonts w:ascii="Arial" w:hAnsi="Arial" w:cs="Arial"/>
          <w:sz w:val="24"/>
          <w:szCs w:val="24"/>
        </w:rPr>
        <w:tab/>
      </w:r>
      <w:r w:rsidRPr="006A7B9C">
        <w:rPr>
          <w:rFonts w:ascii="Arial" w:hAnsi="Arial" w:cs="Arial"/>
          <w:sz w:val="24"/>
          <w:szCs w:val="24"/>
        </w:rPr>
        <w:tab/>
      </w:r>
      <w:r w:rsidR="004F3075" w:rsidRPr="006A7B9C">
        <w:rPr>
          <w:rFonts w:ascii="Arial" w:hAnsi="Arial" w:cs="Arial"/>
          <w:sz w:val="24"/>
          <w:szCs w:val="24"/>
        </w:rPr>
        <w:t>____________________________</w:t>
      </w:r>
    </w:p>
    <w:p w14:paraId="4B69D471" w14:textId="77777777" w:rsidR="00C77D77" w:rsidRPr="006A7B9C" w:rsidRDefault="00F36A7E" w:rsidP="008D13A9">
      <w:pPr>
        <w:tabs>
          <w:tab w:val="left" w:pos="4917"/>
        </w:tabs>
        <w:spacing w:after="0" w:line="360" w:lineRule="auto"/>
        <w:ind w:left="397" w:hanging="397"/>
        <w:jc w:val="right"/>
        <w:rPr>
          <w:rFonts w:ascii="Arial" w:hAnsi="Arial" w:cs="Arial"/>
          <w:sz w:val="24"/>
          <w:szCs w:val="24"/>
        </w:rPr>
      </w:pPr>
      <w:r w:rsidRPr="006A7B9C">
        <w:rPr>
          <w:rFonts w:ascii="Arial" w:hAnsi="Arial" w:cs="Arial"/>
          <w:sz w:val="24"/>
          <w:szCs w:val="24"/>
        </w:rPr>
        <w:tab/>
      </w:r>
      <w:r w:rsidRPr="006A7B9C">
        <w:rPr>
          <w:rFonts w:ascii="Arial" w:hAnsi="Arial" w:cs="Arial"/>
          <w:sz w:val="24"/>
          <w:szCs w:val="24"/>
        </w:rPr>
        <w:tab/>
      </w:r>
      <w:r w:rsidR="00573BB9" w:rsidRPr="006A7B9C">
        <w:rPr>
          <w:rFonts w:ascii="Arial" w:hAnsi="Arial" w:cs="Arial"/>
          <w:sz w:val="24"/>
          <w:szCs w:val="24"/>
        </w:rPr>
        <w:tab/>
      </w:r>
      <w:r w:rsidR="00573BB9" w:rsidRPr="006A7B9C">
        <w:rPr>
          <w:rFonts w:ascii="Arial" w:hAnsi="Arial" w:cs="Arial"/>
          <w:sz w:val="24"/>
          <w:szCs w:val="24"/>
        </w:rPr>
        <w:tab/>
      </w:r>
      <w:r w:rsidR="00573BB9" w:rsidRPr="006A7B9C">
        <w:rPr>
          <w:rFonts w:ascii="Arial" w:hAnsi="Arial" w:cs="Arial"/>
          <w:sz w:val="24"/>
          <w:szCs w:val="24"/>
        </w:rPr>
        <w:tab/>
      </w:r>
      <w:r w:rsidR="00573BB9" w:rsidRPr="006A7B9C">
        <w:rPr>
          <w:rFonts w:ascii="Arial" w:hAnsi="Arial" w:cs="Arial"/>
          <w:sz w:val="24"/>
          <w:szCs w:val="24"/>
        </w:rPr>
        <w:tab/>
        <w:t xml:space="preserve">     </w:t>
      </w:r>
      <w:r w:rsidRPr="006A7B9C">
        <w:rPr>
          <w:rFonts w:ascii="Arial" w:hAnsi="Arial" w:cs="Arial"/>
          <w:sz w:val="24"/>
          <w:szCs w:val="24"/>
        </w:rPr>
        <w:t xml:space="preserve">MOSHOANA </w:t>
      </w:r>
      <w:r w:rsidR="00C77D77" w:rsidRPr="006A7B9C">
        <w:rPr>
          <w:rFonts w:ascii="Arial" w:hAnsi="Arial" w:cs="Arial"/>
          <w:sz w:val="24"/>
          <w:szCs w:val="24"/>
        </w:rPr>
        <w:t>J</w:t>
      </w:r>
    </w:p>
    <w:p w14:paraId="3607D7C1" w14:textId="77777777" w:rsidR="00C27AAF" w:rsidRPr="006A7B9C" w:rsidRDefault="0049094D" w:rsidP="008D13A9">
      <w:pPr>
        <w:tabs>
          <w:tab w:val="left" w:pos="4917"/>
        </w:tabs>
        <w:spacing w:after="0" w:line="360" w:lineRule="auto"/>
        <w:ind w:left="357"/>
        <w:rPr>
          <w:rFonts w:ascii="Arial" w:hAnsi="Arial" w:cs="Arial"/>
          <w:sz w:val="24"/>
          <w:szCs w:val="24"/>
        </w:rPr>
      </w:pPr>
      <w:r w:rsidRPr="006A7B9C">
        <w:rPr>
          <w:rFonts w:ascii="Arial" w:hAnsi="Arial" w:cs="Arial"/>
          <w:sz w:val="24"/>
          <w:szCs w:val="24"/>
        </w:rPr>
        <w:t xml:space="preserve">I concur </w:t>
      </w:r>
    </w:p>
    <w:p w14:paraId="65ECE5BF" w14:textId="77777777" w:rsidR="00C27AAF" w:rsidRPr="006A7B9C" w:rsidRDefault="00C27AAF" w:rsidP="008D13A9">
      <w:pPr>
        <w:tabs>
          <w:tab w:val="left" w:pos="4917"/>
        </w:tabs>
        <w:spacing w:after="0" w:line="360" w:lineRule="auto"/>
        <w:ind w:left="397" w:hanging="397"/>
        <w:jc w:val="right"/>
        <w:rPr>
          <w:rFonts w:ascii="Arial" w:hAnsi="Arial" w:cs="Arial"/>
          <w:sz w:val="24"/>
          <w:szCs w:val="24"/>
        </w:rPr>
      </w:pPr>
      <w:r w:rsidRPr="006A7B9C">
        <w:rPr>
          <w:rFonts w:ascii="Arial" w:hAnsi="Arial" w:cs="Arial"/>
          <w:sz w:val="24"/>
          <w:szCs w:val="24"/>
        </w:rPr>
        <w:t xml:space="preserve">____________________________ </w:t>
      </w:r>
    </w:p>
    <w:p w14:paraId="4C36BA09" w14:textId="77777777" w:rsidR="00C226BF" w:rsidRPr="006A7B9C" w:rsidRDefault="0049094D" w:rsidP="008D13A9">
      <w:pPr>
        <w:tabs>
          <w:tab w:val="left" w:pos="4917"/>
        </w:tabs>
        <w:spacing w:after="0" w:line="360" w:lineRule="auto"/>
        <w:ind w:left="357"/>
        <w:jc w:val="right"/>
        <w:rPr>
          <w:rFonts w:ascii="Arial" w:hAnsi="Arial" w:cs="Arial"/>
          <w:sz w:val="24"/>
          <w:szCs w:val="24"/>
        </w:rPr>
      </w:pPr>
      <w:r w:rsidRPr="006A7B9C">
        <w:rPr>
          <w:rFonts w:ascii="Arial" w:hAnsi="Arial" w:cs="Arial"/>
          <w:sz w:val="24"/>
          <w:szCs w:val="24"/>
        </w:rPr>
        <w:t>CAJEE AJ</w:t>
      </w:r>
      <w:r w:rsidR="00E00107" w:rsidRPr="006A7B9C">
        <w:rPr>
          <w:rFonts w:ascii="Arial" w:hAnsi="Arial" w:cs="Arial"/>
          <w:sz w:val="24"/>
          <w:szCs w:val="24"/>
        </w:rPr>
        <w:t xml:space="preserve"> </w:t>
      </w:r>
    </w:p>
    <w:p w14:paraId="6A8BC974" w14:textId="77777777" w:rsidR="00C226BF" w:rsidRPr="006A7B9C" w:rsidRDefault="00C226BF" w:rsidP="008D13A9">
      <w:pPr>
        <w:tabs>
          <w:tab w:val="left" w:pos="4917"/>
        </w:tabs>
        <w:spacing w:after="0" w:line="360" w:lineRule="auto"/>
        <w:ind w:left="357"/>
        <w:jc w:val="right"/>
        <w:rPr>
          <w:rFonts w:ascii="Arial" w:hAnsi="Arial" w:cs="Arial"/>
          <w:sz w:val="24"/>
          <w:szCs w:val="24"/>
        </w:rPr>
      </w:pPr>
    </w:p>
    <w:p w14:paraId="0FBC4D59" w14:textId="77777777" w:rsidR="00C226BF" w:rsidRPr="006A7B9C" w:rsidRDefault="00C226BF" w:rsidP="008D13A9">
      <w:pPr>
        <w:tabs>
          <w:tab w:val="left" w:pos="4917"/>
        </w:tabs>
        <w:spacing w:after="0" w:line="360" w:lineRule="auto"/>
        <w:rPr>
          <w:rFonts w:ascii="Arial" w:hAnsi="Arial" w:cs="Arial"/>
          <w:sz w:val="24"/>
          <w:szCs w:val="24"/>
        </w:rPr>
      </w:pPr>
    </w:p>
    <w:p w14:paraId="45EFF984" w14:textId="77777777" w:rsidR="00970918" w:rsidRPr="006A7B9C" w:rsidRDefault="00970918" w:rsidP="0019783A">
      <w:pPr>
        <w:tabs>
          <w:tab w:val="left" w:pos="4917"/>
        </w:tabs>
        <w:spacing w:after="0" w:line="360" w:lineRule="auto"/>
        <w:jc w:val="right"/>
        <w:rPr>
          <w:rFonts w:ascii="Arial" w:hAnsi="Arial" w:cs="Arial"/>
          <w:sz w:val="24"/>
          <w:szCs w:val="24"/>
        </w:rPr>
      </w:pPr>
    </w:p>
    <w:p w14:paraId="224420E9" w14:textId="77777777" w:rsidR="00EE6519" w:rsidRPr="006A7B9C" w:rsidRDefault="007626D8">
      <w:pPr>
        <w:tabs>
          <w:tab w:val="left" w:pos="4917"/>
        </w:tabs>
        <w:spacing w:after="0" w:line="360" w:lineRule="auto"/>
        <w:rPr>
          <w:rFonts w:ascii="Arial" w:hAnsi="Arial" w:cs="Arial"/>
          <w:sz w:val="24"/>
          <w:szCs w:val="24"/>
        </w:rPr>
      </w:pPr>
      <w:r w:rsidRPr="006A7B9C">
        <w:rPr>
          <w:rFonts w:ascii="Arial" w:hAnsi="Arial" w:cs="Arial"/>
          <w:sz w:val="24"/>
          <w:szCs w:val="24"/>
        </w:rPr>
        <w:t>APPEARANCES:</w:t>
      </w:r>
    </w:p>
    <w:p w14:paraId="2AAF49F6" w14:textId="77777777" w:rsidR="00C27AAF" w:rsidRPr="006A7B9C" w:rsidRDefault="00C27AAF">
      <w:pPr>
        <w:tabs>
          <w:tab w:val="left" w:pos="4917"/>
        </w:tabs>
        <w:spacing w:after="0" w:line="360" w:lineRule="auto"/>
        <w:ind w:left="4917" w:hanging="4917"/>
        <w:rPr>
          <w:rFonts w:ascii="Arial" w:hAnsi="Arial" w:cs="Arial"/>
          <w:bCs/>
          <w:sz w:val="24"/>
          <w:szCs w:val="24"/>
        </w:rPr>
      </w:pPr>
      <w:r w:rsidRPr="006A7B9C">
        <w:rPr>
          <w:rFonts w:ascii="Arial" w:hAnsi="Arial" w:cs="Arial"/>
          <w:sz w:val="24"/>
          <w:szCs w:val="24"/>
        </w:rPr>
        <w:t xml:space="preserve">Counsel for the Appellant         : </w:t>
      </w:r>
      <w:r w:rsidRPr="006A7B9C">
        <w:rPr>
          <w:rFonts w:ascii="Arial" w:eastAsia="Times New Roman" w:hAnsi="Arial" w:cs="Arial"/>
          <w:sz w:val="24"/>
          <w:szCs w:val="24"/>
          <w:lang w:eastAsia="en-GB"/>
        </w:rPr>
        <w:t>Adv. N.G. Louw</w:t>
      </w:r>
      <w:r w:rsidRPr="006A7B9C">
        <w:rPr>
          <w:rFonts w:ascii="Arial" w:hAnsi="Arial" w:cs="Arial"/>
          <w:sz w:val="24"/>
          <w:szCs w:val="24"/>
        </w:rPr>
        <w:tab/>
      </w:r>
      <w:r w:rsidRPr="006A7B9C">
        <w:rPr>
          <w:rFonts w:ascii="Arial" w:hAnsi="Arial" w:cs="Arial"/>
          <w:sz w:val="24"/>
          <w:szCs w:val="24"/>
        </w:rPr>
        <w:tab/>
      </w:r>
    </w:p>
    <w:p w14:paraId="21B52881" w14:textId="77777777" w:rsidR="00C27AAF" w:rsidRPr="006A7B9C" w:rsidRDefault="00C27AAF">
      <w:pPr>
        <w:tabs>
          <w:tab w:val="left" w:pos="4917"/>
        </w:tabs>
        <w:spacing w:after="0" w:line="360" w:lineRule="auto"/>
        <w:ind w:left="4917" w:hanging="4917"/>
        <w:rPr>
          <w:rFonts w:ascii="Arial" w:hAnsi="Arial" w:cs="Arial"/>
          <w:sz w:val="24"/>
          <w:szCs w:val="24"/>
        </w:rPr>
      </w:pPr>
      <w:r w:rsidRPr="006A7B9C">
        <w:rPr>
          <w:rFonts w:ascii="Arial" w:hAnsi="Arial" w:cs="Arial"/>
          <w:sz w:val="24"/>
          <w:szCs w:val="24"/>
        </w:rPr>
        <w:t>Instructed by                             : Manley Inc</w:t>
      </w:r>
      <w:r w:rsidRPr="006A7B9C">
        <w:rPr>
          <w:rFonts w:ascii="Arial" w:hAnsi="Arial" w:cs="Arial"/>
          <w:sz w:val="24"/>
          <w:szCs w:val="24"/>
        </w:rPr>
        <w:tab/>
      </w:r>
    </w:p>
    <w:p w14:paraId="3DDF90F0" w14:textId="77777777" w:rsidR="00C27AAF" w:rsidRPr="006A7B9C" w:rsidRDefault="00C27AAF">
      <w:pPr>
        <w:tabs>
          <w:tab w:val="left" w:pos="4917"/>
        </w:tabs>
        <w:spacing w:after="0" w:line="360" w:lineRule="auto"/>
        <w:ind w:left="4917" w:hanging="4917"/>
        <w:rPr>
          <w:rFonts w:ascii="Arial" w:hAnsi="Arial" w:cs="Arial"/>
          <w:sz w:val="24"/>
          <w:szCs w:val="24"/>
        </w:rPr>
      </w:pPr>
      <w:r w:rsidRPr="006A7B9C">
        <w:rPr>
          <w:rFonts w:ascii="Arial" w:hAnsi="Arial" w:cs="Arial"/>
          <w:sz w:val="24"/>
          <w:szCs w:val="24"/>
        </w:rPr>
        <w:t>Counsel for the Respondent    : Adv. R.A. Britz</w:t>
      </w:r>
    </w:p>
    <w:p w14:paraId="44C82A3E" w14:textId="77777777" w:rsidR="00C27AAF" w:rsidRPr="006A7B9C" w:rsidRDefault="00C27AAF">
      <w:pPr>
        <w:tabs>
          <w:tab w:val="left" w:pos="4917"/>
        </w:tabs>
        <w:spacing w:after="0" w:line="360" w:lineRule="auto"/>
        <w:ind w:left="4917" w:hanging="4917"/>
        <w:rPr>
          <w:rFonts w:ascii="Arial" w:hAnsi="Arial" w:cs="Arial"/>
          <w:sz w:val="24"/>
          <w:szCs w:val="24"/>
        </w:rPr>
      </w:pPr>
      <w:r w:rsidRPr="006A7B9C">
        <w:rPr>
          <w:rFonts w:ascii="Arial" w:hAnsi="Arial" w:cs="Arial"/>
          <w:sz w:val="24"/>
          <w:szCs w:val="24"/>
        </w:rPr>
        <w:t>Instructed by                            : NJVR Attorneys</w:t>
      </w:r>
    </w:p>
    <w:p w14:paraId="4E096B4F" w14:textId="61C89D29" w:rsidR="00C27AAF" w:rsidRPr="006A7B9C" w:rsidRDefault="00C27AAF">
      <w:pPr>
        <w:tabs>
          <w:tab w:val="left" w:pos="4917"/>
        </w:tabs>
        <w:spacing w:after="0" w:line="360" w:lineRule="auto"/>
        <w:ind w:left="4917" w:hanging="4917"/>
        <w:rPr>
          <w:rFonts w:ascii="Arial" w:hAnsi="Arial" w:cs="Arial"/>
          <w:sz w:val="24"/>
          <w:szCs w:val="24"/>
        </w:rPr>
      </w:pPr>
      <w:r w:rsidRPr="006A7B9C">
        <w:rPr>
          <w:rFonts w:ascii="Arial" w:hAnsi="Arial" w:cs="Arial"/>
          <w:sz w:val="24"/>
          <w:szCs w:val="24"/>
        </w:rPr>
        <w:t xml:space="preserve">Date of the hearing                  </w:t>
      </w:r>
      <w:r w:rsidR="00B77E88">
        <w:rPr>
          <w:rFonts w:ascii="Arial" w:hAnsi="Arial" w:cs="Arial"/>
          <w:sz w:val="24"/>
          <w:szCs w:val="24"/>
        </w:rPr>
        <w:t>:</w:t>
      </w:r>
      <w:r w:rsidR="00B77E88" w:rsidRPr="006A7B9C">
        <w:rPr>
          <w:rFonts w:ascii="Arial" w:hAnsi="Arial" w:cs="Arial"/>
          <w:sz w:val="24"/>
          <w:szCs w:val="24"/>
        </w:rPr>
        <w:t xml:space="preserve"> 17</w:t>
      </w:r>
      <w:r w:rsidRPr="006A7B9C">
        <w:rPr>
          <w:rFonts w:ascii="Arial" w:hAnsi="Arial" w:cs="Arial"/>
          <w:sz w:val="24"/>
          <w:szCs w:val="24"/>
        </w:rPr>
        <w:t xml:space="preserve"> November 2022</w:t>
      </w:r>
      <w:r w:rsidRPr="006A7B9C">
        <w:rPr>
          <w:rFonts w:ascii="Arial" w:hAnsi="Arial" w:cs="Arial"/>
          <w:sz w:val="24"/>
          <w:szCs w:val="24"/>
        </w:rPr>
        <w:tab/>
      </w:r>
    </w:p>
    <w:p w14:paraId="5A6686EC" w14:textId="14DE945F" w:rsidR="00AB30C9" w:rsidRPr="006A7B9C" w:rsidRDefault="00C27AAF">
      <w:pPr>
        <w:tabs>
          <w:tab w:val="left" w:pos="4917"/>
        </w:tabs>
        <w:spacing w:after="0" w:line="360" w:lineRule="auto"/>
        <w:ind w:left="4917" w:hanging="4917"/>
        <w:rPr>
          <w:rFonts w:ascii="Arial" w:hAnsi="Arial" w:cs="Arial"/>
          <w:sz w:val="24"/>
          <w:szCs w:val="24"/>
        </w:rPr>
      </w:pPr>
      <w:r w:rsidRPr="006A7B9C">
        <w:rPr>
          <w:rFonts w:ascii="Arial" w:hAnsi="Arial" w:cs="Arial"/>
          <w:sz w:val="24"/>
          <w:szCs w:val="24"/>
        </w:rPr>
        <w:t>Date of judgment                     :</w:t>
      </w:r>
      <w:r w:rsidR="00D8618B">
        <w:rPr>
          <w:rFonts w:ascii="Arial" w:hAnsi="Arial" w:cs="Arial"/>
          <w:sz w:val="24"/>
          <w:szCs w:val="24"/>
        </w:rPr>
        <w:t xml:space="preserve"> 02</w:t>
      </w:r>
      <w:r w:rsidR="00B77E88">
        <w:rPr>
          <w:rFonts w:ascii="Arial" w:hAnsi="Arial" w:cs="Arial"/>
          <w:sz w:val="24"/>
          <w:szCs w:val="24"/>
        </w:rPr>
        <w:t xml:space="preserve"> December 2022</w:t>
      </w:r>
      <w:r w:rsidR="00BE029D" w:rsidRPr="006A7B9C">
        <w:rPr>
          <w:rFonts w:ascii="Arial" w:hAnsi="Arial" w:cs="Arial"/>
          <w:sz w:val="24"/>
          <w:szCs w:val="24"/>
        </w:rPr>
        <w:tab/>
      </w:r>
      <w:r w:rsidR="00CF7942" w:rsidRPr="006A7B9C">
        <w:rPr>
          <w:rFonts w:ascii="Arial" w:hAnsi="Arial" w:cs="Arial"/>
          <w:sz w:val="24"/>
          <w:szCs w:val="24"/>
        </w:rPr>
        <w:tab/>
      </w:r>
      <w:r w:rsidR="003649CD" w:rsidRPr="006A7B9C">
        <w:rPr>
          <w:rFonts w:ascii="Arial" w:hAnsi="Arial" w:cs="Arial"/>
          <w:sz w:val="24"/>
          <w:szCs w:val="24"/>
        </w:rPr>
        <w:tab/>
      </w:r>
    </w:p>
    <w:sectPr w:rsidR="00AB30C9" w:rsidRPr="006A7B9C" w:rsidSect="00065E8F">
      <w:headerReference w:type="default" r:id="rId13"/>
      <w:footerReference w:type="default" r:id="rId14"/>
      <w:footerReference w:type="first" r:id="rId15"/>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C78AE" w14:textId="77777777" w:rsidR="005A1F7E" w:rsidRDefault="005A1F7E">
      <w:pPr>
        <w:spacing w:after="0" w:line="240" w:lineRule="auto"/>
      </w:pPr>
      <w:r>
        <w:separator/>
      </w:r>
    </w:p>
  </w:endnote>
  <w:endnote w:type="continuationSeparator" w:id="0">
    <w:p w14:paraId="231CF43C" w14:textId="77777777" w:rsidR="005A1F7E" w:rsidRDefault="005A1F7E">
      <w:pPr>
        <w:spacing w:after="0" w:line="240" w:lineRule="auto"/>
      </w:pPr>
      <w:r>
        <w:continuationSeparator/>
      </w:r>
    </w:p>
  </w:endnote>
  <w:endnote w:type="continuationNotice" w:id="1">
    <w:p w14:paraId="283DCEAE" w14:textId="77777777" w:rsidR="005A1F7E" w:rsidRDefault="005A1F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403757"/>
      <w:docPartObj>
        <w:docPartGallery w:val="Page Numbers (Bottom of Page)"/>
        <w:docPartUnique/>
      </w:docPartObj>
    </w:sdtPr>
    <w:sdtEndPr>
      <w:rPr>
        <w:noProof/>
      </w:rPr>
    </w:sdtEndPr>
    <w:sdtContent>
      <w:p w14:paraId="3B7DFCC2" w14:textId="25078D4C" w:rsidR="00B741D6" w:rsidRDefault="00B741D6">
        <w:pPr>
          <w:pStyle w:val="Footer"/>
          <w:jc w:val="center"/>
        </w:pPr>
        <w:r w:rsidRPr="00CD0D31">
          <w:rPr>
            <w:rFonts w:ascii="Arial" w:hAnsi="Arial" w:cs="Arial"/>
            <w:sz w:val="24"/>
            <w:szCs w:val="24"/>
          </w:rPr>
          <w:fldChar w:fldCharType="begin"/>
        </w:r>
        <w:r w:rsidRPr="00CD0D31">
          <w:rPr>
            <w:rFonts w:ascii="Arial" w:hAnsi="Arial" w:cs="Arial"/>
            <w:sz w:val="24"/>
            <w:szCs w:val="24"/>
          </w:rPr>
          <w:instrText xml:space="preserve"> PAGE   \* MERGEFORMAT </w:instrText>
        </w:r>
        <w:r w:rsidRPr="00CD0D31">
          <w:rPr>
            <w:rFonts w:ascii="Arial" w:hAnsi="Arial" w:cs="Arial"/>
            <w:sz w:val="24"/>
            <w:szCs w:val="24"/>
          </w:rPr>
          <w:fldChar w:fldCharType="separate"/>
        </w:r>
        <w:r w:rsidR="00563ECB">
          <w:rPr>
            <w:rFonts w:ascii="Arial" w:hAnsi="Arial" w:cs="Arial"/>
            <w:noProof/>
            <w:sz w:val="24"/>
            <w:szCs w:val="24"/>
          </w:rPr>
          <w:t>2</w:t>
        </w:r>
        <w:r w:rsidRPr="00CD0D31">
          <w:rPr>
            <w:rFonts w:ascii="Arial" w:hAnsi="Arial" w:cs="Arial"/>
            <w:noProof/>
            <w:sz w:val="24"/>
            <w:szCs w:val="24"/>
          </w:rPr>
          <w:fldChar w:fldCharType="end"/>
        </w:r>
      </w:p>
    </w:sdtContent>
  </w:sdt>
  <w:p w14:paraId="6B5674A4" w14:textId="77777777" w:rsidR="00B741D6" w:rsidRDefault="00B741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1097486259"/>
      <w:docPartObj>
        <w:docPartGallery w:val="Page Numbers (Bottom of Page)"/>
        <w:docPartUnique/>
      </w:docPartObj>
    </w:sdtPr>
    <w:sdtEndPr/>
    <w:sdtContent>
      <w:p w14:paraId="31818CE8" w14:textId="51577BE0" w:rsidR="00B741D6" w:rsidRPr="005F074E" w:rsidRDefault="00B741D6">
        <w:pPr>
          <w:pStyle w:val="Footer"/>
          <w:jc w:val="center"/>
          <w:rPr>
            <w:rFonts w:ascii="Arial" w:hAnsi="Arial" w:cs="Arial"/>
            <w:sz w:val="24"/>
            <w:szCs w:val="24"/>
          </w:rPr>
        </w:pPr>
        <w:r w:rsidRPr="005F074E">
          <w:rPr>
            <w:rFonts w:ascii="Arial" w:hAnsi="Arial" w:cs="Arial"/>
            <w:sz w:val="24"/>
            <w:szCs w:val="24"/>
          </w:rPr>
          <w:fldChar w:fldCharType="begin"/>
        </w:r>
        <w:r w:rsidRPr="005F074E">
          <w:rPr>
            <w:rFonts w:ascii="Arial" w:hAnsi="Arial" w:cs="Arial"/>
            <w:sz w:val="24"/>
            <w:szCs w:val="24"/>
          </w:rPr>
          <w:instrText>PAGE   \* MERGEFORMAT</w:instrText>
        </w:r>
        <w:r w:rsidRPr="005F074E">
          <w:rPr>
            <w:rFonts w:ascii="Arial" w:hAnsi="Arial" w:cs="Arial"/>
            <w:sz w:val="24"/>
            <w:szCs w:val="24"/>
          </w:rPr>
          <w:fldChar w:fldCharType="separate"/>
        </w:r>
        <w:r w:rsidR="00563ECB" w:rsidRPr="00563ECB">
          <w:rPr>
            <w:rFonts w:ascii="Arial" w:hAnsi="Arial" w:cs="Arial"/>
            <w:noProof/>
            <w:sz w:val="24"/>
            <w:szCs w:val="24"/>
            <w:lang w:val="af-ZA"/>
          </w:rPr>
          <w:t>1</w:t>
        </w:r>
        <w:r w:rsidRPr="005F074E">
          <w:rPr>
            <w:rFonts w:ascii="Arial" w:hAnsi="Arial" w:cs="Arial"/>
            <w:sz w:val="24"/>
            <w:szCs w:val="24"/>
          </w:rPr>
          <w:fldChar w:fldCharType="end"/>
        </w:r>
      </w:p>
    </w:sdtContent>
  </w:sdt>
  <w:p w14:paraId="52076331" w14:textId="77777777" w:rsidR="00B741D6" w:rsidRPr="005F074E" w:rsidRDefault="00B741D6">
    <w:pPr>
      <w:pStyle w:val="Footer"/>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8BF84" w14:textId="77777777" w:rsidR="005A1F7E" w:rsidRDefault="005A1F7E">
      <w:pPr>
        <w:spacing w:after="0" w:line="240" w:lineRule="auto"/>
      </w:pPr>
      <w:r>
        <w:separator/>
      </w:r>
    </w:p>
  </w:footnote>
  <w:footnote w:type="continuationSeparator" w:id="0">
    <w:p w14:paraId="62CA0775" w14:textId="77777777" w:rsidR="005A1F7E" w:rsidRDefault="005A1F7E">
      <w:pPr>
        <w:spacing w:after="0" w:line="240" w:lineRule="auto"/>
      </w:pPr>
      <w:r>
        <w:continuationSeparator/>
      </w:r>
    </w:p>
  </w:footnote>
  <w:footnote w:type="continuationNotice" w:id="1">
    <w:p w14:paraId="6C990B2D" w14:textId="77777777" w:rsidR="005A1F7E" w:rsidRDefault="005A1F7E">
      <w:pPr>
        <w:spacing w:after="0" w:line="240" w:lineRule="auto"/>
      </w:pPr>
    </w:p>
  </w:footnote>
  <w:footnote w:id="2">
    <w:p w14:paraId="720FF828" w14:textId="77777777" w:rsidR="00B741D6" w:rsidRPr="006D1E94" w:rsidRDefault="00B741D6">
      <w:pPr>
        <w:pStyle w:val="FootnoteText"/>
        <w:rPr>
          <w:lang w:val="en-ZA"/>
        </w:rPr>
      </w:pPr>
      <w:r>
        <w:rPr>
          <w:rStyle w:val="FootnoteReference"/>
        </w:rPr>
        <w:footnoteRef/>
      </w:r>
      <w:r>
        <w:t xml:space="preserve"> </w:t>
      </w:r>
      <w:r w:rsidRPr="008D13A9">
        <w:rPr>
          <w:sz w:val="18"/>
          <w:lang w:val="en-ZA"/>
        </w:rPr>
        <w:t>During argument, Mr Britz appearing for Luhan submitted that this amounted to the admission that use and enjoyment was lost. Mr Louw disagreed, correctly so, with this submission.</w:t>
      </w:r>
    </w:p>
  </w:footnote>
  <w:footnote w:id="3">
    <w:p w14:paraId="69B01798" w14:textId="77777777" w:rsidR="00B741D6" w:rsidRPr="008D13A9" w:rsidRDefault="00B741D6" w:rsidP="008D13A9">
      <w:pPr>
        <w:pStyle w:val="FootnoteText"/>
        <w:spacing w:before="0"/>
        <w:rPr>
          <w:sz w:val="18"/>
          <w:lang w:val="en-ZA"/>
        </w:rPr>
      </w:pPr>
      <w:r w:rsidRPr="008D13A9">
        <w:rPr>
          <w:rStyle w:val="FootnoteReference"/>
          <w:sz w:val="18"/>
        </w:rPr>
        <w:footnoteRef/>
      </w:r>
      <w:r w:rsidRPr="008D13A9">
        <w:rPr>
          <w:sz w:val="18"/>
        </w:rPr>
        <w:t xml:space="preserve"> </w:t>
      </w:r>
      <w:r w:rsidRPr="008D13A9">
        <w:rPr>
          <w:sz w:val="18"/>
          <w:lang w:val="en-ZA"/>
        </w:rPr>
        <w:t>2011 (1) SA 24 (SCA)</w:t>
      </w:r>
    </w:p>
  </w:footnote>
  <w:footnote w:id="4">
    <w:p w14:paraId="23860A99" w14:textId="77777777" w:rsidR="00B741D6" w:rsidRPr="008D13A9" w:rsidRDefault="00B741D6" w:rsidP="008D13A9">
      <w:pPr>
        <w:pStyle w:val="FootnoteText"/>
        <w:spacing w:before="0"/>
        <w:rPr>
          <w:sz w:val="18"/>
          <w:lang w:val="en-ZA"/>
        </w:rPr>
      </w:pPr>
      <w:r w:rsidRPr="008D13A9">
        <w:rPr>
          <w:rStyle w:val="FootnoteReference"/>
          <w:sz w:val="18"/>
        </w:rPr>
        <w:footnoteRef/>
      </w:r>
      <w:r w:rsidRPr="008D13A9">
        <w:rPr>
          <w:sz w:val="18"/>
        </w:rPr>
        <w:t xml:space="preserve"> </w:t>
      </w:r>
      <w:r w:rsidRPr="008D13A9">
        <w:rPr>
          <w:sz w:val="18"/>
          <w:lang w:val="en-ZA"/>
        </w:rPr>
        <w:t xml:space="preserve">3 </w:t>
      </w:r>
      <w:r w:rsidR="003B0130" w:rsidRPr="008D13A9">
        <w:rPr>
          <w:sz w:val="18"/>
          <w:lang w:val="en-ZA"/>
        </w:rPr>
        <w:t>Ed</w:t>
      </w:r>
      <w:r w:rsidRPr="008D13A9">
        <w:rPr>
          <w:sz w:val="18"/>
          <w:lang w:val="en-ZA"/>
        </w:rPr>
        <w:t xml:space="preserve"> (2004) 245.</w:t>
      </w:r>
    </w:p>
  </w:footnote>
  <w:footnote w:id="5">
    <w:p w14:paraId="68514408" w14:textId="77777777" w:rsidR="00B741D6" w:rsidRPr="002D2A8E" w:rsidRDefault="00B741D6" w:rsidP="008D13A9">
      <w:pPr>
        <w:pStyle w:val="FootnoteText"/>
        <w:spacing w:before="0"/>
        <w:rPr>
          <w:lang w:val="en-ZA"/>
        </w:rPr>
      </w:pPr>
      <w:r w:rsidRPr="008D13A9">
        <w:rPr>
          <w:rStyle w:val="FootnoteReference"/>
          <w:sz w:val="18"/>
        </w:rPr>
        <w:footnoteRef/>
      </w:r>
      <w:r w:rsidRPr="008D13A9">
        <w:rPr>
          <w:sz w:val="18"/>
        </w:rPr>
        <w:t xml:space="preserve"> </w:t>
      </w:r>
      <w:r w:rsidRPr="008D13A9">
        <w:rPr>
          <w:sz w:val="18"/>
          <w:lang w:val="en-ZA"/>
        </w:rPr>
        <w:t xml:space="preserve">1908 TS 209 at 297 quoted with approval in </w:t>
      </w:r>
      <w:r w:rsidRPr="008D13A9">
        <w:rPr>
          <w:i/>
          <w:sz w:val="18"/>
          <w:lang w:val="en-ZA"/>
        </w:rPr>
        <w:t>Ferndale</w:t>
      </w:r>
      <w:r w:rsidRPr="008D13A9">
        <w:rPr>
          <w:sz w:val="18"/>
          <w:lang w:val="en-ZA"/>
        </w:rPr>
        <w:t xml:space="preserve">. </w:t>
      </w:r>
    </w:p>
  </w:footnote>
  <w:footnote w:id="6">
    <w:p w14:paraId="10ABC671" w14:textId="77777777" w:rsidR="00B741D6" w:rsidRPr="00E72238" w:rsidRDefault="00B741D6" w:rsidP="008D13A9">
      <w:pPr>
        <w:pStyle w:val="FootnoteText"/>
        <w:spacing w:before="0"/>
        <w:rPr>
          <w:lang w:val="en-ZA"/>
        </w:rPr>
      </w:pPr>
      <w:r>
        <w:rPr>
          <w:rStyle w:val="FootnoteReference"/>
        </w:rPr>
        <w:footnoteRef/>
      </w:r>
      <w:r>
        <w:t xml:space="preserve"> See </w:t>
      </w:r>
      <w:r w:rsidRPr="00E72238">
        <w:rPr>
          <w:i/>
        </w:rPr>
        <w:t>Benlou Properties (Pty) Ltd v Vector Graphics (Pty) Ltd</w:t>
      </w:r>
      <w:r>
        <w:t xml:space="preserve"> 1993 (1) SA 179 (A</w:t>
      </w:r>
      <w:r w:rsidR="005368FB">
        <w:t>D</w:t>
      </w:r>
      <w:r>
        <w:t xml:space="preserve">). </w:t>
      </w:r>
    </w:p>
  </w:footnote>
  <w:footnote w:id="7">
    <w:p w14:paraId="28E8A73B" w14:textId="77777777" w:rsidR="00B741D6" w:rsidRPr="0072312B" w:rsidRDefault="00B741D6" w:rsidP="008D13A9">
      <w:pPr>
        <w:pStyle w:val="FootnoteText"/>
        <w:spacing w:before="0"/>
        <w:rPr>
          <w:lang w:val="en-ZA"/>
        </w:rPr>
      </w:pPr>
      <w:r>
        <w:rPr>
          <w:rStyle w:val="FootnoteReference"/>
        </w:rPr>
        <w:footnoteRef/>
      </w:r>
      <w:r>
        <w:t xml:space="preserve"> </w:t>
      </w:r>
      <w:r>
        <w:rPr>
          <w:lang w:val="en-ZA"/>
        </w:rPr>
        <w:t>122 Eng. Rep. 310 (Q.B. 1863)</w:t>
      </w:r>
    </w:p>
  </w:footnote>
  <w:footnote w:id="8">
    <w:p w14:paraId="00645589" w14:textId="77777777" w:rsidR="00B741D6" w:rsidRPr="00CB2D1E" w:rsidRDefault="00B741D6" w:rsidP="008D13A9">
      <w:pPr>
        <w:pStyle w:val="FootnoteText"/>
        <w:spacing w:before="0"/>
        <w:rPr>
          <w:i/>
          <w:lang w:val="en-ZA"/>
        </w:rPr>
      </w:pPr>
      <w:r w:rsidRPr="00CB2D1E">
        <w:rPr>
          <w:rStyle w:val="FootnoteReference"/>
          <w:i/>
        </w:rPr>
        <w:footnoteRef/>
      </w:r>
      <w:r w:rsidRPr="00CB2D1E">
        <w:rPr>
          <w:i/>
        </w:rPr>
        <w:t xml:space="preserve"> </w:t>
      </w:r>
      <w:r w:rsidRPr="00CB2D1E">
        <w:t>Pothier:</w:t>
      </w:r>
      <w:r w:rsidRPr="00CB2D1E">
        <w:rPr>
          <w:i/>
        </w:rPr>
        <w:t xml:space="preserve"> Traite des Obligations, partie 3, chap. 6, art 3 &amp; 668. </w:t>
      </w:r>
    </w:p>
  </w:footnote>
  <w:footnote w:id="9">
    <w:p w14:paraId="243206BE" w14:textId="77777777" w:rsidR="00B741D6" w:rsidRPr="00CB2D1E" w:rsidRDefault="00B741D6" w:rsidP="008D13A9">
      <w:pPr>
        <w:pStyle w:val="FootnoteText"/>
        <w:spacing w:before="0"/>
        <w:rPr>
          <w:i/>
          <w:lang w:val="en-ZA"/>
        </w:rPr>
      </w:pPr>
      <w:r w:rsidRPr="00CB2D1E">
        <w:rPr>
          <w:rStyle w:val="FootnoteReference"/>
          <w:i/>
        </w:rPr>
        <w:footnoteRef/>
      </w:r>
      <w:r w:rsidRPr="00CB2D1E">
        <w:rPr>
          <w:i/>
        </w:rPr>
        <w:t xml:space="preserve"> </w:t>
      </w:r>
      <w:r w:rsidRPr="00CB2D1E">
        <w:t>See in this regard</w:t>
      </w:r>
      <w:r w:rsidRPr="00CB2D1E">
        <w:rPr>
          <w:i/>
        </w:rPr>
        <w:t xml:space="preserve">, Williams v Lloyd 179; Coggs v Bernard Raym 909; Rugg v Minett (11 East 210); Hall v Wright (E.B 746,749) </w:t>
      </w:r>
      <w:r w:rsidRPr="00CB2D1E">
        <w:t>cited in</w:t>
      </w:r>
      <w:r w:rsidRPr="00CB2D1E">
        <w:rPr>
          <w:i/>
        </w:rPr>
        <w:t xml:space="preserve"> Taylor.  </w:t>
      </w:r>
    </w:p>
  </w:footnote>
  <w:footnote w:id="10">
    <w:p w14:paraId="2E3973AE" w14:textId="77777777" w:rsidR="00B741D6" w:rsidRPr="00ED76FE" w:rsidRDefault="00B741D6" w:rsidP="008D13A9">
      <w:pPr>
        <w:pStyle w:val="FootnoteText"/>
        <w:spacing w:before="0"/>
        <w:rPr>
          <w:lang w:val="en-ZA"/>
        </w:rPr>
      </w:pPr>
      <w:r>
        <w:rPr>
          <w:rStyle w:val="FootnoteReference"/>
        </w:rPr>
        <w:footnoteRef/>
      </w:r>
      <w:r>
        <w:t xml:space="preserve"> </w:t>
      </w:r>
      <w:r>
        <w:rPr>
          <w:lang w:val="en-ZA"/>
        </w:rPr>
        <w:t xml:space="preserve">Para 32 </w:t>
      </w:r>
      <w:r w:rsidRPr="00ED76FE">
        <w:rPr>
          <w:i/>
          <w:lang w:val="en-ZA"/>
        </w:rPr>
        <w:t>Taylor</w:t>
      </w:r>
      <w:r>
        <w:rPr>
          <w:lang w:val="en-ZA"/>
        </w:rPr>
        <w:t xml:space="preserve">. </w:t>
      </w:r>
    </w:p>
  </w:footnote>
  <w:footnote w:id="11">
    <w:p w14:paraId="6D17951A" w14:textId="77777777" w:rsidR="00B741D6" w:rsidRPr="00ED2B6E" w:rsidRDefault="00B741D6" w:rsidP="008D13A9">
      <w:pPr>
        <w:pStyle w:val="FootnoteText"/>
        <w:spacing w:before="0"/>
        <w:rPr>
          <w:lang w:val="en-ZA"/>
        </w:rPr>
      </w:pPr>
      <w:r>
        <w:rPr>
          <w:rStyle w:val="FootnoteReference"/>
        </w:rPr>
        <w:footnoteRef/>
      </w:r>
      <w:r>
        <w:t xml:space="preserve"> </w:t>
      </w:r>
      <w:r>
        <w:rPr>
          <w:lang w:val="en-ZA"/>
        </w:rPr>
        <w:t>[1903] 2 KB 740.</w:t>
      </w:r>
    </w:p>
  </w:footnote>
  <w:footnote w:id="12">
    <w:p w14:paraId="3CBFFDCE" w14:textId="77777777" w:rsidR="00B741D6" w:rsidRPr="00494ECC" w:rsidRDefault="00B741D6">
      <w:pPr>
        <w:pStyle w:val="FootnoteText"/>
        <w:rPr>
          <w:lang w:val="en-ZA"/>
        </w:rPr>
      </w:pPr>
      <w:r>
        <w:rPr>
          <w:rStyle w:val="FootnoteReference"/>
        </w:rPr>
        <w:footnoteRef/>
      </w:r>
      <w:r>
        <w:t xml:space="preserve"> </w:t>
      </w:r>
      <w:r>
        <w:rPr>
          <w:lang w:val="en-ZA"/>
        </w:rPr>
        <w:t>[1903] 2 KB 683.</w:t>
      </w:r>
    </w:p>
  </w:footnote>
  <w:footnote w:id="13">
    <w:p w14:paraId="2C78AF50" w14:textId="77777777" w:rsidR="00B741D6" w:rsidRPr="00CC6D59" w:rsidRDefault="00B741D6" w:rsidP="008D13A9">
      <w:pPr>
        <w:pStyle w:val="FootnoteText"/>
        <w:spacing w:before="0"/>
        <w:rPr>
          <w:lang w:val="en-ZA"/>
        </w:rPr>
      </w:pPr>
      <w:r>
        <w:rPr>
          <w:rStyle w:val="FootnoteReference"/>
        </w:rPr>
        <w:footnoteRef/>
      </w:r>
      <w:r>
        <w:t xml:space="preserve"> </w:t>
      </w:r>
      <w:r w:rsidRPr="00906397">
        <w:rPr>
          <w:i/>
          <w:lang w:val="en-ZA"/>
        </w:rPr>
        <w:t>Bayley v Harwood</w:t>
      </w:r>
      <w:r>
        <w:rPr>
          <w:lang w:val="en-ZA"/>
        </w:rPr>
        <w:t xml:space="preserve"> 1954 (3) SA 498 (A) and </w:t>
      </w:r>
      <w:r w:rsidRPr="00CC0F46">
        <w:rPr>
          <w:i/>
          <w:lang w:val="en-ZA"/>
        </w:rPr>
        <w:t>Peters, Flamman &amp; Co v Kokstad Municipality</w:t>
      </w:r>
      <w:r>
        <w:rPr>
          <w:i/>
          <w:lang w:val="en-ZA"/>
        </w:rPr>
        <w:t xml:space="preserve"> (Kokstad)</w:t>
      </w:r>
      <w:r>
        <w:rPr>
          <w:lang w:val="en-ZA"/>
        </w:rPr>
        <w:t xml:space="preserve"> 1919 AD 427.</w:t>
      </w:r>
    </w:p>
  </w:footnote>
  <w:footnote w:id="14">
    <w:p w14:paraId="2CEA63FC" w14:textId="77777777" w:rsidR="00B741D6" w:rsidRPr="00CC0F46" w:rsidRDefault="00B741D6" w:rsidP="008D13A9">
      <w:pPr>
        <w:pStyle w:val="FootnoteText"/>
        <w:spacing w:before="0"/>
        <w:rPr>
          <w:lang w:val="en-ZA"/>
        </w:rPr>
      </w:pPr>
      <w:r>
        <w:rPr>
          <w:rStyle w:val="FootnoteReference"/>
        </w:rPr>
        <w:footnoteRef/>
      </w:r>
      <w:r>
        <w:t xml:space="preserve"> Footnote above.</w:t>
      </w:r>
    </w:p>
  </w:footnote>
  <w:footnote w:id="15">
    <w:p w14:paraId="370A7ECF" w14:textId="77777777" w:rsidR="00B741D6" w:rsidRPr="00BB65E7" w:rsidRDefault="00B741D6" w:rsidP="008D13A9">
      <w:pPr>
        <w:pStyle w:val="FootnoteText"/>
        <w:spacing w:before="0"/>
        <w:rPr>
          <w:lang w:val="en-ZA"/>
        </w:rPr>
      </w:pPr>
      <w:r>
        <w:rPr>
          <w:rStyle w:val="FootnoteReference"/>
        </w:rPr>
        <w:footnoteRef/>
      </w:r>
      <w:r>
        <w:t xml:space="preserve"> </w:t>
      </w:r>
      <w:r>
        <w:rPr>
          <w:lang w:val="en-ZA"/>
        </w:rPr>
        <w:t xml:space="preserve">D50 16 176. See also Christie’s </w:t>
      </w:r>
      <w:r w:rsidRPr="00BB65E7">
        <w:rPr>
          <w:i/>
          <w:lang w:val="en-ZA"/>
        </w:rPr>
        <w:t>The law of contracts in South Africa</w:t>
      </w:r>
      <w:r>
        <w:rPr>
          <w:lang w:val="en-ZA"/>
        </w:rPr>
        <w:t xml:space="preserve"> </w:t>
      </w:r>
      <w:r w:rsidR="007F5857">
        <w:rPr>
          <w:lang w:val="en-ZA"/>
        </w:rPr>
        <w:t>6</w:t>
      </w:r>
      <w:r w:rsidR="007F5857" w:rsidRPr="00BB65E7">
        <w:rPr>
          <w:vertAlign w:val="superscript"/>
          <w:lang w:val="en-ZA"/>
        </w:rPr>
        <w:t>th</w:t>
      </w:r>
      <w:r w:rsidR="007F5857">
        <w:rPr>
          <w:lang w:val="en-ZA"/>
        </w:rPr>
        <w:t xml:space="preserve"> edition</w:t>
      </w:r>
      <w:r>
        <w:rPr>
          <w:lang w:val="en-ZA"/>
        </w:rPr>
        <w:t xml:space="preserve"> p419.</w:t>
      </w:r>
    </w:p>
  </w:footnote>
  <w:footnote w:id="16">
    <w:p w14:paraId="28AF90E2" w14:textId="77777777" w:rsidR="007F5857" w:rsidRPr="007F5857" w:rsidRDefault="007F5857" w:rsidP="008D13A9">
      <w:pPr>
        <w:pStyle w:val="FootnoteText"/>
        <w:spacing w:before="0"/>
        <w:rPr>
          <w:lang w:val="en-ZA"/>
        </w:rPr>
      </w:pPr>
      <w:r>
        <w:rPr>
          <w:rStyle w:val="FootnoteReference"/>
        </w:rPr>
        <w:footnoteRef/>
      </w:r>
      <w:r>
        <w:t xml:space="preserve"> </w:t>
      </w:r>
      <w:r>
        <w:rPr>
          <w:lang w:val="en-ZA"/>
        </w:rPr>
        <w:t xml:space="preserve">See </w:t>
      </w:r>
      <w:r w:rsidRPr="007F5857">
        <w:rPr>
          <w:i/>
          <w:lang w:val="en-ZA"/>
        </w:rPr>
        <w:t>BK Tooling (Edms) Bpk v Scope Precision Engineering (Edms) Bpk</w:t>
      </w:r>
      <w:r>
        <w:rPr>
          <w:lang w:val="en-ZA"/>
        </w:rPr>
        <w:t xml:space="preserve"> 1979 1 SA 391 (A). </w:t>
      </w:r>
    </w:p>
  </w:footnote>
  <w:footnote w:id="17">
    <w:p w14:paraId="72560517" w14:textId="77777777" w:rsidR="00B741D6" w:rsidRPr="00F2581B" w:rsidRDefault="00B741D6" w:rsidP="008D13A9">
      <w:pPr>
        <w:pStyle w:val="FootnoteText"/>
        <w:spacing w:before="0"/>
        <w:rPr>
          <w:lang w:val="en-ZA"/>
        </w:rPr>
      </w:pPr>
      <w:r>
        <w:rPr>
          <w:rStyle w:val="FootnoteReference"/>
        </w:rPr>
        <w:footnoteRef/>
      </w:r>
      <w:r>
        <w:t xml:space="preserve"> </w:t>
      </w:r>
      <w:r>
        <w:rPr>
          <w:lang w:val="en-ZA"/>
        </w:rPr>
        <w:t xml:space="preserve">RG N0 11062 Vol 657 25 March 2020 No 43148. </w:t>
      </w:r>
    </w:p>
  </w:footnote>
  <w:footnote w:id="18">
    <w:p w14:paraId="690E3F23" w14:textId="77777777" w:rsidR="00B741D6" w:rsidRPr="00B01BE5" w:rsidRDefault="00B741D6" w:rsidP="008D13A9">
      <w:pPr>
        <w:pStyle w:val="FootnoteText"/>
        <w:spacing w:before="0"/>
        <w:rPr>
          <w:lang w:val="en-ZA"/>
        </w:rPr>
      </w:pPr>
      <w:r>
        <w:rPr>
          <w:rStyle w:val="FootnoteReference"/>
        </w:rPr>
        <w:footnoteRef/>
      </w:r>
      <w:r>
        <w:t xml:space="preserve"> (37587/2020) [2021] ZAGPJHC 568 (19 October 2021).</w:t>
      </w:r>
    </w:p>
  </w:footnote>
  <w:footnote w:id="19">
    <w:p w14:paraId="6298FE40" w14:textId="77777777" w:rsidR="00B741D6" w:rsidRPr="00820DBC" w:rsidRDefault="00B741D6" w:rsidP="008D13A9">
      <w:pPr>
        <w:pStyle w:val="FootnoteText"/>
        <w:spacing w:before="0"/>
        <w:rPr>
          <w:lang w:val="en-ZA"/>
        </w:rPr>
      </w:pPr>
      <w:r>
        <w:rPr>
          <w:rStyle w:val="FootnoteReference"/>
        </w:rPr>
        <w:footnoteRef/>
      </w:r>
      <w:r>
        <w:t xml:space="preserve"> </w:t>
      </w:r>
      <w:r>
        <w:rPr>
          <w:lang w:val="en-ZA"/>
        </w:rPr>
        <w:t>Para 41 of the judgment.</w:t>
      </w:r>
    </w:p>
  </w:footnote>
  <w:footnote w:id="20">
    <w:p w14:paraId="225EC39B" w14:textId="77777777" w:rsidR="00B741D6" w:rsidRPr="00820DBC" w:rsidRDefault="00B741D6" w:rsidP="008D13A9">
      <w:pPr>
        <w:pStyle w:val="FootnoteText"/>
        <w:spacing w:before="0"/>
        <w:rPr>
          <w:lang w:val="en-ZA"/>
        </w:rPr>
      </w:pPr>
      <w:r>
        <w:rPr>
          <w:rStyle w:val="FootnoteReference"/>
        </w:rPr>
        <w:footnoteRef/>
      </w:r>
      <w:r>
        <w:t xml:space="preserve"> </w:t>
      </w:r>
      <w:r>
        <w:rPr>
          <w:lang w:val="en-ZA"/>
        </w:rPr>
        <w:t xml:space="preserve">Paragraph 45 of the judgment. </w:t>
      </w:r>
    </w:p>
  </w:footnote>
  <w:footnote w:id="21">
    <w:p w14:paraId="2882C96F" w14:textId="1101FFEF" w:rsidR="00B741D6" w:rsidRPr="00FE666C" w:rsidRDefault="00B741D6" w:rsidP="008D13A9">
      <w:pPr>
        <w:pStyle w:val="FootnoteText"/>
        <w:spacing w:before="0"/>
        <w:rPr>
          <w:lang w:val="en-ZA"/>
        </w:rPr>
      </w:pPr>
      <w:r>
        <w:rPr>
          <w:rStyle w:val="FootnoteReference"/>
        </w:rPr>
        <w:footnoteRef/>
      </w:r>
      <w:r>
        <w:t xml:space="preserve"> </w:t>
      </w:r>
      <w:r w:rsidR="00DD4418">
        <w:rPr>
          <w:lang w:val="en-ZA"/>
        </w:rPr>
        <w:t>At p</w:t>
      </w:r>
      <w:r>
        <w:rPr>
          <w:lang w:val="en-ZA"/>
        </w:rPr>
        <w:t xml:space="preserve">aragraph </w:t>
      </w:r>
      <w:r w:rsidR="00DD4418">
        <w:rPr>
          <w:lang w:val="en-ZA"/>
        </w:rPr>
        <w:t>25</w:t>
      </w:r>
      <w:r>
        <w:rPr>
          <w:lang w:val="en-ZA"/>
        </w:rPr>
        <w:t xml:space="preserve">. </w:t>
      </w:r>
    </w:p>
  </w:footnote>
  <w:footnote w:id="22">
    <w:p w14:paraId="3C765CAC" w14:textId="77777777" w:rsidR="00B741D6" w:rsidRPr="00FE666C" w:rsidRDefault="00B741D6" w:rsidP="008D13A9">
      <w:pPr>
        <w:pStyle w:val="FootnoteText"/>
        <w:spacing w:before="0"/>
        <w:rPr>
          <w:lang w:val="en-ZA"/>
        </w:rPr>
      </w:pPr>
      <w:r>
        <w:rPr>
          <w:rStyle w:val="FootnoteReference"/>
        </w:rPr>
        <w:footnoteRef/>
      </w:r>
      <w:r>
        <w:t xml:space="preserve"> (772/2021) [2022] ZASCA 152 (04 November 2022).</w:t>
      </w:r>
    </w:p>
  </w:footnote>
  <w:footnote w:id="23">
    <w:p w14:paraId="23CE18EA" w14:textId="77777777" w:rsidR="00B741D6" w:rsidRPr="004760EC" w:rsidRDefault="00B741D6" w:rsidP="008D13A9">
      <w:pPr>
        <w:pStyle w:val="FootnoteText"/>
        <w:spacing w:before="0"/>
        <w:rPr>
          <w:lang w:val="en-ZA"/>
        </w:rPr>
      </w:pPr>
      <w:r>
        <w:rPr>
          <w:rStyle w:val="FootnoteReference"/>
        </w:rPr>
        <w:footnoteRef/>
      </w:r>
      <w:r>
        <w:t xml:space="preserve"> </w:t>
      </w:r>
      <w:r>
        <w:rPr>
          <w:lang w:val="en-ZA"/>
        </w:rPr>
        <w:t xml:space="preserve">Paragraph 21 of the judgment. </w:t>
      </w:r>
    </w:p>
  </w:footnote>
  <w:footnote w:id="24">
    <w:p w14:paraId="349E8819" w14:textId="77777777" w:rsidR="00B741D6" w:rsidRPr="00326347" w:rsidRDefault="00B741D6" w:rsidP="008D13A9">
      <w:pPr>
        <w:pStyle w:val="FootnoteText"/>
        <w:spacing w:before="0"/>
        <w:rPr>
          <w:lang w:val="en-ZA"/>
        </w:rPr>
      </w:pPr>
      <w:r>
        <w:rPr>
          <w:rStyle w:val="FootnoteReference"/>
        </w:rPr>
        <w:footnoteRef/>
      </w:r>
      <w:r>
        <w:t xml:space="preserve"> </w:t>
      </w:r>
      <w:r>
        <w:rPr>
          <w:lang w:val="en-ZA"/>
        </w:rPr>
        <w:t>1903 TS 707.</w:t>
      </w:r>
    </w:p>
  </w:footnote>
  <w:footnote w:id="25">
    <w:p w14:paraId="40D7FEAC" w14:textId="77777777" w:rsidR="008710B0" w:rsidRPr="008710B0" w:rsidRDefault="008710B0" w:rsidP="008D13A9">
      <w:pPr>
        <w:pStyle w:val="FootnoteText"/>
        <w:spacing w:before="0"/>
        <w:rPr>
          <w:lang w:val="en-ZA"/>
        </w:rPr>
      </w:pPr>
      <w:r>
        <w:rPr>
          <w:rStyle w:val="FootnoteReference"/>
        </w:rPr>
        <w:footnoteRef/>
      </w:r>
      <w:r>
        <w:t xml:space="preserve"> </w:t>
      </w:r>
      <w:r>
        <w:rPr>
          <w:lang w:val="en-ZA"/>
        </w:rPr>
        <w:t>1903 TH 286.</w:t>
      </w:r>
    </w:p>
  </w:footnote>
  <w:footnote w:id="26">
    <w:p w14:paraId="3951F349" w14:textId="77777777" w:rsidR="007E10DE" w:rsidRPr="007E10DE" w:rsidRDefault="007E10DE" w:rsidP="008D13A9">
      <w:pPr>
        <w:pStyle w:val="FootnoteText"/>
        <w:spacing w:before="0"/>
        <w:rPr>
          <w:lang w:val="en-ZA"/>
        </w:rPr>
      </w:pPr>
      <w:r>
        <w:rPr>
          <w:rStyle w:val="FootnoteReference"/>
        </w:rPr>
        <w:footnoteRef/>
      </w:r>
      <w:r>
        <w:t xml:space="preserve"> </w:t>
      </w:r>
      <w:r>
        <w:rPr>
          <w:lang w:val="en-ZA"/>
        </w:rPr>
        <w:t xml:space="preserve">The learned Acting Justice said: [12] A consideration of a defence of supervening </w:t>
      </w:r>
      <w:r w:rsidR="00310DB9">
        <w:rPr>
          <w:lang w:val="en-ZA"/>
        </w:rPr>
        <w:t xml:space="preserve">impossibility of performance in the context of the regulations passed pursuant to the state of disaster should be approached from the perspective of its effect </w:t>
      </w:r>
      <w:r w:rsidR="00310DB9" w:rsidRPr="00310DB9">
        <w:rPr>
          <w:u w:val="single"/>
          <w:lang w:val="en-ZA"/>
        </w:rPr>
        <w:t>on the performance by the plaintiff of its obligations as lessor</w:t>
      </w:r>
      <w:r w:rsidR="00310DB9">
        <w:rPr>
          <w:lang w:val="en-ZA"/>
        </w:rPr>
        <w:t xml:space="preserve"> and on the </w:t>
      </w:r>
      <w:r w:rsidR="00310DB9" w:rsidRPr="00310DB9">
        <w:rPr>
          <w:u w:val="single"/>
          <w:lang w:val="en-ZA"/>
        </w:rPr>
        <w:t>performance by the first defendant’s obligations as lessee</w:t>
      </w:r>
      <w:r w:rsidR="00310DB9">
        <w:rPr>
          <w:lang w:val="en-ZA"/>
        </w:rPr>
        <w:t xml:space="preserve">, rather than approached solely from the perspective of whether the first defendant was able to perform its side of the bargain, particularly to pay rental.  </w:t>
      </w:r>
    </w:p>
  </w:footnote>
  <w:footnote w:id="27">
    <w:p w14:paraId="17EF1974" w14:textId="77777777" w:rsidR="00733127" w:rsidRPr="00733127" w:rsidRDefault="00733127" w:rsidP="008D13A9">
      <w:pPr>
        <w:pStyle w:val="FootnoteText"/>
        <w:spacing w:before="0"/>
        <w:rPr>
          <w:lang w:val="en-ZA"/>
        </w:rPr>
      </w:pPr>
      <w:r>
        <w:rPr>
          <w:rStyle w:val="FootnoteReference"/>
        </w:rPr>
        <w:footnoteRef/>
      </w:r>
      <w:r>
        <w:t xml:space="preserve"> </w:t>
      </w:r>
      <w:r>
        <w:rPr>
          <w:lang w:val="en-ZA"/>
        </w:rPr>
        <w:t>2021 (6) SA 470 (GJ)</w:t>
      </w:r>
    </w:p>
  </w:footnote>
  <w:footnote w:id="28">
    <w:p w14:paraId="4AB03A20" w14:textId="77777777" w:rsidR="00446C1F" w:rsidRPr="00446C1F" w:rsidRDefault="00446C1F" w:rsidP="008D13A9">
      <w:pPr>
        <w:pStyle w:val="FootnoteText"/>
        <w:spacing w:before="0"/>
        <w:rPr>
          <w:lang w:val="en-ZA"/>
        </w:rPr>
      </w:pPr>
      <w:r>
        <w:rPr>
          <w:rStyle w:val="FootnoteReference"/>
        </w:rPr>
        <w:footnoteRef/>
      </w:r>
      <w:r>
        <w:t xml:space="preserve"> </w:t>
      </w:r>
      <w:r>
        <w:rPr>
          <w:lang w:val="en-ZA"/>
        </w:rPr>
        <w:t xml:space="preserve">Para 24 </w:t>
      </w:r>
      <w:r w:rsidRPr="00622086">
        <w:rPr>
          <w:i/>
          <w:lang w:val="en-ZA"/>
        </w:rPr>
        <w:t>Freestone</w:t>
      </w:r>
      <w:r>
        <w:rPr>
          <w:lang w:val="en-ZA"/>
        </w:rPr>
        <w:t>.</w:t>
      </w:r>
    </w:p>
  </w:footnote>
  <w:footnote w:id="29">
    <w:p w14:paraId="65B2C64C" w14:textId="77777777" w:rsidR="00622086" w:rsidRPr="00622086" w:rsidRDefault="00622086" w:rsidP="008D13A9">
      <w:pPr>
        <w:pStyle w:val="FootnoteText"/>
        <w:spacing w:before="0"/>
        <w:rPr>
          <w:lang w:val="en-ZA"/>
        </w:rPr>
      </w:pPr>
      <w:r>
        <w:rPr>
          <w:rStyle w:val="FootnoteReference"/>
        </w:rPr>
        <w:footnoteRef/>
      </w:r>
      <w:r>
        <w:t xml:space="preserve"> </w:t>
      </w:r>
      <w:r>
        <w:rPr>
          <w:lang w:val="en-ZA"/>
        </w:rPr>
        <w:t xml:space="preserve">Para 29 </w:t>
      </w:r>
      <w:r w:rsidRPr="00622086">
        <w:rPr>
          <w:i/>
          <w:lang w:val="en-ZA"/>
        </w:rPr>
        <w:t>Freestone</w:t>
      </w:r>
      <w:r>
        <w:rPr>
          <w:lang w:val="en-ZA"/>
        </w:rPr>
        <w:t xml:space="preserve">. See also </w:t>
      </w:r>
      <w:r w:rsidRPr="00622086">
        <w:rPr>
          <w:i/>
          <w:lang w:val="en-ZA"/>
        </w:rPr>
        <w:t>Matshazi v Mezepoli Melrose Arch (Pty) Ltd and another and related matters</w:t>
      </w:r>
      <w:r>
        <w:rPr>
          <w:lang w:val="en-ZA"/>
        </w:rPr>
        <w:t xml:space="preserve"> [2020] 3 All SA 499 (GJ). </w:t>
      </w:r>
    </w:p>
  </w:footnote>
  <w:footnote w:id="30">
    <w:p w14:paraId="166E484C" w14:textId="77777777" w:rsidR="00B741D6" w:rsidRPr="005A67EB" w:rsidRDefault="00B741D6" w:rsidP="008D13A9">
      <w:pPr>
        <w:pStyle w:val="FootnoteText"/>
        <w:spacing w:before="0"/>
        <w:rPr>
          <w:lang w:val="en-ZA"/>
        </w:rPr>
      </w:pPr>
      <w:r>
        <w:rPr>
          <w:rStyle w:val="FootnoteReference"/>
        </w:rPr>
        <w:footnoteRef/>
      </w:r>
      <w:r>
        <w:t xml:space="preserve"> [2008] 3 All SA 255 (SCA)</w:t>
      </w:r>
      <w:r w:rsidR="00FC3E4B">
        <w:t xml:space="preserve"> at para 28</w:t>
      </w:r>
      <w:r>
        <w:t xml:space="preserve">. </w:t>
      </w:r>
    </w:p>
  </w:footnote>
  <w:footnote w:id="31">
    <w:p w14:paraId="1FD85AA9" w14:textId="77777777" w:rsidR="00B741D6" w:rsidRPr="00984230" w:rsidRDefault="00B741D6" w:rsidP="008D13A9">
      <w:pPr>
        <w:pStyle w:val="FootnoteText"/>
        <w:spacing w:before="0"/>
        <w:rPr>
          <w:lang w:val="en-ZA"/>
        </w:rPr>
      </w:pPr>
      <w:r>
        <w:rPr>
          <w:rStyle w:val="FootnoteReference"/>
        </w:rPr>
        <w:footnoteRef/>
      </w:r>
      <w:r>
        <w:t xml:space="preserve"> See </w:t>
      </w:r>
      <w:r w:rsidRPr="00951B88">
        <w:rPr>
          <w:i/>
        </w:rPr>
        <w:t xml:space="preserve">Thompson v Scholtz </w:t>
      </w:r>
      <w:r w:rsidRPr="00951B88">
        <w:t>1999</w:t>
      </w:r>
      <w:r>
        <w:t xml:space="preserve"> (1) SA 232 (SCA) at 247A-D. </w:t>
      </w:r>
    </w:p>
  </w:footnote>
  <w:footnote w:id="32">
    <w:p w14:paraId="4A1AD112" w14:textId="77777777" w:rsidR="00B741D6" w:rsidRPr="00D93A32" w:rsidRDefault="00B741D6" w:rsidP="008D13A9">
      <w:pPr>
        <w:pStyle w:val="FootnoteText"/>
        <w:spacing w:before="0"/>
        <w:rPr>
          <w:lang w:val="en-ZA"/>
        </w:rPr>
      </w:pPr>
      <w:r>
        <w:rPr>
          <w:rStyle w:val="FootnoteReference"/>
        </w:rPr>
        <w:footnoteRef/>
      </w:r>
      <w:r>
        <w:t xml:space="preserve"> </w:t>
      </w:r>
      <w:r>
        <w:rPr>
          <w:lang w:val="en-ZA"/>
        </w:rPr>
        <w:t xml:space="preserve">See </w:t>
      </w:r>
      <w:r w:rsidRPr="00D93A32">
        <w:rPr>
          <w:i/>
          <w:lang w:val="en-ZA"/>
        </w:rPr>
        <w:t>Santam Limited v Ma-Afrika Hotels (Pty) Ltd and Another,</w:t>
      </w:r>
      <w:r>
        <w:rPr>
          <w:lang w:val="en-ZA"/>
        </w:rPr>
        <w:t xml:space="preserve"> [2021] ZASCA 141 at para 10. </w:t>
      </w:r>
    </w:p>
  </w:footnote>
  <w:footnote w:id="33">
    <w:p w14:paraId="01D38AEA" w14:textId="14C428CD" w:rsidR="00B741D6" w:rsidRPr="00984230" w:rsidRDefault="00B741D6" w:rsidP="008D13A9">
      <w:pPr>
        <w:pStyle w:val="FootnoteText"/>
        <w:spacing w:before="0"/>
        <w:rPr>
          <w:lang w:val="en-ZA"/>
        </w:rPr>
      </w:pPr>
      <w:r>
        <w:rPr>
          <w:rStyle w:val="FootnoteReference"/>
        </w:rPr>
        <w:footnoteRef/>
      </w:r>
      <w:r>
        <w:t xml:space="preserve"> 2021 ONSC 6210 (CV-20-322 Kingston). </w:t>
      </w:r>
    </w:p>
  </w:footnote>
  <w:footnote w:id="34">
    <w:p w14:paraId="2B84F1A6" w14:textId="77777777" w:rsidR="00B741D6" w:rsidRPr="001A6D26" w:rsidRDefault="00B741D6" w:rsidP="008D13A9">
      <w:pPr>
        <w:pStyle w:val="FootnoteText"/>
        <w:spacing w:before="0"/>
        <w:rPr>
          <w:lang w:val="en-ZA"/>
        </w:rPr>
      </w:pPr>
      <w:r>
        <w:rPr>
          <w:rStyle w:val="FootnoteReference"/>
        </w:rPr>
        <w:footnoteRef/>
      </w:r>
      <w:r>
        <w:t xml:space="preserve"> </w:t>
      </w:r>
      <w:r>
        <w:rPr>
          <w:lang w:val="en-ZA"/>
        </w:rPr>
        <w:t>[2001] 2 S.C.R. 943.</w:t>
      </w:r>
    </w:p>
  </w:footnote>
  <w:footnote w:id="35">
    <w:p w14:paraId="26374174" w14:textId="77777777" w:rsidR="00B741D6" w:rsidRPr="009C5B15" w:rsidRDefault="00B741D6" w:rsidP="008D13A9">
      <w:pPr>
        <w:pStyle w:val="FootnoteText"/>
        <w:spacing w:before="0"/>
        <w:rPr>
          <w:lang w:val="en-ZA"/>
        </w:rPr>
      </w:pPr>
      <w:r>
        <w:rPr>
          <w:rStyle w:val="FootnoteReference"/>
        </w:rPr>
        <w:footnoteRef/>
      </w:r>
      <w:r>
        <w:t xml:space="preserve"> </w:t>
      </w:r>
      <w:r>
        <w:rPr>
          <w:lang w:val="en-ZA"/>
        </w:rPr>
        <w:t xml:space="preserve">Paras 40-43 of the judgment. </w:t>
      </w:r>
    </w:p>
  </w:footnote>
  <w:footnote w:id="36">
    <w:p w14:paraId="30D6C8F2" w14:textId="77777777" w:rsidR="00C0273C" w:rsidRPr="00C0273C" w:rsidRDefault="00C0273C" w:rsidP="008D13A9">
      <w:pPr>
        <w:pStyle w:val="FootnoteText"/>
        <w:spacing w:before="0"/>
        <w:rPr>
          <w:lang w:val="en-ZA"/>
        </w:rPr>
      </w:pPr>
      <w:r>
        <w:rPr>
          <w:rStyle w:val="FootnoteReference"/>
        </w:rPr>
        <w:footnoteRef/>
      </w:r>
      <w:r>
        <w:t xml:space="preserve"> </w:t>
      </w:r>
      <w:r>
        <w:rPr>
          <w:lang w:val="en-ZA"/>
        </w:rPr>
        <w:t xml:space="preserve">Similar sentiments were expressed by the Queen’s Bench in </w:t>
      </w:r>
      <w:r w:rsidRPr="00C0273C">
        <w:rPr>
          <w:i/>
          <w:lang w:val="en-ZA"/>
        </w:rPr>
        <w:t>Bank of New York Mellon (International) Ltd v Cine-UK</w:t>
      </w:r>
      <w:r>
        <w:rPr>
          <w:lang w:val="en-ZA"/>
        </w:rPr>
        <w:t xml:space="preserve"> [2021] EWHC 1013 (QB). </w:t>
      </w:r>
    </w:p>
  </w:footnote>
  <w:footnote w:id="37">
    <w:p w14:paraId="3AE7C288" w14:textId="77777777" w:rsidR="00B741D6" w:rsidRPr="00AD36DB" w:rsidRDefault="00B741D6" w:rsidP="008D13A9">
      <w:pPr>
        <w:pStyle w:val="FootnoteText"/>
        <w:spacing w:before="0"/>
        <w:rPr>
          <w:lang w:val="en-ZA"/>
        </w:rPr>
      </w:pPr>
      <w:r>
        <w:rPr>
          <w:rStyle w:val="FootnoteReference"/>
        </w:rPr>
        <w:footnoteRef/>
      </w:r>
      <w:r>
        <w:t xml:space="preserve"> </w:t>
      </w:r>
      <w:r>
        <w:rPr>
          <w:lang w:val="en-ZA"/>
        </w:rPr>
        <w:t xml:space="preserve">2020 QCCS 2251. </w:t>
      </w:r>
    </w:p>
  </w:footnote>
  <w:footnote w:id="38">
    <w:p w14:paraId="681EB458" w14:textId="77777777" w:rsidR="00B741D6" w:rsidRPr="002658BD" w:rsidRDefault="00B741D6" w:rsidP="008D13A9">
      <w:pPr>
        <w:pStyle w:val="FootnoteText"/>
        <w:spacing w:before="0"/>
        <w:rPr>
          <w:lang w:val="en-ZA"/>
        </w:rPr>
      </w:pPr>
      <w:r>
        <w:rPr>
          <w:rStyle w:val="FootnoteReference"/>
        </w:rPr>
        <w:footnoteRef/>
      </w:r>
      <w:r>
        <w:t xml:space="preserve"> </w:t>
      </w:r>
      <w:r w:rsidRPr="002658BD">
        <w:rPr>
          <w:i/>
          <w:lang w:val="en-ZA"/>
        </w:rPr>
        <w:t>SA Sentrale Ko-op Graanmaatskappy Bpk v Shifren</w:t>
      </w:r>
      <w:r>
        <w:rPr>
          <w:lang w:val="en-ZA"/>
        </w:rPr>
        <w:t xml:space="preserve"> 1964 (4) SA 760 (A). </w:t>
      </w:r>
    </w:p>
  </w:footnote>
  <w:footnote w:id="39">
    <w:p w14:paraId="7CF9851B" w14:textId="77777777" w:rsidR="00B741D6" w:rsidRPr="002658BD" w:rsidRDefault="00B741D6" w:rsidP="008D13A9">
      <w:pPr>
        <w:pStyle w:val="FootnoteText"/>
        <w:spacing w:before="0"/>
        <w:rPr>
          <w:lang w:val="en-ZA"/>
        </w:rPr>
      </w:pPr>
      <w:r>
        <w:rPr>
          <w:rStyle w:val="FootnoteReference"/>
        </w:rPr>
        <w:footnoteRef/>
      </w:r>
      <w:r>
        <w:t xml:space="preserve"> </w:t>
      </w:r>
      <w:r>
        <w:rPr>
          <w:lang w:val="en-ZA"/>
        </w:rPr>
        <w:t xml:space="preserve">See </w:t>
      </w:r>
      <w:r w:rsidRPr="002658BD">
        <w:rPr>
          <w:i/>
          <w:lang w:val="en-ZA"/>
        </w:rPr>
        <w:t>Barkhuizen v Napier</w:t>
      </w:r>
      <w:r>
        <w:rPr>
          <w:lang w:val="en-ZA"/>
        </w:rPr>
        <w:t xml:space="preserve"> 2007 (5) SA 323 (CC).</w:t>
      </w:r>
    </w:p>
  </w:footnote>
  <w:footnote w:id="40">
    <w:p w14:paraId="0B7467A7" w14:textId="77777777" w:rsidR="00027471" w:rsidRPr="00027471" w:rsidRDefault="00027471" w:rsidP="008D13A9">
      <w:pPr>
        <w:pStyle w:val="FootnoteText"/>
        <w:spacing w:before="0"/>
        <w:rPr>
          <w:lang w:val="en-ZA"/>
        </w:rPr>
      </w:pPr>
      <w:r>
        <w:rPr>
          <w:rStyle w:val="FootnoteReference"/>
        </w:rPr>
        <w:footnoteRef/>
      </w:r>
      <w:r>
        <w:t xml:space="preserve"> </w:t>
      </w:r>
      <w:r>
        <w:rPr>
          <w:lang w:val="en-ZA"/>
        </w:rPr>
        <w:t>2001 (4) SA 938 (CC).</w:t>
      </w:r>
    </w:p>
  </w:footnote>
  <w:footnote w:id="41">
    <w:p w14:paraId="0BB93B7A" w14:textId="01A48FA9" w:rsidR="005E12DB" w:rsidRPr="005E12DB" w:rsidRDefault="005E12DB" w:rsidP="008D13A9">
      <w:pPr>
        <w:pStyle w:val="FootnoteText"/>
        <w:spacing w:before="0"/>
        <w:rPr>
          <w:lang w:val="en-ZA"/>
        </w:rPr>
      </w:pPr>
      <w:r>
        <w:rPr>
          <w:rStyle w:val="FootnoteReference"/>
        </w:rPr>
        <w:footnoteRef/>
      </w:r>
      <w:r>
        <w:t xml:space="preserve"> </w:t>
      </w:r>
      <w:r>
        <w:rPr>
          <w:lang w:val="en-ZA"/>
        </w:rPr>
        <w:t>2012 (3) BCLR 219 (CC)</w:t>
      </w:r>
      <w:r w:rsidR="009414EF">
        <w:rPr>
          <w:lang w:val="en-ZA"/>
        </w:rPr>
        <w:t xml:space="preserve"> at para 52</w:t>
      </w:r>
      <w:r>
        <w:rPr>
          <w:lang w:val="en-ZA"/>
        </w:rPr>
        <w:t xml:space="preserve">. </w:t>
      </w:r>
    </w:p>
  </w:footnote>
  <w:footnote w:id="42">
    <w:p w14:paraId="5C2B6793" w14:textId="77777777" w:rsidR="00B741D6" w:rsidRPr="00FF3F45" w:rsidRDefault="00B741D6" w:rsidP="008D13A9">
      <w:pPr>
        <w:pStyle w:val="FootnoteText"/>
        <w:tabs>
          <w:tab w:val="right" w:pos="9540"/>
        </w:tabs>
        <w:spacing w:before="0"/>
        <w:rPr>
          <w:lang w:val="en-ZA"/>
        </w:rPr>
      </w:pPr>
      <w:r>
        <w:rPr>
          <w:rStyle w:val="FootnoteReference"/>
        </w:rPr>
        <w:footnoteRef/>
      </w:r>
      <w:r>
        <w:t xml:space="preserve"> </w:t>
      </w:r>
      <w:r>
        <w:rPr>
          <w:lang w:val="en-ZA"/>
        </w:rPr>
        <w:t xml:space="preserve">See </w:t>
      </w:r>
      <w:r w:rsidRPr="00FF3F45">
        <w:rPr>
          <w:i/>
          <w:lang w:val="en-ZA"/>
        </w:rPr>
        <w:t>Swadif (Pty) Ltd v Dyke</w:t>
      </w:r>
      <w:r>
        <w:rPr>
          <w:lang w:val="en-ZA"/>
        </w:rPr>
        <w:t xml:space="preserve"> 1978 1 SA 928 (A).</w:t>
      </w:r>
      <w:r>
        <w:rPr>
          <w:lang w:val="en-ZA"/>
        </w:rPr>
        <w:tab/>
      </w:r>
    </w:p>
  </w:footnote>
  <w:footnote w:id="43">
    <w:p w14:paraId="08314B59" w14:textId="77777777" w:rsidR="00B741D6" w:rsidRPr="00FF3F45" w:rsidRDefault="00B741D6" w:rsidP="008D13A9">
      <w:pPr>
        <w:pStyle w:val="FootnoteText"/>
        <w:spacing w:before="0"/>
        <w:rPr>
          <w:lang w:val="en-ZA"/>
        </w:rPr>
      </w:pPr>
      <w:r>
        <w:rPr>
          <w:rStyle w:val="FootnoteReference"/>
        </w:rPr>
        <w:footnoteRef/>
      </w:r>
      <w:r>
        <w:t xml:space="preserve"> </w:t>
      </w:r>
      <w:r w:rsidRPr="00C62156">
        <w:rPr>
          <w:i/>
          <w:lang w:val="en-ZA"/>
        </w:rPr>
        <w:t>Acacia</w:t>
      </w:r>
      <w:r>
        <w:rPr>
          <w:lang w:val="en-ZA"/>
        </w:rPr>
        <w:t xml:space="preserve"> </w:t>
      </w:r>
      <w:r w:rsidRPr="00FF3F45">
        <w:rPr>
          <w:i/>
          <w:lang w:val="en-ZA"/>
        </w:rPr>
        <w:t>Mines Ltd v Boshoff</w:t>
      </w:r>
      <w:r>
        <w:rPr>
          <w:lang w:val="en-ZA"/>
        </w:rPr>
        <w:t xml:space="preserve"> 1958 (4) SA 330 (AD)</w:t>
      </w:r>
    </w:p>
  </w:footnote>
  <w:footnote w:id="44">
    <w:p w14:paraId="662439BF" w14:textId="77777777" w:rsidR="00B741D6" w:rsidRPr="00E2101D" w:rsidRDefault="00B741D6" w:rsidP="008D13A9">
      <w:pPr>
        <w:pStyle w:val="FootnoteText"/>
        <w:spacing w:before="0"/>
        <w:rPr>
          <w:lang w:val="en-ZA"/>
        </w:rPr>
      </w:pPr>
      <w:r>
        <w:rPr>
          <w:rStyle w:val="FootnoteReference"/>
        </w:rPr>
        <w:footnoteRef/>
      </w:r>
      <w:r>
        <w:t xml:space="preserve"> </w:t>
      </w:r>
      <w:r>
        <w:rPr>
          <w:lang w:val="en-ZA"/>
        </w:rPr>
        <w:t xml:space="preserve">[2007] SCA 5. </w:t>
      </w:r>
    </w:p>
  </w:footnote>
  <w:footnote w:id="45">
    <w:p w14:paraId="16C838DE" w14:textId="77777777" w:rsidR="00B741D6" w:rsidRPr="00BE17C8" w:rsidRDefault="00B741D6" w:rsidP="008D13A9">
      <w:pPr>
        <w:pStyle w:val="FootnoteText"/>
        <w:spacing w:before="0"/>
        <w:rPr>
          <w:lang w:val="en-ZA"/>
        </w:rPr>
      </w:pPr>
      <w:r>
        <w:rPr>
          <w:rStyle w:val="FootnoteReference"/>
        </w:rPr>
        <w:footnoteRef/>
      </w:r>
      <w:r>
        <w:t xml:space="preserve"> </w:t>
      </w:r>
      <w:r>
        <w:rPr>
          <w:lang w:val="en-ZA"/>
        </w:rPr>
        <w:t>[2007] SCA 15.</w:t>
      </w:r>
    </w:p>
  </w:footnote>
  <w:footnote w:id="46">
    <w:p w14:paraId="1A3A6661" w14:textId="77777777" w:rsidR="00B741D6" w:rsidRPr="007E49E9" w:rsidRDefault="00B741D6" w:rsidP="008D13A9">
      <w:pPr>
        <w:pStyle w:val="FootnoteText"/>
        <w:spacing w:before="0"/>
        <w:rPr>
          <w:lang w:val="en-US"/>
        </w:rPr>
      </w:pPr>
      <w:r>
        <w:rPr>
          <w:rStyle w:val="FootnoteReference"/>
        </w:rPr>
        <w:footnoteRef/>
      </w:r>
      <w:r>
        <w:t xml:space="preserve"> </w:t>
      </w:r>
      <w:r>
        <w:rPr>
          <w:lang w:val="en-US"/>
        </w:rPr>
        <w:t>Act 15 of 1962 as amended.</w:t>
      </w:r>
    </w:p>
  </w:footnote>
  <w:footnote w:id="47">
    <w:p w14:paraId="4D7666E3" w14:textId="77777777" w:rsidR="00B741D6" w:rsidRPr="00AB0328" w:rsidRDefault="00B741D6" w:rsidP="008D13A9">
      <w:pPr>
        <w:pStyle w:val="FootnoteText"/>
        <w:spacing w:before="0"/>
        <w:rPr>
          <w:lang w:val="en-US"/>
        </w:rPr>
      </w:pPr>
      <w:r>
        <w:rPr>
          <w:rStyle w:val="FootnoteReference"/>
        </w:rPr>
        <w:footnoteRef/>
      </w:r>
      <w:r>
        <w:t xml:space="preserve"> </w:t>
      </w:r>
      <w:r>
        <w:rPr>
          <w:lang w:val="en-US"/>
        </w:rPr>
        <w:t xml:space="preserve">See </w:t>
      </w:r>
      <w:r w:rsidRPr="00AB0328">
        <w:rPr>
          <w:i/>
          <w:lang w:val="en-US"/>
        </w:rPr>
        <w:t>Jacobsen v Katzer</w:t>
      </w:r>
      <w:r>
        <w:rPr>
          <w:lang w:val="en-US"/>
        </w:rPr>
        <w:t xml:space="preserve"> (Fed. Cir., Aug. 13, 2008)</w:t>
      </w:r>
    </w:p>
  </w:footnote>
  <w:footnote w:id="48">
    <w:p w14:paraId="5255EF86" w14:textId="77777777" w:rsidR="00B741D6" w:rsidRPr="00086DCA" w:rsidRDefault="00B741D6" w:rsidP="008D13A9">
      <w:pPr>
        <w:pStyle w:val="FootnoteText"/>
        <w:spacing w:before="0"/>
        <w:rPr>
          <w:lang w:val="en-ZA"/>
        </w:rPr>
      </w:pPr>
      <w:r>
        <w:rPr>
          <w:rStyle w:val="FootnoteReference"/>
        </w:rPr>
        <w:footnoteRef/>
      </w:r>
      <w:r>
        <w:t xml:space="preserve"> </w:t>
      </w:r>
      <w:r w:rsidRPr="0019783A">
        <w:rPr>
          <w:lang w:val="en-ZA"/>
        </w:rPr>
        <w:t xml:space="preserve">In </w:t>
      </w:r>
      <w:r w:rsidRPr="00086DCA">
        <w:rPr>
          <w:i/>
          <w:lang w:val="en-ZA"/>
        </w:rPr>
        <w:t>Smit v Bester</w:t>
      </w:r>
      <w:r w:rsidRPr="0019783A">
        <w:rPr>
          <w:lang w:val="en-ZA"/>
        </w:rPr>
        <w:t xml:space="preserve"> 1977 (4) SA 937 (A), the Court held that where section 3 of the Penalties Act is applicable, the</w:t>
      </w:r>
      <w:r w:rsidRPr="00086DCA">
        <w:rPr>
          <w:i/>
          <w:lang w:val="en-ZA"/>
        </w:rPr>
        <w:t xml:space="preserve"> onus</w:t>
      </w:r>
      <w:r w:rsidRPr="00086DCA">
        <w:rPr>
          <w:lang w:val="en-ZA"/>
        </w:rPr>
        <w:t xml:space="preserve"> is on the debtor to show prejudice which the creditor suffered and accordingly that it should be reduced and to what extent. Further, the Court held that when the debtor </w:t>
      </w:r>
      <w:r w:rsidRPr="00086DCA">
        <w:rPr>
          <w:i/>
          <w:lang w:val="en-ZA"/>
        </w:rPr>
        <w:t>prima facie</w:t>
      </w:r>
      <w:r w:rsidRPr="00086DCA">
        <w:rPr>
          <w:lang w:val="en-ZA"/>
        </w:rPr>
        <w:t xml:space="preserve"> proves that the penalty should be reduced then there is an onus to rebut on the creditor to refute the </w:t>
      </w:r>
      <w:r w:rsidRPr="00086DCA">
        <w:rPr>
          <w:i/>
          <w:lang w:val="en-ZA"/>
        </w:rPr>
        <w:t>prima facie</w:t>
      </w:r>
      <w:r w:rsidRPr="00086DCA">
        <w:rPr>
          <w:lang w:val="en-ZA"/>
        </w:rPr>
        <w:t xml:space="preserve"> case of the debtor, if it is possible for him to do so. See also </w:t>
      </w:r>
      <w:r w:rsidRPr="00086DCA">
        <w:rPr>
          <w:i/>
          <w:lang w:val="en-ZA"/>
        </w:rPr>
        <w:t xml:space="preserve">National Sorghum Breweries v International Liquor Distributors </w:t>
      </w:r>
      <w:r w:rsidRPr="00086DCA">
        <w:rPr>
          <w:lang w:val="en-ZA"/>
        </w:rPr>
        <w:t xml:space="preserve">2001 (2) SA 232 (SCA) as well as </w:t>
      </w:r>
      <w:r w:rsidRPr="00086DCA">
        <w:rPr>
          <w:i/>
          <w:lang w:val="en-ZA"/>
        </w:rPr>
        <w:t>Steinburg v Lazant</w:t>
      </w:r>
      <w:r w:rsidRPr="00086DCA">
        <w:rPr>
          <w:lang w:val="en-ZA"/>
        </w:rPr>
        <w:t xml:space="preserve"> 2006 (5) SA 52 (SCA). </w:t>
      </w:r>
    </w:p>
  </w:footnote>
  <w:footnote w:id="49">
    <w:p w14:paraId="45D2D872" w14:textId="77777777" w:rsidR="00B741D6" w:rsidRPr="00B72489" w:rsidRDefault="00B741D6" w:rsidP="008D13A9">
      <w:pPr>
        <w:pStyle w:val="FootnoteText"/>
        <w:spacing w:before="0"/>
        <w:rPr>
          <w:lang w:val="en-ZA"/>
        </w:rPr>
      </w:pPr>
      <w:r>
        <w:rPr>
          <w:rStyle w:val="FootnoteReference"/>
        </w:rPr>
        <w:footnoteRef/>
      </w:r>
      <w:r>
        <w:t xml:space="preserve"> </w:t>
      </w:r>
      <w:r w:rsidRPr="008D13A9">
        <w:rPr>
          <w:color w:val="000000" w:themeColor="text1"/>
          <w:lang w:val="en-ZA"/>
        </w:rPr>
        <w:t xml:space="preserve">See </w:t>
      </w:r>
      <w:r w:rsidRPr="008D13A9">
        <w:rPr>
          <w:i/>
          <w:color w:val="000000" w:themeColor="text1"/>
          <w:lang w:val="en-ZA"/>
        </w:rPr>
        <w:t>Western Credit bank v Kajee</w:t>
      </w:r>
      <w:r w:rsidRPr="008D13A9">
        <w:rPr>
          <w:color w:val="000000" w:themeColor="text1"/>
          <w:lang w:val="en-ZA"/>
        </w:rPr>
        <w:t xml:space="preserve"> 1967 (4) SA 396 (N) where the Court held that the words out of proportion does not postulates that the penalty must be outrageously excessive in relation to the prejudice for the Court to intervene. </w:t>
      </w:r>
    </w:p>
  </w:footnote>
  <w:footnote w:id="50">
    <w:p w14:paraId="44C6756A" w14:textId="77777777" w:rsidR="00B741D6" w:rsidRPr="00F8653F" w:rsidRDefault="00B741D6" w:rsidP="008D13A9">
      <w:pPr>
        <w:pStyle w:val="FootnoteText"/>
        <w:spacing w:before="0"/>
        <w:rPr>
          <w:lang w:val="en-US"/>
        </w:rPr>
      </w:pPr>
      <w:r>
        <w:rPr>
          <w:rStyle w:val="FootnoteReference"/>
        </w:rPr>
        <w:footnoteRef/>
      </w:r>
      <w:r>
        <w:t xml:space="preserve"> </w:t>
      </w:r>
      <w:r>
        <w:rPr>
          <w:lang w:val="en-US"/>
        </w:rPr>
        <w:t xml:space="preserve">See </w:t>
      </w:r>
      <w:r w:rsidRPr="00C25D46">
        <w:rPr>
          <w:i/>
          <w:lang w:val="en-US"/>
        </w:rPr>
        <w:t xml:space="preserve">Magna alloys and Research (SA) (Pty) Ltd v Ellis </w:t>
      </w:r>
      <w:r>
        <w:rPr>
          <w:lang w:val="en-US"/>
        </w:rPr>
        <w:t>1984 (4) SA 874 (A).</w:t>
      </w:r>
    </w:p>
  </w:footnote>
  <w:footnote w:id="51">
    <w:p w14:paraId="0C9341D9" w14:textId="77777777" w:rsidR="00B741D6" w:rsidRPr="00B72489" w:rsidRDefault="00B741D6" w:rsidP="008D13A9">
      <w:pPr>
        <w:pStyle w:val="FootnoteText"/>
        <w:spacing w:before="0"/>
        <w:rPr>
          <w:lang w:val="en-ZA"/>
        </w:rPr>
      </w:pPr>
      <w:r>
        <w:rPr>
          <w:rStyle w:val="FootnoteReference"/>
        </w:rPr>
        <w:footnoteRef/>
      </w:r>
      <w:r>
        <w:t xml:space="preserve"> </w:t>
      </w:r>
      <w:r>
        <w:rPr>
          <w:lang w:val="en-ZA"/>
        </w:rPr>
        <w:t xml:space="preserve">See </w:t>
      </w:r>
      <w:r w:rsidRPr="00B72489">
        <w:rPr>
          <w:i/>
          <w:lang w:val="en-ZA"/>
        </w:rPr>
        <w:t>Digital Direct CC v Le Roux</w:t>
      </w:r>
      <w:r>
        <w:rPr>
          <w:lang w:val="en-ZA"/>
        </w:rPr>
        <w:t xml:space="preserve"> (87605/14) dated 27 July 2020.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127F6" w14:textId="77777777" w:rsidR="00B741D6" w:rsidRDefault="00B741D6">
    <w:pPr>
      <w:pStyle w:val="Header"/>
      <w:jc w:val="center"/>
    </w:pPr>
  </w:p>
  <w:p w14:paraId="6466CCC6" w14:textId="77777777" w:rsidR="00B741D6" w:rsidRDefault="00B741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95BDE"/>
    <w:multiLevelType w:val="multilevel"/>
    <w:tmpl w:val="EC60B9CC"/>
    <w:styleLink w:val="CurrentList19"/>
    <w:lvl w:ilvl="0">
      <w:start w:val="1"/>
      <w:numFmt w:val="decimal"/>
      <w:lvlText w:val="[%1]"/>
      <w:lvlJc w:val="left"/>
      <w:pPr>
        <w:ind w:left="851" w:hanging="851"/>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2">
    <w:nsid w:val="0C473170"/>
    <w:multiLevelType w:val="hybridMultilevel"/>
    <w:tmpl w:val="D2EA0896"/>
    <w:lvl w:ilvl="0" w:tplc="F4E0BB58">
      <w:start w:val="9"/>
      <w:numFmt w:val="bullet"/>
      <w:lvlText w:val="-"/>
      <w:lvlJc w:val="left"/>
      <w:pPr>
        <w:ind w:left="2520" w:hanging="360"/>
      </w:pPr>
      <w:rPr>
        <w:rFonts w:ascii="Arial" w:eastAsia="Calibri" w:hAnsi="Arial" w:cs="Aria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3">
    <w:nsid w:val="0FBD659D"/>
    <w:multiLevelType w:val="multilevel"/>
    <w:tmpl w:val="E398D6EC"/>
    <w:styleLink w:val="CurrentList14"/>
    <w:lvl w:ilvl="0">
      <w:start w:val="1"/>
      <w:numFmt w:val="decimal"/>
      <w:suff w:val="space"/>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711181F"/>
    <w:multiLevelType w:val="multilevel"/>
    <w:tmpl w:val="1E60A63A"/>
    <w:styleLink w:val="CurrentList23"/>
    <w:lvl w:ilvl="0">
      <w:start w:val="1"/>
      <w:numFmt w:val="decimal"/>
      <w:lvlText w:val="[%1]"/>
      <w:lvlJc w:val="left"/>
      <w:pPr>
        <w:ind w:left="1134" w:hanging="1134"/>
      </w:pPr>
      <w:rPr>
        <w:rFonts w:hint="default"/>
      </w:rPr>
    </w:lvl>
    <w:lvl w:ilvl="1">
      <w:start w:val="1"/>
      <w:numFmt w:val="decimal"/>
      <w:lvlRestart w:val="0"/>
      <w:suff w:val="space"/>
      <w:lvlText w:val="[%1.%2]"/>
      <w:lvlJc w:val="left"/>
      <w:pPr>
        <w:ind w:left="1701" w:hanging="134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8301C08"/>
    <w:multiLevelType w:val="hybridMultilevel"/>
    <w:tmpl w:val="15D6F174"/>
    <w:lvl w:ilvl="0" w:tplc="0D44617A">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nsid w:val="1AA317A3"/>
    <w:multiLevelType w:val="multilevel"/>
    <w:tmpl w:val="B24CC402"/>
    <w:styleLink w:val="CurrentList26"/>
    <w:lvl w:ilvl="0">
      <w:start w:val="1"/>
      <w:numFmt w:val="decimal"/>
      <w:isLgl/>
      <w:lvlText w:val="[%1]"/>
      <w:lvlJc w:val="left"/>
      <w:pPr>
        <w:ind w:left="360" w:hanging="360"/>
      </w:pPr>
      <w:rPr>
        <w:rFonts w:hint="default"/>
        <w:i w:val="0"/>
        <w:iCs w:val="0"/>
      </w:rPr>
    </w:lvl>
    <w:lvl w:ilvl="1">
      <w:start w:val="1"/>
      <w:numFmt w:val="decimal"/>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F8E2FB2"/>
    <w:multiLevelType w:val="multilevel"/>
    <w:tmpl w:val="AEC40546"/>
    <w:styleLink w:val="CurrentList8"/>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1882767"/>
    <w:multiLevelType w:val="hybridMultilevel"/>
    <w:tmpl w:val="ED92AC92"/>
    <w:lvl w:ilvl="0" w:tplc="006EFD06">
      <w:start w:val="1"/>
      <w:numFmt w:val="lowerRoman"/>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FE2467"/>
    <w:multiLevelType w:val="hybridMultilevel"/>
    <w:tmpl w:val="4036E4EA"/>
    <w:lvl w:ilvl="0" w:tplc="4E24336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2CB97E42"/>
    <w:multiLevelType w:val="multilevel"/>
    <w:tmpl w:val="AC8ABCC4"/>
    <w:styleLink w:val="CurrentList6"/>
    <w:lvl w:ilvl="0">
      <w:start w:val="1"/>
      <w:numFmt w:val="decimal"/>
      <w:lvlText w:val="[%1]"/>
      <w:lvlJc w:val="left"/>
      <w:pPr>
        <w:ind w:left="360" w:hanging="360"/>
      </w:pPr>
      <w:rPr>
        <w:rFonts w:ascii="Arial" w:hAnsi="Arial" w:hint="default"/>
        <w:sz w:val="24"/>
      </w:rPr>
    </w:lvl>
    <w:lvl w:ilvl="1">
      <w:start w:val="1"/>
      <w:numFmt w:val="decimal"/>
      <w:lvlRestart w:val="0"/>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D555602"/>
    <w:multiLevelType w:val="multilevel"/>
    <w:tmpl w:val="72D4C7D8"/>
    <w:styleLink w:val="CurrentList4"/>
    <w:lvl w:ilvl="0">
      <w:start w:val="1"/>
      <w:numFmt w:val="decimal"/>
      <w:lvlText w:val="[%1]"/>
      <w:lvlJc w:val="left"/>
      <w:pPr>
        <w:ind w:left="360" w:hanging="360"/>
      </w:pPr>
      <w:rPr>
        <w:rFonts w:ascii="Arial" w:hAnsi="Arial" w:hint="default"/>
        <w:sz w:val="24"/>
      </w:rPr>
    </w:lvl>
    <w:lvl w:ilvl="1">
      <w:start w:val="1"/>
      <w:numFmt w:val="decimal"/>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E326D7D"/>
    <w:multiLevelType w:val="multilevel"/>
    <w:tmpl w:val="3EA6DF32"/>
    <w:lvl w:ilvl="0">
      <w:start w:val="1"/>
      <w:numFmt w:val="decimal"/>
      <w:lvlText w:val="[%1]"/>
      <w:lvlJc w:val="left"/>
      <w:pPr>
        <w:ind w:left="720" w:hanging="720"/>
      </w:pPr>
      <w:rPr>
        <w:i w:val="0"/>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600" w:hanging="720"/>
      </w:pPr>
      <w:rPr>
        <w:vertAlign w:val="baseline"/>
      </w:rPr>
    </w:lvl>
    <w:lvl w:ilvl="5">
      <w:start w:val="1"/>
      <w:numFmt w:val="decimal"/>
      <w:lvlText w:val="%1.%2.%3.%4.%5.%6."/>
      <w:lvlJc w:val="left"/>
      <w:pPr>
        <w:ind w:left="4320" w:hanging="720"/>
      </w:pPr>
      <w:rPr>
        <w:vertAlign w:val="baseline"/>
      </w:rPr>
    </w:lvl>
    <w:lvl w:ilvl="6">
      <w:start w:val="1"/>
      <w:numFmt w:val="decimal"/>
      <w:lvlText w:val="%1.%2.%3.%4.%5.%6.%7."/>
      <w:lvlJc w:val="left"/>
      <w:pPr>
        <w:ind w:left="5040" w:hanging="720"/>
      </w:pPr>
      <w:rPr>
        <w:vertAlign w:val="baseline"/>
      </w:rPr>
    </w:lvl>
    <w:lvl w:ilvl="7">
      <w:start w:val="1"/>
      <w:numFmt w:val="decimal"/>
      <w:lvlText w:val="%1.%2.%3.%4.%5.%6.%7.%8."/>
      <w:lvlJc w:val="left"/>
      <w:pPr>
        <w:ind w:left="5760" w:hanging="720"/>
      </w:pPr>
      <w:rPr>
        <w:vertAlign w:val="baseline"/>
      </w:rPr>
    </w:lvl>
    <w:lvl w:ilvl="8">
      <w:start w:val="1"/>
      <w:numFmt w:val="decimal"/>
      <w:lvlText w:val="%1.%2.%3.%4.%5.%6.%7.%8.%9."/>
      <w:lvlJc w:val="left"/>
      <w:pPr>
        <w:ind w:left="6480" w:hanging="720"/>
      </w:pPr>
      <w:rPr>
        <w:vertAlign w:val="baseline"/>
      </w:rPr>
    </w:lvl>
  </w:abstractNum>
  <w:abstractNum w:abstractNumId="13">
    <w:nsid w:val="2EAE150F"/>
    <w:multiLevelType w:val="multilevel"/>
    <w:tmpl w:val="B0F8938C"/>
    <w:styleLink w:val="CurrentList9"/>
    <w:lvl w:ilvl="0">
      <w:start w:val="1"/>
      <w:numFmt w:val="decimal"/>
      <w:lvlText w:val="[%1]"/>
      <w:lvlJc w:val="left"/>
      <w:pPr>
        <w:ind w:left="360" w:hanging="360"/>
      </w:pPr>
      <w:rPr>
        <w:rFonts w:ascii="Arial" w:hAnsi="Arial" w:hint="default"/>
        <w:sz w:val="24"/>
      </w:rPr>
    </w:lvl>
    <w:lvl w:ilvl="1">
      <w:start w:val="1"/>
      <w:numFmt w:val="decimal"/>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0877374"/>
    <w:multiLevelType w:val="multilevel"/>
    <w:tmpl w:val="72D4C7D8"/>
    <w:styleLink w:val="CurrentList5"/>
    <w:lvl w:ilvl="0">
      <w:start w:val="1"/>
      <w:numFmt w:val="decimal"/>
      <w:lvlText w:val="[%1]"/>
      <w:lvlJc w:val="left"/>
      <w:pPr>
        <w:ind w:left="360" w:hanging="360"/>
      </w:pPr>
      <w:rPr>
        <w:rFonts w:ascii="Arial" w:hAnsi="Arial" w:hint="default"/>
        <w:sz w:val="24"/>
      </w:rPr>
    </w:lvl>
    <w:lvl w:ilvl="1">
      <w:start w:val="1"/>
      <w:numFmt w:val="decimal"/>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196092E"/>
    <w:multiLevelType w:val="hybridMultilevel"/>
    <w:tmpl w:val="A2644E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1FB1EA6"/>
    <w:multiLevelType w:val="hybridMultilevel"/>
    <w:tmpl w:val="E5940ACA"/>
    <w:lvl w:ilvl="0" w:tplc="9618BDB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341B2B6E"/>
    <w:multiLevelType w:val="hybridMultilevel"/>
    <w:tmpl w:val="98384100"/>
    <w:lvl w:ilvl="0" w:tplc="29C28240">
      <w:start w:val="1"/>
      <w:numFmt w:val="bullet"/>
      <w:pStyle w:val="Heading4"/>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18">
    <w:nsid w:val="342E79CF"/>
    <w:multiLevelType w:val="hybridMultilevel"/>
    <w:tmpl w:val="82C8B1AE"/>
    <w:lvl w:ilvl="0" w:tplc="7E2A937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36BC0FA0"/>
    <w:multiLevelType w:val="multilevel"/>
    <w:tmpl w:val="996C423C"/>
    <w:styleLink w:val="CurrentList13"/>
    <w:lvl w:ilvl="0">
      <w:start w:val="1"/>
      <w:numFmt w:val="decimal"/>
      <w:suff w:val="space"/>
      <w:lvlText w:val="[%1]"/>
      <w:lvlJc w:val="left"/>
      <w:pPr>
        <w:ind w:left="567" w:hanging="56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89D19B8"/>
    <w:multiLevelType w:val="multilevel"/>
    <w:tmpl w:val="B0F8938C"/>
    <w:styleLink w:val="CurrentList3"/>
    <w:lvl w:ilvl="0">
      <w:start w:val="1"/>
      <w:numFmt w:val="decimal"/>
      <w:lvlText w:val="[%1]"/>
      <w:lvlJc w:val="left"/>
      <w:pPr>
        <w:ind w:left="360" w:hanging="360"/>
      </w:pPr>
      <w:rPr>
        <w:rFonts w:ascii="Arial" w:hAnsi="Arial" w:hint="default"/>
        <w:sz w:val="24"/>
      </w:rPr>
    </w:lvl>
    <w:lvl w:ilvl="1">
      <w:start w:val="1"/>
      <w:numFmt w:val="decimal"/>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C2637D2"/>
    <w:multiLevelType w:val="multilevel"/>
    <w:tmpl w:val="0809001F"/>
    <w:styleLink w:val="CurrentList1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C3B7101"/>
    <w:multiLevelType w:val="multilevel"/>
    <w:tmpl w:val="430C95A2"/>
    <w:styleLink w:val="CurrentList11"/>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08E3F75"/>
    <w:multiLevelType w:val="multilevel"/>
    <w:tmpl w:val="A6DA794E"/>
    <w:styleLink w:val="CurrentList22"/>
    <w:lvl w:ilvl="0">
      <w:start w:val="1"/>
      <w:numFmt w:val="decimal"/>
      <w:lvlText w:val="[%1]"/>
      <w:lvlJc w:val="left"/>
      <w:pPr>
        <w:ind w:left="1134" w:hanging="1134"/>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6A03357"/>
    <w:multiLevelType w:val="multilevel"/>
    <w:tmpl w:val="5A722266"/>
    <w:styleLink w:val="CurrentList20"/>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7DF6BAE"/>
    <w:multiLevelType w:val="multilevel"/>
    <w:tmpl w:val="108C18DA"/>
    <w:styleLink w:val="CurrentList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8FA7264"/>
    <w:multiLevelType w:val="multilevel"/>
    <w:tmpl w:val="46BAB5AA"/>
    <w:styleLink w:val="CurrentList10"/>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97A10DF"/>
    <w:multiLevelType w:val="multilevel"/>
    <w:tmpl w:val="2A4631BA"/>
    <w:lvl w:ilvl="0">
      <w:start w:val="1"/>
      <w:numFmt w:val="decimal"/>
      <w:pStyle w:val="Judgmentparagraph"/>
      <w:lvlText w:val="[%1]"/>
      <w:lvlJc w:val="left"/>
      <w:pPr>
        <w:ind w:left="360" w:hanging="360"/>
      </w:pPr>
      <w:rPr>
        <w:rFonts w:hint="default"/>
        <w:b w:val="0"/>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EC94623"/>
    <w:multiLevelType w:val="multilevel"/>
    <w:tmpl w:val="FA82D546"/>
    <w:lvl w:ilvl="0">
      <w:start w:val="1"/>
      <w:numFmt w:val="decimal"/>
      <w:pStyle w:val="ClaireNew"/>
      <w:lvlText w:val="%1."/>
      <w:lvlJc w:val="left"/>
      <w:pPr>
        <w:tabs>
          <w:tab w:val="num" w:pos="680"/>
        </w:tabs>
        <w:ind w:left="680" w:hanging="680"/>
      </w:pPr>
      <w:rPr>
        <w:rFonts w:ascii="Arial" w:hAnsi="Arial" w:cs="Arial" w:hint="default"/>
        <w:b w:val="0"/>
        <w:i w:val="0"/>
        <w:sz w:val="22"/>
        <w:szCs w:val="22"/>
      </w:rPr>
    </w:lvl>
    <w:lvl w:ilvl="1">
      <w:start w:val="1"/>
      <w:numFmt w:val="decimal"/>
      <w:lvlText w:val="%1.%2."/>
      <w:lvlJc w:val="left"/>
      <w:pPr>
        <w:tabs>
          <w:tab w:val="num" w:pos="1418"/>
        </w:tabs>
        <w:ind w:left="1418" w:hanging="1418"/>
      </w:pPr>
      <w:rPr>
        <w:rFonts w:ascii="Arial" w:hAnsi="Arial" w:cs="Arial" w:hint="default"/>
        <w:i w:val="0"/>
        <w:sz w:val="22"/>
        <w:szCs w:val="22"/>
      </w:rPr>
    </w:lvl>
    <w:lvl w:ilvl="2">
      <w:start w:val="1"/>
      <w:numFmt w:val="decimal"/>
      <w:lvlText w:val="%1.%2.%3."/>
      <w:lvlJc w:val="left"/>
      <w:pPr>
        <w:tabs>
          <w:tab w:val="num" w:pos="2381"/>
        </w:tabs>
        <w:ind w:left="2381" w:hanging="963"/>
      </w:pPr>
      <w:rPr>
        <w:rFonts w:ascii="Arial" w:hAnsi="Arial" w:cs="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9">
    <w:nsid w:val="50922BC3"/>
    <w:multiLevelType w:val="multilevel"/>
    <w:tmpl w:val="E1D096E0"/>
    <w:styleLink w:val="CurrentList21"/>
    <w:lvl w:ilvl="0">
      <w:start w:val="1"/>
      <w:numFmt w:val="decimal"/>
      <w:lvlText w:val="[%1]"/>
      <w:lvlJc w:val="left"/>
      <w:pPr>
        <w:ind w:left="1134" w:hanging="1134"/>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2A00FC8"/>
    <w:multiLevelType w:val="multilevel"/>
    <w:tmpl w:val="D9A6748E"/>
    <w:styleLink w:val="CurrentList17"/>
    <w:lvl w:ilvl="0">
      <w:start w:val="1"/>
      <w:numFmt w:val="decimal"/>
      <w:lvlText w:val="[%1]"/>
      <w:lvlJc w:val="left"/>
      <w:pPr>
        <w:ind w:left="360" w:hanging="360"/>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68735F0"/>
    <w:multiLevelType w:val="multilevel"/>
    <w:tmpl w:val="2FEA9264"/>
    <w:styleLink w:val="CurrentList1"/>
    <w:lvl w:ilvl="0">
      <w:start w:val="1"/>
      <w:numFmt w:val="decimal"/>
      <w:lvlText w:val="[%1]"/>
      <w:lvlJc w:val="left"/>
      <w:pPr>
        <w:ind w:left="360" w:hanging="360"/>
      </w:pPr>
      <w:rPr>
        <w:rFonts w:ascii="Arial" w:hAnsi="Arial" w:hint="default"/>
        <w:sz w:val="24"/>
      </w:rPr>
    </w:lvl>
    <w:lvl w:ilvl="1">
      <w:start w:val="1"/>
      <w:numFmt w:val="decimal"/>
      <w:lvlText w:val="[%2.%1]"/>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57115C65"/>
    <w:multiLevelType w:val="multilevel"/>
    <w:tmpl w:val="95EC162A"/>
    <w:styleLink w:val="CurrentList18"/>
    <w:lvl w:ilvl="0">
      <w:start w:val="1"/>
      <w:numFmt w:val="decimal"/>
      <w:lvlText w:val="[%1]"/>
      <w:lvlJc w:val="left"/>
      <w:pPr>
        <w:ind w:left="1134" w:hanging="1134"/>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7B16D8E"/>
    <w:multiLevelType w:val="hybridMultilevel"/>
    <w:tmpl w:val="69FE9478"/>
    <w:lvl w:ilvl="0" w:tplc="03BE0D76">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5E2F79AA"/>
    <w:multiLevelType w:val="multilevel"/>
    <w:tmpl w:val="B0D2E16A"/>
    <w:lvl w:ilvl="0">
      <w:start w:val="1"/>
      <w:numFmt w:val="decimal"/>
      <w:pStyle w:val="Judgementnumbering"/>
      <w:lvlText w:val="[%1]"/>
      <w:lvlJc w:val="left"/>
      <w:pPr>
        <w:ind w:left="720" w:hanging="720"/>
      </w:pPr>
      <w:rPr>
        <w:rFonts w:hint="default"/>
        <w:i w:val="0"/>
      </w:rPr>
    </w:lvl>
    <w:lvl w:ilvl="1">
      <w:start w:val="1"/>
      <w:numFmt w:val="decimal"/>
      <w:pStyle w:val="listing-level2"/>
      <w:lvlText w:val="%1.%2"/>
      <w:lvlJc w:val="left"/>
      <w:pPr>
        <w:ind w:left="1440" w:hanging="720"/>
      </w:pPr>
      <w:rPr>
        <w:rFonts w:hint="default"/>
      </w:rPr>
    </w:lvl>
    <w:lvl w:ilvl="2">
      <w:start w:val="1"/>
      <w:numFmt w:val="decimal"/>
      <w:pStyle w:val="listing-level3"/>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5">
    <w:nsid w:val="5FDA6C4B"/>
    <w:multiLevelType w:val="multilevel"/>
    <w:tmpl w:val="79CC1FCA"/>
    <w:styleLink w:val="CurrentList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12C275E"/>
    <w:multiLevelType w:val="hybridMultilevel"/>
    <w:tmpl w:val="35CAE986"/>
    <w:lvl w:ilvl="0" w:tplc="2124AA0C">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7">
    <w:nsid w:val="69F115C3"/>
    <w:multiLevelType w:val="hybridMultilevel"/>
    <w:tmpl w:val="0EBA707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8">
    <w:nsid w:val="6CD03248"/>
    <w:multiLevelType w:val="multilevel"/>
    <w:tmpl w:val="AA9CA214"/>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39">
    <w:nsid w:val="6FEC051A"/>
    <w:multiLevelType w:val="multilevel"/>
    <w:tmpl w:val="CE4E28E0"/>
    <w:styleLink w:val="CurrentList12"/>
    <w:lvl w:ilvl="0">
      <w:start w:val="1"/>
      <w:numFmt w:val="decimal"/>
      <w:suff w:val="space"/>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04E2477"/>
    <w:multiLevelType w:val="hybridMultilevel"/>
    <w:tmpl w:val="43AC7280"/>
    <w:lvl w:ilvl="0" w:tplc="1340EB3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nsid w:val="705124FC"/>
    <w:multiLevelType w:val="hybridMultilevel"/>
    <w:tmpl w:val="2A987A1C"/>
    <w:lvl w:ilvl="0" w:tplc="94E802DC">
      <w:start w:val="1"/>
      <w:numFmt w:val="decimal"/>
      <w:lvlText w:val="%1"/>
      <w:lvlJc w:val="left"/>
      <w:pPr>
        <w:tabs>
          <w:tab w:val="num" w:pos="284"/>
        </w:tabs>
        <w:ind w:left="284" w:hanging="28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8B21DB0"/>
    <w:multiLevelType w:val="hybridMultilevel"/>
    <w:tmpl w:val="96EEC660"/>
    <w:lvl w:ilvl="0" w:tplc="0958B6EA">
      <w:start w:val="1"/>
      <w:numFmt w:val="decimal"/>
      <w:pStyle w:val="ListParagraph"/>
      <w:lvlText w:val="[%1]"/>
      <w:lvlJc w:val="left"/>
      <w:pPr>
        <w:ind w:left="502" w:hanging="360"/>
      </w:pPr>
      <w:rPr>
        <w:rFonts w:ascii="Arial" w:hAnsi="Arial" w:cs="Arial" w:hint="default"/>
        <w:i w:val="0"/>
        <w:sz w:val="24"/>
        <w:szCs w:val="24"/>
      </w:rPr>
    </w:lvl>
    <w:lvl w:ilvl="1" w:tplc="0409001B">
      <w:start w:val="1"/>
      <w:numFmt w:val="lowerRoman"/>
      <w:lvlText w:val="%2."/>
      <w:lvlJc w:val="right"/>
      <w:pPr>
        <w:ind w:left="4320" w:hanging="360"/>
      </w:pPr>
    </w:lvl>
    <w:lvl w:ilvl="2" w:tplc="04090019">
      <w:start w:val="1"/>
      <w:numFmt w:val="lowerLetter"/>
      <w:lvlText w:val="%3."/>
      <w:lvlJc w:val="lef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3">
    <w:nsid w:val="7B84454A"/>
    <w:multiLevelType w:val="multilevel"/>
    <w:tmpl w:val="555ABABA"/>
    <w:styleLink w:val="CurrentList25"/>
    <w:lvl w:ilvl="0">
      <w:start w:val="1"/>
      <w:numFmt w:val="decimal"/>
      <w:lvlText w:val="[%1]"/>
      <w:lvlJc w:val="left"/>
      <w:pPr>
        <w:ind w:left="360" w:hanging="360"/>
      </w:pPr>
      <w:rPr>
        <w:rFonts w:hint="default"/>
        <w:i w:val="0"/>
        <w:iCs w:val="0"/>
      </w:rPr>
    </w:lvl>
    <w:lvl w:ilvl="1">
      <w:start w:val="1"/>
      <w:numFmt w:val="decimal"/>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7DAE61EB"/>
    <w:multiLevelType w:val="multilevel"/>
    <w:tmpl w:val="D6BCA2D2"/>
    <w:styleLink w:val="CurrentList24"/>
    <w:lvl w:ilvl="0">
      <w:start w:val="1"/>
      <w:numFmt w:val="decimal"/>
      <w:lvlText w:val="[%1]"/>
      <w:lvlJc w:val="left"/>
      <w:pPr>
        <w:ind w:left="1134" w:hanging="1134"/>
      </w:pPr>
      <w:rPr>
        <w:rFonts w:hint="default"/>
      </w:rPr>
    </w:lvl>
    <w:lvl w:ilvl="1">
      <w:start w:val="1"/>
      <w:numFmt w:val="decimal"/>
      <w:lvlRestart w:val="0"/>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E096478"/>
    <w:multiLevelType w:val="multilevel"/>
    <w:tmpl w:val="2FEA9264"/>
    <w:styleLink w:val="CurrentList2"/>
    <w:lvl w:ilvl="0">
      <w:start w:val="1"/>
      <w:numFmt w:val="decimal"/>
      <w:lvlText w:val="[%1]"/>
      <w:lvlJc w:val="left"/>
      <w:pPr>
        <w:ind w:left="360" w:hanging="360"/>
      </w:pPr>
      <w:rPr>
        <w:rFonts w:ascii="Arial" w:hAnsi="Arial" w:hint="default"/>
        <w:sz w:val="24"/>
      </w:rPr>
    </w:lvl>
    <w:lvl w:ilvl="1">
      <w:start w:val="1"/>
      <w:numFmt w:val="decimal"/>
      <w:lvlText w:val="[%2.%1]"/>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7FC02BA1"/>
    <w:multiLevelType w:val="multilevel"/>
    <w:tmpl w:val="851CF48C"/>
    <w:styleLink w:val="CurrentList27"/>
    <w:lvl w:ilvl="0">
      <w:start w:val="1"/>
      <w:numFmt w:val="decimal"/>
      <w:lvlText w:val="%1)"/>
      <w:lvlJc w:val="left"/>
      <w:pPr>
        <w:ind w:left="360" w:hanging="360"/>
      </w:pPr>
      <w:rPr>
        <w:rFonts w:hint="default"/>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45"/>
  </w:num>
  <w:num w:numId="4">
    <w:abstractNumId w:val="20"/>
  </w:num>
  <w:num w:numId="5">
    <w:abstractNumId w:val="11"/>
  </w:num>
  <w:num w:numId="6">
    <w:abstractNumId w:val="14"/>
  </w:num>
  <w:num w:numId="7">
    <w:abstractNumId w:val="10"/>
  </w:num>
  <w:num w:numId="8">
    <w:abstractNumId w:val="25"/>
  </w:num>
  <w:num w:numId="9">
    <w:abstractNumId w:val="7"/>
  </w:num>
  <w:num w:numId="10">
    <w:abstractNumId w:val="13"/>
  </w:num>
  <w:num w:numId="11">
    <w:abstractNumId w:val="26"/>
  </w:num>
  <w:num w:numId="12">
    <w:abstractNumId w:val="22"/>
  </w:num>
  <w:num w:numId="13">
    <w:abstractNumId w:val="39"/>
  </w:num>
  <w:num w:numId="14">
    <w:abstractNumId w:val="19"/>
  </w:num>
  <w:num w:numId="15">
    <w:abstractNumId w:val="3"/>
  </w:num>
  <w:num w:numId="16">
    <w:abstractNumId w:val="17"/>
  </w:num>
  <w:num w:numId="17">
    <w:abstractNumId w:val="21"/>
  </w:num>
  <w:num w:numId="18">
    <w:abstractNumId w:val="35"/>
  </w:num>
  <w:num w:numId="19">
    <w:abstractNumId w:val="30"/>
  </w:num>
  <w:num w:numId="20">
    <w:abstractNumId w:val="32"/>
  </w:num>
  <w:num w:numId="21">
    <w:abstractNumId w:val="0"/>
  </w:num>
  <w:num w:numId="22">
    <w:abstractNumId w:val="24"/>
  </w:num>
  <w:num w:numId="23">
    <w:abstractNumId w:val="27"/>
  </w:num>
  <w:num w:numId="24">
    <w:abstractNumId w:val="29"/>
  </w:num>
  <w:num w:numId="25">
    <w:abstractNumId w:val="23"/>
  </w:num>
  <w:num w:numId="26">
    <w:abstractNumId w:val="4"/>
  </w:num>
  <w:num w:numId="27">
    <w:abstractNumId w:val="44"/>
  </w:num>
  <w:num w:numId="28">
    <w:abstractNumId w:val="8"/>
  </w:num>
  <w:num w:numId="29">
    <w:abstractNumId w:val="43"/>
  </w:num>
  <w:num w:numId="30">
    <w:abstractNumId w:val="6"/>
  </w:num>
  <w:num w:numId="31">
    <w:abstractNumId w:val="46"/>
  </w:num>
  <w:num w:numId="32">
    <w:abstractNumId w:val="42"/>
  </w:num>
  <w:num w:numId="33">
    <w:abstractNumId w:val="1"/>
  </w:num>
  <w:num w:numId="34">
    <w:abstractNumId w:val="34"/>
  </w:num>
  <w:num w:numId="35">
    <w:abstractNumId w:val="38"/>
  </w:num>
  <w:num w:numId="36">
    <w:abstractNumId w:val="2"/>
  </w:num>
  <w:num w:numId="37">
    <w:abstractNumId w:val="41"/>
  </w:num>
  <w:num w:numId="38">
    <w:abstractNumId w:val="37"/>
  </w:num>
  <w:num w:numId="39">
    <w:abstractNumId w:val="12"/>
  </w:num>
  <w:num w:numId="40">
    <w:abstractNumId w:val="28"/>
  </w:num>
  <w:num w:numId="41">
    <w:abstractNumId w:val="5"/>
  </w:num>
  <w:num w:numId="42">
    <w:abstractNumId w:val="40"/>
  </w:num>
  <w:num w:numId="43">
    <w:abstractNumId w:val="33"/>
  </w:num>
  <w:num w:numId="44">
    <w:abstractNumId w:val="36"/>
  </w:num>
  <w:num w:numId="45">
    <w:abstractNumId w:val="16"/>
  </w:num>
  <w:num w:numId="46">
    <w:abstractNumId w:val="18"/>
  </w:num>
  <w:num w:numId="47">
    <w:abstractNumId w:val="9"/>
  </w:num>
  <w:num w:numId="48">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MasFAFup+yEtAAAA"/>
    <w:docVar w:name="EN.InstantFormat" w:val="&lt;ENInstantFormat&gt;&lt;Enabled&gt;1&lt;/Enabled&gt;&lt;ScanUnformatted&gt;1&lt;/ScanUnformatted&gt;&lt;ScanChanges&gt;1&lt;/ScanChanges&gt;&lt;Suspended&gt;1&lt;/Suspended&gt;&lt;/ENInstantFormat&gt;"/>
    <w:docVar w:name="EN.Layout" w:val="&lt;ENLayout&gt;&lt;Style&gt;StellL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x9vzwfs7e50xsezdf3xt0tf5zpvtf2fe9r0&quot;&gt;My EndNote Library-Converted1&lt;record-ids&gt;&lt;item&gt;445&lt;/item&gt;&lt;item&gt;1363&lt;/item&gt;&lt;item&gt;1524&lt;/item&gt;&lt;item&gt;1525&lt;/item&gt;&lt;item&gt;1593&lt;/item&gt;&lt;item&gt;1594&lt;/item&gt;&lt;item&gt;1595&lt;/item&gt;&lt;item&gt;1596&lt;/item&gt;&lt;item&gt;1598&lt;/item&gt;&lt;item&gt;1600&lt;/item&gt;&lt;item&gt;1602&lt;/item&gt;&lt;item&gt;1603&lt;/item&gt;&lt;item&gt;1604&lt;/item&gt;&lt;item&gt;1605&lt;/item&gt;&lt;item&gt;1606&lt;/item&gt;&lt;item&gt;1608&lt;/item&gt;&lt;item&gt;1609&lt;/item&gt;&lt;item&gt;1610&lt;/item&gt;&lt;item&gt;1611&lt;/item&gt;&lt;item&gt;1612&lt;/item&gt;&lt;item&gt;1613&lt;/item&gt;&lt;item&gt;1616&lt;/item&gt;&lt;item&gt;1618&lt;/item&gt;&lt;item&gt;1619&lt;/item&gt;&lt;item&gt;1620&lt;/item&gt;&lt;item&gt;1621&lt;/item&gt;&lt;item&gt;1622&lt;/item&gt;&lt;item&gt;1624&lt;/item&gt;&lt;item&gt;1625&lt;/item&gt;&lt;item&gt;1626&lt;/item&gt;&lt;/record-ids&gt;&lt;/item&gt;&lt;/Libraries&gt;"/>
  </w:docVars>
  <w:rsids>
    <w:rsidRoot w:val="00F142B1"/>
    <w:rsid w:val="0000007B"/>
    <w:rsid w:val="0000112A"/>
    <w:rsid w:val="00001532"/>
    <w:rsid w:val="00001B0D"/>
    <w:rsid w:val="000020B7"/>
    <w:rsid w:val="00002103"/>
    <w:rsid w:val="00002170"/>
    <w:rsid w:val="0000244E"/>
    <w:rsid w:val="0000273A"/>
    <w:rsid w:val="00002A72"/>
    <w:rsid w:val="00002C81"/>
    <w:rsid w:val="00003CBE"/>
    <w:rsid w:val="00004997"/>
    <w:rsid w:val="00004F7C"/>
    <w:rsid w:val="000054B4"/>
    <w:rsid w:val="000055D3"/>
    <w:rsid w:val="0000567D"/>
    <w:rsid w:val="00005C66"/>
    <w:rsid w:val="00005F8E"/>
    <w:rsid w:val="000063CE"/>
    <w:rsid w:val="00006F54"/>
    <w:rsid w:val="00007ADD"/>
    <w:rsid w:val="00010083"/>
    <w:rsid w:val="00010119"/>
    <w:rsid w:val="000103FA"/>
    <w:rsid w:val="0001114D"/>
    <w:rsid w:val="00012309"/>
    <w:rsid w:val="000156C4"/>
    <w:rsid w:val="00015828"/>
    <w:rsid w:val="00015FFE"/>
    <w:rsid w:val="000171DB"/>
    <w:rsid w:val="000176C9"/>
    <w:rsid w:val="000177D8"/>
    <w:rsid w:val="0001786F"/>
    <w:rsid w:val="000179BF"/>
    <w:rsid w:val="000203E2"/>
    <w:rsid w:val="000206BD"/>
    <w:rsid w:val="00020B23"/>
    <w:rsid w:val="0002188D"/>
    <w:rsid w:val="00021D10"/>
    <w:rsid w:val="00021ECC"/>
    <w:rsid w:val="00022C86"/>
    <w:rsid w:val="00022FDF"/>
    <w:rsid w:val="000230BD"/>
    <w:rsid w:val="00023275"/>
    <w:rsid w:val="000235AF"/>
    <w:rsid w:val="00023CAC"/>
    <w:rsid w:val="0002404E"/>
    <w:rsid w:val="00024E0F"/>
    <w:rsid w:val="00025126"/>
    <w:rsid w:val="000254D3"/>
    <w:rsid w:val="000257A9"/>
    <w:rsid w:val="00026778"/>
    <w:rsid w:val="00027329"/>
    <w:rsid w:val="00027471"/>
    <w:rsid w:val="000274E7"/>
    <w:rsid w:val="000279ED"/>
    <w:rsid w:val="00027B80"/>
    <w:rsid w:val="0003083D"/>
    <w:rsid w:val="00031143"/>
    <w:rsid w:val="000317A3"/>
    <w:rsid w:val="00032013"/>
    <w:rsid w:val="000322E8"/>
    <w:rsid w:val="0003256C"/>
    <w:rsid w:val="00032C78"/>
    <w:rsid w:val="00032FC2"/>
    <w:rsid w:val="00034E27"/>
    <w:rsid w:val="00035399"/>
    <w:rsid w:val="00035538"/>
    <w:rsid w:val="00035BF5"/>
    <w:rsid w:val="00035F94"/>
    <w:rsid w:val="000367C1"/>
    <w:rsid w:val="000369A7"/>
    <w:rsid w:val="00036BF1"/>
    <w:rsid w:val="00036C11"/>
    <w:rsid w:val="00036DF7"/>
    <w:rsid w:val="00037CA8"/>
    <w:rsid w:val="000400FA"/>
    <w:rsid w:val="000403A0"/>
    <w:rsid w:val="000406C2"/>
    <w:rsid w:val="00041D2B"/>
    <w:rsid w:val="000422BC"/>
    <w:rsid w:val="00045138"/>
    <w:rsid w:val="00045700"/>
    <w:rsid w:val="000462D7"/>
    <w:rsid w:val="00046AC5"/>
    <w:rsid w:val="00050F0F"/>
    <w:rsid w:val="0005185D"/>
    <w:rsid w:val="00051C95"/>
    <w:rsid w:val="000532D0"/>
    <w:rsid w:val="00055B82"/>
    <w:rsid w:val="00055BFD"/>
    <w:rsid w:val="00060089"/>
    <w:rsid w:val="00060196"/>
    <w:rsid w:val="00060836"/>
    <w:rsid w:val="00060B7B"/>
    <w:rsid w:val="00060C8A"/>
    <w:rsid w:val="00061538"/>
    <w:rsid w:val="0006181E"/>
    <w:rsid w:val="00061DD1"/>
    <w:rsid w:val="00062130"/>
    <w:rsid w:val="00062922"/>
    <w:rsid w:val="00062F09"/>
    <w:rsid w:val="0006377B"/>
    <w:rsid w:val="00064222"/>
    <w:rsid w:val="00064763"/>
    <w:rsid w:val="000649D6"/>
    <w:rsid w:val="00064E5B"/>
    <w:rsid w:val="00065C5B"/>
    <w:rsid w:val="00065E8F"/>
    <w:rsid w:val="00065F20"/>
    <w:rsid w:val="000664E5"/>
    <w:rsid w:val="00070056"/>
    <w:rsid w:val="0007071D"/>
    <w:rsid w:val="00070B59"/>
    <w:rsid w:val="00070EB1"/>
    <w:rsid w:val="00071CF7"/>
    <w:rsid w:val="00072699"/>
    <w:rsid w:val="0007288F"/>
    <w:rsid w:val="00072C0C"/>
    <w:rsid w:val="00072D8C"/>
    <w:rsid w:val="0007341A"/>
    <w:rsid w:val="0007344D"/>
    <w:rsid w:val="000734D0"/>
    <w:rsid w:val="00073D36"/>
    <w:rsid w:val="00073FA1"/>
    <w:rsid w:val="00074073"/>
    <w:rsid w:val="00074544"/>
    <w:rsid w:val="00074DF7"/>
    <w:rsid w:val="00074E72"/>
    <w:rsid w:val="00075B0F"/>
    <w:rsid w:val="00075F85"/>
    <w:rsid w:val="000760AA"/>
    <w:rsid w:val="000769B8"/>
    <w:rsid w:val="00076D45"/>
    <w:rsid w:val="00076E83"/>
    <w:rsid w:val="000771CB"/>
    <w:rsid w:val="0007725D"/>
    <w:rsid w:val="00077F2A"/>
    <w:rsid w:val="0008099B"/>
    <w:rsid w:val="000809D6"/>
    <w:rsid w:val="00080C4B"/>
    <w:rsid w:val="00081047"/>
    <w:rsid w:val="000813B3"/>
    <w:rsid w:val="0008149E"/>
    <w:rsid w:val="000817BF"/>
    <w:rsid w:val="00081CDC"/>
    <w:rsid w:val="000823F2"/>
    <w:rsid w:val="00082D55"/>
    <w:rsid w:val="000838A8"/>
    <w:rsid w:val="00084058"/>
    <w:rsid w:val="000852D8"/>
    <w:rsid w:val="0008530C"/>
    <w:rsid w:val="00085CA1"/>
    <w:rsid w:val="00086DCA"/>
    <w:rsid w:val="00087A9C"/>
    <w:rsid w:val="00090049"/>
    <w:rsid w:val="00090328"/>
    <w:rsid w:val="0009046E"/>
    <w:rsid w:val="00091185"/>
    <w:rsid w:val="00091A61"/>
    <w:rsid w:val="00091A89"/>
    <w:rsid w:val="00092153"/>
    <w:rsid w:val="0009232A"/>
    <w:rsid w:val="0009290D"/>
    <w:rsid w:val="00094966"/>
    <w:rsid w:val="00094B43"/>
    <w:rsid w:val="00094E48"/>
    <w:rsid w:val="000956BC"/>
    <w:rsid w:val="000958FE"/>
    <w:rsid w:val="00095AEA"/>
    <w:rsid w:val="000961DB"/>
    <w:rsid w:val="00096DAE"/>
    <w:rsid w:val="00096FFF"/>
    <w:rsid w:val="0009779B"/>
    <w:rsid w:val="000A03DD"/>
    <w:rsid w:val="000A0887"/>
    <w:rsid w:val="000A0B3B"/>
    <w:rsid w:val="000A0B7F"/>
    <w:rsid w:val="000A0E23"/>
    <w:rsid w:val="000A0FE8"/>
    <w:rsid w:val="000A1207"/>
    <w:rsid w:val="000A370C"/>
    <w:rsid w:val="000A3C9A"/>
    <w:rsid w:val="000A3E11"/>
    <w:rsid w:val="000A4062"/>
    <w:rsid w:val="000A4A70"/>
    <w:rsid w:val="000A518B"/>
    <w:rsid w:val="000A53C6"/>
    <w:rsid w:val="000A5A2F"/>
    <w:rsid w:val="000A6421"/>
    <w:rsid w:val="000A71CD"/>
    <w:rsid w:val="000A762C"/>
    <w:rsid w:val="000A7776"/>
    <w:rsid w:val="000A7D3D"/>
    <w:rsid w:val="000B0308"/>
    <w:rsid w:val="000B0D59"/>
    <w:rsid w:val="000B11A6"/>
    <w:rsid w:val="000B1AFB"/>
    <w:rsid w:val="000B1DAC"/>
    <w:rsid w:val="000B2058"/>
    <w:rsid w:val="000B2E75"/>
    <w:rsid w:val="000B36CC"/>
    <w:rsid w:val="000B397C"/>
    <w:rsid w:val="000B3C6D"/>
    <w:rsid w:val="000B3F5A"/>
    <w:rsid w:val="000B4025"/>
    <w:rsid w:val="000B469E"/>
    <w:rsid w:val="000B4AD2"/>
    <w:rsid w:val="000B4E25"/>
    <w:rsid w:val="000B5A68"/>
    <w:rsid w:val="000B5BEE"/>
    <w:rsid w:val="000B6169"/>
    <w:rsid w:val="000B6D81"/>
    <w:rsid w:val="000B6F80"/>
    <w:rsid w:val="000B787E"/>
    <w:rsid w:val="000B7F0B"/>
    <w:rsid w:val="000C02F7"/>
    <w:rsid w:val="000C0753"/>
    <w:rsid w:val="000C0904"/>
    <w:rsid w:val="000C0C3C"/>
    <w:rsid w:val="000C1379"/>
    <w:rsid w:val="000C183E"/>
    <w:rsid w:val="000C18FE"/>
    <w:rsid w:val="000C1968"/>
    <w:rsid w:val="000C1B02"/>
    <w:rsid w:val="000C2246"/>
    <w:rsid w:val="000C23A9"/>
    <w:rsid w:val="000C2E4A"/>
    <w:rsid w:val="000C310D"/>
    <w:rsid w:val="000C32DF"/>
    <w:rsid w:val="000C3903"/>
    <w:rsid w:val="000C3B9D"/>
    <w:rsid w:val="000C4B03"/>
    <w:rsid w:val="000C4CCB"/>
    <w:rsid w:val="000C4FFC"/>
    <w:rsid w:val="000C523F"/>
    <w:rsid w:val="000C5861"/>
    <w:rsid w:val="000C5993"/>
    <w:rsid w:val="000C69AB"/>
    <w:rsid w:val="000C6A50"/>
    <w:rsid w:val="000C6AC9"/>
    <w:rsid w:val="000C7ED3"/>
    <w:rsid w:val="000D1433"/>
    <w:rsid w:val="000D18EC"/>
    <w:rsid w:val="000D205D"/>
    <w:rsid w:val="000D397F"/>
    <w:rsid w:val="000D5CB8"/>
    <w:rsid w:val="000D647E"/>
    <w:rsid w:val="000D692F"/>
    <w:rsid w:val="000D6CA0"/>
    <w:rsid w:val="000D7582"/>
    <w:rsid w:val="000D7FA9"/>
    <w:rsid w:val="000E009C"/>
    <w:rsid w:val="000E13AC"/>
    <w:rsid w:val="000E15F4"/>
    <w:rsid w:val="000E165F"/>
    <w:rsid w:val="000E17F6"/>
    <w:rsid w:val="000E2182"/>
    <w:rsid w:val="000E2944"/>
    <w:rsid w:val="000E2A13"/>
    <w:rsid w:val="000E37A3"/>
    <w:rsid w:val="000E39C4"/>
    <w:rsid w:val="000E49A8"/>
    <w:rsid w:val="000E4A8C"/>
    <w:rsid w:val="000E4DD3"/>
    <w:rsid w:val="000E4E88"/>
    <w:rsid w:val="000E5467"/>
    <w:rsid w:val="000E599D"/>
    <w:rsid w:val="000E5B83"/>
    <w:rsid w:val="000E5E05"/>
    <w:rsid w:val="000E62AF"/>
    <w:rsid w:val="000E6A91"/>
    <w:rsid w:val="000E6DCE"/>
    <w:rsid w:val="000E7A00"/>
    <w:rsid w:val="000E7EF8"/>
    <w:rsid w:val="000F020C"/>
    <w:rsid w:val="000F209F"/>
    <w:rsid w:val="000F2B61"/>
    <w:rsid w:val="000F2F83"/>
    <w:rsid w:val="000F34E1"/>
    <w:rsid w:val="000F382D"/>
    <w:rsid w:val="000F40EC"/>
    <w:rsid w:val="000F4953"/>
    <w:rsid w:val="000F5A1C"/>
    <w:rsid w:val="000F66DD"/>
    <w:rsid w:val="000F680D"/>
    <w:rsid w:val="000F6F37"/>
    <w:rsid w:val="000F7246"/>
    <w:rsid w:val="000F7E3B"/>
    <w:rsid w:val="000F7E48"/>
    <w:rsid w:val="00100F2D"/>
    <w:rsid w:val="00101200"/>
    <w:rsid w:val="00102BAC"/>
    <w:rsid w:val="00103781"/>
    <w:rsid w:val="00103F99"/>
    <w:rsid w:val="00104150"/>
    <w:rsid w:val="00105106"/>
    <w:rsid w:val="0010514A"/>
    <w:rsid w:val="001051BF"/>
    <w:rsid w:val="0010542D"/>
    <w:rsid w:val="0010564D"/>
    <w:rsid w:val="00105A4B"/>
    <w:rsid w:val="00105D6A"/>
    <w:rsid w:val="00105D99"/>
    <w:rsid w:val="00105FD3"/>
    <w:rsid w:val="001062B3"/>
    <w:rsid w:val="00106334"/>
    <w:rsid w:val="001069B2"/>
    <w:rsid w:val="00106A29"/>
    <w:rsid w:val="00106E48"/>
    <w:rsid w:val="00107A92"/>
    <w:rsid w:val="00107F9B"/>
    <w:rsid w:val="00111644"/>
    <w:rsid w:val="00111B49"/>
    <w:rsid w:val="00112471"/>
    <w:rsid w:val="00113617"/>
    <w:rsid w:val="00113635"/>
    <w:rsid w:val="00113E28"/>
    <w:rsid w:val="00113E97"/>
    <w:rsid w:val="001152C2"/>
    <w:rsid w:val="0011543E"/>
    <w:rsid w:val="00116537"/>
    <w:rsid w:val="001167B4"/>
    <w:rsid w:val="001168EC"/>
    <w:rsid w:val="001176BA"/>
    <w:rsid w:val="0012025C"/>
    <w:rsid w:val="0012079B"/>
    <w:rsid w:val="00120CE9"/>
    <w:rsid w:val="00121004"/>
    <w:rsid w:val="00121294"/>
    <w:rsid w:val="0012171D"/>
    <w:rsid w:val="0012244D"/>
    <w:rsid w:val="00122A26"/>
    <w:rsid w:val="00122D3B"/>
    <w:rsid w:val="00123AF6"/>
    <w:rsid w:val="00124C87"/>
    <w:rsid w:val="0012537E"/>
    <w:rsid w:val="0012580E"/>
    <w:rsid w:val="00125917"/>
    <w:rsid w:val="00125A23"/>
    <w:rsid w:val="00125E7E"/>
    <w:rsid w:val="00125ECB"/>
    <w:rsid w:val="00126105"/>
    <w:rsid w:val="00126196"/>
    <w:rsid w:val="0012642B"/>
    <w:rsid w:val="00126AFE"/>
    <w:rsid w:val="00127017"/>
    <w:rsid w:val="001274C9"/>
    <w:rsid w:val="001277ED"/>
    <w:rsid w:val="00127F08"/>
    <w:rsid w:val="00127F3D"/>
    <w:rsid w:val="001307CB"/>
    <w:rsid w:val="001312EC"/>
    <w:rsid w:val="00132002"/>
    <w:rsid w:val="001326BF"/>
    <w:rsid w:val="001334D0"/>
    <w:rsid w:val="00133B1F"/>
    <w:rsid w:val="00134192"/>
    <w:rsid w:val="00134ABA"/>
    <w:rsid w:val="00134C2E"/>
    <w:rsid w:val="00135882"/>
    <w:rsid w:val="00135DE6"/>
    <w:rsid w:val="00136128"/>
    <w:rsid w:val="001363C9"/>
    <w:rsid w:val="00136DCD"/>
    <w:rsid w:val="0013720D"/>
    <w:rsid w:val="00137489"/>
    <w:rsid w:val="00137D9B"/>
    <w:rsid w:val="00140BF2"/>
    <w:rsid w:val="00140F30"/>
    <w:rsid w:val="00141DD9"/>
    <w:rsid w:val="0014280A"/>
    <w:rsid w:val="00142C14"/>
    <w:rsid w:val="001434C3"/>
    <w:rsid w:val="001434C4"/>
    <w:rsid w:val="001435D2"/>
    <w:rsid w:val="00143D7B"/>
    <w:rsid w:val="001441F1"/>
    <w:rsid w:val="001442DA"/>
    <w:rsid w:val="00146286"/>
    <w:rsid w:val="0014649A"/>
    <w:rsid w:val="001470B9"/>
    <w:rsid w:val="0014739E"/>
    <w:rsid w:val="00150405"/>
    <w:rsid w:val="001506E6"/>
    <w:rsid w:val="00150974"/>
    <w:rsid w:val="00151DC3"/>
    <w:rsid w:val="00151DEB"/>
    <w:rsid w:val="001521AC"/>
    <w:rsid w:val="001525ED"/>
    <w:rsid w:val="0015280B"/>
    <w:rsid w:val="0015314C"/>
    <w:rsid w:val="00153851"/>
    <w:rsid w:val="00153D0F"/>
    <w:rsid w:val="00153ED5"/>
    <w:rsid w:val="00153F59"/>
    <w:rsid w:val="0015408F"/>
    <w:rsid w:val="00154895"/>
    <w:rsid w:val="00154B42"/>
    <w:rsid w:val="00154F62"/>
    <w:rsid w:val="00155217"/>
    <w:rsid w:val="0015522B"/>
    <w:rsid w:val="001557E6"/>
    <w:rsid w:val="00155E8A"/>
    <w:rsid w:val="001564DC"/>
    <w:rsid w:val="001564E3"/>
    <w:rsid w:val="0015653F"/>
    <w:rsid w:val="00156E28"/>
    <w:rsid w:val="00156E66"/>
    <w:rsid w:val="0015765D"/>
    <w:rsid w:val="001578D3"/>
    <w:rsid w:val="00157C7A"/>
    <w:rsid w:val="00157E11"/>
    <w:rsid w:val="0016057B"/>
    <w:rsid w:val="00160793"/>
    <w:rsid w:val="00160B5D"/>
    <w:rsid w:val="0016180C"/>
    <w:rsid w:val="00162087"/>
    <w:rsid w:val="00162177"/>
    <w:rsid w:val="0016247F"/>
    <w:rsid w:val="00162779"/>
    <w:rsid w:val="00162B63"/>
    <w:rsid w:val="00162C52"/>
    <w:rsid w:val="00162C6B"/>
    <w:rsid w:val="00163486"/>
    <w:rsid w:val="00163797"/>
    <w:rsid w:val="001637F1"/>
    <w:rsid w:val="00164075"/>
    <w:rsid w:val="00164B19"/>
    <w:rsid w:val="001664B3"/>
    <w:rsid w:val="001679BD"/>
    <w:rsid w:val="00167DB6"/>
    <w:rsid w:val="00167F3E"/>
    <w:rsid w:val="00170898"/>
    <w:rsid w:val="00170ACD"/>
    <w:rsid w:val="00170C19"/>
    <w:rsid w:val="00170FC2"/>
    <w:rsid w:val="0017167F"/>
    <w:rsid w:val="00172B6E"/>
    <w:rsid w:val="00172CF7"/>
    <w:rsid w:val="00172E1D"/>
    <w:rsid w:val="00173046"/>
    <w:rsid w:val="00173785"/>
    <w:rsid w:val="00173B1C"/>
    <w:rsid w:val="0017402E"/>
    <w:rsid w:val="0017406D"/>
    <w:rsid w:val="00174339"/>
    <w:rsid w:val="00175560"/>
    <w:rsid w:val="00175864"/>
    <w:rsid w:val="00175ABF"/>
    <w:rsid w:val="00175CF6"/>
    <w:rsid w:val="001760EC"/>
    <w:rsid w:val="00176118"/>
    <w:rsid w:val="00176875"/>
    <w:rsid w:val="001768D2"/>
    <w:rsid w:val="00176E94"/>
    <w:rsid w:val="00177303"/>
    <w:rsid w:val="00177800"/>
    <w:rsid w:val="00180053"/>
    <w:rsid w:val="001806BD"/>
    <w:rsid w:val="00180745"/>
    <w:rsid w:val="00180852"/>
    <w:rsid w:val="00180B91"/>
    <w:rsid w:val="00180FAA"/>
    <w:rsid w:val="00181603"/>
    <w:rsid w:val="0018165F"/>
    <w:rsid w:val="0018273B"/>
    <w:rsid w:val="00182894"/>
    <w:rsid w:val="00182A8B"/>
    <w:rsid w:val="00182AE0"/>
    <w:rsid w:val="00182C88"/>
    <w:rsid w:val="00183417"/>
    <w:rsid w:val="0018381F"/>
    <w:rsid w:val="00183C7D"/>
    <w:rsid w:val="0018405E"/>
    <w:rsid w:val="0018490C"/>
    <w:rsid w:val="00184C2E"/>
    <w:rsid w:val="00185BF9"/>
    <w:rsid w:val="0018606E"/>
    <w:rsid w:val="0018677F"/>
    <w:rsid w:val="00186C60"/>
    <w:rsid w:val="00186DD7"/>
    <w:rsid w:val="00187295"/>
    <w:rsid w:val="001877B3"/>
    <w:rsid w:val="00187D7E"/>
    <w:rsid w:val="0019113E"/>
    <w:rsid w:val="00191FEC"/>
    <w:rsid w:val="001933F8"/>
    <w:rsid w:val="00193443"/>
    <w:rsid w:val="0019494B"/>
    <w:rsid w:val="00194A07"/>
    <w:rsid w:val="00195336"/>
    <w:rsid w:val="00195D50"/>
    <w:rsid w:val="001964FD"/>
    <w:rsid w:val="00196F99"/>
    <w:rsid w:val="0019783A"/>
    <w:rsid w:val="00197841"/>
    <w:rsid w:val="00197B03"/>
    <w:rsid w:val="001A090F"/>
    <w:rsid w:val="001A1AF2"/>
    <w:rsid w:val="001A256F"/>
    <w:rsid w:val="001A2AA5"/>
    <w:rsid w:val="001A31CC"/>
    <w:rsid w:val="001A378D"/>
    <w:rsid w:val="001A393C"/>
    <w:rsid w:val="001A3B2C"/>
    <w:rsid w:val="001A3B30"/>
    <w:rsid w:val="001A4336"/>
    <w:rsid w:val="001A49A8"/>
    <w:rsid w:val="001A4BCE"/>
    <w:rsid w:val="001A66D4"/>
    <w:rsid w:val="001A6D26"/>
    <w:rsid w:val="001A7400"/>
    <w:rsid w:val="001A769A"/>
    <w:rsid w:val="001A7DFB"/>
    <w:rsid w:val="001B0BDA"/>
    <w:rsid w:val="001B0C8D"/>
    <w:rsid w:val="001B0D6D"/>
    <w:rsid w:val="001B1693"/>
    <w:rsid w:val="001B2183"/>
    <w:rsid w:val="001B257D"/>
    <w:rsid w:val="001B27DE"/>
    <w:rsid w:val="001B2CA0"/>
    <w:rsid w:val="001B3180"/>
    <w:rsid w:val="001B31E0"/>
    <w:rsid w:val="001B4274"/>
    <w:rsid w:val="001B43C5"/>
    <w:rsid w:val="001B4C7F"/>
    <w:rsid w:val="001B5869"/>
    <w:rsid w:val="001B5973"/>
    <w:rsid w:val="001B5C62"/>
    <w:rsid w:val="001B6833"/>
    <w:rsid w:val="001B6891"/>
    <w:rsid w:val="001B7656"/>
    <w:rsid w:val="001B7AEF"/>
    <w:rsid w:val="001B7DDE"/>
    <w:rsid w:val="001C0F73"/>
    <w:rsid w:val="001C15CC"/>
    <w:rsid w:val="001C196C"/>
    <w:rsid w:val="001C1E44"/>
    <w:rsid w:val="001C1F00"/>
    <w:rsid w:val="001C1F91"/>
    <w:rsid w:val="001C2169"/>
    <w:rsid w:val="001C2364"/>
    <w:rsid w:val="001C25B5"/>
    <w:rsid w:val="001C36C4"/>
    <w:rsid w:val="001C38EE"/>
    <w:rsid w:val="001C46D3"/>
    <w:rsid w:val="001C487B"/>
    <w:rsid w:val="001C5909"/>
    <w:rsid w:val="001C5BB9"/>
    <w:rsid w:val="001C6102"/>
    <w:rsid w:val="001C692F"/>
    <w:rsid w:val="001C6ECC"/>
    <w:rsid w:val="001C726F"/>
    <w:rsid w:val="001C7831"/>
    <w:rsid w:val="001C79B2"/>
    <w:rsid w:val="001C7B3A"/>
    <w:rsid w:val="001C7D68"/>
    <w:rsid w:val="001D0062"/>
    <w:rsid w:val="001D0288"/>
    <w:rsid w:val="001D06F6"/>
    <w:rsid w:val="001D115E"/>
    <w:rsid w:val="001D2632"/>
    <w:rsid w:val="001D2941"/>
    <w:rsid w:val="001D3EB7"/>
    <w:rsid w:val="001D486E"/>
    <w:rsid w:val="001D6772"/>
    <w:rsid w:val="001D67F1"/>
    <w:rsid w:val="001D7577"/>
    <w:rsid w:val="001D779C"/>
    <w:rsid w:val="001D7FDC"/>
    <w:rsid w:val="001E0E2C"/>
    <w:rsid w:val="001E1826"/>
    <w:rsid w:val="001E1A37"/>
    <w:rsid w:val="001E1B80"/>
    <w:rsid w:val="001E2983"/>
    <w:rsid w:val="001E2B6C"/>
    <w:rsid w:val="001E2FEF"/>
    <w:rsid w:val="001E39CE"/>
    <w:rsid w:val="001E4659"/>
    <w:rsid w:val="001E4737"/>
    <w:rsid w:val="001E47C5"/>
    <w:rsid w:val="001E4C5C"/>
    <w:rsid w:val="001E571B"/>
    <w:rsid w:val="001E59B4"/>
    <w:rsid w:val="001E61C5"/>
    <w:rsid w:val="001E6423"/>
    <w:rsid w:val="001E696E"/>
    <w:rsid w:val="001E746D"/>
    <w:rsid w:val="001E75E8"/>
    <w:rsid w:val="001E7A69"/>
    <w:rsid w:val="001F0E03"/>
    <w:rsid w:val="001F1093"/>
    <w:rsid w:val="001F1652"/>
    <w:rsid w:val="001F169D"/>
    <w:rsid w:val="001F1C20"/>
    <w:rsid w:val="001F1C4D"/>
    <w:rsid w:val="001F2AA1"/>
    <w:rsid w:val="001F317C"/>
    <w:rsid w:val="001F31B4"/>
    <w:rsid w:val="001F429F"/>
    <w:rsid w:val="001F42F4"/>
    <w:rsid w:val="001F53B4"/>
    <w:rsid w:val="001F5EAD"/>
    <w:rsid w:val="001F6554"/>
    <w:rsid w:val="001F6991"/>
    <w:rsid w:val="001F6A6D"/>
    <w:rsid w:val="001F6CC4"/>
    <w:rsid w:val="001F7084"/>
    <w:rsid w:val="001F7289"/>
    <w:rsid w:val="00200B9D"/>
    <w:rsid w:val="002010BD"/>
    <w:rsid w:val="002018BC"/>
    <w:rsid w:val="00201ABE"/>
    <w:rsid w:val="002026A5"/>
    <w:rsid w:val="00202998"/>
    <w:rsid w:val="002033C4"/>
    <w:rsid w:val="00203E30"/>
    <w:rsid w:val="00204176"/>
    <w:rsid w:val="0020431B"/>
    <w:rsid w:val="00204AAD"/>
    <w:rsid w:val="00205139"/>
    <w:rsid w:val="002054CD"/>
    <w:rsid w:val="00205606"/>
    <w:rsid w:val="0020564B"/>
    <w:rsid w:val="0020576B"/>
    <w:rsid w:val="00205BAF"/>
    <w:rsid w:val="00206115"/>
    <w:rsid w:val="00206991"/>
    <w:rsid w:val="00206C97"/>
    <w:rsid w:val="00206DB5"/>
    <w:rsid w:val="00207ACE"/>
    <w:rsid w:val="00207C68"/>
    <w:rsid w:val="00207C77"/>
    <w:rsid w:val="00210061"/>
    <w:rsid w:val="0021023C"/>
    <w:rsid w:val="00210730"/>
    <w:rsid w:val="00210D30"/>
    <w:rsid w:val="00211178"/>
    <w:rsid w:val="0021121F"/>
    <w:rsid w:val="0021162E"/>
    <w:rsid w:val="00211776"/>
    <w:rsid w:val="00211892"/>
    <w:rsid w:val="00212639"/>
    <w:rsid w:val="00212725"/>
    <w:rsid w:val="00212B1A"/>
    <w:rsid w:val="00212B3B"/>
    <w:rsid w:val="00212B41"/>
    <w:rsid w:val="00212EDC"/>
    <w:rsid w:val="00213C6C"/>
    <w:rsid w:val="00213E73"/>
    <w:rsid w:val="00214306"/>
    <w:rsid w:val="002143D4"/>
    <w:rsid w:val="00214812"/>
    <w:rsid w:val="00214A26"/>
    <w:rsid w:val="00214B01"/>
    <w:rsid w:val="00214F12"/>
    <w:rsid w:val="002155BC"/>
    <w:rsid w:val="00215671"/>
    <w:rsid w:val="00215ACE"/>
    <w:rsid w:val="00215C88"/>
    <w:rsid w:val="00215F05"/>
    <w:rsid w:val="00216215"/>
    <w:rsid w:val="00216A09"/>
    <w:rsid w:val="00216DB8"/>
    <w:rsid w:val="0021722F"/>
    <w:rsid w:val="0021754C"/>
    <w:rsid w:val="002216B5"/>
    <w:rsid w:val="0022184C"/>
    <w:rsid w:val="0022189E"/>
    <w:rsid w:val="00221ACF"/>
    <w:rsid w:val="00221D5A"/>
    <w:rsid w:val="00221F9C"/>
    <w:rsid w:val="00222554"/>
    <w:rsid w:val="0022263A"/>
    <w:rsid w:val="0022346A"/>
    <w:rsid w:val="00223864"/>
    <w:rsid w:val="00223B09"/>
    <w:rsid w:val="00223DCA"/>
    <w:rsid w:val="002246FB"/>
    <w:rsid w:val="00224DEA"/>
    <w:rsid w:val="00226D38"/>
    <w:rsid w:val="00226DD1"/>
    <w:rsid w:val="0022761F"/>
    <w:rsid w:val="00227A10"/>
    <w:rsid w:val="00227A67"/>
    <w:rsid w:val="00227A76"/>
    <w:rsid w:val="00230074"/>
    <w:rsid w:val="0023062F"/>
    <w:rsid w:val="00231029"/>
    <w:rsid w:val="00231210"/>
    <w:rsid w:val="00231783"/>
    <w:rsid w:val="00231BCF"/>
    <w:rsid w:val="00231C7E"/>
    <w:rsid w:val="0023204A"/>
    <w:rsid w:val="0023233C"/>
    <w:rsid w:val="002329D3"/>
    <w:rsid w:val="00232B01"/>
    <w:rsid w:val="00232C3E"/>
    <w:rsid w:val="00232C6A"/>
    <w:rsid w:val="002330E1"/>
    <w:rsid w:val="0023401D"/>
    <w:rsid w:val="002341F3"/>
    <w:rsid w:val="00234678"/>
    <w:rsid w:val="00234C05"/>
    <w:rsid w:val="00234D25"/>
    <w:rsid w:val="002368A1"/>
    <w:rsid w:val="00236A17"/>
    <w:rsid w:val="00236C04"/>
    <w:rsid w:val="002370DB"/>
    <w:rsid w:val="002376AA"/>
    <w:rsid w:val="00237E63"/>
    <w:rsid w:val="002411D1"/>
    <w:rsid w:val="00241B33"/>
    <w:rsid w:val="00242F07"/>
    <w:rsid w:val="00243553"/>
    <w:rsid w:val="00243BCF"/>
    <w:rsid w:val="00243C9C"/>
    <w:rsid w:val="0024604F"/>
    <w:rsid w:val="002464C8"/>
    <w:rsid w:val="0024660E"/>
    <w:rsid w:val="00247716"/>
    <w:rsid w:val="002478CE"/>
    <w:rsid w:val="002503AB"/>
    <w:rsid w:val="00251021"/>
    <w:rsid w:val="0025195C"/>
    <w:rsid w:val="00251E93"/>
    <w:rsid w:val="00252206"/>
    <w:rsid w:val="002525BD"/>
    <w:rsid w:val="00252E1D"/>
    <w:rsid w:val="002533FE"/>
    <w:rsid w:val="00253FB7"/>
    <w:rsid w:val="00254721"/>
    <w:rsid w:val="00254819"/>
    <w:rsid w:val="00254995"/>
    <w:rsid w:val="0025519C"/>
    <w:rsid w:val="00255A1B"/>
    <w:rsid w:val="00255B62"/>
    <w:rsid w:val="0025678B"/>
    <w:rsid w:val="00256C8F"/>
    <w:rsid w:val="0025719A"/>
    <w:rsid w:val="002573B3"/>
    <w:rsid w:val="00257BCD"/>
    <w:rsid w:val="00257BE5"/>
    <w:rsid w:val="002603D6"/>
    <w:rsid w:val="00260A06"/>
    <w:rsid w:val="00260A42"/>
    <w:rsid w:val="00260C42"/>
    <w:rsid w:val="00260E95"/>
    <w:rsid w:val="002610C4"/>
    <w:rsid w:val="00261335"/>
    <w:rsid w:val="002626AB"/>
    <w:rsid w:val="00262781"/>
    <w:rsid w:val="0026393E"/>
    <w:rsid w:val="00264144"/>
    <w:rsid w:val="002642DB"/>
    <w:rsid w:val="002658B7"/>
    <w:rsid w:val="002658BD"/>
    <w:rsid w:val="0026622E"/>
    <w:rsid w:val="0026627B"/>
    <w:rsid w:val="002667E1"/>
    <w:rsid w:val="00266953"/>
    <w:rsid w:val="00266FF5"/>
    <w:rsid w:val="002677EE"/>
    <w:rsid w:val="0026786A"/>
    <w:rsid w:val="00267BFE"/>
    <w:rsid w:val="00267D73"/>
    <w:rsid w:val="00270060"/>
    <w:rsid w:val="00270227"/>
    <w:rsid w:val="0027047E"/>
    <w:rsid w:val="00270532"/>
    <w:rsid w:val="002709BF"/>
    <w:rsid w:val="00270D67"/>
    <w:rsid w:val="00272086"/>
    <w:rsid w:val="00272A1A"/>
    <w:rsid w:val="00272DA7"/>
    <w:rsid w:val="00273076"/>
    <w:rsid w:val="00273C53"/>
    <w:rsid w:val="00273E65"/>
    <w:rsid w:val="00274B01"/>
    <w:rsid w:val="00274C40"/>
    <w:rsid w:val="00274D77"/>
    <w:rsid w:val="002751D7"/>
    <w:rsid w:val="0027529F"/>
    <w:rsid w:val="002759C1"/>
    <w:rsid w:val="00276EF5"/>
    <w:rsid w:val="00277D34"/>
    <w:rsid w:val="00280483"/>
    <w:rsid w:val="0028061C"/>
    <w:rsid w:val="002806B4"/>
    <w:rsid w:val="00280AF4"/>
    <w:rsid w:val="00280CBB"/>
    <w:rsid w:val="002818B8"/>
    <w:rsid w:val="00281F02"/>
    <w:rsid w:val="00282392"/>
    <w:rsid w:val="00282904"/>
    <w:rsid w:val="00282A32"/>
    <w:rsid w:val="0028350B"/>
    <w:rsid w:val="0028372B"/>
    <w:rsid w:val="0028391C"/>
    <w:rsid w:val="002840A6"/>
    <w:rsid w:val="002846CE"/>
    <w:rsid w:val="00284A06"/>
    <w:rsid w:val="00284E06"/>
    <w:rsid w:val="0028519B"/>
    <w:rsid w:val="0028604B"/>
    <w:rsid w:val="00286722"/>
    <w:rsid w:val="00286827"/>
    <w:rsid w:val="00286CB9"/>
    <w:rsid w:val="00286CEB"/>
    <w:rsid w:val="00290703"/>
    <w:rsid w:val="00290744"/>
    <w:rsid w:val="00290A6D"/>
    <w:rsid w:val="00290AF3"/>
    <w:rsid w:val="002910C2"/>
    <w:rsid w:val="00292500"/>
    <w:rsid w:val="0029337C"/>
    <w:rsid w:val="002933E0"/>
    <w:rsid w:val="00293761"/>
    <w:rsid w:val="00293F90"/>
    <w:rsid w:val="002943FA"/>
    <w:rsid w:val="0029537B"/>
    <w:rsid w:val="0029565D"/>
    <w:rsid w:val="002957C9"/>
    <w:rsid w:val="002966CE"/>
    <w:rsid w:val="00297251"/>
    <w:rsid w:val="00297A1B"/>
    <w:rsid w:val="00297A86"/>
    <w:rsid w:val="002A0221"/>
    <w:rsid w:val="002A0531"/>
    <w:rsid w:val="002A076F"/>
    <w:rsid w:val="002A085A"/>
    <w:rsid w:val="002A1328"/>
    <w:rsid w:val="002A1D3A"/>
    <w:rsid w:val="002A2019"/>
    <w:rsid w:val="002A245F"/>
    <w:rsid w:val="002A2A1C"/>
    <w:rsid w:val="002A2F72"/>
    <w:rsid w:val="002A2F76"/>
    <w:rsid w:val="002A312D"/>
    <w:rsid w:val="002A380F"/>
    <w:rsid w:val="002A382D"/>
    <w:rsid w:val="002A4417"/>
    <w:rsid w:val="002A47B4"/>
    <w:rsid w:val="002A51A4"/>
    <w:rsid w:val="002A5C47"/>
    <w:rsid w:val="002A6974"/>
    <w:rsid w:val="002A6C59"/>
    <w:rsid w:val="002A6D64"/>
    <w:rsid w:val="002A77E8"/>
    <w:rsid w:val="002B05C1"/>
    <w:rsid w:val="002B095A"/>
    <w:rsid w:val="002B0AC4"/>
    <w:rsid w:val="002B0B33"/>
    <w:rsid w:val="002B0D1E"/>
    <w:rsid w:val="002B1498"/>
    <w:rsid w:val="002B1519"/>
    <w:rsid w:val="002B1900"/>
    <w:rsid w:val="002B3141"/>
    <w:rsid w:val="002B324A"/>
    <w:rsid w:val="002B35C1"/>
    <w:rsid w:val="002B3E53"/>
    <w:rsid w:val="002B422F"/>
    <w:rsid w:val="002B467F"/>
    <w:rsid w:val="002B4CA9"/>
    <w:rsid w:val="002B4D9F"/>
    <w:rsid w:val="002B5D63"/>
    <w:rsid w:val="002B5F54"/>
    <w:rsid w:val="002B635C"/>
    <w:rsid w:val="002B681C"/>
    <w:rsid w:val="002B7099"/>
    <w:rsid w:val="002B7175"/>
    <w:rsid w:val="002B7199"/>
    <w:rsid w:val="002B72E6"/>
    <w:rsid w:val="002B73D5"/>
    <w:rsid w:val="002B7CC9"/>
    <w:rsid w:val="002C015A"/>
    <w:rsid w:val="002C0193"/>
    <w:rsid w:val="002C09A7"/>
    <w:rsid w:val="002C0BEA"/>
    <w:rsid w:val="002C0FDF"/>
    <w:rsid w:val="002C117A"/>
    <w:rsid w:val="002C1C08"/>
    <w:rsid w:val="002C1C62"/>
    <w:rsid w:val="002C1ECC"/>
    <w:rsid w:val="002C2149"/>
    <w:rsid w:val="002C288A"/>
    <w:rsid w:val="002C28C6"/>
    <w:rsid w:val="002C2B9A"/>
    <w:rsid w:val="002C4DB8"/>
    <w:rsid w:val="002C54C6"/>
    <w:rsid w:val="002C5BB0"/>
    <w:rsid w:val="002C5CE4"/>
    <w:rsid w:val="002C6618"/>
    <w:rsid w:val="002C6B8F"/>
    <w:rsid w:val="002C6E20"/>
    <w:rsid w:val="002C76CA"/>
    <w:rsid w:val="002C7851"/>
    <w:rsid w:val="002C7CEC"/>
    <w:rsid w:val="002C7ED0"/>
    <w:rsid w:val="002D032D"/>
    <w:rsid w:val="002D0687"/>
    <w:rsid w:val="002D0838"/>
    <w:rsid w:val="002D1306"/>
    <w:rsid w:val="002D1539"/>
    <w:rsid w:val="002D1BCA"/>
    <w:rsid w:val="002D2A8E"/>
    <w:rsid w:val="002D33EE"/>
    <w:rsid w:val="002D3E36"/>
    <w:rsid w:val="002D4E57"/>
    <w:rsid w:val="002D50D6"/>
    <w:rsid w:val="002D5B73"/>
    <w:rsid w:val="002D5FBD"/>
    <w:rsid w:val="002D642A"/>
    <w:rsid w:val="002D6F91"/>
    <w:rsid w:val="002D75D9"/>
    <w:rsid w:val="002D7FE5"/>
    <w:rsid w:val="002E040F"/>
    <w:rsid w:val="002E0502"/>
    <w:rsid w:val="002E080F"/>
    <w:rsid w:val="002E2E1B"/>
    <w:rsid w:val="002E3152"/>
    <w:rsid w:val="002E3CF1"/>
    <w:rsid w:val="002E46AF"/>
    <w:rsid w:val="002E4BB9"/>
    <w:rsid w:val="002E53F3"/>
    <w:rsid w:val="002E5552"/>
    <w:rsid w:val="002E5635"/>
    <w:rsid w:val="002E58B5"/>
    <w:rsid w:val="002E63AB"/>
    <w:rsid w:val="002E66B7"/>
    <w:rsid w:val="002E6ABB"/>
    <w:rsid w:val="002E6BBF"/>
    <w:rsid w:val="002E6E82"/>
    <w:rsid w:val="002E70EE"/>
    <w:rsid w:val="002E75F0"/>
    <w:rsid w:val="002F06CA"/>
    <w:rsid w:val="002F07DE"/>
    <w:rsid w:val="002F0BE1"/>
    <w:rsid w:val="002F10B5"/>
    <w:rsid w:val="002F119E"/>
    <w:rsid w:val="002F16AC"/>
    <w:rsid w:val="002F1742"/>
    <w:rsid w:val="002F216F"/>
    <w:rsid w:val="002F2847"/>
    <w:rsid w:val="002F35CC"/>
    <w:rsid w:val="002F3636"/>
    <w:rsid w:val="002F4264"/>
    <w:rsid w:val="002F65EC"/>
    <w:rsid w:val="002F742A"/>
    <w:rsid w:val="002F79D4"/>
    <w:rsid w:val="002F7CBE"/>
    <w:rsid w:val="003000A5"/>
    <w:rsid w:val="003006B2"/>
    <w:rsid w:val="00300C0B"/>
    <w:rsid w:val="00300E24"/>
    <w:rsid w:val="0030111F"/>
    <w:rsid w:val="00301692"/>
    <w:rsid w:val="00301C50"/>
    <w:rsid w:val="00302509"/>
    <w:rsid w:val="0030292D"/>
    <w:rsid w:val="003029C4"/>
    <w:rsid w:val="00302AC4"/>
    <w:rsid w:val="003034E1"/>
    <w:rsid w:val="0030387E"/>
    <w:rsid w:val="00303909"/>
    <w:rsid w:val="0030390F"/>
    <w:rsid w:val="00303A6F"/>
    <w:rsid w:val="0030422C"/>
    <w:rsid w:val="003047B7"/>
    <w:rsid w:val="00304B84"/>
    <w:rsid w:val="003051BE"/>
    <w:rsid w:val="00305472"/>
    <w:rsid w:val="00305BA3"/>
    <w:rsid w:val="0030602B"/>
    <w:rsid w:val="00306AFF"/>
    <w:rsid w:val="00306C8D"/>
    <w:rsid w:val="00306E49"/>
    <w:rsid w:val="00307199"/>
    <w:rsid w:val="003071FC"/>
    <w:rsid w:val="00307221"/>
    <w:rsid w:val="00310DA1"/>
    <w:rsid w:val="00310DB9"/>
    <w:rsid w:val="00311567"/>
    <w:rsid w:val="00311921"/>
    <w:rsid w:val="00312348"/>
    <w:rsid w:val="00312488"/>
    <w:rsid w:val="003129AD"/>
    <w:rsid w:val="00312D8D"/>
    <w:rsid w:val="00314020"/>
    <w:rsid w:val="00314413"/>
    <w:rsid w:val="003145ED"/>
    <w:rsid w:val="00314C4D"/>
    <w:rsid w:val="00314D97"/>
    <w:rsid w:val="003151F4"/>
    <w:rsid w:val="00315700"/>
    <w:rsid w:val="00315CC5"/>
    <w:rsid w:val="00315F90"/>
    <w:rsid w:val="00316CD8"/>
    <w:rsid w:val="00317040"/>
    <w:rsid w:val="00317A0C"/>
    <w:rsid w:val="00317B71"/>
    <w:rsid w:val="0032064D"/>
    <w:rsid w:val="00320767"/>
    <w:rsid w:val="00320913"/>
    <w:rsid w:val="003214A1"/>
    <w:rsid w:val="00321A4D"/>
    <w:rsid w:val="00321A60"/>
    <w:rsid w:val="00321F01"/>
    <w:rsid w:val="00321F8D"/>
    <w:rsid w:val="00322BD2"/>
    <w:rsid w:val="00322FD9"/>
    <w:rsid w:val="003230D2"/>
    <w:rsid w:val="00324460"/>
    <w:rsid w:val="00324480"/>
    <w:rsid w:val="0032526F"/>
    <w:rsid w:val="00325448"/>
    <w:rsid w:val="00326347"/>
    <w:rsid w:val="0032653D"/>
    <w:rsid w:val="00326E18"/>
    <w:rsid w:val="00326F07"/>
    <w:rsid w:val="003275AC"/>
    <w:rsid w:val="0032784F"/>
    <w:rsid w:val="00327B5E"/>
    <w:rsid w:val="00330CC7"/>
    <w:rsid w:val="003313BA"/>
    <w:rsid w:val="003321C2"/>
    <w:rsid w:val="00332266"/>
    <w:rsid w:val="00332D2F"/>
    <w:rsid w:val="00334428"/>
    <w:rsid w:val="003345AF"/>
    <w:rsid w:val="00334AEE"/>
    <w:rsid w:val="00335621"/>
    <w:rsid w:val="0033595A"/>
    <w:rsid w:val="00335AB3"/>
    <w:rsid w:val="00336718"/>
    <w:rsid w:val="00336B67"/>
    <w:rsid w:val="00336C16"/>
    <w:rsid w:val="00336CF7"/>
    <w:rsid w:val="0033736B"/>
    <w:rsid w:val="0033772C"/>
    <w:rsid w:val="00337F69"/>
    <w:rsid w:val="00337F9C"/>
    <w:rsid w:val="00337FFB"/>
    <w:rsid w:val="00340292"/>
    <w:rsid w:val="00340B84"/>
    <w:rsid w:val="003418DC"/>
    <w:rsid w:val="00341CD8"/>
    <w:rsid w:val="00341F77"/>
    <w:rsid w:val="00342003"/>
    <w:rsid w:val="0034206D"/>
    <w:rsid w:val="00342431"/>
    <w:rsid w:val="00342AB5"/>
    <w:rsid w:val="00343FC8"/>
    <w:rsid w:val="003446C8"/>
    <w:rsid w:val="00345BA5"/>
    <w:rsid w:val="003460F9"/>
    <w:rsid w:val="00347214"/>
    <w:rsid w:val="003473FB"/>
    <w:rsid w:val="003478A2"/>
    <w:rsid w:val="00347E19"/>
    <w:rsid w:val="00347E91"/>
    <w:rsid w:val="00350127"/>
    <w:rsid w:val="003513A2"/>
    <w:rsid w:val="003515C7"/>
    <w:rsid w:val="003517C7"/>
    <w:rsid w:val="00351E4B"/>
    <w:rsid w:val="0035237C"/>
    <w:rsid w:val="0035256C"/>
    <w:rsid w:val="0035272A"/>
    <w:rsid w:val="00352A7D"/>
    <w:rsid w:val="0035318B"/>
    <w:rsid w:val="003531AA"/>
    <w:rsid w:val="00353451"/>
    <w:rsid w:val="00353B52"/>
    <w:rsid w:val="00353C5E"/>
    <w:rsid w:val="00354B9C"/>
    <w:rsid w:val="003552CD"/>
    <w:rsid w:val="00356012"/>
    <w:rsid w:val="00356319"/>
    <w:rsid w:val="0035744E"/>
    <w:rsid w:val="003576E6"/>
    <w:rsid w:val="003579ED"/>
    <w:rsid w:val="00357A8B"/>
    <w:rsid w:val="00357D15"/>
    <w:rsid w:val="00357F9F"/>
    <w:rsid w:val="0036032A"/>
    <w:rsid w:val="0036078C"/>
    <w:rsid w:val="00360800"/>
    <w:rsid w:val="00361B8B"/>
    <w:rsid w:val="00361ED6"/>
    <w:rsid w:val="00361EEB"/>
    <w:rsid w:val="0036209A"/>
    <w:rsid w:val="00362299"/>
    <w:rsid w:val="00362621"/>
    <w:rsid w:val="00362F77"/>
    <w:rsid w:val="00362FC5"/>
    <w:rsid w:val="003632FD"/>
    <w:rsid w:val="00363AE6"/>
    <w:rsid w:val="00364536"/>
    <w:rsid w:val="003645E0"/>
    <w:rsid w:val="00364864"/>
    <w:rsid w:val="003649CD"/>
    <w:rsid w:val="00364D15"/>
    <w:rsid w:val="003651D6"/>
    <w:rsid w:val="00365CCC"/>
    <w:rsid w:val="00366500"/>
    <w:rsid w:val="00367CC9"/>
    <w:rsid w:val="00370039"/>
    <w:rsid w:val="00370239"/>
    <w:rsid w:val="00370824"/>
    <w:rsid w:val="0037097C"/>
    <w:rsid w:val="00370B16"/>
    <w:rsid w:val="003710C3"/>
    <w:rsid w:val="003717E3"/>
    <w:rsid w:val="00371B13"/>
    <w:rsid w:val="00371DFF"/>
    <w:rsid w:val="0037270F"/>
    <w:rsid w:val="00372DBB"/>
    <w:rsid w:val="00372DBE"/>
    <w:rsid w:val="0037375E"/>
    <w:rsid w:val="00373B38"/>
    <w:rsid w:val="00373BD3"/>
    <w:rsid w:val="003758C1"/>
    <w:rsid w:val="00375FBD"/>
    <w:rsid w:val="003767B3"/>
    <w:rsid w:val="00376CF4"/>
    <w:rsid w:val="00377B8D"/>
    <w:rsid w:val="00377FDC"/>
    <w:rsid w:val="00380147"/>
    <w:rsid w:val="003812D8"/>
    <w:rsid w:val="00381D07"/>
    <w:rsid w:val="00382E58"/>
    <w:rsid w:val="0038317E"/>
    <w:rsid w:val="003832A4"/>
    <w:rsid w:val="003846D0"/>
    <w:rsid w:val="00384E67"/>
    <w:rsid w:val="0038522C"/>
    <w:rsid w:val="003858FF"/>
    <w:rsid w:val="00386296"/>
    <w:rsid w:val="00387956"/>
    <w:rsid w:val="003904F2"/>
    <w:rsid w:val="00390A38"/>
    <w:rsid w:val="00390AA1"/>
    <w:rsid w:val="0039103E"/>
    <w:rsid w:val="003911D9"/>
    <w:rsid w:val="00391500"/>
    <w:rsid w:val="0039198A"/>
    <w:rsid w:val="00391E31"/>
    <w:rsid w:val="00392897"/>
    <w:rsid w:val="00392E9C"/>
    <w:rsid w:val="00393094"/>
    <w:rsid w:val="00393566"/>
    <w:rsid w:val="003939A1"/>
    <w:rsid w:val="00393E3A"/>
    <w:rsid w:val="00393FA3"/>
    <w:rsid w:val="00394CDC"/>
    <w:rsid w:val="003958F2"/>
    <w:rsid w:val="00395F53"/>
    <w:rsid w:val="00396826"/>
    <w:rsid w:val="00397853"/>
    <w:rsid w:val="00397C1C"/>
    <w:rsid w:val="003A0159"/>
    <w:rsid w:val="003A016E"/>
    <w:rsid w:val="003A0B6A"/>
    <w:rsid w:val="003A0E23"/>
    <w:rsid w:val="003A0E34"/>
    <w:rsid w:val="003A14F9"/>
    <w:rsid w:val="003A1629"/>
    <w:rsid w:val="003A165E"/>
    <w:rsid w:val="003A1758"/>
    <w:rsid w:val="003A1D39"/>
    <w:rsid w:val="003A2136"/>
    <w:rsid w:val="003A2651"/>
    <w:rsid w:val="003A28F5"/>
    <w:rsid w:val="003A29ED"/>
    <w:rsid w:val="003A2CF1"/>
    <w:rsid w:val="003A3617"/>
    <w:rsid w:val="003A42A4"/>
    <w:rsid w:val="003A4796"/>
    <w:rsid w:val="003A4CAF"/>
    <w:rsid w:val="003A4E74"/>
    <w:rsid w:val="003A531A"/>
    <w:rsid w:val="003A695A"/>
    <w:rsid w:val="003A69DA"/>
    <w:rsid w:val="003A6E81"/>
    <w:rsid w:val="003A7A57"/>
    <w:rsid w:val="003B0130"/>
    <w:rsid w:val="003B0BB2"/>
    <w:rsid w:val="003B0C3A"/>
    <w:rsid w:val="003B12FE"/>
    <w:rsid w:val="003B1590"/>
    <w:rsid w:val="003B1E8D"/>
    <w:rsid w:val="003B2313"/>
    <w:rsid w:val="003B240B"/>
    <w:rsid w:val="003B27FF"/>
    <w:rsid w:val="003B289C"/>
    <w:rsid w:val="003B2E9C"/>
    <w:rsid w:val="003B354E"/>
    <w:rsid w:val="003B40B5"/>
    <w:rsid w:val="003B47E0"/>
    <w:rsid w:val="003B5083"/>
    <w:rsid w:val="003B61A1"/>
    <w:rsid w:val="003B6352"/>
    <w:rsid w:val="003B637D"/>
    <w:rsid w:val="003B6C9B"/>
    <w:rsid w:val="003B746B"/>
    <w:rsid w:val="003B7498"/>
    <w:rsid w:val="003B7C65"/>
    <w:rsid w:val="003C09DA"/>
    <w:rsid w:val="003C0A87"/>
    <w:rsid w:val="003C0DB3"/>
    <w:rsid w:val="003C102C"/>
    <w:rsid w:val="003C199A"/>
    <w:rsid w:val="003C1BF1"/>
    <w:rsid w:val="003C2304"/>
    <w:rsid w:val="003C2567"/>
    <w:rsid w:val="003C2698"/>
    <w:rsid w:val="003C3FEF"/>
    <w:rsid w:val="003C429F"/>
    <w:rsid w:val="003C4D9F"/>
    <w:rsid w:val="003C502E"/>
    <w:rsid w:val="003C50E7"/>
    <w:rsid w:val="003C59B2"/>
    <w:rsid w:val="003C60E4"/>
    <w:rsid w:val="003C6B4D"/>
    <w:rsid w:val="003C735C"/>
    <w:rsid w:val="003C754B"/>
    <w:rsid w:val="003D0578"/>
    <w:rsid w:val="003D06D6"/>
    <w:rsid w:val="003D07B5"/>
    <w:rsid w:val="003D1021"/>
    <w:rsid w:val="003D1355"/>
    <w:rsid w:val="003D1C22"/>
    <w:rsid w:val="003D1EB3"/>
    <w:rsid w:val="003D29D4"/>
    <w:rsid w:val="003D32B7"/>
    <w:rsid w:val="003D3362"/>
    <w:rsid w:val="003D3B28"/>
    <w:rsid w:val="003D3BA5"/>
    <w:rsid w:val="003D3CF6"/>
    <w:rsid w:val="003D5599"/>
    <w:rsid w:val="003D6062"/>
    <w:rsid w:val="003D6149"/>
    <w:rsid w:val="003D6E7A"/>
    <w:rsid w:val="003D75C5"/>
    <w:rsid w:val="003D785B"/>
    <w:rsid w:val="003E00D7"/>
    <w:rsid w:val="003E011D"/>
    <w:rsid w:val="003E058F"/>
    <w:rsid w:val="003E117A"/>
    <w:rsid w:val="003E1329"/>
    <w:rsid w:val="003E249F"/>
    <w:rsid w:val="003E28CD"/>
    <w:rsid w:val="003E3511"/>
    <w:rsid w:val="003E37F5"/>
    <w:rsid w:val="003E39EC"/>
    <w:rsid w:val="003E3A23"/>
    <w:rsid w:val="003E3BA6"/>
    <w:rsid w:val="003E45E4"/>
    <w:rsid w:val="003E4676"/>
    <w:rsid w:val="003E534B"/>
    <w:rsid w:val="003E5F74"/>
    <w:rsid w:val="003E6276"/>
    <w:rsid w:val="003E6969"/>
    <w:rsid w:val="003E705E"/>
    <w:rsid w:val="003E79B1"/>
    <w:rsid w:val="003F0A9C"/>
    <w:rsid w:val="003F0D9F"/>
    <w:rsid w:val="003F1064"/>
    <w:rsid w:val="003F131C"/>
    <w:rsid w:val="003F19C5"/>
    <w:rsid w:val="003F1B33"/>
    <w:rsid w:val="003F1FB4"/>
    <w:rsid w:val="003F37C3"/>
    <w:rsid w:val="003F4433"/>
    <w:rsid w:val="003F5865"/>
    <w:rsid w:val="003F5937"/>
    <w:rsid w:val="003F5DC7"/>
    <w:rsid w:val="003F64B3"/>
    <w:rsid w:val="003F672B"/>
    <w:rsid w:val="003F680F"/>
    <w:rsid w:val="003F68F1"/>
    <w:rsid w:val="003F6ECB"/>
    <w:rsid w:val="003F728B"/>
    <w:rsid w:val="003F7795"/>
    <w:rsid w:val="004004AC"/>
    <w:rsid w:val="004004B7"/>
    <w:rsid w:val="00400976"/>
    <w:rsid w:val="00400A71"/>
    <w:rsid w:val="00400B7C"/>
    <w:rsid w:val="00400C70"/>
    <w:rsid w:val="00400F7A"/>
    <w:rsid w:val="00401027"/>
    <w:rsid w:val="00401081"/>
    <w:rsid w:val="004013AE"/>
    <w:rsid w:val="00401A8B"/>
    <w:rsid w:val="00402229"/>
    <w:rsid w:val="0040301B"/>
    <w:rsid w:val="00403299"/>
    <w:rsid w:val="00403533"/>
    <w:rsid w:val="00403A0C"/>
    <w:rsid w:val="00403BDC"/>
    <w:rsid w:val="004051D9"/>
    <w:rsid w:val="004053A9"/>
    <w:rsid w:val="0040547F"/>
    <w:rsid w:val="0040578D"/>
    <w:rsid w:val="00405DA6"/>
    <w:rsid w:val="004078B5"/>
    <w:rsid w:val="0041001D"/>
    <w:rsid w:val="0041042A"/>
    <w:rsid w:val="0041090D"/>
    <w:rsid w:val="00410AC8"/>
    <w:rsid w:val="00411BC6"/>
    <w:rsid w:val="00411CAF"/>
    <w:rsid w:val="00411D97"/>
    <w:rsid w:val="004123A8"/>
    <w:rsid w:val="00413346"/>
    <w:rsid w:val="00413375"/>
    <w:rsid w:val="00413570"/>
    <w:rsid w:val="004145DD"/>
    <w:rsid w:val="00414F7B"/>
    <w:rsid w:val="00415A34"/>
    <w:rsid w:val="00416D00"/>
    <w:rsid w:val="004172D8"/>
    <w:rsid w:val="00417559"/>
    <w:rsid w:val="00417E1A"/>
    <w:rsid w:val="004209EE"/>
    <w:rsid w:val="00420AD9"/>
    <w:rsid w:val="00420DF9"/>
    <w:rsid w:val="00420ED5"/>
    <w:rsid w:val="004215F5"/>
    <w:rsid w:val="00421A54"/>
    <w:rsid w:val="00423579"/>
    <w:rsid w:val="00424660"/>
    <w:rsid w:val="0042492A"/>
    <w:rsid w:val="004249CB"/>
    <w:rsid w:val="00424C15"/>
    <w:rsid w:val="004251F6"/>
    <w:rsid w:val="0042535C"/>
    <w:rsid w:val="004258BA"/>
    <w:rsid w:val="004263F6"/>
    <w:rsid w:val="004264ED"/>
    <w:rsid w:val="00426C08"/>
    <w:rsid w:val="004279BA"/>
    <w:rsid w:val="004304AA"/>
    <w:rsid w:val="004305FA"/>
    <w:rsid w:val="00430F1C"/>
    <w:rsid w:val="00431036"/>
    <w:rsid w:val="0043115F"/>
    <w:rsid w:val="004312A0"/>
    <w:rsid w:val="004313C4"/>
    <w:rsid w:val="004318BB"/>
    <w:rsid w:val="00431F9F"/>
    <w:rsid w:val="00431FD8"/>
    <w:rsid w:val="004327BE"/>
    <w:rsid w:val="00433E07"/>
    <w:rsid w:val="00433EAE"/>
    <w:rsid w:val="00434199"/>
    <w:rsid w:val="004343D2"/>
    <w:rsid w:val="00436A31"/>
    <w:rsid w:val="00436EAD"/>
    <w:rsid w:val="0043731B"/>
    <w:rsid w:val="0043781F"/>
    <w:rsid w:val="00437B32"/>
    <w:rsid w:val="004404F0"/>
    <w:rsid w:val="0044052D"/>
    <w:rsid w:val="00440FD4"/>
    <w:rsid w:val="004412ED"/>
    <w:rsid w:val="00441BFE"/>
    <w:rsid w:val="00441D9D"/>
    <w:rsid w:val="004437AE"/>
    <w:rsid w:val="00443AE8"/>
    <w:rsid w:val="00443DDB"/>
    <w:rsid w:val="00444465"/>
    <w:rsid w:val="00445420"/>
    <w:rsid w:val="00445763"/>
    <w:rsid w:val="00445DE4"/>
    <w:rsid w:val="00445EEB"/>
    <w:rsid w:val="0044629B"/>
    <w:rsid w:val="00446933"/>
    <w:rsid w:val="00446C1F"/>
    <w:rsid w:val="00447061"/>
    <w:rsid w:val="00447A70"/>
    <w:rsid w:val="00447D02"/>
    <w:rsid w:val="00447DCA"/>
    <w:rsid w:val="004503B9"/>
    <w:rsid w:val="00451616"/>
    <w:rsid w:val="0045174C"/>
    <w:rsid w:val="0045181C"/>
    <w:rsid w:val="00452878"/>
    <w:rsid w:val="004529FD"/>
    <w:rsid w:val="00454447"/>
    <w:rsid w:val="00454D07"/>
    <w:rsid w:val="00454F45"/>
    <w:rsid w:val="004552AA"/>
    <w:rsid w:val="0045595B"/>
    <w:rsid w:val="00456DCF"/>
    <w:rsid w:val="0045705B"/>
    <w:rsid w:val="004570ED"/>
    <w:rsid w:val="00457306"/>
    <w:rsid w:val="00457B10"/>
    <w:rsid w:val="00457B3B"/>
    <w:rsid w:val="00460056"/>
    <w:rsid w:val="00460832"/>
    <w:rsid w:val="00461734"/>
    <w:rsid w:val="0046193C"/>
    <w:rsid w:val="00461E4A"/>
    <w:rsid w:val="00462582"/>
    <w:rsid w:val="00462CE1"/>
    <w:rsid w:val="0046371F"/>
    <w:rsid w:val="00463AD7"/>
    <w:rsid w:val="00464263"/>
    <w:rsid w:val="0046488B"/>
    <w:rsid w:val="004655BC"/>
    <w:rsid w:val="00465A6F"/>
    <w:rsid w:val="00465FAC"/>
    <w:rsid w:val="004662CB"/>
    <w:rsid w:val="0046687D"/>
    <w:rsid w:val="00466CE7"/>
    <w:rsid w:val="00466D09"/>
    <w:rsid w:val="00466D39"/>
    <w:rsid w:val="00466E54"/>
    <w:rsid w:val="00467B30"/>
    <w:rsid w:val="00470571"/>
    <w:rsid w:val="00470DBD"/>
    <w:rsid w:val="00470E3B"/>
    <w:rsid w:val="004716A2"/>
    <w:rsid w:val="00471B30"/>
    <w:rsid w:val="00471B52"/>
    <w:rsid w:val="00471C5C"/>
    <w:rsid w:val="00472391"/>
    <w:rsid w:val="0047254F"/>
    <w:rsid w:val="00472D1F"/>
    <w:rsid w:val="00472DD4"/>
    <w:rsid w:val="00474165"/>
    <w:rsid w:val="00474244"/>
    <w:rsid w:val="004747D2"/>
    <w:rsid w:val="00474816"/>
    <w:rsid w:val="00474B10"/>
    <w:rsid w:val="00474CD8"/>
    <w:rsid w:val="00474E07"/>
    <w:rsid w:val="00474F65"/>
    <w:rsid w:val="004760EC"/>
    <w:rsid w:val="00476116"/>
    <w:rsid w:val="0047638F"/>
    <w:rsid w:val="00476B20"/>
    <w:rsid w:val="00476E60"/>
    <w:rsid w:val="004770C1"/>
    <w:rsid w:val="0047714B"/>
    <w:rsid w:val="00477535"/>
    <w:rsid w:val="0048000F"/>
    <w:rsid w:val="004804CB"/>
    <w:rsid w:val="00480D08"/>
    <w:rsid w:val="00480D5D"/>
    <w:rsid w:val="00480F29"/>
    <w:rsid w:val="004819A9"/>
    <w:rsid w:val="00481BD4"/>
    <w:rsid w:val="00481DD3"/>
    <w:rsid w:val="00482380"/>
    <w:rsid w:val="0048293C"/>
    <w:rsid w:val="00482BE7"/>
    <w:rsid w:val="00483B29"/>
    <w:rsid w:val="00483D1F"/>
    <w:rsid w:val="0048413C"/>
    <w:rsid w:val="004844B3"/>
    <w:rsid w:val="004857C3"/>
    <w:rsid w:val="00485A7D"/>
    <w:rsid w:val="00485B86"/>
    <w:rsid w:val="00485E4F"/>
    <w:rsid w:val="004861A2"/>
    <w:rsid w:val="0048672B"/>
    <w:rsid w:val="0048683C"/>
    <w:rsid w:val="00486E33"/>
    <w:rsid w:val="00487154"/>
    <w:rsid w:val="0048735D"/>
    <w:rsid w:val="00490647"/>
    <w:rsid w:val="004908ED"/>
    <w:rsid w:val="0049094D"/>
    <w:rsid w:val="00490B31"/>
    <w:rsid w:val="00490BF0"/>
    <w:rsid w:val="00490C49"/>
    <w:rsid w:val="00490D13"/>
    <w:rsid w:val="00490EC0"/>
    <w:rsid w:val="004913CF"/>
    <w:rsid w:val="0049255B"/>
    <w:rsid w:val="00492898"/>
    <w:rsid w:val="00492C00"/>
    <w:rsid w:val="00494ECC"/>
    <w:rsid w:val="0049529D"/>
    <w:rsid w:val="004952B8"/>
    <w:rsid w:val="0049637A"/>
    <w:rsid w:val="004A0330"/>
    <w:rsid w:val="004A1BA5"/>
    <w:rsid w:val="004A1EEA"/>
    <w:rsid w:val="004A211E"/>
    <w:rsid w:val="004A2146"/>
    <w:rsid w:val="004A2283"/>
    <w:rsid w:val="004A2AE2"/>
    <w:rsid w:val="004A30F4"/>
    <w:rsid w:val="004A32CD"/>
    <w:rsid w:val="004A3A6D"/>
    <w:rsid w:val="004A4638"/>
    <w:rsid w:val="004A5997"/>
    <w:rsid w:val="004A5B69"/>
    <w:rsid w:val="004A5E36"/>
    <w:rsid w:val="004A5E9D"/>
    <w:rsid w:val="004A5F0E"/>
    <w:rsid w:val="004A6318"/>
    <w:rsid w:val="004A634E"/>
    <w:rsid w:val="004A7F43"/>
    <w:rsid w:val="004B054A"/>
    <w:rsid w:val="004B0D22"/>
    <w:rsid w:val="004B0F3C"/>
    <w:rsid w:val="004B12BC"/>
    <w:rsid w:val="004B13C7"/>
    <w:rsid w:val="004B170A"/>
    <w:rsid w:val="004B2180"/>
    <w:rsid w:val="004B2A66"/>
    <w:rsid w:val="004B2DBB"/>
    <w:rsid w:val="004B3134"/>
    <w:rsid w:val="004B31DE"/>
    <w:rsid w:val="004B35C3"/>
    <w:rsid w:val="004B36C2"/>
    <w:rsid w:val="004B3D6E"/>
    <w:rsid w:val="004B400E"/>
    <w:rsid w:val="004B4CF5"/>
    <w:rsid w:val="004B5355"/>
    <w:rsid w:val="004B53DF"/>
    <w:rsid w:val="004B55DF"/>
    <w:rsid w:val="004B5B75"/>
    <w:rsid w:val="004B5EDA"/>
    <w:rsid w:val="004B5FEB"/>
    <w:rsid w:val="004B6D1A"/>
    <w:rsid w:val="004B6FB0"/>
    <w:rsid w:val="004B7F9C"/>
    <w:rsid w:val="004C01AC"/>
    <w:rsid w:val="004C0621"/>
    <w:rsid w:val="004C092A"/>
    <w:rsid w:val="004C0ED2"/>
    <w:rsid w:val="004C1158"/>
    <w:rsid w:val="004C15C5"/>
    <w:rsid w:val="004C1667"/>
    <w:rsid w:val="004C1C76"/>
    <w:rsid w:val="004C1E09"/>
    <w:rsid w:val="004C2823"/>
    <w:rsid w:val="004C2DD9"/>
    <w:rsid w:val="004C324A"/>
    <w:rsid w:val="004C3347"/>
    <w:rsid w:val="004C407A"/>
    <w:rsid w:val="004C5078"/>
    <w:rsid w:val="004C508D"/>
    <w:rsid w:val="004C531A"/>
    <w:rsid w:val="004C5540"/>
    <w:rsid w:val="004C58FD"/>
    <w:rsid w:val="004C6E5B"/>
    <w:rsid w:val="004C7336"/>
    <w:rsid w:val="004C7426"/>
    <w:rsid w:val="004C749D"/>
    <w:rsid w:val="004C74F7"/>
    <w:rsid w:val="004D0217"/>
    <w:rsid w:val="004D0224"/>
    <w:rsid w:val="004D0763"/>
    <w:rsid w:val="004D08CB"/>
    <w:rsid w:val="004D1437"/>
    <w:rsid w:val="004D1C21"/>
    <w:rsid w:val="004D1D43"/>
    <w:rsid w:val="004D251E"/>
    <w:rsid w:val="004D2CC9"/>
    <w:rsid w:val="004D32C7"/>
    <w:rsid w:val="004D4093"/>
    <w:rsid w:val="004D4131"/>
    <w:rsid w:val="004D429A"/>
    <w:rsid w:val="004D43E9"/>
    <w:rsid w:val="004D4622"/>
    <w:rsid w:val="004D4E5C"/>
    <w:rsid w:val="004D515E"/>
    <w:rsid w:val="004D5346"/>
    <w:rsid w:val="004D592F"/>
    <w:rsid w:val="004D6396"/>
    <w:rsid w:val="004D7E59"/>
    <w:rsid w:val="004D7EE7"/>
    <w:rsid w:val="004D7EEA"/>
    <w:rsid w:val="004D7FCC"/>
    <w:rsid w:val="004E03F7"/>
    <w:rsid w:val="004E12D6"/>
    <w:rsid w:val="004E17C6"/>
    <w:rsid w:val="004E196D"/>
    <w:rsid w:val="004E1D95"/>
    <w:rsid w:val="004E2B22"/>
    <w:rsid w:val="004E2D4D"/>
    <w:rsid w:val="004E369E"/>
    <w:rsid w:val="004E3755"/>
    <w:rsid w:val="004E3AE8"/>
    <w:rsid w:val="004E3FCB"/>
    <w:rsid w:val="004E466B"/>
    <w:rsid w:val="004E4F4A"/>
    <w:rsid w:val="004E5BDB"/>
    <w:rsid w:val="004E5FA3"/>
    <w:rsid w:val="004E6429"/>
    <w:rsid w:val="004E6A1C"/>
    <w:rsid w:val="004E6D3E"/>
    <w:rsid w:val="004E74F0"/>
    <w:rsid w:val="004E7C38"/>
    <w:rsid w:val="004E7D6C"/>
    <w:rsid w:val="004F082F"/>
    <w:rsid w:val="004F0D67"/>
    <w:rsid w:val="004F10C9"/>
    <w:rsid w:val="004F17D1"/>
    <w:rsid w:val="004F2088"/>
    <w:rsid w:val="004F26CF"/>
    <w:rsid w:val="004F3075"/>
    <w:rsid w:val="004F326A"/>
    <w:rsid w:val="004F35E9"/>
    <w:rsid w:val="004F3CD6"/>
    <w:rsid w:val="004F44C7"/>
    <w:rsid w:val="004F4C56"/>
    <w:rsid w:val="004F5E6E"/>
    <w:rsid w:val="004F64F2"/>
    <w:rsid w:val="004F77AB"/>
    <w:rsid w:val="004F7B34"/>
    <w:rsid w:val="0050026B"/>
    <w:rsid w:val="00500F01"/>
    <w:rsid w:val="005010A0"/>
    <w:rsid w:val="0050127E"/>
    <w:rsid w:val="00501361"/>
    <w:rsid w:val="005013D6"/>
    <w:rsid w:val="00501896"/>
    <w:rsid w:val="00502030"/>
    <w:rsid w:val="0050273E"/>
    <w:rsid w:val="00502779"/>
    <w:rsid w:val="005029DC"/>
    <w:rsid w:val="00502D52"/>
    <w:rsid w:val="00502D8A"/>
    <w:rsid w:val="00504577"/>
    <w:rsid w:val="0050498B"/>
    <w:rsid w:val="005059F1"/>
    <w:rsid w:val="00505D5C"/>
    <w:rsid w:val="0050621F"/>
    <w:rsid w:val="00506625"/>
    <w:rsid w:val="00506B32"/>
    <w:rsid w:val="00506D1D"/>
    <w:rsid w:val="00506F30"/>
    <w:rsid w:val="00507138"/>
    <w:rsid w:val="00507617"/>
    <w:rsid w:val="0051104C"/>
    <w:rsid w:val="005116DB"/>
    <w:rsid w:val="00511F5F"/>
    <w:rsid w:val="00512839"/>
    <w:rsid w:val="005130A7"/>
    <w:rsid w:val="00513342"/>
    <w:rsid w:val="00514362"/>
    <w:rsid w:val="00514EC9"/>
    <w:rsid w:val="00515753"/>
    <w:rsid w:val="00515777"/>
    <w:rsid w:val="00515A23"/>
    <w:rsid w:val="00515CC4"/>
    <w:rsid w:val="00515F91"/>
    <w:rsid w:val="00516250"/>
    <w:rsid w:val="005203CB"/>
    <w:rsid w:val="0052064F"/>
    <w:rsid w:val="00520E8E"/>
    <w:rsid w:val="00523717"/>
    <w:rsid w:val="0052382C"/>
    <w:rsid w:val="00523EEC"/>
    <w:rsid w:val="00524718"/>
    <w:rsid w:val="00524746"/>
    <w:rsid w:val="00524CC4"/>
    <w:rsid w:val="00525DD1"/>
    <w:rsid w:val="00526511"/>
    <w:rsid w:val="005277B4"/>
    <w:rsid w:val="00527927"/>
    <w:rsid w:val="0053017F"/>
    <w:rsid w:val="0053144B"/>
    <w:rsid w:val="00531914"/>
    <w:rsid w:val="00531D9E"/>
    <w:rsid w:val="005320D4"/>
    <w:rsid w:val="00532247"/>
    <w:rsid w:val="00532288"/>
    <w:rsid w:val="005327C2"/>
    <w:rsid w:val="00533270"/>
    <w:rsid w:val="005333A1"/>
    <w:rsid w:val="00533609"/>
    <w:rsid w:val="00534178"/>
    <w:rsid w:val="00534AD1"/>
    <w:rsid w:val="00534B0F"/>
    <w:rsid w:val="00534FC7"/>
    <w:rsid w:val="00535AA1"/>
    <w:rsid w:val="00535DF4"/>
    <w:rsid w:val="005368FB"/>
    <w:rsid w:val="00536DE7"/>
    <w:rsid w:val="00537115"/>
    <w:rsid w:val="00537465"/>
    <w:rsid w:val="005400AD"/>
    <w:rsid w:val="00540F89"/>
    <w:rsid w:val="005424B3"/>
    <w:rsid w:val="00542615"/>
    <w:rsid w:val="005427AF"/>
    <w:rsid w:val="00542ECB"/>
    <w:rsid w:val="005432BA"/>
    <w:rsid w:val="005434A9"/>
    <w:rsid w:val="005443A5"/>
    <w:rsid w:val="005447EF"/>
    <w:rsid w:val="00545312"/>
    <w:rsid w:val="00545AED"/>
    <w:rsid w:val="00545B79"/>
    <w:rsid w:val="00545F8B"/>
    <w:rsid w:val="00546830"/>
    <w:rsid w:val="00546934"/>
    <w:rsid w:val="005472B3"/>
    <w:rsid w:val="00550C11"/>
    <w:rsid w:val="00550DE7"/>
    <w:rsid w:val="005514BB"/>
    <w:rsid w:val="00551F73"/>
    <w:rsid w:val="00552301"/>
    <w:rsid w:val="0055269F"/>
    <w:rsid w:val="00553046"/>
    <w:rsid w:val="0055357F"/>
    <w:rsid w:val="00553E62"/>
    <w:rsid w:val="00554634"/>
    <w:rsid w:val="00554795"/>
    <w:rsid w:val="00554AB0"/>
    <w:rsid w:val="00554FC9"/>
    <w:rsid w:val="005550B9"/>
    <w:rsid w:val="005555CD"/>
    <w:rsid w:val="0055561C"/>
    <w:rsid w:val="0055629C"/>
    <w:rsid w:val="00556A9F"/>
    <w:rsid w:val="00556C06"/>
    <w:rsid w:val="00557981"/>
    <w:rsid w:val="00557CCC"/>
    <w:rsid w:val="00560148"/>
    <w:rsid w:val="0056016F"/>
    <w:rsid w:val="005605A2"/>
    <w:rsid w:val="00560789"/>
    <w:rsid w:val="0056080F"/>
    <w:rsid w:val="00560EDE"/>
    <w:rsid w:val="00561042"/>
    <w:rsid w:val="005610C7"/>
    <w:rsid w:val="005613DA"/>
    <w:rsid w:val="00561C91"/>
    <w:rsid w:val="0056222E"/>
    <w:rsid w:val="00562528"/>
    <w:rsid w:val="00563ECB"/>
    <w:rsid w:val="005647D1"/>
    <w:rsid w:val="00565011"/>
    <w:rsid w:val="0056506E"/>
    <w:rsid w:val="00565EBC"/>
    <w:rsid w:val="0056662F"/>
    <w:rsid w:val="00566D53"/>
    <w:rsid w:val="0056708A"/>
    <w:rsid w:val="00567242"/>
    <w:rsid w:val="0056774F"/>
    <w:rsid w:val="00567755"/>
    <w:rsid w:val="00567C57"/>
    <w:rsid w:val="005704E4"/>
    <w:rsid w:val="00570AB7"/>
    <w:rsid w:val="00570C55"/>
    <w:rsid w:val="00571964"/>
    <w:rsid w:val="00571BB7"/>
    <w:rsid w:val="00571E22"/>
    <w:rsid w:val="0057271D"/>
    <w:rsid w:val="00572D2D"/>
    <w:rsid w:val="00572EE9"/>
    <w:rsid w:val="005730DB"/>
    <w:rsid w:val="0057317C"/>
    <w:rsid w:val="0057348D"/>
    <w:rsid w:val="005735DD"/>
    <w:rsid w:val="00573656"/>
    <w:rsid w:val="00573BB9"/>
    <w:rsid w:val="00574092"/>
    <w:rsid w:val="0057496C"/>
    <w:rsid w:val="005749A3"/>
    <w:rsid w:val="00574A7F"/>
    <w:rsid w:val="00574D94"/>
    <w:rsid w:val="005753AE"/>
    <w:rsid w:val="00576774"/>
    <w:rsid w:val="0057690C"/>
    <w:rsid w:val="0058052B"/>
    <w:rsid w:val="005809A7"/>
    <w:rsid w:val="00581B35"/>
    <w:rsid w:val="00582008"/>
    <w:rsid w:val="005823F5"/>
    <w:rsid w:val="00583542"/>
    <w:rsid w:val="00583B31"/>
    <w:rsid w:val="00583FEE"/>
    <w:rsid w:val="00584380"/>
    <w:rsid w:val="00584A01"/>
    <w:rsid w:val="00584A5C"/>
    <w:rsid w:val="00584A7B"/>
    <w:rsid w:val="00584DCA"/>
    <w:rsid w:val="00586108"/>
    <w:rsid w:val="00586BF6"/>
    <w:rsid w:val="005901C6"/>
    <w:rsid w:val="00590860"/>
    <w:rsid w:val="0059125A"/>
    <w:rsid w:val="00592FE7"/>
    <w:rsid w:val="00593058"/>
    <w:rsid w:val="00593173"/>
    <w:rsid w:val="005939D5"/>
    <w:rsid w:val="00593E99"/>
    <w:rsid w:val="00594CE8"/>
    <w:rsid w:val="00594D24"/>
    <w:rsid w:val="00594F48"/>
    <w:rsid w:val="00595A3C"/>
    <w:rsid w:val="005961CE"/>
    <w:rsid w:val="005962B0"/>
    <w:rsid w:val="00596491"/>
    <w:rsid w:val="0059651A"/>
    <w:rsid w:val="005977F1"/>
    <w:rsid w:val="005979A3"/>
    <w:rsid w:val="005A0446"/>
    <w:rsid w:val="005A0590"/>
    <w:rsid w:val="005A09D8"/>
    <w:rsid w:val="005A0C98"/>
    <w:rsid w:val="005A1F7E"/>
    <w:rsid w:val="005A27F9"/>
    <w:rsid w:val="005A36AB"/>
    <w:rsid w:val="005A37FE"/>
    <w:rsid w:val="005A3D6F"/>
    <w:rsid w:val="005A3D89"/>
    <w:rsid w:val="005A4044"/>
    <w:rsid w:val="005A4075"/>
    <w:rsid w:val="005A4806"/>
    <w:rsid w:val="005A4DBC"/>
    <w:rsid w:val="005A5578"/>
    <w:rsid w:val="005A5684"/>
    <w:rsid w:val="005A5F24"/>
    <w:rsid w:val="005A6274"/>
    <w:rsid w:val="005A67EB"/>
    <w:rsid w:val="005A6B51"/>
    <w:rsid w:val="005A77BF"/>
    <w:rsid w:val="005A7A04"/>
    <w:rsid w:val="005A7C9B"/>
    <w:rsid w:val="005B0B37"/>
    <w:rsid w:val="005B0E94"/>
    <w:rsid w:val="005B18A8"/>
    <w:rsid w:val="005B1A7C"/>
    <w:rsid w:val="005B23C6"/>
    <w:rsid w:val="005B271F"/>
    <w:rsid w:val="005B2964"/>
    <w:rsid w:val="005B2C4B"/>
    <w:rsid w:val="005B3472"/>
    <w:rsid w:val="005B39CB"/>
    <w:rsid w:val="005B42D6"/>
    <w:rsid w:val="005B442D"/>
    <w:rsid w:val="005B4660"/>
    <w:rsid w:val="005B51C3"/>
    <w:rsid w:val="005B569E"/>
    <w:rsid w:val="005B57B1"/>
    <w:rsid w:val="005B5859"/>
    <w:rsid w:val="005B5D13"/>
    <w:rsid w:val="005B6CF9"/>
    <w:rsid w:val="005B7466"/>
    <w:rsid w:val="005B7F13"/>
    <w:rsid w:val="005C0472"/>
    <w:rsid w:val="005C05AE"/>
    <w:rsid w:val="005C113B"/>
    <w:rsid w:val="005C1523"/>
    <w:rsid w:val="005C1882"/>
    <w:rsid w:val="005C1E39"/>
    <w:rsid w:val="005C21A6"/>
    <w:rsid w:val="005C22CF"/>
    <w:rsid w:val="005C3156"/>
    <w:rsid w:val="005C34E1"/>
    <w:rsid w:val="005C3922"/>
    <w:rsid w:val="005C3A0F"/>
    <w:rsid w:val="005C4793"/>
    <w:rsid w:val="005C517C"/>
    <w:rsid w:val="005C52A2"/>
    <w:rsid w:val="005C58A6"/>
    <w:rsid w:val="005C598D"/>
    <w:rsid w:val="005C5C02"/>
    <w:rsid w:val="005C6D14"/>
    <w:rsid w:val="005C7540"/>
    <w:rsid w:val="005D128F"/>
    <w:rsid w:val="005D15B1"/>
    <w:rsid w:val="005D16CB"/>
    <w:rsid w:val="005D2A9A"/>
    <w:rsid w:val="005D2FFF"/>
    <w:rsid w:val="005D4237"/>
    <w:rsid w:val="005D4337"/>
    <w:rsid w:val="005D43BE"/>
    <w:rsid w:val="005D4EA7"/>
    <w:rsid w:val="005D4ED7"/>
    <w:rsid w:val="005D5215"/>
    <w:rsid w:val="005D5EDE"/>
    <w:rsid w:val="005D620D"/>
    <w:rsid w:val="005D6A6C"/>
    <w:rsid w:val="005D700A"/>
    <w:rsid w:val="005D701D"/>
    <w:rsid w:val="005D7861"/>
    <w:rsid w:val="005D7C43"/>
    <w:rsid w:val="005E0175"/>
    <w:rsid w:val="005E01A1"/>
    <w:rsid w:val="005E0966"/>
    <w:rsid w:val="005E0FAC"/>
    <w:rsid w:val="005E12DB"/>
    <w:rsid w:val="005E1472"/>
    <w:rsid w:val="005E225D"/>
    <w:rsid w:val="005E24E0"/>
    <w:rsid w:val="005E279F"/>
    <w:rsid w:val="005E30E2"/>
    <w:rsid w:val="005E37E1"/>
    <w:rsid w:val="005E3B6A"/>
    <w:rsid w:val="005E43C4"/>
    <w:rsid w:val="005E4AAB"/>
    <w:rsid w:val="005E4DDB"/>
    <w:rsid w:val="005E59EF"/>
    <w:rsid w:val="005E5F5E"/>
    <w:rsid w:val="005E6619"/>
    <w:rsid w:val="005E6808"/>
    <w:rsid w:val="005E7DDB"/>
    <w:rsid w:val="005E7DE4"/>
    <w:rsid w:val="005F074E"/>
    <w:rsid w:val="005F0F02"/>
    <w:rsid w:val="005F0FE2"/>
    <w:rsid w:val="005F153E"/>
    <w:rsid w:val="005F168F"/>
    <w:rsid w:val="005F1B70"/>
    <w:rsid w:val="005F1E3E"/>
    <w:rsid w:val="005F2075"/>
    <w:rsid w:val="005F207A"/>
    <w:rsid w:val="005F23B3"/>
    <w:rsid w:val="005F2527"/>
    <w:rsid w:val="005F2E8E"/>
    <w:rsid w:val="005F2F2D"/>
    <w:rsid w:val="005F58D3"/>
    <w:rsid w:val="005F5EF0"/>
    <w:rsid w:val="005F6328"/>
    <w:rsid w:val="005F6347"/>
    <w:rsid w:val="005F72AB"/>
    <w:rsid w:val="005F76B9"/>
    <w:rsid w:val="005F770C"/>
    <w:rsid w:val="00600679"/>
    <w:rsid w:val="006010A9"/>
    <w:rsid w:val="00602044"/>
    <w:rsid w:val="00602F96"/>
    <w:rsid w:val="0060366A"/>
    <w:rsid w:val="006038D0"/>
    <w:rsid w:val="006043B4"/>
    <w:rsid w:val="006044F8"/>
    <w:rsid w:val="006051F3"/>
    <w:rsid w:val="00605B49"/>
    <w:rsid w:val="0060633E"/>
    <w:rsid w:val="006066C1"/>
    <w:rsid w:val="006067F0"/>
    <w:rsid w:val="00606F4C"/>
    <w:rsid w:val="006079E3"/>
    <w:rsid w:val="00607C74"/>
    <w:rsid w:val="0061056A"/>
    <w:rsid w:val="00610998"/>
    <w:rsid w:val="00611A89"/>
    <w:rsid w:val="00611D0E"/>
    <w:rsid w:val="00612912"/>
    <w:rsid w:val="00613A5E"/>
    <w:rsid w:val="00613B36"/>
    <w:rsid w:val="0061467B"/>
    <w:rsid w:val="00614915"/>
    <w:rsid w:val="0061492A"/>
    <w:rsid w:val="00614B54"/>
    <w:rsid w:val="00614D92"/>
    <w:rsid w:val="00615895"/>
    <w:rsid w:val="00615BEF"/>
    <w:rsid w:val="0061640A"/>
    <w:rsid w:val="006217FA"/>
    <w:rsid w:val="00621971"/>
    <w:rsid w:val="00622086"/>
    <w:rsid w:val="006225F0"/>
    <w:rsid w:val="00622DB5"/>
    <w:rsid w:val="00623AD0"/>
    <w:rsid w:val="0062486B"/>
    <w:rsid w:val="00624CE5"/>
    <w:rsid w:val="00625C02"/>
    <w:rsid w:val="006262A0"/>
    <w:rsid w:val="00626ED8"/>
    <w:rsid w:val="00627BC8"/>
    <w:rsid w:val="00627F68"/>
    <w:rsid w:val="006305A5"/>
    <w:rsid w:val="0063078D"/>
    <w:rsid w:val="0063100D"/>
    <w:rsid w:val="006311CF"/>
    <w:rsid w:val="00632E12"/>
    <w:rsid w:val="006342B7"/>
    <w:rsid w:val="006344D6"/>
    <w:rsid w:val="0063472B"/>
    <w:rsid w:val="00634738"/>
    <w:rsid w:val="00634888"/>
    <w:rsid w:val="00634D83"/>
    <w:rsid w:val="00635860"/>
    <w:rsid w:val="00635A1D"/>
    <w:rsid w:val="006363FA"/>
    <w:rsid w:val="0063674E"/>
    <w:rsid w:val="00636868"/>
    <w:rsid w:val="0063705A"/>
    <w:rsid w:val="0063726F"/>
    <w:rsid w:val="0063752D"/>
    <w:rsid w:val="00637B67"/>
    <w:rsid w:val="00637C36"/>
    <w:rsid w:val="00637E9D"/>
    <w:rsid w:val="006405D3"/>
    <w:rsid w:val="00640DC1"/>
    <w:rsid w:val="00640F81"/>
    <w:rsid w:val="006412A8"/>
    <w:rsid w:val="00641AA7"/>
    <w:rsid w:val="00641F76"/>
    <w:rsid w:val="0064201F"/>
    <w:rsid w:val="006420D3"/>
    <w:rsid w:val="006422CB"/>
    <w:rsid w:val="00642341"/>
    <w:rsid w:val="00642392"/>
    <w:rsid w:val="00642520"/>
    <w:rsid w:val="00642699"/>
    <w:rsid w:val="006427A1"/>
    <w:rsid w:val="006429BA"/>
    <w:rsid w:val="006429ED"/>
    <w:rsid w:val="006438A7"/>
    <w:rsid w:val="00643AAD"/>
    <w:rsid w:val="00643CBA"/>
    <w:rsid w:val="00643CC0"/>
    <w:rsid w:val="00644249"/>
    <w:rsid w:val="00645D67"/>
    <w:rsid w:val="00645ED7"/>
    <w:rsid w:val="00646451"/>
    <w:rsid w:val="00646D05"/>
    <w:rsid w:val="0065021B"/>
    <w:rsid w:val="006508B5"/>
    <w:rsid w:val="00651A12"/>
    <w:rsid w:val="00651E9D"/>
    <w:rsid w:val="006520D6"/>
    <w:rsid w:val="006522F7"/>
    <w:rsid w:val="00652846"/>
    <w:rsid w:val="00652ED0"/>
    <w:rsid w:val="0065314C"/>
    <w:rsid w:val="0065373C"/>
    <w:rsid w:val="00653E55"/>
    <w:rsid w:val="006540B2"/>
    <w:rsid w:val="0065472B"/>
    <w:rsid w:val="00654A32"/>
    <w:rsid w:val="00655498"/>
    <w:rsid w:val="00655C3A"/>
    <w:rsid w:val="00655C9D"/>
    <w:rsid w:val="00655E44"/>
    <w:rsid w:val="006568C2"/>
    <w:rsid w:val="0065773B"/>
    <w:rsid w:val="00660DFA"/>
    <w:rsid w:val="00660F44"/>
    <w:rsid w:val="00661E06"/>
    <w:rsid w:val="00661F0B"/>
    <w:rsid w:val="0066277D"/>
    <w:rsid w:val="00662875"/>
    <w:rsid w:val="0066289A"/>
    <w:rsid w:val="00664494"/>
    <w:rsid w:val="00664BB3"/>
    <w:rsid w:val="00664BF5"/>
    <w:rsid w:val="00664C92"/>
    <w:rsid w:val="0066517A"/>
    <w:rsid w:val="006651CC"/>
    <w:rsid w:val="00665539"/>
    <w:rsid w:val="00665885"/>
    <w:rsid w:val="00665D7B"/>
    <w:rsid w:val="00665DEF"/>
    <w:rsid w:val="00666066"/>
    <w:rsid w:val="006662D9"/>
    <w:rsid w:val="006665B5"/>
    <w:rsid w:val="006670E6"/>
    <w:rsid w:val="00667393"/>
    <w:rsid w:val="0066746E"/>
    <w:rsid w:val="00667CD6"/>
    <w:rsid w:val="00667E4A"/>
    <w:rsid w:val="006704E0"/>
    <w:rsid w:val="006708A3"/>
    <w:rsid w:val="00670FBB"/>
    <w:rsid w:val="00671BF8"/>
    <w:rsid w:val="0067216F"/>
    <w:rsid w:val="006728F1"/>
    <w:rsid w:val="0067292A"/>
    <w:rsid w:val="00673291"/>
    <w:rsid w:val="00673E6B"/>
    <w:rsid w:val="00673F1C"/>
    <w:rsid w:val="006744F0"/>
    <w:rsid w:val="006745C0"/>
    <w:rsid w:val="00674C2A"/>
    <w:rsid w:val="00674D09"/>
    <w:rsid w:val="00674E42"/>
    <w:rsid w:val="00675100"/>
    <w:rsid w:val="00675166"/>
    <w:rsid w:val="006764A3"/>
    <w:rsid w:val="006766F8"/>
    <w:rsid w:val="00676F3F"/>
    <w:rsid w:val="006773E0"/>
    <w:rsid w:val="006776EF"/>
    <w:rsid w:val="006777B1"/>
    <w:rsid w:val="00677D84"/>
    <w:rsid w:val="006801D7"/>
    <w:rsid w:val="00681003"/>
    <w:rsid w:val="0068145A"/>
    <w:rsid w:val="00682857"/>
    <w:rsid w:val="00683456"/>
    <w:rsid w:val="00683E07"/>
    <w:rsid w:val="00683E4A"/>
    <w:rsid w:val="00683F33"/>
    <w:rsid w:val="00684296"/>
    <w:rsid w:val="0068459E"/>
    <w:rsid w:val="00684C70"/>
    <w:rsid w:val="00685CFD"/>
    <w:rsid w:val="00686890"/>
    <w:rsid w:val="00686BA2"/>
    <w:rsid w:val="00686EFD"/>
    <w:rsid w:val="00686FD0"/>
    <w:rsid w:val="00687337"/>
    <w:rsid w:val="0068733D"/>
    <w:rsid w:val="0068759C"/>
    <w:rsid w:val="00687E09"/>
    <w:rsid w:val="00690771"/>
    <w:rsid w:val="00690AF2"/>
    <w:rsid w:val="006922F3"/>
    <w:rsid w:val="006925DA"/>
    <w:rsid w:val="00692613"/>
    <w:rsid w:val="00692714"/>
    <w:rsid w:val="006936D3"/>
    <w:rsid w:val="00694F5B"/>
    <w:rsid w:val="00695003"/>
    <w:rsid w:val="0069638E"/>
    <w:rsid w:val="006969DC"/>
    <w:rsid w:val="00696A55"/>
    <w:rsid w:val="00696B90"/>
    <w:rsid w:val="00696BBC"/>
    <w:rsid w:val="00696E41"/>
    <w:rsid w:val="006970F7"/>
    <w:rsid w:val="0069735A"/>
    <w:rsid w:val="00697E5C"/>
    <w:rsid w:val="006A18D4"/>
    <w:rsid w:val="006A190A"/>
    <w:rsid w:val="006A1D1A"/>
    <w:rsid w:val="006A2C53"/>
    <w:rsid w:val="006A3036"/>
    <w:rsid w:val="006A3698"/>
    <w:rsid w:val="006A37CF"/>
    <w:rsid w:val="006A3A8B"/>
    <w:rsid w:val="006A51AF"/>
    <w:rsid w:val="006A5689"/>
    <w:rsid w:val="006A59CD"/>
    <w:rsid w:val="006A625F"/>
    <w:rsid w:val="006A65A6"/>
    <w:rsid w:val="006A69E1"/>
    <w:rsid w:val="006A70BE"/>
    <w:rsid w:val="006A7B9C"/>
    <w:rsid w:val="006B0407"/>
    <w:rsid w:val="006B0BCB"/>
    <w:rsid w:val="006B0DC9"/>
    <w:rsid w:val="006B0FBA"/>
    <w:rsid w:val="006B134F"/>
    <w:rsid w:val="006B14EF"/>
    <w:rsid w:val="006B2657"/>
    <w:rsid w:val="006B2BE2"/>
    <w:rsid w:val="006B2FF8"/>
    <w:rsid w:val="006B3049"/>
    <w:rsid w:val="006B34D1"/>
    <w:rsid w:val="006B3633"/>
    <w:rsid w:val="006B40CD"/>
    <w:rsid w:val="006B415A"/>
    <w:rsid w:val="006B41A7"/>
    <w:rsid w:val="006B500A"/>
    <w:rsid w:val="006B57E3"/>
    <w:rsid w:val="006B5E43"/>
    <w:rsid w:val="006B6381"/>
    <w:rsid w:val="006B6865"/>
    <w:rsid w:val="006B6B0D"/>
    <w:rsid w:val="006B6B91"/>
    <w:rsid w:val="006B6C27"/>
    <w:rsid w:val="006C000E"/>
    <w:rsid w:val="006C0019"/>
    <w:rsid w:val="006C08A0"/>
    <w:rsid w:val="006C1754"/>
    <w:rsid w:val="006C1A94"/>
    <w:rsid w:val="006C1FCA"/>
    <w:rsid w:val="006C2359"/>
    <w:rsid w:val="006C24DD"/>
    <w:rsid w:val="006C2C99"/>
    <w:rsid w:val="006C375E"/>
    <w:rsid w:val="006C3A88"/>
    <w:rsid w:val="006C4242"/>
    <w:rsid w:val="006C66BF"/>
    <w:rsid w:val="006C6DAF"/>
    <w:rsid w:val="006C7FA2"/>
    <w:rsid w:val="006D01D1"/>
    <w:rsid w:val="006D0784"/>
    <w:rsid w:val="006D0DE3"/>
    <w:rsid w:val="006D122F"/>
    <w:rsid w:val="006D1CA6"/>
    <w:rsid w:val="006D1D47"/>
    <w:rsid w:val="006D1E94"/>
    <w:rsid w:val="006D30E8"/>
    <w:rsid w:val="006D3618"/>
    <w:rsid w:val="006D3740"/>
    <w:rsid w:val="006D3D42"/>
    <w:rsid w:val="006D4A8E"/>
    <w:rsid w:val="006D5113"/>
    <w:rsid w:val="006D57A6"/>
    <w:rsid w:val="006D5A87"/>
    <w:rsid w:val="006D62CE"/>
    <w:rsid w:val="006D62DB"/>
    <w:rsid w:val="006D70A4"/>
    <w:rsid w:val="006D73B9"/>
    <w:rsid w:val="006D762C"/>
    <w:rsid w:val="006D7E5D"/>
    <w:rsid w:val="006E0190"/>
    <w:rsid w:val="006E0193"/>
    <w:rsid w:val="006E03FB"/>
    <w:rsid w:val="006E0909"/>
    <w:rsid w:val="006E096C"/>
    <w:rsid w:val="006E0CB7"/>
    <w:rsid w:val="006E11BD"/>
    <w:rsid w:val="006E17F1"/>
    <w:rsid w:val="006E350D"/>
    <w:rsid w:val="006E45E2"/>
    <w:rsid w:val="006E527B"/>
    <w:rsid w:val="006E5309"/>
    <w:rsid w:val="006E6BFD"/>
    <w:rsid w:val="006E7754"/>
    <w:rsid w:val="006E7CFC"/>
    <w:rsid w:val="006E7ECB"/>
    <w:rsid w:val="006F00F9"/>
    <w:rsid w:val="006F0CEB"/>
    <w:rsid w:val="006F1589"/>
    <w:rsid w:val="006F2B58"/>
    <w:rsid w:val="006F2C01"/>
    <w:rsid w:val="006F2E9B"/>
    <w:rsid w:val="006F30C4"/>
    <w:rsid w:val="006F33DF"/>
    <w:rsid w:val="006F387A"/>
    <w:rsid w:val="006F3E1A"/>
    <w:rsid w:val="006F4F5E"/>
    <w:rsid w:val="006F5447"/>
    <w:rsid w:val="006F6072"/>
    <w:rsid w:val="006F611A"/>
    <w:rsid w:val="006F64B3"/>
    <w:rsid w:val="006F7D2C"/>
    <w:rsid w:val="00700324"/>
    <w:rsid w:val="007009A3"/>
    <w:rsid w:val="007012F2"/>
    <w:rsid w:val="007013B2"/>
    <w:rsid w:val="00701767"/>
    <w:rsid w:val="00701EBB"/>
    <w:rsid w:val="00701FA6"/>
    <w:rsid w:val="00702618"/>
    <w:rsid w:val="007026D1"/>
    <w:rsid w:val="00702CD0"/>
    <w:rsid w:val="00703191"/>
    <w:rsid w:val="00704942"/>
    <w:rsid w:val="007049C6"/>
    <w:rsid w:val="00704F9D"/>
    <w:rsid w:val="007055A8"/>
    <w:rsid w:val="007056C3"/>
    <w:rsid w:val="00705751"/>
    <w:rsid w:val="007059D5"/>
    <w:rsid w:val="00705B6D"/>
    <w:rsid w:val="00706206"/>
    <w:rsid w:val="007067D7"/>
    <w:rsid w:val="007071D8"/>
    <w:rsid w:val="00707B97"/>
    <w:rsid w:val="00707F15"/>
    <w:rsid w:val="00710391"/>
    <w:rsid w:val="00710BD3"/>
    <w:rsid w:val="00711DA4"/>
    <w:rsid w:val="00711F83"/>
    <w:rsid w:val="00712337"/>
    <w:rsid w:val="007124A8"/>
    <w:rsid w:val="007124AE"/>
    <w:rsid w:val="00712BD5"/>
    <w:rsid w:val="0071300D"/>
    <w:rsid w:val="00713537"/>
    <w:rsid w:val="0071383C"/>
    <w:rsid w:val="0071385B"/>
    <w:rsid w:val="00713998"/>
    <w:rsid w:val="00713E3C"/>
    <w:rsid w:val="007144BF"/>
    <w:rsid w:val="00715311"/>
    <w:rsid w:val="007158F4"/>
    <w:rsid w:val="00715B70"/>
    <w:rsid w:val="00715BF2"/>
    <w:rsid w:val="00715E9B"/>
    <w:rsid w:val="0071602B"/>
    <w:rsid w:val="00716377"/>
    <w:rsid w:val="00716F4C"/>
    <w:rsid w:val="00716F7A"/>
    <w:rsid w:val="00717ADF"/>
    <w:rsid w:val="00717E81"/>
    <w:rsid w:val="007200F8"/>
    <w:rsid w:val="00720275"/>
    <w:rsid w:val="00720289"/>
    <w:rsid w:val="00720BDF"/>
    <w:rsid w:val="00721B8C"/>
    <w:rsid w:val="00721C66"/>
    <w:rsid w:val="00721ECE"/>
    <w:rsid w:val="007222BE"/>
    <w:rsid w:val="0072312B"/>
    <w:rsid w:val="007231B7"/>
    <w:rsid w:val="00723DAB"/>
    <w:rsid w:val="00723EEF"/>
    <w:rsid w:val="0072430B"/>
    <w:rsid w:val="00724DD1"/>
    <w:rsid w:val="00724E33"/>
    <w:rsid w:val="00724E5B"/>
    <w:rsid w:val="00725342"/>
    <w:rsid w:val="007256DC"/>
    <w:rsid w:val="00725AAC"/>
    <w:rsid w:val="00725CB1"/>
    <w:rsid w:val="007263BF"/>
    <w:rsid w:val="007269A3"/>
    <w:rsid w:val="00726A51"/>
    <w:rsid w:val="007272F6"/>
    <w:rsid w:val="0072790B"/>
    <w:rsid w:val="007300DF"/>
    <w:rsid w:val="0073053E"/>
    <w:rsid w:val="00730775"/>
    <w:rsid w:val="00731549"/>
    <w:rsid w:val="00732127"/>
    <w:rsid w:val="00732375"/>
    <w:rsid w:val="00732976"/>
    <w:rsid w:val="00732B2F"/>
    <w:rsid w:val="00732B8A"/>
    <w:rsid w:val="007330FF"/>
    <w:rsid w:val="00733127"/>
    <w:rsid w:val="0073323D"/>
    <w:rsid w:val="007334D5"/>
    <w:rsid w:val="00733639"/>
    <w:rsid w:val="00733AB7"/>
    <w:rsid w:val="00733D56"/>
    <w:rsid w:val="00734686"/>
    <w:rsid w:val="00734718"/>
    <w:rsid w:val="0073471A"/>
    <w:rsid w:val="007347BF"/>
    <w:rsid w:val="00735117"/>
    <w:rsid w:val="00735343"/>
    <w:rsid w:val="00735357"/>
    <w:rsid w:val="00735464"/>
    <w:rsid w:val="00735466"/>
    <w:rsid w:val="00735B75"/>
    <w:rsid w:val="00735CAF"/>
    <w:rsid w:val="00736200"/>
    <w:rsid w:val="0073712D"/>
    <w:rsid w:val="007375A6"/>
    <w:rsid w:val="00737B9F"/>
    <w:rsid w:val="00737E99"/>
    <w:rsid w:val="00740C5F"/>
    <w:rsid w:val="00741091"/>
    <w:rsid w:val="0074183C"/>
    <w:rsid w:val="007424CB"/>
    <w:rsid w:val="007431E3"/>
    <w:rsid w:val="00743386"/>
    <w:rsid w:val="00743A4C"/>
    <w:rsid w:val="00743AA8"/>
    <w:rsid w:val="00744E00"/>
    <w:rsid w:val="00744FF0"/>
    <w:rsid w:val="0074571B"/>
    <w:rsid w:val="00745ADF"/>
    <w:rsid w:val="00745CA4"/>
    <w:rsid w:val="00745E67"/>
    <w:rsid w:val="0075002F"/>
    <w:rsid w:val="007503C7"/>
    <w:rsid w:val="0075069A"/>
    <w:rsid w:val="007513FE"/>
    <w:rsid w:val="00752378"/>
    <w:rsid w:val="00752E4B"/>
    <w:rsid w:val="0075346A"/>
    <w:rsid w:val="007536C9"/>
    <w:rsid w:val="00753A3E"/>
    <w:rsid w:val="00753C5D"/>
    <w:rsid w:val="00753FA6"/>
    <w:rsid w:val="00756057"/>
    <w:rsid w:val="00756202"/>
    <w:rsid w:val="00756225"/>
    <w:rsid w:val="0075638F"/>
    <w:rsid w:val="00757A47"/>
    <w:rsid w:val="00757F18"/>
    <w:rsid w:val="0076001D"/>
    <w:rsid w:val="00760C1D"/>
    <w:rsid w:val="0076121F"/>
    <w:rsid w:val="00761426"/>
    <w:rsid w:val="00761770"/>
    <w:rsid w:val="00761B70"/>
    <w:rsid w:val="00761F23"/>
    <w:rsid w:val="007625C7"/>
    <w:rsid w:val="007626D8"/>
    <w:rsid w:val="0076298A"/>
    <w:rsid w:val="007629B8"/>
    <w:rsid w:val="00762D12"/>
    <w:rsid w:val="007638D6"/>
    <w:rsid w:val="00763BF0"/>
    <w:rsid w:val="00763F0D"/>
    <w:rsid w:val="007640F3"/>
    <w:rsid w:val="00764121"/>
    <w:rsid w:val="0076454A"/>
    <w:rsid w:val="00765120"/>
    <w:rsid w:val="00766623"/>
    <w:rsid w:val="007666D9"/>
    <w:rsid w:val="0076672F"/>
    <w:rsid w:val="007668A8"/>
    <w:rsid w:val="00766C54"/>
    <w:rsid w:val="00767378"/>
    <w:rsid w:val="0077002A"/>
    <w:rsid w:val="0077006D"/>
    <w:rsid w:val="007706B7"/>
    <w:rsid w:val="007707A6"/>
    <w:rsid w:val="00770DC9"/>
    <w:rsid w:val="00771692"/>
    <w:rsid w:val="0077175E"/>
    <w:rsid w:val="00771BBD"/>
    <w:rsid w:val="0077253D"/>
    <w:rsid w:val="007727CC"/>
    <w:rsid w:val="007734AA"/>
    <w:rsid w:val="00773629"/>
    <w:rsid w:val="00773730"/>
    <w:rsid w:val="00773C29"/>
    <w:rsid w:val="007740B9"/>
    <w:rsid w:val="00774352"/>
    <w:rsid w:val="00774C14"/>
    <w:rsid w:val="00774C37"/>
    <w:rsid w:val="007759EA"/>
    <w:rsid w:val="00775E3E"/>
    <w:rsid w:val="00776E0A"/>
    <w:rsid w:val="00776EF3"/>
    <w:rsid w:val="00777364"/>
    <w:rsid w:val="00777527"/>
    <w:rsid w:val="0077798C"/>
    <w:rsid w:val="00777F71"/>
    <w:rsid w:val="00780513"/>
    <w:rsid w:val="00780A96"/>
    <w:rsid w:val="0078142B"/>
    <w:rsid w:val="007815E4"/>
    <w:rsid w:val="007819DA"/>
    <w:rsid w:val="00781A12"/>
    <w:rsid w:val="00781A85"/>
    <w:rsid w:val="007827FB"/>
    <w:rsid w:val="00782929"/>
    <w:rsid w:val="007834DD"/>
    <w:rsid w:val="00784EF5"/>
    <w:rsid w:val="0078541C"/>
    <w:rsid w:val="00785719"/>
    <w:rsid w:val="00785DE2"/>
    <w:rsid w:val="007862EE"/>
    <w:rsid w:val="0078690F"/>
    <w:rsid w:val="0078718D"/>
    <w:rsid w:val="007873F8"/>
    <w:rsid w:val="00790E17"/>
    <w:rsid w:val="00790F7C"/>
    <w:rsid w:val="007929D1"/>
    <w:rsid w:val="00792B3D"/>
    <w:rsid w:val="0079344C"/>
    <w:rsid w:val="00793E8B"/>
    <w:rsid w:val="00794414"/>
    <w:rsid w:val="00794CDB"/>
    <w:rsid w:val="007953AD"/>
    <w:rsid w:val="0079634D"/>
    <w:rsid w:val="007969C0"/>
    <w:rsid w:val="00796C5A"/>
    <w:rsid w:val="007970E6"/>
    <w:rsid w:val="00797628"/>
    <w:rsid w:val="00797E0D"/>
    <w:rsid w:val="007A0771"/>
    <w:rsid w:val="007A083D"/>
    <w:rsid w:val="007A0E98"/>
    <w:rsid w:val="007A1D2D"/>
    <w:rsid w:val="007A217C"/>
    <w:rsid w:val="007A2218"/>
    <w:rsid w:val="007A2FCE"/>
    <w:rsid w:val="007A37A2"/>
    <w:rsid w:val="007A405A"/>
    <w:rsid w:val="007A4CA5"/>
    <w:rsid w:val="007A4CF6"/>
    <w:rsid w:val="007A5035"/>
    <w:rsid w:val="007A50C3"/>
    <w:rsid w:val="007A5406"/>
    <w:rsid w:val="007A56BF"/>
    <w:rsid w:val="007A5719"/>
    <w:rsid w:val="007A5B35"/>
    <w:rsid w:val="007A5DCB"/>
    <w:rsid w:val="007A5F48"/>
    <w:rsid w:val="007A619F"/>
    <w:rsid w:val="007A62E2"/>
    <w:rsid w:val="007A674C"/>
    <w:rsid w:val="007A690E"/>
    <w:rsid w:val="007A7774"/>
    <w:rsid w:val="007A7947"/>
    <w:rsid w:val="007A799F"/>
    <w:rsid w:val="007A7D62"/>
    <w:rsid w:val="007A7FC4"/>
    <w:rsid w:val="007B0CB4"/>
    <w:rsid w:val="007B13A5"/>
    <w:rsid w:val="007B1E7E"/>
    <w:rsid w:val="007B298A"/>
    <w:rsid w:val="007B3086"/>
    <w:rsid w:val="007B379D"/>
    <w:rsid w:val="007B3888"/>
    <w:rsid w:val="007B43EC"/>
    <w:rsid w:val="007B4A71"/>
    <w:rsid w:val="007B5785"/>
    <w:rsid w:val="007B59D4"/>
    <w:rsid w:val="007B5A1C"/>
    <w:rsid w:val="007B5A90"/>
    <w:rsid w:val="007B5BB2"/>
    <w:rsid w:val="007B68DE"/>
    <w:rsid w:val="007B705F"/>
    <w:rsid w:val="007B7079"/>
    <w:rsid w:val="007B7149"/>
    <w:rsid w:val="007B75DA"/>
    <w:rsid w:val="007B7733"/>
    <w:rsid w:val="007B7754"/>
    <w:rsid w:val="007B7E77"/>
    <w:rsid w:val="007C0515"/>
    <w:rsid w:val="007C0658"/>
    <w:rsid w:val="007C0734"/>
    <w:rsid w:val="007C0CD7"/>
    <w:rsid w:val="007C2260"/>
    <w:rsid w:val="007C25F1"/>
    <w:rsid w:val="007C26FB"/>
    <w:rsid w:val="007C2F87"/>
    <w:rsid w:val="007C2FDF"/>
    <w:rsid w:val="007C3410"/>
    <w:rsid w:val="007C3514"/>
    <w:rsid w:val="007C356E"/>
    <w:rsid w:val="007C45BD"/>
    <w:rsid w:val="007C461E"/>
    <w:rsid w:val="007C4794"/>
    <w:rsid w:val="007C4C2B"/>
    <w:rsid w:val="007C4ECF"/>
    <w:rsid w:val="007C513B"/>
    <w:rsid w:val="007C5F71"/>
    <w:rsid w:val="007C71AF"/>
    <w:rsid w:val="007C7275"/>
    <w:rsid w:val="007C73FE"/>
    <w:rsid w:val="007C7B25"/>
    <w:rsid w:val="007D0436"/>
    <w:rsid w:val="007D161F"/>
    <w:rsid w:val="007D1C3A"/>
    <w:rsid w:val="007D26B3"/>
    <w:rsid w:val="007D289A"/>
    <w:rsid w:val="007D3525"/>
    <w:rsid w:val="007D41E7"/>
    <w:rsid w:val="007D4555"/>
    <w:rsid w:val="007D469E"/>
    <w:rsid w:val="007D4A43"/>
    <w:rsid w:val="007D4CE9"/>
    <w:rsid w:val="007D55EE"/>
    <w:rsid w:val="007D5E5D"/>
    <w:rsid w:val="007D5E6A"/>
    <w:rsid w:val="007D6403"/>
    <w:rsid w:val="007D6B41"/>
    <w:rsid w:val="007D6C89"/>
    <w:rsid w:val="007D7265"/>
    <w:rsid w:val="007D786E"/>
    <w:rsid w:val="007D7902"/>
    <w:rsid w:val="007D7CAD"/>
    <w:rsid w:val="007E07A4"/>
    <w:rsid w:val="007E10DE"/>
    <w:rsid w:val="007E16EB"/>
    <w:rsid w:val="007E17A3"/>
    <w:rsid w:val="007E1804"/>
    <w:rsid w:val="007E1E5C"/>
    <w:rsid w:val="007E2173"/>
    <w:rsid w:val="007E2E11"/>
    <w:rsid w:val="007E359C"/>
    <w:rsid w:val="007E3FFB"/>
    <w:rsid w:val="007E47C0"/>
    <w:rsid w:val="007E49E9"/>
    <w:rsid w:val="007E4B14"/>
    <w:rsid w:val="007E4E2F"/>
    <w:rsid w:val="007E559F"/>
    <w:rsid w:val="007E6830"/>
    <w:rsid w:val="007E715A"/>
    <w:rsid w:val="007F0194"/>
    <w:rsid w:val="007F0D02"/>
    <w:rsid w:val="007F101B"/>
    <w:rsid w:val="007F1146"/>
    <w:rsid w:val="007F1472"/>
    <w:rsid w:val="007F1A3E"/>
    <w:rsid w:val="007F1D3C"/>
    <w:rsid w:val="007F34F4"/>
    <w:rsid w:val="007F36B9"/>
    <w:rsid w:val="007F3A90"/>
    <w:rsid w:val="007F40CE"/>
    <w:rsid w:val="007F46F6"/>
    <w:rsid w:val="007F48AB"/>
    <w:rsid w:val="007F49D8"/>
    <w:rsid w:val="007F54C3"/>
    <w:rsid w:val="007F5857"/>
    <w:rsid w:val="007F5AEE"/>
    <w:rsid w:val="007F64F9"/>
    <w:rsid w:val="007F6748"/>
    <w:rsid w:val="007F69D8"/>
    <w:rsid w:val="007F69E1"/>
    <w:rsid w:val="007F763B"/>
    <w:rsid w:val="007F7952"/>
    <w:rsid w:val="007F7C7B"/>
    <w:rsid w:val="00800372"/>
    <w:rsid w:val="008003C6"/>
    <w:rsid w:val="00800AE0"/>
    <w:rsid w:val="00800FF6"/>
    <w:rsid w:val="008016C4"/>
    <w:rsid w:val="00801772"/>
    <w:rsid w:val="00801D97"/>
    <w:rsid w:val="00801DD8"/>
    <w:rsid w:val="00802AA0"/>
    <w:rsid w:val="00802C9F"/>
    <w:rsid w:val="00803057"/>
    <w:rsid w:val="00804514"/>
    <w:rsid w:val="00804743"/>
    <w:rsid w:val="00804E7C"/>
    <w:rsid w:val="00805614"/>
    <w:rsid w:val="008059B6"/>
    <w:rsid w:val="00805E9A"/>
    <w:rsid w:val="0080601D"/>
    <w:rsid w:val="0080622C"/>
    <w:rsid w:val="00806231"/>
    <w:rsid w:val="008064B9"/>
    <w:rsid w:val="008065DD"/>
    <w:rsid w:val="00806798"/>
    <w:rsid w:val="0080760D"/>
    <w:rsid w:val="008100D5"/>
    <w:rsid w:val="008108BB"/>
    <w:rsid w:val="00810D76"/>
    <w:rsid w:val="00811809"/>
    <w:rsid w:val="00811A3B"/>
    <w:rsid w:val="00811BCB"/>
    <w:rsid w:val="00813019"/>
    <w:rsid w:val="00813027"/>
    <w:rsid w:val="008135BC"/>
    <w:rsid w:val="00813636"/>
    <w:rsid w:val="0081399D"/>
    <w:rsid w:val="008148CE"/>
    <w:rsid w:val="00814E3D"/>
    <w:rsid w:val="00814FF0"/>
    <w:rsid w:val="00815291"/>
    <w:rsid w:val="0081567D"/>
    <w:rsid w:val="00815F71"/>
    <w:rsid w:val="00816704"/>
    <w:rsid w:val="00816EDC"/>
    <w:rsid w:val="0081795E"/>
    <w:rsid w:val="008202F8"/>
    <w:rsid w:val="0082076A"/>
    <w:rsid w:val="00820AC0"/>
    <w:rsid w:val="00820D71"/>
    <w:rsid w:val="00820DBC"/>
    <w:rsid w:val="008211CC"/>
    <w:rsid w:val="0082165E"/>
    <w:rsid w:val="00821794"/>
    <w:rsid w:val="00821C28"/>
    <w:rsid w:val="00821CD6"/>
    <w:rsid w:val="00821F20"/>
    <w:rsid w:val="008221CC"/>
    <w:rsid w:val="008222B9"/>
    <w:rsid w:val="00822573"/>
    <w:rsid w:val="00822D1E"/>
    <w:rsid w:val="00823857"/>
    <w:rsid w:val="00823870"/>
    <w:rsid w:val="00823AD7"/>
    <w:rsid w:val="00823DBE"/>
    <w:rsid w:val="008240F9"/>
    <w:rsid w:val="00824260"/>
    <w:rsid w:val="00824678"/>
    <w:rsid w:val="0082495C"/>
    <w:rsid w:val="008253AA"/>
    <w:rsid w:val="008258D7"/>
    <w:rsid w:val="008259EA"/>
    <w:rsid w:val="00825CED"/>
    <w:rsid w:val="008274AD"/>
    <w:rsid w:val="00827747"/>
    <w:rsid w:val="0083002F"/>
    <w:rsid w:val="0083074F"/>
    <w:rsid w:val="00831FE2"/>
    <w:rsid w:val="008321D6"/>
    <w:rsid w:val="0083231E"/>
    <w:rsid w:val="0083264A"/>
    <w:rsid w:val="00832821"/>
    <w:rsid w:val="00833091"/>
    <w:rsid w:val="008338BD"/>
    <w:rsid w:val="00834699"/>
    <w:rsid w:val="00834A33"/>
    <w:rsid w:val="00834EBD"/>
    <w:rsid w:val="008352D0"/>
    <w:rsid w:val="00835832"/>
    <w:rsid w:val="0083598E"/>
    <w:rsid w:val="008376F3"/>
    <w:rsid w:val="00837AF0"/>
    <w:rsid w:val="00837CA9"/>
    <w:rsid w:val="008403A2"/>
    <w:rsid w:val="008406E6"/>
    <w:rsid w:val="0084072C"/>
    <w:rsid w:val="008409AF"/>
    <w:rsid w:val="00840A08"/>
    <w:rsid w:val="00840A65"/>
    <w:rsid w:val="0084112D"/>
    <w:rsid w:val="008413DA"/>
    <w:rsid w:val="00841EEB"/>
    <w:rsid w:val="0084277D"/>
    <w:rsid w:val="00843137"/>
    <w:rsid w:val="00843971"/>
    <w:rsid w:val="0084408A"/>
    <w:rsid w:val="0084437E"/>
    <w:rsid w:val="0084441B"/>
    <w:rsid w:val="008449D9"/>
    <w:rsid w:val="008451AD"/>
    <w:rsid w:val="00845430"/>
    <w:rsid w:val="008455FD"/>
    <w:rsid w:val="008457E4"/>
    <w:rsid w:val="00846618"/>
    <w:rsid w:val="0084669D"/>
    <w:rsid w:val="00846994"/>
    <w:rsid w:val="008474C5"/>
    <w:rsid w:val="008477D6"/>
    <w:rsid w:val="00847DAB"/>
    <w:rsid w:val="0085007B"/>
    <w:rsid w:val="00850297"/>
    <w:rsid w:val="00850872"/>
    <w:rsid w:val="008509B0"/>
    <w:rsid w:val="0085151A"/>
    <w:rsid w:val="00851583"/>
    <w:rsid w:val="0085160D"/>
    <w:rsid w:val="00851906"/>
    <w:rsid w:val="00851CAF"/>
    <w:rsid w:val="00851CE2"/>
    <w:rsid w:val="00852363"/>
    <w:rsid w:val="008525D4"/>
    <w:rsid w:val="008529E2"/>
    <w:rsid w:val="008535C8"/>
    <w:rsid w:val="008535CE"/>
    <w:rsid w:val="00853755"/>
    <w:rsid w:val="00853F09"/>
    <w:rsid w:val="0085415E"/>
    <w:rsid w:val="00854305"/>
    <w:rsid w:val="00855557"/>
    <w:rsid w:val="00855F2F"/>
    <w:rsid w:val="008562F3"/>
    <w:rsid w:val="0085654E"/>
    <w:rsid w:val="008571D3"/>
    <w:rsid w:val="008571E3"/>
    <w:rsid w:val="00857940"/>
    <w:rsid w:val="008608C8"/>
    <w:rsid w:val="00860963"/>
    <w:rsid w:val="00861EA7"/>
    <w:rsid w:val="00861FB8"/>
    <w:rsid w:val="00862166"/>
    <w:rsid w:val="008622E3"/>
    <w:rsid w:val="00862CD4"/>
    <w:rsid w:val="00862EBD"/>
    <w:rsid w:val="00862ECD"/>
    <w:rsid w:val="00862F23"/>
    <w:rsid w:val="00863747"/>
    <w:rsid w:val="00863CD7"/>
    <w:rsid w:val="00864312"/>
    <w:rsid w:val="008644CC"/>
    <w:rsid w:val="008647F2"/>
    <w:rsid w:val="008648B0"/>
    <w:rsid w:val="00864B02"/>
    <w:rsid w:val="0086566D"/>
    <w:rsid w:val="0086599F"/>
    <w:rsid w:val="00866087"/>
    <w:rsid w:val="00870295"/>
    <w:rsid w:val="00870431"/>
    <w:rsid w:val="0087094A"/>
    <w:rsid w:val="00870C89"/>
    <w:rsid w:val="008710B0"/>
    <w:rsid w:val="008728BD"/>
    <w:rsid w:val="00873177"/>
    <w:rsid w:val="0087350A"/>
    <w:rsid w:val="0087369B"/>
    <w:rsid w:val="00873B73"/>
    <w:rsid w:val="0087419D"/>
    <w:rsid w:val="0087452D"/>
    <w:rsid w:val="0087497C"/>
    <w:rsid w:val="00874B49"/>
    <w:rsid w:val="0087513A"/>
    <w:rsid w:val="008751FA"/>
    <w:rsid w:val="00875554"/>
    <w:rsid w:val="00875DEC"/>
    <w:rsid w:val="00876C80"/>
    <w:rsid w:val="00876F80"/>
    <w:rsid w:val="00877B3B"/>
    <w:rsid w:val="008802D3"/>
    <w:rsid w:val="0088054E"/>
    <w:rsid w:val="00880D53"/>
    <w:rsid w:val="00880E08"/>
    <w:rsid w:val="00881943"/>
    <w:rsid w:val="00881B63"/>
    <w:rsid w:val="00882512"/>
    <w:rsid w:val="0088255E"/>
    <w:rsid w:val="00882D24"/>
    <w:rsid w:val="00882E01"/>
    <w:rsid w:val="00882F46"/>
    <w:rsid w:val="00884219"/>
    <w:rsid w:val="0088422F"/>
    <w:rsid w:val="00884625"/>
    <w:rsid w:val="0088495A"/>
    <w:rsid w:val="00884DFF"/>
    <w:rsid w:val="00885AE1"/>
    <w:rsid w:val="0088618D"/>
    <w:rsid w:val="00887C94"/>
    <w:rsid w:val="00887F9D"/>
    <w:rsid w:val="008908D2"/>
    <w:rsid w:val="00890C2F"/>
    <w:rsid w:val="0089127A"/>
    <w:rsid w:val="00891679"/>
    <w:rsid w:val="00891DAB"/>
    <w:rsid w:val="00892214"/>
    <w:rsid w:val="00892426"/>
    <w:rsid w:val="0089363D"/>
    <w:rsid w:val="00893C7D"/>
    <w:rsid w:val="00893CD6"/>
    <w:rsid w:val="00893E0F"/>
    <w:rsid w:val="00894A2A"/>
    <w:rsid w:val="00895DDD"/>
    <w:rsid w:val="008963EC"/>
    <w:rsid w:val="008964A5"/>
    <w:rsid w:val="00896A99"/>
    <w:rsid w:val="00897116"/>
    <w:rsid w:val="00897DA5"/>
    <w:rsid w:val="008A0079"/>
    <w:rsid w:val="008A01B6"/>
    <w:rsid w:val="008A0293"/>
    <w:rsid w:val="008A0432"/>
    <w:rsid w:val="008A06D6"/>
    <w:rsid w:val="008A080B"/>
    <w:rsid w:val="008A0EDC"/>
    <w:rsid w:val="008A1743"/>
    <w:rsid w:val="008A199C"/>
    <w:rsid w:val="008A1BE7"/>
    <w:rsid w:val="008A233C"/>
    <w:rsid w:val="008A2545"/>
    <w:rsid w:val="008A2F79"/>
    <w:rsid w:val="008A3B5D"/>
    <w:rsid w:val="008A3B9A"/>
    <w:rsid w:val="008A42E9"/>
    <w:rsid w:val="008A4AE5"/>
    <w:rsid w:val="008A4CB9"/>
    <w:rsid w:val="008A55EA"/>
    <w:rsid w:val="008A5D64"/>
    <w:rsid w:val="008A5F61"/>
    <w:rsid w:val="008A6435"/>
    <w:rsid w:val="008A677F"/>
    <w:rsid w:val="008A69F9"/>
    <w:rsid w:val="008A6BFC"/>
    <w:rsid w:val="008A6D3B"/>
    <w:rsid w:val="008A6FE2"/>
    <w:rsid w:val="008B0173"/>
    <w:rsid w:val="008B09B3"/>
    <w:rsid w:val="008B142A"/>
    <w:rsid w:val="008B14AB"/>
    <w:rsid w:val="008B1759"/>
    <w:rsid w:val="008B21F0"/>
    <w:rsid w:val="008B2216"/>
    <w:rsid w:val="008B2444"/>
    <w:rsid w:val="008B29CD"/>
    <w:rsid w:val="008B30DB"/>
    <w:rsid w:val="008B38B2"/>
    <w:rsid w:val="008B39C0"/>
    <w:rsid w:val="008B3AC9"/>
    <w:rsid w:val="008B4184"/>
    <w:rsid w:val="008B4425"/>
    <w:rsid w:val="008B44E3"/>
    <w:rsid w:val="008B47C1"/>
    <w:rsid w:val="008B4928"/>
    <w:rsid w:val="008B4EFE"/>
    <w:rsid w:val="008B5A90"/>
    <w:rsid w:val="008B6E6F"/>
    <w:rsid w:val="008C06EB"/>
    <w:rsid w:val="008C0753"/>
    <w:rsid w:val="008C13C5"/>
    <w:rsid w:val="008C16D2"/>
    <w:rsid w:val="008C1B3A"/>
    <w:rsid w:val="008C1CFF"/>
    <w:rsid w:val="008C26AF"/>
    <w:rsid w:val="008C2A3F"/>
    <w:rsid w:val="008C2D67"/>
    <w:rsid w:val="008C32AF"/>
    <w:rsid w:val="008C33EA"/>
    <w:rsid w:val="008C35BC"/>
    <w:rsid w:val="008C37AC"/>
    <w:rsid w:val="008C44DA"/>
    <w:rsid w:val="008C4AC0"/>
    <w:rsid w:val="008C4B00"/>
    <w:rsid w:val="008C5738"/>
    <w:rsid w:val="008C639D"/>
    <w:rsid w:val="008C66C0"/>
    <w:rsid w:val="008C66D4"/>
    <w:rsid w:val="008C6D75"/>
    <w:rsid w:val="008C6E8E"/>
    <w:rsid w:val="008C70EF"/>
    <w:rsid w:val="008C7ADC"/>
    <w:rsid w:val="008C7C48"/>
    <w:rsid w:val="008C7C74"/>
    <w:rsid w:val="008C7E3C"/>
    <w:rsid w:val="008D106D"/>
    <w:rsid w:val="008D13A9"/>
    <w:rsid w:val="008D13C4"/>
    <w:rsid w:val="008D13E5"/>
    <w:rsid w:val="008D1CD9"/>
    <w:rsid w:val="008D21D8"/>
    <w:rsid w:val="008D2234"/>
    <w:rsid w:val="008D22FB"/>
    <w:rsid w:val="008D2BCB"/>
    <w:rsid w:val="008D3019"/>
    <w:rsid w:val="008D32BD"/>
    <w:rsid w:val="008D47E8"/>
    <w:rsid w:val="008D5940"/>
    <w:rsid w:val="008D5C09"/>
    <w:rsid w:val="008D5FED"/>
    <w:rsid w:val="008D6302"/>
    <w:rsid w:val="008D66E1"/>
    <w:rsid w:val="008D69E1"/>
    <w:rsid w:val="008D6C1E"/>
    <w:rsid w:val="008D7513"/>
    <w:rsid w:val="008E01A2"/>
    <w:rsid w:val="008E0428"/>
    <w:rsid w:val="008E087A"/>
    <w:rsid w:val="008E2126"/>
    <w:rsid w:val="008E224A"/>
    <w:rsid w:val="008E24EC"/>
    <w:rsid w:val="008E2EFE"/>
    <w:rsid w:val="008E36B1"/>
    <w:rsid w:val="008E3CE9"/>
    <w:rsid w:val="008E42AC"/>
    <w:rsid w:val="008E4E7B"/>
    <w:rsid w:val="008E54A4"/>
    <w:rsid w:val="008E56E9"/>
    <w:rsid w:val="008E59FD"/>
    <w:rsid w:val="008E5B6B"/>
    <w:rsid w:val="008E6115"/>
    <w:rsid w:val="008E690C"/>
    <w:rsid w:val="008E7326"/>
    <w:rsid w:val="008E78A1"/>
    <w:rsid w:val="008F0363"/>
    <w:rsid w:val="008F0C3A"/>
    <w:rsid w:val="008F1377"/>
    <w:rsid w:val="008F1DE9"/>
    <w:rsid w:val="008F206C"/>
    <w:rsid w:val="008F27FA"/>
    <w:rsid w:val="008F2D08"/>
    <w:rsid w:val="008F3A29"/>
    <w:rsid w:val="008F3F5A"/>
    <w:rsid w:val="008F4B31"/>
    <w:rsid w:val="008F5628"/>
    <w:rsid w:val="008F5D33"/>
    <w:rsid w:val="008F5D51"/>
    <w:rsid w:val="008F6055"/>
    <w:rsid w:val="008F635D"/>
    <w:rsid w:val="008F65C8"/>
    <w:rsid w:val="008F7474"/>
    <w:rsid w:val="008F75E9"/>
    <w:rsid w:val="008F7A9B"/>
    <w:rsid w:val="00900559"/>
    <w:rsid w:val="00900E44"/>
    <w:rsid w:val="0090233E"/>
    <w:rsid w:val="009023CF"/>
    <w:rsid w:val="009025F4"/>
    <w:rsid w:val="009026E0"/>
    <w:rsid w:val="00902771"/>
    <w:rsid w:val="00902D15"/>
    <w:rsid w:val="00903188"/>
    <w:rsid w:val="0090375F"/>
    <w:rsid w:val="00903AA2"/>
    <w:rsid w:val="00903B0C"/>
    <w:rsid w:val="009040A7"/>
    <w:rsid w:val="00904257"/>
    <w:rsid w:val="00904277"/>
    <w:rsid w:val="0090529A"/>
    <w:rsid w:val="00905530"/>
    <w:rsid w:val="009058B9"/>
    <w:rsid w:val="0090591E"/>
    <w:rsid w:val="009062EA"/>
    <w:rsid w:val="00906397"/>
    <w:rsid w:val="00906BC0"/>
    <w:rsid w:val="00907004"/>
    <w:rsid w:val="00907526"/>
    <w:rsid w:val="009111C9"/>
    <w:rsid w:val="00911306"/>
    <w:rsid w:val="00911942"/>
    <w:rsid w:val="00911B6F"/>
    <w:rsid w:val="00912E6A"/>
    <w:rsid w:val="009131DD"/>
    <w:rsid w:val="009143D4"/>
    <w:rsid w:val="00914645"/>
    <w:rsid w:val="009146AA"/>
    <w:rsid w:val="009147AD"/>
    <w:rsid w:val="009149B9"/>
    <w:rsid w:val="00915462"/>
    <w:rsid w:val="009156E2"/>
    <w:rsid w:val="009157DB"/>
    <w:rsid w:val="00916062"/>
    <w:rsid w:val="00916E82"/>
    <w:rsid w:val="0091724B"/>
    <w:rsid w:val="0091743A"/>
    <w:rsid w:val="009179F5"/>
    <w:rsid w:val="00920822"/>
    <w:rsid w:val="00921C7E"/>
    <w:rsid w:val="00922281"/>
    <w:rsid w:val="00923E7E"/>
    <w:rsid w:val="009241BF"/>
    <w:rsid w:val="009244C6"/>
    <w:rsid w:val="009245C1"/>
    <w:rsid w:val="0092478D"/>
    <w:rsid w:val="00924E2E"/>
    <w:rsid w:val="009250CF"/>
    <w:rsid w:val="0092545A"/>
    <w:rsid w:val="00926298"/>
    <w:rsid w:val="009264F6"/>
    <w:rsid w:val="009265A5"/>
    <w:rsid w:val="0092743E"/>
    <w:rsid w:val="00927E06"/>
    <w:rsid w:val="00930149"/>
    <w:rsid w:val="00930394"/>
    <w:rsid w:val="00930B8F"/>
    <w:rsid w:val="00930BC2"/>
    <w:rsid w:val="00931111"/>
    <w:rsid w:val="00931851"/>
    <w:rsid w:val="00931910"/>
    <w:rsid w:val="0093231E"/>
    <w:rsid w:val="009323EF"/>
    <w:rsid w:val="009328EA"/>
    <w:rsid w:val="00933234"/>
    <w:rsid w:val="0093342C"/>
    <w:rsid w:val="009334CA"/>
    <w:rsid w:val="00933E5D"/>
    <w:rsid w:val="009340B0"/>
    <w:rsid w:val="0093441E"/>
    <w:rsid w:val="0093449D"/>
    <w:rsid w:val="00934C0D"/>
    <w:rsid w:val="00934E84"/>
    <w:rsid w:val="0093608D"/>
    <w:rsid w:val="00936593"/>
    <w:rsid w:val="009368A2"/>
    <w:rsid w:val="00937534"/>
    <w:rsid w:val="00937714"/>
    <w:rsid w:val="00937C98"/>
    <w:rsid w:val="009400F8"/>
    <w:rsid w:val="00940806"/>
    <w:rsid w:val="00940E1B"/>
    <w:rsid w:val="009412D8"/>
    <w:rsid w:val="009414EF"/>
    <w:rsid w:val="009418FA"/>
    <w:rsid w:val="00941AC0"/>
    <w:rsid w:val="00941C51"/>
    <w:rsid w:val="00941F49"/>
    <w:rsid w:val="0094228C"/>
    <w:rsid w:val="009429F2"/>
    <w:rsid w:val="00943F2A"/>
    <w:rsid w:val="00943F63"/>
    <w:rsid w:val="00944862"/>
    <w:rsid w:val="00944A5E"/>
    <w:rsid w:val="0094514B"/>
    <w:rsid w:val="00945A90"/>
    <w:rsid w:val="00945AA0"/>
    <w:rsid w:val="00945DC3"/>
    <w:rsid w:val="0094626B"/>
    <w:rsid w:val="009468F8"/>
    <w:rsid w:val="009469DF"/>
    <w:rsid w:val="00946A7B"/>
    <w:rsid w:val="00950554"/>
    <w:rsid w:val="009509B0"/>
    <w:rsid w:val="00951056"/>
    <w:rsid w:val="009515A7"/>
    <w:rsid w:val="009515DF"/>
    <w:rsid w:val="009519B1"/>
    <w:rsid w:val="00951B23"/>
    <w:rsid w:val="00951B82"/>
    <w:rsid w:val="00951B88"/>
    <w:rsid w:val="00951F54"/>
    <w:rsid w:val="009538C7"/>
    <w:rsid w:val="00953B8B"/>
    <w:rsid w:val="00953F31"/>
    <w:rsid w:val="0095402C"/>
    <w:rsid w:val="009541B0"/>
    <w:rsid w:val="00954981"/>
    <w:rsid w:val="009549D7"/>
    <w:rsid w:val="00954A09"/>
    <w:rsid w:val="0095517B"/>
    <w:rsid w:val="009552D4"/>
    <w:rsid w:val="00955D22"/>
    <w:rsid w:val="009562ED"/>
    <w:rsid w:val="00956B8B"/>
    <w:rsid w:val="0096012C"/>
    <w:rsid w:val="00960404"/>
    <w:rsid w:val="00960F48"/>
    <w:rsid w:val="00961175"/>
    <w:rsid w:val="009618F6"/>
    <w:rsid w:val="00961B6F"/>
    <w:rsid w:val="00961F5A"/>
    <w:rsid w:val="00962012"/>
    <w:rsid w:val="00962648"/>
    <w:rsid w:val="00962B73"/>
    <w:rsid w:val="00962EBA"/>
    <w:rsid w:val="009640A7"/>
    <w:rsid w:val="009641CE"/>
    <w:rsid w:val="00964689"/>
    <w:rsid w:val="00965302"/>
    <w:rsid w:val="009654D5"/>
    <w:rsid w:val="009657F3"/>
    <w:rsid w:val="00965856"/>
    <w:rsid w:val="009662DF"/>
    <w:rsid w:val="009662F7"/>
    <w:rsid w:val="0096646B"/>
    <w:rsid w:val="00966490"/>
    <w:rsid w:val="00966A3C"/>
    <w:rsid w:val="00967A14"/>
    <w:rsid w:val="00967C7A"/>
    <w:rsid w:val="00967E43"/>
    <w:rsid w:val="00967F8C"/>
    <w:rsid w:val="0097003C"/>
    <w:rsid w:val="009703E9"/>
    <w:rsid w:val="00970583"/>
    <w:rsid w:val="00970918"/>
    <w:rsid w:val="00970F59"/>
    <w:rsid w:val="00971319"/>
    <w:rsid w:val="0097136B"/>
    <w:rsid w:val="009718A4"/>
    <w:rsid w:val="00972409"/>
    <w:rsid w:val="00972418"/>
    <w:rsid w:val="00972434"/>
    <w:rsid w:val="009732EB"/>
    <w:rsid w:val="00973FD8"/>
    <w:rsid w:val="00974A6B"/>
    <w:rsid w:val="00975495"/>
    <w:rsid w:val="009757AB"/>
    <w:rsid w:val="00975858"/>
    <w:rsid w:val="009762DF"/>
    <w:rsid w:val="00976701"/>
    <w:rsid w:val="009775DA"/>
    <w:rsid w:val="00977831"/>
    <w:rsid w:val="00977B43"/>
    <w:rsid w:val="00977B6F"/>
    <w:rsid w:val="00980162"/>
    <w:rsid w:val="0098016A"/>
    <w:rsid w:val="009801C4"/>
    <w:rsid w:val="0098046E"/>
    <w:rsid w:val="0098069C"/>
    <w:rsid w:val="00981401"/>
    <w:rsid w:val="00981A8C"/>
    <w:rsid w:val="00981AF3"/>
    <w:rsid w:val="00981BD6"/>
    <w:rsid w:val="00981D34"/>
    <w:rsid w:val="009820C8"/>
    <w:rsid w:val="00982232"/>
    <w:rsid w:val="00982479"/>
    <w:rsid w:val="009824CE"/>
    <w:rsid w:val="00982789"/>
    <w:rsid w:val="00982AA1"/>
    <w:rsid w:val="0098341B"/>
    <w:rsid w:val="00984230"/>
    <w:rsid w:val="0098527A"/>
    <w:rsid w:val="009852C5"/>
    <w:rsid w:val="009867C2"/>
    <w:rsid w:val="0098795A"/>
    <w:rsid w:val="00990185"/>
    <w:rsid w:val="00990398"/>
    <w:rsid w:val="00990F05"/>
    <w:rsid w:val="009910E1"/>
    <w:rsid w:val="00991788"/>
    <w:rsid w:val="009935BC"/>
    <w:rsid w:val="00993A57"/>
    <w:rsid w:val="00994507"/>
    <w:rsid w:val="00994782"/>
    <w:rsid w:val="00994F86"/>
    <w:rsid w:val="00996241"/>
    <w:rsid w:val="00996786"/>
    <w:rsid w:val="009A0084"/>
    <w:rsid w:val="009A08A4"/>
    <w:rsid w:val="009A1B74"/>
    <w:rsid w:val="009A31B5"/>
    <w:rsid w:val="009A3590"/>
    <w:rsid w:val="009A3C0C"/>
    <w:rsid w:val="009A42B1"/>
    <w:rsid w:val="009A49FE"/>
    <w:rsid w:val="009A4FEC"/>
    <w:rsid w:val="009A5174"/>
    <w:rsid w:val="009A6348"/>
    <w:rsid w:val="009A6A5C"/>
    <w:rsid w:val="009A6B59"/>
    <w:rsid w:val="009A6F02"/>
    <w:rsid w:val="009A75A3"/>
    <w:rsid w:val="009B11E7"/>
    <w:rsid w:val="009B179F"/>
    <w:rsid w:val="009B195B"/>
    <w:rsid w:val="009B1E54"/>
    <w:rsid w:val="009B1EA1"/>
    <w:rsid w:val="009B2AAE"/>
    <w:rsid w:val="009B2F21"/>
    <w:rsid w:val="009B3067"/>
    <w:rsid w:val="009B3399"/>
    <w:rsid w:val="009B3690"/>
    <w:rsid w:val="009B3AC1"/>
    <w:rsid w:val="009B5ABA"/>
    <w:rsid w:val="009B6340"/>
    <w:rsid w:val="009B64F7"/>
    <w:rsid w:val="009B6BA0"/>
    <w:rsid w:val="009B6C8D"/>
    <w:rsid w:val="009B6C9C"/>
    <w:rsid w:val="009B7414"/>
    <w:rsid w:val="009B775C"/>
    <w:rsid w:val="009B7B16"/>
    <w:rsid w:val="009B7EA2"/>
    <w:rsid w:val="009C0045"/>
    <w:rsid w:val="009C1763"/>
    <w:rsid w:val="009C1F93"/>
    <w:rsid w:val="009C25AB"/>
    <w:rsid w:val="009C2C05"/>
    <w:rsid w:val="009C2E65"/>
    <w:rsid w:val="009C2E7D"/>
    <w:rsid w:val="009C3067"/>
    <w:rsid w:val="009C3412"/>
    <w:rsid w:val="009C403B"/>
    <w:rsid w:val="009C4894"/>
    <w:rsid w:val="009C4F0E"/>
    <w:rsid w:val="009C56C8"/>
    <w:rsid w:val="009C5B15"/>
    <w:rsid w:val="009C5F5F"/>
    <w:rsid w:val="009C6441"/>
    <w:rsid w:val="009C652F"/>
    <w:rsid w:val="009C6780"/>
    <w:rsid w:val="009C71F8"/>
    <w:rsid w:val="009C72C9"/>
    <w:rsid w:val="009C7A32"/>
    <w:rsid w:val="009C7A96"/>
    <w:rsid w:val="009C7BED"/>
    <w:rsid w:val="009D02D8"/>
    <w:rsid w:val="009D1707"/>
    <w:rsid w:val="009D1E34"/>
    <w:rsid w:val="009D2B29"/>
    <w:rsid w:val="009D2ED8"/>
    <w:rsid w:val="009D3185"/>
    <w:rsid w:val="009D358B"/>
    <w:rsid w:val="009D3742"/>
    <w:rsid w:val="009D38C4"/>
    <w:rsid w:val="009D3979"/>
    <w:rsid w:val="009D42AE"/>
    <w:rsid w:val="009D45EC"/>
    <w:rsid w:val="009D57B6"/>
    <w:rsid w:val="009D591F"/>
    <w:rsid w:val="009D5C89"/>
    <w:rsid w:val="009D5F4D"/>
    <w:rsid w:val="009D60D9"/>
    <w:rsid w:val="009D643E"/>
    <w:rsid w:val="009D6488"/>
    <w:rsid w:val="009D6CC6"/>
    <w:rsid w:val="009D77D8"/>
    <w:rsid w:val="009D7AAA"/>
    <w:rsid w:val="009D7F77"/>
    <w:rsid w:val="009E00AC"/>
    <w:rsid w:val="009E08AA"/>
    <w:rsid w:val="009E0A95"/>
    <w:rsid w:val="009E0E85"/>
    <w:rsid w:val="009E131B"/>
    <w:rsid w:val="009E1438"/>
    <w:rsid w:val="009E148C"/>
    <w:rsid w:val="009E18E6"/>
    <w:rsid w:val="009E1DF2"/>
    <w:rsid w:val="009E22D1"/>
    <w:rsid w:val="009E2BE0"/>
    <w:rsid w:val="009E3516"/>
    <w:rsid w:val="009E365D"/>
    <w:rsid w:val="009E3881"/>
    <w:rsid w:val="009E410E"/>
    <w:rsid w:val="009E433D"/>
    <w:rsid w:val="009E445E"/>
    <w:rsid w:val="009E454F"/>
    <w:rsid w:val="009E51C3"/>
    <w:rsid w:val="009E55B8"/>
    <w:rsid w:val="009E56F2"/>
    <w:rsid w:val="009E5B34"/>
    <w:rsid w:val="009E5EEB"/>
    <w:rsid w:val="009E5FCC"/>
    <w:rsid w:val="009E6D0F"/>
    <w:rsid w:val="009E7C18"/>
    <w:rsid w:val="009F01E5"/>
    <w:rsid w:val="009F05AD"/>
    <w:rsid w:val="009F0D9F"/>
    <w:rsid w:val="009F12A8"/>
    <w:rsid w:val="009F14EF"/>
    <w:rsid w:val="009F1ED2"/>
    <w:rsid w:val="009F22D5"/>
    <w:rsid w:val="009F3121"/>
    <w:rsid w:val="009F397E"/>
    <w:rsid w:val="009F39A1"/>
    <w:rsid w:val="009F3A0B"/>
    <w:rsid w:val="009F3C64"/>
    <w:rsid w:val="009F4536"/>
    <w:rsid w:val="009F4565"/>
    <w:rsid w:val="009F573F"/>
    <w:rsid w:val="009F5B19"/>
    <w:rsid w:val="009F6367"/>
    <w:rsid w:val="009F71D8"/>
    <w:rsid w:val="00A0035C"/>
    <w:rsid w:val="00A0089B"/>
    <w:rsid w:val="00A00BC6"/>
    <w:rsid w:val="00A01150"/>
    <w:rsid w:val="00A01A42"/>
    <w:rsid w:val="00A01A50"/>
    <w:rsid w:val="00A0225E"/>
    <w:rsid w:val="00A02448"/>
    <w:rsid w:val="00A026EA"/>
    <w:rsid w:val="00A032B3"/>
    <w:rsid w:val="00A037C9"/>
    <w:rsid w:val="00A03A2C"/>
    <w:rsid w:val="00A03CD6"/>
    <w:rsid w:val="00A04A14"/>
    <w:rsid w:val="00A04F38"/>
    <w:rsid w:val="00A0535B"/>
    <w:rsid w:val="00A05906"/>
    <w:rsid w:val="00A05C83"/>
    <w:rsid w:val="00A07271"/>
    <w:rsid w:val="00A10180"/>
    <w:rsid w:val="00A103C9"/>
    <w:rsid w:val="00A112E3"/>
    <w:rsid w:val="00A118EE"/>
    <w:rsid w:val="00A129B8"/>
    <w:rsid w:val="00A12C61"/>
    <w:rsid w:val="00A13D08"/>
    <w:rsid w:val="00A14016"/>
    <w:rsid w:val="00A15373"/>
    <w:rsid w:val="00A156D4"/>
    <w:rsid w:val="00A16AC7"/>
    <w:rsid w:val="00A16AFB"/>
    <w:rsid w:val="00A17BE4"/>
    <w:rsid w:val="00A2083F"/>
    <w:rsid w:val="00A20A95"/>
    <w:rsid w:val="00A2172C"/>
    <w:rsid w:val="00A2199D"/>
    <w:rsid w:val="00A21AD0"/>
    <w:rsid w:val="00A21D10"/>
    <w:rsid w:val="00A21F97"/>
    <w:rsid w:val="00A21FF0"/>
    <w:rsid w:val="00A2232D"/>
    <w:rsid w:val="00A2269C"/>
    <w:rsid w:val="00A231B4"/>
    <w:rsid w:val="00A231B8"/>
    <w:rsid w:val="00A234DC"/>
    <w:rsid w:val="00A23585"/>
    <w:rsid w:val="00A23C60"/>
    <w:rsid w:val="00A23D06"/>
    <w:rsid w:val="00A24788"/>
    <w:rsid w:val="00A258C9"/>
    <w:rsid w:val="00A262CA"/>
    <w:rsid w:val="00A26ADF"/>
    <w:rsid w:val="00A26DE0"/>
    <w:rsid w:val="00A27206"/>
    <w:rsid w:val="00A315F2"/>
    <w:rsid w:val="00A31D30"/>
    <w:rsid w:val="00A32432"/>
    <w:rsid w:val="00A32731"/>
    <w:rsid w:val="00A3289F"/>
    <w:rsid w:val="00A32C0A"/>
    <w:rsid w:val="00A32CD7"/>
    <w:rsid w:val="00A3352A"/>
    <w:rsid w:val="00A3441D"/>
    <w:rsid w:val="00A34A5F"/>
    <w:rsid w:val="00A3542D"/>
    <w:rsid w:val="00A35ADC"/>
    <w:rsid w:val="00A35D9C"/>
    <w:rsid w:val="00A361E3"/>
    <w:rsid w:val="00A36CA2"/>
    <w:rsid w:val="00A375E0"/>
    <w:rsid w:val="00A37B40"/>
    <w:rsid w:val="00A404E0"/>
    <w:rsid w:val="00A40EF6"/>
    <w:rsid w:val="00A41735"/>
    <w:rsid w:val="00A41F5A"/>
    <w:rsid w:val="00A429A1"/>
    <w:rsid w:val="00A42BDA"/>
    <w:rsid w:val="00A443A4"/>
    <w:rsid w:val="00A4466D"/>
    <w:rsid w:val="00A448E2"/>
    <w:rsid w:val="00A4588D"/>
    <w:rsid w:val="00A459E9"/>
    <w:rsid w:val="00A4604E"/>
    <w:rsid w:val="00A47457"/>
    <w:rsid w:val="00A504A6"/>
    <w:rsid w:val="00A511A3"/>
    <w:rsid w:val="00A52163"/>
    <w:rsid w:val="00A524CA"/>
    <w:rsid w:val="00A526E7"/>
    <w:rsid w:val="00A5335A"/>
    <w:rsid w:val="00A53641"/>
    <w:rsid w:val="00A54815"/>
    <w:rsid w:val="00A54BDB"/>
    <w:rsid w:val="00A55B31"/>
    <w:rsid w:val="00A55F42"/>
    <w:rsid w:val="00A5693C"/>
    <w:rsid w:val="00A57377"/>
    <w:rsid w:val="00A60900"/>
    <w:rsid w:val="00A60C2B"/>
    <w:rsid w:val="00A617C5"/>
    <w:rsid w:val="00A63229"/>
    <w:rsid w:val="00A63B5D"/>
    <w:rsid w:val="00A63B87"/>
    <w:rsid w:val="00A64544"/>
    <w:rsid w:val="00A65B37"/>
    <w:rsid w:val="00A65D0E"/>
    <w:rsid w:val="00A65F4B"/>
    <w:rsid w:val="00A66064"/>
    <w:rsid w:val="00A66AA6"/>
    <w:rsid w:val="00A66F4A"/>
    <w:rsid w:val="00A67D95"/>
    <w:rsid w:val="00A70939"/>
    <w:rsid w:val="00A71042"/>
    <w:rsid w:val="00A719A1"/>
    <w:rsid w:val="00A7213A"/>
    <w:rsid w:val="00A722EE"/>
    <w:rsid w:val="00A72827"/>
    <w:rsid w:val="00A73869"/>
    <w:rsid w:val="00A74D18"/>
    <w:rsid w:val="00A74FED"/>
    <w:rsid w:val="00A75311"/>
    <w:rsid w:val="00A7560A"/>
    <w:rsid w:val="00A75A3C"/>
    <w:rsid w:val="00A75A90"/>
    <w:rsid w:val="00A77361"/>
    <w:rsid w:val="00A774CD"/>
    <w:rsid w:val="00A7760F"/>
    <w:rsid w:val="00A7792D"/>
    <w:rsid w:val="00A800D8"/>
    <w:rsid w:val="00A80580"/>
    <w:rsid w:val="00A80735"/>
    <w:rsid w:val="00A81937"/>
    <w:rsid w:val="00A81999"/>
    <w:rsid w:val="00A81D6C"/>
    <w:rsid w:val="00A8287E"/>
    <w:rsid w:val="00A82C76"/>
    <w:rsid w:val="00A83434"/>
    <w:rsid w:val="00A83585"/>
    <w:rsid w:val="00A83A10"/>
    <w:rsid w:val="00A83D7B"/>
    <w:rsid w:val="00A8439B"/>
    <w:rsid w:val="00A84F6B"/>
    <w:rsid w:val="00A852A1"/>
    <w:rsid w:val="00A85683"/>
    <w:rsid w:val="00A85838"/>
    <w:rsid w:val="00A867FB"/>
    <w:rsid w:val="00A86CAA"/>
    <w:rsid w:val="00A870B7"/>
    <w:rsid w:val="00A8725B"/>
    <w:rsid w:val="00A87C7C"/>
    <w:rsid w:val="00A90011"/>
    <w:rsid w:val="00A90600"/>
    <w:rsid w:val="00A90786"/>
    <w:rsid w:val="00A90AD7"/>
    <w:rsid w:val="00A90EF2"/>
    <w:rsid w:val="00A91BE0"/>
    <w:rsid w:val="00A91CEA"/>
    <w:rsid w:val="00A92853"/>
    <w:rsid w:val="00A92AAC"/>
    <w:rsid w:val="00A92C6A"/>
    <w:rsid w:val="00A9373A"/>
    <w:rsid w:val="00A93759"/>
    <w:rsid w:val="00A93B03"/>
    <w:rsid w:val="00A93F66"/>
    <w:rsid w:val="00A948F8"/>
    <w:rsid w:val="00A94CBE"/>
    <w:rsid w:val="00A96C68"/>
    <w:rsid w:val="00A96E8D"/>
    <w:rsid w:val="00A97627"/>
    <w:rsid w:val="00A97913"/>
    <w:rsid w:val="00AA115F"/>
    <w:rsid w:val="00AA158F"/>
    <w:rsid w:val="00AA167B"/>
    <w:rsid w:val="00AA1EC5"/>
    <w:rsid w:val="00AA1F42"/>
    <w:rsid w:val="00AA223A"/>
    <w:rsid w:val="00AA2638"/>
    <w:rsid w:val="00AA36A0"/>
    <w:rsid w:val="00AA49A0"/>
    <w:rsid w:val="00AA4B0D"/>
    <w:rsid w:val="00AA4E57"/>
    <w:rsid w:val="00AA5CB7"/>
    <w:rsid w:val="00AA60B9"/>
    <w:rsid w:val="00AA6194"/>
    <w:rsid w:val="00AA670F"/>
    <w:rsid w:val="00AA69D6"/>
    <w:rsid w:val="00AA70DC"/>
    <w:rsid w:val="00AA7189"/>
    <w:rsid w:val="00AA74B4"/>
    <w:rsid w:val="00AA7589"/>
    <w:rsid w:val="00AA7F60"/>
    <w:rsid w:val="00AB0328"/>
    <w:rsid w:val="00AB0975"/>
    <w:rsid w:val="00AB0BB8"/>
    <w:rsid w:val="00AB1DC7"/>
    <w:rsid w:val="00AB2A99"/>
    <w:rsid w:val="00AB2AA2"/>
    <w:rsid w:val="00AB30C9"/>
    <w:rsid w:val="00AB4FBA"/>
    <w:rsid w:val="00AB54FC"/>
    <w:rsid w:val="00AB596E"/>
    <w:rsid w:val="00AB6027"/>
    <w:rsid w:val="00AB656F"/>
    <w:rsid w:val="00AB685D"/>
    <w:rsid w:val="00AB6ED5"/>
    <w:rsid w:val="00AB6EF6"/>
    <w:rsid w:val="00AB741C"/>
    <w:rsid w:val="00AB74E8"/>
    <w:rsid w:val="00AB78BD"/>
    <w:rsid w:val="00AB7A4A"/>
    <w:rsid w:val="00AB7C6D"/>
    <w:rsid w:val="00AB7CE4"/>
    <w:rsid w:val="00AC0048"/>
    <w:rsid w:val="00AC00A2"/>
    <w:rsid w:val="00AC010D"/>
    <w:rsid w:val="00AC08A4"/>
    <w:rsid w:val="00AC0F1E"/>
    <w:rsid w:val="00AC11E3"/>
    <w:rsid w:val="00AC152C"/>
    <w:rsid w:val="00AC18FE"/>
    <w:rsid w:val="00AC1BE6"/>
    <w:rsid w:val="00AC24DA"/>
    <w:rsid w:val="00AC3D07"/>
    <w:rsid w:val="00AC3ECE"/>
    <w:rsid w:val="00AC4105"/>
    <w:rsid w:val="00AC4573"/>
    <w:rsid w:val="00AC468D"/>
    <w:rsid w:val="00AC5083"/>
    <w:rsid w:val="00AC510F"/>
    <w:rsid w:val="00AC52E7"/>
    <w:rsid w:val="00AC598A"/>
    <w:rsid w:val="00AC5D15"/>
    <w:rsid w:val="00AC5F52"/>
    <w:rsid w:val="00AD11B2"/>
    <w:rsid w:val="00AD128F"/>
    <w:rsid w:val="00AD13DF"/>
    <w:rsid w:val="00AD1913"/>
    <w:rsid w:val="00AD1941"/>
    <w:rsid w:val="00AD1E15"/>
    <w:rsid w:val="00AD204C"/>
    <w:rsid w:val="00AD21C8"/>
    <w:rsid w:val="00AD23B7"/>
    <w:rsid w:val="00AD2D8E"/>
    <w:rsid w:val="00AD3025"/>
    <w:rsid w:val="00AD33C9"/>
    <w:rsid w:val="00AD36DB"/>
    <w:rsid w:val="00AD406B"/>
    <w:rsid w:val="00AD40AA"/>
    <w:rsid w:val="00AD429E"/>
    <w:rsid w:val="00AD57FC"/>
    <w:rsid w:val="00AD646A"/>
    <w:rsid w:val="00AD6B5E"/>
    <w:rsid w:val="00AD6C7F"/>
    <w:rsid w:val="00AD71C5"/>
    <w:rsid w:val="00AD77AA"/>
    <w:rsid w:val="00AD77BF"/>
    <w:rsid w:val="00AD78C1"/>
    <w:rsid w:val="00AD7ABC"/>
    <w:rsid w:val="00AE1988"/>
    <w:rsid w:val="00AE256A"/>
    <w:rsid w:val="00AE29F5"/>
    <w:rsid w:val="00AE33DF"/>
    <w:rsid w:val="00AE38B9"/>
    <w:rsid w:val="00AE4722"/>
    <w:rsid w:val="00AE4941"/>
    <w:rsid w:val="00AE53F4"/>
    <w:rsid w:val="00AE5C7A"/>
    <w:rsid w:val="00AE6175"/>
    <w:rsid w:val="00AE6CE0"/>
    <w:rsid w:val="00AE7276"/>
    <w:rsid w:val="00AE749E"/>
    <w:rsid w:val="00AE756E"/>
    <w:rsid w:val="00AE79C0"/>
    <w:rsid w:val="00AF0909"/>
    <w:rsid w:val="00AF0910"/>
    <w:rsid w:val="00AF0F0D"/>
    <w:rsid w:val="00AF1132"/>
    <w:rsid w:val="00AF1F58"/>
    <w:rsid w:val="00AF22B8"/>
    <w:rsid w:val="00AF2539"/>
    <w:rsid w:val="00AF2ED4"/>
    <w:rsid w:val="00AF2F82"/>
    <w:rsid w:val="00AF32B8"/>
    <w:rsid w:val="00AF38A2"/>
    <w:rsid w:val="00AF3C01"/>
    <w:rsid w:val="00AF47BF"/>
    <w:rsid w:val="00AF4A0D"/>
    <w:rsid w:val="00AF5BC0"/>
    <w:rsid w:val="00AF5DC3"/>
    <w:rsid w:val="00AF610B"/>
    <w:rsid w:val="00AF7688"/>
    <w:rsid w:val="00B0025E"/>
    <w:rsid w:val="00B004CF"/>
    <w:rsid w:val="00B00E44"/>
    <w:rsid w:val="00B00F3B"/>
    <w:rsid w:val="00B01458"/>
    <w:rsid w:val="00B01628"/>
    <w:rsid w:val="00B01887"/>
    <w:rsid w:val="00B019C7"/>
    <w:rsid w:val="00B01BE5"/>
    <w:rsid w:val="00B02683"/>
    <w:rsid w:val="00B02807"/>
    <w:rsid w:val="00B0288D"/>
    <w:rsid w:val="00B033C9"/>
    <w:rsid w:val="00B0392C"/>
    <w:rsid w:val="00B040C0"/>
    <w:rsid w:val="00B04F7A"/>
    <w:rsid w:val="00B050BB"/>
    <w:rsid w:val="00B05FB8"/>
    <w:rsid w:val="00B06160"/>
    <w:rsid w:val="00B0634B"/>
    <w:rsid w:val="00B065AF"/>
    <w:rsid w:val="00B066A7"/>
    <w:rsid w:val="00B06E92"/>
    <w:rsid w:val="00B07001"/>
    <w:rsid w:val="00B0728E"/>
    <w:rsid w:val="00B07AD5"/>
    <w:rsid w:val="00B1014A"/>
    <w:rsid w:val="00B10206"/>
    <w:rsid w:val="00B107A6"/>
    <w:rsid w:val="00B10E5F"/>
    <w:rsid w:val="00B11338"/>
    <w:rsid w:val="00B12050"/>
    <w:rsid w:val="00B1242A"/>
    <w:rsid w:val="00B125F6"/>
    <w:rsid w:val="00B12AD0"/>
    <w:rsid w:val="00B12BA1"/>
    <w:rsid w:val="00B132F9"/>
    <w:rsid w:val="00B13350"/>
    <w:rsid w:val="00B13372"/>
    <w:rsid w:val="00B135BA"/>
    <w:rsid w:val="00B141D9"/>
    <w:rsid w:val="00B14D2F"/>
    <w:rsid w:val="00B1535F"/>
    <w:rsid w:val="00B153EA"/>
    <w:rsid w:val="00B154B4"/>
    <w:rsid w:val="00B156EB"/>
    <w:rsid w:val="00B16070"/>
    <w:rsid w:val="00B161A4"/>
    <w:rsid w:val="00B169F4"/>
    <w:rsid w:val="00B171DC"/>
    <w:rsid w:val="00B2159F"/>
    <w:rsid w:val="00B22812"/>
    <w:rsid w:val="00B22A5D"/>
    <w:rsid w:val="00B22AB8"/>
    <w:rsid w:val="00B2316B"/>
    <w:rsid w:val="00B235C8"/>
    <w:rsid w:val="00B23EEE"/>
    <w:rsid w:val="00B24099"/>
    <w:rsid w:val="00B25456"/>
    <w:rsid w:val="00B2547F"/>
    <w:rsid w:val="00B25D54"/>
    <w:rsid w:val="00B30021"/>
    <w:rsid w:val="00B31348"/>
    <w:rsid w:val="00B3155A"/>
    <w:rsid w:val="00B3171A"/>
    <w:rsid w:val="00B32AE4"/>
    <w:rsid w:val="00B33C5F"/>
    <w:rsid w:val="00B34B68"/>
    <w:rsid w:val="00B3529A"/>
    <w:rsid w:val="00B358D0"/>
    <w:rsid w:val="00B362DD"/>
    <w:rsid w:val="00B36313"/>
    <w:rsid w:val="00B36472"/>
    <w:rsid w:val="00B366A9"/>
    <w:rsid w:val="00B36C5E"/>
    <w:rsid w:val="00B36F18"/>
    <w:rsid w:val="00B36F7F"/>
    <w:rsid w:val="00B40239"/>
    <w:rsid w:val="00B41C30"/>
    <w:rsid w:val="00B41C84"/>
    <w:rsid w:val="00B4208D"/>
    <w:rsid w:val="00B42176"/>
    <w:rsid w:val="00B42F8B"/>
    <w:rsid w:val="00B42FF0"/>
    <w:rsid w:val="00B43EDB"/>
    <w:rsid w:val="00B44107"/>
    <w:rsid w:val="00B44A91"/>
    <w:rsid w:val="00B44BFE"/>
    <w:rsid w:val="00B44D6C"/>
    <w:rsid w:val="00B451C1"/>
    <w:rsid w:val="00B45715"/>
    <w:rsid w:val="00B465C8"/>
    <w:rsid w:val="00B46A88"/>
    <w:rsid w:val="00B47858"/>
    <w:rsid w:val="00B4792A"/>
    <w:rsid w:val="00B47F34"/>
    <w:rsid w:val="00B503DB"/>
    <w:rsid w:val="00B505F7"/>
    <w:rsid w:val="00B513B6"/>
    <w:rsid w:val="00B51560"/>
    <w:rsid w:val="00B51C8F"/>
    <w:rsid w:val="00B51E24"/>
    <w:rsid w:val="00B521D9"/>
    <w:rsid w:val="00B52392"/>
    <w:rsid w:val="00B52655"/>
    <w:rsid w:val="00B52CAC"/>
    <w:rsid w:val="00B5309C"/>
    <w:rsid w:val="00B533DE"/>
    <w:rsid w:val="00B5377F"/>
    <w:rsid w:val="00B53C1C"/>
    <w:rsid w:val="00B541B1"/>
    <w:rsid w:val="00B5497D"/>
    <w:rsid w:val="00B54BB7"/>
    <w:rsid w:val="00B55072"/>
    <w:rsid w:val="00B55201"/>
    <w:rsid w:val="00B554CE"/>
    <w:rsid w:val="00B55E99"/>
    <w:rsid w:val="00B563A1"/>
    <w:rsid w:val="00B565EC"/>
    <w:rsid w:val="00B56B26"/>
    <w:rsid w:val="00B56D67"/>
    <w:rsid w:val="00B57299"/>
    <w:rsid w:val="00B57903"/>
    <w:rsid w:val="00B601F1"/>
    <w:rsid w:val="00B60F89"/>
    <w:rsid w:val="00B614A1"/>
    <w:rsid w:val="00B616D9"/>
    <w:rsid w:val="00B6215E"/>
    <w:rsid w:val="00B629ED"/>
    <w:rsid w:val="00B6333E"/>
    <w:rsid w:val="00B633D9"/>
    <w:rsid w:val="00B635FE"/>
    <w:rsid w:val="00B6443C"/>
    <w:rsid w:val="00B64960"/>
    <w:rsid w:val="00B64A18"/>
    <w:rsid w:val="00B64F79"/>
    <w:rsid w:val="00B65FEC"/>
    <w:rsid w:val="00B67086"/>
    <w:rsid w:val="00B67332"/>
    <w:rsid w:val="00B67737"/>
    <w:rsid w:val="00B67A42"/>
    <w:rsid w:val="00B70AE6"/>
    <w:rsid w:val="00B70DFD"/>
    <w:rsid w:val="00B7186B"/>
    <w:rsid w:val="00B72046"/>
    <w:rsid w:val="00B720B9"/>
    <w:rsid w:val="00B721D9"/>
    <w:rsid w:val="00B72489"/>
    <w:rsid w:val="00B7337A"/>
    <w:rsid w:val="00B7378E"/>
    <w:rsid w:val="00B73B7F"/>
    <w:rsid w:val="00B73C7F"/>
    <w:rsid w:val="00B73D59"/>
    <w:rsid w:val="00B741D6"/>
    <w:rsid w:val="00B745FE"/>
    <w:rsid w:val="00B7509E"/>
    <w:rsid w:val="00B755AF"/>
    <w:rsid w:val="00B769F6"/>
    <w:rsid w:val="00B76D20"/>
    <w:rsid w:val="00B76E1F"/>
    <w:rsid w:val="00B77652"/>
    <w:rsid w:val="00B7783F"/>
    <w:rsid w:val="00B778A3"/>
    <w:rsid w:val="00B77E88"/>
    <w:rsid w:val="00B8002C"/>
    <w:rsid w:val="00B808B8"/>
    <w:rsid w:val="00B808C3"/>
    <w:rsid w:val="00B81235"/>
    <w:rsid w:val="00B814C7"/>
    <w:rsid w:val="00B8188E"/>
    <w:rsid w:val="00B81D04"/>
    <w:rsid w:val="00B8225E"/>
    <w:rsid w:val="00B830D4"/>
    <w:rsid w:val="00B833FD"/>
    <w:rsid w:val="00B856C8"/>
    <w:rsid w:val="00B8596A"/>
    <w:rsid w:val="00B859FB"/>
    <w:rsid w:val="00B85B7E"/>
    <w:rsid w:val="00B85CBA"/>
    <w:rsid w:val="00B8612A"/>
    <w:rsid w:val="00B86648"/>
    <w:rsid w:val="00B86863"/>
    <w:rsid w:val="00B86A40"/>
    <w:rsid w:val="00B87CFB"/>
    <w:rsid w:val="00B902B2"/>
    <w:rsid w:val="00B90516"/>
    <w:rsid w:val="00B90B53"/>
    <w:rsid w:val="00B90C09"/>
    <w:rsid w:val="00B91885"/>
    <w:rsid w:val="00B91F21"/>
    <w:rsid w:val="00B924DB"/>
    <w:rsid w:val="00B93312"/>
    <w:rsid w:val="00B9380F"/>
    <w:rsid w:val="00B9384D"/>
    <w:rsid w:val="00B93F8B"/>
    <w:rsid w:val="00B9432D"/>
    <w:rsid w:val="00B945E7"/>
    <w:rsid w:val="00B94A8A"/>
    <w:rsid w:val="00B94B13"/>
    <w:rsid w:val="00B94FC2"/>
    <w:rsid w:val="00B950AB"/>
    <w:rsid w:val="00B95181"/>
    <w:rsid w:val="00B97AC3"/>
    <w:rsid w:val="00BA0827"/>
    <w:rsid w:val="00BA0BF7"/>
    <w:rsid w:val="00BA11DA"/>
    <w:rsid w:val="00BA1301"/>
    <w:rsid w:val="00BA13E2"/>
    <w:rsid w:val="00BA1574"/>
    <w:rsid w:val="00BA1F10"/>
    <w:rsid w:val="00BA2018"/>
    <w:rsid w:val="00BA252E"/>
    <w:rsid w:val="00BA2622"/>
    <w:rsid w:val="00BA2BC7"/>
    <w:rsid w:val="00BA316A"/>
    <w:rsid w:val="00BA335B"/>
    <w:rsid w:val="00BA3E01"/>
    <w:rsid w:val="00BA3E9C"/>
    <w:rsid w:val="00BA47B2"/>
    <w:rsid w:val="00BA71ED"/>
    <w:rsid w:val="00BA73A2"/>
    <w:rsid w:val="00BA760F"/>
    <w:rsid w:val="00BB0001"/>
    <w:rsid w:val="00BB0598"/>
    <w:rsid w:val="00BB059D"/>
    <w:rsid w:val="00BB0B34"/>
    <w:rsid w:val="00BB1A92"/>
    <w:rsid w:val="00BB3049"/>
    <w:rsid w:val="00BB4851"/>
    <w:rsid w:val="00BB506C"/>
    <w:rsid w:val="00BB5414"/>
    <w:rsid w:val="00BB55B7"/>
    <w:rsid w:val="00BB5ABF"/>
    <w:rsid w:val="00BB6131"/>
    <w:rsid w:val="00BB65E7"/>
    <w:rsid w:val="00BB67B0"/>
    <w:rsid w:val="00BB6E90"/>
    <w:rsid w:val="00BB6F87"/>
    <w:rsid w:val="00BB6FD9"/>
    <w:rsid w:val="00BB7405"/>
    <w:rsid w:val="00BB7925"/>
    <w:rsid w:val="00BB798B"/>
    <w:rsid w:val="00BB7DE4"/>
    <w:rsid w:val="00BB7E0E"/>
    <w:rsid w:val="00BB7E69"/>
    <w:rsid w:val="00BC0960"/>
    <w:rsid w:val="00BC1020"/>
    <w:rsid w:val="00BC1272"/>
    <w:rsid w:val="00BC1915"/>
    <w:rsid w:val="00BC1F3C"/>
    <w:rsid w:val="00BC233A"/>
    <w:rsid w:val="00BC24B5"/>
    <w:rsid w:val="00BC2582"/>
    <w:rsid w:val="00BC2FB0"/>
    <w:rsid w:val="00BC330C"/>
    <w:rsid w:val="00BC3421"/>
    <w:rsid w:val="00BC3874"/>
    <w:rsid w:val="00BC3E33"/>
    <w:rsid w:val="00BC41E5"/>
    <w:rsid w:val="00BC4616"/>
    <w:rsid w:val="00BC4728"/>
    <w:rsid w:val="00BC4778"/>
    <w:rsid w:val="00BC4AB9"/>
    <w:rsid w:val="00BC5D10"/>
    <w:rsid w:val="00BC6669"/>
    <w:rsid w:val="00BC6BF9"/>
    <w:rsid w:val="00BC6EAD"/>
    <w:rsid w:val="00BC6F37"/>
    <w:rsid w:val="00BC773F"/>
    <w:rsid w:val="00BC7AA5"/>
    <w:rsid w:val="00BC7DFD"/>
    <w:rsid w:val="00BC7F63"/>
    <w:rsid w:val="00BD15BA"/>
    <w:rsid w:val="00BD1A72"/>
    <w:rsid w:val="00BD260D"/>
    <w:rsid w:val="00BD2630"/>
    <w:rsid w:val="00BD28B7"/>
    <w:rsid w:val="00BD2A85"/>
    <w:rsid w:val="00BD3077"/>
    <w:rsid w:val="00BD3B2E"/>
    <w:rsid w:val="00BD3E30"/>
    <w:rsid w:val="00BD3E60"/>
    <w:rsid w:val="00BD4667"/>
    <w:rsid w:val="00BD4D95"/>
    <w:rsid w:val="00BD696A"/>
    <w:rsid w:val="00BD6A6A"/>
    <w:rsid w:val="00BD71E1"/>
    <w:rsid w:val="00BD77A2"/>
    <w:rsid w:val="00BD7DCD"/>
    <w:rsid w:val="00BE029D"/>
    <w:rsid w:val="00BE05BB"/>
    <w:rsid w:val="00BE07D6"/>
    <w:rsid w:val="00BE1688"/>
    <w:rsid w:val="00BE17C8"/>
    <w:rsid w:val="00BE229A"/>
    <w:rsid w:val="00BE2654"/>
    <w:rsid w:val="00BE2FF4"/>
    <w:rsid w:val="00BE3762"/>
    <w:rsid w:val="00BE3D08"/>
    <w:rsid w:val="00BE45E1"/>
    <w:rsid w:val="00BE4A47"/>
    <w:rsid w:val="00BE500B"/>
    <w:rsid w:val="00BE5401"/>
    <w:rsid w:val="00BE5E1A"/>
    <w:rsid w:val="00BE69EC"/>
    <w:rsid w:val="00BE6DC6"/>
    <w:rsid w:val="00BE6FBA"/>
    <w:rsid w:val="00BE71AA"/>
    <w:rsid w:val="00BE74B9"/>
    <w:rsid w:val="00BE786E"/>
    <w:rsid w:val="00BF0151"/>
    <w:rsid w:val="00BF168B"/>
    <w:rsid w:val="00BF1B63"/>
    <w:rsid w:val="00BF1CAB"/>
    <w:rsid w:val="00BF207B"/>
    <w:rsid w:val="00BF257C"/>
    <w:rsid w:val="00BF2889"/>
    <w:rsid w:val="00BF2A8A"/>
    <w:rsid w:val="00BF2BBE"/>
    <w:rsid w:val="00BF311B"/>
    <w:rsid w:val="00BF3409"/>
    <w:rsid w:val="00BF39D1"/>
    <w:rsid w:val="00BF42AF"/>
    <w:rsid w:val="00BF58F7"/>
    <w:rsid w:val="00BF6024"/>
    <w:rsid w:val="00BF6718"/>
    <w:rsid w:val="00BF6A7A"/>
    <w:rsid w:val="00BF734D"/>
    <w:rsid w:val="00BF759A"/>
    <w:rsid w:val="00C00FCE"/>
    <w:rsid w:val="00C01A49"/>
    <w:rsid w:val="00C01A82"/>
    <w:rsid w:val="00C01B7F"/>
    <w:rsid w:val="00C01EEA"/>
    <w:rsid w:val="00C0273C"/>
    <w:rsid w:val="00C03139"/>
    <w:rsid w:val="00C03A93"/>
    <w:rsid w:val="00C03B97"/>
    <w:rsid w:val="00C040AA"/>
    <w:rsid w:val="00C04C1E"/>
    <w:rsid w:val="00C06841"/>
    <w:rsid w:val="00C06BCD"/>
    <w:rsid w:val="00C06D82"/>
    <w:rsid w:val="00C0728B"/>
    <w:rsid w:val="00C073E7"/>
    <w:rsid w:val="00C07524"/>
    <w:rsid w:val="00C077C6"/>
    <w:rsid w:val="00C07809"/>
    <w:rsid w:val="00C07E82"/>
    <w:rsid w:val="00C102DA"/>
    <w:rsid w:val="00C105B3"/>
    <w:rsid w:val="00C110B2"/>
    <w:rsid w:val="00C11AF3"/>
    <w:rsid w:val="00C122EF"/>
    <w:rsid w:val="00C12CBA"/>
    <w:rsid w:val="00C12E94"/>
    <w:rsid w:val="00C136E3"/>
    <w:rsid w:val="00C13AF0"/>
    <w:rsid w:val="00C13CE1"/>
    <w:rsid w:val="00C13ED1"/>
    <w:rsid w:val="00C1402F"/>
    <w:rsid w:val="00C14532"/>
    <w:rsid w:val="00C147BC"/>
    <w:rsid w:val="00C1554E"/>
    <w:rsid w:val="00C15BB1"/>
    <w:rsid w:val="00C160A1"/>
    <w:rsid w:val="00C16386"/>
    <w:rsid w:val="00C16557"/>
    <w:rsid w:val="00C16A05"/>
    <w:rsid w:val="00C17050"/>
    <w:rsid w:val="00C17911"/>
    <w:rsid w:val="00C179E4"/>
    <w:rsid w:val="00C209E6"/>
    <w:rsid w:val="00C21880"/>
    <w:rsid w:val="00C21AEE"/>
    <w:rsid w:val="00C2202C"/>
    <w:rsid w:val="00C220CB"/>
    <w:rsid w:val="00C226BF"/>
    <w:rsid w:val="00C22DAB"/>
    <w:rsid w:val="00C233F3"/>
    <w:rsid w:val="00C23EC9"/>
    <w:rsid w:val="00C24984"/>
    <w:rsid w:val="00C24C82"/>
    <w:rsid w:val="00C24D0F"/>
    <w:rsid w:val="00C24E3F"/>
    <w:rsid w:val="00C25BF3"/>
    <w:rsid w:val="00C25D46"/>
    <w:rsid w:val="00C2631C"/>
    <w:rsid w:val="00C263AA"/>
    <w:rsid w:val="00C2676B"/>
    <w:rsid w:val="00C26E8D"/>
    <w:rsid w:val="00C27522"/>
    <w:rsid w:val="00C27AAF"/>
    <w:rsid w:val="00C27B65"/>
    <w:rsid w:val="00C27BE6"/>
    <w:rsid w:val="00C300E2"/>
    <w:rsid w:val="00C31471"/>
    <w:rsid w:val="00C32590"/>
    <w:rsid w:val="00C32F9C"/>
    <w:rsid w:val="00C335DA"/>
    <w:rsid w:val="00C338B8"/>
    <w:rsid w:val="00C33C9C"/>
    <w:rsid w:val="00C33EFD"/>
    <w:rsid w:val="00C3402D"/>
    <w:rsid w:val="00C3443A"/>
    <w:rsid w:val="00C344EF"/>
    <w:rsid w:val="00C3487B"/>
    <w:rsid w:val="00C34BF0"/>
    <w:rsid w:val="00C353B0"/>
    <w:rsid w:val="00C35405"/>
    <w:rsid w:val="00C35962"/>
    <w:rsid w:val="00C3602B"/>
    <w:rsid w:val="00C36161"/>
    <w:rsid w:val="00C363BC"/>
    <w:rsid w:val="00C368D7"/>
    <w:rsid w:val="00C369A2"/>
    <w:rsid w:val="00C371DB"/>
    <w:rsid w:val="00C37704"/>
    <w:rsid w:val="00C37AC8"/>
    <w:rsid w:val="00C40062"/>
    <w:rsid w:val="00C402DA"/>
    <w:rsid w:val="00C403D2"/>
    <w:rsid w:val="00C4081A"/>
    <w:rsid w:val="00C40E50"/>
    <w:rsid w:val="00C42718"/>
    <w:rsid w:val="00C42B61"/>
    <w:rsid w:val="00C42FB9"/>
    <w:rsid w:val="00C43469"/>
    <w:rsid w:val="00C46144"/>
    <w:rsid w:val="00C464AE"/>
    <w:rsid w:val="00C46707"/>
    <w:rsid w:val="00C46928"/>
    <w:rsid w:val="00C46D9C"/>
    <w:rsid w:val="00C47971"/>
    <w:rsid w:val="00C50791"/>
    <w:rsid w:val="00C513DC"/>
    <w:rsid w:val="00C5149B"/>
    <w:rsid w:val="00C51CAF"/>
    <w:rsid w:val="00C51E28"/>
    <w:rsid w:val="00C53200"/>
    <w:rsid w:val="00C53CDD"/>
    <w:rsid w:val="00C54FAD"/>
    <w:rsid w:val="00C55220"/>
    <w:rsid w:val="00C55251"/>
    <w:rsid w:val="00C55E89"/>
    <w:rsid w:val="00C563D5"/>
    <w:rsid w:val="00C564B4"/>
    <w:rsid w:val="00C5693E"/>
    <w:rsid w:val="00C56BB0"/>
    <w:rsid w:val="00C56D47"/>
    <w:rsid w:val="00C57027"/>
    <w:rsid w:val="00C572D6"/>
    <w:rsid w:val="00C578B8"/>
    <w:rsid w:val="00C60270"/>
    <w:rsid w:val="00C6086E"/>
    <w:rsid w:val="00C60E13"/>
    <w:rsid w:val="00C611FB"/>
    <w:rsid w:val="00C62156"/>
    <w:rsid w:val="00C623B2"/>
    <w:rsid w:val="00C623FA"/>
    <w:rsid w:val="00C62472"/>
    <w:rsid w:val="00C62CE8"/>
    <w:rsid w:val="00C643E5"/>
    <w:rsid w:val="00C6479D"/>
    <w:rsid w:val="00C64DA1"/>
    <w:rsid w:val="00C6621D"/>
    <w:rsid w:val="00C664F2"/>
    <w:rsid w:val="00C66544"/>
    <w:rsid w:val="00C667D9"/>
    <w:rsid w:val="00C67782"/>
    <w:rsid w:val="00C70730"/>
    <w:rsid w:val="00C70CEB"/>
    <w:rsid w:val="00C71AA2"/>
    <w:rsid w:val="00C71F0B"/>
    <w:rsid w:val="00C720FA"/>
    <w:rsid w:val="00C72204"/>
    <w:rsid w:val="00C7272A"/>
    <w:rsid w:val="00C7277D"/>
    <w:rsid w:val="00C72B2C"/>
    <w:rsid w:val="00C72CA6"/>
    <w:rsid w:val="00C73468"/>
    <w:rsid w:val="00C740D1"/>
    <w:rsid w:val="00C74198"/>
    <w:rsid w:val="00C741B9"/>
    <w:rsid w:val="00C74372"/>
    <w:rsid w:val="00C74670"/>
    <w:rsid w:val="00C74805"/>
    <w:rsid w:val="00C7485D"/>
    <w:rsid w:val="00C74C16"/>
    <w:rsid w:val="00C74C46"/>
    <w:rsid w:val="00C7501C"/>
    <w:rsid w:val="00C7661B"/>
    <w:rsid w:val="00C76D4C"/>
    <w:rsid w:val="00C77100"/>
    <w:rsid w:val="00C77117"/>
    <w:rsid w:val="00C77214"/>
    <w:rsid w:val="00C77C6A"/>
    <w:rsid w:val="00C77D77"/>
    <w:rsid w:val="00C800ED"/>
    <w:rsid w:val="00C8048B"/>
    <w:rsid w:val="00C821B3"/>
    <w:rsid w:val="00C8287D"/>
    <w:rsid w:val="00C8388E"/>
    <w:rsid w:val="00C8420A"/>
    <w:rsid w:val="00C8447C"/>
    <w:rsid w:val="00C85236"/>
    <w:rsid w:val="00C854B1"/>
    <w:rsid w:val="00C85D57"/>
    <w:rsid w:val="00C86226"/>
    <w:rsid w:val="00C86FBF"/>
    <w:rsid w:val="00C875D1"/>
    <w:rsid w:val="00C900A7"/>
    <w:rsid w:val="00C90108"/>
    <w:rsid w:val="00C90A63"/>
    <w:rsid w:val="00C912AC"/>
    <w:rsid w:val="00C91E69"/>
    <w:rsid w:val="00C92732"/>
    <w:rsid w:val="00C93022"/>
    <w:rsid w:val="00C9368F"/>
    <w:rsid w:val="00C937C7"/>
    <w:rsid w:val="00C93FC0"/>
    <w:rsid w:val="00C9608A"/>
    <w:rsid w:val="00C96334"/>
    <w:rsid w:val="00C969FF"/>
    <w:rsid w:val="00C96C9A"/>
    <w:rsid w:val="00C96F9A"/>
    <w:rsid w:val="00C9715E"/>
    <w:rsid w:val="00C97578"/>
    <w:rsid w:val="00CA040E"/>
    <w:rsid w:val="00CA04CF"/>
    <w:rsid w:val="00CA0CBB"/>
    <w:rsid w:val="00CA102C"/>
    <w:rsid w:val="00CA115E"/>
    <w:rsid w:val="00CA1519"/>
    <w:rsid w:val="00CA1B89"/>
    <w:rsid w:val="00CA25AD"/>
    <w:rsid w:val="00CA26A1"/>
    <w:rsid w:val="00CA308B"/>
    <w:rsid w:val="00CA3367"/>
    <w:rsid w:val="00CA397B"/>
    <w:rsid w:val="00CA4A1E"/>
    <w:rsid w:val="00CA505B"/>
    <w:rsid w:val="00CA51C2"/>
    <w:rsid w:val="00CA56FF"/>
    <w:rsid w:val="00CA6F65"/>
    <w:rsid w:val="00CA7B55"/>
    <w:rsid w:val="00CB036F"/>
    <w:rsid w:val="00CB192F"/>
    <w:rsid w:val="00CB19D0"/>
    <w:rsid w:val="00CB26E0"/>
    <w:rsid w:val="00CB2AF8"/>
    <w:rsid w:val="00CB2D1E"/>
    <w:rsid w:val="00CB3217"/>
    <w:rsid w:val="00CB347D"/>
    <w:rsid w:val="00CB3A06"/>
    <w:rsid w:val="00CB3AE4"/>
    <w:rsid w:val="00CB428F"/>
    <w:rsid w:val="00CB4396"/>
    <w:rsid w:val="00CB469E"/>
    <w:rsid w:val="00CB4931"/>
    <w:rsid w:val="00CB5467"/>
    <w:rsid w:val="00CB54A0"/>
    <w:rsid w:val="00CB5D7E"/>
    <w:rsid w:val="00CB5EBD"/>
    <w:rsid w:val="00CB616D"/>
    <w:rsid w:val="00CB676F"/>
    <w:rsid w:val="00CB68BB"/>
    <w:rsid w:val="00CB7653"/>
    <w:rsid w:val="00CC07FF"/>
    <w:rsid w:val="00CC0868"/>
    <w:rsid w:val="00CC08DB"/>
    <w:rsid w:val="00CC09FA"/>
    <w:rsid w:val="00CC0C5E"/>
    <w:rsid w:val="00CC0F46"/>
    <w:rsid w:val="00CC1387"/>
    <w:rsid w:val="00CC144C"/>
    <w:rsid w:val="00CC148A"/>
    <w:rsid w:val="00CC2105"/>
    <w:rsid w:val="00CC2946"/>
    <w:rsid w:val="00CC2FA4"/>
    <w:rsid w:val="00CC2FBD"/>
    <w:rsid w:val="00CC325E"/>
    <w:rsid w:val="00CC399E"/>
    <w:rsid w:val="00CC4A02"/>
    <w:rsid w:val="00CC4DC0"/>
    <w:rsid w:val="00CC4FE4"/>
    <w:rsid w:val="00CC558E"/>
    <w:rsid w:val="00CC5BB3"/>
    <w:rsid w:val="00CC5CC6"/>
    <w:rsid w:val="00CC5D2C"/>
    <w:rsid w:val="00CC61D7"/>
    <w:rsid w:val="00CC6460"/>
    <w:rsid w:val="00CC664E"/>
    <w:rsid w:val="00CC6D59"/>
    <w:rsid w:val="00CC7BDA"/>
    <w:rsid w:val="00CD0913"/>
    <w:rsid w:val="00CD0D31"/>
    <w:rsid w:val="00CD1462"/>
    <w:rsid w:val="00CD169F"/>
    <w:rsid w:val="00CD25AA"/>
    <w:rsid w:val="00CD30A9"/>
    <w:rsid w:val="00CD3874"/>
    <w:rsid w:val="00CD3E0D"/>
    <w:rsid w:val="00CD3F07"/>
    <w:rsid w:val="00CD4002"/>
    <w:rsid w:val="00CD415D"/>
    <w:rsid w:val="00CD42E4"/>
    <w:rsid w:val="00CD463A"/>
    <w:rsid w:val="00CD4949"/>
    <w:rsid w:val="00CD4DAE"/>
    <w:rsid w:val="00CD5056"/>
    <w:rsid w:val="00CD54D3"/>
    <w:rsid w:val="00CD60D5"/>
    <w:rsid w:val="00CD6213"/>
    <w:rsid w:val="00CD6926"/>
    <w:rsid w:val="00CE1354"/>
    <w:rsid w:val="00CE3745"/>
    <w:rsid w:val="00CE3E81"/>
    <w:rsid w:val="00CE4B0A"/>
    <w:rsid w:val="00CE4D8F"/>
    <w:rsid w:val="00CE5D0C"/>
    <w:rsid w:val="00CE7762"/>
    <w:rsid w:val="00CE7D3E"/>
    <w:rsid w:val="00CF055D"/>
    <w:rsid w:val="00CF20C7"/>
    <w:rsid w:val="00CF27CE"/>
    <w:rsid w:val="00CF2A71"/>
    <w:rsid w:val="00CF303D"/>
    <w:rsid w:val="00CF3699"/>
    <w:rsid w:val="00CF3DD0"/>
    <w:rsid w:val="00CF3E77"/>
    <w:rsid w:val="00CF45B0"/>
    <w:rsid w:val="00CF46EA"/>
    <w:rsid w:val="00CF4E1A"/>
    <w:rsid w:val="00CF518C"/>
    <w:rsid w:val="00CF5A3E"/>
    <w:rsid w:val="00CF64B4"/>
    <w:rsid w:val="00CF73C8"/>
    <w:rsid w:val="00CF7942"/>
    <w:rsid w:val="00D000EC"/>
    <w:rsid w:val="00D006B1"/>
    <w:rsid w:val="00D00991"/>
    <w:rsid w:val="00D014B9"/>
    <w:rsid w:val="00D017E4"/>
    <w:rsid w:val="00D01C44"/>
    <w:rsid w:val="00D02458"/>
    <w:rsid w:val="00D02478"/>
    <w:rsid w:val="00D025DF"/>
    <w:rsid w:val="00D0302D"/>
    <w:rsid w:val="00D03F51"/>
    <w:rsid w:val="00D04499"/>
    <w:rsid w:val="00D04997"/>
    <w:rsid w:val="00D04C0D"/>
    <w:rsid w:val="00D04E69"/>
    <w:rsid w:val="00D04FBC"/>
    <w:rsid w:val="00D05C51"/>
    <w:rsid w:val="00D05C6A"/>
    <w:rsid w:val="00D05E2A"/>
    <w:rsid w:val="00D05F39"/>
    <w:rsid w:val="00D060BB"/>
    <w:rsid w:val="00D062BB"/>
    <w:rsid w:val="00D075AE"/>
    <w:rsid w:val="00D07631"/>
    <w:rsid w:val="00D07940"/>
    <w:rsid w:val="00D07A11"/>
    <w:rsid w:val="00D11486"/>
    <w:rsid w:val="00D1177C"/>
    <w:rsid w:val="00D11A95"/>
    <w:rsid w:val="00D12037"/>
    <w:rsid w:val="00D122A8"/>
    <w:rsid w:val="00D131D3"/>
    <w:rsid w:val="00D132D9"/>
    <w:rsid w:val="00D13909"/>
    <w:rsid w:val="00D13CAA"/>
    <w:rsid w:val="00D15429"/>
    <w:rsid w:val="00D15743"/>
    <w:rsid w:val="00D15D63"/>
    <w:rsid w:val="00D15ECC"/>
    <w:rsid w:val="00D15FC0"/>
    <w:rsid w:val="00D15FEA"/>
    <w:rsid w:val="00D16BDD"/>
    <w:rsid w:val="00D16E5B"/>
    <w:rsid w:val="00D17A0F"/>
    <w:rsid w:val="00D20051"/>
    <w:rsid w:val="00D20139"/>
    <w:rsid w:val="00D208CC"/>
    <w:rsid w:val="00D21A1E"/>
    <w:rsid w:val="00D21DAC"/>
    <w:rsid w:val="00D2210B"/>
    <w:rsid w:val="00D22485"/>
    <w:rsid w:val="00D23EB9"/>
    <w:rsid w:val="00D2426F"/>
    <w:rsid w:val="00D24812"/>
    <w:rsid w:val="00D24C91"/>
    <w:rsid w:val="00D24CDA"/>
    <w:rsid w:val="00D24F0A"/>
    <w:rsid w:val="00D2533F"/>
    <w:rsid w:val="00D25451"/>
    <w:rsid w:val="00D25B48"/>
    <w:rsid w:val="00D26082"/>
    <w:rsid w:val="00D26DE1"/>
    <w:rsid w:val="00D27177"/>
    <w:rsid w:val="00D272AA"/>
    <w:rsid w:val="00D274D6"/>
    <w:rsid w:val="00D278A1"/>
    <w:rsid w:val="00D30239"/>
    <w:rsid w:val="00D3045E"/>
    <w:rsid w:val="00D30682"/>
    <w:rsid w:val="00D3082D"/>
    <w:rsid w:val="00D30A48"/>
    <w:rsid w:val="00D30F1B"/>
    <w:rsid w:val="00D3121E"/>
    <w:rsid w:val="00D3135D"/>
    <w:rsid w:val="00D31923"/>
    <w:rsid w:val="00D324F0"/>
    <w:rsid w:val="00D32F28"/>
    <w:rsid w:val="00D332E1"/>
    <w:rsid w:val="00D3366D"/>
    <w:rsid w:val="00D336FD"/>
    <w:rsid w:val="00D3404E"/>
    <w:rsid w:val="00D342DB"/>
    <w:rsid w:val="00D34900"/>
    <w:rsid w:val="00D34928"/>
    <w:rsid w:val="00D35C97"/>
    <w:rsid w:val="00D362BD"/>
    <w:rsid w:val="00D36808"/>
    <w:rsid w:val="00D36835"/>
    <w:rsid w:val="00D40789"/>
    <w:rsid w:val="00D417B6"/>
    <w:rsid w:val="00D42005"/>
    <w:rsid w:val="00D42423"/>
    <w:rsid w:val="00D4258D"/>
    <w:rsid w:val="00D42701"/>
    <w:rsid w:val="00D4312B"/>
    <w:rsid w:val="00D433A8"/>
    <w:rsid w:val="00D43BE5"/>
    <w:rsid w:val="00D43D65"/>
    <w:rsid w:val="00D43F3D"/>
    <w:rsid w:val="00D4402B"/>
    <w:rsid w:val="00D44E22"/>
    <w:rsid w:val="00D4514D"/>
    <w:rsid w:val="00D45160"/>
    <w:rsid w:val="00D45623"/>
    <w:rsid w:val="00D456AE"/>
    <w:rsid w:val="00D457E4"/>
    <w:rsid w:val="00D45B89"/>
    <w:rsid w:val="00D45DDF"/>
    <w:rsid w:val="00D46089"/>
    <w:rsid w:val="00D464F2"/>
    <w:rsid w:val="00D46A50"/>
    <w:rsid w:val="00D471BD"/>
    <w:rsid w:val="00D474E8"/>
    <w:rsid w:val="00D47532"/>
    <w:rsid w:val="00D4757F"/>
    <w:rsid w:val="00D47A2D"/>
    <w:rsid w:val="00D47F69"/>
    <w:rsid w:val="00D500F4"/>
    <w:rsid w:val="00D504FE"/>
    <w:rsid w:val="00D508DC"/>
    <w:rsid w:val="00D50937"/>
    <w:rsid w:val="00D50F2C"/>
    <w:rsid w:val="00D51140"/>
    <w:rsid w:val="00D51DDB"/>
    <w:rsid w:val="00D528EA"/>
    <w:rsid w:val="00D53532"/>
    <w:rsid w:val="00D539C0"/>
    <w:rsid w:val="00D54258"/>
    <w:rsid w:val="00D54D85"/>
    <w:rsid w:val="00D550A0"/>
    <w:rsid w:val="00D55179"/>
    <w:rsid w:val="00D551BC"/>
    <w:rsid w:val="00D55446"/>
    <w:rsid w:val="00D57648"/>
    <w:rsid w:val="00D57DB8"/>
    <w:rsid w:val="00D615C1"/>
    <w:rsid w:val="00D61AF4"/>
    <w:rsid w:val="00D620E7"/>
    <w:rsid w:val="00D62A3A"/>
    <w:rsid w:val="00D6325F"/>
    <w:rsid w:val="00D63391"/>
    <w:rsid w:val="00D6353B"/>
    <w:rsid w:val="00D63877"/>
    <w:rsid w:val="00D63996"/>
    <w:rsid w:val="00D63EA9"/>
    <w:rsid w:val="00D6474F"/>
    <w:rsid w:val="00D64CB4"/>
    <w:rsid w:val="00D64F92"/>
    <w:rsid w:val="00D64FA2"/>
    <w:rsid w:val="00D65D3B"/>
    <w:rsid w:val="00D66030"/>
    <w:rsid w:val="00D66913"/>
    <w:rsid w:val="00D66E9E"/>
    <w:rsid w:val="00D706AD"/>
    <w:rsid w:val="00D70821"/>
    <w:rsid w:val="00D70922"/>
    <w:rsid w:val="00D70F2A"/>
    <w:rsid w:val="00D713BE"/>
    <w:rsid w:val="00D71FAA"/>
    <w:rsid w:val="00D7220E"/>
    <w:rsid w:val="00D724E1"/>
    <w:rsid w:val="00D72B25"/>
    <w:rsid w:val="00D72C0C"/>
    <w:rsid w:val="00D72C27"/>
    <w:rsid w:val="00D732E4"/>
    <w:rsid w:val="00D74640"/>
    <w:rsid w:val="00D74649"/>
    <w:rsid w:val="00D74BD5"/>
    <w:rsid w:val="00D7518C"/>
    <w:rsid w:val="00D75831"/>
    <w:rsid w:val="00D75A13"/>
    <w:rsid w:val="00D75E9C"/>
    <w:rsid w:val="00D7612B"/>
    <w:rsid w:val="00D76BF2"/>
    <w:rsid w:val="00D76F5F"/>
    <w:rsid w:val="00D77A43"/>
    <w:rsid w:val="00D80193"/>
    <w:rsid w:val="00D802F0"/>
    <w:rsid w:val="00D805F8"/>
    <w:rsid w:val="00D8072C"/>
    <w:rsid w:val="00D808D8"/>
    <w:rsid w:val="00D81668"/>
    <w:rsid w:val="00D831A4"/>
    <w:rsid w:val="00D836D9"/>
    <w:rsid w:val="00D83AD5"/>
    <w:rsid w:val="00D84FF1"/>
    <w:rsid w:val="00D852E9"/>
    <w:rsid w:val="00D85BA4"/>
    <w:rsid w:val="00D85DC2"/>
    <w:rsid w:val="00D8618B"/>
    <w:rsid w:val="00D8689E"/>
    <w:rsid w:val="00D872E6"/>
    <w:rsid w:val="00D87561"/>
    <w:rsid w:val="00D9032E"/>
    <w:rsid w:val="00D90A22"/>
    <w:rsid w:val="00D90F8C"/>
    <w:rsid w:val="00D91471"/>
    <w:rsid w:val="00D91ED0"/>
    <w:rsid w:val="00D922CA"/>
    <w:rsid w:val="00D926B6"/>
    <w:rsid w:val="00D92EF7"/>
    <w:rsid w:val="00D93473"/>
    <w:rsid w:val="00D93A32"/>
    <w:rsid w:val="00D93AE7"/>
    <w:rsid w:val="00D943BA"/>
    <w:rsid w:val="00D943BE"/>
    <w:rsid w:val="00D94A64"/>
    <w:rsid w:val="00D95271"/>
    <w:rsid w:val="00D957A8"/>
    <w:rsid w:val="00D9588B"/>
    <w:rsid w:val="00D95951"/>
    <w:rsid w:val="00D963A0"/>
    <w:rsid w:val="00D96CF4"/>
    <w:rsid w:val="00D970BC"/>
    <w:rsid w:val="00D97A00"/>
    <w:rsid w:val="00D97A29"/>
    <w:rsid w:val="00DA0227"/>
    <w:rsid w:val="00DA06C7"/>
    <w:rsid w:val="00DA0719"/>
    <w:rsid w:val="00DA0D22"/>
    <w:rsid w:val="00DA12D1"/>
    <w:rsid w:val="00DA141C"/>
    <w:rsid w:val="00DA27E3"/>
    <w:rsid w:val="00DA2E41"/>
    <w:rsid w:val="00DA3FA8"/>
    <w:rsid w:val="00DA50CA"/>
    <w:rsid w:val="00DA5A33"/>
    <w:rsid w:val="00DA6AF4"/>
    <w:rsid w:val="00DA7B43"/>
    <w:rsid w:val="00DA7B65"/>
    <w:rsid w:val="00DB0310"/>
    <w:rsid w:val="00DB0522"/>
    <w:rsid w:val="00DB0E5A"/>
    <w:rsid w:val="00DB10B5"/>
    <w:rsid w:val="00DB1790"/>
    <w:rsid w:val="00DB24FE"/>
    <w:rsid w:val="00DB26E2"/>
    <w:rsid w:val="00DB27EA"/>
    <w:rsid w:val="00DB395E"/>
    <w:rsid w:val="00DB3C96"/>
    <w:rsid w:val="00DB4195"/>
    <w:rsid w:val="00DB4248"/>
    <w:rsid w:val="00DB4D0C"/>
    <w:rsid w:val="00DB5220"/>
    <w:rsid w:val="00DB55F1"/>
    <w:rsid w:val="00DB5A97"/>
    <w:rsid w:val="00DB6C24"/>
    <w:rsid w:val="00DB6C2B"/>
    <w:rsid w:val="00DB6DE7"/>
    <w:rsid w:val="00DB76E0"/>
    <w:rsid w:val="00DB785F"/>
    <w:rsid w:val="00DB7A11"/>
    <w:rsid w:val="00DB7AE0"/>
    <w:rsid w:val="00DB7B05"/>
    <w:rsid w:val="00DB7C4B"/>
    <w:rsid w:val="00DC052A"/>
    <w:rsid w:val="00DC092F"/>
    <w:rsid w:val="00DC10EF"/>
    <w:rsid w:val="00DC1F17"/>
    <w:rsid w:val="00DC22DF"/>
    <w:rsid w:val="00DC2594"/>
    <w:rsid w:val="00DC2AAF"/>
    <w:rsid w:val="00DC4017"/>
    <w:rsid w:val="00DC4ABE"/>
    <w:rsid w:val="00DC5C68"/>
    <w:rsid w:val="00DC7126"/>
    <w:rsid w:val="00DC71DF"/>
    <w:rsid w:val="00DC7645"/>
    <w:rsid w:val="00DC7B54"/>
    <w:rsid w:val="00DD05AB"/>
    <w:rsid w:val="00DD0B8A"/>
    <w:rsid w:val="00DD0D3C"/>
    <w:rsid w:val="00DD0E0F"/>
    <w:rsid w:val="00DD0E7F"/>
    <w:rsid w:val="00DD16C7"/>
    <w:rsid w:val="00DD184B"/>
    <w:rsid w:val="00DD2A24"/>
    <w:rsid w:val="00DD3442"/>
    <w:rsid w:val="00DD3723"/>
    <w:rsid w:val="00DD37E3"/>
    <w:rsid w:val="00DD3B49"/>
    <w:rsid w:val="00DD43AC"/>
    <w:rsid w:val="00DD4418"/>
    <w:rsid w:val="00DD4D99"/>
    <w:rsid w:val="00DD50B1"/>
    <w:rsid w:val="00DD5475"/>
    <w:rsid w:val="00DD569C"/>
    <w:rsid w:val="00DD5791"/>
    <w:rsid w:val="00DD57F2"/>
    <w:rsid w:val="00DD5CA0"/>
    <w:rsid w:val="00DD70EF"/>
    <w:rsid w:val="00DD7237"/>
    <w:rsid w:val="00DE06B1"/>
    <w:rsid w:val="00DE0E16"/>
    <w:rsid w:val="00DE0F2B"/>
    <w:rsid w:val="00DE1564"/>
    <w:rsid w:val="00DE17FC"/>
    <w:rsid w:val="00DE1AB3"/>
    <w:rsid w:val="00DE223C"/>
    <w:rsid w:val="00DE24CF"/>
    <w:rsid w:val="00DE267A"/>
    <w:rsid w:val="00DE27B3"/>
    <w:rsid w:val="00DE2B38"/>
    <w:rsid w:val="00DE2C54"/>
    <w:rsid w:val="00DE3716"/>
    <w:rsid w:val="00DE3DC1"/>
    <w:rsid w:val="00DE42E3"/>
    <w:rsid w:val="00DE47E5"/>
    <w:rsid w:val="00DE489C"/>
    <w:rsid w:val="00DE5018"/>
    <w:rsid w:val="00DE5865"/>
    <w:rsid w:val="00DE5E5D"/>
    <w:rsid w:val="00DE60AA"/>
    <w:rsid w:val="00DE65EA"/>
    <w:rsid w:val="00DE6A84"/>
    <w:rsid w:val="00DE6E8C"/>
    <w:rsid w:val="00DE70AA"/>
    <w:rsid w:val="00DE791E"/>
    <w:rsid w:val="00DE7CD8"/>
    <w:rsid w:val="00DF0578"/>
    <w:rsid w:val="00DF0BF4"/>
    <w:rsid w:val="00DF1085"/>
    <w:rsid w:val="00DF19D6"/>
    <w:rsid w:val="00DF1B8F"/>
    <w:rsid w:val="00DF1F71"/>
    <w:rsid w:val="00DF29EC"/>
    <w:rsid w:val="00DF2DD5"/>
    <w:rsid w:val="00DF34F9"/>
    <w:rsid w:val="00DF4001"/>
    <w:rsid w:val="00DF469D"/>
    <w:rsid w:val="00DF4E30"/>
    <w:rsid w:val="00DF6CB1"/>
    <w:rsid w:val="00DF7DFD"/>
    <w:rsid w:val="00E00107"/>
    <w:rsid w:val="00E00518"/>
    <w:rsid w:val="00E01BF9"/>
    <w:rsid w:val="00E025AB"/>
    <w:rsid w:val="00E02D33"/>
    <w:rsid w:val="00E03FA1"/>
    <w:rsid w:val="00E03FFC"/>
    <w:rsid w:val="00E04F26"/>
    <w:rsid w:val="00E056A1"/>
    <w:rsid w:val="00E05843"/>
    <w:rsid w:val="00E05D25"/>
    <w:rsid w:val="00E05FFB"/>
    <w:rsid w:val="00E0620A"/>
    <w:rsid w:val="00E06494"/>
    <w:rsid w:val="00E06E95"/>
    <w:rsid w:val="00E06EC5"/>
    <w:rsid w:val="00E07151"/>
    <w:rsid w:val="00E105EE"/>
    <w:rsid w:val="00E10F1F"/>
    <w:rsid w:val="00E11039"/>
    <w:rsid w:val="00E125CE"/>
    <w:rsid w:val="00E12670"/>
    <w:rsid w:val="00E13AD9"/>
    <w:rsid w:val="00E14292"/>
    <w:rsid w:val="00E15E9F"/>
    <w:rsid w:val="00E1629A"/>
    <w:rsid w:val="00E16EAB"/>
    <w:rsid w:val="00E17312"/>
    <w:rsid w:val="00E173F9"/>
    <w:rsid w:val="00E175D2"/>
    <w:rsid w:val="00E1782D"/>
    <w:rsid w:val="00E17862"/>
    <w:rsid w:val="00E17A0A"/>
    <w:rsid w:val="00E17F93"/>
    <w:rsid w:val="00E20004"/>
    <w:rsid w:val="00E2064D"/>
    <w:rsid w:val="00E20DE5"/>
    <w:rsid w:val="00E20F89"/>
    <w:rsid w:val="00E2101D"/>
    <w:rsid w:val="00E21091"/>
    <w:rsid w:val="00E2136C"/>
    <w:rsid w:val="00E22320"/>
    <w:rsid w:val="00E23AF4"/>
    <w:rsid w:val="00E23E70"/>
    <w:rsid w:val="00E23FAB"/>
    <w:rsid w:val="00E24379"/>
    <w:rsid w:val="00E25373"/>
    <w:rsid w:val="00E25871"/>
    <w:rsid w:val="00E25A59"/>
    <w:rsid w:val="00E25E68"/>
    <w:rsid w:val="00E26B68"/>
    <w:rsid w:val="00E26EC0"/>
    <w:rsid w:val="00E26EDF"/>
    <w:rsid w:val="00E2701C"/>
    <w:rsid w:val="00E27065"/>
    <w:rsid w:val="00E27E12"/>
    <w:rsid w:val="00E3005E"/>
    <w:rsid w:val="00E30C12"/>
    <w:rsid w:val="00E3129C"/>
    <w:rsid w:val="00E313F6"/>
    <w:rsid w:val="00E31889"/>
    <w:rsid w:val="00E31B56"/>
    <w:rsid w:val="00E32CA3"/>
    <w:rsid w:val="00E32E7C"/>
    <w:rsid w:val="00E335C1"/>
    <w:rsid w:val="00E33CEE"/>
    <w:rsid w:val="00E36042"/>
    <w:rsid w:val="00E360B3"/>
    <w:rsid w:val="00E369AA"/>
    <w:rsid w:val="00E36DFC"/>
    <w:rsid w:val="00E373A7"/>
    <w:rsid w:val="00E379D4"/>
    <w:rsid w:val="00E37B43"/>
    <w:rsid w:val="00E37E54"/>
    <w:rsid w:val="00E40199"/>
    <w:rsid w:val="00E403F0"/>
    <w:rsid w:val="00E40752"/>
    <w:rsid w:val="00E40B30"/>
    <w:rsid w:val="00E41171"/>
    <w:rsid w:val="00E41680"/>
    <w:rsid w:val="00E41769"/>
    <w:rsid w:val="00E41D49"/>
    <w:rsid w:val="00E42351"/>
    <w:rsid w:val="00E42773"/>
    <w:rsid w:val="00E42AF8"/>
    <w:rsid w:val="00E42B12"/>
    <w:rsid w:val="00E42D8B"/>
    <w:rsid w:val="00E42D9C"/>
    <w:rsid w:val="00E43D42"/>
    <w:rsid w:val="00E43DF1"/>
    <w:rsid w:val="00E44579"/>
    <w:rsid w:val="00E4475D"/>
    <w:rsid w:val="00E44FCB"/>
    <w:rsid w:val="00E45953"/>
    <w:rsid w:val="00E459C4"/>
    <w:rsid w:val="00E46318"/>
    <w:rsid w:val="00E46769"/>
    <w:rsid w:val="00E46AA5"/>
    <w:rsid w:val="00E46DAE"/>
    <w:rsid w:val="00E4703B"/>
    <w:rsid w:val="00E47AD7"/>
    <w:rsid w:val="00E5018E"/>
    <w:rsid w:val="00E502F5"/>
    <w:rsid w:val="00E50438"/>
    <w:rsid w:val="00E5066A"/>
    <w:rsid w:val="00E50753"/>
    <w:rsid w:val="00E5284A"/>
    <w:rsid w:val="00E53B7E"/>
    <w:rsid w:val="00E54049"/>
    <w:rsid w:val="00E5440E"/>
    <w:rsid w:val="00E544AC"/>
    <w:rsid w:val="00E54765"/>
    <w:rsid w:val="00E548E2"/>
    <w:rsid w:val="00E5566D"/>
    <w:rsid w:val="00E55A3F"/>
    <w:rsid w:val="00E55CC9"/>
    <w:rsid w:val="00E56069"/>
    <w:rsid w:val="00E56091"/>
    <w:rsid w:val="00E56363"/>
    <w:rsid w:val="00E5641F"/>
    <w:rsid w:val="00E567AD"/>
    <w:rsid w:val="00E56A66"/>
    <w:rsid w:val="00E600FC"/>
    <w:rsid w:val="00E607C9"/>
    <w:rsid w:val="00E60DA5"/>
    <w:rsid w:val="00E61879"/>
    <w:rsid w:val="00E619F6"/>
    <w:rsid w:val="00E61D89"/>
    <w:rsid w:val="00E61DAF"/>
    <w:rsid w:val="00E61E3E"/>
    <w:rsid w:val="00E62981"/>
    <w:rsid w:val="00E630F2"/>
    <w:rsid w:val="00E63807"/>
    <w:rsid w:val="00E63DC1"/>
    <w:rsid w:val="00E64268"/>
    <w:rsid w:val="00E65208"/>
    <w:rsid w:val="00E66475"/>
    <w:rsid w:val="00E66488"/>
    <w:rsid w:val="00E665FF"/>
    <w:rsid w:val="00E66A18"/>
    <w:rsid w:val="00E67634"/>
    <w:rsid w:val="00E6798F"/>
    <w:rsid w:val="00E70255"/>
    <w:rsid w:val="00E703A8"/>
    <w:rsid w:val="00E70C46"/>
    <w:rsid w:val="00E71AB5"/>
    <w:rsid w:val="00E720A1"/>
    <w:rsid w:val="00E72238"/>
    <w:rsid w:val="00E7226C"/>
    <w:rsid w:val="00E72559"/>
    <w:rsid w:val="00E7278E"/>
    <w:rsid w:val="00E72C8B"/>
    <w:rsid w:val="00E73FC2"/>
    <w:rsid w:val="00E746D7"/>
    <w:rsid w:val="00E747BD"/>
    <w:rsid w:val="00E74A4D"/>
    <w:rsid w:val="00E74A63"/>
    <w:rsid w:val="00E7589B"/>
    <w:rsid w:val="00E7597B"/>
    <w:rsid w:val="00E75D31"/>
    <w:rsid w:val="00E771AA"/>
    <w:rsid w:val="00E80469"/>
    <w:rsid w:val="00E809F3"/>
    <w:rsid w:val="00E80ED7"/>
    <w:rsid w:val="00E81F96"/>
    <w:rsid w:val="00E82B00"/>
    <w:rsid w:val="00E82FCC"/>
    <w:rsid w:val="00E837AE"/>
    <w:rsid w:val="00E846EA"/>
    <w:rsid w:val="00E8471C"/>
    <w:rsid w:val="00E84799"/>
    <w:rsid w:val="00E84B05"/>
    <w:rsid w:val="00E84DEE"/>
    <w:rsid w:val="00E85962"/>
    <w:rsid w:val="00E86644"/>
    <w:rsid w:val="00E86668"/>
    <w:rsid w:val="00E87183"/>
    <w:rsid w:val="00E872A3"/>
    <w:rsid w:val="00E8732E"/>
    <w:rsid w:val="00E901BB"/>
    <w:rsid w:val="00E909DF"/>
    <w:rsid w:val="00E912BA"/>
    <w:rsid w:val="00E91715"/>
    <w:rsid w:val="00E91DED"/>
    <w:rsid w:val="00E934F1"/>
    <w:rsid w:val="00E93604"/>
    <w:rsid w:val="00E937ED"/>
    <w:rsid w:val="00E944E4"/>
    <w:rsid w:val="00E946B0"/>
    <w:rsid w:val="00E94B16"/>
    <w:rsid w:val="00E94BC0"/>
    <w:rsid w:val="00E95F8E"/>
    <w:rsid w:val="00E96154"/>
    <w:rsid w:val="00E962FF"/>
    <w:rsid w:val="00E96731"/>
    <w:rsid w:val="00E96845"/>
    <w:rsid w:val="00E96912"/>
    <w:rsid w:val="00E96F8E"/>
    <w:rsid w:val="00E96FD7"/>
    <w:rsid w:val="00E9714C"/>
    <w:rsid w:val="00E97339"/>
    <w:rsid w:val="00E9744D"/>
    <w:rsid w:val="00EA0835"/>
    <w:rsid w:val="00EA09EF"/>
    <w:rsid w:val="00EA2A8C"/>
    <w:rsid w:val="00EA2D60"/>
    <w:rsid w:val="00EA3C96"/>
    <w:rsid w:val="00EA4276"/>
    <w:rsid w:val="00EA4572"/>
    <w:rsid w:val="00EA46E0"/>
    <w:rsid w:val="00EA4AF2"/>
    <w:rsid w:val="00EA4E6F"/>
    <w:rsid w:val="00EA4EE7"/>
    <w:rsid w:val="00EA5565"/>
    <w:rsid w:val="00EA58AE"/>
    <w:rsid w:val="00EA6120"/>
    <w:rsid w:val="00EA61D2"/>
    <w:rsid w:val="00EA7511"/>
    <w:rsid w:val="00EB05B4"/>
    <w:rsid w:val="00EB0AE5"/>
    <w:rsid w:val="00EB0C98"/>
    <w:rsid w:val="00EB14F8"/>
    <w:rsid w:val="00EB18D8"/>
    <w:rsid w:val="00EB1A6A"/>
    <w:rsid w:val="00EB1D7D"/>
    <w:rsid w:val="00EB1F8F"/>
    <w:rsid w:val="00EB254B"/>
    <w:rsid w:val="00EB3943"/>
    <w:rsid w:val="00EB4036"/>
    <w:rsid w:val="00EB461D"/>
    <w:rsid w:val="00EB4886"/>
    <w:rsid w:val="00EB4BD4"/>
    <w:rsid w:val="00EB4F9A"/>
    <w:rsid w:val="00EB589D"/>
    <w:rsid w:val="00EB5B53"/>
    <w:rsid w:val="00EB5E85"/>
    <w:rsid w:val="00EB5F1B"/>
    <w:rsid w:val="00EB6036"/>
    <w:rsid w:val="00EB6722"/>
    <w:rsid w:val="00EC04AC"/>
    <w:rsid w:val="00EC0B99"/>
    <w:rsid w:val="00EC0FC6"/>
    <w:rsid w:val="00EC19E2"/>
    <w:rsid w:val="00EC277D"/>
    <w:rsid w:val="00EC2B15"/>
    <w:rsid w:val="00EC319E"/>
    <w:rsid w:val="00EC399E"/>
    <w:rsid w:val="00EC3A42"/>
    <w:rsid w:val="00EC4333"/>
    <w:rsid w:val="00EC4716"/>
    <w:rsid w:val="00EC58AF"/>
    <w:rsid w:val="00EC62A0"/>
    <w:rsid w:val="00EC63F4"/>
    <w:rsid w:val="00EC649D"/>
    <w:rsid w:val="00EC6596"/>
    <w:rsid w:val="00EC6966"/>
    <w:rsid w:val="00EC6C90"/>
    <w:rsid w:val="00EC6FC7"/>
    <w:rsid w:val="00EC74E1"/>
    <w:rsid w:val="00EC79E9"/>
    <w:rsid w:val="00ED01AF"/>
    <w:rsid w:val="00ED097A"/>
    <w:rsid w:val="00ED0B8A"/>
    <w:rsid w:val="00ED1C4D"/>
    <w:rsid w:val="00ED1FB7"/>
    <w:rsid w:val="00ED2796"/>
    <w:rsid w:val="00ED2AF3"/>
    <w:rsid w:val="00ED2B6E"/>
    <w:rsid w:val="00ED2C5B"/>
    <w:rsid w:val="00ED2E3E"/>
    <w:rsid w:val="00ED2F7A"/>
    <w:rsid w:val="00ED2FC5"/>
    <w:rsid w:val="00ED43AA"/>
    <w:rsid w:val="00ED4DB5"/>
    <w:rsid w:val="00ED5722"/>
    <w:rsid w:val="00ED57BB"/>
    <w:rsid w:val="00ED5CFB"/>
    <w:rsid w:val="00ED5FED"/>
    <w:rsid w:val="00ED60A3"/>
    <w:rsid w:val="00ED62F3"/>
    <w:rsid w:val="00ED76FE"/>
    <w:rsid w:val="00ED7742"/>
    <w:rsid w:val="00ED7A40"/>
    <w:rsid w:val="00EE005C"/>
    <w:rsid w:val="00EE0155"/>
    <w:rsid w:val="00EE0395"/>
    <w:rsid w:val="00EE050C"/>
    <w:rsid w:val="00EE1A2A"/>
    <w:rsid w:val="00EE1B88"/>
    <w:rsid w:val="00EE1CA4"/>
    <w:rsid w:val="00EE27E9"/>
    <w:rsid w:val="00EE34B3"/>
    <w:rsid w:val="00EE35CB"/>
    <w:rsid w:val="00EE3DDE"/>
    <w:rsid w:val="00EE4016"/>
    <w:rsid w:val="00EE4AD2"/>
    <w:rsid w:val="00EE5650"/>
    <w:rsid w:val="00EE5916"/>
    <w:rsid w:val="00EE5938"/>
    <w:rsid w:val="00EE6198"/>
    <w:rsid w:val="00EE6519"/>
    <w:rsid w:val="00EE67CD"/>
    <w:rsid w:val="00EE67D4"/>
    <w:rsid w:val="00EE70B1"/>
    <w:rsid w:val="00EF04ED"/>
    <w:rsid w:val="00EF0610"/>
    <w:rsid w:val="00EF0B99"/>
    <w:rsid w:val="00EF0ED8"/>
    <w:rsid w:val="00EF2C17"/>
    <w:rsid w:val="00EF2FE1"/>
    <w:rsid w:val="00EF3095"/>
    <w:rsid w:val="00EF3454"/>
    <w:rsid w:val="00EF38F3"/>
    <w:rsid w:val="00EF46B6"/>
    <w:rsid w:val="00EF51D1"/>
    <w:rsid w:val="00EF53BF"/>
    <w:rsid w:val="00EF5FD5"/>
    <w:rsid w:val="00EF7C3E"/>
    <w:rsid w:val="00EF7E36"/>
    <w:rsid w:val="00F0022D"/>
    <w:rsid w:val="00F00A47"/>
    <w:rsid w:val="00F01142"/>
    <w:rsid w:val="00F018A4"/>
    <w:rsid w:val="00F01B76"/>
    <w:rsid w:val="00F029E0"/>
    <w:rsid w:val="00F02DCF"/>
    <w:rsid w:val="00F0376A"/>
    <w:rsid w:val="00F03C7D"/>
    <w:rsid w:val="00F03EE2"/>
    <w:rsid w:val="00F03FDC"/>
    <w:rsid w:val="00F03FE1"/>
    <w:rsid w:val="00F0446B"/>
    <w:rsid w:val="00F04785"/>
    <w:rsid w:val="00F04A25"/>
    <w:rsid w:val="00F06F2F"/>
    <w:rsid w:val="00F07148"/>
    <w:rsid w:val="00F0790A"/>
    <w:rsid w:val="00F07D4D"/>
    <w:rsid w:val="00F1000F"/>
    <w:rsid w:val="00F10095"/>
    <w:rsid w:val="00F1066E"/>
    <w:rsid w:val="00F10EF3"/>
    <w:rsid w:val="00F12B2D"/>
    <w:rsid w:val="00F12D9A"/>
    <w:rsid w:val="00F12E85"/>
    <w:rsid w:val="00F12F10"/>
    <w:rsid w:val="00F13318"/>
    <w:rsid w:val="00F13F90"/>
    <w:rsid w:val="00F14223"/>
    <w:rsid w:val="00F142B1"/>
    <w:rsid w:val="00F1479C"/>
    <w:rsid w:val="00F148E8"/>
    <w:rsid w:val="00F1490E"/>
    <w:rsid w:val="00F15658"/>
    <w:rsid w:val="00F17C44"/>
    <w:rsid w:val="00F2022E"/>
    <w:rsid w:val="00F2035F"/>
    <w:rsid w:val="00F203DA"/>
    <w:rsid w:val="00F203DC"/>
    <w:rsid w:val="00F20549"/>
    <w:rsid w:val="00F209E2"/>
    <w:rsid w:val="00F21414"/>
    <w:rsid w:val="00F21727"/>
    <w:rsid w:val="00F218F8"/>
    <w:rsid w:val="00F22200"/>
    <w:rsid w:val="00F225A0"/>
    <w:rsid w:val="00F231EF"/>
    <w:rsid w:val="00F2325C"/>
    <w:rsid w:val="00F23316"/>
    <w:rsid w:val="00F23730"/>
    <w:rsid w:val="00F23BCA"/>
    <w:rsid w:val="00F24752"/>
    <w:rsid w:val="00F24A6F"/>
    <w:rsid w:val="00F24C2A"/>
    <w:rsid w:val="00F2581B"/>
    <w:rsid w:val="00F25AB1"/>
    <w:rsid w:val="00F26673"/>
    <w:rsid w:val="00F26E70"/>
    <w:rsid w:val="00F309AF"/>
    <w:rsid w:val="00F30F61"/>
    <w:rsid w:val="00F30F82"/>
    <w:rsid w:val="00F311A7"/>
    <w:rsid w:val="00F3148C"/>
    <w:rsid w:val="00F32515"/>
    <w:rsid w:val="00F32548"/>
    <w:rsid w:val="00F32DA0"/>
    <w:rsid w:val="00F339E1"/>
    <w:rsid w:val="00F33C82"/>
    <w:rsid w:val="00F34380"/>
    <w:rsid w:val="00F3452B"/>
    <w:rsid w:val="00F348E1"/>
    <w:rsid w:val="00F34A8D"/>
    <w:rsid w:val="00F35B55"/>
    <w:rsid w:val="00F35B99"/>
    <w:rsid w:val="00F36850"/>
    <w:rsid w:val="00F36A7E"/>
    <w:rsid w:val="00F36BAE"/>
    <w:rsid w:val="00F3790D"/>
    <w:rsid w:val="00F408A1"/>
    <w:rsid w:val="00F40F5C"/>
    <w:rsid w:val="00F417D6"/>
    <w:rsid w:val="00F41B77"/>
    <w:rsid w:val="00F425FD"/>
    <w:rsid w:val="00F4292B"/>
    <w:rsid w:val="00F42C96"/>
    <w:rsid w:val="00F42D52"/>
    <w:rsid w:val="00F42F6D"/>
    <w:rsid w:val="00F438D7"/>
    <w:rsid w:val="00F43A1C"/>
    <w:rsid w:val="00F445AC"/>
    <w:rsid w:val="00F44C54"/>
    <w:rsid w:val="00F45353"/>
    <w:rsid w:val="00F4544E"/>
    <w:rsid w:val="00F4584C"/>
    <w:rsid w:val="00F46BD7"/>
    <w:rsid w:val="00F46DD5"/>
    <w:rsid w:val="00F46E12"/>
    <w:rsid w:val="00F476D0"/>
    <w:rsid w:val="00F47707"/>
    <w:rsid w:val="00F47B9E"/>
    <w:rsid w:val="00F47CD2"/>
    <w:rsid w:val="00F47F68"/>
    <w:rsid w:val="00F50B26"/>
    <w:rsid w:val="00F510BC"/>
    <w:rsid w:val="00F52086"/>
    <w:rsid w:val="00F520F5"/>
    <w:rsid w:val="00F5255C"/>
    <w:rsid w:val="00F52620"/>
    <w:rsid w:val="00F53733"/>
    <w:rsid w:val="00F539F4"/>
    <w:rsid w:val="00F541AB"/>
    <w:rsid w:val="00F546C3"/>
    <w:rsid w:val="00F54A41"/>
    <w:rsid w:val="00F54A76"/>
    <w:rsid w:val="00F54C3F"/>
    <w:rsid w:val="00F5518E"/>
    <w:rsid w:val="00F557A4"/>
    <w:rsid w:val="00F560CA"/>
    <w:rsid w:val="00F56978"/>
    <w:rsid w:val="00F574E6"/>
    <w:rsid w:val="00F57940"/>
    <w:rsid w:val="00F6012E"/>
    <w:rsid w:val="00F60941"/>
    <w:rsid w:val="00F61168"/>
    <w:rsid w:val="00F61482"/>
    <w:rsid w:val="00F61EFE"/>
    <w:rsid w:val="00F62697"/>
    <w:rsid w:val="00F6316F"/>
    <w:rsid w:val="00F63AEE"/>
    <w:rsid w:val="00F64E61"/>
    <w:rsid w:val="00F656B8"/>
    <w:rsid w:val="00F659EB"/>
    <w:rsid w:val="00F65FC9"/>
    <w:rsid w:val="00F664FB"/>
    <w:rsid w:val="00F665AF"/>
    <w:rsid w:val="00F67051"/>
    <w:rsid w:val="00F67249"/>
    <w:rsid w:val="00F674DC"/>
    <w:rsid w:val="00F67537"/>
    <w:rsid w:val="00F70645"/>
    <w:rsid w:val="00F720EA"/>
    <w:rsid w:val="00F722D1"/>
    <w:rsid w:val="00F72A15"/>
    <w:rsid w:val="00F730AB"/>
    <w:rsid w:val="00F73335"/>
    <w:rsid w:val="00F736D6"/>
    <w:rsid w:val="00F73DCE"/>
    <w:rsid w:val="00F73FF3"/>
    <w:rsid w:val="00F74774"/>
    <w:rsid w:val="00F74972"/>
    <w:rsid w:val="00F7559D"/>
    <w:rsid w:val="00F760B7"/>
    <w:rsid w:val="00F766EC"/>
    <w:rsid w:val="00F778D4"/>
    <w:rsid w:val="00F77FF5"/>
    <w:rsid w:val="00F80D80"/>
    <w:rsid w:val="00F811DA"/>
    <w:rsid w:val="00F8124A"/>
    <w:rsid w:val="00F81AE7"/>
    <w:rsid w:val="00F81B4B"/>
    <w:rsid w:val="00F81C34"/>
    <w:rsid w:val="00F81E90"/>
    <w:rsid w:val="00F82BE9"/>
    <w:rsid w:val="00F82E4D"/>
    <w:rsid w:val="00F83239"/>
    <w:rsid w:val="00F83FFD"/>
    <w:rsid w:val="00F848D4"/>
    <w:rsid w:val="00F852DC"/>
    <w:rsid w:val="00F85331"/>
    <w:rsid w:val="00F855D3"/>
    <w:rsid w:val="00F85AD0"/>
    <w:rsid w:val="00F8653F"/>
    <w:rsid w:val="00F8679A"/>
    <w:rsid w:val="00F877BB"/>
    <w:rsid w:val="00F87CC5"/>
    <w:rsid w:val="00F87EB8"/>
    <w:rsid w:val="00F9064E"/>
    <w:rsid w:val="00F907B3"/>
    <w:rsid w:val="00F90D95"/>
    <w:rsid w:val="00F91092"/>
    <w:rsid w:val="00F91B0B"/>
    <w:rsid w:val="00F91EAF"/>
    <w:rsid w:val="00F92139"/>
    <w:rsid w:val="00F92208"/>
    <w:rsid w:val="00F923FF"/>
    <w:rsid w:val="00F926A5"/>
    <w:rsid w:val="00F9272E"/>
    <w:rsid w:val="00F93331"/>
    <w:rsid w:val="00F93D48"/>
    <w:rsid w:val="00F94365"/>
    <w:rsid w:val="00F9483D"/>
    <w:rsid w:val="00F9643C"/>
    <w:rsid w:val="00F96C08"/>
    <w:rsid w:val="00F97315"/>
    <w:rsid w:val="00F973EF"/>
    <w:rsid w:val="00F97906"/>
    <w:rsid w:val="00F97AB2"/>
    <w:rsid w:val="00F97EF0"/>
    <w:rsid w:val="00FA00F3"/>
    <w:rsid w:val="00FA0D7A"/>
    <w:rsid w:val="00FA120D"/>
    <w:rsid w:val="00FA1222"/>
    <w:rsid w:val="00FA1428"/>
    <w:rsid w:val="00FA1689"/>
    <w:rsid w:val="00FA1C20"/>
    <w:rsid w:val="00FA2D50"/>
    <w:rsid w:val="00FA2F2C"/>
    <w:rsid w:val="00FA323C"/>
    <w:rsid w:val="00FA38CD"/>
    <w:rsid w:val="00FA3BB6"/>
    <w:rsid w:val="00FA410A"/>
    <w:rsid w:val="00FA41E9"/>
    <w:rsid w:val="00FA58C7"/>
    <w:rsid w:val="00FA59A5"/>
    <w:rsid w:val="00FA5B45"/>
    <w:rsid w:val="00FA6D38"/>
    <w:rsid w:val="00FA6FF8"/>
    <w:rsid w:val="00FA78DA"/>
    <w:rsid w:val="00FA7BBE"/>
    <w:rsid w:val="00FA7BEB"/>
    <w:rsid w:val="00FB001A"/>
    <w:rsid w:val="00FB0BC1"/>
    <w:rsid w:val="00FB0F4E"/>
    <w:rsid w:val="00FB136C"/>
    <w:rsid w:val="00FB1575"/>
    <w:rsid w:val="00FB16E4"/>
    <w:rsid w:val="00FB1D8A"/>
    <w:rsid w:val="00FB245A"/>
    <w:rsid w:val="00FB2985"/>
    <w:rsid w:val="00FB2EA7"/>
    <w:rsid w:val="00FB2F98"/>
    <w:rsid w:val="00FB378C"/>
    <w:rsid w:val="00FB3EE7"/>
    <w:rsid w:val="00FB3FC7"/>
    <w:rsid w:val="00FB45C1"/>
    <w:rsid w:val="00FB50A5"/>
    <w:rsid w:val="00FB5865"/>
    <w:rsid w:val="00FB5874"/>
    <w:rsid w:val="00FB5BC5"/>
    <w:rsid w:val="00FB5DAD"/>
    <w:rsid w:val="00FB5E87"/>
    <w:rsid w:val="00FB6B24"/>
    <w:rsid w:val="00FB6E44"/>
    <w:rsid w:val="00FB78CD"/>
    <w:rsid w:val="00FB7C4E"/>
    <w:rsid w:val="00FC0296"/>
    <w:rsid w:val="00FC02DA"/>
    <w:rsid w:val="00FC038E"/>
    <w:rsid w:val="00FC0391"/>
    <w:rsid w:val="00FC0E46"/>
    <w:rsid w:val="00FC11BD"/>
    <w:rsid w:val="00FC15EE"/>
    <w:rsid w:val="00FC2045"/>
    <w:rsid w:val="00FC21AC"/>
    <w:rsid w:val="00FC2651"/>
    <w:rsid w:val="00FC295A"/>
    <w:rsid w:val="00FC2BD9"/>
    <w:rsid w:val="00FC340C"/>
    <w:rsid w:val="00FC37A4"/>
    <w:rsid w:val="00FC3D0D"/>
    <w:rsid w:val="00FC3DC3"/>
    <w:rsid w:val="00FC3E37"/>
    <w:rsid w:val="00FC3E4B"/>
    <w:rsid w:val="00FC47FE"/>
    <w:rsid w:val="00FC4A10"/>
    <w:rsid w:val="00FC5F99"/>
    <w:rsid w:val="00FC6BD8"/>
    <w:rsid w:val="00FD0364"/>
    <w:rsid w:val="00FD068B"/>
    <w:rsid w:val="00FD0886"/>
    <w:rsid w:val="00FD0E3E"/>
    <w:rsid w:val="00FD124F"/>
    <w:rsid w:val="00FD16F7"/>
    <w:rsid w:val="00FD178E"/>
    <w:rsid w:val="00FD1E4B"/>
    <w:rsid w:val="00FD2185"/>
    <w:rsid w:val="00FD230F"/>
    <w:rsid w:val="00FD288A"/>
    <w:rsid w:val="00FD2EDC"/>
    <w:rsid w:val="00FD3D05"/>
    <w:rsid w:val="00FD4283"/>
    <w:rsid w:val="00FD4506"/>
    <w:rsid w:val="00FD4947"/>
    <w:rsid w:val="00FD505E"/>
    <w:rsid w:val="00FD55D1"/>
    <w:rsid w:val="00FD6821"/>
    <w:rsid w:val="00FD6CA9"/>
    <w:rsid w:val="00FD6E6C"/>
    <w:rsid w:val="00FD6F01"/>
    <w:rsid w:val="00FD703F"/>
    <w:rsid w:val="00FD785E"/>
    <w:rsid w:val="00FD7BDC"/>
    <w:rsid w:val="00FD7D7D"/>
    <w:rsid w:val="00FE0990"/>
    <w:rsid w:val="00FE0D9D"/>
    <w:rsid w:val="00FE0E98"/>
    <w:rsid w:val="00FE101E"/>
    <w:rsid w:val="00FE1172"/>
    <w:rsid w:val="00FE163B"/>
    <w:rsid w:val="00FE24AB"/>
    <w:rsid w:val="00FE2590"/>
    <w:rsid w:val="00FE3378"/>
    <w:rsid w:val="00FE34F3"/>
    <w:rsid w:val="00FE6044"/>
    <w:rsid w:val="00FE666C"/>
    <w:rsid w:val="00FE6C56"/>
    <w:rsid w:val="00FE7FC3"/>
    <w:rsid w:val="00FF034F"/>
    <w:rsid w:val="00FF089B"/>
    <w:rsid w:val="00FF19C7"/>
    <w:rsid w:val="00FF200A"/>
    <w:rsid w:val="00FF2601"/>
    <w:rsid w:val="00FF2934"/>
    <w:rsid w:val="00FF29D9"/>
    <w:rsid w:val="00FF2B0C"/>
    <w:rsid w:val="00FF3150"/>
    <w:rsid w:val="00FF3649"/>
    <w:rsid w:val="00FF3F77"/>
    <w:rsid w:val="00FF44D8"/>
    <w:rsid w:val="00FF4954"/>
    <w:rsid w:val="00FF4C65"/>
    <w:rsid w:val="00FF55F1"/>
    <w:rsid w:val="00FF6B29"/>
    <w:rsid w:val="00FF706F"/>
    <w:rsid w:val="00FF71EA"/>
    <w:rsid w:val="00FF73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E0BD9"/>
  <w15:docId w15:val="{F02C0230-96AA-7242-B9EE-C61EDAA2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152"/>
    <w:rPr>
      <w:rFonts w:eastAsiaTheme="minorEastAsia"/>
    </w:rPr>
  </w:style>
  <w:style w:type="paragraph" w:styleId="Heading1">
    <w:name w:val="heading 1"/>
    <w:basedOn w:val="ListParagraph"/>
    <w:next w:val="Normal"/>
    <w:link w:val="Heading1Char"/>
    <w:uiPriority w:val="9"/>
    <w:qFormat/>
    <w:rsid w:val="00413570"/>
    <w:pPr>
      <w:keepNext/>
      <w:numPr>
        <w:numId w:val="0"/>
      </w:numPr>
      <w:outlineLvl w:val="0"/>
    </w:pPr>
    <w:rPr>
      <w:b/>
    </w:rPr>
  </w:style>
  <w:style w:type="paragraph" w:styleId="Heading2">
    <w:name w:val="heading 2"/>
    <w:basedOn w:val="ListParagraph"/>
    <w:link w:val="Heading2Char"/>
    <w:uiPriority w:val="9"/>
    <w:qFormat/>
    <w:rsid w:val="0052064F"/>
    <w:pPr>
      <w:numPr>
        <w:numId w:val="28"/>
      </w:numPr>
      <w:outlineLvl w:val="1"/>
    </w:pPr>
    <w:rPr>
      <w:b/>
    </w:rPr>
  </w:style>
  <w:style w:type="paragraph" w:styleId="Heading3">
    <w:name w:val="heading 3"/>
    <w:basedOn w:val="Normal"/>
    <w:next w:val="Normal"/>
    <w:link w:val="Heading3Char"/>
    <w:uiPriority w:val="9"/>
    <w:unhideWhenUsed/>
    <w:qFormat/>
    <w:rsid w:val="006D62DB"/>
    <w:pPr>
      <w:keepNext/>
      <w:tabs>
        <w:tab w:val="left" w:pos="4917"/>
      </w:tabs>
      <w:spacing w:before="120" w:after="120" w:line="360" w:lineRule="auto"/>
      <w:jc w:val="both"/>
      <w:outlineLvl w:val="2"/>
    </w:pPr>
    <w:rPr>
      <w:rFonts w:ascii="Arial" w:hAnsi="Arial" w:cs="Arial"/>
      <w:b/>
      <w:i/>
      <w:sz w:val="24"/>
      <w:szCs w:val="24"/>
    </w:rPr>
  </w:style>
  <w:style w:type="paragraph" w:styleId="Heading4">
    <w:name w:val="heading 4"/>
    <w:basedOn w:val="Normal"/>
    <w:next w:val="Normal"/>
    <w:link w:val="Heading4Char"/>
    <w:uiPriority w:val="9"/>
    <w:unhideWhenUsed/>
    <w:qFormat/>
    <w:rsid w:val="00C2676B"/>
    <w:pPr>
      <w:keepNext/>
      <w:keepLines/>
      <w:numPr>
        <w:numId w:val="16"/>
      </w:numPr>
      <w:spacing w:before="40" w:after="0"/>
      <w:outlineLvl w:val="3"/>
    </w:pPr>
    <w:rPr>
      <w:rFonts w:ascii="Arial" w:eastAsiaTheme="majorEastAsia"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357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Judgment normal paragraph"/>
    <w:basedOn w:val="Normal"/>
    <w:uiPriority w:val="34"/>
    <w:qFormat/>
    <w:rsid w:val="00413570"/>
    <w:pPr>
      <w:numPr>
        <w:numId w:val="32"/>
      </w:numPr>
      <w:spacing w:before="120" w:after="120" w:line="360" w:lineRule="auto"/>
      <w:ind w:left="567" w:hanging="567"/>
      <w:jc w:val="both"/>
    </w:pPr>
    <w:rPr>
      <w:rFonts w:ascii="Arial" w:hAnsi="Arial" w:cs="Arial"/>
      <w:sz w:val="24"/>
      <w:szCs w:val="24"/>
    </w:rPr>
  </w:style>
  <w:style w:type="paragraph" w:styleId="NoSpacing">
    <w:name w:val="No Spacing"/>
    <w:uiPriority w:val="1"/>
    <w:qFormat/>
    <w:rsid w:val="00413570"/>
    <w:pPr>
      <w:spacing w:after="0" w:line="240" w:lineRule="auto"/>
    </w:pPr>
  </w:style>
  <w:style w:type="paragraph" w:styleId="Header">
    <w:name w:val="header"/>
    <w:basedOn w:val="Normal"/>
    <w:link w:val="HeaderChar"/>
    <w:uiPriority w:val="99"/>
    <w:unhideWhenUsed/>
    <w:rsid w:val="004135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570"/>
  </w:style>
  <w:style w:type="paragraph" w:styleId="Footer">
    <w:name w:val="footer"/>
    <w:basedOn w:val="Normal"/>
    <w:link w:val="FooterChar"/>
    <w:uiPriority w:val="99"/>
    <w:unhideWhenUsed/>
    <w:rsid w:val="00413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570"/>
  </w:style>
  <w:style w:type="paragraph" w:styleId="FootnoteText">
    <w:name w:val="footnote text"/>
    <w:aliases w:val="Footnote Text Char Char,Footnote Text Char Char Char,Char Char Char,Char Char,Footnote Text Char1,Footnote Text Char1 Char Char,Footnote Text Char Char Char Char Char,Footnote Text Char Char1 Char Char,Footnote Text Char Char1, Char Char"/>
    <w:basedOn w:val="Normal"/>
    <w:link w:val="FootnoteTextChar"/>
    <w:uiPriority w:val="99"/>
    <w:unhideWhenUsed/>
    <w:qFormat/>
    <w:rsid w:val="007F40CE"/>
    <w:pPr>
      <w:spacing w:before="120" w:after="0" w:line="240" w:lineRule="auto"/>
      <w:jc w:val="both"/>
    </w:pPr>
    <w:rPr>
      <w:rFonts w:ascii="Arial" w:hAnsi="Arial" w:cs="Arial"/>
      <w:sz w:val="20"/>
      <w:lang w:val="en-GB"/>
    </w:rPr>
  </w:style>
  <w:style w:type="character" w:customStyle="1" w:styleId="FootnoteTextChar">
    <w:name w:val="Footnote Text Char"/>
    <w:aliases w:val="Footnote Text Char Char Char1,Footnote Text Char Char Char Char,Char Char Char Char,Char Char Char1,Footnote Text Char1 Char,Footnote Text Char1 Char Char Char,Footnote Text Char Char Char Char Char Char,Footnote Text Char Char1 Char"/>
    <w:basedOn w:val="DefaultParagraphFont"/>
    <w:link w:val="FootnoteText"/>
    <w:uiPriority w:val="99"/>
    <w:rsid w:val="007F40CE"/>
    <w:rPr>
      <w:rFonts w:ascii="Arial" w:hAnsi="Arial" w:cs="Arial"/>
      <w:sz w:val="20"/>
      <w:lang w:val="en-GB"/>
    </w:rPr>
  </w:style>
  <w:style w:type="character" w:styleId="FootnoteReference">
    <w:name w:val="footnote reference"/>
    <w:aliases w:val="Footnotes refss,Footnote Reference + Superscript"/>
    <w:basedOn w:val="DefaultParagraphFont"/>
    <w:uiPriority w:val="99"/>
    <w:unhideWhenUsed/>
    <w:rsid w:val="00413570"/>
    <w:rPr>
      <w:vertAlign w:val="superscript"/>
    </w:rPr>
  </w:style>
  <w:style w:type="paragraph" w:styleId="BalloonText">
    <w:name w:val="Balloon Text"/>
    <w:basedOn w:val="Normal"/>
    <w:link w:val="BalloonTextChar"/>
    <w:uiPriority w:val="99"/>
    <w:semiHidden/>
    <w:unhideWhenUsed/>
    <w:rsid w:val="00413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570"/>
    <w:rPr>
      <w:rFonts w:ascii="Tahoma" w:hAnsi="Tahoma" w:cs="Tahoma"/>
      <w:sz w:val="16"/>
      <w:szCs w:val="16"/>
    </w:rPr>
  </w:style>
  <w:style w:type="character" w:styleId="Hyperlink">
    <w:name w:val="Hyperlink"/>
    <w:uiPriority w:val="99"/>
    <w:unhideWhenUsed/>
    <w:rsid w:val="00413570"/>
    <w:rPr>
      <w:color w:val="0000FF"/>
      <w:u w:val="single"/>
    </w:rPr>
  </w:style>
  <w:style w:type="paragraph" w:styleId="NormalWeb">
    <w:name w:val="Normal (Web)"/>
    <w:basedOn w:val="Normal"/>
    <w:uiPriority w:val="99"/>
    <w:unhideWhenUsed/>
    <w:rsid w:val="0041357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52064F"/>
    <w:rPr>
      <w:rFonts w:ascii="Arial" w:hAnsi="Arial" w:cs="Arial"/>
      <w:b/>
      <w:sz w:val="24"/>
      <w:szCs w:val="24"/>
    </w:rPr>
  </w:style>
  <w:style w:type="paragraph" w:customStyle="1" w:styleId="lg-para3">
    <w:name w:val="lg-para3"/>
    <w:basedOn w:val="Normal"/>
    <w:rsid w:val="0041357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413570"/>
    <w:rPr>
      <w:sz w:val="16"/>
      <w:szCs w:val="16"/>
    </w:rPr>
  </w:style>
  <w:style w:type="paragraph" w:styleId="CommentText">
    <w:name w:val="annotation text"/>
    <w:basedOn w:val="Normal"/>
    <w:link w:val="CommentTextChar"/>
    <w:uiPriority w:val="99"/>
    <w:unhideWhenUsed/>
    <w:rsid w:val="00413570"/>
    <w:pPr>
      <w:spacing w:line="240" w:lineRule="auto"/>
    </w:pPr>
    <w:rPr>
      <w:sz w:val="20"/>
      <w:szCs w:val="20"/>
    </w:rPr>
  </w:style>
  <w:style w:type="character" w:customStyle="1" w:styleId="CommentTextChar">
    <w:name w:val="Comment Text Char"/>
    <w:basedOn w:val="DefaultParagraphFont"/>
    <w:link w:val="CommentText"/>
    <w:uiPriority w:val="99"/>
    <w:rsid w:val="00413570"/>
    <w:rPr>
      <w:sz w:val="20"/>
      <w:szCs w:val="20"/>
    </w:rPr>
  </w:style>
  <w:style w:type="paragraph" w:styleId="CommentSubject">
    <w:name w:val="annotation subject"/>
    <w:basedOn w:val="CommentText"/>
    <w:next w:val="CommentText"/>
    <w:link w:val="CommentSubjectChar"/>
    <w:uiPriority w:val="99"/>
    <w:semiHidden/>
    <w:unhideWhenUsed/>
    <w:rsid w:val="00413570"/>
    <w:rPr>
      <w:b/>
      <w:bCs/>
    </w:rPr>
  </w:style>
  <w:style w:type="character" w:customStyle="1" w:styleId="CommentSubjectChar">
    <w:name w:val="Comment Subject Char"/>
    <w:basedOn w:val="CommentTextChar"/>
    <w:link w:val="CommentSubject"/>
    <w:uiPriority w:val="99"/>
    <w:semiHidden/>
    <w:rsid w:val="00413570"/>
    <w:rPr>
      <w:b/>
      <w:bCs/>
      <w:sz w:val="20"/>
      <w:szCs w:val="20"/>
    </w:rPr>
  </w:style>
  <w:style w:type="numbering" w:customStyle="1" w:styleId="CurrentList1">
    <w:name w:val="Current List1"/>
    <w:uiPriority w:val="99"/>
    <w:rsid w:val="00E17862"/>
    <w:pPr>
      <w:numPr>
        <w:numId w:val="2"/>
      </w:numPr>
    </w:pPr>
  </w:style>
  <w:style w:type="numbering" w:customStyle="1" w:styleId="CurrentList2">
    <w:name w:val="Current List2"/>
    <w:uiPriority w:val="99"/>
    <w:rsid w:val="00E17862"/>
    <w:pPr>
      <w:numPr>
        <w:numId w:val="3"/>
      </w:numPr>
    </w:pPr>
  </w:style>
  <w:style w:type="numbering" w:customStyle="1" w:styleId="CurrentList3">
    <w:name w:val="Current List3"/>
    <w:uiPriority w:val="99"/>
    <w:rsid w:val="00E17862"/>
    <w:pPr>
      <w:numPr>
        <w:numId w:val="4"/>
      </w:numPr>
    </w:pPr>
  </w:style>
  <w:style w:type="numbering" w:customStyle="1" w:styleId="CurrentList4">
    <w:name w:val="Current List4"/>
    <w:uiPriority w:val="99"/>
    <w:rsid w:val="00E17862"/>
    <w:pPr>
      <w:numPr>
        <w:numId w:val="5"/>
      </w:numPr>
    </w:pPr>
  </w:style>
  <w:style w:type="character" w:customStyle="1" w:styleId="Heading1Char">
    <w:name w:val="Heading 1 Char"/>
    <w:basedOn w:val="DefaultParagraphFont"/>
    <w:link w:val="Heading1"/>
    <w:uiPriority w:val="9"/>
    <w:rsid w:val="00413570"/>
    <w:rPr>
      <w:rFonts w:ascii="Arial" w:hAnsi="Arial" w:cs="Arial"/>
      <w:b/>
      <w:sz w:val="24"/>
      <w:szCs w:val="24"/>
    </w:rPr>
  </w:style>
  <w:style w:type="paragraph" w:customStyle="1" w:styleId="Judgmentparagraph">
    <w:name w:val="Judgment paragraph"/>
    <w:basedOn w:val="ListParagraph"/>
    <w:qFormat/>
    <w:rsid w:val="0040578D"/>
    <w:pPr>
      <w:numPr>
        <w:numId w:val="23"/>
      </w:numPr>
    </w:pPr>
  </w:style>
  <w:style w:type="paragraph" w:styleId="Quote">
    <w:name w:val="Quote"/>
    <w:basedOn w:val="Normal"/>
    <w:next w:val="Normal"/>
    <w:link w:val="QuoteChar"/>
    <w:uiPriority w:val="29"/>
    <w:qFormat/>
    <w:rsid w:val="00413570"/>
    <w:pPr>
      <w:spacing w:before="120" w:after="120" w:line="360" w:lineRule="auto"/>
      <w:ind w:left="1008" w:right="1008"/>
      <w:jc w:val="both"/>
    </w:pPr>
    <w:rPr>
      <w:rFonts w:ascii="Arial" w:eastAsia="Times New Roman" w:hAnsi="Arial" w:cs="Arial"/>
      <w:color w:val="000000"/>
      <w:sz w:val="24"/>
      <w:szCs w:val="24"/>
    </w:rPr>
  </w:style>
  <w:style w:type="character" w:customStyle="1" w:styleId="QuoteChar">
    <w:name w:val="Quote Char"/>
    <w:basedOn w:val="DefaultParagraphFont"/>
    <w:link w:val="Quote"/>
    <w:uiPriority w:val="29"/>
    <w:rsid w:val="00413570"/>
    <w:rPr>
      <w:rFonts w:ascii="Arial" w:eastAsia="Times New Roman" w:hAnsi="Arial" w:cs="Arial"/>
      <w:color w:val="000000"/>
      <w:sz w:val="24"/>
      <w:szCs w:val="24"/>
    </w:rPr>
  </w:style>
  <w:style w:type="numbering" w:customStyle="1" w:styleId="CurrentList5">
    <w:name w:val="Current List5"/>
    <w:uiPriority w:val="99"/>
    <w:rsid w:val="00E17862"/>
    <w:pPr>
      <w:numPr>
        <w:numId w:val="6"/>
      </w:numPr>
    </w:pPr>
  </w:style>
  <w:style w:type="numbering" w:customStyle="1" w:styleId="CurrentList6">
    <w:name w:val="Current List6"/>
    <w:uiPriority w:val="99"/>
    <w:rsid w:val="00E17862"/>
    <w:pPr>
      <w:numPr>
        <w:numId w:val="7"/>
      </w:numPr>
    </w:pPr>
  </w:style>
  <w:style w:type="numbering" w:customStyle="1" w:styleId="CurrentList7">
    <w:name w:val="Current List7"/>
    <w:uiPriority w:val="99"/>
    <w:rsid w:val="00E17862"/>
    <w:pPr>
      <w:numPr>
        <w:numId w:val="8"/>
      </w:numPr>
    </w:pPr>
  </w:style>
  <w:style w:type="numbering" w:customStyle="1" w:styleId="CurrentList8">
    <w:name w:val="Current List8"/>
    <w:uiPriority w:val="99"/>
    <w:rsid w:val="00E17862"/>
    <w:pPr>
      <w:numPr>
        <w:numId w:val="9"/>
      </w:numPr>
    </w:pPr>
  </w:style>
  <w:style w:type="numbering" w:customStyle="1" w:styleId="CurrentList9">
    <w:name w:val="Current List9"/>
    <w:uiPriority w:val="99"/>
    <w:rsid w:val="00E17862"/>
    <w:pPr>
      <w:numPr>
        <w:numId w:val="10"/>
      </w:numPr>
    </w:pPr>
  </w:style>
  <w:style w:type="numbering" w:customStyle="1" w:styleId="CurrentList10">
    <w:name w:val="Current List10"/>
    <w:uiPriority w:val="99"/>
    <w:rsid w:val="00E17862"/>
    <w:pPr>
      <w:numPr>
        <w:numId w:val="11"/>
      </w:numPr>
    </w:pPr>
  </w:style>
  <w:style w:type="numbering" w:customStyle="1" w:styleId="CurrentList11">
    <w:name w:val="Current List11"/>
    <w:uiPriority w:val="99"/>
    <w:rsid w:val="0007071D"/>
    <w:pPr>
      <w:numPr>
        <w:numId w:val="12"/>
      </w:numPr>
    </w:pPr>
  </w:style>
  <w:style w:type="numbering" w:customStyle="1" w:styleId="CurrentList12">
    <w:name w:val="Current List12"/>
    <w:uiPriority w:val="99"/>
    <w:rsid w:val="0007071D"/>
    <w:pPr>
      <w:numPr>
        <w:numId w:val="13"/>
      </w:numPr>
    </w:pPr>
  </w:style>
  <w:style w:type="numbering" w:customStyle="1" w:styleId="CurrentList13">
    <w:name w:val="Current List13"/>
    <w:uiPriority w:val="99"/>
    <w:rsid w:val="0007071D"/>
    <w:pPr>
      <w:numPr>
        <w:numId w:val="14"/>
      </w:numPr>
    </w:pPr>
  </w:style>
  <w:style w:type="numbering" w:customStyle="1" w:styleId="CurrentList14">
    <w:name w:val="Current List14"/>
    <w:uiPriority w:val="99"/>
    <w:rsid w:val="0007071D"/>
    <w:pPr>
      <w:numPr>
        <w:numId w:val="15"/>
      </w:numPr>
    </w:pPr>
  </w:style>
  <w:style w:type="character" w:customStyle="1" w:styleId="UnresolvedMention1">
    <w:name w:val="Unresolved Mention1"/>
    <w:basedOn w:val="DefaultParagraphFont"/>
    <w:uiPriority w:val="99"/>
    <w:semiHidden/>
    <w:unhideWhenUsed/>
    <w:rsid w:val="00FF2934"/>
    <w:rPr>
      <w:color w:val="605E5C"/>
      <w:shd w:val="clear" w:color="auto" w:fill="E1DFDD"/>
    </w:rPr>
  </w:style>
  <w:style w:type="paragraph" w:customStyle="1" w:styleId="Newparagraph">
    <w:name w:val="New paragraph"/>
    <w:basedOn w:val="Normal"/>
    <w:qFormat/>
    <w:rsid w:val="00D508DC"/>
    <w:pPr>
      <w:spacing w:after="0" w:line="480" w:lineRule="auto"/>
      <w:ind w:firstLine="720"/>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07071D"/>
  </w:style>
  <w:style w:type="character" w:styleId="Emphasis">
    <w:name w:val="Emphasis"/>
    <w:basedOn w:val="DefaultParagraphFont"/>
    <w:uiPriority w:val="20"/>
    <w:qFormat/>
    <w:rsid w:val="00027329"/>
    <w:rPr>
      <w:i/>
      <w:iCs/>
    </w:rPr>
  </w:style>
  <w:style w:type="character" w:customStyle="1" w:styleId="Heading3Char">
    <w:name w:val="Heading 3 Char"/>
    <w:basedOn w:val="DefaultParagraphFont"/>
    <w:link w:val="Heading3"/>
    <w:uiPriority w:val="9"/>
    <w:rsid w:val="006D62DB"/>
    <w:rPr>
      <w:rFonts w:ascii="Arial" w:hAnsi="Arial" w:cs="Arial"/>
      <w:b/>
      <w:i/>
      <w:sz w:val="24"/>
      <w:szCs w:val="24"/>
    </w:rPr>
  </w:style>
  <w:style w:type="character" w:customStyle="1" w:styleId="Heading4Char">
    <w:name w:val="Heading 4 Char"/>
    <w:basedOn w:val="DefaultParagraphFont"/>
    <w:link w:val="Heading4"/>
    <w:uiPriority w:val="9"/>
    <w:rsid w:val="00C2676B"/>
    <w:rPr>
      <w:rFonts w:ascii="Arial" w:eastAsiaTheme="majorEastAsia" w:hAnsi="Arial" w:cs="Arial"/>
      <w:b/>
      <w:sz w:val="24"/>
      <w:szCs w:val="24"/>
    </w:rPr>
  </w:style>
  <w:style w:type="paragraph" w:styleId="Revision">
    <w:name w:val="Revision"/>
    <w:hidden/>
    <w:uiPriority w:val="99"/>
    <w:semiHidden/>
    <w:rsid w:val="00E17862"/>
    <w:pPr>
      <w:spacing w:after="0" w:line="240" w:lineRule="auto"/>
    </w:pPr>
  </w:style>
  <w:style w:type="numbering" w:customStyle="1" w:styleId="CurrentList15">
    <w:name w:val="Current List15"/>
    <w:uiPriority w:val="99"/>
    <w:rsid w:val="000A370C"/>
    <w:pPr>
      <w:numPr>
        <w:numId w:val="17"/>
      </w:numPr>
    </w:pPr>
  </w:style>
  <w:style w:type="numbering" w:customStyle="1" w:styleId="CurrentList16">
    <w:name w:val="Current List16"/>
    <w:uiPriority w:val="99"/>
    <w:rsid w:val="000A370C"/>
    <w:pPr>
      <w:numPr>
        <w:numId w:val="18"/>
      </w:numPr>
    </w:pPr>
  </w:style>
  <w:style w:type="numbering" w:customStyle="1" w:styleId="CurrentList17">
    <w:name w:val="Current List17"/>
    <w:uiPriority w:val="99"/>
    <w:rsid w:val="000A370C"/>
    <w:pPr>
      <w:numPr>
        <w:numId w:val="19"/>
      </w:numPr>
    </w:pPr>
  </w:style>
  <w:style w:type="numbering" w:customStyle="1" w:styleId="CurrentList18">
    <w:name w:val="Current List18"/>
    <w:uiPriority w:val="99"/>
    <w:rsid w:val="000A370C"/>
    <w:pPr>
      <w:numPr>
        <w:numId w:val="20"/>
      </w:numPr>
    </w:pPr>
  </w:style>
  <w:style w:type="table" w:styleId="TableGrid">
    <w:name w:val="Table Grid"/>
    <w:basedOn w:val="TableNormal"/>
    <w:uiPriority w:val="39"/>
    <w:rsid w:val="004135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07071D"/>
    <w:pPr>
      <w:spacing w:before="100" w:beforeAutospacing="1" w:after="100" w:afterAutospacing="1"/>
    </w:pPr>
    <w:rPr>
      <w:rFonts w:ascii="Times New Roman" w:eastAsia="Times New Roman" w:hAnsi="Times New Roman" w:cs="Times New Roman"/>
      <w:lang w:eastAsia="en-GB"/>
    </w:rPr>
  </w:style>
  <w:style w:type="paragraph" w:customStyle="1" w:styleId="EndNoteBibliographyTitle">
    <w:name w:val="EndNote Bibliography Title"/>
    <w:basedOn w:val="Normal"/>
    <w:link w:val="EndNoteBibliographyTitleChar"/>
    <w:rsid w:val="0007071D"/>
    <w:pPr>
      <w:jc w:val="center"/>
    </w:pPr>
    <w:rPr>
      <w:rFonts w:ascii="Calibri" w:hAnsi="Calibri" w:cs="Calibri"/>
      <w:noProof/>
      <w:szCs w:val="20"/>
    </w:rPr>
  </w:style>
  <w:style w:type="character" w:customStyle="1" w:styleId="EndNoteBibliographyTitleChar">
    <w:name w:val="EndNote Bibliography Title Char"/>
    <w:basedOn w:val="FootnoteTextChar"/>
    <w:link w:val="EndNoteBibliographyTitle"/>
    <w:rsid w:val="0007071D"/>
    <w:rPr>
      <w:rFonts w:ascii="Calibri" w:hAnsi="Calibri" w:cs="Calibri"/>
      <w:noProof/>
      <w:sz w:val="20"/>
      <w:szCs w:val="20"/>
      <w:lang w:val="en-GB"/>
    </w:rPr>
  </w:style>
  <w:style w:type="paragraph" w:customStyle="1" w:styleId="EndNoteBibliography">
    <w:name w:val="EndNote Bibliography"/>
    <w:basedOn w:val="Normal"/>
    <w:link w:val="EndNoteBibliographyChar"/>
    <w:rsid w:val="0007071D"/>
    <w:pPr>
      <w:spacing w:line="240" w:lineRule="auto"/>
    </w:pPr>
    <w:rPr>
      <w:rFonts w:ascii="Calibri" w:hAnsi="Calibri" w:cs="Calibri"/>
      <w:noProof/>
      <w:szCs w:val="20"/>
    </w:rPr>
  </w:style>
  <w:style w:type="character" w:customStyle="1" w:styleId="EndNoteBibliographyChar">
    <w:name w:val="EndNote Bibliography Char"/>
    <w:basedOn w:val="FootnoteTextChar"/>
    <w:link w:val="EndNoteBibliography"/>
    <w:rsid w:val="0007071D"/>
    <w:rPr>
      <w:rFonts w:ascii="Calibri" w:hAnsi="Calibri" w:cs="Calibri"/>
      <w:noProof/>
      <w:sz w:val="20"/>
      <w:szCs w:val="20"/>
      <w:lang w:val="en-GB"/>
    </w:rPr>
  </w:style>
  <w:style w:type="numbering" w:customStyle="1" w:styleId="CurrentList19">
    <w:name w:val="Current List19"/>
    <w:uiPriority w:val="99"/>
    <w:rsid w:val="006B0FBA"/>
    <w:pPr>
      <w:numPr>
        <w:numId w:val="21"/>
      </w:numPr>
    </w:pPr>
  </w:style>
  <w:style w:type="numbering" w:customStyle="1" w:styleId="CurrentList20">
    <w:name w:val="Current List20"/>
    <w:uiPriority w:val="99"/>
    <w:rsid w:val="00E17862"/>
    <w:pPr>
      <w:numPr>
        <w:numId w:val="22"/>
      </w:numPr>
    </w:pPr>
  </w:style>
  <w:style w:type="numbering" w:customStyle="1" w:styleId="CurrentList21">
    <w:name w:val="Current List21"/>
    <w:uiPriority w:val="99"/>
    <w:rsid w:val="00E17862"/>
    <w:pPr>
      <w:numPr>
        <w:numId w:val="24"/>
      </w:numPr>
    </w:pPr>
  </w:style>
  <w:style w:type="numbering" w:customStyle="1" w:styleId="CurrentList22">
    <w:name w:val="Current List22"/>
    <w:uiPriority w:val="99"/>
    <w:rsid w:val="00E17862"/>
    <w:pPr>
      <w:numPr>
        <w:numId w:val="25"/>
      </w:numPr>
    </w:pPr>
  </w:style>
  <w:style w:type="numbering" w:customStyle="1" w:styleId="CurrentList23">
    <w:name w:val="Current List23"/>
    <w:uiPriority w:val="99"/>
    <w:rsid w:val="00E17862"/>
    <w:pPr>
      <w:numPr>
        <w:numId w:val="26"/>
      </w:numPr>
    </w:pPr>
  </w:style>
  <w:style w:type="numbering" w:customStyle="1" w:styleId="CurrentList24">
    <w:name w:val="Current List24"/>
    <w:uiPriority w:val="99"/>
    <w:rsid w:val="00E17862"/>
    <w:pPr>
      <w:numPr>
        <w:numId w:val="27"/>
      </w:numPr>
    </w:pPr>
  </w:style>
  <w:style w:type="paragraph" w:customStyle="1" w:styleId="lg-a-1">
    <w:name w:val="lg-a-1"/>
    <w:basedOn w:val="Normal"/>
    <w:rsid w:val="00413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text">
    <w:name w:val="normal-text"/>
    <w:basedOn w:val="Normal"/>
    <w:rsid w:val="00413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eveltwo">
    <w:name w:val="leveltwo"/>
    <w:basedOn w:val="Normal"/>
    <w:rsid w:val="0041357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c">
    <w:name w:val="mc"/>
    <w:basedOn w:val="DefaultParagraphFont"/>
    <w:rsid w:val="00413570"/>
  </w:style>
  <w:style w:type="character" w:styleId="PlaceholderText">
    <w:name w:val="Placeholder Text"/>
    <w:basedOn w:val="DefaultParagraphFont"/>
    <w:uiPriority w:val="99"/>
    <w:semiHidden/>
    <w:rsid w:val="00413570"/>
    <w:rPr>
      <w:color w:val="808080"/>
    </w:rPr>
  </w:style>
  <w:style w:type="character" w:customStyle="1" w:styleId="Parties">
    <w:name w:val="Parties"/>
    <w:basedOn w:val="DefaultParagraphFont"/>
    <w:uiPriority w:val="1"/>
    <w:rsid w:val="00413570"/>
    <w:rPr>
      <w:rFonts w:ascii="Arial" w:hAnsi="Arial"/>
      <w:caps/>
      <w:smallCaps w:val="0"/>
    </w:rPr>
  </w:style>
  <w:style w:type="numbering" w:customStyle="1" w:styleId="CurrentList25">
    <w:name w:val="Current List25"/>
    <w:uiPriority w:val="99"/>
    <w:rsid w:val="002018BC"/>
    <w:pPr>
      <w:numPr>
        <w:numId w:val="29"/>
      </w:numPr>
    </w:pPr>
  </w:style>
  <w:style w:type="numbering" w:customStyle="1" w:styleId="CurrentList26">
    <w:name w:val="Current List26"/>
    <w:uiPriority w:val="99"/>
    <w:rsid w:val="002018BC"/>
    <w:pPr>
      <w:numPr>
        <w:numId w:val="30"/>
      </w:numPr>
    </w:pPr>
  </w:style>
  <w:style w:type="numbering" w:customStyle="1" w:styleId="CurrentList27">
    <w:name w:val="Current List27"/>
    <w:uiPriority w:val="99"/>
    <w:rsid w:val="002018BC"/>
    <w:pPr>
      <w:numPr>
        <w:numId w:val="31"/>
      </w:numPr>
    </w:pPr>
  </w:style>
  <w:style w:type="character" w:styleId="FollowedHyperlink">
    <w:name w:val="FollowedHyperlink"/>
    <w:basedOn w:val="DefaultParagraphFont"/>
    <w:uiPriority w:val="99"/>
    <w:semiHidden/>
    <w:unhideWhenUsed/>
    <w:rsid w:val="00C912AC"/>
    <w:rPr>
      <w:color w:val="954F72" w:themeColor="followedHyperlink"/>
      <w:u w:val="single"/>
    </w:rPr>
  </w:style>
  <w:style w:type="paragraph" w:customStyle="1" w:styleId="Judgementnumbering">
    <w:name w:val="Judgement numbering"/>
    <w:basedOn w:val="Normal"/>
    <w:qFormat/>
    <w:rsid w:val="00F73FF3"/>
    <w:pPr>
      <w:numPr>
        <w:numId w:val="34"/>
      </w:numPr>
      <w:spacing w:before="120" w:after="120" w:line="360" w:lineRule="auto"/>
      <w:jc w:val="both"/>
    </w:pPr>
    <w:rPr>
      <w:rFonts w:ascii="Arial" w:eastAsia="Calibri" w:hAnsi="Arial" w:cs="Times New Roman"/>
      <w:sz w:val="24"/>
      <w:szCs w:val="20"/>
    </w:rPr>
  </w:style>
  <w:style w:type="paragraph" w:customStyle="1" w:styleId="listing-level2">
    <w:name w:val="listing - level 2"/>
    <w:basedOn w:val="Judgementnumbering"/>
    <w:qFormat/>
    <w:rsid w:val="00F73FF3"/>
    <w:pPr>
      <w:numPr>
        <w:ilvl w:val="1"/>
      </w:numPr>
    </w:pPr>
  </w:style>
  <w:style w:type="paragraph" w:customStyle="1" w:styleId="listing-level3">
    <w:name w:val="listing - level 3"/>
    <w:basedOn w:val="Judgementnumbering"/>
    <w:qFormat/>
    <w:rsid w:val="00F73FF3"/>
    <w:pPr>
      <w:numPr>
        <w:ilvl w:val="2"/>
      </w:numPr>
    </w:pPr>
  </w:style>
  <w:style w:type="paragraph" w:customStyle="1" w:styleId="ClaireNew">
    <w:name w:val="Claire New"/>
    <w:basedOn w:val="Heading1"/>
    <w:rsid w:val="001D486E"/>
    <w:pPr>
      <w:keepNext w:val="0"/>
      <w:numPr>
        <w:numId w:val="40"/>
      </w:numPr>
      <w:spacing w:before="360" w:after="0"/>
    </w:pPr>
    <w:rPr>
      <w:rFonts w:ascii="Tahoma" w:eastAsia="Times New Roman" w:hAnsi="Tahoma"/>
      <w:b w:val="0"/>
      <w:bCs/>
      <w:kern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549">
      <w:bodyDiv w:val="1"/>
      <w:marLeft w:val="0"/>
      <w:marRight w:val="0"/>
      <w:marTop w:val="0"/>
      <w:marBottom w:val="0"/>
      <w:divBdr>
        <w:top w:val="none" w:sz="0" w:space="0" w:color="auto"/>
        <w:left w:val="none" w:sz="0" w:space="0" w:color="auto"/>
        <w:bottom w:val="none" w:sz="0" w:space="0" w:color="auto"/>
        <w:right w:val="none" w:sz="0" w:space="0" w:color="auto"/>
      </w:divBdr>
    </w:div>
    <w:div w:id="6448314">
      <w:bodyDiv w:val="1"/>
      <w:marLeft w:val="0"/>
      <w:marRight w:val="0"/>
      <w:marTop w:val="0"/>
      <w:marBottom w:val="0"/>
      <w:divBdr>
        <w:top w:val="none" w:sz="0" w:space="0" w:color="auto"/>
        <w:left w:val="none" w:sz="0" w:space="0" w:color="auto"/>
        <w:bottom w:val="none" w:sz="0" w:space="0" w:color="auto"/>
        <w:right w:val="none" w:sz="0" w:space="0" w:color="auto"/>
      </w:divBdr>
    </w:div>
    <w:div w:id="64498527">
      <w:bodyDiv w:val="1"/>
      <w:marLeft w:val="0"/>
      <w:marRight w:val="0"/>
      <w:marTop w:val="0"/>
      <w:marBottom w:val="0"/>
      <w:divBdr>
        <w:top w:val="none" w:sz="0" w:space="0" w:color="auto"/>
        <w:left w:val="none" w:sz="0" w:space="0" w:color="auto"/>
        <w:bottom w:val="none" w:sz="0" w:space="0" w:color="auto"/>
        <w:right w:val="none" w:sz="0" w:space="0" w:color="auto"/>
      </w:divBdr>
    </w:div>
    <w:div w:id="156458991">
      <w:bodyDiv w:val="1"/>
      <w:marLeft w:val="0"/>
      <w:marRight w:val="0"/>
      <w:marTop w:val="0"/>
      <w:marBottom w:val="0"/>
      <w:divBdr>
        <w:top w:val="none" w:sz="0" w:space="0" w:color="auto"/>
        <w:left w:val="none" w:sz="0" w:space="0" w:color="auto"/>
        <w:bottom w:val="none" w:sz="0" w:space="0" w:color="auto"/>
        <w:right w:val="none" w:sz="0" w:space="0" w:color="auto"/>
      </w:divBdr>
      <w:divsChild>
        <w:div w:id="1710448363">
          <w:marLeft w:val="0"/>
          <w:marRight w:val="0"/>
          <w:marTop w:val="0"/>
          <w:marBottom w:val="0"/>
          <w:divBdr>
            <w:top w:val="none" w:sz="0" w:space="0" w:color="auto"/>
            <w:left w:val="none" w:sz="0" w:space="0" w:color="auto"/>
            <w:bottom w:val="none" w:sz="0" w:space="0" w:color="auto"/>
            <w:right w:val="none" w:sz="0" w:space="0" w:color="auto"/>
          </w:divBdr>
          <w:divsChild>
            <w:div w:id="1171796978">
              <w:marLeft w:val="0"/>
              <w:marRight w:val="0"/>
              <w:marTop w:val="0"/>
              <w:marBottom w:val="0"/>
              <w:divBdr>
                <w:top w:val="none" w:sz="0" w:space="0" w:color="auto"/>
                <w:left w:val="none" w:sz="0" w:space="0" w:color="auto"/>
                <w:bottom w:val="none" w:sz="0" w:space="0" w:color="auto"/>
                <w:right w:val="none" w:sz="0" w:space="0" w:color="auto"/>
              </w:divBdr>
              <w:divsChild>
                <w:div w:id="16750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1851">
      <w:bodyDiv w:val="1"/>
      <w:marLeft w:val="0"/>
      <w:marRight w:val="0"/>
      <w:marTop w:val="0"/>
      <w:marBottom w:val="0"/>
      <w:divBdr>
        <w:top w:val="none" w:sz="0" w:space="0" w:color="auto"/>
        <w:left w:val="none" w:sz="0" w:space="0" w:color="auto"/>
        <w:bottom w:val="none" w:sz="0" w:space="0" w:color="auto"/>
        <w:right w:val="none" w:sz="0" w:space="0" w:color="auto"/>
      </w:divBdr>
    </w:div>
    <w:div w:id="238441422">
      <w:bodyDiv w:val="1"/>
      <w:marLeft w:val="0"/>
      <w:marRight w:val="0"/>
      <w:marTop w:val="0"/>
      <w:marBottom w:val="0"/>
      <w:divBdr>
        <w:top w:val="none" w:sz="0" w:space="0" w:color="auto"/>
        <w:left w:val="none" w:sz="0" w:space="0" w:color="auto"/>
        <w:bottom w:val="none" w:sz="0" w:space="0" w:color="auto"/>
        <w:right w:val="none" w:sz="0" w:space="0" w:color="auto"/>
      </w:divBdr>
      <w:divsChild>
        <w:div w:id="698242968">
          <w:marLeft w:val="0"/>
          <w:marRight w:val="0"/>
          <w:marTop w:val="0"/>
          <w:marBottom w:val="0"/>
          <w:divBdr>
            <w:top w:val="none" w:sz="0" w:space="0" w:color="auto"/>
            <w:left w:val="none" w:sz="0" w:space="0" w:color="auto"/>
            <w:bottom w:val="none" w:sz="0" w:space="0" w:color="auto"/>
            <w:right w:val="none" w:sz="0" w:space="0" w:color="auto"/>
          </w:divBdr>
          <w:divsChild>
            <w:div w:id="119735808">
              <w:marLeft w:val="0"/>
              <w:marRight w:val="0"/>
              <w:marTop w:val="0"/>
              <w:marBottom w:val="0"/>
              <w:divBdr>
                <w:top w:val="none" w:sz="0" w:space="0" w:color="auto"/>
                <w:left w:val="none" w:sz="0" w:space="0" w:color="auto"/>
                <w:bottom w:val="none" w:sz="0" w:space="0" w:color="auto"/>
                <w:right w:val="none" w:sz="0" w:space="0" w:color="auto"/>
              </w:divBdr>
              <w:divsChild>
                <w:div w:id="565838441">
                  <w:marLeft w:val="0"/>
                  <w:marRight w:val="0"/>
                  <w:marTop w:val="0"/>
                  <w:marBottom w:val="0"/>
                  <w:divBdr>
                    <w:top w:val="none" w:sz="0" w:space="0" w:color="auto"/>
                    <w:left w:val="none" w:sz="0" w:space="0" w:color="auto"/>
                    <w:bottom w:val="none" w:sz="0" w:space="0" w:color="auto"/>
                    <w:right w:val="none" w:sz="0" w:space="0" w:color="auto"/>
                  </w:divBdr>
                  <w:divsChild>
                    <w:div w:id="6684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489171">
      <w:bodyDiv w:val="1"/>
      <w:marLeft w:val="0"/>
      <w:marRight w:val="0"/>
      <w:marTop w:val="0"/>
      <w:marBottom w:val="0"/>
      <w:divBdr>
        <w:top w:val="none" w:sz="0" w:space="0" w:color="auto"/>
        <w:left w:val="none" w:sz="0" w:space="0" w:color="auto"/>
        <w:bottom w:val="none" w:sz="0" w:space="0" w:color="auto"/>
        <w:right w:val="none" w:sz="0" w:space="0" w:color="auto"/>
      </w:divBdr>
    </w:div>
    <w:div w:id="273556725">
      <w:bodyDiv w:val="1"/>
      <w:marLeft w:val="0"/>
      <w:marRight w:val="0"/>
      <w:marTop w:val="0"/>
      <w:marBottom w:val="0"/>
      <w:divBdr>
        <w:top w:val="none" w:sz="0" w:space="0" w:color="auto"/>
        <w:left w:val="none" w:sz="0" w:space="0" w:color="auto"/>
        <w:bottom w:val="none" w:sz="0" w:space="0" w:color="auto"/>
        <w:right w:val="none" w:sz="0" w:space="0" w:color="auto"/>
      </w:divBdr>
    </w:div>
    <w:div w:id="296303178">
      <w:bodyDiv w:val="1"/>
      <w:marLeft w:val="0"/>
      <w:marRight w:val="0"/>
      <w:marTop w:val="0"/>
      <w:marBottom w:val="0"/>
      <w:divBdr>
        <w:top w:val="none" w:sz="0" w:space="0" w:color="auto"/>
        <w:left w:val="none" w:sz="0" w:space="0" w:color="auto"/>
        <w:bottom w:val="none" w:sz="0" w:space="0" w:color="auto"/>
        <w:right w:val="none" w:sz="0" w:space="0" w:color="auto"/>
      </w:divBdr>
    </w:div>
    <w:div w:id="320088973">
      <w:bodyDiv w:val="1"/>
      <w:marLeft w:val="0"/>
      <w:marRight w:val="0"/>
      <w:marTop w:val="0"/>
      <w:marBottom w:val="0"/>
      <w:divBdr>
        <w:top w:val="none" w:sz="0" w:space="0" w:color="auto"/>
        <w:left w:val="none" w:sz="0" w:space="0" w:color="auto"/>
        <w:bottom w:val="none" w:sz="0" w:space="0" w:color="auto"/>
        <w:right w:val="none" w:sz="0" w:space="0" w:color="auto"/>
      </w:divBdr>
    </w:div>
    <w:div w:id="340856551">
      <w:bodyDiv w:val="1"/>
      <w:marLeft w:val="0"/>
      <w:marRight w:val="0"/>
      <w:marTop w:val="0"/>
      <w:marBottom w:val="0"/>
      <w:divBdr>
        <w:top w:val="none" w:sz="0" w:space="0" w:color="auto"/>
        <w:left w:val="none" w:sz="0" w:space="0" w:color="auto"/>
        <w:bottom w:val="none" w:sz="0" w:space="0" w:color="auto"/>
        <w:right w:val="none" w:sz="0" w:space="0" w:color="auto"/>
      </w:divBdr>
    </w:div>
    <w:div w:id="419063854">
      <w:bodyDiv w:val="1"/>
      <w:marLeft w:val="0"/>
      <w:marRight w:val="0"/>
      <w:marTop w:val="0"/>
      <w:marBottom w:val="0"/>
      <w:divBdr>
        <w:top w:val="none" w:sz="0" w:space="0" w:color="auto"/>
        <w:left w:val="none" w:sz="0" w:space="0" w:color="auto"/>
        <w:bottom w:val="none" w:sz="0" w:space="0" w:color="auto"/>
        <w:right w:val="none" w:sz="0" w:space="0" w:color="auto"/>
      </w:divBdr>
      <w:divsChild>
        <w:div w:id="72629603">
          <w:marLeft w:val="0"/>
          <w:marRight w:val="0"/>
          <w:marTop w:val="0"/>
          <w:marBottom w:val="0"/>
          <w:divBdr>
            <w:top w:val="none" w:sz="0" w:space="0" w:color="auto"/>
            <w:left w:val="none" w:sz="0" w:space="0" w:color="auto"/>
            <w:bottom w:val="none" w:sz="0" w:space="0" w:color="auto"/>
            <w:right w:val="none" w:sz="0" w:space="0" w:color="auto"/>
          </w:divBdr>
          <w:divsChild>
            <w:div w:id="1413892094">
              <w:marLeft w:val="0"/>
              <w:marRight w:val="0"/>
              <w:marTop w:val="0"/>
              <w:marBottom w:val="0"/>
              <w:divBdr>
                <w:top w:val="none" w:sz="0" w:space="0" w:color="auto"/>
                <w:left w:val="none" w:sz="0" w:space="0" w:color="auto"/>
                <w:bottom w:val="none" w:sz="0" w:space="0" w:color="auto"/>
                <w:right w:val="none" w:sz="0" w:space="0" w:color="auto"/>
              </w:divBdr>
              <w:divsChild>
                <w:div w:id="271009919">
                  <w:marLeft w:val="0"/>
                  <w:marRight w:val="0"/>
                  <w:marTop w:val="0"/>
                  <w:marBottom w:val="0"/>
                  <w:divBdr>
                    <w:top w:val="none" w:sz="0" w:space="0" w:color="auto"/>
                    <w:left w:val="none" w:sz="0" w:space="0" w:color="auto"/>
                    <w:bottom w:val="none" w:sz="0" w:space="0" w:color="auto"/>
                    <w:right w:val="none" w:sz="0" w:space="0" w:color="auto"/>
                  </w:divBdr>
                  <w:divsChild>
                    <w:div w:id="1314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441146993">
      <w:bodyDiv w:val="1"/>
      <w:marLeft w:val="0"/>
      <w:marRight w:val="0"/>
      <w:marTop w:val="0"/>
      <w:marBottom w:val="0"/>
      <w:divBdr>
        <w:top w:val="none" w:sz="0" w:space="0" w:color="auto"/>
        <w:left w:val="none" w:sz="0" w:space="0" w:color="auto"/>
        <w:bottom w:val="none" w:sz="0" w:space="0" w:color="auto"/>
        <w:right w:val="none" w:sz="0" w:space="0" w:color="auto"/>
      </w:divBdr>
    </w:div>
    <w:div w:id="447627937">
      <w:bodyDiv w:val="1"/>
      <w:marLeft w:val="0"/>
      <w:marRight w:val="0"/>
      <w:marTop w:val="0"/>
      <w:marBottom w:val="0"/>
      <w:divBdr>
        <w:top w:val="none" w:sz="0" w:space="0" w:color="auto"/>
        <w:left w:val="none" w:sz="0" w:space="0" w:color="auto"/>
        <w:bottom w:val="none" w:sz="0" w:space="0" w:color="auto"/>
        <w:right w:val="none" w:sz="0" w:space="0" w:color="auto"/>
      </w:divBdr>
      <w:divsChild>
        <w:div w:id="406418414">
          <w:marLeft w:val="0"/>
          <w:marRight w:val="0"/>
          <w:marTop w:val="0"/>
          <w:marBottom w:val="0"/>
          <w:divBdr>
            <w:top w:val="none" w:sz="0" w:space="0" w:color="auto"/>
            <w:left w:val="none" w:sz="0" w:space="0" w:color="auto"/>
            <w:bottom w:val="none" w:sz="0" w:space="0" w:color="auto"/>
            <w:right w:val="none" w:sz="0" w:space="0" w:color="auto"/>
          </w:divBdr>
          <w:divsChild>
            <w:div w:id="1893073233">
              <w:marLeft w:val="0"/>
              <w:marRight w:val="0"/>
              <w:marTop w:val="0"/>
              <w:marBottom w:val="0"/>
              <w:divBdr>
                <w:top w:val="none" w:sz="0" w:space="0" w:color="auto"/>
                <w:left w:val="none" w:sz="0" w:space="0" w:color="auto"/>
                <w:bottom w:val="none" w:sz="0" w:space="0" w:color="auto"/>
                <w:right w:val="none" w:sz="0" w:space="0" w:color="auto"/>
              </w:divBdr>
              <w:divsChild>
                <w:div w:id="21223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155666">
      <w:bodyDiv w:val="1"/>
      <w:marLeft w:val="0"/>
      <w:marRight w:val="0"/>
      <w:marTop w:val="0"/>
      <w:marBottom w:val="0"/>
      <w:divBdr>
        <w:top w:val="none" w:sz="0" w:space="0" w:color="auto"/>
        <w:left w:val="none" w:sz="0" w:space="0" w:color="auto"/>
        <w:bottom w:val="none" w:sz="0" w:space="0" w:color="auto"/>
        <w:right w:val="none" w:sz="0" w:space="0" w:color="auto"/>
      </w:divBdr>
      <w:divsChild>
        <w:div w:id="1396859666">
          <w:marLeft w:val="0"/>
          <w:marRight w:val="0"/>
          <w:marTop w:val="0"/>
          <w:marBottom w:val="0"/>
          <w:divBdr>
            <w:top w:val="none" w:sz="0" w:space="0" w:color="auto"/>
            <w:left w:val="none" w:sz="0" w:space="0" w:color="auto"/>
            <w:bottom w:val="none" w:sz="0" w:space="0" w:color="auto"/>
            <w:right w:val="none" w:sz="0" w:space="0" w:color="auto"/>
          </w:divBdr>
          <w:divsChild>
            <w:div w:id="1690567734">
              <w:marLeft w:val="0"/>
              <w:marRight w:val="0"/>
              <w:marTop w:val="0"/>
              <w:marBottom w:val="0"/>
              <w:divBdr>
                <w:top w:val="none" w:sz="0" w:space="0" w:color="auto"/>
                <w:left w:val="none" w:sz="0" w:space="0" w:color="auto"/>
                <w:bottom w:val="none" w:sz="0" w:space="0" w:color="auto"/>
                <w:right w:val="none" w:sz="0" w:space="0" w:color="auto"/>
              </w:divBdr>
              <w:divsChild>
                <w:div w:id="1260722617">
                  <w:marLeft w:val="0"/>
                  <w:marRight w:val="0"/>
                  <w:marTop w:val="0"/>
                  <w:marBottom w:val="0"/>
                  <w:divBdr>
                    <w:top w:val="none" w:sz="0" w:space="0" w:color="auto"/>
                    <w:left w:val="none" w:sz="0" w:space="0" w:color="auto"/>
                    <w:bottom w:val="none" w:sz="0" w:space="0" w:color="auto"/>
                    <w:right w:val="none" w:sz="0" w:space="0" w:color="auto"/>
                  </w:divBdr>
                </w:div>
              </w:divsChild>
            </w:div>
            <w:div w:id="1971665179">
              <w:marLeft w:val="0"/>
              <w:marRight w:val="0"/>
              <w:marTop w:val="0"/>
              <w:marBottom w:val="0"/>
              <w:divBdr>
                <w:top w:val="none" w:sz="0" w:space="0" w:color="auto"/>
                <w:left w:val="none" w:sz="0" w:space="0" w:color="auto"/>
                <w:bottom w:val="none" w:sz="0" w:space="0" w:color="auto"/>
                <w:right w:val="none" w:sz="0" w:space="0" w:color="auto"/>
              </w:divBdr>
              <w:divsChild>
                <w:div w:id="5663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6451">
          <w:marLeft w:val="0"/>
          <w:marRight w:val="0"/>
          <w:marTop w:val="0"/>
          <w:marBottom w:val="0"/>
          <w:divBdr>
            <w:top w:val="none" w:sz="0" w:space="0" w:color="auto"/>
            <w:left w:val="none" w:sz="0" w:space="0" w:color="auto"/>
            <w:bottom w:val="none" w:sz="0" w:space="0" w:color="auto"/>
            <w:right w:val="none" w:sz="0" w:space="0" w:color="auto"/>
          </w:divBdr>
          <w:divsChild>
            <w:div w:id="697975555">
              <w:marLeft w:val="0"/>
              <w:marRight w:val="0"/>
              <w:marTop w:val="0"/>
              <w:marBottom w:val="0"/>
              <w:divBdr>
                <w:top w:val="none" w:sz="0" w:space="0" w:color="auto"/>
                <w:left w:val="none" w:sz="0" w:space="0" w:color="auto"/>
                <w:bottom w:val="none" w:sz="0" w:space="0" w:color="auto"/>
                <w:right w:val="none" w:sz="0" w:space="0" w:color="auto"/>
              </w:divBdr>
              <w:divsChild>
                <w:div w:id="86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262471">
      <w:bodyDiv w:val="1"/>
      <w:marLeft w:val="0"/>
      <w:marRight w:val="0"/>
      <w:marTop w:val="0"/>
      <w:marBottom w:val="0"/>
      <w:divBdr>
        <w:top w:val="none" w:sz="0" w:space="0" w:color="auto"/>
        <w:left w:val="none" w:sz="0" w:space="0" w:color="auto"/>
        <w:bottom w:val="none" w:sz="0" w:space="0" w:color="auto"/>
        <w:right w:val="none" w:sz="0" w:space="0" w:color="auto"/>
      </w:divBdr>
    </w:div>
    <w:div w:id="674306223">
      <w:bodyDiv w:val="1"/>
      <w:marLeft w:val="0"/>
      <w:marRight w:val="0"/>
      <w:marTop w:val="0"/>
      <w:marBottom w:val="0"/>
      <w:divBdr>
        <w:top w:val="none" w:sz="0" w:space="0" w:color="auto"/>
        <w:left w:val="none" w:sz="0" w:space="0" w:color="auto"/>
        <w:bottom w:val="none" w:sz="0" w:space="0" w:color="auto"/>
        <w:right w:val="none" w:sz="0" w:space="0" w:color="auto"/>
      </w:divBdr>
    </w:div>
    <w:div w:id="678970575">
      <w:bodyDiv w:val="1"/>
      <w:marLeft w:val="0"/>
      <w:marRight w:val="0"/>
      <w:marTop w:val="0"/>
      <w:marBottom w:val="0"/>
      <w:divBdr>
        <w:top w:val="none" w:sz="0" w:space="0" w:color="auto"/>
        <w:left w:val="none" w:sz="0" w:space="0" w:color="auto"/>
        <w:bottom w:val="none" w:sz="0" w:space="0" w:color="auto"/>
        <w:right w:val="none" w:sz="0" w:space="0" w:color="auto"/>
      </w:divBdr>
    </w:div>
    <w:div w:id="679937385">
      <w:bodyDiv w:val="1"/>
      <w:marLeft w:val="0"/>
      <w:marRight w:val="0"/>
      <w:marTop w:val="0"/>
      <w:marBottom w:val="0"/>
      <w:divBdr>
        <w:top w:val="none" w:sz="0" w:space="0" w:color="auto"/>
        <w:left w:val="none" w:sz="0" w:space="0" w:color="auto"/>
        <w:bottom w:val="none" w:sz="0" w:space="0" w:color="auto"/>
        <w:right w:val="none" w:sz="0" w:space="0" w:color="auto"/>
      </w:divBdr>
      <w:divsChild>
        <w:div w:id="387462953">
          <w:marLeft w:val="0"/>
          <w:marRight w:val="0"/>
          <w:marTop w:val="0"/>
          <w:marBottom w:val="0"/>
          <w:divBdr>
            <w:top w:val="none" w:sz="0" w:space="0" w:color="auto"/>
            <w:left w:val="none" w:sz="0" w:space="0" w:color="auto"/>
            <w:bottom w:val="none" w:sz="0" w:space="0" w:color="auto"/>
            <w:right w:val="none" w:sz="0" w:space="0" w:color="auto"/>
          </w:divBdr>
          <w:divsChild>
            <w:div w:id="614291139">
              <w:marLeft w:val="0"/>
              <w:marRight w:val="0"/>
              <w:marTop w:val="0"/>
              <w:marBottom w:val="0"/>
              <w:divBdr>
                <w:top w:val="none" w:sz="0" w:space="0" w:color="auto"/>
                <w:left w:val="none" w:sz="0" w:space="0" w:color="auto"/>
                <w:bottom w:val="none" w:sz="0" w:space="0" w:color="auto"/>
                <w:right w:val="none" w:sz="0" w:space="0" w:color="auto"/>
              </w:divBdr>
              <w:divsChild>
                <w:div w:id="17777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463597">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51584905">
      <w:bodyDiv w:val="1"/>
      <w:marLeft w:val="0"/>
      <w:marRight w:val="0"/>
      <w:marTop w:val="0"/>
      <w:marBottom w:val="0"/>
      <w:divBdr>
        <w:top w:val="none" w:sz="0" w:space="0" w:color="auto"/>
        <w:left w:val="none" w:sz="0" w:space="0" w:color="auto"/>
        <w:bottom w:val="none" w:sz="0" w:space="0" w:color="auto"/>
        <w:right w:val="none" w:sz="0" w:space="0" w:color="auto"/>
      </w:divBdr>
      <w:divsChild>
        <w:div w:id="2145610203">
          <w:marLeft w:val="0"/>
          <w:marRight w:val="0"/>
          <w:marTop w:val="0"/>
          <w:marBottom w:val="0"/>
          <w:divBdr>
            <w:top w:val="none" w:sz="0" w:space="0" w:color="auto"/>
            <w:left w:val="none" w:sz="0" w:space="0" w:color="auto"/>
            <w:bottom w:val="none" w:sz="0" w:space="0" w:color="auto"/>
            <w:right w:val="none" w:sz="0" w:space="0" w:color="auto"/>
          </w:divBdr>
          <w:divsChild>
            <w:div w:id="1078597774">
              <w:marLeft w:val="0"/>
              <w:marRight w:val="0"/>
              <w:marTop w:val="0"/>
              <w:marBottom w:val="0"/>
              <w:divBdr>
                <w:top w:val="none" w:sz="0" w:space="0" w:color="auto"/>
                <w:left w:val="none" w:sz="0" w:space="0" w:color="auto"/>
                <w:bottom w:val="none" w:sz="0" w:space="0" w:color="auto"/>
                <w:right w:val="none" w:sz="0" w:space="0" w:color="auto"/>
              </w:divBdr>
              <w:divsChild>
                <w:div w:id="86475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983312">
      <w:bodyDiv w:val="1"/>
      <w:marLeft w:val="0"/>
      <w:marRight w:val="0"/>
      <w:marTop w:val="0"/>
      <w:marBottom w:val="0"/>
      <w:divBdr>
        <w:top w:val="none" w:sz="0" w:space="0" w:color="auto"/>
        <w:left w:val="none" w:sz="0" w:space="0" w:color="auto"/>
        <w:bottom w:val="none" w:sz="0" w:space="0" w:color="auto"/>
        <w:right w:val="none" w:sz="0" w:space="0" w:color="auto"/>
      </w:divBdr>
      <w:divsChild>
        <w:div w:id="88354713">
          <w:marLeft w:val="0"/>
          <w:marRight w:val="0"/>
          <w:marTop w:val="0"/>
          <w:marBottom w:val="0"/>
          <w:divBdr>
            <w:top w:val="none" w:sz="0" w:space="0" w:color="auto"/>
            <w:left w:val="none" w:sz="0" w:space="0" w:color="auto"/>
            <w:bottom w:val="none" w:sz="0" w:space="0" w:color="auto"/>
            <w:right w:val="none" w:sz="0" w:space="0" w:color="auto"/>
          </w:divBdr>
        </w:div>
        <w:div w:id="362360999">
          <w:marLeft w:val="0"/>
          <w:marRight w:val="0"/>
          <w:marTop w:val="0"/>
          <w:marBottom w:val="0"/>
          <w:divBdr>
            <w:top w:val="none" w:sz="0" w:space="0" w:color="auto"/>
            <w:left w:val="none" w:sz="0" w:space="0" w:color="auto"/>
            <w:bottom w:val="none" w:sz="0" w:space="0" w:color="auto"/>
            <w:right w:val="none" w:sz="0" w:space="0" w:color="auto"/>
          </w:divBdr>
        </w:div>
        <w:div w:id="596982899">
          <w:marLeft w:val="0"/>
          <w:marRight w:val="0"/>
          <w:marTop w:val="0"/>
          <w:marBottom w:val="0"/>
          <w:divBdr>
            <w:top w:val="none" w:sz="0" w:space="0" w:color="auto"/>
            <w:left w:val="none" w:sz="0" w:space="0" w:color="auto"/>
            <w:bottom w:val="none" w:sz="0" w:space="0" w:color="auto"/>
            <w:right w:val="none" w:sz="0" w:space="0" w:color="auto"/>
          </w:divBdr>
        </w:div>
        <w:div w:id="715812415">
          <w:marLeft w:val="0"/>
          <w:marRight w:val="0"/>
          <w:marTop w:val="0"/>
          <w:marBottom w:val="0"/>
          <w:divBdr>
            <w:top w:val="none" w:sz="0" w:space="0" w:color="auto"/>
            <w:left w:val="none" w:sz="0" w:space="0" w:color="auto"/>
            <w:bottom w:val="none" w:sz="0" w:space="0" w:color="auto"/>
            <w:right w:val="none" w:sz="0" w:space="0" w:color="auto"/>
          </w:divBdr>
        </w:div>
        <w:div w:id="983588599">
          <w:marLeft w:val="0"/>
          <w:marRight w:val="0"/>
          <w:marTop w:val="0"/>
          <w:marBottom w:val="0"/>
          <w:divBdr>
            <w:top w:val="none" w:sz="0" w:space="0" w:color="auto"/>
            <w:left w:val="none" w:sz="0" w:space="0" w:color="auto"/>
            <w:bottom w:val="none" w:sz="0" w:space="0" w:color="auto"/>
            <w:right w:val="none" w:sz="0" w:space="0" w:color="auto"/>
          </w:divBdr>
          <w:divsChild>
            <w:div w:id="83881082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274172089">
          <w:marLeft w:val="0"/>
          <w:marRight w:val="0"/>
          <w:marTop w:val="0"/>
          <w:marBottom w:val="0"/>
          <w:divBdr>
            <w:top w:val="none" w:sz="0" w:space="0" w:color="auto"/>
            <w:left w:val="none" w:sz="0" w:space="0" w:color="auto"/>
            <w:bottom w:val="none" w:sz="0" w:space="0" w:color="auto"/>
            <w:right w:val="none" w:sz="0" w:space="0" w:color="auto"/>
          </w:divBdr>
        </w:div>
        <w:div w:id="1675647344">
          <w:marLeft w:val="0"/>
          <w:marRight w:val="0"/>
          <w:marTop w:val="0"/>
          <w:marBottom w:val="0"/>
          <w:divBdr>
            <w:top w:val="none" w:sz="0" w:space="0" w:color="auto"/>
            <w:left w:val="none" w:sz="0" w:space="0" w:color="auto"/>
            <w:bottom w:val="none" w:sz="0" w:space="0" w:color="auto"/>
            <w:right w:val="none" w:sz="0" w:space="0" w:color="auto"/>
          </w:divBdr>
        </w:div>
      </w:divsChild>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803275507">
      <w:bodyDiv w:val="1"/>
      <w:marLeft w:val="0"/>
      <w:marRight w:val="0"/>
      <w:marTop w:val="0"/>
      <w:marBottom w:val="0"/>
      <w:divBdr>
        <w:top w:val="none" w:sz="0" w:space="0" w:color="auto"/>
        <w:left w:val="none" w:sz="0" w:space="0" w:color="auto"/>
        <w:bottom w:val="none" w:sz="0" w:space="0" w:color="auto"/>
        <w:right w:val="none" w:sz="0" w:space="0" w:color="auto"/>
      </w:divBdr>
      <w:divsChild>
        <w:div w:id="868301919">
          <w:marLeft w:val="0"/>
          <w:marRight w:val="0"/>
          <w:marTop w:val="0"/>
          <w:marBottom w:val="0"/>
          <w:divBdr>
            <w:top w:val="none" w:sz="0" w:space="0" w:color="auto"/>
            <w:left w:val="none" w:sz="0" w:space="0" w:color="auto"/>
            <w:bottom w:val="none" w:sz="0" w:space="0" w:color="auto"/>
            <w:right w:val="none" w:sz="0" w:space="0" w:color="auto"/>
          </w:divBdr>
          <w:divsChild>
            <w:div w:id="2008512588">
              <w:marLeft w:val="0"/>
              <w:marRight w:val="0"/>
              <w:marTop w:val="0"/>
              <w:marBottom w:val="0"/>
              <w:divBdr>
                <w:top w:val="none" w:sz="0" w:space="0" w:color="auto"/>
                <w:left w:val="none" w:sz="0" w:space="0" w:color="auto"/>
                <w:bottom w:val="none" w:sz="0" w:space="0" w:color="auto"/>
                <w:right w:val="none" w:sz="0" w:space="0" w:color="auto"/>
              </w:divBdr>
              <w:divsChild>
                <w:div w:id="558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014365">
      <w:bodyDiv w:val="1"/>
      <w:marLeft w:val="0"/>
      <w:marRight w:val="0"/>
      <w:marTop w:val="0"/>
      <w:marBottom w:val="0"/>
      <w:divBdr>
        <w:top w:val="none" w:sz="0" w:space="0" w:color="auto"/>
        <w:left w:val="none" w:sz="0" w:space="0" w:color="auto"/>
        <w:bottom w:val="none" w:sz="0" w:space="0" w:color="auto"/>
        <w:right w:val="none" w:sz="0" w:space="0" w:color="auto"/>
      </w:divBdr>
    </w:div>
    <w:div w:id="821775484">
      <w:bodyDiv w:val="1"/>
      <w:marLeft w:val="0"/>
      <w:marRight w:val="0"/>
      <w:marTop w:val="0"/>
      <w:marBottom w:val="0"/>
      <w:divBdr>
        <w:top w:val="none" w:sz="0" w:space="0" w:color="auto"/>
        <w:left w:val="none" w:sz="0" w:space="0" w:color="auto"/>
        <w:bottom w:val="none" w:sz="0" w:space="0" w:color="auto"/>
        <w:right w:val="none" w:sz="0" w:space="0" w:color="auto"/>
      </w:divBdr>
    </w:div>
    <w:div w:id="833955501">
      <w:bodyDiv w:val="1"/>
      <w:marLeft w:val="0"/>
      <w:marRight w:val="0"/>
      <w:marTop w:val="0"/>
      <w:marBottom w:val="0"/>
      <w:divBdr>
        <w:top w:val="none" w:sz="0" w:space="0" w:color="auto"/>
        <w:left w:val="none" w:sz="0" w:space="0" w:color="auto"/>
        <w:bottom w:val="none" w:sz="0" w:space="0" w:color="auto"/>
        <w:right w:val="none" w:sz="0" w:space="0" w:color="auto"/>
      </w:divBdr>
      <w:divsChild>
        <w:div w:id="648437054">
          <w:marLeft w:val="0"/>
          <w:marRight w:val="0"/>
          <w:marTop w:val="0"/>
          <w:marBottom w:val="0"/>
          <w:divBdr>
            <w:top w:val="none" w:sz="0" w:space="0" w:color="auto"/>
            <w:left w:val="none" w:sz="0" w:space="0" w:color="auto"/>
            <w:bottom w:val="none" w:sz="0" w:space="0" w:color="auto"/>
            <w:right w:val="none" w:sz="0" w:space="0" w:color="auto"/>
          </w:divBdr>
          <w:divsChild>
            <w:div w:id="1974298">
              <w:marLeft w:val="0"/>
              <w:marRight w:val="0"/>
              <w:marTop w:val="0"/>
              <w:marBottom w:val="0"/>
              <w:divBdr>
                <w:top w:val="none" w:sz="0" w:space="0" w:color="auto"/>
                <w:left w:val="none" w:sz="0" w:space="0" w:color="auto"/>
                <w:bottom w:val="none" w:sz="0" w:space="0" w:color="auto"/>
                <w:right w:val="none" w:sz="0" w:space="0" w:color="auto"/>
              </w:divBdr>
              <w:divsChild>
                <w:div w:id="1759402644">
                  <w:marLeft w:val="0"/>
                  <w:marRight w:val="0"/>
                  <w:marTop w:val="0"/>
                  <w:marBottom w:val="0"/>
                  <w:divBdr>
                    <w:top w:val="none" w:sz="0" w:space="0" w:color="auto"/>
                    <w:left w:val="none" w:sz="0" w:space="0" w:color="auto"/>
                    <w:bottom w:val="none" w:sz="0" w:space="0" w:color="auto"/>
                    <w:right w:val="none" w:sz="0" w:space="0" w:color="auto"/>
                  </w:divBdr>
                  <w:divsChild>
                    <w:div w:id="1727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512330">
      <w:bodyDiv w:val="1"/>
      <w:marLeft w:val="0"/>
      <w:marRight w:val="0"/>
      <w:marTop w:val="0"/>
      <w:marBottom w:val="0"/>
      <w:divBdr>
        <w:top w:val="none" w:sz="0" w:space="0" w:color="auto"/>
        <w:left w:val="none" w:sz="0" w:space="0" w:color="auto"/>
        <w:bottom w:val="none" w:sz="0" w:space="0" w:color="auto"/>
        <w:right w:val="none" w:sz="0" w:space="0" w:color="auto"/>
      </w:divBdr>
    </w:div>
    <w:div w:id="913903271">
      <w:bodyDiv w:val="1"/>
      <w:marLeft w:val="0"/>
      <w:marRight w:val="0"/>
      <w:marTop w:val="0"/>
      <w:marBottom w:val="0"/>
      <w:divBdr>
        <w:top w:val="none" w:sz="0" w:space="0" w:color="auto"/>
        <w:left w:val="none" w:sz="0" w:space="0" w:color="auto"/>
        <w:bottom w:val="none" w:sz="0" w:space="0" w:color="auto"/>
        <w:right w:val="none" w:sz="0" w:space="0" w:color="auto"/>
      </w:divBdr>
    </w:div>
    <w:div w:id="918371427">
      <w:bodyDiv w:val="1"/>
      <w:marLeft w:val="0"/>
      <w:marRight w:val="0"/>
      <w:marTop w:val="0"/>
      <w:marBottom w:val="0"/>
      <w:divBdr>
        <w:top w:val="none" w:sz="0" w:space="0" w:color="auto"/>
        <w:left w:val="none" w:sz="0" w:space="0" w:color="auto"/>
        <w:bottom w:val="none" w:sz="0" w:space="0" w:color="auto"/>
        <w:right w:val="none" w:sz="0" w:space="0" w:color="auto"/>
      </w:divBdr>
      <w:divsChild>
        <w:div w:id="1369526816">
          <w:marLeft w:val="0"/>
          <w:marRight w:val="0"/>
          <w:marTop w:val="0"/>
          <w:marBottom w:val="0"/>
          <w:divBdr>
            <w:top w:val="none" w:sz="0" w:space="0" w:color="auto"/>
            <w:left w:val="none" w:sz="0" w:space="0" w:color="auto"/>
            <w:bottom w:val="none" w:sz="0" w:space="0" w:color="auto"/>
            <w:right w:val="none" w:sz="0" w:space="0" w:color="auto"/>
          </w:divBdr>
          <w:divsChild>
            <w:div w:id="780950973">
              <w:marLeft w:val="0"/>
              <w:marRight w:val="0"/>
              <w:marTop w:val="0"/>
              <w:marBottom w:val="0"/>
              <w:divBdr>
                <w:top w:val="none" w:sz="0" w:space="0" w:color="auto"/>
                <w:left w:val="none" w:sz="0" w:space="0" w:color="auto"/>
                <w:bottom w:val="none" w:sz="0" w:space="0" w:color="auto"/>
                <w:right w:val="none" w:sz="0" w:space="0" w:color="auto"/>
              </w:divBdr>
              <w:divsChild>
                <w:div w:id="144133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346555">
      <w:bodyDiv w:val="1"/>
      <w:marLeft w:val="0"/>
      <w:marRight w:val="0"/>
      <w:marTop w:val="0"/>
      <w:marBottom w:val="0"/>
      <w:divBdr>
        <w:top w:val="none" w:sz="0" w:space="0" w:color="auto"/>
        <w:left w:val="none" w:sz="0" w:space="0" w:color="auto"/>
        <w:bottom w:val="none" w:sz="0" w:space="0" w:color="auto"/>
        <w:right w:val="none" w:sz="0" w:space="0" w:color="auto"/>
      </w:divBdr>
      <w:divsChild>
        <w:div w:id="563032969">
          <w:marLeft w:val="0"/>
          <w:marRight w:val="0"/>
          <w:marTop w:val="0"/>
          <w:marBottom w:val="0"/>
          <w:divBdr>
            <w:top w:val="none" w:sz="0" w:space="0" w:color="auto"/>
            <w:left w:val="none" w:sz="0" w:space="0" w:color="auto"/>
            <w:bottom w:val="none" w:sz="0" w:space="0" w:color="auto"/>
            <w:right w:val="none" w:sz="0" w:space="0" w:color="auto"/>
          </w:divBdr>
          <w:divsChild>
            <w:div w:id="1685286010">
              <w:marLeft w:val="0"/>
              <w:marRight w:val="0"/>
              <w:marTop w:val="0"/>
              <w:marBottom w:val="0"/>
              <w:divBdr>
                <w:top w:val="none" w:sz="0" w:space="0" w:color="auto"/>
                <w:left w:val="none" w:sz="0" w:space="0" w:color="auto"/>
                <w:bottom w:val="none" w:sz="0" w:space="0" w:color="auto"/>
                <w:right w:val="none" w:sz="0" w:space="0" w:color="auto"/>
              </w:divBdr>
              <w:divsChild>
                <w:div w:id="1498963056">
                  <w:marLeft w:val="0"/>
                  <w:marRight w:val="0"/>
                  <w:marTop w:val="0"/>
                  <w:marBottom w:val="0"/>
                  <w:divBdr>
                    <w:top w:val="none" w:sz="0" w:space="0" w:color="auto"/>
                    <w:left w:val="none" w:sz="0" w:space="0" w:color="auto"/>
                    <w:bottom w:val="none" w:sz="0" w:space="0" w:color="auto"/>
                    <w:right w:val="none" w:sz="0" w:space="0" w:color="auto"/>
                  </w:divBdr>
                </w:div>
                <w:div w:id="16195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067858">
      <w:bodyDiv w:val="1"/>
      <w:marLeft w:val="0"/>
      <w:marRight w:val="0"/>
      <w:marTop w:val="0"/>
      <w:marBottom w:val="0"/>
      <w:divBdr>
        <w:top w:val="none" w:sz="0" w:space="0" w:color="auto"/>
        <w:left w:val="none" w:sz="0" w:space="0" w:color="auto"/>
        <w:bottom w:val="none" w:sz="0" w:space="0" w:color="auto"/>
        <w:right w:val="none" w:sz="0" w:space="0" w:color="auto"/>
      </w:divBdr>
    </w:div>
    <w:div w:id="1019282002">
      <w:bodyDiv w:val="1"/>
      <w:marLeft w:val="0"/>
      <w:marRight w:val="0"/>
      <w:marTop w:val="0"/>
      <w:marBottom w:val="0"/>
      <w:divBdr>
        <w:top w:val="none" w:sz="0" w:space="0" w:color="auto"/>
        <w:left w:val="none" w:sz="0" w:space="0" w:color="auto"/>
        <w:bottom w:val="none" w:sz="0" w:space="0" w:color="auto"/>
        <w:right w:val="none" w:sz="0" w:space="0" w:color="auto"/>
      </w:divBdr>
    </w:div>
    <w:div w:id="1024791241">
      <w:bodyDiv w:val="1"/>
      <w:marLeft w:val="0"/>
      <w:marRight w:val="0"/>
      <w:marTop w:val="0"/>
      <w:marBottom w:val="0"/>
      <w:divBdr>
        <w:top w:val="none" w:sz="0" w:space="0" w:color="auto"/>
        <w:left w:val="none" w:sz="0" w:space="0" w:color="auto"/>
        <w:bottom w:val="none" w:sz="0" w:space="0" w:color="auto"/>
        <w:right w:val="none" w:sz="0" w:space="0" w:color="auto"/>
      </w:divBdr>
    </w:div>
    <w:div w:id="1084959623">
      <w:bodyDiv w:val="1"/>
      <w:marLeft w:val="0"/>
      <w:marRight w:val="0"/>
      <w:marTop w:val="0"/>
      <w:marBottom w:val="0"/>
      <w:divBdr>
        <w:top w:val="none" w:sz="0" w:space="0" w:color="auto"/>
        <w:left w:val="none" w:sz="0" w:space="0" w:color="auto"/>
        <w:bottom w:val="none" w:sz="0" w:space="0" w:color="auto"/>
        <w:right w:val="none" w:sz="0" w:space="0" w:color="auto"/>
      </w:divBdr>
    </w:div>
    <w:div w:id="1088497830">
      <w:bodyDiv w:val="1"/>
      <w:marLeft w:val="0"/>
      <w:marRight w:val="0"/>
      <w:marTop w:val="0"/>
      <w:marBottom w:val="0"/>
      <w:divBdr>
        <w:top w:val="none" w:sz="0" w:space="0" w:color="auto"/>
        <w:left w:val="none" w:sz="0" w:space="0" w:color="auto"/>
        <w:bottom w:val="none" w:sz="0" w:space="0" w:color="auto"/>
        <w:right w:val="none" w:sz="0" w:space="0" w:color="auto"/>
      </w:divBdr>
    </w:div>
    <w:div w:id="1159346453">
      <w:bodyDiv w:val="1"/>
      <w:marLeft w:val="0"/>
      <w:marRight w:val="0"/>
      <w:marTop w:val="0"/>
      <w:marBottom w:val="0"/>
      <w:divBdr>
        <w:top w:val="none" w:sz="0" w:space="0" w:color="auto"/>
        <w:left w:val="none" w:sz="0" w:space="0" w:color="auto"/>
        <w:bottom w:val="none" w:sz="0" w:space="0" w:color="auto"/>
        <w:right w:val="none" w:sz="0" w:space="0" w:color="auto"/>
      </w:divBdr>
    </w:div>
    <w:div w:id="1170750212">
      <w:bodyDiv w:val="1"/>
      <w:marLeft w:val="0"/>
      <w:marRight w:val="0"/>
      <w:marTop w:val="0"/>
      <w:marBottom w:val="0"/>
      <w:divBdr>
        <w:top w:val="none" w:sz="0" w:space="0" w:color="auto"/>
        <w:left w:val="none" w:sz="0" w:space="0" w:color="auto"/>
        <w:bottom w:val="none" w:sz="0" w:space="0" w:color="auto"/>
        <w:right w:val="none" w:sz="0" w:space="0" w:color="auto"/>
      </w:divBdr>
    </w:div>
    <w:div w:id="1189374500">
      <w:bodyDiv w:val="1"/>
      <w:marLeft w:val="0"/>
      <w:marRight w:val="0"/>
      <w:marTop w:val="0"/>
      <w:marBottom w:val="0"/>
      <w:divBdr>
        <w:top w:val="none" w:sz="0" w:space="0" w:color="auto"/>
        <w:left w:val="none" w:sz="0" w:space="0" w:color="auto"/>
        <w:bottom w:val="none" w:sz="0" w:space="0" w:color="auto"/>
        <w:right w:val="none" w:sz="0" w:space="0" w:color="auto"/>
      </w:divBdr>
    </w:div>
    <w:div w:id="1197889904">
      <w:bodyDiv w:val="1"/>
      <w:marLeft w:val="0"/>
      <w:marRight w:val="0"/>
      <w:marTop w:val="0"/>
      <w:marBottom w:val="0"/>
      <w:divBdr>
        <w:top w:val="none" w:sz="0" w:space="0" w:color="auto"/>
        <w:left w:val="none" w:sz="0" w:space="0" w:color="auto"/>
        <w:bottom w:val="none" w:sz="0" w:space="0" w:color="auto"/>
        <w:right w:val="none" w:sz="0" w:space="0" w:color="auto"/>
      </w:divBdr>
      <w:divsChild>
        <w:div w:id="2001811859">
          <w:marLeft w:val="0"/>
          <w:marRight w:val="0"/>
          <w:marTop w:val="0"/>
          <w:marBottom w:val="0"/>
          <w:divBdr>
            <w:top w:val="none" w:sz="0" w:space="0" w:color="auto"/>
            <w:left w:val="none" w:sz="0" w:space="0" w:color="auto"/>
            <w:bottom w:val="none" w:sz="0" w:space="0" w:color="auto"/>
            <w:right w:val="none" w:sz="0" w:space="0" w:color="auto"/>
          </w:divBdr>
          <w:divsChild>
            <w:div w:id="2079087812">
              <w:marLeft w:val="0"/>
              <w:marRight w:val="0"/>
              <w:marTop w:val="0"/>
              <w:marBottom w:val="0"/>
              <w:divBdr>
                <w:top w:val="none" w:sz="0" w:space="0" w:color="auto"/>
                <w:left w:val="none" w:sz="0" w:space="0" w:color="auto"/>
                <w:bottom w:val="none" w:sz="0" w:space="0" w:color="auto"/>
                <w:right w:val="none" w:sz="0" w:space="0" w:color="auto"/>
              </w:divBdr>
              <w:divsChild>
                <w:div w:id="125582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252127">
      <w:bodyDiv w:val="1"/>
      <w:marLeft w:val="0"/>
      <w:marRight w:val="0"/>
      <w:marTop w:val="0"/>
      <w:marBottom w:val="0"/>
      <w:divBdr>
        <w:top w:val="none" w:sz="0" w:space="0" w:color="auto"/>
        <w:left w:val="none" w:sz="0" w:space="0" w:color="auto"/>
        <w:bottom w:val="none" w:sz="0" w:space="0" w:color="auto"/>
        <w:right w:val="none" w:sz="0" w:space="0" w:color="auto"/>
      </w:divBdr>
      <w:divsChild>
        <w:div w:id="2050256775">
          <w:marLeft w:val="0"/>
          <w:marRight w:val="0"/>
          <w:marTop w:val="0"/>
          <w:marBottom w:val="0"/>
          <w:divBdr>
            <w:top w:val="none" w:sz="0" w:space="0" w:color="auto"/>
            <w:left w:val="none" w:sz="0" w:space="0" w:color="auto"/>
            <w:bottom w:val="none" w:sz="0" w:space="0" w:color="auto"/>
            <w:right w:val="none" w:sz="0" w:space="0" w:color="auto"/>
          </w:divBdr>
          <w:divsChild>
            <w:div w:id="2139761050">
              <w:marLeft w:val="0"/>
              <w:marRight w:val="0"/>
              <w:marTop w:val="0"/>
              <w:marBottom w:val="0"/>
              <w:divBdr>
                <w:top w:val="none" w:sz="0" w:space="0" w:color="auto"/>
                <w:left w:val="none" w:sz="0" w:space="0" w:color="auto"/>
                <w:bottom w:val="none" w:sz="0" w:space="0" w:color="auto"/>
                <w:right w:val="none" w:sz="0" w:space="0" w:color="auto"/>
              </w:divBdr>
              <w:divsChild>
                <w:div w:id="172074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948775">
      <w:bodyDiv w:val="1"/>
      <w:marLeft w:val="0"/>
      <w:marRight w:val="0"/>
      <w:marTop w:val="0"/>
      <w:marBottom w:val="0"/>
      <w:divBdr>
        <w:top w:val="none" w:sz="0" w:space="0" w:color="auto"/>
        <w:left w:val="none" w:sz="0" w:space="0" w:color="auto"/>
        <w:bottom w:val="none" w:sz="0" w:space="0" w:color="auto"/>
        <w:right w:val="none" w:sz="0" w:space="0" w:color="auto"/>
      </w:divBdr>
      <w:divsChild>
        <w:div w:id="1699623247">
          <w:marLeft w:val="0"/>
          <w:marRight w:val="0"/>
          <w:marTop w:val="0"/>
          <w:marBottom w:val="0"/>
          <w:divBdr>
            <w:top w:val="none" w:sz="0" w:space="0" w:color="auto"/>
            <w:left w:val="none" w:sz="0" w:space="0" w:color="auto"/>
            <w:bottom w:val="none" w:sz="0" w:space="0" w:color="auto"/>
            <w:right w:val="none" w:sz="0" w:space="0" w:color="auto"/>
          </w:divBdr>
          <w:divsChild>
            <w:div w:id="1934896237">
              <w:marLeft w:val="0"/>
              <w:marRight w:val="0"/>
              <w:marTop w:val="0"/>
              <w:marBottom w:val="0"/>
              <w:divBdr>
                <w:top w:val="none" w:sz="0" w:space="0" w:color="auto"/>
                <w:left w:val="none" w:sz="0" w:space="0" w:color="auto"/>
                <w:bottom w:val="none" w:sz="0" w:space="0" w:color="auto"/>
                <w:right w:val="none" w:sz="0" w:space="0" w:color="auto"/>
              </w:divBdr>
              <w:divsChild>
                <w:div w:id="37789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9220">
          <w:marLeft w:val="0"/>
          <w:marRight w:val="0"/>
          <w:marTop w:val="0"/>
          <w:marBottom w:val="0"/>
          <w:divBdr>
            <w:top w:val="none" w:sz="0" w:space="0" w:color="auto"/>
            <w:left w:val="none" w:sz="0" w:space="0" w:color="auto"/>
            <w:bottom w:val="none" w:sz="0" w:space="0" w:color="auto"/>
            <w:right w:val="none" w:sz="0" w:space="0" w:color="auto"/>
          </w:divBdr>
          <w:divsChild>
            <w:div w:id="98261952">
              <w:marLeft w:val="0"/>
              <w:marRight w:val="0"/>
              <w:marTop w:val="0"/>
              <w:marBottom w:val="0"/>
              <w:divBdr>
                <w:top w:val="none" w:sz="0" w:space="0" w:color="auto"/>
                <w:left w:val="none" w:sz="0" w:space="0" w:color="auto"/>
                <w:bottom w:val="none" w:sz="0" w:space="0" w:color="auto"/>
                <w:right w:val="none" w:sz="0" w:space="0" w:color="auto"/>
              </w:divBdr>
              <w:divsChild>
                <w:div w:id="1104963655">
                  <w:marLeft w:val="0"/>
                  <w:marRight w:val="0"/>
                  <w:marTop w:val="0"/>
                  <w:marBottom w:val="0"/>
                  <w:divBdr>
                    <w:top w:val="none" w:sz="0" w:space="0" w:color="auto"/>
                    <w:left w:val="none" w:sz="0" w:space="0" w:color="auto"/>
                    <w:bottom w:val="none" w:sz="0" w:space="0" w:color="auto"/>
                    <w:right w:val="none" w:sz="0" w:space="0" w:color="auto"/>
                  </w:divBdr>
                </w:div>
              </w:divsChild>
            </w:div>
            <w:div w:id="1034575441">
              <w:marLeft w:val="0"/>
              <w:marRight w:val="0"/>
              <w:marTop w:val="0"/>
              <w:marBottom w:val="0"/>
              <w:divBdr>
                <w:top w:val="none" w:sz="0" w:space="0" w:color="auto"/>
                <w:left w:val="none" w:sz="0" w:space="0" w:color="auto"/>
                <w:bottom w:val="none" w:sz="0" w:space="0" w:color="auto"/>
                <w:right w:val="none" w:sz="0" w:space="0" w:color="auto"/>
              </w:divBdr>
              <w:divsChild>
                <w:div w:id="16810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80010">
      <w:bodyDiv w:val="1"/>
      <w:marLeft w:val="0"/>
      <w:marRight w:val="0"/>
      <w:marTop w:val="0"/>
      <w:marBottom w:val="0"/>
      <w:divBdr>
        <w:top w:val="none" w:sz="0" w:space="0" w:color="auto"/>
        <w:left w:val="none" w:sz="0" w:space="0" w:color="auto"/>
        <w:bottom w:val="none" w:sz="0" w:space="0" w:color="auto"/>
        <w:right w:val="none" w:sz="0" w:space="0" w:color="auto"/>
      </w:divBdr>
      <w:divsChild>
        <w:div w:id="784881922">
          <w:marLeft w:val="0"/>
          <w:marRight w:val="0"/>
          <w:marTop w:val="0"/>
          <w:marBottom w:val="0"/>
          <w:divBdr>
            <w:top w:val="none" w:sz="0" w:space="0" w:color="auto"/>
            <w:left w:val="none" w:sz="0" w:space="0" w:color="auto"/>
            <w:bottom w:val="none" w:sz="0" w:space="0" w:color="auto"/>
            <w:right w:val="none" w:sz="0" w:space="0" w:color="auto"/>
          </w:divBdr>
          <w:divsChild>
            <w:div w:id="26806204">
              <w:marLeft w:val="0"/>
              <w:marRight w:val="0"/>
              <w:marTop w:val="0"/>
              <w:marBottom w:val="0"/>
              <w:divBdr>
                <w:top w:val="none" w:sz="0" w:space="0" w:color="auto"/>
                <w:left w:val="none" w:sz="0" w:space="0" w:color="auto"/>
                <w:bottom w:val="none" w:sz="0" w:space="0" w:color="auto"/>
                <w:right w:val="none" w:sz="0" w:space="0" w:color="auto"/>
              </w:divBdr>
              <w:divsChild>
                <w:div w:id="1643777695">
                  <w:marLeft w:val="0"/>
                  <w:marRight w:val="0"/>
                  <w:marTop w:val="0"/>
                  <w:marBottom w:val="0"/>
                  <w:divBdr>
                    <w:top w:val="none" w:sz="0" w:space="0" w:color="auto"/>
                    <w:left w:val="none" w:sz="0" w:space="0" w:color="auto"/>
                    <w:bottom w:val="none" w:sz="0" w:space="0" w:color="auto"/>
                    <w:right w:val="none" w:sz="0" w:space="0" w:color="auto"/>
                  </w:divBdr>
                  <w:divsChild>
                    <w:div w:id="4163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40871">
      <w:bodyDiv w:val="1"/>
      <w:marLeft w:val="0"/>
      <w:marRight w:val="0"/>
      <w:marTop w:val="0"/>
      <w:marBottom w:val="0"/>
      <w:divBdr>
        <w:top w:val="none" w:sz="0" w:space="0" w:color="auto"/>
        <w:left w:val="none" w:sz="0" w:space="0" w:color="auto"/>
        <w:bottom w:val="none" w:sz="0" w:space="0" w:color="auto"/>
        <w:right w:val="none" w:sz="0" w:space="0" w:color="auto"/>
      </w:divBdr>
    </w:div>
    <w:div w:id="1435318327">
      <w:bodyDiv w:val="1"/>
      <w:marLeft w:val="0"/>
      <w:marRight w:val="0"/>
      <w:marTop w:val="0"/>
      <w:marBottom w:val="0"/>
      <w:divBdr>
        <w:top w:val="none" w:sz="0" w:space="0" w:color="auto"/>
        <w:left w:val="none" w:sz="0" w:space="0" w:color="auto"/>
        <w:bottom w:val="none" w:sz="0" w:space="0" w:color="auto"/>
        <w:right w:val="none" w:sz="0" w:space="0" w:color="auto"/>
      </w:divBdr>
      <w:divsChild>
        <w:div w:id="373579464">
          <w:marLeft w:val="0"/>
          <w:marRight w:val="0"/>
          <w:marTop w:val="0"/>
          <w:marBottom w:val="0"/>
          <w:divBdr>
            <w:top w:val="none" w:sz="0" w:space="0" w:color="auto"/>
            <w:left w:val="none" w:sz="0" w:space="0" w:color="auto"/>
            <w:bottom w:val="none" w:sz="0" w:space="0" w:color="auto"/>
            <w:right w:val="none" w:sz="0" w:space="0" w:color="auto"/>
          </w:divBdr>
          <w:divsChild>
            <w:div w:id="1185091449">
              <w:marLeft w:val="0"/>
              <w:marRight w:val="0"/>
              <w:marTop w:val="0"/>
              <w:marBottom w:val="0"/>
              <w:divBdr>
                <w:top w:val="none" w:sz="0" w:space="0" w:color="auto"/>
                <w:left w:val="none" w:sz="0" w:space="0" w:color="auto"/>
                <w:bottom w:val="none" w:sz="0" w:space="0" w:color="auto"/>
                <w:right w:val="none" w:sz="0" w:space="0" w:color="auto"/>
              </w:divBdr>
              <w:divsChild>
                <w:div w:id="18699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92958">
      <w:bodyDiv w:val="1"/>
      <w:marLeft w:val="0"/>
      <w:marRight w:val="0"/>
      <w:marTop w:val="0"/>
      <w:marBottom w:val="0"/>
      <w:divBdr>
        <w:top w:val="none" w:sz="0" w:space="0" w:color="auto"/>
        <w:left w:val="none" w:sz="0" w:space="0" w:color="auto"/>
        <w:bottom w:val="none" w:sz="0" w:space="0" w:color="auto"/>
        <w:right w:val="none" w:sz="0" w:space="0" w:color="auto"/>
      </w:divBdr>
      <w:divsChild>
        <w:div w:id="355740776">
          <w:marLeft w:val="0"/>
          <w:marRight w:val="0"/>
          <w:marTop w:val="0"/>
          <w:marBottom w:val="0"/>
          <w:divBdr>
            <w:top w:val="none" w:sz="0" w:space="0" w:color="auto"/>
            <w:left w:val="none" w:sz="0" w:space="0" w:color="auto"/>
            <w:bottom w:val="none" w:sz="0" w:space="0" w:color="auto"/>
            <w:right w:val="none" w:sz="0" w:space="0" w:color="auto"/>
          </w:divBdr>
          <w:divsChild>
            <w:div w:id="506864379">
              <w:marLeft w:val="0"/>
              <w:marRight w:val="0"/>
              <w:marTop w:val="0"/>
              <w:marBottom w:val="0"/>
              <w:divBdr>
                <w:top w:val="none" w:sz="0" w:space="0" w:color="auto"/>
                <w:left w:val="none" w:sz="0" w:space="0" w:color="auto"/>
                <w:bottom w:val="none" w:sz="0" w:space="0" w:color="auto"/>
                <w:right w:val="none" w:sz="0" w:space="0" w:color="auto"/>
              </w:divBdr>
              <w:divsChild>
                <w:div w:id="1271352176">
                  <w:marLeft w:val="0"/>
                  <w:marRight w:val="0"/>
                  <w:marTop w:val="0"/>
                  <w:marBottom w:val="0"/>
                  <w:divBdr>
                    <w:top w:val="none" w:sz="0" w:space="0" w:color="auto"/>
                    <w:left w:val="none" w:sz="0" w:space="0" w:color="auto"/>
                    <w:bottom w:val="none" w:sz="0" w:space="0" w:color="auto"/>
                    <w:right w:val="none" w:sz="0" w:space="0" w:color="auto"/>
                  </w:divBdr>
                </w:div>
              </w:divsChild>
            </w:div>
            <w:div w:id="1846284701">
              <w:marLeft w:val="0"/>
              <w:marRight w:val="0"/>
              <w:marTop w:val="0"/>
              <w:marBottom w:val="0"/>
              <w:divBdr>
                <w:top w:val="none" w:sz="0" w:space="0" w:color="auto"/>
                <w:left w:val="none" w:sz="0" w:space="0" w:color="auto"/>
                <w:bottom w:val="none" w:sz="0" w:space="0" w:color="auto"/>
                <w:right w:val="none" w:sz="0" w:space="0" w:color="auto"/>
              </w:divBdr>
              <w:divsChild>
                <w:div w:id="45857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87534">
          <w:marLeft w:val="0"/>
          <w:marRight w:val="0"/>
          <w:marTop w:val="0"/>
          <w:marBottom w:val="0"/>
          <w:divBdr>
            <w:top w:val="none" w:sz="0" w:space="0" w:color="auto"/>
            <w:left w:val="none" w:sz="0" w:space="0" w:color="auto"/>
            <w:bottom w:val="none" w:sz="0" w:space="0" w:color="auto"/>
            <w:right w:val="none" w:sz="0" w:space="0" w:color="auto"/>
          </w:divBdr>
          <w:divsChild>
            <w:div w:id="1284921085">
              <w:marLeft w:val="0"/>
              <w:marRight w:val="0"/>
              <w:marTop w:val="0"/>
              <w:marBottom w:val="0"/>
              <w:divBdr>
                <w:top w:val="none" w:sz="0" w:space="0" w:color="auto"/>
                <w:left w:val="none" w:sz="0" w:space="0" w:color="auto"/>
                <w:bottom w:val="none" w:sz="0" w:space="0" w:color="auto"/>
                <w:right w:val="none" w:sz="0" w:space="0" w:color="auto"/>
              </w:divBdr>
              <w:divsChild>
                <w:div w:id="1773668264">
                  <w:marLeft w:val="0"/>
                  <w:marRight w:val="0"/>
                  <w:marTop w:val="0"/>
                  <w:marBottom w:val="0"/>
                  <w:divBdr>
                    <w:top w:val="none" w:sz="0" w:space="0" w:color="auto"/>
                    <w:left w:val="none" w:sz="0" w:space="0" w:color="auto"/>
                    <w:bottom w:val="none" w:sz="0" w:space="0" w:color="auto"/>
                    <w:right w:val="none" w:sz="0" w:space="0" w:color="auto"/>
                  </w:divBdr>
                </w:div>
              </w:divsChild>
            </w:div>
            <w:div w:id="1355620632">
              <w:marLeft w:val="0"/>
              <w:marRight w:val="0"/>
              <w:marTop w:val="0"/>
              <w:marBottom w:val="0"/>
              <w:divBdr>
                <w:top w:val="none" w:sz="0" w:space="0" w:color="auto"/>
                <w:left w:val="none" w:sz="0" w:space="0" w:color="auto"/>
                <w:bottom w:val="none" w:sz="0" w:space="0" w:color="auto"/>
                <w:right w:val="none" w:sz="0" w:space="0" w:color="auto"/>
              </w:divBdr>
              <w:divsChild>
                <w:div w:id="145051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464070">
          <w:marLeft w:val="0"/>
          <w:marRight w:val="0"/>
          <w:marTop w:val="0"/>
          <w:marBottom w:val="0"/>
          <w:divBdr>
            <w:top w:val="none" w:sz="0" w:space="0" w:color="auto"/>
            <w:left w:val="none" w:sz="0" w:space="0" w:color="auto"/>
            <w:bottom w:val="none" w:sz="0" w:space="0" w:color="auto"/>
            <w:right w:val="none" w:sz="0" w:space="0" w:color="auto"/>
          </w:divBdr>
          <w:divsChild>
            <w:div w:id="280379890">
              <w:marLeft w:val="0"/>
              <w:marRight w:val="0"/>
              <w:marTop w:val="0"/>
              <w:marBottom w:val="0"/>
              <w:divBdr>
                <w:top w:val="none" w:sz="0" w:space="0" w:color="auto"/>
                <w:left w:val="none" w:sz="0" w:space="0" w:color="auto"/>
                <w:bottom w:val="none" w:sz="0" w:space="0" w:color="auto"/>
                <w:right w:val="none" w:sz="0" w:space="0" w:color="auto"/>
              </w:divBdr>
              <w:divsChild>
                <w:div w:id="1199469086">
                  <w:marLeft w:val="0"/>
                  <w:marRight w:val="0"/>
                  <w:marTop w:val="0"/>
                  <w:marBottom w:val="0"/>
                  <w:divBdr>
                    <w:top w:val="none" w:sz="0" w:space="0" w:color="auto"/>
                    <w:left w:val="none" w:sz="0" w:space="0" w:color="auto"/>
                    <w:bottom w:val="none" w:sz="0" w:space="0" w:color="auto"/>
                    <w:right w:val="none" w:sz="0" w:space="0" w:color="auto"/>
                  </w:divBdr>
                </w:div>
              </w:divsChild>
            </w:div>
            <w:div w:id="1053236424">
              <w:marLeft w:val="0"/>
              <w:marRight w:val="0"/>
              <w:marTop w:val="0"/>
              <w:marBottom w:val="0"/>
              <w:divBdr>
                <w:top w:val="none" w:sz="0" w:space="0" w:color="auto"/>
                <w:left w:val="none" w:sz="0" w:space="0" w:color="auto"/>
                <w:bottom w:val="none" w:sz="0" w:space="0" w:color="auto"/>
                <w:right w:val="none" w:sz="0" w:space="0" w:color="auto"/>
              </w:divBdr>
              <w:divsChild>
                <w:div w:id="19380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26122">
          <w:marLeft w:val="0"/>
          <w:marRight w:val="0"/>
          <w:marTop w:val="0"/>
          <w:marBottom w:val="0"/>
          <w:divBdr>
            <w:top w:val="none" w:sz="0" w:space="0" w:color="auto"/>
            <w:left w:val="none" w:sz="0" w:space="0" w:color="auto"/>
            <w:bottom w:val="none" w:sz="0" w:space="0" w:color="auto"/>
            <w:right w:val="none" w:sz="0" w:space="0" w:color="auto"/>
          </w:divBdr>
          <w:divsChild>
            <w:div w:id="144325620">
              <w:marLeft w:val="0"/>
              <w:marRight w:val="0"/>
              <w:marTop w:val="0"/>
              <w:marBottom w:val="0"/>
              <w:divBdr>
                <w:top w:val="none" w:sz="0" w:space="0" w:color="auto"/>
                <w:left w:val="none" w:sz="0" w:space="0" w:color="auto"/>
                <w:bottom w:val="none" w:sz="0" w:space="0" w:color="auto"/>
                <w:right w:val="none" w:sz="0" w:space="0" w:color="auto"/>
              </w:divBdr>
              <w:divsChild>
                <w:div w:id="631062569">
                  <w:marLeft w:val="0"/>
                  <w:marRight w:val="0"/>
                  <w:marTop w:val="0"/>
                  <w:marBottom w:val="0"/>
                  <w:divBdr>
                    <w:top w:val="none" w:sz="0" w:space="0" w:color="auto"/>
                    <w:left w:val="none" w:sz="0" w:space="0" w:color="auto"/>
                    <w:bottom w:val="none" w:sz="0" w:space="0" w:color="auto"/>
                    <w:right w:val="none" w:sz="0" w:space="0" w:color="auto"/>
                  </w:divBdr>
                </w:div>
              </w:divsChild>
            </w:div>
            <w:div w:id="1344278437">
              <w:marLeft w:val="0"/>
              <w:marRight w:val="0"/>
              <w:marTop w:val="0"/>
              <w:marBottom w:val="0"/>
              <w:divBdr>
                <w:top w:val="none" w:sz="0" w:space="0" w:color="auto"/>
                <w:left w:val="none" w:sz="0" w:space="0" w:color="auto"/>
                <w:bottom w:val="none" w:sz="0" w:space="0" w:color="auto"/>
                <w:right w:val="none" w:sz="0" w:space="0" w:color="auto"/>
              </w:divBdr>
              <w:divsChild>
                <w:div w:id="29946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365306">
          <w:marLeft w:val="0"/>
          <w:marRight w:val="0"/>
          <w:marTop w:val="0"/>
          <w:marBottom w:val="0"/>
          <w:divBdr>
            <w:top w:val="none" w:sz="0" w:space="0" w:color="auto"/>
            <w:left w:val="none" w:sz="0" w:space="0" w:color="auto"/>
            <w:bottom w:val="none" w:sz="0" w:space="0" w:color="auto"/>
            <w:right w:val="none" w:sz="0" w:space="0" w:color="auto"/>
          </w:divBdr>
          <w:divsChild>
            <w:div w:id="421339000">
              <w:marLeft w:val="0"/>
              <w:marRight w:val="0"/>
              <w:marTop w:val="0"/>
              <w:marBottom w:val="0"/>
              <w:divBdr>
                <w:top w:val="none" w:sz="0" w:space="0" w:color="auto"/>
                <w:left w:val="none" w:sz="0" w:space="0" w:color="auto"/>
                <w:bottom w:val="none" w:sz="0" w:space="0" w:color="auto"/>
                <w:right w:val="none" w:sz="0" w:space="0" w:color="auto"/>
              </w:divBdr>
              <w:divsChild>
                <w:div w:id="775755268">
                  <w:marLeft w:val="0"/>
                  <w:marRight w:val="0"/>
                  <w:marTop w:val="0"/>
                  <w:marBottom w:val="0"/>
                  <w:divBdr>
                    <w:top w:val="none" w:sz="0" w:space="0" w:color="auto"/>
                    <w:left w:val="none" w:sz="0" w:space="0" w:color="auto"/>
                    <w:bottom w:val="none" w:sz="0" w:space="0" w:color="auto"/>
                    <w:right w:val="none" w:sz="0" w:space="0" w:color="auto"/>
                  </w:divBdr>
                </w:div>
              </w:divsChild>
            </w:div>
            <w:div w:id="669018605">
              <w:marLeft w:val="0"/>
              <w:marRight w:val="0"/>
              <w:marTop w:val="0"/>
              <w:marBottom w:val="0"/>
              <w:divBdr>
                <w:top w:val="none" w:sz="0" w:space="0" w:color="auto"/>
                <w:left w:val="none" w:sz="0" w:space="0" w:color="auto"/>
                <w:bottom w:val="none" w:sz="0" w:space="0" w:color="auto"/>
                <w:right w:val="none" w:sz="0" w:space="0" w:color="auto"/>
              </w:divBdr>
              <w:divsChild>
                <w:div w:id="14575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71553">
          <w:marLeft w:val="0"/>
          <w:marRight w:val="0"/>
          <w:marTop w:val="0"/>
          <w:marBottom w:val="0"/>
          <w:divBdr>
            <w:top w:val="none" w:sz="0" w:space="0" w:color="auto"/>
            <w:left w:val="none" w:sz="0" w:space="0" w:color="auto"/>
            <w:bottom w:val="none" w:sz="0" w:space="0" w:color="auto"/>
            <w:right w:val="none" w:sz="0" w:space="0" w:color="auto"/>
          </w:divBdr>
          <w:divsChild>
            <w:div w:id="145780563">
              <w:marLeft w:val="0"/>
              <w:marRight w:val="0"/>
              <w:marTop w:val="0"/>
              <w:marBottom w:val="0"/>
              <w:divBdr>
                <w:top w:val="none" w:sz="0" w:space="0" w:color="auto"/>
                <w:left w:val="none" w:sz="0" w:space="0" w:color="auto"/>
                <w:bottom w:val="none" w:sz="0" w:space="0" w:color="auto"/>
                <w:right w:val="none" w:sz="0" w:space="0" w:color="auto"/>
              </w:divBdr>
              <w:divsChild>
                <w:div w:id="564948289">
                  <w:marLeft w:val="0"/>
                  <w:marRight w:val="0"/>
                  <w:marTop w:val="0"/>
                  <w:marBottom w:val="0"/>
                  <w:divBdr>
                    <w:top w:val="none" w:sz="0" w:space="0" w:color="auto"/>
                    <w:left w:val="none" w:sz="0" w:space="0" w:color="auto"/>
                    <w:bottom w:val="none" w:sz="0" w:space="0" w:color="auto"/>
                    <w:right w:val="none" w:sz="0" w:space="0" w:color="auto"/>
                  </w:divBdr>
                </w:div>
              </w:divsChild>
            </w:div>
            <w:div w:id="620495242">
              <w:marLeft w:val="0"/>
              <w:marRight w:val="0"/>
              <w:marTop w:val="0"/>
              <w:marBottom w:val="0"/>
              <w:divBdr>
                <w:top w:val="none" w:sz="0" w:space="0" w:color="auto"/>
                <w:left w:val="none" w:sz="0" w:space="0" w:color="auto"/>
                <w:bottom w:val="none" w:sz="0" w:space="0" w:color="auto"/>
                <w:right w:val="none" w:sz="0" w:space="0" w:color="auto"/>
              </w:divBdr>
              <w:divsChild>
                <w:div w:id="5463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02419">
          <w:marLeft w:val="0"/>
          <w:marRight w:val="0"/>
          <w:marTop w:val="0"/>
          <w:marBottom w:val="0"/>
          <w:divBdr>
            <w:top w:val="none" w:sz="0" w:space="0" w:color="auto"/>
            <w:left w:val="none" w:sz="0" w:space="0" w:color="auto"/>
            <w:bottom w:val="none" w:sz="0" w:space="0" w:color="auto"/>
            <w:right w:val="none" w:sz="0" w:space="0" w:color="auto"/>
          </w:divBdr>
          <w:divsChild>
            <w:div w:id="1924218245">
              <w:marLeft w:val="0"/>
              <w:marRight w:val="0"/>
              <w:marTop w:val="0"/>
              <w:marBottom w:val="0"/>
              <w:divBdr>
                <w:top w:val="none" w:sz="0" w:space="0" w:color="auto"/>
                <w:left w:val="none" w:sz="0" w:space="0" w:color="auto"/>
                <w:bottom w:val="none" w:sz="0" w:space="0" w:color="auto"/>
                <w:right w:val="none" w:sz="0" w:space="0" w:color="auto"/>
              </w:divBdr>
              <w:divsChild>
                <w:div w:id="335227483">
                  <w:marLeft w:val="0"/>
                  <w:marRight w:val="0"/>
                  <w:marTop w:val="0"/>
                  <w:marBottom w:val="0"/>
                  <w:divBdr>
                    <w:top w:val="none" w:sz="0" w:space="0" w:color="auto"/>
                    <w:left w:val="none" w:sz="0" w:space="0" w:color="auto"/>
                    <w:bottom w:val="none" w:sz="0" w:space="0" w:color="auto"/>
                    <w:right w:val="none" w:sz="0" w:space="0" w:color="auto"/>
                  </w:divBdr>
                </w:div>
              </w:divsChild>
            </w:div>
            <w:div w:id="1943682292">
              <w:marLeft w:val="0"/>
              <w:marRight w:val="0"/>
              <w:marTop w:val="0"/>
              <w:marBottom w:val="0"/>
              <w:divBdr>
                <w:top w:val="none" w:sz="0" w:space="0" w:color="auto"/>
                <w:left w:val="none" w:sz="0" w:space="0" w:color="auto"/>
                <w:bottom w:val="none" w:sz="0" w:space="0" w:color="auto"/>
                <w:right w:val="none" w:sz="0" w:space="0" w:color="auto"/>
              </w:divBdr>
              <w:divsChild>
                <w:div w:id="7000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0620">
          <w:marLeft w:val="0"/>
          <w:marRight w:val="0"/>
          <w:marTop w:val="0"/>
          <w:marBottom w:val="0"/>
          <w:divBdr>
            <w:top w:val="none" w:sz="0" w:space="0" w:color="auto"/>
            <w:left w:val="none" w:sz="0" w:space="0" w:color="auto"/>
            <w:bottom w:val="none" w:sz="0" w:space="0" w:color="auto"/>
            <w:right w:val="none" w:sz="0" w:space="0" w:color="auto"/>
          </w:divBdr>
          <w:divsChild>
            <w:div w:id="767888111">
              <w:marLeft w:val="0"/>
              <w:marRight w:val="0"/>
              <w:marTop w:val="0"/>
              <w:marBottom w:val="0"/>
              <w:divBdr>
                <w:top w:val="none" w:sz="0" w:space="0" w:color="auto"/>
                <w:left w:val="none" w:sz="0" w:space="0" w:color="auto"/>
                <w:bottom w:val="none" w:sz="0" w:space="0" w:color="auto"/>
                <w:right w:val="none" w:sz="0" w:space="0" w:color="auto"/>
              </w:divBdr>
              <w:divsChild>
                <w:div w:id="11500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71945">
      <w:bodyDiv w:val="1"/>
      <w:marLeft w:val="0"/>
      <w:marRight w:val="0"/>
      <w:marTop w:val="0"/>
      <w:marBottom w:val="0"/>
      <w:divBdr>
        <w:top w:val="none" w:sz="0" w:space="0" w:color="auto"/>
        <w:left w:val="none" w:sz="0" w:space="0" w:color="auto"/>
        <w:bottom w:val="none" w:sz="0" w:space="0" w:color="auto"/>
        <w:right w:val="none" w:sz="0" w:space="0" w:color="auto"/>
      </w:divBdr>
      <w:divsChild>
        <w:div w:id="607590654">
          <w:marLeft w:val="0"/>
          <w:marRight w:val="0"/>
          <w:marTop w:val="0"/>
          <w:marBottom w:val="0"/>
          <w:divBdr>
            <w:top w:val="none" w:sz="0" w:space="0" w:color="auto"/>
            <w:left w:val="none" w:sz="0" w:space="0" w:color="auto"/>
            <w:bottom w:val="none" w:sz="0" w:space="0" w:color="auto"/>
            <w:right w:val="none" w:sz="0" w:space="0" w:color="auto"/>
          </w:divBdr>
          <w:divsChild>
            <w:div w:id="491336148">
              <w:marLeft w:val="0"/>
              <w:marRight w:val="0"/>
              <w:marTop w:val="0"/>
              <w:marBottom w:val="0"/>
              <w:divBdr>
                <w:top w:val="none" w:sz="0" w:space="0" w:color="auto"/>
                <w:left w:val="none" w:sz="0" w:space="0" w:color="auto"/>
                <w:bottom w:val="none" w:sz="0" w:space="0" w:color="auto"/>
                <w:right w:val="none" w:sz="0" w:space="0" w:color="auto"/>
              </w:divBdr>
              <w:divsChild>
                <w:div w:id="1009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18591">
      <w:bodyDiv w:val="1"/>
      <w:marLeft w:val="0"/>
      <w:marRight w:val="0"/>
      <w:marTop w:val="0"/>
      <w:marBottom w:val="0"/>
      <w:divBdr>
        <w:top w:val="none" w:sz="0" w:space="0" w:color="auto"/>
        <w:left w:val="none" w:sz="0" w:space="0" w:color="auto"/>
        <w:bottom w:val="none" w:sz="0" w:space="0" w:color="auto"/>
        <w:right w:val="none" w:sz="0" w:space="0" w:color="auto"/>
      </w:divBdr>
      <w:divsChild>
        <w:div w:id="1381325326">
          <w:marLeft w:val="0"/>
          <w:marRight w:val="0"/>
          <w:marTop w:val="0"/>
          <w:marBottom w:val="0"/>
          <w:divBdr>
            <w:top w:val="none" w:sz="0" w:space="0" w:color="auto"/>
            <w:left w:val="none" w:sz="0" w:space="0" w:color="auto"/>
            <w:bottom w:val="none" w:sz="0" w:space="0" w:color="auto"/>
            <w:right w:val="none" w:sz="0" w:space="0" w:color="auto"/>
          </w:divBdr>
          <w:divsChild>
            <w:div w:id="188177420">
              <w:marLeft w:val="0"/>
              <w:marRight w:val="0"/>
              <w:marTop w:val="0"/>
              <w:marBottom w:val="0"/>
              <w:divBdr>
                <w:top w:val="none" w:sz="0" w:space="0" w:color="auto"/>
                <w:left w:val="none" w:sz="0" w:space="0" w:color="auto"/>
                <w:bottom w:val="none" w:sz="0" w:space="0" w:color="auto"/>
                <w:right w:val="none" w:sz="0" w:space="0" w:color="auto"/>
              </w:divBdr>
              <w:divsChild>
                <w:div w:id="181633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875439">
      <w:bodyDiv w:val="1"/>
      <w:marLeft w:val="0"/>
      <w:marRight w:val="0"/>
      <w:marTop w:val="0"/>
      <w:marBottom w:val="0"/>
      <w:divBdr>
        <w:top w:val="none" w:sz="0" w:space="0" w:color="auto"/>
        <w:left w:val="none" w:sz="0" w:space="0" w:color="auto"/>
        <w:bottom w:val="none" w:sz="0" w:space="0" w:color="auto"/>
        <w:right w:val="none" w:sz="0" w:space="0" w:color="auto"/>
      </w:divBdr>
    </w:div>
    <w:div w:id="1631205457">
      <w:bodyDiv w:val="1"/>
      <w:marLeft w:val="0"/>
      <w:marRight w:val="0"/>
      <w:marTop w:val="0"/>
      <w:marBottom w:val="0"/>
      <w:divBdr>
        <w:top w:val="none" w:sz="0" w:space="0" w:color="auto"/>
        <w:left w:val="none" w:sz="0" w:space="0" w:color="auto"/>
        <w:bottom w:val="none" w:sz="0" w:space="0" w:color="auto"/>
        <w:right w:val="none" w:sz="0" w:space="0" w:color="auto"/>
      </w:divBdr>
      <w:divsChild>
        <w:div w:id="704522666">
          <w:marLeft w:val="0"/>
          <w:marRight w:val="0"/>
          <w:marTop w:val="0"/>
          <w:marBottom w:val="0"/>
          <w:divBdr>
            <w:top w:val="single" w:sz="2" w:space="0" w:color="C0C0C0"/>
            <w:left w:val="single" w:sz="6" w:space="0" w:color="C0C0C0"/>
            <w:bottom w:val="single" w:sz="6" w:space="0" w:color="C0C0C0"/>
            <w:right w:val="single" w:sz="6" w:space="0" w:color="C0C0C0"/>
          </w:divBdr>
          <w:divsChild>
            <w:div w:id="950666622">
              <w:marLeft w:val="0"/>
              <w:marRight w:val="0"/>
              <w:marTop w:val="0"/>
              <w:marBottom w:val="0"/>
              <w:divBdr>
                <w:top w:val="none" w:sz="0" w:space="0" w:color="auto"/>
                <w:left w:val="none" w:sz="0" w:space="0" w:color="auto"/>
                <w:bottom w:val="none" w:sz="0" w:space="0" w:color="auto"/>
                <w:right w:val="none" w:sz="0" w:space="0" w:color="auto"/>
              </w:divBdr>
              <w:divsChild>
                <w:div w:id="1358577536">
                  <w:marLeft w:val="0"/>
                  <w:marRight w:val="0"/>
                  <w:marTop w:val="0"/>
                  <w:marBottom w:val="0"/>
                  <w:divBdr>
                    <w:top w:val="none" w:sz="0" w:space="0" w:color="auto"/>
                    <w:left w:val="none" w:sz="0" w:space="0" w:color="auto"/>
                    <w:bottom w:val="none" w:sz="0" w:space="0" w:color="auto"/>
                    <w:right w:val="none" w:sz="0" w:space="0" w:color="auto"/>
                  </w:divBdr>
                  <w:divsChild>
                    <w:div w:id="592786891">
                      <w:marLeft w:val="240"/>
                      <w:marRight w:val="240"/>
                      <w:marTop w:val="630"/>
                      <w:marBottom w:val="240"/>
                      <w:divBdr>
                        <w:top w:val="none" w:sz="0" w:space="0" w:color="auto"/>
                        <w:left w:val="none" w:sz="0" w:space="0" w:color="auto"/>
                        <w:bottom w:val="none" w:sz="0" w:space="0" w:color="auto"/>
                        <w:right w:val="none" w:sz="0" w:space="0" w:color="auto"/>
                      </w:divBdr>
                    </w:div>
                  </w:divsChild>
                </w:div>
              </w:divsChild>
            </w:div>
          </w:divsChild>
        </w:div>
        <w:div w:id="1820150101">
          <w:marLeft w:val="0"/>
          <w:marRight w:val="0"/>
          <w:marTop w:val="0"/>
          <w:marBottom w:val="0"/>
          <w:divBdr>
            <w:top w:val="none" w:sz="0" w:space="0" w:color="auto"/>
            <w:left w:val="none" w:sz="0" w:space="0" w:color="auto"/>
            <w:bottom w:val="none" w:sz="0" w:space="0" w:color="auto"/>
            <w:right w:val="none" w:sz="0" w:space="0" w:color="auto"/>
          </w:divBdr>
        </w:div>
      </w:divsChild>
    </w:div>
    <w:div w:id="1634673452">
      <w:bodyDiv w:val="1"/>
      <w:marLeft w:val="0"/>
      <w:marRight w:val="0"/>
      <w:marTop w:val="0"/>
      <w:marBottom w:val="0"/>
      <w:divBdr>
        <w:top w:val="none" w:sz="0" w:space="0" w:color="auto"/>
        <w:left w:val="none" w:sz="0" w:space="0" w:color="auto"/>
        <w:bottom w:val="none" w:sz="0" w:space="0" w:color="auto"/>
        <w:right w:val="none" w:sz="0" w:space="0" w:color="auto"/>
      </w:divBdr>
    </w:div>
    <w:div w:id="1662928145">
      <w:bodyDiv w:val="1"/>
      <w:marLeft w:val="0"/>
      <w:marRight w:val="0"/>
      <w:marTop w:val="0"/>
      <w:marBottom w:val="0"/>
      <w:divBdr>
        <w:top w:val="none" w:sz="0" w:space="0" w:color="auto"/>
        <w:left w:val="none" w:sz="0" w:space="0" w:color="auto"/>
        <w:bottom w:val="none" w:sz="0" w:space="0" w:color="auto"/>
        <w:right w:val="none" w:sz="0" w:space="0" w:color="auto"/>
      </w:divBdr>
      <w:divsChild>
        <w:div w:id="1009992591">
          <w:marLeft w:val="0"/>
          <w:marRight w:val="0"/>
          <w:marTop w:val="0"/>
          <w:marBottom w:val="0"/>
          <w:divBdr>
            <w:top w:val="none" w:sz="0" w:space="0" w:color="auto"/>
            <w:left w:val="none" w:sz="0" w:space="0" w:color="auto"/>
            <w:bottom w:val="none" w:sz="0" w:space="0" w:color="auto"/>
            <w:right w:val="none" w:sz="0" w:space="0" w:color="auto"/>
          </w:divBdr>
          <w:divsChild>
            <w:div w:id="1872188724">
              <w:marLeft w:val="0"/>
              <w:marRight w:val="0"/>
              <w:marTop w:val="0"/>
              <w:marBottom w:val="0"/>
              <w:divBdr>
                <w:top w:val="none" w:sz="0" w:space="0" w:color="auto"/>
                <w:left w:val="none" w:sz="0" w:space="0" w:color="auto"/>
                <w:bottom w:val="none" w:sz="0" w:space="0" w:color="auto"/>
                <w:right w:val="none" w:sz="0" w:space="0" w:color="auto"/>
              </w:divBdr>
              <w:divsChild>
                <w:div w:id="757482850">
                  <w:marLeft w:val="0"/>
                  <w:marRight w:val="0"/>
                  <w:marTop w:val="0"/>
                  <w:marBottom w:val="0"/>
                  <w:divBdr>
                    <w:top w:val="none" w:sz="0" w:space="0" w:color="auto"/>
                    <w:left w:val="none" w:sz="0" w:space="0" w:color="auto"/>
                    <w:bottom w:val="none" w:sz="0" w:space="0" w:color="auto"/>
                    <w:right w:val="none" w:sz="0" w:space="0" w:color="auto"/>
                  </w:divBdr>
                  <w:divsChild>
                    <w:div w:id="163521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424877">
      <w:bodyDiv w:val="1"/>
      <w:marLeft w:val="0"/>
      <w:marRight w:val="0"/>
      <w:marTop w:val="0"/>
      <w:marBottom w:val="0"/>
      <w:divBdr>
        <w:top w:val="none" w:sz="0" w:space="0" w:color="auto"/>
        <w:left w:val="none" w:sz="0" w:space="0" w:color="auto"/>
        <w:bottom w:val="none" w:sz="0" w:space="0" w:color="auto"/>
        <w:right w:val="none" w:sz="0" w:space="0" w:color="auto"/>
      </w:divBdr>
    </w:div>
    <w:div w:id="1826312703">
      <w:bodyDiv w:val="1"/>
      <w:marLeft w:val="0"/>
      <w:marRight w:val="0"/>
      <w:marTop w:val="0"/>
      <w:marBottom w:val="0"/>
      <w:divBdr>
        <w:top w:val="none" w:sz="0" w:space="0" w:color="auto"/>
        <w:left w:val="none" w:sz="0" w:space="0" w:color="auto"/>
        <w:bottom w:val="none" w:sz="0" w:space="0" w:color="auto"/>
        <w:right w:val="none" w:sz="0" w:space="0" w:color="auto"/>
      </w:divBdr>
    </w:div>
    <w:div w:id="1844314426">
      <w:bodyDiv w:val="1"/>
      <w:marLeft w:val="0"/>
      <w:marRight w:val="0"/>
      <w:marTop w:val="0"/>
      <w:marBottom w:val="0"/>
      <w:divBdr>
        <w:top w:val="none" w:sz="0" w:space="0" w:color="auto"/>
        <w:left w:val="none" w:sz="0" w:space="0" w:color="auto"/>
        <w:bottom w:val="none" w:sz="0" w:space="0" w:color="auto"/>
        <w:right w:val="none" w:sz="0" w:space="0" w:color="auto"/>
      </w:divBdr>
      <w:divsChild>
        <w:div w:id="1074398291">
          <w:marLeft w:val="0"/>
          <w:marRight w:val="0"/>
          <w:marTop w:val="0"/>
          <w:marBottom w:val="0"/>
          <w:divBdr>
            <w:top w:val="none" w:sz="0" w:space="0" w:color="auto"/>
            <w:left w:val="none" w:sz="0" w:space="0" w:color="auto"/>
            <w:bottom w:val="none" w:sz="0" w:space="0" w:color="auto"/>
            <w:right w:val="none" w:sz="0" w:space="0" w:color="auto"/>
          </w:divBdr>
          <w:divsChild>
            <w:div w:id="2008245050">
              <w:marLeft w:val="0"/>
              <w:marRight w:val="0"/>
              <w:marTop w:val="0"/>
              <w:marBottom w:val="0"/>
              <w:divBdr>
                <w:top w:val="none" w:sz="0" w:space="0" w:color="auto"/>
                <w:left w:val="none" w:sz="0" w:space="0" w:color="auto"/>
                <w:bottom w:val="none" w:sz="0" w:space="0" w:color="auto"/>
                <w:right w:val="none" w:sz="0" w:space="0" w:color="auto"/>
              </w:divBdr>
              <w:divsChild>
                <w:div w:id="1654216903">
                  <w:marLeft w:val="0"/>
                  <w:marRight w:val="0"/>
                  <w:marTop w:val="0"/>
                  <w:marBottom w:val="0"/>
                  <w:divBdr>
                    <w:top w:val="none" w:sz="0" w:space="0" w:color="auto"/>
                    <w:left w:val="none" w:sz="0" w:space="0" w:color="auto"/>
                    <w:bottom w:val="none" w:sz="0" w:space="0" w:color="auto"/>
                    <w:right w:val="none" w:sz="0" w:space="0" w:color="auto"/>
                  </w:divBdr>
                  <w:divsChild>
                    <w:div w:id="28858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283261">
      <w:bodyDiv w:val="1"/>
      <w:marLeft w:val="0"/>
      <w:marRight w:val="0"/>
      <w:marTop w:val="0"/>
      <w:marBottom w:val="0"/>
      <w:divBdr>
        <w:top w:val="none" w:sz="0" w:space="0" w:color="auto"/>
        <w:left w:val="none" w:sz="0" w:space="0" w:color="auto"/>
        <w:bottom w:val="none" w:sz="0" w:space="0" w:color="auto"/>
        <w:right w:val="none" w:sz="0" w:space="0" w:color="auto"/>
      </w:divBdr>
    </w:div>
    <w:div w:id="1971084495">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 w:id="2060087521">
      <w:bodyDiv w:val="1"/>
      <w:marLeft w:val="0"/>
      <w:marRight w:val="0"/>
      <w:marTop w:val="0"/>
      <w:marBottom w:val="0"/>
      <w:divBdr>
        <w:top w:val="none" w:sz="0" w:space="0" w:color="auto"/>
        <w:left w:val="none" w:sz="0" w:space="0" w:color="auto"/>
        <w:bottom w:val="none" w:sz="0" w:space="0" w:color="auto"/>
        <w:right w:val="none" w:sz="0" w:space="0" w:color="auto"/>
      </w:divBdr>
    </w:div>
    <w:div w:id="2060283063">
      <w:bodyDiv w:val="1"/>
      <w:marLeft w:val="0"/>
      <w:marRight w:val="0"/>
      <w:marTop w:val="0"/>
      <w:marBottom w:val="0"/>
      <w:divBdr>
        <w:top w:val="none" w:sz="0" w:space="0" w:color="auto"/>
        <w:left w:val="none" w:sz="0" w:space="0" w:color="auto"/>
        <w:bottom w:val="none" w:sz="0" w:space="0" w:color="auto"/>
        <w:right w:val="none" w:sz="0" w:space="0" w:color="auto"/>
      </w:divBdr>
      <w:divsChild>
        <w:div w:id="1710295204">
          <w:marLeft w:val="0"/>
          <w:marRight w:val="0"/>
          <w:marTop w:val="0"/>
          <w:marBottom w:val="0"/>
          <w:divBdr>
            <w:top w:val="none" w:sz="0" w:space="0" w:color="auto"/>
            <w:left w:val="none" w:sz="0" w:space="0" w:color="auto"/>
            <w:bottom w:val="none" w:sz="0" w:space="0" w:color="auto"/>
            <w:right w:val="none" w:sz="0" w:space="0" w:color="auto"/>
          </w:divBdr>
          <w:divsChild>
            <w:div w:id="257832042">
              <w:marLeft w:val="0"/>
              <w:marRight w:val="0"/>
              <w:marTop w:val="0"/>
              <w:marBottom w:val="0"/>
              <w:divBdr>
                <w:top w:val="none" w:sz="0" w:space="0" w:color="auto"/>
                <w:left w:val="none" w:sz="0" w:space="0" w:color="auto"/>
                <w:bottom w:val="none" w:sz="0" w:space="0" w:color="auto"/>
                <w:right w:val="none" w:sz="0" w:space="0" w:color="auto"/>
              </w:divBdr>
              <w:divsChild>
                <w:div w:id="8503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77761">
          <w:marLeft w:val="0"/>
          <w:marRight w:val="0"/>
          <w:marTop w:val="0"/>
          <w:marBottom w:val="0"/>
          <w:divBdr>
            <w:top w:val="none" w:sz="0" w:space="0" w:color="auto"/>
            <w:left w:val="none" w:sz="0" w:space="0" w:color="auto"/>
            <w:bottom w:val="none" w:sz="0" w:space="0" w:color="auto"/>
            <w:right w:val="none" w:sz="0" w:space="0" w:color="auto"/>
          </w:divBdr>
          <w:divsChild>
            <w:div w:id="1161891381">
              <w:marLeft w:val="0"/>
              <w:marRight w:val="0"/>
              <w:marTop w:val="0"/>
              <w:marBottom w:val="0"/>
              <w:divBdr>
                <w:top w:val="none" w:sz="0" w:space="0" w:color="auto"/>
                <w:left w:val="none" w:sz="0" w:space="0" w:color="auto"/>
                <w:bottom w:val="none" w:sz="0" w:space="0" w:color="auto"/>
                <w:right w:val="none" w:sz="0" w:space="0" w:color="auto"/>
              </w:divBdr>
              <w:divsChild>
                <w:div w:id="991062399">
                  <w:marLeft w:val="0"/>
                  <w:marRight w:val="0"/>
                  <w:marTop w:val="0"/>
                  <w:marBottom w:val="0"/>
                  <w:divBdr>
                    <w:top w:val="none" w:sz="0" w:space="0" w:color="auto"/>
                    <w:left w:val="none" w:sz="0" w:space="0" w:color="auto"/>
                    <w:bottom w:val="none" w:sz="0" w:space="0" w:color="auto"/>
                    <w:right w:val="none" w:sz="0" w:space="0" w:color="auto"/>
                  </w:divBdr>
                </w:div>
              </w:divsChild>
            </w:div>
            <w:div w:id="1313220397">
              <w:marLeft w:val="0"/>
              <w:marRight w:val="0"/>
              <w:marTop w:val="0"/>
              <w:marBottom w:val="0"/>
              <w:divBdr>
                <w:top w:val="none" w:sz="0" w:space="0" w:color="auto"/>
                <w:left w:val="none" w:sz="0" w:space="0" w:color="auto"/>
                <w:bottom w:val="none" w:sz="0" w:space="0" w:color="auto"/>
                <w:right w:val="none" w:sz="0" w:space="0" w:color="auto"/>
              </w:divBdr>
              <w:divsChild>
                <w:div w:id="6181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83119">
      <w:bodyDiv w:val="1"/>
      <w:marLeft w:val="0"/>
      <w:marRight w:val="0"/>
      <w:marTop w:val="0"/>
      <w:marBottom w:val="0"/>
      <w:divBdr>
        <w:top w:val="none" w:sz="0" w:space="0" w:color="auto"/>
        <w:left w:val="none" w:sz="0" w:space="0" w:color="auto"/>
        <w:bottom w:val="none" w:sz="0" w:space="0" w:color="auto"/>
        <w:right w:val="none" w:sz="0" w:space="0" w:color="auto"/>
      </w:divBdr>
    </w:div>
    <w:div w:id="2080245273">
      <w:bodyDiv w:val="1"/>
      <w:marLeft w:val="0"/>
      <w:marRight w:val="0"/>
      <w:marTop w:val="0"/>
      <w:marBottom w:val="0"/>
      <w:divBdr>
        <w:top w:val="none" w:sz="0" w:space="0" w:color="auto"/>
        <w:left w:val="none" w:sz="0" w:space="0" w:color="auto"/>
        <w:bottom w:val="none" w:sz="0" w:space="0" w:color="auto"/>
        <w:right w:val="none" w:sz="0" w:space="0" w:color="auto"/>
      </w:divBdr>
      <w:divsChild>
        <w:div w:id="17974100">
          <w:marLeft w:val="0"/>
          <w:marRight w:val="0"/>
          <w:marTop w:val="0"/>
          <w:marBottom w:val="0"/>
          <w:divBdr>
            <w:top w:val="none" w:sz="0" w:space="0" w:color="auto"/>
            <w:left w:val="none" w:sz="0" w:space="0" w:color="auto"/>
            <w:bottom w:val="none" w:sz="0" w:space="0" w:color="auto"/>
            <w:right w:val="none" w:sz="0" w:space="0" w:color="auto"/>
          </w:divBdr>
          <w:divsChild>
            <w:div w:id="703023182">
              <w:marLeft w:val="0"/>
              <w:marRight w:val="0"/>
              <w:marTop w:val="0"/>
              <w:marBottom w:val="0"/>
              <w:divBdr>
                <w:top w:val="none" w:sz="0" w:space="0" w:color="auto"/>
                <w:left w:val="none" w:sz="0" w:space="0" w:color="auto"/>
                <w:bottom w:val="none" w:sz="0" w:space="0" w:color="auto"/>
                <w:right w:val="none" w:sz="0" w:space="0" w:color="auto"/>
              </w:divBdr>
              <w:divsChild>
                <w:div w:id="1652252530">
                  <w:marLeft w:val="0"/>
                  <w:marRight w:val="0"/>
                  <w:marTop w:val="0"/>
                  <w:marBottom w:val="0"/>
                  <w:divBdr>
                    <w:top w:val="none" w:sz="0" w:space="0" w:color="auto"/>
                    <w:left w:val="none" w:sz="0" w:space="0" w:color="auto"/>
                    <w:bottom w:val="none" w:sz="0" w:space="0" w:color="auto"/>
                    <w:right w:val="none" w:sz="0" w:space="0" w:color="auto"/>
                  </w:divBdr>
                </w:div>
              </w:divsChild>
            </w:div>
            <w:div w:id="1021125054">
              <w:marLeft w:val="0"/>
              <w:marRight w:val="0"/>
              <w:marTop w:val="0"/>
              <w:marBottom w:val="0"/>
              <w:divBdr>
                <w:top w:val="none" w:sz="0" w:space="0" w:color="auto"/>
                <w:left w:val="none" w:sz="0" w:space="0" w:color="auto"/>
                <w:bottom w:val="none" w:sz="0" w:space="0" w:color="auto"/>
                <w:right w:val="none" w:sz="0" w:space="0" w:color="auto"/>
              </w:divBdr>
              <w:divsChild>
                <w:div w:id="17393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1315">
          <w:marLeft w:val="0"/>
          <w:marRight w:val="0"/>
          <w:marTop w:val="0"/>
          <w:marBottom w:val="0"/>
          <w:divBdr>
            <w:top w:val="none" w:sz="0" w:space="0" w:color="auto"/>
            <w:left w:val="none" w:sz="0" w:space="0" w:color="auto"/>
            <w:bottom w:val="none" w:sz="0" w:space="0" w:color="auto"/>
            <w:right w:val="none" w:sz="0" w:space="0" w:color="auto"/>
          </w:divBdr>
          <w:divsChild>
            <w:div w:id="1944534782">
              <w:marLeft w:val="0"/>
              <w:marRight w:val="0"/>
              <w:marTop w:val="0"/>
              <w:marBottom w:val="0"/>
              <w:divBdr>
                <w:top w:val="none" w:sz="0" w:space="0" w:color="auto"/>
                <w:left w:val="none" w:sz="0" w:space="0" w:color="auto"/>
                <w:bottom w:val="none" w:sz="0" w:space="0" w:color="auto"/>
                <w:right w:val="none" w:sz="0" w:space="0" w:color="auto"/>
              </w:divBdr>
              <w:divsChild>
                <w:div w:id="322396867">
                  <w:marLeft w:val="0"/>
                  <w:marRight w:val="0"/>
                  <w:marTop w:val="0"/>
                  <w:marBottom w:val="0"/>
                  <w:divBdr>
                    <w:top w:val="none" w:sz="0" w:space="0" w:color="auto"/>
                    <w:left w:val="none" w:sz="0" w:space="0" w:color="auto"/>
                    <w:bottom w:val="none" w:sz="0" w:space="0" w:color="auto"/>
                    <w:right w:val="none" w:sz="0" w:space="0" w:color="auto"/>
                  </w:divBdr>
                </w:div>
              </w:divsChild>
            </w:div>
            <w:div w:id="1952084186">
              <w:marLeft w:val="0"/>
              <w:marRight w:val="0"/>
              <w:marTop w:val="0"/>
              <w:marBottom w:val="0"/>
              <w:divBdr>
                <w:top w:val="none" w:sz="0" w:space="0" w:color="auto"/>
                <w:left w:val="none" w:sz="0" w:space="0" w:color="auto"/>
                <w:bottom w:val="none" w:sz="0" w:space="0" w:color="auto"/>
                <w:right w:val="none" w:sz="0" w:space="0" w:color="auto"/>
              </w:divBdr>
              <w:divsChild>
                <w:div w:id="1253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979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4643203\OneDrive%20-%20NORTH-WEST%20UNIVERSITY\Judgments\Final%20versions\Judgment%20v%206%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0997F89-9676-1843-BF01-6AC47A203005}">
  <we:reference id="wa200001011" version="1.2.0.0" store="en-GB"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2B6E9CA3E8934886E5DCB48D370777" ma:contentTypeVersion="14" ma:contentTypeDescription="Create a new document." ma:contentTypeScope="" ma:versionID="766ea7f76f956d0c7de274035d1c02c6">
  <xsd:schema xmlns:xsd="http://www.w3.org/2001/XMLSchema" xmlns:xs="http://www.w3.org/2001/XMLSchema" xmlns:p="http://schemas.microsoft.com/office/2006/metadata/properties" xmlns:ns3="f1b15177-5581-48a0-97d5-22fb7cee61d9" xmlns:ns4="af0ace82-9e28-4e69-981e-6265b9f6412a" targetNamespace="http://schemas.microsoft.com/office/2006/metadata/properties" ma:root="true" ma:fieldsID="7737e7f8881afe1f03cf9abda720f941" ns3:_="" ns4:_="">
    <xsd:import namespace="f1b15177-5581-48a0-97d5-22fb7cee61d9"/>
    <xsd:import namespace="af0ace82-9e28-4e69-981e-6265b9f641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15177-5581-48a0-97d5-22fb7cee61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0ace82-9e28-4e69-981e-6265b9f6412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8B44C-9375-433A-9768-CAF3EE345F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2BAC92-7EDE-4B0E-899E-CF2DFCA678B8}">
  <ds:schemaRefs>
    <ds:schemaRef ds:uri="http://schemas.microsoft.com/sharepoint/v3/contenttype/forms"/>
  </ds:schemaRefs>
</ds:datastoreItem>
</file>

<file path=customXml/itemProps3.xml><?xml version="1.0" encoding="utf-8"?>
<ds:datastoreItem xmlns:ds="http://schemas.openxmlformats.org/officeDocument/2006/customXml" ds:itemID="{7BF0E3D5-B950-4853-84B9-3B82BDDB7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b15177-5581-48a0-97d5-22fb7cee61d9"/>
    <ds:schemaRef ds:uri="af0ace82-9e28-4e69-981e-6265b9f64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FCAF41-C269-4275-B8DC-41648A1D3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v 6 template</Template>
  <TotalTime>0</TotalTime>
  <Pages>29</Pages>
  <Words>8798</Words>
  <Characters>50154</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ELMIEN DU PLESSIS</dc:creator>
  <cp:keywords/>
  <dc:description/>
  <cp:lastModifiedBy>Mokone</cp:lastModifiedBy>
  <cp:revision>2</cp:revision>
  <cp:lastPrinted>2022-08-05T17:48:00Z</cp:lastPrinted>
  <dcterms:created xsi:type="dcterms:W3CDTF">2022-12-20T07:57:00Z</dcterms:created>
  <dcterms:modified xsi:type="dcterms:W3CDTF">2022-12-20T07:57:00Z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documentId_8609</vt:lpwstr>
  </property>
  <property fmtid="{D5CDD505-2E9C-101B-9397-08002B2CF9AE}" pid="3" name="grammarly_documentContext">
    <vt:lpwstr>{"goals":[],"domain":"general","emotions":[],"dialect":"british"}</vt:lpwstr>
  </property>
  <property fmtid="{D5CDD505-2E9C-101B-9397-08002B2CF9AE}" pid="4" name="ContentTypeId">
    <vt:lpwstr>0x010100672B6E9CA3E8934886E5DCB48D370777</vt:lpwstr>
  </property>
</Properties>
</file>