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37" w:rsidRDefault="00415C37" w:rsidP="00415C37">
      <w:pPr>
        <w:spacing w:line="360" w:lineRule="auto"/>
        <w:jc w:val="center"/>
        <w:rPr>
          <w:rFonts w:ascii="Raavi" w:eastAsia="Calibri" w:hAnsi="Raavi" w:cs="Raavi"/>
          <w:b/>
          <w:sz w:val="28"/>
          <w:szCs w:val="28"/>
          <w:u w:val="single"/>
        </w:rPr>
      </w:pPr>
      <w:bookmarkStart w:id="0" w:name="_GoBack"/>
      <w:bookmarkEnd w:id="0"/>
      <w:r>
        <w:rPr>
          <w:noProof/>
          <w:lang w:val="en-US"/>
        </w:rPr>
        <w:drawing>
          <wp:inline distT="0" distB="0" distL="0" distR="0" wp14:anchorId="623839E2" wp14:editId="2211782F">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415C37" w:rsidRPr="00D14312" w:rsidRDefault="00415C37" w:rsidP="00415C37">
      <w:pPr>
        <w:spacing w:line="360" w:lineRule="auto"/>
        <w:jc w:val="center"/>
        <w:rPr>
          <w:rFonts w:ascii="Arial" w:eastAsia="Calibri" w:hAnsi="Arial" w:cs="Arial"/>
          <w:b/>
          <w:sz w:val="28"/>
          <w:szCs w:val="28"/>
          <w:u w:val="single"/>
        </w:rPr>
      </w:pPr>
      <w:r w:rsidRPr="00D14312">
        <w:rPr>
          <w:rFonts w:ascii="Arial" w:eastAsia="Calibri" w:hAnsi="Arial" w:cs="Arial"/>
          <w:b/>
          <w:sz w:val="28"/>
          <w:szCs w:val="28"/>
          <w:u w:val="single"/>
        </w:rPr>
        <w:t>IN THE HIGH COURT OF SOUTH AFRICA</w:t>
      </w:r>
    </w:p>
    <w:p w:rsidR="00415C37" w:rsidRPr="00D14312" w:rsidRDefault="00415C37" w:rsidP="00415C37">
      <w:pPr>
        <w:spacing w:line="360" w:lineRule="auto"/>
        <w:jc w:val="center"/>
        <w:rPr>
          <w:rFonts w:ascii="Arial" w:eastAsia="Calibri" w:hAnsi="Arial" w:cs="Arial"/>
          <w:b/>
          <w:sz w:val="28"/>
          <w:szCs w:val="28"/>
        </w:rPr>
      </w:pPr>
      <w:r w:rsidRPr="00D14312">
        <w:rPr>
          <w:rFonts w:ascii="Arial" w:eastAsia="Calibri" w:hAnsi="Arial" w:cs="Arial"/>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415C37" w:rsidRPr="00D14312" w:rsidTr="0001249F">
        <w:tc>
          <w:tcPr>
            <w:tcW w:w="4428" w:type="dxa"/>
          </w:tcPr>
          <w:p w:rsidR="00415C37" w:rsidRPr="00D14312" w:rsidRDefault="00415C37" w:rsidP="0001249F">
            <w:pPr>
              <w:spacing w:line="240" w:lineRule="auto"/>
              <w:rPr>
                <w:rFonts w:ascii="Arial" w:eastAsia="Calibri" w:hAnsi="Arial" w:cs="Arial"/>
                <w:b/>
                <w:sz w:val="18"/>
                <w:szCs w:val="18"/>
              </w:rPr>
            </w:pPr>
            <w:r w:rsidRPr="00D14312">
              <w:rPr>
                <w:rFonts w:ascii="Arial" w:eastAsia="Calibri" w:hAnsi="Arial" w:cs="Arial"/>
                <w:b/>
                <w:sz w:val="18"/>
                <w:szCs w:val="18"/>
              </w:rPr>
              <w:t>DELETE WHICHEVER IS NOT APPLICABLE</w:t>
            </w:r>
          </w:p>
          <w:p w:rsidR="00415C37" w:rsidRPr="00D14312" w:rsidRDefault="009E2B91" w:rsidP="0001249F">
            <w:pPr>
              <w:spacing w:line="240" w:lineRule="auto"/>
              <w:rPr>
                <w:rFonts w:ascii="Arial" w:eastAsia="Calibri" w:hAnsi="Arial" w:cs="Arial"/>
                <w:b/>
                <w:sz w:val="18"/>
                <w:szCs w:val="18"/>
              </w:rPr>
            </w:pPr>
            <w:r>
              <w:rPr>
                <w:rFonts w:ascii="Arial" w:eastAsia="Calibri" w:hAnsi="Arial" w:cs="Arial"/>
                <w:b/>
                <w:sz w:val="18"/>
                <w:szCs w:val="18"/>
              </w:rPr>
              <w:t xml:space="preserve">(1) REPORTABLE:  </w:t>
            </w:r>
            <w:r w:rsidR="00415C37" w:rsidRPr="00D14312">
              <w:rPr>
                <w:rFonts w:ascii="Arial" w:eastAsia="Calibri" w:hAnsi="Arial" w:cs="Arial"/>
                <w:b/>
                <w:sz w:val="18"/>
                <w:szCs w:val="18"/>
              </w:rPr>
              <w:t>NO.</w:t>
            </w:r>
          </w:p>
          <w:p w:rsidR="00415C37" w:rsidRPr="00D14312" w:rsidRDefault="00415C37" w:rsidP="0001249F">
            <w:pPr>
              <w:spacing w:line="240" w:lineRule="auto"/>
              <w:rPr>
                <w:rFonts w:ascii="Arial" w:eastAsia="Calibri" w:hAnsi="Arial" w:cs="Arial"/>
                <w:b/>
                <w:sz w:val="18"/>
                <w:szCs w:val="18"/>
              </w:rPr>
            </w:pPr>
            <w:r w:rsidRPr="00D14312">
              <w:rPr>
                <w:rFonts w:ascii="Arial" w:eastAsia="Calibri" w:hAnsi="Arial" w:cs="Arial"/>
                <w:b/>
                <w:sz w:val="18"/>
                <w:szCs w:val="18"/>
              </w:rPr>
              <w:t>(2) OF I</w:t>
            </w:r>
            <w:r w:rsidR="009E2B91">
              <w:rPr>
                <w:rFonts w:ascii="Arial" w:eastAsia="Calibri" w:hAnsi="Arial" w:cs="Arial"/>
                <w:b/>
                <w:sz w:val="18"/>
                <w:szCs w:val="18"/>
              </w:rPr>
              <w:t xml:space="preserve">NTEREST TO OTHER JUDGES:  </w:t>
            </w:r>
            <w:r w:rsidRPr="00D14312">
              <w:rPr>
                <w:rFonts w:ascii="Arial" w:eastAsia="Calibri" w:hAnsi="Arial" w:cs="Arial"/>
                <w:b/>
                <w:sz w:val="18"/>
                <w:szCs w:val="18"/>
              </w:rPr>
              <w:t>NO.</w:t>
            </w:r>
          </w:p>
          <w:p w:rsidR="00415C37" w:rsidRPr="00D14312" w:rsidRDefault="00415C37" w:rsidP="0001249F">
            <w:pPr>
              <w:spacing w:line="240" w:lineRule="auto"/>
              <w:rPr>
                <w:rFonts w:ascii="Arial" w:eastAsia="Calibri" w:hAnsi="Arial" w:cs="Arial"/>
                <w:b/>
                <w:sz w:val="18"/>
                <w:szCs w:val="18"/>
              </w:rPr>
            </w:pPr>
            <w:r w:rsidRPr="00D14312">
              <w:rPr>
                <w:rFonts w:ascii="Arial" w:eastAsia="Calibri" w:hAnsi="Arial" w:cs="Arial"/>
                <w:b/>
                <w:sz w:val="18"/>
                <w:szCs w:val="18"/>
              </w:rPr>
              <w:t>(3) REVISED.</w:t>
            </w:r>
          </w:p>
          <w:p w:rsidR="00415C37" w:rsidRPr="00D14312" w:rsidRDefault="009E2B91" w:rsidP="0001249F">
            <w:pPr>
              <w:spacing w:line="240" w:lineRule="auto"/>
              <w:rPr>
                <w:rFonts w:ascii="Arial" w:eastAsia="Calibri" w:hAnsi="Arial" w:cs="Arial"/>
                <w:b/>
                <w:sz w:val="18"/>
                <w:szCs w:val="18"/>
              </w:rPr>
            </w:pPr>
            <w:r>
              <w:rPr>
                <w:rFonts w:ascii="Arial" w:eastAsia="Calibri" w:hAnsi="Arial" w:cs="Arial"/>
                <w:b/>
                <w:sz w:val="18"/>
                <w:szCs w:val="18"/>
              </w:rPr>
              <w:t>2022-12-06</w:t>
            </w:r>
          </w:p>
          <w:p w:rsidR="00415C37" w:rsidRPr="00D14312" w:rsidRDefault="00415C37" w:rsidP="0001249F">
            <w:pPr>
              <w:spacing w:line="240" w:lineRule="auto"/>
              <w:rPr>
                <w:rFonts w:ascii="Arial" w:eastAsia="Calibri" w:hAnsi="Arial" w:cs="Arial"/>
                <w:b/>
                <w:sz w:val="18"/>
                <w:szCs w:val="18"/>
                <w:u w:val="single"/>
              </w:rPr>
            </w:pPr>
            <w:r w:rsidRPr="00D14312">
              <w:rPr>
                <w:rFonts w:ascii="Arial" w:eastAsia="Calibri" w:hAnsi="Arial" w:cs="Arial"/>
                <w:b/>
                <w:sz w:val="18"/>
                <w:szCs w:val="18"/>
                <w:u w:val="single"/>
              </w:rPr>
              <w:t>DATE</w:t>
            </w:r>
            <w:r w:rsidRPr="00D14312">
              <w:rPr>
                <w:rFonts w:ascii="Arial" w:eastAsia="Calibri" w:hAnsi="Arial" w:cs="Arial"/>
                <w:b/>
                <w:sz w:val="18"/>
                <w:szCs w:val="18"/>
              </w:rPr>
              <w:t xml:space="preserve">                                            </w:t>
            </w:r>
            <w:r w:rsidRPr="00D14312">
              <w:rPr>
                <w:rFonts w:ascii="Arial" w:eastAsia="Calibri" w:hAnsi="Arial" w:cs="Arial"/>
                <w:b/>
                <w:sz w:val="18"/>
                <w:szCs w:val="18"/>
                <w:u w:val="single"/>
              </w:rPr>
              <w:t>SIGNATURE</w:t>
            </w:r>
          </w:p>
        </w:tc>
      </w:tr>
    </w:tbl>
    <w:p w:rsidR="00415C37" w:rsidRPr="00415C37" w:rsidRDefault="00415C37" w:rsidP="00415C37">
      <w:pPr>
        <w:spacing w:line="360" w:lineRule="auto"/>
        <w:jc w:val="right"/>
        <w:rPr>
          <w:rFonts w:ascii="Arial" w:eastAsia="Calibri" w:hAnsi="Arial" w:cs="Arial"/>
          <w:sz w:val="24"/>
          <w:szCs w:val="24"/>
        </w:rPr>
      </w:pPr>
      <w:r w:rsidRPr="00415C37">
        <w:rPr>
          <w:rFonts w:ascii="Arial" w:eastAsia="Calibri" w:hAnsi="Arial" w:cs="Arial"/>
          <w:sz w:val="24"/>
          <w:szCs w:val="24"/>
        </w:rPr>
        <w:t xml:space="preserve">Case Number:  48650/2021  </w:t>
      </w:r>
    </w:p>
    <w:p w:rsidR="00415C37" w:rsidRPr="00415C37" w:rsidRDefault="00415C37" w:rsidP="00415C37">
      <w:pPr>
        <w:spacing w:line="360" w:lineRule="auto"/>
        <w:jc w:val="both"/>
        <w:rPr>
          <w:rFonts w:ascii="Arial" w:eastAsia="Calibri" w:hAnsi="Arial" w:cs="Arial"/>
          <w:sz w:val="24"/>
          <w:szCs w:val="24"/>
        </w:rPr>
      </w:pPr>
      <w:r w:rsidRPr="00415C37">
        <w:rPr>
          <w:rFonts w:ascii="Arial" w:eastAsia="Calibri" w:hAnsi="Arial" w:cs="Arial"/>
          <w:sz w:val="24"/>
          <w:szCs w:val="24"/>
        </w:rPr>
        <w:t>In the matter between:</w:t>
      </w:r>
    </w:p>
    <w:p w:rsidR="00415C37" w:rsidRDefault="00415C37" w:rsidP="00415C37">
      <w:pPr>
        <w:spacing w:line="360" w:lineRule="auto"/>
        <w:rPr>
          <w:rFonts w:ascii="Arial" w:hAnsi="Arial" w:cs="Arial"/>
          <w:b/>
          <w:sz w:val="24"/>
          <w:szCs w:val="24"/>
        </w:rPr>
      </w:pPr>
    </w:p>
    <w:p w:rsidR="00415C37" w:rsidRDefault="00415C37" w:rsidP="00415C37">
      <w:pPr>
        <w:spacing w:line="360" w:lineRule="auto"/>
        <w:jc w:val="both"/>
        <w:rPr>
          <w:rFonts w:ascii="Arial" w:hAnsi="Arial" w:cs="Arial"/>
          <w:b/>
          <w:sz w:val="24"/>
          <w:szCs w:val="24"/>
        </w:rPr>
      </w:pPr>
      <w:r>
        <w:rPr>
          <w:rFonts w:ascii="Arial" w:hAnsi="Arial" w:cs="Arial"/>
          <w:b/>
          <w:sz w:val="24"/>
          <w:szCs w:val="24"/>
        </w:rPr>
        <w:t xml:space="preserve">GIFT MPHO MUKWEVHO                                                                             </w:t>
      </w:r>
      <w:r>
        <w:rPr>
          <w:rFonts w:ascii="Arial" w:hAnsi="Arial" w:cs="Arial"/>
          <w:sz w:val="24"/>
          <w:szCs w:val="24"/>
        </w:rPr>
        <w:t>Applicant</w:t>
      </w:r>
      <w:r w:rsidRPr="00415C37">
        <w:rPr>
          <w:rFonts w:ascii="Arial" w:hAnsi="Arial" w:cs="Arial"/>
          <w:b/>
          <w:sz w:val="24"/>
          <w:szCs w:val="24"/>
        </w:rPr>
        <w:t xml:space="preserve">                                      </w:t>
      </w:r>
      <w:r w:rsidRPr="00415C37">
        <w:rPr>
          <w:rFonts w:ascii="Arial" w:hAnsi="Arial" w:cs="Arial"/>
          <w:b/>
          <w:sz w:val="24"/>
          <w:szCs w:val="24"/>
        </w:rPr>
        <w:tab/>
      </w:r>
      <w:r w:rsidRPr="00415C37">
        <w:rPr>
          <w:rFonts w:ascii="Arial" w:hAnsi="Arial" w:cs="Arial"/>
          <w:b/>
          <w:sz w:val="24"/>
          <w:szCs w:val="24"/>
        </w:rPr>
        <w:tab/>
      </w:r>
      <w:r w:rsidRPr="00415C37">
        <w:rPr>
          <w:rFonts w:ascii="Arial" w:hAnsi="Arial" w:cs="Arial"/>
          <w:b/>
          <w:sz w:val="24"/>
          <w:szCs w:val="24"/>
        </w:rPr>
        <w:tab/>
      </w:r>
      <w:r w:rsidRPr="00415C37">
        <w:rPr>
          <w:rFonts w:ascii="Arial" w:hAnsi="Arial" w:cs="Arial"/>
          <w:b/>
          <w:sz w:val="24"/>
          <w:szCs w:val="24"/>
        </w:rPr>
        <w:tab/>
      </w:r>
      <w:r w:rsidRPr="00415C37">
        <w:rPr>
          <w:rFonts w:ascii="Arial" w:hAnsi="Arial" w:cs="Arial"/>
          <w:b/>
          <w:sz w:val="24"/>
          <w:szCs w:val="24"/>
        </w:rPr>
        <w:tab/>
      </w:r>
      <w:r w:rsidRPr="00415C37">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15C37" w:rsidRDefault="00415C37" w:rsidP="00415C37">
      <w:pPr>
        <w:spacing w:line="360" w:lineRule="auto"/>
        <w:jc w:val="both"/>
        <w:rPr>
          <w:rFonts w:ascii="Arial" w:hAnsi="Arial" w:cs="Arial"/>
          <w:sz w:val="24"/>
          <w:szCs w:val="24"/>
        </w:rPr>
      </w:pPr>
      <w:r>
        <w:rPr>
          <w:rFonts w:ascii="Arial" w:hAnsi="Arial" w:cs="Arial"/>
          <w:sz w:val="24"/>
          <w:szCs w:val="24"/>
        </w:rPr>
        <w:t>and</w:t>
      </w:r>
    </w:p>
    <w:p w:rsidR="00415C37" w:rsidRDefault="00415C37" w:rsidP="00415C37">
      <w:pPr>
        <w:spacing w:line="360" w:lineRule="auto"/>
        <w:jc w:val="both"/>
        <w:rPr>
          <w:rFonts w:ascii="Arial" w:hAnsi="Arial" w:cs="Arial"/>
          <w:b/>
          <w:sz w:val="24"/>
          <w:szCs w:val="24"/>
        </w:rPr>
      </w:pPr>
    </w:p>
    <w:p w:rsidR="00415C37" w:rsidRPr="00415C37" w:rsidRDefault="00415C37" w:rsidP="00415C37">
      <w:pPr>
        <w:spacing w:line="360" w:lineRule="auto"/>
        <w:jc w:val="both"/>
        <w:rPr>
          <w:rFonts w:ascii="Arial" w:hAnsi="Arial" w:cs="Arial"/>
          <w:sz w:val="24"/>
          <w:szCs w:val="24"/>
        </w:rPr>
      </w:pPr>
      <w:r>
        <w:rPr>
          <w:rFonts w:ascii="Arial" w:hAnsi="Arial" w:cs="Arial"/>
          <w:b/>
          <w:sz w:val="24"/>
          <w:szCs w:val="24"/>
        </w:rPr>
        <w:t xml:space="preserve">LEGAL PRACTICE COUNCIL                                                               </w:t>
      </w:r>
      <w:r>
        <w:rPr>
          <w:rFonts w:ascii="Arial" w:hAnsi="Arial" w:cs="Arial"/>
          <w:sz w:val="24"/>
          <w:szCs w:val="24"/>
        </w:rPr>
        <w:t>Respondent</w:t>
      </w:r>
      <w:r w:rsidRPr="00415C37">
        <w:rPr>
          <w:rFonts w:ascii="Arial" w:hAnsi="Arial" w:cs="Arial"/>
          <w:b/>
          <w:sz w:val="24"/>
          <w:szCs w:val="24"/>
        </w:rPr>
        <w:tab/>
      </w:r>
      <w:r w:rsidRPr="00415C37">
        <w:rPr>
          <w:rFonts w:ascii="Arial" w:hAnsi="Arial" w:cs="Arial"/>
          <w:b/>
          <w:sz w:val="24"/>
          <w:szCs w:val="24"/>
        </w:rPr>
        <w:tab/>
      </w:r>
      <w:r w:rsidRPr="00415C37">
        <w:rPr>
          <w:rFonts w:ascii="Arial" w:hAnsi="Arial" w:cs="Arial"/>
          <w:b/>
          <w:sz w:val="24"/>
          <w:szCs w:val="24"/>
        </w:rPr>
        <w:tab/>
      </w:r>
      <w:r w:rsidRPr="00415C37">
        <w:rPr>
          <w:rFonts w:ascii="Arial" w:hAnsi="Arial" w:cs="Arial"/>
          <w:b/>
          <w:sz w:val="24"/>
          <w:szCs w:val="24"/>
        </w:rPr>
        <w:tab/>
      </w:r>
    </w:p>
    <w:p w:rsidR="00415C37" w:rsidRPr="00415C37" w:rsidRDefault="00415C37" w:rsidP="00415C37">
      <w:pPr>
        <w:pBdr>
          <w:top w:val="single" w:sz="12" w:space="1" w:color="auto"/>
          <w:bottom w:val="single" w:sz="12" w:space="1" w:color="auto"/>
        </w:pBdr>
        <w:spacing w:line="240" w:lineRule="auto"/>
        <w:jc w:val="center"/>
        <w:rPr>
          <w:rFonts w:ascii="Arial" w:hAnsi="Arial" w:cs="Arial"/>
          <w:b/>
          <w:sz w:val="24"/>
          <w:szCs w:val="24"/>
        </w:rPr>
      </w:pPr>
    </w:p>
    <w:p w:rsidR="00415C37" w:rsidRPr="00415C37" w:rsidRDefault="00415C37" w:rsidP="00415C37">
      <w:pPr>
        <w:pBdr>
          <w:top w:val="single" w:sz="12" w:space="1" w:color="auto"/>
          <w:bottom w:val="single" w:sz="12" w:space="1" w:color="auto"/>
        </w:pBdr>
        <w:spacing w:line="240" w:lineRule="auto"/>
        <w:jc w:val="center"/>
        <w:rPr>
          <w:rFonts w:ascii="Arial" w:hAnsi="Arial" w:cs="Arial"/>
          <w:b/>
          <w:sz w:val="24"/>
          <w:szCs w:val="24"/>
        </w:rPr>
      </w:pPr>
      <w:r w:rsidRPr="00415C37">
        <w:rPr>
          <w:rFonts w:ascii="Arial" w:hAnsi="Arial" w:cs="Arial"/>
          <w:b/>
          <w:sz w:val="24"/>
          <w:szCs w:val="24"/>
        </w:rPr>
        <w:t>JUDGMENT</w:t>
      </w:r>
    </w:p>
    <w:p w:rsidR="00415C37" w:rsidRPr="00415C37" w:rsidRDefault="00415C37" w:rsidP="00415C37">
      <w:pPr>
        <w:pBdr>
          <w:top w:val="single" w:sz="12" w:space="1" w:color="auto"/>
          <w:bottom w:val="single" w:sz="12" w:space="1" w:color="auto"/>
        </w:pBdr>
        <w:spacing w:line="360" w:lineRule="auto"/>
        <w:jc w:val="center"/>
        <w:rPr>
          <w:rFonts w:ascii="Arial" w:hAnsi="Arial" w:cs="Arial"/>
          <w:b/>
          <w:sz w:val="24"/>
          <w:szCs w:val="24"/>
        </w:rPr>
      </w:pPr>
    </w:p>
    <w:p w:rsidR="00415C37" w:rsidRPr="00415C37" w:rsidRDefault="00415C37" w:rsidP="00415C37">
      <w:pPr>
        <w:spacing w:line="360" w:lineRule="auto"/>
        <w:jc w:val="both"/>
        <w:rPr>
          <w:rFonts w:ascii="Arial" w:hAnsi="Arial" w:cs="Arial"/>
          <w:b/>
          <w:sz w:val="24"/>
          <w:szCs w:val="24"/>
        </w:rPr>
      </w:pPr>
    </w:p>
    <w:p w:rsidR="00415C37" w:rsidRPr="00415C37" w:rsidRDefault="00415C37" w:rsidP="00415C37">
      <w:pPr>
        <w:rPr>
          <w:rFonts w:ascii="Arial" w:hAnsi="Arial" w:cs="Arial"/>
          <w:b/>
          <w:sz w:val="24"/>
          <w:szCs w:val="24"/>
        </w:rPr>
      </w:pPr>
      <w:r w:rsidRPr="00415C37">
        <w:rPr>
          <w:rFonts w:ascii="Arial" w:hAnsi="Arial" w:cs="Arial"/>
          <w:b/>
          <w:sz w:val="24"/>
          <w:szCs w:val="24"/>
        </w:rPr>
        <w:t>POTTERILL J</w:t>
      </w:r>
    </w:p>
    <w:p w:rsidR="00415C37" w:rsidRPr="00415C37" w:rsidRDefault="00415C37" w:rsidP="00415C37">
      <w:pPr>
        <w:rPr>
          <w:rFonts w:ascii="Arial" w:hAnsi="Arial" w:cs="Arial"/>
          <w:b/>
          <w:sz w:val="24"/>
          <w:szCs w:val="24"/>
        </w:rPr>
      </w:pPr>
    </w:p>
    <w:p w:rsidR="00415C37" w:rsidRDefault="00415C37" w:rsidP="00415C37">
      <w:pPr>
        <w:spacing w:line="360" w:lineRule="auto"/>
        <w:ind w:left="720" w:hanging="720"/>
        <w:jc w:val="both"/>
        <w:rPr>
          <w:rFonts w:ascii="Arial" w:hAnsi="Arial" w:cs="Arial"/>
          <w:sz w:val="24"/>
          <w:szCs w:val="24"/>
        </w:rPr>
      </w:pPr>
      <w:r w:rsidRPr="00D14312">
        <w:rPr>
          <w:rFonts w:ascii="Arial" w:hAnsi="Arial" w:cs="Arial"/>
          <w:sz w:val="24"/>
          <w:szCs w:val="24"/>
        </w:rPr>
        <w:t>[1]</w:t>
      </w:r>
      <w:r w:rsidRPr="00D14312">
        <w:rPr>
          <w:rFonts w:ascii="Arial" w:hAnsi="Arial" w:cs="Arial"/>
          <w:sz w:val="24"/>
          <w:szCs w:val="24"/>
        </w:rPr>
        <w:tab/>
      </w:r>
      <w:r>
        <w:rPr>
          <w:rFonts w:ascii="Arial" w:hAnsi="Arial" w:cs="Arial"/>
          <w:sz w:val="24"/>
          <w:szCs w:val="24"/>
        </w:rPr>
        <w:t>The applicant in an amended notice of motion is applying for condonation for the late filing of his application to be admitted and enrolled as a legal practitioner practising as an attorney.  The applicant also seeks to be enrolled and admitted as an attorney in terms of the Legal Practice Act 28 of 2014 [the LPA].</w:t>
      </w:r>
    </w:p>
    <w:p w:rsidR="00415C37" w:rsidRDefault="00415C37" w:rsidP="00415C37">
      <w:pPr>
        <w:spacing w:line="360" w:lineRule="auto"/>
        <w:ind w:left="720" w:hanging="720"/>
        <w:jc w:val="both"/>
        <w:rPr>
          <w:rFonts w:ascii="Arial" w:hAnsi="Arial" w:cs="Arial"/>
          <w:sz w:val="24"/>
          <w:szCs w:val="24"/>
        </w:rPr>
      </w:pPr>
    </w:p>
    <w:p w:rsidR="00415C37" w:rsidRDefault="00415C37" w:rsidP="00415C37">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Legal Practice Council [LPC] did not oppose the condonation.  It did oppose the admission and enrolment as an attorney on the basis that the applicant is not a fit and proper person to be enrolled as a legal practitioner in contravention of section 24(2)(c) of the LPA.</w:t>
      </w:r>
    </w:p>
    <w:p w:rsidR="00415C37" w:rsidRDefault="00415C37" w:rsidP="00415C37">
      <w:pPr>
        <w:spacing w:line="360" w:lineRule="auto"/>
        <w:ind w:left="720" w:hanging="720"/>
        <w:jc w:val="both"/>
        <w:rPr>
          <w:rFonts w:ascii="Arial" w:hAnsi="Arial" w:cs="Arial"/>
          <w:sz w:val="24"/>
          <w:szCs w:val="24"/>
        </w:rPr>
      </w:pPr>
    </w:p>
    <w:p w:rsidR="00415C37" w:rsidRDefault="00415C37" w:rsidP="00415C37">
      <w:pPr>
        <w:spacing w:line="360" w:lineRule="auto"/>
        <w:ind w:left="720" w:hanging="720"/>
        <w:jc w:val="both"/>
        <w:rPr>
          <w:rFonts w:ascii="Arial" w:hAnsi="Arial" w:cs="Arial"/>
          <w:sz w:val="24"/>
          <w:szCs w:val="24"/>
        </w:rPr>
      </w:pPr>
      <w:r>
        <w:rPr>
          <w:rFonts w:ascii="Arial" w:hAnsi="Arial" w:cs="Arial"/>
          <w:sz w:val="24"/>
          <w:szCs w:val="24"/>
        </w:rPr>
        <w:t>[3]</w:t>
      </w:r>
      <w:r w:rsidR="001719EA">
        <w:rPr>
          <w:rFonts w:ascii="Arial" w:hAnsi="Arial" w:cs="Arial"/>
          <w:sz w:val="24"/>
          <w:szCs w:val="24"/>
        </w:rPr>
        <w:tab/>
        <w:t xml:space="preserve">Section 24(2)(c) of the LPA should be read together </w:t>
      </w:r>
      <w:r w:rsidR="002E6ED8">
        <w:rPr>
          <w:rFonts w:ascii="Arial" w:hAnsi="Arial" w:cs="Arial"/>
          <w:sz w:val="24"/>
          <w:szCs w:val="24"/>
        </w:rPr>
        <w:t>with Rule 17.2.14.2 which provides</w:t>
      </w:r>
      <w:r w:rsidR="001719EA">
        <w:rPr>
          <w:rFonts w:ascii="Arial" w:hAnsi="Arial" w:cs="Arial"/>
          <w:sz w:val="24"/>
          <w:szCs w:val="24"/>
        </w:rPr>
        <w:t xml:space="preserve"> that each application for admission should contain a statement of confirmation that the applicant is a fit and proper person to be admitted including a statement as to whether:</w:t>
      </w:r>
    </w:p>
    <w:p w:rsidR="001719EA" w:rsidRPr="001719EA" w:rsidRDefault="001719EA" w:rsidP="001719EA">
      <w:pPr>
        <w:spacing w:line="360" w:lineRule="auto"/>
        <w:ind w:left="1440"/>
        <w:jc w:val="both"/>
        <w:rPr>
          <w:rFonts w:ascii="Arial" w:hAnsi="Arial" w:cs="Arial"/>
          <w:i/>
          <w:sz w:val="24"/>
          <w:szCs w:val="24"/>
        </w:rPr>
      </w:pPr>
      <w:r w:rsidRPr="001719EA">
        <w:rPr>
          <w:rFonts w:ascii="Arial" w:hAnsi="Arial" w:cs="Arial"/>
          <w:i/>
          <w:sz w:val="24"/>
          <w:szCs w:val="24"/>
        </w:rPr>
        <w:t>“the Applicant has been subjected to previous disciplinary proceedings by the Council or any law society, university, or employer, or whether any such disciplinary proceedings are pending.  If there have been any proceedings as contemplated in this sub-rule, or if any such proceedings are pending, the Applicant shall set out full details thereof.”</w:t>
      </w:r>
    </w:p>
    <w:p w:rsidR="001719EA" w:rsidRDefault="001719EA" w:rsidP="00415C37">
      <w:pPr>
        <w:spacing w:line="360" w:lineRule="auto"/>
        <w:ind w:left="720" w:hanging="720"/>
        <w:jc w:val="both"/>
        <w:rPr>
          <w:rFonts w:ascii="Arial" w:hAnsi="Arial" w:cs="Arial"/>
          <w:sz w:val="24"/>
          <w:szCs w:val="24"/>
        </w:rPr>
      </w:pPr>
    </w:p>
    <w:p w:rsidR="001719EA" w:rsidRDefault="001719EA" w:rsidP="00415C37">
      <w:pPr>
        <w:spacing w:line="360" w:lineRule="auto"/>
        <w:ind w:left="720" w:hanging="720"/>
        <w:jc w:val="both"/>
        <w:rPr>
          <w:rFonts w:ascii="Arial" w:hAnsi="Arial" w:cs="Arial"/>
          <w:sz w:val="24"/>
          <w:szCs w:val="24"/>
        </w:rPr>
      </w:pPr>
      <w:r>
        <w:rPr>
          <w:rFonts w:ascii="Arial" w:hAnsi="Arial" w:cs="Arial"/>
          <w:sz w:val="24"/>
          <w:szCs w:val="24"/>
        </w:rPr>
        <w:t>[4]</w:t>
      </w:r>
      <w:r w:rsidR="0022117C">
        <w:rPr>
          <w:rFonts w:ascii="Arial" w:hAnsi="Arial" w:cs="Arial"/>
          <w:sz w:val="24"/>
          <w:szCs w:val="24"/>
        </w:rPr>
        <w:tab/>
        <w:t xml:space="preserve">It is common cause that in the original founding affidavit the applicant did not disclose that he had two disciplinary hearings against him.  In </w:t>
      </w:r>
      <w:r w:rsidR="00CB1DA0">
        <w:rPr>
          <w:rFonts w:ascii="Arial" w:hAnsi="Arial" w:cs="Arial"/>
          <w:sz w:val="24"/>
          <w:szCs w:val="24"/>
        </w:rPr>
        <w:t>fact, he declared</w:t>
      </w:r>
      <w:r w:rsidR="0022117C">
        <w:rPr>
          <w:rFonts w:ascii="Arial" w:hAnsi="Arial" w:cs="Arial"/>
          <w:sz w:val="24"/>
          <w:szCs w:val="24"/>
        </w:rPr>
        <w:t xml:space="preserve"> as follows:</w:t>
      </w:r>
    </w:p>
    <w:p w:rsidR="0022117C" w:rsidRPr="0022117C" w:rsidRDefault="0022117C" w:rsidP="0022117C">
      <w:pPr>
        <w:spacing w:line="360" w:lineRule="auto"/>
        <w:ind w:left="2880" w:hanging="1440"/>
        <w:jc w:val="both"/>
        <w:rPr>
          <w:rFonts w:ascii="Arial" w:hAnsi="Arial" w:cs="Arial"/>
          <w:i/>
          <w:sz w:val="24"/>
          <w:szCs w:val="24"/>
        </w:rPr>
      </w:pPr>
      <w:r w:rsidRPr="0022117C">
        <w:rPr>
          <w:rFonts w:ascii="Arial" w:hAnsi="Arial" w:cs="Arial"/>
          <w:i/>
          <w:sz w:val="24"/>
          <w:szCs w:val="24"/>
        </w:rPr>
        <w:t>“11.1.2</w:t>
      </w:r>
      <w:r w:rsidRPr="0022117C">
        <w:rPr>
          <w:rFonts w:ascii="Arial" w:hAnsi="Arial" w:cs="Arial"/>
          <w:i/>
          <w:sz w:val="24"/>
          <w:szCs w:val="24"/>
        </w:rPr>
        <w:tab/>
        <w:t xml:space="preserve">There are no previous disciplinary proceedings against me by the then Law Society of the Northern Provinces (Gauteng Provincial Council), the University of Limpopo or my Principal pending or about to be instituted against me nor have such proceedings ever been instituted against </w:t>
      </w:r>
      <w:r w:rsidRPr="0022117C">
        <w:rPr>
          <w:rFonts w:ascii="Arial" w:hAnsi="Arial" w:cs="Arial"/>
          <w:i/>
          <w:sz w:val="24"/>
          <w:szCs w:val="24"/>
        </w:rPr>
        <w:lastRenderedPageBreak/>
        <w:t>me.  I respectfully submit that I have complied with Rule 17.2.14.2 of Rules promulgated in terms of the Act.”</w:t>
      </w:r>
    </w:p>
    <w:p w:rsidR="001719EA" w:rsidRDefault="001719EA" w:rsidP="00415C37">
      <w:pPr>
        <w:spacing w:line="360" w:lineRule="auto"/>
        <w:ind w:left="720" w:hanging="720"/>
        <w:jc w:val="both"/>
        <w:rPr>
          <w:rFonts w:ascii="Arial" w:hAnsi="Arial" w:cs="Arial"/>
          <w:sz w:val="24"/>
          <w:szCs w:val="24"/>
        </w:rPr>
      </w:pPr>
    </w:p>
    <w:p w:rsidR="0022117C" w:rsidRPr="0022117C" w:rsidRDefault="001719EA" w:rsidP="00415C37">
      <w:pPr>
        <w:spacing w:line="360" w:lineRule="auto"/>
        <w:ind w:left="720" w:hanging="720"/>
        <w:jc w:val="both"/>
        <w:rPr>
          <w:rFonts w:ascii="Arial" w:hAnsi="Arial" w:cs="Arial"/>
          <w:sz w:val="24"/>
          <w:szCs w:val="24"/>
        </w:rPr>
      </w:pPr>
      <w:r>
        <w:rPr>
          <w:rFonts w:ascii="Arial" w:hAnsi="Arial" w:cs="Arial"/>
          <w:sz w:val="24"/>
          <w:szCs w:val="24"/>
        </w:rPr>
        <w:t>[5]</w:t>
      </w:r>
      <w:r w:rsidR="009C737F">
        <w:rPr>
          <w:rFonts w:ascii="Arial" w:hAnsi="Arial" w:cs="Arial"/>
          <w:sz w:val="24"/>
          <w:szCs w:val="24"/>
        </w:rPr>
        <w:tab/>
        <w:t>In the</w:t>
      </w:r>
      <w:r w:rsidR="0022117C">
        <w:rPr>
          <w:rFonts w:ascii="Arial" w:hAnsi="Arial" w:cs="Arial"/>
          <w:sz w:val="24"/>
          <w:szCs w:val="24"/>
        </w:rPr>
        <w:t xml:space="preserve"> amended notice of</w:t>
      </w:r>
      <w:r w:rsidR="0084747D">
        <w:rPr>
          <w:rFonts w:ascii="Arial" w:hAnsi="Arial" w:cs="Arial"/>
          <w:sz w:val="24"/>
          <w:szCs w:val="24"/>
        </w:rPr>
        <w:t xml:space="preserve"> motion an affidavit </w:t>
      </w:r>
      <w:r w:rsidR="0022117C">
        <w:rPr>
          <w:rFonts w:ascii="Arial" w:hAnsi="Arial" w:cs="Arial"/>
          <w:sz w:val="24"/>
          <w:szCs w:val="24"/>
        </w:rPr>
        <w:t xml:space="preserve"> serving as </w:t>
      </w:r>
      <w:r w:rsidR="0022117C" w:rsidRPr="0022117C">
        <w:rPr>
          <w:rFonts w:ascii="Arial" w:hAnsi="Arial" w:cs="Arial"/>
          <w:i/>
          <w:sz w:val="24"/>
          <w:szCs w:val="24"/>
        </w:rPr>
        <w:t>“supplementary affid</w:t>
      </w:r>
      <w:r w:rsidR="00061778">
        <w:rPr>
          <w:rFonts w:ascii="Arial" w:hAnsi="Arial" w:cs="Arial"/>
          <w:i/>
          <w:sz w:val="24"/>
          <w:szCs w:val="24"/>
        </w:rPr>
        <w:t xml:space="preserve">avit and confirmatory affidavit” </w:t>
      </w:r>
      <w:r w:rsidR="00061778">
        <w:rPr>
          <w:rFonts w:ascii="Arial" w:hAnsi="Arial" w:cs="Arial"/>
          <w:sz w:val="24"/>
          <w:szCs w:val="24"/>
        </w:rPr>
        <w:t>i</w:t>
      </w:r>
      <w:r w:rsidR="0084747D">
        <w:rPr>
          <w:rFonts w:ascii="Arial" w:hAnsi="Arial" w:cs="Arial"/>
          <w:sz w:val="24"/>
          <w:szCs w:val="24"/>
        </w:rPr>
        <w:t>s attached.</w:t>
      </w:r>
      <w:r w:rsidR="0022117C">
        <w:rPr>
          <w:rFonts w:ascii="Arial" w:hAnsi="Arial" w:cs="Arial"/>
          <w:i/>
          <w:sz w:val="24"/>
          <w:szCs w:val="24"/>
        </w:rPr>
        <w:t xml:space="preserve">  </w:t>
      </w:r>
      <w:r w:rsidR="0022117C">
        <w:rPr>
          <w:rFonts w:ascii="Arial" w:hAnsi="Arial" w:cs="Arial"/>
          <w:sz w:val="24"/>
          <w:szCs w:val="24"/>
        </w:rPr>
        <w:t>In paragraphs 1.8 and 1.9 he sought to disclose the pending disciplin</w:t>
      </w:r>
      <w:r w:rsidR="0084747D">
        <w:rPr>
          <w:rFonts w:ascii="Arial" w:hAnsi="Arial" w:cs="Arial"/>
          <w:sz w:val="24"/>
          <w:szCs w:val="24"/>
        </w:rPr>
        <w:t>ary before the Road Accident Fund [the RAF], his former employer</w:t>
      </w:r>
      <w:r w:rsidR="00061778">
        <w:rPr>
          <w:rFonts w:ascii="Arial" w:hAnsi="Arial" w:cs="Arial"/>
          <w:sz w:val="24"/>
          <w:szCs w:val="24"/>
        </w:rPr>
        <w:t xml:space="preserve">.  </w:t>
      </w:r>
      <w:r w:rsidR="0022117C">
        <w:rPr>
          <w:rFonts w:ascii="Arial" w:hAnsi="Arial" w:cs="Arial"/>
          <w:sz w:val="24"/>
          <w:szCs w:val="24"/>
        </w:rPr>
        <w:t xml:space="preserve">He then also discloses the charges against him by his former principal where he was a candidate attorney from September 2011 to November 2012.  </w:t>
      </w:r>
      <w:r w:rsidR="0084747D">
        <w:rPr>
          <w:rFonts w:ascii="Arial" w:hAnsi="Arial" w:cs="Arial"/>
          <w:sz w:val="24"/>
          <w:szCs w:val="24"/>
        </w:rPr>
        <w:t xml:space="preserve">This affidavit proffers an explanation for the </w:t>
      </w:r>
      <w:r w:rsidR="0022117C">
        <w:rPr>
          <w:rFonts w:ascii="Arial" w:hAnsi="Arial" w:cs="Arial"/>
          <w:sz w:val="24"/>
          <w:szCs w:val="24"/>
        </w:rPr>
        <w:t>non-disclosure of the disciplinary hearing by M</w:t>
      </w:r>
      <w:r w:rsidR="0084747D">
        <w:rPr>
          <w:rFonts w:ascii="Arial" w:hAnsi="Arial" w:cs="Arial"/>
          <w:sz w:val="24"/>
          <w:szCs w:val="24"/>
        </w:rPr>
        <w:t>r Durand, his first principal, a</w:t>
      </w:r>
      <w:r w:rsidR="0022117C">
        <w:rPr>
          <w:rFonts w:ascii="Arial" w:hAnsi="Arial" w:cs="Arial"/>
          <w:sz w:val="24"/>
          <w:szCs w:val="24"/>
        </w:rPr>
        <w:t xml:space="preserve">s </w:t>
      </w:r>
      <w:r w:rsidR="0022117C" w:rsidRPr="0022117C">
        <w:rPr>
          <w:rFonts w:ascii="Arial" w:hAnsi="Arial" w:cs="Arial"/>
          <w:i/>
          <w:sz w:val="24"/>
          <w:szCs w:val="24"/>
        </w:rPr>
        <w:t>“a bona fide omission”</w:t>
      </w:r>
      <w:r w:rsidR="0022117C">
        <w:rPr>
          <w:rFonts w:ascii="Arial" w:hAnsi="Arial" w:cs="Arial"/>
          <w:i/>
          <w:sz w:val="24"/>
          <w:szCs w:val="24"/>
        </w:rPr>
        <w:t xml:space="preserve"> </w:t>
      </w:r>
      <w:r w:rsidR="0022117C">
        <w:rPr>
          <w:rFonts w:ascii="Arial" w:hAnsi="Arial" w:cs="Arial"/>
          <w:sz w:val="24"/>
          <w:szCs w:val="24"/>
        </w:rPr>
        <w:t xml:space="preserve">because the LPC was aware of this disciplinary hearing and dismissal prior to the LPC authorising and registering his contract with his second principal.  No explanation is forthcoming as to why the RAF disciplinary hearing was omitted in the founding affidavit. </w:t>
      </w:r>
    </w:p>
    <w:p w:rsidR="001719EA" w:rsidRDefault="001719EA" w:rsidP="00415C37">
      <w:pPr>
        <w:spacing w:line="360" w:lineRule="auto"/>
        <w:ind w:left="720" w:hanging="720"/>
        <w:jc w:val="both"/>
        <w:rPr>
          <w:rFonts w:ascii="Arial" w:hAnsi="Arial" w:cs="Arial"/>
          <w:sz w:val="24"/>
          <w:szCs w:val="24"/>
        </w:rPr>
      </w:pPr>
    </w:p>
    <w:p w:rsidR="00984677" w:rsidRPr="00281E38" w:rsidRDefault="00A130C2" w:rsidP="00984677">
      <w:pPr>
        <w:spacing w:line="360" w:lineRule="auto"/>
        <w:ind w:left="720" w:hanging="720"/>
        <w:jc w:val="both"/>
        <w:rPr>
          <w:rFonts w:ascii="Arial" w:hAnsi="Arial" w:cs="Arial"/>
          <w:sz w:val="24"/>
          <w:szCs w:val="24"/>
        </w:rPr>
      </w:pPr>
      <w:r>
        <w:rPr>
          <w:rFonts w:ascii="Arial" w:hAnsi="Arial" w:cs="Arial"/>
          <w:sz w:val="24"/>
          <w:szCs w:val="24"/>
        </w:rPr>
        <w:t>[6</w:t>
      </w:r>
      <w:r w:rsidR="00984677">
        <w:rPr>
          <w:rFonts w:ascii="Arial" w:hAnsi="Arial" w:cs="Arial"/>
          <w:sz w:val="24"/>
          <w:szCs w:val="24"/>
        </w:rPr>
        <w:t>]</w:t>
      </w:r>
      <w:r w:rsidR="00984677">
        <w:rPr>
          <w:rFonts w:ascii="Arial" w:hAnsi="Arial" w:cs="Arial"/>
          <w:sz w:val="24"/>
          <w:szCs w:val="24"/>
        </w:rPr>
        <w:tab/>
        <w:t>The chronol</w:t>
      </w:r>
      <w:r w:rsidR="006251D4">
        <w:rPr>
          <w:rFonts w:ascii="Arial" w:hAnsi="Arial" w:cs="Arial"/>
          <w:sz w:val="24"/>
          <w:szCs w:val="24"/>
        </w:rPr>
        <w:t xml:space="preserve">ogy in this matter is relevant. </w:t>
      </w:r>
      <w:r w:rsidR="00984677">
        <w:rPr>
          <w:rFonts w:ascii="Arial" w:hAnsi="Arial" w:cs="Arial"/>
          <w:sz w:val="24"/>
          <w:szCs w:val="24"/>
        </w:rPr>
        <w:t>The applicant issued his application for admission on 28 September 2021, set down for hearing on 4 November 2021.  On 5 October 2021 the LPC sent an e-mail to the applicant with requests to correct mistakes and errors.  But, more importantly to clearly record that save for the disciplinary proceedings instituted against him by his first principal [Durand] no other disciplinary hearings were instituted or were pending.  On 12 October 2021 the LPC sent a further e-mail to the applicant advising him that he failed to disclose the outcome of the disciplinary proceedings against him by RAF.  The applicant was informed that his failure to disclose the disciplinary hearings was a serious omission which affected the applicant’s integrity to such an extent that he was not fit and proper.  He was advised to refer his application to the Admissions and Practical Vocational Training Committee for consideration.</w:t>
      </w:r>
      <w:r w:rsidR="00061778">
        <w:rPr>
          <w:rFonts w:ascii="Arial" w:hAnsi="Arial" w:cs="Arial"/>
          <w:sz w:val="24"/>
          <w:szCs w:val="24"/>
        </w:rPr>
        <w:t xml:space="preserve">  </w:t>
      </w:r>
      <w:r w:rsidR="00984677">
        <w:rPr>
          <w:rFonts w:ascii="Arial" w:hAnsi="Arial" w:cs="Arial"/>
          <w:sz w:val="24"/>
          <w:szCs w:val="24"/>
        </w:rPr>
        <w:t xml:space="preserve">On 29 October 2021 the LPC requested the applicant to remove the application from the roll, but he refused to.  The court postponed the matter </w:t>
      </w:r>
      <w:r w:rsidR="00984677">
        <w:rPr>
          <w:rFonts w:ascii="Arial" w:hAnsi="Arial" w:cs="Arial"/>
          <w:i/>
          <w:sz w:val="24"/>
          <w:szCs w:val="24"/>
        </w:rPr>
        <w:t xml:space="preserve">sine die </w:t>
      </w:r>
      <w:r w:rsidR="00984677">
        <w:rPr>
          <w:rFonts w:ascii="Arial" w:hAnsi="Arial" w:cs="Arial"/>
          <w:sz w:val="24"/>
          <w:szCs w:val="24"/>
        </w:rPr>
        <w:t>for the LPC to consider the RAF disciplinary hearing and address the court thereon.</w:t>
      </w:r>
    </w:p>
    <w:p w:rsidR="0022117C" w:rsidRDefault="0022117C" w:rsidP="00415C37">
      <w:pPr>
        <w:spacing w:line="360" w:lineRule="auto"/>
        <w:ind w:left="720" w:hanging="720"/>
        <w:jc w:val="both"/>
        <w:rPr>
          <w:rFonts w:ascii="Arial" w:hAnsi="Arial" w:cs="Arial"/>
          <w:sz w:val="24"/>
          <w:szCs w:val="24"/>
        </w:rPr>
      </w:pPr>
    </w:p>
    <w:p w:rsidR="0022117C" w:rsidRDefault="0022117C" w:rsidP="00415C37">
      <w:pPr>
        <w:spacing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The applicant refused to remove the application and filed a further supplementary affidavit with the purpose to explain in sufficient details the disciplinary hearing before</w:t>
      </w:r>
      <w:r w:rsidR="00C43861">
        <w:rPr>
          <w:rFonts w:ascii="Arial" w:hAnsi="Arial" w:cs="Arial"/>
          <w:sz w:val="24"/>
          <w:szCs w:val="24"/>
        </w:rPr>
        <w:t xml:space="preserve"> the</w:t>
      </w:r>
      <w:r>
        <w:rPr>
          <w:rFonts w:ascii="Arial" w:hAnsi="Arial" w:cs="Arial"/>
          <w:sz w:val="24"/>
          <w:szCs w:val="24"/>
        </w:rPr>
        <w:t xml:space="preserve"> RAF.  In this affidavit the merits pertaining to the disciplinary hearing is explained.  He further submitted:</w:t>
      </w:r>
    </w:p>
    <w:p w:rsidR="0022117C" w:rsidRPr="00A45398" w:rsidRDefault="0022117C" w:rsidP="0022117C">
      <w:pPr>
        <w:spacing w:line="360" w:lineRule="auto"/>
        <w:ind w:left="2160" w:hanging="720"/>
        <w:jc w:val="both"/>
        <w:rPr>
          <w:rFonts w:ascii="Arial" w:hAnsi="Arial" w:cs="Arial"/>
          <w:i/>
          <w:sz w:val="24"/>
          <w:szCs w:val="24"/>
        </w:rPr>
      </w:pPr>
      <w:r w:rsidRPr="00A45398">
        <w:rPr>
          <w:rFonts w:ascii="Arial" w:hAnsi="Arial" w:cs="Arial"/>
          <w:i/>
          <w:sz w:val="24"/>
          <w:szCs w:val="24"/>
        </w:rPr>
        <w:t>“19.</w:t>
      </w:r>
      <w:r w:rsidRPr="00A45398">
        <w:rPr>
          <w:rFonts w:ascii="Arial" w:hAnsi="Arial" w:cs="Arial"/>
          <w:i/>
          <w:sz w:val="24"/>
          <w:szCs w:val="24"/>
        </w:rPr>
        <w:tab/>
        <w:t>I humbly submit that the nature of the charges against me were operational in nature and do not indicate a moral failure or lack of integrity on my character.”</w:t>
      </w:r>
    </w:p>
    <w:p w:rsidR="00F93C58" w:rsidRPr="00F93C58" w:rsidRDefault="00F93C58" w:rsidP="00F93C58">
      <w:pPr>
        <w:spacing w:line="360" w:lineRule="auto"/>
        <w:ind w:left="1418" w:firstLine="22"/>
        <w:jc w:val="both"/>
        <w:rPr>
          <w:rFonts w:ascii="Arial" w:hAnsi="Arial" w:cs="Arial"/>
          <w:i/>
          <w:sz w:val="24"/>
          <w:szCs w:val="24"/>
        </w:rPr>
      </w:pPr>
      <w:r w:rsidRPr="00F93C58">
        <w:rPr>
          <w:rFonts w:ascii="Arial" w:hAnsi="Arial" w:cs="Arial"/>
          <w:i/>
          <w:sz w:val="24"/>
          <w:szCs w:val="24"/>
        </w:rPr>
        <w:t xml:space="preserve">“I further submit that I am fit and proper person to be admitted as a </w:t>
      </w:r>
      <w:r w:rsidR="00B02C24" w:rsidRPr="00F93C58">
        <w:rPr>
          <w:rFonts w:ascii="Arial" w:hAnsi="Arial" w:cs="Arial"/>
          <w:i/>
          <w:sz w:val="24"/>
          <w:szCs w:val="24"/>
        </w:rPr>
        <w:t xml:space="preserve">legal </w:t>
      </w:r>
      <w:r w:rsidR="00B02C24">
        <w:rPr>
          <w:rFonts w:ascii="Arial" w:hAnsi="Arial" w:cs="Arial"/>
          <w:i/>
          <w:sz w:val="24"/>
          <w:szCs w:val="24"/>
        </w:rPr>
        <w:t>practitioner</w:t>
      </w:r>
      <w:r w:rsidRPr="00F93C58">
        <w:rPr>
          <w:rFonts w:ascii="Arial" w:hAnsi="Arial" w:cs="Arial"/>
          <w:i/>
          <w:sz w:val="24"/>
          <w:szCs w:val="24"/>
        </w:rPr>
        <w:t xml:space="preserve"> … I have referred my dismissal by RAF to the Commission for Conciliation, Mediation and Arbitration (CCMA).”</w:t>
      </w:r>
    </w:p>
    <w:p w:rsidR="0022117C" w:rsidRDefault="0022117C" w:rsidP="00415C37">
      <w:pPr>
        <w:spacing w:line="360" w:lineRule="auto"/>
        <w:ind w:left="720" w:hanging="720"/>
        <w:jc w:val="both"/>
        <w:rPr>
          <w:rFonts w:ascii="Arial" w:hAnsi="Arial" w:cs="Arial"/>
          <w:sz w:val="24"/>
          <w:szCs w:val="24"/>
        </w:rPr>
      </w:pPr>
    </w:p>
    <w:p w:rsidR="00F93C58" w:rsidRPr="00F93C58" w:rsidRDefault="0022117C" w:rsidP="00415C37">
      <w:pPr>
        <w:spacing w:line="360" w:lineRule="auto"/>
        <w:ind w:left="720" w:hanging="720"/>
        <w:jc w:val="both"/>
        <w:rPr>
          <w:rFonts w:ascii="Arial" w:hAnsi="Arial" w:cs="Arial"/>
          <w:sz w:val="24"/>
          <w:szCs w:val="24"/>
        </w:rPr>
      </w:pPr>
      <w:r>
        <w:rPr>
          <w:rFonts w:ascii="Arial" w:hAnsi="Arial" w:cs="Arial"/>
          <w:sz w:val="24"/>
          <w:szCs w:val="24"/>
        </w:rPr>
        <w:t>[8]</w:t>
      </w:r>
      <w:r w:rsidR="00F93C58">
        <w:rPr>
          <w:rFonts w:ascii="Arial" w:hAnsi="Arial" w:cs="Arial"/>
          <w:sz w:val="24"/>
          <w:szCs w:val="24"/>
        </w:rPr>
        <w:tab/>
        <w:t xml:space="preserve">In the LPC’s answering affidavit it set out that in an </w:t>
      </w:r>
      <w:r w:rsidR="00F93C58">
        <w:rPr>
          <w:rFonts w:ascii="Arial" w:hAnsi="Arial" w:cs="Arial"/>
          <w:i/>
          <w:sz w:val="24"/>
          <w:szCs w:val="24"/>
        </w:rPr>
        <w:t xml:space="preserve">ex parte </w:t>
      </w:r>
      <w:r w:rsidR="00F93C58">
        <w:rPr>
          <w:rFonts w:ascii="Arial" w:hAnsi="Arial" w:cs="Arial"/>
          <w:sz w:val="24"/>
          <w:szCs w:val="24"/>
        </w:rPr>
        <w:t>application the appli</w:t>
      </w:r>
      <w:r w:rsidR="000A2DC1">
        <w:rPr>
          <w:rFonts w:ascii="Arial" w:hAnsi="Arial" w:cs="Arial"/>
          <w:sz w:val="24"/>
          <w:szCs w:val="24"/>
        </w:rPr>
        <w:t>cant has a duty to be honest,</w:t>
      </w:r>
      <w:r w:rsidR="00F93C58">
        <w:rPr>
          <w:rFonts w:ascii="Arial" w:hAnsi="Arial" w:cs="Arial"/>
          <w:sz w:val="24"/>
          <w:szCs w:val="24"/>
        </w:rPr>
        <w:t xml:space="preserve"> display integrity and complete </w:t>
      </w:r>
      <w:r w:rsidR="00F93C58">
        <w:rPr>
          <w:rFonts w:ascii="Arial" w:hAnsi="Arial" w:cs="Arial"/>
          <w:i/>
          <w:sz w:val="24"/>
          <w:szCs w:val="24"/>
        </w:rPr>
        <w:t xml:space="preserve">bona fides.  </w:t>
      </w:r>
      <w:r w:rsidR="00F93C58">
        <w:rPr>
          <w:rFonts w:ascii="Arial" w:hAnsi="Arial" w:cs="Arial"/>
          <w:sz w:val="24"/>
          <w:szCs w:val="24"/>
        </w:rPr>
        <w:t xml:space="preserve">The two supplementary affidavits were filed as </w:t>
      </w:r>
      <w:r w:rsidR="00F93C58" w:rsidRPr="00A45398">
        <w:rPr>
          <w:rFonts w:ascii="Arial" w:hAnsi="Arial" w:cs="Arial"/>
          <w:i/>
          <w:sz w:val="24"/>
          <w:szCs w:val="24"/>
        </w:rPr>
        <w:t>“damage control”</w:t>
      </w:r>
      <w:r w:rsidR="00F93C58">
        <w:rPr>
          <w:rFonts w:ascii="Arial" w:hAnsi="Arial" w:cs="Arial"/>
          <w:sz w:val="24"/>
          <w:szCs w:val="24"/>
        </w:rPr>
        <w:t xml:space="preserve"> in an attempt to salvage the founding affidavit that did not disclose the disciplinary hearings.  In paragraph 11.1.2 th</w:t>
      </w:r>
      <w:r w:rsidR="00EE4B98">
        <w:rPr>
          <w:rFonts w:ascii="Arial" w:hAnsi="Arial" w:cs="Arial"/>
          <w:sz w:val="24"/>
          <w:szCs w:val="24"/>
        </w:rPr>
        <w:t>e applicant under oath expressing</w:t>
      </w:r>
      <w:r w:rsidR="00F93C58">
        <w:rPr>
          <w:rFonts w:ascii="Arial" w:hAnsi="Arial" w:cs="Arial"/>
          <w:sz w:val="24"/>
          <w:szCs w:val="24"/>
        </w:rPr>
        <w:t xml:space="preserve"> that there were no pending disciplinary hearings were</w:t>
      </w:r>
      <w:r w:rsidR="00BB1DBC">
        <w:rPr>
          <w:rFonts w:ascii="Arial" w:hAnsi="Arial" w:cs="Arial"/>
          <w:sz w:val="24"/>
          <w:szCs w:val="24"/>
        </w:rPr>
        <w:t xml:space="preserve"> simp</w:t>
      </w:r>
      <w:r w:rsidR="00061778">
        <w:rPr>
          <w:rFonts w:ascii="Arial" w:hAnsi="Arial" w:cs="Arial"/>
          <w:sz w:val="24"/>
          <w:szCs w:val="24"/>
        </w:rPr>
        <w:t>l</w:t>
      </w:r>
      <w:r w:rsidR="00BB1DBC">
        <w:rPr>
          <w:rFonts w:ascii="Arial" w:hAnsi="Arial" w:cs="Arial"/>
          <w:sz w:val="24"/>
          <w:szCs w:val="24"/>
        </w:rPr>
        <w:t>y</w:t>
      </w:r>
      <w:r w:rsidR="00F93C58">
        <w:rPr>
          <w:rFonts w:ascii="Arial" w:hAnsi="Arial" w:cs="Arial"/>
          <w:sz w:val="24"/>
          <w:szCs w:val="24"/>
        </w:rPr>
        <w:t xml:space="preserve"> false.  At paragraph 8 he mentioned the articles of clerkship he entered into, without disclosing the contract with the previous employer.  It was argued that this fact was omitted not to bring to light the disciplinary proceedings and measures that were taken against him.  This amounted to a clear misrepresentation by omission to conceal his previous delinquent behaviour.</w:t>
      </w:r>
      <w:r w:rsidR="00F826CD">
        <w:rPr>
          <w:rFonts w:ascii="Arial" w:hAnsi="Arial" w:cs="Arial"/>
          <w:sz w:val="24"/>
          <w:szCs w:val="24"/>
        </w:rPr>
        <w:t xml:space="preserve"> </w:t>
      </w:r>
      <w:r w:rsidR="00F93C58">
        <w:rPr>
          <w:rFonts w:ascii="Arial" w:hAnsi="Arial" w:cs="Arial"/>
          <w:sz w:val="24"/>
          <w:szCs w:val="24"/>
        </w:rPr>
        <w:t xml:space="preserve">On behalf of the LPC it was argued that the applicant’s explanation of a </w:t>
      </w:r>
      <w:r w:rsidR="00F93C58">
        <w:rPr>
          <w:rFonts w:ascii="Arial" w:hAnsi="Arial" w:cs="Arial"/>
          <w:i/>
          <w:sz w:val="24"/>
          <w:szCs w:val="24"/>
        </w:rPr>
        <w:t>bona fide</w:t>
      </w:r>
      <w:r w:rsidR="00F93C58">
        <w:rPr>
          <w:rFonts w:ascii="Arial" w:hAnsi="Arial" w:cs="Arial"/>
          <w:sz w:val="24"/>
          <w:szCs w:val="24"/>
        </w:rPr>
        <w:t xml:space="preserve"> error or mistake cannot reasonably be entertained.  </w:t>
      </w:r>
    </w:p>
    <w:p w:rsidR="00F93C58" w:rsidRDefault="00F93C58" w:rsidP="00415C37">
      <w:pPr>
        <w:spacing w:line="360" w:lineRule="auto"/>
        <w:ind w:left="720" w:hanging="720"/>
        <w:jc w:val="both"/>
        <w:rPr>
          <w:rFonts w:ascii="Arial" w:hAnsi="Arial" w:cs="Arial"/>
          <w:sz w:val="24"/>
          <w:szCs w:val="24"/>
        </w:rPr>
      </w:pPr>
    </w:p>
    <w:p w:rsidR="00F93C58" w:rsidRDefault="00B3233E" w:rsidP="00415C37">
      <w:pPr>
        <w:spacing w:line="360" w:lineRule="auto"/>
        <w:ind w:left="720" w:hanging="720"/>
        <w:jc w:val="both"/>
        <w:rPr>
          <w:rFonts w:ascii="Arial" w:hAnsi="Arial" w:cs="Arial"/>
          <w:sz w:val="24"/>
          <w:szCs w:val="24"/>
        </w:rPr>
      </w:pPr>
      <w:r>
        <w:rPr>
          <w:rFonts w:ascii="Arial" w:hAnsi="Arial" w:cs="Arial"/>
          <w:sz w:val="24"/>
          <w:szCs w:val="24"/>
        </w:rPr>
        <w:t>[9</w:t>
      </w:r>
      <w:r w:rsidR="00F93C58">
        <w:rPr>
          <w:rFonts w:ascii="Arial" w:hAnsi="Arial" w:cs="Arial"/>
          <w:sz w:val="24"/>
          <w:szCs w:val="24"/>
        </w:rPr>
        <w:t>]</w:t>
      </w:r>
      <w:r w:rsidR="00F93C58">
        <w:rPr>
          <w:rFonts w:ascii="Arial" w:hAnsi="Arial" w:cs="Arial"/>
          <w:sz w:val="24"/>
          <w:szCs w:val="24"/>
        </w:rPr>
        <w:tab/>
        <w:t xml:space="preserve">The second supplementary affidavit sought to disclose the outcome of the hearing.  But, the applicant should have taken the Court into his confidence already in the founding affidavit.  The two supplementary affidavits filed were filed to undo the material non-disclosure in the founding affidavit.  There was no basis </w:t>
      </w:r>
      <w:r w:rsidR="00EE61F2">
        <w:rPr>
          <w:rFonts w:ascii="Arial" w:hAnsi="Arial" w:cs="Arial"/>
          <w:sz w:val="24"/>
          <w:szCs w:val="24"/>
        </w:rPr>
        <w:t xml:space="preserve">to allow these affidavits and the court should not accept these </w:t>
      </w:r>
      <w:r w:rsidR="00EE61F2">
        <w:rPr>
          <w:rFonts w:ascii="Arial" w:hAnsi="Arial" w:cs="Arial"/>
          <w:sz w:val="24"/>
          <w:szCs w:val="24"/>
        </w:rPr>
        <w:lastRenderedPageBreak/>
        <w:t>affidavits. Even more so because the applicant did</w:t>
      </w:r>
      <w:r w:rsidR="004E4901">
        <w:rPr>
          <w:rFonts w:ascii="Arial" w:hAnsi="Arial" w:cs="Arial"/>
          <w:sz w:val="24"/>
          <w:szCs w:val="24"/>
        </w:rPr>
        <w:t xml:space="preserve"> </w:t>
      </w:r>
      <w:r w:rsidR="002E4EB6">
        <w:rPr>
          <w:rFonts w:ascii="Arial" w:hAnsi="Arial" w:cs="Arial"/>
          <w:sz w:val="24"/>
          <w:szCs w:val="24"/>
        </w:rPr>
        <w:t xml:space="preserve">not </w:t>
      </w:r>
      <w:r w:rsidR="004E4901">
        <w:rPr>
          <w:rFonts w:ascii="Arial" w:hAnsi="Arial" w:cs="Arial"/>
          <w:sz w:val="24"/>
          <w:szCs w:val="24"/>
        </w:rPr>
        <w:t>provide</w:t>
      </w:r>
      <w:r w:rsidR="00F93C58">
        <w:rPr>
          <w:rFonts w:ascii="Arial" w:hAnsi="Arial" w:cs="Arial"/>
          <w:sz w:val="24"/>
          <w:szCs w:val="24"/>
        </w:rPr>
        <w:t xml:space="preserve"> any explanation to show good cause as to why thes</w:t>
      </w:r>
      <w:r w:rsidR="00EE61F2">
        <w:rPr>
          <w:rFonts w:ascii="Arial" w:hAnsi="Arial" w:cs="Arial"/>
          <w:sz w:val="24"/>
          <w:szCs w:val="24"/>
        </w:rPr>
        <w:t>e affidavits should be accepted and entertained by the court.</w:t>
      </w:r>
    </w:p>
    <w:p w:rsidR="00F93C58" w:rsidRDefault="00F93C58" w:rsidP="00415C37">
      <w:pPr>
        <w:spacing w:line="360" w:lineRule="auto"/>
        <w:ind w:left="720" w:hanging="720"/>
        <w:jc w:val="both"/>
        <w:rPr>
          <w:rFonts w:ascii="Arial" w:hAnsi="Arial" w:cs="Arial"/>
          <w:sz w:val="24"/>
          <w:szCs w:val="24"/>
        </w:rPr>
      </w:pPr>
    </w:p>
    <w:p w:rsidR="00F93C58" w:rsidRDefault="002B29CA" w:rsidP="00415C37">
      <w:pPr>
        <w:spacing w:line="360" w:lineRule="auto"/>
        <w:ind w:left="720" w:hanging="720"/>
        <w:jc w:val="both"/>
        <w:rPr>
          <w:rFonts w:ascii="Arial" w:hAnsi="Arial" w:cs="Arial"/>
          <w:sz w:val="24"/>
          <w:szCs w:val="24"/>
        </w:rPr>
      </w:pPr>
      <w:r>
        <w:rPr>
          <w:rFonts w:ascii="Arial" w:hAnsi="Arial" w:cs="Arial"/>
          <w:sz w:val="24"/>
          <w:szCs w:val="24"/>
        </w:rPr>
        <w:t>[10]</w:t>
      </w:r>
      <w:r w:rsidR="00281E38">
        <w:rPr>
          <w:rFonts w:ascii="Arial" w:hAnsi="Arial" w:cs="Arial"/>
          <w:sz w:val="24"/>
          <w:szCs w:val="24"/>
        </w:rPr>
        <w:tab/>
        <w:t>The explanation</w:t>
      </w:r>
      <w:r w:rsidR="00AC3E16">
        <w:rPr>
          <w:rFonts w:ascii="Arial" w:hAnsi="Arial" w:cs="Arial"/>
          <w:sz w:val="24"/>
          <w:szCs w:val="24"/>
        </w:rPr>
        <w:t xml:space="preserve"> proffered by the </w:t>
      </w:r>
      <w:r w:rsidR="00452C6E">
        <w:rPr>
          <w:rFonts w:ascii="Arial" w:hAnsi="Arial" w:cs="Arial"/>
          <w:sz w:val="24"/>
          <w:szCs w:val="24"/>
        </w:rPr>
        <w:t>applicant that</w:t>
      </w:r>
      <w:r w:rsidR="00281E38">
        <w:rPr>
          <w:rFonts w:ascii="Arial" w:hAnsi="Arial" w:cs="Arial"/>
          <w:sz w:val="24"/>
          <w:szCs w:val="24"/>
        </w:rPr>
        <w:t xml:space="preserve"> the LPC k</w:t>
      </w:r>
      <w:r w:rsidR="00863F28">
        <w:rPr>
          <w:rFonts w:ascii="Arial" w:hAnsi="Arial" w:cs="Arial"/>
          <w:sz w:val="24"/>
          <w:szCs w:val="24"/>
        </w:rPr>
        <w:t>new of the disciplinary hearing by</w:t>
      </w:r>
      <w:r w:rsidR="00281E38">
        <w:rPr>
          <w:rFonts w:ascii="Arial" w:hAnsi="Arial" w:cs="Arial"/>
          <w:sz w:val="24"/>
          <w:szCs w:val="24"/>
        </w:rPr>
        <w:t xml:space="preserve"> his first employer </w:t>
      </w:r>
      <w:r w:rsidR="00AC3E16">
        <w:rPr>
          <w:rFonts w:ascii="Arial" w:hAnsi="Arial" w:cs="Arial"/>
          <w:sz w:val="24"/>
          <w:szCs w:val="24"/>
        </w:rPr>
        <w:t>and therefor</w:t>
      </w:r>
      <w:r w:rsidR="00061778">
        <w:rPr>
          <w:rFonts w:ascii="Arial" w:hAnsi="Arial" w:cs="Arial"/>
          <w:sz w:val="24"/>
          <w:szCs w:val="24"/>
        </w:rPr>
        <w:t>e</w:t>
      </w:r>
      <w:r w:rsidR="00AC3E16">
        <w:rPr>
          <w:rFonts w:ascii="Arial" w:hAnsi="Arial" w:cs="Arial"/>
          <w:sz w:val="24"/>
          <w:szCs w:val="24"/>
        </w:rPr>
        <w:t xml:space="preserve"> he did not declare it in his founding affidavit is not a reasonable explanation and is rejected.</w:t>
      </w:r>
      <w:r w:rsidR="00281E38">
        <w:rPr>
          <w:rFonts w:ascii="Arial" w:hAnsi="Arial" w:cs="Arial"/>
          <w:sz w:val="24"/>
          <w:szCs w:val="24"/>
        </w:rPr>
        <w:t xml:space="preserve">  The court needs to know about disciplinary hearings, it is after all the court who has to exercise the discretion to admit the applicant, or not.  The character of an attorney would instinctively declare that there was a disciplinary hearing</w:t>
      </w:r>
      <w:r w:rsidR="003A3FF7">
        <w:rPr>
          <w:rFonts w:ascii="Arial" w:hAnsi="Arial" w:cs="Arial"/>
          <w:sz w:val="24"/>
          <w:szCs w:val="24"/>
        </w:rPr>
        <w:t>,</w:t>
      </w:r>
      <w:r w:rsidR="00AC3E16">
        <w:rPr>
          <w:rFonts w:ascii="Arial" w:hAnsi="Arial" w:cs="Arial"/>
          <w:sz w:val="24"/>
          <w:szCs w:val="24"/>
        </w:rPr>
        <w:t xml:space="preserve"> with a caveat that the LPC is aware of</w:t>
      </w:r>
      <w:r w:rsidR="003E27B2">
        <w:rPr>
          <w:rFonts w:ascii="Arial" w:hAnsi="Arial" w:cs="Arial"/>
          <w:sz w:val="24"/>
          <w:szCs w:val="24"/>
        </w:rPr>
        <w:t xml:space="preserve"> this disciplinary</w:t>
      </w:r>
      <w:r w:rsidR="00AC3E16">
        <w:rPr>
          <w:rFonts w:ascii="Arial" w:hAnsi="Arial" w:cs="Arial"/>
          <w:sz w:val="24"/>
          <w:szCs w:val="24"/>
        </w:rPr>
        <w:t>. No attorney would</w:t>
      </w:r>
      <w:r w:rsidR="00281E38">
        <w:rPr>
          <w:rFonts w:ascii="Arial" w:hAnsi="Arial" w:cs="Arial"/>
          <w:sz w:val="24"/>
          <w:szCs w:val="24"/>
        </w:rPr>
        <w:t xml:space="preserve"> commit perjury by </w:t>
      </w:r>
      <w:r w:rsidR="00AC3E16">
        <w:rPr>
          <w:rFonts w:ascii="Arial" w:hAnsi="Arial" w:cs="Arial"/>
          <w:sz w:val="24"/>
          <w:szCs w:val="24"/>
        </w:rPr>
        <w:t>unequivocally stating</w:t>
      </w:r>
      <w:r w:rsidR="00281E38">
        <w:rPr>
          <w:rFonts w:ascii="Arial" w:hAnsi="Arial" w:cs="Arial"/>
          <w:sz w:val="24"/>
          <w:szCs w:val="24"/>
        </w:rPr>
        <w:t xml:space="preserve"> that there was no disciplinary hearing.  This untruthfulness is compounded by not informing the court of the pending disciplinary hearing by the RAF.  No explanation for this blatant untruth is forthcoming.</w:t>
      </w:r>
    </w:p>
    <w:p w:rsidR="00281E38" w:rsidRDefault="00281E38" w:rsidP="00415C37">
      <w:pPr>
        <w:spacing w:line="360" w:lineRule="auto"/>
        <w:ind w:left="720" w:hanging="720"/>
        <w:jc w:val="both"/>
        <w:rPr>
          <w:rFonts w:ascii="Arial" w:hAnsi="Arial" w:cs="Arial"/>
          <w:sz w:val="24"/>
          <w:szCs w:val="24"/>
        </w:rPr>
      </w:pPr>
    </w:p>
    <w:p w:rsidR="00281E38" w:rsidRDefault="00527525" w:rsidP="00415C37">
      <w:pPr>
        <w:spacing w:line="360" w:lineRule="auto"/>
        <w:ind w:left="720" w:hanging="720"/>
        <w:jc w:val="both"/>
        <w:rPr>
          <w:rFonts w:ascii="Arial" w:hAnsi="Arial" w:cs="Arial"/>
          <w:sz w:val="24"/>
          <w:szCs w:val="24"/>
        </w:rPr>
      </w:pPr>
      <w:r>
        <w:rPr>
          <w:rFonts w:ascii="Arial" w:hAnsi="Arial" w:cs="Arial"/>
          <w:sz w:val="24"/>
          <w:szCs w:val="24"/>
        </w:rPr>
        <w:t>[11]</w:t>
      </w:r>
      <w:r w:rsidR="00281E38">
        <w:rPr>
          <w:rFonts w:ascii="Arial" w:hAnsi="Arial" w:cs="Arial"/>
          <w:sz w:val="24"/>
          <w:szCs w:val="24"/>
        </w:rPr>
        <w:tab/>
        <w:t>There is no other inference as that the applicant did not want to take the court into his confidence pertaining to the disciplinary hearings.  This inference is fortified by the applicant’s omission in paragraph 8 of the founding affidavit where he does not refer to his employment with Mr. Durand which would have brought to</w:t>
      </w:r>
      <w:r w:rsidR="003A3FF7">
        <w:rPr>
          <w:rFonts w:ascii="Arial" w:hAnsi="Arial" w:cs="Arial"/>
          <w:sz w:val="24"/>
          <w:szCs w:val="24"/>
        </w:rPr>
        <w:t xml:space="preserve"> light the disciplinary hearing</w:t>
      </w:r>
      <w:r w:rsidR="00281E38">
        <w:rPr>
          <w:rFonts w:ascii="Arial" w:hAnsi="Arial" w:cs="Arial"/>
          <w:sz w:val="24"/>
          <w:szCs w:val="24"/>
        </w:rPr>
        <w:t>.</w:t>
      </w:r>
    </w:p>
    <w:p w:rsidR="00281E38" w:rsidRDefault="00281E38" w:rsidP="00415C37">
      <w:pPr>
        <w:spacing w:line="360" w:lineRule="auto"/>
        <w:ind w:left="720" w:hanging="720"/>
        <w:jc w:val="both"/>
        <w:rPr>
          <w:rFonts w:ascii="Arial" w:hAnsi="Arial" w:cs="Arial"/>
          <w:sz w:val="24"/>
          <w:szCs w:val="24"/>
        </w:rPr>
      </w:pPr>
    </w:p>
    <w:p w:rsidR="00281E38" w:rsidRPr="004F20AD" w:rsidRDefault="006938AB" w:rsidP="00415C37">
      <w:pPr>
        <w:spacing w:line="360" w:lineRule="auto"/>
        <w:ind w:left="720" w:hanging="720"/>
        <w:jc w:val="both"/>
        <w:rPr>
          <w:rFonts w:ascii="Arial" w:hAnsi="Arial" w:cs="Arial"/>
          <w:sz w:val="24"/>
          <w:szCs w:val="24"/>
        </w:rPr>
      </w:pPr>
      <w:r>
        <w:rPr>
          <w:rFonts w:ascii="Arial" w:hAnsi="Arial" w:cs="Arial"/>
          <w:sz w:val="24"/>
          <w:szCs w:val="24"/>
        </w:rPr>
        <w:t>[12</w:t>
      </w:r>
      <w:r w:rsidR="00281E38">
        <w:rPr>
          <w:rFonts w:ascii="Arial" w:hAnsi="Arial" w:cs="Arial"/>
          <w:sz w:val="24"/>
          <w:szCs w:val="24"/>
        </w:rPr>
        <w:t>]</w:t>
      </w:r>
      <w:r w:rsidR="00281E38">
        <w:rPr>
          <w:rFonts w:ascii="Arial" w:hAnsi="Arial" w:cs="Arial"/>
          <w:sz w:val="24"/>
          <w:szCs w:val="24"/>
        </w:rPr>
        <w:tab/>
        <w:t xml:space="preserve">Even if the court accepts the supplementary affidavits, the facts </w:t>
      </w:r>
      <w:r w:rsidR="005D4FC5">
        <w:rPr>
          <w:rFonts w:ascii="Arial" w:hAnsi="Arial" w:cs="Arial"/>
          <w:sz w:val="24"/>
          <w:szCs w:val="24"/>
        </w:rPr>
        <w:t xml:space="preserve">therein support the contention of the LPC that the applicant is not a fit and proper person to enter the profession.  The offending conduct of making a dishonest statement is established on a preponderance of probabilities. Good faith is a </w:t>
      </w:r>
      <w:r w:rsidR="005D4FC5">
        <w:rPr>
          <w:rFonts w:ascii="Arial" w:hAnsi="Arial" w:cs="Arial"/>
          <w:i/>
          <w:sz w:val="24"/>
          <w:szCs w:val="24"/>
        </w:rPr>
        <w:t xml:space="preserve">sine qua non </w:t>
      </w:r>
      <w:r w:rsidR="005D4FC5">
        <w:rPr>
          <w:rFonts w:ascii="Arial" w:hAnsi="Arial" w:cs="Arial"/>
          <w:sz w:val="24"/>
          <w:szCs w:val="24"/>
        </w:rPr>
        <w:t xml:space="preserve">for an application brought </w:t>
      </w:r>
      <w:r w:rsidR="005D4FC5">
        <w:rPr>
          <w:rFonts w:ascii="Arial" w:hAnsi="Arial" w:cs="Arial"/>
          <w:i/>
          <w:sz w:val="24"/>
          <w:szCs w:val="24"/>
        </w:rPr>
        <w:t>ex parte.</w:t>
      </w:r>
      <w:r w:rsidR="005D4FC5">
        <w:rPr>
          <w:rStyle w:val="FootnoteReference"/>
          <w:rFonts w:ascii="Arial" w:hAnsi="Arial" w:cs="Arial"/>
          <w:i/>
          <w:sz w:val="24"/>
          <w:szCs w:val="24"/>
        </w:rPr>
        <w:footnoteReference w:id="1"/>
      </w:r>
      <w:r w:rsidR="004F20AD">
        <w:rPr>
          <w:rFonts w:ascii="Arial" w:hAnsi="Arial" w:cs="Arial"/>
          <w:i/>
          <w:sz w:val="24"/>
          <w:szCs w:val="24"/>
        </w:rPr>
        <w:t xml:space="preserve">  </w:t>
      </w:r>
      <w:r w:rsidR="004F20AD">
        <w:rPr>
          <w:rFonts w:ascii="Arial" w:hAnsi="Arial" w:cs="Arial"/>
          <w:sz w:val="24"/>
          <w:szCs w:val="24"/>
        </w:rPr>
        <w:t xml:space="preserve">When any material facts are not disclosed, </w:t>
      </w:r>
      <w:r w:rsidR="004F20AD">
        <w:rPr>
          <w:rFonts w:ascii="Arial" w:hAnsi="Arial" w:cs="Arial"/>
          <w:sz w:val="24"/>
          <w:szCs w:val="24"/>
        </w:rPr>
        <w:lastRenderedPageBreak/>
        <w:t>be it wilfully or negligently</w:t>
      </w:r>
      <w:r w:rsidR="004F20AD">
        <w:rPr>
          <w:rStyle w:val="FootnoteReference"/>
          <w:rFonts w:ascii="Arial" w:hAnsi="Arial" w:cs="Arial"/>
          <w:sz w:val="24"/>
          <w:szCs w:val="24"/>
        </w:rPr>
        <w:footnoteReference w:id="2"/>
      </w:r>
      <w:r w:rsidR="004F20AD">
        <w:rPr>
          <w:rFonts w:ascii="Arial" w:hAnsi="Arial" w:cs="Arial"/>
          <w:sz w:val="24"/>
          <w:szCs w:val="24"/>
        </w:rPr>
        <w:t xml:space="preserve"> omitted a court may on that ground alone dismiss an </w:t>
      </w:r>
      <w:r w:rsidR="004F20AD">
        <w:rPr>
          <w:rFonts w:ascii="Arial" w:hAnsi="Arial" w:cs="Arial"/>
          <w:i/>
          <w:sz w:val="24"/>
          <w:szCs w:val="24"/>
        </w:rPr>
        <w:t xml:space="preserve">ex parte </w:t>
      </w:r>
      <w:r w:rsidR="004F20AD">
        <w:rPr>
          <w:rFonts w:ascii="Arial" w:hAnsi="Arial" w:cs="Arial"/>
          <w:sz w:val="24"/>
          <w:szCs w:val="24"/>
        </w:rPr>
        <w:t>application.</w:t>
      </w:r>
      <w:r w:rsidR="004F20AD">
        <w:rPr>
          <w:rStyle w:val="FootnoteReference"/>
          <w:rFonts w:ascii="Arial" w:hAnsi="Arial" w:cs="Arial"/>
          <w:sz w:val="24"/>
          <w:szCs w:val="24"/>
        </w:rPr>
        <w:footnoteReference w:id="3"/>
      </w:r>
    </w:p>
    <w:p w:rsidR="005D4FC5" w:rsidRDefault="005D4FC5" w:rsidP="00A45398">
      <w:pPr>
        <w:spacing w:line="360" w:lineRule="auto"/>
        <w:jc w:val="both"/>
        <w:rPr>
          <w:rFonts w:ascii="Arial" w:hAnsi="Arial" w:cs="Arial"/>
          <w:sz w:val="24"/>
          <w:szCs w:val="24"/>
        </w:rPr>
      </w:pPr>
    </w:p>
    <w:p w:rsidR="005D4FC5" w:rsidRDefault="009E6EB5" w:rsidP="00415C37">
      <w:pPr>
        <w:spacing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D10561">
        <w:rPr>
          <w:rFonts w:ascii="Arial" w:hAnsi="Arial" w:cs="Arial"/>
          <w:sz w:val="24"/>
          <w:szCs w:val="24"/>
        </w:rPr>
        <w:t xml:space="preserve">Honesty is considered </w:t>
      </w:r>
      <w:r w:rsidR="00603A5F">
        <w:rPr>
          <w:rFonts w:ascii="Arial" w:hAnsi="Arial" w:cs="Arial"/>
          <w:sz w:val="24"/>
          <w:szCs w:val="24"/>
        </w:rPr>
        <w:t>an important prerequisite for a legal pra</w:t>
      </w:r>
      <w:r>
        <w:rPr>
          <w:rFonts w:ascii="Arial" w:hAnsi="Arial" w:cs="Arial"/>
          <w:sz w:val="24"/>
          <w:szCs w:val="24"/>
        </w:rPr>
        <w:t>ctitioner to be fit and proper.</w:t>
      </w:r>
      <w:r w:rsidR="00603A5F">
        <w:rPr>
          <w:rFonts w:ascii="Arial" w:hAnsi="Arial" w:cs="Arial"/>
          <w:sz w:val="24"/>
          <w:szCs w:val="24"/>
        </w:rPr>
        <w:t xml:space="preserve"> The founding affidavit in p</w:t>
      </w:r>
      <w:r w:rsidR="00A45398">
        <w:rPr>
          <w:rFonts w:ascii="Arial" w:hAnsi="Arial" w:cs="Arial"/>
          <w:sz w:val="24"/>
          <w:szCs w:val="24"/>
        </w:rPr>
        <w:t xml:space="preserve">aragraph 11.1.2 is untruthful; </w:t>
      </w:r>
      <w:r w:rsidR="00603A5F">
        <w:rPr>
          <w:rFonts w:ascii="Arial" w:hAnsi="Arial" w:cs="Arial"/>
          <w:sz w:val="24"/>
          <w:szCs w:val="24"/>
        </w:rPr>
        <w:t>it emphatically sets out that the applicant was not subjected to previous disciplinary hearings by an employer or has pending disciplinary hearings.  Considering that in the most important application</w:t>
      </w:r>
      <w:r w:rsidR="008775B8">
        <w:rPr>
          <w:rFonts w:ascii="Arial" w:hAnsi="Arial" w:cs="Arial"/>
          <w:sz w:val="24"/>
          <w:szCs w:val="24"/>
        </w:rPr>
        <w:t>, so personal to the applicant;</w:t>
      </w:r>
      <w:r w:rsidR="00603A5F">
        <w:rPr>
          <w:rFonts w:ascii="Arial" w:hAnsi="Arial" w:cs="Arial"/>
          <w:sz w:val="24"/>
          <w:szCs w:val="24"/>
        </w:rPr>
        <w:t xml:space="preserve"> the start of his career, he does not take the court into his confidence, the question begs, why would the applicant take the court into his confidence with less </w:t>
      </w:r>
      <w:r w:rsidR="00603A5F" w:rsidRPr="00A45398">
        <w:rPr>
          <w:rFonts w:ascii="Arial" w:hAnsi="Arial" w:cs="Arial"/>
          <w:i/>
          <w:sz w:val="24"/>
          <w:szCs w:val="24"/>
        </w:rPr>
        <w:t>“important”</w:t>
      </w:r>
      <w:r w:rsidR="00603A5F">
        <w:rPr>
          <w:rFonts w:ascii="Arial" w:hAnsi="Arial" w:cs="Arial"/>
          <w:sz w:val="24"/>
          <w:szCs w:val="24"/>
        </w:rPr>
        <w:t xml:space="preserve"> applications.  Comparing this conduct against the expected conduct of an attorney, the offending conduct is conduct that can never be expected of an attorney.</w:t>
      </w:r>
      <w:r w:rsidR="00603A5F">
        <w:rPr>
          <w:rStyle w:val="FootnoteReference"/>
          <w:rFonts w:ascii="Arial" w:hAnsi="Arial" w:cs="Arial"/>
          <w:sz w:val="24"/>
          <w:szCs w:val="24"/>
        </w:rPr>
        <w:footnoteReference w:id="4"/>
      </w:r>
    </w:p>
    <w:p w:rsidR="0017481A" w:rsidRDefault="0017481A" w:rsidP="00415C37">
      <w:pPr>
        <w:spacing w:line="360" w:lineRule="auto"/>
        <w:ind w:left="720" w:hanging="720"/>
        <w:jc w:val="both"/>
        <w:rPr>
          <w:rFonts w:ascii="Arial" w:hAnsi="Arial" w:cs="Arial"/>
          <w:sz w:val="24"/>
          <w:szCs w:val="24"/>
        </w:rPr>
      </w:pPr>
    </w:p>
    <w:p w:rsidR="0017481A" w:rsidRDefault="00D10561" w:rsidP="00415C37">
      <w:pPr>
        <w:spacing w:line="360" w:lineRule="auto"/>
        <w:ind w:left="720" w:hanging="720"/>
        <w:jc w:val="both"/>
        <w:rPr>
          <w:rFonts w:ascii="Arial" w:hAnsi="Arial" w:cs="Arial"/>
          <w:sz w:val="24"/>
          <w:szCs w:val="24"/>
        </w:rPr>
      </w:pPr>
      <w:r>
        <w:rPr>
          <w:rFonts w:ascii="Arial" w:hAnsi="Arial" w:cs="Arial"/>
          <w:sz w:val="24"/>
          <w:szCs w:val="24"/>
        </w:rPr>
        <w:t>[14]</w:t>
      </w:r>
      <w:r w:rsidR="0017481A">
        <w:rPr>
          <w:rFonts w:ascii="Arial" w:hAnsi="Arial" w:cs="Arial"/>
          <w:sz w:val="24"/>
          <w:szCs w:val="24"/>
        </w:rPr>
        <w:tab/>
        <w:t xml:space="preserve">The attorneys profession is an honourable one and demands </w:t>
      </w:r>
      <w:r w:rsidR="0017481A" w:rsidRPr="0017481A">
        <w:rPr>
          <w:rFonts w:ascii="Arial" w:hAnsi="Arial" w:cs="Arial"/>
          <w:i/>
          <w:sz w:val="24"/>
          <w:szCs w:val="24"/>
        </w:rPr>
        <w:t>“complete honesty, reliability and integrity from its members.”</w:t>
      </w:r>
      <w:r w:rsidR="0017481A">
        <w:rPr>
          <w:rStyle w:val="FootnoteReference"/>
          <w:rFonts w:ascii="Arial" w:hAnsi="Arial" w:cs="Arial"/>
          <w:i/>
          <w:sz w:val="24"/>
          <w:szCs w:val="24"/>
        </w:rPr>
        <w:footnoteReference w:id="5"/>
      </w:r>
      <w:r w:rsidR="005563CC">
        <w:rPr>
          <w:rFonts w:ascii="Arial" w:hAnsi="Arial" w:cs="Arial"/>
          <w:i/>
          <w:sz w:val="24"/>
          <w:szCs w:val="24"/>
        </w:rPr>
        <w:t xml:space="preserve">  </w:t>
      </w:r>
      <w:r w:rsidR="005563CC">
        <w:rPr>
          <w:rFonts w:ascii="Arial" w:hAnsi="Arial" w:cs="Arial"/>
          <w:sz w:val="24"/>
          <w:szCs w:val="24"/>
        </w:rPr>
        <w:t xml:space="preserve"> I find it necessary to quote paragraph 25 of the respondent</w:t>
      </w:r>
      <w:r w:rsidR="006E24CF">
        <w:rPr>
          <w:rFonts w:ascii="Arial" w:hAnsi="Arial" w:cs="Arial"/>
          <w:sz w:val="24"/>
          <w:szCs w:val="24"/>
        </w:rPr>
        <w:t>’s</w:t>
      </w:r>
      <w:r w:rsidR="005563CC">
        <w:rPr>
          <w:rFonts w:ascii="Arial" w:hAnsi="Arial" w:cs="Arial"/>
          <w:sz w:val="24"/>
          <w:szCs w:val="24"/>
        </w:rPr>
        <w:t xml:space="preserve"> further supplementary affidavit:</w:t>
      </w:r>
    </w:p>
    <w:p w:rsidR="005563CC" w:rsidRPr="005563CC" w:rsidRDefault="005563CC" w:rsidP="005563CC">
      <w:pPr>
        <w:spacing w:line="360" w:lineRule="auto"/>
        <w:ind w:left="2160" w:hanging="720"/>
        <w:jc w:val="both"/>
        <w:rPr>
          <w:rFonts w:ascii="Arial" w:hAnsi="Arial" w:cs="Arial"/>
          <w:i/>
          <w:sz w:val="24"/>
          <w:szCs w:val="24"/>
        </w:rPr>
      </w:pPr>
      <w:r w:rsidRPr="005563CC">
        <w:rPr>
          <w:rFonts w:ascii="Arial" w:hAnsi="Arial" w:cs="Arial"/>
          <w:i/>
          <w:sz w:val="24"/>
          <w:szCs w:val="24"/>
        </w:rPr>
        <w:t>“25.</w:t>
      </w:r>
      <w:r w:rsidRPr="005563CC">
        <w:rPr>
          <w:rFonts w:ascii="Arial" w:hAnsi="Arial" w:cs="Arial"/>
          <w:i/>
          <w:sz w:val="24"/>
          <w:szCs w:val="24"/>
        </w:rPr>
        <w:tab/>
        <w:t>I have learnt from the process of this application that the integrity of a legal practitioner goes beyond what one perceives themselves, but to what the practitioner can disclose which is more likely to influence the Court’s judgment about integrity of a legal practitioner.”</w:t>
      </w:r>
    </w:p>
    <w:p w:rsidR="006C1A63" w:rsidRDefault="005563CC" w:rsidP="005563CC">
      <w:pPr>
        <w:spacing w:line="360" w:lineRule="auto"/>
        <w:ind w:left="720"/>
        <w:jc w:val="both"/>
        <w:rPr>
          <w:rFonts w:ascii="Arial" w:hAnsi="Arial" w:cs="Arial"/>
          <w:sz w:val="24"/>
          <w:szCs w:val="24"/>
        </w:rPr>
      </w:pPr>
      <w:r>
        <w:rPr>
          <w:rFonts w:ascii="Arial" w:hAnsi="Arial" w:cs="Arial"/>
          <w:sz w:val="24"/>
          <w:szCs w:val="24"/>
        </w:rPr>
        <w:t>This statement is</w:t>
      </w:r>
      <w:r w:rsidR="0032196F">
        <w:rPr>
          <w:rFonts w:ascii="Arial" w:hAnsi="Arial" w:cs="Arial"/>
          <w:sz w:val="24"/>
          <w:szCs w:val="24"/>
        </w:rPr>
        <w:t xml:space="preserve"> difficult to understand, but none the less</w:t>
      </w:r>
      <w:r>
        <w:rPr>
          <w:rFonts w:ascii="Arial" w:hAnsi="Arial" w:cs="Arial"/>
          <w:sz w:val="24"/>
          <w:szCs w:val="24"/>
        </w:rPr>
        <w:t xml:space="preserve"> distur</w:t>
      </w:r>
      <w:r w:rsidR="005C5F31">
        <w:rPr>
          <w:rFonts w:ascii="Arial" w:hAnsi="Arial" w:cs="Arial"/>
          <w:sz w:val="24"/>
          <w:szCs w:val="24"/>
        </w:rPr>
        <w:t>bing in that it shows the lack</w:t>
      </w:r>
      <w:r>
        <w:rPr>
          <w:rFonts w:ascii="Arial" w:hAnsi="Arial" w:cs="Arial"/>
          <w:sz w:val="24"/>
          <w:szCs w:val="24"/>
        </w:rPr>
        <w:t xml:space="preserve"> of insight the applicant has with regard to this application.  He seemingly thought that the less he discloses the more the Court’s judgment on integrity would be influenced.  This candidate is not a fit and proper person to be admitted.</w:t>
      </w:r>
      <w:r w:rsidR="00272386">
        <w:rPr>
          <w:rFonts w:ascii="Arial" w:hAnsi="Arial" w:cs="Arial"/>
          <w:sz w:val="24"/>
          <w:szCs w:val="24"/>
        </w:rPr>
        <w:t xml:space="preserve"> The argument was that based on this paragraph the court must </w:t>
      </w:r>
      <w:r w:rsidR="00272386">
        <w:rPr>
          <w:rFonts w:ascii="Arial" w:hAnsi="Arial" w:cs="Arial"/>
          <w:sz w:val="24"/>
          <w:szCs w:val="24"/>
        </w:rPr>
        <w:lastRenderedPageBreak/>
        <w:t>find that the appl</w:t>
      </w:r>
      <w:r w:rsidR="00C4219F">
        <w:rPr>
          <w:rFonts w:ascii="Arial" w:hAnsi="Arial" w:cs="Arial"/>
          <w:sz w:val="24"/>
          <w:szCs w:val="24"/>
        </w:rPr>
        <w:t xml:space="preserve">icant had learnt his lesson and </w:t>
      </w:r>
      <w:r w:rsidR="00272386">
        <w:rPr>
          <w:rFonts w:ascii="Arial" w:hAnsi="Arial" w:cs="Arial"/>
          <w:sz w:val="24"/>
          <w:szCs w:val="24"/>
        </w:rPr>
        <w:t>it was unlikely that the conduct would be repeat</w:t>
      </w:r>
      <w:r w:rsidR="005D0636">
        <w:rPr>
          <w:rFonts w:ascii="Arial" w:hAnsi="Arial" w:cs="Arial"/>
          <w:sz w:val="24"/>
          <w:szCs w:val="24"/>
        </w:rPr>
        <w:t>ed</w:t>
      </w:r>
      <w:r w:rsidR="00272386">
        <w:rPr>
          <w:rFonts w:ascii="Arial" w:hAnsi="Arial" w:cs="Arial"/>
          <w:sz w:val="24"/>
          <w:szCs w:val="24"/>
        </w:rPr>
        <w:t>. The tenure of this paragraph does not support such a contention.</w:t>
      </w:r>
      <w:r>
        <w:rPr>
          <w:rFonts w:ascii="Arial" w:hAnsi="Arial" w:cs="Arial"/>
          <w:sz w:val="24"/>
          <w:szCs w:val="24"/>
        </w:rPr>
        <w:t xml:space="preserve">  There is not a single fact to sustain such argument.  There also has been no efflu</w:t>
      </w:r>
      <w:r w:rsidR="0044330C">
        <w:rPr>
          <w:rFonts w:ascii="Arial" w:hAnsi="Arial" w:cs="Arial"/>
          <w:sz w:val="24"/>
          <w:szCs w:val="24"/>
        </w:rPr>
        <w:t>xion of</w:t>
      </w:r>
      <w:r w:rsidR="00272386">
        <w:rPr>
          <w:rFonts w:ascii="Arial" w:hAnsi="Arial" w:cs="Arial"/>
          <w:sz w:val="24"/>
          <w:szCs w:val="24"/>
        </w:rPr>
        <w:t xml:space="preserve"> time to have t</w:t>
      </w:r>
      <w:r>
        <w:rPr>
          <w:rFonts w:ascii="Arial" w:hAnsi="Arial" w:cs="Arial"/>
          <w:sz w:val="24"/>
          <w:szCs w:val="24"/>
        </w:rPr>
        <w:t xml:space="preserve">his </w:t>
      </w:r>
      <w:r w:rsidR="00A45398">
        <w:rPr>
          <w:rFonts w:ascii="Arial" w:hAnsi="Arial" w:cs="Arial"/>
          <w:sz w:val="24"/>
          <w:szCs w:val="24"/>
        </w:rPr>
        <w:t xml:space="preserve">borne </w:t>
      </w:r>
      <w:r>
        <w:rPr>
          <w:rFonts w:ascii="Arial" w:hAnsi="Arial" w:cs="Arial"/>
          <w:sz w:val="24"/>
          <w:szCs w:val="24"/>
        </w:rPr>
        <w:t>out.  None of the case law relied on by the applicant is relevant to this application simply be</w:t>
      </w:r>
      <w:r w:rsidR="00272386">
        <w:rPr>
          <w:rFonts w:ascii="Arial" w:hAnsi="Arial" w:cs="Arial"/>
          <w:sz w:val="24"/>
          <w:szCs w:val="24"/>
        </w:rPr>
        <w:t>cause herein dishonesty was</w:t>
      </w:r>
      <w:r>
        <w:rPr>
          <w:rFonts w:ascii="Arial" w:hAnsi="Arial" w:cs="Arial"/>
          <w:sz w:val="24"/>
          <w:szCs w:val="24"/>
        </w:rPr>
        <w:t xml:space="preserve"> prove</w:t>
      </w:r>
      <w:r w:rsidR="00272386">
        <w:rPr>
          <w:rFonts w:ascii="Arial" w:hAnsi="Arial" w:cs="Arial"/>
          <w:sz w:val="24"/>
          <w:szCs w:val="24"/>
        </w:rPr>
        <w:t xml:space="preserve">n. </w:t>
      </w:r>
    </w:p>
    <w:p w:rsidR="004E5CA1" w:rsidRDefault="004E5CA1" w:rsidP="005563CC">
      <w:pPr>
        <w:spacing w:line="360" w:lineRule="auto"/>
        <w:ind w:left="720"/>
        <w:jc w:val="both"/>
        <w:rPr>
          <w:rFonts w:ascii="Arial" w:hAnsi="Arial" w:cs="Arial"/>
          <w:sz w:val="24"/>
          <w:szCs w:val="24"/>
        </w:rPr>
      </w:pPr>
    </w:p>
    <w:p w:rsidR="006C1A63" w:rsidRDefault="00272386" w:rsidP="00202F43">
      <w:pPr>
        <w:spacing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There is </w:t>
      </w:r>
      <w:r w:rsidR="005D0636">
        <w:rPr>
          <w:rFonts w:ascii="Arial" w:hAnsi="Arial" w:cs="Arial"/>
          <w:sz w:val="24"/>
          <w:szCs w:val="24"/>
        </w:rPr>
        <w:t>n</w:t>
      </w:r>
      <w:r>
        <w:rPr>
          <w:rFonts w:ascii="Arial" w:hAnsi="Arial" w:cs="Arial"/>
          <w:sz w:val="24"/>
          <w:szCs w:val="24"/>
        </w:rPr>
        <w:t>o reason to deviate from the  normal cost order where the LPC is concerned and the</w:t>
      </w:r>
      <w:r w:rsidR="006C1A63">
        <w:rPr>
          <w:rFonts w:ascii="Arial" w:hAnsi="Arial" w:cs="Arial"/>
          <w:sz w:val="24"/>
          <w:szCs w:val="24"/>
        </w:rPr>
        <w:t xml:space="preserve"> applicant is to carry the costs on an attorney and client scale.</w:t>
      </w:r>
      <w:r w:rsidR="004E5CA1">
        <w:rPr>
          <w:rStyle w:val="FootnoteReference"/>
          <w:rFonts w:ascii="Arial" w:hAnsi="Arial" w:cs="Arial"/>
          <w:sz w:val="24"/>
          <w:szCs w:val="24"/>
        </w:rPr>
        <w:footnoteReference w:id="6"/>
      </w:r>
    </w:p>
    <w:p w:rsidR="007841EE" w:rsidRDefault="007841EE" w:rsidP="005563CC">
      <w:pPr>
        <w:spacing w:line="360" w:lineRule="auto"/>
        <w:ind w:left="720"/>
        <w:jc w:val="both"/>
        <w:rPr>
          <w:rFonts w:ascii="Arial" w:hAnsi="Arial" w:cs="Arial"/>
          <w:sz w:val="24"/>
          <w:szCs w:val="24"/>
        </w:rPr>
      </w:pPr>
    </w:p>
    <w:p w:rsidR="00603A5F" w:rsidRDefault="00272386" w:rsidP="00415C37">
      <w:pPr>
        <w:spacing w:line="360" w:lineRule="auto"/>
        <w:ind w:left="720" w:hanging="720"/>
        <w:jc w:val="both"/>
        <w:rPr>
          <w:rFonts w:ascii="Arial" w:hAnsi="Arial" w:cs="Arial"/>
          <w:sz w:val="24"/>
          <w:szCs w:val="24"/>
        </w:rPr>
      </w:pPr>
      <w:r>
        <w:rPr>
          <w:rFonts w:ascii="Arial" w:hAnsi="Arial" w:cs="Arial"/>
          <w:sz w:val="24"/>
          <w:szCs w:val="24"/>
        </w:rPr>
        <w:t>[16</w:t>
      </w:r>
      <w:r w:rsidR="00603A5F">
        <w:rPr>
          <w:rFonts w:ascii="Arial" w:hAnsi="Arial" w:cs="Arial"/>
          <w:sz w:val="24"/>
          <w:szCs w:val="24"/>
        </w:rPr>
        <w:t>]</w:t>
      </w:r>
      <w:r w:rsidR="007841EE">
        <w:rPr>
          <w:rFonts w:ascii="Arial" w:hAnsi="Arial" w:cs="Arial"/>
          <w:sz w:val="24"/>
          <w:szCs w:val="24"/>
        </w:rPr>
        <w:tab/>
        <w:t>Accordingly the appl</w:t>
      </w:r>
      <w:r>
        <w:rPr>
          <w:rFonts w:ascii="Arial" w:hAnsi="Arial" w:cs="Arial"/>
          <w:sz w:val="24"/>
          <w:szCs w:val="24"/>
        </w:rPr>
        <w:t>ication is dismissed with costs on the scale</w:t>
      </w:r>
      <w:r w:rsidR="007841EE">
        <w:rPr>
          <w:rFonts w:ascii="Arial" w:hAnsi="Arial" w:cs="Arial"/>
          <w:sz w:val="24"/>
          <w:szCs w:val="24"/>
        </w:rPr>
        <w:t xml:space="preserve"> as between attorney and client.</w:t>
      </w:r>
    </w:p>
    <w:p w:rsidR="00603A5F" w:rsidRDefault="00603A5F" w:rsidP="00415C37">
      <w:pPr>
        <w:spacing w:line="360" w:lineRule="auto"/>
        <w:ind w:left="720" w:hanging="720"/>
        <w:jc w:val="both"/>
        <w:rPr>
          <w:rFonts w:ascii="Arial" w:hAnsi="Arial" w:cs="Arial"/>
          <w:sz w:val="24"/>
          <w:szCs w:val="24"/>
        </w:rPr>
      </w:pPr>
    </w:p>
    <w:p w:rsidR="00603A5F" w:rsidRPr="00F93C58" w:rsidRDefault="00603A5F" w:rsidP="00415C37">
      <w:pPr>
        <w:spacing w:line="360" w:lineRule="auto"/>
        <w:ind w:left="720" w:hanging="720"/>
        <w:jc w:val="both"/>
        <w:rPr>
          <w:rFonts w:ascii="Arial" w:eastAsia="Calibri" w:hAnsi="Arial" w:cs="Arial"/>
          <w:b/>
          <w:sz w:val="24"/>
          <w:szCs w:val="24"/>
        </w:rPr>
      </w:pPr>
    </w:p>
    <w:p w:rsidR="00415C37" w:rsidRPr="00D14312" w:rsidRDefault="00415C37" w:rsidP="00415C37">
      <w:pPr>
        <w:spacing w:line="240" w:lineRule="auto"/>
        <w:jc w:val="right"/>
        <w:rPr>
          <w:rFonts w:ascii="Arial" w:eastAsia="Calibri" w:hAnsi="Arial" w:cs="Arial"/>
          <w:b/>
          <w:sz w:val="24"/>
          <w:szCs w:val="24"/>
        </w:rPr>
      </w:pPr>
    </w:p>
    <w:p w:rsidR="00415C37" w:rsidRPr="00D14312" w:rsidRDefault="00415C37" w:rsidP="00415C37">
      <w:pPr>
        <w:spacing w:line="240" w:lineRule="auto"/>
        <w:jc w:val="right"/>
        <w:rPr>
          <w:rFonts w:ascii="Arial" w:eastAsia="Calibri" w:hAnsi="Arial" w:cs="Arial"/>
        </w:rPr>
      </w:pPr>
      <w:r w:rsidRPr="00D14312">
        <w:rPr>
          <w:rFonts w:ascii="Arial" w:eastAsia="Calibri" w:hAnsi="Arial" w:cs="Arial"/>
          <w:b/>
          <w:sz w:val="24"/>
          <w:szCs w:val="24"/>
        </w:rPr>
        <w:t>__________________</w:t>
      </w:r>
    </w:p>
    <w:p w:rsidR="00415C37" w:rsidRPr="00D14312" w:rsidRDefault="00415C37" w:rsidP="00415C37">
      <w:pPr>
        <w:spacing w:line="240" w:lineRule="auto"/>
        <w:jc w:val="right"/>
        <w:rPr>
          <w:rFonts w:ascii="Arial" w:eastAsia="Calibri" w:hAnsi="Arial" w:cs="Arial"/>
          <w:b/>
          <w:sz w:val="24"/>
          <w:szCs w:val="24"/>
        </w:rPr>
      </w:pPr>
      <w:r w:rsidRPr="00D14312">
        <w:rPr>
          <w:rFonts w:ascii="Arial" w:eastAsia="Calibri" w:hAnsi="Arial" w:cs="Arial"/>
          <w:b/>
          <w:sz w:val="24"/>
          <w:szCs w:val="24"/>
        </w:rPr>
        <w:t>S. POTTERILL</w:t>
      </w:r>
    </w:p>
    <w:p w:rsidR="00415C37" w:rsidRDefault="00415C37" w:rsidP="00415C37">
      <w:pPr>
        <w:spacing w:line="240" w:lineRule="auto"/>
        <w:jc w:val="right"/>
        <w:rPr>
          <w:rFonts w:ascii="Arial" w:eastAsia="Calibri" w:hAnsi="Arial" w:cs="Arial"/>
          <w:b/>
          <w:sz w:val="24"/>
          <w:szCs w:val="24"/>
        </w:rPr>
      </w:pPr>
      <w:r w:rsidRPr="00D14312">
        <w:rPr>
          <w:rFonts w:ascii="Arial" w:eastAsia="Calibri" w:hAnsi="Arial" w:cs="Arial"/>
          <w:b/>
          <w:sz w:val="24"/>
          <w:szCs w:val="24"/>
        </w:rPr>
        <w:t>JUDGE OF THE HIGH COURT</w:t>
      </w:r>
    </w:p>
    <w:p w:rsidR="007841EE" w:rsidRDefault="007841EE" w:rsidP="00415C37">
      <w:pPr>
        <w:spacing w:line="240" w:lineRule="auto"/>
        <w:jc w:val="right"/>
        <w:rPr>
          <w:rFonts w:ascii="Arial" w:eastAsia="Calibri" w:hAnsi="Arial" w:cs="Arial"/>
          <w:b/>
          <w:sz w:val="24"/>
          <w:szCs w:val="24"/>
        </w:rPr>
      </w:pPr>
    </w:p>
    <w:p w:rsidR="007841EE" w:rsidRDefault="007841EE" w:rsidP="007841EE">
      <w:pPr>
        <w:spacing w:line="240" w:lineRule="auto"/>
        <w:jc w:val="both"/>
        <w:rPr>
          <w:rFonts w:ascii="Arial" w:eastAsia="Calibri" w:hAnsi="Arial" w:cs="Arial"/>
          <w:sz w:val="24"/>
          <w:szCs w:val="24"/>
        </w:rPr>
      </w:pPr>
      <w:r>
        <w:rPr>
          <w:rFonts w:ascii="Arial" w:eastAsia="Calibri" w:hAnsi="Arial" w:cs="Arial"/>
          <w:sz w:val="24"/>
          <w:szCs w:val="24"/>
        </w:rPr>
        <w:t>I agree</w:t>
      </w:r>
    </w:p>
    <w:p w:rsidR="00415C37" w:rsidRPr="00D14312" w:rsidRDefault="00415C37" w:rsidP="00415C37">
      <w:pPr>
        <w:spacing w:line="240" w:lineRule="auto"/>
        <w:rPr>
          <w:rFonts w:ascii="Arial" w:eastAsia="Calibri" w:hAnsi="Arial" w:cs="Arial"/>
          <w:sz w:val="24"/>
          <w:szCs w:val="24"/>
        </w:rPr>
      </w:pPr>
    </w:p>
    <w:p w:rsidR="007841EE" w:rsidRPr="00D14312" w:rsidRDefault="007841EE" w:rsidP="007841EE">
      <w:pPr>
        <w:spacing w:line="240" w:lineRule="auto"/>
        <w:jc w:val="right"/>
        <w:rPr>
          <w:rFonts w:ascii="Arial" w:eastAsia="Calibri" w:hAnsi="Arial" w:cs="Arial"/>
          <w:b/>
          <w:sz w:val="24"/>
          <w:szCs w:val="24"/>
        </w:rPr>
      </w:pPr>
    </w:p>
    <w:p w:rsidR="007841EE" w:rsidRPr="00D14312" w:rsidRDefault="007841EE" w:rsidP="007841EE">
      <w:pPr>
        <w:spacing w:line="240" w:lineRule="auto"/>
        <w:jc w:val="right"/>
        <w:rPr>
          <w:rFonts w:ascii="Arial" w:eastAsia="Calibri" w:hAnsi="Arial" w:cs="Arial"/>
        </w:rPr>
      </w:pPr>
      <w:r w:rsidRPr="00D14312">
        <w:rPr>
          <w:rFonts w:ascii="Arial" w:eastAsia="Calibri" w:hAnsi="Arial" w:cs="Arial"/>
          <w:b/>
          <w:sz w:val="24"/>
          <w:szCs w:val="24"/>
        </w:rPr>
        <w:t>__________________</w:t>
      </w:r>
    </w:p>
    <w:p w:rsidR="007841EE" w:rsidRPr="007841EE" w:rsidRDefault="007841EE" w:rsidP="007841EE">
      <w:pPr>
        <w:pStyle w:val="ListParagraph"/>
        <w:numPr>
          <w:ilvl w:val="0"/>
          <w:numId w:val="1"/>
        </w:numPr>
        <w:spacing w:line="240" w:lineRule="auto"/>
        <w:jc w:val="right"/>
        <w:rPr>
          <w:rFonts w:ascii="Arial" w:eastAsia="Calibri" w:hAnsi="Arial" w:cs="Arial"/>
          <w:b/>
          <w:sz w:val="24"/>
          <w:szCs w:val="24"/>
        </w:rPr>
      </w:pPr>
      <w:r>
        <w:rPr>
          <w:rFonts w:ascii="Arial" w:eastAsia="Calibri" w:hAnsi="Arial" w:cs="Arial"/>
          <w:b/>
          <w:sz w:val="24"/>
          <w:szCs w:val="24"/>
        </w:rPr>
        <w:t>CAJEE</w:t>
      </w:r>
    </w:p>
    <w:p w:rsidR="00873841" w:rsidRDefault="007841EE" w:rsidP="007841EE">
      <w:pPr>
        <w:spacing w:line="240" w:lineRule="auto"/>
        <w:jc w:val="right"/>
        <w:rPr>
          <w:rFonts w:ascii="Arial" w:eastAsia="Calibri" w:hAnsi="Arial" w:cs="Arial"/>
          <w:b/>
          <w:sz w:val="24"/>
          <w:szCs w:val="24"/>
        </w:rPr>
      </w:pPr>
      <w:r>
        <w:rPr>
          <w:rFonts w:ascii="Arial" w:eastAsia="Calibri" w:hAnsi="Arial" w:cs="Arial"/>
          <w:b/>
          <w:sz w:val="24"/>
          <w:szCs w:val="24"/>
        </w:rPr>
        <w:t xml:space="preserve">ACTING </w:t>
      </w:r>
      <w:r w:rsidRPr="00D14312">
        <w:rPr>
          <w:rFonts w:ascii="Arial" w:eastAsia="Calibri" w:hAnsi="Arial" w:cs="Arial"/>
          <w:b/>
          <w:sz w:val="24"/>
          <w:szCs w:val="24"/>
        </w:rPr>
        <w:t>JUDGE OF THE HIGH COURT</w:t>
      </w:r>
    </w:p>
    <w:p w:rsidR="00873841" w:rsidRDefault="00873841">
      <w:pPr>
        <w:spacing w:after="160" w:line="259" w:lineRule="auto"/>
        <w:rPr>
          <w:rFonts w:ascii="Arial" w:eastAsia="Calibri" w:hAnsi="Arial" w:cs="Arial"/>
          <w:b/>
          <w:sz w:val="24"/>
          <w:szCs w:val="24"/>
        </w:rPr>
      </w:pPr>
      <w:r>
        <w:rPr>
          <w:rFonts w:ascii="Arial" w:eastAsia="Calibri" w:hAnsi="Arial" w:cs="Arial"/>
          <w:b/>
          <w:sz w:val="24"/>
          <w:szCs w:val="24"/>
        </w:rPr>
        <w:br w:type="page"/>
      </w:r>
    </w:p>
    <w:p w:rsidR="00873841" w:rsidRPr="00F71381" w:rsidRDefault="00F25708" w:rsidP="00873841">
      <w:pPr>
        <w:spacing w:line="360" w:lineRule="auto"/>
        <w:jc w:val="both"/>
        <w:rPr>
          <w:rFonts w:ascii="Arial" w:eastAsia="Calibri" w:hAnsi="Arial" w:cs="Arial"/>
          <w:sz w:val="24"/>
          <w:szCs w:val="24"/>
        </w:rPr>
      </w:pPr>
      <w:r>
        <w:rPr>
          <w:rFonts w:ascii="Arial" w:eastAsia="Calibri" w:hAnsi="Arial" w:cs="Arial"/>
          <w:sz w:val="24"/>
          <w:szCs w:val="24"/>
        </w:rPr>
        <w:lastRenderedPageBreak/>
        <w:t>CASE NUMBER:  48650/2021</w:t>
      </w:r>
    </w:p>
    <w:p w:rsidR="00873841" w:rsidRPr="00F71381" w:rsidRDefault="00873841" w:rsidP="00873841">
      <w:pPr>
        <w:spacing w:line="360" w:lineRule="auto"/>
        <w:jc w:val="both"/>
        <w:rPr>
          <w:rFonts w:ascii="Arial" w:eastAsia="Calibri" w:hAnsi="Arial" w:cs="Arial"/>
          <w:sz w:val="24"/>
          <w:szCs w:val="24"/>
        </w:rPr>
      </w:pPr>
    </w:p>
    <w:p w:rsidR="00873841" w:rsidRPr="00F71381" w:rsidRDefault="00873841" w:rsidP="00873841">
      <w:pPr>
        <w:spacing w:line="360" w:lineRule="auto"/>
        <w:jc w:val="both"/>
        <w:rPr>
          <w:rFonts w:ascii="Arial" w:eastAsia="Calibri" w:hAnsi="Arial" w:cs="Arial"/>
          <w:sz w:val="24"/>
          <w:szCs w:val="24"/>
        </w:rPr>
      </w:pPr>
      <w:r>
        <w:rPr>
          <w:rFonts w:ascii="Arial" w:eastAsia="Calibri" w:hAnsi="Arial" w:cs="Arial"/>
          <w:sz w:val="24"/>
          <w:szCs w:val="24"/>
        </w:rPr>
        <w:t xml:space="preserve">HEARD ON:  </w:t>
      </w:r>
      <w:r w:rsidR="00F25708">
        <w:rPr>
          <w:rFonts w:ascii="Arial" w:eastAsia="Calibri" w:hAnsi="Arial" w:cs="Arial"/>
          <w:sz w:val="24"/>
          <w:szCs w:val="24"/>
        </w:rPr>
        <w:t>24 November 2022</w:t>
      </w:r>
    </w:p>
    <w:p w:rsidR="00873841" w:rsidRPr="00F71381" w:rsidRDefault="00873841" w:rsidP="00873841">
      <w:pPr>
        <w:spacing w:line="360" w:lineRule="auto"/>
        <w:jc w:val="both"/>
        <w:rPr>
          <w:rFonts w:ascii="Arial" w:eastAsia="Calibri" w:hAnsi="Arial" w:cs="Arial"/>
          <w:sz w:val="24"/>
          <w:szCs w:val="24"/>
        </w:rPr>
      </w:pPr>
    </w:p>
    <w:p w:rsidR="00873841" w:rsidRPr="00F71381" w:rsidRDefault="00873841" w:rsidP="00873841">
      <w:pPr>
        <w:spacing w:line="360" w:lineRule="auto"/>
        <w:jc w:val="both"/>
        <w:rPr>
          <w:rFonts w:ascii="Arial" w:eastAsia="Calibri" w:hAnsi="Arial" w:cs="Arial"/>
          <w:sz w:val="24"/>
          <w:szCs w:val="24"/>
        </w:rPr>
      </w:pPr>
      <w:r>
        <w:rPr>
          <w:rFonts w:ascii="Arial" w:eastAsia="Calibri" w:hAnsi="Arial" w:cs="Arial"/>
          <w:sz w:val="24"/>
          <w:szCs w:val="24"/>
        </w:rPr>
        <w:t xml:space="preserve">FOR THE APPLICANT:  ADV. </w:t>
      </w:r>
      <w:r w:rsidR="00284455">
        <w:rPr>
          <w:rFonts w:ascii="Arial" w:eastAsia="Calibri" w:hAnsi="Arial" w:cs="Arial"/>
          <w:sz w:val="24"/>
          <w:szCs w:val="24"/>
        </w:rPr>
        <w:t>R. BALOYI</w:t>
      </w:r>
    </w:p>
    <w:p w:rsidR="00873841" w:rsidRPr="00F71381" w:rsidRDefault="00873841" w:rsidP="00873841">
      <w:pPr>
        <w:spacing w:line="360" w:lineRule="auto"/>
        <w:jc w:val="both"/>
        <w:rPr>
          <w:rFonts w:ascii="Arial" w:eastAsia="Calibri" w:hAnsi="Arial" w:cs="Arial"/>
          <w:sz w:val="24"/>
          <w:szCs w:val="24"/>
        </w:rPr>
      </w:pPr>
      <w:r w:rsidRPr="00F71381">
        <w:rPr>
          <w:rFonts w:ascii="Arial" w:eastAsia="Calibri" w:hAnsi="Arial" w:cs="Arial"/>
          <w:sz w:val="24"/>
          <w:szCs w:val="24"/>
        </w:rPr>
        <w:t xml:space="preserve">INSTRUCTED BY:  </w:t>
      </w:r>
      <w:r w:rsidR="00DB069A">
        <w:rPr>
          <w:rFonts w:ascii="Arial" w:eastAsia="Calibri" w:hAnsi="Arial" w:cs="Arial"/>
          <w:sz w:val="24"/>
          <w:szCs w:val="24"/>
        </w:rPr>
        <w:t>Mashambe Inc Attorneys</w:t>
      </w:r>
    </w:p>
    <w:p w:rsidR="00873841" w:rsidRPr="00F71381" w:rsidRDefault="00873841" w:rsidP="00873841">
      <w:pPr>
        <w:spacing w:line="360" w:lineRule="auto"/>
        <w:jc w:val="both"/>
        <w:rPr>
          <w:rFonts w:ascii="Arial" w:eastAsia="Calibri" w:hAnsi="Arial" w:cs="Arial"/>
          <w:sz w:val="24"/>
          <w:szCs w:val="24"/>
        </w:rPr>
      </w:pPr>
    </w:p>
    <w:p w:rsidR="00873841" w:rsidRPr="00F71381" w:rsidRDefault="00873841" w:rsidP="00873841">
      <w:pPr>
        <w:spacing w:line="360" w:lineRule="auto"/>
        <w:jc w:val="both"/>
        <w:rPr>
          <w:rFonts w:ascii="Arial" w:eastAsia="Calibri" w:hAnsi="Arial" w:cs="Arial"/>
          <w:sz w:val="24"/>
          <w:szCs w:val="24"/>
        </w:rPr>
      </w:pPr>
      <w:r w:rsidRPr="00F71381">
        <w:rPr>
          <w:rFonts w:ascii="Arial" w:eastAsia="Calibri" w:hAnsi="Arial" w:cs="Arial"/>
          <w:sz w:val="24"/>
          <w:szCs w:val="24"/>
        </w:rPr>
        <w:t xml:space="preserve">FOR THE RESPONDENT:  </w:t>
      </w:r>
      <w:r>
        <w:rPr>
          <w:rFonts w:ascii="Arial" w:eastAsia="Calibri" w:hAnsi="Arial" w:cs="Arial"/>
          <w:sz w:val="24"/>
          <w:szCs w:val="24"/>
        </w:rPr>
        <w:t xml:space="preserve">ADV. </w:t>
      </w:r>
      <w:r w:rsidR="00DB069A">
        <w:rPr>
          <w:rFonts w:ascii="Arial" w:eastAsia="Calibri" w:hAnsi="Arial" w:cs="Arial"/>
          <w:sz w:val="24"/>
          <w:szCs w:val="24"/>
        </w:rPr>
        <w:t>Z. MAHOMED</w:t>
      </w:r>
    </w:p>
    <w:p w:rsidR="00873841" w:rsidRPr="00F71381" w:rsidRDefault="00873841" w:rsidP="00873841">
      <w:pPr>
        <w:spacing w:line="360" w:lineRule="auto"/>
        <w:jc w:val="both"/>
        <w:rPr>
          <w:rFonts w:ascii="Arial" w:eastAsia="Calibri" w:hAnsi="Arial" w:cs="Arial"/>
          <w:sz w:val="24"/>
          <w:szCs w:val="24"/>
        </w:rPr>
      </w:pPr>
      <w:r w:rsidRPr="00F71381">
        <w:rPr>
          <w:rFonts w:ascii="Arial" w:eastAsia="Calibri" w:hAnsi="Arial" w:cs="Arial"/>
          <w:sz w:val="24"/>
          <w:szCs w:val="24"/>
        </w:rPr>
        <w:t xml:space="preserve">INSTRUCTED BY:  </w:t>
      </w:r>
      <w:r w:rsidR="00DB069A">
        <w:rPr>
          <w:rFonts w:ascii="Arial" w:eastAsia="Calibri" w:hAnsi="Arial" w:cs="Arial"/>
          <w:sz w:val="24"/>
          <w:szCs w:val="24"/>
        </w:rPr>
        <w:t>Mothle Jooma Sabdia Inc.</w:t>
      </w:r>
    </w:p>
    <w:p w:rsidR="00873841" w:rsidRDefault="00873841" w:rsidP="00873841">
      <w:pPr>
        <w:spacing w:line="360" w:lineRule="auto"/>
        <w:jc w:val="both"/>
        <w:rPr>
          <w:rFonts w:ascii="Arial" w:eastAsia="Calibri" w:hAnsi="Arial" w:cs="Arial"/>
          <w:sz w:val="24"/>
          <w:szCs w:val="24"/>
        </w:rPr>
      </w:pPr>
    </w:p>
    <w:p w:rsidR="00873841" w:rsidRPr="00F71381" w:rsidRDefault="00873841" w:rsidP="00873841">
      <w:pPr>
        <w:spacing w:line="360" w:lineRule="auto"/>
        <w:jc w:val="both"/>
        <w:rPr>
          <w:rFonts w:ascii="Arial" w:hAnsi="Arial" w:cs="Arial"/>
          <w:sz w:val="24"/>
          <w:szCs w:val="24"/>
        </w:rPr>
      </w:pPr>
      <w:r w:rsidRPr="00F71381">
        <w:rPr>
          <w:rFonts w:ascii="Arial" w:eastAsia="Calibri" w:hAnsi="Arial" w:cs="Arial"/>
          <w:sz w:val="24"/>
          <w:szCs w:val="24"/>
        </w:rPr>
        <w:t xml:space="preserve">DATE OF JUDGMENT:   </w:t>
      </w:r>
      <w:r w:rsidR="009E2B91">
        <w:rPr>
          <w:rFonts w:ascii="Arial" w:eastAsia="Calibri" w:hAnsi="Arial" w:cs="Arial"/>
          <w:sz w:val="24"/>
          <w:szCs w:val="24"/>
        </w:rPr>
        <w:t>6 December 2022</w:t>
      </w:r>
    </w:p>
    <w:p w:rsidR="007841EE" w:rsidRPr="00D14312" w:rsidRDefault="007841EE" w:rsidP="007841EE">
      <w:pPr>
        <w:spacing w:line="240" w:lineRule="auto"/>
        <w:jc w:val="right"/>
        <w:rPr>
          <w:rFonts w:ascii="Arial" w:eastAsia="Calibri" w:hAnsi="Arial" w:cs="Arial"/>
          <w:b/>
          <w:sz w:val="24"/>
          <w:szCs w:val="24"/>
        </w:rPr>
      </w:pPr>
    </w:p>
    <w:p w:rsidR="00415C37" w:rsidRPr="00D14312" w:rsidRDefault="00415C37" w:rsidP="00415C37">
      <w:pPr>
        <w:rPr>
          <w:rFonts w:ascii="Arial" w:hAnsi="Arial" w:cs="Arial"/>
          <w:b/>
          <w:sz w:val="28"/>
          <w:szCs w:val="28"/>
        </w:rPr>
      </w:pPr>
    </w:p>
    <w:p w:rsidR="00415C37" w:rsidRDefault="00415C37" w:rsidP="00415C37"/>
    <w:p w:rsidR="00415C37" w:rsidRDefault="00415C37" w:rsidP="00415C37"/>
    <w:p w:rsidR="004928EA" w:rsidRDefault="002A36C1"/>
    <w:sectPr w:rsidR="004928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C1" w:rsidRDefault="002A36C1">
      <w:pPr>
        <w:spacing w:after="0" w:line="240" w:lineRule="auto"/>
      </w:pPr>
      <w:r>
        <w:separator/>
      </w:r>
    </w:p>
  </w:endnote>
  <w:endnote w:type="continuationSeparator" w:id="0">
    <w:p w:rsidR="002A36C1" w:rsidRDefault="002A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C1" w:rsidRDefault="002A36C1">
      <w:pPr>
        <w:spacing w:after="0" w:line="240" w:lineRule="auto"/>
      </w:pPr>
      <w:r>
        <w:separator/>
      </w:r>
    </w:p>
  </w:footnote>
  <w:footnote w:type="continuationSeparator" w:id="0">
    <w:p w:rsidR="002A36C1" w:rsidRDefault="002A36C1">
      <w:pPr>
        <w:spacing w:after="0" w:line="240" w:lineRule="auto"/>
      </w:pPr>
      <w:r>
        <w:continuationSeparator/>
      </w:r>
    </w:p>
  </w:footnote>
  <w:footnote w:id="1">
    <w:p w:rsidR="005D4FC5" w:rsidRPr="005D4FC5" w:rsidRDefault="005D4FC5">
      <w:pPr>
        <w:pStyle w:val="FootnoteText"/>
        <w:rPr>
          <w:lang w:val="en-GB"/>
        </w:rPr>
      </w:pPr>
      <w:r>
        <w:rPr>
          <w:rStyle w:val="FootnoteReference"/>
        </w:rPr>
        <w:footnoteRef/>
      </w:r>
      <w:r>
        <w:t xml:space="preserve"> </w:t>
      </w:r>
      <w:r>
        <w:rPr>
          <w:i/>
          <w:lang w:val="en-GB"/>
        </w:rPr>
        <w:t>Thint (Pty) Ltd v National Director of Public Prosecutions</w:t>
      </w:r>
      <w:r w:rsidR="004F20AD">
        <w:rPr>
          <w:i/>
          <w:lang w:val="en-GB"/>
        </w:rPr>
        <w:t xml:space="preserve"> and Others</w:t>
      </w:r>
      <w:r>
        <w:rPr>
          <w:i/>
          <w:lang w:val="en-GB"/>
        </w:rPr>
        <w:t>;  Zuma v National Director of Public Prosecutions</w:t>
      </w:r>
      <w:r w:rsidR="004F20AD">
        <w:rPr>
          <w:i/>
          <w:lang w:val="en-GB"/>
        </w:rPr>
        <w:t xml:space="preserve"> and Others</w:t>
      </w:r>
      <w:r>
        <w:rPr>
          <w:i/>
          <w:lang w:val="en-GB"/>
        </w:rPr>
        <w:t xml:space="preserve"> </w:t>
      </w:r>
      <w:r>
        <w:rPr>
          <w:lang w:val="en-GB"/>
        </w:rPr>
        <w:t>2009 (1) SA 1 (CC) at 115A-E.</w:t>
      </w:r>
      <w:r>
        <w:rPr>
          <w:i/>
          <w:lang w:val="en-GB"/>
        </w:rPr>
        <w:t xml:space="preserve"> </w:t>
      </w:r>
    </w:p>
  </w:footnote>
  <w:footnote w:id="2">
    <w:p w:rsidR="004F20AD" w:rsidRPr="004F20AD" w:rsidRDefault="004F20AD">
      <w:pPr>
        <w:pStyle w:val="FootnoteText"/>
        <w:rPr>
          <w:lang w:val="en-GB"/>
        </w:rPr>
      </w:pPr>
      <w:r>
        <w:rPr>
          <w:rStyle w:val="FootnoteReference"/>
        </w:rPr>
        <w:footnoteRef/>
      </w:r>
      <w:r>
        <w:t xml:space="preserve"> </w:t>
      </w:r>
      <w:r>
        <w:rPr>
          <w:i/>
          <w:lang w:val="en-GB"/>
        </w:rPr>
        <w:t xml:space="preserve">National Director of Public Prosecutions v Basson </w:t>
      </w:r>
      <w:r>
        <w:rPr>
          <w:lang w:val="en-GB"/>
        </w:rPr>
        <w:t>2002 (1) SA 419 (SCA) at 428H-I</w:t>
      </w:r>
    </w:p>
  </w:footnote>
  <w:footnote w:id="3">
    <w:p w:rsidR="004F20AD" w:rsidRPr="004F20AD" w:rsidRDefault="004F20AD">
      <w:pPr>
        <w:pStyle w:val="FootnoteText"/>
        <w:rPr>
          <w:lang w:val="en-GB"/>
        </w:rPr>
      </w:pPr>
      <w:r>
        <w:rPr>
          <w:rStyle w:val="FootnoteReference"/>
        </w:rPr>
        <w:footnoteRef/>
      </w:r>
      <w:r>
        <w:t xml:space="preserve"> </w:t>
      </w:r>
      <w:r>
        <w:rPr>
          <w:i/>
          <w:lang w:val="en-GB"/>
        </w:rPr>
        <w:t xml:space="preserve">Hassan </w:t>
      </w:r>
      <w:r w:rsidR="00C04367">
        <w:rPr>
          <w:i/>
          <w:lang w:val="en-GB"/>
        </w:rPr>
        <w:t xml:space="preserve">and Another </w:t>
      </w:r>
      <w:r>
        <w:rPr>
          <w:i/>
          <w:lang w:val="en-GB"/>
        </w:rPr>
        <w:t xml:space="preserve">v Berrange NO </w:t>
      </w:r>
      <w:r>
        <w:rPr>
          <w:lang w:val="en-GB"/>
        </w:rPr>
        <w:t>2012 (6) SA 329 (SCA) at 335G-H</w:t>
      </w:r>
    </w:p>
  </w:footnote>
  <w:footnote w:id="4">
    <w:p w:rsidR="00603A5F" w:rsidRPr="00603A5F" w:rsidRDefault="00603A5F">
      <w:pPr>
        <w:pStyle w:val="FootnoteText"/>
        <w:rPr>
          <w:lang w:val="en-GB"/>
        </w:rPr>
      </w:pPr>
      <w:r>
        <w:rPr>
          <w:rStyle w:val="FootnoteReference"/>
        </w:rPr>
        <w:footnoteRef/>
      </w:r>
      <w:r>
        <w:t xml:space="preserve"> </w:t>
      </w:r>
      <w:r>
        <w:rPr>
          <w:i/>
          <w:lang w:val="en-GB"/>
        </w:rPr>
        <w:t xml:space="preserve">Jasat v Natal Law Society </w:t>
      </w:r>
      <w:r>
        <w:rPr>
          <w:lang w:val="en-GB"/>
        </w:rPr>
        <w:t>2000 (3) SA 44 (SCA) para [10]</w:t>
      </w:r>
    </w:p>
  </w:footnote>
  <w:footnote w:id="5">
    <w:p w:rsidR="0017481A" w:rsidRPr="0017481A" w:rsidRDefault="0017481A">
      <w:pPr>
        <w:pStyle w:val="FootnoteText"/>
        <w:rPr>
          <w:lang w:val="en-GB"/>
        </w:rPr>
      </w:pPr>
      <w:r>
        <w:rPr>
          <w:rStyle w:val="FootnoteReference"/>
        </w:rPr>
        <w:footnoteRef/>
      </w:r>
      <w:r>
        <w:t xml:space="preserve"> </w:t>
      </w:r>
      <w:r>
        <w:rPr>
          <w:i/>
          <w:lang w:val="en-GB"/>
        </w:rPr>
        <w:t xml:space="preserve">Vassen v Law Society of the Cape of Good Hope </w:t>
      </w:r>
      <w:r>
        <w:rPr>
          <w:lang w:val="en-GB"/>
        </w:rPr>
        <w:t xml:space="preserve">1998 </w:t>
      </w:r>
      <w:r w:rsidR="000343F6">
        <w:rPr>
          <w:lang w:val="en-GB"/>
        </w:rPr>
        <w:t xml:space="preserve">(4) </w:t>
      </w:r>
      <w:r>
        <w:rPr>
          <w:lang w:val="en-GB"/>
        </w:rPr>
        <w:t>SA 532 (SCA)</w:t>
      </w:r>
      <w:r w:rsidR="005563CC">
        <w:rPr>
          <w:lang w:val="en-GB"/>
        </w:rPr>
        <w:t xml:space="preserve"> at 538G-H</w:t>
      </w:r>
    </w:p>
  </w:footnote>
  <w:footnote w:id="6">
    <w:p w:rsidR="004E5CA1" w:rsidRPr="004E5CA1" w:rsidRDefault="004E5CA1">
      <w:pPr>
        <w:pStyle w:val="FootnoteText"/>
        <w:rPr>
          <w:lang w:val="en-GB"/>
        </w:rPr>
      </w:pPr>
      <w:r>
        <w:rPr>
          <w:rStyle w:val="FootnoteReference"/>
        </w:rPr>
        <w:footnoteRef/>
      </w:r>
      <w:r>
        <w:t xml:space="preserve"> </w:t>
      </w:r>
      <w:r>
        <w:rPr>
          <w:i/>
          <w:lang w:val="en-GB"/>
        </w:rPr>
        <w:t xml:space="preserve">Prokureursorde van Transvaal v Kleynhans </w:t>
      </w:r>
      <w:r>
        <w:rPr>
          <w:lang w:val="en-GB"/>
        </w:rPr>
        <w:t>1995 (1) SA 839 (T) at p865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024094"/>
      <w:docPartObj>
        <w:docPartGallery w:val="Page Numbers (Top of Page)"/>
        <w:docPartUnique/>
      </w:docPartObj>
    </w:sdtPr>
    <w:sdtEndPr>
      <w:rPr>
        <w:noProof/>
      </w:rPr>
    </w:sdtEndPr>
    <w:sdtContent>
      <w:p w:rsidR="00040901" w:rsidRDefault="00F93C58">
        <w:pPr>
          <w:pStyle w:val="Header"/>
          <w:jc w:val="center"/>
        </w:pPr>
        <w:r>
          <w:fldChar w:fldCharType="begin"/>
        </w:r>
        <w:r>
          <w:instrText xml:space="preserve"> PAGE   \* MERGEFORMAT </w:instrText>
        </w:r>
        <w:r>
          <w:fldChar w:fldCharType="separate"/>
        </w:r>
        <w:r w:rsidR="00134036">
          <w:rPr>
            <w:noProof/>
          </w:rPr>
          <w:t>2</w:t>
        </w:r>
        <w:r>
          <w:rPr>
            <w:noProof/>
          </w:rPr>
          <w:fldChar w:fldCharType="end"/>
        </w:r>
      </w:p>
    </w:sdtContent>
  </w:sdt>
  <w:p w:rsidR="00040901" w:rsidRDefault="002A3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A3C3B"/>
    <w:multiLevelType w:val="hybridMultilevel"/>
    <w:tmpl w:val="DF70785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37"/>
    <w:rsid w:val="000343F6"/>
    <w:rsid w:val="00061778"/>
    <w:rsid w:val="000A2DC1"/>
    <w:rsid w:val="00134036"/>
    <w:rsid w:val="001719EA"/>
    <w:rsid w:val="0017481A"/>
    <w:rsid w:val="001E65A7"/>
    <w:rsid w:val="00202F43"/>
    <w:rsid w:val="0022117C"/>
    <w:rsid w:val="00272386"/>
    <w:rsid w:val="00281E38"/>
    <w:rsid w:val="00284455"/>
    <w:rsid w:val="002A36C1"/>
    <w:rsid w:val="002B29CA"/>
    <w:rsid w:val="002E4EB6"/>
    <w:rsid w:val="002E6ED8"/>
    <w:rsid w:val="0032196F"/>
    <w:rsid w:val="003A3FF7"/>
    <w:rsid w:val="003E27B2"/>
    <w:rsid w:val="00415C37"/>
    <w:rsid w:val="0044330C"/>
    <w:rsid w:val="00452C6E"/>
    <w:rsid w:val="004E4901"/>
    <w:rsid w:val="004E5CA1"/>
    <w:rsid w:val="004F20AD"/>
    <w:rsid w:val="00527525"/>
    <w:rsid w:val="005563CC"/>
    <w:rsid w:val="005C5F31"/>
    <w:rsid w:val="005D0636"/>
    <w:rsid w:val="005D4FC5"/>
    <w:rsid w:val="00603A5F"/>
    <w:rsid w:val="006251D4"/>
    <w:rsid w:val="0065016A"/>
    <w:rsid w:val="0069219F"/>
    <w:rsid w:val="006938AB"/>
    <w:rsid w:val="006B6751"/>
    <w:rsid w:val="006C1A63"/>
    <w:rsid w:val="006E24CF"/>
    <w:rsid w:val="00742308"/>
    <w:rsid w:val="007841EE"/>
    <w:rsid w:val="008047C4"/>
    <w:rsid w:val="008244B1"/>
    <w:rsid w:val="0084747D"/>
    <w:rsid w:val="00863F28"/>
    <w:rsid w:val="00873841"/>
    <w:rsid w:val="008775B8"/>
    <w:rsid w:val="00887F56"/>
    <w:rsid w:val="008C44D6"/>
    <w:rsid w:val="00984677"/>
    <w:rsid w:val="009C737F"/>
    <w:rsid w:val="009D037C"/>
    <w:rsid w:val="009E2B91"/>
    <w:rsid w:val="009E6EB5"/>
    <w:rsid w:val="00A12D79"/>
    <w:rsid w:val="00A130C2"/>
    <w:rsid w:val="00A45398"/>
    <w:rsid w:val="00AC3E16"/>
    <w:rsid w:val="00B02C24"/>
    <w:rsid w:val="00B3233E"/>
    <w:rsid w:val="00B40B58"/>
    <w:rsid w:val="00BB1DBC"/>
    <w:rsid w:val="00C04367"/>
    <w:rsid w:val="00C4219F"/>
    <w:rsid w:val="00C43861"/>
    <w:rsid w:val="00CB1DA0"/>
    <w:rsid w:val="00D10561"/>
    <w:rsid w:val="00D22729"/>
    <w:rsid w:val="00DB069A"/>
    <w:rsid w:val="00DB6503"/>
    <w:rsid w:val="00E06DAE"/>
    <w:rsid w:val="00EE4B98"/>
    <w:rsid w:val="00EE61F2"/>
    <w:rsid w:val="00EF113F"/>
    <w:rsid w:val="00F25708"/>
    <w:rsid w:val="00F826CD"/>
    <w:rsid w:val="00F86E47"/>
    <w:rsid w:val="00F93C58"/>
    <w:rsid w:val="00F940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509B7-0B5B-4CB8-9833-40CADFED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C37"/>
  </w:style>
  <w:style w:type="paragraph" w:styleId="FootnoteText">
    <w:name w:val="footnote text"/>
    <w:basedOn w:val="Normal"/>
    <w:link w:val="FootnoteTextChar"/>
    <w:uiPriority w:val="99"/>
    <w:semiHidden/>
    <w:unhideWhenUsed/>
    <w:rsid w:val="005D4F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FC5"/>
    <w:rPr>
      <w:sz w:val="20"/>
      <w:szCs w:val="20"/>
    </w:rPr>
  </w:style>
  <w:style w:type="character" w:styleId="FootnoteReference">
    <w:name w:val="footnote reference"/>
    <w:basedOn w:val="DefaultParagraphFont"/>
    <w:uiPriority w:val="99"/>
    <w:semiHidden/>
    <w:unhideWhenUsed/>
    <w:rsid w:val="005D4FC5"/>
    <w:rPr>
      <w:vertAlign w:val="superscript"/>
    </w:rPr>
  </w:style>
  <w:style w:type="paragraph" w:styleId="ListParagraph">
    <w:name w:val="List Paragraph"/>
    <w:basedOn w:val="Normal"/>
    <w:uiPriority w:val="34"/>
    <w:qFormat/>
    <w:rsid w:val="0078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08E1-AA0D-40CE-B22F-0B49A063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2</cp:revision>
  <dcterms:created xsi:type="dcterms:W3CDTF">2022-12-20T10:39:00Z</dcterms:created>
  <dcterms:modified xsi:type="dcterms:W3CDTF">2022-12-20T10:39:00Z</dcterms:modified>
</cp:coreProperties>
</file>