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DE" w:rsidRPr="00C054DE" w:rsidRDefault="00C054DE" w:rsidP="00C054DE">
      <w:pPr>
        <w:spacing w:after="0" w:line="240" w:lineRule="auto"/>
        <w:ind w:left="0" w:firstLine="0"/>
        <w:jc w:val="center"/>
        <w:rPr>
          <w:rFonts w:eastAsiaTheme="minorHAnsi"/>
          <w:b/>
          <w:color w:val="auto"/>
          <w:sz w:val="22"/>
          <w:lang w:eastAsia="en-US"/>
        </w:rPr>
      </w:pPr>
      <w:bookmarkStart w:id="0" w:name="_GoBack"/>
      <w:bookmarkEnd w:id="0"/>
      <w:r w:rsidRPr="00C054DE">
        <w:rPr>
          <w:rFonts w:eastAsiaTheme="minorHAnsi"/>
          <w:noProof/>
          <w:color w:val="auto"/>
          <w:sz w:val="22"/>
          <w:lang w:val="en-US" w:eastAsia="en-US"/>
        </w:rPr>
        <w:drawing>
          <wp:anchor distT="0" distB="0" distL="114300" distR="114300" simplePos="0" relativeHeight="251659264" behindDoc="0" locked="0" layoutInCell="1" allowOverlap="1" wp14:anchorId="1BA7F6C0" wp14:editId="15B1D6B4">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C054DE" w:rsidRPr="00C054DE" w:rsidRDefault="00C054DE" w:rsidP="00C054DE">
      <w:pPr>
        <w:spacing w:after="0" w:line="240" w:lineRule="auto"/>
        <w:ind w:left="0" w:firstLine="0"/>
        <w:jc w:val="center"/>
        <w:rPr>
          <w:rFonts w:eastAsiaTheme="minorHAnsi"/>
          <w:b/>
          <w:color w:val="auto"/>
          <w:sz w:val="22"/>
          <w:lang w:eastAsia="en-US"/>
        </w:rPr>
      </w:pPr>
    </w:p>
    <w:p w:rsidR="00C054DE" w:rsidRPr="00C054DE" w:rsidRDefault="00C054DE" w:rsidP="00C054DE">
      <w:pPr>
        <w:spacing w:after="0" w:line="240" w:lineRule="auto"/>
        <w:ind w:left="0" w:firstLine="0"/>
        <w:jc w:val="center"/>
        <w:rPr>
          <w:rFonts w:eastAsia="Times New Roman"/>
          <w:b/>
          <w:color w:val="auto"/>
          <w:sz w:val="22"/>
          <w:lang w:eastAsia="en-GB"/>
        </w:rPr>
      </w:pPr>
      <w:r w:rsidRPr="00C054DE">
        <w:rPr>
          <w:rFonts w:eastAsia="Times New Roman"/>
          <w:b/>
          <w:color w:val="auto"/>
          <w:sz w:val="22"/>
          <w:lang w:eastAsia="en-GB"/>
        </w:rPr>
        <w:t>IN THE HIGH COURT OF SOUTH AFRICA</w:t>
      </w:r>
    </w:p>
    <w:p w:rsidR="00C054DE" w:rsidRPr="00C054DE" w:rsidRDefault="00C054DE" w:rsidP="00C054DE">
      <w:pPr>
        <w:spacing w:after="0" w:line="240" w:lineRule="auto"/>
        <w:ind w:left="0" w:firstLine="0"/>
        <w:jc w:val="center"/>
        <w:rPr>
          <w:rFonts w:eastAsia="Times New Roman"/>
          <w:b/>
          <w:color w:val="auto"/>
          <w:sz w:val="22"/>
          <w:lang w:eastAsia="en-GB"/>
        </w:rPr>
      </w:pPr>
    </w:p>
    <w:p w:rsidR="00C054DE" w:rsidRPr="00C054DE" w:rsidRDefault="00C054DE" w:rsidP="00C054DE">
      <w:pPr>
        <w:spacing w:after="0" w:line="240" w:lineRule="auto"/>
        <w:ind w:left="0" w:firstLine="0"/>
        <w:jc w:val="center"/>
        <w:rPr>
          <w:rFonts w:eastAsia="Times New Roman"/>
          <w:b/>
          <w:color w:val="auto"/>
          <w:sz w:val="22"/>
          <w:lang w:eastAsia="en-GB"/>
        </w:rPr>
      </w:pPr>
      <w:r w:rsidRPr="00C054DE">
        <w:rPr>
          <w:rFonts w:eastAsia="Times New Roman"/>
          <w:b/>
          <w:color w:val="auto"/>
          <w:sz w:val="22"/>
          <w:lang w:eastAsia="en-GB"/>
        </w:rPr>
        <w:t>(GAUTENG DIVISION, PRETORIA)</w:t>
      </w:r>
    </w:p>
    <w:p w:rsidR="00C054DE" w:rsidRPr="00C054DE" w:rsidRDefault="00C054DE" w:rsidP="00C054DE">
      <w:pPr>
        <w:spacing w:after="0" w:line="240" w:lineRule="auto"/>
        <w:ind w:left="0" w:firstLine="0"/>
        <w:jc w:val="left"/>
        <w:rPr>
          <w:rFonts w:eastAsia="Times New Roman"/>
          <w:b/>
          <w:color w:val="auto"/>
          <w:sz w:val="20"/>
          <w:szCs w:val="20"/>
          <w:lang w:eastAsia="en-GB"/>
        </w:rPr>
      </w:pPr>
    </w:p>
    <w:p w:rsidR="00C054DE" w:rsidRPr="00C054DE" w:rsidRDefault="00C054DE" w:rsidP="00C054DE">
      <w:pPr>
        <w:spacing w:before="100" w:beforeAutospacing="1" w:after="100" w:afterAutospacing="1" w:line="240" w:lineRule="auto"/>
        <w:ind w:left="4320" w:firstLine="0"/>
        <w:jc w:val="left"/>
        <w:rPr>
          <w:rFonts w:eastAsia="Times New Roman"/>
          <w:color w:val="auto"/>
          <w:sz w:val="22"/>
        </w:rPr>
      </w:pPr>
      <w:r w:rsidRPr="00C054DE">
        <w:rPr>
          <w:rFonts w:eastAsia="Calibri"/>
          <w:b/>
          <w:color w:val="auto"/>
          <w:sz w:val="22"/>
        </w:rPr>
        <w:t xml:space="preserve">                    Case Number</w:t>
      </w:r>
      <w:r w:rsidRPr="00C054DE">
        <w:rPr>
          <w:rFonts w:eastAsia="Calibri"/>
          <w:color w:val="auto"/>
          <w:sz w:val="22"/>
        </w:rPr>
        <w:t xml:space="preserve">: </w:t>
      </w:r>
      <w:r w:rsidR="00D53F17" w:rsidRPr="00D53F17">
        <w:rPr>
          <w:rFonts w:eastAsia="Calibri"/>
          <w:noProof/>
          <w:color w:val="auto"/>
          <w:sz w:val="22"/>
        </w:rPr>
        <w:t>24261/2020</w:t>
      </w:r>
      <w:r w:rsidRPr="00C054DE">
        <w:rPr>
          <w:rFonts w:eastAsia="Calibri"/>
          <w:color w:val="auto"/>
          <w:sz w:val="22"/>
        </w:rPr>
        <w:tab/>
      </w:r>
    </w:p>
    <w:p w:rsidR="00C054DE" w:rsidRPr="00C054DE" w:rsidRDefault="00C054DE" w:rsidP="00C054DE">
      <w:pPr>
        <w:spacing w:before="100" w:beforeAutospacing="1" w:after="100" w:afterAutospacing="1" w:line="360" w:lineRule="auto"/>
        <w:ind w:left="5760" w:firstLine="720"/>
        <w:jc w:val="left"/>
        <w:rPr>
          <w:rFonts w:eastAsia="Times New Roman"/>
          <w:color w:val="auto"/>
          <w:szCs w:val="24"/>
        </w:rPr>
      </w:pPr>
      <w:r w:rsidRPr="00C054DE">
        <w:rPr>
          <w:rFonts w:eastAsia="Times New Roman"/>
          <w:noProof/>
          <w:color w:val="auto"/>
          <w:szCs w:val="24"/>
          <w:lang w:val="en-US" w:eastAsia="en-US"/>
        </w:rPr>
        <mc:AlternateContent>
          <mc:Choice Requires="wps">
            <w:drawing>
              <wp:anchor distT="0" distB="0" distL="114300" distR="114300" simplePos="0" relativeHeight="251660288" behindDoc="0" locked="0" layoutInCell="1" allowOverlap="1" wp14:anchorId="62867EA5" wp14:editId="5CB5762D">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C054DE" w:rsidRDefault="00C054DE" w:rsidP="00C054DE">
                            <w:pPr>
                              <w:jc w:val="center"/>
                              <w:rPr>
                                <w:rFonts w:ascii="Century Gothic" w:hAnsi="Century Gothic"/>
                                <w:b/>
                                <w:sz w:val="2"/>
                                <w:szCs w:val="18"/>
                              </w:rPr>
                            </w:pPr>
                          </w:p>
                          <w:p w:rsidR="00C054DE" w:rsidRDefault="00C054DE" w:rsidP="00C054DE">
                            <w:pPr>
                              <w:numPr>
                                <w:ilvl w:val="0"/>
                                <w:numId w:val="5"/>
                              </w:numPr>
                              <w:spacing w:after="0" w:line="240" w:lineRule="auto"/>
                              <w:jc w:val="left"/>
                              <w:rPr>
                                <w:rFonts w:ascii="Century Gothic" w:hAnsi="Century Gothic"/>
                                <w:sz w:val="18"/>
                                <w:szCs w:val="18"/>
                              </w:rPr>
                            </w:pPr>
                            <w:r>
                              <w:rPr>
                                <w:rFonts w:ascii="Century Gothic" w:hAnsi="Century Gothic"/>
                                <w:sz w:val="18"/>
                                <w:szCs w:val="18"/>
                              </w:rPr>
                              <w:t>REPORTABLE: NO</w:t>
                            </w:r>
                          </w:p>
                          <w:p w:rsidR="00C054DE" w:rsidRDefault="00C054DE" w:rsidP="00C054DE">
                            <w:pPr>
                              <w:numPr>
                                <w:ilvl w:val="0"/>
                                <w:numId w:val="5"/>
                              </w:numPr>
                              <w:spacing w:after="0" w:line="240" w:lineRule="auto"/>
                              <w:jc w:val="left"/>
                              <w:rPr>
                                <w:rFonts w:ascii="Century Gothic" w:hAnsi="Century Gothic"/>
                                <w:sz w:val="18"/>
                                <w:szCs w:val="18"/>
                              </w:rPr>
                            </w:pPr>
                            <w:r>
                              <w:rPr>
                                <w:rFonts w:ascii="Century Gothic" w:hAnsi="Century Gothic"/>
                                <w:sz w:val="18"/>
                                <w:szCs w:val="18"/>
                              </w:rPr>
                              <w:t>OF INTEREST TO OTHER JUDGES: NO</w:t>
                            </w:r>
                          </w:p>
                          <w:p w:rsidR="00C054DE" w:rsidRDefault="00C054DE" w:rsidP="00C054DE">
                            <w:pPr>
                              <w:rPr>
                                <w:rFonts w:ascii="Century Gothic" w:hAnsi="Century Gothic"/>
                                <w:b/>
                                <w:sz w:val="18"/>
                                <w:szCs w:val="18"/>
                              </w:rPr>
                            </w:pPr>
                          </w:p>
                          <w:p w:rsidR="00C054DE" w:rsidRDefault="00C054DE" w:rsidP="00C054DE">
                            <w:pPr>
                              <w:rPr>
                                <w:rFonts w:ascii="Century Gothic" w:hAnsi="Century Gothic"/>
                                <w:b/>
                                <w:sz w:val="18"/>
                                <w:szCs w:val="18"/>
                              </w:rPr>
                            </w:pPr>
                            <w:r>
                              <w:rPr>
                                <w:rFonts w:ascii="Century Gothic" w:hAnsi="Century Gothic"/>
                                <w:b/>
                                <w:sz w:val="18"/>
                                <w:szCs w:val="18"/>
                              </w:rPr>
                              <w:t xml:space="preserve"> …………..………….............</w:t>
                            </w:r>
                          </w:p>
                          <w:p w:rsidR="00C054DE" w:rsidRDefault="007A0527" w:rsidP="00C054DE">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t xml:space="preserve">                      </w:t>
                            </w:r>
                            <w:r w:rsidR="00C054DE">
                              <w:rPr>
                                <w:rFonts w:ascii="Century Gothic" w:hAnsi="Century Gothic"/>
                                <w:b/>
                                <w:sz w:val="18"/>
                                <w:szCs w:val="18"/>
                              </w:rPr>
                              <w:t xml:space="preserve">DATE: </w:t>
                            </w:r>
                            <w:r w:rsidR="000A095F">
                              <w:rPr>
                                <w:rFonts w:ascii="Century Gothic" w:hAnsi="Century Gothic"/>
                                <w:b/>
                                <w:sz w:val="18"/>
                                <w:szCs w:val="18"/>
                              </w:rPr>
                              <w:t xml:space="preserve"> </w:t>
                            </w:r>
                            <w:r>
                              <w:rPr>
                                <w:rFonts w:ascii="Century Gothic" w:hAnsi="Century Gothic"/>
                                <w:b/>
                                <w:sz w:val="18"/>
                                <w:szCs w:val="18"/>
                              </w:rPr>
                              <w:t xml:space="preserve">02 </w:t>
                            </w:r>
                            <w:r w:rsidR="000A095F">
                              <w:rPr>
                                <w:rFonts w:ascii="Century Gothic" w:hAnsi="Century Gothic"/>
                                <w:b/>
                                <w:sz w:val="18"/>
                                <w:szCs w:val="18"/>
                              </w:rPr>
                              <w:t>DECEMBER</w:t>
                            </w:r>
                            <w:r w:rsidR="00C054DE">
                              <w:rPr>
                                <w:rFonts w:ascii="Century Gothic" w:hAnsi="Century Gothic"/>
                                <w:b/>
                                <w:sz w:val="18"/>
                                <w:szCs w:val="18"/>
                              </w:rPr>
                              <w:t xml:space="preserve"> 2022 </w:t>
                            </w:r>
                          </w:p>
                          <w:p w:rsidR="00C054DE" w:rsidRDefault="00C054DE" w:rsidP="00C054DE">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867EA5"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C054DE" w:rsidRDefault="00C054DE" w:rsidP="00C054DE">
                      <w:pPr>
                        <w:jc w:val="center"/>
                        <w:rPr>
                          <w:rFonts w:ascii="Century Gothic" w:hAnsi="Century Gothic"/>
                          <w:b/>
                          <w:sz w:val="2"/>
                          <w:szCs w:val="18"/>
                        </w:rPr>
                      </w:pPr>
                    </w:p>
                    <w:p w:rsidR="00C054DE" w:rsidRDefault="00C054DE" w:rsidP="00C054DE">
                      <w:pPr>
                        <w:numPr>
                          <w:ilvl w:val="0"/>
                          <w:numId w:val="5"/>
                        </w:numPr>
                        <w:spacing w:after="0" w:line="240" w:lineRule="auto"/>
                        <w:jc w:val="left"/>
                        <w:rPr>
                          <w:rFonts w:ascii="Century Gothic" w:hAnsi="Century Gothic"/>
                          <w:sz w:val="18"/>
                          <w:szCs w:val="18"/>
                        </w:rPr>
                      </w:pPr>
                      <w:r>
                        <w:rPr>
                          <w:rFonts w:ascii="Century Gothic" w:hAnsi="Century Gothic"/>
                          <w:sz w:val="18"/>
                          <w:szCs w:val="18"/>
                        </w:rPr>
                        <w:t>REPORTABLE: NO</w:t>
                      </w:r>
                    </w:p>
                    <w:p w:rsidR="00C054DE" w:rsidRDefault="00C054DE" w:rsidP="00C054DE">
                      <w:pPr>
                        <w:numPr>
                          <w:ilvl w:val="0"/>
                          <w:numId w:val="5"/>
                        </w:numPr>
                        <w:spacing w:after="0" w:line="240" w:lineRule="auto"/>
                        <w:jc w:val="left"/>
                        <w:rPr>
                          <w:rFonts w:ascii="Century Gothic" w:hAnsi="Century Gothic"/>
                          <w:sz w:val="18"/>
                          <w:szCs w:val="18"/>
                        </w:rPr>
                      </w:pPr>
                      <w:r>
                        <w:rPr>
                          <w:rFonts w:ascii="Century Gothic" w:hAnsi="Century Gothic"/>
                          <w:sz w:val="18"/>
                          <w:szCs w:val="18"/>
                        </w:rPr>
                        <w:t>OF INTEREST TO OTHER JUDGES: NO</w:t>
                      </w:r>
                    </w:p>
                    <w:p w:rsidR="00C054DE" w:rsidRDefault="00C054DE" w:rsidP="00C054DE">
                      <w:pPr>
                        <w:rPr>
                          <w:rFonts w:ascii="Century Gothic" w:hAnsi="Century Gothic"/>
                          <w:b/>
                          <w:sz w:val="18"/>
                          <w:szCs w:val="18"/>
                        </w:rPr>
                      </w:pPr>
                    </w:p>
                    <w:p w:rsidR="00C054DE" w:rsidRDefault="00C054DE" w:rsidP="00C054DE">
                      <w:pPr>
                        <w:rPr>
                          <w:rFonts w:ascii="Century Gothic" w:hAnsi="Century Gothic"/>
                          <w:b/>
                          <w:sz w:val="18"/>
                          <w:szCs w:val="18"/>
                        </w:rPr>
                      </w:pPr>
                      <w:r>
                        <w:rPr>
                          <w:rFonts w:ascii="Century Gothic" w:hAnsi="Century Gothic"/>
                          <w:b/>
                          <w:sz w:val="18"/>
                          <w:szCs w:val="18"/>
                        </w:rPr>
                        <w:t xml:space="preserve"> …………..………….............</w:t>
                      </w:r>
                    </w:p>
                    <w:p w:rsidR="00C054DE" w:rsidRDefault="007A0527" w:rsidP="00C054DE">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t xml:space="preserve">                      </w:t>
                      </w:r>
                      <w:r w:rsidR="00C054DE">
                        <w:rPr>
                          <w:rFonts w:ascii="Century Gothic" w:hAnsi="Century Gothic"/>
                          <w:b/>
                          <w:sz w:val="18"/>
                          <w:szCs w:val="18"/>
                        </w:rPr>
                        <w:t xml:space="preserve">DATE: </w:t>
                      </w:r>
                      <w:r w:rsidR="000A095F">
                        <w:rPr>
                          <w:rFonts w:ascii="Century Gothic" w:hAnsi="Century Gothic"/>
                          <w:b/>
                          <w:sz w:val="18"/>
                          <w:szCs w:val="18"/>
                        </w:rPr>
                        <w:t xml:space="preserve"> </w:t>
                      </w:r>
                      <w:r>
                        <w:rPr>
                          <w:rFonts w:ascii="Century Gothic" w:hAnsi="Century Gothic"/>
                          <w:b/>
                          <w:sz w:val="18"/>
                          <w:szCs w:val="18"/>
                        </w:rPr>
                        <w:t xml:space="preserve">02 </w:t>
                      </w:r>
                      <w:r w:rsidR="000A095F">
                        <w:rPr>
                          <w:rFonts w:ascii="Century Gothic" w:hAnsi="Century Gothic"/>
                          <w:b/>
                          <w:sz w:val="18"/>
                          <w:szCs w:val="18"/>
                        </w:rPr>
                        <w:t>DECEMBER</w:t>
                      </w:r>
                      <w:r w:rsidR="00C054DE">
                        <w:rPr>
                          <w:rFonts w:ascii="Century Gothic" w:hAnsi="Century Gothic"/>
                          <w:b/>
                          <w:sz w:val="18"/>
                          <w:szCs w:val="18"/>
                        </w:rPr>
                        <w:t xml:space="preserve"> 2022 </w:t>
                      </w:r>
                    </w:p>
                    <w:p w:rsidR="00C054DE" w:rsidRDefault="00C054DE" w:rsidP="00C054DE">
                      <w:pPr>
                        <w:rPr>
                          <w:rFonts w:ascii="Century Gothic" w:hAnsi="Century Gothic"/>
                          <w:b/>
                          <w:sz w:val="2"/>
                          <w:szCs w:val="18"/>
                        </w:rPr>
                      </w:pPr>
                    </w:p>
                  </w:txbxContent>
                </v:textbox>
              </v:shape>
            </w:pict>
          </mc:Fallback>
        </mc:AlternateContent>
      </w:r>
    </w:p>
    <w:p w:rsidR="00C054DE" w:rsidRPr="00C054DE" w:rsidRDefault="00C054DE" w:rsidP="00C054DE">
      <w:pPr>
        <w:spacing w:before="100" w:beforeAutospacing="1" w:after="100" w:afterAutospacing="1" w:line="360" w:lineRule="auto"/>
        <w:ind w:left="5760" w:firstLine="720"/>
        <w:jc w:val="left"/>
        <w:rPr>
          <w:rFonts w:eastAsia="Times New Roman"/>
          <w:color w:val="auto"/>
          <w:szCs w:val="24"/>
        </w:rPr>
      </w:pPr>
    </w:p>
    <w:p w:rsidR="00C054DE" w:rsidRPr="00C054DE" w:rsidRDefault="00C054DE" w:rsidP="00C054DE">
      <w:pPr>
        <w:spacing w:after="0" w:line="240" w:lineRule="auto"/>
        <w:ind w:left="0" w:firstLine="0"/>
        <w:jc w:val="center"/>
        <w:rPr>
          <w:rFonts w:eastAsiaTheme="minorHAnsi"/>
          <w:b/>
          <w:color w:val="auto"/>
          <w:sz w:val="20"/>
          <w:szCs w:val="20"/>
          <w:lang w:eastAsia="en-US"/>
        </w:rPr>
      </w:pPr>
    </w:p>
    <w:p w:rsidR="00C054DE" w:rsidRPr="00C054DE" w:rsidRDefault="00C054DE" w:rsidP="00C054DE">
      <w:pPr>
        <w:spacing w:after="0" w:line="240" w:lineRule="auto"/>
        <w:ind w:left="0" w:firstLine="0"/>
        <w:jc w:val="center"/>
        <w:rPr>
          <w:rFonts w:eastAsiaTheme="minorHAnsi"/>
          <w:b/>
          <w:color w:val="auto"/>
          <w:sz w:val="20"/>
          <w:szCs w:val="20"/>
          <w:lang w:eastAsia="en-US"/>
        </w:rPr>
      </w:pPr>
    </w:p>
    <w:p w:rsidR="00C054DE" w:rsidRPr="00C054DE" w:rsidRDefault="00C054DE" w:rsidP="00C054DE">
      <w:pPr>
        <w:spacing w:before="100" w:beforeAutospacing="1" w:after="100" w:afterAutospacing="1" w:line="360" w:lineRule="auto"/>
        <w:ind w:left="0" w:firstLine="0"/>
        <w:jc w:val="center"/>
        <w:rPr>
          <w:rFonts w:eastAsia="Calibri"/>
          <w:b/>
          <w:color w:val="auto"/>
          <w:szCs w:val="24"/>
        </w:rPr>
      </w:pPr>
      <w:r w:rsidRPr="00C054DE">
        <w:rPr>
          <w:rFonts w:eastAsia="Calibri"/>
          <w:b/>
          <w:color w:val="auto"/>
          <w:szCs w:val="24"/>
        </w:rPr>
        <w:t xml:space="preserve">   </w:t>
      </w:r>
      <w:r w:rsidRPr="00C054DE">
        <w:rPr>
          <w:rFonts w:eastAsia="Calibri"/>
          <w:b/>
          <w:color w:val="auto"/>
          <w:szCs w:val="24"/>
        </w:rPr>
        <w:tab/>
      </w:r>
      <w:r w:rsidRPr="00C054DE">
        <w:rPr>
          <w:rFonts w:eastAsia="Calibri"/>
          <w:b/>
          <w:color w:val="auto"/>
          <w:szCs w:val="24"/>
        </w:rPr>
        <w:tab/>
      </w:r>
      <w:r w:rsidRPr="00C054DE">
        <w:rPr>
          <w:rFonts w:eastAsia="Calibri"/>
          <w:b/>
          <w:color w:val="auto"/>
          <w:szCs w:val="24"/>
        </w:rPr>
        <w:tab/>
      </w:r>
      <w:r w:rsidRPr="00C054DE">
        <w:rPr>
          <w:rFonts w:eastAsia="Calibri"/>
          <w:b/>
          <w:color w:val="auto"/>
          <w:szCs w:val="24"/>
        </w:rPr>
        <w:tab/>
      </w:r>
    </w:p>
    <w:p w:rsidR="00C054DE" w:rsidRPr="00C054DE" w:rsidRDefault="00C054DE" w:rsidP="000A095F">
      <w:pPr>
        <w:spacing w:before="100" w:beforeAutospacing="1" w:after="0" w:line="360" w:lineRule="auto"/>
        <w:ind w:left="0" w:firstLine="0"/>
        <w:jc w:val="left"/>
        <w:rPr>
          <w:rFonts w:eastAsia="Calibri"/>
          <w:b/>
          <w:color w:val="auto"/>
          <w:szCs w:val="24"/>
        </w:rPr>
      </w:pPr>
      <w:r w:rsidRPr="00C054DE">
        <w:rPr>
          <w:rFonts w:eastAsia="Times New Roman"/>
          <w:color w:val="auto"/>
          <w:szCs w:val="24"/>
        </w:rPr>
        <w:t xml:space="preserve">In the matter between: </w:t>
      </w:r>
    </w:p>
    <w:p w:rsidR="00297CDD" w:rsidRDefault="00297CDD" w:rsidP="000A095F">
      <w:pPr>
        <w:spacing w:after="0" w:line="360" w:lineRule="auto"/>
        <w:ind w:left="0" w:firstLine="0"/>
        <w:rPr>
          <w:szCs w:val="24"/>
        </w:rPr>
      </w:pPr>
    </w:p>
    <w:p w:rsidR="00C054DE" w:rsidRPr="000A095F" w:rsidRDefault="00C054DE" w:rsidP="000A095F">
      <w:pPr>
        <w:spacing w:after="0" w:line="360" w:lineRule="auto"/>
        <w:ind w:left="0" w:firstLine="0"/>
        <w:rPr>
          <w:szCs w:val="24"/>
        </w:rPr>
      </w:pPr>
      <w:r w:rsidRPr="000A095F">
        <w:rPr>
          <w:szCs w:val="24"/>
        </w:rPr>
        <w:t>SOUTH AFRICAN POLICE SERVICE MEDICAL</w:t>
      </w:r>
      <w:r w:rsidR="001E791F" w:rsidRPr="000A095F">
        <w:rPr>
          <w:szCs w:val="24"/>
        </w:rPr>
        <w:tab/>
      </w:r>
      <w:r w:rsidRPr="000A095F">
        <w:rPr>
          <w:szCs w:val="24"/>
        </w:rPr>
        <w:t>APPLICANT</w:t>
      </w:r>
      <w:r w:rsidR="001E791F" w:rsidRPr="000A095F">
        <w:rPr>
          <w:szCs w:val="24"/>
        </w:rPr>
        <w:tab/>
      </w:r>
      <w:r w:rsidR="001E791F" w:rsidRPr="000A095F">
        <w:rPr>
          <w:szCs w:val="24"/>
        </w:rPr>
        <w:tab/>
      </w:r>
      <w:r w:rsidRPr="000A095F">
        <w:rPr>
          <w:szCs w:val="24"/>
        </w:rPr>
        <w:t xml:space="preserve"> SCHEME (POLMED) </w:t>
      </w:r>
    </w:p>
    <w:p w:rsidR="00297CDD" w:rsidRDefault="00297CDD" w:rsidP="000A095F">
      <w:pPr>
        <w:spacing w:after="0" w:line="360" w:lineRule="auto"/>
        <w:ind w:left="0" w:firstLine="0"/>
        <w:rPr>
          <w:szCs w:val="24"/>
        </w:rPr>
      </w:pPr>
    </w:p>
    <w:p w:rsidR="00C054DE" w:rsidRPr="000A095F" w:rsidRDefault="00C054DE" w:rsidP="000A095F">
      <w:pPr>
        <w:spacing w:after="0" w:line="360" w:lineRule="auto"/>
        <w:ind w:left="0" w:firstLine="0"/>
        <w:rPr>
          <w:szCs w:val="24"/>
        </w:rPr>
      </w:pPr>
      <w:r w:rsidRPr="000A095F">
        <w:rPr>
          <w:szCs w:val="24"/>
        </w:rPr>
        <w:t>and</w:t>
      </w:r>
    </w:p>
    <w:p w:rsidR="00297CDD" w:rsidRDefault="00297CDD" w:rsidP="000A095F">
      <w:pPr>
        <w:spacing w:after="0" w:line="360" w:lineRule="auto"/>
        <w:ind w:left="0" w:firstLine="0"/>
        <w:rPr>
          <w:szCs w:val="24"/>
        </w:rPr>
      </w:pPr>
    </w:p>
    <w:p w:rsidR="000A095F" w:rsidRPr="000A095F" w:rsidRDefault="00C054DE" w:rsidP="000A095F">
      <w:pPr>
        <w:spacing w:after="0" w:line="360" w:lineRule="auto"/>
        <w:ind w:left="0" w:firstLine="0"/>
        <w:rPr>
          <w:szCs w:val="24"/>
        </w:rPr>
      </w:pPr>
      <w:r w:rsidRPr="000A095F">
        <w:rPr>
          <w:szCs w:val="24"/>
        </w:rPr>
        <w:t>REGISTRAR OF THE COUNCIL</w:t>
      </w:r>
      <w:r w:rsidR="001E791F" w:rsidRPr="000A095F">
        <w:rPr>
          <w:szCs w:val="24"/>
        </w:rPr>
        <w:tab/>
      </w:r>
      <w:r w:rsidR="001E791F" w:rsidRPr="000A095F">
        <w:rPr>
          <w:szCs w:val="24"/>
        </w:rPr>
        <w:tab/>
      </w:r>
      <w:r w:rsidR="001E791F" w:rsidRPr="000A095F">
        <w:rPr>
          <w:szCs w:val="24"/>
        </w:rPr>
        <w:tab/>
      </w:r>
      <w:r w:rsidR="001E791F" w:rsidRPr="000A095F">
        <w:rPr>
          <w:szCs w:val="24"/>
        </w:rPr>
        <w:tab/>
        <w:t xml:space="preserve"> FIRST RESPONDENT</w:t>
      </w:r>
      <w:r w:rsidRPr="000A095F">
        <w:rPr>
          <w:szCs w:val="24"/>
        </w:rPr>
        <w:t xml:space="preserve"> FOR MEDICAL SCHEMES </w:t>
      </w:r>
    </w:p>
    <w:p w:rsidR="00C054DE" w:rsidRPr="000A095F" w:rsidRDefault="001E791F" w:rsidP="000A095F">
      <w:pPr>
        <w:spacing w:after="0" w:line="360" w:lineRule="auto"/>
        <w:ind w:left="0" w:firstLine="0"/>
        <w:rPr>
          <w:szCs w:val="24"/>
        </w:rPr>
      </w:pPr>
      <w:r w:rsidRPr="000A095F">
        <w:rPr>
          <w:szCs w:val="24"/>
        </w:rPr>
        <w:t>COUNCIL FOR MEDICAL SCHEMES</w:t>
      </w:r>
      <w:r w:rsidRPr="000A095F">
        <w:rPr>
          <w:szCs w:val="24"/>
        </w:rPr>
        <w:tab/>
      </w:r>
      <w:r w:rsidRPr="000A095F">
        <w:rPr>
          <w:szCs w:val="24"/>
        </w:rPr>
        <w:tab/>
      </w:r>
      <w:r w:rsidRPr="000A095F">
        <w:rPr>
          <w:szCs w:val="24"/>
        </w:rPr>
        <w:tab/>
      </w:r>
      <w:r w:rsidR="00C054DE" w:rsidRPr="000A095F">
        <w:rPr>
          <w:szCs w:val="24"/>
        </w:rPr>
        <w:t>SECOND RESPONDENT</w:t>
      </w:r>
    </w:p>
    <w:p w:rsidR="00C054DE" w:rsidRPr="000A095F" w:rsidRDefault="00C054DE" w:rsidP="000A095F">
      <w:pPr>
        <w:spacing w:after="0" w:line="360" w:lineRule="auto"/>
        <w:ind w:left="0" w:firstLine="0"/>
        <w:rPr>
          <w:szCs w:val="24"/>
        </w:rPr>
      </w:pPr>
      <w:r w:rsidRPr="000A095F">
        <w:rPr>
          <w:szCs w:val="24"/>
        </w:rPr>
        <w:t>MINISTER OF HEALTH</w:t>
      </w:r>
      <w:r w:rsidR="001E791F" w:rsidRPr="000A095F">
        <w:rPr>
          <w:szCs w:val="24"/>
        </w:rPr>
        <w:tab/>
      </w:r>
      <w:r w:rsidR="001E791F" w:rsidRPr="000A095F">
        <w:rPr>
          <w:szCs w:val="24"/>
        </w:rPr>
        <w:tab/>
      </w:r>
      <w:r w:rsidR="001E791F" w:rsidRPr="000A095F">
        <w:rPr>
          <w:szCs w:val="24"/>
        </w:rPr>
        <w:tab/>
      </w:r>
      <w:r w:rsidR="001E791F" w:rsidRPr="000A095F">
        <w:rPr>
          <w:szCs w:val="24"/>
        </w:rPr>
        <w:tab/>
      </w:r>
      <w:r w:rsidR="001E791F" w:rsidRPr="000A095F">
        <w:rPr>
          <w:szCs w:val="24"/>
        </w:rPr>
        <w:tab/>
      </w:r>
      <w:r w:rsidRPr="000A095F">
        <w:rPr>
          <w:szCs w:val="24"/>
        </w:rPr>
        <w:t>THIRD RESPONDENT</w:t>
      </w:r>
    </w:p>
    <w:p w:rsidR="0056779C" w:rsidRPr="000A095F" w:rsidRDefault="00C054DE" w:rsidP="000A095F">
      <w:pPr>
        <w:spacing w:after="0" w:line="360" w:lineRule="auto"/>
        <w:ind w:left="0" w:firstLine="0"/>
        <w:rPr>
          <w:szCs w:val="24"/>
        </w:rPr>
      </w:pPr>
      <w:r w:rsidRPr="000A095F">
        <w:rPr>
          <w:szCs w:val="24"/>
        </w:rPr>
        <w:t>MINISTER</w:t>
      </w:r>
      <w:r w:rsidR="001E791F" w:rsidRPr="000A095F">
        <w:rPr>
          <w:szCs w:val="24"/>
        </w:rPr>
        <w:t xml:space="preserve"> OF FINANCE</w:t>
      </w:r>
      <w:r w:rsidR="001E791F" w:rsidRPr="000A095F">
        <w:rPr>
          <w:szCs w:val="24"/>
        </w:rPr>
        <w:tab/>
      </w:r>
      <w:r w:rsidR="001E791F" w:rsidRPr="000A095F">
        <w:rPr>
          <w:szCs w:val="24"/>
        </w:rPr>
        <w:tab/>
      </w:r>
      <w:r w:rsidR="001E791F" w:rsidRPr="000A095F">
        <w:rPr>
          <w:szCs w:val="24"/>
        </w:rPr>
        <w:tab/>
      </w:r>
      <w:r w:rsidR="001E791F" w:rsidRPr="000A095F">
        <w:rPr>
          <w:szCs w:val="24"/>
        </w:rPr>
        <w:tab/>
      </w:r>
      <w:r w:rsidR="001E791F" w:rsidRPr="000A095F">
        <w:rPr>
          <w:szCs w:val="24"/>
        </w:rPr>
        <w:tab/>
      </w:r>
      <w:r w:rsidRPr="000A095F">
        <w:rPr>
          <w:szCs w:val="24"/>
        </w:rPr>
        <w:t>FOURTH RESPONDENT</w:t>
      </w:r>
    </w:p>
    <w:p w:rsidR="00C054DE" w:rsidRPr="00C054DE" w:rsidRDefault="00C054DE" w:rsidP="0056779C">
      <w:pPr>
        <w:spacing w:after="475" w:line="276" w:lineRule="auto"/>
        <w:ind w:left="0" w:firstLine="0"/>
        <w:rPr>
          <w:rFonts w:eastAsia="Times New Roman"/>
          <w:color w:val="auto"/>
          <w:szCs w:val="24"/>
        </w:rPr>
      </w:pPr>
      <w:r w:rsidRPr="00C054DE">
        <w:rPr>
          <w:rFonts w:eastAsia="Times New Roman"/>
          <w:color w:val="auto"/>
          <w:szCs w:val="24"/>
        </w:rPr>
        <w:t>______________________________________________________________</w:t>
      </w:r>
    </w:p>
    <w:p w:rsidR="00C054DE" w:rsidRPr="00C054DE" w:rsidRDefault="00C054DE" w:rsidP="00C054DE">
      <w:pPr>
        <w:pBdr>
          <w:bottom w:val="single" w:sz="12" w:space="1" w:color="auto"/>
        </w:pBdr>
        <w:spacing w:after="0" w:line="240" w:lineRule="auto"/>
        <w:ind w:left="0" w:firstLine="0"/>
        <w:jc w:val="center"/>
        <w:rPr>
          <w:rFonts w:eastAsia="Times New Roman"/>
          <w:b/>
          <w:color w:val="auto"/>
          <w:szCs w:val="24"/>
        </w:rPr>
      </w:pPr>
      <w:r w:rsidRPr="00C054DE">
        <w:rPr>
          <w:rFonts w:eastAsia="Times New Roman"/>
          <w:b/>
          <w:color w:val="auto"/>
          <w:szCs w:val="24"/>
        </w:rPr>
        <w:t>JUDGMENT</w:t>
      </w:r>
      <w:r w:rsidR="00DA43DC">
        <w:rPr>
          <w:rFonts w:eastAsia="Times New Roman"/>
          <w:b/>
          <w:color w:val="auto"/>
          <w:szCs w:val="24"/>
        </w:rPr>
        <w:t>: LEAVE TO APPEAL</w:t>
      </w:r>
    </w:p>
    <w:p w:rsidR="0056779C" w:rsidRDefault="00C054DE" w:rsidP="0056779C">
      <w:pPr>
        <w:spacing w:line="360" w:lineRule="auto"/>
        <w:rPr>
          <w:rFonts w:eastAsia="Times New Roman"/>
          <w:b/>
          <w:color w:val="auto"/>
          <w:szCs w:val="24"/>
        </w:rPr>
      </w:pPr>
      <w:r w:rsidRPr="00C054DE">
        <w:rPr>
          <w:rFonts w:eastAsia="Times New Roman"/>
          <w:b/>
          <w:color w:val="auto"/>
          <w:szCs w:val="24"/>
        </w:rPr>
        <w:t>KUBUSHI J</w:t>
      </w:r>
    </w:p>
    <w:p w:rsidR="00C054DE" w:rsidRDefault="000A095F" w:rsidP="000A095F">
      <w:pPr>
        <w:spacing w:after="160" w:line="360" w:lineRule="auto"/>
        <w:ind w:left="0" w:firstLine="0"/>
        <w:rPr>
          <w:rFonts w:eastAsiaTheme="minorHAnsi"/>
          <w:szCs w:val="24"/>
          <w:lang w:eastAsia="en-US"/>
        </w:rPr>
      </w:pPr>
      <w:r w:rsidRPr="000A095F">
        <w:rPr>
          <w:rFonts w:eastAsiaTheme="minorHAnsi"/>
          <w:b/>
          <w:szCs w:val="24"/>
          <w:lang w:eastAsia="en-US"/>
        </w:rPr>
        <w:t>Delivered</w:t>
      </w:r>
      <w:r w:rsidRPr="000A095F">
        <w:rPr>
          <w:rFonts w:eastAsiaTheme="minorHAnsi"/>
          <w:szCs w:val="24"/>
          <w:lang w:eastAsia="en-US"/>
        </w:rPr>
        <w:t xml:space="preserve">:  </w:t>
      </w:r>
      <w:r w:rsidRPr="000A095F">
        <w:rPr>
          <w:rFonts w:eastAsiaTheme="minorHAnsi"/>
          <w:szCs w:val="24"/>
          <w:lang w:eastAsia="en-US"/>
        </w:rPr>
        <w:tab/>
        <w:t xml:space="preserve">This judgment was handed down electronically by circulation to the parties’ legal representatives by e-mail. The date and time for hand-down is deemed to be 10h00 on </w:t>
      </w:r>
      <w:r w:rsidR="007A0527" w:rsidRPr="007A0527">
        <w:rPr>
          <w:rFonts w:eastAsiaTheme="minorHAnsi"/>
          <w:b/>
          <w:szCs w:val="24"/>
          <w:lang w:eastAsia="en-US"/>
        </w:rPr>
        <w:t xml:space="preserve">02 </w:t>
      </w:r>
      <w:r w:rsidR="00277E92" w:rsidRPr="007A0527">
        <w:rPr>
          <w:rFonts w:eastAsiaTheme="minorHAnsi"/>
          <w:b/>
          <w:szCs w:val="24"/>
          <w:lang w:eastAsia="en-US"/>
        </w:rPr>
        <w:t>DECEMBER</w:t>
      </w:r>
      <w:r w:rsidRPr="007A0527">
        <w:rPr>
          <w:rFonts w:eastAsiaTheme="minorHAnsi"/>
          <w:b/>
          <w:szCs w:val="24"/>
          <w:lang w:eastAsia="en-US"/>
        </w:rPr>
        <w:t xml:space="preserve"> 2022</w:t>
      </w:r>
      <w:r w:rsidRPr="000A095F">
        <w:rPr>
          <w:rFonts w:eastAsiaTheme="minorHAnsi"/>
          <w:szCs w:val="24"/>
          <w:lang w:eastAsia="en-US"/>
        </w:rPr>
        <w:t>.</w:t>
      </w:r>
    </w:p>
    <w:p w:rsidR="00297CDD" w:rsidRDefault="00C054DE" w:rsidP="00C054DE">
      <w:pPr>
        <w:spacing w:after="475"/>
        <w:ind w:left="0" w:firstLine="0"/>
      </w:pPr>
      <w:r>
        <w:lastRenderedPageBreak/>
        <w:t>[1]</w:t>
      </w:r>
      <w:r>
        <w:tab/>
      </w:r>
      <w:r w:rsidR="00937879">
        <w:t xml:space="preserve">The Applicant approached this Court for leave to appeal </w:t>
      </w:r>
      <w:r w:rsidR="00ED5E52">
        <w:t xml:space="preserve">to the Supreme Court of Appeal, </w:t>
      </w:r>
      <w:r w:rsidR="00297CDD">
        <w:t>against the whole of the judg</w:t>
      </w:r>
      <w:r w:rsidR="00937879">
        <w:t xml:space="preserve">ment and order of this Court dated and </w:t>
      </w:r>
      <w:r w:rsidR="00ED5E52">
        <w:t>handed down</w:t>
      </w:r>
      <w:r w:rsidR="00937879">
        <w:t xml:space="preserve"> on 02 </w:t>
      </w:r>
      <w:r w:rsidR="00297CDD">
        <w:t>November 2022. In the said judg</w:t>
      </w:r>
      <w:r w:rsidR="00937879">
        <w:t>ment</w:t>
      </w:r>
      <w:r w:rsidR="00297CDD">
        <w:t>,</w:t>
      </w:r>
      <w:r w:rsidR="00937879">
        <w:t xml:space="preserve"> t</w:t>
      </w:r>
      <w:r w:rsidR="005557A2">
        <w:t xml:space="preserve">he Applicant </w:t>
      </w:r>
      <w:r w:rsidR="00ED5E52">
        <w:t xml:space="preserve">had applied for </w:t>
      </w:r>
      <w:r w:rsidR="005557A2">
        <w:t>a declaratory relief for its future and/or contingent right to be given notice i</w:t>
      </w:r>
      <w:r w:rsidR="00303216">
        <w:t>f the curatorship applications we</w:t>
      </w:r>
      <w:r w:rsidR="005557A2">
        <w:t xml:space="preserve">re brought against it by the First and Second Respondents.    </w:t>
      </w:r>
    </w:p>
    <w:p w:rsidR="005557A2" w:rsidRDefault="007A0527" w:rsidP="00C054DE">
      <w:pPr>
        <w:spacing w:after="475"/>
        <w:ind w:left="0" w:firstLine="0"/>
      </w:pPr>
      <w:r>
        <w:t>[2]</w:t>
      </w:r>
      <w:r>
        <w:tab/>
      </w:r>
      <w:r w:rsidR="00ED5E52">
        <w:t>The application was dism</w:t>
      </w:r>
      <w:r w:rsidR="000126B3">
        <w:t xml:space="preserve">issed </w:t>
      </w:r>
      <w:r w:rsidR="00891F92">
        <w:t xml:space="preserve">on the ground that this Court found that the provisions of section 5(1) of </w:t>
      </w:r>
      <w:r>
        <w:t>the Financial Institutions (Prot</w:t>
      </w:r>
      <w:r w:rsidR="00303216">
        <w:t>ection of Funds)</w:t>
      </w:r>
      <w:r>
        <w:t xml:space="preserve"> </w:t>
      </w:r>
      <w:r w:rsidRPr="00A12757">
        <w:t>(“the FI Act”)</w:t>
      </w:r>
      <w:r w:rsidR="00891F92">
        <w:t>,</w:t>
      </w:r>
      <w:r>
        <w:rPr>
          <w:rStyle w:val="FootnoteReference"/>
        </w:rPr>
        <w:footnoteReference w:id="1"/>
      </w:r>
      <w:r w:rsidR="00891F92">
        <w:t xml:space="preserve"> which the Applicant sought to be declared invalid, valid. Having found section 15(1) of FI Act valid, this Court refused to exercise its discretion in terms of section 21(1)</w:t>
      </w:r>
      <w:r w:rsidR="00B443BF">
        <w:t>(c)</w:t>
      </w:r>
      <w:r w:rsidR="00891F92">
        <w:t xml:space="preserve"> of the Superior Courts Act</w:t>
      </w:r>
      <w:r w:rsidR="00303216">
        <w:t>,</w:t>
      </w:r>
      <w:r w:rsidR="00303216">
        <w:rPr>
          <w:rStyle w:val="FootnoteReference"/>
        </w:rPr>
        <w:footnoteReference w:id="2"/>
      </w:r>
      <w:r w:rsidR="00891F92">
        <w:t xml:space="preserve"> </w:t>
      </w:r>
      <w:r w:rsidR="00303216">
        <w:t>on the ground</w:t>
      </w:r>
      <w:r w:rsidR="00891F92">
        <w:t xml:space="preserve"> </w:t>
      </w:r>
      <w:r w:rsidR="00303216">
        <w:t xml:space="preserve">of its </w:t>
      </w:r>
      <w:r w:rsidR="00891F92">
        <w:t>f</w:t>
      </w:r>
      <w:r w:rsidR="00303216">
        <w:t>i</w:t>
      </w:r>
      <w:r w:rsidR="00891F92">
        <w:t>nd</w:t>
      </w:r>
      <w:r w:rsidR="00303216">
        <w:t xml:space="preserve">ing that the issue before it was hypothetical, abstract and academic </w:t>
      </w:r>
      <w:r w:rsidR="00891F92">
        <w:t xml:space="preserve"> </w:t>
      </w:r>
      <w:r w:rsidR="00303216">
        <w:t>because</w:t>
      </w:r>
      <w:r w:rsidR="00891F92">
        <w:t xml:space="preserve"> there was no </w:t>
      </w:r>
      <w:r w:rsidR="00891F92" w:rsidRPr="00891F92">
        <w:rPr>
          <w:i/>
        </w:rPr>
        <w:t>lis</w:t>
      </w:r>
      <w:r w:rsidR="00891F92">
        <w:t xml:space="preserve"> between the parties and, </w:t>
      </w:r>
      <w:r w:rsidR="00303216">
        <w:t xml:space="preserve">it, </w:t>
      </w:r>
      <w:r w:rsidR="00891F92">
        <w:t xml:space="preserve">also, </w:t>
      </w:r>
      <w:r w:rsidR="00303216">
        <w:t xml:space="preserve">found </w:t>
      </w:r>
      <w:r w:rsidR="00891F92">
        <w:t>that there was no evidence on record establishing a</w:t>
      </w:r>
      <w:r w:rsidR="00303216">
        <w:t>ny</w:t>
      </w:r>
      <w:r w:rsidR="00891F92">
        <w:t xml:space="preserve"> future/contingent </w:t>
      </w:r>
      <w:r w:rsidR="00303216">
        <w:t>right of the Applicant.</w:t>
      </w:r>
    </w:p>
    <w:p w:rsidR="00DA43DC" w:rsidRDefault="007A0527" w:rsidP="00C054DE">
      <w:pPr>
        <w:spacing w:after="475"/>
        <w:ind w:left="0" w:firstLine="0"/>
      </w:pPr>
      <w:r>
        <w:t>[3]</w:t>
      </w:r>
      <w:r>
        <w:tab/>
        <w:t>This Court had directed that this application be decided on the papers as filed on Caselines without the hearing of oral argument. The parties were directed to upload their written submission</w:t>
      </w:r>
      <w:r w:rsidR="00303216">
        <w:t>s</w:t>
      </w:r>
      <w:r>
        <w:t xml:space="preserve"> on Caselines, which they did. Thus, the application was d</w:t>
      </w:r>
      <w:r w:rsidR="00DA43DC">
        <w:t xml:space="preserve">ecided on </w:t>
      </w:r>
      <w:r>
        <w:t xml:space="preserve">the basis of all the papers including the parties </w:t>
      </w:r>
      <w:r w:rsidR="00DA43DC">
        <w:t>heads of argument</w:t>
      </w:r>
      <w:r>
        <w:t>.</w:t>
      </w:r>
    </w:p>
    <w:p w:rsidR="00ED5E52" w:rsidRDefault="008054B2" w:rsidP="00ED5E52">
      <w:pPr>
        <w:spacing w:after="476" w:line="488" w:lineRule="auto"/>
        <w:ind w:left="0" w:firstLine="0"/>
      </w:pPr>
      <w:r>
        <w:lastRenderedPageBreak/>
        <w:t>[</w:t>
      </w:r>
      <w:r w:rsidR="007A0527">
        <w:t>4</w:t>
      </w:r>
      <w:r>
        <w:t>]</w:t>
      </w:r>
      <w:r>
        <w:tab/>
      </w:r>
      <w:r w:rsidR="00ED5E52">
        <w:t>The Applicant launched the present application on the basis that there are reasonable prospects of success on appeal as envisaged by section 17(1)(a)(i) of the Superior Courts Act. Alternatively, that the legal question is of sufficient public importance to require consideration by the Supreme Court of Appeal as envisaged in section 17(1)(a)(ii) of the Superior Courts Act.</w:t>
      </w:r>
    </w:p>
    <w:p w:rsidR="00ED5E52" w:rsidRPr="00ED5E52" w:rsidRDefault="008054B2" w:rsidP="00ED5E52">
      <w:pPr>
        <w:spacing w:after="476" w:line="488" w:lineRule="auto"/>
        <w:ind w:left="0" w:firstLine="0"/>
        <w:rPr>
          <w:szCs w:val="24"/>
        </w:rPr>
      </w:pPr>
      <w:r>
        <w:t>[</w:t>
      </w:r>
      <w:r w:rsidR="007A0527">
        <w:t>5</w:t>
      </w:r>
      <w:r>
        <w:t>]</w:t>
      </w:r>
      <w:r>
        <w:tab/>
      </w:r>
      <w:r w:rsidR="00ED5E52">
        <w:t xml:space="preserve">The proper approach to whether leave to appeal should be granted under the Superior </w:t>
      </w:r>
      <w:r w:rsidR="00ED5E52" w:rsidRPr="00ED5E52">
        <w:rPr>
          <w:szCs w:val="24"/>
        </w:rPr>
        <w:t xml:space="preserve">Courts Act, has been explained by the Supreme Court of Appeal in </w:t>
      </w:r>
      <w:r w:rsidR="00ED5E52" w:rsidRPr="00ED5E52">
        <w:rPr>
          <w:i/>
        </w:rPr>
        <w:t>Mkhitha</w:t>
      </w:r>
      <w:r w:rsidR="00ED5E52">
        <w:rPr>
          <w:i/>
          <w:szCs w:val="24"/>
        </w:rPr>
        <w:t>,</w:t>
      </w:r>
      <w:r w:rsidR="00ED5E52">
        <w:rPr>
          <w:rStyle w:val="FootnoteReference"/>
          <w:i/>
          <w:szCs w:val="24"/>
        </w:rPr>
        <w:footnoteReference w:id="3"/>
      </w:r>
      <w:r w:rsidR="00ED5E52" w:rsidRPr="00ED5E52">
        <w:rPr>
          <w:szCs w:val="24"/>
        </w:rPr>
        <w:t xml:space="preserve"> as follows:</w:t>
      </w:r>
    </w:p>
    <w:p w:rsidR="00ED5E52" w:rsidRPr="00ED5E52" w:rsidRDefault="00ED5E52" w:rsidP="00ED5E52">
      <w:pPr>
        <w:spacing w:after="105" w:line="483" w:lineRule="auto"/>
        <w:ind w:firstLine="0"/>
        <w:rPr>
          <w:i/>
        </w:rPr>
      </w:pPr>
      <w:r>
        <w:rPr>
          <w:i/>
        </w:rPr>
        <w:t xml:space="preserve">“Once again it is necessary to say that leave to appeal, especially to this court, must not be granted unless there truly is a reasonable prospect of success. Section 17(1) of the Superior Courts Act 10 of </w:t>
      </w:r>
      <w:r w:rsidRPr="00ED5E52">
        <w:rPr>
          <w:i/>
        </w:rPr>
        <w:t xml:space="preserve">2013 makes it clear that leave to appeal </w:t>
      </w:r>
      <w:r w:rsidRPr="00ED5E52">
        <w:rPr>
          <w:i/>
          <w:u w:color="000000"/>
        </w:rPr>
        <w:t>may only be given where the</w:t>
      </w:r>
      <w:r w:rsidRPr="00ED5E52">
        <w:rPr>
          <w:i/>
        </w:rPr>
        <w:t xml:space="preserve"> </w:t>
      </w:r>
      <w:r w:rsidRPr="00ED5E52">
        <w:rPr>
          <w:i/>
          <w:u w:color="000000"/>
        </w:rPr>
        <w:t>judge concerned is of the opinion that the appeal would have a</w:t>
      </w:r>
      <w:r w:rsidRPr="00ED5E52">
        <w:rPr>
          <w:i/>
        </w:rPr>
        <w:t xml:space="preserve"> </w:t>
      </w:r>
      <w:r w:rsidRPr="00ED5E52">
        <w:rPr>
          <w:i/>
          <w:u w:color="000000"/>
        </w:rPr>
        <w:t>reasonable prospect of success</w:t>
      </w:r>
      <w:r w:rsidRPr="00ED5E52">
        <w:rPr>
          <w:i/>
        </w:rPr>
        <w:t>; or there is some other compelling</w:t>
      </w:r>
      <w:r>
        <w:rPr>
          <w:i/>
        </w:rPr>
        <w:t xml:space="preserve"> reason why it should be heard. </w:t>
      </w:r>
    </w:p>
    <w:p w:rsidR="00ED5E52" w:rsidRDefault="00ED5E52" w:rsidP="00ED5E52">
      <w:pPr>
        <w:spacing w:after="474" w:line="480" w:lineRule="auto"/>
        <w:ind w:right="-10" w:firstLine="0"/>
      </w:pPr>
      <w:r>
        <w:rPr>
          <w:i/>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t xml:space="preserve"> </w:t>
      </w:r>
    </w:p>
    <w:p w:rsidR="00A12757" w:rsidRDefault="008054B2" w:rsidP="00A12757">
      <w:pPr>
        <w:spacing w:after="475"/>
        <w:ind w:left="0" w:firstLine="0"/>
      </w:pPr>
      <w:r>
        <w:lastRenderedPageBreak/>
        <w:t>[</w:t>
      </w:r>
      <w:r w:rsidR="007A0527">
        <w:t>6</w:t>
      </w:r>
      <w:r>
        <w:t>]</w:t>
      </w:r>
      <w:r>
        <w:tab/>
      </w:r>
      <w:r w:rsidR="00ED5E52">
        <w:t>As will appear clearly hereunder, it is this Court’s opinion that the Applicant has failed to convince this Court on proper grounds that there is a reasonable prospect or a realistic chance of success on appeal, in this matter.</w:t>
      </w:r>
    </w:p>
    <w:p w:rsidR="00ED5E52" w:rsidRDefault="008054B2" w:rsidP="00ED5E52">
      <w:pPr>
        <w:spacing w:after="475"/>
        <w:ind w:left="0" w:firstLine="0"/>
      </w:pPr>
      <w:r>
        <w:t>[</w:t>
      </w:r>
      <w:r w:rsidR="007A0527">
        <w:t>7</w:t>
      </w:r>
      <w:r>
        <w:t>]</w:t>
      </w:r>
      <w:r>
        <w:tab/>
      </w:r>
      <w:r w:rsidR="00ED5E52">
        <w:t xml:space="preserve">The Applicant seeks to appeal the judgment of this Court on the basis that the Court erred in fact and/or law on, effectively, two grounds.  First, that the existence of a </w:t>
      </w:r>
      <w:r w:rsidR="00ED5E52" w:rsidRPr="00937879">
        <w:rPr>
          <w:i/>
        </w:rPr>
        <w:t>lis</w:t>
      </w:r>
      <w:r w:rsidR="00ED5E52">
        <w:t xml:space="preserve"> between the parties is not a prerequisite for the Court to exercise its discretion under section 21(1)(c) of the Superior Courts Act.  Second, that the Court erred in finding that the parties are agreed that an </w:t>
      </w:r>
      <w:r w:rsidR="00ED5E52" w:rsidRPr="00937879">
        <w:rPr>
          <w:i/>
        </w:rPr>
        <w:t>ex parte</w:t>
      </w:r>
      <w:r w:rsidR="00ED5E52">
        <w:t xml:space="preserve"> application has to be justified by the facts of each case.</w:t>
      </w:r>
    </w:p>
    <w:p w:rsidR="00ED5E52" w:rsidRDefault="008054B2" w:rsidP="00ED5E52">
      <w:pPr>
        <w:spacing w:after="475"/>
        <w:ind w:left="0" w:firstLine="0"/>
      </w:pPr>
      <w:r>
        <w:t>[</w:t>
      </w:r>
      <w:r w:rsidR="007A0527">
        <w:t>8</w:t>
      </w:r>
      <w:r>
        <w:t>]</w:t>
      </w:r>
      <w:r>
        <w:tab/>
      </w:r>
      <w:r w:rsidR="00ED5E52">
        <w:t xml:space="preserve">The Applicant’s argument that this Court was of the view that a suit for declaratory relief may only be entertained when there is a </w:t>
      </w:r>
      <w:r w:rsidR="00ED5E52" w:rsidRPr="00980F5E">
        <w:rPr>
          <w:i/>
        </w:rPr>
        <w:t>lis</w:t>
      </w:r>
      <w:r w:rsidR="00ED5E52">
        <w:t xml:space="preserve"> between the parties is indicative that the Applicant misconstrued the reasoning of th</w:t>
      </w:r>
      <w:r w:rsidR="00DA43DC">
        <w:t>is</w:t>
      </w:r>
      <w:r w:rsidR="00ED5E52">
        <w:t xml:space="preserve"> Court when it decided not to exercise its discretion in terms of section 21(1)(c) of the Superior Courts Act. </w:t>
      </w:r>
    </w:p>
    <w:p w:rsidR="00ED5E52" w:rsidRDefault="008054B2" w:rsidP="00ED5E52">
      <w:pPr>
        <w:spacing w:after="475"/>
        <w:ind w:left="0" w:firstLine="0"/>
      </w:pPr>
      <w:r>
        <w:t>[</w:t>
      </w:r>
      <w:r w:rsidR="007A0527">
        <w:t>9</w:t>
      </w:r>
      <w:r>
        <w:t>]</w:t>
      </w:r>
      <w:r>
        <w:tab/>
      </w:r>
      <w:r w:rsidR="00ED5E52">
        <w:t xml:space="preserve">The finding of this Court in this regard was that </w:t>
      </w:r>
      <w:r w:rsidR="00ED5E52">
        <w:rPr>
          <w:i/>
        </w:rPr>
        <w:t xml:space="preserve">‘[i]n the exercise of its discretion, this Court declines to deal with this matter because </w:t>
      </w:r>
      <w:r w:rsidR="00ED5E52" w:rsidRPr="00B443BF">
        <w:rPr>
          <w:i/>
          <w:u w:color="000000"/>
        </w:rPr>
        <w:t>there is no actual dispute</w:t>
      </w:r>
      <w:r w:rsidR="00ED5E52">
        <w:rPr>
          <w:i/>
        </w:rPr>
        <w:t xml:space="preserve"> as it has found’</w:t>
      </w:r>
      <w:r w:rsidR="00ED5E52">
        <w:t>.  In reaching this finding, this Court had already determined on the facts of the case (following the dispute raised by the A</w:t>
      </w:r>
      <w:r w:rsidR="00B443BF">
        <w:t xml:space="preserve">pplicant) that section 5(1) of </w:t>
      </w:r>
      <w:r w:rsidR="00ED5E52" w:rsidRPr="00A12757">
        <w:t>the FI Act</w:t>
      </w:r>
      <w:r w:rsidR="00B443BF">
        <w:t>,</w:t>
      </w:r>
      <w:r w:rsidR="00ED5E52">
        <w:t xml:space="preserve"> does not provide a blanket authorisation to bring an </w:t>
      </w:r>
      <w:r w:rsidR="00ED5E52">
        <w:rPr>
          <w:i/>
        </w:rPr>
        <w:t>ex parte</w:t>
      </w:r>
      <w:r w:rsidR="00ED5E52">
        <w:t xml:space="preserve"> application. As such, this Court reached the decision not to exercise its discretion in favour of the Applicant having already made a finding that section </w:t>
      </w:r>
      <w:r w:rsidR="00ED5E52">
        <w:lastRenderedPageBreak/>
        <w:t xml:space="preserve">5(1) of the FI Act, was not in conflict with the Constitution and thus, section 172(1) of the Constitution would not come into play. </w:t>
      </w:r>
    </w:p>
    <w:p w:rsidR="00ED5E52" w:rsidRDefault="008054B2" w:rsidP="00ED5E52">
      <w:pPr>
        <w:spacing w:after="475"/>
        <w:ind w:left="0" w:firstLine="0"/>
      </w:pPr>
      <w:r>
        <w:t>[</w:t>
      </w:r>
      <w:r w:rsidR="007A0527">
        <w:t>10</w:t>
      </w:r>
      <w:r>
        <w:t>]</w:t>
      </w:r>
      <w:r>
        <w:tab/>
      </w:r>
      <w:r w:rsidR="00ED5E52">
        <w:t>It is indeed s</w:t>
      </w:r>
      <w:r w:rsidR="007D61C7">
        <w:t>o that in the relief sought, this</w:t>
      </w:r>
      <w:r w:rsidR="00ED5E52">
        <w:t xml:space="preserve"> </w:t>
      </w:r>
      <w:r w:rsidR="007D61C7">
        <w:t>C</w:t>
      </w:r>
      <w:r w:rsidR="00ED5E52">
        <w:t xml:space="preserve">ourt was approached to determine the legality/constitutionality of section 5(1) of the FI Act. It is, also, correct that the Court as the sole arbitrator of legality is obliged in terms of section 172(1)(a) of the Constitution to declare unconstitutional conduct invalid and exercise a remedial discretion. However, because of the language employed by section 5(1) of the FI Act, which states that the </w:t>
      </w:r>
      <w:r w:rsidR="00ED5E52" w:rsidRPr="00EF4878">
        <w:rPr>
          <w:i/>
        </w:rPr>
        <w:t>ex</w:t>
      </w:r>
      <w:r w:rsidR="00ED5E52">
        <w:t xml:space="preserve"> </w:t>
      </w:r>
      <w:r w:rsidR="00ED5E52" w:rsidRPr="00EF4878">
        <w:rPr>
          <w:i/>
        </w:rPr>
        <w:t>parte</w:t>
      </w:r>
      <w:r w:rsidR="00ED5E52">
        <w:t xml:space="preserve"> application must be on good cause, this Court ruled that the said words precludes the blanket authorisation to bring </w:t>
      </w:r>
      <w:r w:rsidR="00ED5E52" w:rsidRPr="00EF4878">
        <w:rPr>
          <w:i/>
        </w:rPr>
        <w:t>ex parte</w:t>
      </w:r>
      <w:r w:rsidR="00DA43DC">
        <w:t xml:space="preserve"> application.  It,</w:t>
      </w:r>
      <w:r w:rsidR="00ED5E52">
        <w:t xml:space="preserve"> in that sense, found no conduct of invalidity that would have enjoined it to invoke the provisions of section 172(1) of the Constitution.</w:t>
      </w:r>
    </w:p>
    <w:p w:rsidR="00ED5E52" w:rsidRDefault="008054B2" w:rsidP="00ED5E52">
      <w:pPr>
        <w:spacing w:after="818"/>
        <w:ind w:left="0" w:firstLine="0"/>
      </w:pPr>
      <w:r>
        <w:rPr>
          <w:sz w:val="22"/>
        </w:rPr>
        <w:t>[</w:t>
      </w:r>
      <w:r w:rsidR="007A0527">
        <w:rPr>
          <w:sz w:val="22"/>
        </w:rPr>
        <w:t>11</w:t>
      </w:r>
      <w:r>
        <w:rPr>
          <w:sz w:val="22"/>
        </w:rPr>
        <w:t>]</w:t>
      </w:r>
      <w:r>
        <w:rPr>
          <w:sz w:val="22"/>
        </w:rPr>
        <w:tab/>
      </w:r>
      <w:r w:rsidR="00ED5E52">
        <w:rPr>
          <w:sz w:val="22"/>
        </w:rPr>
        <w:t>It is common cause that t</w:t>
      </w:r>
      <w:r w:rsidR="00ED5E52">
        <w:t xml:space="preserve">he </w:t>
      </w:r>
      <w:r w:rsidR="00ED5E52">
        <w:rPr>
          <w:sz w:val="22"/>
        </w:rPr>
        <w:t xml:space="preserve">Respondents’ launched a </w:t>
      </w:r>
      <w:r w:rsidR="00ED5E52">
        <w:t>curatorship application which was subsequently abandoned</w:t>
      </w:r>
      <w:r w:rsidR="00ED5E52">
        <w:rPr>
          <w:sz w:val="22"/>
        </w:rPr>
        <w:t>. It is, in that regard, that this Court held that</w:t>
      </w:r>
      <w:r w:rsidR="00ED5E52">
        <w:t xml:space="preserve"> “</w:t>
      </w:r>
      <w:r w:rsidR="00ED5E52" w:rsidRPr="00ED5E52">
        <w:rPr>
          <w:i/>
        </w:rPr>
        <w:t>the ex parte</w:t>
      </w:r>
      <w:r w:rsidR="00ED5E52">
        <w:t xml:space="preserve"> </w:t>
      </w:r>
      <w:r w:rsidR="00ED5E52" w:rsidRPr="00ED5E52">
        <w:rPr>
          <w:i/>
        </w:rPr>
        <w:t>application that Polmed wanted to challenge has been withdrawn, as such, there is no existing dispute between the parties</w:t>
      </w:r>
      <w:r w:rsidR="00ED5E52">
        <w:t xml:space="preserve">.”  </w:t>
      </w:r>
    </w:p>
    <w:p w:rsidR="003F6F19" w:rsidRDefault="008054B2" w:rsidP="00ED5E52">
      <w:pPr>
        <w:spacing w:after="818"/>
        <w:ind w:left="-15" w:firstLine="0"/>
      </w:pPr>
      <w:r>
        <w:t>[1</w:t>
      </w:r>
      <w:r w:rsidR="007A0527">
        <w:t>2</w:t>
      </w:r>
      <w:r>
        <w:t>]</w:t>
      </w:r>
      <w:r>
        <w:tab/>
      </w:r>
      <w:r w:rsidR="00ED5E52">
        <w:t xml:space="preserve">Additionally, the Applicant had contended that when the First Respondent approached the Court on </w:t>
      </w:r>
      <w:r w:rsidR="00ED5E52">
        <w:rPr>
          <w:i/>
        </w:rPr>
        <w:t>ex parte</w:t>
      </w:r>
      <w:r w:rsidR="00ED5E52">
        <w:t xml:space="preserve"> basis, same has to be justified on the facts warranting an </w:t>
      </w:r>
      <w:r w:rsidR="00ED5E52">
        <w:rPr>
          <w:i/>
        </w:rPr>
        <w:t>ex parte</w:t>
      </w:r>
      <w:r w:rsidR="00ED5E52">
        <w:t xml:space="preserve"> approach. The First and Second Respondents agreed with this contention, and it was submitted on their behalf that there was no actual controversy or dispute between the parties.</w:t>
      </w:r>
      <w:r w:rsidR="00ED5E52">
        <w:rPr>
          <w:sz w:val="22"/>
        </w:rPr>
        <w:t xml:space="preserve"> </w:t>
      </w:r>
      <w:r w:rsidR="00ED5E52">
        <w:t>T</w:t>
      </w:r>
      <w:r w:rsidR="003F6F19">
        <w:t>his submission was upheld by this</w:t>
      </w:r>
      <w:r w:rsidR="00ED5E52">
        <w:t xml:space="preserve"> </w:t>
      </w:r>
      <w:r w:rsidR="00ED5E52">
        <w:lastRenderedPageBreak/>
        <w:t>Court</w:t>
      </w:r>
      <w:r w:rsidR="00ED5E52">
        <w:rPr>
          <w:sz w:val="22"/>
        </w:rPr>
        <w:t xml:space="preserve"> </w:t>
      </w:r>
      <w:r w:rsidR="00ED5E52">
        <w:t xml:space="preserve">on account of the fact that the parties were not at variance but instead were in agreement that an </w:t>
      </w:r>
      <w:r w:rsidR="00ED5E52">
        <w:rPr>
          <w:i/>
        </w:rPr>
        <w:t>ex parte</w:t>
      </w:r>
      <w:r w:rsidR="00ED5E52">
        <w:t xml:space="preserve"> application has to be justified by the facts of each case.</w:t>
      </w:r>
      <w:r w:rsidR="003F6F19">
        <w:t xml:space="preserve"> </w:t>
      </w:r>
    </w:p>
    <w:p w:rsidR="00ED5E52" w:rsidRDefault="007A0527" w:rsidP="00ED5E52">
      <w:pPr>
        <w:spacing w:after="818"/>
        <w:ind w:left="-15" w:firstLine="0"/>
      </w:pPr>
      <w:r>
        <w:t>[13]</w:t>
      </w:r>
      <w:r>
        <w:tab/>
      </w:r>
      <w:r w:rsidR="003F6F19">
        <w:t xml:space="preserve">Even if, as the Applicant seeks to argue, the First and Second Respondents seemed to have been at variance, in their answering affidavit, with what the Applicant contended for in its founding affidavit, however, in oral argument, it was conceded on their behalf that it is correct that an </w:t>
      </w:r>
      <w:r w:rsidR="003F6F19">
        <w:rPr>
          <w:i/>
        </w:rPr>
        <w:t>ex parte</w:t>
      </w:r>
      <w:r w:rsidR="003F6F19">
        <w:t xml:space="preserve"> application has to be justified by the facts of each case. It is on this basis that this Court concluded that there was agreement between the Applicant and the First and Second Respondents, on this point, and consequently</w:t>
      </w:r>
      <w:r w:rsidR="000126B3">
        <w:t>, that there was</w:t>
      </w:r>
      <w:r w:rsidR="003F6F19">
        <w:t xml:space="preserve"> no </w:t>
      </w:r>
      <w:r w:rsidR="000126B3">
        <w:t>actual</w:t>
      </w:r>
      <w:r w:rsidR="003F6F19">
        <w:t xml:space="preserve"> dispute between them.</w:t>
      </w:r>
    </w:p>
    <w:p w:rsidR="000126B3" w:rsidRDefault="007A0527" w:rsidP="007A0527">
      <w:pPr>
        <w:spacing w:after="818" w:line="488" w:lineRule="auto"/>
        <w:ind w:left="-15" w:firstLine="0"/>
      </w:pPr>
      <w:r>
        <w:t>[14]</w:t>
      </w:r>
      <w:r>
        <w:tab/>
      </w:r>
      <w:r w:rsidR="000126B3">
        <w:t xml:space="preserve">Moreover, </w:t>
      </w:r>
      <w:r w:rsidR="00891F92">
        <w:t xml:space="preserve">on the basis of the contention by the Applicant that section 21(1)(c) of the Superior Courts Act authorises the Court to grant a declaratory order in respect of contingent rights, </w:t>
      </w:r>
      <w:r w:rsidR="000126B3">
        <w:t xml:space="preserve">this Court made a finding that </w:t>
      </w:r>
      <w:r w:rsidR="000126B3" w:rsidRPr="00891F92">
        <w:rPr>
          <w:i/>
        </w:rPr>
        <w:t>‘[t]here is no evidence on record that indicates a contingent right that requires the granting of a declaratory order by this Court</w:t>
      </w:r>
      <w:r w:rsidR="000126B3">
        <w:t>’.</w:t>
      </w:r>
      <w:r w:rsidR="000126B3" w:rsidRPr="00891F92">
        <w:rPr>
          <w:vertAlign w:val="superscript"/>
        </w:rPr>
        <w:t xml:space="preserve"> </w:t>
      </w:r>
      <w:r w:rsidR="00891F92" w:rsidRPr="00891F92">
        <w:rPr>
          <w:vertAlign w:val="superscript"/>
        </w:rPr>
        <w:t xml:space="preserve"> </w:t>
      </w:r>
    </w:p>
    <w:p w:rsidR="00ED5E52" w:rsidRDefault="008054B2" w:rsidP="00ED5E52">
      <w:pPr>
        <w:spacing w:after="818"/>
        <w:ind w:left="-15" w:firstLine="0"/>
      </w:pPr>
      <w:r>
        <w:t>[1</w:t>
      </w:r>
      <w:r w:rsidR="007A0527">
        <w:t>5</w:t>
      </w:r>
      <w:r>
        <w:t>]</w:t>
      </w:r>
      <w:r>
        <w:tab/>
      </w:r>
      <w:r w:rsidR="00ED5E52">
        <w:t xml:space="preserve">Having found section 5(1) of the FI Act to be valid, and there being no actual </w:t>
      </w:r>
      <w:r w:rsidR="000126B3">
        <w:t>dispute between the parties</w:t>
      </w:r>
      <w:r w:rsidR="00B443BF">
        <w:t xml:space="preserve"> and/or evidence of</w:t>
      </w:r>
      <w:r w:rsidR="00891F92">
        <w:t xml:space="preserve"> </w:t>
      </w:r>
      <w:r w:rsidR="00B443BF">
        <w:t>future/</w:t>
      </w:r>
      <w:r w:rsidR="00891F92">
        <w:t>contingent right on record</w:t>
      </w:r>
      <w:r w:rsidR="000126B3">
        <w:t>, this</w:t>
      </w:r>
      <w:r w:rsidR="00ED5E52">
        <w:t xml:space="preserve"> Court declined to deal with the matter as it regarded the issue before it as hypothetical, abstract and academic.</w:t>
      </w:r>
    </w:p>
    <w:p w:rsidR="00ED5E52" w:rsidRDefault="008054B2" w:rsidP="00ED5E52">
      <w:pPr>
        <w:ind w:left="0" w:firstLine="0"/>
      </w:pPr>
      <w:r>
        <w:lastRenderedPageBreak/>
        <w:t>[1</w:t>
      </w:r>
      <w:r w:rsidR="007A0527">
        <w:t>6</w:t>
      </w:r>
      <w:r>
        <w:t>]</w:t>
      </w:r>
      <w:r>
        <w:tab/>
      </w:r>
      <w:r w:rsidR="00ED5E52">
        <w:t>The submission by the Applicant that the appeal involves a question of law of significant import</w:t>
      </w:r>
      <w:r w:rsidR="00C41B2B">
        <w:t>ance</w:t>
      </w:r>
      <w:r w:rsidR="00ED5E52">
        <w:t>, is without merit. In fact, it was</w:t>
      </w:r>
      <w:r w:rsidR="000126B3">
        <w:t>, in the first place,</w:t>
      </w:r>
      <w:r w:rsidR="00ED5E52">
        <w:t xml:space="preserve"> inappropriate for the Applicant to come to Court for the confirmation of a legal question which, as </w:t>
      </w:r>
      <w:r w:rsidR="000126B3">
        <w:t>conceded</w:t>
      </w:r>
      <w:r w:rsidR="00ED5E52">
        <w:t xml:space="preserve"> by the </w:t>
      </w:r>
      <w:r w:rsidR="000126B3">
        <w:t xml:space="preserve">First and Second </w:t>
      </w:r>
      <w:r w:rsidR="00ED5E52">
        <w:t>Respondents, was common caus</w:t>
      </w:r>
      <w:r w:rsidR="000126B3">
        <w:t>e between the parties, which this</w:t>
      </w:r>
      <w:r w:rsidR="00ED5E52">
        <w:t xml:space="preserve"> Court</w:t>
      </w:r>
      <w:r w:rsidR="000126B3">
        <w:t>, eventually,</w:t>
      </w:r>
      <w:r w:rsidR="00ED5E52">
        <w:t xml:space="preserve"> found to be </w:t>
      </w:r>
      <w:r w:rsidR="000126B3">
        <w:t xml:space="preserve">indeed </w:t>
      </w:r>
      <w:r w:rsidR="00ED5E52">
        <w:t xml:space="preserve">common cause, as well.  </w:t>
      </w:r>
    </w:p>
    <w:p w:rsidR="00C41B2B" w:rsidRDefault="00C41B2B" w:rsidP="00ED5E52">
      <w:pPr>
        <w:ind w:left="0" w:firstLine="0"/>
      </w:pPr>
    </w:p>
    <w:p w:rsidR="00ED5E52" w:rsidRDefault="00C41B2B" w:rsidP="00ED5E52">
      <w:pPr>
        <w:spacing w:after="818"/>
        <w:ind w:left="-15" w:firstLine="0"/>
      </w:pPr>
      <w:r>
        <w:t>[1</w:t>
      </w:r>
      <w:r w:rsidR="007A0527">
        <w:t>7</w:t>
      </w:r>
      <w:r>
        <w:t>]</w:t>
      </w:r>
      <w:r>
        <w:tab/>
      </w:r>
      <w:r w:rsidR="00ED5E52">
        <w:t>Consequently, the application falls to be dismissed</w:t>
      </w:r>
      <w:r w:rsidR="007D61C7">
        <w:t xml:space="preserve"> with costs</w:t>
      </w:r>
      <w:r w:rsidR="00ED5E52">
        <w:t>.</w:t>
      </w:r>
    </w:p>
    <w:p w:rsidR="0056779C" w:rsidRPr="0056779C" w:rsidRDefault="0056779C" w:rsidP="0056779C">
      <w:pPr>
        <w:spacing w:after="160" w:line="360" w:lineRule="auto"/>
        <w:ind w:left="0" w:firstLine="0"/>
        <w:rPr>
          <w:rFonts w:eastAsiaTheme="minorHAnsi"/>
          <w:color w:val="242121"/>
          <w:szCs w:val="24"/>
          <w:shd w:val="clear" w:color="auto" w:fill="FFFFFF"/>
          <w:lang w:eastAsia="en-US"/>
        </w:rPr>
      </w:pPr>
    </w:p>
    <w:p w:rsidR="0056779C" w:rsidRPr="0056779C" w:rsidRDefault="0056779C" w:rsidP="0056779C">
      <w:pPr>
        <w:spacing w:after="0" w:line="259" w:lineRule="auto"/>
        <w:ind w:left="0" w:firstLine="720"/>
        <w:jc w:val="right"/>
        <w:rPr>
          <w:rFonts w:ascii="Segoe UI" w:eastAsiaTheme="minorHAnsi" w:hAnsi="Segoe UI" w:cs="Segoe UI"/>
          <w:color w:val="auto"/>
          <w:szCs w:val="24"/>
          <w:lang w:eastAsia="en-US"/>
        </w:rPr>
      </w:pPr>
      <w:r w:rsidRPr="0056779C">
        <w:rPr>
          <w:rFonts w:ascii="Segoe UI" w:eastAsiaTheme="minorHAnsi" w:hAnsi="Segoe UI" w:cs="Segoe UI"/>
          <w:szCs w:val="24"/>
          <w:lang w:eastAsia="en-US"/>
        </w:rPr>
        <w:t>_________</w:t>
      </w:r>
      <w:r w:rsidRPr="0056779C">
        <w:rPr>
          <w:rFonts w:ascii="Segoe UI" w:eastAsiaTheme="minorHAnsi" w:hAnsi="Segoe UI" w:cs="Segoe UI"/>
          <w:color w:val="auto"/>
          <w:szCs w:val="24"/>
          <w:lang w:eastAsia="en-US"/>
        </w:rPr>
        <w:t>_______________________</w:t>
      </w:r>
    </w:p>
    <w:p w:rsidR="0056779C" w:rsidRPr="0056779C" w:rsidRDefault="0056779C" w:rsidP="0056779C">
      <w:pPr>
        <w:spacing w:after="0" w:line="240" w:lineRule="auto"/>
        <w:ind w:left="0" w:firstLine="0"/>
        <w:jc w:val="right"/>
        <w:rPr>
          <w:rFonts w:ascii="Segoe UI" w:eastAsiaTheme="minorHAnsi" w:hAnsi="Segoe UI" w:cs="Segoe UI"/>
          <w:b/>
          <w:color w:val="auto"/>
          <w:szCs w:val="24"/>
          <w:lang w:eastAsia="en-US"/>
        </w:rPr>
      </w:pPr>
      <w:r w:rsidRPr="0056779C">
        <w:rPr>
          <w:rFonts w:ascii="Segoe UI" w:eastAsiaTheme="minorHAnsi" w:hAnsi="Segoe UI" w:cs="Segoe UI"/>
          <w:color w:val="auto"/>
          <w:szCs w:val="24"/>
          <w:lang w:eastAsia="en-US"/>
        </w:rPr>
        <w:tab/>
      </w:r>
      <w:r w:rsidRPr="0056779C">
        <w:rPr>
          <w:rFonts w:ascii="Segoe UI" w:eastAsiaTheme="minorHAnsi" w:hAnsi="Segoe UI" w:cs="Segoe UI"/>
          <w:color w:val="auto"/>
          <w:szCs w:val="24"/>
          <w:lang w:eastAsia="en-US"/>
        </w:rPr>
        <w:tab/>
      </w:r>
      <w:r w:rsidRPr="0056779C">
        <w:rPr>
          <w:rFonts w:ascii="Segoe UI" w:eastAsiaTheme="minorHAnsi" w:hAnsi="Segoe UI" w:cs="Segoe UI"/>
          <w:color w:val="auto"/>
          <w:szCs w:val="24"/>
          <w:lang w:eastAsia="en-US"/>
        </w:rPr>
        <w:tab/>
      </w:r>
      <w:r w:rsidRPr="0056779C">
        <w:rPr>
          <w:rFonts w:ascii="Segoe UI" w:eastAsiaTheme="minorHAnsi" w:hAnsi="Segoe UI" w:cs="Segoe UI"/>
          <w:color w:val="auto"/>
          <w:szCs w:val="24"/>
          <w:lang w:eastAsia="en-US"/>
        </w:rPr>
        <w:tab/>
      </w:r>
      <w:r w:rsidRPr="0056779C">
        <w:rPr>
          <w:rFonts w:ascii="Segoe UI" w:eastAsiaTheme="minorHAnsi" w:hAnsi="Segoe UI" w:cs="Segoe UI"/>
          <w:color w:val="auto"/>
          <w:szCs w:val="24"/>
          <w:lang w:eastAsia="en-US"/>
        </w:rPr>
        <w:tab/>
        <w:t xml:space="preserve"> </w:t>
      </w:r>
      <w:r w:rsidRPr="0056779C">
        <w:rPr>
          <w:rFonts w:ascii="Segoe UI" w:eastAsiaTheme="minorHAnsi" w:hAnsi="Segoe UI" w:cs="Segoe UI"/>
          <w:color w:val="auto"/>
          <w:szCs w:val="24"/>
          <w:lang w:eastAsia="en-US"/>
        </w:rPr>
        <w:tab/>
        <w:t xml:space="preserve">             </w:t>
      </w:r>
      <w:r w:rsidRPr="0056779C">
        <w:rPr>
          <w:rFonts w:ascii="Segoe UI" w:eastAsiaTheme="minorHAnsi" w:hAnsi="Segoe UI" w:cs="Segoe UI"/>
          <w:b/>
          <w:color w:val="auto"/>
          <w:szCs w:val="24"/>
          <w:lang w:eastAsia="en-US"/>
        </w:rPr>
        <w:t>E.M KUBUSHI</w:t>
      </w:r>
    </w:p>
    <w:p w:rsidR="0056779C" w:rsidRPr="0056779C" w:rsidRDefault="0056779C" w:rsidP="0056779C">
      <w:pPr>
        <w:spacing w:after="0" w:line="240" w:lineRule="auto"/>
        <w:ind w:left="0" w:firstLine="0"/>
        <w:jc w:val="right"/>
        <w:rPr>
          <w:rFonts w:ascii="Segoe UI" w:eastAsiaTheme="minorHAnsi" w:hAnsi="Segoe UI" w:cs="Segoe UI"/>
          <w:b/>
          <w:color w:val="auto"/>
          <w:szCs w:val="24"/>
          <w:lang w:eastAsia="en-US"/>
        </w:rPr>
      </w:pPr>
      <w:r w:rsidRPr="0056779C">
        <w:rPr>
          <w:rFonts w:ascii="Segoe UI" w:eastAsiaTheme="minorHAnsi" w:hAnsi="Segoe UI" w:cs="Segoe UI"/>
          <w:b/>
          <w:color w:val="auto"/>
          <w:szCs w:val="24"/>
          <w:lang w:eastAsia="en-US"/>
        </w:rPr>
        <w:tab/>
      </w:r>
      <w:r w:rsidRPr="0056779C">
        <w:rPr>
          <w:rFonts w:ascii="Segoe UI" w:eastAsiaTheme="minorHAnsi" w:hAnsi="Segoe UI" w:cs="Segoe UI"/>
          <w:b/>
          <w:color w:val="auto"/>
          <w:szCs w:val="24"/>
          <w:lang w:eastAsia="en-US"/>
        </w:rPr>
        <w:tab/>
      </w:r>
      <w:r w:rsidRPr="0056779C">
        <w:rPr>
          <w:rFonts w:ascii="Segoe UI" w:eastAsiaTheme="minorHAnsi" w:hAnsi="Segoe UI" w:cs="Segoe UI"/>
          <w:b/>
          <w:color w:val="auto"/>
          <w:szCs w:val="24"/>
          <w:lang w:eastAsia="en-US"/>
        </w:rPr>
        <w:tab/>
      </w:r>
      <w:r w:rsidRPr="0056779C">
        <w:rPr>
          <w:rFonts w:ascii="Segoe UI" w:eastAsiaTheme="minorHAnsi" w:hAnsi="Segoe UI" w:cs="Segoe UI"/>
          <w:b/>
          <w:color w:val="auto"/>
          <w:szCs w:val="24"/>
          <w:lang w:eastAsia="en-US"/>
        </w:rPr>
        <w:tab/>
      </w:r>
      <w:r w:rsidRPr="0056779C">
        <w:rPr>
          <w:rFonts w:ascii="Segoe UI" w:eastAsiaTheme="minorHAnsi" w:hAnsi="Segoe UI" w:cs="Segoe UI"/>
          <w:b/>
          <w:color w:val="auto"/>
          <w:szCs w:val="24"/>
          <w:lang w:eastAsia="en-US"/>
        </w:rPr>
        <w:tab/>
        <w:t xml:space="preserve"> </w:t>
      </w:r>
      <w:r w:rsidRPr="0056779C">
        <w:rPr>
          <w:rFonts w:ascii="Segoe UI" w:eastAsiaTheme="minorHAnsi" w:hAnsi="Segoe UI" w:cs="Segoe UI"/>
          <w:b/>
          <w:color w:val="auto"/>
          <w:szCs w:val="24"/>
          <w:lang w:eastAsia="en-US"/>
        </w:rPr>
        <w:tab/>
        <w:t xml:space="preserve">           JUDGE OF THE HIGH COURT</w:t>
      </w:r>
    </w:p>
    <w:p w:rsidR="0056779C" w:rsidRPr="0056779C" w:rsidRDefault="0056779C" w:rsidP="0056779C">
      <w:pPr>
        <w:spacing w:after="160" w:line="240" w:lineRule="auto"/>
        <w:ind w:left="0" w:firstLine="0"/>
        <w:jc w:val="right"/>
        <w:rPr>
          <w:rFonts w:ascii="Segoe UI" w:eastAsiaTheme="minorHAnsi" w:hAnsi="Segoe UI" w:cs="Segoe UI"/>
          <w:b/>
          <w:color w:val="auto"/>
          <w:szCs w:val="24"/>
          <w:lang w:eastAsia="en-US"/>
        </w:rPr>
      </w:pPr>
      <w:r w:rsidRPr="0056779C">
        <w:rPr>
          <w:rFonts w:ascii="Segoe UI" w:eastAsiaTheme="minorHAnsi" w:hAnsi="Segoe UI" w:cs="Segoe UI"/>
          <w:b/>
          <w:color w:val="auto"/>
          <w:szCs w:val="24"/>
          <w:lang w:eastAsia="en-US"/>
        </w:rPr>
        <w:t>GAUTENG DIVISION, PRETORIA</w:t>
      </w:r>
    </w:p>
    <w:p w:rsidR="0056779C" w:rsidRPr="0056779C" w:rsidRDefault="0056779C" w:rsidP="0056779C">
      <w:pPr>
        <w:spacing w:after="160" w:line="240" w:lineRule="auto"/>
        <w:ind w:left="0" w:firstLine="0"/>
        <w:rPr>
          <w:rFonts w:eastAsiaTheme="minorHAnsi"/>
          <w:szCs w:val="24"/>
          <w:lang w:eastAsia="en-US"/>
        </w:rPr>
      </w:pPr>
      <w:r w:rsidRPr="0056779C">
        <w:rPr>
          <w:rFonts w:eastAsiaTheme="minorHAnsi"/>
          <w:b/>
          <w:szCs w:val="24"/>
          <w:u w:val="single"/>
          <w:lang w:eastAsia="en-US"/>
        </w:rPr>
        <w:t>APPEARANCES</w:t>
      </w:r>
      <w:r w:rsidRPr="0056779C">
        <w:rPr>
          <w:rFonts w:eastAsiaTheme="minorHAnsi"/>
          <w:szCs w:val="24"/>
          <w:lang w:eastAsia="en-US"/>
        </w:rPr>
        <w:t>:</w:t>
      </w:r>
    </w:p>
    <w:p w:rsidR="0056779C" w:rsidRPr="0056779C" w:rsidRDefault="0056779C" w:rsidP="0056779C">
      <w:pPr>
        <w:spacing w:after="160" w:line="240" w:lineRule="auto"/>
        <w:ind w:left="0" w:firstLine="0"/>
        <w:rPr>
          <w:rFonts w:eastAsiaTheme="minorHAnsi"/>
          <w:szCs w:val="24"/>
          <w:lang w:eastAsia="en-US"/>
        </w:rPr>
      </w:pPr>
    </w:p>
    <w:p w:rsidR="00D551AF" w:rsidRPr="00D551AF" w:rsidRDefault="00D551AF" w:rsidP="00D551AF">
      <w:pPr>
        <w:spacing w:after="0" w:line="360" w:lineRule="auto"/>
        <w:ind w:left="0" w:firstLine="0"/>
        <w:rPr>
          <w:rFonts w:eastAsiaTheme="minorHAnsi"/>
          <w:color w:val="auto"/>
          <w:szCs w:val="24"/>
          <w:lang w:eastAsia="en-US"/>
        </w:rPr>
      </w:pPr>
      <w:r w:rsidRPr="00D551AF">
        <w:rPr>
          <w:rFonts w:eastAsiaTheme="minorHAnsi"/>
          <w:color w:val="auto"/>
          <w:szCs w:val="24"/>
          <w:lang w:eastAsia="en-US"/>
        </w:rPr>
        <w:t>APPLICANT’S ATTORNEYS:</w:t>
      </w:r>
      <w:r w:rsidRPr="00D551AF">
        <w:rPr>
          <w:rFonts w:eastAsiaTheme="minorHAnsi"/>
          <w:color w:val="auto"/>
          <w:szCs w:val="24"/>
          <w:lang w:eastAsia="en-US"/>
        </w:rPr>
        <w:tab/>
      </w:r>
      <w:r w:rsidRPr="00D551AF">
        <w:rPr>
          <w:rFonts w:eastAsiaTheme="minorHAnsi"/>
          <w:color w:val="auto"/>
          <w:szCs w:val="24"/>
          <w:lang w:eastAsia="en-US"/>
        </w:rPr>
        <w:tab/>
        <w:t xml:space="preserve">          MALULEKE INCORPORATED</w:t>
      </w:r>
    </w:p>
    <w:p w:rsidR="00D551AF" w:rsidRPr="00D551AF" w:rsidRDefault="00D551AF" w:rsidP="00D551AF">
      <w:pPr>
        <w:spacing w:after="0" w:line="360" w:lineRule="auto"/>
        <w:ind w:left="0" w:firstLine="0"/>
        <w:rPr>
          <w:rFonts w:eastAsiaTheme="minorHAnsi"/>
          <w:szCs w:val="24"/>
          <w:lang w:eastAsia="en-US"/>
        </w:rPr>
      </w:pPr>
      <w:r w:rsidRPr="00D551AF">
        <w:rPr>
          <w:rFonts w:eastAsiaTheme="minorHAnsi"/>
          <w:color w:val="auto"/>
          <w:szCs w:val="24"/>
          <w:lang w:eastAsia="en-US"/>
        </w:rPr>
        <w:t>APPLICANT’S COUNSEL:</w:t>
      </w:r>
      <w:r w:rsidRPr="00D551AF">
        <w:rPr>
          <w:rFonts w:eastAsiaTheme="minorHAnsi"/>
          <w:color w:val="auto"/>
          <w:szCs w:val="24"/>
          <w:lang w:eastAsia="en-US"/>
        </w:rPr>
        <w:tab/>
        <w:t xml:space="preserve">          </w:t>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t xml:space="preserve"> </w:t>
      </w:r>
      <w:r w:rsidRPr="00D551AF">
        <w:rPr>
          <w:rFonts w:eastAsiaTheme="minorHAnsi"/>
          <w:szCs w:val="24"/>
          <w:lang w:eastAsia="en-US"/>
        </w:rPr>
        <w:t>ADV EC LABUSCHAGNE SC</w:t>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t xml:space="preserve">                </w:t>
      </w:r>
      <w:r w:rsidRPr="00D551AF">
        <w:rPr>
          <w:rFonts w:eastAsiaTheme="minorHAnsi"/>
          <w:szCs w:val="24"/>
          <w:lang w:eastAsia="en-US"/>
        </w:rPr>
        <w:t>ADV V MABUZA SC</w:t>
      </w:r>
    </w:p>
    <w:p w:rsidR="00D551AF" w:rsidRPr="00D551AF" w:rsidRDefault="00D551AF" w:rsidP="00D551AF">
      <w:pPr>
        <w:tabs>
          <w:tab w:val="left" w:pos="5670"/>
        </w:tabs>
        <w:spacing w:after="0" w:line="360" w:lineRule="auto"/>
        <w:ind w:left="0" w:firstLine="0"/>
        <w:rPr>
          <w:rFonts w:eastAsiaTheme="minorHAnsi"/>
          <w:color w:val="auto"/>
          <w:sz w:val="22"/>
          <w:lang w:eastAsia="en-US"/>
        </w:rPr>
      </w:pPr>
    </w:p>
    <w:p w:rsidR="00D551AF" w:rsidRPr="00D551AF" w:rsidRDefault="00D551AF" w:rsidP="00D551AF">
      <w:pPr>
        <w:tabs>
          <w:tab w:val="left" w:pos="5670"/>
        </w:tabs>
        <w:spacing w:after="0" w:line="360" w:lineRule="auto"/>
        <w:ind w:left="0" w:firstLine="0"/>
        <w:rPr>
          <w:rFonts w:eastAsiaTheme="minorHAnsi"/>
          <w:color w:val="auto"/>
          <w:szCs w:val="24"/>
          <w:lang w:eastAsia="en-US"/>
        </w:rPr>
      </w:pPr>
      <w:r w:rsidRPr="00D551AF">
        <w:rPr>
          <w:rFonts w:eastAsiaTheme="minorHAnsi"/>
          <w:color w:val="auto"/>
          <w:sz w:val="22"/>
          <w:lang w:eastAsia="en-US"/>
        </w:rPr>
        <w:t>FIRST &amp; SECOND RESPONDENTS’ ATTORNEYS</w:t>
      </w:r>
      <w:r w:rsidRPr="00D551AF">
        <w:rPr>
          <w:rFonts w:eastAsiaTheme="minorHAnsi"/>
          <w:color w:val="auto"/>
          <w:szCs w:val="24"/>
          <w:lang w:eastAsia="en-US"/>
        </w:rPr>
        <w:t xml:space="preserve">:       Y EBRAHIM ATTORNEYS </w:t>
      </w:r>
    </w:p>
    <w:p w:rsidR="00D551AF" w:rsidRPr="00D551AF" w:rsidRDefault="00D551AF" w:rsidP="00D551AF">
      <w:pPr>
        <w:spacing w:after="0" w:line="360" w:lineRule="auto"/>
        <w:ind w:left="0" w:firstLine="0"/>
        <w:rPr>
          <w:rFonts w:eastAsiaTheme="minorHAnsi"/>
          <w:color w:val="auto"/>
          <w:szCs w:val="24"/>
          <w:lang w:eastAsia="en-US"/>
        </w:rPr>
      </w:pPr>
      <w:r w:rsidRPr="00D551AF">
        <w:rPr>
          <w:rFonts w:eastAsiaTheme="minorHAnsi"/>
          <w:color w:val="auto"/>
          <w:szCs w:val="24"/>
          <w:lang w:eastAsia="en-US"/>
        </w:rPr>
        <w:t xml:space="preserve">FIRST &amp; SECOND RESPONDENT COUNSEL:                  ADV </w:t>
      </w:r>
      <w:r w:rsidRPr="00D551AF">
        <w:rPr>
          <w:rFonts w:eastAsiaTheme="minorHAnsi"/>
          <w:szCs w:val="24"/>
          <w:lang w:eastAsia="en-US"/>
        </w:rPr>
        <w:t>J J BRETT SC</w:t>
      </w:r>
    </w:p>
    <w:p w:rsidR="00D551AF" w:rsidRPr="00D551AF" w:rsidRDefault="00D551AF" w:rsidP="00D551AF">
      <w:pPr>
        <w:spacing w:after="0" w:line="360" w:lineRule="auto"/>
        <w:ind w:left="0" w:firstLine="0"/>
        <w:rPr>
          <w:rFonts w:eastAsiaTheme="minorHAnsi"/>
          <w:color w:val="auto"/>
          <w:szCs w:val="24"/>
          <w:lang w:eastAsia="en-US"/>
        </w:rPr>
      </w:pP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r>
      <w:r w:rsidRPr="00D551AF">
        <w:rPr>
          <w:rFonts w:eastAsiaTheme="minorHAnsi"/>
          <w:color w:val="auto"/>
          <w:szCs w:val="24"/>
          <w:lang w:eastAsia="en-US"/>
        </w:rPr>
        <w:tab/>
        <w:t xml:space="preserve">                ADV </w:t>
      </w:r>
      <w:r w:rsidRPr="00D551AF">
        <w:rPr>
          <w:rFonts w:eastAsiaTheme="minorHAnsi"/>
          <w:szCs w:val="24"/>
          <w:lang w:eastAsia="en-US"/>
        </w:rPr>
        <w:t>DE MATLATLE</w:t>
      </w:r>
    </w:p>
    <w:p w:rsidR="00D551AF" w:rsidRPr="00D551AF" w:rsidRDefault="00D551AF" w:rsidP="00D551AF">
      <w:pPr>
        <w:tabs>
          <w:tab w:val="left" w:pos="5670"/>
        </w:tabs>
        <w:spacing w:after="0" w:line="360" w:lineRule="auto"/>
        <w:ind w:left="5670" w:hanging="5670"/>
        <w:rPr>
          <w:rFonts w:eastAsiaTheme="minorHAnsi"/>
          <w:color w:val="auto"/>
          <w:szCs w:val="24"/>
          <w:lang w:eastAsia="en-US"/>
        </w:rPr>
      </w:pPr>
    </w:p>
    <w:p w:rsidR="00D551AF" w:rsidRPr="00D551AF" w:rsidRDefault="00D551AF" w:rsidP="00D551AF">
      <w:pPr>
        <w:tabs>
          <w:tab w:val="left" w:pos="5670"/>
        </w:tabs>
        <w:spacing w:after="0" w:line="360" w:lineRule="auto"/>
        <w:ind w:left="5670" w:hanging="5670"/>
        <w:rPr>
          <w:rFonts w:eastAsiaTheme="minorHAnsi"/>
          <w:color w:val="auto"/>
          <w:szCs w:val="24"/>
          <w:lang w:eastAsia="en-US"/>
        </w:rPr>
      </w:pPr>
      <w:r w:rsidRPr="00D551AF">
        <w:rPr>
          <w:rFonts w:eastAsiaTheme="minorHAnsi"/>
          <w:color w:val="auto"/>
          <w:szCs w:val="24"/>
          <w:lang w:eastAsia="en-US"/>
        </w:rPr>
        <w:t>FOURTH RESPONDENT’S ATTORNEYS:</w:t>
      </w:r>
      <w:r w:rsidRPr="00D551AF">
        <w:rPr>
          <w:rFonts w:eastAsiaTheme="minorHAnsi"/>
          <w:color w:val="auto"/>
          <w:szCs w:val="24"/>
          <w:lang w:eastAsia="en-US"/>
        </w:rPr>
        <w:tab/>
        <w:t xml:space="preserve">       STATE ATTORNEY</w:t>
      </w:r>
    </w:p>
    <w:p w:rsidR="00D551AF" w:rsidRPr="00D551AF" w:rsidRDefault="00D551AF" w:rsidP="00D551AF">
      <w:pPr>
        <w:tabs>
          <w:tab w:val="left" w:pos="5670"/>
        </w:tabs>
        <w:spacing w:after="0" w:line="360" w:lineRule="auto"/>
        <w:ind w:left="5670" w:hanging="5670"/>
        <w:rPr>
          <w:rFonts w:eastAsiaTheme="minorHAnsi"/>
          <w:szCs w:val="24"/>
          <w:lang w:eastAsia="en-US"/>
        </w:rPr>
      </w:pPr>
      <w:r w:rsidRPr="00D551AF">
        <w:rPr>
          <w:rFonts w:eastAsiaTheme="minorHAnsi"/>
          <w:color w:val="auto"/>
          <w:szCs w:val="24"/>
          <w:lang w:eastAsia="en-US"/>
        </w:rPr>
        <w:t xml:space="preserve">FOURTH RESPONDENT’S COUNSEL                            </w:t>
      </w:r>
      <w:r w:rsidRPr="00D551AF">
        <w:rPr>
          <w:rFonts w:eastAsiaTheme="minorHAnsi"/>
          <w:szCs w:val="24"/>
          <w:lang w:eastAsia="en-US"/>
        </w:rPr>
        <w:t>M T K MOERANE SC</w:t>
      </w:r>
    </w:p>
    <w:p w:rsidR="0056779C" w:rsidRDefault="00D551AF" w:rsidP="00277E92">
      <w:pPr>
        <w:spacing w:after="0" w:line="360" w:lineRule="auto"/>
        <w:ind w:left="0" w:firstLine="0"/>
      </w:pPr>
      <w:r w:rsidRPr="00D551AF">
        <w:rPr>
          <w:rFonts w:eastAsiaTheme="minorHAnsi"/>
          <w:color w:val="auto"/>
          <w:szCs w:val="24"/>
          <w:lang w:eastAsia="en-US"/>
        </w:rPr>
        <w:tab/>
        <w:t xml:space="preserve">                                                               </w:t>
      </w:r>
      <w:r w:rsidRPr="00D551AF">
        <w:rPr>
          <w:rFonts w:eastAsiaTheme="minorHAnsi"/>
          <w:szCs w:val="24"/>
          <w:lang w:eastAsia="en-US"/>
        </w:rPr>
        <w:t>MUSATONDWA MUSANDIWA</w:t>
      </w:r>
    </w:p>
    <w:sectPr w:rsidR="0056779C" w:rsidSect="00ED5E52">
      <w:footerReference w:type="default" r:id="rId10"/>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B5" w:rsidRDefault="00CF47B5" w:rsidP="00A12757">
      <w:pPr>
        <w:spacing w:after="0" w:line="240" w:lineRule="auto"/>
      </w:pPr>
      <w:r>
        <w:separator/>
      </w:r>
    </w:p>
  </w:endnote>
  <w:endnote w:type="continuationSeparator" w:id="0">
    <w:p w:rsidR="00CF47B5" w:rsidRDefault="00CF47B5" w:rsidP="00A1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7499"/>
      <w:docPartObj>
        <w:docPartGallery w:val="Page Numbers (Bottom of Page)"/>
        <w:docPartUnique/>
      </w:docPartObj>
    </w:sdtPr>
    <w:sdtEndPr>
      <w:rPr>
        <w:noProof/>
      </w:rPr>
    </w:sdtEndPr>
    <w:sdtContent>
      <w:p w:rsidR="00FC37EC" w:rsidRDefault="00FC37EC">
        <w:pPr>
          <w:pStyle w:val="Footer"/>
          <w:jc w:val="right"/>
        </w:pPr>
        <w:r>
          <w:fldChar w:fldCharType="begin"/>
        </w:r>
        <w:r>
          <w:instrText xml:space="preserve"> PAGE   \* MERGEFORMAT </w:instrText>
        </w:r>
        <w:r>
          <w:fldChar w:fldCharType="separate"/>
        </w:r>
        <w:r w:rsidR="00A42DDB">
          <w:rPr>
            <w:noProof/>
          </w:rPr>
          <w:t>1</w:t>
        </w:r>
        <w:r>
          <w:rPr>
            <w:noProof/>
          </w:rPr>
          <w:fldChar w:fldCharType="end"/>
        </w:r>
      </w:p>
    </w:sdtContent>
  </w:sdt>
  <w:p w:rsidR="00FC37EC" w:rsidRDefault="00FC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B5" w:rsidRDefault="00CF47B5" w:rsidP="00A12757">
      <w:pPr>
        <w:spacing w:after="0" w:line="240" w:lineRule="auto"/>
      </w:pPr>
      <w:r>
        <w:separator/>
      </w:r>
    </w:p>
  </w:footnote>
  <w:footnote w:type="continuationSeparator" w:id="0">
    <w:p w:rsidR="00CF47B5" w:rsidRDefault="00CF47B5" w:rsidP="00A12757">
      <w:pPr>
        <w:spacing w:after="0" w:line="240" w:lineRule="auto"/>
      </w:pPr>
      <w:r>
        <w:continuationSeparator/>
      </w:r>
    </w:p>
  </w:footnote>
  <w:footnote w:id="1">
    <w:p w:rsidR="007A0527" w:rsidRPr="007A0527" w:rsidRDefault="007A0527">
      <w:pPr>
        <w:pStyle w:val="FootnoteText"/>
        <w:rPr>
          <w:lang w:val="en-GB"/>
        </w:rPr>
      </w:pPr>
      <w:r>
        <w:rPr>
          <w:rStyle w:val="FootnoteReference"/>
        </w:rPr>
        <w:footnoteRef/>
      </w:r>
      <w:r>
        <w:t xml:space="preserve"> </w:t>
      </w:r>
      <w:r>
        <w:rPr>
          <w:lang w:val="en-GB"/>
        </w:rPr>
        <w:t xml:space="preserve"> Act No. 28 of 2001.</w:t>
      </w:r>
    </w:p>
  </w:footnote>
  <w:footnote w:id="2">
    <w:p w:rsidR="00303216" w:rsidRPr="00303216" w:rsidRDefault="00303216">
      <w:pPr>
        <w:pStyle w:val="FootnoteText"/>
        <w:rPr>
          <w:lang w:val="en-GB"/>
        </w:rPr>
      </w:pPr>
      <w:r>
        <w:rPr>
          <w:rStyle w:val="FootnoteReference"/>
        </w:rPr>
        <w:footnoteRef/>
      </w:r>
      <w:r>
        <w:t xml:space="preserve"> </w:t>
      </w:r>
      <w:r>
        <w:rPr>
          <w:lang w:val="en-GB"/>
        </w:rPr>
        <w:t xml:space="preserve"> Act No. 10 of 2013.</w:t>
      </w:r>
    </w:p>
  </w:footnote>
  <w:footnote w:id="3">
    <w:p w:rsidR="00ED5E52" w:rsidRPr="00ED5E52" w:rsidRDefault="00ED5E52" w:rsidP="00ED5E52">
      <w:pPr>
        <w:pStyle w:val="FootnoteText"/>
        <w:rPr>
          <w:rFonts w:asciiTheme="minorHAnsi" w:hAnsiTheme="minorHAnsi" w:cstheme="minorHAnsi"/>
          <w:lang w:val="en-GB"/>
        </w:rPr>
      </w:pPr>
      <w:r>
        <w:rPr>
          <w:rStyle w:val="FootnoteReference"/>
        </w:rPr>
        <w:footnoteRef/>
      </w:r>
      <w:r>
        <w:t xml:space="preserve"> </w:t>
      </w:r>
      <w:r>
        <w:rPr>
          <w:lang w:val="en-GB"/>
        </w:rPr>
        <w:t xml:space="preserve"> </w:t>
      </w:r>
      <w:r>
        <w:rPr>
          <w:rFonts w:asciiTheme="minorHAnsi" w:hAnsiTheme="minorHAnsi" w:cstheme="minorHAnsi"/>
          <w:lang w:val="en-GB"/>
        </w:rPr>
        <w:t>MEC for Health, Eastern Cape v Mkhitha and Another [1221/2015] [2016] ZASCA 176 (25 November 2016) at para 16 - 17.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27B206EB"/>
    <w:multiLevelType w:val="hybridMultilevel"/>
    <w:tmpl w:val="240C2794"/>
    <w:lvl w:ilvl="0" w:tplc="C9C41784">
      <w:start w:val="7"/>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FC1D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4845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075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05A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600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421E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222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F2A4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7776144"/>
    <w:multiLevelType w:val="hybridMultilevel"/>
    <w:tmpl w:val="641296F0"/>
    <w:lvl w:ilvl="0" w:tplc="EF68272C">
      <w:start w:val="1"/>
      <w:numFmt w:val="decimal"/>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845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63E1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6A97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470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FECA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30C1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2C9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A2FB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042145A"/>
    <w:multiLevelType w:val="hybridMultilevel"/>
    <w:tmpl w:val="EFA2A928"/>
    <w:lvl w:ilvl="0" w:tplc="EE4EC94E">
      <w:start w:val="2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828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E97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472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045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4EF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C652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655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12BF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75B21E2"/>
    <w:multiLevelType w:val="hybridMultilevel"/>
    <w:tmpl w:val="4580CF2A"/>
    <w:lvl w:ilvl="0" w:tplc="FA206244">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ABF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E8C8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44F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261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1C4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AA3E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267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B690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A2"/>
    <w:rsid w:val="000126B3"/>
    <w:rsid w:val="000A095F"/>
    <w:rsid w:val="00171D38"/>
    <w:rsid w:val="001E791F"/>
    <w:rsid w:val="00277E92"/>
    <w:rsid w:val="00297CDD"/>
    <w:rsid w:val="00303216"/>
    <w:rsid w:val="00341054"/>
    <w:rsid w:val="003E4B62"/>
    <w:rsid w:val="003F6F19"/>
    <w:rsid w:val="00421AFB"/>
    <w:rsid w:val="00464BC5"/>
    <w:rsid w:val="004B31EC"/>
    <w:rsid w:val="005557A2"/>
    <w:rsid w:val="0056779C"/>
    <w:rsid w:val="006D4BF5"/>
    <w:rsid w:val="006E65E8"/>
    <w:rsid w:val="007A0527"/>
    <w:rsid w:val="007D61C7"/>
    <w:rsid w:val="008054B2"/>
    <w:rsid w:val="00891F92"/>
    <w:rsid w:val="00937879"/>
    <w:rsid w:val="00980F5E"/>
    <w:rsid w:val="00A12757"/>
    <w:rsid w:val="00A42DDB"/>
    <w:rsid w:val="00A5580D"/>
    <w:rsid w:val="00A7019F"/>
    <w:rsid w:val="00B443BF"/>
    <w:rsid w:val="00C054DE"/>
    <w:rsid w:val="00C41B2B"/>
    <w:rsid w:val="00CF47B5"/>
    <w:rsid w:val="00D53F17"/>
    <w:rsid w:val="00D551AF"/>
    <w:rsid w:val="00DA43DC"/>
    <w:rsid w:val="00E600DF"/>
    <w:rsid w:val="00ED5E52"/>
    <w:rsid w:val="00EF4878"/>
    <w:rsid w:val="00FC37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C3C4D-1C80-4B09-9CF7-9964A756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DE"/>
    <w:pPr>
      <w:spacing w:after="3" w:line="485" w:lineRule="auto"/>
      <w:ind w:left="718" w:hanging="718"/>
      <w:jc w:val="both"/>
    </w:pPr>
    <w:rPr>
      <w:rFonts w:ascii="Arial" w:eastAsia="Arial" w:hAnsi="Arial" w:cs="Arial"/>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A12757"/>
    <w:pPr>
      <w:spacing w:after="0"/>
    </w:pPr>
    <w:rPr>
      <w:rFonts w:ascii="Arial" w:eastAsia="Arial" w:hAnsi="Arial" w:cs="Arial"/>
      <w:color w:val="000000"/>
      <w:sz w:val="20"/>
      <w:lang w:eastAsia="en-ZA"/>
    </w:rPr>
  </w:style>
  <w:style w:type="character" w:customStyle="1" w:styleId="footnotedescriptionChar">
    <w:name w:val="footnote description Char"/>
    <w:link w:val="footnotedescription"/>
    <w:rsid w:val="00A12757"/>
    <w:rPr>
      <w:rFonts w:ascii="Arial" w:eastAsia="Arial" w:hAnsi="Arial" w:cs="Arial"/>
      <w:color w:val="000000"/>
      <w:sz w:val="20"/>
      <w:lang w:eastAsia="en-ZA"/>
    </w:rPr>
  </w:style>
  <w:style w:type="character" w:customStyle="1" w:styleId="footnotemark">
    <w:name w:val="footnote mark"/>
    <w:hidden/>
    <w:rsid w:val="00A12757"/>
    <w:rPr>
      <w:rFonts w:ascii="Arial" w:eastAsia="Arial" w:hAnsi="Arial" w:cs="Arial"/>
      <w:color w:val="000000"/>
      <w:sz w:val="20"/>
      <w:vertAlign w:val="superscript"/>
    </w:rPr>
  </w:style>
  <w:style w:type="paragraph" w:styleId="FootnoteText">
    <w:name w:val="footnote text"/>
    <w:basedOn w:val="Normal"/>
    <w:link w:val="FootnoteTextChar"/>
    <w:uiPriority w:val="99"/>
    <w:semiHidden/>
    <w:unhideWhenUsed/>
    <w:rsid w:val="00ED5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E52"/>
    <w:rPr>
      <w:rFonts w:ascii="Arial" w:eastAsia="Arial" w:hAnsi="Arial" w:cs="Arial"/>
      <w:color w:val="000000"/>
      <w:sz w:val="20"/>
      <w:szCs w:val="20"/>
      <w:lang w:eastAsia="en-ZA"/>
    </w:rPr>
  </w:style>
  <w:style w:type="character" w:styleId="FootnoteReference">
    <w:name w:val="footnote reference"/>
    <w:basedOn w:val="DefaultParagraphFont"/>
    <w:uiPriority w:val="99"/>
    <w:semiHidden/>
    <w:unhideWhenUsed/>
    <w:rsid w:val="00ED5E52"/>
    <w:rPr>
      <w:vertAlign w:val="superscript"/>
    </w:rPr>
  </w:style>
  <w:style w:type="paragraph" w:styleId="Header">
    <w:name w:val="header"/>
    <w:basedOn w:val="Normal"/>
    <w:link w:val="HeaderChar"/>
    <w:uiPriority w:val="99"/>
    <w:unhideWhenUsed/>
    <w:rsid w:val="00FC3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EC"/>
    <w:rPr>
      <w:rFonts w:ascii="Arial" w:eastAsia="Arial" w:hAnsi="Arial" w:cs="Arial"/>
      <w:color w:val="000000"/>
      <w:sz w:val="24"/>
      <w:lang w:eastAsia="en-ZA"/>
    </w:rPr>
  </w:style>
  <w:style w:type="paragraph" w:styleId="Footer">
    <w:name w:val="footer"/>
    <w:basedOn w:val="Normal"/>
    <w:link w:val="FooterChar"/>
    <w:uiPriority w:val="99"/>
    <w:unhideWhenUsed/>
    <w:rsid w:val="00FC3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EC"/>
    <w:rPr>
      <w:rFonts w:ascii="Arial" w:eastAsia="Arial" w:hAnsi="Arial" w:cs="Arial"/>
      <w:color w:val="000000"/>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4FC5-E382-4BFF-9738-1E02CA13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2022-12-02T10:48:00Z</cp:lastPrinted>
  <dcterms:created xsi:type="dcterms:W3CDTF">2022-12-21T08:18:00Z</dcterms:created>
  <dcterms:modified xsi:type="dcterms:W3CDTF">2022-12-21T08:18:00Z</dcterms:modified>
</cp:coreProperties>
</file>