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3CBAB" w14:textId="7A236BB5" w:rsidR="00B97A4E" w:rsidRPr="00B97A4E" w:rsidRDefault="00B97A4E" w:rsidP="00B97A4E">
      <w:pPr>
        <w:rPr>
          <w:color w:val="FF0000"/>
          <w:u w:val="single"/>
        </w:rPr>
      </w:pPr>
      <w:r>
        <w:rPr>
          <w:rFonts w:ascii="Arial" w:hAnsi="Arial" w:cs="Arial"/>
          <w:color w:val="FF0000"/>
        </w:rPr>
        <w:t>Editorial note: Certain information has been redacted from this judgment in compliance with the law.</w:t>
      </w:r>
    </w:p>
    <w:p w14:paraId="409F8ED0" w14:textId="2768E7DD" w:rsidR="00ED2FC5" w:rsidRPr="00BF6075"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BF6075">
        <w:rPr>
          <w:rFonts w:ascii="Arial" w:eastAsia="Times New Roman" w:hAnsi="Arial" w:cs="Arial"/>
          <w:sz w:val="24"/>
          <w:szCs w:val="24"/>
          <w:lang w:eastAsia="en-GB"/>
        </w:rPr>
        <w:t>REPUBLIC OF SOUTH AFRICA</w:t>
      </w:r>
    </w:p>
    <w:p w14:paraId="4436A0DF" w14:textId="77777777" w:rsidR="00ED2FC5" w:rsidRPr="00BF6075"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BF6075">
        <w:rPr>
          <w:rFonts w:ascii="Arial" w:hAnsi="Arial" w:cs="Arial"/>
          <w:b/>
          <w:noProof/>
          <w:sz w:val="24"/>
          <w:szCs w:val="24"/>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BF6075"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BF6075">
        <w:rPr>
          <w:rFonts w:ascii="Arial" w:eastAsia="Times New Roman" w:hAnsi="Arial" w:cs="Arial"/>
          <w:sz w:val="24"/>
          <w:szCs w:val="24"/>
          <w:lang w:eastAsia="en-GB"/>
        </w:rPr>
        <w:t>IN THE HIGH COURT OF SOUTH AFRICA</w:t>
      </w:r>
    </w:p>
    <w:p w14:paraId="1C5CCDC4" w14:textId="77777777" w:rsidR="00ED2FC5" w:rsidRPr="00BF6075"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BF6075">
        <w:rPr>
          <w:rFonts w:ascii="Arial" w:eastAsia="Times New Roman" w:hAnsi="Arial" w:cs="Arial"/>
          <w:sz w:val="24"/>
          <w:szCs w:val="24"/>
          <w:lang w:eastAsia="en-GB"/>
        </w:rPr>
        <w:t>GAUTENG DIVISION, PRETORIA</w:t>
      </w:r>
    </w:p>
    <w:p w14:paraId="2F4E9B91" w14:textId="3467361A" w:rsidR="00665539" w:rsidRPr="00BF6075" w:rsidRDefault="003F64B3" w:rsidP="00FC3DC3">
      <w:pPr>
        <w:spacing w:after="0" w:line="240" w:lineRule="auto"/>
        <w:ind w:left="566" w:hangingChars="236" w:hanging="566"/>
        <w:jc w:val="right"/>
        <w:rPr>
          <w:rFonts w:ascii="Arial" w:eastAsia="Times New Roman" w:hAnsi="Arial" w:cs="Arial"/>
          <w:sz w:val="24"/>
          <w:szCs w:val="24"/>
          <w:lang w:eastAsia="en-GB"/>
        </w:rPr>
      </w:pPr>
      <w:r w:rsidRPr="00BF6075">
        <w:rPr>
          <w:rFonts w:ascii="Arial" w:eastAsia="Times New Roman" w:hAnsi="Arial" w:cs="Arial"/>
          <w:sz w:val="24"/>
          <w:szCs w:val="24"/>
          <w:lang w:eastAsia="en-GB"/>
        </w:rPr>
        <w:t>CASE NO:</w:t>
      </w:r>
      <w:r w:rsidR="00D27217" w:rsidRPr="00BF6075">
        <w:rPr>
          <w:rFonts w:ascii="Arial" w:eastAsia="Times New Roman" w:hAnsi="Arial" w:cs="Arial"/>
          <w:sz w:val="24"/>
          <w:szCs w:val="24"/>
          <w:lang w:eastAsia="en-GB"/>
        </w:rPr>
        <w:t>24583/2009</w:t>
      </w:r>
      <w:r w:rsidR="00DE3835" w:rsidRPr="00BF6075">
        <w:rPr>
          <w:rFonts w:ascii="Arial" w:eastAsia="Times New Roman" w:hAnsi="Arial" w:cs="Arial"/>
          <w:sz w:val="24"/>
          <w:szCs w:val="24"/>
          <w:lang w:eastAsia="en-GB"/>
        </w:rPr>
        <w:t xml:space="preserve"> </w:t>
      </w:r>
    </w:p>
    <w:p w14:paraId="633CC936" w14:textId="5D66C20F" w:rsidR="002033C4" w:rsidRPr="00BF6075" w:rsidRDefault="002033C4" w:rsidP="00E96154">
      <w:pPr>
        <w:spacing w:after="0" w:line="240" w:lineRule="auto"/>
        <w:ind w:left="566" w:hangingChars="236" w:hanging="566"/>
        <w:jc w:val="center"/>
        <w:rPr>
          <w:rFonts w:ascii="Arial" w:eastAsia="Times New Roman" w:hAnsi="Arial" w:cs="Arial"/>
          <w:sz w:val="24"/>
          <w:szCs w:val="24"/>
          <w:lang w:eastAsia="en-GB"/>
        </w:rPr>
      </w:pPr>
    </w:p>
    <w:p w14:paraId="75B2C876" w14:textId="25AD3079" w:rsidR="00C160A1" w:rsidRPr="00BF6075" w:rsidRDefault="003A6E81" w:rsidP="00C160A1">
      <w:pPr>
        <w:spacing w:before="120" w:after="120" w:line="360" w:lineRule="auto"/>
        <w:jc w:val="center"/>
        <w:rPr>
          <w:rFonts w:ascii="Arial" w:hAnsi="Arial" w:cs="Arial"/>
          <w:sz w:val="24"/>
          <w:szCs w:val="24"/>
        </w:rPr>
      </w:pPr>
      <w:r w:rsidRPr="00BF607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E554BB" w:rsidRDefault="00E554BB" w:rsidP="00ED2FC5">
                            <w:pPr>
                              <w:jc w:val="center"/>
                              <w:rPr>
                                <w:rFonts w:ascii="Century Gothic" w:hAnsi="Century Gothic"/>
                                <w:b/>
                                <w:sz w:val="20"/>
                                <w:szCs w:val="20"/>
                              </w:rPr>
                            </w:pPr>
                          </w:p>
                          <w:p w14:paraId="2B4C2A7A" w14:textId="6EB71A93"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554BB">
                              <w:rPr>
                                <w:rFonts w:ascii="Century Gothic" w:hAnsi="Century Gothic"/>
                                <w:sz w:val="20"/>
                                <w:szCs w:val="20"/>
                              </w:rPr>
                              <w:t>REPORTABLE: YES/NO</w:t>
                            </w:r>
                          </w:p>
                          <w:p w14:paraId="240656F9" w14:textId="4310987F"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554BB">
                              <w:rPr>
                                <w:rFonts w:ascii="Century Gothic" w:hAnsi="Century Gothic"/>
                                <w:sz w:val="20"/>
                                <w:szCs w:val="20"/>
                              </w:rPr>
                              <w:t>OF INTEREST TO OTHER JUDGES: NO</w:t>
                            </w:r>
                          </w:p>
                          <w:p w14:paraId="22436154" w14:textId="22FF9C01"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554BB">
                              <w:rPr>
                                <w:rFonts w:ascii="Century Gothic" w:hAnsi="Century Gothic"/>
                                <w:sz w:val="20"/>
                                <w:szCs w:val="20"/>
                              </w:rPr>
                              <w:t>REVISED: NO</w:t>
                            </w:r>
                          </w:p>
                          <w:p w14:paraId="3DE114B7" w14:textId="77777777" w:rsidR="00E554BB" w:rsidRDefault="00E554B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15ACCF0" w:rsidR="00E554BB" w:rsidRDefault="000A7F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22</w:t>
                            </w:r>
                            <w:r w:rsidR="00E554BB">
                              <w:rPr>
                                <w:rFonts w:ascii="Century Gothic" w:hAnsi="Century Gothic"/>
                                <w:sz w:val="20"/>
                                <w:szCs w:val="20"/>
                              </w:rPr>
                              <w:t xml:space="preserve"> September 2022</w:t>
                            </w:r>
                            <w:r w:rsidR="00E554BB">
                              <w:rPr>
                                <w:rFonts w:ascii="Century Gothic" w:hAnsi="Century Gothic"/>
                                <w:sz w:val="20"/>
                                <w:szCs w:val="20"/>
                              </w:rPr>
                              <w:tab/>
                              <w:t xml:space="preserve">E van der </w:t>
                            </w:r>
                            <w:proofErr w:type="spellStart"/>
                            <w:r w:rsidR="00E554BB">
                              <w:rPr>
                                <w:rFonts w:ascii="Century Gothic" w:hAnsi="Century Gothic"/>
                                <w:sz w:val="20"/>
                                <w:szCs w:val="20"/>
                              </w:rPr>
                              <w:t>Schyff</w:t>
                            </w:r>
                            <w:proofErr w:type="spellEnd"/>
                          </w:p>
                          <w:p w14:paraId="1F64CB6E" w14:textId="77777777" w:rsidR="00E554BB" w:rsidRDefault="00E554B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E554BB" w:rsidRDefault="00E554BB" w:rsidP="00ED2FC5">
                      <w:pPr>
                        <w:jc w:val="center"/>
                        <w:rPr>
                          <w:rFonts w:ascii="Century Gothic" w:hAnsi="Century Gothic"/>
                          <w:b/>
                          <w:sz w:val="20"/>
                          <w:szCs w:val="20"/>
                        </w:rPr>
                      </w:pPr>
                    </w:p>
                    <w:p w14:paraId="2B4C2A7A" w14:textId="6EB71A93"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554BB">
                        <w:rPr>
                          <w:rFonts w:ascii="Century Gothic" w:hAnsi="Century Gothic"/>
                          <w:sz w:val="20"/>
                          <w:szCs w:val="20"/>
                        </w:rPr>
                        <w:t>REPORTABLE: YES/NO</w:t>
                      </w:r>
                    </w:p>
                    <w:p w14:paraId="240656F9" w14:textId="4310987F"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554BB">
                        <w:rPr>
                          <w:rFonts w:ascii="Century Gothic" w:hAnsi="Century Gothic"/>
                          <w:sz w:val="20"/>
                          <w:szCs w:val="20"/>
                        </w:rPr>
                        <w:t>OF INTEREST TO OTHER JUDGES: NO</w:t>
                      </w:r>
                    </w:p>
                    <w:p w14:paraId="22436154" w14:textId="22FF9C01" w:rsidR="00E554BB" w:rsidRDefault="00B97A4E" w:rsidP="00B97A4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554BB">
                        <w:rPr>
                          <w:rFonts w:ascii="Century Gothic" w:hAnsi="Century Gothic"/>
                          <w:sz w:val="20"/>
                          <w:szCs w:val="20"/>
                        </w:rPr>
                        <w:t>REVISED: NO</w:t>
                      </w:r>
                    </w:p>
                    <w:p w14:paraId="3DE114B7" w14:textId="77777777" w:rsidR="00E554BB" w:rsidRDefault="00E554B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15ACCF0" w:rsidR="00E554BB" w:rsidRDefault="000A7F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22</w:t>
                      </w:r>
                      <w:r w:rsidR="00E554BB">
                        <w:rPr>
                          <w:rFonts w:ascii="Century Gothic" w:hAnsi="Century Gothic"/>
                          <w:sz w:val="20"/>
                          <w:szCs w:val="20"/>
                        </w:rPr>
                        <w:t xml:space="preserve"> September 2022</w:t>
                      </w:r>
                      <w:r w:rsidR="00E554BB">
                        <w:rPr>
                          <w:rFonts w:ascii="Century Gothic" w:hAnsi="Century Gothic"/>
                          <w:sz w:val="20"/>
                          <w:szCs w:val="20"/>
                        </w:rPr>
                        <w:tab/>
                        <w:t xml:space="preserve">E van der </w:t>
                      </w:r>
                      <w:proofErr w:type="spellStart"/>
                      <w:r w:rsidR="00E554BB">
                        <w:rPr>
                          <w:rFonts w:ascii="Century Gothic" w:hAnsi="Century Gothic"/>
                          <w:sz w:val="20"/>
                          <w:szCs w:val="20"/>
                        </w:rPr>
                        <w:t>Schyff</w:t>
                      </w:r>
                      <w:proofErr w:type="spellEnd"/>
                    </w:p>
                    <w:p w14:paraId="1F64CB6E" w14:textId="77777777" w:rsidR="00E554BB" w:rsidRDefault="00E554B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BF6075"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BF6075"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BF607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BF6075" w:rsidRDefault="00C17911" w:rsidP="00C17911">
      <w:pPr>
        <w:tabs>
          <w:tab w:val="left" w:pos="4917"/>
        </w:tabs>
        <w:spacing w:before="120" w:after="120" w:line="360" w:lineRule="auto"/>
        <w:jc w:val="center"/>
        <w:rPr>
          <w:rFonts w:ascii="Arial" w:hAnsi="Arial" w:cs="Arial"/>
          <w:sz w:val="24"/>
          <w:szCs w:val="24"/>
        </w:rPr>
      </w:pPr>
    </w:p>
    <w:p w14:paraId="79E1D3F6" w14:textId="7932714A" w:rsidR="009C6780" w:rsidRPr="00BF6075" w:rsidRDefault="009C6780" w:rsidP="009C6780">
      <w:pPr>
        <w:tabs>
          <w:tab w:val="left" w:pos="4917"/>
        </w:tabs>
        <w:spacing w:before="120" w:after="120" w:line="360" w:lineRule="auto"/>
        <w:rPr>
          <w:rFonts w:ascii="Arial" w:hAnsi="Arial" w:cs="Arial"/>
          <w:sz w:val="24"/>
          <w:szCs w:val="24"/>
        </w:rPr>
      </w:pPr>
      <w:r w:rsidRPr="00BF6075">
        <w:rPr>
          <w:rFonts w:ascii="Arial" w:hAnsi="Arial" w:cs="Arial"/>
          <w:sz w:val="24"/>
          <w:szCs w:val="24"/>
        </w:rPr>
        <w:t>In the matter between:</w:t>
      </w:r>
    </w:p>
    <w:p w14:paraId="57F4DAF2" w14:textId="377B47C7" w:rsidR="002C7989" w:rsidRPr="00BF6075" w:rsidRDefault="00B31FA4"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K</w:t>
      </w:r>
      <w:r w:rsidR="00B97A4E">
        <w:rPr>
          <w:rFonts w:ascii="Arial" w:hAnsi="Arial" w:cs="Arial"/>
          <w:sz w:val="24"/>
          <w:szCs w:val="24"/>
        </w:rPr>
        <w:t>[</w:t>
      </w:r>
      <w:proofErr w:type="gramEnd"/>
      <w:r w:rsidR="00B97A4E">
        <w:rPr>
          <w:rFonts w:ascii="Arial" w:hAnsi="Arial" w:cs="Arial"/>
          <w:sz w:val="24"/>
          <w:szCs w:val="24"/>
        </w:rPr>
        <w:t xml:space="preserve">…] </w:t>
      </w:r>
      <w:r>
        <w:rPr>
          <w:rFonts w:ascii="Arial" w:hAnsi="Arial" w:cs="Arial"/>
          <w:sz w:val="24"/>
          <w:szCs w:val="24"/>
        </w:rPr>
        <w:t>L</w:t>
      </w:r>
      <w:r w:rsidR="00B97A4E">
        <w:rPr>
          <w:rFonts w:ascii="Arial" w:hAnsi="Arial" w:cs="Arial"/>
          <w:sz w:val="24"/>
          <w:szCs w:val="24"/>
        </w:rPr>
        <w:t>[…]</w:t>
      </w:r>
      <w:r w:rsidR="00B97A4E">
        <w:rPr>
          <w:rFonts w:ascii="Arial" w:hAnsi="Arial" w:cs="Arial"/>
          <w:sz w:val="24"/>
          <w:szCs w:val="24"/>
        </w:rPr>
        <w:t xml:space="preserve">                              </w:t>
      </w:r>
      <w:r>
        <w:rPr>
          <w:rFonts w:ascii="Arial" w:hAnsi="Arial" w:cs="Arial"/>
          <w:sz w:val="24"/>
          <w:szCs w:val="24"/>
        </w:rPr>
        <w:t xml:space="preserve">               </w:t>
      </w:r>
      <w:r w:rsidR="005718A5" w:rsidRPr="00BF6075">
        <w:rPr>
          <w:rFonts w:ascii="Arial" w:hAnsi="Arial" w:cs="Arial"/>
          <w:sz w:val="24"/>
          <w:szCs w:val="24"/>
        </w:rPr>
        <w:t xml:space="preserve">PLAINTIFF / </w:t>
      </w:r>
      <w:r w:rsidR="00D27217" w:rsidRPr="00BF6075">
        <w:rPr>
          <w:rFonts w:ascii="Arial" w:hAnsi="Arial" w:cs="Arial"/>
          <w:sz w:val="24"/>
          <w:szCs w:val="24"/>
        </w:rPr>
        <w:t>EXCIPIENT</w:t>
      </w:r>
      <w:r>
        <w:rPr>
          <w:rFonts w:ascii="Arial" w:hAnsi="Arial" w:cs="Arial"/>
          <w:sz w:val="24"/>
          <w:szCs w:val="24"/>
        </w:rPr>
        <w:t>/ RESPONDENT</w:t>
      </w:r>
    </w:p>
    <w:p w14:paraId="5AD99CCB" w14:textId="65018A53" w:rsidR="002C7989" w:rsidRPr="00BF6075" w:rsidRDefault="002C7989" w:rsidP="009C6780">
      <w:pPr>
        <w:tabs>
          <w:tab w:val="left" w:pos="4917"/>
        </w:tabs>
        <w:spacing w:before="120" w:after="120" w:line="360" w:lineRule="auto"/>
        <w:rPr>
          <w:rFonts w:ascii="Arial" w:hAnsi="Arial" w:cs="Arial"/>
          <w:sz w:val="24"/>
          <w:szCs w:val="24"/>
        </w:rPr>
      </w:pPr>
      <w:r w:rsidRPr="00BF6075">
        <w:rPr>
          <w:rFonts w:ascii="Arial" w:hAnsi="Arial" w:cs="Arial"/>
          <w:sz w:val="24"/>
          <w:szCs w:val="24"/>
        </w:rPr>
        <w:t>and</w:t>
      </w:r>
    </w:p>
    <w:p w14:paraId="7C10E2D2" w14:textId="036B7B60" w:rsidR="002C7989" w:rsidRDefault="00B31FA4"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A</w:t>
      </w:r>
      <w:r w:rsidR="00B97A4E">
        <w:rPr>
          <w:rFonts w:ascii="Arial" w:hAnsi="Arial" w:cs="Arial"/>
          <w:sz w:val="24"/>
          <w:szCs w:val="24"/>
        </w:rPr>
        <w:t>[</w:t>
      </w:r>
      <w:proofErr w:type="gramEnd"/>
      <w:r w:rsidR="00B97A4E">
        <w:rPr>
          <w:rFonts w:ascii="Arial" w:hAnsi="Arial" w:cs="Arial"/>
          <w:sz w:val="24"/>
          <w:szCs w:val="24"/>
        </w:rPr>
        <w:t>…]</w:t>
      </w:r>
      <w:r>
        <w:rPr>
          <w:rFonts w:ascii="Arial" w:hAnsi="Arial" w:cs="Arial"/>
          <w:sz w:val="24"/>
          <w:szCs w:val="24"/>
        </w:rPr>
        <w:t xml:space="preserve"> L</w:t>
      </w:r>
      <w:r w:rsidR="00B97A4E">
        <w:rPr>
          <w:rFonts w:ascii="Arial" w:hAnsi="Arial" w:cs="Arial"/>
          <w:sz w:val="24"/>
          <w:szCs w:val="24"/>
        </w:rPr>
        <w:t>[…]</w:t>
      </w:r>
      <w:r w:rsidR="00B97A4E">
        <w:rPr>
          <w:rFonts w:ascii="Arial" w:hAnsi="Arial" w:cs="Arial"/>
          <w:sz w:val="24"/>
          <w:szCs w:val="24"/>
        </w:rPr>
        <w:t xml:space="preserve">              </w:t>
      </w:r>
      <w:r>
        <w:rPr>
          <w:rFonts w:ascii="Arial" w:hAnsi="Arial" w:cs="Arial"/>
          <w:sz w:val="24"/>
          <w:szCs w:val="24"/>
        </w:rPr>
        <w:t xml:space="preserve">                              </w:t>
      </w:r>
      <w:r w:rsidR="005718A5" w:rsidRPr="00BF6075">
        <w:rPr>
          <w:rFonts w:ascii="Arial" w:hAnsi="Arial" w:cs="Arial"/>
          <w:sz w:val="24"/>
          <w:szCs w:val="24"/>
        </w:rPr>
        <w:t xml:space="preserve">DEFENDANT / </w:t>
      </w:r>
      <w:r w:rsidR="00D27217" w:rsidRPr="00BF6075">
        <w:rPr>
          <w:rFonts w:ascii="Arial" w:hAnsi="Arial" w:cs="Arial"/>
          <w:sz w:val="24"/>
          <w:szCs w:val="24"/>
        </w:rPr>
        <w:t>RESPONDENT</w:t>
      </w:r>
      <w:r>
        <w:rPr>
          <w:rFonts w:ascii="Arial" w:hAnsi="Arial" w:cs="Arial"/>
          <w:sz w:val="24"/>
          <w:szCs w:val="24"/>
        </w:rPr>
        <w:t>/ APPLICANT</w:t>
      </w:r>
    </w:p>
    <w:p w14:paraId="35074882" w14:textId="77777777" w:rsidR="003C77E9" w:rsidRDefault="003C77E9" w:rsidP="003C77E9">
      <w:pPr>
        <w:tabs>
          <w:tab w:val="left" w:pos="4917"/>
        </w:tabs>
        <w:spacing w:after="0" w:line="360" w:lineRule="auto"/>
        <w:rPr>
          <w:rFonts w:ascii="Arial" w:hAnsi="Arial" w:cs="Arial"/>
          <w:sz w:val="24"/>
          <w:szCs w:val="24"/>
        </w:rPr>
      </w:pPr>
    </w:p>
    <w:p w14:paraId="46BA15B3" w14:textId="28D60194" w:rsidR="003C77E9" w:rsidRDefault="003C77E9" w:rsidP="003C77E9">
      <w:pPr>
        <w:tabs>
          <w:tab w:val="left" w:pos="4917"/>
        </w:tabs>
        <w:spacing w:after="0" w:line="360" w:lineRule="auto"/>
        <w:rPr>
          <w:rFonts w:ascii="Arial" w:hAnsi="Arial" w:cs="Arial"/>
          <w:sz w:val="24"/>
          <w:szCs w:val="24"/>
        </w:rPr>
      </w:pPr>
      <w:r>
        <w:rPr>
          <w:rFonts w:ascii="Arial" w:hAnsi="Arial" w:cs="Arial"/>
          <w:sz w:val="24"/>
          <w:szCs w:val="24"/>
        </w:rPr>
        <w:t>FAIRBRIDGE WERTHEIM BECKER</w:t>
      </w:r>
    </w:p>
    <w:p w14:paraId="69B15956" w14:textId="6236B8D7" w:rsidR="003C77E9" w:rsidRPr="00BF6075" w:rsidRDefault="003C77E9" w:rsidP="003C77E9">
      <w:pPr>
        <w:tabs>
          <w:tab w:val="left" w:pos="4917"/>
        </w:tabs>
        <w:spacing w:after="0" w:line="360" w:lineRule="auto"/>
        <w:rPr>
          <w:rFonts w:ascii="Arial" w:hAnsi="Arial" w:cs="Arial"/>
          <w:sz w:val="24"/>
          <w:szCs w:val="24"/>
        </w:rPr>
      </w:pPr>
      <w:r>
        <w:rPr>
          <w:rFonts w:ascii="Arial" w:hAnsi="Arial" w:cs="Arial"/>
          <w:sz w:val="24"/>
          <w:szCs w:val="24"/>
        </w:rPr>
        <w:t>ATTORNEYS INCORPORATED          SECOND RESPONDENT (ANTI-DISSIPATION</w:t>
      </w:r>
    </w:p>
    <w:p w14:paraId="59AA76E9" w14:textId="35F10A97" w:rsidR="00F9064E" w:rsidRPr="00BF6075" w:rsidRDefault="003C77E9" w:rsidP="003C77E9">
      <w:pPr>
        <w:tabs>
          <w:tab w:val="left" w:pos="4140"/>
        </w:tabs>
        <w:spacing w:before="120" w:after="0" w:line="240" w:lineRule="auto"/>
        <w:rPr>
          <w:rFonts w:ascii="Arial" w:hAnsi="Arial" w:cs="Arial"/>
          <w:sz w:val="24"/>
          <w:szCs w:val="24"/>
        </w:rPr>
      </w:pPr>
      <w:r>
        <w:rPr>
          <w:rFonts w:ascii="Arial" w:hAnsi="Arial" w:cs="Arial"/>
          <w:sz w:val="24"/>
          <w:szCs w:val="24"/>
        </w:rPr>
        <w:tab/>
        <w:t>APPLICATION</w:t>
      </w:r>
      <w:r w:rsidR="00F3452B" w:rsidRPr="00BF6075">
        <w:rPr>
          <w:rFonts w:ascii="Arial" w:hAnsi="Arial" w:cs="Arial"/>
          <w:sz w:val="24"/>
          <w:szCs w:val="24"/>
        </w:rPr>
        <w:tab/>
      </w:r>
      <w:r w:rsidR="00532639">
        <w:rPr>
          <w:rFonts w:ascii="Arial" w:hAnsi="Arial" w:cs="Arial"/>
          <w:sz w:val="24"/>
          <w:szCs w:val="24"/>
        </w:rPr>
        <w:t>)</w:t>
      </w:r>
      <w:r w:rsidR="00F3452B" w:rsidRPr="00BF6075">
        <w:rPr>
          <w:rFonts w:ascii="Arial" w:hAnsi="Arial" w:cs="Arial"/>
          <w:sz w:val="24"/>
          <w:szCs w:val="24"/>
        </w:rPr>
        <w:tab/>
      </w:r>
      <w:r w:rsidR="00F3452B" w:rsidRPr="00BF6075">
        <w:rPr>
          <w:rFonts w:ascii="Arial" w:hAnsi="Arial" w:cs="Arial"/>
          <w:sz w:val="24"/>
          <w:szCs w:val="24"/>
        </w:rPr>
        <w:tab/>
      </w:r>
    </w:p>
    <w:p w14:paraId="163B4780" w14:textId="34E7D4FF" w:rsidR="004F10C9" w:rsidRPr="00BF6075"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BF6075">
        <w:rPr>
          <w:rFonts w:ascii="Arial" w:hAnsi="Arial" w:cs="Arial"/>
          <w:sz w:val="24"/>
          <w:szCs w:val="24"/>
        </w:rPr>
        <w:t>JUDGMENT</w:t>
      </w:r>
    </w:p>
    <w:p w14:paraId="0D3F50F0" w14:textId="66309BD7" w:rsidR="00537115" w:rsidRPr="00BF6075" w:rsidRDefault="00D852E9" w:rsidP="00D852E9">
      <w:pPr>
        <w:pStyle w:val="ListParagraph"/>
        <w:tabs>
          <w:tab w:val="left" w:pos="4917"/>
        </w:tabs>
        <w:spacing w:before="120" w:after="120" w:line="360" w:lineRule="auto"/>
        <w:ind w:left="0"/>
        <w:jc w:val="both"/>
        <w:rPr>
          <w:rFonts w:ascii="Arial" w:hAnsi="Arial" w:cs="Arial"/>
          <w:sz w:val="24"/>
          <w:szCs w:val="24"/>
        </w:rPr>
      </w:pPr>
      <w:r w:rsidRPr="00BF6075">
        <w:rPr>
          <w:rFonts w:ascii="Arial" w:hAnsi="Arial" w:cs="Arial"/>
          <w:sz w:val="24"/>
          <w:szCs w:val="24"/>
        </w:rPr>
        <w:t xml:space="preserve">Van der </w:t>
      </w:r>
      <w:proofErr w:type="spellStart"/>
      <w:r w:rsidRPr="00BF6075">
        <w:rPr>
          <w:rFonts w:ascii="Arial" w:hAnsi="Arial" w:cs="Arial"/>
          <w:sz w:val="24"/>
          <w:szCs w:val="24"/>
        </w:rPr>
        <w:t>Schyff</w:t>
      </w:r>
      <w:proofErr w:type="spellEnd"/>
      <w:r w:rsidRPr="00BF6075">
        <w:rPr>
          <w:rFonts w:ascii="Arial" w:hAnsi="Arial" w:cs="Arial"/>
          <w:sz w:val="24"/>
          <w:szCs w:val="24"/>
        </w:rPr>
        <w:t xml:space="preserve"> J</w:t>
      </w:r>
      <w:r w:rsidR="00EA4756" w:rsidRPr="00BF6075">
        <w:rPr>
          <w:rFonts w:ascii="Arial" w:hAnsi="Arial" w:cs="Arial"/>
          <w:sz w:val="24"/>
          <w:szCs w:val="24"/>
        </w:rPr>
        <w:t xml:space="preserve"> </w:t>
      </w:r>
    </w:p>
    <w:p w14:paraId="2CB65FD5" w14:textId="2A49A3A5" w:rsidR="00D17DE3" w:rsidRPr="00BF6075"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BF6075" w:rsidRDefault="00D17DE3" w:rsidP="00D852E9">
      <w:pPr>
        <w:pStyle w:val="ListParagraph"/>
        <w:tabs>
          <w:tab w:val="left" w:pos="4917"/>
        </w:tabs>
        <w:spacing w:before="120" w:after="120" w:line="360" w:lineRule="auto"/>
        <w:ind w:left="0"/>
        <w:jc w:val="both"/>
        <w:rPr>
          <w:rFonts w:ascii="Arial" w:hAnsi="Arial" w:cs="Arial"/>
          <w:b/>
          <w:sz w:val="24"/>
          <w:szCs w:val="24"/>
        </w:rPr>
      </w:pPr>
      <w:r w:rsidRPr="00BF6075">
        <w:rPr>
          <w:rFonts w:ascii="Arial" w:hAnsi="Arial" w:cs="Arial"/>
          <w:b/>
          <w:sz w:val="24"/>
          <w:szCs w:val="24"/>
        </w:rPr>
        <w:t>Introduction</w:t>
      </w:r>
    </w:p>
    <w:p w14:paraId="0C1E88A3" w14:textId="77777777" w:rsidR="00F03EE2" w:rsidRPr="00BF6075" w:rsidRDefault="00F03EE2" w:rsidP="00D852E9">
      <w:pPr>
        <w:pStyle w:val="ListParagraph"/>
        <w:tabs>
          <w:tab w:val="left" w:pos="4917"/>
        </w:tabs>
        <w:spacing w:before="120" w:after="120" w:line="360" w:lineRule="auto"/>
        <w:ind w:left="0"/>
        <w:jc w:val="both"/>
        <w:rPr>
          <w:rFonts w:ascii="Arial" w:hAnsi="Arial" w:cs="Arial"/>
          <w:sz w:val="24"/>
          <w:szCs w:val="24"/>
        </w:rPr>
      </w:pPr>
    </w:p>
    <w:p w14:paraId="5D26A8FE" w14:textId="4AA1246F" w:rsidR="00C45DAF"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w:t>
      </w:r>
      <w:r w:rsidRPr="00BF6075">
        <w:rPr>
          <w:rFonts w:ascii="Arial" w:hAnsi="Arial" w:cs="Arial"/>
          <w:sz w:val="24"/>
          <w:szCs w:val="24"/>
        </w:rPr>
        <w:tab/>
      </w:r>
      <w:r w:rsidR="00C45DAF" w:rsidRPr="00B97A4E">
        <w:rPr>
          <w:rFonts w:ascii="Arial" w:hAnsi="Arial" w:cs="Arial"/>
          <w:sz w:val="24"/>
          <w:szCs w:val="24"/>
        </w:rPr>
        <w:t xml:space="preserve">The court is </w:t>
      </w:r>
      <w:r w:rsidR="005718A5" w:rsidRPr="00B97A4E">
        <w:rPr>
          <w:rFonts w:ascii="Arial" w:hAnsi="Arial" w:cs="Arial"/>
          <w:sz w:val="24"/>
          <w:szCs w:val="24"/>
        </w:rPr>
        <w:t>seized with</w:t>
      </w:r>
      <w:r w:rsidR="00C45DAF" w:rsidRPr="00B97A4E">
        <w:rPr>
          <w:rFonts w:ascii="Arial" w:hAnsi="Arial" w:cs="Arial"/>
          <w:sz w:val="24"/>
          <w:szCs w:val="24"/>
        </w:rPr>
        <w:t xml:space="preserve"> three interlocutory applications between th</w:t>
      </w:r>
      <w:r w:rsidR="005718A5" w:rsidRPr="00B97A4E">
        <w:rPr>
          <w:rFonts w:ascii="Arial" w:hAnsi="Arial" w:cs="Arial"/>
          <w:sz w:val="24"/>
          <w:szCs w:val="24"/>
        </w:rPr>
        <w:t>e parties: (</w:t>
      </w:r>
      <w:proofErr w:type="spellStart"/>
      <w:r w:rsidR="005718A5" w:rsidRPr="00B97A4E">
        <w:rPr>
          <w:rFonts w:ascii="Arial" w:hAnsi="Arial" w:cs="Arial"/>
          <w:sz w:val="24"/>
          <w:szCs w:val="24"/>
        </w:rPr>
        <w:t>i</w:t>
      </w:r>
      <w:proofErr w:type="spellEnd"/>
      <w:r w:rsidR="005718A5" w:rsidRPr="00B97A4E">
        <w:rPr>
          <w:rFonts w:ascii="Arial" w:hAnsi="Arial" w:cs="Arial"/>
          <w:sz w:val="24"/>
          <w:szCs w:val="24"/>
        </w:rPr>
        <w:t xml:space="preserve">) </w:t>
      </w:r>
      <w:r w:rsidR="00AE2886" w:rsidRPr="00B97A4E">
        <w:rPr>
          <w:rFonts w:ascii="Arial" w:hAnsi="Arial" w:cs="Arial"/>
          <w:sz w:val="24"/>
          <w:szCs w:val="24"/>
        </w:rPr>
        <w:t xml:space="preserve">an application to condone the late filing of an amended plea and </w:t>
      </w:r>
      <w:r w:rsidR="005718A5" w:rsidRPr="00B97A4E">
        <w:rPr>
          <w:rFonts w:ascii="Arial" w:hAnsi="Arial" w:cs="Arial"/>
          <w:sz w:val="24"/>
          <w:szCs w:val="24"/>
        </w:rPr>
        <w:t>the determination of the appropriate costs order relating to the late filing of an amended plea and counterclaim; (ii) an exception raised against the amended counterclaim, and (iii) an anti-dissipation application by the defendant. For clarity, the parties will be referred to as cited in the divorce action.</w:t>
      </w:r>
    </w:p>
    <w:p w14:paraId="05617C92" w14:textId="076C9F1F" w:rsidR="005718A5" w:rsidRPr="00BF6075" w:rsidRDefault="005718A5" w:rsidP="005718A5">
      <w:pPr>
        <w:tabs>
          <w:tab w:val="left" w:pos="4917"/>
        </w:tabs>
        <w:spacing w:before="120" w:after="120" w:line="360" w:lineRule="auto"/>
        <w:jc w:val="both"/>
        <w:rPr>
          <w:rFonts w:ascii="Arial" w:hAnsi="Arial" w:cs="Arial"/>
          <w:sz w:val="24"/>
          <w:szCs w:val="24"/>
        </w:rPr>
      </w:pPr>
    </w:p>
    <w:p w14:paraId="6D211C69" w14:textId="75BDD450" w:rsidR="005718A5" w:rsidRPr="00BF6075" w:rsidRDefault="005718A5" w:rsidP="005718A5">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Background</w:t>
      </w:r>
    </w:p>
    <w:p w14:paraId="29C8ADD8" w14:textId="594B4DC9" w:rsidR="00EA4756"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w:t>
      </w:r>
      <w:r w:rsidRPr="00BF6075">
        <w:rPr>
          <w:rFonts w:ascii="Arial" w:hAnsi="Arial" w:cs="Arial"/>
          <w:sz w:val="24"/>
          <w:szCs w:val="24"/>
        </w:rPr>
        <w:tab/>
      </w:r>
      <w:r w:rsidR="005718A5" w:rsidRPr="00B97A4E">
        <w:rPr>
          <w:rFonts w:ascii="Arial" w:hAnsi="Arial" w:cs="Arial"/>
          <w:sz w:val="24"/>
          <w:szCs w:val="24"/>
        </w:rPr>
        <w:t>The plaintiff</w:t>
      </w:r>
      <w:r w:rsidR="00D27217" w:rsidRPr="00B97A4E">
        <w:rPr>
          <w:rFonts w:ascii="Arial" w:hAnsi="Arial" w:cs="Arial"/>
          <w:sz w:val="24"/>
          <w:szCs w:val="24"/>
        </w:rPr>
        <w:t xml:space="preserve"> and defendant were married out of community of property with the inclusion of the accrual system on 3 April 1992. They were divorced on 14 March 2019. The issues in</w:t>
      </w:r>
      <w:r w:rsidR="002C621D" w:rsidRPr="00B97A4E">
        <w:rPr>
          <w:rFonts w:ascii="Arial" w:hAnsi="Arial" w:cs="Arial"/>
          <w:sz w:val="24"/>
          <w:szCs w:val="24"/>
        </w:rPr>
        <w:t xml:space="preserve"> respect of each party</w:t>
      </w:r>
      <w:r w:rsidR="00E36AEE" w:rsidRPr="00B97A4E">
        <w:rPr>
          <w:rFonts w:ascii="Arial" w:hAnsi="Arial" w:cs="Arial"/>
          <w:sz w:val="24"/>
          <w:szCs w:val="24"/>
        </w:rPr>
        <w:t>'</w:t>
      </w:r>
      <w:r w:rsidR="002C621D" w:rsidRPr="00B97A4E">
        <w:rPr>
          <w:rFonts w:ascii="Arial" w:hAnsi="Arial" w:cs="Arial"/>
          <w:sz w:val="24"/>
          <w:szCs w:val="24"/>
        </w:rPr>
        <w:t>s estate</w:t>
      </w:r>
      <w:r w:rsidR="00D27217" w:rsidRPr="00B97A4E">
        <w:rPr>
          <w:rFonts w:ascii="Arial" w:hAnsi="Arial" w:cs="Arial"/>
          <w:sz w:val="24"/>
          <w:szCs w:val="24"/>
        </w:rPr>
        <w:t xml:space="preserve"> </w:t>
      </w:r>
      <w:r w:rsidR="005718A5" w:rsidRPr="00B97A4E">
        <w:rPr>
          <w:rFonts w:ascii="Arial" w:hAnsi="Arial" w:cs="Arial"/>
          <w:sz w:val="24"/>
          <w:szCs w:val="24"/>
        </w:rPr>
        <w:t xml:space="preserve">and </w:t>
      </w:r>
      <w:r w:rsidR="00D27217" w:rsidRPr="00B97A4E">
        <w:rPr>
          <w:rFonts w:ascii="Arial" w:hAnsi="Arial" w:cs="Arial"/>
          <w:sz w:val="24"/>
          <w:szCs w:val="24"/>
        </w:rPr>
        <w:t xml:space="preserve">costs, </w:t>
      </w:r>
      <w:r w:rsidR="005718A5" w:rsidRPr="00B97A4E">
        <w:rPr>
          <w:rFonts w:ascii="Arial" w:hAnsi="Arial" w:cs="Arial"/>
          <w:sz w:val="24"/>
          <w:szCs w:val="24"/>
        </w:rPr>
        <w:t xml:space="preserve">were separated from the </w:t>
      </w:r>
      <w:r w:rsidR="00D27217" w:rsidRPr="00B97A4E">
        <w:rPr>
          <w:rFonts w:ascii="Arial" w:hAnsi="Arial" w:cs="Arial"/>
          <w:sz w:val="24"/>
          <w:szCs w:val="24"/>
        </w:rPr>
        <w:t xml:space="preserve">divorce </w:t>
      </w:r>
      <w:r w:rsidR="005718A5" w:rsidRPr="00B97A4E">
        <w:rPr>
          <w:rFonts w:ascii="Arial" w:hAnsi="Arial" w:cs="Arial"/>
          <w:sz w:val="24"/>
          <w:szCs w:val="24"/>
        </w:rPr>
        <w:t>in terms of Uniform Rule 33(4), and t</w:t>
      </w:r>
      <w:r w:rsidR="00C45DAF" w:rsidRPr="00B97A4E">
        <w:rPr>
          <w:rFonts w:ascii="Arial" w:hAnsi="Arial" w:cs="Arial"/>
          <w:sz w:val="24"/>
          <w:szCs w:val="24"/>
        </w:rPr>
        <w:t xml:space="preserve">he order granted by </w:t>
      </w:r>
      <w:proofErr w:type="spellStart"/>
      <w:r w:rsidR="00C45DAF" w:rsidRPr="00B97A4E">
        <w:rPr>
          <w:rFonts w:ascii="Arial" w:hAnsi="Arial" w:cs="Arial"/>
          <w:sz w:val="24"/>
          <w:szCs w:val="24"/>
        </w:rPr>
        <w:t>Fabricius</w:t>
      </w:r>
      <w:proofErr w:type="spellEnd"/>
      <w:r w:rsidR="00C45DAF" w:rsidRPr="00B97A4E">
        <w:rPr>
          <w:rFonts w:ascii="Arial" w:hAnsi="Arial" w:cs="Arial"/>
          <w:sz w:val="24"/>
          <w:szCs w:val="24"/>
        </w:rPr>
        <w:t xml:space="preserve"> J</w:t>
      </w:r>
      <w:r w:rsidR="000F1182" w:rsidRPr="00B97A4E">
        <w:rPr>
          <w:rFonts w:ascii="Arial" w:hAnsi="Arial" w:cs="Arial"/>
          <w:sz w:val="24"/>
          <w:szCs w:val="24"/>
        </w:rPr>
        <w:t xml:space="preserve"> (the </w:t>
      </w:r>
      <w:proofErr w:type="spellStart"/>
      <w:r w:rsidR="000F1182" w:rsidRPr="00B97A4E">
        <w:rPr>
          <w:rFonts w:ascii="Arial" w:hAnsi="Arial" w:cs="Arial"/>
          <w:sz w:val="24"/>
          <w:szCs w:val="24"/>
        </w:rPr>
        <w:t>Fabricius</w:t>
      </w:r>
      <w:proofErr w:type="spellEnd"/>
      <w:r w:rsidR="000F1182" w:rsidRPr="00B97A4E">
        <w:rPr>
          <w:rFonts w:ascii="Arial" w:hAnsi="Arial" w:cs="Arial"/>
          <w:sz w:val="24"/>
          <w:szCs w:val="24"/>
        </w:rPr>
        <w:t>-order)</w:t>
      </w:r>
      <w:r w:rsidR="00C45DAF" w:rsidRPr="00B97A4E">
        <w:rPr>
          <w:rFonts w:ascii="Arial" w:hAnsi="Arial" w:cs="Arial"/>
          <w:sz w:val="24"/>
          <w:szCs w:val="24"/>
        </w:rPr>
        <w:t xml:space="preserve"> specifically provided that –</w:t>
      </w:r>
    </w:p>
    <w:p w14:paraId="20FDA038" w14:textId="77777777" w:rsidR="002C621D" w:rsidRPr="00BF6075" w:rsidRDefault="002C621D" w:rsidP="002C621D">
      <w:pPr>
        <w:pStyle w:val="ListParagraph"/>
        <w:tabs>
          <w:tab w:val="left" w:pos="4917"/>
        </w:tabs>
        <w:spacing w:before="120" w:after="120" w:line="360" w:lineRule="auto"/>
        <w:jc w:val="both"/>
        <w:rPr>
          <w:rFonts w:ascii="Arial" w:hAnsi="Arial" w:cs="Arial"/>
          <w:sz w:val="24"/>
          <w:szCs w:val="24"/>
        </w:rPr>
      </w:pPr>
    </w:p>
    <w:p w14:paraId="638A7B9F" w14:textId="2CF49CD8" w:rsidR="00C45DAF" w:rsidRPr="00BF6075" w:rsidRDefault="00E36AEE" w:rsidP="00C45DAF">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C45DAF" w:rsidRPr="00BF6075">
        <w:rPr>
          <w:rFonts w:ascii="Arial" w:hAnsi="Arial" w:cs="Arial"/>
          <w:sz w:val="24"/>
          <w:szCs w:val="24"/>
        </w:rPr>
        <w:t xml:space="preserve">[T]he following remaining disputes are postponed </w:t>
      </w:r>
      <w:r w:rsidR="00C45DAF" w:rsidRPr="00BF6075">
        <w:rPr>
          <w:rFonts w:ascii="Arial" w:hAnsi="Arial" w:cs="Arial"/>
          <w:i/>
          <w:sz w:val="24"/>
          <w:szCs w:val="24"/>
        </w:rPr>
        <w:t>sine die</w:t>
      </w:r>
      <w:r w:rsidR="00C45DAF" w:rsidRPr="00BF6075">
        <w:rPr>
          <w:rFonts w:ascii="Arial" w:hAnsi="Arial" w:cs="Arial"/>
          <w:sz w:val="24"/>
          <w:szCs w:val="24"/>
        </w:rPr>
        <w:t>:</w:t>
      </w:r>
    </w:p>
    <w:p w14:paraId="784B564B" w14:textId="77777777" w:rsidR="00C939A3" w:rsidRDefault="00C45DAF" w:rsidP="00C939A3">
      <w:pPr>
        <w:pStyle w:val="ListParagraph"/>
        <w:tabs>
          <w:tab w:val="left" w:pos="1260"/>
        </w:tabs>
        <w:spacing w:before="120" w:after="120" w:line="360" w:lineRule="auto"/>
        <w:ind w:left="2160" w:right="1008" w:hanging="1692"/>
        <w:jc w:val="both"/>
        <w:rPr>
          <w:rFonts w:ascii="Arial" w:hAnsi="Arial" w:cs="Arial"/>
          <w:sz w:val="24"/>
          <w:szCs w:val="24"/>
        </w:rPr>
      </w:pPr>
      <w:r w:rsidRPr="00BF6075">
        <w:rPr>
          <w:rFonts w:ascii="Arial" w:hAnsi="Arial" w:cs="Arial"/>
          <w:sz w:val="24"/>
          <w:szCs w:val="24"/>
        </w:rPr>
        <w:tab/>
        <w:t xml:space="preserve">5.1 </w:t>
      </w:r>
      <w:r w:rsidRPr="00BF6075">
        <w:rPr>
          <w:rFonts w:ascii="Arial" w:hAnsi="Arial" w:cs="Arial"/>
          <w:sz w:val="24"/>
          <w:szCs w:val="24"/>
        </w:rPr>
        <w:tab/>
        <w:t>The party whose estate shows the largest accrual on date of divorce and the payment to the party whose estate shows a lesser accrual of an amount equal to half of the difference between the accrual of the respective estates;</w:t>
      </w:r>
    </w:p>
    <w:p w14:paraId="2AE1D785" w14:textId="0F5C8C4A" w:rsidR="00C45DAF" w:rsidRPr="00C939A3" w:rsidRDefault="00C939A3" w:rsidP="00C939A3">
      <w:pPr>
        <w:pStyle w:val="ListParagraph"/>
        <w:tabs>
          <w:tab w:val="left" w:pos="1260"/>
        </w:tabs>
        <w:spacing w:before="120" w:after="120" w:line="360" w:lineRule="auto"/>
        <w:ind w:left="2160" w:right="1008" w:hanging="1692"/>
        <w:jc w:val="both"/>
        <w:rPr>
          <w:rFonts w:ascii="Arial" w:hAnsi="Arial" w:cs="Arial"/>
          <w:sz w:val="24"/>
          <w:szCs w:val="24"/>
        </w:rPr>
      </w:pPr>
      <w:r>
        <w:rPr>
          <w:rFonts w:ascii="Arial" w:hAnsi="Arial" w:cs="Arial"/>
          <w:sz w:val="24"/>
          <w:szCs w:val="24"/>
        </w:rPr>
        <w:tab/>
        <w:t>5.2</w:t>
      </w:r>
      <w:r>
        <w:rPr>
          <w:rFonts w:ascii="Arial" w:hAnsi="Arial" w:cs="Arial"/>
          <w:sz w:val="24"/>
          <w:szCs w:val="24"/>
        </w:rPr>
        <w:tab/>
      </w:r>
      <w:r w:rsidR="00C45DAF" w:rsidRPr="00C939A3">
        <w:rPr>
          <w:rFonts w:ascii="Arial" w:hAnsi="Arial" w:cs="Arial"/>
          <w:sz w:val="24"/>
          <w:szCs w:val="24"/>
        </w:rPr>
        <w:t>Costs.’</w:t>
      </w:r>
    </w:p>
    <w:p w14:paraId="4E3F2ED3" w14:textId="06FE12D9" w:rsidR="00EA4756" w:rsidRPr="00BF6075" w:rsidRDefault="00EA4756" w:rsidP="00EA4756">
      <w:pPr>
        <w:pStyle w:val="ListParagraph"/>
        <w:tabs>
          <w:tab w:val="left" w:pos="4917"/>
        </w:tabs>
        <w:spacing w:before="120" w:after="120" w:line="360" w:lineRule="auto"/>
        <w:jc w:val="both"/>
        <w:rPr>
          <w:rFonts w:ascii="Arial" w:hAnsi="Arial" w:cs="Arial"/>
          <w:sz w:val="24"/>
          <w:szCs w:val="24"/>
        </w:rPr>
      </w:pPr>
    </w:p>
    <w:p w14:paraId="5C25B5F1" w14:textId="5178ED9D" w:rsidR="00C45DAF" w:rsidRPr="00BF6075" w:rsidRDefault="00C45DAF" w:rsidP="00EA4756">
      <w:pPr>
        <w:pStyle w:val="ListParagraph"/>
        <w:tabs>
          <w:tab w:val="left" w:pos="4917"/>
        </w:tabs>
        <w:spacing w:before="120" w:after="120" w:line="360" w:lineRule="auto"/>
        <w:jc w:val="both"/>
        <w:rPr>
          <w:rFonts w:ascii="Arial" w:hAnsi="Arial" w:cs="Arial"/>
          <w:sz w:val="24"/>
          <w:szCs w:val="24"/>
        </w:rPr>
      </w:pPr>
      <w:r w:rsidRPr="00BF6075">
        <w:rPr>
          <w:rFonts w:ascii="Arial" w:hAnsi="Arial" w:cs="Arial"/>
          <w:sz w:val="24"/>
          <w:szCs w:val="24"/>
        </w:rPr>
        <w:t>The order also provided that in the event that the defendant inten</w:t>
      </w:r>
      <w:r w:rsidR="00E36AEE">
        <w:rPr>
          <w:rFonts w:ascii="Arial" w:hAnsi="Arial" w:cs="Arial"/>
          <w:sz w:val="24"/>
          <w:szCs w:val="24"/>
        </w:rPr>
        <w:t xml:space="preserve">ded to amend her pleadings, </w:t>
      </w:r>
      <w:r w:rsidRPr="00BF6075">
        <w:rPr>
          <w:rFonts w:ascii="Arial" w:hAnsi="Arial" w:cs="Arial"/>
          <w:sz w:val="24"/>
          <w:szCs w:val="24"/>
        </w:rPr>
        <w:t>such amendment shall be served on or before Monday</w:t>
      </w:r>
      <w:r w:rsidR="00E36AEE">
        <w:rPr>
          <w:rFonts w:ascii="Arial" w:hAnsi="Arial" w:cs="Arial"/>
          <w:sz w:val="24"/>
          <w:szCs w:val="24"/>
        </w:rPr>
        <w:t>,</w:t>
      </w:r>
      <w:r w:rsidRPr="00BF6075">
        <w:rPr>
          <w:rFonts w:ascii="Arial" w:hAnsi="Arial" w:cs="Arial"/>
          <w:sz w:val="24"/>
          <w:szCs w:val="24"/>
        </w:rPr>
        <w:t xml:space="preserve"> 15 April 2019.</w:t>
      </w:r>
    </w:p>
    <w:p w14:paraId="385517AB" w14:textId="77777777" w:rsidR="00C45DAF" w:rsidRPr="00BF6075" w:rsidRDefault="00C45DAF" w:rsidP="00EA4756">
      <w:pPr>
        <w:pStyle w:val="ListParagraph"/>
        <w:tabs>
          <w:tab w:val="left" w:pos="4917"/>
        </w:tabs>
        <w:spacing w:before="120" w:after="120" w:line="360" w:lineRule="auto"/>
        <w:jc w:val="both"/>
        <w:rPr>
          <w:rFonts w:ascii="Arial" w:hAnsi="Arial" w:cs="Arial"/>
          <w:sz w:val="24"/>
          <w:szCs w:val="24"/>
        </w:rPr>
      </w:pPr>
    </w:p>
    <w:p w14:paraId="52AE6984" w14:textId="422D038D" w:rsidR="00AC5B49"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[3]</w:t>
      </w:r>
      <w:r w:rsidRPr="00BF6075">
        <w:rPr>
          <w:rFonts w:ascii="Arial" w:hAnsi="Arial" w:cs="Arial"/>
          <w:sz w:val="24"/>
          <w:szCs w:val="24"/>
        </w:rPr>
        <w:tab/>
      </w:r>
      <w:r w:rsidR="00C45DAF" w:rsidRPr="00B97A4E">
        <w:rPr>
          <w:rFonts w:ascii="Arial" w:hAnsi="Arial" w:cs="Arial"/>
          <w:sz w:val="24"/>
          <w:szCs w:val="24"/>
        </w:rPr>
        <w:t>It is common cause that the defendant did not amend her pleadings by 15 April 2019</w:t>
      </w:r>
      <w:r w:rsidR="00AC5B49" w:rsidRPr="00B97A4E">
        <w:rPr>
          <w:rFonts w:ascii="Arial" w:hAnsi="Arial" w:cs="Arial"/>
          <w:sz w:val="24"/>
          <w:szCs w:val="24"/>
        </w:rPr>
        <w:t>. The plaintiff</w:t>
      </w:r>
      <w:r w:rsidR="00E36AEE" w:rsidRPr="00B97A4E">
        <w:rPr>
          <w:rFonts w:ascii="Arial" w:hAnsi="Arial" w:cs="Arial"/>
          <w:sz w:val="24"/>
          <w:szCs w:val="24"/>
        </w:rPr>
        <w:t>'</w:t>
      </w:r>
      <w:r w:rsidR="00AC5B49" w:rsidRPr="00B97A4E">
        <w:rPr>
          <w:rFonts w:ascii="Arial" w:hAnsi="Arial" w:cs="Arial"/>
          <w:sz w:val="24"/>
          <w:szCs w:val="24"/>
        </w:rPr>
        <w:t>s attorney telephonically and by email informed the defendant</w:t>
      </w:r>
      <w:r w:rsidR="00E36AEE" w:rsidRPr="00B97A4E">
        <w:rPr>
          <w:rFonts w:ascii="Arial" w:hAnsi="Arial" w:cs="Arial"/>
          <w:sz w:val="24"/>
          <w:szCs w:val="24"/>
        </w:rPr>
        <w:t>'</w:t>
      </w:r>
      <w:r w:rsidR="00AC5B49" w:rsidRPr="00B97A4E">
        <w:rPr>
          <w:rFonts w:ascii="Arial" w:hAnsi="Arial" w:cs="Arial"/>
          <w:sz w:val="24"/>
          <w:szCs w:val="24"/>
        </w:rPr>
        <w:t xml:space="preserve">s attorney on 15 April 2019 that as a consequence of the defendant failing to deliver her amended pages on 15 April 2019, she would need to provide the court with an explanation as to why she was not able to abide by the time periods set out in the </w:t>
      </w:r>
      <w:proofErr w:type="spellStart"/>
      <w:r w:rsidR="00AC5B49" w:rsidRPr="00B97A4E">
        <w:rPr>
          <w:rFonts w:ascii="Arial" w:hAnsi="Arial" w:cs="Arial"/>
          <w:sz w:val="24"/>
          <w:szCs w:val="24"/>
        </w:rPr>
        <w:t>Fabricius</w:t>
      </w:r>
      <w:proofErr w:type="spellEnd"/>
      <w:r w:rsidR="00AC5B49" w:rsidRPr="00B97A4E">
        <w:rPr>
          <w:rFonts w:ascii="Arial" w:hAnsi="Arial" w:cs="Arial"/>
          <w:sz w:val="24"/>
          <w:szCs w:val="24"/>
        </w:rPr>
        <w:t xml:space="preserve">-order. </w:t>
      </w:r>
    </w:p>
    <w:p w14:paraId="629CA819" w14:textId="77777777" w:rsidR="00AC5B49" w:rsidRPr="00BF6075" w:rsidRDefault="00AC5B49" w:rsidP="00AC5B49">
      <w:pPr>
        <w:pStyle w:val="ListParagraph"/>
        <w:tabs>
          <w:tab w:val="left" w:pos="4917"/>
        </w:tabs>
        <w:spacing w:before="120" w:after="120" w:line="360" w:lineRule="auto"/>
        <w:jc w:val="both"/>
        <w:rPr>
          <w:rFonts w:ascii="Arial" w:hAnsi="Arial" w:cs="Arial"/>
          <w:sz w:val="24"/>
          <w:szCs w:val="24"/>
        </w:rPr>
      </w:pPr>
    </w:p>
    <w:p w14:paraId="4588D50D" w14:textId="338BD41F" w:rsidR="00E81783"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[4]</w:t>
      </w:r>
      <w:r w:rsidRPr="00BF6075">
        <w:rPr>
          <w:rFonts w:ascii="Arial" w:hAnsi="Arial" w:cs="Arial"/>
          <w:sz w:val="24"/>
          <w:szCs w:val="24"/>
        </w:rPr>
        <w:tab/>
      </w:r>
      <w:r w:rsidR="00AC5B49" w:rsidRPr="00B97A4E">
        <w:rPr>
          <w:rFonts w:ascii="Arial" w:hAnsi="Arial" w:cs="Arial"/>
          <w:sz w:val="24"/>
          <w:szCs w:val="24"/>
        </w:rPr>
        <w:t xml:space="preserve">The defendant filed </w:t>
      </w:r>
      <w:r w:rsidR="00C45DAF" w:rsidRPr="00B97A4E">
        <w:rPr>
          <w:rFonts w:ascii="Arial" w:hAnsi="Arial" w:cs="Arial"/>
          <w:sz w:val="24"/>
          <w:szCs w:val="24"/>
        </w:rPr>
        <w:t>a notice of intention to amen</w:t>
      </w:r>
      <w:r w:rsidR="00AC5B49" w:rsidRPr="00B97A4E">
        <w:rPr>
          <w:rFonts w:ascii="Arial" w:hAnsi="Arial" w:cs="Arial"/>
          <w:sz w:val="24"/>
          <w:szCs w:val="24"/>
        </w:rPr>
        <w:t>d the plea and counterclaim</w:t>
      </w:r>
      <w:r w:rsidR="00AE2886" w:rsidRPr="00B97A4E">
        <w:rPr>
          <w:rFonts w:ascii="Arial" w:hAnsi="Arial" w:cs="Arial"/>
          <w:sz w:val="24"/>
          <w:szCs w:val="24"/>
        </w:rPr>
        <w:t xml:space="preserve"> </w:t>
      </w:r>
      <w:r w:rsidR="00E36AEE" w:rsidRPr="00B97A4E">
        <w:rPr>
          <w:rFonts w:ascii="Arial" w:hAnsi="Arial" w:cs="Arial"/>
          <w:sz w:val="24"/>
          <w:szCs w:val="24"/>
        </w:rPr>
        <w:t xml:space="preserve">on </w:t>
      </w:r>
      <w:r w:rsidR="00AE2886" w:rsidRPr="00B97A4E">
        <w:rPr>
          <w:rFonts w:ascii="Arial" w:hAnsi="Arial" w:cs="Arial"/>
          <w:sz w:val="24"/>
          <w:szCs w:val="24"/>
        </w:rPr>
        <w:t>14</w:t>
      </w:r>
      <w:r w:rsidR="00C45DAF" w:rsidRPr="00B97A4E">
        <w:rPr>
          <w:rFonts w:ascii="Arial" w:hAnsi="Arial" w:cs="Arial"/>
          <w:sz w:val="24"/>
          <w:szCs w:val="24"/>
        </w:rPr>
        <w:t xml:space="preserve"> May 2019.</w:t>
      </w:r>
      <w:r w:rsidR="002C621D" w:rsidRPr="00B97A4E">
        <w:rPr>
          <w:rFonts w:ascii="Arial" w:hAnsi="Arial" w:cs="Arial"/>
          <w:sz w:val="24"/>
          <w:szCs w:val="24"/>
        </w:rPr>
        <w:t xml:space="preserve"> On 24 May 2019, the plaintiff filed a notice of irregular proceedings in terms of Rule 30(1). The plaintiff averred that the defendant</w:t>
      </w:r>
      <w:r w:rsidR="00E36AEE" w:rsidRPr="00B97A4E">
        <w:rPr>
          <w:rFonts w:ascii="Arial" w:hAnsi="Arial" w:cs="Arial"/>
          <w:sz w:val="24"/>
          <w:szCs w:val="24"/>
        </w:rPr>
        <w:t>'</w:t>
      </w:r>
      <w:r w:rsidR="002C621D" w:rsidRPr="00B97A4E">
        <w:rPr>
          <w:rFonts w:ascii="Arial" w:hAnsi="Arial" w:cs="Arial"/>
          <w:sz w:val="24"/>
          <w:szCs w:val="24"/>
        </w:rPr>
        <w:t>s notice of intention to amend her ple</w:t>
      </w:r>
      <w:r w:rsidR="00740378" w:rsidRPr="00B97A4E">
        <w:rPr>
          <w:rFonts w:ascii="Arial" w:hAnsi="Arial" w:cs="Arial"/>
          <w:sz w:val="24"/>
          <w:szCs w:val="24"/>
        </w:rPr>
        <w:t>adings constituted</w:t>
      </w:r>
      <w:r w:rsidR="002C621D" w:rsidRPr="00B97A4E">
        <w:rPr>
          <w:rFonts w:ascii="Arial" w:hAnsi="Arial" w:cs="Arial"/>
          <w:sz w:val="24"/>
          <w:szCs w:val="24"/>
        </w:rPr>
        <w:t xml:space="preserve"> an irregular step because the defendant failed to comply with the </w:t>
      </w:r>
      <w:proofErr w:type="spellStart"/>
      <w:r w:rsidR="002C621D" w:rsidRPr="00B97A4E">
        <w:rPr>
          <w:rFonts w:ascii="Arial" w:hAnsi="Arial" w:cs="Arial"/>
          <w:sz w:val="24"/>
          <w:szCs w:val="24"/>
        </w:rPr>
        <w:t>Fabricius</w:t>
      </w:r>
      <w:proofErr w:type="spellEnd"/>
      <w:r w:rsidR="002C621D" w:rsidRPr="00B97A4E">
        <w:rPr>
          <w:rFonts w:ascii="Arial" w:hAnsi="Arial" w:cs="Arial"/>
          <w:sz w:val="24"/>
          <w:szCs w:val="24"/>
        </w:rPr>
        <w:t>-order in that she failed to serve the amendment before 15 April 201</w:t>
      </w:r>
      <w:r w:rsidR="00130AF4" w:rsidRPr="00B97A4E">
        <w:rPr>
          <w:rFonts w:ascii="Arial" w:hAnsi="Arial" w:cs="Arial"/>
          <w:sz w:val="24"/>
          <w:szCs w:val="24"/>
        </w:rPr>
        <w:t>9</w:t>
      </w:r>
      <w:r w:rsidR="002C621D" w:rsidRPr="00B97A4E">
        <w:rPr>
          <w:rFonts w:ascii="Arial" w:hAnsi="Arial" w:cs="Arial"/>
          <w:sz w:val="24"/>
          <w:szCs w:val="24"/>
        </w:rPr>
        <w:t>, and because she failed to file a condonation application</w:t>
      </w:r>
      <w:r w:rsidR="00130AF4" w:rsidRPr="00B97A4E">
        <w:rPr>
          <w:rFonts w:ascii="Arial" w:hAnsi="Arial" w:cs="Arial"/>
          <w:sz w:val="24"/>
          <w:szCs w:val="24"/>
        </w:rPr>
        <w:t>,</w:t>
      </w:r>
      <w:r w:rsidR="002C621D" w:rsidRPr="00B97A4E">
        <w:rPr>
          <w:rFonts w:ascii="Arial" w:hAnsi="Arial" w:cs="Arial"/>
          <w:sz w:val="24"/>
          <w:szCs w:val="24"/>
        </w:rPr>
        <w:t xml:space="preserve"> wherein she sought condonation for the late service of the notice to amend.</w:t>
      </w:r>
      <w:r w:rsidR="00AC5B49" w:rsidRPr="00B97A4E">
        <w:rPr>
          <w:rFonts w:ascii="Arial" w:hAnsi="Arial" w:cs="Arial"/>
          <w:sz w:val="24"/>
          <w:szCs w:val="24"/>
        </w:rPr>
        <w:t xml:space="preserve"> </w:t>
      </w:r>
      <w:r w:rsidR="002C621D" w:rsidRPr="00B97A4E">
        <w:rPr>
          <w:rFonts w:ascii="Arial" w:hAnsi="Arial" w:cs="Arial"/>
          <w:sz w:val="24"/>
          <w:szCs w:val="24"/>
        </w:rPr>
        <w:t>The defendant subsequently filed a condonation application on 7 June 2019.</w:t>
      </w:r>
      <w:r w:rsidR="00AC5B49" w:rsidRPr="00B97A4E">
        <w:rPr>
          <w:rFonts w:ascii="Arial" w:hAnsi="Arial" w:cs="Arial"/>
          <w:sz w:val="24"/>
          <w:szCs w:val="24"/>
        </w:rPr>
        <w:t xml:space="preserve"> </w:t>
      </w:r>
    </w:p>
    <w:p w14:paraId="4338E5EE" w14:textId="77777777" w:rsidR="00E81783" w:rsidRPr="00BF6075" w:rsidRDefault="00E81783" w:rsidP="00E81783">
      <w:pPr>
        <w:pStyle w:val="ListParagraph"/>
        <w:rPr>
          <w:rFonts w:ascii="Arial" w:hAnsi="Arial" w:cs="Arial"/>
          <w:sz w:val="24"/>
          <w:szCs w:val="24"/>
        </w:rPr>
      </w:pPr>
    </w:p>
    <w:p w14:paraId="6168E0EE" w14:textId="4E5DEC58" w:rsidR="002C621D"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[5]</w:t>
      </w:r>
      <w:r w:rsidRPr="00BF6075">
        <w:rPr>
          <w:rFonts w:ascii="Arial" w:hAnsi="Arial" w:cs="Arial"/>
          <w:sz w:val="24"/>
          <w:szCs w:val="24"/>
        </w:rPr>
        <w:tab/>
      </w:r>
      <w:r w:rsidR="00E81783" w:rsidRPr="00B97A4E">
        <w:rPr>
          <w:rFonts w:ascii="Arial" w:hAnsi="Arial" w:cs="Arial"/>
          <w:sz w:val="24"/>
          <w:szCs w:val="24"/>
        </w:rPr>
        <w:t>On 19 June 2019</w:t>
      </w:r>
      <w:r w:rsidR="00E36AEE" w:rsidRPr="00B97A4E">
        <w:rPr>
          <w:rFonts w:ascii="Arial" w:hAnsi="Arial" w:cs="Arial"/>
          <w:sz w:val="24"/>
          <w:szCs w:val="24"/>
        </w:rPr>
        <w:t>,</w:t>
      </w:r>
      <w:r w:rsidR="00E81783" w:rsidRPr="00B97A4E">
        <w:rPr>
          <w:rFonts w:ascii="Arial" w:hAnsi="Arial" w:cs="Arial"/>
          <w:sz w:val="24"/>
          <w:szCs w:val="24"/>
        </w:rPr>
        <w:t xml:space="preserve"> the defendant </w:t>
      </w:r>
      <w:r w:rsidR="00740378" w:rsidRPr="00B97A4E">
        <w:rPr>
          <w:rFonts w:ascii="Arial" w:hAnsi="Arial" w:cs="Arial"/>
          <w:sz w:val="24"/>
          <w:szCs w:val="24"/>
        </w:rPr>
        <w:t xml:space="preserve">served her </w:t>
      </w:r>
      <w:r w:rsidR="00AE2886" w:rsidRPr="00B97A4E">
        <w:rPr>
          <w:rFonts w:ascii="Arial" w:hAnsi="Arial" w:cs="Arial"/>
          <w:sz w:val="24"/>
          <w:szCs w:val="24"/>
        </w:rPr>
        <w:t>amended counterclaim</w:t>
      </w:r>
      <w:r w:rsidR="00E81783" w:rsidRPr="00B97A4E">
        <w:rPr>
          <w:rFonts w:ascii="Arial" w:hAnsi="Arial" w:cs="Arial"/>
          <w:sz w:val="24"/>
          <w:szCs w:val="24"/>
        </w:rPr>
        <w:t>. Pursuant to the delivery of the defendant</w:t>
      </w:r>
      <w:r w:rsidR="00E36AEE" w:rsidRPr="00B97A4E">
        <w:rPr>
          <w:rFonts w:ascii="Arial" w:hAnsi="Arial" w:cs="Arial"/>
          <w:sz w:val="24"/>
          <w:szCs w:val="24"/>
        </w:rPr>
        <w:t>'</w:t>
      </w:r>
      <w:r w:rsidR="00E81783" w:rsidRPr="00B97A4E">
        <w:rPr>
          <w:rFonts w:ascii="Arial" w:hAnsi="Arial" w:cs="Arial"/>
          <w:sz w:val="24"/>
          <w:szCs w:val="24"/>
        </w:rPr>
        <w:t>s counterclaim, the plaintiff excepted to it. On 11 July 2019</w:t>
      </w:r>
      <w:r w:rsidR="008921D5" w:rsidRPr="00B97A4E">
        <w:rPr>
          <w:rFonts w:ascii="Arial" w:hAnsi="Arial" w:cs="Arial"/>
          <w:sz w:val="24"/>
          <w:szCs w:val="24"/>
        </w:rPr>
        <w:t>,</w:t>
      </w:r>
      <w:r w:rsidR="00E81783" w:rsidRPr="00B97A4E">
        <w:rPr>
          <w:rFonts w:ascii="Arial" w:hAnsi="Arial" w:cs="Arial"/>
          <w:sz w:val="24"/>
          <w:szCs w:val="24"/>
        </w:rPr>
        <w:t xml:space="preserve"> the plaintiff filed a notice in terms of Rule 23</w:t>
      </w:r>
      <w:r w:rsidR="00AE2886" w:rsidRPr="00B97A4E">
        <w:rPr>
          <w:rFonts w:ascii="Arial" w:hAnsi="Arial" w:cs="Arial"/>
          <w:sz w:val="24"/>
          <w:szCs w:val="24"/>
        </w:rPr>
        <w:t>(</w:t>
      </w:r>
      <w:r w:rsidR="00E81783" w:rsidRPr="00B97A4E">
        <w:rPr>
          <w:rFonts w:ascii="Arial" w:hAnsi="Arial" w:cs="Arial"/>
          <w:sz w:val="24"/>
          <w:szCs w:val="24"/>
        </w:rPr>
        <w:t>1)</w:t>
      </w:r>
      <w:r w:rsidR="00E36AEE" w:rsidRPr="00B97A4E">
        <w:rPr>
          <w:rFonts w:ascii="Arial" w:hAnsi="Arial" w:cs="Arial"/>
          <w:sz w:val="24"/>
          <w:szCs w:val="24"/>
        </w:rPr>
        <w:t>,</w:t>
      </w:r>
      <w:r w:rsidR="00E81783" w:rsidRPr="00B97A4E">
        <w:rPr>
          <w:rFonts w:ascii="Arial" w:hAnsi="Arial" w:cs="Arial"/>
          <w:sz w:val="24"/>
          <w:szCs w:val="24"/>
        </w:rPr>
        <w:t xml:space="preserve"> excepting to the defendant</w:t>
      </w:r>
      <w:r w:rsidR="00E36AEE" w:rsidRPr="00B97A4E">
        <w:rPr>
          <w:rFonts w:ascii="Arial" w:hAnsi="Arial" w:cs="Arial"/>
          <w:sz w:val="24"/>
          <w:szCs w:val="24"/>
        </w:rPr>
        <w:t>'</w:t>
      </w:r>
      <w:r w:rsidR="00E81783" w:rsidRPr="00B97A4E">
        <w:rPr>
          <w:rFonts w:ascii="Arial" w:hAnsi="Arial" w:cs="Arial"/>
          <w:sz w:val="24"/>
          <w:szCs w:val="24"/>
        </w:rPr>
        <w:t>s counterclaim.</w:t>
      </w:r>
    </w:p>
    <w:p w14:paraId="194809C0" w14:textId="77777777" w:rsidR="00EA4756" w:rsidRPr="00BF6075" w:rsidRDefault="00EA4756" w:rsidP="00EA4756">
      <w:pPr>
        <w:pStyle w:val="ListParagraph"/>
        <w:rPr>
          <w:rFonts w:ascii="Arial" w:hAnsi="Arial" w:cs="Arial"/>
          <w:sz w:val="24"/>
          <w:szCs w:val="24"/>
        </w:rPr>
      </w:pPr>
    </w:p>
    <w:p w14:paraId="22229F9F" w14:textId="6EB2342F" w:rsidR="006066C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[6]</w:t>
      </w:r>
      <w:r w:rsidRPr="00BF6075">
        <w:rPr>
          <w:rFonts w:ascii="Arial" w:hAnsi="Arial" w:cs="Arial"/>
          <w:sz w:val="24"/>
          <w:szCs w:val="24"/>
        </w:rPr>
        <w:tab/>
      </w:r>
      <w:r w:rsidR="00AE2886" w:rsidRPr="00B97A4E">
        <w:rPr>
          <w:rFonts w:ascii="Arial" w:hAnsi="Arial" w:cs="Arial"/>
          <w:sz w:val="24"/>
          <w:szCs w:val="24"/>
        </w:rPr>
        <w:t>After the notice in terms of Rul</w:t>
      </w:r>
      <w:r w:rsidR="00740378" w:rsidRPr="00B97A4E">
        <w:rPr>
          <w:rFonts w:ascii="Arial" w:hAnsi="Arial" w:cs="Arial"/>
          <w:sz w:val="24"/>
          <w:szCs w:val="24"/>
        </w:rPr>
        <w:t>e 23(1) was filed</w:t>
      </w:r>
      <w:r w:rsidR="00E36AEE" w:rsidRPr="00B97A4E">
        <w:rPr>
          <w:rFonts w:ascii="Arial" w:hAnsi="Arial" w:cs="Arial"/>
          <w:sz w:val="24"/>
          <w:szCs w:val="24"/>
        </w:rPr>
        <w:t>,</w:t>
      </w:r>
      <w:r w:rsidR="00740378" w:rsidRPr="00B97A4E">
        <w:rPr>
          <w:rFonts w:ascii="Arial" w:hAnsi="Arial" w:cs="Arial"/>
          <w:sz w:val="24"/>
          <w:szCs w:val="24"/>
        </w:rPr>
        <w:t xml:space="preserve"> the defendant</w:t>
      </w:r>
      <w:r w:rsidR="00E36AEE" w:rsidRPr="00B97A4E">
        <w:rPr>
          <w:rFonts w:ascii="Arial" w:hAnsi="Arial" w:cs="Arial"/>
          <w:sz w:val="24"/>
          <w:szCs w:val="24"/>
        </w:rPr>
        <w:t>'</w:t>
      </w:r>
      <w:r w:rsidR="00740378" w:rsidRPr="00B97A4E">
        <w:rPr>
          <w:rFonts w:ascii="Arial" w:hAnsi="Arial" w:cs="Arial"/>
          <w:sz w:val="24"/>
          <w:szCs w:val="24"/>
        </w:rPr>
        <w:t>s attorney informed the plaintiff</w:t>
      </w:r>
      <w:r w:rsidR="00E36AEE" w:rsidRPr="00B97A4E">
        <w:rPr>
          <w:rFonts w:ascii="Arial" w:hAnsi="Arial" w:cs="Arial"/>
          <w:sz w:val="24"/>
          <w:szCs w:val="24"/>
        </w:rPr>
        <w:t>'</w:t>
      </w:r>
      <w:r w:rsidR="00740378" w:rsidRPr="00B97A4E">
        <w:rPr>
          <w:rFonts w:ascii="Arial" w:hAnsi="Arial" w:cs="Arial"/>
          <w:sz w:val="24"/>
          <w:szCs w:val="24"/>
        </w:rPr>
        <w:t>s attorney that a further substantive amendment would be filed</w:t>
      </w:r>
      <w:r w:rsidR="00E36AEE" w:rsidRPr="00B97A4E">
        <w:rPr>
          <w:rFonts w:ascii="Arial" w:hAnsi="Arial" w:cs="Arial"/>
          <w:sz w:val="24"/>
          <w:szCs w:val="24"/>
        </w:rPr>
        <w:t xml:space="preserve"> to</w:t>
      </w:r>
      <w:r w:rsidR="00740378" w:rsidRPr="00B97A4E">
        <w:rPr>
          <w:rFonts w:ascii="Arial" w:hAnsi="Arial" w:cs="Arial"/>
          <w:sz w:val="24"/>
          <w:szCs w:val="24"/>
        </w:rPr>
        <w:t xml:space="preserve"> address the issues raised in the Rule 23 Notice.</w:t>
      </w:r>
      <w:r w:rsidR="008921D5" w:rsidRPr="00B97A4E">
        <w:rPr>
          <w:rFonts w:ascii="Arial" w:hAnsi="Arial" w:cs="Arial"/>
          <w:sz w:val="24"/>
          <w:szCs w:val="24"/>
        </w:rPr>
        <w:t xml:space="preserve"> On 13 August 2019</w:t>
      </w:r>
      <w:r w:rsidR="00B673BC" w:rsidRPr="00B97A4E">
        <w:rPr>
          <w:rFonts w:ascii="Arial" w:hAnsi="Arial" w:cs="Arial"/>
          <w:sz w:val="24"/>
          <w:szCs w:val="24"/>
        </w:rPr>
        <w:t>,</w:t>
      </w:r>
      <w:r w:rsidR="008921D5" w:rsidRPr="00B97A4E">
        <w:rPr>
          <w:rFonts w:ascii="Arial" w:hAnsi="Arial" w:cs="Arial"/>
          <w:sz w:val="24"/>
          <w:szCs w:val="24"/>
        </w:rPr>
        <w:t xml:space="preserve"> the defendant served a notice of intention to amend, but subsequently informed the plaintiff</w:t>
      </w:r>
      <w:r w:rsidR="00E36AEE" w:rsidRPr="00B97A4E">
        <w:rPr>
          <w:rFonts w:ascii="Arial" w:hAnsi="Arial" w:cs="Arial"/>
          <w:sz w:val="24"/>
          <w:szCs w:val="24"/>
        </w:rPr>
        <w:t>'</w:t>
      </w:r>
      <w:r w:rsidR="008921D5" w:rsidRPr="00B97A4E">
        <w:rPr>
          <w:rFonts w:ascii="Arial" w:hAnsi="Arial" w:cs="Arial"/>
          <w:sz w:val="24"/>
          <w:szCs w:val="24"/>
        </w:rPr>
        <w:t>s attorneys that they were abandoning the proposed amendment but would launch a joinder application.</w:t>
      </w:r>
      <w:r w:rsidR="00E81ACA" w:rsidRPr="00B97A4E">
        <w:rPr>
          <w:rFonts w:ascii="Arial" w:hAnsi="Arial" w:cs="Arial"/>
          <w:sz w:val="24"/>
          <w:szCs w:val="24"/>
        </w:rPr>
        <w:t xml:space="preserve"> </w:t>
      </w:r>
      <w:r w:rsidR="00E36AEE" w:rsidRPr="00B97A4E">
        <w:rPr>
          <w:rFonts w:ascii="Arial" w:hAnsi="Arial" w:cs="Arial"/>
          <w:sz w:val="24"/>
          <w:szCs w:val="24"/>
        </w:rPr>
        <w:t>Thus,</w:t>
      </w:r>
      <w:r w:rsidR="00E81ACA" w:rsidRPr="00B97A4E">
        <w:rPr>
          <w:rFonts w:ascii="Arial" w:hAnsi="Arial" w:cs="Arial"/>
          <w:sz w:val="24"/>
          <w:szCs w:val="24"/>
        </w:rPr>
        <w:t xml:space="preserve"> the defendant intended to rely on the </w:t>
      </w:r>
      <w:r w:rsidR="00E36AEE" w:rsidRPr="00B97A4E">
        <w:rPr>
          <w:rFonts w:ascii="Arial" w:hAnsi="Arial" w:cs="Arial"/>
          <w:sz w:val="24"/>
          <w:szCs w:val="24"/>
        </w:rPr>
        <w:t>'</w:t>
      </w:r>
      <w:r w:rsidR="00DD76B9" w:rsidRPr="00B97A4E">
        <w:rPr>
          <w:rFonts w:ascii="Arial" w:hAnsi="Arial" w:cs="Arial"/>
          <w:sz w:val="24"/>
          <w:szCs w:val="24"/>
        </w:rPr>
        <w:t xml:space="preserve">first </w:t>
      </w:r>
      <w:r w:rsidR="00751EE0" w:rsidRPr="00B97A4E">
        <w:rPr>
          <w:rFonts w:ascii="Arial" w:hAnsi="Arial" w:cs="Arial"/>
          <w:sz w:val="24"/>
          <w:szCs w:val="24"/>
        </w:rPr>
        <w:t>amendment</w:t>
      </w:r>
      <w:r w:rsidR="00E36AEE" w:rsidRPr="00B97A4E">
        <w:rPr>
          <w:rFonts w:ascii="Arial" w:hAnsi="Arial" w:cs="Arial"/>
          <w:sz w:val="24"/>
          <w:szCs w:val="24"/>
        </w:rPr>
        <w:t>'</w:t>
      </w:r>
      <w:r w:rsidR="00DD76B9" w:rsidRPr="00B97A4E">
        <w:rPr>
          <w:rFonts w:ascii="Arial" w:hAnsi="Arial" w:cs="Arial"/>
          <w:sz w:val="24"/>
          <w:szCs w:val="24"/>
        </w:rPr>
        <w:t xml:space="preserve">. </w:t>
      </w:r>
      <w:r w:rsidR="00751EE0" w:rsidRPr="00B97A4E">
        <w:rPr>
          <w:rFonts w:ascii="Arial" w:hAnsi="Arial" w:cs="Arial"/>
          <w:sz w:val="24"/>
          <w:szCs w:val="24"/>
        </w:rPr>
        <w:t>The plaintiff</w:t>
      </w:r>
      <w:r w:rsidR="00E36AEE" w:rsidRPr="00B97A4E">
        <w:rPr>
          <w:rFonts w:ascii="Arial" w:hAnsi="Arial" w:cs="Arial"/>
          <w:sz w:val="24"/>
          <w:szCs w:val="24"/>
        </w:rPr>
        <w:t>'</w:t>
      </w:r>
      <w:r w:rsidR="00751EE0" w:rsidRPr="00B97A4E">
        <w:rPr>
          <w:rFonts w:ascii="Arial" w:hAnsi="Arial" w:cs="Arial"/>
          <w:sz w:val="24"/>
          <w:szCs w:val="24"/>
        </w:rPr>
        <w:t>s attorney sent numerous unanswered letters to the defendant</w:t>
      </w:r>
      <w:r w:rsidR="00E36AEE" w:rsidRPr="00B97A4E">
        <w:rPr>
          <w:rFonts w:ascii="Arial" w:hAnsi="Arial" w:cs="Arial"/>
          <w:sz w:val="24"/>
          <w:szCs w:val="24"/>
        </w:rPr>
        <w:t>'</w:t>
      </w:r>
      <w:r w:rsidR="00751EE0" w:rsidRPr="00B97A4E">
        <w:rPr>
          <w:rFonts w:ascii="Arial" w:hAnsi="Arial" w:cs="Arial"/>
          <w:sz w:val="24"/>
          <w:szCs w:val="24"/>
        </w:rPr>
        <w:t xml:space="preserve">s attorney requesting an indication </w:t>
      </w:r>
      <w:r w:rsidR="00E36AEE" w:rsidRPr="00B97A4E">
        <w:rPr>
          <w:rFonts w:ascii="Arial" w:hAnsi="Arial" w:cs="Arial"/>
          <w:sz w:val="24"/>
          <w:szCs w:val="24"/>
        </w:rPr>
        <w:t>of</w:t>
      </w:r>
      <w:r w:rsidR="00751EE0" w:rsidRPr="00B97A4E">
        <w:rPr>
          <w:rFonts w:ascii="Arial" w:hAnsi="Arial" w:cs="Arial"/>
          <w:sz w:val="24"/>
          <w:szCs w:val="24"/>
        </w:rPr>
        <w:t xml:space="preserve"> when the defendant</w:t>
      </w:r>
      <w:r w:rsidR="00E36AEE" w:rsidRPr="00B97A4E">
        <w:rPr>
          <w:rFonts w:ascii="Arial" w:hAnsi="Arial" w:cs="Arial"/>
          <w:sz w:val="24"/>
          <w:szCs w:val="24"/>
        </w:rPr>
        <w:t>'</w:t>
      </w:r>
      <w:r w:rsidR="00751EE0" w:rsidRPr="00B97A4E">
        <w:rPr>
          <w:rFonts w:ascii="Arial" w:hAnsi="Arial" w:cs="Arial"/>
          <w:sz w:val="24"/>
          <w:szCs w:val="24"/>
        </w:rPr>
        <w:t xml:space="preserve">s joinder application and further amended counterclaim could be expected to be filed. </w:t>
      </w:r>
      <w:r w:rsidR="00DD76B9" w:rsidRPr="00B97A4E">
        <w:rPr>
          <w:rFonts w:ascii="Arial" w:hAnsi="Arial" w:cs="Arial"/>
          <w:sz w:val="24"/>
          <w:szCs w:val="24"/>
        </w:rPr>
        <w:t>The matter was</w:t>
      </w:r>
      <w:r w:rsidR="00E36AEE" w:rsidRPr="00B97A4E">
        <w:rPr>
          <w:rFonts w:ascii="Arial" w:hAnsi="Arial" w:cs="Arial"/>
          <w:sz w:val="24"/>
          <w:szCs w:val="24"/>
        </w:rPr>
        <w:t>,</w:t>
      </w:r>
      <w:r w:rsidR="00DD76B9" w:rsidRPr="00B97A4E">
        <w:rPr>
          <w:rFonts w:ascii="Arial" w:hAnsi="Arial" w:cs="Arial"/>
          <w:sz w:val="24"/>
          <w:szCs w:val="24"/>
        </w:rPr>
        <w:t xml:space="preserve"> in the meanwhile</w:t>
      </w:r>
      <w:r w:rsidR="00E36AEE" w:rsidRPr="00B97A4E">
        <w:rPr>
          <w:rFonts w:ascii="Arial" w:hAnsi="Arial" w:cs="Arial"/>
          <w:sz w:val="24"/>
          <w:szCs w:val="24"/>
        </w:rPr>
        <w:t>,</w:t>
      </w:r>
      <w:r w:rsidR="00DD76B9" w:rsidRPr="00B97A4E">
        <w:rPr>
          <w:rFonts w:ascii="Arial" w:hAnsi="Arial" w:cs="Arial"/>
          <w:sz w:val="24"/>
          <w:szCs w:val="24"/>
        </w:rPr>
        <w:t xml:space="preserve"> set down for trial on</w:t>
      </w:r>
      <w:r w:rsidR="007E2D29" w:rsidRPr="00B97A4E">
        <w:rPr>
          <w:rFonts w:ascii="Arial" w:hAnsi="Arial" w:cs="Arial"/>
          <w:sz w:val="24"/>
          <w:szCs w:val="24"/>
        </w:rPr>
        <w:t xml:space="preserve"> 11 February 2020.</w:t>
      </w:r>
      <w:r w:rsidR="00AF1B0F" w:rsidRPr="00B97A4E">
        <w:rPr>
          <w:rFonts w:ascii="Arial" w:hAnsi="Arial" w:cs="Arial"/>
          <w:sz w:val="24"/>
          <w:szCs w:val="24"/>
        </w:rPr>
        <w:t xml:space="preserve"> The defendant</w:t>
      </w:r>
      <w:r w:rsidR="00E36AEE" w:rsidRPr="00B97A4E">
        <w:rPr>
          <w:rFonts w:ascii="Arial" w:hAnsi="Arial" w:cs="Arial"/>
          <w:sz w:val="24"/>
          <w:szCs w:val="24"/>
        </w:rPr>
        <w:t>'</w:t>
      </w:r>
      <w:r w:rsidR="00AF1B0F" w:rsidRPr="00B97A4E">
        <w:rPr>
          <w:rFonts w:ascii="Arial" w:hAnsi="Arial" w:cs="Arial"/>
          <w:sz w:val="24"/>
          <w:szCs w:val="24"/>
        </w:rPr>
        <w:t>s attorney of record only responded in a letter dated 31 January 2020</w:t>
      </w:r>
      <w:r w:rsidR="00E36AEE" w:rsidRPr="00B97A4E">
        <w:rPr>
          <w:rFonts w:ascii="Arial" w:hAnsi="Arial" w:cs="Arial"/>
          <w:sz w:val="24"/>
          <w:szCs w:val="24"/>
        </w:rPr>
        <w:t>,</w:t>
      </w:r>
      <w:r w:rsidR="00AF1B0F" w:rsidRPr="00B97A4E">
        <w:rPr>
          <w:rFonts w:ascii="Arial" w:hAnsi="Arial" w:cs="Arial"/>
          <w:sz w:val="24"/>
          <w:szCs w:val="24"/>
        </w:rPr>
        <w:t xml:space="preserve"> indicating that the defendan</w:t>
      </w:r>
      <w:r w:rsidR="00B31FA4" w:rsidRPr="00B97A4E">
        <w:rPr>
          <w:rFonts w:ascii="Arial" w:hAnsi="Arial" w:cs="Arial"/>
          <w:sz w:val="24"/>
          <w:szCs w:val="24"/>
        </w:rPr>
        <w:t xml:space="preserve">t is proceeding on </w:t>
      </w:r>
      <w:r w:rsidR="00AF1B0F" w:rsidRPr="00B97A4E">
        <w:rPr>
          <w:rFonts w:ascii="Arial" w:hAnsi="Arial" w:cs="Arial"/>
          <w:sz w:val="24"/>
          <w:szCs w:val="24"/>
        </w:rPr>
        <w:t xml:space="preserve">the counterclaim as per the </w:t>
      </w:r>
      <w:r w:rsidR="00B673BC" w:rsidRPr="00B97A4E">
        <w:rPr>
          <w:rFonts w:ascii="Arial" w:hAnsi="Arial" w:cs="Arial"/>
          <w:sz w:val="24"/>
          <w:szCs w:val="24"/>
        </w:rPr>
        <w:t>amended counterclaim</w:t>
      </w:r>
      <w:r w:rsidR="00DD2AFA" w:rsidRPr="00B97A4E">
        <w:rPr>
          <w:rFonts w:ascii="Arial" w:hAnsi="Arial" w:cs="Arial"/>
          <w:sz w:val="24"/>
          <w:szCs w:val="24"/>
        </w:rPr>
        <w:t xml:space="preserve"> filed in</w:t>
      </w:r>
      <w:r w:rsidR="00B673BC" w:rsidRPr="00B97A4E">
        <w:rPr>
          <w:rFonts w:ascii="Arial" w:hAnsi="Arial" w:cs="Arial"/>
          <w:sz w:val="24"/>
          <w:szCs w:val="24"/>
        </w:rPr>
        <w:t xml:space="preserve"> June 2019. The parties then agreed to postpone the trial </w:t>
      </w:r>
      <w:r w:rsidR="00B673BC" w:rsidRPr="00B97A4E">
        <w:rPr>
          <w:rFonts w:ascii="Arial" w:hAnsi="Arial" w:cs="Arial"/>
          <w:i/>
          <w:sz w:val="24"/>
          <w:szCs w:val="24"/>
        </w:rPr>
        <w:t>sine die</w:t>
      </w:r>
      <w:r w:rsidR="00B673BC" w:rsidRPr="00B97A4E">
        <w:rPr>
          <w:rFonts w:ascii="Arial" w:hAnsi="Arial" w:cs="Arial"/>
          <w:sz w:val="24"/>
          <w:szCs w:val="24"/>
        </w:rPr>
        <w:t>, reserve the costs, and seek the appointment of a case manager to assist with expediting the finalisation of the matter, including any interlocutory applications, trial certification, and the allocation of a preferential trial date. This agreement was captured in an order of court granted on 11 February 2020.</w:t>
      </w:r>
    </w:p>
    <w:p w14:paraId="1F538E33" w14:textId="77777777" w:rsidR="006066C2" w:rsidRPr="00BF6075" w:rsidRDefault="006066C2" w:rsidP="006066C2">
      <w:pPr>
        <w:pStyle w:val="ListParagraph"/>
        <w:tabs>
          <w:tab w:val="left" w:pos="4917"/>
        </w:tabs>
        <w:spacing w:before="120" w:after="120" w:line="360" w:lineRule="auto"/>
        <w:jc w:val="both"/>
        <w:rPr>
          <w:rFonts w:ascii="Arial" w:hAnsi="Arial" w:cs="Arial"/>
          <w:sz w:val="24"/>
          <w:szCs w:val="24"/>
        </w:rPr>
      </w:pPr>
    </w:p>
    <w:p w14:paraId="41D98162" w14:textId="1DE81A42" w:rsidR="006066C2" w:rsidRPr="00B97A4E" w:rsidRDefault="00B97A4E" w:rsidP="00B97A4E">
      <w:pPr>
        <w:tabs>
          <w:tab w:val="left" w:pos="4917"/>
        </w:tabs>
        <w:spacing w:before="120" w:after="120" w:line="360" w:lineRule="auto"/>
        <w:ind w:left="1080" w:hanging="720"/>
        <w:jc w:val="both"/>
        <w:rPr>
          <w:rFonts w:ascii="Arial" w:hAnsi="Arial" w:cs="Arial"/>
          <w:b/>
          <w:sz w:val="24"/>
          <w:szCs w:val="24"/>
        </w:rPr>
      </w:pPr>
      <w:r w:rsidRPr="00BF6075">
        <w:rPr>
          <w:rFonts w:ascii="Arial" w:hAnsi="Arial" w:cs="Arial"/>
          <w:b/>
          <w:sz w:val="24"/>
          <w:szCs w:val="24"/>
        </w:rPr>
        <w:t>(</w:t>
      </w:r>
      <w:proofErr w:type="spellStart"/>
      <w:r w:rsidRPr="00BF6075">
        <w:rPr>
          <w:rFonts w:ascii="Arial" w:hAnsi="Arial" w:cs="Arial"/>
          <w:b/>
          <w:sz w:val="24"/>
          <w:szCs w:val="24"/>
        </w:rPr>
        <w:t>i</w:t>
      </w:r>
      <w:proofErr w:type="spellEnd"/>
      <w:r w:rsidRPr="00BF6075">
        <w:rPr>
          <w:rFonts w:ascii="Arial" w:hAnsi="Arial" w:cs="Arial"/>
          <w:b/>
          <w:sz w:val="24"/>
          <w:szCs w:val="24"/>
        </w:rPr>
        <w:t>)</w:t>
      </w:r>
      <w:r w:rsidRPr="00BF6075">
        <w:rPr>
          <w:rFonts w:ascii="Arial" w:hAnsi="Arial" w:cs="Arial"/>
          <w:b/>
          <w:sz w:val="24"/>
          <w:szCs w:val="24"/>
        </w:rPr>
        <w:tab/>
      </w:r>
      <w:r w:rsidR="00B07262" w:rsidRPr="00B97A4E">
        <w:rPr>
          <w:rFonts w:ascii="Arial" w:hAnsi="Arial" w:cs="Arial"/>
          <w:b/>
          <w:sz w:val="24"/>
          <w:szCs w:val="24"/>
        </w:rPr>
        <w:t>T</w:t>
      </w:r>
      <w:r w:rsidR="006066C2" w:rsidRPr="00B97A4E">
        <w:rPr>
          <w:rFonts w:ascii="Arial" w:hAnsi="Arial" w:cs="Arial"/>
          <w:b/>
          <w:sz w:val="24"/>
          <w:szCs w:val="24"/>
        </w:rPr>
        <w:t>he condonation application</w:t>
      </w:r>
    </w:p>
    <w:p w14:paraId="4ACF1CD8" w14:textId="77777777" w:rsidR="00B673BC" w:rsidRPr="00BF6075" w:rsidRDefault="00B673BC" w:rsidP="00B673BC">
      <w:pPr>
        <w:pStyle w:val="ListParagraph"/>
        <w:tabs>
          <w:tab w:val="left" w:pos="4917"/>
        </w:tabs>
        <w:spacing w:before="120" w:after="120" w:line="360" w:lineRule="auto"/>
        <w:jc w:val="both"/>
        <w:rPr>
          <w:rFonts w:ascii="Arial" w:hAnsi="Arial" w:cs="Arial"/>
          <w:sz w:val="24"/>
          <w:szCs w:val="24"/>
        </w:rPr>
      </w:pPr>
    </w:p>
    <w:p w14:paraId="654B6E0A" w14:textId="1BC9CFA3" w:rsidR="00EA4756"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[7]</w:t>
      </w:r>
      <w:r w:rsidRPr="00BF6075">
        <w:rPr>
          <w:rFonts w:ascii="Arial" w:hAnsi="Arial" w:cs="Arial"/>
          <w:sz w:val="24"/>
          <w:szCs w:val="24"/>
        </w:rPr>
        <w:tab/>
      </w:r>
      <w:r w:rsidR="006066C2" w:rsidRPr="00B97A4E">
        <w:rPr>
          <w:rFonts w:ascii="Arial" w:hAnsi="Arial" w:cs="Arial"/>
          <w:sz w:val="24"/>
          <w:szCs w:val="24"/>
        </w:rPr>
        <w:t xml:space="preserve">Against the background set out above, regard should be </w:t>
      </w:r>
      <w:r w:rsidR="00B07262" w:rsidRPr="00B97A4E">
        <w:rPr>
          <w:rFonts w:ascii="Arial" w:hAnsi="Arial" w:cs="Arial"/>
          <w:sz w:val="24"/>
          <w:szCs w:val="24"/>
        </w:rPr>
        <w:t>given</w:t>
      </w:r>
      <w:r w:rsidR="00FF4BEC" w:rsidRPr="00B97A4E">
        <w:rPr>
          <w:rFonts w:ascii="Arial" w:hAnsi="Arial" w:cs="Arial"/>
          <w:sz w:val="24"/>
          <w:szCs w:val="24"/>
        </w:rPr>
        <w:t xml:space="preserve"> to the </w:t>
      </w:r>
      <w:r w:rsidR="00073926" w:rsidRPr="00B97A4E">
        <w:rPr>
          <w:rFonts w:ascii="Arial" w:hAnsi="Arial" w:cs="Arial"/>
          <w:sz w:val="24"/>
          <w:szCs w:val="24"/>
        </w:rPr>
        <w:t xml:space="preserve">case-management meeting </w:t>
      </w:r>
      <w:r w:rsidR="00FF4BEC" w:rsidRPr="00B97A4E">
        <w:rPr>
          <w:rFonts w:ascii="Arial" w:hAnsi="Arial" w:cs="Arial"/>
          <w:sz w:val="24"/>
          <w:szCs w:val="24"/>
        </w:rPr>
        <w:t xml:space="preserve">that </w:t>
      </w:r>
      <w:r w:rsidR="00073926" w:rsidRPr="00B97A4E">
        <w:rPr>
          <w:rFonts w:ascii="Arial" w:hAnsi="Arial" w:cs="Arial"/>
          <w:sz w:val="24"/>
          <w:szCs w:val="24"/>
        </w:rPr>
        <w:t xml:space="preserve">was conducted before </w:t>
      </w:r>
      <w:proofErr w:type="spellStart"/>
      <w:r w:rsidR="00073926" w:rsidRPr="00B97A4E">
        <w:rPr>
          <w:rFonts w:ascii="Arial" w:hAnsi="Arial" w:cs="Arial"/>
          <w:sz w:val="24"/>
          <w:szCs w:val="24"/>
        </w:rPr>
        <w:t>Mn</w:t>
      </w:r>
      <w:r w:rsidR="00091FA3" w:rsidRPr="00B97A4E">
        <w:rPr>
          <w:rFonts w:ascii="Arial" w:hAnsi="Arial" w:cs="Arial"/>
          <w:sz w:val="24"/>
          <w:szCs w:val="24"/>
        </w:rPr>
        <w:t>g</w:t>
      </w:r>
      <w:r w:rsidR="00073926" w:rsidRPr="00B97A4E">
        <w:rPr>
          <w:rFonts w:ascii="Arial" w:hAnsi="Arial" w:cs="Arial"/>
          <w:sz w:val="24"/>
          <w:szCs w:val="24"/>
        </w:rPr>
        <w:t>qibisa-Thusi</w:t>
      </w:r>
      <w:proofErr w:type="spellEnd"/>
      <w:r w:rsidR="00073926" w:rsidRPr="00B97A4E">
        <w:rPr>
          <w:rFonts w:ascii="Arial" w:hAnsi="Arial" w:cs="Arial"/>
          <w:sz w:val="24"/>
          <w:szCs w:val="24"/>
        </w:rPr>
        <w:t xml:space="preserve"> J</w:t>
      </w:r>
      <w:r w:rsidR="006066C2" w:rsidRPr="00B97A4E">
        <w:rPr>
          <w:rFonts w:ascii="Arial" w:hAnsi="Arial" w:cs="Arial"/>
          <w:sz w:val="24"/>
          <w:szCs w:val="24"/>
        </w:rPr>
        <w:t xml:space="preserve"> on 29 March 2021</w:t>
      </w:r>
      <w:r w:rsidR="00073926" w:rsidRPr="00B97A4E">
        <w:rPr>
          <w:rFonts w:ascii="Arial" w:hAnsi="Arial" w:cs="Arial"/>
          <w:sz w:val="24"/>
          <w:szCs w:val="24"/>
        </w:rPr>
        <w:t>.</w:t>
      </w:r>
      <w:r w:rsidR="006066C2" w:rsidRPr="00B97A4E">
        <w:rPr>
          <w:rFonts w:ascii="Arial" w:hAnsi="Arial" w:cs="Arial"/>
          <w:sz w:val="24"/>
          <w:szCs w:val="24"/>
        </w:rPr>
        <w:t xml:space="preserve"> </w:t>
      </w:r>
      <w:r w:rsidR="00073926" w:rsidRPr="00B97A4E">
        <w:rPr>
          <w:rFonts w:ascii="Arial" w:hAnsi="Arial" w:cs="Arial"/>
          <w:sz w:val="24"/>
          <w:szCs w:val="24"/>
        </w:rPr>
        <w:t xml:space="preserve">It is important for the issues to be decided by this court that the Directive issued by </w:t>
      </w:r>
      <w:proofErr w:type="spellStart"/>
      <w:r w:rsidR="00073926" w:rsidRPr="00B97A4E">
        <w:rPr>
          <w:rFonts w:ascii="Arial" w:hAnsi="Arial" w:cs="Arial"/>
          <w:sz w:val="24"/>
          <w:szCs w:val="24"/>
        </w:rPr>
        <w:t>Mngqibisa-Thusi</w:t>
      </w:r>
      <w:proofErr w:type="spellEnd"/>
      <w:r w:rsidR="00073926" w:rsidRPr="00B97A4E">
        <w:rPr>
          <w:rFonts w:ascii="Arial" w:hAnsi="Arial" w:cs="Arial"/>
          <w:sz w:val="24"/>
          <w:szCs w:val="24"/>
        </w:rPr>
        <w:t xml:space="preserve"> J, and signed by the parties</w:t>
      </w:r>
      <w:r w:rsidR="00E36AEE" w:rsidRPr="00B97A4E">
        <w:rPr>
          <w:rFonts w:ascii="Arial" w:hAnsi="Arial" w:cs="Arial"/>
          <w:sz w:val="24"/>
          <w:szCs w:val="24"/>
        </w:rPr>
        <w:t>'</w:t>
      </w:r>
      <w:r w:rsidR="00073926" w:rsidRPr="00B97A4E">
        <w:rPr>
          <w:rFonts w:ascii="Arial" w:hAnsi="Arial" w:cs="Arial"/>
          <w:sz w:val="24"/>
          <w:szCs w:val="24"/>
        </w:rPr>
        <w:t xml:space="preserve"> respective counsel, records the following:</w:t>
      </w:r>
    </w:p>
    <w:p w14:paraId="61E160A7" w14:textId="77777777" w:rsidR="00073926" w:rsidRPr="00BF6075" w:rsidRDefault="00073926" w:rsidP="00073926">
      <w:pPr>
        <w:pStyle w:val="ListParagraph"/>
        <w:rPr>
          <w:rFonts w:ascii="Arial" w:hAnsi="Arial" w:cs="Arial"/>
          <w:sz w:val="24"/>
          <w:szCs w:val="24"/>
        </w:rPr>
      </w:pPr>
    </w:p>
    <w:p w14:paraId="466DFF9D" w14:textId="08BCB5E9" w:rsidR="00073926" w:rsidRPr="00BF6075" w:rsidRDefault="00E36AEE" w:rsidP="00073926">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w:t>
      </w:r>
      <w:r w:rsidR="00073926" w:rsidRPr="00BF6075">
        <w:rPr>
          <w:rFonts w:ascii="Arial" w:hAnsi="Arial" w:cs="Arial"/>
          <w:sz w:val="24"/>
          <w:szCs w:val="24"/>
        </w:rPr>
        <w:t xml:space="preserve">3. In an effort to curtail the disputes, the parties have agreed to the following directive, with particular reference to the timelines of the delivery of court process, which is hereby made an order </w:t>
      </w:r>
      <w:r w:rsidR="00073926" w:rsidRPr="00BF6075">
        <w:rPr>
          <w:rFonts w:ascii="Arial" w:hAnsi="Arial" w:cs="Arial"/>
          <w:b/>
          <w:sz w:val="24"/>
          <w:szCs w:val="24"/>
        </w:rPr>
        <w:t>by agreement</w:t>
      </w:r>
      <w:r w:rsidR="00073926" w:rsidRPr="00BF6075">
        <w:rPr>
          <w:rFonts w:ascii="Arial" w:hAnsi="Arial" w:cs="Arial"/>
          <w:sz w:val="24"/>
          <w:szCs w:val="24"/>
        </w:rPr>
        <w:t>:</w:t>
      </w:r>
    </w:p>
    <w:p w14:paraId="6AB9EC8A" w14:textId="678485D0" w:rsidR="00073926" w:rsidRPr="00BF6075" w:rsidRDefault="00224797" w:rsidP="00224797">
      <w:pPr>
        <w:pStyle w:val="ListParagraph"/>
        <w:tabs>
          <w:tab w:val="left" w:pos="1440"/>
        </w:tabs>
        <w:spacing w:before="120" w:after="120" w:line="360" w:lineRule="auto"/>
        <w:ind w:left="1440" w:hanging="720"/>
        <w:jc w:val="both"/>
        <w:rPr>
          <w:rFonts w:ascii="Arial" w:hAnsi="Arial" w:cs="Arial"/>
          <w:sz w:val="24"/>
          <w:szCs w:val="24"/>
        </w:rPr>
      </w:pPr>
      <w:r w:rsidRPr="00BF6075">
        <w:rPr>
          <w:rFonts w:ascii="Arial" w:hAnsi="Arial" w:cs="Arial"/>
          <w:sz w:val="24"/>
          <w:szCs w:val="24"/>
        </w:rPr>
        <w:t>3.1</w:t>
      </w:r>
      <w:r w:rsidRPr="00BF6075">
        <w:rPr>
          <w:rFonts w:ascii="Arial" w:hAnsi="Arial" w:cs="Arial"/>
          <w:sz w:val="24"/>
          <w:szCs w:val="24"/>
        </w:rPr>
        <w:tab/>
        <w:t xml:space="preserve">subject to the discretion of the Court hearing the matter to grant </w:t>
      </w:r>
      <w:r w:rsidR="003A04E4">
        <w:rPr>
          <w:rFonts w:ascii="Arial" w:hAnsi="Arial" w:cs="Arial"/>
          <w:sz w:val="24"/>
          <w:szCs w:val="24"/>
        </w:rPr>
        <w:t>o</w:t>
      </w:r>
      <w:r w:rsidRPr="00BF6075">
        <w:rPr>
          <w:rFonts w:ascii="Arial" w:hAnsi="Arial" w:cs="Arial"/>
          <w:sz w:val="24"/>
          <w:szCs w:val="24"/>
        </w:rPr>
        <w:t>r refuse condonation for the late filing of the Defendant</w:t>
      </w:r>
      <w:r w:rsidR="00E36AEE">
        <w:rPr>
          <w:rFonts w:ascii="Arial" w:hAnsi="Arial" w:cs="Arial"/>
          <w:sz w:val="24"/>
          <w:szCs w:val="24"/>
        </w:rPr>
        <w:t>'</w:t>
      </w:r>
      <w:r w:rsidRPr="00BF6075">
        <w:rPr>
          <w:rFonts w:ascii="Arial" w:hAnsi="Arial" w:cs="Arial"/>
          <w:sz w:val="24"/>
          <w:szCs w:val="24"/>
        </w:rPr>
        <w:t xml:space="preserve">s amendment in terms of the divorce order granted by </w:t>
      </w:r>
      <w:proofErr w:type="spellStart"/>
      <w:r w:rsidRPr="00BF6075">
        <w:rPr>
          <w:rFonts w:ascii="Arial" w:hAnsi="Arial" w:cs="Arial"/>
          <w:sz w:val="24"/>
          <w:szCs w:val="24"/>
        </w:rPr>
        <w:t>Fabricius</w:t>
      </w:r>
      <w:proofErr w:type="spellEnd"/>
      <w:r w:rsidRPr="00BF6075">
        <w:rPr>
          <w:rFonts w:ascii="Arial" w:hAnsi="Arial" w:cs="Arial"/>
          <w:sz w:val="24"/>
          <w:szCs w:val="24"/>
        </w:rPr>
        <w:t xml:space="preserve"> J on 14 march 2019, the Plaintiff withdraws its opposition to the Defendant</w:t>
      </w:r>
      <w:r w:rsidR="00E36AEE">
        <w:rPr>
          <w:rFonts w:ascii="Arial" w:hAnsi="Arial" w:cs="Arial"/>
          <w:sz w:val="24"/>
          <w:szCs w:val="24"/>
        </w:rPr>
        <w:t>'</w:t>
      </w:r>
      <w:r w:rsidRPr="00BF6075">
        <w:rPr>
          <w:rFonts w:ascii="Arial" w:hAnsi="Arial" w:cs="Arial"/>
          <w:sz w:val="24"/>
          <w:szCs w:val="24"/>
        </w:rPr>
        <w:t>s condonation application in respect of such late filing of the first notice of amendment (served on 14 May 2019) and the subsequent filing of the amended papers (served on 20 June 2019);</w:t>
      </w:r>
    </w:p>
    <w:p w14:paraId="0EB4453C" w14:textId="1799DF34" w:rsidR="00224797" w:rsidRPr="00BF6075" w:rsidRDefault="00224797" w:rsidP="00224797">
      <w:pPr>
        <w:pStyle w:val="ListParagraph"/>
        <w:tabs>
          <w:tab w:val="left" w:pos="1440"/>
        </w:tabs>
        <w:spacing w:before="120" w:after="120" w:line="360" w:lineRule="auto"/>
        <w:ind w:left="1440" w:hanging="720"/>
        <w:jc w:val="both"/>
        <w:rPr>
          <w:rFonts w:ascii="Arial" w:hAnsi="Arial" w:cs="Arial"/>
          <w:sz w:val="24"/>
          <w:szCs w:val="24"/>
        </w:rPr>
      </w:pPr>
      <w:r w:rsidRPr="00BF6075">
        <w:rPr>
          <w:rFonts w:ascii="Arial" w:hAnsi="Arial" w:cs="Arial"/>
          <w:sz w:val="24"/>
          <w:szCs w:val="24"/>
        </w:rPr>
        <w:t>3.2</w:t>
      </w:r>
      <w:r w:rsidRPr="00BF6075">
        <w:rPr>
          <w:rFonts w:ascii="Arial" w:hAnsi="Arial" w:cs="Arial"/>
          <w:sz w:val="24"/>
          <w:szCs w:val="24"/>
        </w:rPr>
        <w:tab/>
        <w:t>subject to the discretion of the Court hearing the matter to grant or refuse condonation for late filing of the Plaintiff</w:t>
      </w:r>
      <w:r w:rsidR="00E36AEE">
        <w:rPr>
          <w:rFonts w:ascii="Arial" w:hAnsi="Arial" w:cs="Arial"/>
          <w:sz w:val="24"/>
          <w:szCs w:val="24"/>
        </w:rPr>
        <w:t>'</w:t>
      </w:r>
      <w:r w:rsidRPr="00BF6075">
        <w:rPr>
          <w:rFonts w:ascii="Arial" w:hAnsi="Arial" w:cs="Arial"/>
          <w:sz w:val="24"/>
          <w:szCs w:val="24"/>
        </w:rPr>
        <w:t>s exception, having regard to the Plaintiff</w:t>
      </w:r>
      <w:r w:rsidR="00E36AEE">
        <w:rPr>
          <w:rFonts w:ascii="Arial" w:hAnsi="Arial" w:cs="Arial"/>
          <w:sz w:val="24"/>
          <w:szCs w:val="24"/>
        </w:rPr>
        <w:t>'</w:t>
      </w:r>
      <w:r w:rsidRPr="00BF6075">
        <w:rPr>
          <w:rFonts w:ascii="Arial" w:hAnsi="Arial" w:cs="Arial"/>
          <w:sz w:val="24"/>
          <w:szCs w:val="24"/>
        </w:rPr>
        <w:t xml:space="preserve">s Rule 23 Notice served on 11 July 2019, the Defendant condones the late [filing of] </w:t>
      </w:r>
      <w:r w:rsidR="008C03CB" w:rsidRPr="00BF6075">
        <w:rPr>
          <w:rFonts w:ascii="Arial" w:hAnsi="Arial" w:cs="Arial"/>
          <w:sz w:val="24"/>
          <w:szCs w:val="24"/>
        </w:rPr>
        <w:t>the Plaintiff</w:t>
      </w:r>
      <w:r w:rsidR="00E36AEE">
        <w:rPr>
          <w:rFonts w:ascii="Arial" w:hAnsi="Arial" w:cs="Arial"/>
          <w:sz w:val="24"/>
          <w:szCs w:val="24"/>
        </w:rPr>
        <w:t>'</w:t>
      </w:r>
      <w:r w:rsidR="008C03CB" w:rsidRPr="00BF6075">
        <w:rPr>
          <w:rFonts w:ascii="Arial" w:hAnsi="Arial" w:cs="Arial"/>
          <w:sz w:val="24"/>
          <w:szCs w:val="24"/>
        </w:rPr>
        <w:t>s formal exception to the amended pages. The Plaintiff shall deliver his formal exception to the amended pages within ten (10) Court days of signature of this directive by both parties;</w:t>
      </w:r>
    </w:p>
    <w:p w14:paraId="34C473D4" w14:textId="18C35489" w:rsidR="008C03CB" w:rsidRPr="00BF6075" w:rsidRDefault="008C03CB" w:rsidP="00224797">
      <w:pPr>
        <w:pStyle w:val="ListParagraph"/>
        <w:tabs>
          <w:tab w:val="left" w:pos="1440"/>
        </w:tabs>
        <w:spacing w:before="120" w:after="120" w:line="360" w:lineRule="auto"/>
        <w:ind w:left="1440" w:hanging="720"/>
        <w:jc w:val="both"/>
        <w:rPr>
          <w:rFonts w:ascii="Arial" w:hAnsi="Arial" w:cs="Arial"/>
          <w:sz w:val="24"/>
          <w:szCs w:val="24"/>
        </w:rPr>
      </w:pPr>
      <w:r w:rsidRPr="00BF6075">
        <w:rPr>
          <w:rFonts w:ascii="Arial" w:hAnsi="Arial" w:cs="Arial"/>
          <w:sz w:val="24"/>
          <w:szCs w:val="24"/>
        </w:rPr>
        <w:t>3.3</w:t>
      </w:r>
      <w:r w:rsidRPr="00BF6075">
        <w:rPr>
          <w:rFonts w:ascii="Arial" w:hAnsi="Arial" w:cs="Arial"/>
          <w:sz w:val="24"/>
          <w:szCs w:val="24"/>
        </w:rPr>
        <w:tab/>
        <w:t>should the Defendant wish to further amend her papers after the Plaintiff</w:t>
      </w:r>
      <w:r w:rsidR="00E36AEE">
        <w:rPr>
          <w:rFonts w:ascii="Arial" w:hAnsi="Arial" w:cs="Arial"/>
          <w:sz w:val="24"/>
          <w:szCs w:val="24"/>
        </w:rPr>
        <w:t>'</w:t>
      </w:r>
      <w:r w:rsidRPr="00BF6075">
        <w:rPr>
          <w:rFonts w:ascii="Arial" w:hAnsi="Arial" w:cs="Arial"/>
          <w:sz w:val="24"/>
          <w:szCs w:val="24"/>
        </w:rPr>
        <w:t>s formal exception has been delivered, the Defendant shall deliver her subsequent notice of intention to amend within 15 (fifteen) court days of the delivery of the Plaintiff</w:t>
      </w:r>
      <w:r w:rsidR="00E36AEE">
        <w:rPr>
          <w:rFonts w:ascii="Arial" w:hAnsi="Arial" w:cs="Arial"/>
          <w:sz w:val="24"/>
          <w:szCs w:val="24"/>
        </w:rPr>
        <w:t>'</w:t>
      </w:r>
      <w:r w:rsidRPr="00BF6075">
        <w:rPr>
          <w:rFonts w:ascii="Arial" w:hAnsi="Arial" w:cs="Arial"/>
          <w:sz w:val="24"/>
          <w:szCs w:val="24"/>
        </w:rPr>
        <w:t>s formal exception;</w:t>
      </w:r>
    </w:p>
    <w:p w14:paraId="08D5FC09" w14:textId="6E9AF4F7" w:rsidR="008C03CB" w:rsidRPr="00BF6075" w:rsidRDefault="008C03CB" w:rsidP="00224797">
      <w:pPr>
        <w:pStyle w:val="ListParagraph"/>
        <w:tabs>
          <w:tab w:val="left" w:pos="1440"/>
        </w:tabs>
        <w:spacing w:before="120" w:after="120" w:line="360" w:lineRule="auto"/>
        <w:ind w:left="1440" w:hanging="720"/>
        <w:jc w:val="both"/>
        <w:rPr>
          <w:rFonts w:ascii="Arial" w:hAnsi="Arial" w:cs="Arial"/>
          <w:sz w:val="24"/>
          <w:szCs w:val="24"/>
        </w:rPr>
      </w:pPr>
      <w:r w:rsidRPr="00BF6075">
        <w:rPr>
          <w:rFonts w:ascii="Arial" w:hAnsi="Arial" w:cs="Arial"/>
          <w:sz w:val="24"/>
          <w:szCs w:val="24"/>
        </w:rPr>
        <w:t>…</w:t>
      </w:r>
    </w:p>
    <w:p w14:paraId="49B498A6" w14:textId="285DD5AA" w:rsidR="008C03CB" w:rsidRPr="00BF6075" w:rsidRDefault="008C03CB" w:rsidP="00224797">
      <w:pPr>
        <w:pStyle w:val="ListParagraph"/>
        <w:tabs>
          <w:tab w:val="left" w:pos="1440"/>
        </w:tabs>
        <w:spacing w:before="120" w:after="120" w:line="360" w:lineRule="auto"/>
        <w:ind w:left="1440" w:hanging="720"/>
        <w:jc w:val="both"/>
        <w:rPr>
          <w:rFonts w:ascii="Arial" w:hAnsi="Arial" w:cs="Arial"/>
          <w:b/>
          <w:i/>
          <w:sz w:val="24"/>
          <w:szCs w:val="24"/>
        </w:rPr>
      </w:pPr>
      <w:r w:rsidRPr="00BF6075">
        <w:rPr>
          <w:rFonts w:ascii="Arial" w:hAnsi="Arial" w:cs="Arial"/>
          <w:sz w:val="24"/>
          <w:szCs w:val="24"/>
        </w:rPr>
        <w:t>3.6</w:t>
      </w:r>
      <w:r w:rsidRPr="00BF6075">
        <w:rPr>
          <w:rFonts w:ascii="Arial" w:hAnsi="Arial" w:cs="Arial"/>
          <w:sz w:val="24"/>
          <w:szCs w:val="24"/>
        </w:rPr>
        <w:tab/>
        <w:t>the costs occasioned by the defendant</w:t>
      </w:r>
      <w:r w:rsidR="00E36AEE">
        <w:rPr>
          <w:rFonts w:ascii="Arial" w:hAnsi="Arial" w:cs="Arial"/>
          <w:sz w:val="24"/>
          <w:szCs w:val="24"/>
        </w:rPr>
        <w:t>'</w:t>
      </w:r>
      <w:r w:rsidRPr="00BF6075">
        <w:rPr>
          <w:rFonts w:ascii="Arial" w:hAnsi="Arial" w:cs="Arial"/>
          <w:sz w:val="24"/>
          <w:szCs w:val="24"/>
        </w:rPr>
        <w:t>s first notice of intention to amend served on 14 May 2019, the amended pages served on 20 June 2019, the condonation application and the Defendant</w:t>
      </w:r>
      <w:r w:rsidR="00E36AEE">
        <w:rPr>
          <w:rFonts w:ascii="Arial" w:hAnsi="Arial" w:cs="Arial"/>
          <w:sz w:val="24"/>
          <w:szCs w:val="24"/>
        </w:rPr>
        <w:t>'</w:t>
      </w:r>
      <w:r w:rsidRPr="00BF6075">
        <w:rPr>
          <w:rFonts w:ascii="Arial" w:hAnsi="Arial" w:cs="Arial"/>
          <w:sz w:val="24"/>
          <w:szCs w:val="24"/>
        </w:rPr>
        <w:t xml:space="preserve">s second notice to amend served </w:t>
      </w:r>
      <w:r w:rsidRPr="00BF6075">
        <w:rPr>
          <w:rFonts w:ascii="Arial" w:hAnsi="Arial" w:cs="Arial"/>
          <w:sz w:val="24"/>
          <w:szCs w:val="24"/>
        </w:rPr>
        <w:lastRenderedPageBreak/>
        <w:t xml:space="preserve">on 13 August 2019 are reserved </w:t>
      </w:r>
      <w:r w:rsidRPr="00BF6075">
        <w:rPr>
          <w:rFonts w:ascii="Arial" w:hAnsi="Arial" w:cs="Arial"/>
          <w:b/>
          <w:sz w:val="24"/>
          <w:szCs w:val="24"/>
        </w:rPr>
        <w:t>for determination at the main hearing of the matter.</w:t>
      </w:r>
      <w:r w:rsidR="00E36AEE">
        <w:rPr>
          <w:rFonts w:ascii="Arial" w:hAnsi="Arial" w:cs="Arial"/>
          <w:b/>
          <w:sz w:val="24"/>
          <w:szCs w:val="24"/>
        </w:rPr>
        <w:t>'</w:t>
      </w:r>
      <w:r w:rsidRPr="00BF6075">
        <w:rPr>
          <w:rFonts w:ascii="Arial" w:hAnsi="Arial" w:cs="Arial"/>
          <w:b/>
          <w:sz w:val="24"/>
          <w:szCs w:val="24"/>
        </w:rPr>
        <w:t xml:space="preserve"> </w:t>
      </w:r>
      <w:r w:rsidRPr="00BF6075">
        <w:rPr>
          <w:rFonts w:ascii="Arial" w:hAnsi="Arial" w:cs="Arial"/>
          <w:sz w:val="24"/>
          <w:szCs w:val="24"/>
        </w:rPr>
        <w:t>(My emphasis)</w:t>
      </w:r>
    </w:p>
    <w:p w14:paraId="04349552" w14:textId="77777777" w:rsidR="00224797" w:rsidRPr="00BF6075" w:rsidRDefault="00224797" w:rsidP="00224797">
      <w:pPr>
        <w:pStyle w:val="ListParagraph"/>
        <w:tabs>
          <w:tab w:val="left" w:pos="1440"/>
        </w:tabs>
        <w:spacing w:before="120" w:after="120" w:line="360" w:lineRule="auto"/>
        <w:jc w:val="both"/>
        <w:rPr>
          <w:rFonts w:ascii="Arial" w:hAnsi="Arial" w:cs="Arial"/>
          <w:sz w:val="24"/>
          <w:szCs w:val="24"/>
        </w:rPr>
      </w:pPr>
    </w:p>
    <w:p w14:paraId="20008C92" w14:textId="0650E5F4" w:rsidR="00E330F7"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[8]</w:t>
      </w:r>
      <w:r w:rsidRPr="00BF6075">
        <w:rPr>
          <w:rFonts w:ascii="Arial" w:hAnsi="Arial" w:cs="Arial"/>
          <w:sz w:val="24"/>
          <w:szCs w:val="24"/>
        </w:rPr>
        <w:tab/>
      </w:r>
      <w:r w:rsidR="00E330F7" w:rsidRPr="00B97A4E">
        <w:rPr>
          <w:rFonts w:ascii="Arial" w:hAnsi="Arial" w:cs="Arial"/>
          <w:sz w:val="24"/>
          <w:szCs w:val="24"/>
        </w:rPr>
        <w:t>R</w:t>
      </w:r>
      <w:r w:rsidR="00E36AEE" w:rsidRPr="00B97A4E">
        <w:rPr>
          <w:rFonts w:ascii="Arial" w:hAnsi="Arial" w:cs="Arial"/>
          <w:sz w:val="24"/>
          <w:szCs w:val="24"/>
        </w:rPr>
        <w:t xml:space="preserve">ule 27(1) </w:t>
      </w:r>
      <w:r w:rsidR="00E330F7" w:rsidRPr="00B97A4E">
        <w:rPr>
          <w:rFonts w:ascii="Arial" w:hAnsi="Arial" w:cs="Arial"/>
          <w:sz w:val="24"/>
          <w:szCs w:val="24"/>
        </w:rPr>
        <w:t>envisages that an application for the removal of a bar is necessary only in the absence of an agreement between the parties. Th</w:t>
      </w:r>
      <w:r w:rsidR="008C03CB" w:rsidRPr="00B97A4E">
        <w:rPr>
          <w:rFonts w:ascii="Arial" w:hAnsi="Arial" w:cs="Arial"/>
          <w:sz w:val="24"/>
          <w:szCs w:val="24"/>
        </w:rPr>
        <w:t>e pla</w:t>
      </w:r>
      <w:r w:rsidR="00CE0D6F" w:rsidRPr="00B97A4E">
        <w:rPr>
          <w:rFonts w:ascii="Arial" w:hAnsi="Arial" w:cs="Arial"/>
          <w:sz w:val="24"/>
          <w:szCs w:val="24"/>
        </w:rPr>
        <w:t>intiff withdrew h</w:t>
      </w:r>
      <w:r w:rsidR="00E330F7" w:rsidRPr="00B97A4E">
        <w:rPr>
          <w:rFonts w:ascii="Arial" w:hAnsi="Arial" w:cs="Arial"/>
          <w:sz w:val="24"/>
          <w:szCs w:val="24"/>
        </w:rPr>
        <w:t xml:space="preserve">is </w:t>
      </w:r>
      <w:r w:rsidR="008C03CB" w:rsidRPr="00B97A4E">
        <w:rPr>
          <w:rFonts w:ascii="Arial" w:hAnsi="Arial" w:cs="Arial"/>
          <w:sz w:val="24"/>
          <w:szCs w:val="24"/>
        </w:rPr>
        <w:t>opposition to the defendant</w:t>
      </w:r>
      <w:r w:rsidR="00E36AEE" w:rsidRPr="00B97A4E">
        <w:rPr>
          <w:rFonts w:ascii="Arial" w:hAnsi="Arial" w:cs="Arial"/>
          <w:sz w:val="24"/>
          <w:szCs w:val="24"/>
        </w:rPr>
        <w:t>'</w:t>
      </w:r>
      <w:r w:rsidR="008C03CB" w:rsidRPr="00B97A4E">
        <w:rPr>
          <w:rFonts w:ascii="Arial" w:hAnsi="Arial" w:cs="Arial"/>
          <w:sz w:val="24"/>
          <w:szCs w:val="24"/>
        </w:rPr>
        <w:t>s amendment of the counterclaim</w:t>
      </w:r>
      <w:r w:rsidR="00CE0D6F" w:rsidRPr="00B97A4E">
        <w:rPr>
          <w:rFonts w:ascii="Arial" w:hAnsi="Arial" w:cs="Arial"/>
          <w:sz w:val="24"/>
          <w:szCs w:val="24"/>
        </w:rPr>
        <w:t>, the defendant agreed that the plaintiff could proceed with the formal exception if he w</w:t>
      </w:r>
      <w:r w:rsidR="00E36AEE" w:rsidRPr="00B97A4E">
        <w:rPr>
          <w:rFonts w:ascii="Arial" w:hAnsi="Arial" w:cs="Arial"/>
          <w:sz w:val="24"/>
          <w:szCs w:val="24"/>
        </w:rPr>
        <w:t>ere</w:t>
      </w:r>
      <w:r w:rsidR="00CE0D6F" w:rsidRPr="00B97A4E">
        <w:rPr>
          <w:rFonts w:ascii="Arial" w:hAnsi="Arial" w:cs="Arial"/>
          <w:sz w:val="24"/>
          <w:szCs w:val="24"/>
        </w:rPr>
        <w:t xml:space="preserve"> inclined to do so</w:t>
      </w:r>
      <w:r w:rsidR="00E330F7" w:rsidRPr="00B97A4E">
        <w:rPr>
          <w:rFonts w:ascii="Arial" w:hAnsi="Arial" w:cs="Arial"/>
          <w:sz w:val="24"/>
          <w:szCs w:val="24"/>
        </w:rPr>
        <w:t>. There is no reason to dwell further on the condonation applications.</w:t>
      </w:r>
      <w:r w:rsidR="00CE0D6F" w:rsidRPr="00B97A4E">
        <w:rPr>
          <w:rFonts w:ascii="Arial" w:hAnsi="Arial" w:cs="Arial"/>
          <w:sz w:val="24"/>
          <w:szCs w:val="24"/>
        </w:rPr>
        <w:t xml:space="preserve"> </w:t>
      </w:r>
      <w:r w:rsidR="00E330F7" w:rsidRPr="00B97A4E">
        <w:rPr>
          <w:rFonts w:ascii="Arial" w:hAnsi="Arial" w:cs="Arial"/>
          <w:sz w:val="24"/>
          <w:szCs w:val="24"/>
        </w:rPr>
        <w:t>T</w:t>
      </w:r>
      <w:r w:rsidR="00CE0D6F" w:rsidRPr="00B97A4E">
        <w:rPr>
          <w:rFonts w:ascii="Arial" w:hAnsi="Arial" w:cs="Arial"/>
          <w:sz w:val="24"/>
          <w:szCs w:val="24"/>
        </w:rPr>
        <w:t>he defendant</w:t>
      </w:r>
      <w:r w:rsidR="00E36AEE" w:rsidRPr="00B97A4E">
        <w:rPr>
          <w:rFonts w:ascii="Arial" w:hAnsi="Arial" w:cs="Arial"/>
          <w:sz w:val="24"/>
          <w:szCs w:val="24"/>
        </w:rPr>
        <w:t>'</w:t>
      </w:r>
      <w:r w:rsidR="00CE0D6F" w:rsidRPr="00B97A4E">
        <w:rPr>
          <w:rFonts w:ascii="Arial" w:hAnsi="Arial" w:cs="Arial"/>
          <w:sz w:val="24"/>
          <w:szCs w:val="24"/>
        </w:rPr>
        <w:t>s amendment of her plea and counterclaim</w:t>
      </w:r>
      <w:r w:rsidR="00E36AEE" w:rsidRPr="00B97A4E">
        <w:rPr>
          <w:rFonts w:ascii="Arial" w:hAnsi="Arial" w:cs="Arial"/>
          <w:sz w:val="24"/>
          <w:szCs w:val="24"/>
        </w:rPr>
        <w:t>,</w:t>
      </w:r>
      <w:r w:rsidR="00CE0D6F" w:rsidRPr="00B97A4E">
        <w:rPr>
          <w:rFonts w:ascii="Arial" w:hAnsi="Arial" w:cs="Arial"/>
          <w:sz w:val="24"/>
          <w:szCs w:val="24"/>
        </w:rPr>
        <w:t xml:space="preserve"> as set out in the amended pages served on 20 June 2019</w:t>
      </w:r>
      <w:r w:rsidR="00B07262" w:rsidRPr="00B97A4E">
        <w:rPr>
          <w:rFonts w:ascii="Arial" w:hAnsi="Arial" w:cs="Arial"/>
          <w:sz w:val="24"/>
          <w:szCs w:val="24"/>
        </w:rPr>
        <w:t>,</w:t>
      </w:r>
      <w:r w:rsidR="00CE0D6F" w:rsidRPr="00B97A4E">
        <w:rPr>
          <w:rFonts w:ascii="Arial" w:hAnsi="Arial" w:cs="Arial"/>
          <w:sz w:val="24"/>
          <w:szCs w:val="24"/>
        </w:rPr>
        <w:t xml:space="preserve"> </w:t>
      </w:r>
      <w:r w:rsidR="00E330F7" w:rsidRPr="00B97A4E">
        <w:rPr>
          <w:rFonts w:ascii="Arial" w:hAnsi="Arial" w:cs="Arial"/>
          <w:sz w:val="24"/>
          <w:szCs w:val="24"/>
        </w:rPr>
        <w:t>stand</w:t>
      </w:r>
      <w:r w:rsidR="00B07262" w:rsidRPr="00B97A4E">
        <w:rPr>
          <w:rFonts w:ascii="Arial" w:hAnsi="Arial" w:cs="Arial"/>
          <w:sz w:val="24"/>
          <w:szCs w:val="24"/>
        </w:rPr>
        <w:t>s</w:t>
      </w:r>
      <w:r w:rsidR="00E330F7" w:rsidRPr="00B97A4E">
        <w:rPr>
          <w:rFonts w:ascii="Arial" w:hAnsi="Arial" w:cs="Arial"/>
          <w:sz w:val="24"/>
          <w:szCs w:val="24"/>
        </w:rPr>
        <w:t xml:space="preserve"> to be</w:t>
      </w:r>
      <w:r w:rsidR="00CE0D6F" w:rsidRPr="00B97A4E">
        <w:rPr>
          <w:rFonts w:ascii="Arial" w:hAnsi="Arial" w:cs="Arial"/>
          <w:sz w:val="24"/>
          <w:szCs w:val="24"/>
        </w:rPr>
        <w:t xml:space="preserve"> condoned</w:t>
      </w:r>
      <w:r w:rsidR="00E330F7" w:rsidRPr="00B97A4E">
        <w:rPr>
          <w:rFonts w:ascii="Arial" w:hAnsi="Arial" w:cs="Arial"/>
          <w:sz w:val="24"/>
          <w:szCs w:val="24"/>
        </w:rPr>
        <w:t xml:space="preserve">. </w:t>
      </w:r>
    </w:p>
    <w:p w14:paraId="336450E2" w14:textId="77777777" w:rsidR="00CE0D6F" w:rsidRPr="00BF6075" w:rsidRDefault="00CE0D6F" w:rsidP="00CE0D6F">
      <w:pPr>
        <w:pStyle w:val="ListParagraph"/>
        <w:tabs>
          <w:tab w:val="left" w:pos="4917"/>
        </w:tabs>
        <w:spacing w:before="120" w:after="120" w:line="360" w:lineRule="auto"/>
        <w:jc w:val="both"/>
        <w:rPr>
          <w:rFonts w:ascii="Arial" w:hAnsi="Arial" w:cs="Arial"/>
          <w:sz w:val="24"/>
          <w:szCs w:val="24"/>
        </w:rPr>
      </w:pPr>
    </w:p>
    <w:p w14:paraId="72815681" w14:textId="252EB37B" w:rsidR="003A21D5"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[9]</w:t>
      </w:r>
      <w:r w:rsidRPr="00BF6075">
        <w:rPr>
          <w:rFonts w:ascii="Arial" w:hAnsi="Arial" w:cs="Arial"/>
          <w:sz w:val="24"/>
          <w:szCs w:val="24"/>
        </w:rPr>
        <w:tab/>
      </w:r>
      <w:r w:rsidR="00CE0D6F" w:rsidRPr="00B97A4E">
        <w:rPr>
          <w:rFonts w:ascii="Arial" w:hAnsi="Arial" w:cs="Arial"/>
          <w:sz w:val="24"/>
          <w:szCs w:val="24"/>
        </w:rPr>
        <w:t xml:space="preserve">The </w:t>
      </w:r>
      <w:r w:rsidR="00E330F7" w:rsidRPr="00B97A4E">
        <w:rPr>
          <w:rFonts w:ascii="Arial" w:hAnsi="Arial" w:cs="Arial"/>
          <w:sz w:val="24"/>
          <w:szCs w:val="24"/>
        </w:rPr>
        <w:t>real thorn in the plaintiff</w:t>
      </w:r>
      <w:r w:rsidR="00E36AEE" w:rsidRPr="00B97A4E">
        <w:rPr>
          <w:rFonts w:ascii="Arial" w:hAnsi="Arial" w:cs="Arial"/>
          <w:sz w:val="24"/>
          <w:szCs w:val="24"/>
        </w:rPr>
        <w:t>'</w:t>
      </w:r>
      <w:r w:rsidR="00E330F7" w:rsidRPr="00B97A4E">
        <w:rPr>
          <w:rFonts w:ascii="Arial" w:hAnsi="Arial" w:cs="Arial"/>
          <w:sz w:val="24"/>
          <w:szCs w:val="24"/>
        </w:rPr>
        <w:t xml:space="preserve">s side is the costs </w:t>
      </w:r>
      <w:r w:rsidR="003A21D5" w:rsidRPr="00B97A4E">
        <w:rPr>
          <w:rFonts w:ascii="Arial" w:hAnsi="Arial" w:cs="Arial"/>
          <w:sz w:val="24"/>
          <w:szCs w:val="24"/>
        </w:rPr>
        <w:t>occasioned by the defendant</w:t>
      </w:r>
      <w:r w:rsidR="00E36AEE" w:rsidRPr="00B97A4E">
        <w:rPr>
          <w:rFonts w:ascii="Arial" w:hAnsi="Arial" w:cs="Arial"/>
          <w:sz w:val="24"/>
          <w:szCs w:val="24"/>
        </w:rPr>
        <w:t>'</w:t>
      </w:r>
      <w:r w:rsidR="003A21D5" w:rsidRPr="00B97A4E">
        <w:rPr>
          <w:rFonts w:ascii="Arial" w:hAnsi="Arial" w:cs="Arial"/>
          <w:sz w:val="24"/>
          <w:szCs w:val="24"/>
        </w:rPr>
        <w:t>s attorney</w:t>
      </w:r>
      <w:r w:rsidR="00E36AEE" w:rsidRPr="00B97A4E">
        <w:rPr>
          <w:rFonts w:ascii="Arial" w:hAnsi="Arial" w:cs="Arial"/>
          <w:sz w:val="24"/>
          <w:szCs w:val="24"/>
        </w:rPr>
        <w:t>'</w:t>
      </w:r>
      <w:r w:rsidR="003A21D5" w:rsidRPr="00B97A4E">
        <w:rPr>
          <w:rFonts w:ascii="Arial" w:hAnsi="Arial" w:cs="Arial"/>
          <w:sz w:val="24"/>
          <w:szCs w:val="24"/>
        </w:rPr>
        <w:t>s indication that the defendant is withdrawing the amended counterclaim that was filed to addr</w:t>
      </w:r>
      <w:r w:rsidR="00E36AEE" w:rsidRPr="00B97A4E">
        <w:rPr>
          <w:rFonts w:ascii="Arial" w:hAnsi="Arial" w:cs="Arial"/>
          <w:sz w:val="24"/>
          <w:szCs w:val="24"/>
        </w:rPr>
        <w:t>ess the concerns raised in the R</w:t>
      </w:r>
      <w:r w:rsidR="003A21D5" w:rsidRPr="00B97A4E">
        <w:rPr>
          <w:rFonts w:ascii="Arial" w:hAnsi="Arial" w:cs="Arial"/>
          <w:sz w:val="24"/>
          <w:szCs w:val="24"/>
        </w:rPr>
        <w:t xml:space="preserve">ule 23 notice and later </w:t>
      </w:r>
      <w:r w:rsidR="00952123" w:rsidRPr="00B97A4E">
        <w:rPr>
          <w:rFonts w:ascii="Arial" w:hAnsi="Arial" w:cs="Arial"/>
          <w:sz w:val="24"/>
          <w:szCs w:val="24"/>
        </w:rPr>
        <w:t>reneging</w:t>
      </w:r>
      <w:r w:rsidR="003A21D5" w:rsidRPr="00B97A4E">
        <w:rPr>
          <w:rFonts w:ascii="Arial" w:hAnsi="Arial" w:cs="Arial"/>
          <w:sz w:val="24"/>
          <w:szCs w:val="24"/>
        </w:rPr>
        <w:t xml:space="preserve"> thereon while the plaintiff </w:t>
      </w:r>
      <w:r w:rsidR="00952123" w:rsidRPr="00B97A4E">
        <w:rPr>
          <w:rFonts w:ascii="Arial" w:hAnsi="Arial" w:cs="Arial"/>
          <w:sz w:val="24"/>
          <w:szCs w:val="24"/>
        </w:rPr>
        <w:t xml:space="preserve">in the meanwhile </w:t>
      </w:r>
      <w:r w:rsidR="003A21D5" w:rsidRPr="00B97A4E">
        <w:rPr>
          <w:rFonts w:ascii="Arial" w:hAnsi="Arial" w:cs="Arial"/>
          <w:sz w:val="24"/>
          <w:szCs w:val="24"/>
        </w:rPr>
        <w:t xml:space="preserve">obtained a hearing date, which eventually necessitated the trial to be postponed for the exception to be dealt with. </w:t>
      </w:r>
    </w:p>
    <w:p w14:paraId="4330B612" w14:textId="77777777" w:rsidR="003A21D5" w:rsidRPr="00BF6075" w:rsidRDefault="003A21D5" w:rsidP="003A21D5">
      <w:pPr>
        <w:pStyle w:val="ListParagraph"/>
        <w:rPr>
          <w:rFonts w:ascii="Arial" w:hAnsi="Arial" w:cs="Arial"/>
          <w:sz w:val="24"/>
          <w:szCs w:val="24"/>
        </w:rPr>
      </w:pPr>
    </w:p>
    <w:p w14:paraId="18139622" w14:textId="588B526E" w:rsidR="00952123"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[10]</w:t>
      </w:r>
      <w:r w:rsidRPr="00BF6075">
        <w:rPr>
          <w:rFonts w:ascii="Arial" w:hAnsi="Arial" w:cs="Arial"/>
          <w:sz w:val="24"/>
          <w:szCs w:val="24"/>
        </w:rPr>
        <w:tab/>
      </w:r>
      <w:r w:rsidR="00952123" w:rsidRPr="00B97A4E">
        <w:rPr>
          <w:rFonts w:ascii="Arial" w:hAnsi="Arial" w:cs="Arial"/>
          <w:sz w:val="24"/>
          <w:szCs w:val="24"/>
        </w:rPr>
        <w:t xml:space="preserve">In this context, the Directive issued by </w:t>
      </w:r>
      <w:proofErr w:type="spellStart"/>
      <w:r w:rsidR="00952123" w:rsidRPr="00B97A4E">
        <w:rPr>
          <w:rFonts w:ascii="Arial" w:hAnsi="Arial" w:cs="Arial"/>
          <w:sz w:val="24"/>
          <w:szCs w:val="24"/>
        </w:rPr>
        <w:t>Mngqibisa-Thusi</w:t>
      </w:r>
      <w:proofErr w:type="spellEnd"/>
      <w:r w:rsidR="00952123" w:rsidRPr="00B97A4E">
        <w:rPr>
          <w:rFonts w:ascii="Arial" w:hAnsi="Arial" w:cs="Arial"/>
          <w:sz w:val="24"/>
          <w:szCs w:val="24"/>
        </w:rPr>
        <w:t xml:space="preserve"> J pertaining to costs needs to be interpreted. </w:t>
      </w:r>
      <w:r w:rsidR="00CE0D6F" w:rsidRPr="00B97A4E">
        <w:rPr>
          <w:rFonts w:ascii="Arial" w:hAnsi="Arial" w:cs="Arial"/>
          <w:sz w:val="24"/>
          <w:szCs w:val="24"/>
        </w:rPr>
        <w:t xml:space="preserve">Considering that </w:t>
      </w:r>
      <w:proofErr w:type="spellStart"/>
      <w:r w:rsidR="00CE0D6F" w:rsidRPr="00B97A4E">
        <w:rPr>
          <w:rFonts w:ascii="Arial" w:hAnsi="Arial" w:cs="Arial"/>
          <w:sz w:val="24"/>
          <w:szCs w:val="24"/>
        </w:rPr>
        <w:t>Mngqibisa-Thusi</w:t>
      </w:r>
      <w:proofErr w:type="spellEnd"/>
      <w:r w:rsidR="00CE0D6F" w:rsidRPr="00B97A4E">
        <w:rPr>
          <w:rFonts w:ascii="Arial" w:hAnsi="Arial" w:cs="Arial"/>
          <w:sz w:val="24"/>
          <w:szCs w:val="24"/>
        </w:rPr>
        <w:t xml:space="preserve"> J</w:t>
      </w:r>
      <w:r w:rsidR="00AA2F32" w:rsidRPr="00B97A4E">
        <w:rPr>
          <w:rFonts w:ascii="Arial" w:hAnsi="Arial" w:cs="Arial"/>
          <w:sz w:val="24"/>
          <w:szCs w:val="24"/>
        </w:rPr>
        <w:t>, and the parties proposing the draft Directive, were</w:t>
      </w:r>
      <w:r w:rsidR="00CE0D6F" w:rsidRPr="00B97A4E">
        <w:rPr>
          <w:rFonts w:ascii="Arial" w:hAnsi="Arial" w:cs="Arial"/>
          <w:sz w:val="24"/>
          <w:szCs w:val="24"/>
        </w:rPr>
        <w:t xml:space="preserve"> well aware </w:t>
      </w:r>
      <w:r w:rsidR="00AA2F32" w:rsidRPr="00B97A4E">
        <w:rPr>
          <w:rFonts w:ascii="Arial" w:hAnsi="Arial" w:cs="Arial"/>
          <w:sz w:val="24"/>
          <w:szCs w:val="24"/>
        </w:rPr>
        <w:t>that the parties agreed that the condonation application be finally decided by a court, and</w:t>
      </w:r>
      <w:r w:rsidR="00CE0D6F" w:rsidRPr="00B97A4E">
        <w:rPr>
          <w:rFonts w:ascii="Arial" w:hAnsi="Arial" w:cs="Arial"/>
          <w:sz w:val="24"/>
          <w:szCs w:val="24"/>
        </w:rPr>
        <w:t xml:space="preserve"> the probability that an exception would precede the</w:t>
      </w:r>
      <w:r w:rsidR="00276BF6" w:rsidRPr="00B97A4E">
        <w:rPr>
          <w:rFonts w:ascii="Arial" w:hAnsi="Arial" w:cs="Arial"/>
          <w:sz w:val="24"/>
          <w:szCs w:val="24"/>
        </w:rPr>
        <w:t xml:space="preserve"> trial,</w:t>
      </w:r>
      <w:r w:rsidR="00AA2F32" w:rsidRPr="00B97A4E">
        <w:rPr>
          <w:rFonts w:ascii="Arial" w:hAnsi="Arial" w:cs="Arial"/>
          <w:sz w:val="24"/>
          <w:szCs w:val="24"/>
        </w:rPr>
        <w:t xml:space="preserve"> and understood the difference between interlocutory proceedings and the trial,</w:t>
      </w:r>
      <w:r w:rsidR="00276BF6" w:rsidRPr="00B97A4E">
        <w:rPr>
          <w:rFonts w:ascii="Arial" w:hAnsi="Arial" w:cs="Arial"/>
          <w:sz w:val="24"/>
          <w:szCs w:val="24"/>
        </w:rPr>
        <w:t xml:space="preserve"> I am of the view that the term </w:t>
      </w:r>
      <w:r w:rsidR="00E36AEE" w:rsidRPr="00B97A4E">
        <w:rPr>
          <w:rFonts w:ascii="Arial" w:hAnsi="Arial" w:cs="Arial"/>
          <w:sz w:val="24"/>
          <w:szCs w:val="24"/>
        </w:rPr>
        <w:t>'</w:t>
      </w:r>
      <w:r w:rsidR="00276BF6" w:rsidRPr="00B97A4E">
        <w:rPr>
          <w:rFonts w:ascii="Arial" w:hAnsi="Arial" w:cs="Arial"/>
          <w:sz w:val="24"/>
          <w:szCs w:val="24"/>
        </w:rPr>
        <w:t>main hearing of the matter</w:t>
      </w:r>
      <w:r w:rsidR="00E36AEE" w:rsidRPr="00B97A4E">
        <w:rPr>
          <w:rFonts w:ascii="Arial" w:hAnsi="Arial" w:cs="Arial"/>
          <w:sz w:val="24"/>
          <w:szCs w:val="24"/>
        </w:rPr>
        <w:t>'</w:t>
      </w:r>
      <w:r w:rsidR="00276BF6" w:rsidRPr="00B97A4E">
        <w:rPr>
          <w:rFonts w:ascii="Arial" w:hAnsi="Arial" w:cs="Arial"/>
          <w:sz w:val="24"/>
          <w:szCs w:val="24"/>
        </w:rPr>
        <w:t xml:space="preserve"> refers to the trial and not to the </w:t>
      </w:r>
      <w:r w:rsidR="00AA0BF9" w:rsidRPr="00B97A4E">
        <w:rPr>
          <w:rFonts w:ascii="Arial" w:hAnsi="Arial" w:cs="Arial"/>
          <w:sz w:val="24"/>
          <w:szCs w:val="24"/>
        </w:rPr>
        <w:t>defendant’s condonation application</w:t>
      </w:r>
      <w:r w:rsidR="00276BF6" w:rsidRPr="00B97A4E">
        <w:rPr>
          <w:rFonts w:ascii="Arial" w:hAnsi="Arial" w:cs="Arial"/>
          <w:sz w:val="24"/>
          <w:szCs w:val="24"/>
        </w:rPr>
        <w:t xml:space="preserve">. </w:t>
      </w:r>
      <w:r w:rsidR="00952123" w:rsidRPr="00B97A4E">
        <w:rPr>
          <w:rFonts w:ascii="Arial" w:hAnsi="Arial" w:cs="Arial"/>
          <w:sz w:val="24"/>
          <w:szCs w:val="24"/>
        </w:rPr>
        <w:t>The condonation application and the amendment of the counterclaim are intrinsically interlinked.</w:t>
      </w:r>
      <w:r w:rsidR="006066C2" w:rsidRPr="00B97A4E">
        <w:rPr>
          <w:rFonts w:ascii="Arial" w:hAnsi="Arial" w:cs="Arial"/>
          <w:sz w:val="24"/>
          <w:szCs w:val="24"/>
        </w:rPr>
        <w:t xml:space="preserve"> In addition, the parties agreed that the costs occasioned by the postponement of 11 February 2020 are reserved.</w:t>
      </w:r>
      <w:r w:rsidR="00952123" w:rsidRPr="00B97A4E">
        <w:rPr>
          <w:rFonts w:ascii="Arial" w:hAnsi="Arial" w:cs="Arial"/>
          <w:sz w:val="24"/>
          <w:szCs w:val="24"/>
        </w:rPr>
        <w:t xml:space="preserve"> As a result, I am not inclined to decide the issue of the costs associated with the amendment of the plea and c</w:t>
      </w:r>
      <w:r w:rsidR="00B07262" w:rsidRPr="00B97A4E">
        <w:rPr>
          <w:rFonts w:ascii="Arial" w:hAnsi="Arial" w:cs="Arial"/>
          <w:sz w:val="24"/>
          <w:szCs w:val="24"/>
        </w:rPr>
        <w:t>ounterclaim at this stage, it</w:t>
      </w:r>
      <w:r w:rsidR="00E35446" w:rsidRPr="00B97A4E">
        <w:rPr>
          <w:rFonts w:ascii="Arial" w:hAnsi="Arial" w:cs="Arial"/>
          <w:sz w:val="24"/>
          <w:szCs w:val="24"/>
        </w:rPr>
        <w:t xml:space="preserve"> remain</w:t>
      </w:r>
      <w:r w:rsidR="00952123" w:rsidRPr="00B97A4E">
        <w:rPr>
          <w:rFonts w:ascii="Arial" w:hAnsi="Arial" w:cs="Arial"/>
          <w:sz w:val="24"/>
          <w:szCs w:val="24"/>
        </w:rPr>
        <w:t xml:space="preserve">s to </w:t>
      </w:r>
      <w:r w:rsidR="00B07262" w:rsidRPr="00B97A4E">
        <w:rPr>
          <w:rFonts w:ascii="Arial" w:hAnsi="Arial" w:cs="Arial"/>
          <w:sz w:val="24"/>
          <w:szCs w:val="24"/>
        </w:rPr>
        <w:t xml:space="preserve">be </w:t>
      </w:r>
      <w:r w:rsidR="00952123" w:rsidRPr="00B97A4E">
        <w:rPr>
          <w:rFonts w:ascii="Arial" w:hAnsi="Arial" w:cs="Arial"/>
          <w:sz w:val="24"/>
          <w:szCs w:val="24"/>
        </w:rPr>
        <w:t>dealt with at the main hearing.</w:t>
      </w:r>
    </w:p>
    <w:p w14:paraId="51DF359B" w14:textId="77777777" w:rsidR="00952123" w:rsidRPr="00BF6075" w:rsidRDefault="00952123" w:rsidP="00952123">
      <w:pPr>
        <w:pStyle w:val="ListParagraph"/>
        <w:rPr>
          <w:rFonts w:ascii="Arial" w:hAnsi="Arial" w:cs="Arial"/>
          <w:sz w:val="24"/>
          <w:szCs w:val="24"/>
        </w:rPr>
      </w:pPr>
    </w:p>
    <w:p w14:paraId="41369AD2" w14:textId="5921A1CF" w:rsidR="00EA4756" w:rsidRPr="00B97A4E" w:rsidRDefault="00B97A4E" w:rsidP="00B97A4E">
      <w:pPr>
        <w:tabs>
          <w:tab w:val="left" w:pos="4917"/>
        </w:tabs>
        <w:spacing w:before="120" w:after="120" w:line="360" w:lineRule="auto"/>
        <w:ind w:left="1080" w:hanging="720"/>
        <w:jc w:val="both"/>
        <w:rPr>
          <w:rFonts w:ascii="Arial" w:hAnsi="Arial" w:cs="Arial"/>
          <w:b/>
          <w:sz w:val="24"/>
          <w:szCs w:val="24"/>
        </w:rPr>
      </w:pPr>
      <w:r w:rsidRPr="00BF6075">
        <w:rPr>
          <w:rFonts w:ascii="Arial" w:hAnsi="Arial" w:cs="Arial"/>
          <w:b/>
          <w:sz w:val="24"/>
          <w:szCs w:val="24"/>
        </w:rPr>
        <w:t>(ii)</w:t>
      </w:r>
      <w:r w:rsidRPr="00BF6075">
        <w:rPr>
          <w:rFonts w:ascii="Arial" w:hAnsi="Arial" w:cs="Arial"/>
          <w:b/>
          <w:sz w:val="24"/>
          <w:szCs w:val="24"/>
        </w:rPr>
        <w:tab/>
      </w:r>
      <w:r w:rsidR="00B07262" w:rsidRPr="00B97A4E">
        <w:rPr>
          <w:rFonts w:ascii="Arial" w:hAnsi="Arial" w:cs="Arial"/>
          <w:b/>
          <w:sz w:val="24"/>
          <w:szCs w:val="24"/>
        </w:rPr>
        <w:t>The exception</w:t>
      </w:r>
    </w:p>
    <w:p w14:paraId="36DE16AB" w14:textId="77777777" w:rsidR="00B07262" w:rsidRPr="00BF6075" w:rsidRDefault="00B07262" w:rsidP="00B07262">
      <w:pPr>
        <w:pStyle w:val="ListParagraph"/>
        <w:rPr>
          <w:rFonts w:ascii="Arial" w:hAnsi="Arial" w:cs="Arial"/>
          <w:sz w:val="24"/>
          <w:szCs w:val="24"/>
        </w:rPr>
      </w:pPr>
    </w:p>
    <w:p w14:paraId="55CF3B9D" w14:textId="10E3714A" w:rsidR="00B0726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[11]</w:t>
      </w:r>
      <w:r w:rsidRPr="00BF6075">
        <w:rPr>
          <w:rFonts w:ascii="Arial" w:hAnsi="Arial" w:cs="Arial"/>
          <w:sz w:val="24"/>
          <w:szCs w:val="24"/>
        </w:rPr>
        <w:tab/>
      </w:r>
      <w:r w:rsidR="00AA2F32" w:rsidRPr="00B97A4E">
        <w:rPr>
          <w:rFonts w:ascii="Arial" w:hAnsi="Arial" w:cs="Arial"/>
          <w:sz w:val="24"/>
          <w:szCs w:val="24"/>
        </w:rPr>
        <w:t>Due to the background facts set out above, the plaintiff</w:t>
      </w:r>
      <w:r w:rsidR="00E36AEE" w:rsidRPr="00B97A4E">
        <w:rPr>
          <w:rFonts w:ascii="Arial" w:hAnsi="Arial" w:cs="Arial"/>
          <w:sz w:val="24"/>
          <w:szCs w:val="24"/>
        </w:rPr>
        <w:t>'</w:t>
      </w:r>
      <w:r w:rsidR="00AA2F32" w:rsidRPr="00B97A4E">
        <w:rPr>
          <w:rFonts w:ascii="Arial" w:hAnsi="Arial" w:cs="Arial"/>
          <w:sz w:val="24"/>
          <w:szCs w:val="24"/>
        </w:rPr>
        <w:t>s late filing of the exception is condoned.</w:t>
      </w:r>
    </w:p>
    <w:p w14:paraId="6C1FD33A" w14:textId="77777777" w:rsidR="00AA2F32" w:rsidRPr="00BF6075" w:rsidRDefault="00AA2F32" w:rsidP="00AA2F32">
      <w:pPr>
        <w:pStyle w:val="ListParagraph"/>
        <w:tabs>
          <w:tab w:val="left" w:pos="4917"/>
        </w:tabs>
        <w:spacing w:before="120" w:after="120" w:line="360" w:lineRule="auto"/>
        <w:jc w:val="both"/>
        <w:rPr>
          <w:rFonts w:ascii="Arial" w:hAnsi="Arial" w:cs="Arial"/>
          <w:sz w:val="24"/>
          <w:szCs w:val="24"/>
        </w:rPr>
      </w:pPr>
    </w:p>
    <w:p w14:paraId="65A9A536" w14:textId="15735627" w:rsidR="00AA2F3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[12]</w:t>
      </w:r>
      <w:r w:rsidRPr="00BF6075">
        <w:rPr>
          <w:rFonts w:ascii="Arial" w:hAnsi="Arial" w:cs="Arial"/>
          <w:sz w:val="24"/>
          <w:szCs w:val="24"/>
        </w:rPr>
        <w:tab/>
      </w:r>
      <w:r w:rsidR="00AA2F32" w:rsidRPr="00B97A4E">
        <w:rPr>
          <w:rFonts w:ascii="Arial" w:hAnsi="Arial" w:cs="Arial"/>
          <w:sz w:val="24"/>
          <w:szCs w:val="24"/>
        </w:rPr>
        <w:t>The defendant issued a co</w:t>
      </w:r>
      <w:r w:rsidR="003C1330" w:rsidRPr="00B97A4E">
        <w:rPr>
          <w:rFonts w:ascii="Arial" w:hAnsi="Arial" w:cs="Arial"/>
          <w:sz w:val="24"/>
          <w:szCs w:val="24"/>
        </w:rPr>
        <w:t>unterclaim</w:t>
      </w:r>
      <w:r w:rsidR="00AA2F32" w:rsidRPr="00B97A4E">
        <w:rPr>
          <w:rFonts w:ascii="Arial" w:hAnsi="Arial" w:cs="Arial"/>
          <w:sz w:val="24"/>
          <w:szCs w:val="24"/>
        </w:rPr>
        <w:t>. No other parties were joined. In the counterclaim</w:t>
      </w:r>
      <w:r w:rsidR="001F627E" w:rsidRPr="00B97A4E">
        <w:rPr>
          <w:rFonts w:ascii="Arial" w:hAnsi="Arial" w:cs="Arial"/>
          <w:sz w:val="24"/>
          <w:szCs w:val="24"/>
        </w:rPr>
        <w:t>,</w:t>
      </w:r>
      <w:r w:rsidR="00AA2F32" w:rsidRPr="00B97A4E">
        <w:rPr>
          <w:rFonts w:ascii="Arial" w:hAnsi="Arial" w:cs="Arial"/>
          <w:sz w:val="24"/>
          <w:szCs w:val="24"/>
        </w:rPr>
        <w:t xml:space="preserve"> the defendant reiterates that she </w:t>
      </w:r>
      <w:r w:rsidR="001F627E" w:rsidRPr="00B97A4E">
        <w:rPr>
          <w:rFonts w:ascii="Arial" w:hAnsi="Arial" w:cs="Arial"/>
          <w:sz w:val="24"/>
          <w:szCs w:val="24"/>
        </w:rPr>
        <w:t>was married</w:t>
      </w:r>
      <w:r w:rsidR="00AA2F32" w:rsidRPr="00B97A4E">
        <w:rPr>
          <w:rFonts w:ascii="Arial" w:hAnsi="Arial" w:cs="Arial"/>
          <w:sz w:val="24"/>
          <w:szCs w:val="24"/>
        </w:rPr>
        <w:t xml:space="preserve"> to the plaintiff in terms of an ante-nuptial contract </w:t>
      </w:r>
      <w:r w:rsidR="001F627E" w:rsidRPr="00B97A4E">
        <w:rPr>
          <w:rFonts w:ascii="Arial" w:hAnsi="Arial" w:cs="Arial"/>
          <w:sz w:val="24"/>
          <w:szCs w:val="24"/>
        </w:rPr>
        <w:t xml:space="preserve">with the inclusion of the accrual system. She </w:t>
      </w:r>
      <w:r w:rsidR="001F627E" w:rsidRPr="00B97A4E">
        <w:rPr>
          <w:rFonts w:ascii="Arial" w:hAnsi="Arial" w:cs="Arial"/>
          <w:i/>
          <w:sz w:val="24"/>
          <w:szCs w:val="24"/>
        </w:rPr>
        <w:t>inter alia</w:t>
      </w:r>
      <w:r w:rsidR="001F627E" w:rsidRPr="00B97A4E">
        <w:rPr>
          <w:rFonts w:ascii="Arial" w:hAnsi="Arial" w:cs="Arial"/>
          <w:sz w:val="24"/>
          <w:szCs w:val="24"/>
        </w:rPr>
        <w:t xml:space="preserve"> avers that the following terms were, amongst others, </w:t>
      </w:r>
      <w:r w:rsidR="00E36AEE" w:rsidRPr="00B97A4E">
        <w:rPr>
          <w:rFonts w:ascii="Arial" w:hAnsi="Arial" w:cs="Arial"/>
          <w:sz w:val="24"/>
          <w:szCs w:val="24"/>
        </w:rPr>
        <w:t>'</w:t>
      </w:r>
      <w:r w:rsidR="001F627E" w:rsidRPr="00B97A4E">
        <w:rPr>
          <w:rFonts w:ascii="Arial" w:hAnsi="Arial" w:cs="Arial"/>
          <w:sz w:val="24"/>
          <w:szCs w:val="24"/>
        </w:rPr>
        <w:t>material express, alternatively implied, further alternatively tacit terms</w:t>
      </w:r>
      <w:r w:rsidR="00E36AEE" w:rsidRPr="00B97A4E">
        <w:rPr>
          <w:rFonts w:ascii="Arial" w:hAnsi="Arial" w:cs="Arial"/>
          <w:sz w:val="24"/>
          <w:szCs w:val="24"/>
        </w:rPr>
        <w:t>'</w:t>
      </w:r>
      <w:r w:rsidR="001F627E" w:rsidRPr="00B97A4E">
        <w:rPr>
          <w:rFonts w:ascii="Arial" w:hAnsi="Arial" w:cs="Arial"/>
          <w:sz w:val="24"/>
          <w:szCs w:val="24"/>
        </w:rPr>
        <w:t xml:space="preserve"> of the ante-nuptial contract: </w:t>
      </w:r>
    </w:p>
    <w:p w14:paraId="75945C56" w14:textId="77777777" w:rsidR="001F627E" w:rsidRPr="00BF6075" w:rsidRDefault="001F627E" w:rsidP="001F627E">
      <w:pPr>
        <w:pStyle w:val="ListParagraph"/>
        <w:rPr>
          <w:rFonts w:ascii="Arial" w:hAnsi="Arial" w:cs="Arial"/>
          <w:sz w:val="24"/>
          <w:szCs w:val="24"/>
        </w:rPr>
      </w:pPr>
    </w:p>
    <w:p w14:paraId="4328CA26" w14:textId="346DF964" w:rsidR="001F627E" w:rsidRPr="00B97A4E" w:rsidRDefault="00B97A4E" w:rsidP="00B97A4E">
      <w:pPr>
        <w:tabs>
          <w:tab w:val="left" w:pos="4917"/>
        </w:tabs>
        <w:spacing w:before="120" w:after="120" w:line="360" w:lineRule="auto"/>
        <w:ind w:left="1440" w:hanging="360"/>
        <w:jc w:val="both"/>
        <w:rPr>
          <w:rFonts w:ascii="Arial" w:hAnsi="Arial" w:cs="Arial"/>
          <w:sz w:val="24"/>
          <w:szCs w:val="24"/>
        </w:rPr>
      </w:pPr>
      <w:proofErr w:type="spellStart"/>
      <w:r w:rsidRPr="00BF6075">
        <w:rPr>
          <w:rFonts w:ascii="Arial" w:hAnsi="Arial" w:cs="Arial"/>
          <w:sz w:val="24"/>
          <w:szCs w:val="24"/>
        </w:rPr>
        <w:t>i</w:t>
      </w:r>
      <w:proofErr w:type="spellEnd"/>
      <w:r w:rsidRPr="00BF6075">
        <w:rPr>
          <w:rFonts w:ascii="Arial" w:hAnsi="Arial" w:cs="Arial"/>
          <w:sz w:val="24"/>
          <w:szCs w:val="24"/>
        </w:rPr>
        <w:t>.</w:t>
      </w:r>
      <w:r w:rsidRPr="00BF6075">
        <w:rPr>
          <w:rFonts w:ascii="Arial" w:hAnsi="Arial" w:cs="Arial"/>
          <w:sz w:val="24"/>
          <w:szCs w:val="24"/>
        </w:rPr>
        <w:tab/>
      </w:r>
      <w:r w:rsidR="00E36AEE" w:rsidRPr="00B97A4E">
        <w:rPr>
          <w:rFonts w:ascii="Arial" w:hAnsi="Arial" w:cs="Arial"/>
          <w:sz w:val="24"/>
          <w:szCs w:val="24"/>
        </w:rPr>
        <w:t>'</w:t>
      </w:r>
      <w:r w:rsidR="001F627E" w:rsidRPr="00B97A4E">
        <w:rPr>
          <w:rFonts w:ascii="Arial" w:hAnsi="Arial" w:cs="Arial"/>
          <w:sz w:val="24"/>
          <w:szCs w:val="24"/>
        </w:rPr>
        <w:t>[T]he parties individually and respectively, having a peculiar knowledge of their respective assets and liabilities were under an obligation to disclose same to each other at the commencement of the marriage;</w:t>
      </w:r>
    </w:p>
    <w:p w14:paraId="1658303A" w14:textId="2D336DC9" w:rsidR="001F627E"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w:t>
      </w:r>
      <w:r w:rsidRPr="00BF6075">
        <w:rPr>
          <w:rFonts w:ascii="Arial" w:hAnsi="Arial" w:cs="Arial"/>
          <w:sz w:val="24"/>
          <w:szCs w:val="24"/>
        </w:rPr>
        <w:tab/>
      </w:r>
      <w:r w:rsidR="001F627E" w:rsidRPr="00B97A4E">
        <w:rPr>
          <w:rFonts w:ascii="Arial" w:hAnsi="Arial" w:cs="Arial"/>
          <w:sz w:val="24"/>
          <w:szCs w:val="24"/>
        </w:rPr>
        <w:t xml:space="preserve">[T]he parties owed each other a duty of </w:t>
      </w:r>
      <w:proofErr w:type="spellStart"/>
      <w:r w:rsidR="001F627E" w:rsidRPr="00B97A4E">
        <w:rPr>
          <w:rFonts w:ascii="Arial" w:hAnsi="Arial" w:cs="Arial"/>
          <w:i/>
          <w:sz w:val="24"/>
          <w:szCs w:val="24"/>
        </w:rPr>
        <w:t>uberrimae</w:t>
      </w:r>
      <w:proofErr w:type="spellEnd"/>
      <w:r w:rsidR="001F627E" w:rsidRPr="00B97A4E">
        <w:rPr>
          <w:rFonts w:ascii="Arial" w:hAnsi="Arial" w:cs="Arial"/>
          <w:i/>
          <w:sz w:val="24"/>
          <w:szCs w:val="24"/>
        </w:rPr>
        <w:t xml:space="preserve"> fides</w:t>
      </w:r>
      <w:r w:rsidR="001F627E" w:rsidRPr="00B97A4E">
        <w:rPr>
          <w:rFonts w:ascii="Arial" w:hAnsi="Arial" w:cs="Arial"/>
          <w:sz w:val="24"/>
          <w:szCs w:val="24"/>
        </w:rPr>
        <w:t xml:space="preserve"> at the time of the conclusion of the Ante-Nuptial Contract and throughout the marriage</w:t>
      </w:r>
      <w:r w:rsidR="00E36AEE" w:rsidRPr="00B97A4E">
        <w:rPr>
          <w:rFonts w:ascii="Arial" w:hAnsi="Arial" w:cs="Arial"/>
          <w:sz w:val="24"/>
          <w:szCs w:val="24"/>
        </w:rPr>
        <w:t>'</w:t>
      </w:r>
      <w:r w:rsidR="001F627E" w:rsidRPr="00B97A4E">
        <w:rPr>
          <w:rFonts w:ascii="Arial" w:hAnsi="Arial" w:cs="Arial"/>
          <w:sz w:val="24"/>
          <w:szCs w:val="24"/>
        </w:rPr>
        <w:t>.</w:t>
      </w:r>
    </w:p>
    <w:p w14:paraId="322847A5" w14:textId="77777777" w:rsidR="00AA2F32" w:rsidRPr="00BF6075" w:rsidRDefault="00AA2F32" w:rsidP="00AA2F32">
      <w:pPr>
        <w:pStyle w:val="ListParagraph"/>
        <w:tabs>
          <w:tab w:val="left" w:pos="4917"/>
        </w:tabs>
        <w:spacing w:before="120" w:after="120" w:line="360" w:lineRule="auto"/>
        <w:jc w:val="both"/>
        <w:rPr>
          <w:rFonts w:ascii="Arial" w:hAnsi="Arial" w:cs="Arial"/>
          <w:sz w:val="24"/>
          <w:szCs w:val="24"/>
        </w:rPr>
      </w:pPr>
    </w:p>
    <w:p w14:paraId="3939B6ED" w14:textId="4344D9B7" w:rsidR="00BE33C5"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[13]</w:t>
      </w:r>
      <w:r w:rsidRPr="00BF6075">
        <w:rPr>
          <w:rFonts w:ascii="Arial" w:hAnsi="Arial" w:cs="Arial"/>
          <w:sz w:val="24"/>
          <w:szCs w:val="24"/>
        </w:rPr>
        <w:tab/>
      </w:r>
      <w:r w:rsidR="00BE33C5" w:rsidRPr="00B97A4E">
        <w:rPr>
          <w:rFonts w:ascii="Arial" w:hAnsi="Arial" w:cs="Arial"/>
          <w:sz w:val="24"/>
          <w:szCs w:val="24"/>
        </w:rPr>
        <w:t>The defendant also claims that:</w:t>
      </w:r>
    </w:p>
    <w:p w14:paraId="2FA73023" w14:textId="386A1611" w:rsidR="001F627E" w:rsidRPr="00B97A4E" w:rsidRDefault="00B97A4E" w:rsidP="00B97A4E">
      <w:pPr>
        <w:tabs>
          <w:tab w:val="left" w:pos="4917"/>
        </w:tabs>
        <w:spacing w:before="120" w:after="120" w:line="360" w:lineRule="auto"/>
        <w:ind w:left="1440" w:hanging="360"/>
        <w:jc w:val="both"/>
        <w:rPr>
          <w:rFonts w:ascii="Arial" w:hAnsi="Arial" w:cs="Arial"/>
          <w:sz w:val="24"/>
          <w:szCs w:val="24"/>
        </w:rPr>
      </w:pPr>
      <w:proofErr w:type="spellStart"/>
      <w:r w:rsidRPr="00BF6075">
        <w:rPr>
          <w:rFonts w:ascii="Arial" w:hAnsi="Arial" w:cs="Arial"/>
          <w:sz w:val="24"/>
          <w:szCs w:val="24"/>
        </w:rPr>
        <w:t>i</w:t>
      </w:r>
      <w:proofErr w:type="spellEnd"/>
      <w:r w:rsidRPr="00BF6075">
        <w:rPr>
          <w:rFonts w:ascii="Arial" w:hAnsi="Arial" w:cs="Arial"/>
          <w:sz w:val="24"/>
          <w:szCs w:val="24"/>
        </w:rPr>
        <w:t>.</w:t>
      </w:r>
      <w:r w:rsidRPr="00BF6075">
        <w:rPr>
          <w:rFonts w:ascii="Arial" w:hAnsi="Arial" w:cs="Arial"/>
          <w:sz w:val="24"/>
          <w:szCs w:val="24"/>
        </w:rPr>
        <w:tab/>
      </w:r>
      <w:r w:rsidR="00BE33C5" w:rsidRPr="00B97A4E">
        <w:rPr>
          <w:rFonts w:ascii="Arial" w:hAnsi="Arial" w:cs="Arial"/>
          <w:sz w:val="24"/>
          <w:szCs w:val="24"/>
        </w:rPr>
        <w:t xml:space="preserve">The benefits the plaintiff received from his erstwhile employer when his employment </w:t>
      </w:r>
      <w:r w:rsidR="00E36AEE" w:rsidRPr="00B97A4E">
        <w:rPr>
          <w:rFonts w:ascii="Arial" w:hAnsi="Arial" w:cs="Arial"/>
          <w:sz w:val="24"/>
          <w:szCs w:val="24"/>
        </w:rPr>
        <w:t>was terminated constituted asse</w:t>
      </w:r>
      <w:r w:rsidR="00BE33C5" w:rsidRPr="00B97A4E">
        <w:rPr>
          <w:rFonts w:ascii="Arial" w:hAnsi="Arial" w:cs="Arial"/>
          <w:sz w:val="24"/>
          <w:szCs w:val="24"/>
        </w:rPr>
        <w:t>ts in the plaintiff</w:t>
      </w:r>
      <w:r w:rsidR="00E36AEE" w:rsidRPr="00B97A4E">
        <w:rPr>
          <w:rFonts w:ascii="Arial" w:hAnsi="Arial" w:cs="Arial"/>
          <w:sz w:val="24"/>
          <w:szCs w:val="24"/>
        </w:rPr>
        <w:t>'</w:t>
      </w:r>
      <w:r w:rsidR="00BE33C5" w:rsidRPr="00B97A4E">
        <w:rPr>
          <w:rFonts w:ascii="Arial" w:hAnsi="Arial" w:cs="Arial"/>
          <w:sz w:val="24"/>
          <w:szCs w:val="24"/>
        </w:rPr>
        <w:t>s estate,</w:t>
      </w:r>
    </w:p>
    <w:p w14:paraId="665E66AD" w14:textId="6715C56F" w:rsidR="00BE33C5"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w:t>
      </w:r>
      <w:r w:rsidRPr="00BF6075">
        <w:rPr>
          <w:rFonts w:ascii="Arial" w:hAnsi="Arial" w:cs="Arial"/>
          <w:sz w:val="24"/>
          <w:szCs w:val="24"/>
        </w:rPr>
        <w:tab/>
      </w:r>
      <w:r w:rsidR="00BE33C5" w:rsidRPr="00B97A4E">
        <w:rPr>
          <w:rFonts w:ascii="Arial" w:hAnsi="Arial" w:cs="Arial"/>
          <w:sz w:val="24"/>
          <w:szCs w:val="24"/>
        </w:rPr>
        <w:t xml:space="preserve">The plaintiff unlawfully and intentionally diminished the accrual in the value of his estate </w:t>
      </w:r>
      <w:r w:rsidR="00E36AEE" w:rsidRPr="00B97A4E">
        <w:rPr>
          <w:rFonts w:ascii="Arial" w:hAnsi="Arial" w:cs="Arial"/>
          <w:sz w:val="24"/>
          <w:szCs w:val="24"/>
        </w:rPr>
        <w:t>'</w:t>
      </w:r>
      <w:r w:rsidR="00BE33C5" w:rsidRPr="00B97A4E">
        <w:rPr>
          <w:rFonts w:ascii="Arial" w:hAnsi="Arial" w:cs="Arial"/>
          <w:sz w:val="24"/>
          <w:szCs w:val="24"/>
        </w:rPr>
        <w:t>specifically and with the sole intention of denuding the Defendant</w:t>
      </w:r>
      <w:r w:rsidR="00E36AEE" w:rsidRPr="00B97A4E">
        <w:rPr>
          <w:rFonts w:ascii="Arial" w:hAnsi="Arial" w:cs="Arial"/>
          <w:sz w:val="24"/>
          <w:szCs w:val="24"/>
        </w:rPr>
        <w:t>'</w:t>
      </w:r>
      <w:r w:rsidR="00BE33C5" w:rsidRPr="00B97A4E">
        <w:rPr>
          <w:rFonts w:ascii="Arial" w:hAnsi="Arial" w:cs="Arial"/>
          <w:sz w:val="24"/>
          <w:szCs w:val="24"/>
        </w:rPr>
        <w:t>s accrual claim as provided for in terms</w:t>
      </w:r>
      <w:r w:rsidR="00E36AEE" w:rsidRPr="00B97A4E">
        <w:rPr>
          <w:rFonts w:ascii="Arial" w:hAnsi="Arial" w:cs="Arial"/>
          <w:sz w:val="24"/>
          <w:szCs w:val="24"/>
        </w:rPr>
        <w:t>'</w:t>
      </w:r>
      <w:r w:rsidR="00BE33C5" w:rsidRPr="00B97A4E">
        <w:rPr>
          <w:rFonts w:ascii="Arial" w:hAnsi="Arial" w:cs="Arial"/>
          <w:sz w:val="24"/>
          <w:szCs w:val="24"/>
        </w:rPr>
        <w:t xml:space="preserve"> of the</w:t>
      </w:r>
      <w:r w:rsidR="0049475C" w:rsidRPr="00B97A4E">
        <w:rPr>
          <w:rFonts w:ascii="Arial" w:hAnsi="Arial" w:cs="Arial"/>
          <w:sz w:val="24"/>
          <w:szCs w:val="24"/>
        </w:rPr>
        <w:t xml:space="preserve"> Ante-Nuptial Contract by (a) creating the </w:t>
      </w:r>
      <w:proofErr w:type="gramStart"/>
      <w:r w:rsidR="0049475C" w:rsidRPr="00B97A4E">
        <w:rPr>
          <w:rFonts w:ascii="Arial" w:hAnsi="Arial" w:cs="Arial"/>
          <w:sz w:val="24"/>
          <w:szCs w:val="24"/>
        </w:rPr>
        <w:t>L</w:t>
      </w:r>
      <w:r w:rsidR="00265591">
        <w:rPr>
          <w:rFonts w:ascii="Arial" w:hAnsi="Arial" w:cs="Arial"/>
          <w:sz w:val="24"/>
          <w:szCs w:val="24"/>
        </w:rPr>
        <w:t>[</w:t>
      </w:r>
      <w:proofErr w:type="gramEnd"/>
      <w:r w:rsidR="00265591">
        <w:rPr>
          <w:rFonts w:ascii="Arial" w:hAnsi="Arial" w:cs="Arial"/>
          <w:sz w:val="24"/>
          <w:szCs w:val="24"/>
        </w:rPr>
        <w:t>…]</w:t>
      </w:r>
      <w:r w:rsidR="0049475C" w:rsidRPr="00B97A4E">
        <w:rPr>
          <w:rFonts w:ascii="Arial" w:hAnsi="Arial" w:cs="Arial"/>
          <w:sz w:val="24"/>
          <w:szCs w:val="24"/>
        </w:rPr>
        <w:t xml:space="preserve"> Children Education trust and donating an amount of R1 800 000.00 to the said trust, and (b) the plaintiff</w:t>
      </w:r>
      <w:r w:rsidR="00E36AEE" w:rsidRPr="00B97A4E">
        <w:rPr>
          <w:rFonts w:ascii="Arial" w:hAnsi="Arial" w:cs="Arial"/>
          <w:sz w:val="24"/>
          <w:szCs w:val="24"/>
        </w:rPr>
        <w:t>'</w:t>
      </w:r>
      <w:r w:rsidR="0049475C" w:rsidRPr="00B97A4E">
        <w:rPr>
          <w:rFonts w:ascii="Arial" w:hAnsi="Arial" w:cs="Arial"/>
          <w:sz w:val="24"/>
          <w:szCs w:val="24"/>
        </w:rPr>
        <w:t>s investment of an amount of R5 114 74</w:t>
      </w:r>
      <w:r w:rsidR="00E36AEE" w:rsidRPr="00B97A4E">
        <w:rPr>
          <w:rFonts w:ascii="Arial" w:hAnsi="Arial" w:cs="Arial"/>
          <w:sz w:val="24"/>
          <w:szCs w:val="24"/>
        </w:rPr>
        <w:t>0.75 in an Investec Living Annu</w:t>
      </w:r>
      <w:r w:rsidR="0049475C" w:rsidRPr="00B97A4E">
        <w:rPr>
          <w:rFonts w:ascii="Arial" w:hAnsi="Arial" w:cs="Arial"/>
          <w:sz w:val="24"/>
          <w:szCs w:val="24"/>
        </w:rPr>
        <w:t>ity Policy.</w:t>
      </w:r>
    </w:p>
    <w:p w14:paraId="1DD8E5F7" w14:textId="03DA038A" w:rsidR="0049475C"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iii.</w:t>
      </w:r>
      <w:r w:rsidRPr="00BF6075">
        <w:rPr>
          <w:rFonts w:ascii="Arial" w:hAnsi="Arial" w:cs="Arial"/>
          <w:sz w:val="24"/>
          <w:szCs w:val="24"/>
        </w:rPr>
        <w:tab/>
      </w:r>
      <w:r w:rsidR="0049475C" w:rsidRPr="00B97A4E">
        <w:rPr>
          <w:rFonts w:ascii="Arial" w:hAnsi="Arial" w:cs="Arial"/>
          <w:sz w:val="24"/>
          <w:szCs w:val="24"/>
        </w:rPr>
        <w:t>As a result of the donation to the Trust</w:t>
      </w:r>
      <w:r w:rsidR="00E36AEE" w:rsidRPr="00B97A4E">
        <w:rPr>
          <w:rFonts w:ascii="Arial" w:hAnsi="Arial" w:cs="Arial"/>
          <w:sz w:val="24"/>
          <w:szCs w:val="24"/>
        </w:rPr>
        <w:t>,</w:t>
      </w:r>
      <w:r w:rsidR="0049475C" w:rsidRPr="00B97A4E">
        <w:rPr>
          <w:rFonts w:ascii="Arial" w:hAnsi="Arial" w:cs="Arial"/>
          <w:sz w:val="24"/>
          <w:szCs w:val="24"/>
        </w:rPr>
        <w:t xml:space="preserve"> the plaintiff effectively, unlawfully, deliberately and </w:t>
      </w:r>
      <w:r w:rsidR="0049475C" w:rsidRPr="00B97A4E">
        <w:rPr>
          <w:rFonts w:ascii="Arial" w:hAnsi="Arial" w:cs="Arial"/>
          <w:i/>
          <w:sz w:val="24"/>
          <w:szCs w:val="24"/>
        </w:rPr>
        <w:t>mala fides</w:t>
      </w:r>
      <w:r w:rsidR="0049475C" w:rsidRPr="00B97A4E">
        <w:rPr>
          <w:rFonts w:ascii="Arial" w:hAnsi="Arial" w:cs="Arial"/>
          <w:sz w:val="24"/>
          <w:szCs w:val="24"/>
        </w:rPr>
        <w:t xml:space="preserve"> diminished the value of his estate. The creation of the Trust was unnecessary and illogical for the reasons set out by the defendant;</w:t>
      </w:r>
    </w:p>
    <w:p w14:paraId="4F70ACCB" w14:textId="6FB49862" w:rsidR="0049475C"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lastRenderedPageBreak/>
        <w:t>iv.</w:t>
      </w:r>
      <w:r w:rsidRPr="00BF6075">
        <w:rPr>
          <w:rFonts w:ascii="Arial" w:hAnsi="Arial" w:cs="Arial"/>
          <w:sz w:val="24"/>
          <w:szCs w:val="24"/>
        </w:rPr>
        <w:tab/>
      </w:r>
      <w:r w:rsidR="0049475C" w:rsidRPr="00B97A4E">
        <w:rPr>
          <w:rFonts w:ascii="Arial" w:hAnsi="Arial" w:cs="Arial"/>
          <w:sz w:val="24"/>
          <w:szCs w:val="24"/>
        </w:rPr>
        <w:t>The plaintiff was at all times aware of the fact that his estate had shown a greater accrual and that the defendant would have a claim in terms of s 3(1) of the Matrimonial Property Act</w:t>
      </w:r>
      <w:r w:rsidR="00A930DE" w:rsidRPr="00B97A4E">
        <w:rPr>
          <w:rFonts w:ascii="Arial" w:hAnsi="Arial" w:cs="Arial"/>
          <w:sz w:val="24"/>
          <w:szCs w:val="24"/>
        </w:rPr>
        <w:t xml:space="preserve"> (MPA)</w:t>
      </w:r>
      <w:r w:rsidR="00E36AEE" w:rsidRPr="00B97A4E">
        <w:rPr>
          <w:rFonts w:ascii="Arial" w:hAnsi="Arial" w:cs="Arial"/>
          <w:sz w:val="24"/>
          <w:szCs w:val="24"/>
        </w:rPr>
        <w:t>. The P</w:t>
      </w:r>
      <w:r w:rsidR="0049475C" w:rsidRPr="00B97A4E">
        <w:rPr>
          <w:rFonts w:ascii="Arial" w:hAnsi="Arial" w:cs="Arial"/>
          <w:sz w:val="24"/>
          <w:szCs w:val="24"/>
        </w:rPr>
        <w:t xml:space="preserve">olicy was created </w:t>
      </w:r>
      <w:r w:rsidR="00E36AEE" w:rsidRPr="00B97A4E">
        <w:rPr>
          <w:rFonts w:ascii="Arial" w:hAnsi="Arial" w:cs="Arial"/>
          <w:sz w:val="24"/>
          <w:szCs w:val="24"/>
        </w:rPr>
        <w:t>'</w:t>
      </w:r>
      <w:r w:rsidR="0049475C" w:rsidRPr="00B97A4E">
        <w:rPr>
          <w:rFonts w:ascii="Arial" w:hAnsi="Arial" w:cs="Arial"/>
          <w:sz w:val="24"/>
          <w:szCs w:val="24"/>
        </w:rPr>
        <w:t xml:space="preserve">at a time that the Plaintiff was aware that the accrual claim of the Defendant would vest on the date of divorce and accordingly manifests an unjust enrichment of the Plaintiff at the expense of the Defendant. The Plaintiff attempted to effectively circumvent his obligations under and in terms of the Ante-Nuptial Contract </w:t>
      </w:r>
      <w:r w:rsidR="00713317" w:rsidRPr="00B97A4E">
        <w:rPr>
          <w:rFonts w:ascii="Arial" w:hAnsi="Arial" w:cs="Arial"/>
          <w:sz w:val="24"/>
          <w:szCs w:val="24"/>
        </w:rPr>
        <w:t>while</w:t>
      </w:r>
      <w:r w:rsidR="0049475C" w:rsidRPr="00B97A4E">
        <w:rPr>
          <w:rFonts w:ascii="Arial" w:hAnsi="Arial" w:cs="Arial"/>
          <w:sz w:val="24"/>
          <w:szCs w:val="24"/>
        </w:rPr>
        <w:t xml:space="preserve"> retaining the benefit of the asset in another space</w:t>
      </w:r>
      <w:r w:rsidR="00E36AEE" w:rsidRPr="00B97A4E">
        <w:rPr>
          <w:rFonts w:ascii="Arial" w:hAnsi="Arial" w:cs="Arial"/>
          <w:sz w:val="24"/>
          <w:szCs w:val="24"/>
        </w:rPr>
        <w:t>'</w:t>
      </w:r>
      <w:r w:rsidR="0049475C" w:rsidRPr="00B97A4E">
        <w:rPr>
          <w:rFonts w:ascii="Arial" w:hAnsi="Arial" w:cs="Arial"/>
          <w:sz w:val="24"/>
          <w:szCs w:val="24"/>
        </w:rPr>
        <w:t>;</w:t>
      </w:r>
    </w:p>
    <w:p w14:paraId="5BB626EE" w14:textId="35DD35E7" w:rsidR="0049475C"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w:t>
      </w:r>
      <w:r w:rsidRPr="00BF6075">
        <w:rPr>
          <w:rFonts w:ascii="Arial" w:hAnsi="Arial" w:cs="Arial"/>
          <w:sz w:val="24"/>
          <w:szCs w:val="24"/>
        </w:rPr>
        <w:tab/>
      </w:r>
      <w:r w:rsidR="00713317" w:rsidRPr="00B97A4E">
        <w:rPr>
          <w:rFonts w:ascii="Arial" w:hAnsi="Arial" w:cs="Arial"/>
          <w:sz w:val="24"/>
          <w:szCs w:val="24"/>
        </w:rPr>
        <w:t xml:space="preserve">In taking out the Policy the plaintiff acted unlawfully, deliberately and </w:t>
      </w:r>
      <w:r w:rsidR="00713317" w:rsidRPr="00B97A4E">
        <w:rPr>
          <w:rFonts w:ascii="Arial" w:hAnsi="Arial" w:cs="Arial"/>
          <w:i/>
          <w:sz w:val="24"/>
          <w:szCs w:val="24"/>
        </w:rPr>
        <w:t>mala fide</w:t>
      </w:r>
      <w:r w:rsidR="00713317" w:rsidRPr="00B97A4E">
        <w:rPr>
          <w:rFonts w:ascii="Arial" w:hAnsi="Arial" w:cs="Arial"/>
          <w:sz w:val="24"/>
          <w:szCs w:val="24"/>
        </w:rPr>
        <w:t xml:space="preserve"> with the intention to diminish the Defendant</w:t>
      </w:r>
      <w:r w:rsidR="00E36AEE" w:rsidRPr="00B97A4E">
        <w:rPr>
          <w:rFonts w:ascii="Arial" w:hAnsi="Arial" w:cs="Arial"/>
          <w:sz w:val="24"/>
          <w:szCs w:val="24"/>
        </w:rPr>
        <w:t>'</w:t>
      </w:r>
      <w:r w:rsidR="00713317" w:rsidRPr="00B97A4E">
        <w:rPr>
          <w:rFonts w:ascii="Arial" w:hAnsi="Arial" w:cs="Arial"/>
          <w:sz w:val="24"/>
          <w:szCs w:val="24"/>
        </w:rPr>
        <w:t>s accrual claim;</w:t>
      </w:r>
    </w:p>
    <w:p w14:paraId="63ED44D4" w14:textId="4435BA2C" w:rsidR="00713317"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w:t>
      </w:r>
      <w:r w:rsidRPr="00BF6075">
        <w:rPr>
          <w:rFonts w:ascii="Arial" w:hAnsi="Arial" w:cs="Arial"/>
          <w:sz w:val="24"/>
          <w:szCs w:val="24"/>
        </w:rPr>
        <w:tab/>
      </w:r>
      <w:r w:rsidR="00B11170" w:rsidRPr="00B97A4E">
        <w:rPr>
          <w:rFonts w:ascii="Arial" w:hAnsi="Arial" w:cs="Arial"/>
          <w:sz w:val="24"/>
          <w:szCs w:val="24"/>
        </w:rPr>
        <w:t>The plaintiff</w:t>
      </w:r>
      <w:r w:rsidR="00E36AEE" w:rsidRPr="00B97A4E">
        <w:rPr>
          <w:rFonts w:ascii="Arial" w:hAnsi="Arial" w:cs="Arial"/>
          <w:sz w:val="24"/>
          <w:szCs w:val="24"/>
        </w:rPr>
        <w:t>'</w:t>
      </w:r>
      <w:r w:rsidR="00B11170" w:rsidRPr="00B97A4E">
        <w:rPr>
          <w:rFonts w:ascii="Arial" w:hAnsi="Arial" w:cs="Arial"/>
          <w:sz w:val="24"/>
          <w:szCs w:val="24"/>
        </w:rPr>
        <w:t>s conduct constitutes a material breach, alternatively repudiation of the Ante-Nuptial Contract</w:t>
      </w:r>
      <w:r w:rsidR="00A930DE" w:rsidRPr="00B97A4E">
        <w:rPr>
          <w:rFonts w:ascii="Arial" w:hAnsi="Arial" w:cs="Arial"/>
          <w:sz w:val="24"/>
          <w:szCs w:val="24"/>
        </w:rPr>
        <w:t>;</w:t>
      </w:r>
    </w:p>
    <w:p w14:paraId="30DE48E7" w14:textId="7C8839DD" w:rsidR="00A930DE"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vii.</w:t>
      </w:r>
      <w:r w:rsidRPr="00BF6075">
        <w:rPr>
          <w:rFonts w:ascii="Arial" w:hAnsi="Arial" w:cs="Arial"/>
          <w:sz w:val="24"/>
          <w:szCs w:val="24"/>
        </w:rPr>
        <w:tab/>
      </w:r>
      <w:r w:rsidR="00A930DE" w:rsidRPr="00B97A4E">
        <w:rPr>
          <w:rFonts w:ascii="Arial" w:hAnsi="Arial" w:cs="Arial"/>
          <w:sz w:val="24"/>
          <w:szCs w:val="24"/>
        </w:rPr>
        <w:t xml:space="preserve">Because the plaintiff deliberately disposed of assets without disclosing his intention to do to the defendant the plaintiff: (a) breached his duty of </w:t>
      </w:r>
      <w:proofErr w:type="spellStart"/>
      <w:r w:rsidR="00A930DE" w:rsidRPr="00B97A4E">
        <w:rPr>
          <w:rFonts w:ascii="Arial" w:hAnsi="Arial" w:cs="Arial"/>
          <w:i/>
          <w:sz w:val="24"/>
          <w:szCs w:val="24"/>
        </w:rPr>
        <w:t>uberrimae</w:t>
      </w:r>
      <w:proofErr w:type="spellEnd"/>
      <w:r w:rsidR="00A930DE" w:rsidRPr="00B97A4E">
        <w:rPr>
          <w:rFonts w:ascii="Arial" w:hAnsi="Arial" w:cs="Arial"/>
          <w:i/>
          <w:sz w:val="24"/>
          <w:szCs w:val="24"/>
        </w:rPr>
        <w:t xml:space="preserve"> fides</w:t>
      </w:r>
      <w:r w:rsidR="00A930DE" w:rsidRPr="00B97A4E">
        <w:rPr>
          <w:rFonts w:ascii="Arial" w:hAnsi="Arial" w:cs="Arial"/>
          <w:sz w:val="24"/>
          <w:szCs w:val="24"/>
        </w:rPr>
        <w:t xml:space="preserve"> owed to the defendant, (b) sought to cause maximum prejudice to the defendant, (c) acted in bad faith, (d) offended public policy and the Constitutional values of human dignity, and achievement of equality, (e) actively disposed of his assets only disclosing to the defendant that he had done so some three months in advance of the trial date;</w:t>
      </w:r>
    </w:p>
    <w:p w14:paraId="72E3E83D" w14:textId="5E395F14" w:rsidR="00A930DE"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viii.</w:t>
      </w:r>
      <w:r w:rsidRPr="00BF6075">
        <w:rPr>
          <w:rFonts w:ascii="Arial" w:hAnsi="Arial" w:cs="Arial"/>
          <w:sz w:val="24"/>
          <w:szCs w:val="24"/>
        </w:rPr>
        <w:tab/>
      </w:r>
      <w:r w:rsidR="00A930DE" w:rsidRPr="00B97A4E">
        <w:rPr>
          <w:rFonts w:ascii="Arial" w:hAnsi="Arial" w:cs="Arial"/>
          <w:sz w:val="24"/>
          <w:szCs w:val="24"/>
        </w:rPr>
        <w:t>As a result</w:t>
      </w:r>
      <w:r w:rsidR="00666972" w:rsidRPr="00B97A4E">
        <w:rPr>
          <w:rFonts w:ascii="Arial" w:hAnsi="Arial" w:cs="Arial"/>
          <w:sz w:val="24"/>
          <w:szCs w:val="24"/>
        </w:rPr>
        <w:t>,</w:t>
      </w:r>
      <w:r w:rsidR="00A930DE" w:rsidRPr="00B97A4E">
        <w:rPr>
          <w:rFonts w:ascii="Arial" w:hAnsi="Arial" w:cs="Arial"/>
          <w:sz w:val="24"/>
          <w:szCs w:val="24"/>
        </w:rPr>
        <w:t xml:space="preserve"> the defendant suffered damages </w:t>
      </w:r>
      <w:r w:rsidR="00E36AEE" w:rsidRPr="00B97A4E">
        <w:rPr>
          <w:rFonts w:ascii="Arial" w:hAnsi="Arial" w:cs="Arial"/>
          <w:sz w:val="24"/>
          <w:szCs w:val="24"/>
        </w:rPr>
        <w:t>'</w:t>
      </w:r>
      <w:r w:rsidR="00A930DE" w:rsidRPr="00B97A4E">
        <w:rPr>
          <w:rFonts w:ascii="Arial" w:hAnsi="Arial" w:cs="Arial"/>
          <w:sz w:val="24"/>
          <w:szCs w:val="24"/>
        </w:rPr>
        <w:t>in an amount commensurate to the difference in the value of her accrual claim as at the date of divorce and the value of her claim prior to the dispositions to the Trust and the policy</w:t>
      </w:r>
      <w:r w:rsidR="00816BAD" w:rsidRPr="00B97A4E">
        <w:rPr>
          <w:rFonts w:ascii="Arial" w:hAnsi="Arial" w:cs="Arial"/>
          <w:sz w:val="24"/>
          <w:szCs w:val="24"/>
        </w:rPr>
        <w:t>. The defendant pleads in the alternative that the court determines a just and equitable method of determining the defendant</w:t>
      </w:r>
      <w:r w:rsidR="00E36AEE" w:rsidRPr="00B97A4E">
        <w:rPr>
          <w:rFonts w:ascii="Arial" w:hAnsi="Arial" w:cs="Arial"/>
          <w:sz w:val="24"/>
          <w:szCs w:val="24"/>
        </w:rPr>
        <w:t>'</w:t>
      </w:r>
      <w:r w:rsidR="00816BAD" w:rsidRPr="00B97A4E">
        <w:rPr>
          <w:rFonts w:ascii="Arial" w:hAnsi="Arial" w:cs="Arial"/>
          <w:sz w:val="24"/>
          <w:szCs w:val="24"/>
        </w:rPr>
        <w:t>s accrual claim as at the date of the divorce</w:t>
      </w:r>
      <w:r w:rsidR="00A930DE" w:rsidRPr="00B97A4E">
        <w:rPr>
          <w:rFonts w:ascii="Arial" w:hAnsi="Arial" w:cs="Arial"/>
          <w:sz w:val="24"/>
          <w:szCs w:val="24"/>
        </w:rPr>
        <w:t>;</w:t>
      </w:r>
    </w:p>
    <w:p w14:paraId="2FEE1B97" w14:textId="30EAA615" w:rsidR="00A930DE"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ix.</w:t>
      </w:r>
      <w:r w:rsidRPr="00BF6075">
        <w:rPr>
          <w:rFonts w:ascii="Arial" w:hAnsi="Arial" w:cs="Arial"/>
          <w:sz w:val="24"/>
          <w:szCs w:val="24"/>
        </w:rPr>
        <w:tab/>
      </w:r>
      <w:r w:rsidR="00A930DE" w:rsidRPr="00B97A4E">
        <w:rPr>
          <w:rFonts w:ascii="Arial" w:hAnsi="Arial" w:cs="Arial"/>
          <w:sz w:val="24"/>
          <w:szCs w:val="24"/>
        </w:rPr>
        <w:t>The defendant, in relying on s 8 of the MPA</w:t>
      </w:r>
      <w:r w:rsidR="00816BAD" w:rsidRPr="00B97A4E">
        <w:rPr>
          <w:rFonts w:ascii="Arial" w:hAnsi="Arial" w:cs="Arial"/>
          <w:sz w:val="24"/>
          <w:szCs w:val="24"/>
        </w:rPr>
        <w:t>, averred</w:t>
      </w:r>
      <w:r w:rsidR="00A930DE" w:rsidRPr="00B97A4E">
        <w:rPr>
          <w:rFonts w:ascii="Arial" w:hAnsi="Arial" w:cs="Arial"/>
          <w:sz w:val="24"/>
          <w:szCs w:val="24"/>
        </w:rPr>
        <w:t xml:space="preserve"> that the court is vested with an inherent discretion </w:t>
      </w:r>
      <w:r w:rsidR="00816BAD" w:rsidRPr="00B97A4E">
        <w:rPr>
          <w:rFonts w:ascii="Arial" w:hAnsi="Arial" w:cs="Arial"/>
          <w:sz w:val="24"/>
          <w:szCs w:val="24"/>
        </w:rPr>
        <w:t>to avoid an inequitable result.</w:t>
      </w:r>
    </w:p>
    <w:p w14:paraId="48C7B92A" w14:textId="5A8C9421" w:rsidR="00A930DE"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x.</w:t>
      </w:r>
      <w:r w:rsidRPr="00BF6075">
        <w:rPr>
          <w:rFonts w:ascii="Arial" w:hAnsi="Arial" w:cs="Arial"/>
          <w:sz w:val="24"/>
          <w:szCs w:val="24"/>
        </w:rPr>
        <w:tab/>
      </w:r>
      <w:r w:rsidR="00816BAD" w:rsidRPr="00B97A4E">
        <w:rPr>
          <w:rFonts w:ascii="Arial" w:hAnsi="Arial" w:cs="Arial"/>
          <w:sz w:val="24"/>
          <w:szCs w:val="24"/>
        </w:rPr>
        <w:t>The defendant seeks the following relief: (a) a declaratory order to the effect that the accrual of the plaintiff</w:t>
      </w:r>
      <w:r w:rsidR="00E36AEE" w:rsidRPr="00B97A4E">
        <w:rPr>
          <w:rFonts w:ascii="Arial" w:hAnsi="Arial" w:cs="Arial"/>
          <w:sz w:val="24"/>
          <w:szCs w:val="24"/>
        </w:rPr>
        <w:t>'</w:t>
      </w:r>
      <w:r w:rsidR="00816BAD" w:rsidRPr="00B97A4E">
        <w:rPr>
          <w:rFonts w:ascii="Arial" w:hAnsi="Arial" w:cs="Arial"/>
          <w:sz w:val="24"/>
          <w:szCs w:val="24"/>
        </w:rPr>
        <w:t xml:space="preserve">s estate as it stood on 14 March 2019, be calculated on the basis that amounts equal to the respective dispositions to the Trust and the Living </w:t>
      </w:r>
      <w:r w:rsidR="008F4F63" w:rsidRPr="00B97A4E">
        <w:rPr>
          <w:rFonts w:ascii="Arial" w:hAnsi="Arial" w:cs="Arial"/>
          <w:sz w:val="24"/>
          <w:szCs w:val="24"/>
        </w:rPr>
        <w:t>Annuity</w:t>
      </w:r>
      <w:r w:rsidR="00816BAD" w:rsidRPr="00B97A4E">
        <w:rPr>
          <w:rFonts w:ascii="Arial" w:hAnsi="Arial" w:cs="Arial"/>
          <w:sz w:val="24"/>
          <w:szCs w:val="24"/>
        </w:rPr>
        <w:t xml:space="preserve"> be deemed as assets</w:t>
      </w:r>
      <w:r w:rsidR="00E36AEE" w:rsidRPr="00B97A4E">
        <w:rPr>
          <w:rFonts w:ascii="Arial" w:hAnsi="Arial" w:cs="Arial"/>
          <w:sz w:val="24"/>
          <w:szCs w:val="24"/>
        </w:rPr>
        <w:t>'</w:t>
      </w:r>
      <w:r w:rsidR="00816BAD" w:rsidRPr="00B97A4E">
        <w:rPr>
          <w:rFonts w:ascii="Arial" w:hAnsi="Arial" w:cs="Arial"/>
          <w:sz w:val="24"/>
          <w:szCs w:val="24"/>
        </w:rPr>
        <w:t xml:space="preserve"> in the plaintiff</w:t>
      </w:r>
      <w:r w:rsidR="00E36AEE" w:rsidRPr="00B97A4E">
        <w:rPr>
          <w:rFonts w:ascii="Arial" w:hAnsi="Arial" w:cs="Arial"/>
          <w:sz w:val="24"/>
          <w:szCs w:val="24"/>
        </w:rPr>
        <w:t>'</w:t>
      </w:r>
      <w:r w:rsidR="00816BAD" w:rsidRPr="00B97A4E">
        <w:rPr>
          <w:rFonts w:ascii="Arial" w:hAnsi="Arial" w:cs="Arial"/>
          <w:sz w:val="24"/>
          <w:szCs w:val="24"/>
        </w:rPr>
        <w:t>s estate;</w:t>
      </w:r>
      <w:r w:rsidR="008F4F63" w:rsidRPr="00B97A4E">
        <w:rPr>
          <w:rFonts w:ascii="Arial" w:hAnsi="Arial" w:cs="Arial"/>
          <w:sz w:val="24"/>
          <w:szCs w:val="24"/>
        </w:rPr>
        <w:t xml:space="preserve"> </w:t>
      </w:r>
      <w:r w:rsidR="008F4F63" w:rsidRPr="00B97A4E">
        <w:rPr>
          <w:rFonts w:ascii="Arial" w:hAnsi="Arial" w:cs="Arial"/>
          <w:sz w:val="24"/>
          <w:szCs w:val="24"/>
        </w:rPr>
        <w:lastRenderedPageBreak/>
        <w:t>(b) that the parties are directed to endeavour to agree on the calculation of the estate within 30 days of the order, failing which a referee shall be appointed to enquire into and report on the valuation of the parties</w:t>
      </w:r>
      <w:r w:rsidR="00E36AEE" w:rsidRPr="00B97A4E">
        <w:rPr>
          <w:rFonts w:ascii="Arial" w:hAnsi="Arial" w:cs="Arial"/>
          <w:sz w:val="24"/>
          <w:szCs w:val="24"/>
        </w:rPr>
        <w:t>'</w:t>
      </w:r>
      <w:r w:rsidR="008F4F63" w:rsidRPr="00B97A4E">
        <w:rPr>
          <w:rFonts w:ascii="Arial" w:hAnsi="Arial" w:cs="Arial"/>
          <w:sz w:val="24"/>
          <w:szCs w:val="24"/>
        </w:rPr>
        <w:t xml:space="preserve"> respective estates and the computation of the accrual claim; (c) in the event that the plaintiff is unable to pay the accrual claim he must be directed to draw the maximum amount annually permissible from the poli</w:t>
      </w:r>
      <w:r w:rsidR="00CF2316" w:rsidRPr="00B97A4E">
        <w:rPr>
          <w:rFonts w:ascii="Arial" w:hAnsi="Arial" w:cs="Arial"/>
          <w:sz w:val="24"/>
          <w:szCs w:val="24"/>
        </w:rPr>
        <w:t>cy and to make over such monies to the defendant until such time as the defendant</w:t>
      </w:r>
      <w:r w:rsidR="00E36AEE" w:rsidRPr="00B97A4E">
        <w:rPr>
          <w:rFonts w:ascii="Arial" w:hAnsi="Arial" w:cs="Arial"/>
          <w:sz w:val="24"/>
          <w:szCs w:val="24"/>
        </w:rPr>
        <w:t>'</w:t>
      </w:r>
      <w:r w:rsidR="00CF2316" w:rsidRPr="00B97A4E">
        <w:rPr>
          <w:rFonts w:ascii="Arial" w:hAnsi="Arial" w:cs="Arial"/>
          <w:sz w:val="24"/>
          <w:szCs w:val="24"/>
        </w:rPr>
        <w:t>s accrual claim is liquidated in full; (d) interest from the date of the divorce until the defendant</w:t>
      </w:r>
      <w:r w:rsidR="00E36AEE" w:rsidRPr="00B97A4E">
        <w:rPr>
          <w:rFonts w:ascii="Arial" w:hAnsi="Arial" w:cs="Arial"/>
          <w:sz w:val="24"/>
          <w:szCs w:val="24"/>
        </w:rPr>
        <w:t>'</w:t>
      </w:r>
      <w:r w:rsidR="00CF2316" w:rsidRPr="00B97A4E">
        <w:rPr>
          <w:rFonts w:ascii="Arial" w:hAnsi="Arial" w:cs="Arial"/>
          <w:sz w:val="24"/>
          <w:szCs w:val="24"/>
        </w:rPr>
        <w:t xml:space="preserve">s accrual claim is paid; </w:t>
      </w:r>
      <w:r w:rsidR="00AE0731" w:rsidRPr="00B97A4E">
        <w:rPr>
          <w:rFonts w:ascii="Arial" w:hAnsi="Arial" w:cs="Arial"/>
          <w:sz w:val="24"/>
          <w:szCs w:val="24"/>
        </w:rPr>
        <w:t xml:space="preserve">(e) </w:t>
      </w:r>
      <w:r w:rsidR="00CF2316" w:rsidRPr="00B97A4E">
        <w:rPr>
          <w:rFonts w:ascii="Arial" w:hAnsi="Arial" w:cs="Arial"/>
          <w:sz w:val="24"/>
          <w:szCs w:val="24"/>
        </w:rPr>
        <w:t>costs on an attorney and client scale</w:t>
      </w:r>
      <w:r w:rsidR="0027305B" w:rsidRPr="00B97A4E">
        <w:rPr>
          <w:rFonts w:ascii="Arial" w:hAnsi="Arial" w:cs="Arial"/>
          <w:sz w:val="24"/>
          <w:szCs w:val="24"/>
        </w:rPr>
        <w:t>; (f) further and alternative relief.</w:t>
      </w:r>
    </w:p>
    <w:p w14:paraId="25160AF1" w14:textId="77777777" w:rsidR="00816BAD" w:rsidRPr="00BF6075" w:rsidRDefault="00816BAD" w:rsidP="0027305B">
      <w:pPr>
        <w:tabs>
          <w:tab w:val="left" w:pos="4917"/>
        </w:tabs>
        <w:spacing w:before="120" w:after="120" w:line="360" w:lineRule="auto"/>
        <w:ind w:left="1080"/>
        <w:jc w:val="both"/>
        <w:rPr>
          <w:rFonts w:ascii="Arial" w:hAnsi="Arial" w:cs="Arial"/>
          <w:sz w:val="24"/>
          <w:szCs w:val="24"/>
        </w:rPr>
      </w:pPr>
    </w:p>
    <w:p w14:paraId="047C73C6" w14:textId="50FEA13B" w:rsidR="0027305B"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[14]</w:t>
      </w:r>
      <w:r w:rsidRPr="00BF6075">
        <w:rPr>
          <w:rFonts w:ascii="Arial" w:hAnsi="Arial" w:cs="Arial"/>
          <w:sz w:val="24"/>
          <w:szCs w:val="24"/>
        </w:rPr>
        <w:tab/>
      </w:r>
      <w:r w:rsidR="0027305B" w:rsidRPr="00B97A4E">
        <w:rPr>
          <w:rFonts w:ascii="Arial" w:hAnsi="Arial" w:cs="Arial"/>
          <w:sz w:val="24"/>
          <w:szCs w:val="24"/>
        </w:rPr>
        <w:t>The plaintiff submits that the defendant</w:t>
      </w:r>
      <w:r w:rsidR="00E36AEE" w:rsidRPr="00B97A4E">
        <w:rPr>
          <w:rFonts w:ascii="Arial" w:hAnsi="Arial" w:cs="Arial"/>
          <w:sz w:val="24"/>
          <w:szCs w:val="24"/>
        </w:rPr>
        <w:t>'</w:t>
      </w:r>
      <w:r w:rsidR="0027305B" w:rsidRPr="00B97A4E">
        <w:rPr>
          <w:rFonts w:ascii="Arial" w:hAnsi="Arial" w:cs="Arial"/>
          <w:sz w:val="24"/>
          <w:szCs w:val="24"/>
        </w:rPr>
        <w:t>s counterclaim is vague and embarrassing alternatively, lacks the averments necessary to sustain a cause of ac</w:t>
      </w:r>
      <w:r w:rsidR="007B62C2" w:rsidRPr="00B97A4E">
        <w:rPr>
          <w:rFonts w:ascii="Arial" w:hAnsi="Arial" w:cs="Arial"/>
          <w:sz w:val="24"/>
          <w:szCs w:val="24"/>
        </w:rPr>
        <w:t>tion. The plaintiff raised twelve</w:t>
      </w:r>
      <w:r w:rsidR="00F25058" w:rsidRPr="00B97A4E">
        <w:rPr>
          <w:rFonts w:ascii="Arial" w:hAnsi="Arial" w:cs="Arial"/>
          <w:sz w:val="24"/>
          <w:szCs w:val="24"/>
        </w:rPr>
        <w:t xml:space="preserve"> </w:t>
      </w:r>
      <w:r w:rsidR="0027305B" w:rsidRPr="00B97A4E">
        <w:rPr>
          <w:rFonts w:ascii="Arial" w:hAnsi="Arial" w:cs="Arial"/>
          <w:sz w:val="24"/>
          <w:szCs w:val="24"/>
        </w:rPr>
        <w:t>exception</w:t>
      </w:r>
      <w:r w:rsidR="00F25058" w:rsidRPr="00B97A4E">
        <w:rPr>
          <w:rFonts w:ascii="Arial" w:hAnsi="Arial" w:cs="Arial"/>
          <w:sz w:val="24"/>
          <w:szCs w:val="24"/>
        </w:rPr>
        <w:t>s</w:t>
      </w:r>
      <w:r w:rsidR="0027305B" w:rsidRPr="00B97A4E">
        <w:rPr>
          <w:rFonts w:ascii="Arial" w:hAnsi="Arial" w:cs="Arial"/>
          <w:sz w:val="24"/>
          <w:szCs w:val="24"/>
        </w:rPr>
        <w:t>:</w:t>
      </w:r>
    </w:p>
    <w:p w14:paraId="48E45F29" w14:textId="77777777" w:rsidR="00540222" w:rsidRPr="00BF6075" w:rsidRDefault="00540222" w:rsidP="00540222">
      <w:pPr>
        <w:pStyle w:val="ListParagraph"/>
        <w:tabs>
          <w:tab w:val="left" w:pos="4917"/>
        </w:tabs>
        <w:spacing w:before="120" w:after="120" w:line="360" w:lineRule="auto"/>
        <w:jc w:val="both"/>
        <w:rPr>
          <w:rFonts w:ascii="Arial" w:hAnsi="Arial" w:cs="Arial"/>
          <w:sz w:val="24"/>
          <w:szCs w:val="24"/>
        </w:rPr>
      </w:pPr>
    </w:p>
    <w:p w14:paraId="53A71162" w14:textId="6E1A8DBC" w:rsidR="0027305B" w:rsidRPr="00B97A4E" w:rsidRDefault="00B97A4E" w:rsidP="00B97A4E">
      <w:pPr>
        <w:tabs>
          <w:tab w:val="left" w:pos="3060"/>
        </w:tabs>
        <w:spacing w:before="120" w:after="120" w:line="360" w:lineRule="auto"/>
        <w:ind w:left="1440" w:hanging="360"/>
        <w:jc w:val="both"/>
        <w:rPr>
          <w:rFonts w:ascii="Arial" w:hAnsi="Arial" w:cs="Arial"/>
          <w:sz w:val="24"/>
          <w:szCs w:val="24"/>
        </w:rPr>
      </w:pPr>
      <w:proofErr w:type="spellStart"/>
      <w:r w:rsidRPr="00BF6075">
        <w:rPr>
          <w:rFonts w:ascii="Arial" w:hAnsi="Arial" w:cs="Arial"/>
          <w:sz w:val="24"/>
          <w:szCs w:val="24"/>
        </w:rPr>
        <w:t>i</w:t>
      </w:r>
      <w:proofErr w:type="spellEnd"/>
      <w:r w:rsidRPr="00BF6075">
        <w:rPr>
          <w:rFonts w:ascii="Arial" w:hAnsi="Arial" w:cs="Arial"/>
          <w:sz w:val="24"/>
          <w:szCs w:val="24"/>
        </w:rPr>
        <w:t>.</w:t>
      </w:r>
      <w:r w:rsidRPr="00BF6075">
        <w:rPr>
          <w:rFonts w:ascii="Arial" w:hAnsi="Arial" w:cs="Arial"/>
          <w:sz w:val="24"/>
          <w:szCs w:val="24"/>
        </w:rPr>
        <w:tab/>
      </w:r>
      <w:r w:rsidR="0027305B" w:rsidRPr="00B97A4E">
        <w:rPr>
          <w:rFonts w:ascii="Arial" w:hAnsi="Arial" w:cs="Arial"/>
          <w:i/>
          <w:sz w:val="24"/>
          <w:szCs w:val="24"/>
        </w:rPr>
        <w:t xml:space="preserve">First </w:t>
      </w:r>
      <w:r w:rsidR="00F25058" w:rsidRPr="00B97A4E">
        <w:rPr>
          <w:rFonts w:ascii="Arial" w:hAnsi="Arial" w:cs="Arial"/>
          <w:i/>
          <w:sz w:val="24"/>
          <w:szCs w:val="24"/>
        </w:rPr>
        <w:t>exception</w:t>
      </w:r>
      <w:r w:rsidR="0027305B" w:rsidRPr="00B97A4E">
        <w:rPr>
          <w:rFonts w:ascii="Arial" w:hAnsi="Arial" w:cs="Arial"/>
          <w:i/>
          <w:sz w:val="24"/>
          <w:szCs w:val="24"/>
        </w:rPr>
        <w:t>:</w:t>
      </w:r>
      <w:r w:rsidR="00F25058" w:rsidRPr="00B97A4E">
        <w:rPr>
          <w:rFonts w:ascii="Arial" w:hAnsi="Arial" w:cs="Arial"/>
          <w:sz w:val="24"/>
          <w:szCs w:val="24"/>
        </w:rPr>
        <w:t xml:space="preserve"> </w:t>
      </w:r>
      <w:r w:rsidR="0027305B" w:rsidRPr="00B97A4E">
        <w:rPr>
          <w:rFonts w:ascii="Arial" w:hAnsi="Arial" w:cs="Arial"/>
          <w:sz w:val="24"/>
          <w:szCs w:val="24"/>
        </w:rPr>
        <w:t>The Trustees of the Trust have a direct and substantial interest in the outcome of the litigation. The defendant</w:t>
      </w:r>
      <w:r w:rsidR="00E36AEE" w:rsidRPr="00B97A4E">
        <w:rPr>
          <w:rFonts w:ascii="Arial" w:hAnsi="Arial" w:cs="Arial"/>
          <w:sz w:val="24"/>
          <w:szCs w:val="24"/>
        </w:rPr>
        <w:t>'</w:t>
      </w:r>
      <w:r w:rsidR="0027305B" w:rsidRPr="00B97A4E">
        <w:rPr>
          <w:rFonts w:ascii="Arial" w:hAnsi="Arial" w:cs="Arial"/>
          <w:sz w:val="24"/>
          <w:szCs w:val="24"/>
        </w:rPr>
        <w:t>s failure to join the Trustees of the trust renders the defendant</w:t>
      </w:r>
      <w:r w:rsidR="00E36AEE" w:rsidRPr="00B97A4E">
        <w:rPr>
          <w:rFonts w:ascii="Arial" w:hAnsi="Arial" w:cs="Arial"/>
          <w:sz w:val="24"/>
          <w:szCs w:val="24"/>
        </w:rPr>
        <w:t>'</w:t>
      </w:r>
      <w:r w:rsidR="0027305B" w:rsidRPr="00B97A4E">
        <w:rPr>
          <w:rFonts w:ascii="Arial" w:hAnsi="Arial" w:cs="Arial"/>
          <w:sz w:val="24"/>
          <w:szCs w:val="24"/>
        </w:rPr>
        <w:t xml:space="preserve">s claim </w:t>
      </w:r>
      <w:proofErr w:type="spellStart"/>
      <w:r w:rsidR="006E2A1F" w:rsidRPr="00B97A4E">
        <w:rPr>
          <w:rFonts w:ascii="Arial" w:hAnsi="Arial" w:cs="Arial"/>
          <w:sz w:val="24"/>
          <w:szCs w:val="24"/>
        </w:rPr>
        <w:t>excipiable</w:t>
      </w:r>
      <w:proofErr w:type="spellEnd"/>
      <w:r w:rsidR="0027305B" w:rsidRPr="00B97A4E">
        <w:rPr>
          <w:rFonts w:ascii="Arial" w:hAnsi="Arial" w:cs="Arial"/>
          <w:sz w:val="24"/>
          <w:szCs w:val="24"/>
        </w:rPr>
        <w:t>;</w:t>
      </w:r>
    </w:p>
    <w:p w14:paraId="6166E51B" w14:textId="77777777" w:rsidR="0027305B" w:rsidRPr="00BF6075" w:rsidRDefault="0027305B" w:rsidP="0027305B">
      <w:pPr>
        <w:pStyle w:val="ListParagraph"/>
        <w:tabs>
          <w:tab w:val="left" w:pos="4917"/>
        </w:tabs>
        <w:spacing w:before="120" w:after="120" w:line="360" w:lineRule="auto"/>
        <w:ind w:left="1440"/>
        <w:jc w:val="both"/>
        <w:rPr>
          <w:rFonts w:ascii="Arial" w:hAnsi="Arial" w:cs="Arial"/>
          <w:sz w:val="24"/>
          <w:szCs w:val="24"/>
        </w:rPr>
      </w:pPr>
    </w:p>
    <w:p w14:paraId="0B3B8636" w14:textId="2D059595" w:rsidR="0027305B"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w:t>
      </w:r>
      <w:r w:rsidRPr="00BF6075">
        <w:rPr>
          <w:rFonts w:ascii="Arial" w:hAnsi="Arial" w:cs="Arial"/>
          <w:sz w:val="24"/>
          <w:szCs w:val="24"/>
        </w:rPr>
        <w:tab/>
      </w:r>
      <w:r w:rsidR="0027305B" w:rsidRPr="00B97A4E">
        <w:rPr>
          <w:rFonts w:ascii="Arial" w:hAnsi="Arial" w:cs="Arial"/>
          <w:i/>
          <w:sz w:val="24"/>
          <w:szCs w:val="24"/>
        </w:rPr>
        <w:t>Second</w:t>
      </w:r>
      <w:r w:rsidR="00F25058" w:rsidRPr="00B97A4E">
        <w:rPr>
          <w:rFonts w:ascii="Arial" w:hAnsi="Arial" w:cs="Arial"/>
          <w:i/>
          <w:sz w:val="24"/>
          <w:szCs w:val="24"/>
        </w:rPr>
        <w:t xml:space="preserve"> exception</w:t>
      </w:r>
      <w:r w:rsidR="0027305B" w:rsidRPr="00B97A4E">
        <w:rPr>
          <w:rFonts w:ascii="Arial" w:hAnsi="Arial" w:cs="Arial"/>
          <w:i/>
          <w:sz w:val="24"/>
          <w:szCs w:val="24"/>
        </w:rPr>
        <w:t xml:space="preserve">: </w:t>
      </w:r>
      <w:r w:rsidR="0027305B" w:rsidRPr="00B97A4E">
        <w:rPr>
          <w:rFonts w:ascii="Arial" w:hAnsi="Arial" w:cs="Arial"/>
          <w:sz w:val="24"/>
          <w:szCs w:val="24"/>
        </w:rPr>
        <w:t>The Investec investment is not an asset in the plaintiff</w:t>
      </w:r>
      <w:r w:rsidR="00E36AEE" w:rsidRPr="00B97A4E">
        <w:rPr>
          <w:rFonts w:ascii="Arial" w:hAnsi="Arial" w:cs="Arial"/>
          <w:sz w:val="24"/>
          <w:szCs w:val="24"/>
        </w:rPr>
        <w:t>'</w:t>
      </w:r>
      <w:r w:rsidR="0027305B" w:rsidRPr="00B97A4E">
        <w:rPr>
          <w:rFonts w:ascii="Arial" w:hAnsi="Arial" w:cs="Arial"/>
          <w:sz w:val="24"/>
          <w:szCs w:val="24"/>
        </w:rPr>
        <w:t>s estate and the defendant has no claim in law to the asset. Investec has a direct and substantial interest in the outcome of the litigation. The defendant</w:t>
      </w:r>
      <w:r w:rsidR="00E36AEE" w:rsidRPr="00B97A4E">
        <w:rPr>
          <w:rFonts w:ascii="Arial" w:hAnsi="Arial" w:cs="Arial"/>
          <w:sz w:val="24"/>
          <w:szCs w:val="24"/>
        </w:rPr>
        <w:t>'</w:t>
      </w:r>
      <w:r w:rsidR="0027305B" w:rsidRPr="00B97A4E">
        <w:rPr>
          <w:rFonts w:ascii="Arial" w:hAnsi="Arial" w:cs="Arial"/>
          <w:sz w:val="24"/>
          <w:szCs w:val="24"/>
        </w:rPr>
        <w:t xml:space="preserve">s failure to </w:t>
      </w:r>
      <w:r w:rsidR="00106D83" w:rsidRPr="00B97A4E">
        <w:rPr>
          <w:rFonts w:ascii="Arial" w:hAnsi="Arial" w:cs="Arial"/>
          <w:sz w:val="24"/>
          <w:szCs w:val="24"/>
        </w:rPr>
        <w:t xml:space="preserve">join </w:t>
      </w:r>
      <w:r w:rsidR="0027305B" w:rsidRPr="00B97A4E">
        <w:rPr>
          <w:rFonts w:ascii="Arial" w:hAnsi="Arial" w:cs="Arial"/>
          <w:sz w:val="24"/>
          <w:szCs w:val="24"/>
        </w:rPr>
        <w:t>Investec renders the</w:t>
      </w:r>
      <w:r w:rsidR="00106D83" w:rsidRPr="00B97A4E">
        <w:rPr>
          <w:rFonts w:ascii="Arial" w:hAnsi="Arial" w:cs="Arial"/>
          <w:sz w:val="24"/>
          <w:szCs w:val="24"/>
        </w:rPr>
        <w:t xml:space="preserve"> counterclaim </w:t>
      </w:r>
      <w:proofErr w:type="spellStart"/>
      <w:r w:rsidR="006E2A1F" w:rsidRPr="00B97A4E">
        <w:rPr>
          <w:rFonts w:ascii="Arial" w:hAnsi="Arial" w:cs="Arial"/>
          <w:sz w:val="24"/>
          <w:szCs w:val="24"/>
        </w:rPr>
        <w:t>excipiable</w:t>
      </w:r>
      <w:proofErr w:type="spellEnd"/>
      <w:r w:rsidR="00106D83" w:rsidRPr="00B97A4E">
        <w:rPr>
          <w:rFonts w:ascii="Arial" w:hAnsi="Arial" w:cs="Arial"/>
          <w:sz w:val="24"/>
          <w:szCs w:val="24"/>
        </w:rPr>
        <w:t>;</w:t>
      </w:r>
    </w:p>
    <w:p w14:paraId="7DA9D531" w14:textId="21B76BCB" w:rsidR="0027305B" w:rsidRPr="00BF6075" w:rsidRDefault="0027305B" w:rsidP="0027305B">
      <w:pPr>
        <w:pStyle w:val="ListParagraph"/>
        <w:tabs>
          <w:tab w:val="left" w:pos="4917"/>
        </w:tabs>
        <w:spacing w:before="120" w:after="120" w:line="360" w:lineRule="auto"/>
        <w:ind w:left="1440"/>
        <w:jc w:val="both"/>
        <w:rPr>
          <w:rFonts w:ascii="Arial" w:hAnsi="Arial" w:cs="Arial"/>
          <w:sz w:val="24"/>
          <w:szCs w:val="24"/>
        </w:rPr>
      </w:pPr>
    </w:p>
    <w:p w14:paraId="558BB4FA" w14:textId="027B8D50" w:rsidR="0027305B"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iii.</w:t>
      </w:r>
      <w:r w:rsidRPr="00BF6075">
        <w:rPr>
          <w:rFonts w:ascii="Arial" w:hAnsi="Arial" w:cs="Arial"/>
          <w:sz w:val="24"/>
          <w:szCs w:val="24"/>
        </w:rPr>
        <w:tab/>
      </w:r>
      <w:r w:rsidR="0027305B" w:rsidRPr="00B97A4E">
        <w:rPr>
          <w:rFonts w:ascii="Arial" w:hAnsi="Arial" w:cs="Arial"/>
          <w:i/>
          <w:sz w:val="24"/>
          <w:szCs w:val="24"/>
        </w:rPr>
        <w:t xml:space="preserve">Third </w:t>
      </w:r>
      <w:r w:rsidR="00F25058" w:rsidRPr="00B97A4E">
        <w:rPr>
          <w:rFonts w:ascii="Arial" w:hAnsi="Arial" w:cs="Arial"/>
          <w:i/>
          <w:sz w:val="24"/>
          <w:szCs w:val="24"/>
        </w:rPr>
        <w:t>exception</w:t>
      </w:r>
      <w:r w:rsidR="0027305B" w:rsidRPr="00B97A4E">
        <w:rPr>
          <w:rFonts w:ascii="Arial" w:hAnsi="Arial" w:cs="Arial"/>
          <w:i/>
          <w:sz w:val="24"/>
          <w:szCs w:val="24"/>
        </w:rPr>
        <w:t xml:space="preserve">: </w:t>
      </w:r>
      <w:r w:rsidR="00795347" w:rsidRPr="00B97A4E">
        <w:rPr>
          <w:rFonts w:ascii="Arial" w:hAnsi="Arial" w:cs="Arial"/>
          <w:sz w:val="24"/>
          <w:szCs w:val="24"/>
        </w:rPr>
        <w:t xml:space="preserve">The defendant </w:t>
      </w:r>
      <w:r w:rsidR="003B1F25" w:rsidRPr="00B97A4E">
        <w:rPr>
          <w:rFonts w:ascii="Arial" w:hAnsi="Arial" w:cs="Arial"/>
          <w:sz w:val="24"/>
          <w:szCs w:val="24"/>
        </w:rPr>
        <w:t>purports</w:t>
      </w:r>
      <w:r w:rsidR="00795347" w:rsidRPr="00B97A4E">
        <w:rPr>
          <w:rFonts w:ascii="Arial" w:hAnsi="Arial" w:cs="Arial"/>
          <w:sz w:val="24"/>
          <w:szCs w:val="24"/>
        </w:rPr>
        <w:t xml:space="preserve"> to rely on the unlawful and intentional diminishing of the accrual as a cause of action</w:t>
      </w:r>
      <w:r w:rsidR="00013AAB" w:rsidRPr="00B97A4E">
        <w:rPr>
          <w:rFonts w:ascii="Arial" w:hAnsi="Arial" w:cs="Arial"/>
          <w:sz w:val="24"/>
          <w:szCs w:val="24"/>
        </w:rPr>
        <w:t xml:space="preserve"> but</w:t>
      </w:r>
      <w:r w:rsidR="00BF039F" w:rsidRPr="00B97A4E">
        <w:rPr>
          <w:rFonts w:ascii="Arial" w:hAnsi="Arial" w:cs="Arial"/>
          <w:sz w:val="24"/>
          <w:szCs w:val="24"/>
        </w:rPr>
        <w:t xml:space="preserve"> do not allege the grounds upon which</w:t>
      </w:r>
      <w:r w:rsidR="00106D83" w:rsidRPr="00B97A4E">
        <w:rPr>
          <w:rFonts w:ascii="Arial" w:hAnsi="Arial" w:cs="Arial"/>
          <w:sz w:val="24"/>
          <w:szCs w:val="24"/>
        </w:rPr>
        <w:t xml:space="preserve"> unlawfulness is based. As a result, the counterclaim is vague and embarrassing, and fails to disclose a cause of action;</w:t>
      </w:r>
    </w:p>
    <w:p w14:paraId="3DCE608F" w14:textId="77777777" w:rsidR="00106D83" w:rsidRPr="00BF6075" w:rsidRDefault="00106D83" w:rsidP="00106D83">
      <w:pPr>
        <w:pStyle w:val="ListParagraph"/>
        <w:rPr>
          <w:rFonts w:ascii="Arial" w:hAnsi="Arial" w:cs="Arial"/>
          <w:sz w:val="24"/>
          <w:szCs w:val="24"/>
        </w:rPr>
      </w:pPr>
    </w:p>
    <w:p w14:paraId="1B39326D" w14:textId="4081BF30" w:rsidR="00106D83"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lastRenderedPageBreak/>
        <w:t>iv.</w:t>
      </w:r>
      <w:r w:rsidRPr="00BF6075">
        <w:rPr>
          <w:rFonts w:ascii="Arial" w:hAnsi="Arial" w:cs="Arial"/>
          <w:sz w:val="24"/>
          <w:szCs w:val="24"/>
        </w:rPr>
        <w:tab/>
      </w:r>
      <w:r w:rsidR="00106D83" w:rsidRPr="00B97A4E">
        <w:rPr>
          <w:rFonts w:ascii="Arial" w:hAnsi="Arial" w:cs="Arial"/>
          <w:i/>
          <w:sz w:val="24"/>
          <w:szCs w:val="24"/>
        </w:rPr>
        <w:t xml:space="preserve">Fourth </w:t>
      </w:r>
      <w:r w:rsidR="00F25058" w:rsidRPr="00B97A4E">
        <w:rPr>
          <w:rFonts w:ascii="Arial" w:hAnsi="Arial" w:cs="Arial"/>
          <w:i/>
          <w:sz w:val="24"/>
          <w:szCs w:val="24"/>
        </w:rPr>
        <w:t>exception</w:t>
      </w:r>
      <w:r w:rsidR="00106D83" w:rsidRPr="00B97A4E">
        <w:rPr>
          <w:rFonts w:ascii="Arial" w:hAnsi="Arial" w:cs="Arial"/>
          <w:i/>
          <w:sz w:val="24"/>
          <w:szCs w:val="24"/>
        </w:rPr>
        <w:t>:</w:t>
      </w:r>
      <w:r w:rsidR="00106D83" w:rsidRPr="00B97A4E">
        <w:rPr>
          <w:rFonts w:ascii="Arial" w:hAnsi="Arial" w:cs="Arial"/>
          <w:sz w:val="24"/>
          <w:szCs w:val="24"/>
        </w:rPr>
        <w:t xml:space="preserve"> The defendant purports to rely on unjustified enrichment as a cause of action. The counterclaim does not disclose a cause of action in unjustified enrichment and no allegations have been made to satisfy the requirements of any of the </w:t>
      </w:r>
      <w:proofErr w:type="spellStart"/>
      <w:r w:rsidR="00106D83" w:rsidRPr="00B97A4E">
        <w:rPr>
          <w:rFonts w:ascii="Arial" w:hAnsi="Arial" w:cs="Arial"/>
          <w:i/>
          <w:sz w:val="24"/>
          <w:szCs w:val="24"/>
        </w:rPr>
        <w:t>condictiones</w:t>
      </w:r>
      <w:proofErr w:type="spellEnd"/>
      <w:r w:rsidR="00106D83" w:rsidRPr="00B97A4E">
        <w:rPr>
          <w:rFonts w:ascii="Arial" w:hAnsi="Arial" w:cs="Arial"/>
          <w:sz w:val="24"/>
          <w:szCs w:val="24"/>
        </w:rPr>
        <w:t>;</w:t>
      </w:r>
    </w:p>
    <w:p w14:paraId="1D550F06" w14:textId="77777777" w:rsidR="00106D83" w:rsidRPr="00BF6075" w:rsidRDefault="00106D83" w:rsidP="00106D83">
      <w:pPr>
        <w:pStyle w:val="ListParagraph"/>
        <w:rPr>
          <w:rFonts w:ascii="Arial" w:hAnsi="Arial" w:cs="Arial"/>
          <w:sz w:val="24"/>
          <w:szCs w:val="24"/>
        </w:rPr>
      </w:pPr>
    </w:p>
    <w:p w14:paraId="2385A08E" w14:textId="06781697" w:rsidR="00106D83"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w:t>
      </w:r>
      <w:r w:rsidRPr="00BF6075">
        <w:rPr>
          <w:rFonts w:ascii="Arial" w:hAnsi="Arial" w:cs="Arial"/>
          <w:sz w:val="24"/>
          <w:szCs w:val="24"/>
        </w:rPr>
        <w:tab/>
      </w:r>
      <w:r w:rsidR="00106D83" w:rsidRPr="00B97A4E">
        <w:rPr>
          <w:rFonts w:ascii="Arial" w:hAnsi="Arial" w:cs="Arial"/>
          <w:i/>
          <w:sz w:val="24"/>
          <w:szCs w:val="24"/>
        </w:rPr>
        <w:t xml:space="preserve">Fifth </w:t>
      </w:r>
      <w:r w:rsidR="00F25058" w:rsidRPr="00B97A4E">
        <w:rPr>
          <w:rFonts w:ascii="Arial" w:hAnsi="Arial" w:cs="Arial"/>
          <w:i/>
          <w:sz w:val="24"/>
          <w:szCs w:val="24"/>
        </w:rPr>
        <w:t>exception</w:t>
      </w:r>
      <w:r w:rsidR="00106D83" w:rsidRPr="00B97A4E">
        <w:rPr>
          <w:rFonts w:ascii="Arial" w:hAnsi="Arial" w:cs="Arial"/>
          <w:i/>
          <w:sz w:val="24"/>
          <w:szCs w:val="24"/>
        </w:rPr>
        <w:t>:</w:t>
      </w:r>
      <w:r w:rsidR="00106D83" w:rsidRPr="00B97A4E">
        <w:rPr>
          <w:rFonts w:ascii="Arial" w:hAnsi="Arial" w:cs="Arial"/>
          <w:sz w:val="24"/>
          <w:szCs w:val="24"/>
        </w:rPr>
        <w:t xml:space="preserve"> The defendant </w:t>
      </w:r>
      <w:r w:rsidR="00E9309B" w:rsidRPr="00B97A4E">
        <w:rPr>
          <w:rFonts w:ascii="Arial" w:hAnsi="Arial" w:cs="Arial"/>
          <w:sz w:val="24"/>
          <w:szCs w:val="24"/>
        </w:rPr>
        <w:t>alleges</w:t>
      </w:r>
      <w:r w:rsidR="00106D83" w:rsidRPr="00B97A4E">
        <w:rPr>
          <w:rFonts w:ascii="Arial" w:hAnsi="Arial" w:cs="Arial"/>
          <w:sz w:val="24"/>
          <w:szCs w:val="24"/>
        </w:rPr>
        <w:t xml:space="preserve"> that the plaintiff had a peculiar knowledge of his assets</w:t>
      </w:r>
      <w:r w:rsidR="00E9309B" w:rsidRPr="00B97A4E">
        <w:rPr>
          <w:rFonts w:ascii="Arial" w:hAnsi="Arial" w:cs="Arial"/>
          <w:sz w:val="24"/>
          <w:szCs w:val="24"/>
        </w:rPr>
        <w:t xml:space="preserve"> and liabilities and was under a duty to disclose same. If breach of a duty is relied upon, the fact from which such duty arises must be stated. The defendant failed to do so. As a result, the counterclaim is vague and embarrassing, and fails to disclose a cause of action;</w:t>
      </w:r>
    </w:p>
    <w:p w14:paraId="27B80835" w14:textId="77777777" w:rsidR="00E9309B" w:rsidRPr="00BF6075" w:rsidRDefault="00E9309B" w:rsidP="00E9309B">
      <w:pPr>
        <w:pStyle w:val="ListParagraph"/>
        <w:rPr>
          <w:rFonts w:ascii="Arial" w:hAnsi="Arial" w:cs="Arial"/>
          <w:sz w:val="24"/>
          <w:szCs w:val="24"/>
        </w:rPr>
      </w:pPr>
    </w:p>
    <w:p w14:paraId="086EDE5E" w14:textId="7C94172C" w:rsidR="00E9309B"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w:t>
      </w:r>
      <w:r w:rsidRPr="00BF6075">
        <w:rPr>
          <w:rFonts w:ascii="Arial" w:hAnsi="Arial" w:cs="Arial"/>
          <w:sz w:val="24"/>
          <w:szCs w:val="24"/>
        </w:rPr>
        <w:tab/>
      </w:r>
      <w:r w:rsidR="00E9309B" w:rsidRPr="00B97A4E">
        <w:rPr>
          <w:rFonts w:ascii="Arial" w:hAnsi="Arial" w:cs="Arial"/>
          <w:i/>
          <w:sz w:val="24"/>
          <w:szCs w:val="24"/>
        </w:rPr>
        <w:t xml:space="preserve">Sixth </w:t>
      </w:r>
      <w:r w:rsidR="00F25058" w:rsidRPr="00B97A4E">
        <w:rPr>
          <w:rFonts w:ascii="Arial" w:hAnsi="Arial" w:cs="Arial"/>
          <w:i/>
          <w:sz w:val="24"/>
          <w:szCs w:val="24"/>
        </w:rPr>
        <w:t>exception</w:t>
      </w:r>
      <w:r w:rsidR="00E9309B" w:rsidRPr="00B97A4E">
        <w:rPr>
          <w:rFonts w:ascii="Arial" w:hAnsi="Arial" w:cs="Arial"/>
          <w:i/>
          <w:sz w:val="24"/>
          <w:szCs w:val="24"/>
        </w:rPr>
        <w:t>:</w:t>
      </w:r>
      <w:r w:rsidR="00E9309B" w:rsidRPr="00B97A4E">
        <w:rPr>
          <w:rFonts w:ascii="Arial" w:hAnsi="Arial" w:cs="Arial"/>
          <w:sz w:val="24"/>
          <w:szCs w:val="24"/>
        </w:rPr>
        <w:t xml:space="preserve"> </w:t>
      </w:r>
      <w:r w:rsidR="00540222" w:rsidRPr="00B97A4E">
        <w:rPr>
          <w:rFonts w:ascii="Arial" w:hAnsi="Arial" w:cs="Arial"/>
          <w:sz w:val="24"/>
          <w:szCs w:val="24"/>
        </w:rPr>
        <w:t xml:space="preserve">The defendant claims that she suffered damages as a result of the alleged breach of duty but does not specify whether the cause of action in respect of damages is statutory, </w:t>
      </w:r>
      <w:proofErr w:type="spellStart"/>
      <w:r w:rsidR="00540222" w:rsidRPr="00B97A4E">
        <w:rPr>
          <w:rFonts w:ascii="Arial" w:hAnsi="Arial" w:cs="Arial"/>
          <w:sz w:val="24"/>
          <w:szCs w:val="24"/>
        </w:rPr>
        <w:t>delictual</w:t>
      </w:r>
      <w:proofErr w:type="spellEnd"/>
      <w:r w:rsidR="00540222" w:rsidRPr="00B97A4E">
        <w:rPr>
          <w:rFonts w:ascii="Arial" w:hAnsi="Arial" w:cs="Arial"/>
          <w:sz w:val="24"/>
          <w:szCs w:val="24"/>
        </w:rPr>
        <w:t xml:space="preserve"> or contractual. In addition, no relief in respect of payment of damages is sought in the prayers to the counterclaim. As a result, the counterclaim is vague and embarrassing, and fails to disclose a cause of action;</w:t>
      </w:r>
    </w:p>
    <w:p w14:paraId="01C6C666" w14:textId="77777777" w:rsidR="00540222" w:rsidRPr="00BF6075" w:rsidRDefault="00540222" w:rsidP="00540222">
      <w:pPr>
        <w:pStyle w:val="ListParagraph"/>
        <w:rPr>
          <w:rFonts w:ascii="Arial" w:hAnsi="Arial" w:cs="Arial"/>
          <w:sz w:val="24"/>
          <w:szCs w:val="24"/>
        </w:rPr>
      </w:pPr>
    </w:p>
    <w:p w14:paraId="488BB1A8" w14:textId="5E3AAA95" w:rsidR="0054022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vii.</w:t>
      </w:r>
      <w:r w:rsidRPr="00BF6075">
        <w:rPr>
          <w:rFonts w:ascii="Arial" w:hAnsi="Arial" w:cs="Arial"/>
          <w:sz w:val="24"/>
          <w:szCs w:val="24"/>
        </w:rPr>
        <w:tab/>
      </w:r>
      <w:r w:rsidR="00540222" w:rsidRPr="00B97A4E">
        <w:rPr>
          <w:rFonts w:ascii="Arial" w:hAnsi="Arial" w:cs="Arial"/>
          <w:i/>
          <w:sz w:val="24"/>
          <w:szCs w:val="24"/>
        </w:rPr>
        <w:t>Seventh exception:</w:t>
      </w:r>
      <w:r w:rsidR="00540222" w:rsidRPr="00B97A4E">
        <w:rPr>
          <w:rFonts w:ascii="Arial" w:hAnsi="Arial" w:cs="Arial"/>
          <w:sz w:val="24"/>
          <w:szCs w:val="24"/>
        </w:rPr>
        <w:t xml:space="preserve"> The defendant alleges that the plaintiff (sic) [court] is vested with an inherent discretion to avoid an inequitable result with regard to the provisions of s 8(1) of the MPA.</w:t>
      </w:r>
      <w:r w:rsidR="001770E1" w:rsidRPr="00B97A4E">
        <w:rPr>
          <w:rFonts w:ascii="Arial" w:hAnsi="Arial" w:cs="Arial"/>
          <w:sz w:val="24"/>
          <w:szCs w:val="24"/>
        </w:rPr>
        <w:t xml:space="preserve"> Section 8(1) of the MPA is applicable prior to the dissolution of the marriage. Since a decree of divorce was already granted and the plaintiff does not identify any other statutory provision which would entitle her to the relief, the counterclaim is vague and embarrassing, and fails to disclose a cause of action;</w:t>
      </w:r>
    </w:p>
    <w:p w14:paraId="1B592BB4" w14:textId="77777777" w:rsidR="00795347" w:rsidRPr="00BF6075" w:rsidRDefault="00795347" w:rsidP="00795347">
      <w:pPr>
        <w:pStyle w:val="ListParagraph"/>
        <w:rPr>
          <w:rFonts w:ascii="Arial" w:hAnsi="Arial" w:cs="Arial"/>
          <w:sz w:val="24"/>
          <w:szCs w:val="24"/>
        </w:rPr>
      </w:pPr>
    </w:p>
    <w:p w14:paraId="316393A7" w14:textId="74B300F6" w:rsidR="00795347"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viii.</w:t>
      </w:r>
      <w:r w:rsidRPr="00BF6075">
        <w:rPr>
          <w:rFonts w:ascii="Arial" w:hAnsi="Arial" w:cs="Arial"/>
          <w:sz w:val="24"/>
          <w:szCs w:val="24"/>
        </w:rPr>
        <w:tab/>
      </w:r>
      <w:r w:rsidR="001770E1" w:rsidRPr="00B97A4E">
        <w:rPr>
          <w:rFonts w:ascii="Arial" w:hAnsi="Arial" w:cs="Arial"/>
          <w:i/>
          <w:sz w:val="24"/>
          <w:szCs w:val="24"/>
        </w:rPr>
        <w:t>Eighth exception:</w:t>
      </w:r>
      <w:r w:rsidR="001770E1" w:rsidRPr="00B97A4E">
        <w:rPr>
          <w:rFonts w:ascii="Arial" w:hAnsi="Arial" w:cs="Arial"/>
          <w:sz w:val="24"/>
          <w:szCs w:val="24"/>
        </w:rPr>
        <w:t xml:space="preserve"> </w:t>
      </w:r>
      <w:r w:rsidR="00A90E98" w:rsidRPr="00B97A4E">
        <w:rPr>
          <w:rFonts w:ascii="Arial" w:hAnsi="Arial" w:cs="Arial"/>
          <w:sz w:val="24"/>
          <w:szCs w:val="24"/>
        </w:rPr>
        <w:t xml:space="preserve">the defendant seeks a declaratory order that the amounts commensurate with the respective dispositions to the Trust and the Investec policy be deemed as assets in the estate of the plaintiff. In order for a trust asset to be regarded as an asset of the personal estate of a party to a divorce action, it should have been alleged that the trust was a sham and </w:t>
      </w:r>
      <w:r w:rsidR="00A90E98" w:rsidRPr="00B97A4E">
        <w:rPr>
          <w:rFonts w:ascii="Arial" w:hAnsi="Arial" w:cs="Arial"/>
          <w:sz w:val="24"/>
          <w:szCs w:val="24"/>
        </w:rPr>
        <w:lastRenderedPageBreak/>
        <w:t>administered as such. No allegations to this effect were made. In addition, the defendant does not effectively seek an order that the trust assets and the living annuity be regarded as assets of the plaintiff</w:t>
      </w:r>
      <w:r w:rsidR="00E36AEE" w:rsidRPr="00B97A4E">
        <w:rPr>
          <w:rFonts w:ascii="Arial" w:hAnsi="Arial" w:cs="Arial"/>
          <w:sz w:val="24"/>
          <w:szCs w:val="24"/>
        </w:rPr>
        <w:t>'</w:t>
      </w:r>
      <w:r w:rsidR="00A90E98" w:rsidRPr="00B97A4E">
        <w:rPr>
          <w:rFonts w:ascii="Arial" w:hAnsi="Arial" w:cs="Arial"/>
          <w:sz w:val="24"/>
          <w:szCs w:val="24"/>
        </w:rPr>
        <w:t>s p</w:t>
      </w:r>
      <w:r w:rsidR="00666972" w:rsidRPr="00B97A4E">
        <w:rPr>
          <w:rFonts w:ascii="Arial" w:hAnsi="Arial" w:cs="Arial"/>
          <w:sz w:val="24"/>
          <w:szCs w:val="24"/>
        </w:rPr>
        <w:t>ers</w:t>
      </w:r>
      <w:r w:rsidR="00A90E98" w:rsidRPr="00B97A4E">
        <w:rPr>
          <w:rFonts w:ascii="Arial" w:hAnsi="Arial" w:cs="Arial"/>
          <w:sz w:val="24"/>
          <w:szCs w:val="24"/>
        </w:rPr>
        <w:t xml:space="preserve">onal estate, but that the amounts commensurate with the dispositions be deemed assets. No allegations have been made to support the relief that an asset </w:t>
      </w:r>
      <w:r w:rsidR="007B62C2" w:rsidRPr="00B97A4E">
        <w:rPr>
          <w:rFonts w:ascii="Arial" w:hAnsi="Arial" w:cs="Arial"/>
          <w:sz w:val="24"/>
          <w:szCs w:val="24"/>
        </w:rPr>
        <w:t>that</w:t>
      </w:r>
      <w:r w:rsidR="00A90E98" w:rsidRPr="00B97A4E">
        <w:rPr>
          <w:rFonts w:ascii="Arial" w:hAnsi="Arial" w:cs="Arial"/>
          <w:sz w:val="24"/>
          <w:szCs w:val="24"/>
        </w:rPr>
        <w:t xml:space="preserve"> in fact does not form part of the plaintiff</w:t>
      </w:r>
      <w:r w:rsidR="00E36AEE" w:rsidRPr="00B97A4E">
        <w:rPr>
          <w:rFonts w:ascii="Arial" w:hAnsi="Arial" w:cs="Arial"/>
          <w:sz w:val="24"/>
          <w:szCs w:val="24"/>
        </w:rPr>
        <w:t>'</w:t>
      </w:r>
      <w:r w:rsidR="00A90E98" w:rsidRPr="00B97A4E">
        <w:rPr>
          <w:rFonts w:ascii="Arial" w:hAnsi="Arial" w:cs="Arial"/>
          <w:sz w:val="24"/>
          <w:szCs w:val="24"/>
        </w:rPr>
        <w:t>s estate should be deemed an asset in the plaintiff</w:t>
      </w:r>
      <w:r w:rsidR="00E36AEE" w:rsidRPr="00B97A4E">
        <w:rPr>
          <w:rFonts w:ascii="Arial" w:hAnsi="Arial" w:cs="Arial"/>
          <w:sz w:val="24"/>
          <w:szCs w:val="24"/>
        </w:rPr>
        <w:t>'</w:t>
      </w:r>
      <w:r w:rsidR="00A90E98" w:rsidRPr="00B97A4E">
        <w:rPr>
          <w:rFonts w:ascii="Arial" w:hAnsi="Arial" w:cs="Arial"/>
          <w:sz w:val="24"/>
          <w:szCs w:val="24"/>
        </w:rPr>
        <w:t>s estate for purposes of determining the accrual of his estate. As a result</w:t>
      </w:r>
      <w:r w:rsidR="007B62C2" w:rsidRPr="00B97A4E">
        <w:rPr>
          <w:rFonts w:ascii="Arial" w:hAnsi="Arial" w:cs="Arial"/>
          <w:sz w:val="24"/>
          <w:szCs w:val="24"/>
        </w:rPr>
        <w:t>,</w:t>
      </w:r>
      <w:r w:rsidR="00A90E98" w:rsidRPr="00B97A4E">
        <w:rPr>
          <w:rFonts w:ascii="Arial" w:hAnsi="Arial" w:cs="Arial"/>
          <w:sz w:val="24"/>
          <w:szCs w:val="24"/>
        </w:rPr>
        <w:t xml:space="preserve"> the counterclaim fails to disclose a cause of action;</w:t>
      </w:r>
    </w:p>
    <w:p w14:paraId="4FB5CC7A" w14:textId="77777777" w:rsidR="00A90E98" w:rsidRPr="00BF6075" w:rsidRDefault="00A90E98" w:rsidP="00A90E98">
      <w:pPr>
        <w:pStyle w:val="ListParagraph"/>
        <w:rPr>
          <w:rFonts w:ascii="Arial" w:hAnsi="Arial" w:cs="Arial"/>
          <w:sz w:val="24"/>
          <w:szCs w:val="24"/>
        </w:rPr>
      </w:pPr>
    </w:p>
    <w:p w14:paraId="22F91C82" w14:textId="1E3781B5" w:rsidR="00A90E98"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ix.</w:t>
      </w:r>
      <w:r w:rsidRPr="00BF6075">
        <w:rPr>
          <w:rFonts w:ascii="Arial" w:hAnsi="Arial" w:cs="Arial"/>
          <w:sz w:val="24"/>
          <w:szCs w:val="24"/>
        </w:rPr>
        <w:tab/>
      </w:r>
      <w:r w:rsidR="00A90E98" w:rsidRPr="00B97A4E">
        <w:rPr>
          <w:rFonts w:ascii="Arial" w:hAnsi="Arial" w:cs="Arial"/>
          <w:bCs/>
          <w:i/>
          <w:sz w:val="24"/>
          <w:szCs w:val="24"/>
        </w:rPr>
        <w:t>Ninth exception:</w:t>
      </w:r>
      <w:r w:rsidR="007B62C2" w:rsidRPr="00B97A4E">
        <w:rPr>
          <w:rFonts w:ascii="Arial" w:hAnsi="Arial" w:cs="Arial"/>
          <w:sz w:val="24"/>
          <w:szCs w:val="24"/>
        </w:rPr>
        <w:t xml:space="preserve"> the defendant seeks interdictory relief against the plaintiff in prayer 3 of the counterclaim. No facts sustaining interdictory relief have been pleaded. As a result, the counterclaim fails to disclose a cause of action;</w:t>
      </w:r>
    </w:p>
    <w:p w14:paraId="6926E202" w14:textId="77777777" w:rsidR="007B62C2" w:rsidRPr="00BF6075" w:rsidRDefault="007B62C2" w:rsidP="007B62C2">
      <w:pPr>
        <w:pStyle w:val="ListParagraph"/>
        <w:rPr>
          <w:rFonts w:ascii="Arial" w:hAnsi="Arial" w:cs="Arial"/>
          <w:sz w:val="24"/>
          <w:szCs w:val="24"/>
        </w:rPr>
      </w:pPr>
    </w:p>
    <w:p w14:paraId="1D919E0D" w14:textId="410365CE" w:rsidR="007B62C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x.</w:t>
      </w:r>
      <w:r w:rsidRPr="00BF6075">
        <w:rPr>
          <w:rFonts w:ascii="Arial" w:hAnsi="Arial" w:cs="Arial"/>
          <w:sz w:val="24"/>
          <w:szCs w:val="24"/>
        </w:rPr>
        <w:tab/>
      </w:r>
      <w:r w:rsidR="007B62C2" w:rsidRPr="00B97A4E">
        <w:rPr>
          <w:rFonts w:ascii="Arial" w:hAnsi="Arial" w:cs="Arial"/>
          <w:i/>
          <w:sz w:val="24"/>
          <w:szCs w:val="24"/>
        </w:rPr>
        <w:t>Tenth exception:</w:t>
      </w:r>
      <w:r w:rsidR="007B62C2" w:rsidRPr="00B97A4E">
        <w:rPr>
          <w:rFonts w:ascii="Arial" w:hAnsi="Arial" w:cs="Arial"/>
          <w:sz w:val="24"/>
          <w:szCs w:val="24"/>
        </w:rPr>
        <w:t xml:space="preserve"> the defendant seeks interdictory relief against the plaintiff in prayer 3 of the counterclaim. The Divorce Act does not provide the Court with a discretion to distribute assets, but merely awards a party a right to claim an amount equal to one-half of the difference in accrual between the respective estates of the parties. As a result, the counterclaim fails to disclose a cause of action;</w:t>
      </w:r>
    </w:p>
    <w:p w14:paraId="7A2E23D2" w14:textId="77777777" w:rsidR="007B62C2" w:rsidRPr="00BF6075" w:rsidRDefault="007B62C2" w:rsidP="007B62C2">
      <w:pPr>
        <w:pStyle w:val="ListParagraph"/>
        <w:rPr>
          <w:rFonts w:ascii="Arial" w:hAnsi="Arial" w:cs="Arial"/>
          <w:sz w:val="24"/>
          <w:szCs w:val="24"/>
        </w:rPr>
      </w:pPr>
    </w:p>
    <w:p w14:paraId="6CAABA02" w14:textId="07F64496" w:rsidR="007B62C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xi.</w:t>
      </w:r>
      <w:r w:rsidRPr="00BF6075">
        <w:rPr>
          <w:rFonts w:ascii="Arial" w:hAnsi="Arial" w:cs="Arial"/>
          <w:sz w:val="24"/>
          <w:szCs w:val="24"/>
        </w:rPr>
        <w:tab/>
      </w:r>
      <w:r w:rsidR="007B62C2" w:rsidRPr="00B97A4E">
        <w:rPr>
          <w:rFonts w:ascii="Arial" w:hAnsi="Arial" w:cs="Arial"/>
          <w:i/>
          <w:sz w:val="24"/>
          <w:szCs w:val="24"/>
        </w:rPr>
        <w:t>Eleventh exception:</w:t>
      </w:r>
      <w:r w:rsidR="007B62C2" w:rsidRPr="00B97A4E">
        <w:rPr>
          <w:rFonts w:ascii="Arial" w:hAnsi="Arial" w:cs="Arial"/>
          <w:sz w:val="24"/>
          <w:szCs w:val="24"/>
        </w:rPr>
        <w:t xml:space="preserve"> the defendant relies</w:t>
      </w:r>
      <w:r w:rsidR="00E34736" w:rsidRPr="00B97A4E">
        <w:rPr>
          <w:rFonts w:ascii="Arial" w:hAnsi="Arial" w:cs="Arial"/>
          <w:sz w:val="24"/>
          <w:szCs w:val="24"/>
        </w:rPr>
        <w:t xml:space="preserve"> interchangeably on contract, delict, statute and unjustified enrichment as purported causes of action in her counterclaim. No alternative relief is sought in respect of each of the purported causes of action. It is unclear whether the defendant sues in contract, delict, statute or unjustified enrichment, alternatively</w:t>
      </w:r>
      <w:r w:rsidR="006E2A1F" w:rsidRPr="00B97A4E">
        <w:rPr>
          <w:rFonts w:ascii="Arial" w:hAnsi="Arial" w:cs="Arial"/>
          <w:sz w:val="24"/>
          <w:szCs w:val="24"/>
        </w:rPr>
        <w:t>,</w:t>
      </w:r>
      <w:r w:rsidR="00E34736" w:rsidRPr="00B97A4E">
        <w:rPr>
          <w:rFonts w:ascii="Arial" w:hAnsi="Arial" w:cs="Arial"/>
          <w:sz w:val="24"/>
          <w:szCs w:val="24"/>
        </w:rPr>
        <w:t xml:space="preserve"> it is not clear which cause of action sustains the relief sought alternatively there is more than one claim evident from the counterclaim and the relief sought in respect of each has not been set out. As a result, the counterclaim is vague and embarrassing and fails to disclose a cause of action;</w:t>
      </w:r>
    </w:p>
    <w:p w14:paraId="5F9973B6" w14:textId="77777777" w:rsidR="00E34736" w:rsidRPr="00BF6075" w:rsidRDefault="00E34736" w:rsidP="00E34736">
      <w:pPr>
        <w:pStyle w:val="ListParagraph"/>
        <w:rPr>
          <w:rFonts w:ascii="Arial" w:hAnsi="Arial" w:cs="Arial"/>
          <w:sz w:val="24"/>
          <w:szCs w:val="24"/>
        </w:rPr>
      </w:pPr>
    </w:p>
    <w:p w14:paraId="09A039E3" w14:textId="52102A7A" w:rsidR="00E34736"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lastRenderedPageBreak/>
        <w:t>xii.</w:t>
      </w:r>
      <w:r w:rsidRPr="00BF6075">
        <w:rPr>
          <w:rFonts w:ascii="Arial" w:hAnsi="Arial" w:cs="Arial"/>
          <w:sz w:val="24"/>
          <w:szCs w:val="24"/>
        </w:rPr>
        <w:tab/>
      </w:r>
      <w:r w:rsidR="00E34736" w:rsidRPr="00B97A4E">
        <w:rPr>
          <w:rFonts w:ascii="Arial" w:hAnsi="Arial" w:cs="Arial"/>
          <w:i/>
          <w:sz w:val="24"/>
          <w:szCs w:val="24"/>
        </w:rPr>
        <w:t>Twelfth exception:</w:t>
      </w:r>
      <w:r w:rsidR="00E34736" w:rsidRPr="00B97A4E">
        <w:rPr>
          <w:rFonts w:ascii="Arial" w:hAnsi="Arial" w:cs="Arial"/>
          <w:sz w:val="24"/>
          <w:szCs w:val="24"/>
        </w:rPr>
        <w:t xml:space="preserve"> the defendant pleads that she was a creditor of the plaintiff. The</w:t>
      </w:r>
      <w:r w:rsidR="002C20B6" w:rsidRPr="00B97A4E">
        <w:rPr>
          <w:rFonts w:ascii="Arial" w:hAnsi="Arial" w:cs="Arial"/>
          <w:sz w:val="24"/>
          <w:szCs w:val="24"/>
        </w:rPr>
        <w:t xml:space="preserve"> allegation</w:t>
      </w:r>
      <w:r w:rsidR="00E34736" w:rsidRPr="00B97A4E">
        <w:rPr>
          <w:rFonts w:ascii="Arial" w:hAnsi="Arial" w:cs="Arial"/>
          <w:sz w:val="24"/>
          <w:szCs w:val="24"/>
        </w:rPr>
        <w:t xml:space="preserve"> contradicts the legal position that the defendant</w:t>
      </w:r>
      <w:r w:rsidR="00E36AEE" w:rsidRPr="00B97A4E">
        <w:rPr>
          <w:rFonts w:ascii="Arial" w:hAnsi="Arial" w:cs="Arial"/>
          <w:sz w:val="24"/>
          <w:szCs w:val="24"/>
        </w:rPr>
        <w:t>'</w:t>
      </w:r>
      <w:r w:rsidR="00E34736" w:rsidRPr="00B97A4E">
        <w:rPr>
          <w:rFonts w:ascii="Arial" w:hAnsi="Arial" w:cs="Arial"/>
          <w:sz w:val="24"/>
          <w:szCs w:val="24"/>
        </w:rPr>
        <w:t>s claim for the accrual arises only at the date of divorce</w:t>
      </w:r>
      <w:r w:rsidR="002C20B6" w:rsidRPr="00B97A4E">
        <w:rPr>
          <w:rFonts w:ascii="Arial" w:hAnsi="Arial" w:cs="Arial"/>
          <w:sz w:val="24"/>
          <w:szCs w:val="24"/>
        </w:rPr>
        <w:t>. No payment is sought for payment of a debt in terms of a debtor-creditor relationship. As a result, the counterclaim is vague and embarrassing and fails to disclose a cause of action;</w:t>
      </w:r>
    </w:p>
    <w:p w14:paraId="0E5C1833" w14:textId="77777777" w:rsidR="002C20B6" w:rsidRPr="00BF6075" w:rsidRDefault="002C20B6" w:rsidP="002C20B6">
      <w:pPr>
        <w:pStyle w:val="ListParagraph"/>
        <w:rPr>
          <w:rFonts w:ascii="Arial" w:hAnsi="Arial" w:cs="Arial"/>
          <w:sz w:val="24"/>
          <w:szCs w:val="24"/>
        </w:rPr>
      </w:pPr>
    </w:p>
    <w:p w14:paraId="046A0441" w14:textId="7153D1A3" w:rsidR="002C20B6"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DD2AFA">
        <w:rPr>
          <w:rFonts w:ascii="Arial" w:hAnsi="Arial" w:cs="Arial"/>
          <w:sz w:val="24"/>
          <w:szCs w:val="24"/>
        </w:rPr>
        <w:t>xiii.</w:t>
      </w:r>
      <w:r w:rsidRPr="00DD2AFA">
        <w:rPr>
          <w:rFonts w:ascii="Arial" w:hAnsi="Arial" w:cs="Arial"/>
          <w:sz w:val="24"/>
          <w:szCs w:val="24"/>
        </w:rPr>
        <w:tab/>
      </w:r>
      <w:r w:rsidR="002C20B6" w:rsidRPr="00B97A4E">
        <w:rPr>
          <w:rFonts w:ascii="Arial" w:hAnsi="Arial" w:cs="Arial"/>
          <w:i/>
          <w:sz w:val="24"/>
          <w:szCs w:val="24"/>
        </w:rPr>
        <w:t>Thirteenth exception:</w:t>
      </w:r>
      <w:r w:rsidR="002C20B6" w:rsidRPr="00B97A4E">
        <w:rPr>
          <w:rFonts w:ascii="Arial" w:hAnsi="Arial" w:cs="Arial"/>
          <w:sz w:val="24"/>
          <w:szCs w:val="24"/>
        </w:rPr>
        <w:t xml:space="preserve"> </w:t>
      </w:r>
      <w:r w:rsidR="00005900" w:rsidRPr="00B97A4E">
        <w:rPr>
          <w:rFonts w:ascii="Arial" w:hAnsi="Arial" w:cs="Arial"/>
          <w:sz w:val="24"/>
          <w:szCs w:val="24"/>
        </w:rPr>
        <w:t>The plaintiff did not persi</w:t>
      </w:r>
      <w:r w:rsidR="0094645D" w:rsidRPr="00B97A4E">
        <w:rPr>
          <w:rFonts w:ascii="Arial" w:hAnsi="Arial" w:cs="Arial"/>
          <w:sz w:val="24"/>
          <w:szCs w:val="24"/>
        </w:rPr>
        <w:t>st with the thirteenth</w:t>
      </w:r>
      <w:r w:rsidR="00005900" w:rsidRPr="00B97A4E">
        <w:rPr>
          <w:rFonts w:ascii="Arial" w:hAnsi="Arial" w:cs="Arial"/>
          <w:sz w:val="24"/>
          <w:szCs w:val="24"/>
        </w:rPr>
        <w:t xml:space="preserve"> exception. </w:t>
      </w:r>
    </w:p>
    <w:p w14:paraId="5F650F32" w14:textId="77777777" w:rsidR="007B62C2" w:rsidRPr="00BF6075" w:rsidRDefault="007B62C2" w:rsidP="007B62C2">
      <w:pPr>
        <w:pStyle w:val="ListParagraph"/>
        <w:rPr>
          <w:rFonts w:ascii="Arial" w:hAnsi="Arial" w:cs="Arial"/>
          <w:sz w:val="24"/>
          <w:szCs w:val="24"/>
        </w:rPr>
      </w:pPr>
    </w:p>
    <w:p w14:paraId="300118B6" w14:textId="77777777" w:rsidR="001F627E" w:rsidRPr="00BF6075" w:rsidRDefault="001F627E" w:rsidP="001F627E">
      <w:pPr>
        <w:pStyle w:val="ListParagraph"/>
        <w:rPr>
          <w:rFonts w:ascii="Arial" w:hAnsi="Arial" w:cs="Arial"/>
          <w:sz w:val="24"/>
          <w:szCs w:val="24"/>
        </w:rPr>
      </w:pPr>
    </w:p>
    <w:p w14:paraId="3AF3BEA4" w14:textId="5B85F021" w:rsidR="001F627E" w:rsidRPr="00BF6075" w:rsidRDefault="002A6867" w:rsidP="002A6867">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Applicable legal principles pertaining to exceptions</w:t>
      </w:r>
    </w:p>
    <w:p w14:paraId="78932FB3" w14:textId="77777777" w:rsidR="001F627E" w:rsidRPr="00BF6075" w:rsidRDefault="001F627E" w:rsidP="001F627E">
      <w:pPr>
        <w:pStyle w:val="ListParagraph"/>
        <w:rPr>
          <w:rFonts w:ascii="Arial" w:hAnsi="Arial" w:cs="Arial"/>
          <w:sz w:val="24"/>
          <w:szCs w:val="24"/>
        </w:rPr>
      </w:pPr>
    </w:p>
    <w:p w14:paraId="0D4E418A" w14:textId="7A4968D4"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[15]</w:t>
      </w:r>
      <w:r w:rsidRPr="00BF6075">
        <w:rPr>
          <w:rFonts w:ascii="Arial" w:hAnsi="Arial" w:cs="Arial"/>
          <w:sz w:val="24"/>
          <w:szCs w:val="24"/>
        </w:rPr>
        <w:tab/>
      </w:r>
      <w:r w:rsidR="006A379A" w:rsidRPr="00B97A4E">
        <w:rPr>
          <w:rFonts w:ascii="Arial" w:hAnsi="Arial" w:cs="Arial"/>
          <w:sz w:val="24"/>
          <w:szCs w:val="24"/>
        </w:rPr>
        <w:t xml:space="preserve">It is trite that an exception is a procedure </w:t>
      </w:r>
      <w:r w:rsidR="00E36AEE" w:rsidRPr="00B97A4E">
        <w:rPr>
          <w:rFonts w:ascii="Arial" w:hAnsi="Arial" w:cs="Arial"/>
          <w:sz w:val="24"/>
          <w:szCs w:val="24"/>
        </w:rPr>
        <w:t>'</w:t>
      </w:r>
      <w:r w:rsidR="006A379A" w:rsidRPr="00B97A4E">
        <w:rPr>
          <w:rFonts w:ascii="Arial" w:hAnsi="Arial" w:cs="Arial"/>
          <w:sz w:val="24"/>
          <w:szCs w:val="24"/>
        </w:rPr>
        <w:t>designed to dispose of pleadings that are so vague and embarrassing that an intelligible cause of action or defence cannot be ascertained.</w:t>
      </w:r>
      <w:r w:rsidR="00E36AEE" w:rsidRPr="00B97A4E">
        <w:rPr>
          <w:rFonts w:ascii="Arial" w:hAnsi="Arial" w:cs="Arial"/>
          <w:sz w:val="24"/>
          <w:szCs w:val="24"/>
        </w:rPr>
        <w:t>'</w:t>
      </w:r>
      <w:r w:rsidR="006F7208" w:rsidRPr="00BF6075">
        <w:rPr>
          <w:rStyle w:val="FootnoteReference"/>
          <w:rFonts w:ascii="Arial" w:hAnsi="Arial" w:cs="Arial"/>
          <w:sz w:val="24"/>
          <w:szCs w:val="24"/>
        </w:rPr>
        <w:footnoteReference w:id="1"/>
      </w:r>
      <w:r w:rsidR="006F7208" w:rsidRPr="00B97A4E">
        <w:rPr>
          <w:rFonts w:ascii="Arial" w:hAnsi="Arial" w:cs="Arial"/>
          <w:sz w:val="24"/>
          <w:szCs w:val="24"/>
        </w:rPr>
        <w:t xml:space="preserve"> The aim of the exception procedure is to avoid the leading of unnecessary evidence.</w:t>
      </w:r>
      <w:r w:rsidR="006F7208" w:rsidRPr="00BF6075">
        <w:rPr>
          <w:rStyle w:val="FootnoteReference"/>
          <w:rFonts w:ascii="Arial" w:hAnsi="Arial" w:cs="Arial"/>
          <w:sz w:val="24"/>
          <w:szCs w:val="24"/>
        </w:rPr>
        <w:footnoteReference w:id="2"/>
      </w:r>
      <w:r w:rsidR="003F223E" w:rsidRPr="00B97A4E">
        <w:rPr>
          <w:rFonts w:ascii="Arial" w:hAnsi="Arial" w:cs="Arial"/>
          <w:sz w:val="24"/>
          <w:szCs w:val="24"/>
        </w:rPr>
        <w:t xml:space="preserve"> The Supreme Court of Appeal recently summarised the approach to be adopted in regard to adjudicating exceptions in </w:t>
      </w:r>
      <w:r w:rsidR="003F223E" w:rsidRPr="00B97A4E">
        <w:rPr>
          <w:rFonts w:ascii="Arial" w:hAnsi="Arial" w:cs="Arial"/>
          <w:i/>
          <w:sz w:val="24"/>
          <w:szCs w:val="24"/>
        </w:rPr>
        <w:t xml:space="preserve">Luke M v </w:t>
      </w:r>
      <w:proofErr w:type="spellStart"/>
      <w:r w:rsidR="003F223E" w:rsidRPr="00B97A4E">
        <w:rPr>
          <w:rFonts w:ascii="Arial" w:hAnsi="Arial" w:cs="Arial"/>
          <w:i/>
          <w:sz w:val="24"/>
          <w:szCs w:val="24"/>
        </w:rPr>
        <w:t>Tembani</w:t>
      </w:r>
      <w:proofErr w:type="spellEnd"/>
      <w:r w:rsidR="003F223E" w:rsidRPr="00B97A4E">
        <w:rPr>
          <w:rFonts w:ascii="Arial" w:hAnsi="Arial" w:cs="Arial"/>
          <w:i/>
          <w:sz w:val="24"/>
          <w:szCs w:val="24"/>
        </w:rPr>
        <w:t xml:space="preserve"> and Others v President of the Republic of South Africa and Another.</w:t>
      </w:r>
      <w:r w:rsidR="003F223E" w:rsidRPr="00BF6075">
        <w:rPr>
          <w:rStyle w:val="FootnoteReference"/>
          <w:rFonts w:ascii="Arial" w:hAnsi="Arial" w:cs="Arial"/>
          <w:i/>
          <w:sz w:val="24"/>
          <w:szCs w:val="24"/>
        </w:rPr>
        <w:footnoteReference w:id="3"/>
      </w:r>
      <w:r w:rsidR="003F223E" w:rsidRPr="00B97A4E">
        <w:rPr>
          <w:rFonts w:ascii="Arial" w:hAnsi="Arial" w:cs="Arial"/>
          <w:sz w:val="24"/>
          <w:szCs w:val="24"/>
        </w:rPr>
        <w:t xml:space="preserve"> The SCA stated:</w:t>
      </w:r>
      <w:r w:rsidR="003F223E" w:rsidRPr="00BF6075">
        <w:rPr>
          <w:rStyle w:val="FootnoteReference"/>
          <w:rFonts w:ascii="Arial" w:hAnsi="Arial" w:cs="Arial"/>
          <w:sz w:val="24"/>
          <w:szCs w:val="24"/>
        </w:rPr>
        <w:footnoteReference w:id="4"/>
      </w:r>
    </w:p>
    <w:p w14:paraId="1FB081B5" w14:textId="4615CDD7" w:rsidR="003F223E" w:rsidRPr="00BF6075" w:rsidRDefault="003F223E" w:rsidP="003F223E">
      <w:pPr>
        <w:pStyle w:val="ListParagraph"/>
        <w:tabs>
          <w:tab w:val="left" w:pos="4917"/>
        </w:tabs>
        <w:spacing w:before="120" w:after="120" w:line="360" w:lineRule="auto"/>
        <w:jc w:val="both"/>
        <w:rPr>
          <w:rFonts w:ascii="Arial" w:hAnsi="Arial" w:cs="Arial"/>
          <w:sz w:val="24"/>
          <w:szCs w:val="24"/>
        </w:rPr>
      </w:pPr>
    </w:p>
    <w:p w14:paraId="4D869C8D" w14:textId="1F2604F0" w:rsidR="003F223E" w:rsidRPr="00BF6075" w:rsidRDefault="00E36AEE" w:rsidP="003F223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3F223E" w:rsidRPr="00BF6075">
        <w:rPr>
          <w:rFonts w:ascii="Arial" w:hAnsi="Arial" w:cs="Arial"/>
          <w:color w:val="242121"/>
          <w:sz w:val="24"/>
          <w:szCs w:val="24"/>
          <w:shd w:val="clear" w:color="auto" w:fill="FFFFFF"/>
        </w:rPr>
        <w:t xml:space="preserve">Whilst exceptions provide a useful mechanism </w:t>
      </w:r>
      <w:r>
        <w:rPr>
          <w:rFonts w:ascii="Arial" w:hAnsi="Arial" w:cs="Arial"/>
          <w:color w:val="242121"/>
          <w:sz w:val="24"/>
          <w:szCs w:val="24"/>
          <w:shd w:val="clear" w:color="auto" w:fill="FFFFFF"/>
        </w:rPr>
        <w:t>'</w:t>
      </w:r>
      <w:r w:rsidR="003F223E" w:rsidRPr="00BF6075">
        <w:rPr>
          <w:rFonts w:ascii="Arial" w:hAnsi="Arial" w:cs="Arial"/>
          <w:color w:val="242121"/>
          <w:sz w:val="24"/>
          <w:szCs w:val="24"/>
          <w:shd w:val="clear" w:color="auto" w:fill="FFFFFF"/>
        </w:rPr>
        <w:t>to weed out cases without legal merit</w:t>
      </w:r>
      <w:r>
        <w:rPr>
          <w:rFonts w:ascii="Arial" w:hAnsi="Arial" w:cs="Arial"/>
          <w:color w:val="242121"/>
          <w:sz w:val="24"/>
          <w:szCs w:val="24"/>
          <w:shd w:val="clear" w:color="auto" w:fill="FFFFFF"/>
        </w:rPr>
        <w:t>'</w:t>
      </w:r>
      <w:r w:rsidR="003F223E" w:rsidRPr="00BF6075">
        <w:rPr>
          <w:rFonts w:ascii="Arial" w:hAnsi="Arial" w:cs="Arial"/>
          <w:color w:val="242121"/>
          <w:sz w:val="24"/>
          <w:szCs w:val="24"/>
          <w:shd w:val="clear" w:color="auto" w:fill="FFFFFF"/>
        </w:rPr>
        <w:t xml:space="preserve">,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an exception is competent. The burden rests on an excipient, who must establish that on every interpretation that can </w:t>
      </w:r>
      <w:r w:rsidR="003F223E" w:rsidRPr="00BF6075">
        <w:rPr>
          <w:rFonts w:ascii="Arial" w:hAnsi="Arial" w:cs="Arial"/>
          <w:color w:val="242121"/>
          <w:sz w:val="24"/>
          <w:szCs w:val="24"/>
          <w:shd w:val="clear" w:color="auto" w:fill="FFFFFF"/>
        </w:rPr>
        <w:lastRenderedPageBreak/>
        <w:t xml:space="preserve">reasonably be attached to it, the pleading is </w:t>
      </w:r>
      <w:proofErr w:type="spellStart"/>
      <w:r w:rsidR="003F223E" w:rsidRPr="00BF6075">
        <w:rPr>
          <w:rFonts w:ascii="Arial" w:hAnsi="Arial" w:cs="Arial"/>
          <w:color w:val="242121"/>
          <w:sz w:val="24"/>
          <w:szCs w:val="24"/>
          <w:shd w:val="clear" w:color="auto" w:fill="FFFFFF"/>
        </w:rPr>
        <w:t>excipiable</w:t>
      </w:r>
      <w:proofErr w:type="spellEnd"/>
      <w:r w:rsidR="003F223E" w:rsidRPr="00BF6075">
        <w:rPr>
          <w:rFonts w:ascii="Arial" w:hAnsi="Arial" w:cs="Arial"/>
          <w:color w:val="242121"/>
          <w:sz w:val="24"/>
          <w:szCs w:val="24"/>
          <w:shd w:val="clear" w:color="auto" w:fill="FFFFFF"/>
        </w:rPr>
        <w:t>.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Pr>
          <w:rFonts w:ascii="Arial" w:hAnsi="Arial" w:cs="Arial"/>
          <w:bCs/>
          <w:sz w:val="24"/>
          <w:szCs w:val="24"/>
          <w:shd w:val="clear" w:color="auto" w:fill="FFFFFF"/>
        </w:rPr>
        <w:t>'</w:t>
      </w:r>
      <w:r w:rsidR="003F223E" w:rsidRPr="00BF6075">
        <w:rPr>
          <w:rFonts w:ascii="Arial" w:hAnsi="Arial" w:cs="Arial"/>
          <w:bCs/>
          <w:sz w:val="24"/>
          <w:szCs w:val="24"/>
          <w:shd w:val="clear" w:color="auto" w:fill="FFFFFF"/>
        </w:rPr>
        <w:t xml:space="preserve"> (References omitted).</w:t>
      </w:r>
    </w:p>
    <w:p w14:paraId="08276563" w14:textId="77777777" w:rsidR="001F627E" w:rsidRPr="00BF6075" w:rsidRDefault="001F627E" w:rsidP="001F627E">
      <w:pPr>
        <w:pStyle w:val="ListParagraph"/>
        <w:rPr>
          <w:rFonts w:ascii="Arial" w:hAnsi="Arial" w:cs="Arial"/>
          <w:sz w:val="24"/>
          <w:szCs w:val="24"/>
        </w:rPr>
      </w:pPr>
    </w:p>
    <w:p w14:paraId="39EF8790" w14:textId="26669E7F" w:rsidR="00517B38"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17B38" w:rsidRPr="00B97A4E">
        <w:rPr>
          <w:rFonts w:ascii="Arial" w:hAnsi="Arial" w:cs="Arial"/>
          <w:sz w:val="24"/>
          <w:szCs w:val="24"/>
        </w:rPr>
        <w:t>The same court stated that:</w:t>
      </w:r>
      <w:r w:rsidR="00517B38" w:rsidRPr="00BF6075">
        <w:rPr>
          <w:rStyle w:val="FootnoteReference"/>
          <w:rFonts w:ascii="Arial" w:hAnsi="Arial" w:cs="Arial"/>
          <w:sz w:val="24"/>
          <w:szCs w:val="24"/>
        </w:rPr>
        <w:footnoteReference w:id="5"/>
      </w:r>
    </w:p>
    <w:p w14:paraId="62BDC660" w14:textId="77777777" w:rsidR="006E2A1F" w:rsidRPr="00BF6075" w:rsidRDefault="006E2A1F" w:rsidP="006E2A1F">
      <w:pPr>
        <w:pStyle w:val="ListParagraph"/>
        <w:tabs>
          <w:tab w:val="left" w:pos="4917"/>
        </w:tabs>
        <w:spacing w:before="120" w:after="120" w:line="360" w:lineRule="auto"/>
        <w:jc w:val="both"/>
        <w:rPr>
          <w:rFonts w:ascii="Arial" w:hAnsi="Arial" w:cs="Arial"/>
          <w:sz w:val="24"/>
          <w:szCs w:val="24"/>
        </w:rPr>
      </w:pPr>
    </w:p>
    <w:p w14:paraId="30E76662" w14:textId="595B6FA0" w:rsidR="00517B38" w:rsidRPr="00BF6075" w:rsidRDefault="00E36AEE" w:rsidP="00517B38">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517B38" w:rsidRPr="00BF6075">
        <w:rPr>
          <w:rFonts w:ascii="Arial" w:hAnsi="Arial" w:cs="Arial"/>
          <w:sz w:val="24"/>
          <w:szCs w:val="24"/>
        </w:rPr>
        <w:t xml:space="preserve">It is thus only if the court can conclude that it is </w:t>
      </w:r>
      <w:r w:rsidR="00517B38" w:rsidRPr="006E2A1F">
        <w:rPr>
          <w:rFonts w:ascii="Arial" w:hAnsi="Arial" w:cs="Arial"/>
          <w:b/>
          <w:sz w:val="24"/>
          <w:szCs w:val="24"/>
        </w:rPr>
        <w:t>impossible to recognize the claim</w:t>
      </w:r>
      <w:r w:rsidR="00517B38" w:rsidRPr="00BF6075">
        <w:rPr>
          <w:rFonts w:ascii="Arial" w:hAnsi="Arial" w:cs="Arial"/>
          <w:sz w:val="24"/>
          <w:szCs w:val="24"/>
        </w:rPr>
        <w:t>, irrespective of the facts as they might emerge at the trial, that the exception can and should be upheld.</w:t>
      </w:r>
      <w:r w:rsidR="006E2A1F">
        <w:rPr>
          <w:rFonts w:ascii="Arial" w:hAnsi="Arial" w:cs="Arial"/>
          <w:sz w:val="24"/>
          <w:szCs w:val="24"/>
        </w:rPr>
        <w:t>’ (My emphasis).</w:t>
      </w:r>
    </w:p>
    <w:p w14:paraId="561D556E" w14:textId="77777777" w:rsidR="00517B38" w:rsidRPr="00BF6075" w:rsidRDefault="00517B38" w:rsidP="00517B38">
      <w:pPr>
        <w:pStyle w:val="ListParagraph"/>
        <w:tabs>
          <w:tab w:val="left" w:pos="4917"/>
        </w:tabs>
        <w:spacing w:before="120" w:after="120" w:line="360" w:lineRule="auto"/>
        <w:jc w:val="both"/>
        <w:rPr>
          <w:rFonts w:ascii="Arial" w:hAnsi="Arial" w:cs="Arial"/>
          <w:sz w:val="24"/>
          <w:szCs w:val="24"/>
        </w:rPr>
      </w:pPr>
    </w:p>
    <w:p w14:paraId="584DDA70" w14:textId="5EA108B6" w:rsidR="00517B38"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[17]</w:t>
      </w:r>
      <w:r w:rsidRPr="00BF6075">
        <w:rPr>
          <w:rFonts w:ascii="Arial" w:hAnsi="Arial" w:cs="Arial"/>
          <w:sz w:val="24"/>
          <w:szCs w:val="24"/>
        </w:rPr>
        <w:tab/>
      </w:r>
      <w:r w:rsidR="00517B38" w:rsidRPr="00B97A4E">
        <w:rPr>
          <w:rFonts w:ascii="Arial" w:hAnsi="Arial" w:cs="Arial"/>
          <w:sz w:val="24"/>
          <w:szCs w:val="24"/>
        </w:rPr>
        <w:t xml:space="preserve">A court should also be alive to the reality that the dismissal of an exception </w:t>
      </w:r>
      <w:r w:rsidR="00754135" w:rsidRPr="00B97A4E">
        <w:rPr>
          <w:rFonts w:ascii="Arial" w:hAnsi="Arial" w:cs="Arial"/>
          <w:sz w:val="24"/>
          <w:szCs w:val="24"/>
        </w:rPr>
        <w:t>does not deprive the plaintiff</w:t>
      </w:r>
      <w:r w:rsidR="00517B38" w:rsidRPr="00B97A4E">
        <w:rPr>
          <w:rFonts w:ascii="Arial" w:hAnsi="Arial" w:cs="Arial"/>
          <w:sz w:val="24"/>
          <w:szCs w:val="24"/>
        </w:rPr>
        <w:t xml:space="preserve"> of the opportunity of raising the same defences </w:t>
      </w:r>
      <w:r w:rsidR="00754135" w:rsidRPr="00B97A4E">
        <w:rPr>
          <w:rFonts w:ascii="Arial" w:hAnsi="Arial" w:cs="Arial"/>
          <w:sz w:val="24"/>
          <w:szCs w:val="24"/>
        </w:rPr>
        <w:t>as substantive defences in his amended plea</w:t>
      </w:r>
      <w:r w:rsidR="00517B38" w:rsidRPr="00B97A4E">
        <w:rPr>
          <w:rFonts w:ascii="Arial" w:hAnsi="Arial" w:cs="Arial"/>
          <w:sz w:val="24"/>
          <w:szCs w:val="24"/>
        </w:rPr>
        <w:t xml:space="preserve"> and for their merits to be determined after the leading of evidence at the trial, which, as the court explained in </w:t>
      </w:r>
      <w:r w:rsidR="00517B38" w:rsidRPr="00B97A4E">
        <w:rPr>
          <w:rFonts w:ascii="Arial" w:hAnsi="Arial" w:cs="Arial"/>
          <w:i/>
          <w:sz w:val="24"/>
          <w:szCs w:val="24"/>
          <w:lang w:val="en-GB"/>
        </w:rPr>
        <w:t>Pretorius and Another v Transport Pension Fund and Another</w:t>
      </w:r>
      <w:r w:rsidR="00517B38" w:rsidRPr="00BF6075">
        <w:rPr>
          <w:rStyle w:val="FootnoteReference"/>
          <w:rFonts w:ascii="Arial" w:hAnsi="Arial" w:cs="Arial"/>
          <w:i/>
          <w:sz w:val="24"/>
          <w:szCs w:val="24"/>
          <w:lang w:val="en-GB"/>
        </w:rPr>
        <w:footnoteReference w:id="6"/>
      </w:r>
      <w:r w:rsidR="00517B38" w:rsidRPr="00B97A4E">
        <w:rPr>
          <w:rFonts w:ascii="Arial" w:hAnsi="Arial" w:cs="Arial"/>
          <w:sz w:val="24"/>
          <w:szCs w:val="24"/>
        </w:rPr>
        <w:t xml:space="preserve"> is probably, in any event, a better way to determine the potentially complex factual and legal issues involved.</w:t>
      </w:r>
    </w:p>
    <w:p w14:paraId="25E41DCB" w14:textId="77777777" w:rsidR="00517B38" w:rsidRPr="00BF6075" w:rsidRDefault="00517B38" w:rsidP="00517B38">
      <w:pPr>
        <w:pStyle w:val="ListParagraph"/>
        <w:tabs>
          <w:tab w:val="left" w:pos="4917"/>
        </w:tabs>
        <w:spacing w:before="120" w:after="120" w:line="360" w:lineRule="auto"/>
        <w:jc w:val="both"/>
        <w:rPr>
          <w:rFonts w:ascii="Arial" w:hAnsi="Arial" w:cs="Arial"/>
          <w:sz w:val="24"/>
          <w:szCs w:val="24"/>
        </w:rPr>
      </w:pPr>
    </w:p>
    <w:p w14:paraId="721D7D1E" w14:textId="0A61A7E8"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[18]</w:t>
      </w:r>
      <w:r w:rsidRPr="00BF6075">
        <w:rPr>
          <w:rFonts w:ascii="Arial" w:hAnsi="Arial" w:cs="Arial"/>
          <w:sz w:val="24"/>
          <w:szCs w:val="24"/>
        </w:rPr>
        <w:tab/>
      </w:r>
      <w:r w:rsidR="002C37CB" w:rsidRPr="00B97A4E">
        <w:rPr>
          <w:rFonts w:ascii="Arial" w:hAnsi="Arial" w:cs="Arial"/>
          <w:sz w:val="24"/>
          <w:szCs w:val="24"/>
        </w:rPr>
        <w:t>In adjudicatin</w:t>
      </w:r>
      <w:r w:rsidR="00163A6B" w:rsidRPr="00B97A4E">
        <w:rPr>
          <w:rFonts w:ascii="Arial" w:hAnsi="Arial" w:cs="Arial"/>
          <w:sz w:val="24"/>
          <w:szCs w:val="24"/>
        </w:rPr>
        <w:t>g</w:t>
      </w:r>
      <w:r w:rsidR="002C37CB" w:rsidRPr="00B97A4E">
        <w:rPr>
          <w:rFonts w:ascii="Arial" w:hAnsi="Arial" w:cs="Arial"/>
          <w:sz w:val="24"/>
          <w:szCs w:val="24"/>
        </w:rPr>
        <w:t xml:space="preserve"> this exception, the court is enjoined to accept the facts pleaded by the defendant in her counterclaim as true.</w:t>
      </w:r>
      <w:r w:rsidR="002C37CB" w:rsidRPr="00BF6075">
        <w:rPr>
          <w:rStyle w:val="FootnoteReference"/>
          <w:rFonts w:ascii="Arial" w:hAnsi="Arial" w:cs="Arial"/>
          <w:sz w:val="24"/>
          <w:szCs w:val="24"/>
        </w:rPr>
        <w:footnoteReference w:id="7"/>
      </w:r>
      <w:r w:rsidR="003C0AB6" w:rsidRPr="00B97A4E">
        <w:rPr>
          <w:rFonts w:ascii="Arial" w:hAnsi="Arial" w:cs="Arial"/>
          <w:sz w:val="24"/>
          <w:szCs w:val="24"/>
        </w:rPr>
        <w:t xml:space="preserve"> A plaintiff (whether in convention or reconvention) only needs to plead the primary factual allegations that are necessary for it to prove (</w:t>
      </w:r>
      <w:proofErr w:type="spellStart"/>
      <w:r w:rsidR="003C0AB6" w:rsidRPr="00B97A4E">
        <w:rPr>
          <w:rFonts w:ascii="Arial" w:hAnsi="Arial" w:cs="Arial"/>
          <w:i/>
          <w:sz w:val="24"/>
          <w:szCs w:val="24"/>
        </w:rPr>
        <w:t>facta</w:t>
      </w:r>
      <w:proofErr w:type="spellEnd"/>
      <w:r w:rsidR="003C0AB6" w:rsidRPr="00B97A4E">
        <w:rPr>
          <w:rFonts w:ascii="Arial" w:hAnsi="Arial" w:cs="Arial"/>
          <w:i/>
          <w:sz w:val="24"/>
          <w:szCs w:val="24"/>
        </w:rPr>
        <w:t xml:space="preserve"> </w:t>
      </w:r>
      <w:proofErr w:type="spellStart"/>
      <w:r w:rsidR="003C0AB6" w:rsidRPr="00B97A4E">
        <w:rPr>
          <w:rFonts w:ascii="Arial" w:hAnsi="Arial" w:cs="Arial"/>
          <w:i/>
          <w:sz w:val="24"/>
          <w:szCs w:val="24"/>
        </w:rPr>
        <w:t>probanda</w:t>
      </w:r>
      <w:proofErr w:type="spellEnd"/>
      <w:r w:rsidR="003C0AB6" w:rsidRPr="00B97A4E">
        <w:rPr>
          <w:rFonts w:ascii="Arial" w:hAnsi="Arial" w:cs="Arial"/>
          <w:i/>
          <w:sz w:val="24"/>
          <w:szCs w:val="24"/>
        </w:rPr>
        <w:t xml:space="preserve">) </w:t>
      </w:r>
      <w:r w:rsidR="003C0AB6" w:rsidRPr="00B97A4E">
        <w:rPr>
          <w:rFonts w:ascii="Arial" w:hAnsi="Arial" w:cs="Arial"/>
          <w:sz w:val="24"/>
          <w:szCs w:val="24"/>
        </w:rPr>
        <w:t>in order to support its right to judgment</w:t>
      </w:r>
      <w:r w:rsidR="003C0AB6" w:rsidRPr="00B97A4E">
        <w:rPr>
          <w:rFonts w:ascii="Arial" w:hAnsi="Arial" w:cs="Arial"/>
          <w:i/>
          <w:sz w:val="24"/>
          <w:szCs w:val="24"/>
        </w:rPr>
        <w:t>.</w:t>
      </w:r>
      <w:r w:rsidR="003C0AB6" w:rsidRPr="00B97A4E">
        <w:rPr>
          <w:rFonts w:ascii="Arial" w:hAnsi="Arial" w:cs="Arial"/>
          <w:sz w:val="24"/>
          <w:szCs w:val="24"/>
        </w:rPr>
        <w:t xml:space="preserve"> A plaintiff is not required to plead secondary allegations (</w:t>
      </w:r>
      <w:proofErr w:type="spellStart"/>
      <w:r w:rsidR="003C0AB6" w:rsidRPr="00B97A4E">
        <w:rPr>
          <w:rFonts w:ascii="Arial" w:hAnsi="Arial" w:cs="Arial"/>
          <w:i/>
          <w:sz w:val="24"/>
          <w:szCs w:val="24"/>
        </w:rPr>
        <w:t>facta</w:t>
      </w:r>
      <w:proofErr w:type="spellEnd"/>
      <w:r w:rsidR="003C0AB6" w:rsidRPr="00B97A4E">
        <w:rPr>
          <w:rFonts w:ascii="Arial" w:hAnsi="Arial" w:cs="Arial"/>
          <w:i/>
          <w:sz w:val="24"/>
          <w:szCs w:val="24"/>
        </w:rPr>
        <w:t xml:space="preserve"> </w:t>
      </w:r>
      <w:proofErr w:type="spellStart"/>
      <w:r w:rsidR="003C0AB6" w:rsidRPr="00B97A4E">
        <w:rPr>
          <w:rFonts w:ascii="Arial" w:hAnsi="Arial" w:cs="Arial"/>
          <w:i/>
          <w:sz w:val="24"/>
          <w:szCs w:val="24"/>
        </w:rPr>
        <w:t>probantia</w:t>
      </w:r>
      <w:proofErr w:type="spellEnd"/>
      <w:r w:rsidR="003C0AB6" w:rsidRPr="00B97A4E">
        <w:rPr>
          <w:rFonts w:ascii="Arial" w:hAnsi="Arial" w:cs="Arial"/>
          <w:sz w:val="24"/>
          <w:szCs w:val="24"/>
        </w:rPr>
        <w:t xml:space="preserve">) </w:t>
      </w:r>
      <w:r w:rsidR="00AE1E31" w:rsidRPr="00B97A4E">
        <w:rPr>
          <w:rFonts w:ascii="Arial" w:hAnsi="Arial" w:cs="Arial"/>
          <w:sz w:val="24"/>
          <w:szCs w:val="24"/>
        </w:rPr>
        <w:t>on which it will rely in support of the primary factual allegations.</w:t>
      </w:r>
      <w:r w:rsidR="00AE1E31" w:rsidRPr="00BF6075">
        <w:rPr>
          <w:rStyle w:val="FootnoteReference"/>
          <w:rFonts w:ascii="Arial" w:hAnsi="Arial" w:cs="Arial"/>
          <w:sz w:val="24"/>
          <w:szCs w:val="24"/>
        </w:rPr>
        <w:footnoteReference w:id="8"/>
      </w:r>
      <w:r w:rsidR="00AE1E31" w:rsidRPr="00B97A4E">
        <w:rPr>
          <w:rFonts w:ascii="Arial" w:hAnsi="Arial" w:cs="Arial"/>
          <w:sz w:val="24"/>
          <w:szCs w:val="24"/>
        </w:rPr>
        <w:t xml:space="preserve"> </w:t>
      </w:r>
      <w:proofErr w:type="spellStart"/>
      <w:r w:rsidR="00AE1E31" w:rsidRPr="00B97A4E">
        <w:rPr>
          <w:rFonts w:ascii="Arial" w:hAnsi="Arial" w:cs="Arial"/>
          <w:sz w:val="24"/>
          <w:szCs w:val="24"/>
        </w:rPr>
        <w:t>Vally</w:t>
      </w:r>
      <w:proofErr w:type="spellEnd"/>
      <w:r w:rsidR="00AE1E31" w:rsidRPr="00B97A4E">
        <w:rPr>
          <w:rFonts w:ascii="Arial" w:hAnsi="Arial" w:cs="Arial"/>
          <w:sz w:val="24"/>
          <w:szCs w:val="24"/>
        </w:rPr>
        <w:t xml:space="preserve"> J elucidated the question as to what </w:t>
      </w:r>
      <w:r w:rsidR="00AE1E31" w:rsidRPr="00B97A4E">
        <w:rPr>
          <w:rFonts w:ascii="Arial" w:hAnsi="Arial" w:cs="Arial"/>
          <w:sz w:val="24"/>
          <w:szCs w:val="24"/>
        </w:rPr>
        <w:lastRenderedPageBreak/>
        <w:t>facts are ne</w:t>
      </w:r>
      <w:r w:rsidR="00754135" w:rsidRPr="00B97A4E">
        <w:rPr>
          <w:rFonts w:ascii="Arial" w:hAnsi="Arial" w:cs="Arial"/>
          <w:sz w:val="24"/>
          <w:szCs w:val="24"/>
        </w:rPr>
        <w:t>cessary to ensure that a cause o</w:t>
      </w:r>
      <w:r w:rsidR="00AE1E31" w:rsidRPr="00B97A4E">
        <w:rPr>
          <w:rFonts w:ascii="Arial" w:hAnsi="Arial" w:cs="Arial"/>
          <w:sz w:val="24"/>
          <w:szCs w:val="24"/>
        </w:rPr>
        <w:t xml:space="preserve">f action has been disclosed. He explained in </w:t>
      </w:r>
      <w:r w:rsidR="00AE1E31" w:rsidRPr="00B97A4E">
        <w:rPr>
          <w:rFonts w:ascii="Arial" w:hAnsi="Arial" w:cs="Arial"/>
          <w:i/>
          <w:sz w:val="24"/>
          <w:szCs w:val="24"/>
        </w:rPr>
        <w:t>Drummond Cable Concepts v Advanced (Pty) Ltd</w:t>
      </w:r>
      <w:r w:rsidR="00AE1E31" w:rsidRPr="00BF6075">
        <w:rPr>
          <w:rStyle w:val="FootnoteReference"/>
          <w:rFonts w:ascii="Arial" w:hAnsi="Arial" w:cs="Arial"/>
          <w:i/>
          <w:sz w:val="24"/>
          <w:szCs w:val="24"/>
        </w:rPr>
        <w:footnoteReference w:id="9"/>
      </w:r>
      <w:r w:rsidR="00AE1E31" w:rsidRPr="00B97A4E">
        <w:rPr>
          <w:rFonts w:ascii="Arial" w:hAnsi="Arial" w:cs="Arial"/>
          <w:sz w:val="24"/>
          <w:szCs w:val="24"/>
        </w:rPr>
        <w:t xml:space="preserve"> that the answer depen</w:t>
      </w:r>
      <w:r w:rsidR="00C64EB1" w:rsidRPr="00B97A4E">
        <w:rPr>
          <w:rFonts w:ascii="Arial" w:hAnsi="Arial" w:cs="Arial"/>
          <w:sz w:val="24"/>
          <w:szCs w:val="24"/>
        </w:rPr>
        <w:t xml:space="preserve">ds on the nature of the claim - </w:t>
      </w:r>
      <w:r w:rsidR="00E36AEE" w:rsidRPr="00B97A4E">
        <w:rPr>
          <w:rFonts w:ascii="Arial" w:hAnsi="Arial" w:cs="Arial"/>
          <w:sz w:val="24"/>
          <w:szCs w:val="24"/>
        </w:rPr>
        <w:t>'</w:t>
      </w:r>
      <w:r w:rsidR="00AE1E31" w:rsidRPr="00B97A4E">
        <w:rPr>
          <w:rFonts w:ascii="Arial" w:hAnsi="Arial" w:cs="Arial"/>
          <w:sz w:val="24"/>
          <w:szCs w:val="24"/>
        </w:rPr>
        <w:t>a claim arising from breach of contract requires different facts from a claim based in delict</w:t>
      </w:r>
      <w:r w:rsidR="00E36AEE" w:rsidRPr="00B97A4E">
        <w:rPr>
          <w:rFonts w:ascii="Arial" w:hAnsi="Arial" w:cs="Arial"/>
          <w:sz w:val="24"/>
          <w:szCs w:val="24"/>
        </w:rPr>
        <w:t>'</w:t>
      </w:r>
      <w:r w:rsidR="00AE1E31" w:rsidRPr="00B97A4E">
        <w:rPr>
          <w:rFonts w:ascii="Arial" w:hAnsi="Arial" w:cs="Arial"/>
          <w:sz w:val="24"/>
          <w:szCs w:val="24"/>
        </w:rPr>
        <w:t>.</w:t>
      </w:r>
    </w:p>
    <w:p w14:paraId="3CC8CF80" w14:textId="77777777" w:rsidR="001F627E" w:rsidRPr="00BF6075" w:rsidRDefault="001F627E" w:rsidP="001F627E">
      <w:pPr>
        <w:pStyle w:val="ListParagraph"/>
        <w:rPr>
          <w:rFonts w:ascii="Arial" w:hAnsi="Arial" w:cs="Arial"/>
          <w:sz w:val="24"/>
          <w:szCs w:val="24"/>
        </w:rPr>
      </w:pPr>
    </w:p>
    <w:p w14:paraId="196FE3E5" w14:textId="53A97D89"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[19]</w:t>
      </w:r>
      <w:r w:rsidRPr="00BF6075">
        <w:rPr>
          <w:rFonts w:ascii="Arial" w:hAnsi="Arial" w:cs="Arial"/>
          <w:sz w:val="24"/>
          <w:szCs w:val="24"/>
        </w:rPr>
        <w:tab/>
      </w:r>
      <w:r w:rsidR="00CF4882" w:rsidRPr="00B97A4E">
        <w:rPr>
          <w:rFonts w:ascii="Arial" w:hAnsi="Arial" w:cs="Arial"/>
          <w:sz w:val="24"/>
          <w:szCs w:val="24"/>
        </w:rPr>
        <w:t xml:space="preserve">Van </w:t>
      </w:r>
      <w:proofErr w:type="spellStart"/>
      <w:r w:rsidR="00CF4882" w:rsidRPr="00B97A4E">
        <w:rPr>
          <w:rFonts w:ascii="Arial" w:hAnsi="Arial" w:cs="Arial"/>
          <w:sz w:val="24"/>
          <w:szCs w:val="24"/>
        </w:rPr>
        <w:t>Oosten</w:t>
      </w:r>
      <w:proofErr w:type="spellEnd"/>
      <w:r w:rsidR="00CF4882" w:rsidRPr="00B97A4E">
        <w:rPr>
          <w:rFonts w:ascii="Arial" w:hAnsi="Arial" w:cs="Arial"/>
          <w:sz w:val="24"/>
          <w:szCs w:val="24"/>
        </w:rPr>
        <w:t xml:space="preserve"> J explained in </w:t>
      </w:r>
      <w:proofErr w:type="spellStart"/>
      <w:r w:rsidR="00CF4882" w:rsidRPr="00B97A4E">
        <w:rPr>
          <w:rFonts w:ascii="Arial" w:hAnsi="Arial" w:cs="Arial"/>
          <w:i/>
          <w:sz w:val="24"/>
          <w:szCs w:val="24"/>
        </w:rPr>
        <w:t>Sivuka</w:t>
      </w:r>
      <w:proofErr w:type="spellEnd"/>
      <w:r w:rsidR="00CF4882" w:rsidRPr="00B97A4E">
        <w:rPr>
          <w:rFonts w:ascii="Arial" w:hAnsi="Arial" w:cs="Arial"/>
          <w:i/>
          <w:sz w:val="24"/>
          <w:szCs w:val="24"/>
        </w:rPr>
        <w:t xml:space="preserve"> &amp; 328 Others</w:t>
      </w:r>
      <w:r w:rsidR="00CF4882" w:rsidRPr="00BF6075">
        <w:rPr>
          <w:rStyle w:val="FootnoteReference"/>
          <w:rFonts w:ascii="Arial" w:hAnsi="Arial" w:cs="Arial"/>
          <w:i/>
          <w:sz w:val="24"/>
          <w:szCs w:val="24"/>
        </w:rPr>
        <w:footnoteReference w:id="10"/>
      </w:r>
      <w:r w:rsidR="00CF4882" w:rsidRPr="00B97A4E">
        <w:rPr>
          <w:rFonts w:ascii="Arial" w:hAnsi="Arial" w:cs="Arial"/>
          <w:sz w:val="24"/>
          <w:szCs w:val="24"/>
        </w:rPr>
        <w:t xml:space="preserve"> that an exception to a pleading that is vague and embarrassing involves a two-fold consideration. The first is whether the pleading lacks particularity to the extent that it is vague. He referred to </w:t>
      </w:r>
      <w:r w:rsidR="00CF4882" w:rsidRPr="00B97A4E">
        <w:rPr>
          <w:rFonts w:ascii="Arial" w:hAnsi="Arial" w:cs="Arial"/>
          <w:i/>
          <w:sz w:val="24"/>
          <w:szCs w:val="24"/>
        </w:rPr>
        <w:t>Trope</w:t>
      </w:r>
      <w:r w:rsidR="00CF4882" w:rsidRPr="00BF6075">
        <w:rPr>
          <w:rStyle w:val="FootnoteReference"/>
          <w:rFonts w:ascii="Arial" w:hAnsi="Arial" w:cs="Arial"/>
          <w:i/>
          <w:sz w:val="24"/>
          <w:szCs w:val="24"/>
        </w:rPr>
        <w:footnoteReference w:id="11"/>
      </w:r>
      <w:r w:rsidR="00CF4882" w:rsidRPr="00B97A4E">
        <w:rPr>
          <w:rFonts w:ascii="Arial" w:hAnsi="Arial" w:cs="Arial"/>
          <w:sz w:val="24"/>
          <w:szCs w:val="24"/>
        </w:rPr>
        <w:t xml:space="preserve"> where the particularity required </w:t>
      </w:r>
      <w:r w:rsidR="00502C46" w:rsidRPr="00B97A4E">
        <w:rPr>
          <w:rFonts w:ascii="Arial" w:hAnsi="Arial" w:cs="Arial"/>
          <w:sz w:val="24"/>
          <w:szCs w:val="24"/>
        </w:rPr>
        <w:t>in pleadings was explained as follows:</w:t>
      </w:r>
    </w:p>
    <w:p w14:paraId="1FCBD2E6" w14:textId="77777777" w:rsidR="00502C46" w:rsidRPr="00BF6075" w:rsidRDefault="00502C46" w:rsidP="00502C46">
      <w:pPr>
        <w:pStyle w:val="ListParagraph"/>
        <w:rPr>
          <w:rFonts w:ascii="Arial" w:hAnsi="Arial" w:cs="Arial"/>
          <w:sz w:val="24"/>
          <w:szCs w:val="24"/>
        </w:rPr>
      </w:pPr>
    </w:p>
    <w:p w14:paraId="3DEA31B5" w14:textId="5F9E0AC0" w:rsidR="00502C46" w:rsidRPr="00BF6075" w:rsidRDefault="00E36AEE" w:rsidP="00502C4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502C46" w:rsidRPr="00BF6075">
        <w:rPr>
          <w:rFonts w:ascii="Arial" w:hAnsi="Arial" w:cs="Arial"/>
          <w:color w:val="242121"/>
          <w:sz w:val="24"/>
          <w:szCs w:val="24"/>
          <w:shd w:val="clear" w:color="auto" w:fill="FFFFFF"/>
        </w:rPr>
        <w:t>It is, of course, a basic of principle that the particulars of claim should be so phrased that a defendant may reasonably and fairly be required to plead thereto. This must be seen against the background of the further requirement that the object of pleadings is to enable each side to come to trial prepared to meet the case of the other and not be taken by surprise. Pleadings must therefore be lucid and logical and in an intelligible form; the cause of action or defence must appear clearly from the factual allegations made…</w:t>
      </w:r>
      <w:r>
        <w:rPr>
          <w:rFonts w:ascii="Arial" w:hAnsi="Arial" w:cs="Arial"/>
          <w:color w:val="242121"/>
          <w:sz w:val="24"/>
          <w:szCs w:val="24"/>
          <w:shd w:val="clear" w:color="auto" w:fill="FFFFFF"/>
        </w:rPr>
        <w:t>'</w:t>
      </w:r>
    </w:p>
    <w:p w14:paraId="135D77B9" w14:textId="77777777" w:rsidR="001F627E" w:rsidRPr="00BF6075" w:rsidRDefault="001F627E" w:rsidP="001F627E">
      <w:pPr>
        <w:pStyle w:val="ListParagraph"/>
        <w:rPr>
          <w:rFonts w:ascii="Arial" w:hAnsi="Arial" w:cs="Arial"/>
          <w:sz w:val="24"/>
          <w:szCs w:val="24"/>
        </w:rPr>
      </w:pPr>
    </w:p>
    <w:p w14:paraId="709E0017" w14:textId="62E98C41"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[20]</w:t>
      </w:r>
      <w:r w:rsidRPr="00BF6075">
        <w:rPr>
          <w:rFonts w:ascii="Arial" w:hAnsi="Arial" w:cs="Arial"/>
          <w:sz w:val="24"/>
          <w:szCs w:val="24"/>
        </w:rPr>
        <w:tab/>
      </w:r>
      <w:r w:rsidR="00502C46" w:rsidRPr="00B97A4E">
        <w:rPr>
          <w:rFonts w:ascii="Arial" w:hAnsi="Arial" w:cs="Arial"/>
          <w:sz w:val="24"/>
          <w:szCs w:val="24"/>
        </w:rPr>
        <w:t xml:space="preserve">In explaining the concept of </w:t>
      </w:r>
      <w:r w:rsidR="00E36AEE" w:rsidRPr="00B97A4E">
        <w:rPr>
          <w:rFonts w:ascii="Arial" w:hAnsi="Arial" w:cs="Arial"/>
          <w:sz w:val="24"/>
          <w:szCs w:val="24"/>
        </w:rPr>
        <w:t>'</w:t>
      </w:r>
      <w:r w:rsidR="00502C46" w:rsidRPr="00B97A4E">
        <w:rPr>
          <w:rFonts w:ascii="Arial" w:hAnsi="Arial" w:cs="Arial"/>
          <w:sz w:val="24"/>
          <w:szCs w:val="24"/>
        </w:rPr>
        <w:t>vagueness</w:t>
      </w:r>
      <w:r w:rsidR="00E36AEE" w:rsidRPr="00B97A4E">
        <w:rPr>
          <w:rFonts w:ascii="Arial" w:hAnsi="Arial" w:cs="Arial"/>
          <w:sz w:val="24"/>
          <w:szCs w:val="24"/>
        </w:rPr>
        <w:t>'</w:t>
      </w:r>
      <w:r w:rsidR="00502C46" w:rsidRPr="00B97A4E">
        <w:rPr>
          <w:rFonts w:ascii="Arial" w:hAnsi="Arial" w:cs="Arial"/>
          <w:sz w:val="24"/>
          <w:szCs w:val="24"/>
        </w:rPr>
        <w:t xml:space="preserve"> Van </w:t>
      </w:r>
      <w:proofErr w:type="spellStart"/>
      <w:r w:rsidR="00502C46" w:rsidRPr="00B97A4E">
        <w:rPr>
          <w:rFonts w:ascii="Arial" w:hAnsi="Arial" w:cs="Arial"/>
          <w:sz w:val="24"/>
          <w:szCs w:val="24"/>
        </w:rPr>
        <w:t>Oosten</w:t>
      </w:r>
      <w:proofErr w:type="spellEnd"/>
      <w:r w:rsidR="00502C46" w:rsidRPr="00B97A4E">
        <w:rPr>
          <w:rFonts w:ascii="Arial" w:hAnsi="Arial" w:cs="Arial"/>
          <w:sz w:val="24"/>
          <w:szCs w:val="24"/>
        </w:rPr>
        <w:t xml:space="preserve"> J stated:</w:t>
      </w:r>
    </w:p>
    <w:p w14:paraId="41F5C3BC" w14:textId="68FCFE51" w:rsidR="00502C46" w:rsidRPr="00BF6075" w:rsidRDefault="00502C46" w:rsidP="00502C46">
      <w:pPr>
        <w:pStyle w:val="ListParagraph"/>
        <w:tabs>
          <w:tab w:val="left" w:pos="4917"/>
        </w:tabs>
        <w:spacing w:before="120" w:after="120" w:line="360" w:lineRule="auto"/>
        <w:ind w:left="1008" w:right="1008"/>
        <w:jc w:val="both"/>
        <w:rPr>
          <w:rFonts w:ascii="Arial" w:hAnsi="Arial" w:cs="Arial"/>
          <w:sz w:val="24"/>
          <w:szCs w:val="24"/>
        </w:rPr>
      </w:pPr>
    </w:p>
    <w:p w14:paraId="4CB55E17" w14:textId="4F14C5A8" w:rsidR="00502C46" w:rsidRPr="00BF6075" w:rsidRDefault="00E36AEE" w:rsidP="00502C4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502C46" w:rsidRPr="00BF6075">
        <w:rPr>
          <w:rFonts w:ascii="Arial" w:hAnsi="Arial" w:cs="Arial"/>
          <w:color w:val="242121"/>
          <w:sz w:val="24"/>
          <w:szCs w:val="24"/>
          <w:shd w:val="clear" w:color="auto" w:fill="FFFFFF"/>
        </w:rPr>
        <w:t>Vagueness arises from statements which are meaningless (</w:t>
      </w:r>
      <w:r w:rsidR="00502C46" w:rsidRPr="00BF6075">
        <w:rPr>
          <w:rFonts w:ascii="Arial" w:hAnsi="Arial" w:cs="Arial"/>
          <w:i/>
          <w:iCs/>
          <w:color w:val="242121"/>
          <w:sz w:val="24"/>
          <w:szCs w:val="24"/>
          <w:shd w:val="clear" w:color="auto" w:fill="FFFFFF"/>
        </w:rPr>
        <w:t xml:space="preserve">Venter and others NNO v </w:t>
      </w:r>
      <w:proofErr w:type="spellStart"/>
      <w:r w:rsidR="00502C46" w:rsidRPr="00BF6075">
        <w:rPr>
          <w:rFonts w:ascii="Arial" w:hAnsi="Arial" w:cs="Arial"/>
          <w:i/>
          <w:iCs/>
          <w:color w:val="242121"/>
          <w:sz w:val="24"/>
          <w:szCs w:val="24"/>
          <w:shd w:val="clear" w:color="auto" w:fill="FFFFFF"/>
        </w:rPr>
        <w:t>Barritt</w:t>
      </w:r>
      <w:proofErr w:type="spellEnd"/>
      <w:r w:rsidR="00502C46" w:rsidRPr="00BF6075">
        <w:rPr>
          <w:rFonts w:ascii="Arial" w:hAnsi="Arial" w:cs="Arial"/>
          <w:i/>
          <w:iCs/>
          <w:color w:val="242121"/>
          <w:sz w:val="24"/>
          <w:szCs w:val="24"/>
          <w:shd w:val="clear" w:color="auto" w:fill="FFFFFF"/>
        </w:rPr>
        <w:t xml:space="preserve"> Venter and Others NNO v </w:t>
      </w:r>
      <w:proofErr w:type="spellStart"/>
      <w:r w:rsidR="00502C46" w:rsidRPr="00BF6075">
        <w:rPr>
          <w:rFonts w:ascii="Arial" w:hAnsi="Arial" w:cs="Arial"/>
          <w:i/>
          <w:iCs/>
          <w:color w:val="242121"/>
          <w:sz w:val="24"/>
          <w:szCs w:val="24"/>
          <w:shd w:val="clear" w:color="auto" w:fill="FFFFFF"/>
        </w:rPr>
        <w:t>Wolfsberg</w:t>
      </w:r>
      <w:proofErr w:type="spellEnd"/>
      <w:r w:rsidR="00502C46" w:rsidRPr="00BF6075">
        <w:rPr>
          <w:rFonts w:ascii="Arial" w:hAnsi="Arial" w:cs="Arial"/>
          <w:i/>
          <w:iCs/>
          <w:color w:val="242121"/>
          <w:sz w:val="24"/>
          <w:szCs w:val="24"/>
          <w:shd w:val="clear" w:color="auto" w:fill="FFFFFF"/>
        </w:rPr>
        <w:t xml:space="preserve"> Arch Investments 2 (Pty) Ltd</w:t>
      </w:r>
      <w:r w:rsidR="00502C46" w:rsidRPr="00BF6075">
        <w:rPr>
          <w:rFonts w:ascii="Arial" w:hAnsi="Arial" w:cs="Arial"/>
          <w:color w:val="242121"/>
          <w:sz w:val="24"/>
          <w:szCs w:val="24"/>
          <w:shd w:val="clear" w:color="auto" w:fill="FFFFFF"/>
        </w:rPr>
        <w:t> </w:t>
      </w:r>
      <w:r w:rsidR="00502C46" w:rsidRPr="00BF6075">
        <w:rPr>
          <w:rFonts w:ascii="Arial" w:hAnsi="Arial" w:cs="Arial"/>
          <w:bCs/>
          <w:sz w:val="24"/>
          <w:szCs w:val="24"/>
          <w:shd w:val="clear" w:color="auto" w:fill="FFFFFF"/>
        </w:rPr>
        <w:t>2008 (4) SA 639</w:t>
      </w:r>
      <w:r w:rsidR="00502C46" w:rsidRPr="00BF6075">
        <w:rPr>
          <w:rFonts w:ascii="Arial" w:hAnsi="Arial" w:cs="Arial"/>
          <w:color w:val="242121"/>
          <w:sz w:val="24"/>
          <w:szCs w:val="24"/>
          <w:shd w:val="clear" w:color="auto" w:fill="FFFFFF"/>
        </w:rPr>
        <w:t> (C) para 11), or are capable of more than one meaning, or fail to provide the degree of detail necessary to properly inform the other party of the case being advanced (</w:t>
      </w:r>
      <w:r w:rsidR="00502C46" w:rsidRPr="00BF6075">
        <w:rPr>
          <w:rFonts w:ascii="Arial" w:hAnsi="Arial" w:cs="Arial"/>
          <w:i/>
          <w:iCs/>
          <w:color w:val="242121"/>
          <w:sz w:val="24"/>
          <w:szCs w:val="24"/>
          <w:shd w:val="clear" w:color="auto" w:fill="FFFFFF"/>
        </w:rPr>
        <w:t xml:space="preserve">Win Twice Properties (Pty) Ltd v </w:t>
      </w:r>
      <w:proofErr w:type="spellStart"/>
      <w:r w:rsidR="00502C46" w:rsidRPr="00BF6075">
        <w:rPr>
          <w:rFonts w:ascii="Arial" w:hAnsi="Arial" w:cs="Arial"/>
          <w:i/>
          <w:iCs/>
          <w:color w:val="242121"/>
          <w:sz w:val="24"/>
          <w:szCs w:val="24"/>
          <w:shd w:val="clear" w:color="auto" w:fill="FFFFFF"/>
        </w:rPr>
        <w:t>Capitulo</w:t>
      </w:r>
      <w:proofErr w:type="spellEnd"/>
      <w:r w:rsidR="00502C46" w:rsidRPr="00BF6075">
        <w:rPr>
          <w:rFonts w:ascii="Arial" w:hAnsi="Arial" w:cs="Arial"/>
          <w:i/>
          <w:iCs/>
          <w:color w:val="242121"/>
          <w:sz w:val="24"/>
          <w:szCs w:val="24"/>
          <w:shd w:val="clear" w:color="auto" w:fill="FFFFFF"/>
        </w:rPr>
        <w:t xml:space="preserve"> Entertainment (Pty) Ltd t/a Galaxy World and Others</w:t>
      </w:r>
      <w:r w:rsidR="00502C46" w:rsidRPr="00BF6075">
        <w:rPr>
          <w:rFonts w:ascii="Arial" w:hAnsi="Arial" w:cs="Arial"/>
          <w:color w:val="242121"/>
          <w:sz w:val="24"/>
          <w:szCs w:val="24"/>
          <w:shd w:val="clear" w:color="auto" w:fill="FFFFFF"/>
        </w:rPr>
        <w:t xml:space="preserve"> (33426/2017) [2018] ZAGPJHC 519 (7 September </w:t>
      </w:r>
      <w:r w:rsidR="00502C46" w:rsidRPr="00BF6075">
        <w:rPr>
          <w:rFonts w:ascii="Arial" w:hAnsi="Arial" w:cs="Arial"/>
          <w:color w:val="242121"/>
          <w:sz w:val="24"/>
          <w:szCs w:val="24"/>
          <w:shd w:val="clear" w:color="auto" w:fill="FFFFFF"/>
        </w:rPr>
        <w:lastRenderedPageBreak/>
        <w:t>2018) para 3). The second consideration is whether the vagueness causes embarrassment of such a nature that the excipient is prejudiced (</w:t>
      </w:r>
      <w:r w:rsidR="00502C46" w:rsidRPr="00BF6075">
        <w:rPr>
          <w:rFonts w:ascii="Arial" w:hAnsi="Arial" w:cs="Arial"/>
          <w:i/>
          <w:iCs/>
          <w:color w:val="242121"/>
          <w:sz w:val="24"/>
          <w:szCs w:val="24"/>
          <w:shd w:val="clear" w:color="auto" w:fill="FFFFFF"/>
        </w:rPr>
        <w:t>Barloworld Logistics Africa (Pty) Ltd v Ford</w:t>
      </w:r>
      <w:r w:rsidR="00502C46" w:rsidRPr="00BF6075">
        <w:rPr>
          <w:rFonts w:ascii="Arial" w:hAnsi="Arial" w:cs="Arial"/>
          <w:color w:val="242121"/>
          <w:sz w:val="24"/>
          <w:szCs w:val="24"/>
          <w:shd w:val="clear" w:color="auto" w:fill="FFFFFF"/>
        </w:rPr>
        <w:t> </w:t>
      </w:r>
      <w:r w:rsidR="00502C46" w:rsidRPr="00BF6075">
        <w:rPr>
          <w:rFonts w:ascii="Arial" w:hAnsi="Arial" w:cs="Arial"/>
          <w:bCs/>
          <w:sz w:val="24"/>
          <w:szCs w:val="24"/>
          <w:shd w:val="clear" w:color="auto" w:fill="FFFFFF"/>
        </w:rPr>
        <w:t>2019 (5) SA 133</w:t>
      </w:r>
      <w:r w:rsidR="00502C46" w:rsidRPr="00BF6075">
        <w:rPr>
          <w:rFonts w:ascii="Arial" w:hAnsi="Arial" w:cs="Arial"/>
          <w:color w:val="242121"/>
          <w:sz w:val="24"/>
          <w:szCs w:val="24"/>
          <w:shd w:val="clear" w:color="auto" w:fill="FFFFFF"/>
        </w:rPr>
        <w:t> (GJ) 141F-H), which is a factual enquiry and a question of degree, influenced by the nature of the allegations, their contents, the nature of the claim and the relationship between the parties (</w:t>
      </w:r>
      <w:r w:rsidR="00502C46" w:rsidRPr="00BF6075">
        <w:rPr>
          <w:rFonts w:ascii="Arial" w:hAnsi="Arial" w:cs="Arial"/>
          <w:i/>
          <w:iCs/>
          <w:color w:val="242121"/>
          <w:sz w:val="24"/>
          <w:szCs w:val="24"/>
          <w:shd w:val="clear" w:color="auto" w:fill="FFFFFF"/>
        </w:rPr>
        <w:t>Win Twice Properties</w:t>
      </w:r>
      <w:r w:rsidR="00502C46" w:rsidRPr="00BF6075">
        <w:rPr>
          <w:rFonts w:ascii="Arial" w:hAnsi="Arial" w:cs="Arial"/>
          <w:color w:val="242121"/>
          <w:sz w:val="24"/>
          <w:szCs w:val="24"/>
          <w:shd w:val="clear" w:color="auto" w:fill="FFFFFF"/>
        </w:rPr>
        <w:t>, para 4).</w:t>
      </w:r>
      <w:r>
        <w:rPr>
          <w:rFonts w:ascii="Arial" w:hAnsi="Arial" w:cs="Arial"/>
          <w:color w:val="242121"/>
          <w:sz w:val="24"/>
          <w:szCs w:val="24"/>
          <w:shd w:val="clear" w:color="auto" w:fill="FFFFFF"/>
        </w:rPr>
        <w:t>'</w:t>
      </w:r>
    </w:p>
    <w:p w14:paraId="6AB922AC" w14:textId="77777777" w:rsidR="001F627E" w:rsidRPr="00BF6075" w:rsidRDefault="001F627E" w:rsidP="001F627E">
      <w:pPr>
        <w:pStyle w:val="ListParagraph"/>
        <w:rPr>
          <w:rFonts w:ascii="Arial" w:hAnsi="Arial" w:cs="Arial"/>
          <w:sz w:val="24"/>
          <w:szCs w:val="24"/>
        </w:rPr>
      </w:pPr>
    </w:p>
    <w:p w14:paraId="40C8FFD1" w14:textId="5CDDC105" w:rsidR="001F627E" w:rsidRPr="00BF6075" w:rsidRDefault="00502C46" w:rsidP="00502C46">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The nature of the relief sought</w:t>
      </w:r>
    </w:p>
    <w:p w14:paraId="0BAD3830" w14:textId="77777777" w:rsidR="001F627E" w:rsidRPr="00BF6075" w:rsidRDefault="001F627E" w:rsidP="001F627E">
      <w:pPr>
        <w:pStyle w:val="ListParagraph"/>
        <w:rPr>
          <w:rFonts w:ascii="Arial" w:hAnsi="Arial" w:cs="Arial"/>
          <w:sz w:val="24"/>
          <w:szCs w:val="24"/>
        </w:rPr>
      </w:pPr>
    </w:p>
    <w:p w14:paraId="68346D08" w14:textId="5B911B90"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[21]</w:t>
      </w:r>
      <w:r w:rsidRPr="00BF6075">
        <w:rPr>
          <w:rFonts w:ascii="Arial" w:hAnsi="Arial" w:cs="Arial"/>
          <w:sz w:val="24"/>
          <w:szCs w:val="24"/>
        </w:rPr>
        <w:tab/>
      </w:r>
      <w:r w:rsidR="00502C46" w:rsidRPr="00B97A4E">
        <w:rPr>
          <w:rFonts w:ascii="Arial" w:hAnsi="Arial" w:cs="Arial"/>
          <w:sz w:val="24"/>
          <w:szCs w:val="24"/>
        </w:rPr>
        <w:t xml:space="preserve">The defendant unequivocally defined the relief sought by her, when she set out in prayer 1 of the amended claim in reconvention that she seeks </w:t>
      </w:r>
      <w:r w:rsidR="00E36AEE" w:rsidRPr="00B97A4E">
        <w:rPr>
          <w:rFonts w:ascii="Arial" w:hAnsi="Arial" w:cs="Arial"/>
          <w:sz w:val="24"/>
          <w:szCs w:val="24"/>
        </w:rPr>
        <w:t>'</w:t>
      </w:r>
      <w:r w:rsidR="00502C46" w:rsidRPr="00B97A4E">
        <w:rPr>
          <w:rFonts w:ascii="Arial" w:hAnsi="Arial" w:cs="Arial"/>
          <w:sz w:val="24"/>
          <w:szCs w:val="24"/>
        </w:rPr>
        <w:t>a declaratory order to the effect that as date of divorce (</w:t>
      </w:r>
      <w:proofErr w:type="spellStart"/>
      <w:r w:rsidR="00502C46" w:rsidRPr="00B97A4E">
        <w:rPr>
          <w:rFonts w:ascii="Arial" w:hAnsi="Arial" w:cs="Arial"/>
          <w:sz w:val="24"/>
          <w:szCs w:val="24"/>
        </w:rPr>
        <w:t>ie</w:t>
      </w:r>
      <w:proofErr w:type="spellEnd"/>
      <w:r w:rsidR="00502C46" w:rsidRPr="00B97A4E">
        <w:rPr>
          <w:rFonts w:ascii="Arial" w:hAnsi="Arial" w:cs="Arial"/>
          <w:sz w:val="24"/>
          <w:szCs w:val="24"/>
        </w:rPr>
        <w:t xml:space="preserve"> 14 March 2019) the accrual of the estate of the Plaintiff be calculated on the basis that amounts commensurate with the respective dispositions to the Trust and the Living Annuity be deemed as assets in the estate of the Plaintiff</w:t>
      </w:r>
      <w:r w:rsidR="00E36AEE" w:rsidRPr="00B97A4E">
        <w:rPr>
          <w:rFonts w:ascii="Arial" w:hAnsi="Arial" w:cs="Arial"/>
          <w:sz w:val="24"/>
          <w:szCs w:val="24"/>
        </w:rPr>
        <w:t>'</w:t>
      </w:r>
      <w:r w:rsidR="00502C46" w:rsidRPr="00B97A4E">
        <w:rPr>
          <w:rFonts w:ascii="Arial" w:hAnsi="Arial" w:cs="Arial"/>
          <w:sz w:val="24"/>
          <w:szCs w:val="24"/>
        </w:rPr>
        <w:t>.</w:t>
      </w:r>
      <w:r w:rsidR="00302E8A" w:rsidRPr="00B97A4E">
        <w:rPr>
          <w:rFonts w:ascii="Arial" w:hAnsi="Arial" w:cs="Arial"/>
          <w:sz w:val="24"/>
          <w:szCs w:val="24"/>
        </w:rPr>
        <w:t xml:space="preserve"> </w:t>
      </w:r>
    </w:p>
    <w:p w14:paraId="58C7D530" w14:textId="77777777" w:rsidR="002E14F6" w:rsidRPr="00BF6075" w:rsidRDefault="002E14F6" w:rsidP="002E14F6">
      <w:pPr>
        <w:pStyle w:val="ListParagraph"/>
        <w:tabs>
          <w:tab w:val="left" w:pos="4917"/>
        </w:tabs>
        <w:spacing w:before="120" w:after="120" w:line="360" w:lineRule="auto"/>
        <w:jc w:val="both"/>
        <w:rPr>
          <w:rFonts w:ascii="Arial" w:hAnsi="Arial" w:cs="Arial"/>
          <w:sz w:val="24"/>
          <w:szCs w:val="24"/>
        </w:rPr>
      </w:pPr>
    </w:p>
    <w:p w14:paraId="299690D1" w14:textId="75540B6E" w:rsidR="00872F2D"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[22]</w:t>
      </w:r>
      <w:r w:rsidRPr="00BF6075">
        <w:rPr>
          <w:rFonts w:ascii="Arial" w:hAnsi="Arial" w:cs="Arial"/>
          <w:sz w:val="24"/>
          <w:szCs w:val="24"/>
        </w:rPr>
        <w:tab/>
      </w:r>
      <w:r w:rsidR="00872F2D" w:rsidRPr="00B97A4E">
        <w:rPr>
          <w:rFonts w:ascii="Arial" w:hAnsi="Arial" w:cs="Arial"/>
          <w:sz w:val="24"/>
          <w:szCs w:val="24"/>
        </w:rPr>
        <w:t xml:space="preserve">Section 21(1)(c) of the Superior Courts Act 10 of 2013 </w:t>
      </w:r>
      <w:r w:rsidR="002E14F6" w:rsidRPr="00B97A4E">
        <w:rPr>
          <w:rFonts w:ascii="Arial" w:hAnsi="Arial" w:cs="Arial"/>
          <w:sz w:val="24"/>
          <w:szCs w:val="24"/>
        </w:rPr>
        <w:t>constitutes</w:t>
      </w:r>
      <w:r w:rsidR="00872F2D" w:rsidRPr="00B97A4E">
        <w:rPr>
          <w:rFonts w:ascii="Arial" w:hAnsi="Arial" w:cs="Arial"/>
          <w:sz w:val="24"/>
          <w:szCs w:val="24"/>
        </w:rPr>
        <w:t xml:space="preserve"> the basis for declaratory relief. This section provides as follows</w:t>
      </w:r>
      <w:r w:rsidR="00531B6C" w:rsidRPr="00B97A4E">
        <w:rPr>
          <w:rFonts w:ascii="Arial" w:hAnsi="Arial" w:cs="Arial"/>
          <w:sz w:val="24"/>
          <w:szCs w:val="24"/>
        </w:rPr>
        <w:t>:</w:t>
      </w:r>
    </w:p>
    <w:p w14:paraId="5AD340F2" w14:textId="3E38EEB5" w:rsidR="00872F2D" w:rsidRPr="00BF6075" w:rsidRDefault="00E36AEE" w:rsidP="00872F2D">
      <w:pPr>
        <w:pStyle w:val="NormalWeb"/>
        <w:shd w:val="clear" w:color="auto" w:fill="FFFFFF"/>
        <w:spacing w:before="120" w:beforeAutospacing="0" w:after="120" w:afterAutospacing="0" w:line="360" w:lineRule="auto"/>
        <w:ind w:left="1008" w:right="1008"/>
        <w:jc w:val="both"/>
        <w:rPr>
          <w:rFonts w:ascii="Arial" w:hAnsi="Arial" w:cs="Arial"/>
          <w:color w:val="242121"/>
          <w:lang w:val="en-US" w:eastAsia="en-US"/>
        </w:rPr>
      </w:pPr>
      <w:r>
        <w:rPr>
          <w:rFonts w:ascii="Arial" w:hAnsi="Arial" w:cs="Arial"/>
        </w:rPr>
        <w:t>'</w:t>
      </w:r>
      <w:r w:rsidR="00872F2D" w:rsidRPr="00BF6075">
        <w:rPr>
          <w:rFonts w:ascii="Arial" w:hAnsi="Arial" w:cs="Arial"/>
          <w:bCs/>
          <w:iCs/>
          <w:color w:val="242121"/>
          <w:lang w:val="en-US" w:eastAsia="en-US"/>
        </w:rPr>
        <w:t>Persons over whom and matters in relation to which Divisions have jurisdiction</w:t>
      </w:r>
    </w:p>
    <w:p w14:paraId="756F5FC6" w14:textId="77777777" w:rsidR="00872F2D" w:rsidRPr="00BF6075" w:rsidRDefault="00872F2D" w:rsidP="00872F2D">
      <w:pPr>
        <w:shd w:val="clear" w:color="auto" w:fill="FFFFFF"/>
        <w:spacing w:before="120" w:after="120" w:line="360" w:lineRule="auto"/>
        <w:ind w:left="1008" w:right="1008"/>
        <w:jc w:val="both"/>
        <w:rPr>
          <w:rFonts w:ascii="Arial" w:eastAsia="Times New Roman" w:hAnsi="Arial" w:cs="Arial"/>
          <w:color w:val="242121"/>
          <w:sz w:val="24"/>
          <w:szCs w:val="24"/>
          <w:lang w:val="en-US"/>
        </w:rPr>
      </w:pPr>
      <w:r w:rsidRPr="00BF6075">
        <w:rPr>
          <w:rFonts w:ascii="Arial" w:eastAsia="Times New Roman" w:hAnsi="Arial" w:cs="Arial"/>
          <w:bCs/>
          <w:iCs/>
          <w:color w:val="242121"/>
          <w:sz w:val="24"/>
          <w:szCs w:val="24"/>
          <w:lang w:val="en-US"/>
        </w:rPr>
        <w:t>21. </w:t>
      </w:r>
      <w:r w:rsidRPr="00BF6075">
        <w:rPr>
          <w:rFonts w:ascii="Arial" w:eastAsia="Times New Roman" w:hAnsi="Arial" w:cs="Arial"/>
          <w:iCs/>
          <w:color w:val="242121"/>
          <w:sz w:val="24"/>
          <w:szCs w:val="24"/>
          <w:lang w:val="en-US"/>
        </w:rPr>
        <w:t>(1) A Division has jurisdiction over all persons residing in or being in, and in relation to all causes arising and all offences triable within, its area of jurisdiction and all other matters of which it may according to law take cognizance, and has the power –</w:t>
      </w:r>
    </w:p>
    <w:p w14:paraId="4CBA234B" w14:textId="079601DA" w:rsidR="00872F2D" w:rsidRPr="00BF6075" w:rsidRDefault="00872F2D" w:rsidP="00872F2D">
      <w:pPr>
        <w:shd w:val="clear" w:color="auto" w:fill="FFFFFF"/>
        <w:spacing w:before="120" w:after="120" w:line="360" w:lineRule="auto"/>
        <w:ind w:left="1008" w:right="1008"/>
        <w:jc w:val="both"/>
        <w:rPr>
          <w:rFonts w:ascii="Arial" w:eastAsia="Times New Roman" w:hAnsi="Arial" w:cs="Arial"/>
          <w:color w:val="242121"/>
          <w:sz w:val="24"/>
          <w:szCs w:val="24"/>
          <w:lang w:val="en-US"/>
        </w:rPr>
      </w:pPr>
      <w:r w:rsidRPr="00BF6075">
        <w:rPr>
          <w:rFonts w:ascii="Arial" w:eastAsia="Times New Roman" w:hAnsi="Arial" w:cs="Arial"/>
          <w:iCs/>
          <w:color w:val="242121"/>
          <w:sz w:val="24"/>
          <w:szCs w:val="24"/>
          <w:lang w:val="en-US"/>
        </w:rPr>
        <w:t>(c) in its discretion, and at the instances of any interested person, to enquire into and determine any existing, future, or contingent right or obligation, notwithstanding that such person cannot claim any relief consequential upon the determination.</w:t>
      </w:r>
      <w:r w:rsidR="00E36AEE">
        <w:rPr>
          <w:rFonts w:ascii="Arial" w:eastAsia="Times New Roman" w:hAnsi="Arial" w:cs="Arial"/>
          <w:iCs/>
          <w:color w:val="242121"/>
          <w:sz w:val="24"/>
          <w:szCs w:val="24"/>
          <w:lang w:val="en-US"/>
        </w:rPr>
        <w:t>'</w:t>
      </w:r>
    </w:p>
    <w:p w14:paraId="05E2231C" w14:textId="77777777" w:rsidR="001F627E" w:rsidRPr="00BF6075" w:rsidRDefault="001F627E" w:rsidP="001F627E">
      <w:pPr>
        <w:pStyle w:val="ListParagraph"/>
        <w:rPr>
          <w:rFonts w:ascii="Arial" w:hAnsi="Arial" w:cs="Arial"/>
          <w:sz w:val="24"/>
          <w:szCs w:val="24"/>
        </w:rPr>
      </w:pPr>
    </w:p>
    <w:p w14:paraId="2CBE4341" w14:textId="474061C4" w:rsidR="00E90BA3"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64EB1" w:rsidRPr="00B97A4E">
        <w:rPr>
          <w:rFonts w:ascii="Arial" w:hAnsi="Arial" w:cs="Arial"/>
          <w:sz w:val="24"/>
          <w:szCs w:val="24"/>
        </w:rPr>
        <w:t xml:space="preserve">A Full Court of this Division dealt comprehensively with the basis and requirements of declaratory relief in </w:t>
      </w:r>
      <w:r w:rsidR="00C64EB1" w:rsidRPr="00B97A4E">
        <w:rPr>
          <w:rFonts w:ascii="Arial" w:hAnsi="Arial" w:cs="Arial"/>
          <w:i/>
          <w:sz w:val="24"/>
          <w:szCs w:val="24"/>
        </w:rPr>
        <w:t xml:space="preserve">Minister of Finance v </w:t>
      </w:r>
      <w:proofErr w:type="spellStart"/>
      <w:r w:rsidR="00C64EB1" w:rsidRPr="00B97A4E">
        <w:rPr>
          <w:rFonts w:ascii="Arial" w:hAnsi="Arial" w:cs="Arial"/>
          <w:i/>
          <w:sz w:val="24"/>
          <w:szCs w:val="24"/>
        </w:rPr>
        <w:t>Oakbay</w:t>
      </w:r>
      <w:proofErr w:type="spellEnd"/>
      <w:r w:rsidR="00C64EB1" w:rsidRPr="00B97A4E">
        <w:rPr>
          <w:rFonts w:ascii="Arial" w:hAnsi="Arial" w:cs="Arial"/>
          <w:i/>
          <w:sz w:val="24"/>
          <w:szCs w:val="24"/>
        </w:rPr>
        <w:t xml:space="preserve"> Investments (Pty) Ltd; </w:t>
      </w:r>
      <w:proofErr w:type="spellStart"/>
      <w:r w:rsidR="00C64EB1" w:rsidRPr="00B97A4E">
        <w:rPr>
          <w:rFonts w:ascii="Arial" w:hAnsi="Arial" w:cs="Arial"/>
          <w:i/>
          <w:sz w:val="24"/>
          <w:szCs w:val="24"/>
        </w:rPr>
        <w:t>Oakbay</w:t>
      </w:r>
      <w:proofErr w:type="spellEnd"/>
      <w:r w:rsidR="00C64EB1" w:rsidRPr="00B97A4E">
        <w:rPr>
          <w:rFonts w:ascii="Arial" w:hAnsi="Arial" w:cs="Arial"/>
          <w:i/>
          <w:sz w:val="24"/>
          <w:szCs w:val="24"/>
        </w:rPr>
        <w:t xml:space="preserve"> </w:t>
      </w:r>
      <w:r w:rsidR="00C64EB1" w:rsidRPr="00B97A4E">
        <w:rPr>
          <w:rFonts w:ascii="Arial" w:hAnsi="Arial" w:cs="Arial"/>
          <w:i/>
          <w:sz w:val="24"/>
          <w:szCs w:val="24"/>
        </w:rPr>
        <w:lastRenderedPageBreak/>
        <w:t>Investments (Pty) Ltd v Director of the Financial Intelligence Centre</w:t>
      </w:r>
      <w:r w:rsidR="00E90BA3" w:rsidRPr="00B97A4E">
        <w:rPr>
          <w:rFonts w:ascii="Arial" w:hAnsi="Arial" w:cs="Arial"/>
          <w:sz w:val="24"/>
          <w:szCs w:val="24"/>
        </w:rPr>
        <w:t>.</w:t>
      </w:r>
      <w:r w:rsidR="00C64EB1" w:rsidRPr="00BF6075">
        <w:rPr>
          <w:rStyle w:val="FootnoteReference"/>
          <w:rFonts w:ascii="Arial" w:hAnsi="Arial" w:cs="Arial"/>
          <w:i/>
          <w:sz w:val="24"/>
          <w:szCs w:val="24"/>
        </w:rPr>
        <w:footnoteReference w:id="12"/>
      </w:r>
      <w:r w:rsidR="00E90BA3" w:rsidRPr="00B97A4E">
        <w:rPr>
          <w:rFonts w:ascii="Arial" w:hAnsi="Arial" w:cs="Arial"/>
          <w:sz w:val="24"/>
          <w:szCs w:val="24"/>
        </w:rPr>
        <w:t xml:space="preserve"> The court explained:</w:t>
      </w:r>
      <w:r w:rsidR="00E90BA3" w:rsidRPr="00BF6075">
        <w:rPr>
          <w:rStyle w:val="FootnoteReference"/>
          <w:rFonts w:ascii="Arial" w:hAnsi="Arial" w:cs="Arial"/>
          <w:sz w:val="24"/>
          <w:szCs w:val="24"/>
        </w:rPr>
        <w:footnoteReference w:id="13"/>
      </w:r>
    </w:p>
    <w:p w14:paraId="7F452B67" w14:textId="77777777" w:rsidR="006E2A1F" w:rsidRPr="00BF6075" w:rsidRDefault="006E2A1F" w:rsidP="006E2A1F">
      <w:pPr>
        <w:pStyle w:val="ListParagraph"/>
        <w:tabs>
          <w:tab w:val="left" w:pos="4917"/>
        </w:tabs>
        <w:spacing w:before="120" w:after="120" w:line="360" w:lineRule="auto"/>
        <w:jc w:val="both"/>
        <w:rPr>
          <w:rFonts w:ascii="Arial" w:hAnsi="Arial" w:cs="Arial"/>
          <w:sz w:val="24"/>
          <w:szCs w:val="24"/>
        </w:rPr>
      </w:pPr>
    </w:p>
    <w:p w14:paraId="68D0929A" w14:textId="63E03667" w:rsidR="00C64EB1" w:rsidRPr="00BF6075" w:rsidRDefault="00E36AEE" w:rsidP="00E90BA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C64EB1" w:rsidRPr="00BF6075">
        <w:rPr>
          <w:rFonts w:ascii="Arial" w:hAnsi="Arial" w:cs="Arial"/>
          <w:sz w:val="24"/>
          <w:szCs w:val="24"/>
        </w:rPr>
        <w:t>The exercise of the Court</w:t>
      </w:r>
      <w:r>
        <w:rPr>
          <w:rFonts w:ascii="Arial" w:hAnsi="Arial" w:cs="Arial"/>
          <w:sz w:val="24"/>
          <w:szCs w:val="24"/>
        </w:rPr>
        <w:t>'</w:t>
      </w:r>
      <w:r w:rsidR="00C64EB1" w:rsidRPr="00BF6075">
        <w:rPr>
          <w:rFonts w:ascii="Arial" w:hAnsi="Arial" w:cs="Arial"/>
          <w:sz w:val="24"/>
          <w:szCs w:val="24"/>
        </w:rPr>
        <w:t xml:space="preserve">s jurisdiction in terms of section 21(1) (c) follows a two-legged enquiry. </w:t>
      </w:r>
      <w:r w:rsidR="00E90BA3" w:rsidRPr="00BF6075">
        <w:rPr>
          <w:rFonts w:ascii="Arial" w:hAnsi="Arial" w:cs="Arial"/>
          <w:sz w:val="24"/>
          <w:szCs w:val="24"/>
        </w:rPr>
        <w:t>[T]</w:t>
      </w:r>
      <w:r w:rsidR="00C64EB1" w:rsidRPr="00BF6075">
        <w:rPr>
          <w:rFonts w:ascii="Arial" w:hAnsi="Arial" w:cs="Arial"/>
          <w:sz w:val="24"/>
          <w:szCs w:val="24"/>
        </w:rPr>
        <w:t>he Court must first be satisfied that the applicant is a person interested in an existing, future or contingent right or obligation; and if so, the Court must decide whether the case is a proper one for the exercise of its discretion.</w:t>
      </w:r>
      <w:r>
        <w:rPr>
          <w:rFonts w:ascii="Arial" w:hAnsi="Arial" w:cs="Arial"/>
          <w:sz w:val="24"/>
          <w:szCs w:val="24"/>
        </w:rPr>
        <w:t>'</w:t>
      </w:r>
      <w:r w:rsidR="00E90BA3" w:rsidRPr="00BF6075">
        <w:rPr>
          <w:rFonts w:ascii="Arial" w:hAnsi="Arial" w:cs="Arial"/>
          <w:sz w:val="24"/>
          <w:szCs w:val="24"/>
        </w:rPr>
        <w:t xml:space="preserve"> (References and footnotes omitted).</w:t>
      </w:r>
    </w:p>
    <w:p w14:paraId="3815F89F" w14:textId="77777777" w:rsidR="001F627E" w:rsidRPr="00BF6075" w:rsidRDefault="001F627E" w:rsidP="001F627E">
      <w:pPr>
        <w:pStyle w:val="ListParagraph"/>
        <w:rPr>
          <w:rFonts w:ascii="Arial" w:hAnsi="Arial" w:cs="Arial"/>
          <w:sz w:val="24"/>
          <w:szCs w:val="24"/>
        </w:rPr>
      </w:pPr>
    </w:p>
    <w:p w14:paraId="1433A07C" w14:textId="01810CB6" w:rsidR="001F627E"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[24]</w:t>
      </w:r>
      <w:r w:rsidRPr="00BF6075">
        <w:rPr>
          <w:rFonts w:ascii="Arial" w:hAnsi="Arial" w:cs="Arial"/>
          <w:sz w:val="24"/>
          <w:szCs w:val="24"/>
        </w:rPr>
        <w:tab/>
      </w:r>
      <w:r w:rsidR="00E90BA3" w:rsidRPr="00B97A4E">
        <w:rPr>
          <w:rFonts w:ascii="Arial" w:hAnsi="Arial" w:cs="Arial"/>
          <w:sz w:val="24"/>
          <w:szCs w:val="24"/>
        </w:rPr>
        <w:t>The first leg of this enquiry involves establishing the existence of the necessary condition precedent for the exercise of the Court</w:t>
      </w:r>
      <w:r w:rsidR="00E36AEE" w:rsidRPr="00B97A4E">
        <w:rPr>
          <w:rFonts w:ascii="Arial" w:hAnsi="Arial" w:cs="Arial"/>
          <w:sz w:val="24"/>
          <w:szCs w:val="24"/>
        </w:rPr>
        <w:t>'</w:t>
      </w:r>
      <w:r w:rsidR="00E90BA3" w:rsidRPr="00B97A4E">
        <w:rPr>
          <w:rFonts w:ascii="Arial" w:hAnsi="Arial" w:cs="Arial"/>
          <w:sz w:val="24"/>
          <w:szCs w:val="24"/>
        </w:rPr>
        <w:t xml:space="preserve">s </w:t>
      </w:r>
      <w:r w:rsidR="00A91562" w:rsidRPr="00B97A4E">
        <w:rPr>
          <w:rFonts w:ascii="Arial" w:hAnsi="Arial" w:cs="Arial"/>
          <w:sz w:val="24"/>
          <w:szCs w:val="24"/>
        </w:rPr>
        <w:t>discretion. An applicant for</w:t>
      </w:r>
      <w:r w:rsidR="00E90BA3" w:rsidRPr="00B97A4E">
        <w:rPr>
          <w:rFonts w:ascii="Arial" w:hAnsi="Arial" w:cs="Arial"/>
          <w:sz w:val="24"/>
          <w:szCs w:val="24"/>
        </w:rPr>
        <w:t xml:space="preserve"> declaratory relief satisfies this requirement if he succeeds in establishing that he has an interest in an existing, future or contingent right or obligation. Only if the Court is satisfied accordingly, does it proceed to the second leg of the enquiry.</w:t>
      </w:r>
      <w:r w:rsidR="00E90BA3" w:rsidRPr="00BF6075">
        <w:rPr>
          <w:rStyle w:val="FootnoteReference"/>
          <w:rFonts w:ascii="Arial" w:hAnsi="Arial" w:cs="Arial"/>
          <w:sz w:val="24"/>
          <w:szCs w:val="24"/>
        </w:rPr>
        <w:footnoteReference w:id="14"/>
      </w:r>
    </w:p>
    <w:p w14:paraId="6CB5141F" w14:textId="77777777" w:rsidR="001F627E" w:rsidRPr="00BF6075" w:rsidRDefault="001F627E" w:rsidP="001F627E">
      <w:pPr>
        <w:pStyle w:val="ListParagraph"/>
        <w:rPr>
          <w:rFonts w:ascii="Arial" w:hAnsi="Arial" w:cs="Arial"/>
          <w:sz w:val="24"/>
          <w:szCs w:val="24"/>
        </w:rPr>
      </w:pPr>
    </w:p>
    <w:p w14:paraId="0F3E5C97" w14:textId="4B220DA1" w:rsidR="00AA2F3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[25]</w:t>
      </w:r>
      <w:r w:rsidRPr="00BF6075">
        <w:rPr>
          <w:rFonts w:ascii="Arial" w:hAnsi="Arial" w:cs="Arial"/>
          <w:sz w:val="24"/>
          <w:szCs w:val="24"/>
        </w:rPr>
        <w:tab/>
      </w:r>
      <w:r w:rsidR="00E90BA3" w:rsidRPr="00B97A4E">
        <w:rPr>
          <w:rFonts w:ascii="Arial" w:hAnsi="Arial" w:cs="Arial"/>
          <w:sz w:val="24"/>
          <w:szCs w:val="24"/>
        </w:rPr>
        <w:t>The accrual claim is a monetary claim that the spouse who has lesser of the accrual during the marriage has against the spouse who has the greater accrual during the marriage, upon dissolution of a marriage subject to the accrual system.</w:t>
      </w:r>
      <w:r w:rsidR="00146199" w:rsidRPr="00B97A4E">
        <w:rPr>
          <w:rFonts w:ascii="Arial" w:hAnsi="Arial" w:cs="Arial"/>
          <w:sz w:val="24"/>
          <w:szCs w:val="24"/>
        </w:rPr>
        <w:t xml:space="preserve"> The accrual claim is not a claim to a share in the other spouse</w:t>
      </w:r>
      <w:r w:rsidR="00E36AEE" w:rsidRPr="00B97A4E">
        <w:rPr>
          <w:rFonts w:ascii="Arial" w:hAnsi="Arial" w:cs="Arial"/>
          <w:sz w:val="24"/>
          <w:szCs w:val="24"/>
        </w:rPr>
        <w:t>'</w:t>
      </w:r>
      <w:r w:rsidR="00146199" w:rsidRPr="00B97A4E">
        <w:rPr>
          <w:rFonts w:ascii="Arial" w:hAnsi="Arial" w:cs="Arial"/>
          <w:sz w:val="24"/>
          <w:szCs w:val="24"/>
        </w:rPr>
        <w:t>s assets themselves.</w:t>
      </w:r>
      <w:r w:rsidR="00146199" w:rsidRPr="00BF6075">
        <w:rPr>
          <w:rStyle w:val="FootnoteReference"/>
          <w:rFonts w:ascii="Arial" w:hAnsi="Arial" w:cs="Arial"/>
          <w:sz w:val="24"/>
          <w:szCs w:val="24"/>
        </w:rPr>
        <w:footnoteReference w:id="15"/>
      </w:r>
      <w:r w:rsidR="00146199" w:rsidRPr="00B97A4E">
        <w:rPr>
          <w:rFonts w:ascii="Arial" w:hAnsi="Arial" w:cs="Arial"/>
          <w:sz w:val="24"/>
          <w:szCs w:val="24"/>
        </w:rPr>
        <w:t xml:space="preserve"> Gilbert AJ explained in </w:t>
      </w:r>
      <w:r w:rsidR="00503451" w:rsidRPr="00B97A4E">
        <w:rPr>
          <w:rFonts w:ascii="Arial" w:hAnsi="Arial" w:cs="Arial"/>
          <w:i/>
          <w:sz w:val="24"/>
          <w:szCs w:val="24"/>
        </w:rPr>
        <w:t>ND v MD</w:t>
      </w:r>
      <w:r w:rsidR="00146199" w:rsidRPr="00B97A4E">
        <w:rPr>
          <w:rFonts w:ascii="Arial" w:hAnsi="Arial" w:cs="Arial"/>
          <w:sz w:val="24"/>
          <w:szCs w:val="24"/>
        </w:rPr>
        <w:t xml:space="preserve"> that an accrual claim is a </w:t>
      </w:r>
      <w:r w:rsidR="00E36AEE" w:rsidRPr="00B97A4E">
        <w:rPr>
          <w:rFonts w:ascii="Arial" w:hAnsi="Arial" w:cs="Arial"/>
          <w:sz w:val="24"/>
          <w:szCs w:val="24"/>
        </w:rPr>
        <w:t>'</w:t>
      </w:r>
      <w:r w:rsidR="00146199" w:rsidRPr="00B97A4E">
        <w:rPr>
          <w:rFonts w:ascii="Arial" w:hAnsi="Arial" w:cs="Arial"/>
          <w:sz w:val="24"/>
          <w:szCs w:val="24"/>
        </w:rPr>
        <w:t>deferred equalisation</w:t>
      </w:r>
      <w:r w:rsidR="00E36AEE" w:rsidRPr="00B97A4E">
        <w:rPr>
          <w:rFonts w:ascii="Arial" w:hAnsi="Arial" w:cs="Arial"/>
          <w:sz w:val="24"/>
          <w:szCs w:val="24"/>
        </w:rPr>
        <w:t>'</w:t>
      </w:r>
      <w:r w:rsidR="00146199" w:rsidRPr="00B97A4E">
        <w:rPr>
          <w:rFonts w:ascii="Arial" w:hAnsi="Arial" w:cs="Arial"/>
          <w:sz w:val="24"/>
          <w:szCs w:val="24"/>
        </w:rPr>
        <w:t xml:space="preserve"> claim.</w:t>
      </w:r>
      <w:r w:rsidR="00503451" w:rsidRPr="00BF6075">
        <w:rPr>
          <w:rStyle w:val="FootnoteReference"/>
          <w:rFonts w:ascii="Arial" w:hAnsi="Arial" w:cs="Arial"/>
          <w:sz w:val="24"/>
          <w:szCs w:val="24"/>
        </w:rPr>
        <w:footnoteReference w:id="16"/>
      </w:r>
      <w:r w:rsidR="00146199" w:rsidRPr="00B97A4E">
        <w:rPr>
          <w:rFonts w:ascii="Arial" w:hAnsi="Arial" w:cs="Arial"/>
          <w:sz w:val="24"/>
          <w:szCs w:val="24"/>
        </w:rPr>
        <w:t xml:space="preserve"> He explained that the accrual claim is contingent in nature until it vests upon dissolution of the marriage or earlier in the event that an immediate division of the accrual is granted in terms of section 8(1).</w:t>
      </w:r>
      <w:r w:rsidR="00146199" w:rsidRPr="00BF6075">
        <w:rPr>
          <w:rStyle w:val="FootnoteReference"/>
          <w:rFonts w:ascii="Arial" w:hAnsi="Arial" w:cs="Arial"/>
          <w:sz w:val="24"/>
          <w:szCs w:val="24"/>
        </w:rPr>
        <w:footnoteReference w:id="17"/>
      </w:r>
      <w:r w:rsidR="00F726ED" w:rsidRPr="00B97A4E">
        <w:rPr>
          <w:rFonts w:ascii="Arial" w:hAnsi="Arial" w:cs="Arial"/>
          <w:sz w:val="24"/>
          <w:szCs w:val="24"/>
        </w:rPr>
        <w:t xml:space="preserve"> </w:t>
      </w:r>
      <w:r w:rsidR="00703FA6" w:rsidRPr="00B97A4E">
        <w:rPr>
          <w:rFonts w:ascii="Arial" w:hAnsi="Arial" w:cs="Arial"/>
          <w:i/>
          <w:sz w:val="24"/>
          <w:szCs w:val="24"/>
        </w:rPr>
        <w:t xml:space="preserve">In </w:t>
      </w:r>
      <w:proofErr w:type="spellStart"/>
      <w:r w:rsidR="00703FA6" w:rsidRPr="00B97A4E">
        <w:rPr>
          <w:rFonts w:ascii="Arial" w:hAnsi="Arial" w:cs="Arial"/>
          <w:i/>
          <w:sz w:val="24"/>
          <w:szCs w:val="24"/>
        </w:rPr>
        <w:t>casu</w:t>
      </w:r>
      <w:proofErr w:type="spellEnd"/>
      <w:r w:rsidR="00703FA6" w:rsidRPr="00B97A4E">
        <w:rPr>
          <w:rFonts w:ascii="Arial" w:hAnsi="Arial" w:cs="Arial"/>
          <w:sz w:val="24"/>
          <w:szCs w:val="24"/>
        </w:rPr>
        <w:t xml:space="preserve">, the parties are already divorced with the legal issue pertaining to the accrual claim being separated from the divorce and </w:t>
      </w:r>
      <w:r w:rsidR="00703FA6" w:rsidRPr="00B97A4E">
        <w:rPr>
          <w:rFonts w:ascii="Arial" w:hAnsi="Arial" w:cs="Arial"/>
          <w:sz w:val="24"/>
          <w:szCs w:val="24"/>
        </w:rPr>
        <w:lastRenderedPageBreak/>
        <w:t xml:space="preserve">postponed </w:t>
      </w:r>
      <w:r w:rsidR="00703FA6" w:rsidRPr="00B97A4E">
        <w:rPr>
          <w:rFonts w:ascii="Arial" w:hAnsi="Arial" w:cs="Arial"/>
          <w:i/>
          <w:sz w:val="24"/>
          <w:szCs w:val="24"/>
        </w:rPr>
        <w:t xml:space="preserve">sine die. </w:t>
      </w:r>
      <w:r w:rsidR="00ED6CED" w:rsidRPr="00B97A4E">
        <w:rPr>
          <w:rFonts w:ascii="Arial" w:hAnsi="Arial" w:cs="Arial"/>
          <w:sz w:val="24"/>
          <w:szCs w:val="24"/>
        </w:rPr>
        <w:t xml:space="preserve">In these </w:t>
      </w:r>
      <w:r w:rsidR="00A91562" w:rsidRPr="00B97A4E">
        <w:rPr>
          <w:rFonts w:ascii="Arial" w:hAnsi="Arial" w:cs="Arial"/>
          <w:sz w:val="24"/>
          <w:szCs w:val="24"/>
        </w:rPr>
        <w:t>circumstances,</w:t>
      </w:r>
      <w:r w:rsidR="00ED6CED" w:rsidRPr="00B97A4E">
        <w:rPr>
          <w:rFonts w:ascii="Arial" w:hAnsi="Arial" w:cs="Arial"/>
          <w:sz w:val="24"/>
          <w:szCs w:val="24"/>
        </w:rPr>
        <w:t xml:space="preserve"> an accrual claim is not contingent but vested. </w:t>
      </w:r>
      <w:r w:rsidR="00F726ED" w:rsidRPr="00B97A4E">
        <w:rPr>
          <w:rFonts w:ascii="Arial" w:hAnsi="Arial" w:cs="Arial"/>
          <w:sz w:val="24"/>
          <w:szCs w:val="24"/>
        </w:rPr>
        <w:t>The necessary condition pre</w:t>
      </w:r>
      <w:r w:rsidR="00A91562" w:rsidRPr="00B97A4E">
        <w:rPr>
          <w:rFonts w:ascii="Arial" w:hAnsi="Arial" w:cs="Arial"/>
          <w:sz w:val="24"/>
          <w:szCs w:val="24"/>
        </w:rPr>
        <w:t>cedent for the exercise of the c</w:t>
      </w:r>
      <w:r w:rsidR="00F726ED" w:rsidRPr="00B97A4E">
        <w:rPr>
          <w:rFonts w:ascii="Arial" w:hAnsi="Arial" w:cs="Arial"/>
          <w:sz w:val="24"/>
          <w:szCs w:val="24"/>
        </w:rPr>
        <w:t>ourt</w:t>
      </w:r>
      <w:r w:rsidR="00E36AEE" w:rsidRPr="00B97A4E">
        <w:rPr>
          <w:rFonts w:ascii="Arial" w:hAnsi="Arial" w:cs="Arial"/>
          <w:sz w:val="24"/>
          <w:szCs w:val="24"/>
        </w:rPr>
        <w:t>'</w:t>
      </w:r>
      <w:r w:rsidR="00F726ED" w:rsidRPr="00B97A4E">
        <w:rPr>
          <w:rFonts w:ascii="Arial" w:hAnsi="Arial" w:cs="Arial"/>
          <w:sz w:val="24"/>
          <w:szCs w:val="24"/>
        </w:rPr>
        <w:t>s discretion thus exists.</w:t>
      </w:r>
    </w:p>
    <w:p w14:paraId="6ACB151B" w14:textId="77777777" w:rsidR="00F726ED" w:rsidRPr="00BF6075" w:rsidRDefault="00F726ED" w:rsidP="00F726ED">
      <w:pPr>
        <w:pStyle w:val="ListParagraph"/>
        <w:rPr>
          <w:rFonts w:ascii="Arial" w:hAnsi="Arial" w:cs="Arial"/>
          <w:sz w:val="24"/>
          <w:szCs w:val="24"/>
        </w:rPr>
      </w:pPr>
    </w:p>
    <w:p w14:paraId="55EEB12F" w14:textId="0B88B801" w:rsidR="0053647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[26]</w:t>
      </w:r>
      <w:r w:rsidRPr="00BF6075">
        <w:rPr>
          <w:rFonts w:ascii="Arial" w:hAnsi="Arial" w:cs="Arial"/>
          <w:sz w:val="24"/>
          <w:szCs w:val="24"/>
        </w:rPr>
        <w:tab/>
      </w:r>
      <w:r w:rsidR="00536472" w:rsidRPr="00B97A4E">
        <w:rPr>
          <w:rFonts w:ascii="Arial" w:hAnsi="Arial" w:cs="Arial"/>
          <w:sz w:val="24"/>
          <w:szCs w:val="24"/>
        </w:rPr>
        <w:t xml:space="preserve">The factors that courts have taken into account in deciding whether judicial discretion should be exercised positively or negatively have been extrapolated by </w:t>
      </w:r>
      <w:proofErr w:type="spellStart"/>
      <w:r w:rsidR="00536472" w:rsidRPr="00B97A4E">
        <w:rPr>
          <w:rFonts w:ascii="Arial" w:hAnsi="Arial" w:cs="Arial"/>
          <w:sz w:val="24"/>
          <w:szCs w:val="24"/>
        </w:rPr>
        <w:t>Herbstein</w:t>
      </w:r>
      <w:proofErr w:type="spellEnd"/>
      <w:r w:rsidR="00536472" w:rsidRPr="00B97A4E">
        <w:rPr>
          <w:rFonts w:ascii="Arial" w:hAnsi="Arial" w:cs="Arial"/>
          <w:sz w:val="24"/>
          <w:szCs w:val="24"/>
        </w:rPr>
        <w:t xml:space="preserve"> and van </w:t>
      </w:r>
      <w:proofErr w:type="spellStart"/>
      <w:r w:rsidR="00536472" w:rsidRPr="00B97A4E">
        <w:rPr>
          <w:rFonts w:ascii="Arial" w:hAnsi="Arial" w:cs="Arial"/>
          <w:sz w:val="24"/>
          <w:szCs w:val="24"/>
        </w:rPr>
        <w:t>Winsen</w:t>
      </w:r>
      <w:proofErr w:type="spellEnd"/>
      <w:r w:rsidR="00536472" w:rsidRPr="00B97A4E">
        <w:rPr>
          <w:rFonts w:ascii="Arial" w:hAnsi="Arial" w:cs="Arial"/>
          <w:sz w:val="24"/>
          <w:szCs w:val="24"/>
        </w:rPr>
        <w:t>.</w:t>
      </w:r>
      <w:r w:rsidR="00536472" w:rsidRPr="00BF6075">
        <w:rPr>
          <w:rStyle w:val="FootnoteReference"/>
          <w:rFonts w:ascii="Arial" w:hAnsi="Arial" w:cs="Arial"/>
          <w:sz w:val="24"/>
          <w:szCs w:val="24"/>
        </w:rPr>
        <w:footnoteReference w:id="18"/>
      </w:r>
      <w:r w:rsidR="0093511F" w:rsidRPr="00B97A4E">
        <w:rPr>
          <w:rFonts w:ascii="Arial" w:hAnsi="Arial" w:cs="Arial"/>
          <w:sz w:val="24"/>
          <w:szCs w:val="24"/>
        </w:rPr>
        <w:t xml:space="preserve"> These include: </w:t>
      </w:r>
    </w:p>
    <w:p w14:paraId="0D0C6A92" w14:textId="77777777" w:rsidR="00536472" w:rsidRPr="00BF6075" w:rsidRDefault="00536472" w:rsidP="00536472">
      <w:pPr>
        <w:pStyle w:val="ListParagraph"/>
        <w:rPr>
          <w:rFonts w:ascii="Arial" w:hAnsi="Arial" w:cs="Arial"/>
          <w:sz w:val="24"/>
          <w:szCs w:val="24"/>
        </w:rPr>
      </w:pPr>
    </w:p>
    <w:p w14:paraId="5CF3B3CF" w14:textId="7D2310A1" w:rsidR="00536472" w:rsidRPr="00B97A4E" w:rsidRDefault="00B97A4E" w:rsidP="00B97A4E">
      <w:pPr>
        <w:tabs>
          <w:tab w:val="left" w:pos="4917"/>
        </w:tabs>
        <w:spacing w:before="120" w:after="120" w:line="360" w:lineRule="auto"/>
        <w:ind w:left="1440" w:hanging="360"/>
        <w:jc w:val="both"/>
        <w:rPr>
          <w:rFonts w:ascii="Arial" w:hAnsi="Arial" w:cs="Arial"/>
          <w:sz w:val="24"/>
          <w:szCs w:val="24"/>
        </w:rPr>
      </w:pPr>
      <w:proofErr w:type="spellStart"/>
      <w:r w:rsidRPr="00BF6075">
        <w:rPr>
          <w:rFonts w:ascii="Arial" w:hAnsi="Arial" w:cs="Arial"/>
          <w:sz w:val="24"/>
          <w:szCs w:val="24"/>
        </w:rPr>
        <w:t>i</w:t>
      </w:r>
      <w:proofErr w:type="spellEnd"/>
      <w:r w:rsidRPr="00BF6075">
        <w:rPr>
          <w:rFonts w:ascii="Arial" w:hAnsi="Arial" w:cs="Arial"/>
          <w:sz w:val="24"/>
          <w:szCs w:val="24"/>
        </w:rPr>
        <w:t>.</w:t>
      </w:r>
      <w:r w:rsidRPr="00BF6075">
        <w:rPr>
          <w:rFonts w:ascii="Arial" w:hAnsi="Arial" w:cs="Arial"/>
          <w:sz w:val="24"/>
          <w:szCs w:val="24"/>
        </w:rPr>
        <w:tab/>
      </w:r>
      <w:r w:rsidR="0093511F" w:rsidRPr="00B97A4E">
        <w:rPr>
          <w:rFonts w:ascii="Arial" w:hAnsi="Arial" w:cs="Arial"/>
          <w:sz w:val="24"/>
          <w:szCs w:val="24"/>
        </w:rPr>
        <w:t xml:space="preserve"> the existence </w:t>
      </w:r>
      <w:r w:rsidR="00536472" w:rsidRPr="00B97A4E">
        <w:rPr>
          <w:rFonts w:ascii="Arial" w:hAnsi="Arial" w:cs="Arial"/>
          <w:sz w:val="24"/>
          <w:szCs w:val="24"/>
        </w:rPr>
        <w:t xml:space="preserve">or absence of a dispute; </w:t>
      </w:r>
    </w:p>
    <w:p w14:paraId="0DF2490A" w14:textId="1C577E89" w:rsidR="0053647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w:t>
      </w:r>
      <w:r w:rsidRPr="00BF6075">
        <w:rPr>
          <w:rFonts w:ascii="Arial" w:hAnsi="Arial" w:cs="Arial"/>
          <w:sz w:val="24"/>
          <w:szCs w:val="24"/>
        </w:rPr>
        <w:tab/>
      </w:r>
      <w:r w:rsidR="0093511F" w:rsidRPr="00B97A4E">
        <w:rPr>
          <w:rFonts w:ascii="Arial" w:hAnsi="Arial" w:cs="Arial"/>
          <w:sz w:val="24"/>
          <w:szCs w:val="24"/>
        </w:rPr>
        <w:t>the utility of the declaratory relief and whether if granted, it will settle the question in issue between the parties;</w:t>
      </w:r>
    </w:p>
    <w:p w14:paraId="61A12C53" w14:textId="35313C36" w:rsidR="0053647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iii.</w:t>
      </w:r>
      <w:r w:rsidRPr="00BF6075">
        <w:rPr>
          <w:rFonts w:ascii="Arial" w:hAnsi="Arial" w:cs="Arial"/>
          <w:sz w:val="24"/>
          <w:szCs w:val="24"/>
        </w:rPr>
        <w:tab/>
      </w:r>
      <w:r w:rsidR="0093511F" w:rsidRPr="00B97A4E">
        <w:rPr>
          <w:rFonts w:ascii="Arial" w:hAnsi="Arial" w:cs="Arial"/>
          <w:sz w:val="24"/>
          <w:szCs w:val="24"/>
        </w:rPr>
        <w:t>whether a tangible and justifiable advantage in relation to the applicant</w:t>
      </w:r>
      <w:r w:rsidR="00E36AEE" w:rsidRPr="00B97A4E">
        <w:rPr>
          <w:rFonts w:ascii="Arial" w:hAnsi="Arial" w:cs="Arial"/>
          <w:sz w:val="24"/>
          <w:szCs w:val="24"/>
        </w:rPr>
        <w:t>'</w:t>
      </w:r>
      <w:r w:rsidR="0093511F" w:rsidRPr="00B97A4E">
        <w:rPr>
          <w:rFonts w:ascii="Arial" w:hAnsi="Arial" w:cs="Arial"/>
          <w:sz w:val="24"/>
          <w:szCs w:val="24"/>
        </w:rPr>
        <w:t>s position appears to flow from the grant of the order sought;</w:t>
      </w:r>
    </w:p>
    <w:p w14:paraId="747096EB" w14:textId="1413A0D1" w:rsidR="0053647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iv.</w:t>
      </w:r>
      <w:r w:rsidRPr="00BF6075">
        <w:rPr>
          <w:rFonts w:ascii="Arial" w:hAnsi="Arial" w:cs="Arial"/>
          <w:sz w:val="24"/>
          <w:szCs w:val="24"/>
        </w:rPr>
        <w:tab/>
      </w:r>
      <w:r w:rsidR="0093511F" w:rsidRPr="00B97A4E">
        <w:rPr>
          <w:rFonts w:ascii="Arial" w:hAnsi="Arial" w:cs="Arial"/>
          <w:sz w:val="24"/>
          <w:szCs w:val="24"/>
        </w:rPr>
        <w:t xml:space="preserve">considerations of public policy, justice and convenience; </w:t>
      </w:r>
    </w:p>
    <w:p w14:paraId="6405626E" w14:textId="11E40323" w:rsidR="0053647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w:t>
      </w:r>
      <w:r w:rsidRPr="00BF6075">
        <w:rPr>
          <w:rFonts w:ascii="Arial" w:hAnsi="Arial" w:cs="Arial"/>
          <w:sz w:val="24"/>
          <w:szCs w:val="24"/>
        </w:rPr>
        <w:tab/>
      </w:r>
      <w:r w:rsidR="0093511F" w:rsidRPr="00B97A4E">
        <w:rPr>
          <w:rFonts w:ascii="Arial" w:hAnsi="Arial" w:cs="Arial"/>
          <w:sz w:val="24"/>
          <w:szCs w:val="24"/>
        </w:rPr>
        <w:t>the practical significance of the order;</w:t>
      </w:r>
      <w:r w:rsidR="00536472" w:rsidRPr="00B97A4E">
        <w:rPr>
          <w:rFonts w:ascii="Arial" w:hAnsi="Arial" w:cs="Arial"/>
          <w:sz w:val="24"/>
          <w:szCs w:val="24"/>
        </w:rPr>
        <w:t xml:space="preserve"> and</w:t>
      </w:r>
    </w:p>
    <w:p w14:paraId="2C615553" w14:textId="1709B683" w:rsidR="00B07262" w:rsidRPr="00B97A4E" w:rsidRDefault="00B97A4E" w:rsidP="00B97A4E">
      <w:pPr>
        <w:tabs>
          <w:tab w:val="left" w:pos="4917"/>
        </w:tabs>
        <w:spacing w:before="120" w:after="120" w:line="360" w:lineRule="auto"/>
        <w:ind w:left="1440" w:hanging="360"/>
        <w:jc w:val="both"/>
        <w:rPr>
          <w:rFonts w:ascii="Arial" w:hAnsi="Arial" w:cs="Arial"/>
          <w:sz w:val="24"/>
          <w:szCs w:val="24"/>
        </w:rPr>
      </w:pPr>
      <w:r w:rsidRPr="00BF6075">
        <w:rPr>
          <w:rFonts w:ascii="Arial" w:hAnsi="Arial" w:cs="Arial"/>
          <w:sz w:val="24"/>
          <w:szCs w:val="24"/>
        </w:rPr>
        <w:t>vi.</w:t>
      </w:r>
      <w:r w:rsidRPr="00BF6075">
        <w:rPr>
          <w:rFonts w:ascii="Arial" w:hAnsi="Arial" w:cs="Arial"/>
          <w:sz w:val="24"/>
          <w:szCs w:val="24"/>
        </w:rPr>
        <w:tab/>
      </w:r>
      <w:r w:rsidR="0093511F" w:rsidRPr="00B97A4E">
        <w:rPr>
          <w:rFonts w:ascii="Arial" w:hAnsi="Arial" w:cs="Arial"/>
          <w:sz w:val="24"/>
          <w:szCs w:val="24"/>
        </w:rPr>
        <w:t xml:space="preserve">the availability of other remedies. </w:t>
      </w:r>
    </w:p>
    <w:p w14:paraId="23733DC0" w14:textId="77777777" w:rsidR="00B07262" w:rsidRPr="00BF6075" w:rsidRDefault="00B07262" w:rsidP="00B07262">
      <w:pPr>
        <w:pStyle w:val="ListParagraph"/>
        <w:rPr>
          <w:rFonts w:ascii="Arial" w:hAnsi="Arial" w:cs="Arial"/>
          <w:sz w:val="24"/>
          <w:szCs w:val="24"/>
        </w:rPr>
      </w:pPr>
    </w:p>
    <w:p w14:paraId="4D686238" w14:textId="3D11F46D" w:rsidR="00B0726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[27]</w:t>
      </w:r>
      <w:r w:rsidRPr="00BF6075">
        <w:rPr>
          <w:rFonts w:ascii="Arial" w:hAnsi="Arial" w:cs="Arial"/>
          <w:sz w:val="24"/>
          <w:szCs w:val="24"/>
        </w:rPr>
        <w:tab/>
      </w:r>
      <w:r w:rsidR="0067268D" w:rsidRPr="00B97A4E">
        <w:rPr>
          <w:rFonts w:ascii="Arial" w:hAnsi="Arial" w:cs="Arial"/>
          <w:sz w:val="24"/>
          <w:szCs w:val="24"/>
        </w:rPr>
        <w:t xml:space="preserve">In this matter a dispute exists that turns on the question as to whether the value of the money the plaintiff donated to the Trust and the </w:t>
      </w:r>
      <w:r w:rsidR="00DC09E0" w:rsidRPr="00B97A4E">
        <w:rPr>
          <w:rFonts w:ascii="Arial" w:hAnsi="Arial" w:cs="Arial"/>
          <w:sz w:val="24"/>
          <w:szCs w:val="24"/>
        </w:rPr>
        <w:t>money invested</w:t>
      </w:r>
      <w:r w:rsidR="00DD2AFA" w:rsidRPr="00B97A4E">
        <w:rPr>
          <w:rFonts w:ascii="Arial" w:hAnsi="Arial" w:cs="Arial"/>
          <w:sz w:val="24"/>
          <w:szCs w:val="24"/>
        </w:rPr>
        <w:t xml:space="preserve"> </w:t>
      </w:r>
      <w:r w:rsidR="0067268D" w:rsidRPr="00B97A4E">
        <w:rPr>
          <w:rFonts w:ascii="Arial" w:hAnsi="Arial" w:cs="Arial"/>
          <w:sz w:val="24"/>
          <w:szCs w:val="24"/>
        </w:rPr>
        <w:t xml:space="preserve">in the </w:t>
      </w:r>
      <w:r w:rsidR="003452BC" w:rsidRPr="00B97A4E">
        <w:rPr>
          <w:rFonts w:ascii="Arial" w:hAnsi="Arial" w:cs="Arial"/>
          <w:sz w:val="24"/>
          <w:szCs w:val="24"/>
        </w:rPr>
        <w:t xml:space="preserve">Investec </w:t>
      </w:r>
      <w:r w:rsidR="0067268D" w:rsidRPr="00B97A4E">
        <w:rPr>
          <w:rFonts w:ascii="Arial" w:hAnsi="Arial" w:cs="Arial"/>
          <w:sz w:val="24"/>
          <w:szCs w:val="24"/>
        </w:rPr>
        <w:t>living annuity should be considered when the parties</w:t>
      </w:r>
      <w:r w:rsidR="00E36AEE" w:rsidRPr="00B97A4E">
        <w:rPr>
          <w:rFonts w:ascii="Arial" w:hAnsi="Arial" w:cs="Arial"/>
          <w:sz w:val="24"/>
          <w:szCs w:val="24"/>
        </w:rPr>
        <w:t>'</w:t>
      </w:r>
      <w:r w:rsidR="0067268D" w:rsidRPr="00B97A4E">
        <w:rPr>
          <w:rFonts w:ascii="Arial" w:hAnsi="Arial" w:cs="Arial"/>
          <w:sz w:val="24"/>
          <w:szCs w:val="24"/>
        </w:rPr>
        <w:t xml:space="preserve"> accrual claim is calculated. This issue needs to be determined in order to bring the divorce litigation to a close and as such will be practically significant. The defendant is entitled to seek a determinat</w:t>
      </w:r>
      <w:r w:rsidR="00005900" w:rsidRPr="00B97A4E">
        <w:rPr>
          <w:rFonts w:ascii="Arial" w:hAnsi="Arial" w:cs="Arial"/>
          <w:sz w:val="24"/>
          <w:szCs w:val="24"/>
        </w:rPr>
        <w:t>ion on the question at hand.</w:t>
      </w:r>
    </w:p>
    <w:p w14:paraId="70579638" w14:textId="77777777" w:rsidR="00B07262" w:rsidRPr="00BF6075" w:rsidRDefault="00B07262" w:rsidP="00B07262">
      <w:pPr>
        <w:pStyle w:val="ListParagraph"/>
        <w:rPr>
          <w:rFonts w:ascii="Arial" w:hAnsi="Arial" w:cs="Arial"/>
          <w:sz w:val="24"/>
          <w:szCs w:val="24"/>
        </w:rPr>
      </w:pPr>
    </w:p>
    <w:p w14:paraId="37718276" w14:textId="28D5F068" w:rsidR="00B0726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[28]</w:t>
      </w:r>
      <w:r w:rsidRPr="00BF6075">
        <w:rPr>
          <w:rFonts w:ascii="Arial" w:hAnsi="Arial" w:cs="Arial"/>
          <w:sz w:val="24"/>
          <w:szCs w:val="24"/>
        </w:rPr>
        <w:tab/>
      </w:r>
      <w:r w:rsidR="00005900" w:rsidRPr="00B97A4E">
        <w:rPr>
          <w:rFonts w:ascii="Arial" w:hAnsi="Arial" w:cs="Arial"/>
          <w:sz w:val="24"/>
          <w:szCs w:val="24"/>
        </w:rPr>
        <w:t>The plaintiff</w:t>
      </w:r>
      <w:r w:rsidR="00E36AEE" w:rsidRPr="00B97A4E">
        <w:rPr>
          <w:rFonts w:ascii="Arial" w:hAnsi="Arial" w:cs="Arial"/>
          <w:sz w:val="24"/>
          <w:szCs w:val="24"/>
        </w:rPr>
        <w:t>'</w:t>
      </w:r>
      <w:r w:rsidR="00005900" w:rsidRPr="00B97A4E">
        <w:rPr>
          <w:rFonts w:ascii="Arial" w:hAnsi="Arial" w:cs="Arial"/>
          <w:sz w:val="24"/>
          <w:szCs w:val="24"/>
        </w:rPr>
        <w:t xml:space="preserve">s contention that the defendant failed to make out a case </w:t>
      </w:r>
      <w:r w:rsidR="005C1C06" w:rsidRPr="00B97A4E">
        <w:rPr>
          <w:rFonts w:ascii="Arial" w:hAnsi="Arial" w:cs="Arial"/>
          <w:sz w:val="24"/>
          <w:szCs w:val="24"/>
        </w:rPr>
        <w:t xml:space="preserve">based </w:t>
      </w:r>
      <w:r w:rsidR="00005900" w:rsidRPr="00B97A4E">
        <w:rPr>
          <w:rFonts w:ascii="Arial" w:hAnsi="Arial" w:cs="Arial"/>
          <w:sz w:val="24"/>
          <w:szCs w:val="24"/>
        </w:rPr>
        <w:t>in delict, or unjustified enrichment is misplaced, since the defendant</w:t>
      </w:r>
      <w:r w:rsidR="00E36AEE" w:rsidRPr="00B97A4E">
        <w:rPr>
          <w:rFonts w:ascii="Arial" w:hAnsi="Arial" w:cs="Arial"/>
          <w:sz w:val="24"/>
          <w:szCs w:val="24"/>
        </w:rPr>
        <w:t>'</w:t>
      </w:r>
      <w:r w:rsidR="00005900" w:rsidRPr="00B97A4E">
        <w:rPr>
          <w:rFonts w:ascii="Arial" w:hAnsi="Arial" w:cs="Arial"/>
          <w:sz w:val="24"/>
          <w:szCs w:val="24"/>
        </w:rPr>
        <w:t>s cause of action is not founded in delict, or unjustified enrichment. The refer</w:t>
      </w:r>
      <w:r w:rsidR="00BE079B" w:rsidRPr="00B97A4E">
        <w:rPr>
          <w:rFonts w:ascii="Arial" w:hAnsi="Arial" w:cs="Arial"/>
          <w:sz w:val="24"/>
          <w:szCs w:val="24"/>
        </w:rPr>
        <w:t>e</w:t>
      </w:r>
      <w:r w:rsidR="00005900" w:rsidRPr="00B97A4E">
        <w:rPr>
          <w:rFonts w:ascii="Arial" w:hAnsi="Arial" w:cs="Arial"/>
          <w:sz w:val="24"/>
          <w:szCs w:val="24"/>
        </w:rPr>
        <w:t xml:space="preserve">nces to her suffering damages </w:t>
      </w:r>
      <w:r w:rsidR="00005900" w:rsidRPr="00B97A4E">
        <w:rPr>
          <w:rFonts w:ascii="Arial" w:hAnsi="Arial" w:cs="Arial"/>
          <w:sz w:val="24"/>
          <w:szCs w:val="24"/>
        </w:rPr>
        <w:lastRenderedPageBreak/>
        <w:t xml:space="preserve">and the plaintiff being unjustly enriched if the amounts he </w:t>
      </w:r>
      <w:r w:rsidR="00BE079B" w:rsidRPr="00B97A4E">
        <w:rPr>
          <w:rFonts w:ascii="Arial" w:hAnsi="Arial" w:cs="Arial"/>
          <w:sz w:val="24"/>
          <w:szCs w:val="24"/>
        </w:rPr>
        <w:t xml:space="preserve">diverted from his personal estate are not taken into account when the accrual is determined, do not purport to define the nature of the relief she seeks, but the consequences she will suffer if it is not granted. For this reason, and having regard to the nature of an accrual claim as a </w:t>
      </w:r>
      <w:r w:rsidR="00E36AEE" w:rsidRPr="00B97A4E">
        <w:rPr>
          <w:rFonts w:ascii="Arial" w:hAnsi="Arial" w:cs="Arial"/>
          <w:sz w:val="24"/>
          <w:szCs w:val="24"/>
        </w:rPr>
        <w:t>'</w:t>
      </w:r>
      <w:r w:rsidR="00BE079B" w:rsidRPr="00B97A4E">
        <w:rPr>
          <w:rFonts w:ascii="Arial" w:hAnsi="Arial" w:cs="Arial"/>
          <w:sz w:val="24"/>
          <w:szCs w:val="24"/>
        </w:rPr>
        <w:t xml:space="preserve">deferred </w:t>
      </w:r>
      <w:r w:rsidR="00334399" w:rsidRPr="00B97A4E">
        <w:rPr>
          <w:rFonts w:ascii="Arial" w:hAnsi="Arial" w:cs="Arial"/>
          <w:sz w:val="24"/>
          <w:szCs w:val="24"/>
        </w:rPr>
        <w:t>equalisation</w:t>
      </w:r>
      <w:r w:rsidR="00BE079B" w:rsidRPr="00B97A4E">
        <w:rPr>
          <w:rFonts w:ascii="Arial" w:hAnsi="Arial" w:cs="Arial"/>
          <w:sz w:val="24"/>
          <w:szCs w:val="24"/>
        </w:rPr>
        <w:t xml:space="preserve"> claim</w:t>
      </w:r>
      <w:r w:rsidR="00E36AEE" w:rsidRPr="00B97A4E">
        <w:rPr>
          <w:rFonts w:ascii="Arial" w:hAnsi="Arial" w:cs="Arial"/>
          <w:sz w:val="24"/>
          <w:szCs w:val="24"/>
        </w:rPr>
        <w:t>'</w:t>
      </w:r>
      <w:r w:rsidR="00BE079B" w:rsidRPr="00B97A4E">
        <w:rPr>
          <w:rFonts w:ascii="Arial" w:hAnsi="Arial" w:cs="Arial"/>
          <w:sz w:val="24"/>
          <w:szCs w:val="24"/>
        </w:rPr>
        <w:t xml:space="preserve"> </w:t>
      </w:r>
      <w:r w:rsidR="005C1C06" w:rsidRPr="00B97A4E">
        <w:rPr>
          <w:rFonts w:ascii="Arial" w:hAnsi="Arial" w:cs="Arial"/>
          <w:sz w:val="24"/>
          <w:szCs w:val="24"/>
        </w:rPr>
        <w:t xml:space="preserve">founded in the Matrimonial Property Act, </w:t>
      </w:r>
      <w:r w:rsidR="00BE079B" w:rsidRPr="00B97A4E">
        <w:rPr>
          <w:rFonts w:ascii="Arial" w:hAnsi="Arial" w:cs="Arial"/>
          <w:sz w:val="24"/>
          <w:szCs w:val="24"/>
        </w:rPr>
        <w:t xml:space="preserve">the counterclaim does disclose a cause of action. The allegations made in the paragraphs referred to in the </w:t>
      </w:r>
      <w:r w:rsidR="005C1C06" w:rsidRPr="00B97A4E">
        <w:rPr>
          <w:rFonts w:ascii="Arial" w:hAnsi="Arial" w:cs="Arial"/>
          <w:sz w:val="24"/>
          <w:szCs w:val="24"/>
        </w:rPr>
        <w:t>fourth, sixth</w:t>
      </w:r>
      <w:r w:rsidR="00513E0B" w:rsidRPr="00B97A4E">
        <w:rPr>
          <w:rFonts w:ascii="Arial" w:hAnsi="Arial" w:cs="Arial"/>
          <w:sz w:val="24"/>
          <w:szCs w:val="24"/>
        </w:rPr>
        <w:t>,</w:t>
      </w:r>
      <w:r w:rsidR="00F25058" w:rsidRPr="00B97A4E">
        <w:rPr>
          <w:rFonts w:ascii="Arial" w:hAnsi="Arial" w:cs="Arial"/>
          <w:sz w:val="24"/>
          <w:szCs w:val="24"/>
        </w:rPr>
        <w:t xml:space="preserve"> and eleventh</w:t>
      </w:r>
      <w:r w:rsidR="005C1C06" w:rsidRPr="00B97A4E">
        <w:rPr>
          <w:rFonts w:ascii="Arial" w:hAnsi="Arial" w:cs="Arial"/>
          <w:sz w:val="24"/>
          <w:szCs w:val="24"/>
        </w:rPr>
        <w:t xml:space="preserve"> exception</w:t>
      </w:r>
      <w:r w:rsidR="00F25058" w:rsidRPr="00B97A4E">
        <w:rPr>
          <w:rFonts w:ascii="Arial" w:hAnsi="Arial" w:cs="Arial"/>
          <w:sz w:val="24"/>
          <w:szCs w:val="24"/>
        </w:rPr>
        <w:t>s</w:t>
      </w:r>
      <w:r w:rsidR="00BE079B" w:rsidRPr="00B97A4E">
        <w:rPr>
          <w:rFonts w:ascii="Arial" w:hAnsi="Arial" w:cs="Arial"/>
          <w:sz w:val="24"/>
          <w:szCs w:val="24"/>
        </w:rPr>
        <w:t xml:space="preserve"> are </w:t>
      </w:r>
      <w:r w:rsidR="005C1C06" w:rsidRPr="00B97A4E">
        <w:rPr>
          <w:rFonts w:ascii="Arial" w:hAnsi="Arial" w:cs="Arial"/>
          <w:sz w:val="24"/>
          <w:szCs w:val="24"/>
        </w:rPr>
        <w:t xml:space="preserve">also </w:t>
      </w:r>
      <w:r w:rsidR="00334399" w:rsidRPr="00B97A4E">
        <w:rPr>
          <w:rFonts w:ascii="Arial" w:hAnsi="Arial" w:cs="Arial"/>
          <w:sz w:val="24"/>
          <w:szCs w:val="24"/>
        </w:rPr>
        <w:t xml:space="preserve">not </w:t>
      </w:r>
      <w:r w:rsidR="00F25058" w:rsidRPr="00B97A4E">
        <w:rPr>
          <w:rFonts w:ascii="Arial" w:hAnsi="Arial" w:cs="Arial"/>
          <w:sz w:val="24"/>
          <w:szCs w:val="24"/>
        </w:rPr>
        <w:t xml:space="preserve">so </w:t>
      </w:r>
      <w:r w:rsidR="00334399" w:rsidRPr="00B97A4E">
        <w:rPr>
          <w:rFonts w:ascii="Arial" w:hAnsi="Arial" w:cs="Arial"/>
          <w:sz w:val="24"/>
          <w:szCs w:val="24"/>
        </w:rPr>
        <w:t xml:space="preserve">vague and </w:t>
      </w:r>
      <w:r w:rsidR="00F25058" w:rsidRPr="00B97A4E">
        <w:rPr>
          <w:rFonts w:ascii="Arial" w:hAnsi="Arial" w:cs="Arial"/>
          <w:sz w:val="24"/>
          <w:szCs w:val="24"/>
        </w:rPr>
        <w:t xml:space="preserve">lacking in clarity that the plaintiff will be substantially </w:t>
      </w:r>
      <w:r w:rsidR="00DC09E0" w:rsidRPr="00B97A4E">
        <w:rPr>
          <w:rFonts w:ascii="Arial" w:hAnsi="Arial" w:cs="Arial"/>
          <w:sz w:val="24"/>
          <w:szCs w:val="24"/>
        </w:rPr>
        <w:t>embarrassed</w:t>
      </w:r>
      <w:r w:rsidR="00F25058" w:rsidRPr="00B97A4E">
        <w:rPr>
          <w:rFonts w:ascii="Arial" w:hAnsi="Arial" w:cs="Arial"/>
          <w:sz w:val="24"/>
          <w:szCs w:val="24"/>
        </w:rPr>
        <w:t xml:space="preserve"> if required to plead thereto.</w:t>
      </w:r>
    </w:p>
    <w:p w14:paraId="13D4387D" w14:textId="77777777" w:rsidR="005C1C06" w:rsidRPr="00BF6075" w:rsidRDefault="005C1C06" w:rsidP="005C1C06">
      <w:pPr>
        <w:pStyle w:val="ListParagraph"/>
        <w:rPr>
          <w:rFonts w:ascii="Arial" w:hAnsi="Arial" w:cs="Arial"/>
          <w:sz w:val="24"/>
          <w:szCs w:val="24"/>
        </w:rPr>
      </w:pPr>
    </w:p>
    <w:p w14:paraId="0BE5A3AE" w14:textId="53689F04" w:rsidR="005C1C06"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[29]</w:t>
      </w:r>
      <w:r w:rsidRPr="00BF6075">
        <w:rPr>
          <w:rFonts w:ascii="Arial" w:hAnsi="Arial" w:cs="Arial"/>
          <w:sz w:val="24"/>
          <w:szCs w:val="24"/>
        </w:rPr>
        <w:tab/>
      </w:r>
      <w:r w:rsidR="005C1C06" w:rsidRPr="00B97A4E">
        <w:rPr>
          <w:rFonts w:ascii="Arial" w:hAnsi="Arial" w:cs="Arial"/>
          <w:sz w:val="24"/>
          <w:szCs w:val="24"/>
        </w:rPr>
        <w:t xml:space="preserve">The nature of the relief sought likewise impacts on the consideration of the first, second, and eighth grounds of exception. The defendant does not </w:t>
      </w:r>
      <w:r w:rsidR="00513E0B" w:rsidRPr="00B97A4E">
        <w:rPr>
          <w:rFonts w:ascii="Arial" w:hAnsi="Arial" w:cs="Arial"/>
          <w:sz w:val="24"/>
          <w:szCs w:val="24"/>
        </w:rPr>
        <w:t>seek</w:t>
      </w:r>
      <w:r w:rsidR="005C1C06" w:rsidRPr="00B97A4E">
        <w:rPr>
          <w:rFonts w:ascii="Arial" w:hAnsi="Arial" w:cs="Arial"/>
          <w:sz w:val="24"/>
          <w:szCs w:val="24"/>
        </w:rPr>
        <w:t xml:space="preserve"> an order that the trust assets or the amount invested in the living annuity with Investec be regarded as assets of the defendant</w:t>
      </w:r>
      <w:r w:rsidR="00E36AEE" w:rsidRPr="00B97A4E">
        <w:rPr>
          <w:rFonts w:ascii="Arial" w:hAnsi="Arial" w:cs="Arial"/>
          <w:sz w:val="24"/>
          <w:szCs w:val="24"/>
        </w:rPr>
        <w:t>'</w:t>
      </w:r>
      <w:r w:rsidR="005C1C06" w:rsidRPr="00B97A4E">
        <w:rPr>
          <w:rFonts w:ascii="Arial" w:hAnsi="Arial" w:cs="Arial"/>
          <w:sz w:val="24"/>
          <w:szCs w:val="24"/>
        </w:rPr>
        <w:t xml:space="preserve">s personal estate. She seeks an order that the amounts donated to the trust and invested with Investec be taken into account when the accrual claim is determined. She claims, and intends to make out a case that the amounts were diverted with the intention to </w:t>
      </w:r>
      <w:r w:rsidR="00334399" w:rsidRPr="00B97A4E">
        <w:rPr>
          <w:rFonts w:ascii="Arial" w:hAnsi="Arial" w:cs="Arial"/>
          <w:sz w:val="24"/>
          <w:szCs w:val="24"/>
        </w:rPr>
        <w:t>diminish the value of the plaintiff</w:t>
      </w:r>
      <w:r w:rsidR="00E36AEE" w:rsidRPr="00B97A4E">
        <w:rPr>
          <w:rFonts w:ascii="Arial" w:hAnsi="Arial" w:cs="Arial"/>
          <w:sz w:val="24"/>
          <w:szCs w:val="24"/>
        </w:rPr>
        <w:t>'</w:t>
      </w:r>
      <w:r w:rsidR="00334399" w:rsidRPr="00B97A4E">
        <w:rPr>
          <w:rFonts w:ascii="Arial" w:hAnsi="Arial" w:cs="Arial"/>
          <w:sz w:val="24"/>
          <w:szCs w:val="24"/>
        </w:rPr>
        <w:t xml:space="preserve">s </w:t>
      </w:r>
      <w:r w:rsidR="00E93EED" w:rsidRPr="00B97A4E">
        <w:rPr>
          <w:rFonts w:ascii="Arial" w:hAnsi="Arial" w:cs="Arial"/>
          <w:sz w:val="24"/>
          <w:szCs w:val="24"/>
        </w:rPr>
        <w:t>personal estate. In this context</w:t>
      </w:r>
      <w:r w:rsidR="00513E0B" w:rsidRPr="00B97A4E">
        <w:rPr>
          <w:rFonts w:ascii="Arial" w:hAnsi="Arial" w:cs="Arial"/>
          <w:sz w:val="24"/>
          <w:szCs w:val="24"/>
        </w:rPr>
        <w:t>,</w:t>
      </w:r>
      <w:r w:rsidR="00E93EED" w:rsidRPr="00B97A4E">
        <w:rPr>
          <w:rFonts w:ascii="Arial" w:hAnsi="Arial" w:cs="Arial"/>
          <w:sz w:val="24"/>
          <w:szCs w:val="24"/>
        </w:rPr>
        <w:t xml:space="preserve"> neither the trust nor In</w:t>
      </w:r>
      <w:r w:rsidR="00334399" w:rsidRPr="00B97A4E">
        <w:rPr>
          <w:rFonts w:ascii="Arial" w:hAnsi="Arial" w:cs="Arial"/>
          <w:sz w:val="24"/>
          <w:szCs w:val="24"/>
        </w:rPr>
        <w:t>vestec has a direct interest in</w:t>
      </w:r>
      <w:r w:rsidR="00E93EED" w:rsidRPr="00B97A4E">
        <w:rPr>
          <w:rFonts w:ascii="Arial" w:hAnsi="Arial" w:cs="Arial"/>
          <w:sz w:val="24"/>
          <w:szCs w:val="24"/>
        </w:rPr>
        <w:t xml:space="preserve"> the relief sought and the fact that they are not parties to these proceedings </w:t>
      </w:r>
      <w:r w:rsidR="00513E0B" w:rsidRPr="00B97A4E">
        <w:rPr>
          <w:rFonts w:ascii="Arial" w:hAnsi="Arial" w:cs="Arial"/>
          <w:sz w:val="24"/>
          <w:szCs w:val="24"/>
        </w:rPr>
        <w:t>does</w:t>
      </w:r>
      <w:r w:rsidR="00E93EED" w:rsidRPr="00B97A4E">
        <w:rPr>
          <w:rFonts w:ascii="Arial" w:hAnsi="Arial" w:cs="Arial"/>
          <w:sz w:val="24"/>
          <w:szCs w:val="24"/>
        </w:rPr>
        <w:t xml:space="preserve"> not render the defendant</w:t>
      </w:r>
      <w:r w:rsidR="00E36AEE" w:rsidRPr="00B97A4E">
        <w:rPr>
          <w:rFonts w:ascii="Arial" w:hAnsi="Arial" w:cs="Arial"/>
          <w:sz w:val="24"/>
          <w:szCs w:val="24"/>
        </w:rPr>
        <w:t>'</w:t>
      </w:r>
      <w:r w:rsidR="00E93EED" w:rsidRPr="00B97A4E">
        <w:rPr>
          <w:rFonts w:ascii="Arial" w:hAnsi="Arial" w:cs="Arial"/>
          <w:sz w:val="24"/>
          <w:szCs w:val="24"/>
        </w:rPr>
        <w:t xml:space="preserve">s claim </w:t>
      </w:r>
      <w:proofErr w:type="spellStart"/>
      <w:r w:rsidR="00E93EED" w:rsidRPr="00B97A4E">
        <w:rPr>
          <w:rFonts w:ascii="Arial" w:hAnsi="Arial" w:cs="Arial"/>
          <w:sz w:val="24"/>
          <w:szCs w:val="24"/>
        </w:rPr>
        <w:t>excipiable</w:t>
      </w:r>
      <w:proofErr w:type="spellEnd"/>
      <w:r w:rsidR="00E93EED" w:rsidRPr="00B97A4E">
        <w:rPr>
          <w:rFonts w:ascii="Arial" w:hAnsi="Arial" w:cs="Arial"/>
          <w:sz w:val="24"/>
          <w:szCs w:val="24"/>
        </w:rPr>
        <w:t>.</w:t>
      </w:r>
      <w:r w:rsidR="00334399" w:rsidRPr="00BF6075">
        <w:rPr>
          <w:rStyle w:val="FootnoteReference"/>
          <w:rFonts w:ascii="Arial" w:hAnsi="Arial" w:cs="Arial"/>
          <w:sz w:val="24"/>
          <w:szCs w:val="24"/>
        </w:rPr>
        <w:footnoteReference w:id="19"/>
      </w:r>
      <w:r w:rsidR="00E93EED" w:rsidRPr="00B97A4E">
        <w:rPr>
          <w:rFonts w:ascii="Arial" w:hAnsi="Arial" w:cs="Arial"/>
          <w:sz w:val="24"/>
          <w:szCs w:val="24"/>
        </w:rPr>
        <w:t xml:space="preserve"> The facts as stated in the counterclaim </w:t>
      </w:r>
      <w:r w:rsidR="00513E0B" w:rsidRPr="00B97A4E">
        <w:rPr>
          <w:rFonts w:ascii="Arial" w:hAnsi="Arial" w:cs="Arial"/>
          <w:sz w:val="24"/>
          <w:szCs w:val="24"/>
        </w:rPr>
        <w:t>differ</w:t>
      </w:r>
      <w:r w:rsidR="00E93EED" w:rsidRPr="00B97A4E">
        <w:rPr>
          <w:rFonts w:ascii="Arial" w:hAnsi="Arial" w:cs="Arial"/>
          <w:sz w:val="24"/>
          <w:szCs w:val="24"/>
        </w:rPr>
        <w:t xml:space="preserve"> from the facts underpinning the SCA</w:t>
      </w:r>
      <w:r w:rsidR="00E36AEE" w:rsidRPr="00B97A4E">
        <w:rPr>
          <w:rFonts w:ascii="Arial" w:hAnsi="Arial" w:cs="Arial"/>
          <w:sz w:val="24"/>
          <w:szCs w:val="24"/>
        </w:rPr>
        <w:t>'</w:t>
      </w:r>
      <w:r w:rsidR="00E93EED" w:rsidRPr="00B97A4E">
        <w:rPr>
          <w:rFonts w:ascii="Arial" w:hAnsi="Arial" w:cs="Arial"/>
          <w:sz w:val="24"/>
          <w:szCs w:val="24"/>
        </w:rPr>
        <w:t xml:space="preserve">s recent judgment in </w:t>
      </w:r>
      <w:r w:rsidR="00E93EED" w:rsidRPr="00B97A4E">
        <w:rPr>
          <w:rFonts w:ascii="Arial" w:hAnsi="Arial" w:cs="Arial"/>
          <w:i/>
          <w:sz w:val="24"/>
          <w:szCs w:val="24"/>
        </w:rPr>
        <w:t>MJ K v II K</w:t>
      </w:r>
      <w:r w:rsidR="00E93EED" w:rsidRPr="00B97A4E">
        <w:rPr>
          <w:rFonts w:ascii="Arial" w:hAnsi="Arial" w:cs="Arial"/>
          <w:sz w:val="24"/>
          <w:szCs w:val="24"/>
        </w:rPr>
        <w:t>,</w:t>
      </w:r>
      <w:r w:rsidR="00E93EED" w:rsidRPr="00BF6075">
        <w:rPr>
          <w:rStyle w:val="FootnoteReference"/>
          <w:rFonts w:ascii="Arial" w:hAnsi="Arial" w:cs="Arial"/>
          <w:sz w:val="24"/>
          <w:szCs w:val="24"/>
        </w:rPr>
        <w:footnoteReference w:id="20"/>
      </w:r>
      <w:r w:rsidR="00E93EED" w:rsidRPr="00B97A4E">
        <w:rPr>
          <w:rFonts w:ascii="Arial" w:hAnsi="Arial" w:cs="Arial"/>
          <w:sz w:val="24"/>
          <w:szCs w:val="24"/>
        </w:rPr>
        <w:t xml:space="preserve"> </w:t>
      </w:r>
      <w:r w:rsidR="00650D16" w:rsidRPr="00B97A4E">
        <w:rPr>
          <w:rFonts w:ascii="Arial" w:hAnsi="Arial" w:cs="Arial"/>
          <w:sz w:val="24"/>
          <w:szCs w:val="24"/>
        </w:rPr>
        <w:t xml:space="preserve">where the trustees were joined </w:t>
      </w:r>
      <w:r w:rsidR="00334399" w:rsidRPr="00B97A4E">
        <w:rPr>
          <w:rFonts w:ascii="Arial" w:hAnsi="Arial" w:cs="Arial"/>
          <w:sz w:val="24"/>
          <w:szCs w:val="24"/>
        </w:rPr>
        <w:t>to the proceedings</w:t>
      </w:r>
      <w:r w:rsidR="00650D16" w:rsidRPr="00B97A4E">
        <w:rPr>
          <w:rFonts w:ascii="Arial" w:hAnsi="Arial" w:cs="Arial"/>
          <w:sz w:val="24"/>
          <w:szCs w:val="24"/>
        </w:rPr>
        <w:t xml:space="preserve">. In </w:t>
      </w:r>
      <w:r w:rsidR="00650D16" w:rsidRPr="00B97A4E">
        <w:rPr>
          <w:rFonts w:ascii="Arial" w:hAnsi="Arial" w:cs="Arial"/>
          <w:i/>
          <w:sz w:val="24"/>
          <w:szCs w:val="24"/>
        </w:rPr>
        <w:t>MJ</w:t>
      </w:r>
      <w:r w:rsidR="00E36AEE" w:rsidRPr="00B97A4E">
        <w:rPr>
          <w:rFonts w:ascii="Arial" w:hAnsi="Arial" w:cs="Arial"/>
          <w:i/>
          <w:sz w:val="24"/>
          <w:szCs w:val="24"/>
        </w:rPr>
        <w:t xml:space="preserve"> </w:t>
      </w:r>
      <w:r w:rsidR="00650D16" w:rsidRPr="00B97A4E">
        <w:rPr>
          <w:rFonts w:ascii="Arial" w:hAnsi="Arial" w:cs="Arial"/>
          <w:i/>
          <w:sz w:val="24"/>
          <w:szCs w:val="24"/>
        </w:rPr>
        <w:t xml:space="preserve">K </w:t>
      </w:r>
      <w:r w:rsidR="00650D16" w:rsidRPr="00B97A4E">
        <w:rPr>
          <w:rFonts w:ascii="Arial" w:hAnsi="Arial" w:cs="Arial"/>
          <w:sz w:val="24"/>
          <w:szCs w:val="24"/>
        </w:rPr>
        <w:t xml:space="preserve"> </w:t>
      </w:r>
      <w:r w:rsidR="00E93EED" w:rsidRPr="00B97A4E">
        <w:rPr>
          <w:rFonts w:ascii="Arial" w:hAnsi="Arial" w:cs="Arial"/>
          <w:sz w:val="24"/>
          <w:szCs w:val="24"/>
        </w:rPr>
        <w:t xml:space="preserve"> it is stated in paragraph 8 of the judgment that </w:t>
      </w:r>
      <w:r w:rsidR="00E36AEE" w:rsidRPr="00B97A4E">
        <w:rPr>
          <w:rFonts w:ascii="Arial" w:hAnsi="Arial" w:cs="Arial"/>
          <w:sz w:val="24"/>
          <w:szCs w:val="24"/>
        </w:rPr>
        <w:t>'</w:t>
      </w:r>
      <w:r w:rsidR="00E93EED" w:rsidRPr="00B97A4E">
        <w:rPr>
          <w:rFonts w:ascii="Arial" w:hAnsi="Arial" w:cs="Arial"/>
          <w:sz w:val="24"/>
          <w:szCs w:val="24"/>
        </w:rPr>
        <w:t>the respondent testified that she joined the trusts and the CC to the divorce proceedings because she felt that she had contributed more than her share during the marriage to the appellant and was entitled to a share in these entities.</w:t>
      </w:r>
      <w:r w:rsidR="00E36AEE" w:rsidRPr="00B97A4E">
        <w:rPr>
          <w:rFonts w:ascii="Arial" w:hAnsi="Arial" w:cs="Arial"/>
          <w:sz w:val="24"/>
          <w:szCs w:val="24"/>
        </w:rPr>
        <w:t>'</w:t>
      </w:r>
      <w:r w:rsidR="00E93EED" w:rsidRPr="00B97A4E">
        <w:rPr>
          <w:rFonts w:ascii="Arial" w:hAnsi="Arial" w:cs="Arial"/>
          <w:sz w:val="24"/>
          <w:szCs w:val="24"/>
        </w:rPr>
        <w:t xml:space="preserve"> In addition</w:t>
      </w:r>
      <w:r w:rsidR="00E36AEE" w:rsidRPr="00B97A4E">
        <w:rPr>
          <w:rFonts w:ascii="Arial" w:hAnsi="Arial" w:cs="Arial"/>
          <w:sz w:val="24"/>
          <w:szCs w:val="24"/>
        </w:rPr>
        <w:t>,</w:t>
      </w:r>
      <w:r w:rsidR="00E93EED" w:rsidRPr="00B97A4E">
        <w:rPr>
          <w:rFonts w:ascii="Arial" w:hAnsi="Arial" w:cs="Arial"/>
          <w:sz w:val="24"/>
          <w:szCs w:val="24"/>
        </w:rPr>
        <w:t xml:space="preserve"> the trusts i</w:t>
      </w:r>
      <w:r w:rsidR="00334399" w:rsidRPr="00B97A4E">
        <w:rPr>
          <w:rFonts w:ascii="Arial" w:hAnsi="Arial" w:cs="Arial"/>
          <w:sz w:val="24"/>
          <w:szCs w:val="24"/>
        </w:rPr>
        <w:t>n question were formed in 1999</w:t>
      </w:r>
      <w:r w:rsidR="00E36AEE" w:rsidRPr="00B97A4E">
        <w:rPr>
          <w:rFonts w:ascii="Arial" w:hAnsi="Arial" w:cs="Arial"/>
          <w:sz w:val="24"/>
          <w:szCs w:val="24"/>
        </w:rPr>
        <w:t>,</w:t>
      </w:r>
      <w:r w:rsidR="00334399" w:rsidRPr="00B97A4E">
        <w:rPr>
          <w:rFonts w:ascii="Arial" w:hAnsi="Arial" w:cs="Arial"/>
          <w:sz w:val="24"/>
          <w:szCs w:val="24"/>
        </w:rPr>
        <w:t xml:space="preserve"> s</w:t>
      </w:r>
      <w:r w:rsidR="00E93EED" w:rsidRPr="00B97A4E">
        <w:rPr>
          <w:rFonts w:ascii="Arial" w:hAnsi="Arial" w:cs="Arial"/>
          <w:sz w:val="24"/>
          <w:szCs w:val="24"/>
        </w:rPr>
        <w:t>hortly after the parties</w:t>
      </w:r>
      <w:r w:rsidR="00E36AEE" w:rsidRPr="00B97A4E">
        <w:rPr>
          <w:rFonts w:ascii="Arial" w:hAnsi="Arial" w:cs="Arial"/>
          <w:sz w:val="24"/>
          <w:szCs w:val="24"/>
        </w:rPr>
        <w:t>'</w:t>
      </w:r>
      <w:r w:rsidR="00E93EED" w:rsidRPr="00B97A4E">
        <w:rPr>
          <w:rFonts w:ascii="Arial" w:hAnsi="Arial" w:cs="Arial"/>
          <w:sz w:val="24"/>
          <w:szCs w:val="24"/>
        </w:rPr>
        <w:t xml:space="preserve"> marriage in </w:t>
      </w:r>
      <w:r w:rsidR="00650D16" w:rsidRPr="00B97A4E">
        <w:rPr>
          <w:rFonts w:ascii="Arial" w:hAnsi="Arial" w:cs="Arial"/>
          <w:sz w:val="24"/>
          <w:szCs w:val="24"/>
        </w:rPr>
        <w:t>1993. The shares in the CC were also bought in 1999.</w:t>
      </w:r>
      <w:r w:rsidR="00E93EED" w:rsidRPr="00B97A4E">
        <w:rPr>
          <w:rFonts w:ascii="Arial" w:hAnsi="Arial" w:cs="Arial"/>
          <w:sz w:val="24"/>
          <w:szCs w:val="24"/>
        </w:rPr>
        <w:t xml:space="preserve"> </w:t>
      </w:r>
      <w:r w:rsidR="00BF7FD2" w:rsidRPr="00B97A4E">
        <w:rPr>
          <w:rFonts w:ascii="Arial" w:hAnsi="Arial" w:cs="Arial"/>
          <w:i/>
          <w:sz w:val="24"/>
          <w:szCs w:val="24"/>
        </w:rPr>
        <w:t xml:space="preserve">MJ K </w:t>
      </w:r>
      <w:r w:rsidR="00BF7FD2" w:rsidRPr="00B97A4E">
        <w:rPr>
          <w:rFonts w:ascii="Arial" w:hAnsi="Arial" w:cs="Arial"/>
          <w:sz w:val="24"/>
          <w:szCs w:val="24"/>
        </w:rPr>
        <w:t xml:space="preserve">is </w:t>
      </w:r>
      <w:r w:rsidR="00334399" w:rsidRPr="00B97A4E">
        <w:rPr>
          <w:rFonts w:ascii="Arial" w:hAnsi="Arial" w:cs="Arial"/>
          <w:sz w:val="24"/>
          <w:szCs w:val="24"/>
        </w:rPr>
        <w:t>not auth</w:t>
      </w:r>
      <w:r w:rsidR="00BF7FD2" w:rsidRPr="00B97A4E">
        <w:rPr>
          <w:rFonts w:ascii="Arial" w:hAnsi="Arial" w:cs="Arial"/>
          <w:sz w:val="24"/>
          <w:szCs w:val="24"/>
        </w:rPr>
        <w:t>ority substantiating an a</w:t>
      </w:r>
      <w:r w:rsidR="00E36AEE" w:rsidRPr="00B97A4E">
        <w:rPr>
          <w:rFonts w:ascii="Arial" w:hAnsi="Arial" w:cs="Arial"/>
          <w:sz w:val="24"/>
          <w:szCs w:val="24"/>
        </w:rPr>
        <w:t>r</w:t>
      </w:r>
      <w:r w:rsidR="00BF7FD2" w:rsidRPr="00B97A4E">
        <w:rPr>
          <w:rFonts w:ascii="Arial" w:hAnsi="Arial" w:cs="Arial"/>
          <w:sz w:val="24"/>
          <w:szCs w:val="24"/>
        </w:rPr>
        <w:t xml:space="preserve">gument that the defendant, in the particular facts of </w:t>
      </w:r>
      <w:r w:rsidR="00BF7FD2" w:rsidRPr="00B97A4E">
        <w:rPr>
          <w:rFonts w:ascii="Arial" w:hAnsi="Arial" w:cs="Arial"/>
          <w:sz w:val="24"/>
          <w:szCs w:val="24"/>
        </w:rPr>
        <w:lastRenderedPageBreak/>
        <w:t xml:space="preserve">this case, ought to have pleaded that the trust was a sham to </w:t>
      </w:r>
      <w:r w:rsidR="00334399" w:rsidRPr="00B97A4E">
        <w:rPr>
          <w:rFonts w:ascii="Arial" w:hAnsi="Arial" w:cs="Arial"/>
          <w:sz w:val="24"/>
          <w:szCs w:val="24"/>
        </w:rPr>
        <w:t>seek the relief that is sought, or that the trustees had to be joined to the proceedings.</w:t>
      </w:r>
    </w:p>
    <w:p w14:paraId="50F108A7" w14:textId="77777777" w:rsidR="00334399" w:rsidRPr="00BF6075" w:rsidRDefault="00334399" w:rsidP="00334399">
      <w:pPr>
        <w:pStyle w:val="ListParagraph"/>
        <w:tabs>
          <w:tab w:val="left" w:pos="4917"/>
        </w:tabs>
        <w:spacing w:before="120" w:after="120" w:line="360" w:lineRule="auto"/>
        <w:jc w:val="both"/>
        <w:rPr>
          <w:rFonts w:ascii="Arial" w:hAnsi="Arial" w:cs="Arial"/>
          <w:sz w:val="24"/>
          <w:szCs w:val="24"/>
        </w:rPr>
      </w:pPr>
    </w:p>
    <w:p w14:paraId="00317067" w14:textId="19A4A257" w:rsidR="006147F9"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[30]</w:t>
      </w:r>
      <w:r w:rsidRPr="00BF6075">
        <w:rPr>
          <w:rFonts w:ascii="Arial" w:hAnsi="Arial" w:cs="Arial"/>
          <w:sz w:val="24"/>
          <w:szCs w:val="24"/>
        </w:rPr>
        <w:tab/>
      </w:r>
      <w:r w:rsidR="00233EF4" w:rsidRPr="00B97A4E">
        <w:rPr>
          <w:rFonts w:ascii="Arial" w:hAnsi="Arial" w:cs="Arial"/>
          <w:sz w:val="24"/>
          <w:szCs w:val="24"/>
        </w:rPr>
        <w:t xml:space="preserve">It is trite that pleadings must be read as a whole, and that no paragraph can be read in isolation. </w:t>
      </w:r>
      <w:r w:rsidR="00233EF4" w:rsidRPr="00B97A4E">
        <w:rPr>
          <w:rFonts w:ascii="Arial" w:hAnsi="Arial" w:cs="Arial"/>
          <w:color w:val="242121"/>
          <w:sz w:val="24"/>
          <w:szCs w:val="24"/>
          <w:shd w:val="clear" w:color="auto" w:fill="FFFFFF"/>
        </w:rPr>
        <w:t>The third, fifth</w:t>
      </w:r>
      <w:r w:rsidR="006147F9" w:rsidRPr="00B97A4E">
        <w:rPr>
          <w:rFonts w:ascii="Arial" w:hAnsi="Arial" w:cs="Arial"/>
          <w:color w:val="242121"/>
          <w:sz w:val="24"/>
          <w:szCs w:val="24"/>
          <w:shd w:val="clear" w:color="auto" w:fill="FFFFFF"/>
        </w:rPr>
        <w:t>,</w:t>
      </w:r>
      <w:r w:rsidR="00233EF4" w:rsidRPr="00B97A4E">
        <w:rPr>
          <w:rFonts w:ascii="Arial" w:hAnsi="Arial" w:cs="Arial"/>
          <w:color w:val="242121"/>
          <w:sz w:val="24"/>
          <w:szCs w:val="24"/>
          <w:shd w:val="clear" w:color="auto" w:fill="FFFFFF"/>
        </w:rPr>
        <w:t xml:space="preserve"> and twelfth exceptions were raised </w:t>
      </w:r>
      <w:r w:rsidR="006147F9" w:rsidRPr="00B97A4E">
        <w:rPr>
          <w:rFonts w:ascii="Arial" w:hAnsi="Arial" w:cs="Arial"/>
          <w:color w:val="242121"/>
          <w:sz w:val="24"/>
          <w:szCs w:val="24"/>
          <w:shd w:val="clear" w:color="auto" w:fill="FFFFFF"/>
        </w:rPr>
        <w:t>because</w:t>
      </w:r>
      <w:r w:rsidR="00233EF4" w:rsidRPr="00B97A4E">
        <w:rPr>
          <w:rFonts w:ascii="Arial" w:hAnsi="Arial" w:cs="Arial"/>
          <w:color w:val="242121"/>
          <w:sz w:val="24"/>
          <w:szCs w:val="24"/>
          <w:shd w:val="clear" w:color="auto" w:fill="FFFFFF"/>
        </w:rPr>
        <w:t xml:space="preserve"> the plaintiff focused on individual paragraphs of the defendant</w:t>
      </w:r>
      <w:r w:rsidR="00E36AEE" w:rsidRPr="00B97A4E">
        <w:rPr>
          <w:rFonts w:ascii="Arial" w:hAnsi="Arial" w:cs="Arial"/>
          <w:color w:val="242121"/>
          <w:sz w:val="24"/>
          <w:szCs w:val="24"/>
          <w:shd w:val="clear" w:color="auto" w:fill="FFFFFF"/>
        </w:rPr>
        <w:t>'</w:t>
      </w:r>
      <w:r w:rsidR="00233EF4" w:rsidRPr="00B97A4E">
        <w:rPr>
          <w:rFonts w:ascii="Arial" w:hAnsi="Arial" w:cs="Arial"/>
          <w:color w:val="242121"/>
          <w:sz w:val="24"/>
          <w:szCs w:val="24"/>
          <w:shd w:val="clear" w:color="auto" w:fill="FFFFFF"/>
        </w:rPr>
        <w:t>s amended counterclaim instead of considering the counterclaim as a whole. The defendant states in par</w:t>
      </w:r>
      <w:r w:rsidR="00F25058" w:rsidRPr="00B97A4E">
        <w:rPr>
          <w:rFonts w:ascii="Arial" w:hAnsi="Arial" w:cs="Arial"/>
          <w:color w:val="242121"/>
          <w:sz w:val="24"/>
          <w:szCs w:val="24"/>
          <w:shd w:val="clear" w:color="auto" w:fill="FFFFFF"/>
        </w:rPr>
        <w:t xml:space="preserve">agraph 11 of the counterclaim: </w:t>
      </w:r>
      <w:r w:rsidR="00E36AEE" w:rsidRPr="00B97A4E">
        <w:rPr>
          <w:rFonts w:ascii="Arial" w:hAnsi="Arial" w:cs="Arial"/>
          <w:color w:val="242121"/>
          <w:sz w:val="24"/>
          <w:szCs w:val="24"/>
          <w:shd w:val="clear" w:color="auto" w:fill="FFFFFF"/>
        </w:rPr>
        <w:t>'</w:t>
      </w:r>
      <w:r w:rsidR="00233EF4" w:rsidRPr="00B97A4E">
        <w:rPr>
          <w:rFonts w:ascii="Arial" w:hAnsi="Arial" w:cs="Arial"/>
          <w:color w:val="242121"/>
          <w:sz w:val="24"/>
          <w:szCs w:val="24"/>
          <w:shd w:val="clear" w:color="auto" w:fill="FFFFFF"/>
        </w:rPr>
        <w:t xml:space="preserve">The Plaintiff, </w:t>
      </w:r>
      <w:r w:rsidR="00233EF4" w:rsidRPr="00B97A4E">
        <w:rPr>
          <w:rFonts w:ascii="Arial" w:hAnsi="Arial" w:cs="Arial"/>
          <w:color w:val="242121"/>
          <w:sz w:val="24"/>
          <w:szCs w:val="24"/>
          <w:u w:val="single"/>
          <w:shd w:val="clear" w:color="auto" w:fill="FFFFFF"/>
        </w:rPr>
        <w:t xml:space="preserve">as more specifically addressed in </w:t>
      </w:r>
      <w:r w:rsidR="00FD2C45" w:rsidRPr="00B97A4E">
        <w:rPr>
          <w:rFonts w:ascii="Arial" w:hAnsi="Arial" w:cs="Arial"/>
          <w:color w:val="242121"/>
          <w:sz w:val="24"/>
          <w:szCs w:val="24"/>
          <w:u w:val="single"/>
          <w:shd w:val="clear" w:color="auto" w:fill="FFFFFF"/>
        </w:rPr>
        <w:t>paragraphs</w:t>
      </w:r>
      <w:r w:rsidR="00233EF4" w:rsidRPr="00B97A4E">
        <w:rPr>
          <w:rFonts w:ascii="Arial" w:hAnsi="Arial" w:cs="Arial"/>
          <w:color w:val="242121"/>
          <w:sz w:val="24"/>
          <w:szCs w:val="24"/>
          <w:u w:val="single"/>
          <w:shd w:val="clear" w:color="auto" w:fill="FFFFFF"/>
        </w:rPr>
        <w:t xml:space="preserve"> 12 through 28 infra</w:t>
      </w:r>
      <w:r w:rsidR="00233EF4" w:rsidRPr="00B97A4E">
        <w:rPr>
          <w:rFonts w:ascii="Arial" w:hAnsi="Arial" w:cs="Arial"/>
          <w:color w:val="242121"/>
          <w:sz w:val="24"/>
          <w:szCs w:val="24"/>
          <w:shd w:val="clear" w:color="auto" w:fill="FFFFFF"/>
        </w:rPr>
        <w:t xml:space="preserve">, in and </w:t>
      </w:r>
      <w:r w:rsidR="006B077A" w:rsidRPr="00B97A4E">
        <w:rPr>
          <w:rFonts w:ascii="Arial" w:hAnsi="Arial" w:cs="Arial"/>
          <w:color w:val="242121"/>
          <w:sz w:val="24"/>
          <w:szCs w:val="24"/>
          <w:shd w:val="clear" w:color="auto" w:fill="FFFFFF"/>
        </w:rPr>
        <w:t>d</w:t>
      </w:r>
      <w:r w:rsidR="00233EF4" w:rsidRPr="00B97A4E">
        <w:rPr>
          <w:rFonts w:ascii="Arial" w:hAnsi="Arial" w:cs="Arial"/>
          <w:color w:val="242121"/>
          <w:sz w:val="24"/>
          <w:szCs w:val="24"/>
          <w:shd w:val="clear" w:color="auto" w:fill="FFFFFF"/>
        </w:rPr>
        <w:t>uring 2018 unlawfully and intentionally diminished the value of his estate.</w:t>
      </w:r>
      <w:r w:rsidR="00E36AEE" w:rsidRPr="00B97A4E">
        <w:rPr>
          <w:rFonts w:ascii="Arial" w:hAnsi="Arial" w:cs="Arial"/>
          <w:color w:val="242121"/>
          <w:sz w:val="24"/>
          <w:szCs w:val="24"/>
          <w:shd w:val="clear" w:color="auto" w:fill="FFFFFF"/>
        </w:rPr>
        <w:t>'</w:t>
      </w:r>
      <w:r w:rsidR="00233EF4" w:rsidRPr="00B97A4E">
        <w:rPr>
          <w:rFonts w:ascii="Arial" w:hAnsi="Arial" w:cs="Arial"/>
          <w:color w:val="242121"/>
          <w:sz w:val="24"/>
          <w:szCs w:val="24"/>
          <w:shd w:val="clear" w:color="auto" w:fill="FFFFFF"/>
        </w:rPr>
        <w:t xml:space="preserve"> </w:t>
      </w:r>
      <w:r w:rsidR="00F25058" w:rsidRPr="00B97A4E">
        <w:rPr>
          <w:rFonts w:ascii="Arial" w:hAnsi="Arial" w:cs="Arial"/>
          <w:color w:val="242121"/>
          <w:sz w:val="24"/>
          <w:szCs w:val="24"/>
          <w:shd w:val="clear" w:color="auto" w:fill="FFFFFF"/>
        </w:rPr>
        <w:t xml:space="preserve">(My emphasis). </w:t>
      </w:r>
      <w:r w:rsidR="00233EF4" w:rsidRPr="00B97A4E">
        <w:rPr>
          <w:rFonts w:ascii="Arial" w:hAnsi="Arial" w:cs="Arial"/>
          <w:color w:val="242121"/>
          <w:sz w:val="24"/>
          <w:szCs w:val="24"/>
          <w:shd w:val="clear" w:color="auto" w:fill="FFFFFF"/>
        </w:rPr>
        <w:t xml:space="preserve">The content of these paragraphs </w:t>
      </w:r>
      <w:r w:rsidR="00FD2C45" w:rsidRPr="00B97A4E">
        <w:rPr>
          <w:rFonts w:ascii="Arial" w:hAnsi="Arial" w:cs="Arial"/>
          <w:color w:val="242121"/>
          <w:sz w:val="24"/>
          <w:szCs w:val="24"/>
          <w:shd w:val="clear" w:color="auto" w:fill="FFFFFF"/>
        </w:rPr>
        <w:t>needs</w:t>
      </w:r>
      <w:r w:rsidR="00233EF4" w:rsidRPr="00B97A4E">
        <w:rPr>
          <w:rFonts w:ascii="Arial" w:hAnsi="Arial" w:cs="Arial"/>
          <w:color w:val="242121"/>
          <w:sz w:val="24"/>
          <w:szCs w:val="24"/>
          <w:shd w:val="clear" w:color="auto" w:fill="FFFFFF"/>
        </w:rPr>
        <w:t xml:space="preserve"> to be considered in</w:t>
      </w:r>
      <w:r w:rsidR="00FD2C45" w:rsidRPr="00B97A4E">
        <w:rPr>
          <w:rFonts w:ascii="Arial" w:hAnsi="Arial" w:cs="Arial"/>
          <w:color w:val="242121"/>
          <w:sz w:val="24"/>
          <w:szCs w:val="24"/>
          <w:shd w:val="clear" w:color="auto" w:fill="FFFFFF"/>
        </w:rPr>
        <w:t xml:space="preserve"> the context explained in the paragraphs preceding paragraph 12.</w:t>
      </w:r>
      <w:r w:rsidR="00233EF4" w:rsidRPr="00B97A4E">
        <w:rPr>
          <w:rFonts w:ascii="Arial" w:hAnsi="Arial" w:cs="Arial"/>
          <w:color w:val="242121"/>
          <w:sz w:val="24"/>
          <w:szCs w:val="24"/>
          <w:shd w:val="clear" w:color="auto" w:fill="FFFFFF"/>
        </w:rPr>
        <w:t xml:space="preserve"> The defendant</w:t>
      </w:r>
      <w:r w:rsidR="00FD2C45" w:rsidRPr="00B97A4E">
        <w:rPr>
          <w:rFonts w:ascii="Arial" w:hAnsi="Arial" w:cs="Arial"/>
          <w:color w:val="242121"/>
          <w:sz w:val="24"/>
          <w:szCs w:val="24"/>
          <w:shd w:val="clear" w:color="auto" w:fill="FFFFFF"/>
        </w:rPr>
        <w:t xml:space="preserve"> pleaded the material facts</w:t>
      </w:r>
      <w:r w:rsidR="00233EF4" w:rsidRPr="00B97A4E">
        <w:rPr>
          <w:rFonts w:ascii="Arial" w:hAnsi="Arial" w:cs="Arial"/>
          <w:color w:val="242121"/>
          <w:sz w:val="24"/>
          <w:szCs w:val="24"/>
          <w:shd w:val="clear" w:color="auto" w:fill="FFFFFF"/>
        </w:rPr>
        <w:t xml:space="preserve"> which she believes support the legal conclusion </w:t>
      </w:r>
      <w:r w:rsidR="00FD2C45" w:rsidRPr="00B97A4E">
        <w:rPr>
          <w:rFonts w:ascii="Arial" w:hAnsi="Arial" w:cs="Arial"/>
          <w:color w:val="242121"/>
          <w:sz w:val="24"/>
          <w:szCs w:val="24"/>
          <w:shd w:val="clear" w:color="auto" w:fill="FFFFFF"/>
        </w:rPr>
        <w:t>that the plaintiff</w:t>
      </w:r>
      <w:r w:rsidR="00E36AEE" w:rsidRPr="00B97A4E">
        <w:rPr>
          <w:rFonts w:ascii="Arial" w:hAnsi="Arial" w:cs="Arial"/>
          <w:color w:val="242121"/>
          <w:sz w:val="24"/>
          <w:szCs w:val="24"/>
          <w:shd w:val="clear" w:color="auto" w:fill="FFFFFF"/>
        </w:rPr>
        <w:t>'</w:t>
      </w:r>
      <w:r w:rsidR="00FD2C45" w:rsidRPr="00B97A4E">
        <w:rPr>
          <w:rFonts w:ascii="Arial" w:hAnsi="Arial" w:cs="Arial"/>
          <w:color w:val="242121"/>
          <w:sz w:val="24"/>
          <w:szCs w:val="24"/>
          <w:shd w:val="clear" w:color="auto" w:fill="FFFFFF"/>
        </w:rPr>
        <w:t>s actions were</w:t>
      </w:r>
      <w:r w:rsidR="006147F9" w:rsidRPr="00B97A4E">
        <w:rPr>
          <w:rFonts w:ascii="Arial" w:hAnsi="Arial" w:cs="Arial"/>
          <w:color w:val="242121"/>
          <w:sz w:val="24"/>
          <w:szCs w:val="24"/>
          <w:shd w:val="clear" w:color="auto" w:fill="FFFFFF"/>
        </w:rPr>
        <w:t xml:space="preserve"> unlawful</w:t>
      </w:r>
      <w:r w:rsidR="00FD2C45" w:rsidRPr="00B97A4E">
        <w:rPr>
          <w:rFonts w:ascii="Arial" w:hAnsi="Arial" w:cs="Arial"/>
          <w:color w:val="242121"/>
          <w:sz w:val="24"/>
          <w:szCs w:val="24"/>
          <w:shd w:val="clear" w:color="auto" w:fill="FFFFFF"/>
        </w:rPr>
        <w:t xml:space="preserve">. The trial court will be seized with having to make a finding in this regard. If the plaintiff is of the view that more information is required in this regard, he is entitled to seek further particulars. </w:t>
      </w:r>
    </w:p>
    <w:p w14:paraId="7CA8CFC7" w14:textId="77777777" w:rsidR="006147F9" w:rsidRPr="00BF6075" w:rsidRDefault="006147F9" w:rsidP="006147F9">
      <w:pPr>
        <w:pStyle w:val="ListParagraph"/>
        <w:rPr>
          <w:rFonts w:ascii="Arial" w:hAnsi="Arial" w:cs="Arial"/>
          <w:color w:val="242121"/>
          <w:sz w:val="24"/>
          <w:szCs w:val="24"/>
          <w:shd w:val="clear" w:color="auto" w:fill="FFFFFF"/>
        </w:rPr>
      </w:pPr>
    </w:p>
    <w:p w14:paraId="334A4441" w14:textId="41414CBA" w:rsidR="00334399"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[31]</w:t>
      </w:r>
      <w:r w:rsidRPr="00BF6075">
        <w:rPr>
          <w:rFonts w:ascii="Arial" w:hAnsi="Arial" w:cs="Arial"/>
          <w:sz w:val="24"/>
          <w:szCs w:val="24"/>
        </w:rPr>
        <w:tab/>
      </w:r>
      <w:r w:rsidR="00E678BF" w:rsidRPr="00B97A4E">
        <w:rPr>
          <w:rFonts w:ascii="Arial" w:hAnsi="Arial" w:cs="Arial"/>
          <w:color w:val="242121"/>
          <w:sz w:val="24"/>
          <w:szCs w:val="24"/>
          <w:shd w:val="clear" w:color="auto" w:fill="FFFFFF"/>
        </w:rPr>
        <w:t>T</w:t>
      </w:r>
      <w:r w:rsidR="00FD2C45" w:rsidRPr="00B97A4E">
        <w:rPr>
          <w:rFonts w:ascii="Arial" w:hAnsi="Arial" w:cs="Arial"/>
          <w:color w:val="242121"/>
          <w:sz w:val="24"/>
          <w:szCs w:val="24"/>
          <w:shd w:val="clear" w:color="auto" w:fill="FFFFFF"/>
        </w:rPr>
        <w:t>he plaintiff</w:t>
      </w:r>
      <w:r w:rsidR="00E36AEE" w:rsidRPr="00B97A4E">
        <w:rPr>
          <w:rFonts w:ascii="Arial" w:hAnsi="Arial" w:cs="Arial"/>
          <w:color w:val="242121"/>
          <w:sz w:val="24"/>
          <w:szCs w:val="24"/>
          <w:shd w:val="clear" w:color="auto" w:fill="FFFFFF"/>
        </w:rPr>
        <w:t>'</w:t>
      </w:r>
      <w:r w:rsidR="00FD2C45" w:rsidRPr="00B97A4E">
        <w:rPr>
          <w:rFonts w:ascii="Arial" w:hAnsi="Arial" w:cs="Arial"/>
          <w:color w:val="242121"/>
          <w:sz w:val="24"/>
          <w:szCs w:val="24"/>
          <w:shd w:val="clear" w:color="auto" w:fill="FFFFFF"/>
        </w:rPr>
        <w:t xml:space="preserve">s contention that the defendant relies on a </w:t>
      </w:r>
      <w:r w:rsidR="00E36AEE" w:rsidRPr="00B97A4E">
        <w:rPr>
          <w:rFonts w:ascii="Arial" w:hAnsi="Arial" w:cs="Arial"/>
          <w:color w:val="242121"/>
          <w:sz w:val="24"/>
          <w:szCs w:val="24"/>
          <w:shd w:val="clear" w:color="auto" w:fill="FFFFFF"/>
        </w:rPr>
        <w:t>'</w:t>
      </w:r>
      <w:r w:rsidR="00FD2C45" w:rsidRPr="00B97A4E">
        <w:rPr>
          <w:rFonts w:ascii="Arial" w:hAnsi="Arial" w:cs="Arial"/>
          <w:color w:val="242121"/>
          <w:sz w:val="24"/>
          <w:szCs w:val="24"/>
          <w:shd w:val="clear" w:color="auto" w:fill="FFFFFF"/>
        </w:rPr>
        <w:t>duty to disclose</w:t>
      </w:r>
      <w:r w:rsidR="00E36AEE" w:rsidRPr="00B97A4E">
        <w:rPr>
          <w:rFonts w:ascii="Arial" w:hAnsi="Arial" w:cs="Arial"/>
          <w:color w:val="242121"/>
          <w:sz w:val="24"/>
          <w:szCs w:val="24"/>
          <w:shd w:val="clear" w:color="auto" w:fill="FFFFFF"/>
        </w:rPr>
        <w:t>'</w:t>
      </w:r>
      <w:r w:rsidR="00FD2C45" w:rsidRPr="00B97A4E">
        <w:rPr>
          <w:rFonts w:ascii="Arial" w:hAnsi="Arial" w:cs="Arial"/>
          <w:color w:val="242121"/>
          <w:sz w:val="24"/>
          <w:szCs w:val="24"/>
          <w:shd w:val="clear" w:color="auto" w:fill="FFFFFF"/>
        </w:rPr>
        <w:t xml:space="preserve"> but failed to disclose the fact from which such duty arises, is</w:t>
      </w:r>
      <w:r w:rsidR="00703FA6" w:rsidRPr="00B97A4E">
        <w:rPr>
          <w:rFonts w:ascii="Arial" w:hAnsi="Arial" w:cs="Arial"/>
          <w:color w:val="242121"/>
          <w:sz w:val="24"/>
          <w:szCs w:val="24"/>
          <w:shd w:val="clear" w:color="auto" w:fill="FFFFFF"/>
        </w:rPr>
        <w:t xml:space="preserve"> without merit if regard is had</w:t>
      </w:r>
      <w:r w:rsidR="00FD2C45" w:rsidRPr="00B97A4E">
        <w:rPr>
          <w:rFonts w:ascii="Arial" w:hAnsi="Arial" w:cs="Arial"/>
          <w:color w:val="242121"/>
          <w:sz w:val="24"/>
          <w:szCs w:val="24"/>
          <w:shd w:val="clear" w:color="auto" w:fill="FFFFFF"/>
        </w:rPr>
        <w:t xml:space="preserve"> to the con</w:t>
      </w:r>
      <w:r w:rsidR="00ED6CED" w:rsidRPr="00B97A4E">
        <w:rPr>
          <w:rFonts w:ascii="Arial" w:hAnsi="Arial" w:cs="Arial"/>
          <w:color w:val="242121"/>
          <w:sz w:val="24"/>
          <w:szCs w:val="24"/>
          <w:shd w:val="clear" w:color="auto" w:fill="FFFFFF"/>
        </w:rPr>
        <w:t>t</w:t>
      </w:r>
      <w:r w:rsidR="00FD2C45" w:rsidRPr="00B97A4E">
        <w:rPr>
          <w:rFonts w:ascii="Arial" w:hAnsi="Arial" w:cs="Arial"/>
          <w:color w:val="242121"/>
          <w:sz w:val="24"/>
          <w:szCs w:val="24"/>
          <w:shd w:val="clear" w:color="auto" w:fill="FFFFFF"/>
        </w:rPr>
        <w:t>ent of paragraphs 4.9, 4.10 and 28 of the defendant</w:t>
      </w:r>
      <w:r w:rsidR="00E36AEE" w:rsidRPr="00B97A4E">
        <w:rPr>
          <w:rFonts w:ascii="Arial" w:hAnsi="Arial" w:cs="Arial"/>
          <w:color w:val="242121"/>
          <w:sz w:val="24"/>
          <w:szCs w:val="24"/>
          <w:shd w:val="clear" w:color="auto" w:fill="FFFFFF"/>
        </w:rPr>
        <w:t>'</w:t>
      </w:r>
      <w:r w:rsidR="00FD2C45" w:rsidRPr="00B97A4E">
        <w:rPr>
          <w:rFonts w:ascii="Arial" w:hAnsi="Arial" w:cs="Arial"/>
          <w:color w:val="242121"/>
          <w:sz w:val="24"/>
          <w:szCs w:val="24"/>
          <w:shd w:val="clear" w:color="auto" w:fill="FFFFFF"/>
        </w:rPr>
        <w:t>s amended counterclaim.</w:t>
      </w:r>
      <w:r w:rsidR="006147F9" w:rsidRPr="00B97A4E">
        <w:rPr>
          <w:rFonts w:ascii="Arial" w:hAnsi="Arial" w:cs="Arial"/>
          <w:color w:val="242121"/>
          <w:sz w:val="24"/>
          <w:szCs w:val="24"/>
          <w:shd w:val="clear" w:color="auto" w:fill="FFFFFF"/>
        </w:rPr>
        <w:t xml:space="preserve"> </w:t>
      </w:r>
    </w:p>
    <w:p w14:paraId="24C6AA29" w14:textId="77777777" w:rsidR="006147F9" w:rsidRPr="00BF6075" w:rsidRDefault="006147F9" w:rsidP="006147F9">
      <w:pPr>
        <w:pStyle w:val="ListParagraph"/>
        <w:rPr>
          <w:rFonts w:ascii="Arial" w:hAnsi="Arial" w:cs="Arial"/>
          <w:sz w:val="24"/>
          <w:szCs w:val="24"/>
        </w:rPr>
      </w:pPr>
    </w:p>
    <w:p w14:paraId="3B4D9A00" w14:textId="22C9DF13" w:rsidR="006147F9"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[32]</w:t>
      </w:r>
      <w:r w:rsidRPr="00BF6075">
        <w:rPr>
          <w:rFonts w:ascii="Arial" w:hAnsi="Arial" w:cs="Arial"/>
          <w:sz w:val="24"/>
          <w:szCs w:val="24"/>
        </w:rPr>
        <w:tab/>
      </w:r>
      <w:r w:rsidR="006147F9" w:rsidRPr="00B97A4E">
        <w:rPr>
          <w:rFonts w:ascii="Arial" w:hAnsi="Arial" w:cs="Arial"/>
          <w:sz w:val="24"/>
          <w:szCs w:val="24"/>
        </w:rPr>
        <w:t xml:space="preserve">The plaintiff submits that the amended counterclaim is vague and embarrassing or fails to disclose a cause of action because the defendant pleads that she was a creditor of the plaintiff. The defendant </w:t>
      </w:r>
      <w:r w:rsidR="00703FA6" w:rsidRPr="00B97A4E">
        <w:rPr>
          <w:rFonts w:ascii="Arial" w:hAnsi="Arial" w:cs="Arial"/>
          <w:sz w:val="24"/>
          <w:szCs w:val="24"/>
        </w:rPr>
        <w:t xml:space="preserve">actually </w:t>
      </w:r>
      <w:r w:rsidR="006147F9" w:rsidRPr="00B97A4E">
        <w:rPr>
          <w:rFonts w:ascii="Arial" w:hAnsi="Arial" w:cs="Arial"/>
          <w:sz w:val="24"/>
          <w:szCs w:val="24"/>
        </w:rPr>
        <w:t xml:space="preserve">pleaded that </w:t>
      </w:r>
      <w:r w:rsidR="00E36AEE" w:rsidRPr="00B97A4E">
        <w:rPr>
          <w:rFonts w:ascii="Arial" w:hAnsi="Arial" w:cs="Arial"/>
          <w:sz w:val="24"/>
          <w:szCs w:val="24"/>
        </w:rPr>
        <w:t>'</w:t>
      </w:r>
      <w:r w:rsidR="006147F9" w:rsidRPr="00B97A4E">
        <w:rPr>
          <w:rFonts w:ascii="Arial" w:hAnsi="Arial" w:cs="Arial"/>
          <w:sz w:val="24"/>
          <w:szCs w:val="24"/>
        </w:rPr>
        <w:t>as at date of the divorce (14 March 2019) the Defendant was and remains a creditor to the Plaintiff.</w:t>
      </w:r>
      <w:r w:rsidR="00E36AEE" w:rsidRPr="00B97A4E">
        <w:rPr>
          <w:rFonts w:ascii="Arial" w:hAnsi="Arial" w:cs="Arial"/>
          <w:sz w:val="24"/>
          <w:szCs w:val="24"/>
        </w:rPr>
        <w:t>'</w:t>
      </w:r>
      <w:r w:rsidR="006147F9" w:rsidRPr="00B97A4E">
        <w:rPr>
          <w:rFonts w:ascii="Arial" w:hAnsi="Arial" w:cs="Arial"/>
          <w:sz w:val="24"/>
          <w:szCs w:val="24"/>
        </w:rPr>
        <w:t xml:space="preserve">. This paragraph, if read in the context of the counterclaim as a whole, is not vague or embarrassing to the extent that the plaintiff cannot be expected to plead to it. </w:t>
      </w:r>
      <w:r w:rsidR="00703FA6" w:rsidRPr="00B97A4E">
        <w:rPr>
          <w:rFonts w:ascii="Arial" w:hAnsi="Arial" w:cs="Arial"/>
          <w:sz w:val="24"/>
          <w:szCs w:val="24"/>
        </w:rPr>
        <w:t>The defendant</w:t>
      </w:r>
      <w:r w:rsidR="00E36AEE" w:rsidRPr="00B97A4E">
        <w:rPr>
          <w:rFonts w:ascii="Arial" w:hAnsi="Arial" w:cs="Arial"/>
          <w:sz w:val="24"/>
          <w:szCs w:val="24"/>
        </w:rPr>
        <w:t>'</w:t>
      </w:r>
      <w:r w:rsidR="00703FA6" w:rsidRPr="00B97A4E">
        <w:rPr>
          <w:rFonts w:ascii="Arial" w:hAnsi="Arial" w:cs="Arial"/>
          <w:sz w:val="24"/>
          <w:szCs w:val="24"/>
        </w:rPr>
        <w:t>s accrual claim vested as at the date of the divorce, it is not a contingent claim, and the defendant seeks to enforce her accrual claim.</w:t>
      </w:r>
      <w:r w:rsidR="00ED6CED" w:rsidRPr="00B97A4E">
        <w:rPr>
          <w:rFonts w:ascii="Arial" w:hAnsi="Arial" w:cs="Arial"/>
          <w:sz w:val="24"/>
          <w:szCs w:val="24"/>
        </w:rPr>
        <w:t xml:space="preserve"> The third, fifth and twelfth exceptions have no merit.</w:t>
      </w:r>
    </w:p>
    <w:p w14:paraId="22ED51A7" w14:textId="77777777" w:rsidR="00B07262" w:rsidRPr="00BF6075" w:rsidRDefault="00B07262" w:rsidP="00B07262">
      <w:pPr>
        <w:pStyle w:val="ListParagraph"/>
        <w:rPr>
          <w:rFonts w:ascii="Arial" w:hAnsi="Arial" w:cs="Arial"/>
          <w:sz w:val="24"/>
          <w:szCs w:val="24"/>
        </w:rPr>
      </w:pPr>
    </w:p>
    <w:p w14:paraId="0D76A09F" w14:textId="79AAC8C6" w:rsidR="00B0726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lastRenderedPageBreak/>
        <w:t>[33]</w:t>
      </w:r>
      <w:r w:rsidRPr="00BF6075">
        <w:rPr>
          <w:rFonts w:ascii="Arial" w:hAnsi="Arial" w:cs="Arial"/>
          <w:sz w:val="24"/>
          <w:szCs w:val="24"/>
        </w:rPr>
        <w:tab/>
      </w:r>
      <w:r w:rsidR="00E678BF" w:rsidRPr="00B97A4E">
        <w:rPr>
          <w:rFonts w:ascii="Arial" w:hAnsi="Arial" w:cs="Arial"/>
          <w:sz w:val="24"/>
          <w:szCs w:val="24"/>
        </w:rPr>
        <w:t>The plaintiff excepts to the defendant</w:t>
      </w:r>
      <w:r w:rsidR="00E36AEE" w:rsidRPr="00B97A4E">
        <w:rPr>
          <w:rFonts w:ascii="Arial" w:hAnsi="Arial" w:cs="Arial"/>
          <w:sz w:val="24"/>
          <w:szCs w:val="24"/>
        </w:rPr>
        <w:t>'</w:t>
      </w:r>
      <w:r w:rsidR="00E678BF" w:rsidRPr="00B97A4E">
        <w:rPr>
          <w:rFonts w:ascii="Arial" w:hAnsi="Arial" w:cs="Arial"/>
          <w:sz w:val="24"/>
          <w:szCs w:val="24"/>
        </w:rPr>
        <w:t>s reliance on s 8(1) of the MPA.</w:t>
      </w:r>
      <w:r w:rsidR="00E678BF" w:rsidRPr="00BF6075">
        <w:rPr>
          <w:rStyle w:val="FootnoteReference"/>
          <w:rFonts w:ascii="Arial" w:hAnsi="Arial" w:cs="Arial"/>
          <w:sz w:val="24"/>
          <w:szCs w:val="24"/>
        </w:rPr>
        <w:footnoteReference w:id="21"/>
      </w:r>
      <w:r w:rsidR="00E678BF" w:rsidRPr="00B97A4E">
        <w:rPr>
          <w:rFonts w:ascii="Arial" w:hAnsi="Arial" w:cs="Arial"/>
          <w:sz w:val="24"/>
          <w:szCs w:val="24"/>
        </w:rPr>
        <w:t xml:space="preserve"> The defendant avers that the court is vested with an inherent discretion to avoid an inequitable result with regard to the provisions of s 8(1) of the MPA. Although I am of the view that reference to s 8(1) </w:t>
      </w:r>
      <w:r w:rsidR="003F3A30" w:rsidRPr="00B97A4E">
        <w:rPr>
          <w:rFonts w:ascii="Arial" w:hAnsi="Arial" w:cs="Arial"/>
          <w:sz w:val="24"/>
          <w:szCs w:val="24"/>
        </w:rPr>
        <w:t>is</w:t>
      </w:r>
      <w:r w:rsidR="00E678BF" w:rsidRPr="00B97A4E">
        <w:rPr>
          <w:rFonts w:ascii="Arial" w:hAnsi="Arial" w:cs="Arial"/>
          <w:sz w:val="24"/>
          <w:szCs w:val="24"/>
        </w:rPr>
        <w:t xml:space="preserve"> misplaced in light of the fact that the parties are already divorced, the defendant</w:t>
      </w:r>
      <w:r w:rsidR="00E36AEE" w:rsidRPr="00B97A4E">
        <w:rPr>
          <w:rFonts w:ascii="Arial" w:hAnsi="Arial" w:cs="Arial"/>
          <w:sz w:val="24"/>
          <w:szCs w:val="24"/>
        </w:rPr>
        <w:t>'</w:t>
      </w:r>
      <w:r w:rsidR="00E678BF" w:rsidRPr="00B97A4E">
        <w:rPr>
          <w:rFonts w:ascii="Arial" w:hAnsi="Arial" w:cs="Arial"/>
          <w:sz w:val="24"/>
          <w:szCs w:val="24"/>
        </w:rPr>
        <w:t>s reference to the section does not render her claim for declaratory relief vague and embarrassing.</w:t>
      </w:r>
      <w:r w:rsidR="003F3A30" w:rsidRPr="00B97A4E">
        <w:rPr>
          <w:rFonts w:ascii="Arial" w:hAnsi="Arial" w:cs="Arial"/>
          <w:sz w:val="24"/>
          <w:szCs w:val="24"/>
        </w:rPr>
        <w:t xml:space="preserve"> She does not seek the relief provided for in s 8(1).</w:t>
      </w:r>
    </w:p>
    <w:p w14:paraId="315F58DA" w14:textId="77777777" w:rsidR="00B07262" w:rsidRPr="00BF6075" w:rsidRDefault="00B07262" w:rsidP="00B07262">
      <w:pPr>
        <w:pStyle w:val="ListParagraph"/>
        <w:rPr>
          <w:rFonts w:ascii="Arial" w:hAnsi="Arial" w:cs="Arial"/>
          <w:sz w:val="24"/>
          <w:szCs w:val="24"/>
        </w:rPr>
      </w:pPr>
    </w:p>
    <w:p w14:paraId="571F54FB" w14:textId="58133D7E" w:rsidR="00B07262"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[34]</w:t>
      </w:r>
      <w:r w:rsidRPr="00BF6075">
        <w:rPr>
          <w:rFonts w:ascii="Arial" w:hAnsi="Arial" w:cs="Arial"/>
          <w:sz w:val="24"/>
          <w:szCs w:val="24"/>
        </w:rPr>
        <w:tab/>
      </w:r>
      <w:r w:rsidR="00F25058" w:rsidRPr="00B97A4E">
        <w:rPr>
          <w:rFonts w:ascii="Arial" w:hAnsi="Arial" w:cs="Arial"/>
          <w:sz w:val="24"/>
          <w:szCs w:val="24"/>
        </w:rPr>
        <w:t>The remaining two exceptions, the ninth and tenth exception</w:t>
      </w:r>
      <w:r w:rsidR="00572DD1" w:rsidRPr="00B97A4E">
        <w:rPr>
          <w:rFonts w:ascii="Arial" w:hAnsi="Arial" w:cs="Arial"/>
          <w:sz w:val="24"/>
          <w:szCs w:val="24"/>
        </w:rPr>
        <w:t>s</w:t>
      </w:r>
      <w:r w:rsidR="00F25058" w:rsidRPr="00B97A4E">
        <w:rPr>
          <w:rFonts w:ascii="Arial" w:hAnsi="Arial" w:cs="Arial"/>
          <w:sz w:val="24"/>
          <w:szCs w:val="24"/>
        </w:rPr>
        <w:t>, relate to prayer 3 of the defendant</w:t>
      </w:r>
      <w:r w:rsidR="00E36AEE" w:rsidRPr="00B97A4E">
        <w:rPr>
          <w:rFonts w:ascii="Arial" w:hAnsi="Arial" w:cs="Arial"/>
          <w:sz w:val="24"/>
          <w:szCs w:val="24"/>
        </w:rPr>
        <w:t>'</w:t>
      </w:r>
      <w:r w:rsidR="00F25058" w:rsidRPr="00B97A4E">
        <w:rPr>
          <w:rFonts w:ascii="Arial" w:hAnsi="Arial" w:cs="Arial"/>
          <w:sz w:val="24"/>
          <w:szCs w:val="24"/>
        </w:rPr>
        <w:t xml:space="preserve">s counterclaim. </w:t>
      </w:r>
      <w:r w:rsidR="00572DD1" w:rsidRPr="00B97A4E">
        <w:rPr>
          <w:rFonts w:ascii="Arial" w:hAnsi="Arial" w:cs="Arial"/>
          <w:sz w:val="24"/>
          <w:szCs w:val="24"/>
        </w:rPr>
        <w:t xml:space="preserve">With this prayer, the defendant seeks an order </w:t>
      </w:r>
      <w:r w:rsidR="002E14F6" w:rsidRPr="00B97A4E">
        <w:rPr>
          <w:rFonts w:ascii="Arial" w:hAnsi="Arial" w:cs="Arial"/>
          <w:sz w:val="24"/>
          <w:szCs w:val="24"/>
        </w:rPr>
        <w:t>regarding the enforcement of</w:t>
      </w:r>
      <w:r w:rsidR="00572DD1" w:rsidRPr="00B97A4E">
        <w:rPr>
          <w:rFonts w:ascii="Arial" w:hAnsi="Arial" w:cs="Arial"/>
          <w:sz w:val="24"/>
          <w:szCs w:val="24"/>
        </w:rPr>
        <w:t xml:space="preserve"> her accrual claim, if she is successful </w:t>
      </w:r>
      <w:r w:rsidR="00907BDF" w:rsidRPr="00B97A4E">
        <w:rPr>
          <w:rFonts w:ascii="Arial" w:hAnsi="Arial" w:cs="Arial"/>
          <w:sz w:val="24"/>
          <w:szCs w:val="24"/>
        </w:rPr>
        <w:t xml:space="preserve">with the claim </w:t>
      </w:r>
      <w:r w:rsidR="00572DD1" w:rsidRPr="00B97A4E">
        <w:rPr>
          <w:rFonts w:ascii="Arial" w:hAnsi="Arial" w:cs="Arial"/>
          <w:sz w:val="24"/>
          <w:szCs w:val="24"/>
        </w:rPr>
        <w:t>and the plaintiff is</w:t>
      </w:r>
      <w:r w:rsidR="002E14F6" w:rsidRPr="00B97A4E">
        <w:rPr>
          <w:rFonts w:ascii="Arial" w:hAnsi="Arial" w:cs="Arial"/>
          <w:sz w:val="24"/>
          <w:szCs w:val="24"/>
        </w:rPr>
        <w:t xml:space="preserve"> unable to pay</w:t>
      </w:r>
      <w:r w:rsidR="00572DD1" w:rsidRPr="00B97A4E">
        <w:rPr>
          <w:rFonts w:ascii="Arial" w:hAnsi="Arial" w:cs="Arial"/>
          <w:sz w:val="24"/>
          <w:szCs w:val="24"/>
        </w:rPr>
        <w:t xml:space="preserve">. This matter is ancillary to the </w:t>
      </w:r>
      <w:r w:rsidR="00907BDF" w:rsidRPr="00B97A4E">
        <w:rPr>
          <w:rFonts w:ascii="Arial" w:hAnsi="Arial" w:cs="Arial"/>
          <w:sz w:val="24"/>
          <w:szCs w:val="24"/>
        </w:rPr>
        <w:t>main relief sought. The relief sought is interdictory in nature and premised on the assumption that the plaintiff</w:t>
      </w:r>
      <w:r w:rsidR="00E36AEE" w:rsidRPr="00B97A4E">
        <w:rPr>
          <w:rFonts w:ascii="Arial" w:hAnsi="Arial" w:cs="Arial"/>
          <w:sz w:val="24"/>
          <w:szCs w:val="24"/>
        </w:rPr>
        <w:t>'</w:t>
      </w:r>
      <w:r w:rsidR="00907BDF" w:rsidRPr="00B97A4E">
        <w:rPr>
          <w:rFonts w:ascii="Arial" w:hAnsi="Arial" w:cs="Arial"/>
          <w:sz w:val="24"/>
          <w:szCs w:val="24"/>
        </w:rPr>
        <w:t>s estate will be found to be the estate with the big</w:t>
      </w:r>
      <w:r w:rsidR="00EB641B" w:rsidRPr="00B97A4E">
        <w:rPr>
          <w:rFonts w:ascii="Arial" w:hAnsi="Arial" w:cs="Arial"/>
          <w:sz w:val="24"/>
          <w:szCs w:val="24"/>
        </w:rPr>
        <w:t>ger accrual. In the event that the defendant succeeds in her accrual claim, she will be in the position to prove that she has a vested right in the accrual. Whether she will be able to prove the remaining requirements to succeed with the interdict will depend on the evidence placed before the court, and the plaintiff</w:t>
      </w:r>
      <w:r w:rsidR="00E36AEE" w:rsidRPr="00B97A4E">
        <w:rPr>
          <w:rFonts w:ascii="Arial" w:hAnsi="Arial" w:cs="Arial"/>
          <w:sz w:val="24"/>
          <w:szCs w:val="24"/>
        </w:rPr>
        <w:t>'</w:t>
      </w:r>
      <w:r w:rsidR="00EB641B" w:rsidRPr="00B97A4E">
        <w:rPr>
          <w:rFonts w:ascii="Arial" w:hAnsi="Arial" w:cs="Arial"/>
          <w:sz w:val="24"/>
          <w:szCs w:val="24"/>
        </w:rPr>
        <w:t xml:space="preserve">s plea. I am of the view, however, that the necessary averments to sustain the granting of an interdict, if it is borne out by the evidence lead during the trial, </w:t>
      </w:r>
      <w:r w:rsidR="00A91562" w:rsidRPr="00B97A4E">
        <w:rPr>
          <w:rFonts w:ascii="Arial" w:hAnsi="Arial" w:cs="Arial"/>
          <w:sz w:val="24"/>
          <w:szCs w:val="24"/>
        </w:rPr>
        <w:t>are set out in the counterclaim</w:t>
      </w:r>
      <w:r w:rsidR="00EB641B" w:rsidRPr="00B97A4E">
        <w:rPr>
          <w:rFonts w:ascii="Arial" w:hAnsi="Arial" w:cs="Arial"/>
          <w:sz w:val="24"/>
          <w:szCs w:val="24"/>
        </w:rPr>
        <w:t>, and the plaintiff is able to plead thereto.</w:t>
      </w:r>
    </w:p>
    <w:p w14:paraId="7D6560E4" w14:textId="77777777" w:rsidR="00907BDF" w:rsidRPr="00BF6075" w:rsidRDefault="00907BDF" w:rsidP="00907BDF">
      <w:pPr>
        <w:pStyle w:val="ListParagraph"/>
        <w:rPr>
          <w:rFonts w:ascii="Arial" w:hAnsi="Arial" w:cs="Arial"/>
          <w:sz w:val="24"/>
          <w:szCs w:val="24"/>
        </w:rPr>
      </w:pPr>
    </w:p>
    <w:p w14:paraId="0E64ADC3" w14:textId="422CD57F" w:rsidR="00907BDF" w:rsidRPr="00BF6075" w:rsidRDefault="00907BDF" w:rsidP="00907BDF">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The defendant</w:t>
      </w:r>
      <w:r w:rsidR="00E36AEE">
        <w:rPr>
          <w:rFonts w:ascii="Arial" w:hAnsi="Arial" w:cs="Arial"/>
          <w:b/>
          <w:sz w:val="24"/>
          <w:szCs w:val="24"/>
        </w:rPr>
        <w:t>'</w:t>
      </w:r>
      <w:r w:rsidRPr="00BF6075">
        <w:rPr>
          <w:rFonts w:ascii="Arial" w:hAnsi="Arial" w:cs="Arial"/>
          <w:b/>
          <w:sz w:val="24"/>
          <w:szCs w:val="24"/>
        </w:rPr>
        <w:t>s anti-dissipation application</w:t>
      </w:r>
    </w:p>
    <w:p w14:paraId="17BB5983" w14:textId="77777777" w:rsidR="00F24B23" w:rsidRDefault="00F24B23" w:rsidP="00F24B23">
      <w:pPr>
        <w:pStyle w:val="ListParagraph"/>
        <w:tabs>
          <w:tab w:val="left" w:pos="4917"/>
        </w:tabs>
        <w:spacing w:before="120" w:after="120" w:line="360" w:lineRule="auto"/>
        <w:jc w:val="both"/>
        <w:rPr>
          <w:rFonts w:ascii="Arial" w:hAnsi="Arial" w:cs="Arial"/>
          <w:sz w:val="24"/>
          <w:szCs w:val="24"/>
        </w:rPr>
      </w:pPr>
    </w:p>
    <w:p w14:paraId="0415D20F" w14:textId="77AA0D20" w:rsidR="00A33813"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33813" w:rsidRPr="00B97A4E">
        <w:rPr>
          <w:rFonts w:ascii="Arial" w:hAnsi="Arial" w:cs="Arial"/>
          <w:sz w:val="24"/>
          <w:szCs w:val="24"/>
        </w:rPr>
        <w:t xml:space="preserve">Gilbert AJ explained in </w:t>
      </w:r>
      <w:r w:rsidR="00E62CFA" w:rsidRPr="00B97A4E">
        <w:rPr>
          <w:rFonts w:ascii="Arial" w:hAnsi="Arial" w:cs="Arial"/>
          <w:i/>
          <w:sz w:val="24"/>
          <w:szCs w:val="24"/>
        </w:rPr>
        <w:t>ND v MD</w:t>
      </w:r>
      <w:r w:rsidR="00E62CFA">
        <w:rPr>
          <w:rStyle w:val="FootnoteReference"/>
          <w:rFonts w:ascii="Arial" w:hAnsi="Arial" w:cs="Arial"/>
          <w:i/>
          <w:sz w:val="24"/>
          <w:szCs w:val="24"/>
        </w:rPr>
        <w:footnoteReference w:id="22"/>
      </w:r>
      <w:r w:rsidR="00E62CFA" w:rsidRPr="00B97A4E">
        <w:rPr>
          <w:rFonts w:ascii="Arial" w:hAnsi="Arial" w:cs="Arial"/>
          <w:i/>
          <w:sz w:val="24"/>
          <w:szCs w:val="24"/>
        </w:rPr>
        <w:t xml:space="preserve"> </w:t>
      </w:r>
      <w:r w:rsidR="00E62CFA" w:rsidRPr="00B97A4E">
        <w:rPr>
          <w:rFonts w:ascii="Arial" w:hAnsi="Arial" w:cs="Arial"/>
          <w:sz w:val="24"/>
          <w:szCs w:val="24"/>
        </w:rPr>
        <w:t xml:space="preserve">in </w:t>
      </w:r>
      <w:r w:rsidR="00A33813" w:rsidRPr="00B97A4E">
        <w:rPr>
          <w:rFonts w:ascii="Arial" w:hAnsi="Arial" w:cs="Arial"/>
          <w:sz w:val="24"/>
          <w:szCs w:val="24"/>
        </w:rPr>
        <w:t>the context of a contingent accrual claim, that:</w:t>
      </w:r>
    </w:p>
    <w:p w14:paraId="2577D7AE" w14:textId="77777777" w:rsidR="00A33813" w:rsidRPr="00A33813" w:rsidRDefault="00A33813" w:rsidP="00A33813">
      <w:pPr>
        <w:pStyle w:val="ListParagraph"/>
        <w:rPr>
          <w:rFonts w:ascii="Arial" w:hAnsi="Arial" w:cs="Arial"/>
          <w:sz w:val="24"/>
          <w:szCs w:val="24"/>
        </w:rPr>
      </w:pPr>
    </w:p>
    <w:p w14:paraId="740D0A50" w14:textId="259E7A83" w:rsidR="00A33813" w:rsidRPr="00E62CFA" w:rsidRDefault="00E36AEE" w:rsidP="00E62CFA">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33813" w:rsidRPr="00E62CFA">
        <w:rPr>
          <w:rFonts w:ascii="Arial" w:hAnsi="Arial" w:cs="Arial"/>
          <w:sz w:val="24"/>
          <w:szCs w:val="24"/>
        </w:rPr>
        <w:t>When considering interdictory relief aimed at protecting the contingent right to share in the accrual, a distinction should be drawn between ordinary interim relief and what can be described as anti-</w:t>
      </w:r>
      <w:proofErr w:type="spellStart"/>
      <w:r w:rsidR="00A33813" w:rsidRPr="00E62CFA">
        <w:rPr>
          <w:rFonts w:ascii="Arial" w:hAnsi="Arial" w:cs="Arial"/>
          <w:sz w:val="24"/>
          <w:szCs w:val="24"/>
        </w:rPr>
        <w:t>dissipatory</w:t>
      </w:r>
      <w:proofErr w:type="spellEnd"/>
      <w:r w:rsidR="00A33813" w:rsidRPr="00E62CFA">
        <w:rPr>
          <w:rFonts w:ascii="Arial" w:hAnsi="Arial" w:cs="Arial"/>
          <w:sz w:val="24"/>
          <w:szCs w:val="24"/>
        </w:rPr>
        <w:t xml:space="preserve"> or Knox d</w:t>
      </w:r>
      <w:r>
        <w:rPr>
          <w:rFonts w:ascii="Arial" w:hAnsi="Arial" w:cs="Arial"/>
          <w:sz w:val="24"/>
          <w:szCs w:val="24"/>
        </w:rPr>
        <w:t>'</w:t>
      </w:r>
      <w:r w:rsidR="00A33813" w:rsidRPr="00E62CFA">
        <w:rPr>
          <w:rFonts w:ascii="Arial" w:hAnsi="Arial" w:cs="Arial"/>
          <w:sz w:val="24"/>
          <w:szCs w:val="24"/>
        </w:rPr>
        <w:t>Arcy-type relief. The requirements for each are not the same and it assists to keep in mind that the two forms of relief are distinct although both can be used to protect the contingent accrual claim.</w:t>
      </w:r>
      <w:r>
        <w:rPr>
          <w:rFonts w:ascii="Arial" w:hAnsi="Arial" w:cs="Arial"/>
          <w:sz w:val="24"/>
          <w:szCs w:val="24"/>
        </w:rPr>
        <w:t>'</w:t>
      </w:r>
    </w:p>
    <w:p w14:paraId="2C5568A5" w14:textId="77777777" w:rsidR="00EA4756" w:rsidRPr="00BF6075" w:rsidRDefault="00EA4756" w:rsidP="00EA4756">
      <w:pPr>
        <w:pStyle w:val="ListParagraph"/>
        <w:rPr>
          <w:rFonts w:ascii="Arial" w:hAnsi="Arial" w:cs="Arial"/>
          <w:sz w:val="24"/>
          <w:szCs w:val="24"/>
        </w:rPr>
      </w:pPr>
    </w:p>
    <w:p w14:paraId="058DA7EE" w14:textId="457F7628" w:rsidR="00E62CFA"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E62CFA">
        <w:rPr>
          <w:rFonts w:ascii="Arial" w:hAnsi="Arial" w:cs="Arial"/>
          <w:sz w:val="24"/>
          <w:szCs w:val="24"/>
        </w:rPr>
        <w:t>[36]</w:t>
      </w:r>
      <w:r w:rsidRPr="00E62CFA">
        <w:rPr>
          <w:rFonts w:ascii="Arial" w:hAnsi="Arial" w:cs="Arial"/>
          <w:sz w:val="24"/>
          <w:szCs w:val="24"/>
        </w:rPr>
        <w:tab/>
      </w:r>
      <w:r w:rsidR="00BF6075" w:rsidRPr="00B97A4E">
        <w:rPr>
          <w:rFonts w:ascii="Arial" w:hAnsi="Arial" w:cs="Arial"/>
          <w:color w:val="242121"/>
          <w:sz w:val="24"/>
          <w:szCs w:val="24"/>
        </w:rPr>
        <w:t> </w:t>
      </w:r>
      <w:r w:rsidR="00E62CFA" w:rsidRPr="00B97A4E">
        <w:rPr>
          <w:rFonts w:ascii="Arial" w:hAnsi="Arial" w:cs="Arial"/>
          <w:color w:val="242121"/>
          <w:sz w:val="24"/>
          <w:szCs w:val="24"/>
        </w:rPr>
        <w:t>He continued to explain when each of the two remedies will apply by stating:</w:t>
      </w:r>
    </w:p>
    <w:p w14:paraId="362B2DA9" w14:textId="3324CE78" w:rsidR="00E62CFA" w:rsidRDefault="00E62CFA" w:rsidP="00E62CFA">
      <w:pPr>
        <w:pStyle w:val="ListParagraph"/>
        <w:tabs>
          <w:tab w:val="left" w:pos="4917"/>
        </w:tabs>
        <w:spacing w:before="120" w:after="120" w:line="360" w:lineRule="auto"/>
        <w:jc w:val="both"/>
        <w:rPr>
          <w:rFonts w:ascii="Arial" w:hAnsi="Arial" w:cs="Arial"/>
          <w:color w:val="242121"/>
          <w:sz w:val="24"/>
          <w:szCs w:val="24"/>
        </w:rPr>
      </w:pPr>
    </w:p>
    <w:p w14:paraId="2611A9A3" w14:textId="21A04F30" w:rsidR="00E62CFA" w:rsidRPr="00E62CFA" w:rsidRDefault="00E36AEE" w:rsidP="00E62CFA">
      <w:pPr>
        <w:pStyle w:val="ListParagraph"/>
        <w:tabs>
          <w:tab w:val="left" w:pos="4917"/>
        </w:tabs>
        <w:spacing w:before="120" w:after="120" w:line="360" w:lineRule="auto"/>
        <w:ind w:left="1008" w:right="1008"/>
        <w:jc w:val="both"/>
        <w:rPr>
          <w:rFonts w:ascii="Arial" w:hAnsi="Arial" w:cs="Arial"/>
          <w:color w:val="242121"/>
          <w:sz w:val="24"/>
          <w:szCs w:val="24"/>
        </w:rPr>
      </w:pPr>
      <w:r>
        <w:rPr>
          <w:rFonts w:ascii="Arial" w:hAnsi="Arial" w:cs="Arial"/>
          <w:color w:val="242121"/>
          <w:sz w:val="24"/>
          <w:szCs w:val="24"/>
        </w:rPr>
        <w:t>'</w:t>
      </w:r>
      <w:r w:rsidR="00E62CFA" w:rsidRPr="00E62CFA">
        <w:rPr>
          <w:rFonts w:ascii="Arial" w:hAnsi="Arial" w:cs="Arial"/>
          <w:color w:val="242121"/>
          <w:sz w:val="24"/>
          <w:szCs w:val="24"/>
        </w:rPr>
        <w:t>A</w:t>
      </w:r>
      <w:r w:rsidR="00E62CFA" w:rsidRPr="00E62CFA">
        <w:rPr>
          <w:rFonts w:ascii="Arial" w:hAnsi="Arial" w:cs="Arial"/>
          <w:sz w:val="24"/>
          <w:szCs w:val="24"/>
        </w:rPr>
        <w:t>s stated above, the alienator spouse in alienating his or her assets before the accrual claim vests prejudices the claim in two respects. The first respect is to deplete the assets before the determinative date of the accrual claim, thereby reducing, if not extinguishing the difference in accrual between the two estates. In such instance, interdictory relief aimed at preventing a dissipation of assets to preserve the extent of the difference in the accrual claim is appropriate – it is aimed at preserving the contingent right to share in the accrual, so that when the accrual claim is awarded, there is an acc</w:t>
      </w:r>
      <w:r w:rsidR="00E71B5A">
        <w:rPr>
          <w:rFonts w:ascii="Arial" w:hAnsi="Arial" w:cs="Arial"/>
          <w:sz w:val="24"/>
          <w:szCs w:val="24"/>
        </w:rPr>
        <w:t>rual left in the marriage. Anti-</w:t>
      </w:r>
      <w:proofErr w:type="spellStart"/>
      <w:r w:rsidR="00E62CFA" w:rsidRPr="00E62CFA">
        <w:rPr>
          <w:rFonts w:ascii="Arial" w:hAnsi="Arial" w:cs="Arial"/>
          <w:sz w:val="24"/>
          <w:szCs w:val="24"/>
        </w:rPr>
        <w:t>dissipatory</w:t>
      </w:r>
      <w:proofErr w:type="spellEnd"/>
      <w:r w:rsidR="00E62CFA" w:rsidRPr="00E62CFA">
        <w:rPr>
          <w:rFonts w:ascii="Arial" w:hAnsi="Arial" w:cs="Arial"/>
          <w:sz w:val="24"/>
          <w:szCs w:val="24"/>
        </w:rPr>
        <w:t xml:space="preserve"> relief features where the alienator spouse alienates his or her assets so that once the accrual claim is granted and quantified there may be no assets left to satisfy that monetary judgment.</w:t>
      </w:r>
      <w:r>
        <w:rPr>
          <w:rFonts w:ascii="Arial" w:hAnsi="Arial" w:cs="Arial"/>
          <w:sz w:val="24"/>
          <w:szCs w:val="24"/>
        </w:rPr>
        <w:t>'</w:t>
      </w:r>
    </w:p>
    <w:p w14:paraId="3E0570D1" w14:textId="77777777" w:rsidR="00E62CFA" w:rsidRPr="00E62CFA" w:rsidRDefault="00E62CFA" w:rsidP="00E62CFA">
      <w:pPr>
        <w:pStyle w:val="ListParagraph"/>
        <w:tabs>
          <w:tab w:val="left" w:pos="4917"/>
        </w:tabs>
        <w:spacing w:before="120" w:after="120" w:line="360" w:lineRule="auto"/>
        <w:jc w:val="both"/>
        <w:rPr>
          <w:rFonts w:ascii="Arial" w:hAnsi="Arial" w:cs="Arial"/>
          <w:sz w:val="24"/>
          <w:szCs w:val="24"/>
        </w:rPr>
      </w:pPr>
    </w:p>
    <w:p w14:paraId="4AF28630" w14:textId="12197E5D" w:rsidR="00F11020"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F11020">
        <w:rPr>
          <w:rFonts w:ascii="Arial" w:hAnsi="Arial" w:cs="Arial"/>
          <w:sz w:val="24"/>
          <w:szCs w:val="24"/>
        </w:rPr>
        <w:t>[37]</w:t>
      </w:r>
      <w:r w:rsidRPr="00F11020">
        <w:rPr>
          <w:rFonts w:ascii="Arial" w:hAnsi="Arial" w:cs="Arial"/>
          <w:sz w:val="24"/>
          <w:szCs w:val="24"/>
        </w:rPr>
        <w:tab/>
      </w:r>
      <w:r w:rsidR="00F11020" w:rsidRPr="00B97A4E">
        <w:rPr>
          <w:rFonts w:ascii="Arial" w:hAnsi="Arial" w:cs="Arial"/>
          <w:color w:val="242121"/>
          <w:sz w:val="24"/>
          <w:szCs w:val="24"/>
        </w:rPr>
        <w:t>Where a party seeks anti-</w:t>
      </w:r>
      <w:proofErr w:type="spellStart"/>
      <w:r w:rsidR="00F11020" w:rsidRPr="00B97A4E">
        <w:rPr>
          <w:rFonts w:ascii="Arial" w:hAnsi="Arial" w:cs="Arial"/>
          <w:color w:val="242121"/>
          <w:sz w:val="24"/>
          <w:szCs w:val="24"/>
        </w:rPr>
        <w:t>dissipatory</w:t>
      </w:r>
      <w:proofErr w:type="spellEnd"/>
      <w:r w:rsidR="00F11020" w:rsidRPr="00B97A4E">
        <w:rPr>
          <w:rFonts w:ascii="Arial" w:hAnsi="Arial" w:cs="Arial"/>
          <w:color w:val="242121"/>
          <w:sz w:val="24"/>
          <w:szCs w:val="24"/>
        </w:rPr>
        <w:t xml:space="preserve"> relief in the sense that he or she see</w:t>
      </w:r>
      <w:r w:rsidR="00DD2AFA" w:rsidRPr="00B97A4E">
        <w:rPr>
          <w:rFonts w:ascii="Arial" w:hAnsi="Arial" w:cs="Arial"/>
          <w:color w:val="242121"/>
          <w:sz w:val="24"/>
          <w:szCs w:val="24"/>
        </w:rPr>
        <w:t xml:space="preserve">ks to prevent the other spouse </w:t>
      </w:r>
      <w:r w:rsidR="00F11020" w:rsidRPr="00B97A4E">
        <w:rPr>
          <w:rFonts w:ascii="Arial" w:hAnsi="Arial" w:cs="Arial"/>
          <w:color w:val="242121"/>
          <w:sz w:val="24"/>
          <w:szCs w:val="24"/>
        </w:rPr>
        <w:t>from dissipating his or her assets</w:t>
      </w:r>
      <w:r w:rsidR="00A91562" w:rsidRPr="00B97A4E">
        <w:rPr>
          <w:rFonts w:ascii="Arial" w:hAnsi="Arial" w:cs="Arial"/>
          <w:color w:val="242121"/>
          <w:sz w:val="24"/>
          <w:szCs w:val="24"/>
        </w:rPr>
        <w:t>,</w:t>
      </w:r>
      <w:r w:rsidR="00F11020" w:rsidRPr="00B97A4E">
        <w:rPr>
          <w:rFonts w:ascii="Arial" w:hAnsi="Arial" w:cs="Arial"/>
          <w:color w:val="242121"/>
          <w:sz w:val="24"/>
          <w:szCs w:val="24"/>
        </w:rPr>
        <w:t xml:space="preserve"> so that such other spouse has assets remaining against which the beneficiary spouse can execute once a judgment is granted in his or her favour consequent upon the court</w:t>
      </w:r>
      <w:r w:rsidR="00E36AEE" w:rsidRPr="00B97A4E">
        <w:rPr>
          <w:rFonts w:ascii="Arial" w:hAnsi="Arial" w:cs="Arial"/>
          <w:color w:val="242121"/>
          <w:sz w:val="24"/>
          <w:szCs w:val="24"/>
        </w:rPr>
        <w:t>'</w:t>
      </w:r>
      <w:r w:rsidR="00F11020" w:rsidRPr="00B97A4E">
        <w:rPr>
          <w:rFonts w:ascii="Arial" w:hAnsi="Arial" w:cs="Arial"/>
          <w:color w:val="242121"/>
          <w:sz w:val="24"/>
          <w:szCs w:val="24"/>
        </w:rPr>
        <w:t>s determination of the extent of an accrual claim, such relief is not directed at safeguarding the contingent accrual claim before it vests. Such ant</w:t>
      </w:r>
      <w:r w:rsidR="0074471C" w:rsidRPr="00B97A4E">
        <w:rPr>
          <w:rFonts w:ascii="Arial" w:hAnsi="Arial" w:cs="Arial"/>
          <w:color w:val="242121"/>
          <w:sz w:val="24"/>
          <w:szCs w:val="24"/>
        </w:rPr>
        <w:t>i</w:t>
      </w:r>
      <w:r w:rsidR="00F11020" w:rsidRPr="00B97A4E">
        <w:rPr>
          <w:rFonts w:ascii="Arial" w:hAnsi="Arial" w:cs="Arial"/>
          <w:color w:val="242121"/>
          <w:sz w:val="24"/>
          <w:szCs w:val="24"/>
        </w:rPr>
        <w:t>-</w:t>
      </w:r>
      <w:proofErr w:type="spellStart"/>
      <w:r w:rsidR="00F11020" w:rsidRPr="00B97A4E">
        <w:rPr>
          <w:rFonts w:ascii="Arial" w:hAnsi="Arial" w:cs="Arial"/>
          <w:color w:val="242121"/>
          <w:sz w:val="24"/>
          <w:szCs w:val="24"/>
        </w:rPr>
        <w:t>dissipatory</w:t>
      </w:r>
      <w:proofErr w:type="spellEnd"/>
      <w:r w:rsidR="00F11020" w:rsidRPr="00B97A4E">
        <w:rPr>
          <w:rFonts w:ascii="Arial" w:hAnsi="Arial" w:cs="Arial"/>
          <w:color w:val="242121"/>
          <w:sz w:val="24"/>
          <w:szCs w:val="24"/>
        </w:rPr>
        <w:t xml:space="preserve"> relief </w:t>
      </w:r>
      <w:r w:rsidR="00F11020" w:rsidRPr="00B97A4E">
        <w:rPr>
          <w:rFonts w:ascii="Arial" w:hAnsi="Arial" w:cs="Arial"/>
          <w:color w:val="242121"/>
          <w:sz w:val="24"/>
          <w:szCs w:val="24"/>
        </w:rPr>
        <w:lastRenderedPageBreak/>
        <w:t>is sought to ensure that there are sufficient assets to satisfy the accrual claim once determined by judgment.</w:t>
      </w:r>
      <w:r w:rsidR="00F11020">
        <w:rPr>
          <w:rStyle w:val="FootnoteReference"/>
          <w:rFonts w:ascii="Arial" w:hAnsi="Arial" w:cs="Arial"/>
          <w:color w:val="242121"/>
          <w:sz w:val="24"/>
          <w:szCs w:val="24"/>
        </w:rPr>
        <w:footnoteReference w:id="23"/>
      </w:r>
    </w:p>
    <w:p w14:paraId="47B4678B" w14:textId="77777777" w:rsidR="00F11020" w:rsidRPr="00F11020" w:rsidRDefault="00F11020" w:rsidP="00F11020">
      <w:pPr>
        <w:pStyle w:val="ListParagraph"/>
        <w:tabs>
          <w:tab w:val="left" w:pos="4917"/>
        </w:tabs>
        <w:spacing w:before="120" w:after="120" w:line="360" w:lineRule="auto"/>
        <w:jc w:val="both"/>
        <w:rPr>
          <w:rFonts w:ascii="Arial" w:hAnsi="Arial" w:cs="Arial"/>
          <w:sz w:val="24"/>
          <w:szCs w:val="24"/>
        </w:rPr>
      </w:pPr>
    </w:p>
    <w:p w14:paraId="2E5AD3E6" w14:textId="6CCCF8A6" w:rsidR="00E71B5A"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7941E6">
        <w:rPr>
          <w:rFonts w:ascii="Arial" w:hAnsi="Arial" w:cs="Arial"/>
          <w:sz w:val="24"/>
          <w:szCs w:val="24"/>
        </w:rPr>
        <w:t>[38]</w:t>
      </w:r>
      <w:r w:rsidRPr="007941E6">
        <w:rPr>
          <w:rFonts w:ascii="Arial" w:hAnsi="Arial" w:cs="Arial"/>
          <w:sz w:val="24"/>
          <w:szCs w:val="24"/>
        </w:rPr>
        <w:tab/>
      </w:r>
      <w:r w:rsidR="007941E6" w:rsidRPr="00B97A4E">
        <w:rPr>
          <w:rFonts w:ascii="Arial" w:hAnsi="Arial" w:cs="Arial"/>
          <w:color w:val="242121"/>
          <w:sz w:val="24"/>
          <w:szCs w:val="24"/>
        </w:rPr>
        <w:t xml:space="preserve">In </w:t>
      </w:r>
      <w:r w:rsidR="007941E6" w:rsidRPr="00B97A4E">
        <w:rPr>
          <w:rFonts w:ascii="Arial" w:hAnsi="Arial" w:cs="Arial"/>
          <w:i/>
          <w:color w:val="242121"/>
          <w:sz w:val="24"/>
          <w:szCs w:val="24"/>
        </w:rPr>
        <w:t>JLT v CHT and Another</w:t>
      </w:r>
      <w:r w:rsidR="007941E6">
        <w:rPr>
          <w:rStyle w:val="FootnoteReference"/>
          <w:rFonts w:ascii="Arial" w:hAnsi="Arial" w:cs="Arial"/>
          <w:i/>
          <w:color w:val="242121"/>
          <w:sz w:val="24"/>
          <w:szCs w:val="24"/>
        </w:rPr>
        <w:footnoteReference w:id="24"/>
      </w:r>
      <w:r w:rsidR="007941E6" w:rsidRPr="00B97A4E">
        <w:rPr>
          <w:rFonts w:ascii="Arial" w:hAnsi="Arial" w:cs="Arial"/>
          <w:color w:val="242121"/>
          <w:sz w:val="24"/>
          <w:szCs w:val="24"/>
        </w:rPr>
        <w:t xml:space="preserve"> the court had to deal with a matter that is quite similar to the matter before this court. The factual conte</w:t>
      </w:r>
      <w:r w:rsidR="0074471C" w:rsidRPr="00B97A4E">
        <w:rPr>
          <w:rFonts w:ascii="Arial" w:hAnsi="Arial" w:cs="Arial"/>
          <w:color w:val="242121"/>
          <w:sz w:val="24"/>
          <w:szCs w:val="24"/>
        </w:rPr>
        <w:t>x</w:t>
      </w:r>
      <w:r w:rsidR="007941E6" w:rsidRPr="00B97A4E">
        <w:rPr>
          <w:rFonts w:ascii="Arial" w:hAnsi="Arial" w:cs="Arial"/>
          <w:color w:val="242121"/>
          <w:sz w:val="24"/>
          <w:szCs w:val="24"/>
        </w:rPr>
        <w:t xml:space="preserve">t in </w:t>
      </w:r>
      <w:r w:rsidR="0074471C" w:rsidRPr="00B97A4E">
        <w:rPr>
          <w:rFonts w:ascii="Arial" w:hAnsi="Arial" w:cs="Arial"/>
          <w:i/>
          <w:color w:val="242121"/>
          <w:sz w:val="24"/>
          <w:szCs w:val="24"/>
        </w:rPr>
        <w:t>JLT</w:t>
      </w:r>
      <w:r w:rsidR="0074471C" w:rsidRPr="00B97A4E">
        <w:rPr>
          <w:rFonts w:ascii="Arial" w:hAnsi="Arial" w:cs="Arial"/>
          <w:color w:val="242121"/>
          <w:sz w:val="24"/>
          <w:szCs w:val="24"/>
        </w:rPr>
        <w:t xml:space="preserve"> was</w:t>
      </w:r>
      <w:r w:rsidR="007941E6" w:rsidRPr="00B97A4E">
        <w:rPr>
          <w:rFonts w:ascii="Arial" w:hAnsi="Arial" w:cs="Arial"/>
          <w:color w:val="242121"/>
          <w:sz w:val="24"/>
          <w:szCs w:val="24"/>
        </w:rPr>
        <w:t xml:space="preserve"> as follows:</w:t>
      </w:r>
    </w:p>
    <w:p w14:paraId="7709E0D0" w14:textId="77777777" w:rsidR="007941E6" w:rsidRPr="007941E6" w:rsidRDefault="007941E6" w:rsidP="007941E6">
      <w:pPr>
        <w:pStyle w:val="ListParagraph"/>
        <w:rPr>
          <w:rFonts w:ascii="Arial" w:hAnsi="Arial" w:cs="Arial"/>
          <w:sz w:val="24"/>
          <w:szCs w:val="24"/>
        </w:rPr>
      </w:pPr>
    </w:p>
    <w:p w14:paraId="70273D0F" w14:textId="7085315F" w:rsidR="007941E6" w:rsidRPr="007941E6" w:rsidRDefault="00E36AEE" w:rsidP="007941E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7941E6" w:rsidRPr="007941E6">
        <w:rPr>
          <w:rFonts w:ascii="Arial" w:hAnsi="Arial" w:cs="Arial"/>
          <w:color w:val="242121"/>
          <w:sz w:val="24"/>
          <w:szCs w:val="24"/>
          <w:shd w:val="clear" w:color="auto" w:fill="FFFFFF"/>
        </w:rPr>
        <w:t xml:space="preserve">The applicant, who is married to the first respondent by </w:t>
      </w:r>
      <w:proofErr w:type="spellStart"/>
      <w:r w:rsidR="007941E6" w:rsidRPr="007941E6">
        <w:rPr>
          <w:rFonts w:ascii="Arial" w:hAnsi="Arial" w:cs="Arial"/>
          <w:color w:val="242121"/>
          <w:sz w:val="24"/>
          <w:szCs w:val="24"/>
          <w:shd w:val="clear" w:color="auto" w:fill="FFFFFF"/>
        </w:rPr>
        <w:t>antenuptial</w:t>
      </w:r>
      <w:proofErr w:type="spellEnd"/>
      <w:r w:rsidR="007941E6" w:rsidRPr="007941E6">
        <w:rPr>
          <w:rFonts w:ascii="Arial" w:hAnsi="Arial" w:cs="Arial"/>
          <w:color w:val="242121"/>
          <w:sz w:val="24"/>
          <w:szCs w:val="24"/>
          <w:shd w:val="clear" w:color="auto" w:fill="FFFFFF"/>
        </w:rPr>
        <w:t xml:space="preserve"> contract with the application of the accrual system, seeks an anti-dissipation interdict against him pending the finalization of their divorce action (issued out of this court under case number 1269/</w:t>
      </w:r>
      <w:r w:rsidR="003239C9">
        <w:rPr>
          <w:rFonts w:ascii="Arial" w:hAnsi="Arial" w:cs="Arial"/>
          <w:color w:val="242121"/>
          <w:sz w:val="24"/>
          <w:szCs w:val="24"/>
          <w:shd w:val="clear" w:color="auto" w:fill="FFFFFF"/>
        </w:rPr>
        <w:t>19), in effect freezing the net</w:t>
      </w:r>
      <w:r w:rsidR="007941E6" w:rsidRPr="007941E6">
        <w:rPr>
          <w:rFonts w:ascii="Arial" w:hAnsi="Arial" w:cs="Arial"/>
          <w:color w:val="242121"/>
          <w:sz w:val="24"/>
          <w:szCs w:val="24"/>
          <w:shd w:val="clear" w:color="auto" w:fill="FFFFFF"/>
        </w:rPr>
        <w:t xml:space="preserve"> proceeds from the sale of their matrimonial home which the applicant, at the time of the launch of this application, was expecting to be paid by the second respondent.</w:t>
      </w:r>
      <w:r>
        <w:rPr>
          <w:rFonts w:ascii="Arial" w:hAnsi="Arial" w:cs="Arial"/>
          <w:color w:val="242121"/>
          <w:sz w:val="24"/>
          <w:szCs w:val="24"/>
          <w:shd w:val="clear" w:color="auto" w:fill="FFFFFF"/>
        </w:rPr>
        <w:t>'</w:t>
      </w:r>
    </w:p>
    <w:p w14:paraId="5CE12087" w14:textId="77777777" w:rsidR="00E71B5A" w:rsidRPr="00E71B5A" w:rsidRDefault="00E71B5A" w:rsidP="00E71B5A">
      <w:pPr>
        <w:pStyle w:val="ListParagraph"/>
        <w:tabs>
          <w:tab w:val="left" w:pos="4917"/>
        </w:tabs>
        <w:spacing w:before="120" w:after="120" w:line="360" w:lineRule="auto"/>
        <w:jc w:val="both"/>
        <w:rPr>
          <w:rFonts w:ascii="Arial" w:hAnsi="Arial" w:cs="Arial"/>
          <w:sz w:val="24"/>
          <w:szCs w:val="24"/>
        </w:rPr>
      </w:pPr>
    </w:p>
    <w:p w14:paraId="151A0C85" w14:textId="6B443A10" w:rsidR="007941E6"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7941E6">
        <w:rPr>
          <w:rFonts w:ascii="Arial" w:hAnsi="Arial" w:cs="Arial"/>
          <w:sz w:val="24"/>
          <w:szCs w:val="24"/>
        </w:rPr>
        <w:t>[39]</w:t>
      </w:r>
      <w:r w:rsidRPr="007941E6">
        <w:rPr>
          <w:rFonts w:ascii="Arial" w:hAnsi="Arial" w:cs="Arial"/>
          <w:sz w:val="24"/>
          <w:szCs w:val="24"/>
        </w:rPr>
        <w:tab/>
      </w:r>
      <w:proofErr w:type="spellStart"/>
      <w:r w:rsidR="007941E6" w:rsidRPr="00B97A4E">
        <w:rPr>
          <w:rFonts w:ascii="Arial" w:hAnsi="Arial" w:cs="Arial"/>
          <w:color w:val="242121"/>
          <w:sz w:val="24"/>
          <w:szCs w:val="24"/>
        </w:rPr>
        <w:t>Hartle</w:t>
      </w:r>
      <w:proofErr w:type="spellEnd"/>
      <w:r w:rsidR="007941E6" w:rsidRPr="00B97A4E">
        <w:rPr>
          <w:rFonts w:ascii="Arial" w:hAnsi="Arial" w:cs="Arial"/>
          <w:color w:val="242121"/>
          <w:sz w:val="24"/>
          <w:szCs w:val="24"/>
        </w:rPr>
        <w:t xml:space="preserve"> J explained that an anti-dissipation interdict may be granted where:</w:t>
      </w:r>
      <w:r w:rsidR="00975A48">
        <w:rPr>
          <w:rStyle w:val="FootnoteReference"/>
          <w:rFonts w:ascii="Arial" w:hAnsi="Arial" w:cs="Arial"/>
          <w:color w:val="242121"/>
          <w:sz w:val="24"/>
          <w:szCs w:val="24"/>
        </w:rPr>
        <w:footnoteReference w:id="25"/>
      </w:r>
    </w:p>
    <w:p w14:paraId="72DF9A77" w14:textId="77777777" w:rsidR="007941E6" w:rsidRDefault="007941E6" w:rsidP="007941E6">
      <w:pPr>
        <w:pStyle w:val="ListParagraph"/>
        <w:tabs>
          <w:tab w:val="left" w:pos="4917"/>
        </w:tabs>
        <w:spacing w:before="120" w:after="120" w:line="360" w:lineRule="auto"/>
        <w:jc w:val="both"/>
        <w:rPr>
          <w:rFonts w:ascii="Arial" w:hAnsi="Arial" w:cs="Arial"/>
          <w:color w:val="242121"/>
          <w:sz w:val="24"/>
          <w:szCs w:val="24"/>
        </w:rPr>
      </w:pPr>
    </w:p>
    <w:p w14:paraId="32EE9746" w14:textId="07DD0E3D" w:rsidR="007941E6" w:rsidRPr="007941E6" w:rsidRDefault="00E36AEE" w:rsidP="007941E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color w:val="242121"/>
          <w:sz w:val="24"/>
          <w:szCs w:val="24"/>
        </w:rPr>
        <w:t>'</w:t>
      </w:r>
      <w:r w:rsidR="007941E6" w:rsidRPr="007941E6">
        <w:rPr>
          <w:rFonts w:ascii="Arial" w:hAnsi="Arial" w:cs="Arial"/>
          <w:color w:val="242121"/>
          <w:sz w:val="24"/>
          <w:szCs w:val="24"/>
        </w:rPr>
        <w:t>a party is believed</w:t>
      </w:r>
      <w:r w:rsidR="007941E6" w:rsidRPr="007941E6">
        <w:rPr>
          <w:rFonts w:ascii="Arial" w:hAnsi="Arial" w:cs="Arial"/>
          <w:color w:val="242121"/>
          <w:sz w:val="24"/>
          <w:szCs w:val="24"/>
          <w:shd w:val="clear" w:color="auto" w:fill="FFFFFF"/>
        </w:rPr>
        <w:t xml:space="preserve"> to be deliberately arranging his affairs i</w:t>
      </w:r>
      <w:r>
        <w:rPr>
          <w:rFonts w:ascii="Arial" w:hAnsi="Arial" w:cs="Arial"/>
          <w:color w:val="242121"/>
          <w:sz w:val="24"/>
          <w:szCs w:val="24"/>
          <w:shd w:val="clear" w:color="auto" w:fill="FFFFFF"/>
        </w:rPr>
        <w:t>n</w:t>
      </w:r>
      <w:r w:rsidR="007941E6" w:rsidRPr="007941E6">
        <w:rPr>
          <w:rFonts w:ascii="Arial" w:hAnsi="Arial" w:cs="Arial"/>
          <w:color w:val="242121"/>
          <w:sz w:val="24"/>
          <w:szCs w:val="24"/>
          <w:shd w:val="clear" w:color="auto" w:fill="FFFFFF"/>
        </w:rPr>
        <w:t xml:space="preserve"> such a way so as to ensure that by the time the applicant is in a position to execute judgment he will be without assets or sufficient assets on which the applicant expects to execute.  It is not a claim to substitute the applicants claim for the loss suffered, but to enforce it in the event of success in the pending action so that he will not be left with a hollow judgment. It is an interdict of an unusual nature</w:t>
      </w:r>
      <w:r w:rsidR="007941E6" w:rsidRPr="007941E6">
        <w:rPr>
          <w:rFonts w:ascii="Arial" w:hAnsi="Arial" w:cs="Arial"/>
          <w:color w:val="000000"/>
          <w:sz w:val="24"/>
          <w:szCs w:val="24"/>
          <w:shd w:val="clear" w:color="auto" w:fill="FFFFFF"/>
        </w:rPr>
        <w:t xml:space="preserve">.  It is not the usual case where its purpose is to preserve an asset which is in issue between the parties. In fact, the applicant, as is the case in this instance, lays no claim to the property in question merely alleging a general right to damages or, as is the case here, to a matrimonial property accrual. Moreover, the conduct sought to be interdicted is usually </w:t>
      </w:r>
      <w:r w:rsidR="007941E6" w:rsidRPr="00975A48">
        <w:rPr>
          <w:rFonts w:ascii="Arial" w:hAnsi="Arial" w:cs="Arial"/>
          <w:i/>
          <w:color w:val="000000"/>
          <w:sz w:val="24"/>
          <w:szCs w:val="24"/>
          <w:shd w:val="clear" w:color="auto" w:fill="FFFFFF"/>
        </w:rPr>
        <w:t>prima facie</w:t>
      </w:r>
      <w:r w:rsidR="007941E6" w:rsidRPr="007941E6">
        <w:rPr>
          <w:rFonts w:ascii="Arial" w:hAnsi="Arial" w:cs="Arial"/>
          <w:color w:val="000000"/>
          <w:sz w:val="24"/>
          <w:szCs w:val="24"/>
          <w:shd w:val="clear" w:color="auto" w:fill="FFFFFF"/>
        </w:rPr>
        <w:t xml:space="preserve"> </w:t>
      </w:r>
      <w:r w:rsidR="007941E6" w:rsidRPr="007941E6">
        <w:rPr>
          <w:rFonts w:ascii="Arial" w:hAnsi="Arial" w:cs="Arial"/>
          <w:color w:val="000000"/>
          <w:sz w:val="24"/>
          <w:szCs w:val="24"/>
          <w:shd w:val="clear" w:color="auto" w:fill="FFFFFF"/>
        </w:rPr>
        <w:lastRenderedPageBreak/>
        <w:t>lawful, yet its effect is that it prevents the respondent from dealing freely with his assets.  The applicant further obtains no preferential rights over the asset forming the subject matter of the interdict.</w:t>
      </w:r>
      <w:r>
        <w:rPr>
          <w:rFonts w:ascii="Arial" w:hAnsi="Arial" w:cs="Arial"/>
          <w:color w:val="000000"/>
          <w:sz w:val="24"/>
          <w:szCs w:val="24"/>
          <w:shd w:val="clear" w:color="auto" w:fill="FFFFFF"/>
        </w:rPr>
        <w:t>'</w:t>
      </w:r>
    </w:p>
    <w:p w14:paraId="7572535D" w14:textId="6F15F551" w:rsidR="007941E6" w:rsidRPr="007941E6" w:rsidRDefault="007941E6" w:rsidP="007941E6">
      <w:pPr>
        <w:pStyle w:val="ListParagraph"/>
        <w:tabs>
          <w:tab w:val="left" w:pos="4917"/>
        </w:tabs>
        <w:spacing w:before="120" w:after="120" w:line="360" w:lineRule="auto"/>
        <w:jc w:val="both"/>
        <w:rPr>
          <w:rFonts w:ascii="Arial" w:hAnsi="Arial" w:cs="Arial"/>
          <w:sz w:val="24"/>
          <w:szCs w:val="24"/>
        </w:rPr>
      </w:pPr>
    </w:p>
    <w:p w14:paraId="63FC4FB4" w14:textId="4ABAB1E4" w:rsidR="00937B0A"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937B0A">
        <w:rPr>
          <w:rFonts w:ascii="Arial" w:hAnsi="Arial" w:cs="Arial"/>
          <w:sz w:val="24"/>
          <w:szCs w:val="24"/>
        </w:rPr>
        <w:t>[40]</w:t>
      </w:r>
      <w:r w:rsidRPr="00937B0A">
        <w:rPr>
          <w:rFonts w:ascii="Arial" w:hAnsi="Arial" w:cs="Arial"/>
          <w:sz w:val="24"/>
          <w:szCs w:val="24"/>
        </w:rPr>
        <w:tab/>
      </w:r>
      <w:proofErr w:type="spellStart"/>
      <w:r w:rsidR="00937B0A" w:rsidRPr="00B97A4E">
        <w:rPr>
          <w:rFonts w:ascii="Arial" w:hAnsi="Arial" w:cs="Arial"/>
          <w:color w:val="242121"/>
          <w:sz w:val="24"/>
          <w:szCs w:val="24"/>
        </w:rPr>
        <w:t>Hartle</w:t>
      </w:r>
      <w:proofErr w:type="spellEnd"/>
      <w:r w:rsidR="00E36AEE" w:rsidRPr="00B97A4E">
        <w:rPr>
          <w:rFonts w:ascii="Arial" w:hAnsi="Arial" w:cs="Arial"/>
          <w:color w:val="242121"/>
          <w:sz w:val="24"/>
          <w:szCs w:val="24"/>
        </w:rPr>
        <w:t xml:space="preserve"> J aptl</w:t>
      </w:r>
      <w:r w:rsidR="00937B0A" w:rsidRPr="00B97A4E">
        <w:rPr>
          <w:rFonts w:ascii="Arial" w:hAnsi="Arial" w:cs="Arial"/>
          <w:color w:val="242121"/>
          <w:sz w:val="24"/>
          <w:szCs w:val="24"/>
        </w:rPr>
        <w:t>y explained that since the purpose of the interdict sought is to prevent a person</w:t>
      </w:r>
      <w:r w:rsidR="00DD2AFA" w:rsidRPr="00B97A4E">
        <w:rPr>
          <w:rFonts w:ascii="Arial" w:hAnsi="Arial" w:cs="Arial"/>
          <w:color w:val="242121"/>
          <w:sz w:val="24"/>
          <w:szCs w:val="24"/>
        </w:rPr>
        <w:t xml:space="preserve"> who can be shown to have asset</w:t>
      </w:r>
      <w:r w:rsidR="00937B0A" w:rsidRPr="00B97A4E">
        <w:rPr>
          <w:rFonts w:ascii="Arial" w:hAnsi="Arial" w:cs="Arial"/>
          <w:color w:val="242121"/>
          <w:sz w:val="24"/>
          <w:szCs w:val="24"/>
        </w:rPr>
        <w:t>s and who is about to defeat the other</w:t>
      </w:r>
      <w:r w:rsidR="00E36AEE" w:rsidRPr="00B97A4E">
        <w:rPr>
          <w:rFonts w:ascii="Arial" w:hAnsi="Arial" w:cs="Arial"/>
          <w:color w:val="242121"/>
          <w:sz w:val="24"/>
          <w:szCs w:val="24"/>
        </w:rPr>
        <w:t>'</w:t>
      </w:r>
      <w:r w:rsidR="00937B0A" w:rsidRPr="00B97A4E">
        <w:rPr>
          <w:rFonts w:ascii="Arial" w:hAnsi="Arial" w:cs="Arial"/>
          <w:color w:val="242121"/>
          <w:sz w:val="24"/>
          <w:szCs w:val="24"/>
        </w:rPr>
        <w:t>s claim, or to render it hollow by secreting or dissipating assets before judgment can be obtained or executed, and thereby successfully defeating the ends of justice by doing so, the applicant bears the onus to establish the necessary requirements for the grant of the interdict.</w:t>
      </w:r>
      <w:r w:rsidR="00937B0A">
        <w:rPr>
          <w:rStyle w:val="FootnoteReference"/>
          <w:rFonts w:ascii="Arial" w:hAnsi="Arial" w:cs="Arial"/>
          <w:color w:val="242121"/>
          <w:sz w:val="24"/>
          <w:szCs w:val="24"/>
        </w:rPr>
        <w:footnoteReference w:id="26"/>
      </w:r>
      <w:r w:rsidR="00937B0A" w:rsidRPr="00B97A4E">
        <w:rPr>
          <w:rFonts w:ascii="Arial" w:hAnsi="Arial" w:cs="Arial"/>
          <w:color w:val="242121"/>
          <w:sz w:val="24"/>
          <w:szCs w:val="24"/>
        </w:rPr>
        <w:t xml:space="preserve">  The applicant needs to show a particular state of mind on the part of the respondent, i.e. that he is getting rid of the funds, or is likely to do so, with the intention of defeating the claims of creditors. Of importance is </w:t>
      </w:r>
      <w:proofErr w:type="spellStart"/>
      <w:r w:rsidR="00937B0A" w:rsidRPr="00B97A4E">
        <w:rPr>
          <w:rFonts w:ascii="Arial" w:hAnsi="Arial" w:cs="Arial"/>
          <w:color w:val="242121"/>
          <w:sz w:val="24"/>
          <w:szCs w:val="24"/>
        </w:rPr>
        <w:t>Hartle</w:t>
      </w:r>
      <w:proofErr w:type="spellEnd"/>
      <w:r w:rsidR="00937B0A" w:rsidRPr="00B97A4E">
        <w:rPr>
          <w:rFonts w:ascii="Arial" w:hAnsi="Arial" w:cs="Arial"/>
          <w:color w:val="242121"/>
          <w:sz w:val="24"/>
          <w:szCs w:val="24"/>
        </w:rPr>
        <w:t xml:space="preserve"> J</w:t>
      </w:r>
      <w:r w:rsidR="00E36AEE" w:rsidRPr="00B97A4E">
        <w:rPr>
          <w:rFonts w:ascii="Arial" w:hAnsi="Arial" w:cs="Arial"/>
          <w:color w:val="242121"/>
          <w:sz w:val="24"/>
          <w:szCs w:val="24"/>
        </w:rPr>
        <w:t>'</w:t>
      </w:r>
      <w:r w:rsidR="00937B0A" w:rsidRPr="00B97A4E">
        <w:rPr>
          <w:rFonts w:ascii="Arial" w:hAnsi="Arial" w:cs="Arial"/>
          <w:color w:val="242121"/>
          <w:sz w:val="24"/>
          <w:szCs w:val="24"/>
        </w:rPr>
        <w:t>s view that:</w:t>
      </w:r>
    </w:p>
    <w:p w14:paraId="7B9BEBC7" w14:textId="77777777" w:rsidR="000C0D03" w:rsidRDefault="000C0D03" w:rsidP="00937B0A">
      <w:pPr>
        <w:pStyle w:val="ListParagraph"/>
        <w:tabs>
          <w:tab w:val="left" w:pos="4917"/>
        </w:tabs>
        <w:spacing w:before="120" w:after="120" w:line="360" w:lineRule="auto"/>
        <w:ind w:left="1008" w:right="1008"/>
        <w:jc w:val="both"/>
        <w:rPr>
          <w:rFonts w:ascii="Arial" w:hAnsi="Arial" w:cs="Arial"/>
          <w:color w:val="242121"/>
          <w:sz w:val="24"/>
          <w:szCs w:val="24"/>
        </w:rPr>
      </w:pPr>
    </w:p>
    <w:p w14:paraId="19D98D8C" w14:textId="6FF872D9" w:rsidR="007941E6" w:rsidRPr="007941E6" w:rsidRDefault="00E36AEE" w:rsidP="00937B0A">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color w:val="242121"/>
          <w:sz w:val="24"/>
          <w:szCs w:val="24"/>
        </w:rPr>
        <w:t>'</w:t>
      </w:r>
      <w:r w:rsidR="00937B0A">
        <w:rPr>
          <w:rFonts w:ascii="Arial" w:hAnsi="Arial" w:cs="Arial"/>
          <w:color w:val="242121"/>
          <w:sz w:val="24"/>
          <w:szCs w:val="24"/>
        </w:rPr>
        <w:t xml:space="preserve">it is not essential to establish an intention on the part of the respondent to frustrate an anticipated judgment </w:t>
      </w:r>
      <w:r w:rsidR="00937B0A">
        <w:rPr>
          <w:rFonts w:ascii="Arial" w:hAnsi="Arial" w:cs="Arial"/>
          <w:i/>
          <w:color w:val="242121"/>
          <w:sz w:val="24"/>
          <w:szCs w:val="24"/>
        </w:rPr>
        <w:t>if the conduct of the respondent is likely to have that effect.</w:t>
      </w:r>
      <w:r>
        <w:rPr>
          <w:rFonts w:ascii="Arial" w:hAnsi="Arial" w:cs="Arial"/>
          <w:i/>
          <w:color w:val="242121"/>
          <w:sz w:val="24"/>
          <w:szCs w:val="24"/>
        </w:rPr>
        <w:t>'</w:t>
      </w:r>
      <w:r w:rsidR="00937B0A">
        <w:rPr>
          <w:rStyle w:val="FootnoteReference"/>
          <w:rFonts w:ascii="Arial" w:hAnsi="Arial" w:cs="Arial"/>
          <w:i/>
          <w:color w:val="242121"/>
          <w:sz w:val="24"/>
          <w:szCs w:val="24"/>
        </w:rPr>
        <w:footnoteReference w:id="27"/>
      </w:r>
      <w:r w:rsidR="00937B0A">
        <w:rPr>
          <w:rFonts w:ascii="Arial" w:hAnsi="Arial" w:cs="Arial"/>
          <w:color w:val="242121"/>
          <w:sz w:val="24"/>
          <w:szCs w:val="24"/>
        </w:rPr>
        <w:t xml:space="preserve"> </w:t>
      </w:r>
    </w:p>
    <w:p w14:paraId="2FBD0BC1" w14:textId="65ABF753" w:rsidR="007941E6" w:rsidRPr="007941E6" w:rsidRDefault="007941E6" w:rsidP="007941E6">
      <w:pPr>
        <w:pStyle w:val="ListParagraph"/>
        <w:tabs>
          <w:tab w:val="left" w:pos="4917"/>
        </w:tabs>
        <w:spacing w:before="120" w:after="120" w:line="360" w:lineRule="auto"/>
        <w:jc w:val="both"/>
        <w:rPr>
          <w:rFonts w:ascii="Arial" w:hAnsi="Arial" w:cs="Arial"/>
          <w:sz w:val="24"/>
          <w:szCs w:val="24"/>
        </w:rPr>
      </w:pPr>
    </w:p>
    <w:p w14:paraId="7EC06A0A" w14:textId="03CF10BC" w:rsidR="00937B0A"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937B0A">
        <w:rPr>
          <w:rFonts w:ascii="Arial" w:hAnsi="Arial" w:cs="Arial"/>
          <w:sz w:val="24"/>
          <w:szCs w:val="24"/>
        </w:rPr>
        <w:t>[41]</w:t>
      </w:r>
      <w:r w:rsidRPr="00937B0A">
        <w:rPr>
          <w:rFonts w:ascii="Arial" w:hAnsi="Arial" w:cs="Arial"/>
          <w:sz w:val="24"/>
          <w:szCs w:val="24"/>
        </w:rPr>
        <w:tab/>
      </w:r>
      <w:proofErr w:type="spellStart"/>
      <w:r w:rsidR="00937B0A" w:rsidRPr="00B97A4E">
        <w:rPr>
          <w:rFonts w:ascii="Arial" w:hAnsi="Arial" w:cs="Arial"/>
          <w:color w:val="242121"/>
          <w:sz w:val="24"/>
          <w:szCs w:val="24"/>
        </w:rPr>
        <w:t>Hartle</w:t>
      </w:r>
      <w:proofErr w:type="spellEnd"/>
      <w:r w:rsidR="00937B0A" w:rsidRPr="00B97A4E">
        <w:rPr>
          <w:rFonts w:ascii="Arial" w:hAnsi="Arial" w:cs="Arial"/>
          <w:color w:val="242121"/>
          <w:sz w:val="24"/>
          <w:szCs w:val="24"/>
        </w:rPr>
        <w:t xml:space="preserve"> J held, and I agree, that the requirements that must be satisfied to obtain an anti-dissipation interdict, which is interim in both form and substance, are the same for any other interim interdict, provided that it has been held that the interdict is </w:t>
      </w:r>
      <w:r w:rsidR="00937B0A" w:rsidRPr="00B97A4E">
        <w:rPr>
          <w:rFonts w:ascii="Arial" w:hAnsi="Arial" w:cs="Arial"/>
          <w:i/>
          <w:color w:val="242121"/>
          <w:sz w:val="24"/>
          <w:szCs w:val="24"/>
        </w:rPr>
        <w:t>sui generis.</w:t>
      </w:r>
      <w:r w:rsidR="00937B0A">
        <w:rPr>
          <w:rStyle w:val="FootnoteReference"/>
          <w:rFonts w:ascii="Arial" w:hAnsi="Arial" w:cs="Arial"/>
          <w:i/>
          <w:color w:val="242121"/>
          <w:sz w:val="24"/>
          <w:szCs w:val="24"/>
        </w:rPr>
        <w:footnoteReference w:id="28"/>
      </w:r>
    </w:p>
    <w:p w14:paraId="3EFCCEF1" w14:textId="77777777" w:rsidR="00937B0A" w:rsidRPr="00937B0A" w:rsidRDefault="00937B0A" w:rsidP="00937B0A">
      <w:pPr>
        <w:pStyle w:val="ListParagraph"/>
        <w:tabs>
          <w:tab w:val="left" w:pos="4917"/>
        </w:tabs>
        <w:spacing w:before="120" w:after="120" w:line="360" w:lineRule="auto"/>
        <w:jc w:val="both"/>
        <w:rPr>
          <w:rFonts w:ascii="Arial" w:hAnsi="Arial" w:cs="Arial"/>
          <w:sz w:val="24"/>
          <w:szCs w:val="24"/>
        </w:rPr>
      </w:pPr>
    </w:p>
    <w:p w14:paraId="2DCD3ECC" w14:textId="605D01E7" w:rsidR="00BF6075"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937B0A">
        <w:rPr>
          <w:rFonts w:ascii="Arial" w:hAnsi="Arial" w:cs="Arial"/>
          <w:sz w:val="24"/>
          <w:szCs w:val="24"/>
        </w:rPr>
        <w:t>[42]</w:t>
      </w:r>
      <w:r w:rsidRPr="00937B0A">
        <w:rPr>
          <w:rFonts w:ascii="Arial" w:hAnsi="Arial" w:cs="Arial"/>
          <w:sz w:val="24"/>
          <w:szCs w:val="24"/>
        </w:rPr>
        <w:tab/>
      </w:r>
      <w:r w:rsidR="00BF6075" w:rsidRPr="00B97A4E">
        <w:rPr>
          <w:rFonts w:ascii="Arial" w:hAnsi="Arial" w:cs="Arial"/>
          <w:color w:val="242121"/>
          <w:sz w:val="24"/>
          <w:szCs w:val="24"/>
        </w:rPr>
        <w:t xml:space="preserve">A request for an interim interdict is a court order preserving or restoring the </w:t>
      </w:r>
      <w:r w:rsidR="00BF6075" w:rsidRPr="00B97A4E">
        <w:rPr>
          <w:rFonts w:ascii="Arial" w:hAnsi="Arial" w:cs="Arial"/>
          <w:i/>
          <w:color w:val="242121"/>
          <w:sz w:val="24"/>
          <w:szCs w:val="24"/>
        </w:rPr>
        <w:t xml:space="preserve">status quo </w:t>
      </w:r>
      <w:r w:rsidR="00BF6075" w:rsidRPr="00B97A4E">
        <w:rPr>
          <w:rFonts w:ascii="Arial" w:hAnsi="Arial" w:cs="Arial"/>
          <w:color w:val="242121"/>
          <w:sz w:val="24"/>
          <w:szCs w:val="24"/>
        </w:rPr>
        <w:t xml:space="preserve">pending the determination of the rights of the parties. It is important to emphasize that an interim interdict does not involve a final determination of these </w:t>
      </w:r>
      <w:r w:rsidR="00BF6075" w:rsidRPr="00B97A4E">
        <w:rPr>
          <w:rFonts w:ascii="Arial" w:hAnsi="Arial" w:cs="Arial"/>
          <w:color w:val="242121"/>
          <w:sz w:val="24"/>
          <w:szCs w:val="24"/>
        </w:rPr>
        <w:lastRenderedPageBreak/>
        <w:t>rights and does not affect their final determination. In this regard, the Constitutional Court said the following:</w:t>
      </w:r>
      <w:r w:rsidR="00BF6075">
        <w:rPr>
          <w:rStyle w:val="FootnoteReference"/>
          <w:rFonts w:ascii="Arial" w:hAnsi="Arial" w:cs="Arial"/>
          <w:color w:val="242121"/>
          <w:sz w:val="24"/>
          <w:szCs w:val="24"/>
        </w:rPr>
        <w:footnoteReference w:id="29"/>
      </w:r>
    </w:p>
    <w:p w14:paraId="35EEF253" w14:textId="320BA165" w:rsidR="00BF6075" w:rsidRDefault="00E36AEE" w:rsidP="00BF6075">
      <w:pPr>
        <w:pStyle w:val="NormalWeb"/>
        <w:shd w:val="clear" w:color="auto" w:fill="FFFFFF"/>
        <w:spacing w:before="144" w:beforeAutospacing="0" w:after="0" w:afterAutospacing="0" w:line="360" w:lineRule="atLeast"/>
        <w:ind w:left="1008" w:right="1008"/>
        <w:jc w:val="both"/>
        <w:rPr>
          <w:rFonts w:ascii="Arial" w:hAnsi="Arial" w:cs="Arial"/>
          <w:color w:val="242121"/>
        </w:rPr>
      </w:pPr>
      <w:r>
        <w:rPr>
          <w:rFonts w:ascii="Arial" w:hAnsi="Arial" w:cs="Arial"/>
          <w:color w:val="242121"/>
        </w:rPr>
        <w:t>'</w:t>
      </w:r>
      <w:r w:rsidR="00BF6075" w:rsidRPr="00EB641B">
        <w:rPr>
          <w:rFonts w:ascii="Arial" w:hAnsi="Arial" w:cs="Arial"/>
          <w:iCs/>
          <w:color w:val="242121"/>
        </w:rPr>
        <w:t>An interim interdict is by definition 'a court order preserving or restoring the status quo pending the final determination of the rights of the parties. It does not involve a final determination of these rights and does not affect their final determination.' The dispute in an application for an interim interdict is therefore not the same as that in the main application to which the interim interdict relates. In an application for an interim interdict the dispute is whether, applying the relevant legal requirements, the status quo should be preserved or restored pending the decision of the main dispute. At common law, a court's jurisdiction to entertain an application for an interim interdict depends on whether it has jurisdiction to preserve or restore the status quo</w:t>
      </w:r>
      <w:r w:rsidR="00BF6075" w:rsidRPr="00BF6075">
        <w:rPr>
          <w:rFonts w:ascii="Arial" w:hAnsi="Arial" w:cs="Arial"/>
          <w:i/>
          <w:iCs/>
          <w:color w:val="242121"/>
        </w:rPr>
        <w:t>.</w:t>
      </w:r>
      <w:r>
        <w:rPr>
          <w:rFonts w:ascii="Arial" w:hAnsi="Arial" w:cs="Arial"/>
          <w:color w:val="242121"/>
        </w:rPr>
        <w:t>'</w:t>
      </w:r>
    </w:p>
    <w:p w14:paraId="1BD01865" w14:textId="77777777" w:rsidR="00BF6075" w:rsidRPr="00BF6075" w:rsidRDefault="00BF6075" w:rsidP="00BF6075">
      <w:pPr>
        <w:pStyle w:val="NormalWeb"/>
        <w:shd w:val="clear" w:color="auto" w:fill="FFFFFF"/>
        <w:spacing w:before="144" w:beforeAutospacing="0" w:after="0" w:afterAutospacing="0" w:line="360" w:lineRule="atLeast"/>
        <w:ind w:left="1008" w:right="1008"/>
        <w:jc w:val="both"/>
        <w:rPr>
          <w:rFonts w:ascii="Arial" w:hAnsi="Arial" w:cs="Arial"/>
          <w:color w:val="242121"/>
        </w:rPr>
      </w:pPr>
    </w:p>
    <w:p w14:paraId="758AC0BC" w14:textId="4A4B8498" w:rsidR="00BF6075"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[43]</w:t>
      </w:r>
      <w:r w:rsidRPr="00BF6075">
        <w:rPr>
          <w:rFonts w:ascii="Arial" w:hAnsi="Arial" w:cs="Arial"/>
          <w:sz w:val="24"/>
          <w:szCs w:val="24"/>
        </w:rPr>
        <w:tab/>
      </w:r>
      <w:proofErr w:type="spellStart"/>
      <w:r w:rsidR="00BF6075" w:rsidRPr="00B97A4E">
        <w:rPr>
          <w:rFonts w:ascii="Arial" w:hAnsi="Arial" w:cs="Arial"/>
          <w:sz w:val="24"/>
          <w:szCs w:val="24"/>
        </w:rPr>
        <w:t>Plasket</w:t>
      </w:r>
      <w:proofErr w:type="spellEnd"/>
      <w:r w:rsidR="00BF6075" w:rsidRPr="00B97A4E">
        <w:rPr>
          <w:rFonts w:ascii="Arial" w:hAnsi="Arial" w:cs="Arial"/>
          <w:sz w:val="24"/>
          <w:szCs w:val="24"/>
        </w:rPr>
        <w:t xml:space="preserve"> J, as he then was, highlighted in </w:t>
      </w:r>
      <w:proofErr w:type="spellStart"/>
      <w:r w:rsidR="00BF6075" w:rsidRPr="00B97A4E">
        <w:rPr>
          <w:rFonts w:ascii="Arial" w:hAnsi="Arial" w:cs="Arial"/>
          <w:i/>
          <w:sz w:val="24"/>
          <w:szCs w:val="24"/>
        </w:rPr>
        <w:t>Mthizane</w:t>
      </w:r>
      <w:proofErr w:type="spellEnd"/>
      <w:r w:rsidR="00BF6075" w:rsidRPr="00B97A4E">
        <w:rPr>
          <w:rFonts w:ascii="Arial" w:hAnsi="Arial" w:cs="Arial"/>
          <w:i/>
          <w:sz w:val="24"/>
          <w:szCs w:val="24"/>
        </w:rPr>
        <w:t xml:space="preserve">-Base and Others v </w:t>
      </w:r>
      <w:proofErr w:type="spellStart"/>
      <w:r w:rsidR="00BF6075" w:rsidRPr="00B97A4E">
        <w:rPr>
          <w:rFonts w:ascii="Arial" w:hAnsi="Arial" w:cs="Arial"/>
          <w:i/>
          <w:sz w:val="24"/>
          <w:szCs w:val="24"/>
        </w:rPr>
        <w:t>Maxhwele</w:t>
      </w:r>
      <w:proofErr w:type="spellEnd"/>
      <w:r w:rsidR="00BF6075" w:rsidRPr="00B97A4E">
        <w:rPr>
          <w:rFonts w:ascii="Arial" w:hAnsi="Arial" w:cs="Arial"/>
          <w:i/>
          <w:sz w:val="24"/>
          <w:szCs w:val="24"/>
        </w:rPr>
        <w:t xml:space="preserve"> and Others:</w:t>
      </w:r>
      <w:r w:rsidR="00BF6075">
        <w:rPr>
          <w:rStyle w:val="FootnoteReference"/>
          <w:rFonts w:ascii="Arial" w:hAnsi="Arial" w:cs="Arial"/>
          <w:i/>
          <w:sz w:val="24"/>
          <w:szCs w:val="24"/>
        </w:rPr>
        <w:footnoteReference w:id="30"/>
      </w:r>
    </w:p>
    <w:p w14:paraId="1BD88BBC" w14:textId="77777777" w:rsidR="00BF6075" w:rsidRDefault="00BF6075" w:rsidP="00BF6075">
      <w:pPr>
        <w:pStyle w:val="ListParagraph"/>
        <w:tabs>
          <w:tab w:val="left" w:pos="4917"/>
        </w:tabs>
        <w:spacing w:before="120" w:after="120" w:line="360" w:lineRule="auto"/>
        <w:jc w:val="both"/>
        <w:rPr>
          <w:rFonts w:ascii="Arial" w:hAnsi="Arial" w:cs="Arial"/>
          <w:color w:val="242121"/>
          <w:sz w:val="27"/>
          <w:szCs w:val="27"/>
          <w:shd w:val="clear" w:color="auto" w:fill="FFFFFF"/>
        </w:rPr>
      </w:pPr>
    </w:p>
    <w:p w14:paraId="7BECCE7E" w14:textId="3877449B" w:rsidR="00BF6075" w:rsidRPr="00BF6075" w:rsidRDefault="00E36AEE" w:rsidP="00BF607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color w:val="242121"/>
          <w:sz w:val="24"/>
          <w:szCs w:val="24"/>
          <w:shd w:val="clear" w:color="auto" w:fill="FFFFFF"/>
        </w:rPr>
        <w:t>'</w:t>
      </w:r>
      <w:r w:rsidR="00BF6075" w:rsidRPr="00BF6075">
        <w:rPr>
          <w:rFonts w:ascii="Arial" w:hAnsi="Arial" w:cs="Arial"/>
          <w:color w:val="242121"/>
          <w:sz w:val="24"/>
          <w:szCs w:val="24"/>
          <w:shd w:val="clear" w:color="auto" w:fill="FFFFFF"/>
        </w:rPr>
        <w:t>The approach to disputes of fact when interim relief is sought differs from that when final relief is sought: in effect, the former situation is the obverse of the latter situation.</w:t>
      </w:r>
      <w:r>
        <w:rPr>
          <w:rFonts w:ascii="Arial" w:hAnsi="Arial" w:cs="Arial"/>
          <w:color w:val="242121"/>
          <w:sz w:val="24"/>
          <w:szCs w:val="24"/>
          <w:shd w:val="clear" w:color="auto" w:fill="FFFFFF"/>
        </w:rPr>
        <w:t>'</w:t>
      </w:r>
    </w:p>
    <w:p w14:paraId="0D976071" w14:textId="77777777" w:rsidR="00907BDF" w:rsidRPr="00BF6075" w:rsidRDefault="00907BDF" w:rsidP="00907BDF">
      <w:pPr>
        <w:pStyle w:val="ListParagraph"/>
        <w:rPr>
          <w:rFonts w:ascii="Arial" w:hAnsi="Arial" w:cs="Arial"/>
          <w:sz w:val="24"/>
          <w:szCs w:val="24"/>
        </w:rPr>
      </w:pPr>
    </w:p>
    <w:p w14:paraId="10020A28" w14:textId="70F4F2E7" w:rsidR="00907BDF"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B641B" w:rsidRPr="00B97A4E">
        <w:rPr>
          <w:rFonts w:ascii="Arial" w:hAnsi="Arial" w:cs="Arial"/>
          <w:sz w:val="24"/>
          <w:szCs w:val="24"/>
        </w:rPr>
        <w:t>It is a trite principle that in an application for a temporary interdict, an appli</w:t>
      </w:r>
      <w:r w:rsidR="00F406D8" w:rsidRPr="00B97A4E">
        <w:rPr>
          <w:rFonts w:ascii="Arial" w:hAnsi="Arial" w:cs="Arial"/>
          <w:sz w:val="24"/>
          <w:szCs w:val="24"/>
        </w:rPr>
        <w:t>cant</w:t>
      </w:r>
      <w:r w:rsidR="00E36AEE" w:rsidRPr="00B97A4E">
        <w:rPr>
          <w:rFonts w:ascii="Arial" w:hAnsi="Arial" w:cs="Arial"/>
          <w:sz w:val="24"/>
          <w:szCs w:val="24"/>
        </w:rPr>
        <w:t>'</w:t>
      </w:r>
      <w:r w:rsidR="00F406D8" w:rsidRPr="00B97A4E">
        <w:rPr>
          <w:rFonts w:ascii="Arial" w:hAnsi="Arial" w:cs="Arial"/>
          <w:sz w:val="24"/>
          <w:szCs w:val="24"/>
        </w:rPr>
        <w:t>s right need not be shown on</w:t>
      </w:r>
      <w:r w:rsidR="00EB641B" w:rsidRPr="00B97A4E">
        <w:rPr>
          <w:rFonts w:ascii="Arial" w:hAnsi="Arial" w:cs="Arial"/>
          <w:sz w:val="24"/>
          <w:szCs w:val="24"/>
        </w:rPr>
        <w:t xml:space="preserve"> a balance of probabilities. It is sufficient if such right is </w:t>
      </w:r>
      <w:r w:rsidR="00EB641B" w:rsidRPr="00B97A4E">
        <w:rPr>
          <w:rFonts w:ascii="Arial" w:hAnsi="Arial" w:cs="Arial"/>
          <w:i/>
          <w:sz w:val="24"/>
          <w:szCs w:val="24"/>
        </w:rPr>
        <w:t>prima facie</w:t>
      </w:r>
      <w:r w:rsidR="00F406D8" w:rsidRPr="00B97A4E">
        <w:rPr>
          <w:rFonts w:ascii="Arial" w:hAnsi="Arial" w:cs="Arial"/>
          <w:sz w:val="24"/>
          <w:szCs w:val="24"/>
        </w:rPr>
        <w:t xml:space="preserve"> esta</w:t>
      </w:r>
      <w:r w:rsidR="00EB641B" w:rsidRPr="00B97A4E">
        <w:rPr>
          <w:rFonts w:ascii="Arial" w:hAnsi="Arial" w:cs="Arial"/>
          <w:sz w:val="24"/>
          <w:szCs w:val="24"/>
        </w:rPr>
        <w:t>blished, though open for some doubt.</w:t>
      </w:r>
      <w:r w:rsidR="00A33813" w:rsidRPr="00B97A4E">
        <w:rPr>
          <w:rFonts w:ascii="Arial" w:hAnsi="Arial" w:cs="Arial"/>
          <w:sz w:val="24"/>
          <w:szCs w:val="24"/>
        </w:rPr>
        <w:t xml:space="preserve"> In </w:t>
      </w:r>
      <w:r w:rsidR="00A33813" w:rsidRPr="00B97A4E">
        <w:rPr>
          <w:rFonts w:ascii="Arial" w:hAnsi="Arial" w:cs="Arial"/>
          <w:i/>
          <w:sz w:val="24"/>
          <w:szCs w:val="24"/>
        </w:rPr>
        <w:t>Webster v Mitchell</w:t>
      </w:r>
      <w:r w:rsidR="00A33813">
        <w:rPr>
          <w:rStyle w:val="FootnoteReference"/>
          <w:rFonts w:ascii="Arial" w:hAnsi="Arial" w:cs="Arial"/>
          <w:i/>
          <w:sz w:val="24"/>
          <w:szCs w:val="24"/>
        </w:rPr>
        <w:footnoteReference w:id="31"/>
      </w:r>
      <w:r w:rsidR="00A33813" w:rsidRPr="00B97A4E">
        <w:rPr>
          <w:rFonts w:ascii="Arial" w:hAnsi="Arial" w:cs="Arial"/>
          <w:sz w:val="24"/>
          <w:szCs w:val="24"/>
        </w:rPr>
        <w:t xml:space="preserve"> the court explained that:</w:t>
      </w:r>
    </w:p>
    <w:p w14:paraId="22342D0D" w14:textId="67E19D87" w:rsidR="00A33813" w:rsidRDefault="00A33813" w:rsidP="00A33813">
      <w:pPr>
        <w:pStyle w:val="ListParagraph"/>
        <w:tabs>
          <w:tab w:val="left" w:pos="4917"/>
        </w:tabs>
        <w:spacing w:before="120" w:after="120" w:line="360" w:lineRule="auto"/>
        <w:jc w:val="both"/>
        <w:rPr>
          <w:rFonts w:ascii="Arial" w:hAnsi="Arial" w:cs="Arial"/>
          <w:sz w:val="24"/>
          <w:szCs w:val="24"/>
        </w:rPr>
      </w:pPr>
    </w:p>
    <w:p w14:paraId="556521DB" w14:textId="2125B26C" w:rsidR="00A33813" w:rsidRPr="00BF6075" w:rsidRDefault="00E36AEE" w:rsidP="0053263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33813">
        <w:rPr>
          <w:rFonts w:ascii="Arial" w:hAnsi="Arial" w:cs="Arial"/>
          <w:sz w:val="24"/>
          <w:szCs w:val="24"/>
        </w:rPr>
        <w:t xml:space="preserve">The proper manner of approach I consider is to take the facts set out by the applicant, together with the facts set out by the respondent, which </w:t>
      </w:r>
      <w:r w:rsidR="00A33813">
        <w:rPr>
          <w:rFonts w:ascii="Arial" w:hAnsi="Arial" w:cs="Arial"/>
          <w:sz w:val="24"/>
          <w:szCs w:val="24"/>
        </w:rPr>
        <w:lastRenderedPageBreak/>
        <w:t>the applicant cannot dispute, and to consider whether having regard to the inherent probabilities, the applicant could on those facts obtain final relief</w:t>
      </w:r>
      <w:r w:rsidR="00532639">
        <w:rPr>
          <w:rFonts w:ascii="Arial" w:hAnsi="Arial" w:cs="Arial"/>
          <w:sz w:val="24"/>
          <w:szCs w:val="24"/>
        </w:rPr>
        <w:t>.’</w:t>
      </w:r>
    </w:p>
    <w:p w14:paraId="29B22C13" w14:textId="77777777" w:rsidR="00907BDF" w:rsidRPr="00BF6075" w:rsidRDefault="00907BDF" w:rsidP="00907BDF">
      <w:pPr>
        <w:pStyle w:val="ListParagraph"/>
        <w:rPr>
          <w:rFonts w:ascii="Arial" w:hAnsi="Arial" w:cs="Arial"/>
          <w:sz w:val="24"/>
          <w:szCs w:val="24"/>
        </w:rPr>
      </w:pPr>
    </w:p>
    <w:p w14:paraId="1404F2E2" w14:textId="0DEE4255" w:rsidR="00907BDF"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406D8" w:rsidRPr="00B97A4E">
        <w:rPr>
          <w:rFonts w:ascii="Arial" w:hAnsi="Arial" w:cs="Arial"/>
          <w:sz w:val="24"/>
          <w:szCs w:val="24"/>
        </w:rPr>
        <w:t>This standard was echoed as far as anti-</w:t>
      </w:r>
      <w:r w:rsidR="00E557FB" w:rsidRPr="00B97A4E">
        <w:rPr>
          <w:rFonts w:ascii="Arial" w:hAnsi="Arial" w:cs="Arial"/>
          <w:sz w:val="24"/>
          <w:szCs w:val="24"/>
        </w:rPr>
        <w:t>dissipation</w:t>
      </w:r>
      <w:r w:rsidR="00F406D8" w:rsidRPr="00B97A4E">
        <w:rPr>
          <w:rFonts w:ascii="Arial" w:hAnsi="Arial" w:cs="Arial"/>
          <w:sz w:val="24"/>
          <w:szCs w:val="24"/>
        </w:rPr>
        <w:t xml:space="preserve"> applications are concerned in </w:t>
      </w:r>
      <w:r w:rsidR="00F406D8" w:rsidRPr="00B97A4E">
        <w:rPr>
          <w:rFonts w:ascii="Arial" w:hAnsi="Arial" w:cs="Arial"/>
          <w:i/>
          <w:sz w:val="24"/>
          <w:szCs w:val="24"/>
        </w:rPr>
        <w:t>Knox D</w:t>
      </w:r>
      <w:r w:rsidR="00E36AEE" w:rsidRPr="00B97A4E">
        <w:rPr>
          <w:rFonts w:ascii="Arial" w:hAnsi="Arial" w:cs="Arial"/>
          <w:i/>
          <w:sz w:val="24"/>
          <w:szCs w:val="24"/>
        </w:rPr>
        <w:t>'</w:t>
      </w:r>
      <w:r w:rsidR="00F406D8" w:rsidRPr="00B97A4E">
        <w:rPr>
          <w:rFonts w:ascii="Arial" w:hAnsi="Arial" w:cs="Arial"/>
          <w:i/>
          <w:sz w:val="24"/>
          <w:szCs w:val="24"/>
        </w:rPr>
        <w:t>Arcy Limited v Jamieson</w:t>
      </w:r>
      <w:r w:rsidR="00F406D8" w:rsidRPr="00B97A4E">
        <w:rPr>
          <w:rFonts w:ascii="Arial" w:hAnsi="Arial" w:cs="Arial"/>
          <w:sz w:val="24"/>
          <w:szCs w:val="24"/>
        </w:rPr>
        <w:t>:</w:t>
      </w:r>
      <w:r w:rsidR="00F406D8">
        <w:rPr>
          <w:rStyle w:val="FootnoteReference"/>
          <w:rFonts w:ascii="Arial" w:hAnsi="Arial" w:cs="Arial"/>
          <w:sz w:val="24"/>
          <w:szCs w:val="24"/>
        </w:rPr>
        <w:footnoteReference w:id="32"/>
      </w:r>
    </w:p>
    <w:p w14:paraId="60CA399C" w14:textId="57D1E4B7" w:rsidR="008C7A8E" w:rsidRDefault="008C7A8E" w:rsidP="008C7A8E">
      <w:pPr>
        <w:pStyle w:val="ListParagraph"/>
        <w:tabs>
          <w:tab w:val="left" w:pos="4917"/>
        </w:tabs>
        <w:spacing w:before="120" w:after="120" w:line="360" w:lineRule="auto"/>
        <w:jc w:val="both"/>
        <w:rPr>
          <w:rFonts w:ascii="Arial" w:hAnsi="Arial" w:cs="Arial"/>
          <w:sz w:val="24"/>
          <w:szCs w:val="24"/>
        </w:rPr>
      </w:pPr>
    </w:p>
    <w:p w14:paraId="2A4017A0" w14:textId="61FCFE54" w:rsidR="008C7A8E" w:rsidRPr="000C0D03" w:rsidRDefault="00E36AEE" w:rsidP="000C0D0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C7A8E" w:rsidRPr="000C0D03">
        <w:rPr>
          <w:rFonts w:ascii="Arial" w:hAnsi="Arial" w:cs="Arial"/>
          <w:color w:val="000000"/>
          <w:sz w:val="24"/>
          <w:szCs w:val="24"/>
        </w:rPr>
        <w:t>The basis of the petitioners' claim as set out in the petition for leave to appeal and their heads of argument is that they have proved </w:t>
      </w:r>
      <w:r w:rsidR="008C7A8E" w:rsidRPr="000C0D03">
        <w:rPr>
          <w:rFonts w:ascii="Arial" w:hAnsi="Arial" w:cs="Arial"/>
          <w:i/>
          <w:iCs/>
          <w:color w:val="000000"/>
          <w:sz w:val="24"/>
          <w:szCs w:val="24"/>
        </w:rPr>
        <w:t>prima facie</w:t>
      </w:r>
      <w:r w:rsidR="008C7A8E" w:rsidRPr="000C0D03">
        <w:rPr>
          <w:rFonts w:ascii="Arial" w:hAnsi="Arial" w:cs="Arial"/>
          <w:color w:val="000000"/>
          <w:sz w:val="24"/>
          <w:szCs w:val="24"/>
        </w:rPr>
        <w:t> that the respondents had an intention to defeat the petitioners' claims, or to render them hollow, by secreting their assets. It was common cause that if these facts could be proved, together with the other requirements for an interim interdict, the petitioners would have a good case, and for the reasons given above</w:t>
      </w:r>
      <w:r w:rsidR="00212C2B">
        <w:rPr>
          <w:rFonts w:ascii="Arial" w:hAnsi="Arial" w:cs="Arial"/>
          <w:color w:val="000000"/>
          <w:sz w:val="24"/>
          <w:szCs w:val="24"/>
        </w:rPr>
        <w:t>,</w:t>
      </w:r>
      <w:r w:rsidR="008C7A8E" w:rsidRPr="000C0D03">
        <w:rPr>
          <w:rFonts w:ascii="Arial" w:hAnsi="Arial" w:cs="Arial"/>
          <w:color w:val="000000"/>
          <w:sz w:val="24"/>
          <w:szCs w:val="24"/>
        </w:rPr>
        <w:t xml:space="preserve"> I agree with this approach. There was some argument on whether the fact that assets were secreted</w:t>
      </w:r>
      <w:r w:rsidR="00E557FB">
        <w:rPr>
          <w:rFonts w:ascii="Arial" w:hAnsi="Arial" w:cs="Arial"/>
          <w:color w:val="000000"/>
          <w:sz w:val="24"/>
          <w:szCs w:val="24"/>
        </w:rPr>
        <w:t xml:space="preserve"> </w:t>
      </w:r>
      <w:r w:rsidR="008C7A8E" w:rsidRPr="000C0D03">
        <w:rPr>
          <w:rFonts w:ascii="Arial" w:hAnsi="Arial" w:cs="Arial"/>
          <w:color w:val="000000"/>
          <w:sz w:val="24"/>
          <w:szCs w:val="24"/>
        </w:rPr>
        <w:t>with the intent to thwart the petitioners' claim had to be proved on a balance of probabilities or merely </w:t>
      </w:r>
      <w:r w:rsidR="008C7A8E" w:rsidRPr="000C0D03">
        <w:rPr>
          <w:rFonts w:ascii="Arial" w:hAnsi="Arial" w:cs="Arial"/>
          <w:i/>
          <w:iCs/>
          <w:color w:val="000000"/>
          <w:sz w:val="24"/>
          <w:szCs w:val="24"/>
        </w:rPr>
        <w:t>prima facie</w:t>
      </w:r>
      <w:r w:rsidR="008C7A8E" w:rsidRPr="000C0D03">
        <w:rPr>
          <w:rFonts w:ascii="Arial" w:hAnsi="Arial" w:cs="Arial"/>
          <w:color w:val="000000"/>
          <w:sz w:val="24"/>
          <w:szCs w:val="24"/>
        </w:rPr>
        <w:t>. However, it seems to me that here also the relative strength or weakness of the petitioners' proof would be a factor to be taken into account and weighed against other features in deciding whether an interim interdict should be granted.</w:t>
      </w:r>
      <w:r>
        <w:rPr>
          <w:rFonts w:ascii="Arial" w:hAnsi="Arial" w:cs="Arial"/>
          <w:color w:val="000000"/>
          <w:sz w:val="24"/>
          <w:szCs w:val="24"/>
        </w:rPr>
        <w:t>'</w:t>
      </w:r>
    </w:p>
    <w:p w14:paraId="3F5BDD5A" w14:textId="009402BA" w:rsidR="008C7A8E" w:rsidRDefault="008C7A8E" w:rsidP="008C7A8E">
      <w:pPr>
        <w:pStyle w:val="ListParagraph"/>
        <w:tabs>
          <w:tab w:val="left" w:pos="4917"/>
        </w:tabs>
        <w:spacing w:before="120" w:after="120" w:line="360" w:lineRule="auto"/>
        <w:jc w:val="both"/>
        <w:rPr>
          <w:rFonts w:ascii="Arial" w:hAnsi="Arial" w:cs="Arial"/>
          <w:sz w:val="24"/>
          <w:szCs w:val="24"/>
        </w:rPr>
      </w:pPr>
    </w:p>
    <w:p w14:paraId="1A8EFE9A" w14:textId="2A1F6267" w:rsidR="000C0D03"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C0D03" w:rsidRPr="00B97A4E">
        <w:rPr>
          <w:rFonts w:ascii="Arial" w:hAnsi="Arial" w:cs="Arial"/>
          <w:sz w:val="24"/>
          <w:szCs w:val="24"/>
        </w:rPr>
        <w:t xml:space="preserve">The defendant filed the anti-dissipation application after she became aware of the fact that the plaintiff </w:t>
      </w:r>
      <w:r w:rsidR="00E36AEE" w:rsidRPr="00B97A4E">
        <w:rPr>
          <w:rFonts w:ascii="Arial" w:hAnsi="Arial" w:cs="Arial"/>
          <w:sz w:val="24"/>
          <w:szCs w:val="24"/>
        </w:rPr>
        <w:t>wa</w:t>
      </w:r>
      <w:r w:rsidR="000C0D03" w:rsidRPr="00B97A4E">
        <w:rPr>
          <w:rFonts w:ascii="Arial" w:hAnsi="Arial" w:cs="Arial"/>
          <w:sz w:val="24"/>
          <w:szCs w:val="24"/>
        </w:rPr>
        <w:t>s in the process of attempting to alienate his immovable property</w:t>
      </w:r>
      <w:r w:rsidR="003801C6" w:rsidRPr="00B97A4E">
        <w:rPr>
          <w:rFonts w:ascii="Arial" w:hAnsi="Arial" w:cs="Arial"/>
          <w:sz w:val="24"/>
          <w:szCs w:val="24"/>
        </w:rPr>
        <w:t xml:space="preserve"> located at </w:t>
      </w:r>
      <w:r w:rsidR="006400E8">
        <w:rPr>
          <w:rFonts w:ascii="Arial" w:hAnsi="Arial" w:cs="Arial"/>
          <w:sz w:val="24"/>
          <w:szCs w:val="24"/>
        </w:rPr>
        <w:t>[…]</w:t>
      </w:r>
      <w:r w:rsidR="003801C6" w:rsidRPr="00B97A4E">
        <w:rPr>
          <w:rFonts w:ascii="Arial" w:hAnsi="Arial" w:cs="Arial"/>
          <w:sz w:val="24"/>
          <w:szCs w:val="24"/>
        </w:rPr>
        <w:t xml:space="preserve"> Close, </w:t>
      </w:r>
      <w:proofErr w:type="gramStart"/>
      <w:r w:rsidR="003801C6" w:rsidRPr="00B97A4E">
        <w:rPr>
          <w:rFonts w:ascii="Arial" w:hAnsi="Arial" w:cs="Arial"/>
          <w:sz w:val="24"/>
          <w:szCs w:val="24"/>
        </w:rPr>
        <w:t>N</w:t>
      </w:r>
      <w:r w:rsidR="006400E8">
        <w:rPr>
          <w:rFonts w:ascii="Arial" w:hAnsi="Arial" w:cs="Arial"/>
          <w:sz w:val="24"/>
          <w:szCs w:val="24"/>
        </w:rPr>
        <w:t>[</w:t>
      </w:r>
      <w:proofErr w:type="gramEnd"/>
      <w:r w:rsidR="006400E8">
        <w:rPr>
          <w:rFonts w:ascii="Arial" w:hAnsi="Arial" w:cs="Arial"/>
          <w:sz w:val="24"/>
          <w:szCs w:val="24"/>
        </w:rPr>
        <w:t>…]</w:t>
      </w:r>
      <w:r w:rsidR="003801C6" w:rsidRPr="00B97A4E">
        <w:rPr>
          <w:rFonts w:ascii="Arial" w:hAnsi="Arial" w:cs="Arial"/>
          <w:sz w:val="24"/>
          <w:szCs w:val="24"/>
        </w:rPr>
        <w:t xml:space="preserve"> G</w:t>
      </w:r>
      <w:r w:rsidR="006400E8">
        <w:rPr>
          <w:rFonts w:ascii="Arial" w:hAnsi="Arial" w:cs="Arial"/>
          <w:sz w:val="24"/>
          <w:szCs w:val="24"/>
        </w:rPr>
        <w:t>[…]</w:t>
      </w:r>
      <w:r w:rsidR="003801C6" w:rsidRPr="00B97A4E">
        <w:rPr>
          <w:rFonts w:ascii="Arial" w:hAnsi="Arial" w:cs="Arial"/>
          <w:sz w:val="24"/>
          <w:szCs w:val="24"/>
        </w:rPr>
        <w:t>, N</w:t>
      </w:r>
      <w:r w:rsidR="006400E8">
        <w:rPr>
          <w:rFonts w:ascii="Arial" w:hAnsi="Arial" w:cs="Arial"/>
          <w:sz w:val="24"/>
          <w:szCs w:val="24"/>
        </w:rPr>
        <w:t>[…]</w:t>
      </w:r>
      <w:r w:rsidR="003801C6" w:rsidRPr="00B97A4E">
        <w:rPr>
          <w:rFonts w:ascii="Arial" w:hAnsi="Arial" w:cs="Arial"/>
          <w:sz w:val="24"/>
          <w:szCs w:val="24"/>
        </w:rPr>
        <w:t xml:space="preserve">, </w:t>
      </w:r>
      <w:bookmarkStart w:id="0" w:name="_GoBack"/>
      <w:r w:rsidR="003801C6" w:rsidRPr="00B97A4E">
        <w:rPr>
          <w:rFonts w:ascii="Arial" w:hAnsi="Arial" w:cs="Arial"/>
          <w:sz w:val="24"/>
          <w:szCs w:val="24"/>
        </w:rPr>
        <w:t>Johannesburg</w:t>
      </w:r>
      <w:bookmarkEnd w:id="0"/>
      <w:r w:rsidR="003801C6" w:rsidRPr="00B97A4E">
        <w:rPr>
          <w:rFonts w:ascii="Arial" w:hAnsi="Arial" w:cs="Arial"/>
          <w:sz w:val="24"/>
          <w:szCs w:val="24"/>
        </w:rPr>
        <w:t>, as described in the notice of motion dated 1 July 2021 (the immovable property)</w:t>
      </w:r>
      <w:r w:rsidR="000C0D03" w:rsidRPr="00B97A4E">
        <w:rPr>
          <w:rFonts w:ascii="Arial" w:hAnsi="Arial" w:cs="Arial"/>
          <w:sz w:val="24"/>
          <w:szCs w:val="24"/>
        </w:rPr>
        <w:t xml:space="preserve">. She avers that the value of the said property is between R 1 595 000.00 and R 1 680 000. She attempted to obtain an undertaking from the plaintiff and his attorneys of record that the net proceeds of the sale of the immovable property would be retained in a trust account pending the determination of the accrual trial. The defendant states that she </w:t>
      </w:r>
      <w:r w:rsidR="000C0D03" w:rsidRPr="00B97A4E">
        <w:rPr>
          <w:rFonts w:ascii="Arial" w:hAnsi="Arial" w:cs="Arial"/>
          <w:sz w:val="24"/>
          <w:szCs w:val="24"/>
        </w:rPr>
        <w:lastRenderedPageBreak/>
        <w:t>has an accrual claim against the plaintiff because her estate has shown no accrual and the plaintiff</w:t>
      </w:r>
      <w:r w:rsidR="00E36AEE" w:rsidRPr="00B97A4E">
        <w:rPr>
          <w:rFonts w:ascii="Arial" w:hAnsi="Arial" w:cs="Arial"/>
          <w:sz w:val="24"/>
          <w:szCs w:val="24"/>
        </w:rPr>
        <w:t>'</w:t>
      </w:r>
      <w:r w:rsidR="000C0D03" w:rsidRPr="00B97A4E">
        <w:rPr>
          <w:rFonts w:ascii="Arial" w:hAnsi="Arial" w:cs="Arial"/>
          <w:sz w:val="24"/>
          <w:szCs w:val="24"/>
        </w:rPr>
        <w:t>s estate has shown an accrual. She does not substantiate this submission with any primary facts</w:t>
      </w:r>
      <w:r w:rsidR="00E36AEE" w:rsidRPr="00B97A4E">
        <w:rPr>
          <w:rFonts w:ascii="Arial" w:hAnsi="Arial" w:cs="Arial"/>
          <w:sz w:val="24"/>
          <w:szCs w:val="24"/>
        </w:rPr>
        <w:t>,</w:t>
      </w:r>
      <w:r w:rsidR="000C0D03" w:rsidRPr="00B97A4E">
        <w:rPr>
          <w:rFonts w:ascii="Arial" w:hAnsi="Arial" w:cs="Arial"/>
          <w:sz w:val="24"/>
          <w:szCs w:val="24"/>
        </w:rPr>
        <w:t xml:space="preserve"> e.g. referring to the assumed values of the two estates. This blank statement needs, however, </w:t>
      </w:r>
      <w:r w:rsidR="00E36AEE" w:rsidRPr="00B97A4E">
        <w:rPr>
          <w:rFonts w:ascii="Arial" w:hAnsi="Arial" w:cs="Arial"/>
          <w:sz w:val="24"/>
          <w:szCs w:val="24"/>
        </w:rPr>
        <w:t xml:space="preserve">to </w:t>
      </w:r>
      <w:r w:rsidR="000C0D03" w:rsidRPr="00B97A4E">
        <w:rPr>
          <w:rFonts w:ascii="Arial" w:hAnsi="Arial" w:cs="Arial"/>
          <w:sz w:val="24"/>
          <w:szCs w:val="24"/>
        </w:rPr>
        <w:t xml:space="preserve">be considered against the context created in the Rule 34 </w:t>
      </w:r>
      <w:r w:rsidR="00E36AEE" w:rsidRPr="00B97A4E">
        <w:rPr>
          <w:rFonts w:ascii="Arial" w:hAnsi="Arial" w:cs="Arial"/>
          <w:sz w:val="24"/>
          <w:szCs w:val="24"/>
        </w:rPr>
        <w:t>'</w:t>
      </w:r>
      <w:r w:rsidR="000C0D03" w:rsidRPr="00B97A4E">
        <w:rPr>
          <w:rFonts w:ascii="Arial" w:hAnsi="Arial" w:cs="Arial"/>
          <w:sz w:val="24"/>
          <w:szCs w:val="24"/>
        </w:rPr>
        <w:t>with</w:t>
      </w:r>
      <w:r w:rsidR="007C1C25" w:rsidRPr="00B97A4E">
        <w:rPr>
          <w:rFonts w:ascii="Arial" w:hAnsi="Arial" w:cs="Arial"/>
          <w:sz w:val="24"/>
          <w:szCs w:val="24"/>
        </w:rPr>
        <w:t>-</w:t>
      </w:r>
      <w:r w:rsidR="000C0D03" w:rsidRPr="00B97A4E">
        <w:rPr>
          <w:rFonts w:ascii="Arial" w:hAnsi="Arial" w:cs="Arial"/>
          <w:sz w:val="24"/>
          <w:szCs w:val="24"/>
        </w:rPr>
        <w:t>prejudice</w:t>
      </w:r>
      <w:r w:rsidR="00E36AEE" w:rsidRPr="00B97A4E">
        <w:rPr>
          <w:rFonts w:ascii="Arial" w:hAnsi="Arial" w:cs="Arial"/>
          <w:sz w:val="24"/>
          <w:szCs w:val="24"/>
        </w:rPr>
        <w:t>'</w:t>
      </w:r>
      <w:r w:rsidR="000C0D03" w:rsidRPr="00B97A4E">
        <w:rPr>
          <w:rFonts w:ascii="Arial" w:hAnsi="Arial" w:cs="Arial"/>
          <w:sz w:val="24"/>
          <w:szCs w:val="24"/>
        </w:rPr>
        <w:t xml:space="preserve"> offer made by the plaintiff</w:t>
      </w:r>
      <w:r w:rsidR="007C1C25" w:rsidRPr="00B97A4E">
        <w:rPr>
          <w:rFonts w:ascii="Arial" w:hAnsi="Arial" w:cs="Arial"/>
          <w:sz w:val="24"/>
          <w:szCs w:val="24"/>
        </w:rPr>
        <w:t>,</w:t>
      </w:r>
      <w:r w:rsidR="000C0D03" w:rsidRPr="00B97A4E">
        <w:rPr>
          <w:rFonts w:ascii="Arial" w:hAnsi="Arial" w:cs="Arial"/>
          <w:sz w:val="24"/>
          <w:szCs w:val="24"/>
        </w:rPr>
        <w:t xml:space="preserve"> where the following is recorded:</w:t>
      </w:r>
    </w:p>
    <w:p w14:paraId="7ACA2C97" w14:textId="77777777" w:rsidR="000C0D03" w:rsidRDefault="000C0D03" w:rsidP="000C0D03">
      <w:pPr>
        <w:pStyle w:val="ListParagraph"/>
        <w:tabs>
          <w:tab w:val="left" w:pos="4917"/>
        </w:tabs>
        <w:spacing w:before="120" w:after="120" w:line="360" w:lineRule="auto"/>
        <w:jc w:val="both"/>
        <w:rPr>
          <w:rFonts w:ascii="Arial" w:hAnsi="Arial" w:cs="Arial"/>
          <w:sz w:val="24"/>
          <w:szCs w:val="24"/>
        </w:rPr>
      </w:pPr>
    </w:p>
    <w:p w14:paraId="391D841B" w14:textId="66BCB801" w:rsidR="000C0D03" w:rsidRDefault="00E36AEE" w:rsidP="000C0D0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C0D03">
        <w:rPr>
          <w:rFonts w:ascii="Arial" w:hAnsi="Arial" w:cs="Arial"/>
          <w:sz w:val="24"/>
          <w:szCs w:val="24"/>
        </w:rPr>
        <w:t xml:space="preserve">In full and final </w:t>
      </w:r>
      <w:r w:rsidR="00995B01">
        <w:rPr>
          <w:rFonts w:ascii="Arial" w:hAnsi="Arial" w:cs="Arial"/>
          <w:sz w:val="24"/>
          <w:szCs w:val="24"/>
        </w:rPr>
        <w:t>settlement of</w:t>
      </w:r>
      <w:r w:rsidR="000C0D03">
        <w:rPr>
          <w:rFonts w:ascii="Arial" w:hAnsi="Arial" w:cs="Arial"/>
          <w:sz w:val="24"/>
          <w:szCs w:val="24"/>
        </w:rPr>
        <w:t xml:space="preserve"> the accrual claim of the defendant against the plaintiff, the plaintiff tenders to the defendant a sum of R550 000 (Five hundred and fifty thousand </w:t>
      </w:r>
      <w:proofErr w:type="spellStart"/>
      <w:r w:rsidR="000C0D03">
        <w:rPr>
          <w:rFonts w:ascii="Arial" w:hAnsi="Arial" w:cs="Arial"/>
          <w:sz w:val="24"/>
          <w:szCs w:val="24"/>
        </w:rPr>
        <w:t>rand</w:t>
      </w:r>
      <w:r>
        <w:rPr>
          <w:rFonts w:ascii="Arial" w:hAnsi="Arial" w:cs="Arial"/>
          <w:sz w:val="24"/>
          <w:szCs w:val="24"/>
        </w:rPr>
        <w:t>s</w:t>
      </w:r>
      <w:proofErr w:type="spellEnd"/>
      <w:r w:rsidR="000C0D03">
        <w:rPr>
          <w:rFonts w:ascii="Arial" w:hAnsi="Arial" w:cs="Arial"/>
          <w:sz w:val="24"/>
          <w:szCs w:val="24"/>
        </w:rPr>
        <w:t>) (</w:t>
      </w:r>
      <w:r>
        <w:rPr>
          <w:rFonts w:ascii="Arial" w:hAnsi="Arial" w:cs="Arial"/>
          <w:sz w:val="24"/>
          <w:szCs w:val="24"/>
        </w:rPr>
        <w:t>'</w:t>
      </w:r>
      <w:r w:rsidR="000C0D03">
        <w:rPr>
          <w:rFonts w:ascii="Arial" w:hAnsi="Arial" w:cs="Arial"/>
          <w:sz w:val="24"/>
          <w:szCs w:val="24"/>
        </w:rPr>
        <w:t>the accrual tender</w:t>
      </w:r>
      <w:r>
        <w:rPr>
          <w:rFonts w:ascii="Arial" w:hAnsi="Arial" w:cs="Arial"/>
          <w:sz w:val="24"/>
          <w:szCs w:val="24"/>
        </w:rPr>
        <w:t>'</w:t>
      </w:r>
      <w:r w:rsidR="000C0D03">
        <w:rPr>
          <w:rFonts w:ascii="Arial" w:hAnsi="Arial" w:cs="Arial"/>
          <w:sz w:val="24"/>
          <w:szCs w:val="24"/>
        </w:rPr>
        <w:t>)</w:t>
      </w:r>
      <w:r>
        <w:rPr>
          <w:rFonts w:ascii="Arial" w:hAnsi="Arial" w:cs="Arial"/>
          <w:sz w:val="24"/>
          <w:szCs w:val="24"/>
        </w:rPr>
        <w:t>'</w:t>
      </w:r>
    </w:p>
    <w:p w14:paraId="24D79118" w14:textId="77777777" w:rsidR="000C0D03" w:rsidRDefault="000C0D03" w:rsidP="000C0D03">
      <w:pPr>
        <w:pStyle w:val="ListParagraph"/>
        <w:tabs>
          <w:tab w:val="left" w:pos="4917"/>
        </w:tabs>
        <w:spacing w:before="120" w:after="120" w:line="360" w:lineRule="auto"/>
        <w:ind w:left="1008" w:right="1008"/>
        <w:jc w:val="both"/>
        <w:rPr>
          <w:rFonts w:ascii="Arial" w:hAnsi="Arial" w:cs="Arial"/>
          <w:sz w:val="24"/>
          <w:szCs w:val="24"/>
        </w:rPr>
      </w:pPr>
    </w:p>
    <w:p w14:paraId="3C61E556" w14:textId="1465F494" w:rsidR="000C0D03" w:rsidRDefault="00FC553C" w:rsidP="000C0D03">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a</w:t>
      </w:r>
      <w:r w:rsidR="000C0D03">
        <w:rPr>
          <w:rFonts w:ascii="Arial" w:hAnsi="Arial" w:cs="Arial"/>
          <w:sz w:val="24"/>
          <w:szCs w:val="24"/>
        </w:rPr>
        <w:t>nd</w:t>
      </w:r>
    </w:p>
    <w:p w14:paraId="2878F13B" w14:textId="77777777" w:rsidR="000C0D03" w:rsidRDefault="000C0D03" w:rsidP="000C0D03">
      <w:pPr>
        <w:pStyle w:val="ListParagraph"/>
        <w:tabs>
          <w:tab w:val="left" w:pos="4917"/>
        </w:tabs>
        <w:spacing w:before="120" w:after="120" w:line="360" w:lineRule="auto"/>
        <w:jc w:val="both"/>
        <w:rPr>
          <w:rFonts w:ascii="Arial" w:hAnsi="Arial" w:cs="Arial"/>
          <w:sz w:val="24"/>
          <w:szCs w:val="24"/>
        </w:rPr>
      </w:pPr>
    </w:p>
    <w:p w14:paraId="12A7F2CE" w14:textId="77A4A53F" w:rsidR="000C0D03" w:rsidRDefault="00E36AEE" w:rsidP="000C0D0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C0D03">
        <w:rPr>
          <w:rFonts w:ascii="Arial" w:hAnsi="Arial" w:cs="Arial"/>
          <w:sz w:val="24"/>
          <w:szCs w:val="24"/>
        </w:rPr>
        <w:t>if the Defendant believes that the accrual tender is lower than what the Defendant is entitled to in terms of her accrual claim against the Plaintiff, the defendant may refer the matter to referee for the referee to establish the quantum of the Defendant</w:t>
      </w:r>
      <w:r>
        <w:rPr>
          <w:rFonts w:ascii="Arial" w:hAnsi="Arial" w:cs="Arial"/>
          <w:sz w:val="24"/>
          <w:szCs w:val="24"/>
        </w:rPr>
        <w:t>'</w:t>
      </w:r>
      <w:r w:rsidR="000C0D03">
        <w:rPr>
          <w:rFonts w:ascii="Arial" w:hAnsi="Arial" w:cs="Arial"/>
          <w:sz w:val="24"/>
          <w:szCs w:val="24"/>
        </w:rPr>
        <w:t>s accrual claim against the Plaintiff …</w:t>
      </w:r>
      <w:r>
        <w:rPr>
          <w:rFonts w:ascii="Arial" w:hAnsi="Arial" w:cs="Arial"/>
          <w:sz w:val="24"/>
          <w:szCs w:val="24"/>
        </w:rPr>
        <w:t>'</w:t>
      </w:r>
    </w:p>
    <w:p w14:paraId="501A8527" w14:textId="77777777" w:rsidR="000C0D03" w:rsidRDefault="000C0D03" w:rsidP="000C0D03">
      <w:pPr>
        <w:pStyle w:val="ListParagraph"/>
        <w:tabs>
          <w:tab w:val="left" w:pos="4917"/>
        </w:tabs>
        <w:spacing w:before="120" w:after="120" w:line="360" w:lineRule="auto"/>
        <w:ind w:left="1008" w:right="1008"/>
        <w:jc w:val="both"/>
        <w:rPr>
          <w:rFonts w:ascii="Arial" w:hAnsi="Arial" w:cs="Arial"/>
          <w:sz w:val="24"/>
          <w:szCs w:val="24"/>
        </w:rPr>
      </w:pPr>
    </w:p>
    <w:p w14:paraId="71C4E549" w14:textId="0E343F55" w:rsidR="00FC553C"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575813" w:rsidRPr="00B97A4E">
        <w:rPr>
          <w:rFonts w:ascii="Arial" w:hAnsi="Arial" w:cs="Arial"/>
          <w:sz w:val="24"/>
          <w:szCs w:val="24"/>
        </w:rPr>
        <w:t>T</w:t>
      </w:r>
      <w:r w:rsidR="00C542E4" w:rsidRPr="00B97A4E">
        <w:rPr>
          <w:rFonts w:ascii="Arial" w:hAnsi="Arial" w:cs="Arial"/>
          <w:sz w:val="24"/>
          <w:szCs w:val="24"/>
        </w:rPr>
        <w:t>he plaintiff</w:t>
      </w:r>
      <w:r w:rsidR="00E36AEE" w:rsidRPr="00B97A4E">
        <w:rPr>
          <w:rFonts w:ascii="Arial" w:hAnsi="Arial" w:cs="Arial"/>
          <w:sz w:val="24"/>
          <w:szCs w:val="24"/>
        </w:rPr>
        <w:t>'</w:t>
      </w:r>
      <w:r w:rsidR="00C542E4" w:rsidRPr="00B97A4E">
        <w:rPr>
          <w:rFonts w:ascii="Arial" w:hAnsi="Arial" w:cs="Arial"/>
          <w:sz w:val="24"/>
          <w:szCs w:val="24"/>
        </w:rPr>
        <w:t>s with</w:t>
      </w:r>
      <w:r w:rsidR="00B54240" w:rsidRPr="00B97A4E">
        <w:rPr>
          <w:rFonts w:ascii="Arial" w:hAnsi="Arial" w:cs="Arial"/>
          <w:sz w:val="24"/>
          <w:szCs w:val="24"/>
        </w:rPr>
        <w:t>-</w:t>
      </w:r>
      <w:r w:rsidR="00575813" w:rsidRPr="00B97A4E">
        <w:rPr>
          <w:rFonts w:ascii="Arial" w:hAnsi="Arial" w:cs="Arial"/>
          <w:sz w:val="24"/>
          <w:szCs w:val="24"/>
        </w:rPr>
        <w:t>prejudice tender is</w:t>
      </w:r>
      <w:r w:rsidR="00C542E4" w:rsidRPr="00B97A4E">
        <w:rPr>
          <w:rFonts w:ascii="Arial" w:hAnsi="Arial" w:cs="Arial"/>
          <w:sz w:val="24"/>
          <w:szCs w:val="24"/>
        </w:rPr>
        <w:t xml:space="preserve"> substantiating a view that the defendant has succeeded in proving, albeit </w:t>
      </w:r>
      <w:r w:rsidR="00C542E4" w:rsidRPr="00B97A4E">
        <w:rPr>
          <w:rFonts w:ascii="Arial" w:hAnsi="Arial" w:cs="Arial"/>
          <w:i/>
          <w:sz w:val="24"/>
          <w:szCs w:val="24"/>
        </w:rPr>
        <w:t>prima facie</w:t>
      </w:r>
      <w:r w:rsidR="00C542E4" w:rsidRPr="00B97A4E">
        <w:rPr>
          <w:rFonts w:ascii="Arial" w:hAnsi="Arial" w:cs="Arial"/>
          <w:sz w:val="24"/>
          <w:szCs w:val="24"/>
        </w:rPr>
        <w:t>, that the acc</w:t>
      </w:r>
      <w:r w:rsidR="00575813" w:rsidRPr="00B97A4E">
        <w:rPr>
          <w:rFonts w:ascii="Arial" w:hAnsi="Arial" w:cs="Arial"/>
          <w:sz w:val="24"/>
          <w:szCs w:val="24"/>
        </w:rPr>
        <w:t>rual of the plaintiff</w:t>
      </w:r>
      <w:r w:rsidR="00E36AEE" w:rsidRPr="00B97A4E">
        <w:rPr>
          <w:rFonts w:ascii="Arial" w:hAnsi="Arial" w:cs="Arial"/>
          <w:sz w:val="24"/>
          <w:szCs w:val="24"/>
        </w:rPr>
        <w:t>'</w:t>
      </w:r>
      <w:r w:rsidR="00575813" w:rsidRPr="00B97A4E">
        <w:rPr>
          <w:rFonts w:ascii="Arial" w:hAnsi="Arial" w:cs="Arial"/>
          <w:sz w:val="24"/>
          <w:szCs w:val="24"/>
        </w:rPr>
        <w:t>s estate exce</w:t>
      </w:r>
      <w:r w:rsidR="00B54240" w:rsidRPr="00B97A4E">
        <w:rPr>
          <w:rFonts w:ascii="Arial" w:hAnsi="Arial" w:cs="Arial"/>
          <w:sz w:val="24"/>
          <w:szCs w:val="24"/>
        </w:rPr>
        <w:t>eds the accrual of her estate</w:t>
      </w:r>
      <w:r w:rsidR="000C0D03" w:rsidRPr="00B97A4E">
        <w:rPr>
          <w:rFonts w:ascii="Arial" w:hAnsi="Arial" w:cs="Arial"/>
          <w:sz w:val="24"/>
          <w:szCs w:val="24"/>
        </w:rPr>
        <w:t>.</w:t>
      </w:r>
      <w:r w:rsidR="00C542E4" w:rsidRPr="00B97A4E">
        <w:rPr>
          <w:rFonts w:ascii="Arial" w:hAnsi="Arial" w:cs="Arial"/>
          <w:sz w:val="24"/>
          <w:szCs w:val="24"/>
        </w:rPr>
        <w:t xml:space="preserve"> </w:t>
      </w:r>
    </w:p>
    <w:p w14:paraId="6C8C06C8" w14:textId="07D42CBC" w:rsidR="000C0D03" w:rsidRPr="00FC553C" w:rsidRDefault="00575813" w:rsidP="00FC553C">
      <w:pPr>
        <w:pStyle w:val="ListParagraph"/>
        <w:tabs>
          <w:tab w:val="left" w:pos="4917"/>
        </w:tabs>
        <w:spacing w:before="120" w:after="120" w:line="360" w:lineRule="auto"/>
        <w:jc w:val="both"/>
        <w:rPr>
          <w:rFonts w:ascii="Arial" w:hAnsi="Arial" w:cs="Arial"/>
          <w:sz w:val="24"/>
          <w:szCs w:val="24"/>
        </w:rPr>
      </w:pPr>
      <w:r w:rsidRPr="00FC553C">
        <w:rPr>
          <w:rFonts w:ascii="Arial" w:hAnsi="Arial" w:cs="Arial"/>
          <w:sz w:val="24"/>
          <w:szCs w:val="24"/>
        </w:rPr>
        <w:tab/>
      </w:r>
    </w:p>
    <w:p w14:paraId="06926151" w14:textId="0386F181" w:rsidR="00E554BB" w:rsidRPr="00B97A4E" w:rsidRDefault="00B97A4E" w:rsidP="00B97A4E">
      <w:pPr>
        <w:tabs>
          <w:tab w:val="left" w:pos="4917"/>
        </w:tabs>
        <w:spacing w:before="120" w:after="120" w:line="360" w:lineRule="auto"/>
        <w:ind w:left="720" w:hanging="720"/>
        <w:jc w:val="both"/>
        <w:rPr>
          <w:rFonts w:ascii="Arial" w:hAnsi="Arial" w:cs="Arial"/>
          <w:sz w:val="24"/>
          <w:szCs w:val="24"/>
        </w:rPr>
      </w:pPr>
      <w:r w:rsidRPr="00B54240">
        <w:rPr>
          <w:rFonts w:ascii="Arial" w:hAnsi="Arial" w:cs="Arial"/>
          <w:sz w:val="24"/>
          <w:szCs w:val="24"/>
        </w:rPr>
        <w:t>[48]</w:t>
      </w:r>
      <w:r w:rsidRPr="00B54240">
        <w:rPr>
          <w:rFonts w:ascii="Arial" w:hAnsi="Arial" w:cs="Arial"/>
          <w:sz w:val="24"/>
          <w:szCs w:val="24"/>
        </w:rPr>
        <w:tab/>
      </w:r>
      <w:r w:rsidR="000C0D03" w:rsidRPr="00B97A4E">
        <w:rPr>
          <w:rFonts w:ascii="Arial" w:hAnsi="Arial" w:cs="Arial"/>
          <w:sz w:val="24"/>
          <w:szCs w:val="24"/>
        </w:rPr>
        <w:t>The next question to consider is whether there is a well-grounded apprehension of irreparable harm if the interim relief is not granted and the ultimate relief is eventually granted. In the context of this case</w:t>
      </w:r>
      <w:r w:rsidR="00EF64C7" w:rsidRPr="00B97A4E">
        <w:rPr>
          <w:rFonts w:ascii="Arial" w:hAnsi="Arial" w:cs="Arial"/>
          <w:sz w:val="24"/>
          <w:szCs w:val="24"/>
        </w:rPr>
        <w:t>,</w:t>
      </w:r>
      <w:r w:rsidR="000C0D03" w:rsidRPr="00B97A4E">
        <w:rPr>
          <w:rFonts w:ascii="Arial" w:hAnsi="Arial" w:cs="Arial"/>
          <w:sz w:val="24"/>
          <w:szCs w:val="24"/>
        </w:rPr>
        <w:t xml:space="preserve"> the question tra</w:t>
      </w:r>
      <w:r w:rsidR="00B54240" w:rsidRPr="00B97A4E">
        <w:rPr>
          <w:rFonts w:ascii="Arial" w:hAnsi="Arial" w:cs="Arial"/>
          <w:sz w:val="24"/>
          <w:szCs w:val="24"/>
        </w:rPr>
        <w:t>nslates to whether the defendant</w:t>
      </w:r>
      <w:r w:rsidR="000C0D03" w:rsidRPr="00B97A4E">
        <w:rPr>
          <w:rFonts w:ascii="Arial" w:hAnsi="Arial" w:cs="Arial"/>
          <w:sz w:val="24"/>
          <w:szCs w:val="24"/>
        </w:rPr>
        <w:t xml:space="preserve"> has established a well-grounded apprehension of irreparable harm if the interim relief is not granted. </w:t>
      </w:r>
      <w:r w:rsidR="00E554BB" w:rsidRPr="00B97A4E">
        <w:rPr>
          <w:rFonts w:ascii="Arial" w:hAnsi="Arial" w:cs="Arial"/>
          <w:sz w:val="24"/>
          <w:szCs w:val="24"/>
        </w:rPr>
        <w:t xml:space="preserve">The question of a well-grounded apprehension of irreparable harm needs to be considered in the context of the </w:t>
      </w:r>
      <w:r w:rsidR="00E554BB" w:rsidRPr="00B97A4E">
        <w:rPr>
          <w:rFonts w:ascii="Arial" w:hAnsi="Arial" w:cs="Arial"/>
          <w:i/>
          <w:sz w:val="24"/>
          <w:szCs w:val="24"/>
        </w:rPr>
        <w:t>sui generis</w:t>
      </w:r>
      <w:r w:rsidR="00E554BB" w:rsidRPr="00B97A4E">
        <w:rPr>
          <w:rFonts w:ascii="Arial" w:hAnsi="Arial" w:cs="Arial"/>
          <w:sz w:val="24"/>
          <w:szCs w:val="24"/>
        </w:rPr>
        <w:t xml:space="preserve"> nature of the relief sought. </w:t>
      </w:r>
      <w:r w:rsidR="00EF64C7" w:rsidRPr="00B97A4E">
        <w:rPr>
          <w:rFonts w:ascii="Arial" w:hAnsi="Arial" w:cs="Arial"/>
          <w:sz w:val="24"/>
          <w:szCs w:val="24"/>
        </w:rPr>
        <w:t>If the defendant</w:t>
      </w:r>
      <w:r w:rsidR="00E554BB" w:rsidRPr="00B97A4E">
        <w:rPr>
          <w:rFonts w:ascii="Arial" w:hAnsi="Arial" w:cs="Arial"/>
          <w:sz w:val="24"/>
          <w:szCs w:val="24"/>
        </w:rPr>
        <w:t xml:space="preserve"> succeeds in her counterclaim, and the plaintiff is allowed to sell the house without the proceeds being kept in trust, it will significantly frustrate the enforcement of her claim</w:t>
      </w:r>
      <w:r w:rsidR="00EF64C7" w:rsidRPr="00B97A4E">
        <w:rPr>
          <w:rFonts w:ascii="Arial" w:hAnsi="Arial" w:cs="Arial"/>
          <w:sz w:val="24"/>
          <w:szCs w:val="24"/>
        </w:rPr>
        <w:t>. T</w:t>
      </w:r>
      <w:r w:rsidR="00E554BB" w:rsidRPr="00B97A4E">
        <w:rPr>
          <w:rFonts w:ascii="Arial" w:hAnsi="Arial" w:cs="Arial"/>
          <w:sz w:val="24"/>
          <w:szCs w:val="24"/>
        </w:rPr>
        <w:t xml:space="preserve">he plaintiff, who had several assets </w:t>
      </w:r>
      <w:r w:rsidR="003C77E9" w:rsidRPr="00B97A4E">
        <w:rPr>
          <w:rFonts w:ascii="Arial" w:hAnsi="Arial" w:cs="Arial"/>
          <w:sz w:val="24"/>
          <w:szCs w:val="24"/>
        </w:rPr>
        <w:t>at</w:t>
      </w:r>
      <w:r w:rsidR="00E554BB" w:rsidRPr="00B97A4E">
        <w:rPr>
          <w:rFonts w:ascii="Arial" w:hAnsi="Arial" w:cs="Arial"/>
          <w:sz w:val="24"/>
          <w:szCs w:val="24"/>
        </w:rPr>
        <w:t xml:space="preserve"> his disposal just before the divorce order was granted, managed his estate in such a way that </w:t>
      </w:r>
      <w:r w:rsidR="00EF64C7" w:rsidRPr="00B97A4E">
        <w:rPr>
          <w:rFonts w:ascii="Arial" w:hAnsi="Arial" w:cs="Arial"/>
          <w:sz w:val="24"/>
          <w:szCs w:val="24"/>
        </w:rPr>
        <w:lastRenderedPageBreak/>
        <w:t>although he still benefits</w:t>
      </w:r>
      <w:r w:rsidR="00B54240" w:rsidRPr="00B97A4E">
        <w:rPr>
          <w:rFonts w:ascii="Arial" w:hAnsi="Arial" w:cs="Arial"/>
          <w:sz w:val="24"/>
          <w:szCs w:val="24"/>
        </w:rPr>
        <w:t>, directly or indirectly,</w:t>
      </w:r>
      <w:r w:rsidR="00EF64C7" w:rsidRPr="00B97A4E">
        <w:rPr>
          <w:rFonts w:ascii="Arial" w:hAnsi="Arial" w:cs="Arial"/>
          <w:sz w:val="24"/>
          <w:szCs w:val="24"/>
        </w:rPr>
        <w:t xml:space="preserve"> from the value of the assets, the assets are</w:t>
      </w:r>
      <w:r w:rsidR="00E554BB" w:rsidRPr="00B97A4E">
        <w:rPr>
          <w:rFonts w:ascii="Arial" w:hAnsi="Arial" w:cs="Arial"/>
          <w:sz w:val="24"/>
          <w:szCs w:val="24"/>
        </w:rPr>
        <w:t xml:space="preserve"> removed from his direct control. </w:t>
      </w:r>
      <w:r w:rsidR="003C77E9" w:rsidRPr="00B97A4E">
        <w:rPr>
          <w:rFonts w:ascii="Arial" w:hAnsi="Arial" w:cs="Arial"/>
          <w:sz w:val="24"/>
          <w:szCs w:val="24"/>
        </w:rPr>
        <w:t>The prejudice that will be suffered by the defendant if she is successful in her counterclaim and the order is not granted, meets the requirement of a well-grounded apprehension of irreparable harm.</w:t>
      </w:r>
    </w:p>
    <w:p w14:paraId="3C0A7AD7" w14:textId="77777777" w:rsidR="003C77E9" w:rsidRPr="003C77E9" w:rsidRDefault="003C77E9" w:rsidP="003C77E9">
      <w:pPr>
        <w:pStyle w:val="ListParagraph"/>
        <w:rPr>
          <w:rFonts w:ascii="Arial" w:hAnsi="Arial" w:cs="Arial"/>
          <w:sz w:val="24"/>
          <w:szCs w:val="24"/>
        </w:rPr>
      </w:pPr>
    </w:p>
    <w:p w14:paraId="6FBA2869" w14:textId="47529BAB" w:rsidR="003C77E9"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C77E9" w:rsidRPr="00B97A4E">
        <w:rPr>
          <w:rFonts w:ascii="Arial" w:hAnsi="Arial" w:cs="Arial"/>
          <w:sz w:val="24"/>
          <w:szCs w:val="24"/>
        </w:rPr>
        <w:t xml:space="preserve">Since the effect of the interim order will only be to preserve the value of the immovable property until a court of law finally </w:t>
      </w:r>
      <w:r w:rsidR="00212C2B" w:rsidRPr="00B97A4E">
        <w:rPr>
          <w:rFonts w:ascii="Arial" w:hAnsi="Arial" w:cs="Arial"/>
          <w:sz w:val="24"/>
          <w:szCs w:val="24"/>
        </w:rPr>
        <w:t>adjudicates</w:t>
      </w:r>
      <w:r w:rsidR="003C77E9" w:rsidRPr="00B97A4E">
        <w:rPr>
          <w:rFonts w:ascii="Arial" w:hAnsi="Arial" w:cs="Arial"/>
          <w:sz w:val="24"/>
          <w:szCs w:val="24"/>
        </w:rPr>
        <w:t xml:space="preserve"> the accrual claim and </w:t>
      </w:r>
      <w:r w:rsidR="00212C2B" w:rsidRPr="00B97A4E">
        <w:rPr>
          <w:rFonts w:ascii="Arial" w:hAnsi="Arial" w:cs="Arial"/>
          <w:sz w:val="24"/>
          <w:szCs w:val="24"/>
        </w:rPr>
        <w:t>determines</w:t>
      </w:r>
      <w:r w:rsidR="003C77E9" w:rsidRPr="00B97A4E">
        <w:rPr>
          <w:rFonts w:ascii="Arial" w:hAnsi="Arial" w:cs="Arial"/>
          <w:sz w:val="24"/>
          <w:szCs w:val="24"/>
        </w:rPr>
        <w:t xml:space="preserve"> the extent of the claim, the balance of convenience favours the defendant.</w:t>
      </w:r>
      <w:r w:rsidR="00B54240" w:rsidRPr="00B97A4E">
        <w:rPr>
          <w:rFonts w:ascii="Arial" w:hAnsi="Arial" w:cs="Arial"/>
          <w:sz w:val="24"/>
          <w:szCs w:val="24"/>
        </w:rPr>
        <w:t xml:space="preserve"> In the circumstances</w:t>
      </w:r>
      <w:r w:rsidR="00212C2B" w:rsidRPr="00B97A4E">
        <w:rPr>
          <w:rFonts w:ascii="Arial" w:hAnsi="Arial" w:cs="Arial"/>
          <w:sz w:val="24"/>
          <w:szCs w:val="24"/>
        </w:rPr>
        <w:t>,</w:t>
      </w:r>
      <w:r w:rsidR="00B54240" w:rsidRPr="00B97A4E">
        <w:rPr>
          <w:rFonts w:ascii="Arial" w:hAnsi="Arial" w:cs="Arial"/>
          <w:sz w:val="24"/>
          <w:szCs w:val="24"/>
        </w:rPr>
        <w:t xml:space="preserve"> the defendant has no other satisfactory remedy.</w:t>
      </w:r>
    </w:p>
    <w:p w14:paraId="15423415" w14:textId="77777777" w:rsidR="003C77E9" w:rsidRPr="003C77E9" w:rsidRDefault="003C77E9" w:rsidP="003C77E9">
      <w:pPr>
        <w:pStyle w:val="ListParagraph"/>
        <w:rPr>
          <w:rFonts w:ascii="Arial" w:hAnsi="Arial" w:cs="Arial"/>
          <w:sz w:val="24"/>
          <w:szCs w:val="24"/>
        </w:rPr>
      </w:pPr>
    </w:p>
    <w:p w14:paraId="0969583E" w14:textId="778FE7A9" w:rsidR="003C77E9" w:rsidRPr="00B97A4E" w:rsidRDefault="00B97A4E" w:rsidP="00B97A4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C77E9" w:rsidRPr="00B97A4E">
        <w:rPr>
          <w:rFonts w:ascii="Arial" w:hAnsi="Arial" w:cs="Arial"/>
          <w:sz w:val="24"/>
          <w:szCs w:val="24"/>
        </w:rPr>
        <w:t>In the result the anti-dissipation order stands to be granted.</w:t>
      </w:r>
      <w:r w:rsidR="000A7F7F" w:rsidRPr="00B97A4E">
        <w:rPr>
          <w:rFonts w:ascii="Arial" w:hAnsi="Arial" w:cs="Arial"/>
          <w:sz w:val="24"/>
          <w:szCs w:val="24"/>
        </w:rPr>
        <w:t xml:space="preserve"> The nature of the relief granted justifies an order to the effect that the costs of the dissipation application are costs in the cause.</w:t>
      </w:r>
    </w:p>
    <w:p w14:paraId="27F883BF" w14:textId="77777777" w:rsidR="000C0D03" w:rsidRPr="000C0D03" w:rsidRDefault="000C0D03" w:rsidP="000C0D03">
      <w:pPr>
        <w:pStyle w:val="ListParagraph"/>
        <w:rPr>
          <w:rFonts w:ascii="Arial" w:hAnsi="Arial" w:cs="Arial"/>
          <w:sz w:val="24"/>
          <w:szCs w:val="24"/>
        </w:rPr>
      </w:pPr>
    </w:p>
    <w:p w14:paraId="3C89FD3F" w14:textId="75285249" w:rsidR="00CF7942" w:rsidRPr="00BF6075" w:rsidRDefault="00CF7942" w:rsidP="00377FDC">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ORDER</w:t>
      </w:r>
    </w:p>
    <w:p w14:paraId="2A15CA90" w14:textId="6B1CE69B" w:rsidR="00CF7942" w:rsidRPr="00BF6075" w:rsidRDefault="00CF7942" w:rsidP="00CF7942">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In the result, the following order is granted:</w:t>
      </w:r>
    </w:p>
    <w:p w14:paraId="4EC7AFA2" w14:textId="34DE072A" w:rsidR="00B07262" w:rsidRPr="00B97A4E" w:rsidRDefault="00B97A4E" w:rsidP="00B97A4E">
      <w:pPr>
        <w:tabs>
          <w:tab w:val="left" w:pos="4917"/>
        </w:tabs>
        <w:spacing w:before="120" w:after="120" w:line="360" w:lineRule="auto"/>
        <w:ind w:left="360" w:hanging="360"/>
        <w:jc w:val="both"/>
        <w:rPr>
          <w:rFonts w:ascii="Arial" w:hAnsi="Arial" w:cs="Arial"/>
          <w:sz w:val="24"/>
          <w:szCs w:val="24"/>
        </w:rPr>
      </w:pPr>
      <w:r w:rsidRPr="0041174A">
        <w:rPr>
          <w:rFonts w:ascii="Arial" w:hAnsi="Arial" w:cs="Arial"/>
          <w:sz w:val="24"/>
          <w:szCs w:val="24"/>
        </w:rPr>
        <w:t>1.</w:t>
      </w:r>
      <w:r w:rsidRPr="0041174A">
        <w:rPr>
          <w:rFonts w:ascii="Arial" w:hAnsi="Arial" w:cs="Arial"/>
          <w:sz w:val="24"/>
          <w:szCs w:val="24"/>
        </w:rPr>
        <w:tab/>
      </w:r>
      <w:r w:rsidR="00B07262" w:rsidRPr="00B97A4E">
        <w:rPr>
          <w:rFonts w:ascii="Arial" w:hAnsi="Arial" w:cs="Arial"/>
          <w:sz w:val="24"/>
          <w:szCs w:val="24"/>
        </w:rPr>
        <w:t>The defendant</w:t>
      </w:r>
      <w:r w:rsidR="00E36AEE" w:rsidRPr="00B97A4E">
        <w:rPr>
          <w:rFonts w:ascii="Arial" w:hAnsi="Arial" w:cs="Arial"/>
          <w:sz w:val="24"/>
          <w:szCs w:val="24"/>
        </w:rPr>
        <w:t>'</w:t>
      </w:r>
      <w:r w:rsidR="00B07262" w:rsidRPr="00B97A4E">
        <w:rPr>
          <w:rFonts w:ascii="Arial" w:hAnsi="Arial" w:cs="Arial"/>
          <w:sz w:val="24"/>
          <w:szCs w:val="24"/>
        </w:rPr>
        <w:t xml:space="preserve">s </w:t>
      </w:r>
      <w:r w:rsidR="00BE1A4A" w:rsidRPr="00B97A4E">
        <w:rPr>
          <w:rFonts w:ascii="Arial" w:hAnsi="Arial" w:cs="Arial"/>
          <w:sz w:val="24"/>
          <w:szCs w:val="24"/>
        </w:rPr>
        <w:t xml:space="preserve">late </w:t>
      </w:r>
      <w:r w:rsidR="00B07262" w:rsidRPr="00B97A4E">
        <w:rPr>
          <w:rFonts w:ascii="Arial" w:hAnsi="Arial" w:cs="Arial"/>
          <w:sz w:val="24"/>
          <w:szCs w:val="24"/>
        </w:rPr>
        <w:t xml:space="preserve">amendment of her </w:t>
      </w:r>
      <w:r w:rsidR="00BE1A4A" w:rsidRPr="00B97A4E">
        <w:rPr>
          <w:rFonts w:ascii="Arial" w:hAnsi="Arial" w:cs="Arial"/>
          <w:sz w:val="24"/>
          <w:szCs w:val="24"/>
        </w:rPr>
        <w:t>counterclaim</w:t>
      </w:r>
      <w:r w:rsidR="00B07262" w:rsidRPr="00B97A4E">
        <w:rPr>
          <w:rFonts w:ascii="Arial" w:hAnsi="Arial" w:cs="Arial"/>
          <w:sz w:val="24"/>
          <w:szCs w:val="24"/>
        </w:rPr>
        <w:t xml:space="preserve"> is condoned;</w:t>
      </w:r>
    </w:p>
    <w:p w14:paraId="2C7CB39D" w14:textId="66EA7FA4" w:rsidR="00E36AEE" w:rsidRPr="00B97A4E" w:rsidRDefault="00B97A4E" w:rsidP="00B97A4E">
      <w:pPr>
        <w:tabs>
          <w:tab w:val="left" w:pos="4917"/>
        </w:tabs>
        <w:spacing w:before="120" w:after="120" w:line="360" w:lineRule="auto"/>
        <w:ind w:left="360" w:hanging="360"/>
        <w:jc w:val="both"/>
        <w:rPr>
          <w:rFonts w:ascii="Arial" w:hAnsi="Arial" w:cs="Arial"/>
          <w:sz w:val="24"/>
          <w:szCs w:val="24"/>
        </w:rPr>
      </w:pPr>
      <w:r w:rsidRPr="0041174A">
        <w:rPr>
          <w:rFonts w:ascii="Arial" w:hAnsi="Arial" w:cs="Arial"/>
          <w:sz w:val="24"/>
          <w:szCs w:val="24"/>
        </w:rPr>
        <w:t>2.</w:t>
      </w:r>
      <w:r w:rsidRPr="0041174A">
        <w:rPr>
          <w:rFonts w:ascii="Arial" w:hAnsi="Arial" w:cs="Arial"/>
          <w:sz w:val="24"/>
          <w:szCs w:val="24"/>
        </w:rPr>
        <w:tab/>
      </w:r>
      <w:r w:rsidR="00E36AEE" w:rsidRPr="00B97A4E">
        <w:rPr>
          <w:rFonts w:ascii="Arial" w:hAnsi="Arial" w:cs="Arial"/>
          <w:sz w:val="24"/>
          <w:szCs w:val="24"/>
        </w:rPr>
        <w:t>The issue of the costs associated with the amendmen</w:t>
      </w:r>
      <w:r w:rsidR="00EF64C7" w:rsidRPr="00B97A4E">
        <w:rPr>
          <w:rFonts w:ascii="Arial" w:hAnsi="Arial" w:cs="Arial"/>
          <w:sz w:val="24"/>
          <w:szCs w:val="24"/>
        </w:rPr>
        <w:t>t of the plea and counterclaim remain</w:t>
      </w:r>
      <w:r w:rsidR="00E36AEE" w:rsidRPr="00B97A4E">
        <w:rPr>
          <w:rFonts w:ascii="Arial" w:hAnsi="Arial" w:cs="Arial"/>
          <w:sz w:val="24"/>
          <w:szCs w:val="24"/>
        </w:rPr>
        <w:t>s to be dealt with at the main hearing;</w:t>
      </w:r>
    </w:p>
    <w:p w14:paraId="324000A5" w14:textId="0B1E77EA" w:rsidR="00B07262" w:rsidRPr="00B97A4E" w:rsidRDefault="00B97A4E" w:rsidP="00B97A4E">
      <w:pPr>
        <w:tabs>
          <w:tab w:val="left" w:pos="4917"/>
        </w:tabs>
        <w:spacing w:before="120" w:after="120" w:line="360" w:lineRule="auto"/>
        <w:ind w:left="360" w:hanging="360"/>
        <w:jc w:val="both"/>
        <w:rPr>
          <w:rFonts w:ascii="Arial" w:hAnsi="Arial" w:cs="Arial"/>
          <w:sz w:val="24"/>
          <w:szCs w:val="24"/>
        </w:rPr>
      </w:pPr>
      <w:r w:rsidRPr="0041174A">
        <w:rPr>
          <w:rFonts w:ascii="Arial" w:hAnsi="Arial" w:cs="Arial"/>
          <w:sz w:val="24"/>
          <w:szCs w:val="24"/>
        </w:rPr>
        <w:t>3.</w:t>
      </w:r>
      <w:r w:rsidRPr="0041174A">
        <w:rPr>
          <w:rFonts w:ascii="Arial" w:hAnsi="Arial" w:cs="Arial"/>
          <w:sz w:val="24"/>
          <w:szCs w:val="24"/>
        </w:rPr>
        <w:tab/>
      </w:r>
      <w:r w:rsidR="00B07262" w:rsidRPr="00B97A4E">
        <w:rPr>
          <w:rFonts w:ascii="Arial" w:hAnsi="Arial" w:cs="Arial"/>
          <w:sz w:val="24"/>
          <w:szCs w:val="24"/>
        </w:rPr>
        <w:t>The late filing of the plaintiff</w:t>
      </w:r>
      <w:r w:rsidR="00E36AEE" w:rsidRPr="00B97A4E">
        <w:rPr>
          <w:rFonts w:ascii="Arial" w:hAnsi="Arial" w:cs="Arial"/>
          <w:sz w:val="24"/>
          <w:szCs w:val="24"/>
        </w:rPr>
        <w:t>'</w:t>
      </w:r>
      <w:r w:rsidR="00B07262" w:rsidRPr="00B97A4E">
        <w:rPr>
          <w:rFonts w:ascii="Arial" w:hAnsi="Arial" w:cs="Arial"/>
          <w:sz w:val="24"/>
          <w:szCs w:val="24"/>
        </w:rPr>
        <w:t>s answering affidavit to the condonation application and the exception is condoned;</w:t>
      </w:r>
    </w:p>
    <w:p w14:paraId="01337DC5" w14:textId="396BE8E0" w:rsidR="00B07262" w:rsidRPr="00B97A4E" w:rsidRDefault="00B97A4E" w:rsidP="00B97A4E">
      <w:pPr>
        <w:tabs>
          <w:tab w:val="left" w:pos="4917"/>
        </w:tabs>
        <w:spacing w:before="120" w:after="120" w:line="360" w:lineRule="auto"/>
        <w:ind w:left="360" w:hanging="360"/>
        <w:jc w:val="both"/>
        <w:rPr>
          <w:rFonts w:ascii="Arial" w:hAnsi="Arial" w:cs="Arial"/>
          <w:sz w:val="24"/>
          <w:szCs w:val="24"/>
        </w:rPr>
      </w:pPr>
      <w:r w:rsidRPr="0041174A">
        <w:rPr>
          <w:rFonts w:ascii="Arial" w:hAnsi="Arial" w:cs="Arial"/>
          <w:sz w:val="24"/>
          <w:szCs w:val="24"/>
        </w:rPr>
        <w:t>4.</w:t>
      </w:r>
      <w:r w:rsidRPr="0041174A">
        <w:rPr>
          <w:rFonts w:ascii="Arial" w:hAnsi="Arial" w:cs="Arial"/>
          <w:sz w:val="24"/>
          <w:szCs w:val="24"/>
        </w:rPr>
        <w:tab/>
      </w:r>
      <w:r w:rsidR="00BE1A4A" w:rsidRPr="00B97A4E">
        <w:rPr>
          <w:rFonts w:ascii="Arial" w:hAnsi="Arial" w:cs="Arial"/>
          <w:sz w:val="24"/>
          <w:szCs w:val="24"/>
        </w:rPr>
        <w:t>The exception is dismissed with costs;</w:t>
      </w:r>
    </w:p>
    <w:p w14:paraId="6B2CF3ED" w14:textId="08CD14E6" w:rsidR="00BE1A4A" w:rsidRPr="00B97A4E" w:rsidRDefault="00B97A4E" w:rsidP="00B97A4E">
      <w:pPr>
        <w:tabs>
          <w:tab w:val="left" w:pos="4917"/>
        </w:tabs>
        <w:spacing w:before="120" w:after="120" w:line="360" w:lineRule="auto"/>
        <w:ind w:left="360" w:hanging="360"/>
        <w:jc w:val="both"/>
        <w:rPr>
          <w:rFonts w:ascii="Arial" w:hAnsi="Arial" w:cs="Arial"/>
          <w:sz w:val="24"/>
          <w:szCs w:val="24"/>
        </w:rPr>
      </w:pPr>
      <w:r w:rsidRPr="0041174A">
        <w:rPr>
          <w:rFonts w:ascii="Arial" w:hAnsi="Arial" w:cs="Arial"/>
          <w:sz w:val="24"/>
          <w:szCs w:val="24"/>
        </w:rPr>
        <w:t>5.</w:t>
      </w:r>
      <w:r w:rsidRPr="0041174A">
        <w:rPr>
          <w:rFonts w:ascii="Arial" w:hAnsi="Arial" w:cs="Arial"/>
          <w:sz w:val="24"/>
          <w:szCs w:val="24"/>
        </w:rPr>
        <w:tab/>
      </w:r>
      <w:r w:rsidR="00BE1A4A" w:rsidRPr="00B97A4E">
        <w:rPr>
          <w:rFonts w:ascii="Arial" w:hAnsi="Arial" w:cs="Arial"/>
          <w:sz w:val="24"/>
          <w:szCs w:val="24"/>
        </w:rPr>
        <w:t>The anti-dissipation app</w:t>
      </w:r>
      <w:r w:rsidR="003C77E9" w:rsidRPr="00B97A4E">
        <w:rPr>
          <w:rFonts w:ascii="Arial" w:hAnsi="Arial" w:cs="Arial"/>
          <w:sz w:val="24"/>
          <w:szCs w:val="24"/>
        </w:rPr>
        <w:t>lication is granted</w:t>
      </w:r>
      <w:r w:rsidR="007C1C25" w:rsidRPr="00B97A4E">
        <w:rPr>
          <w:rFonts w:ascii="Arial" w:hAnsi="Arial" w:cs="Arial"/>
          <w:sz w:val="24"/>
          <w:szCs w:val="24"/>
        </w:rPr>
        <w:t>,</w:t>
      </w:r>
      <w:r w:rsidR="003C77E9" w:rsidRPr="00B97A4E">
        <w:rPr>
          <w:rFonts w:ascii="Arial" w:hAnsi="Arial" w:cs="Arial"/>
          <w:sz w:val="24"/>
          <w:szCs w:val="24"/>
        </w:rPr>
        <w:t xml:space="preserve"> and the second respondent</w:t>
      </w:r>
      <w:r w:rsidR="0041174A" w:rsidRPr="00B97A4E">
        <w:rPr>
          <w:rFonts w:ascii="Arial" w:hAnsi="Arial" w:cs="Arial"/>
          <w:sz w:val="24"/>
          <w:szCs w:val="24"/>
        </w:rPr>
        <w:t xml:space="preserve"> (</w:t>
      </w:r>
      <w:proofErr w:type="spellStart"/>
      <w:r w:rsidR="0041174A" w:rsidRPr="00B97A4E">
        <w:rPr>
          <w:rFonts w:ascii="Arial" w:hAnsi="Arial" w:cs="Arial"/>
          <w:sz w:val="24"/>
          <w:szCs w:val="24"/>
        </w:rPr>
        <w:t>Fairbridge</w:t>
      </w:r>
      <w:proofErr w:type="spellEnd"/>
      <w:r w:rsidR="0041174A" w:rsidRPr="00B97A4E">
        <w:rPr>
          <w:rFonts w:ascii="Arial" w:hAnsi="Arial" w:cs="Arial"/>
          <w:sz w:val="24"/>
          <w:szCs w:val="24"/>
        </w:rPr>
        <w:t xml:space="preserve"> Wertheim Becker Attorneys Incorporated) is directed to retain the total of the net</w:t>
      </w:r>
      <w:r w:rsidR="003239C9" w:rsidRPr="00B97A4E">
        <w:rPr>
          <w:rFonts w:ascii="Arial" w:hAnsi="Arial" w:cs="Arial"/>
          <w:sz w:val="24"/>
          <w:szCs w:val="24"/>
        </w:rPr>
        <w:t xml:space="preserve"> </w:t>
      </w:r>
      <w:r w:rsidR="0041174A" w:rsidRPr="00B97A4E">
        <w:rPr>
          <w:rFonts w:ascii="Arial" w:hAnsi="Arial" w:cs="Arial"/>
          <w:sz w:val="24"/>
          <w:szCs w:val="24"/>
        </w:rPr>
        <w:t>proceeds of the sale of the Immovable Property</w:t>
      </w:r>
      <w:r w:rsidR="002063D7" w:rsidRPr="00B97A4E">
        <w:rPr>
          <w:rFonts w:ascii="Arial" w:hAnsi="Arial" w:cs="Arial"/>
          <w:sz w:val="24"/>
          <w:szCs w:val="24"/>
        </w:rPr>
        <w:t xml:space="preserve"> (</w:t>
      </w:r>
      <w:r w:rsidR="006400E8">
        <w:rPr>
          <w:rFonts w:ascii="Arial" w:hAnsi="Arial" w:cs="Arial"/>
          <w:sz w:val="24"/>
          <w:szCs w:val="24"/>
        </w:rPr>
        <w:t>[…]</w:t>
      </w:r>
      <w:r w:rsidR="006400E8">
        <w:rPr>
          <w:rFonts w:ascii="Arial" w:hAnsi="Arial" w:cs="Arial"/>
          <w:sz w:val="24"/>
          <w:szCs w:val="24"/>
        </w:rPr>
        <w:t xml:space="preserve"> </w:t>
      </w:r>
      <w:r w:rsidR="002063D7" w:rsidRPr="00B97A4E">
        <w:rPr>
          <w:rFonts w:ascii="Arial" w:hAnsi="Arial" w:cs="Arial"/>
          <w:sz w:val="24"/>
          <w:szCs w:val="24"/>
        </w:rPr>
        <w:t xml:space="preserve">Close, </w:t>
      </w:r>
      <w:proofErr w:type="gramStart"/>
      <w:r w:rsidR="002063D7" w:rsidRPr="00B97A4E">
        <w:rPr>
          <w:rFonts w:ascii="Arial" w:hAnsi="Arial" w:cs="Arial"/>
          <w:sz w:val="24"/>
          <w:szCs w:val="24"/>
        </w:rPr>
        <w:t>N</w:t>
      </w:r>
      <w:r w:rsidR="006400E8">
        <w:rPr>
          <w:rFonts w:ascii="Arial" w:hAnsi="Arial" w:cs="Arial"/>
          <w:sz w:val="24"/>
          <w:szCs w:val="24"/>
        </w:rPr>
        <w:t>[</w:t>
      </w:r>
      <w:proofErr w:type="gramEnd"/>
      <w:r w:rsidR="006400E8">
        <w:rPr>
          <w:rFonts w:ascii="Arial" w:hAnsi="Arial" w:cs="Arial"/>
          <w:sz w:val="24"/>
          <w:szCs w:val="24"/>
        </w:rPr>
        <w:t>…]</w:t>
      </w:r>
      <w:r w:rsidR="002063D7" w:rsidRPr="00B97A4E">
        <w:rPr>
          <w:rFonts w:ascii="Arial" w:hAnsi="Arial" w:cs="Arial"/>
          <w:sz w:val="24"/>
          <w:szCs w:val="24"/>
        </w:rPr>
        <w:t xml:space="preserve"> G</w:t>
      </w:r>
      <w:r w:rsidR="006400E8">
        <w:rPr>
          <w:rFonts w:ascii="Arial" w:hAnsi="Arial" w:cs="Arial"/>
          <w:sz w:val="24"/>
          <w:szCs w:val="24"/>
        </w:rPr>
        <w:t>[…]</w:t>
      </w:r>
      <w:r w:rsidR="002063D7" w:rsidRPr="00B97A4E">
        <w:rPr>
          <w:rFonts w:ascii="Arial" w:hAnsi="Arial" w:cs="Arial"/>
          <w:sz w:val="24"/>
          <w:szCs w:val="24"/>
        </w:rPr>
        <w:t xml:space="preserve">, </w:t>
      </w:r>
      <w:r w:rsidR="006400E8">
        <w:rPr>
          <w:rFonts w:ascii="Arial" w:hAnsi="Arial" w:cs="Arial"/>
          <w:sz w:val="24"/>
          <w:szCs w:val="24"/>
        </w:rPr>
        <w:t>[…]</w:t>
      </w:r>
      <w:r w:rsidR="002063D7" w:rsidRPr="00B97A4E">
        <w:rPr>
          <w:rFonts w:ascii="Arial" w:hAnsi="Arial" w:cs="Arial"/>
          <w:sz w:val="24"/>
          <w:szCs w:val="24"/>
        </w:rPr>
        <w:t>, Johannesburg)</w:t>
      </w:r>
      <w:r w:rsidR="0041174A" w:rsidRPr="00B97A4E">
        <w:rPr>
          <w:rFonts w:ascii="Arial" w:hAnsi="Arial" w:cs="Arial"/>
          <w:sz w:val="24"/>
          <w:szCs w:val="24"/>
        </w:rPr>
        <w:t xml:space="preserve"> in an interest-bearing trust account as envisaged by section 86(3) of the Legal Practice Act 28 of 2014, pending the determination of the accrual claim in the divorce. In the event that the net proceeds of the sale of the immovable property have been p</w:t>
      </w:r>
      <w:r w:rsidR="00265591">
        <w:rPr>
          <w:rFonts w:ascii="Arial" w:hAnsi="Arial" w:cs="Arial"/>
          <w:sz w:val="24"/>
          <w:szCs w:val="24"/>
        </w:rPr>
        <w:t xml:space="preserve">aid to the plaintiff (Mr. </w:t>
      </w:r>
      <w:proofErr w:type="gramStart"/>
      <w:r w:rsidR="00265591">
        <w:rPr>
          <w:rFonts w:ascii="Arial" w:hAnsi="Arial" w:cs="Arial"/>
          <w:sz w:val="24"/>
          <w:szCs w:val="24"/>
        </w:rPr>
        <w:t>L</w:t>
      </w:r>
      <w:r w:rsidR="00265591">
        <w:rPr>
          <w:rFonts w:ascii="Arial" w:hAnsi="Arial" w:cs="Arial"/>
          <w:sz w:val="24"/>
          <w:szCs w:val="24"/>
        </w:rPr>
        <w:t>[</w:t>
      </w:r>
      <w:proofErr w:type="gramEnd"/>
      <w:r w:rsidR="00265591">
        <w:rPr>
          <w:rFonts w:ascii="Arial" w:hAnsi="Arial" w:cs="Arial"/>
          <w:sz w:val="24"/>
          <w:szCs w:val="24"/>
        </w:rPr>
        <w:t>…]</w:t>
      </w:r>
      <w:r w:rsidR="0041174A" w:rsidRPr="00B97A4E">
        <w:rPr>
          <w:rFonts w:ascii="Arial" w:hAnsi="Arial" w:cs="Arial"/>
          <w:sz w:val="24"/>
          <w:szCs w:val="24"/>
        </w:rPr>
        <w:t xml:space="preserve">), or his nominee, </w:t>
      </w:r>
    </w:p>
    <w:p w14:paraId="5C48D7DD" w14:textId="560C8B1B" w:rsidR="0041174A" w:rsidRPr="00B97A4E" w:rsidRDefault="00B97A4E" w:rsidP="00B97A4E">
      <w:pPr>
        <w:tabs>
          <w:tab w:val="left" w:pos="4917"/>
        </w:tabs>
        <w:spacing w:before="120" w:after="120" w:line="360" w:lineRule="auto"/>
        <w:ind w:left="792" w:hanging="432"/>
        <w:jc w:val="both"/>
        <w:rPr>
          <w:rFonts w:ascii="Arial" w:hAnsi="Arial" w:cs="Arial"/>
          <w:sz w:val="24"/>
          <w:szCs w:val="24"/>
        </w:rPr>
      </w:pPr>
      <w:r w:rsidRPr="0041174A">
        <w:rPr>
          <w:rFonts w:ascii="Arial" w:hAnsi="Arial" w:cs="Arial"/>
          <w:sz w:val="24"/>
          <w:szCs w:val="24"/>
        </w:rPr>
        <w:lastRenderedPageBreak/>
        <w:t>5.1.</w:t>
      </w:r>
      <w:r w:rsidRPr="0041174A">
        <w:rPr>
          <w:rFonts w:ascii="Arial" w:hAnsi="Arial" w:cs="Arial"/>
          <w:sz w:val="24"/>
          <w:szCs w:val="24"/>
        </w:rPr>
        <w:tab/>
      </w:r>
      <w:r w:rsidR="0041174A" w:rsidRPr="00B97A4E">
        <w:rPr>
          <w:rFonts w:ascii="Arial" w:hAnsi="Arial" w:cs="Arial"/>
          <w:sz w:val="24"/>
          <w:szCs w:val="24"/>
        </w:rPr>
        <w:t>The second respondent is directed to furnish the defendant’s attorney of record with a statement of account reflecting the purchase consideration and detailing the disbursement of expenses within 5 (five) days of the date of this order;</w:t>
      </w:r>
    </w:p>
    <w:p w14:paraId="08A23F38" w14:textId="756635D8" w:rsidR="0041174A" w:rsidRPr="00B97A4E" w:rsidRDefault="00B97A4E" w:rsidP="00B97A4E">
      <w:pPr>
        <w:tabs>
          <w:tab w:val="left" w:pos="4917"/>
        </w:tabs>
        <w:spacing w:before="120" w:after="120" w:line="360" w:lineRule="auto"/>
        <w:ind w:left="792" w:hanging="432"/>
        <w:jc w:val="both"/>
        <w:rPr>
          <w:rFonts w:ascii="Arial" w:hAnsi="Arial" w:cs="Arial"/>
          <w:sz w:val="24"/>
          <w:szCs w:val="24"/>
        </w:rPr>
      </w:pPr>
      <w:r w:rsidRPr="0041174A">
        <w:rPr>
          <w:rFonts w:ascii="Arial" w:hAnsi="Arial" w:cs="Arial"/>
          <w:sz w:val="24"/>
          <w:szCs w:val="24"/>
        </w:rPr>
        <w:t>5.2.</w:t>
      </w:r>
      <w:r w:rsidRPr="0041174A">
        <w:rPr>
          <w:rFonts w:ascii="Arial" w:hAnsi="Arial" w:cs="Arial"/>
          <w:sz w:val="24"/>
          <w:szCs w:val="24"/>
        </w:rPr>
        <w:tab/>
      </w:r>
      <w:r w:rsidR="00265591">
        <w:rPr>
          <w:rFonts w:ascii="Arial" w:hAnsi="Arial" w:cs="Arial"/>
          <w:sz w:val="24"/>
          <w:szCs w:val="24"/>
        </w:rPr>
        <w:t xml:space="preserve">The plaintiff (Mr. </w:t>
      </w:r>
      <w:proofErr w:type="gramStart"/>
      <w:r w:rsidR="00265591">
        <w:rPr>
          <w:rFonts w:ascii="Arial" w:hAnsi="Arial" w:cs="Arial"/>
          <w:sz w:val="24"/>
          <w:szCs w:val="24"/>
        </w:rPr>
        <w:t>L</w:t>
      </w:r>
      <w:r w:rsidR="00265591">
        <w:rPr>
          <w:rFonts w:ascii="Arial" w:hAnsi="Arial" w:cs="Arial"/>
          <w:sz w:val="24"/>
          <w:szCs w:val="24"/>
        </w:rPr>
        <w:t>[</w:t>
      </w:r>
      <w:proofErr w:type="gramEnd"/>
      <w:r w:rsidR="00265591">
        <w:rPr>
          <w:rFonts w:ascii="Arial" w:hAnsi="Arial" w:cs="Arial"/>
          <w:sz w:val="24"/>
          <w:szCs w:val="24"/>
        </w:rPr>
        <w:t>…]</w:t>
      </w:r>
      <w:r w:rsidR="0041174A" w:rsidRPr="00B97A4E">
        <w:rPr>
          <w:rFonts w:ascii="Arial" w:hAnsi="Arial" w:cs="Arial"/>
          <w:sz w:val="24"/>
          <w:szCs w:val="24"/>
        </w:rPr>
        <w:t>) is directed to pay an amount equivalent to the net proceeds of the sale of the immovable property to the second respondent (</w:t>
      </w:r>
      <w:proofErr w:type="spellStart"/>
      <w:r w:rsidR="0041174A" w:rsidRPr="00B97A4E">
        <w:rPr>
          <w:rFonts w:ascii="Arial" w:hAnsi="Arial" w:cs="Arial"/>
          <w:sz w:val="24"/>
          <w:szCs w:val="24"/>
        </w:rPr>
        <w:t>Fairbridge</w:t>
      </w:r>
      <w:proofErr w:type="spellEnd"/>
      <w:r w:rsidR="0041174A" w:rsidRPr="00B97A4E">
        <w:rPr>
          <w:rFonts w:ascii="Arial" w:hAnsi="Arial" w:cs="Arial"/>
          <w:sz w:val="24"/>
          <w:szCs w:val="24"/>
        </w:rPr>
        <w:t xml:space="preserve"> Wertheim Becker Attorneys Incorporated) to be retained in an interest-bearing trust account as envisaged by section 86(3) of the Legal Practice Act 28 of 2014, pending the determination of the accrual claim in the divorce.</w:t>
      </w:r>
    </w:p>
    <w:p w14:paraId="26218626" w14:textId="363F7009" w:rsidR="00F9064E" w:rsidRPr="00B97A4E" w:rsidRDefault="00B97A4E" w:rsidP="00B97A4E">
      <w:pPr>
        <w:spacing w:before="120" w:after="12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A7F7F" w:rsidRPr="00B97A4E">
        <w:rPr>
          <w:rFonts w:ascii="Arial" w:hAnsi="Arial" w:cs="Arial"/>
          <w:sz w:val="24"/>
          <w:szCs w:val="24"/>
        </w:rPr>
        <w:t xml:space="preserve">The </w:t>
      </w:r>
      <w:r w:rsidR="0041174A" w:rsidRPr="00B97A4E">
        <w:rPr>
          <w:rFonts w:ascii="Arial" w:hAnsi="Arial" w:cs="Arial"/>
          <w:sz w:val="24"/>
          <w:szCs w:val="24"/>
        </w:rPr>
        <w:t xml:space="preserve">costs of </w:t>
      </w:r>
      <w:r w:rsidR="000A7F7F" w:rsidRPr="00B97A4E">
        <w:rPr>
          <w:rFonts w:ascii="Arial" w:hAnsi="Arial" w:cs="Arial"/>
          <w:sz w:val="24"/>
          <w:szCs w:val="24"/>
        </w:rPr>
        <w:t>the anti-dissipation application are costs in the cause.</w:t>
      </w:r>
    </w:p>
    <w:p w14:paraId="10B05F4F" w14:textId="77777777" w:rsidR="0041174A" w:rsidRPr="0041174A" w:rsidRDefault="0041174A" w:rsidP="0041174A">
      <w:pPr>
        <w:pStyle w:val="ListParagraph"/>
        <w:spacing w:before="120" w:after="120" w:line="360" w:lineRule="auto"/>
        <w:ind w:left="360"/>
        <w:jc w:val="both"/>
        <w:rPr>
          <w:rFonts w:ascii="Arial" w:hAnsi="Arial" w:cs="Arial"/>
          <w:sz w:val="24"/>
          <w:szCs w:val="24"/>
        </w:rPr>
      </w:pPr>
    </w:p>
    <w:p w14:paraId="70421D4E" w14:textId="6B002045" w:rsidR="004F3075" w:rsidRPr="00BF6075" w:rsidRDefault="004F3075" w:rsidP="002F1742">
      <w:pPr>
        <w:pStyle w:val="ListParagraph"/>
        <w:tabs>
          <w:tab w:val="left" w:pos="4917"/>
        </w:tabs>
        <w:spacing w:before="120" w:after="120" w:line="240" w:lineRule="auto"/>
        <w:ind w:left="907"/>
        <w:jc w:val="right"/>
        <w:rPr>
          <w:rFonts w:ascii="Arial" w:hAnsi="Arial" w:cs="Arial"/>
          <w:sz w:val="24"/>
          <w:szCs w:val="24"/>
        </w:rPr>
      </w:pPr>
      <w:r w:rsidRPr="00BF6075">
        <w:rPr>
          <w:rFonts w:ascii="Arial" w:hAnsi="Arial" w:cs="Arial"/>
          <w:sz w:val="24"/>
          <w:szCs w:val="24"/>
        </w:rPr>
        <w:t>____________________________</w:t>
      </w:r>
    </w:p>
    <w:p w14:paraId="316A0066" w14:textId="6770DFAF" w:rsidR="009C6441" w:rsidRPr="00BF6075" w:rsidRDefault="009C6441" w:rsidP="002F1742">
      <w:pPr>
        <w:pStyle w:val="ListParagraph"/>
        <w:tabs>
          <w:tab w:val="left" w:pos="4917"/>
        </w:tabs>
        <w:spacing w:before="120" w:after="120" w:line="240" w:lineRule="auto"/>
        <w:ind w:left="907"/>
        <w:jc w:val="right"/>
        <w:rPr>
          <w:rFonts w:ascii="Arial" w:hAnsi="Arial" w:cs="Arial"/>
          <w:sz w:val="24"/>
          <w:szCs w:val="24"/>
        </w:rPr>
      </w:pPr>
      <w:r w:rsidRPr="00BF6075">
        <w:rPr>
          <w:rFonts w:ascii="Arial" w:hAnsi="Arial" w:cs="Arial"/>
          <w:sz w:val="24"/>
          <w:szCs w:val="24"/>
        </w:rPr>
        <w:t xml:space="preserve">E van der </w:t>
      </w:r>
      <w:proofErr w:type="spellStart"/>
      <w:r w:rsidRPr="00BF6075">
        <w:rPr>
          <w:rFonts w:ascii="Arial" w:hAnsi="Arial" w:cs="Arial"/>
          <w:sz w:val="24"/>
          <w:szCs w:val="24"/>
        </w:rPr>
        <w:t>Schyff</w:t>
      </w:r>
      <w:proofErr w:type="spellEnd"/>
    </w:p>
    <w:p w14:paraId="6661EF95" w14:textId="5606AFFD" w:rsidR="009C6441" w:rsidRPr="00BF6075" w:rsidRDefault="009C6441" w:rsidP="002F1742">
      <w:pPr>
        <w:tabs>
          <w:tab w:val="left" w:pos="4917"/>
        </w:tabs>
        <w:spacing w:before="120" w:after="120" w:line="240" w:lineRule="auto"/>
        <w:ind w:left="357"/>
        <w:jc w:val="right"/>
        <w:rPr>
          <w:rFonts w:ascii="Arial" w:hAnsi="Arial" w:cs="Arial"/>
          <w:sz w:val="24"/>
          <w:szCs w:val="24"/>
        </w:rPr>
      </w:pPr>
      <w:r w:rsidRPr="00BF6075">
        <w:rPr>
          <w:rFonts w:ascii="Arial" w:hAnsi="Arial" w:cs="Arial"/>
          <w:sz w:val="24"/>
          <w:szCs w:val="24"/>
        </w:rPr>
        <w:t>Judge of t</w:t>
      </w:r>
      <w:r w:rsidR="00B7783F" w:rsidRPr="00BF6075">
        <w:rPr>
          <w:rFonts w:ascii="Arial" w:hAnsi="Arial" w:cs="Arial"/>
          <w:sz w:val="24"/>
          <w:szCs w:val="24"/>
        </w:rPr>
        <w:t>he High Court</w:t>
      </w:r>
    </w:p>
    <w:p w14:paraId="7C3020C9" w14:textId="77777777" w:rsidR="00A42BDA" w:rsidRPr="00BF6075" w:rsidRDefault="00A42BDA" w:rsidP="003649CD">
      <w:pPr>
        <w:tabs>
          <w:tab w:val="left" w:pos="4917"/>
        </w:tabs>
        <w:spacing w:after="0" w:line="360" w:lineRule="auto"/>
        <w:ind w:left="357"/>
        <w:rPr>
          <w:rFonts w:ascii="Arial" w:hAnsi="Arial" w:cs="Arial"/>
          <w:sz w:val="24"/>
          <w:szCs w:val="24"/>
        </w:rPr>
      </w:pPr>
    </w:p>
    <w:p w14:paraId="33317977" w14:textId="0DE14CA4" w:rsidR="002B0D1E" w:rsidRPr="00BF6075" w:rsidRDefault="002B0D1E" w:rsidP="002B0D1E">
      <w:pPr>
        <w:tabs>
          <w:tab w:val="left" w:pos="4917"/>
        </w:tabs>
        <w:spacing w:after="0" w:line="360" w:lineRule="auto"/>
        <w:ind w:left="357"/>
        <w:jc w:val="both"/>
        <w:rPr>
          <w:rFonts w:ascii="Arial" w:hAnsi="Arial" w:cs="Arial"/>
          <w:sz w:val="24"/>
          <w:szCs w:val="24"/>
        </w:rPr>
      </w:pPr>
      <w:r w:rsidRPr="00BF6075">
        <w:rPr>
          <w:rFonts w:ascii="Arial" w:eastAsia="Arial Unicode MS" w:hAnsi="Arial" w:cs="Arial"/>
          <w:bCs/>
          <w:sz w:val="24"/>
          <w:szCs w:val="24"/>
        </w:rPr>
        <w:t xml:space="preserve">Delivered:  This judgement is handed down electronically by uploading it to the electronic file of this matter on </w:t>
      </w:r>
      <w:proofErr w:type="spellStart"/>
      <w:r w:rsidRPr="00BF6075">
        <w:rPr>
          <w:rFonts w:ascii="Arial" w:eastAsia="Arial Unicode MS" w:hAnsi="Arial" w:cs="Arial"/>
          <w:bCs/>
          <w:sz w:val="24"/>
          <w:szCs w:val="24"/>
        </w:rPr>
        <w:t>CaseLines</w:t>
      </w:r>
      <w:proofErr w:type="spellEnd"/>
      <w:r w:rsidRPr="00BF6075">
        <w:rPr>
          <w:rFonts w:ascii="Arial" w:eastAsia="Arial Unicode MS" w:hAnsi="Arial" w:cs="Arial"/>
          <w:bCs/>
          <w:sz w:val="24"/>
          <w:szCs w:val="24"/>
        </w:rPr>
        <w:t xml:space="preserve">. </w:t>
      </w:r>
      <w:r w:rsidR="00C97578" w:rsidRPr="00BF6075">
        <w:rPr>
          <w:rFonts w:ascii="Arial" w:eastAsia="Arial Unicode MS" w:hAnsi="Arial" w:cs="Arial"/>
          <w:bCs/>
          <w:sz w:val="24"/>
          <w:szCs w:val="24"/>
        </w:rPr>
        <w:t>As a cou</w:t>
      </w:r>
      <w:r w:rsidR="00BD696A" w:rsidRPr="00BF6075">
        <w:rPr>
          <w:rFonts w:ascii="Arial" w:eastAsia="Arial Unicode MS" w:hAnsi="Arial" w:cs="Arial"/>
          <w:bCs/>
          <w:sz w:val="24"/>
          <w:szCs w:val="24"/>
        </w:rPr>
        <w:t>rtesy gesture</w:t>
      </w:r>
      <w:r w:rsidR="00AF5BC0" w:rsidRPr="00BF6075">
        <w:rPr>
          <w:rFonts w:ascii="Arial" w:eastAsia="Arial Unicode MS" w:hAnsi="Arial" w:cs="Arial"/>
          <w:bCs/>
          <w:sz w:val="24"/>
          <w:szCs w:val="24"/>
        </w:rPr>
        <w:t>,</w:t>
      </w:r>
      <w:r w:rsidR="00BD696A" w:rsidRPr="00BF6075">
        <w:rPr>
          <w:rFonts w:ascii="Arial" w:eastAsia="Arial Unicode MS" w:hAnsi="Arial" w:cs="Arial"/>
          <w:bCs/>
          <w:sz w:val="24"/>
          <w:szCs w:val="24"/>
        </w:rPr>
        <w:t xml:space="preserve"> it will be sent</w:t>
      </w:r>
      <w:r w:rsidR="00290703" w:rsidRPr="00BF6075">
        <w:rPr>
          <w:rFonts w:ascii="Arial" w:eastAsia="Arial Unicode MS" w:hAnsi="Arial" w:cs="Arial"/>
          <w:bCs/>
          <w:sz w:val="24"/>
          <w:szCs w:val="24"/>
        </w:rPr>
        <w:t xml:space="preserve"> to the p</w:t>
      </w:r>
      <w:r w:rsidR="00BD696A" w:rsidRPr="00BF6075">
        <w:rPr>
          <w:rFonts w:ascii="Arial" w:eastAsia="Arial Unicode MS" w:hAnsi="Arial" w:cs="Arial"/>
          <w:bCs/>
          <w:sz w:val="24"/>
          <w:szCs w:val="24"/>
        </w:rPr>
        <w:t xml:space="preserve">arties/their legal representatives by email. </w:t>
      </w:r>
    </w:p>
    <w:p w14:paraId="13B2B5F7" w14:textId="2214D263" w:rsidR="00A42BDA" w:rsidRPr="00BF6075" w:rsidRDefault="00BE1A4A" w:rsidP="003649CD">
      <w:pPr>
        <w:tabs>
          <w:tab w:val="left" w:pos="4917"/>
        </w:tabs>
        <w:spacing w:after="0" w:line="360" w:lineRule="auto"/>
        <w:ind w:left="357"/>
        <w:rPr>
          <w:rFonts w:ascii="Arial" w:hAnsi="Arial" w:cs="Arial"/>
          <w:sz w:val="24"/>
          <w:szCs w:val="24"/>
        </w:rPr>
      </w:pPr>
      <w:r>
        <w:rPr>
          <w:rFonts w:ascii="Arial" w:hAnsi="Arial" w:cs="Arial"/>
          <w:sz w:val="24"/>
          <w:szCs w:val="24"/>
        </w:rPr>
        <w:tab/>
      </w:r>
    </w:p>
    <w:p w14:paraId="32901E29" w14:textId="643B7432" w:rsidR="00BE029D" w:rsidRPr="00BF6075" w:rsidRDefault="002C7989" w:rsidP="00BE1A4A">
      <w:pPr>
        <w:tabs>
          <w:tab w:val="left" w:pos="4917"/>
        </w:tabs>
        <w:spacing w:after="0" w:line="360" w:lineRule="auto"/>
        <w:ind w:left="357"/>
        <w:rPr>
          <w:rFonts w:ascii="Arial" w:hAnsi="Arial" w:cs="Arial"/>
          <w:sz w:val="24"/>
          <w:szCs w:val="24"/>
        </w:rPr>
      </w:pPr>
      <w:r w:rsidRPr="00BF6075">
        <w:rPr>
          <w:rFonts w:ascii="Arial" w:hAnsi="Arial" w:cs="Arial"/>
          <w:sz w:val="24"/>
          <w:szCs w:val="24"/>
        </w:rPr>
        <w:t>F</w:t>
      </w:r>
      <w:r w:rsidR="00E66A18" w:rsidRPr="00BF6075">
        <w:rPr>
          <w:rFonts w:ascii="Arial" w:hAnsi="Arial" w:cs="Arial"/>
          <w:sz w:val="24"/>
          <w:szCs w:val="24"/>
        </w:rPr>
        <w:t>o</w:t>
      </w:r>
      <w:r w:rsidR="00BE1A4A">
        <w:rPr>
          <w:rFonts w:ascii="Arial" w:hAnsi="Arial" w:cs="Arial"/>
          <w:sz w:val="24"/>
          <w:szCs w:val="24"/>
        </w:rPr>
        <w:t>r the plaintiff:</w:t>
      </w:r>
      <w:r w:rsidR="00BE1A4A">
        <w:rPr>
          <w:rFonts w:ascii="Arial" w:hAnsi="Arial" w:cs="Arial"/>
          <w:sz w:val="24"/>
          <w:szCs w:val="24"/>
        </w:rPr>
        <w:tab/>
        <w:t xml:space="preserve">Adv. </w:t>
      </w:r>
      <w:r w:rsidR="00812BC3">
        <w:rPr>
          <w:rFonts w:ascii="Arial" w:hAnsi="Arial" w:cs="Arial"/>
          <w:sz w:val="24"/>
          <w:szCs w:val="24"/>
        </w:rPr>
        <w:t xml:space="preserve">L C </w:t>
      </w:r>
      <w:proofErr w:type="spellStart"/>
      <w:r w:rsidR="00812BC3">
        <w:rPr>
          <w:rFonts w:ascii="Arial" w:hAnsi="Arial" w:cs="Arial"/>
          <w:sz w:val="24"/>
          <w:szCs w:val="24"/>
        </w:rPr>
        <w:t>Haupt</w:t>
      </w:r>
      <w:proofErr w:type="spellEnd"/>
      <w:r w:rsidR="00812BC3">
        <w:rPr>
          <w:rFonts w:ascii="Arial" w:hAnsi="Arial" w:cs="Arial"/>
          <w:sz w:val="24"/>
          <w:szCs w:val="24"/>
        </w:rPr>
        <w:t xml:space="preserve"> SC</w:t>
      </w:r>
      <w:r w:rsidR="00BE1A4A">
        <w:rPr>
          <w:rFonts w:ascii="Arial" w:hAnsi="Arial" w:cs="Arial"/>
          <w:sz w:val="24"/>
          <w:szCs w:val="24"/>
        </w:rPr>
        <w:tab/>
      </w:r>
      <w:r w:rsidR="00E20004" w:rsidRPr="00BF6075">
        <w:rPr>
          <w:rFonts w:ascii="Arial" w:hAnsi="Arial" w:cs="Arial"/>
          <w:sz w:val="24"/>
          <w:szCs w:val="24"/>
        </w:rPr>
        <w:tab/>
      </w:r>
    </w:p>
    <w:p w14:paraId="554CB456" w14:textId="31B5FD6D" w:rsidR="00E20004" w:rsidRPr="00BF6075" w:rsidRDefault="00F9064E" w:rsidP="00BE500B">
      <w:pPr>
        <w:tabs>
          <w:tab w:val="left" w:pos="4917"/>
        </w:tabs>
        <w:spacing w:after="0" w:line="360" w:lineRule="auto"/>
        <w:ind w:left="4917" w:hanging="4557"/>
        <w:rPr>
          <w:rFonts w:ascii="Arial" w:hAnsi="Arial" w:cs="Arial"/>
          <w:sz w:val="24"/>
          <w:szCs w:val="24"/>
        </w:rPr>
      </w:pPr>
      <w:r w:rsidRPr="00BF6075">
        <w:rPr>
          <w:rFonts w:ascii="Arial" w:hAnsi="Arial" w:cs="Arial"/>
          <w:sz w:val="24"/>
          <w:szCs w:val="24"/>
        </w:rPr>
        <w:t>I</w:t>
      </w:r>
      <w:r w:rsidR="003649CD" w:rsidRPr="00BF6075">
        <w:rPr>
          <w:rFonts w:ascii="Arial" w:hAnsi="Arial" w:cs="Arial"/>
          <w:sz w:val="24"/>
          <w:szCs w:val="24"/>
        </w:rPr>
        <w:t xml:space="preserve">nstructed by: </w:t>
      </w:r>
      <w:r w:rsidR="00E20004" w:rsidRPr="00BF6075">
        <w:rPr>
          <w:rFonts w:ascii="Arial" w:hAnsi="Arial" w:cs="Arial"/>
          <w:sz w:val="24"/>
          <w:szCs w:val="24"/>
        </w:rPr>
        <w:tab/>
      </w:r>
      <w:proofErr w:type="spellStart"/>
      <w:r w:rsidR="00BE1A4A">
        <w:rPr>
          <w:rFonts w:ascii="Arial" w:hAnsi="Arial" w:cs="Arial"/>
          <w:sz w:val="24"/>
          <w:szCs w:val="24"/>
        </w:rPr>
        <w:t>Fairbridges</w:t>
      </w:r>
      <w:proofErr w:type="spellEnd"/>
      <w:r w:rsidR="00BE1A4A">
        <w:rPr>
          <w:rFonts w:ascii="Arial" w:hAnsi="Arial" w:cs="Arial"/>
          <w:sz w:val="24"/>
          <w:szCs w:val="24"/>
        </w:rPr>
        <w:t xml:space="preserve"> Wertheim Becker Attorneys</w:t>
      </w:r>
      <w:r w:rsidR="00377FDC" w:rsidRPr="00BF6075">
        <w:rPr>
          <w:rFonts w:ascii="Arial" w:hAnsi="Arial" w:cs="Arial"/>
          <w:sz w:val="24"/>
          <w:szCs w:val="24"/>
        </w:rPr>
        <w:tab/>
      </w:r>
    </w:p>
    <w:p w14:paraId="44D1AFCD" w14:textId="370B6EF3" w:rsidR="00377FDC" w:rsidRPr="00BF6075" w:rsidRDefault="00B7783F" w:rsidP="00BE500B">
      <w:pPr>
        <w:tabs>
          <w:tab w:val="left" w:pos="4917"/>
        </w:tabs>
        <w:spacing w:after="0" w:line="360" w:lineRule="auto"/>
        <w:ind w:left="4917" w:hanging="4557"/>
        <w:rPr>
          <w:rFonts w:ascii="Arial" w:hAnsi="Arial" w:cs="Arial"/>
          <w:sz w:val="24"/>
          <w:szCs w:val="24"/>
        </w:rPr>
      </w:pPr>
      <w:r w:rsidRPr="00BF6075">
        <w:rPr>
          <w:rFonts w:ascii="Arial" w:hAnsi="Arial" w:cs="Arial"/>
          <w:sz w:val="24"/>
          <w:szCs w:val="24"/>
        </w:rPr>
        <w:t>F</w:t>
      </w:r>
      <w:r w:rsidR="00F9064E" w:rsidRPr="00BF6075">
        <w:rPr>
          <w:rFonts w:ascii="Arial" w:hAnsi="Arial" w:cs="Arial"/>
          <w:sz w:val="24"/>
          <w:szCs w:val="24"/>
        </w:rPr>
        <w:t>or</w:t>
      </w:r>
      <w:r w:rsidR="00E20004" w:rsidRPr="00BF6075">
        <w:rPr>
          <w:rFonts w:ascii="Arial" w:hAnsi="Arial" w:cs="Arial"/>
          <w:sz w:val="24"/>
          <w:szCs w:val="24"/>
        </w:rPr>
        <w:t xml:space="preserve"> the </w:t>
      </w:r>
      <w:r w:rsidR="00BE1A4A">
        <w:rPr>
          <w:rFonts w:ascii="Arial" w:hAnsi="Arial" w:cs="Arial"/>
          <w:sz w:val="24"/>
          <w:szCs w:val="24"/>
        </w:rPr>
        <w:t>defendant</w:t>
      </w:r>
      <w:r w:rsidR="00377FDC" w:rsidRPr="00BF6075">
        <w:rPr>
          <w:rFonts w:ascii="Arial" w:hAnsi="Arial" w:cs="Arial"/>
          <w:sz w:val="24"/>
          <w:szCs w:val="24"/>
        </w:rPr>
        <w:t>:</w:t>
      </w:r>
      <w:r w:rsidR="00BE1A4A">
        <w:rPr>
          <w:rFonts w:ascii="Arial" w:hAnsi="Arial" w:cs="Arial"/>
          <w:sz w:val="24"/>
          <w:szCs w:val="24"/>
        </w:rPr>
        <w:tab/>
        <w:t xml:space="preserve">Adv. </w:t>
      </w:r>
      <w:r w:rsidR="00812BC3">
        <w:rPr>
          <w:rFonts w:ascii="Arial" w:hAnsi="Arial" w:cs="Arial"/>
          <w:sz w:val="24"/>
          <w:szCs w:val="24"/>
        </w:rPr>
        <w:t xml:space="preserve">G </w:t>
      </w:r>
      <w:proofErr w:type="spellStart"/>
      <w:r w:rsidR="00812BC3">
        <w:rPr>
          <w:rFonts w:ascii="Arial" w:hAnsi="Arial" w:cs="Arial"/>
          <w:sz w:val="24"/>
          <w:szCs w:val="24"/>
        </w:rPr>
        <w:t>Kyriazis</w:t>
      </w:r>
      <w:proofErr w:type="spellEnd"/>
    </w:p>
    <w:p w14:paraId="67876EBF" w14:textId="37882859" w:rsidR="003649CD" w:rsidRPr="00BF6075" w:rsidRDefault="00F03EE2" w:rsidP="00B36472">
      <w:pPr>
        <w:tabs>
          <w:tab w:val="left" w:pos="4917"/>
        </w:tabs>
        <w:spacing w:after="0" w:line="360" w:lineRule="auto"/>
        <w:ind w:left="4917" w:hanging="4557"/>
        <w:rPr>
          <w:rFonts w:ascii="Arial" w:hAnsi="Arial" w:cs="Arial"/>
          <w:sz w:val="24"/>
          <w:szCs w:val="24"/>
        </w:rPr>
      </w:pPr>
      <w:r w:rsidRPr="00BF6075">
        <w:rPr>
          <w:rFonts w:ascii="Arial" w:hAnsi="Arial" w:cs="Arial"/>
          <w:sz w:val="24"/>
          <w:szCs w:val="24"/>
        </w:rPr>
        <w:t>Instructed by:</w:t>
      </w:r>
      <w:r w:rsidRPr="00BF6075">
        <w:rPr>
          <w:rFonts w:ascii="Arial" w:hAnsi="Arial" w:cs="Arial"/>
          <w:sz w:val="24"/>
          <w:szCs w:val="24"/>
        </w:rPr>
        <w:tab/>
      </w:r>
      <w:proofErr w:type="spellStart"/>
      <w:r w:rsidR="00812BC3">
        <w:rPr>
          <w:rFonts w:ascii="Arial" w:hAnsi="Arial" w:cs="Arial"/>
          <w:sz w:val="24"/>
          <w:szCs w:val="24"/>
        </w:rPr>
        <w:t>Shaban</w:t>
      </w:r>
      <w:proofErr w:type="spellEnd"/>
      <w:r w:rsidR="00812BC3">
        <w:rPr>
          <w:rFonts w:ascii="Arial" w:hAnsi="Arial" w:cs="Arial"/>
          <w:sz w:val="24"/>
          <w:szCs w:val="24"/>
        </w:rPr>
        <w:t xml:space="preserve"> Clark Coetzee Attorneys</w:t>
      </w:r>
      <w:r w:rsidR="00377FDC" w:rsidRPr="00BF6075">
        <w:rPr>
          <w:rFonts w:ascii="Arial" w:hAnsi="Arial" w:cs="Arial"/>
          <w:sz w:val="24"/>
          <w:szCs w:val="24"/>
        </w:rPr>
        <w:tab/>
      </w:r>
    </w:p>
    <w:p w14:paraId="60737477" w14:textId="45E5BC46" w:rsidR="004F3075" w:rsidRPr="00BF6075" w:rsidRDefault="00C46D9C" w:rsidP="003649CD">
      <w:pPr>
        <w:tabs>
          <w:tab w:val="left" w:pos="4917"/>
        </w:tabs>
        <w:spacing w:after="0" w:line="360" w:lineRule="auto"/>
        <w:ind w:left="360"/>
        <w:rPr>
          <w:rFonts w:ascii="Arial" w:hAnsi="Arial" w:cs="Arial"/>
          <w:sz w:val="24"/>
          <w:szCs w:val="24"/>
        </w:rPr>
      </w:pPr>
      <w:r w:rsidRPr="00BF6075">
        <w:rPr>
          <w:rFonts w:ascii="Arial" w:hAnsi="Arial" w:cs="Arial"/>
          <w:sz w:val="24"/>
          <w:szCs w:val="24"/>
        </w:rPr>
        <w:t>D</w:t>
      </w:r>
      <w:r w:rsidR="002F1742" w:rsidRPr="00BF6075">
        <w:rPr>
          <w:rFonts w:ascii="Arial" w:hAnsi="Arial" w:cs="Arial"/>
          <w:sz w:val="24"/>
          <w:szCs w:val="24"/>
        </w:rPr>
        <w:t>ate of the hearing:</w:t>
      </w:r>
      <w:r w:rsidR="00F03EE2" w:rsidRPr="00BF6075">
        <w:rPr>
          <w:rFonts w:ascii="Arial" w:hAnsi="Arial" w:cs="Arial"/>
          <w:sz w:val="24"/>
          <w:szCs w:val="24"/>
        </w:rPr>
        <w:tab/>
      </w:r>
      <w:r w:rsidR="00812BC3">
        <w:rPr>
          <w:rFonts w:ascii="Arial" w:hAnsi="Arial" w:cs="Arial"/>
          <w:sz w:val="24"/>
          <w:szCs w:val="24"/>
        </w:rPr>
        <w:t>23 August 2022</w:t>
      </w:r>
      <w:r w:rsidR="00CF7942" w:rsidRPr="00BF6075">
        <w:rPr>
          <w:rFonts w:ascii="Arial" w:hAnsi="Arial" w:cs="Arial"/>
          <w:sz w:val="24"/>
          <w:szCs w:val="24"/>
        </w:rPr>
        <w:tab/>
      </w:r>
      <w:r w:rsidR="00CF7942" w:rsidRPr="00BF6075">
        <w:rPr>
          <w:rFonts w:ascii="Arial" w:hAnsi="Arial" w:cs="Arial"/>
          <w:sz w:val="24"/>
          <w:szCs w:val="24"/>
        </w:rPr>
        <w:tab/>
      </w:r>
      <w:r w:rsidR="002F1742" w:rsidRPr="00BF6075">
        <w:rPr>
          <w:rFonts w:ascii="Arial" w:hAnsi="Arial" w:cs="Arial"/>
          <w:sz w:val="24"/>
          <w:szCs w:val="24"/>
        </w:rPr>
        <w:tab/>
      </w:r>
    </w:p>
    <w:p w14:paraId="7AD85C85" w14:textId="287FA0D8" w:rsidR="003649CD" w:rsidRPr="00BF6075" w:rsidRDefault="00EA61D2" w:rsidP="003649CD">
      <w:pPr>
        <w:tabs>
          <w:tab w:val="left" w:pos="4917"/>
        </w:tabs>
        <w:spacing w:after="0" w:line="360" w:lineRule="auto"/>
        <w:ind w:left="360"/>
        <w:rPr>
          <w:rFonts w:ascii="Arial" w:hAnsi="Arial" w:cs="Arial"/>
          <w:sz w:val="24"/>
          <w:szCs w:val="24"/>
        </w:rPr>
      </w:pPr>
      <w:r w:rsidRPr="00BF6075">
        <w:rPr>
          <w:rFonts w:ascii="Arial" w:hAnsi="Arial" w:cs="Arial"/>
          <w:sz w:val="24"/>
          <w:szCs w:val="24"/>
        </w:rPr>
        <w:t>Da</w:t>
      </w:r>
      <w:r w:rsidR="004F3075" w:rsidRPr="00BF6075">
        <w:rPr>
          <w:rFonts w:ascii="Arial" w:hAnsi="Arial" w:cs="Arial"/>
          <w:sz w:val="24"/>
          <w:szCs w:val="24"/>
        </w:rPr>
        <w:t>te of judgment:</w:t>
      </w:r>
      <w:r w:rsidR="00BE029D" w:rsidRPr="00BF6075">
        <w:rPr>
          <w:rFonts w:ascii="Arial" w:hAnsi="Arial" w:cs="Arial"/>
          <w:sz w:val="24"/>
          <w:szCs w:val="24"/>
        </w:rPr>
        <w:tab/>
      </w:r>
      <w:r w:rsidR="000A7F7F">
        <w:rPr>
          <w:rFonts w:ascii="Arial" w:hAnsi="Arial" w:cs="Arial"/>
          <w:sz w:val="24"/>
          <w:szCs w:val="24"/>
        </w:rPr>
        <w:t>22</w:t>
      </w:r>
      <w:r w:rsidR="00812BC3">
        <w:rPr>
          <w:rFonts w:ascii="Arial" w:hAnsi="Arial" w:cs="Arial"/>
          <w:sz w:val="24"/>
          <w:szCs w:val="24"/>
        </w:rPr>
        <w:t xml:space="preserve"> September 2022</w:t>
      </w:r>
    </w:p>
    <w:p w14:paraId="4A34187D" w14:textId="77777777" w:rsidR="003649CD" w:rsidRPr="00BF6075" w:rsidRDefault="003649CD" w:rsidP="00EC0FC6">
      <w:pPr>
        <w:tabs>
          <w:tab w:val="left" w:pos="4917"/>
        </w:tabs>
        <w:spacing w:before="120" w:after="120" w:line="360" w:lineRule="auto"/>
        <w:rPr>
          <w:rFonts w:ascii="Arial" w:hAnsi="Arial" w:cs="Arial"/>
          <w:sz w:val="24"/>
          <w:szCs w:val="24"/>
        </w:rPr>
      </w:pPr>
    </w:p>
    <w:sectPr w:rsidR="003649CD" w:rsidRPr="00BF6075"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4C9C" w14:textId="77777777" w:rsidR="0017361E" w:rsidRDefault="0017361E">
      <w:pPr>
        <w:spacing w:after="0" w:line="240" w:lineRule="auto"/>
      </w:pPr>
      <w:r>
        <w:separator/>
      </w:r>
    </w:p>
  </w:endnote>
  <w:endnote w:type="continuationSeparator" w:id="0">
    <w:p w14:paraId="7D11F735" w14:textId="77777777" w:rsidR="0017361E" w:rsidRDefault="0017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224A77E" w:rsidR="00E554BB" w:rsidRDefault="00E554BB">
        <w:pPr>
          <w:pStyle w:val="Footer"/>
          <w:jc w:val="center"/>
        </w:pPr>
        <w:r>
          <w:fldChar w:fldCharType="begin"/>
        </w:r>
        <w:r>
          <w:instrText xml:space="preserve"> PAGE   \* MERGEFORMAT </w:instrText>
        </w:r>
        <w:r>
          <w:fldChar w:fldCharType="separate"/>
        </w:r>
        <w:r w:rsidR="006400E8">
          <w:rPr>
            <w:noProof/>
          </w:rPr>
          <w:t>26</w:t>
        </w:r>
        <w:r>
          <w:rPr>
            <w:noProof/>
          </w:rPr>
          <w:fldChar w:fldCharType="end"/>
        </w:r>
      </w:p>
    </w:sdtContent>
  </w:sdt>
  <w:p w14:paraId="53EAF7CA" w14:textId="77777777" w:rsidR="00E554BB" w:rsidRDefault="00E55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B923" w14:textId="77777777" w:rsidR="0017361E" w:rsidRDefault="0017361E">
      <w:pPr>
        <w:spacing w:after="0" w:line="240" w:lineRule="auto"/>
      </w:pPr>
      <w:r>
        <w:separator/>
      </w:r>
    </w:p>
  </w:footnote>
  <w:footnote w:type="continuationSeparator" w:id="0">
    <w:p w14:paraId="65F32B33" w14:textId="77777777" w:rsidR="0017361E" w:rsidRDefault="0017361E">
      <w:pPr>
        <w:spacing w:after="0" w:line="240" w:lineRule="auto"/>
      </w:pPr>
      <w:r>
        <w:continuationSeparator/>
      </w:r>
    </w:p>
  </w:footnote>
  <w:footnote w:id="1">
    <w:p w14:paraId="5BF225C1" w14:textId="68DDFFB8"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proofErr w:type="spellStart"/>
      <w:r w:rsidRPr="00DD2AFA">
        <w:rPr>
          <w:rFonts w:ascii="Arial" w:hAnsi="Arial" w:cs="Arial"/>
          <w:sz w:val="22"/>
          <w:szCs w:val="22"/>
        </w:rPr>
        <w:t>Cilliers</w:t>
      </w:r>
      <w:proofErr w:type="spellEnd"/>
      <w:r w:rsidRPr="00DD2AFA">
        <w:rPr>
          <w:rFonts w:ascii="Arial" w:hAnsi="Arial" w:cs="Arial"/>
          <w:sz w:val="22"/>
          <w:szCs w:val="22"/>
        </w:rPr>
        <w:t xml:space="preserve">, </w:t>
      </w:r>
      <w:proofErr w:type="spellStart"/>
      <w:r w:rsidR="006E2A1F">
        <w:rPr>
          <w:rFonts w:ascii="Arial" w:hAnsi="Arial" w:cs="Arial"/>
          <w:sz w:val="22"/>
          <w:szCs w:val="22"/>
          <w:lang w:val="en-GB"/>
        </w:rPr>
        <w:t>Herb</w:t>
      </w:r>
      <w:r w:rsidRPr="00DD2AFA">
        <w:rPr>
          <w:rFonts w:ascii="Arial" w:hAnsi="Arial" w:cs="Arial"/>
          <w:sz w:val="22"/>
          <w:szCs w:val="22"/>
          <w:lang w:val="en-GB"/>
        </w:rPr>
        <w:t>stein</w:t>
      </w:r>
      <w:proofErr w:type="spellEnd"/>
      <w:r w:rsidRPr="00DD2AFA">
        <w:rPr>
          <w:rFonts w:ascii="Arial" w:hAnsi="Arial" w:cs="Arial"/>
          <w:sz w:val="22"/>
          <w:szCs w:val="22"/>
          <w:lang w:val="en-GB"/>
        </w:rPr>
        <w:t xml:space="preserve"> &amp; Van </w:t>
      </w:r>
      <w:proofErr w:type="spellStart"/>
      <w:r w:rsidRPr="00DD2AFA">
        <w:rPr>
          <w:rFonts w:ascii="Arial" w:hAnsi="Arial" w:cs="Arial"/>
          <w:sz w:val="22"/>
          <w:szCs w:val="22"/>
          <w:lang w:val="en-GB"/>
        </w:rPr>
        <w:t>Winsen</w:t>
      </w:r>
      <w:proofErr w:type="spellEnd"/>
      <w:r w:rsidRPr="00DD2AFA">
        <w:rPr>
          <w:rFonts w:ascii="Arial" w:hAnsi="Arial" w:cs="Arial"/>
          <w:sz w:val="22"/>
          <w:szCs w:val="22"/>
          <w:lang w:val="en-GB"/>
        </w:rPr>
        <w:t xml:space="preserve"> 630.</w:t>
      </w:r>
    </w:p>
  </w:footnote>
  <w:footnote w:id="2">
    <w:p w14:paraId="50C4C03C" w14:textId="7231EC2E"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proofErr w:type="spellStart"/>
      <w:r w:rsidRPr="00DD2AFA">
        <w:rPr>
          <w:rFonts w:ascii="Arial" w:hAnsi="Arial" w:cs="Arial"/>
          <w:i/>
          <w:sz w:val="22"/>
          <w:szCs w:val="22"/>
          <w:lang w:val="en-GB"/>
        </w:rPr>
        <w:t>Dharumpel</w:t>
      </w:r>
      <w:proofErr w:type="spellEnd"/>
      <w:r w:rsidRPr="00DD2AFA">
        <w:rPr>
          <w:rFonts w:ascii="Arial" w:hAnsi="Arial" w:cs="Arial"/>
          <w:i/>
          <w:sz w:val="22"/>
          <w:szCs w:val="22"/>
          <w:lang w:val="en-GB"/>
        </w:rPr>
        <w:t xml:space="preserve"> Transport (Pty) Ltd v </w:t>
      </w:r>
      <w:proofErr w:type="spellStart"/>
      <w:r w:rsidRPr="00DD2AFA">
        <w:rPr>
          <w:rFonts w:ascii="Arial" w:hAnsi="Arial" w:cs="Arial"/>
          <w:i/>
          <w:sz w:val="22"/>
          <w:szCs w:val="22"/>
          <w:lang w:val="en-GB"/>
        </w:rPr>
        <w:t>Dharumpel</w:t>
      </w:r>
      <w:proofErr w:type="spellEnd"/>
      <w:r w:rsidRPr="00DD2AFA">
        <w:rPr>
          <w:rFonts w:ascii="Arial" w:hAnsi="Arial" w:cs="Arial"/>
          <w:sz w:val="22"/>
          <w:szCs w:val="22"/>
          <w:lang w:val="en-GB"/>
        </w:rPr>
        <w:t xml:space="preserve"> 1956 (1) SA 700 (A) at 706.</w:t>
      </w:r>
    </w:p>
  </w:footnote>
  <w:footnote w:id="3">
    <w:p w14:paraId="6B0F865F" w14:textId="6FDD00B4"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(Case no 167/2021) [2022] ZASCA 70 (20 May 2022).</w:t>
      </w:r>
    </w:p>
  </w:footnote>
  <w:footnote w:id="4">
    <w:p w14:paraId="6A23BDB8" w14:textId="5F8F9075"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Luke M, supra, </w:t>
      </w:r>
      <w:r w:rsidRPr="00DD2AFA">
        <w:rPr>
          <w:rFonts w:ascii="Arial" w:hAnsi="Arial" w:cs="Arial"/>
          <w:sz w:val="22"/>
          <w:szCs w:val="22"/>
          <w:lang w:val="en-GB"/>
        </w:rPr>
        <w:t>at</w:t>
      </w:r>
      <w:r w:rsidRPr="00DD2AFA">
        <w:rPr>
          <w:rFonts w:ascii="Arial" w:hAnsi="Arial" w:cs="Arial"/>
          <w:i/>
          <w:sz w:val="22"/>
          <w:szCs w:val="22"/>
          <w:lang w:val="en-GB"/>
        </w:rPr>
        <w:t xml:space="preserve"> </w:t>
      </w:r>
      <w:r w:rsidRPr="00DD2AFA">
        <w:rPr>
          <w:rFonts w:ascii="Arial" w:hAnsi="Arial" w:cs="Arial"/>
          <w:sz w:val="22"/>
          <w:szCs w:val="22"/>
          <w:lang w:val="en-GB"/>
        </w:rPr>
        <w:t>para [14].</w:t>
      </w:r>
    </w:p>
  </w:footnote>
  <w:footnote w:id="5">
    <w:p w14:paraId="087C8B86" w14:textId="3FCE21AA"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Luke M, supra, </w:t>
      </w:r>
      <w:r w:rsidRPr="00DD2AFA">
        <w:rPr>
          <w:rFonts w:ascii="Arial" w:hAnsi="Arial" w:cs="Arial"/>
          <w:sz w:val="22"/>
          <w:szCs w:val="22"/>
          <w:lang w:val="en-GB"/>
        </w:rPr>
        <w:t>at</w:t>
      </w:r>
      <w:r w:rsidRPr="00DD2AFA">
        <w:rPr>
          <w:rFonts w:ascii="Arial" w:hAnsi="Arial" w:cs="Arial"/>
          <w:i/>
          <w:sz w:val="22"/>
          <w:szCs w:val="22"/>
          <w:lang w:val="en-GB"/>
        </w:rPr>
        <w:t xml:space="preserve"> </w:t>
      </w:r>
      <w:r w:rsidRPr="00DD2AFA">
        <w:rPr>
          <w:rFonts w:ascii="Arial" w:hAnsi="Arial" w:cs="Arial"/>
          <w:sz w:val="22"/>
          <w:szCs w:val="22"/>
          <w:lang w:val="en-GB"/>
        </w:rPr>
        <w:t>para [16].</w:t>
      </w:r>
    </w:p>
  </w:footnote>
  <w:footnote w:id="6">
    <w:p w14:paraId="6E9E1999" w14:textId="05EBC9C6"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2019 (2) SA 37 (CC) para [22].</w:t>
      </w:r>
    </w:p>
  </w:footnote>
  <w:footnote w:id="7">
    <w:p w14:paraId="4BD450FA" w14:textId="4CF14E63"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Pretorius supra</w:t>
      </w:r>
      <w:r w:rsidRPr="00DD2AFA">
        <w:rPr>
          <w:rFonts w:ascii="Arial" w:hAnsi="Arial" w:cs="Arial"/>
          <w:sz w:val="22"/>
          <w:szCs w:val="22"/>
          <w:lang w:val="en-GB"/>
        </w:rPr>
        <w:t xml:space="preserve"> para [15].</w:t>
      </w:r>
    </w:p>
  </w:footnote>
  <w:footnote w:id="8">
    <w:p w14:paraId="695FE073" w14:textId="3DAE08A0"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Trope v South African Reserve Bank and Another and Two Other cases</w:t>
      </w:r>
      <w:r w:rsidRPr="00DD2AFA">
        <w:rPr>
          <w:rFonts w:ascii="Arial" w:hAnsi="Arial" w:cs="Arial"/>
          <w:sz w:val="22"/>
          <w:szCs w:val="22"/>
          <w:lang w:val="en-GB"/>
        </w:rPr>
        <w:t xml:space="preserve"> 1992 (3) SA 208 (T) 210G-H.</w:t>
      </w:r>
    </w:p>
  </w:footnote>
  <w:footnote w:id="9">
    <w:p w14:paraId="0FD150F8" w14:textId="7F69B217"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2020 (1) SA 546 (GJ) at para [7].</w:t>
      </w:r>
    </w:p>
  </w:footnote>
  <w:footnote w:id="10">
    <w:p w14:paraId="1625304F" w14:textId="0C17FA66" w:rsidR="00E554BB" w:rsidRPr="00DD2AFA" w:rsidRDefault="00E554BB" w:rsidP="00DD2AFA">
      <w:pPr>
        <w:pStyle w:val="Heading2"/>
        <w:shd w:val="clear" w:color="auto" w:fill="FFFFFF"/>
        <w:spacing w:before="120" w:beforeAutospacing="0" w:after="0" w:afterAutospacing="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b w:val="0"/>
          <w:bCs w:val="0"/>
          <w:sz w:val="22"/>
          <w:szCs w:val="22"/>
        </w:rPr>
        <w:t>(36879/2015) [2022] ZAGPJHC 450 (30 June 2022) at para [7].</w:t>
      </w:r>
    </w:p>
  </w:footnote>
  <w:footnote w:id="11">
    <w:p w14:paraId="5F472476" w14:textId="0A24AD3F"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rPr>
        <w:t>Supra</w:t>
      </w:r>
      <w:r w:rsidRPr="00DD2AFA">
        <w:rPr>
          <w:rFonts w:ascii="Arial" w:hAnsi="Arial" w:cs="Arial"/>
          <w:sz w:val="22"/>
          <w:szCs w:val="22"/>
        </w:rPr>
        <w:t>, at 210G-H.</w:t>
      </w:r>
    </w:p>
  </w:footnote>
  <w:footnote w:id="12">
    <w:p w14:paraId="151051CB" w14:textId="77777777"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2018 (3) SA 515 at paras [51] – [</w:t>
      </w:r>
    </w:p>
  </w:footnote>
  <w:footnote w:id="13">
    <w:p w14:paraId="593FDD6C" w14:textId="35F69D68"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proofErr w:type="spellStart"/>
      <w:r w:rsidRPr="00DD2AFA">
        <w:rPr>
          <w:rFonts w:ascii="Arial" w:hAnsi="Arial" w:cs="Arial"/>
          <w:i/>
          <w:sz w:val="22"/>
          <w:szCs w:val="22"/>
          <w:lang w:val="en-GB"/>
        </w:rPr>
        <w:t>Oakbay</w:t>
      </w:r>
      <w:proofErr w:type="spellEnd"/>
      <w:r w:rsidRPr="00DD2AFA">
        <w:rPr>
          <w:rFonts w:ascii="Arial" w:hAnsi="Arial" w:cs="Arial"/>
          <w:i/>
          <w:sz w:val="22"/>
          <w:szCs w:val="22"/>
          <w:lang w:val="en-GB"/>
        </w:rPr>
        <w:t xml:space="preserve">, supra, </w:t>
      </w:r>
      <w:r w:rsidRPr="00DD2AFA">
        <w:rPr>
          <w:rFonts w:ascii="Arial" w:hAnsi="Arial" w:cs="Arial"/>
          <w:sz w:val="22"/>
          <w:szCs w:val="22"/>
          <w:lang w:val="en-GB"/>
        </w:rPr>
        <w:t>at para [52].</w:t>
      </w:r>
    </w:p>
  </w:footnote>
  <w:footnote w:id="14">
    <w:p w14:paraId="1E603925" w14:textId="146BC3FA"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proofErr w:type="spellStart"/>
      <w:r w:rsidRPr="00DD2AFA">
        <w:rPr>
          <w:rFonts w:ascii="Arial" w:hAnsi="Arial" w:cs="Arial"/>
          <w:i/>
          <w:sz w:val="22"/>
          <w:szCs w:val="22"/>
          <w:lang w:val="en-GB"/>
        </w:rPr>
        <w:t>Oakbay</w:t>
      </w:r>
      <w:proofErr w:type="spellEnd"/>
      <w:r w:rsidRPr="00DD2AFA">
        <w:rPr>
          <w:rFonts w:ascii="Arial" w:hAnsi="Arial" w:cs="Arial"/>
          <w:i/>
          <w:sz w:val="22"/>
          <w:szCs w:val="22"/>
          <w:lang w:val="en-GB"/>
        </w:rPr>
        <w:t xml:space="preserve">, supra, </w:t>
      </w:r>
      <w:r w:rsidRPr="00DD2AFA">
        <w:rPr>
          <w:rFonts w:ascii="Arial" w:hAnsi="Arial" w:cs="Arial"/>
          <w:sz w:val="22"/>
          <w:szCs w:val="22"/>
          <w:lang w:val="en-GB"/>
        </w:rPr>
        <w:t>at para [53].</w:t>
      </w:r>
    </w:p>
  </w:footnote>
  <w:footnote w:id="15">
    <w:p w14:paraId="7B193DF7" w14:textId="5A518F9B"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rPr>
        <w:t xml:space="preserve">Reeder v </w:t>
      </w:r>
      <w:proofErr w:type="spellStart"/>
      <w:r w:rsidRPr="00DD2AFA">
        <w:rPr>
          <w:rFonts w:ascii="Arial" w:hAnsi="Arial" w:cs="Arial"/>
          <w:i/>
          <w:sz w:val="22"/>
          <w:szCs w:val="22"/>
        </w:rPr>
        <w:t>Softline</w:t>
      </w:r>
      <w:proofErr w:type="spellEnd"/>
      <w:r w:rsidRPr="00DD2AFA">
        <w:rPr>
          <w:rFonts w:ascii="Arial" w:hAnsi="Arial" w:cs="Arial"/>
          <w:i/>
          <w:sz w:val="22"/>
          <w:szCs w:val="22"/>
        </w:rPr>
        <w:t xml:space="preserve"> Limited and Another</w:t>
      </w:r>
      <w:r w:rsidRPr="00DD2AFA">
        <w:rPr>
          <w:rFonts w:ascii="Arial" w:hAnsi="Arial" w:cs="Arial"/>
          <w:sz w:val="22"/>
          <w:szCs w:val="22"/>
        </w:rPr>
        <w:t xml:space="preserve"> 2001 (2) SA 844 (W) at 848J- 849A; </w:t>
      </w:r>
      <w:r w:rsidRPr="00DD2AFA">
        <w:rPr>
          <w:rFonts w:ascii="Arial" w:hAnsi="Arial" w:cs="Arial"/>
          <w:i/>
          <w:sz w:val="22"/>
          <w:szCs w:val="22"/>
        </w:rPr>
        <w:t>RS v MS and Another</w:t>
      </w:r>
      <w:r w:rsidRPr="00DD2AFA">
        <w:rPr>
          <w:rFonts w:ascii="Arial" w:hAnsi="Arial" w:cs="Arial"/>
          <w:sz w:val="22"/>
          <w:szCs w:val="22"/>
        </w:rPr>
        <w:t xml:space="preserve"> 2014 (2) SA 511 (GJ) at para [11].</w:t>
      </w:r>
    </w:p>
  </w:footnote>
  <w:footnote w:id="16">
    <w:p w14:paraId="687D9913" w14:textId="59C4A93B"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US"/>
        </w:rPr>
        <w:t>(24953/2019) [2020] ZAGPJHC 228; [2021] 1 All SA 909 (GJ) (16 September 2020) at para [13].</w:t>
      </w:r>
    </w:p>
  </w:footnote>
  <w:footnote w:id="17">
    <w:p w14:paraId="3A4E8E6A" w14:textId="09F50656"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rPr>
        <w:t>JA v DA</w:t>
      </w:r>
      <w:r w:rsidRPr="00DD2AFA">
        <w:rPr>
          <w:rFonts w:ascii="Arial" w:hAnsi="Arial" w:cs="Arial"/>
          <w:sz w:val="22"/>
          <w:szCs w:val="22"/>
        </w:rPr>
        <w:t xml:space="preserve"> 2014 (6) SA 233 (GJ) at para [9.1].</w:t>
      </w:r>
    </w:p>
  </w:footnote>
  <w:footnote w:id="18">
    <w:p w14:paraId="1E951CCF" w14:textId="5A8013BC"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See </w:t>
      </w:r>
      <w:proofErr w:type="spellStart"/>
      <w:r w:rsidRPr="00DD2AFA">
        <w:rPr>
          <w:rFonts w:ascii="Arial" w:hAnsi="Arial" w:cs="Arial"/>
          <w:sz w:val="22"/>
          <w:szCs w:val="22"/>
        </w:rPr>
        <w:t>Cilliers</w:t>
      </w:r>
      <w:proofErr w:type="spellEnd"/>
      <w:r w:rsidRPr="00DD2AFA">
        <w:rPr>
          <w:rFonts w:ascii="Arial" w:hAnsi="Arial" w:cs="Arial"/>
          <w:sz w:val="22"/>
          <w:szCs w:val="22"/>
        </w:rPr>
        <w:t xml:space="preserve">, </w:t>
      </w:r>
      <w:proofErr w:type="spellStart"/>
      <w:r w:rsidRPr="00DD2AFA">
        <w:rPr>
          <w:rFonts w:ascii="Arial" w:hAnsi="Arial" w:cs="Arial"/>
          <w:sz w:val="22"/>
          <w:szCs w:val="22"/>
        </w:rPr>
        <w:t>Herbstein</w:t>
      </w:r>
      <w:proofErr w:type="spellEnd"/>
      <w:r w:rsidRPr="00DD2AFA">
        <w:rPr>
          <w:rFonts w:ascii="Arial" w:hAnsi="Arial" w:cs="Arial"/>
          <w:sz w:val="22"/>
          <w:szCs w:val="22"/>
        </w:rPr>
        <w:t xml:space="preserve"> and Van </w:t>
      </w:r>
      <w:proofErr w:type="spellStart"/>
      <w:r w:rsidRPr="00DD2AFA">
        <w:rPr>
          <w:rFonts w:ascii="Arial" w:hAnsi="Arial" w:cs="Arial"/>
          <w:sz w:val="22"/>
          <w:szCs w:val="22"/>
        </w:rPr>
        <w:t>Winsen</w:t>
      </w:r>
      <w:proofErr w:type="spellEnd"/>
      <w:r w:rsidRPr="00DD2AFA">
        <w:rPr>
          <w:rFonts w:ascii="Arial" w:hAnsi="Arial" w:cs="Arial"/>
          <w:sz w:val="22"/>
          <w:szCs w:val="22"/>
        </w:rPr>
        <w:t>: The Civil Practice of the High Courts and the Supreme Court of App</w:t>
      </w:r>
      <w:r w:rsidR="00A91562">
        <w:rPr>
          <w:rFonts w:ascii="Arial" w:hAnsi="Arial" w:cs="Arial"/>
          <w:sz w:val="22"/>
          <w:szCs w:val="22"/>
        </w:rPr>
        <w:t xml:space="preserve">eal of South Africa Volumes 1, 5th </w:t>
      </w:r>
      <w:proofErr w:type="spellStart"/>
      <w:r w:rsidR="00A91562">
        <w:rPr>
          <w:rFonts w:ascii="Arial" w:hAnsi="Arial" w:cs="Arial"/>
          <w:sz w:val="22"/>
          <w:szCs w:val="22"/>
        </w:rPr>
        <w:t>e</w:t>
      </w:r>
      <w:r w:rsidRPr="00DD2AFA">
        <w:rPr>
          <w:rFonts w:ascii="Arial" w:hAnsi="Arial" w:cs="Arial"/>
          <w:sz w:val="22"/>
          <w:szCs w:val="22"/>
        </w:rPr>
        <w:t>d</w:t>
      </w:r>
      <w:proofErr w:type="spellEnd"/>
      <w:r w:rsidRPr="00DD2AFA">
        <w:rPr>
          <w:rFonts w:ascii="Arial" w:hAnsi="Arial" w:cs="Arial"/>
          <w:sz w:val="22"/>
          <w:szCs w:val="22"/>
        </w:rPr>
        <w:t>, 2009 Ch43-p1438-1440.</w:t>
      </w:r>
    </w:p>
  </w:footnote>
  <w:footnote w:id="19">
    <w:p w14:paraId="5DEE909F" w14:textId="2B2E7B5F"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ABSA Bank Ltd v </w:t>
      </w:r>
      <w:proofErr w:type="spellStart"/>
      <w:r w:rsidRPr="00DD2AFA">
        <w:rPr>
          <w:rFonts w:ascii="Arial" w:hAnsi="Arial" w:cs="Arial"/>
          <w:i/>
          <w:sz w:val="22"/>
          <w:szCs w:val="22"/>
          <w:lang w:val="en-GB"/>
        </w:rPr>
        <w:t>Naude</w:t>
      </w:r>
      <w:proofErr w:type="spellEnd"/>
      <w:r w:rsidRPr="00DD2AFA">
        <w:rPr>
          <w:rFonts w:ascii="Arial" w:hAnsi="Arial" w:cs="Arial"/>
          <w:i/>
          <w:sz w:val="22"/>
          <w:szCs w:val="22"/>
          <w:lang w:val="en-GB"/>
        </w:rPr>
        <w:t xml:space="preserve"> N.O. </w:t>
      </w:r>
      <w:r w:rsidRPr="00DD2AFA">
        <w:rPr>
          <w:rFonts w:ascii="Arial" w:hAnsi="Arial" w:cs="Arial"/>
          <w:sz w:val="22"/>
          <w:szCs w:val="22"/>
          <w:lang w:val="en-GB"/>
        </w:rPr>
        <w:t xml:space="preserve"> (20264/2014) [2015] ZASCA 97 (1 June 2015), </w:t>
      </w:r>
      <w:r w:rsidRPr="00DD2AFA">
        <w:rPr>
          <w:rFonts w:ascii="Arial" w:hAnsi="Arial" w:cs="Arial"/>
          <w:i/>
          <w:sz w:val="22"/>
          <w:szCs w:val="22"/>
          <w:lang w:val="en-GB"/>
        </w:rPr>
        <w:t xml:space="preserve">Judicial Service Commission and Another </w:t>
      </w:r>
      <w:proofErr w:type="gramStart"/>
      <w:r w:rsidRPr="00DD2AFA">
        <w:rPr>
          <w:rFonts w:ascii="Arial" w:hAnsi="Arial" w:cs="Arial"/>
          <w:i/>
          <w:sz w:val="22"/>
          <w:szCs w:val="22"/>
          <w:lang w:val="en-GB"/>
        </w:rPr>
        <w:t>v</w:t>
      </w:r>
      <w:proofErr w:type="gramEnd"/>
      <w:r w:rsidRPr="00DD2AFA">
        <w:rPr>
          <w:rFonts w:ascii="Arial" w:hAnsi="Arial" w:cs="Arial"/>
          <w:i/>
          <w:sz w:val="22"/>
          <w:szCs w:val="22"/>
          <w:lang w:val="en-GB"/>
        </w:rPr>
        <w:t xml:space="preserve"> Cape Bar Council and Another</w:t>
      </w:r>
      <w:r w:rsidRPr="00DD2AFA">
        <w:rPr>
          <w:rFonts w:ascii="Arial" w:hAnsi="Arial" w:cs="Arial"/>
          <w:sz w:val="22"/>
          <w:szCs w:val="22"/>
          <w:lang w:val="en-GB"/>
        </w:rPr>
        <w:t xml:space="preserve"> 2013 (1) SA 170 (SCA) at para [12].</w:t>
      </w:r>
    </w:p>
  </w:footnote>
  <w:footnote w:id="20">
    <w:p w14:paraId="7EDC29E8" w14:textId="2836D01B"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(360/2021) [2022] ZASCA 116 (28 July 2022).</w:t>
      </w:r>
    </w:p>
  </w:footnote>
  <w:footnote w:id="21">
    <w:p w14:paraId="7A53AD48" w14:textId="70D3A342"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 xml:space="preserve">Section 8(1) of the MPA provides as follows: ‘ </w:t>
      </w:r>
      <w:r w:rsidRPr="00DD2AFA">
        <w:rPr>
          <w:rFonts w:ascii="Arial" w:hAnsi="Arial" w:cs="Arial"/>
          <w:color w:val="000000"/>
          <w:sz w:val="22"/>
          <w:szCs w:val="22"/>
          <w:shd w:val="clear" w:color="auto" w:fill="FFFFFF"/>
        </w:rPr>
        <w:t>—(1)  A court may on the application of a spouse whose marriage is subject to the accrual system and who satisfies the court that his right to share in the accrual of the estate of the other spouse at the dissolution of the marriage is being or will probably be seriously prejudiced by the conduct or proposed conduct of the other spouse, and that other persons will not be prejudiced thereby, order the immediate division of the accrual concerned in accordance with the provisions of this Chapter or on such other basis as the court may deem just.’</w:t>
      </w:r>
    </w:p>
  </w:footnote>
  <w:footnote w:id="22">
    <w:p w14:paraId="5B5B39A4" w14:textId="0CCA5BE3"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(24953/2019) [2020] ZAGPJHC 228; [2021] 1 All SA 909 (GJ) (16 September 2020) at para [44].</w:t>
      </w:r>
    </w:p>
  </w:footnote>
  <w:footnote w:id="23">
    <w:p w14:paraId="0A35D87E" w14:textId="69E3DCD9"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DN, supra,</w:t>
      </w:r>
      <w:r w:rsidRPr="00DD2AFA">
        <w:rPr>
          <w:rFonts w:ascii="Arial" w:hAnsi="Arial" w:cs="Arial"/>
          <w:sz w:val="22"/>
          <w:szCs w:val="22"/>
          <w:lang w:val="en-GB"/>
        </w:rPr>
        <w:t xml:space="preserve"> at para [53].</w:t>
      </w:r>
    </w:p>
  </w:footnote>
  <w:footnote w:id="24">
    <w:p w14:paraId="4C476DAD" w14:textId="6AF5304F"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(EL 819/2020) [2021] ZAECELLC 4 (22 January 2021).</w:t>
      </w:r>
    </w:p>
  </w:footnote>
  <w:footnote w:id="25">
    <w:p w14:paraId="70E6D053" w14:textId="75D796BF"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JLT, supra, </w:t>
      </w:r>
      <w:r w:rsidRPr="00DD2AFA">
        <w:rPr>
          <w:rFonts w:ascii="Arial" w:hAnsi="Arial" w:cs="Arial"/>
          <w:sz w:val="22"/>
          <w:szCs w:val="22"/>
          <w:lang w:val="en-GB"/>
        </w:rPr>
        <w:t>at para [5].</w:t>
      </w:r>
    </w:p>
  </w:footnote>
  <w:footnote w:id="26">
    <w:p w14:paraId="673F6E3D" w14:textId="120C9EA3"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JLT, supra, </w:t>
      </w:r>
      <w:r w:rsidRPr="00DD2AFA">
        <w:rPr>
          <w:rFonts w:ascii="Arial" w:hAnsi="Arial" w:cs="Arial"/>
          <w:sz w:val="22"/>
          <w:szCs w:val="22"/>
          <w:lang w:val="en-GB"/>
        </w:rPr>
        <w:t>at para [7].</w:t>
      </w:r>
    </w:p>
  </w:footnote>
  <w:footnote w:id="27">
    <w:p w14:paraId="23EA09A7" w14:textId="08303650"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00532639">
        <w:rPr>
          <w:rFonts w:ascii="Arial" w:hAnsi="Arial" w:cs="Arial"/>
          <w:sz w:val="22"/>
          <w:szCs w:val="22"/>
          <w:lang w:val="en-GB"/>
        </w:rPr>
        <w:t>I</w:t>
      </w:r>
      <w:r w:rsidRPr="00DD2AFA">
        <w:rPr>
          <w:rFonts w:ascii="Arial" w:hAnsi="Arial" w:cs="Arial"/>
          <w:sz w:val="22"/>
          <w:szCs w:val="22"/>
          <w:lang w:val="en-GB"/>
        </w:rPr>
        <w:t>bid.</w:t>
      </w:r>
    </w:p>
  </w:footnote>
  <w:footnote w:id="28">
    <w:p w14:paraId="3367DB7A" w14:textId="325C1FC3"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JLT, supra, </w:t>
      </w:r>
      <w:r w:rsidRPr="00DD2AFA">
        <w:rPr>
          <w:rFonts w:ascii="Arial" w:hAnsi="Arial" w:cs="Arial"/>
          <w:sz w:val="22"/>
          <w:szCs w:val="22"/>
          <w:lang w:val="en-GB"/>
        </w:rPr>
        <w:t>at para [8].</w:t>
      </w:r>
    </w:p>
  </w:footnote>
  <w:footnote w:id="29">
    <w:p w14:paraId="4E2EC292" w14:textId="050B27EA"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iCs/>
          <w:color w:val="242121"/>
          <w:sz w:val="22"/>
          <w:szCs w:val="22"/>
          <w:shd w:val="clear" w:color="auto" w:fill="FFFFFF"/>
        </w:rPr>
        <w:t xml:space="preserve">National Gambling Board </w:t>
      </w:r>
      <w:proofErr w:type="gramStart"/>
      <w:r w:rsidRPr="00DD2AFA">
        <w:rPr>
          <w:rFonts w:ascii="Arial" w:hAnsi="Arial" w:cs="Arial"/>
          <w:i/>
          <w:iCs/>
          <w:color w:val="242121"/>
          <w:sz w:val="22"/>
          <w:szCs w:val="22"/>
          <w:shd w:val="clear" w:color="auto" w:fill="FFFFFF"/>
        </w:rPr>
        <w:t>v</w:t>
      </w:r>
      <w:proofErr w:type="gramEnd"/>
      <w:r w:rsidRPr="00DD2AFA">
        <w:rPr>
          <w:rFonts w:ascii="Arial" w:hAnsi="Arial" w:cs="Arial"/>
          <w:i/>
          <w:iCs/>
          <w:color w:val="242121"/>
          <w:sz w:val="22"/>
          <w:szCs w:val="22"/>
          <w:shd w:val="clear" w:color="auto" w:fill="FFFFFF"/>
        </w:rPr>
        <w:t xml:space="preserve"> Premier, Kwa-Zulu Natal and Others </w:t>
      </w:r>
      <w:r w:rsidRPr="00DD2AFA">
        <w:rPr>
          <w:rFonts w:ascii="Arial" w:hAnsi="Arial" w:cs="Arial"/>
          <w:iCs/>
          <w:color w:val="242121"/>
          <w:sz w:val="22"/>
          <w:szCs w:val="22"/>
          <w:shd w:val="clear" w:color="auto" w:fill="FFFFFF"/>
        </w:rPr>
        <w:t>2002(2) SA 715 (CC) at para [49].</w:t>
      </w:r>
    </w:p>
  </w:footnote>
  <w:footnote w:id="30">
    <w:p w14:paraId="294BF6DE" w14:textId="41BA2352"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(3351/18) [2019] ZAECMHC 11 (28 February 2019) at para [6].</w:t>
      </w:r>
    </w:p>
  </w:footnote>
  <w:footnote w:id="31">
    <w:p w14:paraId="745364EF" w14:textId="24B03E5A"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1948 (1) SA 1186 (W) 1189-</w:t>
      </w:r>
    </w:p>
  </w:footnote>
  <w:footnote w:id="32">
    <w:p w14:paraId="148D1F0D" w14:textId="27229102" w:rsidR="00E554BB" w:rsidRPr="00DD2AFA" w:rsidRDefault="00E554BB" w:rsidP="00DD2AFA">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1996 (4) SA 348 (SCA) at 373F-G.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27D398FF" w:rsidR="00E554BB" w:rsidRDefault="00E554BB">
        <w:pPr>
          <w:pStyle w:val="Header"/>
          <w:jc w:val="center"/>
        </w:pPr>
        <w:r>
          <w:fldChar w:fldCharType="begin"/>
        </w:r>
        <w:r>
          <w:instrText xml:space="preserve"> PAGE   \* MERGEFORMAT </w:instrText>
        </w:r>
        <w:r>
          <w:fldChar w:fldCharType="separate"/>
        </w:r>
        <w:r w:rsidR="006400E8">
          <w:rPr>
            <w:noProof/>
          </w:rPr>
          <w:t>26</w:t>
        </w:r>
        <w:r>
          <w:rPr>
            <w:noProof/>
          </w:rPr>
          <w:fldChar w:fldCharType="end"/>
        </w:r>
      </w:p>
    </w:sdtContent>
  </w:sdt>
  <w:p w14:paraId="281D55A2" w14:textId="77777777" w:rsidR="00E554BB" w:rsidRDefault="00E554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11E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82643"/>
    <w:multiLevelType w:val="hybridMultilevel"/>
    <w:tmpl w:val="89BED832"/>
    <w:lvl w:ilvl="0" w:tplc="A7248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33"/>
  </w:num>
  <w:num w:numId="5">
    <w:abstractNumId w:val="1"/>
  </w:num>
  <w:num w:numId="6">
    <w:abstractNumId w:val="18"/>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4"/>
  </w:num>
  <w:num w:numId="13">
    <w:abstractNumId w:val="12"/>
  </w:num>
  <w:num w:numId="14">
    <w:abstractNumId w:val="32"/>
  </w:num>
  <w:num w:numId="15">
    <w:abstractNumId w:val="28"/>
  </w:num>
  <w:num w:numId="16">
    <w:abstractNumId w:val="5"/>
  </w:num>
  <w:num w:numId="17">
    <w:abstractNumId w:val="30"/>
  </w:num>
  <w:num w:numId="18">
    <w:abstractNumId w:val="13"/>
  </w:num>
  <w:num w:numId="19">
    <w:abstractNumId w:val="7"/>
  </w:num>
  <w:num w:numId="20">
    <w:abstractNumId w:val="6"/>
  </w:num>
  <w:num w:numId="21">
    <w:abstractNumId w:val="2"/>
  </w:num>
  <w:num w:numId="22">
    <w:abstractNumId w:val="27"/>
  </w:num>
  <w:num w:numId="23">
    <w:abstractNumId w:val="19"/>
  </w:num>
  <w:num w:numId="24">
    <w:abstractNumId w:val="22"/>
  </w:num>
  <w:num w:numId="25">
    <w:abstractNumId w:val="38"/>
  </w:num>
  <w:num w:numId="26">
    <w:abstractNumId w:val="29"/>
  </w:num>
  <w:num w:numId="27">
    <w:abstractNumId w:val="35"/>
  </w:num>
  <w:num w:numId="28">
    <w:abstractNumId w:val="31"/>
  </w:num>
  <w:num w:numId="29">
    <w:abstractNumId w:val="15"/>
  </w:num>
  <w:num w:numId="30">
    <w:abstractNumId w:val="4"/>
  </w:num>
  <w:num w:numId="31">
    <w:abstractNumId w:val="26"/>
  </w:num>
  <w:num w:numId="32">
    <w:abstractNumId w:val="9"/>
  </w:num>
  <w:num w:numId="33">
    <w:abstractNumId w:val="11"/>
  </w:num>
  <w:num w:numId="34">
    <w:abstractNumId w:val="25"/>
  </w:num>
  <w:num w:numId="35">
    <w:abstractNumId w:val="17"/>
  </w:num>
  <w:num w:numId="36">
    <w:abstractNumId w:val="10"/>
  </w:num>
  <w:num w:numId="37">
    <w:abstractNumId w:val="34"/>
  </w:num>
  <w:num w:numId="38">
    <w:abstractNumId w:val="3"/>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oFADG4E0YtAAAA"/>
  </w:docVars>
  <w:rsids>
    <w:rsidRoot w:val="00716377"/>
    <w:rsid w:val="0000007B"/>
    <w:rsid w:val="0000112A"/>
    <w:rsid w:val="0000244E"/>
    <w:rsid w:val="0000273A"/>
    <w:rsid w:val="00004997"/>
    <w:rsid w:val="00004F7C"/>
    <w:rsid w:val="000055D3"/>
    <w:rsid w:val="0000567D"/>
    <w:rsid w:val="00005900"/>
    <w:rsid w:val="00005C66"/>
    <w:rsid w:val="00005F8E"/>
    <w:rsid w:val="00007ADD"/>
    <w:rsid w:val="0001114D"/>
    <w:rsid w:val="00012309"/>
    <w:rsid w:val="00013AAB"/>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3119"/>
    <w:rsid w:val="00046AC5"/>
    <w:rsid w:val="00051C95"/>
    <w:rsid w:val="00055328"/>
    <w:rsid w:val="00055BFD"/>
    <w:rsid w:val="00060196"/>
    <w:rsid w:val="00060B7B"/>
    <w:rsid w:val="00061538"/>
    <w:rsid w:val="00062004"/>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926"/>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1FA3"/>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A7F7F"/>
    <w:rsid w:val="000B1AFB"/>
    <w:rsid w:val="000B2E75"/>
    <w:rsid w:val="000B4025"/>
    <w:rsid w:val="000B5A68"/>
    <w:rsid w:val="000B6169"/>
    <w:rsid w:val="000B6F80"/>
    <w:rsid w:val="000C02F7"/>
    <w:rsid w:val="000C0C3C"/>
    <w:rsid w:val="000C0D03"/>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1182"/>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06D83"/>
    <w:rsid w:val="00111644"/>
    <w:rsid w:val="00113617"/>
    <w:rsid w:val="00113E28"/>
    <w:rsid w:val="00113E97"/>
    <w:rsid w:val="001167B4"/>
    <w:rsid w:val="001176BA"/>
    <w:rsid w:val="0012171D"/>
    <w:rsid w:val="00122D3B"/>
    <w:rsid w:val="00123AF6"/>
    <w:rsid w:val="001247B0"/>
    <w:rsid w:val="00124C87"/>
    <w:rsid w:val="0012537E"/>
    <w:rsid w:val="00125917"/>
    <w:rsid w:val="00125A23"/>
    <w:rsid w:val="00125E7E"/>
    <w:rsid w:val="00126105"/>
    <w:rsid w:val="00126196"/>
    <w:rsid w:val="0012642B"/>
    <w:rsid w:val="001277ED"/>
    <w:rsid w:val="00127F08"/>
    <w:rsid w:val="00127F3D"/>
    <w:rsid w:val="00130AF4"/>
    <w:rsid w:val="00134ABA"/>
    <w:rsid w:val="00135882"/>
    <w:rsid w:val="00135DE6"/>
    <w:rsid w:val="00136128"/>
    <w:rsid w:val="001363C9"/>
    <w:rsid w:val="00137D9B"/>
    <w:rsid w:val="00140F30"/>
    <w:rsid w:val="00141DD9"/>
    <w:rsid w:val="0014280A"/>
    <w:rsid w:val="001434C3"/>
    <w:rsid w:val="001441F1"/>
    <w:rsid w:val="00146199"/>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3A6B"/>
    <w:rsid w:val="00164075"/>
    <w:rsid w:val="00164B19"/>
    <w:rsid w:val="001664B3"/>
    <w:rsid w:val="001679BD"/>
    <w:rsid w:val="00170C19"/>
    <w:rsid w:val="00170FC2"/>
    <w:rsid w:val="0017167F"/>
    <w:rsid w:val="00172B6E"/>
    <w:rsid w:val="00172E1D"/>
    <w:rsid w:val="0017361E"/>
    <w:rsid w:val="00173785"/>
    <w:rsid w:val="00173B1C"/>
    <w:rsid w:val="00173F11"/>
    <w:rsid w:val="0017406D"/>
    <w:rsid w:val="00175560"/>
    <w:rsid w:val="00175CF6"/>
    <w:rsid w:val="00176875"/>
    <w:rsid w:val="00176E94"/>
    <w:rsid w:val="001770E1"/>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27E"/>
    <w:rsid w:val="001F6A6D"/>
    <w:rsid w:val="001F7084"/>
    <w:rsid w:val="002010BD"/>
    <w:rsid w:val="00201ABE"/>
    <w:rsid w:val="002026A5"/>
    <w:rsid w:val="002033C4"/>
    <w:rsid w:val="00203E30"/>
    <w:rsid w:val="0020431B"/>
    <w:rsid w:val="00205606"/>
    <w:rsid w:val="0020576B"/>
    <w:rsid w:val="00205BAF"/>
    <w:rsid w:val="002063D7"/>
    <w:rsid w:val="00206991"/>
    <w:rsid w:val="00206C6E"/>
    <w:rsid w:val="00207ACE"/>
    <w:rsid w:val="00207C77"/>
    <w:rsid w:val="0021023C"/>
    <w:rsid w:val="00211178"/>
    <w:rsid w:val="0021162E"/>
    <w:rsid w:val="00211892"/>
    <w:rsid w:val="00212639"/>
    <w:rsid w:val="00212B1A"/>
    <w:rsid w:val="00212B3B"/>
    <w:rsid w:val="00212B41"/>
    <w:rsid w:val="00212C2B"/>
    <w:rsid w:val="00213C6C"/>
    <w:rsid w:val="00213E73"/>
    <w:rsid w:val="002143D4"/>
    <w:rsid w:val="00215ACE"/>
    <w:rsid w:val="0021722F"/>
    <w:rsid w:val="002216B5"/>
    <w:rsid w:val="0022184C"/>
    <w:rsid w:val="0022189E"/>
    <w:rsid w:val="00221F9C"/>
    <w:rsid w:val="00223864"/>
    <w:rsid w:val="00223DCA"/>
    <w:rsid w:val="00224797"/>
    <w:rsid w:val="00225180"/>
    <w:rsid w:val="00227A67"/>
    <w:rsid w:val="00227A76"/>
    <w:rsid w:val="00230074"/>
    <w:rsid w:val="00232C6A"/>
    <w:rsid w:val="002330E1"/>
    <w:rsid w:val="00233EF4"/>
    <w:rsid w:val="0023401D"/>
    <w:rsid w:val="002341F3"/>
    <w:rsid w:val="00234C05"/>
    <w:rsid w:val="00234D25"/>
    <w:rsid w:val="00236A17"/>
    <w:rsid w:val="00237E63"/>
    <w:rsid w:val="002403EE"/>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591"/>
    <w:rsid w:val="002658B7"/>
    <w:rsid w:val="0026622E"/>
    <w:rsid w:val="0026627B"/>
    <w:rsid w:val="002667E1"/>
    <w:rsid w:val="00266953"/>
    <w:rsid w:val="00267BFE"/>
    <w:rsid w:val="00270060"/>
    <w:rsid w:val="0027047E"/>
    <w:rsid w:val="00270532"/>
    <w:rsid w:val="002709BF"/>
    <w:rsid w:val="00272086"/>
    <w:rsid w:val="00272DA7"/>
    <w:rsid w:val="0027305B"/>
    <w:rsid w:val="00273C53"/>
    <w:rsid w:val="0027529F"/>
    <w:rsid w:val="00276BF6"/>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867"/>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0B6"/>
    <w:rsid w:val="002C2149"/>
    <w:rsid w:val="002C2B9A"/>
    <w:rsid w:val="002C37CB"/>
    <w:rsid w:val="002C4DB8"/>
    <w:rsid w:val="002C54C6"/>
    <w:rsid w:val="002C5CE4"/>
    <w:rsid w:val="002C621D"/>
    <w:rsid w:val="002C6618"/>
    <w:rsid w:val="002C6B8F"/>
    <w:rsid w:val="002C7851"/>
    <w:rsid w:val="002C7989"/>
    <w:rsid w:val="002D0838"/>
    <w:rsid w:val="002D1306"/>
    <w:rsid w:val="002D1539"/>
    <w:rsid w:val="002D33EE"/>
    <w:rsid w:val="002D50D6"/>
    <w:rsid w:val="002D6F91"/>
    <w:rsid w:val="002D7FE5"/>
    <w:rsid w:val="002E080F"/>
    <w:rsid w:val="002E14F6"/>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2E8A"/>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6912"/>
    <w:rsid w:val="00317A0C"/>
    <w:rsid w:val="00320767"/>
    <w:rsid w:val="00320913"/>
    <w:rsid w:val="00321A4D"/>
    <w:rsid w:val="00321A60"/>
    <w:rsid w:val="00321F01"/>
    <w:rsid w:val="00321F8D"/>
    <w:rsid w:val="00322FD9"/>
    <w:rsid w:val="003230D2"/>
    <w:rsid w:val="003239C9"/>
    <w:rsid w:val="00324460"/>
    <w:rsid w:val="0032526F"/>
    <w:rsid w:val="00325448"/>
    <w:rsid w:val="0032653D"/>
    <w:rsid w:val="00326F07"/>
    <w:rsid w:val="003275AC"/>
    <w:rsid w:val="0032784F"/>
    <w:rsid w:val="00327B5E"/>
    <w:rsid w:val="00330CC7"/>
    <w:rsid w:val="00332266"/>
    <w:rsid w:val="00332D2F"/>
    <w:rsid w:val="00334399"/>
    <w:rsid w:val="00334428"/>
    <w:rsid w:val="003345AF"/>
    <w:rsid w:val="00335621"/>
    <w:rsid w:val="0033595A"/>
    <w:rsid w:val="00335AB3"/>
    <w:rsid w:val="00336718"/>
    <w:rsid w:val="0033772C"/>
    <w:rsid w:val="00340292"/>
    <w:rsid w:val="00341CD8"/>
    <w:rsid w:val="00341F77"/>
    <w:rsid w:val="00342003"/>
    <w:rsid w:val="00342AB5"/>
    <w:rsid w:val="003446C8"/>
    <w:rsid w:val="003452BC"/>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01C6"/>
    <w:rsid w:val="00384E67"/>
    <w:rsid w:val="00387956"/>
    <w:rsid w:val="0039103E"/>
    <w:rsid w:val="003911D9"/>
    <w:rsid w:val="00391E31"/>
    <w:rsid w:val="00392E9C"/>
    <w:rsid w:val="00393566"/>
    <w:rsid w:val="003939A1"/>
    <w:rsid w:val="00394CDC"/>
    <w:rsid w:val="003958F2"/>
    <w:rsid w:val="00395F53"/>
    <w:rsid w:val="003A016E"/>
    <w:rsid w:val="003A04E4"/>
    <w:rsid w:val="003A0B6A"/>
    <w:rsid w:val="003A0E23"/>
    <w:rsid w:val="003A1758"/>
    <w:rsid w:val="003A1D39"/>
    <w:rsid w:val="003A2136"/>
    <w:rsid w:val="003A21D5"/>
    <w:rsid w:val="003A2651"/>
    <w:rsid w:val="003A28F5"/>
    <w:rsid w:val="003A4E74"/>
    <w:rsid w:val="003A6E81"/>
    <w:rsid w:val="003A7A57"/>
    <w:rsid w:val="003B0BB2"/>
    <w:rsid w:val="003B0C3A"/>
    <w:rsid w:val="003B12FE"/>
    <w:rsid w:val="003B1590"/>
    <w:rsid w:val="003B1E8D"/>
    <w:rsid w:val="003B1F25"/>
    <w:rsid w:val="003B2313"/>
    <w:rsid w:val="003B240B"/>
    <w:rsid w:val="003B27FF"/>
    <w:rsid w:val="003B2E9C"/>
    <w:rsid w:val="003B354E"/>
    <w:rsid w:val="003B5083"/>
    <w:rsid w:val="003B6352"/>
    <w:rsid w:val="003B746B"/>
    <w:rsid w:val="003C09DA"/>
    <w:rsid w:val="003C0A87"/>
    <w:rsid w:val="003C0AB6"/>
    <w:rsid w:val="003C1330"/>
    <w:rsid w:val="003C2304"/>
    <w:rsid w:val="003C3FEF"/>
    <w:rsid w:val="003C429F"/>
    <w:rsid w:val="003C59B2"/>
    <w:rsid w:val="003C77E9"/>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4791"/>
    <w:rsid w:val="003E5F74"/>
    <w:rsid w:val="003E6276"/>
    <w:rsid w:val="003E6969"/>
    <w:rsid w:val="003F0A9C"/>
    <w:rsid w:val="003F0D9F"/>
    <w:rsid w:val="003F131C"/>
    <w:rsid w:val="003F223E"/>
    <w:rsid w:val="003F3A30"/>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433F"/>
    <w:rsid w:val="00405F18"/>
    <w:rsid w:val="004078B5"/>
    <w:rsid w:val="0041001D"/>
    <w:rsid w:val="0041042A"/>
    <w:rsid w:val="0041174A"/>
    <w:rsid w:val="00411BC6"/>
    <w:rsid w:val="00411CAF"/>
    <w:rsid w:val="004123A8"/>
    <w:rsid w:val="004145DD"/>
    <w:rsid w:val="00415919"/>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76D"/>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597"/>
    <w:rsid w:val="0049475C"/>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19A"/>
    <w:rsid w:val="004F0D67"/>
    <w:rsid w:val="004F10C9"/>
    <w:rsid w:val="004F17D1"/>
    <w:rsid w:val="004F2088"/>
    <w:rsid w:val="004F25A8"/>
    <w:rsid w:val="004F3075"/>
    <w:rsid w:val="004F4C56"/>
    <w:rsid w:val="004F64F2"/>
    <w:rsid w:val="004F77AB"/>
    <w:rsid w:val="0050026B"/>
    <w:rsid w:val="005010A0"/>
    <w:rsid w:val="0050127E"/>
    <w:rsid w:val="00501896"/>
    <w:rsid w:val="00502030"/>
    <w:rsid w:val="0050273E"/>
    <w:rsid w:val="005029DC"/>
    <w:rsid w:val="00502C46"/>
    <w:rsid w:val="00502D8A"/>
    <w:rsid w:val="00503451"/>
    <w:rsid w:val="00504577"/>
    <w:rsid w:val="005059F1"/>
    <w:rsid w:val="0050621F"/>
    <w:rsid w:val="00506625"/>
    <w:rsid w:val="00506B32"/>
    <w:rsid w:val="00506D1D"/>
    <w:rsid w:val="0051104C"/>
    <w:rsid w:val="00511F5F"/>
    <w:rsid w:val="00512839"/>
    <w:rsid w:val="005130A7"/>
    <w:rsid w:val="00513E0B"/>
    <w:rsid w:val="00514362"/>
    <w:rsid w:val="00514EC9"/>
    <w:rsid w:val="00515A23"/>
    <w:rsid w:val="00515F91"/>
    <w:rsid w:val="00516250"/>
    <w:rsid w:val="00517B38"/>
    <w:rsid w:val="00521A77"/>
    <w:rsid w:val="0052382C"/>
    <w:rsid w:val="00524746"/>
    <w:rsid w:val="00525DD1"/>
    <w:rsid w:val="00526511"/>
    <w:rsid w:val="005277B4"/>
    <w:rsid w:val="00527927"/>
    <w:rsid w:val="0053017F"/>
    <w:rsid w:val="0053144B"/>
    <w:rsid w:val="00531B6C"/>
    <w:rsid w:val="005320D4"/>
    <w:rsid w:val="00532247"/>
    <w:rsid w:val="00532639"/>
    <w:rsid w:val="005327C2"/>
    <w:rsid w:val="00533609"/>
    <w:rsid w:val="00534B0F"/>
    <w:rsid w:val="00536472"/>
    <w:rsid w:val="00536DE7"/>
    <w:rsid w:val="00537115"/>
    <w:rsid w:val="005400AD"/>
    <w:rsid w:val="00540222"/>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4CD"/>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8A5"/>
    <w:rsid w:val="00571BB7"/>
    <w:rsid w:val="00572DD1"/>
    <w:rsid w:val="0057317C"/>
    <w:rsid w:val="00573656"/>
    <w:rsid w:val="0057496C"/>
    <w:rsid w:val="005749A3"/>
    <w:rsid w:val="00574A7F"/>
    <w:rsid w:val="00575813"/>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3CD"/>
    <w:rsid w:val="005A6B51"/>
    <w:rsid w:val="005A77BF"/>
    <w:rsid w:val="005A7A04"/>
    <w:rsid w:val="005A7C9B"/>
    <w:rsid w:val="005B0B37"/>
    <w:rsid w:val="005B0E94"/>
    <w:rsid w:val="005B1A7C"/>
    <w:rsid w:val="005B2964"/>
    <w:rsid w:val="005B2C4B"/>
    <w:rsid w:val="005B37B7"/>
    <w:rsid w:val="005B4660"/>
    <w:rsid w:val="005B569E"/>
    <w:rsid w:val="005B5859"/>
    <w:rsid w:val="005B5D13"/>
    <w:rsid w:val="005B7466"/>
    <w:rsid w:val="005C113B"/>
    <w:rsid w:val="005C1523"/>
    <w:rsid w:val="005C1882"/>
    <w:rsid w:val="005C1C06"/>
    <w:rsid w:val="005C22CF"/>
    <w:rsid w:val="005C2BE7"/>
    <w:rsid w:val="005C3156"/>
    <w:rsid w:val="005C58A6"/>
    <w:rsid w:val="005C598D"/>
    <w:rsid w:val="005C6D14"/>
    <w:rsid w:val="005C727C"/>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04B"/>
    <w:rsid w:val="006066C1"/>
    <w:rsid w:val="006066C2"/>
    <w:rsid w:val="00606F4C"/>
    <w:rsid w:val="006079E3"/>
    <w:rsid w:val="00607C74"/>
    <w:rsid w:val="00610998"/>
    <w:rsid w:val="00611D0E"/>
    <w:rsid w:val="00612912"/>
    <w:rsid w:val="00613A5E"/>
    <w:rsid w:val="00613B36"/>
    <w:rsid w:val="006147F9"/>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00E8"/>
    <w:rsid w:val="00641AA7"/>
    <w:rsid w:val="006422CB"/>
    <w:rsid w:val="00642520"/>
    <w:rsid w:val="00642699"/>
    <w:rsid w:val="006429BA"/>
    <w:rsid w:val="006438A7"/>
    <w:rsid w:val="00643AAD"/>
    <w:rsid w:val="00643CBA"/>
    <w:rsid w:val="00645D67"/>
    <w:rsid w:val="00646D05"/>
    <w:rsid w:val="0065021B"/>
    <w:rsid w:val="006508B5"/>
    <w:rsid w:val="00650D16"/>
    <w:rsid w:val="00652ED0"/>
    <w:rsid w:val="0065314C"/>
    <w:rsid w:val="0065373C"/>
    <w:rsid w:val="00653E55"/>
    <w:rsid w:val="006540B2"/>
    <w:rsid w:val="0065472B"/>
    <w:rsid w:val="00654883"/>
    <w:rsid w:val="00655C9D"/>
    <w:rsid w:val="0065773B"/>
    <w:rsid w:val="00660DFA"/>
    <w:rsid w:val="00660F44"/>
    <w:rsid w:val="0066289A"/>
    <w:rsid w:val="00664494"/>
    <w:rsid w:val="00664BF5"/>
    <w:rsid w:val="006651CC"/>
    <w:rsid w:val="00665539"/>
    <w:rsid w:val="00666066"/>
    <w:rsid w:val="006665B5"/>
    <w:rsid w:val="00666972"/>
    <w:rsid w:val="00667393"/>
    <w:rsid w:val="00667CD6"/>
    <w:rsid w:val="00670FBB"/>
    <w:rsid w:val="0067268D"/>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9A"/>
    <w:rsid w:val="006A37CF"/>
    <w:rsid w:val="006A51AF"/>
    <w:rsid w:val="006A69E1"/>
    <w:rsid w:val="006B077A"/>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C3EB9"/>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2A1F"/>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208"/>
    <w:rsid w:val="006F7D2C"/>
    <w:rsid w:val="00700324"/>
    <w:rsid w:val="007009A3"/>
    <w:rsid w:val="007013B2"/>
    <w:rsid w:val="00701767"/>
    <w:rsid w:val="00702CD0"/>
    <w:rsid w:val="00703191"/>
    <w:rsid w:val="00703FA6"/>
    <w:rsid w:val="007049C6"/>
    <w:rsid w:val="00704F9D"/>
    <w:rsid w:val="007055A8"/>
    <w:rsid w:val="007056C3"/>
    <w:rsid w:val="007059D5"/>
    <w:rsid w:val="00705B6D"/>
    <w:rsid w:val="007067D7"/>
    <w:rsid w:val="00707F9C"/>
    <w:rsid w:val="00710BD3"/>
    <w:rsid w:val="007117FF"/>
    <w:rsid w:val="00711DA4"/>
    <w:rsid w:val="00711F83"/>
    <w:rsid w:val="0071300D"/>
    <w:rsid w:val="00713317"/>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0378"/>
    <w:rsid w:val="0074183C"/>
    <w:rsid w:val="007424CB"/>
    <w:rsid w:val="007431E3"/>
    <w:rsid w:val="00743AA8"/>
    <w:rsid w:val="0074471C"/>
    <w:rsid w:val="00744E00"/>
    <w:rsid w:val="00744FF0"/>
    <w:rsid w:val="0074571B"/>
    <w:rsid w:val="00745ADF"/>
    <w:rsid w:val="007503C7"/>
    <w:rsid w:val="0075069A"/>
    <w:rsid w:val="007513FE"/>
    <w:rsid w:val="00751EE0"/>
    <w:rsid w:val="00752378"/>
    <w:rsid w:val="00752E4B"/>
    <w:rsid w:val="0075346A"/>
    <w:rsid w:val="00753FA6"/>
    <w:rsid w:val="00754135"/>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41E6"/>
    <w:rsid w:val="00795347"/>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62C2"/>
    <w:rsid w:val="007B705F"/>
    <w:rsid w:val="007B7149"/>
    <w:rsid w:val="007B7733"/>
    <w:rsid w:val="007B7E77"/>
    <w:rsid w:val="007C1C25"/>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2D29"/>
    <w:rsid w:val="007E359C"/>
    <w:rsid w:val="007E4E2F"/>
    <w:rsid w:val="007E6830"/>
    <w:rsid w:val="007E715A"/>
    <w:rsid w:val="007F0D02"/>
    <w:rsid w:val="007F1146"/>
    <w:rsid w:val="007F1472"/>
    <w:rsid w:val="007F1A3E"/>
    <w:rsid w:val="007F1C2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2BC3"/>
    <w:rsid w:val="00813019"/>
    <w:rsid w:val="00813027"/>
    <w:rsid w:val="00813338"/>
    <w:rsid w:val="008135BC"/>
    <w:rsid w:val="00814E3D"/>
    <w:rsid w:val="00814FF0"/>
    <w:rsid w:val="00815291"/>
    <w:rsid w:val="00816BAD"/>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2887"/>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6C5"/>
    <w:rsid w:val="00864B02"/>
    <w:rsid w:val="0086566D"/>
    <w:rsid w:val="0086599F"/>
    <w:rsid w:val="00866087"/>
    <w:rsid w:val="0087094A"/>
    <w:rsid w:val="00872F2D"/>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95D"/>
    <w:rsid w:val="00890C2F"/>
    <w:rsid w:val="00891679"/>
    <w:rsid w:val="008921D5"/>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3CB"/>
    <w:rsid w:val="008C06EB"/>
    <w:rsid w:val="008C0753"/>
    <w:rsid w:val="008C16D2"/>
    <w:rsid w:val="008C1B3A"/>
    <w:rsid w:val="008C1CFF"/>
    <w:rsid w:val="008C26AF"/>
    <w:rsid w:val="008C2EF3"/>
    <w:rsid w:val="008C4B00"/>
    <w:rsid w:val="008C5738"/>
    <w:rsid w:val="008C66C0"/>
    <w:rsid w:val="008C70EF"/>
    <w:rsid w:val="008C7A8E"/>
    <w:rsid w:val="008C7ADC"/>
    <w:rsid w:val="008C7C48"/>
    <w:rsid w:val="008C7C74"/>
    <w:rsid w:val="008D106D"/>
    <w:rsid w:val="008D13E5"/>
    <w:rsid w:val="008D1CD9"/>
    <w:rsid w:val="008D2234"/>
    <w:rsid w:val="008D22FB"/>
    <w:rsid w:val="008D3019"/>
    <w:rsid w:val="008D32BD"/>
    <w:rsid w:val="008D5940"/>
    <w:rsid w:val="008D5FED"/>
    <w:rsid w:val="008D6302"/>
    <w:rsid w:val="008D67B7"/>
    <w:rsid w:val="008D69E1"/>
    <w:rsid w:val="008D6C1E"/>
    <w:rsid w:val="008D7513"/>
    <w:rsid w:val="008E24EC"/>
    <w:rsid w:val="008E36B1"/>
    <w:rsid w:val="008E54A4"/>
    <w:rsid w:val="008E56E9"/>
    <w:rsid w:val="008E59FD"/>
    <w:rsid w:val="008E5B6B"/>
    <w:rsid w:val="008E6115"/>
    <w:rsid w:val="008E7326"/>
    <w:rsid w:val="008E78A1"/>
    <w:rsid w:val="008F1231"/>
    <w:rsid w:val="008F1377"/>
    <w:rsid w:val="008F1DE9"/>
    <w:rsid w:val="008F206C"/>
    <w:rsid w:val="008F27FA"/>
    <w:rsid w:val="008F3A29"/>
    <w:rsid w:val="008F4F63"/>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07BDF"/>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511F"/>
    <w:rsid w:val="0093608D"/>
    <w:rsid w:val="009368A2"/>
    <w:rsid w:val="00937534"/>
    <w:rsid w:val="00937B0A"/>
    <w:rsid w:val="009400F8"/>
    <w:rsid w:val="009412D8"/>
    <w:rsid w:val="009418FA"/>
    <w:rsid w:val="0094228C"/>
    <w:rsid w:val="009429F2"/>
    <w:rsid w:val="00943F2A"/>
    <w:rsid w:val="00943F63"/>
    <w:rsid w:val="0094626B"/>
    <w:rsid w:val="0094645D"/>
    <w:rsid w:val="009468F8"/>
    <w:rsid w:val="00946A7B"/>
    <w:rsid w:val="00950554"/>
    <w:rsid w:val="009509B0"/>
    <w:rsid w:val="009515DF"/>
    <w:rsid w:val="00951F54"/>
    <w:rsid w:val="00952123"/>
    <w:rsid w:val="009538C7"/>
    <w:rsid w:val="00953F31"/>
    <w:rsid w:val="00954981"/>
    <w:rsid w:val="00954A09"/>
    <w:rsid w:val="009552D4"/>
    <w:rsid w:val="00955845"/>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5A4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5B01"/>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052"/>
    <w:rsid w:val="00A262CA"/>
    <w:rsid w:val="00A26ADF"/>
    <w:rsid w:val="00A27206"/>
    <w:rsid w:val="00A315F2"/>
    <w:rsid w:val="00A31D30"/>
    <w:rsid w:val="00A32731"/>
    <w:rsid w:val="00A3289F"/>
    <w:rsid w:val="00A32CD7"/>
    <w:rsid w:val="00A33813"/>
    <w:rsid w:val="00A33FA1"/>
    <w:rsid w:val="00A3441D"/>
    <w:rsid w:val="00A34677"/>
    <w:rsid w:val="00A35687"/>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80F"/>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0E98"/>
    <w:rsid w:val="00A91562"/>
    <w:rsid w:val="00A91A45"/>
    <w:rsid w:val="00A92853"/>
    <w:rsid w:val="00A930DE"/>
    <w:rsid w:val="00A93759"/>
    <w:rsid w:val="00A93B03"/>
    <w:rsid w:val="00A97627"/>
    <w:rsid w:val="00AA0BF9"/>
    <w:rsid w:val="00AA115F"/>
    <w:rsid w:val="00AA158F"/>
    <w:rsid w:val="00AA167B"/>
    <w:rsid w:val="00AA1EC5"/>
    <w:rsid w:val="00AA1F42"/>
    <w:rsid w:val="00AA26E5"/>
    <w:rsid w:val="00AA2F32"/>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C5B49"/>
    <w:rsid w:val="00AD11B2"/>
    <w:rsid w:val="00AD128F"/>
    <w:rsid w:val="00AD13DF"/>
    <w:rsid w:val="00AD1E15"/>
    <w:rsid w:val="00AD204C"/>
    <w:rsid w:val="00AD23B7"/>
    <w:rsid w:val="00AD3025"/>
    <w:rsid w:val="00AD646A"/>
    <w:rsid w:val="00AD6B5E"/>
    <w:rsid w:val="00AD6C7F"/>
    <w:rsid w:val="00AD77BF"/>
    <w:rsid w:val="00AD78C1"/>
    <w:rsid w:val="00AD7ABC"/>
    <w:rsid w:val="00AE0731"/>
    <w:rsid w:val="00AE1E31"/>
    <w:rsid w:val="00AE256A"/>
    <w:rsid w:val="00AE2886"/>
    <w:rsid w:val="00AE29F5"/>
    <w:rsid w:val="00AE33DF"/>
    <w:rsid w:val="00AE38B9"/>
    <w:rsid w:val="00AE53F4"/>
    <w:rsid w:val="00AE5C7A"/>
    <w:rsid w:val="00AE749E"/>
    <w:rsid w:val="00AE756E"/>
    <w:rsid w:val="00AF0909"/>
    <w:rsid w:val="00AF0910"/>
    <w:rsid w:val="00AF0F0D"/>
    <w:rsid w:val="00AF1132"/>
    <w:rsid w:val="00AF1B0F"/>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62"/>
    <w:rsid w:val="00B0728E"/>
    <w:rsid w:val="00B07AD5"/>
    <w:rsid w:val="00B107A6"/>
    <w:rsid w:val="00B10E5F"/>
    <w:rsid w:val="00B11170"/>
    <w:rsid w:val="00B11338"/>
    <w:rsid w:val="00B1242A"/>
    <w:rsid w:val="00B125F6"/>
    <w:rsid w:val="00B13350"/>
    <w:rsid w:val="00B13372"/>
    <w:rsid w:val="00B135BA"/>
    <w:rsid w:val="00B141D9"/>
    <w:rsid w:val="00B14487"/>
    <w:rsid w:val="00B1535F"/>
    <w:rsid w:val="00B153EA"/>
    <w:rsid w:val="00B154B4"/>
    <w:rsid w:val="00B156EB"/>
    <w:rsid w:val="00B16070"/>
    <w:rsid w:val="00B161A4"/>
    <w:rsid w:val="00B171DC"/>
    <w:rsid w:val="00B22A5D"/>
    <w:rsid w:val="00B235C8"/>
    <w:rsid w:val="00B24099"/>
    <w:rsid w:val="00B2547F"/>
    <w:rsid w:val="00B31348"/>
    <w:rsid w:val="00B3155A"/>
    <w:rsid w:val="00B31FA4"/>
    <w:rsid w:val="00B33C5F"/>
    <w:rsid w:val="00B34B68"/>
    <w:rsid w:val="00B3529A"/>
    <w:rsid w:val="00B358D0"/>
    <w:rsid w:val="00B362DD"/>
    <w:rsid w:val="00B36472"/>
    <w:rsid w:val="00B36C5E"/>
    <w:rsid w:val="00B40239"/>
    <w:rsid w:val="00B40CC6"/>
    <w:rsid w:val="00B42176"/>
    <w:rsid w:val="00B424EB"/>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240"/>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3BC"/>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7A4E"/>
    <w:rsid w:val="00BA11DA"/>
    <w:rsid w:val="00BA1301"/>
    <w:rsid w:val="00BA1F10"/>
    <w:rsid w:val="00BA2018"/>
    <w:rsid w:val="00BA2622"/>
    <w:rsid w:val="00BA316A"/>
    <w:rsid w:val="00BA3E01"/>
    <w:rsid w:val="00BA3E9C"/>
    <w:rsid w:val="00BA71ED"/>
    <w:rsid w:val="00BA760F"/>
    <w:rsid w:val="00BB0001"/>
    <w:rsid w:val="00BB059D"/>
    <w:rsid w:val="00BB0B34"/>
    <w:rsid w:val="00BB10F9"/>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9B"/>
    <w:rsid w:val="00BE07D6"/>
    <w:rsid w:val="00BE1A4A"/>
    <w:rsid w:val="00BE229A"/>
    <w:rsid w:val="00BE33C5"/>
    <w:rsid w:val="00BE3762"/>
    <w:rsid w:val="00BE4A47"/>
    <w:rsid w:val="00BE500B"/>
    <w:rsid w:val="00BE5401"/>
    <w:rsid w:val="00BE69EC"/>
    <w:rsid w:val="00BE6FBA"/>
    <w:rsid w:val="00BE71AA"/>
    <w:rsid w:val="00BE786E"/>
    <w:rsid w:val="00BF0151"/>
    <w:rsid w:val="00BF039F"/>
    <w:rsid w:val="00BF1CAB"/>
    <w:rsid w:val="00BF207B"/>
    <w:rsid w:val="00BF257C"/>
    <w:rsid w:val="00BF2A8A"/>
    <w:rsid w:val="00BF2BBE"/>
    <w:rsid w:val="00BF311B"/>
    <w:rsid w:val="00BF3409"/>
    <w:rsid w:val="00BF39D1"/>
    <w:rsid w:val="00BF6075"/>
    <w:rsid w:val="00BF6718"/>
    <w:rsid w:val="00BF6A7A"/>
    <w:rsid w:val="00BF734D"/>
    <w:rsid w:val="00BF759A"/>
    <w:rsid w:val="00BF7FD2"/>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5DAF"/>
    <w:rsid w:val="00C46144"/>
    <w:rsid w:val="00C46D9C"/>
    <w:rsid w:val="00C513DC"/>
    <w:rsid w:val="00C5149B"/>
    <w:rsid w:val="00C51E28"/>
    <w:rsid w:val="00C542E4"/>
    <w:rsid w:val="00C55220"/>
    <w:rsid w:val="00C55251"/>
    <w:rsid w:val="00C564B4"/>
    <w:rsid w:val="00C5693E"/>
    <w:rsid w:val="00C578B8"/>
    <w:rsid w:val="00C6086E"/>
    <w:rsid w:val="00C623FA"/>
    <w:rsid w:val="00C62CE8"/>
    <w:rsid w:val="00C643E5"/>
    <w:rsid w:val="00C64DA1"/>
    <w:rsid w:val="00C64EB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1895"/>
    <w:rsid w:val="00C92732"/>
    <w:rsid w:val="00C937C7"/>
    <w:rsid w:val="00C939A3"/>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0D6F"/>
    <w:rsid w:val="00CE3E81"/>
    <w:rsid w:val="00CE4B0A"/>
    <w:rsid w:val="00CE4D8F"/>
    <w:rsid w:val="00CE5D0C"/>
    <w:rsid w:val="00CE7762"/>
    <w:rsid w:val="00CE7D3E"/>
    <w:rsid w:val="00CF2316"/>
    <w:rsid w:val="00CF27CE"/>
    <w:rsid w:val="00CF303D"/>
    <w:rsid w:val="00CF3DD0"/>
    <w:rsid w:val="00CF45B0"/>
    <w:rsid w:val="00CF46EA"/>
    <w:rsid w:val="00CF4882"/>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17"/>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885"/>
    <w:rsid w:val="00D43D65"/>
    <w:rsid w:val="00D457E4"/>
    <w:rsid w:val="00D45B89"/>
    <w:rsid w:val="00D464F2"/>
    <w:rsid w:val="00D46A50"/>
    <w:rsid w:val="00D46CA1"/>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29D4"/>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09E0"/>
    <w:rsid w:val="00DC10EF"/>
    <w:rsid w:val="00DC2594"/>
    <w:rsid w:val="00DC4017"/>
    <w:rsid w:val="00DC5C68"/>
    <w:rsid w:val="00DC7126"/>
    <w:rsid w:val="00DC7645"/>
    <w:rsid w:val="00DD05AB"/>
    <w:rsid w:val="00DD0E7F"/>
    <w:rsid w:val="00DD184B"/>
    <w:rsid w:val="00DD2AFA"/>
    <w:rsid w:val="00DD3723"/>
    <w:rsid w:val="00DD37E3"/>
    <w:rsid w:val="00DD43AC"/>
    <w:rsid w:val="00DD4D70"/>
    <w:rsid w:val="00DD4D99"/>
    <w:rsid w:val="00DD569C"/>
    <w:rsid w:val="00DD57F2"/>
    <w:rsid w:val="00DD76B9"/>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0F7"/>
    <w:rsid w:val="00E33CEE"/>
    <w:rsid w:val="00E34736"/>
    <w:rsid w:val="00E35446"/>
    <w:rsid w:val="00E36042"/>
    <w:rsid w:val="00E369AA"/>
    <w:rsid w:val="00E36AEE"/>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4BB"/>
    <w:rsid w:val="00E5566D"/>
    <w:rsid w:val="00E557FB"/>
    <w:rsid w:val="00E55A3F"/>
    <w:rsid w:val="00E55CC9"/>
    <w:rsid w:val="00E56069"/>
    <w:rsid w:val="00E56091"/>
    <w:rsid w:val="00E56363"/>
    <w:rsid w:val="00E567AD"/>
    <w:rsid w:val="00E607C9"/>
    <w:rsid w:val="00E619F6"/>
    <w:rsid w:val="00E61D89"/>
    <w:rsid w:val="00E61DAF"/>
    <w:rsid w:val="00E61E3E"/>
    <w:rsid w:val="00E62981"/>
    <w:rsid w:val="00E62CFA"/>
    <w:rsid w:val="00E63807"/>
    <w:rsid w:val="00E63DC1"/>
    <w:rsid w:val="00E64268"/>
    <w:rsid w:val="00E65208"/>
    <w:rsid w:val="00E66488"/>
    <w:rsid w:val="00E665FF"/>
    <w:rsid w:val="00E66A18"/>
    <w:rsid w:val="00E67634"/>
    <w:rsid w:val="00E678BF"/>
    <w:rsid w:val="00E6798F"/>
    <w:rsid w:val="00E70255"/>
    <w:rsid w:val="00E70C46"/>
    <w:rsid w:val="00E71B5A"/>
    <w:rsid w:val="00E720A1"/>
    <w:rsid w:val="00E72C8B"/>
    <w:rsid w:val="00E7589B"/>
    <w:rsid w:val="00E7597B"/>
    <w:rsid w:val="00E75D31"/>
    <w:rsid w:val="00E80469"/>
    <w:rsid w:val="00E81783"/>
    <w:rsid w:val="00E81ACA"/>
    <w:rsid w:val="00E81F96"/>
    <w:rsid w:val="00E82B00"/>
    <w:rsid w:val="00E82FCC"/>
    <w:rsid w:val="00E846EA"/>
    <w:rsid w:val="00E8471C"/>
    <w:rsid w:val="00E84799"/>
    <w:rsid w:val="00E84DEE"/>
    <w:rsid w:val="00E86668"/>
    <w:rsid w:val="00E90BA3"/>
    <w:rsid w:val="00E912BA"/>
    <w:rsid w:val="00E91DED"/>
    <w:rsid w:val="00E9309B"/>
    <w:rsid w:val="00E937ED"/>
    <w:rsid w:val="00E93E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41B"/>
    <w:rsid w:val="00EB6722"/>
    <w:rsid w:val="00EC04AC"/>
    <w:rsid w:val="00EC08E6"/>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6CED"/>
    <w:rsid w:val="00ED7742"/>
    <w:rsid w:val="00ED7A40"/>
    <w:rsid w:val="00EE0395"/>
    <w:rsid w:val="00EE1B88"/>
    <w:rsid w:val="00EE1E09"/>
    <w:rsid w:val="00EE4016"/>
    <w:rsid w:val="00EE4AD2"/>
    <w:rsid w:val="00EE5916"/>
    <w:rsid w:val="00EE67CD"/>
    <w:rsid w:val="00EE70B1"/>
    <w:rsid w:val="00EF04ED"/>
    <w:rsid w:val="00EF0ED8"/>
    <w:rsid w:val="00EF2FE1"/>
    <w:rsid w:val="00EF3454"/>
    <w:rsid w:val="00EF38F3"/>
    <w:rsid w:val="00EF46B6"/>
    <w:rsid w:val="00EF51D1"/>
    <w:rsid w:val="00EF5FD5"/>
    <w:rsid w:val="00EF64C7"/>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1020"/>
    <w:rsid w:val="00F12B2D"/>
    <w:rsid w:val="00F13976"/>
    <w:rsid w:val="00F14223"/>
    <w:rsid w:val="00F1490E"/>
    <w:rsid w:val="00F2022E"/>
    <w:rsid w:val="00F2035F"/>
    <w:rsid w:val="00F209E2"/>
    <w:rsid w:val="00F21414"/>
    <w:rsid w:val="00F218F8"/>
    <w:rsid w:val="00F2325C"/>
    <w:rsid w:val="00F23BCA"/>
    <w:rsid w:val="00F24B23"/>
    <w:rsid w:val="00F24C2A"/>
    <w:rsid w:val="00F25058"/>
    <w:rsid w:val="00F309AF"/>
    <w:rsid w:val="00F3148C"/>
    <w:rsid w:val="00F32515"/>
    <w:rsid w:val="00F32548"/>
    <w:rsid w:val="00F33C82"/>
    <w:rsid w:val="00F3452B"/>
    <w:rsid w:val="00F348E1"/>
    <w:rsid w:val="00F35B55"/>
    <w:rsid w:val="00F36850"/>
    <w:rsid w:val="00F3790D"/>
    <w:rsid w:val="00F406D8"/>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127"/>
    <w:rsid w:val="00F70645"/>
    <w:rsid w:val="00F726ED"/>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605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53C"/>
    <w:rsid w:val="00FC5F99"/>
    <w:rsid w:val="00FD0364"/>
    <w:rsid w:val="00FD0886"/>
    <w:rsid w:val="00FD16F7"/>
    <w:rsid w:val="00FD178E"/>
    <w:rsid w:val="00FD2C45"/>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BEC"/>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character" w:customStyle="1" w:styleId="Heading1Char">
    <w:name w:val="Heading 1 Char"/>
    <w:basedOn w:val="DefaultParagraphFont"/>
    <w:link w:val="Heading1"/>
    <w:uiPriority w:val="9"/>
    <w:rsid w:val="00302E8A"/>
    <w:rPr>
      <w:rFonts w:asciiTheme="majorHAnsi" w:eastAsiaTheme="majorEastAsia" w:hAnsiTheme="majorHAnsi" w:cstheme="majorBidi"/>
      <w:color w:val="2F5496" w:themeColor="accent1" w:themeShade="BF"/>
      <w:sz w:val="32"/>
      <w:szCs w:val="32"/>
    </w:rPr>
  </w:style>
  <w:style w:type="character" w:customStyle="1" w:styleId="citation">
    <w:name w:val="citation"/>
    <w:basedOn w:val="DefaultParagraphFont"/>
    <w:rsid w:val="00302E8A"/>
  </w:style>
  <w:style w:type="character" w:customStyle="1" w:styleId="mc">
    <w:name w:val="mc"/>
    <w:basedOn w:val="DefaultParagraphFont"/>
    <w:rsid w:val="003E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314">
      <w:bodyDiv w:val="1"/>
      <w:marLeft w:val="0"/>
      <w:marRight w:val="0"/>
      <w:marTop w:val="0"/>
      <w:marBottom w:val="0"/>
      <w:divBdr>
        <w:top w:val="none" w:sz="0" w:space="0" w:color="auto"/>
        <w:left w:val="none" w:sz="0" w:space="0" w:color="auto"/>
        <w:bottom w:val="none" w:sz="0" w:space="0" w:color="auto"/>
        <w:right w:val="none" w:sz="0" w:space="0" w:color="auto"/>
      </w:divBdr>
      <w:divsChild>
        <w:div w:id="771440921">
          <w:marLeft w:val="0"/>
          <w:marRight w:val="0"/>
          <w:marTop w:val="120"/>
          <w:marBottom w:val="0"/>
          <w:divBdr>
            <w:top w:val="none" w:sz="0" w:space="0" w:color="auto"/>
            <w:left w:val="none" w:sz="0" w:space="0" w:color="auto"/>
            <w:bottom w:val="none" w:sz="0" w:space="0" w:color="auto"/>
            <w:right w:val="none" w:sz="0" w:space="0" w:color="auto"/>
          </w:divBdr>
        </w:div>
        <w:div w:id="2106880796">
          <w:marLeft w:val="0"/>
          <w:marRight w:val="0"/>
          <w:marTop w:val="240"/>
          <w:marBottom w:val="24"/>
          <w:divBdr>
            <w:top w:val="single" w:sz="8" w:space="2" w:color="808080"/>
            <w:left w:val="none" w:sz="0" w:space="0" w:color="auto"/>
            <w:bottom w:val="none" w:sz="0" w:space="0" w:color="auto"/>
            <w:right w:val="none" w:sz="0" w:space="0" w:color="auto"/>
          </w:divBdr>
        </w:div>
        <w:div w:id="601839077">
          <w:marLeft w:val="0"/>
          <w:marRight w:val="0"/>
          <w:marTop w:val="120"/>
          <w:marBottom w:val="0"/>
          <w:divBdr>
            <w:top w:val="none" w:sz="0" w:space="0" w:color="auto"/>
            <w:left w:val="none" w:sz="0" w:space="0" w:color="auto"/>
            <w:bottom w:val="none" w:sz="0" w:space="0" w:color="auto"/>
            <w:right w:val="none" w:sz="0" w:space="0" w:color="auto"/>
          </w:divBdr>
        </w:div>
        <w:div w:id="1558860239">
          <w:marLeft w:val="0"/>
          <w:marRight w:val="0"/>
          <w:marTop w:val="120"/>
          <w:marBottom w:val="0"/>
          <w:divBdr>
            <w:top w:val="none" w:sz="0" w:space="0" w:color="auto"/>
            <w:left w:val="none" w:sz="0" w:space="0" w:color="auto"/>
            <w:bottom w:val="none" w:sz="0" w:space="0" w:color="auto"/>
            <w:right w:val="none" w:sz="0" w:space="0" w:color="auto"/>
          </w:divBdr>
        </w:div>
      </w:divsChild>
    </w:div>
    <w:div w:id="35276810">
      <w:bodyDiv w:val="1"/>
      <w:marLeft w:val="0"/>
      <w:marRight w:val="0"/>
      <w:marTop w:val="0"/>
      <w:marBottom w:val="0"/>
      <w:divBdr>
        <w:top w:val="none" w:sz="0" w:space="0" w:color="auto"/>
        <w:left w:val="none" w:sz="0" w:space="0" w:color="auto"/>
        <w:bottom w:val="none" w:sz="0" w:space="0" w:color="auto"/>
        <w:right w:val="none" w:sz="0" w:space="0" w:color="auto"/>
      </w:divBdr>
      <w:divsChild>
        <w:div w:id="3478566">
          <w:marLeft w:val="0"/>
          <w:marRight w:val="0"/>
          <w:marTop w:val="0"/>
          <w:marBottom w:val="120"/>
          <w:divBdr>
            <w:top w:val="none" w:sz="0" w:space="0" w:color="auto"/>
            <w:left w:val="none" w:sz="0" w:space="0" w:color="auto"/>
            <w:bottom w:val="none" w:sz="0" w:space="0" w:color="auto"/>
            <w:right w:val="none" w:sz="0" w:space="0" w:color="auto"/>
          </w:divBdr>
        </w:div>
      </w:divsChild>
    </w:div>
    <w:div w:id="46956196">
      <w:bodyDiv w:val="1"/>
      <w:marLeft w:val="0"/>
      <w:marRight w:val="0"/>
      <w:marTop w:val="0"/>
      <w:marBottom w:val="0"/>
      <w:divBdr>
        <w:top w:val="none" w:sz="0" w:space="0" w:color="auto"/>
        <w:left w:val="none" w:sz="0" w:space="0" w:color="auto"/>
        <w:bottom w:val="none" w:sz="0" w:space="0" w:color="auto"/>
        <w:right w:val="none" w:sz="0" w:space="0" w:color="auto"/>
      </w:divBdr>
    </w:div>
    <w:div w:id="59446036">
      <w:bodyDiv w:val="1"/>
      <w:marLeft w:val="0"/>
      <w:marRight w:val="0"/>
      <w:marTop w:val="0"/>
      <w:marBottom w:val="0"/>
      <w:divBdr>
        <w:top w:val="none" w:sz="0" w:space="0" w:color="auto"/>
        <w:left w:val="none" w:sz="0" w:space="0" w:color="auto"/>
        <w:bottom w:val="none" w:sz="0" w:space="0" w:color="auto"/>
        <w:right w:val="none" w:sz="0" w:space="0" w:color="auto"/>
      </w:divBdr>
    </w:div>
    <w:div w:id="379090929">
      <w:bodyDiv w:val="1"/>
      <w:marLeft w:val="0"/>
      <w:marRight w:val="0"/>
      <w:marTop w:val="0"/>
      <w:marBottom w:val="0"/>
      <w:divBdr>
        <w:top w:val="none" w:sz="0" w:space="0" w:color="auto"/>
        <w:left w:val="none" w:sz="0" w:space="0" w:color="auto"/>
        <w:bottom w:val="none" w:sz="0" w:space="0" w:color="auto"/>
        <w:right w:val="none" w:sz="0" w:space="0" w:color="auto"/>
      </w:divBdr>
    </w:div>
    <w:div w:id="411705569">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24262772">
      <w:bodyDiv w:val="1"/>
      <w:marLeft w:val="0"/>
      <w:marRight w:val="0"/>
      <w:marTop w:val="0"/>
      <w:marBottom w:val="0"/>
      <w:divBdr>
        <w:top w:val="none" w:sz="0" w:space="0" w:color="auto"/>
        <w:left w:val="none" w:sz="0" w:space="0" w:color="auto"/>
        <w:bottom w:val="none" w:sz="0" w:space="0" w:color="auto"/>
        <w:right w:val="none" w:sz="0" w:space="0" w:color="auto"/>
      </w:divBdr>
      <w:divsChild>
        <w:div w:id="1454976388">
          <w:marLeft w:val="0"/>
          <w:marRight w:val="0"/>
          <w:marTop w:val="120"/>
          <w:marBottom w:val="0"/>
          <w:divBdr>
            <w:top w:val="none" w:sz="0" w:space="0" w:color="auto"/>
            <w:left w:val="none" w:sz="0" w:space="0" w:color="auto"/>
            <w:bottom w:val="none" w:sz="0" w:space="0" w:color="auto"/>
            <w:right w:val="none" w:sz="0" w:space="0" w:color="auto"/>
          </w:divBdr>
        </w:div>
        <w:div w:id="737553926">
          <w:marLeft w:val="567"/>
          <w:marRight w:val="0"/>
          <w:marTop w:val="60"/>
          <w:marBottom w:val="0"/>
          <w:divBdr>
            <w:top w:val="none" w:sz="0" w:space="0" w:color="auto"/>
            <w:left w:val="none" w:sz="0" w:space="0" w:color="auto"/>
            <w:bottom w:val="none" w:sz="0" w:space="0" w:color="auto"/>
            <w:right w:val="none" w:sz="0" w:space="0" w:color="auto"/>
          </w:divBdr>
        </w:div>
        <w:div w:id="1012534254">
          <w:marLeft w:val="0"/>
          <w:marRight w:val="0"/>
          <w:marTop w:val="120"/>
          <w:marBottom w:val="0"/>
          <w:divBdr>
            <w:top w:val="none" w:sz="0" w:space="0" w:color="auto"/>
            <w:left w:val="none" w:sz="0" w:space="0" w:color="auto"/>
            <w:bottom w:val="none" w:sz="0" w:space="0" w:color="auto"/>
            <w:right w:val="none" w:sz="0" w:space="0" w:color="auto"/>
          </w:divBdr>
        </w:div>
      </w:divsChild>
    </w:div>
    <w:div w:id="1196575578">
      <w:bodyDiv w:val="1"/>
      <w:marLeft w:val="0"/>
      <w:marRight w:val="0"/>
      <w:marTop w:val="0"/>
      <w:marBottom w:val="0"/>
      <w:divBdr>
        <w:top w:val="none" w:sz="0" w:space="0" w:color="auto"/>
        <w:left w:val="none" w:sz="0" w:space="0" w:color="auto"/>
        <w:bottom w:val="none" w:sz="0" w:space="0" w:color="auto"/>
        <w:right w:val="none" w:sz="0" w:space="0" w:color="auto"/>
      </w:divBdr>
    </w:div>
    <w:div w:id="1223366868">
      <w:bodyDiv w:val="1"/>
      <w:marLeft w:val="0"/>
      <w:marRight w:val="0"/>
      <w:marTop w:val="0"/>
      <w:marBottom w:val="0"/>
      <w:divBdr>
        <w:top w:val="none" w:sz="0" w:space="0" w:color="auto"/>
        <w:left w:val="none" w:sz="0" w:space="0" w:color="auto"/>
        <w:bottom w:val="none" w:sz="0" w:space="0" w:color="auto"/>
        <w:right w:val="none" w:sz="0" w:space="0" w:color="auto"/>
      </w:divBdr>
      <w:divsChild>
        <w:div w:id="1931354524">
          <w:marLeft w:val="0"/>
          <w:marRight w:val="0"/>
          <w:marTop w:val="120"/>
          <w:marBottom w:val="0"/>
          <w:divBdr>
            <w:top w:val="none" w:sz="0" w:space="0" w:color="auto"/>
            <w:left w:val="none" w:sz="0" w:space="0" w:color="auto"/>
            <w:bottom w:val="none" w:sz="0" w:space="0" w:color="auto"/>
            <w:right w:val="none" w:sz="0" w:space="0" w:color="auto"/>
          </w:divBdr>
        </w:div>
        <w:div w:id="1961296821">
          <w:marLeft w:val="0"/>
          <w:marRight w:val="0"/>
          <w:marTop w:val="120"/>
          <w:marBottom w:val="0"/>
          <w:divBdr>
            <w:top w:val="none" w:sz="0" w:space="0" w:color="auto"/>
            <w:left w:val="none" w:sz="0" w:space="0" w:color="auto"/>
            <w:bottom w:val="none" w:sz="0" w:space="0" w:color="auto"/>
            <w:right w:val="none" w:sz="0" w:space="0" w:color="auto"/>
          </w:divBdr>
        </w:div>
        <w:div w:id="982081183">
          <w:marLeft w:val="0"/>
          <w:marRight w:val="0"/>
          <w:marTop w:val="120"/>
          <w:marBottom w:val="0"/>
          <w:divBdr>
            <w:top w:val="none" w:sz="0" w:space="0" w:color="auto"/>
            <w:left w:val="none" w:sz="0" w:space="0" w:color="auto"/>
            <w:bottom w:val="none" w:sz="0" w:space="0" w:color="auto"/>
            <w:right w:val="none" w:sz="0" w:space="0" w:color="auto"/>
          </w:divBdr>
        </w:div>
        <w:div w:id="662122326">
          <w:marLeft w:val="0"/>
          <w:marRight w:val="0"/>
          <w:marTop w:val="120"/>
          <w:marBottom w:val="0"/>
          <w:divBdr>
            <w:top w:val="none" w:sz="0" w:space="0" w:color="auto"/>
            <w:left w:val="none" w:sz="0" w:space="0" w:color="auto"/>
            <w:bottom w:val="none" w:sz="0" w:space="0" w:color="auto"/>
            <w:right w:val="none" w:sz="0" w:space="0" w:color="auto"/>
          </w:divBdr>
        </w:div>
        <w:div w:id="182600227">
          <w:marLeft w:val="0"/>
          <w:marRight w:val="0"/>
          <w:marTop w:val="120"/>
          <w:marBottom w:val="0"/>
          <w:divBdr>
            <w:top w:val="none" w:sz="0" w:space="0" w:color="auto"/>
            <w:left w:val="none" w:sz="0" w:space="0" w:color="auto"/>
            <w:bottom w:val="none" w:sz="0" w:space="0" w:color="auto"/>
            <w:right w:val="none" w:sz="0" w:space="0" w:color="auto"/>
          </w:divBdr>
        </w:div>
      </w:divsChild>
    </w:div>
    <w:div w:id="1255820650">
      <w:bodyDiv w:val="1"/>
      <w:marLeft w:val="0"/>
      <w:marRight w:val="0"/>
      <w:marTop w:val="0"/>
      <w:marBottom w:val="0"/>
      <w:divBdr>
        <w:top w:val="none" w:sz="0" w:space="0" w:color="auto"/>
        <w:left w:val="none" w:sz="0" w:space="0" w:color="auto"/>
        <w:bottom w:val="none" w:sz="0" w:space="0" w:color="auto"/>
        <w:right w:val="none" w:sz="0" w:space="0" w:color="auto"/>
      </w:divBdr>
    </w:div>
    <w:div w:id="2027949432">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44939478">
      <w:bodyDiv w:val="1"/>
      <w:marLeft w:val="0"/>
      <w:marRight w:val="0"/>
      <w:marTop w:val="0"/>
      <w:marBottom w:val="0"/>
      <w:divBdr>
        <w:top w:val="none" w:sz="0" w:space="0" w:color="auto"/>
        <w:left w:val="none" w:sz="0" w:space="0" w:color="auto"/>
        <w:bottom w:val="none" w:sz="0" w:space="0" w:color="auto"/>
        <w:right w:val="none" w:sz="0" w:space="0" w:color="auto"/>
      </w:divBdr>
      <w:divsChild>
        <w:div w:id="816845808">
          <w:marLeft w:val="0"/>
          <w:marRight w:val="0"/>
          <w:marTop w:val="120"/>
          <w:marBottom w:val="0"/>
          <w:divBdr>
            <w:top w:val="none" w:sz="0" w:space="0" w:color="auto"/>
            <w:left w:val="none" w:sz="0" w:space="0" w:color="auto"/>
            <w:bottom w:val="none" w:sz="0" w:space="0" w:color="auto"/>
            <w:right w:val="none" w:sz="0" w:space="0" w:color="auto"/>
          </w:divBdr>
        </w:div>
        <w:div w:id="20680714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AABE-512D-4AF0-BAB8-BB9F50D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9</cp:revision>
  <cp:lastPrinted>2022-09-21T13:11:00Z</cp:lastPrinted>
  <dcterms:created xsi:type="dcterms:W3CDTF">2022-09-22T06:53:00Z</dcterms:created>
  <dcterms:modified xsi:type="dcterms:W3CDTF">2022-12-26T14:02:00Z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f8f3eb9211dcccb95c4620ea8f27dc9406b258e45dbc96ee50767c6957cde1ad</vt:lpwstr>
  </property>
</Properties>
</file>