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19" w:rsidRDefault="00251F19" w:rsidP="00251F19">
      <w:pPr>
        <w:spacing w:line="360" w:lineRule="auto"/>
        <w:jc w:val="center"/>
        <w:rPr>
          <w:rFonts w:ascii="Raavi" w:eastAsia="Calibri" w:hAnsi="Raavi" w:cs="Raavi"/>
          <w:b/>
          <w:sz w:val="28"/>
          <w:szCs w:val="28"/>
          <w:u w:val="single"/>
        </w:rPr>
      </w:pPr>
      <w:r>
        <w:rPr>
          <w:noProof/>
          <w:lang w:eastAsia="en-ZA"/>
        </w:rPr>
        <w:drawing>
          <wp:inline distT="0" distB="0" distL="0" distR="0" wp14:anchorId="5E4B10B2" wp14:editId="00CC6711">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251F19" w:rsidRPr="004A2202" w:rsidRDefault="00251F19" w:rsidP="00251F19">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251F19" w:rsidRPr="004A2202" w:rsidRDefault="00251F19" w:rsidP="00251F19">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251F19" w:rsidRPr="004A2202" w:rsidTr="003B5E34">
        <w:tc>
          <w:tcPr>
            <w:tcW w:w="4428" w:type="dxa"/>
          </w:tcPr>
          <w:p w:rsidR="00251F19" w:rsidRPr="004A2202" w:rsidRDefault="00251F19" w:rsidP="003B5E34">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251F19" w:rsidRPr="004A2202" w:rsidRDefault="006F12C9" w:rsidP="003B5E34">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(1) REPORTABLE:  </w:t>
            </w:r>
            <w:r w:rsidR="00251F19" w:rsidRPr="004A2202">
              <w:rPr>
                <w:rFonts w:ascii="Times New Roman" w:eastAsia="Calibri" w:hAnsi="Times New Roman" w:cs="Times New Roman"/>
                <w:b/>
                <w:sz w:val="18"/>
                <w:szCs w:val="18"/>
              </w:rPr>
              <w:t>NO.</w:t>
            </w:r>
          </w:p>
          <w:p w:rsidR="00251F19" w:rsidRPr="004A2202" w:rsidRDefault="00251F19" w:rsidP="003B5E34">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w:t>
            </w:r>
            <w:r w:rsidR="006F12C9">
              <w:rPr>
                <w:rFonts w:ascii="Times New Roman" w:eastAsia="Calibri" w:hAnsi="Times New Roman" w:cs="Times New Roman"/>
                <w:b/>
                <w:sz w:val="18"/>
                <w:szCs w:val="18"/>
              </w:rPr>
              <w:t xml:space="preserve">NTEREST TO OTHER JUDGES:  </w:t>
            </w:r>
            <w:r w:rsidRPr="004A2202">
              <w:rPr>
                <w:rFonts w:ascii="Times New Roman" w:eastAsia="Calibri" w:hAnsi="Times New Roman" w:cs="Times New Roman"/>
                <w:b/>
                <w:sz w:val="18"/>
                <w:szCs w:val="18"/>
              </w:rPr>
              <w:t>NO.</w:t>
            </w:r>
          </w:p>
          <w:p w:rsidR="00251F19" w:rsidRDefault="00251F19" w:rsidP="003B5E34">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4C527D" w:rsidRPr="004A2202" w:rsidRDefault="004C527D" w:rsidP="003B5E34">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2022-09-20</w:t>
            </w:r>
          </w:p>
          <w:p w:rsidR="00251F19" w:rsidRPr="004A2202" w:rsidRDefault="00251F19" w:rsidP="003B5E34">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3440FD" w:rsidRDefault="0040301B" w:rsidP="00251F19">
      <w:pPr>
        <w:spacing w:line="360" w:lineRule="auto"/>
        <w:jc w:val="right"/>
        <w:rPr>
          <w:rFonts w:ascii="Raavi" w:eastAsia="Calibri" w:hAnsi="Raavi" w:cs="Raavi"/>
          <w:sz w:val="28"/>
          <w:szCs w:val="28"/>
        </w:rPr>
      </w:pPr>
      <w:r>
        <w:rPr>
          <w:rFonts w:ascii="Raavi" w:eastAsia="Calibri" w:hAnsi="Raavi" w:cs="Raavi"/>
          <w:sz w:val="28"/>
          <w:szCs w:val="28"/>
        </w:rPr>
        <w:t xml:space="preserve">Appeal Court </w:t>
      </w:r>
      <w:r w:rsidR="00251F19" w:rsidRPr="004A2202">
        <w:rPr>
          <w:rFonts w:ascii="Raavi" w:eastAsia="Calibri" w:hAnsi="Raavi" w:cs="Raavi"/>
          <w:sz w:val="28"/>
          <w:szCs w:val="28"/>
        </w:rPr>
        <w:t xml:space="preserve">Case </w:t>
      </w:r>
      <w:r w:rsidR="00251F19">
        <w:rPr>
          <w:rFonts w:ascii="Raavi" w:eastAsia="Calibri" w:hAnsi="Raavi" w:cs="Raavi"/>
          <w:sz w:val="28"/>
          <w:szCs w:val="28"/>
        </w:rPr>
        <w:t xml:space="preserve">Number:  </w:t>
      </w:r>
      <w:r w:rsidR="003440FD">
        <w:rPr>
          <w:rFonts w:ascii="Raavi" w:eastAsia="Calibri" w:hAnsi="Raavi" w:cs="Raavi"/>
          <w:sz w:val="28"/>
          <w:szCs w:val="28"/>
        </w:rPr>
        <w:t>A86/2021</w:t>
      </w:r>
    </w:p>
    <w:p w:rsidR="00251F19" w:rsidRPr="004A2202" w:rsidRDefault="003440FD" w:rsidP="00251F19">
      <w:pPr>
        <w:spacing w:line="360" w:lineRule="auto"/>
        <w:jc w:val="right"/>
        <w:rPr>
          <w:rFonts w:ascii="Raavi" w:eastAsia="Calibri" w:hAnsi="Raavi" w:cs="Raavi"/>
          <w:sz w:val="28"/>
          <w:szCs w:val="28"/>
        </w:rPr>
      </w:pPr>
      <w:r>
        <w:rPr>
          <w:rFonts w:ascii="Raavi" w:eastAsia="Calibri" w:hAnsi="Raavi" w:cs="Raavi"/>
          <w:sz w:val="28"/>
          <w:szCs w:val="28"/>
        </w:rPr>
        <w:t>Tax Court Case Number:  IT24852</w:t>
      </w:r>
      <w:r w:rsidR="00251F19">
        <w:rPr>
          <w:rFonts w:ascii="Raavi" w:eastAsia="Calibri" w:hAnsi="Raavi" w:cs="Raavi"/>
          <w:sz w:val="28"/>
          <w:szCs w:val="28"/>
        </w:rPr>
        <w:t xml:space="preserve"> </w:t>
      </w:r>
    </w:p>
    <w:p w:rsidR="00251F19" w:rsidRDefault="00251F19" w:rsidP="00251F19">
      <w:pPr>
        <w:spacing w:line="360" w:lineRule="auto"/>
        <w:jc w:val="both"/>
        <w:rPr>
          <w:rFonts w:ascii="Raavi" w:eastAsia="Calibri" w:hAnsi="Raavi" w:cs="Raavi"/>
          <w:sz w:val="28"/>
          <w:szCs w:val="28"/>
        </w:rPr>
      </w:pPr>
      <w:r w:rsidRPr="004A2202">
        <w:rPr>
          <w:rFonts w:ascii="Raavi" w:eastAsia="Calibri" w:hAnsi="Raavi" w:cs="Raavi"/>
          <w:sz w:val="28"/>
          <w:szCs w:val="28"/>
        </w:rPr>
        <w:t>In the matter between:</w:t>
      </w:r>
    </w:p>
    <w:p w:rsidR="00251F19" w:rsidRDefault="00251F19" w:rsidP="00251F19">
      <w:pPr>
        <w:spacing w:line="360" w:lineRule="auto"/>
        <w:rPr>
          <w:rFonts w:ascii="Raavi" w:hAnsi="Raavi" w:cs="Raavi"/>
          <w:b/>
          <w:sz w:val="28"/>
          <w:szCs w:val="28"/>
        </w:rPr>
      </w:pPr>
    </w:p>
    <w:p w:rsidR="003440FD" w:rsidRDefault="003440FD" w:rsidP="00251F19">
      <w:pPr>
        <w:spacing w:line="360" w:lineRule="auto"/>
        <w:rPr>
          <w:rFonts w:ascii="Raavi" w:hAnsi="Raavi" w:cs="Raavi"/>
          <w:b/>
          <w:sz w:val="28"/>
          <w:szCs w:val="28"/>
        </w:rPr>
      </w:pPr>
      <w:r>
        <w:rPr>
          <w:rFonts w:ascii="Raavi" w:hAnsi="Raavi" w:cs="Raavi"/>
          <w:b/>
          <w:sz w:val="28"/>
          <w:szCs w:val="28"/>
        </w:rPr>
        <w:t>PUMA ENERGY PROCUREMENT SOUTH AFRICA</w:t>
      </w:r>
    </w:p>
    <w:p w:rsidR="003440FD" w:rsidRPr="003440FD" w:rsidRDefault="003440FD" w:rsidP="00251F19">
      <w:pPr>
        <w:spacing w:line="360" w:lineRule="auto"/>
        <w:rPr>
          <w:rFonts w:ascii="Raavi" w:hAnsi="Raavi" w:cs="Raavi"/>
          <w:sz w:val="28"/>
          <w:szCs w:val="28"/>
        </w:rPr>
      </w:pPr>
      <w:r>
        <w:rPr>
          <w:rFonts w:ascii="Raavi" w:hAnsi="Raavi" w:cs="Raavi"/>
          <w:b/>
          <w:sz w:val="28"/>
          <w:szCs w:val="28"/>
        </w:rPr>
        <w:t xml:space="preserve">(PTY) LTD                                                                                                          </w:t>
      </w:r>
      <w:r>
        <w:rPr>
          <w:rFonts w:ascii="Raavi" w:hAnsi="Raavi" w:cs="Raavi"/>
          <w:sz w:val="28"/>
          <w:szCs w:val="28"/>
        </w:rPr>
        <w:t>Appellant</w:t>
      </w:r>
    </w:p>
    <w:p w:rsidR="00251F19" w:rsidRDefault="00251F19" w:rsidP="00251F19">
      <w:pPr>
        <w:spacing w:line="360" w:lineRule="auto"/>
        <w:rPr>
          <w:rFonts w:ascii="Raavi" w:hAnsi="Raavi" w:cs="Raavi"/>
          <w:b/>
          <w:sz w:val="28"/>
          <w:szCs w:val="28"/>
        </w:rPr>
      </w:pPr>
    </w:p>
    <w:p w:rsidR="00251F19" w:rsidRDefault="00251F19" w:rsidP="00251F19">
      <w:pPr>
        <w:spacing w:line="360" w:lineRule="auto"/>
        <w:rPr>
          <w:rFonts w:ascii="Raavi" w:hAnsi="Raavi" w:cs="Raavi"/>
          <w:b/>
          <w:sz w:val="28"/>
          <w:szCs w:val="28"/>
        </w:rPr>
      </w:pPr>
      <w:r>
        <w:rPr>
          <w:rFonts w:ascii="Raavi" w:hAnsi="Raavi" w:cs="Raavi"/>
          <w:b/>
          <w:sz w:val="28"/>
          <w:szCs w:val="28"/>
        </w:rPr>
        <w:t>and</w:t>
      </w:r>
    </w:p>
    <w:p w:rsidR="00251F19" w:rsidRDefault="00251F19" w:rsidP="00251F19">
      <w:pPr>
        <w:spacing w:line="360" w:lineRule="auto"/>
        <w:rPr>
          <w:rFonts w:ascii="Raavi" w:hAnsi="Raavi" w:cs="Raavi"/>
          <w:b/>
          <w:sz w:val="28"/>
          <w:szCs w:val="28"/>
        </w:rPr>
      </w:pPr>
    </w:p>
    <w:p w:rsidR="003440FD" w:rsidRDefault="003440FD" w:rsidP="00251F19">
      <w:pPr>
        <w:spacing w:line="360" w:lineRule="auto"/>
        <w:rPr>
          <w:rFonts w:ascii="Raavi" w:hAnsi="Raavi" w:cs="Raavi"/>
          <w:b/>
          <w:sz w:val="28"/>
          <w:szCs w:val="28"/>
        </w:rPr>
      </w:pPr>
      <w:r>
        <w:rPr>
          <w:rFonts w:ascii="Raavi" w:hAnsi="Raavi" w:cs="Raavi"/>
          <w:b/>
          <w:sz w:val="28"/>
          <w:szCs w:val="28"/>
        </w:rPr>
        <w:t>THE COMMISSIONER FOR THE SOUTH AFRICAN</w:t>
      </w:r>
    </w:p>
    <w:p w:rsidR="003440FD" w:rsidRPr="003440FD" w:rsidRDefault="003440FD" w:rsidP="00251F19">
      <w:pPr>
        <w:spacing w:line="360" w:lineRule="auto"/>
        <w:rPr>
          <w:rFonts w:ascii="Raavi" w:hAnsi="Raavi" w:cs="Raavi"/>
          <w:sz w:val="28"/>
          <w:szCs w:val="28"/>
        </w:rPr>
      </w:pPr>
      <w:r>
        <w:rPr>
          <w:rFonts w:ascii="Raavi" w:hAnsi="Raavi" w:cs="Raavi"/>
          <w:b/>
          <w:sz w:val="28"/>
          <w:szCs w:val="28"/>
        </w:rPr>
        <w:t xml:space="preserve">REVENUE SERVICE                                                                                     </w:t>
      </w:r>
      <w:r>
        <w:rPr>
          <w:rFonts w:ascii="Raavi" w:hAnsi="Raavi" w:cs="Raavi"/>
          <w:sz w:val="28"/>
          <w:szCs w:val="28"/>
        </w:rPr>
        <w:t>Respondent</w:t>
      </w:r>
    </w:p>
    <w:p w:rsidR="00251F19" w:rsidRDefault="00251F19" w:rsidP="00251F19">
      <w:pPr>
        <w:pBdr>
          <w:top w:val="single" w:sz="12" w:space="1" w:color="auto"/>
          <w:bottom w:val="single" w:sz="12" w:space="1" w:color="auto"/>
        </w:pBdr>
        <w:spacing w:line="240" w:lineRule="auto"/>
        <w:jc w:val="center"/>
        <w:rPr>
          <w:rFonts w:ascii="Raavi" w:hAnsi="Raavi" w:cs="Raavi"/>
          <w:b/>
          <w:sz w:val="28"/>
          <w:szCs w:val="28"/>
        </w:rPr>
      </w:pPr>
    </w:p>
    <w:p w:rsidR="00251F19" w:rsidRDefault="00251F19" w:rsidP="00251F19">
      <w:pPr>
        <w:pBdr>
          <w:top w:val="single" w:sz="12" w:space="1" w:color="auto"/>
          <w:bottom w:val="single" w:sz="12" w:space="1" w:color="auto"/>
        </w:pBdr>
        <w:spacing w:line="240" w:lineRule="auto"/>
        <w:jc w:val="center"/>
        <w:rPr>
          <w:rFonts w:ascii="Raavi" w:hAnsi="Raavi" w:cs="Raavi"/>
          <w:b/>
          <w:sz w:val="28"/>
          <w:szCs w:val="28"/>
        </w:rPr>
      </w:pPr>
      <w:r>
        <w:rPr>
          <w:rFonts w:ascii="Raavi" w:hAnsi="Raavi" w:cs="Raavi"/>
          <w:b/>
          <w:sz w:val="28"/>
          <w:szCs w:val="28"/>
        </w:rPr>
        <w:t>JUDGMENT</w:t>
      </w:r>
    </w:p>
    <w:p w:rsidR="00251F19" w:rsidRDefault="00251F19" w:rsidP="00251F19">
      <w:pPr>
        <w:pBdr>
          <w:top w:val="single" w:sz="12" w:space="1" w:color="auto"/>
          <w:bottom w:val="single" w:sz="12" w:space="1" w:color="auto"/>
        </w:pBdr>
        <w:spacing w:line="240" w:lineRule="auto"/>
        <w:jc w:val="center"/>
        <w:rPr>
          <w:rFonts w:ascii="Raavi" w:hAnsi="Raavi" w:cs="Raavi"/>
          <w:b/>
          <w:sz w:val="28"/>
          <w:szCs w:val="28"/>
        </w:rPr>
      </w:pPr>
    </w:p>
    <w:p w:rsidR="00251F19" w:rsidRDefault="00251F19" w:rsidP="00251F19">
      <w:pPr>
        <w:spacing w:line="360" w:lineRule="auto"/>
        <w:jc w:val="both"/>
        <w:rPr>
          <w:rFonts w:ascii="Raavi" w:hAnsi="Raavi" w:cs="Raavi"/>
          <w:b/>
          <w:sz w:val="28"/>
          <w:szCs w:val="28"/>
        </w:rPr>
      </w:pPr>
    </w:p>
    <w:p w:rsidR="00251F19" w:rsidRPr="00513BC3" w:rsidRDefault="00251F19" w:rsidP="00251F19">
      <w:pPr>
        <w:rPr>
          <w:rFonts w:ascii="Arial" w:hAnsi="Arial" w:cs="Arial"/>
          <w:b/>
          <w:sz w:val="28"/>
          <w:szCs w:val="28"/>
        </w:rPr>
      </w:pPr>
      <w:r w:rsidRPr="00513BC3">
        <w:rPr>
          <w:rFonts w:ascii="Arial" w:hAnsi="Arial" w:cs="Arial"/>
          <w:b/>
          <w:sz w:val="28"/>
          <w:szCs w:val="28"/>
        </w:rPr>
        <w:t>POTTERILL J</w:t>
      </w:r>
    </w:p>
    <w:p w:rsidR="00251F19" w:rsidRPr="00513BC3" w:rsidRDefault="00251F19" w:rsidP="00251F19">
      <w:pPr>
        <w:rPr>
          <w:rFonts w:ascii="Arial" w:hAnsi="Arial" w:cs="Arial"/>
          <w:b/>
          <w:sz w:val="28"/>
          <w:szCs w:val="28"/>
        </w:rPr>
      </w:pPr>
    </w:p>
    <w:p w:rsidR="00513BC3" w:rsidRPr="00513BC3" w:rsidRDefault="00513BC3" w:rsidP="00513BC3">
      <w:pPr>
        <w:spacing w:line="360" w:lineRule="auto"/>
        <w:ind w:firstLine="720"/>
        <w:rPr>
          <w:rFonts w:ascii="Arial" w:hAnsi="Arial" w:cs="Arial"/>
          <w:sz w:val="28"/>
          <w:szCs w:val="28"/>
          <w:u w:val="single"/>
        </w:rPr>
      </w:pPr>
      <w:r w:rsidRPr="00513BC3">
        <w:rPr>
          <w:rFonts w:ascii="Arial" w:hAnsi="Arial" w:cs="Arial"/>
          <w:sz w:val="28"/>
          <w:szCs w:val="28"/>
          <w:u w:val="single"/>
        </w:rPr>
        <w:t>Introduction</w:t>
      </w:r>
    </w:p>
    <w:p w:rsidR="00513BC3" w:rsidRDefault="00513BC3" w:rsidP="00513BC3">
      <w:pPr>
        <w:spacing w:line="360" w:lineRule="auto"/>
        <w:ind w:left="720" w:hanging="720"/>
        <w:jc w:val="both"/>
        <w:rPr>
          <w:rFonts w:ascii="Arial" w:hAnsi="Arial" w:cs="Arial"/>
          <w:sz w:val="28"/>
          <w:szCs w:val="28"/>
        </w:rPr>
      </w:pPr>
      <w:r w:rsidRPr="00513BC3">
        <w:rPr>
          <w:rFonts w:ascii="Arial" w:hAnsi="Arial" w:cs="Arial"/>
          <w:sz w:val="28"/>
          <w:szCs w:val="28"/>
        </w:rPr>
        <w:t>[1]</w:t>
      </w:r>
      <w:r w:rsidRPr="00513BC3">
        <w:rPr>
          <w:rFonts w:ascii="Arial" w:hAnsi="Arial" w:cs="Arial"/>
          <w:sz w:val="28"/>
          <w:szCs w:val="28"/>
        </w:rPr>
        <w:tab/>
        <w:t>The Appellant, Puma Energy Procurement South Africa Proprietary Limited [Puma] is a licenced and limited risk distributor of fuel for purposes of s64F of the Custom</w:t>
      </w:r>
      <w:r>
        <w:rPr>
          <w:rFonts w:ascii="Arial" w:hAnsi="Arial" w:cs="Arial"/>
          <w:sz w:val="28"/>
          <w:szCs w:val="28"/>
        </w:rPr>
        <w:t>s and Excise Act No 91 of 1964 [</w:t>
      </w:r>
      <w:r w:rsidRPr="00513BC3">
        <w:rPr>
          <w:rFonts w:ascii="Arial" w:hAnsi="Arial" w:cs="Arial"/>
          <w:sz w:val="28"/>
          <w:szCs w:val="28"/>
        </w:rPr>
        <w:t>the CEA]. For the tax period of 2011 to 2015 Puma sourced and purchased fuel from South African refineries for resale to customers outside South African borders. Excepting for the purchase price, Puma was also required to pay an amount representing excise duties and levies. In terms of the CEA an exporter of fuel, like Puma, when complying with the conditions of the CEA, is entitled to a refund of the</w:t>
      </w:r>
      <w:r w:rsidR="009C4503">
        <w:rPr>
          <w:rFonts w:ascii="Arial" w:hAnsi="Arial" w:cs="Arial"/>
          <w:sz w:val="28"/>
          <w:szCs w:val="28"/>
        </w:rPr>
        <w:t>se</w:t>
      </w:r>
      <w:r w:rsidRPr="00513BC3">
        <w:rPr>
          <w:rFonts w:ascii="Arial" w:hAnsi="Arial" w:cs="Arial"/>
          <w:sz w:val="28"/>
          <w:szCs w:val="28"/>
        </w:rPr>
        <w:t xml:space="preserve"> excise duties or levies paid.</w:t>
      </w:r>
    </w:p>
    <w:p w:rsidR="00513BC3" w:rsidRPr="00513BC3" w:rsidRDefault="00513BC3" w:rsidP="00513BC3">
      <w:pPr>
        <w:spacing w:line="360" w:lineRule="auto"/>
        <w:ind w:left="720" w:hanging="720"/>
        <w:jc w:val="both"/>
        <w:rPr>
          <w:rFonts w:ascii="Arial" w:hAnsi="Arial" w:cs="Arial"/>
          <w:sz w:val="28"/>
          <w:szCs w:val="28"/>
        </w:rPr>
      </w:pPr>
    </w:p>
    <w:p w:rsidR="00513BC3" w:rsidRDefault="00513BC3" w:rsidP="00513BC3">
      <w:pPr>
        <w:spacing w:line="360" w:lineRule="auto"/>
        <w:ind w:left="720" w:hanging="720"/>
        <w:jc w:val="both"/>
        <w:rPr>
          <w:rFonts w:ascii="Arial" w:hAnsi="Arial" w:cs="Arial"/>
          <w:sz w:val="28"/>
          <w:szCs w:val="28"/>
        </w:rPr>
      </w:pPr>
      <w:r w:rsidRPr="00513BC3">
        <w:rPr>
          <w:rFonts w:ascii="Arial" w:hAnsi="Arial" w:cs="Arial"/>
          <w:sz w:val="28"/>
          <w:szCs w:val="28"/>
        </w:rPr>
        <w:t>[2]</w:t>
      </w:r>
      <w:r w:rsidRPr="00513BC3">
        <w:rPr>
          <w:rFonts w:ascii="Arial" w:hAnsi="Arial" w:cs="Arial"/>
          <w:sz w:val="28"/>
          <w:szCs w:val="28"/>
        </w:rPr>
        <w:tab/>
        <w:t>Puma claimed such refund for the 2015 income tax year assessment, but the Respondent [SARS] rejected the claim for the refund citing prescription as the reason for the rejection; it was claimed outside of the two-year period allowed in terms of 76B of the CEA.</w:t>
      </w:r>
    </w:p>
    <w:p w:rsidR="00513BC3" w:rsidRPr="00513BC3" w:rsidRDefault="00513BC3" w:rsidP="00513BC3">
      <w:pPr>
        <w:spacing w:line="360" w:lineRule="auto"/>
        <w:ind w:left="720" w:hanging="720"/>
        <w:jc w:val="both"/>
        <w:rPr>
          <w:rFonts w:ascii="Arial" w:hAnsi="Arial" w:cs="Arial"/>
          <w:sz w:val="28"/>
          <w:szCs w:val="28"/>
        </w:rPr>
      </w:pPr>
    </w:p>
    <w:p w:rsidR="00513BC3" w:rsidRDefault="00F43BF7" w:rsidP="00513BC3">
      <w:pPr>
        <w:spacing w:line="360" w:lineRule="auto"/>
        <w:ind w:left="720" w:hanging="720"/>
        <w:jc w:val="both"/>
        <w:rPr>
          <w:rFonts w:ascii="Arial" w:hAnsi="Arial" w:cs="Arial"/>
          <w:sz w:val="28"/>
          <w:szCs w:val="28"/>
        </w:rPr>
      </w:pPr>
      <w:r>
        <w:rPr>
          <w:rFonts w:ascii="Arial" w:hAnsi="Arial" w:cs="Arial"/>
          <w:sz w:val="28"/>
          <w:szCs w:val="28"/>
        </w:rPr>
        <w:lastRenderedPageBreak/>
        <w:t>[3]</w:t>
      </w:r>
      <w:r>
        <w:rPr>
          <w:rFonts w:ascii="Arial" w:hAnsi="Arial" w:cs="Arial"/>
          <w:sz w:val="28"/>
          <w:szCs w:val="28"/>
        </w:rPr>
        <w:tab/>
        <w:t>Puma resorted to reflecting</w:t>
      </w:r>
      <w:r w:rsidR="00513BC3" w:rsidRPr="00513BC3">
        <w:rPr>
          <w:rFonts w:ascii="Arial" w:hAnsi="Arial" w:cs="Arial"/>
          <w:sz w:val="28"/>
          <w:szCs w:val="28"/>
        </w:rPr>
        <w:t xml:space="preserve"> the rejected claim for the lev</w:t>
      </w:r>
      <w:r w:rsidR="008F0FD8">
        <w:rPr>
          <w:rFonts w:ascii="Arial" w:hAnsi="Arial" w:cs="Arial"/>
          <w:sz w:val="28"/>
          <w:szCs w:val="28"/>
        </w:rPr>
        <w:t>ies and duties as a deduction for</w:t>
      </w:r>
      <w:r w:rsidR="00513BC3" w:rsidRPr="00513BC3">
        <w:rPr>
          <w:rFonts w:ascii="Arial" w:hAnsi="Arial" w:cs="Arial"/>
          <w:sz w:val="28"/>
          <w:szCs w:val="28"/>
        </w:rPr>
        <w:t xml:space="preserve"> a loss in its 2015 </w:t>
      </w:r>
      <w:r w:rsidR="00513BC3">
        <w:rPr>
          <w:rFonts w:ascii="Arial" w:hAnsi="Arial" w:cs="Arial"/>
          <w:sz w:val="28"/>
          <w:szCs w:val="28"/>
        </w:rPr>
        <w:t>income tax return in terms of s</w:t>
      </w:r>
      <w:r w:rsidR="00812C5F">
        <w:rPr>
          <w:rFonts w:ascii="Arial" w:hAnsi="Arial" w:cs="Arial"/>
          <w:sz w:val="28"/>
          <w:szCs w:val="28"/>
        </w:rPr>
        <w:t xml:space="preserve">11(a) of the Income Tax Act </w:t>
      </w:r>
      <w:r w:rsidR="00513BC3" w:rsidRPr="00513BC3">
        <w:rPr>
          <w:rFonts w:ascii="Arial" w:hAnsi="Arial" w:cs="Arial"/>
          <w:sz w:val="28"/>
          <w:szCs w:val="28"/>
        </w:rPr>
        <w:t>58 of 1962 [the Tax Act</w:t>
      </w:r>
      <w:r w:rsidR="00AB77D3" w:rsidRPr="00513BC3">
        <w:rPr>
          <w:rFonts w:ascii="Arial" w:hAnsi="Arial" w:cs="Arial"/>
          <w:sz w:val="28"/>
          <w:szCs w:val="28"/>
        </w:rPr>
        <w:t>]. Pursuant</w:t>
      </w:r>
      <w:r w:rsidR="00513BC3" w:rsidRPr="00513BC3">
        <w:rPr>
          <w:rFonts w:ascii="Arial" w:hAnsi="Arial" w:cs="Arial"/>
          <w:sz w:val="28"/>
          <w:szCs w:val="28"/>
        </w:rPr>
        <w:t xml:space="preserve"> to an income tax audit of Puma’s 2015 income tax year of assessment, SARS disallowed the deduction of the loss claimed in the amount of R38 831 547.40 and levied understatement penalties at the rate of 10</w:t>
      </w:r>
      <w:r w:rsidR="00513BC3">
        <w:rPr>
          <w:rFonts w:ascii="Arial" w:hAnsi="Arial" w:cs="Arial"/>
          <w:sz w:val="28"/>
          <w:szCs w:val="28"/>
        </w:rPr>
        <w:t xml:space="preserve"> </w:t>
      </w:r>
      <w:r w:rsidR="00513BC3" w:rsidRPr="00513BC3">
        <w:rPr>
          <w:rFonts w:ascii="Arial" w:hAnsi="Arial" w:cs="Arial"/>
          <w:sz w:val="28"/>
          <w:szCs w:val="28"/>
        </w:rPr>
        <w:t>% on the basis that there existed a substantial understatement.</w:t>
      </w:r>
    </w:p>
    <w:p w:rsidR="00513BC3" w:rsidRPr="00513BC3" w:rsidRDefault="00513BC3" w:rsidP="00513BC3">
      <w:pPr>
        <w:spacing w:line="360" w:lineRule="auto"/>
        <w:ind w:left="720" w:hanging="720"/>
        <w:jc w:val="both"/>
        <w:rPr>
          <w:rFonts w:ascii="Arial" w:hAnsi="Arial" w:cs="Arial"/>
          <w:sz w:val="28"/>
          <w:szCs w:val="28"/>
        </w:rPr>
      </w:pPr>
    </w:p>
    <w:p w:rsidR="00513BC3" w:rsidRDefault="00513BC3" w:rsidP="00513BC3">
      <w:pPr>
        <w:spacing w:line="360" w:lineRule="auto"/>
        <w:ind w:left="720" w:hanging="720"/>
        <w:jc w:val="both"/>
        <w:rPr>
          <w:rFonts w:ascii="Arial" w:hAnsi="Arial" w:cs="Arial"/>
          <w:sz w:val="28"/>
          <w:szCs w:val="28"/>
        </w:rPr>
      </w:pPr>
      <w:r w:rsidRPr="00513BC3">
        <w:rPr>
          <w:rFonts w:ascii="Arial" w:hAnsi="Arial" w:cs="Arial"/>
          <w:sz w:val="28"/>
          <w:szCs w:val="28"/>
        </w:rPr>
        <w:t>[4]</w:t>
      </w:r>
      <w:r w:rsidRPr="00513BC3">
        <w:rPr>
          <w:rFonts w:ascii="Arial" w:hAnsi="Arial" w:cs="Arial"/>
          <w:sz w:val="28"/>
          <w:szCs w:val="28"/>
        </w:rPr>
        <w:tab/>
        <w:t xml:space="preserve">Puma lodged an appeal to the Tax Court. SARS submitted that Puma sought to circumvent the prescription of the custom refunds by claiming the prescribed claims in the income tax return. </w:t>
      </w:r>
    </w:p>
    <w:p w:rsidR="00513BC3" w:rsidRPr="00513BC3" w:rsidRDefault="00513BC3" w:rsidP="00513BC3">
      <w:pPr>
        <w:spacing w:line="360" w:lineRule="auto"/>
        <w:ind w:left="720" w:hanging="720"/>
        <w:jc w:val="both"/>
        <w:rPr>
          <w:rFonts w:ascii="Arial" w:hAnsi="Arial" w:cs="Arial"/>
          <w:sz w:val="28"/>
          <w:szCs w:val="28"/>
        </w:rPr>
      </w:pPr>
    </w:p>
    <w:p w:rsidR="00513BC3" w:rsidRDefault="00513BC3" w:rsidP="00513BC3">
      <w:pPr>
        <w:spacing w:line="360" w:lineRule="auto"/>
        <w:ind w:left="720" w:hanging="720"/>
        <w:jc w:val="both"/>
        <w:rPr>
          <w:rFonts w:ascii="Arial" w:hAnsi="Arial" w:cs="Arial"/>
          <w:i/>
          <w:sz w:val="28"/>
          <w:szCs w:val="28"/>
        </w:rPr>
      </w:pPr>
      <w:r w:rsidRPr="00513BC3">
        <w:rPr>
          <w:rFonts w:ascii="Arial" w:hAnsi="Arial" w:cs="Arial"/>
          <w:sz w:val="28"/>
          <w:szCs w:val="28"/>
        </w:rPr>
        <w:t>[5]</w:t>
      </w:r>
      <w:r w:rsidRPr="00513BC3">
        <w:rPr>
          <w:rFonts w:ascii="Arial" w:hAnsi="Arial" w:cs="Arial"/>
          <w:sz w:val="28"/>
          <w:szCs w:val="28"/>
        </w:rPr>
        <w:tab/>
        <w:t xml:space="preserve">On the day of the hearing SARS proceeded to argue a point </w:t>
      </w:r>
      <w:r w:rsidRPr="00513BC3">
        <w:rPr>
          <w:rFonts w:ascii="Arial" w:hAnsi="Arial" w:cs="Arial"/>
          <w:i/>
          <w:sz w:val="28"/>
          <w:szCs w:val="28"/>
        </w:rPr>
        <w:t xml:space="preserve">in </w:t>
      </w:r>
      <w:proofErr w:type="spellStart"/>
      <w:r w:rsidRPr="00513BC3">
        <w:rPr>
          <w:rFonts w:ascii="Arial" w:hAnsi="Arial" w:cs="Arial"/>
          <w:i/>
          <w:sz w:val="28"/>
          <w:szCs w:val="28"/>
        </w:rPr>
        <w:t>limine</w:t>
      </w:r>
      <w:proofErr w:type="spellEnd"/>
      <w:r w:rsidRPr="00513BC3">
        <w:rPr>
          <w:rFonts w:ascii="Arial" w:hAnsi="Arial" w:cs="Arial"/>
          <w:sz w:val="28"/>
          <w:szCs w:val="28"/>
        </w:rPr>
        <w:t xml:space="preserve"> that the claims in terms of the CEA had prescribed and if the point </w:t>
      </w:r>
      <w:r w:rsidRPr="00513BC3">
        <w:rPr>
          <w:rFonts w:ascii="Arial" w:hAnsi="Arial" w:cs="Arial"/>
          <w:i/>
          <w:sz w:val="28"/>
          <w:szCs w:val="28"/>
        </w:rPr>
        <w:t xml:space="preserve">in </w:t>
      </w:r>
      <w:proofErr w:type="spellStart"/>
      <w:r w:rsidRPr="00513BC3">
        <w:rPr>
          <w:rFonts w:ascii="Arial" w:hAnsi="Arial" w:cs="Arial"/>
          <w:i/>
          <w:sz w:val="28"/>
          <w:szCs w:val="28"/>
        </w:rPr>
        <w:t>limine</w:t>
      </w:r>
      <w:proofErr w:type="spellEnd"/>
      <w:r w:rsidRPr="00513BC3">
        <w:rPr>
          <w:rFonts w:ascii="Arial" w:hAnsi="Arial" w:cs="Arial"/>
          <w:sz w:val="28"/>
          <w:szCs w:val="28"/>
        </w:rPr>
        <w:t xml:space="preserve"> was upheld it would end the matter there. Puma objected to this approach and submitted that no preliminary points were pleaded in SARS’ s rule 31 or 33 statements. However, the court entertained the point </w:t>
      </w:r>
      <w:r w:rsidRPr="00513BC3">
        <w:rPr>
          <w:rFonts w:ascii="Arial" w:hAnsi="Arial" w:cs="Arial"/>
          <w:i/>
          <w:sz w:val="28"/>
          <w:szCs w:val="28"/>
        </w:rPr>
        <w:t xml:space="preserve">in </w:t>
      </w:r>
      <w:proofErr w:type="spellStart"/>
      <w:r w:rsidRPr="00513BC3">
        <w:rPr>
          <w:rFonts w:ascii="Arial" w:hAnsi="Arial" w:cs="Arial"/>
          <w:i/>
          <w:sz w:val="28"/>
          <w:szCs w:val="28"/>
        </w:rPr>
        <w:t>limine</w:t>
      </w:r>
      <w:proofErr w:type="spellEnd"/>
      <w:r w:rsidRPr="00513BC3">
        <w:rPr>
          <w:rFonts w:ascii="Arial" w:hAnsi="Arial" w:cs="Arial"/>
          <w:sz w:val="28"/>
          <w:szCs w:val="28"/>
        </w:rPr>
        <w:t xml:space="preserve"> on prescription only defining the issue as whether </w:t>
      </w:r>
      <w:r w:rsidRPr="00513BC3">
        <w:rPr>
          <w:rFonts w:ascii="Arial" w:hAnsi="Arial" w:cs="Arial"/>
          <w:i/>
          <w:sz w:val="28"/>
          <w:szCs w:val="28"/>
        </w:rPr>
        <w:t>“… a prescribed claim for refunds under the Customs and Excise Act may be revived by simply lodging a claim for deduction in terms of section 11(a).”</w:t>
      </w:r>
    </w:p>
    <w:p w:rsidR="00513BC3" w:rsidRPr="00513BC3" w:rsidRDefault="00513BC3" w:rsidP="00513BC3">
      <w:pPr>
        <w:spacing w:line="360" w:lineRule="auto"/>
        <w:ind w:left="720" w:hanging="720"/>
        <w:jc w:val="both"/>
        <w:rPr>
          <w:rFonts w:ascii="Arial" w:hAnsi="Arial" w:cs="Arial"/>
          <w:i/>
          <w:sz w:val="28"/>
          <w:szCs w:val="28"/>
        </w:rPr>
      </w:pPr>
    </w:p>
    <w:p w:rsidR="00513BC3" w:rsidRP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[6</w:t>
      </w:r>
      <w:r w:rsidRPr="00513BC3">
        <w:rPr>
          <w:rFonts w:ascii="Arial" w:hAnsi="Arial" w:cs="Arial"/>
          <w:sz w:val="28"/>
          <w:szCs w:val="28"/>
        </w:rPr>
        <w:t>]</w:t>
      </w:r>
      <w:r w:rsidRPr="00513BC3">
        <w:rPr>
          <w:rFonts w:ascii="Arial" w:hAnsi="Arial" w:cs="Arial"/>
          <w:sz w:val="28"/>
          <w:szCs w:val="28"/>
        </w:rPr>
        <w:tab/>
        <w:t xml:space="preserve">The court went a step further and not only decided the point </w:t>
      </w:r>
      <w:r w:rsidRPr="00513BC3">
        <w:rPr>
          <w:rFonts w:ascii="Arial" w:hAnsi="Arial" w:cs="Arial"/>
          <w:i/>
          <w:sz w:val="28"/>
          <w:szCs w:val="28"/>
        </w:rPr>
        <w:t xml:space="preserve">in </w:t>
      </w:r>
      <w:proofErr w:type="spellStart"/>
      <w:r w:rsidRPr="00513BC3">
        <w:rPr>
          <w:rFonts w:ascii="Arial" w:hAnsi="Arial" w:cs="Arial"/>
          <w:i/>
          <w:sz w:val="28"/>
          <w:szCs w:val="28"/>
        </w:rPr>
        <w:t>limine</w:t>
      </w:r>
      <w:proofErr w:type="spellEnd"/>
      <w:r w:rsidRPr="00513BC3">
        <w:rPr>
          <w:rFonts w:ascii="Arial" w:hAnsi="Arial" w:cs="Arial"/>
          <w:sz w:val="28"/>
          <w:szCs w:val="28"/>
        </w:rPr>
        <w:t xml:space="preserve"> but also, without affording address on the issue confirmed the </w:t>
      </w:r>
      <w:r w:rsidRPr="00513BC3">
        <w:rPr>
          <w:rFonts w:ascii="Arial" w:hAnsi="Arial" w:cs="Arial"/>
          <w:sz w:val="28"/>
          <w:szCs w:val="28"/>
        </w:rPr>
        <w:lastRenderedPageBreak/>
        <w:t xml:space="preserve">additional assessment of 2015. SARS </w:t>
      </w:r>
      <w:r w:rsidR="00AB77D3">
        <w:rPr>
          <w:rFonts w:ascii="Arial" w:hAnsi="Arial" w:cs="Arial"/>
          <w:sz w:val="28"/>
          <w:szCs w:val="28"/>
        </w:rPr>
        <w:t xml:space="preserve">in argument </w:t>
      </w:r>
      <w:r w:rsidRPr="00513BC3">
        <w:rPr>
          <w:rFonts w:ascii="Arial" w:hAnsi="Arial" w:cs="Arial"/>
          <w:sz w:val="28"/>
          <w:szCs w:val="28"/>
        </w:rPr>
        <w:t>conceded that paragraph 19 of the order of the Tax Court must be set aside.</w:t>
      </w:r>
    </w:p>
    <w:p w:rsidR="00513BC3" w:rsidRPr="00513BC3" w:rsidRDefault="00513BC3" w:rsidP="00513BC3">
      <w:pPr>
        <w:spacing w:line="360" w:lineRule="auto"/>
        <w:ind w:left="720" w:hanging="720"/>
        <w:jc w:val="both"/>
        <w:rPr>
          <w:rFonts w:ascii="Arial" w:hAnsi="Arial" w:cs="Arial"/>
          <w:sz w:val="28"/>
          <w:szCs w:val="28"/>
        </w:rPr>
      </w:pPr>
    </w:p>
    <w:p w:rsidR="00513BC3" w:rsidRPr="00513BC3" w:rsidRDefault="00513BC3" w:rsidP="00513BC3">
      <w:pPr>
        <w:spacing w:line="360" w:lineRule="auto"/>
        <w:ind w:left="720"/>
        <w:jc w:val="both"/>
        <w:rPr>
          <w:rFonts w:ascii="Arial" w:hAnsi="Arial" w:cs="Arial"/>
          <w:sz w:val="28"/>
          <w:szCs w:val="28"/>
          <w:u w:val="single"/>
        </w:rPr>
      </w:pPr>
      <w:r w:rsidRPr="00513BC3">
        <w:rPr>
          <w:rFonts w:ascii="Arial" w:hAnsi="Arial" w:cs="Arial"/>
          <w:sz w:val="28"/>
          <w:szCs w:val="28"/>
          <w:u w:val="single"/>
        </w:rPr>
        <w:t>The legislative framework</w:t>
      </w:r>
    </w:p>
    <w:p w:rsidR="00513BC3" w:rsidRP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 xml:space="preserve"> [7</w:t>
      </w:r>
      <w:r w:rsidRPr="00513BC3">
        <w:rPr>
          <w:rFonts w:ascii="Arial" w:hAnsi="Arial" w:cs="Arial"/>
          <w:sz w:val="28"/>
          <w:szCs w:val="28"/>
        </w:rPr>
        <w:t>]</w:t>
      </w:r>
      <w:r w:rsidRPr="00513BC3">
        <w:rPr>
          <w:rFonts w:ascii="Arial" w:hAnsi="Arial" w:cs="Arial"/>
          <w:sz w:val="28"/>
          <w:szCs w:val="28"/>
        </w:rPr>
        <w:tab/>
        <w:t>Section 10(1) of t</w:t>
      </w:r>
      <w:r w:rsidR="00812C5F">
        <w:rPr>
          <w:rFonts w:ascii="Arial" w:hAnsi="Arial" w:cs="Arial"/>
          <w:sz w:val="28"/>
          <w:szCs w:val="28"/>
        </w:rPr>
        <w:t>he Prescription Act 68 of 1969 [</w:t>
      </w:r>
      <w:r w:rsidRPr="00513BC3">
        <w:rPr>
          <w:rFonts w:ascii="Arial" w:hAnsi="Arial" w:cs="Arial"/>
          <w:sz w:val="28"/>
          <w:szCs w:val="28"/>
        </w:rPr>
        <w:t>the Prescription Act] provides:</w:t>
      </w:r>
    </w:p>
    <w:p w:rsidR="00513BC3" w:rsidRPr="00513BC3" w:rsidRDefault="00513BC3" w:rsidP="00513BC3">
      <w:pPr>
        <w:spacing w:line="360" w:lineRule="auto"/>
        <w:ind w:left="720" w:firstLine="720"/>
        <w:jc w:val="both"/>
        <w:rPr>
          <w:rFonts w:ascii="Arial" w:hAnsi="Arial" w:cs="Arial"/>
          <w:i/>
          <w:sz w:val="28"/>
          <w:szCs w:val="28"/>
        </w:rPr>
      </w:pPr>
      <w:r w:rsidRPr="00513BC3">
        <w:rPr>
          <w:rFonts w:ascii="Arial" w:hAnsi="Arial" w:cs="Arial"/>
          <w:i/>
          <w:sz w:val="28"/>
          <w:szCs w:val="28"/>
        </w:rPr>
        <w:t>“10</w:t>
      </w:r>
      <w:r w:rsidR="005460DD">
        <w:rPr>
          <w:rFonts w:ascii="Arial" w:hAnsi="Arial" w:cs="Arial"/>
          <w:i/>
          <w:sz w:val="28"/>
          <w:szCs w:val="28"/>
        </w:rPr>
        <w:t>.</w:t>
      </w:r>
      <w:r w:rsidRPr="00513BC3">
        <w:rPr>
          <w:rFonts w:ascii="Arial" w:hAnsi="Arial" w:cs="Arial"/>
          <w:i/>
          <w:sz w:val="28"/>
          <w:szCs w:val="28"/>
        </w:rPr>
        <w:tab/>
        <w:t>Extinction of debts by prescription</w:t>
      </w:r>
    </w:p>
    <w:p w:rsidR="00513BC3" w:rsidRPr="00513BC3" w:rsidRDefault="00513BC3" w:rsidP="00513BC3">
      <w:pPr>
        <w:pStyle w:val="ListParagraph"/>
        <w:numPr>
          <w:ilvl w:val="0"/>
          <w:numId w:val="2"/>
        </w:numPr>
        <w:spacing w:line="360" w:lineRule="auto"/>
        <w:jc w:val="both"/>
        <w:rPr>
          <w:rFonts w:ascii="Arial" w:hAnsi="Arial" w:cs="Arial"/>
          <w:i/>
          <w:sz w:val="28"/>
          <w:szCs w:val="28"/>
        </w:rPr>
      </w:pPr>
      <w:r w:rsidRPr="00513BC3">
        <w:rPr>
          <w:rFonts w:ascii="Arial" w:hAnsi="Arial" w:cs="Arial"/>
          <w:i/>
          <w:sz w:val="28"/>
          <w:szCs w:val="28"/>
        </w:rPr>
        <w:t xml:space="preserve">Subject to the provisions of this Chapter and of Chapter IV, a debt shall be extinguished by prescription after </w:t>
      </w:r>
      <w:r w:rsidR="005460DD">
        <w:rPr>
          <w:rFonts w:ascii="Arial" w:hAnsi="Arial" w:cs="Arial"/>
          <w:i/>
          <w:sz w:val="28"/>
          <w:szCs w:val="28"/>
        </w:rPr>
        <w:t xml:space="preserve">the </w:t>
      </w:r>
      <w:r w:rsidRPr="00513BC3">
        <w:rPr>
          <w:rFonts w:ascii="Arial" w:hAnsi="Arial" w:cs="Arial"/>
          <w:i/>
          <w:sz w:val="28"/>
          <w:szCs w:val="28"/>
        </w:rPr>
        <w:t>lapse of the period which in terms of the relevant law applies in respect of the prescription of such debt.”</w:t>
      </w:r>
    </w:p>
    <w:p w:rsidR="00513BC3" w:rsidRDefault="00513BC3" w:rsidP="00513BC3">
      <w:pPr>
        <w:spacing w:line="360" w:lineRule="auto"/>
        <w:ind w:left="720" w:hanging="720"/>
        <w:jc w:val="both"/>
        <w:rPr>
          <w:rFonts w:ascii="Arial" w:hAnsi="Arial" w:cs="Arial"/>
          <w:sz w:val="28"/>
          <w:szCs w:val="28"/>
        </w:rPr>
      </w:pPr>
    </w:p>
    <w:p w:rsidR="00513BC3" w:rsidRPr="00513BC3" w:rsidRDefault="00513BC3" w:rsidP="00513BC3">
      <w:pPr>
        <w:spacing w:line="360" w:lineRule="auto"/>
        <w:ind w:left="720"/>
        <w:jc w:val="both"/>
        <w:rPr>
          <w:rFonts w:ascii="Arial" w:hAnsi="Arial" w:cs="Arial"/>
          <w:sz w:val="28"/>
          <w:szCs w:val="28"/>
        </w:rPr>
      </w:pPr>
      <w:r w:rsidRPr="00513BC3">
        <w:rPr>
          <w:rFonts w:ascii="Arial" w:hAnsi="Arial" w:cs="Arial"/>
          <w:sz w:val="28"/>
          <w:szCs w:val="28"/>
        </w:rPr>
        <w:t>S11 of the Tax Act provides:</w:t>
      </w:r>
    </w:p>
    <w:p w:rsidR="00513BC3" w:rsidRPr="00513BC3" w:rsidRDefault="00513BC3" w:rsidP="00513BC3">
      <w:pPr>
        <w:spacing w:line="360" w:lineRule="auto"/>
        <w:ind w:left="2160" w:hanging="720"/>
        <w:jc w:val="both"/>
        <w:rPr>
          <w:rFonts w:ascii="Arial" w:hAnsi="Arial" w:cs="Arial"/>
          <w:i/>
          <w:sz w:val="28"/>
          <w:szCs w:val="28"/>
        </w:rPr>
      </w:pPr>
      <w:r w:rsidRPr="00513BC3">
        <w:rPr>
          <w:rFonts w:ascii="Arial" w:hAnsi="Arial" w:cs="Arial"/>
          <w:i/>
          <w:sz w:val="28"/>
          <w:szCs w:val="28"/>
        </w:rPr>
        <w:t>“11</w:t>
      </w:r>
      <w:r w:rsidR="00255359">
        <w:rPr>
          <w:rFonts w:ascii="Arial" w:hAnsi="Arial" w:cs="Arial"/>
          <w:i/>
          <w:sz w:val="28"/>
          <w:szCs w:val="28"/>
        </w:rPr>
        <w:t>.</w:t>
      </w:r>
      <w:r w:rsidRPr="00513BC3">
        <w:rPr>
          <w:rFonts w:ascii="Arial" w:hAnsi="Arial" w:cs="Arial"/>
          <w:i/>
          <w:sz w:val="28"/>
          <w:szCs w:val="28"/>
        </w:rPr>
        <w:tab/>
        <w:t>General deductions allowed in determination of taxable income</w:t>
      </w:r>
    </w:p>
    <w:p w:rsidR="00513BC3" w:rsidRPr="00513BC3" w:rsidRDefault="00513BC3" w:rsidP="00513BC3">
      <w:pPr>
        <w:spacing w:line="360" w:lineRule="auto"/>
        <w:ind w:left="2160"/>
        <w:jc w:val="both"/>
        <w:rPr>
          <w:rFonts w:ascii="Arial" w:hAnsi="Arial" w:cs="Arial"/>
          <w:i/>
          <w:sz w:val="28"/>
          <w:szCs w:val="28"/>
        </w:rPr>
      </w:pPr>
      <w:r w:rsidRPr="00513BC3">
        <w:rPr>
          <w:rFonts w:ascii="Arial" w:hAnsi="Arial" w:cs="Arial"/>
          <w:i/>
          <w:sz w:val="28"/>
          <w:szCs w:val="28"/>
        </w:rPr>
        <w:t>For the purpose of determining the taxable income derived by any person from carrying on any trade, there shall be allowed as deductions from the income of such person so derived</w:t>
      </w:r>
      <w:r w:rsidR="00255359">
        <w:rPr>
          <w:rFonts w:ascii="Arial" w:hAnsi="Arial" w:cs="Arial"/>
          <w:i/>
          <w:sz w:val="28"/>
          <w:szCs w:val="28"/>
        </w:rPr>
        <w:t xml:space="preserve"> </w:t>
      </w:r>
      <w:r w:rsidRPr="00513BC3">
        <w:rPr>
          <w:rFonts w:ascii="Arial" w:hAnsi="Arial" w:cs="Arial"/>
          <w:i/>
          <w:sz w:val="28"/>
          <w:szCs w:val="28"/>
        </w:rPr>
        <w:t>-</w:t>
      </w:r>
    </w:p>
    <w:p w:rsidR="00513BC3" w:rsidRPr="00513BC3" w:rsidRDefault="00255359" w:rsidP="00513BC3">
      <w:pPr>
        <w:pStyle w:val="ListParagraph"/>
        <w:numPr>
          <w:ilvl w:val="0"/>
          <w:numId w:val="1"/>
        </w:numPr>
        <w:spacing w:line="360" w:lineRule="auto"/>
        <w:jc w:val="both"/>
        <w:rPr>
          <w:rFonts w:ascii="Arial" w:hAnsi="Arial" w:cs="Arial"/>
          <w:i/>
          <w:sz w:val="28"/>
          <w:szCs w:val="28"/>
        </w:rPr>
      </w:pPr>
      <w:r>
        <w:rPr>
          <w:rFonts w:ascii="Arial" w:hAnsi="Arial" w:cs="Arial"/>
          <w:i/>
          <w:sz w:val="28"/>
          <w:szCs w:val="28"/>
        </w:rPr>
        <w:t xml:space="preserve"> e</w:t>
      </w:r>
      <w:r w:rsidR="00513BC3" w:rsidRPr="00513BC3">
        <w:rPr>
          <w:rFonts w:ascii="Arial" w:hAnsi="Arial" w:cs="Arial"/>
          <w:i/>
          <w:sz w:val="28"/>
          <w:szCs w:val="28"/>
        </w:rPr>
        <w:t>xpenditure and losses actually incurred in the production of the income, provided such expenditure and losses are not of a capital nature …”</w:t>
      </w:r>
    </w:p>
    <w:p w:rsidR="00513BC3" w:rsidRPr="00513BC3" w:rsidRDefault="00513BC3" w:rsidP="00513BC3">
      <w:pPr>
        <w:spacing w:line="360" w:lineRule="auto"/>
        <w:ind w:left="720" w:hanging="720"/>
        <w:jc w:val="both"/>
        <w:rPr>
          <w:rFonts w:ascii="Arial" w:hAnsi="Arial" w:cs="Arial"/>
          <w:sz w:val="28"/>
          <w:szCs w:val="28"/>
        </w:rPr>
      </w:pPr>
    </w:p>
    <w:p w:rsidR="00513BC3" w:rsidRPr="00513BC3" w:rsidRDefault="00513BC3" w:rsidP="00513BC3">
      <w:pPr>
        <w:spacing w:line="360" w:lineRule="auto"/>
        <w:ind w:left="720"/>
        <w:jc w:val="both"/>
        <w:rPr>
          <w:rFonts w:ascii="Arial" w:hAnsi="Arial" w:cs="Arial"/>
          <w:sz w:val="28"/>
          <w:szCs w:val="28"/>
          <w:u w:val="single"/>
        </w:rPr>
      </w:pPr>
      <w:r w:rsidRPr="00513BC3">
        <w:rPr>
          <w:rFonts w:ascii="Arial" w:hAnsi="Arial" w:cs="Arial"/>
          <w:sz w:val="28"/>
          <w:szCs w:val="28"/>
          <w:u w:val="single"/>
        </w:rPr>
        <w:lastRenderedPageBreak/>
        <w:t xml:space="preserve">Was the court correct in upholding the point </w:t>
      </w:r>
      <w:r w:rsidRPr="00513BC3">
        <w:rPr>
          <w:rFonts w:ascii="Arial" w:hAnsi="Arial" w:cs="Arial"/>
          <w:i/>
          <w:sz w:val="28"/>
          <w:szCs w:val="28"/>
          <w:u w:val="single"/>
        </w:rPr>
        <w:t xml:space="preserve">in </w:t>
      </w:r>
      <w:proofErr w:type="spellStart"/>
      <w:r w:rsidRPr="00513BC3">
        <w:rPr>
          <w:rFonts w:ascii="Arial" w:hAnsi="Arial" w:cs="Arial"/>
          <w:i/>
          <w:sz w:val="28"/>
          <w:szCs w:val="28"/>
          <w:u w:val="single"/>
        </w:rPr>
        <w:t>limine</w:t>
      </w:r>
      <w:proofErr w:type="spellEnd"/>
      <w:r w:rsidRPr="00513BC3">
        <w:rPr>
          <w:rFonts w:ascii="Arial" w:hAnsi="Arial" w:cs="Arial"/>
          <w:sz w:val="28"/>
          <w:szCs w:val="28"/>
          <w:u w:val="single"/>
        </w:rPr>
        <w:t xml:space="preserve"> that prescription was applicable to the claim for a deduction of losses in terms of s 11(a) of the Tax Act?</w:t>
      </w:r>
    </w:p>
    <w:p w:rsid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[8</w:t>
      </w:r>
      <w:r w:rsidRPr="00513BC3">
        <w:rPr>
          <w:rFonts w:ascii="Arial" w:hAnsi="Arial" w:cs="Arial"/>
          <w:sz w:val="28"/>
          <w:szCs w:val="28"/>
        </w:rPr>
        <w:t>]</w:t>
      </w:r>
      <w:r w:rsidRPr="00513BC3">
        <w:rPr>
          <w:rFonts w:ascii="Arial" w:hAnsi="Arial" w:cs="Arial"/>
          <w:sz w:val="28"/>
          <w:szCs w:val="28"/>
        </w:rPr>
        <w:tab/>
        <w:t>On behalf of SARS it was argued that because the claim for the levies and duties were claimed late, the prescription attached thereto in terms of the CEA automatically extended as prescription to the Tax Act and barred Puma from claiming it because the debt was extinguished.</w:t>
      </w:r>
    </w:p>
    <w:p w:rsidR="00513BC3" w:rsidRPr="00513BC3" w:rsidRDefault="00513BC3" w:rsidP="00513BC3">
      <w:pPr>
        <w:spacing w:line="360" w:lineRule="auto"/>
        <w:ind w:left="720" w:hanging="720"/>
        <w:jc w:val="both"/>
        <w:rPr>
          <w:rFonts w:ascii="Arial" w:hAnsi="Arial" w:cs="Arial"/>
          <w:sz w:val="28"/>
          <w:szCs w:val="28"/>
        </w:rPr>
      </w:pPr>
    </w:p>
    <w:p w:rsidR="00513BC3" w:rsidRP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[9</w:t>
      </w:r>
      <w:r w:rsidRPr="00513BC3">
        <w:rPr>
          <w:rFonts w:ascii="Arial" w:hAnsi="Arial" w:cs="Arial"/>
          <w:sz w:val="28"/>
          <w:szCs w:val="28"/>
        </w:rPr>
        <w:t>]</w:t>
      </w:r>
      <w:r w:rsidRPr="00513BC3">
        <w:rPr>
          <w:rFonts w:ascii="Arial" w:hAnsi="Arial" w:cs="Arial"/>
          <w:sz w:val="28"/>
          <w:szCs w:val="28"/>
        </w:rPr>
        <w:tab/>
        <w:t xml:space="preserve">Puma argued that the Prescription Act is not applicable to s11 of the Tax Act. The crux of their argument was that the term </w:t>
      </w:r>
      <w:r w:rsidRPr="00513BC3">
        <w:rPr>
          <w:rFonts w:ascii="Arial" w:hAnsi="Arial" w:cs="Arial"/>
          <w:i/>
          <w:sz w:val="28"/>
          <w:szCs w:val="28"/>
        </w:rPr>
        <w:t>“debt”</w:t>
      </w:r>
      <w:r w:rsidRPr="00513BC3">
        <w:rPr>
          <w:rFonts w:ascii="Arial" w:hAnsi="Arial" w:cs="Arial"/>
          <w:sz w:val="28"/>
          <w:szCs w:val="28"/>
        </w:rPr>
        <w:t xml:space="preserve"> in the Prescription Act had to be characterised in terms of </w:t>
      </w:r>
      <w:r w:rsidR="00622816">
        <w:rPr>
          <w:rFonts w:ascii="Arial" w:hAnsi="Arial" w:cs="Arial"/>
          <w:sz w:val="28"/>
          <w:szCs w:val="28"/>
        </w:rPr>
        <w:t xml:space="preserve">the </w:t>
      </w:r>
      <w:r w:rsidRPr="00513BC3">
        <w:rPr>
          <w:rFonts w:ascii="Arial" w:hAnsi="Arial" w:cs="Arial"/>
          <w:sz w:val="28"/>
          <w:szCs w:val="28"/>
        </w:rPr>
        <w:t>nature of the cause of action. Extinctive prescription could not find application because Puma did not claim payment of a debt from SARS.</w:t>
      </w:r>
    </w:p>
    <w:p w:rsidR="00513BC3" w:rsidRPr="00513BC3" w:rsidRDefault="00513BC3" w:rsidP="00513BC3">
      <w:pPr>
        <w:spacing w:line="360" w:lineRule="auto"/>
        <w:ind w:left="720" w:hanging="720"/>
        <w:jc w:val="both"/>
        <w:rPr>
          <w:rFonts w:ascii="Arial" w:hAnsi="Arial" w:cs="Arial"/>
          <w:sz w:val="28"/>
          <w:szCs w:val="28"/>
        </w:rPr>
      </w:pPr>
    </w:p>
    <w:p w:rsid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[10</w:t>
      </w:r>
      <w:r w:rsidRPr="00513BC3">
        <w:rPr>
          <w:rFonts w:ascii="Arial" w:hAnsi="Arial" w:cs="Arial"/>
          <w:sz w:val="28"/>
          <w:szCs w:val="28"/>
        </w:rPr>
        <w:t>]</w:t>
      </w:r>
      <w:r w:rsidRPr="00513BC3">
        <w:rPr>
          <w:rFonts w:ascii="Arial" w:hAnsi="Arial" w:cs="Arial"/>
          <w:sz w:val="28"/>
          <w:szCs w:val="28"/>
        </w:rPr>
        <w:tab/>
        <w:t xml:space="preserve">The Court found that s10 of the Prescription Act was applicable and the </w:t>
      </w:r>
      <w:r w:rsidRPr="00513BC3">
        <w:rPr>
          <w:rFonts w:ascii="Arial" w:hAnsi="Arial" w:cs="Arial"/>
          <w:i/>
          <w:sz w:val="28"/>
          <w:szCs w:val="28"/>
        </w:rPr>
        <w:t>“preliminary point of prescription raised by the respondent is upheld and the appeal is dismissed.”</w:t>
      </w:r>
      <w:r w:rsidRPr="00513BC3">
        <w:rPr>
          <w:rFonts w:ascii="Arial" w:hAnsi="Arial" w:cs="Arial"/>
          <w:sz w:val="28"/>
          <w:szCs w:val="28"/>
        </w:rPr>
        <w:t xml:space="preserve"> The court </w:t>
      </w:r>
      <w:r w:rsidRPr="00513BC3">
        <w:rPr>
          <w:rFonts w:ascii="Arial" w:hAnsi="Arial" w:cs="Arial"/>
          <w:i/>
          <w:sz w:val="28"/>
          <w:szCs w:val="28"/>
        </w:rPr>
        <w:t>a quo</w:t>
      </w:r>
      <w:r w:rsidRPr="00513BC3">
        <w:rPr>
          <w:rFonts w:ascii="Arial" w:hAnsi="Arial" w:cs="Arial"/>
          <w:sz w:val="28"/>
          <w:szCs w:val="28"/>
        </w:rPr>
        <w:t xml:space="preserve"> did not give reaso</w:t>
      </w:r>
      <w:r w:rsidR="00204498">
        <w:rPr>
          <w:rFonts w:ascii="Arial" w:hAnsi="Arial" w:cs="Arial"/>
          <w:sz w:val="28"/>
          <w:szCs w:val="28"/>
        </w:rPr>
        <w:t>ns as to how it came to this fi</w:t>
      </w:r>
      <w:r w:rsidRPr="00513BC3">
        <w:rPr>
          <w:rFonts w:ascii="Arial" w:hAnsi="Arial" w:cs="Arial"/>
          <w:sz w:val="28"/>
          <w:szCs w:val="28"/>
        </w:rPr>
        <w:t>nding, bar making general remarks pertaining to prescription.</w:t>
      </w:r>
    </w:p>
    <w:p w:rsidR="00513BC3" w:rsidRPr="00513BC3" w:rsidRDefault="00513BC3" w:rsidP="00513BC3">
      <w:pPr>
        <w:spacing w:line="360" w:lineRule="auto"/>
        <w:ind w:left="720" w:hanging="720"/>
        <w:jc w:val="both"/>
        <w:rPr>
          <w:rFonts w:ascii="Arial" w:hAnsi="Arial" w:cs="Arial"/>
          <w:sz w:val="28"/>
          <w:szCs w:val="28"/>
        </w:rPr>
      </w:pPr>
    </w:p>
    <w:p w:rsidR="00513BC3" w:rsidRP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[11</w:t>
      </w:r>
      <w:r w:rsidRPr="00513BC3">
        <w:rPr>
          <w:rFonts w:ascii="Arial" w:hAnsi="Arial" w:cs="Arial"/>
          <w:sz w:val="28"/>
          <w:szCs w:val="28"/>
        </w:rPr>
        <w:t>]</w:t>
      </w:r>
      <w:r w:rsidRPr="00513BC3">
        <w:rPr>
          <w:rFonts w:ascii="Arial" w:hAnsi="Arial" w:cs="Arial"/>
          <w:sz w:val="28"/>
          <w:szCs w:val="28"/>
        </w:rPr>
        <w:tab/>
        <w:t xml:space="preserve">SARS did raise prescription in the statements on the merits as a bar to a </w:t>
      </w:r>
      <w:r w:rsidRPr="00513BC3">
        <w:rPr>
          <w:rFonts w:ascii="Arial" w:hAnsi="Arial" w:cs="Arial"/>
          <w:i/>
          <w:sz w:val="28"/>
          <w:szCs w:val="28"/>
        </w:rPr>
        <w:t>“revival”</w:t>
      </w:r>
      <w:r w:rsidRPr="00513BC3">
        <w:rPr>
          <w:rFonts w:ascii="Arial" w:hAnsi="Arial" w:cs="Arial"/>
          <w:sz w:val="28"/>
          <w:szCs w:val="28"/>
        </w:rPr>
        <w:t xml:space="preserve"> of the claim for duties and levies, but not as required in the statements as a preliminary point and the court </w:t>
      </w:r>
      <w:r w:rsidRPr="00513BC3">
        <w:rPr>
          <w:rFonts w:ascii="Arial" w:hAnsi="Arial" w:cs="Arial"/>
          <w:i/>
          <w:sz w:val="28"/>
          <w:szCs w:val="28"/>
        </w:rPr>
        <w:t>a quo</w:t>
      </w:r>
      <w:r w:rsidRPr="00513BC3">
        <w:rPr>
          <w:rFonts w:ascii="Arial" w:hAnsi="Arial" w:cs="Arial"/>
          <w:sz w:val="28"/>
          <w:szCs w:val="28"/>
        </w:rPr>
        <w:t xml:space="preserve"> should not have entertained this point. But, leaving that aside, the Prescription Act is not applicable to a loss claimed as a deduction. The word </w:t>
      </w:r>
      <w:r w:rsidRPr="00513BC3">
        <w:rPr>
          <w:rFonts w:ascii="Arial" w:hAnsi="Arial" w:cs="Arial"/>
          <w:i/>
          <w:sz w:val="28"/>
          <w:szCs w:val="28"/>
        </w:rPr>
        <w:lastRenderedPageBreak/>
        <w:t>“debt”</w:t>
      </w:r>
      <w:r w:rsidRPr="00513BC3">
        <w:rPr>
          <w:rFonts w:ascii="Arial" w:hAnsi="Arial" w:cs="Arial"/>
          <w:sz w:val="28"/>
          <w:szCs w:val="28"/>
        </w:rPr>
        <w:t xml:space="preserve"> in the Prescription Act does not include every obligation to do something or refrain from doing something, apart from payment or delivery.</w:t>
      </w:r>
      <w:r>
        <w:rPr>
          <w:rStyle w:val="FootnoteReference"/>
          <w:rFonts w:ascii="Arial" w:hAnsi="Arial" w:cs="Arial"/>
          <w:sz w:val="28"/>
          <w:szCs w:val="28"/>
        </w:rPr>
        <w:footnoteReference w:id="1"/>
      </w:r>
      <w:r>
        <w:rPr>
          <w:rFonts w:ascii="Arial" w:hAnsi="Arial" w:cs="Arial"/>
          <w:sz w:val="28"/>
          <w:szCs w:val="28"/>
        </w:rPr>
        <w:t xml:space="preserve">  </w:t>
      </w:r>
      <w:r w:rsidRPr="00513BC3">
        <w:rPr>
          <w:rFonts w:ascii="Arial" w:hAnsi="Arial" w:cs="Arial"/>
          <w:sz w:val="28"/>
          <w:szCs w:val="28"/>
        </w:rPr>
        <w:t>A taxpayer invoking s11 of the Tax Act is not claiming a debt and it</w:t>
      </w:r>
      <w:r w:rsidR="001823A0">
        <w:rPr>
          <w:rFonts w:ascii="Arial" w:hAnsi="Arial" w:cs="Arial"/>
          <w:sz w:val="28"/>
          <w:szCs w:val="28"/>
        </w:rPr>
        <w:t xml:space="preserve"> can never constitute </w:t>
      </w:r>
      <w:r w:rsidRPr="00513BC3">
        <w:rPr>
          <w:rFonts w:ascii="Arial" w:hAnsi="Arial" w:cs="Arial"/>
          <w:sz w:val="28"/>
          <w:szCs w:val="28"/>
        </w:rPr>
        <w:t xml:space="preserve">a </w:t>
      </w:r>
      <w:r w:rsidR="008C5117">
        <w:rPr>
          <w:rFonts w:ascii="Arial" w:hAnsi="Arial" w:cs="Arial"/>
          <w:sz w:val="28"/>
          <w:szCs w:val="28"/>
        </w:rPr>
        <w:t>“</w:t>
      </w:r>
      <w:r w:rsidRPr="00513BC3">
        <w:rPr>
          <w:rFonts w:ascii="Arial" w:hAnsi="Arial" w:cs="Arial"/>
          <w:sz w:val="28"/>
          <w:szCs w:val="28"/>
        </w:rPr>
        <w:t>debt</w:t>
      </w:r>
      <w:r w:rsidR="008C5117">
        <w:rPr>
          <w:rFonts w:ascii="Arial" w:hAnsi="Arial" w:cs="Arial"/>
          <w:sz w:val="28"/>
          <w:szCs w:val="28"/>
        </w:rPr>
        <w:t>”</w:t>
      </w:r>
      <w:r w:rsidRPr="00513BC3">
        <w:rPr>
          <w:rFonts w:ascii="Arial" w:hAnsi="Arial" w:cs="Arial"/>
          <w:sz w:val="28"/>
          <w:szCs w:val="28"/>
        </w:rPr>
        <w:t xml:space="preserve"> for prescription in terms of the Prescription Act. A</w:t>
      </w:r>
      <w:r w:rsidR="00ED1CC8">
        <w:rPr>
          <w:rFonts w:ascii="Arial" w:hAnsi="Arial" w:cs="Arial"/>
          <w:sz w:val="28"/>
          <w:szCs w:val="28"/>
        </w:rPr>
        <w:t xml:space="preserve"> taxpayer can invoke </w:t>
      </w:r>
      <w:r w:rsidR="001647F5">
        <w:rPr>
          <w:rFonts w:ascii="Arial" w:hAnsi="Arial" w:cs="Arial"/>
          <w:sz w:val="28"/>
          <w:szCs w:val="28"/>
        </w:rPr>
        <w:t>s11 of the Tax Act</w:t>
      </w:r>
      <w:r w:rsidRPr="00513BC3">
        <w:rPr>
          <w:rFonts w:ascii="Arial" w:hAnsi="Arial" w:cs="Arial"/>
          <w:sz w:val="28"/>
          <w:szCs w:val="28"/>
        </w:rPr>
        <w:t xml:space="preserve"> rightly or wrongly, i.e. does it constitute a loss </w:t>
      </w:r>
      <w:r w:rsidR="001647F5">
        <w:rPr>
          <w:rFonts w:ascii="Arial" w:hAnsi="Arial" w:cs="Arial"/>
          <w:sz w:val="28"/>
          <w:szCs w:val="28"/>
        </w:rPr>
        <w:t xml:space="preserve">entitling Puma to a </w:t>
      </w:r>
      <w:r w:rsidRPr="00513BC3">
        <w:rPr>
          <w:rFonts w:ascii="Arial" w:hAnsi="Arial" w:cs="Arial"/>
          <w:sz w:val="28"/>
          <w:szCs w:val="28"/>
        </w:rPr>
        <w:t>deduction or not, but the taxpayer is not</w:t>
      </w:r>
      <w:r w:rsidR="0049539D">
        <w:rPr>
          <w:rFonts w:ascii="Arial" w:hAnsi="Arial" w:cs="Arial"/>
          <w:sz w:val="28"/>
          <w:szCs w:val="28"/>
        </w:rPr>
        <w:t>,</w:t>
      </w:r>
      <w:r w:rsidRPr="00513BC3">
        <w:rPr>
          <w:rFonts w:ascii="Arial" w:hAnsi="Arial" w:cs="Arial"/>
          <w:sz w:val="28"/>
          <w:szCs w:val="28"/>
        </w:rPr>
        <w:t xml:space="preserve"> </w:t>
      </w:r>
      <w:r w:rsidR="00117476">
        <w:rPr>
          <w:rFonts w:ascii="Arial" w:hAnsi="Arial" w:cs="Arial"/>
          <w:sz w:val="28"/>
          <w:szCs w:val="28"/>
        </w:rPr>
        <w:t>by doing so</w:t>
      </w:r>
      <w:r w:rsidR="0049539D">
        <w:rPr>
          <w:rFonts w:ascii="Arial" w:hAnsi="Arial" w:cs="Arial"/>
          <w:sz w:val="28"/>
          <w:szCs w:val="28"/>
        </w:rPr>
        <w:t>,</w:t>
      </w:r>
      <w:r w:rsidR="00117476">
        <w:rPr>
          <w:rFonts w:ascii="Arial" w:hAnsi="Arial" w:cs="Arial"/>
          <w:sz w:val="28"/>
          <w:szCs w:val="28"/>
        </w:rPr>
        <w:t xml:space="preserve"> </w:t>
      </w:r>
      <w:r w:rsidR="0049539D">
        <w:rPr>
          <w:rFonts w:ascii="Arial" w:hAnsi="Arial" w:cs="Arial"/>
          <w:sz w:val="28"/>
          <w:szCs w:val="28"/>
        </w:rPr>
        <w:t>claiming a debt from SARS.</w:t>
      </w:r>
      <w:r w:rsidR="00B724BD">
        <w:rPr>
          <w:rFonts w:ascii="Arial" w:hAnsi="Arial" w:cs="Arial"/>
          <w:sz w:val="28"/>
          <w:szCs w:val="28"/>
        </w:rPr>
        <w:tab/>
      </w:r>
    </w:p>
    <w:p w:rsidR="00513BC3" w:rsidRPr="00513BC3" w:rsidRDefault="00513BC3" w:rsidP="00513BC3">
      <w:pPr>
        <w:spacing w:line="360" w:lineRule="auto"/>
        <w:ind w:left="720" w:hanging="720"/>
        <w:jc w:val="both"/>
        <w:rPr>
          <w:rFonts w:ascii="Arial" w:hAnsi="Arial" w:cs="Arial"/>
          <w:sz w:val="28"/>
          <w:szCs w:val="28"/>
        </w:rPr>
      </w:pPr>
    </w:p>
    <w:p w:rsidR="00513BC3" w:rsidRP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[12</w:t>
      </w:r>
      <w:r w:rsidRPr="00513BC3">
        <w:rPr>
          <w:rFonts w:ascii="Arial" w:hAnsi="Arial" w:cs="Arial"/>
          <w:sz w:val="28"/>
          <w:szCs w:val="28"/>
        </w:rPr>
        <w:t>]</w:t>
      </w:r>
      <w:r w:rsidRPr="00513BC3">
        <w:rPr>
          <w:rFonts w:ascii="Arial" w:hAnsi="Arial" w:cs="Arial"/>
          <w:sz w:val="28"/>
          <w:szCs w:val="28"/>
        </w:rPr>
        <w:tab/>
        <w:t xml:space="preserve">In </w:t>
      </w:r>
      <w:r w:rsidRPr="00513BC3">
        <w:rPr>
          <w:rFonts w:ascii="Arial" w:hAnsi="Arial" w:cs="Arial"/>
          <w:i/>
          <w:sz w:val="28"/>
          <w:szCs w:val="28"/>
        </w:rPr>
        <w:t>Eskom v Bojanala Platinum District Municipality and Another</w:t>
      </w:r>
      <w:r w:rsidRPr="00513BC3">
        <w:rPr>
          <w:rFonts w:ascii="Arial" w:hAnsi="Arial" w:cs="Arial"/>
          <w:sz w:val="28"/>
          <w:szCs w:val="28"/>
        </w:rPr>
        <w:t xml:space="preserve"> 2005</w:t>
      </w:r>
      <w:r>
        <w:rPr>
          <w:rFonts w:ascii="Arial" w:hAnsi="Arial" w:cs="Arial"/>
          <w:sz w:val="28"/>
          <w:szCs w:val="28"/>
        </w:rPr>
        <w:t xml:space="preserve"> </w:t>
      </w:r>
      <w:r w:rsidRPr="00513BC3">
        <w:rPr>
          <w:rFonts w:ascii="Arial" w:hAnsi="Arial" w:cs="Arial"/>
          <w:sz w:val="28"/>
          <w:szCs w:val="28"/>
        </w:rPr>
        <w:t xml:space="preserve">(4) SA 31 (SCA) at par </w:t>
      </w:r>
      <w:r w:rsidR="00204498">
        <w:rPr>
          <w:rFonts w:ascii="Arial" w:hAnsi="Arial" w:cs="Arial"/>
          <w:sz w:val="28"/>
          <w:szCs w:val="28"/>
        </w:rPr>
        <w:t>[</w:t>
      </w:r>
      <w:r w:rsidRPr="00513BC3">
        <w:rPr>
          <w:rFonts w:ascii="Arial" w:hAnsi="Arial" w:cs="Arial"/>
          <w:sz w:val="28"/>
          <w:szCs w:val="28"/>
        </w:rPr>
        <w:t>9</w:t>
      </w:r>
      <w:r w:rsidR="00204498">
        <w:rPr>
          <w:rFonts w:ascii="Arial" w:hAnsi="Arial" w:cs="Arial"/>
          <w:sz w:val="28"/>
          <w:szCs w:val="28"/>
        </w:rPr>
        <w:t>]</w:t>
      </w:r>
      <w:r w:rsidRPr="00513BC3">
        <w:rPr>
          <w:rFonts w:ascii="Arial" w:hAnsi="Arial" w:cs="Arial"/>
          <w:sz w:val="28"/>
          <w:szCs w:val="28"/>
        </w:rPr>
        <w:t xml:space="preserve"> the court found as follows:</w:t>
      </w:r>
    </w:p>
    <w:p w:rsidR="00204498" w:rsidRPr="00513BC3" w:rsidRDefault="00513BC3" w:rsidP="00826EF1">
      <w:pPr>
        <w:spacing w:line="360" w:lineRule="auto"/>
        <w:ind w:left="1440"/>
        <w:jc w:val="both"/>
        <w:rPr>
          <w:rFonts w:ascii="Arial" w:hAnsi="Arial" w:cs="Arial"/>
          <w:i/>
          <w:sz w:val="28"/>
          <w:szCs w:val="28"/>
        </w:rPr>
      </w:pPr>
      <w:r w:rsidRPr="00513BC3">
        <w:rPr>
          <w:rFonts w:ascii="Arial" w:hAnsi="Arial" w:cs="Arial"/>
          <w:i/>
          <w:sz w:val="28"/>
          <w:szCs w:val="28"/>
        </w:rPr>
        <w:t>“It does not necessarily follow, however, that a taxpayer’s claim for a refund of RSC levies improperly assessed, and therefore not due, also constitutes taxation. The respondent’s councils had no power to l</w:t>
      </w:r>
      <w:r w:rsidR="00204498">
        <w:rPr>
          <w:rFonts w:ascii="Arial" w:hAnsi="Arial" w:cs="Arial"/>
          <w:i/>
          <w:sz w:val="28"/>
          <w:szCs w:val="28"/>
        </w:rPr>
        <w:t>e</w:t>
      </w:r>
      <w:r w:rsidRPr="00513BC3">
        <w:rPr>
          <w:rFonts w:ascii="Arial" w:hAnsi="Arial" w:cs="Arial"/>
          <w:i/>
          <w:sz w:val="28"/>
          <w:szCs w:val="28"/>
        </w:rPr>
        <w:t xml:space="preserve">vy or collect more by way of tax than was due to them in terms of Act 109 of 1985 and the regulations made thereunder. Such payments, even if believed to be due at the time, were thus not taxes but something else. Equally, the ‘debt’ underlying the claim for a refund would not be a tax </w:t>
      </w:r>
      <w:r w:rsidR="00204498">
        <w:rPr>
          <w:rFonts w:ascii="Arial" w:hAnsi="Arial" w:cs="Arial"/>
          <w:i/>
          <w:sz w:val="28"/>
          <w:szCs w:val="28"/>
        </w:rPr>
        <w:t>debt imposed or levied under any</w:t>
      </w:r>
      <w:r w:rsidRPr="00513BC3">
        <w:rPr>
          <w:rFonts w:ascii="Arial" w:hAnsi="Arial" w:cs="Arial"/>
          <w:i/>
          <w:sz w:val="28"/>
          <w:szCs w:val="28"/>
        </w:rPr>
        <w:t xml:space="preserve"> law.”</w:t>
      </w:r>
    </w:p>
    <w:p w:rsidR="00513BC3" w:rsidRDefault="00513BC3" w:rsidP="00513BC3">
      <w:pPr>
        <w:spacing w:line="360" w:lineRule="auto"/>
        <w:ind w:left="720" w:hanging="720"/>
        <w:jc w:val="both"/>
        <w:rPr>
          <w:rFonts w:ascii="Arial" w:hAnsi="Arial" w:cs="Arial"/>
          <w:sz w:val="28"/>
          <w:szCs w:val="28"/>
        </w:rPr>
      </w:pPr>
      <w:r w:rsidRPr="00513BC3">
        <w:rPr>
          <w:rFonts w:ascii="Arial" w:hAnsi="Arial" w:cs="Arial"/>
          <w:sz w:val="28"/>
          <w:szCs w:val="28"/>
        </w:rPr>
        <w:tab/>
        <w:t xml:space="preserve">Thus a claim for a refund is not a tax debt imposed or levied under any law. Puma did not claim payment or delivery from SARS of prescribed excise duties, but claimed a loss as a deduction in assessing its taxable income. </w:t>
      </w:r>
    </w:p>
    <w:p w:rsidR="00513BC3" w:rsidRPr="00513BC3" w:rsidRDefault="00513BC3" w:rsidP="00513BC3">
      <w:pPr>
        <w:spacing w:line="360" w:lineRule="auto"/>
        <w:ind w:left="720" w:hanging="720"/>
        <w:jc w:val="both"/>
        <w:rPr>
          <w:rFonts w:ascii="Arial" w:hAnsi="Arial" w:cs="Arial"/>
          <w:sz w:val="28"/>
          <w:szCs w:val="28"/>
        </w:rPr>
      </w:pPr>
      <w:r w:rsidRPr="00513BC3">
        <w:rPr>
          <w:rFonts w:ascii="Arial" w:hAnsi="Arial" w:cs="Arial"/>
          <w:sz w:val="28"/>
          <w:szCs w:val="28"/>
        </w:rPr>
        <w:lastRenderedPageBreak/>
        <w:t xml:space="preserve"> </w:t>
      </w:r>
      <w:r>
        <w:rPr>
          <w:rFonts w:ascii="Arial" w:hAnsi="Arial" w:cs="Arial"/>
          <w:sz w:val="28"/>
          <w:szCs w:val="28"/>
        </w:rPr>
        <w:t>[13</w:t>
      </w:r>
      <w:r w:rsidRPr="00513BC3">
        <w:rPr>
          <w:rFonts w:ascii="Arial" w:hAnsi="Arial" w:cs="Arial"/>
          <w:sz w:val="28"/>
          <w:szCs w:val="28"/>
        </w:rPr>
        <w:t>]</w:t>
      </w:r>
      <w:r w:rsidRPr="00513BC3">
        <w:rPr>
          <w:rFonts w:ascii="Arial" w:hAnsi="Arial" w:cs="Arial"/>
          <w:sz w:val="28"/>
          <w:szCs w:val="28"/>
        </w:rPr>
        <w:tab/>
        <w:t xml:space="preserve">The court </w:t>
      </w:r>
      <w:r w:rsidRPr="00513BC3">
        <w:rPr>
          <w:rFonts w:ascii="Arial" w:hAnsi="Arial" w:cs="Arial"/>
          <w:i/>
          <w:sz w:val="28"/>
          <w:szCs w:val="28"/>
        </w:rPr>
        <w:t>a quo</w:t>
      </w:r>
      <w:r w:rsidRPr="00513BC3">
        <w:rPr>
          <w:rFonts w:ascii="Arial" w:hAnsi="Arial" w:cs="Arial"/>
          <w:sz w:val="28"/>
          <w:szCs w:val="28"/>
        </w:rPr>
        <w:t xml:space="preserve"> worked from the incorrect premise as background to determine the point </w:t>
      </w:r>
      <w:r w:rsidRPr="00513BC3">
        <w:rPr>
          <w:rFonts w:ascii="Arial" w:hAnsi="Arial" w:cs="Arial"/>
          <w:i/>
          <w:sz w:val="28"/>
          <w:szCs w:val="28"/>
        </w:rPr>
        <w:t xml:space="preserve">in </w:t>
      </w:r>
      <w:proofErr w:type="spellStart"/>
      <w:r w:rsidRPr="00513BC3">
        <w:rPr>
          <w:rFonts w:ascii="Arial" w:hAnsi="Arial" w:cs="Arial"/>
          <w:i/>
          <w:sz w:val="28"/>
          <w:szCs w:val="28"/>
        </w:rPr>
        <w:t>limine</w:t>
      </w:r>
      <w:proofErr w:type="spellEnd"/>
      <w:r w:rsidRPr="00513BC3">
        <w:rPr>
          <w:rFonts w:ascii="Arial" w:hAnsi="Arial" w:cs="Arial"/>
          <w:sz w:val="28"/>
          <w:szCs w:val="28"/>
        </w:rPr>
        <w:t xml:space="preserve"> and for clarity I repeat the issue as defined by the court:</w:t>
      </w:r>
    </w:p>
    <w:p w:rsidR="00513BC3" w:rsidRPr="00513BC3" w:rsidRDefault="00513BC3" w:rsidP="00513BC3">
      <w:pPr>
        <w:spacing w:line="360" w:lineRule="auto"/>
        <w:ind w:left="1440"/>
        <w:jc w:val="both"/>
        <w:rPr>
          <w:rFonts w:ascii="Arial" w:hAnsi="Arial" w:cs="Arial"/>
          <w:i/>
          <w:sz w:val="28"/>
          <w:szCs w:val="28"/>
        </w:rPr>
      </w:pPr>
      <w:r w:rsidRPr="00513BC3">
        <w:rPr>
          <w:rFonts w:ascii="Arial" w:hAnsi="Arial" w:cs="Arial"/>
          <w:i/>
          <w:sz w:val="28"/>
          <w:szCs w:val="28"/>
        </w:rPr>
        <w:t>“… a prescribed claim for refunds under the Customs and Excise Act may be revived by simply lodging a claim for deduction in terms of section 11(a).”</w:t>
      </w:r>
    </w:p>
    <w:p w:rsidR="00513BC3" w:rsidRDefault="00513BC3" w:rsidP="00513BC3">
      <w:pPr>
        <w:spacing w:line="360" w:lineRule="auto"/>
        <w:ind w:left="720"/>
        <w:jc w:val="both"/>
        <w:rPr>
          <w:rFonts w:ascii="Arial" w:hAnsi="Arial" w:cs="Arial"/>
          <w:sz w:val="28"/>
          <w:szCs w:val="28"/>
        </w:rPr>
      </w:pPr>
      <w:r w:rsidRPr="00513BC3">
        <w:rPr>
          <w:rFonts w:ascii="Arial" w:hAnsi="Arial" w:cs="Arial"/>
          <w:sz w:val="28"/>
          <w:szCs w:val="28"/>
        </w:rPr>
        <w:t>The cause of action of Puma is not a claim, but a deduction. It is not a revival of a claim for refunds under the CEA. Seeking incurred losses from Puma’s 2015 tax assessment can never constitute a debt in terms of the Prescription Act.</w:t>
      </w:r>
    </w:p>
    <w:p w:rsidR="00513BC3" w:rsidRPr="00513BC3" w:rsidRDefault="00513BC3" w:rsidP="00513BC3">
      <w:pPr>
        <w:spacing w:line="360" w:lineRule="auto"/>
        <w:ind w:left="720"/>
        <w:jc w:val="both"/>
        <w:rPr>
          <w:rFonts w:ascii="Arial" w:hAnsi="Arial" w:cs="Arial"/>
          <w:sz w:val="28"/>
          <w:szCs w:val="28"/>
        </w:rPr>
      </w:pPr>
    </w:p>
    <w:p w:rsid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[14</w:t>
      </w:r>
      <w:r w:rsidRPr="00513BC3">
        <w:rPr>
          <w:rFonts w:ascii="Arial" w:hAnsi="Arial" w:cs="Arial"/>
          <w:sz w:val="28"/>
          <w:szCs w:val="28"/>
        </w:rPr>
        <w:t>]</w:t>
      </w:r>
      <w:r w:rsidRPr="00513BC3">
        <w:rPr>
          <w:rFonts w:ascii="Arial" w:hAnsi="Arial" w:cs="Arial"/>
          <w:sz w:val="28"/>
          <w:szCs w:val="28"/>
        </w:rPr>
        <w:tab/>
        <w:t>SARS’ argument that there is revival of a claim is simply bad in law, as a result of the late filing of the claim a loss in fact occurred and the Tax Court must determine whether in terms of s11 of the Tax Act it qualifies as a loss for de</w:t>
      </w:r>
      <w:r w:rsidR="00517718">
        <w:rPr>
          <w:rFonts w:ascii="Arial" w:hAnsi="Arial" w:cs="Arial"/>
          <w:sz w:val="28"/>
          <w:szCs w:val="28"/>
        </w:rPr>
        <w:t xml:space="preserve">duction. </w:t>
      </w:r>
      <w:r w:rsidRPr="00513BC3">
        <w:rPr>
          <w:rFonts w:ascii="Arial" w:hAnsi="Arial" w:cs="Arial"/>
          <w:sz w:val="28"/>
          <w:szCs w:val="28"/>
        </w:rPr>
        <w:t xml:space="preserve">The argument that the point </w:t>
      </w:r>
      <w:r w:rsidRPr="00513BC3">
        <w:rPr>
          <w:rFonts w:ascii="Arial" w:hAnsi="Arial" w:cs="Arial"/>
          <w:i/>
          <w:sz w:val="28"/>
          <w:szCs w:val="28"/>
        </w:rPr>
        <w:t xml:space="preserve">in </w:t>
      </w:r>
      <w:proofErr w:type="spellStart"/>
      <w:r w:rsidRPr="00513BC3">
        <w:rPr>
          <w:rFonts w:ascii="Arial" w:hAnsi="Arial" w:cs="Arial"/>
          <w:i/>
          <w:sz w:val="28"/>
          <w:szCs w:val="28"/>
        </w:rPr>
        <w:t>limine</w:t>
      </w:r>
      <w:proofErr w:type="spellEnd"/>
      <w:r w:rsidRPr="00513BC3">
        <w:rPr>
          <w:rFonts w:ascii="Arial" w:hAnsi="Arial" w:cs="Arial"/>
          <w:sz w:val="28"/>
          <w:szCs w:val="28"/>
        </w:rPr>
        <w:t xml:space="preserve"> must be upheld otherwise a nullity will be enforced is rejected. The loss exists, it is not a nullity, whether it is claimable as a deduction is to be determined. </w:t>
      </w:r>
    </w:p>
    <w:p w:rsidR="00513BC3" w:rsidRPr="00513BC3" w:rsidRDefault="00513BC3" w:rsidP="00513BC3">
      <w:pPr>
        <w:spacing w:line="360" w:lineRule="auto"/>
        <w:ind w:left="720" w:hanging="720"/>
        <w:jc w:val="both"/>
        <w:rPr>
          <w:rFonts w:ascii="Arial" w:hAnsi="Arial" w:cs="Arial"/>
          <w:sz w:val="28"/>
          <w:szCs w:val="28"/>
        </w:rPr>
      </w:pPr>
    </w:p>
    <w:p w:rsidR="00513BC3" w:rsidRDefault="00513BC3" w:rsidP="00513BC3">
      <w:pPr>
        <w:spacing w:line="360" w:lineRule="auto"/>
        <w:ind w:left="720" w:hanging="720"/>
        <w:jc w:val="both"/>
        <w:rPr>
          <w:rFonts w:ascii="Arial" w:hAnsi="Arial" w:cs="Arial"/>
          <w:sz w:val="28"/>
          <w:szCs w:val="28"/>
        </w:rPr>
      </w:pPr>
      <w:r>
        <w:rPr>
          <w:rFonts w:ascii="Arial" w:hAnsi="Arial" w:cs="Arial"/>
          <w:sz w:val="28"/>
          <w:szCs w:val="28"/>
        </w:rPr>
        <w:t>[15</w:t>
      </w:r>
      <w:r w:rsidRPr="00513BC3">
        <w:rPr>
          <w:rFonts w:ascii="Arial" w:hAnsi="Arial" w:cs="Arial"/>
          <w:sz w:val="28"/>
          <w:szCs w:val="28"/>
        </w:rPr>
        <w:t>]</w:t>
      </w:r>
      <w:r w:rsidRPr="00513BC3">
        <w:rPr>
          <w:rFonts w:ascii="Arial" w:hAnsi="Arial" w:cs="Arial"/>
          <w:sz w:val="28"/>
          <w:szCs w:val="28"/>
        </w:rPr>
        <w:tab/>
        <w:t xml:space="preserve">In as far as the court </w:t>
      </w:r>
      <w:r w:rsidRPr="00513BC3">
        <w:rPr>
          <w:rFonts w:ascii="Arial" w:hAnsi="Arial" w:cs="Arial"/>
          <w:i/>
          <w:sz w:val="28"/>
          <w:szCs w:val="28"/>
        </w:rPr>
        <w:t>a quo</w:t>
      </w:r>
      <w:r w:rsidRPr="00513BC3">
        <w:rPr>
          <w:rFonts w:ascii="Arial" w:hAnsi="Arial" w:cs="Arial"/>
          <w:sz w:val="28"/>
          <w:szCs w:val="28"/>
        </w:rPr>
        <w:t xml:space="preserve"> may have made findings</w:t>
      </w:r>
      <w:r w:rsidR="00B724BD">
        <w:rPr>
          <w:rFonts w:ascii="Arial" w:hAnsi="Arial" w:cs="Arial"/>
          <w:sz w:val="28"/>
          <w:szCs w:val="28"/>
        </w:rPr>
        <w:t xml:space="preserve"> pertaining to the merits</w:t>
      </w:r>
      <w:r w:rsidRPr="00513BC3">
        <w:rPr>
          <w:rFonts w:ascii="Arial" w:hAnsi="Arial" w:cs="Arial"/>
          <w:sz w:val="28"/>
          <w:szCs w:val="28"/>
        </w:rPr>
        <w:t xml:space="preserve"> in the reasons</w:t>
      </w:r>
      <w:r w:rsidR="00B724BD">
        <w:rPr>
          <w:rFonts w:ascii="Arial" w:hAnsi="Arial" w:cs="Arial"/>
          <w:sz w:val="28"/>
          <w:szCs w:val="28"/>
        </w:rPr>
        <w:t xml:space="preserve"> </w:t>
      </w:r>
      <w:r w:rsidRPr="00513BC3">
        <w:rPr>
          <w:rFonts w:ascii="Arial" w:hAnsi="Arial" w:cs="Arial"/>
          <w:sz w:val="28"/>
          <w:szCs w:val="28"/>
        </w:rPr>
        <w:t>when coming to a finding on the preliminary point, such findings are set aside and the Tax Co</w:t>
      </w:r>
      <w:r w:rsidR="00B724BD">
        <w:rPr>
          <w:rFonts w:ascii="Arial" w:hAnsi="Arial" w:cs="Arial"/>
          <w:sz w:val="28"/>
          <w:szCs w:val="28"/>
        </w:rPr>
        <w:t>urt is to entertain the merits afresh.</w:t>
      </w:r>
    </w:p>
    <w:p w:rsidR="00536197" w:rsidRDefault="00536197" w:rsidP="00513BC3">
      <w:pPr>
        <w:spacing w:line="360" w:lineRule="auto"/>
        <w:ind w:left="720" w:hanging="720"/>
        <w:jc w:val="both"/>
        <w:rPr>
          <w:rFonts w:ascii="Arial" w:hAnsi="Arial" w:cs="Arial"/>
          <w:sz w:val="28"/>
          <w:szCs w:val="28"/>
        </w:rPr>
      </w:pPr>
    </w:p>
    <w:p w:rsidR="00536197" w:rsidRDefault="00536197" w:rsidP="00536197">
      <w:pPr>
        <w:spacing w:line="360" w:lineRule="auto"/>
        <w:ind w:left="720" w:hanging="720"/>
        <w:jc w:val="both"/>
        <w:rPr>
          <w:rFonts w:ascii="Arial" w:hAnsi="Arial" w:cs="Arial"/>
          <w:sz w:val="28"/>
          <w:szCs w:val="28"/>
          <w:u w:val="single"/>
        </w:rPr>
      </w:pPr>
      <w:r>
        <w:rPr>
          <w:rFonts w:ascii="Arial" w:hAnsi="Arial" w:cs="Arial"/>
          <w:sz w:val="28"/>
          <w:szCs w:val="28"/>
        </w:rPr>
        <w:tab/>
      </w:r>
      <w:r>
        <w:rPr>
          <w:rFonts w:ascii="Arial" w:hAnsi="Arial" w:cs="Arial"/>
          <w:sz w:val="28"/>
          <w:szCs w:val="28"/>
          <w:u w:val="single"/>
        </w:rPr>
        <w:t>Costs</w:t>
      </w:r>
    </w:p>
    <w:p w:rsidR="00513BC3" w:rsidRPr="00536197" w:rsidRDefault="00513BC3" w:rsidP="00536197">
      <w:pPr>
        <w:spacing w:line="360" w:lineRule="auto"/>
        <w:ind w:left="720" w:hanging="720"/>
        <w:jc w:val="both"/>
        <w:rPr>
          <w:rFonts w:ascii="Arial" w:hAnsi="Arial" w:cs="Arial"/>
          <w:sz w:val="28"/>
          <w:szCs w:val="28"/>
          <w:u w:val="single"/>
        </w:rPr>
      </w:pPr>
      <w:r>
        <w:rPr>
          <w:rFonts w:ascii="Arial" w:hAnsi="Arial" w:cs="Arial"/>
          <w:sz w:val="28"/>
          <w:szCs w:val="28"/>
        </w:rPr>
        <w:lastRenderedPageBreak/>
        <w:t>[16</w:t>
      </w:r>
      <w:r w:rsidRPr="00513BC3">
        <w:rPr>
          <w:rFonts w:ascii="Arial" w:hAnsi="Arial" w:cs="Arial"/>
          <w:sz w:val="28"/>
          <w:szCs w:val="28"/>
        </w:rPr>
        <w:t>]</w:t>
      </w:r>
      <w:r w:rsidRPr="00513BC3">
        <w:rPr>
          <w:rFonts w:ascii="Arial" w:hAnsi="Arial" w:cs="Arial"/>
          <w:sz w:val="28"/>
          <w:szCs w:val="28"/>
        </w:rPr>
        <w:tab/>
        <w:t xml:space="preserve">SARS only in argument at the hearing conceded that the court </w:t>
      </w:r>
      <w:r w:rsidRPr="00513BC3">
        <w:rPr>
          <w:rFonts w:ascii="Arial" w:hAnsi="Arial" w:cs="Arial"/>
          <w:i/>
          <w:sz w:val="28"/>
          <w:szCs w:val="28"/>
        </w:rPr>
        <w:t>a quo</w:t>
      </w:r>
      <w:r w:rsidRPr="00513BC3">
        <w:rPr>
          <w:rFonts w:ascii="Arial" w:hAnsi="Arial" w:cs="Arial"/>
          <w:sz w:val="28"/>
          <w:szCs w:val="28"/>
        </w:rPr>
        <w:t xml:space="preserve"> erred to make a ruling on the understatement penalties. A court hearing and ruling on a preliminary point, but granting an order on the merits, despit</w:t>
      </w:r>
      <w:r w:rsidR="00C45653">
        <w:rPr>
          <w:rFonts w:ascii="Arial" w:hAnsi="Arial" w:cs="Arial"/>
          <w:sz w:val="28"/>
          <w:szCs w:val="28"/>
        </w:rPr>
        <w:t>e it not being argued before it</w:t>
      </w:r>
      <w:r w:rsidRPr="00513BC3">
        <w:rPr>
          <w:rFonts w:ascii="Arial" w:hAnsi="Arial" w:cs="Arial"/>
          <w:sz w:val="28"/>
          <w:szCs w:val="28"/>
        </w:rPr>
        <w:t>,</w:t>
      </w:r>
      <w:r w:rsidR="00C45653">
        <w:rPr>
          <w:rFonts w:ascii="Arial" w:hAnsi="Arial" w:cs="Arial"/>
          <w:sz w:val="28"/>
          <w:szCs w:val="28"/>
        </w:rPr>
        <w:t xml:space="preserve"> </w:t>
      </w:r>
      <w:r w:rsidRPr="00513BC3">
        <w:rPr>
          <w:rFonts w:ascii="Arial" w:hAnsi="Arial" w:cs="Arial"/>
          <w:sz w:val="28"/>
          <w:szCs w:val="28"/>
        </w:rPr>
        <w:t>is irregular and must be set aside. On that basis counsel for Puma argued that SARS should pay the costs of this appeal as the concession</w:t>
      </w:r>
      <w:r w:rsidR="00C45653">
        <w:rPr>
          <w:rFonts w:ascii="Arial" w:hAnsi="Arial" w:cs="Arial"/>
          <w:sz w:val="28"/>
          <w:szCs w:val="28"/>
        </w:rPr>
        <w:t xml:space="preserve"> should have been made earlier.</w:t>
      </w:r>
    </w:p>
    <w:p w:rsidR="00C45653" w:rsidRPr="00513BC3" w:rsidRDefault="00C45653" w:rsidP="00513BC3">
      <w:pPr>
        <w:spacing w:line="360" w:lineRule="auto"/>
        <w:ind w:left="720" w:hanging="720"/>
        <w:jc w:val="both"/>
        <w:rPr>
          <w:rFonts w:ascii="Arial" w:hAnsi="Arial" w:cs="Arial"/>
          <w:sz w:val="28"/>
          <w:szCs w:val="28"/>
        </w:rPr>
      </w:pPr>
    </w:p>
    <w:p w:rsidR="00513BC3" w:rsidRPr="00513BC3" w:rsidRDefault="00C45653" w:rsidP="00513BC3">
      <w:pPr>
        <w:spacing w:line="360" w:lineRule="auto"/>
        <w:jc w:val="both"/>
        <w:rPr>
          <w:rFonts w:ascii="Arial" w:hAnsi="Arial" w:cs="Arial"/>
          <w:sz w:val="28"/>
          <w:szCs w:val="28"/>
        </w:rPr>
      </w:pPr>
      <w:r>
        <w:rPr>
          <w:rFonts w:ascii="Arial" w:hAnsi="Arial" w:cs="Arial"/>
          <w:sz w:val="28"/>
          <w:szCs w:val="28"/>
        </w:rPr>
        <w:t>[17</w:t>
      </w:r>
      <w:r w:rsidR="00513BC3" w:rsidRPr="00513BC3">
        <w:rPr>
          <w:rFonts w:ascii="Arial" w:hAnsi="Arial" w:cs="Arial"/>
          <w:sz w:val="28"/>
          <w:szCs w:val="28"/>
        </w:rPr>
        <w:t>]</w:t>
      </w:r>
      <w:r w:rsidR="00513BC3" w:rsidRPr="00513BC3">
        <w:rPr>
          <w:rFonts w:ascii="Arial" w:hAnsi="Arial" w:cs="Arial"/>
          <w:sz w:val="28"/>
          <w:szCs w:val="28"/>
        </w:rPr>
        <w:tab/>
        <w:t>I am satisfied that the costs should follow the result.</w:t>
      </w:r>
    </w:p>
    <w:p w:rsidR="00C45653" w:rsidRDefault="00C45653" w:rsidP="00513BC3">
      <w:pPr>
        <w:spacing w:line="360" w:lineRule="auto"/>
        <w:jc w:val="both"/>
        <w:rPr>
          <w:rFonts w:ascii="Arial" w:hAnsi="Arial" w:cs="Arial"/>
          <w:sz w:val="28"/>
          <w:szCs w:val="28"/>
        </w:rPr>
      </w:pPr>
    </w:p>
    <w:p w:rsidR="00513BC3" w:rsidRPr="00513BC3" w:rsidRDefault="00C45653" w:rsidP="00513BC3">
      <w:pPr>
        <w:spacing w:line="360" w:lineRule="auto"/>
        <w:jc w:val="both"/>
        <w:rPr>
          <w:rFonts w:ascii="Arial" w:hAnsi="Arial" w:cs="Arial"/>
          <w:sz w:val="28"/>
          <w:szCs w:val="28"/>
        </w:rPr>
      </w:pPr>
      <w:r>
        <w:rPr>
          <w:rFonts w:ascii="Arial" w:hAnsi="Arial" w:cs="Arial"/>
          <w:sz w:val="28"/>
          <w:szCs w:val="28"/>
        </w:rPr>
        <w:t>[18</w:t>
      </w:r>
      <w:r w:rsidR="00513BC3" w:rsidRPr="00513BC3">
        <w:rPr>
          <w:rFonts w:ascii="Arial" w:hAnsi="Arial" w:cs="Arial"/>
          <w:sz w:val="28"/>
          <w:szCs w:val="28"/>
        </w:rPr>
        <w:t xml:space="preserve">] </w:t>
      </w:r>
      <w:r>
        <w:rPr>
          <w:rFonts w:ascii="Arial" w:hAnsi="Arial" w:cs="Arial"/>
          <w:sz w:val="28"/>
          <w:szCs w:val="28"/>
        </w:rPr>
        <w:tab/>
      </w:r>
      <w:r w:rsidR="00513BC3" w:rsidRPr="00513BC3">
        <w:rPr>
          <w:rFonts w:ascii="Arial" w:hAnsi="Arial" w:cs="Arial"/>
          <w:sz w:val="28"/>
          <w:szCs w:val="28"/>
        </w:rPr>
        <w:t>I accordingly propose the following order:</w:t>
      </w:r>
    </w:p>
    <w:p w:rsidR="00513BC3" w:rsidRPr="00513BC3" w:rsidRDefault="00C45653" w:rsidP="00513BC3">
      <w:pPr>
        <w:spacing w:line="360" w:lineRule="auto"/>
        <w:jc w:val="both"/>
        <w:rPr>
          <w:rFonts w:ascii="Arial" w:hAnsi="Arial" w:cs="Arial"/>
          <w:sz w:val="28"/>
          <w:szCs w:val="28"/>
        </w:rPr>
      </w:pPr>
      <w:r>
        <w:rPr>
          <w:rFonts w:ascii="Arial" w:hAnsi="Arial" w:cs="Arial"/>
          <w:sz w:val="28"/>
          <w:szCs w:val="28"/>
        </w:rPr>
        <w:t>[18</w:t>
      </w:r>
      <w:r w:rsidR="00513BC3" w:rsidRPr="00513BC3">
        <w:rPr>
          <w:rFonts w:ascii="Arial" w:hAnsi="Arial" w:cs="Arial"/>
          <w:sz w:val="28"/>
          <w:szCs w:val="28"/>
        </w:rPr>
        <w:t xml:space="preserve">.1] </w:t>
      </w:r>
      <w:r>
        <w:rPr>
          <w:rFonts w:ascii="Arial" w:hAnsi="Arial" w:cs="Arial"/>
          <w:sz w:val="28"/>
          <w:szCs w:val="28"/>
        </w:rPr>
        <w:tab/>
      </w:r>
      <w:r w:rsidR="00513BC3" w:rsidRPr="00513BC3">
        <w:rPr>
          <w:rFonts w:ascii="Arial" w:hAnsi="Arial" w:cs="Arial"/>
          <w:sz w:val="28"/>
          <w:szCs w:val="28"/>
        </w:rPr>
        <w:t>The appeal is upheld with costs:</w:t>
      </w:r>
    </w:p>
    <w:p w:rsidR="00513BC3" w:rsidRPr="00513BC3" w:rsidRDefault="00C45653" w:rsidP="00C45653">
      <w:pPr>
        <w:spacing w:line="360" w:lineRule="auto"/>
        <w:ind w:left="1440" w:hanging="1440"/>
        <w:jc w:val="both"/>
        <w:rPr>
          <w:rFonts w:ascii="Arial" w:hAnsi="Arial" w:cs="Arial"/>
          <w:sz w:val="28"/>
          <w:szCs w:val="28"/>
        </w:rPr>
      </w:pPr>
      <w:r>
        <w:rPr>
          <w:rFonts w:ascii="Arial" w:hAnsi="Arial" w:cs="Arial"/>
          <w:sz w:val="28"/>
          <w:szCs w:val="28"/>
        </w:rPr>
        <w:t>[18</w:t>
      </w:r>
      <w:r w:rsidR="00513BC3" w:rsidRPr="00513BC3">
        <w:rPr>
          <w:rFonts w:ascii="Arial" w:hAnsi="Arial" w:cs="Arial"/>
          <w:sz w:val="28"/>
          <w:szCs w:val="28"/>
        </w:rPr>
        <w:t>.2]</w:t>
      </w:r>
      <w:r w:rsidR="00513BC3" w:rsidRPr="00513BC3">
        <w:rPr>
          <w:rFonts w:ascii="Arial" w:hAnsi="Arial" w:cs="Arial"/>
          <w:sz w:val="28"/>
          <w:szCs w:val="28"/>
        </w:rPr>
        <w:tab/>
        <w:t xml:space="preserve">The order of the court </w:t>
      </w:r>
      <w:r w:rsidR="00513BC3" w:rsidRPr="00C45653">
        <w:rPr>
          <w:rFonts w:ascii="Arial" w:hAnsi="Arial" w:cs="Arial"/>
          <w:i/>
          <w:sz w:val="28"/>
          <w:szCs w:val="28"/>
        </w:rPr>
        <w:t>a quo</w:t>
      </w:r>
      <w:r w:rsidR="00513BC3" w:rsidRPr="00513BC3">
        <w:rPr>
          <w:rFonts w:ascii="Arial" w:hAnsi="Arial" w:cs="Arial"/>
          <w:sz w:val="28"/>
          <w:szCs w:val="28"/>
        </w:rPr>
        <w:t xml:space="preserve"> is set </w:t>
      </w:r>
      <w:r w:rsidR="001D20B2">
        <w:rPr>
          <w:rFonts w:ascii="Arial" w:hAnsi="Arial" w:cs="Arial"/>
          <w:sz w:val="28"/>
          <w:szCs w:val="28"/>
        </w:rPr>
        <w:t xml:space="preserve">aside </w:t>
      </w:r>
      <w:bookmarkStart w:id="0" w:name="_GoBack"/>
      <w:bookmarkEnd w:id="0"/>
      <w:r w:rsidR="00513BC3" w:rsidRPr="00513BC3">
        <w:rPr>
          <w:rFonts w:ascii="Arial" w:hAnsi="Arial" w:cs="Arial"/>
          <w:sz w:val="28"/>
          <w:szCs w:val="28"/>
        </w:rPr>
        <w:t>and replaced with the following:</w:t>
      </w:r>
    </w:p>
    <w:p w:rsidR="00513BC3" w:rsidRPr="00C45653" w:rsidRDefault="00513BC3" w:rsidP="00C45653">
      <w:pPr>
        <w:spacing w:line="360" w:lineRule="auto"/>
        <w:ind w:left="2160"/>
        <w:jc w:val="both"/>
        <w:rPr>
          <w:rFonts w:ascii="Arial" w:hAnsi="Arial" w:cs="Arial"/>
          <w:i/>
          <w:sz w:val="28"/>
          <w:szCs w:val="28"/>
        </w:rPr>
      </w:pPr>
      <w:r w:rsidRPr="00C45653">
        <w:rPr>
          <w:rFonts w:ascii="Arial" w:hAnsi="Arial" w:cs="Arial"/>
          <w:i/>
          <w:sz w:val="28"/>
          <w:szCs w:val="28"/>
        </w:rPr>
        <w:t xml:space="preserve">“The respondent’s point in </w:t>
      </w:r>
      <w:proofErr w:type="spellStart"/>
      <w:r w:rsidRPr="00C45653">
        <w:rPr>
          <w:rFonts w:ascii="Arial" w:hAnsi="Arial" w:cs="Arial"/>
          <w:i/>
          <w:sz w:val="28"/>
          <w:szCs w:val="28"/>
        </w:rPr>
        <w:t>limine</w:t>
      </w:r>
      <w:proofErr w:type="spellEnd"/>
      <w:r w:rsidRPr="00C45653">
        <w:rPr>
          <w:rFonts w:ascii="Arial" w:hAnsi="Arial" w:cs="Arial"/>
          <w:i/>
          <w:sz w:val="28"/>
          <w:szCs w:val="28"/>
        </w:rPr>
        <w:t xml:space="preserve"> based on prescription is dismissed with costs”</w:t>
      </w:r>
    </w:p>
    <w:p w:rsidR="00513BC3" w:rsidRPr="00513BC3" w:rsidRDefault="00C45653" w:rsidP="00C45653">
      <w:pPr>
        <w:spacing w:line="360" w:lineRule="auto"/>
        <w:ind w:left="1440" w:hanging="1440"/>
        <w:jc w:val="both"/>
        <w:rPr>
          <w:rFonts w:ascii="Arial" w:hAnsi="Arial" w:cs="Arial"/>
          <w:sz w:val="28"/>
          <w:szCs w:val="28"/>
        </w:rPr>
      </w:pPr>
      <w:r>
        <w:rPr>
          <w:rFonts w:ascii="Arial" w:hAnsi="Arial" w:cs="Arial"/>
          <w:sz w:val="28"/>
          <w:szCs w:val="28"/>
        </w:rPr>
        <w:t>[18</w:t>
      </w:r>
      <w:r w:rsidR="00513BC3" w:rsidRPr="00513BC3">
        <w:rPr>
          <w:rFonts w:ascii="Arial" w:hAnsi="Arial" w:cs="Arial"/>
          <w:sz w:val="28"/>
          <w:szCs w:val="28"/>
        </w:rPr>
        <w:t>.3]</w:t>
      </w:r>
      <w:r w:rsidR="00513BC3" w:rsidRPr="00513BC3">
        <w:rPr>
          <w:rFonts w:ascii="Arial" w:hAnsi="Arial" w:cs="Arial"/>
          <w:sz w:val="28"/>
          <w:szCs w:val="28"/>
        </w:rPr>
        <w:tab/>
        <w:t>The matter is referred back to the Tax Court for adjudication of the Appellant’s appeal.</w:t>
      </w:r>
    </w:p>
    <w:p w:rsidR="00251F19" w:rsidRPr="00513BC3" w:rsidRDefault="00251F19" w:rsidP="00513BC3">
      <w:pPr>
        <w:spacing w:line="360" w:lineRule="auto"/>
        <w:rPr>
          <w:rFonts w:ascii="Arial" w:hAnsi="Arial" w:cs="Arial"/>
          <w:sz w:val="28"/>
          <w:szCs w:val="28"/>
        </w:rPr>
      </w:pPr>
    </w:p>
    <w:p w:rsidR="00251F19" w:rsidRPr="00513BC3" w:rsidRDefault="00251F19" w:rsidP="00251F19">
      <w:pPr>
        <w:rPr>
          <w:rFonts w:ascii="Arial" w:hAnsi="Arial" w:cs="Arial"/>
          <w:sz w:val="28"/>
          <w:szCs w:val="28"/>
        </w:rPr>
      </w:pPr>
    </w:p>
    <w:p w:rsidR="00251F19" w:rsidRPr="00251F19" w:rsidRDefault="00251F19" w:rsidP="00251F19">
      <w:pPr>
        <w:spacing w:line="240" w:lineRule="auto"/>
        <w:jc w:val="right"/>
        <w:rPr>
          <w:rFonts w:ascii="Arial" w:eastAsia="Calibri" w:hAnsi="Arial" w:cs="Arial"/>
          <w:sz w:val="24"/>
          <w:szCs w:val="24"/>
        </w:rPr>
      </w:pPr>
      <w:r w:rsidRPr="00251F19">
        <w:rPr>
          <w:rFonts w:ascii="Arial" w:eastAsia="Calibri" w:hAnsi="Arial" w:cs="Arial"/>
          <w:b/>
          <w:sz w:val="24"/>
          <w:szCs w:val="24"/>
        </w:rPr>
        <w:t>__________________</w:t>
      </w:r>
    </w:p>
    <w:p w:rsidR="00251F19" w:rsidRPr="00251F19" w:rsidRDefault="00251F19" w:rsidP="00251F19">
      <w:pPr>
        <w:spacing w:line="240" w:lineRule="auto"/>
        <w:jc w:val="right"/>
        <w:rPr>
          <w:rFonts w:ascii="Arial" w:eastAsia="Calibri" w:hAnsi="Arial" w:cs="Arial"/>
          <w:b/>
          <w:sz w:val="24"/>
          <w:szCs w:val="24"/>
        </w:rPr>
      </w:pPr>
      <w:r w:rsidRPr="00251F19">
        <w:rPr>
          <w:rFonts w:ascii="Arial" w:eastAsia="Calibri" w:hAnsi="Arial" w:cs="Arial"/>
          <w:b/>
          <w:sz w:val="24"/>
          <w:szCs w:val="24"/>
        </w:rPr>
        <w:t>S. POTTERILL</w:t>
      </w:r>
    </w:p>
    <w:p w:rsidR="00251F19" w:rsidRDefault="00251F19" w:rsidP="00251F19">
      <w:pPr>
        <w:spacing w:line="240" w:lineRule="auto"/>
        <w:jc w:val="right"/>
        <w:rPr>
          <w:rFonts w:ascii="Arial" w:eastAsia="Calibri" w:hAnsi="Arial" w:cs="Arial"/>
          <w:b/>
          <w:sz w:val="24"/>
          <w:szCs w:val="24"/>
        </w:rPr>
      </w:pPr>
      <w:r w:rsidRPr="00251F19">
        <w:rPr>
          <w:rFonts w:ascii="Arial" w:eastAsia="Calibri" w:hAnsi="Arial" w:cs="Arial"/>
          <w:b/>
          <w:sz w:val="24"/>
          <w:szCs w:val="24"/>
        </w:rPr>
        <w:t>JUDGE OF THE HIGH COURT</w:t>
      </w:r>
    </w:p>
    <w:p w:rsidR="003440FD" w:rsidRDefault="003440FD" w:rsidP="00251F19">
      <w:pPr>
        <w:spacing w:line="240" w:lineRule="auto"/>
        <w:jc w:val="right"/>
        <w:rPr>
          <w:rFonts w:ascii="Arial" w:eastAsia="Calibri" w:hAnsi="Arial" w:cs="Arial"/>
          <w:b/>
          <w:sz w:val="24"/>
          <w:szCs w:val="24"/>
        </w:rPr>
      </w:pPr>
    </w:p>
    <w:p w:rsidR="003440FD" w:rsidRDefault="003440FD" w:rsidP="003440FD">
      <w:pPr>
        <w:spacing w:line="240" w:lineRule="auto"/>
        <w:jc w:val="both"/>
        <w:rPr>
          <w:rFonts w:ascii="Arial" w:eastAsia="Calibri" w:hAnsi="Arial" w:cs="Arial"/>
          <w:sz w:val="24"/>
          <w:szCs w:val="24"/>
        </w:rPr>
      </w:pPr>
      <w:r>
        <w:rPr>
          <w:rFonts w:ascii="Arial" w:eastAsia="Calibri" w:hAnsi="Arial" w:cs="Arial"/>
          <w:sz w:val="24"/>
          <w:szCs w:val="24"/>
        </w:rPr>
        <w:t>I agree</w:t>
      </w:r>
    </w:p>
    <w:p w:rsidR="003440FD" w:rsidRDefault="003440FD" w:rsidP="003440FD">
      <w:pPr>
        <w:spacing w:line="240" w:lineRule="auto"/>
        <w:jc w:val="both"/>
        <w:rPr>
          <w:rFonts w:ascii="Arial" w:eastAsia="Calibri" w:hAnsi="Arial" w:cs="Arial"/>
          <w:sz w:val="24"/>
          <w:szCs w:val="24"/>
        </w:rPr>
      </w:pPr>
    </w:p>
    <w:p w:rsidR="00C45653" w:rsidRDefault="00C45653" w:rsidP="003440FD">
      <w:pPr>
        <w:spacing w:line="240" w:lineRule="auto"/>
        <w:jc w:val="both"/>
        <w:rPr>
          <w:rFonts w:ascii="Arial" w:eastAsia="Calibri" w:hAnsi="Arial" w:cs="Arial"/>
          <w:sz w:val="24"/>
          <w:szCs w:val="24"/>
        </w:rPr>
      </w:pPr>
    </w:p>
    <w:p w:rsidR="00C45653" w:rsidRDefault="00C45653" w:rsidP="003440FD">
      <w:pPr>
        <w:spacing w:line="240" w:lineRule="auto"/>
        <w:jc w:val="both"/>
        <w:rPr>
          <w:rFonts w:ascii="Arial" w:eastAsia="Calibri" w:hAnsi="Arial" w:cs="Arial"/>
          <w:sz w:val="24"/>
          <w:szCs w:val="24"/>
        </w:rPr>
      </w:pPr>
    </w:p>
    <w:p w:rsidR="0040301B" w:rsidRPr="00251F19" w:rsidRDefault="0040301B" w:rsidP="0040301B">
      <w:pPr>
        <w:spacing w:line="240" w:lineRule="auto"/>
        <w:jc w:val="right"/>
        <w:rPr>
          <w:rFonts w:ascii="Arial" w:eastAsia="Calibri" w:hAnsi="Arial" w:cs="Arial"/>
          <w:sz w:val="24"/>
          <w:szCs w:val="24"/>
        </w:rPr>
      </w:pPr>
      <w:r w:rsidRPr="00251F19">
        <w:rPr>
          <w:rFonts w:ascii="Arial" w:eastAsia="Calibri" w:hAnsi="Arial" w:cs="Arial"/>
          <w:b/>
          <w:sz w:val="24"/>
          <w:szCs w:val="24"/>
        </w:rPr>
        <w:t>__________________</w:t>
      </w:r>
    </w:p>
    <w:p w:rsidR="0040301B" w:rsidRPr="00251F19" w:rsidRDefault="0040301B" w:rsidP="0040301B">
      <w:pPr>
        <w:spacing w:line="240" w:lineRule="auto"/>
        <w:jc w:val="right"/>
        <w:rPr>
          <w:rFonts w:ascii="Arial" w:eastAsia="Calibri" w:hAnsi="Arial" w:cs="Arial"/>
          <w:b/>
          <w:sz w:val="24"/>
          <w:szCs w:val="24"/>
        </w:rPr>
      </w:pPr>
      <w:r>
        <w:rPr>
          <w:rFonts w:ascii="Arial" w:eastAsia="Calibri" w:hAnsi="Arial" w:cs="Arial"/>
          <w:b/>
          <w:sz w:val="24"/>
          <w:szCs w:val="24"/>
        </w:rPr>
        <w:t>L.M. MOLOPA</w:t>
      </w:r>
    </w:p>
    <w:p w:rsidR="0040301B" w:rsidRDefault="0040301B" w:rsidP="0040301B">
      <w:pPr>
        <w:spacing w:line="240" w:lineRule="auto"/>
        <w:jc w:val="right"/>
        <w:rPr>
          <w:rFonts w:ascii="Arial" w:eastAsia="Calibri" w:hAnsi="Arial" w:cs="Arial"/>
          <w:b/>
          <w:sz w:val="24"/>
          <w:szCs w:val="24"/>
        </w:rPr>
      </w:pPr>
      <w:r w:rsidRPr="00251F19">
        <w:rPr>
          <w:rFonts w:ascii="Arial" w:eastAsia="Calibri" w:hAnsi="Arial" w:cs="Arial"/>
          <w:b/>
          <w:sz w:val="24"/>
          <w:szCs w:val="24"/>
        </w:rPr>
        <w:t>JUDGE OF THE HIGH COURT</w:t>
      </w:r>
    </w:p>
    <w:p w:rsidR="003440FD" w:rsidRDefault="003440FD" w:rsidP="0040301B">
      <w:pPr>
        <w:spacing w:line="240" w:lineRule="auto"/>
        <w:jc w:val="right"/>
        <w:rPr>
          <w:rFonts w:ascii="Arial" w:eastAsia="Calibri" w:hAnsi="Arial" w:cs="Arial"/>
          <w:sz w:val="24"/>
          <w:szCs w:val="24"/>
        </w:rPr>
      </w:pPr>
    </w:p>
    <w:p w:rsidR="0040301B" w:rsidRDefault="0040301B" w:rsidP="0040301B">
      <w:pPr>
        <w:spacing w:line="240" w:lineRule="auto"/>
        <w:jc w:val="right"/>
        <w:rPr>
          <w:rFonts w:ascii="Arial" w:eastAsia="Calibri" w:hAnsi="Arial" w:cs="Arial"/>
          <w:sz w:val="24"/>
          <w:szCs w:val="24"/>
        </w:rPr>
      </w:pPr>
    </w:p>
    <w:p w:rsidR="0040301B" w:rsidRDefault="0040301B" w:rsidP="0040301B">
      <w:pPr>
        <w:spacing w:line="240" w:lineRule="auto"/>
        <w:jc w:val="both"/>
        <w:rPr>
          <w:rFonts w:ascii="Arial" w:eastAsia="Calibri" w:hAnsi="Arial" w:cs="Arial"/>
          <w:sz w:val="24"/>
          <w:szCs w:val="24"/>
        </w:rPr>
      </w:pPr>
      <w:r>
        <w:rPr>
          <w:rFonts w:ascii="Arial" w:eastAsia="Calibri" w:hAnsi="Arial" w:cs="Arial"/>
          <w:sz w:val="24"/>
          <w:szCs w:val="24"/>
        </w:rPr>
        <w:t>I agree</w:t>
      </w:r>
    </w:p>
    <w:p w:rsidR="0040301B" w:rsidRPr="00251F19" w:rsidRDefault="0040301B" w:rsidP="0040301B">
      <w:pPr>
        <w:spacing w:line="240" w:lineRule="auto"/>
        <w:jc w:val="right"/>
        <w:rPr>
          <w:rFonts w:ascii="Arial" w:eastAsia="Calibri" w:hAnsi="Arial" w:cs="Arial"/>
          <w:sz w:val="24"/>
          <w:szCs w:val="24"/>
        </w:rPr>
      </w:pPr>
      <w:r w:rsidRPr="00251F19">
        <w:rPr>
          <w:rFonts w:ascii="Arial" w:eastAsia="Calibri" w:hAnsi="Arial" w:cs="Arial"/>
          <w:b/>
          <w:sz w:val="24"/>
          <w:szCs w:val="24"/>
        </w:rPr>
        <w:t>__________________</w:t>
      </w:r>
    </w:p>
    <w:p w:rsidR="0040301B" w:rsidRPr="00251F19" w:rsidRDefault="0040301B" w:rsidP="0040301B">
      <w:pPr>
        <w:spacing w:line="240" w:lineRule="auto"/>
        <w:jc w:val="right"/>
        <w:rPr>
          <w:rFonts w:ascii="Arial" w:eastAsia="Calibri" w:hAnsi="Arial" w:cs="Arial"/>
          <w:b/>
          <w:sz w:val="24"/>
          <w:szCs w:val="24"/>
        </w:rPr>
      </w:pPr>
      <w:r>
        <w:rPr>
          <w:rFonts w:ascii="Arial" w:eastAsia="Calibri" w:hAnsi="Arial" w:cs="Arial"/>
          <w:b/>
          <w:sz w:val="24"/>
          <w:szCs w:val="24"/>
        </w:rPr>
        <w:t>T.P. BOKAKO</w:t>
      </w:r>
    </w:p>
    <w:p w:rsidR="0040301B" w:rsidRDefault="0040301B" w:rsidP="0040301B">
      <w:pPr>
        <w:spacing w:line="240" w:lineRule="auto"/>
        <w:jc w:val="right"/>
        <w:rPr>
          <w:rFonts w:ascii="Arial" w:eastAsia="Calibri" w:hAnsi="Arial" w:cs="Arial"/>
          <w:b/>
          <w:sz w:val="24"/>
          <w:szCs w:val="24"/>
        </w:rPr>
      </w:pPr>
      <w:r>
        <w:rPr>
          <w:rFonts w:ascii="Arial" w:eastAsia="Calibri" w:hAnsi="Arial" w:cs="Arial"/>
          <w:b/>
          <w:sz w:val="24"/>
          <w:szCs w:val="24"/>
        </w:rPr>
        <w:t xml:space="preserve">ACTING </w:t>
      </w:r>
      <w:r w:rsidRPr="00251F19">
        <w:rPr>
          <w:rFonts w:ascii="Arial" w:eastAsia="Calibri" w:hAnsi="Arial" w:cs="Arial"/>
          <w:b/>
          <w:sz w:val="24"/>
          <w:szCs w:val="24"/>
        </w:rPr>
        <w:t>JUDGE OF THE HIGH COURT</w:t>
      </w:r>
    </w:p>
    <w:p w:rsidR="0040301B" w:rsidRDefault="0040301B" w:rsidP="0040301B">
      <w:pPr>
        <w:spacing w:line="240" w:lineRule="auto"/>
        <w:jc w:val="both"/>
        <w:rPr>
          <w:rFonts w:ascii="Arial" w:eastAsia="Calibri" w:hAnsi="Arial" w:cs="Arial"/>
          <w:sz w:val="24"/>
          <w:szCs w:val="24"/>
        </w:rPr>
      </w:pPr>
    </w:p>
    <w:p w:rsidR="0040301B" w:rsidRPr="0040301B" w:rsidRDefault="0040301B" w:rsidP="0040301B">
      <w:pPr>
        <w:spacing w:line="240" w:lineRule="auto"/>
        <w:jc w:val="both"/>
        <w:rPr>
          <w:rFonts w:ascii="Arial" w:eastAsia="Calibri" w:hAnsi="Arial" w:cs="Arial"/>
          <w:sz w:val="24"/>
          <w:szCs w:val="24"/>
        </w:rPr>
      </w:pPr>
    </w:p>
    <w:p w:rsidR="00251F19" w:rsidRPr="00251F19" w:rsidRDefault="00251F19" w:rsidP="00251F19">
      <w:pPr>
        <w:spacing w:line="240" w:lineRule="auto"/>
        <w:rPr>
          <w:rFonts w:ascii="Arial" w:eastAsia="Calibri" w:hAnsi="Arial" w:cs="Arial"/>
          <w:sz w:val="24"/>
          <w:szCs w:val="24"/>
        </w:rPr>
      </w:pPr>
    </w:p>
    <w:p w:rsidR="00C45653" w:rsidRDefault="00C45653">
      <w:pPr>
        <w:spacing w:after="160" w:line="259" w:lineRule="auto"/>
        <w:rPr>
          <w:rFonts w:ascii="Arial" w:eastAsia="Calibri" w:hAnsi="Arial" w:cs="Arial"/>
          <w:sz w:val="24"/>
          <w:szCs w:val="24"/>
        </w:rPr>
      </w:pPr>
      <w:r>
        <w:rPr>
          <w:rFonts w:ascii="Arial" w:eastAsia="Calibri" w:hAnsi="Arial" w:cs="Arial"/>
          <w:sz w:val="24"/>
          <w:szCs w:val="24"/>
        </w:rPr>
        <w:br w:type="page"/>
      </w:r>
    </w:p>
    <w:p w:rsidR="00251F19" w:rsidRPr="00251F19" w:rsidRDefault="00251F19" w:rsidP="00251F19">
      <w:pPr>
        <w:spacing w:line="240" w:lineRule="auto"/>
        <w:rPr>
          <w:rFonts w:ascii="Arial" w:eastAsia="Calibri" w:hAnsi="Arial" w:cs="Arial"/>
          <w:sz w:val="24"/>
          <w:szCs w:val="24"/>
        </w:rPr>
      </w:pPr>
      <w:r w:rsidRPr="00251F19">
        <w:rPr>
          <w:rFonts w:ascii="Arial" w:eastAsia="Calibri" w:hAnsi="Arial" w:cs="Arial"/>
          <w:sz w:val="24"/>
          <w:szCs w:val="24"/>
        </w:rPr>
        <w:lastRenderedPageBreak/>
        <w:t>CASE NO:</w:t>
      </w:r>
      <w:r w:rsidR="00152CCA">
        <w:rPr>
          <w:rFonts w:ascii="Arial" w:eastAsia="Calibri" w:hAnsi="Arial" w:cs="Arial"/>
          <w:sz w:val="24"/>
          <w:szCs w:val="24"/>
        </w:rPr>
        <w:t xml:space="preserve">  A86/2021</w:t>
      </w:r>
    </w:p>
    <w:p w:rsidR="00251F19" w:rsidRPr="00251F19" w:rsidRDefault="00251F19" w:rsidP="00251F19">
      <w:pPr>
        <w:spacing w:line="240" w:lineRule="auto"/>
        <w:rPr>
          <w:rFonts w:ascii="Arial" w:eastAsia="Calibri" w:hAnsi="Arial" w:cs="Arial"/>
          <w:sz w:val="24"/>
          <w:szCs w:val="24"/>
        </w:rPr>
      </w:pPr>
    </w:p>
    <w:p w:rsidR="00251F19" w:rsidRPr="00251F19" w:rsidRDefault="00251F19" w:rsidP="00251F19">
      <w:pPr>
        <w:spacing w:line="240" w:lineRule="auto"/>
        <w:rPr>
          <w:rFonts w:ascii="Arial" w:eastAsia="Calibri" w:hAnsi="Arial" w:cs="Arial"/>
          <w:sz w:val="24"/>
          <w:szCs w:val="24"/>
        </w:rPr>
      </w:pPr>
      <w:r w:rsidRPr="00251F19">
        <w:rPr>
          <w:rFonts w:ascii="Arial" w:eastAsia="Calibri" w:hAnsi="Arial" w:cs="Arial"/>
          <w:sz w:val="24"/>
          <w:szCs w:val="24"/>
        </w:rPr>
        <w:t xml:space="preserve">HEARD ON:    </w:t>
      </w:r>
      <w:r w:rsidR="00152CCA">
        <w:rPr>
          <w:rFonts w:ascii="Arial" w:eastAsia="Calibri" w:hAnsi="Arial" w:cs="Arial"/>
          <w:sz w:val="24"/>
          <w:szCs w:val="24"/>
        </w:rPr>
        <w:t>3 August 2022</w:t>
      </w:r>
    </w:p>
    <w:p w:rsidR="00251F19" w:rsidRPr="00251F19" w:rsidRDefault="00251F19" w:rsidP="00251F19">
      <w:pPr>
        <w:spacing w:line="240" w:lineRule="auto"/>
        <w:rPr>
          <w:rFonts w:ascii="Arial" w:eastAsia="Calibri" w:hAnsi="Arial" w:cs="Arial"/>
          <w:sz w:val="24"/>
          <w:szCs w:val="24"/>
        </w:rPr>
      </w:pPr>
    </w:p>
    <w:p w:rsidR="00251F19" w:rsidRPr="00251F19" w:rsidRDefault="00152CCA" w:rsidP="00251F19">
      <w:pPr>
        <w:spacing w:line="240" w:lineRule="auto"/>
        <w:rPr>
          <w:rFonts w:ascii="Arial" w:eastAsia="Calibri" w:hAnsi="Arial" w:cs="Arial"/>
          <w:sz w:val="24"/>
          <w:szCs w:val="24"/>
        </w:rPr>
      </w:pPr>
      <w:r>
        <w:rPr>
          <w:rFonts w:ascii="Arial" w:eastAsia="Calibri" w:hAnsi="Arial" w:cs="Arial"/>
          <w:sz w:val="24"/>
          <w:szCs w:val="24"/>
        </w:rPr>
        <w:t>FOR THE APPELLANT</w:t>
      </w:r>
      <w:r w:rsidR="00251F19" w:rsidRPr="00251F19">
        <w:rPr>
          <w:rFonts w:ascii="Arial" w:eastAsia="Calibri" w:hAnsi="Arial" w:cs="Arial"/>
          <w:sz w:val="24"/>
          <w:szCs w:val="24"/>
        </w:rPr>
        <w:t xml:space="preserve">:  ADV. </w:t>
      </w:r>
      <w:r>
        <w:rPr>
          <w:rFonts w:ascii="Arial" w:eastAsia="Calibri" w:hAnsi="Arial" w:cs="Arial"/>
          <w:sz w:val="24"/>
          <w:szCs w:val="24"/>
        </w:rPr>
        <w:t>P.A. SWANEPOEL SC</w:t>
      </w:r>
    </w:p>
    <w:p w:rsidR="00251F19" w:rsidRPr="00251F19" w:rsidRDefault="00251F19" w:rsidP="00251F19">
      <w:pPr>
        <w:spacing w:line="240" w:lineRule="auto"/>
        <w:rPr>
          <w:rFonts w:ascii="Arial" w:eastAsia="Calibri" w:hAnsi="Arial" w:cs="Arial"/>
          <w:sz w:val="24"/>
          <w:szCs w:val="24"/>
        </w:rPr>
      </w:pPr>
    </w:p>
    <w:p w:rsidR="00251F19" w:rsidRDefault="00C30792" w:rsidP="00251F19">
      <w:pPr>
        <w:spacing w:line="240" w:lineRule="auto"/>
        <w:rPr>
          <w:rFonts w:ascii="Arial" w:eastAsia="Calibri" w:hAnsi="Arial" w:cs="Arial"/>
          <w:sz w:val="24"/>
          <w:szCs w:val="24"/>
        </w:rPr>
      </w:pPr>
      <w:r>
        <w:rPr>
          <w:rFonts w:ascii="Arial" w:eastAsia="Calibri" w:hAnsi="Arial" w:cs="Arial"/>
          <w:sz w:val="24"/>
          <w:szCs w:val="24"/>
        </w:rPr>
        <w:t xml:space="preserve">INSTRUCTED BY:   </w:t>
      </w:r>
      <w:proofErr w:type="spellStart"/>
      <w:r>
        <w:rPr>
          <w:rFonts w:ascii="Arial" w:eastAsia="Calibri" w:hAnsi="Arial" w:cs="Arial"/>
          <w:sz w:val="24"/>
          <w:szCs w:val="24"/>
        </w:rPr>
        <w:t>Cliffe</w:t>
      </w:r>
      <w:proofErr w:type="spellEnd"/>
      <w:r>
        <w:rPr>
          <w:rFonts w:ascii="Arial" w:eastAsia="Calibri" w:hAnsi="Arial" w:cs="Arial"/>
          <w:sz w:val="24"/>
          <w:szCs w:val="24"/>
        </w:rPr>
        <w:t xml:space="preserve"> Dekker Hofmeyr Inc c/o </w:t>
      </w:r>
      <w:proofErr w:type="spellStart"/>
      <w:r>
        <w:rPr>
          <w:rFonts w:ascii="Arial" w:eastAsia="Calibri" w:hAnsi="Arial" w:cs="Arial"/>
          <w:sz w:val="24"/>
          <w:szCs w:val="24"/>
        </w:rPr>
        <w:t>Friedland</w:t>
      </w:r>
      <w:proofErr w:type="spellEnd"/>
      <w:r>
        <w:rPr>
          <w:rFonts w:ascii="Arial" w:eastAsia="Calibri" w:hAnsi="Arial" w:cs="Arial"/>
          <w:sz w:val="24"/>
          <w:szCs w:val="24"/>
        </w:rPr>
        <w:t xml:space="preserve"> Hart Solomon &amp;  </w:t>
      </w:r>
    </w:p>
    <w:p w:rsidR="00C30792" w:rsidRPr="00251F19" w:rsidRDefault="00C30792" w:rsidP="00251F19">
      <w:pPr>
        <w:spacing w:line="240" w:lineRule="auto"/>
        <w:rPr>
          <w:rFonts w:ascii="Arial" w:eastAsia="Calibri" w:hAnsi="Arial" w:cs="Arial"/>
          <w:sz w:val="24"/>
          <w:szCs w:val="24"/>
        </w:rPr>
      </w:pPr>
      <w:r>
        <w:rPr>
          <w:rFonts w:ascii="Arial" w:eastAsia="Calibri" w:hAnsi="Arial" w:cs="Arial"/>
          <w:sz w:val="24"/>
          <w:szCs w:val="24"/>
        </w:rPr>
        <w:t xml:space="preserve">                                 Nicolson</w:t>
      </w:r>
    </w:p>
    <w:p w:rsidR="00251F19" w:rsidRPr="00251F19" w:rsidRDefault="00251F19" w:rsidP="00251F19">
      <w:pPr>
        <w:spacing w:line="240" w:lineRule="auto"/>
        <w:rPr>
          <w:rFonts w:ascii="Arial" w:eastAsia="Calibri" w:hAnsi="Arial" w:cs="Arial"/>
          <w:sz w:val="24"/>
          <w:szCs w:val="24"/>
        </w:rPr>
      </w:pPr>
    </w:p>
    <w:p w:rsidR="00152CCA" w:rsidRDefault="00251F19" w:rsidP="00251F19">
      <w:pPr>
        <w:spacing w:line="240" w:lineRule="auto"/>
        <w:rPr>
          <w:rFonts w:ascii="Arial" w:eastAsia="Calibri" w:hAnsi="Arial" w:cs="Arial"/>
          <w:sz w:val="24"/>
          <w:szCs w:val="24"/>
        </w:rPr>
      </w:pPr>
      <w:r w:rsidRPr="00251F19">
        <w:rPr>
          <w:rFonts w:ascii="Arial" w:eastAsia="Calibri" w:hAnsi="Arial" w:cs="Arial"/>
          <w:sz w:val="24"/>
          <w:szCs w:val="24"/>
        </w:rPr>
        <w:t>FOR THE RESPONDENT:  ADV.</w:t>
      </w:r>
      <w:r w:rsidR="00152CCA">
        <w:rPr>
          <w:rFonts w:ascii="Arial" w:eastAsia="Calibri" w:hAnsi="Arial" w:cs="Arial"/>
          <w:sz w:val="24"/>
          <w:szCs w:val="24"/>
        </w:rPr>
        <w:t xml:space="preserve"> O. MOKGATLE</w:t>
      </w:r>
    </w:p>
    <w:p w:rsidR="00251F19" w:rsidRPr="00251F19" w:rsidRDefault="00152CCA" w:rsidP="00251F19">
      <w:pPr>
        <w:spacing w:line="240" w:lineRule="auto"/>
        <w:rPr>
          <w:rFonts w:ascii="Arial" w:eastAsia="Calibri" w:hAnsi="Arial" w:cs="Arial"/>
          <w:sz w:val="24"/>
          <w:szCs w:val="24"/>
        </w:rPr>
      </w:pPr>
      <w:r>
        <w:rPr>
          <w:rFonts w:ascii="Arial" w:eastAsia="Calibri" w:hAnsi="Arial" w:cs="Arial"/>
          <w:sz w:val="24"/>
          <w:szCs w:val="24"/>
        </w:rPr>
        <w:t xml:space="preserve">                                             MS. T. SENATLA</w:t>
      </w:r>
      <w:r w:rsidR="00251F19" w:rsidRPr="00251F19">
        <w:rPr>
          <w:rFonts w:ascii="Arial" w:eastAsia="Calibri" w:hAnsi="Arial" w:cs="Arial"/>
          <w:sz w:val="24"/>
          <w:szCs w:val="24"/>
        </w:rPr>
        <w:t xml:space="preserve"> </w:t>
      </w:r>
    </w:p>
    <w:p w:rsidR="00251F19" w:rsidRPr="00251F19" w:rsidRDefault="00251F19" w:rsidP="00251F19">
      <w:pPr>
        <w:spacing w:line="240" w:lineRule="auto"/>
        <w:rPr>
          <w:rFonts w:ascii="Arial" w:eastAsia="Calibri" w:hAnsi="Arial" w:cs="Arial"/>
          <w:sz w:val="24"/>
          <w:szCs w:val="24"/>
        </w:rPr>
      </w:pPr>
    </w:p>
    <w:p w:rsidR="00251F19" w:rsidRPr="00251F19" w:rsidRDefault="00251F19" w:rsidP="00251F19">
      <w:pPr>
        <w:spacing w:line="240" w:lineRule="auto"/>
        <w:rPr>
          <w:rFonts w:ascii="Arial" w:eastAsia="Calibri" w:hAnsi="Arial" w:cs="Arial"/>
          <w:sz w:val="24"/>
          <w:szCs w:val="24"/>
        </w:rPr>
      </w:pPr>
      <w:r w:rsidRPr="00251F19">
        <w:rPr>
          <w:rFonts w:ascii="Arial" w:eastAsia="Calibri" w:hAnsi="Arial" w:cs="Arial"/>
          <w:sz w:val="24"/>
          <w:szCs w:val="24"/>
        </w:rPr>
        <w:t xml:space="preserve">INSTRUCTED BY:  </w:t>
      </w:r>
      <w:r w:rsidR="00C30792">
        <w:rPr>
          <w:rFonts w:ascii="Arial" w:eastAsia="Calibri" w:hAnsi="Arial" w:cs="Arial"/>
          <w:sz w:val="24"/>
          <w:szCs w:val="24"/>
        </w:rPr>
        <w:t>Registrar of Tax Court and SARS</w:t>
      </w:r>
    </w:p>
    <w:p w:rsidR="00251F19" w:rsidRPr="00251F19" w:rsidRDefault="00251F19" w:rsidP="00251F19">
      <w:pPr>
        <w:spacing w:line="240" w:lineRule="auto"/>
        <w:rPr>
          <w:rFonts w:ascii="Arial" w:eastAsia="Calibri" w:hAnsi="Arial" w:cs="Arial"/>
          <w:sz w:val="24"/>
          <w:szCs w:val="24"/>
        </w:rPr>
      </w:pPr>
    </w:p>
    <w:p w:rsidR="00251F19" w:rsidRPr="00251F19" w:rsidRDefault="00251F19" w:rsidP="00251F19">
      <w:pPr>
        <w:spacing w:line="240" w:lineRule="auto"/>
        <w:rPr>
          <w:rFonts w:ascii="Arial" w:eastAsia="Calibri" w:hAnsi="Arial" w:cs="Arial"/>
          <w:sz w:val="24"/>
          <w:szCs w:val="24"/>
        </w:rPr>
      </w:pPr>
      <w:r w:rsidRPr="00251F19">
        <w:rPr>
          <w:rFonts w:ascii="Arial" w:eastAsia="Calibri" w:hAnsi="Arial" w:cs="Arial"/>
          <w:sz w:val="24"/>
          <w:szCs w:val="24"/>
        </w:rPr>
        <w:t xml:space="preserve">DATE OF JUDGMENT:     </w:t>
      </w:r>
      <w:r w:rsidR="006F12C9">
        <w:rPr>
          <w:rFonts w:ascii="Arial" w:eastAsia="Calibri" w:hAnsi="Arial" w:cs="Arial"/>
          <w:sz w:val="24"/>
          <w:szCs w:val="24"/>
        </w:rPr>
        <w:t>20 September 2022</w:t>
      </w:r>
    </w:p>
    <w:p w:rsidR="00251F19" w:rsidRPr="00040901" w:rsidRDefault="00251F19" w:rsidP="00251F19">
      <w:pPr>
        <w:rPr>
          <w:rFonts w:ascii="Raavi" w:hAnsi="Raavi" w:cs="Raavi"/>
          <w:sz w:val="24"/>
          <w:szCs w:val="24"/>
        </w:rPr>
      </w:pPr>
    </w:p>
    <w:p w:rsidR="00251F19" w:rsidRPr="00040901" w:rsidRDefault="00251F19" w:rsidP="00251F19">
      <w:pPr>
        <w:rPr>
          <w:rFonts w:ascii="Raavi" w:hAnsi="Raavi" w:cs="Raavi"/>
          <w:b/>
          <w:sz w:val="28"/>
          <w:szCs w:val="28"/>
        </w:rPr>
      </w:pPr>
    </w:p>
    <w:p w:rsidR="00DE5432" w:rsidRDefault="00DE5432"/>
    <w:sectPr w:rsidR="00DE54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579" w:rsidRDefault="00912579">
      <w:pPr>
        <w:spacing w:after="0" w:line="240" w:lineRule="auto"/>
      </w:pPr>
      <w:r>
        <w:separator/>
      </w:r>
    </w:p>
  </w:endnote>
  <w:endnote w:type="continuationSeparator" w:id="0">
    <w:p w:rsidR="00912579" w:rsidRDefault="0091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579" w:rsidRDefault="00912579">
      <w:pPr>
        <w:spacing w:after="0" w:line="240" w:lineRule="auto"/>
      </w:pPr>
      <w:r>
        <w:separator/>
      </w:r>
    </w:p>
  </w:footnote>
  <w:footnote w:type="continuationSeparator" w:id="0">
    <w:p w:rsidR="00912579" w:rsidRDefault="00912579">
      <w:pPr>
        <w:spacing w:after="0" w:line="240" w:lineRule="auto"/>
      </w:pPr>
      <w:r>
        <w:continuationSeparator/>
      </w:r>
    </w:p>
  </w:footnote>
  <w:footnote w:id="1">
    <w:p w:rsidR="00513BC3" w:rsidRPr="00513BC3" w:rsidRDefault="00513BC3">
      <w:pPr>
        <w:pStyle w:val="FootnoteText"/>
        <w:rPr>
          <w:lang w:val="en-GB"/>
        </w:rPr>
      </w:pPr>
      <w:r>
        <w:rPr>
          <w:rStyle w:val="FootnoteReference"/>
        </w:rPr>
        <w:footnoteRef/>
      </w:r>
      <w:r>
        <w:t xml:space="preserve"> </w:t>
      </w:r>
      <w:proofErr w:type="spellStart"/>
      <w:r>
        <w:rPr>
          <w:i/>
        </w:rPr>
        <w:t>Makate</w:t>
      </w:r>
      <w:proofErr w:type="spellEnd"/>
      <w:r>
        <w:rPr>
          <w:i/>
        </w:rPr>
        <w:t xml:space="preserve"> v Vodacom Ltd </w:t>
      </w:r>
      <w:r>
        <w:t>2016 (4) SA 121 (CC) para [93]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152CCA">
        <w:pPr>
          <w:pStyle w:val="Header"/>
          <w:jc w:val="center"/>
        </w:pPr>
        <w:r>
          <w:fldChar w:fldCharType="begin"/>
        </w:r>
        <w:r>
          <w:instrText xml:space="preserve"> PAGE   \* MERGEFORMAT </w:instrText>
        </w:r>
        <w:r>
          <w:fldChar w:fldCharType="separate"/>
        </w:r>
        <w:r w:rsidR="001D20B2">
          <w:rPr>
            <w:noProof/>
          </w:rPr>
          <w:t>8</w:t>
        </w:r>
        <w:r>
          <w:rPr>
            <w:noProof/>
          </w:rPr>
          <w:fldChar w:fldCharType="end"/>
        </w:r>
      </w:p>
    </w:sdtContent>
  </w:sdt>
  <w:p w:rsidR="00040901" w:rsidRDefault="009125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A5BAD"/>
    <w:multiLevelType w:val="hybridMultilevel"/>
    <w:tmpl w:val="F91C6C6A"/>
    <w:lvl w:ilvl="0" w:tplc="1ED668E0">
      <w:start w:val="1"/>
      <w:numFmt w:val="lowerLetter"/>
      <w:lvlText w:val="(%1)"/>
      <w:lvlJc w:val="left"/>
      <w:pPr>
        <w:ind w:left="2520" w:hanging="360"/>
      </w:p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start w:val="1"/>
      <w:numFmt w:val="decimal"/>
      <w:lvlText w:val="%4."/>
      <w:lvlJc w:val="left"/>
      <w:pPr>
        <w:ind w:left="4680" w:hanging="360"/>
      </w:pPr>
    </w:lvl>
    <w:lvl w:ilvl="4" w:tplc="1C090019">
      <w:start w:val="1"/>
      <w:numFmt w:val="lowerLetter"/>
      <w:lvlText w:val="%5."/>
      <w:lvlJc w:val="left"/>
      <w:pPr>
        <w:ind w:left="5400" w:hanging="360"/>
      </w:pPr>
    </w:lvl>
    <w:lvl w:ilvl="5" w:tplc="1C09001B">
      <w:start w:val="1"/>
      <w:numFmt w:val="lowerRoman"/>
      <w:lvlText w:val="%6."/>
      <w:lvlJc w:val="right"/>
      <w:pPr>
        <w:ind w:left="6120" w:hanging="180"/>
      </w:pPr>
    </w:lvl>
    <w:lvl w:ilvl="6" w:tplc="1C09000F">
      <w:start w:val="1"/>
      <w:numFmt w:val="decimal"/>
      <w:lvlText w:val="%7."/>
      <w:lvlJc w:val="left"/>
      <w:pPr>
        <w:ind w:left="6840" w:hanging="360"/>
      </w:pPr>
    </w:lvl>
    <w:lvl w:ilvl="7" w:tplc="1C090019">
      <w:start w:val="1"/>
      <w:numFmt w:val="lowerLetter"/>
      <w:lvlText w:val="%8."/>
      <w:lvlJc w:val="left"/>
      <w:pPr>
        <w:ind w:left="7560" w:hanging="360"/>
      </w:pPr>
    </w:lvl>
    <w:lvl w:ilvl="8" w:tplc="1C09001B">
      <w:start w:val="1"/>
      <w:numFmt w:val="lowerRoman"/>
      <w:lvlText w:val="%9."/>
      <w:lvlJc w:val="right"/>
      <w:pPr>
        <w:ind w:left="8280" w:hanging="180"/>
      </w:pPr>
    </w:lvl>
  </w:abstractNum>
  <w:abstractNum w:abstractNumId="1" w15:restartNumberingAfterBreak="0">
    <w:nsid w:val="4BC76587"/>
    <w:multiLevelType w:val="hybridMultilevel"/>
    <w:tmpl w:val="E530FDBC"/>
    <w:lvl w:ilvl="0" w:tplc="69B005E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19"/>
    <w:rsid w:val="00041C81"/>
    <w:rsid w:val="0009585D"/>
    <w:rsid w:val="00117476"/>
    <w:rsid w:val="00152CCA"/>
    <w:rsid w:val="001647F5"/>
    <w:rsid w:val="001823A0"/>
    <w:rsid w:val="001D20B2"/>
    <w:rsid w:val="00204498"/>
    <w:rsid w:val="00251F19"/>
    <w:rsid w:val="00255359"/>
    <w:rsid w:val="0030709C"/>
    <w:rsid w:val="003440FD"/>
    <w:rsid w:val="00396540"/>
    <w:rsid w:val="003B0D1E"/>
    <w:rsid w:val="003B5EE1"/>
    <w:rsid w:val="0040301B"/>
    <w:rsid w:val="0049539D"/>
    <w:rsid w:val="004C527D"/>
    <w:rsid w:val="00513BC3"/>
    <w:rsid w:val="00517718"/>
    <w:rsid w:val="00536197"/>
    <w:rsid w:val="005460DD"/>
    <w:rsid w:val="00622816"/>
    <w:rsid w:val="006F12C9"/>
    <w:rsid w:val="00785C84"/>
    <w:rsid w:val="00812C5F"/>
    <w:rsid w:val="00826EF1"/>
    <w:rsid w:val="008B30E9"/>
    <w:rsid w:val="008C5117"/>
    <w:rsid w:val="008F0FD8"/>
    <w:rsid w:val="00912579"/>
    <w:rsid w:val="009C4503"/>
    <w:rsid w:val="00AB77D3"/>
    <w:rsid w:val="00B70539"/>
    <w:rsid w:val="00B724BD"/>
    <w:rsid w:val="00C30792"/>
    <w:rsid w:val="00C45653"/>
    <w:rsid w:val="00DE5432"/>
    <w:rsid w:val="00ED1CC8"/>
    <w:rsid w:val="00F159D7"/>
    <w:rsid w:val="00F43B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642F"/>
  <w15:chartTrackingRefBased/>
  <w15:docId w15:val="{806309DF-2CD3-442B-BDC4-6B4CF92D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19"/>
  </w:style>
  <w:style w:type="paragraph" w:styleId="ListParagraph">
    <w:name w:val="List Paragraph"/>
    <w:basedOn w:val="Normal"/>
    <w:uiPriority w:val="34"/>
    <w:qFormat/>
    <w:rsid w:val="00513BC3"/>
    <w:pPr>
      <w:spacing w:after="160" w:line="256" w:lineRule="auto"/>
      <w:ind w:left="720"/>
      <w:contextualSpacing/>
    </w:pPr>
  </w:style>
  <w:style w:type="paragraph" w:styleId="FootnoteText">
    <w:name w:val="footnote text"/>
    <w:basedOn w:val="Normal"/>
    <w:link w:val="FootnoteTextChar"/>
    <w:uiPriority w:val="99"/>
    <w:semiHidden/>
    <w:unhideWhenUsed/>
    <w:rsid w:val="00513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BC3"/>
    <w:rPr>
      <w:sz w:val="20"/>
      <w:szCs w:val="20"/>
    </w:rPr>
  </w:style>
  <w:style w:type="character" w:styleId="FootnoteReference">
    <w:name w:val="footnote reference"/>
    <w:basedOn w:val="DefaultParagraphFont"/>
    <w:uiPriority w:val="99"/>
    <w:semiHidden/>
    <w:unhideWhenUsed/>
    <w:rsid w:val="00513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FAA8-1938-43BB-822D-EBB7641A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5</cp:revision>
  <dcterms:created xsi:type="dcterms:W3CDTF">2022-09-14T12:16:00Z</dcterms:created>
  <dcterms:modified xsi:type="dcterms:W3CDTF">2022-09-20T09:57:00Z</dcterms:modified>
</cp:coreProperties>
</file>