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DB258" w14:textId="470AC253" w:rsidR="009660D6" w:rsidRDefault="009660D6" w:rsidP="00000FD2">
      <w:pPr>
        <w:pStyle w:val="WestPleadingpara1"/>
        <w:tabs>
          <w:tab w:val="clear" w:pos="567"/>
        </w:tabs>
        <w:spacing w:line="360" w:lineRule="auto"/>
        <w:ind w:left="0" w:firstLine="0"/>
        <w:jc w:val="center"/>
        <w:rPr>
          <w:b/>
          <w:bCs/>
        </w:rPr>
      </w:pPr>
      <w:r w:rsidRPr="00BF1F84">
        <w:rPr>
          <w:b/>
          <w:bCs/>
        </w:rPr>
        <w:t>IN THE</w:t>
      </w:r>
      <w:r>
        <w:rPr>
          <w:b/>
          <w:bCs/>
        </w:rPr>
        <w:t xml:space="preserve"> HIGH COURT OF SOUTH AFRICA</w:t>
      </w:r>
    </w:p>
    <w:p w14:paraId="3A8FAB7E" w14:textId="77777777" w:rsidR="009660D6" w:rsidRPr="00BF1F84" w:rsidRDefault="009660D6" w:rsidP="00000FD2">
      <w:pPr>
        <w:pStyle w:val="WestPleadingpara1"/>
        <w:tabs>
          <w:tab w:val="clear" w:pos="567"/>
        </w:tabs>
        <w:spacing w:line="360" w:lineRule="auto"/>
        <w:ind w:left="0" w:firstLine="0"/>
        <w:jc w:val="center"/>
        <w:rPr>
          <w:b/>
          <w:bCs/>
        </w:rPr>
      </w:pPr>
      <w:r>
        <w:rPr>
          <w:b/>
          <w:bCs/>
        </w:rPr>
        <w:t>(GAUTENG DIVISION, PRETORIA)</w:t>
      </w:r>
    </w:p>
    <w:p w14:paraId="34B2CC3A" w14:textId="7F344645" w:rsidR="009660D6" w:rsidRDefault="009660D6" w:rsidP="00000FD2">
      <w:pPr>
        <w:pStyle w:val="WestPleadingpara1"/>
        <w:tabs>
          <w:tab w:val="clear" w:pos="567"/>
        </w:tabs>
        <w:spacing w:line="360" w:lineRule="auto"/>
        <w:ind w:left="0" w:firstLine="0"/>
      </w:pPr>
    </w:p>
    <w:p w14:paraId="4A51A38A" w14:textId="11A56877" w:rsidR="009660D6" w:rsidRPr="004E2164" w:rsidRDefault="00A24CE8" w:rsidP="00000FD2">
      <w:pPr>
        <w:pStyle w:val="WestPleadingpara1"/>
        <w:tabs>
          <w:tab w:val="clear" w:pos="567"/>
        </w:tabs>
        <w:spacing w:line="360" w:lineRule="auto"/>
        <w:ind w:left="0" w:firstLine="0"/>
        <w:jc w:val="right"/>
        <w:rPr>
          <w:b/>
          <w:bCs/>
        </w:rPr>
      </w:pPr>
      <w:r w:rsidRPr="00A24CE8">
        <w:rPr>
          <w:rFonts w:ascii="Calibri" w:eastAsia="Calibri" w:hAnsi="Calibri" w:cs="Times New Roman"/>
          <w:noProof/>
          <w:kern w:val="0"/>
          <w:sz w:val="22"/>
          <w:lang w:val="en-US"/>
        </w:rPr>
        <mc:AlternateContent>
          <mc:Choice Requires="wps">
            <w:drawing>
              <wp:anchor distT="0" distB="0" distL="114300" distR="114300" simplePos="0" relativeHeight="251659264" behindDoc="0" locked="0" layoutInCell="1" allowOverlap="1" wp14:anchorId="13492263" wp14:editId="31C066A6">
                <wp:simplePos x="0" y="0"/>
                <wp:positionH relativeFrom="column">
                  <wp:posOffset>1671963</wp:posOffset>
                </wp:positionH>
                <wp:positionV relativeFrom="paragraph">
                  <wp:posOffset>240030</wp:posOffset>
                </wp:positionV>
                <wp:extent cx="2769235" cy="883920"/>
                <wp:effectExtent l="13335" t="8890" r="825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883920"/>
                        </a:xfrm>
                        <a:prstGeom prst="rect">
                          <a:avLst/>
                        </a:prstGeom>
                        <a:solidFill>
                          <a:srgbClr val="FFFFFF"/>
                        </a:solidFill>
                        <a:ln w="9525">
                          <a:solidFill>
                            <a:srgbClr val="000000"/>
                          </a:solidFill>
                          <a:miter lim="800000"/>
                          <a:headEnd/>
                          <a:tailEnd/>
                        </a:ln>
                      </wps:spPr>
                      <wps:txbx>
                        <w:txbxContent>
                          <w:p w14:paraId="2E1AD33E" w14:textId="21FBBC82" w:rsidR="00A24CE8" w:rsidRPr="00AE48BA" w:rsidRDefault="009B25C9" w:rsidP="009B25C9">
                            <w:pPr>
                              <w:tabs>
                                <w:tab w:val="left" w:pos="900"/>
                              </w:tabs>
                              <w:ind w:left="900" w:hanging="720"/>
                              <w:rPr>
                                <w:rFonts w:ascii="Century Gothic" w:hAnsi="Century Gothic"/>
                                <w:sz w:val="16"/>
                                <w:szCs w:val="19"/>
                              </w:rPr>
                            </w:pPr>
                            <w:r w:rsidRPr="00AE48BA">
                              <w:rPr>
                                <w:rFonts w:ascii="Century Gothic" w:hAnsi="Century Gothic"/>
                                <w:sz w:val="16"/>
                                <w:szCs w:val="19"/>
                              </w:rPr>
                              <w:t>(1)</w:t>
                            </w:r>
                            <w:r w:rsidRPr="00AE48BA">
                              <w:rPr>
                                <w:rFonts w:ascii="Century Gothic" w:hAnsi="Century Gothic"/>
                                <w:sz w:val="16"/>
                                <w:szCs w:val="19"/>
                              </w:rPr>
                              <w:tab/>
                            </w:r>
                            <w:r w:rsidR="00A24CE8" w:rsidRPr="00AE48BA">
                              <w:rPr>
                                <w:rFonts w:ascii="Century Gothic" w:hAnsi="Century Gothic"/>
                                <w:sz w:val="16"/>
                                <w:szCs w:val="19"/>
                              </w:rPr>
                              <w:t>REPORTABLE: YES/NO</w:t>
                            </w:r>
                          </w:p>
                          <w:p w14:paraId="5626B9C1" w14:textId="21E3247E" w:rsidR="00A24CE8" w:rsidRPr="00AE48BA" w:rsidRDefault="009B25C9" w:rsidP="009B25C9">
                            <w:pPr>
                              <w:tabs>
                                <w:tab w:val="left" w:pos="900"/>
                              </w:tabs>
                              <w:ind w:left="900" w:hanging="720"/>
                              <w:rPr>
                                <w:rFonts w:ascii="Century Gothic" w:hAnsi="Century Gothic"/>
                                <w:sz w:val="16"/>
                                <w:szCs w:val="19"/>
                              </w:rPr>
                            </w:pPr>
                            <w:r w:rsidRPr="00AE48BA">
                              <w:rPr>
                                <w:rFonts w:ascii="Century Gothic" w:hAnsi="Century Gothic"/>
                                <w:sz w:val="16"/>
                                <w:szCs w:val="19"/>
                              </w:rPr>
                              <w:t>(2)</w:t>
                            </w:r>
                            <w:r w:rsidRPr="00AE48BA">
                              <w:rPr>
                                <w:rFonts w:ascii="Century Gothic" w:hAnsi="Century Gothic"/>
                                <w:sz w:val="16"/>
                                <w:szCs w:val="19"/>
                              </w:rPr>
                              <w:tab/>
                            </w:r>
                            <w:r w:rsidR="00A24CE8" w:rsidRPr="00AE48BA">
                              <w:rPr>
                                <w:rFonts w:ascii="Century Gothic" w:hAnsi="Century Gothic"/>
                                <w:sz w:val="16"/>
                                <w:szCs w:val="19"/>
                              </w:rPr>
                              <w:t>OF INTEREST TO OTHER JUDGES: YES/NO</w:t>
                            </w:r>
                          </w:p>
                          <w:p w14:paraId="26B0FEDA" w14:textId="3D633488" w:rsidR="00A24CE8" w:rsidRPr="00AE48BA" w:rsidRDefault="009B25C9" w:rsidP="009B25C9">
                            <w:pPr>
                              <w:tabs>
                                <w:tab w:val="left" w:pos="900"/>
                              </w:tabs>
                              <w:ind w:left="900" w:hanging="720"/>
                              <w:rPr>
                                <w:rFonts w:ascii="Century Gothic" w:hAnsi="Century Gothic"/>
                                <w:sz w:val="16"/>
                                <w:szCs w:val="19"/>
                              </w:rPr>
                            </w:pPr>
                            <w:r w:rsidRPr="00AE48BA">
                              <w:rPr>
                                <w:rFonts w:ascii="Century Gothic" w:hAnsi="Century Gothic"/>
                                <w:sz w:val="16"/>
                                <w:szCs w:val="19"/>
                              </w:rPr>
                              <w:t>(3)</w:t>
                            </w:r>
                            <w:r w:rsidRPr="00AE48BA">
                              <w:rPr>
                                <w:rFonts w:ascii="Century Gothic" w:hAnsi="Century Gothic"/>
                                <w:sz w:val="16"/>
                                <w:szCs w:val="19"/>
                              </w:rPr>
                              <w:tab/>
                            </w:r>
                            <w:r w:rsidR="00A24CE8" w:rsidRPr="00AE48BA">
                              <w:rPr>
                                <w:rFonts w:ascii="Century Gothic" w:hAnsi="Century Gothic"/>
                                <w:sz w:val="16"/>
                                <w:szCs w:val="19"/>
                              </w:rPr>
                              <w:t xml:space="preserve">REVISED. </w:t>
                            </w:r>
                          </w:p>
                          <w:p w14:paraId="6F2DAD96" w14:textId="77777777" w:rsidR="00A24CE8" w:rsidRPr="00AE48BA" w:rsidRDefault="00A24CE8" w:rsidP="00A24CE8">
                            <w:pPr>
                              <w:rPr>
                                <w:rFonts w:ascii="Century Gothic" w:hAnsi="Century Gothic"/>
                                <w:b/>
                                <w:sz w:val="16"/>
                                <w:szCs w:val="19"/>
                              </w:rPr>
                            </w:pPr>
                          </w:p>
                          <w:p w14:paraId="46693CC4" w14:textId="77777777" w:rsidR="00A24CE8" w:rsidRPr="00AE48BA" w:rsidRDefault="00A24CE8" w:rsidP="00A24CE8">
                            <w:pPr>
                              <w:rPr>
                                <w:rFonts w:ascii="Century Gothic" w:hAnsi="Century Gothic"/>
                                <w:b/>
                                <w:sz w:val="16"/>
                                <w:szCs w:val="19"/>
                              </w:rPr>
                            </w:pPr>
                            <w:r w:rsidRPr="00AE48BA">
                              <w:rPr>
                                <w:rFonts w:ascii="Century Gothic" w:hAnsi="Century Gothic"/>
                                <w:b/>
                                <w:sz w:val="16"/>
                                <w:szCs w:val="19"/>
                              </w:rPr>
                              <w:t xml:space="preserve">         ……………………..</w:t>
                            </w:r>
                            <w:r w:rsidRPr="00AE48BA">
                              <w:rPr>
                                <w:rFonts w:ascii="Century Gothic" w:hAnsi="Century Gothic"/>
                                <w:b/>
                                <w:sz w:val="16"/>
                                <w:szCs w:val="19"/>
                              </w:rPr>
                              <w:tab/>
                              <w:t>………………………...</w:t>
                            </w:r>
                          </w:p>
                          <w:p w14:paraId="4E4D0CFC" w14:textId="77777777" w:rsidR="00A24CE8" w:rsidRPr="00AE48BA" w:rsidRDefault="00A24CE8" w:rsidP="00A24CE8">
                            <w:pPr>
                              <w:rPr>
                                <w:rFonts w:ascii="Century Gothic" w:hAnsi="Century Gothic"/>
                                <w:sz w:val="16"/>
                                <w:szCs w:val="19"/>
                              </w:rPr>
                            </w:pPr>
                            <w:r w:rsidRPr="00AE48BA">
                              <w:rPr>
                                <w:rFonts w:ascii="Century Gothic" w:hAnsi="Century Gothic"/>
                                <w:sz w:val="16"/>
                                <w:szCs w:val="19"/>
                              </w:rPr>
                              <w:t xml:space="preserve">                   DATE</w:t>
                            </w:r>
                            <w:r w:rsidRPr="00AE48BA">
                              <w:rPr>
                                <w:rFonts w:ascii="Century Gothic" w:hAnsi="Century Gothic"/>
                                <w:sz w:val="16"/>
                                <w:szCs w:val="19"/>
                              </w:rPr>
                              <w:tab/>
                            </w:r>
                            <w:r w:rsidRPr="00AE48BA">
                              <w:rPr>
                                <w:rFonts w:ascii="Century Gothic" w:hAnsi="Century Gothic"/>
                                <w:sz w:val="16"/>
                                <w:szCs w:val="19"/>
                              </w:rPr>
                              <w:tab/>
                            </w:r>
                            <w:r>
                              <w:rPr>
                                <w:rFonts w:ascii="Century Gothic" w:hAnsi="Century Gothic"/>
                                <w:sz w:val="16"/>
                                <w:szCs w:val="19"/>
                              </w:rPr>
                              <w:t xml:space="preserve">       </w:t>
                            </w:r>
                            <w:r w:rsidRPr="00AE48BA">
                              <w:rPr>
                                <w:rFonts w:ascii="Century Gothic" w:hAnsi="Century Gothic"/>
                                <w:sz w:val="16"/>
                                <w:szCs w:val="19"/>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92263" id="_x0000_t202" coordsize="21600,21600" o:spt="202" path="m,l,21600r21600,l21600,xe">
                <v:stroke joinstyle="miter"/>
                <v:path gradientshapeok="t" o:connecttype="rect"/>
              </v:shapetype>
              <v:shape id="Text Box 1" o:spid="_x0000_s1026" type="#_x0000_t202" style="position:absolute;left:0;text-align:left;margin-left:131.65pt;margin-top:18.9pt;width:218.05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">
                <v:textbox>
                  <w:txbxContent>
                    <w:p w14:paraId="2E1AD33E" w14:textId="21FBBC82" w:rsidR="00A24CE8" w:rsidRPr="00AE48BA" w:rsidRDefault="009B25C9" w:rsidP="009B25C9">
                      <w:pPr>
                        <w:tabs>
                          <w:tab w:val="left" w:pos="900"/>
                        </w:tabs>
                        <w:ind w:left="900" w:hanging="720"/>
                        <w:rPr>
                          <w:rFonts w:ascii="Century Gothic" w:hAnsi="Century Gothic"/>
                          <w:sz w:val="16"/>
                          <w:szCs w:val="19"/>
                        </w:rPr>
                      </w:pPr>
                      <w:r w:rsidRPr="00AE48BA">
                        <w:rPr>
                          <w:rFonts w:ascii="Century Gothic" w:hAnsi="Century Gothic"/>
                          <w:sz w:val="16"/>
                          <w:szCs w:val="19"/>
                        </w:rPr>
                        <w:t>(1)</w:t>
                      </w:r>
                      <w:r w:rsidRPr="00AE48BA">
                        <w:rPr>
                          <w:rFonts w:ascii="Century Gothic" w:hAnsi="Century Gothic"/>
                          <w:sz w:val="16"/>
                          <w:szCs w:val="19"/>
                        </w:rPr>
                        <w:tab/>
                      </w:r>
                      <w:r w:rsidR="00A24CE8" w:rsidRPr="00AE48BA">
                        <w:rPr>
                          <w:rFonts w:ascii="Century Gothic" w:hAnsi="Century Gothic"/>
                          <w:sz w:val="16"/>
                          <w:szCs w:val="19"/>
                        </w:rPr>
                        <w:t>REPORTABLE: YES/NO</w:t>
                      </w:r>
                    </w:p>
                    <w:p w14:paraId="5626B9C1" w14:textId="21E3247E" w:rsidR="00A24CE8" w:rsidRPr="00AE48BA" w:rsidRDefault="009B25C9" w:rsidP="009B25C9">
                      <w:pPr>
                        <w:tabs>
                          <w:tab w:val="left" w:pos="900"/>
                        </w:tabs>
                        <w:ind w:left="900" w:hanging="720"/>
                        <w:rPr>
                          <w:rFonts w:ascii="Century Gothic" w:hAnsi="Century Gothic"/>
                          <w:sz w:val="16"/>
                          <w:szCs w:val="19"/>
                        </w:rPr>
                      </w:pPr>
                      <w:r w:rsidRPr="00AE48BA">
                        <w:rPr>
                          <w:rFonts w:ascii="Century Gothic" w:hAnsi="Century Gothic"/>
                          <w:sz w:val="16"/>
                          <w:szCs w:val="19"/>
                        </w:rPr>
                        <w:t>(2)</w:t>
                      </w:r>
                      <w:r w:rsidRPr="00AE48BA">
                        <w:rPr>
                          <w:rFonts w:ascii="Century Gothic" w:hAnsi="Century Gothic"/>
                          <w:sz w:val="16"/>
                          <w:szCs w:val="19"/>
                        </w:rPr>
                        <w:tab/>
                      </w:r>
                      <w:r w:rsidR="00A24CE8" w:rsidRPr="00AE48BA">
                        <w:rPr>
                          <w:rFonts w:ascii="Century Gothic" w:hAnsi="Century Gothic"/>
                          <w:sz w:val="16"/>
                          <w:szCs w:val="19"/>
                        </w:rPr>
                        <w:t>OF INTEREST TO OTHER JUDGES: YES/NO</w:t>
                      </w:r>
                    </w:p>
                    <w:p w14:paraId="26B0FEDA" w14:textId="3D633488" w:rsidR="00A24CE8" w:rsidRPr="00AE48BA" w:rsidRDefault="009B25C9" w:rsidP="009B25C9">
                      <w:pPr>
                        <w:tabs>
                          <w:tab w:val="left" w:pos="900"/>
                        </w:tabs>
                        <w:ind w:left="900" w:hanging="720"/>
                        <w:rPr>
                          <w:rFonts w:ascii="Century Gothic" w:hAnsi="Century Gothic"/>
                          <w:sz w:val="16"/>
                          <w:szCs w:val="19"/>
                        </w:rPr>
                      </w:pPr>
                      <w:r w:rsidRPr="00AE48BA">
                        <w:rPr>
                          <w:rFonts w:ascii="Century Gothic" w:hAnsi="Century Gothic"/>
                          <w:sz w:val="16"/>
                          <w:szCs w:val="19"/>
                        </w:rPr>
                        <w:t>(3)</w:t>
                      </w:r>
                      <w:r w:rsidRPr="00AE48BA">
                        <w:rPr>
                          <w:rFonts w:ascii="Century Gothic" w:hAnsi="Century Gothic"/>
                          <w:sz w:val="16"/>
                          <w:szCs w:val="19"/>
                        </w:rPr>
                        <w:tab/>
                      </w:r>
                      <w:r w:rsidR="00A24CE8" w:rsidRPr="00AE48BA">
                        <w:rPr>
                          <w:rFonts w:ascii="Century Gothic" w:hAnsi="Century Gothic"/>
                          <w:sz w:val="16"/>
                          <w:szCs w:val="19"/>
                        </w:rPr>
                        <w:t xml:space="preserve">REVISED. </w:t>
                      </w:r>
                    </w:p>
                    <w:p w14:paraId="6F2DAD96" w14:textId="77777777" w:rsidR="00A24CE8" w:rsidRPr="00AE48BA" w:rsidRDefault="00A24CE8" w:rsidP="00A24CE8">
                      <w:pPr>
                        <w:rPr>
                          <w:rFonts w:ascii="Century Gothic" w:hAnsi="Century Gothic"/>
                          <w:b/>
                          <w:sz w:val="16"/>
                          <w:szCs w:val="19"/>
                        </w:rPr>
                      </w:pPr>
                    </w:p>
                    <w:p w14:paraId="46693CC4" w14:textId="77777777" w:rsidR="00A24CE8" w:rsidRPr="00AE48BA" w:rsidRDefault="00A24CE8" w:rsidP="00A24CE8">
                      <w:pPr>
                        <w:rPr>
                          <w:rFonts w:ascii="Century Gothic" w:hAnsi="Century Gothic"/>
                          <w:b/>
                          <w:sz w:val="16"/>
                          <w:szCs w:val="19"/>
                        </w:rPr>
                      </w:pPr>
                      <w:r w:rsidRPr="00AE48BA">
                        <w:rPr>
                          <w:rFonts w:ascii="Century Gothic" w:hAnsi="Century Gothic"/>
                          <w:b/>
                          <w:sz w:val="16"/>
                          <w:szCs w:val="19"/>
                        </w:rPr>
                        <w:t xml:space="preserve">         ……………………..</w:t>
                      </w:r>
                      <w:r w:rsidRPr="00AE48BA">
                        <w:rPr>
                          <w:rFonts w:ascii="Century Gothic" w:hAnsi="Century Gothic"/>
                          <w:b/>
                          <w:sz w:val="16"/>
                          <w:szCs w:val="19"/>
                        </w:rPr>
                        <w:tab/>
                        <w:t>………………………...</w:t>
                      </w:r>
                    </w:p>
                    <w:p w14:paraId="4E4D0CFC" w14:textId="77777777" w:rsidR="00A24CE8" w:rsidRPr="00AE48BA" w:rsidRDefault="00A24CE8" w:rsidP="00A24CE8">
                      <w:pPr>
                        <w:rPr>
                          <w:rFonts w:ascii="Century Gothic" w:hAnsi="Century Gothic"/>
                          <w:sz w:val="16"/>
                          <w:szCs w:val="19"/>
                        </w:rPr>
                      </w:pPr>
                      <w:r w:rsidRPr="00AE48BA">
                        <w:rPr>
                          <w:rFonts w:ascii="Century Gothic" w:hAnsi="Century Gothic"/>
                          <w:sz w:val="16"/>
                          <w:szCs w:val="19"/>
                        </w:rPr>
                        <w:t xml:space="preserve">                   DATE</w:t>
                      </w:r>
                      <w:r w:rsidRPr="00AE48BA">
                        <w:rPr>
                          <w:rFonts w:ascii="Century Gothic" w:hAnsi="Century Gothic"/>
                          <w:sz w:val="16"/>
                          <w:szCs w:val="19"/>
                        </w:rPr>
                        <w:tab/>
                      </w:r>
                      <w:r w:rsidRPr="00AE48BA">
                        <w:rPr>
                          <w:rFonts w:ascii="Century Gothic" w:hAnsi="Century Gothic"/>
                          <w:sz w:val="16"/>
                          <w:szCs w:val="19"/>
                        </w:rPr>
                        <w:tab/>
                      </w:r>
                      <w:r>
                        <w:rPr>
                          <w:rFonts w:ascii="Century Gothic" w:hAnsi="Century Gothic"/>
                          <w:sz w:val="16"/>
                          <w:szCs w:val="19"/>
                        </w:rPr>
                        <w:t xml:space="preserve">       </w:t>
                      </w:r>
                      <w:r w:rsidRPr="00AE48BA">
                        <w:rPr>
                          <w:rFonts w:ascii="Century Gothic" w:hAnsi="Century Gothic"/>
                          <w:sz w:val="16"/>
                          <w:szCs w:val="19"/>
                        </w:rPr>
                        <w:t>SIGNATURE</w:t>
                      </w:r>
                    </w:p>
                  </w:txbxContent>
                </v:textbox>
              </v:shape>
            </w:pict>
          </mc:Fallback>
        </mc:AlternateContent>
      </w:r>
      <w:r w:rsidR="009660D6">
        <w:t>Case No.</w:t>
      </w:r>
      <w:r w:rsidR="009810D4">
        <w:t xml:space="preserve"> </w:t>
      </w:r>
      <w:r w:rsidR="007C1E15">
        <w:rPr>
          <w:b/>
          <w:bCs/>
        </w:rPr>
        <w:t>43483</w:t>
      </w:r>
      <w:r w:rsidR="004E2164">
        <w:rPr>
          <w:b/>
          <w:bCs/>
        </w:rPr>
        <w:t>/202</w:t>
      </w:r>
      <w:r w:rsidR="007C1E15">
        <w:rPr>
          <w:b/>
          <w:bCs/>
        </w:rPr>
        <w:t>0</w:t>
      </w:r>
    </w:p>
    <w:p w14:paraId="337CA752" w14:textId="1BB63381" w:rsidR="00AB0F90" w:rsidRDefault="00AB0F90" w:rsidP="00000FD2">
      <w:pPr>
        <w:pStyle w:val="WestPleadingpara1"/>
        <w:tabs>
          <w:tab w:val="clear" w:pos="567"/>
        </w:tabs>
        <w:spacing w:line="360" w:lineRule="auto"/>
        <w:ind w:left="0" w:firstLine="0"/>
        <w:rPr>
          <w:b/>
          <w:bCs/>
          <w:color w:val="FF0000"/>
        </w:rPr>
      </w:pPr>
    </w:p>
    <w:p w14:paraId="7DCC6D06" w14:textId="7C3829B8" w:rsidR="009660D6" w:rsidRDefault="009660D6" w:rsidP="00000FD2">
      <w:pPr>
        <w:pStyle w:val="WestPleadingpara1"/>
        <w:tabs>
          <w:tab w:val="clear" w:pos="567"/>
        </w:tabs>
        <w:spacing w:line="360" w:lineRule="auto"/>
        <w:ind w:left="0" w:firstLine="0"/>
      </w:pPr>
      <w:r>
        <w:t>In the matter between:</w:t>
      </w:r>
      <w:r w:rsidR="00A24CE8">
        <w:t xml:space="preserve">    </w:t>
      </w:r>
    </w:p>
    <w:p w14:paraId="24D660D4" w14:textId="3CC20782" w:rsidR="00650E4C" w:rsidRDefault="00650E4C" w:rsidP="00000FD2">
      <w:pPr>
        <w:pStyle w:val="WestPleadingpara1"/>
        <w:tabs>
          <w:tab w:val="clear" w:pos="567"/>
        </w:tabs>
        <w:spacing w:line="360" w:lineRule="auto"/>
        <w:ind w:left="0" w:firstLine="0"/>
      </w:pPr>
    </w:p>
    <w:p w14:paraId="7AA6CDDB" w14:textId="77777777" w:rsidR="00A24CE8" w:rsidRDefault="00A24CE8" w:rsidP="00000FD2">
      <w:pPr>
        <w:pStyle w:val="WestPleadingpara1"/>
        <w:tabs>
          <w:tab w:val="clear" w:pos="567"/>
        </w:tabs>
        <w:spacing w:line="360" w:lineRule="auto"/>
        <w:ind w:left="0" w:firstLine="0"/>
      </w:pPr>
    </w:p>
    <w:tbl>
      <w:tblPr>
        <w:tblStyle w:val="TableGrid"/>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86"/>
      </w:tblGrid>
      <w:tr w:rsidR="00650E4C" w14:paraId="0BB67965" w14:textId="77777777" w:rsidTr="00000FD2">
        <w:tc>
          <w:tcPr>
            <w:tcW w:w="5387" w:type="dxa"/>
          </w:tcPr>
          <w:p w14:paraId="66485746" w14:textId="4C6B3458" w:rsidR="00650E4C" w:rsidRPr="00650E4C" w:rsidRDefault="007C1E15" w:rsidP="00000FD2">
            <w:pPr>
              <w:pStyle w:val="WestPleadingpara1"/>
              <w:tabs>
                <w:tab w:val="clear" w:pos="567"/>
              </w:tabs>
              <w:spacing w:line="360" w:lineRule="auto"/>
              <w:ind w:left="0" w:firstLine="0"/>
              <w:rPr>
                <w:b/>
                <w:bCs/>
              </w:rPr>
            </w:pPr>
            <w:r>
              <w:rPr>
                <w:b/>
                <w:bCs/>
              </w:rPr>
              <w:t>PROWALCO TATSUNO (PTY) LIMITED</w:t>
            </w:r>
          </w:p>
        </w:tc>
        <w:tc>
          <w:tcPr>
            <w:tcW w:w="3686" w:type="dxa"/>
          </w:tcPr>
          <w:p w14:paraId="004900F5" w14:textId="31D72AF6" w:rsidR="00650E4C" w:rsidRDefault="007C1E15" w:rsidP="00000FD2">
            <w:pPr>
              <w:pStyle w:val="WestPleadingpara1"/>
              <w:tabs>
                <w:tab w:val="clear" w:pos="567"/>
              </w:tabs>
              <w:spacing w:line="360" w:lineRule="auto"/>
              <w:ind w:left="0" w:firstLine="0"/>
              <w:jc w:val="right"/>
            </w:pPr>
            <w:r>
              <w:t>Plaintiff</w:t>
            </w:r>
          </w:p>
        </w:tc>
      </w:tr>
      <w:tr w:rsidR="00650E4C" w14:paraId="591B6F60" w14:textId="77777777" w:rsidTr="00000FD2">
        <w:tc>
          <w:tcPr>
            <w:tcW w:w="5387" w:type="dxa"/>
          </w:tcPr>
          <w:p w14:paraId="3CEB05DC" w14:textId="77045F70" w:rsidR="00650E4C" w:rsidRDefault="00650E4C" w:rsidP="00000FD2">
            <w:pPr>
              <w:pStyle w:val="WestPleadingpara1"/>
              <w:tabs>
                <w:tab w:val="clear" w:pos="567"/>
              </w:tabs>
              <w:spacing w:line="360" w:lineRule="auto"/>
              <w:ind w:left="0" w:firstLine="0"/>
            </w:pPr>
          </w:p>
        </w:tc>
        <w:tc>
          <w:tcPr>
            <w:tcW w:w="3686" w:type="dxa"/>
          </w:tcPr>
          <w:p w14:paraId="1F4C9C78" w14:textId="77777777" w:rsidR="00650E4C" w:rsidRDefault="00650E4C" w:rsidP="00000FD2">
            <w:pPr>
              <w:pStyle w:val="WestPleadingpara1"/>
              <w:tabs>
                <w:tab w:val="clear" w:pos="567"/>
              </w:tabs>
              <w:spacing w:line="360" w:lineRule="auto"/>
              <w:ind w:left="0" w:firstLine="0"/>
              <w:jc w:val="right"/>
            </w:pPr>
          </w:p>
        </w:tc>
      </w:tr>
      <w:tr w:rsidR="00650E4C" w14:paraId="0F0D5051" w14:textId="77777777" w:rsidTr="00000FD2">
        <w:tc>
          <w:tcPr>
            <w:tcW w:w="5387" w:type="dxa"/>
          </w:tcPr>
          <w:p w14:paraId="587AF9E6" w14:textId="6FB39D87" w:rsidR="00650E4C" w:rsidRDefault="004E2164" w:rsidP="00000FD2">
            <w:pPr>
              <w:pStyle w:val="WestPleadingpara1"/>
              <w:tabs>
                <w:tab w:val="clear" w:pos="567"/>
              </w:tabs>
              <w:spacing w:line="360" w:lineRule="auto"/>
              <w:ind w:left="0" w:firstLine="0"/>
            </w:pPr>
            <w:r>
              <w:t>a</w:t>
            </w:r>
            <w:r w:rsidR="00650E4C">
              <w:t>nd</w:t>
            </w:r>
          </w:p>
        </w:tc>
        <w:tc>
          <w:tcPr>
            <w:tcW w:w="3686" w:type="dxa"/>
          </w:tcPr>
          <w:p w14:paraId="00D1E365" w14:textId="77777777" w:rsidR="00650E4C" w:rsidRDefault="00650E4C" w:rsidP="00000FD2">
            <w:pPr>
              <w:pStyle w:val="WestPleadingpara1"/>
              <w:tabs>
                <w:tab w:val="clear" w:pos="567"/>
              </w:tabs>
              <w:spacing w:line="360" w:lineRule="auto"/>
              <w:ind w:left="0" w:firstLine="0"/>
              <w:jc w:val="right"/>
            </w:pPr>
          </w:p>
        </w:tc>
      </w:tr>
      <w:tr w:rsidR="00650E4C" w14:paraId="7F8A86EC" w14:textId="77777777" w:rsidTr="00000FD2">
        <w:tc>
          <w:tcPr>
            <w:tcW w:w="5387" w:type="dxa"/>
          </w:tcPr>
          <w:p w14:paraId="76F6EB5E" w14:textId="77777777" w:rsidR="00650E4C" w:rsidRDefault="00650E4C" w:rsidP="00000FD2">
            <w:pPr>
              <w:pStyle w:val="WestPleadingpara1"/>
              <w:tabs>
                <w:tab w:val="clear" w:pos="567"/>
              </w:tabs>
              <w:spacing w:line="360" w:lineRule="auto"/>
              <w:ind w:left="0" w:firstLine="0"/>
            </w:pPr>
          </w:p>
        </w:tc>
        <w:tc>
          <w:tcPr>
            <w:tcW w:w="3686" w:type="dxa"/>
          </w:tcPr>
          <w:p w14:paraId="79B067C9" w14:textId="77777777" w:rsidR="00650E4C" w:rsidRDefault="00650E4C" w:rsidP="00000FD2">
            <w:pPr>
              <w:pStyle w:val="WestPleadingpara1"/>
              <w:tabs>
                <w:tab w:val="clear" w:pos="567"/>
              </w:tabs>
              <w:spacing w:line="360" w:lineRule="auto"/>
              <w:ind w:left="0" w:firstLine="0"/>
              <w:jc w:val="right"/>
            </w:pPr>
          </w:p>
        </w:tc>
      </w:tr>
      <w:tr w:rsidR="00650E4C" w14:paraId="345EFAA6" w14:textId="77777777" w:rsidTr="00000FD2">
        <w:tc>
          <w:tcPr>
            <w:tcW w:w="5387" w:type="dxa"/>
          </w:tcPr>
          <w:p w14:paraId="0604F78F" w14:textId="4742709F" w:rsidR="00650E4C" w:rsidRPr="00650E4C" w:rsidRDefault="007C1E15" w:rsidP="00000FD2">
            <w:pPr>
              <w:pStyle w:val="WestPleadingpara1"/>
              <w:tabs>
                <w:tab w:val="clear" w:pos="567"/>
              </w:tabs>
              <w:spacing w:line="360" w:lineRule="auto"/>
              <w:ind w:left="0" w:firstLine="0"/>
              <w:rPr>
                <w:b/>
                <w:bCs/>
              </w:rPr>
            </w:pPr>
            <w:r>
              <w:rPr>
                <w:b/>
                <w:bCs/>
              </w:rPr>
              <w:t>VENTER, CARLO WYNAND</w:t>
            </w:r>
          </w:p>
        </w:tc>
        <w:tc>
          <w:tcPr>
            <w:tcW w:w="3686" w:type="dxa"/>
          </w:tcPr>
          <w:p w14:paraId="0799DA79" w14:textId="598D91BF" w:rsidR="00650E4C" w:rsidRDefault="007C1E15" w:rsidP="00000FD2">
            <w:pPr>
              <w:pStyle w:val="WestPleadingpara1"/>
              <w:tabs>
                <w:tab w:val="clear" w:pos="567"/>
              </w:tabs>
              <w:spacing w:line="360" w:lineRule="auto"/>
              <w:ind w:left="0" w:firstLine="0"/>
              <w:jc w:val="right"/>
            </w:pPr>
            <w:r>
              <w:t>Excipient / First Defendant</w:t>
            </w:r>
          </w:p>
        </w:tc>
      </w:tr>
      <w:tr w:rsidR="00271B85" w14:paraId="7AF894BD" w14:textId="77777777" w:rsidTr="00000FD2">
        <w:tc>
          <w:tcPr>
            <w:tcW w:w="5387" w:type="dxa"/>
          </w:tcPr>
          <w:p w14:paraId="65C690BA" w14:textId="77777777" w:rsidR="00271B85" w:rsidRDefault="00271B85" w:rsidP="00000FD2">
            <w:pPr>
              <w:pStyle w:val="WestPleadingpara1"/>
              <w:tabs>
                <w:tab w:val="clear" w:pos="567"/>
              </w:tabs>
              <w:spacing w:line="360" w:lineRule="auto"/>
              <w:ind w:left="0" w:firstLine="0"/>
              <w:rPr>
                <w:b/>
                <w:bCs/>
              </w:rPr>
            </w:pPr>
          </w:p>
        </w:tc>
        <w:tc>
          <w:tcPr>
            <w:tcW w:w="3686" w:type="dxa"/>
          </w:tcPr>
          <w:p w14:paraId="0DAB2D61" w14:textId="77777777" w:rsidR="00271B85" w:rsidRDefault="00271B85" w:rsidP="00000FD2">
            <w:pPr>
              <w:pStyle w:val="WestPleadingpara1"/>
              <w:tabs>
                <w:tab w:val="clear" w:pos="567"/>
              </w:tabs>
              <w:spacing w:line="360" w:lineRule="auto"/>
              <w:ind w:left="0" w:firstLine="0"/>
              <w:jc w:val="right"/>
            </w:pPr>
          </w:p>
        </w:tc>
      </w:tr>
      <w:tr w:rsidR="00271B85" w14:paraId="52EDDDD7" w14:textId="77777777" w:rsidTr="00000FD2">
        <w:tc>
          <w:tcPr>
            <w:tcW w:w="5387" w:type="dxa"/>
          </w:tcPr>
          <w:p w14:paraId="40F6ED69" w14:textId="190D19B4" w:rsidR="00271B85" w:rsidRDefault="00271B85" w:rsidP="00000FD2">
            <w:pPr>
              <w:pStyle w:val="WestPleadingpara1"/>
              <w:tabs>
                <w:tab w:val="clear" w:pos="567"/>
              </w:tabs>
              <w:spacing w:line="360" w:lineRule="auto"/>
              <w:ind w:left="0" w:firstLine="0"/>
              <w:rPr>
                <w:b/>
                <w:bCs/>
              </w:rPr>
            </w:pPr>
            <w:r>
              <w:rPr>
                <w:b/>
                <w:bCs/>
              </w:rPr>
              <w:t>FIXTRADE 130 CC</w:t>
            </w:r>
          </w:p>
        </w:tc>
        <w:tc>
          <w:tcPr>
            <w:tcW w:w="3686" w:type="dxa"/>
          </w:tcPr>
          <w:p w14:paraId="5BFEA431" w14:textId="4DED0607" w:rsidR="00271B85" w:rsidRDefault="00271B85" w:rsidP="00000FD2">
            <w:pPr>
              <w:pStyle w:val="WestPleadingpara1"/>
              <w:tabs>
                <w:tab w:val="clear" w:pos="567"/>
              </w:tabs>
              <w:spacing w:line="360" w:lineRule="auto"/>
              <w:ind w:left="0" w:firstLine="0"/>
              <w:jc w:val="right"/>
            </w:pPr>
            <w:r>
              <w:t>Second Defendant</w:t>
            </w:r>
          </w:p>
        </w:tc>
      </w:tr>
      <w:tr w:rsidR="00271B85" w14:paraId="7A685A16" w14:textId="77777777" w:rsidTr="00000FD2">
        <w:tc>
          <w:tcPr>
            <w:tcW w:w="5387" w:type="dxa"/>
          </w:tcPr>
          <w:p w14:paraId="5A4B6FE9" w14:textId="77777777" w:rsidR="00271B85" w:rsidRDefault="00271B85" w:rsidP="00000FD2">
            <w:pPr>
              <w:pStyle w:val="WestPleadingpara1"/>
              <w:tabs>
                <w:tab w:val="clear" w:pos="567"/>
              </w:tabs>
              <w:spacing w:line="360" w:lineRule="auto"/>
              <w:ind w:left="0" w:firstLine="0"/>
              <w:rPr>
                <w:b/>
                <w:bCs/>
              </w:rPr>
            </w:pPr>
          </w:p>
        </w:tc>
        <w:tc>
          <w:tcPr>
            <w:tcW w:w="3686" w:type="dxa"/>
          </w:tcPr>
          <w:p w14:paraId="1B111BE8" w14:textId="77777777" w:rsidR="00271B85" w:rsidRDefault="00271B85" w:rsidP="00000FD2">
            <w:pPr>
              <w:pStyle w:val="WestPleadingpara1"/>
              <w:tabs>
                <w:tab w:val="clear" w:pos="567"/>
              </w:tabs>
              <w:spacing w:line="360" w:lineRule="auto"/>
              <w:ind w:left="0" w:firstLine="0"/>
              <w:jc w:val="right"/>
            </w:pPr>
          </w:p>
        </w:tc>
      </w:tr>
      <w:tr w:rsidR="00271B85" w14:paraId="14C75C8C" w14:textId="77777777" w:rsidTr="00000FD2">
        <w:tc>
          <w:tcPr>
            <w:tcW w:w="5387" w:type="dxa"/>
          </w:tcPr>
          <w:p w14:paraId="6E4D01B3" w14:textId="6ECC3BB3" w:rsidR="00271B85" w:rsidRDefault="00271B85" w:rsidP="00000FD2">
            <w:pPr>
              <w:pStyle w:val="WestPleadingpara1"/>
              <w:tabs>
                <w:tab w:val="clear" w:pos="567"/>
              </w:tabs>
              <w:spacing w:line="360" w:lineRule="auto"/>
              <w:ind w:left="0" w:firstLine="0"/>
              <w:rPr>
                <w:b/>
                <w:bCs/>
              </w:rPr>
            </w:pPr>
            <w:r>
              <w:rPr>
                <w:b/>
                <w:bCs/>
              </w:rPr>
              <w:t xml:space="preserve">THE COMPANIES AND INTELLECTUAL PROPERTIES COMMISSION </w:t>
            </w:r>
          </w:p>
        </w:tc>
        <w:tc>
          <w:tcPr>
            <w:tcW w:w="3686" w:type="dxa"/>
          </w:tcPr>
          <w:p w14:paraId="1B472E49" w14:textId="17061BE2" w:rsidR="00271B85" w:rsidRDefault="00271B85" w:rsidP="00000FD2">
            <w:pPr>
              <w:pStyle w:val="WestPleadingpara1"/>
              <w:tabs>
                <w:tab w:val="clear" w:pos="567"/>
              </w:tabs>
              <w:spacing w:line="360" w:lineRule="auto"/>
              <w:ind w:left="0" w:firstLine="0"/>
              <w:jc w:val="right"/>
            </w:pPr>
            <w:r>
              <w:t>Third Defendant</w:t>
            </w:r>
          </w:p>
        </w:tc>
      </w:tr>
    </w:tbl>
    <w:p w14:paraId="39B312B0" w14:textId="23434F87" w:rsidR="00BF1F84" w:rsidRPr="0061300E" w:rsidRDefault="00BF1F84" w:rsidP="00873FCE">
      <w:pPr>
        <w:pStyle w:val="RetiefPleadingpara1"/>
        <w:numPr>
          <w:ilvl w:val="0"/>
          <w:numId w:val="0"/>
        </w:numPr>
        <w:spacing w:line="240" w:lineRule="auto"/>
        <w:rPr>
          <w:szCs w:val="24"/>
        </w:rPr>
      </w:pPr>
      <w:r w:rsidRPr="0061300E">
        <w:rPr>
          <w:szCs w:val="24"/>
        </w:rPr>
        <w:t>_________________________________________________________________</w:t>
      </w:r>
    </w:p>
    <w:p w14:paraId="0D41FD3C" w14:textId="684EB11A" w:rsidR="00BF1F84" w:rsidRPr="0061300E" w:rsidRDefault="00BF1F84" w:rsidP="00873FCE">
      <w:pPr>
        <w:pStyle w:val="RetiefPleadingpara1"/>
        <w:numPr>
          <w:ilvl w:val="0"/>
          <w:numId w:val="0"/>
        </w:numPr>
        <w:tabs>
          <w:tab w:val="right" w:pos="8781"/>
        </w:tabs>
        <w:spacing w:line="240" w:lineRule="auto"/>
      </w:pPr>
    </w:p>
    <w:p w14:paraId="2DED2217" w14:textId="482DE64D" w:rsidR="00BF1F84" w:rsidRPr="0061300E" w:rsidRDefault="000B4886" w:rsidP="00873FCE">
      <w:pPr>
        <w:pStyle w:val="RetiefPleadingpara1"/>
        <w:numPr>
          <w:ilvl w:val="0"/>
          <w:numId w:val="0"/>
        </w:numPr>
        <w:tabs>
          <w:tab w:val="right" w:pos="8781"/>
        </w:tabs>
        <w:spacing w:line="240" w:lineRule="auto"/>
        <w:jc w:val="center"/>
        <w:rPr>
          <w:b/>
          <w:bCs/>
        </w:rPr>
      </w:pPr>
      <w:r>
        <w:rPr>
          <w:b/>
          <w:bCs/>
        </w:rPr>
        <w:t>JUDGMENT</w:t>
      </w:r>
      <w:r w:rsidR="00282E95">
        <w:rPr>
          <w:b/>
          <w:bCs/>
        </w:rPr>
        <w:t xml:space="preserve"> </w:t>
      </w:r>
    </w:p>
    <w:p w14:paraId="6D7E4704" w14:textId="43EB00C7" w:rsidR="00BF1F84" w:rsidRPr="0061300E" w:rsidRDefault="00BF1F84" w:rsidP="00873FCE">
      <w:pPr>
        <w:pStyle w:val="RetiefPleadingpara1"/>
        <w:numPr>
          <w:ilvl w:val="0"/>
          <w:numId w:val="0"/>
        </w:numPr>
        <w:tabs>
          <w:tab w:val="right" w:pos="8781"/>
        </w:tabs>
        <w:spacing w:line="240" w:lineRule="auto"/>
      </w:pPr>
      <w:r w:rsidRPr="0061300E">
        <w:t>_________________________________________________________________</w:t>
      </w:r>
    </w:p>
    <w:p w14:paraId="1B8B3B82" w14:textId="11E9AEA9" w:rsidR="00BF1F84" w:rsidRPr="004E2164" w:rsidRDefault="000B4886" w:rsidP="00000FD2">
      <w:pPr>
        <w:pStyle w:val="RetiefPleadingpara1"/>
        <w:numPr>
          <w:ilvl w:val="0"/>
          <w:numId w:val="0"/>
        </w:numPr>
        <w:spacing w:before="480" w:after="480"/>
        <w:rPr>
          <w:b/>
          <w:bCs/>
          <w:szCs w:val="24"/>
        </w:rPr>
      </w:pPr>
      <w:r w:rsidRPr="004E2164">
        <w:rPr>
          <w:b/>
          <w:bCs/>
          <w:szCs w:val="24"/>
        </w:rPr>
        <w:t>RETIEF AJ</w:t>
      </w:r>
    </w:p>
    <w:p w14:paraId="565D6B33" w14:textId="7AAD12BF" w:rsidR="00275A66" w:rsidRPr="00EC5840" w:rsidRDefault="00275A66" w:rsidP="00000FD2">
      <w:pPr>
        <w:pStyle w:val="RetiefPleadingpara1"/>
        <w:numPr>
          <w:ilvl w:val="0"/>
          <w:numId w:val="0"/>
        </w:numPr>
        <w:spacing w:before="480" w:after="480"/>
        <w:rPr>
          <w:b/>
          <w:bCs/>
          <w:szCs w:val="24"/>
        </w:rPr>
      </w:pPr>
      <w:r w:rsidRPr="00EC5840">
        <w:rPr>
          <w:b/>
          <w:bCs/>
          <w:szCs w:val="24"/>
          <w:u w:val="single"/>
        </w:rPr>
        <w:t>INTRODUCTION</w:t>
      </w:r>
      <w:r w:rsidR="00CB1B54" w:rsidRPr="00EC5840">
        <w:rPr>
          <w:b/>
          <w:bCs/>
          <w:szCs w:val="24"/>
          <w:u w:val="single"/>
        </w:rPr>
        <w:t xml:space="preserve"> </w:t>
      </w:r>
    </w:p>
    <w:p w14:paraId="1F1A21C5" w14:textId="17D40F7F" w:rsidR="00271B85" w:rsidRPr="00D81BB2" w:rsidRDefault="009B25C9" w:rsidP="009B25C9">
      <w:pPr>
        <w:pStyle w:val="RetiefPleadingpara1"/>
        <w:numPr>
          <w:ilvl w:val="0"/>
          <w:numId w:val="0"/>
        </w:numPr>
        <w:tabs>
          <w:tab w:val="left" w:pos="851"/>
        </w:tabs>
        <w:spacing w:before="480" w:after="480"/>
        <w:rPr>
          <w:szCs w:val="24"/>
          <w:lang w:val="en-GB"/>
        </w:rPr>
      </w:pPr>
      <w:bookmarkStart w:id="0" w:name="_GoBack"/>
      <w:bookmarkEnd w:id="0"/>
      <w:r w:rsidRPr="00D81BB2">
        <w:rPr>
          <w:szCs w:val="24"/>
          <w:lang w:val="en-GB"/>
        </w:rPr>
        <w:t>[1]</w:t>
      </w:r>
      <w:r w:rsidRPr="00D81BB2">
        <w:rPr>
          <w:szCs w:val="24"/>
          <w:lang w:val="en-GB"/>
        </w:rPr>
        <w:tab/>
      </w:r>
      <w:r w:rsidR="00271B85" w:rsidRPr="00D81BB2">
        <w:rPr>
          <w:szCs w:val="24"/>
          <w:lang w:val="en-GB"/>
        </w:rPr>
        <w:t>The first defendant (“</w:t>
      </w:r>
      <w:r w:rsidR="00271B85" w:rsidRPr="00D81BB2">
        <w:rPr>
          <w:i/>
          <w:iCs/>
          <w:szCs w:val="24"/>
          <w:lang w:val="en-GB"/>
        </w:rPr>
        <w:t>the excipient</w:t>
      </w:r>
      <w:r w:rsidR="00271B85" w:rsidRPr="00D81BB2">
        <w:rPr>
          <w:szCs w:val="24"/>
          <w:lang w:val="en-GB"/>
        </w:rPr>
        <w:t xml:space="preserve">”) </w:t>
      </w:r>
      <w:r w:rsidR="00553313" w:rsidRPr="00D81BB2">
        <w:rPr>
          <w:szCs w:val="24"/>
          <w:lang w:val="en-GB"/>
        </w:rPr>
        <w:t xml:space="preserve">raised 7 (seven) grounds of </w:t>
      </w:r>
      <w:r w:rsidR="00271B85" w:rsidRPr="00D81BB2">
        <w:rPr>
          <w:szCs w:val="24"/>
          <w:lang w:val="en-GB"/>
        </w:rPr>
        <w:t>except</w:t>
      </w:r>
      <w:r w:rsidR="00553313" w:rsidRPr="00D81BB2">
        <w:rPr>
          <w:szCs w:val="24"/>
          <w:lang w:val="en-GB"/>
        </w:rPr>
        <w:t>ion against the</w:t>
      </w:r>
      <w:r w:rsidR="00271B85" w:rsidRPr="00D81BB2">
        <w:rPr>
          <w:szCs w:val="24"/>
          <w:lang w:val="en-GB"/>
        </w:rPr>
        <w:t xml:space="preserve"> plaintiff’s particulars of claim</w:t>
      </w:r>
      <w:r w:rsidR="00553313" w:rsidRPr="00D81BB2">
        <w:rPr>
          <w:szCs w:val="24"/>
          <w:lang w:val="en-GB"/>
        </w:rPr>
        <w:t>. The excipient in his notice of exception (“</w:t>
      </w:r>
      <w:r w:rsidR="00352A84">
        <w:rPr>
          <w:i/>
          <w:iCs/>
          <w:szCs w:val="24"/>
          <w:lang w:val="en-GB"/>
        </w:rPr>
        <w:t>notice</w:t>
      </w:r>
      <w:r w:rsidR="00553313" w:rsidRPr="00D81BB2">
        <w:rPr>
          <w:szCs w:val="24"/>
          <w:lang w:val="en-GB"/>
        </w:rPr>
        <w:t>”)</w:t>
      </w:r>
      <w:r w:rsidR="00271B85" w:rsidRPr="00D81BB2">
        <w:rPr>
          <w:szCs w:val="24"/>
          <w:lang w:val="en-GB"/>
        </w:rPr>
        <w:t xml:space="preserve">, </w:t>
      </w:r>
      <w:r w:rsidR="00553313" w:rsidRPr="00D81BB2">
        <w:rPr>
          <w:szCs w:val="24"/>
          <w:lang w:val="en-GB"/>
        </w:rPr>
        <w:t xml:space="preserve">relies </w:t>
      </w:r>
      <w:r w:rsidR="00271B85" w:rsidRPr="00D81BB2">
        <w:rPr>
          <w:szCs w:val="24"/>
          <w:lang w:val="en-GB"/>
        </w:rPr>
        <w:t xml:space="preserve">on </w:t>
      </w:r>
      <w:r w:rsidR="002E289A" w:rsidRPr="00D81BB2">
        <w:rPr>
          <w:szCs w:val="24"/>
          <w:lang w:val="en-GB"/>
        </w:rPr>
        <w:t xml:space="preserve">such </w:t>
      </w:r>
      <w:r w:rsidR="00271B85" w:rsidRPr="00D81BB2">
        <w:rPr>
          <w:szCs w:val="24"/>
          <w:lang w:val="en-GB"/>
        </w:rPr>
        <w:t>grounds</w:t>
      </w:r>
      <w:r w:rsidR="00C354EC" w:rsidRPr="00D81BB2">
        <w:rPr>
          <w:szCs w:val="24"/>
          <w:lang w:val="en-GB"/>
        </w:rPr>
        <w:t xml:space="preserve"> </w:t>
      </w:r>
      <w:r w:rsidR="00271B85" w:rsidRPr="00D81BB2">
        <w:rPr>
          <w:szCs w:val="24"/>
          <w:lang w:val="en-GB"/>
        </w:rPr>
        <w:t xml:space="preserve">that </w:t>
      </w:r>
      <w:r w:rsidR="002E289A" w:rsidRPr="00D81BB2">
        <w:rPr>
          <w:szCs w:val="24"/>
          <w:lang w:val="en-GB"/>
        </w:rPr>
        <w:t xml:space="preserve">both </w:t>
      </w:r>
      <w:r w:rsidR="00271B85" w:rsidRPr="00D81BB2">
        <w:rPr>
          <w:szCs w:val="24"/>
          <w:lang w:val="en-GB"/>
        </w:rPr>
        <w:t xml:space="preserve">the plaintiff’s </w:t>
      </w:r>
      <w:r w:rsidR="00352A84">
        <w:rPr>
          <w:szCs w:val="24"/>
          <w:lang w:val="en-GB"/>
        </w:rPr>
        <w:t xml:space="preserve">distinct </w:t>
      </w:r>
      <w:r w:rsidR="00271B85" w:rsidRPr="00D81BB2">
        <w:rPr>
          <w:szCs w:val="24"/>
          <w:lang w:val="en-GB"/>
        </w:rPr>
        <w:t>claim</w:t>
      </w:r>
      <w:r w:rsidR="00C354EC" w:rsidRPr="00D81BB2">
        <w:rPr>
          <w:szCs w:val="24"/>
          <w:lang w:val="en-GB"/>
        </w:rPr>
        <w:t>s are</w:t>
      </w:r>
      <w:r w:rsidR="00271B85" w:rsidRPr="00D81BB2">
        <w:rPr>
          <w:szCs w:val="24"/>
          <w:lang w:val="en-GB"/>
        </w:rPr>
        <w:t xml:space="preserve"> bad in law, </w:t>
      </w:r>
      <w:r w:rsidR="002E289A" w:rsidRPr="00D81BB2">
        <w:rPr>
          <w:szCs w:val="24"/>
          <w:lang w:val="en-GB"/>
        </w:rPr>
        <w:t xml:space="preserve">and/or further that certain </w:t>
      </w:r>
      <w:r w:rsidR="003660D2" w:rsidRPr="00D81BB2">
        <w:rPr>
          <w:szCs w:val="24"/>
          <w:lang w:val="en-GB"/>
        </w:rPr>
        <w:t xml:space="preserve">allegations </w:t>
      </w:r>
      <w:r w:rsidR="00271B85" w:rsidRPr="00D81BB2">
        <w:rPr>
          <w:szCs w:val="24"/>
          <w:lang w:val="en-GB"/>
        </w:rPr>
        <w:t xml:space="preserve">lack averments necessary to sustain a claim and/or cause of action. </w:t>
      </w:r>
    </w:p>
    <w:p w14:paraId="6D781964" w14:textId="038B7354" w:rsidR="006630A5"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lastRenderedPageBreak/>
        <w:t>[2]</w:t>
      </w:r>
      <w:r w:rsidRPr="00D81BB2">
        <w:rPr>
          <w:szCs w:val="24"/>
          <w:lang w:val="en-GB"/>
        </w:rPr>
        <w:tab/>
      </w:r>
      <w:r w:rsidR="006630A5" w:rsidRPr="00D81BB2">
        <w:rPr>
          <w:szCs w:val="24"/>
          <w:lang w:val="en-GB"/>
        </w:rPr>
        <w:t xml:space="preserve">Before dealing with </w:t>
      </w:r>
      <w:r w:rsidR="00D74FEB" w:rsidRPr="00D81BB2">
        <w:rPr>
          <w:szCs w:val="24"/>
          <w:lang w:val="en-GB"/>
        </w:rPr>
        <w:t>each</w:t>
      </w:r>
      <w:r w:rsidR="006630A5" w:rsidRPr="00D81BB2">
        <w:rPr>
          <w:szCs w:val="24"/>
          <w:lang w:val="en-GB"/>
        </w:rPr>
        <w:t xml:space="preserve"> ground of exception the plaintiff’s particulars of claim</w:t>
      </w:r>
      <w:r w:rsidR="00D74FEB" w:rsidRPr="00D81BB2">
        <w:rPr>
          <w:szCs w:val="24"/>
          <w:lang w:val="en-GB"/>
        </w:rPr>
        <w:t>, read</w:t>
      </w:r>
      <w:r w:rsidR="006630A5" w:rsidRPr="00D81BB2">
        <w:rPr>
          <w:szCs w:val="24"/>
          <w:lang w:val="en-GB"/>
        </w:rPr>
        <w:t xml:space="preserve"> as a whole </w:t>
      </w:r>
      <w:r w:rsidR="00D74FEB" w:rsidRPr="00D81BB2">
        <w:rPr>
          <w:szCs w:val="24"/>
          <w:lang w:val="en-GB"/>
        </w:rPr>
        <w:t>require explanation.</w:t>
      </w:r>
      <w:r w:rsidR="006630A5" w:rsidRPr="00D81BB2">
        <w:rPr>
          <w:szCs w:val="24"/>
          <w:lang w:val="en-GB"/>
        </w:rPr>
        <w:t xml:space="preserve"> The plaintiff brings two distinct and unrelated claims against the excipient. The first claim is a damages claim in which the plaintiff claims damages from the excipient based on a breach of duties which </w:t>
      </w:r>
      <w:r w:rsidR="000115F6" w:rsidRPr="00D81BB2">
        <w:rPr>
          <w:szCs w:val="24"/>
          <w:lang w:val="en-GB"/>
        </w:rPr>
        <w:t>the plaintiff alleges he</w:t>
      </w:r>
      <w:r w:rsidR="006630A5" w:rsidRPr="00D81BB2">
        <w:rPr>
          <w:szCs w:val="24"/>
          <w:lang w:val="en-GB"/>
        </w:rPr>
        <w:t xml:space="preserve"> owed </w:t>
      </w:r>
      <w:r w:rsidR="000115F6" w:rsidRPr="00D81BB2">
        <w:rPr>
          <w:szCs w:val="24"/>
          <w:lang w:val="en-GB"/>
        </w:rPr>
        <w:t xml:space="preserve">it </w:t>
      </w:r>
      <w:r w:rsidR="006630A5" w:rsidRPr="00D81BB2">
        <w:rPr>
          <w:szCs w:val="24"/>
          <w:lang w:val="en-GB"/>
        </w:rPr>
        <w:t>in his capacity as an employee and a</w:t>
      </w:r>
      <w:r w:rsidR="000115F6" w:rsidRPr="00D81BB2">
        <w:rPr>
          <w:szCs w:val="24"/>
          <w:lang w:val="en-GB"/>
        </w:rPr>
        <w:t>s a</w:t>
      </w:r>
      <w:r w:rsidR="006630A5" w:rsidRPr="00D81BB2">
        <w:rPr>
          <w:szCs w:val="24"/>
          <w:lang w:val="en-GB"/>
        </w:rPr>
        <w:t xml:space="preserve"> prescribed officer of the plaintiff (“</w:t>
      </w:r>
      <w:r w:rsidR="006630A5" w:rsidRPr="00D81BB2">
        <w:rPr>
          <w:i/>
          <w:iCs/>
          <w:szCs w:val="24"/>
          <w:lang w:val="en-GB"/>
        </w:rPr>
        <w:t>the damages claim</w:t>
      </w:r>
      <w:r w:rsidR="006630A5" w:rsidRPr="00D81BB2">
        <w:rPr>
          <w:szCs w:val="24"/>
          <w:lang w:val="en-GB"/>
        </w:rPr>
        <w:t xml:space="preserve">”). The second claim </w:t>
      </w:r>
      <w:r w:rsidR="000115F6" w:rsidRPr="00D81BB2">
        <w:rPr>
          <w:szCs w:val="24"/>
          <w:lang w:val="en-GB"/>
        </w:rPr>
        <w:t xml:space="preserve">the plaintiff </w:t>
      </w:r>
      <w:r w:rsidR="006C4A4C" w:rsidRPr="00D81BB2">
        <w:rPr>
          <w:szCs w:val="24"/>
          <w:lang w:val="en-GB"/>
        </w:rPr>
        <w:t>seeks declaratory</w:t>
      </w:r>
      <w:r w:rsidR="000115F6" w:rsidRPr="00D81BB2">
        <w:rPr>
          <w:szCs w:val="24"/>
          <w:lang w:val="en-GB"/>
        </w:rPr>
        <w:t xml:space="preserve"> relief in te</w:t>
      </w:r>
      <w:r w:rsidR="00CF7CFE" w:rsidRPr="00D81BB2">
        <w:rPr>
          <w:szCs w:val="24"/>
          <w:lang w:val="en-GB"/>
        </w:rPr>
        <w:t>rms of</w:t>
      </w:r>
      <w:r w:rsidR="000115F6" w:rsidRPr="00D81BB2">
        <w:rPr>
          <w:szCs w:val="24"/>
          <w:lang w:val="en-GB"/>
        </w:rPr>
        <w:t xml:space="preserve"> </w:t>
      </w:r>
      <w:r w:rsidR="006630A5" w:rsidRPr="00D81BB2">
        <w:rPr>
          <w:szCs w:val="24"/>
          <w:lang w:val="en-GB"/>
        </w:rPr>
        <w:t>the Section 162 of the Companies Act 71 of 2008 (“</w:t>
      </w:r>
      <w:r w:rsidR="006630A5" w:rsidRPr="00D81BB2">
        <w:rPr>
          <w:i/>
          <w:iCs/>
          <w:szCs w:val="24"/>
          <w:lang w:val="en-GB"/>
        </w:rPr>
        <w:t>the Act</w:t>
      </w:r>
      <w:r w:rsidR="006630A5" w:rsidRPr="00D81BB2">
        <w:rPr>
          <w:szCs w:val="24"/>
          <w:lang w:val="en-GB"/>
        </w:rPr>
        <w:t>”) (“</w:t>
      </w:r>
      <w:r w:rsidR="006630A5" w:rsidRPr="00D81BB2">
        <w:rPr>
          <w:i/>
          <w:iCs/>
          <w:szCs w:val="24"/>
          <w:lang w:val="en-GB"/>
        </w:rPr>
        <w:t>the delinquen</w:t>
      </w:r>
      <w:r w:rsidR="00331633" w:rsidRPr="00D81BB2">
        <w:rPr>
          <w:i/>
          <w:iCs/>
          <w:szCs w:val="24"/>
          <w:lang w:val="en-GB"/>
        </w:rPr>
        <w:t>cy</w:t>
      </w:r>
      <w:r w:rsidR="006630A5" w:rsidRPr="00D81BB2">
        <w:rPr>
          <w:i/>
          <w:iCs/>
          <w:szCs w:val="24"/>
          <w:lang w:val="en-GB"/>
        </w:rPr>
        <w:t xml:space="preserve"> claim</w:t>
      </w:r>
      <w:r w:rsidR="006630A5" w:rsidRPr="00D81BB2">
        <w:rPr>
          <w:szCs w:val="24"/>
          <w:lang w:val="en-GB"/>
        </w:rPr>
        <w:t>”).</w:t>
      </w:r>
    </w:p>
    <w:p w14:paraId="1CB4B982" w14:textId="1F39B2C2" w:rsidR="00CF7CFE"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[3]</w:t>
      </w:r>
      <w:r w:rsidRPr="00D81BB2">
        <w:rPr>
          <w:szCs w:val="24"/>
          <w:lang w:val="en-GB"/>
        </w:rPr>
        <w:tab/>
      </w:r>
      <w:r w:rsidR="00CF7CFE" w:rsidRPr="00D81BB2">
        <w:rPr>
          <w:szCs w:val="24"/>
          <w:lang w:val="en-GB"/>
        </w:rPr>
        <w:t xml:space="preserve">The grounds </w:t>
      </w:r>
      <w:r w:rsidR="00F6371A" w:rsidRPr="00D81BB2">
        <w:rPr>
          <w:szCs w:val="24"/>
          <w:lang w:val="en-GB"/>
        </w:rPr>
        <w:t xml:space="preserve">of exception </w:t>
      </w:r>
      <w:r w:rsidR="00CF7CFE" w:rsidRPr="00D81BB2">
        <w:rPr>
          <w:szCs w:val="24"/>
          <w:lang w:val="en-GB"/>
        </w:rPr>
        <w:t>traverse both claims, t</w:t>
      </w:r>
      <w:r w:rsidR="00C354EC" w:rsidRPr="00D81BB2">
        <w:rPr>
          <w:szCs w:val="24"/>
          <w:lang w:val="en-GB"/>
        </w:rPr>
        <w:t xml:space="preserve">he </w:t>
      </w:r>
      <w:r w:rsidR="0027174B" w:rsidRPr="00D81BB2">
        <w:rPr>
          <w:szCs w:val="24"/>
          <w:lang w:val="en-GB"/>
        </w:rPr>
        <w:t xml:space="preserve">first two </w:t>
      </w:r>
      <w:r w:rsidR="00C354EC" w:rsidRPr="00D81BB2">
        <w:rPr>
          <w:szCs w:val="24"/>
          <w:lang w:val="en-GB"/>
        </w:rPr>
        <w:t>grounds are framed</w:t>
      </w:r>
      <w:r w:rsidR="00CF7CFE" w:rsidRPr="00D81BB2">
        <w:rPr>
          <w:szCs w:val="24"/>
          <w:lang w:val="en-GB"/>
        </w:rPr>
        <w:t>,</w:t>
      </w:r>
      <w:r w:rsidR="00CF7CFE" w:rsidRPr="00D81BB2">
        <w:rPr>
          <w:i/>
          <w:iCs/>
          <w:szCs w:val="24"/>
          <w:lang w:val="en-GB"/>
        </w:rPr>
        <w:t xml:space="preserve"> inter alia</w:t>
      </w:r>
      <w:r w:rsidR="00CF7CFE" w:rsidRPr="00D81BB2">
        <w:rPr>
          <w:szCs w:val="24"/>
          <w:lang w:val="en-GB"/>
        </w:rPr>
        <w:t>,</w:t>
      </w:r>
      <w:r w:rsidR="0027174B" w:rsidRPr="00D81BB2">
        <w:rPr>
          <w:szCs w:val="24"/>
          <w:lang w:val="en-GB"/>
        </w:rPr>
        <w:t xml:space="preserve"> </w:t>
      </w:r>
      <w:r w:rsidR="00F6371A" w:rsidRPr="00D81BB2">
        <w:rPr>
          <w:szCs w:val="24"/>
          <w:lang w:val="en-GB"/>
        </w:rPr>
        <w:t xml:space="preserve">on </w:t>
      </w:r>
      <w:r w:rsidR="0027174B" w:rsidRPr="00D81BB2">
        <w:rPr>
          <w:szCs w:val="24"/>
          <w:lang w:val="en-GB"/>
        </w:rPr>
        <w:t>an absence of a cause of action</w:t>
      </w:r>
      <w:r w:rsidR="006630A5" w:rsidRPr="00D81BB2">
        <w:rPr>
          <w:szCs w:val="24"/>
          <w:lang w:val="en-GB"/>
        </w:rPr>
        <w:t xml:space="preserve"> based on alleged legal facts </w:t>
      </w:r>
      <w:r w:rsidR="0027174B" w:rsidRPr="00D81BB2">
        <w:rPr>
          <w:szCs w:val="24"/>
          <w:lang w:val="en-GB"/>
        </w:rPr>
        <w:t xml:space="preserve">by the plaintiff </w:t>
      </w:r>
      <w:r w:rsidR="006630A5" w:rsidRPr="00D81BB2">
        <w:rPr>
          <w:szCs w:val="24"/>
          <w:lang w:val="en-GB"/>
        </w:rPr>
        <w:t>which</w:t>
      </w:r>
      <w:r w:rsidR="001E5AD3" w:rsidRPr="00D81BB2">
        <w:rPr>
          <w:szCs w:val="24"/>
          <w:lang w:val="en-GB"/>
        </w:rPr>
        <w:t>,</w:t>
      </w:r>
      <w:r w:rsidR="006630A5" w:rsidRPr="00D81BB2">
        <w:rPr>
          <w:szCs w:val="24"/>
          <w:lang w:val="en-GB"/>
        </w:rPr>
        <w:t xml:space="preserve"> according to the excipient render</w:t>
      </w:r>
      <w:r w:rsidR="001E5AD3" w:rsidRPr="00D81BB2">
        <w:rPr>
          <w:szCs w:val="24"/>
          <w:lang w:val="en-GB"/>
        </w:rPr>
        <w:t>s</w:t>
      </w:r>
      <w:r w:rsidR="006630A5" w:rsidRPr="00D81BB2">
        <w:rPr>
          <w:szCs w:val="24"/>
          <w:lang w:val="en-GB"/>
        </w:rPr>
        <w:t xml:space="preserve"> such claims bad</w:t>
      </w:r>
      <w:r w:rsidR="00125795" w:rsidRPr="00D81BB2">
        <w:rPr>
          <w:szCs w:val="24"/>
          <w:lang w:val="en-GB"/>
        </w:rPr>
        <w:t xml:space="preserve"> in law</w:t>
      </w:r>
      <w:r w:rsidR="006630A5" w:rsidRPr="00D81BB2">
        <w:rPr>
          <w:szCs w:val="24"/>
          <w:lang w:val="en-GB"/>
        </w:rPr>
        <w:t xml:space="preserve">. </w:t>
      </w:r>
      <w:r w:rsidR="00125795" w:rsidRPr="00D81BB2">
        <w:rPr>
          <w:szCs w:val="24"/>
          <w:lang w:val="en-GB"/>
        </w:rPr>
        <w:t xml:space="preserve"> </w:t>
      </w:r>
      <w:r w:rsidR="00CF7CFE" w:rsidRPr="00D81BB2">
        <w:rPr>
          <w:szCs w:val="24"/>
          <w:lang w:val="en-GB"/>
        </w:rPr>
        <w:t>Such exception is brought as against each distinc</w:t>
      </w:r>
      <w:r w:rsidR="001E5AD3" w:rsidRPr="00D81BB2">
        <w:rPr>
          <w:szCs w:val="24"/>
          <w:lang w:val="en-GB"/>
        </w:rPr>
        <w:t>t</w:t>
      </w:r>
      <w:r w:rsidR="00CF7CFE" w:rsidRPr="00D81BB2">
        <w:rPr>
          <w:szCs w:val="24"/>
          <w:lang w:val="en-GB"/>
        </w:rPr>
        <w:t xml:space="preserve"> and unrelated </w:t>
      </w:r>
      <w:r w:rsidR="006C4A4C" w:rsidRPr="00D81BB2">
        <w:rPr>
          <w:szCs w:val="24"/>
          <w:lang w:val="en-GB"/>
        </w:rPr>
        <w:t>claim</w:t>
      </w:r>
      <w:r w:rsidR="00CF7CFE" w:rsidRPr="00D81BB2">
        <w:rPr>
          <w:szCs w:val="24"/>
          <w:lang w:val="en-GB"/>
        </w:rPr>
        <w:t>.</w:t>
      </w:r>
      <w:r w:rsidR="004B6B9F" w:rsidRPr="00D81BB2">
        <w:rPr>
          <w:szCs w:val="24"/>
          <w:lang w:val="en-GB"/>
        </w:rPr>
        <w:t xml:space="preserve"> </w:t>
      </w:r>
    </w:p>
    <w:p w14:paraId="2F2920DA" w14:textId="611289B4" w:rsidR="00184D75"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[4]</w:t>
      </w:r>
      <w:r w:rsidRPr="00D81BB2">
        <w:rPr>
          <w:szCs w:val="24"/>
          <w:lang w:val="en-GB"/>
        </w:rPr>
        <w:tab/>
      </w:r>
      <w:r w:rsidR="00125795" w:rsidRPr="00D81BB2">
        <w:rPr>
          <w:szCs w:val="24"/>
          <w:lang w:val="en-GB"/>
        </w:rPr>
        <w:t>The remaining grounds</w:t>
      </w:r>
      <w:r w:rsidR="004B6B9F" w:rsidRPr="00D81BB2">
        <w:rPr>
          <w:szCs w:val="24"/>
          <w:lang w:val="en-GB"/>
        </w:rPr>
        <w:t>, save for the third,</w:t>
      </w:r>
      <w:r w:rsidR="00125795" w:rsidRPr="00D81BB2">
        <w:rPr>
          <w:szCs w:val="24"/>
          <w:lang w:val="en-GB"/>
        </w:rPr>
        <w:t xml:space="preserve"> </w:t>
      </w:r>
      <w:r w:rsidR="004B6B9F" w:rsidRPr="00D81BB2">
        <w:rPr>
          <w:szCs w:val="24"/>
          <w:lang w:val="en-GB"/>
        </w:rPr>
        <w:t xml:space="preserve">deal </w:t>
      </w:r>
      <w:r w:rsidR="00125795" w:rsidRPr="00D81BB2">
        <w:rPr>
          <w:szCs w:val="24"/>
          <w:lang w:val="en-GB"/>
        </w:rPr>
        <w:t xml:space="preserve">primarily with </w:t>
      </w:r>
      <w:r w:rsidR="007F2B56" w:rsidRPr="00D81BB2">
        <w:rPr>
          <w:szCs w:val="24"/>
          <w:lang w:val="en-GB"/>
        </w:rPr>
        <w:t xml:space="preserve">a lack of particularity </w:t>
      </w:r>
      <w:r w:rsidR="008554CC" w:rsidRPr="00D81BB2">
        <w:rPr>
          <w:szCs w:val="24"/>
          <w:lang w:val="en-GB"/>
        </w:rPr>
        <w:t xml:space="preserve">of material facts </w:t>
      </w:r>
      <w:r w:rsidR="007F2B56" w:rsidRPr="00D81BB2">
        <w:rPr>
          <w:szCs w:val="24"/>
          <w:lang w:val="en-GB"/>
        </w:rPr>
        <w:t xml:space="preserve">in compliance of </w:t>
      </w:r>
      <w:r w:rsidR="00125795" w:rsidRPr="00D81BB2">
        <w:rPr>
          <w:szCs w:val="24"/>
          <w:lang w:val="en-GB"/>
        </w:rPr>
        <w:t>Uniform Rules 18(4)</w:t>
      </w:r>
      <w:r w:rsidR="00046748" w:rsidRPr="00D81BB2">
        <w:rPr>
          <w:szCs w:val="24"/>
          <w:lang w:val="en-GB"/>
        </w:rPr>
        <w:t xml:space="preserve"> (ability to determine the issue and reply)</w:t>
      </w:r>
      <w:r w:rsidR="00125795" w:rsidRPr="00D81BB2">
        <w:rPr>
          <w:szCs w:val="24"/>
          <w:lang w:val="en-GB"/>
        </w:rPr>
        <w:t xml:space="preserve"> and 18(10)</w:t>
      </w:r>
      <w:r w:rsidR="00046748" w:rsidRPr="00D81BB2">
        <w:rPr>
          <w:szCs w:val="24"/>
          <w:lang w:val="en-GB"/>
        </w:rPr>
        <w:t xml:space="preserve"> (ability to reasonably assess the </w:t>
      </w:r>
      <w:r w:rsidR="00472986" w:rsidRPr="00D81BB2">
        <w:rPr>
          <w:szCs w:val="24"/>
          <w:lang w:val="en-GB"/>
        </w:rPr>
        <w:t>quantum</w:t>
      </w:r>
      <w:r w:rsidR="00046748" w:rsidRPr="00D81BB2">
        <w:rPr>
          <w:szCs w:val="24"/>
          <w:lang w:val="en-GB"/>
        </w:rPr>
        <w:t>)</w:t>
      </w:r>
      <w:r w:rsidR="00125795" w:rsidRPr="00D81BB2">
        <w:rPr>
          <w:szCs w:val="24"/>
          <w:lang w:val="en-GB"/>
        </w:rPr>
        <w:t xml:space="preserve"> as a result</w:t>
      </w:r>
      <w:r w:rsidR="008554CC" w:rsidRPr="00D81BB2">
        <w:rPr>
          <w:szCs w:val="24"/>
          <w:lang w:val="en-GB"/>
        </w:rPr>
        <w:t xml:space="preserve"> of </w:t>
      </w:r>
      <w:r w:rsidR="001E5AD3" w:rsidRPr="00D81BB2">
        <w:rPr>
          <w:szCs w:val="24"/>
          <w:lang w:val="en-GB"/>
        </w:rPr>
        <w:t>which</w:t>
      </w:r>
      <w:r w:rsidR="008554CC" w:rsidRPr="00D81BB2">
        <w:rPr>
          <w:szCs w:val="24"/>
          <w:lang w:val="en-GB"/>
        </w:rPr>
        <w:t xml:space="preserve">, the plaintiff </w:t>
      </w:r>
      <w:r w:rsidR="001E5AD3" w:rsidRPr="00D81BB2">
        <w:rPr>
          <w:szCs w:val="24"/>
          <w:lang w:val="en-GB"/>
        </w:rPr>
        <w:t>contends,</w:t>
      </w:r>
      <w:r w:rsidR="008554CC" w:rsidRPr="00D81BB2">
        <w:rPr>
          <w:szCs w:val="24"/>
          <w:lang w:val="en-GB"/>
        </w:rPr>
        <w:t xml:space="preserve"> </w:t>
      </w:r>
      <w:r w:rsidR="007F2B56" w:rsidRPr="00D81BB2">
        <w:rPr>
          <w:szCs w:val="24"/>
          <w:lang w:val="en-GB"/>
        </w:rPr>
        <w:t>renders the plaintiff’s</w:t>
      </w:r>
      <w:r w:rsidR="00125795" w:rsidRPr="00D81BB2">
        <w:rPr>
          <w:szCs w:val="24"/>
          <w:lang w:val="en-GB"/>
        </w:rPr>
        <w:t xml:space="preserve"> particulars of claim </w:t>
      </w:r>
      <w:r w:rsidR="00690664" w:rsidRPr="00D81BB2">
        <w:rPr>
          <w:szCs w:val="24"/>
          <w:lang w:val="en-GB"/>
        </w:rPr>
        <w:t xml:space="preserve">absent of a cause of action and/or results in a </w:t>
      </w:r>
      <w:r w:rsidR="00125795" w:rsidRPr="00D81BB2">
        <w:rPr>
          <w:szCs w:val="24"/>
          <w:lang w:val="en-GB"/>
        </w:rPr>
        <w:t xml:space="preserve">lack </w:t>
      </w:r>
      <w:r w:rsidR="00690664" w:rsidRPr="00D81BB2">
        <w:rPr>
          <w:szCs w:val="24"/>
          <w:lang w:val="en-GB"/>
        </w:rPr>
        <w:t xml:space="preserve">of </w:t>
      </w:r>
      <w:r w:rsidR="00125795" w:rsidRPr="00D81BB2">
        <w:rPr>
          <w:szCs w:val="24"/>
          <w:lang w:val="en-GB"/>
        </w:rPr>
        <w:t xml:space="preserve">necessary averments to sustain </w:t>
      </w:r>
      <w:r w:rsidR="008554CC" w:rsidRPr="00D81BB2">
        <w:rPr>
          <w:szCs w:val="24"/>
          <w:lang w:val="en-GB"/>
        </w:rPr>
        <w:t>such</w:t>
      </w:r>
      <w:r w:rsidR="00125795" w:rsidRPr="00D81BB2">
        <w:rPr>
          <w:szCs w:val="24"/>
          <w:lang w:val="en-GB"/>
        </w:rPr>
        <w:t xml:space="preserve"> claim</w:t>
      </w:r>
      <w:r w:rsidR="00690664" w:rsidRPr="00D81BB2">
        <w:rPr>
          <w:szCs w:val="24"/>
          <w:lang w:val="en-GB"/>
        </w:rPr>
        <w:t>s</w:t>
      </w:r>
      <w:r w:rsidR="00483C38" w:rsidRPr="00D81BB2">
        <w:rPr>
          <w:szCs w:val="24"/>
          <w:lang w:val="en-GB"/>
        </w:rPr>
        <w:t>. The excipient</w:t>
      </w:r>
      <w:r w:rsidR="00D71299" w:rsidRPr="00D81BB2">
        <w:rPr>
          <w:szCs w:val="24"/>
          <w:lang w:val="en-GB"/>
        </w:rPr>
        <w:t xml:space="preserve"> </w:t>
      </w:r>
      <w:r w:rsidR="00184D75" w:rsidRPr="00D81BB2">
        <w:rPr>
          <w:szCs w:val="24"/>
          <w:lang w:val="en-GB"/>
        </w:rPr>
        <w:t>does not rely on</w:t>
      </w:r>
      <w:r w:rsidR="00D71299" w:rsidRPr="00D81BB2">
        <w:rPr>
          <w:szCs w:val="24"/>
          <w:lang w:val="en-GB"/>
        </w:rPr>
        <w:t xml:space="preserve"> </w:t>
      </w:r>
      <w:r w:rsidR="00483C38" w:rsidRPr="00D81BB2">
        <w:rPr>
          <w:szCs w:val="24"/>
          <w:lang w:val="en-GB"/>
        </w:rPr>
        <w:t xml:space="preserve">the lack of particularity as </w:t>
      </w:r>
      <w:r w:rsidR="00D71299" w:rsidRPr="00D81BB2">
        <w:rPr>
          <w:szCs w:val="24"/>
          <w:lang w:val="en-GB"/>
        </w:rPr>
        <w:t xml:space="preserve">vague and </w:t>
      </w:r>
      <w:r w:rsidR="00472986" w:rsidRPr="00D81BB2">
        <w:rPr>
          <w:szCs w:val="24"/>
          <w:lang w:val="en-GB"/>
        </w:rPr>
        <w:t>embarrassing. The</w:t>
      </w:r>
      <w:r w:rsidR="00C22212" w:rsidRPr="00D81BB2">
        <w:rPr>
          <w:szCs w:val="24"/>
          <w:lang w:val="en-GB"/>
        </w:rPr>
        <w:t xml:space="preserve"> excipient </w:t>
      </w:r>
      <w:r w:rsidR="00D71299" w:rsidRPr="00D81BB2">
        <w:rPr>
          <w:szCs w:val="24"/>
          <w:lang w:val="en-GB"/>
        </w:rPr>
        <w:t xml:space="preserve">therefore </w:t>
      </w:r>
      <w:r w:rsidR="00C22212" w:rsidRPr="00D81BB2">
        <w:rPr>
          <w:szCs w:val="24"/>
          <w:lang w:val="en-GB"/>
        </w:rPr>
        <w:t xml:space="preserve">strikes at the legal validity </w:t>
      </w:r>
      <w:r w:rsidR="00D71299" w:rsidRPr="00D81BB2">
        <w:rPr>
          <w:szCs w:val="24"/>
          <w:lang w:val="en-GB"/>
        </w:rPr>
        <w:t xml:space="preserve">of </w:t>
      </w:r>
      <w:r w:rsidR="0091332B" w:rsidRPr="00D81BB2">
        <w:rPr>
          <w:szCs w:val="24"/>
          <w:lang w:val="en-GB"/>
        </w:rPr>
        <w:t xml:space="preserve">the claims themselves </w:t>
      </w:r>
      <w:r w:rsidR="00184D75" w:rsidRPr="00D81BB2">
        <w:rPr>
          <w:szCs w:val="24"/>
          <w:lang w:val="en-GB"/>
        </w:rPr>
        <w:t xml:space="preserve">as a result of such lack of particularity </w:t>
      </w:r>
      <w:r w:rsidR="0091332B" w:rsidRPr="00D81BB2">
        <w:rPr>
          <w:szCs w:val="24"/>
          <w:lang w:val="en-GB"/>
        </w:rPr>
        <w:t xml:space="preserve">and not that </w:t>
      </w:r>
      <w:r w:rsidR="00C22212" w:rsidRPr="00D81BB2">
        <w:rPr>
          <w:szCs w:val="24"/>
          <w:lang w:val="en-GB"/>
        </w:rPr>
        <w:t>the</w:t>
      </w:r>
      <w:r w:rsidR="00184D75" w:rsidRPr="00D81BB2">
        <w:rPr>
          <w:szCs w:val="24"/>
          <w:lang w:val="en-GB"/>
        </w:rPr>
        <w:t>re exists a defect or incompleteness in the</w:t>
      </w:r>
      <w:r w:rsidR="00C22212" w:rsidRPr="00D81BB2">
        <w:rPr>
          <w:szCs w:val="24"/>
          <w:lang w:val="en-GB"/>
        </w:rPr>
        <w:t xml:space="preserve"> formulation </w:t>
      </w:r>
      <w:r w:rsidR="0091332B" w:rsidRPr="00D81BB2">
        <w:rPr>
          <w:szCs w:val="24"/>
          <w:lang w:val="en-GB"/>
        </w:rPr>
        <w:t>thereof</w:t>
      </w:r>
      <w:r w:rsidR="00C31057" w:rsidRPr="00D81BB2">
        <w:rPr>
          <w:szCs w:val="24"/>
          <w:lang w:val="en-GB"/>
        </w:rPr>
        <w:t xml:space="preserve">. </w:t>
      </w:r>
    </w:p>
    <w:p w14:paraId="20FA9C8F" w14:textId="3D5AD7B8" w:rsidR="0006760D"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[5]</w:t>
      </w:r>
      <w:r w:rsidRPr="00D81BB2">
        <w:rPr>
          <w:szCs w:val="24"/>
          <w:lang w:val="en-GB"/>
        </w:rPr>
        <w:tab/>
      </w:r>
      <w:r w:rsidR="0006760D" w:rsidRPr="00D81BB2">
        <w:rPr>
          <w:szCs w:val="24"/>
          <w:lang w:val="en-GB"/>
        </w:rPr>
        <w:t xml:space="preserve"> In dealing with the grounds </w:t>
      </w:r>
      <w:r w:rsidR="00AD6134" w:rsidRPr="00D81BB2">
        <w:rPr>
          <w:szCs w:val="24"/>
          <w:lang w:val="en-GB"/>
        </w:rPr>
        <w:t>of exception</w:t>
      </w:r>
      <w:r w:rsidR="0006760D" w:rsidRPr="00D81BB2">
        <w:rPr>
          <w:szCs w:val="24"/>
          <w:lang w:val="en-GB"/>
        </w:rPr>
        <w:t xml:space="preserve">, the </w:t>
      </w:r>
      <w:r w:rsidR="00195C2F" w:rsidRPr="00D81BB2">
        <w:rPr>
          <w:szCs w:val="24"/>
          <w:lang w:val="en-GB"/>
        </w:rPr>
        <w:t>C</w:t>
      </w:r>
      <w:r w:rsidR="0006760D" w:rsidRPr="00D81BB2">
        <w:rPr>
          <w:szCs w:val="24"/>
          <w:lang w:val="en-GB"/>
        </w:rPr>
        <w:t xml:space="preserve">ourt </w:t>
      </w:r>
      <w:r w:rsidR="00195C2F" w:rsidRPr="00D81BB2">
        <w:rPr>
          <w:szCs w:val="24"/>
          <w:lang w:val="en-GB"/>
        </w:rPr>
        <w:t>takes</w:t>
      </w:r>
      <w:r w:rsidR="0006760D" w:rsidRPr="00D81BB2">
        <w:rPr>
          <w:szCs w:val="24"/>
          <w:lang w:val="en-GB"/>
        </w:rPr>
        <w:t xml:space="preserve"> cognizance of the </w:t>
      </w:r>
      <w:r w:rsidR="006C4A4C" w:rsidRPr="00D81BB2">
        <w:rPr>
          <w:szCs w:val="24"/>
          <w:lang w:val="en-GB"/>
        </w:rPr>
        <w:t>principl</w:t>
      </w:r>
      <w:r w:rsidR="00781654">
        <w:rPr>
          <w:szCs w:val="24"/>
          <w:lang w:val="en-GB"/>
        </w:rPr>
        <w:t>e</w:t>
      </w:r>
      <w:r w:rsidR="0006760D" w:rsidRPr="00D81BB2">
        <w:rPr>
          <w:szCs w:val="24"/>
          <w:lang w:val="en-GB"/>
        </w:rPr>
        <w:t xml:space="preserve"> use of exceptions in procedural law</w:t>
      </w:r>
      <w:r w:rsidR="00195C2F" w:rsidRPr="00D81BB2">
        <w:rPr>
          <w:szCs w:val="24"/>
          <w:lang w:val="en-GB"/>
        </w:rPr>
        <w:t xml:space="preserve"> which was settled in </w:t>
      </w:r>
      <w:r w:rsidR="00195C2F" w:rsidRPr="00D81BB2">
        <w:rPr>
          <w:b/>
          <w:bCs/>
          <w:szCs w:val="24"/>
          <w:lang w:val="en-GB"/>
        </w:rPr>
        <w:t xml:space="preserve">Colonial </w:t>
      </w:r>
      <w:r w:rsidR="00195C2F" w:rsidRPr="00D81BB2">
        <w:rPr>
          <w:b/>
          <w:bCs/>
          <w:szCs w:val="24"/>
          <w:lang w:val="en-GB"/>
        </w:rPr>
        <w:lastRenderedPageBreak/>
        <w:t>Industries Limited v Provincial Insurance Company Limited</w:t>
      </w:r>
      <w:r w:rsidR="00195C2F" w:rsidRPr="00D81BB2">
        <w:rPr>
          <w:rStyle w:val="FootnoteReference"/>
          <w:szCs w:val="24"/>
          <w:lang w:val="en-GB"/>
        </w:rPr>
        <w:footnoteReference w:id="1"/>
      </w:r>
      <w:r w:rsidR="00C2196B" w:rsidRPr="00D81BB2">
        <w:rPr>
          <w:szCs w:val="24"/>
          <w:lang w:val="en-GB"/>
        </w:rPr>
        <w:t xml:space="preserve"> namely,</w:t>
      </w:r>
      <w:r w:rsidR="0006760D" w:rsidRPr="00D81BB2">
        <w:rPr>
          <w:szCs w:val="24"/>
          <w:lang w:val="en-GB"/>
        </w:rPr>
        <w:t xml:space="preserve"> to obtain a speedy and economical decision to questions of law which are apparent on the face of the pleadings</w:t>
      </w:r>
      <w:r w:rsidR="00C2196B" w:rsidRPr="00D81BB2">
        <w:rPr>
          <w:szCs w:val="24"/>
          <w:lang w:val="en-GB"/>
        </w:rPr>
        <w:t>.</w:t>
      </w:r>
      <w:r w:rsidR="0006760D" w:rsidRPr="00D81BB2">
        <w:rPr>
          <w:szCs w:val="24"/>
          <w:lang w:val="en-GB"/>
        </w:rPr>
        <w:t xml:space="preserve"> </w:t>
      </w:r>
    </w:p>
    <w:p w14:paraId="79181A1D" w14:textId="68C73576" w:rsidR="0006760D"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[6]</w:t>
      </w:r>
      <w:r w:rsidRPr="00D81BB2">
        <w:rPr>
          <w:szCs w:val="24"/>
          <w:lang w:val="en-GB"/>
        </w:rPr>
        <w:tab/>
      </w:r>
      <w:r w:rsidR="0006760D" w:rsidRPr="00D81BB2">
        <w:rPr>
          <w:szCs w:val="24"/>
          <w:lang w:val="en-GB"/>
        </w:rPr>
        <w:t xml:space="preserve">In consequence </w:t>
      </w:r>
      <w:r w:rsidR="00C2196B" w:rsidRPr="00D81BB2">
        <w:rPr>
          <w:szCs w:val="24"/>
          <w:lang w:val="en-GB"/>
        </w:rPr>
        <w:t>i</w:t>
      </w:r>
      <w:r w:rsidR="00431875" w:rsidRPr="00D81BB2">
        <w:rPr>
          <w:szCs w:val="24"/>
          <w:lang w:val="en-GB"/>
        </w:rPr>
        <w:t xml:space="preserve">n </w:t>
      </w:r>
      <w:r w:rsidR="0006760D" w:rsidRPr="00D81BB2">
        <w:rPr>
          <w:szCs w:val="24"/>
          <w:lang w:val="en-GB"/>
        </w:rPr>
        <w:t xml:space="preserve">determining whether the grounds </w:t>
      </w:r>
      <w:r w:rsidR="00431875" w:rsidRPr="00D81BB2">
        <w:rPr>
          <w:szCs w:val="24"/>
          <w:lang w:val="en-GB"/>
        </w:rPr>
        <w:t xml:space="preserve">of exception </w:t>
      </w:r>
      <w:r w:rsidR="0006760D" w:rsidRPr="00D81BB2">
        <w:rPr>
          <w:szCs w:val="24"/>
          <w:lang w:val="en-GB"/>
        </w:rPr>
        <w:t>are legitimately employed</w:t>
      </w:r>
      <w:r w:rsidR="00431875" w:rsidRPr="00D81BB2">
        <w:rPr>
          <w:szCs w:val="24"/>
          <w:lang w:val="en-GB"/>
        </w:rPr>
        <w:t>,</w:t>
      </w:r>
      <w:r w:rsidR="0006760D" w:rsidRPr="00D81BB2">
        <w:rPr>
          <w:szCs w:val="24"/>
          <w:lang w:val="en-GB"/>
        </w:rPr>
        <w:t xml:space="preserve"> the conclusions of law in support of the plaintiff’s claim </w:t>
      </w:r>
      <w:r w:rsidR="00431875" w:rsidRPr="00D81BB2">
        <w:rPr>
          <w:szCs w:val="24"/>
          <w:lang w:val="en-GB"/>
        </w:rPr>
        <w:t xml:space="preserve">should not be </w:t>
      </w:r>
      <w:r w:rsidR="0006760D" w:rsidRPr="00D81BB2">
        <w:rPr>
          <w:szCs w:val="24"/>
          <w:lang w:val="en-GB"/>
        </w:rPr>
        <w:t xml:space="preserve">apparent nor </w:t>
      </w:r>
      <w:r w:rsidR="00431875" w:rsidRPr="00D81BB2">
        <w:rPr>
          <w:szCs w:val="24"/>
          <w:lang w:val="en-GB"/>
        </w:rPr>
        <w:t xml:space="preserve">be </w:t>
      </w:r>
      <w:r w:rsidR="0006760D" w:rsidRPr="00D81BB2">
        <w:rPr>
          <w:szCs w:val="24"/>
          <w:lang w:val="en-GB"/>
        </w:rPr>
        <w:t xml:space="preserve">supported on every </w:t>
      </w:r>
      <w:r w:rsidR="00211B4C" w:rsidRPr="00D81BB2">
        <w:rPr>
          <w:szCs w:val="24"/>
          <w:lang w:val="en-GB"/>
        </w:rPr>
        <w:t xml:space="preserve">reasonable </w:t>
      </w:r>
      <w:r w:rsidR="0006760D" w:rsidRPr="00D81BB2">
        <w:rPr>
          <w:szCs w:val="24"/>
          <w:lang w:val="en-GB"/>
        </w:rPr>
        <w:t xml:space="preserve">interpretation that can be put upon the pleaded facts as a whole. The burden of persuading the </w:t>
      </w:r>
      <w:r w:rsidR="00431875" w:rsidRPr="00D81BB2">
        <w:rPr>
          <w:szCs w:val="24"/>
          <w:lang w:val="en-GB"/>
        </w:rPr>
        <w:t>C</w:t>
      </w:r>
      <w:r w:rsidR="0006760D" w:rsidRPr="00D81BB2">
        <w:rPr>
          <w:szCs w:val="24"/>
          <w:lang w:val="en-GB"/>
        </w:rPr>
        <w:t xml:space="preserve">ourt </w:t>
      </w:r>
      <w:r w:rsidR="000F2791" w:rsidRPr="00D81BB2">
        <w:rPr>
          <w:szCs w:val="24"/>
          <w:lang w:val="en-GB"/>
        </w:rPr>
        <w:t xml:space="preserve">rests on the excipient. </w:t>
      </w:r>
    </w:p>
    <w:p w14:paraId="7D54BA45" w14:textId="00AF867E" w:rsidR="000F2791"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[7]</w:t>
      </w:r>
      <w:r w:rsidRPr="00D81BB2">
        <w:rPr>
          <w:szCs w:val="24"/>
          <w:lang w:val="en-GB"/>
        </w:rPr>
        <w:tab/>
      </w:r>
      <w:r w:rsidR="000F2791" w:rsidRPr="00D81BB2">
        <w:rPr>
          <w:szCs w:val="24"/>
          <w:lang w:val="en-GB"/>
        </w:rPr>
        <w:t xml:space="preserve">Against this backdrop the </w:t>
      </w:r>
      <w:r w:rsidR="00211B4C" w:rsidRPr="00D81BB2">
        <w:rPr>
          <w:szCs w:val="24"/>
          <w:lang w:val="en-GB"/>
        </w:rPr>
        <w:t>C</w:t>
      </w:r>
      <w:r w:rsidR="000F2791" w:rsidRPr="00D81BB2">
        <w:rPr>
          <w:szCs w:val="24"/>
          <w:lang w:val="en-GB"/>
        </w:rPr>
        <w:t>ourt was referred to the following pleaded facts:</w:t>
      </w:r>
    </w:p>
    <w:p w14:paraId="36BB00AB" w14:textId="4B0B0444" w:rsidR="000F2791" w:rsidRPr="00D81BB2" w:rsidRDefault="009B25C9" w:rsidP="009B25C9">
      <w:pPr>
        <w:pStyle w:val="RetiefPleadingpara1"/>
        <w:numPr>
          <w:ilvl w:val="0"/>
          <w:numId w:val="0"/>
        </w:numPr>
        <w:tabs>
          <w:tab w:val="left" w:pos="1701"/>
        </w:tabs>
        <w:spacing w:before="480" w:after="480"/>
        <w:ind w:left="1701" w:hanging="850"/>
        <w:rPr>
          <w:szCs w:val="24"/>
          <w:lang w:val="en-GB"/>
        </w:rPr>
      </w:pPr>
      <w:r w:rsidRPr="00D81BB2">
        <w:rPr>
          <w:szCs w:val="24"/>
          <w:lang w:val="en-GB"/>
        </w:rPr>
        <w:t>7.1</w:t>
      </w:r>
      <w:r w:rsidRPr="00D81BB2">
        <w:rPr>
          <w:szCs w:val="24"/>
          <w:lang w:val="en-GB"/>
        </w:rPr>
        <w:tab/>
      </w:r>
      <w:r w:rsidR="000F2791" w:rsidRPr="00D81BB2">
        <w:rPr>
          <w:szCs w:val="24"/>
          <w:lang w:val="en-GB"/>
        </w:rPr>
        <w:t xml:space="preserve">The excipient is one of the two members of Fixtrade, the second </w:t>
      </w:r>
      <w:r w:rsidR="006C4A4C" w:rsidRPr="00D81BB2">
        <w:rPr>
          <w:szCs w:val="24"/>
          <w:lang w:val="en-GB"/>
        </w:rPr>
        <w:t>defendant.</w:t>
      </w:r>
      <w:r w:rsidR="000F2791" w:rsidRPr="00D81BB2">
        <w:rPr>
          <w:szCs w:val="24"/>
          <w:lang w:val="en-GB"/>
        </w:rPr>
        <w:t xml:space="preserve"> </w:t>
      </w:r>
    </w:p>
    <w:p w14:paraId="3DDFD6ED" w14:textId="01E50C06" w:rsidR="000F2791" w:rsidRPr="00D81BB2" w:rsidRDefault="009B25C9" w:rsidP="009B25C9">
      <w:pPr>
        <w:pStyle w:val="RetiefPleadingpara1"/>
        <w:numPr>
          <w:ilvl w:val="0"/>
          <w:numId w:val="0"/>
        </w:numPr>
        <w:tabs>
          <w:tab w:val="left" w:pos="1701"/>
        </w:tabs>
        <w:spacing w:before="480" w:after="480"/>
        <w:ind w:left="1701" w:hanging="850"/>
        <w:rPr>
          <w:szCs w:val="24"/>
          <w:lang w:val="en-GB"/>
        </w:rPr>
      </w:pPr>
      <w:r w:rsidRPr="00D81BB2">
        <w:rPr>
          <w:szCs w:val="24"/>
          <w:lang w:val="en-GB"/>
        </w:rPr>
        <w:t>7.2</w:t>
      </w:r>
      <w:r w:rsidRPr="00D81BB2">
        <w:rPr>
          <w:szCs w:val="24"/>
          <w:lang w:val="en-GB"/>
        </w:rPr>
        <w:tab/>
      </w:r>
      <w:r w:rsidR="000F2791" w:rsidRPr="00D81BB2">
        <w:rPr>
          <w:szCs w:val="24"/>
          <w:lang w:val="en-GB"/>
        </w:rPr>
        <w:t>The second defendant seconded the excipient to render services to the plaintiff as its chief financial officer (“</w:t>
      </w:r>
      <w:r w:rsidR="000F2791" w:rsidRPr="00D81BB2">
        <w:rPr>
          <w:i/>
          <w:iCs/>
          <w:szCs w:val="24"/>
          <w:lang w:val="en-GB"/>
        </w:rPr>
        <w:t>CFO</w:t>
      </w:r>
      <w:r w:rsidR="000F2791" w:rsidRPr="00D81BB2">
        <w:rPr>
          <w:szCs w:val="24"/>
          <w:lang w:val="en-GB"/>
        </w:rPr>
        <w:t>”</w:t>
      </w:r>
      <w:r w:rsidR="006C4A4C" w:rsidRPr="00D81BB2">
        <w:rPr>
          <w:szCs w:val="24"/>
          <w:lang w:val="en-GB"/>
        </w:rPr>
        <w:t>).</w:t>
      </w:r>
    </w:p>
    <w:p w14:paraId="51D848FE" w14:textId="5675D7CF" w:rsidR="000F2791" w:rsidRPr="00D81BB2" w:rsidRDefault="009B25C9" w:rsidP="009B25C9">
      <w:pPr>
        <w:pStyle w:val="RetiefPleadingpara1"/>
        <w:numPr>
          <w:ilvl w:val="0"/>
          <w:numId w:val="0"/>
        </w:numPr>
        <w:tabs>
          <w:tab w:val="left" w:pos="1701"/>
        </w:tabs>
        <w:spacing w:before="480" w:after="480"/>
        <w:ind w:left="1701" w:hanging="850"/>
        <w:rPr>
          <w:szCs w:val="24"/>
          <w:lang w:val="en-GB"/>
        </w:rPr>
      </w:pPr>
      <w:r w:rsidRPr="00D81BB2">
        <w:rPr>
          <w:szCs w:val="24"/>
          <w:lang w:val="en-GB"/>
        </w:rPr>
        <w:t>7.3</w:t>
      </w:r>
      <w:r w:rsidRPr="00D81BB2">
        <w:rPr>
          <w:szCs w:val="24"/>
          <w:lang w:val="en-GB"/>
        </w:rPr>
        <w:tab/>
      </w:r>
      <w:r w:rsidR="000F2791" w:rsidRPr="00D81BB2">
        <w:rPr>
          <w:szCs w:val="24"/>
          <w:lang w:val="en-GB"/>
        </w:rPr>
        <w:t>The excipient also served as a director in a company known as Money Skills Limited (“</w:t>
      </w:r>
      <w:r w:rsidR="000F2791" w:rsidRPr="00D81BB2">
        <w:rPr>
          <w:i/>
          <w:iCs/>
          <w:szCs w:val="24"/>
          <w:lang w:val="en-GB"/>
        </w:rPr>
        <w:t>Money Skills</w:t>
      </w:r>
      <w:r w:rsidR="000F2791" w:rsidRPr="00D81BB2">
        <w:rPr>
          <w:szCs w:val="24"/>
          <w:lang w:val="en-GB"/>
        </w:rPr>
        <w:t xml:space="preserve">”), not a party cited in the action, being a publicly listed investment holding </w:t>
      </w:r>
      <w:r w:rsidR="006C4A4C" w:rsidRPr="00D81BB2">
        <w:rPr>
          <w:szCs w:val="24"/>
          <w:lang w:val="en-GB"/>
        </w:rPr>
        <w:t>company.</w:t>
      </w:r>
    </w:p>
    <w:p w14:paraId="383A92E6" w14:textId="0DDF9C24" w:rsidR="000F2791" w:rsidRPr="00D81BB2" w:rsidRDefault="009B25C9" w:rsidP="009B25C9">
      <w:pPr>
        <w:pStyle w:val="RetiefPleadingpara1"/>
        <w:numPr>
          <w:ilvl w:val="0"/>
          <w:numId w:val="0"/>
        </w:numPr>
        <w:tabs>
          <w:tab w:val="left" w:pos="1701"/>
        </w:tabs>
        <w:spacing w:before="480" w:after="480"/>
        <w:ind w:left="1701" w:hanging="850"/>
        <w:rPr>
          <w:szCs w:val="24"/>
          <w:lang w:val="en-GB"/>
        </w:rPr>
      </w:pPr>
      <w:r w:rsidRPr="00D81BB2">
        <w:rPr>
          <w:szCs w:val="24"/>
          <w:lang w:val="en-GB"/>
        </w:rPr>
        <w:t>7.4</w:t>
      </w:r>
      <w:r w:rsidRPr="00D81BB2">
        <w:rPr>
          <w:szCs w:val="24"/>
          <w:lang w:val="en-GB"/>
        </w:rPr>
        <w:tab/>
      </w:r>
      <w:r w:rsidR="000F2791" w:rsidRPr="00D81BB2">
        <w:rPr>
          <w:szCs w:val="24"/>
          <w:lang w:val="en-GB"/>
        </w:rPr>
        <w:t xml:space="preserve">During 2010, prior to the excipient’s tenure as the CFO of the plaintiff, the liquidators of Money Skills brought an application claiming that the excipient has conducted himself in bad faith in that </w:t>
      </w:r>
      <w:r w:rsidR="000F2791" w:rsidRPr="00D81BB2">
        <w:rPr>
          <w:szCs w:val="24"/>
          <w:lang w:val="en-GB"/>
        </w:rPr>
        <w:lastRenderedPageBreak/>
        <w:t xml:space="preserve">he had received payments of money amounting to dispositions without value, while the company was under voluntary liquidation, thereby undermining the liquidation process of Money </w:t>
      </w:r>
      <w:r w:rsidR="006C4A4C" w:rsidRPr="00D81BB2">
        <w:rPr>
          <w:szCs w:val="24"/>
          <w:lang w:val="en-GB"/>
        </w:rPr>
        <w:t>Skills.</w:t>
      </w:r>
      <w:r w:rsidR="000F2791" w:rsidRPr="00D81BB2">
        <w:rPr>
          <w:szCs w:val="24"/>
          <w:lang w:val="en-GB"/>
        </w:rPr>
        <w:t xml:space="preserve"> </w:t>
      </w:r>
    </w:p>
    <w:p w14:paraId="53D60E29" w14:textId="04320467" w:rsidR="000F2791" w:rsidRPr="00D81BB2" w:rsidRDefault="009B25C9" w:rsidP="009B25C9">
      <w:pPr>
        <w:pStyle w:val="RetiefPleadingpara1"/>
        <w:numPr>
          <w:ilvl w:val="0"/>
          <w:numId w:val="0"/>
        </w:numPr>
        <w:tabs>
          <w:tab w:val="left" w:pos="1701"/>
        </w:tabs>
        <w:spacing w:before="480" w:after="480"/>
        <w:ind w:left="1701" w:hanging="850"/>
        <w:rPr>
          <w:szCs w:val="24"/>
          <w:lang w:val="en-GB"/>
        </w:rPr>
      </w:pPr>
      <w:r w:rsidRPr="00D81BB2">
        <w:rPr>
          <w:szCs w:val="24"/>
          <w:lang w:val="en-GB"/>
        </w:rPr>
        <w:t>7.5</w:t>
      </w:r>
      <w:r w:rsidRPr="00D81BB2">
        <w:rPr>
          <w:szCs w:val="24"/>
          <w:lang w:val="en-GB"/>
        </w:rPr>
        <w:tab/>
      </w:r>
      <w:r w:rsidR="00805488" w:rsidRPr="00D81BB2">
        <w:rPr>
          <w:szCs w:val="24"/>
          <w:lang w:val="en-GB"/>
        </w:rPr>
        <w:t>In a judgment handed down by the High Court in the Money Skills liquidation, found that the excipient “</w:t>
      </w:r>
      <w:r w:rsidR="00805488" w:rsidRPr="00D81BB2">
        <w:rPr>
          <w:i/>
          <w:iCs/>
          <w:szCs w:val="24"/>
          <w:lang w:val="en-GB"/>
        </w:rPr>
        <w:t>was aware that the company was insolvent and as a financial director ought to have advised the creditors of the danger, particularly because the Reserve Bank voiced concerns about the scheme</w:t>
      </w:r>
      <w:r w:rsidR="00805488" w:rsidRPr="00D81BB2">
        <w:rPr>
          <w:szCs w:val="24"/>
          <w:lang w:val="en-GB"/>
        </w:rPr>
        <w:t xml:space="preserve">”. As a </w:t>
      </w:r>
      <w:r w:rsidR="00DF0692" w:rsidRPr="00D81BB2">
        <w:rPr>
          <w:szCs w:val="24"/>
          <w:lang w:val="en-GB"/>
        </w:rPr>
        <w:t>consequence,</w:t>
      </w:r>
      <w:r w:rsidR="00805488" w:rsidRPr="00D81BB2">
        <w:rPr>
          <w:szCs w:val="24"/>
          <w:lang w:val="en-GB"/>
        </w:rPr>
        <w:t xml:space="preserve"> </w:t>
      </w:r>
      <w:r w:rsidR="00DF0692" w:rsidRPr="00D81BB2">
        <w:rPr>
          <w:szCs w:val="24"/>
          <w:lang w:val="en-GB"/>
        </w:rPr>
        <w:t xml:space="preserve">the </w:t>
      </w:r>
      <w:r w:rsidR="00211B4C" w:rsidRPr="00D81BB2">
        <w:rPr>
          <w:szCs w:val="24"/>
          <w:lang w:val="en-GB"/>
        </w:rPr>
        <w:t>C</w:t>
      </w:r>
      <w:r w:rsidR="00DF0692" w:rsidRPr="00D81BB2">
        <w:rPr>
          <w:szCs w:val="24"/>
          <w:lang w:val="en-GB"/>
        </w:rPr>
        <w:t xml:space="preserve">ourt </w:t>
      </w:r>
      <w:r w:rsidR="00805488" w:rsidRPr="00D81BB2">
        <w:rPr>
          <w:szCs w:val="24"/>
          <w:lang w:val="en-GB"/>
        </w:rPr>
        <w:t xml:space="preserve">found that the excipient was not candid and did not act in good faith vis-à-vis as a financial director of Money Skills. </w:t>
      </w:r>
      <w:r w:rsidR="00DF0692" w:rsidRPr="00D81BB2">
        <w:rPr>
          <w:szCs w:val="24"/>
          <w:lang w:val="en-GB"/>
        </w:rPr>
        <w:t xml:space="preserve">The </w:t>
      </w:r>
      <w:r w:rsidR="00211B4C" w:rsidRPr="00D81BB2">
        <w:rPr>
          <w:szCs w:val="24"/>
          <w:lang w:val="en-GB"/>
        </w:rPr>
        <w:t>C</w:t>
      </w:r>
      <w:r w:rsidR="00DF0692" w:rsidRPr="00D81BB2">
        <w:rPr>
          <w:szCs w:val="24"/>
          <w:lang w:val="en-GB"/>
        </w:rPr>
        <w:t xml:space="preserve">ourt held further that the excipient had acted in a manner that was disadvantageous to creditors of the company of which he was a director at that </w:t>
      </w:r>
      <w:r w:rsidR="006C4A4C" w:rsidRPr="00D81BB2">
        <w:rPr>
          <w:szCs w:val="24"/>
          <w:lang w:val="en-GB"/>
        </w:rPr>
        <w:t>time.</w:t>
      </w:r>
    </w:p>
    <w:p w14:paraId="2E93007B" w14:textId="6E27B405" w:rsidR="00DF0692" w:rsidRPr="00D81BB2" w:rsidRDefault="009B25C9" w:rsidP="009B25C9">
      <w:pPr>
        <w:pStyle w:val="RetiefPleadingpara1"/>
        <w:numPr>
          <w:ilvl w:val="0"/>
          <w:numId w:val="0"/>
        </w:numPr>
        <w:tabs>
          <w:tab w:val="left" w:pos="1701"/>
        </w:tabs>
        <w:spacing w:before="480" w:after="480"/>
        <w:ind w:left="1701" w:hanging="850"/>
        <w:rPr>
          <w:szCs w:val="24"/>
          <w:lang w:val="en-GB"/>
        </w:rPr>
      </w:pPr>
      <w:r w:rsidRPr="00D81BB2">
        <w:rPr>
          <w:szCs w:val="24"/>
          <w:lang w:val="en-GB"/>
        </w:rPr>
        <w:t>7.6</w:t>
      </w:r>
      <w:r w:rsidRPr="00D81BB2">
        <w:rPr>
          <w:szCs w:val="24"/>
          <w:lang w:val="en-GB"/>
        </w:rPr>
        <w:tab/>
      </w:r>
      <w:r w:rsidR="00DF0692" w:rsidRPr="00D81BB2">
        <w:rPr>
          <w:szCs w:val="24"/>
          <w:lang w:val="en-GB"/>
        </w:rPr>
        <w:t>The excipient together with a Miss N. Brand (“</w:t>
      </w:r>
      <w:r w:rsidR="00DF0692" w:rsidRPr="00D81BB2">
        <w:rPr>
          <w:i/>
          <w:iCs/>
          <w:szCs w:val="24"/>
          <w:lang w:val="en-GB"/>
        </w:rPr>
        <w:t>Miss Brand</w:t>
      </w:r>
      <w:r w:rsidR="00DF0692" w:rsidRPr="00D81BB2">
        <w:rPr>
          <w:szCs w:val="24"/>
          <w:lang w:val="en-GB"/>
        </w:rPr>
        <w:t>”) is a director of Tsoelopele (Pty) Ltd (“</w:t>
      </w:r>
      <w:r w:rsidR="00DF0692" w:rsidRPr="00D81BB2">
        <w:rPr>
          <w:i/>
          <w:iCs/>
          <w:szCs w:val="24"/>
          <w:lang w:val="en-GB"/>
        </w:rPr>
        <w:t>Tsoelopele</w:t>
      </w:r>
      <w:r w:rsidR="00DF0692" w:rsidRPr="00D81BB2">
        <w:rPr>
          <w:szCs w:val="24"/>
          <w:lang w:val="en-GB"/>
        </w:rPr>
        <w:t>”</w:t>
      </w:r>
      <w:r w:rsidR="006C4A4C" w:rsidRPr="00D81BB2">
        <w:rPr>
          <w:szCs w:val="24"/>
          <w:lang w:val="en-GB"/>
        </w:rPr>
        <w:t>).</w:t>
      </w:r>
    </w:p>
    <w:p w14:paraId="0153388A" w14:textId="3914CDCB" w:rsidR="00DF0692" w:rsidRPr="00D81BB2" w:rsidRDefault="009B25C9" w:rsidP="009B25C9">
      <w:pPr>
        <w:pStyle w:val="RetiefPleadingpara1"/>
        <w:numPr>
          <w:ilvl w:val="0"/>
          <w:numId w:val="0"/>
        </w:numPr>
        <w:tabs>
          <w:tab w:val="left" w:pos="1701"/>
        </w:tabs>
        <w:spacing w:before="480" w:after="480"/>
        <w:ind w:left="1701" w:hanging="850"/>
        <w:rPr>
          <w:szCs w:val="24"/>
          <w:lang w:val="en-GB"/>
        </w:rPr>
      </w:pPr>
      <w:r w:rsidRPr="00D81BB2">
        <w:rPr>
          <w:szCs w:val="24"/>
          <w:lang w:val="en-GB"/>
        </w:rPr>
        <w:t>7.7</w:t>
      </w:r>
      <w:r w:rsidRPr="00D81BB2">
        <w:rPr>
          <w:szCs w:val="24"/>
          <w:lang w:val="en-GB"/>
        </w:rPr>
        <w:tab/>
      </w:r>
      <w:r w:rsidR="00DF0692" w:rsidRPr="00D81BB2">
        <w:rPr>
          <w:szCs w:val="24"/>
          <w:lang w:val="en-GB"/>
        </w:rPr>
        <w:t xml:space="preserve">Tsoelopele was registered two months after the excipient assumed his position as CFO of the </w:t>
      </w:r>
      <w:r w:rsidR="006C4A4C" w:rsidRPr="00D81BB2">
        <w:rPr>
          <w:szCs w:val="24"/>
          <w:lang w:val="en-GB"/>
        </w:rPr>
        <w:t>plaintiff.</w:t>
      </w:r>
      <w:r w:rsidR="00DF0692" w:rsidRPr="00D81BB2">
        <w:rPr>
          <w:szCs w:val="24"/>
          <w:lang w:val="en-GB"/>
        </w:rPr>
        <w:t xml:space="preserve"> </w:t>
      </w:r>
    </w:p>
    <w:p w14:paraId="3E397211" w14:textId="3B6BFEA5" w:rsidR="00DF0692" w:rsidRPr="00D81BB2" w:rsidRDefault="009B25C9" w:rsidP="009B25C9">
      <w:pPr>
        <w:pStyle w:val="RetiefPleadingpara1"/>
        <w:numPr>
          <w:ilvl w:val="0"/>
          <w:numId w:val="0"/>
        </w:numPr>
        <w:tabs>
          <w:tab w:val="left" w:pos="1701"/>
        </w:tabs>
        <w:spacing w:before="480" w:after="480"/>
        <w:ind w:left="1701" w:hanging="850"/>
        <w:rPr>
          <w:szCs w:val="24"/>
          <w:lang w:val="en-GB"/>
        </w:rPr>
      </w:pPr>
      <w:r w:rsidRPr="00D81BB2">
        <w:rPr>
          <w:szCs w:val="24"/>
          <w:lang w:val="en-GB"/>
        </w:rPr>
        <w:t>7.8</w:t>
      </w:r>
      <w:r w:rsidRPr="00D81BB2">
        <w:rPr>
          <w:szCs w:val="24"/>
          <w:lang w:val="en-GB"/>
        </w:rPr>
        <w:tab/>
      </w:r>
      <w:r w:rsidR="00DF0692" w:rsidRPr="00D81BB2">
        <w:rPr>
          <w:szCs w:val="24"/>
          <w:lang w:val="en-GB"/>
        </w:rPr>
        <w:t xml:space="preserve">A year after the registration of Tsoelopele, Miss Brand registered a further company called Travel Liaison, which was a private company and travel agency specialising in travel management and related </w:t>
      </w:r>
      <w:r w:rsidR="006C4A4C" w:rsidRPr="00D81BB2">
        <w:rPr>
          <w:szCs w:val="24"/>
          <w:lang w:val="en-GB"/>
        </w:rPr>
        <w:t>services.</w:t>
      </w:r>
      <w:r w:rsidR="00DF0692" w:rsidRPr="00D81BB2">
        <w:rPr>
          <w:szCs w:val="24"/>
          <w:lang w:val="en-GB"/>
        </w:rPr>
        <w:t xml:space="preserve"> </w:t>
      </w:r>
    </w:p>
    <w:p w14:paraId="4186FE2A" w14:textId="3F870F8A" w:rsidR="00DF0692" w:rsidRPr="00D81BB2" w:rsidRDefault="009B25C9" w:rsidP="009B25C9">
      <w:pPr>
        <w:pStyle w:val="RetiefPleadingpara1"/>
        <w:numPr>
          <w:ilvl w:val="0"/>
          <w:numId w:val="0"/>
        </w:numPr>
        <w:tabs>
          <w:tab w:val="left" w:pos="1701"/>
        </w:tabs>
        <w:spacing w:before="480" w:after="480"/>
        <w:ind w:left="1701" w:hanging="850"/>
        <w:rPr>
          <w:szCs w:val="24"/>
          <w:lang w:val="en-GB"/>
        </w:rPr>
      </w:pPr>
      <w:r w:rsidRPr="00D81BB2">
        <w:rPr>
          <w:szCs w:val="24"/>
          <w:lang w:val="en-GB"/>
        </w:rPr>
        <w:lastRenderedPageBreak/>
        <w:t>7.9</w:t>
      </w:r>
      <w:r w:rsidRPr="00D81BB2">
        <w:rPr>
          <w:szCs w:val="24"/>
          <w:lang w:val="en-GB"/>
        </w:rPr>
        <w:tab/>
      </w:r>
      <w:r w:rsidR="00DF0692" w:rsidRPr="00D81BB2">
        <w:rPr>
          <w:szCs w:val="24"/>
          <w:lang w:val="en-GB"/>
        </w:rPr>
        <w:t xml:space="preserve">The excipient advised the plaintiff to contract with Travel Liaison without disclosing that he had a financial interest in Tsoelopele, his business relationship with Miss Brand and indirectly, his direct and/or indirect financial interest in Travel </w:t>
      </w:r>
      <w:r w:rsidR="006C4A4C" w:rsidRPr="00D81BB2">
        <w:rPr>
          <w:szCs w:val="24"/>
          <w:lang w:val="en-GB"/>
        </w:rPr>
        <w:t>Liaison.</w:t>
      </w:r>
      <w:r w:rsidR="00DF0692" w:rsidRPr="00D81BB2">
        <w:rPr>
          <w:szCs w:val="24"/>
          <w:lang w:val="en-GB"/>
        </w:rPr>
        <w:t xml:space="preserve"> </w:t>
      </w:r>
    </w:p>
    <w:p w14:paraId="40F153E1" w14:textId="58869ECD" w:rsidR="00DF0692" w:rsidRPr="00D81BB2" w:rsidRDefault="009B25C9" w:rsidP="009B25C9">
      <w:pPr>
        <w:pStyle w:val="RetiefPleadingpara1"/>
        <w:numPr>
          <w:ilvl w:val="0"/>
          <w:numId w:val="0"/>
        </w:numPr>
        <w:tabs>
          <w:tab w:val="left" w:pos="1701"/>
        </w:tabs>
        <w:spacing w:before="480" w:after="480"/>
        <w:ind w:left="1701" w:hanging="850"/>
        <w:rPr>
          <w:szCs w:val="24"/>
          <w:lang w:val="en-GB"/>
        </w:rPr>
      </w:pPr>
      <w:r w:rsidRPr="00D81BB2">
        <w:rPr>
          <w:szCs w:val="24"/>
          <w:lang w:val="en-GB"/>
        </w:rPr>
        <w:t>7.10</w:t>
      </w:r>
      <w:r w:rsidRPr="00D81BB2">
        <w:rPr>
          <w:szCs w:val="24"/>
          <w:lang w:val="en-GB"/>
        </w:rPr>
        <w:tab/>
      </w:r>
      <w:r w:rsidR="00DF0692" w:rsidRPr="00D81BB2">
        <w:rPr>
          <w:szCs w:val="24"/>
          <w:lang w:val="en-GB"/>
        </w:rPr>
        <w:t xml:space="preserve">In preparing the year end results for its financial year ending 31 December 2018, the plaintiff discovered irregularities in the financial management, accounting practices and the overall financial affairs of the plaintiff, owing to a breakdown in the internal financial control environment and the manipulation of the plaintiff’s financial results by the excipient in his capacity as CFO of the </w:t>
      </w:r>
      <w:r w:rsidR="006C4A4C" w:rsidRPr="00D81BB2">
        <w:rPr>
          <w:szCs w:val="24"/>
          <w:lang w:val="en-GB"/>
        </w:rPr>
        <w:t>plaintiff.</w:t>
      </w:r>
      <w:r w:rsidR="00DF0692" w:rsidRPr="00D81BB2">
        <w:rPr>
          <w:szCs w:val="24"/>
          <w:lang w:val="en-GB"/>
        </w:rPr>
        <w:t xml:space="preserve"> </w:t>
      </w:r>
    </w:p>
    <w:p w14:paraId="4E6CB7B1" w14:textId="606D3492" w:rsidR="00DF0692" w:rsidRPr="00D81BB2" w:rsidRDefault="009B25C9" w:rsidP="009B25C9">
      <w:pPr>
        <w:pStyle w:val="RetiefPleadingpara1"/>
        <w:numPr>
          <w:ilvl w:val="0"/>
          <w:numId w:val="0"/>
        </w:numPr>
        <w:tabs>
          <w:tab w:val="left" w:pos="1701"/>
        </w:tabs>
        <w:spacing w:before="480" w:after="480"/>
        <w:ind w:left="1701" w:hanging="850"/>
        <w:rPr>
          <w:szCs w:val="24"/>
          <w:lang w:val="en-GB"/>
        </w:rPr>
      </w:pPr>
      <w:r w:rsidRPr="00D81BB2">
        <w:rPr>
          <w:szCs w:val="24"/>
          <w:lang w:val="en-GB"/>
        </w:rPr>
        <w:t>7.11</w:t>
      </w:r>
      <w:r w:rsidRPr="00D81BB2">
        <w:rPr>
          <w:szCs w:val="24"/>
          <w:lang w:val="en-GB"/>
        </w:rPr>
        <w:tab/>
      </w:r>
      <w:r w:rsidR="00710B32" w:rsidRPr="00D81BB2">
        <w:rPr>
          <w:szCs w:val="24"/>
          <w:lang w:val="en-GB"/>
        </w:rPr>
        <w:t xml:space="preserve">The excipient adopted an accounting practice of processing false entries in the records of the plaintiff so that the results would not show any major changes or volatility in reported profits in the monthly, </w:t>
      </w:r>
      <w:r w:rsidR="006C4A4C" w:rsidRPr="00D81BB2">
        <w:rPr>
          <w:szCs w:val="24"/>
          <w:lang w:val="en-GB"/>
        </w:rPr>
        <w:t>quarterly,</w:t>
      </w:r>
      <w:r w:rsidR="00710B32" w:rsidRPr="00D81BB2">
        <w:rPr>
          <w:szCs w:val="24"/>
          <w:lang w:val="en-GB"/>
        </w:rPr>
        <w:t xml:space="preserve"> and annual financial reports to the </w:t>
      </w:r>
      <w:r w:rsidR="006C4A4C" w:rsidRPr="00D81BB2">
        <w:rPr>
          <w:szCs w:val="24"/>
          <w:lang w:val="en-GB"/>
        </w:rPr>
        <w:t>board.</w:t>
      </w:r>
      <w:r w:rsidR="00710B32" w:rsidRPr="00D81BB2">
        <w:rPr>
          <w:szCs w:val="24"/>
          <w:lang w:val="en-GB"/>
        </w:rPr>
        <w:t xml:space="preserve"> </w:t>
      </w:r>
    </w:p>
    <w:p w14:paraId="56C0F5CD" w14:textId="4896E8C9" w:rsidR="00000FD2" w:rsidRPr="00D81BB2" w:rsidRDefault="009B25C9" w:rsidP="009B25C9">
      <w:pPr>
        <w:pStyle w:val="RetiefPleadingpara1"/>
        <w:numPr>
          <w:ilvl w:val="0"/>
          <w:numId w:val="0"/>
        </w:numPr>
        <w:tabs>
          <w:tab w:val="left" w:pos="1701"/>
        </w:tabs>
        <w:spacing w:before="480" w:after="480"/>
        <w:ind w:left="1701" w:hanging="850"/>
        <w:rPr>
          <w:szCs w:val="24"/>
          <w:lang w:val="en-GB"/>
        </w:rPr>
      </w:pPr>
      <w:r w:rsidRPr="00D81BB2">
        <w:rPr>
          <w:szCs w:val="24"/>
          <w:lang w:val="en-GB"/>
        </w:rPr>
        <w:t>7.12</w:t>
      </w:r>
      <w:r w:rsidRPr="00D81BB2">
        <w:rPr>
          <w:szCs w:val="24"/>
          <w:lang w:val="en-GB"/>
        </w:rPr>
        <w:tab/>
      </w:r>
      <w:r w:rsidR="00710B32" w:rsidRPr="00D81BB2">
        <w:rPr>
          <w:szCs w:val="24"/>
          <w:lang w:val="en-GB"/>
        </w:rPr>
        <w:t>The unsubstantiated and false accounting adjustments by the excipient constituted an artificial manipulation of the plaintiff’s actual results with the effect being the reflection of false results in the company’s financial reports.</w:t>
      </w:r>
    </w:p>
    <w:p w14:paraId="36B7CCD8" w14:textId="25530B04" w:rsidR="00E24030" w:rsidRPr="00D81BB2" w:rsidRDefault="00E24030" w:rsidP="00000FD2">
      <w:pPr>
        <w:pStyle w:val="RetiefPleadingpara1"/>
        <w:numPr>
          <w:ilvl w:val="0"/>
          <w:numId w:val="0"/>
        </w:numPr>
        <w:spacing w:before="480" w:after="480"/>
        <w:rPr>
          <w:b/>
          <w:bCs/>
          <w:szCs w:val="24"/>
          <w:u w:val="single"/>
          <w:lang w:val="en-GB"/>
        </w:rPr>
      </w:pPr>
      <w:r w:rsidRPr="00D81BB2">
        <w:rPr>
          <w:b/>
          <w:bCs/>
          <w:szCs w:val="24"/>
          <w:u w:val="single"/>
          <w:lang w:val="en-GB"/>
        </w:rPr>
        <w:t>First Ground</w:t>
      </w:r>
    </w:p>
    <w:p w14:paraId="6CF74BBB" w14:textId="4EB67442" w:rsidR="00710B32"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[8]</w:t>
      </w:r>
      <w:r w:rsidRPr="00D81BB2">
        <w:rPr>
          <w:szCs w:val="24"/>
          <w:lang w:val="en-GB"/>
        </w:rPr>
        <w:tab/>
      </w:r>
      <w:r w:rsidR="00710B32" w:rsidRPr="00D81BB2">
        <w:rPr>
          <w:szCs w:val="24"/>
          <w:lang w:val="en-GB"/>
        </w:rPr>
        <w:t xml:space="preserve">The first ground of appeal goes to the heart of the </w:t>
      </w:r>
      <w:r w:rsidR="00331633" w:rsidRPr="00D81BB2">
        <w:rPr>
          <w:szCs w:val="24"/>
          <w:lang w:val="en-GB"/>
        </w:rPr>
        <w:t xml:space="preserve">declaratory relief sought in the </w:t>
      </w:r>
      <w:r w:rsidR="00710B32" w:rsidRPr="00D81BB2">
        <w:rPr>
          <w:szCs w:val="24"/>
          <w:lang w:val="en-GB"/>
        </w:rPr>
        <w:t>delinquency claim. The excipient</w:t>
      </w:r>
      <w:r w:rsidR="00331633" w:rsidRPr="00D81BB2">
        <w:rPr>
          <w:szCs w:val="24"/>
          <w:lang w:val="en-GB"/>
        </w:rPr>
        <w:t xml:space="preserve"> raised that such claim against the excipi</w:t>
      </w:r>
      <w:r w:rsidR="00D624E4" w:rsidRPr="00D81BB2">
        <w:rPr>
          <w:szCs w:val="24"/>
          <w:lang w:val="en-GB"/>
        </w:rPr>
        <w:t xml:space="preserve">ent </w:t>
      </w:r>
      <w:r w:rsidR="00D624E4" w:rsidRPr="00D81BB2">
        <w:rPr>
          <w:szCs w:val="24"/>
          <w:lang w:val="en-GB"/>
        </w:rPr>
        <w:lastRenderedPageBreak/>
        <w:t xml:space="preserve">as a prescribed officer of the plaintiff is, </w:t>
      </w:r>
      <w:r w:rsidR="00D624E4" w:rsidRPr="00D81BB2">
        <w:rPr>
          <w:i/>
          <w:iCs/>
          <w:szCs w:val="24"/>
          <w:lang w:val="en-GB"/>
        </w:rPr>
        <w:t>inter alia</w:t>
      </w:r>
      <w:r w:rsidR="00D624E4" w:rsidRPr="00D81BB2">
        <w:rPr>
          <w:szCs w:val="24"/>
          <w:lang w:val="en-GB"/>
        </w:rPr>
        <w:t xml:space="preserve">, bad in law. The excipient contends that despite the allegations by the </w:t>
      </w:r>
      <w:r w:rsidR="00710B32" w:rsidRPr="00D81BB2">
        <w:rPr>
          <w:szCs w:val="24"/>
          <w:lang w:val="en-GB"/>
        </w:rPr>
        <w:t>plaintiff that the excipient holds the position as CFO</w:t>
      </w:r>
      <w:r w:rsidR="00D624E4" w:rsidRPr="00D81BB2">
        <w:rPr>
          <w:szCs w:val="24"/>
          <w:lang w:val="en-GB"/>
        </w:rPr>
        <w:t xml:space="preserve">, is </w:t>
      </w:r>
      <w:r w:rsidR="00710B32" w:rsidRPr="00D81BB2">
        <w:rPr>
          <w:szCs w:val="24"/>
          <w:lang w:val="en-GB"/>
        </w:rPr>
        <w:t xml:space="preserve">an employee and a prescribed officer </w:t>
      </w:r>
      <w:r w:rsidR="00D624E4" w:rsidRPr="00D81BB2">
        <w:rPr>
          <w:szCs w:val="24"/>
          <w:lang w:val="en-GB"/>
        </w:rPr>
        <w:t xml:space="preserve">of the plaintiff, such allegations do not support </w:t>
      </w:r>
      <w:r w:rsidR="00710B32" w:rsidRPr="00D81BB2">
        <w:rPr>
          <w:szCs w:val="24"/>
          <w:lang w:val="en-GB"/>
        </w:rPr>
        <w:t>th</w:t>
      </w:r>
      <w:r w:rsidR="00D624E4" w:rsidRPr="00D81BB2">
        <w:rPr>
          <w:szCs w:val="24"/>
          <w:lang w:val="en-GB"/>
        </w:rPr>
        <w:t>e prescribed requirement of Section 162 of the Act</w:t>
      </w:r>
      <w:r w:rsidR="008F5FAB" w:rsidRPr="00D81BB2">
        <w:rPr>
          <w:szCs w:val="24"/>
          <w:lang w:val="en-GB"/>
        </w:rPr>
        <w:t xml:space="preserve">. </w:t>
      </w:r>
      <w:r w:rsidR="001E6F65" w:rsidRPr="00D81BB2">
        <w:rPr>
          <w:szCs w:val="24"/>
          <w:lang w:val="en-GB"/>
        </w:rPr>
        <w:t xml:space="preserve">As a consequence, </w:t>
      </w:r>
      <w:r w:rsidR="00D624E4" w:rsidRPr="00D81BB2">
        <w:rPr>
          <w:szCs w:val="24"/>
          <w:lang w:val="en-GB"/>
        </w:rPr>
        <w:t xml:space="preserve">the excipient </w:t>
      </w:r>
      <w:r w:rsidR="001E6F65" w:rsidRPr="00D81BB2">
        <w:rPr>
          <w:szCs w:val="24"/>
          <w:lang w:val="en-GB"/>
        </w:rPr>
        <w:t xml:space="preserve">does not </w:t>
      </w:r>
      <w:r w:rsidR="006C4A4C" w:rsidRPr="00D81BB2">
        <w:rPr>
          <w:szCs w:val="24"/>
          <w:lang w:val="en-GB"/>
        </w:rPr>
        <w:t>fall</w:t>
      </w:r>
      <w:r w:rsidR="00AF2F55" w:rsidRPr="00D81BB2">
        <w:rPr>
          <w:szCs w:val="24"/>
          <w:lang w:val="en-GB"/>
        </w:rPr>
        <w:t xml:space="preserve"> to be classified as</w:t>
      </w:r>
      <w:r w:rsidR="00D624E4" w:rsidRPr="00D81BB2">
        <w:rPr>
          <w:szCs w:val="24"/>
          <w:lang w:val="en-GB"/>
        </w:rPr>
        <w:t xml:space="preserve"> a director of the plaintiff </w:t>
      </w:r>
      <w:r w:rsidR="00710B32" w:rsidRPr="00D81BB2">
        <w:rPr>
          <w:szCs w:val="24"/>
          <w:lang w:val="en-GB"/>
        </w:rPr>
        <w:t>and/or is the type of person who can competently be declared a delinquent director</w:t>
      </w:r>
      <w:r w:rsidR="00AF2F55" w:rsidRPr="00D81BB2">
        <w:rPr>
          <w:szCs w:val="24"/>
          <w:lang w:val="en-GB"/>
        </w:rPr>
        <w:t>.</w:t>
      </w:r>
    </w:p>
    <w:p w14:paraId="6B81D9AC" w14:textId="03C243FA" w:rsidR="000F3ADA"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[9]</w:t>
      </w:r>
      <w:r w:rsidRPr="00D81BB2">
        <w:rPr>
          <w:szCs w:val="24"/>
          <w:lang w:val="en-GB"/>
        </w:rPr>
        <w:tab/>
      </w:r>
      <w:r w:rsidR="000F3ADA" w:rsidRPr="00D81BB2">
        <w:rPr>
          <w:szCs w:val="24"/>
          <w:lang w:val="en-GB"/>
        </w:rPr>
        <w:t>In terms of Section 162 headed ‘</w:t>
      </w:r>
      <w:r w:rsidR="000F3ADA" w:rsidRPr="00D81BB2">
        <w:rPr>
          <w:lang w:val="en-GB"/>
        </w:rPr>
        <w:t>Application to declare director delinquent or under probation’, the relevant portion of the Act stated at Section 162(2):</w:t>
      </w:r>
    </w:p>
    <w:p w14:paraId="4AC217AA" w14:textId="5B1A3E0E" w:rsidR="001F158B" w:rsidRPr="00D81BB2" w:rsidRDefault="000F3ADA" w:rsidP="00000FD2">
      <w:pPr>
        <w:pStyle w:val="RetiefPleadingpara1"/>
        <w:numPr>
          <w:ilvl w:val="0"/>
          <w:numId w:val="0"/>
        </w:numPr>
        <w:tabs>
          <w:tab w:val="left" w:pos="1418"/>
        </w:tabs>
        <w:spacing w:before="480" w:after="480"/>
        <w:ind w:left="1418" w:hanging="567"/>
        <w:rPr>
          <w:i/>
          <w:iCs/>
          <w:lang w:val="en-GB"/>
        </w:rPr>
      </w:pPr>
      <w:r w:rsidRPr="00D81BB2">
        <w:rPr>
          <w:lang w:val="en-GB"/>
        </w:rPr>
        <w:t>“</w:t>
      </w:r>
      <w:r w:rsidRPr="00D81BB2">
        <w:rPr>
          <w:i/>
          <w:iCs/>
          <w:lang w:val="en-GB"/>
        </w:rPr>
        <w:t xml:space="preserve">(2) </w:t>
      </w:r>
      <w:r w:rsidRPr="00D81BB2">
        <w:rPr>
          <w:i/>
          <w:iCs/>
          <w:lang w:val="en-GB"/>
        </w:rPr>
        <w:tab/>
      </w:r>
      <w:r w:rsidRPr="00D81BB2">
        <w:rPr>
          <w:i/>
          <w:iCs/>
          <w:u w:val="single"/>
          <w:lang w:val="en-GB"/>
        </w:rPr>
        <w:t>A company</w:t>
      </w:r>
      <w:r w:rsidR="00AF2F55" w:rsidRPr="00D81BB2">
        <w:rPr>
          <w:i/>
          <w:iCs/>
          <w:lang w:val="en-GB"/>
        </w:rPr>
        <w:t xml:space="preserve"> (own emphasis)</w:t>
      </w:r>
      <w:r w:rsidRPr="00D81BB2">
        <w:rPr>
          <w:i/>
          <w:iCs/>
          <w:lang w:val="en-GB"/>
        </w:rPr>
        <w:t>, a shareholder, director, company secretary or prescribed officer of a company, a registered trade union that represents employees of the company or another representative of the employees of a company may apply to a court for a</w:t>
      </w:r>
      <w:r w:rsidR="001F158B" w:rsidRPr="00D81BB2">
        <w:rPr>
          <w:i/>
          <w:iCs/>
          <w:lang w:val="en-GB"/>
        </w:rPr>
        <w:t>n</w:t>
      </w:r>
      <w:r w:rsidRPr="00D81BB2">
        <w:rPr>
          <w:i/>
          <w:iCs/>
          <w:lang w:val="en-GB"/>
        </w:rPr>
        <w:t xml:space="preserve"> order declaring a person</w:t>
      </w:r>
      <w:r w:rsidR="001F158B" w:rsidRPr="00D81BB2">
        <w:rPr>
          <w:i/>
          <w:iCs/>
          <w:lang w:val="en-GB"/>
        </w:rPr>
        <w:t xml:space="preserve"> </w:t>
      </w:r>
      <w:r w:rsidRPr="00D81BB2">
        <w:rPr>
          <w:i/>
          <w:iCs/>
          <w:lang w:val="en-GB"/>
        </w:rPr>
        <w:t>delinquent or under probation if</w:t>
      </w:r>
      <w:r w:rsidR="001F158B" w:rsidRPr="00D81BB2">
        <w:rPr>
          <w:i/>
          <w:iCs/>
          <w:lang w:val="en-GB"/>
        </w:rPr>
        <w:t xml:space="preserve"> –</w:t>
      </w:r>
    </w:p>
    <w:p w14:paraId="5E2F9837" w14:textId="3279BFDD" w:rsidR="000F3ADA" w:rsidRPr="00D81BB2" w:rsidRDefault="009B25C9" w:rsidP="009B25C9">
      <w:pPr>
        <w:pStyle w:val="RetiefPleadingpara1"/>
        <w:numPr>
          <w:ilvl w:val="0"/>
          <w:numId w:val="0"/>
        </w:numPr>
        <w:tabs>
          <w:tab w:val="left" w:pos="2268"/>
        </w:tabs>
        <w:spacing w:before="480" w:after="480"/>
        <w:ind w:left="2268" w:hanging="567"/>
        <w:rPr>
          <w:i/>
          <w:iCs/>
          <w:szCs w:val="24"/>
          <w:lang w:val="en-GB"/>
        </w:rPr>
      </w:pPr>
      <w:r w:rsidRPr="00D81BB2">
        <w:rPr>
          <w:i/>
          <w:iCs/>
          <w:szCs w:val="24"/>
          <w:lang w:val="en-GB"/>
        </w:rPr>
        <w:t>(a)</w:t>
      </w:r>
      <w:r w:rsidRPr="00D81BB2">
        <w:rPr>
          <w:i/>
          <w:iCs/>
          <w:szCs w:val="24"/>
          <w:lang w:val="en-GB"/>
        </w:rPr>
        <w:tab/>
      </w:r>
      <w:r w:rsidR="000F3ADA" w:rsidRPr="00D81BB2">
        <w:rPr>
          <w:i/>
          <w:iCs/>
          <w:lang w:val="en-GB"/>
        </w:rPr>
        <w:t>the person is a director of that company or, within the 24 months immediately preceding the application, was a director of that company; and</w:t>
      </w:r>
    </w:p>
    <w:p w14:paraId="58002ED5" w14:textId="124D170B" w:rsidR="001F158B" w:rsidRPr="00D81BB2" w:rsidRDefault="009B25C9" w:rsidP="009B25C9">
      <w:pPr>
        <w:pStyle w:val="RetiefPleadingpara1"/>
        <w:numPr>
          <w:ilvl w:val="0"/>
          <w:numId w:val="0"/>
        </w:numPr>
        <w:tabs>
          <w:tab w:val="left" w:pos="2268"/>
        </w:tabs>
        <w:spacing w:before="480" w:after="480"/>
        <w:ind w:left="2268" w:hanging="567"/>
        <w:rPr>
          <w:i/>
          <w:iCs/>
          <w:szCs w:val="24"/>
          <w:lang w:val="en-GB"/>
        </w:rPr>
      </w:pPr>
      <w:r w:rsidRPr="00D81BB2">
        <w:rPr>
          <w:i/>
          <w:iCs/>
          <w:szCs w:val="24"/>
          <w:lang w:val="en-GB"/>
        </w:rPr>
        <w:t>(b)</w:t>
      </w:r>
      <w:r w:rsidRPr="00D81BB2">
        <w:rPr>
          <w:i/>
          <w:iCs/>
          <w:szCs w:val="24"/>
          <w:lang w:val="en-GB"/>
        </w:rPr>
        <w:tab/>
      </w:r>
      <w:r w:rsidR="001F158B" w:rsidRPr="00D81BB2">
        <w:rPr>
          <w:i/>
          <w:iCs/>
          <w:lang w:val="en-GB"/>
        </w:rPr>
        <w:t xml:space="preserve">any of the circumstances contemplated in – </w:t>
      </w:r>
    </w:p>
    <w:p w14:paraId="6F64B02E" w14:textId="41E53C74" w:rsidR="001F158B" w:rsidRPr="00D81BB2" w:rsidRDefault="009B25C9" w:rsidP="009B25C9">
      <w:pPr>
        <w:pStyle w:val="RetiefPleadingpara1"/>
        <w:numPr>
          <w:ilvl w:val="0"/>
          <w:numId w:val="0"/>
        </w:numPr>
        <w:tabs>
          <w:tab w:val="left" w:pos="2835"/>
        </w:tabs>
        <w:spacing w:before="480" w:after="480"/>
        <w:ind w:left="2835" w:hanging="567"/>
        <w:rPr>
          <w:i/>
          <w:iCs/>
          <w:lang w:val="en-GB"/>
        </w:rPr>
      </w:pPr>
      <w:r w:rsidRPr="00D81BB2">
        <w:rPr>
          <w:i/>
          <w:iCs/>
          <w:lang w:val="en-GB"/>
        </w:rPr>
        <w:t>(i)</w:t>
      </w:r>
      <w:r w:rsidRPr="00D81BB2">
        <w:rPr>
          <w:i/>
          <w:iCs/>
          <w:lang w:val="en-GB"/>
        </w:rPr>
        <w:tab/>
      </w:r>
      <w:r w:rsidR="001F158B" w:rsidRPr="00D81BB2">
        <w:rPr>
          <w:i/>
          <w:iCs/>
          <w:lang w:val="en-GB"/>
        </w:rPr>
        <w:t xml:space="preserve">subsection (5)(a) to (c) apply, in the case of an application for a declaration of delinquency; or </w:t>
      </w:r>
    </w:p>
    <w:p w14:paraId="3AE5378B" w14:textId="21FEAAA5" w:rsidR="001F158B" w:rsidRPr="00D81BB2" w:rsidRDefault="009B25C9" w:rsidP="009B25C9">
      <w:pPr>
        <w:pStyle w:val="RetiefPleadingpara1"/>
        <w:numPr>
          <w:ilvl w:val="0"/>
          <w:numId w:val="0"/>
        </w:numPr>
        <w:tabs>
          <w:tab w:val="left" w:pos="2835"/>
        </w:tabs>
        <w:spacing w:before="480" w:after="480"/>
        <w:ind w:left="2988" w:hanging="720"/>
        <w:rPr>
          <w:i/>
          <w:iCs/>
          <w:szCs w:val="24"/>
          <w:lang w:val="en-GB"/>
        </w:rPr>
      </w:pPr>
      <w:r w:rsidRPr="00D81BB2">
        <w:rPr>
          <w:i/>
          <w:iCs/>
          <w:szCs w:val="24"/>
          <w:lang w:val="en-GB"/>
        </w:rPr>
        <w:t>(ii)</w:t>
      </w:r>
      <w:r w:rsidRPr="00D81BB2">
        <w:rPr>
          <w:i/>
          <w:iCs/>
          <w:szCs w:val="24"/>
          <w:lang w:val="en-GB"/>
        </w:rPr>
        <w:tab/>
      </w:r>
      <w:r w:rsidR="001F158B" w:rsidRPr="00D81BB2">
        <w:rPr>
          <w:i/>
          <w:iCs/>
          <w:lang w:val="en-GB"/>
        </w:rPr>
        <w:t>…</w:t>
      </w:r>
      <w:r w:rsidR="001F158B" w:rsidRPr="00D81BB2">
        <w:rPr>
          <w:lang w:val="en-GB"/>
        </w:rPr>
        <w:t>”</w:t>
      </w:r>
    </w:p>
    <w:p w14:paraId="73951CEB" w14:textId="41382560" w:rsidR="001F158B"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lastRenderedPageBreak/>
        <w:t>[10]</w:t>
      </w:r>
      <w:r w:rsidRPr="00D81BB2">
        <w:rPr>
          <w:szCs w:val="24"/>
          <w:lang w:val="en-GB"/>
        </w:rPr>
        <w:tab/>
      </w:r>
      <w:r w:rsidR="001F158B" w:rsidRPr="00D81BB2">
        <w:rPr>
          <w:szCs w:val="24"/>
          <w:lang w:val="en-GB"/>
        </w:rPr>
        <w:t xml:space="preserve">Section 162(5) </w:t>
      </w:r>
      <w:r w:rsidR="00805D87" w:rsidRPr="00D81BB2">
        <w:rPr>
          <w:szCs w:val="24"/>
          <w:lang w:val="en-GB"/>
        </w:rPr>
        <w:t>specifically</w:t>
      </w:r>
      <w:r w:rsidR="001F158B" w:rsidRPr="00D81BB2">
        <w:rPr>
          <w:szCs w:val="24"/>
          <w:lang w:val="en-GB"/>
        </w:rPr>
        <w:t xml:space="preserve"> deals with the </w:t>
      </w:r>
      <w:r w:rsidR="00805D87" w:rsidRPr="00D81BB2">
        <w:rPr>
          <w:szCs w:val="24"/>
          <w:lang w:val="en-GB"/>
        </w:rPr>
        <w:t xml:space="preserve">circumstances when a Court MUST </w:t>
      </w:r>
      <w:r w:rsidR="001F158B" w:rsidRPr="00D81BB2">
        <w:rPr>
          <w:szCs w:val="24"/>
          <w:lang w:val="en-GB"/>
        </w:rPr>
        <w:t>declare a person a delinquent</w:t>
      </w:r>
      <w:r w:rsidR="00805D87" w:rsidRPr="00D81BB2">
        <w:rPr>
          <w:szCs w:val="24"/>
          <w:lang w:val="en-GB"/>
        </w:rPr>
        <w:t>. R</w:t>
      </w:r>
      <w:r w:rsidR="00297C4E" w:rsidRPr="00D81BB2">
        <w:rPr>
          <w:szCs w:val="24"/>
          <w:lang w:val="en-GB"/>
        </w:rPr>
        <w:t xml:space="preserve">eference to </w:t>
      </w:r>
      <w:r w:rsidR="001F158B" w:rsidRPr="00D81BB2">
        <w:rPr>
          <w:szCs w:val="24"/>
          <w:lang w:val="en-GB"/>
        </w:rPr>
        <w:t>directors and</w:t>
      </w:r>
      <w:r w:rsidR="00297C4E" w:rsidRPr="00D81BB2">
        <w:rPr>
          <w:szCs w:val="24"/>
          <w:lang w:val="en-GB"/>
        </w:rPr>
        <w:t>/or</w:t>
      </w:r>
      <w:r w:rsidR="00C058FC" w:rsidRPr="00D81BB2">
        <w:rPr>
          <w:szCs w:val="24"/>
          <w:lang w:val="en-GB"/>
        </w:rPr>
        <w:t xml:space="preserve"> acting in the capacity as a director and/or</w:t>
      </w:r>
      <w:r w:rsidR="001F158B" w:rsidRPr="00D81BB2">
        <w:rPr>
          <w:szCs w:val="24"/>
          <w:lang w:val="en-GB"/>
        </w:rPr>
        <w:t xml:space="preserve"> prescribed office</w:t>
      </w:r>
      <w:r w:rsidR="00C058FC" w:rsidRPr="00D81BB2">
        <w:rPr>
          <w:szCs w:val="24"/>
          <w:lang w:val="en-GB"/>
        </w:rPr>
        <w:t>r</w:t>
      </w:r>
      <w:r w:rsidR="00297C4E" w:rsidRPr="00D81BB2">
        <w:rPr>
          <w:szCs w:val="24"/>
          <w:lang w:val="en-GB"/>
        </w:rPr>
        <w:t xml:space="preserve"> is dealt with in the mandatory provisions of sub-section 5(a-c)</w:t>
      </w:r>
      <w:r w:rsidR="001F158B" w:rsidRPr="00D81BB2">
        <w:rPr>
          <w:szCs w:val="24"/>
          <w:lang w:val="en-GB"/>
        </w:rPr>
        <w:t>.</w:t>
      </w:r>
    </w:p>
    <w:p w14:paraId="799F9CC6" w14:textId="0D318E98" w:rsidR="001F158B"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[11]</w:t>
      </w:r>
      <w:r w:rsidRPr="00D81BB2">
        <w:rPr>
          <w:szCs w:val="24"/>
          <w:lang w:val="en-GB"/>
        </w:rPr>
        <w:tab/>
      </w:r>
      <w:r w:rsidR="001F158B" w:rsidRPr="00D81BB2">
        <w:rPr>
          <w:szCs w:val="24"/>
          <w:lang w:val="en-GB"/>
        </w:rPr>
        <w:t xml:space="preserve">The definition of ‘director’ </w:t>
      </w:r>
      <w:r w:rsidR="00C058FC" w:rsidRPr="00D81BB2">
        <w:rPr>
          <w:szCs w:val="24"/>
          <w:lang w:val="en-GB"/>
        </w:rPr>
        <w:t xml:space="preserve">relied on by the excipient which is to be applied to </w:t>
      </w:r>
      <w:r w:rsidR="001F158B" w:rsidRPr="00D81BB2">
        <w:rPr>
          <w:szCs w:val="24"/>
          <w:lang w:val="en-GB"/>
        </w:rPr>
        <w:t xml:space="preserve">the provisions of </w:t>
      </w:r>
      <w:r w:rsidR="00F3429F">
        <w:rPr>
          <w:szCs w:val="24"/>
          <w:lang w:val="en-GB"/>
        </w:rPr>
        <w:t>sub-s</w:t>
      </w:r>
      <w:r w:rsidR="001F158B" w:rsidRPr="00D81BB2">
        <w:rPr>
          <w:szCs w:val="24"/>
          <w:lang w:val="en-GB"/>
        </w:rPr>
        <w:t xml:space="preserve">ection 162(2) and (5)(a) – (c) </w:t>
      </w:r>
      <w:r w:rsidR="00C058FC" w:rsidRPr="00D81BB2">
        <w:rPr>
          <w:szCs w:val="24"/>
          <w:lang w:val="en-GB"/>
        </w:rPr>
        <w:t>states</w:t>
      </w:r>
      <w:r w:rsidR="001F158B" w:rsidRPr="00D81BB2">
        <w:rPr>
          <w:szCs w:val="24"/>
          <w:lang w:val="en-GB"/>
        </w:rPr>
        <w:t>:</w:t>
      </w:r>
    </w:p>
    <w:p w14:paraId="1057771B" w14:textId="20BEFE9C" w:rsidR="001F158B" w:rsidRPr="00D81BB2" w:rsidRDefault="001F158B" w:rsidP="00000FD2">
      <w:pPr>
        <w:pStyle w:val="RetiefPleadingpara1"/>
        <w:numPr>
          <w:ilvl w:val="0"/>
          <w:numId w:val="0"/>
        </w:numPr>
        <w:tabs>
          <w:tab w:val="left" w:pos="851"/>
        </w:tabs>
        <w:spacing w:before="480" w:after="480"/>
        <w:ind w:left="851"/>
        <w:rPr>
          <w:szCs w:val="24"/>
          <w:lang w:val="en-GB"/>
        </w:rPr>
      </w:pPr>
      <w:r w:rsidRPr="00D81BB2">
        <w:rPr>
          <w:i/>
          <w:iCs/>
          <w:szCs w:val="24"/>
          <w:lang w:val="en-GB"/>
        </w:rPr>
        <w:t xml:space="preserve">“director” </w:t>
      </w:r>
      <w:r w:rsidRPr="00D81BB2">
        <w:rPr>
          <w:i/>
          <w:iCs/>
          <w:lang w:val="en-GB"/>
        </w:rPr>
        <w:t xml:space="preserve">means a member of the board of a company, as contemplated in section 66, or an alternate director of a company and </w:t>
      </w:r>
      <w:r w:rsidRPr="00D81BB2">
        <w:rPr>
          <w:i/>
          <w:iCs/>
          <w:u w:val="single"/>
          <w:lang w:val="en-GB"/>
        </w:rPr>
        <w:t xml:space="preserve">includes any person occupying the </w:t>
      </w:r>
      <w:r w:rsidRPr="00F3429F">
        <w:rPr>
          <w:i/>
          <w:iCs/>
          <w:u w:val="single"/>
          <w:lang w:val="en-GB"/>
        </w:rPr>
        <w:t>position of a director or alternate director, by</w:t>
      </w:r>
      <w:r w:rsidRPr="00D81BB2">
        <w:rPr>
          <w:i/>
          <w:iCs/>
          <w:u w:val="single"/>
          <w:lang w:val="en-GB"/>
        </w:rPr>
        <w:t xml:space="preserve"> whatever name designated</w:t>
      </w:r>
      <w:r w:rsidRPr="00D81BB2">
        <w:rPr>
          <w:lang w:val="en-GB"/>
        </w:rPr>
        <w:t xml:space="preserve"> (own emphasis</w:t>
      </w:r>
      <w:r w:rsidR="006C4A4C" w:rsidRPr="00D81BB2">
        <w:rPr>
          <w:lang w:val="en-GB"/>
        </w:rPr>
        <w:t>).</w:t>
      </w:r>
    </w:p>
    <w:p w14:paraId="478577AD" w14:textId="6BFE1326" w:rsidR="00944751"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[12]</w:t>
      </w:r>
      <w:r w:rsidRPr="00D81BB2">
        <w:rPr>
          <w:szCs w:val="24"/>
          <w:lang w:val="en-GB"/>
        </w:rPr>
        <w:tab/>
      </w:r>
      <w:r w:rsidR="005833D4" w:rsidRPr="00D81BB2">
        <w:rPr>
          <w:szCs w:val="24"/>
          <w:lang w:val="en-GB"/>
        </w:rPr>
        <w:t xml:space="preserve">The definition of </w:t>
      </w:r>
      <w:r w:rsidR="00F3429F">
        <w:rPr>
          <w:szCs w:val="24"/>
          <w:lang w:val="en-GB"/>
        </w:rPr>
        <w:t xml:space="preserve">a </w:t>
      </w:r>
      <w:r w:rsidR="005833D4" w:rsidRPr="00D81BB2">
        <w:rPr>
          <w:szCs w:val="24"/>
          <w:lang w:val="en-GB"/>
        </w:rPr>
        <w:t xml:space="preserve">director </w:t>
      </w:r>
      <w:r w:rsidR="00F3429F">
        <w:rPr>
          <w:szCs w:val="24"/>
          <w:lang w:val="en-GB"/>
        </w:rPr>
        <w:t xml:space="preserve">on a reasonable interpretation </w:t>
      </w:r>
      <w:r w:rsidR="005833D4" w:rsidRPr="00D81BB2">
        <w:rPr>
          <w:szCs w:val="24"/>
          <w:lang w:val="en-GB"/>
        </w:rPr>
        <w:t xml:space="preserve">appears to include any person who is not </w:t>
      </w:r>
      <w:r w:rsidR="006603D0" w:rsidRPr="00D81BB2">
        <w:rPr>
          <w:szCs w:val="24"/>
          <w:lang w:val="en-GB"/>
        </w:rPr>
        <w:t xml:space="preserve">specifically </w:t>
      </w:r>
      <w:r w:rsidR="00314A79" w:rsidRPr="00D81BB2">
        <w:rPr>
          <w:szCs w:val="24"/>
          <w:lang w:val="en-GB"/>
        </w:rPr>
        <w:t xml:space="preserve">named </w:t>
      </w:r>
      <w:r w:rsidR="006603D0" w:rsidRPr="00D81BB2">
        <w:rPr>
          <w:szCs w:val="24"/>
          <w:lang w:val="en-GB"/>
        </w:rPr>
        <w:t xml:space="preserve">by </w:t>
      </w:r>
      <w:r w:rsidR="00314A79" w:rsidRPr="00D81BB2">
        <w:rPr>
          <w:szCs w:val="24"/>
          <w:lang w:val="en-GB"/>
        </w:rPr>
        <w:t xml:space="preserve">the </w:t>
      </w:r>
      <w:r w:rsidR="006603D0" w:rsidRPr="00D81BB2">
        <w:rPr>
          <w:szCs w:val="24"/>
          <w:lang w:val="en-GB"/>
        </w:rPr>
        <w:t xml:space="preserve">title </w:t>
      </w:r>
      <w:r w:rsidR="00314A79" w:rsidRPr="00D81BB2">
        <w:rPr>
          <w:szCs w:val="24"/>
          <w:lang w:val="en-GB"/>
        </w:rPr>
        <w:t>of</w:t>
      </w:r>
      <w:r w:rsidR="005833D4" w:rsidRPr="00D81BB2">
        <w:rPr>
          <w:szCs w:val="24"/>
          <w:lang w:val="en-GB"/>
        </w:rPr>
        <w:t xml:space="preserve"> </w:t>
      </w:r>
      <w:r w:rsidR="007415F6">
        <w:rPr>
          <w:szCs w:val="24"/>
          <w:lang w:val="en-GB"/>
        </w:rPr>
        <w:t>“</w:t>
      </w:r>
      <w:r w:rsidR="005833D4" w:rsidRPr="00D81BB2">
        <w:rPr>
          <w:szCs w:val="24"/>
          <w:lang w:val="en-GB"/>
        </w:rPr>
        <w:t>director or alternate director</w:t>
      </w:r>
      <w:r w:rsidR="007415F6">
        <w:rPr>
          <w:szCs w:val="24"/>
          <w:lang w:val="en-GB"/>
        </w:rPr>
        <w:t>”</w:t>
      </w:r>
      <w:r w:rsidR="005833D4" w:rsidRPr="00D81BB2">
        <w:rPr>
          <w:szCs w:val="24"/>
          <w:lang w:val="en-GB"/>
        </w:rPr>
        <w:t xml:space="preserve"> BUT includes any person who occupies </w:t>
      </w:r>
      <w:r w:rsidR="007415F6">
        <w:rPr>
          <w:szCs w:val="24"/>
          <w:lang w:val="en-GB"/>
        </w:rPr>
        <w:t>such</w:t>
      </w:r>
      <w:r w:rsidR="005833D4" w:rsidRPr="00D81BB2">
        <w:rPr>
          <w:szCs w:val="24"/>
          <w:lang w:val="en-GB"/>
        </w:rPr>
        <w:t xml:space="preserve"> position</w:t>
      </w:r>
      <w:r w:rsidR="00935A53" w:rsidRPr="00D81BB2">
        <w:rPr>
          <w:szCs w:val="24"/>
          <w:lang w:val="en-GB"/>
        </w:rPr>
        <w:t xml:space="preserve"> by whatever name designated. By reference this is wide enough</w:t>
      </w:r>
      <w:r w:rsidR="00314A79" w:rsidRPr="00D81BB2">
        <w:rPr>
          <w:szCs w:val="24"/>
          <w:lang w:val="en-GB"/>
        </w:rPr>
        <w:t>,</w:t>
      </w:r>
      <w:r w:rsidR="00935A53" w:rsidRPr="00D81BB2">
        <w:rPr>
          <w:szCs w:val="24"/>
          <w:lang w:val="en-GB"/>
        </w:rPr>
        <w:t xml:space="preserve"> given the facts of each particular matter</w:t>
      </w:r>
      <w:r w:rsidR="00314A79" w:rsidRPr="00D81BB2">
        <w:rPr>
          <w:szCs w:val="24"/>
          <w:lang w:val="en-GB"/>
        </w:rPr>
        <w:t>,</w:t>
      </w:r>
      <w:r w:rsidR="00935A53" w:rsidRPr="00D81BB2">
        <w:rPr>
          <w:szCs w:val="24"/>
          <w:lang w:val="en-GB"/>
        </w:rPr>
        <w:t xml:space="preserve"> to include any person who </w:t>
      </w:r>
      <w:r w:rsidR="006603D0" w:rsidRPr="00D81BB2">
        <w:rPr>
          <w:szCs w:val="24"/>
          <w:lang w:val="en-GB"/>
        </w:rPr>
        <w:t xml:space="preserve">possess the </w:t>
      </w:r>
      <w:r w:rsidR="00314A79" w:rsidRPr="00D81BB2">
        <w:rPr>
          <w:szCs w:val="24"/>
          <w:lang w:val="en-GB"/>
        </w:rPr>
        <w:t xml:space="preserve">requisite </w:t>
      </w:r>
      <w:r w:rsidR="006603D0" w:rsidRPr="00D81BB2">
        <w:rPr>
          <w:szCs w:val="24"/>
          <w:lang w:val="en-GB"/>
        </w:rPr>
        <w:t xml:space="preserve">powers and performs functions </w:t>
      </w:r>
      <w:r w:rsidR="00EB4B30" w:rsidRPr="00D81BB2">
        <w:rPr>
          <w:szCs w:val="24"/>
          <w:lang w:val="en-GB"/>
        </w:rPr>
        <w:t xml:space="preserve">designated to a director </w:t>
      </w:r>
      <w:r w:rsidR="006603D0" w:rsidRPr="00D81BB2">
        <w:rPr>
          <w:szCs w:val="24"/>
          <w:lang w:val="en-GB"/>
        </w:rPr>
        <w:t xml:space="preserve">of a company as envisaged in terms of </w:t>
      </w:r>
      <w:r w:rsidR="00EB4B30" w:rsidRPr="00D81BB2">
        <w:rPr>
          <w:szCs w:val="24"/>
          <w:lang w:val="en-GB"/>
        </w:rPr>
        <w:t xml:space="preserve">Act but who does so </w:t>
      </w:r>
      <w:r w:rsidR="006B40BF" w:rsidRPr="00D81BB2">
        <w:rPr>
          <w:szCs w:val="24"/>
          <w:lang w:val="en-GB"/>
        </w:rPr>
        <w:t xml:space="preserve">under a </w:t>
      </w:r>
      <w:r w:rsidR="007415F6">
        <w:rPr>
          <w:szCs w:val="24"/>
          <w:lang w:val="en-GB"/>
        </w:rPr>
        <w:t xml:space="preserve">named </w:t>
      </w:r>
      <w:r w:rsidR="006B40BF" w:rsidRPr="00D81BB2">
        <w:rPr>
          <w:szCs w:val="24"/>
          <w:lang w:val="en-GB"/>
        </w:rPr>
        <w:t xml:space="preserve">title other than director or </w:t>
      </w:r>
      <w:r w:rsidR="00944751" w:rsidRPr="00D81BB2">
        <w:rPr>
          <w:szCs w:val="24"/>
          <w:lang w:val="en-GB"/>
        </w:rPr>
        <w:t>alternate director</w:t>
      </w:r>
      <w:r w:rsidR="00314A79" w:rsidRPr="00D81BB2">
        <w:rPr>
          <w:szCs w:val="24"/>
          <w:lang w:val="en-GB"/>
        </w:rPr>
        <w:t xml:space="preserve">. </w:t>
      </w:r>
      <w:r w:rsidR="007415F6">
        <w:rPr>
          <w:szCs w:val="24"/>
          <w:lang w:val="en-GB"/>
        </w:rPr>
        <w:t>This could include a prescribed officer.</w:t>
      </w:r>
    </w:p>
    <w:p w14:paraId="4F90DDD7" w14:textId="65BBAD8E" w:rsidR="00D516A4"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[13]</w:t>
      </w:r>
      <w:r w:rsidRPr="00D81BB2">
        <w:rPr>
          <w:szCs w:val="24"/>
          <w:lang w:val="en-GB"/>
        </w:rPr>
        <w:tab/>
      </w:r>
      <w:r w:rsidR="009E67E4" w:rsidRPr="00D81BB2">
        <w:rPr>
          <w:szCs w:val="24"/>
          <w:lang w:val="en-GB"/>
        </w:rPr>
        <w:t>The Minister in r</w:t>
      </w:r>
      <w:r w:rsidR="00A77992" w:rsidRPr="00D81BB2">
        <w:rPr>
          <w:szCs w:val="24"/>
          <w:lang w:val="en-GB"/>
        </w:rPr>
        <w:t xml:space="preserve">egulation 38 promulgated in terms of Section 66(1) of the Act </w:t>
      </w:r>
      <w:r w:rsidR="00EB4B30" w:rsidRPr="00D81BB2">
        <w:rPr>
          <w:szCs w:val="24"/>
          <w:lang w:val="en-GB"/>
        </w:rPr>
        <w:t xml:space="preserve">envisages such </w:t>
      </w:r>
      <w:r w:rsidR="00A77992" w:rsidRPr="00D81BB2">
        <w:rPr>
          <w:szCs w:val="24"/>
          <w:lang w:val="en-GB"/>
        </w:rPr>
        <w:t>circumstances</w:t>
      </w:r>
      <w:r w:rsidR="00795661" w:rsidRPr="00D81BB2">
        <w:rPr>
          <w:szCs w:val="24"/>
          <w:lang w:val="en-GB"/>
        </w:rPr>
        <w:t xml:space="preserve">, </w:t>
      </w:r>
      <w:r w:rsidR="00795661" w:rsidRPr="00D81BB2">
        <w:rPr>
          <w:i/>
          <w:iCs/>
          <w:szCs w:val="24"/>
          <w:lang w:val="en-GB"/>
        </w:rPr>
        <w:t>supra</w:t>
      </w:r>
      <w:r w:rsidR="00795661" w:rsidRPr="00D81BB2">
        <w:rPr>
          <w:szCs w:val="24"/>
          <w:lang w:val="en-GB"/>
        </w:rPr>
        <w:t>,</w:t>
      </w:r>
      <w:r w:rsidR="00A77992" w:rsidRPr="00D81BB2">
        <w:rPr>
          <w:szCs w:val="24"/>
          <w:lang w:val="en-GB"/>
        </w:rPr>
        <w:t xml:space="preserve"> when </w:t>
      </w:r>
      <w:r w:rsidR="009E67E4" w:rsidRPr="00D81BB2">
        <w:rPr>
          <w:szCs w:val="24"/>
          <w:lang w:val="en-GB"/>
        </w:rPr>
        <w:t xml:space="preserve">he designated general executive functions </w:t>
      </w:r>
      <w:r w:rsidR="0078151E" w:rsidRPr="00D81BB2">
        <w:rPr>
          <w:szCs w:val="24"/>
          <w:lang w:val="en-GB"/>
        </w:rPr>
        <w:t xml:space="preserve">and controls </w:t>
      </w:r>
      <w:r w:rsidR="009E67E4" w:rsidRPr="00D81BB2">
        <w:rPr>
          <w:szCs w:val="24"/>
          <w:lang w:val="en-GB"/>
        </w:rPr>
        <w:t xml:space="preserve">to </w:t>
      </w:r>
      <w:r w:rsidR="00A77992" w:rsidRPr="00D81BB2">
        <w:rPr>
          <w:szCs w:val="24"/>
          <w:lang w:val="en-GB"/>
        </w:rPr>
        <w:t xml:space="preserve">a prescribed officer </w:t>
      </w:r>
      <w:r w:rsidR="009E67E4" w:rsidRPr="00D81BB2">
        <w:rPr>
          <w:szCs w:val="24"/>
          <w:lang w:val="en-GB"/>
        </w:rPr>
        <w:t xml:space="preserve">as </w:t>
      </w:r>
      <w:r w:rsidR="0078151E" w:rsidRPr="00D81BB2">
        <w:rPr>
          <w:szCs w:val="24"/>
          <w:lang w:val="en-GB"/>
        </w:rPr>
        <w:t xml:space="preserve">akin to </w:t>
      </w:r>
      <w:r w:rsidR="009E67E4" w:rsidRPr="00D81BB2">
        <w:rPr>
          <w:szCs w:val="24"/>
          <w:lang w:val="en-GB"/>
        </w:rPr>
        <w:t xml:space="preserve">a director in circumstances </w:t>
      </w:r>
      <w:r w:rsidR="009E67E4" w:rsidRPr="00D81BB2">
        <w:rPr>
          <w:szCs w:val="24"/>
          <w:lang w:val="en-GB"/>
        </w:rPr>
        <w:lastRenderedPageBreak/>
        <w:t>when</w:t>
      </w:r>
      <w:r w:rsidR="00A77992" w:rsidRPr="00D81BB2">
        <w:rPr>
          <w:szCs w:val="24"/>
          <w:lang w:val="en-GB"/>
        </w:rPr>
        <w:t xml:space="preserve"> </w:t>
      </w:r>
      <w:r w:rsidR="009E67E4" w:rsidRPr="00D81BB2">
        <w:rPr>
          <w:szCs w:val="24"/>
          <w:lang w:val="en-GB"/>
        </w:rPr>
        <w:t>such person is not</w:t>
      </w:r>
      <w:r w:rsidR="0078151E" w:rsidRPr="00D81BB2">
        <w:rPr>
          <w:szCs w:val="24"/>
          <w:lang w:val="en-GB"/>
        </w:rPr>
        <w:t xml:space="preserve"> called</w:t>
      </w:r>
      <w:r w:rsidR="00795661" w:rsidRPr="00D81BB2">
        <w:rPr>
          <w:szCs w:val="24"/>
          <w:lang w:val="en-GB"/>
        </w:rPr>
        <w:t xml:space="preserve"> a</w:t>
      </w:r>
      <w:r w:rsidR="00A77992" w:rsidRPr="00D81BB2">
        <w:rPr>
          <w:szCs w:val="24"/>
          <w:lang w:val="en-GB"/>
        </w:rPr>
        <w:t xml:space="preserve"> director</w:t>
      </w:r>
      <w:r w:rsidR="00D516A4" w:rsidRPr="00D81BB2">
        <w:rPr>
          <w:szCs w:val="24"/>
          <w:lang w:val="en-GB"/>
        </w:rPr>
        <w:t>.</w:t>
      </w:r>
      <w:r w:rsidR="006B40BF" w:rsidRPr="00D81BB2">
        <w:rPr>
          <w:szCs w:val="24"/>
          <w:lang w:val="en-GB"/>
        </w:rPr>
        <w:t xml:space="preserve"> </w:t>
      </w:r>
      <w:r w:rsidR="00314A79" w:rsidRPr="00D81BB2">
        <w:rPr>
          <w:szCs w:val="24"/>
          <w:lang w:val="en-GB"/>
        </w:rPr>
        <w:t>Section 66</w:t>
      </w:r>
      <w:r w:rsidR="006603D0" w:rsidRPr="00D81BB2">
        <w:rPr>
          <w:szCs w:val="24"/>
          <w:lang w:val="en-GB"/>
        </w:rPr>
        <w:t xml:space="preserve"> </w:t>
      </w:r>
      <w:r w:rsidR="00B80E22" w:rsidRPr="00D81BB2">
        <w:rPr>
          <w:szCs w:val="24"/>
          <w:lang w:val="en-GB"/>
        </w:rPr>
        <w:t xml:space="preserve">is headed “Board, </w:t>
      </w:r>
      <w:r w:rsidR="006C4A4C" w:rsidRPr="00D81BB2">
        <w:rPr>
          <w:szCs w:val="24"/>
          <w:lang w:val="en-GB"/>
        </w:rPr>
        <w:t>directors,</w:t>
      </w:r>
      <w:r w:rsidR="00B80E22" w:rsidRPr="00D81BB2">
        <w:rPr>
          <w:szCs w:val="24"/>
          <w:lang w:val="en-GB"/>
        </w:rPr>
        <w:t xml:space="preserve"> and prescribed officers</w:t>
      </w:r>
      <w:r w:rsidR="006603D0" w:rsidRPr="00D81BB2">
        <w:rPr>
          <w:szCs w:val="24"/>
          <w:lang w:val="en-GB"/>
        </w:rPr>
        <w:t>.</w:t>
      </w:r>
      <w:r w:rsidR="00AD47CC" w:rsidRPr="00D81BB2">
        <w:rPr>
          <w:szCs w:val="24"/>
          <w:lang w:val="en-GB"/>
        </w:rPr>
        <w:t xml:space="preserve"> </w:t>
      </w:r>
    </w:p>
    <w:p w14:paraId="63B3020A" w14:textId="1BD8C2F3" w:rsidR="00F67C95"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[14]</w:t>
      </w:r>
      <w:r w:rsidRPr="00D81BB2">
        <w:rPr>
          <w:szCs w:val="24"/>
          <w:lang w:val="en-GB"/>
        </w:rPr>
        <w:tab/>
      </w:r>
      <w:r w:rsidR="00D516A4" w:rsidRPr="00D81BB2">
        <w:rPr>
          <w:szCs w:val="24"/>
          <w:lang w:val="en-GB"/>
        </w:rPr>
        <w:t xml:space="preserve">The plaintiff cited and sufficiently cast the net to foreshadow the </w:t>
      </w:r>
      <w:r w:rsidR="007415F6">
        <w:rPr>
          <w:szCs w:val="24"/>
          <w:lang w:val="en-GB"/>
        </w:rPr>
        <w:t xml:space="preserve">reasonable </w:t>
      </w:r>
      <w:r w:rsidR="00D02E94" w:rsidRPr="00D81BB2">
        <w:rPr>
          <w:szCs w:val="24"/>
          <w:lang w:val="en-GB"/>
        </w:rPr>
        <w:t>argument</w:t>
      </w:r>
      <w:r w:rsidR="007415F6">
        <w:rPr>
          <w:szCs w:val="24"/>
          <w:lang w:val="en-GB"/>
        </w:rPr>
        <w:t>, having regard to the remaining allegations,</w:t>
      </w:r>
      <w:r w:rsidR="00D02E94" w:rsidRPr="00D81BB2">
        <w:rPr>
          <w:szCs w:val="24"/>
          <w:lang w:val="en-GB"/>
        </w:rPr>
        <w:t xml:space="preserve"> of the </w:t>
      </w:r>
      <w:r w:rsidR="00D516A4" w:rsidRPr="00D81BB2">
        <w:rPr>
          <w:szCs w:val="24"/>
          <w:lang w:val="en-GB"/>
        </w:rPr>
        <w:t xml:space="preserve">incorporation of a prescribed officer </w:t>
      </w:r>
      <w:r w:rsidR="00D02E94" w:rsidRPr="00D81BB2">
        <w:rPr>
          <w:szCs w:val="24"/>
          <w:lang w:val="en-GB"/>
        </w:rPr>
        <w:t xml:space="preserve">in the delinquency claim. </w:t>
      </w:r>
      <w:r w:rsidR="00AD47CC" w:rsidRPr="00D81BB2">
        <w:rPr>
          <w:szCs w:val="24"/>
          <w:lang w:val="en-GB"/>
        </w:rPr>
        <w:t xml:space="preserve">In consequence the pleaded fact </w:t>
      </w:r>
      <w:r w:rsidR="006B40BF" w:rsidRPr="00D81BB2">
        <w:rPr>
          <w:szCs w:val="24"/>
          <w:lang w:val="en-GB"/>
        </w:rPr>
        <w:t>that</w:t>
      </w:r>
      <w:r w:rsidR="00AD47CC" w:rsidRPr="00D81BB2">
        <w:rPr>
          <w:szCs w:val="24"/>
          <w:lang w:val="en-GB"/>
        </w:rPr>
        <w:t xml:space="preserve"> </w:t>
      </w:r>
      <w:r w:rsidR="00551468" w:rsidRPr="00D81BB2">
        <w:rPr>
          <w:szCs w:val="24"/>
          <w:lang w:val="en-GB"/>
        </w:rPr>
        <w:t xml:space="preserve">the excipient </w:t>
      </w:r>
      <w:r w:rsidR="006B40BF" w:rsidRPr="00D81BB2">
        <w:rPr>
          <w:szCs w:val="24"/>
          <w:lang w:val="en-GB"/>
        </w:rPr>
        <w:t>was</w:t>
      </w:r>
      <w:r w:rsidR="00551468" w:rsidRPr="00D81BB2">
        <w:rPr>
          <w:szCs w:val="24"/>
          <w:lang w:val="en-GB"/>
        </w:rPr>
        <w:t xml:space="preserve"> a </w:t>
      </w:r>
      <w:r w:rsidR="00AD47CC" w:rsidRPr="00D81BB2">
        <w:rPr>
          <w:szCs w:val="24"/>
          <w:lang w:val="en-GB"/>
        </w:rPr>
        <w:t xml:space="preserve">prescribed officer </w:t>
      </w:r>
      <w:r w:rsidR="00944751" w:rsidRPr="00D81BB2">
        <w:rPr>
          <w:szCs w:val="24"/>
          <w:lang w:val="en-GB"/>
        </w:rPr>
        <w:t>o</w:t>
      </w:r>
      <w:r w:rsidR="006B40BF" w:rsidRPr="00D81BB2">
        <w:rPr>
          <w:szCs w:val="24"/>
          <w:lang w:val="en-GB"/>
        </w:rPr>
        <w:t xml:space="preserve">f the plaintiff </w:t>
      </w:r>
      <w:r w:rsidR="00AD47CC" w:rsidRPr="00D81BB2">
        <w:rPr>
          <w:szCs w:val="24"/>
          <w:lang w:val="en-GB"/>
        </w:rPr>
        <w:t xml:space="preserve">does not </w:t>
      </w:r>
      <w:r w:rsidR="00551468" w:rsidRPr="00D81BB2">
        <w:rPr>
          <w:szCs w:val="24"/>
          <w:lang w:val="en-GB"/>
        </w:rPr>
        <w:t xml:space="preserve">summarily </w:t>
      </w:r>
      <w:r w:rsidR="006C4A4C" w:rsidRPr="00D81BB2">
        <w:rPr>
          <w:szCs w:val="24"/>
          <w:lang w:val="en-GB"/>
        </w:rPr>
        <w:t>exclude</w:t>
      </w:r>
      <w:r w:rsidR="00551468" w:rsidRPr="00D81BB2">
        <w:rPr>
          <w:szCs w:val="24"/>
          <w:lang w:val="en-GB"/>
        </w:rPr>
        <w:t xml:space="preserve"> the relief sought</w:t>
      </w:r>
      <w:r w:rsidR="004A78B6" w:rsidRPr="00D81BB2">
        <w:rPr>
          <w:szCs w:val="24"/>
          <w:lang w:val="en-GB"/>
        </w:rPr>
        <w:t xml:space="preserve"> vis-à-vis</w:t>
      </w:r>
      <w:r w:rsidR="00551468" w:rsidRPr="00D81BB2">
        <w:rPr>
          <w:szCs w:val="24"/>
          <w:lang w:val="en-GB"/>
        </w:rPr>
        <w:t xml:space="preserve"> the delinquency claim in law</w:t>
      </w:r>
      <w:r w:rsidR="006B40BF" w:rsidRPr="00D81BB2">
        <w:rPr>
          <w:szCs w:val="24"/>
          <w:lang w:val="en-GB"/>
        </w:rPr>
        <w:t>.</w:t>
      </w:r>
      <w:r w:rsidR="00EB4B30" w:rsidRPr="00D81BB2">
        <w:rPr>
          <w:szCs w:val="24"/>
          <w:lang w:val="en-GB"/>
        </w:rPr>
        <w:t xml:space="preserve"> It flows that such claim is not bad in law</w:t>
      </w:r>
      <w:r w:rsidR="00427136">
        <w:rPr>
          <w:szCs w:val="24"/>
          <w:lang w:val="en-GB"/>
        </w:rPr>
        <w:t xml:space="preserve"> and can be sustained on proven facts</w:t>
      </w:r>
      <w:r w:rsidR="00EB4B30" w:rsidRPr="00D81BB2">
        <w:rPr>
          <w:szCs w:val="24"/>
          <w:lang w:val="en-GB"/>
        </w:rPr>
        <w:t>.</w:t>
      </w:r>
    </w:p>
    <w:p w14:paraId="6A9FC115" w14:textId="5EA5DB3E" w:rsidR="008F609D"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[15]</w:t>
      </w:r>
      <w:r w:rsidRPr="00D81BB2">
        <w:rPr>
          <w:szCs w:val="24"/>
          <w:lang w:val="en-GB"/>
        </w:rPr>
        <w:tab/>
      </w:r>
      <w:r w:rsidR="00EB4B30" w:rsidRPr="00D81BB2">
        <w:rPr>
          <w:szCs w:val="24"/>
          <w:lang w:val="en-GB"/>
        </w:rPr>
        <w:t>Furthermore, t</w:t>
      </w:r>
      <w:r w:rsidR="00AD47CC" w:rsidRPr="00D81BB2">
        <w:rPr>
          <w:szCs w:val="24"/>
          <w:lang w:val="en-GB"/>
        </w:rPr>
        <w:t>h</w:t>
      </w:r>
      <w:r w:rsidR="00463241" w:rsidRPr="00D81BB2">
        <w:rPr>
          <w:szCs w:val="24"/>
          <w:lang w:val="en-GB"/>
        </w:rPr>
        <w:t>e</w:t>
      </w:r>
      <w:r w:rsidR="00AD47CC" w:rsidRPr="00D81BB2">
        <w:rPr>
          <w:szCs w:val="24"/>
          <w:lang w:val="en-GB"/>
        </w:rPr>
        <w:t xml:space="preserve"> inclusionary application </w:t>
      </w:r>
      <w:r w:rsidR="00463241" w:rsidRPr="00D81BB2">
        <w:rPr>
          <w:szCs w:val="24"/>
          <w:lang w:val="en-GB"/>
        </w:rPr>
        <w:t xml:space="preserve">of Section 162 </w:t>
      </w:r>
      <w:r w:rsidR="00AD47CC" w:rsidRPr="00D81BB2">
        <w:rPr>
          <w:szCs w:val="24"/>
          <w:lang w:val="en-GB"/>
        </w:rPr>
        <w:t xml:space="preserve">is </w:t>
      </w:r>
      <w:r w:rsidR="00463241" w:rsidRPr="00D81BB2">
        <w:rPr>
          <w:szCs w:val="24"/>
          <w:lang w:val="en-GB"/>
        </w:rPr>
        <w:t>echoed</w:t>
      </w:r>
      <w:r w:rsidR="00AD47CC" w:rsidRPr="00D81BB2">
        <w:rPr>
          <w:szCs w:val="24"/>
          <w:lang w:val="en-GB"/>
        </w:rPr>
        <w:t xml:space="preserve"> in </w:t>
      </w:r>
      <w:r w:rsidR="008F609D" w:rsidRPr="00D81BB2">
        <w:rPr>
          <w:szCs w:val="24"/>
          <w:lang w:val="en-GB"/>
        </w:rPr>
        <w:t xml:space="preserve">numerous provisions in the Act </w:t>
      </w:r>
      <w:r w:rsidR="0068782B" w:rsidRPr="00D81BB2">
        <w:rPr>
          <w:szCs w:val="24"/>
          <w:lang w:val="en-GB"/>
        </w:rPr>
        <w:t xml:space="preserve">in </w:t>
      </w:r>
      <w:r w:rsidR="008F609D" w:rsidRPr="00D81BB2">
        <w:rPr>
          <w:szCs w:val="24"/>
          <w:lang w:val="en-GB"/>
        </w:rPr>
        <w:t xml:space="preserve">which prescribed officer </w:t>
      </w:r>
      <w:r w:rsidR="0068782B" w:rsidRPr="00D81BB2">
        <w:rPr>
          <w:szCs w:val="24"/>
          <w:lang w:val="en-GB"/>
        </w:rPr>
        <w:t xml:space="preserve">and </w:t>
      </w:r>
      <w:r w:rsidR="008F609D" w:rsidRPr="00D81BB2">
        <w:rPr>
          <w:szCs w:val="24"/>
          <w:lang w:val="en-GB"/>
        </w:rPr>
        <w:t>director</w:t>
      </w:r>
      <w:r w:rsidR="0068782B" w:rsidRPr="00D81BB2">
        <w:rPr>
          <w:szCs w:val="24"/>
          <w:lang w:val="en-GB"/>
        </w:rPr>
        <w:t xml:space="preserve"> are used interchangeably</w:t>
      </w:r>
      <w:r w:rsidR="008F609D" w:rsidRPr="00D81BB2">
        <w:rPr>
          <w:szCs w:val="24"/>
          <w:lang w:val="en-GB"/>
        </w:rPr>
        <w:t xml:space="preserve">. In this regard the plaintiff’s counsel referred </w:t>
      </w:r>
      <w:r w:rsidR="008C7D66" w:rsidRPr="00D81BB2">
        <w:rPr>
          <w:szCs w:val="24"/>
          <w:lang w:val="en-GB"/>
        </w:rPr>
        <w:t xml:space="preserve">the Court </w:t>
      </w:r>
      <w:r w:rsidR="008F609D" w:rsidRPr="00D81BB2">
        <w:rPr>
          <w:szCs w:val="24"/>
          <w:lang w:val="en-GB"/>
        </w:rPr>
        <w:t>to Section</w:t>
      </w:r>
      <w:r w:rsidR="008C7D66" w:rsidRPr="00D81BB2">
        <w:rPr>
          <w:szCs w:val="24"/>
          <w:lang w:val="en-GB"/>
        </w:rPr>
        <w:t>s</w:t>
      </w:r>
      <w:r w:rsidR="008F609D" w:rsidRPr="00D81BB2">
        <w:rPr>
          <w:szCs w:val="24"/>
          <w:lang w:val="en-GB"/>
        </w:rPr>
        <w:t xml:space="preserve"> 66, 69(1),</w:t>
      </w:r>
      <w:r w:rsidR="008C7D66" w:rsidRPr="00D81BB2">
        <w:rPr>
          <w:szCs w:val="24"/>
          <w:lang w:val="en-GB"/>
        </w:rPr>
        <w:t xml:space="preserve"> </w:t>
      </w:r>
      <w:r w:rsidR="008F609D" w:rsidRPr="00D81BB2">
        <w:rPr>
          <w:szCs w:val="24"/>
          <w:lang w:val="en-GB"/>
        </w:rPr>
        <w:t>76 and 77</w:t>
      </w:r>
      <w:r w:rsidR="008C7D66" w:rsidRPr="00D81BB2">
        <w:rPr>
          <w:szCs w:val="24"/>
          <w:lang w:val="en-GB"/>
        </w:rPr>
        <w:t>. The latter sections are</w:t>
      </w:r>
      <w:r w:rsidR="008F609D" w:rsidRPr="00D81BB2">
        <w:rPr>
          <w:szCs w:val="24"/>
          <w:lang w:val="en-GB"/>
        </w:rPr>
        <w:t xml:space="preserve"> both referred to in Section 162(5)(c</w:t>
      </w:r>
      <w:r w:rsidR="008C7D66" w:rsidRPr="00D81BB2">
        <w:rPr>
          <w:szCs w:val="24"/>
          <w:lang w:val="en-GB"/>
        </w:rPr>
        <w:t>) of the</w:t>
      </w:r>
      <w:r w:rsidR="008F609D" w:rsidRPr="00D81BB2">
        <w:rPr>
          <w:szCs w:val="24"/>
          <w:lang w:val="en-GB"/>
        </w:rPr>
        <w:t xml:space="preserve"> Act. </w:t>
      </w:r>
    </w:p>
    <w:p w14:paraId="76AB25FD" w14:textId="731A9A7E" w:rsidR="008D6C7C"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[16]</w:t>
      </w:r>
      <w:r w:rsidRPr="00D81BB2">
        <w:rPr>
          <w:szCs w:val="24"/>
          <w:lang w:val="en-GB"/>
        </w:rPr>
        <w:tab/>
      </w:r>
      <w:r w:rsidR="008C7D66" w:rsidRPr="00D81BB2">
        <w:rPr>
          <w:szCs w:val="24"/>
          <w:lang w:val="en-GB"/>
        </w:rPr>
        <w:t xml:space="preserve">In so far as the excipient </w:t>
      </w:r>
      <w:r w:rsidR="006C4A4C" w:rsidRPr="00D81BB2">
        <w:rPr>
          <w:szCs w:val="24"/>
          <w:lang w:val="en-GB"/>
        </w:rPr>
        <w:t>relies on</w:t>
      </w:r>
      <w:r w:rsidR="008C7D66" w:rsidRPr="00D81BB2">
        <w:rPr>
          <w:szCs w:val="24"/>
          <w:lang w:val="en-GB"/>
        </w:rPr>
        <w:t xml:space="preserve"> that the</w:t>
      </w:r>
      <w:r w:rsidR="008D6C7C" w:rsidRPr="00D81BB2">
        <w:rPr>
          <w:szCs w:val="24"/>
          <w:lang w:val="en-GB"/>
        </w:rPr>
        <w:t xml:space="preserve"> plaintiff fail</w:t>
      </w:r>
      <w:r w:rsidR="00001421" w:rsidRPr="00D81BB2">
        <w:rPr>
          <w:szCs w:val="24"/>
          <w:lang w:val="en-GB"/>
        </w:rPr>
        <w:t>ure</w:t>
      </w:r>
      <w:r w:rsidR="008D6C7C" w:rsidRPr="00D81BB2">
        <w:rPr>
          <w:szCs w:val="24"/>
          <w:lang w:val="en-GB"/>
        </w:rPr>
        <w:t xml:space="preserve"> to allege that </w:t>
      </w:r>
      <w:r w:rsidR="006C4A4C" w:rsidRPr="00D81BB2">
        <w:rPr>
          <w:szCs w:val="24"/>
          <w:lang w:val="en-GB"/>
        </w:rPr>
        <w:t>it’s</w:t>
      </w:r>
      <w:r w:rsidR="008D6C7C" w:rsidRPr="00D81BB2">
        <w:rPr>
          <w:szCs w:val="24"/>
          <w:lang w:val="en-GB"/>
        </w:rPr>
        <w:t xml:space="preserve"> entitle</w:t>
      </w:r>
      <w:r w:rsidR="00001421" w:rsidRPr="00D81BB2">
        <w:rPr>
          <w:szCs w:val="24"/>
          <w:lang w:val="en-GB"/>
        </w:rPr>
        <w:t>d</w:t>
      </w:r>
      <w:r w:rsidR="008D6C7C" w:rsidRPr="00D81BB2">
        <w:rPr>
          <w:szCs w:val="24"/>
          <w:lang w:val="en-GB"/>
        </w:rPr>
        <w:t xml:space="preserve"> to institute the delinquency claim, the </w:t>
      </w:r>
      <w:r w:rsidR="00472986" w:rsidRPr="00D81BB2">
        <w:rPr>
          <w:szCs w:val="24"/>
          <w:lang w:val="en-GB"/>
        </w:rPr>
        <w:t>provisions</w:t>
      </w:r>
      <w:r w:rsidR="008D6C7C" w:rsidRPr="00D81BB2">
        <w:rPr>
          <w:szCs w:val="24"/>
          <w:lang w:val="en-GB"/>
        </w:rPr>
        <w:t xml:space="preserve"> of section 162 are </w:t>
      </w:r>
      <w:r w:rsidR="006C4A4C" w:rsidRPr="00D81BB2">
        <w:rPr>
          <w:szCs w:val="24"/>
          <w:lang w:val="en-GB"/>
        </w:rPr>
        <w:t>clear,</w:t>
      </w:r>
      <w:r w:rsidR="008D6C7C" w:rsidRPr="00D81BB2">
        <w:rPr>
          <w:szCs w:val="24"/>
          <w:lang w:val="en-GB"/>
        </w:rPr>
        <w:t xml:space="preserve"> and the plaintiff </w:t>
      </w:r>
      <w:r w:rsidR="00001421" w:rsidRPr="00D81BB2">
        <w:rPr>
          <w:szCs w:val="24"/>
          <w:lang w:val="en-GB"/>
        </w:rPr>
        <w:t>cited as</w:t>
      </w:r>
      <w:r w:rsidR="008D6C7C" w:rsidRPr="00D81BB2">
        <w:rPr>
          <w:szCs w:val="24"/>
          <w:lang w:val="en-GB"/>
        </w:rPr>
        <w:t xml:space="preserve"> the company</w:t>
      </w:r>
      <w:r w:rsidR="00001421" w:rsidRPr="00D81BB2">
        <w:rPr>
          <w:szCs w:val="24"/>
          <w:lang w:val="en-GB"/>
        </w:rPr>
        <w:t xml:space="preserve"> in whose employ the excipient was at the material time is sufficient</w:t>
      </w:r>
      <w:r w:rsidR="008D6C7C" w:rsidRPr="00D81BB2">
        <w:rPr>
          <w:szCs w:val="24"/>
          <w:lang w:val="en-GB"/>
        </w:rPr>
        <w:t>.</w:t>
      </w:r>
      <w:r w:rsidR="00001421" w:rsidRPr="00D81BB2">
        <w:rPr>
          <w:szCs w:val="24"/>
          <w:lang w:val="en-GB"/>
        </w:rPr>
        <w:t xml:space="preserve"> </w:t>
      </w:r>
    </w:p>
    <w:p w14:paraId="5F833A86" w14:textId="3BE24916" w:rsidR="008F609D"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[17]</w:t>
      </w:r>
      <w:r w:rsidRPr="00D81BB2">
        <w:rPr>
          <w:szCs w:val="24"/>
          <w:lang w:val="en-GB"/>
        </w:rPr>
        <w:tab/>
      </w:r>
      <w:r w:rsidR="008D6C7C" w:rsidRPr="00D81BB2">
        <w:rPr>
          <w:szCs w:val="24"/>
          <w:lang w:val="en-GB"/>
        </w:rPr>
        <w:t xml:space="preserve">Having </w:t>
      </w:r>
      <w:r w:rsidR="008F609D" w:rsidRPr="00D81BB2">
        <w:rPr>
          <w:szCs w:val="24"/>
          <w:lang w:val="en-GB"/>
        </w:rPr>
        <w:t xml:space="preserve">regard to the above and </w:t>
      </w:r>
      <w:r w:rsidR="003A1B67" w:rsidRPr="00D81BB2">
        <w:rPr>
          <w:szCs w:val="24"/>
          <w:lang w:val="en-GB"/>
        </w:rPr>
        <w:t xml:space="preserve">applying </w:t>
      </w:r>
      <w:r w:rsidR="004B7469" w:rsidRPr="00D81BB2">
        <w:rPr>
          <w:szCs w:val="24"/>
          <w:lang w:val="en-GB"/>
        </w:rPr>
        <w:t xml:space="preserve">the provisions of </w:t>
      </w:r>
      <w:r w:rsidR="006C4A4C" w:rsidRPr="00D81BB2">
        <w:rPr>
          <w:szCs w:val="24"/>
          <w:lang w:val="en-GB"/>
        </w:rPr>
        <w:t>Act and</w:t>
      </w:r>
      <w:r w:rsidR="009B0841" w:rsidRPr="00D81BB2">
        <w:rPr>
          <w:szCs w:val="24"/>
          <w:lang w:val="en-GB"/>
        </w:rPr>
        <w:t xml:space="preserve"> being min</w:t>
      </w:r>
      <w:r w:rsidR="00B47D5A" w:rsidRPr="00D81BB2">
        <w:rPr>
          <w:szCs w:val="24"/>
          <w:lang w:val="en-GB"/>
        </w:rPr>
        <w:t>d</w:t>
      </w:r>
      <w:r w:rsidR="009B0841" w:rsidRPr="00D81BB2">
        <w:rPr>
          <w:szCs w:val="24"/>
          <w:lang w:val="en-GB"/>
        </w:rPr>
        <w:t xml:space="preserve">ful that </w:t>
      </w:r>
      <w:r w:rsidR="00B47D5A" w:rsidRPr="00D81BB2">
        <w:rPr>
          <w:szCs w:val="24"/>
          <w:lang w:val="en-GB"/>
        </w:rPr>
        <w:t>a delinquency claim in terms of S</w:t>
      </w:r>
      <w:r w:rsidR="008F609D" w:rsidRPr="00D81BB2">
        <w:rPr>
          <w:szCs w:val="24"/>
          <w:lang w:val="en-GB"/>
        </w:rPr>
        <w:t xml:space="preserve">ection 162 </w:t>
      </w:r>
      <w:r w:rsidR="00EA326F" w:rsidRPr="00D81BB2">
        <w:rPr>
          <w:szCs w:val="24"/>
          <w:lang w:val="en-GB"/>
        </w:rPr>
        <w:t xml:space="preserve">is </w:t>
      </w:r>
      <w:r w:rsidR="008F609D" w:rsidRPr="00D81BB2">
        <w:rPr>
          <w:szCs w:val="24"/>
          <w:lang w:val="en-GB"/>
        </w:rPr>
        <w:t xml:space="preserve">a </w:t>
      </w:r>
      <w:r w:rsidR="00472986" w:rsidRPr="00D81BB2">
        <w:rPr>
          <w:szCs w:val="24"/>
          <w:lang w:val="en-GB"/>
        </w:rPr>
        <w:t>novel</w:t>
      </w:r>
      <w:r w:rsidR="008F609D" w:rsidRPr="00D81BB2">
        <w:rPr>
          <w:szCs w:val="24"/>
          <w:lang w:val="en-GB"/>
        </w:rPr>
        <w:t xml:space="preserve"> procedure </w:t>
      </w:r>
      <w:r w:rsidR="00B47D5A" w:rsidRPr="00D81BB2">
        <w:rPr>
          <w:szCs w:val="24"/>
          <w:lang w:val="en-GB"/>
        </w:rPr>
        <w:t xml:space="preserve">and should not be finally determined on exception but </w:t>
      </w:r>
      <w:r w:rsidR="00B75295" w:rsidRPr="00D81BB2">
        <w:rPr>
          <w:szCs w:val="24"/>
          <w:lang w:val="en-GB"/>
        </w:rPr>
        <w:t>before a</w:t>
      </w:r>
      <w:r w:rsidR="00B47D5A" w:rsidRPr="00D81BB2">
        <w:rPr>
          <w:szCs w:val="24"/>
          <w:lang w:val="en-GB"/>
        </w:rPr>
        <w:t xml:space="preserve"> trial</w:t>
      </w:r>
      <w:r w:rsidR="00B75295" w:rsidRPr="00D81BB2">
        <w:rPr>
          <w:szCs w:val="24"/>
          <w:lang w:val="en-GB"/>
        </w:rPr>
        <w:t xml:space="preserve"> court, t</w:t>
      </w:r>
      <w:r w:rsidR="008F609D" w:rsidRPr="00D81BB2">
        <w:rPr>
          <w:szCs w:val="24"/>
          <w:lang w:val="en-GB"/>
        </w:rPr>
        <w:t xml:space="preserve">he </w:t>
      </w:r>
      <w:r w:rsidR="004A78B6" w:rsidRPr="00D81BB2">
        <w:rPr>
          <w:szCs w:val="24"/>
          <w:lang w:val="en-GB"/>
        </w:rPr>
        <w:t xml:space="preserve">principles applied to exception dictates that the </w:t>
      </w:r>
      <w:r w:rsidR="008F609D" w:rsidRPr="00D81BB2">
        <w:rPr>
          <w:szCs w:val="24"/>
          <w:lang w:val="en-GB"/>
        </w:rPr>
        <w:t>excipient’s exception on this</w:t>
      </w:r>
      <w:r w:rsidR="00D8522F" w:rsidRPr="00D81BB2">
        <w:rPr>
          <w:szCs w:val="24"/>
          <w:lang w:val="en-GB"/>
        </w:rPr>
        <w:t xml:space="preserve"> </w:t>
      </w:r>
      <w:r w:rsidR="008F609D" w:rsidRPr="00D81BB2">
        <w:rPr>
          <w:szCs w:val="24"/>
          <w:lang w:val="en-GB"/>
        </w:rPr>
        <w:t>ground should fail.</w:t>
      </w:r>
    </w:p>
    <w:p w14:paraId="19E94805" w14:textId="46BD28D7" w:rsidR="00E24030" w:rsidRPr="00D81BB2" w:rsidRDefault="00E24030" w:rsidP="00000FD2">
      <w:pPr>
        <w:pStyle w:val="RetiefPleadingpara1"/>
        <w:numPr>
          <w:ilvl w:val="0"/>
          <w:numId w:val="0"/>
        </w:numPr>
        <w:spacing w:before="480" w:after="480"/>
        <w:rPr>
          <w:b/>
          <w:bCs/>
          <w:szCs w:val="24"/>
          <w:u w:val="single"/>
          <w:lang w:val="en-GB"/>
        </w:rPr>
      </w:pPr>
      <w:r w:rsidRPr="00D81BB2">
        <w:rPr>
          <w:b/>
          <w:bCs/>
          <w:szCs w:val="24"/>
          <w:u w:val="single"/>
          <w:lang w:val="en-GB"/>
        </w:rPr>
        <w:lastRenderedPageBreak/>
        <w:t>Second Ground</w:t>
      </w:r>
    </w:p>
    <w:p w14:paraId="303B8A9E" w14:textId="67D0448A" w:rsidR="0053055B"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[18]</w:t>
      </w:r>
      <w:r w:rsidRPr="00D81BB2">
        <w:rPr>
          <w:szCs w:val="24"/>
          <w:lang w:val="en-GB"/>
        </w:rPr>
        <w:tab/>
      </w:r>
      <w:r w:rsidR="00E24030" w:rsidRPr="00D81BB2">
        <w:rPr>
          <w:szCs w:val="24"/>
          <w:lang w:val="en-GB"/>
        </w:rPr>
        <w:t xml:space="preserve">The second ground </w:t>
      </w:r>
      <w:r w:rsidR="0040797D" w:rsidRPr="00D81BB2">
        <w:rPr>
          <w:szCs w:val="24"/>
          <w:lang w:val="en-GB"/>
        </w:rPr>
        <w:t xml:space="preserve">strikes at the heart </w:t>
      </w:r>
      <w:r w:rsidR="00BF5B47" w:rsidRPr="00D81BB2">
        <w:rPr>
          <w:szCs w:val="24"/>
          <w:lang w:val="en-GB"/>
        </w:rPr>
        <w:t>o</w:t>
      </w:r>
      <w:r w:rsidR="0040797D" w:rsidRPr="00D81BB2">
        <w:rPr>
          <w:szCs w:val="24"/>
          <w:lang w:val="en-GB"/>
        </w:rPr>
        <w:t>f the damages claim</w:t>
      </w:r>
      <w:r w:rsidR="00D02E94" w:rsidRPr="00D81BB2">
        <w:rPr>
          <w:szCs w:val="24"/>
          <w:lang w:val="en-GB"/>
        </w:rPr>
        <w:t xml:space="preserve">. The plaintiff alleges that </w:t>
      </w:r>
      <w:r w:rsidR="00500674" w:rsidRPr="00D81BB2">
        <w:rPr>
          <w:szCs w:val="24"/>
          <w:lang w:val="en-GB"/>
        </w:rPr>
        <w:t xml:space="preserve">the excipient as a presiding officer </w:t>
      </w:r>
      <w:r w:rsidR="00D02E94" w:rsidRPr="00D81BB2">
        <w:rPr>
          <w:szCs w:val="24"/>
          <w:lang w:val="en-GB"/>
        </w:rPr>
        <w:t>posses</w:t>
      </w:r>
      <w:r w:rsidR="0053055B" w:rsidRPr="00D81BB2">
        <w:rPr>
          <w:szCs w:val="24"/>
          <w:lang w:val="en-GB"/>
        </w:rPr>
        <w:t xml:space="preserve">sed </w:t>
      </w:r>
      <w:r w:rsidR="00035934" w:rsidRPr="00D81BB2">
        <w:rPr>
          <w:szCs w:val="24"/>
          <w:lang w:val="en-GB"/>
        </w:rPr>
        <w:t xml:space="preserve">fiduciary </w:t>
      </w:r>
      <w:r w:rsidR="00500674" w:rsidRPr="00D81BB2">
        <w:rPr>
          <w:szCs w:val="24"/>
          <w:lang w:val="en-GB"/>
        </w:rPr>
        <w:t xml:space="preserve">duties </w:t>
      </w:r>
      <w:r w:rsidR="000C0292" w:rsidRPr="00D81BB2">
        <w:rPr>
          <w:szCs w:val="24"/>
          <w:lang w:val="en-GB"/>
        </w:rPr>
        <w:t>which are akin to th</w:t>
      </w:r>
      <w:r w:rsidR="001D7462" w:rsidRPr="00D81BB2">
        <w:rPr>
          <w:szCs w:val="24"/>
          <w:lang w:val="en-GB"/>
        </w:rPr>
        <w:t>o</w:t>
      </w:r>
      <w:r w:rsidR="000C0292" w:rsidRPr="00D81BB2">
        <w:rPr>
          <w:szCs w:val="24"/>
          <w:lang w:val="en-GB"/>
        </w:rPr>
        <w:t xml:space="preserve">se </w:t>
      </w:r>
      <w:r w:rsidR="005A0894" w:rsidRPr="00D81BB2">
        <w:rPr>
          <w:szCs w:val="24"/>
          <w:lang w:val="en-GB"/>
        </w:rPr>
        <w:t>which a</w:t>
      </w:r>
      <w:r w:rsidR="000C0292" w:rsidRPr="00D81BB2">
        <w:rPr>
          <w:szCs w:val="24"/>
          <w:lang w:val="en-GB"/>
        </w:rPr>
        <w:t xml:space="preserve"> director owes </w:t>
      </w:r>
      <w:r w:rsidR="005D1610" w:rsidRPr="00D81BB2">
        <w:rPr>
          <w:szCs w:val="24"/>
          <w:lang w:val="en-GB"/>
        </w:rPr>
        <w:t>under common law</w:t>
      </w:r>
      <w:r w:rsidR="00BF5B47" w:rsidRPr="00D81BB2">
        <w:rPr>
          <w:szCs w:val="24"/>
          <w:lang w:val="en-GB"/>
        </w:rPr>
        <w:t xml:space="preserve"> </w:t>
      </w:r>
      <w:r w:rsidR="000C0292" w:rsidRPr="00D81BB2">
        <w:rPr>
          <w:szCs w:val="24"/>
          <w:lang w:val="en-GB"/>
        </w:rPr>
        <w:t>and in terms of sections 22,75, 7</w:t>
      </w:r>
      <w:r w:rsidR="0053055B" w:rsidRPr="00D81BB2">
        <w:rPr>
          <w:szCs w:val="24"/>
          <w:lang w:val="en-GB"/>
        </w:rPr>
        <w:t>6,7</w:t>
      </w:r>
      <w:r w:rsidR="000C0292" w:rsidRPr="00D81BB2">
        <w:rPr>
          <w:szCs w:val="24"/>
          <w:lang w:val="en-GB"/>
        </w:rPr>
        <w:t>7 and 218 of the Act</w:t>
      </w:r>
      <w:r w:rsidR="00DF0A0B" w:rsidRPr="00D81BB2">
        <w:rPr>
          <w:szCs w:val="24"/>
          <w:lang w:val="en-GB"/>
        </w:rPr>
        <w:t xml:space="preserve">. </w:t>
      </w:r>
      <w:r w:rsidR="001D7462" w:rsidRPr="00D81BB2">
        <w:rPr>
          <w:szCs w:val="24"/>
          <w:lang w:val="en-GB"/>
        </w:rPr>
        <w:t xml:space="preserve">The thrust of the </w:t>
      </w:r>
      <w:r w:rsidR="001C61E7" w:rsidRPr="00D81BB2">
        <w:rPr>
          <w:szCs w:val="24"/>
          <w:lang w:val="en-GB"/>
        </w:rPr>
        <w:t>excipient’s</w:t>
      </w:r>
      <w:r w:rsidR="0053055B" w:rsidRPr="00D81BB2">
        <w:rPr>
          <w:szCs w:val="24"/>
          <w:lang w:val="en-GB"/>
        </w:rPr>
        <w:t xml:space="preserve"> </w:t>
      </w:r>
      <w:r w:rsidR="001D7462" w:rsidRPr="00D81BB2">
        <w:rPr>
          <w:szCs w:val="24"/>
          <w:lang w:val="en-GB"/>
        </w:rPr>
        <w:t xml:space="preserve">ground is that </w:t>
      </w:r>
      <w:r w:rsidR="009E18D7" w:rsidRPr="00D81BB2">
        <w:rPr>
          <w:szCs w:val="24"/>
          <w:lang w:val="en-GB"/>
        </w:rPr>
        <w:t xml:space="preserve">neither </w:t>
      </w:r>
      <w:r w:rsidR="00E8062B">
        <w:rPr>
          <w:szCs w:val="24"/>
          <w:lang w:val="en-GB"/>
        </w:rPr>
        <w:t>at</w:t>
      </w:r>
      <w:r w:rsidR="009E18D7" w:rsidRPr="00D81BB2">
        <w:rPr>
          <w:szCs w:val="24"/>
          <w:lang w:val="en-GB"/>
        </w:rPr>
        <w:t xml:space="preserve"> common law nor the Act imposes such duties on a </w:t>
      </w:r>
      <w:r w:rsidR="001C61E7" w:rsidRPr="00D81BB2">
        <w:rPr>
          <w:szCs w:val="24"/>
          <w:lang w:val="en-GB"/>
        </w:rPr>
        <w:t>prescribed</w:t>
      </w:r>
      <w:r w:rsidR="009E18D7" w:rsidRPr="00D81BB2">
        <w:rPr>
          <w:szCs w:val="24"/>
          <w:lang w:val="en-GB"/>
        </w:rPr>
        <w:t xml:space="preserve"> officer</w:t>
      </w:r>
      <w:r w:rsidR="0053055B" w:rsidRPr="00D81BB2">
        <w:rPr>
          <w:szCs w:val="24"/>
          <w:lang w:val="en-GB"/>
        </w:rPr>
        <w:t xml:space="preserve"> and as a consequence, the claim is bad in law.</w:t>
      </w:r>
    </w:p>
    <w:p w14:paraId="0A39258F" w14:textId="1D873A32" w:rsidR="008F609D"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[19]</w:t>
      </w:r>
      <w:r w:rsidRPr="00D81BB2">
        <w:rPr>
          <w:szCs w:val="24"/>
          <w:lang w:val="en-GB"/>
        </w:rPr>
        <w:tab/>
      </w:r>
      <w:r w:rsidR="00164C9A" w:rsidRPr="00D81BB2">
        <w:rPr>
          <w:szCs w:val="24"/>
          <w:lang w:val="en-GB"/>
        </w:rPr>
        <w:t xml:space="preserve">This ground is raised </w:t>
      </w:r>
      <w:r w:rsidR="00AD71E2" w:rsidRPr="00D81BB2">
        <w:rPr>
          <w:szCs w:val="24"/>
          <w:lang w:val="en-GB"/>
        </w:rPr>
        <w:t xml:space="preserve">in circumstances when the plaintiff </w:t>
      </w:r>
      <w:r w:rsidR="008350FC" w:rsidRPr="00D81BB2">
        <w:rPr>
          <w:szCs w:val="24"/>
          <w:lang w:val="en-GB"/>
        </w:rPr>
        <w:t xml:space="preserve">also </w:t>
      </w:r>
      <w:r w:rsidR="00AD71E2" w:rsidRPr="00D81BB2">
        <w:rPr>
          <w:szCs w:val="24"/>
          <w:lang w:val="en-GB"/>
        </w:rPr>
        <w:t xml:space="preserve">seeks damages </w:t>
      </w:r>
      <w:r w:rsidR="000C0292" w:rsidRPr="00D81BB2">
        <w:rPr>
          <w:szCs w:val="24"/>
          <w:lang w:val="en-GB"/>
        </w:rPr>
        <w:t>as</w:t>
      </w:r>
      <w:r w:rsidR="00AD71E2" w:rsidRPr="00D81BB2">
        <w:rPr>
          <w:szCs w:val="24"/>
          <w:lang w:val="en-GB"/>
        </w:rPr>
        <w:t xml:space="preserve"> a </w:t>
      </w:r>
      <w:r w:rsidR="000C0292" w:rsidRPr="00D81BB2">
        <w:rPr>
          <w:szCs w:val="24"/>
          <w:lang w:val="en-GB"/>
        </w:rPr>
        <w:t xml:space="preserve">result of a </w:t>
      </w:r>
      <w:r w:rsidR="00AD71E2" w:rsidRPr="00D81BB2">
        <w:rPr>
          <w:szCs w:val="24"/>
          <w:lang w:val="en-GB"/>
        </w:rPr>
        <w:t>breach of duties owed to the plaintiff as a senior employee of the plaintiff</w:t>
      </w:r>
      <w:r w:rsidR="003C6CE7" w:rsidRPr="00D81BB2">
        <w:rPr>
          <w:szCs w:val="24"/>
          <w:lang w:val="en-GB"/>
        </w:rPr>
        <w:t>.</w:t>
      </w:r>
      <w:r w:rsidR="00984157" w:rsidRPr="00D81BB2">
        <w:rPr>
          <w:szCs w:val="24"/>
          <w:lang w:val="en-GB"/>
        </w:rPr>
        <w:t xml:space="preserve"> </w:t>
      </w:r>
      <w:r w:rsidR="00E8062B">
        <w:rPr>
          <w:szCs w:val="24"/>
          <w:lang w:val="en-GB"/>
        </w:rPr>
        <w:t>The ground is therefore not definitive of the damages claim nor self- contained.</w:t>
      </w:r>
    </w:p>
    <w:p w14:paraId="755E6F38" w14:textId="0038C917" w:rsidR="00705722"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[20]</w:t>
      </w:r>
      <w:r w:rsidRPr="00D81BB2">
        <w:rPr>
          <w:szCs w:val="24"/>
          <w:lang w:val="en-GB"/>
        </w:rPr>
        <w:tab/>
      </w:r>
      <w:r w:rsidR="003C6CE7" w:rsidRPr="00D81BB2">
        <w:rPr>
          <w:szCs w:val="24"/>
          <w:lang w:val="en-GB"/>
        </w:rPr>
        <w:t>T</w:t>
      </w:r>
      <w:r w:rsidR="00705722" w:rsidRPr="00D81BB2">
        <w:rPr>
          <w:szCs w:val="24"/>
          <w:lang w:val="en-GB"/>
        </w:rPr>
        <w:t xml:space="preserve">he plaintiff referred the </w:t>
      </w:r>
      <w:r w:rsidR="003C6CE7" w:rsidRPr="00D81BB2">
        <w:rPr>
          <w:szCs w:val="24"/>
          <w:lang w:val="en-GB"/>
        </w:rPr>
        <w:t>C</w:t>
      </w:r>
      <w:r w:rsidR="00705722" w:rsidRPr="00D81BB2">
        <w:rPr>
          <w:szCs w:val="24"/>
          <w:lang w:val="en-GB"/>
        </w:rPr>
        <w:t xml:space="preserve">ourt to </w:t>
      </w:r>
      <w:r w:rsidR="00705722" w:rsidRPr="00D81BB2">
        <w:rPr>
          <w:b/>
          <w:bCs/>
          <w:szCs w:val="24"/>
          <w:lang w:val="en-GB"/>
        </w:rPr>
        <w:t>Living Hands (Pty) Ltd v Ditz</w:t>
      </w:r>
      <w:r w:rsidR="00705722" w:rsidRPr="00D81BB2">
        <w:rPr>
          <w:rStyle w:val="FootnoteReference"/>
          <w:szCs w:val="24"/>
          <w:lang w:val="en-GB"/>
        </w:rPr>
        <w:footnoteReference w:id="2"/>
      </w:r>
      <w:r w:rsidR="00705722" w:rsidRPr="00D81BB2">
        <w:rPr>
          <w:szCs w:val="24"/>
          <w:lang w:val="en-GB"/>
        </w:rPr>
        <w:t xml:space="preserve"> in which the </w:t>
      </w:r>
      <w:r w:rsidR="003C6CE7" w:rsidRPr="00D81BB2">
        <w:rPr>
          <w:szCs w:val="24"/>
          <w:lang w:val="en-GB"/>
        </w:rPr>
        <w:t>C</w:t>
      </w:r>
      <w:r w:rsidR="00705722" w:rsidRPr="00D81BB2">
        <w:rPr>
          <w:szCs w:val="24"/>
          <w:lang w:val="en-GB"/>
        </w:rPr>
        <w:t xml:space="preserve">ourt reiterated the following principles: first, the purpose of an exception is to raise a substantive question of law which may have the effect of settling the dispute between the parties. If the exception is not taken for that purpose, an excipient should make out a very clear case before it should be allowed to succeed. Second, pleadings must be read as a whole and an exception cannot be taken to a paragraph or a part of a pleading that is not self-contained. </w:t>
      </w:r>
    </w:p>
    <w:p w14:paraId="446B6AA7" w14:textId="1565DF6B" w:rsidR="00714063"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[21]</w:t>
      </w:r>
      <w:r w:rsidRPr="00D81BB2">
        <w:rPr>
          <w:szCs w:val="24"/>
          <w:lang w:val="en-GB"/>
        </w:rPr>
        <w:tab/>
      </w:r>
      <w:r w:rsidR="005C750B" w:rsidRPr="00D81BB2">
        <w:rPr>
          <w:szCs w:val="24"/>
          <w:lang w:val="en-GB"/>
        </w:rPr>
        <w:t xml:space="preserve">This exception in the light of the uncontroversial claim owed by a senior employee does not </w:t>
      </w:r>
      <w:r w:rsidR="000265EF" w:rsidRPr="00D81BB2">
        <w:rPr>
          <w:szCs w:val="24"/>
          <w:lang w:val="en-GB"/>
        </w:rPr>
        <w:t>settle the dispute of the damages c</w:t>
      </w:r>
      <w:r w:rsidR="001867DF" w:rsidRPr="00D81BB2">
        <w:rPr>
          <w:szCs w:val="24"/>
          <w:lang w:val="en-GB"/>
        </w:rPr>
        <w:t>lai</w:t>
      </w:r>
      <w:r w:rsidR="000265EF" w:rsidRPr="00D81BB2">
        <w:rPr>
          <w:szCs w:val="24"/>
          <w:lang w:val="en-GB"/>
        </w:rPr>
        <w:t>m</w:t>
      </w:r>
      <w:r w:rsidR="00A42765" w:rsidRPr="00D81BB2">
        <w:rPr>
          <w:szCs w:val="24"/>
          <w:lang w:val="en-GB"/>
        </w:rPr>
        <w:t xml:space="preserve"> between the parties</w:t>
      </w:r>
      <w:r w:rsidR="001867DF" w:rsidRPr="00D81BB2">
        <w:rPr>
          <w:szCs w:val="24"/>
          <w:lang w:val="en-GB"/>
        </w:rPr>
        <w:t>,</w:t>
      </w:r>
      <w:r w:rsidR="000265EF" w:rsidRPr="00D81BB2">
        <w:rPr>
          <w:szCs w:val="24"/>
          <w:lang w:val="en-GB"/>
        </w:rPr>
        <w:t xml:space="preserve"> </w:t>
      </w:r>
      <w:r w:rsidR="000265EF" w:rsidRPr="00D81BB2">
        <w:rPr>
          <w:szCs w:val="24"/>
          <w:lang w:val="en-GB"/>
        </w:rPr>
        <w:lastRenderedPageBreak/>
        <w:t xml:space="preserve">moreover </w:t>
      </w:r>
      <w:r w:rsidR="00CB7750" w:rsidRPr="00D81BB2">
        <w:rPr>
          <w:szCs w:val="24"/>
          <w:lang w:val="en-GB"/>
        </w:rPr>
        <w:t>the excipient</w:t>
      </w:r>
      <w:r w:rsidR="001867DF" w:rsidRPr="00D81BB2">
        <w:rPr>
          <w:szCs w:val="24"/>
          <w:lang w:val="en-GB"/>
        </w:rPr>
        <w:t xml:space="preserve"> in his notice at paragraph 2.2.3 </w:t>
      </w:r>
      <w:r w:rsidR="001C61E7" w:rsidRPr="00D81BB2">
        <w:rPr>
          <w:szCs w:val="24"/>
          <w:lang w:val="en-GB"/>
        </w:rPr>
        <w:t>concedes</w:t>
      </w:r>
      <w:r w:rsidR="00A81C02" w:rsidRPr="00D81BB2">
        <w:rPr>
          <w:szCs w:val="24"/>
          <w:lang w:val="en-GB"/>
        </w:rPr>
        <w:t xml:space="preserve"> the following </w:t>
      </w:r>
      <w:r w:rsidR="005D1610" w:rsidRPr="00D81BB2">
        <w:rPr>
          <w:szCs w:val="24"/>
          <w:lang w:val="en-GB"/>
        </w:rPr>
        <w:t>“</w:t>
      </w:r>
      <w:r w:rsidR="005D1610" w:rsidRPr="00D81BB2">
        <w:rPr>
          <w:i/>
          <w:iCs/>
          <w:szCs w:val="24"/>
          <w:lang w:val="en-GB"/>
        </w:rPr>
        <w:t xml:space="preserve">to the extent that the Companies Act, 2008 equates, defines and/or includes a ‘prescribed officer’ as a director, it does so expressly in Section 75, 76 and 77 </w:t>
      </w:r>
      <w:r w:rsidR="006C4A4C" w:rsidRPr="00D81BB2">
        <w:rPr>
          <w:i/>
          <w:iCs/>
          <w:szCs w:val="24"/>
          <w:lang w:val="en-GB"/>
        </w:rPr>
        <w:t>…</w:t>
      </w:r>
      <w:r w:rsidR="006C4A4C" w:rsidRPr="00D81BB2">
        <w:rPr>
          <w:szCs w:val="24"/>
          <w:lang w:val="en-GB"/>
        </w:rPr>
        <w:t xml:space="preserve"> “</w:t>
      </w:r>
      <w:r w:rsidR="005D1610" w:rsidRPr="00D81BB2">
        <w:rPr>
          <w:szCs w:val="24"/>
          <w:lang w:val="en-GB"/>
        </w:rPr>
        <w:t>.</w:t>
      </w:r>
      <w:r w:rsidR="009E18D7" w:rsidRPr="00D81BB2">
        <w:rPr>
          <w:szCs w:val="24"/>
          <w:lang w:val="en-GB"/>
        </w:rPr>
        <w:t xml:space="preserve"> </w:t>
      </w:r>
      <w:r w:rsidR="00A42765" w:rsidRPr="00D81BB2">
        <w:rPr>
          <w:szCs w:val="24"/>
          <w:lang w:val="en-GB"/>
        </w:rPr>
        <w:t xml:space="preserve">The content of the excipient’s notice stands. </w:t>
      </w:r>
      <w:r w:rsidR="00386431" w:rsidRPr="00D81BB2">
        <w:rPr>
          <w:szCs w:val="24"/>
          <w:lang w:val="en-GB"/>
        </w:rPr>
        <w:t xml:space="preserve">The plaintiff relies, </w:t>
      </w:r>
      <w:r w:rsidR="00386431" w:rsidRPr="00D81BB2">
        <w:rPr>
          <w:i/>
          <w:iCs/>
          <w:szCs w:val="24"/>
          <w:lang w:val="en-GB"/>
        </w:rPr>
        <w:t>inter alia</w:t>
      </w:r>
      <w:r w:rsidR="00386431" w:rsidRPr="00D81BB2">
        <w:rPr>
          <w:szCs w:val="24"/>
          <w:lang w:val="en-GB"/>
        </w:rPr>
        <w:t xml:space="preserve"> on sections 75,76 and 77 in its particulars of </w:t>
      </w:r>
      <w:r w:rsidR="001C61E7" w:rsidRPr="00D81BB2">
        <w:rPr>
          <w:szCs w:val="24"/>
          <w:lang w:val="en-GB"/>
        </w:rPr>
        <w:t>claim. The</w:t>
      </w:r>
      <w:r w:rsidR="00386431" w:rsidRPr="00D81BB2">
        <w:rPr>
          <w:szCs w:val="24"/>
          <w:lang w:val="en-GB"/>
        </w:rPr>
        <w:t xml:space="preserve"> excipient’s</w:t>
      </w:r>
      <w:r w:rsidR="005D1610" w:rsidRPr="00D81BB2">
        <w:rPr>
          <w:szCs w:val="24"/>
          <w:lang w:val="en-GB"/>
        </w:rPr>
        <w:t xml:space="preserve"> concession considered together with </w:t>
      </w:r>
      <w:r w:rsidR="00A81C02" w:rsidRPr="00D81BB2">
        <w:rPr>
          <w:szCs w:val="24"/>
          <w:lang w:val="en-GB"/>
        </w:rPr>
        <w:t xml:space="preserve">the </w:t>
      </w:r>
      <w:r w:rsidR="001C61E7" w:rsidRPr="00D81BB2">
        <w:rPr>
          <w:szCs w:val="24"/>
          <w:lang w:val="en-GB"/>
        </w:rPr>
        <w:t>excipient’s</w:t>
      </w:r>
      <w:r w:rsidR="00A81C02" w:rsidRPr="00D81BB2">
        <w:rPr>
          <w:szCs w:val="24"/>
          <w:lang w:val="en-GB"/>
        </w:rPr>
        <w:t xml:space="preserve"> failure </w:t>
      </w:r>
      <w:r w:rsidR="00386431" w:rsidRPr="00D81BB2">
        <w:rPr>
          <w:szCs w:val="24"/>
          <w:lang w:val="en-GB"/>
        </w:rPr>
        <w:t>to satisfy the Court with its</w:t>
      </w:r>
      <w:r w:rsidR="00A81C02" w:rsidRPr="00D81BB2">
        <w:rPr>
          <w:szCs w:val="24"/>
          <w:lang w:val="en-GB"/>
        </w:rPr>
        <w:t xml:space="preserve"> first ground </w:t>
      </w:r>
      <w:r w:rsidR="00386431" w:rsidRPr="00D81BB2">
        <w:rPr>
          <w:szCs w:val="24"/>
          <w:lang w:val="en-GB"/>
        </w:rPr>
        <w:t xml:space="preserve">of exception, </w:t>
      </w:r>
      <w:r w:rsidR="00A81C02" w:rsidRPr="00D81BB2">
        <w:rPr>
          <w:szCs w:val="24"/>
          <w:lang w:val="en-GB"/>
        </w:rPr>
        <w:t>rend</w:t>
      </w:r>
      <w:r w:rsidR="00714063" w:rsidRPr="00D81BB2">
        <w:rPr>
          <w:szCs w:val="24"/>
          <w:lang w:val="en-GB"/>
        </w:rPr>
        <w:t>e</w:t>
      </w:r>
      <w:r w:rsidR="00A81C02" w:rsidRPr="00D81BB2">
        <w:rPr>
          <w:szCs w:val="24"/>
          <w:lang w:val="en-GB"/>
        </w:rPr>
        <w:t xml:space="preserve">rs </w:t>
      </w:r>
      <w:r w:rsidR="00714063" w:rsidRPr="00D81BB2">
        <w:rPr>
          <w:szCs w:val="24"/>
          <w:lang w:val="en-GB"/>
        </w:rPr>
        <w:t>th</w:t>
      </w:r>
      <w:r w:rsidR="002630AB" w:rsidRPr="00D81BB2">
        <w:rPr>
          <w:szCs w:val="24"/>
          <w:lang w:val="en-GB"/>
        </w:rPr>
        <w:t>is</w:t>
      </w:r>
      <w:r w:rsidR="00714063" w:rsidRPr="00D81BB2">
        <w:rPr>
          <w:szCs w:val="24"/>
          <w:lang w:val="en-GB"/>
        </w:rPr>
        <w:t xml:space="preserve"> ground unclear.</w:t>
      </w:r>
    </w:p>
    <w:p w14:paraId="2F14F8FB" w14:textId="545D2BCB" w:rsidR="00106170"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[22]</w:t>
      </w:r>
      <w:r w:rsidRPr="00D81BB2">
        <w:rPr>
          <w:szCs w:val="24"/>
          <w:lang w:val="en-GB"/>
        </w:rPr>
        <w:tab/>
      </w:r>
      <w:r w:rsidR="002630AB" w:rsidRPr="00D81BB2">
        <w:rPr>
          <w:szCs w:val="24"/>
          <w:lang w:val="en-GB"/>
        </w:rPr>
        <w:t xml:space="preserve">With regard to the </w:t>
      </w:r>
      <w:r w:rsidR="002C7CDC" w:rsidRPr="00D81BB2">
        <w:rPr>
          <w:szCs w:val="24"/>
          <w:lang w:val="en-GB"/>
        </w:rPr>
        <w:t xml:space="preserve">prospect of </w:t>
      </w:r>
      <w:r w:rsidR="00106170" w:rsidRPr="00D81BB2">
        <w:rPr>
          <w:szCs w:val="24"/>
          <w:lang w:val="en-GB"/>
        </w:rPr>
        <w:t xml:space="preserve">imposing </w:t>
      </w:r>
      <w:r w:rsidR="00050238" w:rsidRPr="00D81BB2">
        <w:rPr>
          <w:szCs w:val="24"/>
          <w:lang w:val="en-GB"/>
        </w:rPr>
        <w:t xml:space="preserve">a </w:t>
      </w:r>
      <w:r w:rsidR="00106170" w:rsidRPr="00D81BB2">
        <w:rPr>
          <w:szCs w:val="24"/>
          <w:lang w:val="en-GB"/>
        </w:rPr>
        <w:t xml:space="preserve">common law </w:t>
      </w:r>
      <w:r w:rsidR="00050238" w:rsidRPr="00D81BB2">
        <w:rPr>
          <w:szCs w:val="24"/>
          <w:lang w:val="en-GB"/>
        </w:rPr>
        <w:t xml:space="preserve">fiduciary </w:t>
      </w:r>
      <w:r w:rsidR="00106170" w:rsidRPr="00D81BB2">
        <w:rPr>
          <w:szCs w:val="24"/>
          <w:lang w:val="en-GB"/>
        </w:rPr>
        <w:t>dut</w:t>
      </w:r>
      <w:r w:rsidR="00050238" w:rsidRPr="00D81BB2">
        <w:rPr>
          <w:szCs w:val="24"/>
          <w:lang w:val="en-GB"/>
        </w:rPr>
        <w:t>y</w:t>
      </w:r>
      <w:r w:rsidR="00106170" w:rsidRPr="00D81BB2">
        <w:rPr>
          <w:szCs w:val="24"/>
          <w:lang w:val="en-GB"/>
        </w:rPr>
        <w:t xml:space="preserve"> </w:t>
      </w:r>
      <w:r w:rsidR="00050238" w:rsidRPr="00D81BB2">
        <w:rPr>
          <w:szCs w:val="24"/>
          <w:lang w:val="en-GB"/>
        </w:rPr>
        <w:t xml:space="preserve">akin to that of a director </w:t>
      </w:r>
      <w:r w:rsidR="00106170" w:rsidRPr="00D81BB2">
        <w:rPr>
          <w:szCs w:val="24"/>
          <w:lang w:val="en-GB"/>
        </w:rPr>
        <w:t>on a prescribed officer</w:t>
      </w:r>
      <w:r w:rsidR="002C7CDC" w:rsidRPr="00D81BB2">
        <w:rPr>
          <w:szCs w:val="24"/>
          <w:lang w:val="en-GB"/>
        </w:rPr>
        <w:t>,</w:t>
      </w:r>
      <w:r w:rsidR="00050238" w:rsidRPr="00D81BB2">
        <w:rPr>
          <w:szCs w:val="24"/>
          <w:lang w:val="en-GB"/>
        </w:rPr>
        <w:t xml:space="preserve"> </w:t>
      </w:r>
      <w:r w:rsidR="002630AB" w:rsidRPr="00D81BB2">
        <w:rPr>
          <w:szCs w:val="24"/>
          <w:lang w:val="en-GB"/>
        </w:rPr>
        <w:t xml:space="preserve">the plaintiff referred the Court to Section 158 of the Act which enjoins a Court </w:t>
      </w:r>
      <w:r w:rsidR="00106170" w:rsidRPr="00D81BB2">
        <w:rPr>
          <w:szCs w:val="24"/>
          <w:lang w:val="en-GB"/>
        </w:rPr>
        <w:t xml:space="preserve">to develop the common law. </w:t>
      </w:r>
      <w:r w:rsidR="002C7CDC" w:rsidRPr="00D81BB2">
        <w:rPr>
          <w:szCs w:val="24"/>
          <w:lang w:val="en-GB"/>
        </w:rPr>
        <w:t>This prospect alone does not render th</w:t>
      </w:r>
      <w:r w:rsidR="005633A9">
        <w:rPr>
          <w:szCs w:val="24"/>
          <w:lang w:val="en-GB"/>
        </w:rPr>
        <w:t>is</w:t>
      </w:r>
      <w:r w:rsidR="002C7CDC" w:rsidRPr="00D81BB2">
        <w:rPr>
          <w:szCs w:val="24"/>
          <w:lang w:val="en-GB"/>
        </w:rPr>
        <w:t xml:space="preserve"> ground decisive.</w:t>
      </w:r>
    </w:p>
    <w:p w14:paraId="27BC2B6D" w14:textId="529FB7DB" w:rsidR="00230CB2"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[23]</w:t>
      </w:r>
      <w:r w:rsidRPr="00D81BB2">
        <w:rPr>
          <w:szCs w:val="24"/>
          <w:lang w:val="en-GB"/>
        </w:rPr>
        <w:tab/>
      </w:r>
      <w:r w:rsidR="00106170" w:rsidRPr="00D81BB2">
        <w:rPr>
          <w:szCs w:val="24"/>
          <w:lang w:val="en-GB"/>
        </w:rPr>
        <w:t>Having regard to the abo</w:t>
      </w:r>
      <w:r w:rsidR="00050238" w:rsidRPr="00D81BB2">
        <w:rPr>
          <w:szCs w:val="24"/>
          <w:lang w:val="en-GB"/>
        </w:rPr>
        <w:t>ve, i</w:t>
      </w:r>
      <w:r w:rsidR="00174F66" w:rsidRPr="00D81BB2">
        <w:rPr>
          <w:szCs w:val="24"/>
          <w:lang w:val="en-GB"/>
        </w:rPr>
        <w:t xml:space="preserve">t flows that the excipient’s second ground </w:t>
      </w:r>
      <w:r w:rsidR="00050238" w:rsidRPr="00D81BB2">
        <w:rPr>
          <w:szCs w:val="24"/>
          <w:lang w:val="en-GB"/>
        </w:rPr>
        <w:t>must</w:t>
      </w:r>
      <w:r w:rsidR="00174F66" w:rsidRPr="00D81BB2">
        <w:rPr>
          <w:szCs w:val="24"/>
          <w:lang w:val="en-GB"/>
        </w:rPr>
        <w:t xml:space="preserve"> fail</w:t>
      </w:r>
      <w:r w:rsidR="001D7462" w:rsidRPr="00D81BB2">
        <w:rPr>
          <w:szCs w:val="24"/>
          <w:lang w:val="en-GB"/>
        </w:rPr>
        <w:t>.</w:t>
      </w:r>
    </w:p>
    <w:p w14:paraId="55D112D0" w14:textId="1171F5E9" w:rsidR="00174F66" w:rsidRPr="00D81BB2" w:rsidRDefault="00174F66" w:rsidP="00000FD2">
      <w:pPr>
        <w:pStyle w:val="RetiefPleadingpara1"/>
        <w:numPr>
          <w:ilvl w:val="0"/>
          <w:numId w:val="0"/>
        </w:numPr>
        <w:spacing w:before="480" w:after="480"/>
        <w:rPr>
          <w:b/>
          <w:bCs/>
          <w:szCs w:val="24"/>
          <w:u w:val="single"/>
          <w:lang w:val="en-GB"/>
        </w:rPr>
      </w:pPr>
      <w:r w:rsidRPr="00D81BB2">
        <w:rPr>
          <w:b/>
          <w:bCs/>
          <w:szCs w:val="24"/>
          <w:u w:val="single"/>
          <w:lang w:val="en-GB"/>
        </w:rPr>
        <w:t>Third Ground</w:t>
      </w:r>
    </w:p>
    <w:p w14:paraId="7BBA5248" w14:textId="7D0F64EC" w:rsidR="004E1262"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[24]</w:t>
      </w:r>
      <w:r w:rsidRPr="00D81BB2">
        <w:rPr>
          <w:szCs w:val="24"/>
          <w:lang w:val="en-GB"/>
        </w:rPr>
        <w:tab/>
      </w:r>
      <w:r w:rsidR="00174F66" w:rsidRPr="00D81BB2">
        <w:rPr>
          <w:szCs w:val="24"/>
          <w:lang w:val="en-GB"/>
        </w:rPr>
        <w:t xml:space="preserve">The thrust of the third ground </w:t>
      </w:r>
      <w:r w:rsidR="002C7CDC" w:rsidRPr="00D81BB2">
        <w:rPr>
          <w:szCs w:val="24"/>
          <w:lang w:val="en-GB"/>
        </w:rPr>
        <w:t xml:space="preserve">is </w:t>
      </w:r>
      <w:r w:rsidR="00174F66" w:rsidRPr="00D81BB2">
        <w:rPr>
          <w:szCs w:val="24"/>
          <w:lang w:val="en-GB"/>
        </w:rPr>
        <w:t>the reliance o</w:t>
      </w:r>
      <w:r w:rsidR="002C7CDC" w:rsidRPr="00D81BB2">
        <w:rPr>
          <w:szCs w:val="24"/>
          <w:lang w:val="en-GB"/>
        </w:rPr>
        <w:t>f</w:t>
      </w:r>
      <w:r w:rsidR="00174F66" w:rsidRPr="00D81BB2">
        <w:rPr>
          <w:szCs w:val="24"/>
          <w:lang w:val="en-GB"/>
        </w:rPr>
        <w:t xml:space="preserve"> the plaintiff on Section 157</w:t>
      </w:r>
      <w:r w:rsidR="004E1262" w:rsidRPr="00D81BB2">
        <w:rPr>
          <w:szCs w:val="24"/>
          <w:lang w:val="en-GB"/>
        </w:rPr>
        <w:t xml:space="preserve"> remedy in circumstances when the plaintiff </w:t>
      </w:r>
      <w:r w:rsidR="003177D1" w:rsidRPr="00D81BB2">
        <w:rPr>
          <w:szCs w:val="24"/>
          <w:lang w:val="en-GB"/>
        </w:rPr>
        <w:t>failed to allege that it</w:t>
      </w:r>
      <w:r w:rsidR="004E1262" w:rsidRPr="00D81BB2">
        <w:rPr>
          <w:szCs w:val="24"/>
          <w:lang w:val="en-GB"/>
        </w:rPr>
        <w:t xml:space="preserve"> obtained leave to do so as set out in sub-</w:t>
      </w:r>
      <w:r w:rsidR="001C61E7" w:rsidRPr="00D81BB2">
        <w:rPr>
          <w:szCs w:val="24"/>
          <w:lang w:val="en-GB"/>
        </w:rPr>
        <w:t>section</w:t>
      </w:r>
      <w:r w:rsidR="004E1262" w:rsidRPr="00D81BB2">
        <w:rPr>
          <w:szCs w:val="24"/>
          <w:lang w:val="en-GB"/>
        </w:rPr>
        <w:t xml:space="preserve"> 157</w:t>
      </w:r>
      <w:r w:rsidR="00174F66" w:rsidRPr="00D81BB2">
        <w:rPr>
          <w:szCs w:val="24"/>
          <w:lang w:val="en-GB"/>
        </w:rPr>
        <w:t>(1)(d) of the Act</w:t>
      </w:r>
      <w:r w:rsidR="004E1262" w:rsidRPr="00D81BB2">
        <w:rPr>
          <w:szCs w:val="24"/>
          <w:lang w:val="en-GB"/>
        </w:rPr>
        <w:t xml:space="preserve">. The excipient contends that </w:t>
      </w:r>
      <w:r w:rsidR="003177D1" w:rsidRPr="00D81BB2">
        <w:rPr>
          <w:szCs w:val="24"/>
          <w:lang w:val="en-GB"/>
        </w:rPr>
        <w:t xml:space="preserve">such failure to allege is material and as a consequence, </w:t>
      </w:r>
      <w:r w:rsidR="00B77663" w:rsidRPr="00D81BB2">
        <w:rPr>
          <w:szCs w:val="24"/>
          <w:lang w:val="en-GB"/>
        </w:rPr>
        <w:t>the plaintiff’s particulars lack the necessary allegation to sustain a claim and/or cause of action.</w:t>
      </w:r>
      <w:r w:rsidR="004E1262" w:rsidRPr="00D81BB2">
        <w:rPr>
          <w:szCs w:val="24"/>
          <w:lang w:val="en-GB"/>
        </w:rPr>
        <w:t xml:space="preserve"> </w:t>
      </w:r>
      <w:r w:rsidR="00C725DC" w:rsidRPr="00D81BB2">
        <w:rPr>
          <w:szCs w:val="24"/>
          <w:lang w:val="en-GB"/>
        </w:rPr>
        <w:t xml:space="preserve">The excipient in its notice does not expand as it does in argument that the claim for such alternate remedy </w:t>
      </w:r>
      <w:r w:rsidR="009E5CA4" w:rsidRPr="00D81BB2">
        <w:rPr>
          <w:szCs w:val="24"/>
          <w:lang w:val="en-GB"/>
        </w:rPr>
        <w:t xml:space="preserve">as pleaded </w:t>
      </w:r>
      <w:r w:rsidR="00C725DC" w:rsidRPr="00D81BB2">
        <w:rPr>
          <w:szCs w:val="24"/>
          <w:lang w:val="en-GB"/>
        </w:rPr>
        <w:t xml:space="preserve">is bad in law. No amendment to the notice to include the </w:t>
      </w:r>
      <w:r w:rsidR="00C725DC" w:rsidRPr="00D81BB2">
        <w:rPr>
          <w:szCs w:val="24"/>
          <w:lang w:val="en-GB"/>
        </w:rPr>
        <w:lastRenderedPageBreak/>
        <w:t>expanded complaint was sought nor granted.</w:t>
      </w:r>
      <w:r w:rsidR="009E5CA4" w:rsidRPr="00D81BB2">
        <w:rPr>
          <w:szCs w:val="24"/>
          <w:lang w:val="en-GB"/>
        </w:rPr>
        <w:t xml:space="preserve"> </w:t>
      </w:r>
      <w:r w:rsidR="005633A9">
        <w:rPr>
          <w:szCs w:val="24"/>
          <w:lang w:val="en-GB"/>
        </w:rPr>
        <w:t>The ground is dealt with in terms of the notice.</w:t>
      </w:r>
    </w:p>
    <w:p w14:paraId="4497AE68" w14:textId="31A4098E" w:rsidR="00174F66"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[25]</w:t>
      </w:r>
      <w:r w:rsidRPr="00D81BB2">
        <w:rPr>
          <w:szCs w:val="24"/>
          <w:lang w:val="en-GB"/>
        </w:rPr>
        <w:tab/>
      </w:r>
      <w:r w:rsidR="00174F66" w:rsidRPr="00D81BB2">
        <w:rPr>
          <w:szCs w:val="24"/>
          <w:lang w:val="en-GB"/>
        </w:rPr>
        <w:t xml:space="preserve"> </w:t>
      </w:r>
      <w:r w:rsidR="00B77663" w:rsidRPr="00D81BB2">
        <w:rPr>
          <w:szCs w:val="24"/>
          <w:lang w:val="en-GB"/>
        </w:rPr>
        <w:t>I</w:t>
      </w:r>
      <w:r w:rsidR="00174F66" w:rsidRPr="00D81BB2">
        <w:rPr>
          <w:szCs w:val="24"/>
          <w:lang w:val="en-GB"/>
        </w:rPr>
        <w:t>n this regard the excipient relies on the wording of Section 157(1)</w:t>
      </w:r>
      <w:r w:rsidR="001130BD" w:rsidRPr="00D81BB2">
        <w:rPr>
          <w:szCs w:val="24"/>
          <w:lang w:val="en-GB"/>
        </w:rPr>
        <w:t>(d)</w:t>
      </w:r>
      <w:r w:rsidR="00174F66" w:rsidRPr="00D81BB2">
        <w:rPr>
          <w:szCs w:val="24"/>
          <w:lang w:val="en-GB"/>
        </w:rPr>
        <w:t xml:space="preserve"> which reads: “</w:t>
      </w:r>
      <w:r w:rsidR="00174F66" w:rsidRPr="00D81BB2">
        <w:rPr>
          <w:i/>
          <w:iCs/>
          <w:szCs w:val="24"/>
          <w:lang w:val="en-GB"/>
        </w:rPr>
        <w:t>When, in terms of this Act, an application can be made to, or a matter can be brought before court, a court, … the right to make the application or bring the matter may be exercised by a person acting the public interest, with leave of the court.</w:t>
      </w:r>
      <w:r w:rsidR="00174F66" w:rsidRPr="00D81BB2">
        <w:rPr>
          <w:szCs w:val="24"/>
          <w:lang w:val="en-GB"/>
        </w:rPr>
        <w:t>”</w:t>
      </w:r>
    </w:p>
    <w:p w14:paraId="6999CEE6" w14:textId="7E237748" w:rsidR="00DF7316"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[26]</w:t>
      </w:r>
      <w:r w:rsidRPr="00D81BB2">
        <w:rPr>
          <w:szCs w:val="24"/>
          <w:lang w:val="en-GB"/>
        </w:rPr>
        <w:tab/>
      </w:r>
      <w:r w:rsidR="00365517" w:rsidRPr="00D81BB2">
        <w:rPr>
          <w:szCs w:val="24"/>
          <w:lang w:val="en-GB"/>
        </w:rPr>
        <w:t>T</w:t>
      </w:r>
      <w:r w:rsidR="00DF7316" w:rsidRPr="00D81BB2">
        <w:rPr>
          <w:szCs w:val="24"/>
          <w:lang w:val="en-GB"/>
        </w:rPr>
        <w:t xml:space="preserve">he plaintiff relies on Section 162(2), which expressly stipulates that a company has </w:t>
      </w:r>
      <w:r w:rsidR="00DF7316" w:rsidRPr="00D81BB2">
        <w:rPr>
          <w:i/>
          <w:iCs/>
          <w:szCs w:val="24"/>
          <w:lang w:val="en-GB"/>
        </w:rPr>
        <w:t>locus standi</w:t>
      </w:r>
      <w:r w:rsidR="00DF7316" w:rsidRPr="00D81BB2">
        <w:rPr>
          <w:szCs w:val="24"/>
          <w:lang w:val="en-GB"/>
        </w:rPr>
        <w:t xml:space="preserve"> to bring a Section 162 application </w:t>
      </w:r>
      <w:r w:rsidR="00DE1DED" w:rsidRPr="00D81BB2">
        <w:rPr>
          <w:szCs w:val="24"/>
          <w:lang w:val="en-GB"/>
        </w:rPr>
        <w:t xml:space="preserve">simply by virtue of its status as such and the reliance of Section 157(1)(d) is an addition to Section 162. Furthermore, the plaintiff contended that Section 157(1)(d) does not stipulate that leave has to be obtained before an action is instituted and that it is equally compatible that leave may be sought in the action itself. </w:t>
      </w:r>
      <w:r w:rsidR="008E2E9F" w:rsidRPr="00D81BB2">
        <w:rPr>
          <w:szCs w:val="24"/>
          <w:lang w:val="en-GB"/>
        </w:rPr>
        <w:t>The plaintiff has not sought leave in its particulars of claim.</w:t>
      </w:r>
    </w:p>
    <w:p w14:paraId="783AC9B7" w14:textId="5BCA6221" w:rsidR="00DE1DED"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[27]</w:t>
      </w:r>
      <w:r w:rsidRPr="00D81BB2">
        <w:rPr>
          <w:szCs w:val="24"/>
          <w:lang w:val="en-GB"/>
        </w:rPr>
        <w:tab/>
      </w:r>
      <w:r w:rsidR="0031437B" w:rsidRPr="00D81BB2">
        <w:rPr>
          <w:szCs w:val="24"/>
          <w:lang w:val="en-GB"/>
        </w:rPr>
        <w:t xml:space="preserve">When unpacking whether an allegation </w:t>
      </w:r>
      <w:r w:rsidR="00CF75D5" w:rsidRPr="00D81BB2">
        <w:rPr>
          <w:szCs w:val="24"/>
          <w:lang w:val="en-GB"/>
        </w:rPr>
        <w:t>relating to leave</w:t>
      </w:r>
      <w:r w:rsidR="0031437B" w:rsidRPr="00D81BB2">
        <w:rPr>
          <w:szCs w:val="24"/>
          <w:lang w:val="en-GB"/>
        </w:rPr>
        <w:t xml:space="preserve"> is material </w:t>
      </w:r>
      <w:r w:rsidR="00CF75D5" w:rsidRPr="00D81BB2">
        <w:rPr>
          <w:szCs w:val="24"/>
          <w:lang w:val="en-GB"/>
        </w:rPr>
        <w:t xml:space="preserve">and decisive </w:t>
      </w:r>
      <w:r w:rsidR="0031437B" w:rsidRPr="00D81BB2">
        <w:rPr>
          <w:szCs w:val="24"/>
          <w:lang w:val="en-GB"/>
        </w:rPr>
        <w:t>it is prudent to consider t</w:t>
      </w:r>
      <w:r w:rsidR="000467D1" w:rsidRPr="00D81BB2">
        <w:rPr>
          <w:szCs w:val="24"/>
          <w:lang w:val="en-GB"/>
        </w:rPr>
        <w:t>he preamble of Section 157</w:t>
      </w:r>
      <w:r w:rsidR="0031437B" w:rsidRPr="00D81BB2">
        <w:rPr>
          <w:szCs w:val="24"/>
          <w:lang w:val="en-GB"/>
        </w:rPr>
        <w:t>(1).</w:t>
      </w:r>
      <w:r w:rsidR="00664800" w:rsidRPr="00D81BB2">
        <w:rPr>
          <w:szCs w:val="24"/>
          <w:lang w:val="en-GB"/>
        </w:rPr>
        <w:t xml:space="preserve"> From the </w:t>
      </w:r>
      <w:r w:rsidR="00CF75D5" w:rsidRPr="00D81BB2">
        <w:rPr>
          <w:szCs w:val="24"/>
          <w:lang w:val="en-GB"/>
        </w:rPr>
        <w:t xml:space="preserve">construction of the wording </w:t>
      </w:r>
      <w:r w:rsidR="00976068" w:rsidRPr="00D81BB2">
        <w:rPr>
          <w:szCs w:val="24"/>
          <w:lang w:val="en-GB"/>
        </w:rPr>
        <w:t xml:space="preserve">and in particular with the use of the word “When” </w:t>
      </w:r>
      <w:r w:rsidR="00CF75D5" w:rsidRPr="00D81BB2">
        <w:rPr>
          <w:szCs w:val="24"/>
          <w:lang w:val="en-GB"/>
        </w:rPr>
        <w:t xml:space="preserve">it </w:t>
      </w:r>
      <w:r w:rsidR="000467D1" w:rsidRPr="00D81BB2">
        <w:rPr>
          <w:szCs w:val="24"/>
          <w:lang w:val="en-GB"/>
        </w:rPr>
        <w:t xml:space="preserve">appears </w:t>
      </w:r>
      <w:r w:rsidR="005633A9">
        <w:rPr>
          <w:szCs w:val="24"/>
          <w:lang w:val="en-GB"/>
        </w:rPr>
        <w:t xml:space="preserve">on a reasonable interpretation </w:t>
      </w:r>
      <w:r w:rsidR="00CF75D5" w:rsidRPr="00D81BB2">
        <w:rPr>
          <w:szCs w:val="24"/>
          <w:lang w:val="en-GB"/>
        </w:rPr>
        <w:t xml:space="preserve">that the right to the remedy may </w:t>
      </w:r>
      <w:r w:rsidR="00976068" w:rsidRPr="00D81BB2">
        <w:rPr>
          <w:szCs w:val="24"/>
          <w:lang w:val="en-GB"/>
        </w:rPr>
        <w:t xml:space="preserve">be exercised at a particular juncture </w:t>
      </w:r>
      <w:r w:rsidR="006C4A4C" w:rsidRPr="00D81BB2">
        <w:rPr>
          <w:szCs w:val="24"/>
          <w:lang w:val="en-GB"/>
        </w:rPr>
        <w:t>i.e.,</w:t>
      </w:r>
      <w:r w:rsidR="00976068" w:rsidRPr="00D81BB2">
        <w:rPr>
          <w:szCs w:val="24"/>
          <w:lang w:val="en-GB"/>
        </w:rPr>
        <w:t xml:space="preserve"> when it is apparent that such </w:t>
      </w:r>
      <w:r w:rsidR="000467D1" w:rsidRPr="00D81BB2">
        <w:rPr>
          <w:szCs w:val="24"/>
          <w:lang w:val="en-GB"/>
        </w:rPr>
        <w:t xml:space="preserve">a claim </w:t>
      </w:r>
      <w:r w:rsidR="000467D1" w:rsidRPr="00D81BB2">
        <w:rPr>
          <w:szCs w:val="24"/>
          <w:u w:val="single"/>
          <w:lang w:val="en-GB"/>
        </w:rPr>
        <w:t>can be made</w:t>
      </w:r>
      <w:r w:rsidR="000467D1" w:rsidRPr="00D81BB2">
        <w:rPr>
          <w:szCs w:val="24"/>
          <w:lang w:val="en-GB"/>
        </w:rPr>
        <w:t xml:space="preserve">, </w:t>
      </w:r>
      <w:r w:rsidR="00A56E89" w:rsidRPr="00D81BB2">
        <w:rPr>
          <w:szCs w:val="24"/>
          <w:lang w:val="en-GB"/>
        </w:rPr>
        <w:t xml:space="preserve">then </w:t>
      </w:r>
      <w:r w:rsidR="000467D1" w:rsidRPr="00D81BB2">
        <w:rPr>
          <w:szCs w:val="24"/>
          <w:lang w:val="en-GB"/>
        </w:rPr>
        <w:t>at that point (</w:t>
      </w:r>
      <w:r w:rsidR="006C4A4C" w:rsidRPr="00D81BB2">
        <w:rPr>
          <w:szCs w:val="24"/>
          <w:lang w:val="en-GB"/>
        </w:rPr>
        <w:t>i.e.,</w:t>
      </w:r>
      <w:r w:rsidR="000467D1" w:rsidRPr="00D81BB2">
        <w:rPr>
          <w:szCs w:val="24"/>
          <w:lang w:val="en-GB"/>
        </w:rPr>
        <w:t xml:space="preserve"> armed with th</w:t>
      </w:r>
      <w:r w:rsidR="00A56E89" w:rsidRPr="00D81BB2">
        <w:rPr>
          <w:szCs w:val="24"/>
          <w:lang w:val="en-GB"/>
        </w:rPr>
        <w:t>e</w:t>
      </w:r>
      <w:r w:rsidR="000467D1" w:rsidRPr="00D81BB2">
        <w:rPr>
          <w:szCs w:val="24"/>
          <w:lang w:val="en-GB"/>
        </w:rPr>
        <w:t xml:space="preserve"> certainty and knowledge</w:t>
      </w:r>
      <w:r w:rsidR="00A56E89" w:rsidRPr="00D81BB2">
        <w:rPr>
          <w:szCs w:val="24"/>
          <w:lang w:val="en-GB"/>
        </w:rPr>
        <w:t xml:space="preserve"> thereof</w:t>
      </w:r>
      <w:r w:rsidR="000467D1" w:rsidRPr="00D81BB2">
        <w:rPr>
          <w:szCs w:val="24"/>
          <w:lang w:val="en-GB"/>
        </w:rPr>
        <w:t xml:space="preserve">) </w:t>
      </w:r>
      <w:r w:rsidR="001E7D22" w:rsidRPr="00D81BB2">
        <w:rPr>
          <w:szCs w:val="24"/>
          <w:lang w:val="en-GB"/>
        </w:rPr>
        <w:t xml:space="preserve">a party may exercise such </w:t>
      </w:r>
      <w:r w:rsidR="000E57A1">
        <w:rPr>
          <w:szCs w:val="24"/>
          <w:lang w:val="en-GB"/>
        </w:rPr>
        <w:t xml:space="preserve">a </w:t>
      </w:r>
      <w:r w:rsidR="001E7D22" w:rsidRPr="00D81BB2">
        <w:rPr>
          <w:szCs w:val="24"/>
          <w:lang w:val="en-GB"/>
        </w:rPr>
        <w:t>right</w:t>
      </w:r>
      <w:r w:rsidR="000467D1" w:rsidRPr="00D81BB2">
        <w:rPr>
          <w:szCs w:val="24"/>
          <w:lang w:val="en-GB"/>
        </w:rPr>
        <w:t xml:space="preserve">. </w:t>
      </w:r>
    </w:p>
    <w:p w14:paraId="48EB6D8D" w14:textId="551D3014" w:rsidR="004F78F9"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lastRenderedPageBreak/>
        <w:t>[28]</w:t>
      </w:r>
      <w:r w:rsidRPr="00D81BB2">
        <w:rPr>
          <w:szCs w:val="24"/>
          <w:lang w:val="en-GB"/>
        </w:rPr>
        <w:tab/>
      </w:r>
      <w:r w:rsidR="004F78F9" w:rsidRPr="00D81BB2">
        <w:rPr>
          <w:szCs w:val="24"/>
          <w:lang w:val="en-GB"/>
        </w:rPr>
        <w:t xml:space="preserve">It therefore flows that the timing of bringing the application for leave in terms of </w:t>
      </w:r>
      <w:r w:rsidR="006669AC" w:rsidRPr="00D81BB2">
        <w:rPr>
          <w:szCs w:val="24"/>
          <w:lang w:val="en-GB"/>
        </w:rPr>
        <w:t xml:space="preserve">the </w:t>
      </w:r>
      <w:r w:rsidR="004F78F9" w:rsidRPr="00D81BB2">
        <w:rPr>
          <w:szCs w:val="24"/>
          <w:lang w:val="en-GB"/>
        </w:rPr>
        <w:t>Section 15</w:t>
      </w:r>
      <w:r w:rsidR="00164159" w:rsidRPr="00D81BB2">
        <w:rPr>
          <w:szCs w:val="24"/>
          <w:lang w:val="en-GB"/>
        </w:rPr>
        <w:t>7</w:t>
      </w:r>
      <w:r w:rsidR="004F78F9" w:rsidRPr="00D81BB2">
        <w:rPr>
          <w:szCs w:val="24"/>
          <w:lang w:val="en-GB"/>
        </w:rPr>
        <w:t xml:space="preserve">(1)(d) </w:t>
      </w:r>
      <w:r w:rsidR="00164159" w:rsidRPr="00D81BB2">
        <w:rPr>
          <w:szCs w:val="24"/>
          <w:lang w:val="en-GB"/>
        </w:rPr>
        <w:t xml:space="preserve">remedy </w:t>
      </w:r>
      <w:r w:rsidR="006669AC" w:rsidRPr="00D81BB2">
        <w:rPr>
          <w:szCs w:val="24"/>
          <w:lang w:val="en-GB"/>
        </w:rPr>
        <w:t>is not</w:t>
      </w:r>
      <w:r w:rsidR="00164159" w:rsidRPr="00D81BB2">
        <w:rPr>
          <w:szCs w:val="24"/>
          <w:lang w:val="en-GB"/>
        </w:rPr>
        <w:t xml:space="preserve"> linked to a</w:t>
      </w:r>
      <w:r w:rsidR="006669AC" w:rsidRPr="00D81BB2">
        <w:rPr>
          <w:szCs w:val="24"/>
          <w:lang w:val="en-GB"/>
        </w:rPr>
        <w:t xml:space="preserve"> prescribed</w:t>
      </w:r>
      <w:r w:rsidR="00164159" w:rsidRPr="00D81BB2">
        <w:rPr>
          <w:szCs w:val="24"/>
          <w:lang w:val="en-GB"/>
        </w:rPr>
        <w:t xml:space="preserve"> certain date </w:t>
      </w:r>
      <w:r w:rsidR="00DE1A36" w:rsidRPr="00D81BB2">
        <w:rPr>
          <w:szCs w:val="24"/>
          <w:lang w:val="en-GB"/>
        </w:rPr>
        <w:t>(</w:t>
      </w:r>
      <w:r w:rsidR="006C4A4C" w:rsidRPr="00D81BB2">
        <w:rPr>
          <w:szCs w:val="24"/>
          <w:lang w:val="en-GB"/>
        </w:rPr>
        <w:t>i.e.,</w:t>
      </w:r>
      <w:r w:rsidR="00164159" w:rsidRPr="00D81BB2">
        <w:rPr>
          <w:szCs w:val="24"/>
          <w:lang w:val="en-GB"/>
        </w:rPr>
        <w:t xml:space="preserve"> </w:t>
      </w:r>
      <w:r w:rsidR="004F78F9" w:rsidRPr="00D81BB2">
        <w:rPr>
          <w:szCs w:val="24"/>
          <w:lang w:val="en-GB"/>
        </w:rPr>
        <w:t>a date prior to the institution of an action or launching an application in terms of the Act</w:t>
      </w:r>
      <w:r w:rsidR="00DE1A36" w:rsidRPr="00D81BB2">
        <w:rPr>
          <w:szCs w:val="24"/>
          <w:lang w:val="en-GB"/>
        </w:rPr>
        <w:t>)</w:t>
      </w:r>
      <w:r w:rsidR="004F78F9" w:rsidRPr="00D81BB2">
        <w:rPr>
          <w:szCs w:val="24"/>
          <w:lang w:val="en-GB"/>
        </w:rPr>
        <w:t xml:space="preserve"> </w:t>
      </w:r>
      <w:r w:rsidR="006669AC" w:rsidRPr="00D81BB2">
        <w:rPr>
          <w:szCs w:val="24"/>
          <w:lang w:val="en-GB"/>
        </w:rPr>
        <w:t>and that leave may be sought at the appropriate moment. Foreshadowing and warning a litigant of an intention to do so provided the onus</w:t>
      </w:r>
      <w:r w:rsidR="00DE1A36" w:rsidRPr="00D81BB2">
        <w:rPr>
          <w:szCs w:val="24"/>
          <w:lang w:val="en-GB"/>
        </w:rPr>
        <w:t xml:space="preserve"> of entitlement has been discharged is trite. In consequence the allegation is not material and </w:t>
      </w:r>
      <w:r w:rsidR="007B2FC2" w:rsidRPr="00D81BB2">
        <w:rPr>
          <w:szCs w:val="24"/>
          <w:lang w:val="en-GB"/>
        </w:rPr>
        <w:t xml:space="preserve">moreover </w:t>
      </w:r>
      <w:r w:rsidR="00DE1A36" w:rsidRPr="00D81BB2">
        <w:rPr>
          <w:szCs w:val="24"/>
          <w:lang w:val="en-GB"/>
        </w:rPr>
        <w:t xml:space="preserve">scope </w:t>
      </w:r>
      <w:r w:rsidR="006C4A4C" w:rsidRPr="00D81BB2">
        <w:rPr>
          <w:szCs w:val="24"/>
          <w:lang w:val="en-GB"/>
        </w:rPr>
        <w:t>exists for</w:t>
      </w:r>
      <w:r w:rsidR="004F78F9" w:rsidRPr="00D81BB2">
        <w:rPr>
          <w:szCs w:val="24"/>
          <w:lang w:val="en-GB"/>
        </w:rPr>
        <w:t xml:space="preserve"> a person who wishes to exercise its rights in terms of Section 157 to do so at the appropriate </w:t>
      </w:r>
      <w:r w:rsidR="00BD2E30" w:rsidRPr="00D81BB2">
        <w:rPr>
          <w:szCs w:val="24"/>
          <w:lang w:val="en-GB"/>
        </w:rPr>
        <w:t xml:space="preserve">time </w:t>
      </w:r>
      <w:r w:rsidR="004F78F9" w:rsidRPr="00D81BB2">
        <w:rPr>
          <w:szCs w:val="24"/>
          <w:lang w:val="en-GB"/>
        </w:rPr>
        <w:t xml:space="preserve">when </w:t>
      </w:r>
      <w:r w:rsidR="00BD2E30" w:rsidRPr="00D81BB2">
        <w:rPr>
          <w:szCs w:val="24"/>
          <w:lang w:val="en-GB"/>
        </w:rPr>
        <w:t>entitled</w:t>
      </w:r>
      <w:r w:rsidR="004F78F9" w:rsidRPr="00D81BB2">
        <w:rPr>
          <w:szCs w:val="24"/>
          <w:lang w:val="en-GB"/>
        </w:rPr>
        <w:t xml:space="preserve">. This is therefore compatible with the plaintiff’s argument that it is not a pre-emptory requirement that leave is sought before the action is instituted. </w:t>
      </w:r>
    </w:p>
    <w:p w14:paraId="37F91860" w14:textId="18461EED" w:rsidR="004F78F9"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[29]</w:t>
      </w:r>
      <w:r w:rsidRPr="00D81BB2">
        <w:rPr>
          <w:szCs w:val="24"/>
          <w:lang w:val="en-GB"/>
        </w:rPr>
        <w:tab/>
      </w:r>
      <w:r w:rsidR="004F78F9" w:rsidRPr="00D81BB2">
        <w:rPr>
          <w:szCs w:val="24"/>
          <w:lang w:val="en-GB"/>
        </w:rPr>
        <w:t xml:space="preserve">Lastly, as with ground two, ground three is not dispositive of any self-contained issue on the pleadings and does not strike at the cause of action. It flows that this ground must fail. </w:t>
      </w:r>
    </w:p>
    <w:p w14:paraId="20695A40" w14:textId="4387F331" w:rsidR="004F78F9" w:rsidRPr="00D81BB2" w:rsidRDefault="004F78F9" w:rsidP="00000FD2">
      <w:pPr>
        <w:pStyle w:val="RetiefPleadingpara1"/>
        <w:numPr>
          <w:ilvl w:val="0"/>
          <w:numId w:val="0"/>
        </w:numPr>
        <w:spacing w:before="480" w:after="480"/>
        <w:rPr>
          <w:b/>
          <w:bCs/>
          <w:szCs w:val="24"/>
          <w:u w:val="single"/>
          <w:lang w:val="en-GB"/>
        </w:rPr>
      </w:pPr>
      <w:r w:rsidRPr="00D81BB2">
        <w:rPr>
          <w:b/>
          <w:bCs/>
          <w:szCs w:val="24"/>
          <w:u w:val="single"/>
          <w:lang w:val="en-GB"/>
        </w:rPr>
        <w:t xml:space="preserve">Grounds Four to Seven </w:t>
      </w:r>
    </w:p>
    <w:p w14:paraId="0586E6BE" w14:textId="353A4A6E" w:rsidR="004F78F9"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[30]</w:t>
      </w:r>
      <w:r w:rsidRPr="00D81BB2">
        <w:rPr>
          <w:szCs w:val="24"/>
          <w:lang w:val="en-GB"/>
        </w:rPr>
        <w:tab/>
      </w:r>
      <w:r w:rsidR="00E44A77" w:rsidRPr="00D81BB2">
        <w:rPr>
          <w:szCs w:val="24"/>
          <w:lang w:val="en-GB"/>
        </w:rPr>
        <w:t>The grounds four to seven strike</w:t>
      </w:r>
      <w:r w:rsidR="000E57A1">
        <w:rPr>
          <w:szCs w:val="24"/>
          <w:lang w:val="en-GB"/>
        </w:rPr>
        <w:t>s</w:t>
      </w:r>
      <w:r w:rsidR="00E44A77" w:rsidRPr="00D81BB2">
        <w:rPr>
          <w:szCs w:val="24"/>
          <w:lang w:val="en-GB"/>
        </w:rPr>
        <w:t xml:space="preserve"> at the heart of particularity as required in terms of Uniform Rule 18(4) and (10)</w:t>
      </w:r>
      <w:r w:rsidR="00427916" w:rsidRPr="00D81BB2">
        <w:rPr>
          <w:szCs w:val="24"/>
          <w:lang w:val="en-GB"/>
        </w:rPr>
        <w:t xml:space="preserve">, a legality attack and not merely a lack of particularity in the formulation of the allegations </w:t>
      </w:r>
      <w:r w:rsidR="00C05FB5" w:rsidRPr="00D81BB2">
        <w:rPr>
          <w:szCs w:val="24"/>
          <w:lang w:val="en-GB"/>
        </w:rPr>
        <w:t>rendering same,</w:t>
      </w:r>
      <w:r w:rsidR="00427916" w:rsidRPr="00D81BB2">
        <w:rPr>
          <w:szCs w:val="24"/>
          <w:lang w:val="en-GB"/>
        </w:rPr>
        <w:t xml:space="preserve"> </w:t>
      </w:r>
      <w:r w:rsidR="006C4A4C" w:rsidRPr="00D81BB2">
        <w:rPr>
          <w:szCs w:val="24"/>
          <w:lang w:val="en-GB"/>
        </w:rPr>
        <w:t>vague,</w:t>
      </w:r>
      <w:r w:rsidR="00427916" w:rsidRPr="00D81BB2">
        <w:rPr>
          <w:szCs w:val="24"/>
          <w:lang w:val="en-GB"/>
        </w:rPr>
        <w:t xml:space="preserve"> and embarrassing. </w:t>
      </w:r>
    </w:p>
    <w:p w14:paraId="7380B909" w14:textId="6CB34A67" w:rsidR="00E44A77"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[31]</w:t>
      </w:r>
      <w:r w:rsidRPr="00D81BB2">
        <w:rPr>
          <w:szCs w:val="24"/>
          <w:lang w:val="en-GB"/>
        </w:rPr>
        <w:tab/>
      </w:r>
      <w:r w:rsidR="00C05FB5" w:rsidRPr="00D81BB2">
        <w:rPr>
          <w:szCs w:val="24"/>
          <w:lang w:val="en-GB"/>
        </w:rPr>
        <w:t xml:space="preserve">These grounds of exception due to the recurring complaint can be dealt with together. </w:t>
      </w:r>
      <w:r w:rsidR="00E44A77" w:rsidRPr="00D81BB2">
        <w:rPr>
          <w:szCs w:val="24"/>
          <w:lang w:val="en-GB"/>
        </w:rPr>
        <w:t xml:space="preserve">In amplification the excipient’s complaint </w:t>
      </w:r>
      <w:r w:rsidR="00C05FB5" w:rsidRPr="00D81BB2">
        <w:rPr>
          <w:szCs w:val="24"/>
          <w:lang w:val="en-GB"/>
        </w:rPr>
        <w:t>relates to</w:t>
      </w:r>
      <w:r w:rsidR="00E44A77" w:rsidRPr="00D81BB2">
        <w:rPr>
          <w:szCs w:val="24"/>
          <w:lang w:val="en-GB"/>
        </w:rPr>
        <w:t>:</w:t>
      </w:r>
    </w:p>
    <w:p w14:paraId="70903E69" w14:textId="6BDF32F8" w:rsidR="00D127B0" w:rsidRPr="00D81BB2" w:rsidRDefault="009B25C9" w:rsidP="009B25C9">
      <w:pPr>
        <w:pStyle w:val="RetiefPleadingpara1"/>
        <w:numPr>
          <w:ilvl w:val="0"/>
          <w:numId w:val="0"/>
        </w:numPr>
        <w:tabs>
          <w:tab w:val="left" w:pos="1701"/>
        </w:tabs>
        <w:spacing w:before="480" w:after="480"/>
        <w:ind w:left="1701" w:hanging="850"/>
        <w:rPr>
          <w:szCs w:val="24"/>
          <w:lang w:val="en-GB"/>
        </w:rPr>
      </w:pPr>
      <w:r w:rsidRPr="00D81BB2">
        <w:rPr>
          <w:szCs w:val="24"/>
          <w:lang w:val="en-GB"/>
        </w:rPr>
        <w:lastRenderedPageBreak/>
        <w:t>31.1</w:t>
      </w:r>
      <w:r w:rsidRPr="00D81BB2">
        <w:rPr>
          <w:szCs w:val="24"/>
          <w:lang w:val="en-GB"/>
        </w:rPr>
        <w:tab/>
      </w:r>
      <w:r w:rsidR="00E44A77" w:rsidRPr="00D81BB2">
        <w:rPr>
          <w:szCs w:val="24"/>
          <w:lang w:val="en-GB"/>
        </w:rPr>
        <w:t xml:space="preserve">A lack of the particularity </w:t>
      </w:r>
      <w:r w:rsidR="00D127B0" w:rsidRPr="00D81BB2">
        <w:rPr>
          <w:szCs w:val="24"/>
          <w:lang w:val="en-GB"/>
        </w:rPr>
        <w:t>(dates, identify and particula</w:t>
      </w:r>
      <w:r w:rsidR="00032714" w:rsidRPr="00D81BB2">
        <w:rPr>
          <w:szCs w:val="24"/>
          <w:lang w:val="en-GB"/>
        </w:rPr>
        <w:t xml:space="preserve">rise) </w:t>
      </w:r>
      <w:r w:rsidR="00CC2A74" w:rsidRPr="00D81BB2">
        <w:rPr>
          <w:szCs w:val="24"/>
          <w:lang w:val="en-GB"/>
        </w:rPr>
        <w:t xml:space="preserve">resulting in </w:t>
      </w:r>
      <w:r w:rsidR="006D7037" w:rsidRPr="00D81BB2">
        <w:rPr>
          <w:szCs w:val="24"/>
          <w:lang w:val="en-GB"/>
        </w:rPr>
        <w:t xml:space="preserve">the general description </w:t>
      </w:r>
      <w:r w:rsidR="006C4A4C" w:rsidRPr="00D81BB2">
        <w:rPr>
          <w:szCs w:val="24"/>
          <w:lang w:val="en-GB"/>
        </w:rPr>
        <w:t>of “</w:t>
      </w:r>
      <w:r w:rsidR="00BD198D" w:rsidRPr="00D81BB2">
        <w:rPr>
          <w:i/>
          <w:iCs/>
          <w:szCs w:val="24"/>
          <w:lang w:val="en-GB"/>
        </w:rPr>
        <w:t>entries</w:t>
      </w:r>
      <w:r w:rsidR="006D7037" w:rsidRPr="00D81BB2">
        <w:rPr>
          <w:szCs w:val="24"/>
          <w:lang w:val="en-GB"/>
        </w:rPr>
        <w:t>”</w:t>
      </w:r>
      <w:r w:rsidR="00BD198D" w:rsidRPr="00D81BB2">
        <w:rPr>
          <w:szCs w:val="24"/>
          <w:lang w:val="en-GB"/>
        </w:rPr>
        <w:t xml:space="preserve"> as described in paragraph 19,22,23 </w:t>
      </w:r>
      <w:r w:rsidR="00970317" w:rsidRPr="00D81BB2">
        <w:rPr>
          <w:szCs w:val="24"/>
          <w:lang w:val="en-GB"/>
        </w:rPr>
        <w:t xml:space="preserve">and 30 </w:t>
      </w:r>
      <w:r w:rsidR="00BD198D" w:rsidRPr="00D81BB2">
        <w:rPr>
          <w:szCs w:val="24"/>
          <w:lang w:val="en-GB"/>
        </w:rPr>
        <w:t>of the particulars of claim</w:t>
      </w:r>
      <w:r w:rsidR="00032714" w:rsidRPr="00D81BB2">
        <w:rPr>
          <w:szCs w:val="24"/>
          <w:lang w:val="en-GB"/>
        </w:rPr>
        <w:t xml:space="preserve">. In particular </w:t>
      </w:r>
      <w:r w:rsidR="006C4A4C" w:rsidRPr="00D81BB2">
        <w:rPr>
          <w:szCs w:val="24"/>
          <w:lang w:val="en-GB"/>
        </w:rPr>
        <w:t>at paragraphs</w:t>
      </w:r>
      <w:r w:rsidR="00970317" w:rsidRPr="00D81BB2">
        <w:rPr>
          <w:szCs w:val="24"/>
          <w:lang w:val="en-GB"/>
        </w:rPr>
        <w:t xml:space="preserve"> 19</w:t>
      </w:r>
      <w:r w:rsidR="00D127B0" w:rsidRPr="00D81BB2">
        <w:rPr>
          <w:szCs w:val="24"/>
          <w:lang w:val="en-GB"/>
        </w:rPr>
        <w:t xml:space="preserve">,22 and </w:t>
      </w:r>
      <w:r w:rsidR="00970317" w:rsidRPr="00D81BB2">
        <w:rPr>
          <w:szCs w:val="24"/>
          <w:lang w:val="en-GB"/>
        </w:rPr>
        <w:t xml:space="preserve">23 </w:t>
      </w:r>
      <w:r w:rsidR="00032714" w:rsidRPr="00D81BB2">
        <w:rPr>
          <w:szCs w:val="24"/>
          <w:lang w:val="en-GB"/>
        </w:rPr>
        <w:t xml:space="preserve">the </w:t>
      </w:r>
      <w:r w:rsidR="00CC2A74" w:rsidRPr="00D81BB2">
        <w:rPr>
          <w:szCs w:val="24"/>
          <w:lang w:val="en-GB"/>
        </w:rPr>
        <w:t>mere refer</w:t>
      </w:r>
      <w:r w:rsidR="00032714" w:rsidRPr="00D81BB2">
        <w:rPr>
          <w:szCs w:val="24"/>
          <w:lang w:val="en-GB"/>
        </w:rPr>
        <w:t>ence</w:t>
      </w:r>
      <w:r w:rsidR="00CC2A74" w:rsidRPr="00D81BB2">
        <w:rPr>
          <w:szCs w:val="24"/>
          <w:lang w:val="en-GB"/>
        </w:rPr>
        <w:t xml:space="preserve"> </w:t>
      </w:r>
      <w:r w:rsidR="00BD198D" w:rsidRPr="00D81BB2">
        <w:rPr>
          <w:szCs w:val="24"/>
          <w:lang w:val="en-GB"/>
        </w:rPr>
        <w:t>to</w:t>
      </w:r>
      <w:r w:rsidR="00BD198D" w:rsidRPr="00D81BB2">
        <w:rPr>
          <w:i/>
          <w:iCs/>
          <w:szCs w:val="24"/>
          <w:lang w:val="en-GB"/>
        </w:rPr>
        <w:t xml:space="preserve"> “</w:t>
      </w:r>
      <w:r w:rsidR="00CC2A74" w:rsidRPr="00D81BB2">
        <w:rPr>
          <w:i/>
          <w:iCs/>
          <w:szCs w:val="24"/>
          <w:lang w:val="en-GB"/>
        </w:rPr>
        <w:t>false entries, journal entries</w:t>
      </w:r>
      <w:r w:rsidR="00551132" w:rsidRPr="00D81BB2">
        <w:rPr>
          <w:i/>
          <w:iCs/>
          <w:szCs w:val="24"/>
          <w:lang w:val="en-GB"/>
        </w:rPr>
        <w:t xml:space="preserve"> and manifestly unfounded accounting entries</w:t>
      </w:r>
      <w:r w:rsidR="00551132" w:rsidRPr="00D81BB2">
        <w:rPr>
          <w:szCs w:val="24"/>
          <w:lang w:val="en-GB"/>
        </w:rPr>
        <w:t>”</w:t>
      </w:r>
      <w:r w:rsidR="00032714" w:rsidRPr="00D81BB2">
        <w:rPr>
          <w:szCs w:val="24"/>
          <w:lang w:val="en-GB"/>
        </w:rPr>
        <w:t>,</w:t>
      </w:r>
      <w:r w:rsidR="00551132" w:rsidRPr="00D81BB2">
        <w:rPr>
          <w:szCs w:val="24"/>
          <w:lang w:val="en-GB"/>
        </w:rPr>
        <w:t xml:space="preserve"> in paragraph 24 </w:t>
      </w:r>
      <w:r w:rsidR="00970317" w:rsidRPr="00D81BB2">
        <w:rPr>
          <w:szCs w:val="24"/>
          <w:lang w:val="en-GB"/>
        </w:rPr>
        <w:t>the general description of “</w:t>
      </w:r>
      <w:r w:rsidR="00970317" w:rsidRPr="00D81BB2">
        <w:rPr>
          <w:i/>
          <w:iCs/>
          <w:szCs w:val="24"/>
          <w:lang w:val="en-GB"/>
        </w:rPr>
        <w:t>the alleged irregular accounting practices</w:t>
      </w:r>
      <w:r w:rsidR="00970317" w:rsidRPr="00D81BB2">
        <w:rPr>
          <w:szCs w:val="24"/>
          <w:lang w:val="en-GB"/>
        </w:rPr>
        <w:t>”</w:t>
      </w:r>
      <w:r w:rsidR="00BD198D" w:rsidRPr="00D81BB2">
        <w:rPr>
          <w:szCs w:val="24"/>
          <w:lang w:val="en-GB"/>
        </w:rPr>
        <w:t xml:space="preserve">, </w:t>
      </w:r>
      <w:r w:rsidR="00D127B0" w:rsidRPr="00D81BB2">
        <w:rPr>
          <w:szCs w:val="24"/>
          <w:lang w:val="en-GB"/>
        </w:rPr>
        <w:t xml:space="preserve">and in paragraph 30 merely referring to </w:t>
      </w:r>
      <w:r w:rsidR="00383A8A" w:rsidRPr="00D81BB2">
        <w:rPr>
          <w:szCs w:val="24"/>
          <w:lang w:val="en-GB"/>
        </w:rPr>
        <w:t>“</w:t>
      </w:r>
      <w:r w:rsidR="00BD198D" w:rsidRPr="00D81BB2">
        <w:rPr>
          <w:i/>
          <w:iCs/>
          <w:szCs w:val="24"/>
          <w:lang w:val="en-GB"/>
        </w:rPr>
        <w:t>impugned decisions</w:t>
      </w:r>
      <w:r w:rsidR="00383A8A" w:rsidRPr="00D81BB2">
        <w:rPr>
          <w:szCs w:val="24"/>
          <w:lang w:val="en-GB"/>
        </w:rPr>
        <w:t>”, “</w:t>
      </w:r>
      <w:r w:rsidR="00383A8A" w:rsidRPr="00D81BB2">
        <w:rPr>
          <w:i/>
          <w:iCs/>
          <w:szCs w:val="24"/>
          <w:lang w:val="en-GB"/>
        </w:rPr>
        <w:t>necessary remedial steps referred to</w:t>
      </w:r>
      <w:r w:rsidR="00383A8A" w:rsidRPr="00D81BB2">
        <w:rPr>
          <w:szCs w:val="24"/>
          <w:lang w:val="en-GB"/>
        </w:rPr>
        <w:t>”, “</w:t>
      </w:r>
      <w:r w:rsidR="00383A8A" w:rsidRPr="00D81BB2">
        <w:rPr>
          <w:i/>
          <w:iCs/>
          <w:szCs w:val="24"/>
          <w:lang w:val="en-GB"/>
        </w:rPr>
        <w:t>cost contained decisions</w:t>
      </w:r>
      <w:r w:rsidR="00032714" w:rsidRPr="00D81BB2">
        <w:rPr>
          <w:i/>
          <w:iCs/>
          <w:szCs w:val="24"/>
          <w:lang w:val="en-GB"/>
        </w:rPr>
        <w:t>.</w:t>
      </w:r>
      <w:r w:rsidR="00383A8A" w:rsidRPr="00D81BB2">
        <w:rPr>
          <w:szCs w:val="24"/>
          <w:lang w:val="en-GB"/>
        </w:rPr>
        <w:t xml:space="preserve">” </w:t>
      </w:r>
    </w:p>
    <w:p w14:paraId="7A469B09" w14:textId="245F0212" w:rsidR="00383A8A" w:rsidRPr="00D81BB2" w:rsidRDefault="009B25C9" w:rsidP="009B25C9">
      <w:pPr>
        <w:pStyle w:val="RetiefPleadingpara1"/>
        <w:numPr>
          <w:ilvl w:val="0"/>
          <w:numId w:val="0"/>
        </w:numPr>
        <w:tabs>
          <w:tab w:val="left" w:pos="1701"/>
        </w:tabs>
        <w:spacing w:before="480" w:after="480"/>
        <w:ind w:left="1701" w:hanging="850"/>
        <w:rPr>
          <w:szCs w:val="24"/>
          <w:lang w:val="en-GB"/>
        </w:rPr>
      </w:pPr>
      <w:r w:rsidRPr="00D81BB2">
        <w:rPr>
          <w:szCs w:val="24"/>
          <w:lang w:val="en-GB"/>
        </w:rPr>
        <w:t>31.2</w:t>
      </w:r>
      <w:r w:rsidRPr="00D81BB2">
        <w:rPr>
          <w:szCs w:val="24"/>
          <w:lang w:val="en-GB"/>
        </w:rPr>
        <w:tab/>
      </w:r>
      <w:r w:rsidR="00032714" w:rsidRPr="00D81BB2">
        <w:rPr>
          <w:szCs w:val="24"/>
          <w:lang w:val="en-GB"/>
        </w:rPr>
        <w:t>Failure to set out</w:t>
      </w:r>
      <w:r w:rsidR="00383A8A" w:rsidRPr="00D81BB2">
        <w:rPr>
          <w:szCs w:val="24"/>
          <w:lang w:val="en-GB"/>
        </w:rPr>
        <w:t xml:space="preserve"> </w:t>
      </w:r>
      <w:r w:rsidR="00383A8A" w:rsidRPr="00D81BB2">
        <w:rPr>
          <w:szCs w:val="24"/>
          <w:u w:val="single"/>
          <w:lang w:val="en-GB"/>
        </w:rPr>
        <w:t>how</w:t>
      </w:r>
      <w:r w:rsidR="00383A8A" w:rsidRPr="00D81BB2">
        <w:rPr>
          <w:szCs w:val="24"/>
          <w:lang w:val="en-GB"/>
        </w:rPr>
        <w:t xml:space="preserve"> the damages are calculated in paragraphs 33 and 34 of the plaintiff’s particulars of claim</w:t>
      </w:r>
      <w:r w:rsidR="00177AA6" w:rsidRPr="00D81BB2">
        <w:rPr>
          <w:szCs w:val="24"/>
          <w:lang w:val="en-GB"/>
        </w:rPr>
        <w:t>.</w:t>
      </w:r>
      <w:r w:rsidR="00383A8A" w:rsidRPr="00D81BB2">
        <w:rPr>
          <w:szCs w:val="24"/>
          <w:lang w:val="en-GB"/>
        </w:rPr>
        <w:t xml:space="preserve"> </w:t>
      </w:r>
    </w:p>
    <w:p w14:paraId="36A31CA9" w14:textId="3AA34370" w:rsidR="00177AA6"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[32]</w:t>
      </w:r>
      <w:r w:rsidRPr="00D81BB2">
        <w:rPr>
          <w:szCs w:val="24"/>
          <w:lang w:val="en-GB"/>
        </w:rPr>
        <w:tab/>
      </w:r>
      <w:r w:rsidR="00177AA6" w:rsidRPr="00D81BB2">
        <w:rPr>
          <w:szCs w:val="24"/>
          <w:lang w:val="en-GB"/>
        </w:rPr>
        <w:t>That such omission</w:t>
      </w:r>
      <w:r w:rsidR="000E57A1">
        <w:rPr>
          <w:szCs w:val="24"/>
          <w:lang w:val="en-GB"/>
        </w:rPr>
        <w:t>s</w:t>
      </w:r>
      <w:r w:rsidR="00177AA6" w:rsidRPr="00D81BB2">
        <w:rPr>
          <w:szCs w:val="24"/>
          <w:lang w:val="en-GB"/>
        </w:rPr>
        <w:t xml:space="preserve"> of particularity as aforesaid</w:t>
      </w:r>
      <w:r w:rsidR="000E57A1">
        <w:rPr>
          <w:szCs w:val="24"/>
          <w:lang w:val="en-GB"/>
        </w:rPr>
        <w:t>,</w:t>
      </w:r>
      <w:r w:rsidR="000E57A1" w:rsidRPr="000E57A1">
        <w:rPr>
          <w:i/>
          <w:iCs/>
          <w:szCs w:val="24"/>
          <w:lang w:val="en-GB"/>
        </w:rPr>
        <w:t xml:space="preserve"> supra</w:t>
      </w:r>
      <w:r w:rsidR="000E57A1">
        <w:rPr>
          <w:szCs w:val="24"/>
          <w:lang w:val="en-GB"/>
        </w:rPr>
        <w:t>,</w:t>
      </w:r>
      <w:r w:rsidR="00177AA6" w:rsidRPr="00D81BB2">
        <w:rPr>
          <w:szCs w:val="24"/>
          <w:lang w:val="en-GB"/>
        </w:rPr>
        <w:t xml:space="preserve"> </w:t>
      </w:r>
      <w:r w:rsidR="000E57A1">
        <w:rPr>
          <w:szCs w:val="24"/>
          <w:lang w:val="en-GB"/>
        </w:rPr>
        <w:t>are</w:t>
      </w:r>
      <w:r w:rsidR="00177AA6" w:rsidRPr="00D81BB2">
        <w:rPr>
          <w:szCs w:val="24"/>
          <w:lang w:val="en-GB"/>
        </w:rPr>
        <w:t xml:space="preserve"> an omission of </w:t>
      </w:r>
      <w:r w:rsidR="00177AA6" w:rsidRPr="00D81BB2">
        <w:rPr>
          <w:i/>
          <w:iCs/>
          <w:szCs w:val="24"/>
          <w:lang w:val="en-GB"/>
        </w:rPr>
        <w:t>facta probanda</w:t>
      </w:r>
      <w:r w:rsidR="00177AA6" w:rsidRPr="00D81BB2">
        <w:rPr>
          <w:szCs w:val="24"/>
          <w:lang w:val="en-GB"/>
        </w:rPr>
        <w:t xml:space="preserve"> and material facts and in certain circumstances an inability for the excipient to determine whether the plaintiff’s claim has prescribed.</w:t>
      </w:r>
    </w:p>
    <w:p w14:paraId="48D0A76E" w14:textId="201E049A" w:rsidR="001B075E"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[33]</w:t>
      </w:r>
      <w:r w:rsidRPr="00D81BB2">
        <w:rPr>
          <w:szCs w:val="24"/>
          <w:lang w:val="en-GB"/>
        </w:rPr>
        <w:tab/>
      </w:r>
      <w:r w:rsidR="00383A8A" w:rsidRPr="00D81BB2">
        <w:rPr>
          <w:szCs w:val="24"/>
          <w:lang w:val="en-GB"/>
        </w:rPr>
        <w:t>In reading the pleadings as a whole</w:t>
      </w:r>
      <w:r w:rsidR="005E79D3" w:rsidRPr="00D81BB2">
        <w:rPr>
          <w:szCs w:val="24"/>
          <w:lang w:val="en-GB"/>
        </w:rPr>
        <w:t xml:space="preserve"> t</w:t>
      </w:r>
      <w:r w:rsidR="00383A8A" w:rsidRPr="00D81BB2">
        <w:rPr>
          <w:szCs w:val="24"/>
          <w:lang w:val="en-GB"/>
        </w:rPr>
        <w:t xml:space="preserve">he </w:t>
      </w:r>
      <w:r w:rsidR="005E79D3" w:rsidRPr="00D81BB2">
        <w:rPr>
          <w:szCs w:val="24"/>
          <w:lang w:val="en-GB"/>
        </w:rPr>
        <w:t xml:space="preserve">“mischief” is alleged to have </w:t>
      </w:r>
      <w:r w:rsidR="000F3578" w:rsidRPr="00D81BB2">
        <w:rPr>
          <w:szCs w:val="24"/>
          <w:lang w:val="en-GB"/>
        </w:rPr>
        <w:t xml:space="preserve">arisen </w:t>
      </w:r>
      <w:r w:rsidR="005E79D3" w:rsidRPr="00D81BB2">
        <w:rPr>
          <w:szCs w:val="24"/>
          <w:lang w:val="en-GB"/>
        </w:rPr>
        <w:t xml:space="preserve">in </w:t>
      </w:r>
      <w:r w:rsidR="003C3EA6" w:rsidRPr="00D81BB2">
        <w:rPr>
          <w:szCs w:val="24"/>
          <w:lang w:val="en-GB"/>
        </w:rPr>
        <w:t xml:space="preserve">entries </w:t>
      </w:r>
      <w:r w:rsidR="000F3578" w:rsidRPr="00D81BB2">
        <w:rPr>
          <w:szCs w:val="24"/>
          <w:lang w:val="en-GB"/>
        </w:rPr>
        <w:t xml:space="preserve">and </w:t>
      </w:r>
      <w:r w:rsidR="003C3EA6" w:rsidRPr="00D81BB2">
        <w:rPr>
          <w:szCs w:val="24"/>
          <w:lang w:val="en-GB"/>
        </w:rPr>
        <w:t xml:space="preserve">alleged irregular accounting practices </w:t>
      </w:r>
      <w:r w:rsidR="00FB0E87" w:rsidRPr="00D81BB2">
        <w:rPr>
          <w:szCs w:val="24"/>
          <w:lang w:val="en-GB"/>
        </w:rPr>
        <w:t xml:space="preserve">observed </w:t>
      </w:r>
      <w:r w:rsidR="000F3578" w:rsidRPr="00D81BB2">
        <w:rPr>
          <w:szCs w:val="24"/>
          <w:lang w:val="en-GB"/>
        </w:rPr>
        <w:t xml:space="preserve">in </w:t>
      </w:r>
      <w:r w:rsidR="005E79D3" w:rsidRPr="00D81BB2">
        <w:rPr>
          <w:szCs w:val="24"/>
          <w:lang w:val="en-GB"/>
        </w:rPr>
        <w:t xml:space="preserve">the </w:t>
      </w:r>
      <w:r w:rsidR="00383A8A" w:rsidRPr="00D81BB2">
        <w:rPr>
          <w:szCs w:val="24"/>
          <w:lang w:val="en-GB"/>
        </w:rPr>
        <w:t>financial year ending 31 December 2018.</w:t>
      </w:r>
      <w:r w:rsidR="005E79D3" w:rsidRPr="00D81BB2">
        <w:rPr>
          <w:szCs w:val="24"/>
          <w:lang w:val="en-GB"/>
        </w:rPr>
        <w:t xml:space="preserve"> </w:t>
      </w:r>
      <w:r w:rsidR="000F3578" w:rsidRPr="00D81BB2">
        <w:rPr>
          <w:szCs w:val="24"/>
          <w:lang w:val="en-GB"/>
        </w:rPr>
        <w:t xml:space="preserve">The period is clear </w:t>
      </w:r>
      <w:r w:rsidR="00475A99" w:rsidRPr="00D81BB2">
        <w:rPr>
          <w:szCs w:val="24"/>
          <w:lang w:val="en-GB"/>
        </w:rPr>
        <w:t xml:space="preserve">thus enabling the excipient to decisively plead </w:t>
      </w:r>
      <w:r w:rsidR="006C4A4C" w:rsidRPr="00D81BB2">
        <w:rPr>
          <w:szCs w:val="24"/>
          <w:lang w:val="en-GB"/>
        </w:rPr>
        <w:t>prescription,</w:t>
      </w:r>
      <w:r w:rsidR="00475A99" w:rsidRPr="00D81BB2">
        <w:rPr>
          <w:szCs w:val="24"/>
          <w:lang w:val="en-GB"/>
        </w:rPr>
        <w:t xml:space="preserve"> if </w:t>
      </w:r>
      <w:r w:rsidR="006C4A4C" w:rsidRPr="00D81BB2">
        <w:rPr>
          <w:szCs w:val="24"/>
          <w:lang w:val="en-GB"/>
        </w:rPr>
        <w:t>necessary,</w:t>
      </w:r>
      <w:r w:rsidR="00475A99" w:rsidRPr="00D81BB2">
        <w:rPr>
          <w:szCs w:val="24"/>
          <w:lang w:val="en-GB"/>
        </w:rPr>
        <w:t xml:space="preserve"> </w:t>
      </w:r>
      <w:r w:rsidR="000F3578" w:rsidRPr="00D81BB2">
        <w:rPr>
          <w:szCs w:val="24"/>
          <w:lang w:val="en-GB"/>
        </w:rPr>
        <w:t>as too</w:t>
      </w:r>
      <w:r w:rsidR="00475A99" w:rsidRPr="00D81BB2">
        <w:rPr>
          <w:szCs w:val="24"/>
          <w:lang w:val="en-GB"/>
        </w:rPr>
        <w:t>,</w:t>
      </w:r>
      <w:r w:rsidR="000F3578" w:rsidRPr="00D81BB2">
        <w:rPr>
          <w:szCs w:val="24"/>
          <w:lang w:val="en-GB"/>
        </w:rPr>
        <w:t xml:space="preserve"> the </w:t>
      </w:r>
      <w:r w:rsidR="00381F25" w:rsidRPr="00D81BB2">
        <w:rPr>
          <w:szCs w:val="24"/>
          <w:lang w:val="en-GB"/>
        </w:rPr>
        <w:t>type and nature of accounting practices</w:t>
      </w:r>
      <w:r w:rsidR="001B075E" w:rsidRPr="00D81BB2">
        <w:rPr>
          <w:szCs w:val="24"/>
          <w:lang w:val="en-GB"/>
        </w:rPr>
        <w:t xml:space="preserve"> observed</w:t>
      </w:r>
      <w:r w:rsidR="00B50186" w:rsidRPr="00D81BB2">
        <w:rPr>
          <w:szCs w:val="24"/>
          <w:lang w:val="en-GB"/>
        </w:rPr>
        <w:t xml:space="preserve"> during that period</w:t>
      </w:r>
      <w:r w:rsidR="001B075E" w:rsidRPr="00D81BB2">
        <w:rPr>
          <w:szCs w:val="24"/>
          <w:lang w:val="en-GB"/>
        </w:rPr>
        <w:t xml:space="preserve">. The evidence </w:t>
      </w:r>
      <w:r w:rsidR="00FB0E87" w:rsidRPr="00D81BB2">
        <w:rPr>
          <w:szCs w:val="24"/>
          <w:lang w:val="en-GB"/>
        </w:rPr>
        <w:t xml:space="preserve">proving the existence of such entries </w:t>
      </w:r>
      <w:r w:rsidR="00472986" w:rsidRPr="00D81BB2">
        <w:rPr>
          <w:szCs w:val="24"/>
          <w:lang w:val="en-GB"/>
        </w:rPr>
        <w:t xml:space="preserve">and </w:t>
      </w:r>
      <w:r w:rsidR="001B075E" w:rsidRPr="00D81BB2">
        <w:rPr>
          <w:szCs w:val="24"/>
          <w:lang w:val="en-GB"/>
        </w:rPr>
        <w:t xml:space="preserve">illustrating and proving such </w:t>
      </w:r>
      <w:r w:rsidR="00B50186" w:rsidRPr="00D81BB2">
        <w:rPr>
          <w:szCs w:val="24"/>
          <w:lang w:val="en-GB"/>
        </w:rPr>
        <w:t xml:space="preserve">observed </w:t>
      </w:r>
      <w:r w:rsidR="001B075E" w:rsidRPr="00D81BB2">
        <w:rPr>
          <w:szCs w:val="24"/>
          <w:lang w:val="en-GB"/>
        </w:rPr>
        <w:t xml:space="preserve">accounting practices as irregular </w:t>
      </w:r>
      <w:r w:rsidR="00B50186" w:rsidRPr="00D81BB2">
        <w:rPr>
          <w:szCs w:val="24"/>
          <w:lang w:val="en-GB"/>
        </w:rPr>
        <w:t xml:space="preserve"> </w:t>
      </w:r>
      <w:r w:rsidR="001B075E" w:rsidRPr="00D81BB2">
        <w:rPr>
          <w:szCs w:val="24"/>
          <w:lang w:val="en-GB"/>
        </w:rPr>
        <w:t xml:space="preserve">is facta </w:t>
      </w:r>
      <w:r w:rsidR="001B075E" w:rsidRPr="00D81BB2">
        <w:rPr>
          <w:i/>
          <w:iCs/>
          <w:szCs w:val="24"/>
          <w:lang w:val="en-GB"/>
        </w:rPr>
        <w:t>probantia</w:t>
      </w:r>
      <w:r w:rsidR="001B075E" w:rsidRPr="00D81BB2">
        <w:rPr>
          <w:szCs w:val="24"/>
          <w:lang w:val="en-GB"/>
        </w:rPr>
        <w:t>.</w:t>
      </w:r>
      <w:r w:rsidR="00475A99" w:rsidRPr="00D81BB2">
        <w:rPr>
          <w:szCs w:val="24"/>
          <w:lang w:val="en-GB"/>
        </w:rPr>
        <w:t xml:space="preserve"> This is the heart of the complaint</w:t>
      </w:r>
      <w:r w:rsidR="003B2802" w:rsidRPr="00D81BB2">
        <w:rPr>
          <w:szCs w:val="24"/>
          <w:lang w:val="en-GB"/>
        </w:rPr>
        <w:t>. The complaint does not relate to remiss material alleged facts.</w:t>
      </w:r>
      <w:r w:rsidR="00504951" w:rsidRPr="00D81BB2">
        <w:rPr>
          <w:szCs w:val="24"/>
          <w:lang w:val="en-GB"/>
        </w:rPr>
        <w:t xml:space="preserve"> The fourth to sixth ground stands to fail.</w:t>
      </w:r>
    </w:p>
    <w:p w14:paraId="618297A8" w14:textId="513CAF4D" w:rsidR="00383A8A"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lastRenderedPageBreak/>
        <w:t>[34]</w:t>
      </w:r>
      <w:r w:rsidRPr="00D81BB2">
        <w:rPr>
          <w:szCs w:val="24"/>
          <w:lang w:val="en-GB"/>
        </w:rPr>
        <w:tab/>
      </w:r>
      <w:r w:rsidR="006C4A4C" w:rsidRPr="00D81BB2">
        <w:rPr>
          <w:szCs w:val="24"/>
          <w:lang w:val="en-GB"/>
        </w:rPr>
        <w:t>Furthermore,</w:t>
      </w:r>
      <w:r w:rsidR="00F81235" w:rsidRPr="00D81BB2">
        <w:rPr>
          <w:szCs w:val="24"/>
          <w:lang w:val="en-GB"/>
        </w:rPr>
        <w:t xml:space="preserve"> the Court </w:t>
      </w:r>
      <w:r w:rsidR="00383A8A" w:rsidRPr="00D81BB2">
        <w:rPr>
          <w:szCs w:val="24"/>
          <w:lang w:val="en-GB"/>
        </w:rPr>
        <w:t xml:space="preserve">in </w:t>
      </w:r>
      <w:r w:rsidR="00383A8A" w:rsidRPr="00D81BB2">
        <w:rPr>
          <w:b/>
          <w:bCs/>
          <w:szCs w:val="24"/>
          <w:lang w:val="en-GB"/>
        </w:rPr>
        <w:t>Agri Bedryfs Beperk v Merwede Boerdery BK and Others</w:t>
      </w:r>
      <w:r w:rsidR="00383A8A" w:rsidRPr="00D81BB2">
        <w:rPr>
          <w:rStyle w:val="FootnoteReference"/>
          <w:szCs w:val="24"/>
          <w:lang w:val="en-GB"/>
        </w:rPr>
        <w:footnoteReference w:id="3"/>
      </w:r>
      <w:r w:rsidR="00383A8A" w:rsidRPr="00D81BB2">
        <w:rPr>
          <w:szCs w:val="24"/>
          <w:lang w:val="en-GB"/>
        </w:rPr>
        <w:t xml:space="preserve"> held that: “</w:t>
      </w:r>
      <w:r w:rsidR="00383A8A" w:rsidRPr="00D81BB2">
        <w:rPr>
          <w:i/>
          <w:iCs/>
          <w:szCs w:val="24"/>
          <w:lang w:val="en-GB"/>
        </w:rPr>
        <w:t>the excipient is not entitled to all the detail alleged to be missing and must obtain the said detail by means of a request for further particulars for trial purposes or a request for discovery</w:t>
      </w:r>
      <w:r w:rsidR="00383A8A" w:rsidRPr="00D81BB2">
        <w:rPr>
          <w:szCs w:val="24"/>
          <w:lang w:val="en-GB"/>
        </w:rPr>
        <w:t>”. Particulars of claim must set out facts which the plaintiff is still to prove, such particularity requested goes to heart of the evidence necessary to prove those factual allegations</w:t>
      </w:r>
      <w:r w:rsidR="0016323A" w:rsidRPr="00D81BB2">
        <w:rPr>
          <w:szCs w:val="24"/>
          <w:lang w:val="en-GB"/>
        </w:rPr>
        <w:t xml:space="preserve">. </w:t>
      </w:r>
    </w:p>
    <w:p w14:paraId="46481B3B" w14:textId="074DA744" w:rsidR="00755F27"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[35]</w:t>
      </w:r>
      <w:r w:rsidRPr="00D81BB2">
        <w:rPr>
          <w:szCs w:val="24"/>
          <w:lang w:val="en-GB"/>
        </w:rPr>
        <w:tab/>
      </w:r>
      <w:r w:rsidR="006C28F5" w:rsidRPr="00D81BB2">
        <w:rPr>
          <w:szCs w:val="24"/>
          <w:lang w:val="en-GB"/>
        </w:rPr>
        <w:t xml:space="preserve">Lastly, </w:t>
      </w:r>
      <w:r w:rsidR="0024718B" w:rsidRPr="00D81BB2">
        <w:rPr>
          <w:szCs w:val="24"/>
          <w:lang w:val="en-GB"/>
        </w:rPr>
        <w:t xml:space="preserve">the purpose of </w:t>
      </w:r>
      <w:r w:rsidR="006C28F5" w:rsidRPr="00D81BB2">
        <w:rPr>
          <w:szCs w:val="24"/>
          <w:lang w:val="en-GB"/>
        </w:rPr>
        <w:t xml:space="preserve">uniform rule 18(10) </w:t>
      </w:r>
      <w:r w:rsidR="0024718B" w:rsidRPr="00D81BB2">
        <w:rPr>
          <w:szCs w:val="24"/>
          <w:lang w:val="en-GB"/>
        </w:rPr>
        <w:t xml:space="preserve">is to place a defendant in a position to reasonably assess </w:t>
      </w:r>
      <w:r w:rsidR="009B7E03" w:rsidRPr="00D81BB2">
        <w:rPr>
          <w:szCs w:val="24"/>
          <w:lang w:val="en-GB"/>
        </w:rPr>
        <w:t xml:space="preserve">the quantum. Assess in context and the purpose of the sub-rule </w:t>
      </w:r>
      <w:r w:rsidR="003B2802" w:rsidRPr="00D81BB2">
        <w:rPr>
          <w:szCs w:val="24"/>
          <w:lang w:val="en-GB"/>
        </w:rPr>
        <w:t xml:space="preserve">is </w:t>
      </w:r>
      <w:r w:rsidR="00AF0919" w:rsidRPr="00D81BB2">
        <w:rPr>
          <w:szCs w:val="24"/>
          <w:lang w:val="en-GB"/>
        </w:rPr>
        <w:t>not</w:t>
      </w:r>
      <w:r w:rsidR="003B2802" w:rsidRPr="00D81BB2">
        <w:rPr>
          <w:szCs w:val="24"/>
          <w:lang w:val="en-GB"/>
        </w:rPr>
        <w:t xml:space="preserve"> to place the defendant in a </w:t>
      </w:r>
      <w:r w:rsidR="001C61E7" w:rsidRPr="00D81BB2">
        <w:rPr>
          <w:szCs w:val="24"/>
          <w:lang w:val="en-GB"/>
        </w:rPr>
        <w:t>position</w:t>
      </w:r>
      <w:r w:rsidR="003B2802" w:rsidRPr="00D81BB2">
        <w:rPr>
          <w:szCs w:val="24"/>
          <w:lang w:val="en-GB"/>
        </w:rPr>
        <w:t xml:space="preserve"> to </w:t>
      </w:r>
      <w:r w:rsidR="00FE56E7" w:rsidRPr="00D81BB2">
        <w:rPr>
          <w:szCs w:val="24"/>
          <w:lang w:val="en-GB"/>
        </w:rPr>
        <w:t xml:space="preserve">assess whether the plaintiff’s assessment is correct </w:t>
      </w:r>
      <w:r w:rsidR="00AF0919" w:rsidRPr="00D81BB2">
        <w:rPr>
          <w:szCs w:val="24"/>
          <w:lang w:val="en-GB"/>
        </w:rPr>
        <w:t>(</w:t>
      </w:r>
      <w:r w:rsidR="006C4A4C" w:rsidRPr="00D81BB2">
        <w:rPr>
          <w:szCs w:val="24"/>
          <w:lang w:val="en-GB"/>
        </w:rPr>
        <w:t>i.e.,</w:t>
      </w:r>
      <w:r w:rsidR="00AF0919" w:rsidRPr="00D81BB2">
        <w:rPr>
          <w:szCs w:val="24"/>
          <w:lang w:val="en-GB"/>
        </w:rPr>
        <w:t xml:space="preserve"> how did you get to this amount) </w:t>
      </w:r>
      <w:r w:rsidR="00FE56E7" w:rsidRPr="00D81BB2">
        <w:rPr>
          <w:szCs w:val="24"/>
          <w:lang w:val="en-GB"/>
        </w:rPr>
        <w:t xml:space="preserve">but rather an </w:t>
      </w:r>
      <w:r w:rsidR="001C61E7" w:rsidRPr="00D81BB2">
        <w:rPr>
          <w:szCs w:val="24"/>
          <w:lang w:val="en-GB"/>
        </w:rPr>
        <w:t>assessment</w:t>
      </w:r>
      <w:r w:rsidR="00FE56E7" w:rsidRPr="00D81BB2">
        <w:rPr>
          <w:szCs w:val="24"/>
          <w:lang w:val="en-GB"/>
        </w:rPr>
        <w:t xml:space="preserve"> </w:t>
      </w:r>
      <w:r w:rsidR="00755F27" w:rsidRPr="00D81BB2">
        <w:rPr>
          <w:szCs w:val="24"/>
          <w:lang w:val="en-GB"/>
        </w:rPr>
        <w:t xml:space="preserve">of </w:t>
      </w:r>
      <w:r w:rsidR="001C61E7" w:rsidRPr="00D81BB2">
        <w:rPr>
          <w:szCs w:val="24"/>
          <w:lang w:val="en-GB"/>
        </w:rPr>
        <w:t>t</w:t>
      </w:r>
      <w:r w:rsidR="00FE56E7" w:rsidRPr="00D81BB2">
        <w:rPr>
          <w:szCs w:val="24"/>
          <w:lang w:val="en-GB"/>
        </w:rPr>
        <w:t xml:space="preserve">he financial parameters of the claim the defendant is expected to defend. </w:t>
      </w:r>
    </w:p>
    <w:p w14:paraId="2426CC5A" w14:textId="1DFCD394" w:rsidR="00F81235"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[36]</w:t>
      </w:r>
      <w:r w:rsidRPr="00D81BB2">
        <w:rPr>
          <w:szCs w:val="24"/>
          <w:lang w:val="en-GB"/>
        </w:rPr>
        <w:tab/>
      </w:r>
      <w:r w:rsidR="00755F27" w:rsidRPr="00D81BB2">
        <w:rPr>
          <w:szCs w:val="24"/>
          <w:lang w:val="en-GB"/>
        </w:rPr>
        <w:t xml:space="preserve">A lack of particularity of how an amount is derived at does not strike at the absence of a cause of action nor insufficiency to sustain a claim </w:t>
      </w:r>
      <w:r w:rsidR="00A77A27" w:rsidRPr="00D81BB2">
        <w:rPr>
          <w:szCs w:val="24"/>
          <w:lang w:val="en-GB"/>
        </w:rPr>
        <w:t xml:space="preserve">but rather at </w:t>
      </w:r>
      <w:r w:rsidR="00AF0919" w:rsidRPr="00D81BB2">
        <w:rPr>
          <w:szCs w:val="24"/>
          <w:lang w:val="en-GB"/>
        </w:rPr>
        <w:t xml:space="preserve">the possibility of </w:t>
      </w:r>
      <w:r w:rsidR="00A77A27" w:rsidRPr="00D81BB2">
        <w:rPr>
          <w:szCs w:val="24"/>
          <w:lang w:val="en-GB"/>
        </w:rPr>
        <w:t xml:space="preserve">incompleteness in the formulation </w:t>
      </w:r>
      <w:r w:rsidR="006C4A4C" w:rsidRPr="00D81BB2">
        <w:rPr>
          <w:szCs w:val="24"/>
          <w:lang w:val="en-GB"/>
        </w:rPr>
        <w:t>thereof.</w:t>
      </w:r>
      <w:r w:rsidR="00AF0919" w:rsidRPr="00D81BB2">
        <w:rPr>
          <w:szCs w:val="24"/>
          <w:lang w:val="en-GB"/>
        </w:rPr>
        <w:t xml:space="preserve"> </w:t>
      </w:r>
      <w:r w:rsidR="002723AB">
        <w:rPr>
          <w:szCs w:val="24"/>
          <w:lang w:val="en-GB"/>
        </w:rPr>
        <w:t>The latter</w:t>
      </w:r>
      <w:r w:rsidR="00AF0919" w:rsidRPr="00D81BB2">
        <w:rPr>
          <w:szCs w:val="24"/>
          <w:lang w:val="en-GB"/>
        </w:rPr>
        <w:t xml:space="preserve"> is not the complaint raised in the excipient’s notice </w:t>
      </w:r>
      <w:r w:rsidR="00755F27" w:rsidRPr="00D81BB2">
        <w:rPr>
          <w:szCs w:val="24"/>
          <w:lang w:val="en-GB"/>
        </w:rPr>
        <w:t>and as a consequence</w:t>
      </w:r>
      <w:r w:rsidR="00AF0919" w:rsidRPr="00D81BB2">
        <w:rPr>
          <w:szCs w:val="24"/>
          <w:lang w:val="en-GB"/>
        </w:rPr>
        <w:t>,</w:t>
      </w:r>
      <w:r w:rsidR="00755F27" w:rsidRPr="00D81BB2">
        <w:rPr>
          <w:szCs w:val="24"/>
          <w:lang w:val="en-GB"/>
        </w:rPr>
        <w:t xml:space="preserve"> </w:t>
      </w:r>
      <w:r w:rsidR="00504951" w:rsidRPr="00D81BB2">
        <w:rPr>
          <w:szCs w:val="24"/>
          <w:lang w:val="en-GB"/>
        </w:rPr>
        <w:t xml:space="preserve">the excipient’s </w:t>
      </w:r>
      <w:r w:rsidR="00AF0919" w:rsidRPr="00D81BB2">
        <w:rPr>
          <w:szCs w:val="24"/>
          <w:lang w:val="en-GB"/>
        </w:rPr>
        <w:t xml:space="preserve">seventh </w:t>
      </w:r>
      <w:r w:rsidR="00755F27" w:rsidRPr="00D81BB2">
        <w:rPr>
          <w:szCs w:val="24"/>
          <w:lang w:val="en-GB"/>
        </w:rPr>
        <w:t>ground must fail.</w:t>
      </w:r>
    </w:p>
    <w:p w14:paraId="5814E388" w14:textId="432C8526" w:rsidR="002D1C8A" w:rsidRPr="00D81BB2" w:rsidRDefault="009B25C9" w:rsidP="009B25C9">
      <w:pPr>
        <w:pStyle w:val="RetiefPleadingpara1"/>
        <w:numPr>
          <w:ilvl w:val="0"/>
          <w:numId w:val="0"/>
        </w:numPr>
        <w:tabs>
          <w:tab w:val="left" w:pos="851"/>
        </w:tabs>
        <w:spacing w:before="480" w:after="480"/>
        <w:rPr>
          <w:szCs w:val="24"/>
          <w:lang w:val="en-GB"/>
        </w:rPr>
      </w:pPr>
      <w:r w:rsidRPr="00D81BB2">
        <w:rPr>
          <w:szCs w:val="24"/>
          <w:lang w:val="en-GB"/>
        </w:rPr>
        <w:t>[37]</w:t>
      </w:r>
      <w:r w:rsidRPr="00D81BB2">
        <w:rPr>
          <w:szCs w:val="24"/>
          <w:lang w:val="en-GB"/>
        </w:rPr>
        <w:tab/>
      </w:r>
      <w:r w:rsidR="002723AB">
        <w:rPr>
          <w:szCs w:val="24"/>
          <w:lang w:val="en-GB"/>
        </w:rPr>
        <w:t>It is inescapable that t</w:t>
      </w:r>
      <w:r w:rsidR="0016323A" w:rsidRPr="00D81BB2">
        <w:rPr>
          <w:szCs w:val="24"/>
          <w:lang w:val="en-GB"/>
        </w:rPr>
        <w:t xml:space="preserve">he following </w:t>
      </w:r>
      <w:r w:rsidR="00880042">
        <w:rPr>
          <w:szCs w:val="24"/>
          <w:lang w:val="en-GB"/>
        </w:rPr>
        <w:t xml:space="preserve">order </w:t>
      </w:r>
      <w:r w:rsidR="00AF0919" w:rsidRPr="00D81BB2">
        <w:rPr>
          <w:szCs w:val="24"/>
          <w:lang w:val="en-GB"/>
        </w:rPr>
        <w:t xml:space="preserve">is </w:t>
      </w:r>
      <w:r w:rsidR="000E0994" w:rsidRPr="00D81BB2">
        <w:rPr>
          <w:szCs w:val="24"/>
          <w:lang w:val="en-GB"/>
        </w:rPr>
        <w:t>made</w:t>
      </w:r>
      <w:r w:rsidR="00AF0919" w:rsidRPr="00D81BB2">
        <w:rPr>
          <w:szCs w:val="24"/>
          <w:lang w:val="en-GB"/>
        </w:rPr>
        <w:t>:</w:t>
      </w:r>
    </w:p>
    <w:p w14:paraId="0065C3DD" w14:textId="0A3BBC88" w:rsidR="002D1C8A" w:rsidRPr="00D81BB2" w:rsidRDefault="002D1C8A" w:rsidP="002D1C8A">
      <w:pPr>
        <w:pStyle w:val="RetiefPleadingpara1"/>
        <w:numPr>
          <w:ilvl w:val="0"/>
          <w:numId w:val="0"/>
        </w:numPr>
        <w:tabs>
          <w:tab w:val="left" w:pos="851"/>
        </w:tabs>
        <w:spacing w:before="480" w:after="480"/>
        <w:rPr>
          <w:szCs w:val="24"/>
          <w:lang w:val="en-GB"/>
        </w:rPr>
      </w:pPr>
      <w:r w:rsidRPr="00D81BB2">
        <w:rPr>
          <w:lang w:val="en-GB"/>
        </w:rPr>
        <w:tab/>
        <w:t xml:space="preserve">1. The first defendant’s exception is dismissed with </w:t>
      </w:r>
      <w:r w:rsidR="006C4A4C" w:rsidRPr="00D81BB2">
        <w:rPr>
          <w:lang w:val="en-GB"/>
        </w:rPr>
        <w:t>costs.</w:t>
      </w:r>
      <w:r w:rsidRPr="00D81BB2">
        <w:rPr>
          <w:lang w:val="en-GB"/>
        </w:rPr>
        <w:t xml:space="preserve"> </w:t>
      </w:r>
    </w:p>
    <w:p w14:paraId="5B179C3F" w14:textId="44A9DA67" w:rsidR="002D1C8A" w:rsidRPr="00D81BB2" w:rsidRDefault="009B25C9" w:rsidP="009B25C9">
      <w:pPr>
        <w:pStyle w:val="WestPleadingpara1"/>
        <w:tabs>
          <w:tab w:val="clear" w:pos="567"/>
          <w:tab w:val="left" w:pos="851"/>
        </w:tabs>
        <w:ind w:left="1220" w:hanging="360"/>
      </w:pPr>
      <w:r w:rsidRPr="00D81BB2">
        <w:t>2.</w:t>
      </w:r>
      <w:r w:rsidRPr="00D81BB2">
        <w:tab/>
      </w:r>
      <w:r w:rsidR="002D1C8A" w:rsidRPr="00D81BB2">
        <w:t>The costs referred to in prayer 1 are to include the cost of two counsel.</w:t>
      </w:r>
    </w:p>
    <w:p w14:paraId="654561C5" w14:textId="12F5C770" w:rsidR="0076589A" w:rsidRPr="00D81BB2" w:rsidRDefault="0076589A" w:rsidP="007E74E3">
      <w:pPr>
        <w:tabs>
          <w:tab w:val="left" w:pos="5103"/>
        </w:tabs>
        <w:ind w:right="-125"/>
        <w:jc w:val="both"/>
        <w:rPr>
          <w:rFonts w:ascii="Arial" w:hAnsi="Arial" w:cs="Arial"/>
          <w:lang w:val="en-GB"/>
        </w:rPr>
      </w:pPr>
    </w:p>
    <w:p w14:paraId="79F0DE3D" w14:textId="77777777" w:rsidR="006B7E79" w:rsidRPr="00D81BB2" w:rsidRDefault="006B7E79" w:rsidP="007E74E3">
      <w:pPr>
        <w:tabs>
          <w:tab w:val="left" w:pos="5103"/>
        </w:tabs>
        <w:ind w:right="-125"/>
        <w:jc w:val="both"/>
        <w:rPr>
          <w:rFonts w:ascii="Arial" w:hAnsi="Arial" w:cs="Arial"/>
          <w:lang w:val="en-GB"/>
        </w:rPr>
      </w:pPr>
    </w:p>
    <w:p w14:paraId="31C4B668" w14:textId="0B129B49" w:rsidR="0076589A" w:rsidRPr="00D81BB2" w:rsidRDefault="0076589A" w:rsidP="001D6242">
      <w:pPr>
        <w:tabs>
          <w:tab w:val="left" w:pos="5103"/>
        </w:tabs>
        <w:spacing w:line="480" w:lineRule="auto"/>
        <w:ind w:right="-125"/>
        <w:jc w:val="both"/>
        <w:rPr>
          <w:rFonts w:ascii="Arial" w:hAnsi="Arial" w:cs="Arial"/>
          <w:lang w:val="en-GB"/>
        </w:rPr>
      </w:pPr>
    </w:p>
    <w:p w14:paraId="63DBF2C5" w14:textId="3906769A" w:rsidR="001D6242" w:rsidRPr="00D81BB2" w:rsidRDefault="005E7F5D" w:rsidP="001D6242">
      <w:pPr>
        <w:tabs>
          <w:tab w:val="left" w:pos="5103"/>
        </w:tabs>
        <w:spacing w:line="480" w:lineRule="auto"/>
        <w:ind w:right="-125"/>
        <w:jc w:val="both"/>
        <w:rPr>
          <w:rFonts w:ascii="Arial" w:hAnsi="Arial" w:cs="Arial"/>
          <w:lang w:val="en-GB"/>
        </w:rPr>
      </w:pPr>
      <w:r w:rsidRPr="00D81BB2">
        <w:rPr>
          <w:rFonts w:ascii="Arial" w:hAnsi="Arial" w:cs="Arial"/>
          <w:lang w:val="en-GB"/>
        </w:rPr>
        <w:tab/>
        <w:t>____________</w:t>
      </w:r>
    </w:p>
    <w:p w14:paraId="62968693" w14:textId="77777777" w:rsidR="0076589A" w:rsidRPr="00D81BB2" w:rsidRDefault="0076589A" w:rsidP="001D6242">
      <w:pPr>
        <w:tabs>
          <w:tab w:val="left" w:pos="5103"/>
        </w:tabs>
        <w:spacing w:line="360" w:lineRule="auto"/>
        <w:ind w:right="-125"/>
        <w:jc w:val="both"/>
        <w:rPr>
          <w:rFonts w:ascii="Arial" w:hAnsi="Arial" w:cs="Arial"/>
          <w:b/>
          <w:bCs/>
          <w:lang w:val="en-GB"/>
        </w:rPr>
      </w:pPr>
      <w:r w:rsidRPr="00D81BB2">
        <w:rPr>
          <w:rFonts w:ascii="Arial" w:hAnsi="Arial" w:cs="Arial"/>
          <w:lang w:val="en-GB"/>
        </w:rPr>
        <w:tab/>
      </w:r>
      <w:r w:rsidRPr="00D81BB2">
        <w:rPr>
          <w:rFonts w:ascii="Arial" w:hAnsi="Arial" w:cs="Arial"/>
          <w:b/>
          <w:bCs/>
          <w:lang w:val="en-GB"/>
        </w:rPr>
        <w:t>L.A. RETIEF</w:t>
      </w:r>
    </w:p>
    <w:p w14:paraId="43B5AA97" w14:textId="77777777" w:rsidR="0076589A" w:rsidRPr="00D81BB2" w:rsidRDefault="0076589A" w:rsidP="001D6242">
      <w:pPr>
        <w:tabs>
          <w:tab w:val="left" w:pos="5103"/>
        </w:tabs>
        <w:spacing w:line="360" w:lineRule="auto"/>
        <w:ind w:left="5103" w:right="-125"/>
        <w:jc w:val="both"/>
        <w:rPr>
          <w:rFonts w:ascii="Arial" w:hAnsi="Arial" w:cs="Arial"/>
          <w:b/>
          <w:bCs/>
          <w:lang w:val="en-GB"/>
        </w:rPr>
      </w:pPr>
      <w:r w:rsidRPr="00D81BB2">
        <w:rPr>
          <w:rFonts w:ascii="Arial" w:hAnsi="Arial" w:cs="Arial"/>
          <w:lang w:val="en-GB"/>
        </w:rPr>
        <w:tab/>
      </w:r>
      <w:r w:rsidRPr="00D81BB2">
        <w:rPr>
          <w:rFonts w:ascii="Arial" w:hAnsi="Arial" w:cs="Arial"/>
          <w:b/>
          <w:bCs/>
          <w:lang w:val="en-GB"/>
        </w:rPr>
        <w:t>Acting Judge of the High Court, Pretoria</w:t>
      </w:r>
    </w:p>
    <w:p w14:paraId="2B5E3FFE" w14:textId="0058CC47" w:rsidR="0076589A" w:rsidRPr="00D81BB2" w:rsidRDefault="0076589A" w:rsidP="001D6242">
      <w:pPr>
        <w:tabs>
          <w:tab w:val="left" w:pos="5103"/>
        </w:tabs>
        <w:spacing w:line="360" w:lineRule="auto"/>
        <w:ind w:right="-125"/>
        <w:jc w:val="both"/>
        <w:rPr>
          <w:rFonts w:ascii="Arial" w:hAnsi="Arial" w:cs="Arial"/>
          <w:lang w:val="en-GB"/>
        </w:rPr>
      </w:pPr>
    </w:p>
    <w:p w14:paraId="32D422BC" w14:textId="77777777" w:rsidR="0016323A" w:rsidRPr="00D81BB2" w:rsidRDefault="0016323A" w:rsidP="0016323A">
      <w:pPr>
        <w:snapToGrid w:val="0"/>
        <w:spacing w:line="360" w:lineRule="auto"/>
        <w:rPr>
          <w:rFonts w:ascii="Arial" w:hAnsi="Arial"/>
          <w:b/>
          <w:bCs/>
          <w:lang w:val="en-GB"/>
        </w:rPr>
      </w:pPr>
      <w:r w:rsidRPr="00D81BB2">
        <w:rPr>
          <w:rFonts w:ascii="Arial" w:hAnsi="Arial"/>
          <w:b/>
          <w:bCs/>
          <w:u w:val="single"/>
          <w:lang w:val="en-GB"/>
        </w:rPr>
        <w:t>Appearances for the Plaintiff</w:t>
      </w:r>
      <w:r w:rsidRPr="00D81BB2">
        <w:rPr>
          <w:rFonts w:ascii="Arial" w:hAnsi="Arial"/>
          <w:b/>
          <w:bCs/>
          <w:lang w:val="en-GB"/>
        </w:rPr>
        <w:t>:</w:t>
      </w:r>
    </w:p>
    <w:p w14:paraId="0F456130" w14:textId="77777777" w:rsidR="0016323A" w:rsidRPr="00D81BB2" w:rsidRDefault="0016323A" w:rsidP="0016323A">
      <w:pPr>
        <w:snapToGrid w:val="0"/>
        <w:spacing w:line="360" w:lineRule="auto"/>
        <w:rPr>
          <w:rFonts w:ascii="Arial" w:hAnsi="Arial"/>
          <w:lang w:val="en-GB"/>
        </w:rPr>
      </w:pPr>
    </w:p>
    <w:p w14:paraId="73AE3A13" w14:textId="48BF09AE" w:rsidR="0016323A" w:rsidRPr="00D81BB2" w:rsidRDefault="0016323A" w:rsidP="0016323A">
      <w:pPr>
        <w:tabs>
          <w:tab w:val="left" w:pos="3402"/>
        </w:tabs>
        <w:snapToGrid w:val="0"/>
        <w:spacing w:line="360" w:lineRule="auto"/>
        <w:ind w:left="3402" w:hanging="3402"/>
        <w:rPr>
          <w:rFonts w:ascii="Arial" w:hAnsi="Arial"/>
          <w:lang w:val="en-GB"/>
        </w:rPr>
      </w:pPr>
      <w:r w:rsidRPr="00D81BB2">
        <w:rPr>
          <w:rFonts w:ascii="Arial" w:hAnsi="Arial"/>
          <w:lang w:val="en-GB"/>
        </w:rPr>
        <w:t>Counsel for Plaintiff:</w:t>
      </w:r>
      <w:r w:rsidRPr="00D81BB2">
        <w:rPr>
          <w:rFonts w:ascii="Arial" w:hAnsi="Arial"/>
          <w:lang w:val="en-GB"/>
        </w:rPr>
        <w:tab/>
        <w:t>Adv A.E. Franklin SC</w:t>
      </w:r>
    </w:p>
    <w:p w14:paraId="63E3222A" w14:textId="7F96B403" w:rsidR="0016323A" w:rsidRPr="00D81BB2" w:rsidRDefault="0016323A" w:rsidP="0016323A">
      <w:pPr>
        <w:tabs>
          <w:tab w:val="left" w:pos="3402"/>
        </w:tabs>
        <w:snapToGrid w:val="0"/>
        <w:spacing w:line="360" w:lineRule="auto"/>
        <w:ind w:left="3402" w:hanging="3402"/>
        <w:rPr>
          <w:rFonts w:ascii="Arial" w:hAnsi="Arial"/>
          <w:lang w:val="en-GB"/>
        </w:rPr>
      </w:pPr>
      <w:r w:rsidRPr="00D81BB2">
        <w:rPr>
          <w:rFonts w:ascii="Arial" w:hAnsi="Arial"/>
          <w:lang w:val="en-GB"/>
        </w:rPr>
        <w:tab/>
        <w:t xml:space="preserve">Cell: </w:t>
      </w:r>
      <w:r w:rsidRPr="00D81BB2">
        <w:rPr>
          <w:rFonts w:ascii="Arial" w:hAnsi="Arial" w:cs="Arial"/>
          <w:lang w:val="en-GB"/>
        </w:rPr>
        <w:t>083 600 0388</w:t>
      </w:r>
    </w:p>
    <w:p w14:paraId="7DF6E5F8" w14:textId="77777777" w:rsidR="0016323A" w:rsidRPr="00D81BB2" w:rsidRDefault="0016323A" w:rsidP="0016323A">
      <w:pPr>
        <w:tabs>
          <w:tab w:val="left" w:pos="3402"/>
        </w:tabs>
        <w:snapToGrid w:val="0"/>
        <w:spacing w:line="360" w:lineRule="auto"/>
        <w:ind w:left="3402" w:hanging="3402"/>
        <w:rPr>
          <w:rFonts w:ascii="Arial" w:hAnsi="Arial"/>
          <w:lang w:val="en-GB"/>
        </w:rPr>
      </w:pPr>
      <w:r w:rsidRPr="00D81BB2">
        <w:rPr>
          <w:rFonts w:ascii="Arial" w:hAnsi="Arial"/>
          <w:lang w:val="en-GB"/>
        </w:rPr>
        <w:tab/>
        <w:t>Adv L. Makapela</w:t>
      </w:r>
    </w:p>
    <w:p w14:paraId="03E15575" w14:textId="77777777" w:rsidR="0016323A" w:rsidRPr="00D81BB2" w:rsidRDefault="0016323A" w:rsidP="0016323A">
      <w:pPr>
        <w:tabs>
          <w:tab w:val="left" w:pos="3402"/>
        </w:tabs>
        <w:snapToGrid w:val="0"/>
        <w:spacing w:line="360" w:lineRule="auto"/>
        <w:ind w:left="3402" w:hanging="3402"/>
        <w:rPr>
          <w:rFonts w:ascii="Arial" w:hAnsi="Arial"/>
          <w:lang w:val="en-GB"/>
        </w:rPr>
      </w:pPr>
    </w:p>
    <w:p w14:paraId="76980E71" w14:textId="77777777" w:rsidR="0016323A" w:rsidRPr="00D81BB2" w:rsidRDefault="0016323A" w:rsidP="0016323A">
      <w:pPr>
        <w:tabs>
          <w:tab w:val="left" w:pos="3402"/>
        </w:tabs>
        <w:snapToGrid w:val="0"/>
        <w:spacing w:line="360" w:lineRule="auto"/>
        <w:ind w:left="3402" w:hanging="3402"/>
        <w:rPr>
          <w:rFonts w:ascii="Arial" w:hAnsi="Arial"/>
          <w:lang w:val="en-GB"/>
        </w:rPr>
      </w:pPr>
      <w:r w:rsidRPr="00D81BB2">
        <w:rPr>
          <w:rFonts w:ascii="Arial" w:hAnsi="Arial"/>
          <w:lang w:val="en-GB"/>
        </w:rPr>
        <w:t>Attorney for Plaintiff:</w:t>
      </w:r>
      <w:r w:rsidRPr="00D81BB2">
        <w:rPr>
          <w:rFonts w:ascii="Arial" w:hAnsi="Arial"/>
          <w:lang w:val="en-GB"/>
        </w:rPr>
        <w:tab/>
        <w:t xml:space="preserve">Cliffe Dekker Hofmeyr Incorporated </w:t>
      </w:r>
    </w:p>
    <w:p w14:paraId="426EF3F2" w14:textId="765BE4BD" w:rsidR="0016323A" w:rsidRPr="00D81BB2" w:rsidRDefault="0016323A" w:rsidP="0016323A">
      <w:pPr>
        <w:tabs>
          <w:tab w:val="left" w:pos="3402"/>
        </w:tabs>
        <w:snapToGrid w:val="0"/>
        <w:spacing w:line="360" w:lineRule="auto"/>
        <w:ind w:left="3402" w:hanging="3402"/>
        <w:rPr>
          <w:rFonts w:ascii="Arial" w:hAnsi="Arial"/>
          <w:lang w:val="en-GB"/>
        </w:rPr>
      </w:pPr>
      <w:r w:rsidRPr="00D81BB2">
        <w:rPr>
          <w:rFonts w:ascii="Arial" w:hAnsi="Arial"/>
          <w:lang w:val="en-GB"/>
        </w:rPr>
        <w:tab/>
        <w:t>Ref: TP</w:t>
      </w:r>
      <w:r w:rsidR="00D81BB2">
        <w:rPr>
          <w:rFonts w:ascii="Arial" w:hAnsi="Arial"/>
          <w:lang w:val="en-GB"/>
        </w:rPr>
        <w:t xml:space="preserve"> </w:t>
      </w:r>
      <w:r w:rsidRPr="00D81BB2">
        <w:rPr>
          <w:rFonts w:ascii="Arial" w:hAnsi="Arial"/>
          <w:lang w:val="en-GB"/>
        </w:rPr>
        <w:t>Smit/02026441</w:t>
      </w:r>
    </w:p>
    <w:p w14:paraId="35915E29" w14:textId="77777777" w:rsidR="0016323A" w:rsidRPr="00D81BB2" w:rsidRDefault="0016323A" w:rsidP="0016323A">
      <w:pPr>
        <w:tabs>
          <w:tab w:val="left" w:pos="3402"/>
        </w:tabs>
        <w:snapToGrid w:val="0"/>
        <w:spacing w:line="360" w:lineRule="auto"/>
        <w:ind w:left="3402" w:hanging="3402"/>
        <w:rPr>
          <w:rFonts w:ascii="Arial" w:hAnsi="Arial"/>
          <w:lang w:val="en-GB"/>
        </w:rPr>
      </w:pPr>
      <w:r w:rsidRPr="00D81BB2">
        <w:rPr>
          <w:rFonts w:ascii="Arial" w:hAnsi="Arial"/>
          <w:lang w:val="en-GB"/>
        </w:rPr>
        <w:tab/>
        <w:t>Email: tim.smit@cdhlegal.com</w:t>
      </w:r>
    </w:p>
    <w:p w14:paraId="24D61D2B" w14:textId="77777777" w:rsidR="0016323A" w:rsidRPr="00D81BB2" w:rsidRDefault="0016323A" w:rsidP="0016323A">
      <w:pPr>
        <w:tabs>
          <w:tab w:val="left" w:pos="2835"/>
        </w:tabs>
        <w:snapToGrid w:val="0"/>
        <w:spacing w:line="360" w:lineRule="auto"/>
        <w:ind w:left="2835" w:hanging="2835"/>
        <w:rPr>
          <w:rFonts w:ascii="Arial" w:hAnsi="Arial"/>
          <w:lang w:val="en-GB"/>
        </w:rPr>
      </w:pPr>
    </w:p>
    <w:p w14:paraId="4529BF08" w14:textId="218A2234" w:rsidR="0016323A" w:rsidRPr="00D81BB2" w:rsidRDefault="0016323A" w:rsidP="0016323A">
      <w:pPr>
        <w:snapToGrid w:val="0"/>
        <w:spacing w:line="360" w:lineRule="auto"/>
        <w:rPr>
          <w:rFonts w:ascii="Arial" w:hAnsi="Arial"/>
          <w:b/>
          <w:bCs/>
          <w:lang w:val="en-GB"/>
        </w:rPr>
      </w:pPr>
      <w:r w:rsidRPr="00D81BB2">
        <w:rPr>
          <w:rFonts w:ascii="Arial" w:hAnsi="Arial"/>
          <w:b/>
          <w:bCs/>
          <w:u w:val="single"/>
          <w:lang w:val="en-GB"/>
        </w:rPr>
        <w:t>Appearances for the Excipient / First Defendant</w:t>
      </w:r>
      <w:r w:rsidRPr="00D81BB2">
        <w:rPr>
          <w:rFonts w:ascii="Arial" w:hAnsi="Arial"/>
          <w:b/>
          <w:bCs/>
          <w:lang w:val="en-GB"/>
        </w:rPr>
        <w:t>:</w:t>
      </w:r>
    </w:p>
    <w:p w14:paraId="6D926986" w14:textId="77777777" w:rsidR="0016323A" w:rsidRPr="00D81BB2" w:rsidRDefault="0016323A" w:rsidP="0016323A">
      <w:pPr>
        <w:snapToGrid w:val="0"/>
        <w:spacing w:line="360" w:lineRule="auto"/>
        <w:rPr>
          <w:rFonts w:ascii="Arial" w:hAnsi="Arial"/>
          <w:lang w:val="en-GB"/>
        </w:rPr>
      </w:pPr>
    </w:p>
    <w:p w14:paraId="24E72ECB" w14:textId="4B4EE76D" w:rsidR="0016323A" w:rsidRPr="00D81BB2" w:rsidRDefault="0016323A" w:rsidP="0016323A">
      <w:pPr>
        <w:tabs>
          <w:tab w:val="left" w:pos="3402"/>
        </w:tabs>
        <w:snapToGrid w:val="0"/>
        <w:spacing w:line="360" w:lineRule="auto"/>
        <w:ind w:left="3402" w:hanging="3402"/>
        <w:rPr>
          <w:rFonts w:ascii="Arial" w:hAnsi="Arial"/>
          <w:lang w:val="en-GB"/>
        </w:rPr>
      </w:pPr>
      <w:r w:rsidRPr="00D81BB2">
        <w:rPr>
          <w:rFonts w:ascii="Arial" w:hAnsi="Arial"/>
          <w:lang w:val="en-GB"/>
        </w:rPr>
        <w:t>Counsel for First Defendant:</w:t>
      </w:r>
      <w:r w:rsidRPr="00D81BB2">
        <w:rPr>
          <w:rFonts w:ascii="Arial" w:hAnsi="Arial"/>
          <w:lang w:val="en-GB"/>
        </w:rPr>
        <w:tab/>
        <w:t>Adv G.W. Amm</w:t>
      </w:r>
    </w:p>
    <w:p w14:paraId="2D1125D4" w14:textId="7B2BE853" w:rsidR="0016323A" w:rsidRPr="00D81BB2" w:rsidRDefault="0016323A" w:rsidP="0016323A">
      <w:pPr>
        <w:tabs>
          <w:tab w:val="left" w:pos="3402"/>
        </w:tabs>
        <w:snapToGrid w:val="0"/>
        <w:spacing w:line="360" w:lineRule="auto"/>
        <w:ind w:left="3402" w:hanging="3402"/>
        <w:rPr>
          <w:rFonts w:ascii="Arial" w:hAnsi="Arial"/>
          <w:lang w:val="en-GB"/>
        </w:rPr>
      </w:pPr>
      <w:r w:rsidRPr="00D81BB2">
        <w:rPr>
          <w:rFonts w:ascii="Arial" w:hAnsi="Arial"/>
          <w:lang w:val="en-GB"/>
        </w:rPr>
        <w:tab/>
        <w:t xml:space="preserve">Cell: </w:t>
      </w:r>
      <w:r w:rsidRPr="00D81BB2">
        <w:rPr>
          <w:rFonts w:ascii="Arial" w:hAnsi="Arial" w:cs="Arial"/>
          <w:lang w:val="en-GB"/>
        </w:rPr>
        <w:t>082 287 5800</w:t>
      </w:r>
    </w:p>
    <w:p w14:paraId="53FAF7FD" w14:textId="77777777" w:rsidR="0016323A" w:rsidRDefault="0016323A" w:rsidP="0016323A">
      <w:pPr>
        <w:tabs>
          <w:tab w:val="left" w:pos="2835"/>
        </w:tabs>
        <w:snapToGrid w:val="0"/>
        <w:spacing w:line="360" w:lineRule="auto"/>
        <w:ind w:left="2835" w:hanging="2835"/>
        <w:rPr>
          <w:rFonts w:ascii="Arial" w:hAnsi="Arial"/>
          <w:lang w:val="en-US"/>
        </w:rPr>
      </w:pPr>
    </w:p>
    <w:p w14:paraId="5E08815F" w14:textId="77777777" w:rsidR="0016323A" w:rsidRDefault="0016323A" w:rsidP="0016323A">
      <w:pPr>
        <w:tabs>
          <w:tab w:val="left" w:pos="3402"/>
        </w:tabs>
        <w:snapToGrid w:val="0"/>
        <w:spacing w:line="360" w:lineRule="auto"/>
        <w:ind w:left="3402" w:hanging="3402"/>
        <w:rPr>
          <w:rFonts w:ascii="Arial" w:hAnsi="Arial"/>
          <w:lang w:val="en-US"/>
        </w:rPr>
      </w:pPr>
      <w:r>
        <w:rPr>
          <w:rFonts w:ascii="Arial" w:hAnsi="Arial"/>
          <w:lang w:val="en-US"/>
        </w:rPr>
        <w:t>Attorney for First Defendant:</w:t>
      </w:r>
      <w:r>
        <w:rPr>
          <w:rFonts w:ascii="Arial" w:hAnsi="Arial"/>
          <w:lang w:val="en-US"/>
        </w:rPr>
        <w:tab/>
        <w:t xml:space="preserve">Lowndes Dlamini </w:t>
      </w:r>
    </w:p>
    <w:p w14:paraId="0757F8E6" w14:textId="77777777" w:rsidR="0016323A" w:rsidRDefault="0016323A" w:rsidP="0016323A">
      <w:pPr>
        <w:tabs>
          <w:tab w:val="left" w:pos="3402"/>
        </w:tabs>
        <w:snapToGrid w:val="0"/>
        <w:spacing w:line="360" w:lineRule="auto"/>
        <w:ind w:left="3402" w:hanging="3402"/>
        <w:rPr>
          <w:rFonts w:ascii="Arial" w:hAnsi="Arial"/>
          <w:lang w:val="en-US"/>
        </w:rPr>
      </w:pPr>
      <w:r>
        <w:rPr>
          <w:rFonts w:ascii="Arial" w:hAnsi="Arial"/>
          <w:lang w:val="en-US"/>
        </w:rPr>
        <w:tab/>
        <w:t>Ref: Ms. A. Wright/tm/MAT28183</w:t>
      </w:r>
    </w:p>
    <w:p w14:paraId="54F44BCC" w14:textId="77777777" w:rsidR="0016323A" w:rsidRDefault="0016323A" w:rsidP="0016323A">
      <w:pPr>
        <w:tabs>
          <w:tab w:val="left" w:pos="3402"/>
        </w:tabs>
        <w:snapToGrid w:val="0"/>
        <w:spacing w:line="360" w:lineRule="auto"/>
        <w:ind w:left="3402" w:hanging="3402"/>
        <w:rPr>
          <w:rFonts w:ascii="Arial" w:hAnsi="Arial"/>
          <w:lang w:val="en-US"/>
        </w:rPr>
      </w:pPr>
      <w:r>
        <w:rPr>
          <w:rFonts w:ascii="Arial" w:hAnsi="Arial"/>
          <w:lang w:val="en-US"/>
        </w:rPr>
        <w:tab/>
        <w:t>Email: alex@lowndes.co.za</w:t>
      </w:r>
    </w:p>
    <w:p w14:paraId="0EBF6107" w14:textId="77777777" w:rsidR="00C602FF" w:rsidRDefault="00C602FF" w:rsidP="001D6242">
      <w:pPr>
        <w:tabs>
          <w:tab w:val="left" w:pos="4536"/>
        </w:tabs>
        <w:spacing w:line="360" w:lineRule="auto"/>
        <w:ind w:left="4536" w:right="-125" w:hanging="4536"/>
        <w:jc w:val="both"/>
        <w:rPr>
          <w:rFonts w:ascii="Arial" w:hAnsi="Arial" w:cs="Arial"/>
        </w:rPr>
      </w:pPr>
      <w:r>
        <w:rPr>
          <w:rFonts w:ascii="Arial" w:hAnsi="Arial" w:cs="Arial"/>
        </w:rPr>
        <w:tab/>
      </w:r>
    </w:p>
    <w:p w14:paraId="5DE0451F" w14:textId="1579412C" w:rsidR="007E74E3" w:rsidRDefault="00C602FF" w:rsidP="001D6242">
      <w:pPr>
        <w:tabs>
          <w:tab w:val="left" w:pos="2835"/>
        </w:tabs>
        <w:spacing w:line="360" w:lineRule="auto"/>
        <w:ind w:right="-125"/>
        <w:jc w:val="both"/>
        <w:rPr>
          <w:rFonts w:ascii="Arial" w:hAnsi="Arial" w:cs="Arial"/>
        </w:rPr>
      </w:pPr>
      <w:r>
        <w:rPr>
          <w:rFonts w:ascii="Arial" w:hAnsi="Arial" w:cs="Arial"/>
        </w:rPr>
        <w:t xml:space="preserve">Date of argument: </w:t>
      </w:r>
      <w:r>
        <w:rPr>
          <w:rFonts w:ascii="Arial" w:hAnsi="Arial" w:cs="Arial"/>
        </w:rPr>
        <w:tab/>
      </w:r>
      <w:r w:rsidR="002D1C8A">
        <w:rPr>
          <w:rFonts w:ascii="Arial" w:hAnsi="Arial" w:cs="Arial"/>
        </w:rPr>
        <w:t>17 October 2022</w:t>
      </w:r>
      <w:r>
        <w:rPr>
          <w:rFonts w:ascii="Arial" w:hAnsi="Arial" w:cs="Arial"/>
        </w:rPr>
        <w:t xml:space="preserve"> </w:t>
      </w:r>
    </w:p>
    <w:p w14:paraId="3738BCD1" w14:textId="34840FC4" w:rsidR="00C602FF" w:rsidRDefault="00C602FF" w:rsidP="001D6242">
      <w:pPr>
        <w:tabs>
          <w:tab w:val="left" w:pos="2835"/>
        </w:tabs>
        <w:spacing w:line="360" w:lineRule="auto"/>
        <w:ind w:right="-125"/>
        <w:jc w:val="both"/>
        <w:rPr>
          <w:rFonts w:ascii="Arial" w:hAnsi="Arial" w:cs="Arial"/>
        </w:rPr>
      </w:pPr>
      <w:r>
        <w:rPr>
          <w:rFonts w:ascii="Arial" w:hAnsi="Arial" w:cs="Arial"/>
        </w:rPr>
        <w:t>Date of judgment:</w:t>
      </w:r>
      <w:r>
        <w:rPr>
          <w:rFonts w:ascii="Arial" w:hAnsi="Arial" w:cs="Arial"/>
        </w:rPr>
        <w:tab/>
      </w:r>
      <w:r>
        <w:rPr>
          <w:rFonts w:ascii="Arial" w:hAnsi="Arial" w:cs="Arial"/>
        </w:rPr>
        <w:tab/>
      </w:r>
      <w:r w:rsidR="002D1C8A">
        <w:rPr>
          <w:rFonts w:ascii="Arial" w:hAnsi="Arial" w:cs="Arial"/>
        </w:rPr>
        <w:t>21 October 2022</w:t>
      </w:r>
      <w:r>
        <w:rPr>
          <w:rFonts w:ascii="Arial" w:hAnsi="Arial" w:cs="Arial"/>
        </w:rPr>
        <w:t xml:space="preserve"> </w:t>
      </w:r>
    </w:p>
    <w:p w14:paraId="1312DC4A" w14:textId="601EB493" w:rsidR="0016323A" w:rsidRDefault="0016323A" w:rsidP="00E1548E">
      <w:pPr>
        <w:tabs>
          <w:tab w:val="left" w:pos="3402"/>
        </w:tabs>
        <w:spacing w:line="360" w:lineRule="auto"/>
        <w:ind w:right="-125"/>
        <w:jc w:val="both"/>
        <w:rPr>
          <w:rFonts w:ascii="Arial" w:hAnsi="Arial" w:cs="Arial"/>
        </w:rPr>
      </w:pPr>
      <w:r>
        <w:rPr>
          <w:rFonts w:ascii="Arial" w:hAnsi="Arial" w:cs="Arial"/>
        </w:rPr>
        <w:t xml:space="preserve">Date request for reasons: </w:t>
      </w:r>
      <w:r w:rsidR="005E7F5D">
        <w:rPr>
          <w:rFonts w:ascii="Arial" w:hAnsi="Arial" w:cs="Arial"/>
        </w:rPr>
        <w:t xml:space="preserve"> </w:t>
      </w:r>
      <w:r w:rsidR="00E44E92">
        <w:rPr>
          <w:rFonts w:ascii="Arial" w:hAnsi="Arial" w:cs="Arial"/>
        </w:rPr>
        <w:t>27 October 2022</w:t>
      </w:r>
    </w:p>
    <w:p w14:paraId="16B074C5" w14:textId="0ED5C48F" w:rsidR="00C602FF" w:rsidRDefault="0016323A" w:rsidP="001D6242">
      <w:pPr>
        <w:tabs>
          <w:tab w:val="left" w:pos="2835"/>
        </w:tabs>
        <w:spacing w:line="360" w:lineRule="auto"/>
        <w:ind w:right="-125"/>
        <w:jc w:val="both"/>
        <w:rPr>
          <w:rFonts w:ascii="Arial" w:hAnsi="Arial" w:cs="Arial"/>
        </w:rPr>
      </w:pPr>
      <w:r w:rsidRPr="0016323A">
        <w:rPr>
          <w:rFonts w:ascii="Arial" w:hAnsi="Arial" w:cs="Arial"/>
        </w:rPr>
        <w:t>Date of reasons:</w:t>
      </w:r>
      <w:r w:rsidR="00E1548E">
        <w:rPr>
          <w:rFonts w:ascii="Arial" w:hAnsi="Arial" w:cs="Arial"/>
        </w:rPr>
        <w:tab/>
      </w:r>
      <w:r w:rsidR="002D1C8A">
        <w:rPr>
          <w:rFonts w:ascii="Arial" w:hAnsi="Arial" w:cs="Arial"/>
        </w:rPr>
        <w:t>22 November 2022</w:t>
      </w:r>
    </w:p>
    <w:sectPr w:rsidR="00C602FF" w:rsidSect="00000FD2">
      <w:headerReference w:type="even" r:id="rId8"/>
      <w:headerReference w:type="default" r:id="rId9"/>
      <w:pgSz w:w="11900" w:h="16840" w:code="9"/>
      <w:pgMar w:top="1701" w:right="1418" w:bottom="1134" w:left="1701"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13C57" w14:textId="77777777" w:rsidR="00CB74FE" w:rsidRDefault="00CB74FE" w:rsidP="005D5D46">
      <w:r>
        <w:separator/>
      </w:r>
    </w:p>
  </w:endnote>
  <w:endnote w:type="continuationSeparator" w:id="0">
    <w:p w14:paraId="605B9F71" w14:textId="77777777" w:rsidR="00CB74FE" w:rsidRDefault="00CB74FE" w:rsidP="005D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C68E6" w14:textId="77777777" w:rsidR="00CB74FE" w:rsidRDefault="00CB74FE" w:rsidP="005D5D46">
      <w:r>
        <w:separator/>
      </w:r>
    </w:p>
  </w:footnote>
  <w:footnote w:type="continuationSeparator" w:id="0">
    <w:p w14:paraId="27E91EFB" w14:textId="77777777" w:rsidR="00CB74FE" w:rsidRDefault="00CB74FE" w:rsidP="005D5D46">
      <w:r>
        <w:continuationSeparator/>
      </w:r>
    </w:p>
  </w:footnote>
  <w:footnote w:id="1">
    <w:p w14:paraId="3395B4FA" w14:textId="77777777" w:rsidR="00195C2F" w:rsidRPr="0006760D" w:rsidRDefault="00195C2F" w:rsidP="00195C2F">
      <w:pPr>
        <w:pStyle w:val="FootnoteText"/>
        <w:tabs>
          <w:tab w:val="left" w:pos="567"/>
        </w:tabs>
        <w:ind w:left="567" w:hanging="567"/>
        <w:jc w:val="both"/>
        <w:rPr>
          <w:rFonts w:ascii="Arial" w:hAnsi="Arial" w:cs="Arial"/>
        </w:rPr>
      </w:pPr>
      <w:r w:rsidRPr="0006760D">
        <w:rPr>
          <w:rStyle w:val="FootnoteReference"/>
          <w:rFonts w:ascii="Arial" w:hAnsi="Arial" w:cs="Arial"/>
        </w:rPr>
        <w:footnoteRef/>
      </w:r>
      <w:r w:rsidRPr="0006760D">
        <w:rPr>
          <w:rFonts w:ascii="Arial" w:hAnsi="Arial" w:cs="Arial"/>
        </w:rPr>
        <w:t xml:space="preserve"> </w:t>
      </w:r>
      <w:r w:rsidRPr="0006760D">
        <w:rPr>
          <w:rFonts w:ascii="Arial" w:hAnsi="Arial" w:cs="Arial"/>
        </w:rPr>
        <w:tab/>
        <w:t>1920 CPD 627.</w:t>
      </w:r>
    </w:p>
  </w:footnote>
  <w:footnote w:id="2">
    <w:p w14:paraId="42DDBA65" w14:textId="77777777" w:rsidR="00705722" w:rsidRPr="005D1610" w:rsidRDefault="00705722" w:rsidP="00705722">
      <w:pPr>
        <w:pStyle w:val="FootnoteText"/>
        <w:tabs>
          <w:tab w:val="left" w:pos="567"/>
        </w:tabs>
        <w:ind w:left="567" w:hanging="567"/>
        <w:jc w:val="both"/>
        <w:rPr>
          <w:rFonts w:ascii="Arial" w:hAnsi="Arial" w:cs="Arial"/>
        </w:rPr>
      </w:pPr>
      <w:r w:rsidRPr="005D1610">
        <w:rPr>
          <w:rStyle w:val="FootnoteReference"/>
          <w:rFonts w:ascii="Arial" w:hAnsi="Arial" w:cs="Arial"/>
        </w:rPr>
        <w:footnoteRef/>
      </w:r>
      <w:r w:rsidRPr="005D1610">
        <w:rPr>
          <w:rFonts w:ascii="Arial" w:hAnsi="Arial" w:cs="Arial"/>
        </w:rPr>
        <w:t xml:space="preserve"> </w:t>
      </w:r>
      <w:r w:rsidRPr="005D1610">
        <w:rPr>
          <w:rFonts w:ascii="Arial" w:hAnsi="Arial" w:cs="Arial"/>
        </w:rPr>
        <w:tab/>
        <w:t>2013 (2) SA 368 (GSJ) at par 15.</w:t>
      </w:r>
    </w:p>
  </w:footnote>
  <w:footnote w:id="3">
    <w:p w14:paraId="14A9CE20" w14:textId="7DB24E4E" w:rsidR="00383A8A" w:rsidRPr="00E1548E" w:rsidRDefault="00383A8A" w:rsidP="00E1548E">
      <w:pPr>
        <w:pStyle w:val="FootnoteText"/>
        <w:tabs>
          <w:tab w:val="left" w:pos="567"/>
        </w:tabs>
        <w:ind w:left="567" w:hanging="567"/>
        <w:jc w:val="both"/>
        <w:rPr>
          <w:rFonts w:ascii="Arial" w:hAnsi="Arial" w:cs="Arial"/>
        </w:rPr>
      </w:pPr>
      <w:r w:rsidRPr="00E1548E">
        <w:rPr>
          <w:rStyle w:val="FootnoteReference"/>
          <w:rFonts w:ascii="Arial" w:hAnsi="Arial" w:cs="Arial"/>
        </w:rPr>
        <w:footnoteRef/>
      </w:r>
      <w:r w:rsidRPr="00E1548E">
        <w:rPr>
          <w:rFonts w:ascii="Arial" w:hAnsi="Arial" w:cs="Arial"/>
        </w:rPr>
        <w:t xml:space="preserve"> </w:t>
      </w:r>
      <w:r w:rsidRPr="00E1548E">
        <w:rPr>
          <w:rFonts w:ascii="Arial" w:hAnsi="Arial" w:cs="Arial"/>
        </w:rPr>
        <w:tab/>
        <w:t>[2014] JOL 31697 (FB) at par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65802240"/>
      <w:docPartObj>
        <w:docPartGallery w:val="Page Numbers (Top of Page)"/>
        <w:docPartUnique/>
      </w:docPartObj>
    </w:sdtPr>
    <w:sdtEndPr>
      <w:rPr>
        <w:rStyle w:val="PageNumber"/>
      </w:rPr>
    </w:sdtEndPr>
    <w:sdtContent>
      <w:p w14:paraId="44E2A2A2" w14:textId="5C0BE11C" w:rsidR="008723D8" w:rsidRDefault="008723D8" w:rsidP="005D5D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00FD2">
          <w:rPr>
            <w:rStyle w:val="PageNumber"/>
            <w:noProof/>
          </w:rPr>
          <w:t>2</w:t>
        </w:r>
        <w:r>
          <w:rPr>
            <w:rStyle w:val="PageNumber"/>
          </w:rPr>
          <w:fldChar w:fldCharType="end"/>
        </w:r>
      </w:p>
    </w:sdtContent>
  </w:sdt>
  <w:p w14:paraId="4585F273" w14:textId="77777777" w:rsidR="008723D8" w:rsidRDefault="008723D8" w:rsidP="005D5D4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6602095"/>
      <w:docPartObj>
        <w:docPartGallery w:val="Page Numbers (Top of Page)"/>
        <w:docPartUnique/>
      </w:docPartObj>
    </w:sdtPr>
    <w:sdtEndPr>
      <w:rPr>
        <w:rStyle w:val="PageNumber"/>
        <w:rFonts w:ascii="Arial" w:hAnsi="Arial" w:cs="Arial"/>
        <w:sz w:val="22"/>
        <w:szCs w:val="22"/>
      </w:rPr>
    </w:sdtEndPr>
    <w:sdtContent>
      <w:p w14:paraId="72E88EDF" w14:textId="18C4F8CD" w:rsidR="008723D8" w:rsidRPr="000F0F1B" w:rsidRDefault="008723D8" w:rsidP="005D5D46">
        <w:pPr>
          <w:pStyle w:val="Header"/>
          <w:framePr w:wrap="none" w:vAnchor="text" w:hAnchor="margin" w:xAlign="right" w:y="1"/>
          <w:rPr>
            <w:rStyle w:val="PageNumber"/>
            <w:rFonts w:ascii="Arial" w:hAnsi="Arial" w:cs="Arial"/>
            <w:sz w:val="22"/>
            <w:szCs w:val="22"/>
          </w:rPr>
        </w:pPr>
        <w:r w:rsidRPr="000F0F1B">
          <w:rPr>
            <w:rStyle w:val="PageNumber"/>
            <w:rFonts w:ascii="Arial" w:hAnsi="Arial" w:cs="Arial"/>
            <w:sz w:val="22"/>
            <w:szCs w:val="22"/>
          </w:rPr>
          <w:fldChar w:fldCharType="begin"/>
        </w:r>
        <w:r w:rsidRPr="000F0F1B">
          <w:rPr>
            <w:rStyle w:val="PageNumber"/>
            <w:rFonts w:ascii="Arial" w:hAnsi="Arial" w:cs="Arial"/>
            <w:sz w:val="22"/>
            <w:szCs w:val="22"/>
          </w:rPr>
          <w:instrText xml:space="preserve"> PAGE </w:instrText>
        </w:r>
        <w:r w:rsidRPr="000F0F1B">
          <w:rPr>
            <w:rStyle w:val="PageNumber"/>
            <w:rFonts w:ascii="Arial" w:hAnsi="Arial" w:cs="Arial"/>
            <w:sz w:val="22"/>
            <w:szCs w:val="22"/>
          </w:rPr>
          <w:fldChar w:fldCharType="separate"/>
        </w:r>
        <w:r w:rsidR="009B25C9">
          <w:rPr>
            <w:rStyle w:val="PageNumber"/>
            <w:rFonts w:ascii="Arial" w:hAnsi="Arial" w:cs="Arial"/>
            <w:noProof/>
            <w:sz w:val="22"/>
            <w:szCs w:val="22"/>
          </w:rPr>
          <w:t>2</w:t>
        </w:r>
        <w:r w:rsidRPr="000F0F1B">
          <w:rPr>
            <w:rStyle w:val="PageNumber"/>
            <w:rFonts w:ascii="Arial" w:hAnsi="Arial" w:cs="Arial"/>
            <w:sz w:val="22"/>
            <w:szCs w:val="22"/>
          </w:rPr>
          <w:fldChar w:fldCharType="end"/>
        </w:r>
      </w:p>
    </w:sdtContent>
  </w:sdt>
  <w:p w14:paraId="5EBDF2C0" w14:textId="77777777" w:rsidR="008723D8" w:rsidRDefault="008723D8" w:rsidP="001F02A6">
    <w:pPr>
      <w:pStyle w:val="Header"/>
      <w:tabs>
        <w:tab w:val="clear" w:pos="4680"/>
        <w:tab w:val="clear" w:pos="9360"/>
        <w:tab w:val="left" w:pos="7576"/>
      </w:tabs>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5A59"/>
    <w:multiLevelType w:val="hybridMultilevel"/>
    <w:tmpl w:val="CA8259BC"/>
    <w:lvl w:ilvl="0" w:tplc="CA968E76">
      <w:start w:val="1"/>
      <w:numFmt w:val="lowerLetter"/>
      <w:lvlText w:val="(%1)"/>
      <w:lvlJc w:val="left"/>
      <w:pPr>
        <w:ind w:left="1211" w:hanging="360"/>
      </w:pPr>
      <w:rPr>
        <w:rFonts w:hint="default"/>
        <w:i/>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CC212DF"/>
    <w:multiLevelType w:val="multilevel"/>
    <w:tmpl w:val="5F8CF9D2"/>
    <w:lvl w:ilvl="0">
      <w:start w:val="1"/>
      <w:numFmt w:val="decimal"/>
      <w:pStyle w:val="BGHeading1AltQ"/>
      <w:lvlText w:val="%1."/>
      <w:lvlJc w:val="left"/>
      <w:pPr>
        <w:tabs>
          <w:tab w:val="num" w:pos="720"/>
        </w:tabs>
        <w:ind w:left="720" w:hanging="720"/>
      </w:pPr>
      <w:rPr>
        <w:rFonts w:ascii="Arial" w:hAnsi="Arial" w:cs="Arial" w:hint="default"/>
        <w:b w:val="0"/>
        <w:sz w:val="22"/>
        <w:szCs w:val="22"/>
      </w:rPr>
    </w:lvl>
    <w:lvl w:ilvl="1">
      <w:start w:val="1"/>
      <w:numFmt w:val="decimal"/>
      <w:pStyle w:val="BGHeading2AltA"/>
      <w:lvlText w:val="%1.%2"/>
      <w:lvlJc w:val="left"/>
      <w:pPr>
        <w:tabs>
          <w:tab w:val="num" w:pos="1440"/>
        </w:tabs>
        <w:ind w:left="1440" w:hanging="1440"/>
      </w:pPr>
      <w:rPr>
        <w:rFonts w:ascii="Arial" w:hAnsi="Arial" w:cs="Arial" w:hint="default"/>
        <w:b w:val="0"/>
        <w:sz w:val="22"/>
        <w:szCs w:val="22"/>
      </w:rPr>
    </w:lvl>
    <w:lvl w:ilvl="2">
      <w:start w:val="1"/>
      <w:numFmt w:val="decimal"/>
      <w:pStyle w:val="BGHeading3AltZ"/>
      <w:lvlText w:val="%1.%2.%3"/>
      <w:lvlJc w:val="left"/>
      <w:pPr>
        <w:tabs>
          <w:tab w:val="num" w:pos="2160"/>
        </w:tabs>
        <w:ind w:left="2160" w:hanging="2160"/>
      </w:pPr>
      <w:rPr>
        <w:rFonts w:ascii="Times New Roman" w:hAnsi="Times New Roman" w:cs="Times New Roman" w:hint="default"/>
        <w:sz w:val="24"/>
        <w:szCs w:val="24"/>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nsid w:val="0D023A15"/>
    <w:multiLevelType w:val="hybridMultilevel"/>
    <w:tmpl w:val="367EE3C8"/>
    <w:lvl w:ilvl="0" w:tplc="5B9A8678">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nsid w:val="0E08052B"/>
    <w:multiLevelType w:val="multilevel"/>
    <w:tmpl w:val="D5884DC6"/>
    <w:lvl w:ilvl="0">
      <w:start w:val="2"/>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nsid w:val="100305BB"/>
    <w:multiLevelType w:val="multilevel"/>
    <w:tmpl w:val="FE2A532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965450"/>
    <w:multiLevelType w:val="multilevel"/>
    <w:tmpl w:val="1BA03448"/>
    <w:lvl w:ilvl="0">
      <w:start w:val="1"/>
      <w:numFmt w:val="decimal"/>
      <w:lvlText w:val="[%1]"/>
      <w:lvlJc w:val="left"/>
      <w:pPr>
        <w:ind w:left="720" w:hanging="363"/>
      </w:pPr>
      <w:rPr>
        <w:rFonts w:hint="default"/>
        <w:b w:val="0"/>
        <w:bCs w:val="0"/>
        <w:color w:val="auto"/>
      </w:rPr>
    </w:lvl>
    <w:lvl w:ilvl="1">
      <w:start w:val="1"/>
      <w:numFmt w:val="none"/>
      <w:lvlText w:val="1.1"/>
      <w:lvlJc w:val="left"/>
      <w:pPr>
        <w:ind w:left="1440" w:hanging="363"/>
      </w:pPr>
      <w:rPr>
        <w:rFonts w:hint="default"/>
      </w:rPr>
    </w:lvl>
    <w:lvl w:ilvl="2">
      <w:start w:val="1"/>
      <w:numFmt w:val="none"/>
      <w:lvlText w:val=""/>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7">
    <w:nsid w:val="21364A1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6209F1"/>
    <w:multiLevelType w:val="hybridMultilevel"/>
    <w:tmpl w:val="283A9DD6"/>
    <w:lvl w:ilvl="0" w:tplc="39024D9E">
      <w:start w:val="1"/>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9">
    <w:nsid w:val="2EC32EAB"/>
    <w:multiLevelType w:val="multilevel"/>
    <w:tmpl w:val="EF04025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09A336F"/>
    <w:multiLevelType w:val="hybridMultilevel"/>
    <w:tmpl w:val="66C61214"/>
    <w:lvl w:ilvl="0" w:tplc="FE5A8D1C">
      <w:start w:val="1"/>
      <w:numFmt w:val="lowerRoman"/>
      <w:lvlText w:val="(%1)"/>
      <w:lvlJc w:val="left"/>
      <w:pPr>
        <w:ind w:left="2988" w:hanging="720"/>
      </w:pPr>
      <w:rPr>
        <w:rFonts w:hint="default"/>
        <w:i/>
        <w:iCs/>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1">
    <w:nsid w:val="36342137"/>
    <w:multiLevelType w:val="multilevel"/>
    <w:tmpl w:val="0130D4F4"/>
    <w:lvl w:ilvl="0">
      <w:start w:val="3"/>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nsid w:val="377F53FA"/>
    <w:multiLevelType w:val="multilevel"/>
    <w:tmpl w:val="76867A96"/>
    <w:lvl w:ilvl="0">
      <w:start w:val="4"/>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nsid w:val="380F6523"/>
    <w:multiLevelType w:val="multilevel"/>
    <w:tmpl w:val="285CBE9A"/>
    <w:lvl w:ilvl="0">
      <w:start w:val="1"/>
      <w:numFmt w:val="decimal"/>
      <w:lvlText w:val="%1."/>
      <w:lvlJc w:val="left"/>
      <w:pPr>
        <w:ind w:left="360" w:hanging="360"/>
      </w:pPr>
      <w:rPr>
        <w:rFonts w:hint="default"/>
        <w:b w:val="0"/>
        <w:bCs w:val="0"/>
      </w:rPr>
    </w:lvl>
    <w:lvl w:ilvl="1">
      <w:start w:val="1"/>
      <w:numFmt w:val="lowerLetter"/>
      <w:lvlText w:val="(%2)"/>
      <w:lvlJc w:val="left"/>
      <w:pPr>
        <w:ind w:left="792" w:hanging="432"/>
      </w:pPr>
      <w:rPr>
        <w:rFonts w:ascii="Arial" w:eastAsiaTheme="minorHAnsi" w:hAnsi="Arial" w:cs="Arial"/>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C6476C"/>
    <w:multiLevelType w:val="hybridMultilevel"/>
    <w:tmpl w:val="4A02AD12"/>
    <w:lvl w:ilvl="0" w:tplc="AD7035FA">
      <w:start w:val="1"/>
      <w:numFmt w:val="lowerLetter"/>
      <w:lvlText w:val="(%1)"/>
      <w:lvlJc w:val="left"/>
      <w:pPr>
        <w:ind w:left="1271" w:hanging="360"/>
      </w:pPr>
      <w:rPr>
        <w:rFonts w:hint="default"/>
      </w:rPr>
    </w:lvl>
    <w:lvl w:ilvl="1" w:tplc="1C090019" w:tentative="1">
      <w:start w:val="1"/>
      <w:numFmt w:val="lowerLetter"/>
      <w:lvlText w:val="%2."/>
      <w:lvlJc w:val="left"/>
      <w:pPr>
        <w:ind w:left="1991" w:hanging="360"/>
      </w:pPr>
    </w:lvl>
    <w:lvl w:ilvl="2" w:tplc="1C09001B" w:tentative="1">
      <w:start w:val="1"/>
      <w:numFmt w:val="lowerRoman"/>
      <w:lvlText w:val="%3."/>
      <w:lvlJc w:val="right"/>
      <w:pPr>
        <w:ind w:left="2711" w:hanging="180"/>
      </w:pPr>
    </w:lvl>
    <w:lvl w:ilvl="3" w:tplc="1C09000F" w:tentative="1">
      <w:start w:val="1"/>
      <w:numFmt w:val="decimal"/>
      <w:lvlText w:val="%4."/>
      <w:lvlJc w:val="left"/>
      <w:pPr>
        <w:ind w:left="3431" w:hanging="360"/>
      </w:pPr>
    </w:lvl>
    <w:lvl w:ilvl="4" w:tplc="1C090019" w:tentative="1">
      <w:start w:val="1"/>
      <w:numFmt w:val="lowerLetter"/>
      <w:lvlText w:val="%5."/>
      <w:lvlJc w:val="left"/>
      <w:pPr>
        <w:ind w:left="4151" w:hanging="360"/>
      </w:pPr>
    </w:lvl>
    <w:lvl w:ilvl="5" w:tplc="1C09001B" w:tentative="1">
      <w:start w:val="1"/>
      <w:numFmt w:val="lowerRoman"/>
      <w:lvlText w:val="%6."/>
      <w:lvlJc w:val="right"/>
      <w:pPr>
        <w:ind w:left="4871" w:hanging="180"/>
      </w:pPr>
    </w:lvl>
    <w:lvl w:ilvl="6" w:tplc="1C09000F" w:tentative="1">
      <w:start w:val="1"/>
      <w:numFmt w:val="decimal"/>
      <w:lvlText w:val="%7."/>
      <w:lvlJc w:val="left"/>
      <w:pPr>
        <w:ind w:left="5591" w:hanging="360"/>
      </w:pPr>
    </w:lvl>
    <w:lvl w:ilvl="7" w:tplc="1C090019" w:tentative="1">
      <w:start w:val="1"/>
      <w:numFmt w:val="lowerLetter"/>
      <w:lvlText w:val="%8."/>
      <w:lvlJc w:val="left"/>
      <w:pPr>
        <w:ind w:left="6311" w:hanging="360"/>
      </w:pPr>
    </w:lvl>
    <w:lvl w:ilvl="8" w:tplc="1C09001B" w:tentative="1">
      <w:start w:val="1"/>
      <w:numFmt w:val="lowerRoman"/>
      <w:lvlText w:val="%9."/>
      <w:lvlJc w:val="right"/>
      <w:pPr>
        <w:ind w:left="7031" w:hanging="180"/>
      </w:pPr>
    </w:lvl>
  </w:abstractNum>
  <w:abstractNum w:abstractNumId="15">
    <w:nsid w:val="42D2351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907C1C"/>
    <w:multiLevelType w:val="multilevel"/>
    <w:tmpl w:val="38CAF40E"/>
    <w:lvl w:ilvl="0">
      <w:start w:val="24"/>
      <w:numFmt w:val="decimal"/>
      <w:lvlText w:val="%1"/>
      <w:lvlJc w:val="left"/>
      <w:pPr>
        <w:ind w:left="660" w:hanging="660"/>
      </w:pPr>
      <w:rPr>
        <w:rFonts w:hint="default"/>
        <w:u w:val="single"/>
      </w:rPr>
    </w:lvl>
    <w:lvl w:ilvl="1">
      <w:start w:val="8"/>
      <w:numFmt w:val="decimal"/>
      <w:lvlText w:val="%1.%2"/>
      <w:lvlJc w:val="left"/>
      <w:pPr>
        <w:ind w:left="1439" w:hanging="660"/>
      </w:pPr>
      <w:rPr>
        <w:rFonts w:hint="default"/>
        <w:u w:val="single"/>
      </w:rPr>
    </w:lvl>
    <w:lvl w:ilvl="2">
      <w:start w:val="1"/>
      <w:numFmt w:val="decimal"/>
      <w:lvlText w:val="%1.%2.%3"/>
      <w:lvlJc w:val="left"/>
      <w:pPr>
        <w:ind w:left="2278" w:hanging="720"/>
      </w:pPr>
      <w:rPr>
        <w:rFonts w:hint="default"/>
        <w:u w:val="none"/>
      </w:rPr>
    </w:lvl>
    <w:lvl w:ilvl="3">
      <w:start w:val="1"/>
      <w:numFmt w:val="decimal"/>
      <w:lvlText w:val="%1.%2.%3.%4"/>
      <w:lvlJc w:val="left"/>
      <w:pPr>
        <w:ind w:left="3417" w:hanging="1080"/>
      </w:pPr>
      <w:rPr>
        <w:rFonts w:hint="default"/>
        <w:u w:val="single"/>
      </w:rPr>
    </w:lvl>
    <w:lvl w:ilvl="4">
      <w:start w:val="1"/>
      <w:numFmt w:val="decimal"/>
      <w:lvlText w:val="%1.%2.%3.%4.%5"/>
      <w:lvlJc w:val="left"/>
      <w:pPr>
        <w:ind w:left="4196" w:hanging="1080"/>
      </w:pPr>
      <w:rPr>
        <w:rFonts w:hint="default"/>
        <w:u w:val="single"/>
      </w:rPr>
    </w:lvl>
    <w:lvl w:ilvl="5">
      <w:start w:val="1"/>
      <w:numFmt w:val="decimal"/>
      <w:lvlText w:val="%1.%2.%3.%4.%5.%6"/>
      <w:lvlJc w:val="left"/>
      <w:pPr>
        <w:ind w:left="5335" w:hanging="1440"/>
      </w:pPr>
      <w:rPr>
        <w:rFonts w:hint="default"/>
        <w:u w:val="single"/>
      </w:rPr>
    </w:lvl>
    <w:lvl w:ilvl="6">
      <w:start w:val="1"/>
      <w:numFmt w:val="decimal"/>
      <w:lvlText w:val="%1.%2.%3.%4.%5.%6.%7"/>
      <w:lvlJc w:val="left"/>
      <w:pPr>
        <w:ind w:left="6114" w:hanging="1440"/>
      </w:pPr>
      <w:rPr>
        <w:rFonts w:hint="default"/>
        <w:u w:val="single"/>
      </w:rPr>
    </w:lvl>
    <w:lvl w:ilvl="7">
      <w:start w:val="1"/>
      <w:numFmt w:val="decimal"/>
      <w:lvlText w:val="%1.%2.%3.%4.%5.%6.%7.%8"/>
      <w:lvlJc w:val="left"/>
      <w:pPr>
        <w:ind w:left="7253" w:hanging="1800"/>
      </w:pPr>
      <w:rPr>
        <w:rFonts w:hint="default"/>
        <w:u w:val="single"/>
      </w:rPr>
    </w:lvl>
    <w:lvl w:ilvl="8">
      <w:start w:val="1"/>
      <w:numFmt w:val="decimal"/>
      <w:lvlText w:val="%1.%2.%3.%4.%5.%6.%7.%8.%9"/>
      <w:lvlJc w:val="left"/>
      <w:pPr>
        <w:ind w:left="8032" w:hanging="1800"/>
      </w:pPr>
      <w:rPr>
        <w:rFonts w:hint="default"/>
        <w:u w:val="single"/>
      </w:rPr>
    </w:lvl>
  </w:abstractNum>
  <w:abstractNum w:abstractNumId="17">
    <w:nsid w:val="473E6B0B"/>
    <w:multiLevelType w:val="hybridMultilevel"/>
    <w:tmpl w:val="6AC0AACE"/>
    <w:lvl w:ilvl="0" w:tplc="4F480BC2">
      <w:start w:val="1"/>
      <w:numFmt w:val="lowerRoman"/>
      <w:lvlText w:val="(%1)"/>
      <w:lvlJc w:val="left"/>
      <w:pPr>
        <w:ind w:left="2138" w:hanging="720"/>
      </w:pPr>
      <w:rPr>
        <w:rFonts w:hint="default"/>
        <w:i/>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8">
    <w:nsid w:val="4EC94623"/>
    <w:multiLevelType w:val="multilevel"/>
    <w:tmpl w:val="C6AE8180"/>
    <w:lvl w:ilvl="0">
      <w:start w:val="1"/>
      <w:numFmt w:val="decimal"/>
      <w:pStyle w:val="ClaireNew"/>
      <w:lvlText w:val="%1."/>
      <w:lvlJc w:val="left"/>
      <w:pPr>
        <w:tabs>
          <w:tab w:val="num" w:pos="680"/>
        </w:tabs>
        <w:ind w:left="680" w:hanging="680"/>
      </w:pPr>
      <w:rPr>
        <w:rFonts w:ascii="Arial" w:hAnsi="Arial" w:cs="Arial" w:hint="default"/>
        <w:b w:val="0"/>
        <w:sz w:val="22"/>
        <w:szCs w:val="22"/>
      </w:rPr>
    </w:lvl>
    <w:lvl w:ilvl="1">
      <w:start w:val="1"/>
      <w:numFmt w:val="decimal"/>
      <w:lvlText w:val="%1.%2."/>
      <w:lvlJc w:val="left"/>
      <w:pPr>
        <w:tabs>
          <w:tab w:val="num" w:pos="1418"/>
        </w:tabs>
        <w:ind w:left="1418" w:hanging="1418"/>
      </w:pPr>
      <w:rPr>
        <w:rFonts w:ascii="Arial" w:hAnsi="Arial" w:cs="Arial" w:hint="default"/>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583E1DD9"/>
    <w:multiLevelType w:val="multilevel"/>
    <w:tmpl w:val="5CDE49E8"/>
    <w:lvl w:ilvl="0">
      <w:start w:val="1"/>
      <w:numFmt w:val="decimal"/>
      <w:lvlText w:val="[%1]"/>
      <w:lvlJc w:val="left"/>
      <w:pPr>
        <w:ind w:left="851" w:hanging="851"/>
      </w:pPr>
      <w:rPr>
        <w:rFonts w:hint="default"/>
        <w:b w:val="0"/>
        <w:bCs w:val="0"/>
        <w:color w:val="auto"/>
      </w:rPr>
    </w:lvl>
    <w:lvl w:ilvl="1">
      <w:start w:val="1"/>
      <w:numFmt w:val="none"/>
      <w:lvlText w:val="1.1"/>
      <w:lvlJc w:val="left"/>
      <w:pPr>
        <w:ind w:left="1701" w:hanging="850"/>
      </w:pPr>
      <w:rPr>
        <w:rFonts w:hint="default"/>
      </w:rPr>
    </w:lvl>
    <w:lvl w:ilvl="2">
      <w:start w:val="1"/>
      <w:numFmt w:val="none"/>
      <w:lvlText w:val=""/>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0">
    <w:nsid w:val="5B907293"/>
    <w:multiLevelType w:val="multilevel"/>
    <w:tmpl w:val="474468D0"/>
    <w:lvl w:ilvl="0">
      <w:start w:val="3"/>
      <w:numFmt w:val="decimal"/>
      <w:lvlText w:val="%1"/>
      <w:lvlJc w:val="left"/>
      <w:pPr>
        <w:ind w:left="860" w:hanging="860"/>
      </w:pPr>
      <w:rPr>
        <w:rFonts w:hint="default"/>
        <w:color w:val="0070C0"/>
      </w:rPr>
    </w:lvl>
    <w:lvl w:ilvl="1">
      <w:start w:val="1"/>
      <w:numFmt w:val="decimal"/>
      <w:lvlText w:val="%1.%2"/>
      <w:lvlJc w:val="left"/>
      <w:pPr>
        <w:ind w:left="1220" w:hanging="860"/>
      </w:pPr>
      <w:rPr>
        <w:rFonts w:hint="default"/>
        <w:color w:val="0070C0"/>
      </w:rPr>
    </w:lvl>
    <w:lvl w:ilvl="2">
      <w:start w:val="18"/>
      <w:numFmt w:val="decimal"/>
      <w:lvlText w:val="%1.%2.%3"/>
      <w:lvlJc w:val="left"/>
      <w:pPr>
        <w:ind w:left="1580" w:hanging="860"/>
      </w:pPr>
      <w:rPr>
        <w:rFonts w:hint="default"/>
        <w:color w:val="0070C0"/>
      </w:rPr>
    </w:lvl>
    <w:lvl w:ilvl="3">
      <w:start w:val="5"/>
      <w:numFmt w:val="decimal"/>
      <w:lvlText w:val="%1.%2.%3.%4"/>
      <w:lvlJc w:val="left"/>
      <w:pPr>
        <w:ind w:left="2160" w:hanging="1080"/>
      </w:pPr>
      <w:rPr>
        <w:rFonts w:hint="default"/>
        <w:color w:val="0070C0"/>
      </w:rPr>
    </w:lvl>
    <w:lvl w:ilvl="4">
      <w:start w:val="1"/>
      <w:numFmt w:val="decimal"/>
      <w:lvlText w:val="%1.%2.%3.%4.%5"/>
      <w:lvlJc w:val="left"/>
      <w:pPr>
        <w:ind w:left="2520" w:hanging="1080"/>
      </w:pPr>
      <w:rPr>
        <w:rFonts w:hint="default"/>
        <w:color w:val="0070C0"/>
      </w:rPr>
    </w:lvl>
    <w:lvl w:ilvl="5">
      <w:start w:val="1"/>
      <w:numFmt w:val="decimal"/>
      <w:lvlText w:val="%1.%2.%3.%4.%5.%6"/>
      <w:lvlJc w:val="left"/>
      <w:pPr>
        <w:ind w:left="3240" w:hanging="1440"/>
      </w:pPr>
      <w:rPr>
        <w:rFonts w:hint="default"/>
        <w:color w:val="0070C0"/>
      </w:rPr>
    </w:lvl>
    <w:lvl w:ilvl="6">
      <w:start w:val="1"/>
      <w:numFmt w:val="decimal"/>
      <w:lvlText w:val="%1.%2.%3.%4.%5.%6.%7"/>
      <w:lvlJc w:val="left"/>
      <w:pPr>
        <w:ind w:left="3600" w:hanging="1440"/>
      </w:pPr>
      <w:rPr>
        <w:rFonts w:hint="default"/>
        <w:color w:val="0070C0"/>
      </w:rPr>
    </w:lvl>
    <w:lvl w:ilvl="7">
      <w:start w:val="1"/>
      <w:numFmt w:val="decimal"/>
      <w:lvlText w:val="%1.%2.%3.%4.%5.%6.%7.%8"/>
      <w:lvlJc w:val="left"/>
      <w:pPr>
        <w:ind w:left="4320" w:hanging="1800"/>
      </w:pPr>
      <w:rPr>
        <w:rFonts w:hint="default"/>
        <w:color w:val="0070C0"/>
      </w:rPr>
    </w:lvl>
    <w:lvl w:ilvl="8">
      <w:start w:val="1"/>
      <w:numFmt w:val="decimal"/>
      <w:lvlText w:val="%1.%2.%3.%4.%5.%6.%7.%8.%9"/>
      <w:lvlJc w:val="left"/>
      <w:pPr>
        <w:ind w:left="4680" w:hanging="1800"/>
      </w:pPr>
      <w:rPr>
        <w:rFonts w:hint="default"/>
        <w:color w:val="0070C0"/>
      </w:rPr>
    </w:lvl>
  </w:abstractNum>
  <w:abstractNum w:abstractNumId="21">
    <w:nsid w:val="5CD51FCD"/>
    <w:multiLevelType w:val="hybridMultilevel"/>
    <w:tmpl w:val="19D45ED4"/>
    <w:lvl w:ilvl="0" w:tplc="D13A19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23">
    <w:nsid w:val="5DA83A0F"/>
    <w:multiLevelType w:val="multilevel"/>
    <w:tmpl w:val="358247CE"/>
    <w:lvl w:ilvl="0">
      <w:start w:val="1"/>
      <w:numFmt w:val="decimal"/>
      <w:lvlText w:val="[%1]"/>
      <w:lvlJc w:val="left"/>
      <w:pPr>
        <w:ind w:left="720" w:hanging="363"/>
      </w:pPr>
      <w:rPr>
        <w:rFonts w:hint="default"/>
        <w:b w:val="0"/>
        <w:bCs w:val="0"/>
        <w:color w:val="auto"/>
      </w:rPr>
    </w:lvl>
    <w:lvl w:ilvl="1">
      <w:start w:val="1"/>
      <w:numFmt w:val="none"/>
      <w:lvlText w:val="12.1"/>
      <w:lvlJc w:val="left"/>
      <w:pPr>
        <w:ind w:left="1440" w:hanging="363"/>
      </w:pPr>
      <w:rPr>
        <w:rFonts w:hint="default"/>
      </w:rPr>
    </w:lvl>
    <w:lvl w:ilvl="2">
      <w:start w:val="1"/>
      <w:numFmt w:val="none"/>
      <w:lvlText w:val=""/>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4">
    <w:nsid w:val="6071096E"/>
    <w:multiLevelType w:val="multilevel"/>
    <w:tmpl w:val="7FB83B8C"/>
    <w:styleLink w:val="Style1"/>
    <w:lvl w:ilvl="0">
      <w:start w:val="1"/>
      <w:numFmt w:val="decimal"/>
      <w:isLgl/>
      <w:lvlText w:val="%1."/>
      <w:lvlJc w:val="left"/>
      <w:pPr>
        <w:ind w:left="360" w:hanging="360"/>
      </w:pPr>
      <w:rPr>
        <w:rFonts w:hint="default"/>
        <w:color w:val="000000" w:themeColor="text1"/>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1F12EFA"/>
    <w:multiLevelType w:val="multilevel"/>
    <w:tmpl w:val="CAA234C8"/>
    <w:lvl w:ilvl="0">
      <w:start w:val="39"/>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622B68C7"/>
    <w:multiLevelType w:val="multilevel"/>
    <w:tmpl w:val="7E806D5A"/>
    <w:lvl w:ilvl="0">
      <w:start w:val="3"/>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7">
    <w:nsid w:val="63063260"/>
    <w:multiLevelType w:val="multilevel"/>
    <w:tmpl w:val="82B85B6A"/>
    <w:lvl w:ilvl="0">
      <w:start w:val="39"/>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64347280"/>
    <w:multiLevelType w:val="multilevel"/>
    <w:tmpl w:val="BF54A7D2"/>
    <w:lvl w:ilvl="0">
      <w:start w:val="22"/>
      <w:numFmt w:val="decimal"/>
      <w:lvlText w:val="%1"/>
      <w:lvlJc w:val="left"/>
      <w:pPr>
        <w:ind w:left="660" w:hanging="660"/>
      </w:pPr>
      <w:rPr>
        <w:rFonts w:hint="default"/>
      </w:rPr>
    </w:lvl>
    <w:lvl w:ilvl="1">
      <w:start w:val="7"/>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29">
    <w:nsid w:val="65262ACD"/>
    <w:multiLevelType w:val="multilevel"/>
    <w:tmpl w:val="4A3C58C4"/>
    <w:lvl w:ilvl="0">
      <w:start w:val="1"/>
      <w:numFmt w:val="decimal"/>
      <w:pStyle w:val="RetiefPleadingpara1"/>
      <w:lvlText w:val="%1."/>
      <w:lvlJc w:val="left"/>
      <w:pPr>
        <w:tabs>
          <w:tab w:val="num" w:pos="7004"/>
        </w:tabs>
        <w:ind w:left="7004" w:hanging="624"/>
      </w:pPr>
      <w:rPr>
        <w:rFonts w:ascii="Arial" w:hAnsi="Arial" w:cs="Arial" w:hint="default"/>
        <w:b w:val="0"/>
        <w:i w:val="0"/>
        <w:sz w:val="24"/>
        <w:szCs w:val="24"/>
      </w:rPr>
    </w:lvl>
    <w:lvl w:ilvl="1">
      <w:start w:val="1"/>
      <w:numFmt w:val="decimal"/>
      <w:pStyle w:val="RetiefPleadingpara2"/>
      <w:lvlText w:val="%1.%2."/>
      <w:lvlJc w:val="left"/>
      <w:pPr>
        <w:tabs>
          <w:tab w:val="num" w:pos="3545"/>
        </w:tabs>
        <w:ind w:left="3545" w:hanging="1418"/>
      </w:pPr>
      <w:rPr>
        <w:rFonts w:ascii="Arial" w:hAnsi="Arial" w:cs="Arial" w:hint="default"/>
        <w:b w:val="0"/>
        <w:i w:val="0"/>
        <w:sz w:val="24"/>
        <w:szCs w:val="24"/>
      </w:rPr>
    </w:lvl>
    <w:lvl w:ilvl="2">
      <w:start w:val="1"/>
      <w:numFmt w:val="decimal"/>
      <w:pStyle w:val="RetiefPleadingpara3"/>
      <w:lvlText w:val="%1.%2.%3."/>
      <w:lvlJc w:val="left"/>
      <w:pPr>
        <w:tabs>
          <w:tab w:val="num" w:pos="3119"/>
        </w:tabs>
        <w:ind w:left="3119" w:hanging="1985"/>
      </w:pPr>
      <w:rPr>
        <w:rFonts w:ascii="Arial" w:hAnsi="Arial" w:hint="default"/>
        <w:b w:val="0"/>
        <w:i w:val="0"/>
        <w:sz w:val="24"/>
        <w:szCs w:val="24"/>
      </w:rPr>
    </w:lvl>
    <w:lvl w:ilvl="3">
      <w:start w:val="1"/>
      <w:numFmt w:val="decimal"/>
      <w:pStyle w:val="Pleadingpara4"/>
      <w:lvlText w:val="%1.%2.%3.%4."/>
      <w:lvlJc w:val="left"/>
      <w:pPr>
        <w:tabs>
          <w:tab w:val="num" w:pos="3490"/>
        </w:tabs>
        <w:ind w:left="3058" w:hanging="648"/>
      </w:pPr>
      <w:rPr>
        <w:rFonts w:hint="default"/>
      </w:rPr>
    </w:lvl>
    <w:lvl w:ilvl="4">
      <w:start w:val="1"/>
      <w:numFmt w:val="decimal"/>
      <w:pStyle w:val="Pleadingpara5"/>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0">
    <w:nsid w:val="680A10B2"/>
    <w:multiLevelType w:val="hybridMultilevel"/>
    <w:tmpl w:val="76D41154"/>
    <w:lvl w:ilvl="0" w:tplc="5EB478B6">
      <w:start w:val="1"/>
      <w:numFmt w:val="lowerLetter"/>
      <w:lvlText w:val="(%1)"/>
      <w:lvlJc w:val="left"/>
      <w:pPr>
        <w:ind w:left="1271" w:hanging="360"/>
      </w:pPr>
      <w:rPr>
        <w:rFonts w:hint="default"/>
      </w:rPr>
    </w:lvl>
    <w:lvl w:ilvl="1" w:tplc="1C090019" w:tentative="1">
      <w:start w:val="1"/>
      <w:numFmt w:val="lowerLetter"/>
      <w:lvlText w:val="%2."/>
      <w:lvlJc w:val="left"/>
      <w:pPr>
        <w:ind w:left="1991" w:hanging="360"/>
      </w:pPr>
    </w:lvl>
    <w:lvl w:ilvl="2" w:tplc="1C09001B" w:tentative="1">
      <w:start w:val="1"/>
      <w:numFmt w:val="lowerRoman"/>
      <w:lvlText w:val="%3."/>
      <w:lvlJc w:val="right"/>
      <w:pPr>
        <w:ind w:left="2711" w:hanging="180"/>
      </w:pPr>
    </w:lvl>
    <w:lvl w:ilvl="3" w:tplc="1C09000F" w:tentative="1">
      <w:start w:val="1"/>
      <w:numFmt w:val="decimal"/>
      <w:lvlText w:val="%4."/>
      <w:lvlJc w:val="left"/>
      <w:pPr>
        <w:ind w:left="3431" w:hanging="360"/>
      </w:pPr>
    </w:lvl>
    <w:lvl w:ilvl="4" w:tplc="1C090019" w:tentative="1">
      <w:start w:val="1"/>
      <w:numFmt w:val="lowerLetter"/>
      <w:lvlText w:val="%5."/>
      <w:lvlJc w:val="left"/>
      <w:pPr>
        <w:ind w:left="4151" w:hanging="360"/>
      </w:pPr>
    </w:lvl>
    <w:lvl w:ilvl="5" w:tplc="1C09001B" w:tentative="1">
      <w:start w:val="1"/>
      <w:numFmt w:val="lowerRoman"/>
      <w:lvlText w:val="%6."/>
      <w:lvlJc w:val="right"/>
      <w:pPr>
        <w:ind w:left="4871" w:hanging="180"/>
      </w:pPr>
    </w:lvl>
    <w:lvl w:ilvl="6" w:tplc="1C09000F" w:tentative="1">
      <w:start w:val="1"/>
      <w:numFmt w:val="decimal"/>
      <w:lvlText w:val="%7."/>
      <w:lvlJc w:val="left"/>
      <w:pPr>
        <w:ind w:left="5591" w:hanging="360"/>
      </w:pPr>
    </w:lvl>
    <w:lvl w:ilvl="7" w:tplc="1C090019" w:tentative="1">
      <w:start w:val="1"/>
      <w:numFmt w:val="lowerLetter"/>
      <w:lvlText w:val="%8."/>
      <w:lvlJc w:val="left"/>
      <w:pPr>
        <w:ind w:left="6311" w:hanging="360"/>
      </w:pPr>
    </w:lvl>
    <w:lvl w:ilvl="8" w:tplc="1C09001B" w:tentative="1">
      <w:start w:val="1"/>
      <w:numFmt w:val="lowerRoman"/>
      <w:lvlText w:val="%9."/>
      <w:lvlJc w:val="right"/>
      <w:pPr>
        <w:ind w:left="7031" w:hanging="180"/>
      </w:pPr>
    </w:lvl>
  </w:abstractNum>
  <w:abstractNum w:abstractNumId="31">
    <w:nsid w:val="6B044BDB"/>
    <w:multiLevelType w:val="hybridMultilevel"/>
    <w:tmpl w:val="DCCC089C"/>
    <w:lvl w:ilvl="0" w:tplc="67E0723C">
      <w:start w:val="2"/>
      <w:numFmt w:val="decimal"/>
      <w:lvlText w:val="%1."/>
      <w:lvlJc w:val="left"/>
      <w:pPr>
        <w:ind w:left="1220" w:hanging="360"/>
      </w:pPr>
      <w:rPr>
        <w:rFonts w:hint="default"/>
      </w:rPr>
    </w:lvl>
    <w:lvl w:ilvl="1" w:tplc="08090019" w:tentative="1">
      <w:start w:val="1"/>
      <w:numFmt w:val="lowerLetter"/>
      <w:lvlText w:val="%2."/>
      <w:lvlJc w:val="left"/>
      <w:pPr>
        <w:ind w:left="1940" w:hanging="360"/>
      </w:pPr>
    </w:lvl>
    <w:lvl w:ilvl="2" w:tplc="0809001B" w:tentative="1">
      <w:start w:val="1"/>
      <w:numFmt w:val="lowerRoman"/>
      <w:lvlText w:val="%3."/>
      <w:lvlJc w:val="right"/>
      <w:pPr>
        <w:ind w:left="2660" w:hanging="180"/>
      </w:pPr>
    </w:lvl>
    <w:lvl w:ilvl="3" w:tplc="0809000F" w:tentative="1">
      <w:start w:val="1"/>
      <w:numFmt w:val="decimal"/>
      <w:lvlText w:val="%4."/>
      <w:lvlJc w:val="left"/>
      <w:pPr>
        <w:ind w:left="3380" w:hanging="360"/>
      </w:pPr>
    </w:lvl>
    <w:lvl w:ilvl="4" w:tplc="08090019" w:tentative="1">
      <w:start w:val="1"/>
      <w:numFmt w:val="lowerLetter"/>
      <w:lvlText w:val="%5."/>
      <w:lvlJc w:val="left"/>
      <w:pPr>
        <w:ind w:left="4100" w:hanging="360"/>
      </w:pPr>
    </w:lvl>
    <w:lvl w:ilvl="5" w:tplc="0809001B" w:tentative="1">
      <w:start w:val="1"/>
      <w:numFmt w:val="lowerRoman"/>
      <w:lvlText w:val="%6."/>
      <w:lvlJc w:val="right"/>
      <w:pPr>
        <w:ind w:left="4820" w:hanging="180"/>
      </w:pPr>
    </w:lvl>
    <w:lvl w:ilvl="6" w:tplc="0809000F" w:tentative="1">
      <w:start w:val="1"/>
      <w:numFmt w:val="decimal"/>
      <w:lvlText w:val="%7."/>
      <w:lvlJc w:val="left"/>
      <w:pPr>
        <w:ind w:left="5540" w:hanging="360"/>
      </w:pPr>
    </w:lvl>
    <w:lvl w:ilvl="7" w:tplc="08090019" w:tentative="1">
      <w:start w:val="1"/>
      <w:numFmt w:val="lowerLetter"/>
      <w:lvlText w:val="%8."/>
      <w:lvlJc w:val="left"/>
      <w:pPr>
        <w:ind w:left="6260" w:hanging="360"/>
      </w:pPr>
    </w:lvl>
    <w:lvl w:ilvl="8" w:tplc="0809001B" w:tentative="1">
      <w:start w:val="1"/>
      <w:numFmt w:val="lowerRoman"/>
      <w:lvlText w:val="%9."/>
      <w:lvlJc w:val="right"/>
      <w:pPr>
        <w:ind w:left="6980" w:hanging="180"/>
      </w:pPr>
    </w:lvl>
  </w:abstractNum>
  <w:abstractNum w:abstractNumId="32">
    <w:nsid w:val="6E202017"/>
    <w:multiLevelType w:val="hybridMultilevel"/>
    <w:tmpl w:val="39FABEB4"/>
    <w:lvl w:ilvl="0" w:tplc="B9D0EA1E">
      <w:start w:val="17"/>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nsid w:val="705B25C0"/>
    <w:multiLevelType w:val="hybridMultilevel"/>
    <w:tmpl w:val="BAA619E0"/>
    <w:lvl w:ilvl="0" w:tplc="09DE0A2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4">
    <w:nsid w:val="71E642B4"/>
    <w:multiLevelType w:val="multilevel"/>
    <w:tmpl w:val="474468D0"/>
    <w:lvl w:ilvl="0">
      <w:start w:val="3"/>
      <w:numFmt w:val="decimal"/>
      <w:lvlText w:val="%1"/>
      <w:lvlJc w:val="left"/>
      <w:pPr>
        <w:ind w:left="860" w:hanging="860"/>
      </w:pPr>
      <w:rPr>
        <w:rFonts w:hint="default"/>
        <w:color w:val="0070C0"/>
      </w:rPr>
    </w:lvl>
    <w:lvl w:ilvl="1">
      <w:start w:val="1"/>
      <w:numFmt w:val="decimal"/>
      <w:lvlText w:val="%1.%2"/>
      <w:lvlJc w:val="left"/>
      <w:pPr>
        <w:ind w:left="1220" w:hanging="860"/>
      </w:pPr>
      <w:rPr>
        <w:rFonts w:hint="default"/>
        <w:color w:val="0070C0"/>
      </w:rPr>
    </w:lvl>
    <w:lvl w:ilvl="2">
      <w:start w:val="18"/>
      <w:numFmt w:val="decimal"/>
      <w:lvlText w:val="%1.%2.%3"/>
      <w:lvlJc w:val="left"/>
      <w:pPr>
        <w:ind w:left="1580" w:hanging="860"/>
      </w:pPr>
      <w:rPr>
        <w:rFonts w:hint="default"/>
        <w:color w:val="0070C0"/>
      </w:rPr>
    </w:lvl>
    <w:lvl w:ilvl="3">
      <w:start w:val="5"/>
      <w:numFmt w:val="decimal"/>
      <w:lvlText w:val="%1.%2.%3.%4"/>
      <w:lvlJc w:val="left"/>
      <w:pPr>
        <w:ind w:left="2160" w:hanging="1080"/>
      </w:pPr>
      <w:rPr>
        <w:rFonts w:hint="default"/>
        <w:color w:val="0070C0"/>
      </w:rPr>
    </w:lvl>
    <w:lvl w:ilvl="4">
      <w:start w:val="1"/>
      <w:numFmt w:val="decimal"/>
      <w:lvlText w:val="%1.%2.%3.%4.%5"/>
      <w:lvlJc w:val="left"/>
      <w:pPr>
        <w:ind w:left="2520" w:hanging="1080"/>
      </w:pPr>
      <w:rPr>
        <w:rFonts w:hint="default"/>
        <w:color w:val="0070C0"/>
      </w:rPr>
    </w:lvl>
    <w:lvl w:ilvl="5">
      <w:start w:val="1"/>
      <w:numFmt w:val="decimal"/>
      <w:lvlText w:val="%1.%2.%3.%4.%5.%6"/>
      <w:lvlJc w:val="left"/>
      <w:pPr>
        <w:ind w:left="3240" w:hanging="1440"/>
      </w:pPr>
      <w:rPr>
        <w:rFonts w:hint="default"/>
        <w:color w:val="0070C0"/>
      </w:rPr>
    </w:lvl>
    <w:lvl w:ilvl="6">
      <w:start w:val="1"/>
      <w:numFmt w:val="decimal"/>
      <w:lvlText w:val="%1.%2.%3.%4.%5.%6.%7"/>
      <w:lvlJc w:val="left"/>
      <w:pPr>
        <w:ind w:left="3600" w:hanging="1440"/>
      </w:pPr>
      <w:rPr>
        <w:rFonts w:hint="default"/>
        <w:color w:val="0070C0"/>
      </w:rPr>
    </w:lvl>
    <w:lvl w:ilvl="7">
      <w:start w:val="1"/>
      <w:numFmt w:val="decimal"/>
      <w:lvlText w:val="%1.%2.%3.%4.%5.%6.%7.%8"/>
      <w:lvlJc w:val="left"/>
      <w:pPr>
        <w:ind w:left="4320" w:hanging="1800"/>
      </w:pPr>
      <w:rPr>
        <w:rFonts w:hint="default"/>
        <w:color w:val="0070C0"/>
      </w:rPr>
    </w:lvl>
    <w:lvl w:ilvl="8">
      <w:start w:val="1"/>
      <w:numFmt w:val="decimal"/>
      <w:lvlText w:val="%1.%2.%3.%4.%5.%6.%7.%8.%9"/>
      <w:lvlJc w:val="left"/>
      <w:pPr>
        <w:ind w:left="4680" w:hanging="1800"/>
      </w:pPr>
      <w:rPr>
        <w:rFonts w:hint="default"/>
        <w:color w:val="0070C0"/>
      </w:rPr>
    </w:lvl>
  </w:abstractNum>
  <w:abstractNum w:abstractNumId="35">
    <w:nsid w:val="729932C4"/>
    <w:multiLevelType w:val="hybridMultilevel"/>
    <w:tmpl w:val="D880587A"/>
    <w:lvl w:ilvl="0" w:tplc="72A471E4">
      <w:start w:val="1"/>
      <w:numFmt w:val="lowerLetter"/>
      <w:lvlText w:val="(%1)"/>
      <w:lvlJc w:val="left"/>
      <w:pPr>
        <w:ind w:left="2061" w:hanging="360"/>
      </w:pPr>
      <w:rPr>
        <w:rFonts w:hint="default"/>
      </w:rPr>
    </w:lvl>
    <w:lvl w:ilvl="1" w:tplc="1C090019">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6">
    <w:nsid w:val="75D114F1"/>
    <w:multiLevelType w:val="multilevel"/>
    <w:tmpl w:val="35B61460"/>
    <w:lvl w:ilvl="0">
      <w:start w:val="1"/>
      <w:numFmt w:val="decimal"/>
      <w:lvlText w:val="[%1]"/>
      <w:lvlJc w:val="left"/>
      <w:pPr>
        <w:tabs>
          <w:tab w:val="num" w:pos="851"/>
        </w:tabs>
        <w:ind w:left="0" w:firstLine="0"/>
      </w:pPr>
      <w:rPr>
        <w:rFonts w:hint="default"/>
        <w:b w:val="0"/>
        <w:bCs w:val="0"/>
        <w:color w:val="auto"/>
      </w:rPr>
    </w:lvl>
    <w:lvl w:ilvl="1">
      <w:start w:val="1"/>
      <w:numFmt w:val="decimal"/>
      <w:lvlText w:val="%1.%2"/>
      <w:lvlJc w:val="left"/>
      <w:pPr>
        <w:ind w:left="1559" w:hanging="850"/>
      </w:pPr>
      <w:rPr>
        <w:rFonts w:hint="default"/>
        <w:b w:val="0"/>
        <w:bCs w:val="0"/>
      </w:rPr>
    </w:lvl>
    <w:lvl w:ilvl="2">
      <w:start w:val="1"/>
      <w:numFmt w:val="none"/>
      <w:lvlRestart w:val="0"/>
      <w:lvlText w:val="58.3.1"/>
      <w:lvlJc w:val="left"/>
      <w:pPr>
        <w:tabs>
          <w:tab w:val="num" w:pos="1701"/>
        </w:tabs>
        <w:ind w:left="2835" w:hanging="1134"/>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7">
    <w:nsid w:val="76A203A9"/>
    <w:multiLevelType w:val="multilevel"/>
    <w:tmpl w:val="7FB83B8C"/>
    <w:numStyleLink w:val="Style1"/>
  </w:abstractNum>
  <w:abstractNum w:abstractNumId="38">
    <w:nsid w:val="79603B3A"/>
    <w:multiLevelType w:val="multilevel"/>
    <w:tmpl w:val="C7244D6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C2C0256"/>
    <w:multiLevelType w:val="hybridMultilevel"/>
    <w:tmpl w:val="E13EAD90"/>
    <w:lvl w:ilvl="0" w:tplc="8AE869E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num w:numId="1">
    <w:abstractNumId w:val="24"/>
  </w:num>
  <w:num w:numId="2">
    <w:abstractNumId w:val="22"/>
  </w:num>
  <w:num w:numId="3">
    <w:abstractNumId w:val="37"/>
    <w:lvlOverride w:ilvl="0">
      <w:lvl w:ilvl="0">
        <w:start w:val="1"/>
        <w:numFmt w:val="decimal"/>
        <w:isLgl/>
        <w:lvlText w:val="%1."/>
        <w:lvlJc w:val="left"/>
        <w:pPr>
          <w:ind w:left="360" w:hanging="360"/>
        </w:pPr>
        <w:rPr>
          <w:rFonts w:ascii="Arial" w:hAnsi="Arial" w:cs="Arial" w:hint="default"/>
          <w:b w:val="0"/>
          <w:bCs w:val="0"/>
          <w:i w:val="0"/>
          <w:iCs w:val="0"/>
          <w:color w:val="000000" w:themeColor="text1"/>
          <w:sz w:val="24"/>
        </w:rPr>
      </w:lvl>
    </w:lvlOverride>
  </w:num>
  <w:num w:numId="4">
    <w:abstractNumId w:val="2"/>
  </w:num>
  <w:num w:numId="5">
    <w:abstractNumId w:val="29"/>
  </w:num>
  <w:num w:numId="6">
    <w:abstractNumId w:val="18"/>
  </w:num>
  <w:num w:numId="7">
    <w:abstractNumId w:val="2"/>
  </w:num>
  <w:num w:numId="8">
    <w:abstractNumId w:val="9"/>
  </w:num>
  <w:num w:numId="9">
    <w:abstractNumId w:val="29"/>
  </w:num>
  <w:num w:numId="10">
    <w:abstractNumId w:val="29"/>
  </w:num>
  <w:num w:numId="11">
    <w:abstractNumId w:val="38"/>
  </w:num>
  <w:num w:numId="12">
    <w:abstractNumId w:val="11"/>
  </w:num>
  <w:num w:numId="13">
    <w:abstractNumId w:val="34"/>
  </w:num>
  <w:num w:numId="14">
    <w:abstractNumId w:val="20"/>
  </w:num>
  <w:num w:numId="15">
    <w:abstractNumId w:val="26"/>
  </w:num>
  <w:num w:numId="16">
    <w:abstractNumId w:val="12"/>
  </w:num>
  <w:num w:numId="17">
    <w:abstractNumId w:val="0"/>
  </w:num>
  <w:num w:numId="18">
    <w:abstractNumId w:val="3"/>
  </w:num>
  <w:num w:numId="19">
    <w:abstractNumId w:val="14"/>
  </w:num>
  <w:num w:numId="20">
    <w:abstractNumId w:val="33"/>
  </w:num>
  <w:num w:numId="21">
    <w:abstractNumId w:val="21"/>
  </w:num>
  <w:num w:numId="22">
    <w:abstractNumId w:val="30"/>
  </w:num>
  <w:num w:numId="23">
    <w:abstractNumId w:val="17"/>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3"/>
  </w:num>
  <w:num w:numId="27">
    <w:abstractNumId w:val="6"/>
  </w:num>
  <w:num w:numId="28">
    <w:abstractNumId w:val="19"/>
  </w:num>
  <w:num w:numId="29">
    <w:abstractNumId w:val="36"/>
  </w:num>
  <w:num w:numId="30">
    <w:abstractNumId w:val="8"/>
  </w:num>
  <w:num w:numId="31">
    <w:abstractNumId w:val="5"/>
  </w:num>
  <w:num w:numId="32">
    <w:abstractNumId w:val="4"/>
  </w:num>
  <w:num w:numId="33">
    <w:abstractNumId w:val="27"/>
  </w:num>
  <w:num w:numId="34">
    <w:abstractNumId w:val="25"/>
  </w:num>
  <w:num w:numId="35">
    <w:abstractNumId w:val="7"/>
  </w:num>
  <w:num w:numId="36">
    <w:abstractNumId w:val="39"/>
  </w:num>
  <w:num w:numId="37">
    <w:abstractNumId w:val="32"/>
  </w:num>
  <w:num w:numId="38">
    <w:abstractNumId w:val="28"/>
  </w:num>
  <w:num w:numId="39">
    <w:abstractNumId w:val="16"/>
  </w:num>
  <w:num w:numId="40">
    <w:abstractNumId w:val="15"/>
  </w:num>
  <w:num w:numId="41">
    <w:abstractNumId w:val="35"/>
  </w:num>
  <w:num w:numId="42">
    <w:abstractNumId w:val="10"/>
  </w:num>
  <w:num w:numId="43">
    <w:abstractNumId w:val="3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409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ZA" w:vendorID="64" w:dllVersion="0" w:nlCheck="1" w:checkStyle="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1"/>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05"/>
    <w:rsid w:val="00000094"/>
    <w:rsid w:val="000000F7"/>
    <w:rsid w:val="00000257"/>
    <w:rsid w:val="00000FD2"/>
    <w:rsid w:val="00001421"/>
    <w:rsid w:val="00001993"/>
    <w:rsid w:val="00002249"/>
    <w:rsid w:val="00002931"/>
    <w:rsid w:val="00002989"/>
    <w:rsid w:val="00002AB8"/>
    <w:rsid w:val="00002E2A"/>
    <w:rsid w:val="00004C06"/>
    <w:rsid w:val="000050EC"/>
    <w:rsid w:val="000057CE"/>
    <w:rsid w:val="0000650B"/>
    <w:rsid w:val="00006E25"/>
    <w:rsid w:val="0000740F"/>
    <w:rsid w:val="0000743F"/>
    <w:rsid w:val="00007549"/>
    <w:rsid w:val="00007E85"/>
    <w:rsid w:val="000107B3"/>
    <w:rsid w:val="000107C4"/>
    <w:rsid w:val="00011281"/>
    <w:rsid w:val="000115F6"/>
    <w:rsid w:val="00011DD7"/>
    <w:rsid w:val="0001273D"/>
    <w:rsid w:val="00012B1F"/>
    <w:rsid w:val="00012EEA"/>
    <w:rsid w:val="00013157"/>
    <w:rsid w:val="000133EA"/>
    <w:rsid w:val="00013D6B"/>
    <w:rsid w:val="00014FE9"/>
    <w:rsid w:val="00015206"/>
    <w:rsid w:val="00015443"/>
    <w:rsid w:val="0001564D"/>
    <w:rsid w:val="00017257"/>
    <w:rsid w:val="0001764C"/>
    <w:rsid w:val="00017F12"/>
    <w:rsid w:val="00017F4F"/>
    <w:rsid w:val="00020A9F"/>
    <w:rsid w:val="00020B6A"/>
    <w:rsid w:val="00020CCF"/>
    <w:rsid w:val="00021ECF"/>
    <w:rsid w:val="000231A2"/>
    <w:rsid w:val="0002321E"/>
    <w:rsid w:val="00023FD2"/>
    <w:rsid w:val="00024725"/>
    <w:rsid w:val="0002484C"/>
    <w:rsid w:val="00024875"/>
    <w:rsid w:val="0002628A"/>
    <w:rsid w:val="00026453"/>
    <w:rsid w:val="000265EF"/>
    <w:rsid w:val="00026ABA"/>
    <w:rsid w:val="00027054"/>
    <w:rsid w:val="00031A2C"/>
    <w:rsid w:val="00032410"/>
    <w:rsid w:val="00032714"/>
    <w:rsid w:val="00032D75"/>
    <w:rsid w:val="00033758"/>
    <w:rsid w:val="0003406E"/>
    <w:rsid w:val="000341CC"/>
    <w:rsid w:val="000349D1"/>
    <w:rsid w:val="00034EA5"/>
    <w:rsid w:val="00035934"/>
    <w:rsid w:val="0003731A"/>
    <w:rsid w:val="00037399"/>
    <w:rsid w:val="00037FE3"/>
    <w:rsid w:val="0004053A"/>
    <w:rsid w:val="00040BFA"/>
    <w:rsid w:val="00040EE9"/>
    <w:rsid w:val="00041143"/>
    <w:rsid w:val="0004128E"/>
    <w:rsid w:val="00042F5A"/>
    <w:rsid w:val="000436A8"/>
    <w:rsid w:val="000438B0"/>
    <w:rsid w:val="0004664D"/>
    <w:rsid w:val="00046748"/>
    <w:rsid w:val="000467D1"/>
    <w:rsid w:val="0004765E"/>
    <w:rsid w:val="00047E7F"/>
    <w:rsid w:val="00050238"/>
    <w:rsid w:val="00051061"/>
    <w:rsid w:val="0005123E"/>
    <w:rsid w:val="00051362"/>
    <w:rsid w:val="000524F8"/>
    <w:rsid w:val="000525E2"/>
    <w:rsid w:val="00052A9E"/>
    <w:rsid w:val="00053687"/>
    <w:rsid w:val="00053688"/>
    <w:rsid w:val="000539B3"/>
    <w:rsid w:val="000541E2"/>
    <w:rsid w:val="00054266"/>
    <w:rsid w:val="00054F92"/>
    <w:rsid w:val="00055391"/>
    <w:rsid w:val="000553E6"/>
    <w:rsid w:val="000559EA"/>
    <w:rsid w:val="00055ACA"/>
    <w:rsid w:val="00057760"/>
    <w:rsid w:val="000602FC"/>
    <w:rsid w:val="0006080A"/>
    <w:rsid w:val="00060DBE"/>
    <w:rsid w:val="0006229B"/>
    <w:rsid w:val="00062323"/>
    <w:rsid w:val="00062A5C"/>
    <w:rsid w:val="00063E6E"/>
    <w:rsid w:val="000641C5"/>
    <w:rsid w:val="00065D69"/>
    <w:rsid w:val="00066277"/>
    <w:rsid w:val="0006760D"/>
    <w:rsid w:val="000678C9"/>
    <w:rsid w:val="000678EF"/>
    <w:rsid w:val="000700D9"/>
    <w:rsid w:val="00070B1F"/>
    <w:rsid w:val="000710A5"/>
    <w:rsid w:val="0007126F"/>
    <w:rsid w:val="00071848"/>
    <w:rsid w:val="00072CA7"/>
    <w:rsid w:val="00072D52"/>
    <w:rsid w:val="000751AD"/>
    <w:rsid w:val="0007555B"/>
    <w:rsid w:val="000763DF"/>
    <w:rsid w:val="000771E1"/>
    <w:rsid w:val="00077752"/>
    <w:rsid w:val="000777A2"/>
    <w:rsid w:val="000779CC"/>
    <w:rsid w:val="00077C3F"/>
    <w:rsid w:val="00081AB8"/>
    <w:rsid w:val="00082BE4"/>
    <w:rsid w:val="00086415"/>
    <w:rsid w:val="000865E1"/>
    <w:rsid w:val="00086B30"/>
    <w:rsid w:val="00086E39"/>
    <w:rsid w:val="00086EDE"/>
    <w:rsid w:val="0008733F"/>
    <w:rsid w:val="00090558"/>
    <w:rsid w:val="00090C61"/>
    <w:rsid w:val="000918A8"/>
    <w:rsid w:val="00091C7E"/>
    <w:rsid w:val="00091CCD"/>
    <w:rsid w:val="000925D0"/>
    <w:rsid w:val="00092B1E"/>
    <w:rsid w:val="00093008"/>
    <w:rsid w:val="00093B6B"/>
    <w:rsid w:val="000940AD"/>
    <w:rsid w:val="000940D0"/>
    <w:rsid w:val="0009413B"/>
    <w:rsid w:val="00094483"/>
    <w:rsid w:val="00095340"/>
    <w:rsid w:val="0009578A"/>
    <w:rsid w:val="00095E34"/>
    <w:rsid w:val="000968A2"/>
    <w:rsid w:val="000968A6"/>
    <w:rsid w:val="00096CB9"/>
    <w:rsid w:val="000974C0"/>
    <w:rsid w:val="00097562"/>
    <w:rsid w:val="0009757B"/>
    <w:rsid w:val="000976A3"/>
    <w:rsid w:val="00097AB1"/>
    <w:rsid w:val="00097C96"/>
    <w:rsid w:val="00097CAC"/>
    <w:rsid w:val="000A07FE"/>
    <w:rsid w:val="000A116D"/>
    <w:rsid w:val="000A11C3"/>
    <w:rsid w:val="000A2B90"/>
    <w:rsid w:val="000A2E18"/>
    <w:rsid w:val="000A4420"/>
    <w:rsid w:val="000A57A9"/>
    <w:rsid w:val="000A5BBA"/>
    <w:rsid w:val="000A68A3"/>
    <w:rsid w:val="000A76E3"/>
    <w:rsid w:val="000A79A8"/>
    <w:rsid w:val="000A7F72"/>
    <w:rsid w:val="000B0AD1"/>
    <w:rsid w:val="000B1007"/>
    <w:rsid w:val="000B13C0"/>
    <w:rsid w:val="000B2313"/>
    <w:rsid w:val="000B2F38"/>
    <w:rsid w:val="000B37B4"/>
    <w:rsid w:val="000B3A6F"/>
    <w:rsid w:val="000B3D3E"/>
    <w:rsid w:val="000B40AF"/>
    <w:rsid w:val="000B44D3"/>
    <w:rsid w:val="000B4886"/>
    <w:rsid w:val="000B665F"/>
    <w:rsid w:val="000B739A"/>
    <w:rsid w:val="000B7B1F"/>
    <w:rsid w:val="000C0292"/>
    <w:rsid w:val="000C0839"/>
    <w:rsid w:val="000C0BBA"/>
    <w:rsid w:val="000C13AE"/>
    <w:rsid w:val="000C1879"/>
    <w:rsid w:val="000C3049"/>
    <w:rsid w:val="000C3483"/>
    <w:rsid w:val="000C3732"/>
    <w:rsid w:val="000C3D9F"/>
    <w:rsid w:val="000C3EAB"/>
    <w:rsid w:val="000C45D8"/>
    <w:rsid w:val="000C4A2B"/>
    <w:rsid w:val="000C50C3"/>
    <w:rsid w:val="000C580C"/>
    <w:rsid w:val="000C66A5"/>
    <w:rsid w:val="000C6747"/>
    <w:rsid w:val="000C75C0"/>
    <w:rsid w:val="000C76BB"/>
    <w:rsid w:val="000C78F1"/>
    <w:rsid w:val="000D0787"/>
    <w:rsid w:val="000D0A87"/>
    <w:rsid w:val="000D16AF"/>
    <w:rsid w:val="000D3591"/>
    <w:rsid w:val="000D3BB6"/>
    <w:rsid w:val="000D438C"/>
    <w:rsid w:val="000D4FFA"/>
    <w:rsid w:val="000D5B7C"/>
    <w:rsid w:val="000D77E8"/>
    <w:rsid w:val="000E0994"/>
    <w:rsid w:val="000E0A0A"/>
    <w:rsid w:val="000E0AFA"/>
    <w:rsid w:val="000E1DC2"/>
    <w:rsid w:val="000E2BFB"/>
    <w:rsid w:val="000E3D74"/>
    <w:rsid w:val="000E4512"/>
    <w:rsid w:val="000E53D3"/>
    <w:rsid w:val="000E57A1"/>
    <w:rsid w:val="000E608C"/>
    <w:rsid w:val="000E64FB"/>
    <w:rsid w:val="000E78FB"/>
    <w:rsid w:val="000F05D8"/>
    <w:rsid w:val="000F069B"/>
    <w:rsid w:val="000F0F1B"/>
    <w:rsid w:val="000F11EB"/>
    <w:rsid w:val="000F2791"/>
    <w:rsid w:val="000F3578"/>
    <w:rsid w:val="000F3950"/>
    <w:rsid w:val="000F3ADA"/>
    <w:rsid w:val="000F46EB"/>
    <w:rsid w:val="000F53BB"/>
    <w:rsid w:val="000F56EF"/>
    <w:rsid w:val="000F5EFA"/>
    <w:rsid w:val="000F72C4"/>
    <w:rsid w:val="000F7740"/>
    <w:rsid w:val="000F77FE"/>
    <w:rsid w:val="000F7BF3"/>
    <w:rsid w:val="00100F39"/>
    <w:rsid w:val="0010106E"/>
    <w:rsid w:val="0010114E"/>
    <w:rsid w:val="0010150F"/>
    <w:rsid w:val="00101A8B"/>
    <w:rsid w:val="00101DF7"/>
    <w:rsid w:val="00102251"/>
    <w:rsid w:val="0010284E"/>
    <w:rsid w:val="00102FB7"/>
    <w:rsid w:val="00104C1A"/>
    <w:rsid w:val="00106170"/>
    <w:rsid w:val="0010664B"/>
    <w:rsid w:val="00107B37"/>
    <w:rsid w:val="00110ED6"/>
    <w:rsid w:val="00111020"/>
    <w:rsid w:val="001122B1"/>
    <w:rsid w:val="00112DCC"/>
    <w:rsid w:val="001130BD"/>
    <w:rsid w:val="001138A0"/>
    <w:rsid w:val="00113A26"/>
    <w:rsid w:val="00113E08"/>
    <w:rsid w:val="0011450C"/>
    <w:rsid w:val="001145F5"/>
    <w:rsid w:val="00114A56"/>
    <w:rsid w:val="0011548B"/>
    <w:rsid w:val="001173F7"/>
    <w:rsid w:val="00117628"/>
    <w:rsid w:val="0012065C"/>
    <w:rsid w:val="001216E9"/>
    <w:rsid w:val="00122228"/>
    <w:rsid w:val="001223B6"/>
    <w:rsid w:val="0012243D"/>
    <w:rsid w:val="00122539"/>
    <w:rsid w:val="00122934"/>
    <w:rsid w:val="00122FEE"/>
    <w:rsid w:val="001242A3"/>
    <w:rsid w:val="00125795"/>
    <w:rsid w:val="00126BE7"/>
    <w:rsid w:val="00126C52"/>
    <w:rsid w:val="00127825"/>
    <w:rsid w:val="00127826"/>
    <w:rsid w:val="00127BC0"/>
    <w:rsid w:val="001303EF"/>
    <w:rsid w:val="00133326"/>
    <w:rsid w:val="00134FD3"/>
    <w:rsid w:val="00135040"/>
    <w:rsid w:val="001354B8"/>
    <w:rsid w:val="00136AB9"/>
    <w:rsid w:val="00136CFB"/>
    <w:rsid w:val="00137365"/>
    <w:rsid w:val="00140DCB"/>
    <w:rsid w:val="00140E63"/>
    <w:rsid w:val="00141418"/>
    <w:rsid w:val="00141B31"/>
    <w:rsid w:val="0014223D"/>
    <w:rsid w:val="001423DE"/>
    <w:rsid w:val="00142C62"/>
    <w:rsid w:val="00143005"/>
    <w:rsid w:val="0014595A"/>
    <w:rsid w:val="00147518"/>
    <w:rsid w:val="00150382"/>
    <w:rsid w:val="00151D1C"/>
    <w:rsid w:val="00151FD7"/>
    <w:rsid w:val="001530DF"/>
    <w:rsid w:val="001536BB"/>
    <w:rsid w:val="00154444"/>
    <w:rsid w:val="00154750"/>
    <w:rsid w:val="00154E0C"/>
    <w:rsid w:val="001552E6"/>
    <w:rsid w:val="00155F1E"/>
    <w:rsid w:val="0015699A"/>
    <w:rsid w:val="00156B19"/>
    <w:rsid w:val="00156F7B"/>
    <w:rsid w:val="00156F95"/>
    <w:rsid w:val="001575BE"/>
    <w:rsid w:val="00157B49"/>
    <w:rsid w:val="00157B82"/>
    <w:rsid w:val="0016007F"/>
    <w:rsid w:val="00160325"/>
    <w:rsid w:val="0016084B"/>
    <w:rsid w:val="00160E10"/>
    <w:rsid w:val="00161809"/>
    <w:rsid w:val="00161B13"/>
    <w:rsid w:val="001622CA"/>
    <w:rsid w:val="001629D8"/>
    <w:rsid w:val="0016323A"/>
    <w:rsid w:val="0016370A"/>
    <w:rsid w:val="00164159"/>
    <w:rsid w:val="00164214"/>
    <w:rsid w:val="001644C5"/>
    <w:rsid w:val="00164C9A"/>
    <w:rsid w:val="00165378"/>
    <w:rsid w:val="001653C6"/>
    <w:rsid w:val="00165700"/>
    <w:rsid w:val="0016586B"/>
    <w:rsid w:val="00165E42"/>
    <w:rsid w:val="0016661F"/>
    <w:rsid w:val="001669E2"/>
    <w:rsid w:val="00167710"/>
    <w:rsid w:val="0017057E"/>
    <w:rsid w:val="001729EE"/>
    <w:rsid w:val="001731C3"/>
    <w:rsid w:val="00174F66"/>
    <w:rsid w:val="00176713"/>
    <w:rsid w:val="001770E5"/>
    <w:rsid w:val="00177AA6"/>
    <w:rsid w:val="001809B2"/>
    <w:rsid w:val="00181C29"/>
    <w:rsid w:val="00183B49"/>
    <w:rsid w:val="00183DC4"/>
    <w:rsid w:val="00184D75"/>
    <w:rsid w:val="00184F8A"/>
    <w:rsid w:val="00185465"/>
    <w:rsid w:val="001856FB"/>
    <w:rsid w:val="001866F3"/>
    <w:rsid w:val="001867DF"/>
    <w:rsid w:val="00186C09"/>
    <w:rsid w:val="00187237"/>
    <w:rsid w:val="00187890"/>
    <w:rsid w:val="0018790C"/>
    <w:rsid w:val="0019065F"/>
    <w:rsid w:val="001906D7"/>
    <w:rsid w:val="0019076F"/>
    <w:rsid w:val="001918A1"/>
    <w:rsid w:val="00192A4D"/>
    <w:rsid w:val="00192AD6"/>
    <w:rsid w:val="00192DA1"/>
    <w:rsid w:val="001942A9"/>
    <w:rsid w:val="00194E04"/>
    <w:rsid w:val="00195ABB"/>
    <w:rsid w:val="00195C2F"/>
    <w:rsid w:val="001A0363"/>
    <w:rsid w:val="001A1A86"/>
    <w:rsid w:val="001A2C92"/>
    <w:rsid w:val="001A3F2F"/>
    <w:rsid w:val="001A6837"/>
    <w:rsid w:val="001A6C8E"/>
    <w:rsid w:val="001A7564"/>
    <w:rsid w:val="001A79CD"/>
    <w:rsid w:val="001A7C23"/>
    <w:rsid w:val="001B075E"/>
    <w:rsid w:val="001B0CDF"/>
    <w:rsid w:val="001B0E9C"/>
    <w:rsid w:val="001B1468"/>
    <w:rsid w:val="001B240F"/>
    <w:rsid w:val="001B3085"/>
    <w:rsid w:val="001B4183"/>
    <w:rsid w:val="001B4916"/>
    <w:rsid w:val="001B4B34"/>
    <w:rsid w:val="001B5327"/>
    <w:rsid w:val="001B7029"/>
    <w:rsid w:val="001B7C10"/>
    <w:rsid w:val="001C025B"/>
    <w:rsid w:val="001C2130"/>
    <w:rsid w:val="001C5BC7"/>
    <w:rsid w:val="001C5DCD"/>
    <w:rsid w:val="001C5E81"/>
    <w:rsid w:val="001C6184"/>
    <w:rsid w:val="001C61E7"/>
    <w:rsid w:val="001D1A89"/>
    <w:rsid w:val="001D26E4"/>
    <w:rsid w:val="001D2AB3"/>
    <w:rsid w:val="001D2E4B"/>
    <w:rsid w:val="001D39F5"/>
    <w:rsid w:val="001D3A4A"/>
    <w:rsid w:val="001D3A87"/>
    <w:rsid w:val="001D497B"/>
    <w:rsid w:val="001D505D"/>
    <w:rsid w:val="001D579E"/>
    <w:rsid w:val="001D5948"/>
    <w:rsid w:val="001D5A11"/>
    <w:rsid w:val="001D6242"/>
    <w:rsid w:val="001D6623"/>
    <w:rsid w:val="001D7165"/>
    <w:rsid w:val="001D716A"/>
    <w:rsid w:val="001D7462"/>
    <w:rsid w:val="001D7E64"/>
    <w:rsid w:val="001E0F74"/>
    <w:rsid w:val="001E12E0"/>
    <w:rsid w:val="001E17F0"/>
    <w:rsid w:val="001E1B79"/>
    <w:rsid w:val="001E2853"/>
    <w:rsid w:val="001E2D8B"/>
    <w:rsid w:val="001E3E06"/>
    <w:rsid w:val="001E411A"/>
    <w:rsid w:val="001E4DA4"/>
    <w:rsid w:val="001E4FB4"/>
    <w:rsid w:val="001E5AD3"/>
    <w:rsid w:val="001E6F65"/>
    <w:rsid w:val="001E751A"/>
    <w:rsid w:val="001E7AC8"/>
    <w:rsid w:val="001E7D22"/>
    <w:rsid w:val="001E7FCA"/>
    <w:rsid w:val="001F02A6"/>
    <w:rsid w:val="001F094E"/>
    <w:rsid w:val="001F0FD7"/>
    <w:rsid w:val="001F158B"/>
    <w:rsid w:val="001F2B56"/>
    <w:rsid w:val="001F3B8D"/>
    <w:rsid w:val="001F3BF0"/>
    <w:rsid w:val="001F3DC6"/>
    <w:rsid w:val="001F6545"/>
    <w:rsid w:val="001F6D91"/>
    <w:rsid w:val="001F6F81"/>
    <w:rsid w:val="001F7A24"/>
    <w:rsid w:val="001F7E04"/>
    <w:rsid w:val="00200F16"/>
    <w:rsid w:val="00201042"/>
    <w:rsid w:val="00201279"/>
    <w:rsid w:val="002016D8"/>
    <w:rsid w:val="002025A0"/>
    <w:rsid w:val="00202AF7"/>
    <w:rsid w:val="00204728"/>
    <w:rsid w:val="00204735"/>
    <w:rsid w:val="00204DE0"/>
    <w:rsid w:val="00205079"/>
    <w:rsid w:val="002050CE"/>
    <w:rsid w:val="00205A9D"/>
    <w:rsid w:val="00205C58"/>
    <w:rsid w:val="00206DC6"/>
    <w:rsid w:val="0020773A"/>
    <w:rsid w:val="00207C9A"/>
    <w:rsid w:val="00207F5D"/>
    <w:rsid w:val="002100C0"/>
    <w:rsid w:val="0021035B"/>
    <w:rsid w:val="002105CE"/>
    <w:rsid w:val="00210BF6"/>
    <w:rsid w:val="00210F2C"/>
    <w:rsid w:val="002111E8"/>
    <w:rsid w:val="00211B4C"/>
    <w:rsid w:val="0021241D"/>
    <w:rsid w:val="0021264E"/>
    <w:rsid w:val="00212C28"/>
    <w:rsid w:val="00212F61"/>
    <w:rsid w:val="00213A0C"/>
    <w:rsid w:val="00214135"/>
    <w:rsid w:val="002148CC"/>
    <w:rsid w:val="002153E3"/>
    <w:rsid w:val="0021594E"/>
    <w:rsid w:val="00215B29"/>
    <w:rsid w:val="00216109"/>
    <w:rsid w:val="002161BC"/>
    <w:rsid w:val="002168E9"/>
    <w:rsid w:val="00216C4F"/>
    <w:rsid w:val="0021725B"/>
    <w:rsid w:val="00217393"/>
    <w:rsid w:val="002200BF"/>
    <w:rsid w:val="00224006"/>
    <w:rsid w:val="0022449D"/>
    <w:rsid w:val="0022503E"/>
    <w:rsid w:val="00225194"/>
    <w:rsid w:val="00225A38"/>
    <w:rsid w:val="00225C7B"/>
    <w:rsid w:val="002263D8"/>
    <w:rsid w:val="002264BE"/>
    <w:rsid w:val="00227243"/>
    <w:rsid w:val="00227280"/>
    <w:rsid w:val="00230CB2"/>
    <w:rsid w:val="0023131E"/>
    <w:rsid w:val="00232456"/>
    <w:rsid w:val="002339D2"/>
    <w:rsid w:val="00233BDD"/>
    <w:rsid w:val="00234943"/>
    <w:rsid w:val="00234F31"/>
    <w:rsid w:val="00235242"/>
    <w:rsid w:val="00235C5F"/>
    <w:rsid w:val="0023644D"/>
    <w:rsid w:val="0023733E"/>
    <w:rsid w:val="0023784F"/>
    <w:rsid w:val="00240E69"/>
    <w:rsid w:val="002411F8"/>
    <w:rsid w:val="00241FEE"/>
    <w:rsid w:val="00242329"/>
    <w:rsid w:val="0024272C"/>
    <w:rsid w:val="00242958"/>
    <w:rsid w:val="00242D2D"/>
    <w:rsid w:val="00244AC7"/>
    <w:rsid w:val="00245BA7"/>
    <w:rsid w:val="0024718B"/>
    <w:rsid w:val="00247FEF"/>
    <w:rsid w:val="00250323"/>
    <w:rsid w:val="00250327"/>
    <w:rsid w:val="0025293F"/>
    <w:rsid w:val="002534A8"/>
    <w:rsid w:val="00253B7B"/>
    <w:rsid w:val="00253C09"/>
    <w:rsid w:val="0025492F"/>
    <w:rsid w:val="00254C28"/>
    <w:rsid w:val="002553EF"/>
    <w:rsid w:val="00255533"/>
    <w:rsid w:val="002569A8"/>
    <w:rsid w:val="002573F5"/>
    <w:rsid w:val="002579A6"/>
    <w:rsid w:val="002604D2"/>
    <w:rsid w:val="00260FE5"/>
    <w:rsid w:val="00262A04"/>
    <w:rsid w:val="002630AB"/>
    <w:rsid w:val="0026353D"/>
    <w:rsid w:val="0026429E"/>
    <w:rsid w:val="0026444F"/>
    <w:rsid w:val="00264885"/>
    <w:rsid w:val="00265193"/>
    <w:rsid w:val="002655BA"/>
    <w:rsid w:val="00265873"/>
    <w:rsid w:val="00265B7B"/>
    <w:rsid w:val="00265EEB"/>
    <w:rsid w:val="0026635C"/>
    <w:rsid w:val="002670D2"/>
    <w:rsid w:val="00267188"/>
    <w:rsid w:val="002672BC"/>
    <w:rsid w:val="00270773"/>
    <w:rsid w:val="0027174B"/>
    <w:rsid w:val="00271B85"/>
    <w:rsid w:val="00271F62"/>
    <w:rsid w:val="00271F8E"/>
    <w:rsid w:val="002723AB"/>
    <w:rsid w:val="00272852"/>
    <w:rsid w:val="002731B3"/>
    <w:rsid w:val="0027354E"/>
    <w:rsid w:val="00273867"/>
    <w:rsid w:val="002740F3"/>
    <w:rsid w:val="00274E3A"/>
    <w:rsid w:val="00275A66"/>
    <w:rsid w:val="00276B7E"/>
    <w:rsid w:val="002777A5"/>
    <w:rsid w:val="00277E44"/>
    <w:rsid w:val="002801B8"/>
    <w:rsid w:val="00280608"/>
    <w:rsid w:val="00280DB2"/>
    <w:rsid w:val="00281025"/>
    <w:rsid w:val="00281976"/>
    <w:rsid w:val="00282974"/>
    <w:rsid w:val="00282E95"/>
    <w:rsid w:val="00282F79"/>
    <w:rsid w:val="00283733"/>
    <w:rsid w:val="002838BE"/>
    <w:rsid w:val="0028394E"/>
    <w:rsid w:val="00284B88"/>
    <w:rsid w:val="00285898"/>
    <w:rsid w:val="00285D5D"/>
    <w:rsid w:val="0028608A"/>
    <w:rsid w:val="00286581"/>
    <w:rsid w:val="00287811"/>
    <w:rsid w:val="00287896"/>
    <w:rsid w:val="00287D05"/>
    <w:rsid w:val="0029024F"/>
    <w:rsid w:val="0029047A"/>
    <w:rsid w:val="002907CA"/>
    <w:rsid w:val="00290A9A"/>
    <w:rsid w:val="00290E50"/>
    <w:rsid w:val="00291C25"/>
    <w:rsid w:val="002928D2"/>
    <w:rsid w:val="002928F3"/>
    <w:rsid w:val="002933F8"/>
    <w:rsid w:val="00293F6D"/>
    <w:rsid w:val="00294EA5"/>
    <w:rsid w:val="00296BF2"/>
    <w:rsid w:val="0029759A"/>
    <w:rsid w:val="00297B4E"/>
    <w:rsid w:val="00297C4E"/>
    <w:rsid w:val="00297C8B"/>
    <w:rsid w:val="00297CC6"/>
    <w:rsid w:val="002A0018"/>
    <w:rsid w:val="002A05F1"/>
    <w:rsid w:val="002A0A91"/>
    <w:rsid w:val="002A0AED"/>
    <w:rsid w:val="002A3303"/>
    <w:rsid w:val="002A3D1B"/>
    <w:rsid w:val="002A4CF4"/>
    <w:rsid w:val="002A5349"/>
    <w:rsid w:val="002A5E51"/>
    <w:rsid w:val="002A6C60"/>
    <w:rsid w:val="002A6D42"/>
    <w:rsid w:val="002A7672"/>
    <w:rsid w:val="002A7850"/>
    <w:rsid w:val="002B08B9"/>
    <w:rsid w:val="002B112A"/>
    <w:rsid w:val="002B1394"/>
    <w:rsid w:val="002B2AC9"/>
    <w:rsid w:val="002B2C9B"/>
    <w:rsid w:val="002B2D35"/>
    <w:rsid w:val="002B3D2C"/>
    <w:rsid w:val="002B4F90"/>
    <w:rsid w:val="002B5801"/>
    <w:rsid w:val="002B619C"/>
    <w:rsid w:val="002B65AE"/>
    <w:rsid w:val="002C02DC"/>
    <w:rsid w:val="002C0A61"/>
    <w:rsid w:val="002C0D15"/>
    <w:rsid w:val="002C3640"/>
    <w:rsid w:val="002C3B8A"/>
    <w:rsid w:val="002C47D7"/>
    <w:rsid w:val="002C4838"/>
    <w:rsid w:val="002C49C2"/>
    <w:rsid w:val="002C4A67"/>
    <w:rsid w:val="002C5B3C"/>
    <w:rsid w:val="002C5C7A"/>
    <w:rsid w:val="002C6471"/>
    <w:rsid w:val="002C6583"/>
    <w:rsid w:val="002C76B4"/>
    <w:rsid w:val="002C7CDC"/>
    <w:rsid w:val="002D0160"/>
    <w:rsid w:val="002D1C8A"/>
    <w:rsid w:val="002D2316"/>
    <w:rsid w:val="002D373D"/>
    <w:rsid w:val="002D3D67"/>
    <w:rsid w:val="002D46E7"/>
    <w:rsid w:val="002D4792"/>
    <w:rsid w:val="002D494A"/>
    <w:rsid w:val="002D4A70"/>
    <w:rsid w:val="002D4BD3"/>
    <w:rsid w:val="002D5891"/>
    <w:rsid w:val="002D7D86"/>
    <w:rsid w:val="002E08A6"/>
    <w:rsid w:val="002E10C9"/>
    <w:rsid w:val="002E1B2D"/>
    <w:rsid w:val="002E239B"/>
    <w:rsid w:val="002E289A"/>
    <w:rsid w:val="002E28FC"/>
    <w:rsid w:val="002E304A"/>
    <w:rsid w:val="002E3593"/>
    <w:rsid w:val="002E4186"/>
    <w:rsid w:val="002E6434"/>
    <w:rsid w:val="002E65FA"/>
    <w:rsid w:val="002E6BC0"/>
    <w:rsid w:val="002E70C5"/>
    <w:rsid w:val="002E7CA6"/>
    <w:rsid w:val="002E7E97"/>
    <w:rsid w:val="002F0A46"/>
    <w:rsid w:val="002F1673"/>
    <w:rsid w:val="002F1BA9"/>
    <w:rsid w:val="002F2927"/>
    <w:rsid w:val="002F32D9"/>
    <w:rsid w:val="002F6391"/>
    <w:rsid w:val="002F687F"/>
    <w:rsid w:val="002F6BA8"/>
    <w:rsid w:val="002F72D9"/>
    <w:rsid w:val="002F7482"/>
    <w:rsid w:val="002F7F6C"/>
    <w:rsid w:val="0030098C"/>
    <w:rsid w:val="00300A88"/>
    <w:rsid w:val="00301C9B"/>
    <w:rsid w:val="00302D7C"/>
    <w:rsid w:val="00302DDC"/>
    <w:rsid w:val="00302E76"/>
    <w:rsid w:val="00302EC3"/>
    <w:rsid w:val="0030377B"/>
    <w:rsid w:val="00304ABB"/>
    <w:rsid w:val="00304DF9"/>
    <w:rsid w:val="003050B1"/>
    <w:rsid w:val="00310EC9"/>
    <w:rsid w:val="003110F4"/>
    <w:rsid w:val="003114DA"/>
    <w:rsid w:val="003132F5"/>
    <w:rsid w:val="0031387B"/>
    <w:rsid w:val="0031389D"/>
    <w:rsid w:val="00313F12"/>
    <w:rsid w:val="0031437B"/>
    <w:rsid w:val="00314A79"/>
    <w:rsid w:val="00315088"/>
    <w:rsid w:val="00315172"/>
    <w:rsid w:val="00315F24"/>
    <w:rsid w:val="003177D1"/>
    <w:rsid w:val="00320181"/>
    <w:rsid w:val="003201B2"/>
    <w:rsid w:val="0032030B"/>
    <w:rsid w:val="0032137C"/>
    <w:rsid w:val="00321C73"/>
    <w:rsid w:val="00323264"/>
    <w:rsid w:val="0032382C"/>
    <w:rsid w:val="00323F41"/>
    <w:rsid w:val="003257F4"/>
    <w:rsid w:val="00325DC9"/>
    <w:rsid w:val="00330119"/>
    <w:rsid w:val="00331633"/>
    <w:rsid w:val="003317B1"/>
    <w:rsid w:val="00331B1F"/>
    <w:rsid w:val="00331F08"/>
    <w:rsid w:val="00332FFD"/>
    <w:rsid w:val="0033356C"/>
    <w:rsid w:val="00333D20"/>
    <w:rsid w:val="003343A2"/>
    <w:rsid w:val="00340186"/>
    <w:rsid w:val="00341247"/>
    <w:rsid w:val="003413D7"/>
    <w:rsid w:val="003419D7"/>
    <w:rsid w:val="00344DF5"/>
    <w:rsid w:val="0034595E"/>
    <w:rsid w:val="00345ADF"/>
    <w:rsid w:val="00345D85"/>
    <w:rsid w:val="00346FAC"/>
    <w:rsid w:val="003504D3"/>
    <w:rsid w:val="0035055E"/>
    <w:rsid w:val="003505F7"/>
    <w:rsid w:val="00351076"/>
    <w:rsid w:val="00351244"/>
    <w:rsid w:val="00352A84"/>
    <w:rsid w:val="00352AD9"/>
    <w:rsid w:val="0035311C"/>
    <w:rsid w:val="00353F67"/>
    <w:rsid w:val="003544F0"/>
    <w:rsid w:val="003547F2"/>
    <w:rsid w:val="00356422"/>
    <w:rsid w:val="00356D18"/>
    <w:rsid w:val="003608EB"/>
    <w:rsid w:val="00361196"/>
    <w:rsid w:val="003613A8"/>
    <w:rsid w:val="003626AE"/>
    <w:rsid w:val="00362B07"/>
    <w:rsid w:val="003638E3"/>
    <w:rsid w:val="00363FAA"/>
    <w:rsid w:val="00364579"/>
    <w:rsid w:val="00364A8F"/>
    <w:rsid w:val="00364FFB"/>
    <w:rsid w:val="00365517"/>
    <w:rsid w:val="003660D2"/>
    <w:rsid w:val="00366704"/>
    <w:rsid w:val="00366958"/>
    <w:rsid w:val="00370707"/>
    <w:rsid w:val="003707BE"/>
    <w:rsid w:val="003715CD"/>
    <w:rsid w:val="00371920"/>
    <w:rsid w:val="00371E04"/>
    <w:rsid w:val="00372665"/>
    <w:rsid w:val="003726E3"/>
    <w:rsid w:val="003733E2"/>
    <w:rsid w:val="0037514F"/>
    <w:rsid w:val="003767D6"/>
    <w:rsid w:val="00376968"/>
    <w:rsid w:val="00376C69"/>
    <w:rsid w:val="00377B2B"/>
    <w:rsid w:val="00380626"/>
    <w:rsid w:val="00380901"/>
    <w:rsid w:val="00381F25"/>
    <w:rsid w:val="003827B6"/>
    <w:rsid w:val="00382898"/>
    <w:rsid w:val="003833E5"/>
    <w:rsid w:val="00383A8A"/>
    <w:rsid w:val="00383DD9"/>
    <w:rsid w:val="00386431"/>
    <w:rsid w:val="003867F1"/>
    <w:rsid w:val="0038740C"/>
    <w:rsid w:val="003877D1"/>
    <w:rsid w:val="00387F3A"/>
    <w:rsid w:val="0039014E"/>
    <w:rsid w:val="00390985"/>
    <w:rsid w:val="00391159"/>
    <w:rsid w:val="003911E9"/>
    <w:rsid w:val="00391AA7"/>
    <w:rsid w:val="00393CAC"/>
    <w:rsid w:val="00393DBF"/>
    <w:rsid w:val="00394198"/>
    <w:rsid w:val="003947A7"/>
    <w:rsid w:val="003947C5"/>
    <w:rsid w:val="00394AF6"/>
    <w:rsid w:val="00395125"/>
    <w:rsid w:val="00395A9B"/>
    <w:rsid w:val="00396CF3"/>
    <w:rsid w:val="00397861"/>
    <w:rsid w:val="0039796A"/>
    <w:rsid w:val="00397B17"/>
    <w:rsid w:val="00397B93"/>
    <w:rsid w:val="003A022A"/>
    <w:rsid w:val="003A185D"/>
    <w:rsid w:val="003A1B67"/>
    <w:rsid w:val="003A31F8"/>
    <w:rsid w:val="003A3B7D"/>
    <w:rsid w:val="003A4DD9"/>
    <w:rsid w:val="003A5271"/>
    <w:rsid w:val="003A5F8A"/>
    <w:rsid w:val="003A66E5"/>
    <w:rsid w:val="003A6CC5"/>
    <w:rsid w:val="003A6D83"/>
    <w:rsid w:val="003A6DC8"/>
    <w:rsid w:val="003A7B84"/>
    <w:rsid w:val="003B2802"/>
    <w:rsid w:val="003B2987"/>
    <w:rsid w:val="003B3EF4"/>
    <w:rsid w:val="003B4C83"/>
    <w:rsid w:val="003B568C"/>
    <w:rsid w:val="003B5F9A"/>
    <w:rsid w:val="003B6798"/>
    <w:rsid w:val="003B6DD1"/>
    <w:rsid w:val="003B7375"/>
    <w:rsid w:val="003B7B6E"/>
    <w:rsid w:val="003C01B0"/>
    <w:rsid w:val="003C0A5D"/>
    <w:rsid w:val="003C0F4C"/>
    <w:rsid w:val="003C114D"/>
    <w:rsid w:val="003C2E3D"/>
    <w:rsid w:val="003C3052"/>
    <w:rsid w:val="003C332B"/>
    <w:rsid w:val="003C37AD"/>
    <w:rsid w:val="003C39AD"/>
    <w:rsid w:val="003C3AF5"/>
    <w:rsid w:val="003C3EA6"/>
    <w:rsid w:val="003C4B37"/>
    <w:rsid w:val="003C4C4D"/>
    <w:rsid w:val="003C558F"/>
    <w:rsid w:val="003C597B"/>
    <w:rsid w:val="003C5D8C"/>
    <w:rsid w:val="003C5E36"/>
    <w:rsid w:val="003C677D"/>
    <w:rsid w:val="003C6CE7"/>
    <w:rsid w:val="003C6FC4"/>
    <w:rsid w:val="003C725C"/>
    <w:rsid w:val="003C77EA"/>
    <w:rsid w:val="003C7DD2"/>
    <w:rsid w:val="003C7EC9"/>
    <w:rsid w:val="003D0D7B"/>
    <w:rsid w:val="003D1D04"/>
    <w:rsid w:val="003D1DFE"/>
    <w:rsid w:val="003D2DAF"/>
    <w:rsid w:val="003D4698"/>
    <w:rsid w:val="003D4C7A"/>
    <w:rsid w:val="003D4DC4"/>
    <w:rsid w:val="003D5912"/>
    <w:rsid w:val="003D5AEB"/>
    <w:rsid w:val="003D5E74"/>
    <w:rsid w:val="003D6445"/>
    <w:rsid w:val="003D6A93"/>
    <w:rsid w:val="003D71A2"/>
    <w:rsid w:val="003D7AAE"/>
    <w:rsid w:val="003E00CE"/>
    <w:rsid w:val="003E056E"/>
    <w:rsid w:val="003E0C76"/>
    <w:rsid w:val="003E0CBC"/>
    <w:rsid w:val="003E1D63"/>
    <w:rsid w:val="003E2CE4"/>
    <w:rsid w:val="003E36FB"/>
    <w:rsid w:val="003E3AC6"/>
    <w:rsid w:val="003E3B2B"/>
    <w:rsid w:val="003E4288"/>
    <w:rsid w:val="003E5C7B"/>
    <w:rsid w:val="003E649F"/>
    <w:rsid w:val="003E7268"/>
    <w:rsid w:val="003E7FD5"/>
    <w:rsid w:val="003F00E3"/>
    <w:rsid w:val="003F0342"/>
    <w:rsid w:val="003F0386"/>
    <w:rsid w:val="003F16A7"/>
    <w:rsid w:val="003F18D8"/>
    <w:rsid w:val="003F1BD7"/>
    <w:rsid w:val="003F1BDA"/>
    <w:rsid w:val="003F1CD4"/>
    <w:rsid w:val="003F24DF"/>
    <w:rsid w:val="003F28F0"/>
    <w:rsid w:val="003F31B7"/>
    <w:rsid w:val="003F32D8"/>
    <w:rsid w:val="003F33CB"/>
    <w:rsid w:val="003F64F2"/>
    <w:rsid w:val="003F68DD"/>
    <w:rsid w:val="003F7851"/>
    <w:rsid w:val="003F7D09"/>
    <w:rsid w:val="00400F1F"/>
    <w:rsid w:val="004015BC"/>
    <w:rsid w:val="0040228B"/>
    <w:rsid w:val="0040265F"/>
    <w:rsid w:val="00402C78"/>
    <w:rsid w:val="00403C1C"/>
    <w:rsid w:val="004040BA"/>
    <w:rsid w:val="0040630D"/>
    <w:rsid w:val="00406D07"/>
    <w:rsid w:val="0040797D"/>
    <w:rsid w:val="00411172"/>
    <w:rsid w:val="00413103"/>
    <w:rsid w:val="00415D04"/>
    <w:rsid w:val="0041612F"/>
    <w:rsid w:val="004166DA"/>
    <w:rsid w:val="00416E2C"/>
    <w:rsid w:val="00417A9C"/>
    <w:rsid w:val="004200EF"/>
    <w:rsid w:val="00420399"/>
    <w:rsid w:val="00422BA6"/>
    <w:rsid w:val="00423F81"/>
    <w:rsid w:val="00424564"/>
    <w:rsid w:val="004247BB"/>
    <w:rsid w:val="00427103"/>
    <w:rsid w:val="00427136"/>
    <w:rsid w:val="00427916"/>
    <w:rsid w:val="00430C3F"/>
    <w:rsid w:val="00430F36"/>
    <w:rsid w:val="00431875"/>
    <w:rsid w:val="00431F19"/>
    <w:rsid w:val="00432D33"/>
    <w:rsid w:val="0043313E"/>
    <w:rsid w:val="004344F1"/>
    <w:rsid w:val="004352F9"/>
    <w:rsid w:val="004358A9"/>
    <w:rsid w:val="004369B8"/>
    <w:rsid w:val="00436F41"/>
    <w:rsid w:val="004370A0"/>
    <w:rsid w:val="0043714D"/>
    <w:rsid w:val="0043786E"/>
    <w:rsid w:val="00437AA3"/>
    <w:rsid w:val="00437CED"/>
    <w:rsid w:val="004407E2"/>
    <w:rsid w:val="004427DB"/>
    <w:rsid w:val="00443960"/>
    <w:rsid w:val="00443B3C"/>
    <w:rsid w:val="00443BAB"/>
    <w:rsid w:val="004444DD"/>
    <w:rsid w:val="00444E9A"/>
    <w:rsid w:val="00445251"/>
    <w:rsid w:val="004455F8"/>
    <w:rsid w:val="004466E4"/>
    <w:rsid w:val="0045146F"/>
    <w:rsid w:val="004516E6"/>
    <w:rsid w:val="0045187C"/>
    <w:rsid w:val="004525B9"/>
    <w:rsid w:val="004533FC"/>
    <w:rsid w:val="00453B92"/>
    <w:rsid w:val="0045583C"/>
    <w:rsid w:val="00455E39"/>
    <w:rsid w:val="004578CD"/>
    <w:rsid w:val="00457BB7"/>
    <w:rsid w:val="00457F61"/>
    <w:rsid w:val="0046241B"/>
    <w:rsid w:val="00462BCF"/>
    <w:rsid w:val="00462C56"/>
    <w:rsid w:val="00462F88"/>
    <w:rsid w:val="00463241"/>
    <w:rsid w:val="00463647"/>
    <w:rsid w:val="00464711"/>
    <w:rsid w:val="00464963"/>
    <w:rsid w:val="00464BB2"/>
    <w:rsid w:val="00465F19"/>
    <w:rsid w:val="00466C37"/>
    <w:rsid w:val="00467C54"/>
    <w:rsid w:val="00467D98"/>
    <w:rsid w:val="00470581"/>
    <w:rsid w:val="0047177F"/>
    <w:rsid w:val="00472986"/>
    <w:rsid w:val="00472E02"/>
    <w:rsid w:val="00474174"/>
    <w:rsid w:val="00475763"/>
    <w:rsid w:val="004757F1"/>
    <w:rsid w:val="00475A99"/>
    <w:rsid w:val="00475BE2"/>
    <w:rsid w:val="0047628B"/>
    <w:rsid w:val="0047629E"/>
    <w:rsid w:val="00477DBA"/>
    <w:rsid w:val="004816FD"/>
    <w:rsid w:val="00481F26"/>
    <w:rsid w:val="00482166"/>
    <w:rsid w:val="004828E4"/>
    <w:rsid w:val="00482A41"/>
    <w:rsid w:val="004831C0"/>
    <w:rsid w:val="0048368A"/>
    <w:rsid w:val="00483C29"/>
    <w:rsid w:val="00483C38"/>
    <w:rsid w:val="00484FC7"/>
    <w:rsid w:val="004856F0"/>
    <w:rsid w:val="00486015"/>
    <w:rsid w:val="004874AB"/>
    <w:rsid w:val="00490261"/>
    <w:rsid w:val="00490636"/>
    <w:rsid w:val="0049098D"/>
    <w:rsid w:val="00490E2A"/>
    <w:rsid w:val="004912F9"/>
    <w:rsid w:val="00492563"/>
    <w:rsid w:val="00492733"/>
    <w:rsid w:val="00493457"/>
    <w:rsid w:val="00493AC1"/>
    <w:rsid w:val="004944F2"/>
    <w:rsid w:val="00494A54"/>
    <w:rsid w:val="00494C0F"/>
    <w:rsid w:val="00496328"/>
    <w:rsid w:val="0049652E"/>
    <w:rsid w:val="00496B44"/>
    <w:rsid w:val="004A125C"/>
    <w:rsid w:val="004A174E"/>
    <w:rsid w:val="004A2472"/>
    <w:rsid w:val="004A24B9"/>
    <w:rsid w:val="004A3B37"/>
    <w:rsid w:val="004A41C6"/>
    <w:rsid w:val="004A4441"/>
    <w:rsid w:val="004A60A3"/>
    <w:rsid w:val="004A6911"/>
    <w:rsid w:val="004A78B6"/>
    <w:rsid w:val="004A7940"/>
    <w:rsid w:val="004A7E96"/>
    <w:rsid w:val="004B046D"/>
    <w:rsid w:val="004B0986"/>
    <w:rsid w:val="004B0B26"/>
    <w:rsid w:val="004B0B9A"/>
    <w:rsid w:val="004B3F12"/>
    <w:rsid w:val="004B4444"/>
    <w:rsid w:val="004B4E81"/>
    <w:rsid w:val="004B5D1D"/>
    <w:rsid w:val="004B6344"/>
    <w:rsid w:val="004B6782"/>
    <w:rsid w:val="004B6872"/>
    <w:rsid w:val="004B6B9F"/>
    <w:rsid w:val="004B7469"/>
    <w:rsid w:val="004B7587"/>
    <w:rsid w:val="004B75CA"/>
    <w:rsid w:val="004C0C9C"/>
    <w:rsid w:val="004C124E"/>
    <w:rsid w:val="004C1562"/>
    <w:rsid w:val="004C1E14"/>
    <w:rsid w:val="004C26A6"/>
    <w:rsid w:val="004C358A"/>
    <w:rsid w:val="004C457D"/>
    <w:rsid w:val="004C58A1"/>
    <w:rsid w:val="004C58A4"/>
    <w:rsid w:val="004C646B"/>
    <w:rsid w:val="004C6A23"/>
    <w:rsid w:val="004D04B5"/>
    <w:rsid w:val="004D04F6"/>
    <w:rsid w:val="004D094E"/>
    <w:rsid w:val="004D2563"/>
    <w:rsid w:val="004D2A1B"/>
    <w:rsid w:val="004D42E2"/>
    <w:rsid w:val="004D464B"/>
    <w:rsid w:val="004D4BB7"/>
    <w:rsid w:val="004D4E90"/>
    <w:rsid w:val="004D523D"/>
    <w:rsid w:val="004D526B"/>
    <w:rsid w:val="004D59E4"/>
    <w:rsid w:val="004D628F"/>
    <w:rsid w:val="004D64D7"/>
    <w:rsid w:val="004D663B"/>
    <w:rsid w:val="004D721C"/>
    <w:rsid w:val="004D72FD"/>
    <w:rsid w:val="004D7D38"/>
    <w:rsid w:val="004E1262"/>
    <w:rsid w:val="004E2164"/>
    <w:rsid w:val="004E23A5"/>
    <w:rsid w:val="004E4229"/>
    <w:rsid w:val="004E43A2"/>
    <w:rsid w:val="004E445E"/>
    <w:rsid w:val="004E5C46"/>
    <w:rsid w:val="004E6973"/>
    <w:rsid w:val="004E6FC7"/>
    <w:rsid w:val="004E7A21"/>
    <w:rsid w:val="004F021D"/>
    <w:rsid w:val="004F0A65"/>
    <w:rsid w:val="004F21EB"/>
    <w:rsid w:val="004F2E5E"/>
    <w:rsid w:val="004F2E8A"/>
    <w:rsid w:val="004F4180"/>
    <w:rsid w:val="004F4564"/>
    <w:rsid w:val="004F4DD5"/>
    <w:rsid w:val="004F5B75"/>
    <w:rsid w:val="004F6945"/>
    <w:rsid w:val="004F6B93"/>
    <w:rsid w:val="004F78F9"/>
    <w:rsid w:val="00500674"/>
    <w:rsid w:val="005014D4"/>
    <w:rsid w:val="00501D39"/>
    <w:rsid w:val="0050221B"/>
    <w:rsid w:val="00502877"/>
    <w:rsid w:val="00502ACA"/>
    <w:rsid w:val="00504951"/>
    <w:rsid w:val="00505F0F"/>
    <w:rsid w:val="00506C0B"/>
    <w:rsid w:val="005072D5"/>
    <w:rsid w:val="00507F71"/>
    <w:rsid w:val="005100A8"/>
    <w:rsid w:val="00510215"/>
    <w:rsid w:val="00510A55"/>
    <w:rsid w:val="00510F03"/>
    <w:rsid w:val="005111F9"/>
    <w:rsid w:val="005122D2"/>
    <w:rsid w:val="00512385"/>
    <w:rsid w:val="005126E9"/>
    <w:rsid w:val="005130E0"/>
    <w:rsid w:val="005132AA"/>
    <w:rsid w:val="0051380E"/>
    <w:rsid w:val="00513852"/>
    <w:rsid w:val="005163E4"/>
    <w:rsid w:val="0051687E"/>
    <w:rsid w:val="005177EB"/>
    <w:rsid w:val="0052164D"/>
    <w:rsid w:val="00521E62"/>
    <w:rsid w:val="00522095"/>
    <w:rsid w:val="0052234D"/>
    <w:rsid w:val="00522668"/>
    <w:rsid w:val="00522DE8"/>
    <w:rsid w:val="0052368D"/>
    <w:rsid w:val="00523BC3"/>
    <w:rsid w:val="0052407B"/>
    <w:rsid w:val="005249BD"/>
    <w:rsid w:val="00525203"/>
    <w:rsid w:val="005254FA"/>
    <w:rsid w:val="00526DC8"/>
    <w:rsid w:val="005276CE"/>
    <w:rsid w:val="00527C20"/>
    <w:rsid w:val="0053055B"/>
    <w:rsid w:val="00531861"/>
    <w:rsid w:val="00531920"/>
    <w:rsid w:val="005320F4"/>
    <w:rsid w:val="00533339"/>
    <w:rsid w:val="00533628"/>
    <w:rsid w:val="00534F2C"/>
    <w:rsid w:val="00535563"/>
    <w:rsid w:val="00537463"/>
    <w:rsid w:val="0053768C"/>
    <w:rsid w:val="005436B6"/>
    <w:rsid w:val="00543822"/>
    <w:rsid w:val="00544247"/>
    <w:rsid w:val="00544904"/>
    <w:rsid w:val="00544B65"/>
    <w:rsid w:val="005458A0"/>
    <w:rsid w:val="00546BED"/>
    <w:rsid w:val="0054715C"/>
    <w:rsid w:val="00551132"/>
    <w:rsid w:val="00551468"/>
    <w:rsid w:val="00551564"/>
    <w:rsid w:val="00551F1B"/>
    <w:rsid w:val="00553313"/>
    <w:rsid w:val="0055377B"/>
    <w:rsid w:val="00553984"/>
    <w:rsid w:val="005539A8"/>
    <w:rsid w:val="00554270"/>
    <w:rsid w:val="0055451B"/>
    <w:rsid w:val="00556DB2"/>
    <w:rsid w:val="00557342"/>
    <w:rsid w:val="00557D1E"/>
    <w:rsid w:val="00557FF5"/>
    <w:rsid w:val="0056035C"/>
    <w:rsid w:val="00560426"/>
    <w:rsid w:val="00561077"/>
    <w:rsid w:val="00561B0D"/>
    <w:rsid w:val="005620E7"/>
    <w:rsid w:val="005633A9"/>
    <w:rsid w:val="00563AE7"/>
    <w:rsid w:val="00563B57"/>
    <w:rsid w:val="00563CCF"/>
    <w:rsid w:val="00563E4C"/>
    <w:rsid w:val="00564148"/>
    <w:rsid w:val="0056421F"/>
    <w:rsid w:val="0056466E"/>
    <w:rsid w:val="005648F1"/>
    <w:rsid w:val="00564A9C"/>
    <w:rsid w:val="00564F65"/>
    <w:rsid w:val="0056526F"/>
    <w:rsid w:val="00565B8C"/>
    <w:rsid w:val="0056662E"/>
    <w:rsid w:val="0056785E"/>
    <w:rsid w:val="00570E43"/>
    <w:rsid w:val="005715AA"/>
    <w:rsid w:val="00571902"/>
    <w:rsid w:val="0057264B"/>
    <w:rsid w:val="005727BE"/>
    <w:rsid w:val="00572AFD"/>
    <w:rsid w:val="0057317E"/>
    <w:rsid w:val="005735F3"/>
    <w:rsid w:val="00573E47"/>
    <w:rsid w:val="00574069"/>
    <w:rsid w:val="0057431B"/>
    <w:rsid w:val="005745B1"/>
    <w:rsid w:val="00574AA5"/>
    <w:rsid w:val="005770B6"/>
    <w:rsid w:val="00577F14"/>
    <w:rsid w:val="005802DE"/>
    <w:rsid w:val="00581476"/>
    <w:rsid w:val="00581530"/>
    <w:rsid w:val="00581833"/>
    <w:rsid w:val="00581A97"/>
    <w:rsid w:val="00581FC7"/>
    <w:rsid w:val="005822F2"/>
    <w:rsid w:val="00582571"/>
    <w:rsid w:val="00582E0B"/>
    <w:rsid w:val="0058310C"/>
    <w:rsid w:val="005833D4"/>
    <w:rsid w:val="00583807"/>
    <w:rsid w:val="00583A0C"/>
    <w:rsid w:val="00583E59"/>
    <w:rsid w:val="00584715"/>
    <w:rsid w:val="00584D4D"/>
    <w:rsid w:val="00584F9E"/>
    <w:rsid w:val="0058610B"/>
    <w:rsid w:val="005900EF"/>
    <w:rsid w:val="005908ED"/>
    <w:rsid w:val="0059150C"/>
    <w:rsid w:val="00592986"/>
    <w:rsid w:val="00593046"/>
    <w:rsid w:val="00593345"/>
    <w:rsid w:val="00593BE8"/>
    <w:rsid w:val="00595B0E"/>
    <w:rsid w:val="00595D30"/>
    <w:rsid w:val="00596725"/>
    <w:rsid w:val="00596746"/>
    <w:rsid w:val="00597217"/>
    <w:rsid w:val="00597B51"/>
    <w:rsid w:val="005A0428"/>
    <w:rsid w:val="005A058B"/>
    <w:rsid w:val="005A0894"/>
    <w:rsid w:val="005A24FD"/>
    <w:rsid w:val="005A26E7"/>
    <w:rsid w:val="005A2B21"/>
    <w:rsid w:val="005A4772"/>
    <w:rsid w:val="005A538D"/>
    <w:rsid w:val="005A59F2"/>
    <w:rsid w:val="005B0069"/>
    <w:rsid w:val="005B0EC4"/>
    <w:rsid w:val="005B11E2"/>
    <w:rsid w:val="005B282F"/>
    <w:rsid w:val="005B2C0C"/>
    <w:rsid w:val="005B41AB"/>
    <w:rsid w:val="005B549C"/>
    <w:rsid w:val="005B6B50"/>
    <w:rsid w:val="005C0509"/>
    <w:rsid w:val="005C0DDF"/>
    <w:rsid w:val="005C2932"/>
    <w:rsid w:val="005C326A"/>
    <w:rsid w:val="005C3852"/>
    <w:rsid w:val="005C393E"/>
    <w:rsid w:val="005C3D87"/>
    <w:rsid w:val="005C4DD5"/>
    <w:rsid w:val="005C58BA"/>
    <w:rsid w:val="005C5DDC"/>
    <w:rsid w:val="005C627D"/>
    <w:rsid w:val="005C6B5A"/>
    <w:rsid w:val="005C7259"/>
    <w:rsid w:val="005C750B"/>
    <w:rsid w:val="005D014B"/>
    <w:rsid w:val="005D06D0"/>
    <w:rsid w:val="005D0771"/>
    <w:rsid w:val="005D10A5"/>
    <w:rsid w:val="005D158F"/>
    <w:rsid w:val="005D1610"/>
    <w:rsid w:val="005D183A"/>
    <w:rsid w:val="005D1A77"/>
    <w:rsid w:val="005D1EE3"/>
    <w:rsid w:val="005D3317"/>
    <w:rsid w:val="005D34AC"/>
    <w:rsid w:val="005D47E2"/>
    <w:rsid w:val="005D50CB"/>
    <w:rsid w:val="005D5745"/>
    <w:rsid w:val="005D580D"/>
    <w:rsid w:val="005D5A55"/>
    <w:rsid w:val="005D5D46"/>
    <w:rsid w:val="005D60B8"/>
    <w:rsid w:val="005D7D81"/>
    <w:rsid w:val="005E1929"/>
    <w:rsid w:val="005E2244"/>
    <w:rsid w:val="005E2C65"/>
    <w:rsid w:val="005E2E09"/>
    <w:rsid w:val="005E31FD"/>
    <w:rsid w:val="005E48B7"/>
    <w:rsid w:val="005E4F58"/>
    <w:rsid w:val="005E4FA8"/>
    <w:rsid w:val="005E75B2"/>
    <w:rsid w:val="005E79D3"/>
    <w:rsid w:val="005E7F5D"/>
    <w:rsid w:val="005F0B1C"/>
    <w:rsid w:val="005F0FFC"/>
    <w:rsid w:val="005F130B"/>
    <w:rsid w:val="005F1F67"/>
    <w:rsid w:val="005F25BE"/>
    <w:rsid w:val="005F28BE"/>
    <w:rsid w:val="005F47A5"/>
    <w:rsid w:val="005F589C"/>
    <w:rsid w:val="005F5FE0"/>
    <w:rsid w:val="005F646B"/>
    <w:rsid w:val="005F6947"/>
    <w:rsid w:val="005F6986"/>
    <w:rsid w:val="005F7335"/>
    <w:rsid w:val="005F7491"/>
    <w:rsid w:val="006002A2"/>
    <w:rsid w:val="00601257"/>
    <w:rsid w:val="00601700"/>
    <w:rsid w:val="00601D0A"/>
    <w:rsid w:val="00602FD9"/>
    <w:rsid w:val="0060370C"/>
    <w:rsid w:val="006038C5"/>
    <w:rsid w:val="00604EC8"/>
    <w:rsid w:val="00605BB1"/>
    <w:rsid w:val="006061AE"/>
    <w:rsid w:val="006063B3"/>
    <w:rsid w:val="006069BD"/>
    <w:rsid w:val="006110E5"/>
    <w:rsid w:val="006114F3"/>
    <w:rsid w:val="006116C4"/>
    <w:rsid w:val="006122A1"/>
    <w:rsid w:val="00612349"/>
    <w:rsid w:val="0061273E"/>
    <w:rsid w:val="006128BE"/>
    <w:rsid w:val="006128F6"/>
    <w:rsid w:val="00612D83"/>
    <w:rsid w:val="0061300E"/>
    <w:rsid w:val="006131AA"/>
    <w:rsid w:val="0061380B"/>
    <w:rsid w:val="00613839"/>
    <w:rsid w:val="00613A04"/>
    <w:rsid w:val="00614938"/>
    <w:rsid w:val="00615053"/>
    <w:rsid w:val="00615C5F"/>
    <w:rsid w:val="00620C98"/>
    <w:rsid w:val="006227AF"/>
    <w:rsid w:val="00624471"/>
    <w:rsid w:val="00624EB9"/>
    <w:rsid w:val="0062547A"/>
    <w:rsid w:val="0062762C"/>
    <w:rsid w:val="006277A8"/>
    <w:rsid w:val="00630252"/>
    <w:rsid w:val="00631BA0"/>
    <w:rsid w:val="00631C16"/>
    <w:rsid w:val="00633B95"/>
    <w:rsid w:val="0063444F"/>
    <w:rsid w:val="006349A3"/>
    <w:rsid w:val="00635263"/>
    <w:rsid w:val="0063528E"/>
    <w:rsid w:val="006361BB"/>
    <w:rsid w:val="00636976"/>
    <w:rsid w:val="006376E6"/>
    <w:rsid w:val="00637D7B"/>
    <w:rsid w:val="00637DA5"/>
    <w:rsid w:val="00637ED3"/>
    <w:rsid w:val="00640063"/>
    <w:rsid w:val="006405C6"/>
    <w:rsid w:val="00640C22"/>
    <w:rsid w:val="006425FB"/>
    <w:rsid w:val="00643CF5"/>
    <w:rsid w:val="00644577"/>
    <w:rsid w:val="006445CC"/>
    <w:rsid w:val="006445E5"/>
    <w:rsid w:val="006462C9"/>
    <w:rsid w:val="00646719"/>
    <w:rsid w:val="00646FC8"/>
    <w:rsid w:val="00647198"/>
    <w:rsid w:val="00647264"/>
    <w:rsid w:val="00647514"/>
    <w:rsid w:val="00650DE6"/>
    <w:rsid w:val="00650E4C"/>
    <w:rsid w:val="006512E0"/>
    <w:rsid w:val="0065188D"/>
    <w:rsid w:val="00652D7A"/>
    <w:rsid w:val="00652D90"/>
    <w:rsid w:val="00652DA8"/>
    <w:rsid w:val="00654E61"/>
    <w:rsid w:val="00655604"/>
    <w:rsid w:val="0065742D"/>
    <w:rsid w:val="00657790"/>
    <w:rsid w:val="006603D0"/>
    <w:rsid w:val="00661429"/>
    <w:rsid w:val="00662014"/>
    <w:rsid w:val="006629A8"/>
    <w:rsid w:val="006630A5"/>
    <w:rsid w:val="00663DCC"/>
    <w:rsid w:val="0066443A"/>
    <w:rsid w:val="00664800"/>
    <w:rsid w:val="00665ACE"/>
    <w:rsid w:val="00666036"/>
    <w:rsid w:val="006669AC"/>
    <w:rsid w:val="00667B05"/>
    <w:rsid w:val="00671D3D"/>
    <w:rsid w:val="00671DB2"/>
    <w:rsid w:val="00672CF3"/>
    <w:rsid w:val="00673244"/>
    <w:rsid w:val="00673CAB"/>
    <w:rsid w:val="00674591"/>
    <w:rsid w:val="00674E80"/>
    <w:rsid w:val="00675F24"/>
    <w:rsid w:val="0067645C"/>
    <w:rsid w:val="006767C6"/>
    <w:rsid w:val="00676A07"/>
    <w:rsid w:val="00676BD4"/>
    <w:rsid w:val="00676FC0"/>
    <w:rsid w:val="006772FC"/>
    <w:rsid w:val="00680CD0"/>
    <w:rsid w:val="00681D1B"/>
    <w:rsid w:val="00682161"/>
    <w:rsid w:val="006823F6"/>
    <w:rsid w:val="00682930"/>
    <w:rsid w:val="006829C5"/>
    <w:rsid w:val="00684AB9"/>
    <w:rsid w:val="006854F0"/>
    <w:rsid w:val="00686AB5"/>
    <w:rsid w:val="00687268"/>
    <w:rsid w:val="00687338"/>
    <w:rsid w:val="00687700"/>
    <w:rsid w:val="0068782B"/>
    <w:rsid w:val="00690664"/>
    <w:rsid w:val="0069132A"/>
    <w:rsid w:val="006913F1"/>
    <w:rsid w:val="00691A8E"/>
    <w:rsid w:val="00692A94"/>
    <w:rsid w:val="00692CDE"/>
    <w:rsid w:val="00694351"/>
    <w:rsid w:val="006943FC"/>
    <w:rsid w:val="00694F78"/>
    <w:rsid w:val="00695C49"/>
    <w:rsid w:val="00695D7E"/>
    <w:rsid w:val="006977F5"/>
    <w:rsid w:val="00697963"/>
    <w:rsid w:val="00697C7E"/>
    <w:rsid w:val="00697EF5"/>
    <w:rsid w:val="006A086B"/>
    <w:rsid w:val="006A0F09"/>
    <w:rsid w:val="006A173B"/>
    <w:rsid w:val="006A4D39"/>
    <w:rsid w:val="006A60F3"/>
    <w:rsid w:val="006A7E80"/>
    <w:rsid w:val="006B30E2"/>
    <w:rsid w:val="006B377F"/>
    <w:rsid w:val="006B3A4B"/>
    <w:rsid w:val="006B40BF"/>
    <w:rsid w:val="006B4B47"/>
    <w:rsid w:val="006B4B5E"/>
    <w:rsid w:val="006B52C3"/>
    <w:rsid w:val="006B7E79"/>
    <w:rsid w:val="006B7FCD"/>
    <w:rsid w:val="006C00FB"/>
    <w:rsid w:val="006C04D5"/>
    <w:rsid w:val="006C0BBA"/>
    <w:rsid w:val="006C22A7"/>
    <w:rsid w:val="006C28F5"/>
    <w:rsid w:val="006C37C4"/>
    <w:rsid w:val="006C4A4C"/>
    <w:rsid w:val="006C59BF"/>
    <w:rsid w:val="006C62F5"/>
    <w:rsid w:val="006C673C"/>
    <w:rsid w:val="006C6C80"/>
    <w:rsid w:val="006C71AF"/>
    <w:rsid w:val="006D0B77"/>
    <w:rsid w:val="006D2913"/>
    <w:rsid w:val="006D33CD"/>
    <w:rsid w:val="006D4A3A"/>
    <w:rsid w:val="006D4DF1"/>
    <w:rsid w:val="006D4EF4"/>
    <w:rsid w:val="006D5028"/>
    <w:rsid w:val="006D557A"/>
    <w:rsid w:val="006D6D01"/>
    <w:rsid w:val="006D7037"/>
    <w:rsid w:val="006D737E"/>
    <w:rsid w:val="006D7E08"/>
    <w:rsid w:val="006D7E1D"/>
    <w:rsid w:val="006D7FE4"/>
    <w:rsid w:val="006E0A7A"/>
    <w:rsid w:val="006E1226"/>
    <w:rsid w:val="006E2367"/>
    <w:rsid w:val="006E288B"/>
    <w:rsid w:val="006E2B5D"/>
    <w:rsid w:val="006E3131"/>
    <w:rsid w:val="006E35C4"/>
    <w:rsid w:val="006E4427"/>
    <w:rsid w:val="006E4695"/>
    <w:rsid w:val="006E4A3F"/>
    <w:rsid w:val="006E5038"/>
    <w:rsid w:val="006E767B"/>
    <w:rsid w:val="006F2BDE"/>
    <w:rsid w:val="006F305D"/>
    <w:rsid w:val="006F37B4"/>
    <w:rsid w:val="006F3D73"/>
    <w:rsid w:val="006F3F19"/>
    <w:rsid w:val="006F4498"/>
    <w:rsid w:val="006F5977"/>
    <w:rsid w:val="006F66B4"/>
    <w:rsid w:val="006F6E21"/>
    <w:rsid w:val="006F6E93"/>
    <w:rsid w:val="006F7E0C"/>
    <w:rsid w:val="00700CBB"/>
    <w:rsid w:val="00700CC8"/>
    <w:rsid w:val="00701ECA"/>
    <w:rsid w:val="007029F0"/>
    <w:rsid w:val="00704265"/>
    <w:rsid w:val="0070487D"/>
    <w:rsid w:val="00705246"/>
    <w:rsid w:val="00705651"/>
    <w:rsid w:val="00705722"/>
    <w:rsid w:val="00705A6E"/>
    <w:rsid w:val="00706785"/>
    <w:rsid w:val="007076D5"/>
    <w:rsid w:val="00710210"/>
    <w:rsid w:val="007108EC"/>
    <w:rsid w:val="00710B32"/>
    <w:rsid w:val="00711104"/>
    <w:rsid w:val="007114D6"/>
    <w:rsid w:val="00711C53"/>
    <w:rsid w:val="00711E11"/>
    <w:rsid w:val="00712734"/>
    <w:rsid w:val="00713EAE"/>
    <w:rsid w:val="00714063"/>
    <w:rsid w:val="007145AA"/>
    <w:rsid w:val="007150CB"/>
    <w:rsid w:val="00715B20"/>
    <w:rsid w:val="00716B31"/>
    <w:rsid w:val="00717383"/>
    <w:rsid w:val="00717A4C"/>
    <w:rsid w:val="0072042A"/>
    <w:rsid w:val="007209AF"/>
    <w:rsid w:val="007219DE"/>
    <w:rsid w:val="00721ABF"/>
    <w:rsid w:val="00721DDD"/>
    <w:rsid w:val="00722238"/>
    <w:rsid w:val="00722DB3"/>
    <w:rsid w:val="00723463"/>
    <w:rsid w:val="007234C5"/>
    <w:rsid w:val="007241C2"/>
    <w:rsid w:val="00724C86"/>
    <w:rsid w:val="007259A2"/>
    <w:rsid w:val="00725BCD"/>
    <w:rsid w:val="00725E7D"/>
    <w:rsid w:val="007261AD"/>
    <w:rsid w:val="007262F8"/>
    <w:rsid w:val="00726A72"/>
    <w:rsid w:val="00726B54"/>
    <w:rsid w:val="00726DB9"/>
    <w:rsid w:val="007300DB"/>
    <w:rsid w:val="00730AED"/>
    <w:rsid w:val="00731BCF"/>
    <w:rsid w:val="0073276E"/>
    <w:rsid w:val="00732CC1"/>
    <w:rsid w:val="00733976"/>
    <w:rsid w:val="00733BE6"/>
    <w:rsid w:val="00733F09"/>
    <w:rsid w:val="00734FC9"/>
    <w:rsid w:val="00735462"/>
    <w:rsid w:val="007363DF"/>
    <w:rsid w:val="007404D6"/>
    <w:rsid w:val="007415F6"/>
    <w:rsid w:val="00741D59"/>
    <w:rsid w:val="007422B4"/>
    <w:rsid w:val="00742FBE"/>
    <w:rsid w:val="00743814"/>
    <w:rsid w:val="00744690"/>
    <w:rsid w:val="00745F44"/>
    <w:rsid w:val="00747215"/>
    <w:rsid w:val="0075014B"/>
    <w:rsid w:val="00751430"/>
    <w:rsid w:val="00751A92"/>
    <w:rsid w:val="00751B04"/>
    <w:rsid w:val="00751FB3"/>
    <w:rsid w:val="00752170"/>
    <w:rsid w:val="00752E68"/>
    <w:rsid w:val="0075542B"/>
    <w:rsid w:val="00755BB2"/>
    <w:rsid w:val="00755F27"/>
    <w:rsid w:val="0075615F"/>
    <w:rsid w:val="00756577"/>
    <w:rsid w:val="0075659A"/>
    <w:rsid w:val="007577CE"/>
    <w:rsid w:val="00757FDC"/>
    <w:rsid w:val="00760776"/>
    <w:rsid w:val="0076138A"/>
    <w:rsid w:val="00761425"/>
    <w:rsid w:val="0076157B"/>
    <w:rsid w:val="00762140"/>
    <w:rsid w:val="00762203"/>
    <w:rsid w:val="0076265B"/>
    <w:rsid w:val="00763DF7"/>
    <w:rsid w:val="0076589A"/>
    <w:rsid w:val="00765E81"/>
    <w:rsid w:val="00767DC2"/>
    <w:rsid w:val="00770331"/>
    <w:rsid w:val="00771009"/>
    <w:rsid w:val="00771771"/>
    <w:rsid w:val="00771787"/>
    <w:rsid w:val="00773C59"/>
    <w:rsid w:val="007753CF"/>
    <w:rsid w:val="007771FD"/>
    <w:rsid w:val="007805F2"/>
    <w:rsid w:val="00780D0A"/>
    <w:rsid w:val="00781412"/>
    <w:rsid w:val="0078151E"/>
    <w:rsid w:val="00781654"/>
    <w:rsid w:val="00781737"/>
    <w:rsid w:val="00781A3C"/>
    <w:rsid w:val="00781B16"/>
    <w:rsid w:val="00781D55"/>
    <w:rsid w:val="00781F49"/>
    <w:rsid w:val="007829D2"/>
    <w:rsid w:val="00782A98"/>
    <w:rsid w:val="007852B7"/>
    <w:rsid w:val="00785B5F"/>
    <w:rsid w:val="007865B2"/>
    <w:rsid w:val="00786A9E"/>
    <w:rsid w:val="00786D6F"/>
    <w:rsid w:val="00787FAA"/>
    <w:rsid w:val="007901F7"/>
    <w:rsid w:val="00790648"/>
    <w:rsid w:val="00790FFF"/>
    <w:rsid w:val="0079126A"/>
    <w:rsid w:val="007915A2"/>
    <w:rsid w:val="00791878"/>
    <w:rsid w:val="00793230"/>
    <w:rsid w:val="00793671"/>
    <w:rsid w:val="007938D1"/>
    <w:rsid w:val="00793965"/>
    <w:rsid w:val="00793B77"/>
    <w:rsid w:val="0079526E"/>
    <w:rsid w:val="00795661"/>
    <w:rsid w:val="00795C99"/>
    <w:rsid w:val="00796EE9"/>
    <w:rsid w:val="00797391"/>
    <w:rsid w:val="00797D47"/>
    <w:rsid w:val="007A099A"/>
    <w:rsid w:val="007A0ACE"/>
    <w:rsid w:val="007A4432"/>
    <w:rsid w:val="007A4A89"/>
    <w:rsid w:val="007A4D40"/>
    <w:rsid w:val="007A5582"/>
    <w:rsid w:val="007A5671"/>
    <w:rsid w:val="007A61A6"/>
    <w:rsid w:val="007A689E"/>
    <w:rsid w:val="007A68F1"/>
    <w:rsid w:val="007A71E6"/>
    <w:rsid w:val="007B00B9"/>
    <w:rsid w:val="007B0153"/>
    <w:rsid w:val="007B08A8"/>
    <w:rsid w:val="007B1F47"/>
    <w:rsid w:val="007B25C7"/>
    <w:rsid w:val="007B2FC2"/>
    <w:rsid w:val="007B368D"/>
    <w:rsid w:val="007B4AC0"/>
    <w:rsid w:val="007B4B33"/>
    <w:rsid w:val="007B5264"/>
    <w:rsid w:val="007B551A"/>
    <w:rsid w:val="007B607D"/>
    <w:rsid w:val="007B69EA"/>
    <w:rsid w:val="007B703C"/>
    <w:rsid w:val="007B71DC"/>
    <w:rsid w:val="007B7A24"/>
    <w:rsid w:val="007C16DF"/>
    <w:rsid w:val="007C1E15"/>
    <w:rsid w:val="007C20B5"/>
    <w:rsid w:val="007C229A"/>
    <w:rsid w:val="007C34D5"/>
    <w:rsid w:val="007C3517"/>
    <w:rsid w:val="007C36E7"/>
    <w:rsid w:val="007C4182"/>
    <w:rsid w:val="007C45F9"/>
    <w:rsid w:val="007C53B3"/>
    <w:rsid w:val="007C66DE"/>
    <w:rsid w:val="007C7B7D"/>
    <w:rsid w:val="007D0E2B"/>
    <w:rsid w:val="007D1027"/>
    <w:rsid w:val="007D1B5B"/>
    <w:rsid w:val="007D1C54"/>
    <w:rsid w:val="007D20FB"/>
    <w:rsid w:val="007D32E6"/>
    <w:rsid w:val="007D383E"/>
    <w:rsid w:val="007D393D"/>
    <w:rsid w:val="007D4300"/>
    <w:rsid w:val="007D4DD4"/>
    <w:rsid w:val="007D4F94"/>
    <w:rsid w:val="007D61B1"/>
    <w:rsid w:val="007D660F"/>
    <w:rsid w:val="007D7A96"/>
    <w:rsid w:val="007E05A4"/>
    <w:rsid w:val="007E074B"/>
    <w:rsid w:val="007E1918"/>
    <w:rsid w:val="007E1952"/>
    <w:rsid w:val="007E2BF5"/>
    <w:rsid w:val="007E3E32"/>
    <w:rsid w:val="007E40AB"/>
    <w:rsid w:val="007E44EE"/>
    <w:rsid w:val="007E5044"/>
    <w:rsid w:val="007E562A"/>
    <w:rsid w:val="007E6970"/>
    <w:rsid w:val="007E6E65"/>
    <w:rsid w:val="007E74E3"/>
    <w:rsid w:val="007E7DA2"/>
    <w:rsid w:val="007E7E34"/>
    <w:rsid w:val="007F0E86"/>
    <w:rsid w:val="007F2AA9"/>
    <w:rsid w:val="007F2B56"/>
    <w:rsid w:val="007F336D"/>
    <w:rsid w:val="007F33DA"/>
    <w:rsid w:val="007F36B9"/>
    <w:rsid w:val="007F3A61"/>
    <w:rsid w:val="007F4D27"/>
    <w:rsid w:val="007F5986"/>
    <w:rsid w:val="007F5F9D"/>
    <w:rsid w:val="007F609F"/>
    <w:rsid w:val="007F6883"/>
    <w:rsid w:val="00800E68"/>
    <w:rsid w:val="00801D65"/>
    <w:rsid w:val="00802607"/>
    <w:rsid w:val="00802639"/>
    <w:rsid w:val="00803084"/>
    <w:rsid w:val="00803A94"/>
    <w:rsid w:val="00804097"/>
    <w:rsid w:val="008048C8"/>
    <w:rsid w:val="00805488"/>
    <w:rsid w:val="00805D87"/>
    <w:rsid w:val="00805FC2"/>
    <w:rsid w:val="00806985"/>
    <w:rsid w:val="0080752D"/>
    <w:rsid w:val="00807AE2"/>
    <w:rsid w:val="00807B6E"/>
    <w:rsid w:val="00807CD0"/>
    <w:rsid w:val="00810264"/>
    <w:rsid w:val="00810D8A"/>
    <w:rsid w:val="008116BC"/>
    <w:rsid w:val="00812864"/>
    <w:rsid w:val="00812D00"/>
    <w:rsid w:val="0081483E"/>
    <w:rsid w:val="008166C8"/>
    <w:rsid w:val="00816DB6"/>
    <w:rsid w:val="00816E2E"/>
    <w:rsid w:val="00816F26"/>
    <w:rsid w:val="00816FF6"/>
    <w:rsid w:val="00817EF5"/>
    <w:rsid w:val="0082090B"/>
    <w:rsid w:val="00821ACB"/>
    <w:rsid w:val="008227F2"/>
    <w:rsid w:val="00822987"/>
    <w:rsid w:val="00823726"/>
    <w:rsid w:val="008244AE"/>
    <w:rsid w:val="008252E9"/>
    <w:rsid w:val="0082537A"/>
    <w:rsid w:val="0082549C"/>
    <w:rsid w:val="0082587C"/>
    <w:rsid w:val="008259C7"/>
    <w:rsid w:val="00825A5B"/>
    <w:rsid w:val="00826A6F"/>
    <w:rsid w:val="00830452"/>
    <w:rsid w:val="00830C5B"/>
    <w:rsid w:val="00831FAB"/>
    <w:rsid w:val="008321EE"/>
    <w:rsid w:val="00832E7E"/>
    <w:rsid w:val="00832F42"/>
    <w:rsid w:val="00833366"/>
    <w:rsid w:val="0083491E"/>
    <w:rsid w:val="008350FC"/>
    <w:rsid w:val="0083546C"/>
    <w:rsid w:val="0083563D"/>
    <w:rsid w:val="00836EBD"/>
    <w:rsid w:val="00837050"/>
    <w:rsid w:val="00837A50"/>
    <w:rsid w:val="008404D6"/>
    <w:rsid w:val="00840580"/>
    <w:rsid w:val="0084120B"/>
    <w:rsid w:val="008419D5"/>
    <w:rsid w:val="008421DF"/>
    <w:rsid w:val="00842F88"/>
    <w:rsid w:val="00843580"/>
    <w:rsid w:val="00843B34"/>
    <w:rsid w:val="00844DBE"/>
    <w:rsid w:val="00847558"/>
    <w:rsid w:val="008478C0"/>
    <w:rsid w:val="00847BAC"/>
    <w:rsid w:val="00847F80"/>
    <w:rsid w:val="0085034E"/>
    <w:rsid w:val="00850393"/>
    <w:rsid w:val="0085152E"/>
    <w:rsid w:val="00852A66"/>
    <w:rsid w:val="00853438"/>
    <w:rsid w:val="00853938"/>
    <w:rsid w:val="00853F26"/>
    <w:rsid w:val="008546E0"/>
    <w:rsid w:val="00854CF9"/>
    <w:rsid w:val="008554CC"/>
    <w:rsid w:val="008555B4"/>
    <w:rsid w:val="00855BDA"/>
    <w:rsid w:val="008563EB"/>
    <w:rsid w:val="008572B2"/>
    <w:rsid w:val="00857B2B"/>
    <w:rsid w:val="0086035E"/>
    <w:rsid w:val="008606C7"/>
    <w:rsid w:val="008610C6"/>
    <w:rsid w:val="0086158B"/>
    <w:rsid w:val="0086196C"/>
    <w:rsid w:val="00862D66"/>
    <w:rsid w:val="00862ED1"/>
    <w:rsid w:val="008630E3"/>
    <w:rsid w:val="008630E5"/>
    <w:rsid w:val="008640D2"/>
    <w:rsid w:val="00864404"/>
    <w:rsid w:val="00866B6B"/>
    <w:rsid w:val="00866CDD"/>
    <w:rsid w:val="008704A4"/>
    <w:rsid w:val="008712BB"/>
    <w:rsid w:val="00871530"/>
    <w:rsid w:val="008718E4"/>
    <w:rsid w:val="008721BF"/>
    <w:rsid w:val="008723D8"/>
    <w:rsid w:val="00872A6C"/>
    <w:rsid w:val="00873FCE"/>
    <w:rsid w:val="00874532"/>
    <w:rsid w:val="00876913"/>
    <w:rsid w:val="00876C96"/>
    <w:rsid w:val="00880042"/>
    <w:rsid w:val="008807D5"/>
    <w:rsid w:val="00880EE2"/>
    <w:rsid w:val="008813F0"/>
    <w:rsid w:val="00881E4B"/>
    <w:rsid w:val="00882233"/>
    <w:rsid w:val="00883018"/>
    <w:rsid w:val="0088309F"/>
    <w:rsid w:val="008837DC"/>
    <w:rsid w:val="0088464E"/>
    <w:rsid w:val="00884A59"/>
    <w:rsid w:val="00885EC9"/>
    <w:rsid w:val="0088604F"/>
    <w:rsid w:val="008861AD"/>
    <w:rsid w:val="00886344"/>
    <w:rsid w:val="00887D02"/>
    <w:rsid w:val="008902A4"/>
    <w:rsid w:val="00890404"/>
    <w:rsid w:val="008911B2"/>
    <w:rsid w:val="0089291F"/>
    <w:rsid w:val="00893207"/>
    <w:rsid w:val="008941F5"/>
    <w:rsid w:val="00894C50"/>
    <w:rsid w:val="008966F0"/>
    <w:rsid w:val="00896C16"/>
    <w:rsid w:val="008974E7"/>
    <w:rsid w:val="00897630"/>
    <w:rsid w:val="00897B7E"/>
    <w:rsid w:val="00897B9F"/>
    <w:rsid w:val="008A0B24"/>
    <w:rsid w:val="008A1483"/>
    <w:rsid w:val="008A15D6"/>
    <w:rsid w:val="008A287F"/>
    <w:rsid w:val="008A2BE9"/>
    <w:rsid w:val="008A388E"/>
    <w:rsid w:val="008A4801"/>
    <w:rsid w:val="008A514D"/>
    <w:rsid w:val="008A5CD1"/>
    <w:rsid w:val="008A7368"/>
    <w:rsid w:val="008B05C4"/>
    <w:rsid w:val="008B07E8"/>
    <w:rsid w:val="008B0E44"/>
    <w:rsid w:val="008B1905"/>
    <w:rsid w:val="008B1A55"/>
    <w:rsid w:val="008B28C8"/>
    <w:rsid w:val="008B2C65"/>
    <w:rsid w:val="008B3465"/>
    <w:rsid w:val="008B3DEF"/>
    <w:rsid w:val="008B4CC8"/>
    <w:rsid w:val="008B4D1F"/>
    <w:rsid w:val="008B4E6D"/>
    <w:rsid w:val="008B4FD4"/>
    <w:rsid w:val="008B5530"/>
    <w:rsid w:val="008B7887"/>
    <w:rsid w:val="008C1EF4"/>
    <w:rsid w:val="008C30BE"/>
    <w:rsid w:val="008C3356"/>
    <w:rsid w:val="008C410F"/>
    <w:rsid w:val="008C4CAB"/>
    <w:rsid w:val="008C534A"/>
    <w:rsid w:val="008C5C1C"/>
    <w:rsid w:val="008C5F1B"/>
    <w:rsid w:val="008C6322"/>
    <w:rsid w:val="008C7D66"/>
    <w:rsid w:val="008D021A"/>
    <w:rsid w:val="008D075C"/>
    <w:rsid w:val="008D157C"/>
    <w:rsid w:val="008D37F2"/>
    <w:rsid w:val="008D3A28"/>
    <w:rsid w:val="008D5817"/>
    <w:rsid w:val="008D5EF8"/>
    <w:rsid w:val="008D6452"/>
    <w:rsid w:val="008D6AC4"/>
    <w:rsid w:val="008D6C7C"/>
    <w:rsid w:val="008D6E84"/>
    <w:rsid w:val="008D7247"/>
    <w:rsid w:val="008D7C77"/>
    <w:rsid w:val="008E13D7"/>
    <w:rsid w:val="008E2720"/>
    <w:rsid w:val="008E2E9F"/>
    <w:rsid w:val="008E2F69"/>
    <w:rsid w:val="008E4495"/>
    <w:rsid w:val="008E4B68"/>
    <w:rsid w:val="008E4BF2"/>
    <w:rsid w:val="008E5D6D"/>
    <w:rsid w:val="008E5EFC"/>
    <w:rsid w:val="008E6073"/>
    <w:rsid w:val="008E7019"/>
    <w:rsid w:val="008E77E3"/>
    <w:rsid w:val="008F0481"/>
    <w:rsid w:val="008F0909"/>
    <w:rsid w:val="008F13C1"/>
    <w:rsid w:val="008F1F58"/>
    <w:rsid w:val="008F2825"/>
    <w:rsid w:val="008F38AC"/>
    <w:rsid w:val="008F3C8B"/>
    <w:rsid w:val="008F4289"/>
    <w:rsid w:val="008F45C9"/>
    <w:rsid w:val="008F4E2D"/>
    <w:rsid w:val="008F5907"/>
    <w:rsid w:val="008F5FAB"/>
    <w:rsid w:val="008F609D"/>
    <w:rsid w:val="008F683E"/>
    <w:rsid w:val="009006D2"/>
    <w:rsid w:val="009007F1"/>
    <w:rsid w:val="00900BA4"/>
    <w:rsid w:val="0090161F"/>
    <w:rsid w:val="0090209B"/>
    <w:rsid w:val="00902996"/>
    <w:rsid w:val="00903BD9"/>
    <w:rsid w:val="0090408C"/>
    <w:rsid w:val="00904451"/>
    <w:rsid w:val="00904B46"/>
    <w:rsid w:val="009062CC"/>
    <w:rsid w:val="00907630"/>
    <w:rsid w:val="00907C0A"/>
    <w:rsid w:val="00910F63"/>
    <w:rsid w:val="0091116D"/>
    <w:rsid w:val="00912580"/>
    <w:rsid w:val="00912E1A"/>
    <w:rsid w:val="0091300D"/>
    <w:rsid w:val="00913150"/>
    <w:rsid w:val="0091332B"/>
    <w:rsid w:val="00913539"/>
    <w:rsid w:val="00913A54"/>
    <w:rsid w:val="009140EF"/>
    <w:rsid w:val="00914157"/>
    <w:rsid w:val="0091536B"/>
    <w:rsid w:val="0092274B"/>
    <w:rsid w:val="00922A6E"/>
    <w:rsid w:val="00922C8F"/>
    <w:rsid w:val="009232E8"/>
    <w:rsid w:val="009244DD"/>
    <w:rsid w:val="0092489D"/>
    <w:rsid w:val="00924BD5"/>
    <w:rsid w:val="00924CB5"/>
    <w:rsid w:val="00925932"/>
    <w:rsid w:val="00925A6F"/>
    <w:rsid w:val="00925E0B"/>
    <w:rsid w:val="009261B1"/>
    <w:rsid w:val="00926284"/>
    <w:rsid w:val="0092668F"/>
    <w:rsid w:val="009279AE"/>
    <w:rsid w:val="0093017B"/>
    <w:rsid w:val="00931DED"/>
    <w:rsid w:val="00932851"/>
    <w:rsid w:val="009330CA"/>
    <w:rsid w:val="009341B0"/>
    <w:rsid w:val="00935354"/>
    <w:rsid w:val="00935A53"/>
    <w:rsid w:val="0093612D"/>
    <w:rsid w:val="00937F96"/>
    <w:rsid w:val="0094044E"/>
    <w:rsid w:val="0094288E"/>
    <w:rsid w:val="009435F8"/>
    <w:rsid w:val="00943EE6"/>
    <w:rsid w:val="00944751"/>
    <w:rsid w:val="00945697"/>
    <w:rsid w:val="00945F5D"/>
    <w:rsid w:val="009463BC"/>
    <w:rsid w:val="00947F72"/>
    <w:rsid w:val="009509B5"/>
    <w:rsid w:val="00950ACE"/>
    <w:rsid w:val="00950D71"/>
    <w:rsid w:val="00951265"/>
    <w:rsid w:val="00952339"/>
    <w:rsid w:val="00953362"/>
    <w:rsid w:val="00955984"/>
    <w:rsid w:val="00956099"/>
    <w:rsid w:val="009561AE"/>
    <w:rsid w:val="00956B97"/>
    <w:rsid w:val="00956C0D"/>
    <w:rsid w:val="00957373"/>
    <w:rsid w:val="00957AEA"/>
    <w:rsid w:val="00960975"/>
    <w:rsid w:val="009611AA"/>
    <w:rsid w:val="00961F0B"/>
    <w:rsid w:val="00963E04"/>
    <w:rsid w:val="009642A2"/>
    <w:rsid w:val="00964558"/>
    <w:rsid w:val="0096504B"/>
    <w:rsid w:val="00965144"/>
    <w:rsid w:val="009660D6"/>
    <w:rsid w:val="00967C16"/>
    <w:rsid w:val="0097020D"/>
    <w:rsid w:val="00970317"/>
    <w:rsid w:val="00971035"/>
    <w:rsid w:val="009724DA"/>
    <w:rsid w:val="0097277B"/>
    <w:rsid w:val="009732EC"/>
    <w:rsid w:val="00973FB0"/>
    <w:rsid w:val="00974C29"/>
    <w:rsid w:val="00975C3E"/>
    <w:rsid w:val="00976068"/>
    <w:rsid w:val="0097792C"/>
    <w:rsid w:val="00977F31"/>
    <w:rsid w:val="009810D4"/>
    <w:rsid w:val="00981259"/>
    <w:rsid w:val="00981ADA"/>
    <w:rsid w:val="00981BE9"/>
    <w:rsid w:val="0098325D"/>
    <w:rsid w:val="00983D55"/>
    <w:rsid w:val="00984157"/>
    <w:rsid w:val="00984777"/>
    <w:rsid w:val="00984926"/>
    <w:rsid w:val="009850C3"/>
    <w:rsid w:val="009866F2"/>
    <w:rsid w:val="0098687C"/>
    <w:rsid w:val="009876D3"/>
    <w:rsid w:val="0098774C"/>
    <w:rsid w:val="0099094D"/>
    <w:rsid w:val="00991CFC"/>
    <w:rsid w:val="00995EE7"/>
    <w:rsid w:val="00996EB0"/>
    <w:rsid w:val="00997812"/>
    <w:rsid w:val="009A0EF3"/>
    <w:rsid w:val="009A1328"/>
    <w:rsid w:val="009A1BAE"/>
    <w:rsid w:val="009A2FF5"/>
    <w:rsid w:val="009A33BC"/>
    <w:rsid w:val="009A3456"/>
    <w:rsid w:val="009A391B"/>
    <w:rsid w:val="009A43A8"/>
    <w:rsid w:val="009A5615"/>
    <w:rsid w:val="009A5AED"/>
    <w:rsid w:val="009A6128"/>
    <w:rsid w:val="009A7AD2"/>
    <w:rsid w:val="009A7CB7"/>
    <w:rsid w:val="009B0841"/>
    <w:rsid w:val="009B09C7"/>
    <w:rsid w:val="009B0BB1"/>
    <w:rsid w:val="009B0DA7"/>
    <w:rsid w:val="009B25C9"/>
    <w:rsid w:val="009B350F"/>
    <w:rsid w:val="009B3700"/>
    <w:rsid w:val="009B3BBC"/>
    <w:rsid w:val="009B3D35"/>
    <w:rsid w:val="009B4FB4"/>
    <w:rsid w:val="009B5885"/>
    <w:rsid w:val="009B5A10"/>
    <w:rsid w:val="009B78B6"/>
    <w:rsid w:val="009B7E03"/>
    <w:rsid w:val="009B7F64"/>
    <w:rsid w:val="009C017E"/>
    <w:rsid w:val="009C137A"/>
    <w:rsid w:val="009C2229"/>
    <w:rsid w:val="009C2B6C"/>
    <w:rsid w:val="009C41B5"/>
    <w:rsid w:val="009C442E"/>
    <w:rsid w:val="009C561E"/>
    <w:rsid w:val="009C7705"/>
    <w:rsid w:val="009D07F8"/>
    <w:rsid w:val="009D0B58"/>
    <w:rsid w:val="009D0D37"/>
    <w:rsid w:val="009D2048"/>
    <w:rsid w:val="009D283F"/>
    <w:rsid w:val="009D3AE7"/>
    <w:rsid w:val="009D43F7"/>
    <w:rsid w:val="009D48DE"/>
    <w:rsid w:val="009E12E8"/>
    <w:rsid w:val="009E18D7"/>
    <w:rsid w:val="009E2D40"/>
    <w:rsid w:val="009E36D6"/>
    <w:rsid w:val="009E3E53"/>
    <w:rsid w:val="009E3EE3"/>
    <w:rsid w:val="009E4A48"/>
    <w:rsid w:val="009E54FB"/>
    <w:rsid w:val="009E5CA4"/>
    <w:rsid w:val="009E5FC9"/>
    <w:rsid w:val="009E614A"/>
    <w:rsid w:val="009E67E4"/>
    <w:rsid w:val="009E7170"/>
    <w:rsid w:val="009E75C5"/>
    <w:rsid w:val="009E7BF1"/>
    <w:rsid w:val="009F0780"/>
    <w:rsid w:val="009F0869"/>
    <w:rsid w:val="009F1BEC"/>
    <w:rsid w:val="009F1D22"/>
    <w:rsid w:val="009F25BE"/>
    <w:rsid w:val="009F25C7"/>
    <w:rsid w:val="009F2C1B"/>
    <w:rsid w:val="009F4F49"/>
    <w:rsid w:val="009F52A1"/>
    <w:rsid w:val="009F54A0"/>
    <w:rsid w:val="009F7358"/>
    <w:rsid w:val="009F7CF8"/>
    <w:rsid w:val="00A005BF"/>
    <w:rsid w:val="00A00E1E"/>
    <w:rsid w:val="00A01031"/>
    <w:rsid w:val="00A01B08"/>
    <w:rsid w:val="00A0227D"/>
    <w:rsid w:val="00A02640"/>
    <w:rsid w:val="00A02CF0"/>
    <w:rsid w:val="00A03CD4"/>
    <w:rsid w:val="00A04030"/>
    <w:rsid w:val="00A04809"/>
    <w:rsid w:val="00A04CE5"/>
    <w:rsid w:val="00A059CC"/>
    <w:rsid w:val="00A05D33"/>
    <w:rsid w:val="00A061C5"/>
    <w:rsid w:val="00A063CD"/>
    <w:rsid w:val="00A110CF"/>
    <w:rsid w:val="00A1181D"/>
    <w:rsid w:val="00A1226D"/>
    <w:rsid w:val="00A1300D"/>
    <w:rsid w:val="00A133EF"/>
    <w:rsid w:val="00A1359E"/>
    <w:rsid w:val="00A14A70"/>
    <w:rsid w:val="00A15D3C"/>
    <w:rsid w:val="00A16BFE"/>
    <w:rsid w:val="00A1781E"/>
    <w:rsid w:val="00A203E6"/>
    <w:rsid w:val="00A21C04"/>
    <w:rsid w:val="00A22239"/>
    <w:rsid w:val="00A224E8"/>
    <w:rsid w:val="00A22E72"/>
    <w:rsid w:val="00A234B9"/>
    <w:rsid w:val="00A234FD"/>
    <w:rsid w:val="00A23FDD"/>
    <w:rsid w:val="00A2427A"/>
    <w:rsid w:val="00A24389"/>
    <w:rsid w:val="00A24CE8"/>
    <w:rsid w:val="00A26BBC"/>
    <w:rsid w:val="00A27025"/>
    <w:rsid w:val="00A27496"/>
    <w:rsid w:val="00A275F4"/>
    <w:rsid w:val="00A30229"/>
    <w:rsid w:val="00A304BD"/>
    <w:rsid w:val="00A3099B"/>
    <w:rsid w:val="00A30BF5"/>
    <w:rsid w:val="00A3102C"/>
    <w:rsid w:val="00A311AE"/>
    <w:rsid w:val="00A31391"/>
    <w:rsid w:val="00A3164B"/>
    <w:rsid w:val="00A31769"/>
    <w:rsid w:val="00A3269E"/>
    <w:rsid w:val="00A32EAF"/>
    <w:rsid w:val="00A3358B"/>
    <w:rsid w:val="00A339D1"/>
    <w:rsid w:val="00A342FB"/>
    <w:rsid w:val="00A35CEE"/>
    <w:rsid w:val="00A364B9"/>
    <w:rsid w:val="00A36AD5"/>
    <w:rsid w:val="00A37444"/>
    <w:rsid w:val="00A3793D"/>
    <w:rsid w:val="00A403A6"/>
    <w:rsid w:val="00A40749"/>
    <w:rsid w:val="00A41E39"/>
    <w:rsid w:val="00A41F49"/>
    <w:rsid w:val="00A424ED"/>
    <w:rsid w:val="00A42765"/>
    <w:rsid w:val="00A438D1"/>
    <w:rsid w:val="00A43C31"/>
    <w:rsid w:val="00A441AF"/>
    <w:rsid w:val="00A44FF7"/>
    <w:rsid w:val="00A455E3"/>
    <w:rsid w:val="00A45A3A"/>
    <w:rsid w:val="00A45BC8"/>
    <w:rsid w:val="00A460F6"/>
    <w:rsid w:val="00A46210"/>
    <w:rsid w:val="00A46881"/>
    <w:rsid w:val="00A477BB"/>
    <w:rsid w:val="00A47FE7"/>
    <w:rsid w:val="00A50DAD"/>
    <w:rsid w:val="00A52330"/>
    <w:rsid w:val="00A52814"/>
    <w:rsid w:val="00A52AE3"/>
    <w:rsid w:val="00A52DF5"/>
    <w:rsid w:val="00A53587"/>
    <w:rsid w:val="00A54070"/>
    <w:rsid w:val="00A54178"/>
    <w:rsid w:val="00A542D3"/>
    <w:rsid w:val="00A545E8"/>
    <w:rsid w:val="00A54F35"/>
    <w:rsid w:val="00A55570"/>
    <w:rsid w:val="00A558D1"/>
    <w:rsid w:val="00A564F6"/>
    <w:rsid w:val="00A56E89"/>
    <w:rsid w:val="00A56F53"/>
    <w:rsid w:val="00A575CC"/>
    <w:rsid w:val="00A57801"/>
    <w:rsid w:val="00A61053"/>
    <w:rsid w:val="00A6141A"/>
    <w:rsid w:val="00A61DE8"/>
    <w:rsid w:val="00A628C9"/>
    <w:rsid w:val="00A63ABE"/>
    <w:rsid w:val="00A64CFF"/>
    <w:rsid w:val="00A64FF4"/>
    <w:rsid w:val="00A652D5"/>
    <w:rsid w:val="00A668E7"/>
    <w:rsid w:val="00A67442"/>
    <w:rsid w:val="00A708C7"/>
    <w:rsid w:val="00A7169F"/>
    <w:rsid w:val="00A737EC"/>
    <w:rsid w:val="00A74179"/>
    <w:rsid w:val="00A74B4D"/>
    <w:rsid w:val="00A750D6"/>
    <w:rsid w:val="00A7539E"/>
    <w:rsid w:val="00A7574B"/>
    <w:rsid w:val="00A75CD8"/>
    <w:rsid w:val="00A75E8A"/>
    <w:rsid w:val="00A76642"/>
    <w:rsid w:val="00A76BE6"/>
    <w:rsid w:val="00A76CED"/>
    <w:rsid w:val="00A77992"/>
    <w:rsid w:val="00A77A27"/>
    <w:rsid w:val="00A80688"/>
    <w:rsid w:val="00A809A4"/>
    <w:rsid w:val="00A81C02"/>
    <w:rsid w:val="00A81E86"/>
    <w:rsid w:val="00A81E97"/>
    <w:rsid w:val="00A82180"/>
    <w:rsid w:val="00A82BC3"/>
    <w:rsid w:val="00A8378F"/>
    <w:rsid w:val="00A83BBE"/>
    <w:rsid w:val="00A84B06"/>
    <w:rsid w:val="00A84C64"/>
    <w:rsid w:val="00A8511E"/>
    <w:rsid w:val="00A857A3"/>
    <w:rsid w:val="00A86276"/>
    <w:rsid w:val="00A87AB9"/>
    <w:rsid w:val="00A909AC"/>
    <w:rsid w:val="00A90C50"/>
    <w:rsid w:val="00A921C0"/>
    <w:rsid w:val="00A93406"/>
    <w:rsid w:val="00A93543"/>
    <w:rsid w:val="00A9434F"/>
    <w:rsid w:val="00A94708"/>
    <w:rsid w:val="00A94782"/>
    <w:rsid w:val="00A94C66"/>
    <w:rsid w:val="00A94E62"/>
    <w:rsid w:val="00A951A4"/>
    <w:rsid w:val="00A97CE7"/>
    <w:rsid w:val="00AA023C"/>
    <w:rsid w:val="00AA02A3"/>
    <w:rsid w:val="00AA2B04"/>
    <w:rsid w:val="00AA4A1D"/>
    <w:rsid w:val="00AA4C93"/>
    <w:rsid w:val="00AA5FA7"/>
    <w:rsid w:val="00AA694C"/>
    <w:rsid w:val="00AA6AD7"/>
    <w:rsid w:val="00AA71A8"/>
    <w:rsid w:val="00AA7560"/>
    <w:rsid w:val="00AB0F90"/>
    <w:rsid w:val="00AB1A0A"/>
    <w:rsid w:val="00AB1B7D"/>
    <w:rsid w:val="00AB225C"/>
    <w:rsid w:val="00AB27E8"/>
    <w:rsid w:val="00AB3053"/>
    <w:rsid w:val="00AB315F"/>
    <w:rsid w:val="00AB4C12"/>
    <w:rsid w:val="00AB574F"/>
    <w:rsid w:val="00AB65B8"/>
    <w:rsid w:val="00AB70EA"/>
    <w:rsid w:val="00AB7B60"/>
    <w:rsid w:val="00AC0DAD"/>
    <w:rsid w:val="00AC181A"/>
    <w:rsid w:val="00AC1B77"/>
    <w:rsid w:val="00AC1E5C"/>
    <w:rsid w:val="00AC3AF2"/>
    <w:rsid w:val="00AC4A60"/>
    <w:rsid w:val="00AC5299"/>
    <w:rsid w:val="00AC655F"/>
    <w:rsid w:val="00AC7336"/>
    <w:rsid w:val="00AC7CAF"/>
    <w:rsid w:val="00AD01DC"/>
    <w:rsid w:val="00AD0C91"/>
    <w:rsid w:val="00AD24B3"/>
    <w:rsid w:val="00AD3936"/>
    <w:rsid w:val="00AD3FB9"/>
    <w:rsid w:val="00AD47CC"/>
    <w:rsid w:val="00AD4AC2"/>
    <w:rsid w:val="00AD5552"/>
    <w:rsid w:val="00AD6134"/>
    <w:rsid w:val="00AD62BE"/>
    <w:rsid w:val="00AD67DB"/>
    <w:rsid w:val="00AD6953"/>
    <w:rsid w:val="00AD714C"/>
    <w:rsid w:val="00AD71E2"/>
    <w:rsid w:val="00AE0004"/>
    <w:rsid w:val="00AE0B86"/>
    <w:rsid w:val="00AE1DCB"/>
    <w:rsid w:val="00AE200B"/>
    <w:rsid w:val="00AE2ACB"/>
    <w:rsid w:val="00AE43B4"/>
    <w:rsid w:val="00AE505F"/>
    <w:rsid w:val="00AE53A2"/>
    <w:rsid w:val="00AE5D51"/>
    <w:rsid w:val="00AE6086"/>
    <w:rsid w:val="00AE6141"/>
    <w:rsid w:val="00AE7478"/>
    <w:rsid w:val="00AF00D3"/>
    <w:rsid w:val="00AF01FC"/>
    <w:rsid w:val="00AF05C0"/>
    <w:rsid w:val="00AF05F6"/>
    <w:rsid w:val="00AF0919"/>
    <w:rsid w:val="00AF2126"/>
    <w:rsid w:val="00AF244F"/>
    <w:rsid w:val="00AF256A"/>
    <w:rsid w:val="00AF2F55"/>
    <w:rsid w:val="00AF4E57"/>
    <w:rsid w:val="00AF6975"/>
    <w:rsid w:val="00AF7007"/>
    <w:rsid w:val="00B014F4"/>
    <w:rsid w:val="00B02002"/>
    <w:rsid w:val="00B03140"/>
    <w:rsid w:val="00B033F2"/>
    <w:rsid w:val="00B0355F"/>
    <w:rsid w:val="00B039BF"/>
    <w:rsid w:val="00B04380"/>
    <w:rsid w:val="00B048E9"/>
    <w:rsid w:val="00B0542B"/>
    <w:rsid w:val="00B055BD"/>
    <w:rsid w:val="00B05FD4"/>
    <w:rsid w:val="00B0766D"/>
    <w:rsid w:val="00B120B6"/>
    <w:rsid w:val="00B12C5F"/>
    <w:rsid w:val="00B1311D"/>
    <w:rsid w:val="00B13767"/>
    <w:rsid w:val="00B1415D"/>
    <w:rsid w:val="00B143DD"/>
    <w:rsid w:val="00B14578"/>
    <w:rsid w:val="00B14D0D"/>
    <w:rsid w:val="00B14F9A"/>
    <w:rsid w:val="00B158CD"/>
    <w:rsid w:val="00B15D31"/>
    <w:rsid w:val="00B15EDE"/>
    <w:rsid w:val="00B16877"/>
    <w:rsid w:val="00B16E50"/>
    <w:rsid w:val="00B2168D"/>
    <w:rsid w:val="00B21C83"/>
    <w:rsid w:val="00B21EA0"/>
    <w:rsid w:val="00B21F24"/>
    <w:rsid w:val="00B22196"/>
    <w:rsid w:val="00B2245C"/>
    <w:rsid w:val="00B22CB0"/>
    <w:rsid w:val="00B23038"/>
    <w:rsid w:val="00B23C7C"/>
    <w:rsid w:val="00B24852"/>
    <w:rsid w:val="00B2514C"/>
    <w:rsid w:val="00B25D60"/>
    <w:rsid w:val="00B26D9B"/>
    <w:rsid w:val="00B2709B"/>
    <w:rsid w:val="00B273E8"/>
    <w:rsid w:val="00B31750"/>
    <w:rsid w:val="00B3181C"/>
    <w:rsid w:val="00B31887"/>
    <w:rsid w:val="00B32720"/>
    <w:rsid w:val="00B33039"/>
    <w:rsid w:val="00B33080"/>
    <w:rsid w:val="00B33702"/>
    <w:rsid w:val="00B33AA6"/>
    <w:rsid w:val="00B3506B"/>
    <w:rsid w:val="00B35F91"/>
    <w:rsid w:val="00B36C18"/>
    <w:rsid w:val="00B37277"/>
    <w:rsid w:val="00B37D8F"/>
    <w:rsid w:val="00B4124B"/>
    <w:rsid w:val="00B417AA"/>
    <w:rsid w:val="00B41815"/>
    <w:rsid w:val="00B4199D"/>
    <w:rsid w:val="00B41C21"/>
    <w:rsid w:val="00B41CD8"/>
    <w:rsid w:val="00B4311F"/>
    <w:rsid w:val="00B43482"/>
    <w:rsid w:val="00B44876"/>
    <w:rsid w:val="00B471C5"/>
    <w:rsid w:val="00B47D5A"/>
    <w:rsid w:val="00B50186"/>
    <w:rsid w:val="00B50861"/>
    <w:rsid w:val="00B51674"/>
    <w:rsid w:val="00B51C1F"/>
    <w:rsid w:val="00B51C9B"/>
    <w:rsid w:val="00B52398"/>
    <w:rsid w:val="00B5372A"/>
    <w:rsid w:val="00B53BC5"/>
    <w:rsid w:val="00B53F5D"/>
    <w:rsid w:val="00B542AC"/>
    <w:rsid w:val="00B54AC9"/>
    <w:rsid w:val="00B54B8E"/>
    <w:rsid w:val="00B55570"/>
    <w:rsid w:val="00B55EB9"/>
    <w:rsid w:val="00B6016A"/>
    <w:rsid w:val="00B612B5"/>
    <w:rsid w:val="00B62E95"/>
    <w:rsid w:val="00B63544"/>
    <w:rsid w:val="00B644CE"/>
    <w:rsid w:val="00B653EE"/>
    <w:rsid w:val="00B655DB"/>
    <w:rsid w:val="00B66DCB"/>
    <w:rsid w:val="00B67682"/>
    <w:rsid w:val="00B7003A"/>
    <w:rsid w:val="00B70345"/>
    <w:rsid w:val="00B706EE"/>
    <w:rsid w:val="00B711B9"/>
    <w:rsid w:val="00B71367"/>
    <w:rsid w:val="00B715F8"/>
    <w:rsid w:val="00B73C7C"/>
    <w:rsid w:val="00B75138"/>
    <w:rsid w:val="00B75295"/>
    <w:rsid w:val="00B75D3A"/>
    <w:rsid w:val="00B7669A"/>
    <w:rsid w:val="00B76C69"/>
    <w:rsid w:val="00B77663"/>
    <w:rsid w:val="00B8092B"/>
    <w:rsid w:val="00B80E22"/>
    <w:rsid w:val="00B82802"/>
    <w:rsid w:val="00B82A16"/>
    <w:rsid w:val="00B83768"/>
    <w:rsid w:val="00B8384C"/>
    <w:rsid w:val="00B83964"/>
    <w:rsid w:val="00B84125"/>
    <w:rsid w:val="00B85B3A"/>
    <w:rsid w:val="00B87324"/>
    <w:rsid w:val="00B90605"/>
    <w:rsid w:val="00B91248"/>
    <w:rsid w:val="00B916C1"/>
    <w:rsid w:val="00B91E16"/>
    <w:rsid w:val="00B93EE9"/>
    <w:rsid w:val="00B943A8"/>
    <w:rsid w:val="00B95696"/>
    <w:rsid w:val="00B95833"/>
    <w:rsid w:val="00B9660A"/>
    <w:rsid w:val="00B966E6"/>
    <w:rsid w:val="00B96A04"/>
    <w:rsid w:val="00B96DE8"/>
    <w:rsid w:val="00BA26B7"/>
    <w:rsid w:val="00BA3640"/>
    <w:rsid w:val="00BA36BB"/>
    <w:rsid w:val="00BA400F"/>
    <w:rsid w:val="00BA466A"/>
    <w:rsid w:val="00BA5788"/>
    <w:rsid w:val="00BA5D1C"/>
    <w:rsid w:val="00BA6199"/>
    <w:rsid w:val="00BA7106"/>
    <w:rsid w:val="00BA7FD3"/>
    <w:rsid w:val="00BB1BED"/>
    <w:rsid w:val="00BB2DFE"/>
    <w:rsid w:val="00BB37D6"/>
    <w:rsid w:val="00BB3B5B"/>
    <w:rsid w:val="00BB3C5D"/>
    <w:rsid w:val="00BB4512"/>
    <w:rsid w:val="00BB4BE2"/>
    <w:rsid w:val="00BB554E"/>
    <w:rsid w:val="00BB56E7"/>
    <w:rsid w:val="00BC04EA"/>
    <w:rsid w:val="00BC0D9E"/>
    <w:rsid w:val="00BC1197"/>
    <w:rsid w:val="00BC12AC"/>
    <w:rsid w:val="00BC2529"/>
    <w:rsid w:val="00BC3AB2"/>
    <w:rsid w:val="00BC5B53"/>
    <w:rsid w:val="00BC6494"/>
    <w:rsid w:val="00BD198D"/>
    <w:rsid w:val="00BD20B9"/>
    <w:rsid w:val="00BD2E30"/>
    <w:rsid w:val="00BD4144"/>
    <w:rsid w:val="00BD42F7"/>
    <w:rsid w:val="00BD4E4C"/>
    <w:rsid w:val="00BD6326"/>
    <w:rsid w:val="00BD6B69"/>
    <w:rsid w:val="00BD6F3C"/>
    <w:rsid w:val="00BE2538"/>
    <w:rsid w:val="00BE37F7"/>
    <w:rsid w:val="00BE3D28"/>
    <w:rsid w:val="00BE420C"/>
    <w:rsid w:val="00BE4FBD"/>
    <w:rsid w:val="00BE51F1"/>
    <w:rsid w:val="00BE6B9B"/>
    <w:rsid w:val="00BE6D94"/>
    <w:rsid w:val="00BF08A5"/>
    <w:rsid w:val="00BF1595"/>
    <w:rsid w:val="00BF1F84"/>
    <w:rsid w:val="00BF2342"/>
    <w:rsid w:val="00BF2A7C"/>
    <w:rsid w:val="00BF37FC"/>
    <w:rsid w:val="00BF3A5A"/>
    <w:rsid w:val="00BF5B47"/>
    <w:rsid w:val="00BF67CB"/>
    <w:rsid w:val="00BF6D5B"/>
    <w:rsid w:val="00BF7840"/>
    <w:rsid w:val="00C0052E"/>
    <w:rsid w:val="00C00563"/>
    <w:rsid w:val="00C008BD"/>
    <w:rsid w:val="00C01748"/>
    <w:rsid w:val="00C01C7F"/>
    <w:rsid w:val="00C01D1C"/>
    <w:rsid w:val="00C03E59"/>
    <w:rsid w:val="00C04B53"/>
    <w:rsid w:val="00C04B92"/>
    <w:rsid w:val="00C05881"/>
    <w:rsid w:val="00C058A5"/>
    <w:rsid w:val="00C058FC"/>
    <w:rsid w:val="00C05FB5"/>
    <w:rsid w:val="00C10DF8"/>
    <w:rsid w:val="00C117DF"/>
    <w:rsid w:val="00C12B0F"/>
    <w:rsid w:val="00C12F88"/>
    <w:rsid w:val="00C13F7D"/>
    <w:rsid w:val="00C16299"/>
    <w:rsid w:val="00C16556"/>
    <w:rsid w:val="00C16EDB"/>
    <w:rsid w:val="00C20049"/>
    <w:rsid w:val="00C2196B"/>
    <w:rsid w:val="00C22212"/>
    <w:rsid w:val="00C2306E"/>
    <w:rsid w:val="00C2409D"/>
    <w:rsid w:val="00C24A8A"/>
    <w:rsid w:val="00C24B8B"/>
    <w:rsid w:val="00C2520C"/>
    <w:rsid w:val="00C266E1"/>
    <w:rsid w:val="00C30954"/>
    <w:rsid w:val="00C31057"/>
    <w:rsid w:val="00C3179A"/>
    <w:rsid w:val="00C31B20"/>
    <w:rsid w:val="00C31CB3"/>
    <w:rsid w:val="00C3329D"/>
    <w:rsid w:val="00C34402"/>
    <w:rsid w:val="00C3441D"/>
    <w:rsid w:val="00C348EA"/>
    <w:rsid w:val="00C3527E"/>
    <w:rsid w:val="00C354EC"/>
    <w:rsid w:val="00C36A77"/>
    <w:rsid w:val="00C36CA1"/>
    <w:rsid w:val="00C375B7"/>
    <w:rsid w:val="00C37825"/>
    <w:rsid w:val="00C37AAA"/>
    <w:rsid w:val="00C40035"/>
    <w:rsid w:val="00C40F41"/>
    <w:rsid w:val="00C40F4B"/>
    <w:rsid w:val="00C413BB"/>
    <w:rsid w:val="00C41DA4"/>
    <w:rsid w:val="00C41E74"/>
    <w:rsid w:val="00C4258A"/>
    <w:rsid w:val="00C433AE"/>
    <w:rsid w:val="00C44290"/>
    <w:rsid w:val="00C4452E"/>
    <w:rsid w:val="00C4602D"/>
    <w:rsid w:val="00C4725C"/>
    <w:rsid w:val="00C51555"/>
    <w:rsid w:val="00C51EC4"/>
    <w:rsid w:val="00C524B1"/>
    <w:rsid w:val="00C52DE5"/>
    <w:rsid w:val="00C52EA2"/>
    <w:rsid w:val="00C536C1"/>
    <w:rsid w:val="00C53A96"/>
    <w:rsid w:val="00C53B24"/>
    <w:rsid w:val="00C560D2"/>
    <w:rsid w:val="00C5636A"/>
    <w:rsid w:val="00C56919"/>
    <w:rsid w:val="00C5772B"/>
    <w:rsid w:val="00C57AC8"/>
    <w:rsid w:val="00C602FF"/>
    <w:rsid w:val="00C618B3"/>
    <w:rsid w:val="00C62BBA"/>
    <w:rsid w:val="00C63B8F"/>
    <w:rsid w:val="00C647EE"/>
    <w:rsid w:val="00C64A68"/>
    <w:rsid w:val="00C64F40"/>
    <w:rsid w:val="00C660EF"/>
    <w:rsid w:val="00C664DD"/>
    <w:rsid w:val="00C66D9E"/>
    <w:rsid w:val="00C67407"/>
    <w:rsid w:val="00C67FED"/>
    <w:rsid w:val="00C701B8"/>
    <w:rsid w:val="00C70F39"/>
    <w:rsid w:val="00C7139E"/>
    <w:rsid w:val="00C725DC"/>
    <w:rsid w:val="00C72BB8"/>
    <w:rsid w:val="00C72EF7"/>
    <w:rsid w:val="00C7359D"/>
    <w:rsid w:val="00C73A85"/>
    <w:rsid w:val="00C75A1D"/>
    <w:rsid w:val="00C76236"/>
    <w:rsid w:val="00C7640F"/>
    <w:rsid w:val="00C81A67"/>
    <w:rsid w:val="00C81C24"/>
    <w:rsid w:val="00C823A3"/>
    <w:rsid w:val="00C823F8"/>
    <w:rsid w:val="00C84776"/>
    <w:rsid w:val="00C84B27"/>
    <w:rsid w:val="00C85358"/>
    <w:rsid w:val="00C85796"/>
    <w:rsid w:val="00C857E1"/>
    <w:rsid w:val="00C85C0A"/>
    <w:rsid w:val="00C901A7"/>
    <w:rsid w:val="00C923BB"/>
    <w:rsid w:val="00C92A3F"/>
    <w:rsid w:val="00C935E2"/>
    <w:rsid w:val="00C93806"/>
    <w:rsid w:val="00C9382E"/>
    <w:rsid w:val="00C947A8"/>
    <w:rsid w:val="00C953DE"/>
    <w:rsid w:val="00C955B3"/>
    <w:rsid w:val="00C95ABB"/>
    <w:rsid w:val="00C95B37"/>
    <w:rsid w:val="00C95EBC"/>
    <w:rsid w:val="00C96CA8"/>
    <w:rsid w:val="00C96DA7"/>
    <w:rsid w:val="00C97E5D"/>
    <w:rsid w:val="00CA257B"/>
    <w:rsid w:val="00CA3650"/>
    <w:rsid w:val="00CA3665"/>
    <w:rsid w:val="00CA4715"/>
    <w:rsid w:val="00CA4DCD"/>
    <w:rsid w:val="00CA7B5E"/>
    <w:rsid w:val="00CB065D"/>
    <w:rsid w:val="00CB0B6A"/>
    <w:rsid w:val="00CB154C"/>
    <w:rsid w:val="00CB15D5"/>
    <w:rsid w:val="00CB1759"/>
    <w:rsid w:val="00CB17C9"/>
    <w:rsid w:val="00CB1B54"/>
    <w:rsid w:val="00CB21A6"/>
    <w:rsid w:val="00CB2AFC"/>
    <w:rsid w:val="00CB2E8E"/>
    <w:rsid w:val="00CB3AB0"/>
    <w:rsid w:val="00CB49D8"/>
    <w:rsid w:val="00CB4A8F"/>
    <w:rsid w:val="00CB4BB1"/>
    <w:rsid w:val="00CB5350"/>
    <w:rsid w:val="00CB5D48"/>
    <w:rsid w:val="00CB63C9"/>
    <w:rsid w:val="00CB74FE"/>
    <w:rsid w:val="00CB7750"/>
    <w:rsid w:val="00CB7AC0"/>
    <w:rsid w:val="00CB7F59"/>
    <w:rsid w:val="00CC0BD4"/>
    <w:rsid w:val="00CC0EF4"/>
    <w:rsid w:val="00CC118E"/>
    <w:rsid w:val="00CC12B1"/>
    <w:rsid w:val="00CC1EE6"/>
    <w:rsid w:val="00CC2A74"/>
    <w:rsid w:val="00CC4521"/>
    <w:rsid w:val="00CC4908"/>
    <w:rsid w:val="00CC629B"/>
    <w:rsid w:val="00CC6869"/>
    <w:rsid w:val="00CC6C86"/>
    <w:rsid w:val="00CC6E7F"/>
    <w:rsid w:val="00CC7C6D"/>
    <w:rsid w:val="00CD2E4C"/>
    <w:rsid w:val="00CD4EA9"/>
    <w:rsid w:val="00CD52F2"/>
    <w:rsid w:val="00CD6AF2"/>
    <w:rsid w:val="00CE0371"/>
    <w:rsid w:val="00CE0465"/>
    <w:rsid w:val="00CE195E"/>
    <w:rsid w:val="00CE494E"/>
    <w:rsid w:val="00CE4987"/>
    <w:rsid w:val="00CE67C7"/>
    <w:rsid w:val="00CE7C82"/>
    <w:rsid w:val="00CF0426"/>
    <w:rsid w:val="00CF086B"/>
    <w:rsid w:val="00CF0D42"/>
    <w:rsid w:val="00CF1B43"/>
    <w:rsid w:val="00CF1E74"/>
    <w:rsid w:val="00CF2930"/>
    <w:rsid w:val="00CF3D14"/>
    <w:rsid w:val="00CF4679"/>
    <w:rsid w:val="00CF4B62"/>
    <w:rsid w:val="00CF5951"/>
    <w:rsid w:val="00CF66BD"/>
    <w:rsid w:val="00CF6ABF"/>
    <w:rsid w:val="00CF6AEF"/>
    <w:rsid w:val="00CF75D5"/>
    <w:rsid w:val="00CF791D"/>
    <w:rsid w:val="00CF7CFE"/>
    <w:rsid w:val="00D001BF"/>
    <w:rsid w:val="00D0189C"/>
    <w:rsid w:val="00D02BC0"/>
    <w:rsid w:val="00D02E94"/>
    <w:rsid w:val="00D034D6"/>
    <w:rsid w:val="00D03F2B"/>
    <w:rsid w:val="00D042C0"/>
    <w:rsid w:val="00D05166"/>
    <w:rsid w:val="00D05379"/>
    <w:rsid w:val="00D0540E"/>
    <w:rsid w:val="00D06B62"/>
    <w:rsid w:val="00D0783B"/>
    <w:rsid w:val="00D078D5"/>
    <w:rsid w:val="00D10310"/>
    <w:rsid w:val="00D1108D"/>
    <w:rsid w:val="00D11B3B"/>
    <w:rsid w:val="00D11DC6"/>
    <w:rsid w:val="00D11F08"/>
    <w:rsid w:val="00D127B0"/>
    <w:rsid w:val="00D13535"/>
    <w:rsid w:val="00D14151"/>
    <w:rsid w:val="00D144D0"/>
    <w:rsid w:val="00D15C9A"/>
    <w:rsid w:val="00D15D54"/>
    <w:rsid w:val="00D16B5C"/>
    <w:rsid w:val="00D16F39"/>
    <w:rsid w:val="00D173B3"/>
    <w:rsid w:val="00D17628"/>
    <w:rsid w:val="00D20BCF"/>
    <w:rsid w:val="00D211B1"/>
    <w:rsid w:val="00D22364"/>
    <w:rsid w:val="00D23C38"/>
    <w:rsid w:val="00D2458F"/>
    <w:rsid w:val="00D25C7C"/>
    <w:rsid w:val="00D26052"/>
    <w:rsid w:val="00D26A9D"/>
    <w:rsid w:val="00D26BE0"/>
    <w:rsid w:val="00D26FE0"/>
    <w:rsid w:val="00D272CC"/>
    <w:rsid w:val="00D2786A"/>
    <w:rsid w:val="00D27AED"/>
    <w:rsid w:val="00D30280"/>
    <w:rsid w:val="00D308C6"/>
    <w:rsid w:val="00D32202"/>
    <w:rsid w:val="00D3257E"/>
    <w:rsid w:val="00D32823"/>
    <w:rsid w:val="00D35CE4"/>
    <w:rsid w:val="00D366B4"/>
    <w:rsid w:val="00D40647"/>
    <w:rsid w:val="00D4119A"/>
    <w:rsid w:val="00D4174C"/>
    <w:rsid w:val="00D43892"/>
    <w:rsid w:val="00D44B9F"/>
    <w:rsid w:val="00D45721"/>
    <w:rsid w:val="00D459A8"/>
    <w:rsid w:val="00D45A63"/>
    <w:rsid w:val="00D463A6"/>
    <w:rsid w:val="00D47C0E"/>
    <w:rsid w:val="00D512A9"/>
    <w:rsid w:val="00D5151C"/>
    <w:rsid w:val="00D51631"/>
    <w:rsid w:val="00D516A4"/>
    <w:rsid w:val="00D51D1B"/>
    <w:rsid w:val="00D52938"/>
    <w:rsid w:val="00D52D05"/>
    <w:rsid w:val="00D56081"/>
    <w:rsid w:val="00D56973"/>
    <w:rsid w:val="00D5712B"/>
    <w:rsid w:val="00D576E5"/>
    <w:rsid w:val="00D606EC"/>
    <w:rsid w:val="00D624E4"/>
    <w:rsid w:val="00D62774"/>
    <w:rsid w:val="00D62DA1"/>
    <w:rsid w:val="00D62E9C"/>
    <w:rsid w:val="00D63EC1"/>
    <w:rsid w:val="00D64F16"/>
    <w:rsid w:val="00D65CE6"/>
    <w:rsid w:val="00D66FA1"/>
    <w:rsid w:val="00D67555"/>
    <w:rsid w:val="00D70C4C"/>
    <w:rsid w:val="00D70EE4"/>
    <w:rsid w:val="00D70F67"/>
    <w:rsid w:val="00D71299"/>
    <w:rsid w:val="00D71CD7"/>
    <w:rsid w:val="00D71E67"/>
    <w:rsid w:val="00D72BFA"/>
    <w:rsid w:val="00D72ECE"/>
    <w:rsid w:val="00D7400E"/>
    <w:rsid w:val="00D746DA"/>
    <w:rsid w:val="00D74DB0"/>
    <w:rsid w:val="00D74FEB"/>
    <w:rsid w:val="00D76953"/>
    <w:rsid w:val="00D76A01"/>
    <w:rsid w:val="00D76B2F"/>
    <w:rsid w:val="00D775F7"/>
    <w:rsid w:val="00D807A4"/>
    <w:rsid w:val="00D80D58"/>
    <w:rsid w:val="00D81203"/>
    <w:rsid w:val="00D8154B"/>
    <w:rsid w:val="00D81BB2"/>
    <w:rsid w:val="00D83092"/>
    <w:rsid w:val="00D83624"/>
    <w:rsid w:val="00D84487"/>
    <w:rsid w:val="00D846FB"/>
    <w:rsid w:val="00D84B80"/>
    <w:rsid w:val="00D8522F"/>
    <w:rsid w:val="00D85491"/>
    <w:rsid w:val="00D85CC1"/>
    <w:rsid w:val="00D86E5A"/>
    <w:rsid w:val="00D906B0"/>
    <w:rsid w:val="00D90D2C"/>
    <w:rsid w:val="00D924C7"/>
    <w:rsid w:val="00D927E6"/>
    <w:rsid w:val="00D9285C"/>
    <w:rsid w:val="00D93FCA"/>
    <w:rsid w:val="00D94652"/>
    <w:rsid w:val="00D94856"/>
    <w:rsid w:val="00D9516D"/>
    <w:rsid w:val="00D9616F"/>
    <w:rsid w:val="00D97350"/>
    <w:rsid w:val="00D973ED"/>
    <w:rsid w:val="00D9757C"/>
    <w:rsid w:val="00D97B0B"/>
    <w:rsid w:val="00D97F31"/>
    <w:rsid w:val="00DA0CD8"/>
    <w:rsid w:val="00DA1018"/>
    <w:rsid w:val="00DA18C6"/>
    <w:rsid w:val="00DA2617"/>
    <w:rsid w:val="00DA3062"/>
    <w:rsid w:val="00DA4CBD"/>
    <w:rsid w:val="00DA5057"/>
    <w:rsid w:val="00DA596F"/>
    <w:rsid w:val="00DA62EB"/>
    <w:rsid w:val="00DA6BE3"/>
    <w:rsid w:val="00DA7F24"/>
    <w:rsid w:val="00DB0328"/>
    <w:rsid w:val="00DB0ADA"/>
    <w:rsid w:val="00DB1221"/>
    <w:rsid w:val="00DB1631"/>
    <w:rsid w:val="00DB247F"/>
    <w:rsid w:val="00DB3011"/>
    <w:rsid w:val="00DB31FA"/>
    <w:rsid w:val="00DB44F3"/>
    <w:rsid w:val="00DB5374"/>
    <w:rsid w:val="00DB5519"/>
    <w:rsid w:val="00DB605B"/>
    <w:rsid w:val="00DB6133"/>
    <w:rsid w:val="00DB709A"/>
    <w:rsid w:val="00DB7DD3"/>
    <w:rsid w:val="00DC08E1"/>
    <w:rsid w:val="00DC0FA6"/>
    <w:rsid w:val="00DC323F"/>
    <w:rsid w:val="00DC3D89"/>
    <w:rsid w:val="00DC3F09"/>
    <w:rsid w:val="00DC480C"/>
    <w:rsid w:val="00DC4E3F"/>
    <w:rsid w:val="00DC4FB5"/>
    <w:rsid w:val="00DC5112"/>
    <w:rsid w:val="00DC5226"/>
    <w:rsid w:val="00DC56EE"/>
    <w:rsid w:val="00DC6475"/>
    <w:rsid w:val="00DC683A"/>
    <w:rsid w:val="00DC6F94"/>
    <w:rsid w:val="00DC76A3"/>
    <w:rsid w:val="00DD0F74"/>
    <w:rsid w:val="00DD1B90"/>
    <w:rsid w:val="00DD2490"/>
    <w:rsid w:val="00DD28C3"/>
    <w:rsid w:val="00DD3197"/>
    <w:rsid w:val="00DD3444"/>
    <w:rsid w:val="00DD43C9"/>
    <w:rsid w:val="00DD46EA"/>
    <w:rsid w:val="00DD4C5C"/>
    <w:rsid w:val="00DD4F15"/>
    <w:rsid w:val="00DD524C"/>
    <w:rsid w:val="00DD5DDD"/>
    <w:rsid w:val="00DD669E"/>
    <w:rsid w:val="00DD76A3"/>
    <w:rsid w:val="00DD775A"/>
    <w:rsid w:val="00DD7B3C"/>
    <w:rsid w:val="00DE07CD"/>
    <w:rsid w:val="00DE0BA1"/>
    <w:rsid w:val="00DE1A36"/>
    <w:rsid w:val="00DE1DED"/>
    <w:rsid w:val="00DE368E"/>
    <w:rsid w:val="00DE39CE"/>
    <w:rsid w:val="00DE42D0"/>
    <w:rsid w:val="00DE4E98"/>
    <w:rsid w:val="00DE7A1C"/>
    <w:rsid w:val="00DE7A73"/>
    <w:rsid w:val="00DF0692"/>
    <w:rsid w:val="00DF0A0B"/>
    <w:rsid w:val="00DF0A19"/>
    <w:rsid w:val="00DF0A30"/>
    <w:rsid w:val="00DF0AD9"/>
    <w:rsid w:val="00DF100D"/>
    <w:rsid w:val="00DF287D"/>
    <w:rsid w:val="00DF357B"/>
    <w:rsid w:val="00DF377A"/>
    <w:rsid w:val="00DF3A14"/>
    <w:rsid w:val="00DF446D"/>
    <w:rsid w:val="00DF4532"/>
    <w:rsid w:val="00DF6BE1"/>
    <w:rsid w:val="00DF6CAB"/>
    <w:rsid w:val="00DF70BD"/>
    <w:rsid w:val="00DF70C3"/>
    <w:rsid w:val="00DF7316"/>
    <w:rsid w:val="00DF747A"/>
    <w:rsid w:val="00E00B7E"/>
    <w:rsid w:val="00E0198A"/>
    <w:rsid w:val="00E029AE"/>
    <w:rsid w:val="00E02C18"/>
    <w:rsid w:val="00E031DF"/>
    <w:rsid w:val="00E034CD"/>
    <w:rsid w:val="00E03EC7"/>
    <w:rsid w:val="00E043F3"/>
    <w:rsid w:val="00E066C5"/>
    <w:rsid w:val="00E06EC4"/>
    <w:rsid w:val="00E07706"/>
    <w:rsid w:val="00E108F9"/>
    <w:rsid w:val="00E11133"/>
    <w:rsid w:val="00E11152"/>
    <w:rsid w:val="00E11792"/>
    <w:rsid w:val="00E12074"/>
    <w:rsid w:val="00E123D9"/>
    <w:rsid w:val="00E12AE5"/>
    <w:rsid w:val="00E12E67"/>
    <w:rsid w:val="00E1300C"/>
    <w:rsid w:val="00E1367C"/>
    <w:rsid w:val="00E13AC8"/>
    <w:rsid w:val="00E14078"/>
    <w:rsid w:val="00E14F59"/>
    <w:rsid w:val="00E1539F"/>
    <w:rsid w:val="00E15453"/>
    <w:rsid w:val="00E1548E"/>
    <w:rsid w:val="00E168F6"/>
    <w:rsid w:val="00E16D08"/>
    <w:rsid w:val="00E201F5"/>
    <w:rsid w:val="00E21BA6"/>
    <w:rsid w:val="00E24030"/>
    <w:rsid w:val="00E24F45"/>
    <w:rsid w:val="00E25060"/>
    <w:rsid w:val="00E26C72"/>
    <w:rsid w:val="00E26CEC"/>
    <w:rsid w:val="00E26E15"/>
    <w:rsid w:val="00E27038"/>
    <w:rsid w:val="00E27D56"/>
    <w:rsid w:val="00E3156E"/>
    <w:rsid w:val="00E323B3"/>
    <w:rsid w:val="00E32B37"/>
    <w:rsid w:val="00E346E8"/>
    <w:rsid w:val="00E35E51"/>
    <w:rsid w:val="00E403B9"/>
    <w:rsid w:val="00E4072F"/>
    <w:rsid w:val="00E4239D"/>
    <w:rsid w:val="00E429CB"/>
    <w:rsid w:val="00E430AA"/>
    <w:rsid w:val="00E43177"/>
    <w:rsid w:val="00E43969"/>
    <w:rsid w:val="00E43A0A"/>
    <w:rsid w:val="00E44A77"/>
    <w:rsid w:val="00E44B36"/>
    <w:rsid w:val="00E44E92"/>
    <w:rsid w:val="00E45366"/>
    <w:rsid w:val="00E4563D"/>
    <w:rsid w:val="00E45D7D"/>
    <w:rsid w:val="00E45F2A"/>
    <w:rsid w:val="00E47EFF"/>
    <w:rsid w:val="00E5329A"/>
    <w:rsid w:val="00E54677"/>
    <w:rsid w:val="00E548D0"/>
    <w:rsid w:val="00E54CEC"/>
    <w:rsid w:val="00E54E51"/>
    <w:rsid w:val="00E557F5"/>
    <w:rsid w:val="00E5653C"/>
    <w:rsid w:val="00E573F0"/>
    <w:rsid w:val="00E577BA"/>
    <w:rsid w:val="00E60721"/>
    <w:rsid w:val="00E607D2"/>
    <w:rsid w:val="00E61429"/>
    <w:rsid w:val="00E618C7"/>
    <w:rsid w:val="00E6251E"/>
    <w:rsid w:val="00E633B4"/>
    <w:rsid w:val="00E6630B"/>
    <w:rsid w:val="00E666E3"/>
    <w:rsid w:val="00E70310"/>
    <w:rsid w:val="00E72123"/>
    <w:rsid w:val="00E72C99"/>
    <w:rsid w:val="00E73C9C"/>
    <w:rsid w:val="00E74758"/>
    <w:rsid w:val="00E759A0"/>
    <w:rsid w:val="00E75C15"/>
    <w:rsid w:val="00E76A4E"/>
    <w:rsid w:val="00E8062B"/>
    <w:rsid w:val="00E81576"/>
    <w:rsid w:val="00E81B03"/>
    <w:rsid w:val="00E8239D"/>
    <w:rsid w:val="00E82D51"/>
    <w:rsid w:val="00E8365B"/>
    <w:rsid w:val="00E84063"/>
    <w:rsid w:val="00E85D63"/>
    <w:rsid w:val="00E870B8"/>
    <w:rsid w:val="00E87629"/>
    <w:rsid w:val="00E90EB6"/>
    <w:rsid w:val="00E91048"/>
    <w:rsid w:val="00E9168D"/>
    <w:rsid w:val="00E9170F"/>
    <w:rsid w:val="00E92038"/>
    <w:rsid w:val="00E92451"/>
    <w:rsid w:val="00E94183"/>
    <w:rsid w:val="00E942E2"/>
    <w:rsid w:val="00E94EE9"/>
    <w:rsid w:val="00E94F3D"/>
    <w:rsid w:val="00E94F58"/>
    <w:rsid w:val="00E95D42"/>
    <w:rsid w:val="00E965CF"/>
    <w:rsid w:val="00E96A4E"/>
    <w:rsid w:val="00E96F67"/>
    <w:rsid w:val="00E972BD"/>
    <w:rsid w:val="00EA1393"/>
    <w:rsid w:val="00EA219F"/>
    <w:rsid w:val="00EA310E"/>
    <w:rsid w:val="00EA326F"/>
    <w:rsid w:val="00EA372B"/>
    <w:rsid w:val="00EA3E27"/>
    <w:rsid w:val="00EA48C0"/>
    <w:rsid w:val="00EA5E95"/>
    <w:rsid w:val="00EA6431"/>
    <w:rsid w:val="00EA6C16"/>
    <w:rsid w:val="00EB089C"/>
    <w:rsid w:val="00EB0C91"/>
    <w:rsid w:val="00EB14E6"/>
    <w:rsid w:val="00EB26B0"/>
    <w:rsid w:val="00EB2EE4"/>
    <w:rsid w:val="00EB3A1F"/>
    <w:rsid w:val="00EB49C4"/>
    <w:rsid w:val="00EB4B30"/>
    <w:rsid w:val="00EB4FC1"/>
    <w:rsid w:val="00EB6D01"/>
    <w:rsid w:val="00EB7189"/>
    <w:rsid w:val="00EB744F"/>
    <w:rsid w:val="00EC094C"/>
    <w:rsid w:val="00EC0E1E"/>
    <w:rsid w:val="00EC17BE"/>
    <w:rsid w:val="00EC2FB1"/>
    <w:rsid w:val="00EC422A"/>
    <w:rsid w:val="00EC4822"/>
    <w:rsid w:val="00EC4909"/>
    <w:rsid w:val="00EC4FF0"/>
    <w:rsid w:val="00EC53FD"/>
    <w:rsid w:val="00EC5840"/>
    <w:rsid w:val="00EC5AEF"/>
    <w:rsid w:val="00EC5E7A"/>
    <w:rsid w:val="00EC60D6"/>
    <w:rsid w:val="00EC680B"/>
    <w:rsid w:val="00EC689B"/>
    <w:rsid w:val="00EC6A9F"/>
    <w:rsid w:val="00EC6B52"/>
    <w:rsid w:val="00EC7A2F"/>
    <w:rsid w:val="00ED0C2C"/>
    <w:rsid w:val="00ED0EA2"/>
    <w:rsid w:val="00ED1211"/>
    <w:rsid w:val="00ED32FC"/>
    <w:rsid w:val="00ED3C19"/>
    <w:rsid w:val="00ED418D"/>
    <w:rsid w:val="00ED4524"/>
    <w:rsid w:val="00ED7FBB"/>
    <w:rsid w:val="00EE08C0"/>
    <w:rsid w:val="00EE24E4"/>
    <w:rsid w:val="00EE379E"/>
    <w:rsid w:val="00EE3BA5"/>
    <w:rsid w:val="00EE3FAA"/>
    <w:rsid w:val="00EE4771"/>
    <w:rsid w:val="00EE5457"/>
    <w:rsid w:val="00EF090F"/>
    <w:rsid w:val="00EF0B46"/>
    <w:rsid w:val="00EF0CB2"/>
    <w:rsid w:val="00EF129E"/>
    <w:rsid w:val="00EF36D3"/>
    <w:rsid w:val="00EF3C60"/>
    <w:rsid w:val="00EF3CF2"/>
    <w:rsid w:val="00EF4280"/>
    <w:rsid w:val="00EF43C3"/>
    <w:rsid w:val="00EF5C99"/>
    <w:rsid w:val="00EF5EDC"/>
    <w:rsid w:val="00EF6C53"/>
    <w:rsid w:val="00EF7BAF"/>
    <w:rsid w:val="00F007E4"/>
    <w:rsid w:val="00F0123A"/>
    <w:rsid w:val="00F026BC"/>
    <w:rsid w:val="00F03488"/>
    <w:rsid w:val="00F03C47"/>
    <w:rsid w:val="00F06560"/>
    <w:rsid w:val="00F07D1C"/>
    <w:rsid w:val="00F102DD"/>
    <w:rsid w:val="00F130BD"/>
    <w:rsid w:val="00F138E5"/>
    <w:rsid w:val="00F13DD2"/>
    <w:rsid w:val="00F1601C"/>
    <w:rsid w:val="00F162D4"/>
    <w:rsid w:val="00F1636E"/>
    <w:rsid w:val="00F21343"/>
    <w:rsid w:val="00F21F6B"/>
    <w:rsid w:val="00F222BA"/>
    <w:rsid w:val="00F22639"/>
    <w:rsid w:val="00F228A9"/>
    <w:rsid w:val="00F229C8"/>
    <w:rsid w:val="00F22D31"/>
    <w:rsid w:val="00F23844"/>
    <w:rsid w:val="00F24077"/>
    <w:rsid w:val="00F24166"/>
    <w:rsid w:val="00F24C48"/>
    <w:rsid w:val="00F25F2C"/>
    <w:rsid w:val="00F26E3A"/>
    <w:rsid w:val="00F27714"/>
    <w:rsid w:val="00F2795F"/>
    <w:rsid w:val="00F301DF"/>
    <w:rsid w:val="00F31F6E"/>
    <w:rsid w:val="00F327DD"/>
    <w:rsid w:val="00F329B4"/>
    <w:rsid w:val="00F32CDC"/>
    <w:rsid w:val="00F32F29"/>
    <w:rsid w:val="00F33155"/>
    <w:rsid w:val="00F3429F"/>
    <w:rsid w:val="00F347B1"/>
    <w:rsid w:val="00F35B2B"/>
    <w:rsid w:val="00F36101"/>
    <w:rsid w:val="00F3656A"/>
    <w:rsid w:val="00F36C40"/>
    <w:rsid w:val="00F3740D"/>
    <w:rsid w:val="00F37B1E"/>
    <w:rsid w:val="00F4086D"/>
    <w:rsid w:val="00F411AE"/>
    <w:rsid w:val="00F41555"/>
    <w:rsid w:val="00F42949"/>
    <w:rsid w:val="00F43AC4"/>
    <w:rsid w:val="00F4472F"/>
    <w:rsid w:val="00F45A48"/>
    <w:rsid w:val="00F46007"/>
    <w:rsid w:val="00F501B6"/>
    <w:rsid w:val="00F50278"/>
    <w:rsid w:val="00F502C2"/>
    <w:rsid w:val="00F50A05"/>
    <w:rsid w:val="00F52AFD"/>
    <w:rsid w:val="00F53416"/>
    <w:rsid w:val="00F53750"/>
    <w:rsid w:val="00F53B6E"/>
    <w:rsid w:val="00F53D4E"/>
    <w:rsid w:val="00F53FC6"/>
    <w:rsid w:val="00F55E63"/>
    <w:rsid w:val="00F5624A"/>
    <w:rsid w:val="00F5653A"/>
    <w:rsid w:val="00F578A5"/>
    <w:rsid w:val="00F6149F"/>
    <w:rsid w:val="00F615E1"/>
    <w:rsid w:val="00F628EC"/>
    <w:rsid w:val="00F6371A"/>
    <w:rsid w:val="00F639B9"/>
    <w:rsid w:val="00F63A81"/>
    <w:rsid w:val="00F63BA1"/>
    <w:rsid w:val="00F64C1A"/>
    <w:rsid w:val="00F65029"/>
    <w:rsid w:val="00F65098"/>
    <w:rsid w:val="00F66CD6"/>
    <w:rsid w:val="00F67C95"/>
    <w:rsid w:val="00F704E0"/>
    <w:rsid w:val="00F70A26"/>
    <w:rsid w:val="00F71143"/>
    <w:rsid w:val="00F71206"/>
    <w:rsid w:val="00F71381"/>
    <w:rsid w:val="00F7524C"/>
    <w:rsid w:val="00F756DC"/>
    <w:rsid w:val="00F7640C"/>
    <w:rsid w:val="00F803F9"/>
    <w:rsid w:val="00F80A12"/>
    <w:rsid w:val="00F80AB7"/>
    <w:rsid w:val="00F80E93"/>
    <w:rsid w:val="00F81235"/>
    <w:rsid w:val="00F813C8"/>
    <w:rsid w:val="00F834DD"/>
    <w:rsid w:val="00F83AB3"/>
    <w:rsid w:val="00F847F0"/>
    <w:rsid w:val="00F85602"/>
    <w:rsid w:val="00F85DF6"/>
    <w:rsid w:val="00F86530"/>
    <w:rsid w:val="00F869B0"/>
    <w:rsid w:val="00F903BB"/>
    <w:rsid w:val="00F91EC2"/>
    <w:rsid w:val="00F92427"/>
    <w:rsid w:val="00F9390D"/>
    <w:rsid w:val="00F94D97"/>
    <w:rsid w:val="00F961B1"/>
    <w:rsid w:val="00F96720"/>
    <w:rsid w:val="00F968E3"/>
    <w:rsid w:val="00F96912"/>
    <w:rsid w:val="00F96B2A"/>
    <w:rsid w:val="00F972BA"/>
    <w:rsid w:val="00F977AF"/>
    <w:rsid w:val="00F9790D"/>
    <w:rsid w:val="00F97C04"/>
    <w:rsid w:val="00F97EC0"/>
    <w:rsid w:val="00FA0FFA"/>
    <w:rsid w:val="00FA1129"/>
    <w:rsid w:val="00FA2BD3"/>
    <w:rsid w:val="00FA554C"/>
    <w:rsid w:val="00FA631E"/>
    <w:rsid w:val="00FB01C5"/>
    <w:rsid w:val="00FB0E87"/>
    <w:rsid w:val="00FB1FD0"/>
    <w:rsid w:val="00FB297C"/>
    <w:rsid w:val="00FB37D2"/>
    <w:rsid w:val="00FB4093"/>
    <w:rsid w:val="00FB4124"/>
    <w:rsid w:val="00FB4939"/>
    <w:rsid w:val="00FB5066"/>
    <w:rsid w:val="00FB56B6"/>
    <w:rsid w:val="00FB64B6"/>
    <w:rsid w:val="00FB65DC"/>
    <w:rsid w:val="00FB6FB9"/>
    <w:rsid w:val="00FB72BF"/>
    <w:rsid w:val="00FC0445"/>
    <w:rsid w:val="00FC0461"/>
    <w:rsid w:val="00FC0904"/>
    <w:rsid w:val="00FC1C84"/>
    <w:rsid w:val="00FC1CCF"/>
    <w:rsid w:val="00FC245F"/>
    <w:rsid w:val="00FC330D"/>
    <w:rsid w:val="00FC3513"/>
    <w:rsid w:val="00FC384A"/>
    <w:rsid w:val="00FC42FE"/>
    <w:rsid w:val="00FC67BB"/>
    <w:rsid w:val="00FC7362"/>
    <w:rsid w:val="00FC7AA2"/>
    <w:rsid w:val="00FD1E6D"/>
    <w:rsid w:val="00FD2035"/>
    <w:rsid w:val="00FD2FA8"/>
    <w:rsid w:val="00FD32E0"/>
    <w:rsid w:val="00FD4163"/>
    <w:rsid w:val="00FD4231"/>
    <w:rsid w:val="00FD4310"/>
    <w:rsid w:val="00FD539B"/>
    <w:rsid w:val="00FD5A64"/>
    <w:rsid w:val="00FD5BC3"/>
    <w:rsid w:val="00FD6894"/>
    <w:rsid w:val="00FD774F"/>
    <w:rsid w:val="00FD79DD"/>
    <w:rsid w:val="00FD7F48"/>
    <w:rsid w:val="00FE177A"/>
    <w:rsid w:val="00FE1854"/>
    <w:rsid w:val="00FE3044"/>
    <w:rsid w:val="00FE470A"/>
    <w:rsid w:val="00FE4938"/>
    <w:rsid w:val="00FE56E1"/>
    <w:rsid w:val="00FE56E7"/>
    <w:rsid w:val="00FE5DA7"/>
    <w:rsid w:val="00FE6064"/>
    <w:rsid w:val="00FE6363"/>
    <w:rsid w:val="00FE6955"/>
    <w:rsid w:val="00FE7C5A"/>
    <w:rsid w:val="00FF022B"/>
    <w:rsid w:val="00FF07B9"/>
    <w:rsid w:val="00FF190F"/>
    <w:rsid w:val="00FF3E10"/>
    <w:rsid w:val="00FF4164"/>
    <w:rsid w:val="00FF4A53"/>
    <w:rsid w:val="00FF4AB3"/>
    <w:rsid w:val="00FF4C5A"/>
    <w:rsid w:val="00FF5CC6"/>
    <w:rsid w:val="00FF6760"/>
    <w:rsid w:val="00FF688F"/>
    <w:rsid w:val="00FF702C"/>
    <w:rsid w:val="00FF7186"/>
    <w:rsid w:val="00FF7B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6AFCA"/>
  <w15:docId w15:val="{69D74577-E779-A647-9005-B507E4D3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6B"/>
  </w:style>
  <w:style w:type="paragraph" w:styleId="Heading1">
    <w:name w:val="heading 1"/>
    <w:basedOn w:val="Normal"/>
    <w:next w:val="Normal"/>
    <w:link w:val="Heading1Char"/>
    <w:uiPriority w:val="9"/>
    <w:qFormat/>
    <w:rsid w:val="00672CF3"/>
    <w:pPr>
      <w:keepNext/>
      <w:spacing w:before="480" w:after="240" w:line="480" w:lineRule="auto"/>
      <w:jc w:val="both"/>
      <w:outlineLvl w:val="0"/>
    </w:pPr>
    <w:rPr>
      <w:rFonts w:ascii="Arial" w:hAnsi="Arial" w:cs="Arial"/>
      <w:b/>
      <w:bCs/>
      <w:sz w:val="22"/>
      <w:szCs w:val="22"/>
    </w:rPr>
  </w:style>
  <w:style w:type="paragraph" w:styleId="Heading2">
    <w:name w:val="heading 2"/>
    <w:basedOn w:val="RetiefPleadingpara1"/>
    <w:next w:val="Normal"/>
    <w:link w:val="Heading2Char"/>
    <w:uiPriority w:val="9"/>
    <w:unhideWhenUsed/>
    <w:qFormat/>
    <w:rsid w:val="00A55570"/>
    <w:pPr>
      <w:numPr>
        <w:numId w:val="0"/>
      </w:numPr>
      <w:ind w:left="624" w:hanging="624"/>
      <w:outlineLvl w:val="1"/>
    </w:pPr>
    <w:rPr>
      <w:b/>
      <w:bCs/>
      <w:u w:val="single"/>
    </w:rPr>
  </w:style>
  <w:style w:type="paragraph" w:styleId="Heading3">
    <w:name w:val="heading 3"/>
    <w:basedOn w:val="Normal"/>
    <w:next w:val="Normal"/>
    <w:link w:val="Heading3Char"/>
    <w:uiPriority w:val="9"/>
    <w:semiHidden/>
    <w:unhideWhenUsed/>
    <w:qFormat/>
    <w:rsid w:val="00F25F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25F2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5F2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455E3"/>
    <w:pPr>
      <w:keepNext/>
      <w:tabs>
        <w:tab w:val="right" w:pos="9072"/>
      </w:tabs>
      <w:spacing w:after="160"/>
      <w:outlineLvl w:val="5"/>
    </w:pPr>
    <w:rPr>
      <w:rFonts w:ascii="Arial" w:hAnsi="Arial" w:cs="Arial"/>
      <w:b/>
    </w:rPr>
  </w:style>
  <w:style w:type="paragraph" w:styleId="Heading7">
    <w:name w:val="heading 7"/>
    <w:basedOn w:val="Normal"/>
    <w:next w:val="Normal"/>
    <w:link w:val="Heading7Char"/>
    <w:uiPriority w:val="9"/>
    <w:semiHidden/>
    <w:unhideWhenUsed/>
    <w:qFormat/>
    <w:rsid w:val="00275A6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F3"/>
    <w:rPr>
      <w:rFonts w:ascii="Arial" w:eastAsia="Times New Roman" w:hAnsi="Arial" w:cs="Arial"/>
      <w:b/>
      <w:bCs/>
      <w:sz w:val="22"/>
      <w:szCs w:val="22"/>
    </w:rPr>
  </w:style>
  <w:style w:type="character" w:customStyle="1" w:styleId="Heading2Char">
    <w:name w:val="Heading 2 Char"/>
    <w:basedOn w:val="DefaultParagraphFont"/>
    <w:link w:val="Heading2"/>
    <w:uiPriority w:val="9"/>
    <w:rsid w:val="00A55570"/>
    <w:rPr>
      <w:rFonts w:ascii="Arial" w:eastAsia="Times New Roman" w:hAnsi="Arial" w:cs="Arial"/>
      <w:b/>
      <w:bCs/>
      <w:kern w:val="32"/>
      <w:sz w:val="22"/>
      <w:szCs w:val="22"/>
      <w:u w:val="single"/>
    </w:rPr>
  </w:style>
  <w:style w:type="numbering" w:customStyle="1" w:styleId="Style1">
    <w:name w:val="Style1"/>
    <w:uiPriority w:val="99"/>
    <w:rsid w:val="007B69EA"/>
    <w:pPr>
      <w:numPr>
        <w:numId w:val="1"/>
      </w:numPr>
    </w:pPr>
  </w:style>
  <w:style w:type="paragraph" w:customStyle="1" w:styleId="RetiefPleadingpara1">
    <w:name w:val="Retief Pleading para 1"/>
    <w:basedOn w:val="BGHeading1AltQ"/>
    <w:link w:val="RetiefPleadingpara1Char"/>
    <w:qFormat/>
    <w:rsid w:val="00331B1F"/>
    <w:pPr>
      <w:widowControl/>
      <w:numPr>
        <w:numId w:val="5"/>
      </w:numPr>
      <w:tabs>
        <w:tab w:val="clear" w:pos="7004"/>
      </w:tabs>
      <w:spacing w:line="480" w:lineRule="auto"/>
      <w:ind w:left="4253" w:firstLine="0"/>
    </w:pPr>
    <w:rPr>
      <w:caps w:val="0"/>
      <w:sz w:val="24"/>
    </w:rPr>
  </w:style>
  <w:style w:type="paragraph" w:styleId="ListParagraph">
    <w:name w:val="List Paragraph"/>
    <w:basedOn w:val="Normal"/>
    <w:link w:val="ListParagraphChar"/>
    <w:uiPriority w:val="34"/>
    <w:qFormat/>
    <w:rsid w:val="002B5801"/>
    <w:pPr>
      <w:ind w:left="720"/>
      <w:contextualSpacing/>
    </w:pPr>
  </w:style>
  <w:style w:type="paragraph" w:customStyle="1" w:styleId="RetiefPleadingpara2">
    <w:name w:val="Retief Pleading para 2"/>
    <w:basedOn w:val="BGHeading1AltQ"/>
    <w:link w:val="RetiefPleadingpara2Char"/>
    <w:qFormat/>
    <w:rsid w:val="00A57801"/>
    <w:pPr>
      <w:widowControl/>
      <w:numPr>
        <w:ilvl w:val="1"/>
        <w:numId w:val="5"/>
      </w:numPr>
      <w:tabs>
        <w:tab w:val="clear" w:pos="3545"/>
        <w:tab w:val="left" w:pos="851"/>
      </w:tabs>
      <w:spacing w:before="360" w:after="360" w:line="480" w:lineRule="auto"/>
      <w:ind w:left="851" w:hanging="851"/>
    </w:pPr>
    <w:rPr>
      <w:caps w:val="0"/>
      <w:sz w:val="24"/>
    </w:rPr>
  </w:style>
  <w:style w:type="paragraph" w:customStyle="1" w:styleId="RetiefPleadingpara3">
    <w:name w:val="Retief Pleading para 3"/>
    <w:basedOn w:val="BGHeading1AltQ"/>
    <w:qFormat/>
    <w:rsid w:val="00A57801"/>
    <w:pPr>
      <w:widowControl/>
      <w:numPr>
        <w:ilvl w:val="2"/>
        <w:numId w:val="5"/>
      </w:numPr>
      <w:tabs>
        <w:tab w:val="left" w:pos="1701"/>
      </w:tabs>
      <w:spacing w:before="360" w:after="360" w:line="480" w:lineRule="auto"/>
      <w:ind w:left="1702" w:hanging="851"/>
    </w:pPr>
    <w:rPr>
      <w:caps w:val="0"/>
      <w:sz w:val="24"/>
    </w:rPr>
  </w:style>
  <w:style w:type="table" w:styleId="TableGrid">
    <w:name w:val="Table Grid"/>
    <w:basedOn w:val="TableNormal"/>
    <w:uiPriority w:val="39"/>
    <w:rsid w:val="00866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5D46"/>
    <w:pPr>
      <w:tabs>
        <w:tab w:val="center" w:pos="4680"/>
        <w:tab w:val="right" w:pos="9360"/>
      </w:tabs>
    </w:pPr>
  </w:style>
  <w:style w:type="character" w:customStyle="1" w:styleId="HeaderChar">
    <w:name w:val="Header Char"/>
    <w:basedOn w:val="DefaultParagraphFont"/>
    <w:link w:val="Header"/>
    <w:uiPriority w:val="99"/>
    <w:rsid w:val="005D5D46"/>
    <w:rPr>
      <w:rFonts w:ascii="Arial" w:hAnsi="Arial"/>
      <w:lang w:val="en-GB"/>
    </w:rPr>
  </w:style>
  <w:style w:type="paragraph" w:styleId="Footer">
    <w:name w:val="footer"/>
    <w:basedOn w:val="Normal"/>
    <w:link w:val="FooterChar"/>
    <w:uiPriority w:val="99"/>
    <w:unhideWhenUsed/>
    <w:rsid w:val="005D5D46"/>
    <w:pPr>
      <w:tabs>
        <w:tab w:val="center" w:pos="4680"/>
        <w:tab w:val="right" w:pos="9360"/>
      </w:tabs>
    </w:pPr>
  </w:style>
  <w:style w:type="character" w:customStyle="1" w:styleId="FooterChar">
    <w:name w:val="Footer Char"/>
    <w:basedOn w:val="DefaultParagraphFont"/>
    <w:link w:val="Footer"/>
    <w:uiPriority w:val="99"/>
    <w:rsid w:val="005D5D46"/>
    <w:rPr>
      <w:rFonts w:ascii="Arial" w:hAnsi="Arial"/>
      <w:lang w:val="en-GB"/>
    </w:rPr>
  </w:style>
  <w:style w:type="character" w:styleId="PageNumber">
    <w:name w:val="page number"/>
    <w:basedOn w:val="DefaultParagraphFont"/>
    <w:uiPriority w:val="99"/>
    <w:semiHidden/>
    <w:unhideWhenUsed/>
    <w:rsid w:val="005D5D46"/>
  </w:style>
  <w:style w:type="paragraph" w:styleId="BalloonText">
    <w:name w:val="Balloon Text"/>
    <w:basedOn w:val="Normal"/>
    <w:link w:val="BalloonTextChar"/>
    <w:uiPriority w:val="99"/>
    <w:unhideWhenUsed/>
    <w:rsid w:val="005D5D46"/>
    <w:rPr>
      <w:sz w:val="18"/>
      <w:szCs w:val="18"/>
    </w:rPr>
  </w:style>
  <w:style w:type="character" w:customStyle="1" w:styleId="BalloonTextChar">
    <w:name w:val="Balloon Text Char"/>
    <w:basedOn w:val="DefaultParagraphFont"/>
    <w:link w:val="BalloonText"/>
    <w:uiPriority w:val="99"/>
    <w:rsid w:val="005D5D46"/>
    <w:rPr>
      <w:rFonts w:ascii="Times New Roman" w:hAnsi="Times New Roman" w:cs="Times New Roman"/>
      <w:sz w:val="18"/>
      <w:szCs w:val="18"/>
      <w:lang w:val="en-GB"/>
    </w:rPr>
  </w:style>
  <w:style w:type="paragraph" w:customStyle="1" w:styleId="XClause1Head">
    <w:name w:val="XClause1Head"/>
    <w:basedOn w:val="Normal"/>
    <w:link w:val="XClause1HeadChar"/>
    <w:qFormat/>
    <w:rsid w:val="00B37D8F"/>
    <w:pPr>
      <w:numPr>
        <w:numId w:val="2"/>
      </w:numPr>
      <w:spacing w:line="360" w:lineRule="atLeast"/>
    </w:pPr>
    <w:rPr>
      <w:sz w:val="20"/>
      <w:szCs w:val="20"/>
      <w:lang w:eastAsia="en-GB"/>
    </w:rPr>
  </w:style>
  <w:style w:type="paragraph" w:customStyle="1" w:styleId="XClause2Sub">
    <w:name w:val="XClause2Sub"/>
    <w:basedOn w:val="Normal"/>
    <w:qFormat/>
    <w:rsid w:val="00B37D8F"/>
    <w:pPr>
      <w:numPr>
        <w:ilvl w:val="1"/>
        <w:numId w:val="2"/>
      </w:numPr>
      <w:spacing w:line="360" w:lineRule="atLeast"/>
    </w:pPr>
    <w:rPr>
      <w:sz w:val="20"/>
      <w:szCs w:val="20"/>
      <w:lang w:eastAsia="en-GB"/>
    </w:rPr>
  </w:style>
  <w:style w:type="paragraph" w:customStyle="1" w:styleId="XClause3Sub">
    <w:name w:val="XClause3Sub"/>
    <w:basedOn w:val="Normal"/>
    <w:qFormat/>
    <w:rsid w:val="00B37D8F"/>
    <w:pPr>
      <w:numPr>
        <w:ilvl w:val="2"/>
        <w:numId w:val="2"/>
      </w:numPr>
      <w:spacing w:line="360" w:lineRule="atLeast"/>
    </w:pPr>
    <w:rPr>
      <w:sz w:val="20"/>
      <w:szCs w:val="20"/>
      <w:lang w:eastAsia="en-GB"/>
    </w:rPr>
  </w:style>
  <w:style w:type="paragraph" w:customStyle="1" w:styleId="XClause4Sub">
    <w:name w:val="XClause4Sub"/>
    <w:basedOn w:val="Normal"/>
    <w:rsid w:val="00B37D8F"/>
    <w:pPr>
      <w:numPr>
        <w:ilvl w:val="3"/>
        <w:numId w:val="2"/>
      </w:numPr>
      <w:spacing w:line="360" w:lineRule="atLeast"/>
    </w:pPr>
    <w:rPr>
      <w:sz w:val="20"/>
      <w:szCs w:val="20"/>
      <w:lang w:eastAsia="en-GB"/>
    </w:rPr>
  </w:style>
  <w:style w:type="paragraph" w:customStyle="1" w:styleId="XClause5Sub">
    <w:name w:val="XClause5Sub"/>
    <w:basedOn w:val="Normal"/>
    <w:rsid w:val="00B37D8F"/>
    <w:pPr>
      <w:numPr>
        <w:ilvl w:val="4"/>
        <w:numId w:val="2"/>
      </w:numPr>
      <w:spacing w:line="360" w:lineRule="atLeast"/>
    </w:pPr>
    <w:rPr>
      <w:sz w:val="20"/>
      <w:szCs w:val="20"/>
      <w:lang w:eastAsia="en-GB"/>
    </w:rPr>
  </w:style>
  <w:style w:type="paragraph" w:customStyle="1" w:styleId="XClause6Sub">
    <w:name w:val="XClause6Sub"/>
    <w:basedOn w:val="Normal"/>
    <w:rsid w:val="00B37D8F"/>
    <w:pPr>
      <w:numPr>
        <w:ilvl w:val="5"/>
        <w:numId w:val="2"/>
      </w:numPr>
      <w:spacing w:line="360" w:lineRule="atLeast"/>
    </w:pPr>
    <w:rPr>
      <w:sz w:val="20"/>
      <w:szCs w:val="20"/>
      <w:lang w:eastAsia="en-GB"/>
    </w:rPr>
  </w:style>
  <w:style w:type="paragraph" w:customStyle="1" w:styleId="XClause7Sub">
    <w:name w:val="XClause7Sub"/>
    <w:basedOn w:val="Normal"/>
    <w:rsid w:val="00B37D8F"/>
    <w:pPr>
      <w:numPr>
        <w:ilvl w:val="6"/>
        <w:numId w:val="2"/>
      </w:numPr>
      <w:spacing w:line="360" w:lineRule="atLeast"/>
    </w:pPr>
    <w:rPr>
      <w:sz w:val="20"/>
      <w:szCs w:val="20"/>
      <w:lang w:eastAsia="en-GB"/>
    </w:rPr>
  </w:style>
  <w:style w:type="paragraph" w:customStyle="1" w:styleId="XClause8Sub">
    <w:name w:val="XClause8Sub"/>
    <w:basedOn w:val="Normal"/>
    <w:rsid w:val="00B37D8F"/>
    <w:pPr>
      <w:numPr>
        <w:ilvl w:val="7"/>
        <w:numId w:val="2"/>
      </w:numPr>
      <w:spacing w:line="360" w:lineRule="atLeast"/>
    </w:pPr>
    <w:rPr>
      <w:sz w:val="20"/>
      <w:szCs w:val="20"/>
      <w:lang w:eastAsia="en-GB"/>
    </w:rPr>
  </w:style>
  <w:style w:type="paragraph" w:customStyle="1" w:styleId="XClause9Sub">
    <w:name w:val="XClause9Sub"/>
    <w:basedOn w:val="Normal"/>
    <w:rsid w:val="00B37D8F"/>
    <w:pPr>
      <w:numPr>
        <w:ilvl w:val="8"/>
        <w:numId w:val="2"/>
      </w:numPr>
      <w:spacing w:line="360" w:lineRule="atLeast"/>
    </w:pPr>
    <w:rPr>
      <w:sz w:val="20"/>
      <w:szCs w:val="20"/>
      <w:lang w:eastAsia="en-GB"/>
    </w:rPr>
  </w:style>
  <w:style w:type="character" w:customStyle="1" w:styleId="XClause1HeadChar">
    <w:name w:val="XClause1Head Char"/>
    <w:basedOn w:val="DefaultParagraphFont"/>
    <w:link w:val="XClause1Head"/>
    <w:locked/>
    <w:rsid w:val="00B37D8F"/>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1D26E4"/>
    <w:pPr>
      <w:spacing w:before="100" w:beforeAutospacing="1" w:after="100" w:afterAutospacing="1"/>
    </w:pPr>
  </w:style>
  <w:style w:type="character" w:styleId="CommentReference">
    <w:name w:val="annotation reference"/>
    <w:basedOn w:val="DefaultParagraphFont"/>
    <w:uiPriority w:val="99"/>
    <w:semiHidden/>
    <w:unhideWhenUsed/>
    <w:rsid w:val="00C12B0F"/>
    <w:rPr>
      <w:sz w:val="16"/>
      <w:szCs w:val="16"/>
    </w:rPr>
  </w:style>
  <w:style w:type="paragraph" w:styleId="CommentText">
    <w:name w:val="annotation text"/>
    <w:basedOn w:val="Normal"/>
    <w:link w:val="CommentTextChar"/>
    <w:uiPriority w:val="99"/>
    <w:semiHidden/>
    <w:unhideWhenUsed/>
    <w:rsid w:val="00C12B0F"/>
    <w:rPr>
      <w:sz w:val="20"/>
      <w:szCs w:val="20"/>
    </w:rPr>
  </w:style>
  <w:style w:type="character" w:customStyle="1" w:styleId="CommentTextChar">
    <w:name w:val="Comment Text Char"/>
    <w:basedOn w:val="DefaultParagraphFont"/>
    <w:link w:val="CommentText"/>
    <w:uiPriority w:val="99"/>
    <w:semiHidden/>
    <w:rsid w:val="00C12B0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C12B0F"/>
    <w:rPr>
      <w:b/>
      <w:bCs/>
    </w:rPr>
  </w:style>
  <w:style w:type="character" w:customStyle="1" w:styleId="CommentSubjectChar">
    <w:name w:val="Comment Subject Char"/>
    <w:basedOn w:val="CommentTextChar"/>
    <w:link w:val="CommentSubject"/>
    <w:uiPriority w:val="99"/>
    <w:semiHidden/>
    <w:rsid w:val="00C12B0F"/>
    <w:rPr>
      <w:rFonts w:ascii="Arial" w:hAnsi="Arial"/>
      <w:b/>
      <w:bCs/>
      <w:sz w:val="20"/>
      <w:szCs w:val="20"/>
      <w:lang w:val="en-GB"/>
    </w:rPr>
  </w:style>
  <w:style w:type="paragraph" w:styleId="FootnoteText">
    <w:name w:val="footnote text"/>
    <w:aliases w:val=" Char Char Char, Char Char Char Char Char Char, Char Char Char Char Char Char Char, Char Char Char Char Char Char Char Char Char Char Char, Char Char Char Char Char,Footnote Text Char Char Char,Footnote Text Char Char,Footnote Text Char1"/>
    <w:basedOn w:val="Normal"/>
    <w:link w:val="FootnoteTextChar"/>
    <w:uiPriority w:val="99"/>
    <w:unhideWhenUsed/>
    <w:qFormat/>
    <w:rsid w:val="00AA02A3"/>
    <w:rPr>
      <w:sz w:val="20"/>
      <w:szCs w:val="20"/>
    </w:rPr>
  </w:style>
  <w:style w:type="character" w:customStyle="1" w:styleId="FootnoteTextChar">
    <w:name w:val="Footnote Text Char"/>
    <w:aliases w:val=" Char Char Char Char, Char Char Char Char Char Char Char1, Char Char Char Char Char Char Char Char, Char Char Char Char Char Char Char Char Char Char Char Char, Char Char Char Char Char Char1,Footnote Text Char Char Char Char"/>
    <w:basedOn w:val="DefaultParagraphFont"/>
    <w:link w:val="FootnoteText"/>
    <w:uiPriority w:val="99"/>
    <w:rsid w:val="00AA02A3"/>
    <w:rPr>
      <w:rFonts w:ascii="Arial" w:hAnsi="Arial"/>
      <w:sz w:val="20"/>
      <w:szCs w:val="20"/>
      <w:lang w:val="en-GB"/>
    </w:rPr>
  </w:style>
  <w:style w:type="character" w:styleId="FootnoteReference">
    <w:name w:val="footnote reference"/>
    <w:aliases w:val="(NECG) Footnote Reference,Footnotes refss,Appel note de bas de page,Ref,de nota al pie,註腳內容,Footnote Reference + Superscript,Footnote Reference in text,Footnote Reference Superscript,Footnote symbol,Style 12,fr"/>
    <w:basedOn w:val="DefaultParagraphFont"/>
    <w:uiPriority w:val="99"/>
    <w:unhideWhenUsed/>
    <w:rsid w:val="00AA02A3"/>
    <w:rPr>
      <w:vertAlign w:val="superscript"/>
    </w:rPr>
  </w:style>
  <w:style w:type="character" w:customStyle="1" w:styleId="ListParagraphChar">
    <w:name w:val="List Paragraph Char"/>
    <w:basedOn w:val="DefaultParagraphFont"/>
    <w:link w:val="ListParagraph"/>
    <w:uiPriority w:val="34"/>
    <w:rsid w:val="000A11C3"/>
    <w:rPr>
      <w:rFonts w:ascii="Arial" w:hAnsi="Arial"/>
      <w:lang w:val="en-GB"/>
    </w:rPr>
  </w:style>
  <w:style w:type="character" w:customStyle="1" w:styleId="RetiefPleadingpara1Char">
    <w:name w:val="Retief Pleading para 1 Char"/>
    <w:basedOn w:val="ListParagraphChar"/>
    <w:link w:val="RetiefPleadingpara1"/>
    <w:rsid w:val="00331B1F"/>
    <w:rPr>
      <w:rFonts w:ascii="Arial" w:eastAsia="Times New Roman" w:hAnsi="Arial" w:cs="Arial"/>
      <w:kern w:val="32"/>
      <w:szCs w:val="22"/>
      <w:lang w:val="en-GB"/>
    </w:rPr>
  </w:style>
  <w:style w:type="character" w:customStyle="1" w:styleId="RetiefPleadingpara2Char">
    <w:name w:val="Retief Pleading para 2 Char"/>
    <w:basedOn w:val="RetiefPleadingpara1Char"/>
    <w:link w:val="RetiefPleadingpara2"/>
    <w:rsid w:val="00A57801"/>
    <w:rPr>
      <w:rFonts w:ascii="Arial" w:eastAsia="Times New Roman" w:hAnsi="Arial" w:cs="Arial"/>
      <w:kern w:val="32"/>
      <w:szCs w:val="22"/>
      <w:lang w:val="en-GB"/>
    </w:rPr>
  </w:style>
  <w:style w:type="character" w:customStyle="1" w:styleId="apple-converted-space">
    <w:name w:val="apple-converted-space"/>
    <w:basedOn w:val="DefaultParagraphFont"/>
    <w:rsid w:val="00CF1B43"/>
  </w:style>
  <w:style w:type="character" w:styleId="Hyperlink">
    <w:name w:val="Hyperlink"/>
    <w:basedOn w:val="DefaultParagraphFont"/>
    <w:uiPriority w:val="99"/>
    <w:unhideWhenUsed/>
    <w:rsid w:val="00DC3F09"/>
    <w:rPr>
      <w:color w:val="0000FF"/>
      <w:u w:val="single"/>
    </w:rPr>
  </w:style>
  <w:style w:type="paragraph" w:customStyle="1" w:styleId="BGHeading1AltQ">
    <w:name w:val="BGHeading1 Alt+Q"/>
    <w:basedOn w:val="Heading1"/>
    <w:next w:val="BalloonText"/>
    <w:rsid w:val="00F25F2C"/>
    <w:pPr>
      <w:keepNext w:val="0"/>
      <w:widowControl w:val="0"/>
      <w:numPr>
        <w:numId w:val="4"/>
      </w:numPr>
      <w:spacing w:before="0" w:after="0" w:line="360" w:lineRule="auto"/>
    </w:pPr>
    <w:rPr>
      <w:b w:val="0"/>
      <w:bCs w:val="0"/>
      <w:caps/>
      <w:kern w:val="32"/>
    </w:rPr>
  </w:style>
  <w:style w:type="paragraph" w:customStyle="1" w:styleId="BGHeading2AltA">
    <w:name w:val="BGHeading2 Alt+A"/>
    <w:basedOn w:val="Heading2"/>
    <w:qFormat/>
    <w:rsid w:val="00F25F2C"/>
    <w:pPr>
      <w:widowControl w:val="0"/>
      <w:numPr>
        <w:ilvl w:val="1"/>
        <w:numId w:val="4"/>
      </w:numPr>
      <w:tabs>
        <w:tab w:val="clear" w:pos="1440"/>
        <w:tab w:val="num" w:pos="360"/>
      </w:tabs>
      <w:spacing w:line="360" w:lineRule="auto"/>
      <w:ind w:left="0" w:firstLine="0"/>
    </w:pPr>
    <w:rPr>
      <w:b w:val="0"/>
      <w:bCs w:val="0"/>
      <w:iCs/>
      <w:u w:val="none"/>
    </w:rPr>
  </w:style>
  <w:style w:type="paragraph" w:customStyle="1" w:styleId="BGHeading3AltZ">
    <w:name w:val="BGHeading3 Alt+Z"/>
    <w:basedOn w:val="Heading3"/>
    <w:rsid w:val="00F25F2C"/>
    <w:pPr>
      <w:keepNext w:val="0"/>
      <w:keepLines w:val="0"/>
      <w:widowControl w:val="0"/>
      <w:numPr>
        <w:ilvl w:val="2"/>
        <w:numId w:val="4"/>
      </w:numPr>
      <w:tabs>
        <w:tab w:val="clear" w:pos="2160"/>
        <w:tab w:val="num" w:pos="360"/>
      </w:tabs>
      <w:spacing w:before="0" w:line="360" w:lineRule="auto"/>
      <w:ind w:left="0" w:firstLine="0"/>
      <w:jc w:val="both"/>
    </w:pPr>
    <w:rPr>
      <w:rFonts w:ascii="Arial" w:eastAsia="Times New Roman" w:hAnsi="Arial" w:cs="Arial"/>
      <w:b/>
      <w:color w:val="auto"/>
      <w:sz w:val="22"/>
      <w:szCs w:val="22"/>
      <w:lang w:val="en-GB"/>
    </w:rPr>
  </w:style>
  <w:style w:type="paragraph" w:customStyle="1" w:styleId="BGHeading4AltX">
    <w:name w:val="BGHeading4 Alt+X"/>
    <w:basedOn w:val="Heading4"/>
    <w:rsid w:val="00F25F2C"/>
    <w:pPr>
      <w:keepNext w:val="0"/>
      <w:keepLines w:val="0"/>
      <w:widowControl w:val="0"/>
      <w:numPr>
        <w:ilvl w:val="3"/>
        <w:numId w:val="4"/>
      </w:numPr>
      <w:tabs>
        <w:tab w:val="clear" w:pos="2880"/>
        <w:tab w:val="num" w:pos="360"/>
      </w:tabs>
      <w:spacing w:before="0" w:after="60" w:line="360" w:lineRule="auto"/>
      <w:ind w:left="0" w:firstLine="0"/>
      <w:jc w:val="both"/>
    </w:pPr>
    <w:rPr>
      <w:rFonts w:ascii="Arial" w:eastAsia="Times New Roman" w:hAnsi="Arial" w:cs="Times New Roman"/>
      <w:b/>
      <w:color w:val="auto"/>
      <w:sz w:val="22"/>
      <w:szCs w:val="22"/>
      <w:lang w:val="en-GB"/>
    </w:rPr>
  </w:style>
  <w:style w:type="paragraph" w:customStyle="1" w:styleId="BGHeading5AltC">
    <w:name w:val="BGHeading5 Alt+C"/>
    <w:basedOn w:val="Heading5"/>
    <w:rsid w:val="00F25F2C"/>
    <w:pPr>
      <w:keepNext w:val="0"/>
      <w:keepLines w:val="0"/>
      <w:widowControl w:val="0"/>
      <w:numPr>
        <w:ilvl w:val="4"/>
        <w:numId w:val="4"/>
      </w:numPr>
      <w:tabs>
        <w:tab w:val="clear" w:pos="3600"/>
        <w:tab w:val="num" w:pos="360"/>
      </w:tabs>
      <w:spacing w:before="0" w:line="360" w:lineRule="auto"/>
      <w:ind w:left="0" w:firstLine="0"/>
      <w:jc w:val="both"/>
    </w:pPr>
    <w:rPr>
      <w:rFonts w:ascii="Arial" w:eastAsia="Times New Roman" w:hAnsi="Arial" w:cs="Times New Roman"/>
      <w:bCs/>
      <w:iCs/>
      <w:color w:val="auto"/>
      <w:sz w:val="22"/>
      <w:szCs w:val="22"/>
      <w:lang w:val="en-GB"/>
    </w:rPr>
  </w:style>
  <w:style w:type="character" w:customStyle="1" w:styleId="Heading3Char">
    <w:name w:val="Heading 3 Char"/>
    <w:basedOn w:val="DefaultParagraphFont"/>
    <w:link w:val="Heading3"/>
    <w:uiPriority w:val="9"/>
    <w:semiHidden/>
    <w:rsid w:val="00F25F2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25F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25F2C"/>
    <w:rPr>
      <w:rFonts w:asciiTheme="majorHAnsi" w:eastAsiaTheme="majorEastAsia" w:hAnsiTheme="majorHAnsi" w:cstheme="majorBidi"/>
      <w:color w:val="2F5496" w:themeColor="accent1" w:themeShade="BF"/>
    </w:rPr>
  </w:style>
  <w:style w:type="paragraph" w:customStyle="1" w:styleId="ClaireNew">
    <w:name w:val="Claire New"/>
    <w:basedOn w:val="Heading1"/>
    <w:rsid w:val="00E94183"/>
    <w:pPr>
      <w:keepNext w:val="0"/>
      <w:numPr>
        <w:numId w:val="6"/>
      </w:numPr>
      <w:spacing w:after="0" w:line="360" w:lineRule="auto"/>
    </w:pPr>
    <w:rPr>
      <w:rFonts w:ascii="Tahoma" w:hAnsi="Tahoma"/>
      <w:b w:val="0"/>
      <w:bCs w:val="0"/>
      <w:caps/>
      <w:kern w:val="32"/>
    </w:rPr>
  </w:style>
  <w:style w:type="paragraph" w:customStyle="1" w:styleId="1">
    <w:name w:val="1"/>
    <w:basedOn w:val="Normal"/>
    <w:qFormat/>
    <w:rsid w:val="00AA2B04"/>
    <w:pPr>
      <w:numPr>
        <w:numId w:val="8"/>
      </w:numPr>
      <w:spacing w:before="240"/>
      <w:jc w:val="both"/>
    </w:pPr>
    <w:rPr>
      <w:rFonts w:ascii="Arial" w:hAnsi="Arial"/>
      <w:iCs/>
      <w:color w:val="000000"/>
      <w:szCs w:val="22"/>
      <w:lang w:val="en-GB"/>
    </w:rPr>
  </w:style>
  <w:style w:type="paragraph" w:customStyle="1" w:styleId="2">
    <w:name w:val="2"/>
    <w:basedOn w:val="1"/>
    <w:qFormat/>
    <w:rsid w:val="00AA2B04"/>
    <w:pPr>
      <w:numPr>
        <w:ilvl w:val="1"/>
      </w:numPr>
    </w:pPr>
  </w:style>
  <w:style w:type="paragraph" w:customStyle="1" w:styleId="3">
    <w:name w:val="3"/>
    <w:basedOn w:val="2"/>
    <w:qFormat/>
    <w:rsid w:val="00AA2B04"/>
    <w:pPr>
      <w:numPr>
        <w:ilvl w:val="2"/>
      </w:numPr>
    </w:pPr>
  </w:style>
  <w:style w:type="paragraph" w:customStyle="1" w:styleId="4">
    <w:name w:val="4"/>
    <w:basedOn w:val="2"/>
    <w:qFormat/>
    <w:rsid w:val="00AA2B04"/>
    <w:pPr>
      <w:numPr>
        <w:ilvl w:val="3"/>
      </w:numPr>
    </w:pPr>
    <w:rPr>
      <w:iCs w:val="0"/>
    </w:rPr>
  </w:style>
  <w:style w:type="paragraph" w:customStyle="1" w:styleId="5">
    <w:name w:val="5"/>
    <w:basedOn w:val="4"/>
    <w:qFormat/>
    <w:rsid w:val="00AA2B04"/>
    <w:pPr>
      <w:numPr>
        <w:ilvl w:val="4"/>
      </w:numPr>
    </w:pPr>
    <w:rPr>
      <w:iCs/>
      <w:szCs w:val="16"/>
      <w:lang w:eastAsia="en-ZA"/>
    </w:rPr>
  </w:style>
  <w:style w:type="paragraph" w:customStyle="1" w:styleId="Default">
    <w:name w:val="Default"/>
    <w:rsid w:val="00AA2B04"/>
    <w:pPr>
      <w:autoSpaceDE w:val="0"/>
      <w:autoSpaceDN w:val="0"/>
      <w:adjustRightInd w:val="0"/>
    </w:pPr>
    <w:rPr>
      <w:rFonts w:ascii="Arial" w:hAnsi="Arial" w:cs="Arial"/>
      <w:color w:val="000000"/>
      <w:lang w:val="en-GB"/>
    </w:rPr>
  </w:style>
  <w:style w:type="paragraph" w:customStyle="1" w:styleId="Pleadingpara4">
    <w:name w:val="Pleading para 4"/>
    <w:basedOn w:val="BGHeading1AltQ"/>
    <w:uiPriority w:val="99"/>
    <w:qFormat/>
    <w:rsid w:val="0097277B"/>
    <w:pPr>
      <w:numPr>
        <w:ilvl w:val="3"/>
        <w:numId w:val="5"/>
      </w:numPr>
      <w:tabs>
        <w:tab w:val="left" w:pos="1418"/>
      </w:tabs>
      <w:spacing w:line="240" w:lineRule="auto"/>
      <w:ind w:left="1418" w:hanging="1418"/>
    </w:pPr>
    <w:rPr>
      <w:caps w:val="0"/>
      <w:sz w:val="24"/>
    </w:rPr>
  </w:style>
  <w:style w:type="paragraph" w:customStyle="1" w:styleId="Pleadingpara5">
    <w:name w:val="Pleading para 5"/>
    <w:basedOn w:val="BGHeading1AltQ"/>
    <w:uiPriority w:val="99"/>
    <w:qFormat/>
    <w:rsid w:val="0097277B"/>
    <w:pPr>
      <w:numPr>
        <w:ilvl w:val="4"/>
        <w:numId w:val="5"/>
      </w:numPr>
      <w:tabs>
        <w:tab w:val="clear" w:pos="4320"/>
        <w:tab w:val="left" w:pos="1701"/>
      </w:tabs>
      <w:spacing w:line="240" w:lineRule="auto"/>
      <w:ind w:left="1701" w:hanging="1701"/>
    </w:pPr>
    <w:rPr>
      <w:caps w:val="0"/>
      <w:sz w:val="24"/>
    </w:rPr>
  </w:style>
  <w:style w:type="character" w:customStyle="1" w:styleId="Heading6Char">
    <w:name w:val="Heading 6 Char"/>
    <w:basedOn w:val="DefaultParagraphFont"/>
    <w:link w:val="Heading6"/>
    <w:uiPriority w:val="9"/>
    <w:rsid w:val="00A455E3"/>
    <w:rPr>
      <w:rFonts w:ascii="Arial" w:hAnsi="Arial" w:cs="Arial"/>
      <w:b/>
    </w:rPr>
  </w:style>
  <w:style w:type="character" w:customStyle="1" w:styleId="UnresolvedMention">
    <w:name w:val="Unresolved Mention"/>
    <w:basedOn w:val="DefaultParagraphFont"/>
    <w:uiPriority w:val="99"/>
    <w:semiHidden/>
    <w:unhideWhenUsed/>
    <w:rsid w:val="007C34D5"/>
    <w:rPr>
      <w:color w:val="605E5C"/>
      <w:shd w:val="clear" w:color="auto" w:fill="E1DFDD"/>
    </w:rPr>
  </w:style>
  <w:style w:type="paragraph" w:styleId="BodyText">
    <w:name w:val="Body Text"/>
    <w:basedOn w:val="Normal"/>
    <w:link w:val="BodyTextChar"/>
    <w:uiPriority w:val="99"/>
    <w:unhideWhenUsed/>
    <w:rsid w:val="005E4FA8"/>
    <w:pPr>
      <w:tabs>
        <w:tab w:val="left" w:pos="5103"/>
      </w:tabs>
      <w:ind w:right="-125"/>
      <w:jc w:val="both"/>
    </w:pPr>
    <w:rPr>
      <w:rFonts w:ascii="Arial" w:eastAsia="Times New Roman" w:hAnsi="Arial" w:cs="Arial"/>
    </w:rPr>
  </w:style>
  <w:style w:type="character" w:customStyle="1" w:styleId="BodyTextChar">
    <w:name w:val="Body Text Char"/>
    <w:basedOn w:val="DefaultParagraphFont"/>
    <w:link w:val="BodyText"/>
    <w:uiPriority w:val="99"/>
    <w:rsid w:val="005E4FA8"/>
    <w:rPr>
      <w:rFonts w:ascii="Arial" w:eastAsia="Times New Roman" w:hAnsi="Arial" w:cs="Arial"/>
    </w:rPr>
  </w:style>
  <w:style w:type="paragraph" w:styleId="Title">
    <w:name w:val="Title"/>
    <w:basedOn w:val="Normal"/>
    <w:next w:val="Normal"/>
    <w:link w:val="TitleChar"/>
    <w:uiPriority w:val="10"/>
    <w:qFormat/>
    <w:rsid w:val="009E2D40"/>
    <w:pPr>
      <w:spacing w:after="160"/>
      <w:jc w:val="center"/>
    </w:pPr>
    <w:rPr>
      <w:rFonts w:ascii="Arial" w:hAnsi="Arial" w:cs="Arial"/>
      <w:b/>
    </w:rPr>
  </w:style>
  <w:style w:type="character" w:customStyle="1" w:styleId="TitleChar">
    <w:name w:val="Title Char"/>
    <w:basedOn w:val="DefaultParagraphFont"/>
    <w:link w:val="Title"/>
    <w:uiPriority w:val="10"/>
    <w:rsid w:val="009E2D40"/>
    <w:rPr>
      <w:rFonts w:ascii="Arial" w:hAnsi="Arial" w:cs="Arial"/>
      <w:b/>
    </w:rPr>
  </w:style>
  <w:style w:type="paragraph" w:styleId="EndnoteText">
    <w:name w:val="endnote text"/>
    <w:basedOn w:val="Normal"/>
    <w:link w:val="EndnoteTextChar"/>
    <w:uiPriority w:val="99"/>
    <w:semiHidden/>
    <w:unhideWhenUsed/>
    <w:rsid w:val="004F21EB"/>
    <w:rPr>
      <w:sz w:val="20"/>
      <w:szCs w:val="20"/>
    </w:rPr>
  </w:style>
  <w:style w:type="character" w:customStyle="1" w:styleId="EndnoteTextChar">
    <w:name w:val="Endnote Text Char"/>
    <w:basedOn w:val="DefaultParagraphFont"/>
    <w:link w:val="EndnoteText"/>
    <w:uiPriority w:val="99"/>
    <w:semiHidden/>
    <w:rsid w:val="004F21EB"/>
    <w:rPr>
      <w:sz w:val="20"/>
      <w:szCs w:val="20"/>
    </w:rPr>
  </w:style>
  <w:style w:type="character" w:styleId="EndnoteReference">
    <w:name w:val="endnote reference"/>
    <w:basedOn w:val="DefaultParagraphFont"/>
    <w:uiPriority w:val="99"/>
    <w:semiHidden/>
    <w:unhideWhenUsed/>
    <w:rsid w:val="004F21EB"/>
    <w:rPr>
      <w:vertAlign w:val="superscript"/>
    </w:rPr>
  </w:style>
  <w:style w:type="character" w:customStyle="1" w:styleId="Heading7Char">
    <w:name w:val="Heading 7 Char"/>
    <w:basedOn w:val="DefaultParagraphFont"/>
    <w:link w:val="Heading7"/>
    <w:uiPriority w:val="9"/>
    <w:semiHidden/>
    <w:rsid w:val="00275A66"/>
    <w:rPr>
      <w:rFonts w:asciiTheme="majorHAnsi" w:eastAsiaTheme="majorEastAsia" w:hAnsiTheme="majorHAnsi" w:cstheme="majorBidi"/>
      <w:i/>
      <w:iCs/>
      <w:color w:val="1F3763" w:themeColor="accent1" w:themeShade="7F"/>
    </w:rPr>
  </w:style>
  <w:style w:type="paragraph" w:styleId="BlockText">
    <w:name w:val="Block Text"/>
    <w:basedOn w:val="Normal"/>
    <w:uiPriority w:val="99"/>
    <w:unhideWhenUsed/>
    <w:rsid w:val="00EB7189"/>
    <w:pPr>
      <w:tabs>
        <w:tab w:val="left" w:pos="4536"/>
      </w:tabs>
      <w:ind w:left="4536" w:right="-125" w:hanging="4536"/>
      <w:jc w:val="both"/>
    </w:pPr>
    <w:rPr>
      <w:rFonts w:ascii="Arial" w:hAnsi="Arial" w:cs="Arial"/>
    </w:rPr>
  </w:style>
  <w:style w:type="paragraph" w:customStyle="1" w:styleId="WestPleadingpara1">
    <w:name w:val="West Pleading para 1"/>
    <w:basedOn w:val="BGHeading1AltQ"/>
    <w:link w:val="WestPleadingpara1Char"/>
    <w:qFormat/>
    <w:rsid w:val="009660D6"/>
    <w:pPr>
      <w:widowControl/>
      <w:numPr>
        <w:numId w:val="0"/>
      </w:numPr>
      <w:tabs>
        <w:tab w:val="left" w:pos="567"/>
      </w:tabs>
      <w:spacing w:line="480" w:lineRule="auto"/>
      <w:ind w:left="567" w:hanging="567"/>
    </w:pPr>
    <w:rPr>
      <w:rFonts w:eastAsia="Times New Roman"/>
      <w:caps w:val="0"/>
      <w:sz w:val="24"/>
      <w:lang w:val="en-GB"/>
    </w:rPr>
  </w:style>
  <w:style w:type="paragraph" w:customStyle="1" w:styleId="WestPleadingpara2">
    <w:name w:val="West Pleading para 2"/>
    <w:basedOn w:val="BGHeading1AltQ"/>
    <w:uiPriority w:val="99"/>
    <w:qFormat/>
    <w:rsid w:val="009660D6"/>
    <w:pPr>
      <w:widowControl/>
      <w:numPr>
        <w:numId w:val="0"/>
      </w:numPr>
      <w:tabs>
        <w:tab w:val="left" w:pos="1418"/>
      </w:tabs>
      <w:spacing w:line="480" w:lineRule="auto"/>
      <w:ind w:left="1418" w:hanging="851"/>
    </w:pPr>
    <w:rPr>
      <w:rFonts w:eastAsia="Times New Roman"/>
      <w:caps w:val="0"/>
      <w:sz w:val="24"/>
    </w:rPr>
  </w:style>
  <w:style w:type="paragraph" w:customStyle="1" w:styleId="WestPleadingpara3">
    <w:name w:val="West Pleading para 3"/>
    <w:basedOn w:val="BGHeading1AltQ"/>
    <w:uiPriority w:val="99"/>
    <w:qFormat/>
    <w:rsid w:val="009660D6"/>
    <w:pPr>
      <w:widowControl/>
      <w:numPr>
        <w:numId w:val="0"/>
      </w:numPr>
      <w:tabs>
        <w:tab w:val="left" w:pos="2268"/>
      </w:tabs>
      <w:spacing w:line="240" w:lineRule="auto"/>
      <w:ind w:left="2269" w:hanging="851"/>
    </w:pPr>
    <w:rPr>
      <w:rFonts w:eastAsia="Times New Roman"/>
      <w:caps w:val="0"/>
      <w:sz w:val="24"/>
    </w:rPr>
  </w:style>
  <w:style w:type="character" w:customStyle="1" w:styleId="WestPleadingpara1Char">
    <w:name w:val="West Pleading para 1 Char"/>
    <w:basedOn w:val="ListParagraphChar"/>
    <w:link w:val="WestPleadingpara1"/>
    <w:rsid w:val="009660D6"/>
    <w:rPr>
      <w:rFonts w:ascii="Arial" w:eastAsia="Times New Roman" w:hAnsi="Arial" w:cs="Arial"/>
      <w:kern w:val="3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6945">
      <w:bodyDiv w:val="1"/>
      <w:marLeft w:val="0"/>
      <w:marRight w:val="0"/>
      <w:marTop w:val="0"/>
      <w:marBottom w:val="0"/>
      <w:divBdr>
        <w:top w:val="none" w:sz="0" w:space="0" w:color="auto"/>
        <w:left w:val="none" w:sz="0" w:space="0" w:color="auto"/>
        <w:bottom w:val="none" w:sz="0" w:space="0" w:color="auto"/>
        <w:right w:val="none" w:sz="0" w:space="0" w:color="auto"/>
      </w:divBdr>
    </w:div>
    <w:div w:id="162666017">
      <w:bodyDiv w:val="1"/>
      <w:marLeft w:val="0"/>
      <w:marRight w:val="0"/>
      <w:marTop w:val="0"/>
      <w:marBottom w:val="0"/>
      <w:divBdr>
        <w:top w:val="none" w:sz="0" w:space="0" w:color="auto"/>
        <w:left w:val="none" w:sz="0" w:space="0" w:color="auto"/>
        <w:bottom w:val="none" w:sz="0" w:space="0" w:color="auto"/>
        <w:right w:val="none" w:sz="0" w:space="0" w:color="auto"/>
      </w:divBdr>
      <w:divsChild>
        <w:div w:id="340595306">
          <w:marLeft w:val="0"/>
          <w:marRight w:val="0"/>
          <w:marTop w:val="0"/>
          <w:marBottom w:val="0"/>
          <w:divBdr>
            <w:top w:val="none" w:sz="0" w:space="0" w:color="auto"/>
            <w:left w:val="none" w:sz="0" w:space="0" w:color="auto"/>
            <w:bottom w:val="none" w:sz="0" w:space="0" w:color="auto"/>
            <w:right w:val="none" w:sz="0" w:space="0" w:color="auto"/>
          </w:divBdr>
          <w:divsChild>
            <w:div w:id="1990858621">
              <w:marLeft w:val="0"/>
              <w:marRight w:val="0"/>
              <w:marTop w:val="0"/>
              <w:marBottom w:val="0"/>
              <w:divBdr>
                <w:top w:val="none" w:sz="0" w:space="0" w:color="auto"/>
                <w:left w:val="none" w:sz="0" w:space="0" w:color="auto"/>
                <w:bottom w:val="none" w:sz="0" w:space="0" w:color="auto"/>
                <w:right w:val="none" w:sz="0" w:space="0" w:color="auto"/>
              </w:divBdr>
              <w:divsChild>
                <w:div w:id="13125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8716">
      <w:bodyDiv w:val="1"/>
      <w:marLeft w:val="0"/>
      <w:marRight w:val="0"/>
      <w:marTop w:val="0"/>
      <w:marBottom w:val="0"/>
      <w:divBdr>
        <w:top w:val="none" w:sz="0" w:space="0" w:color="auto"/>
        <w:left w:val="none" w:sz="0" w:space="0" w:color="auto"/>
        <w:bottom w:val="none" w:sz="0" w:space="0" w:color="auto"/>
        <w:right w:val="none" w:sz="0" w:space="0" w:color="auto"/>
      </w:divBdr>
      <w:divsChild>
        <w:div w:id="1747875028">
          <w:marLeft w:val="0"/>
          <w:marRight w:val="0"/>
          <w:marTop w:val="0"/>
          <w:marBottom w:val="0"/>
          <w:divBdr>
            <w:top w:val="none" w:sz="0" w:space="0" w:color="auto"/>
            <w:left w:val="none" w:sz="0" w:space="0" w:color="auto"/>
            <w:bottom w:val="none" w:sz="0" w:space="0" w:color="auto"/>
            <w:right w:val="none" w:sz="0" w:space="0" w:color="auto"/>
          </w:divBdr>
          <w:divsChild>
            <w:div w:id="1797597710">
              <w:marLeft w:val="0"/>
              <w:marRight w:val="0"/>
              <w:marTop w:val="0"/>
              <w:marBottom w:val="0"/>
              <w:divBdr>
                <w:top w:val="none" w:sz="0" w:space="0" w:color="auto"/>
                <w:left w:val="none" w:sz="0" w:space="0" w:color="auto"/>
                <w:bottom w:val="none" w:sz="0" w:space="0" w:color="auto"/>
                <w:right w:val="none" w:sz="0" w:space="0" w:color="auto"/>
              </w:divBdr>
              <w:divsChild>
                <w:div w:id="15395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2036">
      <w:bodyDiv w:val="1"/>
      <w:marLeft w:val="0"/>
      <w:marRight w:val="0"/>
      <w:marTop w:val="0"/>
      <w:marBottom w:val="0"/>
      <w:divBdr>
        <w:top w:val="none" w:sz="0" w:space="0" w:color="auto"/>
        <w:left w:val="none" w:sz="0" w:space="0" w:color="auto"/>
        <w:bottom w:val="none" w:sz="0" w:space="0" w:color="auto"/>
        <w:right w:val="none" w:sz="0" w:space="0" w:color="auto"/>
      </w:divBdr>
    </w:div>
    <w:div w:id="537468759">
      <w:bodyDiv w:val="1"/>
      <w:marLeft w:val="0"/>
      <w:marRight w:val="0"/>
      <w:marTop w:val="0"/>
      <w:marBottom w:val="0"/>
      <w:divBdr>
        <w:top w:val="none" w:sz="0" w:space="0" w:color="auto"/>
        <w:left w:val="none" w:sz="0" w:space="0" w:color="auto"/>
        <w:bottom w:val="none" w:sz="0" w:space="0" w:color="auto"/>
        <w:right w:val="none" w:sz="0" w:space="0" w:color="auto"/>
      </w:divBdr>
      <w:divsChild>
        <w:div w:id="224723852">
          <w:marLeft w:val="1134"/>
          <w:marRight w:val="0"/>
          <w:marTop w:val="60"/>
          <w:marBottom w:val="0"/>
          <w:divBdr>
            <w:top w:val="none" w:sz="0" w:space="0" w:color="auto"/>
            <w:left w:val="none" w:sz="0" w:space="0" w:color="auto"/>
            <w:bottom w:val="none" w:sz="0" w:space="0" w:color="auto"/>
            <w:right w:val="none" w:sz="0" w:space="0" w:color="auto"/>
          </w:divBdr>
        </w:div>
        <w:div w:id="637691181">
          <w:marLeft w:val="1134"/>
          <w:marRight w:val="0"/>
          <w:marTop w:val="60"/>
          <w:marBottom w:val="0"/>
          <w:divBdr>
            <w:top w:val="none" w:sz="0" w:space="0" w:color="auto"/>
            <w:left w:val="none" w:sz="0" w:space="0" w:color="auto"/>
            <w:bottom w:val="none" w:sz="0" w:space="0" w:color="auto"/>
            <w:right w:val="none" w:sz="0" w:space="0" w:color="auto"/>
          </w:divBdr>
        </w:div>
        <w:div w:id="1798723390">
          <w:marLeft w:val="0"/>
          <w:marRight w:val="0"/>
          <w:marTop w:val="120"/>
          <w:marBottom w:val="0"/>
          <w:divBdr>
            <w:top w:val="none" w:sz="0" w:space="0" w:color="auto"/>
            <w:left w:val="none" w:sz="0" w:space="0" w:color="auto"/>
            <w:bottom w:val="none" w:sz="0" w:space="0" w:color="auto"/>
            <w:right w:val="none" w:sz="0" w:space="0" w:color="auto"/>
          </w:divBdr>
        </w:div>
      </w:divsChild>
    </w:div>
    <w:div w:id="569657738">
      <w:bodyDiv w:val="1"/>
      <w:marLeft w:val="0"/>
      <w:marRight w:val="0"/>
      <w:marTop w:val="0"/>
      <w:marBottom w:val="0"/>
      <w:divBdr>
        <w:top w:val="none" w:sz="0" w:space="0" w:color="auto"/>
        <w:left w:val="none" w:sz="0" w:space="0" w:color="auto"/>
        <w:bottom w:val="none" w:sz="0" w:space="0" w:color="auto"/>
        <w:right w:val="none" w:sz="0" w:space="0" w:color="auto"/>
      </w:divBdr>
    </w:div>
    <w:div w:id="805708141">
      <w:bodyDiv w:val="1"/>
      <w:marLeft w:val="0"/>
      <w:marRight w:val="0"/>
      <w:marTop w:val="0"/>
      <w:marBottom w:val="0"/>
      <w:divBdr>
        <w:top w:val="none" w:sz="0" w:space="0" w:color="auto"/>
        <w:left w:val="none" w:sz="0" w:space="0" w:color="auto"/>
        <w:bottom w:val="none" w:sz="0" w:space="0" w:color="auto"/>
        <w:right w:val="none" w:sz="0" w:space="0" w:color="auto"/>
      </w:divBdr>
    </w:div>
    <w:div w:id="862130850">
      <w:bodyDiv w:val="1"/>
      <w:marLeft w:val="0"/>
      <w:marRight w:val="0"/>
      <w:marTop w:val="0"/>
      <w:marBottom w:val="0"/>
      <w:divBdr>
        <w:top w:val="none" w:sz="0" w:space="0" w:color="auto"/>
        <w:left w:val="none" w:sz="0" w:space="0" w:color="auto"/>
        <w:bottom w:val="none" w:sz="0" w:space="0" w:color="auto"/>
        <w:right w:val="none" w:sz="0" w:space="0" w:color="auto"/>
      </w:divBdr>
      <w:divsChild>
        <w:div w:id="2135981663">
          <w:marLeft w:val="0"/>
          <w:marRight w:val="0"/>
          <w:marTop w:val="0"/>
          <w:marBottom w:val="0"/>
          <w:divBdr>
            <w:top w:val="none" w:sz="0" w:space="0" w:color="auto"/>
            <w:left w:val="none" w:sz="0" w:space="0" w:color="auto"/>
            <w:bottom w:val="none" w:sz="0" w:space="0" w:color="auto"/>
            <w:right w:val="none" w:sz="0" w:space="0" w:color="auto"/>
          </w:divBdr>
          <w:divsChild>
            <w:div w:id="1456019110">
              <w:marLeft w:val="0"/>
              <w:marRight w:val="0"/>
              <w:marTop w:val="0"/>
              <w:marBottom w:val="0"/>
              <w:divBdr>
                <w:top w:val="none" w:sz="0" w:space="0" w:color="auto"/>
                <w:left w:val="none" w:sz="0" w:space="0" w:color="auto"/>
                <w:bottom w:val="none" w:sz="0" w:space="0" w:color="auto"/>
                <w:right w:val="none" w:sz="0" w:space="0" w:color="auto"/>
              </w:divBdr>
              <w:divsChild>
                <w:div w:id="641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349">
      <w:bodyDiv w:val="1"/>
      <w:marLeft w:val="0"/>
      <w:marRight w:val="0"/>
      <w:marTop w:val="0"/>
      <w:marBottom w:val="0"/>
      <w:divBdr>
        <w:top w:val="none" w:sz="0" w:space="0" w:color="auto"/>
        <w:left w:val="none" w:sz="0" w:space="0" w:color="auto"/>
        <w:bottom w:val="none" w:sz="0" w:space="0" w:color="auto"/>
        <w:right w:val="none" w:sz="0" w:space="0" w:color="auto"/>
      </w:divBdr>
      <w:divsChild>
        <w:div w:id="468401831">
          <w:marLeft w:val="0"/>
          <w:marRight w:val="0"/>
          <w:marTop w:val="0"/>
          <w:marBottom w:val="0"/>
          <w:divBdr>
            <w:top w:val="none" w:sz="0" w:space="0" w:color="auto"/>
            <w:left w:val="none" w:sz="0" w:space="0" w:color="auto"/>
            <w:bottom w:val="none" w:sz="0" w:space="0" w:color="auto"/>
            <w:right w:val="none" w:sz="0" w:space="0" w:color="auto"/>
          </w:divBdr>
          <w:divsChild>
            <w:div w:id="325398065">
              <w:marLeft w:val="0"/>
              <w:marRight w:val="0"/>
              <w:marTop w:val="0"/>
              <w:marBottom w:val="0"/>
              <w:divBdr>
                <w:top w:val="none" w:sz="0" w:space="0" w:color="auto"/>
                <w:left w:val="none" w:sz="0" w:space="0" w:color="auto"/>
                <w:bottom w:val="none" w:sz="0" w:space="0" w:color="auto"/>
                <w:right w:val="none" w:sz="0" w:space="0" w:color="auto"/>
              </w:divBdr>
              <w:divsChild>
                <w:div w:id="1730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0740">
      <w:bodyDiv w:val="1"/>
      <w:marLeft w:val="0"/>
      <w:marRight w:val="0"/>
      <w:marTop w:val="0"/>
      <w:marBottom w:val="0"/>
      <w:divBdr>
        <w:top w:val="none" w:sz="0" w:space="0" w:color="auto"/>
        <w:left w:val="none" w:sz="0" w:space="0" w:color="auto"/>
        <w:bottom w:val="none" w:sz="0" w:space="0" w:color="auto"/>
        <w:right w:val="none" w:sz="0" w:space="0" w:color="auto"/>
      </w:divBdr>
    </w:div>
    <w:div w:id="992610114">
      <w:bodyDiv w:val="1"/>
      <w:marLeft w:val="0"/>
      <w:marRight w:val="0"/>
      <w:marTop w:val="0"/>
      <w:marBottom w:val="0"/>
      <w:divBdr>
        <w:top w:val="none" w:sz="0" w:space="0" w:color="auto"/>
        <w:left w:val="none" w:sz="0" w:space="0" w:color="auto"/>
        <w:bottom w:val="none" w:sz="0" w:space="0" w:color="auto"/>
        <w:right w:val="none" w:sz="0" w:space="0" w:color="auto"/>
      </w:divBdr>
      <w:divsChild>
        <w:div w:id="1791581395">
          <w:marLeft w:val="0"/>
          <w:marRight w:val="0"/>
          <w:marTop w:val="0"/>
          <w:marBottom w:val="0"/>
          <w:divBdr>
            <w:top w:val="none" w:sz="0" w:space="0" w:color="auto"/>
            <w:left w:val="none" w:sz="0" w:space="0" w:color="auto"/>
            <w:bottom w:val="none" w:sz="0" w:space="0" w:color="auto"/>
            <w:right w:val="none" w:sz="0" w:space="0" w:color="auto"/>
          </w:divBdr>
          <w:divsChild>
            <w:div w:id="77488064">
              <w:marLeft w:val="0"/>
              <w:marRight w:val="0"/>
              <w:marTop w:val="0"/>
              <w:marBottom w:val="0"/>
              <w:divBdr>
                <w:top w:val="none" w:sz="0" w:space="0" w:color="auto"/>
                <w:left w:val="none" w:sz="0" w:space="0" w:color="auto"/>
                <w:bottom w:val="none" w:sz="0" w:space="0" w:color="auto"/>
                <w:right w:val="none" w:sz="0" w:space="0" w:color="auto"/>
              </w:divBdr>
              <w:divsChild>
                <w:div w:id="13592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9657">
      <w:bodyDiv w:val="1"/>
      <w:marLeft w:val="0"/>
      <w:marRight w:val="0"/>
      <w:marTop w:val="0"/>
      <w:marBottom w:val="0"/>
      <w:divBdr>
        <w:top w:val="none" w:sz="0" w:space="0" w:color="auto"/>
        <w:left w:val="none" w:sz="0" w:space="0" w:color="auto"/>
        <w:bottom w:val="none" w:sz="0" w:space="0" w:color="auto"/>
        <w:right w:val="none" w:sz="0" w:space="0" w:color="auto"/>
      </w:divBdr>
    </w:div>
    <w:div w:id="1240016363">
      <w:bodyDiv w:val="1"/>
      <w:marLeft w:val="0"/>
      <w:marRight w:val="0"/>
      <w:marTop w:val="0"/>
      <w:marBottom w:val="0"/>
      <w:divBdr>
        <w:top w:val="none" w:sz="0" w:space="0" w:color="auto"/>
        <w:left w:val="none" w:sz="0" w:space="0" w:color="auto"/>
        <w:bottom w:val="none" w:sz="0" w:space="0" w:color="auto"/>
        <w:right w:val="none" w:sz="0" w:space="0" w:color="auto"/>
      </w:divBdr>
      <w:divsChild>
        <w:div w:id="544365723">
          <w:marLeft w:val="0"/>
          <w:marRight w:val="0"/>
          <w:marTop w:val="0"/>
          <w:marBottom w:val="0"/>
          <w:divBdr>
            <w:top w:val="none" w:sz="0" w:space="0" w:color="auto"/>
            <w:left w:val="none" w:sz="0" w:space="0" w:color="auto"/>
            <w:bottom w:val="none" w:sz="0" w:space="0" w:color="auto"/>
            <w:right w:val="none" w:sz="0" w:space="0" w:color="auto"/>
          </w:divBdr>
          <w:divsChild>
            <w:div w:id="1176655242">
              <w:marLeft w:val="0"/>
              <w:marRight w:val="0"/>
              <w:marTop w:val="0"/>
              <w:marBottom w:val="0"/>
              <w:divBdr>
                <w:top w:val="none" w:sz="0" w:space="0" w:color="auto"/>
                <w:left w:val="none" w:sz="0" w:space="0" w:color="auto"/>
                <w:bottom w:val="none" w:sz="0" w:space="0" w:color="auto"/>
                <w:right w:val="none" w:sz="0" w:space="0" w:color="auto"/>
              </w:divBdr>
              <w:divsChild>
                <w:div w:id="693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1649">
      <w:bodyDiv w:val="1"/>
      <w:marLeft w:val="0"/>
      <w:marRight w:val="0"/>
      <w:marTop w:val="0"/>
      <w:marBottom w:val="0"/>
      <w:divBdr>
        <w:top w:val="none" w:sz="0" w:space="0" w:color="auto"/>
        <w:left w:val="none" w:sz="0" w:space="0" w:color="auto"/>
        <w:bottom w:val="none" w:sz="0" w:space="0" w:color="auto"/>
        <w:right w:val="none" w:sz="0" w:space="0" w:color="auto"/>
      </w:divBdr>
    </w:div>
    <w:div w:id="1381246835">
      <w:bodyDiv w:val="1"/>
      <w:marLeft w:val="0"/>
      <w:marRight w:val="0"/>
      <w:marTop w:val="0"/>
      <w:marBottom w:val="0"/>
      <w:divBdr>
        <w:top w:val="none" w:sz="0" w:space="0" w:color="auto"/>
        <w:left w:val="none" w:sz="0" w:space="0" w:color="auto"/>
        <w:bottom w:val="none" w:sz="0" w:space="0" w:color="auto"/>
        <w:right w:val="none" w:sz="0" w:space="0" w:color="auto"/>
      </w:divBdr>
    </w:div>
    <w:div w:id="1444687525">
      <w:bodyDiv w:val="1"/>
      <w:marLeft w:val="0"/>
      <w:marRight w:val="0"/>
      <w:marTop w:val="0"/>
      <w:marBottom w:val="0"/>
      <w:divBdr>
        <w:top w:val="none" w:sz="0" w:space="0" w:color="auto"/>
        <w:left w:val="none" w:sz="0" w:space="0" w:color="auto"/>
        <w:bottom w:val="none" w:sz="0" w:space="0" w:color="auto"/>
        <w:right w:val="none" w:sz="0" w:space="0" w:color="auto"/>
      </w:divBdr>
    </w:div>
    <w:div w:id="1545672996">
      <w:bodyDiv w:val="1"/>
      <w:marLeft w:val="0"/>
      <w:marRight w:val="0"/>
      <w:marTop w:val="0"/>
      <w:marBottom w:val="0"/>
      <w:divBdr>
        <w:top w:val="none" w:sz="0" w:space="0" w:color="auto"/>
        <w:left w:val="none" w:sz="0" w:space="0" w:color="auto"/>
        <w:bottom w:val="none" w:sz="0" w:space="0" w:color="auto"/>
        <w:right w:val="none" w:sz="0" w:space="0" w:color="auto"/>
      </w:divBdr>
    </w:div>
    <w:div w:id="1810630094">
      <w:bodyDiv w:val="1"/>
      <w:marLeft w:val="0"/>
      <w:marRight w:val="0"/>
      <w:marTop w:val="0"/>
      <w:marBottom w:val="0"/>
      <w:divBdr>
        <w:top w:val="none" w:sz="0" w:space="0" w:color="auto"/>
        <w:left w:val="none" w:sz="0" w:space="0" w:color="auto"/>
        <w:bottom w:val="none" w:sz="0" w:space="0" w:color="auto"/>
        <w:right w:val="none" w:sz="0" w:space="0" w:color="auto"/>
      </w:divBdr>
      <w:divsChild>
        <w:div w:id="2055502793">
          <w:marLeft w:val="0"/>
          <w:marRight w:val="0"/>
          <w:marTop w:val="0"/>
          <w:marBottom w:val="0"/>
          <w:divBdr>
            <w:top w:val="none" w:sz="0" w:space="0" w:color="auto"/>
            <w:left w:val="none" w:sz="0" w:space="0" w:color="auto"/>
            <w:bottom w:val="none" w:sz="0" w:space="0" w:color="auto"/>
            <w:right w:val="none" w:sz="0" w:space="0" w:color="auto"/>
          </w:divBdr>
          <w:divsChild>
            <w:div w:id="823282072">
              <w:marLeft w:val="0"/>
              <w:marRight w:val="0"/>
              <w:marTop w:val="0"/>
              <w:marBottom w:val="0"/>
              <w:divBdr>
                <w:top w:val="none" w:sz="0" w:space="0" w:color="auto"/>
                <w:left w:val="none" w:sz="0" w:space="0" w:color="auto"/>
                <w:bottom w:val="none" w:sz="0" w:space="0" w:color="auto"/>
                <w:right w:val="none" w:sz="0" w:space="0" w:color="auto"/>
              </w:divBdr>
              <w:divsChild>
                <w:div w:id="7534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1894">
      <w:bodyDiv w:val="1"/>
      <w:marLeft w:val="0"/>
      <w:marRight w:val="0"/>
      <w:marTop w:val="0"/>
      <w:marBottom w:val="0"/>
      <w:divBdr>
        <w:top w:val="none" w:sz="0" w:space="0" w:color="auto"/>
        <w:left w:val="none" w:sz="0" w:space="0" w:color="auto"/>
        <w:bottom w:val="none" w:sz="0" w:space="0" w:color="auto"/>
        <w:right w:val="none" w:sz="0" w:space="0" w:color="auto"/>
      </w:divBdr>
      <w:divsChild>
        <w:div w:id="367490266">
          <w:marLeft w:val="0"/>
          <w:marRight w:val="0"/>
          <w:marTop w:val="0"/>
          <w:marBottom w:val="0"/>
          <w:divBdr>
            <w:top w:val="none" w:sz="0" w:space="0" w:color="auto"/>
            <w:left w:val="none" w:sz="0" w:space="0" w:color="auto"/>
            <w:bottom w:val="none" w:sz="0" w:space="0" w:color="auto"/>
            <w:right w:val="none" w:sz="0" w:space="0" w:color="auto"/>
          </w:divBdr>
          <w:divsChild>
            <w:div w:id="1980761539">
              <w:marLeft w:val="0"/>
              <w:marRight w:val="0"/>
              <w:marTop w:val="0"/>
              <w:marBottom w:val="0"/>
              <w:divBdr>
                <w:top w:val="none" w:sz="0" w:space="0" w:color="auto"/>
                <w:left w:val="none" w:sz="0" w:space="0" w:color="auto"/>
                <w:bottom w:val="none" w:sz="0" w:space="0" w:color="auto"/>
                <w:right w:val="none" w:sz="0" w:space="0" w:color="auto"/>
              </w:divBdr>
              <w:divsChild>
                <w:div w:id="7172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6365">
      <w:bodyDiv w:val="1"/>
      <w:marLeft w:val="0"/>
      <w:marRight w:val="0"/>
      <w:marTop w:val="0"/>
      <w:marBottom w:val="0"/>
      <w:divBdr>
        <w:top w:val="none" w:sz="0" w:space="0" w:color="auto"/>
        <w:left w:val="none" w:sz="0" w:space="0" w:color="auto"/>
        <w:bottom w:val="none" w:sz="0" w:space="0" w:color="auto"/>
        <w:right w:val="none" w:sz="0" w:space="0" w:color="auto"/>
      </w:divBdr>
      <w:divsChild>
        <w:div w:id="1773477769">
          <w:marLeft w:val="0"/>
          <w:marRight w:val="0"/>
          <w:marTop w:val="0"/>
          <w:marBottom w:val="0"/>
          <w:divBdr>
            <w:top w:val="none" w:sz="0" w:space="0" w:color="auto"/>
            <w:left w:val="none" w:sz="0" w:space="0" w:color="auto"/>
            <w:bottom w:val="none" w:sz="0" w:space="0" w:color="auto"/>
            <w:right w:val="none" w:sz="0" w:space="0" w:color="auto"/>
          </w:divBdr>
          <w:divsChild>
            <w:div w:id="824861142">
              <w:marLeft w:val="0"/>
              <w:marRight w:val="0"/>
              <w:marTop w:val="0"/>
              <w:marBottom w:val="0"/>
              <w:divBdr>
                <w:top w:val="none" w:sz="0" w:space="0" w:color="auto"/>
                <w:left w:val="none" w:sz="0" w:space="0" w:color="auto"/>
                <w:bottom w:val="none" w:sz="0" w:space="0" w:color="auto"/>
                <w:right w:val="none" w:sz="0" w:space="0" w:color="auto"/>
              </w:divBdr>
              <w:divsChild>
                <w:div w:id="11547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5939">
      <w:bodyDiv w:val="1"/>
      <w:marLeft w:val="0"/>
      <w:marRight w:val="0"/>
      <w:marTop w:val="0"/>
      <w:marBottom w:val="0"/>
      <w:divBdr>
        <w:top w:val="none" w:sz="0" w:space="0" w:color="auto"/>
        <w:left w:val="none" w:sz="0" w:space="0" w:color="auto"/>
        <w:bottom w:val="none" w:sz="0" w:space="0" w:color="auto"/>
        <w:right w:val="none" w:sz="0" w:space="0" w:color="auto"/>
      </w:divBdr>
      <w:divsChild>
        <w:div w:id="1018041405">
          <w:marLeft w:val="0"/>
          <w:marRight w:val="0"/>
          <w:marTop w:val="0"/>
          <w:marBottom w:val="0"/>
          <w:divBdr>
            <w:top w:val="none" w:sz="0" w:space="0" w:color="auto"/>
            <w:left w:val="none" w:sz="0" w:space="0" w:color="auto"/>
            <w:bottom w:val="none" w:sz="0" w:space="0" w:color="auto"/>
            <w:right w:val="none" w:sz="0" w:space="0" w:color="auto"/>
          </w:divBdr>
          <w:divsChild>
            <w:div w:id="1975211466">
              <w:marLeft w:val="0"/>
              <w:marRight w:val="0"/>
              <w:marTop w:val="0"/>
              <w:marBottom w:val="0"/>
              <w:divBdr>
                <w:top w:val="none" w:sz="0" w:space="0" w:color="auto"/>
                <w:left w:val="none" w:sz="0" w:space="0" w:color="auto"/>
                <w:bottom w:val="none" w:sz="0" w:space="0" w:color="auto"/>
                <w:right w:val="none" w:sz="0" w:space="0" w:color="auto"/>
              </w:divBdr>
              <w:divsChild>
                <w:div w:id="7696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4741">
      <w:bodyDiv w:val="1"/>
      <w:marLeft w:val="0"/>
      <w:marRight w:val="0"/>
      <w:marTop w:val="0"/>
      <w:marBottom w:val="0"/>
      <w:divBdr>
        <w:top w:val="none" w:sz="0" w:space="0" w:color="auto"/>
        <w:left w:val="none" w:sz="0" w:space="0" w:color="auto"/>
        <w:bottom w:val="none" w:sz="0" w:space="0" w:color="auto"/>
        <w:right w:val="none" w:sz="0" w:space="0" w:color="auto"/>
      </w:divBdr>
      <w:divsChild>
        <w:div w:id="441460094">
          <w:marLeft w:val="0"/>
          <w:marRight w:val="0"/>
          <w:marTop w:val="0"/>
          <w:marBottom w:val="0"/>
          <w:divBdr>
            <w:top w:val="none" w:sz="0" w:space="0" w:color="auto"/>
            <w:left w:val="none" w:sz="0" w:space="0" w:color="auto"/>
            <w:bottom w:val="none" w:sz="0" w:space="0" w:color="auto"/>
            <w:right w:val="none" w:sz="0" w:space="0" w:color="auto"/>
          </w:divBdr>
          <w:divsChild>
            <w:div w:id="2073654467">
              <w:marLeft w:val="0"/>
              <w:marRight w:val="0"/>
              <w:marTop w:val="0"/>
              <w:marBottom w:val="0"/>
              <w:divBdr>
                <w:top w:val="none" w:sz="0" w:space="0" w:color="auto"/>
                <w:left w:val="none" w:sz="0" w:space="0" w:color="auto"/>
                <w:bottom w:val="none" w:sz="0" w:space="0" w:color="auto"/>
                <w:right w:val="none" w:sz="0" w:space="0" w:color="auto"/>
              </w:divBdr>
              <w:divsChild>
                <w:div w:id="4720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01078-CF22-4073-A501-C227BB11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Coetzer</dc:creator>
  <cp:keywords/>
  <dc:description/>
  <cp:lastModifiedBy>Mokone</cp:lastModifiedBy>
  <cp:revision>3</cp:revision>
  <cp:lastPrinted>2021-02-10T14:53:00Z</cp:lastPrinted>
  <dcterms:created xsi:type="dcterms:W3CDTF">2023-01-18T08:45:00Z</dcterms:created>
  <dcterms:modified xsi:type="dcterms:W3CDTF">2023-01-18T08:46:00Z</dcterms:modified>
</cp:coreProperties>
</file>