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086F0" w14:textId="77777777" w:rsidR="00F979EC" w:rsidRDefault="00F979EC" w:rsidP="00B43316">
      <w:pPr>
        <w:jc w:val="center"/>
        <w:rPr>
          <w:rFonts w:ascii="Arial Unicode MS" w:eastAsia="Arial Unicode MS" w:hAnsi="Arial Unicode MS" w:cs="Arial Unicode MS"/>
          <w:b/>
          <w:lang w:val="en-ZA"/>
        </w:rPr>
      </w:pPr>
      <w:bookmarkStart w:id="0" w:name="_GoBack"/>
      <w:bookmarkEnd w:id="0"/>
    </w:p>
    <w:p w14:paraId="7735303F" w14:textId="7511014D" w:rsidR="00F979EC" w:rsidRDefault="00FD0488" w:rsidP="00F979EC">
      <w:pPr>
        <w:jc w:val="center"/>
        <w:rPr>
          <w:rFonts w:ascii="Arial Unicode MS" w:eastAsia="Arial Unicode MS" w:hAnsi="Arial Unicode MS" w:cs="Arial Unicode MS"/>
          <w:b/>
          <w:lang w:val="en-ZA"/>
        </w:rPr>
      </w:pPr>
      <w:r>
        <w:rPr>
          <w:rFonts w:ascii="Calibri Light" w:hAnsi="Calibri Light" w:cs="Calibri Light"/>
          <w:noProof/>
          <w:lang w:val="en-ZA" w:eastAsia="en-ZA"/>
        </w:rPr>
        <w:drawing>
          <wp:inline distT="0" distB="0" distL="0" distR="0" wp14:anchorId="1F8E5C9C" wp14:editId="470DBCCE">
            <wp:extent cx="1186815" cy="12357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BBCB9" w14:textId="77777777" w:rsidR="00F979EC" w:rsidRDefault="00F979EC" w:rsidP="00B43316">
      <w:pPr>
        <w:jc w:val="center"/>
        <w:rPr>
          <w:rFonts w:ascii="Arial Unicode MS" w:eastAsia="Arial Unicode MS" w:hAnsi="Arial Unicode MS" w:cs="Arial Unicode MS"/>
          <w:b/>
          <w:lang w:val="en-ZA"/>
        </w:rPr>
      </w:pPr>
    </w:p>
    <w:p w14:paraId="13759F19" w14:textId="267D9BE4" w:rsidR="00B43316" w:rsidRDefault="00B43316" w:rsidP="00B43316">
      <w:pPr>
        <w:jc w:val="center"/>
        <w:rPr>
          <w:rFonts w:ascii="Arial Unicode MS" w:eastAsia="Arial Unicode MS" w:hAnsi="Arial Unicode MS" w:cs="Arial Unicode MS"/>
          <w:b/>
          <w:lang w:val="en-ZA"/>
        </w:rPr>
      </w:pPr>
      <w:r w:rsidRPr="008C3D91">
        <w:rPr>
          <w:rFonts w:ascii="Arial Unicode MS" w:eastAsia="Arial Unicode MS" w:hAnsi="Arial Unicode MS" w:cs="Arial Unicode MS"/>
          <w:b/>
          <w:lang w:val="en-ZA"/>
        </w:rPr>
        <w:t>IN THE HIGH COURT OF SOUTH AFRICA</w:t>
      </w:r>
    </w:p>
    <w:p w14:paraId="3BD23240" w14:textId="77777777" w:rsidR="00F979EC" w:rsidRPr="008C3D91" w:rsidRDefault="00F979EC" w:rsidP="00B43316">
      <w:pPr>
        <w:jc w:val="center"/>
        <w:rPr>
          <w:rFonts w:ascii="Arial Unicode MS" w:eastAsia="Arial Unicode MS" w:hAnsi="Arial Unicode MS" w:cs="Arial Unicode MS"/>
          <w:b/>
          <w:lang w:val="en-ZA"/>
        </w:rPr>
      </w:pPr>
    </w:p>
    <w:p w14:paraId="22652E97" w14:textId="77777777" w:rsidR="00B43316" w:rsidRPr="008C3D91" w:rsidRDefault="00B43316" w:rsidP="00B43316">
      <w:pPr>
        <w:jc w:val="center"/>
        <w:rPr>
          <w:rFonts w:ascii="Arial Unicode MS" w:eastAsia="Arial Unicode MS" w:hAnsi="Arial Unicode MS" w:cs="Arial Unicode MS"/>
          <w:b/>
          <w:lang w:val="en-ZA"/>
        </w:rPr>
      </w:pPr>
      <w:r w:rsidRPr="008C3D91">
        <w:rPr>
          <w:rFonts w:ascii="Arial Unicode MS" w:eastAsia="Arial Unicode MS" w:hAnsi="Arial Unicode MS" w:cs="Arial Unicode MS"/>
          <w:b/>
          <w:lang w:val="en-ZA"/>
        </w:rPr>
        <w:t xml:space="preserve">GAUTENG DIVISION, </w:t>
      </w:r>
      <w:smartTag w:uri="urn:schemas-microsoft-com:office:smarttags" w:element="place">
        <w:smartTag w:uri="urn:schemas-microsoft-com:office:smarttags" w:element="City">
          <w:r w:rsidRPr="008C3D91">
            <w:rPr>
              <w:rFonts w:ascii="Arial Unicode MS" w:eastAsia="Arial Unicode MS" w:hAnsi="Arial Unicode MS" w:cs="Arial Unicode MS"/>
              <w:b/>
              <w:lang w:val="en-ZA"/>
            </w:rPr>
            <w:t>PRETORIA</w:t>
          </w:r>
        </w:smartTag>
      </w:smartTag>
    </w:p>
    <w:p w14:paraId="1EB92CA7" w14:textId="77777777" w:rsidR="00B43316" w:rsidRPr="008C3D91" w:rsidRDefault="00B43316" w:rsidP="00B43316">
      <w:pPr>
        <w:spacing w:line="360" w:lineRule="auto"/>
        <w:jc w:val="center"/>
        <w:rPr>
          <w:rFonts w:ascii="Calibri Light" w:eastAsia="Arial Unicode MS" w:hAnsi="Calibri Light" w:cs="Calibri Light"/>
          <w:sz w:val="26"/>
          <w:szCs w:val="26"/>
          <w:lang w:val="en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3"/>
      </w:tblGrid>
      <w:tr w:rsidR="00B43316" w:rsidRPr="008C3D91" w14:paraId="523DA9EB" w14:textId="77777777" w:rsidTr="00F950C0">
        <w:trPr>
          <w:trHeight w:val="2743"/>
        </w:trPr>
        <w:tc>
          <w:tcPr>
            <w:tcW w:w="4983" w:type="dxa"/>
            <w:shd w:val="clear" w:color="auto" w:fill="auto"/>
          </w:tcPr>
          <w:p w14:paraId="40F2B552" w14:textId="77777777" w:rsidR="00B43316" w:rsidRPr="008C3D91" w:rsidRDefault="00B43316" w:rsidP="00F950C0">
            <w:pPr>
              <w:spacing w:line="360" w:lineRule="auto"/>
              <w:jc w:val="both"/>
              <w:rPr>
                <w:rFonts w:ascii="Calibri Light" w:hAnsi="Calibri Light" w:cs="Calibri Light"/>
                <w:sz w:val="8"/>
                <w:szCs w:val="8"/>
              </w:rPr>
            </w:pPr>
          </w:p>
          <w:p w14:paraId="3A22DC89" w14:textId="77777777" w:rsidR="00B43316" w:rsidRPr="008C3D91" w:rsidRDefault="00B43316" w:rsidP="00F950C0">
            <w:pPr>
              <w:spacing w:line="360" w:lineRule="auto"/>
              <w:jc w:val="both"/>
              <w:rPr>
                <w:rFonts w:ascii="Calibri Light" w:hAnsi="Calibri Light" w:cs="Calibri Light"/>
                <w:sz w:val="8"/>
                <w:szCs w:val="8"/>
              </w:rPr>
            </w:pPr>
          </w:p>
          <w:p w14:paraId="66735420" w14:textId="77777777" w:rsidR="00B43316" w:rsidRPr="008C3D91" w:rsidRDefault="00B43316" w:rsidP="00F950C0">
            <w:pPr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8C3D91">
              <w:rPr>
                <w:rFonts w:ascii="Calibri Light" w:hAnsi="Calibri Light" w:cs="Calibri Light"/>
                <w:sz w:val="18"/>
                <w:szCs w:val="18"/>
              </w:rPr>
              <w:t>(1)    REPORTABLE:  YES / NO</w:t>
            </w:r>
          </w:p>
          <w:p w14:paraId="716F4017" w14:textId="77777777" w:rsidR="00B43316" w:rsidRPr="008C3D91" w:rsidRDefault="00B43316" w:rsidP="00F950C0">
            <w:pPr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8C3D91">
              <w:rPr>
                <w:rFonts w:ascii="Calibri Light" w:hAnsi="Calibri Light" w:cs="Calibri Light"/>
                <w:sz w:val="18"/>
                <w:szCs w:val="18"/>
              </w:rPr>
              <w:t>(2)    OF INTEREST TO OTHER JUDGES:  YES / NO</w:t>
            </w:r>
          </w:p>
          <w:p w14:paraId="53FAA4D8" w14:textId="77777777" w:rsidR="00B43316" w:rsidRPr="008C3D91" w:rsidRDefault="00B43316" w:rsidP="00F950C0">
            <w:pPr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8C3D91">
              <w:rPr>
                <w:rFonts w:ascii="Calibri Light" w:hAnsi="Calibri Light" w:cs="Calibri Light"/>
                <w:sz w:val="18"/>
                <w:szCs w:val="18"/>
              </w:rPr>
              <w:t>(3)    REVISED</w:t>
            </w:r>
          </w:p>
          <w:p w14:paraId="5192E149" w14:textId="77777777" w:rsidR="00B43316" w:rsidRPr="008C3D91" w:rsidRDefault="00B43316" w:rsidP="00F950C0">
            <w:pPr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0AD9A02A" w14:textId="77777777" w:rsidR="00B43316" w:rsidRPr="008C3D91" w:rsidRDefault="00B43316" w:rsidP="00F950C0">
            <w:pPr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8C3D91">
              <w:rPr>
                <w:rFonts w:ascii="Calibri Light" w:hAnsi="Calibri Light" w:cs="Calibri Light"/>
                <w:sz w:val="18"/>
                <w:szCs w:val="18"/>
              </w:rPr>
              <w:t>_________________                 _____________________</w:t>
            </w:r>
          </w:p>
          <w:p w14:paraId="59E21B49" w14:textId="77777777" w:rsidR="00B43316" w:rsidRPr="008C3D91" w:rsidRDefault="00B43316" w:rsidP="00F950C0">
            <w:pPr>
              <w:spacing w:line="360" w:lineRule="auto"/>
              <w:jc w:val="both"/>
              <w:rPr>
                <w:rFonts w:ascii="Calibri Light" w:hAnsi="Calibri Light" w:cs="Calibri Light"/>
                <w:sz w:val="8"/>
                <w:szCs w:val="8"/>
              </w:rPr>
            </w:pPr>
            <w:r w:rsidRPr="008C3D91">
              <w:rPr>
                <w:rFonts w:ascii="Calibri Light" w:hAnsi="Calibri Light" w:cs="Calibri Light"/>
                <w:sz w:val="18"/>
                <w:szCs w:val="18"/>
              </w:rPr>
              <w:t>DATE                                                     SIGNATURE</w:t>
            </w:r>
          </w:p>
        </w:tc>
      </w:tr>
    </w:tbl>
    <w:p w14:paraId="22AC7384" w14:textId="77777777" w:rsidR="00B43316" w:rsidRDefault="00B43316" w:rsidP="00B43316">
      <w:pPr>
        <w:tabs>
          <w:tab w:val="right" w:pos="3000"/>
          <w:tab w:val="left" w:pos="5103"/>
        </w:tabs>
        <w:spacing w:line="360" w:lineRule="auto"/>
        <w:jc w:val="center"/>
        <w:rPr>
          <w:rFonts w:ascii="Calibri Light" w:eastAsia="Arial Unicode MS" w:hAnsi="Calibri Light" w:cs="Calibri Light"/>
          <w:lang w:val="en-ZA"/>
        </w:rPr>
      </w:pPr>
      <w:r w:rsidRPr="008C3D91">
        <w:rPr>
          <w:rFonts w:ascii="Calibri Light" w:eastAsia="Arial Unicode MS" w:hAnsi="Calibri Light" w:cs="Calibri Light"/>
          <w:lang w:val="en-ZA"/>
        </w:rPr>
        <w:tab/>
      </w:r>
      <w:r>
        <w:rPr>
          <w:rFonts w:ascii="Calibri Light" w:eastAsia="Arial Unicode MS" w:hAnsi="Calibri Light" w:cs="Calibri Light"/>
          <w:lang w:val="en-ZA"/>
        </w:rPr>
        <w:tab/>
      </w:r>
    </w:p>
    <w:p w14:paraId="3FAA2840" w14:textId="01D238DD" w:rsidR="00B43316" w:rsidRDefault="00B43316" w:rsidP="00B43316">
      <w:pPr>
        <w:tabs>
          <w:tab w:val="right" w:pos="3000"/>
          <w:tab w:val="left" w:pos="5103"/>
        </w:tabs>
        <w:spacing w:line="360" w:lineRule="auto"/>
        <w:jc w:val="both"/>
        <w:rPr>
          <w:rFonts w:ascii="Calibri Light" w:eastAsia="Arial Unicode MS" w:hAnsi="Calibri Light" w:cs="Calibri Light"/>
          <w:lang w:val="en-ZA"/>
        </w:rPr>
      </w:pPr>
      <w:r>
        <w:rPr>
          <w:rFonts w:ascii="Calibri Light" w:eastAsia="Arial Unicode MS" w:hAnsi="Calibri Light" w:cs="Calibri Light"/>
          <w:lang w:val="en-ZA"/>
        </w:rPr>
        <w:t>In the matter between</w:t>
      </w:r>
      <w:r>
        <w:rPr>
          <w:rFonts w:ascii="Calibri Light" w:eastAsia="Arial Unicode MS" w:hAnsi="Calibri Light" w:cs="Calibri Light"/>
          <w:lang w:val="en-ZA"/>
        </w:rPr>
        <w:tab/>
      </w:r>
      <w:r>
        <w:rPr>
          <w:rFonts w:ascii="Calibri Light" w:eastAsia="Arial Unicode MS" w:hAnsi="Calibri Light" w:cs="Calibri Light"/>
          <w:lang w:val="en-ZA"/>
        </w:rPr>
        <w:tab/>
        <w:t xml:space="preserve">       </w:t>
      </w:r>
    </w:p>
    <w:p w14:paraId="4CD84BF2" w14:textId="70BF8A3A" w:rsidR="00B43316" w:rsidRPr="008C3D91" w:rsidRDefault="00B43316" w:rsidP="00B43316">
      <w:pPr>
        <w:tabs>
          <w:tab w:val="right" w:pos="3000"/>
          <w:tab w:val="left" w:pos="5103"/>
        </w:tabs>
        <w:spacing w:line="360" w:lineRule="auto"/>
        <w:jc w:val="center"/>
        <w:rPr>
          <w:rFonts w:ascii="Arial Unicode MS" w:eastAsia="Arial Unicode MS" w:hAnsi="Arial Unicode MS" w:cs="Arial Unicode MS"/>
          <w:sz w:val="23"/>
          <w:szCs w:val="23"/>
          <w:lang w:val="en-ZA"/>
        </w:rPr>
      </w:pPr>
      <w:r>
        <w:rPr>
          <w:rFonts w:ascii="Calibri Light" w:eastAsia="Arial Unicode MS" w:hAnsi="Calibri Light" w:cs="Calibri Light"/>
          <w:lang w:val="en-ZA"/>
        </w:rPr>
        <w:t xml:space="preserve">                                                                                                      </w:t>
      </w:r>
      <w:r w:rsidRPr="008C3D91">
        <w:rPr>
          <w:rFonts w:ascii="Arial Unicode MS" w:eastAsia="Arial Unicode MS" w:hAnsi="Arial Unicode MS" w:cs="Arial Unicode MS"/>
          <w:sz w:val="23"/>
          <w:szCs w:val="23"/>
          <w:lang w:val="en-ZA"/>
        </w:rPr>
        <w:t xml:space="preserve">CASE NUMBER:  </w:t>
      </w:r>
      <w:r>
        <w:rPr>
          <w:rFonts w:ascii="Arial Unicode MS" w:eastAsia="Arial Unicode MS" w:hAnsi="Arial Unicode MS" w:cs="Arial Unicode MS"/>
          <w:sz w:val="23"/>
          <w:szCs w:val="23"/>
          <w:lang w:val="en-ZA"/>
        </w:rPr>
        <w:t>40858/2019</w:t>
      </w:r>
    </w:p>
    <w:p w14:paraId="20E65736" w14:textId="14A639EA" w:rsidR="00B43316" w:rsidRPr="008C3D91" w:rsidRDefault="00B43316" w:rsidP="00B43316">
      <w:pPr>
        <w:tabs>
          <w:tab w:val="right" w:pos="3000"/>
          <w:tab w:val="left" w:pos="5954"/>
        </w:tabs>
        <w:spacing w:line="360" w:lineRule="auto"/>
        <w:jc w:val="center"/>
        <w:rPr>
          <w:rFonts w:ascii="Arial Unicode MS" w:eastAsia="Arial Unicode MS" w:hAnsi="Arial Unicode MS" w:cs="Arial Unicode MS"/>
          <w:sz w:val="23"/>
          <w:szCs w:val="23"/>
          <w:lang w:val="en-ZA"/>
        </w:rPr>
      </w:pPr>
      <w:r>
        <w:rPr>
          <w:rFonts w:ascii="Arial Unicode MS" w:eastAsia="Arial Unicode MS" w:hAnsi="Arial Unicode MS" w:cs="Arial Unicode MS"/>
          <w:sz w:val="23"/>
          <w:szCs w:val="23"/>
          <w:lang w:val="en-ZA"/>
        </w:rPr>
        <w:t xml:space="preserve">   </w:t>
      </w:r>
      <w:r>
        <w:rPr>
          <w:rFonts w:ascii="Arial Unicode MS" w:eastAsia="Arial Unicode MS" w:hAnsi="Arial Unicode MS" w:cs="Arial Unicode MS"/>
          <w:sz w:val="23"/>
          <w:szCs w:val="23"/>
          <w:lang w:val="en-ZA"/>
        </w:rPr>
        <w:tab/>
      </w:r>
      <w:r w:rsidRPr="008C3D91">
        <w:rPr>
          <w:rFonts w:ascii="Arial Unicode MS" w:eastAsia="Arial Unicode MS" w:hAnsi="Arial Unicode MS" w:cs="Arial Unicode MS"/>
          <w:sz w:val="23"/>
          <w:szCs w:val="23"/>
          <w:lang w:val="en-ZA"/>
        </w:rPr>
        <w:tab/>
        <w:t xml:space="preserve">DATE:  </w:t>
      </w:r>
      <w:r>
        <w:rPr>
          <w:rFonts w:ascii="Arial Unicode MS" w:eastAsia="Arial Unicode MS" w:hAnsi="Arial Unicode MS" w:cs="Arial Unicode MS"/>
          <w:sz w:val="23"/>
          <w:szCs w:val="23"/>
          <w:lang w:val="en-ZA"/>
        </w:rPr>
        <w:t>20 December 2022</w:t>
      </w:r>
    </w:p>
    <w:p w14:paraId="3FAC735B" w14:textId="77777777" w:rsidR="00B43316" w:rsidRDefault="00B43316" w:rsidP="00B43316">
      <w:pPr>
        <w:tabs>
          <w:tab w:val="left" w:pos="0"/>
          <w:tab w:val="right" w:pos="9639"/>
        </w:tabs>
        <w:spacing w:line="360" w:lineRule="auto"/>
        <w:rPr>
          <w:rFonts w:ascii="Arial Unicode MS" w:eastAsia="Arial Unicode MS" w:hAnsi="Arial Unicode MS" w:cs="Arial Unicode MS"/>
          <w:b/>
          <w:sz w:val="23"/>
          <w:szCs w:val="23"/>
          <w:lang w:val="en-ZA"/>
        </w:rPr>
      </w:pPr>
    </w:p>
    <w:p w14:paraId="55D24180" w14:textId="452E9383" w:rsidR="00B43316" w:rsidRDefault="00B43316" w:rsidP="00B43316">
      <w:pPr>
        <w:tabs>
          <w:tab w:val="left" w:pos="0"/>
          <w:tab w:val="right" w:pos="9639"/>
        </w:tabs>
        <w:spacing w:line="360" w:lineRule="auto"/>
        <w:rPr>
          <w:rFonts w:ascii="Arial Unicode MS" w:eastAsia="Arial Unicode MS" w:hAnsi="Arial Unicode MS" w:cs="Arial Unicode MS"/>
          <w:sz w:val="23"/>
          <w:szCs w:val="23"/>
          <w:lang w:val="en-ZA"/>
        </w:rPr>
      </w:pPr>
      <w:r>
        <w:rPr>
          <w:rFonts w:ascii="Arial Unicode MS" w:eastAsia="Arial Unicode MS" w:hAnsi="Arial Unicode MS" w:cs="Arial Unicode MS"/>
          <w:b/>
          <w:sz w:val="23"/>
          <w:szCs w:val="23"/>
          <w:lang w:val="en-ZA"/>
        </w:rPr>
        <w:t>ZIPHIWO MADODODWA MHLWANA                                                   First Applicant</w:t>
      </w:r>
    </w:p>
    <w:p w14:paraId="7E27A45D" w14:textId="1A592363" w:rsidR="00B43316" w:rsidRPr="008C3D91" w:rsidRDefault="00B43316" w:rsidP="00B43316">
      <w:pPr>
        <w:tabs>
          <w:tab w:val="left" w:pos="0"/>
          <w:tab w:val="left" w:pos="3000"/>
          <w:tab w:val="left" w:pos="6663"/>
          <w:tab w:val="right" w:pos="9639"/>
        </w:tabs>
        <w:spacing w:line="360" w:lineRule="auto"/>
        <w:jc w:val="center"/>
        <w:rPr>
          <w:rFonts w:ascii="Arial Unicode MS" w:eastAsia="Arial Unicode MS" w:hAnsi="Arial Unicode MS" w:cs="Arial Unicode MS"/>
          <w:sz w:val="23"/>
          <w:szCs w:val="23"/>
          <w:lang w:val="en-ZA"/>
        </w:rPr>
      </w:pPr>
      <w:r>
        <w:rPr>
          <w:rFonts w:ascii="Arial Unicode MS" w:eastAsia="Arial Unicode MS" w:hAnsi="Arial Unicode MS" w:cs="Arial Unicode MS"/>
          <w:sz w:val="23"/>
          <w:szCs w:val="23"/>
          <w:lang w:val="en-ZA"/>
        </w:rPr>
        <w:t xml:space="preserve">              </w:t>
      </w:r>
    </w:p>
    <w:p w14:paraId="51D96DF5" w14:textId="13F266CD" w:rsidR="00B43316" w:rsidRDefault="00B43316" w:rsidP="00B43316">
      <w:pPr>
        <w:pBdr>
          <w:bottom w:val="single" w:sz="12" w:space="1" w:color="auto"/>
        </w:pBdr>
        <w:tabs>
          <w:tab w:val="left" w:pos="0"/>
          <w:tab w:val="left" w:pos="3000"/>
          <w:tab w:val="left" w:pos="6663"/>
          <w:tab w:val="right" w:pos="9639"/>
        </w:tabs>
        <w:spacing w:line="360" w:lineRule="auto"/>
        <w:rPr>
          <w:rFonts w:ascii="Arial Unicode MS" w:eastAsia="Arial Unicode MS" w:hAnsi="Arial Unicode MS" w:cs="Arial Unicode MS"/>
          <w:b/>
          <w:sz w:val="23"/>
          <w:szCs w:val="23"/>
          <w:lang w:val="en-ZA"/>
        </w:rPr>
      </w:pPr>
      <w:r>
        <w:rPr>
          <w:rFonts w:ascii="Arial Unicode MS" w:eastAsia="Arial Unicode MS" w:hAnsi="Arial Unicode MS" w:cs="Arial Unicode MS"/>
          <w:b/>
          <w:sz w:val="23"/>
          <w:szCs w:val="23"/>
          <w:lang w:val="en-ZA"/>
        </w:rPr>
        <w:t>ZWELAKHE NTSHEPE</w:t>
      </w:r>
      <w:r>
        <w:rPr>
          <w:rFonts w:ascii="Arial Unicode MS" w:eastAsia="Arial Unicode MS" w:hAnsi="Arial Unicode MS" w:cs="Arial Unicode MS"/>
          <w:b/>
          <w:sz w:val="23"/>
          <w:szCs w:val="23"/>
          <w:lang w:val="en-ZA"/>
        </w:rPr>
        <w:tab/>
        <w:t xml:space="preserve">                                                            Second Applicant</w:t>
      </w:r>
    </w:p>
    <w:p w14:paraId="555E86FC" w14:textId="266D5A73" w:rsidR="00614EE9" w:rsidRDefault="00614EE9" w:rsidP="00B43316">
      <w:pPr>
        <w:pBdr>
          <w:bottom w:val="single" w:sz="12" w:space="1" w:color="auto"/>
        </w:pBdr>
        <w:tabs>
          <w:tab w:val="left" w:pos="0"/>
          <w:tab w:val="left" w:pos="3000"/>
          <w:tab w:val="left" w:pos="6663"/>
          <w:tab w:val="right" w:pos="9639"/>
        </w:tabs>
        <w:spacing w:line="360" w:lineRule="auto"/>
        <w:rPr>
          <w:rFonts w:ascii="Arial Unicode MS" w:eastAsia="Arial Unicode MS" w:hAnsi="Arial Unicode MS" w:cs="Arial Unicode MS"/>
          <w:b/>
          <w:sz w:val="23"/>
          <w:szCs w:val="23"/>
          <w:lang w:val="en-ZA"/>
        </w:rPr>
      </w:pPr>
    </w:p>
    <w:p w14:paraId="4C33ACA4" w14:textId="130CC8C5" w:rsidR="00614EE9" w:rsidRDefault="00614EE9" w:rsidP="00B43316">
      <w:pPr>
        <w:pBdr>
          <w:bottom w:val="single" w:sz="12" w:space="1" w:color="auto"/>
        </w:pBdr>
        <w:tabs>
          <w:tab w:val="left" w:pos="0"/>
          <w:tab w:val="left" w:pos="3000"/>
          <w:tab w:val="left" w:pos="6663"/>
          <w:tab w:val="right" w:pos="9639"/>
        </w:tabs>
        <w:spacing w:line="360" w:lineRule="auto"/>
        <w:rPr>
          <w:rFonts w:ascii="Arial Unicode MS" w:eastAsia="Arial Unicode MS" w:hAnsi="Arial Unicode MS" w:cs="Arial Unicode MS"/>
          <w:b/>
          <w:sz w:val="23"/>
          <w:szCs w:val="23"/>
          <w:lang w:val="en-ZA"/>
        </w:rPr>
      </w:pPr>
      <w:r>
        <w:rPr>
          <w:rFonts w:ascii="Arial Unicode MS" w:eastAsia="Arial Unicode MS" w:hAnsi="Arial Unicode MS" w:cs="Arial Unicode MS"/>
          <w:b/>
          <w:sz w:val="23"/>
          <w:szCs w:val="23"/>
          <w:lang w:val="en-ZA"/>
        </w:rPr>
        <w:t>and</w:t>
      </w:r>
    </w:p>
    <w:p w14:paraId="0458A05A" w14:textId="1011BFA9" w:rsidR="00B43316" w:rsidRDefault="00B43316" w:rsidP="00B43316">
      <w:pPr>
        <w:pBdr>
          <w:bottom w:val="single" w:sz="12" w:space="1" w:color="auto"/>
        </w:pBdr>
        <w:tabs>
          <w:tab w:val="left" w:pos="0"/>
          <w:tab w:val="left" w:pos="3000"/>
          <w:tab w:val="left" w:pos="6663"/>
          <w:tab w:val="right" w:pos="9639"/>
        </w:tabs>
        <w:spacing w:line="360" w:lineRule="auto"/>
        <w:rPr>
          <w:rFonts w:ascii="Arial Unicode MS" w:eastAsia="Arial Unicode MS" w:hAnsi="Arial Unicode MS" w:cs="Arial Unicode MS"/>
          <w:b/>
          <w:sz w:val="23"/>
          <w:szCs w:val="23"/>
          <w:lang w:val="en-ZA"/>
        </w:rPr>
      </w:pPr>
      <w:r>
        <w:rPr>
          <w:rFonts w:ascii="Arial Unicode MS" w:eastAsia="Arial Unicode MS" w:hAnsi="Arial Unicode MS" w:cs="Arial Unicode MS"/>
          <w:b/>
          <w:sz w:val="23"/>
          <w:szCs w:val="23"/>
          <w:lang w:val="en-ZA"/>
        </w:rPr>
        <w:t xml:space="preserve">                                                                    </w:t>
      </w:r>
    </w:p>
    <w:p w14:paraId="5C948E48" w14:textId="20F35DDE" w:rsidR="00B43316" w:rsidRDefault="00B43316" w:rsidP="00B43316">
      <w:pPr>
        <w:pBdr>
          <w:bottom w:val="single" w:sz="12" w:space="1" w:color="auto"/>
        </w:pBdr>
        <w:tabs>
          <w:tab w:val="left" w:pos="0"/>
          <w:tab w:val="left" w:pos="3000"/>
          <w:tab w:val="left" w:pos="6663"/>
          <w:tab w:val="right" w:pos="9639"/>
        </w:tabs>
        <w:spacing w:line="360" w:lineRule="auto"/>
        <w:rPr>
          <w:rFonts w:ascii="Arial Unicode MS" w:eastAsia="Arial Unicode MS" w:hAnsi="Arial Unicode MS" w:cs="Arial Unicode MS"/>
          <w:sz w:val="23"/>
          <w:szCs w:val="23"/>
          <w:lang w:val="en-ZA"/>
        </w:rPr>
      </w:pPr>
      <w:r>
        <w:rPr>
          <w:rFonts w:ascii="Arial Unicode MS" w:eastAsia="Arial Unicode MS" w:hAnsi="Arial Unicode MS" w:cs="Arial Unicode MS"/>
          <w:b/>
          <w:sz w:val="23"/>
          <w:szCs w:val="23"/>
          <w:lang w:val="en-ZA"/>
        </w:rPr>
        <w:t>DENEL SOC LIMITED                                                                               Respondent</w:t>
      </w:r>
    </w:p>
    <w:p w14:paraId="1D5C38AE" w14:textId="47A70E58" w:rsidR="00B43316" w:rsidRDefault="00B43316" w:rsidP="00B43316">
      <w:pPr>
        <w:pBdr>
          <w:bottom w:val="single" w:sz="12" w:space="1" w:color="auto"/>
        </w:pBdr>
        <w:tabs>
          <w:tab w:val="left" w:pos="0"/>
          <w:tab w:val="left" w:pos="7716"/>
        </w:tabs>
        <w:spacing w:line="480" w:lineRule="auto"/>
        <w:rPr>
          <w:rFonts w:ascii="Arial Unicode MS" w:eastAsia="Arial Unicode MS" w:hAnsi="Arial Unicode MS" w:cs="Arial Unicode MS"/>
          <w:sz w:val="23"/>
          <w:szCs w:val="23"/>
          <w:lang w:val="en-ZA"/>
        </w:rPr>
      </w:pPr>
      <w:r>
        <w:rPr>
          <w:rFonts w:ascii="Arial Unicode MS" w:eastAsia="Arial Unicode MS" w:hAnsi="Arial Unicode MS" w:cs="Arial Unicode MS"/>
          <w:sz w:val="23"/>
          <w:szCs w:val="23"/>
          <w:lang w:val="en-ZA"/>
        </w:rPr>
        <w:t xml:space="preserve">                                                               </w:t>
      </w:r>
    </w:p>
    <w:p w14:paraId="75F73B88" w14:textId="77777777" w:rsidR="00B43316" w:rsidRPr="00084002" w:rsidRDefault="00B43316" w:rsidP="00B43316">
      <w:pPr>
        <w:tabs>
          <w:tab w:val="left" w:pos="3000"/>
        </w:tabs>
        <w:spacing w:line="480" w:lineRule="auto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14:paraId="28B3C5D2" w14:textId="77777777" w:rsidR="00B43316" w:rsidRPr="008C3D91" w:rsidRDefault="00B43316" w:rsidP="00B43316">
      <w:pPr>
        <w:pBdr>
          <w:bottom w:val="single" w:sz="12" w:space="1" w:color="auto"/>
        </w:pBdr>
        <w:tabs>
          <w:tab w:val="left" w:pos="3000"/>
        </w:tabs>
        <w:spacing w:line="480" w:lineRule="auto"/>
        <w:jc w:val="center"/>
        <w:rPr>
          <w:rFonts w:ascii="Arial Unicode MS" w:eastAsia="Arial Unicode MS" w:hAnsi="Arial Unicode MS" w:cs="Arial Unicode MS"/>
          <w:sz w:val="23"/>
          <w:szCs w:val="23"/>
        </w:rPr>
      </w:pPr>
      <w:r>
        <w:rPr>
          <w:rFonts w:ascii="Arial Unicode MS" w:eastAsia="Arial Unicode MS" w:hAnsi="Arial Unicode MS" w:cs="Arial Unicode MS"/>
          <w:sz w:val="23"/>
          <w:szCs w:val="23"/>
        </w:rPr>
        <w:t>JUDGMENT</w:t>
      </w:r>
    </w:p>
    <w:p w14:paraId="13B8D50B" w14:textId="77777777" w:rsidR="00B43316" w:rsidRPr="003A2754" w:rsidRDefault="00B43316" w:rsidP="00B43316">
      <w:pPr>
        <w:tabs>
          <w:tab w:val="left" w:pos="3000"/>
        </w:tabs>
        <w:spacing w:line="480" w:lineRule="auto"/>
        <w:rPr>
          <w:rFonts w:eastAsia="Arial Unicode MS"/>
          <w:u w:val="single"/>
        </w:rPr>
      </w:pPr>
    </w:p>
    <w:p w14:paraId="34D1D2F9" w14:textId="02DB9901" w:rsidR="00B43316" w:rsidRPr="003A2754" w:rsidRDefault="00B43316" w:rsidP="00B43316">
      <w:pPr>
        <w:tabs>
          <w:tab w:val="left" w:pos="3000"/>
        </w:tabs>
        <w:spacing w:line="480" w:lineRule="auto"/>
        <w:rPr>
          <w:rFonts w:eastAsia="Arial Unicode MS"/>
        </w:rPr>
      </w:pPr>
      <w:r w:rsidRPr="003A2754">
        <w:rPr>
          <w:rFonts w:eastAsia="Arial Unicode MS"/>
          <w:u w:val="single"/>
        </w:rPr>
        <w:t>MABUSE J</w:t>
      </w:r>
      <w:r w:rsidRPr="003A2754">
        <w:rPr>
          <w:rFonts w:eastAsia="Arial Unicode MS"/>
        </w:rPr>
        <w:t xml:space="preserve"> </w:t>
      </w:r>
    </w:p>
    <w:p w14:paraId="0A5EB0CE" w14:textId="1EB278EE" w:rsidR="00B43316" w:rsidRPr="003A2754" w:rsidRDefault="00A52758" w:rsidP="006C5820">
      <w:pPr>
        <w:tabs>
          <w:tab w:val="left" w:pos="3000"/>
        </w:tabs>
        <w:spacing w:line="480" w:lineRule="auto"/>
        <w:jc w:val="both"/>
        <w:rPr>
          <w:rFonts w:eastAsia="Arial Unicode MS"/>
        </w:rPr>
      </w:pPr>
      <w:r w:rsidRPr="003A2754">
        <w:rPr>
          <w:rFonts w:eastAsia="Arial Unicode MS"/>
        </w:rPr>
        <w:lastRenderedPageBreak/>
        <w:t xml:space="preserve">[1] This matter came before me as an application by the Applicants for leave to appeal against the whole judgement and </w:t>
      </w:r>
      <w:r w:rsidR="008238DC" w:rsidRPr="003A2754">
        <w:rPr>
          <w:rFonts w:eastAsia="Arial Unicode MS"/>
        </w:rPr>
        <w:t xml:space="preserve">the </w:t>
      </w:r>
      <w:r w:rsidRPr="003A2754">
        <w:rPr>
          <w:rFonts w:eastAsia="Arial Unicode MS"/>
        </w:rPr>
        <w:t xml:space="preserve">order </w:t>
      </w:r>
      <w:r w:rsidR="008238DC" w:rsidRPr="003A2754">
        <w:rPr>
          <w:rFonts w:eastAsia="Arial Unicode MS"/>
        </w:rPr>
        <w:t>that this Court granted on 19 March 2021.</w:t>
      </w:r>
      <w:r w:rsidR="00126D80" w:rsidRPr="003A2754">
        <w:rPr>
          <w:rFonts w:eastAsia="Arial Unicode MS"/>
        </w:rPr>
        <w:t xml:space="preserve"> </w:t>
      </w:r>
    </w:p>
    <w:p w14:paraId="3FD60705" w14:textId="548AA14E" w:rsidR="00C33662" w:rsidRPr="003A2754" w:rsidRDefault="00C33662" w:rsidP="006C5820">
      <w:pPr>
        <w:tabs>
          <w:tab w:val="left" w:pos="3000"/>
        </w:tabs>
        <w:spacing w:line="480" w:lineRule="auto"/>
        <w:jc w:val="both"/>
        <w:rPr>
          <w:rFonts w:eastAsia="Arial Unicode MS"/>
        </w:rPr>
      </w:pPr>
      <w:r w:rsidRPr="003A2754">
        <w:rPr>
          <w:rFonts w:eastAsia="Arial Unicode MS"/>
        </w:rPr>
        <w:t xml:space="preserve">[2] </w:t>
      </w:r>
      <w:r w:rsidR="00F979EC">
        <w:rPr>
          <w:rFonts w:eastAsia="Arial Unicode MS"/>
        </w:rPr>
        <w:t>I</w:t>
      </w:r>
      <w:r w:rsidRPr="003A2754">
        <w:rPr>
          <w:rFonts w:eastAsia="Arial Unicode MS"/>
        </w:rPr>
        <w:t>n a written judgement of the same date I granted the following order</w:t>
      </w:r>
      <w:r w:rsidR="00F979EC">
        <w:rPr>
          <w:rFonts w:eastAsia="Arial Unicode MS"/>
        </w:rPr>
        <w:t>:</w:t>
      </w:r>
    </w:p>
    <w:p w14:paraId="3C6A5F4E" w14:textId="7BA5F7F7" w:rsidR="00C33662" w:rsidRPr="003A2754" w:rsidRDefault="00C33662" w:rsidP="006C5820">
      <w:pPr>
        <w:tabs>
          <w:tab w:val="left" w:pos="3000"/>
        </w:tabs>
        <w:spacing w:line="480" w:lineRule="auto"/>
        <w:jc w:val="both"/>
        <w:rPr>
          <w:rFonts w:eastAsia="Arial Unicode MS"/>
          <w:i/>
          <w:iCs/>
        </w:rPr>
      </w:pPr>
      <w:r w:rsidRPr="003A2754">
        <w:rPr>
          <w:rFonts w:eastAsia="Arial Unicode MS"/>
        </w:rPr>
        <w:t>“</w:t>
      </w:r>
      <w:r w:rsidRPr="003A2754">
        <w:rPr>
          <w:rFonts w:eastAsia="Arial Unicode MS"/>
          <w:i/>
          <w:iCs/>
        </w:rPr>
        <w:t>1. The application is hereby dismissed, with costs.</w:t>
      </w:r>
    </w:p>
    <w:p w14:paraId="2F97922C" w14:textId="60EA8D5A" w:rsidR="00C33662" w:rsidRPr="003A2754" w:rsidRDefault="00C33662" w:rsidP="006C5820">
      <w:pPr>
        <w:tabs>
          <w:tab w:val="left" w:pos="3000"/>
        </w:tabs>
        <w:spacing w:line="480" w:lineRule="auto"/>
        <w:jc w:val="both"/>
        <w:rPr>
          <w:rFonts w:eastAsia="Arial Unicode MS"/>
          <w:i/>
          <w:iCs/>
        </w:rPr>
      </w:pPr>
      <w:r w:rsidRPr="003A2754">
        <w:rPr>
          <w:rFonts w:eastAsia="Arial Unicode MS"/>
          <w:i/>
          <w:iCs/>
        </w:rPr>
        <w:t>2. The resolutions adopted by the Respondent’s board of directors on 7 June 2017 and 15 November 2017 are hereby reviewed and set aside.</w:t>
      </w:r>
    </w:p>
    <w:p w14:paraId="0BA98937" w14:textId="5150B51D" w:rsidR="00C33662" w:rsidRPr="003A2754" w:rsidRDefault="00C33662" w:rsidP="006C5820">
      <w:pPr>
        <w:tabs>
          <w:tab w:val="left" w:pos="3000"/>
        </w:tabs>
        <w:spacing w:line="480" w:lineRule="auto"/>
        <w:jc w:val="both"/>
        <w:rPr>
          <w:rFonts w:eastAsia="Arial Unicode MS"/>
          <w:i/>
          <w:iCs/>
        </w:rPr>
      </w:pPr>
      <w:r w:rsidRPr="003A2754">
        <w:rPr>
          <w:rFonts w:eastAsia="Arial Unicode MS"/>
          <w:i/>
          <w:iCs/>
        </w:rPr>
        <w:t>3. The counterapplication is hereby granted.</w:t>
      </w:r>
    </w:p>
    <w:p w14:paraId="37B1B2C7" w14:textId="39B45C4F" w:rsidR="00C33662" w:rsidRPr="003A2754" w:rsidRDefault="00C33662" w:rsidP="006C5820">
      <w:pPr>
        <w:tabs>
          <w:tab w:val="left" w:pos="3000"/>
        </w:tabs>
        <w:spacing w:line="480" w:lineRule="auto"/>
        <w:jc w:val="both"/>
        <w:rPr>
          <w:rFonts w:eastAsia="Arial Unicode MS"/>
          <w:i/>
          <w:iCs/>
        </w:rPr>
      </w:pPr>
      <w:r w:rsidRPr="003A2754">
        <w:rPr>
          <w:rFonts w:eastAsia="Arial Unicode MS"/>
          <w:i/>
          <w:iCs/>
        </w:rPr>
        <w:t xml:space="preserve">4. The First Applicant, </w:t>
      </w:r>
      <w:proofErr w:type="spellStart"/>
      <w:r w:rsidRPr="003A2754">
        <w:rPr>
          <w:rFonts w:eastAsia="Arial Unicode MS"/>
          <w:i/>
          <w:iCs/>
        </w:rPr>
        <w:t>Ziphiwo</w:t>
      </w:r>
      <w:proofErr w:type="spellEnd"/>
      <w:r w:rsidRPr="003A2754">
        <w:rPr>
          <w:rFonts w:eastAsia="Arial Unicode MS"/>
          <w:i/>
          <w:iCs/>
        </w:rPr>
        <w:t xml:space="preserve"> </w:t>
      </w:r>
      <w:proofErr w:type="spellStart"/>
      <w:r w:rsidRPr="003A2754">
        <w:rPr>
          <w:rFonts w:eastAsia="Arial Unicode MS"/>
          <w:i/>
          <w:iCs/>
        </w:rPr>
        <w:t>Madododwa</w:t>
      </w:r>
      <w:proofErr w:type="spellEnd"/>
      <w:r w:rsidRPr="003A2754">
        <w:rPr>
          <w:rFonts w:eastAsia="Arial Unicode MS"/>
          <w:i/>
          <w:iCs/>
        </w:rPr>
        <w:t xml:space="preserve"> </w:t>
      </w:r>
      <w:proofErr w:type="spellStart"/>
      <w:r w:rsidRPr="003A2754">
        <w:rPr>
          <w:rFonts w:eastAsia="Arial Unicode MS"/>
          <w:i/>
          <w:iCs/>
        </w:rPr>
        <w:t>Mhlwana</w:t>
      </w:r>
      <w:proofErr w:type="spellEnd"/>
      <w:r w:rsidRPr="003A2754">
        <w:rPr>
          <w:rFonts w:eastAsia="Arial Unicode MS"/>
          <w:i/>
          <w:iCs/>
        </w:rPr>
        <w:t xml:space="preserve">, is hereby ordered to repay, within 30 days of this order, the Respondent (Denel </w:t>
      </w:r>
      <w:proofErr w:type="spellStart"/>
      <w:r w:rsidRPr="003A2754">
        <w:rPr>
          <w:rFonts w:eastAsia="Arial Unicode MS"/>
          <w:i/>
          <w:iCs/>
        </w:rPr>
        <w:t>Soc</w:t>
      </w:r>
      <w:proofErr w:type="spellEnd"/>
      <w:r w:rsidRPr="003A2754">
        <w:rPr>
          <w:rFonts w:eastAsia="Arial Unicode MS"/>
          <w:i/>
          <w:iCs/>
        </w:rPr>
        <w:t xml:space="preserve"> Ltd), the sum of R1, 652,718.60.</w:t>
      </w:r>
    </w:p>
    <w:p w14:paraId="48DDAC42" w14:textId="7E74802B" w:rsidR="00C33662" w:rsidRPr="003A2754" w:rsidRDefault="00C33662" w:rsidP="006C5820">
      <w:pPr>
        <w:tabs>
          <w:tab w:val="left" w:pos="3000"/>
        </w:tabs>
        <w:spacing w:line="480" w:lineRule="auto"/>
        <w:jc w:val="both"/>
        <w:rPr>
          <w:rFonts w:eastAsia="Arial Unicode MS"/>
          <w:i/>
          <w:iCs/>
        </w:rPr>
      </w:pPr>
      <w:r w:rsidRPr="003A2754">
        <w:rPr>
          <w:rFonts w:eastAsia="Arial Unicode MS"/>
          <w:i/>
          <w:iCs/>
        </w:rPr>
        <w:t>5. The application for condonation by the Respondent for the late filing of its answering affidavit is hereby granted</w:t>
      </w:r>
      <w:r w:rsidR="00944766" w:rsidRPr="003A2754">
        <w:rPr>
          <w:rFonts w:eastAsia="Arial Unicode MS"/>
          <w:i/>
          <w:iCs/>
        </w:rPr>
        <w:t>.”</w:t>
      </w:r>
    </w:p>
    <w:p w14:paraId="3192146E" w14:textId="7DE5CC3B" w:rsidR="001B0353" w:rsidRPr="003A2754" w:rsidRDefault="00944766" w:rsidP="006C5820">
      <w:pPr>
        <w:tabs>
          <w:tab w:val="left" w:pos="3000"/>
        </w:tabs>
        <w:spacing w:line="480" w:lineRule="auto"/>
        <w:jc w:val="both"/>
        <w:rPr>
          <w:rFonts w:eastAsia="Arial Unicode MS"/>
        </w:rPr>
      </w:pPr>
      <w:r w:rsidRPr="003A2754">
        <w:rPr>
          <w:rFonts w:eastAsia="Arial Unicode MS"/>
        </w:rPr>
        <w:t>[3</w:t>
      </w:r>
      <w:r w:rsidR="003A6D63" w:rsidRPr="003A2754">
        <w:rPr>
          <w:rFonts w:eastAsia="Arial Unicode MS"/>
        </w:rPr>
        <w:t>] The A</w:t>
      </w:r>
      <w:r w:rsidRPr="003A2754">
        <w:rPr>
          <w:rFonts w:eastAsia="Arial Unicode MS"/>
        </w:rPr>
        <w:t>pplicants in this application</w:t>
      </w:r>
      <w:r w:rsidR="003A6D63" w:rsidRPr="003A2754">
        <w:rPr>
          <w:rFonts w:eastAsia="Arial Unicode MS"/>
        </w:rPr>
        <w:t xml:space="preserve">, who were </w:t>
      </w:r>
      <w:r w:rsidRPr="003A2754">
        <w:rPr>
          <w:rFonts w:eastAsia="Arial Unicode MS"/>
        </w:rPr>
        <w:t xml:space="preserve">the </w:t>
      </w:r>
      <w:r w:rsidR="003A6D63" w:rsidRPr="003A2754">
        <w:rPr>
          <w:rFonts w:eastAsia="Arial Unicode MS"/>
        </w:rPr>
        <w:t>A</w:t>
      </w:r>
      <w:r w:rsidRPr="003A2754">
        <w:rPr>
          <w:rFonts w:eastAsia="Arial Unicode MS"/>
        </w:rPr>
        <w:t>pplicants still</w:t>
      </w:r>
      <w:r w:rsidR="003A6D63" w:rsidRPr="003A2754">
        <w:rPr>
          <w:rFonts w:eastAsia="Arial Unicode MS"/>
        </w:rPr>
        <w:t>,</w:t>
      </w:r>
      <w:r w:rsidRPr="003A2754">
        <w:rPr>
          <w:rFonts w:eastAsia="Arial Unicode MS"/>
        </w:rPr>
        <w:t xml:space="preserve"> in the main application that resulted in the above order</w:t>
      </w:r>
      <w:r w:rsidR="003A6D63" w:rsidRPr="003A2754">
        <w:rPr>
          <w:rFonts w:eastAsia="Arial Unicode MS"/>
        </w:rPr>
        <w:t xml:space="preserve">, are disgruntled </w:t>
      </w:r>
      <w:r w:rsidRPr="003A2754">
        <w:rPr>
          <w:rFonts w:eastAsia="Arial Unicode MS"/>
        </w:rPr>
        <w:t xml:space="preserve">by the </w:t>
      </w:r>
      <w:proofErr w:type="spellStart"/>
      <w:r w:rsidRPr="003A2754">
        <w:rPr>
          <w:rFonts w:eastAsia="Arial Unicode MS"/>
        </w:rPr>
        <w:t>aforegoing</w:t>
      </w:r>
      <w:proofErr w:type="spellEnd"/>
      <w:r w:rsidRPr="003A2754">
        <w:rPr>
          <w:rFonts w:eastAsia="Arial Unicode MS"/>
        </w:rPr>
        <w:t xml:space="preserve"> order. Despite having filed comprehensive </w:t>
      </w:r>
      <w:r w:rsidR="00463FD8" w:rsidRPr="003A2754">
        <w:rPr>
          <w:rFonts w:eastAsia="Arial Unicode MS"/>
        </w:rPr>
        <w:t>grounds</w:t>
      </w:r>
      <w:r w:rsidRPr="003A2754">
        <w:rPr>
          <w:rFonts w:eastAsia="Arial Unicode MS"/>
        </w:rPr>
        <w:t xml:space="preserve"> for the </w:t>
      </w:r>
      <w:r w:rsidR="00463FD8" w:rsidRPr="003A2754">
        <w:rPr>
          <w:rFonts w:eastAsia="Arial Unicode MS"/>
        </w:rPr>
        <w:t>leave</w:t>
      </w:r>
      <w:r w:rsidRPr="003A2754">
        <w:rPr>
          <w:rFonts w:eastAsia="Arial Unicode MS"/>
        </w:rPr>
        <w:t xml:space="preserve"> to appeal, </w:t>
      </w:r>
      <w:r w:rsidR="00463FD8" w:rsidRPr="003A2754">
        <w:rPr>
          <w:rFonts w:eastAsia="Arial Unicode MS"/>
        </w:rPr>
        <w:t>A</w:t>
      </w:r>
      <w:r w:rsidRPr="003A2754">
        <w:rPr>
          <w:rFonts w:eastAsia="Arial Unicode MS"/>
        </w:rPr>
        <w:t xml:space="preserve">dvocate </w:t>
      </w:r>
      <w:r w:rsidR="00463FD8" w:rsidRPr="003A2754">
        <w:rPr>
          <w:rFonts w:eastAsia="Arial Unicode MS"/>
        </w:rPr>
        <w:t>B</w:t>
      </w:r>
      <w:r w:rsidRPr="003A2754">
        <w:rPr>
          <w:rFonts w:eastAsia="Arial Unicode MS"/>
        </w:rPr>
        <w:t xml:space="preserve"> Stevens, who appeared for the </w:t>
      </w:r>
      <w:r w:rsidR="00463FD8" w:rsidRPr="003A2754">
        <w:rPr>
          <w:rFonts w:eastAsia="Arial Unicode MS"/>
        </w:rPr>
        <w:t>A</w:t>
      </w:r>
      <w:r w:rsidRPr="003A2754">
        <w:rPr>
          <w:rFonts w:eastAsia="Arial Unicode MS"/>
        </w:rPr>
        <w:t>pplicants in this application</w:t>
      </w:r>
      <w:r w:rsidR="00463FD8" w:rsidRPr="003A2754">
        <w:rPr>
          <w:rFonts w:eastAsia="Arial Unicode MS"/>
        </w:rPr>
        <w:t>,</w:t>
      </w:r>
      <w:r w:rsidRPr="003A2754">
        <w:rPr>
          <w:rFonts w:eastAsia="Arial Unicode MS"/>
        </w:rPr>
        <w:t xml:space="preserve"> informed th</w:t>
      </w:r>
      <w:r w:rsidR="00EF6AC1">
        <w:rPr>
          <w:rFonts w:eastAsia="Arial Unicode MS"/>
        </w:rPr>
        <w:t>is</w:t>
      </w:r>
      <w:r w:rsidRPr="003A2754">
        <w:rPr>
          <w:rFonts w:eastAsia="Arial Unicode MS"/>
        </w:rPr>
        <w:t xml:space="preserve"> court that the point he wanted to take on behalf of </w:t>
      </w:r>
      <w:r w:rsidR="00463FD8" w:rsidRPr="003A2754">
        <w:rPr>
          <w:rFonts w:eastAsia="Arial Unicode MS"/>
        </w:rPr>
        <w:t>A</w:t>
      </w:r>
      <w:r w:rsidRPr="003A2754">
        <w:rPr>
          <w:rFonts w:eastAsia="Arial Unicode MS"/>
        </w:rPr>
        <w:t xml:space="preserve">pplicants related to </w:t>
      </w:r>
      <w:r w:rsidR="003528AE">
        <w:rPr>
          <w:rFonts w:eastAsia="Arial Unicode MS"/>
        </w:rPr>
        <w:t>one</w:t>
      </w:r>
      <w:r w:rsidRPr="003A2754">
        <w:rPr>
          <w:rFonts w:eastAsia="Arial Unicode MS"/>
        </w:rPr>
        <w:t xml:space="preserve"> p</w:t>
      </w:r>
      <w:r w:rsidR="00463FD8" w:rsidRPr="003A2754">
        <w:rPr>
          <w:rFonts w:eastAsia="Arial Unicode MS"/>
        </w:rPr>
        <w:t xml:space="preserve">oint </w:t>
      </w:r>
      <w:r w:rsidRPr="003A2754">
        <w:rPr>
          <w:rFonts w:eastAsia="Arial Unicode MS"/>
        </w:rPr>
        <w:t xml:space="preserve">only and that is the </w:t>
      </w:r>
      <w:r w:rsidR="00EF6AC1">
        <w:rPr>
          <w:rFonts w:eastAsia="Arial Unicode MS"/>
        </w:rPr>
        <w:t xml:space="preserve">Respondent’s </w:t>
      </w:r>
      <w:r w:rsidR="00463FD8" w:rsidRPr="003A2754">
        <w:rPr>
          <w:rFonts w:eastAsia="Arial Unicode MS"/>
        </w:rPr>
        <w:t xml:space="preserve">counterclaim </w:t>
      </w:r>
      <w:r w:rsidRPr="003A2754">
        <w:rPr>
          <w:rFonts w:eastAsia="Arial Unicode MS"/>
        </w:rPr>
        <w:t xml:space="preserve">in </w:t>
      </w:r>
      <w:r w:rsidR="00463FD8" w:rsidRPr="003A2754">
        <w:rPr>
          <w:rFonts w:eastAsia="Arial Unicode MS"/>
        </w:rPr>
        <w:t xml:space="preserve">the main </w:t>
      </w:r>
      <w:r w:rsidRPr="003A2754">
        <w:rPr>
          <w:rFonts w:eastAsia="Arial Unicode MS"/>
        </w:rPr>
        <w:t>application</w:t>
      </w:r>
      <w:r w:rsidR="00EF6AC1">
        <w:rPr>
          <w:rFonts w:eastAsia="Arial Unicode MS"/>
        </w:rPr>
        <w:t xml:space="preserve">. </w:t>
      </w:r>
      <w:r w:rsidR="00463FD8" w:rsidRPr="003A2754">
        <w:rPr>
          <w:rFonts w:eastAsia="Arial Unicode MS"/>
        </w:rPr>
        <w:t>H</w:t>
      </w:r>
      <w:r w:rsidRPr="003A2754">
        <w:rPr>
          <w:rFonts w:eastAsia="Arial Unicode MS"/>
        </w:rPr>
        <w:t>e argued that the finding by th</w:t>
      </w:r>
      <w:r w:rsidR="00463FD8" w:rsidRPr="003A2754">
        <w:rPr>
          <w:rFonts w:eastAsia="Arial Unicode MS"/>
        </w:rPr>
        <w:t>is</w:t>
      </w:r>
      <w:r w:rsidR="001B0353" w:rsidRPr="003A2754">
        <w:rPr>
          <w:rFonts w:eastAsia="Arial Unicode MS"/>
        </w:rPr>
        <w:t xml:space="preserve"> C</w:t>
      </w:r>
      <w:r w:rsidRPr="003A2754">
        <w:rPr>
          <w:rFonts w:eastAsia="Arial Unicode MS"/>
        </w:rPr>
        <w:t xml:space="preserve">ourt </w:t>
      </w:r>
      <w:r w:rsidR="003528AE" w:rsidRPr="003A2754">
        <w:rPr>
          <w:rFonts w:eastAsia="Arial Unicode MS"/>
        </w:rPr>
        <w:t xml:space="preserve">in the main application </w:t>
      </w:r>
      <w:r w:rsidRPr="003A2754">
        <w:rPr>
          <w:rFonts w:eastAsia="Arial Unicode MS"/>
        </w:rPr>
        <w:t xml:space="preserve">that </w:t>
      </w:r>
      <w:r w:rsidR="001B0353" w:rsidRPr="003A2754">
        <w:rPr>
          <w:rFonts w:eastAsia="Arial Unicode MS"/>
        </w:rPr>
        <w:t>the A</w:t>
      </w:r>
      <w:r w:rsidRPr="003A2754">
        <w:rPr>
          <w:rFonts w:eastAsia="Arial Unicode MS"/>
        </w:rPr>
        <w:t xml:space="preserve">pplicants did not have </w:t>
      </w:r>
      <w:r w:rsidRPr="003528AE">
        <w:rPr>
          <w:rFonts w:eastAsia="Arial Unicode MS"/>
        </w:rPr>
        <w:t>a cause of action, applies in equal</w:t>
      </w:r>
      <w:r w:rsidRPr="003A2754">
        <w:rPr>
          <w:rFonts w:eastAsia="Arial Unicode MS"/>
        </w:rPr>
        <w:t xml:space="preserve"> measures </w:t>
      </w:r>
      <w:r w:rsidR="003528AE">
        <w:rPr>
          <w:rFonts w:eastAsia="Arial Unicode MS"/>
        </w:rPr>
        <w:t xml:space="preserve">to </w:t>
      </w:r>
      <w:r w:rsidR="00EF6AC1">
        <w:rPr>
          <w:rFonts w:eastAsia="Arial Unicode MS"/>
        </w:rPr>
        <w:t xml:space="preserve">the Respondent’s </w:t>
      </w:r>
      <w:r w:rsidRPr="003A2754">
        <w:rPr>
          <w:rFonts w:eastAsia="Arial Unicode MS"/>
        </w:rPr>
        <w:t>counterclaim in the mai</w:t>
      </w:r>
      <w:r w:rsidR="001B0353" w:rsidRPr="003A2754">
        <w:rPr>
          <w:rFonts w:eastAsia="Arial Unicode MS"/>
        </w:rPr>
        <w:t>n</w:t>
      </w:r>
      <w:r w:rsidRPr="003A2754">
        <w:rPr>
          <w:rFonts w:eastAsia="Arial Unicode MS"/>
        </w:rPr>
        <w:t xml:space="preserve"> application</w:t>
      </w:r>
      <w:r w:rsidR="001B0353" w:rsidRPr="003A2754">
        <w:rPr>
          <w:rFonts w:eastAsia="Arial Unicode MS"/>
        </w:rPr>
        <w:t xml:space="preserve">. </w:t>
      </w:r>
      <w:r w:rsidRPr="003A2754">
        <w:rPr>
          <w:rFonts w:eastAsia="Arial Unicode MS"/>
        </w:rPr>
        <w:t>According to him</w:t>
      </w:r>
      <w:r w:rsidR="001B0353" w:rsidRPr="003A2754">
        <w:rPr>
          <w:rFonts w:eastAsia="Arial Unicode MS"/>
        </w:rPr>
        <w:t xml:space="preserve">, </w:t>
      </w:r>
      <w:r w:rsidR="00EF6AC1">
        <w:rPr>
          <w:rFonts w:eastAsia="Arial Unicode MS"/>
        </w:rPr>
        <w:t>the Respondent</w:t>
      </w:r>
      <w:r w:rsidR="001B0353" w:rsidRPr="003A2754">
        <w:rPr>
          <w:rFonts w:eastAsia="Arial Unicode MS"/>
        </w:rPr>
        <w:t xml:space="preserve"> had no</w:t>
      </w:r>
      <w:r w:rsidRPr="003A2754">
        <w:rPr>
          <w:rFonts w:eastAsia="Arial Unicode MS"/>
        </w:rPr>
        <w:t xml:space="preserve"> cause of a</w:t>
      </w:r>
      <w:r w:rsidR="001B0353" w:rsidRPr="003A2754">
        <w:rPr>
          <w:rFonts w:eastAsia="Arial Unicode MS"/>
        </w:rPr>
        <w:t>ction in its counterclaim.</w:t>
      </w:r>
      <w:r w:rsidRPr="003A2754">
        <w:rPr>
          <w:rFonts w:eastAsia="Arial Unicode MS"/>
        </w:rPr>
        <w:t xml:space="preserve"> </w:t>
      </w:r>
    </w:p>
    <w:p w14:paraId="2BB6EDEE" w14:textId="78C3DFB9" w:rsidR="00944766" w:rsidRPr="003A2754" w:rsidRDefault="001B0353" w:rsidP="006C5820">
      <w:pPr>
        <w:tabs>
          <w:tab w:val="left" w:pos="3000"/>
        </w:tabs>
        <w:spacing w:line="480" w:lineRule="auto"/>
        <w:jc w:val="both"/>
        <w:rPr>
          <w:rFonts w:eastAsia="Arial Unicode MS"/>
        </w:rPr>
      </w:pPr>
      <w:r w:rsidRPr="003A2754">
        <w:rPr>
          <w:rFonts w:eastAsia="Arial Unicode MS"/>
        </w:rPr>
        <w:t xml:space="preserve">The Applicants are </w:t>
      </w:r>
      <w:r w:rsidR="00944766" w:rsidRPr="003A2754">
        <w:rPr>
          <w:rFonts w:eastAsia="Arial Unicode MS"/>
        </w:rPr>
        <w:t xml:space="preserve">unhappy about </w:t>
      </w:r>
      <w:r w:rsidRPr="003A2754">
        <w:rPr>
          <w:rFonts w:eastAsia="Arial Unicode MS"/>
        </w:rPr>
        <w:t xml:space="preserve">the order </w:t>
      </w:r>
      <w:r w:rsidR="00944766" w:rsidRPr="003A2754">
        <w:rPr>
          <w:rFonts w:eastAsia="Arial Unicode MS"/>
        </w:rPr>
        <w:t xml:space="preserve">that this court granted </w:t>
      </w:r>
      <w:r w:rsidRPr="003A2754">
        <w:rPr>
          <w:rFonts w:eastAsia="Arial Unicode MS"/>
        </w:rPr>
        <w:t>in respect</w:t>
      </w:r>
      <w:r w:rsidR="00944766" w:rsidRPr="003A2754">
        <w:rPr>
          <w:rFonts w:eastAsia="Arial Unicode MS"/>
        </w:rPr>
        <w:t xml:space="preserve"> of the </w:t>
      </w:r>
      <w:r w:rsidRPr="003A2754">
        <w:rPr>
          <w:rFonts w:eastAsia="Arial Unicode MS"/>
        </w:rPr>
        <w:t>R</w:t>
      </w:r>
      <w:r w:rsidR="00944766" w:rsidRPr="003A2754">
        <w:rPr>
          <w:rFonts w:eastAsia="Arial Unicode MS"/>
        </w:rPr>
        <w:t>espondent</w:t>
      </w:r>
      <w:r w:rsidRPr="003A2754">
        <w:rPr>
          <w:rFonts w:eastAsia="Arial Unicode MS"/>
        </w:rPr>
        <w:t>’</w:t>
      </w:r>
      <w:r w:rsidR="00944766" w:rsidRPr="003A2754">
        <w:rPr>
          <w:rFonts w:eastAsia="Arial Unicode MS"/>
        </w:rPr>
        <w:t xml:space="preserve">s </w:t>
      </w:r>
      <w:r w:rsidRPr="003A2754">
        <w:rPr>
          <w:rFonts w:eastAsia="Arial Unicode MS"/>
        </w:rPr>
        <w:t>counter</w:t>
      </w:r>
      <w:r w:rsidR="00944766" w:rsidRPr="003A2754">
        <w:rPr>
          <w:rFonts w:eastAsia="Arial Unicode MS"/>
        </w:rPr>
        <w:t xml:space="preserve">claim </w:t>
      </w:r>
      <w:r w:rsidRPr="003A2754">
        <w:rPr>
          <w:rFonts w:eastAsia="Arial Unicode MS"/>
        </w:rPr>
        <w:t>(</w:t>
      </w:r>
      <w:r w:rsidR="00944766" w:rsidRPr="003A2754">
        <w:rPr>
          <w:rFonts w:eastAsia="Arial Unicode MS"/>
        </w:rPr>
        <w:t xml:space="preserve">and not the </w:t>
      </w:r>
      <w:r w:rsidRPr="003A2754">
        <w:rPr>
          <w:rFonts w:eastAsia="Arial Unicode MS"/>
        </w:rPr>
        <w:t>A</w:t>
      </w:r>
      <w:r w:rsidR="00944766" w:rsidRPr="003A2754">
        <w:rPr>
          <w:rFonts w:eastAsia="Arial Unicode MS"/>
        </w:rPr>
        <w:t xml:space="preserve">pplicants </w:t>
      </w:r>
      <w:r w:rsidRPr="003A2754">
        <w:rPr>
          <w:rFonts w:eastAsia="Arial Unicode MS"/>
        </w:rPr>
        <w:t xml:space="preserve">counterclaim as set out in </w:t>
      </w:r>
      <w:r w:rsidR="00944766" w:rsidRPr="003A2754">
        <w:rPr>
          <w:rFonts w:eastAsia="Arial Unicode MS"/>
        </w:rPr>
        <w:t xml:space="preserve">the first paragraph of the </w:t>
      </w:r>
      <w:r w:rsidRPr="003A2754">
        <w:rPr>
          <w:rFonts w:eastAsia="Arial Unicode MS"/>
        </w:rPr>
        <w:t>A</w:t>
      </w:r>
      <w:r w:rsidR="00944766" w:rsidRPr="003A2754">
        <w:rPr>
          <w:rFonts w:eastAsia="Arial Unicode MS"/>
        </w:rPr>
        <w:t>pplicants</w:t>
      </w:r>
      <w:r w:rsidRPr="003A2754">
        <w:rPr>
          <w:rFonts w:eastAsia="Arial Unicode MS"/>
        </w:rPr>
        <w:t>’ counsel</w:t>
      </w:r>
      <w:r w:rsidR="00E4245C">
        <w:rPr>
          <w:rFonts w:eastAsia="Arial Unicode MS"/>
        </w:rPr>
        <w:t xml:space="preserve">’s </w:t>
      </w:r>
      <w:r w:rsidRPr="003A2754">
        <w:rPr>
          <w:rFonts w:eastAsia="Arial Unicode MS"/>
        </w:rPr>
        <w:t xml:space="preserve"> heads of argument). </w:t>
      </w:r>
      <w:r w:rsidR="00944766" w:rsidRPr="003A2754">
        <w:rPr>
          <w:rFonts w:eastAsia="Arial Unicode MS"/>
        </w:rPr>
        <w:t xml:space="preserve"> I accept that it was in error</w:t>
      </w:r>
      <w:r w:rsidRPr="003A2754">
        <w:rPr>
          <w:rFonts w:eastAsia="Arial Unicode MS"/>
        </w:rPr>
        <w:t>.</w:t>
      </w:r>
    </w:p>
    <w:p w14:paraId="114B13F2" w14:textId="77777777" w:rsidR="001B0353" w:rsidRPr="003A2754" w:rsidRDefault="001B0353" w:rsidP="006C5820">
      <w:pPr>
        <w:tabs>
          <w:tab w:val="left" w:pos="3000"/>
        </w:tabs>
        <w:spacing w:line="480" w:lineRule="auto"/>
        <w:jc w:val="both"/>
        <w:rPr>
          <w:rFonts w:eastAsia="Arial Unicode MS"/>
        </w:rPr>
      </w:pPr>
    </w:p>
    <w:p w14:paraId="606B15D8" w14:textId="7B57E968" w:rsidR="00944766" w:rsidRPr="003A2754" w:rsidRDefault="00944766" w:rsidP="006C5820">
      <w:pPr>
        <w:tabs>
          <w:tab w:val="left" w:pos="3000"/>
        </w:tabs>
        <w:spacing w:line="480" w:lineRule="auto"/>
        <w:jc w:val="both"/>
        <w:rPr>
          <w:rFonts w:eastAsia="Arial Unicode MS"/>
        </w:rPr>
      </w:pPr>
      <w:r w:rsidRPr="003A2754">
        <w:rPr>
          <w:rFonts w:eastAsia="Arial Unicode MS"/>
        </w:rPr>
        <w:lastRenderedPageBreak/>
        <w:t xml:space="preserve">[4] </w:t>
      </w:r>
      <w:r w:rsidR="001B0353" w:rsidRPr="003A2754">
        <w:rPr>
          <w:rFonts w:eastAsia="Arial Unicode MS"/>
        </w:rPr>
        <w:t>T</w:t>
      </w:r>
      <w:r w:rsidRPr="003A2754">
        <w:rPr>
          <w:rFonts w:eastAsia="Arial Unicode MS"/>
        </w:rPr>
        <w:t xml:space="preserve">he point of departure was </w:t>
      </w:r>
      <w:r w:rsidR="00EF6AC1">
        <w:rPr>
          <w:rFonts w:eastAsia="Arial Unicode MS"/>
        </w:rPr>
        <w:t xml:space="preserve">the </w:t>
      </w:r>
      <w:r w:rsidRPr="003A2754">
        <w:rPr>
          <w:rFonts w:eastAsia="Arial Unicode MS"/>
        </w:rPr>
        <w:t xml:space="preserve">finding by the </w:t>
      </w:r>
      <w:r w:rsidR="001B0353" w:rsidRPr="003A2754">
        <w:rPr>
          <w:rFonts w:eastAsia="Arial Unicode MS"/>
        </w:rPr>
        <w:t>C</w:t>
      </w:r>
      <w:r w:rsidRPr="003A2754">
        <w:rPr>
          <w:rFonts w:eastAsia="Arial Unicode MS"/>
        </w:rPr>
        <w:t xml:space="preserve">ourt that the shareholder of the </w:t>
      </w:r>
      <w:r w:rsidR="00EF6AC1">
        <w:rPr>
          <w:rFonts w:eastAsia="Arial Unicode MS"/>
        </w:rPr>
        <w:t>R</w:t>
      </w:r>
      <w:r w:rsidRPr="003A2754">
        <w:rPr>
          <w:rFonts w:eastAsia="Arial Unicode MS"/>
        </w:rPr>
        <w:t xml:space="preserve">espondent is the </w:t>
      </w:r>
      <w:r w:rsidR="001B0353" w:rsidRPr="003A2754">
        <w:rPr>
          <w:rFonts w:eastAsia="Arial Unicode MS"/>
        </w:rPr>
        <w:t>M</w:t>
      </w:r>
      <w:r w:rsidRPr="003A2754">
        <w:rPr>
          <w:rFonts w:eastAsia="Arial Unicode MS"/>
        </w:rPr>
        <w:t xml:space="preserve">inister of </w:t>
      </w:r>
      <w:r w:rsidR="001B0353" w:rsidRPr="003A2754">
        <w:rPr>
          <w:rFonts w:eastAsia="Arial Unicode MS"/>
        </w:rPr>
        <w:t>P</w:t>
      </w:r>
      <w:r w:rsidRPr="003A2754">
        <w:rPr>
          <w:rFonts w:eastAsia="Arial Unicode MS"/>
        </w:rPr>
        <w:t xml:space="preserve">ublic </w:t>
      </w:r>
      <w:r w:rsidR="001B0353" w:rsidRPr="003A2754">
        <w:rPr>
          <w:rFonts w:eastAsia="Arial Unicode MS"/>
        </w:rPr>
        <w:t>Enterprises</w:t>
      </w:r>
      <w:r w:rsidRPr="003A2754">
        <w:rPr>
          <w:rFonts w:eastAsia="Arial Unicode MS"/>
        </w:rPr>
        <w:t xml:space="preserve"> and that therefore approval was necessary in terms of </w:t>
      </w:r>
      <w:r w:rsidR="00DC676D" w:rsidRPr="003A2754">
        <w:rPr>
          <w:rFonts w:eastAsia="Arial Unicode MS"/>
        </w:rPr>
        <w:t>the Companies</w:t>
      </w:r>
      <w:r w:rsidR="001B0353" w:rsidRPr="003A2754">
        <w:rPr>
          <w:rFonts w:eastAsia="Arial Unicode MS"/>
        </w:rPr>
        <w:t xml:space="preserve"> Act </w:t>
      </w:r>
      <w:r w:rsidR="00DC676D" w:rsidRPr="003A2754">
        <w:rPr>
          <w:rFonts w:eastAsia="Arial Unicode MS"/>
        </w:rPr>
        <w:t>71 of 2008</w:t>
      </w:r>
      <w:r w:rsidR="001B0353" w:rsidRPr="003A2754">
        <w:rPr>
          <w:rFonts w:eastAsia="Arial Unicode MS"/>
        </w:rPr>
        <w:t xml:space="preserve"> </w:t>
      </w:r>
      <w:r w:rsidR="00193DEE" w:rsidRPr="003A2754">
        <w:rPr>
          <w:rFonts w:eastAsia="Arial Unicode MS"/>
        </w:rPr>
        <w:t>for</w:t>
      </w:r>
      <w:r w:rsidRPr="003A2754">
        <w:rPr>
          <w:rFonts w:eastAsia="Arial Unicode MS"/>
        </w:rPr>
        <w:t xml:space="preserve"> the resolutions</w:t>
      </w:r>
      <w:r w:rsidR="009E6154" w:rsidRPr="003A2754">
        <w:rPr>
          <w:rFonts w:eastAsia="Arial Unicode MS"/>
        </w:rPr>
        <w:t xml:space="preserve"> </w:t>
      </w:r>
      <w:r w:rsidR="00AB0F4D" w:rsidRPr="003A2754">
        <w:rPr>
          <w:rFonts w:eastAsia="Arial Unicode MS"/>
        </w:rPr>
        <w:t xml:space="preserve">in question </w:t>
      </w:r>
      <w:r w:rsidRPr="003A2754">
        <w:rPr>
          <w:rFonts w:eastAsia="Arial Unicode MS"/>
        </w:rPr>
        <w:t xml:space="preserve">to be valid. The </w:t>
      </w:r>
      <w:r w:rsidR="001B0353" w:rsidRPr="003A2754">
        <w:rPr>
          <w:rFonts w:eastAsia="Arial Unicode MS"/>
        </w:rPr>
        <w:t>A</w:t>
      </w:r>
      <w:r w:rsidRPr="003A2754">
        <w:rPr>
          <w:rFonts w:eastAsia="Arial Unicode MS"/>
        </w:rPr>
        <w:t xml:space="preserve">pplicants </w:t>
      </w:r>
      <w:r w:rsidR="001B0353" w:rsidRPr="003A2754">
        <w:rPr>
          <w:rFonts w:eastAsia="Arial Unicode MS"/>
        </w:rPr>
        <w:t>hold</w:t>
      </w:r>
      <w:r w:rsidRPr="003A2754">
        <w:rPr>
          <w:rFonts w:eastAsia="Arial Unicode MS"/>
        </w:rPr>
        <w:t xml:space="preserve"> a different view.</w:t>
      </w:r>
    </w:p>
    <w:p w14:paraId="1E0C2D0D" w14:textId="44C99E8C" w:rsidR="00944766" w:rsidRPr="003A2754" w:rsidRDefault="00944766" w:rsidP="006C5820">
      <w:pPr>
        <w:tabs>
          <w:tab w:val="left" w:pos="3000"/>
        </w:tabs>
        <w:spacing w:line="480" w:lineRule="auto"/>
        <w:jc w:val="both"/>
        <w:rPr>
          <w:rFonts w:eastAsia="Arial Unicode MS"/>
        </w:rPr>
      </w:pPr>
      <w:r w:rsidRPr="003A2754">
        <w:rPr>
          <w:rFonts w:eastAsia="Arial Unicode MS"/>
        </w:rPr>
        <w:t>[5] According to coun</w:t>
      </w:r>
      <w:r w:rsidR="009E6154" w:rsidRPr="003A2754">
        <w:rPr>
          <w:rFonts w:eastAsia="Arial Unicode MS"/>
        </w:rPr>
        <w:t>se</w:t>
      </w:r>
      <w:r w:rsidRPr="003A2754">
        <w:rPr>
          <w:rFonts w:eastAsia="Arial Unicode MS"/>
        </w:rPr>
        <w:t xml:space="preserve">l for the </w:t>
      </w:r>
      <w:r w:rsidR="009E6154" w:rsidRPr="003A2754">
        <w:rPr>
          <w:rFonts w:eastAsia="Arial Unicode MS"/>
        </w:rPr>
        <w:t>A</w:t>
      </w:r>
      <w:r w:rsidRPr="003A2754">
        <w:rPr>
          <w:rFonts w:eastAsia="Arial Unicode MS"/>
        </w:rPr>
        <w:t xml:space="preserve">pplicants, the </w:t>
      </w:r>
      <w:r w:rsidR="009E6154" w:rsidRPr="003A2754">
        <w:rPr>
          <w:rFonts w:eastAsia="Arial Unicode MS"/>
        </w:rPr>
        <w:t>F</w:t>
      </w:r>
      <w:r w:rsidRPr="003A2754">
        <w:rPr>
          <w:rFonts w:eastAsia="Arial Unicode MS"/>
        </w:rPr>
        <w:t xml:space="preserve">irst </w:t>
      </w:r>
      <w:r w:rsidR="009E6154" w:rsidRPr="003A2754">
        <w:rPr>
          <w:rFonts w:eastAsia="Arial Unicode MS"/>
        </w:rPr>
        <w:t>A</w:t>
      </w:r>
      <w:r w:rsidRPr="003A2754">
        <w:rPr>
          <w:rFonts w:eastAsia="Arial Unicode MS"/>
        </w:rPr>
        <w:t xml:space="preserve">pplicant </w:t>
      </w:r>
      <w:r w:rsidR="00FD70F3" w:rsidRPr="003A2754">
        <w:rPr>
          <w:rFonts w:eastAsia="Arial Unicode MS"/>
        </w:rPr>
        <w:t>was not</w:t>
      </w:r>
      <w:r w:rsidR="00193DEE" w:rsidRPr="003A2754">
        <w:rPr>
          <w:rFonts w:eastAsia="Arial Unicode MS"/>
        </w:rPr>
        <w:t xml:space="preserve"> a director of the Respondent,  </w:t>
      </w:r>
      <w:r w:rsidRPr="003A2754">
        <w:rPr>
          <w:rFonts w:eastAsia="Arial Unicode MS"/>
        </w:rPr>
        <w:t>when the re</w:t>
      </w:r>
      <w:r w:rsidR="009E6154" w:rsidRPr="003A2754">
        <w:rPr>
          <w:rFonts w:eastAsia="Arial Unicode MS"/>
        </w:rPr>
        <w:t>s</w:t>
      </w:r>
      <w:r w:rsidRPr="003A2754">
        <w:rPr>
          <w:rFonts w:eastAsia="Arial Unicode MS"/>
        </w:rPr>
        <w:t xml:space="preserve">olution of 7 June 2017 </w:t>
      </w:r>
      <w:r w:rsidR="009E6154" w:rsidRPr="003A2754">
        <w:rPr>
          <w:rFonts w:eastAsia="Arial Unicode MS"/>
        </w:rPr>
        <w:t xml:space="preserve">was </w:t>
      </w:r>
      <w:r w:rsidR="00193DEE" w:rsidRPr="003A2754">
        <w:rPr>
          <w:rFonts w:eastAsia="Arial Unicode MS"/>
        </w:rPr>
        <w:t xml:space="preserve">passed, </w:t>
      </w:r>
      <w:r w:rsidRPr="003A2754">
        <w:rPr>
          <w:rFonts w:eastAsia="Arial Unicode MS"/>
        </w:rPr>
        <w:t xml:space="preserve">but was the divisional CFO, having been employed by </w:t>
      </w:r>
      <w:r w:rsidR="009E6154" w:rsidRPr="003A2754">
        <w:rPr>
          <w:rFonts w:eastAsia="Arial Unicode MS"/>
        </w:rPr>
        <w:t>BAE</w:t>
      </w:r>
      <w:r w:rsidRPr="003A2754">
        <w:rPr>
          <w:rFonts w:eastAsia="Arial Unicode MS"/>
        </w:rPr>
        <w:t xml:space="preserve"> </w:t>
      </w:r>
      <w:r w:rsidR="009E6154" w:rsidRPr="003A2754">
        <w:rPr>
          <w:rFonts w:eastAsia="Arial Unicode MS"/>
        </w:rPr>
        <w:t>Land</w:t>
      </w:r>
      <w:r w:rsidRPr="003A2754">
        <w:rPr>
          <w:rFonts w:eastAsia="Arial Unicode MS"/>
        </w:rPr>
        <w:t xml:space="preserve"> </w:t>
      </w:r>
      <w:r w:rsidR="009E6154" w:rsidRPr="003A2754">
        <w:rPr>
          <w:rFonts w:eastAsia="Arial Unicode MS"/>
        </w:rPr>
        <w:t>S</w:t>
      </w:r>
      <w:r w:rsidRPr="003A2754">
        <w:rPr>
          <w:rFonts w:eastAsia="Arial Unicode MS"/>
        </w:rPr>
        <w:t>ystems</w:t>
      </w:r>
      <w:r w:rsidR="009E6154" w:rsidRPr="003A2754">
        <w:rPr>
          <w:rFonts w:eastAsia="Arial Unicode MS"/>
        </w:rPr>
        <w:t>.</w:t>
      </w:r>
      <w:r w:rsidRPr="003A2754">
        <w:rPr>
          <w:rFonts w:eastAsia="Arial Unicode MS"/>
        </w:rPr>
        <w:t xml:space="preserve"> </w:t>
      </w:r>
      <w:r w:rsidR="009E6154" w:rsidRPr="003A2754">
        <w:rPr>
          <w:rFonts w:eastAsia="Arial Unicode MS"/>
        </w:rPr>
        <w:t>T</w:t>
      </w:r>
      <w:r w:rsidRPr="003A2754">
        <w:rPr>
          <w:rFonts w:eastAsia="Arial Unicode MS"/>
        </w:rPr>
        <w:t>h</w:t>
      </w:r>
      <w:r w:rsidR="009E6154" w:rsidRPr="003A2754">
        <w:rPr>
          <w:rFonts w:eastAsia="Arial Unicode MS"/>
        </w:rPr>
        <w:t>is</w:t>
      </w:r>
      <w:r w:rsidRPr="003A2754">
        <w:rPr>
          <w:rFonts w:eastAsia="Arial Unicode MS"/>
        </w:rPr>
        <w:t xml:space="preserve"> contention by counsel for the </w:t>
      </w:r>
      <w:r w:rsidR="00EE6FA2">
        <w:rPr>
          <w:rFonts w:eastAsia="Arial Unicode MS"/>
        </w:rPr>
        <w:t>A</w:t>
      </w:r>
      <w:r w:rsidRPr="003A2754">
        <w:rPr>
          <w:rFonts w:eastAsia="Arial Unicode MS"/>
        </w:rPr>
        <w:t>pplicant</w:t>
      </w:r>
      <w:r w:rsidR="00EE6FA2">
        <w:rPr>
          <w:rFonts w:eastAsia="Arial Unicode MS"/>
        </w:rPr>
        <w:t>s</w:t>
      </w:r>
      <w:r w:rsidRPr="003A2754">
        <w:rPr>
          <w:rFonts w:eastAsia="Arial Unicode MS"/>
        </w:rPr>
        <w:t xml:space="preserve"> that the </w:t>
      </w:r>
      <w:r w:rsidR="00FD70F3" w:rsidRPr="003A2754">
        <w:rPr>
          <w:rFonts w:eastAsia="Arial Unicode MS"/>
        </w:rPr>
        <w:t>F</w:t>
      </w:r>
      <w:r w:rsidRPr="003A2754">
        <w:rPr>
          <w:rFonts w:eastAsia="Arial Unicode MS"/>
        </w:rPr>
        <w:t xml:space="preserve">irst </w:t>
      </w:r>
      <w:r w:rsidR="00FD70F3" w:rsidRPr="003A2754">
        <w:rPr>
          <w:rFonts w:eastAsia="Arial Unicode MS"/>
        </w:rPr>
        <w:t>A</w:t>
      </w:r>
      <w:r w:rsidRPr="003A2754">
        <w:rPr>
          <w:rFonts w:eastAsia="Arial Unicode MS"/>
        </w:rPr>
        <w:t>pplicant was</w:t>
      </w:r>
      <w:r w:rsidR="009E6154" w:rsidRPr="003A2754">
        <w:rPr>
          <w:rFonts w:eastAsia="Arial Unicode MS"/>
        </w:rPr>
        <w:t xml:space="preserve"> never a </w:t>
      </w:r>
      <w:r w:rsidRPr="003A2754">
        <w:rPr>
          <w:rFonts w:eastAsia="Arial Unicode MS"/>
        </w:rPr>
        <w:t xml:space="preserve">director </w:t>
      </w:r>
      <w:r w:rsidR="009E6154" w:rsidRPr="003A2754">
        <w:rPr>
          <w:rFonts w:eastAsia="Arial Unicode MS"/>
        </w:rPr>
        <w:t>when the</w:t>
      </w:r>
      <w:r w:rsidRPr="003A2754">
        <w:rPr>
          <w:rFonts w:eastAsia="Arial Unicode MS"/>
        </w:rPr>
        <w:t xml:space="preserve"> resolution was passed on 7</w:t>
      </w:r>
      <w:r w:rsidR="009E6154" w:rsidRPr="003A2754">
        <w:rPr>
          <w:rFonts w:eastAsia="Arial Unicode MS"/>
        </w:rPr>
        <w:t xml:space="preserve"> June 2017 lacks merit</w:t>
      </w:r>
      <w:r w:rsidRPr="003A2754">
        <w:rPr>
          <w:rFonts w:eastAsia="Arial Unicode MS"/>
        </w:rPr>
        <w:t xml:space="preserve">. I demonstrated in paragraphs </w:t>
      </w:r>
      <w:r w:rsidR="009E6154" w:rsidRPr="003A2754">
        <w:rPr>
          <w:rFonts w:eastAsia="Arial Unicode MS"/>
        </w:rPr>
        <w:t>[</w:t>
      </w:r>
      <w:r w:rsidRPr="003A2754">
        <w:rPr>
          <w:rFonts w:eastAsia="Arial Unicode MS"/>
        </w:rPr>
        <w:t>39</w:t>
      </w:r>
      <w:r w:rsidR="009E6154" w:rsidRPr="003A2754">
        <w:rPr>
          <w:rFonts w:eastAsia="Arial Unicode MS"/>
        </w:rPr>
        <w:t>]</w:t>
      </w:r>
      <w:r w:rsidRPr="003A2754">
        <w:rPr>
          <w:rFonts w:eastAsia="Arial Unicode MS"/>
        </w:rPr>
        <w:t xml:space="preserve"> to </w:t>
      </w:r>
      <w:r w:rsidR="009E6154" w:rsidRPr="003A2754">
        <w:rPr>
          <w:rFonts w:eastAsia="Arial Unicode MS"/>
        </w:rPr>
        <w:t>[</w:t>
      </w:r>
      <w:r w:rsidRPr="003A2754">
        <w:rPr>
          <w:rFonts w:eastAsia="Arial Unicode MS"/>
        </w:rPr>
        <w:t>43</w:t>
      </w:r>
      <w:r w:rsidR="009E6154" w:rsidRPr="003A2754">
        <w:rPr>
          <w:rFonts w:eastAsia="Arial Unicode MS"/>
        </w:rPr>
        <w:t xml:space="preserve">] </w:t>
      </w:r>
      <w:r w:rsidR="00EE6FA2">
        <w:rPr>
          <w:rFonts w:eastAsia="Arial Unicode MS"/>
        </w:rPr>
        <w:t xml:space="preserve">of the judgment in the main application </w:t>
      </w:r>
      <w:r w:rsidR="009E6154" w:rsidRPr="003A2754">
        <w:rPr>
          <w:rFonts w:eastAsia="Arial Unicode MS"/>
        </w:rPr>
        <w:t>that</w:t>
      </w:r>
      <w:r w:rsidRPr="003A2754">
        <w:rPr>
          <w:rFonts w:eastAsia="Arial Unicode MS"/>
        </w:rPr>
        <w:t xml:space="preserve"> the </w:t>
      </w:r>
      <w:r w:rsidR="009E6154" w:rsidRPr="003A2754">
        <w:rPr>
          <w:rFonts w:eastAsia="Arial Unicode MS"/>
        </w:rPr>
        <w:t>F</w:t>
      </w:r>
      <w:r w:rsidRPr="003A2754">
        <w:rPr>
          <w:rFonts w:eastAsia="Arial Unicode MS"/>
        </w:rPr>
        <w:t xml:space="preserve">irst </w:t>
      </w:r>
      <w:r w:rsidR="009E6154" w:rsidRPr="003A2754">
        <w:rPr>
          <w:rFonts w:eastAsia="Arial Unicode MS"/>
        </w:rPr>
        <w:t>A</w:t>
      </w:r>
      <w:r w:rsidRPr="003A2754">
        <w:rPr>
          <w:rFonts w:eastAsia="Arial Unicode MS"/>
        </w:rPr>
        <w:t>pplicant was indeed a director</w:t>
      </w:r>
      <w:r w:rsidR="009E6154" w:rsidRPr="003A2754">
        <w:rPr>
          <w:rFonts w:eastAsia="Arial Unicode MS"/>
        </w:rPr>
        <w:t xml:space="preserve"> during the period in question</w:t>
      </w:r>
      <w:r w:rsidRPr="003A2754">
        <w:rPr>
          <w:rFonts w:eastAsia="Arial Unicode MS"/>
        </w:rPr>
        <w:t>.</w:t>
      </w:r>
    </w:p>
    <w:p w14:paraId="18D0E224" w14:textId="77777777" w:rsidR="009E6154" w:rsidRPr="003A2754" w:rsidRDefault="009E6154" w:rsidP="006C5820">
      <w:pPr>
        <w:tabs>
          <w:tab w:val="left" w:pos="3000"/>
        </w:tabs>
        <w:spacing w:line="480" w:lineRule="auto"/>
        <w:jc w:val="both"/>
        <w:rPr>
          <w:rFonts w:eastAsia="Arial Unicode MS"/>
        </w:rPr>
      </w:pPr>
    </w:p>
    <w:p w14:paraId="00B0A4A3" w14:textId="7C5063F3" w:rsidR="00944766" w:rsidRPr="003A2754" w:rsidRDefault="00944766" w:rsidP="006C5820">
      <w:pPr>
        <w:tabs>
          <w:tab w:val="left" w:pos="3000"/>
        </w:tabs>
        <w:spacing w:line="480" w:lineRule="auto"/>
        <w:jc w:val="both"/>
        <w:rPr>
          <w:rFonts w:eastAsia="Arial Unicode MS"/>
        </w:rPr>
      </w:pPr>
      <w:r w:rsidRPr="003A2754">
        <w:rPr>
          <w:rFonts w:eastAsia="Arial Unicode MS"/>
        </w:rPr>
        <w:t xml:space="preserve">[6] </w:t>
      </w:r>
      <w:r w:rsidR="00FD70F3" w:rsidRPr="003A2754">
        <w:rPr>
          <w:rFonts w:eastAsia="Arial Unicode MS"/>
        </w:rPr>
        <w:t>A</w:t>
      </w:r>
      <w:r w:rsidRPr="003A2754">
        <w:rPr>
          <w:rFonts w:eastAsia="Arial Unicode MS"/>
        </w:rPr>
        <w:t xml:space="preserve">nother point raised by counsel for the </w:t>
      </w:r>
      <w:r w:rsidR="00FD70F3" w:rsidRPr="003A2754">
        <w:rPr>
          <w:rFonts w:eastAsia="Arial Unicode MS"/>
        </w:rPr>
        <w:t>A</w:t>
      </w:r>
      <w:r w:rsidRPr="003A2754">
        <w:rPr>
          <w:rFonts w:eastAsia="Arial Unicode MS"/>
        </w:rPr>
        <w:t>pplicant</w:t>
      </w:r>
      <w:r w:rsidR="00FD70F3" w:rsidRPr="003A2754">
        <w:rPr>
          <w:rFonts w:eastAsia="Arial Unicode MS"/>
        </w:rPr>
        <w:t>s</w:t>
      </w:r>
      <w:r w:rsidRPr="003A2754">
        <w:rPr>
          <w:rFonts w:eastAsia="Arial Unicode MS"/>
        </w:rPr>
        <w:t xml:space="preserve"> in his heads of a</w:t>
      </w:r>
      <w:r w:rsidR="00FD70F3" w:rsidRPr="003A2754">
        <w:rPr>
          <w:rFonts w:eastAsia="Arial Unicode MS"/>
        </w:rPr>
        <w:t xml:space="preserve">rgument is </w:t>
      </w:r>
      <w:r w:rsidR="005F28F5" w:rsidRPr="003A2754">
        <w:rPr>
          <w:rFonts w:eastAsia="Arial Unicode MS"/>
        </w:rPr>
        <w:t>the</w:t>
      </w:r>
      <w:r w:rsidR="00FD70F3" w:rsidRPr="003A2754">
        <w:rPr>
          <w:rFonts w:eastAsia="Arial Unicode MS"/>
        </w:rPr>
        <w:t xml:space="preserve"> argument t</w:t>
      </w:r>
      <w:r w:rsidRPr="003A2754">
        <w:rPr>
          <w:rFonts w:eastAsia="Arial Unicode MS"/>
        </w:rPr>
        <w:t xml:space="preserve">hat reliance on the </w:t>
      </w:r>
      <w:r w:rsidR="005F28F5" w:rsidRPr="003A2754">
        <w:rPr>
          <w:rFonts w:eastAsia="Arial Unicode MS"/>
        </w:rPr>
        <w:t>M</w:t>
      </w:r>
      <w:r w:rsidR="0005157E" w:rsidRPr="003A2754">
        <w:rPr>
          <w:rFonts w:eastAsia="Arial Unicode MS"/>
        </w:rPr>
        <w:t>inisterial</w:t>
      </w:r>
      <w:r w:rsidRPr="003A2754">
        <w:rPr>
          <w:rFonts w:eastAsia="Arial Unicode MS"/>
        </w:rPr>
        <w:t xml:space="preserve"> </w:t>
      </w:r>
      <w:r w:rsidR="005F28F5" w:rsidRPr="003A2754">
        <w:rPr>
          <w:rFonts w:eastAsia="Arial Unicode MS"/>
        </w:rPr>
        <w:t>G</w:t>
      </w:r>
      <w:r w:rsidRPr="003A2754">
        <w:rPr>
          <w:rFonts w:eastAsia="Arial Unicode MS"/>
        </w:rPr>
        <w:t xml:space="preserve">uidelines by the </w:t>
      </w:r>
      <w:r w:rsidR="005F28F5" w:rsidRPr="003A2754">
        <w:rPr>
          <w:rFonts w:eastAsia="Arial Unicode MS"/>
        </w:rPr>
        <w:t>R</w:t>
      </w:r>
      <w:r w:rsidRPr="003A2754">
        <w:rPr>
          <w:rFonts w:eastAsia="Arial Unicode MS"/>
        </w:rPr>
        <w:t>espondent in support of its counterclaim is misguided</w:t>
      </w:r>
      <w:r w:rsidR="005F28F5" w:rsidRPr="003A2754">
        <w:rPr>
          <w:rFonts w:eastAsia="Arial Unicode MS"/>
        </w:rPr>
        <w:t xml:space="preserve">. </w:t>
      </w:r>
      <w:r w:rsidRPr="003A2754">
        <w:rPr>
          <w:rFonts w:eastAsia="Arial Unicode MS"/>
        </w:rPr>
        <w:t xml:space="preserve"> According to him, the </w:t>
      </w:r>
      <w:r w:rsidR="005F28F5" w:rsidRPr="003A2754">
        <w:rPr>
          <w:rFonts w:eastAsia="Arial Unicode MS"/>
        </w:rPr>
        <w:t>M</w:t>
      </w:r>
      <w:r w:rsidRPr="003A2754">
        <w:rPr>
          <w:rFonts w:eastAsia="Arial Unicode MS"/>
        </w:rPr>
        <w:t xml:space="preserve">inisterial </w:t>
      </w:r>
      <w:r w:rsidR="005F28F5" w:rsidRPr="003A2754">
        <w:rPr>
          <w:rFonts w:eastAsia="Arial Unicode MS"/>
        </w:rPr>
        <w:t>G</w:t>
      </w:r>
      <w:r w:rsidRPr="003A2754">
        <w:rPr>
          <w:rFonts w:eastAsia="Arial Unicode MS"/>
        </w:rPr>
        <w:t>uidelines find no application</w:t>
      </w:r>
      <w:r w:rsidR="005F28F5" w:rsidRPr="003A2754">
        <w:rPr>
          <w:rFonts w:eastAsia="Arial Unicode MS"/>
        </w:rPr>
        <w:t xml:space="preserve"> in</w:t>
      </w:r>
      <w:r w:rsidRPr="003A2754">
        <w:rPr>
          <w:rFonts w:eastAsia="Arial Unicode MS"/>
        </w:rPr>
        <w:t xml:space="preserve"> the </w:t>
      </w:r>
      <w:r w:rsidR="005F28F5" w:rsidRPr="003A2754">
        <w:rPr>
          <w:rFonts w:eastAsia="Arial Unicode MS"/>
        </w:rPr>
        <w:t>B</w:t>
      </w:r>
      <w:r w:rsidRPr="003A2754">
        <w:rPr>
          <w:rFonts w:eastAsia="Arial Unicode MS"/>
        </w:rPr>
        <w:t xml:space="preserve">oard of the </w:t>
      </w:r>
      <w:r w:rsidR="005F28F5" w:rsidRPr="003A2754">
        <w:rPr>
          <w:rFonts w:eastAsia="Arial Unicode MS"/>
        </w:rPr>
        <w:t>R</w:t>
      </w:r>
      <w:r w:rsidRPr="003A2754">
        <w:rPr>
          <w:rFonts w:eastAsia="Arial Unicode MS"/>
        </w:rPr>
        <w:t>espondent approving salaries or separation agreements with employe</w:t>
      </w:r>
      <w:r w:rsidR="005F28F5" w:rsidRPr="003A2754">
        <w:rPr>
          <w:rFonts w:eastAsia="Arial Unicode MS"/>
        </w:rPr>
        <w:t>e</w:t>
      </w:r>
      <w:r w:rsidRPr="003A2754">
        <w:rPr>
          <w:rFonts w:eastAsia="Arial Unicode MS"/>
        </w:rPr>
        <w:t xml:space="preserve">s of its divisions or subsidiaries. His view is that </w:t>
      </w:r>
      <w:r w:rsidR="003B0639">
        <w:rPr>
          <w:rFonts w:eastAsia="Arial Unicode MS"/>
        </w:rPr>
        <w:t>the Respondent</w:t>
      </w:r>
      <w:r w:rsidRPr="003A2754">
        <w:rPr>
          <w:rFonts w:eastAsia="Arial Unicode MS"/>
        </w:rPr>
        <w:t xml:space="preserve"> has painted all its subsidiaries with the </w:t>
      </w:r>
      <w:r w:rsidR="005F28F5" w:rsidRPr="003A2754">
        <w:rPr>
          <w:rFonts w:eastAsia="Arial Unicode MS"/>
        </w:rPr>
        <w:t>M</w:t>
      </w:r>
      <w:r w:rsidRPr="003A2754">
        <w:rPr>
          <w:rFonts w:eastAsia="Arial Unicode MS"/>
        </w:rPr>
        <w:t>inisterial p</w:t>
      </w:r>
      <w:r w:rsidR="005F28F5" w:rsidRPr="003A2754">
        <w:rPr>
          <w:rFonts w:eastAsia="Arial Unicode MS"/>
        </w:rPr>
        <w:t>a</w:t>
      </w:r>
      <w:r w:rsidRPr="003A2754">
        <w:rPr>
          <w:rFonts w:eastAsia="Arial Unicode MS"/>
        </w:rPr>
        <w:t xml:space="preserve">int brush despite </w:t>
      </w:r>
      <w:r w:rsidR="003B0639">
        <w:rPr>
          <w:rFonts w:eastAsia="Arial Unicode MS"/>
        </w:rPr>
        <w:t xml:space="preserve">the </w:t>
      </w:r>
      <w:r w:rsidR="005F28F5" w:rsidRPr="003A2754">
        <w:rPr>
          <w:rFonts w:eastAsia="Arial Unicode MS"/>
        </w:rPr>
        <w:t>B</w:t>
      </w:r>
      <w:r w:rsidRPr="003A2754">
        <w:rPr>
          <w:rFonts w:eastAsia="Arial Unicode MS"/>
        </w:rPr>
        <w:t xml:space="preserve">oard </w:t>
      </w:r>
      <w:r w:rsidR="005F28F5" w:rsidRPr="003A2754">
        <w:rPr>
          <w:rFonts w:eastAsia="Arial Unicode MS"/>
        </w:rPr>
        <w:t xml:space="preserve">of </w:t>
      </w:r>
      <w:r w:rsidR="003B0639">
        <w:rPr>
          <w:rFonts w:eastAsia="Arial Unicode MS"/>
        </w:rPr>
        <w:t xml:space="preserve">the Respondent </w:t>
      </w:r>
      <w:r w:rsidRPr="003A2754">
        <w:rPr>
          <w:rFonts w:eastAsia="Arial Unicode MS"/>
        </w:rPr>
        <w:t>having been authorised to pass resolutions regulating its wholly owned subsidiaries</w:t>
      </w:r>
      <w:r w:rsidR="005F28F5" w:rsidRPr="003A2754">
        <w:rPr>
          <w:rFonts w:eastAsia="Arial Unicode MS"/>
        </w:rPr>
        <w:t>.</w:t>
      </w:r>
      <w:r w:rsidRPr="003A2754">
        <w:rPr>
          <w:rFonts w:eastAsia="Arial Unicode MS"/>
        </w:rPr>
        <w:t xml:space="preserve"> </w:t>
      </w:r>
      <w:r w:rsidR="005F28F5" w:rsidRPr="003A2754">
        <w:rPr>
          <w:rFonts w:eastAsia="Arial Unicode MS"/>
        </w:rPr>
        <w:t>T</w:t>
      </w:r>
      <w:r w:rsidRPr="003A2754">
        <w:rPr>
          <w:rFonts w:eastAsia="Arial Unicode MS"/>
        </w:rPr>
        <w:t xml:space="preserve">here is no merit in this </w:t>
      </w:r>
      <w:r w:rsidR="005F28F5" w:rsidRPr="003A2754">
        <w:rPr>
          <w:rFonts w:eastAsia="Arial Unicode MS"/>
        </w:rPr>
        <w:t>argument</w:t>
      </w:r>
      <w:r w:rsidRPr="003A2754">
        <w:rPr>
          <w:rFonts w:eastAsia="Arial Unicode MS"/>
        </w:rPr>
        <w:t>. Mr Daniel d</w:t>
      </w:r>
      <w:r w:rsidR="005F28F5" w:rsidRPr="003A2754">
        <w:rPr>
          <w:rFonts w:eastAsia="Arial Unicode MS"/>
        </w:rPr>
        <w:t xml:space="preserve">u </w:t>
      </w:r>
      <w:proofErr w:type="spellStart"/>
      <w:r w:rsidR="005F28F5" w:rsidRPr="003A2754">
        <w:rPr>
          <w:rFonts w:eastAsia="Arial Unicode MS"/>
        </w:rPr>
        <w:t>Toit</w:t>
      </w:r>
      <w:proofErr w:type="spellEnd"/>
      <w:r w:rsidR="003B0639">
        <w:rPr>
          <w:rFonts w:eastAsia="Arial Unicode MS"/>
        </w:rPr>
        <w:t>,</w:t>
      </w:r>
      <w:r w:rsidR="005F28F5" w:rsidRPr="003A2754">
        <w:rPr>
          <w:rFonts w:eastAsia="Arial Unicode MS"/>
        </w:rPr>
        <w:t xml:space="preserve"> </w:t>
      </w:r>
      <w:r w:rsidRPr="003A2754">
        <w:rPr>
          <w:rFonts w:eastAsia="Arial Unicode MS"/>
        </w:rPr>
        <w:t xml:space="preserve">who deposed to </w:t>
      </w:r>
      <w:r w:rsidR="003B0639">
        <w:rPr>
          <w:rFonts w:eastAsia="Arial Unicode MS"/>
        </w:rPr>
        <w:t>the Respondent</w:t>
      </w:r>
      <w:r w:rsidR="00580708" w:rsidRPr="003A2754">
        <w:rPr>
          <w:rFonts w:eastAsia="Arial Unicode MS"/>
        </w:rPr>
        <w:t>’s answering</w:t>
      </w:r>
      <w:r w:rsidRPr="003A2754">
        <w:rPr>
          <w:rFonts w:eastAsia="Arial Unicode MS"/>
        </w:rPr>
        <w:t xml:space="preserve"> </w:t>
      </w:r>
      <w:r w:rsidR="003B0639" w:rsidRPr="003A2754">
        <w:rPr>
          <w:rFonts w:eastAsia="Arial Unicode MS"/>
        </w:rPr>
        <w:t>affidavit</w:t>
      </w:r>
      <w:r w:rsidR="004A02D5">
        <w:rPr>
          <w:rFonts w:eastAsia="Arial Unicode MS"/>
        </w:rPr>
        <w:t xml:space="preserve"> of the main application</w:t>
      </w:r>
      <w:r w:rsidR="003B0639" w:rsidRPr="003A2754">
        <w:rPr>
          <w:rFonts w:eastAsia="Arial Unicode MS"/>
        </w:rPr>
        <w:t>, referred</w:t>
      </w:r>
      <w:r w:rsidRPr="003A2754">
        <w:rPr>
          <w:rFonts w:eastAsia="Arial Unicode MS"/>
        </w:rPr>
        <w:t xml:space="preserve"> to </w:t>
      </w:r>
      <w:r w:rsidR="005F28F5" w:rsidRPr="003A2754">
        <w:rPr>
          <w:rFonts w:eastAsia="Arial Unicode MS"/>
        </w:rPr>
        <w:t xml:space="preserve">Annexure “AA1”, </w:t>
      </w:r>
      <w:r w:rsidRPr="003A2754">
        <w:rPr>
          <w:rFonts w:eastAsia="Arial Unicode MS"/>
        </w:rPr>
        <w:t xml:space="preserve">the </w:t>
      </w:r>
      <w:r w:rsidR="005F28F5" w:rsidRPr="003A2754">
        <w:rPr>
          <w:rFonts w:eastAsia="Arial Unicode MS"/>
        </w:rPr>
        <w:t>R</w:t>
      </w:r>
      <w:r w:rsidRPr="003A2754">
        <w:rPr>
          <w:rFonts w:eastAsia="Arial Unicode MS"/>
        </w:rPr>
        <w:t xml:space="preserve">emuneration </w:t>
      </w:r>
      <w:r w:rsidR="005F28F5" w:rsidRPr="003A2754">
        <w:rPr>
          <w:rFonts w:eastAsia="Arial Unicode MS"/>
        </w:rPr>
        <w:t>G</w:t>
      </w:r>
      <w:r w:rsidRPr="003A2754">
        <w:rPr>
          <w:rFonts w:eastAsia="Arial Unicode MS"/>
        </w:rPr>
        <w:t>uidelines</w:t>
      </w:r>
      <w:r w:rsidR="003B0639">
        <w:rPr>
          <w:rFonts w:eastAsia="Arial Unicode MS"/>
        </w:rPr>
        <w:t>,</w:t>
      </w:r>
      <w:r w:rsidR="00BF017A" w:rsidRPr="003A2754">
        <w:rPr>
          <w:rFonts w:eastAsia="Arial Unicode MS"/>
        </w:rPr>
        <w:t xml:space="preserve"> </w:t>
      </w:r>
      <w:r w:rsidR="003B0639">
        <w:rPr>
          <w:rFonts w:eastAsia="Arial Unicode MS"/>
        </w:rPr>
        <w:t>and</w:t>
      </w:r>
      <w:r w:rsidRPr="003A2754">
        <w:rPr>
          <w:rFonts w:eastAsia="Arial Unicode MS"/>
        </w:rPr>
        <w:t xml:space="preserve"> explained </w:t>
      </w:r>
      <w:r w:rsidR="003B0639">
        <w:rPr>
          <w:rFonts w:eastAsia="Arial Unicode MS"/>
        </w:rPr>
        <w:t xml:space="preserve">fully </w:t>
      </w:r>
      <w:r w:rsidR="00BF017A" w:rsidRPr="003A2754">
        <w:rPr>
          <w:rFonts w:eastAsia="Arial Unicode MS"/>
        </w:rPr>
        <w:t>the</w:t>
      </w:r>
      <w:r w:rsidR="004A02D5">
        <w:rPr>
          <w:rFonts w:eastAsia="Arial Unicode MS"/>
        </w:rPr>
        <w:t>ir</w:t>
      </w:r>
      <w:r w:rsidR="00BF017A" w:rsidRPr="003A2754">
        <w:rPr>
          <w:rFonts w:eastAsia="Arial Unicode MS"/>
        </w:rPr>
        <w:t xml:space="preserve"> </w:t>
      </w:r>
      <w:r w:rsidRPr="003A2754">
        <w:rPr>
          <w:rFonts w:eastAsia="Arial Unicode MS"/>
        </w:rPr>
        <w:t xml:space="preserve">extent and how </w:t>
      </w:r>
      <w:r w:rsidR="00BF017A" w:rsidRPr="003A2754">
        <w:rPr>
          <w:rFonts w:eastAsia="Arial Unicode MS"/>
        </w:rPr>
        <w:t xml:space="preserve">they </w:t>
      </w:r>
      <w:r w:rsidRPr="003A2754">
        <w:rPr>
          <w:rFonts w:eastAsia="Arial Unicode MS"/>
        </w:rPr>
        <w:t>operate</w:t>
      </w:r>
      <w:r w:rsidR="00BF017A" w:rsidRPr="003A2754">
        <w:rPr>
          <w:rFonts w:eastAsia="Arial Unicode MS"/>
        </w:rPr>
        <w:t xml:space="preserve">. </w:t>
      </w:r>
      <w:r w:rsidR="00580708" w:rsidRPr="003A2754">
        <w:rPr>
          <w:rFonts w:eastAsia="Arial Unicode MS"/>
        </w:rPr>
        <w:t>The</w:t>
      </w:r>
      <w:r w:rsidRPr="003A2754">
        <w:rPr>
          <w:rFonts w:eastAsia="Arial Unicode MS"/>
        </w:rPr>
        <w:t xml:space="preserve"> </w:t>
      </w:r>
      <w:r w:rsidR="00BF017A" w:rsidRPr="003A2754">
        <w:rPr>
          <w:rFonts w:eastAsia="Arial Unicode MS"/>
        </w:rPr>
        <w:t>A</w:t>
      </w:r>
      <w:r w:rsidRPr="003A2754">
        <w:rPr>
          <w:rFonts w:eastAsia="Arial Unicode MS"/>
        </w:rPr>
        <w:t xml:space="preserve">pplicants </w:t>
      </w:r>
      <w:r w:rsidR="00BF017A" w:rsidRPr="003A2754">
        <w:rPr>
          <w:rFonts w:eastAsia="Arial Unicode MS"/>
        </w:rPr>
        <w:t xml:space="preserve">have not </w:t>
      </w:r>
      <w:r w:rsidR="003B0639">
        <w:rPr>
          <w:rFonts w:eastAsia="Arial Unicode MS"/>
        </w:rPr>
        <w:t xml:space="preserve">disputed how </w:t>
      </w:r>
      <w:r w:rsidRPr="003A2754">
        <w:rPr>
          <w:rFonts w:eastAsia="Arial Unicode MS"/>
        </w:rPr>
        <w:t>these guidelines</w:t>
      </w:r>
      <w:r w:rsidR="00BF017A" w:rsidRPr="003A2754">
        <w:rPr>
          <w:rFonts w:eastAsia="Arial Unicode MS"/>
        </w:rPr>
        <w:t xml:space="preserve"> operate</w:t>
      </w:r>
      <w:r w:rsidRPr="003A2754">
        <w:rPr>
          <w:rFonts w:eastAsia="Arial Unicode MS"/>
        </w:rPr>
        <w:t xml:space="preserve">. No other court seized with this aspect will decide </w:t>
      </w:r>
      <w:r w:rsidR="00BF017A" w:rsidRPr="003A2754">
        <w:rPr>
          <w:rFonts w:eastAsia="Arial Unicode MS"/>
        </w:rPr>
        <w:t xml:space="preserve">it any </w:t>
      </w:r>
      <w:r w:rsidRPr="003A2754">
        <w:rPr>
          <w:rFonts w:eastAsia="Arial Unicode MS"/>
        </w:rPr>
        <w:t>differently.</w:t>
      </w:r>
    </w:p>
    <w:p w14:paraId="2AAC09B4" w14:textId="77777777" w:rsidR="00676D66" w:rsidRDefault="00676D66" w:rsidP="006C5820">
      <w:pPr>
        <w:tabs>
          <w:tab w:val="left" w:pos="3000"/>
        </w:tabs>
        <w:spacing w:line="480" w:lineRule="auto"/>
        <w:jc w:val="both"/>
        <w:rPr>
          <w:rFonts w:eastAsia="Arial Unicode MS"/>
        </w:rPr>
      </w:pPr>
    </w:p>
    <w:p w14:paraId="0FC5C3C2" w14:textId="0B6E65C9" w:rsidR="00944766" w:rsidRPr="003A2754" w:rsidRDefault="00944766" w:rsidP="006C5820">
      <w:pPr>
        <w:tabs>
          <w:tab w:val="left" w:pos="3000"/>
        </w:tabs>
        <w:spacing w:line="480" w:lineRule="auto"/>
        <w:jc w:val="both"/>
        <w:rPr>
          <w:rFonts w:eastAsia="Arial Unicode MS"/>
        </w:rPr>
      </w:pPr>
      <w:r w:rsidRPr="003A2754">
        <w:rPr>
          <w:rFonts w:eastAsia="Arial Unicode MS"/>
        </w:rPr>
        <w:t xml:space="preserve">[7] </w:t>
      </w:r>
      <w:r w:rsidR="003710DD" w:rsidRPr="003A2754">
        <w:rPr>
          <w:rFonts w:eastAsia="Arial Unicode MS"/>
        </w:rPr>
        <w:t xml:space="preserve">Advocate </w:t>
      </w:r>
      <w:proofErr w:type="spellStart"/>
      <w:r w:rsidR="003710DD" w:rsidRPr="003A2754">
        <w:rPr>
          <w:rFonts w:eastAsia="Arial Unicode MS"/>
        </w:rPr>
        <w:t>Tshidiso</w:t>
      </w:r>
      <w:proofErr w:type="spellEnd"/>
      <w:r w:rsidR="003710DD" w:rsidRPr="003A2754">
        <w:rPr>
          <w:rFonts w:eastAsia="Arial Unicode MS"/>
        </w:rPr>
        <w:t xml:space="preserve"> </w:t>
      </w:r>
      <w:proofErr w:type="spellStart"/>
      <w:r w:rsidR="003710DD" w:rsidRPr="003A2754">
        <w:rPr>
          <w:rFonts w:eastAsia="Arial Unicode MS"/>
        </w:rPr>
        <w:t>Ramogale</w:t>
      </w:r>
      <w:proofErr w:type="spellEnd"/>
      <w:r w:rsidR="003710DD" w:rsidRPr="003A2754">
        <w:rPr>
          <w:rFonts w:eastAsia="Arial Unicode MS"/>
        </w:rPr>
        <w:t>, c</w:t>
      </w:r>
      <w:r w:rsidR="000876ED" w:rsidRPr="003A2754">
        <w:rPr>
          <w:rFonts w:eastAsia="Arial Unicode MS"/>
        </w:rPr>
        <w:t>ou</w:t>
      </w:r>
      <w:r w:rsidR="003710DD" w:rsidRPr="003A2754">
        <w:rPr>
          <w:rFonts w:eastAsia="Arial Unicode MS"/>
        </w:rPr>
        <w:t>nsel for the Respondent</w:t>
      </w:r>
      <w:r w:rsidR="000876ED" w:rsidRPr="003A2754">
        <w:rPr>
          <w:rFonts w:eastAsia="Arial Unicode MS"/>
        </w:rPr>
        <w:t>, argued that</w:t>
      </w:r>
      <w:r w:rsidR="003710DD" w:rsidRPr="003A2754">
        <w:rPr>
          <w:rFonts w:eastAsia="Arial Unicode MS"/>
        </w:rPr>
        <w:t xml:space="preserve"> counsel for the Applicants has put forward a completely new case. He pointed out that no reference </w:t>
      </w:r>
      <w:r w:rsidR="003B0639">
        <w:rPr>
          <w:rFonts w:eastAsia="Arial Unicode MS"/>
        </w:rPr>
        <w:t>to</w:t>
      </w:r>
      <w:r w:rsidR="003710DD" w:rsidRPr="003A2754">
        <w:rPr>
          <w:rFonts w:eastAsia="Arial Unicode MS"/>
        </w:rPr>
        <w:t xml:space="preserve"> such a </w:t>
      </w:r>
      <w:r w:rsidR="003710DD" w:rsidRPr="003A2754">
        <w:rPr>
          <w:rFonts w:eastAsia="Arial Unicode MS"/>
        </w:rPr>
        <w:lastRenderedPageBreak/>
        <w:t>case was made out in the head</w:t>
      </w:r>
      <w:r w:rsidR="002D4457">
        <w:rPr>
          <w:rFonts w:eastAsia="Arial Unicode MS"/>
        </w:rPr>
        <w:t>s</w:t>
      </w:r>
      <w:r w:rsidR="003710DD" w:rsidRPr="003A2754">
        <w:rPr>
          <w:rFonts w:eastAsia="Arial Unicode MS"/>
        </w:rPr>
        <w:t xml:space="preserve"> of argument presented on behalf of the Applicants nor in the papers before the court.</w:t>
      </w:r>
    </w:p>
    <w:p w14:paraId="0D3E9AE7" w14:textId="77777777" w:rsidR="003710DD" w:rsidRPr="003A2754" w:rsidRDefault="003710DD" w:rsidP="006C5820">
      <w:pPr>
        <w:tabs>
          <w:tab w:val="left" w:pos="3000"/>
        </w:tabs>
        <w:spacing w:line="480" w:lineRule="auto"/>
        <w:jc w:val="both"/>
        <w:rPr>
          <w:rFonts w:eastAsia="Arial Unicode MS"/>
        </w:rPr>
      </w:pPr>
    </w:p>
    <w:p w14:paraId="65BD1037" w14:textId="04B4E3D2" w:rsidR="00944766" w:rsidRPr="003A2754" w:rsidRDefault="00944766" w:rsidP="006C5820">
      <w:pPr>
        <w:tabs>
          <w:tab w:val="left" w:pos="3000"/>
        </w:tabs>
        <w:spacing w:line="480" w:lineRule="auto"/>
        <w:jc w:val="both"/>
        <w:rPr>
          <w:rFonts w:eastAsia="Arial Unicode MS"/>
        </w:rPr>
      </w:pPr>
      <w:r w:rsidRPr="003A2754">
        <w:rPr>
          <w:rFonts w:eastAsia="Arial Unicode MS"/>
        </w:rPr>
        <w:t xml:space="preserve">[8] In the above regard I agree with </w:t>
      </w:r>
      <w:r w:rsidR="003710DD" w:rsidRPr="003A2754">
        <w:rPr>
          <w:rFonts w:eastAsia="Arial Unicode MS"/>
        </w:rPr>
        <w:t>counsel for the Respondent. N</w:t>
      </w:r>
      <w:r w:rsidR="00FE12E0" w:rsidRPr="003A2754">
        <w:rPr>
          <w:rFonts w:eastAsia="Arial Unicode MS"/>
        </w:rPr>
        <w:t>owhere</w:t>
      </w:r>
      <w:r w:rsidRPr="003A2754">
        <w:rPr>
          <w:rFonts w:eastAsia="Arial Unicode MS"/>
        </w:rPr>
        <w:t xml:space="preserve"> in their </w:t>
      </w:r>
      <w:r w:rsidR="003710DD" w:rsidRPr="003A2754">
        <w:rPr>
          <w:rFonts w:eastAsia="Arial Unicode MS"/>
        </w:rPr>
        <w:t>replying affidavit did the A</w:t>
      </w:r>
      <w:r w:rsidRPr="003A2754">
        <w:rPr>
          <w:rFonts w:eastAsia="Arial Unicode MS"/>
        </w:rPr>
        <w:t>pplicant</w:t>
      </w:r>
      <w:r w:rsidR="003710DD" w:rsidRPr="003A2754">
        <w:rPr>
          <w:rFonts w:eastAsia="Arial Unicode MS"/>
        </w:rPr>
        <w:t>s</w:t>
      </w:r>
      <w:r w:rsidRPr="003A2754">
        <w:rPr>
          <w:rFonts w:eastAsia="Arial Unicode MS"/>
        </w:rPr>
        <w:t xml:space="preserve"> </w:t>
      </w:r>
      <w:r w:rsidR="003710DD" w:rsidRPr="003A2754">
        <w:rPr>
          <w:rFonts w:eastAsia="Arial Unicode MS"/>
        </w:rPr>
        <w:t>plea</w:t>
      </w:r>
      <w:r w:rsidRPr="003A2754">
        <w:rPr>
          <w:rFonts w:eastAsia="Arial Unicode MS"/>
        </w:rPr>
        <w:t xml:space="preserve">d that </w:t>
      </w:r>
      <w:r w:rsidR="003710DD" w:rsidRPr="003A2754">
        <w:rPr>
          <w:rFonts w:eastAsia="Arial Unicode MS"/>
        </w:rPr>
        <w:t xml:space="preserve">the counterclaim </w:t>
      </w:r>
      <w:r w:rsidRPr="003A2754">
        <w:rPr>
          <w:rFonts w:eastAsia="Arial Unicode MS"/>
        </w:rPr>
        <w:t>d</w:t>
      </w:r>
      <w:r w:rsidR="003710DD" w:rsidRPr="003A2754">
        <w:rPr>
          <w:rFonts w:eastAsia="Arial Unicode MS"/>
        </w:rPr>
        <w:t>id</w:t>
      </w:r>
      <w:r w:rsidRPr="003A2754">
        <w:rPr>
          <w:rFonts w:eastAsia="Arial Unicode MS"/>
        </w:rPr>
        <w:t xml:space="preserve"> not reflect any cause of action. All that the</w:t>
      </w:r>
      <w:r w:rsidR="000876ED" w:rsidRPr="003A2754">
        <w:rPr>
          <w:rFonts w:eastAsia="Arial Unicode MS"/>
        </w:rPr>
        <w:t xml:space="preserve"> Applicants did in the</w:t>
      </w:r>
      <w:r w:rsidRPr="003A2754">
        <w:rPr>
          <w:rFonts w:eastAsia="Arial Unicode MS"/>
        </w:rPr>
        <w:t xml:space="preserve"> </w:t>
      </w:r>
      <w:r w:rsidR="0026052D" w:rsidRPr="003A2754">
        <w:rPr>
          <w:rFonts w:eastAsia="Arial Unicode MS"/>
        </w:rPr>
        <w:t xml:space="preserve">replying </w:t>
      </w:r>
      <w:r w:rsidR="003710DD" w:rsidRPr="003A2754">
        <w:rPr>
          <w:rFonts w:eastAsia="Arial Unicode MS"/>
        </w:rPr>
        <w:t xml:space="preserve">affidavit was </w:t>
      </w:r>
      <w:r w:rsidR="0026052D" w:rsidRPr="003A2754">
        <w:rPr>
          <w:rFonts w:eastAsia="Arial Unicode MS"/>
        </w:rPr>
        <w:t>to deny</w:t>
      </w:r>
      <w:r w:rsidRPr="003A2754">
        <w:rPr>
          <w:rFonts w:eastAsia="Arial Unicode MS"/>
        </w:rPr>
        <w:t xml:space="preserve"> </w:t>
      </w:r>
      <w:r w:rsidR="003710DD" w:rsidRPr="003A2754">
        <w:rPr>
          <w:rFonts w:eastAsia="Arial Unicode MS"/>
        </w:rPr>
        <w:t xml:space="preserve">the </w:t>
      </w:r>
      <w:r w:rsidRPr="003A2754">
        <w:rPr>
          <w:rFonts w:eastAsia="Arial Unicode MS"/>
        </w:rPr>
        <w:t xml:space="preserve">allegations set out in </w:t>
      </w:r>
      <w:r w:rsidR="003710DD" w:rsidRPr="003A2754">
        <w:rPr>
          <w:rFonts w:eastAsia="Arial Unicode MS"/>
        </w:rPr>
        <w:t>answering affidavit</w:t>
      </w:r>
      <w:r w:rsidRPr="003A2754">
        <w:rPr>
          <w:rFonts w:eastAsia="Arial Unicode MS"/>
        </w:rPr>
        <w:t xml:space="preserve"> without pleading </w:t>
      </w:r>
      <w:r w:rsidR="003710DD" w:rsidRPr="003A2754">
        <w:rPr>
          <w:rFonts w:eastAsia="Arial Unicode MS"/>
        </w:rPr>
        <w:t>specif</w:t>
      </w:r>
      <w:r w:rsidRPr="003A2754">
        <w:rPr>
          <w:rFonts w:eastAsia="Arial Unicode MS"/>
        </w:rPr>
        <w:t>ically that the counterclaim disclose</w:t>
      </w:r>
      <w:r w:rsidR="00CB1B7F">
        <w:rPr>
          <w:rFonts w:eastAsia="Arial Unicode MS"/>
        </w:rPr>
        <w:t>d</w:t>
      </w:r>
      <w:r w:rsidRPr="003A2754">
        <w:rPr>
          <w:rFonts w:eastAsia="Arial Unicode MS"/>
        </w:rPr>
        <w:t xml:space="preserve"> no cause of action</w:t>
      </w:r>
      <w:r w:rsidR="0026052D" w:rsidRPr="003A2754">
        <w:rPr>
          <w:rFonts w:eastAsia="Arial Unicode MS"/>
        </w:rPr>
        <w:t>.  I</w:t>
      </w:r>
      <w:r w:rsidRPr="003A2754">
        <w:rPr>
          <w:rFonts w:eastAsia="Arial Unicode MS"/>
        </w:rPr>
        <w:t>n my opinion</w:t>
      </w:r>
      <w:r w:rsidR="003B0639">
        <w:rPr>
          <w:rFonts w:eastAsia="Arial Unicode MS"/>
        </w:rPr>
        <w:t>,</w:t>
      </w:r>
      <w:r w:rsidRPr="003A2754">
        <w:rPr>
          <w:rFonts w:eastAsia="Arial Unicode MS"/>
        </w:rPr>
        <w:t xml:space="preserve"> </w:t>
      </w:r>
      <w:r w:rsidR="0026052D" w:rsidRPr="003A2754">
        <w:rPr>
          <w:rFonts w:eastAsia="Arial Unicode MS"/>
        </w:rPr>
        <w:t>the counterclaim disclose</w:t>
      </w:r>
      <w:r w:rsidR="003B0639">
        <w:rPr>
          <w:rFonts w:eastAsia="Arial Unicode MS"/>
        </w:rPr>
        <w:t>d</w:t>
      </w:r>
      <w:r w:rsidR="0026052D" w:rsidRPr="003A2754">
        <w:rPr>
          <w:rFonts w:eastAsia="Arial Unicode MS"/>
        </w:rPr>
        <w:t xml:space="preserve"> </w:t>
      </w:r>
      <w:r w:rsidRPr="003A2754">
        <w:rPr>
          <w:rFonts w:eastAsia="Arial Unicode MS"/>
        </w:rPr>
        <w:t>a c</w:t>
      </w:r>
      <w:r w:rsidR="0026052D" w:rsidRPr="003A2754">
        <w:rPr>
          <w:rFonts w:eastAsia="Arial Unicode MS"/>
        </w:rPr>
        <w:t>a</w:t>
      </w:r>
      <w:r w:rsidRPr="003A2754">
        <w:rPr>
          <w:rFonts w:eastAsia="Arial Unicode MS"/>
        </w:rPr>
        <w:t xml:space="preserve">use of action. No </w:t>
      </w:r>
      <w:r w:rsidR="0026052D" w:rsidRPr="003A2754">
        <w:rPr>
          <w:rFonts w:eastAsia="Arial Unicode MS"/>
        </w:rPr>
        <w:t>other Court seized</w:t>
      </w:r>
      <w:r w:rsidRPr="003A2754">
        <w:rPr>
          <w:rFonts w:eastAsia="Arial Unicode MS"/>
        </w:rPr>
        <w:t xml:space="preserve"> </w:t>
      </w:r>
      <w:r w:rsidR="0026052D" w:rsidRPr="003A2754">
        <w:rPr>
          <w:rFonts w:eastAsia="Arial Unicode MS"/>
        </w:rPr>
        <w:t xml:space="preserve">with </w:t>
      </w:r>
      <w:r w:rsidRPr="003A2754">
        <w:rPr>
          <w:rFonts w:eastAsia="Arial Unicode MS"/>
        </w:rPr>
        <w:t>this aspect will decide it any differently.</w:t>
      </w:r>
      <w:r w:rsidR="008305FF">
        <w:rPr>
          <w:rFonts w:eastAsia="Arial Unicode MS"/>
        </w:rPr>
        <w:t xml:space="preserve"> No other ground of appeal set out in the application for leave to appeal was argued.</w:t>
      </w:r>
    </w:p>
    <w:p w14:paraId="36733D14" w14:textId="77777777" w:rsidR="0026052D" w:rsidRPr="003A2754" w:rsidRDefault="0026052D" w:rsidP="006C5820">
      <w:pPr>
        <w:tabs>
          <w:tab w:val="left" w:pos="3000"/>
        </w:tabs>
        <w:spacing w:line="480" w:lineRule="auto"/>
        <w:jc w:val="both"/>
        <w:rPr>
          <w:rFonts w:eastAsia="Arial Unicode MS"/>
        </w:rPr>
      </w:pPr>
    </w:p>
    <w:p w14:paraId="4D36A6CE" w14:textId="49259925" w:rsidR="00944766" w:rsidRPr="003A2754" w:rsidRDefault="00944766" w:rsidP="006C5820">
      <w:pPr>
        <w:tabs>
          <w:tab w:val="left" w:pos="3000"/>
        </w:tabs>
        <w:spacing w:line="480" w:lineRule="auto"/>
        <w:jc w:val="both"/>
        <w:rPr>
          <w:rFonts w:eastAsia="Arial Unicode MS"/>
        </w:rPr>
      </w:pPr>
      <w:r w:rsidRPr="003A2754">
        <w:rPr>
          <w:rFonts w:eastAsia="Arial Unicode MS"/>
        </w:rPr>
        <w:t xml:space="preserve">[9] </w:t>
      </w:r>
      <w:r w:rsidR="0026052D" w:rsidRPr="003A2754">
        <w:rPr>
          <w:rFonts w:eastAsia="Arial Unicode MS"/>
        </w:rPr>
        <w:t>To</w:t>
      </w:r>
      <w:r w:rsidRPr="003A2754">
        <w:rPr>
          <w:rFonts w:eastAsia="Arial Unicode MS"/>
        </w:rPr>
        <w:t xml:space="preserve"> succeed with the</w:t>
      </w:r>
      <w:r w:rsidR="0026052D" w:rsidRPr="003A2754">
        <w:rPr>
          <w:rFonts w:eastAsia="Arial Unicode MS"/>
        </w:rPr>
        <w:t>ir</w:t>
      </w:r>
      <w:r w:rsidRPr="003A2754">
        <w:rPr>
          <w:rFonts w:eastAsia="Arial Unicode MS"/>
        </w:rPr>
        <w:t xml:space="preserve"> application </w:t>
      </w:r>
      <w:r w:rsidR="0026052D" w:rsidRPr="003A2754">
        <w:rPr>
          <w:rFonts w:eastAsia="Arial Unicode MS"/>
        </w:rPr>
        <w:t>for leave</w:t>
      </w:r>
      <w:r w:rsidRPr="003A2754">
        <w:rPr>
          <w:rFonts w:eastAsia="Arial Unicode MS"/>
        </w:rPr>
        <w:t xml:space="preserve"> </w:t>
      </w:r>
      <w:r w:rsidR="0026052D" w:rsidRPr="003A2754">
        <w:rPr>
          <w:rFonts w:eastAsia="Arial Unicode MS"/>
        </w:rPr>
        <w:t>to</w:t>
      </w:r>
      <w:r w:rsidRPr="003A2754">
        <w:rPr>
          <w:rFonts w:eastAsia="Arial Unicode MS"/>
        </w:rPr>
        <w:t xml:space="preserve"> appeal, </w:t>
      </w:r>
      <w:r w:rsidR="0026052D" w:rsidRPr="003A2754">
        <w:rPr>
          <w:rFonts w:eastAsia="Arial Unicode MS"/>
        </w:rPr>
        <w:t>the A</w:t>
      </w:r>
      <w:r w:rsidRPr="003A2754">
        <w:rPr>
          <w:rFonts w:eastAsia="Arial Unicode MS"/>
        </w:rPr>
        <w:t>pplicant</w:t>
      </w:r>
      <w:r w:rsidR="0026052D" w:rsidRPr="003A2754">
        <w:rPr>
          <w:rFonts w:eastAsia="Arial Unicode MS"/>
        </w:rPr>
        <w:t>s</w:t>
      </w:r>
      <w:r w:rsidRPr="003A2754">
        <w:rPr>
          <w:rFonts w:eastAsia="Arial Unicode MS"/>
        </w:rPr>
        <w:t xml:space="preserve"> must satisfy the test set out in s </w:t>
      </w:r>
      <w:r w:rsidR="0026052D" w:rsidRPr="003A2754">
        <w:rPr>
          <w:rFonts w:eastAsia="Arial Unicode MS"/>
        </w:rPr>
        <w:t>1</w:t>
      </w:r>
      <w:r w:rsidRPr="003A2754">
        <w:rPr>
          <w:rFonts w:eastAsia="Arial Unicode MS"/>
        </w:rPr>
        <w:t>7</w:t>
      </w:r>
      <w:r w:rsidR="0026052D" w:rsidRPr="003A2754">
        <w:rPr>
          <w:rFonts w:eastAsia="Arial Unicode MS"/>
        </w:rPr>
        <w:t>(1)(a)(</w:t>
      </w:r>
      <w:proofErr w:type="spellStart"/>
      <w:r w:rsidR="0026052D" w:rsidRPr="003A2754">
        <w:rPr>
          <w:rFonts w:eastAsia="Arial Unicode MS"/>
        </w:rPr>
        <w:t>i</w:t>
      </w:r>
      <w:proofErr w:type="spellEnd"/>
      <w:r w:rsidR="0026052D" w:rsidRPr="003A2754">
        <w:rPr>
          <w:rFonts w:eastAsia="Arial Unicode MS"/>
        </w:rPr>
        <w:t>)</w:t>
      </w:r>
      <w:r w:rsidRPr="003A2754">
        <w:rPr>
          <w:rFonts w:eastAsia="Arial Unicode MS"/>
        </w:rPr>
        <w:t xml:space="preserve"> of the Superior Court</w:t>
      </w:r>
      <w:r w:rsidR="0026052D" w:rsidRPr="003A2754">
        <w:rPr>
          <w:rFonts w:eastAsia="Arial Unicode MS"/>
        </w:rPr>
        <w:t>s</w:t>
      </w:r>
      <w:r w:rsidRPr="003A2754">
        <w:rPr>
          <w:rFonts w:eastAsia="Arial Unicode MS"/>
        </w:rPr>
        <w:t xml:space="preserve"> </w:t>
      </w:r>
      <w:r w:rsidR="0026052D" w:rsidRPr="003A2754">
        <w:rPr>
          <w:rFonts w:eastAsia="Arial Unicode MS"/>
        </w:rPr>
        <w:t>Act 1</w:t>
      </w:r>
      <w:r w:rsidRPr="003A2754">
        <w:rPr>
          <w:rFonts w:eastAsia="Arial Unicode MS"/>
        </w:rPr>
        <w:t>0 of 201</w:t>
      </w:r>
      <w:r w:rsidR="0026052D" w:rsidRPr="003A2754">
        <w:rPr>
          <w:rFonts w:eastAsia="Arial Unicode MS"/>
        </w:rPr>
        <w:t>3 which</w:t>
      </w:r>
      <w:r w:rsidRPr="003A2754">
        <w:rPr>
          <w:rFonts w:eastAsia="Arial Unicode MS"/>
        </w:rPr>
        <w:t xml:space="preserve"> provides as follows:</w:t>
      </w:r>
    </w:p>
    <w:p w14:paraId="4C70C95C" w14:textId="7554C92E" w:rsidR="00944766" w:rsidRPr="003A2754" w:rsidRDefault="00944766" w:rsidP="006C5820">
      <w:pPr>
        <w:tabs>
          <w:tab w:val="left" w:pos="3000"/>
        </w:tabs>
        <w:spacing w:line="480" w:lineRule="auto"/>
        <w:jc w:val="both"/>
        <w:rPr>
          <w:rFonts w:eastAsia="Arial Unicode MS"/>
        </w:rPr>
      </w:pPr>
      <w:r w:rsidRPr="003A2754">
        <w:rPr>
          <w:rFonts w:eastAsia="Arial Unicode MS"/>
        </w:rPr>
        <w:t xml:space="preserve">“17(1) </w:t>
      </w:r>
      <w:r w:rsidR="00467E5D" w:rsidRPr="003A2754">
        <w:rPr>
          <w:rFonts w:eastAsia="Arial Unicode MS"/>
        </w:rPr>
        <w:t>L</w:t>
      </w:r>
      <w:r w:rsidRPr="003A2754">
        <w:rPr>
          <w:rFonts w:eastAsia="Arial Unicode MS"/>
        </w:rPr>
        <w:t xml:space="preserve">eave to appeal may only be given where the </w:t>
      </w:r>
      <w:r w:rsidR="00467E5D" w:rsidRPr="003A2754">
        <w:rPr>
          <w:rFonts w:eastAsia="Arial Unicode MS"/>
        </w:rPr>
        <w:t>J</w:t>
      </w:r>
      <w:r w:rsidRPr="003A2754">
        <w:rPr>
          <w:rFonts w:eastAsia="Arial Unicode MS"/>
        </w:rPr>
        <w:t xml:space="preserve">udge or </w:t>
      </w:r>
      <w:r w:rsidR="00467E5D" w:rsidRPr="003A2754">
        <w:rPr>
          <w:rFonts w:eastAsia="Arial Unicode MS"/>
        </w:rPr>
        <w:t>J</w:t>
      </w:r>
      <w:r w:rsidRPr="003A2754">
        <w:rPr>
          <w:rFonts w:eastAsia="Arial Unicode MS"/>
        </w:rPr>
        <w:t xml:space="preserve">udges concerned </w:t>
      </w:r>
      <w:r w:rsidR="00467E5D" w:rsidRPr="003A2754">
        <w:rPr>
          <w:rFonts w:eastAsia="Arial Unicode MS"/>
        </w:rPr>
        <w:t>are</w:t>
      </w:r>
      <w:r w:rsidRPr="003A2754">
        <w:rPr>
          <w:rFonts w:eastAsia="Arial Unicode MS"/>
        </w:rPr>
        <w:t xml:space="preserve"> of the opinion that:</w:t>
      </w:r>
    </w:p>
    <w:p w14:paraId="037EAC9F" w14:textId="0EC1424C" w:rsidR="00944766" w:rsidRPr="003A2754" w:rsidRDefault="00682543" w:rsidP="00682543">
      <w:pPr>
        <w:tabs>
          <w:tab w:val="left" w:pos="3000"/>
        </w:tabs>
        <w:spacing w:line="480" w:lineRule="auto"/>
        <w:ind w:left="720" w:hanging="360"/>
        <w:jc w:val="both"/>
      </w:pPr>
      <w:r w:rsidRPr="003A2754">
        <w:rPr>
          <w:rFonts w:ascii="Arial Unicode MS" w:eastAsia="Arial Unicode MS" w:hAnsi="Arial Unicode MS" w:cs="Arial Unicode MS"/>
          <w:sz w:val="22"/>
        </w:rPr>
        <w:t>(a)</w:t>
      </w:r>
      <w:r w:rsidRPr="003A2754">
        <w:rPr>
          <w:rFonts w:ascii="Arial Unicode MS" w:eastAsia="Arial Unicode MS" w:hAnsi="Arial Unicode MS" w:cs="Arial Unicode MS"/>
          <w:sz w:val="22"/>
        </w:rPr>
        <w:tab/>
      </w:r>
      <w:r w:rsidR="00467E5D" w:rsidRPr="003A2754">
        <w:t>(</w:t>
      </w:r>
      <w:proofErr w:type="spellStart"/>
      <w:r w:rsidR="00467E5D" w:rsidRPr="003A2754">
        <w:t>i</w:t>
      </w:r>
      <w:proofErr w:type="spellEnd"/>
      <w:r w:rsidR="00467E5D" w:rsidRPr="003A2754">
        <w:t xml:space="preserve">) </w:t>
      </w:r>
      <w:r w:rsidR="00944766" w:rsidRPr="003A2754">
        <w:t>the appeal would have a reasonable prospect of success: or</w:t>
      </w:r>
    </w:p>
    <w:p w14:paraId="7FBCFFDD" w14:textId="44A99F61" w:rsidR="00944766" w:rsidRPr="003A2754" w:rsidRDefault="00682543" w:rsidP="00682543">
      <w:pPr>
        <w:tabs>
          <w:tab w:val="left" w:pos="3000"/>
        </w:tabs>
        <w:spacing w:line="480" w:lineRule="auto"/>
        <w:ind w:left="1430" w:hanging="720"/>
        <w:jc w:val="both"/>
      </w:pPr>
      <w:r w:rsidRPr="003A2754">
        <w:t>(ii)</w:t>
      </w:r>
      <w:r w:rsidRPr="003A2754">
        <w:tab/>
      </w:r>
      <w:r w:rsidR="00944766" w:rsidRPr="003A2754">
        <w:t>there is some compelling reason why the appeal should be heard</w:t>
      </w:r>
      <w:r w:rsidR="00467E5D" w:rsidRPr="003A2754">
        <w:t>,</w:t>
      </w:r>
      <w:r w:rsidR="00944766" w:rsidRPr="003A2754">
        <w:t xml:space="preserve"> including conflicting judgments on the matter under consideration</w:t>
      </w:r>
      <w:r w:rsidR="00467E5D" w:rsidRPr="003A2754">
        <w:t>.”</w:t>
      </w:r>
    </w:p>
    <w:p w14:paraId="73399D73" w14:textId="3D78E5C3" w:rsidR="00944766" w:rsidRPr="003A2754" w:rsidRDefault="00944766" w:rsidP="00467E5D">
      <w:pPr>
        <w:pStyle w:val="ListParagraph"/>
        <w:tabs>
          <w:tab w:val="left" w:pos="3000"/>
        </w:tabs>
        <w:spacing w:line="480" w:lineRule="auto"/>
        <w:ind w:left="1430"/>
        <w:jc w:val="both"/>
      </w:pPr>
    </w:p>
    <w:p w14:paraId="1731CCD9" w14:textId="180C9AA1" w:rsidR="00944766" w:rsidRPr="003A2754" w:rsidRDefault="00944766" w:rsidP="006C5820">
      <w:pPr>
        <w:tabs>
          <w:tab w:val="left" w:pos="3000"/>
        </w:tabs>
        <w:spacing w:line="480" w:lineRule="auto"/>
        <w:jc w:val="both"/>
      </w:pPr>
      <w:r w:rsidRPr="003A2754">
        <w:t xml:space="preserve">[10] </w:t>
      </w:r>
      <w:r w:rsidR="00467E5D" w:rsidRPr="003A2754">
        <w:t>T</w:t>
      </w:r>
      <w:r w:rsidRPr="003A2754">
        <w:t xml:space="preserve">he inquiry as to whether </w:t>
      </w:r>
      <w:r w:rsidR="00045795" w:rsidRPr="003A2754">
        <w:t>leave</w:t>
      </w:r>
      <w:r w:rsidRPr="003A2754">
        <w:t xml:space="preserve"> should be granted is twofold. A </w:t>
      </w:r>
      <w:r w:rsidR="00045795" w:rsidRPr="003A2754">
        <w:t>Court</w:t>
      </w:r>
      <w:r w:rsidRPr="003A2754">
        <w:t xml:space="preserve"> that </w:t>
      </w:r>
      <w:r w:rsidR="000876ED" w:rsidRPr="003A2754">
        <w:t>decides</w:t>
      </w:r>
      <w:r w:rsidRPr="003A2754">
        <w:t xml:space="preserve"> an application for </w:t>
      </w:r>
      <w:r w:rsidR="00045795" w:rsidRPr="003A2754">
        <w:t xml:space="preserve">leave to </w:t>
      </w:r>
      <w:r w:rsidRPr="003A2754">
        <w:t>appeal under s</w:t>
      </w:r>
      <w:r w:rsidR="00045795" w:rsidRPr="003A2754">
        <w:t xml:space="preserve"> 17(1)(a)(</w:t>
      </w:r>
      <w:proofErr w:type="spellStart"/>
      <w:r w:rsidR="00045795" w:rsidRPr="003A2754">
        <w:t>i</w:t>
      </w:r>
      <w:proofErr w:type="spellEnd"/>
      <w:r w:rsidR="00045795" w:rsidRPr="003A2754">
        <w:t>) and (ii) will</w:t>
      </w:r>
      <w:r w:rsidRPr="003A2754">
        <w:t xml:space="preserve"> investigate firstly, whether there are any </w:t>
      </w:r>
      <w:r w:rsidR="00045795" w:rsidRPr="003A2754">
        <w:t xml:space="preserve">reasonable </w:t>
      </w:r>
      <w:r w:rsidRPr="003A2754">
        <w:t xml:space="preserve">prospects that another </w:t>
      </w:r>
      <w:r w:rsidR="00CB1B7F">
        <w:t>Court</w:t>
      </w:r>
      <w:r w:rsidRPr="003A2754">
        <w:t xml:space="preserve"> </w:t>
      </w:r>
      <w:r w:rsidR="00045795" w:rsidRPr="003A2754">
        <w:t>seized with</w:t>
      </w:r>
      <w:r w:rsidRPr="003A2754">
        <w:t xml:space="preserve"> the same set of facts will reach a different conclusion. Should the answer be in the positive, the court should grant </w:t>
      </w:r>
      <w:r w:rsidR="00045795" w:rsidRPr="003A2754">
        <w:t xml:space="preserve">the </w:t>
      </w:r>
      <w:r w:rsidRPr="003A2754">
        <w:t xml:space="preserve">application </w:t>
      </w:r>
      <w:r w:rsidR="00045795" w:rsidRPr="003A2754">
        <w:t>for leave to</w:t>
      </w:r>
      <w:r w:rsidRPr="003A2754">
        <w:t xml:space="preserve"> appeal, but </w:t>
      </w:r>
      <w:r w:rsidR="000950ED" w:rsidRPr="003A2754">
        <w:t>should the answer be</w:t>
      </w:r>
      <w:r w:rsidRPr="003A2754">
        <w:t xml:space="preserve"> in the negative, the next step in the inquir</w:t>
      </w:r>
      <w:r w:rsidR="000950ED" w:rsidRPr="003A2754">
        <w:t>y</w:t>
      </w:r>
      <w:r w:rsidRPr="003A2754">
        <w:t xml:space="preserve"> </w:t>
      </w:r>
      <w:r w:rsidR="000950ED" w:rsidRPr="003A2754">
        <w:t xml:space="preserve">is </w:t>
      </w:r>
      <w:r w:rsidRPr="003A2754">
        <w:t xml:space="preserve">to determine whether there </w:t>
      </w:r>
      <w:r w:rsidR="00B857AC" w:rsidRPr="003A2754">
        <w:t>is</w:t>
      </w:r>
      <w:r w:rsidRPr="003A2754">
        <w:t xml:space="preserve"> any compe</w:t>
      </w:r>
      <w:r w:rsidR="000950ED" w:rsidRPr="003A2754">
        <w:t xml:space="preserve">lling </w:t>
      </w:r>
      <w:r w:rsidR="00180657" w:rsidRPr="003A2754">
        <w:t xml:space="preserve">reason </w:t>
      </w:r>
      <w:r w:rsidRPr="003A2754">
        <w:t>wh</w:t>
      </w:r>
      <w:r w:rsidR="000950ED" w:rsidRPr="003A2754">
        <w:t>y</w:t>
      </w:r>
      <w:r w:rsidRPr="003A2754">
        <w:t xml:space="preserve"> the appeal should also be heard.</w:t>
      </w:r>
    </w:p>
    <w:p w14:paraId="47CEF99F" w14:textId="79F9F16D" w:rsidR="00944766" w:rsidRPr="003A2754" w:rsidRDefault="00944766" w:rsidP="006C5820">
      <w:pPr>
        <w:tabs>
          <w:tab w:val="left" w:pos="3000"/>
        </w:tabs>
        <w:spacing w:line="480" w:lineRule="auto"/>
        <w:jc w:val="both"/>
      </w:pPr>
      <w:r w:rsidRPr="003A2754">
        <w:lastRenderedPageBreak/>
        <w:t>[11] S</w:t>
      </w:r>
      <w:r w:rsidR="00180657" w:rsidRPr="003A2754">
        <w:t xml:space="preserve"> 17 </w:t>
      </w:r>
      <w:r w:rsidRPr="003A2754">
        <w:t xml:space="preserve">sets out a </w:t>
      </w:r>
      <w:r w:rsidR="00180657" w:rsidRPr="003A2754">
        <w:t>strict</w:t>
      </w:r>
      <w:r w:rsidRPr="003A2754">
        <w:t xml:space="preserve"> threshold to gran</w:t>
      </w:r>
      <w:r w:rsidR="0041488E">
        <w:t>t</w:t>
      </w:r>
      <w:r w:rsidRPr="003A2754">
        <w:t xml:space="preserve"> l</w:t>
      </w:r>
      <w:r w:rsidR="00180657" w:rsidRPr="003A2754">
        <w:t>eave</w:t>
      </w:r>
      <w:r w:rsidRPr="003A2754">
        <w:t xml:space="preserve"> </w:t>
      </w:r>
      <w:r w:rsidR="00180657" w:rsidRPr="003A2754">
        <w:t>to appeal</w:t>
      </w:r>
      <w:r w:rsidRPr="003A2754">
        <w:t xml:space="preserve">. Accordingly, the applicant must of this </w:t>
      </w:r>
      <w:r w:rsidR="00180657" w:rsidRPr="003A2754">
        <w:t>necessi</w:t>
      </w:r>
      <w:r w:rsidRPr="003A2754">
        <w:t xml:space="preserve">ty meet </w:t>
      </w:r>
      <w:r w:rsidR="00B857AC" w:rsidRPr="003A2754">
        <w:t>this stringent threshold</w:t>
      </w:r>
      <w:r w:rsidRPr="003A2754">
        <w:t xml:space="preserve"> se</w:t>
      </w:r>
      <w:r w:rsidR="00180657" w:rsidRPr="003A2754">
        <w:t>t</w:t>
      </w:r>
      <w:r w:rsidRPr="003A2754">
        <w:t xml:space="preserve"> </w:t>
      </w:r>
      <w:r w:rsidR="00B857AC" w:rsidRPr="003A2754">
        <w:t xml:space="preserve">out </w:t>
      </w:r>
      <w:r w:rsidR="00180657" w:rsidRPr="003A2754">
        <w:t>in s 17 of</w:t>
      </w:r>
      <w:r w:rsidRPr="003A2754">
        <w:t xml:space="preserve"> the </w:t>
      </w:r>
      <w:r w:rsidR="00180657" w:rsidRPr="003A2754">
        <w:t>S</w:t>
      </w:r>
      <w:r w:rsidRPr="003A2754">
        <w:t xml:space="preserve">uperior </w:t>
      </w:r>
      <w:r w:rsidR="00180657" w:rsidRPr="003A2754">
        <w:t>C</w:t>
      </w:r>
      <w:r w:rsidRPr="003A2754">
        <w:t xml:space="preserve">ourts </w:t>
      </w:r>
      <w:r w:rsidR="00180657" w:rsidRPr="003A2754">
        <w:t>A</w:t>
      </w:r>
      <w:r w:rsidRPr="003A2754">
        <w:t>ct</w:t>
      </w:r>
      <w:r w:rsidR="00180657" w:rsidRPr="003A2754">
        <w:t>,</w:t>
      </w:r>
      <w:r w:rsidRPr="003A2754">
        <w:t xml:space="preserve"> </w:t>
      </w:r>
      <w:r w:rsidR="0041488E" w:rsidRPr="003A2754">
        <w:t>to</w:t>
      </w:r>
      <w:r w:rsidRPr="003A2754">
        <w:t xml:space="preserve"> be successful with his application for the appeal. This threshold </w:t>
      </w:r>
      <w:r w:rsidR="00B857AC" w:rsidRPr="003A2754">
        <w:t>is</w:t>
      </w:r>
      <w:r w:rsidRPr="003A2754">
        <w:t xml:space="preserve">, under the </w:t>
      </w:r>
      <w:r w:rsidR="00B857AC" w:rsidRPr="003A2754">
        <w:t>S</w:t>
      </w:r>
      <w:r w:rsidRPr="003A2754">
        <w:t xml:space="preserve">uperior </w:t>
      </w:r>
      <w:r w:rsidR="00B857AC" w:rsidRPr="003A2754">
        <w:t>Courts Act,</w:t>
      </w:r>
      <w:r w:rsidRPr="003A2754">
        <w:t xml:space="preserve"> even more stringent than it was </w:t>
      </w:r>
      <w:r w:rsidR="00B857AC" w:rsidRPr="003A2754">
        <w:t xml:space="preserve">under the old </w:t>
      </w:r>
      <w:r w:rsidRPr="003A2754">
        <w:t xml:space="preserve">Supreme Court </w:t>
      </w:r>
      <w:r w:rsidR="0041488E">
        <w:t xml:space="preserve">Act </w:t>
      </w:r>
      <w:r w:rsidR="00B857AC" w:rsidRPr="003A2754">
        <w:t xml:space="preserve">59 0f 1959. </w:t>
      </w:r>
      <w:r w:rsidRPr="003A2754">
        <w:t xml:space="preserve">A demonstration of the stringent </w:t>
      </w:r>
      <w:r w:rsidR="00B857AC" w:rsidRPr="003A2754">
        <w:t xml:space="preserve">threshold is aptly demonstrated </w:t>
      </w:r>
      <w:proofErr w:type="spellStart"/>
      <w:r w:rsidRPr="003A2754">
        <w:rPr>
          <w:b/>
          <w:bCs/>
        </w:rPr>
        <w:t>N</w:t>
      </w:r>
      <w:r w:rsidR="00B857AC" w:rsidRPr="003A2754">
        <w:rPr>
          <w:b/>
          <w:bCs/>
        </w:rPr>
        <w:t>otshokov</w:t>
      </w:r>
      <w:r w:rsidR="006E34CA">
        <w:rPr>
          <w:b/>
          <w:bCs/>
        </w:rPr>
        <w:t>u</w:t>
      </w:r>
      <w:proofErr w:type="spellEnd"/>
      <w:r w:rsidR="00B857AC" w:rsidRPr="003A2754">
        <w:rPr>
          <w:b/>
          <w:bCs/>
        </w:rPr>
        <w:t xml:space="preserve"> </w:t>
      </w:r>
      <w:r w:rsidR="006E34CA">
        <w:rPr>
          <w:b/>
          <w:bCs/>
        </w:rPr>
        <w:t>v S (157/15) [2016] ZASCA 1</w:t>
      </w:r>
      <w:r w:rsidRPr="003A2754">
        <w:rPr>
          <w:b/>
          <w:bCs/>
        </w:rPr>
        <w:t>12 [</w:t>
      </w:r>
      <w:r w:rsidR="00982AFA" w:rsidRPr="003A2754">
        <w:rPr>
          <w:b/>
          <w:bCs/>
        </w:rPr>
        <w:t>7</w:t>
      </w:r>
      <w:r w:rsidRPr="003A2754">
        <w:rPr>
          <w:b/>
          <w:bCs/>
        </w:rPr>
        <w:t xml:space="preserve"> September 2016]</w:t>
      </w:r>
      <w:r w:rsidR="006E34CA">
        <w:rPr>
          <w:b/>
          <w:bCs/>
        </w:rPr>
        <w:t xml:space="preserve"> par 2</w:t>
      </w:r>
      <w:r w:rsidRPr="003A2754">
        <w:rPr>
          <w:b/>
          <w:bCs/>
        </w:rPr>
        <w:t>,</w:t>
      </w:r>
      <w:r w:rsidRPr="003A2754">
        <w:t xml:space="preserve"> </w:t>
      </w:r>
      <w:r w:rsidR="006E34CA" w:rsidRPr="003A2754">
        <w:rPr>
          <w:rFonts w:eastAsia="Arial Unicode MS"/>
        </w:rPr>
        <w:t xml:space="preserve">in the main application </w:t>
      </w:r>
      <w:r w:rsidRPr="003A2754">
        <w:t xml:space="preserve">where </w:t>
      </w:r>
      <w:proofErr w:type="spellStart"/>
      <w:r w:rsidR="00982AFA" w:rsidRPr="003A2754">
        <w:t>Shong</w:t>
      </w:r>
      <w:r w:rsidRPr="003A2754">
        <w:t>we</w:t>
      </w:r>
      <w:proofErr w:type="spellEnd"/>
      <w:r w:rsidRPr="003A2754">
        <w:t xml:space="preserve"> </w:t>
      </w:r>
      <w:r w:rsidR="00E609B2" w:rsidRPr="003A2754">
        <w:t>J, as</w:t>
      </w:r>
      <w:r w:rsidRPr="003A2754">
        <w:t xml:space="preserve"> he then </w:t>
      </w:r>
      <w:r w:rsidR="00E609B2" w:rsidRPr="003A2754">
        <w:t>was, writing</w:t>
      </w:r>
      <w:r w:rsidRPr="003A2754">
        <w:t xml:space="preserve"> for the </w:t>
      </w:r>
      <w:r w:rsidR="00982AFA" w:rsidRPr="003A2754">
        <w:t>C</w:t>
      </w:r>
      <w:r w:rsidRPr="003A2754">
        <w:t>ourt</w:t>
      </w:r>
      <w:r w:rsidR="0041488E">
        <w:t>,</w:t>
      </w:r>
      <w:r w:rsidRPr="003A2754">
        <w:t xml:space="preserve"> stated as follows:</w:t>
      </w:r>
    </w:p>
    <w:p w14:paraId="3B1FF1F0" w14:textId="4FD142B8" w:rsidR="00944766" w:rsidRPr="003A2754" w:rsidRDefault="00944766" w:rsidP="006C5820">
      <w:pPr>
        <w:tabs>
          <w:tab w:val="left" w:pos="3000"/>
        </w:tabs>
        <w:spacing w:line="480" w:lineRule="auto"/>
        <w:jc w:val="both"/>
        <w:rPr>
          <w:i/>
          <w:iCs/>
        </w:rPr>
      </w:pPr>
      <w:r w:rsidRPr="003A2754">
        <w:t>“</w:t>
      </w:r>
      <w:r w:rsidR="00E609B2" w:rsidRPr="003A2754">
        <w:rPr>
          <w:i/>
          <w:iCs/>
        </w:rPr>
        <w:t>An</w:t>
      </w:r>
      <w:r w:rsidRPr="003A2754">
        <w:rPr>
          <w:i/>
          <w:iCs/>
        </w:rPr>
        <w:t xml:space="preserve"> </w:t>
      </w:r>
      <w:r w:rsidR="001E527B">
        <w:rPr>
          <w:i/>
          <w:iCs/>
        </w:rPr>
        <w:t>appellant</w:t>
      </w:r>
      <w:r w:rsidRPr="003A2754">
        <w:rPr>
          <w:i/>
          <w:iCs/>
        </w:rPr>
        <w:t>, on the other hand</w:t>
      </w:r>
      <w:r w:rsidR="00E609B2" w:rsidRPr="003A2754">
        <w:rPr>
          <w:i/>
          <w:iCs/>
        </w:rPr>
        <w:t>,</w:t>
      </w:r>
      <w:r w:rsidRPr="003A2754">
        <w:rPr>
          <w:i/>
          <w:iCs/>
        </w:rPr>
        <w:t xml:space="preserve"> faces a higher and stringent threshold</w:t>
      </w:r>
      <w:r w:rsidR="001E527B">
        <w:rPr>
          <w:i/>
          <w:iCs/>
        </w:rPr>
        <w:t>,</w:t>
      </w:r>
      <w:r w:rsidRPr="003A2754">
        <w:rPr>
          <w:i/>
          <w:iCs/>
        </w:rPr>
        <w:t xml:space="preserve"> in terms of the </w:t>
      </w:r>
      <w:r w:rsidR="00E609B2" w:rsidRPr="003A2754">
        <w:rPr>
          <w:i/>
          <w:iCs/>
        </w:rPr>
        <w:t>A</w:t>
      </w:r>
      <w:r w:rsidRPr="003A2754">
        <w:rPr>
          <w:i/>
          <w:iCs/>
        </w:rPr>
        <w:t>ct</w:t>
      </w:r>
      <w:r w:rsidR="00E609B2" w:rsidRPr="003A2754">
        <w:rPr>
          <w:i/>
          <w:iCs/>
        </w:rPr>
        <w:t>,</w:t>
      </w:r>
      <w:r w:rsidRPr="003A2754">
        <w:rPr>
          <w:i/>
          <w:iCs/>
        </w:rPr>
        <w:t xml:space="preserve"> compared to the provisions of the rep</w:t>
      </w:r>
      <w:r w:rsidR="00E609B2" w:rsidRPr="003A2754">
        <w:rPr>
          <w:i/>
          <w:iCs/>
        </w:rPr>
        <w:t>e</w:t>
      </w:r>
      <w:r w:rsidRPr="003A2754">
        <w:rPr>
          <w:i/>
          <w:iCs/>
        </w:rPr>
        <w:t>a</w:t>
      </w:r>
      <w:r w:rsidR="00E609B2" w:rsidRPr="003A2754">
        <w:rPr>
          <w:i/>
          <w:iCs/>
        </w:rPr>
        <w:t>led</w:t>
      </w:r>
      <w:r w:rsidRPr="003A2754">
        <w:rPr>
          <w:i/>
          <w:iCs/>
        </w:rPr>
        <w:t xml:space="preserve"> Supreme Court </w:t>
      </w:r>
      <w:r w:rsidR="00E609B2" w:rsidRPr="003A2754">
        <w:rPr>
          <w:i/>
          <w:iCs/>
        </w:rPr>
        <w:t>A</w:t>
      </w:r>
      <w:r w:rsidRPr="003A2754">
        <w:rPr>
          <w:i/>
          <w:iCs/>
        </w:rPr>
        <w:t>ct</w:t>
      </w:r>
      <w:r w:rsidR="00E609B2" w:rsidRPr="003A2754">
        <w:rPr>
          <w:i/>
          <w:iCs/>
        </w:rPr>
        <w:t xml:space="preserve"> 59 of 1959.</w:t>
      </w:r>
      <w:r w:rsidR="001E527B">
        <w:rPr>
          <w:i/>
          <w:iCs/>
        </w:rPr>
        <w:t xml:space="preserve"> (See Van </w:t>
      </w:r>
      <w:proofErr w:type="spellStart"/>
      <w:r w:rsidR="001E527B">
        <w:rPr>
          <w:i/>
          <w:iCs/>
        </w:rPr>
        <w:t>Wyk</w:t>
      </w:r>
      <w:proofErr w:type="spellEnd"/>
      <w:r w:rsidR="001E527B">
        <w:rPr>
          <w:i/>
          <w:iCs/>
        </w:rPr>
        <w:t xml:space="preserve"> v S, </w:t>
      </w:r>
      <w:proofErr w:type="spellStart"/>
      <w:r w:rsidR="001E527B">
        <w:rPr>
          <w:i/>
          <w:iCs/>
        </w:rPr>
        <w:t>Galela</w:t>
      </w:r>
      <w:proofErr w:type="spellEnd"/>
      <w:r w:rsidR="001E527B">
        <w:rPr>
          <w:i/>
          <w:iCs/>
        </w:rPr>
        <w:t xml:space="preserve"> </w:t>
      </w:r>
      <w:proofErr w:type="spellStart"/>
      <w:r w:rsidR="001E527B">
        <w:rPr>
          <w:i/>
          <w:iCs/>
        </w:rPr>
        <w:t>vS</w:t>
      </w:r>
      <w:proofErr w:type="spellEnd"/>
      <w:r w:rsidR="001E527B">
        <w:rPr>
          <w:i/>
          <w:iCs/>
        </w:rPr>
        <w:t xml:space="preserve"> [2014] ZASCA 152; 2015 (1) SACR 584 (SCA) par. 14.</w:t>
      </w:r>
      <w:r w:rsidRPr="003A2754">
        <w:rPr>
          <w:i/>
          <w:iCs/>
        </w:rPr>
        <w:t>”</w:t>
      </w:r>
    </w:p>
    <w:p w14:paraId="57B6F3ED" w14:textId="77777777" w:rsidR="001E527B" w:rsidRDefault="001E527B" w:rsidP="006C5820">
      <w:pPr>
        <w:tabs>
          <w:tab w:val="left" w:pos="3000"/>
        </w:tabs>
        <w:spacing w:line="480" w:lineRule="auto"/>
        <w:jc w:val="both"/>
      </w:pPr>
    </w:p>
    <w:p w14:paraId="7A0D67DD" w14:textId="77E9999C" w:rsidR="00944766" w:rsidRPr="003A2754" w:rsidRDefault="00E77F3C" w:rsidP="006C5820">
      <w:pPr>
        <w:tabs>
          <w:tab w:val="left" w:pos="3000"/>
        </w:tabs>
        <w:spacing w:line="480" w:lineRule="auto"/>
        <w:jc w:val="both"/>
      </w:pPr>
      <w:r w:rsidRPr="003A2754">
        <w:t xml:space="preserve">[12] S </w:t>
      </w:r>
      <w:r w:rsidR="00944766" w:rsidRPr="003A2754">
        <w:t>17</w:t>
      </w:r>
      <w:r w:rsidRPr="003A2754">
        <w:t>(1)</w:t>
      </w:r>
      <w:r w:rsidR="00944766" w:rsidRPr="003A2754">
        <w:t xml:space="preserve"> uses the w</w:t>
      </w:r>
      <w:r w:rsidRPr="003A2754">
        <w:t>ords</w:t>
      </w:r>
      <w:r w:rsidR="00944766" w:rsidRPr="003A2754">
        <w:t xml:space="preserve"> </w:t>
      </w:r>
      <w:r w:rsidRPr="003A2754">
        <w:t>“</w:t>
      </w:r>
      <w:r w:rsidR="00944766" w:rsidRPr="003A2754">
        <w:rPr>
          <w:i/>
          <w:iCs/>
        </w:rPr>
        <w:t>may only be given</w:t>
      </w:r>
      <w:r w:rsidRPr="003A2754">
        <w:t>”</w:t>
      </w:r>
      <w:r w:rsidR="00944766" w:rsidRPr="003A2754">
        <w:t xml:space="preserve"> and thereafter sets out the circumstances under which a </w:t>
      </w:r>
      <w:r w:rsidRPr="003A2754">
        <w:t>J</w:t>
      </w:r>
      <w:r w:rsidR="00944766" w:rsidRPr="003A2754">
        <w:t xml:space="preserve">udge or </w:t>
      </w:r>
      <w:r w:rsidRPr="003A2754">
        <w:t>J</w:t>
      </w:r>
      <w:r w:rsidR="00944766" w:rsidRPr="003A2754">
        <w:t xml:space="preserve">udges seized with an application </w:t>
      </w:r>
      <w:r w:rsidRPr="003A2754">
        <w:t xml:space="preserve">for leave to appeal may grant the </w:t>
      </w:r>
      <w:r w:rsidR="00944766" w:rsidRPr="003A2754">
        <w:t xml:space="preserve">application. </w:t>
      </w:r>
      <w:r w:rsidR="009B7BE5" w:rsidRPr="003A2754">
        <w:t xml:space="preserve"> I</w:t>
      </w:r>
      <w:r w:rsidR="00944766" w:rsidRPr="003A2754">
        <w:t xml:space="preserve">n </w:t>
      </w:r>
      <w:r w:rsidR="00944766" w:rsidRPr="003A2754">
        <w:rPr>
          <w:b/>
          <w:bCs/>
        </w:rPr>
        <w:t xml:space="preserve">South African </w:t>
      </w:r>
      <w:r w:rsidR="009B7BE5" w:rsidRPr="003A2754">
        <w:rPr>
          <w:b/>
          <w:bCs/>
        </w:rPr>
        <w:t>B</w:t>
      </w:r>
      <w:r w:rsidR="00944766" w:rsidRPr="003A2754">
        <w:rPr>
          <w:b/>
          <w:bCs/>
        </w:rPr>
        <w:t xml:space="preserve">reweries </w:t>
      </w:r>
      <w:r w:rsidR="009B7BE5" w:rsidRPr="003A2754">
        <w:rPr>
          <w:b/>
          <w:bCs/>
        </w:rPr>
        <w:t>(</w:t>
      </w:r>
      <w:r w:rsidR="00944766" w:rsidRPr="003A2754">
        <w:rPr>
          <w:b/>
          <w:bCs/>
        </w:rPr>
        <w:t>Pty</w:t>
      </w:r>
      <w:r w:rsidR="009B7BE5" w:rsidRPr="003A2754">
        <w:rPr>
          <w:b/>
          <w:bCs/>
        </w:rPr>
        <w:t>)</w:t>
      </w:r>
      <w:r w:rsidR="00944766" w:rsidRPr="003A2754">
        <w:rPr>
          <w:b/>
          <w:bCs/>
        </w:rPr>
        <w:t xml:space="preserve"> </w:t>
      </w:r>
      <w:r w:rsidR="009B7BE5" w:rsidRPr="003A2754">
        <w:rPr>
          <w:b/>
          <w:bCs/>
        </w:rPr>
        <w:t>Ltd</w:t>
      </w:r>
      <w:r w:rsidR="00944766" w:rsidRPr="003A2754">
        <w:rPr>
          <w:b/>
          <w:bCs/>
        </w:rPr>
        <w:t xml:space="preserve"> </w:t>
      </w:r>
      <w:r w:rsidR="009B7BE5" w:rsidRPr="003A2754">
        <w:rPr>
          <w:b/>
          <w:bCs/>
        </w:rPr>
        <w:t>v</w:t>
      </w:r>
      <w:r w:rsidR="00944766" w:rsidRPr="003A2754">
        <w:rPr>
          <w:b/>
          <w:bCs/>
        </w:rPr>
        <w:t xml:space="preserve"> </w:t>
      </w:r>
      <w:r w:rsidR="009B7BE5" w:rsidRPr="003A2754">
        <w:rPr>
          <w:b/>
          <w:bCs/>
        </w:rPr>
        <w:t>T</w:t>
      </w:r>
      <w:r w:rsidR="00944766" w:rsidRPr="003A2754">
        <w:rPr>
          <w:b/>
          <w:bCs/>
        </w:rPr>
        <w:t xml:space="preserve">he </w:t>
      </w:r>
      <w:r w:rsidR="009B7BE5" w:rsidRPr="003A2754">
        <w:rPr>
          <w:b/>
          <w:bCs/>
        </w:rPr>
        <w:t>C</w:t>
      </w:r>
      <w:r w:rsidR="00944766" w:rsidRPr="003A2754">
        <w:rPr>
          <w:b/>
          <w:bCs/>
        </w:rPr>
        <w:t xml:space="preserve">ommissioner of South African </w:t>
      </w:r>
      <w:r w:rsidR="009B7BE5" w:rsidRPr="003A2754">
        <w:rPr>
          <w:b/>
          <w:bCs/>
        </w:rPr>
        <w:t>R</w:t>
      </w:r>
      <w:r w:rsidR="00944766" w:rsidRPr="003A2754">
        <w:rPr>
          <w:b/>
          <w:bCs/>
        </w:rPr>
        <w:t xml:space="preserve">evenue </w:t>
      </w:r>
      <w:r w:rsidR="009B7BE5" w:rsidRPr="003A2754">
        <w:rPr>
          <w:b/>
          <w:bCs/>
        </w:rPr>
        <w:t>S</w:t>
      </w:r>
      <w:r w:rsidR="00944766" w:rsidRPr="003A2754">
        <w:rPr>
          <w:b/>
          <w:bCs/>
        </w:rPr>
        <w:t>ervices</w:t>
      </w:r>
      <w:r w:rsidR="009B7BE5" w:rsidRPr="003A2754">
        <w:rPr>
          <w:b/>
          <w:bCs/>
        </w:rPr>
        <w:t xml:space="preserve"> (SARS)</w:t>
      </w:r>
      <w:r w:rsidR="00944766" w:rsidRPr="003A2754">
        <w:rPr>
          <w:b/>
          <w:bCs/>
        </w:rPr>
        <w:t xml:space="preserve"> </w:t>
      </w:r>
      <w:r w:rsidR="009B7BE5" w:rsidRPr="003A2754">
        <w:rPr>
          <w:b/>
          <w:bCs/>
        </w:rPr>
        <w:t>20</w:t>
      </w:r>
      <w:r w:rsidR="00944766" w:rsidRPr="003A2754">
        <w:rPr>
          <w:b/>
          <w:bCs/>
        </w:rPr>
        <w:t xml:space="preserve">17 </w:t>
      </w:r>
      <w:r w:rsidR="009B7BE5" w:rsidRPr="003A2754">
        <w:rPr>
          <w:b/>
          <w:bCs/>
        </w:rPr>
        <w:t xml:space="preserve">(2) </w:t>
      </w:r>
      <w:r w:rsidR="00944766" w:rsidRPr="003A2754">
        <w:rPr>
          <w:b/>
          <w:bCs/>
        </w:rPr>
        <w:t>GP</w:t>
      </w:r>
      <w:r w:rsidR="009B7BE5" w:rsidRPr="003A2754">
        <w:rPr>
          <w:b/>
          <w:bCs/>
        </w:rPr>
        <w:t xml:space="preserve">PHC </w:t>
      </w:r>
      <w:r w:rsidR="00944766" w:rsidRPr="003A2754">
        <w:rPr>
          <w:b/>
          <w:bCs/>
        </w:rPr>
        <w:t xml:space="preserve">340 </w:t>
      </w:r>
      <w:r w:rsidR="009B7BE5" w:rsidRPr="003A2754">
        <w:rPr>
          <w:b/>
          <w:bCs/>
        </w:rPr>
        <w:t>(2</w:t>
      </w:r>
      <w:r w:rsidR="00944766" w:rsidRPr="003A2754">
        <w:rPr>
          <w:b/>
          <w:bCs/>
        </w:rPr>
        <w:t>8 March 2017</w:t>
      </w:r>
      <w:r w:rsidR="009B7BE5" w:rsidRPr="003A2754">
        <w:rPr>
          <w:b/>
          <w:bCs/>
        </w:rPr>
        <w:t>)</w:t>
      </w:r>
      <w:r w:rsidR="009B7BE5" w:rsidRPr="003A2754">
        <w:t>,</w:t>
      </w:r>
      <w:r w:rsidR="00944766" w:rsidRPr="003A2754">
        <w:t xml:space="preserve"> par 5 </w:t>
      </w:r>
      <w:proofErr w:type="spellStart"/>
      <w:r w:rsidR="00254E7B" w:rsidRPr="003A2754">
        <w:t>Hughs</w:t>
      </w:r>
      <w:proofErr w:type="spellEnd"/>
      <w:r w:rsidR="00254E7B" w:rsidRPr="003A2754">
        <w:t xml:space="preserve"> J, had</w:t>
      </w:r>
      <w:r w:rsidR="00944766" w:rsidRPr="003A2754">
        <w:t xml:space="preserve"> the following to say about applicable test:</w:t>
      </w:r>
    </w:p>
    <w:p w14:paraId="12E84BD1" w14:textId="5C454979" w:rsidR="00944766" w:rsidRPr="003A2754" w:rsidRDefault="00944766" w:rsidP="006C5820">
      <w:pPr>
        <w:tabs>
          <w:tab w:val="left" w:pos="3000"/>
        </w:tabs>
        <w:spacing w:line="480" w:lineRule="auto"/>
        <w:jc w:val="both"/>
      </w:pPr>
      <w:r w:rsidRPr="003A2754">
        <w:rPr>
          <w:i/>
          <w:iCs/>
        </w:rPr>
        <w:t>“</w:t>
      </w:r>
      <w:r w:rsidR="00254E7B" w:rsidRPr="003A2754">
        <w:rPr>
          <w:i/>
          <w:iCs/>
        </w:rPr>
        <w:t>The</w:t>
      </w:r>
      <w:r w:rsidRPr="003A2754">
        <w:rPr>
          <w:i/>
          <w:iCs/>
        </w:rPr>
        <w:t xml:space="preserve"> test which was applied previously in applications of this nature was whether the</w:t>
      </w:r>
      <w:r w:rsidR="00254E7B" w:rsidRPr="003A2754">
        <w:rPr>
          <w:i/>
          <w:iCs/>
        </w:rPr>
        <w:t>re</w:t>
      </w:r>
      <w:r w:rsidRPr="003A2754">
        <w:rPr>
          <w:i/>
          <w:iCs/>
        </w:rPr>
        <w:t xml:space="preserve"> were reasonable pro</w:t>
      </w:r>
      <w:r w:rsidR="00254E7B" w:rsidRPr="003A2754">
        <w:rPr>
          <w:i/>
          <w:iCs/>
        </w:rPr>
        <w:t>spects</w:t>
      </w:r>
      <w:r w:rsidRPr="003A2754">
        <w:rPr>
          <w:i/>
          <w:iCs/>
        </w:rPr>
        <w:t xml:space="preserve"> that another court may come to </w:t>
      </w:r>
      <w:r w:rsidR="00254E7B" w:rsidRPr="003A2754">
        <w:rPr>
          <w:i/>
          <w:iCs/>
        </w:rPr>
        <w:t xml:space="preserve">a </w:t>
      </w:r>
      <w:r w:rsidRPr="003A2754">
        <w:rPr>
          <w:i/>
          <w:iCs/>
        </w:rPr>
        <w:t>different conclusion. S</w:t>
      </w:r>
      <w:r w:rsidR="00254E7B" w:rsidRPr="003A2754">
        <w:rPr>
          <w:i/>
          <w:iCs/>
        </w:rPr>
        <w:t>e</w:t>
      </w:r>
      <w:r w:rsidRPr="003A2754">
        <w:rPr>
          <w:i/>
          <w:iCs/>
        </w:rPr>
        <w:t xml:space="preserve">e </w:t>
      </w:r>
      <w:r w:rsidR="00254E7B" w:rsidRPr="003A2754">
        <w:rPr>
          <w:i/>
          <w:iCs/>
        </w:rPr>
        <w:t>C</w:t>
      </w:r>
      <w:r w:rsidRPr="003A2754">
        <w:rPr>
          <w:i/>
          <w:iCs/>
        </w:rPr>
        <w:t>ommissioner of</w:t>
      </w:r>
      <w:r w:rsidR="00254E7B" w:rsidRPr="003A2754">
        <w:rPr>
          <w:i/>
          <w:iCs/>
        </w:rPr>
        <w:t xml:space="preserve"> Inland</w:t>
      </w:r>
      <w:r w:rsidRPr="003A2754">
        <w:rPr>
          <w:i/>
          <w:iCs/>
        </w:rPr>
        <w:t xml:space="preserve"> </w:t>
      </w:r>
      <w:r w:rsidR="00254E7B" w:rsidRPr="003A2754">
        <w:rPr>
          <w:i/>
          <w:iCs/>
        </w:rPr>
        <w:t>R</w:t>
      </w:r>
      <w:r w:rsidRPr="003A2754">
        <w:rPr>
          <w:i/>
          <w:iCs/>
        </w:rPr>
        <w:t xml:space="preserve">evenue </w:t>
      </w:r>
      <w:r w:rsidR="00254E7B" w:rsidRPr="003A2754">
        <w:rPr>
          <w:i/>
          <w:iCs/>
        </w:rPr>
        <w:t>v</w:t>
      </w:r>
      <w:r w:rsidRPr="003A2754">
        <w:rPr>
          <w:i/>
          <w:iCs/>
        </w:rPr>
        <w:t xml:space="preserve"> </w:t>
      </w:r>
      <w:r w:rsidR="00254E7B" w:rsidRPr="003A2754">
        <w:rPr>
          <w:i/>
          <w:iCs/>
        </w:rPr>
        <w:t>T</w:t>
      </w:r>
      <w:r w:rsidRPr="003A2754">
        <w:rPr>
          <w:i/>
          <w:iCs/>
        </w:rPr>
        <w:t>uck</w:t>
      </w:r>
      <w:r w:rsidR="00254E7B" w:rsidRPr="003A2754">
        <w:rPr>
          <w:i/>
          <w:iCs/>
        </w:rPr>
        <w:t xml:space="preserve"> </w:t>
      </w:r>
      <w:r w:rsidRPr="003A2754">
        <w:rPr>
          <w:i/>
          <w:iCs/>
        </w:rPr>
        <w:t>1989</w:t>
      </w:r>
      <w:r w:rsidR="00254E7B" w:rsidRPr="003A2754">
        <w:rPr>
          <w:i/>
          <w:iCs/>
        </w:rPr>
        <w:t>(4) SA</w:t>
      </w:r>
      <w:r w:rsidRPr="003A2754">
        <w:rPr>
          <w:i/>
          <w:iCs/>
        </w:rPr>
        <w:t xml:space="preserve"> 888</w:t>
      </w:r>
      <w:r w:rsidR="00157FF4" w:rsidRPr="003A2754">
        <w:rPr>
          <w:i/>
          <w:iCs/>
        </w:rPr>
        <w:t xml:space="preserve"> (T) </w:t>
      </w:r>
      <w:r w:rsidRPr="003A2754">
        <w:rPr>
          <w:i/>
          <w:iCs/>
        </w:rPr>
        <w:t>at 899. What emerges from s</w:t>
      </w:r>
      <w:r w:rsidR="00157FF4" w:rsidRPr="003A2754">
        <w:rPr>
          <w:i/>
          <w:iCs/>
        </w:rPr>
        <w:t>ection</w:t>
      </w:r>
      <w:r w:rsidRPr="003A2754">
        <w:rPr>
          <w:i/>
          <w:iCs/>
        </w:rPr>
        <w:t xml:space="preserve"> </w:t>
      </w:r>
      <w:r w:rsidR="00157FF4" w:rsidRPr="003A2754">
        <w:rPr>
          <w:i/>
          <w:iCs/>
        </w:rPr>
        <w:t>17(1) is</w:t>
      </w:r>
      <w:r w:rsidRPr="003A2754">
        <w:rPr>
          <w:i/>
          <w:iCs/>
        </w:rPr>
        <w:t xml:space="preserve"> that the threshold to grant a party l</w:t>
      </w:r>
      <w:r w:rsidR="00157FF4" w:rsidRPr="003A2754">
        <w:rPr>
          <w:i/>
          <w:iCs/>
        </w:rPr>
        <w:t xml:space="preserve">eave to </w:t>
      </w:r>
      <w:r w:rsidRPr="003A2754">
        <w:rPr>
          <w:i/>
          <w:iCs/>
        </w:rPr>
        <w:t xml:space="preserve">appeal has been raised. It is now only granted in the circumstances </w:t>
      </w:r>
      <w:r w:rsidR="00157FF4" w:rsidRPr="003A2754">
        <w:rPr>
          <w:i/>
          <w:iCs/>
        </w:rPr>
        <w:t>set</w:t>
      </w:r>
      <w:r w:rsidRPr="003A2754">
        <w:rPr>
          <w:i/>
          <w:iCs/>
        </w:rPr>
        <w:t xml:space="preserve"> out </w:t>
      </w:r>
      <w:r w:rsidR="00157FF4" w:rsidRPr="003A2754">
        <w:rPr>
          <w:i/>
          <w:iCs/>
        </w:rPr>
        <w:t xml:space="preserve">and </w:t>
      </w:r>
      <w:r w:rsidRPr="003A2754">
        <w:rPr>
          <w:i/>
          <w:iCs/>
        </w:rPr>
        <w:t>de</w:t>
      </w:r>
      <w:r w:rsidR="00942E04">
        <w:rPr>
          <w:i/>
          <w:iCs/>
        </w:rPr>
        <w:t>duced</w:t>
      </w:r>
      <w:r w:rsidRPr="003A2754">
        <w:rPr>
          <w:i/>
          <w:iCs/>
        </w:rPr>
        <w:t xml:space="preserve"> from the word</w:t>
      </w:r>
      <w:r w:rsidR="00942E04">
        <w:rPr>
          <w:i/>
          <w:iCs/>
        </w:rPr>
        <w:t>s</w:t>
      </w:r>
      <w:r w:rsidRPr="003A2754">
        <w:rPr>
          <w:i/>
          <w:iCs/>
        </w:rPr>
        <w:t xml:space="preserve"> ‘only’ in the said section</w:t>
      </w:r>
      <w:r w:rsidRPr="003A2754">
        <w:t>.</w:t>
      </w:r>
    </w:p>
    <w:p w14:paraId="09379DAE" w14:textId="146E5F4A" w:rsidR="00944766" w:rsidRPr="003A2754" w:rsidRDefault="00FA2505" w:rsidP="006C5820">
      <w:pPr>
        <w:tabs>
          <w:tab w:val="left" w:pos="3000"/>
        </w:tabs>
        <w:spacing w:line="480" w:lineRule="auto"/>
        <w:jc w:val="both"/>
      </w:pPr>
      <w:r w:rsidRPr="003A2754">
        <w:t>S</w:t>
      </w:r>
      <w:r w:rsidR="00944766" w:rsidRPr="003A2754">
        <w:t>ee</w:t>
      </w:r>
      <w:r w:rsidRPr="003A2754">
        <w:t xml:space="preserve"> </w:t>
      </w:r>
      <w:r w:rsidRPr="003A2754">
        <w:rPr>
          <w:b/>
          <w:bCs/>
        </w:rPr>
        <w:t>T</w:t>
      </w:r>
      <w:r w:rsidR="00944766" w:rsidRPr="003A2754">
        <w:rPr>
          <w:b/>
          <w:bCs/>
        </w:rPr>
        <w:t xml:space="preserve">he </w:t>
      </w:r>
      <w:r w:rsidRPr="003A2754">
        <w:rPr>
          <w:b/>
          <w:bCs/>
        </w:rPr>
        <w:t>M</w:t>
      </w:r>
      <w:r w:rsidR="00944766" w:rsidRPr="003A2754">
        <w:rPr>
          <w:b/>
          <w:bCs/>
        </w:rPr>
        <w:t xml:space="preserve">ont </w:t>
      </w:r>
      <w:proofErr w:type="spellStart"/>
      <w:r w:rsidRPr="003A2754">
        <w:rPr>
          <w:b/>
          <w:bCs/>
        </w:rPr>
        <w:t>C</w:t>
      </w:r>
      <w:r w:rsidR="00944766" w:rsidRPr="003A2754">
        <w:rPr>
          <w:b/>
          <w:bCs/>
        </w:rPr>
        <w:t>he</w:t>
      </w:r>
      <w:r w:rsidRPr="003A2754">
        <w:rPr>
          <w:b/>
          <w:bCs/>
        </w:rPr>
        <w:t>vaux</w:t>
      </w:r>
      <w:proofErr w:type="spellEnd"/>
      <w:r w:rsidR="00944766" w:rsidRPr="003A2754">
        <w:rPr>
          <w:b/>
          <w:bCs/>
        </w:rPr>
        <w:t xml:space="preserve"> </w:t>
      </w:r>
      <w:r w:rsidRPr="003A2754">
        <w:rPr>
          <w:b/>
          <w:bCs/>
        </w:rPr>
        <w:t>T</w:t>
      </w:r>
      <w:r w:rsidR="00944766" w:rsidRPr="003A2754">
        <w:rPr>
          <w:b/>
          <w:bCs/>
        </w:rPr>
        <w:t xml:space="preserve">rust </w:t>
      </w:r>
      <w:r w:rsidRPr="003A2754">
        <w:rPr>
          <w:b/>
          <w:bCs/>
        </w:rPr>
        <w:t>v</w:t>
      </w:r>
      <w:r w:rsidR="00944766" w:rsidRPr="003A2754">
        <w:rPr>
          <w:b/>
          <w:bCs/>
        </w:rPr>
        <w:t xml:space="preserve"> Tina </w:t>
      </w:r>
      <w:proofErr w:type="spellStart"/>
      <w:r w:rsidRPr="003A2754">
        <w:rPr>
          <w:b/>
          <w:bCs/>
        </w:rPr>
        <w:t>G</w:t>
      </w:r>
      <w:r w:rsidR="00944766" w:rsidRPr="003A2754">
        <w:rPr>
          <w:b/>
          <w:bCs/>
        </w:rPr>
        <w:t>oos</w:t>
      </w:r>
      <w:r w:rsidRPr="003A2754">
        <w:rPr>
          <w:b/>
          <w:bCs/>
        </w:rPr>
        <w:t>e</w:t>
      </w:r>
      <w:r w:rsidR="00944766" w:rsidRPr="003A2754">
        <w:rPr>
          <w:b/>
          <w:bCs/>
        </w:rPr>
        <w:t>n</w:t>
      </w:r>
      <w:proofErr w:type="spellEnd"/>
      <w:r w:rsidR="00944766" w:rsidRPr="003A2754">
        <w:rPr>
          <w:b/>
          <w:bCs/>
        </w:rPr>
        <w:t xml:space="preserve"> and </w:t>
      </w:r>
      <w:r w:rsidRPr="003A2754">
        <w:rPr>
          <w:b/>
          <w:bCs/>
        </w:rPr>
        <w:t>18</w:t>
      </w:r>
      <w:r w:rsidR="00944766" w:rsidRPr="003A2754">
        <w:rPr>
          <w:b/>
          <w:bCs/>
        </w:rPr>
        <w:t xml:space="preserve"> </w:t>
      </w:r>
      <w:r w:rsidRPr="003A2754">
        <w:rPr>
          <w:b/>
          <w:bCs/>
        </w:rPr>
        <w:t>O</w:t>
      </w:r>
      <w:r w:rsidR="00944766" w:rsidRPr="003A2754">
        <w:rPr>
          <w:b/>
          <w:bCs/>
        </w:rPr>
        <w:t xml:space="preserve">thers 2014 </w:t>
      </w:r>
      <w:r w:rsidRPr="003A2754">
        <w:rPr>
          <w:b/>
          <w:bCs/>
        </w:rPr>
        <w:t>JDR</w:t>
      </w:r>
      <w:r w:rsidR="00944766" w:rsidRPr="003A2754">
        <w:rPr>
          <w:b/>
          <w:bCs/>
        </w:rPr>
        <w:t xml:space="preserve"> 23</w:t>
      </w:r>
      <w:r w:rsidR="00942E04">
        <w:rPr>
          <w:b/>
          <w:bCs/>
        </w:rPr>
        <w:t>2</w:t>
      </w:r>
      <w:r w:rsidR="00944766" w:rsidRPr="003A2754">
        <w:rPr>
          <w:b/>
          <w:bCs/>
        </w:rPr>
        <w:t xml:space="preserve">5 </w:t>
      </w:r>
      <w:r w:rsidRPr="003A2754">
        <w:rPr>
          <w:b/>
          <w:bCs/>
        </w:rPr>
        <w:t>(</w:t>
      </w:r>
      <w:r w:rsidR="00944766" w:rsidRPr="003A2754">
        <w:rPr>
          <w:b/>
          <w:bCs/>
        </w:rPr>
        <w:t>LCC</w:t>
      </w:r>
      <w:r w:rsidRPr="003A2754">
        <w:rPr>
          <w:b/>
          <w:bCs/>
        </w:rPr>
        <w:t>) at</w:t>
      </w:r>
      <w:r w:rsidR="00944766" w:rsidRPr="003A2754">
        <w:rPr>
          <w:b/>
          <w:bCs/>
        </w:rPr>
        <w:t xml:space="preserve"> </w:t>
      </w:r>
      <w:r w:rsidRPr="003A2754">
        <w:rPr>
          <w:b/>
          <w:bCs/>
        </w:rPr>
        <w:t>par. [6</w:t>
      </w:r>
      <w:r w:rsidR="000876ED" w:rsidRPr="003A2754">
        <w:rPr>
          <w:b/>
          <w:bCs/>
        </w:rPr>
        <w:t>], where</w:t>
      </w:r>
      <w:r w:rsidR="00944766" w:rsidRPr="003A2754">
        <w:t xml:space="preserve"> </w:t>
      </w:r>
      <w:proofErr w:type="spellStart"/>
      <w:r w:rsidR="008B1BBD" w:rsidRPr="003A2754">
        <w:t>Bertelsman</w:t>
      </w:r>
      <w:proofErr w:type="spellEnd"/>
      <w:r w:rsidR="008B1BBD" w:rsidRPr="003A2754">
        <w:t xml:space="preserve"> J held as follows:</w:t>
      </w:r>
    </w:p>
    <w:p w14:paraId="5D0F206B" w14:textId="77777777" w:rsidR="007A0218" w:rsidRPr="003A2754" w:rsidRDefault="007A0218" w:rsidP="006C5820">
      <w:pPr>
        <w:tabs>
          <w:tab w:val="left" w:pos="3000"/>
        </w:tabs>
        <w:spacing w:line="480" w:lineRule="auto"/>
        <w:jc w:val="both"/>
      </w:pPr>
    </w:p>
    <w:p w14:paraId="12CBBF53" w14:textId="79179E21" w:rsidR="008B1BBD" w:rsidRPr="003A2754" w:rsidRDefault="008B1BBD" w:rsidP="006C5820">
      <w:pPr>
        <w:tabs>
          <w:tab w:val="left" w:pos="3000"/>
        </w:tabs>
        <w:spacing w:line="480" w:lineRule="auto"/>
        <w:jc w:val="both"/>
        <w:rPr>
          <w:i/>
          <w:iCs/>
        </w:rPr>
      </w:pPr>
      <w:r w:rsidRPr="003A2754">
        <w:rPr>
          <w:i/>
          <w:iCs/>
        </w:rPr>
        <w:lastRenderedPageBreak/>
        <w:t>“</w:t>
      </w:r>
      <w:r w:rsidR="007A0218" w:rsidRPr="003A2754">
        <w:rPr>
          <w:i/>
          <w:iCs/>
        </w:rPr>
        <w:t>It</w:t>
      </w:r>
      <w:r w:rsidRPr="003A2754">
        <w:rPr>
          <w:i/>
          <w:iCs/>
        </w:rPr>
        <w:t xml:space="preserve"> is clear that the threshold for granting l</w:t>
      </w:r>
      <w:r w:rsidR="007A0218" w:rsidRPr="003A2754">
        <w:rPr>
          <w:i/>
          <w:iCs/>
        </w:rPr>
        <w:t>eave to</w:t>
      </w:r>
      <w:r w:rsidRPr="003A2754">
        <w:rPr>
          <w:i/>
          <w:iCs/>
        </w:rPr>
        <w:t xml:space="preserve"> appeal against </w:t>
      </w:r>
      <w:r w:rsidR="007A0218" w:rsidRPr="003A2754">
        <w:rPr>
          <w:i/>
          <w:iCs/>
        </w:rPr>
        <w:t>a</w:t>
      </w:r>
      <w:r w:rsidRPr="003A2754">
        <w:rPr>
          <w:i/>
          <w:iCs/>
        </w:rPr>
        <w:t xml:space="preserve"> judgement of </w:t>
      </w:r>
      <w:r w:rsidR="007A0218" w:rsidRPr="003A2754">
        <w:rPr>
          <w:i/>
          <w:iCs/>
        </w:rPr>
        <w:t>a</w:t>
      </w:r>
      <w:r w:rsidRPr="003A2754">
        <w:rPr>
          <w:i/>
          <w:iCs/>
        </w:rPr>
        <w:t xml:space="preserve"> High Court has been raised in the new </w:t>
      </w:r>
      <w:r w:rsidR="007A0218" w:rsidRPr="003A2754">
        <w:rPr>
          <w:i/>
          <w:iCs/>
        </w:rPr>
        <w:t>A</w:t>
      </w:r>
      <w:r w:rsidRPr="003A2754">
        <w:rPr>
          <w:i/>
          <w:iCs/>
        </w:rPr>
        <w:t>ct. The former test</w:t>
      </w:r>
      <w:r w:rsidR="007A0218" w:rsidRPr="003A2754">
        <w:rPr>
          <w:i/>
          <w:iCs/>
        </w:rPr>
        <w:t>,</w:t>
      </w:r>
      <w:r w:rsidRPr="003A2754">
        <w:rPr>
          <w:i/>
          <w:iCs/>
        </w:rPr>
        <w:t xml:space="preserve"> whether lea</w:t>
      </w:r>
      <w:r w:rsidR="007A0218" w:rsidRPr="003A2754">
        <w:rPr>
          <w:i/>
          <w:iCs/>
        </w:rPr>
        <w:t>ve</w:t>
      </w:r>
      <w:r w:rsidRPr="003A2754">
        <w:rPr>
          <w:i/>
          <w:iCs/>
        </w:rPr>
        <w:t xml:space="preserve"> </w:t>
      </w:r>
      <w:r w:rsidR="007A0218" w:rsidRPr="003A2754">
        <w:rPr>
          <w:i/>
          <w:iCs/>
        </w:rPr>
        <w:t xml:space="preserve">to </w:t>
      </w:r>
      <w:r w:rsidR="000876ED" w:rsidRPr="003A2754">
        <w:rPr>
          <w:i/>
          <w:iCs/>
        </w:rPr>
        <w:t>appeal</w:t>
      </w:r>
      <w:r w:rsidRPr="003A2754">
        <w:rPr>
          <w:i/>
          <w:iCs/>
        </w:rPr>
        <w:t xml:space="preserve"> should be granted w</w:t>
      </w:r>
      <w:r w:rsidR="00BF2BC2">
        <w:rPr>
          <w:i/>
          <w:iCs/>
        </w:rPr>
        <w:t>as</w:t>
      </w:r>
      <w:r w:rsidRPr="003A2754">
        <w:rPr>
          <w:i/>
          <w:iCs/>
        </w:rPr>
        <w:t xml:space="preserve"> a reasonable prospect that another court </w:t>
      </w:r>
      <w:r w:rsidR="007A0218" w:rsidRPr="003A2754">
        <w:rPr>
          <w:i/>
          <w:iCs/>
        </w:rPr>
        <w:t xml:space="preserve">might </w:t>
      </w:r>
      <w:r w:rsidRPr="003A2754">
        <w:rPr>
          <w:i/>
          <w:iCs/>
        </w:rPr>
        <w:t>come to different conclusion. Se</w:t>
      </w:r>
      <w:r w:rsidR="007A0218" w:rsidRPr="003A2754">
        <w:rPr>
          <w:i/>
          <w:iCs/>
        </w:rPr>
        <w:t>e</w:t>
      </w:r>
      <w:r w:rsidRPr="003A2754">
        <w:rPr>
          <w:i/>
          <w:iCs/>
        </w:rPr>
        <w:t xml:space="preserve"> </w:t>
      </w:r>
      <w:r w:rsidR="007A0218" w:rsidRPr="003A2754">
        <w:rPr>
          <w:i/>
          <w:iCs/>
        </w:rPr>
        <w:t xml:space="preserve">Van </w:t>
      </w:r>
      <w:proofErr w:type="spellStart"/>
      <w:r w:rsidR="007A0218" w:rsidRPr="003A2754">
        <w:rPr>
          <w:i/>
          <w:iCs/>
        </w:rPr>
        <w:t>Heerden</w:t>
      </w:r>
      <w:proofErr w:type="spellEnd"/>
      <w:r w:rsidR="007A0218" w:rsidRPr="003A2754">
        <w:rPr>
          <w:i/>
          <w:iCs/>
        </w:rPr>
        <w:t xml:space="preserve"> v </w:t>
      </w:r>
      <w:proofErr w:type="spellStart"/>
      <w:r w:rsidR="007A0218" w:rsidRPr="003A2754">
        <w:rPr>
          <w:i/>
          <w:iCs/>
        </w:rPr>
        <w:t>Cronwright</w:t>
      </w:r>
      <w:proofErr w:type="spellEnd"/>
      <w:r w:rsidR="007A0218" w:rsidRPr="003A2754">
        <w:rPr>
          <w:i/>
          <w:iCs/>
        </w:rPr>
        <w:t xml:space="preserve"> and Others 19</w:t>
      </w:r>
      <w:r w:rsidRPr="003A2754">
        <w:rPr>
          <w:i/>
          <w:iCs/>
        </w:rPr>
        <w:t>85</w:t>
      </w:r>
      <w:r w:rsidR="007A0218" w:rsidRPr="003A2754">
        <w:rPr>
          <w:i/>
          <w:iCs/>
        </w:rPr>
        <w:t xml:space="preserve">(2) SA 342 (T) at </w:t>
      </w:r>
      <w:r w:rsidRPr="003A2754">
        <w:rPr>
          <w:i/>
          <w:iCs/>
        </w:rPr>
        <w:t>342</w:t>
      </w:r>
      <w:r w:rsidR="007A0218" w:rsidRPr="003A2754">
        <w:rPr>
          <w:i/>
          <w:iCs/>
        </w:rPr>
        <w:t>H</w:t>
      </w:r>
      <w:r w:rsidRPr="003A2754">
        <w:rPr>
          <w:i/>
          <w:iCs/>
        </w:rPr>
        <w:t xml:space="preserve">. The use of the word </w:t>
      </w:r>
      <w:r w:rsidR="00596F35" w:rsidRPr="003A2754">
        <w:rPr>
          <w:i/>
          <w:iCs/>
        </w:rPr>
        <w:t>“would”</w:t>
      </w:r>
      <w:r w:rsidRPr="003A2754">
        <w:rPr>
          <w:i/>
          <w:iCs/>
        </w:rPr>
        <w:t xml:space="preserve"> in the new statute indicate</w:t>
      </w:r>
      <w:r w:rsidR="00596F35" w:rsidRPr="003A2754">
        <w:rPr>
          <w:i/>
          <w:iCs/>
        </w:rPr>
        <w:t>s</w:t>
      </w:r>
      <w:r w:rsidRPr="003A2754">
        <w:rPr>
          <w:i/>
          <w:iCs/>
        </w:rPr>
        <w:t xml:space="preserve"> a measure of certainty that another </w:t>
      </w:r>
      <w:r w:rsidR="00596F35" w:rsidRPr="003A2754">
        <w:rPr>
          <w:i/>
          <w:iCs/>
        </w:rPr>
        <w:t>C</w:t>
      </w:r>
      <w:r w:rsidRPr="003A2754">
        <w:rPr>
          <w:i/>
          <w:iCs/>
        </w:rPr>
        <w:t xml:space="preserve">ourt will differ from the </w:t>
      </w:r>
      <w:r w:rsidR="00596F35" w:rsidRPr="003A2754">
        <w:rPr>
          <w:i/>
          <w:iCs/>
        </w:rPr>
        <w:t>C</w:t>
      </w:r>
      <w:r w:rsidRPr="003A2754">
        <w:rPr>
          <w:i/>
          <w:iCs/>
        </w:rPr>
        <w:t>ourt whose judgement in is s</w:t>
      </w:r>
      <w:r w:rsidR="00596F35" w:rsidRPr="003A2754">
        <w:rPr>
          <w:i/>
          <w:iCs/>
        </w:rPr>
        <w:t>ought</w:t>
      </w:r>
      <w:r w:rsidRPr="003A2754">
        <w:rPr>
          <w:i/>
          <w:iCs/>
        </w:rPr>
        <w:t xml:space="preserve"> to be appealed against.</w:t>
      </w:r>
      <w:r w:rsidR="00596F35" w:rsidRPr="003A2754">
        <w:rPr>
          <w:i/>
          <w:iCs/>
        </w:rPr>
        <w:t>”</w:t>
      </w:r>
    </w:p>
    <w:p w14:paraId="4AAFF132" w14:textId="77777777" w:rsidR="00676D66" w:rsidRDefault="00676D66" w:rsidP="006C5820">
      <w:pPr>
        <w:tabs>
          <w:tab w:val="left" w:pos="3000"/>
        </w:tabs>
        <w:spacing w:line="480" w:lineRule="auto"/>
        <w:jc w:val="both"/>
      </w:pPr>
    </w:p>
    <w:p w14:paraId="6A4781FC" w14:textId="1324F873" w:rsidR="007A7EF6" w:rsidRPr="003A2754" w:rsidRDefault="007A7EF6" w:rsidP="006C5820">
      <w:pPr>
        <w:tabs>
          <w:tab w:val="left" w:pos="3000"/>
        </w:tabs>
        <w:spacing w:line="480" w:lineRule="auto"/>
        <w:jc w:val="both"/>
      </w:pPr>
      <w:r w:rsidRPr="003A2754">
        <w:t xml:space="preserve">[13] </w:t>
      </w:r>
      <w:r w:rsidR="008B1BBD" w:rsidRPr="003A2754">
        <w:t xml:space="preserve">Apropos </w:t>
      </w:r>
      <w:r w:rsidRPr="003A2754">
        <w:t xml:space="preserve">the </w:t>
      </w:r>
      <w:r w:rsidR="008B1BBD" w:rsidRPr="003A2754">
        <w:t xml:space="preserve">rigidity of the threshold, </w:t>
      </w:r>
      <w:proofErr w:type="spellStart"/>
      <w:r w:rsidRPr="003A2754">
        <w:t>Plasket</w:t>
      </w:r>
      <w:proofErr w:type="spellEnd"/>
      <w:r w:rsidR="008B1BBD" w:rsidRPr="003A2754">
        <w:t xml:space="preserve"> AJ</w:t>
      </w:r>
      <w:r w:rsidRPr="003A2754">
        <w:t>A, as he then was, wrote a</w:t>
      </w:r>
      <w:r w:rsidR="008B1BBD" w:rsidRPr="003A2754">
        <w:t xml:space="preserve"> judgement</w:t>
      </w:r>
      <w:r w:rsidRPr="003A2754">
        <w:t xml:space="preserve">, </w:t>
      </w:r>
      <w:r w:rsidRPr="00F41280">
        <w:rPr>
          <w:b/>
          <w:bCs/>
        </w:rPr>
        <w:t>S</w:t>
      </w:r>
      <w:r w:rsidR="00284EA8" w:rsidRPr="00F41280">
        <w:rPr>
          <w:b/>
          <w:bCs/>
        </w:rPr>
        <w:t>mith</w:t>
      </w:r>
      <w:r w:rsidRPr="00F41280">
        <w:rPr>
          <w:b/>
          <w:bCs/>
        </w:rPr>
        <w:t xml:space="preserve"> v S 2012(1) SACR 567 SCA 570 par [7]</w:t>
      </w:r>
      <w:r w:rsidR="008B1BBD" w:rsidRPr="003A2754">
        <w:t xml:space="preserve"> in which </w:t>
      </w:r>
      <w:proofErr w:type="spellStart"/>
      <w:r w:rsidRPr="003A2754">
        <w:t>Cloete</w:t>
      </w:r>
      <w:proofErr w:type="spellEnd"/>
      <w:r w:rsidRPr="003A2754">
        <w:t xml:space="preserve"> JA and Maya JA, as she then was, concurred</w:t>
      </w:r>
      <w:r w:rsidR="000A1D6F">
        <w:t>.</w:t>
      </w:r>
      <w:r w:rsidRPr="003A2754">
        <w:t xml:space="preserve"> He had the following to say:</w:t>
      </w:r>
    </w:p>
    <w:p w14:paraId="67939559" w14:textId="6B40A013" w:rsidR="008B1BBD" w:rsidRDefault="008B1BBD" w:rsidP="006C5820">
      <w:pPr>
        <w:tabs>
          <w:tab w:val="left" w:pos="3000"/>
        </w:tabs>
        <w:spacing w:line="480" w:lineRule="auto"/>
        <w:jc w:val="both"/>
        <w:rPr>
          <w:i/>
          <w:iCs/>
        </w:rPr>
      </w:pPr>
      <w:r w:rsidRPr="003A2754">
        <w:t>“</w:t>
      </w:r>
      <w:r w:rsidR="00284EA8" w:rsidRPr="003A2754">
        <w:rPr>
          <w:i/>
          <w:iCs/>
        </w:rPr>
        <w:t>What the test of reasonable prospects of success postulates is a dispassionate decision, based on the facts and the law</w:t>
      </w:r>
      <w:r w:rsidR="0002645E" w:rsidRPr="003A2754">
        <w:rPr>
          <w:i/>
          <w:iCs/>
        </w:rPr>
        <w:t>,</w:t>
      </w:r>
      <w:r w:rsidR="00284EA8" w:rsidRPr="003A2754">
        <w:rPr>
          <w:i/>
          <w:iCs/>
        </w:rPr>
        <w:t xml:space="preserve"> that </w:t>
      </w:r>
      <w:r w:rsidR="0002645E" w:rsidRPr="003A2754">
        <w:rPr>
          <w:i/>
          <w:iCs/>
        </w:rPr>
        <w:t>a</w:t>
      </w:r>
      <w:r w:rsidR="00284EA8" w:rsidRPr="003A2754">
        <w:rPr>
          <w:i/>
          <w:iCs/>
        </w:rPr>
        <w:t xml:space="preserve"> </w:t>
      </w:r>
      <w:r w:rsidR="0002645E" w:rsidRPr="003A2754">
        <w:rPr>
          <w:i/>
          <w:iCs/>
        </w:rPr>
        <w:t>c</w:t>
      </w:r>
      <w:r w:rsidR="00284EA8" w:rsidRPr="003A2754">
        <w:rPr>
          <w:i/>
          <w:iCs/>
        </w:rPr>
        <w:t xml:space="preserve">ourt of </w:t>
      </w:r>
      <w:r w:rsidR="0002645E" w:rsidRPr="003A2754">
        <w:rPr>
          <w:i/>
          <w:iCs/>
        </w:rPr>
        <w:t>a</w:t>
      </w:r>
      <w:r w:rsidR="00284EA8" w:rsidRPr="003A2754">
        <w:rPr>
          <w:i/>
          <w:iCs/>
        </w:rPr>
        <w:t xml:space="preserve">ppeal could reasonably arrive at the conclusion different to that of the </w:t>
      </w:r>
      <w:r w:rsidR="0002645E" w:rsidRPr="003A2754">
        <w:rPr>
          <w:i/>
          <w:iCs/>
        </w:rPr>
        <w:t>t</w:t>
      </w:r>
      <w:r w:rsidR="00284EA8" w:rsidRPr="003A2754">
        <w:rPr>
          <w:i/>
          <w:iCs/>
        </w:rPr>
        <w:t xml:space="preserve">rial </w:t>
      </w:r>
      <w:r w:rsidR="0002645E" w:rsidRPr="003A2754">
        <w:rPr>
          <w:i/>
          <w:iCs/>
        </w:rPr>
        <w:t>c</w:t>
      </w:r>
      <w:r w:rsidRPr="003A2754">
        <w:rPr>
          <w:i/>
          <w:iCs/>
        </w:rPr>
        <w:t xml:space="preserve">ourt. </w:t>
      </w:r>
      <w:r w:rsidR="00284EA8" w:rsidRPr="003A2754">
        <w:rPr>
          <w:i/>
          <w:iCs/>
        </w:rPr>
        <w:t>In order</w:t>
      </w:r>
      <w:r w:rsidRPr="003A2754">
        <w:rPr>
          <w:i/>
          <w:iCs/>
        </w:rPr>
        <w:t xml:space="preserve"> to succeed</w:t>
      </w:r>
      <w:r w:rsidR="00284EA8" w:rsidRPr="003A2754">
        <w:rPr>
          <w:i/>
          <w:iCs/>
        </w:rPr>
        <w:t>,</w:t>
      </w:r>
      <w:r w:rsidRPr="003A2754">
        <w:rPr>
          <w:i/>
          <w:iCs/>
        </w:rPr>
        <w:t xml:space="preserve"> therefore, the appellant must convince this </w:t>
      </w:r>
      <w:r w:rsidR="0002645E" w:rsidRPr="003A2754">
        <w:rPr>
          <w:i/>
          <w:iCs/>
        </w:rPr>
        <w:t>c</w:t>
      </w:r>
      <w:r w:rsidRPr="003A2754">
        <w:rPr>
          <w:i/>
          <w:iCs/>
        </w:rPr>
        <w:t>ourt on proper ground</w:t>
      </w:r>
      <w:r w:rsidR="00284EA8" w:rsidRPr="003A2754">
        <w:rPr>
          <w:i/>
          <w:iCs/>
        </w:rPr>
        <w:t>s</w:t>
      </w:r>
      <w:r w:rsidRPr="003A2754">
        <w:rPr>
          <w:i/>
          <w:iCs/>
        </w:rPr>
        <w:t xml:space="preserve"> that he has pr</w:t>
      </w:r>
      <w:r w:rsidR="00284EA8" w:rsidRPr="003A2754">
        <w:rPr>
          <w:i/>
          <w:iCs/>
        </w:rPr>
        <w:t xml:space="preserve">ospects </w:t>
      </w:r>
      <w:r w:rsidRPr="003A2754">
        <w:rPr>
          <w:i/>
          <w:iCs/>
        </w:rPr>
        <w:t xml:space="preserve">of success on appeal and that those prospects are not </w:t>
      </w:r>
      <w:r w:rsidR="00284EA8" w:rsidRPr="003A2754">
        <w:rPr>
          <w:i/>
          <w:iCs/>
        </w:rPr>
        <w:t>remote but</w:t>
      </w:r>
      <w:r w:rsidRPr="003A2754">
        <w:rPr>
          <w:i/>
          <w:iCs/>
        </w:rPr>
        <w:t xml:space="preserve"> have a realistic chance of succeeding. More is required to be established th</w:t>
      </w:r>
      <w:r w:rsidR="00284EA8" w:rsidRPr="003A2754">
        <w:rPr>
          <w:i/>
          <w:iCs/>
        </w:rPr>
        <w:t>a</w:t>
      </w:r>
      <w:r w:rsidRPr="003A2754">
        <w:rPr>
          <w:i/>
          <w:iCs/>
        </w:rPr>
        <w:t>n that there is a mere possibility of success</w:t>
      </w:r>
      <w:r w:rsidR="0002645E" w:rsidRPr="003A2754">
        <w:rPr>
          <w:i/>
          <w:iCs/>
        </w:rPr>
        <w:t>,</w:t>
      </w:r>
      <w:r w:rsidRPr="003A2754">
        <w:rPr>
          <w:i/>
          <w:iCs/>
        </w:rPr>
        <w:t xml:space="preserve"> that the case is arguable o</w:t>
      </w:r>
      <w:r w:rsidR="0002645E" w:rsidRPr="003A2754">
        <w:rPr>
          <w:i/>
          <w:iCs/>
        </w:rPr>
        <w:t>r</w:t>
      </w:r>
      <w:r w:rsidRPr="003A2754">
        <w:rPr>
          <w:i/>
          <w:iCs/>
        </w:rPr>
        <w:t xml:space="preserve"> </w:t>
      </w:r>
      <w:r w:rsidR="0002645E" w:rsidRPr="003A2754">
        <w:rPr>
          <w:i/>
          <w:iCs/>
        </w:rPr>
        <w:t xml:space="preserve">that </w:t>
      </w:r>
      <w:r w:rsidR="00284EA8" w:rsidRPr="003A2754">
        <w:rPr>
          <w:i/>
          <w:iCs/>
        </w:rPr>
        <w:t xml:space="preserve">the case </w:t>
      </w:r>
      <w:r w:rsidRPr="003A2754">
        <w:rPr>
          <w:i/>
          <w:iCs/>
        </w:rPr>
        <w:t>cannot be categorised as hopeless</w:t>
      </w:r>
      <w:r w:rsidR="0002645E" w:rsidRPr="003A2754">
        <w:rPr>
          <w:i/>
          <w:iCs/>
        </w:rPr>
        <w:t>. There must</w:t>
      </w:r>
      <w:r w:rsidRPr="003A2754">
        <w:rPr>
          <w:i/>
          <w:iCs/>
        </w:rPr>
        <w:t xml:space="preserve"> fear, in other w</w:t>
      </w:r>
      <w:r w:rsidR="0002645E" w:rsidRPr="003A2754">
        <w:rPr>
          <w:i/>
          <w:iCs/>
        </w:rPr>
        <w:t>ord</w:t>
      </w:r>
      <w:r w:rsidRPr="003A2754">
        <w:rPr>
          <w:i/>
          <w:iCs/>
        </w:rPr>
        <w:t>s</w:t>
      </w:r>
      <w:r w:rsidR="0002645E" w:rsidRPr="003A2754">
        <w:rPr>
          <w:i/>
          <w:iCs/>
        </w:rPr>
        <w:t>,</w:t>
      </w:r>
      <w:r w:rsidRPr="003A2754">
        <w:rPr>
          <w:i/>
          <w:iCs/>
        </w:rPr>
        <w:t xml:space="preserve"> be a sound, rational basis for the conclusion that there are prospects of successful appeal.”</w:t>
      </w:r>
    </w:p>
    <w:p w14:paraId="2949EB8B" w14:textId="77777777" w:rsidR="00F41280" w:rsidRPr="003A2754" w:rsidRDefault="00F41280" w:rsidP="006C5820">
      <w:pPr>
        <w:tabs>
          <w:tab w:val="left" w:pos="3000"/>
        </w:tabs>
        <w:spacing w:line="480" w:lineRule="auto"/>
        <w:jc w:val="both"/>
      </w:pPr>
    </w:p>
    <w:p w14:paraId="130DC1BC" w14:textId="7EC394DC" w:rsidR="008B1BBD" w:rsidRPr="003A2754" w:rsidRDefault="008B1BBD" w:rsidP="006C5820">
      <w:pPr>
        <w:tabs>
          <w:tab w:val="left" w:pos="3000"/>
        </w:tabs>
        <w:spacing w:line="480" w:lineRule="auto"/>
        <w:jc w:val="both"/>
      </w:pPr>
      <w:r w:rsidRPr="003A2754">
        <w:t xml:space="preserve">[13] </w:t>
      </w:r>
      <w:r w:rsidR="0002645E" w:rsidRPr="003A2754">
        <w:t>I</w:t>
      </w:r>
      <w:r w:rsidRPr="003A2754">
        <w:t>n this application</w:t>
      </w:r>
      <w:r w:rsidR="0002645E" w:rsidRPr="003A2754">
        <w:t xml:space="preserve">, </w:t>
      </w:r>
      <w:r w:rsidRPr="003A2754">
        <w:t xml:space="preserve">I have not been persuaded that the </w:t>
      </w:r>
      <w:r w:rsidR="0002645E" w:rsidRPr="003A2754">
        <w:t>A</w:t>
      </w:r>
      <w:r w:rsidRPr="003A2754">
        <w:t xml:space="preserve">pplicants </w:t>
      </w:r>
      <w:r w:rsidR="0002645E" w:rsidRPr="003A2754">
        <w:t>have satisfied the requirements of an application for leave to appeal as</w:t>
      </w:r>
      <w:r w:rsidRPr="003A2754">
        <w:t xml:space="preserve"> set out in s</w:t>
      </w:r>
      <w:r w:rsidR="0002645E" w:rsidRPr="003A2754">
        <w:t xml:space="preserve"> 17(1)(a)(</w:t>
      </w:r>
      <w:proofErr w:type="spellStart"/>
      <w:r w:rsidR="0002645E" w:rsidRPr="003A2754">
        <w:t>i</w:t>
      </w:r>
      <w:proofErr w:type="spellEnd"/>
      <w:r w:rsidR="0002645E" w:rsidRPr="003A2754">
        <w:t xml:space="preserve">) and (ii) </w:t>
      </w:r>
      <w:r w:rsidRPr="003A2754">
        <w:t xml:space="preserve">of </w:t>
      </w:r>
      <w:r w:rsidR="0002645E" w:rsidRPr="003A2754">
        <w:t xml:space="preserve">Superior Courts Act 10 of </w:t>
      </w:r>
      <w:r w:rsidR="000876ED" w:rsidRPr="003A2754">
        <w:t>2013. The application can therefore not succeed.</w:t>
      </w:r>
    </w:p>
    <w:p w14:paraId="016E1619" w14:textId="5BA3B671" w:rsidR="008B1BBD" w:rsidRPr="003A2754" w:rsidRDefault="000876ED" w:rsidP="006C5820">
      <w:pPr>
        <w:tabs>
          <w:tab w:val="left" w:pos="3000"/>
        </w:tabs>
        <w:spacing w:line="480" w:lineRule="auto"/>
        <w:jc w:val="both"/>
      </w:pPr>
      <w:r w:rsidRPr="003A2754">
        <w:t>The following order is accordingly made:</w:t>
      </w:r>
    </w:p>
    <w:p w14:paraId="071E49DE" w14:textId="5AC4DFD5" w:rsidR="008B1BBD" w:rsidRDefault="000876ED" w:rsidP="006C5820">
      <w:pPr>
        <w:tabs>
          <w:tab w:val="left" w:pos="3000"/>
        </w:tabs>
        <w:spacing w:line="480" w:lineRule="auto"/>
        <w:jc w:val="both"/>
        <w:rPr>
          <w:b/>
          <w:bCs/>
        </w:rPr>
      </w:pPr>
      <w:r w:rsidRPr="003A2754">
        <w:rPr>
          <w:b/>
          <w:bCs/>
        </w:rPr>
        <w:t>T</w:t>
      </w:r>
      <w:r w:rsidR="008B1BBD" w:rsidRPr="003A2754">
        <w:rPr>
          <w:b/>
          <w:bCs/>
        </w:rPr>
        <w:t xml:space="preserve">he application for </w:t>
      </w:r>
      <w:r w:rsidRPr="003A2754">
        <w:rPr>
          <w:b/>
          <w:bCs/>
        </w:rPr>
        <w:t xml:space="preserve">leave to </w:t>
      </w:r>
      <w:r w:rsidR="008B1BBD" w:rsidRPr="003A2754">
        <w:rPr>
          <w:b/>
          <w:bCs/>
        </w:rPr>
        <w:t>appeal is hereb</w:t>
      </w:r>
      <w:r w:rsidR="008B1BBD" w:rsidRPr="000876ED">
        <w:rPr>
          <w:b/>
          <w:bCs/>
        </w:rPr>
        <w:t>y refused</w:t>
      </w:r>
      <w:r w:rsidRPr="000876ED">
        <w:rPr>
          <w:b/>
          <w:bCs/>
        </w:rPr>
        <w:t>,</w:t>
      </w:r>
      <w:r w:rsidR="008B1BBD" w:rsidRPr="000876ED">
        <w:rPr>
          <w:b/>
          <w:bCs/>
        </w:rPr>
        <w:t xml:space="preserve"> with costs.</w:t>
      </w:r>
    </w:p>
    <w:p w14:paraId="4DCBD1F5" w14:textId="1F428D35" w:rsidR="00676D66" w:rsidRDefault="00676D66" w:rsidP="006C5820">
      <w:pPr>
        <w:tabs>
          <w:tab w:val="left" w:pos="3000"/>
        </w:tabs>
        <w:spacing w:line="480" w:lineRule="auto"/>
        <w:jc w:val="both"/>
        <w:rPr>
          <w:b/>
          <w:bCs/>
        </w:rPr>
      </w:pPr>
    </w:p>
    <w:p w14:paraId="572FDEA1" w14:textId="627C9F0D" w:rsidR="00676D66" w:rsidRDefault="00676D66" w:rsidP="006C5820">
      <w:pPr>
        <w:tabs>
          <w:tab w:val="left" w:pos="3000"/>
        </w:tabs>
        <w:spacing w:line="480" w:lineRule="auto"/>
        <w:jc w:val="both"/>
        <w:rPr>
          <w:b/>
          <w:bCs/>
        </w:rPr>
      </w:pPr>
    </w:p>
    <w:p w14:paraId="61EEAA62" w14:textId="1C472267" w:rsidR="00676D66" w:rsidRDefault="00676D66" w:rsidP="006C5820">
      <w:pPr>
        <w:tabs>
          <w:tab w:val="left" w:pos="3000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-------------------------------------------</w:t>
      </w:r>
    </w:p>
    <w:p w14:paraId="6FFF8728" w14:textId="3EFE3979" w:rsidR="00676D66" w:rsidRDefault="00676D66" w:rsidP="006C5820">
      <w:pPr>
        <w:tabs>
          <w:tab w:val="left" w:pos="3000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P M MABUSE</w:t>
      </w:r>
    </w:p>
    <w:p w14:paraId="1D27E404" w14:textId="39EFB7EA" w:rsidR="00676D66" w:rsidRDefault="00676D66" w:rsidP="006C5820">
      <w:pPr>
        <w:tabs>
          <w:tab w:val="left" w:pos="3000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JUDGE OF THE HIGH COURT</w:t>
      </w:r>
    </w:p>
    <w:p w14:paraId="3C6F677F" w14:textId="18E244A9" w:rsidR="00676D66" w:rsidRDefault="00676D66" w:rsidP="006C5820">
      <w:pPr>
        <w:tabs>
          <w:tab w:val="left" w:pos="3000"/>
        </w:tabs>
        <w:spacing w:line="480" w:lineRule="auto"/>
        <w:jc w:val="both"/>
        <w:rPr>
          <w:b/>
          <w:bCs/>
        </w:rPr>
      </w:pPr>
    </w:p>
    <w:p w14:paraId="3B70D2D9" w14:textId="1DE72EFC" w:rsidR="00676D66" w:rsidRDefault="00676D66" w:rsidP="006C5820">
      <w:pPr>
        <w:tabs>
          <w:tab w:val="left" w:pos="3000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>Appearances:</w:t>
      </w:r>
    </w:p>
    <w:p w14:paraId="49022B39" w14:textId="7DC9AF5C" w:rsidR="00676D66" w:rsidRDefault="00676D66" w:rsidP="006C5820">
      <w:pPr>
        <w:tabs>
          <w:tab w:val="left" w:pos="3000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>Counsel for the Applicants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Adv</w:t>
      </w:r>
      <w:proofErr w:type="spellEnd"/>
      <w:r>
        <w:rPr>
          <w:b/>
          <w:bCs/>
        </w:rPr>
        <w:t xml:space="preserve"> B Stevens</w:t>
      </w:r>
    </w:p>
    <w:p w14:paraId="72C26813" w14:textId="405E5402" w:rsidR="00676D66" w:rsidRDefault="00676D66" w:rsidP="006C5820">
      <w:pPr>
        <w:tabs>
          <w:tab w:val="left" w:pos="3000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>Instructed by</w:t>
      </w:r>
      <w:r w:rsidR="00500FAA">
        <w:rPr>
          <w:b/>
          <w:bCs/>
        </w:rPr>
        <w:t xml:space="preserve">      </w:t>
      </w:r>
      <w:r w:rsidR="00500FAA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Morgan Law </w:t>
      </w:r>
      <w:proofErr w:type="spellStart"/>
      <w:r>
        <w:rPr>
          <w:b/>
          <w:bCs/>
        </w:rPr>
        <w:t>Inc</w:t>
      </w:r>
      <w:proofErr w:type="spellEnd"/>
    </w:p>
    <w:p w14:paraId="3EC6B5F7" w14:textId="7136E932" w:rsidR="00676D66" w:rsidRDefault="00676D66" w:rsidP="006C5820">
      <w:pPr>
        <w:tabs>
          <w:tab w:val="left" w:pos="3000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c/o </w:t>
      </w:r>
      <w:proofErr w:type="spellStart"/>
      <w:r>
        <w:rPr>
          <w:b/>
          <w:bCs/>
        </w:rPr>
        <w:t>Hammel</w:t>
      </w:r>
      <w:proofErr w:type="spellEnd"/>
      <w:r>
        <w:rPr>
          <w:b/>
          <w:bCs/>
        </w:rPr>
        <w:t xml:space="preserve"> Attorneys</w:t>
      </w:r>
    </w:p>
    <w:p w14:paraId="2E01F14E" w14:textId="2D3D8378" w:rsidR="00676D66" w:rsidRDefault="00676D66" w:rsidP="006C5820">
      <w:pPr>
        <w:tabs>
          <w:tab w:val="left" w:pos="3000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 xml:space="preserve">Counsel for the Respondent                                    </w:t>
      </w:r>
      <w:proofErr w:type="spellStart"/>
      <w:r>
        <w:rPr>
          <w:b/>
          <w:bCs/>
        </w:rPr>
        <w:t>Adv</w:t>
      </w:r>
      <w:proofErr w:type="spellEnd"/>
      <w:r>
        <w:rPr>
          <w:b/>
          <w:bCs/>
        </w:rPr>
        <w:t xml:space="preserve">  T </w:t>
      </w:r>
      <w:proofErr w:type="spellStart"/>
      <w:r>
        <w:rPr>
          <w:b/>
          <w:bCs/>
        </w:rPr>
        <w:t>Ramogale</w:t>
      </w:r>
      <w:proofErr w:type="spellEnd"/>
    </w:p>
    <w:p w14:paraId="7EF94AD1" w14:textId="1A9554FD" w:rsidR="00676D66" w:rsidRDefault="00676D66" w:rsidP="006C5820">
      <w:pPr>
        <w:tabs>
          <w:tab w:val="left" w:pos="3000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 xml:space="preserve">Instructed by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Edward Nathan </w:t>
      </w:r>
      <w:proofErr w:type="spellStart"/>
      <w:r>
        <w:rPr>
          <w:b/>
          <w:bCs/>
        </w:rPr>
        <w:t>Sonnenberg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r w:rsidR="00500FAA">
        <w:rPr>
          <w:b/>
          <w:bCs/>
        </w:rPr>
        <w:t>nc</w:t>
      </w:r>
      <w:proofErr w:type="spellEnd"/>
      <w:r w:rsidR="00500FAA">
        <w:rPr>
          <w:b/>
          <w:bCs/>
        </w:rPr>
        <w:t>;</w:t>
      </w:r>
    </w:p>
    <w:p w14:paraId="6DEA2DBF" w14:textId="0BD2E761" w:rsidR="00500FAA" w:rsidRDefault="00500FAA" w:rsidP="006C5820">
      <w:pPr>
        <w:tabs>
          <w:tab w:val="left" w:pos="3000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>Date Heard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 December 2022</w:t>
      </w:r>
    </w:p>
    <w:p w14:paraId="3503295D" w14:textId="0A912F59" w:rsidR="00500FAA" w:rsidRPr="000876ED" w:rsidRDefault="00500FAA" w:rsidP="006C5820">
      <w:pPr>
        <w:tabs>
          <w:tab w:val="left" w:pos="3000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>Date of Judgment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 December 2022.</w:t>
      </w:r>
    </w:p>
    <w:sectPr w:rsidR="00500FAA" w:rsidRPr="000876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CF5B6" w14:textId="77777777" w:rsidR="008C2C20" w:rsidRDefault="008C2C20" w:rsidP="00045795">
      <w:r>
        <w:separator/>
      </w:r>
    </w:p>
  </w:endnote>
  <w:endnote w:type="continuationSeparator" w:id="0">
    <w:p w14:paraId="33CAF3DB" w14:textId="77777777" w:rsidR="008C2C20" w:rsidRDefault="008C2C20" w:rsidP="0004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2A0A6" w14:textId="77777777" w:rsidR="00045795" w:rsidRDefault="000457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010904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39AE1F1" w14:textId="2FE2D96E" w:rsidR="00500FAA" w:rsidRDefault="00500FA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2543" w:rsidRPr="00682543">
          <w:rPr>
            <w:b/>
            <w:bCs/>
            <w:noProof/>
          </w:rPr>
          <w:t>7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FA2E622" w14:textId="77777777" w:rsidR="00045795" w:rsidRDefault="000457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98FFC" w14:textId="77777777" w:rsidR="00045795" w:rsidRDefault="000457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44692" w14:textId="77777777" w:rsidR="008C2C20" w:rsidRDefault="008C2C20" w:rsidP="00045795">
      <w:r>
        <w:separator/>
      </w:r>
    </w:p>
  </w:footnote>
  <w:footnote w:type="continuationSeparator" w:id="0">
    <w:p w14:paraId="397D7319" w14:textId="77777777" w:rsidR="008C2C20" w:rsidRDefault="008C2C20" w:rsidP="00045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10333" w14:textId="77777777" w:rsidR="00045795" w:rsidRDefault="000457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C2AF6" w14:textId="77777777" w:rsidR="00045795" w:rsidRDefault="000457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AA23A" w14:textId="77777777" w:rsidR="00045795" w:rsidRDefault="000457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851EC"/>
    <w:multiLevelType w:val="hybridMultilevel"/>
    <w:tmpl w:val="0A024414"/>
    <w:lvl w:ilvl="0" w:tplc="5308D788">
      <w:start w:val="2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A20C3E"/>
    <w:multiLevelType w:val="hybridMultilevel"/>
    <w:tmpl w:val="2F6EE408"/>
    <w:lvl w:ilvl="0" w:tplc="F08E41CA">
      <w:start w:val="1"/>
      <w:numFmt w:val="lowerLetter"/>
      <w:lvlText w:val="(%1)"/>
      <w:lvlJc w:val="left"/>
      <w:pPr>
        <w:ind w:left="720" w:hanging="360"/>
      </w:pPr>
      <w:rPr>
        <w:rFonts w:ascii="Arial Unicode MS" w:eastAsia="Arial Unicode MS" w:hAnsi="Arial Unicode MS" w:cs="Arial Unicode MS"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16"/>
    <w:rsid w:val="0002645E"/>
    <w:rsid w:val="00045795"/>
    <w:rsid w:val="0005157E"/>
    <w:rsid w:val="000876ED"/>
    <w:rsid w:val="000950ED"/>
    <w:rsid w:val="000A1D6F"/>
    <w:rsid w:val="000A5DF5"/>
    <w:rsid w:val="00126D80"/>
    <w:rsid w:val="00157FF4"/>
    <w:rsid w:val="00180657"/>
    <w:rsid w:val="00193DEE"/>
    <w:rsid w:val="001B0353"/>
    <w:rsid w:val="001E527B"/>
    <w:rsid w:val="00254E7B"/>
    <w:rsid w:val="0026052D"/>
    <w:rsid w:val="00284EA8"/>
    <w:rsid w:val="002B41D0"/>
    <w:rsid w:val="002D4457"/>
    <w:rsid w:val="00311091"/>
    <w:rsid w:val="003528AE"/>
    <w:rsid w:val="003710DD"/>
    <w:rsid w:val="003A2754"/>
    <w:rsid w:val="003A6D63"/>
    <w:rsid w:val="003B0639"/>
    <w:rsid w:val="003E64C2"/>
    <w:rsid w:val="00402FE4"/>
    <w:rsid w:val="0041488E"/>
    <w:rsid w:val="00452A61"/>
    <w:rsid w:val="00463FD8"/>
    <w:rsid w:val="00467E5D"/>
    <w:rsid w:val="004A02D5"/>
    <w:rsid w:val="004E45C0"/>
    <w:rsid w:val="004E7AD6"/>
    <w:rsid w:val="00500FAA"/>
    <w:rsid w:val="00580708"/>
    <w:rsid w:val="00596F35"/>
    <w:rsid w:val="005F28F5"/>
    <w:rsid w:val="005F68F5"/>
    <w:rsid w:val="00614EE9"/>
    <w:rsid w:val="00676D66"/>
    <w:rsid w:val="00682543"/>
    <w:rsid w:val="006C5820"/>
    <w:rsid w:val="006E1FC6"/>
    <w:rsid w:val="006E34CA"/>
    <w:rsid w:val="00751512"/>
    <w:rsid w:val="007A0218"/>
    <w:rsid w:val="007A7EF6"/>
    <w:rsid w:val="008238DC"/>
    <w:rsid w:val="008305FF"/>
    <w:rsid w:val="00832F03"/>
    <w:rsid w:val="00897E4A"/>
    <w:rsid w:val="008B1BBD"/>
    <w:rsid w:val="008C1D3B"/>
    <w:rsid w:val="008C2C20"/>
    <w:rsid w:val="008D0832"/>
    <w:rsid w:val="008E10FC"/>
    <w:rsid w:val="009425FC"/>
    <w:rsid w:val="00942E04"/>
    <w:rsid w:val="00944766"/>
    <w:rsid w:val="00982AFA"/>
    <w:rsid w:val="009B7BE5"/>
    <w:rsid w:val="009E6154"/>
    <w:rsid w:val="00A52758"/>
    <w:rsid w:val="00A90069"/>
    <w:rsid w:val="00AB0F4D"/>
    <w:rsid w:val="00AC021A"/>
    <w:rsid w:val="00B043D7"/>
    <w:rsid w:val="00B11859"/>
    <w:rsid w:val="00B31259"/>
    <w:rsid w:val="00B43316"/>
    <w:rsid w:val="00B857AC"/>
    <w:rsid w:val="00BF017A"/>
    <w:rsid w:val="00BF2BC2"/>
    <w:rsid w:val="00C059E1"/>
    <w:rsid w:val="00C33662"/>
    <w:rsid w:val="00C815BB"/>
    <w:rsid w:val="00CB1B7F"/>
    <w:rsid w:val="00DC676D"/>
    <w:rsid w:val="00E4245C"/>
    <w:rsid w:val="00E609B2"/>
    <w:rsid w:val="00E71C50"/>
    <w:rsid w:val="00E71EF3"/>
    <w:rsid w:val="00E77F3C"/>
    <w:rsid w:val="00E958F5"/>
    <w:rsid w:val="00EE6FA2"/>
    <w:rsid w:val="00EF6AC1"/>
    <w:rsid w:val="00F41280"/>
    <w:rsid w:val="00F9413D"/>
    <w:rsid w:val="00F950C0"/>
    <w:rsid w:val="00F95E48"/>
    <w:rsid w:val="00F979EC"/>
    <w:rsid w:val="00FA2505"/>
    <w:rsid w:val="00FD0488"/>
    <w:rsid w:val="00FD70F3"/>
    <w:rsid w:val="00FE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,"/>
  <w14:docId w14:val="4CB8F60E"/>
  <w15:docId w15:val="{92FFDA25-F582-4DD5-A357-825F6D8D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7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57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79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457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795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0409E.9324623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mabuse</dc:creator>
  <cp:keywords/>
  <dc:description/>
  <cp:lastModifiedBy>Mary Bruce</cp:lastModifiedBy>
  <cp:revision>3</cp:revision>
  <cp:lastPrinted>2022-12-18T09:31:00Z</cp:lastPrinted>
  <dcterms:created xsi:type="dcterms:W3CDTF">2022-12-20T11:16:00Z</dcterms:created>
  <dcterms:modified xsi:type="dcterms:W3CDTF">2023-01-23T12:33:00Z</dcterms:modified>
</cp:coreProperties>
</file>