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EB8E4C" w14:textId="77777777" w:rsidR="006C3CCF" w:rsidRPr="00013FC1" w:rsidRDefault="006C3CCF" w:rsidP="006C3CCF">
      <w:pPr>
        <w:tabs>
          <w:tab w:val="left" w:pos="851"/>
          <w:tab w:val="left" w:pos="1701"/>
          <w:tab w:val="left" w:pos="2694"/>
          <w:tab w:val="right" w:pos="8595"/>
        </w:tabs>
        <w:spacing w:before="360"/>
        <w:contextualSpacing/>
        <w:jc w:val="center"/>
        <w:rPr>
          <w:rFonts w:eastAsia="Calibri"/>
          <w:b/>
          <w:bCs w:val="0"/>
          <w:kern w:val="0"/>
          <w:sz w:val="25"/>
          <w:szCs w:val="25"/>
          <w:lang w:val="en-GB"/>
        </w:rPr>
      </w:pPr>
      <w:r w:rsidRPr="00013FC1">
        <w:rPr>
          <w:rFonts w:eastAsia="Calibri"/>
          <w:bCs w:val="0"/>
          <w:kern w:val="0"/>
          <w:sz w:val="25"/>
          <w:lang w:val="en-US"/>
        </w:rPr>
        <w:fldChar w:fldCharType="begin"/>
      </w:r>
      <w:r w:rsidRPr="00013FC1">
        <w:rPr>
          <w:rFonts w:eastAsia="Calibri"/>
          <w:bCs w:val="0"/>
          <w:kern w:val="0"/>
          <w:sz w:val="25"/>
          <w:lang w:val="en-US"/>
        </w:rPr>
        <w:instrText xml:space="preserve"> INCLUDEPICTURE  "cid:image001.png@01D102A3.6AE54470" \* MERGEFORMATINET </w:instrText>
      </w:r>
      <w:r w:rsidRPr="00013FC1">
        <w:rPr>
          <w:rFonts w:eastAsia="Calibri"/>
          <w:bCs w:val="0"/>
          <w:kern w:val="0"/>
          <w:sz w:val="25"/>
          <w:lang w:val="en-US"/>
        </w:rPr>
        <w:fldChar w:fldCharType="separate"/>
      </w:r>
      <w:r>
        <w:rPr>
          <w:rFonts w:eastAsia="Calibri"/>
          <w:bCs w:val="0"/>
          <w:kern w:val="0"/>
          <w:sz w:val="25"/>
          <w:lang w:val="en-US"/>
        </w:rPr>
        <w:fldChar w:fldCharType="begin"/>
      </w:r>
      <w:r>
        <w:rPr>
          <w:rFonts w:eastAsia="Calibri"/>
          <w:bCs w:val="0"/>
          <w:kern w:val="0"/>
          <w:sz w:val="25"/>
          <w:lang w:val="en-US"/>
        </w:rPr>
        <w:instrText xml:space="preserve"> INCLUDEPICTURE  "cid:image001.png@01D102A3.6AE54470" \* MERGEFORMATINET </w:instrText>
      </w:r>
      <w:r>
        <w:rPr>
          <w:rFonts w:eastAsia="Calibri"/>
          <w:bCs w:val="0"/>
          <w:kern w:val="0"/>
          <w:sz w:val="25"/>
          <w:lang w:val="en-US"/>
        </w:rPr>
        <w:fldChar w:fldCharType="separate"/>
      </w:r>
      <w:r>
        <w:rPr>
          <w:rFonts w:eastAsia="Calibri"/>
          <w:bCs w:val="0"/>
          <w:kern w:val="0"/>
          <w:sz w:val="25"/>
          <w:lang w:val="en-US"/>
        </w:rPr>
        <w:fldChar w:fldCharType="begin"/>
      </w:r>
      <w:r>
        <w:rPr>
          <w:rFonts w:eastAsia="Calibri"/>
          <w:bCs w:val="0"/>
          <w:kern w:val="0"/>
          <w:sz w:val="25"/>
          <w:lang w:val="en-US"/>
        </w:rPr>
        <w:instrText xml:space="preserve"> INCLUDEPICTURE  "cid:image001.png@01D102A3.6AE54470" \* MERGEFORMATINET </w:instrText>
      </w:r>
      <w:r>
        <w:rPr>
          <w:rFonts w:eastAsia="Calibri"/>
          <w:bCs w:val="0"/>
          <w:kern w:val="0"/>
          <w:sz w:val="25"/>
          <w:lang w:val="en-US"/>
        </w:rPr>
        <w:fldChar w:fldCharType="separate"/>
      </w:r>
      <w:r>
        <w:rPr>
          <w:rFonts w:eastAsia="Calibri"/>
          <w:bCs w:val="0"/>
          <w:kern w:val="0"/>
          <w:sz w:val="25"/>
          <w:lang w:val="en-US"/>
        </w:rPr>
        <w:fldChar w:fldCharType="begin"/>
      </w:r>
      <w:r>
        <w:rPr>
          <w:rFonts w:eastAsia="Calibri"/>
          <w:bCs w:val="0"/>
          <w:kern w:val="0"/>
          <w:sz w:val="25"/>
          <w:lang w:val="en-US"/>
        </w:rPr>
        <w:instrText xml:space="preserve"> INCLUDEPICTURE  "cid:image001.png@01D102A3.6AE54470" \* MERGEFORMATINET </w:instrText>
      </w:r>
      <w:r>
        <w:rPr>
          <w:rFonts w:eastAsia="Calibri"/>
          <w:bCs w:val="0"/>
          <w:kern w:val="0"/>
          <w:sz w:val="25"/>
          <w:lang w:val="en-US"/>
        </w:rPr>
        <w:fldChar w:fldCharType="separate"/>
      </w:r>
      <w:r>
        <w:rPr>
          <w:rFonts w:eastAsia="Calibri"/>
          <w:bCs w:val="0"/>
          <w:kern w:val="0"/>
          <w:sz w:val="25"/>
          <w:lang w:val="en-US"/>
        </w:rPr>
        <w:fldChar w:fldCharType="begin"/>
      </w:r>
      <w:r>
        <w:rPr>
          <w:rFonts w:eastAsia="Calibri"/>
          <w:bCs w:val="0"/>
          <w:kern w:val="0"/>
          <w:sz w:val="25"/>
          <w:lang w:val="en-US"/>
        </w:rPr>
        <w:instrText xml:space="preserve"> INCLUDEPICTURE  "cid:image001.png@01D102A3.6AE54470" \* MERGEFORMATINET </w:instrText>
      </w:r>
      <w:r>
        <w:rPr>
          <w:rFonts w:eastAsia="Calibri"/>
          <w:bCs w:val="0"/>
          <w:kern w:val="0"/>
          <w:sz w:val="25"/>
          <w:lang w:val="en-US"/>
        </w:rPr>
        <w:fldChar w:fldCharType="separate"/>
      </w:r>
      <w:r>
        <w:rPr>
          <w:rFonts w:eastAsia="Calibri"/>
          <w:bCs w:val="0"/>
          <w:kern w:val="0"/>
          <w:sz w:val="25"/>
          <w:lang w:val="en-US"/>
        </w:rPr>
        <w:fldChar w:fldCharType="begin"/>
      </w:r>
      <w:r>
        <w:rPr>
          <w:rFonts w:eastAsia="Calibri"/>
          <w:bCs w:val="0"/>
          <w:kern w:val="0"/>
          <w:sz w:val="25"/>
          <w:lang w:val="en-US"/>
        </w:rPr>
        <w:instrText xml:space="preserve"> INCLUDEPICTURE  "cid:image001.png@01D102A3.6AE54470" \* MERGEFORMATINET </w:instrText>
      </w:r>
      <w:r>
        <w:rPr>
          <w:rFonts w:eastAsia="Calibri"/>
          <w:bCs w:val="0"/>
          <w:kern w:val="0"/>
          <w:sz w:val="25"/>
          <w:lang w:val="en-US"/>
        </w:rPr>
        <w:fldChar w:fldCharType="separate"/>
      </w:r>
      <w:r w:rsidR="00D50019">
        <w:rPr>
          <w:rFonts w:eastAsia="Calibri"/>
          <w:bCs w:val="0"/>
          <w:kern w:val="0"/>
          <w:sz w:val="25"/>
          <w:lang w:val="en-US"/>
        </w:rPr>
        <w:fldChar w:fldCharType="begin"/>
      </w:r>
      <w:r w:rsidR="00D50019">
        <w:rPr>
          <w:rFonts w:eastAsia="Calibri"/>
          <w:bCs w:val="0"/>
          <w:kern w:val="0"/>
          <w:sz w:val="25"/>
          <w:lang w:val="en-US"/>
        </w:rPr>
        <w:instrText xml:space="preserve"> INCLUDEPICTURE  "cid:image001.png@01D102A3.6AE54470" \* MERGEFORMATINET </w:instrText>
      </w:r>
      <w:r w:rsidR="00D50019">
        <w:rPr>
          <w:rFonts w:eastAsia="Calibri"/>
          <w:bCs w:val="0"/>
          <w:kern w:val="0"/>
          <w:sz w:val="25"/>
          <w:lang w:val="en-US"/>
        </w:rPr>
        <w:fldChar w:fldCharType="separate"/>
      </w:r>
      <w:r w:rsidR="00F005B1">
        <w:rPr>
          <w:rFonts w:eastAsia="Calibri"/>
          <w:bCs w:val="0"/>
          <w:kern w:val="0"/>
          <w:sz w:val="25"/>
          <w:lang w:val="en-US"/>
        </w:rPr>
        <w:fldChar w:fldCharType="begin"/>
      </w:r>
      <w:r w:rsidR="00F005B1">
        <w:rPr>
          <w:rFonts w:eastAsia="Calibri"/>
          <w:bCs w:val="0"/>
          <w:kern w:val="0"/>
          <w:sz w:val="25"/>
          <w:lang w:val="en-US"/>
        </w:rPr>
        <w:instrText xml:space="preserve"> INCLUDEPICTURE  "cid:image001.png@01D102A3.6AE54470" \* MERGEFORMATINET </w:instrText>
      </w:r>
      <w:r w:rsidR="00F005B1">
        <w:rPr>
          <w:rFonts w:eastAsia="Calibri"/>
          <w:bCs w:val="0"/>
          <w:kern w:val="0"/>
          <w:sz w:val="25"/>
          <w:lang w:val="en-US"/>
        </w:rPr>
        <w:fldChar w:fldCharType="separate"/>
      </w:r>
      <w:r w:rsidR="00C44753">
        <w:rPr>
          <w:rFonts w:eastAsia="Calibri"/>
          <w:bCs w:val="0"/>
          <w:kern w:val="0"/>
          <w:sz w:val="25"/>
          <w:lang w:val="en-US"/>
        </w:rPr>
        <w:fldChar w:fldCharType="begin"/>
      </w:r>
      <w:r w:rsidR="00C44753">
        <w:rPr>
          <w:rFonts w:eastAsia="Calibri"/>
          <w:bCs w:val="0"/>
          <w:kern w:val="0"/>
          <w:sz w:val="25"/>
          <w:lang w:val="en-US"/>
        </w:rPr>
        <w:instrText xml:space="preserve"> INCLUDEPICTURE  "cid:image001.png@01D102A3.6AE54470" \* MERGEFORMATINET </w:instrText>
      </w:r>
      <w:r w:rsidR="00C44753">
        <w:rPr>
          <w:rFonts w:eastAsia="Calibri"/>
          <w:bCs w:val="0"/>
          <w:kern w:val="0"/>
          <w:sz w:val="25"/>
          <w:lang w:val="en-US"/>
        </w:rPr>
        <w:fldChar w:fldCharType="separate"/>
      </w:r>
      <w:r w:rsidR="00E45FB5">
        <w:rPr>
          <w:rFonts w:eastAsia="Calibri"/>
          <w:bCs w:val="0"/>
          <w:kern w:val="0"/>
          <w:sz w:val="25"/>
          <w:lang w:val="en-US"/>
        </w:rPr>
        <w:fldChar w:fldCharType="begin"/>
      </w:r>
      <w:r w:rsidR="00E45FB5">
        <w:rPr>
          <w:rFonts w:eastAsia="Calibri"/>
          <w:bCs w:val="0"/>
          <w:kern w:val="0"/>
          <w:sz w:val="25"/>
          <w:lang w:val="en-US"/>
        </w:rPr>
        <w:instrText xml:space="preserve"> INCLUDEPICTURE  "cid:image001.png@01D102A3.6AE54470" \* MERGEFORMATINET </w:instrText>
      </w:r>
      <w:r w:rsidR="00E45FB5">
        <w:rPr>
          <w:rFonts w:eastAsia="Calibri"/>
          <w:bCs w:val="0"/>
          <w:kern w:val="0"/>
          <w:sz w:val="25"/>
          <w:lang w:val="en-US"/>
        </w:rPr>
        <w:fldChar w:fldCharType="separate"/>
      </w:r>
      <w:r w:rsidR="002C37CF">
        <w:rPr>
          <w:rFonts w:eastAsia="Calibri"/>
          <w:bCs w:val="0"/>
          <w:kern w:val="0"/>
          <w:sz w:val="25"/>
          <w:lang w:val="en-US"/>
        </w:rPr>
        <w:fldChar w:fldCharType="begin"/>
      </w:r>
      <w:r w:rsidR="002C37CF">
        <w:rPr>
          <w:rFonts w:eastAsia="Calibri"/>
          <w:bCs w:val="0"/>
          <w:kern w:val="0"/>
          <w:sz w:val="25"/>
          <w:lang w:val="en-US"/>
        </w:rPr>
        <w:instrText xml:space="preserve"> INCLUDEPICTURE  "cid:image001.png@01D102A3.6AE54470" \* MERGEFORMATINET </w:instrText>
      </w:r>
      <w:r w:rsidR="002C37CF">
        <w:rPr>
          <w:rFonts w:eastAsia="Calibri"/>
          <w:bCs w:val="0"/>
          <w:kern w:val="0"/>
          <w:sz w:val="25"/>
          <w:lang w:val="en-US"/>
        </w:rPr>
        <w:fldChar w:fldCharType="separate"/>
      </w:r>
      <w:r w:rsidR="0048012A">
        <w:rPr>
          <w:rFonts w:eastAsia="Calibri"/>
          <w:bCs w:val="0"/>
          <w:kern w:val="0"/>
          <w:sz w:val="25"/>
          <w:lang w:val="en-US"/>
        </w:rPr>
        <w:fldChar w:fldCharType="begin"/>
      </w:r>
      <w:r w:rsidR="0048012A">
        <w:rPr>
          <w:rFonts w:eastAsia="Calibri"/>
          <w:bCs w:val="0"/>
          <w:kern w:val="0"/>
          <w:sz w:val="25"/>
          <w:lang w:val="en-US"/>
        </w:rPr>
        <w:instrText xml:space="preserve"> INCLUDEPICTURE  "cid:image001.png@01D102A3.6AE54470" \* MERGEFORMATINET </w:instrText>
      </w:r>
      <w:r w:rsidR="0048012A">
        <w:rPr>
          <w:rFonts w:eastAsia="Calibri"/>
          <w:bCs w:val="0"/>
          <w:kern w:val="0"/>
          <w:sz w:val="25"/>
          <w:lang w:val="en-US"/>
        </w:rPr>
        <w:fldChar w:fldCharType="separate"/>
      </w:r>
      <w:r w:rsidR="0082784C">
        <w:rPr>
          <w:rFonts w:eastAsia="Calibri"/>
          <w:bCs w:val="0"/>
          <w:kern w:val="0"/>
          <w:sz w:val="25"/>
          <w:lang w:val="en-US"/>
        </w:rPr>
        <w:fldChar w:fldCharType="begin"/>
      </w:r>
      <w:r w:rsidR="0082784C">
        <w:rPr>
          <w:rFonts w:eastAsia="Calibri"/>
          <w:bCs w:val="0"/>
          <w:kern w:val="0"/>
          <w:sz w:val="25"/>
          <w:lang w:val="en-US"/>
        </w:rPr>
        <w:instrText xml:space="preserve"> INCLUDEPICTURE  "cid:image001.png@01D102A3.6AE54470" \* MERGEFORMATINET </w:instrText>
      </w:r>
      <w:r w:rsidR="0082784C">
        <w:rPr>
          <w:rFonts w:eastAsia="Calibri"/>
          <w:bCs w:val="0"/>
          <w:kern w:val="0"/>
          <w:sz w:val="25"/>
          <w:lang w:val="en-US"/>
        </w:rPr>
        <w:fldChar w:fldCharType="separate"/>
      </w:r>
      <w:r w:rsidR="0082784C">
        <w:rPr>
          <w:rFonts w:eastAsia="Calibri"/>
          <w:bCs w:val="0"/>
          <w:kern w:val="0"/>
          <w:sz w:val="25"/>
          <w:lang w:val="en-US"/>
        </w:rPr>
        <w:fldChar w:fldCharType="begin"/>
      </w:r>
      <w:r w:rsidR="0082784C">
        <w:rPr>
          <w:rFonts w:eastAsia="Calibri"/>
          <w:bCs w:val="0"/>
          <w:kern w:val="0"/>
          <w:sz w:val="25"/>
          <w:lang w:val="en-US"/>
        </w:rPr>
        <w:instrText xml:space="preserve"> INCLUDEPICTURE  "cid:image001.png@01D102A3.6AE54470" \* MERGEFORMATINET </w:instrText>
      </w:r>
      <w:r w:rsidR="0082784C">
        <w:rPr>
          <w:rFonts w:eastAsia="Calibri"/>
          <w:bCs w:val="0"/>
          <w:kern w:val="0"/>
          <w:sz w:val="25"/>
          <w:lang w:val="en-US"/>
        </w:rPr>
        <w:fldChar w:fldCharType="separate"/>
      </w:r>
      <w:r w:rsidR="00316549">
        <w:rPr>
          <w:rFonts w:eastAsia="Calibri"/>
          <w:bCs w:val="0"/>
          <w:kern w:val="0"/>
          <w:sz w:val="25"/>
          <w:lang w:val="en-US"/>
        </w:rPr>
        <w:fldChar w:fldCharType="begin"/>
      </w:r>
      <w:r w:rsidR="00316549">
        <w:rPr>
          <w:rFonts w:eastAsia="Calibri"/>
          <w:bCs w:val="0"/>
          <w:kern w:val="0"/>
          <w:sz w:val="25"/>
          <w:lang w:val="en-US"/>
        </w:rPr>
        <w:instrText xml:space="preserve"> </w:instrText>
      </w:r>
      <w:r w:rsidR="00316549">
        <w:rPr>
          <w:rFonts w:eastAsia="Calibri"/>
          <w:bCs w:val="0"/>
          <w:kern w:val="0"/>
          <w:sz w:val="25"/>
          <w:lang w:val="en-US"/>
        </w:rPr>
        <w:instrText>INCLUDEPICTURE  "cid:image001.png@01D102A3.6AE54470" \* MERGEFORMATINET</w:instrText>
      </w:r>
      <w:r w:rsidR="00316549">
        <w:rPr>
          <w:rFonts w:eastAsia="Calibri"/>
          <w:bCs w:val="0"/>
          <w:kern w:val="0"/>
          <w:sz w:val="25"/>
          <w:lang w:val="en-US"/>
        </w:rPr>
        <w:instrText xml:space="preserve"> </w:instrText>
      </w:r>
      <w:r w:rsidR="00316549">
        <w:rPr>
          <w:rFonts w:eastAsia="Calibri"/>
          <w:bCs w:val="0"/>
          <w:kern w:val="0"/>
          <w:sz w:val="25"/>
          <w:lang w:val="en-US"/>
        </w:rPr>
        <w:fldChar w:fldCharType="separate"/>
      </w:r>
      <w:r w:rsidR="00316549">
        <w:rPr>
          <w:rFonts w:eastAsia="Calibri"/>
          <w:bCs w:val="0"/>
          <w:kern w:val="0"/>
          <w:sz w:val="25"/>
          <w:lang w:val="en-US"/>
        </w:rPr>
        <w:pict w14:anchorId="179C5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cid:image001.png@01D076AF.8E67B520" style="width:76.5pt;height:76.5pt">
            <v:imagedata r:id="rId8" r:href="rId9"/>
          </v:shape>
        </w:pict>
      </w:r>
      <w:r w:rsidR="00316549">
        <w:rPr>
          <w:rFonts w:eastAsia="Calibri"/>
          <w:bCs w:val="0"/>
          <w:kern w:val="0"/>
          <w:sz w:val="25"/>
          <w:lang w:val="en-US"/>
        </w:rPr>
        <w:fldChar w:fldCharType="end"/>
      </w:r>
      <w:r w:rsidR="0082784C">
        <w:rPr>
          <w:rFonts w:eastAsia="Calibri"/>
          <w:bCs w:val="0"/>
          <w:kern w:val="0"/>
          <w:sz w:val="25"/>
          <w:lang w:val="en-US"/>
        </w:rPr>
        <w:fldChar w:fldCharType="end"/>
      </w:r>
      <w:r w:rsidR="0082784C">
        <w:rPr>
          <w:rFonts w:eastAsia="Calibri"/>
          <w:bCs w:val="0"/>
          <w:kern w:val="0"/>
          <w:sz w:val="25"/>
          <w:lang w:val="en-US"/>
        </w:rPr>
        <w:fldChar w:fldCharType="end"/>
      </w:r>
      <w:r w:rsidR="0048012A">
        <w:rPr>
          <w:rFonts w:eastAsia="Calibri"/>
          <w:bCs w:val="0"/>
          <w:kern w:val="0"/>
          <w:sz w:val="25"/>
          <w:lang w:val="en-US"/>
        </w:rPr>
        <w:fldChar w:fldCharType="end"/>
      </w:r>
      <w:r w:rsidR="002C37CF">
        <w:rPr>
          <w:rFonts w:eastAsia="Calibri"/>
          <w:bCs w:val="0"/>
          <w:kern w:val="0"/>
          <w:sz w:val="25"/>
          <w:lang w:val="en-US"/>
        </w:rPr>
        <w:fldChar w:fldCharType="end"/>
      </w:r>
      <w:r w:rsidR="00E45FB5">
        <w:rPr>
          <w:rFonts w:eastAsia="Calibri"/>
          <w:bCs w:val="0"/>
          <w:kern w:val="0"/>
          <w:sz w:val="25"/>
          <w:lang w:val="en-US"/>
        </w:rPr>
        <w:fldChar w:fldCharType="end"/>
      </w:r>
      <w:r w:rsidR="00C44753">
        <w:rPr>
          <w:rFonts w:eastAsia="Calibri"/>
          <w:bCs w:val="0"/>
          <w:kern w:val="0"/>
          <w:sz w:val="25"/>
          <w:lang w:val="en-US"/>
        </w:rPr>
        <w:fldChar w:fldCharType="end"/>
      </w:r>
      <w:r w:rsidR="00F005B1">
        <w:rPr>
          <w:rFonts w:eastAsia="Calibri"/>
          <w:bCs w:val="0"/>
          <w:kern w:val="0"/>
          <w:sz w:val="25"/>
          <w:lang w:val="en-US"/>
        </w:rPr>
        <w:fldChar w:fldCharType="end"/>
      </w:r>
      <w:r w:rsidR="00D50019">
        <w:rPr>
          <w:rFonts w:eastAsia="Calibri"/>
          <w:bCs w:val="0"/>
          <w:kern w:val="0"/>
          <w:sz w:val="25"/>
          <w:lang w:val="en-US"/>
        </w:rPr>
        <w:fldChar w:fldCharType="end"/>
      </w:r>
      <w:r>
        <w:rPr>
          <w:rFonts w:eastAsia="Calibri"/>
          <w:bCs w:val="0"/>
          <w:kern w:val="0"/>
          <w:sz w:val="25"/>
          <w:lang w:val="en-US"/>
        </w:rPr>
        <w:fldChar w:fldCharType="end"/>
      </w:r>
      <w:r>
        <w:rPr>
          <w:rFonts w:eastAsia="Calibri"/>
          <w:bCs w:val="0"/>
          <w:kern w:val="0"/>
          <w:sz w:val="25"/>
          <w:lang w:val="en-US"/>
        </w:rPr>
        <w:fldChar w:fldCharType="end"/>
      </w:r>
      <w:r>
        <w:rPr>
          <w:rFonts w:eastAsia="Calibri"/>
          <w:bCs w:val="0"/>
          <w:kern w:val="0"/>
          <w:sz w:val="25"/>
          <w:lang w:val="en-US"/>
        </w:rPr>
        <w:fldChar w:fldCharType="end"/>
      </w:r>
      <w:r>
        <w:rPr>
          <w:rFonts w:eastAsia="Calibri"/>
          <w:bCs w:val="0"/>
          <w:kern w:val="0"/>
          <w:sz w:val="25"/>
          <w:lang w:val="en-US"/>
        </w:rPr>
        <w:fldChar w:fldCharType="end"/>
      </w:r>
      <w:r>
        <w:rPr>
          <w:rFonts w:eastAsia="Calibri"/>
          <w:bCs w:val="0"/>
          <w:kern w:val="0"/>
          <w:sz w:val="25"/>
          <w:lang w:val="en-US"/>
        </w:rPr>
        <w:fldChar w:fldCharType="end"/>
      </w:r>
      <w:r w:rsidRPr="00013FC1">
        <w:rPr>
          <w:rFonts w:eastAsia="Calibri"/>
          <w:bCs w:val="0"/>
          <w:kern w:val="0"/>
          <w:sz w:val="25"/>
          <w:lang w:val="en-US"/>
        </w:rPr>
        <w:fldChar w:fldCharType="end"/>
      </w:r>
    </w:p>
    <w:p w14:paraId="57BEBF37" w14:textId="77777777" w:rsidR="006C3CCF" w:rsidRDefault="006C3CCF" w:rsidP="006C3CCF">
      <w:pPr>
        <w:tabs>
          <w:tab w:val="left" w:pos="851"/>
          <w:tab w:val="left" w:pos="1701"/>
          <w:tab w:val="left" w:pos="2694"/>
          <w:tab w:val="right" w:pos="8595"/>
        </w:tabs>
        <w:spacing w:before="360"/>
        <w:contextualSpacing/>
        <w:jc w:val="center"/>
        <w:rPr>
          <w:rFonts w:eastAsia="Calibri"/>
          <w:b/>
          <w:bCs w:val="0"/>
          <w:kern w:val="0"/>
          <w:sz w:val="25"/>
          <w:szCs w:val="25"/>
          <w:lang w:val="en-GB"/>
        </w:rPr>
      </w:pPr>
    </w:p>
    <w:p w14:paraId="4BBA975E" w14:textId="77777777" w:rsidR="006C3CCF" w:rsidRPr="002D77AA" w:rsidRDefault="006C3CCF" w:rsidP="006C3CCF">
      <w:pPr>
        <w:tabs>
          <w:tab w:val="left" w:pos="851"/>
          <w:tab w:val="left" w:pos="1701"/>
          <w:tab w:val="left" w:pos="2694"/>
          <w:tab w:val="right" w:pos="8595"/>
        </w:tabs>
        <w:spacing w:before="360"/>
        <w:contextualSpacing/>
        <w:jc w:val="center"/>
        <w:rPr>
          <w:rFonts w:eastAsia="Calibri"/>
          <w:bCs w:val="0"/>
          <w:kern w:val="0"/>
          <w:lang w:val="en-GB"/>
        </w:rPr>
      </w:pPr>
      <w:r w:rsidRPr="002D77AA">
        <w:rPr>
          <w:rFonts w:eastAsia="Calibri"/>
          <w:b/>
          <w:bCs w:val="0"/>
          <w:kern w:val="0"/>
          <w:lang w:val="en-GB"/>
        </w:rPr>
        <w:t>IN THE HIGH COURT OF SOUTH AFRICA</w:t>
      </w:r>
    </w:p>
    <w:p w14:paraId="504DCAB0" w14:textId="77777777" w:rsidR="006C3CCF" w:rsidRPr="002D77AA" w:rsidRDefault="006C3CCF" w:rsidP="006C3CCF">
      <w:pPr>
        <w:tabs>
          <w:tab w:val="left" w:pos="851"/>
          <w:tab w:val="left" w:pos="1701"/>
          <w:tab w:val="left" w:pos="2694"/>
          <w:tab w:val="right" w:pos="8595"/>
        </w:tabs>
        <w:spacing w:before="360"/>
        <w:contextualSpacing/>
        <w:jc w:val="center"/>
        <w:rPr>
          <w:rFonts w:eastAsia="Calibri"/>
          <w:bCs w:val="0"/>
          <w:kern w:val="0"/>
          <w:lang w:val="en-GB"/>
        </w:rPr>
      </w:pPr>
      <w:r w:rsidRPr="002D77AA">
        <w:rPr>
          <w:rFonts w:eastAsia="Calibri"/>
          <w:bCs w:val="0"/>
          <w:kern w:val="0"/>
          <w:lang w:val="en-GB"/>
        </w:rPr>
        <w:t>(</w:t>
      </w:r>
      <w:r w:rsidRPr="002D77AA">
        <w:rPr>
          <w:rFonts w:eastAsia="Calibri"/>
          <w:b/>
          <w:bCs w:val="0"/>
          <w:kern w:val="0"/>
          <w:lang w:val="en-GB"/>
        </w:rPr>
        <w:t>GAUTENG DIVISION, PRETORIA)</w:t>
      </w:r>
    </w:p>
    <w:p w14:paraId="53659E19" w14:textId="77777777" w:rsidR="006C3CCF" w:rsidRPr="002D77AA" w:rsidRDefault="006C3CCF" w:rsidP="006C3CCF">
      <w:pPr>
        <w:widowControl w:val="0"/>
        <w:tabs>
          <w:tab w:val="right" w:pos="8493"/>
        </w:tabs>
        <w:spacing w:line="480" w:lineRule="auto"/>
        <w:jc w:val="both"/>
      </w:pPr>
      <w:r w:rsidRPr="002D77AA">
        <w:t xml:space="preserve">    </w:t>
      </w:r>
    </w:p>
    <w:p w14:paraId="7C6F0EF4" w14:textId="77777777" w:rsidR="006C3CCF" w:rsidRPr="002D77AA" w:rsidRDefault="006C3CCF" w:rsidP="006C3CCF">
      <w:pPr>
        <w:widowControl w:val="0"/>
        <w:tabs>
          <w:tab w:val="right" w:pos="8493"/>
        </w:tabs>
        <w:spacing w:line="480" w:lineRule="auto"/>
        <w:jc w:val="right"/>
        <w:rPr>
          <w:b/>
          <w:u w:val="single"/>
        </w:rPr>
      </w:pPr>
      <w:r w:rsidRPr="002D77AA">
        <w:rPr>
          <w:b/>
          <w:u w:val="single"/>
        </w:rPr>
        <w:t>CASE NO: 39199/18</w:t>
      </w:r>
    </w:p>
    <w:p w14:paraId="4B9D99BB" w14:textId="77777777" w:rsidR="006C3CCF" w:rsidRPr="002D77AA" w:rsidRDefault="006C3CCF" w:rsidP="006C3CCF">
      <w:pPr>
        <w:widowControl w:val="0"/>
        <w:tabs>
          <w:tab w:val="right" w:pos="8493"/>
        </w:tabs>
        <w:spacing w:line="480" w:lineRule="auto"/>
        <w:jc w:val="right"/>
        <w:rPr>
          <w:b/>
          <w:u w:val="single"/>
        </w:rPr>
      </w:pPr>
      <w:r w:rsidRPr="002D77AA">
        <w:rPr>
          <w:b/>
          <w:u w:val="single"/>
        </w:rPr>
        <w:t xml:space="preserve">CASE NO: 10452/18  </w:t>
      </w:r>
    </w:p>
    <w:p w14:paraId="781F74C5" w14:textId="77777777" w:rsidR="006C3CCF" w:rsidRDefault="006C3CCF" w:rsidP="006C3CCF">
      <w:pPr>
        <w:widowControl w:val="0"/>
        <w:tabs>
          <w:tab w:val="right" w:pos="8493"/>
        </w:tabs>
        <w:spacing w:line="480" w:lineRule="auto"/>
        <w:jc w:val="both"/>
        <w:rPr>
          <w:b/>
          <w:sz w:val="25"/>
          <w:szCs w:val="25"/>
          <w:u w:val="single"/>
        </w:rPr>
      </w:pPr>
      <w:r>
        <w:rPr>
          <w:b/>
          <w:noProof/>
          <w:sz w:val="25"/>
          <w:szCs w:val="25"/>
          <w:u w:val="single"/>
          <w:lang w:val="en-US"/>
        </w:rPr>
        <mc:AlternateContent>
          <mc:Choice Requires="wps">
            <w:drawing>
              <wp:anchor distT="0" distB="0" distL="114300" distR="114300" simplePos="0" relativeHeight="251659264" behindDoc="0" locked="0" layoutInCell="1" allowOverlap="1" wp14:anchorId="62BE1F20" wp14:editId="32BD03F7">
                <wp:simplePos x="0" y="0"/>
                <wp:positionH relativeFrom="column">
                  <wp:posOffset>-116840</wp:posOffset>
                </wp:positionH>
                <wp:positionV relativeFrom="paragraph">
                  <wp:posOffset>111125</wp:posOffset>
                </wp:positionV>
                <wp:extent cx="3448685" cy="1449070"/>
                <wp:effectExtent l="8890" t="1270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49070"/>
                        </a:xfrm>
                        <a:prstGeom prst="rect">
                          <a:avLst/>
                        </a:prstGeom>
                        <a:solidFill>
                          <a:srgbClr val="FFFFFF"/>
                        </a:solidFill>
                        <a:ln w="9525">
                          <a:solidFill>
                            <a:srgbClr val="000000"/>
                          </a:solidFill>
                          <a:miter lim="800000"/>
                          <a:headEnd/>
                          <a:tailEnd/>
                        </a:ln>
                      </wps:spPr>
                      <wps:txbx>
                        <w:txbxContent>
                          <w:p w14:paraId="2FFB146D" w14:textId="02FC4550" w:rsidR="002C37CF" w:rsidRPr="00775EC0" w:rsidRDefault="002C37CF" w:rsidP="006C3CCF">
                            <w:pPr>
                              <w:numPr>
                                <w:ilvl w:val="0"/>
                                <w:numId w:val="1"/>
                              </w:numPr>
                              <w:rPr>
                                <w:rFonts w:ascii="Century Gothic" w:hAnsi="Century Gothic"/>
                                <w:sz w:val="19"/>
                                <w:szCs w:val="19"/>
                              </w:rPr>
                            </w:pPr>
                            <w:r w:rsidRPr="00775EC0">
                              <w:rPr>
                                <w:rFonts w:ascii="Century Gothic" w:hAnsi="Century Gothic"/>
                                <w:sz w:val="19"/>
                                <w:szCs w:val="19"/>
                              </w:rPr>
                              <w:t xml:space="preserve">REPORTABLE: </w:t>
                            </w:r>
                            <w:r>
                              <w:rPr>
                                <w:rFonts w:ascii="Century Gothic" w:hAnsi="Century Gothic"/>
                                <w:b/>
                                <w:sz w:val="19"/>
                                <w:szCs w:val="19"/>
                              </w:rPr>
                              <w:t>NO</w:t>
                            </w:r>
                          </w:p>
                          <w:p w14:paraId="4E4B7695" w14:textId="22FBCB6E" w:rsidR="002C37CF" w:rsidRPr="00775EC0" w:rsidRDefault="002C37CF" w:rsidP="006C3CCF">
                            <w:pPr>
                              <w:numPr>
                                <w:ilvl w:val="0"/>
                                <w:numId w:val="1"/>
                              </w:numPr>
                              <w:rPr>
                                <w:rFonts w:ascii="Century Gothic" w:hAnsi="Century Gothic"/>
                                <w:sz w:val="19"/>
                                <w:szCs w:val="19"/>
                              </w:rPr>
                            </w:pPr>
                            <w:r w:rsidRPr="00775EC0">
                              <w:rPr>
                                <w:rFonts w:ascii="Century Gothic" w:hAnsi="Century Gothic"/>
                                <w:sz w:val="19"/>
                                <w:szCs w:val="19"/>
                              </w:rPr>
                              <w:t xml:space="preserve">OF INTEREST TO OTHER JUDGES: </w:t>
                            </w:r>
                            <w:r>
                              <w:rPr>
                                <w:rFonts w:ascii="Century Gothic" w:hAnsi="Century Gothic"/>
                                <w:b/>
                                <w:sz w:val="19"/>
                                <w:szCs w:val="19"/>
                              </w:rPr>
                              <w:t>NO</w:t>
                            </w:r>
                          </w:p>
                          <w:p w14:paraId="40111BEE" w14:textId="77777777" w:rsidR="002C37CF" w:rsidRPr="00775EC0" w:rsidRDefault="002C37CF" w:rsidP="006C3CCF">
                            <w:pPr>
                              <w:numPr>
                                <w:ilvl w:val="0"/>
                                <w:numId w:val="1"/>
                              </w:numPr>
                              <w:rPr>
                                <w:rFonts w:ascii="Century Gothic" w:hAnsi="Century Gothic"/>
                                <w:sz w:val="19"/>
                                <w:szCs w:val="19"/>
                              </w:rPr>
                            </w:pPr>
                            <w:r w:rsidRPr="00775EC0">
                              <w:rPr>
                                <w:rFonts w:ascii="Century Gothic" w:hAnsi="Century Gothic"/>
                                <w:sz w:val="19"/>
                                <w:szCs w:val="19"/>
                              </w:rPr>
                              <w:t xml:space="preserve">REVISED. </w:t>
                            </w:r>
                            <w:r>
                              <w:rPr>
                                <w:rFonts w:ascii="Century Gothic" w:hAnsi="Century Gothic"/>
                                <w:b/>
                                <w:sz w:val="19"/>
                                <w:szCs w:val="19"/>
                              </w:rPr>
                              <w:t>YES</w:t>
                            </w:r>
                          </w:p>
                          <w:p w14:paraId="6B693F38" w14:textId="77777777" w:rsidR="002C37CF" w:rsidRPr="00775EC0" w:rsidRDefault="002C37CF" w:rsidP="006C3CCF">
                            <w:pPr>
                              <w:rPr>
                                <w:rFonts w:ascii="Century Gothic" w:hAnsi="Century Gothic"/>
                                <w:b/>
                                <w:sz w:val="19"/>
                                <w:szCs w:val="19"/>
                              </w:rPr>
                            </w:pPr>
                          </w:p>
                          <w:p w14:paraId="3FAB254E" w14:textId="435CDC5B" w:rsidR="002C37CF" w:rsidRPr="00775EC0" w:rsidRDefault="002C37CF" w:rsidP="006C3CCF">
                            <w:pPr>
                              <w:rPr>
                                <w:rFonts w:ascii="Century Gothic" w:hAnsi="Century Gothic"/>
                                <w:b/>
                                <w:sz w:val="19"/>
                                <w:szCs w:val="19"/>
                              </w:rPr>
                            </w:pPr>
                            <w:r w:rsidRPr="00775EC0">
                              <w:rPr>
                                <w:rFonts w:ascii="Century Gothic" w:hAnsi="Century Gothic"/>
                                <w:b/>
                                <w:sz w:val="19"/>
                                <w:szCs w:val="19"/>
                              </w:rPr>
                              <w:t xml:space="preserve">         </w:t>
                            </w:r>
                            <w:r>
                              <w:rPr>
                                <w:rFonts w:ascii="Century Gothic" w:hAnsi="Century Gothic"/>
                                <w:sz w:val="19"/>
                                <w:szCs w:val="19"/>
                              </w:rPr>
                              <w:t xml:space="preserve"> </w:t>
                            </w:r>
                            <w:r w:rsidR="00A7714D">
                              <w:rPr>
                                <w:rFonts w:ascii="Century Gothic" w:hAnsi="Century Gothic"/>
                                <w:sz w:val="19"/>
                                <w:szCs w:val="19"/>
                                <w:u w:val="single"/>
                              </w:rPr>
                              <w:t>7</w:t>
                            </w:r>
                            <w:r>
                              <w:rPr>
                                <w:rFonts w:ascii="Century Gothic" w:hAnsi="Century Gothic"/>
                                <w:sz w:val="19"/>
                                <w:szCs w:val="19"/>
                                <w:u w:val="single"/>
                              </w:rPr>
                              <w:t xml:space="preserve"> October 2020</w:t>
                            </w:r>
                            <w:r>
                              <w:rPr>
                                <w:rFonts w:ascii="Century Gothic" w:hAnsi="Century Gothic"/>
                                <w:sz w:val="19"/>
                                <w:szCs w:val="19"/>
                                <w:u w:val="single"/>
                              </w:rPr>
                              <w:tab/>
                            </w:r>
                            <w:r>
                              <w:rPr>
                                <w:rFonts w:ascii="Century Gothic" w:hAnsi="Century Gothic"/>
                                <w:b/>
                                <w:sz w:val="19"/>
                                <w:szCs w:val="19"/>
                              </w:rPr>
                              <w:t xml:space="preserve">         </w:t>
                            </w:r>
                          </w:p>
                          <w:p w14:paraId="23C2F2C9" w14:textId="77777777" w:rsidR="002C37CF" w:rsidRPr="00775EC0" w:rsidRDefault="002C37CF" w:rsidP="006C3CCF">
                            <w:pPr>
                              <w:rPr>
                                <w:rFonts w:ascii="Century Gothic" w:hAnsi="Century Gothic"/>
                                <w:sz w:val="19"/>
                                <w:szCs w:val="19"/>
                              </w:rPr>
                            </w:pPr>
                            <w:r w:rsidRPr="00775EC0">
                              <w:rPr>
                                <w:rFonts w:ascii="Century Gothic" w:hAnsi="Century Gothic"/>
                                <w:sz w:val="19"/>
                                <w:szCs w:val="19"/>
                              </w:rPr>
                              <w:t xml:space="preserve">                   DATE</w:t>
                            </w:r>
                            <w:r w:rsidRPr="00775EC0">
                              <w:rPr>
                                <w:rFonts w:ascii="Century Gothic" w:hAnsi="Century Gothic"/>
                                <w:sz w:val="19"/>
                                <w:szCs w:val="19"/>
                              </w:rPr>
                              <w:tab/>
                            </w:r>
                            <w:r w:rsidRPr="00775EC0">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2BE1F20" id="_x0000_t202" coordsize="21600,21600" o:spt="202" path="m,l,21600r21600,l21600,xe">
                <v:stroke joinstyle="miter"/>
                <v:path gradientshapeok="t" o:connecttype="rect"/>
              </v:shapetype>
              <v:shape id="Text Box 1" o:spid="_x0000_s1026" type="#_x0000_t202" style="position:absolute;left:0;text-align:left;margin-left:-9.2pt;margin-top:8.75pt;width:271.5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ohLgIAAFEEAAAOAAAAZHJzL2Uyb0RvYy54bWysVNtu2zAMfR+wfxD0vtjJkjYx4hRdugwD&#10;ugvQ7gNkWbaFSaImKbG7ry8lp5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">
                <v:textbox>
                  <w:txbxContent>
                    <w:p w14:paraId="2FFB146D" w14:textId="02FC4550" w:rsidR="002C37CF" w:rsidRPr="00775EC0" w:rsidRDefault="002C37CF" w:rsidP="006C3CCF">
                      <w:pPr>
                        <w:numPr>
                          <w:ilvl w:val="0"/>
                          <w:numId w:val="1"/>
                        </w:numPr>
                        <w:rPr>
                          <w:rFonts w:ascii="Century Gothic" w:hAnsi="Century Gothic"/>
                          <w:sz w:val="19"/>
                          <w:szCs w:val="19"/>
                        </w:rPr>
                      </w:pPr>
                      <w:r w:rsidRPr="00775EC0">
                        <w:rPr>
                          <w:rFonts w:ascii="Century Gothic" w:hAnsi="Century Gothic"/>
                          <w:sz w:val="19"/>
                          <w:szCs w:val="19"/>
                        </w:rPr>
                        <w:t xml:space="preserve">REPORTABLE: </w:t>
                      </w:r>
                      <w:r>
                        <w:rPr>
                          <w:rFonts w:ascii="Century Gothic" w:hAnsi="Century Gothic"/>
                          <w:b/>
                          <w:sz w:val="19"/>
                          <w:szCs w:val="19"/>
                        </w:rPr>
                        <w:t>NO</w:t>
                      </w:r>
                    </w:p>
                    <w:p w14:paraId="4E4B7695" w14:textId="22FBCB6E" w:rsidR="002C37CF" w:rsidRPr="00775EC0" w:rsidRDefault="002C37CF" w:rsidP="006C3CCF">
                      <w:pPr>
                        <w:numPr>
                          <w:ilvl w:val="0"/>
                          <w:numId w:val="1"/>
                        </w:numPr>
                        <w:rPr>
                          <w:rFonts w:ascii="Century Gothic" w:hAnsi="Century Gothic"/>
                          <w:sz w:val="19"/>
                          <w:szCs w:val="19"/>
                        </w:rPr>
                      </w:pPr>
                      <w:r w:rsidRPr="00775EC0">
                        <w:rPr>
                          <w:rFonts w:ascii="Century Gothic" w:hAnsi="Century Gothic"/>
                          <w:sz w:val="19"/>
                          <w:szCs w:val="19"/>
                        </w:rPr>
                        <w:t xml:space="preserve">OF INTEREST TO OTHER JUDGES: </w:t>
                      </w:r>
                      <w:r>
                        <w:rPr>
                          <w:rFonts w:ascii="Century Gothic" w:hAnsi="Century Gothic"/>
                          <w:b/>
                          <w:sz w:val="19"/>
                          <w:szCs w:val="19"/>
                        </w:rPr>
                        <w:t>NO</w:t>
                      </w:r>
                    </w:p>
                    <w:p w14:paraId="40111BEE" w14:textId="77777777" w:rsidR="002C37CF" w:rsidRPr="00775EC0" w:rsidRDefault="002C37CF" w:rsidP="006C3CCF">
                      <w:pPr>
                        <w:numPr>
                          <w:ilvl w:val="0"/>
                          <w:numId w:val="1"/>
                        </w:numPr>
                        <w:rPr>
                          <w:rFonts w:ascii="Century Gothic" w:hAnsi="Century Gothic"/>
                          <w:sz w:val="19"/>
                          <w:szCs w:val="19"/>
                        </w:rPr>
                      </w:pPr>
                      <w:r w:rsidRPr="00775EC0">
                        <w:rPr>
                          <w:rFonts w:ascii="Century Gothic" w:hAnsi="Century Gothic"/>
                          <w:sz w:val="19"/>
                          <w:szCs w:val="19"/>
                        </w:rPr>
                        <w:t xml:space="preserve">REVISED. </w:t>
                      </w:r>
                      <w:r>
                        <w:rPr>
                          <w:rFonts w:ascii="Century Gothic" w:hAnsi="Century Gothic"/>
                          <w:b/>
                          <w:sz w:val="19"/>
                          <w:szCs w:val="19"/>
                        </w:rPr>
                        <w:t>YES</w:t>
                      </w:r>
                    </w:p>
                    <w:p w14:paraId="6B693F38" w14:textId="77777777" w:rsidR="002C37CF" w:rsidRPr="00775EC0" w:rsidRDefault="002C37CF" w:rsidP="006C3CCF">
                      <w:pPr>
                        <w:rPr>
                          <w:rFonts w:ascii="Century Gothic" w:hAnsi="Century Gothic"/>
                          <w:b/>
                          <w:sz w:val="19"/>
                          <w:szCs w:val="19"/>
                        </w:rPr>
                      </w:pPr>
                    </w:p>
                    <w:p w14:paraId="3FAB254E" w14:textId="435CDC5B" w:rsidR="002C37CF" w:rsidRPr="00775EC0" w:rsidRDefault="002C37CF" w:rsidP="006C3CCF">
                      <w:pPr>
                        <w:rPr>
                          <w:rFonts w:ascii="Century Gothic" w:hAnsi="Century Gothic"/>
                          <w:b/>
                          <w:sz w:val="19"/>
                          <w:szCs w:val="19"/>
                        </w:rPr>
                      </w:pPr>
                      <w:r w:rsidRPr="00775EC0">
                        <w:rPr>
                          <w:rFonts w:ascii="Century Gothic" w:hAnsi="Century Gothic"/>
                          <w:b/>
                          <w:sz w:val="19"/>
                          <w:szCs w:val="19"/>
                        </w:rPr>
                        <w:t xml:space="preserve">         </w:t>
                      </w:r>
                      <w:r>
                        <w:rPr>
                          <w:rFonts w:ascii="Century Gothic" w:hAnsi="Century Gothic"/>
                          <w:sz w:val="19"/>
                          <w:szCs w:val="19"/>
                        </w:rPr>
                        <w:t xml:space="preserve"> </w:t>
                      </w:r>
                      <w:r w:rsidR="00A7714D">
                        <w:rPr>
                          <w:rFonts w:ascii="Century Gothic" w:hAnsi="Century Gothic"/>
                          <w:sz w:val="19"/>
                          <w:szCs w:val="19"/>
                          <w:u w:val="single"/>
                        </w:rPr>
                        <w:t>7</w:t>
                      </w:r>
                      <w:r>
                        <w:rPr>
                          <w:rFonts w:ascii="Century Gothic" w:hAnsi="Century Gothic"/>
                          <w:sz w:val="19"/>
                          <w:szCs w:val="19"/>
                          <w:u w:val="single"/>
                        </w:rPr>
                        <w:t xml:space="preserve"> October 2020</w:t>
                      </w:r>
                      <w:r>
                        <w:rPr>
                          <w:rFonts w:ascii="Century Gothic" w:hAnsi="Century Gothic"/>
                          <w:sz w:val="19"/>
                          <w:szCs w:val="19"/>
                          <w:u w:val="single"/>
                        </w:rPr>
                        <w:tab/>
                      </w:r>
                      <w:r>
                        <w:rPr>
                          <w:rFonts w:ascii="Century Gothic" w:hAnsi="Century Gothic"/>
                          <w:b/>
                          <w:sz w:val="19"/>
                          <w:szCs w:val="19"/>
                        </w:rPr>
                        <w:t xml:space="preserve">         </w:t>
                      </w:r>
                    </w:p>
                    <w:p w14:paraId="23C2F2C9" w14:textId="77777777" w:rsidR="002C37CF" w:rsidRPr="00775EC0" w:rsidRDefault="002C37CF" w:rsidP="006C3CCF">
                      <w:pPr>
                        <w:rPr>
                          <w:rFonts w:ascii="Century Gothic" w:hAnsi="Century Gothic"/>
                          <w:sz w:val="19"/>
                          <w:szCs w:val="19"/>
                        </w:rPr>
                      </w:pPr>
                      <w:r w:rsidRPr="00775EC0">
                        <w:rPr>
                          <w:rFonts w:ascii="Century Gothic" w:hAnsi="Century Gothic"/>
                          <w:sz w:val="19"/>
                          <w:szCs w:val="19"/>
                        </w:rPr>
                        <w:t xml:space="preserve">                   DATE</w:t>
                      </w:r>
                      <w:r w:rsidRPr="00775EC0">
                        <w:rPr>
                          <w:rFonts w:ascii="Century Gothic" w:hAnsi="Century Gothic"/>
                          <w:sz w:val="19"/>
                          <w:szCs w:val="19"/>
                        </w:rPr>
                        <w:tab/>
                      </w:r>
                      <w:r w:rsidRPr="00775EC0">
                        <w:rPr>
                          <w:rFonts w:ascii="Century Gothic" w:hAnsi="Century Gothic"/>
                          <w:sz w:val="19"/>
                          <w:szCs w:val="19"/>
                        </w:rPr>
                        <w:tab/>
                        <w:t xml:space="preserve">        SIGNATURE</w:t>
                      </w:r>
                    </w:p>
                  </w:txbxContent>
                </v:textbox>
              </v:shape>
            </w:pict>
          </mc:Fallback>
        </mc:AlternateContent>
      </w:r>
    </w:p>
    <w:p w14:paraId="69CFA199" w14:textId="77777777" w:rsidR="006C3CCF" w:rsidRDefault="006C3CCF" w:rsidP="006C3CCF">
      <w:pPr>
        <w:widowControl w:val="0"/>
        <w:tabs>
          <w:tab w:val="right" w:pos="8493"/>
        </w:tabs>
        <w:spacing w:line="480" w:lineRule="auto"/>
        <w:jc w:val="both"/>
        <w:rPr>
          <w:b/>
          <w:sz w:val="25"/>
          <w:szCs w:val="25"/>
          <w:u w:val="single"/>
        </w:rPr>
      </w:pPr>
    </w:p>
    <w:p w14:paraId="5D776A7C" w14:textId="77777777" w:rsidR="006C3CCF" w:rsidRDefault="006C3CCF" w:rsidP="006C3CCF">
      <w:pPr>
        <w:widowControl w:val="0"/>
        <w:tabs>
          <w:tab w:val="right" w:pos="8493"/>
        </w:tabs>
        <w:spacing w:line="480" w:lineRule="auto"/>
        <w:jc w:val="both"/>
        <w:rPr>
          <w:b/>
          <w:sz w:val="25"/>
          <w:szCs w:val="25"/>
          <w:u w:val="single"/>
        </w:rPr>
      </w:pPr>
    </w:p>
    <w:p w14:paraId="493CF335" w14:textId="77777777" w:rsidR="006C3CCF" w:rsidRPr="00653B7E" w:rsidRDefault="006C3CCF" w:rsidP="006C3CCF">
      <w:pPr>
        <w:widowControl w:val="0"/>
        <w:tabs>
          <w:tab w:val="right" w:pos="8493"/>
        </w:tabs>
        <w:spacing w:line="480" w:lineRule="auto"/>
        <w:jc w:val="both"/>
        <w:rPr>
          <w:b/>
          <w:sz w:val="25"/>
          <w:szCs w:val="25"/>
          <w:u w:val="single"/>
        </w:rPr>
      </w:pPr>
    </w:p>
    <w:p w14:paraId="424B2221" w14:textId="77777777" w:rsidR="006C3CCF" w:rsidRDefault="006C3CCF" w:rsidP="006C3CCF">
      <w:pPr>
        <w:widowControl w:val="0"/>
        <w:tabs>
          <w:tab w:val="right" w:pos="8493"/>
        </w:tabs>
        <w:jc w:val="both"/>
        <w:rPr>
          <w:sz w:val="25"/>
          <w:szCs w:val="25"/>
        </w:rPr>
      </w:pPr>
    </w:p>
    <w:p w14:paraId="576918B7" w14:textId="77777777" w:rsidR="006C3CCF" w:rsidRDefault="006C3CCF" w:rsidP="006C3CCF">
      <w:pPr>
        <w:widowControl w:val="0"/>
        <w:tabs>
          <w:tab w:val="right" w:pos="8493"/>
        </w:tabs>
        <w:jc w:val="both"/>
        <w:rPr>
          <w:sz w:val="25"/>
          <w:szCs w:val="25"/>
          <w:lang w:val="en-GB"/>
        </w:rPr>
      </w:pPr>
    </w:p>
    <w:p w14:paraId="75E5FE51" w14:textId="77777777" w:rsidR="006C3CCF" w:rsidRPr="002D77AA" w:rsidRDefault="006C3CCF" w:rsidP="006C3CCF">
      <w:pPr>
        <w:widowControl w:val="0"/>
        <w:tabs>
          <w:tab w:val="right" w:pos="8493"/>
        </w:tabs>
        <w:jc w:val="both"/>
        <w:rPr>
          <w:lang w:val="en-GB"/>
        </w:rPr>
      </w:pPr>
      <w:r w:rsidRPr="002D77AA">
        <w:rPr>
          <w:lang w:val="en-GB"/>
        </w:rPr>
        <w:t>In the matter between:</w:t>
      </w:r>
    </w:p>
    <w:p w14:paraId="135A6177" w14:textId="77777777" w:rsidR="006C3CCF" w:rsidRPr="002D77AA" w:rsidRDefault="006C3CCF" w:rsidP="006C3CCF">
      <w:pPr>
        <w:widowControl w:val="0"/>
        <w:tabs>
          <w:tab w:val="right" w:pos="8493"/>
        </w:tabs>
        <w:jc w:val="both"/>
        <w:rPr>
          <w:lang w:val="en-GB"/>
        </w:rPr>
      </w:pPr>
    </w:p>
    <w:p w14:paraId="0D59C569" w14:textId="77777777" w:rsidR="006C3CCF" w:rsidRPr="002D77AA" w:rsidRDefault="006C3CCF" w:rsidP="006C3CCF">
      <w:pPr>
        <w:widowControl w:val="0"/>
        <w:tabs>
          <w:tab w:val="right" w:pos="8493"/>
        </w:tabs>
        <w:jc w:val="both"/>
        <w:rPr>
          <w:b/>
          <w:lang w:val="en-GB"/>
        </w:rPr>
      </w:pPr>
      <w:r w:rsidRPr="002D77AA">
        <w:rPr>
          <w:b/>
          <w:lang w:val="en-GB"/>
        </w:rPr>
        <w:t>MAXE (PTY) LTD</w:t>
      </w:r>
      <w:r w:rsidRPr="002D77AA">
        <w:rPr>
          <w:b/>
          <w:lang w:val="en-GB"/>
        </w:rPr>
        <w:tab/>
      </w:r>
      <w:r w:rsidRPr="002D77AA">
        <w:rPr>
          <w:lang w:val="en-GB"/>
        </w:rPr>
        <w:t>Plaintiff</w:t>
      </w:r>
    </w:p>
    <w:p w14:paraId="47F702F1" w14:textId="77777777" w:rsidR="006C3CCF" w:rsidRPr="002D77AA" w:rsidRDefault="006C3CCF" w:rsidP="006C3CCF">
      <w:pPr>
        <w:widowControl w:val="0"/>
        <w:tabs>
          <w:tab w:val="right" w:pos="8493"/>
        </w:tabs>
        <w:jc w:val="both"/>
        <w:rPr>
          <w:lang w:val="en-GB"/>
        </w:rPr>
      </w:pPr>
    </w:p>
    <w:p w14:paraId="6A38C16C" w14:textId="77777777" w:rsidR="006C3CCF" w:rsidRPr="002D77AA" w:rsidRDefault="006C3CCF" w:rsidP="006C3CCF">
      <w:pPr>
        <w:widowControl w:val="0"/>
        <w:tabs>
          <w:tab w:val="right" w:pos="8493"/>
        </w:tabs>
        <w:jc w:val="both"/>
        <w:rPr>
          <w:lang w:val="en-GB"/>
        </w:rPr>
      </w:pPr>
    </w:p>
    <w:p w14:paraId="1E613F54" w14:textId="77777777" w:rsidR="006C3CCF" w:rsidRPr="002D77AA" w:rsidRDefault="006C3CCF" w:rsidP="006C3CCF">
      <w:pPr>
        <w:widowControl w:val="0"/>
        <w:tabs>
          <w:tab w:val="right" w:pos="8493"/>
        </w:tabs>
        <w:jc w:val="both"/>
        <w:rPr>
          <w:lang w:val="en-GB"/>
        </w:rPr>
      </w:pPr>
      <w:r w:rsidRPr="002D77AA">
        <w:rPr>
          <w:lang w:val="en-GB"/>
        </w:rPr>
        <w:t>and</w:t>
      </w:r>
    </w:p>
    <w:p w14:paraId="13C72CFF" w14:textId="77777777" w:rsidR="006C3CCF" w:rsidRPr="002D77AA" w:rsidRDefault="006C3CCF" w:rsidP="006C3CCF">
      <w:pPr>
        <w:widowControl w:val="0"/>
        <w:tabs>
          <w:tab w:val="right" w:pos="8493"/>
        </w:tabs>
        <w:jc w:val="both"/>
        <w:rPr>
          <w:lang w:val="en-GB"/>
        </w:rPr>
      </w:pPr>
    </w:p>
    <w:p w14:paraId="5B15DDF2" w14:textId="77777777" w:rsidR="006C3CCF" w:rsidRPr="002D77AA" w:rsidRDefault="006C3CCF" w:rsidP="006C3CCF">
      <w:pPr>
        <w:widowControl w:val="0"/>
        <w:tabs>
          <w:tab w:val="right" w:pos="8493"/>
        </w:tabs>
        <w:jc w:val="both"/>
        <w:rPr>
          <w:lang w:val="en-GB"/>
        </w:rPr>
      </w:pPr>
    </w:p>
    <w:p w14:paraId="70F0664D" w14:textId="3FA6ECFD" w:rsidR="006C3CCF" w:rsidRPr="002D77AA" w:rsidRDefault="003F67A5" w:rsidP="006C3CCF">
      <w:pPr>
        <w:widowControl w:val="0"/>
        <w:tabs>
          <w:tab w:val="right" w:pos="8493"/>
        </w:tabs>
        <w:jc w:val="both"/>
        <w:rPr>
          <w:lang w:val="en-GB"/>
        </w:rPr>
      </w:pPr>
      <w:r>
        <w:rPr>
          <w:b/>
          <w:lang w:val="en-GB"/>
        </w:rPr>
        <w:t>ARTAV STAINLESS STEEL CC</w:t>
      </w:r>
      <w:r w:rsidR="006C3CCF" w:rsidRPr="002D77AA">
        <w:rPr>
          <w:lang w:val="en-GB"/>
        </w:rPr>
        <w:tab/>
        <w:t xml:space="preserve">  Defendant</w:t>
      </w:r>
    </w:p>
    <w:p w14:paraId="51918C8F" w14:textId="77777777" w:rsidR="006C3CCF" w:rsidRPr="002D77AA" w:rsidRDefault="006C3CCF" w:rsidP="006C3CCF">
      <w:pPr>
        <w:widowControl w:val="0"/>
        <w:tabs>
          <w:tab w:val="right" w:pos="8493"/>
        </w:tabs>
        <w:jc w:val="both"/>
        <w:rPr>
          <w:lang w:val="en-GB"/>
        </w:rPr>
      </w:pPr>
    </w:p>
    <w:p w14:paraId="57CA3C10" w14:textId="77777777" w:rsidR="006C3CCF" w:rsidRPr="002D77AA" w:rsidRDefault="006C3CCF" w:rsidP="006C3CCF">
      <w:pPr>
        <w:widowControl w:val="0"/>
        <w:tabs>
          <w:tab w:val="right" w:pos="8493"/>
        </w:tabs>
        <w:jc w:val="both"/>
        <w:rPr>
          <w:lang w:val="en-GB"/>
        </w:rPr>
      </w:pPr>
      <w:r w:rsidRPr="002D77AA">
        <w:rPr>
          <w:lang w:val="en-GB"/>
        </w:rPr>
        <w:t>________________________________________________________________</w:t>
      </w:r>
    </w:p>
    <w:p w14:paraId="046F2428" w14:textId="77777777" w:rsidR="00D50019" w:rsidRPr="002D77AA" w:rsidRDefault="00D50019"/>
    <w:p w14:paraId="36CACD0D" w14:textId="77777777" w:rsidR="00792CF6" w:rsidRDefault="00792CF6" w:rsidP="00975CC9">
      <w:pPr>
        <w:spacing w:line="480" w:lineRule="auto"/>
        <w:jc w:val="both"/>
        <w:rPr>
          <w:b/>
        </w:rPr>
      </w:pPr>
      <w:r w:rsidRPr="002D77AA">
        <w:rPr>
          <w:b/>
        </w:rPr>
        <w:t>NEUKIRCHER J:</w:t>
      </w:r>
    </w:p>
    <w:p w14:paraId="1D29403F" w14:textId="474A24F0" w:rsidR="00D220DF" w:rsidRDefault="00D220DF" w:rsidP="00975CC9">
      <w:pPr>
        <w:spacing w:line="480" w:lineRule="auto"/>
        <w:ind w:left="720" w:hanging="720"/>
        <w:jc w:val="both"/>
      </w:pPr>
      <w:r>
        <w:t>1]</w:t>
      </w:r>
      <w:r>
        <w:tab/>
        <w:t xml:space="preserve">There are presently 2 separate actions before this court for hearing. Although there is no </w:t>
      </w:r>
      <w:r w:rsidR="00055F68">
        <w:t xml:space="preserve">formal </w:t>
      </w:r>
      <w:r>
        <w:t>request to consolidate them the parties have agreed that, as they involve the same parties, the same cause of action</w:t>
      </w:r>
      <w:r>
        <w:rPr>
          <w:rStyle w:val="FootnoteReference"/>
        </w:rPr>
        <w:footnoteReference w:id="1"/>
      </w:r>
      <w:r w:rsidR="00A31237">
        <w:t xml:space="preserve"> and</w:t>
      </w:r>
      <w:r>
        <w:t xml:space="preserve"> the same witnesses, it would be both expedient and convenient to hear them together.</w:t>
      </w:r>
    </w:p>
    <w:p w14:paraId="54801CB3" w14:textId="4F79EE1B" w:rsidR="00F06F88" w:rsidRDefault="00D220DF" w:rsidP="00975CC9">
      <w:pPr>
        <w:spacing w:line="480" w:lineRule="auto"/>
        <w:ind w:left="720" w:hanging="720"/>
        <w:jc w:val="both"/>
      </w:pPr>
      <w:r>
        <w:lastRenderedPageBreak/>
        <w:t>2]</w:t>
      </w:r>
      <w:r>
        <w:tab/>
        <w:t>In dispute</w:t>
      </w:r>
      <w:r w:rsidR="006D716E">
        <w:t xml:space="preserve"> at this stage</w:t>
      </w:r>
      <w:r>
        <w:t xml:space="preserve"> is whether or not the plaintiff is entitled to interdictory and ancillary relief</w:t>
      </w:r>
      <w:r>
        <w:rPr>
          <w:rStyle w:val="FootnoteReference"/>
        </w:rPr>
        <w:footnoteReference w:id="2"/>
      </w:r>
      <w:r>
        <w:t xml:space="preserve"> based on the alleged infringement of its 4 registered designs</w:t>
      </w:r>
      <w:r w:rsidR="00A31237">
        <w:t xml:space="preserve"> which are</w:t>
      </w:r>
      <w:r>
        <w:t>:</w:t>
      </w:r>
    </w:p>
    <w:p w14:paraId="51D9D904" w14:textId="690B9792" w:rsidR="00D220DF" w:rsidRDefault="00D220DF" w:rsidP="00975CC9">
      <w:pPr>
        <w:spacing w:line="480" w:lineRule="auto"/>
        <w:ind w:left="720" w:hanging="720"/>
        <w:jc w:val="both"/>
      </w:pPr>
      <w:r>
        <w:tab/>
        <w:t>2.1</w:t>
      </w:r>
      <w:r>
        <w:tab/>
        <w:t>A2015/01719: also known as the “</w:t>
      </w:r>
      <w:r w:rsidR="00000150">
        <w:t>Louvre</w:t>
      </w:r>
      <w:r>
        <w:t xml:space="preserve"> nudge bar design”;</w:t>
      </w:r>
    </w:p>
    <w:p w14:paraId="2D674E10" w14:textId="513E9BED" w:rsidR="00D220DF" w:rsidRDefault="00D220DF" w:rsidP="00975CC9">
      <w:pPr>
        <w:spacing w:line="480" w:lineRule="auto"/>
        <w:ind w:left="720" w:hanging="720"/>
        <w:jc w:val="both"/>
      </w:pPr>
      <w:r>
        <w:tab/>
        <w:t>2.2</w:t>
      </w:r>
      <w:r>
        <w:tab/>
        <w:t>A2015/01722: also known as the “</w:t>
      </w:r>
      <w:r w:rsidR="00000150">
        <w:t>Louvre</w:t>
      </w:r>
      <w:r>
        <w:t xml:space="preserve"> sports bar design”;</w:t>
      </w:r>
    </w:p>
    <w:p w14:paraId="6F2A8CF5" w14:textId="07313F01" w:rsidR="00D220DF" w:rsidRDefault="00D220DF" w:rsidP="00975CC9">
      <w:pPr>
        <w:spacing w:line="480" w:lineRule="auto"/>
        <w:ind w:left="720" w:hanging="720"/>
        <w:jc w:val="both"/>
      </w:pPr>
      <w:r>
        <w:tab/>
        <w:t>2.3</w:t>
      </w:r>
      <w:r>
        <w:tab/>
        <w:t>A2015/01668: also known as the “</w:t>
      </w:r>
      <w:r w:rsidR="00000150">
        <w:t>Polygon</w:t>
      </w:r>
      <w:r>
        <w:t xml:space="preserve"> nudge bar design”; and</w:t>
      </w:r>
    </w:p>
    <w:p w14:paraId="4E6E8857" w14:textId="5C0155D5" w:rsidR="00D220DF" w:rsidRDefault="00D220DF" w:rsidP="00975CC9">
      <w:pPr>
        <w:spacing w:line="480" w:lineRule="auto"/>
        <w:ind w:left="720" w:hanging="720"/>
        <w:jc w:val="both"/>
      </w:pPr>
      <w:r>
        <w:tab/>
        <w:t>2.4</w:t>
      </w:r>
      <w:r>
        <w:tab/>
        <w:t>A2015/10666: also known as the “</w:t>
      </w:r>
      <w:r w:rsidR="00000150">
        <w:t>Polygon</w:t>
      </w:r>
      <w:r>
        <w:t xml:space="preserve"> sports bar design”</w:t>
      </w:r>
      <w:r>
        <w:rPr>
          <w:rStyle w:val="FootnoteReference"/>
        </w:rPr>
        <w:footnoteReference w:id="3"/>
      </w:r>
      <w:r>
        <w:t>.</w:t>
      </w:r>
    </w:p>
    <w:p w14:paraId="01715CD5" w14:textId="77777777" w:rsidR="00AA6A70" w:rsidRDefault="00AA6A70" w:rsidP="00975CC9">
      <w:pPr>
        <w:spacing w:line="480" w:lineRule="auto"/>
        <w:ind w:left="720" w:hanging="720"/>
        <w:jc w:val="both"/>
      </w:pPr>
    </w:p>
    <w:p w14:paraId="75030814" w14:textId="460145E2" w:rsidR="00AA6A70" w:rsidRDefault="00AA6A70" w:rsidP="00975CC9">
      <w:pPr>
        <w:spacing w:line="480" w:lineRule="auto"/>
        <w:ind w:left="720" w:hanging="720"/>
        <w:jc w:val="both"/>
      </w:pPr>
      <w:r>
        <w:tab/>
        <w:t>For purposes of clarity and convenience, in this judgment I will refer to the “</w:t>
      </w:r>
      <w:r w:rsidR="00000150">
        <w:t>Louvre</w:t>
      </w:r>
      <w:r>
        <w:t>” designs and the “</w:t>
      </w:r>
      <w:r w:rsidR="00000150">
        <w:t>Polygon</w:t>
      </w:r>
      <w:r>
        <w:t>” designs.</w:t>
      </w:r>
      <w:r w:rsidR="00C036B2">
        <w:rPr>
          <w:rStyle w:val="FootnoteReference"/>
        </w:rPr>
        <w:footnoteReference w:id="4"/>
      </w:r>
    </w:p>
    <w:p w14:paraId="1059EA05" w14:textId="77777777" w:rsidR="00D220DF" w:rsidRDefault="00D220DF" w:rsidP="00975CC9">
      <w:pPr>
        <w:spacing w:line="480" w:lineRule="auto"/>
        <w:jc w:val="both"/>
      </w:pPr>
    </w:p>
    <w:p w14:paraId="64737F7B" w14:textId="32985119" w:rsidR="00D220DF" w:rsidRPr="00055F68" w:rsidRDefault="006D716E" w:rsidP="00975CC9">
      <w:pPr>
        <w:spacing w:line="480" w:lineRule="auto"/>
        <w:ind w:left="720" w:hanging="720"/>
        <w:jc w:val="both"/>
        <w:rPr>
          <w:i/>
        </w:rPr>
      </w:pPr>
      <w:r>
        <w:t>3]</w:t>
      </w:r>
      <w:r>
        <w:tab/>
        <w:t>Separate from the interdictory relief sought by plaintiff is the</w:t>
      </w:r>
      <w:r w:rsidR="00D220DF">
        <w:t xml:space="preserve"> enquiry into damages</w:t>
      </w:r>
      <w:r>
        <w:t xml:space="preserve"> or royalties payable as a consequence of any infringement that may be found to exist.</w:t>
      </w:r>
      <w:r w:rsidR="00D220DF">
        <w:t xml:space="preserve"> However, this relief is not relevant to the present enquiry which concerns only the issue of whether the plaintiff’s 4 designs were infringed or not.</w:t>
      </w:r>
      <w:r w:rsidR="00055F68">
        <w:t xml:space="preserve"> </w:t>
      </w:r>
    </w:p>
    <w:p w14:paraId="3DEE7E54" w14:textId="77777777" w:rsidR="00D220DF" w:rsidRDefault="00D220DF" w:rsidP="00975CC9">
      <w:pPr>
        <w:spacing w:line="480" w:lineRule="auto"/>
        <w:jc w:val="both"/>
      </w:pPr>
    </w:p>
    <w:p w14:paraId="017144E5" w14:textId="2D1949A1" w:rsidR="00D220DF" w:rsidRPr="00D9611C" w:rsidRDefault="00D220DF" w:rsidP="00975CC9">
      <w:pPr>
        <w:spacing w:line="480" w:lineRule="auto"/>
        <w:ind w:left="720" w:hanging="720"/>
        <w:jc w:val="both"/>
      </w:pPr>
      <w:r>
        <w:t>4]</w:t>
      </w:r>
      <w:r>
        <w:tab/>
        <w:t>A</w:t>
      </w:r>
      <w:r w:rsidR="00975CC9">
        <w:t>ccording to</w:t>
      </w:r>
      <w:r>
        <w:t xml:space="preserve"> each definitive statement of both</w:t>
      </w:r>
      <w:r w:rsidR="007937B6">
        <w:t xml:space="preserve"> the sports bars and the nudge </w:t>
      </w:r>
      <w:r w:rsidR="000B0155">
        <w:t>bars</w:t>
      </w:r>
      <w:r w:rsidR="00CB13D6">
        <w:rPr>
          <w:rStyle w:val="FootnoteReference"/>
        </w:rPr>
        <w:footnoteReference w:id="5"/>
      </w:r>
      <w:r w:rsidR="000B0155">
        <w:t xml:space="preserve"> </w:t>
      </w:r>
      <w:r>
        <w:t xml:space="preserve">mentioned in par 2 </w:t>
      </w:r>
      <w:r w:rsidRPr="00B96B42">
        <w:rPr>
          <w:i/>
        </w:rPr>
        <w:t>supra</w:t>
      </w:r>
      <w:r>
        <w:t xml:space="preserve">, the protection claimed </w:t>
      </w:r>
      <w:r w:rsidR="00975CC9">
        <w:t xml:space="preserve">is for </w:t>
      </w:r>
      <w:r w:rsidR="00975CC9">
        <w:rPr>
          <w:i/>
        </w:rPr>
        <w:t xml:space="preserve">“the features of the design for which protection is claimed include the shape and/or configuration and/or pattern and/or ornamentation” </w:t>
      </w:r>
      <w:r w:rsidR="00975CC9">
        <w:t>and for</w:t>
      </w:r>
      <w:r w:rsidR="00975CC9" w:rsidRPr="00975CC9">
        <w:t xml:space="preserve"> </w:t>
      </w:r>
      <w:r w:rsidR="00975CC9">
        <w:t>a</w:t>
      </w:r>
      <w:r w:rsidR="00975CC9" w:rsidRPr="00975CC9">
        <w:t xml:space="preserve"> vehicle</w:t>
      </w:r>
      <w:r w:rsidR="00975CC9">
        <w:rPr>
          <w:i/>
        </w:rPr>
        <w:t xml:space="preserve"> “substantially as shown </w:t>
      </w:r>
      <w:r w:rsidR="00975CC9">
        <w:rPr>
          <w:i/>
        </w:rPr>
        <w:lastRenderedPageBreak/>
        <w:t>in the representations, but those aspects shown in broken lines are optional and do not form an essential part of the design.”</w:t>
      </w:r>
      <w:r w:rsidR="005B4143">
        <w:rPr>
          <w:rStyle w:val="FootnoteReference"/>
          <w:i/>
        </w:rPr>
        <w:footnoteReference w:id="6"/>
      </w:r>
      <w:r w:rsidR="00D9611C">
        <w:rPr>
          <w:i/>
        </w:rPr>
        <w:t xml:space="preserve"> </w:t>
      </w:r>
      <w:r w:rsidR="00D9611C">
        <w:t>Various drawings of the accessories seen from different angles are attached</w:t>
      </w:r>
      <w:r w:rsidR="008836ED">
        <w:rPr>
          <w:rStyle w:val="FootnoteReference"/>
        </w:rPr>
        <w:footnoteReference w:id="7"/>
      </w:r>
      <w:r w:rsidR="008836ED">
        <w:t>.</w:t>
      </w:r>
      <w:r w:rsidR="00D9611C">
        <w:t xml:space="preserve"> There is no explanatory statement provided in respect of each design and they are all in operation.</w:t>
      </w:r>
    </w:p>
    <w:p w14:paraId="716CB9A3" w14:textId="77777777" w:rsidR="00975CC9" w:rsidRPr="00975CC9" w:rsidRDefault="00975CC9" w:rsidP="00AA024E">
      <w:pPr>
        <w:spacing w:line="480" w:lineRule="auto"/>
        <w:jc w:val="both"/>
        <w:rPr>
          <w:i/>
        </w:rPr>
      </w:pPr>
    </w:p>
    <w:p w14:paraId="731AA81C" w14:textId="333DDF1E" w:rsidR="004D6F36" w:rsidRDefault="00975CC9" w:rsidP="00AA024E">
      <w:pPr>
        <w:spacing w:line="480" w:lineRule="auto"/>
        <w:ind w:left="720" w:hanging="720"/>
        <w:jc w:val="both"/>
      </w:pPr>
      <w:r>
        <w:t>5]</w:t>
      </w:r>
      <w:r>
        <w:tab/>
      </w:r>
      <w:r w:rsidR="004D6F36">
        <w:t>Both the plaintiff and the defendant are designer</w:t>
      </w:r>
      <w:r w:rsidR="00635366">
        <w:t>s</w:t>
      </w:r>
      <w:r w:rsidR="004D6F36">
        <w:t xml:space="preserve"> and manufacturers of sports bars and nudge bars. In fact, Mr Carl William Engelbrecht</w:t>
      </w:r>
      <w:r w:rsidR="004D6F36">
        <w:rPr>
          <w:rStyle w:val="FootnoteReference"/>
        </w:rPr>
        <w:footnoteReference w:id="8"/>
      </w:r>
      <w:r w:rsidR="004D6F36">
        <w:t xml:space="preserve"> and his brother Anton, founded the plaintiff and then sold the business in 2005. In 2008 Engelbrecht founded the defendant. Given the fact that he has been in this business for 23 years</w:t>
      </w:r>
      <w:r w:rsidR="004D6F36">
        <w:rPr>
          <w:rStyle w:val="FootnoteReference"/>
        </w:rPr>
        <w:footnoteReference w:id="9"/>
      </w:r>
      <w:r w:rsidR="004D6F36">
        <w:t xml:space="preserve"> and watched the increasing popularity and aesthetics of the various designs develop in the industry, it behoves no explanation that he is well-acquainted with both parties’ designs – the plaintiff most especially until 2005 and the defendant since 2008.</w:t>
      </w:r>
      <w:r w:rsidR="00AA024E">
        <w:t xml:space="preserve"> Both parties on-sell their products to vehicle dealers, including the original equipment manufacturers (OEM) such as Isuzu, Ford, Nissan, Volkswagen and Toyota. Dealers also on-sell the parties’ products to their customers at the time that a vehicle is sold to the customer, or thereafter.</w:t>
      </w:r>
    </w:p>
    <w:p w14:paraId="60B03654" w14:textId="77777777" w:rsidR="004D6F36" w:rsidRDefault="004D6F36" w:rsidP="00AA024E">
      <w:pPr>
        <w:spacing w:line="480" w:lineRule="auto"/>
        <w:ind w:left="720" w:hanging="720"/>
        <w:jc w:val="both"/>
      </w:pPr>
    </w:p>
    <w:p w14:paraId="30643829" w14:textId="3A85BC6B" w:rsidR="00CA1EDD" w:rsidRPr="00CA1EDD" w:rsidRDefault="00CA1EDD" w:rsidP="00AA024E">
      <w:pPr>
        <w:spacing w:line="480" w:lineRule="auto"/>
        <w:ind w:left="720" w:hanging="720"/>
        <w:jc w:val="both"/>
        <w:rPr>
          <w:b/>
          <w:u w:val="single"/>
        </w:rPr>
      </w:pPr>
      <w:r>
        <w:rPr>
          <w:b/>
          <w:u w:val="single"/>
        </w:rPr>
        <w:t>What is a “sports bar” and a “nudge bar”?</w:t>
      </w:r>
    </w:p>
    <w:p w14:paraId="63210D9B" w14:textId="457726E4" w:rsidR="004D6F36" w:rsidRDefault="004D6F36" w:rsidP="00AA024E">
      <w:pPr>
        <w:spacing w:line="480" w:lineRule="auto"/>
        <w:ind w:left="720" w:hanging="720"/>
        <w:jc w:val="both"/>
      </w:pPr>
      <w:r>
        <w:t>6]</w:t>
      </w:r>
      <w:r>
        <w:tab/>
        <w:t>In order to get to grips with the issues in play, it is prudent to explain what a “sp</w:t>
      </w:r>
      <w:r w:rsidR="00C479EB">
        <w:t>orts bar” and a “nudge bar” are:</w:t>
      </w:r>
    </w:p>
    <w:p w14:paraId="0613CC07" w14:textId="3EA06152" w:rsidR="004D6F36" w:rsidRDefault="004D6F36" w:rsidP="00AA024E">
      <w:pPr>
        <w:spacing w:line="480" w:lineRule="auto"/>
        <w:ind w:left="1440" w:hanging="720"/>
        <w:jc w:val="both"/>
      </w:pPr>
      <w:r>
        <w:lastRenderedPageBreak/>
        <w:t>6.1</w:t>
      </w:r>
      <w:r>
        <w:tab/>
        <w:t>a “sports bar”</w:t>
      </w:r>
      <w:r>
        <w:rPr>
          <w:rStyle w:val="FootnoteReference"/>
        </w:rPr>
        <w:footnoteReference w:id="10"/>
      </w:r>
      <w:r w:rsidR="007B7930">
        <w:t xml:space="preserve"> is a vehicle accessory </w:t>
      </w:r>
      <w:r w:rsidR="00DB4CAD">
        <w:t xml:space="preserve">that is fitted to a sports utility vehicle (SUV), a bakkie or a truck . It </w:t>
      </w:r>
      <w:r w:rsidR="007B7930">
        <w:t>is fitted immediately to the load bed of the vehicle directly</w:t>
      </w:r>
      <w:r w:rsidR="004719F9">
        <w:t xml:space="preserve"> behind the driver cabinet and extends from the load bed across and behind the cabinet</w:t>
      </w:r>
      <w:r w:rsidR="001573D0">
        <w:t xml:space="preserve">. In general, a sports bar has an inverted U-shaped front hoop which is positioned directly behind the cabinet and an inverted U-shaped rear hoop which extends at an angle </w:t>
      </w:r>
      <w:r w:rsidR="00195350">
        <w:t>behind the</w:t>
      </w:r>
      <w:r w:rsidR="001573D0">
        <w:t xml:space="preserve"> front hoop and the load bed of the vehicle</w:t>
      </w:r>
      <w:r w:rsidR="007B7930">
        <w:t>;</w:t>
      </w:r>
    </w:p>
    <w:p w14:paraId="6B69F61A" w14:textId="77777777" w:rsidR="005760FC" w:rsidRDefault="005760FC" w:rsidP="00AA024E">
      <w:pPr>
        <w:spacing w:line="480" w:lineRule="auto"/>
        <w:ind w:left="1440" w:hanging="720"/>
        <w:jc w:val="both"/>
      </w:pPr>
    </w:p>
    <w:p w14:paraId="4086DE6B" w14:textId="5A407A24" w:rsidR="007B7930" w:rsidRDefault="007B7930" w:rsidP="00AA024E">
      <w:pPr>
        <w:spacing w:line="480" w:lineRule="auto"/>
        <w:ind w:left="1440" w:hanging="720"/>
        <w:jc w:val="both"/>
      </w:pPr>
      <w:r>
        <w:t>6.2</w:t>
      </w:r>
      <w:r>
        <w:tab/>
        <w:t>a “nudge bar” is a vehicle accessory</w:t>
      </w:r>
      <w:r w:rsidR="00CA1EDD">
        <w:t xml:space="preserve"> that is</w:t>
      </w:r>
      <w:r>
        <w:t xml:space="preserve"> fitted to </w:t>
      </w:r>
      <w:r w:rsidR="00CA1EDD">
        <w:t xml:space="preserve">a </w:t>
      </w:r>
      <w:r>
        <w:t>sport</w:t>
      </w:r>
      <w:r w:rsidR="00CA1EDD">
        <w:t xml:space="preserve">s utility vehicle (SUV), </w:t>
      </w:r>
      <w:r w:rsidR="00635366">
        <w:t xml:space="preserve">a </w:t>
      </w:r>
      <w:r w:rsidR="00CA1EDD">
        <w:t xml:space="preserve">bakkie or </w:t>
      </w:r>
      <w:r w:rsidR="00635366">
        <w:t xml:space="preserve">a </w:t>
      </w:r>
      <w:r>
        <w:t xml:space="preserve">truck. It </w:t>
      </w:r>
      <w:r w:rsidR="00635366">
        <w:t xml:space="preserve">is </w:t>
      </w:r>
      <w:r>
        <w:t xml:space="preserve">attached to the front </w:t>
      </w:r>
      <w:r w:rsidR="004719F9">
        <w:t xml:space="preserve">of the vehicle, generally on the </w:t>
      </w:r>
      <w:r>
        <w:t>underside of the vehicle and extends partially across and in front of the grill of the vehicle.</w:t>
      </w:r>
      <w:r w:rsidR="00635366">
        <w:t xml:space="preserve"> In some instances the nudge bar itself will be accessorized eg with headlamps or a logo depicting the make of the vehicle.</w:t>
      </w:r>
      <w:r w:rsidR="001573D0">
        <w:t xml:space="preserve"> Generally speaking, nudge bars have an inverted U-shaped hoop which extends from under the front part of the vehicle across the front of the vehicle.</w:t>
      </w:r>
    </w:p>
    <w:p w14:paraId="110F795A" w14:textId="77777777" w:rsidR="007B7930" w:rsidRDefault="007B7930" w:rsidP="00AA024E">
      <w:pPr>
        <w:spacing w:line="480" w:lineRule="auto"/>
        <w:ind w:left="720" w:hanging="720"/>
        <w:jc w:val="both"/>
      </w:pPr>
    </w:p>
    <w:p w14:paraId="19AF3A4E" w14:textId="77777777" w:rsidR="00792CF6" w:rsidRDefault="00950ED9" w:rsidP="00AA024E">
      <w:pPr>
        <w:spacing w:line="480" w:lineRule="auto"/>
        <w:ind w:left="720" w:hanging="720"/>
        <w:jc w:val="both"/>
      </w:pPr>
      <w:r>
        <w:t>7]</w:t>
      </w:r>
      <w:r>
        <w:tab/>
      </w:r>
      <w:r w:rsidR="004D6F36">
        <w:t>Both the sports bar and the nudge bar are designed to enhance the style and appearance of the vehicle to which they are fitted.</w:t>
      </w:r>
    </w:p>
    <w:p w14:paraId="725C762F" w14:textId="77777777" w:rsidR="004D6F36" w:rsidRDefault="004D6F36" w:rsidP="00AA024E">
      <w:pPr>
        <w:spacing w:line="480" w:lineRule="auto"/>
        <w:jc w:val="both"/>
      </w:pPr>
    </w:p>
    <w:p w14:paraId="602EDD96" w14:textId="77777777" w:rsidR="00AA024E" w:rsidRDefault="00AA024E" w:rsidP="00AA024E">
      <w:pPr>
        <w:spacing w:line="480" w:lineRule="auto"/>
        <w:jc w:val="both"/>
      </w:pPr>
      <w:r>
        <w:rPr>
          <w:b/>
          <w:u w:val="single"/>
        </w:rPr>
        <w:t>Common cause</w:t>
      </w:r>
    </w:p>
    <w:p w14:paraId="00F7AEB8" w14:textId="77777777" w:rsidR="00AA024E" w:rsidRDefault="00AA024E" w:rsidP="00AA024E">
      <w:pPr>
        <w:spacing w:line="480" w:lineRule="auto"/>
        <w:jc w:val="both"/>
      </w:pPr>
      <w:r>
        <w:t>8]</w:t>
      </w:r>
      <w:r>
        <w:tab/>
        <w:t>It is common cause that:</w:t>
      </w:r>
    </w:p>
    <w:p w14:paraId="38F6798C" w14:textId="77777777" w:rsidR="00AA024E" w:rsidRDefault="00AA024E" w:rsidP="00AA024E">
      <w:pPr>
        <w:spacing w:line="480" w:lineRule="auto"/>
        <w:jc w:val="both"/>
      </w:pPr>
      <w:r>
        <w:tab/>
        <w:t>8.1</w:t>
      </w:r>
      <w:r>
        <w:tab/>
        <w:t>the plaintiff’s designs are registered and in force;</w:t>
      </w:r>
    </w:p>
    <w:p w14:paraId="5B1335DC" w14:textId="77777777" w:rsidR="005760FC" w:rsidRDefault="00AA024E" w:rsidP="00AA024E">
      <w:pPr>
        <w:spacing w:line="480" w:lineRule="auto"/>
        <w:jc w:val="both"/>
      </w:pPr>
      <w:r>
        <w:tab/>
      </w:r>
    </w:p>
    <w:p w14:paraId="62A1CC3F" w14:textId="0B0620DA" w:rsidR="00AA024E" w:rsidRDefault="00AA024E" w:rsidP="005760FC">
      <w:pPr>
        <w:spacing w:line="480" w:lineRule="auto"/>
        <w:ind w:firstLine="720"/>
        <w:jc w:val="both"/>
      </w:pPr>
      <w:r>
        <w:lastRenderedPageBreak/>
        <w:t>8.2</w:t>
      </w:r>
      <w:r>
        <w:tab/>
        <w:t>ther</w:t>
      </w:r>
      <w:r w:rsidR="00E70E0B">
        <w:t>e is no challenge to their valid</w:t>
      </w:r>
      <w:r>
        <w:t>ity;</w:t>
      </w:r>
    </w:p>
    <w:p w14:paraId="0526FC34" w14:textId="77777777" w:rsidR="005760FC" w:rsidRDefault="005760FC" w:rsidP="005760FC">
      <w:pPr>
        <w:spacing w:line="480" w:lineRule="auto"/>
        <w:ind w:left="720"/>
        <w:jc w:val="both"/>
      </w:pPr>
    </w:p>
    <w:p w14:paraId="742570C3" w14:textId="600CD68B" w:rsidR="00E70E0B" w:rsidRDefault="00E70E0B" w:rsidP="005760FC">
      <w:pPr>
        <w:spacing w:line="480" w:lineRule="auto"/>
        <w:ind w:left="1440" w:hanging="720"/>
        <w:jc w:val="both"/>
      </w:pPr>
      <w:r>
        <w:t>8.3</w:t>
      </w:r>
      <w:r>
        <w:tab/>
      </w:r>
      <w:r w:rsidR="00432C07">
        <w:t>the defendant admits that it has made and/or sold the nudge bars and the sport bars which the plainti</w:t>
      </w:r>
      <w:r w:rsidR="00635366">
        <w:t>ff alleges infringes its design:</w:t>
      </w:r>
    </w:p>
    <w:p w14:paraId="5B63EDE9" w14:textId="0818C46E" w:rsidR="00432C07" w:rsidRDefault="00635366" w:rsidP="00635366">
      <w:pPr>
        <w:spacing w:line="480" w:lineRule="auto"/>
        <w:ind w:left="2160" w:hanging="720"/>
        <w:jc w:val="both"/>
      </w:pPr>
      <w:r>
        <w:t>8.3.1</w:t>
      </w:r>
      <w:r>
        <w:tab/>
      </w:r>
      <w:r w:rsidR="00432C07">
        <w:t xml:space="preserve">as regards the 2 </w:t>
      </w:r>
      <w:r w:rsidR="00000150">
        <w:t>Polygon</w:t>
      </w:r>
      <w:r w:rsidR="00432C07">
        <w:t xml:space="preserve"> designs – the defendant has manufactured and sold the “Artav </w:t>
      </w:r>
      <w:r w:rsidR="00000150">
        <w:t>Polygon</w:t>
      </w:r>
      <w:r w:rsidR="00432C07">
        <w:t>al crossbar” sports bar and nudge bar which is sold for use on a Ford Ranger bakkie;</w:t>
      </w:r>
    </w:p>
    <w:p w14:paraId="23AAF444" w14:textId="52905070" w:rsidR="00432C07" w:rsidRDefault="00635366" w:rsidP="00635366">
      <w:pPr>
        <w:spacing w:line="480" w:lineRule="auto"/>
        <w:ind w:left="2160" w:hanging="720"/>
        <w:jc w:val="both"/>
      </w:pPr>
      <w:r>
        <w:t>8.3.2</w:t>
      </w:r>
      <w:r w:rsidR="00432C07">
        <w:tab/>
        <w:t xml:space="preserve">as regards the 2 </w:t>
      </w:r>
      <w:r w:rsidR="00000150">
        <w:t>Louvre</w:t>
      </w:r>
      <w:r w:rsidR="00432C07">
        <w:t xml:space="preserve"> designs, the defendant has manufactured and sold:</w:t>
      </w:r>
    </w:p>
    <w:p w14:paraId="70698867" w14:textId="6932F802" w:rsidR="00432C07" w:rsidRDefault="00432C07" w:rsidP="00635366">
      <w:pPr>
        <w:spacing w:line="480" w:lineRule="auto"/>
        <w:ind w:left="2880" w:hanging="720"/>
        <w:jc w:val="both"/>
      </w:pPr>
      <w:r>
        <w:t>8.</w:t>
      </w:r>
      <w:r w:rsidR="00635366">
        <w:t>3</w:t>
      </w:r>
      <w:r>
        <w:t>.1</w:t>
      </w:r>
      <w:r>
        <w:tab/>
        <w:t>the “MK1” nudge bar and sports bar, for use on the Nissan Navara bakkie;</w:t>
      </w:r>
    </w:p>
    <w:p w14:paraId="1BA2BDFF" w14:textId="745BF638" w:rsidR="00432C07" w:rsidRDefault="00432C07" w:rsidP="00432C07">
      <w:pPr>
        <w:spacing w:line="480" w:lineRule="auto"/>
        <w:ind w:left="1440" w:hanging="720"/>
        <w:jc w:val="both"/>
      </w:pPr>
      <w:r>
        <w:tab/>
      </w:r>
      <w:r w:rsidR="00635366">
        <w:tab/>
      </w:r>
      <w:r>
        <w:t>8.</w:t>
      </w:r>
      <w:r w:rsidR="00635366">
        <w:t>2</w:t>
      </w:r>
      <w:r>
        <w:t>.2</w:t>
      </w:r>
      <w:r>
        <w:tab/>
        <w:t>the “MK2” sports bar, for use on an Isuzu bakkie.</w:t>
      </w:r>
    </w:p>
    <w:p w14:paraId="4D5FACBD" w14:textId="77777777" w:rsidR="00432C07" w:rsidRDefault="00432C07" w:rsidP="00432C07">
      <w:pPr>
        <w:spacing w:line="480" w:lineRule="auto"/>
        <w:jc w:val="both"/>
      </w:pPr>
    </w:p>
    <w:p w14:paraId="6A72A4FA" w14:textId="77777777" w:rsidR="00432C07" w:rsidRDefault="00432C07" w:rsidP="00432C07">
      <w:pPr>
        <w:spacing w:line="480" w:lineRule="auto"/>
        <w:jc w:val="both"/>
      </w:pPr>
      <w:r>
        <w:rPr>
          <w:b/>
          <w:u w:val="single"/>
        </w:rPr>
        <w:t>The issues to be determined</w:t>
      </w:r>
    </w:p>
    <w:p w14:paraId="4B2FEE40" w14:textId="77777777" w:rsidR="00432C07" w:rsidRDefault="00432C07" w:rsidP="00432C07">
      <w:pPr>
        <w:spacing w:line="480" w:lineRule="auto"/>
        <w:ind w:left="720" w:hanging="720"/>
        <w:jc w:val="both"/>
      </w:pPr>
      <w:r>
        <w:t>9]</w:t>
      </w:r>
      <w:r>
        <w:tab/>
        <w:t>The issues before me are whether the registered designs are being infringed. The court is therefore to determine whether:</w:t>
      </w:r>
    </w:p>
    <w:p w14:paraId="08D3E884" w14:textId="5D42A1C3" w:rsidR="00432C07" w:rsidRDefault="00432C07" w:rsidP="00432C07">
      <w:pPr>
        <w:spacing w:line="480" w:lineRule="auto"/>
        <w:ind w:left="1440" w:hanging="720"/>
        <w:jc w:val="both"/>
      </w:pPr>
      <w:r>
        <w:t>9.1</w:t>
      </w:r>
      <w:r>
        <w:tab/>
        <w:t xml:space="preserve">the Artav </w:t>
      </w:r>
      <w:r w:rsidR="00000150">
        <w:t>Polygon</w:t>
      </w:r>
      <w:r>
        <w:t>al</w:t>
      </w:r>
      <w:r w:rsidR="005760FC">
        <w:rPr>
          <w:rStyle w:val="FootnoteReference"/>
        </w:rPr>
        <w:footnoteReference w:id="11"/>
      </w:r>
      <w:r>
        <w:t xml:space="preserve"> crossbar nudge bar falls within the scope of the plaintiff’s </w:t>
      </w:r>
      <w:r w:rsidR="00000150">
        <w:t>Polygon</w:t>
      </w:r>
      <w:r>
        <w:t xml:space="preserve"> nudge bar design;</w:t>
      </w:r>
    </w:p>
    <w:p w14:paraId="43A6026D" w14:textId="77777777" w:rsidR="005760FC" w:rsidRDefault="005760FC" w:rsidP="00432C07">
      <w:pPr>
        <w:spacing w:line="480" w:lineRule="auto"/>
        <w:ind w:left="1440" w:hanging="720"/>
        <w:jc w:val="both"/>
      </w:pPr>
    </w:p>
    <w:p w14:paraId="4233D4DB" w14:textId="16947F9E" w:rsidR="00792CF6" w:rsidRDefault="00432C07" w:rsidP="00432C07">
      <w:pPr>
        <w:spacing w:line="480" w:lineRule="auto"/>
        <w:ind w:left="1440" w:hanging="720"/>
        <w:jc w:val="both"/>
      </w:pPr>
      <w:r>
        <w:t>9.2</w:t>
      </w:r>
      <w:r>
        <w:tab/>
        <w:t xml:space="preserve">the Artav </w:t>
      </w:r>
      <w:r w:rsidR="00000150">
        <w:t>Polygon</w:t>
      </w:r>
      <w:r>
        <w:t xml:space="preserve">al crossbar sports bar falls within the scope of the plaintiff’s </w:t>
      </w:r>
      <w:r w:rsidR="00000150">
        <w:t>Polygon</w:t>
      </w:r>
      <w:r>
        <w:t xml:space="preserve"> sports bar design;</w:t>
      </w:r>
    </w:p>
    <w:p w14:paraId="52B7D787" w14:textId="77777777" w:rsidR="005760FC" w:rsidRDefault="005760FC" w:rsidP="00432C07">
      <w:pPr>
        <w:spacing w:line="480" w:lineRule="auto"/>
        <w:ind w:left="1440" w:hanging="720"/>
        <w:jc w:val="both"/>
      </w:pPr>
    </w:p>
    <w:p w14:paraId="5979AAE7" w14:textId="7F52AEBC" w:rsidR="00432C07" w:rsidRDefault="00B96B42" w:rsidP="00432C07">
      <w:pPr>
        <w:spacing w:line="480" w:lineRule="auto"/>
        <w:ind w:left="1440" w:hanging="720"/>
        <w:jc w:val="both"/>
      </w:pPr>
      <w:r>
        <w:lastRenderedPageBreak/>
        <w:t>9.3</w:t>
      </w:r>
      <w:r>
        <w:tab/>
        <w:t>the MK1 nudge bar</w:t>
      </w:r>
      <w:r w:rsidR="003E49B9">
        <w:rPr>
          <w:rStyle w:val="FootnoteReference"/>
        </w:rPr>
        <w:footnoteReference w:id="12"/>
      </w:r>
      <w:r>
        <w:t xml:space="preserve"> </w:t>
      </w:r>
      <w:r w:rsidR="00432C07">
        <w:t xml:space="preserve">falls within the scope of the </w:t>
      </w:r>
      <w:r w:rsidR="00000150">
        <w:t>Louvre</w:t>
      </w:r>
      <w:r w:rsidR="00432C07">
        <w:t xml:space="preserve"> nudge bar design; and</w:t>
      </w:r>
    </w:p>
    <w:p w14:paraId="18681209" w14:textId="77777777" w:rsidR="00330CE0" w:rsidRDefault="00330CE0" w:rsidP="00432C07">
      <w:pPr>
        <w:spacing w:line="480" w:lineRule="auto"/>
        <w:ind w:left="1440" w:hanging="720"/>
        <w:jc w:val="both"/>
      </w:pPr>
    </w:p>
    <w:p w14:paraId="2B9E357D" w14:textId="49195486" w:rsidR="00432C07" w:rsidRDefault="00432C07" w:rsidP="00432C07">
      <w:pPr>
        <w:spacing w:line="480" w:lineRule="auto"/>
        <w:ind w:left="1440" w:hanging="720"/>
        <w:jc w:val="both"/>
      </w:pPr>
      <w:r>
        <w:t>9.4</w:t>
      </w:r>
      <w:r>
        <w:tab/>
        <w:t xml:space="preserve">the MK1 and MK2 sports bars fall within the scope of the </w:t>
      </w:r>
      <w:r w:rsidR="00000150">
        <w:t>Louvre</w:t>
      </w:r>
      <w:r>
        <w:t xml:space="preserve"> sports bar design.</w:t>
      </w:r>
    </w:p>
    <w:p w14:paraId="6F76C084" w14:textId="77777777" w:rsidR="00432C07" w:rsidRDefault="00432C07" w:rsidP="00432C07">
      <w:pPr>
        <w:spacing w:line="480" w:lineRule="auto"/>
        <w:jc w:val="both"/>
      </w:pPr>
    </w:p>
    <w:p w14:paraId="39C48C6D" w14:textId="77777777" w:rsidR="00432C07" w:rsidRDefault="00432C07" w:rsidP="00432C07">
      <w:pPr>
        <w:spacing w:line="480" w:lineRule="auto"/>
        <w:jc w:val="both"/>
      </w:pPr>
      <w:r>
        <w:rPr>
          <w:b/>
          <w:u w:val="single"/>
        </w:rPr>
        <w:t>The defence</w:t>
      </w:r>
    </w:p>
    <w:p w14:paraId="444C10D5" w14:textId="77777777" w:rsidR="00432C07" w:rsidRDefault="00432C07" w:rsidP="00432C07">
      <w:pPr>
        <w:spacing w:line="480" w:lineRule="auto"/>
        <w:jc w:val="both"/>
      </w:pPr>
      <w:r>
        <w:t>10]</w:t>
      </w:r>
      <w:r>
        <w:tab/>
        <w:t>The defendant’s defence is predicated on the following:</w:t>
      </w:r>
    </w:p>
    <w:p w14:paraId="352E900D" w14:textId="2ECF3410" w:rsidR="00432C07" w:rsidRDefault="00432C07" w:rsidP="007379A2">
      <w:pPr>
        <w:spacing w:line="480" w:lineRule="auto"/>
        <w:ind w:left="1440" w:hanging="720"/>
        <w:jc w:val="both"/>
      </w:pPr>
      <w:r>
        <w:t>10.1</w:t>
      </w:r>
      <w:r>
        <w:tab/>
        <w:t>the plaintiff and the defendant have been manufacturing, selling</w:t>
      </w:r>
      <w:r w:rsidR="007379A2">
        <w:t xml:space="preserve"> and distributing nudge bars and sport bars which have the same frame tub</w:t>
      </w:r>
      <w:r w:rsidR="00706FE3">
        <w:t xml:space="preserve">e but different crossbars (also called </w:t>
      </w:r>
      <w:r w:rsidR="00016713">
        <w:t>cross</w:t>
      </w:r>
      <w:r w:rsidR="00706FE3">
        <w:t>members</w:t>
      </w:r>
      <w:r w:rsidR="00016713">
        <w:t>)</w:t>
      </w:r>
      <w:r w:rsidR="00016713">
        <w:rPr>
          <w:rStyle w:val="FootnoteReference"/>
        </w:rPr>
        <w:footnoteReference w:id="13"/>
      </w:r>
      <w:r w:rsidR="007379A2">
        <w:t>, prior to the plaintiff applying for the registration of its designs;</w:t>
      </w:r>
    </w:p>
    <w:p w14:paraId="71D43E44" w14:textId="77777777" w:rsidR="005760FC" w:rsidRDefault="005760FC" w:rsidP="007379A2">
      <w:pPr>
        <w:spacing w:line="480" w:lineRule="auto"/>
        <w:ind w:left="1440" w:hanging="720"/>
        <w:jc w:val="both"/>
      </w:pPr>
    </w:p>
    <w:p w14:paraId="5658FFF0" w14:textId="2245A8A0" w:rsidR="007379A2" w:rsidRDefault="007379A2" w:rsidP="007379A2">
      <w:pPr>
        <w:spacing w:line="480" w:lineRule="auto"/>
        <w:ind w:left="1440" w:hanging="720"/>
        <w:jc w:val="both"/>
      </w:pPr>
      <w:r>
        <w:t>10.2</w:t>
      </w:r>
      <w:r>
        <w:tab/>
        <w:t>the shape and configuration of the frame tub</w:t>
      </w:r>
      <w:r w:rsidR="004C71FC">
        <w:t>es of the plaintiff’s nudge bar</w:t>
      </w:r>
      <w:r>
        <w:t xml:space="preserve"> and sport bar designs are similar to the plaintiff’s prior designs which are commonly used and in the public domain to such an extent that the general shape of  the plaintiff’s design registrations are generic and commonplace.</w:t>
      </w:r>
    </w:p>
    <w:p w14:paraId="2F5F8363" w14:textId="77777777" w:rsidR="007379A2" w:rsidRDefault="007379A2" w:rsidP="007379A2">
      <w:pPr>
        <w:spacing w:line="480" w:lineRule="auto"/>
        <w:jc w:val="both"/>
      </w:pPr>
    </w:p>
    <w:p w14:paraId="7E4047B3" w14:textId="77777777" w:rsidR="007379A2" w:rsidRDefault="007379A2" w:rsidP="007379A2">
      <w:pPr>
        <w:spacing w:line="480" w:lineRule="auto"/>
        <w:jc w:val="both"/>
      </w:pPr>
      <w:r>
        <w:t>11]</w:t>
      </w:r>
      <w:r>
        <w:tab/>
        <w:t>Thus, the defence is that:</w:t>
      </w:r>
    </w:p>
    <w:p w14:paraId="030B9CF6" w14:textId="77777777" w:rsidR="007379A2" w:rsidRDefault="007379A2" w:rsidP="007379A2">
      <w:pPr>
        <w:spacing w:line="480" w:lineRule="auto"/>
        <w:jc w:val="both"/>
      </w:pPr>
      <w:r>
        <w:tab/>
        <w:t>11.1</w:t>
      </w:r>
      <w:r>
        <w:tab/>
        <w:t>the measure of novelty of the plaintiff’s designs is small;</w:t>
      </w:r>
    </w:p>
    <w:p w14:paraId="7665A9F1" w14:textId="77777777" w:rsidR="005760FC" w:rsidRDefault="005760FC" w:rsidP="007379A2">
      <w:pPr>
        <w:spacing w:line="480" w:lineRule="auto"/>
        <w:ind w:left="1440" w:hanging="720"/>
        <w:jc w:val="both"/>
      </w:pPr>
    </w:p>
    <w:p w14:paraId="6F913174" w14:textId="77777777" w:rsidR="007379A2" w:rsidRDefault="007379A2" w:rsidP="007379A2">
      <w:pPr>
        <w:spacing w:line="480" w:lineRule="auto"/>
        <w:ind w:left="1440" w:hanging="720"/>
        <w:jc w:val="both"/>
      </w:pPr>
      <w:r>
        <w:lastRenderedPageBreak/>
        <w:t>11.2</w:t>
      </w:r>
      <w:r>
        <w:tab/>
        <w:t>the ambit of the monopoly of the plaintiff’s design registration is small; and</w:t>
      </w:r>
    </w:p>
    <w:p w14:paraId="35356A7A" w14:textId="77777777" w:rsidR="005760FC" w:rsidRDefault="005760FC" w:rsidP="007379A2">
      <w:pPr>
        <w:spacing w:line="480" w:lineRule="auto"/>
        <w:ind w:left="1440" w:hanging="720"/>
        <w:jc w:val="both"/>
      </w:pPr>
    </w:p>
    <w:p w14:paraId="30230FCD" w14:textId="7CCC4DAD" w:rsidR="007379A2" w:rsidRDefault="007379A2" w:rsidP="007379A2">
      <w:pPr>
        <w:spacing w:line="480" w:lineRule="auto"/>
        <w:ind w:left="1440" w:hanging="720"/>
        <w:jc w:val="both"/>
      </w:pPr>
      <w:r>
        <w:t>11.3</w:t>
      </w:r>
      <w:r>
        <w:tab/>
        <w:t xml:space="preserve">the differences which exists between the parties’ respective nudge bar and sports bar designs are </w:t>
      </w:r>
      <w:r w:rsidR="00161285">
        <w:t>sufficiently substantial to avoid</w:t>
      </w:r>
      <w:r>
        <w:t xml:space="preserve"> infringement.</w:t>
      </w:r>
    </w:p>
    <w:p w14:paraId="4C22022A" w14:textId="77777777" w:rsidR="007379A2" w:rsidRDefault="007379A2" w:rsidP="007379A2">
      <w:pPr>
        <w:spacing w:line="480" w:lineRule="auto"/>
        <w:jc w:val="both"/>
      </w:pPr>
    </w:p>
    <w:p w14:paraId="4FB9E52A" w14:textId="360166D9" w:rsidR="007379A2" w:rsidRPr="007379A2" w:rsidRDefault="007379A2" w:rsidP="007379A2">
      <w:pPr>
        <w:spacing w:line="480" w:lineRule="auto"/>
        <w:jc w:val="both"/>
        <w:rPr>
          <w:b/>
          <w:u w:val="single"/>
        </w:rPr>
      </w:pPr>
      <w:r>
        <w:rPr>
          <w:b/>
          <w:u w:val="single"/>
        </w:rPr>
        <w:t xml:space="preserve">The </w:t>
      </w:r>
      <w:r w:rsidR="00A545DC">
        <w:rPr>
          <w:b/>
          <w:u w:val="single"/>
        </w:rPr>
        <w:t xml:space="preserve">plaintiff’s </w:t>
      </w:r>
      <w:r>
        <w:rPr>
          <w:b/>
          <w:u w:val="single"/>
        </w:rPr>
        <w:t>designs</w:t>
      </w:r>
      <w:r w:rsidR="00FB464A" w:rsidRPr="00FB464A">
        <w:rPr>
          <w:rStyle w:val="FootnoteReference"/>
        </w:rPr>
        <w:footnoteReference w:id="14"/>
      </w:r>
    </w:p>
    <w:p w14:paraId="29996948" w14:textId="3A2405A9" w:rsidR="007379A2" w:rsidRDefault="007379A2" w:rsidP="007379A2">
      <w:pPr>
        <w:tabs>
          <w:tab w:val="left" w:pos="720"/>
          <w:tab w:val="left" w:pos="1440"/>
          <w:tab w:val="left" w:pos="2160"/>
          <w:tab w:val="left" w:pos="2880"/>
          <w:tab w:val="left" w:pos="3600"/>
          <w:tab w:val="center" w:pos="4513"/>
        </w:tabs>
        <w:spacing w:line="480" w:lineRule="auto"/>
        <w:ind w:left="720" w:hanging="720"/>
        <w:jc w:val="both"/>
      </w:pPr>
      <w:r>
        <w:t>12]</w:t>
      </w:r>
      <w:r>
        <w:tab/>
      </w:r>
      <w:r>
        <w:rPr>
          <w:u w:val="single"/>
        </w:rPr>
        <w:t xml:space="preserve">The </w:t>
      </w:r>
      <w:r w:rsidR="00000150">
        <w:rPr>
          <w:u w:val="single"/>
        </w:rPr>
        <w:t>Louvre</w:t>
      </w:r>
      <w:r>
        <w:rPr>
          <w:u w:val="single"/>
        </w:rPr>
        <w:t xml:space="preserve"> nudge bar design</w:t>
      </w:r>
      <w:r w:rsidR="00A92938" w:rsidRPr="00A92938">
        <w:rPr>
          <w:rStyle w:val="FootnoteReference"/>
        </w:rPr>
        <w:footnoteReference w:id="15"/>
      </w:r>
      <w:r w:rsidRPr="00A92938">
        <w:tab/>
      </w:r>
      <w:r w:rsidRPr="007379A2">
        <w:t xml:space="preserve"> fits</w:t>
      </w:r>
      <w:r w:rsidR="00330CE0">
        <w:t xml:space="preserve"> onto the front of the vehicle and</w:t>
      </w:r>
      <w:r>
        <w:t xml:space="preserve"> consists</w:t>
      </w:r>
      <w:r w:rsidRPr="007379A2">
        <w:t xml:space="preserve"> of a </w:t>
      </w:r>
      <w:r w:rsidR="00FB464A">
        <w:t xml:space="preserve">tubular </w:t>
      </w:r>
      <w:r w:rsidR="00A92938">
        <w:t xml:space="preserve">hoop </w:t>
      </w:r>
      <w:r w:rsidR="00E818C1">
        <w:t>in t</w:t>
      </w:r>
      <w:r w:rsidR="00330CE0">
        <w:t>he shape of an inverted “U”. T</w:t>
      </w:r>
      <w:r w:rsidR="00E818C1">
        <w:t>he</w:t>
      </w:r>
      <w:r w:rsidR="00330CE0">
        <w:t xml:space="preserve"> vehicle</w:t>
      </w:r>
      <w:r w:rsidR="00E818C1">
        <w:t xml:space="preserve"> number plate fits into the ga</w:t>
      </w:r>
      <w:r w:rsidR="00FB464A">
        <w:t>p between the arms of the hoop. The arms of the hoop extend from the top</w:t>
      </w:r>
      <w:r w:rsidR="00330CE0">
        <w:t xml:space="preserve"> part at an angle of about 65°, and curve backward at the </w:t>
      </w:r>
      <w:r w:rsidR="00FB464A">
        <w:t xml:space="preserve">lower end of </w:t>
      </w:r>
      <w:r w:rsidR="00330CE0">
        <w:t>each</w:t>
      </w:r>
      <w:r w:rsidR="00FB464A">
        <w:t xml:space="preserve"> arm to form an integrally formed rearward extending portion. Each arm extends forward from each respective rearward extending portion at an angle of about 10° from the vertical. An enlarged generally trapezoid area is defined between the top part and the arms of the hoop. </w:t>
      </w:r>
      <w:r w:rsidR="00330CE0">
        <w:t>Between the lower portion of the arms of the hoop</w:t>
      </w:r>
      <w:r w:rsidR="00FB464A">
        <w:t xml:space="preserve"> are 2 crossbars which are spaced slightly apart and extend through the open area and between the opposing arms to separate the open area into an enlarged upper area and a reduced, shallower but wider lower area. Each crossbar is attached to each arm by means of a joiner (or bracket) which envelopes the end of the crossbar and partially encircles the arm. </w:t>
      </w:r>
      <w:r w:rsidR="00442EF4">
        <w:t>Each crossbar is oval shaped in cross section and has a reduced cross- sectional height (about half compared to the cross-sectional height of the hoop. Each crossbar is positioned at a</w:t>
      </w:r>
      <w:r w:rsidR="00504C7D">
        <w:t xml:space="preserve"> slightly forward and downward</w:t>
      </w:r>
      <w:r w:rsidR="00330CE0">
        <w:t xml:space="preserve"> angle</w:t>
      </w:r>
      <w:r w:rsidR="00504C7D">
        <w:t>.</w:t>
      </w:r>
      <w:r w:rsidR="00442EF4">
        <w:t xml:space="preserve">  </w:t>
      </w:r>
      <w:r w:rsidR="00E818C1">
        <w:t xml:space="preserve">These create </w:t>
      </w:r>
      <w:r w:rsidR="00E818C1">
        <w:lastRenderedPageBreak/>
        <w:t xml:space="preserve">the impression of a </w:t>
      </w:r>
      <w:r w:rsidR="00000150">
        <w:t>Louvre</w:t>
      </w:r>
      <w:r w:rsidR="00E818C1">
        <w:t xml:space="preserve"> (i.e. a closed blind) </w:t>
      </w:r>
      <w:r w:rsidR="00504C7D">
        <w:t xml:space="preserve">as each crossbar appears to extend slightly in front of the arms in a side view. </w:t>
      </w:r>
    </w:p>
    <w:p w14:paraId="7D68ADA5" w14:textId="77777777" w:rsidR="00E818C1" w:rsidRDefault="00E818C1" w:rsidP="007379A2">
      <w:pPr>
        <w:tabs>
          <w:tab w:val="left" w:pos="720"/>
          <w:tab w:val="left" w:pos="1440"/>
          <w:tab w:val="left" w:pos="2160"/>
          <w:tab w:val="left" w:pos="2880"/>
          <w:tab w:val="left" w:pos="3600"/>
          <w:tab w:val="center" w:pos="4513"/>
        </w:tabs>
        <w:spacing w:line="480" w:lineRule="auto"/>
        <w:ind w:left="720" w:hanging="720"/>
        <w:jc w:val="both"/>
      </w:pPr>
    </w:p>
    <w:p w14:paraId="2C224B10" w14:textId="303A04F1" w:rsidR="00504C7D" w:rsidRDefault="00E818C1" w:rsidP="007379A2">
      <w:pPr>
        <w:tabs>
          <w:tab w:val="left" w:pos="720"/>
          <w:tab w:val="left" w:pos="1440"/>
          <w:tab w:val="left" w:pos="2160"/>
          <w:tab w:val="left" w:pos="2880"/>
          <w:tab w:val="left" w:pos="3600"/>
          <w:tab w:val="center" w:pos="4513"/>
        </w:tabs>
        <w:spacing w:line="480" w:lineRule="auto"/>
        <w:ind w:left="720" w:hanging="720"/>
        <w:jc w:val="both"/>
      </w:pPr>
      <w:r>
        <w:t>13]</w:t>
      </w:r>
      <w:r>
        <w:tab/>
      </w:r>
      <w:r>
        <w:rPr>
          <w:u w:val="single"/>
        </w:rPr>
        <w:t xml:space="preserve">The </w:t>
      </w:r>
      <w:r w:rsidR="00000150">
        <w:rPr>
          <w:u w:val="single"/>
        </w:rPr>
        <w:t>Louvre</w:t>
      </w:r>
      <w:r>
        <w:rPr>
          <w:u w:val="single"/>
        </w:rPr>
        <w:t xml:space="preserve"> sports bar</w:t>
      </w:r>
      <w:r w:rsidR="008C460C" w:rsidRPr="008C460C">
        <w:rPr>
          <w:rStyle w:val="FootnoteReference"/>
        </w:rPr>
        <w:footnoteReference w:id="16"/>
      </w:r>
      <w:r w:rsidR="008C460C">
        <w:t xml:space="preserve"> </w:t>
      </w:r>
      <w:r w:rsidR="00A545DC">
        <w:t>fits onto the bed of the vehicle</w:t>
      </w:r>
      <w:r>
        <w:t xml:space="preserve"> behind the cabin. </w:t>
      </w:r>
      <w:r w:rsidR="00504C7D">
        <w:t>It consists</w:t>
      </w:r>
      <w:r w:rsidR="00111617">
        <w:t xml:space="preserve"> of a </w:t>
      </w:r>
      <w:r w:rsidR="00521538">
        <w:t xml:space="preserve">tubular </w:t>
      </w:r>
      <w:r w:rsidR="00111617">
        <w:t>front hoop section</w:t>
      </w:r>
      <w:r w:rsidR="00521538">
        <w:t xml:space="preserve"> which, in front view, has a horizontal elongated front top part and two integrally formed opposing front arms which are outwardly flared and extended downwardly from the front top part. Each front arm is connected with the front top part through a smoothly rounded elbow and extends from the front top part at an angle of about 70°. Each front arm smoothly curves back inwards towards the vertical at a lower end of the front arm to form an integrally formed vertically extending front base portion. In side view the front arm extends or leans forward from each respective front base portion at an angle </w:t>
      </w:r>
      <w:r w:rsidR="00521538" w:rsidRPr="002C37CF">
        <w:t>of about 7° from</w:t>
      </w:r>
      <w:r w:rsidR="00521538">
        <w:t xml:space="preserve"> the vertical. An enlarged generally trapezoid shaped front open area is defined between the front top part and the front arms of the front hoop. </w:t>
      </w:r>
      <w:r w:rsidR="00330CE0">
        <w:t xml:space="preserve">Behind the front hoop is a </w:t>
      </w:r>
      <w:r w:rsidR="00521538">
        <w:t xml:space="preserve">tubular rear hoop section </w:t>
      </w:r>
      <w:r w:rsidR="00330CE0">
        <w:t xml:space="preserve">which </w:t>
      </w:r>
      <w:r w:rsidR="00521538">
        <w:t xml:space="preserve">is attached to the </w:t>
      </w:r>
      <w:r w:rsidR="00330CE0">
        <w:t>front hoop by way of two spaced-</w:t>
      </w:r>
      <w:r w:rsidR="00521538">
        <w:t xml:space="preserve">apart square brackets. The rear hoop has a horizontal, elongated rear top part and two integrally formed opposing rear arms which extend backward and downward from the rear top part. As can be seen in top, rear and bottom view, the rear arms flare outwardly from the rear top part at an angle of about 70°. In side view, each arm comprises three sections: a first upper section which is attached to the rear top part, followed by a section mid-section which is integrally formed with the upper section but which extends at an angle of about 19° from the upper section, and a third base section which is curved towards the vertical and which is integrally </w:t>
      </w:r>
      <w:r w:rsidR="00521538">
        <w:lastRenderedPageBreak/>
        <w:t>formed with and extends from the mid-section. At the lower half of the front arms, and between the front arms and the mid-section of the rear arms, two slightly spaced apart crossbars extend horizontally to separate the space between the front and rear hoops in side view, into an upper, generally triangular space and a lower, generally rectangular space. Each crossbar is attached to each respective arm by way of a bracket or tube joiner which envelopes the end of the crossbar and partially encircles the arm. At the rear arm the bracket is slightly enlarged compared to the bracket at the front arm. The lower crossbar is longer than the upper crossbar. Each crossbar is tubular and oval shaped in cross-section with the oval cross-section extending at an angle</w:t>
      </w:r>
      <w:r w:rsidR="00D3190D">
        <w:t xml:space="preserve"> (it is tilted from the vertical) to give depth and body to the crossbars, and it also has a reduced cross-sectional height (less than half) compared to the cross-sectional height of the hoops. The shape an configuration (including spacing) of the crossbars give them a look similar to that of a louvre with a very small visible slit in side view between the crossbars.</w:t>
      </w:r>
    </w:p>
    <w:p w14:paraId="20753CEB" w14:textId="77777777" w:rsidR="00504C7D" w:rsidRDefault="00504C7D" w:rsidP="007379A2">
      <w:pPr>
        <w:tabs>
          <w:tab w:val="left" w:pos="720"/>
          <w:tab w:val="left" w:pos="1440"/>
          <w:tab w:val="left" w:pos="2160"/>
          <w:tab w:val="left" w:pos="2880"/>
          <w:tab w:val="left" w:pos="3600"/>
          <w:tab w:val="center" w:pos="4513"/>
        </w:tabs>
        <w:spacing w:line="480" w:lineRule="auto"/>
        <w:ind w:left="720" w:hanging="720"/>
        <w:jc w:val="both"/>
      </w:pPr>
    </w:p>
    <w:p w14:paraId="36D070BE" w14:textId="02FDC600" w:rsidR="00E818C1" w:rsidRDefault="00E818C1" w:rsidP="007379A2">
      <w:pPr>
        <w:tabs>
          <w:tab w:val="left" w:pos="720"/>
          <w:tab w:val="left" w:pos="1440"/>
          <w:tab w:val="left" w:pos="2160"/>
          <w:tab w:val="left" w:pos="2880"/>
          <w:tab w:val="left" w:pos="3600"/>
          <w:tab w:val="center" w:pos="4513"/>
        </w:tabs>
        <w:spacing w:line="480" w:lineRule="auto"/>
        <w:ind w:left="720" w:hanging="720"/>
        <w:jc w:val="both"/>
      </w:pPr>
      <w:r>
        <w:t>1</w:t>
      </w:r>
      <w:r w:rsidR="00980DAE">
        <w:t>4</w:t>
      </w:r>
      <w:r>
        <w:t>]</w:t>
      </w:r>
      <w:r>
        <w:tab/>
        <w:t>It is the plaintiff’s case</w:t>
      </w:r>
      <w:r>
        <w:rPr>
          <w:rStyle w:val="FootnoteReference"/>
        </w:rPr>
        <w:footnoteReference w:id="17"/>
      </w:r>
      <w:r>
        <w:t xml:space="preserve"> that </w:t>
      </w:r>
      <w:r w:rsidR="006C3D94">
        <w:t xml:space="preserve">it deliberately designed </w:t>
      </w:r>
      <w:r w:rsidR="008C460C">
        <w:t xml:space="preserve">these 2 accessories </w:t>
      </w:r>
      <w:r>
        <w:t>in this way so that a purchaser would purchase not just the one, but the matching pair.</w:t>
      </w:r>
    </w:p>
    <w:p w14:paraId="75820495" w14:textId="77777777" w:rsidR="00E818C1" w:rsidRDefault="00E818C1" w:rsidP="007379A2">
      <w:pPr>
        <w:tabs>
          <w:tab w:val="left" w:pos="720"/>
          <w:tab w:val="left" w:pos="1440"/>
          <w:tab w:val="left" w:pos="2160"/>
          <w:tab w:val="left" w:pos="2880"/>
          <w:tab w:val="left" w:pos="3600"/>
          <w:tab w:val="center" w:pos="4513"/>
        </w:tabs>
        <w:spacing w:line="480" w:lineRule="auto"/>
        <w:ind w:left="720" w:hanging="720"/>
        <w:jc w:val="both"/>
      </w:pPr>
    </w:p>
    <w:p w14:paraId="17F6C6FC" w14:textId="25AB145F" w:rsidR="00E818C1" w:rsidRDefault="00980DAE" w:rsidP="007379A2">
      <w:pPr>
        <w:tabs>
          <w:tab w:val="left" w:pos="720"/>
          <w:tab w:val="left" w:pos="1440"/>
          <w:tab w:val="left" w:pos="2160"/>
          <w:tab w:val="left" w:pos="2880"/>
          <w:tab w:val="left" w:pos="3600"/>
          <w:tab w:val="center" w:pos="4513"/>
        </w:tabs>
        <w:spacing w:line="480" w:lineRule="auto"/>
        <w:ind w:left="720" w:hanging="720"/>
        <w:jc w:val="both"/>
      </w:pPr>
      <w:r>
        <w:t>15</w:t>
      </w:r>
      <w:r w:rsidR="00E818C1">
        <w:t>]</w:t>
      </w:r>
      <w:r w:rsidR="00E818C1">
        <w:tab/>
      </w:r>
      <w:r w:rsidR="00E818C1">
        <w:rPr>
          <w:u w:val="single"/>
        </w:rPr>
        <w:t xml:space="preserve">The </w:t>
      </w:r>
      <w:r w:rsidR="00000150">
        <w:rPr>
          <w:u w:val="single"/>
        </w:rPr>
        <w:t>Polygon</w:t>
      </w:r>
      <w:r w:rsidR="00E818C1">
        <w:rPr>
          <w:u w:val="single"/>
        </w:rPr>
        <w:t xml:space="preserve"> nudge bar</w:t>
      </w:r>
      <w:r w:rsidR="008C460C" w:rsidRPr="008C460C">
        <w:rPr>
          <w:rStyle w:val="FootnoteReference"/>
        </w:rPr>
        <w:footnoteReference w:id="18"/>
      </w:r>
      <w:r w:rsidR="00E818C1">
        <w:t xml:space="preserve"> also has a U-shaped hoop which attaches to the front underside of the vehicle.</w:t>
      </w:r>
      <w:r w:rsidR="002C37CF">
        <w:t xml:space="preserve"> Each arm of the hoop is connected with the top tubular bar through a smoothly rounded elbow and extends from the top part at an angle of about 75°. In side view, it is evident that each arm smoothly curves </w:t>
      </w:r>
      <w:r w:rsidR="00CC5DBA">
        <w:lastRenderedPageBreak/>
        <w:t>backward at the</w:t>
      </w:r>
      <w:r w:rsidR="002C37CF">
        <w:t xml:space="preserve"> lower end of the arm to form an integrally formed rearward extending portion. Each arm extends forward from each respective rearward extending portion at an angle of about 6° from the vertical. An enlarged generally trapezoid shaped open area is defined between the top part and the arms of the hoop. A crossbar extends through the open area and between the opposing arms to separate the open area into an enlarged upper area and a reduced more shallow but wider lower area. The crossbar is attached to each arm by way of a tube joiner which envelopes the crossbar.</w:t>
      </w:r>
      <w:r w:rsidR="00E6520D">
        <w:t xml:space="preserve"> The crossbar is tubular, closed on all sides and its cross-sectional height is higher than the cross-sectional height of the hoop.</w:t>
      </w:r>
      <w:r w:rsidR="002C37CF">
        <w:t xml:space="preserve"> </w:t>
      </w:r>
      <w:r w:rsidR="00E6520D">
        <w:t xml:space="preserve"> The crossbar has a vertical flat front face, a rearward angled upper face which extends upward from the front face, a rearward angled lower face which extends downward from the front face, a top face which extends horizontally from the angled upper face, a rear face which extends vertically from the top face and a bottom face which extends horizontally between the rear face and the angled lower face i.e t</w:t>
      </w:r>
      <w:r w:rsidR="00E818C1">
        <w:t xml:space="preserve">he </w:t>
      </w:r>
      <w:r w:rsidR="004A7D79">
        <w:t xml:space="preserve">shape of the </w:t>
      </w:r>
      <w:r w:rsidR="00E818C1">
        <w:t>cross</w:t>
      </w:r>
      <w:r w:rsidR="008C460C">
        <w:t xml:space="preserve">bar </w:t>
      </w:r>
      <w:r w:rsidR="00E818C1">
        <w:t>is</w:t>
      </w:r>
      <w:r w:rsidR="004A7D79">
        <w:t xml:space="preserve"> </w:t>
      </w:r>
      <w:r w:rsidR="00E6520D">
        <w:t>“6-</w:t>
      </w:r>
      <w:r w:rsidR="00E818C1">
        <w:t>sided”</w:t>
      </w:r>
      <w:r w:rsidR="008C460C">
        <w:t>.</w:t>
      </w:r>
      <w:r w:rsidR="00D10376">
        <w:t xml:space="preserve"> </w:t>
      </w:r>
      <w:r w:rsidR="00E6520D">
        <w:t>Each of the adjacent faces of the crossbar are separated by a horizontal and distinct bend. Each tube joiner is slightly forward angled so that the crossbar extends slightly forward of the hoop.</w:t>
      </w:r>
    </w:p>
    <w:p w14:paraId="713C78F3" w14:textId="77777777" w:rsidR="00E818C1" w:rsidRDefault="00E818C1" w:rsidP="007379A2">
      <w:pPr>
        <w:tabs>
          <w:tab w:val="left" w:pos="720"/>
          <w:tab w:val="left" w:pos="1440"/>
          <w:tab w:val="left" w:pos="2160"/>
          <w:tab w:val="left" w:pos="2880"/>
          <w:tab w:val="left" w:pos="3600"/>
          <w:tab w:val="center" w:pos="4513"/>
        </w:tabs>
        <w:spacing w:line="480" w:lineRule="auto"/>
        <w:ind w:left="720" w:hanging="720"/>
        <w:jc w:val="both"/>
      </w:pPr>
    </w:p>
    <w:p w14:paraId="0CD135EE" w14:textId="2F394AC4" w:rsidR="006949E8" w:rsidRDefault="00980DAE" w:rsidP="007379A2">
      <w:pPr>
        <w:tabs>
          <w:tab w:val="left" w:pos="720"/>
          <w:tab w:val="left" w:pos="1440"/>
          <w:tab w:val="left" w:pos="2160"/>
          <w:tab w:val="left" w:pos="2880"/>
          <w:tab w:val="left" w:pos="3600"/>
          <w:tab w:val="center" w:pos="4513"/>
        </w:tabs>
        <w:spacing w:line="480" w:lineRule="auto"/>
        <w:ind w:left="720" w:hanging="720"/>
        <w:jc w:val="both"/>
      </w:pPr>
      <w:r>
        <w:t>16</w:t>
      </w:r>
      <w:r w:rsidR="00E818C1">
        <w:t>]</w:t>
      </w:r>
      <w:r w:rsidR="00E818C1">
        <w:tab/>
      </w:r>
      <w:r w:rsidR="00E818C1">
        <w:rPr>
          <w:u w:val="single"/>
        </w:rPr>
        <w:t xml:space="preserve">The </w:t>
      </w:r>
      <w:r w:rsidR="00000150">
        <w:rPr>
          <w:u w:val="single"/>
        </w:rPr>
        <w:t>Polygon</w:t>
      </w:r>
      <w:r w:rsidR="00E818C1">
        <w:rPr>
          <w:u w:val="single"/>
        </w:rPr>
        <w:t xml:space="preserve"> sports bar</w:t>
      </w:r>
      <w:r w:rsidR="008C460C" w:rsidRPr="008C460C">
        <w:rPr>
          <w:rStyle w:val="FootnoteReference"/>
        </w:rPr>
        <w:footnoteReference w:id="19"/>
      </w:r>
      <w:r w:rsidR="00E818C1">
        <w:t xml:space="preserve"> has a similar front hoop to the </w:t>
      </w:r>
      <w:r w:rsidR="00000150">
        <w:t>Louvre</w:t>
      </w:r>
      <w:r w:rsidR="00E818C1">
        <w:t xml:space="preserve"> sports bar</w:t>
      </w:r>
      <w:r w:rsidR="006949E8">
        <w:t xml:space="preserve"> as described in par </w:t>
      </w:r>
      <w:r>
        <w:t xml:space="preserve">13 </w:t>
      </w:r>
      <w:r w:rsidR="006949E8" w:rsidRPr="00980DAE">
        <w:rPr>
          <w:i/>
        </w:rPr>
        <w:t>supra</w:t>
      </w:r>
      <w:r w:rsidR="006949E8">
        <w:t xml:space="preserve">. Each front arm is connected with the front top part through a smoothly rounded elbow and extends from the front top part at an angle of about 72°. Each front arm smoothly curves back inwards towards the vertical at a lower end of the front arm to form an integrally formed vertically </w:t>
      </w:r>
      <w:r w:rsidR="006949E8">
        <w:lastRenderedPageBreak/>
        <w:t>extending front base portion. In side view, each front arm extends or leans forward from each respective front base portion at an angle of about 7° from the vertical.</w:t>
      </w:r>
      <w:r w:rsidR="00362F19">
        <w:t xml:space="preserve"> </w:t>
      </w:r>
      <w:r w:rsidR="006949E8">
        <w:t>An enlarged</w:t>
      </w:r>
      <w:r w:rsidR="00362F19">
        <w:t xml:space="preserve"> generally trapezoid shaped front open area is defined between the front top part and the front arms of the front hoop. A tubular rear hoop section is attached to the front hoop by way of two spaced apart square brackets. The rear hoop has a horizontal, elongate rear top part and two integrally formed opposing rear arms which extend backward and downward from the rear top part. As is evident in top, rear and bottom views, the rear arms flare outwardly from the rear top part at an angle of about 78°. A side view shows each rear arm comprising of three sections: a first upper section which is attached to the rear top part, followed by a second mid-section which is integrally formed with the upper section but which extends at an angle of about 34° from the upper section,, and a third base section which is curved towards the vertical and which is integrally formed with and extends from the mid-section. Between the front arms and the mid-section of the rear arms a crossbar extends horizontally to separate the space between the front and rear hoops in side view, into an upper, generally triangular space and a lower, generally rectangular space. The crossbar is attached to each arm by way of a tube joiner which envelopes the ends of the crossbar and partially encircles the arms. The tube joiner at the rear arm is longer than the tube joiner at the front arm.</w:t>
      </w:r>
      <w:r w:rsidR="00187F73">
        <w:t xml:space="preserve"> The crossbar is tubular, closed on all sides and its cross-sectional height is higher than the cross-sectional height of the hoops. The crossbar has a vertical flat front face, an inwards angled upper face which extends upward from the front face, an inwards angled lower face which extends downwards from the front face, a top face which extends horizontally from the angled upper face, a rear </w:t>
      </w:r>
      <w:r w:rsidR="00187F73">
        <w:lastRenderedPageBreak/>
        <w:t>face which extends vertically from the top face and a bottom face which extends horizontally between the rear face and the angled lower face. Each of the adjacent face of the crossbar are separated by a horizontal and distinct bend. The crossbar is angled slightly inwards.</w:t>
      </w:r>
    </w:p>
    <w:p w14:paraId="3A69DE0C" w14:textId="77777777" w:rsidR="006949E8" w:rsidRDefault="006949E8" w:rsidP="007379A2">
      <w:pPr>
        <w:tabs>
          <w:tab w:val="left" w:pos="720"/>
          <w:tab w:val="left" w:pos="1440"/>
          <w:tab w:val="left" w:pos="2160"/>
          <w:tab w:val="left" w:pos="2880"/>
          <w:tab w:val="left" w:pos="3600"/>
          <w:tab w:val="center" w:pos="4513"/>
        </w:tabs>
        <w:spacing w:line="480" w:lineRule="auto"/>
        <w:ind w:left="720" w:hanging="720"/>
        <w:jc w:val="both"/>
      </w:pPr>
    </w:p>
    <w:p w14:paraId="34853AA7" w14:textId="44E68236" w:rsidR="00613408" w:rsidRDefault="00613408" w:rsidP="007379A2">
      <w:pPr>
        <w:tabs>
          <w:tab w:val="left" w:pos="720"/>
          <w:tab w:val="left" w:pos="1440"/>
          <w:tab w:val="left" w:pos="2160"/>
          <w:tab w:val="left" w:pos="2880"/>
          <w:tab w:val="left" w:pos="3600"/>
          <w:tab w:val="center" w:pos="4513"/>
        </w:tabs>
        <w:spacing w:line="480" w:lineRule="auto"/>
        <w:ind w:left="720" w:hanging="720"/>
        <w:jc w:val="both"/>
      </w:pPr>
      <w:r>
        <w:t>1</w:t>
      </w:r>
      <w:r w:rsidR="00980DAE">
        <w:t>7</w:t>
      </w:r>
      <w:r>
        <w:t>]</w:t>
      </w:r>
      <w:r>
        <w:tab/>
      </w:r>
      <w:r>
        <w:rPr>
          <w:b/>
          <w:u w:val="single"/>
        </w:rPr>
        <w:t>The legal principles</w:t>
      </w:r>
    </w:p>
    <w:p w14:paraId="7627FABF" w14:textId="77777777" w:rsidR="00613408" w:rsidRDefault="00613408" w:rsidP="007379A2">
      <w:pPr>
        <w:tabs>
          <w:tab w:val="left" w:pos="720"/>
          <w:tab w:val="left" w:pos="1440"/>
          <w:tab w:val="left" w:pos="2160"/>
          <w:tab w:val="left" w:pos="2880"/>
          <w:tab w:val="left" w:pos="3600"/>
          <w:tab w:val="center" w:pos="4513"/>
        </w:tabs>
        <w:spacing w:line="480" w:lineRule="auto"/>
        <w:ind w:left="720" w:hanging="720"/>
        <w:jc w:val="both"/>
      </w:pPr>
      <w:r>
        <w:tab/>
        <w:t>When considering whether a design has been infringed or not, the Design Act</w:t>
      </w:r>
      <w:r>
        <w:rPr>
          <w:rStyle w:val="FootnoteReference"/>
        </w:rPr>
        <w:footnoteReference w:id="20"/>
      </w:r>
      <w:r>
        <w:t xml:space="preserve"> (the Act) provides certain important guidelines:</w:t>
      </w:r>
    </w:p>
    <w:p w14:paraId="76CB68AB" w14:textId="5441E47C" w:rsidR="00613408" w:rsidRDefault="00613408" w:rsidP="007379A2">
      <w:pPr>
        <w:tabs>
          <w:tab w:val="left" w:pos="720"/>
          <w:tab w:val="left" w:pos="1440"/>
          <w:tab w:val="left" w:pos="2160"/>
          <w:tab w:val="left" w:pos="2880"/>
          <w:tab w:val="left" w:pos="3600"/>
          <w:tab w:val="center" w:pos="4513"/>
        </w:tabs>
        <w:spacing w:line="480" w:lineRule="auto"/>
        <w:ind w:left="720" w:hanging="720"/>
        <w:jc w:val="both"/>
      </w:pPr>
      <w:r>
        <w:tab/>
        <w:t>1</w:t>
      </w:r>
      <w:r w:rsidR="00980DAE">
        <w:t>7</w:t>
      </w:r>
      <w:r>
        <w:t>.1</w:t>
      </w:r>
      <w:r>
        <w:tab/>
        <w:t xml:space="preserve">“design” is defined as </w:t>
      </w:r>
      <w:r>
        <w:rPr>
          <w:i/>
        </w:rPr>
        <w:t>“an aesthetic design or a functional design”</w:t>
      </w:r>
      <w:r>
        <w:t>;</w:t>
      </w:r>
    </w:p>
    <w:p w14:paraId="747B6EEA" w14:textId="07D89D55" w:rsidR="00613408" w:rsidRDefault="00980DAE" w:rsidP="00613408">
      <w:pPr>
        <w:tabs>
          <w:tab w:val="left" w:pos="720"/>
          <w:tab w:val="left" w:pos="1440"/>
          <w:tab w:val="left" w:pos="2160"/>
          <w:tab w:val="left" w:pos="2880"/>
          <w:tab w:val="left" w:pos="3600"/>
          <w:tab w:val="center" w:pos="4513"/>
        </w:tabs>
        <w:spacing w:line="480" w:lineRule="auto"/>
        <w:ind w:left="1440" w:hanging="1440"/>
        <w:jc w:val="both"/>
        <w:rPr>
          <w:i/>
        </w:rPr>
      </w:pPr>
      <w:r>
        <w:tab/>
        <w:t>17</w:t>
      </w:r>
      <w:r w:rsidR="00613408">
        <w:t>.2</w:t>
      </w:r>
      <w:r w:rsidR="00613408">
        <w:tab/>
      </w:r>
      <w:r w:rsidR="00613408">
        <w:rPr>
          <w:i/>
        </w:rPr>
        <w:t>“aesthetic design”</w:t>
      </w:r>
      <w:r w:rsidR="00613408">
        <w:t xml:space="preserve"> is defined as meaning </w:t>
      </w:r>
      <w:r w:rsidR="00613408">
        <w:rPr>
          <w:i/>
        </w:rPr>
        <w:t>“…any design applied to any article, whether for the pattern or the shape or the configuration or the ornamentation thereof, or for any two or more of these purposes, and by whatever means it is applied, having features which appeal to and are judges solely by the eye, irrespective of the aesthetic quality thereof.”</w:t>
      </w:r>
    </w:p>
    <w:p w14:paraId="3E5AFE85" w14:textId="71A3ED59" w:rsidR="00613408" w:rsidRDefault="00613408" w:rsidP="00613408">
      <w:pPr>
        <w:tabs>
          <w:tab w:val="left" w:pos="720"/>
          <w:tab w:val="left" w:pos="1440"/>
          <w:tab w:val="left" w:pos="2160"/>
          <w:tab w:val="left" w:pos="2880"/>
          <w:tab w:val="left" w:pos="3600"/>
          <w:tab w:val="center" w:pos="4513"/>
        </w:tabs>
        <w:spacing w:line="480" w:lineRule="auto"/>
        <w:ind w:left="1440" w:hanging="1440"/>
        <w:jc w:val="both"/>
        <w:rPr>
          <w:i/>
        </w:rPr>
      </w:pPr>
      <w:r>
        <w:rPr>
          <w:i/>
        </w:rPr>
        <w:tab/>
      </w:r>
      <w:r w:rsidR="00980DAE">
        <w:t>17</w:t>
      </w:r>
      <w:r>
        <w:t>.3</w:t>
      </w:r>
      <w:r>
        <w:tab/>
      </w:r>
      <w:r>
        <w:rPr>
          <w:i/>
        </w:rPr>
        <w:t>“functional design”</w:t>
      </w:r>
      <w:r>
        <w:t xml:space="preserve"> is defined as meaning </w:t>
      </w:r>
      <w:r>
        <w:rPr>
          <w:i/>
        </w:rPr>
        <w:t>“…any design applied to any article, whether for the pattern or the shape, or the configuration thereof, or for any two, or more of these purposes, and by whatever means it is applied, having features which are necessitated by the function which the article to which the design is applied, is to perform, and includes an integrated circuit topography, a mask word and a series of mask works.”</w:t>
      </w:r>
    </w:p>
    <w:p w14:paraId="43E3035E" w14:textId="77777777" w:rsidR="00613408" w:rsidRPr="00613408" w:rsidRDefault="00613408" w:rsidP="007379A2">
      <w:pPr>
        <w:tabs>
          <w:tab w:val="left" w:pos="720"/>
          <w:tab w:val="left" w:pos="1440"/>
          <w:tab w:val="left" w:pos="2160"/>
          <w:tab w:val="left" w:pos="2880"/>
          <w:tab w:val="left" w:pos="3600"/>
          <w:tab w:val="center" w:pos="4513"/>
        </w:tabs>
        <w:spacing w:line="480" w:lineRule="auto"/>
        <w:ind w:left="720" w:hanging="720"/>
        <w:jc w:val="both"/>
        <w:rPr>
          <w:i/>
        </w:rPr>
      </w:pPr>
    </w:p>
    <w:p w14:paraId="7704F8D3" w14:textId="6F1EECC6" w:rsidR="00613408" w:rsidRDefault="00613408" w:rsidP="007379A2">
      <w:pPr>
        <w:tabs>
          <w:tab w:val="left" w:pos="720"/>
          <w:tab w:val="left" w:pos="1440"/>
          <w:tab w:val="left" w:pos="2160"/>
          <w:tab w:val="left" w:pos="2880"/>
          <w:tab w:val="left" w:pos="3600"/>
          <w:tab w:val="center" w:pos="4513"/>
        </w:tabs>
        <w:spacing w:line="480" w:lineRule="auto"/>
        <w:ind w:left="720" w:hanging="720"/>
        <w:jc w:val="both"/>
      </w:pPr>
      <w:r>
        <w:t>1</w:t>
      </w:r>
      <w:r w:rsidR="00980DAE">
        <w:t>8</w:t>
      </w:r>
      <w:r>
        <w:t>]</w:t>
      </w:r>
      <w:r>
        <w:tab/>
      </w:r>
      <w:r w:rsidR="00800DA4">
        <w:t>It is common cause that th</w:t>
      </w:r>
      <w:r w:rsidR="008C460C">
        <w:t>ese</w:t>
      </w:r>
      <w:r w:rsidR="00800DA4">
        <w:t xml:space="preserve"> designs are aesthetic designs: no features of pattern or ornamentation are relied on for purposes of either the suit or the </w:t>
      </w:r>
      <w:r w:rsidR="00800DA4">
        <w:lastRenderedPageBreak/>
        <w:t>defence and it is common cause that the court is not required to assess whether the designs are aesthetically pleasing to the eye or not.</w:t>
      </w:r>
    </w:p>
    <w:p w14:paraId="14CAA207" w14:textId="77777777" w:rsidR="00800DA4" w:rsidRDefault="00800DA4" w:rsidP="007379A2">
      <w:pPr>
        <w:tabs>
          <w:tab w:val="left" w:pos="720"/>
          <w:tab w:val="left" w:pos="1440"/>
          <w:tab w:val="left" w:pos="2160"/>
          <w:tab w:val="left" w:pos="2880"/>
          <w:tab w:val="left" w:pos="3600"/>
          <w:tab w:val="center" w:pos="4513"/>
        </w:tabs>
        <w:spacing w:line="480" w:lineRule="auto"/>
        <w:ind w:left="720" w:hanging="720"/>
        <w:jc w:val="both"/>
      </w:pPr>
    </w:p>
    <w:p w14:paraId="3CB6A542" w14:textId="73143AC2" w:rsidR="00800DA4" w:rsidRDefault="00980DAE" w:rsidP="007379A2">
      <w:pPr>
        <w:tabs>
          <w:tab w:val="left" w:pos="720"/>
          <w:tab w:val="left" w:pos="1440"/>
          <w:tab w:val="left" w:pos="2160"/>
          <w:tab w:val="left" w:pos="2880"/>
          <w:tab w:val="left" w:pos="3600"/>
          <w:tab w:val="center" w:pos="4513"/>
        </w:tabs>
        <w:spacing w:line="480" w:lineRule="auto"/>
        <w:ind w:left="720" w:hanging="720"/>
        <w:jc w:val="both"/>
      </w:pPr>
      <w:r>
        <w:t>19</w:t>
      </w:r>
      <w:r w:rsidR="00800DA4">
        <w:t>]</w:t>
      </w:r>
      <w:r w:rsidR="00800DA4">
        <w:tab/>
        <w:t xml:space="preserve">In terms of s20 of the Act </w:t>
      </w:r>
    </w:p>
    <w:p w14:paraId="45EEB017" w14:textId="77777777" w:rsidR="00800DA4" w:rsidRDefault="00800DA4" w:rsidP="007379A2">
      <w:pPr>
        <w:tabs>
          <w:tab w:val="left" w:pos="720"/>
          <w:tab w:val="left" w:pos="1440"/>
          <w:tab w:val="left" w:pos="2160"/>
          <w:tab w:val="left" w:pos="2880"/>
          <w:tab w:val="left" w:pos="3600"/>
          <w:tab w:val="center" w:pos="4513"/>
        </w:tabs>
        <w:spacing w:line="480" w:lineRule="auto"/>
        <w:ind w:left="720" w:hanging="720"/>
        <w:jc w:val="both"/>
        <w:rPr>
          <w:i/>
        </w:rPr>
      </w:pPr>
      <w:r>
        <w:tab/>
      </w:r>
      <w:r>
        <w:rPr>
          <w:i/>
        </w:rPr>
        <w:t>“The effect of the registration of a design shall be to grant to the registered proprietor in the Republic, subject to the provisions of this Act, for the duration of the registration the right to exclude other persons from the making, importing, using or disposing of any article included in the class in which the design is registered and embodying the registered design</w:t>
      </w:r>
      <w:r w:rsidR="000F1E83">
        <w:rPr>
          <w:i/>
        </w:rPr>
        <w:t>, so that he shall have and enjoy the whole profit and advantage accruing by reason of the registration…”</w:t>
      </w:r>
    </w:p>
    <w:p w14:paraId="70E63765" w14:textId="77777777" w:rsidR="00D50019" w:rsidRDefault="00D50019" w:rsidP="007379A2">
      <w:pPr>
        <w:tabs>
          <w:tab w:val="left" w:pos="720"/>
          <w:tab w:val="left" w:pos="1440"/>
          <w:tab w:val="left" w:pos="2160"/>
          <w:tab w:val="left" w:pos="2880"/>
          <w:tab w:val="left" w:pos="3600"/>
          <w:tab w:val="center" w:pos="4513"/>
        </w:tabs>
        <w:spacing w:line="480" w:lineRule="auto"/>
        <w:ind w:left="720" w:hanging="720"/>
        <w:jc w:val="both"/>
      </w:pPr>
    </w:p>
    <w:p w14:paraId="4AE8241D" w14:textId="46CF248B" w:rsidR="00D50019" w:rsidRDefault="00980DAE" w:rsidP="007379A2">
      <w:pPr>
        <w:tabs>
          <w:tab w:val="left" w:pos="720"/>
          <w:tab w:val="left" w:pos="1440"/>
          <w:tab w:val="left" w:pos="2160"/>
          <w:tab w:val="left" w:pos="2880"/>
          <w:tab w:val="left" w:pos="3600"/>
          <w:tab w:val="center" w:pos="4513"/>
        </w:tabs>
        <w:spacing w:line="480" w:lineRule="auto"/>
        <w:ind w:left="720" w:hanging="720"/>
        <w:jc w:val="both"/>
      </w:pPr>
      <w:r>
        <w:t>20</w:t>
      </w:r>
      <w:r w:rsidR="00D50019">
        <w:t>]</w:t>
      </w:r>
      <w:r w:rsidR="00D50019">
        <w:tab/>
        <w:t xml:space="preserve">In </w:t>
      </w:r>
      <w:r w:rsidR="00D50019">
        <w:rPr>
          <w:b/>
          <w:u w:val="single"/>
        </w:rPr>
        <w:t>Clipsal Australia (Pty) Ltd and Another v Trust Electrical Wholesalers and Another</w:t>
      </w:r>
      <w:r w:rsidR="00D50019">
        <w:rPr>
          <w:rStyle w:val="FootnoteReference"/>
        </w:rPr>
        <w:footnoteReference w:id="21"/>
      </w:r>
      <w:r w:rsidR="001A3AFE">
        <w:t xml:space="preserve"> Harms ADP laid out certain important criteria when assessing design infringement. As a precursor, where the respondent make</w:t>
      </w:r>
      <w:r w:rsidR="00DD21B4">
        <w:t>s</w:t>
      </w:r>
      <w:r w:rsidR="001A3AFE">
        <w:t xml:space="preserve"> and markets goods in the same class as the protected designs</w:t>
      </w:r>
    </w:p>
    <w:p w14:paraId="46BE4147" w14:textId="77777777" w:rsidR="001A3AFE" w:rsidRPr="001A3AFE" w:rsidRDefault="001A3AFE" w:rsidP="007379A2">
      <w:pPr>
        <w:tabs>
          <w:tab w:val="left" w:pos="720"/>
          <w:tab w:val="left" w:pos="1440"/>
          <w:tab w:val="left" w:pos="2160"/>
          <w:tab w:val="left" w:pos="2880"/>
          <w:tab w:val="left" w:pos="3600"/>
          <w:tab w:val="center" w:pos="4513"/>
        </w:tabs>
        <w:spacing w:line="480" w:lineRule="auto"/>
        <w:ind w:left="720" w:hanging="720"/>
        <w:jc w:val="both"/>
        <w:rPr>
          <w:i/>
        </w:rPr>
      </w:pPr>
      <w:r>
        <w:tab/>
      </w:r>
      <w:r>
        <w:rPr>
          <w:i/>
        </w:rPr>
        <w:t>“[6]</w:t>
      </w:r>
      <w:r>
        <w:rPr>
          <w:i/>
        </w:rPr>
        <w:tab/>
      </w:r>
      <w:r w:rsidR="00F1386F">
        <w:rPr>
          <w:i/>
        </w:rPr>
        <w:t>…the first issue to determine is the scope of the design registration, which in turn requires a construction of the definitive statement and the drawings. The purpose of the definitive statement, previously known as a statement of novelty, is to set out the features of the design for which protection is claimed and is used to interpret the scope of the protection afforded by the design registration.”</w:t>
      </w:r>
    </w:p>
    <w:p w14:paraId="0BDB2B58" w14:textId="77777777" w:rsidR="00613408" w:rsidRDefault="00613408" w:rsidP="007379A2">
      <w:pPr>
        <w:tabs>
          <w:tab w:val="left" w:pos="720"/>
          <w:tab w:val="left" w:pos="1440"/>
          <w:tab w:val="left" w:pos="2160"/>
          <w:tab w:val="left" w:pos="2880"/>
          <w:tab w:val="left" w:pos="3600"/>
          <w:tab w:val="center" w:pos="4513"/>
        </w:tabs>
        <w:spacing w:line="480" w:lineRule="auto"/>
        <w:ind w:left="720" w:hanging="720"/>
        <w:jc w:val="both"/>
      </w:pPr>
    </w:p>
    <w:p w14:paraId="721A8DAE" w14:textId="57DFD4BC" w:rsidR="00F1386F" w:rsidRDefault="00980DAE" w:rsidP="007379A2">
      <w:pPr>
        <w:tabs>
          <w:tab w:val="left" w:pos="720"/>
          <w:tab w:val="left" w:pos="1440"/>
          <w:tab w:val="left" w:pos="2160"/>
          <w:tab w:val="left" w:pos="2880"/>
          <w:tab w:val="left" w:pos="3600"/>
          <w:tab w:val="center" w:pos="4513"/>
        </w:tabs>
        <w:spacing w:line="480" w:lineRule="auto"/>
        <w:ind w:left="720" w:hanging="720"/>
        <w:jc w:val="both"/>
      </w:pPr>
      <w:r>
        <w:t>21</w:t>
      </w:r>
      <w:r w:rsidR="00F1386F">
        <w:t>]</w:t>
      </w:r>
      <w:r w:rsidR="00F1386F">
        <w:tab/>
        <w:t>If the definitive statement does not isolate any aspect of the design with the object of claiming novelty or originality in respect of any particular featu</w:t>
      </w:r>
      <w:r w:rsidR="00AF4F4D">
        <w:t xml:space="preserve">re, then </w:t>
      </w:r>
      <w:r w:rsidR="00AF4F4D">
        <w:lastRenderedPageBreak/>
        <w:t>it of the omnibus type – it is common cause that the present designs fall within this definition.</w:t>
      </w:r>
    </w:p>
    <w:p w14:paraId="7FBA4DAF" w14:textId="77777777" w:rsidR="00F1386F" w:rsidRDefault="00F1386F" w:rsidP="007379A2">
      <w:pPr>
        <w:tabs>
          <w:tab w:val="left" w:pos="720"/>
          <w:tab w:val="left" w:pos="1440"/>
          <w:tab w:val="left" w:pos="2160"/>
          <w:tab w:val="left" w:pos="2880"/>
          <w:tab w:val="left" w:pos="3600"/>
          <w:tab w:val="center" w:pos="4513"/>
        </w:tabs>
        <w:spacing w:line="480" w:lineRule="auto"/>
        <w:ind w:left="720" w:hanging="720"/>
        <w:jc w:val="both"/>
      </w:pPr>
    </w:p>
    <w:p w14:paraId="29432DFC" w14:textId="79191E27" w:rsidR="00F1386F" w:rsidRDefault="00980DAE" w:rsidP="007379A2">
      <w:pPr>
        <w:tabs>
          <w:tab w:val="left" w:pos="720"/>
          <w:tab w:val="left" w:pos="1440"/>
          <w:tab w:val="left" w:pos="2160"/>
          <w:tab w:val="left" w:pos="2880"/>
          <w:tab w:val="left" w:pos="3600"/>
          <w:tab w:val="center" w:pos="4513"/>
        </w:tabs>
        <w:spacing w:line="480" w:lineRule="auto"/>
        <w:ind w:left="720" w:hanging="720"/>
        <w:jc w:val="both"/>
      </w:pPr>
      <w:r>
        <w:t>22</w:t>
      </w:r>
      <w:r w:rsidR="00F1386F">
        <w:t>]</w:t>
      </w:r>
      <w:r w:rsidR="00F1386F">
        <w:tab/>
      </w:r>
      <w:r w:rsidR="00F1386F">
        <w:rPr>
          <w:b/>
          <w:u w:val="single"/>
        </w:rPr>
        <w:t>Clipsal</w:t>
      </w:r>
      <w:r w:rsidR="00F1386F">
        <w:t xml:space="preserve"> also sets out certain important principles the court considers in matters of this nature:</w:t>
      </w:r>
    </w:p>
    <w:p w14:paraId="1147D652" w14:textId="3D8643FB" w:rsidR="00F1386F" w:rsidRDefault="00F1386F" w:rsidP="00B14524">
      <w:pPr>
        <w:tabs>
          <w:tab w:val="left" w:pos="720"/>
          <w:tab w:val="left" w:pos="1440"/>
          <w:tab w:val="left" w:pos="2160"/>
          <w:tab w:val="left" w:pos="2880"/>
          <w:tab w:val="left" w:pos="3600"/>
          <w:tab w:val="center" w:pos="4513"/>
        </w:tabs>
        <w:spacing w:line="480" w:lineRule="auto"/>
        <w:ind w:left="1440" w:hanging="1440"/>
        <w:jc w:val="both"/>
      </w:pPr>
      <w:r>
        <w:tab/>
        <w:t>2</w:t>
      </w:r>
      <w:r w:rsidR="00980DAE">
        <w:t>2</w:t>
      </w:r>
      <w:r>
        <w:t>.1</w:t>
      </w:r>
      <w:r>
        <w:tab/>
      </w:r>
      <w:r w:rsidR="00B14524">
        <w:t>the shape/configuration as a whole has to be considered, not only for purposes of novelty, but also in relation to infringement;</w:t>
      </w:r>
    </w:p>
    <w:p w14:paraId="0BF5BCFE" w14:textId="66F116B3" w:rsidR="00B14524" w:rsidRDefault="00980DAE" w:rsidP="007379A2">
      <w:pPr>
        <w:tabs>
          <w:tab w:val="left" w:pos="720"/>
          <w:tab w:val="left" w:pos="1440"/>
          <w:tab w:val="left" w:pos="2160"/>
          <w:tab w:val="left" w:pos="2880"/>
          <w:tab w:val="left" w:pos="3600"/>
          <w:tab w:val="center" w:pos="4513"/>
        </w:tabs>
        <w:spacing w:line="480" w:lineRule="auto"/>
        <w:ind w:left="720" w:hanging="720"/>
        <w:jc w:val="both"/>
      </w:pPr>
      <w:r>
        <w:tab/>
        <w:t>22</w:t>
      </w:r>
      <w:r w:rsidR="00B14524">
        <w:t>.2</w:t>
      </w:r>
      <w:r w:rsidR="00B14524">
        <w:tab/>
      </w:r>
      <w:r w:rsidR="002C2CC1">
        <w:t>the design features have to appeal to</w:t>
      </w:r>
      <w:r w:rsidR="001529EE">
        <w:t>,</w:t>
      </w:r>
      <w:r w:rsidR="002C2CC1">
        <w:t xml:space="preserve"> and be judged</w:t>
      </w:r>
      <w:r w:rsidR="001529EE">
        <w:t>,</w:t>
      </w:r>
      <w:r w:rsidR="002C2CC1">
        <w:t xml:space="preserve"> solely by the eye</w:t>
      </w:r>
      <w:r w:rsidR="00A852A4">
        <w:t>:</w:t>
      </w:r>
    </w:p>
    <w:p w14:paraId="6D600E66" w14:textId="1B060604" w:rsidR="002C2CC1" w:rsidRDefault="002C2CC1" w:rsidP="002C2CC1">
      <w:pPr>
        <w:tabs>
          <w:tab w:val="left" w:pos="720"/>
          <w:tab w:val="left" w:pos="1440"/>
          <w:tab w:val="left" w:pos="2160"/>
          <w:tab w:val="left" w:pos="2880"/>
          <w:tab w:val="left" w:pos="3600"/>
          <w:tab w:val="center" w:pos="4513"/>
        </w:tabs>
        <w:spacing w:line="480" w:lineRule="auto"/>
        <w:ind w:left="2880" w:hanging="2880"/>
        <w:jc w:val="both"/>
      </w:pPr>
      <w:r>
        <w:tab/>
      </w:r>
      <w:r>
        <w:tab/>
        <w:t>2</w:t>
      </w:r>
      <w:r w:rsidR="00980DAE">
        <w:t>2</w:t>
      </w:r>
      <w:r>
        <w:t>.2.1</w:t>
      </w:r>
      <w:r>
        <w:tab/>
      </w:r>
      <w:r>
        <w:tab/>
        <w:t>although the court is the final arbiter, it must consider how the design in question will appeal to and be judged visually by the likely customer</w:t>
      </w:r>
      <w:r>
        <w:rPr>
          <w:rStyle w:val="FootnoteReference"/>
        </w:rPr>
        <w:footnoteReference w:id="22"/>
      </w:r>
      <w:r>
        <w:t>;</w:t>
      </w:r>
    </w:p>
    <w:p w14:paraId="19154CC1" w14:textId="0D9DE0D1" w:rsidR="00BD4111" w:rsidRDefault="00980DAE" w:rsidP="002C2CC1">
      <w:pPr>
        <w:tabs>
          <w:tab w:val="left" w:pos="720"/>
          <w:tab w:val="left" w:pos="1440"/>
          <w:tab w:val="left" w:pos="2160"/>
          <w:tab w:val="left" w:pos="2880"/>
          <w:tab w:val="left" w:pos="3600"/>
          <w:tab w:val="center" w:pos="4513"/>
        </w:tabs>
        <w:spacing w:line="480" w:lineRule="auto"/>
        <w:ind w:left="2880" w:hanging="2880"/>
        <w:jc w:val="both"/>
      </w:pPr>
      <w:r>
        <w:tab/>
      </w:r>
      <w:r>
        <w:tab/>
        <w:t>22</w:t>
      </w:r>
      <w:r w:rsidR="00BD4111">
        <w:t>.2.2</w:t>
      </w:r>
      <w:r w:rsidR="00BD4111">
        <w:tab/>
      </w:r>
      <w:r w:rsidR="00BD4111">
        <w:tab/>
        <w:t>this visual criterion is used to determine whether a design meets the requirements of the Act in deciding questions of novelty and infringement;</w:t>
      </w:r>
    </w:p>
    <w:p w14:paraId="612E3897" w14:textId="61BCD722" w:rsidR="00BD4111" w:rsidRDefault="00980DAE" w:rsidP="002C2CC1">
      <w:pPr>
        <w:tabs>
          <w:tab w:val="left" w:pos="720"/>
          <w:tab w:val="left" w:pos="1440"/>
          <w:tab w:val="left" w:pos="2160"/>
          <w:tab w:val="left" w:pos="2880"/>
          <w:tab w:val="left" w:pos="3600"/>
          <w:tab w:val="center" w:pos="4513"/>
        </w:tabs>
        <w:spacing w:line="480" w:lineRule="auto"/>
        <w:ind w:left="2880" w:hanging="2880"/>
        <w:jc w:val="both"/>
      </w:pPr>
      <w:r>
        <w:tab/>
      </w:r>
      <w:r>
        <w:tab/>
        <w:t>22</w:t>
      </w:r>
      <w:r w:rsidR="00BD4111">
        <w:t>.2.3</w:t>
      </w:r>
      <w:r w:rsidR="00BD4111">
        <w:tab/>
      </w:r>
      <w:r w:rsidR="00BD4111">
        <w:tab/>
        <w:t>one is concerned with those features of a design that “</w:t>
      </w:r>
      <w:r w:rsidR="00BD4111" w:rsidRPr="00BD4111">
        <w:rPr>
          <w:i/>
        </w:rPr>
        <w:t>will or may influence choice or selection</w:t>
      </w:r>
      <w:r w:rsidR="00BD4111">
        <w:t>” and because they have some “</w:t>
      </w:r>
      <w:r w:rsidR="00BD4111" w:rsidRPr="00D10376">
        <w:rPr>
          <w:i/>
        </w:rPr>
        <w:t>ind</w:t>
      </w:r>
      <w:r w:rsidR="00BD4111" w:rsidRPr="00BD4111">
        <w:rPr>
          <w:i/>
        </w:rPr>
        <w:t>ividual characteristic</w:t>
      </w:r>
      <w:r w:rsidR="00BD4111">
        <w:t>” are “</w:t>
      </w:r>
      <w:r w:rsidR="00BD4111" w:rsidRPr="00BD4111">
        <w:rPr>
          <w:i/>
        </w:rPr>
        <w:t>calculated to attract the attention of the beholder</w:t>
      </w:r>
      <w:r w:rsidR="00BD4111">
        <w:t>”;</w:t>
      </w:r>
    </w:p>
    <w:p w14:paraId="453DE6B3" w14:textId="2C8D5693" w:rsidR="007F43EB" w:rsidRPr="007F43EB" w:rsidRDefault="00980DAE" w:rsidP="002C2CC1">
      <w:pPr>
        <w:tabs>
          <w:tab w:val="left" w:pos="720"/>
          <w:tab w:val="left" w:pos="1440"/>
          <w:tab w:val="left" w:pos="2160"/>
          <w:tab w:val="left" w:pos="2880"/>
          <w:tab w:val="left" w:pos="3600"/>
          <w:tab w:val="center" w:pos="4513"/>
        </w:tabs>
        <w:spacing w:line="480" w:lineRule="auto"/>
        <w:ind w:left="2880" w:hanging="2880"/>
        <w:jc w:val="both"/>
      </w:pPr>
      <w:r>
        <w:tab/>
      </w:r>
      <w:r>
        <w:tab/>
        <w:t>22</w:t>
      </w:r>
      <w:r w:rsidR="007F43EB">
        <w:t>.2.4</w:t>
      </w:r>
      <w:r w:rsidR="007F43EB">
        <w:tab/>
      </w:r>
      <w:r w:rsidR="007F43EB">
        <w:tab/>
        <w:t>there must also be something “</w:t>
      </w:r>
      <w:r w:rsidR="007F43EB">
        <w:rPr>
          <w:i/>
        </w:rPr>
        <w:t>special, peculiar, distinctive, significant or striking”</w:t>
      </w:r>
      <w:r w:rsidR="007F43EB">
        <w:t xml:space="preserve"> about the appearance which catches the eye and in this sense appeal to the eye</w:t>
      </w:r>
      <w:r w:rsidR="007F43EB">
        <w:rPr>
          <w:rStyle w:val="FootnoteReference"/>
        </w:rPr>
        <w:footnoteReference w:id="23"/>
      </w:r>
      <w:r w:rsidR="007F43EB">
        <w:t>.</w:t>
      </w:r>
    </w:p>
    <w:p w14:paraId="72C845CE" w14:textId="77777777" w:rsidR="002C2CC1" w:rsidRDefault="002C2CC1" w:rsidP="007379A2">
      <w:pPr>
        <w:tabs>
          <w:tab w:val="left" w:pos="720"/>
          <w:tab w:val="left" w:pos="1440"/>
          <w:tab w:val="left" w:pos="2160"/>
          <w:tab w:val="left" w:pos="2880"/>
          <w:tab w:val="left" w:pos="3600"/>
          <w:tab w:val="center" w:pos="4513"/>
        </w:tabs>
        <w:spacing w:line="480" w:lineRule="auto"/>
        <w:ind w:left="720" w:hanging="720"/>
        <w:jc w:val="both"/>
      </w:pPr>
    </w:p>
    <w:p w14:paraId="082AD571" w14:textId="22399837" w:rsidR="00F1386F" w:rsidRDefault="007F43EB" w:rsidP="007379A2">
      <w:pPr>
        <w:tabs>
          <w:tab w:val="left" w:pos="720"/>
          <w:tab w:val="left" w:pos="1440"/>
          <w:tab w:val="left" w:pos="2160"/>
          <w:tab w:val="left" w:pos="2880"/>
          <w:tab w:val="left" w:pos="3600"/>
          <w:tab w:val="center" w:pos="4513"/>
        </w:tabs>
        <w:spacing w:line="480" w:lineRule="auto"/>
        <w:ind w:left="720" w:hanging="720"/>
        <w:jc w:val="both"/>
      </w:pPr>
      <w:r>
        <w:t>2</w:t>
      </w:r>
      <w:r w:rsidR="00980DAE">
        <w:t>3</w:t>
      </w:r>
      <w:r>
        <w:t>]</w:t>
      </w:r>
      <w:r>
        <w:tab/>
        <w:t xml:space="preserve">In </w:t>
      </w:r>
      <w:r>
        <w:rPr>
          <w:b/>
          <w:u w:val="single"/>
        </w:rPr>
        <w:t>Shimansky v Forman</w:t>
      </w:r>
      <w:r w:rsidRPr="007F43EB">
        <w:rPr>
          <w:rStyle w:val="FootnoteReference"/>
        </w:rPr>
        <w:footnoteReference w:id="24"/>
      </w:r>
      <w:r>
        <w:t xml:space="preserve"> Victor J, in refusing an application for an interim interdict, considered that:</w:t>
      </w:r>
    </w:p>
    <w:p w14:paraId="6E4B0F36" w14:textId="5B0432C2" w:rsidR="007F43EB" w:rsidRDefault="007F43EB" w:rsidP="007F43EB">
      <w:pPr>
        <w:tabs>
          <w:tab w:val="left" w:pos="720"/>
          <w:tab w:val="left" w:pos="1440"/>
          <w:tab w:val="left" w:pos="2160"/>
          <w:tab w:val="left" w:pos="2880"/>
          <w:tab w:val="left" w:pos="3600"/>
          <w:tab w:val="center" w:pos="4513"/>
        </w:tabs>
        <w:spacing w:line="480" w:lineRule="auto"/>
        <w:ind w:left="1440" w:hanging="1440"/>
        <w:jc w:val="both"/>
      </w:pPr>
      <w:r>
        <w:tab/>
        <w:t>2</w:t>
      </w:r>
      <w:r w:rsidR="00980DAE">
        <w:t>3</w:t>
      </w:r>
      <w:r>
        <w:t>.1</w:t>
      </w:r>
      <w:r>
        <w:tab/>
        <w:t>the respondent attacked the validity of the design on the basis that it was prior art and that the defendant’s assertion was that the particular design had been in use for decades;</w:t>
      </w:r>
    </w:p>
    <w:p w14:paraId="432AE230" w14:textId="77777777" w:rsidR="007658DC" w:rsidRDefault="007658DC" w:rsidP="007F43EB">
      <w:pPr>
        <w:tabs>
          <w:tab w:val="left" w:pos="720"/>
          <w:tab w:val="left" w:pos="1440"/>
          <w:tab w:val="left" w:pos="2160"/>
          <w:tab w:val="left" w:pos="2880"/>
          <w:tab w:val="left" w:pos="3600"/>
          <w:tab w:val="center" w:pos="4513"/>
        </w:tabs>
        <w:spacing w:line="480" w:lineRule="auto"/>
        <w:ind w:left="1440" w:hanging="1440"/>
        <w:jc w:val="both"/>
      </w:pPr>
    </w:p>
    <w:p w14:paraId="50938F8A" w14:textId="1373865B" w:rsidR="007F43EB" w:rsidRDefault="00980DAE" w:rsidP="00043401">
      <w:pPr>
        <w:tabs>
          <w:tab w:val="left" w:pos="720"/>
          <w:tab w:val="left" w:pos="1440"/>
          <w:tab w:val="left" w:pos="2160"/>
          <w:tab w:val="left" w:pos="2880"/>
          <w:tab w:val="left" w:pos="3600"/>
          <w:tab w:val="center" w:pos="4513"/>
        </w:tabs>
        <w:spacing w:line="480" w:lineRule="auto"/>
        <w:ind w:left="1440" w:hanging="1440"/>
        <w:jc w:val="both"/>
      </w:pPr>
      <w:r>
        <w:tab/>
        <w:t>23</w:t>
      </w:r>
      <w:r w:rsidR="007F43EB">
        <w:t>.2</w:t>
      </w:r>
      <w:r w:rsidR="007F43EB">
        <w:tab/>
      </w:r>
      <w:r w:rsidR="00043401">
        <w:t>the defendant also alleged a lack of novelty – this question (i.e. the lack of novelty of design) turns on whether or not a particular art or publication anticipates the registered design.</w:t>
      </w:r>
    </w:p>
    <w:p w14:paraId="47F683F7" w14:textId="77777777" w:rsidR="00043401" w:rsidRDefault="00043401" w:rsidP="007379A2">
      <w:pPr>
        <w:tabs>
          <w:tab w:val="left" w:pos="720"/>
          <w:tab w:val="left" w:pos="1440"/>
          <w:tab w:val="left" w:pos="2160"/>
          <w:tab w:val="left" w:pos="2880"/>
          <w:tab w:val="left" w:pos="3600"/>
          <w:tab w:val="center" w:pos="4513"/>
        </w:tabs>
        <w:spacing w:line="480" w:lineRule="auto"/>
        <w:ind w:left="720" w:hanging="720"/>
        <w:jc w:val="both"/>
      </w:pPr>
    </w:p>
    <w:p w14:paraId="5731649C" w14:textId="65105956" w:rsidR="00043401" w:rsidRDefault="00043401" w:rsidP="007379A2">
      <w:pPr>
        <w:tabs>
          <w:tab w:val="left" w:pos="720"/>
          <w:tab w:val="left" w:pos="1440"/>
          <w:tab w:val="left" w:pos="2160"/>
          <w:tab w:val="left" w:pos="2880"/>
          <w:tab w:val="left" w:pos="3600"/>
          <w:tab w:val="center" w:pos="4513"/>
        </w:tabs>
        <w:spacing w:line="480" w:lineRule="auto"/>
        <w:ind w:left="720" w:hanging="720"/>
        <w:jc w:val="both"/>
      </w:pPr>
      <w:r>
        <w:t>2</w:t>
      </w:r>
      <w:r w:rsidR="00980DAE">
        <w:t>4</w:t>
      </w:r>
      <w:r>
        <w:t>]</w:t>
      </w:r>
      <w:r>
        <w:tab/>
        <w:t>Thus the determination of design infringement involves the determination of whether or not the respondent’s product embodies the registered design or a design not substantially different from the registered design.</w:t>
      </w:r>
    </w:p>
    <w:p w14:paraId="1CED9243" w14:textId="77777777" w:rsidR="00043401" w:rsidRDefault="00043401" w:rsidP="007379A2">
      <w:pPr>
        <w:tabs>
          <w:tab w:val="left" w:pos="720"/>
          <w:tab w:val="left" w:pos="1440"/>
          <w:tab w:val="left" w:pos="2160"/>
          <w:tab w:val="left" w:pos="2880"/>
          <w:tab w:val="left" w:pos="3600"/>
          <w:tab w:val="center" w:pos="4513"/>
        </w:tabs>
        <w:spacing w:line="480" w:lineRule="auto"/>
        <w:ind w:left="720" w:hanging="720"/>
        <w:jc w:val="both"/>
      </w:pPr>
    </w:p>
    <w:p w14:paraId="6110C2CB" w14:textId="1D0487A0" w:rsidR="00043401" w:rsidRDefault="00980DAE" w:rsidP="007379A2">
      <w:pPr>
        <w:tabs>
          <w:tab w:val="left" w:pos="720"/>
          <w:tab w:val="left" w:pos="1440"/>
          <w:tab w:val="left" w:pos="2160"/>
          <w:tab w:val="left" w:pos="2880"/>
          <w:tab w:val="left" w:pos="3600"/>
          <w:tab w:val="center" w:pos="4513"/>
        </w:tabs>
        <w:spacing w:line="480" w:lineRule="auto"/>
        <w:ind w:left="720" w:hanging="720"/>
        <w:jc w:val="both"/>
      </w:pPr>
      <w:r>
        <w:t>25</w:t>
      </w:r>
      <w:r w:rsidR="00043401">
        <w:t xml:space="preserve">] </w:t>
      </w:r>
      <w:r w:rsidR="00043401">
        <w:tab/>
        <w:t xml:space="preserve">In this regard, the argument presented by the defendant in the present matter </w:t>
      </w:r>
      <w:r w:rsidR="008E3A1C">
        <w:t>is precisely that the prior art has</w:t>
      </w:r>
      <w:r w:rsidR="00043401">
        <w:t xml:space="preserve"> been in the market for many years,</w:t>
      </w:r>
      <w:r w:rsidR="00BA00F0">
        <w:t xml:space="preserve"> and that accordingly </w:t>
      </w:r>
      <w:r w:rsidR="00043401">
        <w:t>the measure of novelty is small and that the measure of differences between the parties designs is sufficient to avoid infringement issues.</w:t>
      </w:r>
      <w:r w:rsidR="00043401">
        <w:rPr>
          <w:rStyle w:val="FootnoteReference"/>
        </w:rPr>
        <w:footnoteReference w:id="25"/>
      </w:r>
    </w:p>
    <w:p w14:paraId="5B0DD743" w14:textId="77777777" w:rsidR="00043401" w:rsidRDefault="00043401" w:rsidP="001C43CD">
      <w:pPr>
        <w:tabs>
          <w:tab w:val="left" w:pos="720"/>
          <w:tab w:val="left" w:pos="1440"/>
          <w:tab w:val="left" w:pos="2160"/>
          <w:tab w:val="left" w:pos="2880"/>
          <w:tab w:val="left" w:pos="3600"/>
          <w:tab w:val="center" w:pos="4513"/>
        </w:tabs>
        <w:spacing w:line="480" w:lineRule="auto"/>
        <w:ind w:left="720" w:hanging="720"/>
        <w:jc w:val="both"/>
      </w:pPr>
    </w:p>
    <w:p w14:paraId="3D08064C" w14:textId="42D0B872" w:rsidR="00043401" w:rsidRDefault="00980DAE" w:rsidP="007379A2">
      <w:pPr>
        <w:tabs>
          <w:tab w:val="left" w:pos="720"/>
          <w:tab w:val="left" w:pos="1440"/>
          <w:tab w:val="left" w:pos="2160"/>
          <w:tab w:val="left" w:pos="2880"/>
          <w:tab w:val="left" w:pos="3600"/>
          <w:tab w:val="center" w:pos="4513"/>
        </w:tabs>
        <w:spacing w:line="480" w:lineRule="auto"/>
        <w:ind w:left="720" w:hanging="720"/>
        <w:jc w:val="both"/>
      </w:pPr>
      <w:r>
        <w:t>26</w:t>
      </w:r>
      <w:r w:rsidR="00043401">
        <w:t>]</w:t>
      </w:r>
      <w:r w:rsidR="00043401">
        <w:tab/>
        <w:t>In determining the degree of</w:t>
      </w:r>
      <w:r w:rsidR="00E978D5">
        <w:t xml:space="preserve"> infringement (if any) s14(3) of</w:t>
      </w:r>
      <w:r w:rsidR="00043401">
        <w:t xml:space="preserve"> the Act defines “</w:t>
      </w:r>
      <w:r w:rsidR="00043401" w:rsidRPr="00832789">
        <w:rPr>
          <w:i/>
        </w:rPr>
        <w:t>state of the art</w:t>
      </w:r>
      <w:r w:rsidR="00043401">
        <w:t>” as comprising</w:t>
      </w:r>
    </w:p>
    <w:p w14:paraId="77E66D18" w14:textId="77777777" w:rsidR="00043401" w:rsidRDefault="00043401" w:rsidP="00043401">
      <w:pPr>
        <w:tabs>
          <w:tab w:val="left" w:pos="720"/>
          <w:tab w:val="left" w:pos="1440"/>
          <w:tab w:val="left" w:pos="2160"/>
          <w:tab w:val="left" w:pos="2880"/>
          <w:tab w:val="left" w:pos="3600"/>
          <w:tab w:val="center" w:pos="4513"/>
        </w:tabs>
        <w:spacing w:line="480" w:lineRule="auto"/>
        <w:ind w:left="1440" w:hanging="1440"/>
        <w:jc w:val="both"/>
        <w:rPr>
          <w:i/>
        </w:rPr>
      </w:pPr>
      <w:r>
        <w:lastRenderedPageBreak/>
        <w:tab/>
      </w:r>
      <w:r>
        <w:rPr>
          <w:i/>
        </w:rPr>
        <w:t>“(a)</w:t>
      </w:r>
      <w:r>
        <w:rPr>
          <w:i/>
        </w:rPr>
        <w:tab/>
        <w:t>All matter which has been made available to the public (whether in the Republic or elsewhere) by written description, by use or in any other way; and</w:t>
      </w:r>
    </w:p>
    <w:p w14:paraId="5DF4299A" w14:textId="77777777" w:rsidR="00043401" w:rsidRDefault="00043401" w:rsidP="007379A2">
      <w:pPr>
        <w:tabs>
          <w:tab w:val="left" w:pos="720"/>
          <w:tab w:val="left" w:pos="1440"/>
          <w:tab w:val="left" w:pos="2160"/>
          <w:tab w:val="left" w:pos="2880"/>
          <w:tab w:val="left" w:pos="3600"/>
          <w:tab w:val="center" w:pos="4513"/>
        </w:tabs>
        <w:spacing w:line="480" w:lineRule="auto"/>
        <w:ind w:left="720" w:hanging="720"/>
        <w:jc w:val="both"/>
        <w:rPr>
          <w:i/>
        </w:rPr>
      </w:pPr>
      <w:r>
        <w:rPr>
          <w:i/>
        </w:rPr>
        <w:tab/>
        <w:t>(b)</w:t>
      </w:r>
      <w:r>
        <w:rPr>
          <w:i/>
        </w:rPr>
        <w:tab/>
        <w:t xml:space="preserve">All matter contained in an application – </w:t>
      </w:r>
    </w:p>
    <w:p w14:paraId="7AECEAC2" w14:textId="77777777" w:rsidR="00043401" w:rsidRDefault="00043401" w:rsidP="007379A2">
      <w:pPr>
        <w:tabs>
          <w:tab w:val="left" w:pos="720"/>
          <w:tab w:val="left" w:pos="1440"/>
          <w:tab w:val="left" w:pos="2160"/>
          <w:tab w:val="left" w:pos="2880"/>
          <w:tab w:val="left" w:pos="3600"/>
          <w:tab w:val="center" w:pos="4513"/>
        </w:tabs>
        <w:spacing w:line="480" w:lineRule="auto"/>
        <w:ind w:left="720" w:hanging="720"/>
        <w:jc w:val="both"/>
        <w:rPr>
          <w:i/>
        </w:rPr>
      </w:pPr>
      <w:r>
        <w:rPr>
          <w:i/>
        </w:rPr>
        <w:tab/>
      </w:r>
      <w:r>
        <w:rPr>
          <w:i/>
        </w:rPr>
        <w:tab/>
        <w:t>(i)</w:t>
      </w:r>
      <w:r>
        <w:rPr>
          <w:i/>
        </w:rPr>
        <w:tab/>
        <w:t>for the registration of a design in the Republic…”</w:t>
      </w:r>
    </w:p>
    <w:p w14:paraId="6DF7114E" w14:textId="77777777" w:rsidR="00043401" w:rsidRDefault="00043401" w:rsidP="007379A2">
      <w:pPr>
        <w:tabs>
          <w:tab w:val="left" w:pos="720"/>
          <w:tab w:val="left" w:pos="1440"/>
          <w:tab w:val="left" w:pos="2160"/>
          <w:tab w:val="left" w:pos="2880"/>
          <w:tab w:val="left" w:pos="3600"/>
          <w:tab w:val="center" w:pos="4513"/>
        </w:tabs>
        <w:spacing w:line="480" w:lineRule="auto"/>
        <w:ind w:left="720" w:hanging="720"/>
        <w:jc w:val="both"/>
      </w:pPr>
    </w:p>
    <w:p w14:paraId="3A5FCEDA" w14:textId="3A62AEB8" w:rsidR="00E71550" w:rsidRDefault="00980DAE" w:rsidP="007379A2">
      <w:pPr>
        <w:tabs>
          <w:tab w:val="left" w:pos="720"/>
          <w:tab w:val="left" w:pos="1440"/>
          <w:tab w:val="left" w:pos="2160"/>
          <w:tab w:val="left" w:pos="2880"/>
          <w:tab w:val="left" w:pos="3600"/>
          <w:tab w:val="center" w:pos="4513"/>
        </w:tabs>
        <w:spacing w:line="480" w:lineRule="auto"/>
        <w:ind w:left="720" w:hanging="720"/>
        <w:jc w:val="both"/>
      </w:pPr>
      <w:r>
        <w:t>27</w:t>
      </w:r>
      <w:r w:rsidR="00E71550">
        <w:t>]</w:t>
      </w:r>
      <w:r w:rsidR="00E71550">
        <w:tab/>
        <w:t>The plaintiff asserts that the defendant has infringed its design in producing:</w:t>
      </w:r>
    </w:p>
    <w:p w14:paraId="088F623B" w14:textId="7C9567D4" w:rsidR="00E71550" w:rsidRDefault="00E71550" w:rsidP="007379A2">
      <w:pPr>
        <w:tabs>
          <w:tab w:val="left" w:pos="720"/>
          <w:tab w:val="left" w:pos="1440"/>
          <w:tab w:val="left" w:pos="2160"/>
          <w:tab w:val="left" w:pos="2880"/>
          <w:tab w:val="left" w:pos="3600"/>
          <w:tab w:val="center" w:pos="4513"/>
        </w:tabs>
        <w:spacing w:line="480" w:lineRule="auto"/>
        <w:ind w:left="720" w:hanging="720"/>
        <w:jc w:val="both"/>
      </w:pPr>
      <w:r>
        <w:tab/>
        <w:t>2</w:t>
      </w:r>
      <w:r w:rsidR="00980DAE">
        <w:t>7</w:t>
      </w:r>
      <w:r>
        <w:t>.1</w:t>
      </w:r>
      <w:r>
        <w:tab/>
        <w:t>the sports bar for the Nissan Navara;</w:t>
      </w:r>
    </w:p>
    <w:p w14:paraId="5F342533" w14:textId="77777777" w:rsidR="007658DC" w:rsidRDefault="007658DC" w:rsidP="007379A2">
      <w:pPr>
        <w:tabs>
          <w:tab w:val="left" w:pos="720"/>
          <w:tab w:val="left" w:pos="1440"/>
          <w:tab w:val="left" w:pos="2160"/>
          <w:tab w:val="left" w:pos="2880"/>
          <w:tab w:val="left" w:pos="3600"/>
          <w:tab w:val="center" w:pos="4513"/>
        </w:tabs>
        <w:spacing w:line="480" w:lineRule="auto"/>
        <w:ind w:left="720" w:hanging="720"/>
        <w:jc w:val="both"/>
      </w:pPr>
    </w:p>
    <w:p w14:paraId="7FB82D86" w14:textId="17BE9CC8" w:rsidR="00E71550" w:rsidRDefault="00980DAE" w:rsidP="007379A2">
      <w:pPr>
        <w:tabs>
          <w:tab w:val="left" w:pos="720"/>
          <w:tab w:val="left" w:pos="1440"/>
          <w:tab w:val="left" w:pos="2160"/>
          <w:tab w:val="left" w:pos="2880"/>
          <w:tab w:val="left" w:pos="3600"/>
          <w:tab w:val="center" w:pos="4513"/>
        </w:tabs>
        <w:spacing w:line="480" w:lineRule="auto"/>
        <w:ind w:left="720" w:hanging="720"/>
        <w:jc w:val="both"/>
      </w:pPr>
      <w:r>
        <w:tab/>
        <w:t>27</w:t>
      </w:r>
      <w:r w:rsidR="00E71550">
        <w:t>.2</w:t>
      </w:r>
      <w:r w:rsidR="00E71550">
        <w:tab/>
        <w:t xml:space="preserve">the </w:t>
      </w:r>
      <w:r w:rsidR="00000150">
        <w:t>Louvre</w:t>
      </w:r>
      <w:r w:rsidR="00E71550">
        <w:t xml:space="preserve"> design of the sports bar;</w:t>
      </w:r>
    </w:p>
    <w:p w14:paraId="6E840697" w14:textId="77777777" w:rsidR="007658DC" w:rsidRDefault="007658DC" w:rsidP="007379A2">
      <w:pPr>
        <w:tabs>
          <w:tab w:val="left" w:pos="720"/>
          <w:tab w:val="left" w:pos="1440"/>
          <w:tab w:val="left" w:pos="2160"/>
          <w:tab w:val="left" w:pos="2880"/>
          <w:tab w:val="left" w:pos="3600"/>
          <w:tab w:val="center" w:pos="4513"/>
        </w:tabs>
        <w:spacing w:line="480" w:lineRule="auto"/>
        <w:ind w:left="720" w:hanging="720"/>
        <w:jc w:val="both"/>
      </w:pPr>
    </w:p>
    <w:p w14:paraId="57B76171" w14:textId="136FE530" w:rsidR="00E71550" w:rsidRDefault="00980DAE" w:rsidP="004E2701">
      <w:pPr>
        <w:tabs>
          <w:tab w:val="left" w:pos="720"/>
          <w:tab w:val="left" w:pos="1440"/>
          <w:tab w:val="left" w:pos="2160"/>
          <w:tab w:val="left" w:pos="2880"/>
          <w:tab w:val="left" w:pos="3600"/>
          <w:tab w:val="center" w:pos="4513"/>
        </w:tabs>
        <w:spacing w:line="480" w:lineRule="auto"/>
        <w:ind w:left="1440" w:hanging="1440"/>
        <w:jc w:val="both"/>
      </w:pPr>
      <w:r>
        <w:tab/>
        <w:t>27</w:t>
      </w:r>
      <w:r w:rsidR="00E71550">
        <w:t>.3</w:t>
      </w:r>
      <w:r w:rsidR="00E71550">
        <w:tab/>
      </w:r>
      <w:r w:rsidR="004E2701">
        <w:t xml:space="preserve">the MK2 sports bars which is an infringement of the </w:t>
      </w:r>
      <w:r w:rsidR="00000150">
        <w:t>Louvre</w:t>
      </w:r>
      <w:r w:rsidR="004E2701">
        <w:t xml:space="preserve"> sports bar design; and</w:t>
      </w:r>
    </w:p>
    <w:p w14:paraId="59FDD2BA" w14:textId="77777777" w:rsidR="007658DC" w:rsidRDefault="007658DC" w:rsidP="004E2701">
      <w:pPr>
        <w:tabs>
          <w:tab w:val="left" w:pos="720"/>
          <w:tab w:val="left" w:pos="1440"/>
          <w:tab w:val="left" w:pos="2160"/>
          <w:tab w:val="left" w:pos="2880"/>
          <w:tab w:val="left" w:pos="3600"/>
          <w:tab w:val="center" w:pos="4513"/>
        </w:tabs>
        <w:spacing w:line="480" w:lineRule="auto"/>
        <w:ind w:left="1440" w:hanging="1440"/>
        <w:jc w:val="both"/>
      </w:pPr>
    </w:p>
    <w:p w14:paraId="31221E51" w14:textId="1F5E617C" w:rsidR="004E2701" w:rsidRDefault="00980DAE" w:rsidP="004E2701">
      <w:pPr>
        <w:tabs>
          <w:tab w:val="left" w:pos="720"/>
          <w:tab w:val="left" w:pos="1440"/>
          <w:tab w:val="left" w:pos="2160"/>
          <w:tab w:val="left" w:pos="2880"/>
          <w:tab w:val="left" w:pos="3600"/>
          <w:tab w:val="center" w:pos="4513"/>
        </w:tabs>
        <w:spacing w:line="480" w:lineRule="auto"/>
        <w:ind w:left="1440" w:hanging="1440"/>
        <w:jc w:val="both"/>
      </w:pPr>
      <w:r>
        <w:tab/>
        <w:t>27</w:t>
      </w:r>
      <w:r w:rsidR="004E2701">
        <w:t>.4</w:t>
      </w:r>
      <w:r w:rsidR="004E2701">
        <w:tab/>
        <w:t xml:space="preserve">the </w:t>
      </w:r>
      <w:r w:rsidR="00000150">
        <w:t>Polygon</w:t>
      </w:r>
      <w:r w:rsidR="004E2701">
        <w:t xml:space="preserve"> nudge bar design by the production of the Artav </w:t>
      </w:r>
      <w:r w:rsidR="00000150">
        <w:t>Polygon</w:t>
      </w:r>
      <w:r w:rsidR="004E2701">
        <w:t>al crossbar nudge bar.</w:t>
      </w:r>
    </w:p>
    <w:p w14:paraId="04F1E358" w14:textId="77777777" w:rsidR="004E2701" w:rsidRDefault="004E2701" w:rsidP="004E2701">
      <w:pPr>
        <w:tabs>
          <w:tab w:val="left" w:pos="720"/>
          <w:tab w:val="left" w:pos="1440"/>
          <w:tab w:val="left" w:pos="2160"/>
          <w:tab w:val="left" w:pos="2880"/>
          <w:tab w:val="left" w:pos="3600"/>
          <w:tab w:val="center" w:pos="4513"/>
        </w:tabs>
        <w:spacing w:line="480" w:lineRule="auto"/>
        <w:ind w:left="1440" w:hanging="1440"/>
        <w:jc w:val="both"/>
      </w:pPr>
    </w:p>
    <w:p w14:paraId="07986E46" w14:textId="76DC95B9" w:rsidR="00AD1446" w:rsidRPr="00AD1446" w:rsidRDefault="00AD1446" w:rsidP="004E2701">
      <w:pPr>
        <w:tabs>
          <w:tab w:val="left" w:pos="720"/>
          <w:tab w:val="left" w:pos="1440"/>
          <w:tab w:val="left" w:pos="2160"/>
          <w:tab w:val="left" w:pos="2880"/>
          <w:tab w:val="left" w:pos="3600"/>
          <w:tab w:val="center" w:pos="4513"/>
        </w:tabs>
        <w:spacing w:line="480" w:lineRule="auto"/>
        <w:ind w:left="1440" w:hanging="1440"/>
        <w:jc w:val="both"/>
        <w:rPr>
          <w:b/>
          <w:u w:val="single"/>
        </w:rPr>
      </w:pPr>
      <w:r>
        <w:rPr>
          <w:b/>
          <w:u w:val="single"/>
        </w:rPr>
        <w:t>The evidence</w:t>
      </w:r>
    </w:p>
    <w:p w14:paraId="4EAB593F" w14:textId="48D3CC9E" w:rsidR="004E2701" w:rsidRDefault="004E2701" w:rsidP="004E2701">
      <w:pPr>
        <w:tabs>
          <w:tab w:val="left" w:pos="720"/>
          <w:tab w:val="left" w:pos="1440"/>
          <w:tab w:val="left" w:pos="2160"/>
          <w:tab w:val="left" w:pos="2880"/>
          <w:tab w:val="left" w:pos="3600"/>
          <w:tab w:val="center" w:pos="4513"/>
        </w:tabs>
        <w:spacing w:line="480" w:lineRule="auto"/>
        <w:ind w:left="1440" w:hanging="1440"/>
        <w:jc w:val="both"/>
      </w:pPr>
      <w:r>
        <w:t>2</w:t>
      </w:r>
      <w:r w:rsidR="00980DAE">
        <w:t>8</w:t>
      </w:r>
      <w:r>
        <w:t>]</w:t>
      </w:r>
      <w:r>
        <w:tab/>
        <w:t xml:space="preserve">There were 3 witnesses in total: </w:t>
      </w:r>
    </w:p>
    <w:p w14:paraId="1E8B9B28" w14:textId="23B69F0D" w:rsidR="004E2701" w:rsidRDefault="004E2701" w:rsidP="004E2701">
      <w:pPr>
        <w:tabs>
          <w:tab w:val="left" w:pos="720"/>
          <w:tab w:val="left" w:pos="1440"/>
          <w:tab w:val="left" w:pos="2160"/>
          <w:tab w:val="left" w:pos="2880"/>
          <w:tab w:val="left" w:pos="3600"/>
          <w:tab w:val="center" w:pos="4513"/>
        </w:tabs>
        <w:spacing w:line="480" w:lineRule="auto"/>
        <w:ind w:left="1440" w:hanging="1440"/>
        <w:jc w:val="both"/>
      </w:pPr>
      <w:r>
        <w:tab/>
        <w:t>2</w:t>
      </w:r>
      <w:r w:rsidR="00980DAE">
        <w:t>8</w:t>
      </w:r>
      <w:r>
        <w:t>.1</w:t>
      </w:r>
      <w:r>
        <w:tab/>
        <w:t>Mr David Craig Shilt who was plaintiff’s only witness and in respect of whom a rule 36(9)(b) summary had been delivered;</w:t>
      </w:r>
    </w:p>
    <w:p w14:paraId="798A1DC8" w14:textId="77777777" w:rsidR="007658DC" w:rsidRDefault="007658DC" w:rsidP="004E2701">
      <w:pPr>
        <w:tabs>
          <w:tab w:val="left" w:pos="720"/>
          <w:tab w:val="left" w:pos="1440"/>
          <w:tab w:val="left" w:pos="2160"/>
          <w:tab w:val="left" w:pos="2880"/>
          <w:tab w:val="left" w:pos="3600"/>
          <w:tab w:val="center" w:pos="4513"/>
        </w:tabs>
        <w:spacing w:line="480" w:lineRule="auto"/>
        <w:ind w:left="1440" w:hanging="1440"/>
        <w:jc w:val="both"/>
      </w:pPr>
    </w:p>
    <w:p w14:paraId="6CCC1C21" w14:textId="1F48B61E" w:rsidR="004E2701" w:rsidRDefault="00980DAE" w:rsidP="004E2701">
      <w:pPr>
        <w:tabs>
          <w:tab w:val="left" w:pos="720"/>
          <w:tab w:val="left" w:pos="1440"/>
          <w:tab w:val="left" w:pos="2160"/>
          <w:tab w:val="left" w:pos="2880"/>
          <w:tab w:val="left" w:pos="3600"/>
          <w:tab w:val="center" w:pos="4513"/>
        </w:tabs>
        <w:spacing w:line="480" w:lineRule="auto"/>
        <w:ind w:left="1440" w:hanging="1440"/>
        <w:jc w:val="both"/>
      </w:pPr>
      <w:r>
        <w:tab/>
        <w:t>28</w:t>
      </w:r>
      <w:r w:rsidR="004E2701">
        <w:t>.2</w:t>
      </w:r>
      <w:r w:rsidR="004E2701">
        <w:tab/>
        <w:t>Mr Carl William Engelbrecht – the CEO of the defendant;</w:t>
      </w:r>
    </w:p>
    <w:p w14:paraId="42A5774B" w14:textId="77777777" w:rsidR="007658DC" w:rsidRDefault="007658DC" w:rsidP="004E2701">
      <w:pPr>
        <w:tabs>
          <w:tab w:val="left" w:pos="720"/>
          <w:tab w:val="left" w:pos="1440"/>
          <w:tab w:val="left" w:pos="2160"/>
          <w:tab w:val="left" w:pos="2880"/>
          <w:tab w:val="left" w:pos="3600"/>
          <w:tab w:val="center" w:pos="4513"/>
        </w:tabs>
        <w:spacing w:line="480" w:lineRule="auto"/>
        <w:ind w:left="1440" w:hanging="1440"/>
        <w:jc w:val="both"/>
      </w:pPr>
    </w:p>
    <w:p w14:paraId="6D600C94" w14:textId="06DC3D4F" w:rsidR="004E2701" w:rsidRDefault="00980DAE" w:rsidP="004E2701">
      <w:pPr>
        <w:tabs>
          <w:tab w:val="left" w:pos="720"/>
          <w:tab w:val="left" w:pos="1440"/>
          <w:tab w:val="left" w:pos="2160"/>
          <w:tab w:val="left" w:pos="2880"/>
          <w:tab w:val="left" w:pos="3600"/>
          <w:tab w:val="center" w:pos="4513"/>
        </w:tabs>
        <w:spacing w:line="480" w:lineRule="auto"/>
        <w:ind w:left="1440" w:hanging="1440"/>
        <w:jc w:val="both"/>
      </w:pPr>
      <w:r>
        <w:lastRenderedPageBreak/>
        <w:tab/>
        <w:t>28</w:t>
      </w:r>
      <w:r w:rsidR="004E2701">
        <w:t>.3</w:t>
      </w:r>
      <w:r w:rsidR="004E2701">
        <w:tab/>
        <w:t>Mr Aaron Wade Engelbrecht – the sales director employed at defendant; and</w:t>
      </w:r>
    </w:p>
    <w:p w14:paraId="60DE58FA" w14:textId="77777777" w:rsidR="007658DC" w:rsidRDefault="007658DC" w:rsidP="004E2701">
      <w:pPr>
        <w:tabs>
          <w:tab w:val="left" w:pos="720"/>
          <w:tab w:val="left" w:pos="1440"/>
          <w:tab w:val="left" w:pos="2160"/>
          <w:tab w:val="left" w:pos="2880"/>
          <w:tab w:val="left" w:pos="3600"/>
          <w:tab w:val="center" w:pos="4513"/>
        </w:tabs>
        <w:spacing w:line="480" w:lineRule="auto"/>
        <w:ind w:left="1440" w:hanging="1440"/>
        <w:jc w:val="both"/>
      </w:pPr>
    </w:p>
    <w:p w14:paraId="18CF8DDE" w14:textId="164658D5" w:rsidR="004E2701" w:rsidRPr="00043401" w:rsidRDefault="00980DAE" w:rsidP="004E2701">
      <w:pPr>
        <w:tabs>
          <w:tab w:val="left" w:pos="720"/>
          <w:tab w:val="left" w:pos="1440"/>
          <w:tab w:val="left" w:pos="2160"/>
          <w:tab w:val="left" w:pos="2880"/>
          <w:tab w:val="left" w:pos="3600"/>
          <w:tab w:val="center" w:pos="4513"/>
        </w:tabs>
        <w:spacing w:line="480" w:lineRule="auto"/>
        <w:ind w:left="1440" w:hanging="1440"/>
        <w:jc w:val="both"/>
      </w:pPr>
      <w:r>
        <w:tab/>
        <w:t>28</w:t>
      </w:r>
      <w:r w:rsidR="004E2701">
        <w:t>.4</w:t>
      </w:r>
      <w:r w:rsidR="004E2701">
        <w:tab/>
        <w:t>Mr Kurt Frank Brunner – an employee of 4 x 4 Megaworld in Johannesburg.</w:t>
      </w:r>
    </w:p>
    <w:p w14:paraId="6D823A1D" w14:textId="77777777" w:rsidR="00613408" w:rsidRDefault="00613408" w:rsidP="007379A2">
      <w:pPr>
        <w:tabs>
          <w:tab w:val="left" w:pos="720"/>
          <w:tab w:val="left" w:pos="1440"/>
          <w:tab w:val="left" w:pos="2160"/>
          <w:tab w:val="left" w:pos="2880"/>
          <w:tab w:val="left" w:pos="3600"/>
          <w:tab w:val="center" w:pos="4513"/>
        </w:tabs>
        <w:spacing w:line="480" w:lineRule="auto"/>
        <w:ind w:left="720" w:hanging="720"/>
        <w:jc w:val="both"/>
      </w:pPr>
    </w:p>
    <w:p w14:paraId="79F5D490" w14:textId="22350C13" w:rsidR="00AD1446" w:rsidRDefault="00AD1446" w:rsidP="007379A2">
      <w:pPr>
        <w:tabs>
          <w:tab w:val="left" w:pos="720"/>
          <w:tab w:val="left" w:pos="1440"/>
          <w:tab w:val="left" w:pos="2160"/>
          <w:tab w:val="left" w:pos="2880"/>
          <w:tab w:val="left" w:pos="3600"/>
          <w:tab w:val="center" w:pos="4513"/>
        </w:tabs>
        <w:spacing w:line="480" w:lineRule="auto"/>
        <w:ind w:left="720" w:hanging="720"/>
        <w:jc w:val="both"/>
      </w:pPr>
      <w:r>
        <w:rPr>
          <w:b/>
          <w:u w:val="single"/>
        </w:rPr>
        <w:t>The role of the expert witness in design matters</w:t>
      </w:r>
    </w:p>
    <w:p w14:paraId="0768E102" w14:textId="30DE80A4" w:rsidR="00AD1446" w:rsidRDefault="00980DAE" w:rsidP="007379A2">
      <w:pPr>
        <w:tabs>
          <w:tab w:val="left" w:pos="720"/>
          <w:tab w:val="left" w:pos="1440"/>
          <w:tab w:val="left" w:pos="2160"/>
          <w:tab w:val="left" w:pos="2880"/>
          <w:tab w:val="left" w:pos="3600"/>
          <w:tab w:val="center" w:pos="4513"/>
        </w:tabs>
        <w:spacing w:line="480" w:lineRule="auto"/>
        <w:ind w:left="720" w:hanging="720"/>
        <w:jc w:val="both"/>
      </w:pPr>
      <w:r>
        <w:t>29</w:t>
      </w:r>
      <w:r w:rsidR="00AD1446">
        <w:t>]</w:t>
      </w:r>
      <w:r w:rsidR="00AD1446">
        <w:tab/>
        <w:t>As the role of an expert in matters of this nature, Eloff J stated that their value</w:t>
      </w:r>
    </w:p>
    <w:p w14:paraId="0BAFCBC3" w14:textId="157AD7BB" w:rsidR="00AD1446" w:rsidRPr="00AD1446" w:rsidRDefault="00AD1446" w:rsidP="007379A2">
      <w:pPr>
        <w:tabs>
          <w:tab w:val="left" w:pos="720"/>
          <w:tab w:val="left" w:pos="1440"/>
          <w:tab w:val="left" w:pos="2160"/>
          <w:tab w:val="left" w:pos="2880"/>
          <w:tab w:val="left" w:pos="3600"/>
          <w:tab w:val="center" w:pos="4513"/>
        </w:tabs>
        <w:spacing w:line="480" w:lineRule="auto"/>
        <w:ind w:left="720" w:hanging="720"/>
        <w:jc w:val="both"/>
      </w:pPr>
      <w:r>
        <w:tab/>
      </w:r>
      <w:r>
        <w:rPr>
          <w:i/>
        </w:rPr>
        <w:t>“…was merely…to tutor me, and in the ultimate analysis my decision will depend on my own impressions, having regard to all the features which were drawn to my attention…”</w:t>
      </w:r>
      <w:r>
        <w:rPr>
          <w:rStyle w:val="FootnoteReference"/>
          <w:i/>
        </w:rPr>
        <w:footnoteReference w:id="26"/>
      </w:r>
    </w:p>
    <w:p w14:paraId="3CA90DC2" w14:textId="77777777" w:rsidR="00AD1446" w:rsidRDefault="00AD1446" w:rsidP="007379A2">
      <w:pPr>
        <w:tabs>
          <w:tab w:val="left" w:pos="720"/>
          <w:tab w:val="left" w:pos="1440"/>
          <w:tab w:val="left" w:pos="2160"/>
          <w:tab w:val="left" w:pos="2880"/>
          <w:tab w:val="left" w:pos="3600"/>
          <w:tab w:val="center" w:pos="4513"/>
        </w:tabs>
        <w:spacing w:line="480" w:lineRule="auto"/>
        <w:ind w:left="720" w:hanging="720"/>
        <w:jc w:val="both"/>
        <w:rPr>
          <w:b/>
          <w:u w:val="single"/>
        </w:rPr>
      </w:pPr>
    </w:p>
    <w:p w14:paraId="37FC5AC7" w14:textId="77777777" w:rsidR="006E685F" w:rsidRPr="006E685F" w:rsidRDefault="006E685F" w:rsidP="007379A2">
      <w:pPr>
        <w:tabs>
          <w:tab w:val="left" w:pos="720"/>
          <w:tab w:val="left" w:pos="1440"/>
          <w:tab w:val="left" w:pos="2160"/>
          <w:tab w:val="left" w:pos="2880"/>
          <w:tab w:val="left" w:pos="3600"/>
          <w:tab w:val="center" w:pos="4513"/>
        </w:tabs>
        <w:spacing w:line="480" w:lineRule="auto"/>
        <w:ind w:left="720" w:hanging="720"/>
        <w:jc w:val="both"/>
        <w:rPr>
          <w:b/>
          <w:u w:val="single"/>
        </w:rPr>
      </w:pPr>
      <w:r>
        <w:rPr>
          <w:b/>
          <w:u w:val="single"/>
        </w:rPr>
        <w:t>Mr Shilt</w:t>
      </w:r>
    </w:p>
    <w:p w14:paraId="67336207" w14:textId="289D38FA" w:rsidR="00613408" w:rsidRDefault="004E2701" w:rsidP="007379A2">
      <w:pPr>
        <w:tabs>
          <w:tab w:val="left" w:pos="720"/>
          <w:tab w:val="left" w:pos="1440"/>
          <w:tab w:val="left" w:pos="2160"/>
          <w:tab w:val="left" w:pos="2880"/>
          <w:tab w:val="left" w:pos="3600"/>
          <w:tab w:val="center" w:pos="4513"/>
        </w:tabs>
        <w:spacing w:line="480" w:lineRule="auto"/>
        <w:ind w:left="720" w:hanging="720"/>
        <w:jc w:val="both"/>
      </w:pPr>
      <w:r>
        <w:t>3</w:t>
      </w:r>
      <w:r w:rsidR="00980DAE">
        <w:t>0</w:t>
      </w:r>
      <w:r>
        <w:t>]</w:t>
      </w:r>
      <w:r>
        <w:tab/>
      </w:r>
      <w:r w:rsidR="006E685F">
        <w:t>He is the plaintiff’s expert witness. His expertise was placed in dispute by Mr Ferreira, howe</w:t>
      </w:r>
      <w:r w:rsidR="001111F4">
        <w:t>ver no argument was made that</w:t>
      </w:r>
      <w:r w:rsidR="006E685F">
        <w:t xml:space="preserve"> Shilt was not an expert</w:t>
      </w:r>
      <w:r w:rsidR="006868BF">
        <w:t xml:space="preserve"> in his filed, or that he was not suitably qualified or that his evidence was of no value and thus should be ignored.</w:t>
      </w:r>
      <w:r w:rsidR="002B0276">
        <w:t xml:space="preserve"> Given his qualifications and his </w:t>
      </w:r>
      <w:r w:rsidR="003E632F">
        <w:t>experience,</w:t>
      </w:r>
      <w:r w:rsidR="002B0276">
        <w:t xml:space="preserve"> I find no reason to disqualify him as an expert.</w:t>
      </w:r>
    </w:p>
    <w:p w14:paraId="3944894D" w14:textId="77777777" w:rsidR="006868BF" w:rsidRDefault="006868BF" w:rsidP="007379A2">
      <w:pPr>
        <w:tabs>
          <w:tab w:val="left" w:pos="720"/>
          <w:tab w:val="left" w:pos="1440"/>
          <w:tab w:val="left" w:pos="2160"/>
          <w:tab w:val="left" w:pos="2880"/>
          <w:tab w:val="left" w:pos="3600"/>
          <w:tab w:val="center" w:pos="4513"/>
        </w:tabs>
        <w:spacing w:line="480" w:lineRule="auto"/>
        <w:ind w:left="720" w:hanging="720"/>
        <w:jc w:val="both"/>
      </w:pPr>
    </w:p>
    <w:p w14:paraId="155411E3" w14:textId="2F364E2D" w:rsidR="006868BF" w:rsidRDefault="00980DAE" w:rsidP="007379A2">
      <w:pPr>
        <w:tabs>
          <w:tab w:val="left" w:pos="720"/>
          <w:tab w:val="left" w:pos="1440"/>
          <w:tab w:val="left" w:pos="2160"/>
          <w:tab w:val="left" w:pos="2880"/>
          <w:tab w:val="left" w:pos="3600"/>
          <w:tab w:val="center" w:pos="4513"/>
        </w:tabs>
        <w:spacing w:line="480" w:lineRule="auto"/>
        <w:ind w:left="720" w:hanging="720"/>
        <w:jc w:val="both"/>
      </w:pPr>
      <w:r>
        <w:t>31</w:t>
      </w:r>
      <w:r w:rsidR="001111F4">
        <w:t>]</w:t>
      </w:r>
      <w:r w:rsidR="001111F4">
        <w:tab/>
      </w:r>
      <w:r w:rsidR="0053745E">
        <w:t>Shilt</w:t>
      </w:r>
      <w:r w:rsidR="006868BF">
        <w:t xml:space="preserve"> </w:t>
      </w:r>
      <w:r w:rsidR="00A120B4">
        <w:t>obtained a diploma in mechanical engineering from the Natal T</w:t>
      </w:r>
      <w:r w:rsidR="00DD3360">
        <w:t>echnik</w:t>
      </w:r>
      <w:r w:rsidR="00A120B4">
        <w:t>on in 1996 and since then has worked for Clover SA</w:t>
      </w:r>
      <w:r w:rsidR="00DD3360">
        <w:t xml:space="preserve"> as a P</w:t>
      </w:r>
      <w:r w:rsidR="00A120B4">
        <w:t>rojec</w:t>
      </w:r>
      <w:r w:rsidR="00DD3360">
        <w:t>t Technician and Project E</w:t>
      </w:r>
      <w:r w:rsidR="00A120B4">
        <w:t xml:space="preserve">ngineer, </w:t>
      </w:r>
      <w:r w:rsidR="00DD3360">
        <w:t xml:space="preserve">for </w:t>
      </w:r>
      <w:r w:rsidR="00A120B4">
        <w:t>G.U.D. Filters in th</w:t>
      </w:r>
      <w:r w:rsidR="00DD3360">
        <w:t>eir Project Engineering D</w:t>
      </w:r>
      <w:r w:rsidR="00A120B4">
        <w:t>epartment</w:t>
      </w:r>
      <w:r w:rsidR="00DD3360">
        <w:t xml:space="preserve"> and as a P</w:t>
      </w:r>
      <w:r w:rsidR="009D707A">
        <w:t xml:space="preserve">roject </w:t>
      </w:r>
      <w:r w:rsidR="00DD3360">
        <w:t>M</w:t>
      </w:r>
      <w:r w:rsidR="009D707A">
        <w:t>an</w:t>
      </w:r>
      <w:r w:rsidR="00A120B4">
        <w:t>ager</w:t>
      </w:r>
      <w:r w:rsidR="00DD3360">
        <w:t xml:space="preserve"> and </w:t>
      </w:r>
      <w:r w:rsidR="00A120B4">
        <w:t xml:space="preserve">at G.U.D Holdings as a Manufacturing Manager. During </w:t>
      </w:r>
      <w:r w:rsidR="00DD3360">
        <w:t xml:space="preserve">this period </w:t>
      </w:r>
      <w:r w:rsidR="00A120B4">
        <w:t>he accumulated</w:t>
      </w:r>
      <w:r w:rsidR="0053745E">
        <w:t xml:space="preserve"> </w:t>
      </w:r>
      <w:r w:rsidR="006868BF">
        <w:t xml:space="preserve">considerable experience in research and </w:t>
      </w:r>
      <w:r w:rsidR="006868BF">
        <w:lastRenderedPageBreak/>
        <w:t>development, design and manufacturing of automotive parts for the OEM market and</w:t>
      </w:r>
      <w:r w:rsidR="00DD3360">
        <w:t xml:space="preserve"> the</w:t>
      </w:r>
      <w:r w:rsidR="006868BF">
        <w:t xml:space="preserve"> after</w:t>
      </w:r>
      <w:r w:rsidR="00DD3360">
        <w:t>-</w:t>
      </w:r>
      <w:r w:rsidR="006868BF">
        <w:t>sales accessory market in the motor vehicle industry. He has been employed</w:t>
      </w:r>
      <w:r w:rsidR="007B0F41">
        <w:t xml:space="preserve"> with the plaintiff since 2015 </w:t>
      </w:r>
      <w:r w:rsidR="00F81CC6">
        <w:t>and has been</w:t>
      </w:r>
      <w:r w:rsidR="006868BF">
        <w:t xml:space="preserve"> directly involved in all aspects of the research, development, design and manufacture of nudge bars and sports bars for motor vehicles of various</w:t>
      </w:r>
      <w:r w:rsidR="00DD3360">
        <w:t xml:space="preserve"> kinds. He</w:t>
      </w:r>
      <w:r w:rsidR="006868BF">
        <w:t xml:space="preserve"> </w:t>
      </w:r>
      <w:r w:rsidR="00932056">
        <w:t xml:space="preserve">was </w:t>
      </w:r>
      <w:r w:rsidR="00DD3360">
        <w:t xml:space="preserve">initially </w:t>
      </w:r>
      <w:r w:rsidR="00932056">
        <w:t xml:space="preserve">employed as a Technical Manager where his work included the design, development and manufacture of a wide range of automotive accessories for the local </w:t>
      </w:r>
      <w:r w:rsidR="006868BF">
        <w:t>OEM</w:t>
      </w:r>
      <w:r w:rsidR="00F81CC6">
        <w:rPr>
          <w:rStyle w:val="FootnoteReference"/>
        </w:rPr>
        <w:footnoteReference w:id="27"/>
      </w:r>
      <w:r w:rsidR="00932056">
        <w:t>market</w:t>
      </w:r>
      <w:r w:rsidR="006868BF">
        <w:t xml:space="preserve"> as well as </w:t>
      </w:r>
      <w:r w:rsidR="009F1FA3">
        <w:t>the marketing and sale of these</w:t>
      </w:r>
      <w:r w:rsidR="00932056">
        <w:t xml:space="preserve"> and new product development</w:t>
      </w:r>
      <w:r w:rsidR="009F1FA3">
        <w:t>.</w:t>
      </w:r>
      <w:r w:rsidR="00DD3360">
        <w:t xml:space="preserve"> He is now the plaintiff’s Operations Manager.</w:t>
      </w:r>
    </w:p>
    <w:p w14:paraId="553EECCF" w14:textId="77777777" w:rsidR="00E6163A" w:rsidRDefault="00E6163A" w:rsidP="007379A2">
      <w:pPr>
        <w:tabs>
          <w:tab w:val="left" w:pos="720"/>
          <w:tab w:val="left" w:pos="1440"/>
          <w:tab w:val="left" w:pos="2160"/>
          <w:tab w:val="left" w:pos="2880"/>
          <w:tab w:val="left" w:pos="3600"/>
          <w:tab w:val="center" w:pos="4513"/>
        </w:tabs>
        <w:spacing w:line="480" w:lineRule="auto"/>
        <w:ind w:left="720" w:hanging="720"/>
        <w:jc w:val="both"/>
      </w:pPr>
    </w:p>
    <w:p w14:paraId="6A0F95A4" w14:textId="320A5AFE" w:rsidR="00E6163A" w:rsidRDefault="00980DAE" w:rsidP="007379A2">
      <w:pPr>
        <w:tabs>
          <w:tab w:val="left" w:pos="720"/>
          <w:tab w:val="left" w:pos="1440"/>
          <w:tab w:val="left" w:pos="2160"/>
          <w:tab w:val="left" w:pos="2880"/>
          <w:tab w:val="left" w:pos="3600"/>
          <w:tab w:val="center" w:pos="4513"/>
        </w:tabs>
        <w:spacing w:line="480" w:lineRule="auto"/>
        <w:ind w:left="720" w:hanging="720"/>
        <w:jc w:val="both"/>
      </w:pPr>
      <w:r>
        <w:t>32</w:t>
      </w:r>
      <w:r w:rsidR="00E6163A">
        <w:t>]</w:t>
      </w:r>
      <w:r w:rsidR="00E6163A">
        <w:tab/>
        <w:t xml:space="preserve">He testified that, since his employment with plaintiff, his responsibility has been the realisation and production of all new ideas including nudge bars and sports bars – this includes the testing and verification of products. Generally, his customers are the OEM themselves. He stated that </w:t>
      </w:r>
      <w:r w:rsidR="00CC54BD">
        <w:t xml:space="preserve">the plaintiff will come up with the design which is then approved by the OEM, the plaintiff will finalise the specifications and manufacture it and it will then be distributed to the dealer network of the OEM for </w:t>
      </w:r>
      <w:r w:rsidR="00B772B6">
        <w:t>on sale</w:t>
      </w:r>
      <w:r w:rsidR="00CC54BD">
        <w:t xml:space="preserve"> to the end-user who is the consumer.</w:t>
      </w:r>
    </w:p>
    <w:p w14:paraId="72ECA99D" w14:textId="77777777" w:rsidR="00CC54BD" w:rsidRDefault="00CC54BD" w:rsidP="007379A2">
      <w:pPr>
        <w:tabs>
          <w:tab w:val="left" w:pos="720"/>
          <w:tab w:val="left" w:pos="1440"/>
          <w:tab w:val="left" w:pos="2160"/>
          <w:tab w:val="left" w:pos="2880"/>
          <w:tab w:val="left" w:pos="3600"/>
          <w:tab w:val="center" w:pos="4513"/>
        </w:tabs>
        <w:spacing w:line="480" w:lineRule="auto"/>
        <w:ind w:left="720" w:hanging="720"/>
        <w:jc w:val="both"/>
      </w:pPr>
    </w:p>
    <w:p w14:paraId="7C33E198" w14:textId="20A24D6A" w:rsidR="00CC54BD" w:rsidRDefault="00980DAE" w:rsidP="007379A2">
      <w:pPr>
        <w:tabs>
          <w:tab w:val="left" w:pos="720"/>
          <w:tab w:val="left" w:pos="1440"/>
          <w:tab w:val="left" w:pos="2160"/>
          <w:tab w:val="left" w:pos="2880"/>
          <w:tab w:val="left" w:pos="3600"/>
          <w:tab w:val="center" w:pos="4513"/>
        </w:tabs>
        <w:spacing w:line="480" w:lineRule="auto"/>
        <w:ind w:left="720" w:hanging="720"/>
        <w:jc w:val="both"/>
      </w:pPr>
      <w:r>
        <w:t>33</w:t>
      </w:r>
      <w:r w:rsidR="00CC54BD">
        <w:t>]</w:t>
      </w:r>
      <w:r w:rsidR="00CC54BD">
        <w:tab/>
      </w:r>
      <w:r w:rsidR="00D3228B">
        <w:t>He testified that:</w:t>
      </w:r>
    </w:p>
    <w:p w14:paraId="6D628445" w14:textId="1BE83DF5" w:rsidR="00D3228B" w:rsidRDefault="00D3228B" w:rsidP="00A717E0">
      <w:pPr>
        <w:tabs>
          <w:tab w:val="left" w:pos="720"/>
          <w:tab w:val="left" w:pos="1440"/>
          <w:tab w:val="left" w:pos="2160"/>
          <w:tab w:val="left" w:pos="2880"/>
          <w:tab w:val="left" w:pos="3600"/>
          <w:tab w:val="center" w:pos="4513"/>
        </w:tabs>
        <w:spacing w:line="480" w:lineRule="auto"/>
        <w:ind w:left="1440" w:hanging="1440"/>
        <w:jc w:val="both"/>
      </w:pPr>
      <w:r>
        <w:tab/>
        <w:t>3</w:t>
      </w:r>
      <w:r w:rsidR="00980DAE">
        <w:t>3</w:t>
      </w:r>
      <w:r>
        <w:t>.1</w:t>
      </w:r>
      <w:r>
        <w:tab/>
      </w:r>
      <w:r w:rsidR="002E0420">
        <w:t>nudge bars must comply with certain critical safety criteria – eg airbag criteria. To this end so</w:t>
      </w:r>
      <w:r w:rsidR="00A717E0">
        <w:t xml:space="preserve">-called </w:t>
      </w:r>
      <w:r w:rsidR="00830A09">
        <w:t>“</w:t>
      </w:r>
      <w:r w:rsidR="00A717E0">
        <w:t>crush and load</w:t>
      </w:r>
      <w:r w:rsidR="00830A09">
        <w:t>”</w:t>
      </w:r>
      <w:r w:rsidR="00A717E0">
        <w:t xml:space="preserve"> tests are conducted as well as significant durability tests. The sports bar has no critical safety aspect to the design but here too, durability is very important;</w:t>
      </w:r>
    </w:p>
    <w:p w14:paraId="4D085BC4" w14:textId="77777777" w:rsidR="007658DC" w:rsidRDefault="00980DAE" w:rsidP="00A717E0">
      <w:pPr>
        <w:tabs>
          <w:tab w:val="left" w:pos="720"/>
          <w:tab w:val="left" w:pos="1440"/>
          <w:tab w:val="left" w:pos="2160"/>
          <w:tab w:val="left" w:pos="2880"/>
          <w:tab w:val="left" w:pos="3600"/>
          <w:tab w:val="center" w:pos="4513"/>
        </w:tabs>
        <w:spacing w:line="480" w:lineRule="auto"/>
        <w:ind w:left="1440" w:hanging="1440"/>
        <w:jc w:val="both"/>
      </w:pPr>
      <w:r>
        <w:tab/>
      </w:r>
    </w:p>
    <w:p w14:paraId="7779353D" w14:textId="4A34D8AF" w:rsidR="00A717E0" w:rsidRDefault="007658DC" w:rsidP="00A717E0">
      <w:pPr>
        <w:tabs>
          <w:tab w:val="left" w:pos="720"/>
          <w:tab w:val="left" w:pos="1440"/>
          <w:tab w:val="left" w:pos="2160"/>
          <w:tab w:val="left" w:pos="2880"/>
          <w:tab w:val="left" w:pos="3600"/>
          <w:tab w:val="center" w:pos="4513"/>
        </w:tabs>
        <w:spacing w:line="480" w:lineRule="auto"/>
        <w:ind w:left="1440" w:hanging="1440"/>
        <w:jc w:val="both"/>
      </w:pPr>
      <w:r>
        <w:lastRenderedPageBreak/>
        <w:tab/>
      </w:r>
      <w:r w:rsidR="00980DAE">
        <w:t>33</w:t>
      </w:r>
      <w:r w:rsidR="00A717E0">
        <w:t>.2</w:t>
      </w:r>
      <w:r w:rsidR="00A717E0">
        <w:tab/>
        <w:t>the nudge bar is designed to attach to the front of the vehicle and its primary function is to enhance the look and feel of the vehicle. It consist</w:t>
      </w:r>
      <w:r w:rsidR="0064288A">
        <w:t>s</w:t>
      </w:r>
      <w:r w:rsidR="00A35551">
        <w:t xml:space="preserve"> of a tubular frame (or h</w:t>
      </w:r>
      <w:r w:rsidR="00A717E0">
        <w:t>oop) and typically carries a</w:t>
      </w:r>
      <w:r w:rsidR="004D0F7E">
        <w:t xml:space="preserve"> crossbar</w:t>
      </w:r>
      <w:r w:rsidR="00A717E0">
        <w:t xml:space="preserve"> which gives the overall look to the product</w:t>
      </w:r>
      <w:r w:rsidR="008D32B8">
        <w:t xml:space="preserve"> vehicle range. According to him</w:t>
      </w:r>
      <w:r w:rsidR="00A717E0">
        <w:t xml:space="preserve">, it creates the </w:t>
      </w:r>
      <w:r w:rsidR="00A717E0">
        <w:rPr>
          <w:i/>
        </w:rPr>
        <w:t>“look, identity and feel”</w:t>
      </w:r>
      <w:r w:rsidR="00A717E0">
        <w:t xml:space="preserve"> for the vehicle on the road and it becomes synonymous with the brand of vehicle on the market;</w:t>
      </w:r>
    </w:p>
    <w:p w14:paraId="6869929B" w14:textId="77777777" w:rsidR="007658DC" w:rsidRDefault="00980DAE" w:rsidP="00A717E0">
      <w:pPr>
        <w:tabs>
          <w:tab w:val="left" w:pos="720"/>
          <w:tab w:val="left" w:pos="1440"/>
          <w:tab w:val="left" w:pos="2160"/>
          <w:tab w:val="left" w:pos="2880"/>
          <w:tab w:val="left" w:pos="3600"/>
          <w:tab w:val="center" w:pos="4513"/>
        </w:tabs>
        <w:spacing w:line="480" w:lineRule="auto"/>
        <w:ind w:left="1440" w:hanging="1440"/>
        <w:jc w:val="both"/>
      </w:pPr>
      <w:r>
        <w:tab/>
      </w:r>
    </w:p>
    <w:p w14:paraId="7FFC4DD5" w14:textId="642789A9" w:rsidR="000A1958" w:rsidRDefault="007658DC" w:rsidP="00A717E0">
      <w:pPr>
        <w:tabs>
          <w:tab w:val="left" w:pos="720"/>
          <w:tab w:val="left" w:pos="1440"/>
          <w:tab w:val="left" w:pos="2160"/>
          <w:tab w:val="left" w:pos="2880"/>
          <w:tab w:val="left" w:pos="3600"/>
          <w:tab w:val="center" w:pos="4513"/>
        </w:tabs>
        <w:spacing w:line="480" w:lineRule="auto"/>
        <w:ind w:left="1440" w:hanging="1440"/>
        <w:jc w:val="both"/>
      </w:pPr>
      <w:r>
        <w:tab/>
      </w:r>
      <w:r w:rsidR="00980DAE">
        <w:t>33</w:t>
      </w:r>
      <w:r w:rsidR="00A717E0">
        <w:t>.3</w:t>
      </w:r>
      <w:r w:rsidR="00A717E0">
        <w:tab/>
        <w:t xml:space="preserve">typically, the design of the nudge and sports bar will pick up aspects of the vehicle itself and enhance it so they are developed </w:t>
      </w:r>
      <w:r w:rsidR="000A1958">
        <w:t xml:space="preserve">with a specific vehicle in mind – for example the </w:t>
      </w:r>
      <w:r w:rsidR="00000150">
        <w:t>Louvre</w:t>
      </w:r>
      <w:r w:rsidR="000A1958">
        <w:t xml:space="preserve"> design was developed to fit</w:t>
      </w:r>
      <w:r w:rsidR="004D0F7E">
        <w:t xml:space="preserve"> the Hilux and Fortuner vehicle</w:t>
      </w:r>
      <w:r>
        <w:t>s.</w:t>
      </w:r>
    </w:p>
    <w:p w14:paraId="0D42DB25" w14:textId="77777777" w:rsidR="000A1958" w:rsidRDefault="000A1958" w:rsidP="00A717E0">
      <w:pPr>
        <w:tabs>
          <w:tab w:val="left" w:pos="720"/>
          <w:tab w:val="left" w:pos="1440"/>
          <w:tab w:val="left" w:pos="2160"/>
          <w:tab w:val="left" w:pos="2880"/>
          <w:tab w:val="left" w:pos="3600"/>
          <w:tab w:val="center" w:pos="4513"/>
        </w:tabs>
        <w:spacing w:line="480" w:lineRule="auto"/>
        <w:ind w:left="1440" w:hanging="1440"/>
        <w:jc w:val="both"/>
      </w:pPr>
    </w:p>
    <w:p w14:paraId="58DDCA2B" w14:textId="1B0A173E" w:rsidR="00695A57" w:rsidRDefault="00695A57" w:rsidP="00695A57">
      <w:pPr>
        <w:tabs>
          <w:tab w:val="left" w:pos="720"/>
          <w:tab w:val="left" w:pos="1440"/>
          <w:tab w:val="left" w:pos="2160"/>
          <w:tab w:val="left" w:pos="2880"/>
          <w:tab w:val="left" w:pos="3600"/>
          <w:tab w:val="center" w:pos="4513"/>
        </w:tabs>
        <w:spacing w:line="480" w:lineRule="auto"/>
        <w:ind w:left="720" w:hanging="720"/>
        <w:jc w:val="both"/>
      </w:pPr>
      <w:r>
        <w:t>3</w:t>
      </w:r>
      <w:r w:rsidR="00980DAE">
        <w:t>4</w:t>
      </w:r>
      <w:r>
        <w:t>]</w:t>
      </w:r>
      <w:r>
        <w:tab/>
        <w:t xml:space="preserve">The plaintiff’s design registrations were filed during November 2015 and the first </w:t>
      </w:r>
      <w:r w:rsidR="00000150">
        <w:t>Louvre</w:t>
      </w:r>
      <w:r>
        <w:t xml:space="preserve"> range of products were launched to the public during approximately February 2016.The </w:t>
      </w:r>
      <w:r w:rsidR="00000150">
        <w:t>Polygon</w:t>
      </w:r>
      <w:r w:rsidR="007877D2">
        <w:t xml:space="preserve"> range was</w:t>
      </w:r>
      <w:r>
        <w:t xml:space="preserve"> launched in November 2015. Approximately 8 months later the MK1 was launched on the defendant’s website. The defendant’s </w:t>
      </w:r>
      <w:r w:rsidR="00000150">
        <w:t>Polygon</w:t>
      </w:r>
      <w:r>
        <w:t xml:space="preserve"> range was launched approximately a month after the plaintiff’s product.</w:t>
      </w:r>
      <w:r w:rsidR="00000150">
        <w:t xml:space="preserve"> Furthermore, shortly after the plaintiff released its Louvre designs</w:t>
      </w:r>
      <w:r w:rsidR="00B37E50">
        <w:rPr>
          <w:rStyle w:val="FootnoteReference"/>
        </w:rPr>
        <w:footnoteReference w:id="28"/>
      </w:r>
      <w:r w:rsidR="00000150">
        <w:t xml:space="preserve">, the defendant released a brochure which announced the launch of a product which was “coming soon”. </w:t>
      </w:r>
      <w:r w:rsidR="003C3B91">
        <w:t xml:space="preserve"> The images</w:t>
      </w:r>
      <w:r w:rsidR="007877D2">
        <w:t xml:space="preserve"> that were printed in the brochure</w:t>
      </w:r>
      <w:r w:rsidR="003C3B91">
        <w:t xml:space="preserve"> were actually those of the plaintiff’s products. </w:t>
      </w:r>
      <w:r w:rsidR="00000150">
        <w:t>After receipt of a letter from pla</w:t>
      </w:r>
      <w:r w:rsidR="007877D2">
        <w:t>intiff to cease and desist, the defendant withdrew this brochure.</w:t>
      </w:r>
    </w:p>
    <w:p w14:paraId="5FA1BAAC" w14:textId="77777777" w:rsidR="000537D7" w:rsidRDefault="000537D7" w:rsidP="00695A57">
      <w:pPr>
        <w:tabs>
          <w:tab w:val="left" w:pos="720"/>
          <w:tab w:val="left" w:pos="1440"/>
          <w:tab w:val="left" w:pos="2160"/>
          <w:tab w:val="left" w:pos="2880"/>
          <w:tab w:val="left" w:pos="3600"/>
          <w:tab w:val="center" w:pos="4513"/>
        </w:tabs>
        <w:spacing w:line="480" w:lineRule="auto"/>
        <w:ind w:left="720" w:hanging="720"/>
        <w:jc w:val="both"/>
      </w:pPr>
    </w:p>
    <w:p w14:paraId="4FA1C882" w14:textId="0D65BE03" w:rsidR="00695A57" w:rsidRDefault="00980DAE" w:rsidP="00695A57">
      <w:pPr>
        <w:tabs>
          <w:tab w:val="left" w:pos="720"/>
          <w:tab w:val="left" w:pos="1440"/>
          <w:tab w:val="left" w:pos="2160"/>
          <w:tab w:val="left" w:pos="2880"/>
          <w:tab w:val="left" w:pos="3600"/>
          <w:tab w:val="center" w:pos="4513"/>
        </w:tabs>
        <w:spacing w:line="480" w:lineRule="auto"/>
        <w:ind w:left="720" w:hanging="720"/>
        <w:jc w:val="both"/>
      </w:pPr>
      <w:r>
        <w:t>35</w:t>
      </w:r>
      <w:r w:rsidR="00B772B6">
        <w:t>]</w:t>
      </w:r>
      <w:r w:rsidR="00B772B6">
        <w:tab/>
        <w:t xml:space="preserve">In essence, </w:t>
      </w:r>
      <w:r w:rsidR="00695A57">
        <w:t>Shilt admitted that:</w:t>
      </w:r>
    </w:p>
    <w:p w14:paraId="0C960ADB" w14:textId="4584D60E" w:rsidR="00695A57" w:rsidRDefault="00695A57" w:rsidP="00695A57">
      <w:pPr>
        <w:tabs>
          <w:tab w:val="left" w:pos="720"/>
          <w:tab w:val="left" w:pos="1440"/>
          <w:tab w:val="left" w:pos="2160"/>
          <w:tab w:val="left" w:pos="2880"/>
          <w:tab w:val="left" w:pos="3600"/>
          <w:tab w:val="center" w:pos="4513"/>
        </w:tabs>
        <w:spacing w:line="480" w:lineRule="auto"/>
        <w:ind w:left="1440" w:hanging="1440"/>
        <w:jc w:val="both"/>
      </w:pPr>
      <w:r>
        <w:lastRenderedPageBreak/>
        <w:tab/>
        <w:t>3</w:t>
      </w:r>
      <w:r w:rsidR="00980DAE">
        <w:t>5</w:t>
      </w:r>
      <w:r>
        <w:t>.1</w:t>
      </w:r>
      <w:r>
        <w:tab/>
        <w:t>both parties have been manufacturing and selling sports bars with a frame tube shape that is substantially, if not identical, to the</w:t>
      </w:r>
      <w:r w:rsidR="002C4C50">
        <w:t xml:space="preserve"> shape of the  frame tube in </w:t>
      </w:r>
      <w:r>
        <w:t xml:space="preserve">the plaintiff’s </w:t>
      </w:r>
      <w:r w:rsidR="00000150">
        <w:t>Polygon</w:t>
      </w:r>
      <w:r>
        <w:t xml:space="preserve"> and </w:t>
      </w:r>
      <w:r w:rsidR="00000150">
        <w:t>Louvre</w:t>
      </w:r>
      <w:r>
        <w:t xml:space="preserve"> </w:t>
      </w:r>
      <w:r w:rsidR="00094B43">
        <w:t>designs since at least 2013</w:t>
      </w:r>
      <w:r>
        <w:t>;</w:t>
      </w:r>
    </w:p>
    <w:p w14:paraId="14F426A4" w14:textId="77777777" w:rsidR="00FB2783" w:rsidRDefault="00FB2783" w:rsidP="00695A57">
      <w:pPr>
        <w:tabs>
          <w:tab w:val="left" w:pos="720"/>
          <w:tab w:val="left" w:pos="1440"/>
          <w:tab w:val="left" w:pos="2160"/>
          <w:tab w:val="left" w:pos="2880"/>
          <w:tab w:val="left" w:pos="3600"/>
          <w:tab w:val="center" w:pos="4513"/>
        </w:tabs>
        <w:spacing w:line="480" w:lineRule="auto"/>
        <w:ind w:left="1440" w:hanging="1440"/>
        <w:jc w:val="both"/>
      </w:pPr>
    </w:p>
    <w:p w14:paraId="732B2F0D" w14:textId="7AFC2CF0" w:rsidR="00695A57" w:rsidRDefault="00980DAE" w:rsidP="00695A57">
      <w:pPr>
        <w:tabs>
          <w:tab w:val="left" w:pos="720"/>
          <w:tab w:val="left" w:pos="1440"/>
          <w:tab w:val="left" w:pos="2160"/>
          <w:tab w:val="left" w:pos="2880"/>
          <w:tab w:val="left" w:pos="3600"/>
          <w:tab w:val="center" w:pos="4513"/>
        </w:tabs>
        <w:spacing w:line="480" w:lineRule="auto"/>
        <w:ind w:left="1440" w:hanging="1440"/>
        <w:jc w:val="both"/>
      </w:pPr>
      <w:r>
        <w:tab/>
        <w:t>35</w:t>
      </w:r>
      <w:r w:rsidR="00695A57">
        <w:t>.2</w:t>
      </w:r>
      <w:r w:rsidR="00695A57">
        <w:tab/>
      </w:r>
      <w:r w:rsidR="00320645">
        <w:t>the inverted u-shaped frame tube of the plaintiff’s nudge bar designs has been used by the plaintiff in substantially the same shape and configuration since 2012</w:t>
      </w:r>
      <w:r w:rsidR="00320645">
        <w:rPr>
          <w:rStyle w:val="FootnoteReference"/>
        </w:rPr>
        <w:footnoteReference w:id="29"/>
      </w:r>
      <w:r w:rsidR="00320645">
        <w:t>;</w:t>
      </w:r>
    </w:p>
    <w:p w14:paraId="757B2E87" w14:textId="77777777" w:rsidR="00FB2783" w:rsidRDefault="00FB2783" w:rsidP="00695A57">
      <w:pPr>
        <w:tabs>
          <w:tab w:val="left" w:pos="720"/>
          <w:tab w:val="left" w:pos="1440"/>
          <w:tab w:val="left" w:pos="2160"/>
          <w:tab w:val="left" w:pos="2880"/>
          <w:tab w:val="left" w:pos="3600"/>
          <w:tab w:val="center" w:pos="4513"/>
        </w:tabs>
        <w:spacing w:line="480" w:lineRule="auto"/>
        <w:ind w:left="1440" w:hanging="1440"/>
        <w:jc w:val="both"/>
      </w:pPr>
    </w:p>
    <w:p w14:paraId="45D76C58" w14:textId="62FA0DD7" w:rsidR="00320645" w:rsidRDefault="00980DAE" w:rsidP="00695A57">
      <w:pPr>
        <w:tabs>
          <w:tab w:val="left" w:pos="720"/>
          <w:tab w:val="left" w:pos="1440"/>
          <w:tab w:val="left" w:pos="2160"/>
          <w:tab w:val="left" w:pos="2880"/>
          <w:tab w:val="left" w:pos="3600"/>
          <w:tab w:val="center" w:pos="4513"/>
        </w:tabs>
        <w:spacing w:line="480" w:lineRule="auto"/>
        <w:ind w:left="1440" w:hanging="1440"/>
        <w:jc w:val="both"/>
      </w:pPr>
      <w:r>
        <w:tab/>
        <w:t>35</w:t>
      </w:r>
      <w:r w:rsidR="00320645">
        <w:t>.3</w:t>
      </w:r>
      <w:r w:rsidR="00320645">
        <w:tab/>
      </w:r>
      <w:r w:rsidR="0096367E">
        <w:t>his expertise in the field enables him to differentiate between the various nudge bar and sports bar fr</w:t>
      </w:r>
      <w:r w:rsidR="006B107C">
        <w:t>ame tubes with greater ease than</w:t>
      </w:r>
      <w:r w:rsidR="0096367E">
        <w:t xml:space="preserve"> a typical customer;</w:t>
      </w:r>
      <w:r w:rsidR="00FB2783">
        <w:t xml:space="preserve"> and</w:t>
      </w:r>
    </w:p>
    <w:p w14:paraId="11B4DFCA" w14:textId="77777777" w:rsidR="00FB2783" w:rsidRDefault="00FB2783" w:rsidP="00695A57">
      <w:pPr>
        <w:tabs>
          <w:tab w:val="left" w:pos="720"/>
          <w:tab w:val="left" w:pos="1440"/>
          <w:tab w:val="left" w:pos="2160"/>
          <w:tab w:val="left" w:pos="2880"/>
          <w:tab w:val="left" w:pos="3600"/>
          <w:tab w:val="center" w:pos="4513"/>
        </w:tabs>
        <w:spacing w:line="480" w:lineRule="auto"/>
        <w:ind w:left="1440" w:hanging="1440"/>
        <w:jc w:val="both"/>
      </w:pPr>
    </w:p>
    <w:p w14:paraId="74643A6B" w14:textId="4F806457" w:rsidR="00141A23" w:rsidRDefault="00980DAE" w:rsidP="00695A57">
      <w:pPr>
        <w:tabs>
          <w:tab w:val="left" w:pos="720"/>
          <w:tab w:val="left" w:pos="1440"/>
          <w:tab w:val="left" w:pos="2160"/>
          <w:tab w:val="left" w:pos="2880"/>
          <w:tab w:val="left" w:pos="3600"/>
          <w:tab w:val="center" w:pos="4513"/>
        </w:tabs>
        <w:spacing w:line="480" w:lineRule="auto"/>
        <w:ind w:left="1440" w:hanging="1440"/>
        <w:jc w:val="both"/>
      </w:pPr>
      <w:r>
        <w:tab/>
        <w:t>35</w:t>
      </w:r>
      <w:r w:rsidR="00D13240">
        <w:t>.4</w:t>
      </w:r>
      <w:r w:rsidR="00141A23">
        <w:tab/>
      </w:r>
      <w:r w:rsidR="0096367E">
        <w:t>although there are</w:t>
      </w:r>
      <w:r w:rsidR="00141A23">
        <w:t xml:space="preserve"> differences between the parties</w:t>
      </w:r>
      <w:r w:rsidR="007F5145">
        <w:t>’</w:t>
      </w:r>
      <w:r w:rsidR="00C861BB">
        <w:t xml:space="preserve"> respective designs, in his opinion</w:t>
      </w:r>
      <w:r w:rsidR="00141A23">
        <w:t xml:space="preserve"> these would be immaterial to the likely customer.</w:t>
      </w:r>
    </w:p>
    <w:p w14:paraId="44221288" w14:textId="77777777" w:rsidR="00695A57" w:rsidRDefault="00695A57" w:rsidP="00695A57">
      <w:pPr>
        <w:tabs>
          <w:tab w:val="left" w:pos="720"/>
          <w:tab w:val="left" w:pos="1440"/>
          <w:tab w:val="left" w:pos="2160"/>
          <w:tab w:val="left" w:pos="2880"/>
          <w:tab w:val="left" w:pos="3600"/>
          <w:tab w:val="center" w:pos="4513"/>
        </w:tabs>
        <w:spacing w:line="480" w:lineRule="auto"/>
        <w:jc w:val="both"/>
      </w:pPr>
    </w:p>
    <w:p w14:paraId="6A2DC864" w14:textId="201E5C74" w:rsidR="000A7935" w:rsidRDefault="004647C0" w:rsidP="000C045C">
      <w:pPr>
        <w:tabs>
          <w:tab w:val="left" w:pos="720"/>
          <w:tab w:val="left" w:pos="1440"/>
          <w:tab w:val="left" w:pos="2160"/>
          <w:tab w:val="left" w:pos="2880"/>
          <w:tab w:val="left" w:pos="3600"/>
          <w:tab w:val="center" w:pos="4513"/>
        </w:tabs>
        <w:spacing w:line="480" w:lineRule="auto"/>
        <w:ind w:left="720" w:hanging="720"/>
        <w:jc w:val="both"/>
      </w:pPr>
      <w:r>
        <w:t>3</w:t>
      </w:r>
      <w:r w:rsidR="00980DAE">
        <w:t>6</w:t>
      </w:r>
      <w:r w:rsidR="000C045C">
        <w:t>]</w:t>
      </w:r>
      <w:r w:rsidR="000C045C">
        <w:tab/>
      </w:r>
      <w:r w:rsidR="000A7935">
        <w:t>As to the designs themselves, his evidence was the following:</w:t>
      </w:r>
    </w:p>
    <w:p w14:paraId="0225B514" w14:textId="36228BD5" w:rsidR="00451F6C" w:rsidRDefault="000A7935" w:rsidP="00451F6C">
      <w:pPr>
        <w:tabs>
          <w:tab w:val="left" w:pos="720"/>
          <w:tab w:val="left" w:pos="1440"/>
          <w:tab w:val="left" w:pos="2160"/>
          <w:tab w:val="left" w:pos="2880"/>
          <w:tab w:val="left" w:pos="3600"/>
          <w:tab w:val="center" w:pos="4513"/>
        </w:tabs>
        <w:spacing w:line="480" w:lineRule="auto"/>
        <w:ind w:left="720" w:hanging="720"/>
        <w:jc w:val="both"/>
      </w:pPr>
      <w:r>
        <w:tab/>
        <w:t>3</w:t>
      </w:r>
      <w:r w:rsidR="00980DAE">
        <w:t>6</w:t>
      </w:r>
      <w:r>
        <w:t>.1</w:t>
      </w:r>
      <w:r>
        <w:tab/>
      </w:r>
      <w:r w:rsidR="00DB1484">
        <w:rPr>
          <w:u w:val="single"/>
        </w:rPr>
        <w:t>T</w:t>
      </w:r>
      <w:r w:rsidR="00451F6C">
        <w:rPr>
          <w:u w:val="single"/>
        </w:rPr>
        <w:t xml:space="preserve">he </w:t>
      </w:r>
      <w:r w:rsidR="004D2E71">
        <w:rPr>
          <w:u w:val="single"/>
        </w:rPr>
        <w:t xml:space="preserve">Louvre nudge bar </w:t>
      </w:r>
      <w:r w:rsidR="00451F6C">
        <w:rPr>
          <w:u w:val="single"/>
        </w:rPr>
        <w:t>design</w:t>
      </w:r>
    </w:p>
    <w:p w14:paraId="41FDB28B" w14:textId="4053FE84" w:rsidR="00451F6C" w:rsidRDefault="00451F6C" w:rsidP="004D2E71">
      <w:pPr>
        <w:tabs>
          <w:tab w:val="left" w:pos="720"/>
          <w:tab w:val="left" w:pos="1440"/>
          <w:tab w:val="left" w:pos="2160"/>
          <w:tab w:val="left" w:pos="2880"/>
          <w:tab w:val="left" w:pos="3600"/>
          <w:tab w:val="center" w:pos="4513"/>
        </w:tabs>
        <w:spacing w:line="480" w:lineRule="auto"/>
        <w:ind w:left="1440" w:hanging="720"/>
        <w:jc w:val="both"/>
      </w:pPr>
      <w:r>
        <w:tab/>
      </w:r>
      <w:r w:rsidR="004D2E71">
        <w:t>There are many parallels to the plaintiff’s Louvre design</w:t>
      </w:r>
      <w:r w:rsidR="004121F2">
        <w:t>:</w:t>
      </w:r>
      <w:r w:rsidR="004D2E71">
        <w:t xml:space="preserve"> from the overall look and shape of the product to the feel of it. Although there is a more rounde</w:t>
      </w:r>
      <w:r w:rsidR="00164781">
        <w:t>d shape and centre to the defendant’s cross</w:t>
      </w:r>
      <w:r w:rsidR="004D2E71">
        <w:t xml:space="preserve">bar itself, the ends of each </w:t>
      </w:r>
      <w:r w:rsidR="00164781">
        <w:t>are oval where the crossbar</w:t>
      </w:r>
      <w:r w:rsidR="004D2E71">
        <w:t xml:space="preserve"> meets the joiners and where they join up with the hoop. Where the nudge bar folds under the vehicle, it looks the same to the consum</w:t>
      </w:r>
      <w:r w:rsidR="00DB1484">
        <w:t xml:space="preserve">er as the plaintiff’s </w:t>
      </w:r>
      <w:r w:rsidR="005E6E53">
        <w:t>design</w:t>
      </w:r>
      <w:r w:rsidR="00DB1484">
        <w:t>.</w:t>
      </w:r>
    </w:p>
    <w:p w14:paraId="07536E98" w14:textId="55DF0F51" w:rsidR="004D2E71" w:rsidRDefault="00980DAE" w:rsidP="004D2E71">
      <w:pPr>
        <w:tabs>
          <w:tab w:val="left" w:pos="720"/>
          <w:tab w:val="left" w:pos="1440"/>
          <w:tab w:val="left" w:pos="2160"/>
          <w:tab w:val="left" w:pos="2880"/>
          <w:tab w:val="left" w:pos="3600"/>
          <w:tab w:val="center" w:pos="4513"/>
        </w:tabs>
        <w:spacing w:line="480" w:lineRule="auto"/>
        <w:ind w:left="1440" w:hanging="720"/>
        <w:jc w:val="both"/>
      </w:pPr>
      <w:r>
        <w:lastRenderedPageBreak/>
        <w:t>36</w:t>
      </w:r>
      <w:r w:rsidR="004647C0">
        <w:t>.2</w:t>
      </w:r>
      <w:r w:rsidR="004647C0">
        <w:tab/>
      </w:r>
      <w:r w:rsidR="00DB1484">
        <w:rPr>
          <w:u w:val="single"/>
        </w:rPr>
        <w:t>T</w:t>
      </w:r>
      <w:r w:rsidR="004D2E71">
        <w:rPr>
          <w:u w:val="single"/>
        </w:rPr>
        <w:t>he Louvre sports bar design</w:t>
      </w:r>
    </w:p>
    <w:p w14:paraId="16DF909F" w14:textId="59ED158E" w:rsidR="004D2E71" w:rsidRDefault="004D2E71" w:rsidP="004D2E71">
      <w:pPr>
        <w:tabs>
          <w:tab w:val="left" w:pos="720"/>
          <w:tab w:val="left" w:pos="1440"/>
          <w:tab w:val="left" w:pos="2160"/>
          <w:tab w:val="left" w:pos="2880"/>
          <w:tab w:val="left" w:pos="3600"/>
          <w:tab w:val="center" w:pos="4513"/>
        </w:tabs>
        <w:spacing w:line="480" w:lineRule="auto"/>
        <w:ind w:left="1440" w:hanging="720"/>
        <w:jc w:val="both"/>
      </w:pPr>
      <w:r>
        <w:tab/>
      </w:r>
      <w:r w:rsidR="00B340F7">
        <w:t>The plastic joiners</w:t>
      </w:r>
      <w:r>
        <w:t xml:space="preserve"> </w:t>
      </w:r>
      <w:r w:rsidR="00342198">
        <w:t xml:space="preserve">are </w:t>
      </w:r>
      <w:r>
        <w:t>oval</w:t>
      </w:r>
      <w:r w:rsidR="00342198">
        <w:t xml:space="preserve"> in</w:t>
      </w:r>
      <w:r>
        <w:t xml:space="preserve"> design and the back hoop also has a similar design and feel to that of the plaintiff. It is therefore very similar to the plaintiff’s design.</w:t>
      </w:r>
      <w:r w:rsidR="0022392A">
        <w:t xml:space="preserve"> </w:t>
      </w:r>
      <w:r w:rsidR="007B614A">
        <w:t>T</w:t>
      </w:r>
      <w:r w:rsidR="0022392A">
        <w:t>here is no prior art to the sports bar design</w:t>
      </w:r>
      <w:r w:rsidR="007B614A">
        <w:t>.</w:t>
      </w:r>
    </w:p>
    <w:p w14:paraId="2DF1D98F" w14:textId="77777777" w:rsidR="00FB2783" w:rsidRDefault="00FB2783" w:rsidP="004D2E71">
      <w:pPr>
        <w:tabs>
          <w:tab w:val="left" w:pos="720"/>
          <w:tab w:val="left" w:pos="1440"/>
          <w:tab w:val="left" w:pos="2160"/>
          <w:tab w:val="left" w:pos="2880"/>
          <w:tab w:val="left" w:pos="3600"/>
          <w:tab w:val="center" w:pos="4513"/>
        </w:tabs>
        <w:spacing w:line="480" w:lineRule="auto"/>
        <w:ind w:left="1440" w:hanging="720"/>
        <w:jc w:val="both"/>
      </w:pPr>
    </w:p>
    <w:p w14:paraId="3E6E546E" w14:textId="76307861" w:rsidR="004D2E71" w:rsidRDefault="00980DAE" w:rsidP="004D2E71">
      <w:pPr>
        <w:tabs>
          <w:tab w:val="left" w:pos="720"/>
          <w:tab w:val="left" w:pos="1440"/>
          <w:tab w:val="left" w:pos="2160"/>
          <w:tab w:val="left" w:pos="2880"/>
          <w:tab w:val="left" w:pos="3600"/>
          <w:tab w:val="center" w:pos="4513"/>
        </w:tabs>
        <w:spacing w:line="480" w:lineRule="auto"/>
        <w:ind w:left="1440" w:hanging="720"/>
        <w:jc w:val="both"/>
        <w:rPr>
          <w:u w:val="single"/>
        </w:rPr>
      </w:pPr>
      <w:r>
        <w:t>36</w:t>
      </w:r>
      <w:r w:rsidR="004D2E71">
        <w:t>.3</w:t>
      </w:r>
      <w:r w:rsidR="004D2E71">
        <w:tab/>
      </w:r>
      <w:r w:rsidR="00DB1484">
        <w:rPr>
          <w:u w:val="single"/>
        </w:rPr>
        <w:t>Th</w:t>
      </w:r>
      <w:r w:rsidR="00075C74">
        <w:rPr>
          <w:u w:val="single"/>
        </w:rPr>
        <w:t>e MK2 design</w:t>
      </w:r>
    </w:p>
    <w:p w14:paraId="179E12EF" w14:textId="3F45A5CB" w:rsidR="00164781" w:rsidRPr="00164781" w:rsidRDefault="00164781" w:rsidP="004D2E71">
      <w:pPr>
        <w:tabs>
          <w:tab w:val="left" w:pos="720"/>
          <w:tab w:val="left" w:pos="1440"/>
          <w:tab w:val="left" w:pos="2160"/>
          <w:tab w:val="left" w:pos="2880"/>
          <w:tab w:val="left" w:pos="3600"/>
          <w:tab w:val="center" w:pos="4513"/>
        </w:tabs>
        <w:spacing w:line="480" w:lineRule="auto"/>
        <w:ind w:left="1440" w:hanging="720"/>
        <w:jc w:val="both"/>
        <w:rPr>
          <w:u w:val="single"/>
        </w:rPr>
      </w:pPr>
      <w:r>
        <w:tab/>
      </w:r>
      <w:r>
        <w:rPr>
          <w:u w:val="single"/>
        </w:rPr>
        <w:t>The Polygon sports bar</w:t>
      </w:r>
    </w:p>
    <w:p w14:paraId="1FC3CD90" w14:textId="60133EAE" w:rsidR="00075C74" w:rsidRDefault="00075C74" w:rsidP="004D2E71">
      <w:pPr>
        <w:tabs>
          <w:tab w:val="left" w:pos="720"/>
          <w:tab w:val="left" w:pos="1440"/>
          <w:tab w:val="left" w:pos="2160"/>
          <w:tab w:val="left" w:pos="2880"/>
          <w:tab w:val="left" w:pos="3600"/>
          <w:tab w:val="center" w:pos="4513"/>
        </w:tabs>
        <w:spacing w:line="480" w:lineRule="auto"/>
        <w:ind w:left="1440" w:hanging="720"/>
        <w:jc w:val="both"/>
      </w:pPr>
      <w:r>
        <w:tab/>
        <w:t>The front hoop looks very similar to the plaintiff’s design. The rear hoop resembles a double bend which houses the plastic joiners. The angles are generally fixed as there cannot be a gr</w:t>
      </w:r>
      <w:r w:rsidR="009F773C">
        <w:t>eat variation because otherwise the crossbar</w:t>
      </w:r>
      <w:r>
        <w:t xml:space="preserve"> won’t me</w:t>
      </w:r>
      <w:r w:rsidR="009F773C">
        <w:t>et up with the plastic joiners</w:t>
      </w:r>
      <w:r>
        <w:t>.</w:t>
      </w:r>
      <w:r w:rsidR="0022392A">
        <w:t xml:space="preserve"> The design is thus very similar to that of the plaintiff. The difference is that the defendant introduced a </w:t>
      </w:r>
      <w:r w:rsidR="00DB1484">
        <w:t>kink to the bottom cross-member.</w:t>
      </w:r>
    </w:p>
    <w:p w14:paraId="430A59DE" w14:textId="77777777" w:rsidR="00FB2783" w:rsidRDefault="00FB2783" w:rsidP="004D2E71">
      <w:pPr>
        <w:tabs>
          <w:tab w:val="left" w:pos="720"/>
          <w:tab w:val="left" w:pos="1440"/>
          <w:tab w:val="left" w:pos="2160"/>
          <w:tab w:val="left" w:pos="2880"/>
          <w:tab w:val="left" w:pos="3600"/>
          <w:tab w:val="center" w:pos="4513"/>
        </w:tabs>
        <w:spacing w:line="480" w:lineRule="auto"/>
        <w:ind w:left="1440" w:hanging="720"/>
        <w:jc w:val="both"/>
      </w:pPr>
    </w:p>
    <w:p w14:paraId="3233FE5E" w14:textId="0FB23790" w:rsidR="00FB2783" w:rsidRPr="00FB2783" w:rsidRDefault="00980DAE" w:rsidP="00FB2783">
      <w:pPr>
        <w:tabs>
          <w:tab w:val="left" w:pos="720"/>
          <w:tab w:val="left" w:pos="1440"/>
          <w:tab w:val="left" w:pos="2160"/>
          <w:tab w:val="left" w:pos="2880"/>
          <w:tab w:val="left" w:pos="3600"/>
          <w:tab w:val="center" w:pos="4513"/>
        </w:tabs>
        <w:spacing w:line="480" w:lineRule="auto"/>
        <w:ind w:left="1440" w:hanging="720"/>
        <w:jc w:val="both"/>
        <w:rPr>
          <w:u w:val="single"/>
        </w:rPr>
      </w:pPr>
      <w:r>
        <w:t>36</w:t>
      </w:r>
      <w:r w:rsidR="004647C0">
        <w:t>.</w:t>
      </w:r>
      <w:r w:rsidR="0022392A">
        <w:t>4</w:t>
      </w:r>
      <w:r w:rsidR="0022392A">
        <w:tab/>
      </w:r>
      <w:r w:rsidR="00DB1484">
        <w:rPr>
          <w:u w:val="single"/>
        </w:rPr>
        <w:t>T</w:t>
      </w:r>
      <w:r w:rsidR="0022392A">
        <w:rPr>
          <w:u w:val="single"/>
        </w:rPr>
        <w:t xml:space="preserve">he </w:t>
      </w:r>
      <w:r w:rsidR="00DB1484">
        <w:rPr>
          <w:u w:val="single"/>
        </w:rPr>
        <w:t>P</w:t>
      </w:r>
      <w:r w:rsidR="0022392A">
        <w:rPr>
          <w:u w:val="single"/>
        </w:rPr>
        <w:t>olygon nudge bar</w:t>
      </w:r>
    </w:p>
    <w:p w14:paraId="0494C72C" w14:textId="4866C72A" w:rsidR="0022392A" w:rsidRDefault="0022392A" w:rsidP="004D2E71">
      <w:pPr>
        <w:tabs>
          <w:tab w:val="left" w:pos="720"/>
          <w:tab w:val="left" w:pos="1440"/>
          <w:tab w:val="left" w:pos="2160"/>
          <w:tab w:val="left" w:pos="2880"/>
          <w:tab w:val="left" w:pos="3600"/>
          <w:tab w:val="center" w:pos="4513"/>
        </w:tabs>
        <w:spacing w:line="480" w:lineRule="auto"/>
        <w:ind w:left="1440" w:hanging="720"/>
        <w:jc w:val="both"/>
      </w:pPr>
      <w:r>
        <w:tab/>
        <w:t>It is important to look at the technical aspects and how the customer would view it</w:t>
      </w:r>
      <w:r w:rsidR="00DB1484">
        <w:t xml:space="preserve"> </w:t>
      </w:r>
      <w:r w:rsidR="008F7DED">
        <w:t xml:space="preserve">– a customer would be standing looking at it from above and </w:t>
      </w:r>
      <w:r>
        <w:t>a downward top ang</w:t>
      </w:r>
      <w:r w:rsidR="00DB1484">
        <w:t xml:space="preserve">le. This would cause </w:t>
      </w:r>
      <w:r>
        <w:t>the top cross</w:t>
      </w:r>
      <w:r w:rsidR="00DB1484">
        <w:t>bar to be</w:t>
      </w:r>
      <w:r>
        <w:t xml:space="preserve"> more visible than the bottom one. The hoop differs slightly. It is polygonal in shape and closed on all sides. The defendant</w:t>
      </w:r>
      <w:r w:rsidR="00DB1484">
        <w:t>’s design</w:t>
      </w:r>
      <w:r w:rsidR="008F7DED">
        <w:t xml:space="preserve"> also uses </w:t>
      </w:r>
      <w:r>
        <w:t>branding.</w:t>
      </w:r>
      <w:r w:rsidR="00DB1484">
        <w:t xml:space="preserve"> </w:t>
      </w:r>
      <w:r>
        <w:t>The bottom cross</w:t>
      </w:r>
      <w:r w:rsidR="007D0232">
        <w:t xml:space="preserve">bar </w:t>
      </w:r>
      <w:r>
        <w:t xml:space="preserve">looks broad in front, 3-sided and bends off at 90°. The defendant’s nudge bar has </w:t>
      </w:r>
      <w:r w:rsidR="007D0232">
        <w:t xml:space="preserve">5 surfaces and the plaintiff’s has </w:t>
      </w:r>
      <w:r>
        <w:t xml:space="preserve">6. However, in his opinion this is not enough to render the defendant’s design substantially different to that of the plaintiff </w:t>
      </w:r>
      <w:r w:rsidR="007D0232">
        <w:t>because of the typical view of the nudge bar.</w:t>
      </w:r>
    </w:p>
    <w:p w14:paraId="528DF8E3" w14:textId="54842FEF" w:rsidR="008307CB" w:rsidRDefault="008307CB" w:rsidP="008307CB">
      <w:pPr>
        <w:tabs>
          <w:tab w:val="left" w:pos="720"/>
          <w:tab w:val="left" w:pos="1440"/>
          <w:tab w:val="left" w:pos="2160"/>
          <w:tab w:val="left" w:pos="2880"/>
          <w:tab w:val="left" w:pos="3600"/>
          <w:tab w:val="center" w:pos="4513"/>
        </w:tabs>
        <w:spacing w:line="480" w:lineRule="auto"/>
        <w:ind w:left="720" w:hanging="720"/>
        <w:jc w:val="both"/>
      </w:pPr>
      <w:r>
        <w:lastRenderedPageBreak/>
        <w:t>3</w:t>
      </w:r>
      <w:r w:rsidR="00980DAE">
        <w:t>7</w:t>
      </w:r>
      <w:r>
        <w:t>]</w:t>
      </w:r>
      <w:r>
        <w:tab/>
        <w:t>Whilst Shilt conceded that, in general, the overall appearance of the nudge and sports bars are similar, their differences will lie in what he called the “distinct” features of the tubular frames of each. So, by adding bends and angles or varying the shape</w:t>
      </w:r>
      <w:r>
        <w:rPr>
          <w:rStyle w:val="FootnoteReference"/>
        </w:rPr>
        <w:footnoteReference w:id="30"/>
      </w:r>
      <w:r>
        <w:t xml:space="preserve"> and size of these or changing the position</w:t>
      </w:r>
      <w:r w:rsidR="007D0232">
        <w:t xml:space="preserve"> of the hoop of the crossbar</w:t>
      </w:r>
      <w:r>
        <w:t>, one design is distinguished from another to give it a “</w:t>
      </w:r>
      <w:r w:rsidRPr="008F7DED">
        <w:rPr>
          <w:i/>
        </w:rPr>
        <w:t>unique look, feel and identity</w:t>
      </w:r>
      <w:r w:rsidR="00F40904">
        <w:t>”. This</w:t>
      </w:r>
      <w:r>
        <w:t>, according to him, will influence a customer to choose one design over another.</w:t>
      </w:r>
    </w:p>
    <w:p w14:paraId="2729A31F" w14:textId="77777777" w:rsidR="00113321" w:rsidRDefault="00113321" w:rsidP="00980DAE">
      <w:pPr>
        <w:tabs>
          <w:tab w:val="left" w:pos="720"/>
          <w:tab w:val="left" w:pos="1440"/>
          <w:tab w:val="left" w:pos="2160"/>
          <w:tab w:val="left" w:pos="2880"/>
          <w:tab w:val="left" w:pos="3600"/>
          <w:tab w:val="center" w:pos="4513"/>
        </w:tabs>
        <w:spacing w:line="480" w:lineRule="auto"/>
        <w:jc w:val="both"/>
      </w:pPr>
    </w:p>
    <w:p w14:paraId="177A7B6D" w14:textId="074E745D" w:rsidR="00113321" w:rsidRDefault="004647C0" w:rsidP="008307CB">
      <w:pPr>
        <w:tabs>
          <w:tab w:val="left" w:pos="720"/>
          <w:tab w:val="left" w:pos="1440"/>
          <w:tab w:val="left" w:pos="2160"/>
          <w:tab w:val="left" w:pos="2880"/>
          <w:tab w:val="left" w:pos="3600"/>
          <w:tab w:val="center" w:pos="4513"/>
        </w:tabs>
        <w:spacing w:line="480" w:lineRule="auto"/>
        <w:ind w:left="720" w:hanging="720"/>
        <w:jc w:val="both"/>
      </w:pPr>
      <w:r>
        <w:t>3</w:t>
      </w:r>
      <w:r w:rsidR="00A267D4">
        <w:t>8</w:t>
      </w:r>
      <w:r>
        <w:t>]</w:t>
      </w:r>
      <w:r w:rsidR="00113321">
        <w:tab/>
        <w:t xml:space="preserve">According to him, the likely customer is a general member of the public who is either in the process of purchasing a vehicle from the dealership or who has a vehicle and wants to accessorize it with either a nudge bar or a sports bar or both. This customer has no extraordinary skills or attributes and would simply have seen these accessories fitted to a vehicle on the showroom floor, </w:t>
      </w:r>
      <w:r w:rsidR="00F40904">
        <w:t xml:space="preserve">to vehicles </w:t>
      </w:r>
      <w:r w:rsidR="00113321">
        <w:t>on the road or on advertisements. They would want an accessory that compliments or enhances the overall style, appearance and features of the vehicle.</w:t>
      </w:r>
      <w:r w:rsidR="00113321">
        <w:rPr>
          <w:rStyle w:val="FootnoteReference"/>
        </w:rPr>
        <w:footnoteReference w:id="31"/>
      </w:r>
    </w:p>
    <w:p w14:paraId="1DB085A7" w14:textId="77777777" w:rsidR="00610080" w:rsidRDefault="00610080" w:rsidP="008307CB">
      <w:pPr>
        <w:tabs>
          <w:tab w:val="left" w:pos="720"/>
          <w:tab w:val="left" w:pos="1440"/>
          <w:tab w:val="left" w:pos="2160"/>
          <w:tab w:val="left" w:pos="2880"/>
          <w:tab w:val="left" w:pos="3600"/>
          <w:tab w:val="center" w:pos="4513"/>
        </w:tabs>
        <w:spacing w:line="480" w:lineRule="auto"/>
        <w:ind w:left="720" w:hanging="720"/>
        <w:jc w:val="both"/>
      </w:pPr>
    </w:p>
    <w:p w14:paraId="65E74323" w14:textId="2C5B6F69" w:rsidR="00427E34" w:rsidRDefault="004C1F65" w:rsidP="008307CB">
      <w:pPr>
        <w:tabs>
          <w:tab w:val="left" w:pos="720"/>
          <w:tab w:val="left" w:pos="1440"/>
          <w:tab w:val="left" w:pos="2160"/>
          <w:tab w:val="left" w:pos="2880"/>
          <w:tab w:val="left" w:pos="3600"/>
          <w:tab w:val="center" w:pos="4513"/>
        </w:tabs>
        <w:spacing w:line="480" w:lineRule="auto"/>
        <w:ind w:left="720" w:hanging="720"/>
        <w:jc w:val="both"/>
      </w:pPr>
      <w:r>
        <w:t>39</w:t>
      </w:r>
      <w:r w:rsidR="00610080">
        <w:t>]</w:t>
      </w:r>
      <w:r w:rsidR="00610080">
        <w:tab/>
      </w:r>
      <w:r w:rsidR="00427E34">
        <w:t>In cross-exami</w:t>
      </w:r>
      <w:r w:rsidR="00EF0650">
        <w:t>nation it was put to Shilt,</w:t>
      </w:r>
      <w:r w:rsidR="008F7DED">
        <w:t xml:space="preserve"> and conceded by him, that:</w:t>
      </w:r>
    </w:p>
    <w:p w14:paraId="18041496" w14:textId="5B4E8F52" w:rsidR="00610080" w:rsidRDefault="004C1F65" w:rsidP="00427E34">
      <w:pPr>
        <w:tabs>
          <w:tab w:val="left" w:pos="720"/>
          <w:tab w:val="left" w:pos="1440"/>
          <w:tab w:val="left" w:pos="2160"/>
          <w:tab w:val="left" w:pos="2880"/>
          <w:tab w:val="left" w:pos="3600"/>
          <w:tab w:val="center" w:pos="4513"/>
        </w:tabs>
        <w:spacing w:line="480" w:lineRule="auto"/>
        <w:ind w:left="1440" w:hanging="1440"/>
        <w:jc w:val="both"/>
      </w:pPr>
      <w:r>
        <w:tab/>
        <w:t>39</w:t>
      </w:r>
      <w:r w:rsidR="00427E34">
        <w:t>.1</w:t>
      </w:r>
      <w:r w:rsidR="00427E34">
        <w:tab/>
        <w:t xml:space="preserve">the Isuzu front and back hoop of the </w:t>
      </w:r>
      <w:r w:rsidR="00F40904">
        <w:t>MK2</w:t>
      </w:r>
      <w:r w:rsidR="00427E34">
        <w:t xml:space="preserve"> are similar to the plaintiff’s registered design</w:t>
      </w:r>
      <w:r w:rsidR="00F40904">
        <w:t>;</w:t>
      </w:r>
    </w:p>
    <w:p w14:paraId="7F266938" w14:textId="77777777" w:rsidR="00FB2783" w:rsidRDefault="00FB2783" w:rsidP="00427E34">
      <w:pPr>
        <w:tabs>
          <w:tab w:val="left" w:pos="720"/>
          <w:tab w:val="left" w:pos="1440"/>
          <w:tab w:val="left" w:pos="2160"/>
          <w:tab w:val="left" w:pos="2880"/>
          <w:tab w:val="left" w:pos="3600"/>
          <w:tab w:val="center" w:pos="4513"/>
        </w:tabs>
        <w:spacing w:line="480" w:lineRule="auto"/>
        <w:ind w:left="1440" w:hanging="1440"/>
        <w:jc w:val="both"/>
      </w:pPr>
    </w:p>
    <w:p w14:paraId="532DB4D4" w14:textId="14295D14" w:rsidR="00113321" w:rsidRDefault="004C1F65" w:rsidP="00427E34">
      <w:pPr>
        <w:tabs>
          <w:tab w:val="left" w:pos="720"/>
          <w:tab w:val="left" w:pos="1440"/>
          <w:tab w:val="left" w:pos="2160"/>
          <w:tab w:val="left" w:pos="2880"/>
          <w:tab w:val="left" w:pos="3600"/>
          <w:tab w:val="center" w:pos="4513"/>
        </w:tabs>
        <w:spacing w:line="480" w:lineRule="auto"/>
        <w:ind w:left="1440" w:hanging="1440"/>
        <w:jc w:val="both"/>
      </w:pPr>
      <w:r>
        <w:tab/>
        <w:t>39</w:t>
      </w:r>
      <w:r w:rsidR="00427E34">
        <w:t>.2</w:t>
      </w:r>
      <w:r w:rsidR="00427E34">
        <w:tab/>
        <w:t xml:space="preserve">the frame tube used by the plaintiff has been </w:t>
      </w:r>
      <w:r w:rsidR="008F7DED">
        <w:t xml:space="preserve">in </w:t>
      </w:r>
      <w:r w:rsidR="00427E34">
        <w:t>use</w:t>
      </w:r>
      <w:r w:rsidR="008F7DED">
        <w:t xml:space="preserve"> since prior to the registration of the plaintiff’s</w:t>
      </w:r>
      <w:r w:rsidR="00427E34">
        <w:t xml:space="preserve"> designs;</w:t>
      </w:r>
    </w:p>
    <w:p w14:paraId="5CE87BA6" w14:textId="08A214B6" w:rsidR="00427E34" w:rsidRDefault="004C1F65" w:rsidP="00427E34">
      <w:pPr>
        <w:tabs>
          <w:tab w:val="left" w:pos="720"/>
          <w:tab w:val="left" w:pos="1440"/>
          <w:tab w:val="left" w:pos="2160"/>
          <w:tab w:val="left" w:pos="2880"/>
          <w:tab w:val="left" w:pos="3600"/>
          <w:tab w:val="center" w:pos="4513"/>
        </w:tabs>
        <w:spacing w:line="480" w:lineRule="auto"/>
        <w:ind w:left="1440" w:hanging="1440"/>
        <w:jc w:val="both"/>
      </w:pPr>
      <w:r>
        <w:lastRenderedPageBreak/>
        <w:tab/>
        <w:t>39</w:t>
      </w:r>
      <w:r w:rsidR="00427E34">
        <w:t>.3</w:t>
      </w:r>
      <w:r w:rsidR="00427E34">
        <w:tab/>
        <w:t>the brochure of the</w:t>
      </w:r>
      <w:r w:rsidR="00F40904">
        <w:t xml:space="preserve"> plaintiff’s 2015 nudge bar and </w:t>
      </w:r>
      <w:r w:rsidR="00427E34">
        <w:t>polygon nudge bar was released to the public in November 2015;</w:t>
      </w:r>
    </w:p>
    <w:p w14:paraId="7F9F85CC" w14:textId="77777777" w:rsidR="00FB2783" w:rsidRDefault="00FB2783" w:rsidP="00427E34">
      <w:pPr>
        <w:tabs>
          <w:tab w:val="left" w:pos="720"/>
          <w:tab w:val="left" w:pos="1440"/>
          <w:tab w:val="left" w:pos="2160"/>
          <w:tab w:val="left" w:pos="2880"/>
          <w:tab w:val="left" w:pos="3600"/>
          <w:tab w:val="center" w:pos="4513"/>
        </w:tabs>
        <w:spacing w:line="480" w:lineRule="auto"/>
        <w:ind w:left="1440" w:hanging="1440"/>
        <w:jc w:val="both"/>
      </w:pPr>
    </w:p>
    <w:p w14:paraId="5EECEEC8" w14:textId="452BB04D" w:rsidR="00427E34" w:rsidRDefault="004C1F65" w:rsidP="00427E34">
      <w:pPr>
        <w:tabs>
          <w:tab w:val="left" w:pos="720"/>
          <w:tab w:val="left" w:pos="1440"/>
          <w:tab w:val="left" w:pos="2160"/>
          <w:tab w:val="left" w:pos="2880"/>
          <w:tab w:val="left" w:pos="3600"/>
          <w:tab w:val="center" w:pos="4513"/>
        </w:tabs>
        <w:spacing w:line="480" w:lineRule="auto"/>
        <w:ind w:left="1440" w:hanging="1440"/>
        <w:jc w:val="both"/>
      </w:pPr>
      <w:r>
        <w:tab/>
        <w:t>39</w:t>
      </w:r>
      <w:r w:rsidR="00427E34">
        <w:t>.4</w:t>
      </w:r>
      <w:r w:rsidR="00427E34">
        <w:tab/>
        <w:t xml:space="preserve">the defendant’s </w:t>
      </w:r>
      <w:r w:rsidR="00F40904">
        <w:t xml:space="preserve">MK2 </w:t>
      </w:r>
      <w:r w:rsidR="00427E34">
        <w:t>sports bar design (made to fit the Isuzu bakkie) was released to the public in 2013;</w:t>
      </w:r>
    </w:p>
    <w:p w14:paraId="25DCD813" w14:textId="77777777" w:rsidR="00FB2783" w:rsidRDefault="004C1F65" w:rsidP="00427E34">
      <w:pPr>
        <w:tabs>
          <w:tab w:val="left" w:pos="720"/>
          <w:tab w:val="left" w:pos="1440"/>
          <w:tab w:val="left" w:pos="2160"/>
          <w:tab w:val="left" w:pos="2880"/>
          <w:tab w:val="left" w:pos="3600"/>
          <w:tab w:val="center" w:pos="4513"/>
        </w:tabs>
        <w:spacing w:line="480" w:lineRule="auto"/>
        <w:ind w:left="1440" w:hanging="1440"/>
        <w:jc w:val="both"/>
      </w:pPr>
      <w:r>
        <w:tab/>
      </w:r>
    </w:p>
    <w:p w14:paraId="7D7FCEBF" w14:textId="2F85EAF5" w:rsidR="00427E34" w:rsidRDefault="00FB2783" w:rsidP="00427E34">
      <w:pPr>
        <w:tabs>
          <w:tab w:val="left" w:pos="720"/>
          <w:tab w:val="left" w:pos="1440"/>
          <w:tab w:val="left" w:pos="2160"/>
          <w:tab w:val="left" w:pos="2880"/>
          <w:tab w:val="left" w:pos="3600"/>
          <w:tab w:val="center" w:pos="4513"/>
        </w:tabs>
        <w:spacing w:line="480" w:lineRule="auto"/>
        <w:ind w:left="1440" w:hanging="1440"/>
        <w:jc w:val="both"/>
      </w:pPr>
      <w:r>
        <w:tab/>
      </w:r>
      <w:r w:rsidR="004C1F65">
        <w:t>39</w:t>
      </w:r>
      <w:r w:rsidR="00427E34">
        <w:t>.4</w:t>
      </w:r>
      <w:r w:rsidR="00427E34">
        <w:tab/>
        <w:t xml:space="preserve">the plastic brackets of </w:t>
      </w:r>
      <w:r w:rsidR="00F40904">
        <w:t xml:space="preserve">defendant’s </w:t>
      </w:r>
      <w:r w:rsidR="00427E34">
        <w:t xml:space="preserve">Louvre sports bar design are not the same as those of </w:t>
      </w:r>
      <w:r w:rsidR="00F40904">
        <w:t>the plaintiff</w:t>
      </w:r>
      <w:r w:rsidR="00427E34">
        <w:t xml:space="preserve"> – </w:t>
      </w:r>
      <w:r w:rsidR="008F7DED">
        <w:t xml:space="preserve">the defendant’s </w:t>
      </w:r>
      <w:r w:rsidR="00427E34">
        <w:t>consist of separate brackets where they fit into the hoop and are not one combined piece; the bottom tube of the cross bar is also bent;</w:t>
      </w:r>
    </w:p>
    <w:p w14:paraId="3F9397A4" w14:textId="77777777" w:rsidR="00FB2783" w:rsidRDefault="004C1F65" w:rsidP="00427E34">
      <w:pPr>
        <w:tabs>
          <w:tab w:val="left" w:pos="720"/>
          <w:tab w:val="left" w:pos="1440"/>
          <w:tab w:val="left" w:pos="2160"/>
          <w:tab w:val="left" w:pos="2880"/>
          <w:tab w:val="left" w:pos="3600"/>
          <w:tab w:val="center" w:pos="4513"/>
        </w:tabs>
        <w:spacing w:line="480" w:lineRule="auto"/>
        <w:ind w:left="1440" w:hanging="1440"/>
        <w:jc w:val="both"/>
      </w:pPr>
      <w:r>
        <w:tab/>
      </w:r>
    </w:p>
    <w:p w14:paraId="70C3065C" w14:textId="0CDEC979" w:rsidR="00427E34" w:rsidRDefault="00FB2783" w:rsidP="00427E34">
      <w:pPr>
        <w:tabs>
          <w:tab w:val="left" w:pos="720"/>
          <w:tab w:val="left" w:pos="1440"/>
          <w:tab w:val="left" w:pos="2160"/>
          <w:tab w:val="left" w:pos="2880"/>
          <w:tab w:val="left" w:pos="3600"/>
          <w:tab w:val="center" w:pos="4513"/>
        </w:tabs>
        <w:spacing w:line="480" w:lineRule="auto"/>
        <w:ind w:left="1440" w:hanging="1440"/>
        <w:jc w:val="both"/>
      </w:pPr>
      <w:r>
        <w:tab/>
      </w:r>
      <w:r w:rsidR="004C1F65">
        <w:t>39</w:t>
      </w:r>
      <w:r w:rsidR="00427E34">
        <w:t>.5</w:t>
      </w:r>
      <w:r w:rsidR="00C350A6">
        <w:tab/>
        <w:t>this aspect (ie the crossbar of the Isuzu sports bar) does substantially differ;</w:t>
      </w:r>
    </w:p>
    <w:p w14:paraId="59E3E6CB" w14:textId="77777777" w:rsidR="00FB2783" w:rsidRDefault="004C1F65" w:rsidP="00427E34">
      <w:pPr>
        <w:tabs>
          <w:tab w:val="left" w:pos="720"/>
          <w:tab w:val="left" w:pos="1440"/>
          <w:tab w:val="left" w:pos="2160"/>
          <w:tab w:val="left" w:pos="2880"/>
          <w:tab w:val="left" w:pos="3600"/>
          <w:tab w:val="center" w:pos="4513"/>
        </w:tabs>
        <w:spacing w:line="480" w:lineRule="auto"/>
        <w:ind w:left="1440" w:hanging="1440"/>
        <w:jc w:val="both"/>
      </w:pPr>
      <w:r>
        <w:tab/>
      </w:r>
    </w:p>
    <w:p w14:paraId="5C66697C" w14:textId="593240FC" w:rsidR="00C350A6" w:rsidRDefault="00FB2783" w:rsidP="00427E34">
      <w:pPr>
        <w:tabs>
          <w:tab w:val="left" w:pos="720"/>
          <w:tab w:val="left" w:pos="1440"/>
          <w:tab w:val="left" w:pos="2160"/>
          <w:tab w:val="left" w:pos="2880"/>
          <w:tab w:val="left" w:pos="3600"/>
          <w:tab w:val="center" w:pos="4513"/>
        </w:tabs>
        <w:spacing w:line="480" w:lineRule="auto"/>
        <w:ind w:left="1440" w:hanging="1440"/>
        <w:jc w:val="both"/>
      </w:pPr>
      <w:r>
        <w:tab/>
      </w:r>
      <w:r w:rsidR="004C1F65">
        <w:t>39</w:t>
      </w:r>
      <w:r w:rsidR="00F40904">
        <w:t>.6</w:t>
      </w:r>
      <w:r w:rsidR="00F40904">
        <w:tab/>
        <w:t>that whilst the crossbars</w:t>
      </w:r>
      <w:r w:rsidR="00C350A6">
        <w:t xml:space="preserve"> of the </w:t>
      </w:r>
      <w:r w:rsidR="00F40904">
        <w:t xml:space="preserve">defendant’s </w:t>
      </w:r>
      <w:r w:rsidR="00C350A6">
        <w:t xml:space="preserve">Louvre sports bar are parallel, the front portions of </w:t>
      </w:r>
      <w:r w:rsidR="00F40904">
        <w:t xml:space="preserve">the plaintiffs </w:t>
      </w:r>
      <w:r w:rsidR="00C350A6">
        <w:t>are also and then</w:t>
      </w:r>
      <w:r w:rsidR="00C350A6">
        <w:rPr>
          <w:rStyle w:val="FootnoteReference"/>
        </w:rPr>
        <w:footnoteReference w:id="32"/>
      </w:r>
      <w:r w:rsidR="00C350A6">
        <w:t xml:space="preserve"> 1/3 way they curve downward and a further 1/3 after that they angle slightly down once more</w:t>
      </w:r>
      <w:r w:rsidR="00C350A6">
        <w:rPr>
          <w:rStyle w:val="FootnoteReference"/>
        </w:rPr>
        <w:footnoteReference w:id="33"/>
      </w:r>
      <w:r w:rsidR="00C350A6">
        <w:t>;</w:t>
      </w:r>
    </w:p>
    <w:p w14:paraId="77F3E939" w14:textId="77777777" w:rsidR="00FB2783" w:rsidRDefault="004C1F65" w:rsidP="00427E34">
      <w:pPr>
        <w:tabs>
          <w:tab w:val="left" w:pos="720"/>
          <w:tab w:val="left" w:pos="1440"/>
          <w:tab w:val="left" w:pos="2160"/>
          <w:tab w:val="left" w:pos="2880"/>
          <w:tab w:val="left" w:pos="3600"/>
          <w:tab w:val="center" w:pos="4513"/>
        </w:tabs>
        <w:spacing w:line="480" w:lineRule="auto"/>
        <w:ind w:left="1440" w:hanging="1440"/>
        <w:jc w:val="both"/>
      </w:pPr>
      <w:r>
        <w:tab/>
      </w:r>
    </w:p>
    <w:p w14:paraId="437EEBB5" w14:textId="3A11D154" w:rsidR="00C350A6" w:rsidRDefault="00FB2783" w:rsidP="00427E34">
      <w:pPr>
        <w:tabs>
          <w:tab w:val="left" w:pos="720"/>
          <w:tab w:val="left" w:pos="1440"/>
          <w:tab w:val="left" w:pos="2160"/>
          <w:tab w:val="left" w:pos="2880"/>
          <w:tab w:val="left" w:pos="3600"/>
          <w:tab w:val="center" w:pos="4513"/>
        </w:tabs>
        <w:spacing w:line="480" w:lineRule="auto"/>
        <w:ind w:left="1440" w:hanging="1440"/>
        <w:jc w:val="both"/>
      </w:pPr>
      <w:r>
        <w:tab/>
      </w:r>
      <w:r w:rsidR="004C1F65">
        <w:t>39</w:t>
      </w:r>
      <w:r w:rsidR="00F40904">
        <w:t>.7</w:t>
      </w:r>
      <w:r w:rsidR="00F40904">
        <w:tab/>
        <w:t>the cross</w:t>
      </w:r>
      <w:r w:rsidR="00C350A6">
        <w:t xml:space="preserve">bar of </w:t>
      </w:r>
      <w:r w:rsidR="00F40904">
        <w:t xml:space="preserve">plaintiff’s </w:t>
      </w:r>
      <w:r w:rsidR="00C350A6">
        <w:t>design are positioned close to each other to create a louvre effect and if the c</w:t>
      </w:r>
      <w:r w:rsidR="00F40904">
        <w:t>ustomer looks down on the cross</w:t>
      </w:r>
      <w:r w:rsidR="00C350A6">
        <w:t>bars the gap between them is not visible</w:t>
      </w:r>
      <w:r w:rsidR="00F40904">
        <w:t xml:space="preserve"> whilst the </w:t>
      </w:r>
      <w:r w:rsidR="00C350A6">
        <w:t xml:space="preserve">crossbars </w:t>
      </w:r>
      <w:r w:rsidR="00F40904">
        <w:t>fitted to the defendant’s louvre design are further apart</w:t>
      </w:r>
      <w:r w:rsidR="00C350A6">
        <w:t>;</w:t>
      </w:r>
    </w:p>
    <w:p w14:paraId="3DC96E69" w14:textId="42A9F824" w:rsidR="00C350A6" w:rsidRDefault="004C1F65" w:rsidP="00427E34">
      <w:pPr>
        <w:tabs>
          <w:tab w:val="left" w:pos="720"/>
          <w:tab w:val="left" w:pos="1440"/>
          <w:tab w:val="left" w:pos="2160"/>
          <w:tab w:val="left" w:pos="2880"/>
          <w:tab w:val="left" w:pos="3600"/>
          <w:tab w:val="center" w:pos="4513"/>
        </w:tabs>
        <w:spacing w:line="480" w:lineRule="auto"/>
        <w:ind w:left="1440" w:hanging="1440"/>
        <w:jc w:val="both"/>
      </w:pPr>
      <w:r>
        <w:lastRenderedPageBreak/>
        <w:tab/>
        <w:t>39</w:t>
      </w:r>
      <w:r w:rsidR="00C350A6">
        <w:t>.9</w:t>
      </w:r>
      <w:r w:rsidR="00C350A6">
        <w:tab/>
        <w:t xml:space="preserve">the Nissan Navara nudge bar design has a logo </w:t>
      </w:r>
      <w:r w:rsidR="00F40904">
        <w:t xml:space="preserve">etched into it </w:t>
      </w:r>
      <w:r w:rsidR="00C350A6">
        <w:t xml:space="preserve">and this has been done to match </w:t>
      </w:r>
      <w:r w:rsidR="00F40904">
        <w:t>the design on the grill – the plaintiff’s</w:t>
      </w:r>
      <w:r w:rsidR="00C350A6">
        <w:t xml:space="preserve"> design has no logo;</w:t>
      </w:r>
    </w:p>
    <w:p w14:paraId="58986692" w14:textId="77777777" w:rsidR="00FB2783" w:rsidRDefault="004C1F65" w:rsidP="00427E34">
      <w:pPr>
        <w:tabs>
          <w:tab w:val="left" w:pos="720"/>
          <w:tab w:val="left" w:pos="1440"/>
          <w:tab w:val="left" w:pos="2160"/>
          <w:tab w:val="left" w:pos="2880"/>
          <w:tab w:val="left" w:pos="3600"/>
          <w:tab w:val="center" w:pos="4513"/>
        </w:tabs>
        <w:spacing w:line="480" w:lineRule="auto"/>
        <w:ind w:left="1440" w:hanging="1440"/>
        <w:jc w:val="both"/>
      </w:pPr>
      <w:r>
        <w:tab/>
      </w:r>
    </w:p>
    <w:p w14:paraId="7F0DE635" w14:textId="4C1BE8E0" w:rsidR="00C350A6" w:rsidRDefault="00FB2783" w:rsidP="00427E34">
      <w:pPr>
        <w:tabs>
          <w:tab w:val="left" w:pos="720"/>
          <w:tab w:val="left" w:pos="1440"/>
          <w:tab w:val="left" w:pos="2160"/>
          <w:tab w:val="left" w:pos="2880"/>
          <w:tab w:val="left" w:pos="3600"/>
          <w:tab w:val="center" w:pos="4513"/>
        </w:tabs>
        <w:spacing w:line="480" w:lineRule="auto"/>
        <w:ind w:left="1440" w:hanging="1440"/>
        <w:jc w:val="both"/>
      </w:pPr>
      <w:r>
        <w:tab/>
      </w:r>
      <w:r w:rsidR="004C1F65">
        <w:t>39</w:t>
      </w:r>
      <w:r w:rsidR="00C350A6">
        <w:t>.10</w:t>
      </w:r>
      <w:r w:rsidR="00C350A6">
        <w:tab/>
        <w:t>the photo of the VW Amarok sports bar and nudge bar</w:t>
      </w:r>
      <w:r w:rsidR="00C350A6">
        <w:rPr>
          <w:rStyle w:val="FootnoteReference"/>
        </w:rPr>
        <w:footnoteReference w:id="34"/>
      </w:r>
      <w:r w:rsidR="00C350A6">
        <w:t xml:space="preserve"> - the shape of </w:t>
      </w:r>
      <w:r w:rsidR="00F40904">
        <w:t>the defendant’s design</w:t>
      </w:r>
      <w:r w:rsidR="00C350A6">
        <w:t xml:space="preserve"> is similar to </w:t>
      </w:r>
      <w:r w:rsidR="00F40904">
        <w:t xml:space="preserve">plaintiff’s </w:t>
      </w:r>
      <w:r w:rsidR="00C350A6">
        <w:t xml:space="preserve">registered design and </w:t>
      </w:r>
      <w:r w:rsidR="00F40904">
        <w:t xml:space="preserve"> these </w:t>
      </w:r>
      <w:r w:rsidR="00C350A6">
        <w:t>were already available in 2010;</w:t>
      </w:r>
    </w:p>
    <w:p w14:paraId="65C1AF51" w14:textId="77777777" w:rsidR="00FB2783" w:rsidRDefault="004C1F65" w:rsidP="00427E34">
      <w:pPr>
        <w:tabs>
          <w:tab w:val="left" w:pos="720"/>
          <w:tab w:val="left" w:pos="1440"/>
          <w:tab w:val="left" w:pos="2160"/>
          <w:tab w:val="left" w:pos="2880"/>
          <w:tab w:val="left" w:pos="3600"/>
          <w:tab w:val="center" w:pos="4513"/>
        </w:tabs>
        <w:spacing w:line="480" w:lineRule="auto"/>
        <w:ind w:left="1440" w:hanging="1440"/>
        <w:jc w:val="both"/>
      </w:pPr>
      <w:r>
        <w:tab/>
      </w:r>
    </w:p>
    <w:p w14:paraId="17CA6216" w14:textId="1EF55BBF" w:rsidR="00C350A6" w:rsidRDefault="00FB2783" w:rsidP="00427E34">
      <w:pPr>
        <w:tabs>
          <w:tab w:val="left" w:pos="720"/>
          <w:tab w:val="left" w:pos="1440"/>
          <w:tab w:val="left" w:pos="2160"/>
          <w:tab w:val="left" w:pos="2880"/>
          <w:tab w:val="left" w:pos="3600"/>
          <w:tab w:val="center" w:pos="4513"/>
        </w:tabs>
        <w:spacing w:line="480" w:lineRule="auto"/>
        <w:ind w:left="1440" w:hanging="1440"/>
        <w:jc w:val="both"/>
      </w:pPr>
      <w:r>
        <w:tab/>
      </w:r>
      <w:r w:rsidR="004C1F65">
        <w:t>39</w:t>
      </w:r>
      <w:r w:rsidR="00C350A6">
        <w:t>.11</w:t>
      </w:r>
      <w:r w:rsidR="00C350A6">
        <w:tab/>
      </w:r>
      <w:r w:rsidR="009C4517">
        <w:t xml:space="preserve">as to the shape of the nudge bar: it consists of a hoop, round tubular design and </w:t>
      </w:r>
      <w:r w:rsidR="00F40904">
        <w:t>m</w:t>
      </w:r>
      <w:r w:rsidR="009C4517">
        <w:t xml:space="preserve">ounts on the front of the vehicle – </w:t>
      </w:r>
      <w:r w:rsidR="00F40904">
        <w:t>the defendant’s</w:t>
      </w:r>
      <w:r w:rsidR="009C4517">
        <w:t xml:space="preserve"> nudge bar has spotlights attached to the </w:t>
      </w:r>
      <w:r w:rsidR="00F40904">
        <w:t>crossbar and the surface where these</w:t>
      </w:r>
      <w:r w:rsidR="009C4517">
        <w:t xml:space="preserve"> are attached is flat;</w:t>
      </w:r>
    </w:p>
    <w:p w14:paraId="45CD6921" w14:textId="77777777" w:rsidR="00FB2783" w:rsidRDefault="004C1F65" w:rsidP="00427E34">
      <w:pPr>
        <w:tabs>
          <w:tab w:val="left" w:pos="720"/>
          <w:tab w:val="left" w:pos="1440"/>
          <w:tab w:val="left" w:pos="2160"/>
          <w:tab w:val="left" w:pos="2880"/>
          <w:tab w:val="left" w:pos="3600"/>
          <w:tab w:val="center" w:pos="4513"/>
        </w:tabs>
        <w:spacing w:line="480" w:lineRule="auto"/>
        <w:ind w:left="1440" w:hanging="1440"/>
        <w:jc w:val="both"/>
      </w:pPr>
      <w:r>
        <w:tab/>
      </w:r>
    </w:p>
    <w:p w14:paraId="2AFC5347" w14:textId="62E7ABC9" w:rsidR="00EF2C61" w:rsidRDefault="00FB2783" w:rsidP="00427E34">
      <w:pPr>
        <w:tabs>
          <w:tab w:val="left" w:pos="720"/>
          <w:tab w:val="left" w:pos="1440"/>
          <w:tab w:val="left" w:pos="2160"/>
          <w:tab w:val="left" w:pos="2880"/>
          <w:tab w:val="left" w:pos="3600"/>
          <w:tab w:val="center" w:pos="4513"/>
        </w:tabs>
        <w:spacing w:line="480" w:lineRule="auto"/>
        <w:ind w:left="1440" w:hanging="1440"/>
        <w:jc w:val="both"/>
      </w:pPr>
      <w:r>
        <w:tab/>
      </w:r>
      <w:r w:rsidR="004C1F65">
        <w:t>39</w:t>
      </w:r>
      <w:r w:rsidR="00EF2C61">
        <w:t>.12</w:t>
      </w:r>
      <w:r w:rsidR="00EF2C61">
        <w:tab/>
        <w:t>the P</w:t>
      </w:r>
      <w:r w:rsidR="009C4517">
        <w:t xml:space="preserve">olygon </w:t>
      </w:r>
      <w:r w:rsidR="00EF2C61">
        <w:t>designs of the parties can also be differentiated:</w:t>
      </w:r>
    </w:p>
    <w:p w14:paraId="418CB805" w14:textId="44F573CA" w:rsidR="009C4517" w:rsidRDefault="00EF2C61" w:rsidP="00EF2C61">
      <w:pPr>
        <w:tabs>
          <w:tab w:val="left" w:pos="720"/>
          <w:tab w:val="left" w:pos="1440"/>
          <w:tab w:val="left" w:pos="2160"/>
          <w:tab w:val="left" w:pos="2880"/>
          <w:tab w:val="left" w:pos="3600"/>
          <w:tab w:val="center" w:pos="4513"/>
        </w:tabs>
        <w:spacing w:line="480" w:lineRule="auto"/>
        <w:ind w:left="2880" w:hanging="2880"/>
        <w:jc w:val="both"/>
      </w:pPr>
      <w:r>
        <w:tab/>
      </w:r>
      <w:r>
        <w:tab/>
      </w:r>
      <w:r w:rsidR="004C1F65">
        <w:t>39</w:t>
      </w:r>
      <w:r w:rsidR="009C4517">
        <w:t>.12.1</w:t>
      </w:r>
      <w:r w:rsidR="009C4517">
        <w:tab/>
      </w:r>
      <w:r>
        <w:t xml:space="preserve">the plaintiff’s sports bar </w:t>
      </w:r>
      <w:r w:rsidR="009C4517">
        <w:t>design has 6 sides</w:t>
      </w:r>
      <w:r>
        <w:t xml:space="preserve"> whereas the defendant’s has</w:t>
      </w:r>
      <w:r w:rsidR="009C4517">
        <w:t xml:space="preserve"> 5 sides;</w:t>
      </w:r>
    </w:p>
    <w:p w14:paraId="29CA3437" w14:textId="0A36D084" w:rsidR="009C4517" w:rsidRDefault="004C1F65" w:rsidP="009C4517">
      <w:pPr>
        <w:tabs>
          <w:tab w:val="left" w:pos="720"/>
          <w:tab w:val="left" w:pos="1440"/>
          <w:tab w:val="left" w:pos="2160"/>
          <w:tab w:val="left" w:pos="2880"/>
          <w:tab w:val="left" w:pos="3600"/>
          <w:tab w:val="center" w:pos="4513"/>
        </w:tabs>
        <w:spacing w:line="480" w:lineRule="auto"/>
        <w:ind w:left="2880" w:hanging="2880"/>
        <w:jc w:val="both"/>
      </w:pPr>
      <w:r>
        <w:tab/>
      </w:r>
      <w:r>
        <w:tab/>
        <w:t>39</w:t>
      </w:r>
      <w:r w:rsidR="009C4517">
        <w:t>.12.2</w:t>
      </w:r>
      <w:r w:rsidR="009C4517">
        <w:tab/>
        <w:t>the mounting br</w:t>
      </w:r>
      <w:r w:rsidR="00EF2C61">
        <w:t>ackets used to secure the cross</w:t>
      </w:r>
      <w:r w:rsidR="009C4517">
        <w:t>bar bracket</w:t>
      </w:r>
      <w:r w:rsidR="00EF2C61">
        <w:t>s also differ as the plaintiff’s design</w:t>
      </w:r>
      <w:r w:rsidR="009C4517">
        <w:t xml:space="preserve"> con</w:t>
      </w:r>
      <w:r w:rsidR="00EF2C61">
        <w:t>forms to the shape of the crossbar</w:t>
      </w:r>
      <w:r w:rsidR="00EF2C61">
        <w:rPr>
          <w:rStyle w:val="FootnoteReference"/>
        </w:rPr>
        <w:footnoteReference w:id="35"/>
      </w:r>
      <w:r w:rsidR="00EF2C61">
        <w:t>;</w:t>
      </w:r>
      <w:r w:rsidR="009C4517">
        <w:t xml:space="preserve"> </w:t>
      </w:r>
      <w:r w:rsidR="00EF2C61">
        <w:t>the defendant’s</w:t>
      </w:r>
      <w:r w:rsidR="009C4517">
        <w:t xml:space="preserve"> design has an outer angled face;</w:t>
      </w:r>
    </w:p>
    <w:p w14:paraId="6CB630BB" w14:textId="77777777" w:rsidR="00FB2783" w:rsidRDefault="008451C5" w:rsidP="008451C5">
      <w:pPr>
        <w:tabs>
          <w:tab w:val="left" w:pos="720"/>
          <w:tab w:val="left" w:pos="1440"/>
          <w:tab w:val="left" w:pos="2160"/>
          <w:tab w:val="left" w:pos="2880"/>
          <w:tab w:val="left" w:pos="3600"/>
          <w:tab w:val="center" w:pos="4513"/>
        </w:tabs>
        <w:spacing w:line="480" w:lineRule="auto"/>
        <w:ind w:left="1440" w:hanging="1440"/>
        <w:jc w:val="both"/>
      </w:pPr>
      <w:r>
        <w:tab/>
      </w:r>
    </w:p>
    <w:p w14:paraId="091B604D" w14:textId="3CE00875" w:rsidR="009C4517" w:rsidRDefault="00FB2783" w:rsidP="008451C5">
      <w:pPr>
        <w:tabs>
          <w:tab w:val="left" w:pos="720"/>
          <w:tab w:val="left" w:pos="1440"/>
          <w:tab w:val="left" w:pos="2160"/>
          <w:tab w:val="left" w:pos="2880"/>
          <w:tab w:val="left" w:pos="3600"/>
          <w:tab w:val="center" w:pos="4513"/>
        </w:tabs>
        <w:spacing w:line="480" w:lineRule="auto"/>
        <w:ind w:left="1440" w:hanging="1440"/>
        <w:jc w:val="both"/>
      </w:pPr>
      <w:r>
        <w:tab/>
      </w:r>
      <w:r w:rsidR="004C1F65">
        <w:t>39</w:t>
      </w:r>
      <w:r w:rsidR="008451C5">
        <w:t>.13</w:t>
      </w:r>
      <w:r w:rsidR="008451C5">
        <w:tab/>
      </w:r>
      <w:r w:rsidR="009C4517">
        <w:t>the o</w:t>
      </w:r>
      <w:r w:rsidR="00264ACF">
        <w:t>verall appearance of the P</w:t>
      </w:r>
      <w:r w:rsidR="009C4517">
        <w:t>olygon sports bar appears different to the Louvre design;</w:t>
      </w:r>
    </w:p>
    <w:p w14:paraId="755A6BE7" w14:textId="0FDCD2A7" w:rsidR="009C4517" w:rsidRDefault="008451C5" w:rsidP="008451C5">
      <w:pPr>
        <w:tabs>
          <w:tab w:val="left" w:pos="720"/>
          <w:tab w:val="left" w:pos="1440"/>
          <w:tab w:val="left" w:pos="2160"/>
          <w:tab w:val="left" w:pos="2880"/>
          <w:tab w:val="left" w:pos="3600"/>
          <w:tab w:val="center" w:pos="4513"/>
        </w:tabs>
        <w:spacing w:line="480" w:lineRule="auto"/>
        <w:ind w:left="1440" w:hanging="1440"/>
        <w:jc w:val="both"/>
      </w:pPr>
      <w:r>
        <w:lastRenderedPageBreak/>
        <w:tab/>
      </w:r>
      <w:r w:rsidR="004C1F65">
        <w:t>39</w:t>
      </w:r>
      <w:r w:rsidR="009C4517" w:rsidRPr="00D104CF">
        <w:t>.14</w:t>
      </w:r>
      <w:r w:rsidR="009C4517" w:rsidRPr="00D104CF">
        <w:tab/>
        <w:t>the mounting brackets used to attach the nudge bar and sports bar have o</w:t>
      </w:r>
      <w:r w:rsidR="00B772B6" w:rsidRPr="00D104CF">
        <w:t>nly undergone small changes since</w:t>
      </w:r>
      <w:r w:rsidR="009C4517" w:rsidRPr="00D104CF">
        <w:t xml:space="preserve"> 2</w:t>
      </w:r>
      <w:r w:rsidR="00B772B6" w:rsidRPr="00D104CF">
        <w:t>012</w:t>
      </w:r>
      <w:r w:rsidR="00D104CF" w:rsidRPr="00D104CF">
        <w:t xml:space="preserve">. Specifically, the mounting brackets attaching the nudge bar to the chassis were previously attached </w:t>
      </w:r>
      <w:r w:rsidR="00A06A57">
        <w:t xml:space="preserve">through the grill, </w:t>
      </w:r>
      <w:r w:rsidR="00D104CF" w:rsidRPr="00D104CF">
        <w:t>but the new design introduced a 30° bend to the hoop to accommodate where the brackets attach to the grill</w:t>
      </w:r>
      <w:r w:rsidR="00D104CF">
        <w:t>.</w:t>
      </w:r>
    </w:p>
    <w:p w14:paraId="7BD48878" w14:textId="77777777" w:rsidR="00945822" w:rsidRDefault="00945822" w:rsidP="008F7DED">
      <w:pPr>
        <w:tabs>
          <w:tab w:val="left" w:pos="720"/>
          <w:tab w:val="left" w:pos="1440"/>
          <w:tab w:val="left" w:pos="2160"/>
          <w:tab w:val="left" w:pos="2880"/>
          <w:tab w:val="left" w:pos="3600"/>
          <w:tab w:val="center" w:pos="4513"/>
        </w:tabs>
        <w:spacing w:line="480" w:lineRule="auto"/>
        <w:jc w:val="both"/>
      </w:pPr>
    </w:p>
    <w:p w14:paraId="288535EB" w14:textId="3B99E7EF" w:rsidR="008F7DED" w:rsidRDefault="008F7DED" w:rsidP="008F7DED">
      <w:pPr>
        <w:tabs>
          <w:tab w:val="left" w:pos="720"/>
          <w:tab w:val="left" w:pos="1440"/>
          <w:tab w:val="left" w:pos="2160"/>
          <w:tab w:val="left" w:pos="2880"/>
          <w:tab w:val="left" w:pos="3600"/>
          <w:tab w:val="center" w:pos="4513"/>
        </w:tabs>
        <w:spacing w:line="480" w:lineRule="auto"/>
        <w:ind w:left="720" w:hanging="720"/>
        <w:jc w:val="both"/>
      </w:pPr>
      <w:r>
        <w:t>4</w:t>
      </w:r>
      <w:r w:rsidR="004C1F65">
        <w:t>0</w:t>
      </w:r>
      <w:r>
        <w:t>]</w:t>
      </w:r>
      <w:r>
        <w:tab/>
        <w:t>Whilst the above was conceded by Shilt, his evidence was that one cannot look in isolation at each individual component – the design as a whole must be considered</w:t>
      </w:r>
      <w:r>
        <w:rPr>
          <w:rStyle w:val="FootnoteReference"/>
        </w:rPr>
        <w:footnoteReference w:id="36"/>
      </w:r>
      <w:r>
        <w:t xml:space="preserve">. If one does that, as a customer would, the differences between plaintiff’s and defendant’s designs are negligible. </w:t>
      </w:r>
      <w:r w:rsidR="006E53DB">
        <w:t>The import of his evidence was also that</w:t>
      </w:r>
      <w:r>
        <w:t xml:space="preserve"> whilst there are similarities in the design of the hoops prior to and after 2015, the changes to the shape, width, height and positioning of it as a whole</w:t>
      </w:r>
      <w:r w:rsidR="006E53DB">
        <w:t xml:space="preserve">, </w:t>
      </w:r>
      <w:r>
        <w:t>together with the rest of the design</w:t>
      </w:r>
      <w:r w:rsidR="006E53DB">
        <w:t>,</w:t>
      </w:r>
      <w:r>
        <w:t xml:space="preserve"> distinguish it from the prior art.</w:t>
      </w:r>
    </w:p>
    <w:p w14:paraId="1556C7CA" w14:textId="77777777" w:rsidR="008F7DED" w:rsidRDefault="008F7DED" w:rsidP="008F7DED">
      <w:pPr>
        <w:tabs>
          <w:tab w:val="left" w:pos="720"/>
          <w:tab w:val="left" w:pos="1440"/>
          <w:tab w:val="left" w:pos="2160"/>
          <w:tab w:val="left" w:pos="2880"/>
          <w:tab w:val="left" w:pos="3600"/>
          <w:tab w:val="center" w:pos="4513"/>
        </w:tabs>
        <w:spacing w:line="480" w:lineRule="auto"/>
        <w:jc w:val="both"/>
      </w:pPr>
    </w:p>
    <w:p w14:paraId="4C64C9A6" w14:textId="75C576B7" w:rsidR="00C350A6" w:rsidRDefault="00945822" w:rsidP="008451C5">
      <w:pPr>
        <w:tabs>
          <w:tab w:val="left" w:pos="720"/>
          <w:tab w:val="left" w:pos="1440"/>
          <w:tab w:val="left" w:pos="2160"/>
          <w:tab w:val="left" w:pos="2880"/>
          <w:tab w:val="left" w:pos="3600"/>
          <w:tab w:val="center" w:pos="4513"/>
        </w:tabs>
        <w:spacing w:line="480" w:lineRule="auto"/>
        <w:ind w:left="720" w:hanging="720"/>
        <w:jc w:val="both"/>
      </w:pPr>
      <w:r>
        <w:t>4</w:t>
      </w:r>
      <w:r w:rsidR="004C1F65">
        <w:t>1</w:t>
      </w:r>
      <w:r>
        <w:t>]</w:t>
      </w:r>
      <w:r>
        <w:tab/>
      </w:r>
      <w:r w:rsidR="008451C5">
        <w:t xml:space="preserve">In </w:t>
      </w:r>
      <w:r>
        <w:t>re-examination, it was pointed out that</w:t>
      </w:r>
      <w:r w:rsidR="00A06A57" w:rsidRPr="00A06A57">
        <w:t xml:space="preserve"> </w:t>
      </w:r>
      <w:r w:rsidR="00A06A57">
        <w:t>when viewed holistically</w:t>
      </w:r>
      <w:r>
        <w:t xml:space="preserve"> none of the designs used</w:t>
      </w:r>
      <w:r>
        <w:tab/>
      </w:r>
      <w:r w:rsidR="008451C5">
        <w:t xml:space="preserve">by Mr Ferreira </w:t>
      </w:r>
      <w:r>
        <w:t xml:space="preserve">in cross- </w:t>
      </w:r>
      <w:r w:rsidR="008451C5">
        <w:t xml:space="preserve">examination to demonstrate the prior art, </w:t>
      </w:r>
      <w:r>
        <w:t>resemble plaintiff’s design.</w:t>
      </w:r>
    </w:p>
    <w:p w14:paraId="78DA52BB" w14:textId="77777777" w:rsidR="00BE4958" w:rsidRDefault="00BE4958" w:rsidP="00427E34">
      <w:pPr>
        <w:tabs>
          <w:tab w:val="left" w:pos="720"/>
          <w:tab w:val="left" w:pos="1440"/>
          <w:tab w:val="left" w:pos="2160"/>
          <w:tab w:val="left" w:pos="2880"/>
          <w:tab w:val="left" w:pos="3600"/>
          <w:tab w:val="center" w:pos="4513"/>
        </w:tabs>
        <w:spacing w:line="480" w:lineRule="auto"/>
        <w:ind w:left="1440" w:hanging="1440"/>
        <w:jc w:val="both"/>
      </w:pPr>
    </w:p>
    <w:p w14:paraId="5360D6C2" w14:textId="43AF85C4" w:rsidR="00BE4958" w:rsidRDefault="004C1F65" w:rsidP="00BE4958">
      <w:pPr>
        <w:tabs>
          <w:tab w:val="left" w:pos="720"/>
          <w:tab w:val="left" w:pos="1440"/>
          <w:tab w:val="left" w:pos="2160"/>
          <w:tab w:val="left" w:pos="2880"/>
          <w:tab w:val="left" w:pos="3600"/>
          <w:tab w:val="center" w:pos="4513"/>
        </w:tabs>
        <w:spacing w:line="480" w:lineRule="auto"/>
        <w:ind w:left="720" w:hanging="720"/>
        <w:jc w:val="both"/>
      </w:pPr>
      <w:r>
        <w:t>42</w:t>
      </w:r>
      <w:r w:rsidR="00BE4958">
        <w:t>]</w:t>
      </w:r>
      <w:r w:rsidR="00BE4958">
        <w:tab/>
        <w:t xml:space="preserve">Mr Shilt impressed me as a witness. He was candid and made the necessary concessions where he needed to, as for example the concession regarding the similarity in the hoop designs </w:t>
      </w:r>
      <w:r w:rsidR="008451C5">
        <w:t>which impacts on the</w:t>
      </w:r>
      <w:r w:rsidR="00BE4958">
        <w:t xml:space="preserve"> issue of the prior art. He is also clearly very knowledgeable in his area of expertise and his evidence was not shaken in cross-examination.</w:t>
      </w:r>
    </w:p>
    <w:p w14:paraId="451BC54A" w14:textId="77777777" w:rsidR="00BE4958" w:rsidRPr="00A717E0" w:rsidRDefault="00BE4958" w:rsidP="00BE4958">
      <w:pPr>
        <w:tabs>
          <w:tab w:val="left" w:pos="720"/>
          <w:tab w:val="left" w:pos="1440"/>
          <w:tab w:val="left" w:pos="2160"/>
          <w:tab w:val="left" w:pos="2880"/>
          <w:tab w:val="left" w:pos="3600"/>
          <w:tab w:val="center" w:pos="4513"/>
        </w:tabs>
        <w:spacing w:line="480" w:lineRule="auto"/>
        <w:jc w:val="both"/>
      </w:pPr>
    </w:p>
    <w:p w14:paraId="23DA2B06" w14:textId="49A18F2D" w:rsidR="00113321" w:rsidRDefault="00945822" w:rsidP="008307CB">
      <w:pPr>
        <w:tabs>
          <w:tab w:val="left" w:pos="720"/>
          <w:tab w:val="left" w:pos="1440"/>
          <w:tab w:val="left" w:pos="2160"/>
          <w:tab w:val="left" w:pos="2880"/>
          <w:tab w:val="left" w:pos="3600"/>
          <w:tab w:val="center" w:pos="4513"/>
        </w:tabs>
        <w:spacing w:line="480" w:lineRule="auto"/>
        <w:ind w:left="720" w:hanging="720"/>
        <w:jc w:val="both"/>
      </w:pPr>
      <w:r>
        <w:rPr>
          <w:b/>
          <w:u w:val="single"/>
        </w:rPr>
        <w:lastRenderedPageBreak/>
        <w:t>Mr Carl William Engelbrecht</w:t>
      </w:r>
    </w:p>
    <w:p w14:paraId="55FE7F7F" w14:textId="32EFB8C4" w:rsidR="00945822" w:rsidRDefault="0038221C" w:rsidP="008307CB">
      <w:pPr>
        <w:tabs>
          <w:tab w:val="left" w:pos="720"/>
          <w:tab w:val="left" w:pos="1440"/>
          <w:tab w:val="left" w:pos="2160"/>
          <w:tab w:val="left" w:pos="2880"/>
          <w:tab w:val="left" w:pos="3600"/>
          <w:tab w:val="center" w:pos="4513"/>
        </w:tabs>
        <w:spacing w:line="480" w:lineRule="auto"/>
        <w:ind w:left="720" w:hanging="720"/>
        <w:jc w:val="both"/>
      </w:pPr>
      <w:r>
        <w:t>4</w:t>
      </w:r>
      <w:r w:rsidR="004C1F65">
        <w:t>3</w:t>
      </w:r>
      <w:r w:rsidR="00945822">
        <w:t>]</w:t>
      </w:r>
      <w:r w:rsidR="00945822">
        <w:tab/>
        <w:t xml:space="preserve">He was called by </w:t>
      </w:r>
      <w:r w:rsidR="00264ACF">
        <w:t>the defendant</w:t>
      </w:r>
      <w:r w:rsidR="00945822">
        <w:t xml:space="preserve"> as </w:t>
      </w:r>
      <w:r w:rsidR="00B772B6">
        <w:t xml:space="preserve">both </w:t>
      </w:r>
      <w:r w:rsidR="00945822">
        <w:t>an expert and a factual witness and there was no objection to his expertise.</w:t>
      </w:r>
    </w:p>
    <w:p w14:paraId="14894B0A" w14:textId="77777777" w:rsidR="00945822" w:rsidRDefault="00945822" w:rsidP="008307CB">
      <w:pPr>
        <w:tabs>
          <w:tab w:val="left" w:pos="720"/>
          <w:tab w:val="left" w:pos="1440"/>
          <w:tab w:val="left" w:pos="2160"/>
          <w:tab w:val="left" w:pos="2880"/>
          <w:tab w:val="left" w:pos="3600"/>
          <w:tab w:val="center" w:pos="4513"/>
        </w:tabs>
        <w:spacing w:line="480" w:lineRule="auto"/>
        <w:ind w:left="720" w:hanging="720"/>
        <w:jc w:val="both"/>
      </w:pPr>
    </w:p>
    <w:p w14:paraId="7F380856" w14:textId="7A86B73B" w:rsidR="00945822" w:rsidRDefault="004C1F65" w:rsidP="008307CB">
      <w:pPr>
        <w:tabs>
          <w:tab w:val="left" w:pos="720"/>
          <w:tab w:val="left" w:pos="1440"/>
          <w:tab w:val="left" w:pos="2160"/>
          <w:tab w:val="left" w:pos="2880"/>
          <w:tab w:val="left" w:pos="3600"/>
          <w:tab w:val="center" w:pos="4513"/>
        </w:tabs>
        <w:spacing w:line="480" w:lineRule="auto"/>
        <w:ind w:left="720" w:hanging="720"/>
        <w:jc w:val="both"/>
      </w:pPr>
      <w:r>
        <w:t>44</w:t>
      </w:r>
      <w:r w:rsidR="00945822">
        <w:t>]</w:t>
      </w:r>
      <w:r w:rsidR="00945822">
        <w:tab/>
        <w:t>He is the CEO of Artav and he oversees the company</w:t>
      </w:r>
      <w:r w:rsidR="00481847">
        <w:t>.</w:t>
      </w:r>
      <w:r w:rsidR="00945822">
        <w:t xml:space="preserve"> He has been in the </w:t>
      </w:r>
      <w:r w:rsidR="00481847">
        <w:t xml:space="preserve">industry for 23 years. As stated, he and his brother (Anton) founded </w:t>
      </w:r>
      <w:r w:rsidR="00264ACF">
        <w:t>the plaintiff</w:t>
      </w:r>
      <w:r w:rsidR="00481847">
        <w:t>.</w:t>
      </w:r>
    </w:p>
    <w:p w14:paraId="678AFEF1" w14:textId="77777777" w:rsidR="00481847" w:rsidRDefault="00481847" w:rsidP="008307CB">
      <w:pPr>
        <w:tabs>
          <w:tab w:val="left" w:pos="720"/>
          <w:tab w:val="left" w:pos="1440"/>
          <w:tab w:val="left" w:pos="2160"/>
          <w:tab w:val="left" w:pos="2880"/>
          <w:tab w:val="left" w:pos="3600"/>
          <w:tab w:val="center" w:pos="4513"/>
        </w:tabs>
        <w:spacing w:line="480" w:lineRule="auto"/>
        <w:ind w:left="720" w:hanging="720"/>
        <w:jc w:val="both"/>
      </w:pPr>
    </w:p>
    <w:p w14:paraId="2F5BD2CA" w14:textId="61D0A9AE" w:rsidR="00481847" w:rsidRDefault="004C1F65" w:rsidP="008307CB">
      <w:pPr>
        <w:tabs>
          <w:tab w:val="left" w:pos="720"/>
          <w:tab w:val="left" w:pos="1440"/>
          <w:tab w:val="left" w:pos="2160"/>
          <w:tab w:val="left" w:pos="2880"/>
          <w:tab w:val="left" w:pos="3600"/>
          <w:tab w:val="center" w:pos="4513"/>
        </w:tabs>
        <w:spacing w:line="480" w:lineRule="auto"/>
        <w:ind w:left="720" w:hanging="720"/>
        <w:jc w:val="both"/>
      </w:pPr>
      <w:r>
        <w:t>45</w:t>
      </w:r>
      <w:r w:rsidR="00481847">
        <w:t>]</w:t>
      </w:r>
      <w:r w:rsidR="00481847">
        <w:tab/>
        <w:t>He testified that when they started in this business, vehicle</w:t>
      </w:r>
      <w:r w:rsidR="00264ACF">
        <w:t>s</w:t>
      </w:r>
      <w:r w:rsidR="00481847">
        <w:t xml:space="preserve"> did not have sports bars and nudge bars – they introduced these and back then it was aimed more at protection rather than aesthetics. There was a lot of work put into their designs and the products took off very fast. As a result, ma</w:t>
      </w:r>
      <w:r w:rsidR="00C53240">
        <w:t>n</w:t>
      </w:r>
      <w:r w:rsidR="00481847">
        <w:t xml:space="preserve">y design changes were made until the business was eventually sold in 2005. </w:t>
      </w:r>
      <w:r w:rsidR="00C53240">
        <w:t>The defendant</w:t>
      </w:r>
      <w:r w:rsidR="00481847">
        <w:t xml:space="preserve"> was founded in 2008 specifically</w:t>
      </w:r>
      <w:r w:rsidR="00C53240">
        <w:t xml:space="preserve"> to be in competition with the plaintiff.</w:t>
      </w:r>
    </w:p>
    <w:p w14:paraId="2BB25898" w14:textId="77777777" w:rsidR="00481847" w:rsidRDefault="00481847" w:rsidP="008307CB">
      <w:pPr>
        <w:tabs>
          <w:tab w:val="left" w:pos="720"/>
          <w:tab w:val="left" w:pos="1440"/>
          <w:tab w:val="left" w:pos="2160"/>
          <w:tab w:val="left" w:pos="2880"/>
          <w:tab w:val="left" w:pos="3600"/>
          <w:tab w:val="center" w:pos="4513"/>
        </w:tabs>
        <w:spacing w:line="480" w:lineRule="auto"/>
        <w:ind w:left="720" w:hanging="720"/>
        <w:jc w:val="both"/>
      </w:pPr>
    </w:p>
    <w:p w14:paraId="5E2E5C70" w14:textId="3516738D" w:rsidR="00481847" w:rsidRDefault="004C1F65" w:rsidP="008307CB">
      <w:pPr>
        <w:tabs>
          <w:tab w:val="left" w:pos="720"/>
          <w:tab w:val="left" w:pos="1440"/>
          <w:tab w:val="left" w:pos="2160"/>
          <w:tab w:val="left" w:pos="2880"/>
          <w:tab w:val="left" w:pos="3600"/>
          <w:tab w:val="center" w:pos="4513"/>
        </w:tabs>
        <w:spacing w:line="480" w:lineRule="auto"/>
        <w:ind w:left="720" w:hanging="720"/>
        <w:jc w:val="both"/>
      </w:pPr>
      <w:r>
        <w:t>46</w:t>
      </w:r>
      <w:r w:rsidR="00C53240">
        <w:t>]</w:t>
      </w:r>
      <w:r w:rsidR="00C53240">
        <w:tab/>
        <w:t>The MK2 L</w:t>
      </w:r>
      <w:r w:rsidR="00481847">
        <w:t xml:space="preserve">ouvre sports bar design consisted of a front tubular hoop </w:t>
      </w:r>
      <w:r w:rsidR="00C53240">
        <w:t>with 4 pens and a pair of cross</w:t>
      </w:r>
      <w:r w:rsidR="00481847">
        <w:t>bars. The rear hoop has 6 bends. The shape of the sports bar then and now is very similar.</w:t>
      </w:r>
    </w:p>
    <w:p w14:paraId="07502327" w14:textId="77777777" w:rsidR="00481847" w:rsidRDefault="00481847" w:rsidP="008307CB">
      <w:pPr>
        <w:tabs>
          <w:tab w:val="left" w:pos="720"/>
          <w:tab w:val="left" w:pos="1440"/>
          <w:tab w:val="left" w:pos="2160"/>
          <w:tab w:val="left" w:pos="2880"/>
          <w:tab w:val="left" w:pos="3600"/>
          <w:tab w:val="center" w:pos="4513"/>
        </w:tabs>
        <w:spacing w:line="480" w:lineRule="auto"/>
        <w:ind w:left="720" w:hanging="720"/>
        <w:jc w:val="both"/>
      </w:pPr>
    </w:p>
    <w:p w14:paraId="360A2854" w14:textId="10D48A1E" w:rsidR="00481847" w:rsidRDefault="004C1F65" w:rsidP="008307CB">
      <w:pPr>
        <w:tabs>
          <w:tab w:val="left" w:pos="720"/>
          <w:tab w:val="left" w:pos="1440"/>
          <w:tab w:val="left" w:pos="2160"/>
          <w:tab w:val="left" w:pos="2880"/>
          <w:tab w:val="left" w:pos="3600"/>
          <w:tab w:val="center" w:pos="4513"/>
        </w:tabs>
        <w:spacing w:line="480" w:lineRule="auto"/>
        <w:ind w:left="720" w:hanging="720"/>
        <w:jc w:val="both"/>
      </w:pPr>
      <w:r>
        <w:t>47</w:t>
      </w:r>
      <w:r w:rsidR="00481847">
        <w:t>]</w:t>
      </w:r>
      <w:r w:rsidR="00481847">
        <w:tab/>
        <w:t>The biggest difference</w:t>
      </w:r>
      <w:r w:rsidR="00C53240">
        <w:t xml:space="preserve"> is in the cross</w:t>
      </w:r>
      <w:r w:rsidR="00C44753">
        <w:t xml:space="preserve">bar of </w:t>
      </w:r>
      <w:r w:rsidR="00C53240">
        <w:t>plaintiff’s Louvre sports bar and defendant’s</w:t>
      </w:r>
      <w:r w:rsidR="00C44753">
        <w:t xml:space="preserve"> MK2 sports bar:</w:t>
      </w:r>
    </w:p>
    <w:p w14:paraId="568AD53A" w14:textId="13C26179" w:rsidR="00C44753" w:rsidRDefault="00C44753" w:rsidP="00C44753">
      <w:pPr>
        <w:tabs>
          <w:tab w:val="left" w:pos="720"/>
          <w:tab w:val="left" w:pos="1440"/>
          <w:tab w:val="left" w:pos="2160"/>
          <w:tab w:val="left" w:pos="2880"/>
          <w:tab w:val="left" w:pos="3600"/>
          <w:tab w:val="center" w:pos="4513"/>
        </w:tabs>
        <w:spacing w:line="480" w:lineRule="auto"/>
        <w:ind w:left="1440" w:hanging="1440"/>
        <w:jc w:val="both"/>
      </w:pPr>
      <w:r>
        <w:tab/>
        <w:t>4</w:t>
      </w:r>
      <w:r w:rsidR="004C1F65">
        <w:t>7</w:t>
      </w:r>
      <w:r>
        <w:t>.1</w:t>
      </w:r>
      <w:r>
        <w:tab/>
      </w:r>
      <w:r w:rsidR="00C53240">
        <w:t xml:space="preserve">plaintiff’s </w:t>
      </w:r>
      <w:r>
        <w:t>design has two parallel bars which are co</w:t>
      </w:r>
      <w:r w:rsidR="00C53240">
        <w:t>mpletely oval in shape and joined</w:t>
      </w:r>
      <w:r>
        <w:t xml:space="preserve"> by 2 rubbers to the hoop</w:t>
      </w:r>
      <w:r w:rsidR="00095C5A">
        <w:rPr>
          <w:rStyle w:val="FootnoteReference"/>
        </w:rPr>
        <w:footnoteReference w:id="37"/>
      </w:r>
      <w:r>
        <w:t>;</w:t>
      </w:r>
    </w:p>
    <w:p w14:paraId="1B0A2F2F" w14:textId="6F77437B" w:rsidR="00C44753" w:rsidRDefault="004C1F65" w:rsidP="00C44753">
      <w:pPr>
        <w:tabs>
          <w:tab w:val="left" w:pos="720"/>
          <w:tab w:val="left" w:pos="1440"/>
          <w:tab w:val="left" w:pos="2160"/>
          <w:tab w:val="left" w:pos="2880"/>
          <w:tab w:val="left" w:pos="3600"/>
          <w:tab w:val="center" w:pos="4513"/>
        </w:tabs>
        <w:spacing w:line="480" w:lineRule="auto"/>
        <w:ind w:left="1440" w:hanging="1440"/>
        <w:jc w:val="both"/>
      </w:pPr>
      <w:r>
        <w:lastRenderedPageBreak/>
        <w:tab/>
        <w:t>47</w:t>
      </w:r>
      <w:r w:rsidR="00C53240">
        <w:t>.2</w:t>
      </w:r>
      <w:r w:rsidR="00C53240">
        <w:tab/>
        <w:t xml:space="preserve">defendant’s </w:t>
      </w:r>
      <w:r w:rsidR="00C44753">
        <w:t>design is only oval at the very ends. The rest of the crossbar is round and the bottom is parallel at the beginning and then has two distinct bends. The rubbers are also individual and not in pairs;</w:t>
      </w:r>
    </w:p>
    <w:p w14:paraId="79B155F4" w14:textId="77777777" w:rsidR="00FB2783" w:rsidRDefault="004C1F65" w:rsidP="00C44753">
      <w:pPr>
        <w:tabs>
          <w:tab w:val="left" w:pos="720"/>
          <w:tab w:val="left" w:pos="1440"/>
          <w:tab w:val="left" w:pos="2160"/>
          <w:tab w:val="left" w:pos="2880"/>
          <w:tab w:val="left" w:pos="3600"/>
          <w:tab w:val="center" w:pos="4513"/>
        </w:tabs>
        <w:spacing w:line="480" w:lineRule="auto"/>
        <w:ind w:left="1440" w:hanging="1440"/>
        <w:jc w:val="both"/>
      </w:pPr>
      <w:r>
        <w:tab/>
      </w:r>
    </w:p>
    <w:p w14:paraId="1EB06319" w14:textId="3A350119" w:rsidR="00C44753" w:rsidRDefault="00FB2783" w:rsidP="00C44753">
      <w:pPr>
        <w:tabs>
          <w:tab w:val="left" w:pos="720"/>
          <w:tab w:val="left" w:pos="1440"/>
          <w:tab w:val="left" w:pos="2160"/>
          <w:tab w:val="left" w:pos="2880"/>
          <w:tab w:val="left" w:pos="3600"/>
          <w:tab w:val="center" w:pos="4513"/>
        </w:tabs>
        <w:spacing w:line="480" w:lineRule="auto"/>
        <w:ind w:left="1440" w:hanging="1440"/>
        <w:jc w:val="both"/>
      </w:pPr>
      <w:r>
        <w:tab/>
      </w:r>
      <w:r w:rsidR="004C1F65">
        <w:t>47</w:t>
      </w:r>
      <w:r w:rsidR="00C44753">
        <w:t>.3</w:t>
      </w:r>
      <w:r w:rsidR="00C44753">
        <w:tab/>
      </w:r>
      <w:r w:rsidR="00C53240">
        <w:t xml:space="preserve">plaintiff’s </w:t>
      </w:r>
      <w:r w:rsidR="00C44753">
        <w:t>design</w:t>
      </w:r>
      <w:r w:rsidR="00C44753">
        <w:rPr>
          <w:rStyle w:val="FootnoteReference"/>
        </w:rPr>
        <w:footnoteReference w:id="38"/>
      </w:r>
      <w:r w:rsidR="00C44753">
        <w:t xml:space="preserve"> could be found on the Ford Mont</w:t>
      </w:r>
      <w:r w:rsidR="00095C5A">
        <w:t xml:space="preserve">ana vehicle as far back as 2003 and the rubber mountings were to be found on the Isuzu and Ford range of vehicles since 2008/2009. </w:t>
      </w:r>
      <w:r w:rsidR="00C53240">
        <w:t xml:space="preserve">Both parties </w:t>
      </w:r>
      <w:r w:rsidR="00095C5A">
        <w:t>started using them in 2001.</w:t>
      </w:r>
    </w:p>
    <w:p w14:paraId="6B905161" w14:textId="77777777" w:rsidR="00095C5A" w:rsidRDefault="00095C5A" w:rsidP="00C44753">
      <w:pPr>
        <w:tabs>
          <w:tab w:val="left" w:pos="720"/>
          <w:tab w:val="left" w:pos="1440"/>
          <w:tab w:val="left" w:pos="2160"/>
          <w:tab w:val="left" w:pos="2880"/>
          <w:tab w:val="left" w:pos="3600"/>
          <w:tab w:val="center" w:pos="4513"/>
        </w:tabs>
        <w:spacing w:line="480" w:lineRule="auto"/>
        <w:ind w:left="1440" w:hanging="1440"/>
        <w:jc w:val="both"/>
      </w:pPr>
    </w:p>
    <w:p w14:paraId="74B196EC" w14:textId="7652F15D" w:rsidR="00095C5A" w:rsidRDefault="00095C5A" w:rsidP="00095C5A">
      <w:pPr>
        <w:tabs>
          <w:tab w:val="left" w:pos="720"/>
          <w:tab w:val="left" w:pos="1440"/>
          <w:tab w:val="left" w:pos="2160"/>
          <w:tab w:val="left" w:pos="2880"/>
          <w:tab w:val="left" w:pos="3600"/>
          <w:tab w:val="center" w:pos="4513"/>
        </w:tabs>
        <w:spacing w:line="480" w:lineRule="auto"/>
        <w:ind w:left="720" w:hanging="720"/>
        <w:jc w:val="both"/>
      </w:pPr>
      <w:r>
        <w:t>4</w:t>
      </w:r>
      <w:r w:rsidR="004C1F65">
        <w:t>8</w:t>
      </w:r>
      <w:r>
        <w:t>]</w:t>
      </w:r>
      <w:r>
        <w:tab/>
        <w:t xml:space="preserve">As to </w:t>
      </w:r>
      <w:r w:rsidR="00C53240">
        <w:t>plaintiff’s P</w:t>
      </w:r>
      <w:r>
        <w:t>olygon sports bar design: the 2013 Isuzu frame tu</w:t>
      </w:r>
      <w:r w:rsidR="00C53240">
        <w:t>bes are the same shape as defendant’s</w:t>
      </w:r>
      <w:r>
        <w:t xml:space="preserve"> designs and the </w:t>
      </w:r>
      <w:r w:rsidR="00C53240">
        <w:t xml:space="preserve">nudge </w:t>
      </w:r>
      <w:r>
        <w:t xml:space="preserve">bars are extremely similar. In fact, </w:t>
      </w:r>
      <w:r w:rsidR="00E515B5">
        <w:t>defendant’s 2012 brochure</w:t>
      </w:r>
      <w:r w:rsidR="00C53240">
        <w:t xml:space="preserve"> </w:t>
      </w:r>
      <w:r>
        <w:t>clearly shows a tubular shape of the nudg</w:t>
      </w:r>
      <w:r w:rsidR="00C53240">
        <w:t xml:space="preserve">e bar similar to that of plaintiff’s </w:t>
      </w:r>
      <w:r>
        <w:t>2015 design.</w:t>
      </w:r>
    </w:p>
    <w:p w14:paraId="70C10CD9" w14:textId="77777777" w:rsidR="00A66AFE" w:rsidRDefault="00A66AFE" w:rsidP="00095C5A">
      <w:pPr>
        <w:tabs>
          <w:tab w:val="left" w:pos="720"/>
          <w:tab w:val="left" w:pos="1440"/>
          <w:tab w:val="left" w:pos="2160"/>
          <w:tab w:val="left" w:pos="2880"/>
          <w:tab w:val="left" w:pos="3600"/>
          <w:tab w:val="center" w:pos="4513"/>
        </w:tabs>
        <w:spacing w:line="480" w:lineRule="auto"/>
        <w:ind w:left="720" w:hanging="720"/>
        <w:jc w:val="both"/>
      </w:pPr>
    </w:p>
    <w:p w14:paraId="3916E53B" w14:textId="66BB197C" w:rsidR="00A66AFE" w:rsidRDefault="004C1F65" w:rsidP="00095C5A">
      <w:pPr>
        <w:tabs>
          <w:tab w:val="left" w:pos="720"/>
          <w:tab w:val="left" w:pos="1440"/>
          <w:tab w:val="left" w:pos="2160"/>
          <w:tab w:val="left" w:pos="2880"/>
          <w:tab w:val="left" w:pos="3600"/>
          <w:tab w:val="center" w:pos="4513"/>
        </w:tabs>
        <w:spacing w:line="480" w:lineRule="auto"/>
        <w:ind w:left="720" w:hanging="720"/>
        <w:jc w:val="both"/>
      </w:pPr>
      <w:r>
        <w:t>49</w:t>
      </w:r>
      <w:r w:rsidR="00A66AFE">
        <w:t>]</w:t>
      </w:r>
      <w:r w:rsidR="00A66AFE">
        <w:tab/>
        <w:t xml:space="preserve">The important part of his evidence is that, according to him, it has become commonplace </w:t>
      </w:r>
      <w:r w:rsidR="00152D74">
        <w:t>“</w:t>
      </w:r>
      <w:r w:rsidR="00152D74" w:rsidRPr="00152D74">
        <w:rPr>
          <w:i/>
        </w:rPr>
        <w:t>i</w:t>
      </w:r>
      <w:r w:rsidR="00A66AFE" w:rsidRPr="00152D74">
        <w:rPr>
          <w:i/>
        </w:rPr>
        <w:t>n the past few years</w:t>
      </w:r>
      <w:r w:rsidR="00152D74">
        <w:rPr>
          <w:i/>
        </w:rPr>
        <w:t>”</w:t>
      </w:r>
      <w:r w:rsidR="00105AD1">
        <w:t xml:space="preserve"> to keep the frame tube the same</w:t>
      </w:r>
      <w:r w:rsidR="001E220C">
        <w:t xml:space="preserve"> (or at least very similar)</w:t>
      </w:r>
      <w:r w:rsidR="00105AD1">
        <w:t xml:space="preserve"> but to differentiate ea</w:t>
      </w:r>
      <w:r w:rsidR="00C53240">
        <w:t>ch design by means of the cross</w:t>
      </w:r>
      <w:r w:rsidR="00105AD1">
        <w:t>bars</w:t>
      </w:r>
      <w:r w:rsidR="00C53240">
        <w:t>.</w:t>
      </w:r>
      <w:r w:rsidR="001E220C">
        <w:t xml:space="preserve"> </w:t>
      </w:r>
      <w:r w:rsidR="00C53240">
        <w:t>T</w:t>
      </w:r>
      <w:r w:rsidR="00105AD1">
        <w:t>hese are also used to emulate the design on the grill of the vehicle.</w:t>
      </w:r>
    </w:p>
    <w:p w14:paraId="71B42C3B" w14:textId="77777777" w:rsidR="00105AD1" w:rsidRDefault="00105AD1" w:rsidP="00095C5A">
      <w:pPr>
        <w:tabs>
          <w:tab w:val="left" w:pos="720"/>
          <w:tab w:val="left" w:pos="1440"/>
          <w:tab w:val="left" w:pos="2160"/>
          <w:tab w:val="left" w:pos="2880"/>
          <w:tab w:val="left" w:pos="3600"/>
          <w:tab w:val="center" w:pos="4513"/>
        </w:tabs>
        <w:spacing w:line="480" w:lineRule="auto"/>
        <w:ind w:left="720" w:hanging="720"/>
        <w:jc w:val="both"/>
      </w:pPr>
    </w:p>
    <w:p w14:paraId="4C058796" w14:textId="12E47AA5" w:rsidR="00105AD1" w:rsidRDefault="004C1F65" w:rsidP="00095C5A">
      <w:pPr>
        <w:tabs>
          <w:tab w:val="left" w:pos="720"/>
          <w:tab w:val="left" w:pos="1440"/>
          <w:tab w:val="left" w:pos="2160"/>
          <w:tab w:val="left" w:pos="2880"/>
          <w:tab w:val="left" w:pos="3600"/>
          <w:tab w:val="center" w:pos="4513"/>
        </w:tabs>
        <w:spacing w:line="480" w:lineRule="auto"/>
        <w:ind w:left="720" w:hanging="720"/>
        <w:jc w:val="both"/>
      </w:pPr>
      <w:r>
        <w:t>50</w:t>
      </w:r>
      <w:r w:rsidR="00105AD1">
        <w:t>]</w:t>
      </w:r>
      <w:r w:rsidR="00105AD1">
        <w:tab/>
        <w:t xml:space="preserve">The substantial difference between </w:t>
      </w:r>
      <w:r w:rsidR="00C53240">
        <w:t xml:space="preserve">the parties’ respective </w:t>
      </w:r>
      <w:r w:rsidR="00105AD1">
        <w:t>product</w:t>
      </w:r>
      <w:r w:rsidR="00C94714">
        <w:t>s is</w:t>
      </w:r>
      <w:r w:rsidR="00105AD1">
        <w:t xml:space="preserve"> that:</w:t>
      </w:r>
    </w:p>
    <w:p w14:paraId="4B7F609B" w14:textId="12F3F408" w:rsidR="00105AD1" w:rsidRDefault="00105AD1" w:rsidP="00105AD1">
      <w:pPr>
        <w:tabs>
          <w:tab w:val="left" w:pos="720"/>
          <w:tab w:val="left" w:pos="1440"/>
          <w:tab w:val="left" w:pos="2160"/>
          <w:tab w:val="left" w:pos="2880"/>
          <w:tab w:val="left" w:pos="3600"/>
          <w:tab w:val="center" w:pos="4513"/>
        </w:tabs>
        <w:spacing w:line="480" w:lineRule="auto"/>
        <w:ind w:left="1440" w:hanging="1440"/>
        <w:jc w:val="both"/>
      </w:pPr>
      <w:r>
        <w:tab/>
      </w:r>
      <w:r w:rsidR="004647C0">
        <w:t>5</w:t>
      </w:r>
      <w:r w:rsidR="004C1F65">
        <w:t>0</w:t>
      </w:r>
      <w:r w:rsidR="00C53240">
        <w:t>.1</w:t>
      </w:r>
      <w:r w:rsidR="00C53240">
        <w:tab/>
        <w:t xml:space="preserve">defendant’s </w:t>
      </w:r>
      <w:r>
        <w:t xml:space="preserve">polygon design has 2 facets (a flat face and 1 bend) whereas </w:t>
      </w:r>
      <w:r w:rsidR="00C53240">
        <w:t>plaintiff’s</w:t>
      </w:r>
      <w:r>
        <w:t xml:space="preserve"> is </w:t>
      </w:r>
      <w:r w:rsidR="00C53240">
        <w:t>multifaceted</w:t>
      </w:r>
      <w:r>
        <w:rPr>
          <w:rStyle w:val="FootnoteReference"/>
        </w:rPr>
        <w:footnoteReference w:id="39"/>
      </w:r>
      <w:r>
        <w:t>;</w:t>
      </w:r>
      <w:r w:rsidR="00C94714">
        <w:t xml:space="preserve"> and</w:t>
      </w:r>
    </w:p>
    <w:p w14:paraId="3385F26D" w14:textId="0AE321C8" w:rsidR="00105AD1" w:rsidRDefault="00105AD1" w:rsidP="00105AD1">
      <w:pPr>
        <w:tabs>
          <w:tab w:val="left" w:pos="720"/>
          <w:tab w:val="left" w:pos="1440"/>
          <w:tab w:val="left" w:pos="2160"/>
          <w:tab w:val="left" w:pos="2880"/>
          <w:tab w:val="left" w:pos="3600"/>
          <w:tab w:val="center" w:pos="4513"/>
        </w:tabs>
        <w:spacing w:line="480" w:lineRule="auto"/>
        <w:ind w:left="1440" w:hanging="1440"/>
        <w:jc w:val="both"/>
      </w:pPr>
      <w:r>
        <w:lastRenderedPageBreak/>
        <w:tab/>
      </w:r>
      <w:r w:rsidR="004C1F65">
        <w:t>50</w:t>
      </w:r>
      <w:r>
        <w:t>.2</w:t>
      </w:r>
      <w:r>
        <w:tab/>
      </w:r>
      <w:r w:rsidR="00C53240">
        <w:t xml:space="preserve">the mounting brackets differ – defendant’s </w:t>
      </w:r>
      <w:r>
        <w:t xml:space="preserve">rubber mounting brackets are attached to the frame tube and </w:t>
      </w:r>
      <w:r w:rsidR="00C53240">
        <w:t>plaintiff’s</w:t>
      </w:r>
      <w:r>
        <w:t xml:space="preserve"> push the crossbar away from the vehicle. The mounting bolts also differ.</w:t>
      </w:r>
    </w:p>
    <w:p w14:paraId="7B3CF269" w14:textId="77777777" w:rsidR="00105AD1" w:rsidRDefault="00105AD1" w:rsidP="00105AD1">
      <w:pPr>
        <w:tabs>
          <w:tab w:val="left" w:pos="720"/>
          <w:tab w:val="left" w:pos="1440"/>
          <w:tab w:val="left" w:pos="2160"/>
          <w:tab w:val="left" w:pos="2880"/>
          <w:tab w:val="left" w:pos="3600"/>
          <w:tab w:val="center" w:pos="4513"/>
        </w:tabs>
        <w:spacing w:line="480" w:lineRule="auto"/>
        <w:ind w:left="1440" w:hanging="1440"/>
        <w:jc w:val="both"/>
      </w:pPr>
    </w:p>
    <w:p w14:paraId="310A5F5E" w14:textId="2AC0A408" w:rsidR="00F33148" w:rsidRDefault="006924AC" w:rsidP="00105AD1">
      <w:pPr>
        <w:tabs>
          <w:tab w:val="left" w:pos="720"/>
          <w:tab w:val="left" w:pos="1440"/>
          <w:tab w:val="left" w:pos="2160"/>
          <w:tab w:val="left" w:pos="2880"/>
          <w:tab w:val="left" w:pos="3600"/>
          <w:tab w:val="center" w:pos="4513"/>
        </w:tabs>
        <w:spacing w:line="480" w:lineRule="auto"/>
        <w:ind w:left="720" w:hanging="720"/>
        <w:jc w:val="both"/>
      </w:pPr>
      <w:r>
        <w:t>5</w:t>
      </w:r>
      <w:r w:rsidR="004C1F65">
        <w:t>1</w:t>
      </w:r>
      <w:r w:rsidR="00F33148">
        <w:t>]</w:t>
      </w:r>
      <w:r w:rsidR="00F33148">
        <w:tab/>
        <w:t>Mr Marriott demonstrated in cross</w:t>
      </w:r>
      <w:r w:rsidR="00C53240">
        <w:t>-</w:t>
      </w:r>
      <w:r w:rsidR="00F33148">
        <w:t xml:space="preserve">examination that much of </w:t>
      </w:r>
      <w:r w:rsidR="00C53240">
        <w:t>the prior art relied on by defendant</w:t>
      </w:r>
      <w:r w:rsidR="00F33148">
        <w:t xml:space="preserve"> is not actually </w:t>
      </w:r>
      <w:r w:rsidR="00291A9D">
        <w:t>prior art:</w:t>
      </w:r>
    </w:p>
    <w:p w14:paraId="071BD6CA" w14:textId="2A8EBA80" w:rsidR="00291A9D" w:rsidRDefault="00291A9D" w:rsidP="00291A9D">
      <w:pPr>
        <w:tabs>
          <w:tab w:val="left" w:pos="720"/>
          <w:tab w:val="left" w:pos="1440"/>
          <w:tab w:val="left" w:pos="2160"/>
          <w:tab w:val="left" w:pos="2880"/>
          <w:tab w:val="left" w:pos="3600"/>
          <w:tab w:val="center" w:pos="4513"/>
        </w:tabs>
        <w:spacing w:line="480" w:lineRule="auto"/>
        <w:ind w:left="1440" w:hanging="1440"/>
        <w:jc w:val="both"/>
      </w:pPr>
      <w:r>
        <w:tab/>
        <w:t>5</w:t>
      </w:r>
      <w:r w:rsidR="004C1F65">
        <w:t>1</w:t>
      </w:r>
      <w:r>
        <w:t>.1</w:t>
      </w:r>
      <w:r>
        <w:tab/>
        <w:t xml:space="preserve">many of the examples used by Mr Ferreira in his cross-examination </w:t>
      </w:r>
      <w:r w:rsidR="00C53240">
        <w:t xml:space="preserve">of Shilt </w:t>
      </w:r>
      <w:r>
        <w:t>and in his examination-in-chief</w:t>
      </w:r>
      <w:r w:rsidR="00C53240">
        <w:t xml:space="preserve"> of Engelbrecht</w:t>
      </w:r>
      <w:r>
        <w:t xml:space="preserve"> were not actually nudge bars but are actually bumper protectors;</w:t>
      </w:r>
    </w:p>
    <w:p w14:paraId="721D3B2C" w14:textId="77777777" w:rsidR="00FB2783" w:rsidRDefault="00291A9D" w:rsidP="00291A9D">
      <w:pPr>
        <w:tabs>
          <w:tab w:val="left" w:pos="720"/>
          <w:tab w:val="left" w:pos="1440"/>
          <w:tab w:val="left" w:pos="2160"/>
          <w:tab w:val="left" w:pos="2880"/>
          <w:tab w:val="left" w:pos="3600"/>
          <w:tab w:val="center" w:pos="4513"/>
        </w:tabs>
        <w:spacing w:line="480" w:lineRule="auto"/>
        <w:ind w:left="1440" w:hanging="1440"/>
        <w:jc w:val="both"/>
      </w:pPr>
      <w:r>
        <w:tab/>
      </w:r>
    </w:p>
    <w:p w14:paraId="12C1B144" w14:textId="0A56246F" w:rsidR="00291A9D" w:rsidRDefault="00FB2783" w:rsidP="00291A9D">
      <w:pPr>
        <w:tabs>
          <w:tab w:val="left" w:pos="720"/>
          <w:tab w:val="left" w:pos="1440"/>
          <w:tab w:val="left" w:pos="2160"/>
          <w:tab w:val="left" w:pos="2880"/>
          <w:tab w:val="left" w:pos="3600"/>
          <w:tab w:val="center" w:pos="4513"/>
        </w:tabs>
        <w:spacing w:line="480" w:lineRule="auto"/>
        <w:ind w:left="1440" w:hanging="1440"/>
        <w:jc w:val="both"/>
      </w:pPr>
      <w:r>
        <w:tab/>
      </w:r>
      <w:r w:rsidR="004C1F65">
        <w:t>51</w:t>
      </w:r>
      <w:r w:rsidR="00291A9D">
        <w:t>.2</w:t>
      </w:r>
      <w:r w:rsidR="00291A9D">
        <w:tab/>
        <w:t>others do not hav</w:t>
      </w:r>
      <w:r w:rsidR="00C53240">
        <w:t>e an inverted “u” but are instead</w:t>
      </w:r>
      <w:r w:rsidR="00291A9D">
        <w:t xml:space="preserve"> rectangular in shape and have short arms attaching them to the vehicle.</w:t>
      </w:r>
    </w:p>
    <w:p w14:paraId="24740905" w14:textId="77777777" w:rsidR="00291A9D" w:rsidRDefault="00291A9D" w:rsidP="00105AD1">
      <w:pPr>
        <w:tabs>
          <w:tab w:val="left" w:pos="720"/>
          <w:tab w:val="left" w:pos="1440"/>
          <w:tab w:val="left" w:pos="2160"/>
          <w:tab w:val="left" w:pos="2880"/>
          <w:tab w:val="left" w:pos="3600"/>
          <w:tab w:val="center" w:pos="4513"/>
        </w:tabs>
        <w:spacing w:line="480" w:lineRule="auto"/>
        <w:ind w:left="720" w:hanging="720"/>
        <w:jc w:val="both"/>
      </w:pPr>
    </w:p>
    <w:p w14:paraId="7037169F" w14:textId="2472F5A9" w:rsidR="00291A9D" w:rsidRDefault="00291A9D" w:rsidP="00105AD1">
      <w:pPr>
        <w:tabs>
          <w:tab w:val="left" w:pos="720"/>
          <w:tab w:val="left" w:pos="1440"/>
          <w:tab w:val="left" w:pos="2160"/>
          <w:tab w:val="left" w:pos="2880"/>
          <w:tab w:val="left" w:pos="3600"/>
          <w:tab w:val="center" w:pos="4513"/>
        </w:tabs>
        <w:spacing w:line="480" w:lineRule="auto"/>
        <w:ind w:left="720" w:hanging="720"/>
        <w:jc w:val="both"/>
      </w:pPr>
      <w:r>
        <w:t>5</w:t>
      </w:r>
      <w:r w:rsidR="004C1F65">
        <w:t>2</w:t>
      </w:r>
      <w:r>
        <w:t>]</w:t>
      </w:r>
      <w:r>
        <w:tab/>
        <w:t xml:space="preserve">The point was also </w:t>
      </w:r>
      <w:r w:rsidR="00E515B5">
        <w:t xml:space="preserve">made that the consumer would </w:t>
      </w:r>
      <w:r>
        <w:t xml:space="preserve">not notice the difference between a round tube and an oval one and therefore </w:t>
      </w:r>
      <w:r w:rsidR="00FB19DA">
        <w:t xml:space="preserve">defendant’s </w:t>
      </w:r>
      <w:r>
        <w:t>idea of trying to change the appearance of the tube was not very successful.</w:t>
      </w:r>
    </w:p>
    <w:p w14:paraId="4230C8E4" w14:textId="77777777" w:rsidR="00105AD1" w:rsidRDefault="00105AD1" w:rsidP="00105AD1">
      <w:pPr>
        <w:tabs>
          <w:tab w:val="left" w:pos="720"/>
          <w:tab w:val="left" w:pos="1440"/>
          <w:tab w:val="left" w:pos="2160"/>
          <w:tab w:val="left" w:pos="2880"/>
          <w:tab w:val="left" w:pos="3600"/>
          <w:tab w:val="center" w:pos="4513"/>
        </w:tabs>
        <w:spacing w:line="480" w:lineRule="auto"/>
        <w:ind w:left="720" w:hanging="720"/>
        <w:jc w:val="both"/>
      </w:pPr>
    </w:p>
    <w:p w14:paraId="006E864E" w14:textId="6894FEAF" w:rsidR="001D3098" w:rsidRDefault="004647C0" w:rsidP="00105AD1">
      <w:pPr>
        <w:tabs>
          <w:tab w:val="left" w:pos="720"/>
          <w:tab w:val="left" w:pos="1440"/>
          <w:tab w:val="left" w:pos="2160"/>
          <w:tab w:val="left" w:pos="2880"/>
          <w:tab w:val="left" w:pos="3600"/>
          <w:tab w:val="center" w:pos="4513"/>
        </w:tabs>
        <w:spacing w:line="480" w:lineRule="auto"/>
        <w:ind w:left="720" w:hanging="720"/>
        <w:jc w:val="both"/>
      </w:pPr>
      <w:r>
        <w:t>5</w:t>
      </w:r>
      <w:r w:rsidR="004C1F65">
        <w:t>3</w:t>
      </w:r>
      <w:r w:rsidR="001D3098">
        <w:t>]</w:t>
      </w:r>
      <w:r w:rsidR="001D3098">
        <w:tab/>
      </w:r>
      <w:r w:rsidR="001D3098">
        <w:rPr>
          <w:u w:val="single"/>
        </w:rPr>
        <w:t>As to the infringement</w:t>
      </w:r>
      <w:r w:rsidR="001D3098">
        <w:t>:</w:t>
      </w:r>
    </w:p>
    <w:p w14:paraId="56EE2AFF" w14:textId="77777777" w:rsidR="0076569B" w:rsidRDefault="001D3098" w:rsidP="00105AD1">
      <w:pPr>
        <w:tabs>
          <w:tab w:val="left" w:pos="720"/>
          <w:tab w:val="left" w:pos="1440"/>
          <w:tab w:val="left" w:pos="2160"/>
          <w:tab w:val="left" w:pos="2880"/>
          <w:tab w:val="left" w:pos="3600"/>
          <w:tab w:val="center" w:pos="4513"/>
        </w:tabs>
        <w:spacing w:line="480" w:lineRule="auto"/>
        <w:ind w:left="720" w:hanging="720"/>
        <w:jc w:val="both"/>
        <w:rPr>
          <w:u w:val="single"/>
        </w:rPr>
      </w:pPr>
      <w:r>
        <w:tab/>
      </w:r>
      <w:r>
        <w:rPr>
          <w:u w:val="single"/>
        </w:rPr>
        <w:t>The MK1:</w:t>
      </w:r>
    </w:p>
    <w:p w14:paraId="0372DE36" w14:textId="6902EB3B" w:rsidR="001D3098" w:rsidRDefault="0076569B" w:rsidP="0076569B">
      <w:pPr>
        <w:tabs>
          <w:tab w:val="left" w:pos="720"/>
          <w:tab w:val="left" w:pos="1440"/>
          <w:tab w:val="left" w:pos="2160"/>
          <w:tab w:val="left" w:pos="2880"/>
          <w:tab w:val="left" w:pos="3600"/>
          <w:tab w:val="center" w:pos="4513"/>
        </w:tabs>
        <w:spacing w:line="480" w:lineRule="auto"/>
        <w:ind w:left="1440" w:hanging="1440"/>
        <w:jc w:val="both"/>
      </w:pPr>
      <w:r>
        <w:tab/>
        <w:t>5</w:t>
      </w:r>
      <w:r w:rsidR="004C1F65">
        <w:t>3</w:t>
      </w:r>
      <w:r>
        <w:t>.1</w:t>
      </w:r>
      <w:r>
        <w:tab/>
      </w:r>
      <w:r w:rsidR="001D3098">
        <w:t xml:space="preserve">Shilt’s evidence was that the </w:t>
      </w:r>
      <w:r w:rsidR="00FB19DA">
        <w:t>defendant’s</w:t>
      </w:r>
      <w:r w:rsidR="001D3098">
        <w:t xml:space="preserve"> brochure in respect of the 2016 Hilux</w:t>
      </w:r>
      <w:r w:rsidR="00FB19DA">
        <w:rPr>
          <w:rStyle w:val="FootnoteReference"/>
        </w:rPr>
        <w:footnoteReference w:id="40"/>
      </w:r>
      <w:r w:rsidR="001D3098">
        <w:t xml:space="preserve"> was released shortly after Maxe’s Louvre design came onto the market. Engelbre</w:t>
      </w:r>
      <w:r w:rsidR="00F15F18">
        <w:t>cht disavowed any knowledge of either t</w:t>
      </w:r>
      <w:r w:rsidR="001D3098">
        <w:t xml:space="preserve">he registration of </w:t>
      </w:r>
      <w:r w:rsidR="00F15F18">
        <w:t>plaintiff’s</w:t>
      </w:r>
      <w:r w:rsidR="001D3098">
        <w:t xml:space="preserve"> desi</w:t>
      </w:r>
      <w:r w:rsidR="00F15F18">
        <w:t>gn at that time or how the defendant’s</w:t>
      </w:r>
      <w:r w:rsidR="001D3098">
        <w:t xml:space="preserve"> brochure came to be released</w:t>
      </w:r>
      <w:r w:rsidR="00F15F18">
        <w:t xml:space="preserve"> with plaintiff’s </w:t>
      </w:r>
      <w:r>
        <w:t>designs featuring so p</w:t>
      </w:r>
      <w:r w:rsidR="00F15F18">
        <w:t>rominently;</w:t>
      </w:r>
    </w:p>
    <w:p w14:paraId="698D1098" w14:textId="1D18DBCC" w:rsidR="0076569B" w:rsidRDefault="0076569B" w:rsidP="0076569B">
      <w:pPr>
        <w:tabs>
          <w:tab w:val="left" w:pos="720"/>
          <w:tab w:val="left" w:pos="1440"/>
          <w:tab w:val="left" w:pos="2160"/>
          <w:tab w:val="left" w:pos="2880"/>
          <w:tab w:val="left" w:pos="3600"/>
          <w:tab w:val="center" w:pos="4513"/>
        </w:tabs>
        <w:spacing w:line="480" w:lineRule="auto"/>
        <w:ind w:left="1440" w:hanging="1440"/>
        <w:jc w:val="both"/>
      </w:pPr>
      <w:r>
        <w:lastRenderedPageBreak/>
        <w:tab/>
      </w:r>
      <w:r w:rsidR="004C1F65">
        <w:t>53</w:t>
      </w:r>
      <w:r>
        <w:t>.2</w:t>
      </w:r>
      <w:r>
        <w:tab/>
        <w:t xml:space="preserve">given that Engelbrecht is the </w:t>
      </w:r>
      <w:r w:rsidR="00F15F18">
        <w:t>CEO</w:t>
      </w:r>
      <w:r>
        <w:t xml:space="preserve"> </w:t>
      </w:r>
      <w:r w:rsidR="00F15F18">
        <w:t xml:space="preserve">and </w:t>
      </w:r>
      <w:r>
        <w:t xml:space="preserve">(according to him) he </w:t>
      </w:r>
      <w:r>
        <w:rPr>
          <w:i/>
        </w:rPr>
        <w:t>“oversees the company”</w:t>
      </w:r>
      <w:r>
        <w:t xml:space="preserve"> I find this rather surprising and incredible;</w:t>
      </w:r>
    </w:p>
    <w:p w14:paraId="25C05C3D" w14:textId="77777777" w:rsidR="00FB2783" w:rsidRDefault="0076569B" w:rsidP="0076569B">
      <w:pPr>
        <w:tabs>
          <w:tab w:val="left" w:pos="720"/>
          <w:tab w:val="left" w:pos="1440"/>
          <w:tab w:val="left" w:pos="2160"/>
          <w:tab w:val="left" w:pos="2880"/>
          <w:tab w:val="left" w:pos="3600"/>
          <w:tab w:val="center" w:pos="4513"/>
        </w:tabs>
        <w:spacing w:line="480" w:lineRule="auto"/>
        <w:ind w:left="1440" w:hanging="1440"/>
        <w:jc w:val="both"/>
      </w:pPr>
      <w:r>
        <w:tab/>
      </w:r>
    </w:p>
    <w:p w14:paraId="4C486D4C" w14:textId="012E19A0" w:rsidR="0076569B" w:rsidRDefault="00FB2783" w:rsidP="0076569B">
      <w:pPr>
        <w:tabs>
          <w:tab w:val="left" w:pos="720"/>
          <w:tab w:val="left" w:pos="1440"/>
          <w:tab w:val="left" w:pos="2160"/>
          <w:tab w:val="left" w:pos="2880"/>
          <w:tab w:val="left" w:pos="3600"/>
          <w:tab w:val="center" w:pos="4513"/>
        </w:tabs>
        <w:spacing w:line="480" w:lineRule="auto"/>
        <w:ind w:left="1440" w:hanging="1440"/>
        <w:jc w:val="both"/>
      </w:pPr>
      <w:r>
        <w:tab/>
      </w:r>
      <w:r w:rsidR="004C1F65">
        <w:t>53</w:t>
      </w:r>
      <w:r w:rsidR="0076569B">
        <w:t>.3</w:t>
      </w:r>
      <w:r w:rsidR="0076569B">
        <w:tab/>
        <w:t>it is common cau</w:t>
      </w:r>
      <w:r w:rsidR="00F15F18">
        <w:t>se that that in August 2017 plaintiff</w:t>
      </w:r>
      <w:r w:rsidR="0076569B">
        <w:t xml:space="preserve"> sent a letter of dem</w:t>
      </w:r>
      <w:r w:rsidR="00F15F18">
        <w:t>and to cease and desist</w:t>
      </w:r>
      <w:r w:rsidR="0076569B">
        <w:t xml:space="preserve"> which was met with an undertaking along those lines. Despite this</w:t>
      </w:r>
      <w:r w:rsidR="00F15F18">
        <w:t>,</w:t>
      </w:r>
      <w:r w:rsidR="0076569B">
        <w:t xml:space="preserve"> there is written pr</w:t>
      </w:r>
      <w:r w:rsidR="00F15F18">
        <w:t>oof that in November 2017, defendant</w:t>
      </w:r>
      <w:r w:rsidR="0076569B">
        <w:t xml:space="preserve"> provided a quotation to a customer for the MK1 nudge bar and sports bar and there is also written proof that </w:t>
      </w:r>
      <w:r w:rsidR="00F15F18">
        <w:t>subsequently defendant</w:t>
      </w:r>
      <w:r w:rsidR="0076569B">
        <w:t xml:space="preserve"> made sales of the nudge bar and sports bar. Engelbrecht disavowed knowledge of this too which is also surprising given that, in his own expert summary </w:t>
      </w:r>
      <w:r w:rsidR="0076569B" w:rsidRPr="00F275A1">
        <w:t>the following is said</w:t>
      </w:r>
      <w:r w:rsidR="00F275A1">
        <w:t>:</w:t>
      </w:r>
    </w:p>
    <w:p w14:paraId="00F99AC0" w14:textId="11BE5CA0" w:rsidR="00F275A1" w:rsidRDefault="00F275A1" w:rsidP="00F15F18">
      <w:pPr>
        <w:tabs>
          <w:tab w:val="left" w:pos="720"/>
          <w:tab w:val="left" w:pos="1440"/>
          <w:tab w:val="left" w:pos="2160"/>
          <w:tab w:val="left" w:pos="2880"/>
          <w:tab w:val="left" w:pos="3600"/>
          <w:tab w:val="center" w:pos="4513"/>
        </w:tabs>
        <w:spacing w:line="480" w:lineRule="auto"/>
        <w:ind w:left="2160" w:hanging="2160"/>
        <w:jc w:val="both"/>
        <w:rPr>
          <w:i/>
        </w:rPr>
      </w:pPr>
      <w:r>
        <w:tab/>
      </w:r>
      <w:r w:rsidR="00F15F18">
        <w:tab/>
      </w:r>
      <w:r>
        <w:rPr>
          <w:i/>
        </w:rPr>
        <w:t>“15.3</w:t>
      </w:r>
      <w:r>
        <w:rPr>
          <w:i/>
        </w:rPr>
        <w:tab/>
        <w:t>The witness will state that the defendant, when the louvre designs were drawn to its attention immediately ceased manufacturing and selling the MK1 nudge- and sports bars.”</w:t>
      </w:r>
    </w:p>
    <w:p w14:paraId="603414F5" w14:textId="77777777" w:rsidR="00F275A1" w:rsidRPr="00F275A1" w:rsidRDefault="00F275A1" w:rsidP="0076569B">
      <w:pPr>
        <w:tabs>
          <w:tab w:val="left" w:pos="720"/>
          <w:tab w:val="left" w:pos="1440"/>
          <w:tab w:val="left" w:pos="2160"/>
          <w:tab w:val="left" w:pos="2880"/>
          <w:tab w:val="left" w:pos="3600"/>
          <w:tab w:val="center" w:pos="4513"/>
        </w:tabs>
        <w:spacing w:line="480" w:lineRule="auto"/>
        <w:ind w:left="1440" w:hanging="1440"/>
        <w:jc w:val="both"/>
        <w:rPr>
          <w:i/>
        </w:rPr>
      </w:pPr>
    </w:p>
    <w:p w14:paraId="6BB638F2" w14:textId="662B26D2" w:rsidR="0076569B" w:rsidRDefault="0076569B" w:rsidP="0076569B">
      <w:pPr>
        <w:tabs>
          <w:tab w:val="left" w:pos="720"/>
          <w:tab w:val="left" w:pos="1440"/>
          <w:tab w:val="left" w:pos="2160"/>
          <w:tab w:val="left" w:pos="2880"/>
          <w:tab w:val="left" w:pos="3600"/>
          <w:tab w:val="center" w:pos="4513"/>
        </w:tabs>
        <w:spacing w:line="480" w:lineRule="auto"/>
        <w:ind w:left="1440" w:hanging="1440"/>
        <w:jc w:val="both"/>
        <w:rPr>
          <w:b/>
        </w:rPr>
      </w:pPr>
      <w:r>
        <w:tab/>
      </w:r>
      <w:r>
        <w:rPr>
          <w:u w:val="single"/>
        </w:rPr>
        <w:t>The MK2</w:t>
      </w:r>
    </w:p>
    <w:p w14:paraId="67AA8BB0" w14:textId="0E7AC746" w:rsidR="00367CB0" w:rsidRDefault="0076569B" w:rsidP="0076569B">
      <w:pPr>
        <w:tabs>
          <w:tab w:val="left" w:pos="720"/>
          <w:tab w:val="left" w:pos="1440"/>
          <w:tab w:val="left" w:pos="2160"/>
          <w:tab w:val="left" w:pos="2880"/>
          <w:tab w:val="left" w:pos="3600"/>
          <w:tab w:val="center" w:pos="4513"/>
        </w:tabs>
        <w:spacing w:line="480" w:lineRule="auto"/>
        <w:ind w:left="1440" w:hanging="1440"/>
        <w:jc w:val="both"/>
      </w:pPr>
      <w:r>
        <w:tab/>
      </w:r>
      <w:r w:rsidR="004C1F65">
        <w:t>53</w:t>
      </w:r>
      <w:r>
        <w:t>.4</w:t>
      </w:r>
      <w:r>
        <w:tab/>
      </w:r>
      <w:r w:rsidR="006726E5">
        <w:t>It is common cause on the facts that, as to the similarities and differences</w:t>
      </w:r>
      <w:r w:rsidR="003442B5">
        <w:rPr>
          <w:rStyle w:val="FootnoteReference"/>
        </w:rPr>
        <w:footnoteReference w:id="41"/>
      </w:r>
      <w:r w:rsidR="00E45FB5">
        <w:t xml:space="preserve"> between the parties’ respective </w:t>
      </w:r>
      <w:r w:rsidR="006726E5">
        <w:t xml:space="preserve">designs, there is no real dispute between Shilt and Engelbrecht and that the court must decide if, given the prior art, </w:t>
      </w:r>
      <w:r w:rsidR="00367CB0">
        <w:t>the MK2 design is sufficiently close to constitute an infringement.</w:t>
      </w:r>
    </w:p>
    <w:p w14:paraId="4A86560B" w14:textId="77777777" w:rsidR="00AD5A6D" w:rsidRDefault="00AD5A6D" w:rsidP="0076569B">
      <w:pPr>
        <w:tabs>
          <w:tab w:val="left" w:pos="720"/>
          <w:tab w:val="left" w:pos="1440"/>
          <w:tab w:val="left" w:pos="2160"/>
          <w:tab w:val="left" w:pos="2880"/>
          <w:tab w:val="left" w:pos="3600"/>
          <w:tab w:val="center" w:pos="4513"/>
        </w:tabs>
        <w:spacing w:line="480" w:lineRule="auto"/>
        <w:ind w:left="1440" w:hanging="1440"/>
        <w:jc w:val="both"/>
      </w:pPr>
    </w:p>
    <w:p w14:paraId="16AF7A2D" w14:textId="77777777" w:rsidR="00367CB0" w:rsidRDefault="00367CB0" w:rsidP="0076569B">
      <w:pPr>
        <w:tabs>
          <w:tab w:val="left" w:pos="720"/>
          <w:tab w:val="left" w:pos="1440"/>
          <w:tab w:val="left" w:pos="2160"/>
          <w:tab w:val="left" w:pos="2880"/>
          <w:tab w:val="left" w:pos="3600"/>
          <w:tab w:val="center" w:pos="4513"/>
        </w:tabs>
        <w:spacing w:line="480" w:lineRule="auto"/>
        <w:ind w:left="1440" w:hanging="1440"/>
        <w:jc w:val="both"/>
      </w:pPr>
      <w:r>
        <w:tab/>
      </w:r>
      <w:r>
        <w:rPr>
          <w:u w:val="single"/>
        </w:rPr>
        <w:t>The Polygon design</w:t>
      </w:r>
    </w:p>
    <w:p w14:paraId="6099BFE7" w14:textId="77777777" w:rsidR="00FB2783" w:rsidRDefault="00367CB0" w:rsidP="00367CB0">
      <w:pPr>
        <w:tabs>
          <w:tab w:val="left" w:pos="720"/>
          <w:tab w:val="left" w:pos="1440"/>
          <w:tab w:val="left" w:pos="2160"/>
          <w:tab w:val="left" w:pos="2880"/>
          <w:tab w:val="left" w:pos="3600"/>
          <w:tab w:val="center" w:pos="4513"/>
        </w:tabs>
        <w:spacing w:line="480" w:lineRule="auto"/>
        <w:ind w:left="1440" w:hanging="1440"/>
        <w:jc w:val="both"/>
      </w:pPr>
      <w:r>
        <w:tab/>
      </w:r>
      <w:r w:rsidR="004C1F65">
        <w:t>53</w:t>
      </w:r>
      <w:r w:rsidR="00E45FB5">
        <w:t>.5</w:t>
      </w:r>
      <w:r>
        <w:tab/>
        <w:t xml:space="preserve">the factual differences are common cause between Shilt and </w:t>
      </w:r>
    </w:p>
    <w:p w14:paraId="1BF095D2" w14:textId="0120DD87" w:rsidR="00367CB0" w:rsidRDefault="00FB2783" w:rsidP="00367CB0">
      <w:pPr>
        <w:tabs>
          <w:tab w:val="left" w:pos="720"/>
          <w:tab w:val="left" w:pos="1440"/>
          <w:tab w:val="left" w:pos="2160"/>
          <w:tab w:val="left" w:pos="2880"/>
          <w:tab w:val="left" w:pos="3600"/>
          <w:tab w:val="center" w:pos="4513"/>
        </w:tabs>
        <w:spacing w:line="480" w:lineRule="auto"/>
        <w:ind w:left="1440" w:hanging="1440"/>
        <w:jc w:val="both"/>
      </w:pPr>
      <w:r>
        <w:lastRenderedPageBreak/>
        <w:tab/>
      </w:r>
      <w:r>
        <w:tab/>
      </w:r>
      <w:r w:rsidR="00367CB0">
        <w:t>Engelbrecht with t</w:t>
      </w:r>
      <w:r w:rsidR="00E45FB5">
        <w:t>he main differences that defendant’s</w:t>
      </w:r>
      <w:r w:rsidR="00367CB0">
        <w:t xml:space="preserve"> de</w:t>
      </w:r>
      <w:r w:rsidR="00E45FB5">
        <w:t>sign</w:t>
      </w:r>
      <w:r w:rsidR="005A7EA5">
        <w:t xml:space="preserve"> features 5 sides and plaintiff’</w:t>
      </w:r>
      <w:r w:rsidR="00E45FB5">
        <w:t>s</w:t>
      </w:r>
      <w:r w:rsidR="00367CB0">
        <w:t xml:space="preserve"> has 6;</w:t>
      </w:r>
    </w:p>
    <w:p w14:paraId="64DF2469" w14:textId="77777777" w:rsidR="00FB2783" w:rsidRDefault="00FB2783" w:rsidP="00367CB0">
      <w:pPr>
        <w:tabs>
          <w:tab w:val="left" w:pos="720"/>
          <w:tab w:val="left" w:pos="1440"/>
          <w:tab w:val="left" w:pos="2160"/>
          <w:tab w:val="left" w:pos="2880"/>
          <w:tab w:val="left" w:pos="3600"/>
          <w:tab w:val="center" w:pos="4513"/>
        </w:tabs>
        <w:spacing w:line="480" w:lineRule="auto"/>
        <w:ind w:left="1440" w:hanging="1440"/>
        <w:jc w:val="both"/>
      </w:pPr>
    </w:p>
    <w:p w14:paraId="07D30A79" w14:textId="0D567413" w:rsidR="002B2906" w:rsidRDefault="00367CB0" w:rsidP="002B2906">
      <w:pPr>
        <w:tabs>
          <w:tab w:val="left" w:pos="720"/>
          <w:tab w:val="left" w:pos="1440"/>
          <w:tab w:val="left" w:pos="2160"/>
          <w:tab w:val="left" w:pos="2880"/>
          <w:tab w:val="left" w:pos="3600"/>
          <w:tab w:val="center" w:pos="4513"/>
        </w:tabs>
        <w:spacing w:line="480" w:lineRule="auto"/>
        <w:ind w:left="1440" w:hanging="1440"/>
        <w:jc w:val="both"/>
      </w:pPr>
      <w:r>
        <w:tab/>
      </w:r>
      <w:r w:rsidR="004C1F65">
        <w:t>53</w:t>
      </w:r>
      <w:r w:rsidR="00E45FB5">
        <w:t>.6</w:t>
      </w:r>
      <w:r w:rsidR="004F1360">
        <w:tab/>
      </w:r>
      <w:r w:rsidR="002B2906">
        <w:t>Engelbrecht agree</w:t>
      </w:r>
      <w:r w:rsidR="00E45FB5">
        <w:t>d that the rear arms on the second</w:t>
      </w:r>
      <w:r w:rsidR="002B2906">
        <w:t xml:space="preserve"> tube of the spor</w:t>
      </w:r>
      <w:r w:rsidR="002A0EBF">
        <w:t xml:space="preserve">ts bar </w:t>
      </w:r>
      <w:r w:rsidR="00E45FB5">
        <w:t xml:space="preserve">are </w:t>
      </w:r>
      <w:r w:rsidR="002A0EBF">
        <w:t>narrow and bend backward</w:t>
      </w:r>
      <w:r w:rsidR="00E45FB5">
        <w:t xml:space="preserve"> so that when the crossbar</w:t>
      </w:r>
      <w:r w:rsidR="002B2906">
        <w:t xml:space="preserve">s are attached </w:t>
      </w:r>
      <w:r w:rsidR="00E45FB5">
        <w:t>i</w:t>
      </w:r>
      <w:r w:rsidR="002B2906">
        <w:t>t sits at an angle;</w:t>
      </w:r>
    </w:p>
    <w:p w14:paraId="693C21B4" w14:textId="77777777" w:rsidR="00FB2783" w:rsidRDefault="00FB2783" w:rsidP="00E45FB5">
      <w:pPr>
        <w:tabs>
          <w:tab w:val="left" w:pos="720"/>
          <w:tab w:val="left" w:pos="1440"/>
          <w:tab w:val="left" w:pos="2160"/>
          <w:tab w:val="left" w:pos="2880"/>
          <w:tab w:val="left" w:pos="3600"/>
          <w:tab w:val="center" w:pos="4513"/>
        </w:tabs>
        <w:spacing w:line="480" w:lineRule="auto"/>
        <w:ind w:left="1440" w:hanging="1440"/>
        <w:jc w:val="both"/>
      </w:pPr>
    </w:p>
    <w:p w14:paraId="499CFACA" w14:textId="022BE6A6" w:rsidR="002A0EBF" w:rsidRDefault="002B2906" w:rsidP="00E45FB5">
      <w:pPr>
        <w:tabs>
          <w:tab w:val="left" w:pos="720"/>
          <w:tab w:val="left" w:pos="1440"/>
          <w:tab w:val="left" w:pos="2160"/>
          <w:tab w:val="left" w:pos="2880"/>
          <w:tab w:val="left" w:pos="3600"/>
          <w:tab w:val="center" w:pos="4513"/>
        </w:tabs>
        <w:spacing w:line="480" w:lineRule="auto"/>
        <w:ind w:left="1440" w:hanging="1440"/>
        <w:jc w:val="both"/>
      </w:pPr>
      <w:r>
        <w:tab/>
      </w:r>
      <w:r w:rsidR="004C1F65">
        <w:t>53</w:t>
      </w:r>
      <w:r w:rsidR="00E45FB5">
        <w:t>.7</w:t>
      </w:r>
      <w:r>
        <w:tab/>
      </w:r>
      <w:r w:rsidR="00E45FB5">
        <w:t>it is plaintiff’s</w:t>
      </w:r>
      <w:r w:rsidR="002A0EBF">
        <w:t xml:space="preserve"> case that the difference between the </w:t>
      </w:r>
      <w:r w:rsidR="00E45FB5">
        <w:t xml:space="preserve">each design is insignificant. </w:t>
      </w:r>
      <w:r w:rsidR="002A0EBF">
        <w:t>This insignificance is emphasized because of the angle from which the customer views the product</w:t>
      </w:r>
      <w:r w:rsidR="00E45FB5">
        <w:t>,</w:t>
      </w:r>
      <w:r w:rsidR="002A0EBF">
        <w:t xml:space="preserve"> but Engelbecht disagreed: on his version when viewed, the crossbar will appear</w:t>
      </w:r>
      <w:r w:rsidR="00E45FB5">
        <w:t xml:space="preserve"> to have 3 faces and not just 2,</w:t>
      </w:r>
      <w:r w:rsidR="002A0EBF">
        <w:t xml:space="preserve"> and there is a 10° exposure of the b</w:t>
      </w:r>
      <w:r w:rsidR="00E45FB5">
        <w:t>ottom angle of the cross member.</w:t>
      </w:r>
    </w:p>
    <w:p w14:paraId="4D053C71" w14:textId="77777777" w:rsidR="00BE4958" w:rsidRDefault="00BE4958" w:rsidP="00BE4958">
      <w:pPr>
        <w:tabs>
          <w:tab w:val="left" w:pos="720"/>
          <w:tab w:val="left" w:pos="1440"/>
          <w:tab w:val="left" w:pos="2160"/>
          <w:tab w:val="left" w:pos="2880"/>
          <w:tab w:val="left" w:pos="3600"/>
          <w:tab w:val="center" w:pos="4513"/>
        </w:tabs>
        <w:spacing w:line="480" w:lineRule="auto"/>
        <w:jc w:val="both"/>
      </w:pPr>
    </w:p>
    <w:p w14:paraId="5CECABBE" w14:textId="2FE51112" w:rsidR="00BE4958" w:rsidRDefault="00BE4958" w:rsidP="00BE4958">
      <w:pPr>
        <w:tabs>
          <w:tab w:val="left" w:pos="720"/>
          <w:tab w:val="left" w:pos="1440"/>
          <w:tab w:val="left" w:pos="2160"/>
          <w:tab w:val="left" w:pos="2880"/>
          <w:tab w:val="left" w:pos="3600"/>
          <w:tab w:val="center" w:pos="4513"/>
        </w:tabs>
        <w:spacing w:line="480" w:lineRule="auto"/>
        <w:ind w:left="720" w:hanging="720"/>
        <w:jc w:val="both"/>
      </w:pPr>
      <w:r>
        <w:t>5</w:t>
      </w:r>
      <w:r w:rsidR="004C1F65">
        <w:t>4</w:t>
      </w:r>
      <w:r>
        <w:t>]</w:t>
      </w:r>
      <w:r>
        <w:tab/>
        <w:t>I did not find Engelbrecht a particularly impressive witness. He failed to make the necessary concessions until really pressed to do so and even then he avoided taking responsibility for a company which he runs and for which he, as CEO, is responsible. Instead he sought to pass the proverbial buck to Engelbrecht Jnr or the sales team.</w:t>
      </w:r>
    </w:p>
    <w:p w14:paraId="0D0997E2" w14:textId="56CFF5C8" w:rsidR="002A0EBF" w:rsidRDefault="002A0EBF" w:rsidP="002B2906">
      <w:pPr>
        <w:tabs>
          <w:tab w:val="left" w:pos="720"/>
          <w:tab w:val="left" w:pos="1440"/>
          <w:tab w:val="left" w:pos="2160"/>
          <w:tab w:val="left" w:pos="2880"/>
          <w:tab w:val="left" w:pos="3600"/>
          <w:tab w:val="center" w:pos="4513"/>
        </w:tabs>
        <w:spacing w:line="480" w:lineRule="auto"/>
        <w:ind w:left="1440" w:hanging="1440"/>
        <w:jc w:val="both"/>
      </w:pPr>
    </w:p>
    <w:p w14:paraId="61E0758B" w14:textId="6CE28324" w:rsidR="002A0EBF" w:rsidRDefault="002A0EBF" w:rsidP="002B2906">
      <w:pPr>
        <w:tabs>
          <w:tab w:val="left" w:pos="720"/>
          <w:tab w:val="left" w:pos="1440"/>
          <w:tab w:val="left" w:pos="2160"/>
          <w:tab w:val="left" w:pos="2880"/>
          <w:tab w:val="left" w:pos="3600"/>
          <w:tab w:val="center" w:pos="4513"/>
        </w:tabs>
        <w:spacing w:line="480" w:lineRule="auto"/>
        <w:ind w:left="1440" w:hanging="1440"/>
        <w:jc w:val="both"/>
      </w:pPr>
      <w:r>
        <w:rPr>
          <w:b/>
          <w:u w:val="single"/>
        </w:rPr>
        <w:t>Mr Aaron Wade Engelbrecht</w:t>
      </w:r>
    </w:p>
    <w:p w14:paraId="69D58148" w14:textId="26CB0615" w:rsidR="00E45FB5" w:rsidRDefault="004647C0" w:rsidP="002A0EBF">
      <w:pPr>
        <w:tabs>
          <w:tab w:val="left" w:pos="720"/>
          <w:tab w:val="left" w:pos="1440"/>
          <w:tab w:val="left" w:pos="2160"/>
          <w:tab w:val="left" w:pos="2880"/>
          <w:tab w:val="left" w:pos="3600"/>
          <w:tab w:val="center" w:pos="4513"/>
        </w:tabs>
        <w:spacing w:line="480" w:lineRule="auto"/>
        <w:ind w:left="720" w:hanging="720"/>
        <w:jc w:val="both"/>
      </w:pPr>
      <w:r>
        <w:t>5</w:t>
      </w:r>
      <w:r w:rsidR="004C1F65">
        <w:t>5</w:t>
      </w:r>
      <w:r w:rsidR="00E45FB5">
        <w:t>]</w:t>
      </w:r>
      <w:r w:rsidR="00E45FB5">
        <w:tab/>
        <w:t>He has been employed at defendant</w:t>
      </w:r>
      <w:r w:rsidR="002A0EBF">
        <w:t xml:space="preserve"> for the past 10-11 years and is the sales </w:t>
      </w:r>
    </w:p>
    <w:p w14:paraId="48CDEE7E" w14:textId="6F362D26" w:rsidR="002A0EBF" w:rsidRDefault="00E45FB5" w:rsidP="002A0EBF">
      <w:pPr>
        <w:tabs>
          <w:tab w:val="left" w:pos="720"/>
          <w:tab w:val="left" w:pos="1440"/>
          <w:tab w:val="left" w:pos="2160"/>
          <w:tab w:val="left" w:pos="2880"/>
          <w:tab w:val="left" w:pos="3600"/>
          <w:tab w:val="center" w:pos="4513"/>
        </w:tabs>
        <w:spacing w:line="480" w:lineRule="auto"/>
        <w:ind w:left="720" w:hanging="720"/>
        <w:jc w:val="both"/>
      </w:pPr>
      <w:r>
        <w:tab/>
      </w:r>
      <w:r w:rsidR="002A0EBF">
        <w:t>director.</w:t>
      </w:r>
    </w:p>
    <w:p w14:paraId="3C47B54F" w14:textId="77777777" w:rsidR="002A0EBF" w:rsidRDefault="002A0EBF" w:rsidP="002A0EBF">
      <w:pPr>
        <w:tabs>
          <w:tab w:val="left" w:pos="720"/>
          <w:tab w:val="left" w:pos="1440"/>
          <w:tab w:val="left" w:pos="2160"/>
          <w:tab w:val="left" w:pos="2880"/>
          <w:tab w:val="left" w:pos="3600"/>
          <w:tab w:val="center" w:pos="4513"/>
        </w:tabs>
        <w:spacing w:line="480" w:lineRule="auto"/>
        <w:jc w:val="both"/>
      </w:pPr>
    </w:p>
    <w:p w14:paraId="260373A3" w14:textId="219B88E9" w:rsidR="002A0EBF" w:rsidRDefault="004647C0" w:rsidP="002A0EBF">
      <w:pPr>
        <w:tabs>
          <w:tab w:val="left" w:pos="720"/>
          <w:tab w:val="left" w:pos="1440"/>
          <w:tab w:val="left" w:pos="2160"/>
          <w:tab w:val="left" w:pos="2880"/>
          <w:tab w:val="left" w:pos="3600"/>
          <w:tab w:val="center" w:pos="4513"/>
        </w:tabs>
        <w:spacing w:line="480" w:lineRule="auto"/>
        <w:ind w:left="720" w:hanging="720"/>
        <w:jc w:val="both"/>
      </w:pPr>
      <w:r>
        <w:lastRenderedPageBreak/>
        <w:t>5</w:t>
      </w:r>
      <w:r w:rsidR="004C1F65">
        <w:t>6</w:t>
      </w:r>
      <w:r w:rsidR="002A0EBF">
        <w:t>]</w:t>
      </w:r>
      <w:r w:rsidR="002A0EBF">
        <w:tab/>
        <w:t xml:space="preserve">He testified that, insofar as the MK1 design is concerned, the initial production run was done prior to </w:t>
      </w:r>
      <w:r w:rsidR="00E45FB5">
        <w:t>plaintiff’s</w:t>
      </w:r>
      <w:r w:rsidR="002A0EBF">
        <w:t xml:space="preserve"> letter of demand. After the letter production was halted, the design was changed a</w:t>
      </w:r>
      <w:r w:rsidR="00E45FB5">
        <w:t>nd so</w:t>
      </w:r>
      <w:r w:rsidR="002A0EBF">
        <w:t xml:space="preserve"> was the bar code.</w:t>
      </w:r>
    </w:p>
    <w:p w14:paraId="3602D632" w14:textId="77777777" w:rsidR="002A0EBF" w:rsidRDefault="002A0EBF" w:rsidP="002A0EBF">
      <w:pPr>
        <w:tabs>
          <w:tab w:val="left" w:pos="720"/>
          <w:tab w:val="left" w:pos="1440"/>
          <w:tab w:val="left" w:pos="2160"/>
          <w:tab w:val="left" w:pos="2880"/>
          <w:tab w:val="left" w:pos="3600"/>
          <w:tab w:val="center" w:pos="4513"/>
        </w:tabs>
        <w:spacing w:line="480" w:lineRule="auto"/>
        <w:jc w:val="both"/>
      </w:pPr>
    </w:p>
    <w:p w14:paraId="217C6D3E" w14:textId="3DC1A921" w:rsidR="002A0EBF" w:rsidRDefault="004C1F65" w:rsidP="00DD4790">
      <w:pPr>
        <w:tabs>
          <w:tab w:val="left" w:pos="720"/>
          <w:tab w:val="left" w:pos="1440"/>
          <w:tab w:val="left" w:pos="2160"/>
          <w:tab w:val="left" w:pos="2880"/>
          <w:tab w:val="left" w:pos="3600"/>
          <w:tab w:val="center" w:pos="4513"/>
        </w:tabs>
        <w:spacing w:line="480" w:lineRule="auto"/>
        <w:ind w:left="720" w:hanging="720"/>
        <w:jc w:val="both"/>
      </w:pPr>
      <w:r>
        <w:t>57</w:t>
      </w:r>
      <w:r w:rsidR="00E45FB5">
        <w:t>]</w:t>
      </w:r>
      <w:r w:rsidR="00E45FB5">
        <w:tab/>
        <w:t>A</w:t>
      </w:r>
      <w:r w:rsidR="002A0EBF">
        <w:t>s to why these products appear on an invoice post-undert</w:t>
      </w:r>
      <w:r w:rsidR="00DD4790">
        <w:t>aking, his explanation in my view was rather uns</w:t>
      </w:r>
      <w:r w:rsidR="00E45FB5">
        <w:t xml:space="preserve">atisfying – he stated that defendant </w:t>
      </w:r>
      <w:r w:rsidR="00DD4790">
        <w:t xml:space="preserve">has some 700 part codes and sometimes there is a delay in receiving the stock and invoicing the stock i.e. </w:t>
      </w:r>
      <w:r w:rsidR="00E45FB5">
        <w:t xml:space="preserve">his explanation is that </w:t>
      </w:r>
      <w:r w:rsidR="00DD4790">
        <w:t xml:space="preserve">the stock went out prior to the letter and was only invoiced at a later stage. He said </w:t>
      </w:r>
      <w:r w:rsidR="00DD4790">
        <w:rPr>
          <w:i/>
        </w:rPr>
        <w:t>“sometimes there is a slip by mistake”</w:t>
      </w:r>
      <w:r w:rsidR="00DD4790">
        <w:t>.</w:t>
      </w:r>
    </w:p>
    <w:p w14:paraId="1A6ED82C" w14:textId="77777777" w:rsidR="00DD4790" w:rsidRDefault="00DD4790" w:rsidP="002A0EBF">
      <w:pPr>
        <w:tabs>
          <w:tab w:val="left" w:pos="720"/>
          <w:tab w:val="left" w:pos="1440"/>
          <w:tab w:val="left" w:pos="2160"/>
          <w:tab w:val="left" w:pos="2880"/>
          <w:tab w:val="left" w:pos="3600"/>
          <w:tab w:val="center" w:pos="4513"/>
        </w:tabs>
        <w:spacing w:line="480" w:lineRule="auto"/>
        <w:jc w:val="both"/>
      </w:pPr>
    </w:p>
    <w:p w14:paraId="0F601969" w14:textId="32DA5AE8" w:rsidR="00DD4790" w:rsidRDefault="004C1F65" w:rsidP="00BE4958">
      <w:pPr>
        <w:tabs>
          <w:tab w:val="left" w:pos="720"/>
          <w:tab w:val="left" w:pos="1440"/>
          <w:tab w:val="left" w:pos="2160"/>
          <w:tab w:val="left" w:pos="2880"/>
          <w:tab w:val="left" w:pos="3600"/>
          <w:tab w:val="center" w:pos="4513"/>
        </w:tabs>
        <w:spacing w:line="480" w:lineRule="auto"/>
        <w:ind w:left="720" w:hanging="720"/>
        <w:jc w:val="both"/>
      </w:pPr>
      <w:r>
        <w:t>58</w:t>
      </w:r>
      <w:r w:rsidR="00DD4790">
        <w:t>]</w:t>
      </w:r>
      <w:r w:rsidR="00DD4790">
        <w:tab/>
      </w:r>
      <w:r w:rsidR="00FB2783">
        <w:t xml:space="preserve">Regarding </w:t>
      </w:r>
      <w:r w:rsidR="00E45FB5">
        <w:t xml:space="preserve">the brochure featuring plaintiff’s </w:t>
      </w:r>
      <w:r w:rsidR="00DD4790">
        <w:t xml:space="preserve">products – the excuse was that </w:t>
      </w:r>
      <w:r w:rsidR="00E45FB5">
        <w:t>defndant’</w:t>
      </w:r>
      <w:r w:rsidR="00DD4790">
        <w:t xml:space="preserve">s marketing was handled by an outside company and once they received the </w:t>
      </w:r>
      <w:r w:rsidR="00E45FB5">
        <w:t xml:space="preserve">letter of </w:t>
      </w:r>
      <w:r w:rsidR="00DD4790">
        <w:t xml:space="preserve">demand they </w:t>
      </w:r>
      <w:r w:rsidR="00DD4790">
        <w:rPr>
          <w:i/>
        </w:rPr>
        <w:t>“did not proceed with the manufacture of these designs”</w:t>
      </w:r>
      <w:r w:rsidR="00E45FB5">
        <w:t xml:space="preserve"> but he conceded that defendant</w:t>
      </w:r>
      <w:r w:rsidR="00DD4790">
        <w:t xml:space="preserve"> sold the</w:t>
      </w:r>
      <w:r w:rsidR="00E45FB5">
        <w:t xml:space="preserve"> MK1 design until February 2018</w:t>
      </w:r>
      <w:r w:rsidR="00DD4790">
        <w:rPr>
          <w:rStyle w:val="FootnoteReference"/>
        </w:rPr>
        <w:footnoteReference w:id="42"/>
      </w:r>
      <w:r w:rsidR="00E45FB5">
        <w:t>.</w:t>
      </w:r>
    </w:p>
    <w:p w14:paraId="6A205CBA" w14:textId="77777777" w:rsidR="00BE4958" w:rsidRDefault="00BE4958" w:rsidP="00BE4958">
      <w:pPr>
        <w:tabs>
          <w:tab w:val="left" w:pos="720"/>
          <w:tab w:val="left" w:pos="1440"/>
          <w:tab w:val="left" w:pos="2160"/>
          <w:tab w:val="left" w:pos="2880"/>
          <w:tab w:val="left" w:pos="3600"/>
          <w:tab w:val="center" w:pos="4513"/>
        </w:tabs>
        <w:spacing w:line="480" w:lineRule="auto"/>
        <w:ind w:left="720" w:hanging="720"/>
        <w:jc w:val="both"/>
      </w:pPr>
    </w:p>
    <w:p w14:paraId="76924939" w14:textId="75349496" w:rsidR="00BE4958" w:rsidRPr="00DD4790" w:rsidRDefault="004C1F65" w:rsidP="00BE4958">
      <w:pPr>
        <w:tabs>
          <w:tab w:val="left" w:pos="720"/>
          <w:tab w:val="left" w:pos="1440"/>
          <w:tab w:val="left" w:pos="2160"/>
          <w:tab w:val="left" w:pos="2880"/>
          <w:tab w:val="left" w:pos="3600"/>
          <w:tab w:val="center" w:pos="4513"/>
        </w:tabs>
        <w:spacing w:line="480" w:lineRule="auto"/>
        <w:ind w:left="720" w:hanging="720"/>
        <w:jc w:val="both"/>
      </w:pPr>
      <w:r>
        <w:t>59</w:t>
      </w:r>
      <w:r w:rsidR="00BE4958">
        <w:t>]</w:t>
      </w:r>
      <w:r w:rsidR="00BE4958">
        <w:tab/>
        <w:t xml:space="preserve">Whilst I did not find him a bad witness </w:t>
      </w:r>
      <w:r w:rsidR="00BE4958" w:rsidRPr="00E45FB5">
        <w:rPr>
          <w:i/>
        </w:rPr>
        <w:t>per se</w:t>
      </w:r>
      <w:r w:rsidR="00BE4958">
        <w:t xml:space="preserve">, I did not find him an impressive witness either. As with Engelbrecht Snr, he took no responsibility for </w:t>
      </w:r>
      <w:r w:rsidR="00E45FB5">
        <w:t>defendant’</w:t>
      </w:r>
      <w:r w:rsidR="00BE4958">
        <w:t xml:space="preserve">s blatant copying the </w:t>
      </w:r>
      <w:r w:rsidR="00E45FB5">
        <w:t xml:space="preserve">plaintiff’s design, </w:t>
      </w:r>
      <w:r w:rsidR="00BE4958">
        <w:t xml:space="preserve">nor the fact that stock was sold and </w:t>
      </w:r>
      <w:r w:rsidR="00E45FB5">
        <w:t>invoiced despite</w:t>
      </w:r>
      <w:r w:rsidR="00BE4958">
        <w:t xml:space="preserve"> an undertaking. This leads one to the inevitable conclusion </w:t>
      </w:r>
      <w:r w:rsidR="00E45FB5">
        <w:t>that the conduct was deliberate.</w:t>
      </w:r>
    </w:p>
    <w:p w14:paraId="4767041E" w14:textId="77777777" w:rsidR="002A0EBF" w:rsidRDefault="002A0EBF" w:rsidP="002B2906">
      <w:pPr>
        <w:tabs>
          <w:tab w:val="left" w:pos="720"/>
          <w:tab w:val="left" w:pos="1440"/>
          <w:tab w:val="left" w:pos="2160"/>
          <w:tab w:val="left" w:pos="2880"/>
          <w:tab w:val="left" w:pos="3600"/>
          <w:tab w:val="center" w:pos="4513"/>
        </w:tabs>
        <w:spacing w:line="480" w:lineRule="auto"/>
        <w:ind w:left="1440" w:hanging="1440"/>
        <w:jc w:val="both"/>
      </w:pPr>
    </w:p>
    <w:p w14:paraId="2C8B88EC" w14:textId="462C2F85" w:rsidR="0038221C" w:rsidRPr="0038221C" w:rsidRDefault="0038221C" w:rsidP="002B2906">
      <w:pPr>
        <w:tabs>
          <w:tab w:val="left" w:pos="720"/>
          <w:tab w:val="left" w:pos="1440"/>
          <w:tab w:val="left" w:pos="2160"/>
          <w:tab w:val="left" w:pos="2880"/>
          <w:tab w:val="left" w:pos="3600"/>
          <w:tab w:val="center" w:pos="4513"/>
        </w:tabs>
        <w:spacing w:line="480" w:lineRule="auto"/>
        <w:ind w:left="1440" w:hanging="1440"/>
        <w:jc w:val="both"/>
        <w:rPr>
          <w:b/>
          <w:u w:val="single"/>
        </w:rPr>
      </w:pPr>
      <w:r>
        <w:rPr>
          <w:b/>
          <w:u w:val="single"/>
        </w:rPr>
        <w:lastRenderedPageBreak/>
        <w:t>Mr Kurt Frank Brunner</w:t>
      </w:r>
    </w:p>
    <w:p w14:paraId="5CD65632" w14:textId="7CDE796A" w:rsidR="00095C5A" w:rsidRDefault="004C1F65" w:rsidP="00442E41">
      <w:pPr>
        <w:tabs>
          <w:tab w:val="left" w:pos="720"/>
          <w:tab w:val="left" w:pos="1440"/>
          <w:tab w:val="left" w:pos="2160"/>
          <w:tab w:val="left" w:pos="2880"/>
          <w:tab w:val="left" w:pos="3600"/>
          <w:tab w:val="center" w:pos="4513"/>
        </w:tabs>
        <w:spacing w:line="480" w:lineRule="auto"/>
        <w:ind w:left="720" w:hanging="720"/>
        <w:jc w:val="both"/>
      </w:pPr>
      <w:r>
        <w:t>60</w:t>
      </w:r>
      <w:r w:rsidR="0038221C">
        <w:t>]</w:t>
      </w:r>
      <w:r w:rsidR="00D13ED4">
        <w:tab/>
      </w:r>
      <w:r w:rsidR="00442E41">
        <w:t xml:space="preserve">Brunner has been employed at 4 x 4 Megaworld Johannesburg and deals with nudge bars and sports bar </w:t>
      </w:r>
      <w:r w:rsidR="00442E41">
        <w:rPr>
          <w:i/>
        </w:rPr>
        <w:t>“on a small scale</w:t>
      </w:r>
      <w:r w:rsidR="00442E41">
        <w:t>”.</w:t>
      </w:r>
    </w:p>
    <w:p w14:paraId="10371D34" w14:textId="77777777" w:rsidR="00442E41" w:rsidRDefault="00442E41" w:rsidP="00105AD1">
      <w:pPr>
        <w:tabs>
          <w:tab w:val="left" w:pos="720"/>
          <w:tab w:val="left" w:pos="1440"/>
          <w:tab w:val="left" w:pos="2160"/>
          <w:tab w:val="left" w:pos="2880"/>
          <w:tab w:val="left" w:pos="3600"/>
          <w:tab w:val="center" w:pos="4513"/>
        </w:tabs>
        <w:spacing w:line="480" w:lineRule="auto"/>
        <w:jc w:val="both"/>
      </w:pPr>
    </w:p>
    <w:p w14:paraId="0AFAF24E" w14:textId="4C5453F9" w:rsidR="00442E41" w:rsidRDefault="004C1F65" w:rsidP="00442E41">
      <w:pPr>
        <w:tabs>
          <w:tab w:val="left" w:pos="720"/>
          <w:tab w:val="left" w:pos="1440"/>
          <w:tab w:val="left" w:pos="2160"/>
          <w:tab w:val="left" w:pos="2880"/>
          <w:tab w:val="left" w:pos="3600"/>
          <w:tab w:val="center" w:pos="4513"/>
        </w:tabs>
        <w:spacing w:line="480" w:lineRule="auto"/>
        <w:ind w:left="720" w:hanging="720"/>
        <w:jc w:val="both"/>
      </w:pPr>
      <w:r>
        <w:t>61</w:t>
      </w:r>
      <w:r w:rsidR="00442E41">
        <w:t>]</w:t>
      </w:r>
      <w:r w:rsidR="00442E41">
        <w:tab/>
        <w:t>His evidence was to the effect that nudge bars and sports bars have been available in South Africa for the past 15 years.</w:t>
      </w:r>
    </w:p>
    <w:p w14:paraId="33E2A2C2" w14:textId="77777777" w:rsidR="00442E41" w:rsidRDefault="00442E41" w:rsidP="00105AD1">
      <w:pPr>
        <w:tabs>
          <w:tab w:val="left" w:pos="720"/>
          <w:tab w:val="left" w:pos="1440"/>
          <w:tab w:val="left" w:pos="2160"/>
          <w:tab w:val="left" w:pos="2880"/>
          <w:tab w:val="left" w:pos="3600"/>
          <w:tab w:val="center" w:pos="4513"/>
        </w:tabs>
        <w:spacing w:line="480" w:lineRule="auto"/>
        <w:jc w:val="both"/>
      </w:pPr>
    </w:p>
    <w:p w14:paraId="188AC2F2" w14:textId="0926B803" w:rsidR="00442E41" w:rsidRDefault="004C1F65" w:rsidP="00442E41">
      <w:pPr>
        <w:tabs>
          <w:tab w:val="left" w:pos="720"/>
          <w:tab w:val="left" w:pos="1440"/>
          <w:tab w:val="left" w:pos="2160"/>
          <w:tab w:val="left" w:pos="2880"/>
          <w:tab w:val="left" w:pos="3600"/>
          <w:tab w:val="center" w:pos="4513"/>
        </w:tabs>
        <w:spacing w:line="480" w:lineRule="auto"/>
        <w:ind w:left="720" w:hanging="720"/>
        <w:jc w:val="both"/>
      </w:pPr>
      <w:r>
        <w:t>62</w:t>
      </w:r>
      <w:r w:rsidR="00442E41">
        <w:t>]</w:t>
      </w:r>
      <w:r w:rsidR="00442E41">
        <w:tab/>
        <w:t>According to him, the cross member of the ARB nudge bar</w:t>
      </w:r>
      <w:r w:rsidR="009F592F">
        <w:rPr>
          <w:rStyle w:val="FootnoteReference"/>
        </w:rPr>
        <w:footnoteReference w:id="43"/>
      </w:r>
      <w:r w:rsidR="00442E41">
        <w:t xml:space="preserve"> has 5 sides and a top </w:t>
      </w:r>
      <w:r w:rsidR="009F592F">
        <w:t>edge which has 2 holes for spot</w:t>
      </w:r>
      <w:r w:rsidR="00442E41">
        <w:t xml:space="preserve">lights to be attached. </w:t>
      </w:r>
      <w:r w:rsidR="009F592F">
        <w:t>His evidence was that a</w:t>
      </w:r>
      <w:r w:rsidR="00442E41">
        <w:t xml:space="preserve"> cross me</w:t>
      </w:r>
      <w:r w:rsidR="009F592F">
        <w:t>mber, similar in shape to plaintiff’s</w:t>
      </w:r>
      <w:r w:rsidR="00442E41">
        <w:t xml:space="preserve"> </w:t>
      </w:r>
      <w:r w:rsidR="009F592F">
        <w:t>P</w:t>
      </w:r>
      <w:r w:rsidR="00442E41">
        <w:t>olygon design, has been available in South Africa for the past 15 years when his company began importi</w:t>
      </w:r>
      <w:r w:rsidR="009F592F">
        <w:t>ng it. The main difference is that</w:t>
      </w:r>
      <w:r w:rsidR="00442E41">
        <w:t xml:space="preserve"> the cross</w:t>
      </w:r>
      <w:r w:rsidR="009F592F">
        <w:t>bar of the nudge bar</w:t>
      </w:r>
      <w:r w:rsidR="00442E41">
        <w:t xml:space="preserve"> has an open back on which the spotlights are mounted.</w:t>
      </w:r>
    </w:p>
    <w:p w14:paraId="57DD7912" w14:textId="77777777" w:rsidR="00442E41" w:rsidRDefault="00442E41" w:rsidP="00442E41">
      <w:pPr>
        <w:tabs>
          <w:tab w:val="left" w:pos="720"/>
          <w:tab w:val="left" w:pos="1440"/>
          <w:tab w:val="left" w:pos="2160"/>
          <w:tab w:val="left" w:pos="2880"/>
          <w:tab w:val="left" w:pos="3600"/>
          <w:tab w:val="center" w:pos="4513"/>
        </w:tabs>
        <w:spacing w:line="480" w:lineRule="auto"/>
        <w:ind w:left="720" w:hanging="720"/>
        <w:jc w:val="both"/>
      </w:pPr>
    </w:p>
    <w:p w14:paraId="2163E1A0" w14:textId="6FFF9004" w:rsidR="00184C2D" w:rsidRDefault="004C1F65" w:rsidP="00442E41">
      <w:pPr>
        <w:tabs>
          <w:tab w:val="left" w:pos="720"/>
          <w:tab w:val="left" w:pos="1440"/>
          <w:tab w:val="left" w:pos="2160"/>
          <w:tab w:val="left" w:pos="2880"/>
          <w:tab w:val="left" w:pos="3600"/>
          <w:tab w:val="center" w:pos="4513"/>
        </w:tabs>
        <w:spacing w:line="480" w:lineRule="auto"/>
        <w:ind w:left="720" w:hanging="720"/>
        <w:jc w:val="both"/>
      </w:pPr>
      <w:r>
        <w:t>63</w:t>
      </w:r>
      <w:r w:rsidR="00442E41">
        <w:t>]</w:t>
      </w:r>
      <w:r w:rsidR="00442E41">
        <w:tab/>
      </w:r>
      <w:r w:rsidR="00184C2D">
        <w:t xml:space="preserve">I did not find Mr Brunner’s evidence of particular value. It is clear that, whilst the idea of the nudge bar and the sports bar had been developed in early 2003, it was a manifestly different design to that </w:t>
      </w:r>
      <w:r w:rsidR="00152D74">
        <w:t xml:space="preserve">with </w:t>
      </w:r>
      <w:r w:rsidR="00184C2D">
        <w:t xml:space="preserve">which we are dealing today. The ARB designs also did not impress me as being particularly helpful or similar as they were also easily differentiated in design, more especially </w:t>
      </w:r>
      <w:r w:rsidR="008F253B">
        <w:t xml:space="preserve">in the look of the hoop and how it is attached </w:t>
      </w:r>
      <w:r w:rsidR="00184C2D">
        <w:t>to the vehicle.</w:t>
      </w:r>
    </w:p>
    <w:p w14:paraId="7A1F52D1" w14:textId="77777777" w:rsidR="00184C2D" w:rsidRDefault="00184C2D" w:rsidP="00442E41">
      <w:pPr>
        <w:tabs>
          <w:tab w:val="left" w:pos="720"/>
          <w:tab w:val="left" w:pos="1440"/>
          <w:tab w:val="left" w:pos="2160"/>
          <w:tab w:val="left" w:pos="2880"/>
          <w:tab w:val="left" w:pos="3600"/>
          <w:tab w:val="center" w:pos="4513"/>
        </w:tabs>
        <w:spacing w:line="480" w:lineRule="auto"/>
        <w:ind w:left="720" w:hanging="720"/>
        <w:jc w:val="both"/>
      </w:pPr>
    </w:p>
    <w:p w14:paraId="667A801A" w14:textId="01152029" w:rsidR="00442E41" w:rsidRDefault="004C1F65" w:rsidP="00442E41">
      <w:pPr>
        <w:tabs>
          <w:tab w:val="left" w:pos="720"/>
          <w:tab w:val="left" w:pos="1440"/>
          <w:tab w:val="left" w:pos="2160"/>
          <w:tab w:val="left" w:pos="2880"/>
          <w:tab w:val="left" w:pos="3600"/>
          <w:tab w:val="center" w:pos="4513"/>
        </w:tabs>
        <w:spacing w:line="480" w:lineRule="auto"/>
        <w:ind w:left="720" w:hanging="720"/>
        <w:jc w:val="both"/>
      </w:pPr>
      <w:r>
        <w:t>64</w:t>
      </w:r>
      <w:r w:rsidR="00DE461F">
        <w:t>]</w:t>
      </w:r>
      <w:r w:rsidR="00DE461F">
        <w:tab/>
      </w:r>
      <w:r w:rsidR="00442E41">
        <w:t>This then concluded all the evidence.</w:t>
      </w:r>
    </w:p>
    <w:p w14:paraId="1857A89E" w14:textId="77777777" w:rsidR="00442E41" w:rsidRDefault="00442E41" w:rsidP="00442E41">
      <w:pPr>
        <w:tabs>
          <w:tab w:val="left" w:pos="720"/>
          <w:tab w:val="left" w:pos="1440"/>
          <w:tab w:val="left" w:pos="2160"/>
          <w:tab w:val="left" w:pos="2880"/>
          <w:tab w:val="left" w:pos="3600"/>
          <w:tab w:val="center" w:pos="4513"/>
        </w:tabs>
        <w:spacing w:line="480" w:lineRule="auto"/>
        <w:ind w:left="720" w:hanging="720"/>
        <w:jc w:val="both"/>
      </w:pPr>
    </w:p>
    <w:p w14:paraId="7DDE3A2A" w14:textId="77777777" w:rsidR="00FB2783" w:rsidRDefault="00FB2783" w:rsidP="00442E41">
      <w:pPr>
        <w:tabs>
          <w:tab w:val="left" w:pos="720"/>
          <w:tab w:val="left" w:pos="1440"/>
          <w:tab w:val="left" w:pos="2160"/>
          <w:tab w:val="left" w:pos="2880"/>
          <w:tab w:val="left" w:pos="3600"/>
          <w:tab w:val="center" w:pos="4513"/>
        </w:tabs>
        <w:spacing w:line="480" w:lineRule="auto"/>
        <w:ind w:left="720" w:hanging="720"/>
        <w:jc w:val="both"/>
      </w:pPr>
    </w:p>
    <w:p w14:paraId="0DECCF19" w14:textId="1841942C" w:rsidR="00442E41" w:rsidRDefault="00442E41" w:rsidP="00442E41">
      <w:pPr>
        <w:tabs>
          <w:tab w:val="left" w:pos="720"/>
          <w:tab w:val="left" w:pos="1440"/>
          <w:tab w:val="left" w:pos="2160"/>
          <w:tab w:val="left" w:pos="2880"/>
          <w:tab w:val="left" w:pos="3600"/>
          <w:tab w:val="center" w:pos="4513"/>
        </w:tabs>
        <w:spacing w:line="480" w:lineRule="auto"/>
        <w:ind w:left="720" w:hanging="720"/>
        <w:jc w:val="both"/>
      </w:pPr>
      <w:r>
        <w:rPr>
          <w:b/>
          <w:u w:val="single"/>
        </w:rPr>
        <w:lastRenderedPageBreak/>
        <w:t>The inspection in loco</w:t>
      </w:r>
    </w:p>
    <w:p w14:paraId="26DE1D19" w14:textId="10283B74" w:rsidR="00442E41" w:rsidRDefault="004C1F65" w:rsidP="00442E41">
      <w:pPr>
        <w:tabs>
          <w:tab w:val="left" w:pos="720"/>
          <w:tab w:val="left" w:pos="1440"/>
          <w:tab w:val="left" w:pos="2160"/>
          <w:tab w:val="left" w:pos="2880"/>
          <w:tab w:val="left" w:pos="3600"/>
          <w:tab w:val="center" w:pos="4513"/>
        </w:tabs>
        <w:spacing w:line="480" w:lineRule="auto"/>
        <w:ind w:left="720" w:hanging="720"/>
        <w:jc w:val="both"/>
      </w:pPr>
      <w:r>
        <w:t>65</w:t>
      </w:r>
      <w:r w:rsidR="00442E41">
        <w:t>]</w:t>
      </w:r>
      <w:r w:rsidR="00442E41">
        <w:tab/>
        <w:t xml:space="preserve">An inspection </w:t>
      </w:r>
      <w:r w:rsidR="00442E41" w:rsidRPr="00157E55">
        <w:rPr>
          <w:i/>
        </w:rPr>
        <w:t>in loco</w:t>
      </w:r>
      <w:r w:rsidR="00442E41">
        <w:t xml:space="preserve"> was then conducted at the offices of Adams &amp; Adams. During this inspection a video clip was taken which has been loaded onto CaseL</w:t>
      </w:r>
      <w:r w:rsidR="00E909DA">
        <w:t>ines. What was clear from this inspection is that:</w:t>
      </w:r>
    </w:p>
    <w:p w14:paraId="52B1EB07" w14:textId="56790A6F" w:rsidR="00E909DA" w:rsidRDefault="00E909DA" w:rsidP="00E909DA">
      <w:pPr>
        <w:tabs>
          <w:tab w:val="left" w:pos="720"/>
          <w:tab w:val="left" w:pos="1440"/>
          <w:tab w:val="left" w:pos="2160"/>
          <w:tab w:val="left" w:pos="2880"/>
          <w:tab w:val="left" w:pos="3600"/>
          <w:tab w:val="center" w:pos="4513"/>
        </w:tabs>
        <w:spacing w:line="480" w:lineRule="auto"/>
        <w:ind w:left="1440" w:hanging="1440"/>
        <w:jc w:val="both"/>
      </w:pPr>
      <w:r>
        <w:tab/>
        <w:t>6</w:t>
      </w:r>
      <w:r w:rsidR="004C1F65">
        <w:t>5</w:t>
      </w:r>
      <w:r>
        <w:t>.1</w:t>
      </w:r>
      <w:r>
        <w:tab/>
        <w:t>to the naked eye there is no discernable di</w:t>
      </w:r>
      <w:r w:rsidR="00157E55">
        <w:t>fference between a rounded cross</w:t>
      </w:r>
      <w:r>
        <w:t xml:space="preserve">bar and an oval one and this is especially the case with the </w:t>
      </w:r>
      <w:r w:rsidR="00157E55">
        <w:t>Louvre designs where the cross</w:t>
      </w:r>
      <w:r>
        <w:t>bar is rounded initially and where it joins the hoop it is oval. The only way to discern between the two was by touch;</w:t>
      </w:r>
    </w:p>
    <w:p w14:paraId="516A4CD3" w14:textId="77777777" w:rsidR="00FB2783" w:rsidRDefault="00FB2783" w:rsidP="00E909DA">
      <w:pPr>
        <w:tabs>
          <w:tab w:val="left" w:pos="720"/>
          <w:tab w:val="left" w:pos="1440"/>
          <w:tab w:val="left" w:pos="2160"/>
          <w:tab w:val="left" w:pos="2880"/>
          <w:tab w:val="left" w:pos="3600"/>
          <w:tab w:val="center" w:pos="4513"/>
        </w:tabs>
        <w:spacing w:line="480" w:lineRule="auto"/>
        <w:ind w:left="1440" w:hanging="1440"/>
        <w:jc w:val="both"/>
      </w:pPr>
    </w:p>
    <w:p w14:paraId="794AB7AA" w14:textId="0CC4411F" w:rsidR="00E909DA" w:rsidRDefault="004C1F65" w:rsidP="00E909DA">
      <w:pPr>
        <w:tabs>
          <w:tab w:val="left" w:pos="720"/>
          <w:tab w:val="left" w:pos="1440"/>
          <w:tab w:val="left" w:pos="2160"/>
          <w:tab w:val="left" w:pos="2880"/>
          <w:tab w:val="left" w:pos="3600"/>
          <w:tab w:val="center" w:pos="4513"/>
        </w:tabs>
        <w:spacing w:line="480" w:lineRule="auto"/>
        <w:ind w:left="1440" w:hanging="1440"/>
        <w:jc w:val="both"/>
      </w:pPr>
      <w:r>
        <w:tab/>
        <w:t>65</w:t>
      </w:r>
      <w:r w:rsidR="00157E55">
        <w:t>.2</w:t>
      </w:r>
      <w:r w:rsidR="00157E55">
        <w:tab/>
        <w:t>the differences between plaintiff’s P</w:t>
      </w:r>
      <w:r w:rsidR="00E909DA">
        <w:t xml:space="preserve">olygon design and </w:t>
      </w:r>
      <w:r w:rsidR="00157E55">
        <w:t>defendant’s, specifically insofar as whether they have 6 or 5 facets,</w:t>
      </w:r>
      <w:r w:rsidR="00E909DA">
        <w:t xml:space="preserve"> is also negligible. The designs are virtually the same and require pointing out to be specifically noticeable;</w:t>
      </w:r>
    </w:p>
    <w:p w14:paraId="76122652" w14:textId="77777777" w:rsidR="00FB2783" w:rsidRDefault="004C1F65" w:rsidP="00E909DA">
      <w:pPr>
        <w:tabs>
          <w:tab w:val="left" w:pos="720"/>
          <w:tab w:val="left" w:pos="1440"/>
          <w:tab w:val="left" w:pos="2160"/>
          <w:tab w:val="left" w:pos="2880"/>
          <w:tab w:val="left" w:pos="3600"/>
          <w:tab w:val="center" w:pos="4513"/>
        </w:tabs>
        <w:spacing w:line="480" w:lineRule="auto"/>
        <w:ind w:left="1440" w:hanging="1440"/>
        <w:jc w:val="both"/>
      </w:pPr>
      <w:r>
        <w:tab/>
      </w:r>
    </w:p>
    <w:p w14:paraId="30BBCD24" w14:textId="139DF564" w:rsidR="00E909DA" w:rsidRDefault="00FB2783" w:rsidP="00E909DA">
      <w:pPr>
        <w:tabs>
          <w:tab w:val="left" w:pos="720"/>
          <w:tab w:val="left" w:pos="1440"/>
          <w:tab w:val="left" w:pos="2160"/>
          <w:tab w:val="left" w:pos="2880"/>
          <w:tab w:val="left" w:pos="3600"/>
          <w:tab w:val="center" w:pos="4513"/>
        </w:tabs>
        <w:spacing w:line="480" w:lineRule="auto"/>
        <w:ind w:left="1440" w:hanging="1440"/>
        <w:jc w:val="both"/>
      </w:pPr>
      <w:r>
        <w:tab/>
      </w:r>
      <w:r w:rsidR="004C1F65">
        <w:t>65</w:t>
      </w:r>
      <w:r w:rsidR="00E909DA">
        <w:t>.3</w:t>
      </w:r>
      <w:r w:rsidR="00E909DA">
        <w:tab/>
      </w:r>
      <w:r w:rsidR="00F32874">
        <w:t xml:space="preserve">the main difference was in the </w:t>
      </w:r>
      <w:r w:rsidR="00157E55">
        <w:t>Louvre</w:t>
      </w:r>
      <w:r w:rsidR="00F32874">
        <w:t xml:space="preserve"> design and this was sol</w:t>
      </w:r>
      <w:r w:rsidR="00157E55">
        <w:t>ely because of the size : the</w:t>
      </w:r>
      <w:r w:rsidR="00F32874">
        <w:t xml:space="preserve"> hoop</w:t>
      </w:r>
      <w:r w:rsidR="00157E55">
        <w:t xml:space="preserve"> on plaintiff’s design</w:t>
      </w:r>
      <w:r w:rsidR="00F32874">
        <w:t xml:space="preserve"> is much larg</w:t>
      </w:r>
      <w:r w:rsidR="00157E55">
        <w:t>er and higher than that of defendant</w:t>
      </w:r>
      <w:r w:rsidR="00F32874">
        <w:t>;</w:t>
      </w:r>
      <w:r>
        <w:t xml:space="preserve"> and</w:t>
      </w:r>
    </w:p>
    <w:p w14:paraId="2156A252" w14:textId="77777777" w:rsidR="00FB2783" w:rsidRDefault="00FB2783" w:rsidP="00E909DA">
      <w:pPr>
        <w:tabs>
          <w:tab w:val="left" w:pos="720"/>
          <w:tab w:val="left" w:pos="1440"/>
          <w:tab w:val="left" w:pos="2160"/>
          <w:tab w:val="left" w:pos="2880"/>
          <w:tab w:val="left" w:pos="3600"/>
          <w:tab w:val="center" w:pos="4513"/>
        </w:tabs>
        <w:spacing w:line="480" w:lineRule="auto"/>
        <w:ind w:left="1440" w:hanging="1440"/>
        <w:jc w:val="both"/>
      </w:pPr>
    </w:p>
    <w:p w14:paraId="6628CFD8" w14:textId="1EEC62A8" w:rsidR="00F32874" w:rsidRDefault="004C1F65" w:rsidP="00E909DA">
      <w:pPr>
        <w:tabs>
          <w:tab w:val="left" w:pos="720"/>
          <w:tab w:val="left" w:pos="1440"/>
          <w:tab w:val="left" w:pos="2160"/>
          <w:tab w:val="left" w:pos="2880"/>
          <w:tab w:val="left" w:pos="3600"/>
          <w:tab w:val="center" w:pos="4513"/>
        </w:tabs>
        <w:spacing w:line="480" w:lineRule="auto"/>
        <w:ind w:left="1440" w:hanging="1440"/>
        <w:jc w:val="both"/>
      </w:pPr>
      <w:r>
        <w:tab/>
        <w:t>65</w:t>
      </w:r>
      <w:r w:rsidR="00F32874">
        <w:t>.4</w:t>
      </w:r>
      <w:r w:rsidR="00F32874">
        <w:tab/>
        <w:t xml:space="preserve">the branding that </w:t>
      </w:r>
      <w:r w:rsidR="00157E55">
        <w:t>defendant</w:t>
      </w:r>
      <w:r w:rsidR="00F32874">
        <w:t xml:space="preserve"> has on its designs did not detract from the sheer similarities of the parties’ </w:t>
      </w:r>
      <w:r w:rsidR="00157E55">
        <w:t xml:space="preserve">respective </w:t>
      </w:r>
      <w:r w:rsidR="00F32874">
        <w:t>designs</w:t>
      </w:r>
      <w:r w:rsidR="00157E55">
        <w:t xml:space="preserve"> when viewed holistically</w:t>
      </w:r>
      <w:r w:rsidR="00F32874">
        <w:t>.</w:t>
      </w:r>
    </w:p>
    <w:p w14:paraId="6FF379E2" w14:textId="59C8F02B" w:rsidR="00F32874" w:rsidRDefault="00523EF4" w:rsidP="00E909DA">
      <w:pPr>
        <w:tabs>
          <w:tab w:val="left" w:pos="720"/>
          <w:tab w:val="left" w:pos="1440"/>
          <w:tab w:val="left" w:pos="2160"/>
          <w:tab w:val="left" w:pos="2880"/>
          <w:tab w:val="left" w:pos="3600"/>
          <w:tab w:val="center" w:pos="4513"/>
        </w:tabs>
        <w:spacing w:line="480" w:lineRule="auto"/>
        <w:ind w:left="1440" w:hanging="1440"/>
        <w:jc w:val="both"/>
      </w:pPr>
      <w:r>
        <w:t xml:space="preserve"> </w:t>
      </w:r>
    </w:p>
    <w:p w14:paraId="26500A9B" w14:textId="337B1F71" w:rsidR="00A90843" w:rsidRDefault="00A90843" w:rsidP="00A90843">
      <w:pPr>
        <w:tabs>
          <w:tab w:val="left" w:pos="720"/>
          <w:tab w:val="left" w:pos="1440"/>
          <w:tab w:val="left" w:pos="2160"/>
          <w:tab w:val="left" w:pos="2880"/>
          <w:tab w:val="left" w:pos="3600"/>
          <w:tab w:val="center" w:pos="4513"/>
        </w:tabs>
        <w:spacing w:line="480" w:lineRule="auto"/>
        <w:jc w:val="both"/>
      </w:pPr>
      <w:r>
        <w:rPr>
          <w:b/>
          <w:u w:val="single"/>
        </w:rPr>
        <w:t>The argument</w:t>
      </w:r>
    </w:p>
    <w:p w14:paraId="1571F650" w14:textId="015D7BAB" w:rsidR="00A90843" w:rsidRDefault="00A90843" w:rsidP="00A90843">
      <w:pPr>
        <w:tabs>
          <w:tab w:val="left" w:pos="720"/>
          <w:tab w:val="left" w:pos="1440"/>
          <w:tab w:val="left" w:pos="2160"/>
          <w:tab w:val="left" w:pos="2880"/>
          <w:tab w:val="left" w:pos="3600"/>
          <w:tab w:val="center" w:pos="4513"/>
        </w:tabs>
        <w:spacing w:line="480" w:lineRule="auto"/>
        <w:ind w:left="720" w:hanging="720"/>
        <w:jc w:val="both"/>
      </w:pPr>
      <w:r>
        <w:t>6</w:t>
      </w:r>
      <w:r w:rsidR="004C1F65">
        <w:t>6</w:t>
      </w:r>
      <w:r>
        <w:t>]</w:t>
      </w:r>
      <w:r>
        <w:tab/>
        <w:t xml:space="preserve">Mr Marriott argues that buyers of the sports bar and nudge bar are ordinary members of the public who have no specific knowledge of the particular item </w:t>
      </w:r>
      <w:r>
        <w:lastRenderedPageBreak/>
        <w:t>they wish to purchase and choose an item because it appeals to them.</w:t>
      </w:r>
      <w:r w:rsidR="00C25538">
        <w:t xml:space="preserve"> Mr Ferreira </w:t>
      </w:r>
      <w:r w:rsidR="003312A0">
        <w:t xml:space="preserve">however </w:t>
      </w:r>
      <w:r w:rsidR="00C25538">
        <w:t>argues that the typical customer is likely to be a discerning customer and an enthusiast who is looking to acquire a “</w:t>
      </w:r>
      <w:r w:rsidR="00C25538">
        <w:rPr>
          <w:i/>
        </w:rPr>
        <w:t xml:space="preserve">less than </w:t>
      </w:r>
      <w:r w:rsidR="00C25538" w:rsidRPr="00C25538">
        <w:rPr>
          <w:i/>
        </w:rPr>
        <w:t>ordinary</w:t>
      </w:r>
      <w:r w:rsidR="00C25538">
        <w:t>” vehicle and who is l</w:t>
      </w:r>
      <w:r w:rsidR="00C25538" w:rsidRPr="00C25538">
        <w:t>ooking</w:t>
      </w:r>
      <w:r w:rsidR="00C25538">
        <w:t xml:space="preserve"> for something to compliment it. I cannot agree with the latter statement. </w:t>
      </w:r>
      <w:r w:rsidR="001E1FED">
        <w:t xml:space="preserve">In my view, the customer is the man-in-the –street who will purchase a specific vehicle because he either likes that brand or the look of the vehicle and who </w:t>
      </w:r>
      <w:r w:rsidR="00516B95">
        <w:t xml:space="preserve">will </w:t>
      </w:r>
      <w:r w:rsidR="001E1FED">
        <w:t>purchase an accompanying accessory because it is available as part of the vehicle package or it is sold by the dealership. He will also not remember small nuances of whether the bars were round or oval, whether the jo</w:t>
      </w:r>
      <w:r w:rsidR="003849C4">
        <w:t xml:space="preserve">iners were individual or not, </w:t>
      </w:r>
      <w:r w:rsidR="001E1FED">
        <w:t xml:space="preserve">whether they were plastic or </w:t>
      </w:r>
      <w:r w:rsidR="00516B95">
        <w:t xml:space="preserve">of another material, or </w:t>
      </w:r>
      <w:r w:rsidR="003849C4">
        <w:t xml:space="preserve">whether they form </w:t>
      </w:r>
      <w:r w:rsidR="00516B95">
        <w:t>part of the crossbar itself or not.</w:t>
      </w:r>
      <w:r w:rsidR="001E1FED">
        <w:rPr>
          <w:rStyle w:val="FootnoteReference"/>
        </w:rPr>
        <w:footnoteReference w:id="44"/>
      </w:r>
    </w:p>
    <w:p w14:paraId="01E9C800" w14:textId="77777777" w:rsidR="00C25538" w:rsidRDefault="00C25538" w:rsidP="00A90843">
      <w:pPr>
        <w:tabs>
          <w:tab w:val="left" w:pos="720"/>
          <w:tab w:val="left" w:pos="1440"/>
          <w:tab w:val="left" w:pos="2160"/>
          <w:tab w:val="left" w:pos="2880"/>
          <w:tab w:val="left" w:pos="3600"/>
          <w:tab w:val="center" w:pos="4513"/>
        </w:tabs>
        <w:spacing w:line="480" w:lineRule="auto"/>
        <w:ind w:left="720" w:hanging="720"/>
        <w:jc w:val="both"/>
      </w:pPr>
    </w:p>
    <w:p w14:paraId="00AA53B0" w14:textId="0556E516" w:rsidR="00C25538" w:rsidRDefault="004C1F65" w:rsidP="00A90843">
      <w:pPr>
        <w:tabs>
          <w:tab w:val="left" w:pos="720"/>
          <w:tab w:val="left" w:pos="1440"/>
          <w:tab w:val="left" w:pos="2160"/>
          <w:tab w:val="left" w:pos="2880"/>
          <w:tab w:val="left" w:pos="3600"/>
          <w:tab w:val="center" w:pos="4513"/>
        </w:tabs>
        <w:spacing w:line="480" w:lineRule="auto"/>
        <w:ind w:left="720" w:hanging="720"/>
        <w:jc w:val="both"/>
      </w:pPr>
      <w:r>
        <w:t>67</w:t>
      </w:r>
      <w:r w:rsidR="00C25538">
        <w:t>]</w:t>
      </w:r>
      <w:r w:rsidR="00C25538">
        <w:tab/>
        <w:t>As to the issue of whether or not the frame tubes of th</w:t>
      </w:r>
      <w:r w:rsidR="00225904">
        <w:t xml:space="preserve">e nudge bars were prior art, </w:t>
      </w:r>
      <w:r w:rsidR="00C25538">
        <w:t>Shilt consistently testified t</w:t>
      </w:r>
      <w:r w:rsidR="00225904">
        <w:t>hat those shown to him in cross-</w:t>
      </w:r>
      <w:r w:rsidR="00C25538">
        <w:t xml:space="preserve">examination were </w:t>
      </w:r>
      <w:r w:rsidR="00C25538">
        <w:rPr>
          <w:i/>
        </w:rPr>
        <w:t xml:space="preserve">“typical” </w:t>
      </w:r>
      <w:r w:rsidR="00C25538">
        <w:t>of a nudge bar. However, his evidence was that whilst they may be generally similar, the differences of height and width</w:t>
      </w:r>
      <w:r w:rsidR="00225904">
        <w:t xml:space="preserve"> as well as the an</w:t>
      </w:r>
      <w:r w:rsidR="00C25538">
        <w:t>gles between the top and side bars of the frame tube</w:t>
      </w:r>
      <w:r w:rsidR="00D84FA6">
        <w:t>,</w:t>
      </w:r>
      <w:r w:rsidR="00C25538">
        <w:t xml:space="preserve"> all impact on the overall appearance of the accessory. Mr Marriott submitte</w:t>
      </w:r>
      <w:r w:rsidR="002D64BD">
        <w:t>d that not one of the many varieties</w:t>
      </w:r>
      <w:r w:rsidR="00225904">
        <w:t xml:space="preserve"> shown to </w:t>
      </w:r>
      <w:r w:rsidR="00C25538">
        <w:t>Shilt</w:t>
      </w:r>
      <w:r w:rsidR="00225904">
        <w:t xml:space="preserve"> in cross-examination resemble any of plaintiff</w:t>
      </w:r>
      <w:r w:rsidR="00C25538">
        <w:t>’s registered designs, and an</w:t>
      </w:r>
      <w:r w:rsidR="00BD310C">
        <w:t>y differences were not material</w:t>
      </w:r>
      <w:r w:rsidR="00C25538">
        <w:t xml:space="preserve"> </w:t>
      </w:r>
      <w:r w:rsidR="00953B14">
        <w:t>and would in all likelihood not be mater</w:t>
      </w:r>
      <w:r w:rsidR="00BD310C">
        <w:t xml:space="preserve">ial to the potential customer, </w:t>
      </w:r>
      <w:r w:rsidR="00C25538">
        <w:t>and I agree.</w:t>
      </w:r>
    </w:p>
    <w:p w14:paraId="52F261AA" w14:textId="00615C4F" w:rsidR="00C25538" w:rsidRDefault="004C1F65" w:rsidP="00A90843">
      <w:pPr>
        <w:tabs>
          <w:tab w:val="left" w:pos="720"/>
          <w:tab w:val="left" w:pos="1440"/>
          <w:tab w:val="left" w:pos="2160"/>
          <w:tab w:val="left" w:pos="2880"/>
          <w:tab w:val="left" w:pos="3600"/>
          <w:tab w:val="center" w:pos="4513"/>
        </w:tabs>
        <w:spacing w:line="480" w:lineRule="auto"/>
        <w:ind w:left="720" w:hanging="720"/>
        <w:jc w:val="both"/>
      </w:pPr>
      <w:r>
        <w:lastRenderedPageBreak/>
        <w:t>68</w:t>
      </w:r>
      <w:r w:rsidR="00C25538">
        <w:t>]</w:t>
      </w:r>
      <w:r w:rsidR="00BD310C">
        <w:tab/>
        <w:t xml:space="preserve">In fact, my impression of </w:t>
      </w:r>
      <w:r w:rsidR="003849C4">
        <w:t>defendant’s</w:t>
      </w:r>
      <w:r w:rsidR="00C25538">
        <w:t xml:space="preserve"> designs at the inspection </w:t>
      </w:r>
      <w:r w:rsidR="00C25538" w:rsidRPr="003849C4">
        <w:rPr>
          <w:i/>
        </w:rPr>
        <w:t>in loco</w:t>
      </w:r>
      <w:r w:rsidR="00C25538">
        <w:t xml:space="preserve"> wa</w:t>
      </w:r>
      <w:r w:rsidR="00BD310C">
        <w:t>s that it was so similar to plaintiff</w:t>
      </w:r>
      <w:r w:rsidR="003849C4">
        <w:t>’</w:t>
      </w:r>
      <w:r w:rsidR="00C25538">
        <w:t>s that without guidance from the parties’ representatives it was very difficult to see the differences between the two.</w:t>
      </w:r>
    </w:p>
    <w:p w14:paraId="622D5425" w14:textId="77777777" w:rsidR="00C25538" w:rsidRDefault="00C25538" w:rsidP="00A90843">
      <w:pPr>
        <w:tabs>
          <w:tab w:val="left" w:pos="720"/>
          <w:tab w:val="left" w:pos="1440"/>
          <w:tab w:val="left" w:pos="2160"/>
          <w:tab w:val="left" w:pos="2880"/>
          <w:tab w:val="left" w:pos="3600"/>
          <w:tab w:val="center" w:pos="4513"/>
        </w:tabs>
        <w:spacing w:line="480" w:lineRule="auto"/>
        <w:ind w:left="720" w:hanging="720"/>
        <w:jc w:val="both"/>
      </w:pPr>
    </w:p>
    <w:p w14:paraId="69A0844D" w14:textId="67897D05" w:rsidR="00C25538" w:rsidRPr="002D64BD" w:rsidRDefault="004C1F65" w:rsidP="00A90843">
      <w:pPr>
        <w:tabs>
          <w:tab w:val="left" w:pos="720"/>
          <w:tab w:val="left" w:pos="1440"/>
          <w:tab w:val="left" w:pos="2160"/>
          <w:tab w:val="left" w:pos="2880"/>
          <w:tab w:val="left" w:pos="3600"/>
          <w:tab w:val="center" w:pos="4513"/>
        </w:tabs>
        <w:spacing w:line="480" w:lineRule="auto"/>
        <w:ind w:left="720" w:hanging="720"/>
        <w:jc w:val="both"/>
      </w:pPr>
      <w:r>
        <w:t>69</w:t>
      </w:r>
      <w:r w:rsidR="00C25538">
        <w:t>]</w:t>
      </w:r>
      <w:r w:rsidR="00C25538">
        <w:tab/>
      </w:r>
      <w:r w:rsidR="005A3C81">
        <w:t>Defendant</w:t>
      </w:r>
      <w:r w:rsidR="007B038C">
        <w:t xml:space="preserve">’s main thrust of evidence, and the main thrust of the argument, is that the </w:t>
      </w:r>
      <w:r w:rsidR="002D64BD">
        <w:t>court shoul</w:t>
      </w:r>
      <w:r w:rsidR="00150BD9">
        <w:t>d only have regard to the crossbar</w:t>
      </w:r>
      <w:r w:rsidR="002D64BD">
        <w:t xml:space="preserve">s when assessing infringement. This is because, according to </w:t>
      </w:r>
      <w:r w:rsidR="004D0702">
        <w:t>defendant</w:t>
      </w:r>
      <w:r w:rsidR="002D64BD">
        <w:t xml:space="preserve">, the frame tubes are somewhat standard and the joiners are primarily functional. But this argument, in my view, loses sight of the fact that </w:t>
      </w:r>
      <w:r w:rsidR="002D64BD">
        <w:rPr>
          <w:b/>
          <w:u w:val="single"/>
        </w:rPr>
        <w:t>Clipsal</w:t>
      </w:r>
      <w:r w:rsidR="002D64BD">
        <w:t xml:space="preserve"> specifically states that “</w:t>
      </w:r>
      <w:r w:rsidR="002D64BD" w:rsidRPr="002D64BD">
        <w:rPr>
          <w:i/>
        </w:rPr>
        <w:t xml:space="preserve">the shape or configuration </w:t>
      </w:r>
      <w:r w:rsidR="002D64BD" w:rsidRPr="00FD336F">
        <w:rPr>
          <w:i/>
          <w:u w:val="single"/>
        </w:rPr>
        <w:t>as a whole</w:t>
      </w:r>
      <w:r w:rsidR="002D64BD" w:rsidRPr="002D64BD">
        <w:rPr>
          <w:i/>
        </w:rPr>
        <w:t xml:space="preserve"> has to be considered</w:t>
      </w:r>
      <w:r w:rsidR="002D64BD">
        <w:rPr>
          <w:i/>
        </w:rPr>
        <w:t>”.</w:t>
      </w:r>
      <w:r w:rsidR="002D64BD">
        <w:t xml:space="preserve"> In my view what this essentially means is that the design</w:t>
      </w:r>
      <w:r w:rsidR="00D84FA6">
        <w:t xml:space="preserve"> should not be viewed in its individual parts</w:t>
      </w:r>
      <w:r w:rsidR="002D64BD">
        <w:t xml:space="preserve"> – it must be consider</w:t>
      </w:r>
      <w:r w:rsidR="00DF7E53">
        <w:t xml:space="preserve">ed as a whole and it is in </w:t>
      </w:r>
      <w:r w:rsidR="002D64BD">
        <w:t xml:space="preserve">that </w:t>
      </w:r>
      <w:r w:rsidR="00D84FA6">
        <w:t xml:space="preserve">light </w:t>
      </w:r>
      <w:r w:rsidR="000B45C5">
        <w:t>which the</w:t>
      </w:r>
      <w:r w:rsidR="002D64BD">
        <w:t xml:space="preserve"> differences and nuances are to be considered.</w:t>
      </w:r>
    </w:p>
    <w:p w14:paraId="6B835666" w14:textId="77777777" w:rsidR="00E909DA" w:rsidRPr="00442E41" w:rsidRDefault="00E909DA" w:rsidP="00E909DA">
      <w:pPr>
        <w:tabs>
          <w:tab w:val="left" w:pos="720"/>
          <w:tab w:val="left" w:pos="1440"/>
          <w:tab w:val="left" w:pos="2160"/>
          <w:tab w:val="left" w:pos="2880"/>
          <w:tab w:val="left" w:pos="3600"/>
          <w:tab w:val="center" w:pos="4513"/>
        </w:tabs>
        <w:spacing w:line="480" w:lineRule="auto"/>
        <w:ind w:left="720" w:hanging="720"/>
        <w:jc w:val="both"/>
      </w:pPr>
    </w:p>
    <w:p w14:paraId="30B3FD5F" w14:textId="07C5C222" w:rsidR="00442E41" w:rsidRDefault="004C1F65" w:rsidP="00105AD1">
      <w:pPr>
        <w:tabs>
          <w:tab w:val="left" w:pos="720"/>
          <w:tab w:val="left" w:pos="1440"/>
          <w:tab w:val="left" w:pos="2160"/>
          <w:tab w:val="left" w:pos="2880"/>
          <w:tab w:val="left" w:pos="3600"/>
          <w:tab w:val="center" w:pos="4513"/>
        </w:tabs>
        <w:spacing w:line="480" w:lineRule="auto"/>
        <w:jc w:val="both"/>
      </w:pPr>
      <w:r>
        <w:t>70</w:t>
      </w:r>
      <w:r w:rsidR="002D64BD">
        <w:t>]</w:t>
      </w:r>
      <w:r w:rsidR="002D64BD">
        <w:tab/>
        <w:t>Having considered the evidence, I am of the view that:</w:t>
      </w:r>
    </w:p>
    <w:p w14:paraId="539AFB68" w14:textId="61596BB4" w:rsidR="002D64BD" w:rsidRDefault="002D64BD" w:rsidP="002D64BD">
      <w:pPr>
        <w:tabs>
          <w:tab w:val="left" w:pos="720"/>
          <w:tab w:val="left" w:pos="1440"/>
          <w:tab w:val="left" w:pos="2160"/>
          <w:tab w:val="left" w:pos="2880"/>
          <w:tab w:val="left" w:pos="3600"/>
          <w:tab w:val="center" w:pos="4513"/>
        </w:tabs>
        <w:spacing w:line="480" w:lineRule="auto"/>
        <w:ind w:left="1440" w:hanging="1440"/>
        <w:jc w:val="both"/>
      </w:pPr>
      <w:r>
        <w:tab/>
      </w:r>
      <w:r w:rsidR="004C1F65">
        <w:t>70</w:t>
      </w:r>
      <w:r w:rsidR="00DF7E53">
        <w:t>.1</w:t>
      </w:r>
      <w:r w:rsidR="00DF7E53">
        <w:tab/>
        <w:t>defendant’</w:t>
      </w:r>
      <w:r>
        <w:t xml:space="preserve">s MK1 sports bar and nudge bar design was quite clearly an overt copy of </w:t>
      </w:r>
      <w:r w:rsidR="00DF7E53">
        <w:t>plaintiff</w:t>
      </w:r>
      <w:r w:rsidR="00DB384D">
        <w:t>’s design</w:t>
      </w:r>
      <w:r>
        <w:t xml:space="preserve">. The fact </w:t>
      </w:r>
      <w:r w:rsidR="00FC79A5">
        <w:t>is that on 23 October 2017 defendant</w:t>
      </w:r>
      <w:r>
        <w:t xml:space="preserve"> undertook to cease manufacture of the designs. As Mr Marriott pointed out:</w:t>
      </w:r>
    </w:p>
    <w:p w14:paraId="1BC76612" w14:textId="2A6F4EF8" w:rsidR="002D64BD" w:rsidRDefault="002D64BD" w:rsidP="002D64BD">
      <w:pPr>
        <w:tabs>
          <w:tab w:val="left" w:pos="720"/>
          <w:tab w:val="left" w:pos="1440"/>
          <w:tab w:val="left" w:pos="2160"/>
          <w:tab w:val="left" w:pos="2880"/>
          <w:tab w:val="left" w:pos="3600"/>
          <w:tab w:val="center" w:pos="4513"/>
        </w:tabs>
        <w:spacing w:line="480" w:lineRule="auto"/>
        <w:ind w:left="2880" w:hanging="2880"/>
        <w:jc w:val="both"/>
      </w:pPr>
      <w:r>
        <w:tab/>
      </w:r>
      <w:r>
        <w:tab/>
      </w:r>
      <w:r w:rsidR="00DE461F">
        <w:t>7</w:t>
      </w:r>
      <w:r w:rsidR="004C1F65">
        <w:t>0</w:t>
      </w:r>
      <w:r>
        <w:t>.1.1</w:t>
      </w:r>
      <w:r>
        <w:tab/>
      </w:r>
      <w:r>
        <w:tab/>
        <w:t>the undertaking was not accompanied by an admission of wrongdoing – although in my view the fact that the undertaking was given this is implied;</w:t>
      </w:r>
    </w:p>
    <w:p w14:paraId="4C003876" w14:textId="3C08B687" w:rsidR="002D64BD" w:rsidRDefault="00A06A57" w:rsidP="00784361">
      <w:pPr>
        <w:tabs>
          <w:tab w:val="left" w:pos="720"/>
          <w:tab w:val="left" w:pos="1440"/>
          <w:tab w:val="left" w:pos="2160"/>
          <w:tab w:val="left" w:pos="2880"/>
          <w:tab w:val="left" w:pos="3600"/>
          <w:tab w:val="center" w:pos="4513"/>
        </w:tabs>
        <w:spacing w:line="480" w:lineRule="auto"/>
        <w:ind w:left="2880" w:hanging="2880"/>
        <w:jc w:val="both"/>
      </w:pPr>
      <w:r>
        <w:tab/>
      </w:r>
      <w:r>
        <w:tab/>
        <w:t>7</w:t>
      </w:r>
      <w:r w:rsidR="001572AC">
        <w:t>0</w:t>
      </w:r>
      <w:r w:rsidR="002D64BD">
        <w:t>.1.2</w:t>
      </w:r>
      <w:r w:rsidR="002D64BD">
        <w:tab/>
      </w:r>
      <w:r w:rsidR="002D64BD">
        <w:tab/>
      </w:r>
      <w:r w:rsidR="00784361">
        <w:t>there is evidence of a quotation and an invoice for these items subsequent to the undertaking</w:t>
      </w:r>
    </w:p>
    <w:p w14:paraId="779F302B" w14:textId="57C78B94" w:rsidR="00784361" w:rsidRDefault="00FC79A5" w:rsidP="00784361">
      <w:pPr>
        <w:tabs>
          <w:tab w:val="left" w:pos="720"/>
          <w:tab w:val="left" w:pos="1440"/>
          <w:tab w:val="left" w:pos="2160"/>
          <w:tab w:val="left" w:pos="2880"/>
          <w:tab w:val="left" w:pos="3600"/>
          <w:tab w:val="center" w:pos="4513"/>
        </w:tabs>
        <w:spacing w:line="480" w:lineRule="auto"/>
        <w:ind w:left="2880" w:hanging="2880"/>
        <w:jc w:val="both"/>
      </w:pPr>
      <w:r>
        <w:tab/>
      </w:r>
      <w:r>
        <w:tab/>
        <w:t>and given this, plaintiff</w:t>
      </w:r>
      <w:r w:rsidR="00784361">
        <w:t xml:space="preserve"> is entitled to pursue the interdictory relief. I agree.</w:t>
      </w:r>
    </w:p>
    <w:p w14:paraId="4883B3A6" w14:textId="3AFDF2A9" w:rsidR="00784361" w:rsidRDefault="00784361" w:rsidP="00784361">
      <w:pPr>
        <w:tabs>
          <w:tab w:val="left" w:pos="720"/>
          <w:tab w:val="left" w:pos="1440"/>
          <w:tab w:val="left" w:pos="2160"/>
          <w:tab w:val="left" w:pos="2880"/>
          <w:tab w:val="left" w:pos="3600"/>
          <w:tab w:val="center" w:pos="4513"/>
        </w:tabs>
        <w:spacing w:line="480" w:lineRule="auto"/>
        <w:ind w:left="1440" w:hanging="1440"/>
        <w:jc w:val="both"/>
      </w:pPr>
      <w:r>
        <w:lastRenderedPageBreak/>
        <w:tab/>
      </w:r>
      <w:r w:rsidR="00DE461F">
        <w:t>7</w:t>
      </w:r>
      <w:r w:rsidR="001572AC">
        <w:t>0</w:t>
      </w:r>
      <w:r>
        <w:t>.2</w:t>
      </w:r>
      <w:r>
        <w:tab/>
      </w:r>
      <w:r w:rsidR="00FC79A5">
        <w:t>Defendant</w:t>
      </w:r>
      <w:r>
        <w:t>’s MK2 Louvre sports bar design has been made to fit an Isuzu bakkie and</w:t>
      </w:r>
      <w:r w:rsidR="00FC79A5">
        <w:t xml:space="preserve"> it</w:t>
      </w:r>
      <w:r>
        <w:t xml:space="preserve"> </w:t>
      </w:r>
      <w:r w:rsidR="00FC79A5">
        <w:t>is much larger in size than plaintiff</w:t>
      </w:r>
      <w:r>
        <w:t>’s design. But the fact that it is larger is, in my view, of no consequence as it is the design itself that must be i</w:t>
      </w:r>
      <w:r w:rsidR="001B428C">
        <w:t>nspected. I</w:t>
      </w:r>
      <w:r>
        <w:t xml:space="preserve">f one does that, the difference is in the kink in the lower </w:t>
      </w:r>
      <w:r w:rsidR="00DB384D">
        <w:t>portion of the crossbar</w:t>
      </w:r>
      <w:r>
        <w:t xml:space="preserve"> which distinguish it from the plaintiff’s design. Mr Marriott pointed out that, this aside, every other feature of </w:t>
      </w:r>
      <w:r w:rsidR="001B428C">
        <w:t>plaintiff</w:t>
      </w:r>
      <w:r>
        <w:t>’s sports bar design has been copied: the first hoop is identical, the second hoop is iden</w:t>
      </w:r>
      <w:r w:rsidR="00DB384D">
        <w:t xml:space="preserve">tical, and even the second crossbar </w:t>
      </w:r>
      <w:r>
        <w:t>runs parallel to the first u</w:t>
      </w:r>
      <w:r w:rsidR="00DB384D">
        <w:t xml:space="preserve">ntil the first kink and both crossbars </w:t>
      </w:r>
      <w:r>
        <w:t>still meet the side arms of the second hoop on the middle section of the arm. Whilst I agree that this is so, I am of the view that the kink in the second cross</w:t>
      </w:r>
      <w:r w:rsidR="00DB384D">
        <w:t>bar</w:t>
      </w:r>
      <w:r w:rsidR="001B428C">
        <w:t xml:space="preserve"> does </w:t>
      </w:r>
      <w:r w:rsidR="007866C0">
        <w:t xml:space="preserve">sufficiently </w:t>
      </w:r>
      <w:r w:rsidR="001B428C">
        <w:t>deviate it from plaintiff</w:t>
      </w:r>
      <w:r>
        <w:t xml:space="preserve">’s design. </w:t>
      </w:r>
    </w:p>
    <w:p w14:paraId="3BFC4948" w14:textId="77777777" w:rsidR="005D0E92" w:rsidRDefault="005D0E92" w:rsidP="005D0E92">
      <w:pPr>
        <w:tabs>
          <w:tab w:val="left" w:pos="720"/>
          <w:tab w:val="left" w:pos="1440"/>
          <w:tab w:val="left" w:pos="2160"/>
          <w:tab w:val="left" w:pos="2880"/>
          <w:tab w:val="left" w:pos="3600"/>
          <w:tab w:val="center" w:pos="4513"/>
        </w:tabs>
        <w:spacing w:line="480" w:lineRule="auto"/>
        <w:jc w:val="both"/>
      </w:pPr>
    </w:p>
    <w:p w14:paraId="589411B1" w14:textId="7E25052A" w:rsidR="005D0E92" w:rsidRDefault="005D0E92" w:rsidP="005D0E92">
      <w:pPr>
        <w:tabs>
          <w:tab w:val="left" w:pos="720"/>
          <w:tab w:val="left" w:pos="1440"/>
          <w:tab w:val="left" w:pos="2160"/>
          <w:tab w:val="left" w:pos="2880"/>
          <w:tab w:val="left" w:pos="3600"/>
          <w:tab w:val="center" w:pos="4513"/>
        </w:tabs>
        <w:spacing w:line="480" w:lineRule="auto"/>
        <w:ind w:left="1440" w:hanging="1440"/>
        <w:jc w:val="both"/>
      </w:pPr>
      <w:r>
        <w:tab/>
      </w:r>
      <w:r w:rsidR="00A06A57">
        <w:t>7</w:t>
      </w:r>
      <w:r w:rsidR="001572AC">
        <w:t>0</w:t>
      </w:r>
      <w:r>
        <w:t>.3</w:t>
      </w:r>
      <w:r>
        <w:tab/>
        <w:t xml:space="preserve">I am of the view </w:t>
      </w:r>
      <w:r w:rsidR="00DB384D">
        <w:t>that the difference in the MK2 s</w:t>
      </w:r>
      <w:r>
        <w:t>ports bar design</w:t>
      </w:r>
      <w:r w:rsidR="008F4847">
        <w:t xml:space="preserve"> is sufficient to give it a completely different look and feel to </w:t>
      </w:r>
      <w:r w:rsidR="00DB384D">
        <w:t xml:space="preserve">plaintiff’s </w:t>
      </w:r>
      <w:r w:rsidR="008F4847">
        <w:t>design</w:t>
      </w:r>
      <w:r w:rsidR="007866C0">
        <w:t xml:space="preserve"> and</w:t>
      </w:r>
      <w:r w:rsidR="008F4847">
        <w:t xml:space="preserve"> is therefore </w:t>
      </w:r>
      <w:r>
        <w:t>sufficient to avoid infringement.</w:t>
      </w:r>
    </w:p>
    <w:p w14:paraId="2951D16C" w14:textId="77777777" w:rsidR="005D0E92" w:rsidRDefault="005D0E92" w:rsidP="005D0E92">
      <w:pPr>
        <w:tabs>
          <w:tab w:val="left" w:pos="720"/>
          <w:tab w:val="left" w:pos="1440"/>
          <w:tab w:val="left" w:pos="2160"/>
          <w:tab w:val="left" w:pos="2880"/>
          <w:tab w:val="left" w:pos="3600"/>
          <w:tab w:val="center" w:pos="4513"/>
        </w:tabs>
        <w:spacing w:line="480" w:lineRule="auto"/>
        <w:ind w:left="720" w:hanging="720"/>
        <w:jc w:val="both"/>
      </w:pPr>
    </w:p>
    <w:p w14:paraId="090C44A4" w14:textId="66A0683C" w:rsidR="005D0E92" w:rsidRDefault="005D0E92" w:rsidP="005D0E92">
      <w:pPr>
        <w:tabs>
          <w:tab w:val="left" w:pos="720"/>
          <w:tab w:val="left" w:pos="1440"/>
          <w:tab w:val="left" w:pos="2160"/>
          <w:tab w:val="left" w:pos="2880"/>
          <w:tab w:val="left" w:pos="3600"/>
          <w:tab w:val="center" w:pos="4513"/>
        </w:tabs>
        <w:spacing w:line="480" w:lineRule="auto"/>
        <w:ind w:left="1440" w:hanging="1440"/>
        <w:jc w:val="both"/>
      </w:pPr>
      <w:r>
        <w:tab/>
      </w:r>
      <w:r w:rsidR="001572AC">
        <w:t>70</w:t>
      </w:r>
      <w:r>
        <w:t>.</w:t>
      </w:r>
      <w:r w:rsidR="00887AD1">
        <w:t>4</w:t>
      </w:r>
      <w:r w:rsidR="00DB384D">
        <w:tab/>
        <w:t>As to the P</w:t>
      </w:r>
      <w:r>
        <w:t xml:space="preserve">olygon designs – I cannot say the same. In my view the differences are so slight that they would cause confusion. The difference in the 5-sided version of </w:t>
      </w:r>
      <w:r w:rsidR="00887AD1">
        <w:t>defendant</w:t>
      </w:r>
      <w:r>
        <w:t xml:space="preserve"> versus the 6-sided version of </w:t>
      </w:r>
      <w:r w:rsidR="00887AD1">
        <w:t>plaintiff</w:t>
      </w:r>
      <w:r>
        <w:t xml:space="preserve"> would be lost on a customer unless specifically pointed </w:t>
      </w:r>
      <w:r w:rsidR="00DB384D">
        <w:t xml:space="preserve">out by a salesperson or expert and thus </w:t>
      </w:r>
      <w:r>
        <w:t xml:space="preserve">the </w:t>
      </w:r>
      <w:r w:rsidR="00AE3977">
        <w:t xml:space="preserve">differences in the </w:t>
      </w:r>
      <w:r>
        <w:t xml:space="preserve">angles of the </w:t>
      </w:r>
      <w:r w:rsidR="00AE3977">
        <w:t xml:space="preserve">respective </w:t>
      </w:r>
      <w:r w:rsidR="00EF2CC4">
        <w:t>crossbars</w:t>
      </w:r>
      <w:r>
        <w:t xml:space="preserve"> would be lost as it is so slight. It is also common cause that any differences m</w:t>
      </w:r>
      <w:r w:rsidR="00EF2CC4">
        <w:t>ay</w:t>
      </w:r>
      <w:r w:rsidR="005764A6">
        <w:t xml:space="preserve"> possibly be seen depending on</w:t>
      </w:r>
      <w:r>
        <w:t xml:space="preserve"> the </w:t>
      </w:r>
      <w:r>
        <w:lastRenderedPageBreak/>
        <w:t>viewing angle of the customer at the time</w:t>
      </w:r>
      <w:r>
        <w:rPr>
          <w:rStyle w:val="FootnoteReference"/>
        </w:rPr>
        <w:footnoteReference w:id="45"/>
      </w:r>
      <w:r w:rsidR="00887AD1">
        <w:t xml:space="preserve"> but the customer </w:t>
      </w:r>
      <w:r>
        <w:t xml:space="preserve">views it </w:t>
      </w:r>
      <w:r w:rsidR="00661A76">
        <w:t>from above looking down and therefore</w:t>
      </w:r>
      <w:r>
        <w:t xml:space="preserve"> the differences are not truly visible</w:t>
      </w:r>
      <w:r w:rsidR="00887AD1">
        <w:t>. If</w:t>
      </w:r>
      <w:r>
        <w:t xml:space="preserve"> one has to descend into the minutiae of the viewing angle then I am of the view that the debate over the differences descends into </w:t>
      </w:r>
      <w:r w:rsidR="00EF2CC4" w:rsidRPr="00DC75D0">
        <w:t xml:space="preserve">an argument of </w:t>
      </w:r>
      <w:r w:rsidR="00EF2CC4" w:rsidRPr="00DC75D0">
        <w:rPr>
          <w:i/>
        </w:rPr>
        <w:t>de minimus non curat lex</w:t>
      </w:r>
      <w:r>
        <w:t>. The question is whether the two designs are sufficiently different to be seen as such by the potential customer, and the answer is “no”.</w:t>
      </w:r>
    </w:p>
    <w:p w14:paraId="100E475C" w14:textId="77777777" w:rsidR="005957E4" w:rsidRDefault="005957E4" w:rsidP="005D0E92">
      <w:pPr>
        <w:tabs>
          <w:tab w:val="left" w:pos="720"/>
          <w:tab w:val="left" w:pos="1440"/>
          <w:tab w:val="left" w:pos="2160"/>
          <w:tab w:val="left" w:pos="2880"/>
          <w:tab w:val="left" w:pos="3600"/>
          <w:tab w:val="center" w:pos="4513"/>
        </w:tabs>
        <w:spacing w:line="480" w:lineRule="auto"/>
        <w:ind w:left="1440" w:hanging="1440"/>
        <w:jc w:val="both"/>
      </w:pPr>
    </w:p>
    <w:p w14:paraId="0ED44953" w14:textId="41BA46F2" w:rsidR="005957E4" w:rsidRDefault="005957E4" w:rsidP="005957E4">
      <w:pPr>
        <w:tabs>
          <w:tab w:val="left" w:pos="720"/>
          <w:tab w:val="left" w:pos="1440"/>
          <w:tab w:val="left" w:pos="2160"/>
          <w:tab w:val="left" w:pos="2880"/>
          <w:tab w:val="left" w:pos="3600"/>
          <w:tab w:val="center" w:pos="4513"/>
        </w:tabs>
        <w:spacing w:line="480" w:lineRule="auto"/>
        <w:jc w:val="both"/>
      </w:pPr>
      <w:r>
        <w:rPr>
          <w:b/>
          <w:u w:val="single"/>
        </w:rPr>
        <w:t>Conclusion</w:t>
      </w:r>
    </w:p>
    <w:p w14:paraId="265D635F" w14:textId="4A10F25E" w:rsidR="005957E4" w:rsidRDefault="005957E4" w:rsidP="005957E4">
      <w:pPr>
        <w:tabs>
          <w:tab w:val="left" w:pos="720"/>
          <w:tab w:val="left" w:pos="1440"/>
          <w:tab w:val="left" w:pos="2160"/>
          <w:tab w:val="left" w:pos="2880"/>
          <w:tab w:val="left" w:pos="3600"/>
          <w:tab w:val="center" w:pos="4513"/>
        </w:tabs>
        <w:spacing w:line="480" w:lineRule="auto"/>
        <w:jc w:val="both"/>
      </w:pPr>
      <w:r>
        <w:t>7</w:t>
      </w:r>
      <w:r w:rsidR="001572AC">
        <w:t>1</w:t>
      </w:r>
      <w:r>
        <w:t>]</w:t>
      </w:r>
      <w:r>
        <w:tab/>
        <w:t>I am thus of the view that:</w:t>
      </w:r>
    </w:p>
    <w:p w14:paraId="224092FB" w14:textId="2BFD4A1E" w:rsidR="005957E4" w:rsidRDefault="005957E4" w:rsidP="00035906">
      <w:pPr>
        <w:tabs>
          <w:tab w:val="left" w:pos="720"/>
          <w:tab w:val="left" w:pos="1440"/>
          <w:tab w:val="left" w:pos="2160"/>
          <w:tab w:val="left" w:pos="2880"/>
          <w:tab w:val="left" w:pos="3600"/>
          <w:tab w:val="center" w:pos="4513"/>
        </w:tabs>
        <w:spacing w:line="480" w:lineRule="auto"/>
        <w:ind w:left="1440" w:hanging="1440"/>
        <w:jc w:val="both"/>
      </w:pPr>
      <w:r>
        <w:tab/>
        <w:t>7</w:t>
      </w:r>
      <w:r w:rsidR="001572AC">
        <w:t>1</w:t>
      </w:r>
      <w:r w:rsidR="00887AD1">
        <w:t>.1</w:t>
      </w:r>
      <w:r w:rsidR="00887AD1">
        <w:tab/>
      </w:r>
      <w:r>
        <w:t>as</w:t>
      </w:r>
      <w:r w:rsidR="00887AD1">
        <w:t xml:space="preserve"> to</w:t>
      </w:r>
      <w:r>
        <w:t xml:space="preserve"> </w:t>
      </w:r>
      <w:r w:rsidR="00035906">
        <w:t>the relief under case no 39199/2018</w:t>
      </w:r>
      <w:r w:rsidR="00887AD1">
        <w:t>:</w:t>
      </w:r>
      <w:r w:rsidR="00035906">
        <w:t xml:space="preserve"> </w:t>
      </w:r>
      <w:r w:rsidR="00661A76">
        <w:t>the plaintiff</w:t>
      </w:r>
      <w:r>
        <w:t xml:space="preserve"> has</w:t>
      </w:r>
      <w:r w:rsidR="00035906">
        <w:t xml:space="preserve"> proven its case and is entitled to the relief it seeks. Mr Mariott does not seek relief in respect of design registrations A2015/01667 or A2015/01714 and so an order will be made for the remainder;</w:t>
      </w:r>
    </w:p>
    <w:p w14:paraId="2DDBA963" w14:textId="77777777" w:rsidR="00FB2783" w:rsidRDefault="00FB2783" w:rsidP="00035906">
      <w:pPr>
        <w:tabs>
          <w:tab w:val="left" w:pos="720"/>
          <w:tab w:val="left" w:pos="1440"/>
          <w:tab w:val="left" w:pos="2160"/>
          <w:tab w:val="left" w:pos="2880"/>
          <w:tab w:val="left" w:pos="3600"/>
          <w:tab w:val="center" w:pos="4513"/>
        </w:tabs>
        <w:spacing w:line="480" w:lineRule="auto"/>
        <w:ind w:left="1440" w:hanging="1440"/>
        <w:jc w:val="both"/>
      </w:pPr>
    </w:p>
    <w:p w14:paraId="7B911675" w14:textId="40D3CFAE" w:rsidR="00035906" w:rsidRDefault="00035906" w:rsidP="00035906">
      <w:pPr>
        <w:tabs>
          <w:tab w:val="left" w:pos="720"/>
          <w:tab w:val="left" w:pos="1440"/>
          <w:tab w:val="left" w:pos="2160"/>
          <w:tab w:val="left" w:pos="2880"/>
          <w:tab w:val="left" w:pos="3600"/>
          <w:tab w:val="center" w:pos="4513"/>
        </w:tabs>
        <w:spacing w:line="480" w:lineRule="auto"/>
        <w:ind w:left="1440" w:hanging="1440"/>
        <w:jc w:val="both"/>
      </w:pPr>
      <w:r>
        <w:tab/>
      </w:r>
      <w:r w:rsidR="001572AC">
        <w:t>71</w:t>
      </w:r>
      <w:r w:rsidR="00887AD1">
        <w:t>.2</w:t>
      </w:r>
      <w:r w:rsidR="00887AD1">
        <w:tab/>
      </w:r>
      <w:r>
        <w:t>as</w:t>
      </w:r>
      <w:r w:rsidR="00887AD1">
        <w:t xml:space="preserve"> to</w:t>
      </w:r>
      <w:r>
        <w:t xml:space="preserve"> the relief under case number 10452/2018: </w:t>
      </w:r>
    </w:p>
    <w:p w14:paraId="2C81E47A" w14:textId="76C0A18C" w:rsidR="00035906" w:rsidRDefault="00035906" w:rsidP="00035906">
      <w:pPr>
        <w:tabs>
          <w:tab w:val="left" w:pos="720"/>
          <w:tab w:val="left" w:pos="1440"/>
          <w:tab w:val="left" w:pos="2160"/>
          <w:tab w:val="left" w:pos="2880"/>
          <w:tab w:val="left" w:pos="3600"/>
          <w:tab w:val="center" w:pos="4513"/>
        </w:tabs>
        <w:spacing w:line="480" w:lineRule="auto"/>
        <w:ind w:left="1440" w:hanging="1440"/>
        <w:jc w:val="both"/>
      </w:pPr>
      <w:r>
        <w:tab/>
      </w:r>
      <w:r>
        <w:tab/>
      </w:r>
      <w:r w:rsidR="00DE461F">
        <w:t>7</w:t>
      </w:r>
      <w:r w:rsidR="001572AC">
        <w:t>1</w:t>
      </w:r>
      <w:r w:rsidR="00887AD1">
        <w:t>.2.1</w:t>
      </w:r>
      <w:r w:rsidR="00887AD1">
        <w:tab/>
      </w:r>
      <w:r w:rsidR="00887AD1">
        <w:tab/>
        <w:t xml:space="preserve">regarding </w:t>
      </w:r>
      <w:r>
        <w:t>the MK1, an order should be granted as sought;</w:t>
      </w:r>
    </w:p>
    <w:p w14:paraId="5257784D" w14:textId="129CE865" w:rsidR="00035906" w:rsidRDefault="00035906" w:rsidP="00035906">
      <w:pPr>
        <w:tabs>
          <w:tab w:val="left" w:pos="720"/>
          <w:tab w:val="left" w:pos="1440"/>
          <w:tab w:val="left" w:pos="2160"/>
          <w:tab w:val="left" w:pos="2880"/>
          <w:tab w:val="left" w:pos="3600"/>
          <w:tab w:val="center" w:pos="4513"/>
        </w:tabs>
        <w:spacing w:line="480" w:lineRule="auto"/>
        <w:ind w:left="2880" w:hanging="2880"/>
        <w:jc w:val="both"/>
      </w:pPr>
      <w:r>
        <w:tab/>
      </w:r>
      <w:r>
        <w:tab/>
      </w:r>
      <w:r w:rsidR="001572AC">
        <w:t>71</w:t>
      </w:r>
      <w:r w:rsidR="00887AD1">
        <w:t>.2.2</w:t>
      </w:r>
      <w:r w:rsidR="00887AD1">
        <w:tab/>
      </w:r>
      <w:r w:rsidR="00887AD1">
        <w:tab/>
        <w:t>regarding the MK2 design,</w:t>
      </w:r>
      <w:r>
        <w:t xml:space="preserve"> I find that there is a difference between the two designs sufficient to differentiate them from each other and </w:t>
      </w:r>
      <w:r w:rsidR="00661A76">
        <w:t xml:space="preserve">avoid any infringement and </w:t>
      </w:r>
      <w:r>
        <w:t>thus the plaintiff’s case must be dismissed.</w:t>
      </w:r>
    </w:p>
    <w:p w14:paraId="786ECA11" w14:textId="77777777" w:rsidR="001411F5" w:rsidRDefault="001411F5" w:rsidP="00035906">
      <w:pPr>
        <w:tabs>
          <w:tab w:val="left" w:pos="720"/>
          <w:tab w:val="left" w:pos="1440"/>
          <w:tab w:val="left" w:pos="2160"/>
          <w:tab w:val="left" w:pos="2880"/>
          <w:tab w:val="left" w:pos="3600"/>
          <w:tab w:val="center" w:pos="4513"/>
        </w:tabs>
        <w:spacing w:line="480" w:lineRule="auto"/>
        <w:ind w:left="2880" w:hanging="2880"/>
        <w:jc w:val="both"/>
      </w:pPr>
    </w:p>
    <w:p w14:paraId="4D4AF532" w14:textId="7F7D63B7" w:rsidR="001411F5" w:rsidRDefault="001411F5" w:rsidP="001411F5">
      <w:pPr>
        <w:tabs>
          <w:tab w:val="left" w:pos="720"/>
          <w:tab w:val="left" w:pos="1440"/>
          <w:tab w:val="left" w:pos="2160"/>
          <w:tab w:val="left" w:pos="2880"/>
          <w:tab w:val="left" w:pos="3600"/>
          <w:tab w:val="center" w:pos="4513"/>
        </w:tabs>
        <w:spacing w:line="480" w:lineRule="auto"/>
        <w:ind w:left="720" w:hanging="720"/>
        <w:jc w:val="both"/>
      </w:pPr>
      <w:r>
        <w:lastRenderedPageBreak/>
        <w:t>7</w:t>
      </w:r>
      <w:r w:rsidR="001572AC">
        <w:t>2</w:t>
      </w:r>
      <w:r>
        <w:t>]</w:t>
      </w:r>
      <w:r>
        <w:tab/>
        <w:t>Insofar as costs is concerned, the plaintiff has been substantially successful in its suits. Having said that, I woul</w:t>
      </w:r>
      <w:r w:rsidR="00AB703A">
        <w:t>d estimate that approximately 1/5 (one fifth) of the time spent was</w:t>
      </w:r>
      <w:r>
        <w:t xml:space="preserve"> in respect of the MK2 design in respect of which the defendant has been successful. I therefore intend to apportion the award for costs as i</w:t>
      </w:r>
      <w:r w:rsidR="001572AC">
        <w:t>s set out in par 75.</w:t>
      </w:r>
    </w:p>
    <w:p w14:paraId="2E2D1F82" w14:textId="77777777" w:rsidR="00035906" w:rsidRDefault="00035906" w:rsidP="00035906">
      <w:pPr>
        <w:tabs>
          <w:tab w:val="left" w:pos="720"/>
          <w:tab w:val="left" w:pos="1440"/>
          <w:tab w:val="left" w:pos="2160"/>
          <w:tab w:val="left" w:pos="2880"/>
          <w:tab w:val="left" w:pos="3600"/>
          <w:tab w:val="center" w:pos="4513"/>
        </w:tabs>
        <w:spacing w:line="480" w:lineRule="auto"/>
        <w:ind w:left="1440" w:hanging="1440"/>
        <w:jc w:val="both"/>
      </w:pPr>
    </w:p>
    <w:p w14:paraId="75383049" w14:textId="4B1675B8" w:rsidR="00035906" w:rsidRDefault="00035906" w:rsidP="00035906">
      <w:pPr>
        <w:tabs>
          <w:tab w:val="left" w:pos="720"/>
          <w:tab w:val="left" w:pos="1440"/>
          <w:tab w:val="left" w:pos="2160"/>
          <w:tab w:val="left" w:pos="2880"/>
          <w:tab w:val="left" w:pos="3600"/>
          <w:tab w:val="center" w:pos="4513"/>
        </w:tabs>
        <w:spacing w:line="480" w:lineRule="auto"/>
        <w:ind w:left="1440" w:hanging="1440"/>
        <w:jc w:val="both"/>
      </w:pPr>
      <w:r>
        <w:rPr>
          <w:b/>
          <w:u w:val="single"/>
        </w:rPr>
        <w:t>The Order</w:t>
      </w:r>
    </w:p>
    <w:p w14:paraId="37AEF88C" w14:textId="1F9F8527" w:rsidR="00035906" w:rsidRDefault="001572AC" w:rsidP="00035906">
      <w:pPr>
        <w:tabs>
          <w:tab w:val="left" w:pos="720"/>
          <w:tab w:val="left" w:pos="1440"/>
          <w:tab w:val="left" w:pos="2160"/>
          <w:tab w:val="left" w:pos="2880"/>
          <w:tab w:val="left" w:pos="3600"/>
          <w:tab w:val="center" w:pos="4513"/>
        </w:tabs>
        <w:spacing w:line="480" w:lineRule="auto"/>
        <w:ind w:left="1440" w:hanging="1440"/>
        <w:jc w:val="both"/>
      </w:pPr>
      <w:r>
        <w:t>73</w:t>
      </w:r>
      <w:r w:rsidR="00035906">
        <w:t>]</w:t>
      </w:r>
      <w:r w:rsidR="00035906">
        <w:tab/>
        <w:t>The order I grant is thus the following:</w:t>
      </w:r>
    </w:p>
    <w:p w14:paraId="2B0F102B" w14:textId="33AF3153" w:rsidR="00035906" w:rsidRDefault="00035906" w:rsidP="00035906">
      <w:pPr>
        <w:tabs>
          <w:tab w:val="left" w:pos="720"/>
          <w:tab w:val="left" w:pos="1440"/>
          <w:tab w:val="left" w:pos="2160"/>
          <w:tab w:val="left" w:pos="2880"/>
          <w:tab w:val="left" w:pos="3600"/>
          <w:tab w:val="center" w:pos="4513"/>
        </w:tabs>
        <w:spacing w:line="480" w:lineRule="auto"/>
        <w:ind w:left="1440" w:hanging="1440"/>
        <w:jc w:val="both"/>
      </w:pPr>
      <w:r>
        <w:tab/>
      </w:r>
      <w:r w:rsidR="005B4DC8">
        <w:rPr>
          <w:b/>
          <w:u w:val="single"/>
        </w:rPr>
        <w:t>Case no 10452/2018</w:t>
      </w:r>
    </w:p>
    <w:p w14:paraId="6303FF3D" w14:textId="078405A4" w:rsidR="005B4DC8" w:rsidRDefault="005B4DC8" w:rsidP="00035906">
      <w:pPr>
        <w:tabs>
          <w:tab w:val="left" w:pos="720"/>
          <w:tab w:val="left" w:pos="1440"/>
          <w:tab w:val="left" w:pos="2160"/>
          <w:tab w:val="left" w:pos="2880"/>
          <w:tab w:val="left" w:pos="3600"/>
          <w:tab w:val="center" w:pos="4513"/>
        </w:tabs>
        <w:spacing w:line="480" w:lineRule="auto"/>
        <w:ind w:left="1440" w:hanging="1440"/>
        <w:jc w:val="both"/>
      </w:pPr>
      <w:r>
        <w:tab/>
        <w:t>7</w:t>
      </w:r>
      <w:r w:rsidR="001572AC">
        <w:t>3</w:t>
      </w:r>
      <w:r>
        <w:t>.1</w:t>
      </w:r>
      <w:r>
        <w:tab/>
        <w:t>the defendant is interdicted</w:t>
      </w:r>
      <w:r w:rsidR="00CA57F7">
        <w:t xml:space="preserve"> and restrained</w:t>
      </w:r>
      <w:r>
        <w:t xml:space="preserve"> from infringing South African registered design A2015/01719  by making, using, importing, disposing of the defendant’s MK1 nudge bar, or any other article included in class 12 and embodying the registered design or a design not substantially different from the registered design in the Republic;</w:t>
      </w:r>
    </w:p>
    <w:p w14:paraId="5EFE0D4F" w14:textId="77777777" w:rsidR="00FB2783" w:rsidRDefault="00FB2783" w:rsidP="00035906">
      <w:pPr>
        <w:tabs>
          <w:tab w:val="left" w:pos="720"/>
          <w:tab w:val="left" w:pos="1440"/>
          <w:tab w:val="left" w:pos="2160"/>
          <w:tab w:val="left" w:pos="2880"/>
          <w:tab w:val="left" w:pos="3600"/>
          <w:tab w:val="center" w:pos="4513"/>
        </w:tabs>
        <w:spacing w:line="480" w:lineRule="auto"/>
        <w:ind w:left="1440" w:hanging="1440"/>
        <w:jc w:val="both"/>
      </w:pPr>
    </w:p>
    <w:p w14:paraId="0E17E02A" w14:textId="01D53D69" w:rsidR="005B4DC8" w:rsidRDefault="005B4DC8" w:rsidP="00035906">
      <w:pPr>
        <w:tabs>
          <w:tab w:val="left" w:pos="720"/>
          <w:tab w:val="left" w:pos="1440"/>
          <w:tab w:val="left" w:pos="2160"/>
          <w:tab w:val="left" w:pos="2880"/>
          <w:tab w:val="left" w:pos="3600"/>
          <w:tab w:val="center" w:pos="4513"/>
        </w:tabs>
        <w:spacing w:line="480" w:lineRule="auto"/>
        <w:ind w:left="1440" w:hanging="1440"/>
        <w:jc w:val="both"/>
      </w:pPr>
      <w:r>
        <w:tab/>
      </w:r>
      <w:r w:rsidR="001572AC">
        <w:t>73</w:t>
      </w:r>
      <w:r>
        <w:t>.2</w:t>
      </w:r>
      <w:r>
        <w:tab/>
        <w:t>the defendant is interdicted</w:t>
      </w:r>
      <w:r w:rsidR="00CA57F7">
        <w:t xml:space="preserve"> and restrained</w:t>
      </w:r>
      <w:r>
        <w:t xml:space="preserve"> from infringing South African registered design A</w:t>
      </w:r>
      <w:r w:rsidR="00E36ABF">
        <w:t>2015/01722</w:t>
      </w:r>
      <w:r>
        <w:t xml:space="preserve">  by making, using, importing, disposing of the defendant’s MK1 sports bar, or any other article included in class 12 and embodying the registered design or a design not substantially different from the registered design in the Republic;</w:t>
      </w:r>
    </w:p>
    <w:p w14:paraId="53518171" w14:textId="77777777" w:rsidR="00FB2783" w:rsidRDefault="00FB2783" w:rsidP="00035906">
      <w:pPr>
        <w:tabs>
          <w:tab w:val="left" w:pos="720"/>
          <w:tab w:val="left" w:pos="1440"/>
          <w:tab w:val="left" w:pos="2160"/>
          <w:tab w:val="left" w:pos="2880"/>
          <w:tab w:val="left" w:pos="3600"/>
          <w:tab w:val="center" w:pos="4513"/>
        </w:tabs>
        <w:spacing w:line="480" w:lineRule="auto"/>
        <w:ind w:left="1440" w:hanging="1440"/>
        <w:jc w:val="both"/>
      </w:pPr>
    </w:p>
    <w:p w14:paraId="30CDA630" w14:textId="0EEA379F" w:rsidR="00E36ABF" w:rsidRDefault="00E36ABF" w:rsidP="00E36ABF">
      <w:pPr>
        <w:tabs>
          <w:tab w:val="left" w:pos="720"/>
          <w:tab w:val="left" w:pos="1440"/>
          <w:tab w:val="left" w:pos="2160"/>
          <w:tab w:val="left" w:pos="2880"/>
          <w:tab w:val="left" w:pos="3600"/>
          <w:tab w:val="center" w:pos="4513"/>
        </w:tabs>
        <w:spacing w:line="480" w:lineRule="auto"/>
        <w:ind w:left="1440" w:hanging="1440"/>
        <w:jc w:val="both"/>
      </w:pPr>
      <w:r>
        <w:tab/>
      </w:r>
      <w:r w:rsidR="001572AC">
        <w:t>73</w:t>
      </w:r>
      <w:r>
        <w:t>.3</w:t>
      </w:r>
      <w:r>
        <w:tab/>
        <w:t>the defendant is ordered to surrender for destruction any infringing product or any article or product of which the infringing product forms an inseparable part;</w:t>
      </w:r>
    </w:p>
    <w:p w14:paraId="57FF0FB0" w14:textId="0B7B0021" w:rsidR="00E36ABF" w:rsidRDefault="00E36ABF" w:rsidP="00E36ABF">
      <w:pPr>
        <w:tabs>
          <w:tab w:val="left" w:pos="720"/>
          <w:tab w:val="left" w:pos="1440"/>
          <w:tab w:val="left" w:pos="2160"/>
          <w:tab w:val="left" w:pos="2880"/>
          <w:tab w:val="left" w:pos="3600"/>
          <w:tab w:val="center" w:pos="4513"/>
        </w:tabs>
        <w:spacing w:line="480" w:lineRule="auto"/>
        <w:ind w:left="1440" w:hanging="1440"/>
        <w:jc w:val="both"/>
      </w:pPr>
      <w:r>
        <w:lastRenderedPageBreak/>
        <w:tab/>
      </w:r>
      <w:r w:rsidR="001572AC">
        <w:t>73</w:t>
      </w:r>
      <w:r>
        <w:t>.4</w:t>
      </w:r>
      <w:r>
        <w:tab/>
        <w:t>there shall be an enquiry into damages suffered by the plaintiff as a consequence of the infringement of SA design registration A2015/10719 and A2015/01722 and payment of the amount of damages found to be suffered; alternatively an enquiry into the extent of the infringement and the amount of a reasonable royalty to be paid in lieu of damages, and payment of the amount of royalties found to be payable;</w:t>
      </w:r>
    </w:p>
    <w:p w14:paraId="78DF9B8C" w14:textId="77777777" w:rsidR="00FB2783" w:rsidRPr="005B4DC8" w:rsidRDefault="00FB2783" w:rsidP="00E36ABF">
      <w:pPr>
        <w:tabs>
          <w:tab w:val="left" w:pos="720"/>
          <w:tab w:val="left" w:pos="1440"/>
          <w:tab w:val="left" w:pos="2160"/>
          <w:tab w:val="left" w:pos="2880"/>
          <w:tab w:val="left" w:pos="3600"/>
          <w:tab w:val="center" w:pos="4513"/>
        </w:tabs>
        <w:spacing w:line="480" w:lineRule="auto"/>
        <w:ind w:left="1440" w:hanging="1440"/>
        <w:jc w:val="both"/>
      </w:pPr>
    </w:p>
    <w:p w14:paraId="1B679421" w14:textId="649AF53E" w:rsidR="005D0E92" w:rsidRDefault="00E36ABF" w:rsidP="001411F5">
      <w:pPr>
        <w:tabs>
          <w:tab w:val="left" w:pos="720"/>
          <w:tab w:val="left" w:pos="1440"/>
          <w:tab w:val="left" w:pos="2160"/>
          <w:tab w:val="left" w:pos="2880"/>
          <w:tab w:val="left" w:pos="3600"/>
          <w:tab w:val="center" w:pos="4513"/>
        </w:tabs>
        <w:spacing w:line="480" w:lineRule="auto"/>
        <w:ind w:left="1440" w:hanging="1440"/>
        <w:jc w:val="both"/>
      </w:pPr>
      <w:r>
        <w:tab/>
      </w:r>
      <w:r w:rsidR="001572AC">
        <w:t>73</w:t>
      </w:r>
      <w:r w:rsidR="001411F5">
        <w:t>.5</w:t>
      </w:r>
      <w:r w:rsidR="001411F5">
        <w:tab/>
        <w:t>the defendant is ordered to pay the costs of suit including counsel’s fee and qualifying fees of the plaintiff’s expert witness.</w:t>
      </w:r>
    </w:p>
    <w:p w14:paraId="3D9B3488" w14:textId="77777777" w:rsidR="001411F5" w:rsidRDefault="001411F5" w:rsidP="005D0E92">
      <w:pPr>
        <w:tabs>
          <w:tab w:val="left" w:pos="720"/>
          <w:tab w:val="left" w:pos="1440"/>
          <w:tab w:val="left" w:pos="2160"/>
          <w:tab w:val="left" w:pos="2880"/>
          <w:tab w:val="left" w:pos="3600"/>
          <w:tab w:val="center" w:pos="4513"/>
        </w:tabs>
        <w:spacing w:line="480" w:lineRule="auto"/>
        <w:ind w:left="720" w:hanging="720"/>
        <w:jc w:val="both"/>
      </w:pPr>
    </w:p>
    <w:p w14:paraId="7A928EEF" w14:textId="0F935499" w:rsidR="00D3729C" w:rsidRDefault="00D3729C" w:rsidP="005D0E92">
      <w:pPr>
        <w:tabs>
          <w:tab w:val="left" w:pos="720"/>
          <w:tab w:val="left" w:pos="1440"/>
          <w:tab w:val="left" w:pos="2160"/>
          <w:tab w:val="left" w:pos="2880"/>
          <w:tab w:val="left" w:pos="3600"/>
          <w:tab w:val="center" w:pos="4513"/>
        </w:tabs>
        <w:spacing w:line="480" w:lineRule="auto"/>
        <w:ind w:left="720" w:hanging="720"/>
        <w:jc w:val="both"/>
      </w:pPr>
      <w:r>
        <w:tab/>
      </w:r>
      <w:r>
        <w:rPr>
          <w:b/>
          <w:u w:val="single"/>
        </w:rPr>
        <w:t>Case no 39199/2018</w:t>
      </w:r>
    </w:p>
    <w:p w14:paraId="06ADA060" w14:textId="6C2E6543" w:rsidR="00CD4041" w:rsidRDefault="00D3729C" w:rsidP="00CD4041">
      <w:pPr>
        <w:tabs>
          <w:tab w:val="left" w:pos="720"/>
          <w:tab w:val="left" w:pos="1440"/>
          <w:tab w:val="left" w:pos="2160"/>
          <w:tab w:val="left" w:pos="2880"/>
          <w:tab w:val="left" w:pos="3600"/>
          <w:tab w:val="center" w:pos="4513"/>
        </w:tabs>
        <w:spacing w:line="480" w:lineRule="auto"/>
        <w:ind w:left="1440" w:hanging="1440"/>
        <w:jc w:val="both"/>
      </w:pPr>
      <w:r>
        <w:tab/>
      </w:r>
      <w:r w:rsidR="001572AC">
        <w:t>73</w:t>
      </w:r>
      <w:r w:rsidR="001411F5">
        <w:t>.6</w:t>
      </w:r>
      <w:r>
        <w:tab/>
      </w:r>
      <w:r w:rsidR="00CD4041">
        <w:t>the defendant is interdicted from infringing South African registered design A2015/01666  by making, using, importing, disposing of the defendant’s TILT sports bar, or any other article included in class 12 and embodying the registered design or a design not substantially different from the registered design in the Republic;</w:t>
      </w:r>
    </w:p>
    <w:p w14:paraId="355F3F59" w14:textId="77777777" w:rsidR="00FB2783" w:rsidRDefault="00FB2783" w:rsidP="00CD4041">
      <w:pPr>
        <w:tabs>
          <w:tab w:val="left" w:pos="720"/>
          <w:tab w:val="left" w:pos="1440"/>
          <w:tab w:val="left" w:pos="2160"/>
          <w:tab w:val="left" w:pos="2880"/>
          <w:tab w:val="left" w:pos="3600"/>
          <w:tab w:val="center" w:pos="4513"/>
        </w:tabs>
        <w:spacing w:line="480" w:lineRule="auto"/>
        <w:ind w:left="1440" w:hanging="1440"/>
        <w:jc w:val="both"/>
      </w:pPr>
    </w:p>
    <w:p w14:paraId="5A51A9F9" w14:textId="6A28932C" w:rsidR="00CD4041" w:rsidRDefault="00CD4041" w:rsidP="00CD4041">
      <w:pPr>
        <w:tabs>
          <w:tab w:val="left" w:pos="720"/>
          <w:tab w:val="left" w:pos="1440"/>
          <w:tab w:val="left" w:pos="2160"/>
          <w:tab w:val="left" w:pos="2880"/>
          <w:tab w:val="left" w:pos="3600"/>
          <w:tab w:val="center" w:pos="4513"/>
        </w:tabs>
        <w:spacing w:line="480" w:lineRule="auto"/>
        <w:ind w:left="1440" w:hanging="1440"/>
        <w:jc w:val="both"/>
      </w:pPr>
      <w:r>
        <w:tab/>
      </w:r>
      <w:r w:rsidR="001572AC">
        <w:t>73</w:t>
      </w:r>
      <w:r w:rsidR="001411F5">
        <w:t>.7</w:t>
      </w:r>
      <w:r>
        <w:tab/>
      </w:r>
      <w:r w:rsidR="00CA57F7">
        <w:t>the defendant is interdicted and restrained from infringing South African registered design A2015/01668 by making, using, importing, disposing of the defendant’</w:t>
      </w:r>
      <w:r w:rsidR="001411F5">
        <w:t xml:space="preserve">s TILT </w:t>
      </w:r>
      <w:r w:rsidR="00CA57F7">
        <w:t>nudge bar, or any other article included in class 12 and embodying the registered design or a design not substantially different from the registered design in the Republic;</w:t>
      </w:r>
    </w:p>
    <w:p w14:paraId="220E0BFB" w14:textId="77777777" w:rsidR="00FB2783" w:rsidRDefault="00FB2783" w:rsidP="00CD4041">
      <w:pPr>
        <w:tabs>
          <w:tab w:val="left" w:pos="720"/>
          <w:tab w:val="left" w:pos="1440"/>
          <w:tab w:val="left" w:pos="2160"/>
          <w:tab w:val="left" w:pos="2880"/>
          <w:tab w:val="left" w:pos="3600"/>
          <w:tab w:val="center" w:pos="4513"/>
        </w:tabs>
        <w:spacing w:line="480" w:lineRule="auto"/>
        <w:ind w:left="1440" w:hanging="1440"/>
        <w:jc w:val="both"/>
      </w:pPr>
    </w:p>
    <w:p w14:paraId="77487236" w14:textId="51FCEA73" w:rsidR="001411F5" w:rsidRDefault="001411F5" w:rsidP="001411F5">
      <w:pPr>
        <w:tabs>
          <w:tab w:val="left" w:pos="720"/>
          <w:tab w:val="left" w:pos="1440"/>
          <w:tab w:val="left" w:pos="2160"/>
          <w:tab w:val="left" w:pos="2880"/>
          <w:tab w:val="left" w:pos="3600"/>
          <w:tab w:val="center" w:pos="4513"/>
        </w:tabs>
        <w:spacing w:line="480" w:lineRule="auto"/>
        <w:ind w:left="1440" w:hanging="1440"/>
        <w:jc w:val="both"/>
      </w:pPr>
      <w:r>
        <w:lastRenderedPageBreak/>
        <w:tab/>
      </w:r>
      <w:r w:rsidR="001572AC">
        <w:t>73</w:t>
      </w:r>
      <w:r>
        <w:t>.8</w:t>
      </w:r>
      <w:r>
        <w:tab/>
        <w:t>the defendant is ordered to surrender for destruction all TILT nudge bars and sports bar any infringing product or any article or product of which the TILT nudge or sports bar forms an inseparable part;</w:t>
      </w:r>
    </w:p>
    <w:p w14:paraId="0FEE5D13" w14:textId="77777777" w:rsidR="00FB2783" w:rsidRDefault="00FB2783" w:rsidP="001411F5">
      <w:pPr>
        <w:tabs>
          <w:tab w:val="left" w:pos="720"/>
          <w:tab w:val="left" w:pos="1440"/>
          <w:tab w:val="left" w:pos="2160"/>
          <w:tab w:val="left" w:pos="2880"/>
          <w:tab w:val="left" w:pos="3600"/>
          <w:tab w:val="center" w:pos="4513"/>
        </w:tabs>
        <w:spacing w:line="480" w:lineRule="auto"/>
        <w:ind w:left="1440" w:hanging="1440"/>
        <w:jc w:val="both"/>
      </w:pPr>
    </w:p>
    <w:p w14:paraId="315280EC" w14:textId="1B85AE90" w:rsidR="001411F5" w:rsidRDefault="001411F5" w:rsidP="001411F5">
      <w:pPr>
        <w:tabs>
          <w:tab w:val="left" w:pos="720"/>
          <w:tab w:val="left" w:pos="1440"/>
          <w:tab w:val="left" w:pos="2160"/>
          <w:tab w:val="left" w:pos="2880"/>
          <w:tab w:val="left" w:pos="3600"/>
          <w:tab w:val="center" w:pos="4513"/>
        </w:tabs>
        <w:spacing w:line="480" w:lineRule="auto"/>
        <w:ind w:left="1440" w:hanging="1440"/>
        <w:jc w:val="both"/>
      </w:pPr>
      <w:r>
        <w:tab/>
      </w:r>
      <w:r w:rsidR="001572AC">
        <w:t>73</w:t>
      </w:r>
      <w:r>
        <w:t>.9</w:t>
      </w:r>
      <w:r>
        <w:tab/>
        <w:t>there shall be an enquiry into damages suffered by the plaintiff as a consequence of the infringement of SA design registration A2015/10666 and A2015/01668 and payment of the amount of damages found to be suffered; alternatively an enquiry into the extent of the infringement and the amount of a reasonable royalty to be paid in lieu of damages, and payment of the amount of royalties found to be payable;</w:t>
      </w:r>
    </w:p>
    <w:p w14:paraId="467560EB" w14:textId="77777777" w:rsidR="00FB2783" w:rsidRPr="005B4DC8" w:rsidRDefault="00FB2783" w:rsidP="001411F5">
      <w:pPr>
        <w:tabs>
          <w:tab w:val="left" w:pos="720"/>
          <w:tab w:val="left" w:pos="1440"/>
          <w:tab w:val="left" w:pos="2160"/>
          <w:tab w:val="left" w:pos="2880"/>
          <w:tab w:val="left" w:pos="3600"/>
          <w:tab w:val="center" w:pos="4513"/>
        </w:tabs>
        <w:spacing w:line="480" w:lineRule="auto"/>
        <w:ind w:left="1440" w:hanging="1440"/>
        <w:jc w:val="both"/>
      </w:pPr>
    </w:p>
    <w:p w14:paraId="24FA976A" w14:textId="0D850825" w:rsidR="001411F5" w:rsidRDefault="001411F5" w:rsidP="001411F5">
      <w:pPr>
        <w:tabs>
          <w:tab w:val="left" w:pos="720"/>
          <w:tab w:val="left" w:pos="1440"/>
          <w:tab w:val="left" w:pos="2160"/>
          <w:tab w:val="left" w:pos="2880"/>
          <w:tab w:val="left" w:pos="3600"/>
          <w:tab w:val="center" w:pos="4513"/>
        </w:tabs>
        <w:spacing w:line="480" w:lineRule="auto"/>
        <w:ind w:left="1440" w:hanging="1440"/>
        <w:jc w:val="both"/>
      </w:pPr>
      <w:r>
        <w:tab/>
      </w:r>
      <w:r w:rsidR="001572AC">
        <w:t>73</w:t>
      </w:r>
      <w:r>
        <w:t>.10</w:t>
      </w:r>
      <w:r>
        <w:tab/>
        <w:t>the defendant is ordered to pay the costs of suit including counsel’s fee</w:t>
      </w:r>
      <w:r w:rsidR="00FB2783">
        <w:t>s</w:t>
      </w:r>
      <w:r>
        <w:t xml:space="preserve"> and </w:t>
      </w:r>
      <w:r w:rsidR="00FB2783">
        <w:t xml:space="preserve">the </w:t>
      </w:r>
      <w:r>
        <w:t>qualifying fees of the plaintiff’s expert witness.</w:t>
      </w:r>
    </w:p>
    <w:p w14:paraId="73AE0D7D" w14:textId="77777777" w:rsidR="001411F5" w:rsidRDefault="001411F5" w:rsidP="00CD4041">
      <w:pPr>
        <w:tabs>
          <w:tab w:val="left" w:pos="720"/>
          <w:tab w:val="left" w:pos="1440"/>
          <w:tab w:val="left" w:pos="2160"/>
          <w:tab w:val="left" w:pos="2880"/>
          <w:tab w:val="left" w:pos="3600"/>
          <w:tab w:val="center" w:pos="4513"/>
        </w:tabs>
        <w:spacing w:line="480" w:lineRule="auto"/>
        <w:ind w:left="1440" w:hanging="1440"/>
        <w:jc w:val="both"/>
      </w:pPr>
    </w:p>
    <w:p w14:paraId="22212642" w14:textId="4BCA870D" w:rsidR="00D3729C" w:rsidRDefault="00DE461F" w:rsidP="005D0E92">
      <w:pPr>
        <w:tabs>
          <w:tab w:val="left" w:pos="720"/>
          <w:tab w:val="left" w:pos="1440"/>
          <w:tab w:val="left" w:pos="2160"/>
          <w:tab w:val="left" w:pos="2880"/>
          <w:tab w:val="left" w:pos="3600"/>
          <w:tab w:val="center" w:pos="4513"/>
        </w:tabs>
        <w:spacing w:line="480" w:lineRule="auto"/>
        <w:ind w:left="720" w:hanging="720"/>
        <w:jc w:val="both"/>
      </w:pPr>
      <w:r>
        <w:t>7</w:t>
      </w:r>
      <w:r w:rsidR="001572AC">
        <w:t>4</w:t>
      </w:r>
      <w:r w:rsidR="001411F5">
        <w:t>]</w:t>
      </w:r>
      <w:r w:rsidR="001411F5">
        <w:tab/>
        <w:t>The plaintiff’s suit</w:t>
      </w:r>
      <w:r w:rsidR="008670BF">
        <w:t xml:space="preserve"> under case no 10452/2018</w:t>
      </w:r>
      <w:r w:rsidR="001411F5">
        <w:t xml:space="preserve"> in respect of the defendant’s MK2</w:t>
      </w:r>
      <w:r w:rsidR="008670BF">
        <w:t xml:space="preserve"> Louvre sports bar</w:t>
      </w:r>
      <w:r w:rsidR="001411F5">
        <w:t xml:space="preserve"> design is dismissed with costs, which costs shall include </w:t>
      </w:r>
      <w:r w:rsidR="00FB2783">
        <w:t xml:space="preserve">counsel’s fees and </w:t>
      </w:r>
      <w:r w:rsidR="001411F5">
        <w:t xml:space="preserve">the qualifying fees of Mr Karl </w:t>
      </w:r>
      <w:r w:rsidR="00DA4C2B">
        <w:t>William E</w:t>
      </w:r>
      <w:r w:rsidR="007A2487">
        <w:t>ngelbrecht.</w:t>
      </w:r>
    </w:p>
    <w:p w14:paraId="72259DFB" w14:textId="77777777" w:rsidR="001411F5" w:rsidRDefault="001411F5" w:rsidP="005D0E92">
      <w:pPr>
        <w:tabs>
          <w:tab w:val="left" w:pos="720"/>
          <w:tab w:val="left" w:pos="1440"/>
          <w:tab w:val="left" w:pos="2160"/>
          <w:tab w:val="left" w:pos="2880"/>
          <w:tab w:val="left" w:pos="3600"/>
          <w:tab w:val="center" w:pos="4513"/>
        </w:tabs>
        <w:spacing w:line="480" w:lineRule="auto"/>
        <w:ind w:left="720" w:hanging="720"/>
        <w:jc w:val="both"/>
      </w:pPr>
    </w:p>
    <w:p w14:paraId="06B11C21" w14:textId="3004E0D6" w:rsidR="001411F5" w:rsidRPr="00D3729C" w:rsidRDefault="001572AC" w:rsidP="005D0E92">
      <w:pPr>
        <w:tabs>
          <w:tab w:val="left" w:pos="720"/>
          <w:tab w:val="left" w:pos="1440"/>
          <w:tab w:val="left" w:pos="2160"/>
          <w:tab w:val="left" w:pos="2880"/>
          <w:tab w:val="left" w:pos="3600"/>
          <w:tab w:val="center" w:pos="4513"/>
        </w:tabs>
        <w:spacing w:line="480" w:lineRule="auto"/>
        <w:ind w:left="720" w:hanging="720"/>
        <w:jc w:val="both"/>
      </w:pPr>
      <w:r>
        <w:t>75</w:t>
      </w:r>
      <w:r w:rsidR="001411F5">
        <w:t>]</w:t>
      </w:r>
      <w:r w:rsidR="001411F5">
        <w:tab/>
        <w:t>The apportionment of costs for purposes of taxation shall be</w:t>
      </w:r>
      <w:r w:rsidR="00AB703A">
        <w:t xml:space="preserve"> that plaintiff is entitled to 4/5 (four fifths)</w:t>
      </w:r>
      <w:r w:rsidR="001411F5">
        <w:t xml:space="preserve"> of its taxed</w:t>
      </w:r>
      <w:r w:rsidR="00AB703A">
        <w:t xml:space="preserve"> or agreed costs and defendant 1/5 (one fifth)</w:t>
      </w:r>
      <w:r w:rsidR="001411F5">
        <w:t xml:space="preserve"> of its taxed or agreed costs.</w:t>
      </w:r>
    </w:p>
    <w:p w14:paraId="1010DA52" w14:textId="77777777" w:rsidR="00784361" w:rsidRDefault="00784361" w:rsidP="00784361">
      <w:pPr>
        <w:tabs>
          <w:tab w:val="left" w:pos="720"/>
          <w:tab w:val="left" w:pos="1440"/>
          <w:tab w:val="left" w:pos="2160"/>
          <w:tab w:val="left" w:pos="2880"/>
          <w:tab w:val="left" w:pos="3600"/>
          <w:tab w:val="center" w:pos="4513"/>
        </w:tabs>
        <w:spacing w:line="480" w:lineRule="auto"/>
        <w:ind w:left="1440" w:hanging="1440"/>
        <w:jc w:val="both"/>
      </w:pPr>
    </w:p>
    <w:p w14:paraId="2013E7FF" w14:textId="77777777" w:rsidR="00FB2783" w:rsidRDefault="00FB2783" w:rsidP="00784361">
      <w:pPr>
        <w:tabs>
          <w:tab w:val="left" w:pos="720"/>
          <w:tab w:val="left" w:pos="1440"/>
          <w:tab w:val="left" w:pos="2160"/>
          <w:tab w:val="left" w:pos="2880"/>
          <w:tab w:val="left" w:pos="3600"/>
          <w:tab w:val="center" w:pos="4513"/>
        </w:tabs>
        <w:spacing w:line="480" w:lineRule="auto"/>
        <w:ind w:left="1440" w:hanging="1440"/>
        <w:jc w:val="both"/>
      </w:pPr>
    </w:p>
    <w:p w14:paraId="36B7E632" w14:textId="77777777" w:rsidR="00FB2783" w:rsidRDefault="00FB2783" w:rsidP="00784361">
      <w:pPr>
        <w:tabs>
          <w:tab w:val="left" w:pos="720"/>
          <w:tab w:val="left" w:pos="1440"/>
          <w:tab w:val="left" w:pos="2160"/>
          <w:tab w:val="left" w:pos="2880"/>
          <w:tab w:val="left" w:pos="3600"/>
          <w:tab w:val="center" w:pos="4513"/>
        </w:tabs>
        <w:spacing w:line="480" w:lineRule="auto"/>
        <w:ind w:left="1440" w:hanging="1440"/>
        <w:jc w:val="both"/>
      </w:pPr>
    </w:p>
    <w:p w14:paraId="4806EDB8" w14:textId="77777777" w:rsidR="00FB2783" w:rsidRDefault="00FB2783" w:rsidP="00784361">
      <w:pPr>
        <w:tabs>
          <w:tab w:val="left" w:pos="720"/>
          <w:tab w:val="left" w:pos="1440"/>
          <w:tab w:val="left" w:pos="2160"/>
          <w:tab w:val="left" w:pos="2880"/>
          <w:tab w:val="left" w:pos="3600"/>
          <w:tab w:val="center" w:pos="4513"/>
        </w:tabs>
        <w:spacing w:line="480" w:lineRule="auto"/>
        <w:ind w:left="1440" w:hanging="1440"/>
        <w:jc w:val="both"/>
      </w:pPr>
    </w:p>
    <w:p w14:paraId="4B4BF21A" w14:textId="77777777" w:rsidR="0004446E" w:rsidRDefault="0004446E" w:rsidP="00792CF6">
      <w:pPr>
        <w:spacing w:line="480" w:lineRule="auto"/>
      </w:pPr>
    </w:p>
    <w:p w14:paraId="3B93B0B4" w14:textId="0F427E55" w:rsidR="0004446E" w:rsidRPr="003C2344" w:rsidRDefault="0004446E" w:rsidP="0004446E">
      <w:pPr>
        <w:spacing w:line="480" w:lineRule="auto"/>
        <w:jc w:val="right"/>
        <w:rPr>
          <w:bCs w:val="0"/>
          <w:i/>
          <w:color w:val="000000"/>
          <w:kern w:val="0"/>
          <w:lang w:eastAsia="en-ZA"/>
        </w:rPr>
      </w:pPr>
    </w:p>
    <w:p w14:paraId="2BEEBA64" w14:textId="77777777" w:rsidR="0004446E" w:rsidRPr="006250FD" w:rsidRDefault="0004446E" w:rsidP="0004446E">
      <w:pPr>
        <w:widowControl w:val="0"/>
        <w:tabs>
          <w:tab w:val="left" w:pos="1701"/>
          <w:tab w:val="left" w:pos="2552"/>
          <w:tab w:val="left" w:pos="3402"/>
          <w:tab w:val="left" w:pos="4253"/>
        </w:tabs>
        <w:spacing w:line="480" w:lineRule="auto"/>
        <w:ind w:left="360"/>
        <w:jc w:val="right"/>
        <w:rPr>
          <w:sz w:val="25"/>
          <w:szCs w:val="25"/>
          <w:lang w:val="en-GB"/>
        </w:rPr>
      </w:pPr>
      <w:r>
        <w:rPr>
          <w:sz w:val="25"/>
          <w:szCs w:val="25"/>
          <w:lang w:val="en-GB"/>
        </w:rPr>
        <w:t>______________</w:t>
      </w:r>
    </w:p>
    <w:p w14:paraId="00714F5F" w14:textId="77777777" w:rsidR="0004446E" w:rsidRPr="002D77AA" w:rsidRDefault="0004446E" w:rsidP="0004446E">
      <w:pPr>
        <w:widowControl w:val="0"/>
        <w:tabs>
          <w:tab w:val="left" w:pos="1701"/>
          <w:tab w:val="left" w:pos="2552"/>
          <w:tab w:val="left" w:pos="3402"/>
          <w:tab w:val="left" w:pos="4253"/>
        </w:tabs>
        <w:spacing w:line="480" w:lineRule="auto"/>
        <w:ind w:left="357"/>
        <w:jc w:val="right"/>
        <w:rPr>
          <w:b/>
          <w:lang w:val="en-GB"/>
        </w:rPr>
      </w:pPr>
      <w:r w:rsidRPr="002D77AA">
        <w:rPr>
          <w:b/>
          <w:lang w:val="en-GB"/>
        </w:rPr>
        <w:t>NEUKIRCHER J</w:t>
      </w:r>
    </w:p>
    <w:p w14:paraId="15FE961A" w14:textId="77777777" w:rsidR="0004446E" w:rsidRPr="002D77AA" w:rsidRDefault="0004446E" w:rsidP="0004446E">
      <w:pPr>
        <w:widowControl w:val="0"/>
        <w:tabs>
          <w:tab w:val="left" w:pos="1701"/>
          <w:tab w:val="left" w:pos="2552"/>
          <w:tab w:val="left" w:pos="3402"/>
          <w:tab w:val="left" w:pos="4253"/>
        </w:tabs>
        <w:spacing w:line="480" w:lineRule="auto"/>
        <w:ind w:left="357"/>
        <w:jc w:val="right"/>
        <w:rPr>
          <w:lang w:val="en-GB"/>
        </w:rPr>
      </w:pPr>
      <w:r w:rsidRPr="002D77AA">
        <w:rPr>
          <w:lang w:val="en-GB"/>
        </w:rPr>
        <w:t>Date of hearing: 20 May 2020 – 22 May 2020</w:t>
      </w:r>
    </w:p>
    <w:p w14:paraId="62D12BD3" w14:textId="158C692C" w:rsidR="0004446E" w:rsidRPr="002D77AA" w:rsidRDefault="0004446E" w:rsidP="0004446E">
      <w:pPr>
        <w:widowControl w:val="0"/>
        <w:tabs>
          <w:tab w:val="left" w:pos="1701"/>
          <w:tab w:val="left" w:pos="2552"/>
          <w:tab w:val="left" w:pos="3402"/>
          <w:tab w:val="left" w:pos="4253"/>
        </w:tabs>
        <w:spacing w:line="480" w:lineRule="auto"/>
        <w:ind w:left="357"/>
        <w:jc w:val="right"/>
        <w:rPr>
          <w:lang w:val="en-GB"/>
        </w:rPr>
      </w:pPr>
      <w:r w:rsidRPr="002D77AA">
        <w:rPr>
          <w:lang w:val="en-GB"/>
        </w:rPr>
        <w:t>Date of judgment:</w:t>
      </w:r>
      <w:r w:rsidR="00DE461F">
        <w:rPr>
          <w:lang w:val="en-GB"/>
        </w:rPr>
        <w:t xml:space="preserve"> </w:t>
      </w:r>
      <w:r w:rsidR="00A7714D">
        <w:rPr>
          <w:lang w:val="en-GB"/>
        </w:rPr>
        <w:t>7</w:t>
      </w:r>
      <w:r w:rsidR="004647C0">
        <w:rPr>
          <w:lang w:val="en-GB"/>
        </w:rPr>
        <w:t xml:space="preserve"> October</w:t>
      </w:r>
      <w:r w:rsidR="00DE461F">
        <w:rPr>
          <w:lang w:val="en-GB"/>
        </w:rPr>
        <w:t xml:space="preserve"> 2020</w:t>
      </w:r>
    </w:p>
    <w:p w14:paraId="0D8B34D4" w14:textId="77777777" w:rsidR="0004446E" w:rsidRDefault="0004446E" w:rsidP="0004446E">
      <w:pPr>
        <w:jc w:val="center"/>
        <w:rPr>
          <w:sz w:val="26"/>
          <w:szCs w:val="26"/>
        </w:rPr>
      </w:pPr>
    </w:p>
    <w:p w14:paraId="30766BDA" w14:textId="6A1B09F7" w:rsidR="0004446E" w:rsidRDefault="00A731FC" w:rsidP="00A731FC">
      <w:pPr>
        <w:rPr>
          <w:sz w:val="20"/>
          <w:szCs w:val="20"/>
        </w:rPr>
      </w:pPr>
      <w:r>
        <w:rPr>
          <w:sz w:val="20"/>
          <w:szCs w:val="20"/>
        </w:rPr>
        <w:t>Counsel for plaintiff: Mr G Marriott</w:t>
      </w:r>
    </w:p>
    <w:p w14:paraId="29097004" w14:textId="656C5622" w:rsidR="00A731FC" w:rsidRDefault="00A731FC" w:rsidP="00A731FC">
      <w:pPr>
        <w:rPr>
          <w:sz w:val="20"/>
          <w:szCs w:val="20"/>
        </w:rPr>
      </w:pPr>
      <w:r>
        <w:rPr>
          <w:sz w:val="20"/>
          <w:szCs w:val="20"/>
        </w:rPr>
        <w:t>Instructed by: Adams &amp; Adams</w:t>
      </w:r>
    </w:p>
    <w:p w14:paraId="1F06DD81" w14:textId="10C75CCA" w:rsidR="00A731FC" w:rsidRDefault="00A731FC" w:rsidP="00A731FC">
      <w:pPr>
        <w:rPr>
          <w:sz w:val="20"/>
          <w:szCs w:val="20"/>
        </w:rPr>
      </w:pPr>
      <w:r>
        <w:rPr>
          <w:sz w:val="20"/>
          <w:szCs w:val="20"/>
        </w:rPr>
        <w:t>Counsel for defendant: Mr P P Ferreira</w:t>
      </w:r>
    </w:p>
    <w:p w14:paraId="08B5B3A2" w14:textId="495A0B97" w:rsidR="0004446E" w:rsidRPr="00370C37" w:rsidRDefault="00A731FC" w:rsidP="00370C37">
      <w:pPr>
        <w:rPr>
          <w:sz w:val="20"/>
          <w:szCs w:val="20"/>
        </w:rPr>
      </w:pPr>
      <w:r>
        <w:rPr>
          <w:sz w:val="20"/>
          <w:szCs w:val="20"/>
        </w:rPr>
        <w:t>Instructed by: PFT Burger Attorneys</w:t>
      </w:r>
    </w:p>
    <w:p w14:paraId="3DB8FA36" w14:textId="77777777" w:rsidR="0004446E" w:rsidRDefault="0004446E" w:rsidP="0004446E">
      <w:pPr>
        <w:jc w:val="center"/>
        <w:rPr>
          <w:sz w:val="26"/>
          <w:szCs w:val="26"/>
        </w:rPr>
      </w:pPr>
    </w:p>
    <w:p w14:paraId="7C63B178" w14:textId="38D02A7C" w:rsidR="0004446E" w:rsidRPr="00792CF6" w:rsidRDefault="0004446E" w:rsidP="00792CF6">
      <w:pPr>
        <w:spacing w:line="480" w:lineRule="auto"/>
      </w:pPr>
    </w:p>
    <w:sectPr w:rsidR="0004446E" w:rsidRPr="00792CF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33E0C" w14:textId="77777777" w:rsidR="00316549" w:rsidRDefault="00316549" w:rsidP="0004446E">
      <w:r>
        <w:separator/>
      </w:r>
    </w:p>
  </w:endnote>
  <w:endnote w:type="continuationSeparator" w:id="0">
    <w:p w14:paraId="46F8D3E2" w14:textId="77777777" w:rsidR="00316549" w:rsidRDefault="00316549" w:rsidP="0004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A5C07" w14:textId="77777777" w:rsidR="00316549" w:rsidRDefault="00316549" w:rsidP="0004446E">
      <w:r>
        <w:separator/>
      </w:r>
    </w:p>
  </w:footnote>
  <w:footnote w:type="continuationSeparator" w:id="0">
    <w:p w14:paraId="6B28DA76" w14:textId="77777777" w:rsidR="00316549" w:rsidRDefault="00316549" w:rsidP="0004446E">
      <w:r>
        <w:continuationSeparator/>
      </w:r>
    </w:p>
  </w:footnote>
  <w:footnote w:id="1">
    <w:p w14:paraId="56E9E034" w14:textId="77777777" w:rsidR="002C37CF" w:rsidRDefault="002C37CF">
      <w:pPr>
        <w:pStyle w:val="FootnoteText"/>
      </w:pPr>
      <w:r>
        <w:rPr>
          <w:rStyle w:val="FootnoteReference"/>
        </w:rPr>
        <w:footnoteRef/>
      </w:r>
      <w:r>
        <w:t xml:space="preserve"> </w:t>
      </w:r>
      <w:r>
        <w:tab/>
        <w:t>i.e. design infringement</w:t>
      </w:r>
    </w:p>
  </w:footnote>
  <w:footnote w:id="2">
    <w:p w14:paraId="654B1D01" w14:textId="77777777" w:rsidR="002C37CF" w:rsidRDefault="002C37CF" w:rsidP="00D220DF">
      <w:pPr>
        <w:pStyle w:val="FootnoteText"/>
        <w:ind w:left="709" w:hanging="709"/>
      </w:pPr>
      <w:r>
        <w:rPr>
          <w:rStyle w:val="FootnoteReference"/>
        </w:rPr>
        <w:footnoteRef/>
      </w:r>
      <w:r>
        <w:t xml:space="preserve"> </w:t>
      </w:r>
      <w:r>
        <w:tab/>
        <w:t>The plaintiff seeks not only interdictory relief regarding the infringement, but also an order for the surrender for destruction of any infringing article or product of which the infringing article forms an inseparable part</w:t>
      </w:r>
    </w:p>
  </w:footnote>
  <w:footnote w:id="3">
    <w:p w14:paraId="0DA4A1B5" w14:textId="723170F1" w:rsidR="002C37CF" w:rsidRDefault="002C37CF" w:rsidP="00C4646A">
      <w:pPr>
        <w:pStyle w:val="FootnoteText"/>
        <w:ind w:left="709" w:hanging="709"/>
      </w:pPr>
      <w:r>
        <w:rPr>
          <w:rStyle w:val="FootnoteReference"/>
        </w:rPr>
        <w:footnoteRef/>
      </w:r>
      <w:r>
        <w:t xml:space="preserve"> </w:t>
      </w:r>
      <w:r>
        <w:tab/>
        <w:t>In the claim under case no 39199/98, the plaintiff also sued for infringement of design reg no A2015/01667 and A2015/01714. During opening address Mr Marriott indicated that these claims would not be pursued</w:t>
      </w:r>
    </w:p>
  </w:footnote>
  <w:footnote w:id="4">
    <w:p w14:paraId="7FDC5745" w14:textId="77777777" w:rsidR="002C37CF" w:rsidRDefault="002C37CF">
      <w:pPr>
        <w:pStyle w:val="FootnoteText"/>
      </w:pPr>
      <w:r>
        <w:rPr>
          <w:rStyle w:val="FootnoteReference"/>
        </w:rPr>
        <w:footnoteRef/>
      </w:r>
      <w:r>
        <w:t xml:space="preserve"> </w:t>
      </w:r>
      <w:r>
        <w:tab/>
        <w:t>Both of which will include the sports bar and the nudge bar of each</w:t>
      </w:r>
    </w:p>
  </w:footnote>
  <w:footnote w:id="5">
    <w:p w14:paraId="21E87740" w14:textId="61A5F7D1" w:rsidR="002C37CF" w:rsidRPr="00CB13D6" w:rsidRDefault="002C37CF">
      <w:pPr>
        <w:pStyle w:val="FootnoteText"/>
        <w:rPr>
          <w:lang w:val="en-US"/>
        </w:rPr>
      </w:pPr>
      <w:r>
        <w:rPr>
          <w:rStyle w:val="FootnoteReference"/>
        </w:rPr>
        <w:footnoteRef/>
      </w:r>
      <w:r>
        <w:t xml:space="preserve"> </w:t>
      </w:r>
      <w:r>
        <w:rPr>
          <w:lang w:val="en-US"/>
        </w:rPr>
        <w:tab/>
        <w:t>Also called “the accessories” in this judgment</w:t>
      </w:r>
    </w:p>
  </w:footnote>
  <w:footnote w:id="6">
    <w:p w14:paraId="70DBC611" w14:textId="77777777" w:rsidR="00835161" w:rsidRDefault="002C37CF" w:rsidP="004531DB">
      <w:pPr>
        <w:pStyle w:val="FootnoteText"/>
        <w:jc w:val="both"/>
      </w:pPr>
      <w:r>
        <w:rPr>
          <w:rStyle w:val="FootnoteReference"/>
        </w:rPr>
        <w:footnoteRef/>
      </w:r>
      <w:r>
        <w:t xml:space="preserve"> </w:t>
      </w:r>
      <w:r>
        <w:tab/>
        <w:t>The des</w:t>
      </w:r>
      <w:r w:rsidR="00835161">
        <w:t xml:space="preserve">igns are attached hereto as “A” (being the Louvre nudge bar design), </w:t>
      </w:r>
      <w:r>
        <w:t xml:space="preserve"> “B”</w:t>
      </w:r>
      <w:r w:rsidR="00835161">
        <w:t xml:space="preserve"> (being the  </w:t>
      </w:r>
    </w:p>
    <w:p w14:paraId="430CECF3" w14:textId="69457C53" w:rsidR="002C37CF" w:rsidRDefault="00835161" w:rsidP="004531DB">
      <w:pPr>
        <w:pStyle w:val="FootnoteText"/>
        <w:ind w:left="720"/>
        <w:jc w:val="both"/>
      </w:pPr>
      <w:r>
        <w:t>Louvre sports bar design)</w:t>
      </w:r>
      <w:r w:rsidR="002C37CF">
        <w:t xml:space="preserve">, “C” </w:t>
      </w:r>
      <w:r>
        <w:t xml:space="preserve">(being the Polygon nudge bar design) </w:t>
      </w:r>
      <w:r w:rsidR="002C37CF">
        <w:t>and “D”</w:t>
      </w:r>
      <w:r>
        <w:t xml:space="preserve"> (the Polygon sports bar design)</w:t>
      </w:r>
      <w:r w:rsidR="00184F9D">
        <w:t>. The designs in “A” and “B” relate to the relief sought under case no 10452/2018. The designs in “C” and “D” relate to the relief sought under case no 39199/2018</w:t>
      </w:r>
    </w:p>
  </w:footnote>
  <w:footnote w:id="7">
    <w:p w14:paraId="0662D122" w14:textId="5527BFB8" w:rsidR="002C37CF" w:rsidRDefault="002C37CF" w:rsidP="004531DB">
      <w:pPr>
        <w:pStyle w:val="FootnoteText"/>
        <w:jc w:val="both"/>
      </w:pPr>
      <w:r>
        <w:rPr>
          <w:rStyle w:val="FootnoteReference"/>
        </w:rPr>
        <w:footnoteRef/>
      </w:r>
      <w:r>
        <w:t xml:space="preserve"> </w:t>
      </w:r>
      <w:r>
        <w:tab/>
        <w:t>See fn5</w:t>
      </w:r>
    </w:p>
  </w:footnote>
  <w:footnote w:id="8">
    <w:p w14:paraId="61EAFBEB" w14:textId="77777777" w:rsidR="002C37CF" w:rsidRDefault="002C37CF" w:rsidP="004531DB">
      <w:pPr>
        <w:pStyle w:val="FootnoteText"/>
        <w:jc w:val="both"/>
      </w:pPr>
      <w:r>
        <w:rPr>
          <w:rStyle w:val="FootnoteReference"/>
        </w:rPr>
        <w:footnoteRef/>
      </w:r>
      <w:r>
        <w:t xml:space="preserve"> </w:t>
      </w:r>
      <w:r>
        <w:tab/>
        <w:t>Who is the present CEO of the defendant and is referred to as “Engelbrecht”</w:t>
      </w:r>
    </w:p>
  </w:footnote>
  <w:footnote w:id="9">
    <w:p w14:paraId="0ECF57D1" w14:textId="77777777" w:rsidR="002C37CF" w:rsidRDefault="002C37CF" w:rsidP="004531DB">
      <w:pPr>
        <w:pStyle w:val="FootnoteText"/>
        <w:jc w:val="both"/>
      </w:pPr>
      <w:r>
        <w:rPr>
          <w:rStyle w:val="FootnoteReference"/>
        </w:rPr>
        <w:footnoteRef/>
      </w:r>
      <w:r>
        <w:t xml:space="preserve"> </w:t>
      </w:r>
      <w:r>
        <w:tab/>
        <w:t>According to his evidence</w:t>
      </w:r>
    </w:p>
  </w:footnote>
  <w:footnote w:id="10">
    <w:p w14:paraId="4368A08D" w14:textId="77777777" w:rsidR="002C37CF" w:rsidRDefault="002C37CF">
      <w:pPr>
        <w:pStyle w:val="FootnoteText"/>
      </w:pPr>
      <w:r>
        <w:rPr>
          <w:rStyle w:val="FootnoteReference"/>
        </w:rPr>
        <w:footnoteRef/>
      </w:r>
      <w:r>
        <w:t xml:space="preserve"> </w:t>
      </w:r>
      <w:r>
        <w:tab/>
        <w:t>Also known as a “roll bar”</w:t>
      </w:r>
    </w:p>
  </w:footnote>
  <w:footnote w:id="11">
    <w:p w14:paraId="3B961EA0" w14:textId="77777777" w:rsidR="005760FC" w:rsidRDefault="005760FC" w:rsidP="006D773A">
      <w:pPr>
        <w:pStyle w:val="FootnoteText"/>
        <w:jc w:val="both"/>
      </w:pPr>
      <w:r>
        <w:rPr>
          <w:rStyle w:val="FootnoteReference"/>
        </w:rPr>
        <w:footnoteRef/>
      </w:r>
      <w:r>
        <w:t xml:space="preserve"> </w:t>
      </w:r>
      <w:r>
        <w:tab/>
        <w:t xml:space="preserve">In the particulars of claim under case no 39199/2018, the plaintiff referred the defendant’s </w:t>
      </w:r>
    </w:p>
    <w:p w14:paraId="1BD364F8" w14:textId="77777777" w:rsidR="005760FC" w:rsidRDefault="005760FC" w:rsidP="006D773A">
      <w:pPr>
        <w:pStyle w:val="FootnoteText"/>
        <w:ind w:firstLine="720"/>
        <w:jc w:val="both"/>
      </w:pPr>
      <w:r>
        <w:t xml:space="preserve">designs as the “TILT” nudge bar and sports bar in respect of the infringement of its registered </w:t>
      </w:r>
    </w:p>
    <w:p w14:paraId="60448EB4" w14:textId="01C8ECC6" w:rsidR="005760FC" w:rsidRDefault="005760FC" w:rsidP="006D773A">
      <w:pPr>
        <w:pStyle w:val="FootnoteText"/>
        <w:ind w:firstLine="720"/>
        <w:jc w:val="both"/>
      </w:pPr>
      <w:r>
        <w:t>designs A2015/01668 and A2015/01666</w:t>
      </w:r>
    </w:p>
  </w:footnote>
  <w:footnote w:id="12">
    <w:p w14:paraId="727C9A3F" w14:textId="77777777" w:rsidR="002C37CF" w:rsidRDefault="002C37CF" w:rsidP="00F049B9">
      <w:pPr>
        <w:pStyle w:val="FootnoteText"/>
      </w:pPr>
      <w:r>
        <w:rPr>
          <w:rStyle w:val="FootnoteReference"/>
        </w:rPr>
        <w:footnoteRef/>
      </w:r>
      <w:r>
        <w:t xml:space="preserve"> </w:t>
      </w:r>
      <w:r>
        <w:tab/>
        <w:t xml:space="preserve">The plaintiff, at trial, no longer alleged that the MK2 nudge bar design infringed its louvre </w:t>
      </w:r>
    </w:p>
    <w:p w14:paraId="6162830C" w14:textId="313667E3" w:rsidR="002C37CF" w:rsidRDefault="002C37CF" w:rsidP="00F049B9">
      <w:pPr>
        <w:pStyle w:val="FootnoteText"/>
        <w:ind w:firstLine="709"/>
      </w:pPr>
      <w:r>
        <w:t>nudge bar design</w:t>
      </w:r>
    </w:p>
  </w:footnote>
  <w:footnote w:id="13">
    <w:p w14:paraId="7F384112" w14:textId="16ECC412" w:rsidR="002C37CF" w:rsidRPr="00016713" w:rsidRDefault="002C37CF" w:rsidP="00FB464A">
      <w:pPr>
        <w:pStyle w:val="FootnoteText"/>
        <w:ind w:left="709" w:hanging="709"/>
        <w:jc w:val="both"/>
        <w:rPr>
          <w:lang w:val="en-US"/>
        </w:rPr>
      </w:pPr>
      <w:r>
        <w:rPr>
          <w:rStyle w:val="FootnoteReference"/>
        </w:rPr>
        <w:footnoteRef/>
      </w:r>
      <w:r>
        <w:t xml:space="preserve"> </w:t>
      </w:r>
      <w:r>
        <w:rPr>
          <w:lang w:val="en-US"/>
        </w:rPr>
        <w:tab/>
      </w:r>
      <w:r w:rsidRPr="00E313F3">
        <w:rPr>
          <w:lang w:val="en-US"/>
        </w:rPr>
        <w:t>The crossbar is a transverse length steel o</w:t>
      </w:r>
      <w:r>
        <w:rPr>
          <w:lang w:val="en-US"/>
        </w:rPr>
        <w:t>f</w:t>
      </w:r>
      <w:r w:rsidRPr="00E313F3">
        <w:rPr>
          <w:lang w:val="en-US"/>
        </w:rPr>
        <w:t xml:space="preserve"> aluminum or plastic (depending on the design) which, on the nudge bar, is fitted between the 2 </w:t>
      </w:r>
      <w:r>
        <w:rPr>
          <w:lang w:val="en-US"/>
        </w:rPr>
        <w:t xml:space="preserve">arms </w:t>
      </w:r>
      <w:r w:rsidRPr="00E313F3">
        <w:rPr>
          <w:lang w:val="en-US"/>
        </w:rPr>
        <w:t xml:space="preserve">of the U-shaped hoop and on </w:t>
      </w:r>
      <w:r>
        <w:rPr>
          <w:lang w:val="en-US"/>
        </w:rPr>
        <w:t>the sports bar is fitted on either</w:t>
      </w:r>
      <w:r w:rsidRPr="00E313F3">
        <w:rPr>
          <w:lang w:val="en-US"/>
        </w:rPr>
        <w:t xml:space="preserve"> side of the individual </w:t>
      </w:r>
      <w:r>
        <w:rPr>
          <w:lang w:val="en-US"/>
        </w:rPr>
        <w:t xml:space="preserve"> arms of each hoop</w:t>
      </w:r>
      <w:r w:rsidRPr="00E313F3">
        <w:rPr>
          <w:lang w:val="en-US"/>
        </w:rPr>
        <w:t xml:space="preserve"> joining the 2 hoops to each other</w:t>
      </w:r>
    </w:p>
  </w:footnote>
  <w:footnote w:id="14">
    <w:p w14:paraId="459D0A41" w14:textId="77777777" w:rsidR="004E2D6E" w:rsidRDefault="002C37CF">
      <w:pPr>
        <w:pStyle w:val="FootnoteText"/>
      </w:pPr>
      <w:r>
        <w:rPr>
          <w:rStyle w:val="FootnoteReference"/>
        </w:rPr>
        <w:footnoteRef/>
      </w:r>
      <w:r>
        <w:t xml:space="preserve"> </w:t>
      </w:r>
      <w:r>
        <w:tab/>
        <w:t>As described by Shilt in his expert summary</w:t>
      </w:r>
      <w:r w:rsidR="004E2D6E">
        <w:t xml:space="preserve"> which is based upon the drawings. All dotted </w:t>
      </w:r>
    </w:p>
    <w:p w14:paraId="6ED3524B" w14:textId="349F2DC4" w:rsidR="002C37CF" w:rsidRDefault="004E2D6E" w:rsidP="004E2D6E">
      <w:pPr>
        <w:pStyle w:val="FootnoteText"/>
        <w:ind w:firstLine="720"/>
      </w:pPr>
      <w:r>
        <w:t>lines indicated in the drawings are not included in the design</w:t>
      </w:r>
    </w:p>
  </w:footnote>
  <w:footnote w:id="15">
    <w:p w14:paraId="071E3F7C" w14:textId="61E4DBFD" w:rsidR="002C37CF" w:rsidRPr="00A92938" w:rsidRDefault="002C37CF">
      <w:pPr>
        <w:pStyle w:val="FootnoteText"/>
        <w:rPr>
          <w:lang w:val="en-US"/>
        </w:rPr>
      </w:pPr>
      <w:r>
        <w:rPr>
          <w:rStyle w:val="FootnoteReference"/>
        </w:rPr>
        <w:footnoteRef/>
      </w:r>
      <w:r>
        <w:t xml:space="preserve"> </w:t>
      </w:r>
      <w:r>
        <w:rPr>
          <w:lang w:val="en-US"/>
        </w:rPr>
        <w:tab/>
        <w:t>Annexure “A”</w:t>
      </w:r>
    </w:p>
  </w:footnote>
  <w:footnote w:id="16">
    <w:p w14:paraId="29B83C48" w14:textId="0296E019" w:rsidR="002C37CF" w:rsidRPr="008C460C" w:rsidRDefault="002C37CF">
      <w:pPr>
        <w:pStyle w:val="FootnoteText"/>
        <w:rPr>
          <w:lang w:val="en-US"/>
        </w:rPr>
      </w:pPr>
      <w:r>
        <w:rPr>
          <w:rStyle w:val="FootnoteReference"/>
        </w:rPr>
        <w:footnoteRef/>
      </w:r>
      <w:r>
        <w:t xml:space="preserve"> </w:t>
      </w:r>
      <w:r>
        <w:rPr>
          <w:lang w:val="en-US"/>
        </w:rPr>
        <w:tab/>
        <w:t>Annexure “B”</w:t>
      </w:r>
    </w:p>
  </w:footnote>
  <w:footnote w:id="17">
    <w:p w14:paraId="0DCC5C88" w14:textId="77777777" w:rsidR="002C37CF" w:rsidRDefault="002C37CF">
      <w:pPr>
        <w:pStyle w:val="FootnoteText"/>
      </w:pPr>
      <w:r>
        <w:rPr>
          <w:rStyle w:val="FootnoteReference"/>
        </w:rPr>
        <w:footnoteRef/>
      </w:r>
      <w:r>
        <w:t xml:space="preserve"> </w:t>
      </w:r>
      <w:r>
        <w:tab/>
        <w:t>And it was the submission made by Mr Marriott</w:t>
      </w:r>
    </w:p>
  </w:footnote>
  <w:footnote w:id="18">
    <w:p w14:paraId="3F5F3DEE" w14:textId="3E7049A4" w:rsidR="002C37CF" w:rsidRPr="008C460C" w:rsidRDefault="002C37CF">
      <w:pPr>
        <w:pStyle w:val="FootnoteText"/>
        <w:rPr>
          <w:lang w:val="en-US"/>
        </w:rPr>
      </w:pPr>
      <w:r>
        <w:rPr>
          <w:rStyle w:val="FootnoteReference"/>
        </w:rPr>
        <w:footnoteRef/>
      </w:r>
      <w:r>
        <w:t xml:space="preserve"> </w:t>
      </w:r>
      <w:r>
        <w:rPr>
          <w:lang w:val="en-US"/>
        </w:rPr>
        <w:tab/>
        <w:t>Annexure “C”</w:t>
      </w:r>
    </w:p>
  </w:footnote>
  <w:footnote w:id="19">
    <w:p w14:paraId="3B935BF6" w14:textId="6936462A" w:rsidR="002C37CF" w:rsidRPr="008C460C" w:rsidRDefault="002C37CF">
      <w:pPr>
        <w:pStyle w:val="FootnoteText"/>
        <w:rPr>
          <w:lang w:val="en-US"/>
        </w:rPr>
      </w:pPr>
      <w:r>
        <w:rPr>
          <w:rStyle w:val="FootnoteReference"/>
        </w:rPr>
        <w:footnoteRef/>
      </w:r>
      <w:r>
        <w:t xml:space="preserve"> </w:t>
      </w:r>
      <w:r>
        <w:tab/>
      </w:r>
      <w:r>
        <w:rPr>
          <w:lang w:val="en-US"/>
        </w:rPr>
        <w:t>Annexure “D”</w:t>
      </w:r>
    </w:p>
  </w:footnote>
  <w:footnote w:id="20">
    <w:p w14:paraId="36EA6287" w14:textId="77777777" w:rsidR="002C37CF" w:rsidRDefault="002C37CF">
      <w:pPr>
        <w:pStyle w:val="FootnoteText"/>
      </w:pPr>
      <w:r>
        <w:rPr>
          <w:rStyle w:val="FootnoteReference"/>
        </w:rPr>
        <w:footnoteRef/>
      </w:r>
      <w:r>
        <w:t xml:space="preserve"> </w:t>
      </w:r>
      <w:r>
        <w:tab/>
        <w:t>195 of 1993</w:t>
      </w:r>
    </w:p>
  </w:footnote>
  <w:footnote w:id="21">
    <w:p w14:paraId="58D29E3F" w14:textId="77777777" w:rsidR="002C37CF" w:rsidRDefault="002C37CF">
      <w:pPr>
        <w:pStyle w:val="FootnoteText"/>
      </w:pPr>
      <w:r>
        <w:rPr>
          <w:rStyle w:val="FootnoteReference"/>
        </w:rPr>
        <w:footnoteRef/>
      </w:r>
      <w:r>
        <w:t xml:space="preserve"> </w:t>
      </w:r>
      <w:r>
        <w:tab/>
        <w:t>2009 (3) SA 292 (SCA) at par 6</w:t>
      </w:r>
    </w:p>
  </w:footnote>
  <w:footnote w:id="22">
    <w:p w14:paraId="230DC27C" w14:textId="77777777" w:rsidR="002C37CF" w:rsidRDefault="002C37CF">
      <w:pPr>
        <w:pStyle w:val="FootnoteText"/>
      </w:pPr>
      <w:r>
        <w:rPr>
          <w:rStyle w:val="FootnoteReference"/>
        </w:rPr>
        <w:footnoteRef/>
      </w:r>
      <w:r>
        <w:t xml:space="preserve"> </w:t>
      </w:r>
      <w:r>
        <w:tab/>
      </w:r>
      <w:r>
        <w:rPr>
          <w:u w:val="single"/>
        </w:rPr>
        <w:t>Swisstool Manufacturing Co v Omega South Africa Plastics</w:t>
      </w:r>
      <w:r>
        <w:t xml:space="preserve"> 1975 (4) SA 379 (W)</w:t>
      </w:r>
    </w:p>
    <w:p w14:paraId="61EAE297" w14:textId="77777777" w:rsidR="002C37CF" w:rsidRDefault="002C37CF">
      <w:pPr>
        <w:pStyle w:val="FootnoteText"/>
      </w:pPr>
      <w:r>
        <w:tab/>
        <w:t xml:space="preserve">In </w:t>
      </w:r>
      <w:r>
        <w:rPr>
          <w:u w:val="single"/>
        </w:rPr>
        <w:t>BMW AG v GrandMark International (Pty) Ltd and Another</w:t>
      </w:r>
      <w:r>
        <w:t xml:space="preserve"> 2014 (1) SA 323 (A) Nugent JA </w:t>
      </w:r>
    </w:p>
    <w:p w14:paraId="26773F4A" w14:textId="6489D418" w:rsidR="002C37CF" w:rsidRPr="004E3855" w:rsidRDefault="002C37CF" w:rsidP="00DA362F">
      <w:pPr>
        <w:pStyle w:val="FootnoteText"/>
        <w:ind w:left="720"/>
        <w:rPr>
          <w:i/>
        </w:rPr>
      </w:pPr>
      <w:r>
        <w:t xml:space="preserve">states the principle as follows: </w:t>
      </w:r>
      <w:r>
        <w:rPr>
          <w:i/>
        </w:rPr>
        <w:t>“[11] What emerges from that analysis is, essentially that aesthetic designs are those that invite customer selection – and customer articles – solely by their visual appeal.”</w:t>
      </w:r>
    </w:p>
  </w:footnote>
  <w:footnote w:id="23">
    <w:p w14:paraId="47C3CF00" w14:textId="77777777" w:rsidR="002C37CF" w:rsidRDefault="002C37CF">
      <w:pPr>
        <w:pStyle w:val="FootnoteText"/>
      </w:pPr>
      <w:r>
        <w:rPr>
          <w:rStyle w:val="FootnoteReference"/>
        </w:rPr>
        <w:footnoteRef/>
      </w:r>
      <w:r>
        <w:t xml:space="preserve"> </w:t>
      </w:r>
      <w:r>
        <w:tab/>
      </w:r>
      <w:r>
        <w:rPr>
          <w:u w:val="single"/>
        </w:rPr>
        <w:t>Clipsal</w:t>
      </w:r>
      <w:r>
        <w:t xml:space="preserve"> at par 7-8 ; </w:t>
      </w:r>
      <w:r>
        <w:rPr>
          <w:u w:val="single"/>
        </w:rPr>
        <w:t>Homecraft Steel Industries (Pty) Ltd v SM Hare &amp; Son (Pty) Ltd</w:t>
      </w:r>
      <w:r>
        <w:t xml:space="preserve"> 1984 (3) </w:t>
      </w:r>
    </w:p>
    <w:p w14:paraId="3DE91A07" w14:textId="77777777" w:rsidR="002C37CF" w:rsidRPr="007F43EB" w:rsidRDefault="002C37CF" w:rsidP="007F43EB">
      <w:pPr>
        <w:pStyle w:val="FootnoteText"/>
        <w:ind w:firstLine="720"/>
      </w:pPr>
      <w:r>
        <w:t>SA 681 (A) at 692B-D</w:t>
      </w:r>
    </w:p>
  </w:footnote>
  <w:footnote w:id="24">
    <w:p w14:paraId="32984F04" w14:textId="77777777" w:rsidR="002C37CF" w:rsidRDefault="002C37CF">
      <w:pPr>
        <w:pStyle w:val="FootnoteText"/>
      </w:pPr>
      <w:r>
        <w:rPr>
          <w:rStyle w:val="FootnoteReference"/>
        </w:rPr>
        <w:footnoteRef/>
      </w:r>
      <w:r>
        <w:t xml:space="preserve"> </w:t>
      </w:r>
      <w:r>
        <w:tab/>
        <w:t>2014 JDR 2447 (GJ)</w:t>
      </w:r>
    </w:p>
  </w:footnote>
  <w:footnote w:id="25">
    <w:p w14:paraId="181C2971" w14:textId="77777777" w:rsidR="002C37CF" w:rsidRDefault="002C37CF">
      <w:pPr>
        <w:pStyle w:val="FootnoteText"/>
        <w:rPr>
          <w:u w:val="single"/>
        </w:rPr>
      </w:pPr>
      <w:r>
        <w:rPr>
          <w:rStyle w:val="FootnoteReference"/>
        </w:rPr>
        <w:footnoteRef/>
      </w:r>
      <w:r>
        <w:t xml:space="preserve"> </w:t>
      </w:r>
      <w:r>
        <w:tab/>
        <w:t xml:space="preserve">Where the measure of novelty of a design is small, the ambit of the monopoly is small: </w:t>
      </w:r>
      <w:r>
        <w:rPr>
          <w:u w:val="single"/>
        </w:rPr>
        <w:t xml:space="preserve">Home </w:t>
      </w:r>
    </w:p>
    <w:p w14:paraId="0B6E977D" w14:textId="77777777" w:rsidR="002C37CF" w:rsidRPr="00043401" w:rsidRDefault="002C37CF" w:rsidP="00043401">
      <w:pPr>
        <w:pStyle w:val="FootnoteText"/>
        <w:ind w:firstLine="720"/>
        <w:rPr>
          <w:u w:val="single"/>
        </w:rPr>
      </w:pPr>
      <w:r>
        <w:rPr>
          <w:u w:val="single"/>
        </w:rPr>
        <w:t xml:space="preserve">Craft Steel Industries (Pty) Ltd </w:t>
      </w:r>
      <w:r>
        <w:t xml:space="preserve"> (supra) at 695F</w:t>
      </w:r>
    </w:p>
  </w:footnote>
  <w:footnote w:id="26">
    <w:p w14:paraId="24B2EA11" w14:textId="50CE6F8B" w:rsidR="002C37CF" w:rsidRPr="00AD1446" w:rsidRDefault="002C37CF" w:rsidP="00F81CC6">
      <w:pPr>
        <w:pStyle w:val="FootnoteText"/>
        <w:ind w:left="709" w:hanging="709"/>
        <w:rPr>
          <w:lang w:val="en-US"/>
        </w:rPr>
      </w:pPr>
      <w:r w:rsidRPr="001111F4">
        <w:rPr>
          <w:rStyle w:val="FootnoteReference"/>
        </w:rPr>
        <w:footnoteRef/>
      </w:r>
      <w:r w:rsidRPr="001111F4">
        <w:t xml:space="preserve"> </w:t>
      </w:r>
      <w:r w:rsidRPr="001111F4">
        <w:rPr>
          <w:lang w:val="en-US"/>
        </w:rPr>
        <w:tab/>
      </w:r>
      <w:r w:rsidRPr="001111F4">
        <w:rPr>
          <w:u w:val="single"/>
          <w:lang w:val="en-US"/>
        </w:rPr>
        <w:t>Swisstool Manufacturing CO v Omega Africa Plastics</w:t>
      </w:r>
      <w:r w:rsidRPr="001111F4">
        <w:rPr>
          <w:lang w:val="en-US"/>
        </w:rPr>
        <w:t xml:space="preserve"> 1975 (4) SA 379</w:t>
      </w:r>
      <w:r>
        <w:rPr>
          <w:lang w:val="en-US"/>
        </w:rPr>
        <w:t xml:space="preserve"> </w:t>
      </w:r>
      <w:r w:rsidRPr="001111F4">
        <w:rPr>
          <w:lang w:val="en-US"/>
        </w:rPr>
        <w:t>(W) at 383H</w:t>
      </w:r>
    </w:p>
  </w:footnote>
  <w:footnote w:id="27">
    <w:p w14:paraId="7DCAA4B4" w14:textId="795E5CBF" w:rsidR="002C37CF" w:rsidRPr="00F81CC6" w:rsidRDefault="002C37CF">
      <w:pPr>
        <w:pStyle w:val="FootnoteText"/>
        <w:rPr>
          <w:lang w:val="en-US"/>
        </w:rPr>
      </w:pPr>
      <w:r>
        <w:rPr>
          <w:rStyle w:val="FootnoteReference"/>
        </w:rPr>
        <w:footnoteRef/>
      </w:r>
      <w:r>
        <w:t xml:space="preserve"> </w:t>
      </w:r>
      <w:r>
        <w:rPr>
          <w:lang w:val="en-US"/>
        </w:rPr>
        <w:tab/>
        <w:t>Original Equipment Manufacturer</w:t>
      </w:r>
    </w:p>
  </w:footnote>
  <w:footnote w:id="28">
    <w:p w14:paraId="7EE15A90" w14:textId="63AC68C5" w:rsidR="002C37CF" w:rsidRDefault="002C37CF">
      <w:pPr>
        <w:pStyle w:val="FootnoteText"/>
      </w:pPr>
      <w:r>
        <w:rPr>
          <w:rStyle w:val="FootnoteReference"/>
        </w:rPr>
        <w:footnoteRef/>
      </w:r>
      <w:r>
        <w:t xml:space="preserve"> </w:t>
      </w:r>
      <w:r>
        <w:tab/>
        <w:t>Which are fitted to the Hilux and Fortuner range of vehicles</w:t>
      </w:r>
    </w:p>
  </w:footnote>
  <w:footnote w:id="29">
    <w:p w14:paraId="2CB65C2B" w14:textId="77777777" w:rsidR="002C37CF" w:rsidRDefault="002C37CF">
      <w:pPr>
        <w:pStyle w:val="FootnoteText"/>
      </w:pPr>
      <w:r>
        <w:rPr>
          <w:rStyle w:val="FootnoteReference"/>
        </w:rPr>
        <w:footnoteRef/>
      </w:r>
      <w:r>
        <w:t xml:space="preserve"> </w:t>
      </w:r>
      <w:r>
        <w:tab/>
        <w:t>i.e. prior to the date of registration of plaintiff’s designs</w:t>
      </w:r>
    </w:p>
  </w:footnote>
  <w:footnote w:id="30">
    <w:p w14:paraId="0457ABF6" w14:textId="1D2A1059" w:rsidR="002C37CF" w:rsidRDefault="002C37CF">
      <w:pPr>
        <w:pStyle w:val="FootnoteText"/>
      </w:pPr>
      <w:r>
        <w:rPr>
          <w:rStyle w:val="FootnoteReference"/>
        </w:rPr>
        <w:footnoteRef/>
      </w:r>
      <w:r>
        <w:t xml:space="preserve"> </w:t>
      </w:r>
      <w:r>
        <w:tab/>
        <w:t>Eg oval instead of round</w:t>
      </w:r>
    </w:p>
  </w:footnote>
  <w:footnote w:id="31">
    <w:p w14:paraId="468BE723" w14:textId="37644B7B" w:rsidR="002C37CF" w:rsidRDefault="002C37CF">
      <w:pPr>
        <w:pStyle w:val="FootnoteText"/>
      </w:pPr>
      <w:r>
        <w:rPr>
          <w:rStyle w:val="FootnoteReference"/>
        </w:rPr>
        <w:footnoteRef/>
      </w:r>
      <w:r>
        <w:t xml:space="preserve"> </w:t>
      </w:r>
      <w:r>
        <w:tab/>
        <w:t xml:space="preserve">In contradiction, Engelbrecht is of the view that the likely customer is a discerning consumer </w:t>
      </w:r>
    </w:p>
  </w:footnote>
  <w:footnote w:id="32">
    <w:p w14:paraId="4BE1917D" w14:textId="5D0998BC" w:rsidR="002C37CF" w:rsidRDefault="002C37CF">
      <w:pPr>
        <w:pStyle w:val="FootnoteText"/>
      </w:pPr>
      <w:r>
        <w:rPr>
          <w:rStyle w:val="FootnoteReference"/>
        </w:rPr>
        <w:footnoteRef/>
      </w:r>
      <w:r>
        <w:t xml:space="preserve"> </w:t>
      </w:r>
      <w:r>
        <w:tab/>
        <w:t>From the photograph at 018-90 of the record</w:t>
      </w:r>
    </w:p>
  </w:footnote>
  <w:footnote w:id="33">
    <w:p w14:paraId="362417A3" w14:textId="77777777" w:rsidR="002C37CF" w:rsidRDefault="002C37CF">
      <w:pPr>
        <w:pStyle w:val="FootnoteText"/>
      </w:pPr>
      <w:r>
        <w:rPr>
          <w:rStyle w:val="FootnoteReference"/>
        </w:rPr>
        <w:footnoteRef/>
      </w:r>
      <w:r>
        <w:t xml:space="preserve"> </w:t>
      </w:r>
      <w:r>
        <w:tab/>
        <w:t xml:space="preserve">It does not appear to me that the second and third curves run parallel to the top cross bar, but </w:t>
      </w:r>
    </w:p>
    <w:p w14:paraId="6E26FFE0" w14:textId="21AB8B47" w:rsidR="002C37CF" w:rsidRDefault="002C37CF" w:rsidP="00C350A6">
      <w:pPr>
        <w:pStyle w:val="FootnoteText"/>
        <w:ind w:firstLine="720"/>
      </w:pPr>
      <w:r>
        <w:t>the first 1/3 does, as was testified to by Shilt</w:t>
      </w:r>
    </w:p>
    <w:p w14:paraId="54610459" w14:textId="77777777" w:rsidR="002C37CF" w:rsidRDefault="002C37CF">
      <w:pPr>
        <w:pStyle w:val="FootnoteText"/>
      </w:pPr>
    </w:p>
  </w:footnote>
  <w:footnote w:id="34">
    <w:p w14:paraId="3E3F0350" w14:textId="26D55023" w:rsidR="002C37CF" w:rsidRDefault="002C37CF">
      <w:pPr>
        <w:pStyle w:val="FootnoteText"/>
      </w:pPr>
      <w:r>
        <w:rPr>
          <w:rStyle w:val="FootnoteReference"/>
        </w:rPr>
        <w:footnoteRef/>
      </w:r>
      <w:r>
        <w:t xml:space="preserve"> </w:t>
      </w:r>
      <w:r>
        <w:tab/>
        <w:t>at 018-55</w:t>
      </w:r>
    </w:p>
  </w:footnote>
  <w:footnote w:id="35">
    <w:p w14:paraId="7BEEA087" w14:textId="5B90D251" w:rsidR="002C37CF" w:rsidRPr="00EF2C61" w:rsidRDefault="002C37CF" w:rsidP="00EF2C61">
      <w:pPr>
        <w:pStyle w:val="FootnoteText"/>
        <w:ind w:left="709" w:hanging="709"/>
        <w:rPr>
          <w:lang w:val="en-US"/>
        </w:rPr>
      </w:pPr>
      <w:r>
        <w:rPr>
          <w:rStyle w:val="FootnoteReference"/>
        </w:rPr>
        <w:footnoteRef/>
      </w:r>
      <w:r>
        <w:t xml:space="preserve"> </w:t>
      </w:r>
      <w:r>
        <w:rPr>
          <w:lang w:val="en-US"/>
        </w:rPr>
        <w:tab/>
      </w:r>
      <w:r>
        <w:t>This, according to it, is both functional and to ensure that the joining mechanisms have no unsightly joins (for aesthetic reasons)</w:t>
      </w:r>
    </w:p>
  </w:footnote>
  <w:footnote w:id="36">
    <w:p w14:paraId="1AF5264C" w14:textId="404CFCDA" w:rsidR="002C37CF" w:rsidRDefault="002C37CF">
      <w:pPr>
        <w:pStyle w:val="FootnoteText"/>
      </w:pPr>
      <w:r>
        <w:rPr>
          <w:rStyle w:val="FootnoteReference"/>
        </w:rPr>
        <w:footnoteRef/>
      </w:r>
      <w:r>
        <w:t xml:space="preserve"> </w:t>
      </w:r>
      <w:r>
        <w:tab/>
        <w:t>he called it “the total offering”</w:t>
      </w:r>
    </w:p>
  </w:footnote>
  <w:footnote w:id="37">
    <w:p w14:paraId="2AFB570B" w14:textId="61C4F688" w:rsidR="002C37CF" w:rsidRDefault="002C37CF">
      <w:pPr>
        <w:pStyle w:val="FootnoteText"/>
      </w:pPr>
      <w:r>
        <w:rPr>
          <w:rStyle w:val="FootnoteReference"/>
        </w:rPr>
        <w:footnoteRef/>
      </w:r>
      <w:r>
        <w:t xml:space="preserve"> </w:t>
      </w:r>
      <w:r>
        <w:tab/>
        <w:t>the primary function of the mounting brackets is to join the cross bar to the frame hoop</w:t>
      </w:r>
    </w:p>
  </w:footnote>
  <w:footnote w:id="38">
    <w:p w14:paraId="706AFF8D" w14:textId="54C74636" w:rsidR="002C37CF" w:rsidRDefault="002C37CF">
      <w:pPr>
        <w:pStyle w:val="FootnoteText"/>
      </w:pPr>
      <w:r>
        <w:rPr>
          <w:rStyle w:val="FootnoteReference"/>
        </w:rPr>
        <w:footnoteRef/>
      </w:r>
      <w:r>
        <w:t xml:space="preserve"> </w:t>
      </w:r>
      <w:r>
        <w:tab/>
        <w:t>filed in November 2015 with the round parallel louvre cross bars</w:t>
      </w:r>
    </w:p>
  </w:footnote>
  <w:footnote w:id="39">
    <w:p w14:paraId="5493F23B" w14:textId="6154F0BB" w:rsidR="002C37CF" w:rsidRDefault="002C37CF">
      <w:pPr>
        <w:pStyle w:val="FootnoteText"/>
      </w:pPr>
      <w:r>
        <w:rPr>
          <w:rStyle w:val="FootnoteReference"/>
        </w:rPr>
        <w:footnoteRef/>
      </w:r>
      <w:r>
        <w:t xml:space="preserve"> </w:t>
      </w:r>
      <w:r>
        <w:tab/>
        <w:t>i.e. 3 surfaces (45° to 90° to 45°)</w:t>
      </w:r>
    </w:p>
  </w:footnote>
  <w:footnote w:id="40">
    <w:p w14:paraId="714CB71C" w14:textId="1F3AD1C2" w:rsidR="002C37CF" w:rsidRPr="00FB19DA" w:rsidRDefault="002C37CF">
      <w:pPr>
        <w:pStyle w:val="FootnoteText"/>
        <w:rPr>
          <w:lang w:val="en-US"/>
        </w:rPr>
      </w:pPr>
      <w:r>
        <w:rPr>
          <w:rStyle w:val="FootnoteReference"/>
        </w:rPr>
        <w:footnoteRef/>
      </w:r>
      <w:r>
        <w:t xml:space="preserve"> </w:t>
      </w:r>
      <w:r>
        <w:rPr>
          <w:lang w:val="en-US"/>
        </w:rPr>
        <w:tab/>
        <w:t>See par [35] supra</w:t>
      </w:r>
    </w:p>
  </w:footnote>
  <w:footnote w:id="41">
    <w:p w14:paraId="36D0A848" w14:textId="4E3BAEC7" w:rsidR="002C37CF" w:rsidRPr="003442B5" w:rsidRDefault="002C37CF">
      <w:pPr>
        <w:pStyle w:val="FootnoteText"/>
        <w:rPr>
          <w:lang w:val="en-US"/>
        </w:rPr>
      </w:pPr>
      <w:r>
        <w:rPr>
          <w:rStyle w:val="FootnoteReference"/>
        </w:rPr>
        <w:footnoteRef/>
      </w:r>
      <w:r>
        <w:t xml:space="preserve"> </w:t>
      </w:r>
      <w:r>
        <w:rPr>
          <w:lang w:val="en-US"/>
        </w:rPr>
        <w:tab/>
        <w:t>Set out in par 37.3 supra</w:t>
      </w:r>
    </w:p>
  </w:footnote>
  <w:footnote w:id="42">
    <w:p w14:paraId="3E2B673A" w14:textId="34EB1913" w:rsidR="002C37CF" w:rsidRDefault="002C37CF">
      <w:pPr>
        <w:pStyle w:val="FootnoteText"/>
      </w:pPr>
      <w:r>
        <w:rPr>
          <w:rStyle w:val="FootnoteReference"/>
        </w:rPr>
        <w:footnoteRef/>
      </w:r>
      <w:r>
        <w:t xml:space="preserve"> </w:t>
      </w:r>
      <w:r>
        <w:tab/>
        <w:t xml:space="preserve">According to Artav’s stock inventory. This is 4 months after the undertaking was given on 23 </w:t>
      </w:r>
    </w:p>
    <w:p w14:paraId="4790DA0F" w14:textId="2223E49A" w:rsidR="002C37CF" w:rsidRDefault="002C37CF" w:rsidP="00AD5A6D">
      <w:pPr>
        <w:pStyle w:val="FootnoteText"/>
        <w:ind w:firstLine="720"/>
      </w:pPr>
      <w:r>
        <w:t>October 2017</w:t>
      </w:r>
    </w:p>
    <w:p w14:paraId="47EE2D70" w14:textId="77777777" w:rsidR="002C37CF" w:rsidRDefault="002C37CF">
      <w:pPr>
        <w:pStyle w:val="FootnoteText"/>
      </w:pPr>
    </w:p>
  </w:footnote>
  <w:footnote w:id="43">
    <w:p w14:paraId="0C72304C" w14:textId="3A530175" w:rsidR="002C37CF" w:rsidRPr="009F592F" w:rsidRDefault="002C37CF">
      <w:pPr>
        <w:pStyle w:val="FootnoteText"/>
        <w:rPr>
          <w:lang w:val="en-US"/>
        </w:rPr>
      </w:pPr>
      <w:r>
        <w:rPr>
          <w:rStyle w:val="FootnoteReference"/>
        </w:rPr>
        <w:footnoteRef/>
      </w:r>
      <w:r>
        <w:t xml:space="preserve"> </w:t>
      </w:r>
      <w:r>
        <w:rPr>
          <w:lang w:val="en-US"/>
        </w:rPr>
        <w:tab/>
        <w:t>A product imported by his employer</w:t>
      </w:r>
    </w:p>
  </w:footnote>
  <w:footnote w:id="44">
    <w:p w14:paraId="7AB43C2D" w14:textId="6536BEC7" w:rsidR="002C37CF" w:rsidRPr="003312A0" w:rsidRDefault="002C37CF" w:rsidP="003312A0">
      <w:pPr>
        <w:pStyle w:val="FootnoteText"/>
        <w:ind w:left="426" w:hanging="426"/>
        <w:rPr>
          <w:i/>
        </w:rPr>
      </w:pPr>
      <w:r>
        <w:rPr>
          <w:rStyle w:val="FootnoteReference"/>
        </w:rPr>
        <w:footnoteRef/>
      </w:r>
      <w:r>
        <w:t xml:space="preserve"> </w:t>
      </w:r>
      <w:r>
        <w:tab/>
        <w:t xml:space="preserve">The so-called “doctrine of imperfect recollection”. </w:t>
      </w:r>
      <w:r>
        <w:rPr>
          <w:u w:val="single"/>
        </w:rPr>
        <w:t>Blue Lion Manufacturing (Pty) Ltd v National Brands Ltd</w:t>
      </w:r>
      <w:r>
        <w:t xml:space="preserve"> 2001 (3) SA 884 (SCA) at 887D-G: </w:t>
      </w:r>
      <w:r>
        <w:rPr>
          <w:i/>
        </w:rPr>
        <w:t>“When one is concerned with alleged passing-off by imitation of get-up, as is the case in the matter before us, one postulates neither the very careful nor the very careless buyer, but an average purchaser, who has a general idea in his mind’s eye of what he means to get but not an exact and accurate representation of it. Nor will he necessarily have the advantage of seeing the two products side by side. Nor will he be alerted to single out fine points of distinction or definition. Nor even, as pointed out by Greenberg J (from whom I have been quoting) in Crossfield &amp; Son Ltd v Crystalizer Ltd 1925 WLD 216 at 220) will he have had the benefit of counsel’s opinion before going out to buy it…”</w:t>
      </w:r>
    </w:p>
  </w:footnote>
  <w:footnote w:id="45">
    <w:p w14:paraId="7C0223C9" w14:textId="77777777" w:rsidR="002C37CF" w:rsidRDefault="002C37CF">
      <w:pPr>
        <w:pStyle w:val="FootnoteText"/>
      </w:pPr>
      <w:r>
        <w:rPr>
          <w:rStyle w:val="FootnoteReference"/>
        </w:rPr>
        <w:footnoteRef/>
      </w:r>
      <w:r>
        <w:t xml:space="preserve"> </w:t>
      </w:r>
      <w:r>
        <w:tab/>
        <w:t xml:space="preserve">Maxe’s assertion is that it would only possibly be visible when viewed at eye level i.e when </w:t>
      </w:r>
    </w:p>
    <w:p w14:paraId="7D11D834" w14:textId="39FDC292" w:rsidR="002C37CF" w:rsidRDefault="002C37CF" w:rsidP="005D0E92">
      <w:pPr>
        <w:pStyle w:val="FootnoteText"/>
        <w:ind w:firstLine="720"/>
      </w:pPr>
      <w:r>
        <w:t>the vehicle is on the road but Artav refused to make such a specific concession</w:t>
      </w:r>
    </w:p>
    <w:p w14:paraId="286FD5DB" w14:textId="77777777" w:rsidR="002C37CF" w:rsidRDefault="002C37C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755138"/>
      <w:docPartObj>
        <w:docPartGallery w:val="Page Numbers (Top of Page)"/>
        <w:docPartUnique/>
      </w:docPartObj>
    </w:sdtPr>
    <w:sdtEndPr>
      <w:rPr>
        <w:noProof/>
      </w:rPr>
    </w:sdtEndPr>
    <w:sdtContent>
      <w:p w14:paraId="36AF76E8" w14:textId="11F524E7" w:rsidR="002C37CF" w:rsidRDefault="002C37CF">
        <w:pPr>
          <w:pStyle w:val="Header"/>
          <w:jc w:val="right"/>
        </w:pPr>
        <w:r>
          <w:fldChar w:fldCharType="begin"/>
        </w:r>
        <w:r>
          <w:instrText xml:space="preserve"> PAGE   \* MERGEFORMAT </w:instrText>
        </w:r>
        <w:r>
          <w:fldChar w:fldCharType="separate"/>
        </w:r>
        <w:r w:rsidR="0091009E">
          <w:rPr>
            <w:noProof/>
          </w:rPr>
          <w:t>4</w:t>
        </w:r>
        <w:r>
          <w:rPr>
            <w:noProof/>
          </w:rPr>
          <w:fldChar w:fldCharType="end"/>
        </w:r>
      </w:p>
    </w:sdtContent>
  </w:sdt>
  <w:p w14:paraId="04717C20" w14:textId="77777777" w:rsidR="002C37CF" w:rsidRDefault="002C3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EC126C8"/>
    <w:multiLevelType w:val="hybridMultilevel"/>
    <w:tmpl w:val="40405D4E"/>
    <w:lvl w:ilvl="0" w:tplc="EE34F92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CF"/>
    <w:rsid w:val="00000150"/>
    <w:rsid w:val="00016713"/>
    <w:rsid w:val="00035906"/>
    <w:rsid w:val="0003756A"/>
    <w:rsid w:val="00043401"/>
    <w:rsid w:val="0004446E"/>
    <w:rsid w:val="000537D7"/>
    <w:rsid w:val="00055F68"/>
    <w:rsid w:val="000717F9"/>
    <w:rsid w:val="00075C74"/>
    <w:rsid w:val="00094B43"/>
    <w:rsid w:val="00095C5A"/>
    <w:rsid w:val="000A1958"/>
    <w:rsid w:val="000A27E0"/>
    <w:rsid w:val="000A7935"/>
    <w:rsid w:val="000B0155"/>
    <w:rsid w:val="000B435C"/>
    <w:rsid w:val="000B45C5"/>
    <w:rsid w:val="000C045C"/>
    <w:rsid w:val="000F1E83"/>
    <w:rsid w:val="00105AD1"/>
    <w:rsid w:val="001111F4"/>
    <w:rsid w:val="00111617"/>
    <w:rsid w:val="00113321"/>
    <w:rsid w:val="001411F5"/>
    <w:rsid w:val="00141A23"/>
    <w:rsid w:val="00142FD0"/>
    <w:rsid w:val="0014450B"/>
    <w:rsid w:val="00150BD9"/>
    <w:rsid w:val="001529EE"/>
    <w:rsid w:val="00152D74"/>
    <w:rsid w:val="001572AC"/>
    <w:rsid w:val="001573D0"/>
    <w:rsid w:val="00157E55"/>
    <w:rsid w:val="00161285"/>
    <w:rsid w:val="00164781"/>
    <w:rsid w:val="00184C2D"/>
    <w:rsid w:val="00184F9D"/>
    <w:rsid w:val="00187F73"/>
    <w:rsid w:val="00195350"/>
    <w:rsid w:val="001A3AFE"/>
    <w:rsid w:val="001A44B4"/>
    <w:rsid w:val="001B428C"/>
    <w:rsid w:val="001C43CD"/>
    <w:rsid w:val="001D3098"/>
    <w:rsid w:val="001E1FED"/>
    <w:rsid w:val="001E220C"/>
    <w:rsid w:val="00202D28"/>
    <w:rsid w:val="00204C5C"/>
    <w:rsid w:val="0022392A"/>
    <w:rsid w:val="00225904"/>
    <w:rsid w:val="00241A1B"/>
    <w:rsid w:val="00264ACF"/>
    <w:rsid w:val="00291A9D"/>
    <w:rsid w:val="002A0EBF"/>
    <w:rsid w:val="002B0276"/>
    <w:rsid w:val="002B2906"/>
    <w:rsid w:val="002C2CC1"/>
    <w:rsid w:val="002C37CF"/>
    <w:rsid w:val="002C4C50"/>
    <w:rsid w:val="002D64BD"/>
    <w:rsid w:val="002D77AA"/>
    <w:rsid w:val="002E0420"/>
    <w:rsid w:val="003113D8"/>
    <w:rsid w:val="0031147B"/>
    <w:rsid w:val="00316549"/>
    <w:rsid w:val="00320645"/>
    <w:rsid w:val="00330CE0"/>
    <w:rsid w:val="003312A0"/>
    <w:rsid w:val="00342198"/>
    <w:rsid w:val="003442B5"/>
    <w:rsid w:val="00344483"/>
    <w:rsid w:val="00347625"/>
    <w:rsid w:val="00362F19"/>
    <w:rsid w:val="00367CB0"/>
    <w:rsid w:val="00370C37"/>
    <w:rsid w:val="0038221C"/>
    <w:rsid w:val="003849C4"/>
    <w:rsid w:val="003C3B91"/>
    <w:rsid w:val="003E49B9"/>
    <w:rsid w:val="003E632F"/>
    <w:rsid w:val="003F524B"/>
    <w:rsid w:val="003F5B23"/>
    <w:rsid w:val="003F67A5"/>
    <w:rsid w:val="0041068B"/>
    <w:rsid w:val="004121F2"/>
    <w:rsid w:val="00415CFA"/>
    <w:rsid w:val="00421EDC"/>
    <w:rsid w:val="00427E34"/>
    <w:rsid w:val="00432C07"/>
    <w:rsid w:val="00433942"/>
    <w:rsid w:val="00433A2D"/>
    <w:rsid w:val="00442E41"/>
    <w:rsid w:val="00442EF4"/>
    <w:rsid w:val="00451F6C"/>
    <w:rsid w:val="004531DB"/>
    <w:rsid w:val="004647C0"/>
    <w:rsid w:val="004719F9"/>
    <w:rsid w:val="0048012A"/>
    <w:rsid w:val="00481847"/>
    <w:rsid w:val="004963DB"/>
    <w:rsid w:val="004A7D79"/>
    <w:rsid w:val="004C1F65"/>
    <w:rsid w:val="004C71FC"/>
    <w:rsid w:val="004D0702"/>
    <w:rsid w:val="004D0F7E"/>
    <w:rsid w:val="004D2E71"/>
    <w:rsid w:val="004D6F36"/>
    <w:rsid w:val="004E2701"/>
    <w:rsid w:val="004E2D6E"/>
    <w:rsid w:val="004E3855"/>
    <w:rsid w:val="004F1360"/>
    <w:rsid w:val="00504C7D"/>
    <w:rsid w:val="00516B95"/>
    <w:rsid w:val="00521538"/>
    <w:rsid w:val="00523EF4"/>
    <w:rsid w:val="0053745E"/>
    <w:rsid w:val="00540BE2"/>
    <w:rsid w:val="005760FC"/>
    <w:rsid w:val="005764A6"/>
    <w:rsid w:val="005957E4"/>
    <w:rsid w:val="005A3C81"/>
    <w:rsid w:val="005A7EA5"/>
    <w:rsid w:val="005B4143"/>
    <w:rsid w:val="005B4DC8"/>
    <w:rsid w:val="005D0E92"/>
    <w:rsid w:val="005E6E53"/>
    <w:rsid w:val="00610080"/>
    <w:rsid w:val="00613408"/>
    <w:rsid w:val="00635366"/>
    <w:rsid w:val="0064288A"/>
    <w:rsid w:val="00661A76"/>
    <w:rsid w:val="00670E69"/>
    <w:rsid w:val="006726E5"/>
    <w:rsid w:val="006868BF"/>
    <w:rsid w:val="006924AC"/>
    <w:rsid w:val="0069482F"/>
    <w:rsid w:val="006949E8"/>
    <w:rsid w:val="00695A57"/>
    <w:rsid w:val="006B107C"/>
    <w:rsid w:val="006C3CCF"/>
    <w:rsid w:val="006C3D94"/>
    <w:rsid w:val="006D30DE"/>
    <w:rsid w:val="006D716E"/>
    <w:rsid w:val="006D773A"/>
    <w:rsid w:val="006E53DB"/>
    <w:rsid w:val="006E685F"/>
    <w:rsid w:val="00706FE3"/>
    <w:rsid w:val="007379A2"/>
    <w:rsid w:val="0076569B"/>
    <w:rsid w:val="007658DC"/>
    <w:rsid w:val="00784361"/>
    <w:rsid w:val="007866C0"/>
    <w:rsid w:val="007877D2"/>
    <w:rsid w:val="00792CF6"/>
    <w:rsid w:val="007937B6"/>
    <w:rsid w:val="007A2487"/>
    <w:rsid w:val="007B038C"/>
    <w:rsid w:val="007B0F41"/>
    <w:rsid w:val="007B614A"/>
    <w:rsid w:val="007B7930"/>
    <w:rsid w:val="007D0232"/>
    <w:rsid w:val="007D6931"/>
    <w:rsid w:val="007F43EB"/>
    <w:rsid w:val="007F5145"/>
    <w:rsid w:val="00800DA4"/>
    <w:rsid w:val="00801CAE"/>
    <w:rsid w:val="0082784C"/>
    <w:rsid w:val="008307CB"/>
    <w:rsid w:val="00830A09"/>
    <w:rsid w:val="00832789"/>
    <w:rsid w:val="00835161"/>
    <w:rsid w:val="008451C5"/>
    <w:rsid w:val="008670BF"/>
    <w:rsid w:val="008836ED"/>
    <w:rsid w:val="00885DD6"/>
    <w:rsid w:val="00887AD1"/>
    <w:rsid w:val="008C460C"/>
    <w:rsid w:val="008D32B8"/>
    <w:rsid w:val="008E3A1C"/>
    <w:rsid w:val="008F253B"/>
    <w:rsid w:val="008F4847"/>
    <w:rsid w:val="008F7DED"/>
    <w:rsid w:val="0091009E"/>
    <w:rsid w:val="00913739"/>
    <w:rsid w:val="00932056"/>
    <w:rsid w:val="00945822"/>
    <w:rsid w:val="00950ED9"/>
    <w:rsid w:val="00953B14"/>
    <w:rsid w:val="0096367E"/>
    <w:rsid w:val="00967386"/>
    <w:rsid w:val="00975CC9"/>
    <w:rsid w:val="00980DAE"/>
    <w:rsid w:val="009B6936"/>
    <w:rsid w:val="009C4517"/>
    <w:rsid w:val="009D707A"/>
    <w:rsid w:val="009D7F16"/>
    <w:rsid w:val="009F1FA3"/>
    <w:rsid w:val="009F592F"/>
    <w:rsid w:val="009F773C"/>
    <w:rsid w:val="00A06A57"/>
    <w:rsid w:val="00A120B4"/>
    <w:rsid w:val="00A267D4"/>
    <w:rsid w:val="00A31237"/>
    <w:rsid w:val="00A35551"/>
    <w:rsid w:val="00A545DC"/>
    <w:rsid w:val="00A66AFE"/>
    <w:rsid w:val="00A717E0"/>
    <w:rsid w:val="00A731FC"/>
    <w:rsid w:val="00A7714D"/>
    <w:rsid w:val="00A852A4"/>
    <w:rsid w:val="00A90843"/>
    <w:rsid w:val="00A92938"/>
    <w:rsid w:val="00AA024E"/>
    <w:rsid w:val="00AA6A70"/>
    <w:rsid w:val="00AB703A"/>
    <w:rsid w:val="00AD1446"/>
    <w:rsid w:val="00AD5A6D"/>
    <w:rsid w:val="00AE3977"/>
    <w:rsid w:val="00AF4F4D"/>
    <w:rsid w:val="00B14524"/>
    <w:rsid w:val="00B340F7"/>
    <w:rsid w:val="00B37E50"/>
    <w:rsid w:val="00B42DA2"/>
    <w:rsid w:val="00B772B6"/>
    <w:rsid w:val="00B96B42"/>
    <w:rsid w:val="00BA00F0"/>
    <w:rsid w:val="00BD310C"/>
    <w:rsid w:val="00BD4111"/>
    <w:rsid w:val="00BE4958"/>
    <w:rsid w:val="00BF511E"/>
    <w:rsid w:val="00C036B2"/>
    <w:rsid w:val="00C25538"/>
    <w:rsid w:val="00C350A6"/>
    <w:rsid w:val="00C43D9A"/>
    <w:rsid w:val="00C44753"/>
    <w:rsid w:val="00C4646A"/>
    <w:rsid w:val="00C479EB"/>
    <w:rsid w:val="00C53240"/>
    <w:rsid w:val="00C861BB"/>
    <w:rsid w:val="00C94714"/>
    <w:rsid w:val="00CA1EDD"/>
    <w:rsid w:val="00CA57F7"/>
    <w:rsid w:val="00CB13D6"/>
    <w:rsid w:val="00CC54BD"/>
    <w:rsid w:val="00CC5DBA"/>
    <w:rsid w:val="00CD4041"/>
    <w:rsid w:val="00D10376"/>
    <w:rsid w:val="00D104CF"/>
    <w:rsid w:val="00D13240"/>
    <w:rsid w:val="00D13ED4"/>
    <w:rsid w:val="00D220DF"/>
    <w:rsid w:val="00D3190D"/>
    <w:rsid w:val="00D3228B"/>
    <w:rsid w:val="00D36EC9"/>
    <w:rsid w:val="00D3729C"/>
    <w:rsid w:val="00D50019"/>
    <w:rsid w:val="00D84FA6"/>
    <w:rsid w:val="00D9611C"/>
    <w:rsid w:val="00DA362F"/>
    <w:rsid w:val="00DA4C2B"/>
    <w:rsid w:val="00DB1484"/>
    <w:rsid w:val="00DB1C68"/>
    <w:rsid w:val="00DB384D"/>
    <w:rsid w:val="00DB4CAD"/>
    <w:rsid w:val="00DC6FA9"/>
    <w:rsid w:val="00DC75D0"/>
    <w:rsid w:val="00DD21B4"/>
    <w:rsid w:val="00DD3360"/>
    <w:rsid w:val="00DD4790"/>
    <w:rsid w:val="00DE461F"/>
    <w:rsid w:val="00DF7E53"/>
    <w:rsid w:val="00E313F3"/>
    <w:rsid w:val="00E36ABF"/>
    <w:rsid w:val="00E42AA2"/>
    <w:rsid w:val="00E45FB5"/>
    <w:rsid w:val="00E515B5"/>
    <w:rsid w:val="00E543DD"/>
    <w:rsid w:val="00E6163A"/>
    <w:rsid w:val="00E6520D"/>
    <w:rsid w:val="00E70E0B"/>
    <w:rsid w:val="00E71550"/>
    <w:rsid w:val="00E818C1"/>
    <w:rsid w:val="00E909DA"/>
    <w:rsid w:val="00E978D5"/>
    <w:rsid w:val="00EF0650"/>
    <w:rsid w:val="00EF2C61"/>
    <w:rsid w:val="00EF2CC4"/>
    <w:rsid w:val="00F005B1"/>
    <w:rsid w:val="00F049B9"/>
    <w:rsid w:val="00F06F88"/>
    <w:rsid w:val="00F1386F"/>
    <w:rsid w:val="00F15F18"/>
    <w:rsid w:val="00F275A1"/>
    <w:rsid w:val="00F32874"/>
    <w:rsid w:val="00F33148"/>
    <w:rsid w:val="00F40904"/>
    <w:rsid w:val="00F71A40"/>
    <w:rsid w:val="00F81CC6"/>
    <w:rsid w:val="00F91EBC"/>
    <w:rsid w:val="00FB19DA"/>
    <w:rsid w:val="00FB2783"/>
    <w:rsid w:val="00FB464A"/>
    <w:rsid w:val="00FC79A5"/>
    <w:rsid w:val="00FD2AF0"/>
    <w:rsid w:val="00FD336F"/>
    <w:rsid w:val="00FF6D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5D65"/>
  <w15:chartTrackingRefBased/>
  <w15:docId w15:val="{3E842224-706A-43DF-A1FE-9DB0FA03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CF"/>
    <w:pPr>
      <w:spacing w:after="0" w:line="240" w:lineRule="auto"/>
    </w:pPr>
    <w:rPr>
      <w:rFonts w:ascii="Arial" w:eastAsia="Times New Roman" w:hAnsi="Arial" w:cs="Arial"/>
      <w:b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46E"/>
    <w:pPr>
      <w:tabs>
        <w:tab w:val="center" w:pos="4513"/>
        <w:tab w:val="right" w:pos="9026"/>
      </w:tabs>
    </w:pPr>
  </w:style>
  <w:style w:type="character" w:customStyle="1" w:styleId="HeaderChar">
    <w:name w:val="Header Char"/>
    <w:basedOn w:val="DefaultParagraphFont"/>
    <w:link w:val="Header"/>
    <w:uiPriority w:val="99"/>
    <w:rsid w:val="0004446E"/>
    <w:rPr>
      <w:rFonts w:ascii="Arial" w:eastAsia="Times New Roman" w:hAnsi="Arial" w:cs="Arial"/>
      <w:bCs/>
      <w:kern w:val="24"/>
      <w:sz w:val="24"/>
      <w:szCs w:val="24"/>
    </w:rPr>
  </w:style>
  <w:style w:type="paragraph" w:styleId="Footer">
    <w:name w:val="footer"/>
    <w:basedOn w:val="Normal"/>
    <w:link w:val="FooterChar"/>
    <w:uiPriority w:val="99"/>
    <w:unhideWhenUsed/>
    <w:rsid w:val="0004446E"/>
    <w:pPr>
      <w:tabs>
        <w:tab w:val="center" w:pos="4513"/>
        <w:tab w:val="right" w:pos="9026"/>
      </w:tabs>
    </w:pPr>
  </w:style>
  <w:style w:type="character" w:customStyle="1" w:styleId="FooterChar">
    <w:name w:val="Footer Char"/>
    <w:basedOn w:val="DefaultParagraphFont"/>
    <w:link w:val="Footer"/>
    <w:uiPriority w:val="99"/>
    <w:rsid w:val="0004446E"/>
    <w:rPr>
      <w:rFonts w:ascii="Arial" w:eastAsia="Times New Roman" w:hAnsi="Arial" w:cs="Arial"/>
      <w:bCs/>
      <w:kern w:val="24"/>
      <w:sz w:val="24"/>
      <w:szCs w:val="24"/>
    </w:rPr>
  </w:style>
  <w:style w:type="paragraph" w:styleId="FootnoteText">
    <w:name w:val="footnote text"/>
    <w:basedOn w:val="Normal"/>
    <w:link w:val="FootnoteTextChar"/>
    <w:uiPriority w:val="99"/>
    <w:semiHidden/>
    <w:unhideWhenUsed/>
    <w:rsid w:val="00D220DF"/>
    <w:rPr>
      <w:sz w:val="20"/>
      <w:szCs w:val="20"/>
    </w:rPr>
  </w:style>
  <w:style w:type="character" w:customStyle="1" w:styleId="FootnoteTextChar">
    <w:name w:val="Footnote Text Char"/>
    <w:basedOn w:val="DefaultParagraphFont"/>
    <w:link w:val="FootnoteText"/>
    <w:uiPriority w:val="99"/>
    <w:semiHidden/>
    <w:rsid w:val="00D220DF"/>
    <w:rPr>
      <w:rFonts w:ascii="Arial" w:eastAsia="Times New Roman" w:hAnsi="Arial" w:cs="Arial"/>
      <w:bCs/>
      <w:kern w:val="24"/>
      <w:sz w:val="20"/>
      <w:szCs w:val="20"/>
    </w:rPr>
  </w:style>
  <w:style w:type="character" w:styleId="FootnoteReference">
    <w:name w:val="footnote reference"/>
    <w:basedOn w:val="DefaultParagraphFont"/>
    <w:uiPriority w:val="99"/>
    <w:semiHidden/>
    <w:unhideWhenUsed/>
    <w:rsid w:val="00D220DF"/>
    <w:rPr>
      <w:vertAlign w:val="superscript"/>
    </w:rPr>
  </w:style>
  <w:style w:type="character" w:styleId="CommentReference">
    <w:name w:val="annotation reference"/>
    <w:basedOn w:val="DefaultParagraphFont"/>
    <w:uiPriority w:val="99"/>
    <w:semiHidden/>
    <w:unhideWhenUsed/>
    <w:rsid w:val="000A7935"/>
    <w:rPr>
      <w:sz w:val="16"/>
      <w:szCs w:val="16"/>
    </w:rPr>
  </w:style>
  <w:style w:type="paragraph" w:styleId="CommentText">
    <w:name w:val="annotation text"/>
    <w:basedOn w:val="Normal"/>
    <w:link w:val="CommentTextChar"/>
    <w:uiPriority w:val="99"/>
    <w:semiHidden/>
    <w:unhideWhenUsed/>
    <w:rsid w:val="000A7935"/>
    <w:rPr>
      <w:sz w:val="20"/>
      <w:szCs w:val="20"/>
    </w:rPr>
  </w:style>
  <w:style w:type="character" w:customStyle="1" w:styleId="CommentTextChar">
    <w:name w:val="Comment Text Char"/>
    <w:basedOn w:val="DefaultParagraphFont"/>
    <w:link w:val="CommentText"/>
    <w:uiPriority w:val="99"/>
    <w:semiHidden/>
    <w:rsid w:val="000A7935"/>
    <w:rPr>
      <w:rFonts w:ascii="Arial" w:eastAsia="Times New Roman" w:hAnsi="Arial" w:cs="Arial"/>
      <w:bCs/>
      <w:kern w:val="24"/>
      <w:sz w:val="20"/>
      <w:szCs w:val="20"/>
    </w:rPr>
  </w:style>
  <w:style w:type="paragraph" w:styleId="CommentSubject">
    <w:name w:val="annotation subject"/>
    <w:basedOn w:val="CommentText"/>
    <w:next w:val="CommentText"/>
    <w:link w:val="CommentSubjectChar"/>
    <w:uiPriority w:val="99"/>
    <w:semiHidden/>
    <w:unhideWhenUsed/>
    <w:rsid w:val="000A7935"/>
    <w:rPr>
      <w:b/>
    </w:rPr>
  </w:style>
  <w:style w:type="character" w:customStyle="1" w:styleId="CommentSubjectChar">
    <w:name w:val="Comment Subject Char"/>
    <w:basedOn w:val="CommentTextChar"/>
    <w:link w:val="CommentSubject"/>
    <w:uiPriority w:val="99"/>
    <w:semiHidden/>
    <w:rsid w:val="000A7935"/>
    <w:rPr>
      <w:rFonts w:ascii="Arial" w:eastAsia="Times New Roman" w:hAnsi="Arial" w:cs="Arial"/>
      <w:b/>
      <w:bCs/>
      <w:kern w:val="24"/>
      <w:sz w:val="20"/>
      <w:szCs w:val="20"/>
    </w:rPr>
  </w:style>
  <w:style w:type="paragraph" w:styleId="BalloonText">
    <w:name w:val="Balloon Text"/>
    <w:basedOn w:val="Normal"/>
    <w:link w:val="BalloonTextChar"/>
    <w:uiPriority w:val="99"/>
    <w:semiHidden/>
    <w:unhideWhenUsed/>
    <w:rsid w:val="000A7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35"/>
    <w:rPr>
      <w:rFonts w:ascii="Segoe UI" w:eastAsia="Times New Roman" w:hAnsi="Segoe UI" w:cs="Segoe UI"/>
      <w:bCs/>
      <w:kern w:val="24"/>
      <w:sz w:val="18"/>
      <w:szCs w:val="18"/>
    </w:rPr>
  </w:style>
  <w:style w:type="paragraph" w:styleId="ListParagraph">
    <w:name w:val="List Paragraph"/>
    <w:basedOn w:val="Normal"/>
    <w:uiPriority w:val="34"/>
    <w:qFormat/>
    <w:rsid w:val="0000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BEFA-5C82-461F-9049-B3066A6A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7995</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Mokone</cp:lastModifiedBy>
  <cp:revision>2</cp:revision>
  <cp:lastPrinted>2023-01-25T13:08:00Z</cp:lastPrinted>
  <dcterms:created xsi:type="dcterms:W3CDTF">2023-01-30T10:02:00Z</dcterms:created>
  <dcterms:modified xsi:type="dcterms:W3CDTF">2023-01-30T10:02:00Z</dcterms:modified>
</cp:coreProperties>
</file>