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C4" w:rsidRDefault="00A973C4" w:rsidP="00A973C4">
      <w:pPr>
        <w:widowControl w:val="0"/>
        <w:spacing w:line="276" w:lineRule="auto"/>
        <w:jc w:val="center"/>
        <w:rPr>
          <w:rFonts w:ascii="Arial" w:hAnsi="Arial" w:cs="Arial"/>
          <w:b/>
          <w:szCs w:val="28"/>
        </w:rPr>
      </w:pPr>
      <w:bookmarkStart w:id="0" w:name="_GoBack"/>
      <w:bookmarkEnd w:id="0"/>
    </w:p>
    <w:p w:rsidR="00A973C4" w:rsidRDefault="00A973C4" w:rsidP="00A973C4">
      <w:pPr>
        <w:widowControl w:val="0"/>
        <w:spacing w:line="276" w:lineRule="auto"/>
        <w:jc w:val="center"/>
        <w:rPr>
          <w:rFonts w:ascii="Arial" w:hAnsi="Arial" w:cs="Arial"/>
          <w:b/>
          <w:szCs w:val="28"/>
        </w:rPr>
      </w:pPr>
      <w:r w:rsidRPr="003C28F1">
        <w:rPr>
          <w:rFonts w:ascii="Bookman Old Style" w:hAnsi="Bookman Old Style"/>
          <w:noProof/>
          <w:color w:val="1F497D"/>
          <w:lang w:val="en-ZA" w:eastAsia="en-ZA"/>
        </w:rPr>
        <w:drawing>
          <wp:inline distT="0" distB="0" distL="0" distR="0" wp14:anchorId="1817945D" wp14:editId="5BA37832">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973C4" w:rsidRDefault="00A973C4" w:rsidP="00A973C4">
      <w:pPr>
        <w:widowControl w:val="0"/>
        <w:spacing w:line="276" w:lineRule="auto"/>
        <w:jc w:val="center"/>
        <w:rPr>
          <w:rFonts w:ascii="Arial" w:hAnsi="Arial" w:cs="Arial"/>
          <w:b/>
          <w:szCs w:val="28"/>
        </w:rPr>
      </w:pPr>
    </w:p>
    <w:p w:rsidR="00A973C4" w:rsidRPr="00782C4F" w:rsidRDefault="00A973C4" w:rsidP="00A973C4">
      <w:pPr>
        <w:widowControl w:val="0"/>
        <w:spacing w:line="276" w:lineRule="auto"/>
        <w:jc w:val="center"/>
        <w:rPr>
          <w:rFonts w:ascii="Century Gothic" w:hAnsi="Century Gothic" w:cs="Arial"/>
          <w:b/>
        </w:rPr>
      </w:pPr>
      <w:r w:rsidRPr="00782C4F">
        <w:rPr>
          <w:rFonts w:ascii="Century Gothic" w:hAnsi="Century Gothic" w:cs="Arial"/>
          <w:b/>
        </w:rPr>
        <w:t xml:space="preserve">IN THE HIGH OF SOUTH AFRICA </w:t>
      </w:r>
    </w:p>
    <w:p w:rsidR="00A973C4" w:rsidRPr="00782C4F" w:rsidRDefault="00A973C4" w:rsidP="00A973C4">
      <w:pPr>
        <w:pStyle w:val="LegalTitle"/>
        <w:spacing w:after="0" w:line="360" w:lineRule="auto"/>
        <w:rPr>
          <w:rFonts w:ascii="Century Gothic" w:hAnsi="Century Gothic"/>
        </w:rPr>
      </w:pPr>
      <w:r w:rsidRPr="00782C4F">
        <w:rPr>
          <w:rFonts w:ascii="Century Gothic" w:hAnsi="Century Gothic"/>
        </w:rPr>
        <w:t>GAUTENG DIVISION, PRETORIA</w:t>
      </w:r>
    </w:p>
    <w:p w:rsidR="00A973C4" w:rsidRPr="00782C4F" w:rsidRDefault="00A973C4" w:rsidP="00A973C4">
      <w:pPr>
        <w:pStyle w:val="LegalAnnexure"/>
        <w:spacing w:after="960" w:line="360" w:lineRule="auto"/>
        <w:jc w:val="center"/>
        <w:rPr>
          <w:rFonts w:ascii="Century Gothic" w:hAnsi="Century Gothic"/>
          <w:u w:val="single"/>
        </w:rPr>
      </w:pPr>
      <w:r w:rsidRPr="00782C4F">
        <w:rPr>
          <w:rFonts w:ascii="Century Gothic" w:hAnsi="Century Gothic"/>
          <w:noProof/>
          <w:lang w:val="en-ZA" w:eastAsia="en-ZA"/>
        </w:rPr>
        <mc:AlternateContent>
          <mc:Choice Requires="wps">
            <w:drawing>
              <wp:anchor distT="0" distB="0" distL="114300" distR="114300" simplePos="0" relativeHeight="251659264" behindDoc="0" locked="0" layoutInCell="1" allowOverlap="1" wp14:anchorId="230C1E72" wp14:editId="22F8B483">
                <wp:simplePos x="0" y="0"/>
                <wp:positionH relativeFrom="column">
                  <wp:posOffset>-45720</wp:posOffset>
                </wp:positionH>
                <wp:positionV relativeFrom="paragraph">
                  <wp:posOffset>36830</wp:posOffset>
                </wp:positionV>
                <wp:extent cx="3368040" cy="13258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325880"/>
                        </a:xfrm>
                        <a:prstGeom prst="rect">
                          <a:avLst/>
                        </a:prstGeom>
                        <a:solidFill>
                          <a:srgbClr val="FFFFFF"/>
                        </a:solidFill>
                        <a:ln w="9525">
                          <a:solidFill>
                            <a:srgbClr val="000000"/>
                          </a:solidFill>
                          <a:miter lim="800000"/>
                          <a:headEnd/>
                          <a:tailEnd/>
                        </a:ln>
                      </wps:spPr>
                      <wps:txbx>
                        <w:txbxContent>
                          <w:p w:rsidR="00566661" w:rsidRPr="009F50D6" w:rsidRDefault="002040FC" w:rsidP="002040FC">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566661" w:rsidRPr="009F50D6">
                              <w:rPr>
                                <w:rFonts w:ascii="Century Gothic" w:hAnsi="Century Gothic"/>
                                <w:caps/>
                                <w:sz w:val="18"/>
                                <w:szCs w:val="18"/>
                              </w:rPr>
                              <w:t xml:space="preserve">REPORTABLE: </w:t>
                            </w:r>
                            <w:r w:rsidR="00566661">
                              <w:rPr>
                                <w:rFonts w:ascii="Century Gothic" w:hAnsi="Century Gothic"/>
                                <w:b/>
                                <w:caps/>
                                <w:sz w:val="18"/>
                                <w:szCs w:val="18"/>
                              </w:rPr>
                              <w:t>NO</w:t>
                            </w:r>
                          </w:p>
                          <w:p w:rsidR="00566661" w:rsidRPr="009F50D6" w:rsidRDefault="002040FC" w:rsidP="002040FC">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566661" w:rsidRPr="009F50D6">
                              <w:rPr>
                                <w:rFonts w:ascii="Century Gothic" w:hAnsi="Century Gothic"/>
                                <w:sz w:val="18"/>
                                <w:szCs w:val="18"/>
                              </w:rPr>
                              <w:t xml:space="preserve">OF INTEREST TO OTHER JUDGES: </w:t>
                            </w:r>
                            <w:r w:rsidR="00566661" w:rsidRPr="009F50D6">
                              <w:rPr>
                                <w:rFonts w:ascii="Century Gothic" w:hAnsi="Century Gothic"/>
                                <w:b/>
                                <w:sz w:val="18"/>
                                <w:szCs w:val="18"/>
                              </w:rPr>
                              <w:t>NO</w:t>
                            </w:r>
                          </w:p>
                          <w:p w:rsidR="00566661" w:rsidRPr="009F50D6" w:rsidRDefault="002040FC" w:rsidP="002040FC">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566661" w:rsidRPr="009F50D6">
                              <w:rPr>
                                <w:rFonts w:ascii="Century Gothic" w:hAnsi="Century Gothic"/>
                                <w:sz w:val="18"/>
                                <w:szCs w:val="18"/>
                              </w:rPr>
                              <w:t xml:space="preserve">REVISED: </w:t>
                            </w:r>
                            <w:r w:rsidR="00730B92" w:rsidRPr="00730B92">
                              <w:rPr>
                                <w:rFonts w:ascii="Century Gothic" w:hAnsi="Century Gothic"/>
                                <w:b/>
                                <w:sz w:val="18"/>
                                <w:szCs w:val="18"/>
                              </w:rPr>
                              <w:t>YES</w:t>
                            </w:r>
                          </w:p>
                          <w:p w:rsidR="00566661" w:rsidRPr="00380512" w:rsidRDefault="00566661" w:rsidP="00A973C4">
                            <w:pPr>
                              <w:spacing w:after="120"/>
                              <w:rPr>
                                <w:rFonts w:ascii="Century Gothic" w:hAnsi="Century Gothic"/>
                                <w:sz w:val="18"/>
                                <w:szCs w:val="18"/>
                              </w:rPr>
                            </w:pPr>
                          </w:p>
                          <w:p w:rsidR="00566661" w:rsidRPr="00917C8F" w:rsidRDefault="00566661" w:rsidP="00A973C4">
                            <w:pPr>
                              <w:rPr>
                                <w:rFonts w:ascii="Century Gothic" w:hAnsi="Century Gothic"/>
                                <w:sz w:val="18"/>
                                <w:szCs w:val="18"/>
                                <w:u w:val="single"/>
                              </w:rPr>
                            </w:pPr>
                            <w:r w:rsidRPr="008F4E84">
                              <w:rPr>
                                <w:rFonts w:ascii="Century Gothic" w:hAnsi="Century Gothic"/>
                                <w:sz w:val="18"/>
                                <w:szCs w:val="18"/>
                              </w:rPr>
                              <w:t>Date:</w:t>
                            </w:r>
                            <w:r w:rsidRPr="008F4E84">
                              <w:rPr>
                                <w:rFonts w:ascii="Century Gothic" w:hAnsi="Century Gothic"/>
                                <w:b/>
                                <w:i/>
                                <w:sz w:val="18"/>
                                <w:szCs w:val="18"/>
                              </w:rPr>
                              <w:t xml:space="preserve"> </w:t>
                            </w:r>
                            <w:r w:rsidR="002E0858">
                              <w:rPr>
                                <w:rFonts w:ascii="Century Gothic" w:hAnsi="Century Gothic"/>
                                <w:b/>
                                <w:sz w:val="18"/>
                                <w:szCs w:val="18"/>
                              </w:rPr>
                              <w:t>2</w:t>
                            </w:r>
                            <w:r w:rsidR="005A5CFB">
                              <w:rPr>
                                <w:rFonts w:ascii="Century Gothic" w:hAnsi="Century Gothic"/>
                                <w:b/>
                                <w:sz w:val="18"/>
                                <w:szCs w:val="18"/>
                              </w:rPr>
                              <w:t xml:space="preserve"> September</w:t>
                            </w:r>
                            <w:r w:rsidRPr="008F4E84">
                              <w:rPr>
                                <w:rFonts w:ascii="Century Gothic" w:hAnsi="Century Gothic"/>
                                <w:b/>
                                <w:sz w:val="18"/>
                                <w:szCs w:val="18"/>
                              </w:rPr>
                              <w:t xml:space="preserve"> 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C1E72" id="_x0000_t202" coordsize="21600,21600" o:spt="202" path="m,l,21600r21600,l21600,xe">
                <v:stroke joinstyle="miter"/>
                <v:path gradientshapeok="t" o:connecttype="rect"/>
              </v:shapetype>
              <v:shape id="Text Box 2" o:spid="_x0000_s1026" type="#_x0000_t202" style="position:absolute;left:0;text-align:left;margin-left:-3.6pt;margin-top:2.9pt;width:265.2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DKwIAAFE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">
                <v:textbox>
                  <w:txbxContent>
                    <w:p w:rsidR="00566661" w:rsidRPr="009F50D6" w:rsidRDefault="002040FC" w:rsidP="002040FC">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566661" w:rsidRPr="009F50D6">
                        <w:rPr>
                          <w:rFonts w:ascii="Century Gothic" w:hAnsi="Century Gothic"/>
                          <w:caps/>
                          <w:sz w:val="18"/>
                          <w:szCs w:val="18"/>
                        </w:rPr>
                        <w:t xml:space="preserve">REPORTABLE: </w:t>
                      </w:r>
                      <w:r w:rsidR="00566661">
                        <w:rPr>
                          <w:rFonts w:ascii="Century Gothic" w:hAnsi="Century Gothic"/>
                          <w:b/>
                          <w:caps/>
                          <w:sz w:val="18"/>
                          <w:szCs w:val="18"/>
                        </w:rPr>
                        <w:t>NO</w:t>
                      </w:r>
                    </w:p>
                    <w:p w:rsidR="00566661" w:rsidRPr="009F50D6" w:rsidRDefault="002040FC" w:rsidP="002040FC">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566661" w:rsidRPr="009F50D6">
                        <w:rPr>
                          <w:rFonts w:ascii="Century Gothic" w:hAnsi="Century Gothic"/>
                          <w:sz w:val="18"/>
                          <w:szCs w:val="18"/>
                        </w:rPr>
                        <w:t xml:space="preserve">OF INTEREST TO OTHER JUDGES: </w:t>
                      </w:r>
                      <w:r w:rsidR="00566661" w:rsidRPr="009F50D6">
                        <w:rPr>
                          <w:rFonts w:ascii="Century Gothic" w:hAnsi="Century Gothic"/>
                          <w:b/>
                          <w:sz w:val="18"/>
                          <w:szCs w:val="18"/>
                        </w:rPr>
                        <w:t>NO</w:t>
                      </w:r>
                    </w:p>
                    <w:p w:rsidR="00566661" w:rsidRPr="009F50D6" w:rsidRDefault="002040FC" w:rsidP="002040FC">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566661" w:rsidRPr="009F50D6">
                        <w:rPr>
                          <w:rFonts w:ascii="Century Gothic" w:hAnsi="Century Gothic"/>
                          <w:sz w:val="18"/>
                          <w:szCs w:val="18"/>
                        </w:rPr>
                        <w:t xml:space="preserve">REVISED: </w:t>
                      </w:r>
                      <w:r w:rsidR="00730B92" w:rsidRPr="00730B92">
                        <w:rPr>
                          <w:rFonts w:ascii="Century Gothic" w:hAnsi="Century Gothic"/>
                          <w:b/>
                          <w:sz w:val="18"/>
                          <w:szCs w:val="18"/>
                        </w:rPr>
                        <w:t>YES</w:t>
                      </w:r>
                    </w:p>
                    <w:p w:rsidR="00566661" w:rsidRPr="00380512" w:rsidRDefault="00566661" w:rsidP="00A973C4">
                      <w:pPr>
                        <w:spacing w:after="120"/>
                        <w:rPr>
                          <w:rFonts w:ascii="Century Gothic" w:hAnsi="Century Gothic"/>
                          <w:sz w:val="18"/>
                          <w:szCs w:val="18"/>
                        </w:rPr>
                      </w:pPr>
                    </w:p>
                    <w:p w:rsidR="00566661" w:rsidRPr="00917C8F" w:rsidRDefault="00566661" w:rsidP="00A973C4">
                      <w:pPr>
                        <w:rPr>
                          <w:rFonts w:ascii="Century Gothic" w:hAnsi="Century Gothic"/>
                          <w:sz w:val="18"/>
                          <w:szCs w:val="18"/>
                          <w:u w:val="single"/>
                        </w:rPr>
                      </w:pPr>
                      <w:r w:rsidRPr="008F4E84">
                        <w:rPr>
                          <w:rFonts w:ascii="Century Gothic" w:hAnsi="Century Gothic"/>
                          <w:sz w:val="18"/>
                          <w:szCs w:val="18"/>
                        </w:rPr>
                        <w:t>Date:</w:t>
                      </w:r>
                      <w:r w:rsidRPr="008F4E84">
                        <w:rPr>
                          <w:rFonts w:ascii="Century Gothic" w:hAnsi="Century Gothic"/>
                          <w:b/>
                          <w:i/>
                          <w:sz w:val="18"/>
                          <w:szCs w:val="18"/>
                        </w:rPr>
                        <w:t xml:space="preserve"> </w:t>
                      </w:r>
                      <w:r w:rsidR="002E0858">
                        <w:rPr>
                          <w:rFonts w:ascii="Century Gothic" w:hAnsi="Century Gothic"/>
                          <w:b/>
                          <w:sz w:val="18"/>
                          <w:szCs w:val="18"/>
                        </w:rPr>
                        <w:t>2</w:t>
                      </w:r>
                      <w:r w:rsidR="005A5CFB">
                        <w:rPr>
                          <w:rFonts w:ascii="Century Gothic" w:hAnsi="Century Gothic"/>
                          <w:b/>
                          <w:sz w:val="18"/>
                          <w:szCs w:val="18"/>
                        </w:rPr>
                        <w:t xml:space="preserve"> September</w:t>
                      </w:r>
                      <w:r w:rsidRPr="008F4E84">
                        <w:rPr>
                          <w:rFonts w:ascii="Century Gothic" w:hAnsi="Century Gothic"/>
                          <w:b/>
                          <w:sz w:val="18"/>
                          <w:szCs w:val="18"/>
                        </w:rPr>
                        <w:t xml:space="preserve"> 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v:textbox>
              </v:shape>
            </w:pict>
          </mc:Fallback>
        </mc:AlternateContent>
      </w:r>
    </w:p>
    <w:p w:rsidR="00A973C4" w:rsidRPr="00782C4F" w:rsidRDefault="00A973C4" w:rsidP="00A973C4">
      <w:pPr>
        <w:pStyle w:val="LegalAnnexure"/>
        <w:spacing w:after="0" w:line="360" w:lineRule="auto"/>
        <w:rPr>
          <w:rFonts w:ascii="Century Gothic" w:hAnsi="Century Gothic"/>
        </w:rPr>
      </w:pPr>
      <w:r w:rsidRPr="00782C4F">
        <w:rPr>
          <w:rFonts w:ascii="Century Gothic" w:hAnsi="Century Gothic"/>
          <w:u w:val="single"/>
        </w:rPr>
        <w:t xml:space="preserve"> </w:t>
      </w:r>
    </w:p>
    <w:p w:rsidR="00E87CA2" w:rsidRPr="00E87CA2" w:rsidRDefault="00E87CA2" w:rsidP="00E87CA2">
      <w:pPr>
        <w:spacing w:after="160"/>
        <w:jc w:val="right"/>
        <w:rPr>
          <w:rFonts w:ascii="Century Gothic" w:hAnsi="Century Gothic" w:cs="Arial"/>
          <w:b/>
          <w:bCs/>
          <w:lang w:val="en-ZA"/>
        </w:rPr>
      </w:pPr>
      <w:r w:rsidRPr="00E87CA2">
        <w:rPr>
          <w:rFonts w:ascii="Century Gothic" w:hAnsi="Century Gothic" w:cs="Arial"/>
          <w:lang w:val="en-ZA"/>
        </w:rPr>
        <w:t xml:space="preserve">  Case No: </w:t>
      </w:r>
      <w:r w:rsidR="00651839">
        <w:rPr>
          <w:rFonts w:ascii="Century Gothic" w:hAnsi="Century Gothic" w:cs="Arial"/>
          <w:b/>
          <w:lang w:val="en-ZA"/>
        </w:rPr>
        <w:t>74511/2018</w:t>
      </w:r>
    </w:p>
    <w:p w:rsidR="00E87CA2" w:rsidRPr="00E87CA2" w:rsidRDefault="00E87CA2" w:rsidP="00E87CA2">
      <w:pPr>
        <w:spacing w:after="160"/>
        <w:rPr>
          <w:rFonts w:ascii="Century Gothic" w:hAnsi="Century Gothic" w:cs="Arial"/>
          <w:lang w:val="en-ZA"/>
        </w:rPr>
      </w:pPr>
      <w:r w:rsidRPr="00E87CA2">
        <w:rPr>
          <w:rFonts w:ascii="Century Gothic" w:hAnsi="Century Gothic" w:cs="Arial"/>
          <w:lang w:val="en-ZA"/>
        </w:rPr>
        <w:t>In the matter between:</w:t>
      </w:r>
    </w:p>
    <w:p w:rsidR="00E87CA2" w:rsidRPr="00E87CA2" w:rsidRDefault="00E87CA2" w:rsidP="00E87CA2">
      <w:pPr>
        <w:spacing w:after="160"/>
        <w:rPr>
          <w:rFonts w:ascii="Century Gothic" w:hAnsi="Century Gothic" w:cs="Arial"/>
          <w:lang w:val="en-ZA"/>
        </w:rPr>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9"/>
      </w:tblGrid>
      <w:tr w:rsidR="00E87CA2" w:rsidRPr="00E87CA2" w:rsidTr="00566661">
        <w:tc>
          <w:tcPr>
            <w:tcW w:w="5954" w:type="dxa"/>
          </w:tcPr>
          <w:p w:rsidR="00E87CA2" w:rsidRPr="00CE31CD" w:rsidRDefault="00CE31CD" w:rsidP="00566661">
            <w:pPr>
              <w:spacing w:after="160" w:line="360" w:lineRule="auto"/>
              <w:rPr>
                <w:rFonts w:ascii="Century Gothic" w:hAnsi="Century Gothic" w:cs="Arial"/>
                <w:b/>
                <w:bCs/>
              </w:rPr>
            </w:pPr>
            <w:r w:rsidRPr="00CE31CD">
              <w:rPr>
                <w:rFonts w:ascii="Century Gothic" w:hAnsi="Century Gothic" w:cs="Arial"/>
                <w:b/>
                <w:bCs/>
              </w:rPr>
              <w:t>BAYPORT MANAGEMENT LIMITED</w:t>
            </w:r>
          </w:p>
        </w:tc>
        <w:tc>
          <w:tcPr>
            <w:tcW w:w="3119" w:type="dxa"/>
          </w:tcPr>
          <w:p w:rsidR="00E87CA2" w:rsidRPr="00E87CA2" w:rsidRDefault="00E87CA2" w:rsidP="00F93AA1">
            <w:pPr>
              <w:spacing w:after="160"/>
              <w:rPr>
                <w:rFonts w:ascii="Century Gothic" w:hAnsi="Century Gothic" w:cs="Arial"/>
              </w:rPr>
            </w:pPr>
            <w:r w:rsidRPr="00E87CA2">
              <w:rPr>
                <w:rFonts w:ascii="Century Gothic" w:hAnsi="Century Gothic" w:cs="Arial"/>
              </w:rPr>
              <w:t xml:space="preserve">Applicant </w:t>
            </w:r>
            <w:r w:rsidR="00F93AA1">
              <w:rPr>
                <w:rFonts w:ascii="Century Gothic" w:hAnsi="Century Gothic" w:cs="Arial"/>
              </w:rPr>
              <w:t>/ Defendant</w:t>
            </w:r>
          </w:p>
        </w:tc>
      </w:tr>
      <w:tr w:rsidR="00E87CA2" w:rsidRPr="00E87CA2" w:rsidTr="00566661">
        <w:tc>
          <w:tcPr>
            <w:tcW w:w="5954" w:type="dxa"/>
          </w:tcPr>
          <w:p w:rsidR="00E87CA2" w:rsidRPr="00E87CA2" w:rsidRDefault="00E87CA2" w:rsidP="00566661">
            <w:pPr>
              <w:spacing w:after="160"/>
              <w:rPr>
                <w:rFonts w:ascii="Century Gothic" w:hAnsi="Century Gothic" w:cs="Arial"/>
              </w:rPr>
            </w:pPr>
          </w:p>
        </w:tc>
        <w:tc>
          <w:tcPr>
            <w:tcW w:w="3119" w:type="dxa"/>
          </w:tcPr>
          <w:p w:rsidR="00E87CA2" w:rsidRPr="00E87CA2" w:rsidRDefault="00E87CA2" w:rsidP="00566661">
            <w:pPr>
              <w:spacing w:after="160"/>
              <w:jc w:val="right"/>
              <w:rPr>
                <w:rFonts w:ascii="Century Gothic" w:hAnsi="Century Gothic" w:cs="Arial"/>
              </w:rPr>
            </w:pPr>
          </w:p>
        </w:tc>
      </w:tr>
      <w:tr w:rsidR="00E87CA2" w:rsidRPr="00E87CA2" w:rsidTr="00566661">
        <w:tc>
          <w:tcPr>
            <w:tcW w:w="5954" w:type="dxa"/>
          </w:tcPr>
          <w:p w:rsidR="00E87CA2" w:rsidRPr="00E87CA2" w:rsidRDefault="00E87CA2" w:rsidP="00566661">
            <w:pPr>
              <w:spacing w:after="160"/>
              <w:rPr>
                <w:rFonts w:ascii="Century Gothic" w:hAnsi="Century Gothic" w:cs="Arial"/>
              </w:rPr>
            </w:pPr>
            <w:r w:rsidRPr="00E87CA2">
              <w:rPr>
                <w:rFonts w:ascii="Century Gothic" w:hAnsi="Century Gothic" w:cs="Arial"/>
              </w:rPr>
              <w:t xml:space="preserve">and </w:t>
            </w:r>
          </w:p>
        </w:tc>
        <w:tc>
          <w:tcPr>
            <w:tcW w:w="3119" w:type="dxa"/>
          </w:tcPr>
          <w:p w:rsidR="00E87CA2" w:rsidRPr="00E87CA2" w:rsidRDefault="00E87CA2" w:rsidP="00566661">
            <w:pPr>
              <w:spacing w:after="160"/>
              <w:jc w:val="right"/>
              <w:rPr>
                <w:rFonts w:ascii="Century Gothic" w:hAnsi="Century Gothic" w:cs="Arial"/>
              </w:rPr>
            </w:pPr>
          </w:p>
        </w:tc>
      </w:tr>
      <w:tr w:rsidR="00E87CA2" w:rsidRPr="00E87CA2" w:rsidTr="00566661">
        <w:tc>
          <w:tcPr>
            <w:tcW w:w="5954" w:type="dxa"/>
          </w:tcPr>
          <w:p w:rsidR="00E87CA2" w:rsidRPr="00E87CA2" w:rsidRDefault="00E87CA2" w:rsidP="00566661">
            <w:pPr>
              <w:spacing w:after="160"/>
              <w:rPr>
                <w:rFonts w:ascii="Century Gothic" w:hAnsi="Century Gothic" w:cs="Arial"/>
              </w:rPr>
            </w:pPr>
          </w:p>
        </w:tc>
        <w:tc>
          <w:tcPr>
            <w:tcW w:w="3119" w:type="dxa"/>
          </w:tcPr>
          <w:p w:rsidR="00E87CA2" w:rsidRPr="00E87CA2" w:rsidRDefault="00E87CA2" w:rsidP="00566661">
            <w:pPr>
              <w:spacing w:after="160"/>
              <w:jc w:val="right"/>
              <w:rPr>
                <w:rFonts w:ascii="Century Gothic" w:hAnsi="Century Gothic" w:cs="Arial"/>
              </w:rPr>
            </w:pPr>
          </w:p>
        </w:tc>
      </w:tr>
      <w:tr w:rsidR="00E87CA2" w:rsidRPr="00E87CA2" w:rsidTr="00566661">
        <w:trPr>
          <w:trHeight w:val="177"/>
        </w:trPr>
        <w:tc>
          <w:tcPr>
            <w:tcW w:w="5954" w:type="dxa"/>
          </w:tcPr>
          <w:p w:rsidR="00E87CA2" w:rsidRPr="00CE31CD" w:rsidRDefault="00CE31CD" w:rsidP="00566661">
            <w:pPr>
              <w:spacing w:after="160"/>
              <w:rPr>
                <w:rFonts w:ascii="Century Gothic" w:hAnsi="Century Gothic" w:cs="Arial"/>
                <w:b/>
              </w:rPr>
            </w:pPr>
            <w:r w:rsidRPr="00CE31CD">
              <w:rPr>
                <w:rFonts w:ascii="Century Gothic" w:hAnsi="Century Gothic" w:cs="Arial"/>
                <w:b/>
                <w:bCs/>
              </w:rPr>
              <w:t xml:space="preserve">KHUMOVEST ADVISORY (PTY) LIMITED </w:t>
            </w:r>
          </w:p>
        </w:tc>
        <w:tc>
          <w:tcPr>
            <w:tcW w:w="3119" w:type="dxa"/>
          </w:tcPr>
          <w:p w:rsidR="00E87CA2" w:rsidRPr="00E87CA2" w:rsidRDefault="00E87CA2" w:rsidP="00F93AA1">
            <w:pPr>
              <w:spacing w:after="160"/>
              <w:rPr>
                <w:rFonts w:ascii="Century Gothic" w:hAnsi="Century Gothic" w:cs="Arial"/>
              </w:rPr>
            </w:pPr>
            <w:r w:rsidRPr="00E87CA2">
              <w:rPr>
                <w:rFonts w:ascii="Century Gothic" w:hAnsi="Century Gothic" w:cs="Arial"/>
              </w:rPr>
              <w:t>Respondent</w:t>
            </w:r>
            <w:r w:rsidR="00F93AA1">
              <w:rPr>
                <w:rFonts w:ascii="Century Gothic" w:hAnsi="Century Gothic" w:cs="Arial"/>
              </w:rPr>
              <w:t xml:space="preserve"> / Plaintiff</w:t>
            </w:r>
            <w:r w:rsidRPr="00E87CA2">
              <w:rPr>
                <w:rFonts w:ascii="Century Gothic" w:hAnsi="Century Gothic" w:cs="Arial"/>
              </w:rPr>
              <w:t xml:space="preserve"> </w:t>
            </w:r>
          </w:p>
        </w:tc>
      </w:tr>
    </w:tbl>
    <w:p w:rsidR="00782C4F" w:rsidRDefault="00782C4F" w:rsidP="00A973C4">
      <w:pPr>
        <w:pBdr>
          <w:bottom w:val="single" w:sz="12" w:space="1" w:color="auto"/>
        </w:pBdr>
        <w:spacing w:line="480" w:lineRule="auto"/>
        <w:rPr>
          <w:rFonts w:ascii="Century Gothic" w:hAnsi="Century Gothic"/>
        </w:rPr>
      </w:pPr>
    </w:p>
    <w:p w:rsidR="00782C4F" w:rsidRPr="00782C4F" w:rsidRDefault="00782C4F" w:rsidP="00782C4F">
      <w:pPr>
        <w:spacing w:line="276" w:lineRule="auto"/>
        <w:rPr>
          <w:rFonts w:ascii="Century Gothic" w:hAnsi="Century Gothic"/>
        </w:rPr>
      </w:pPr>
    </w:p>
    <w:p w:rsidR="00782C4F" w:rsidRPr="00782C4F" w:rsidRDefault="00782C4F" w:rsidP="00782C4F">
      <w:pPr>
        <w:spacing w:line="276" w:lineRule="auto"/>
        <w:jc w:val="center"/>
        <w:rPr>
          <w:rFonts w:ascii="Century Gothic" w:hAnsi="Century Gothic"/>
          <w:b/>
        </w:rPr>
      </w:pPr>
      <w:r w:rsidRPr="00782C4F">
        <w:rPr>
          <w:rFonts w:ascii="Century Gothic" w:hAnsi="Century Gothic"/>
          <w:b/>
        </w:rPr>
        <w:t>JUDGMENT</w:t>
      </w:r>
    </w:p>
    <w:p w:rsidR="00782C4F" w:rsidRPr="00782C4F" w:rsidRDefault="00782C4F" w:rsidP="00782C4F">
      <w:pPr>
        <w:pBdr>
          <w:bottom w:val="single" w:sz="12" w:space="1" w:color="auto"/>
        </w:pBdr>
        <w:spacing w:line="276" w:lineRule="auto"/>
        <w:jc w:val="center"/>
        <w:rPr>
          <w:rFonts w:ascii="Century Gothic" w:hAnsi="Century Gothic"/>
          <w:b/>
        </w:rPr>
      </w:pPr>
    </w:p>
    <w:p w:rsidR="00782C4F" w:rsidRPr="00782C4F" w:rsidRDefault="00782C4F" w:rsidP="00782C4F">
      <w:pPr>
        <w:spacing w:line="480" w:lineRule="auto"/>
        <w:jc w:val="center"/>
        <w:rPr>
          <w:rFonts w:ascii="Century Gothic" w:hAnsi="Century Gothic"/>
          <w:b/>
        </w:rPr>
      </w:pPr>
    </w:p>
    <w:p w:rsidR="00A973C4" w:rsidRPr="00782C4F" w:rsidRDefault="000A5F51" w:rsidP="00A973C4">
      <w:pPr>
        <w:spacing w:line="480" w:lineRule="auto"/>
        <w:rPr>
          <w:rFonts w:ascii="Century Gothic" w:hAnsi="Century Gothic"/>
        </w:rPr>
      </w:pPr>
      <w:r w:rsidRPr="00782C4F">
        <w:rPr>
          <w:rFonts w:ascii="Century Gothic" w:hAnsi="Century Gothic"/>
          <w:b/>
        </w:rPr>
        <w:t>NEUKIRCHER J:</w:t>
      </w:r>
    </w:p>
    <w:p w:rsidR="00805AB6" w:rsidRPr="002040FC" w:rsidRDefault="002040FC" w:rsidP="002040FC">
      <w:pPr>
        <w:spacing w:line="480" w:lineRule="auto"/>
        <w:ind w:left="851" w:hanging="851"/>
        <w:jc w:val="both"/>
        <w:rPr>
          <w:rFonts w:ascii="Arial" w:hAnsi="Arial" w:cs="Arial"/>
          <w:i/>
        </w:rPr>
      </w:pPr>
      <w:r w:rsidRPr="00E51F85">
        <w:rPr>
          <w:rFonts w:ascii="Arial" w:hAnsi="Arial Unicode MS" w:cs="Arial"/>
          <w:i/>
        </w:rPr>
        <w:t>[1]</w:t>
      </w:r>
      <w:r w:rsidRPr="00E51F85">
        <w:rPr>
          <w:rFonts w:ascii="Arial" w:hAnsi="Arial Unicode MS" w:cs="Arial"/>
          <w:i/>
        </w:rPr>
        <w:tab/>
      </w:r>
      <w:r w:rsidR="00805AB6" w:rsidRPr="002040FC">
        <w:rPr>
          <w:rFonts w:ascii="Arial" w:hAnsi="Arial" w:cs="Arial"/>
          <w:i/>
        </w:rPr>
        <w:t xml:space="preserve">“Litigation is not a game where a party may seek tactical advantage by concealing facts from his opponents and thereby occasioning unnecessary </w:t>
      </w:r>
      <w:r w:rsidR="00805AB6" w:rsidRPr="002040FC">
        <w:rPr>
          <w:rFonts w:ascii="Arial" w:hAnsi="Arial" w:cs="Arial"/>
          <w:i/>
        </w:rPr>
        <w:lastRenderedPageBreak/>
        <w:t>costs</w:t>
      </w:r>
      <w:r w:rsidR="00805AB6" w:rsidRPr="002040FC">
        <w:rPr>
          <w:rFonts w:ascii="Arial" w:hAnsi="Arial" w:cs="Arial"/>
        </w:rPr>
        <w:t>,”</w:t>
      </w:r>
      <w:r w:rsidR="00805AB6">
        <w:rPr>
          <w:rStyle w:val="FootnoteReference"/>
          <w:rFonts w:ascii="Arial" w:hAnsi="Arial" w:cs="Arial"/>
        </w:rPr>
        <w:footnoteReference w:id="1"/>
      </w:r>
      <w:r w:rsidR="00F54939" w:rsidRPr="002040FC">
        <w:rPr>
          <w:rFonts w:ascii="Arial" w:hAnsi="Arial" w:cs="Arial"/>
        </w:rPr>
        <w:t xml:space="preserve"> and in fact </w:t>
      </w:r>
      <w:r w:rsidR="00F54939" w:rsidRPr="002040FC">
        <w:rPr>
          <w:rFonts w:ascii="Arial" w:hAnsi="Arial" w:cs="Arial"/>
          <w:i/>
        </w:rPr>
        <w:t>“(t)here seems to me unfortunately to be an increasing tendency amongst litigants and practitioners to ‘play one’s cards close to one’s chest’, and not to be frank and open with an opposing party either prior to summons or during the course of pleadings. This is a practice which the courts should eliminate.”</w:t>
      </w:r>
    </w:p>
    <w:p w:rsidR="00F54939" w:rsidRDefault="00F54939" w:rsidP="00F54939">
      <w:pPr>
        <w:pStyle w:val="ListParagraph"/>
        <w:spacing w:line="480" w:lineRule="auto"/>
        <w:ind w:left="851"/>
        <w:jc w:val="both"/>
        <w:rPr>
          <w:rFonts w:ascii="Arial" w:hAnsi="Arial" w:cs="Arial"/>
        </w:rPr>
      </w:pPr>
    </w:p>
    <w:p w:rsidR="00F54939" w:rsidRPr="002040FC" w:rsidRDefault="002040FC" w:rsidP="002040FC">
      <w:pPr>
        <w:spacing w:line="480" w:lineRule="auto"/>
        <w:ind w:left="851" w:hanging="851"/>
        <w:jc w:val="both"/>
        <w:rPr>
          <w:rFonts w:ascii="Arial" w:hAnsi="Arial" w:cs="Arial"/>
          <w:i/>
        </w:rPr>
      </w:pPr>
      <w:r w:rsidRPr="00CD5B38">
        <w:rPr>
          <w:rFonts w:ascii="Arial" w:hAnsi="Arial Unicode MS" w:cs="Arial"/>
          <w:i/>
        </w:rPr>
        <w:t>[2]</w:t>
      </w:r>
      <w:r w:rsidRPr="00CD5B38">
        <w:rPr>
          <w:rFonts w:ascii="Arial" w:hAnsi="Arial Unicode MS" w:cs="Arial"/>
          <w:i/>
        </w:rPr>
        <w:tab/>
      </w:r>
      <w:r w:rsidR="00F54939" w:rsidRPr="002040FC">
        <w:rPr>
          <w:rFonts w:ascii="Arial" w:hAnsi="Arial" w:cs="Arial"/>
        </w:rPr>
        <w:t xml:space="preserve">What this entails is, ultimately, that </w:t>
      </w:r>
      <w:r w:rsidR="00F54939" w:rsidRPr="002040FC">
        <w:rPr>
          <w:rFonts w:ascii="Arial" w:hAnsi="Arial" w:cs="Arial"/>
          <w:i/>
        </w:rPr>
        <w:t>“[w]hen all is said and done, trials are abo</w:t>
      </w:r>
      <w:r w:rsidR="00CD5B38" w:rsidRPr="002040FC">
        <w:rPr>
          <w:rFonts w:ascii="Arial" w:hAnsi="Arial" w:cs="Arial"/>
          <w:i/>
        </w:rPr>
        <w:t xml:space="preserve">ut </w:t>
      </w:r>
      <w:r w:rsidR="00F54939" w:rsidRPr="002040FC">
        <w:rPr>
          <w:rFonts w:ascii="Arial" w:hAnsi="Arial" w:cs="Arial"/>
          <w:i/>
        </w:rPr>
        <w:t>it establishing the truth; and our conception o</w:t>
      </w:r>
      <w:r w:rsidR="007F506A" w:rsidRPr="002040FC">
        <w:rPr>
          <w:rFonts w:ascii="Arial" w:hAnsi="Arial" w:cs="Arial"/>
          <w:i/>
        </w:rPr>
        <w:t>f the way to get there lies in t</w:t>
      </w:r>
      <w:r w:rsidR="00F54939" w:rsidRPr="002040FC">
        <w:rPr>
          <w:rFonts w:ascii="Arial" w:hAnsi="Arial" w:cs="Arial"/>
          <w:i/>
        </w:rPr>
        <w:t>he accusatorial system of litigation. But it can only work if the protagonists are fairly juxtaposed issue by issue.”</w:t>
      </w:r>
      <w:r w:rsidR="00F54939" w:rsidRPr="00CD5B38">
        <w:rPr>
          <w:rStyle w:val="FootnoteReference"/>
          <w:rFonts w:ascii="Arial" w:hAnsi="Arial" w:cs="Arial"/>
          <w:i/>
        </w:rPr>
        <w:footnoteReference w:id="2"/>
      </w:r>
    </w:p>
    <w:p w:rsidR="00483D73" w:rsidRPr="00F54939" w:rsidRDefault="00483D73" w:rsidP="00F54939">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[3]</w:t>
      </w:r>
      <w:r>
        <w:rPr>
          <w:rFonts w:ascii="Arial" w:hAnsi="Arial Unicode MS" w:cs="Arial"/>
        </w:rPr>
        <w:tab/>
      </w:r>
      <w:r w:rsidR="00483D73" w:rsidRPr="002040FC">
        <w:rPr>
          <w:rFonts w:ascii="Arial" w:hAnsi="Arial" w:cs="Arial"/>
        </w:rPr>
        <w:t>Of course, litigation at the end of the day, comprises the art of strategy where two opponents who are “fairly juxtaposed”</w:t>
      </w:r>
      <w:r w:rsidR="00814936">
        <w:rPr>
          <w:rStyle w:val="FootnoteReference"/>
          <w:rFonts w:ascii="Arial" w:hAnsi="Arial" w:cs="Arial"/>
        </w:rPr>
        <w:footnoteReference w:id="3"/>
      </w:r>
      <w:r w:rsidR="00483D73" w:rsidRPr="002040FC">
        <w:rPr>
          <w:rFonts w:ascii="Arial" w:hAnsi="Arial" w:cs="Arial"/>
        </w:rPr>
        <w:t xml:space="preserve"> each thrust and parry in a court until</w:t>
      </w:r>
      <w:r w:rsidR="002D18A6" w:rsidRPr="002040FC">
        <w:rPr>
          <w:rFonts w:ascii="Arial" w:hAnsi="Arial" w:cs="Arial"/>
        </w:rPr>
        <w:t xml:space="preserve"> the court hands down judgment</w:t>
      </w:r>
      <w:r w:rsidR="00483D73" w:rsidRPr="002040FC">
        <w:rPr>
          <w:rFonts w:ascii="Arial" w:hAnsi="Arial" w:cs="Arial"/>
        </w:rPr>
        <w:t xml:space="preserve">. Forming part and parcel of this </w:t>
      </w:r>
      <w:r w:rsidR="00F93AA1" w:rsidRPr="002040FC">
        <w:rPr>
          <w:rFonts w:ascii="Arial" w:hAnsi="Arial" w:cs="Arial"/>
        </w:rPr>
        <w:t xml:space="preserve">litigation </w:t>
      </w:r>
      <w:r w:rsidR="00AC44BD" w:rsidRPr="002040FC">
        <w:rPr>
          <w:rFonts w:ascii="Arial" w:hAnsi="Arial" w:cs="Arial"/>
        </w:rPr>
        <w:t xml:space="preserve">is </w:t>
      </w:r>
      <w:r w:rsidR="00F93AA1" w:rsidRPr="002040FC">
        <w:rPr>
          <w:rFonts w:ascii="Arial" w:hAnsi="Arial" w:cs="Arial"/>
        </w:rPr>
        <w:t xml:space="preserve">the Request for </w:t>
      </w:r>
      <w:r w:rsidR="002D18A6" w:rsidRPr="002040FC">
        <w:rPr>
          <w:rFonts w:ascii="Arial" w:hAnsi="Arial" w:cs="Arial"/>
        </w:rPr>
        <w:t>Further P</w:t>
      </w:r>
      <w:r w:rsidR="00AC44BD" w:rsidRPr="002040FC">
        <w:rPr>
          <w:rFonts w:ascii="Arial" w:hAnsi="Arial" w:cs="Arial"/>
        </w:rPr>
        <w:t>articulars</w:t>
      </w:r>
      <w:r w:rsidR="00F93AA1" w:rsidRPr="002040FC">
        <w:rPr>
          <w:rFonts w:ascii="Arial" w:hAnsi="Arial" w:cs="Arial"/>
        </w:rPr>
        <w:t xml:space="preserve"> for Trial (the </w:t>
      </w:r>
      <w:r w:rsidR="002D18A6" w:rsidRPr="002040FC">
        <w:rPr>
          <w:rFonts w:ascii="Arial" w:hAnsi="Arial" w:cs="Arial"/>
        </w:rPr>
        <w:t>RFP</w:t>
      </w:r>
      <w:r w:rsidR="00F93AA1" w:rsidRPr="002040FC">
        <w:rPr>
          <w:rFonts w:ascii="Arial" w:hAnsi="Arial" w:cs="Arial"/>
        </w:rPr>
        <w:t>)</w:t>
      </w:r>
      <w:r w:rsidR="002D18A6" w:rsidRPr="002040FC">
        <w:rPr>
          <w:rFonts w:ascii="Arial" w:hAnsi="Arial" w:cs="Arial"/>
        </w:rPr>
        <w:t>.</w:t>
      </w:r>
      <w:r w:rsidR="00F93AA1" w:rsidRPr="002040FC">
        <w:rPr>
          <w:rFonts w:ascii="Arial" w:hAnsi="Arial" w:cs="Arial"/>
        </w:rPr>
        <w:t xml:space="preserve"> </w:t>
      </w:r>
      <w:r w:rsidR="002D18A6" w:rsidRPr="002040FC">
        <w:rPr>
          <w:rFonts w:ascii="Arial" w:hAnsi="Arial" w:cs="Arial"/>
        </w:rPr>
        <w:t>B</w:t>
      </w:r>
      <w:r w:rsidR="00F93AA1" w:rsidRPr="002040FC">
        <w:rPr>
          <w:rFonts w:ascii="Arial" w:hAnsi="Arial" w:cs="Arial"/>
        </w:rPr>
        <w:t xml:space="preserve">efore me is an application to compel further and better </w:t>
      </w:r>
      <w:r w:rsidR="002D18A6" w:rsidRPr="002040FC">
        <w:rPr>
          <w:rFonts w:ascii="Arial" w:hAnsi="Arial" w:cs="Arial"/>
        </w:rPr>
        <w:t>particulars</w:t>
      </w:r>
      <w:r w:rsidR="00F93AA1" w:rsidRPr="002040FC">
        <w:rPr>
          <w:rFonts w:ascii="Arial" w:hAnsi="Arial" w:cs="Arial"/>
        </w:rPr>
        <w:t xml:space="preserve"> for trial, sought by the defendant (Bayport)</w:t>
      </w:r>
      <w:r w:rsidR="00003A25" w:rsidRPr="002040FC">
        <w:rPr>
          <w:rFonts w:ascii="Arial" w:hAnsi="Arial" w:cs="Arial"/>
        </w:rPr>
        <w:t xml:space="preserve"> where it complains that certain responses provided by the Plaintiff (Khumovest) are inadequate.</w:t>
      </w:r>
    </w:p>
    <w:p w:rsidR="00003A25" w:rsidRPr="00003A25" w:rsidRDefault="00003A25" w:rsidP="00003A25">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[4]</w:t>
      </w:r>
      <w:r>
        <w:rPr>
          <w:rFonts w:ascii="Arial" w:hAnsi="Arial Unicode MS" w:cs="Arial"/>
        </w:rPr>
        <w:tab/>
      </w:r>
      <w:r w:rsidR="00003A25" w:rsidRPr="002040FC">
        <w:rPr>
          <w:rFonts w:ascii="Arial" w:hAnsi="Arial" w:cs="Arial"/>
        </w:rPr>
        <w:t>Rule 21 provides as follows:</w:t>
      </w:r>
    </w:p>
    <w:p w:rsidR="00AC44BD" w:rsidRPr="00433273" w:rsidRDefault="00F54939" w:rsidP="00AC44BD">
      <w:pPr>
        <w:spacing w:line="480" w:lineRule="auto"/>
        <w:ind w:left="851"/>
        <w:jc w:val="both"/>
        <w:rPr>
          <w:rFonts w:ascii="Arial" w:hAnsi="Arial" w:cs="Arial"/>
          <w:i/>
        </w:rPr>
      </w:pPr>
      <w:r>
        <w:rPr>
          <w:rFonts w:ascii="Arial" w:hAnsi="Arial" w:cs="Arial"/>
          <w:i/>
        </w:rPr>
        <w:t>“</w:t>
      </w:r>
      <w:r w:rsidR="00AC44BD" w:rsidRPr="00433273">
        <w:rPr>
          <w:rFonts w:ascii="Arial" w:hAnsi="Arial" w:cs="Arial"/>
          <w:i/>
        </w:rPr>
        <w:t xml:space="preserve">(1) </w:t>
      </w:r>
      <w:r w:rsidR="00AC44BD" w:rsidRPr="00433273">
        <w:rPr>
          <w:rFonts w:ascii="Arial" w:hAnsi="Arial" w:cs="Arial"/>
          <w:i/>
        </w:rPr>
        <w:tab/>
        <w:t xml:space="preserve">Subject to the provisions of subrules (2) to (4) further particulars shall not be requested. </w:t>
      </w:r>
    </w:p>
    <w:p w:rsidR="00AC44BD" w:rsidRPr="00433273" w:rsidRDefault="00AC44BD" w:rsidP="00AC44BD">
      <w:pPr>
        <w:spacing w:line="480" w:lineRule="auto"/>
        <w:ind w:left="851"/>
        <w:jc w:val="both"/>
        <w:rPr>
          <w:rFonts w:ascii="Arial" w:hAnsi="Arial" w:cs="Arial"/>
          <w:i/>
        </w:rPr>
      </w:pPr>
      <w:r w:rsidRPr="00433273">
        <w:rPr>
          <w:rFonts w:ascii="Arial" w:hAnsi="Arial" w:cs="Arial"/>
          <w:i/>
        </w:rPr>
        <w:lastRenderedPageBreak/>
        <w:t xml:space="preserve">(2) </w:t>
      </w:r>
      <w:r w:rsidRPr="00433273">
        <w:rPr>
          <w:rFonts w:ascii="Arial" w:hAnsi="Arial" w:cs="Arial"/>
          <w:i/>
        </w:rPr>
        <w:tab/>
        <w:t xml:space="preserve">After the close of pleadings any party may, not less than 20 days before trial, deliver a notice requesting only such further particulars as are strictly necessary to enable him to prepare for trial. Such request shall be complied with within 10 days after receipt thereof. </w:t>
      </w:r>
    </w:p>
    <w:p w:rsidR="00AC44BD" w:rsidRPr="00433273" w:rsidRDefault="00AC44BD" w:rsidP="00AC44BD">
      <w:pPr>
        <w:spacing w:line="480" w:lineRule="auto"/>
        <w:ind w:left="851"/>
        <w:jc w:val="both"/>
        <w:rPr>
          <w:rFonts w:ascii="Arial" w:hAnsi="Arial" w:cs="Arial"/>
          <w:i/>
        </w:rPr>
      </w:pPr>
      <w:r w:rsidRPr="00433273">
        <w:rPr>
          <w:rFonts w:ascii="Arial" w:hAnsi="Arial" w:cs="Arial"/>
          <w:i/>
        </w:rPr>
        <w:t xml:space="preserve">(3) </w:t>
      </w:r>
      <w:r w:rsidRPr="00433273">
        <w:rPr>
          <w:rFonts w:ascii="Arial" w:hAnsi="Arial" w:cs="Arial"/>
          <w:i/>
        </w:rPr>
        <w:tab/>
        <w:t>The request for further particulars for trial and the reply thereto shall, save where the party is litigating in person, be signed by both an advocate and an attorney or, in the case of an attorney who, under section 4(2) of the</w:t>
      </w:r>
      <w:r w:rsidRPr="00AC44BD">
        <w:rPr>
          <w:rFonts w:ascii="Arial" w:hAnsi="Arial" w:cs="Arial"/>
        </w:rPr>
        <w:t xml:space="preserve"> </w:t>
      </w:r>
      <w:r w:rsidRPr="00433273">
        <w:rPr>
          <w:rFonts w:ascii="Arial" w:hAnsi="Arial" w:cs="Arial"/>
          <w:i/>
        </w:rPr>
        <w:t>Right of Appearance in Courts Act, 1995 (Act 62 of 1995), has the right of appearance in the Supreme Court, only by such attorney.</w:t>
      </w:r>
    </w:p>
    <w:p w:rsidR="00AC44BD" w:rsidRPr="00433273" w:rsidRDefault="00AC44BD" w:rsidP="00AC44BD">
      <w:pPr>
        <w:spacing w:line="480" w:lineRule="auto"/>
        <w:ind w:left="851"/>
        <w:jc w:val="both"/>
        <w:rPr>
          <w:rFonts w:ascii="Arial" w:hAnsi="Arial" w:cs="Arial"/>
          <w:i/>
        </w:rPr>
      </w:pPr>
      <w:r w:rsidRPr="00433273">
        <w:rPr>
          <w:rFonts w:ascii="Arial" w:hAnsi="Arial" w:cs="Arial"/>
          <w:i/>
        </w:rPr>
        <w:t xml:space="preserve"> (4) </w:t>
      </w:r>
      <w:r w:rsidRPr="00433273">
        <w:rPr>
          <w:rFonts w:ascii="Arial" w:hAnsi="Arial" w:cs="Arial"/>
          <w:i/>
        </w:rPr>
        <w:tab/>
        <w:t xml:space="preserve">If the party requested to furnish any particulars as aforesaid fails to deliver them timeously or sufficiently, the party requesting the same may apply to court for an order for their delivery or for the dismissal of the action or the striking out of the defence, whereupon the court may make such order as to it seems meet. </w:t>
      </w:r>
    </w:p>
    <w:p w:rsidR="00AC44BD" w:rsidRPr="00433273" w:rsidRDefault="00AC44BD" w:rsidP="00AC44BD">
      <w:pPr>
        <w:spacing w:line="480" w:lineRule="auto"/>
        <w:ind w:left="851"/>
        <w:jc w:val="both"/>
        <w:rPr>
          <w:rFonts w:ascii="Arial" w:hAnsi="Arial" w:cs="Arial"/>
          <w:i/>
        </w:rPr>
      </w:pPr>
      <w:r w:rsidRPr="00433273">
        <w:rPr>
          <w:rFonts w:ascii="Arial" w:hAnsi="Arial" w:cs="Arial"/>
          <w:i/>
        </w:rPr>
        <w:t xml:space="preserve">(5) </w:t>
      </w:r>
      <w:r w:rsidRPr="00433273">
        <w:rPr>
          <w:rFonts w:ascii="Arial" w:hAnsi="Arial" w:cs="Arial"/>
          <w:i/>
        </w:rPr>
        <w:tab/>
        <w:t>The court shall at the conclusion of the trial mero motu consider whether the further particulars were strictly necessary, and shall disallow all costs of and flowing from any unnecessary request or reply, or both, and may order either party to pay the costs thereby wasted, on an attorney and client basis or otherwise.</w:t>
      </w:r>
      <w:r w:rsidR="00F54939">
        <w:rPr>
          <w:rFonts w:ascii="Arial" w:hAnsi="Arial" w:cs="Arial"/>
          <w:i/>
        </w:rPr>
        <w:t>”</w:t>
      </w:r>
    </w:p>
    <w:p w:rsidR="00AC44BD" w:rsidRPr="00AC44BD" w:rsidRDefault="00AC44BD" w:rsidP="00AC44BD">
      <w:pPr>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[5]</w:t>
      </w:r>
      <w:r>
        <w:rPr>
          <w:rFonts w:ascii="Arial" w:hAnsi="Arial Unicode MS" w:cs="Arial"/>
        </w:rPr>
        <w:tab/>
      </w:r>
      <w:r w:rsidR="00AC44BD" w:rsidRPr="002040FC">
        <w:rPr>
          <w:rFonts w:ascii="Arial" w:hAnsi="Arial" w:cs="Arial"/>
        </w:rPr>
        <w:t xml:space="preserve">On 20 September </w:t>
      </w:r>
      <w:r w:rsidR="00433273" w:rsidRPr="002040FC">
        <w:rPr>
          <w:rFonts w:ascii="Arial" w:hAnsi="Arial" w:cs="Arial"/>
        </w:rPr>
        <w:t xml:space="preserve">2021 the defendant </w:t>
      </w:r>
      <w:r w:rsidR="00AC44BD" w:rsidRPr="002040FC">
        <w:rPr>
          <w:rFonts w:ascii="Arial" w:hAnsi="Arial" w:cs="Arial"/>
        </w:rPr>
        <w:t>served the</w:t>
      </w:r>
      <w:r w:rsidR="00433273" w:rsidRPr="002040FC">
        <w:rPr>
          <w:rFonts w:ascii="Arial" w:hAnsi="Arial" w:cs="Arial"/>
        </w:rPr>
        <w:t xml:space="preserve"> RFP</w:t>
      </w:r>
      <w:r w:rsidR="00AC44BD" w:rsidRPr="002040FC">
        <w:rPr>
          <w:rFonts w:ascii="Arial" w:hAnsi="Arial" w:cs="Arial"/>
        </w:rPr>
        <w:t>. This was met by a response from the plaintiff on 15 December 2021. Dissatisfied with many of the response</w:t>
      </w:r>
      <w:r w:rsidR="00433273" w:rsidRPr="002040FC">
        <w:rPr>
          <w:rFonts w:ascii="Arial" w:hAnsi="Arial" w:cs="Arial"/>
        </w:rPr>
        <w:t>s</w:t>
      </w:r>
      <w:r w:rsidR="00AC44BD" w:rsidRPr="002040FC">
        <w:rPr>
          <w:rFonts w:ascii="Arial" w:hAnsi="Arial" w:cs="Arial"/>
        </w:rPr>
        <w:t xml:space="preserve">, the present application to compel was served on 4 February 2022. By the time that this application was heard it was common cause that </w:t>
      </w:r>
      <w:r w:rsidR="00AC44BD" w:rsidRPr="002040FC">
        <w:rPr>
          <w:rFonts w:ascii="Arial" w:hAnsi="Arial" w:cs="Arial"/>
        </w:rPr>
        <w:lastRenderedPageBreak/>
        <w:t xml:space="preserve">several of </w:t>
      </w:r>
      <w:r w:rsidR="00433273" w:rsidRPr="002040FC">
        <w:rPr>
          <w:rFonts w:ascii="Arial" w:hAnsi="Arial" w:cs="Arial"/>
        </w:rPr>
        <w:t xml:space="preserve">the responses </w:t>
      </w:r>
      <w:r w:rsidR="00AC44BD" w:rsidRPr="002040FC">
        <w:rPr>
          <w:rFonts w:ascii="Arial" w:hAnsi="Arial" w:cs="Arial"/>
        </w:rPr>
        <w:t>had been provided</w:t>
      </w:r>
      <w:r w:rsidR="00AC44BD">
        <w:rPr>
          <w:rStyle w:val="FootnoteReference"/>
          <w:rFonts w:ascii="Arial" w:hAnsi="Arial" w:cs="Arial"/>
        </w:rPr>
        <w:footnoteReference w:id="4"/>
      </w:r>
      <w:r w:rsidR="00C6535B" w:rsidRPr="002040FC">
        <w:rPr>
          <w:rFonts w:ascii="Arial" w:hAnsi="Arial" w:cs="Arial"/>
        </w:rPr>
        <w:t>. What was still sought were responses to paragraphs 4.5, 7.3, 7.4, 9.1, 9.5</w:t>
      </w:r>
      <w:r w:rsidR="00433273" w:rsidRPr="002040FC">
        <w:rPr>
          <w:rFonts w:ascii="Arial" w:hAnsi="Arial" w:cs="Arial"/>
        </w:rPr>
        <w:t>, 10, 12.2 and 14 of the RFP</w:t>
      </w:r>
      <w:r w:rsidR="00C6535B" w:rsidRPr="002040FC">
        <w:rPr>
          <w:rFonts w:ascii="Arial" w:hAnsi="Arial" w:cs="Arial"/>
        </w:rPr>
        <w:t>.</w:t>
      </w:r>
    </w:p>
    <w:p w:rsidR="0016386B" w:rsidRDefault="0016386B" w:rsidP="0016386B">
      <w:pPr>
        <w:pStyle w:val="ListParagraph"/>
        <w:spacing w:line="480" w:lineRule="auto"/>
        <w:ind w:left="851"/>
        <w:jc w:val="both"/>
        <w:rPr>
          <w:rFonts w:ascii="Arial" w:hAnsi="Arial" w:cs="Arial"/>
        </w:rPr>
      </w:pPr>
    </w:p>
    <w:p w:rsidR="0016386B" w:rsidRPr="0016386B" w:rsidRDefault="0016386B" w:rsidP="0016386B">
      <w:pPr>
        <w:spacing w:line="480" w:lineRule="auto"/>
        <w:jc w:val="both"/>
        <w:rPr>
          <w:rFonts w:ascii="Arial" w:hAnsi="Arial" w:cs="Arial"/>
          <w:b/>
        </w:rPr>
      </w:pPr>
      <w:r w:rsidRPr="0016386B">
        <w:rPr>
          <w:rFonts w:ascii="Arial" w:hAnsi="Arial" w:cs="Arial"/>
          <w:b/>
        </w:rPr>
        <w:t>BACKGROUND</w:t>
      </w:r>
    </w:p>
    <w:p w:rsidR="0087110F" w:rsidRPr="002040FC" w:rsidRDefault="002040FC" w:rsidP="002040FC">
      <w:pPr>
        <w:spacing w:line="480" w:lineRule="auto"/>
        <w:ind w:left="851" w:hanging="851"/>
        <w:jc w:val="both"/>
        <w:rPr>
          <w:rFonts w:ascii="Arial" w:hAnsi="Arial" w:cs="Arial"/>
        </w:rPr>
      </w:pPr>
      <w:r>
        <w:rPr>
          <w:rFonts w:ascii="Arial" w:hAnsi="Arial Unicode MS" w:cs="Arial"/>
        </w:rPr>
        <w:t>[6]</w:t>
      </w:r>
      <w:r>
        <w:rPr>
          <w:rFonts w:ascii="Arial" w:hAnsi="Arial Unicode MS" w:cs="Arial"/>
        </w:rPr>
        <w:tab/>
      </w:r>
      <w:r w:rsidR="0016386B" w:rsidRPr="002040FC">
        <w:rPr>
          <w:rFonts w:ascii="Arial" w:hAnsi="Arial" w:cs="Arial"/>
        </w:rPr>
        <w:t>The background to this matter is the following:</w:t>
      </w:r>
    </w:p>
    <w:p w:rsidR="0016386B" w:rsidRDefault="00B318CD" w:rsidP="0016386B">
      <w:pPr>
        <w:pStyle w:val="ListParagraph"/>
        <w:spacing w:line="480" w:lineRule="auto"/>
        <w:ind w:left="1439" w:hanging="588"/>
        <w:jc w:val="both"/>
        <w:rPr>
          <w:rFonts w:ascii="Arial" w:hAnsi="Arial" w:cs="Arial"/>
        </w:rPr>
      </w:pPr>
      <w:r>
        <w:rPr>
          <w:rFonts w:ascii="Arial" w:hAnsi="Arial" w:cs="Arial"/>
        </w:rPr>
        <w:t>6</w:t>
      </w:r>
      <w:r w:rsidR="0016386B">
        <w:rPr>
          <w:rFonts w:ascii="Arial" w:hAnsi="Arial" w:cs="Arial"/>
        </w:rPr>
        <w:t>.1</w:t>
      </w:r>
      <w:r w:rsidR="0016386B">
        <w:rPr>
          <w:rFonts w:ascii="Arial" w:hAnsi="Arial" w:cs="Arial"/>
        </w:rPr>
        <w:tab/>
        <w:t>on 20 September 2016 the parties entered into a written agreemen</w:t>
      </w:r>
      <w:r w:rsidR="00025EE1">
        <w:rPr>
          <w:rFonts w:ascii="Arial" w:hAnsi="Arial" w:cs="Arial"/>
        </w:rPr>
        <w:t>t (the Mandate Agreement) the ai</w:t>
      </w:r>
      <w:r w:rsidR="0016386B">
        <w:rPr>
          <w:rFonts w:ascii="Arial" w:hAnsi="Arial" w:cs="Arial"/>
        </w:rPr>
        <w:t>m of which was to improve Bayport’s B-BBEE status via a tra</w:t>
      </w:r>
      <w:r w:rsidR="00025EE1">
        <w:rPr>
          <w:rFonts w:ascii="Arial" w:hAnsi="Arial" w:cs="Arial"/>
        </w:rPr>
        <w:t>nsaction called “Project Blaze”;</w:t>
      </w:r>
    </w:p>
    <w:p w:rsidR="0016386B" w:rsidRDefault="00B318CD" w:rsidP="0016386B">
      <w:pPr>
        <w:pStyle w:val="ListParagraph"/>
        <w:spacing w:line="480" w:lineRule="auto"/>
        <w:ind w:left="1439" w:hanging="588"/>
        <w:jc w:val="both"/>
        <w:rPr>
          <w:rFonts w:ascii="Arial" w:hAnsi="Arial" w:cs="Arial"/>
        </w:rPr>
      </w:pPr>
      <w:r>
        <w:rPr>
          <w:rFonts w:ascii="Arial" w:hAnsi="Arial" w:cs="Arial"/>
        </w:rPr>
        <w:t>6</w:t>
      </w:r>
      <w:r w:rsidR="0016386B">
        <w:rPr>
          <w:rFonts w:ascii="Arial" w:hAnsi="Arial" w:cs="Arial"/>
        </w:rPr>
        <w:t>.2</w:t>
      </w:r>
      <w:r w:rsidR="0016386B">
        <w:rPr>
          <w:rFonts w:ascii="Arial" w:hAnsi="Arial" w:cs="Arial"/>
        </w:rPr>
        <w:tab/>
      </w:r>
      <w:r w:rsidR="00296724">
        <w:rPr>
          <w:rFonts w:ascii="Arial" w:hAnsi="Arial" w:cs="Arial"/>
        </w:rPr>
        <w:t>in order to achieve this status, Khumovest provided</w:t>
      </w:r>
      <w:r w:rsidR="00025EE1">
        <w:rPr>
          <w:rFonts w:ascii="Arial" w:hAnsi="Arial" w:cs="Arial"/>
        </w:rPr>
        <w:t xml:space="preserve"> financial advisory services</w:t>
      </w:r>
      <w:r w:rsidR="0016386B">
        <w:rPr>
          <w:rFonts w:ascii="Arial" w:hAnsi="Arial" w:cs="Arial"/>
        </w:rPr>
        <w:t xml:space="preserve"> to Bayport, </w:t>
      </w:r>
      <w:r w:rsidR="00296724">
        <w:rPr>
          <w:rFonts w:ascii="Arial" w:hAnsi="Arial" w:cs="Arial"/>
        </w:rPr>
        <w:t>and would then</w:t>
      </w:r>
      <w:r w:rsidR="0016386B">
        <w:rPr>
          <w:rFonts w:ascii="Arial" w:hAnsi="Arial" w:cs="Arial"/>
        </w:rPr>
        <w:t xml:space="preserve"> be entitled to payment of:</w:t>
      </w:r>
    </w:p>
    <w:p w:rsidR="0016386B" w:rsidRDefault="0016386B" w:rsidP="0016386B">
      <w:pPr>
        <w:pStyle w:val="ListParagraph"/>
        <w:spacing w:line="480" w:lineRule="auto"/>
        <w:ind w:left="1439" w:hanging="588"/>
        <w:jc w:val="both"/>
        <w:rPr>
          <w:rFonts w:ascii="Arial" w:hAnsi="Arial" w:cs="Arial"/>
        </w:rPr>
      </w:pPr>
      <w:r>
        <w:rPr>
          <w:rFonts w:ascii="Arial" w:hAnsi="Arial" w:cs="Arial"/>
        </w:rPr>
        <w:tab/>
      </w:r>
      <w:r w:rsidR="00B318CD">
        <w:rPr>
          <w:rFonts w:ascii="Arial" w:hAnsi="Arial" w:cs="Arial"/>
        </w:rPr>
        <w:t>6</w:t>
      </w:r>
      <w:r>
        <w:rPr>
          <w:rFonts w:ascii="Arial" w:hAnsi="Arial" w:cs="Arial"/>
        </w:rPr>
        <w:t>.2.1</w:t>
      </w:r>
      <w:r>
        <w:rPr>
          <w:rFonts w:ascii="Arial" w:hAnsi="Arial" w:cs="Arial"/>
        </w:rPr>
        <w:tab/>
        <w:t>an amount as a retainer; and</w:t>
      </w:r>
    </w:p>
    <w:p w:rsidR="0016386B" w:rsidRDefault="00B318CD" w:rsidP="0016386B">
      <w:pPr>
        <w:pStyle w:val="ListParagraph"/>
        <w:spacing w:line="480" w:lineRule="auto"/>
        <w:ind w:left="2159" w:hanging="720"/>
        <w:jc w:val="both"/>
        <w:rPr>
          <w:rFonts w:ascii="Arial" w:hAnsi="Arial" w:cs="Arial"/>
        </w:rPr>
      </w:pPr>
      <w:r>
        <w:rPr>
          <w:rFonts w:ascii="Arial" w:hAnsi="Arial" w:cs="Arial"/>
        </w:rPr>
        <w:t>6</w:t>
      </w:r>
      <w:r w:rsidR="0016386B">
        <w:rPr>
          <w:rFonts w:ascii="Arial" w:hAnsi="Arial" w:cs="Arial"/>
        </w:rPr>
        <w:t>.2.2</w:t>
      </w:r>
      <w:r w:rsidR="0016386B">
        <w:rPr>
          <w:rFonts w:ascii="Arial" w:hAnsi="Arial" w:cs="Arial"/>
        </w:rPr>
        <w:tab/>
        <w:t xml:space="preserve">a success fee, payable at certain </w:t>
      </w:r>
      <w:r w:rsidR="0016386B" w:rsidRPr="00025EE1">
        <w:rPr>
          <w:rFonts w:ascii="Arial" w:hAnsi="Arial" w:cs="Arial"/>
        </w:rPr>
        <w:t>milestones</w:t>
      </w:r>
      <w:r w:rsidR="0016386B" w:rsidRPr="00025EE1">
        <w:rPr>
          <w:rStyle w:val="FootnoteReference"/>
          <w:rFonts w:ascii="Arial" w:hAnsi="Arial" w:cs="Arial"/>
        </w:rPr>
        <w:footnoteReference w:id="5"/>
      </w:r>
      <w:r w:rsidR="0016386B" w:rsidRPr="00025EE1">
        <w:rPr>
          <w:rFonts w:ascii="Arial" w:hAnsi="Arial" w:cs="Arial"/>
        </w:rPr>
        <w:t>. The</w:t>
      </w:r>
      <w:r w:rsidR="0016386B">
        <w:rPr>
          <w:rFonts w:ascii="Arial" w:hAnsi="Arial" w:cs="Arial"/>
        </w:rPr>
        <w:t xml:space="preserve"> success fees was calculated as a percentage of the total trans</w:t>
      </w:r>
      <w:r w:rsidR="00025EE1">
        <w:rPr>
          <w:rFonts w:ascii="Arial" w:hAnsi="Arial" w:cs="Arial"/>
        </w:rPr>
        <w:t>action price of “Project Blaze”;</w:t>
      </w:r>
    </w:p>
    <w:p w:rsidR="00AD1966" w:rsidRDefault="00B318CD" w:rsidP="00D50903">
      <w:pPr>
        <w:spacing w:line="480" w:lineRule="auto"/>
        <w:ind w:left="1439" w:hanging="588"/>
        <w:jc w:val="both"/>
        <w:rPr>
          <w:rFonts w:ascii="Arial" w:hAnsi="Arial" w:cs="Arial"/>
        </w:rPr>
      </w:pPr>
      <w:r>
        <w:rPr>
          <w:rFonts w:ascii="Arial" w:hAnsi="Arial" w:cs="Arial"/>
        </w:rPr>
        <w:t>6</w:t>
      </w:r>
      <w:r w:rsidR="00AD1966">
        <w:rPr>
          <w:rFonts w:ascii="Arial" w:hAnsi="Arial" w:cs="Arial"/>
        </w:rPr>
        <w:t>.3</w:t>
      </w:r>
      <w:r w:rsidR="00AD1966">
        <w:rPr>
          <w:rFonts w:ascii="Arial" w:hAnsi="Arial" w:cs="Arial"/>
        </w:rPr>
        <w:tab/>
      </w:r>
      <w:r w:rsidR="00872864">
        <w:rPr>
          <w:rFonts w:ascii="Arial" w:hAnsi="Arial" w:cs="Arial"/>
        </w:rPr>
        <w:t>Khumovest</w:t>
      </w:r>
      <w:r w:rsidR="00AD1966">
        <w:rPr>
          <w:rFonts w:ascii="Arial" w:hAnsi="Arial" w:cs="Arial"/>
        </w:rPr>
        <w:t xml:space="preserve"> pleads that it has complied with all of its obligations under the Mandate Agreement and according to it, Ann</w:t>
      </w:r>
      <w:r w:rsidR="000F0482">
        <w:rPr>
          <w:rFonts w:ascii="Arial" w:hAnsi="Arial" w:cs="Arial"/>
        </w:rPr>
        <w:t>exure</w:t>
      </w:r>
      <w:r w:rsidR="007F506A">
        <w:rPr>
          <w:rFonts w:ascii="Arial" w:hAnsi="Arial" w:cs="Arial"/>
        </w:rPr>
        <w:t xml:space="preserve"> A4 to the Int</w:t>
      </w:r>
      <w:r w:rsidR="00AD1966">
        <w:rPr>
          <w:rFonts w:ascii="Arial" w:hAnsi="Arial" w:cs="Arial"/>
        </w:rPr>
        <w:t xml:space="preserve">endit specifically sets out the work performed by </w:t>
      </w:r>
      <w:r w:rsidR="00872864">
        <w:rPr>
          <w:rFonts w:ascii="Arial" w:hAnsi="Arial" w:cs="Arial"/>
        </w:rPr>
        <w:t>it</w:t>
      </w:r>
      <w:r w:rsidR="00AD1966">
        <w:rPr>
          <w:rFonts w:ascii="Arial" w:hAnsi="Arial" w:cs="Arial"/>
        </w:rPr>
        <w:t xml:space="preserve"> in the discharge</w:t>
      </w:r>
      <w:r w:rsidR="000F0482">
        <w:rPr>
          <w:rFonts w:ascii="Arial" w:hAnsi="Arial" w:cs="Arial"/>
        </w:rPr>
        <w:t xml:space="preserve"> of its obligations;</w:t>
      </w:r>
    </w:p>
    <w:p w:rsidR="00962877" w:rsidRPr="00AD1966" w:rsidRDefault="00B318CD" w:rsidP="00D50903">
      <w:pPr>
        <w:spacing w:line="480" w:lineRule="auto"/>
        <w:ind w:left="1439" w:hanging="588"/>
        <w:jc w:val="both"/>
        <w:rPr>
          <w:rFonts w:ascii="Arial" w:hAnsi="Arial" w:cs="Arial"/>
        </w:rPr>
      </w:pPr>
      <w:r>
        <w:rPr>
          <w:rFonts w:ascii="Arial" w:hAnsi="Arial" w:cs="Arial"/>
        </w:rPr>
        <w:t>6</w:t>
      </w:r>
      <w:r w:rsidR="00962877">
        <w:rPr>
          <w:rFonts w:ascii="Arial" w:hAnsi="Arial" w:cs="Arial"/>
        </w:rPr>
        <w:t>.4</w:t>
      </w:r>
      <w:r w:rsidR="00962877">
        <w:rPr>
          <w:rFonts w:ascii="Arial" w:hAnsi="Arial" w:cs="Arial"/>
        </w:rPr>
        <w:tab/>
        <w:t>according to Khumovest, although Bayport paid the retainer</w:t>
      </w:r>
      <w:r w:rsidR="00F848C5">
        <w:rPr>
          <w:rFonts w:ascii="Arial" w:hAnsi="Arial" w:cs="Arial"/>
        </w:rPr>
        <w:t>,</w:t>
      </w:r>
      <w:r w:rsidR="00962877">
        <w:rPr>
          <w:rFonts w:ascii="Arial" w:hAnsi="Arial" w:cs="Arial"/>
        </w:rPr>
        <w:t xml:space="preserve"> it has failed to pay the success fee.</w:t>
      </w:r>
    </w:p>
    <w:p w:rsidR="0016386B" w:rsidRDefault="0016386B" w:rsidP="0016386B">
      <w:pPr>
        <w:pStyle w:val="ListParagraph"/>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[7]</w:t>
      </w:r>
      <w:r>
        <w:rPr>
          <w:rFonts w:ascii="Arial" w:hAnsi="Arial Unicode MS" w:cs="Arial"/>
        </w:rPr>
        <w:tab/>
      </w:r>
      <w:r w:rsidR="00C60989" w:rsidRPr="002040FC">
        <w:rPr>
          <w:rFonts w:ascii="Arial" w:hAnsi="Arial" w:cs="Arial"/>
        </w:rPr>
        <w:t xml:space="preserve">The </w:t>
      </w:r>
      <w:r w:rsidR="0051621E" w:rsidRPr="002040FC">
        <w:rPr>
          <w:rFonts w:ascii="Arial" w:hAnsi="Arial" w:cs="Arial"/>
        </w:rPr>
        <w:t xml:space="preserve">calculation of the </w:t>
      </w:r>
      <w:r w:rsidR="00C60989" w:rsidRPr="002040FC">
        <w:rPr>
          <w:rFonts w:ascii="Arial" w:hAnsi="Arial" w:cs="Arial"/>
        </w:rPr>
        <w:t>success fee payable to Khumovest is to be found at paragraph</w:t>
      </w:r>
      <w:r w:rsidR="0051621E" w:rsidRPr="002040FC">
        <w:rPr>
          <w:rFonts w:ascii="Arial" w:hAnsi="Arial" w:cs="Arial"/>
        </w:rPr>
        <w:t>s</w:t>
      </w:r>
      <w:r w:rsidR="00C60989" w:rsidRPr="002040FC">
        <w:rPr>
          <w:rFonts w:ascii="Arial" w:hAnsi="Arial" w:cs="Arial"/>
        </w:rPr>
        <w:t xml:space="preserve"> 7.1 and 7.2 of the Mandate Agreement which read as follows:</w:t>
      </w:r>
    </w:p>
    <w:p w:rsidR="00C60989" w:rsidRPr="00C1132F" w:rsidRDefault="009B2596" w:rsidP="00C60989">
      <w:pPr>
        <w:pStyle w:val="ListParagraph"/>
        <w:spacing w:line="480" w:lineRule="auto"/>
        <w:ind w:left="851"/>
        <w:jc w:val="both"/>
        <w:rPr>
          <w:rFonts w:ascii="Arial" w:hAnsi="Arial" w:cs="Arial"/>
          <w:i/>
        </w:rPr>
      </w:pPr>
      <w:r w:rsidRPr="00C1132F">
        <w:rPr>
          <w:rFonts w:ascii="Arial" w:hAnsi="Arial" w:cs="Arial"/>
          <w:i/>
        </w:rPr>
        <w:lastRenderedPageBreak/>
        <w:t>“7.1</w:t>
      </w:r>
      <w:r w:rsidRPr="00C1132F">
        <w:rPr>
          <w:rFonts w:ascii="Arial" w:hAnsi="Arial" w:cs="Arial"/>
          <w:i/>
        </w:rPr>
        <w:tab/>
        <w:t>Khumovest shall charge Bayport an advisory fee of 1% (excluding VAT) of the Transaction Price, capped at a Transaction Price of USD250 million (two hundred and fifty million Dollars) (the “Advisory Fee”)</w:t>
      </w:r>
      <w:r w:rsidR="00BC300D" w:rsidRPr="00C1132F">
        <w:rPr>
          <w:rFonts w:ascii="Arial" w:hAnsi="Arial" w:cs="Arial"/>
          <w:i/>
        </w:rPr>
        <w:t>.</w:t>
      </w:r>
    </w:p>
    <w:p w:rsidR="00BC300D" w:rsidRPr="00C1132F" w:rsidRDefault="00BC300D" w:rsidP="00C60989">
      <w:pPr>
        <w:pStyle w:val="ListParagraph"/>
        <w:spacing w:line="480" w:lineRule="auto"/>
        <w:ind w:left="851"/>
        <w:jc w:val="both"/>
        <w:rPr>
          <w:rFonts w:ascii="Arial" w:hAnsi="Arial" w:cs="Arial"/>
          <w:i/>
        </w:rPr>
      </w:pPr>
      <w:r w:rsidRPr="00C1132F">
        <w:rPr>
          <w:rFonts w:ascii="Arial" w:hAnsi="Arial" w:cs="Arial"/>
          <w:i/>
        </w:rPr>
        <w:t>7.2</w:t>
      </w:r>
      <w:r w:rsidRPr="00C1132F">
        <w:rPr>
          <w:rFonts w:ascii="Arial" w:hAnsi="Arial" w:cs="Arial"/>
          <w:i/>
        </w:rPr>
        <w:tab/>
        <w:t>The Advisory Fee shall be split as follows:</w:t>
      </w:r>
    </w:p>
    <w:p w:rsidR="00BC300D" w:rsidRPr="00C1132F" w:rsidRDefault="00BC300D" w:rsidP="00FD1B69">
      <w:pPr>
        <w:pStyle w:val="ListParagraph"/>
        <w:spacing w:line="480" w:lineRule="auto"/>
        <w:ind w:left="2160" w:hanging="720"/>
        <w:jc w:val="both"/>
        <w:rPr>
          <w:rFonts w:ascii="Arial" w:hAnsi="Arial" w:cs="Arial"/>
          <w:i/>
        </w:rPr>
      </w:pPr>
      <w:r w:rsidRPr="00C1132F">
        <w:rPr>
          <w:rFonts w:ascii="Arial" w:hAnsi="Arial" w:cs="Arial"/>
          <w:i/>
        </w:rPr>
        <w:t>7.2.1</w:t>
      </w:r>
      <w:r w:rsidRPr="00C1132F">
        <w:rPr>
          <w:rFonts w:ascii="Arial" w:hAnsi="Arial" w:cs="Arial"/>
          <w:i/>
        </w:rPr>
        <w:tab/>
        <w:t>A retainer fee of R150,000 (one hundred and fifty thousand Rand) (excluding VAT), payable monthly in arrears from the</w:t>
      </w:r>
      <w:r>
        <w:rPr>
          <w:rFonts w:ascii="Arial" w:hAnsi="Arial" w:cs="Arial"/>
        </w:rPr>
        <w:t xml:space="preserve"> </w:t>
      </w:r>
      <w:r w:rsidRPr="00C1132F">
        <w:rPr>
          <w:rFonts w:ascii="Arial" w:hAnsi="Arial" w:cs="Arial"/>
          <w:i/>
        </w:rPr>
        <w:t>Commencement Date, within 7 Days of invoicing for the first three months following the signature of this Agreement, renewable at Bayport’s sole election;</w:t>
      </w:r>
    </w:p>
    <w:p w:rsidR="00FD1B69" w:rsidRPr="00C1132F" w:rsidRDefault="00FD1B69" w:rsidP="00FD1B69">
      <w:pPr>
        <w:pStyle w:val="ListParagraph"/>
        <w:spacing w:line="480" w:lineRule="auto"/>
        <w:ind w:left="2160" w:hanging="720"/>
        <w:jc w:val="both"/>
        <w:rPr>
          <w:rFonts w:ascii="Arial" w:hAnsi="Arial" w:cs="Arial"/>
          <w:i/>
        </w:rPr>
      </w:pPr>
      <w:r w:rsidRPr="00C1132F">
        <w:rPr>
          <w:rFonts w:ascii="Arial" w:hAnsi="Arial" w:cs="Arial"/>
          <w:i/>
        </w:rPr>
        <w:t>7.2.2</w:t>
      </w:r>
      <w:r w:rsidRPr="00C1132F">
        <w:rPr>
          <w:rFonts w:ascii="Arial" w:hAnsi="Arial" w:cs="Arial"/>
          <w:i/>
        </w:rPr>
        <w:tab/>
        <w:t>The remainder of the Advisory Fee shall be paid as a success fee on the following terms:</w:t>
      </w:r>
    </w:p>
    <w:p w:rsidR="00FD1B69" w:rsidRPr="00C1132F" w:rsidRDefault="00FD1B69" w:rsidP="00FD1B69">
      <w:pPr>
        <w:pStyle w:val="ListParagraph"/>
        <w:spacing w:line="480" w:lineRule="auto"/>
        <w:ind w:left="3600" w:hanging="1440"/>
        <w:jc w:val="both"/>
        <w:rPr>
          <w:rFonts w:ascii="Arial" w:hAnsi="Arial" w:cs="Arial"/>
          <w:i/>
        </w:rPr>
      </w:pPr>
      <w:r w:rsidRPr="00C1132F">
        <w:rPr>
          <w:rFonts w:ascii="Arial" w:hAnsi="Arial" w:cs="Arial"/>
          <w:i/>
        </w:rPr>
        <w:t>7.2.2.1</w:t>
      </w:r>
      <w:r w:rsidRPr="00C1132F">
        <w:rPr>
          <w:rFonts w:ascii="Arial" w:hAnsi="Arial" w:cs="Arial"/>
          <w:i/>
        </w:rPr>
        <w:tab/>
        <w:t>upon subscription of shares in Bayport by BBBEE Investor, an amount equal to 20% of the Advisory Fee up to a maximum of USD500,000.00 less any amounts paid under clause 7.2.1;</w:t>
      </w:r>
    </w:p>
    <w:p w:rsidR="00FD1B69" w:rsidRPr="00C1132F" w:rsidRDefault="00FD1B69" w:rsidP="005D5F15">
      <w:pPr>
        <w:pStyle w:val="ListParagraph"/>
        <w:spacing w:line="480" w:lineRule="auto"/>
        <w:ind w:left="3600" w:hanging="1440"/>
        <w:jc w:val="both"/>
        <w:rPr>
          <w:rFonts w:ascii="Arial" w:hAnsi="Arial" w:cs="Arial"/>
          <w:i/>
        </w:rPr>
      </w:pPr>
      <w:r w:rsidRPr="00C1132F">
        <w:rPr>
          <w:rFonts w:ascii="Arial" w:hAnsi="Arial" w:cs="Arial"/>
          <w:i/>
        </w:rPr>
        <w:t>7.2.2.2</w:t>
      </w:r>
      <w:r w:rsidRPr="00C1132F">
        <w:rPr>
          <w:rFonts w:ascii="Arial" w:hAnsi="Arial" w:cs="Arial"/>
          <w:i/>
        </w:rPr>
        <w:tab/>
        <w:t xml:space="preserve">upon subscription of shares in BFSSA </w:t>
      </w:r>
      <w:r w:rsidR="00371E8B" w:rsidRPr="00C1132F">
        <w:rPr>
          <w:rFonts w:ascii="Arial" w:hAnsi="Arial" w:cs="Arial"/>
          <w:i/>
        </w:rPr>
        <w:t>by a</w:t>
      </w:r>
      <w:r w:rsidRPr="00C1132F">
        <w:rPr>
          <w:rFonts w:ascii="Arial" w:hAnsi="Arial" w:cs="Arial"/>
          <w:i/>
        </w:rPr>
        <w:t xml:space="preserve"> suitable BBBEE Investor, an amount equal to 32% of the Advisoy Fee up to a maximum of USD800,000.00 less any amounts paid under clause 7.2.1 not already deducted under clause 7.2.2.1;</w:t>
      </w:r>
    </w:p>
    <w:p w:rsidR="00FD1B69" w:rsidRPr="00C1132F" w:rsidRDefault="00FD1B69" w:rsidP="005D5F15">
      <w:pPr>
        <w:pStyle w:val="ListParagraph"/>
        <w:spacing w:line="480" w:lineRule="auto"/>
        <w:ind w:left="3600" w:hanging="1440"/>
        <w:jc w:val="both"/>
        <w:rPr>
          <w:rFonts w:ascii="Arial" w:hAnsi="Arial" w:cs="Arial"/>
          <w:i/>
        </w:rPr>
      </w:pPr>
      <w:r w:rsidRPr="00C1132F">
        <w:rPr>
          <w:rFonts w:ascii="Arial" w:hAnsi="Arial" w:cs="Arial"/>
          <w:i/>
        </w:rPr>
        <w:t>7.2.2.3</w:t>
      </w:r>
      <w:r w:rsidRPr="00C1132F">
        <w:rPr>
          <w:rFonts w:ascii="Arial" w:hAnsi="Arial" w:cs="Arial"/>
          <w:i/>
        </w:rPr>
        <w:tab/>
        <w:t xml:space="preserve">upon subscription of shares </w:t>
      </w:r>
      <w:r w:rsidR="00371E8B" w:rsidRPr="00C1132F">
        <w:rPr>
          <w:rFonts w:ascii="Arial" w:hAnsi="Arial" w:cs="Arial"/>
          <w:i/>
        </w:rPr>
        <w:t>in ABIL</w:t>
      </w:r>
      <w:r w:rsidRPr="00C1132F">
        <w:rPr>
          <w:rFonts w:ascii="Arial" w:hAnsi="Arial" w:cs="Arial"/>
          <w:i/>
        </w:rPr>
        <w:t xml:space="preserve"> by BFSSA or the conclusion of the New BBBEE Transaction, an amount equal to 48% of the Advisory Fee up to a maximum of USD1,200,000.00 less any amounts </w:t>
      </w:r>
      <w:r w:rsidRPr="00C1132F">
        <w:rPr>
          <w:rFonts w:ascii="Arial" w:hAnsi="Arial" w:cs="Arial"/>
          <w:i/>
        </w:rPr>
        <w:lastRenderedPageBreak/>
        <w:t>paid under clause 7.2.1 not already deducted under clause 7.2.2.1 or clause 7.2.2.2;</w:t>
      </w:r>
    </w:p>
    <w:p w:rsidR="002A30D2" w:rsidRPr="00C1132F" w:rsidRDefault="005D5F15" w:rsidP="002A30D2">
      <w:pPr>
        <w:pStyle w:val="ListParagraph"/>
        <w:spacing w:line="480" w:lineRule="auto"/>
        <w:ind w:left="3600" w:hanging="1440"/>
        <w:jc w:val="both"/>
        <w:rPr>
          <w:rFonts w:ascii="Arial" w:hAnsi="Arial" w:cs="Arial"/>
          <w:i/>
        </w:rPr>
      </w:pPr>
      <w:r w:rsidRPr="00C1132F">
        <w:rPr>
          <w:rFonts w:ascii="Arial" w:hAnsi="Arial" w:cs="Arial"/>
          <w:i/>
        </w:rPr>
        <w:t>7.2.2.4</w:t>
      </w:r>
      <w:r w:rsidRPr="00C1132F">
        <w:rPr>
          <w:rFonts w:ascii="Arial" w:hAnsi="Arial" w:cs="Arial"/>
          <w:i/>
        </w:rPr>
        <w:tab/>
        <w:t>payable within 20 Days of invoicing.</w:t>
      </w:r>
    </w:p>
    <w:p w:rsidR="002A30D2" w:rsidRDefault="002A30D2" w:rsidP="002A30D2">
      <w:pPr>
        <w:pStyle w:val="ListParagraph"/>
        <w:spacing w:line="480" w:lineRule="auto"/>
        <w:ind w:left="3600" w:hanging="1440"/>
        <w:jc w:val="both"/>
        <w:rPr>
          <w:rFonts w:ascii="Arial" w:hAnsi="Arial" w:cs="Arial"/>
        </w:rPr>
      </w:pPr>
    </w:p>
    <w:p w:rsidR="002A30D2" w:rsidRPr="002A30D2" w:rsidRDefault="002A30D2" w:rsidP="002A30D2">
      <w:pPr>
        <w:spacing w:line="480" w:lineRule="auto"/>
        <w:ind w:left="720"/>
        <w:jc w:val="both"/>
        <w:rPr>
          <w:rFonts w:ascii="Arial" w:hAnsi="Arial" w:cs="Arial"/>
        </w:rPr>
      </w:pPr>
      <w:r w:rsidRPr="002A30D2">
        <w:rPr>
          <w:rFonts w:ascii="Arial" w:hAnsi="Arial" w:cs="Arial"/>
        </w:rPr>
        <w:t xml:space="preserve">It is </w:t>
      </w:r>
      <w:r w:rsidR="00C1132F">
        <w:rPr>
          <w:rFonts w:ascii="Arial" w:hAnsi="Arial" w:cs="Arial"/>
        </w:rPr>
        <w:t xml:space="preserve">thus </w:t>
      </w:r>
      <w:r w:rsidRPr="002A30D2">
        <w:rPr>
          <w:rFonts w:ascii="Arial" w:hAnsi="Arial" w:cs="Arial"/>
        </w:rPr>
        <w:t>clear from this, that the success fee was payable upon Khumovest meeting the milestones set out in clause 7.2.2 of the Mandate Agreement.</w:t>
      </w:r>
    </w:p>
    <w:p w:rsidR="0087110F" w:rsidRDefault="0087110F" w:rsidP="00C60989">
      <w:pPr>
        <w:pStyle w:val="ListParagraph"/>
        <w:spacing w:line="480" w:lineRule="auto"/>
        <w:ind w:left="851"/>
        <w:jc w:val="both"/>
        <w:rPr>
          <w:rFonts w:ascii="Arial" w:hAnsi="Arial" w:cs="Arial"/>
        </w:rPr>
      </w:pPr>
    </w:p>
    <w:p w:rsidR="002A30D2" w:rsidRPr="002040FC" w:rsidRDefault="002040FC" w:rsidP="002040FC">
      <w:pPr>
        <w:spacing w:line="480" w:lineRule="auto"/>
        <w:ind w:left="851" w:hanging="851"/>
        <w:jc w:val="both"/>
        <w:rPr>
          <w:rFonts w:ascii="Arial" w:hAnsi="Arial" w:cs="Arial"/>
        </w:rPr>
      </w:pPr>
      <w:r>
        <w:rPr>
          <w:rFonts w:ascii="Arial" w:hAnsi="Arial Unicode MS" w:cs="Arial"/>
        </w:rPr>
        <w:t>[8]</w:t>
      </w:r>
      <w:r>
        <w:rPr>
          <w:rFonts w:ascii="Arial" w:hAnsi="Arial Unicode MS" w:cs="Arial"/>
        </w:rPr>
        <w:tab/>
      </w:r>
      <w:r w:rsidR="002A30D2" w:rsidRPr="002040FC">
        <w:rPr>
          <w:rFonts w:ascii="Arial" w:hAnsi="Arial" w:cs="Arial"/>
        </w:rPr>
        <w:t>Khumovest has also pleaded an alternative claim in which it relies on a written alternative</w:t>
      </w:r>
      <w:r w:rsidR="00F461D7" w:rsidRPr="002040FC">
        <w:rPr>
          <w:rFonts w:ascii="Arial" w:hAnsi="Arial" w:cs="Arial"/>
        </w:rPr>
        <w:t>ly</w:t>
      </w:r>
      <w:r w:rsidR="002A30D2" w:rsidRPr="002040FC">
        <w:rPr>
          <w:rFonts w:ascii="Arial" w:hAnsi="Arial" w:cs="Arial"/>
        </w:rPr>
        <w:t xml:space="preserve"> oral </w:t>
      </w:r>
      <w:r w:rsidR="00F461D7" w:rsidRPr="002040FC">
        <w:rPr>
          <w:rFonts w:ascii="Arial" w:hAnsi="Arial" w:cs="Arial"/>
        </w:rPr>
        <w:t xml:space="preserve">alternatively </w:t>
      </w:r>
      <w:r w:rsidR="002A30D2" w:rsidRPr="002040FC">
        <w:rPr>
          <w:rFonts w:ascii="Arial" w:hAnsi="Arial" w:cs="Arial"/>
        </w:rPr>
        <w:t>partly written and partly</w:t>
      </w:r>
      <w:r w:rsidR="00E22344" w:rsidRPr="002040FC">
        <w:rPr>
          <w:rFonts w:ascii="Arial" w:hAnsi="Arial" w:cs="Arial"/>
        </w:rPr>
        <w:t xml:space="preserve"> oral agreement </w:t>
      </w:r>
      <w:r w:rsidR="002A30D2" w:rsidRPr="002040FC">
        <w:rPr>
          <w:rFonts w:ascii="Arial" w:hAnsi="Arial" w:cs="Arial"/>
        </w:rPr>
        <w:t>whi</w:t>
      </w:r>
      <w:r w:rsidR="00E22344" w:rsidRPr="002040FC">
        <w:rPr>
          <w:rFonts w:ascii="Arial" w:hAnsi="Arial" w:cs="Arial"/>
        </w:rPr>
        <w:t>ch it calls the “New Agreement”</w:t>
      </w:r>
      <w:r w:rsidR="002A30D2" w:rsidRPr="002040FC">
        <w:rPr>
          <w:rFonts w:ascii="Arial" w:hAnsi="Arial" w:cs="Arial"/>
        </w:rPr>
        <w:t>.</w:t>
      </w:r>
    </w:p>
    <w:p w:rsidR="002D2ACE" w:rsidRDefault="002D2ACE" w:rsidP="002D2ACE">
      <w:pPr>
        <w:pStyle w:val="ListParagraph"/>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[9]</w:t>
      </w:r>
      <w:r>
        <w:rPr>
          <w:rFonts w:ascii="Arial" w:hAnsi="Arial Unicode MS" w:cs="Arial"/>
        </w:rPr>
        <w:tab/>
      </w:r>
      <w:r w:rsidR="002A30D2" w:rsidRPr="002040FC">
        <w:rPr>
          <w:rFonts w:ascii="Arial" w:hAnsi="Arial" w:cs="Arial"/>
        </w:rPr>
        <w:t>Whether in re</w:t>
      </w:r>
      <w:r w:rsidR="00F25B2D" w:rsidRPr="002040FC">
        <w:rPr>
          <w:rFonts w:ascii="Arial" w:hAnsi="Arial" w:cs="Arial"/>
        </w:rPr>
        <w:t>spect</w:t>
      </w:r>
      <w:r w:rsidR="002A30D2" w:rsidRPr="002040FC">
        <w:rPr>
          <w:rFonts w:ascii="Arial" w:hAnsi="Arial" w:cs="Arial"/>
        </w:rPr>
        <w:t xml:space="preserve"> of the Mandate Agreement o</w:t>
      </w:r>
      <w:r w:rsidR="00F25B2D" w:rsidRPr="002040FC">
        <w:rPr>
          <w:rFonts w:ascii="Arial" w:hAnsi="Arial" w:cs="Arial"/>
        </w:rPr>
        <w:t>r</w:t>
      </w:r>
      <w:r w:rsidR="002A30D2" w:rsidRPr="002040FC">
        <w:rPr>
          <w:rFonts w:ascii="Arial" w:hAnsi="Arial" w:cs="Arial"/>
        </w:rPr>
        <w:t xml:space="preserve"> the New Agreement, Khumovest pleads that it has co</w:t>
      </w:r>
      <w:r w:rsidR="00F25B2D" w:rsidRPr="002040FC">
        <w:rPr>
          <w:rFonts w:ascii="Arial" w:hAnsi="Arial" w:cs="Arial"/>
        </w:rPr>
        <w:t>mplied with all the terms of it</w:t>
      </w:r>
      <w:r w:rsidR="002A30D2" w:rsidRPr="002040FC">
        <w:rPr>
          <w:rFonts w:ascii="Arial" w:hAnsi="Arial" w:cs="Arial"/>
        </w:rPr>
        <w:t>s mandate – this is denied by Bayport.</w:t>
      </w:r>
    </w:p>
    <w:p w:rsidR="002D2ACE" w:rsidRPr="002D2ACE" w:rsidRDefault="002D2ACE" w:rsidP="002D2ACE">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[10]</w:t>
      </w:r>
      <w:r>
        <w:rPr>
          <w:rFonts w:ascii="Arial" w:hAnsi="Arial Unicode MS" w:cs="Arial"/>
        </w:rPr>
        <w:tab/>
      </w:r>
      <w:r w:rsidR="002D2ACE" w:rsidRPr="002040FC">
        <w:rPr>
          <w:rFonts w:ascii="Arial" w:hAnsi="Arial" w:cs="Arial"/>
        </w:rPr>
        <w:t>The main essence of the further particulars sought by Bayport is to elucidate on the manner in which Khumovest actually ha</w:t>
      </w:r>
      <w:r w:rsidR="00940437" w:rsidRPr="002040FC">
        <w:rPr>
          <w:rFonts w:ascii="Arial" w:hAnsi="Arial" w:cs="Arial"/>
        </w:rPr>
        <w:t>s complied with the terms of it</w:t>
      </w:r>
      <w:r w:rsidR="002D2ACE" w:rsidRPr="002040FC">
        <w:rPr>
          <w:rFonts w:ascii="Arial" w:hAnsi="Arial" w:cs="Arial"/>
        </w:rPr>
        <w:t xml:space="preserve">s mandate in terms of </w:t>
      </w:r>
      <w:r w:rsidR="00D240F3" w:rsidRPr="002040FC">
        <w:rPr>
          <w:rFonts w:ascii="Arial" w:hAnsi="Arial" w:cs="Arial"/>
        </w:rPr>
        <w:t>Project Blaze or any of the alternatives pleaded by Khumovest.</w:t>
      </w:r>
    </w:p>
    <w:p w:rsidR="0087110F" w:rsidRPr="00D240F3" w:rsidRDefault="0087110F" w:rsidP="00D240F3">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[11]</w:t>
      </w:r>
      <w:r>
        <w:rPr>
          <w:rFonts w:ascii="Arial" w:hAnsi="Arial Unicode MS" w:cs="Arial"/>
        </w:rPr>
        <w:tab/>
      </w:r>
      <w:r w:rsidR="00D240F3" w:rsidRPr="002040FC">
        <w:rPr>
          <w:rFonts w:ascii="Arial" w:hAnsi="Arial" w:cs="Arial"/>
        </w:rPr>
        <w:t>Bearing in mind that Khumovest has provided a response to the R</w:t>
      </w:r>
      <w:r w:rsidR="009C3326" w:rsidRPr="002040FC">
        <w:rPr>
          <w:rFonts w:ascii="Arial" w:hAnsi="Arial" w:cs="Arial"/>
        </w:rPr>
        <w:t xml:space="preserve">FP </w:t>
      </w:r>
      <w:r w:rsidR="00D240F3" w:rsidRPr="002040FC">
        <w:rPr>
          <w:rFonts w:ascii="Arial" w:hAnsi="Arial" w:cs="Arial"/>
        </w:rPr>
        <w:t xml:space="preserve">the question is: to what extent are its responses </w:t>
      </w:r>
      <w:r w:rsidR="00A14FE6" w:rsidRPr="002040FC">
        <w:rPr>
          <w:rFonts w:ascii="Arial" w:hAnsi="Arial" w:cs="Arial"/>
        </w:rPr>
        <w:t>indeed unsatisfactory?</w:t>
      </w:r>
    </w:p>
    <w:p w:rsidR="00D240F3" w:rsidRDefault="00D240F3" w:rsidP="00D240F3">
      <w:pPr>
        <w:spacing w:line="480" w:lineRule="auto"/>
        <w:jc w:val="both"/>
        <w:rPr>
          <w:rFonts w:ascii="Arial" w:hAnsi="Arial" w:cs="Arial"/>
          <w:b/>
        </w:rPr>
      </w:pPr>
    </w:p>
    <w:p w:rsidR="00E22344" w:rsidRDefault="00E22344" w:rsidP="00D240F3">
      <w:pPr>
        <w:spacing w:line="480" w:lineRule="auto"/>
        <w:jc w:val="both"/>
        <w:rPr>
          <w:rFonts w:ascii="Arial" w:hAnsi="Arial" w:cs="Arial"/>
          <w:b/>
        </w:rPr>
      </w:pPr>
    </w:p>
    <w:p w:rsidR="0087110F" w:rsidRPr="00D240F3" w:rsidRDefault="00D240F3" w:rsidP="00D240F3">
      <w:pPr>
        <w:spacing w:line="480" w:lineRule="auto"/>
        <w:jc w:val="both"/>
        <w:rPr>
          <w:rFonts w:ascii="Arial" w:hAnsi="Arial" w:cs="Arial"/>
          <w:b/>
        </w:rPr>
      </w:pPr>
      <w:r w:rsidRPr="00D240F3">
        <w:rPr>
          <w:rFonts w:ascii="Arial" w:hAnsi="Arial" w:cs="Arial"/>
          <w:b/>
        </w:rPr>
        <w:t>PARAGRAPH 4.5 OF THE REQUEST FOR FURTHER PARTICULARS</w:t>
      </w:r>
    </w:p>
    <w:p w:rsidR="0087110F" w:rsidRPr="002040FC" w:rsidRDefault="002040FC" w:rsidP="002040FC">
      <w:pPr>
        <w:spacing w:line="480" w:lineRule="auto"/>
        <w:ind w:left="851" w:hanging="851"/>
        <w:jc w:val="both"/>
        <w:rPr>
          <w:rFonts w:ascii="Arial" w:hAnsi="Arial" w:cs="Arial"/>
        </w:rPr>
      </w:pPr>
      <w:r>
        <w:rPr>
          <w:rFonts w:ascii="Arial" w:hAnsi="Arial Unicode MS" w:cs="Arial"/>
        </w:rPr>
        <w:lastRenderedPageBreak/>
        <w:t>[12]</w:t>
      </w:r>
      <w:r>
        <w:rPr>
          <w:rFonts w:ascii="Arial" w:hAnsi="Arial Unicode MS" w:cs="Arial"/>
        </w:rPr>
        <w:tab/>
      </w:r>
      <w:r w:rsidR="00D240F3" w:rsidRPr="002040FC">
        <w:rPr>
          <w:rFonts w:ascii="Arial" w:hAnsi="Arial" w:cs="Arial"/>
        </w:rPr>
        <w:t>This relates to paragraph 8 of the Intendit which states:</w:t>
      </w:r>
    </w:p>
    <w:p w:rsidR="00D240F3" w:rsidRDefault="00D240F3" w:rsidP="00D240F3">
      <w:pPr>
        <w:pStyle w:val="ListParagraph"/>
        <w:spacing w:line="480" w:lineRule="auto"/>
        <w:ind w:left="851"/>
        <w:jc w:val="both"/>
        <w:rPr>
          <w:rFonts w:ascii="Arial" w:hAnsi="Arial" w:cs="Arial"/>
          <w:i/>
        </w:rPr>
      </w:pPr>
      <w:r>
        <w:rPr>
          <w:rFonts w:ascii="Arial" w:hAnsi="Arial" w:cs="Arial"/>
        </w:rPr>
        <w:t>“8.</w:t>
      </w:r>
      <w:r>
        <w:rPr>
          <w:rFonts w:ascii="Arial" w:hAnsi="Arial" w:cs="Arial"/>
        </w:rPr>
        <w:tab/>
      </w:r>
      <w:r w:rsidRPr="000266AD">
        <w:rPr>
          <w:rFonts w:ascii="Arial" w:hAnsi="Arial" w:cs="Arial"/>
          <w:i/>
        </w:rPr>
        <w:t>Khumovest duly complied with its obligations under the Ma</w:t>
      </w:r>
      <w:r w:rsidR="000067AD">
        <w:rPr>
          <w:rFonts w:ascii="Arial" w:hAnsi="Arial" w:cs="Arial"/>
          <w:i/>
        </w:rPr>
        <w:t>n</w:t>
      </w:r>
      <w:r w:rsidRPr="000266AD">
        <w:rPr>
          <w:rFonts w:ascii="Arial" w:hAnsi="Arial" w:cs="Arial"/>
          <w:i/>
        </w:rPr>
        <w:t>date Agreement</w:t>
      </w:r>
      <w:r w:rsidR="000067AD">
        <w:rPr>
          <w:rFonts w:ascii="Arial" w:hAnsi="Arial" w:cs="Arial"/>
          <w:i/>
        </w:rPr>
        <w:t>.</w:t>
      </w:r>
      <w:r w:rsidRPr="000266AD">
        <w:rPr>
          <w:rFonts w:ascii="Arial" w:hAnsi="Arial" w:cs="Arial"/>
          <w:i/>
        </w:rPr>
        <w:t xml:space="preserve"> Annexed hereto and marked “A4” is a table setting out the work performed by Khumovest </w:t>
      </w:r>
      <w:r w:rsidR="000266AD" w:rsidRPr="000266AD">
        <w:rPr>
          <w:rFonts w:ascii="Arial" w:hAnsi="Arial" w:cs="Arial"/>
          <w:i/>
        </w:rPr>
        <w:t>in the discharge of its obligations in terms of the Mandate Agreement.”</w:t>
      </w:r>
    </w:p>
    <w:p w:rsidR="000266AD" w:rsidRPr="00D240F3" w:rsidRDefault="000266AD" w:rsidP="00D240F3">
      <w:pPr>
        <w:pStyle w:val="ListParagraph"/>
        <w:spacing w:line="480" w:lineRule="auto"/>
        <w:ind w:left="851"/>
        <w:jc w:val="both"/>
        <w:rPr>
          <w:rFonts w:ascii="Arial" w:hAnsi="Arial" w:cs="Arial"/>
          <w:b/>
        </w:rPr>
      </w:pPr>
    </w:p>
    <w:p w:rsidR="00F2414E" w:rsidRPr="002040FC" w:rsidRDefault="002040FC" w:rsidP="002040FC">
      <w:pPr>
        <w:spacing w:line="480" w:lineRule="auto"/>
        <w:ind w:left="851" w:hanging="851"/>
        <w:jc w:val="both"/>
        <w:rPr>
          <w:rFonts w:ascii="Arial" w:hAnsi="Arial" w:cs="Arial"/>
        </w:rPr>
      </w:pPr>
      <w:r>
        <w:rPr>
          <w:rFonts w:ascii="Arial" w:hAnsi="Arial Unicode MS" w:cs="Arial"/>
        </w:rPr>
        <w:t>[13]</w:t>
      </w:r>
      <w:r>
        <w:rPr>
          <w:rFonts w:ascii="Arial" w:hAnsi="Arial Unicode MS" w:cs="Arial"/>
        </w:rPr>
        <w:tab/>
      </w:r>
      <w:r w:rsidR="000266AD" w:rsidRPr="002040FC">
        <w:rPr>
          <w:rFonts w:ascii="Arial" w:hAnsi="Arial" w:cs="Arial"/>
        </w:rPr>
        <w:t xml:space="preserve">The </w:t>
      </w:r>
      <w:r w:rsidR="00140359" w:rsidRPr="002040FC">
        <w:rPr>
          <w:rFonts w:ascii="Arial" w:hAnsi="Arial" w:cs="Arial"/>
        </w:rPr>
        <w:t>RFP</w:t>
      </w:r>
      <w:r w:rsidR="000266AD" w:rsidRPr="002040FC">
        <w:rPr>
          <w:rFonts w:ascii="Arial" w:hAnsi="Arial" w:cs="Arial"/>
        </w:rPr>
        <w:t xml:space="preserve"> aims at establishing the precise detail of the plaintiff’s compliance with its obligations </w:t>
      </w:r>
      <w:r w:rsidR="000067AD" w:rsidRPr="002040FC">
        <w:rPr>
          <w:rFonts w:ascii="Arial" w:hAnsi="Arial" w:cs="Arial"/>
        </w:rPr>
        <w:t>as well as</w:t>
      </w:r>
      <w:r w:rsidR="0039574A" w:rsidRPr="002040FC">
        <w:rPr>
          <w:rFonts w:ascii="Arial" w:hAnsi="Arial" w:cs="Arial"/>
        </w:rPr>
        <w:t xml:space="preserve"> the </w:t>
      </w:r>
      <w:r w:rsidR="000266AD" w:rsidRPr="002040FC">
        <w:rPr>
          <w:rFonts w:ascii="Arial" w:hAnsi="Arial" w:cs="Arial"/>
        </w:rPr>
        <w:t>how and when of the alleged compliance.</w:t>
      </w:r>
    </w:p>
    <w:p w:rsidR="0087110F" w:rsidRDefault="000266AD" w:rsidP="00F2414E">
      <w:pPr>
        <w:pStyle w:val="ListParagraph"/>
        <w:spacing w:line="480" w:lineRule="auto"/>
        <w:ind w:left="851"/>
        <w:jc w:val="both"/>
        <w:rPr>
          <w:rFonts w:ascii="Arial" w:hAnsi="Arial" w:cs="Arial"/>
        </w:rPr>
      </w:pPr>
      <w:r>
        <w:rPr>
          <w:rFonts w:ascii="Arial" w:hAnsi="Arial" w:cs="Arial"/>
        </w:rPr>
        <w:t xml:space="preserve"> </w:t>
      </w:r>
    </w:p>
    <w:p w:rsidR="0087110F" w:rsidRPr="002040FC" w:rsidRDefault="002040FC" w:rsidP="002040FC">
      <w:pPr>
        <w:spacing w:line="480" w:lineRule="auto"/>
        <w:ind w:left="851" w:hanging="851"/>
        <w:jc w:val="both"/>
        <w:rPr>
          <w:rFonts w:ascii="Arial" w:hAnsi="Arial" w:cs="Arial"/>
        </w:rPr>
      </w:pPr>
      <w:r>
        <w:rPr>
          <w:rFonts w:ascii="Arial" w:hAnsi="Arial Unicode MS" w:cs="Arial"/>
        </w:rPr>
        <w:t>[14]</w:t>
      </w:r>
      <w:r>
        <w:rPr>
          <w:rFonts w:ascii="Arial" w:hAnsi="Arial Unicode MS" w:cs="Arial"/>
        </w:rPr>
        <w:tab/>
      </w:r>
      <w:r w:rsidR="00F2414E" w:rsidRPr="002040FC">
        <w:rPr>
          <w:rFonts w:ascii="Arial" w:hAnsi="Arial" w:cs="Arial"/>
        </w:rPr>
        <w:t xml:space="preserve">In its answer to the </w:t>
      </w:r>
      <w:r w:rsidR="0039574A" w:rsidRPr="002040FC">
        <w:rPr>
          <w:rFonts w:ascii="Arial" w:hAnsi="Arial" w:cs="Arial"/>
        </w:rPr>
        <w:t>RFP</w:t>
      </w:r>
      <w:r w:rsidR="00F2414E" w:rsidRPr="002040FC">
        <w:rPr>
          <w:rFonts w:ascii="Arial" w:hAnsi="Arial" w:cs="Arial"/>
        </w:rPr>
        <w:t>, the plaintiff alleges that a) it has complied with all of its obligations set out under clause 5 of the Mandate Agreement, b) that Annexure A4 to the Intendit sets out, inter alia</w:t>
      </w:r>
      <w:r w:rsidR="0039574A" w:rsidRPr="002040FC">
        <w:rPr>
          <w:rFonts w:ascii="Arial" w:hAnsi="Arial" w:cs="Arial"/>
        </w:rPr>
        <w:t>,</w:t>
      </w:r>
      <w:r w:rsidR="00F2414E" w:rsidRPr="002040FC">
        <w:rPr>
          <w:rFonts w:ascii="Arial" w:hAnsi="Arial" w:cs="Arial"/>
        </w:rPr>
        <w:t xml:space="preserve"> the work performed by Khumovest i</w:t>
      </w:r>
      <w:r w:rsidR="00C01292" w:rsidRPr="002040FC">
        <w:rPr>
          <w:rFonts w:ascii="Arial" w:hAnsi="Arial" w:cs="Arial"/>
        </w:rPr>
        <w:t>n</w:t>
      </w:r>
      <w:r w:rsidR="00F2414E" w:rsidRPr="002040FC">
        <w:rPr>
          <w:rFonts w:ascii="Arial" w:hAnsi="Arial" w:cs="Arial"/>
        </w:rPr>
        <w:t xml:space="preserve"> discharge of its obligations under the Mandate Agreement </w:t>
      </w:r>
      <w:r w:rsidR="0072114C" w:rsidRPr="002040FC">
        <w:rPr>
          <w:rFonts w:ascii="Arial" w:hAnsi="Arial" w:cs="Arial"/>
        </w:rPr>
        <w:t xml:space="preserve">and </w:t>
      </w:r>
      <w:r w:rsidR="00F2414E" w:rsidRPr="002040FC">
        <w:rPr>
          <w:rFonts w:ascii="Arial" w:hAnsi="Arial" w:cs="Arial"/>
        </w:rPr>
        <w:t>is pleaded with sufficient particularity and c) any further particularity is not strictly necessary to prepare for trial and/or constitutes evidence.</w:t>
      </w:r>
      <w:r w:rsidR="00004495">
        <w:rPr>
          <w:rStyle w:val="FootnoteReference"/>
          <w:rFonts w:ascii="Arial" w:hAnsi="Arial" w:cs="Arial"/>
        </w:rPr>
        <w:footnoteReference w:id="6"/>
      </w:r>
    </w:p>
    <w:p w:rsidR="00F2414E" w:rsidRPr="00F2414E" w:rsidRDefault="00F2414E" w:rsidP="00F2414E">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[15]</w:t>
      </w:r>
      <w:r>
        <w:rPr>
          <w:rFonts w:ascii="Arial" w:hAnsi="Arial Unicode MS" w:cs="Arial"/>
        </w:rPr>
        <w:tab/>
      </w:r>
      <w:r w:rsidR="00F2414E" w:rsidRPr="002040FC">
        <w:rPr>
          <w:rFonts w:ascii="Arial" w:hAnsi="Arial" w:cs="Arial"/>
        </w:rPr>
        <w:t>In its answering affidavit, Khumovest states that Annexure A4 provides Bayport with all the information it has sought as it sets out the work performed</w:t>
      </w:r>
      <w:r w:rsidR="00812C0A" w:rsidRPr="002040FC">
        <w:rPr>
          <w:rFonts w:ascii="Arial" w:hAnsi="Arial" w:cs="Arial"/>
        </w:rPr>
        <w:t xml:space="preserve"> in compliance with its obligations and the dates upon which the work was performed and thus </w:t>
      </w:r>
      <w:r w:rsidR="00812C0A" w:rsidRPr="002040FC">
        <w:rPr>
          <w:rFonts w:ascii="Arial" w:hAnsi="Arial" w:cs="Arial"/>
          <w:i/>
        </w:rPr>
        <w:t>“the case that Bayport has to meet at trial is objectively apparent.”</w:t>
      </w:r>
      <w:r w:rsidR="00812C0A" w:rsidRPr="002040FC">
        <w:rPr>
          <w:rFonts w:ascii="Arial" w:hAnsi="Arial" w:cs="Arial"/>
        </w:rPr>
        <w:t xml:space="preserve"> Khumovest states </w:t>
      </w:r>
      <w:r w:rsidR="00EA1D57" w:rsidRPr="002040FC">
        <w:rPr>
          <w:rFonts w:ascii="Arial" w:hAnsi="Arial" w:cs="Arial"/>
        </w:rPr>
        <w:t>that what Bayport seeks are the minutiae of</w:t>
      </w:r>
      <w:r w:rsidR="00812C0A" w:rsidRPr="002040FC">
        <w:rPr>
          <w:rFonts w:ascii="Arial" w:hAnsi="Arial" w:cs="Arial"/>
        </w:rPr>
        <w:t xml:space="preserve"> details which may be elicited on cross-examination and that any documentary </w:t>
      </w:r>
      <w:r w:rsidR="00812C0A" w:rsidRPr="002040FC">
        <w:rPr>
          <w:rFonts w:ascii="Arial" w:hAnsi="Arial" w:cs="Arial"/>
        </w:rPr>
        <w:lastRenderedPageBreak/>
        <w:t xml:space="preserve">evidence arising from Annexure “A4” </w:t>
      </w:r>
      <w:r w:rsidR="00EA6F48" w:rsidRPr="002040FC">
        <w:rPr>
          <w:rFonts w:ascii="Arial" w:hAnsi="Arial" w:cs="Arial"/>
        </w:rPr>
        <w:t>may be sought</w:t>
      </w:r>
      <w:r w:rsidR="00812C0A" w:rsidRPr="002040FC">
        <w:rPr>
          <w:rFonts w:ascii="Arial" w:hAnsi="Arial" w:cs="Arial"/>
        </w:rPr>
        <w:t xml:space="preserve"> through the use of Rule 35(3). </w:t>
      </w:r>
    </w:p>
    <w:p w:rsidR="0089062C" w:rsidRDefault="0089062C" w:rsidP="0089062C">
      <w:pPr>
        <w:rPr>
          <w:rFonts w:ascii="Arial" w:hAnsi="Arial" w:cs="Arial"/>
        </w:rPr>
      </w:pPr>
    </w:p>
    <w:p w:rsidR="0089062C" w:rsidRPr="0089062C" w:rsidRDefault="0089062C" w:rsidP="0089062C">
      <w:pPr>
        <w:rPr>
          <w:rFonts w:ascii="Arial" w:hAnsi="Arial" w:cs="Arial"/>
          <w:b/>
        </w:rPr>
      </w:pPr>
      <w:r w:rsidRPr="0089062C">
        <w:rPr>
          <w:rFonts w:ascii="Arial" w:hAnsi="Arial" w:cs="Arial"/>
          <w:b/>
        </w:rPr>
        <w:t>ANNEXURE “A4”</w:t>
      </w:r>
    </w:p>
    <w:p w:rsidR="0089062C" w:rsidRPr="0089062C" w:rsidRDefault="0089062C" w:rsidP="0089062C">
      <w:pPr>
        <w:rPr>
          <w:rFonts w:ascii="Arial" w:hAnsi="Arial" w:cs="Arial"/>
        </w:rPr>
      </w:pPr>
    </w:p>
    <w:p w:rsidR="0089062C" w:rsidRPr="002040FC" w:rsidRDefault="002040FC" w:rsidP="002040FC">
      <w:pPr>
        <w:spacing w:line="480" w:lineRule="auto"/>
        <w:ind w:left="851" w:hanging="851"/>
        <w:jc w:val="both"/>
        <w:rPr>
          <w:rFonts w:ascii="Arial" w:hAnsi="Arial" w:cs="Arial"/>
        </w:rPr>
      </w:pPr>
      <w:r>
        <w:rPr>
          <w:rFonts w:ascii="Arial" w:hAnsi="Arial Unicode MS" w:cs="Arial"/>
        </w:rPr>
        <w:t>[16]</w:t>
      </w:r>
      <w:r>
        <w:rPr>
          <w:rFonts w:ascii="Arial" w:hAnsi="Arial Unicode MS" w:cs="Arial"/>
        </w:rPr>
        <w:tab/>
      </w:r>
      <w:r w:rsidR="0089062C" w:rsidRPr="002040FC">
        <w:rPr>
          <w:rFonts w:ascii="Arial" w:hAnsi="Arial" w:cs="Arial"/>
        </w:rPr>
        <w:t xml:space="preserve">Annexure A4 is a table consisting of 3 columns headed </w:t>
      </w:r>
      <w:r w:rsidR="006F5A23" w:rsidRPr="002040FC">
        <w:rPr>
          <w:rFonts w:ascii="Arial" w:hAnsi="Arial" w:cs="Arial"/>
        </w:rPr>
        <w:t>a) “clause as per mandate”, b) “d</w:t>
      </w:r>
      <w:r w:rsidR="0089062C" w:rsidRPr="002040FC">
        <w:rPr>
          <w:rFonts w:ascii="Arial" w:hAnsi="Arial" w:cs="Arial"/>
        </w:rPr>
        <w:t>escription of clause</w:t>
      </w:r>
      <w:r w:rsidR="006F5A23" w:rsidRPr="002040FC">
        <w:rPr>
          <w:rFonts w:ascii="Arial" w:hAnsi="Arial" w:cs="Arial"/>
        </w:rPr>
        <w:t>”</w:t>
      </w:r>
      <w:r w:rsidR="0089062C" w:rsidRPr="002040FC">
        <w:rPr>
          <w:rFonts w:ascii="Arial" w:hAnsi="Arial" w:cs="Arial"/>
        </w:rPr>
        <w:t xml:space="preserve"> and c) “Work performed by Khumovest”. So, for example the first</w:t>
      </w:r>
      <w:r w:rsidR="00F87825" w:rsidRPr="002040FC">
        <w:rPr>
          <w:rFonts w:ascii="Arial" w:hAnsi="Arial" w:cs="Arial"/>
        </w:rPr>
        <w:t xml:space="preserve"> section</w:t>
      </w:r>
      <w:r w:rsidR="0089062C" w:rsidRPr="002040FC">
        <w:rPr>
          <w:rFonts w:ascii="Arial" w:hAnsi="Arial" w:cs="Arial"/>
        </w:rPr>
        <w:t xml:space="preserve"> of the table reads thus:</w:t>
      </w:r>
    </w:p>
    <w:tbl>
      <w:tblPr>
        <w:tblStyle w:val="TableGrid"/>
        <w:tblW w:w="0" w:type="auto"/>
        <w:tblLook w:val="04A0" w:firstRow="1" w:lastRow="0" w:firstColumn="1" w:lastColumn="0" w:noHBand="0" w:noVBand="1"/>
      </w:tblPr>
      <w:tblGrid>
        <w:gridCol w:w="1150"/>
        <w:gridCol w:w="3098"/>
        <w:gridCol w:w="4768"/>
      </w:tblGrid>
      <w:tr w:rsidR="00AF4B87" w:rsidTr="009F076A">
        <w:tc>
          <w:tcPr>
            <w:tcW w:w="1150" w:type="dxa"/>
          </w:tcPr>
          <w:p w:rsidR="00AF4B87" w:rsidRDefault="00DD06BF" w:rsidP="004D6574">
            <w:pPr>
              <w:spacing w:line="276" w:lineRule="auto"/>
              <w:jc w:val="both"/>
              <w:rPr>
                <w:rFonts w:ascii="Arial" w:hAnsi="Arial" w:cs="Arial"/>
              </w:rPr>
            </w:pPr>
            <w:r>
              <w:rPr>
                <w:rFonts w:ascii="Arial" w:hAnsi="Arial" w:cs="Arial"/>
              </w:rPr>
              <w:t xml:space="preserve">Clause as per mandate </w:t>
            </w:r>
          </w:p>
        </w:tc>
        <w:tc>
          <w:tcPr>
            <w:tcW w:w="3098" w:type="dxa"/>
          </w:tcPr>
          <w:p w:rsidR="00AF4B87" w:rsidRDefault="00DD06BF" w:rsidP="004D6574">
            <w:pPr>
              <w:spacing w:line="276" w:lineRule="auto"/>
              <w:jc w:val="both"/>
              <w:rPr>
                <w:rFonts w:ascii="Arial" w:hAnsi="Arial" w:cs="Arial"/>
              </w:rPr>
            </w:pPr>
            <w:r>
              <w:rPr>
                <w:rFonts w:ascii="Arial" w:hAnsi="Arial" w:cs="Arial"/>
              </w:rPr>
              <w:t>Description of Clause</w:t>
            </w:r>
          </w:p>
        </w:tc>
        <w:tc>
          <w:tcPr>
            <w:tcW w:w="4768" w:type="dxa"/>
          </w:tcPr>
          <w:p w:rsidR="00AF4B87" w:rsidRDefault="00DD06BF" w:rsidP="004D6574">
            <w:pPr>
              <w:jc w:val="both"/>
              <w:rPr>
                <w:rFonts w:ascii="Arial" w:hAnsi="Arial" w:cs="Arial"/>
              </w:rPr>
            </w:pPr>
            <w:r>
              <w:rPr>
                <w:rFonts w:ascii="Arial" w:hAnsi="Arial" w:cs="Arial"/>
              </w:rPr>
              <w:t>Work performed by plaintiff</w:t>
            </w:r>
          </w:p>
        </w:tc>
      </w:tr>
      <w:tr w:rsidR="00AF4B87" w:rsidTr="009F076A">
        <w:tc>
          <w:tcPr>
            <w:tcW w:w="1150" w:type="dxa"/>
          </w:tcPr>
          <w:p w:rsidR="00AF4B87" w:rsidRDefault="00DD06BF" w:rsidP="00DA6991">
            <w:pPr>
              <w:jc w:val="both"/>
              <w:rPr>
                <w:rFonts w:ascii="Arial" w:hAnsi="Arial" w:cs="Arial"/>
              </w:rPr>
            </w:pPr>
            <w:r>
              <w:rPr>
                <w:rFonts w:ascii="Arial" w:hAnsi="Arial" w:cs="Arial"/>
              </w:rPr>
              <w:t>5.1</w:t>
            </w:r>
            <w:r>
              <w:rPr>
                <w:rStyle w:val="FootnoteReference"/>
                <w:rFonts w:ascii="Arial" w:hAnsi="Arial" w:cs="Arial"/>
              </w:rPr>
              <w:footnoteReference w:id="7"/>
            </w:r>
          </w:p>
        </w:tc>
        <w:tc>
          <w:tcPr>
            <w:tcW w:w="3098" w:type="dxa"/>
          </w:tcPr>
          <w:p w:rsidR="00AF4B87" w:rsidRDefault="00DD06BF" w:rsidP="00DA6991">
            <w:pPr>
              <w:jc w:val="both"/>
              <w:rPr>
                <w:rFonts w:ascii="Arial" w:hAnsi="Arial" w:cs="Arial"/>
              </w:rPr>
            </w:pPr>
            <w:r>
              <w:rPr>
                <w:rFonts w:ascii="Arial" w:hAnsi="Arial" w:cs="Arial"/>
              </w:rPr>
              <w:t xml:space="preserve">Assistance in preparation of presentations on behalf of Bayport to SARB </w:t>
            </w:r>
          </w:p>
        </w:tc>
        <w:tc>
          <w:tcPr>
            <w:tcW w:w="4768" w:type="dxa"/>
          </w:tcPr>
          <w:p w:rsidR="00AF4B87" w:rsidRPr="00B0356C" w:rsidRDefault="00B0356C" w:rsidP="00DA6991">
            <w:pPr>
              <w:jc w:val="both"/>
              <w:rPr>
                <w:rFonts w:ascii="Arial" w:hAnsi="Arial" w:cs="Arial"/>
              </w:rPr>
            </w:pPr>
            <w:r w:rsidRPr="00B0356C">
              <w:rPr>
                <w:rFonts w:ascii="Arial" w:hAnsi="Arial" w:cs="Arial"/>
                <w:u w:val="single"/>
              </w:rPr>
              <w:t>Documents generated</w:t>
            </w:r>
          </w:p>
          <w:p w:rsidR="00B0356C" w:rsidRPr="002040FC" w:rsidRDefault="002040FC" w:rsidP="002040FC">
            <w:pPr>
              <w:ind w:left="360" w:hanging="360"/>
              <w:jc w:val="both"/>
              <w:rPr>
                <w:rFonts w:ascii="Arial" w:hAnsi="Arial" w:cs="Arial"/>
                <w:u w:val="single"/>
              </w:rPr>
            </w:pPr>
            <w:r w:rsidRPr="00B0356C">
              <w:rPr>
                <w:rFonts w:ascii="Symbol" w:hAnsi="Symbol" w:cs="Arial"/>
              </w:rPr>
              <w:t></w:t>
            </w:r>
            <w:r w:rsidRPr="00B0356C">
              <w:rPr>
                <w:rFonts w:ascii="Symbol" w:hAnsi="Symbol" w:cs="Arial"/>
              </w:rPr>
              <w:tab/>
            </w:r>
            <w:r w:rsidR="00B0356C" w:rsidRPr="002040FC">
              <w:rPr>
                <w:rFonts w:ascii="Arial" w:hAnsi="Arial" w:cs="Arial"/>
              </w:rPr>
              <w:t>Project Blaze: Presentation to the South African Reserve Bank (May 2016)</w:t>
            </w:r>
          </w:p>
          <w:p w:rsidR="00B0356C" w:rsidRPr="002040FC" w:rsidRDefault="002040FC" w:rsidP="002040FC">
            <w:pPr>
              <w:ind w:left="360" w:hanging="360"/>
              <w:jc w:val="both"/>
              <w:rPr>
                <w:rFonts w:ascii="Arial" w:hAnsi="Arial" w:cs="Arial"/>
                <w:u w:val="single"/>
              </w:rPr>
            </w:pPr>
            <w:r w:rsidRPr="00B0356C">
              <w:rPr>
                <w:rFonts w:ascii="Symbol" w:hAnsi="Symbol" w:cs="Arial"/>
              </w:rPr>
              <w:t></w:t>
            </w:r>
            <w:r w:rsidRPr="00B0356C">
              <w:rPr>
                <w:rFonts w:ascii="Symbol" w:hAnsi="Symbol" w:cs="Arial"/>
              </w:rPr>
              <w:tab/>
            </w:r>
            <w:r w:rsidR="00B0356C" w:rsidRPr="002040FC">
              <w:rPr>
                <w:rFonts w:ascii="Arial" w:hAnsi="Arial" w:cs="Arial"/>
              </w:rPr>
              <w:t>Project Blaze: Presentation to the South African Reserve Bank (June 2016)</w:t>
            </w:r>
          </w:p>
          <w:p w:rsidR="00B0356C"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B0356C" w:rsidRPr="002040FC">
              <w:rPr>
                <w:rFonts w:ascii="Arial" w:hAnsi="Arial" w:cs="Arial"/>
              </w:rPr>
              <w:t>Project Blaze: Meeting with South African Reserve Bank (Preparatory questions)</w:t>
            </w:r>
          </w:p>
          <w:p w:rsidR="00B0356C"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B0356C" w:rsidRPr="002040FC">
              <w:rPr>
                <w:rFonts w:ascii="Arial" w:hAnsi="Arial" w:cs="Arial"/>
              </w:rPr>
              <w:t>Project Phoenix: Presentation to the South African Reserve Bank (May 2016)</w:t>
            </w:r>
          </w:p>
          <w:p w:rsidR="00DA6991" w:rsidRDefault="00DA6991" w:rsidP="00DA6991">
            <w:pPr>
              <w:pStyle w:val="ListParagraph"/>
              <w:ind w:left="360"/>
              <w:jc w:val="both"/>
              <w:rPr>
                <w:rFonts w:ascii="Arial" w:hAnsi="Arial" w:cs="Arial"/>
              </w:rPr>
            </w:pPr>
          </w:p>
          <w:p w:rsidR="00B0356C" w:rsidRPr="00CE3A6D" w:rsidRDefault="00B0356C" w:rsidP="00DA6991">
            <w:pPr>
              <w:jc w:val="both"/>
              <w:rPr>
                <w:rFonts w:ascii="Arial" w:hAnsi="Arial" w:cs="Arial"/>
                <w:u w:val="single"/>
              </w:rPr>
            </w:pPr>
            <w:r w:rsidRPr="00CE3A6D">
              <w:rPr>
                <w:rFonts w:ascii="Arial" w:hAnsi="Arial" w:cs="Arial"/>
                <w:u w:val="single"/>
              </w:rPr>
              <w:t>Meetings attended</w:t>
            </w:r>
          </w:p>
          <w:p w:rsidR="00B0356C" w:rsidRDefault="00CE3A6D" w:rsidP="00DA6991">
            <w:pPr>
              <w:jc w:val="both"/>
              <w:rPr>
                <w:rFonts w:ascii="Arial" w:hAnsi="Arial" w:cs="Arial"/>
              </w:rPr>
            </w:pPr>
            <w:r>
              <w:rPr>
                <w:rFonts w:ascii="Arial" w:hAnsi="Arial" w:cs="Arial"/>
              </w:rPr>
              <w:t>13 May 2016</w:t>
            </w:r>
          </w:p>
          <w:p w:rsidR="00CE3A6D" w:rsidRDefault="00CE3A6D" w:rsidP="00DA6991">
            <w:pPr>
              <w:jc w:val="both"/>
              <w:rPr>
                <w:rFonts w:ascii="Arial" w:hAnsi="Arial" w:cs="Arial"/>
              </w:rPr>
            </w:pPr>
            <w:r>
              <w:rPr>
                <w:rFonts w:ascii="Arial" w:hAnsi="Arial" w:cs="Arial"/>
              </w:rPr>
              <w:t>15 May 2016</w:t>
            </w:r>
          </w:p>
          <w:p w:rsidR="00CE3A6D" w:rsidRDefault="00CE3A6D" w:rsidP="00DA6991">
            <w:pPr>
              <w:jc w:val="both"/>
              <w:rPr>
                <w:rFonts w:ascii="Arial" w:hAnsi="Arial" w:cs="Arial"/>
              </w:rPr>
            </w:pPr>
            <w:r>
              <w:rPr>
                <w:rFonts w:ascii="Arial" w:hAnsi="Arial" w:cs="Arial"/>
              </w:rPr>
              <w:t>19 May 2016</w:t>
            </w:r>
          </w:p>
          <w:p w:rsidR="00CE3A6D" w:rsidRDefault="00CE3A6D" w:rsidP="00DA6991">
            <w:pPr>
              <w:jc w:val="both"/>
              <w:rPr>
                <w:rFonts w:ascii="Arial" w:hAnsi="Arial" w:cs="Arial"/>
              </w:rPr>
            </w:pPr>
            <w:r>
              <w:rPr>
                <w:rFonts w:ascii="Arial" w:hAnsi="Arial" w:cs="Arial"/>
              </w:rPr>
              <w:t>20 May 2016</w:t>
            </w:r>
          </w:p>
          <w:p w:rsidR="00CE3A6D" w:rsidRDefault="00CE3A6D" w:rsidP="00DA6991">
            <w:pPr>
              <w:jc w:val="both"/>
              <w:rPr>
                <w:rFonts w:ascii="Arial" w:hAnsi="Arial" w:cs="Arial"/>
              </w:rPr>
            </w:pPr>
            <w:r>
              <w:rPr>
                <w:rFonts w:ascii="Arial" w:hAnsi="Arial" w:cs="Arial"/>
              </w:rPr>
              <w:t>24 May 2016</w:t>
            </w:r>
          </w:p>
          <w:p w:rsidR="00CE3A6D" w:rsidRPr="00B0356C" w:rsidRDefault="00CE3A6D" w:rsidP="00DA6991">
            <w:pPr>
              <w:jc w:val="both"/>
              <w:rPr>
                <w:rFonts w:ascii="Arial" w:hAnsi="Arial" w:cs="Arial"/>
              </w:rPr>
            </w:pPr>
            <w:r>
              <w:rPr>
                <w:rFonts w:ascii="Arial" w:hAnsi="Arial" w:cs="Arial"/>
              </w:rPr>
              <w:t>27 May 2016</w:t>
            </w:r>
          </w:p>
        </w:tc>
      </w:tr>
    </w:tbl>
    <w:p w:rsidR="0089062C" w:rsidRPr="0089062C" w:rsidRDefault="0089062C" w:rsidP="0089062C">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[17]</w:t>
      </w:r>
      <w:r>
        <w:rPr>
          <w:rFonts w:ascii="Arial" w:hAnsi="Arial Unicode MS" w:cs="Arial"/>
        </w:rPr>
        <w:tab/>
      </w:r>
      <w:r w:rsidR="00566661" w:rsidRPr="002040FC">
        <w:rPr>
          <w:rFonts w:ascii="Arial" w:hAnsi="Arial" w:cs="Arial"/>
        </w:rPr>
        <w:t xml:space="preserve">But paragraph 5 of the Mandate Agreement asks for </w:t>
      </w:r>
      <w:r w:rsidR="009A7767" w:rsidRPr="002040FC">
        <w:rPr>
          <w:rFonts w:ascii="Arial" w:hAnsi="Arial" w:cs="Arial"/>
        </w:rPr>
        <w:t>m</w:t>
      </w:r>
      <w:r w:rsidR="00566661" w:rsidRPr="002040FC">
        <w:rPr>
          <w:rFonts w:ascii="Arial" w:hAnsi="Arial" w:cs="Arial"/>
        </w:rPr>
        <w:t>ore than just “presentations” – it requires</w:t>
      </w:r>
      <w:r w:rsidR="004E2D86" w:rsidRPr="002040FC">
        <w:rPr>
          <w:rFonts w:ascii="Arial" w:hAnsi="Arial" w:cs="Arial"/>
        </w:rPr>
        <w:t>, for example:</w:t>
      </w:r>
    </w:p>
    <w:p w:rsidR="00566661" w:rsidRPr="00DC05AF" w:rsidRDefault="00566661" w:rsidP="00566661">
      <w:pPr>
        <w:pStyle w:val="ListParagraph"/>
        <w:spacing w:line="480" w:lineRule="auto"/>
        <w:ind w:left="851"/>
        <w:jc w:val="both"/>
        <w:rPr>
          <w:rFonts w:ascii="Arial" w:hAnsi="Arial" w:cs="Arial"/>
          <w:i/>
        </w:rPr>
      </w:pPr>
      <w:r w:rsidRPr="00DC05AF">
        <w:rPr>
          <w:rFonts w:ascii="Arial" w:hAnsi="Arial" w:cs="Arial"/>
          <w:i/>
        </w:rPr>
        <w:t>“5. Based on the service requirements set out above, Khumovest hereby undertakes to pr</w:t>
      </w:r>
      <w:r w:rsidR="009A7767" w:rsidRPr="00DC05AF">
        <w:rPr>
          <w:rFonts w:ascii="Arial" w:hAnsi="Arial" w:cs="Arial"/>
          <w:i/>
        </w:rPr>
        <w:t>ovide the Services set out belo</w:t>
      </w:r>
      <w:r w:rsidRPr="00DC05AF">
        <w:rPr>
          <w:rFonts w:ascii="Arial" w:hAnsi="Arial" w:cs="Arial"/>
          <w:i/>
        </w:rPr>
        <w:t>w to Bayport in relation to Project Blaze:</w:t>
      </w:r>
    </w:p>
    <w:p w:rsidR="00566661" w:rsidRPr="00DC05AF" w:rsidRDefault="00566661" w:rsidP="00566661">
      <w:pPr>
        <w:pStyle w:val="ListParagraph"/>
        <w:spacing w:line="480" w:lineRule="auto"/>
        <w:ind w:left="851"/>
        <w:jc w:val="both"/>
        <w:rPr>
          <w:rFonts w:ascii="Arial" w:hAnsi="Arial" w:cs="Arial"/>
          <w:i/>
        </w:rPr>
      </w:pPr>
      <w:r w:rsidRPr="00DC05AF">
        <w:rPr>
          <w:rFonts w:ascii="Arial" w:hAnsi="Arial" w:cs="Arial"/>
          <w:i/>
        </w:rPr>
        <w:lastRenderedPageBreak/>
        <w:t>5.1</w:t>
      </w:r>
      <w:r w:rsidRPr="00DC05AF">
        <w:rPr>
          <w:rFonts w:ascii="Arial" w:hAnsi="Arial" w:cs="Arial"/>
          <w:i/>
        </w:rPr>
        <w:tab/>
        <w:t>assistance with the preparation of presentations on behalf of Bayport to SARB which shall, inter alia:</w:t>
      </w:r>
    </w:p>
    <w:p w:rsidR="00566661" w:rsidRPr="00DC05AF" w:rsidRDefault="00566661" w:rsidP="00566661">
      <w:pPr>
        <w:pStyle w:val="ListParagraph"/>
        <w:spacing w:line="480" w:lineRule="auto"/>
        <w:ind w:left="851"/>
        <w:jc w:val="both"/>
        <w:rPr>
          <w:rFonts w:ascii="Arial" w:hAnsi="Arial" w:cs="Arial"/>
          <w:i/>
        </w:rPr>
      </w:pPr>
      <w:r w:rsidRPr="00DC05AF">
        <w:rPr>
          <w:rFonts w:ascii="Arial" w:hAnsi="Arial" w:cs="Arial"/>
          <w:i/>
        </w:rPr>
        <w:t>5.1.1</w:t>
      </w:r>
      <w:r w:rsidRPr="00DC05AF">
        <w:rPr>
          <w:rFonts w:ascii="Arial" w:hAnsi="Arial" w:cs="Arial"/>
          <w:i/>
        </w:rPr>
        <w:tab/>
        <w:t>profile Bayport and BFSSA;</w:t>
      </w:r>
    </w:p>
    <w:p w:rsidR="00566661" w:rsidRPr="00DC05AF" w:rsidRDefault="00566661" w:rsidP="00566661">
      <w:pPr>
        <w:pStyle w:val="ListParagraph"/>
        <w:spacing w:line="480" w:lineRule="auto"/>
        <w:ind w:left="851"/>
        <w:jc w:val="both"/>
        <w:rPr>
          <w:rFonts w:ascii="Arial" w:hAnsi="Arial" w:cs="Arial"/>
          <w:i/>
        </w:rPr>
      </w:pPr>
      <w:r w:rsidRPr="00DC05AF">
        <w:rPr>
          <w:rFonts w:ascii="Arial" w:hAnsi="Arial" w:cs="Arial"/>
          <w:i/>
        </w:rPr>
        <w:t>5.1.2</w:t>
      </w:r>
      <w:r w:rsidRPr="00DC05AF">
        <w:rPr>
          <w:rFonts w:ascii="Arial" w:hAnsi="Arial" w:cs="Arial"/>
          <w:i/>
        </w:rPr>
        <w:tab/>
        <w:t>provide the motivation as to the value proposition for SARB to consider Project Blaze;</w:t>
      </w:r>
    </w:p>
    <w:p w:rsidR="00566661" w:rsidRPr="00DC05AF" w:rsidRDefault="00566661" w:rsidP="00566661">
      <w:pPr>
        <w:pStyle w:val="ListParagraph"/>
        <w:spacing w:line="480" w:lineRule="auto"/>
        <w:ind w:left="851"/>
        <w:jc w:val="both"/>
        <w:rPr>
          <w:rFonts w:ascii="Arial" w:hAnsi="Arial" w:cs="Arial"/>
          <w:i/>
        </w:rPr>
      </w:pPr>
      <w:r w:rsidRPr="00DC05AF">
        <w:rPr>
          <w:rFonts w:ascii="Arial" w:hAnsi="Arial" w:cs="Arial"/>
          <w:i/>
        </w:rPr>
        <w:t>5.1.3</w:t>
      </w:r>
      <w:r w:rsidRPr="00DC05AF">
        <w:rPr>
          <w:rFonts w:ascii="Arial" w:hAnsi="Arial" w:cs="Arial"/>
          <w:i/>
        </w:rPr>
        <w:tab/>
        <w:t xml:space="preserve">motivate as to why BFSSA is the best technical partner to manage ABHL; and </w:t>
      </w:r>
    </w:p>
    <w:p w:rsidR="00566661" w:rsidRPr="00DC05AF" w:rsidRDefault="00566661" w:rsidP="00566661">
      <w:pPr>
        <w:pStyle w:val="ListParagraph"/>
        <w:spacing w:line="480" w:lineRule="auto"/>
        <w:ind w:left="851"/>
        <w:jc w:val="both"/>
        <w:rPr>
          <w:rFonts w:ascii="Arial" w:hAnsi="Arial" w:cs="Arial"/>
          <w:i/>
        </w:rPr>
      </w:pPr>
      <w:r w:rsidRPr="00DC05AF">
        <w:rPr>
          <w:rFonts w:ascii="Arial" w:hAnsi="Arial" w:cs="Arial"/>
          <w:i/>
        </w:rPr>
        <w:t>5.1.4</w:t>
      </w:r>
      <w:r w:rsidRPr="00DC05AF">
        <w:rPr>
          <w:rFonts w:ascii="Arial" w:hAnsi="Arial" w:cs="Arial"/>
          <w:i/>
        </w:rPr>
        <w:tab/>
        <w:t>provide the motivation to SARB as to why the partnership of BFSSA and PIC is the best solution for ABIL, the South African banking system and the consumer;</w:t>
      </w:r>
    </w:p>
    <w:p w:rsidR="00566661" w:rsidRPr="00DC05AF" w:rsidRDefault="00566661" w:rsidP="00566661">
      <w:pPr>
        <w:pStyle w:val="ListParagraph"/>
        <w:spacing w:line="480" w:lineRule="auto"/>
        <w:ind w:left="851"/>
        <w:jc w:val="both"/>
        <w:rPr>
          <w:rFonts w:ascii="Arial" w:hAnsi="Arial" w:cs="Arial"/>
          <w:i/>
        </w:rPr>
      </w:pPr>
      <w:r w:rsidRPr="00DC05AF">
        <w:rPr>
          <w:rFonts w:ascii="Arial" w:hAnsi="Arial" w:cs="Arial"/>
          <w:i/>
        </w:rPr>
        <w:t>5.1.5</w:t>
      </w:r>
      <w:r w:rsidRPr="00DC05AF">
        <w:rPr>
          <w:rFonts w:ascii="Arial" w:hAnsi="Arial" w:cs="Arial"/>
          <w:i/>
        </w:rPr>
        <w:tab/>
        <w:t>in respect of the New BBBEE Transaction</w:t>
      </w:r>
      <w:r w:rsidR="00F0473B" w:rsidRPr="00DC05AF">
        <w:rPr>
          <w:rFonts w:ascii="Arial" w:hAnsi="Arial" w:cs="Arial"/>
          <w:i/>
        </w:rPr>
        <w:t>, provide the relevant additional details required therefor;</w:t>
      </w:r>
    </w:p>
    <w:p w:rsidR="00F0473B" w:rsidRPr="00DC05AF" w:rsidRDefault="00F0473B" w:rsidP="00566661">
      <w:pPr>
        <w:pStyle w:val="ListParagraph"/>
        <w:spacing w:line="480" w:lineRule="auto"/>
        <w:ind w:left="851"/>
        <w:jc w:val="both"/>
        <w:rPr>
          <w:rFonts w:ascii="Arial" w:hAnsi="Arial" w:cs="Arial"/>
          <w:i/>
        </w:rPr>
      </w:pPr>
      <w:r w:rsidRPr="00DC05AF">
        <w:rPr>
          <w:rFonts w:ascii="Arial" w:hAnsi="Arial" w:cs="Arial"/>
          <w:i/>
        </w:rPr>
        <w:t>5.2</w:t>
      </w:r>
      <w:r w:rsidRPr="00DC05AF">
        <w:rPr>
          <w:rFonts w:ascii="Arial" w:hAnsi="Arial" w:cs="Arial"/>
          <w:i/>
        </w:rPr>
        <w:tab/>
        <w:t>assistance with the preparation of presentations on behalf of Bayport to Telkom which shall, inter alia:</w:t>
      </w:r>
    </w:p>
    <w:p w:rsidR="00F0473B" w:rsidRPr="00DC05AF" w:rsidRDefault="00F0473B" w:rsidP="00566661">
      <w:pPr>
        <w:pStyle w:val="ListParagraph"/>
        <w:spacing w:line="480" w:lineRule="auto"/>
        <w:ind w:left="851"/>
        <w:jc w:val="both"/>
        <w:rPr>
          <w:rFonts w:ascii="Arial" w:hAnsi="Arial" w:cs="Arial"/>
          <w:i/>
        </w:rPr>
      </w:pPr>
      <w:r w:rsidRPr="00DC05AF">
        <w:rPr>
          <w:rFonts w:ascii="Arial" w:hAnsi="Arial" w:cs="Arial"/>
          <w:i/>
        </w:rPr>
        <w:t>5.2.1</w:t>
      </w:r>
      <w:r w:rsidRPr="00DC05AF">
        <w:rPr>
          <w:rFonts w:ascii="Arial" w:hAnsi="Arial" w:cs="Arial"/>
          <w:i/>
        </w:rPr>
        <w:tab/>
        <w:t>profile Bayport and BFSSA; and</w:t>
      </w:r>
    </w:p>
    <w:p w:rsidR="00F0473B" w:rsidRPr="00DC05AF" w:rsidRDefault="00F0473B" w:rsidP="00566661">
      <w:pPr>
        <w:pStyle w:val="ListParagraph"/>
        <w:spacing w:line="480" w:lineRule="auto"/>
        <w:ind w:left="851"/>
        <w:jc w:val="both"/>
        <w:rPr>
          <w:rFonts w:ascii="Arial" w:hAnsi="Arial" w:cs="Arial"/>
          <w:i/>
        </w:rPr>
      </w:pPr>
      <w:r w:rsidRPr="00DC05AF">
        <w:rPr>
          <w:rFonts w:ascii="Arial" w:hAnsi="Arial" w:cs="Arial"/>
          <w:i/>
        </w:rPr>
        <w:t>5.2.2</w:t>
      </w:r>
      <w:r w:rsidRPr="00DC05AF">
        <w:rPr>
          <w:rFonts w:ascii="Arial" w:hAnsi="Arial" w:cs="Arial"/>
          <w:i/>
        </w:rPr>
        <w:tab/>
        <w:t>provide the motivation as to the value proposition for Telkom to consider Project Blaze;</w:t>
      </w:r>
    </w:p>
    <w:p w:rsidR="00F0473B" w:rsidRPr="00DC05AF" w:rsidRDefault="00F0473B" w:rsidP="00566661">
      <w:pPr>
        <w:pStyle w:val="ListParagraph"/>
        <w:spacing w:line="480" w:lineRule="auto"/>
        <w:ind w:left="851"/>
        <w:jc w:val="both"/>
        <w:rPr>
          <w:rFonts w:ascii="Arial" w:hAnsi="Arial" w:cs="Arial"/>
          <w:i/>
        </w:rPr>
      </w:pPr>
      <w:r w:rsidRPr="00DC05AF">
        <w:rPr>
          <w:rFonts w:ascii="Arial" w:hAnsi="Arial" w:cs="Arial"/>
          <w:i/>
        </w:rPr>
        <w:t>5.3</w:t>
      </w:r>
      <w:r w:rsidRPr="00DC05AF">
        <w:rPr>
          <w:rFonts w:ascii="Arial" w:hAnsi="Arial" w:cs="Arial"/>
          <w:i/>
        </w:rPr>
        <w:tab/>
        <w:t>examine the internal valuation models in respect of:</w:t>
      </w:r>
    </w:p>
    <w:p w:rsidR="00F0473B" w:rsidRPr="002873FA" w:rsidRDefault="00F0473B" w:rsidP="00566661">
      <w:pPr>
        <w:pStyle w:val="ListParagraph"/>
        <w:spacing w:line="480" w:lineRule="auto"/>
        <w:ind w:left="851"/>
        <w:jc w:val="both"/>
        <w:rPr>
          <w:rFonts w:ascii="Arial" w:hAnsi="Arial" w:cs="Arial"/>
          <w:i/>
        </w:rPr>
      </w:pPr>
      <w:r w:rsidRPr="002873FA">
        <w:rPr>
          <w:rFonts w:ascii="Arial" w:hAnsi="Arial" w:cs="Arial"/>
          <w:i/>
        </w:rPr>
        <w:t>5.3.1</w:t>
      </w:r>
      <w:r w:rsidRPr="002873FA">
        <w:rPr>
          <w:rFonts w:ascii="Arial" w:hAnsi="Arial" w:cs="Arial"/>
          <w:i/>
        </w:rPr>
        <w:tab/>
        <w:t>Bayport; and</w:t>
      </w:r>
    </w:p>
    <w:p w:rsidR="00F0473B" w:rsidRPr="002873FA" w:rsidRDefault="00F0473B" w:rsidP="00566661">
      <w:pPr>
        <w:pStyle w:val="ListParagraph"/>
        <w:spacing w:line="480" w:lineRule="auto"/>
        <w:ind w:left="851"/>
        <w:jc w:val="both"/>
        <w:rPr>
          <w:rFonts w:ascii="Arial" w:hAnsi="Arial" w:cs="Arial"/>
          <w:i/>
        </w:rPr>
      </w:pPr>
      <w:r w:rsidRPr="002873FA">
        <w:rPr>
          <w:rFonts w:ascii="Arial" w:hAnsi="Arial" w:cs="Arial"/>
          <w:i/>
        </w:rPr>
        <w:t>5.3.2</w:t>
      </w:r>
      <w:r w:rsidRPr="002873FA">
        <w:rPr>
          <w:rFonts w:ascii="Arial" w:hAnsi="Arial" w:cs="Arial"/>
          <w:i/>
        </w:rPr>
        <w:tab/>
        <w:t>BFSSA,</w:t>
      </w:r>
    </w:p>
    <w:p w:rsidR="00F0473B" w:rsidRPr="002873FA" w:rsidRDefault="00F0473B" w:rsidP="00566661">
      <w:pPr>
        <w:pStyle w:val="ListParagraph"/>
        <w:spacing w:line="480" w:lineRule="auto"/>
        <w:ind w:left="851"/>
        <w:jc w:val="both"/>
        <w:rPr>
          <w:rFonts w:ascii="Arial" w:hAnsi="Arial" w:cs="Arial"/>
          <w:i/>
        </w:rPr>
      </w:pPr>
      <w:r w:rsidRPr="002873FA">
        <w:rPr>
          <w:rFonts w:ascii="Arial" w:hAnsi="Arial" w:cs="Arial"/>
          <w:i/>
        </w:rPr>
        <w:t>And test the reasonableness of the assumptions set out therein;</w:t>
      </w:r>
    </w:p>
    <w:p w:rsidR="00F0473B" w:rsidRPr="002873FA" w:rsidRDefault="00F0473B" w:rsidP="00566661">
      <w:pPr>
        <w:pStyle w:val="ListParagraph"/>
        <w:spacing w:line="480" w:lineRule="auto"/>
        <w:ind w:left="851"/>
        <w:jc w:val="both"/>
        <w:rPr>
          <w:rFonts w:ascii="Arial" w:hAnsi="Arial" w:cs="Arial"/>
          <w:i/>
        </w:rPr>
      </w:pPr>
      <w:r w:rsidRPr="002873FA">
        <w:rPr>
          <w:rFonts w:ascii="Arial" w:hAnsi="Arial" w:cs="Arial"/>
          <w:i/>
        </w:rPr>
        <w:t>5.4</w:t>
      </w:r>
      <w:r w:rsidRPr="002873FA">
        <w:rPr>
          <w:rFonts w:ascii="Arial" w:hAnsi="Arial" w:cs="Arial"/>
          <w:i/>
        </w:rPr>
        <w:tab/>
        <w:t>advise Bayport as to the optimal structure of Project Blaze, including, without limitation:</w:t>
      </w:r>
    </w:p>
    <w:p w:rsidR="00F0473B" w:rsidRPr="002873FA" w:rsidRDefault="00F0473B" w:rsidP="00566661">
      <w:pPr>
        <w:pStyle w:val="ListParagraph"/>
        <w:spacing w:line="480" w:lineRule="auto"/>
        <w:ind w:left="851"/>
        <w:jc w:val="both"/>
        <w:rPr>
          <w:rFonts w:ascii="Arial" w:hAnsi="Arial" w:cs="Arial"/>
          <w:i/>
        </w:rPr>
      </w:pPr>
      <w:r w:rsidRPr="002873FA">
        <w:rPr>
          <w:rFonts w:ascii="Arial" w:hAnsi="Arial" w:cs="Arial"/>
          <w:i/>
        </w:rPr>
        <w:t>5.4.1</w:t>
      </w:r>
      <w:r w:rsidRPr="002873FA">
        <w:rPr>
          <w:rFonts w:ascii="Arial" w:hAnsi="Arial" w:cs="Arial"/>
          <w:i/>
        </w:rPr>
        <w:tab/>
        <w:t>advise Bayport on the optimal structure and an appropriate subscription price for the shares in Bayport by the BBBEE investor;</w:t>
      </w:r>
    </w:p>
    <w:p w:rsidR="0087110F" w:rsidRPr="002873FA" w:rsidRDefault="00F0473B" w:rsidP="00F0473B">
      <w:pPr>
        <w:pStyle w:val="ListParagraph"/>
        <w:spacing w:line="480" w:lineRule="auto"/>
        <w:ind w:left="851"/>
        <w:jc w:val="both"/>
        <w:rPr>
          <w:rFonts w:ascii="Arial" w:hAnsi="Arial" w:cs="Arial"/>
          <w:i/>
        </w:rPr>
      </w:pPr>
      <w:r w:rsidRPr="002873FA">
        <w:rPr>
          <w:rFonts w:ascii="Arial" w:hAnsi="Arial" w:cs="Arial"/>
          <w:i/>
        </w:rPr>
        <w:lastRenderedPageBreak/>
        <w:t>5.4.2</w:t>
      </w:r>
      <w:r w:rsidRPr="002873FA">
        <w:rPr>
          <w:rFonts w:ascii="Arial" w:hAnsi="Arial" w:cs="Arial"/>
          <w:i/>
        </w:rPr>
        <w:tab/>
        <w:t>advise Bayport on the optimal structure and an appropriate subscription price for the shares in Bayport by the BBBEE investor;</w:t>
      </w:r>
    </w:p>
    <w:p w:rsidR="003E0D84" w:rsidRPr="002873FA" w:rsidRDefault="003E0D84" w:rsidP="00F0473B">
      <w:pPr>
        <w:pStyle w:val="ListParagraph"/>
        <w:spacing w:line="480" w:lineRule="auto"/>
        <w:ind w:left="851"/>
        <w:jc w:val="both"/>
        <w:rPr>
          <w:rFonts w:ascii="Arial" w:hAnsi="Arial" w:cs="Arial"/>
          <w:i/>
        </w:rPr>
      </w:pPr>
      <w:r w:rsidRPr="002873FA">
        <w:rPr>
          <w:rFonts w:ascii="Arial" w:hAnsi="Arial" w:cs="Arial"/>
          <w:i/>
        </w:rPr>
        <w:t>5.4.3</w:t>
      </w:r>
      <w:r w:rsidRPr="002873FA">
        <w:rPr>
          <w:rFonts w:ascii="Arial" w:hAnsi="Arial" w:cs="Arial"/>
          <w:i/>
        </w:rPr>
        <w:tab/>
        <w:t>advise Bayport and BFSSA on the stru</w:t>
      </w:r>
      <w:r w:rsidR="009A7767" w:rsidRPr="002873FA">
        <w:rPr>
          <w:rFonts w:ascii="Arial" w:hAnsi="Arial" w:cs="Arial"/>
          <w:i/>
        </w:rPr>
        <w:t>ct</w:t>
      </w:r>
      <w:r w:rsidRPr="002873FA">
        <w:rPr>
          <w:rFonts w:ascii="Arial" w:hAnsi="Arial" w:cs="Arial"/>
          <w:i/>
        </w:rPr>
        <w:t>ure of vendor financing to BBBEE Investor;</w:t>
      </w:r>
    </w:p>
    <w:p w:rsidR="003E0D84" w:rsidRPr="002873FA" w:rsidRDefault="003E0D84" w:rsidP="00F0473B">
      <w:pPr>
        <w:pStyle w:val="ListParagraph"/>
        <w:spacing w:line="480" w:lineRule="auto"/>
        <w:ind w:left="851"/>
        <w:jc w:val="both"/>
        <w:rPr>
          <w:rFonts w:ascii="Arial" w:hAnsi="Arial" w:cs="Arial"/>
          <w:i/>
        </w:rPr>
      </w:pPr>
      <w:r w:rsidRPr="002873FA">
        <w:rPr>
          <w:rFonts w:ascii="Arial" w:hAnsi="Arial" w:cs="Arial"/>
          <w:i/>
        </w:rPr>
        <w:t>5.5</w:t>
      </w:r>
      <w:r w:rsidRPr="002873FA">
        <w:rPr>
          <w:rFonts w:ascii="Arial" w:hAnsi="Arial" w:cs="Arial"/>
          <w:i/>
        </w:rPr>
        <w:tab/>
        <w:t>perform a full Fair Value valuation of ABHL, or the relevant back in respect of the New BBBEE Transaction, as the case may be and include, without limitation:</w:t>
      </w:r>
    </w:p>
    <w:p w:rsidR="003E0D84" w:rsidRPr="002873FA" w:rsidRDefault="003E0D84" w:rsidP="00F0473B">
      <w:pPr>
        <w:pStyle w:val="ListParagraph"/>
        <w:spacing w:line="480" w:lineRule="auto"/>
        <w:ind w:left="851"/>
        <w:jc w:val="both"/>
        <w:rPr>
          <w:rFonts w:ascii="Arial" w:hAnsi="Arial" w:cs="Arial"/>
          <w:i/>
        </w:rPr>
      </w:pPr>
      <w:r w:rsidRPr="002873FA">
        <w:rPr>
          <w:rFonts w:ascii="Arial" w:hAnsi="Arial" w:cs="Arial"/>
          <w:i/>
        </w:rPr>
        <w:t>5.5.1</w:t>
      </w:r>
      <w:r w:rsidRPr="002873FA">
        <w:rPr>
          <w:rFonts w:ascii="Arial" w:hAnsi="Arial" w:cs="Arial"/>
          <w:i/>
        </w:rPr>
        <w:tab/>
        <w:t>building an initial discounted cash flow model based on public information;</w:t>
      </w:r>
    </w:p>
    <w:p w:rsidR="003E0D84" w:rsidRPr="002873FA" w:rsidRDefault="003E0D84" w:rsidP="00F0473B">
      <w:pPr>
        <w:pStyle w:val="ListParagraph"/>
        <w:spacing w:line="480" w:lineRule="auto"/>
        <w:ind w:left="851"/>
        <w:jc w:val="both"/>
        <w:rPr>
          <w:rFonts w:ascii="Arial" w:hAnsi="Arial" w:cs="Arial"/>
          <w:i/>
        </w:rPr>
      </w:pPr>
      <w:r w:rsidRPr="002873FA">
        <w:rPr>
          <w:rFonts w:ascii="Arial" w:hAnsi="Arial" w:cs="Arial"/>
          <w:i/>
        </w:rPr>
        <w:t>5.5.2</w:t>
      </w:r>
      <w:r w:rsidRPr="002873FA">
        <w:rPr>
          <w:rFonts w:ascii="Arial" w:hAnsi="Arial" w:cs="Arial"/>
          <w:i/>
        </w:rPr>
        <w:tab/>
        <w:t>building a detailed discounted cash flow model breaking down revenue drivers, cost drivers, performance of book) post due diligence;</w:t>
      </w:r>
    </w:p>
    <w:p w:rsidR="003E0D84" w:rsidRPr="002873FA" w:rsidRDefault="003E0D84" w:rsidP="00F0473B">
      <w:pPr>
        <w:pStyle w:val="ListParagraph"/>
        <w:spacing w:line="480" w:lineRule="auto"/>
        <w:ind w:left="851"/>
        <w:jc w:val="both"/>
        <w:rPr>
          <w:rFonts w:ascii="Arial" w:hAnsi="Arial" w:cs="Arial"/>
          <w:i/>
        </w:rPr>
      </w:pPr>
      <w:r w:rsidRPr="002873FA">
        <w:rPr>
          <w:rFonts w:ascii="Arial" w:hAnsi="Arial" w:cs="Arial"/>
          <w:i/>
        </w:rPr>
        <w:t>5.5.3 …</w:t>
      </w:r>
      <w:r w:rsidR="00D01368">
        <w:rPr>
          <w:rFonts w:ascii="Arial" w:hAnsi="Arial" w:cs="Arial"/>
          <w:i/>
        </w:rPr>
        <w:t>”</w:t>
      </w:r>
    </w:p>
    <w:p w:rsidR="003E0D84" w:rsidRDefault="00BE266C" w:rsidP="00F0473B">
      <w:pPr>
        <w:pStyle w:val="ListParagraph"/>
        <w:spacing w:line="480" w:lineRule="auto"/>
        <w:ind w:left="851"/>
        <w:jc w:val="both"/>
        <w:rPr>
          <w:rFonts w:ascii="Arial" w:hAnsi="Arial" w:cs="Arial"/>
        </w:rPr>
      </w:pPr>
      <w:r>
        <w:rPr>
          <w:rFonts w:ascii="Arial" w:hAnsi="Arial" w:cs="Arial"/>
        </w:rPr>
        <w:t xml:space="preserve">And thus, says Khumovest, it is entitled to know who made these presentations, what the content of these presentations is and how the terms </w:t>
      </w:r>
      <w:r w:rsidRPr="00034664">
        <w:rPr>
          <w:rFonts w:ascii="Arial" w:hAnsi="Arial" w:cs="Arial"/>
        </w:rPr>
        <w:t>of clause 5</w:t>
      </w:r>
      <w:r>
        <w:rPr>
          <w:rFonts w:ascii="Arial" w:hAnsi="Arial" w:cs="Arial"/>
        </w:rPr>
        <w:t>.1 of the Mandate Agreement were fulfilled.</w:t>
      </w:r>
    </w:p>
    <w:p w:rsidR="00DA6991" w:rsidRDefault="00DA6991" w:rsidP="00F0473B">
      <w:pPr>
        <w:pStyle w:val="ListParagraph"/>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[18]</w:t>
      </w:r>
      <w:r>
        <w:rPr>
          <w:rFonts w:ascii="Arial" w:hAnsi="Arial Unicode MS" w:cs="Arial"/>
        </w:rPr>
        <w:tab/>
      </w:r>
      <w:r w:rsidR="003E0D84" w:rsidRPr="002040FC">
        <w:rPr>
          <w:rFonts w:ascii="Arial" w:hAnsi="Arial" w:cs="Arial"/>
        </w:rPr>
        <w:t xml:space="preserve">Furthermore, Annexure “A4” under clause </w:t>
      </w:r>
      <w:r w:rsidR="005F103F" w:rsidRPr="002040FC">
        <w:rPr>
          <w:rFonts w:ascii="Arial" w:hAnsi="Arial" w:cs="Arial"/>
        </w:rPr>
        <w:t>5.</w:t>
      </w:r>
      <w:r w:rsidR="003E0D84" w:rsidRPr="002040FC">
        <w:rPr>
          <w:rFonts w:ascii="Arial" w:hAnsi="Arial" w:cs="Arial"/>
        </w:rPr>
        <w:t>3 states:</w:t>
      </w:r>
    </w:p>
    <w:tbl>
      <w:tblPr>
        <w:tblStyle w:val="TableGrid"/>
        <w:tblW w:w="0" w:type="auto"/>
        <w:tblInd w:w="704" w:type="dxa"/>
        <w:tblLook w:val="04A0" w:firstRow="1" w:lastRow="0" w:firstColumn="1" w:lastColumn="0" w:noHBand="0" w:noVBand="1"/>
      </w:tblPr>
      <w:tblGrid>
        <w:gridCol w:w="550"/>
        <w:gridCol w:w="3543"/>
        <w:gridCol w:w="4219"/>
      </w:tblGrid>
      <w:tr w:rsidR="00FC502B" w:rsidRPr="00B0356C" w:rsidTr="00A66E77">
        <w:tc>
          <w:tcPr>
            <w:tcW w:w="284" w:type="dxa"/>
          </w:tcPr>
          <w:p w:rsidR="00FC502B" w:rsidRDefault="005F103F" w:rsidP="00351AED">
            <w:pPr>
              <w:jc w:val="both"/>
              <w:rPr>
                <w:rFonts w:ascii="Arial" w:hAnsi="Arial" w:cs="Arial"/>
              </w:rPr>
            </w:pPr>
            <w:r>
              <w:rPr>
                <w:rFonts w:ascii="Arial" w:hAnsi="Arial" w:cs="Arial"/>
              </w:rPr>
              <w:t>5.3</w:t>
            </w:r>
          </w:p>
        </w:tc>
        <w:tc>
          <w:tcPr>
            <w:tcW w:w="3685" w:type="dxa"/>
          </w:tcPr>
          <w:p w:rsidR="00FC502B" w:rsidRDefault="005F103F" w:rsidP="00351AED">
            <w:pPr>
              <w:jc w:val="both"/>
              <w:rPr>
                <w:rFonts w:ascii="Arial" w:hAnsi="Arial" w:cs="Arial"/>
              </w:rPr>
            </w:pPr>
            <w:r>
              <w:rPr>
                <w:rFonts w:ascii="Arial" w:hAnsi="Arial" w:cs="Arial"/>
              </w:rPr>
              <w:t>Examine the internal valuation models of Bayport and BFSSA</w:t>
            </w:r>
            <w:r w:rsidR="00FC502B">
              <w:rPr>
                <w:rFonts w:ascii="Arial" w:hAnsi="Arial" w:cs="Arial"/>
              </w:rPr>
              <w:t xml:space="preserve"> </w:t>
            </w:r>
          </w:p>
        </w:tc>
        <w:tc>
          <w:tcPr>
            <w:tcW w:w="4343" w:type="dxa"/>
          </w:tcPr>
          <w:p w:rsidR="00FC502B" w:rsidRPr="00E96337" w:rsidRDefault="00FC502B" w:rsidP="00351AED">
            <w:pPr>
              <w:jc w:val="both"/>
              <w:rPr>
                <w:rFonts w:ascii="Arial" w:hAnsi="Arial" w:cs="Arial"/>
                <w:b/>
              </w:rPr>
            </w:pPr>
            <w:r w:rsidRPr="00E96337">
              <w:rPr>
                <w:rFonts w:ascii="Arial" w:hAnsi="Arial" w:cs="Arial"/>
                <w:b/>
                <w:u w:val="single"/>
              </w:rPr>
              <w:t>Documents generated</w:t>
            </w:r>
          </w:p>
          <w:p w:rsidR="00FC502B"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E96337" w:rsidRPr="002040FC">
              <w:rPr>
                <w:rFonts w:ascii="Arial" w:hAnsi="Arial" w:cs="Arial"/>
              </w:rPr>
              <w:t>BFSSA &amp; BML – Comp Multiple + Price of Recent (Microsoft Excel)</w:t>
            </w:r>
          </w:p>
          <w:p w:rsidR="00E96337"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E96337" w:rsidRPr="002040FC">
              <w:rPr>
                <w:rFonts w:ascii="Arial" w:hAnsi="Arial" w:cs="Arial"/>
              </w:rPr>
              <w:t>BFSSA – Dividend Discount Model (Microsoft Excel)</w:t>
            </w:r>
          </w:p>
          <w:p w:rsidR="00E96337"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E96337" w:rsidRPr="002040FC">
              <w:rPr>
                <w:rFonts w:ascii="Arial" w:hAnsi="Arial" w:cs="Arial"/>
              </w:rPr>
              <w:t>BML Residual Income Model (Microsoft excel)</w:t>
            </w:r>
          </w:p>
          <w:p w:rsidR="004D554F"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4D554F" w:rsidRPr="002040FC">
              <w:rPr>
                <w:rFonts w:ascii="Arial" w:hAnsi="Arial" w:cs="Arial"/>
              </w:rPr>
              <w:t>Pre-Post Money Analysis (Microsoft Excel)</w:t>
            </w:r>
          </w:p>
          <w:p w:rsidR="004D554F"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4D554F" w:rsidRPr="002040FC">
              <w:rPr>
                <w:rFonts w:ascii="Arial" w:hAnsi="Arial" w:cs="Arial"/>
              </w:rPr>
              <w:t xml:space="preserve">BFSSA &amp; BML Valuation Summary </w:t>
            </w:r>
          </w:p>
          <w:p w:rsidR="00351AED"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351AED" w:rsidRPr="002040FC">
              <w:rPr>
                <w:rFonts w:ascii="Arial" w:hAnsi="Arial" w:cs="Arial"/>
              </w:rPr>
              <w:t xml:space="preserve">Independent valuation report to Bayport Management Limited regarding the disposal of a 51% interest in the issued share capital of Bayport Financial Services 2010 </w:t>
            </w:r>
            <w:r w:rsidR="00351AED" w:rsidRPr="002040FC">
              <w:rPr>
                <w:rFonts w:ascii="Arial" w:hAnsi="Arial" w:cs="Arial"/>
              </w:rPr>
              <w:lastRenderedPageBreak/>
              <w:t>Proprietary Limited (Generated by BDO with Khumovest Input)</w:t>
            </w:r>
          </w:p>
          <w:p w:rsidR="00351AED" w:rsidRDefault="00351AED" w:rsidP="00351AED">
            <w:pPr>
              <w:jc w:val="both"/>
              <w:rPr>
                <w:rFonts w:ascii="Arial" w:hAnsi="Arial" w:cs="Arial"/>
              </w:rPr>
            </w:pPr>
          </w:p>
          <w:p w:rsidR="00351AED" w:rsidRPr="00351AED" w:rsidRDefault="00351AED" w:rsidP="00351AED">
            <w:pPr>
              <w:jc w:val="both"/>
              <w:rPr>
                <w:rFonts w:ascii="Arial" w:hAnsi="Arial" w:cs="Arial"/>
                <w:b/>
                <w:u w:val="single"/>
              </w:rPr>
            </w:pPr>
            <w:r w:rsidRPr="00351AED">
              <w:rPr>
                <w:rFonts w:ascii="Arial" w:hAnsi="Arial" w:cs="Arial"/>
                <w:b/>
                <w:u w:val="single"/>
              </w:rPr>
              <w:t>Meetings Attended</w:t>
            </w:r>
          </w:p>
          <w:p w:rsidR="00351AED" w:rsidRPr="002040FC" w:rsidRDefault="002040FC" w:rsidP="002040FC">
            <w:pPr>
              <w:ind w:left="360" w:hanging="360"/>
              <w:jc w:val="both"/>
              <w:rPr>
                <w:rFonts w:ascii="Arial" w:hAnsi="Arial" w:cs="Arial"/>
              </w:rPr>
            </w:pPr>
            <w:r>
              <w:rPr>
                <w:rFonts w:ascii="Symbol" w:hAnsi="Symbol" w:cs="Arial"/>
              </w:rPr>
              <w:t></w:t>
            </w:r>
            <w:r>
              <w:rPr>
                <w:rFonts w:ascii="Symbol" w:hAnsi="Symbol" w:cs="Arial"/>
              </w:rPr>
              <w:tab/>
            </w:r>
            <w:r w:rsidR="00351AED" w:rsidRPr="002040FC">
              <w:rPr>
                <w:rFonts w:ascii="Arial" w:hAnsi="Arial" w:cs="Arial"/>
              </w:rPr>
              <w:t>07 July 2016</w:t>
            </w:r>
          </w:p>
          <w:p w:rsidR="00351AED" w:rsidRPr="002040FC" w:rsidRDefault="002040FC" w:rsidP="002040FC">
            <w:pPr>
              <w:ind w:left="360" w:hanging="360"/>
              <w:jc w:val="both"/>
              <w:rPr>
                <w:rFonts w:ascii="Arial" w:hAnsi="Arial" w:cs="Arial"/>
              </w:rPr>
            </w:pPr>
            <w:r w:rsidRPr="00351AED">
              <w:rPr>
                <w:rFonts w:ascii="Symbol" w:hAnsi="Symbol" w:cs="Arial"/>
              </w:rPr>
              <w:t></w:t>
            </w:r>
            <w:r w:rsidRPr="00351AED">
              <w:rPr>
                <w:rFonts w:ascii="Symbol" w:hAnsi="Symbol" w:cs="Arial"/>
              </w:rPr>
              <w:tab/>
            </w:r>
            <w:r w:rsidR="00351AED" w:rsidRPr="002040FC">
              <w:rPr>
                <w:rFonts w:ascii="Arial" w:hAnsi="Arial" w:cs="Arial"/>
              </w:rPr>
              <w:t>20 January 2017</w:t>
            </w:r>
          </w:p>
        </w:tc>
      </w:tr>
    </w:tbl>
    <w:p w:rsidR="00E14D10" w:rsidRPr="009C6828" w:rsidRDefault="00E14D10" w:rsidP="009C6828">
      <w:pPr>
        <w:spacing w:line="480" w:lineRule="auto"/>
        <w:jc w:val="both"/>
        <w:rPr>
          <w:rFonts w:ascii="Arial" w:hAnsi="Arial" w:cs="Arial"/>
        </w:rPr>
      </w:pPr>
    </w:p>
    <w:p w:rsidR="009C6828" w:rsidRPr="002040FC" w:rsidRDefault="002040FC" w:rsidP="002040FC">
      <w:pPr>
        <w:spacing w:line="480" w:lineRule="auto"/>
        <w:ind w:left="851" w:hanging="851"/>
        <w:jc w:val="both"/>
        <w:rPr>
          <w:rFonts w:ascii="Arial" w:hAnsi="Arial" w:cs="Arial"/>
        </w:rPr>
      </w:pPr>
      <w:r>
        <w:rPr>
          <w:rFonts w:ascii="Arial" w:hAnsi="Arial Unicode MS" w:cs="Arial"/>
        </w:rPr>
        <w:t>[19]</w:t>
      </w:r>
      <w:r>
        <w:rPr>
          <w:rFonts w:ascii="Arial" w:hAnsi="Arial Unicode MS" w:cs="Arial"/>
        </w:rPr>
        <w:tab/>
      </w:r>
      <w:r w:rsidR="009C6828" w:rsidRPr="002040FC">
        <w:rPr>
          <w:rFonts w:ascii="Arial" w:hAnsi="Arial" w:cs="Arial"/>
        </w:rPr>
        <w:t>The questions posed by Bayport in regards of paragraph 5.1 of the Mandate Agreement, as read with Annexure</w:t>
      </w:r>
      <w:r w:rsidR="00D050F9" w:rsidRPr="002040FC">
        <w:rPr>
          <w:rFonts w:ascii="Arial" w:hAnsi="Arial" w:cs="Arial"/>
        </w:rPr>
        <w:t xml:space="preserve"> A4, are specifically aimed at eliciting </w:t>
      </w:r>
      <w:r w:rsidR="009C6828" w:rsidRPr="002040FC">
        <w:rPr>
          <w:rFonts w:ascii="Arial" w:hAnsi="Arial" w:cs="Arial"/>
        </w:rPr>
        <w:t>information pertaining to the content of the presentations as set out in paragraph 5.1 of the Mandate Agreement (supra). Annexure A4, whilst it details when and to whom these presentations were made</w:t>
      </w:r>
      <w:r w:rsidR="00CC50C2" w:rsidRPr="002040FC">
        <w:rPr>
          <w:rFonts w:ascii="Arial" w:hAnsi="Arial" w:cs="Arial"/>
        </w:rPr>
        <w:t>,</w:t>
      </w:r>
      <w:r w:rsidR="00153A43" w:rsidRPr="002040FC">
        <w:rPr>
          <w:rFonts w:ascii="Arial" w:hAnsi="Arial" w:cs="Arial"/>
        </w:rPr>
        <w:t xml:space="preserve"> </w:t>
      </w:r>
      <w:r w:rsidR="009C6828" w:rsidRPr="002040FC">
        <w:rPr>
          <w:rFonts w:ascii="Arial" w:hAnsi="Arial" w:cs="Arial"/>
        </w:rPr>
        <w:t>does not address the content of these and as clauses 5.1.1 to 5.1.5 of the Mandate Agreement particularise the methodology to be employed by Khumovest, it must provide the information sought.</w:t>
      </w:r>
    </w:p>
    <w:p w:rsidR="009C6828" w:rsidRDefault="009C6828" w:rsidP="009C6828">
      <w:pPr>
        <w:pStyle w:val="ListParagraph"/>
        <w:spacing w:line="480" w:lineRule="auto"/>
        <w:ind w:left="851"/>
        <w:jc w:val="both"/>
        <w:rPr>
          <w:rFonts w:ascii="Arial" w:hAnsi="Arial" w:cs="Arial"/>
        </w:rPr>
      </w:pPr>
    </w:p>
    <w:p w:rsidR="009C6828" w:rsidRPr="002040FC" w:rsidRDefault="002040FC" w:rsidP="002040FC">
      <w:pPr>
        <w:spacing w:line="480" w:lineRule="auto"/>
        <w:ind w:left="851" w:hanging="851"/>
        <w:jc w:val="both"/>
        <w:rPr>
          <w:rFonts w:ascii="Arial" w:hAnsi="Arial" w:cs="Arial"/>
        </w:rPr>
      </w:pPr>
      <w:r>
        <w:rPr>
          <w:rFonts w:ascii="Arial" w:hAnsi="Arial Unicode MS" w:cs="Arial"/>
        </w:rPr>
        <w:t>[20]</w:t>
      </w:r>
      <w:r>
        <w:rPr>
          <w:rFonts w:ascii="Arial" w:hAnsi="Arial Unicode MS" w:cs="Arial"/>
        </w:rPr>
        <w:tab/>
      </w:r>
      <w:r w:rsidR="009C6828" w:rsidRPr="002040FC">
        <w:rPr>
          <w:rFonts w:ascii="Arial" w:hAnsi="Arial" w:cs="Arial"/>
        </w:rPr>
        <w:t xml:space="preserve">As to paragraph 5.3 of the Mandate Agreement, that information must also be provided – it is not sufficient to refer to the “Documents generated” (see paragraph </w:t>
      </w:r>
      <w:r w:rsidR="00153A43" w:rsidRPr="002040FC">
        <w:rPr>
          <w:rFonts w:ascii="Arial" w:hAnsi="Arial" w:cs="Arial"/>
        </w:rPr>
        <w:t>18</w:t>
      </w:r>
      <w:r w:rsidR="009C6828" w:rsidRPr="002040FC">
        <w:rPr>
          <w:rFonts w:ascii="Arial" w:hAnsi="Arial" w:cs="Arial"/>
        </w:rPr>
        <w:t>) and provided a cryptic indecipherable reference to these documents, without explaining what they are. The aforementioned table provides no elucidation and cannot be deciphered with reference to Annexure A4. Khumovest must therefore provide a proper response.</w:t>
      </w:r>
    </w:p>
    <w:p w:rsidR="00461E90" w:rsidRPr="009C6828" w:rsidRDefault="00461E90" w:rsidP="009C6828">
      <w:pPr>
        <w:spacing w:line="480" w:lineRule="auto"/>
        <w:jc w:val="both"/>
        <w:rPr>
          <w:rFonts w:ascii="Arial" w:hAnsi="Arial" w:cs="Arial"/>
        </w:rPr>
      </w:pPr>
    </w:p>
    <w:p w:rsidR="00974102" w:rsidRPr="00974102" w:rsidRDefault="00974102" w:rsidP="00974102">
      <w:pPr>
        <w:spacing w:line="480" w:lineRule="auto"/>
        <w:jc w:val="both"/>
        <w:rPr>
          <w:rFonts w:ascii="Arial" w:hAnsi="Arial" w:cs="Arial"/>
          <w:b/>
        </w:rPr>
      </w:pPr>
      <w:r w:rsidRPr="00974102">
        <w:rPr>
          <w:rFonts w:ascii="Arial" w:hAnsi="Arial" w:cs="Arial"/>
          <w:b/>
        </w:rPr>
        <w:t>PARAGRAPH 7.3 AND 7.4 OF THE RFP</w:t>
      </w:r>
    </w:p>
    <w:p w:rsidR="0087110F" w:rsidRPr="002040FC" w:rsidRDefault="002040FC" w:rsidP="002040FC">
      <w:pPr>
        <w:spacing w:line="480" w:lineRule="auto"/>
        <w:ind w:left="851" w:hanging="851"/>
        <w:jc w:val="both"/>
        <w:rPr>
          <w:rFonts w:ascii="Arial" w:hAnsi="Arial" w:cs="Arial"/>
        </w:rPr>
      </w:pPr>
      <w:r>
        <w:rPr>
          <w:rFonts w:ascii="Arial" w:hAnsi="Arial Unicode MS" w:cs="Arial"/>
        </w:rPr>
        <w:t>[21]</w:t>
      </w:r>
      <w:r>
        <w:rPr>
          <w:rFonts w:ascii="Arial" w:hAnsi="Arial Unicode MS" w:cs="Arial"/>
        </w:rPr>
        <w:tab/>
      </w:r>
      <w:r w:rsidR="002266FB" w:rsidRPr="002040FC">
        <w:rPr>
          <w:rFonts w:ascii="Arial" w:hAnsi="Arial" w:cs="Arial"/>
        </w:rPr>
        <w:t>Paragraph 10.2 of the Intendit states:</w:t>
      </w:r>
    </w:p>
    <w:p w:rsidR="002266FB" w:rsidRPr="00444DA3" w:rsidRDefault="002266FB" w:rsidP="002266FB">
      <w:pPr>
        <w:pStyle w:val="ListParagraph"/>
        <w:spacing w:line="480" w:lineRule="auto"/>
        <w:ind w:left="851"/>
        <w:jc w:val="both"/>
        <w:rPr>
          <w:rFonts w:ascii="Arial" w:hAnsi="Arial" w:cs="Arial"/>
          <w:i/>
        </w:rPr>
      </w:pPr>
      <w:r w:rsidRPr="00444DA3">
        <w:rPr>
          <w:rFonts w:ascii="Arial" w:hAnsi="Arial" w:cs="Arial"/>
          <w:i/>
        </w:rPr>
        <w:t>“10. By latest November 2017:</w:t>
      </w:r>
    </w:p>
    <w:p w:rsidR="002266FB" w:rsidRPr="00444DA3" w:rsidRDefault="002266FB" w:rsidP="002266FB">
      <w:pPr>
        <w:pStyle w:val="ListParagraph"/>
        <w:spacing w:line="480" w:lineRule="auto"/>
        <w:ind w:left="851"/>
        <w:jc w:val="both"/>
        <w:rPr>
          <w:rFonts w:ascii="Arial" w:hAnsi="Arial" w:cs="Arial"/>
          <w:i/>
        </w:rPr>
      </w:pPr>
      <w:r w:rsidRPr="00444DA3">
        <w:rPr>
          <w:rFonts w:ascii="Arial" w:hAnsi="Arial" w:cs="Arial"/>
          <w:i/>
        </w:rPr>
        <w:t>10.1 …</w:t>
      </w:r>
    </w:p>
    <w:p w:rsidR="002266FB" w:rsidRPr="00444DA3" w:rsidRDefault="002266FB" w:rsidP="002266FB">
      <w:pPr>
        <w:pStyle w:val="ListParagraph"/>
        <w:spacing w:line="480" w:lineRule="auto"/>
        <w:ind w:left="851"/>
        <w:jc w:val="both"/>
        <w:rPr>
          <w:rFonts w:ascii="Arial" w:hAnsi="Arial" w:cs="Arial"/>
          <w:i/>
        </w:rPr>
      </w:pPr>
      <w:r w:rsidRPr="00444DA3">
        <w:rPr>
          <w:rFonts w:ascii="Arial" w:hAnsi="Arial" w:cs="Arial"/>
          <w:i/>
        </w:rPr>
        <w:lastRenderedPageBreak/>
        <w:t>10.2 BEE Investor had effectively acquired a 10% interest in Bayport Mauritius (by virtue of an instrument convertible to a 10% equity interest upon the listing of Bayport Mauritius (step 1);</w:t>
      </w:r>
    </w:p>
    <w:p w:rsidR="002266FB" w:rsidRPr="00444DA3" w:rsidRDefault="002266FB" w:rsidP="002266FB">
      <w:pPr>
        <w:pStyle w:val="ListParagraph"/>
        <w:spacing w:line="480" w:lineRule="auto"/>
        <w:ind w:left="851"/>
        <w:jc w:val="both"/>
        <w:rPr>
          <w:rFonts w:ascii="Arial" w:hAnsi="Arial" w:cs="Arial"/>
          <w:i/>
        </w:rPr>
      </w:pPr>
      <w:r w:rsidRPr="00444DA3">
        <w:rPr>
          <w:rFonts w:ascii="Arial" w:hAnsi="Arial" w:cs="Arial"/>
          <w:i/>
        </w:rPr>
        <w:t>10.3</w:t>
      </w:r>
      <w:r w:rsidRPr="00444DA3">
        <w:rPr>
          <w:rFonts w:ascii="Arial" w:hAnsi="Arial" w:cs="Arial"/>
          <w:i/>
        </w:rPr>
        <w:tab/>
        <w:t>…</w:t>
      </w:r>
      <w:r w:rsidR="00E81C81">
        <w:rPr>
          <w:rFonts w:ascii="Arial" w:hAnsi="Arial" w:cs="Arial"/>
          <w:i/>
        </w:rPr>
        <w:t>”</w:t>
      </w:r>
    </w:p>
    <w:p w:rsidR="002266FB" w:rsidRDefault="002266FB" w:rsidP="002266FB">
      <w:pPr>
        <w:pStyle w:val="ListParagraph"/>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[22]</w:t>
      </w:r>
      <w:r>
        <w:rPr>
          <w:rFonts w:ascii="Arial" w:hAnsi="Arial Unicode MS" w:cs="Arial"/>
        </w:rPr>
        <w:tab/>
      </w:r>
      <w:r w:rsidR="005963A2" w:rsidRPr="002040FC">
        <w:rPr>
          <w:rFonts w:ascii="Arial" w:hAnsi="Arial" w:cs="Arial"/>
        </w:rPr>
        <w:t xml:space="preserve">The thrust of </w:t>
      </w:r>
      <w:r w:rsidR="00444DA3" w:rsidRPr="002040FC">
        <w:rPr>
          <w:rFonts w:ascii="Arial" w:hAnsi="Arial" w:cs="Arial"/>
        </w:rPr>
        <w:t xml:space="preserve">these questions is aimed at </w:t>
      </w:r>
      <w:r w:rsidR="005963A2" w:rsidRPr="002040FC">
        <w:rPr>
          <w:rFonts w:ascii="Arial" w:hAnsi="Arial" w:cs="Arial"/>
        </w:rPr>
        <w:t xml:space="preserve">who, when and how the BEE Investor had acquired the 10% interest. But Khumovest’s stance is that the particularity sought is not strictly necessary to enable Bayport to prepare for trial </w:t>
      </w:r>
      <w:r w:rsidR="003316AA" w:rsidRPr="002040FC">
        <w:rPr>
          <w:rFonts w:ascii="Arial" w:hAnsi="Arial" w:cs="Arial"/>
        </w:rPr>
        <w:t xml:space="preserve">as the information </w:t>
      </w:r>
      <w:r w:rsidR="005963A2" w:rsidRPr="002040FC">
        <w:rPr>
          <w:rFonts w:ascii="Arial" w:hAnsi="Arial" w:cs="Arial"/>
        </w:rPr>
        <w:t xml:space="preserve">falls within Bayport’s own knowledge, that Bayport has inadequately discovered and the particularity constitutes a matter of evidence.  </w:t>
      </w:r>
    </w:p>
    <w:p w:rsidR="009C6828" w:rsidRDefault="009C6828" w:rsidP="009C6828">
      <w:pPr>
        <w:pStyle w:val="ListParagraph"/>
        <w:spacing w:line="480" w:lineRule="auto"/>
        <w:ind w:left="851"/>
        <w:jc w:val="both"/>
        <w:rPr>
          <w:rFonts w:ascii="Arial" w:hAnsi="Arial" w:cs="Arial"/>
        </w:rPr>
      </w:pPr>
    </w:p>
    <w:p w:rsidR="009C6828" w:rsidRPr="002040FC" w:rsidRDefault="002040FC" w:rsidP="002040FC">
      <w:pPr>
        <w:spacing w:line="480" w:lineRule="auto"/>
        <w:ind w:left="851" w:hanging="851"/>
        <w:jc w:val="both"/>
        <w:rPr>
          <w:rFonts w:ascii="Arial" w:hAnsi="Arial" w:cs="Arial"/>
        </w:rPr>
      </w:pPr>
      <w:r w:rsidRPr="00B77E1D">
        <w:rPr>
          <w:rFonts w:ascii="Arial" w:hAnsi="Arial Unicode MS" w:cs="Arial"/>
        </w:rPr>
        <w:t>[23]</w:t>
      </w:r>
      <w:r w:rsidRPr="00B77E1D">
        <w:rPr>
          <w:rFonts w:ascii="Arial" w:hAnsi="Arial Unicode MS" w:cs="Arial"/>
        </w:rPr>
        <w:tab/>
      </w:r>
      <w:r w:rsidR="009C6828" w:rsidRPr="002040FC">
        <w:rPr>
          <w:rFonts w:ascii="Arial" w:hAnsi="Arial" w:cs="Arial"/>
        </w:rPr>
        <w:t xml:space="preserve">This </w:t>
      </w:r>
      <w:r w:rsidR="00647999" w:rsidRPr="002040FC">
        <w:rPr>
          <w:rFonts w:ascii="Arial" w:hAnsi="Arial" w:cs="Arial"/>
        </w:rPr>
        <w:t xml:space="preserve">response </w:t>
      </w:r>
      <w:r w:rsidR="009C6828" w:rsidRPr="002040FC">
        <w:rPr>
          <w:rFonts w:ascii="Arial" w:hAnsi="Arial" w:cs="Arial"/>
        </w:rPr>
        <w:t xml:space="preserve">must however be </w:t>
      </w:r>
      <w:r w:rsidR="00647999" w:rsidRPr="002040FC">
        <w:rPr>
          <w:rFonts w:ascii="Arial" w:hAnsi="Arial" w:cs="Arial"/>
        </w:rPr>
        <w:t xml:space="preserve">seen in the following context: </w:t>
      </w:r>
      <w:r w:rsidR="009C6828" w:rsidRPr="002040FC">
        <w:rPr>
          <w:rFonts w:ascii="Arial" w:hAnsi="Arial" w:cs="Arial"/>
          <w:i/>
        </w:rPr>
        <w:t>“…. there is no hard and fast rule as to the class of cases in which the parties should precede discovery or discovery precede parties, but that the court must exercise a reasonable discretion in every case after looking at all the facts and taking into account any special circumstances.”</w:t>
      </w:r>
      <w:r w:rsidR="009C6828" w:rsidRPr="00587520">
        <w:rPr>
          <w:rStyle w:val="FootnoteReference"/>
          <w:rFonts w:ascii="Arial" w:hAnsi="Arial" w:cs="Arial"/>
        </w:rPr>
        <w:footnoteReference w:id="8"/>
      </w:r>
    </w:p>
    <w:p w:rsidR="00B77E1D" w:rsidRPr="00B77E1D" w:rsidRDefault="00B77E1D" w:rsidP="00B77E1D">
      <w:pPr>
        <w:pStyle w:val="ListParagraph"/>
        <w:rPr>
          <w:rFonts w:ascii="Arial" w:hAnsi="Arial" w:cs="Arial"/>
        </w:rPr>
      </w:pPr>
    </w:p>
    <w:p w:rsidR="00B77E1D" w:rsidRPr="002040FC" w:rsidRDefault="002040FC" w:rsidP="002040FC">
      <w:pPr>
        <w:spacing w:line="480" w:lineRule="auto"/>
        <w:ind w:left="851" w:hanging="851"/>
        <w:jc w:val="both"/>
        <w:rPr>
          <w:rFonts w:ascii="Arial" w:hAnsi="Arial" w:cs="Arial"/>
        </w:rPr>
      </w:pPr>
      <w:r w:rsidRPr="006A1775">
        <w:rPr>
          <w:rFonts w:ascii="Arial" w:hAnsi="Arial Unicode MS" w:cs="Arial"/>
        </w:rPr>
        <w:t>[24]</w:t>
      </w:r>
      <w:r w:rsidRPr="006A1775">
        <w:rPr>
          <w:rFonts w:ascii="Arial" w:hAnsi="Arial Unicode MS" w:cs="Arial"/>
        </w:rPr>
        <w:tab/>
      </w:r>
      <w:r w:rsidR="00B77E1D" w:rsidRPr="002040FC">
        <w:rPr>
          <w:rFonts w:ascii="Arial" w:hAnsi="Arial" w:cs="Arial"/>
        </w:rPr>
        <w:t xml:space="preserve">Whilst Khumovest has complained about Bayport’s inadequate discovery in order to avoid responding to several paragraphs of the RFP, it turns out that Bayport filed it’s R35(3) answering affidavit on 28 July 2022 and its Rule 35(5) affidavit on 1 July 2022. </w:t>
      </w:r>
      <w:r w:rsidR="0001060E" w:rsidRPr="002040FC">
        <w:rPr>
          <w:rFonts w:ascii="Arial" w:hAnsi="Arial" w:cs="Arial"/>
        </w:rPr>
        <w:t>There was no suggestion that these responses are inadequate or that Bayport failed to address Khumovest’s Rule 35(3) notice.</w:t>
      </w:r>
    </w:p>
    <w:p w:rsidR="00810403" w:rsidRPr="00810403" w:rsidRDefault="00810403" w:rsidP="00810403">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lastRenderedPageBreak/>
        <w:t>[25]</w:t>
      </w:r>
      <w:r>
        <w:rPr>
          <w:rFonts w:ascii="Arial" w:hAnsi="Arial Unicode MS" w:cs="Arial"/>
        </w:rPr>
        <w:tab/>
      </w:r>
      <w:r w:rsidR="00B4213D" w:rsidRPr="002040FC">
        <w:rPr>
          <w:rFonts w:ascii="Arial" w:hAnsi="Arial" w:cs="Arial"/>
        </w:rPr>
        <w:t>In any event</w:t>
      </w:r>
      <w:r w:rsidR="00810403" w:rsidRPr="002040FC">
        <w:rPr>
          <w:rFonts w:ascii="Arial" w:hAnsi="Arial" w:cs="Arial"/>
        </w:rPr>
        <w:t>, the information sought is all tied up with whether or not Khumovest fulfilled the terms of its mand</w:t>
      </w:r>
      <w:r w:rsidR="00B63190" w:rsidRPr="002040FC">
        <w:rPr>
          <w:rFonts w:ascii="Arial" w:hAnsi="Arial" w:cs="Arial"/>
        </w:rPr>
        <w:t>ate so as to be entitled to its</w:t>
      </w:r>
      <w:r w:rsidR="00810403" w:rsidRPr="002040FC">
        <w:rPr>
          <w:rFonts w:ascii="Arial" w:hAnsi="Arial" w:cs="Arial"/>
        </w:rPr>
        <w:t xml:space="preserve"> claimed advisory fee</w:t>
      </w:r>
      <w:r w:rsidR="000F5C8D" w:rsidRPr="002040FC">
        <w:rPr>
          <w:rFonts w:ascii="Arial" w:hAnsi="Arial" w:cs="Arial"/>
        </w:rPr>
        <w:t xml:space="preserve"> this is, after all, what it must prove at trial</w:t>
      </w:r>
      <w:r w:rsidR="00810403" w:rsidRPr="002040FC">
        <w:rPr>
          <w:rFonts w:ascii="Arial" w:hAnsi="Arial" w:cs="Arial"/>
        </w:rPr>
        <w:t xml:space="preserve">. One of the components of this is whether or not a BBBEE Investor acquired a 10% equity interest in Bayport. Thus this particularity is necessary for a preparation for trial as it is central </w:t>
      </w:r>
      <w:r w:rsidR="00F3487A" w:rsidRPr="002040FC">
        <w:rPr>
          <w:rFonts w:ascii="Arial" w:hAnsi="Arial" w:cs="Arial"/>
        </w:rPr>
        <w:t xml:space="preserve">to the issue </w:t>
      </w:r>
      <w:r w:rsidR="00727906" w:rsidRPr="002040FC">
        <w:rPr>
          <w:rFonts w:ascii="Arial" w:hAnsi="Arial" w:cs="Arial"/>
        </w:rPr>
        <w:t>t</w:t>
      </w:r>
      <w:r w:rsidR="00F3487A" w:rsidRPr="002040FC">
        <w:rPr>
          <w:rFonts w:ascii="Arial" w:hAnsi="Arial" w:cs="Arial"/>
        </w:rPr>
        <w:t>hat is to be adjudic</w:t>
      </w:r>
      <w:r w:rsidR="005456A0" w:rsidRPr="002040FC">
        <w:rPr>
          <w:rFonts w:ascii="Arial" w:hAnsi="Arial" w:cs="Arial"/>
        </w:rPr>
        <w:t>ated upon</w:t>
      </w:r>
      <w:r w:rsidR="00686497" w:rsidRPr="002040FC">
        <w:rPr>
          <w:rFonts w:ascii="Arial" w:hAnsi="Arial" w:cs="Arial"/>
        </w:rPr>
        <w:t xml:space="preserve"> and must be provided</w:t>
      </w:r>
      <w:r w:rsidR="00F3487A" w:rsidRPr="002040FC">
        <w:rPr>
          <w:rFonts w:ascii="Arial" w:hAnsi="Arial" w:cs="Arial"/>
        </w:rPr>
        <w:t xml:space="preserve">. </w:t>
      </w:r>
    </w:p>
    <w:p w:rsidR="00F3487A" w:rsidRPr="00F3487A" w:rsidRDefault="00F3487A" w:rsidP="00F3487A">
      <w:pPr>
        <w:pStyle w:val="ListParagraph"/>
        <w:rPr>
          <w:rFonts w:ascii="Arial" w:hAnsi="Arial" w:cs="Arial"/>
          <w:b/>
        </w:rPr>
      </w:pPr>
    </w:p>
    <w:p w:rsidR="00F3487A" w:rsidRPr="00F3487A" w:rsidRDefault="00F3487A" w:rsidP="00F3487A">
      <w:pPr>
        <w:spacing w:line="480" w:lineRule="auto"/>
        <w:jc w:val="both"/>
        <w:rPr>
          <w:rFonts w:ascii="Arial" w:hAnsi="Arial" w:cs="Arial"/>
          <w:b/>
        </w:rPr>
      </w:pPr>
      <w:r w:rsidRPr="00F3487A">
        <w:rPr>
          <w:rFonts w:ascii="Arial" w:hAnsi="Arial" w:cs="Arial"/>
          <w:b/>
        </w:rPr>
        <w:t>PARAGRAPH 9.1 OF THE RFP</w:t>
      </w:r>
    </w:p>
    <w:p w:rsidR="00F3487A" w:rsidRPr="002040FC" w:rsidRDefault="002040FC" w:rsidP="002040FC">
      <w:pPr>
        <w:spacing w:line="276" w:lineRule="auto"/>
        <w:ind w:left="851" w:hanging="851"/>
        <w:jc w:val="both"/>
        <w:rPr>
          <w:rFonts w:ascii="Arial" w:hAnsi="Arial" w:cs="Arial"/>
        </w:rPr>
      </w:pPr>
      <w:r>
        <w:rPr>
          <w:rFonts w:ascii="Arial" w:hAnsi="Arial Unicode MS" w:cs="Arial"/>
        </w:rPr>
        <w:t>[26]</w:t>
      </w:r>
      <w:r>
        <w:rPr>
          <w:rFonts w:ascii="Arial" w:hAnsi="Arial Unicode MS" w:cs="Arial"/>
        </w:rPr>
        <w:tab/>
      </w:r>
      <w:r w:rsidR="00110BDE" w:rsidRPr="002040FC">
        <w:rPr>
          <w:rFonts w:ascii="Arial" w:hAnsi="Arial" w:cs="Arial"/>
        </w:rPr>
        <w:t>Paragraph 11</w:t>
      </w:r>
      <w:r w:rsidR="00F3487A" w:rsidRPr="002040FC">
        <w:rPr>
          <w:rFonts w:ascii="Arial" w:hAnsi="Arial" w:cs="Arial"/>
        </w:rPr>
        <w:t xml:space="preserve"> of the Intendit states: </w:t>
      </w:r>
    </w:p>
    <w:p w:rsidR="00DC7FD3" w:rsidRDefault="00DC7FD3" w:rsidP="00DC7FD3">
      <w:pPr>
        <w:pStyle w:val="ListParagraph"/>
        <w:spacing w:line="276" w:lineRule="auto"/>
        <w:ind w:left="851"/>
        <w:jc w:val="both"/>
        <w:rPr>
          <w:rFonts w:ascii="Arial" w:hAnsi="Arial" w:cs="Arial"/>
        </w:rPr>
      </w:pPr>
    </w:p>
    <w:p w:rsidR="0087110F" w:rsidRDefault="00110BDE" w:rsidP="00F3487A">
      <w:pPr>
        <w:pStyle w:val="ListParagraph"/>
        <w:spacing w:line="480" w:lineRule="auto"/>
        <w:ind w:left="851"/>
        <w:jc w:val="both"/>
        <w:rPr>
          <w:rFonts w:ascii="Arial" w:hAnsi="Arial" w:cs="Arial"/>
          <w:i/>
        </w:rPr>
      </w:pPr>
      <w:r w:rsidRPr="00110BDE">
        <w:rPr>
          <w:rFonts w:ascii="Arial" w:hAnsi="Arial" w:cs="Arial"/>
          <w:i/>
        </w:rPr>
        <w:t>“11. In the circumstances, the first two of the three steps comprising Project Blaze have been fulfilled and Khumovest is entitled to 52% of the Advisory Fee (plus V.A.T) which percentage is made up as follows:</w:t>
      </w:r>
    </w:p>
    <w:p w:rsidR="00110BDE" w:rsidRDefault="00110BDE" w:rsidP="00110BDE">
      <w:pPr>
        <w:pStyle w:val="ListParagraph"/>
        <w:spacing w:line="480" w:lineRule="auto"/>
        <w:ind w:left="2159" w:hanging="1308"/>
        <w:jc w:val="both"/>
        <w:rPr>
          <w:rFonts w:ascii="Arial" w:hAnsi="Arial" w:cs="Arial"/>
          <w:i/>
        </w:rPr>
      </w:pPr>
      <w:r>
        <w:rPr>
          <w:rFonts w:ascii="Arial" w:hAnsi="Arial" w:cs="Arial"/>
          <w:i/>
        </w:rPr>
        <w:t>11.1</w:t>
      </w:r>
      <w:r>
        <w:rPr>
          <w:rFonts w:ascii="Arial" w:hAnsi="Arial" w:cs="Arial"/>
          <w:i/>
        </w:rPr>
        <w:tab/>
      </w:r>
      <w:r>
        <w:rPr>
          <w:rFonts w:ascii="Arial" w:hAnsi="Arial" w:cs="Arial"/>
          <w:i/>
        </w:rPr>
        <w:tab/>
        <w:t>in terms of clause 7.2.2.1 of the Mandate Agreement, upon the conclusion of step 1, Khumovest became entitled to 20% of the Advisory Fee; and</w:t>
      </w:r>
    </w:p>
    <w:p w:rsidR="00686497" w:rsidRDefault="00110BDE" w:rsidP="00AF274F">
      <w:pPr>
        <w:pStyle w:val="ListParagraph"/>
        <w:spacing w:line="480" w:lineRule="auto"/>
        <w:ind w:left="2159" w:hanging="1308"/>
        <w:jc w:val="both"/>
        <w:rPr>
          <w:rFonts w:ascii="Arial" w:hAnsi="Arial" w:cs="Arial"/>
          <w:i/>
        </w:rPr>
      </w:pPr>
      <w:r>
        <w:rPr>
          <w:rFonts w:ascii="Arial" w:hAnsi="Arial" w:cs="Arial"/>
          <w:i/>
        </w:rPr>
        <w:t>11.2</w:t>
      </w:r>
      <w:r>
        <w:rPr>
          <w:rFonts w:ascii="Arial" w:hAnsi="Arial" w:cs="Arial"/>
          <w:i/>
        </w:rPr>
        <w:tab/>
      </w:r>
      <w:r>
        <w:rPr>
          <w:rFonts w:ascii="Arial" w:hAnsi="Arial" w:cs="Arial"/>
          <w:i/>
        </w:rPr>
        <w:tab/>
        <w:t xml:space="preserve">in terms of clause 7.2.2.2 of the </w:t>
      </w:r>
      <w:r w:rsidR="007A06DB">
        <w:rPr>
          <w:rFonts w:ascii="Arial" w:hAnsi="Arial" w:cs="Arial"/>
          <w:i/>
        </w:rPr>
        <w:t>Mandate</w:t>
      </w:r>
      <w:r>
        <w:rPr>
          <w:rFonts w:ascii="Arial" w:hAnsi="Arial" w:cs="Arial"/>
          <w:i/>
        </w:rPr>
        <w:t xml:space="preserve"> Agreement, upon the conclusion of step 2, Khumovest became entitled to 32% of the advisory fee.</w:t>
      </w:r>
      <w:r w:rsidR="005456A0">
        <w:rPr>
          <w:rFonts w:ascii="Arial" w:hAnsi="Arial" w:cs="Arial"/>
          <w:i/>
        </w:rPr>
        <w:t>”</w:t>
      </w:r>
    </w:p>
    <w:p w:rsidR="00A37684" w:rsidRPr="001E3367" w:rsidRDefault="00A37684" w:rsidP="001E3367">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[27]</w:t>
      </w:r>
      <w:r>
        <w:rPr>
          <w:rFonts w:ascii="Arial" w:hAnsi="Arial Unicode MS" w:cs="Arial"/>
        </w:rPr>
        <w:tab/>
      </w:r>
      <w:r w:rsidR="00F658A3" w:rsidRPr="002040FC">
        <w:rPr>
          <w:rFonts w:ascii="Arial" w:hAnsi="Arial" w:cs="Arial"/>
        </w:rPr>
        <w:t>The</w:t>
      </w:r>
      <w:r w:rsidR="001319A7" w:rsidRPr="002040FC">
        <w:rPr>
          <w:rFonts w:ascii="Arial" w:hAnsi="Arial" w:cs="Arial"/>
        </w:rPr>
        <w:t xml:space="preserve"> questions posed are targeted at the share subscription and the alleged fulfilment by Khumovest of its mandate. As with the previous paragraphs</w:t>
      </w:r>
      <w:r w:rsidR="0028630D" w:rsidRPr="002040FC">
        <w:rPr>
          <w:rFonts w:ascii="Arial" w:hAnsi="Arial" w:cs="Arial"/>
        </w:rPr>
        <w:t>, Khumovest is refusing to provide the particularity sought on the same grounds. For the same reasons I am of the view that the information must be provided.</w:t>
      </w:r>
    </w:p>
    <w:p w:rsidR="0028630D" w:rsidRPr="0028630D" w:rsidRDefault="0028630D" w:rsidP="0028630D">
      <w:pPr>
        <w:spacing w:line="480" w:lineRule="auto"/>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[28]</w:t>
      </w:r>
      <w:r>
        <w:rPr>
          <w:rFonts w:ascii="Arial" w:hAnsi="Arial Unicode MS" w:cs="Arial"/>
        </w:rPr>
        <w:tab/>
      </w:r>
      <w:r w:rsidR="00815EA6" w:rsidRPr="002040FC">
        <w:rPr>
          <w:rFonts w:ascii="Arial" w:hAnsi="Arial" w:cs="Arial"/>
        </w:rPr>
        <w:t xml:space="preserve">It is also inadequate to state that the “information is within </w:t>
      </w:r>
      <w:r w:rsidR="001C38D3" w:rsidRPr="002040FC">
        <w:rPr>
          <w:rFonts w:ascii="Arial" w:hAnsi="Arial" w:cs="Arial"/>
        </w:rPr>
        <w:t>the defendant’s knowledge”</w:t>
      </w:r>
      <w:r w:rsidR="00815EA6" w:rsidRPr="002040FC">
        <w:rPr>
          <w:rFonts w:ascii="Arial" w:hAnsi="Arial" w:cs="Arial"/>
        </w:rPr>
        <w:t xml:space="preserve"> as it is for the plaintiff to prove its claim</w:t>
      </w:r>
      <w:r w:rsidR="007D3587" w:rsidRPr="002040FC">
        <w:rPr>
          <w:rFonts w:ascii="Arial" w:hAnsi="Arial" w:cs="Arial"/>
        </w:rPr>
        <w:t>.</w:t>
      </w:r>
    </w:p>
    <w:p w:rsidR="00B01F65" w:rsidRDefault="00B01F65" w:rsidP="00815EA6">
      <w:pPr>
        <w:spacing w:line="480" w:lineRule="auto"/>
        <w:jc w:val="both"/>
        <w:rPr>
          <w:rFonts w:ascii="Arial" w:hAnsi="Arial" w:cs="Arial"/>
          <w:b/>
        </w:rPr>
      </w:pPr>
    </w:p>
    <w:p w:rsidR="00815EA6" w:rsidRPr="00B01F65" w:rsidRDefault="00815EA6" w:rsidP="00815EA6">
      <w:pPr>
        <w:spacing w:line="480" w:lineRule="auto"/>
        <w:jc w:val="both"/>
        <w:rPr>
          <w:rFonts w:ascii="Arial" w:hAnsi="Arial" w:cs="Arial"/>
          <w:b/>
        </w:rPr>
      </w:pPr>
      <w:r w:rsidRPr="00B01F65">
        <w:rPr>
          <w:rFonts w:ascii="Arial" w:hAnsi="Arial" w:cs="Arial"/>
          <w:b/>
        </w:rPr>
        <w:t>PARAGRAPH 10 OF THE RFP</w:t>
      </w:r>
    </w:p>
    <w:p w:rsidR="0087110F" w:rsidRPr="002040FC" w:rsidRDefault="002040FC" w:rsidP="002040FC">
      <w:pPr>
        <w:spacing w:line="480" w:lineRule="auto"/>
        <w:ind w:left="851" w:hanging="851"/>
        <w:jc w:val="both"/>
        <w:rPr>
          <w:rFonts w:ascii="Arial" w:hAnsi="Arial" w:cs="Arial"/>
        </w:rPr>
      </w:pPr>
      <w:r>
        <w:rPr>
          <w:rFonts w:ascii="Arial" w:hAnsi="Arial Unicode MS" w:cs="Arial"/>
        </w:rPr>
        <w:t>[29]</w:t>
      </w:r>
      <w:r>
        <w:rPr>
          <w:rFonts w:ascii="Arial" w:hAnsi="Arial Unicode MS" w:cs="Arial"/>
        </w:rPr>
        <w:tab/>
      </w:r>
      <w:r w:rsidR="001A1D82" w:rsidRPr="002040FC">
        <w:rPr>
          <w:rFonts w:ascii="Arial" w:hAnsi="Arial" w:cs="Arial"/>
        </w:rPr>
        <w:t>These questions are directed t</w:t>
      </w:r>
      <w:r w:rsidR="00B01F65" w:rsidRPr="002040FC">
        <w:rPr>
          <w:rFonts w:ascii="Arial" w:hAnsi="Arial" w:cs="Arial"/>
        </w:rPr>
        <w:t>o</w:t>
      </w:r>
      <w:r w:rsidR="001A1D82" w:rsidRPr="002040FC">
        <w:rPr>
          <w:rFonts w:ascii="Arial" w:hAnsi="Arial" w:cs="Arial"/>
        </w:rPr>
        <w:t xml:space="preserve"> paragraph 11.2 of the Intendit and similarly at whether or not the BBBEE Investor contemplated in cl</w:t>
      </w:r>
      <w:r w:rsidR="00BD4261" w:rsidRPr="002040FC">
        <w:rPr>
          <w:rFonts w:ascii="Arial" w:hAnsi="Arial" w:cs="Arial"/>
        </w:rPr>
        <w:t>ause</w:t>
      </w:r>
      <w:r w:rsidR="001A1D82" w:rsidRPr="002040FC">
        <w:rPr>
          <w:rFonts w:ascii="Arial" w:hAnsi="Arial" w:cs="Arial"/>
        </w:rPr>
        <w:t xml:space="preserve"> 7.2.2.1 of the Mandate Agreement subscrib</w:t>
      </w:r>
      <w:r w:rsidR="009A7767" w:rsidRPr="002040FC">
        <w:rPr>
          <w:rFonts w:ascii="Arial" w:hAnsi="Arial" w:cs="Arial"/>
        </w:rPr>
        <w:t>e</w:t>
      </w:r>
      <w:r w:rsidR="001A1D82" w:rsidRPr="002040FC">
        <w:rPr>
          <w:rFonts w:ascii="Arial" w:hAnsi="Arial" w:cs="Arial"/>
        </w:rPr>
        <w:t>d for shares in the BFSSA, when it subscribed and how many shares were issued to it.</w:t>
      </w:r>
    </w:p>
    <w:p w:rsidR="001A1D82" w:rsidRDefault="001A1D82" w:rsidP="001A1D82">
      <w:pPr>
        <w:pStyle w:val="ListParagraph"/>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[30]</w:t>
      </w:r>
      <w:r>
        <w:rPr>
          <w:rFonts w:ascii="Arial" w:hAnsi="Arial Unicode MS" w:cs="Arial"/>
        </w:rPr>
        <w:tab/>
      </w:r>
      <w:r w:rsidR="001A1D82" w:rsidRPr="002040FC">
        <w:rPr>
          <w:rFonts w:ascii="Arial" w:hAnsi="Arial" w:cs="Arial"/>
        </w:rPr>
        <w:t>Khumovest’s response is the following:</w:t>
      </w:r>
    </w:p>
    <w:p w:rsidR="00DB60DA" w:rsidRPr="00916892" w:rsidRDefault="00DB60DA" w:rsidP="00DB60DA">
      <w:pPr>
        <w:pStyle w:val="ListParagraph"/>
        <w:spacing w:line="480" w:lineRule="auto"/>
        <w:ind w:left="851"/>
        <w:rPr>
          <w:rFonts w:ascii="Arial" w:hAnsi="Arial" w:cs="Arial"/>
          <w:b/>
          <w:i/>
        </w:rPr>
      </w:pPr>
      <w:r w:rsidRPr="00916892">
        <w:rPr>
          <w:rFonts w:ascii="Arial" w:hAnsi="Arial" w:cs="Arial"/>
          <w:b/>
          <w:i/>
        </w:rPr>
        <w:t xml:space="preserve">“10. </w:t>
      </w:r>
      <w:r w:rsidRPr="00916892">
        <w:rPr>
          <w:rFonts w:ascii="Arial" w:hAnsi="Arial" w:cs="Arial"/>
          <w:b/>
          <w:i/>
          <w:u w:val="single"/>
        </w:rPr>
        <w:t>AD PARAGRAPH 11.2 OF THE POC:</w:t>
      </w:r>
    </w:p>
    <w:p w:rsidR="00DB60DA" w:rsidRPr="00916892" w:rsidRDefault="00DB60DA" w:rsidP="009C76B9">
      <w:pPr>
        <w:pStyle w:val="ListParagraph"/>
        <w:tabs>
          <w:tab w:val="left" w:pos="2127"/>
        </w:tabs>
        <w:spacing w:line="480" w:lineRule="auto"/>
        <w:ind w:left="851"/>
        <w:rPr>
          <w:rFonts w:ascii="Arial" w:hAnsi="Arial" w:cs="Arial"/>
          <w:i/>
        </w:rPr>
      </w:pPr>
      <w:r w:rsidRPr="00916892">
        <w:rPr>
          <w:rFonts w:ascii="Arial" w:hAnsi="Arial" w:cs="Arial"/>
          <w:i/>
        </w:rPr>
        <w:t>10.1</w:t>
      </w:r>
      <w:r w:rsidRPr="00916892">
        <w:rPr>
          <w:rFonts w:ascii="Arial" w:hAnsi="Arial" w:cs="Arial"/>
          <w:i/>
        </w:rPr>
        <w:tab/>
      </w:r>
      <w:r w:rsidRPr="00916892">
        <w:rPr>
          <w:rFonts w:ascii="Arial" w:hAnsi="Arial" w:cs="Arial"/>
          <w:i/>
          <w:u w:val="single"/>
        </w:rPr>
        <w:t>AD PARAGRAPH 10</w:t>
      </w:r>
      <w:r w:rsidRPr="00916892">
        <w:rPr>
          <w:rFonts w:ascii="Arial" w:hAnsi="Arial" w:cs="Arial"/>
          <w:i/>
        </w:rPr>
        <w:t xml:space="preserve"> (and its concomitant subparagraphs)</w:t>
      </w:r>
    </w:p>
    <w:p w:rsidR="00DB60DA" w:rsidRPr="00916892" w:rsidRDefault="00DB60DA" w:rsidP="009C76B9">
      <w:pPr>
        <w:pStyle w:val="ListParagraph"/>
        <w:tabs>
          <w:tab w:val="left" w:pos="2268"/>
        </w:tabs>
        <w:spacing w:line="480" w:lineRule="auto"/>
        <w:ind w:left="2127" w:hanging="1276"/>
        <w:rPr>
          <w:rFonts w:ascii="Arial" w:hAnsi="Arial" w:cs="Arial"/>
          <w:i/>
        </w:rPr>
      </w:pPr>
      <w:r w:rsidRPr="00916892">
        <w:rPr>
          <w:rFonts w:ascii="Arial" w:hAnsi="Arial" w:cs="Arial"/>
          <w:i/>
        </w:rPr>
        <w:t>10.1.1</w:t>
      </w:r>
      <w:r w:rsidRPr="00916892">
        <w:rPr>
          <w:rFonts w:ascii="Arial" w:hAnsi="Arial" w:cs="Arial"/>
          <w:i/>
        </w:rPr>
        <w:tab/>
        <w:t>Clause 7.2.2.1 of the Mandate Agreement does not refer to BFSSA. It refers to the Defendant.</w:t>
      </w:r>
    </w:p>
    <w:p w:rsidR="00DB60DA" w:rsidRPr="00DB60DA" w:rsidRDefault="00DB60DA" w:rsidP="009C76B9">
      <w:pPr>
        <w:pStyle w:val="ListParagraph"/>
        <w:tabs>
          <w:tab w:val="left" w:pos="2127"/>
        </w:tabs>
        <w:spacing w:line="480" w:lineRule="auto"/>
        <w:ind w:left="2127" w:hanging="1276"/>
        <w:rPr>
          <w:rFonts w:ascii="Arial" w:hAnsi="Arial" w:cs="Arial"/>
        </w:rPr>
      </w:pPr>
      <w:r w:rsidRPr="00916892">
        <w:rPr>
          <w:rFonts w:ascii="Arial" w:hAnsi="Arial" w:cs="Arial"/>
          <w:i/>
        </w:rPr>
        <w:t>10.1.2</w:t>
      </w:r>
      <w:r w:rsidRPr="00916892">
        <w:rPr>
          <w:rFonts w:ascii="Arial" w:hAnsi="Arial" w:cs="Arial"/>
          <w:i/>
        </w:rPr>
        <w:tab/>
        <w:t>The particularity sought accordingly cannot be provided, as it is not understood.</w:t>
      </w:r>
      <w:r w:rsidR="00916892" w:rsidRPr="00916892">
        <w:rPr>
          <w:rFonts w:ascii="Arial" w:hAnsi="Arial" w:cs="Arial"/>
          <w:i/>
        </w:rPr>
        <w:t>”</w:t>
      </w:r>
      <w:r>
        <w:rPr>
          <w:rFonts w:ascii="Arial" w:hAnsi="Arial" w:cs="Arial"/>
        </w:rPr>
        <w:tab/>
      </w:r>
    </w:p>
    <w:p w:rsidR="00DB60DA" w:rsidRDefault="00DB60DA" w:rsidP="00DB60DA">
      <w:pPr>
        <w:pStyle w:val="ListParagraph"/>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[31]</w:t>
      </w:r>
      <w:r>
        <w:rPr>
          <w:rFonts w:ascii="Arial" w:hAnsi="Arial Unicode MS" w:cs="Arial"/>
        </w:rPr>
        <w:tab/>
      </w:r>
      <w:r w:rsidR="00BD4261" w:rsidRPr="002040FC">
        <w:rPr>
          <w:rFonts w:ascii="Arial" w:hAnsi="Arial" w:cs="Arial"/>
        </w:rPr>
        <w:t>Clause 7.2.2.1 of the Mandate Agreement states:</w:t>
      </w:r>
    </w:p>
    <w:p w:rsidR="00FF22D2" w:rsidRPr="007441E4" w:rsidRDefault="007441E4" w:rsidP="009C76B9">
      <w:pPr>
        <w:pStyle w:val="ListParagraph"/>
        <w:spacing w:line="480" w:lineRule="auto"/>
        <w:ind w:left="2127" w:hanging="1308"/>
        <w:jc w:val="both"/>
        <w:rPr>
          <w:rFonts w:ascii="Arial" w:hAnsi="Arial" w:cs="Arial"/>
          <w:i/>
        </w:rPr>
      </w:pPr>
      <w:r>
        <w:rPr>
          <w:rFonts w:ascii="Arial" w:hAnsi="Arial" w:cs="Arial"/>
          <w:i/>
        </w:rPr>
        <w:t>“</w:t>
      </w:r>
      <w:r w:rsidR="00226469" w:rsidRPr="007441E4">
        <w:rPr>
          <w:rFonts w:ascii="Arial" w:hAnsi="Arial" w:cs="Arial"/>
          <w:i/>
        </w:rPr>
        <w:t>7.2.1</w:t>
      </w:r>
      <w:r w:rsidR="00226469" w:rsidRPr="007441E4">
        <w:rPr>
          <w:rFonts w:ascii="Arial" w:hAnsi="Arial" w:cs="Arial"/>
          <w:i/>
        </w:rPr>
        <w:tab/>
      </w:r>
      <w:r w:rsidR="00226469" w:rsidRPr="007441E4">
        <w:rPr>
          <w:rFonts w:ascii="Arial" w:hAnsi="Arial" w:cs="Arial"/>
          <w:i/>
        </w:rPr>
        <w:tab/>
        <w:t>A retainer fee of R150,000 (one hundred and fifty thousand Rand) (excluding VAT), payable monthly in arrears from the Commencement Date, within 7 Days of invoicing for the first three months following the signature of this agreement, renewable at Bayport’s sole election;</w:t>
      </w:r>
    </w:p>
    <w:p w:rsidR="00226469" w:rsidRDefault="00226469" w:rsidP="00226469">
      <w:pPr>
        <w:pStyle w:val="ListParagraph"/>
        <w:spacing w:line="480" w:lineRule="auto"/>
        <w:ind w:left="2159" w:hanging="1308"/>
        <w:jc w:val="both"/>
        <w:rPr>
          <w:rFonts w:ascii="Arial" w:hAnsi="Arial" w:cs="Arial"/>
          <w:i/>
        </w:rPr>
      </w:pPr>
      <w:r w:rsidRPr="007441E4">
        <w:rPr>
          <w:rFonts w:ascii="Arial" w:hAnsi="Arial" w:cs="Arial"/>
          <w:i/>
        </w:rPr>
        <w:t>7.2.2.1</w:t>
      </w:r>
      <w:r w:rsidRPr="007441E4">
        <w:rPr>
          <w:rFonts w:ascii="Arial" w:hAnsi="Arial" w:cs="Arial"/>
          <w:i/>
        </w:rPr>
        <w:tab/>
        <w:t>upon subscription of shares in Bayport by BBBEE Investor, an amount equal to 20% of the Advisory Fee up to a maximum of USD500,000.00 less any amounts paid under clause 7.2.1;</w:t>
      </w:r>
    </w:p>
    <w:p w:rsidR="00E37E11" w:rsidRPr="007441E4" w:rsidRDefault="00E37E11" w:rsidP="00226469">
      <w:pPr>
        <w:pStyle w:val="ListParagraph"/>
        <w:spacing w:line="480" w:lineRule="auto"/>
        <w:ind w:left="2159" w:hanging="1308"/>
        <w:jc w:val="both"/>
        <w:rPr>
          <w:rFonts w:ascii="Arial" w:hAnsi="Arial" w:cs="Arial"/>
          <w:i/>
        </w:rPr>
      </w:pPr>
    </w:p>
    <w:p w:rsidR="00BD4261" w:rsidRPr="002040FC" w:rsidRDefault="002040FC" w:rsidP="002040FC">
      <w:pPr>
        <w:spacing w:line="480" w:lineRule="auto"/>
        <w:ind w:left="851" w:hanging="851"/>
        <w:jc w:val="both"/>
        <w:rPr>
          <w:rFonts w:ascii="Arial" w:hAnsi="Arial" w:cs="Arial"/>
        </w:rPr>
      </w:pPr>
      <w:r>
        <w:rPr>
          <w:rFonts w:ascii="Arial" w:hAnsi="Arial Unicode MS" w:cs="Arial"/>
        </w:rPr>
        <w:lastRenderedPageBreak/>
        <w:t>[32]</w:t>
      </w:r>
      <w:r>
        <w:rPr>
          <w:rFonts w:ascii="Arial" w:hAnsi="Arial Unicode MS" w:cs="Arial"/>
        </w:rPr>
        <w:tab/>
      </w:r>
      <w:r w:rsidR="00BD4261" w:rsidRPr="002040FC">
        <w:rPr>
          <w:rFonts w:ascii="Arial" w:hAnsi="Arial" w:cs="Arial"/>
        </w:rPr>
        <w:t>However clause 7.2.2 inter alia states</w:t>
      </w:r>
    </w:p>
    <w:p w:rsidR="00BD4261" w:rsidRDefault="0071575A" w:rsidP="00033C20">
      <w:pPr>
        <w:pStyle w:val="ListParagraph"/>
        <w:spacing w:line="480" w:lineRule="auto"/>
        <w:ind w:left="2159" w:hanging="1308"/>
        <w:jc w:val="both"/>
        <w:rPr>
          <w:rFonts w:ascii="Arial" w:hAnsi="Arial" w:cs="Arial"/>
          <w:i/>
        </w:rPr>
      </w:pPr>
      <w:r w:rsidRPr="00316D0F">
        <w:rPr>
          <w:rFonts w:ascii="Arial" w:hAnsi="Arial" w:cs="Arial"/>
          <w:i/>
        </w:rPr>
        <w:softHyphen/>
      </w:r>
      <w:r>
        <w:rPr>
          <w:rFonts w:ascii="Arial" w:hAnsi="Arial" w:cs="Arial"/>
          <w:i/>
        </w:rPr>
        <w:t xml:space="preserve"> “</w:t>
      </w:r>
      <w:r w:rsidR="00033C20" w:rsidRPr="00316D0F">
        <w:rPr>
          <w:rFonts w:ascii="Arial" w:hAnsi="Arial" w:cs="Arial"/>
          <w:i/>
        </w:rPr>
        <w:t>7.2.2</w:t>
      </w:r>
      <w:r w:rsidR="00033C20" w:rsidRPr="00316D0F">
        <w:rPr>
          <w:rFonts w:ascii="Arial" w:hAnsi="Arial" w:cs="Arial"/>
          <w:i/>
        </w:rPr>
        <w:tab/>
      </w:r>
      <w:r w:rsidR="00033C20" w:rsidRPr="00316D0F">
        <w:rPr>
          <w:rFonts w:ascii="Arial" w:hAnsi="Arial" w:cs="Arial"/>
          <w:i/>
        </w:rPr>
        <w:tab/>
        <w:t>The remainder of the Advisory Fee shall be paid as a success fee on the following terms:</w:t>
      </w:r>
    </w:p>
    <w:p w:rsidR="00A22AED" w:rsidRPr="00A22AED" w:rsidRDefault="00A22AED" w:rsidP="00033C20">
      <w:pPr>
        <w:pStyle w:val="ListParagraph"/>
        <w:spacing w:line="480" w:lineRule="auto"/>
        <w:ind w:left="2159" w:hanging="1308"/>
        <w:jc w:val="both"/>
        <w:rPr>
          <w:rFonts w:ascii="Arial" w:hAnsi="Arial" w:cs="Arial"/>
          <w:i/>
        </w:rPr>
      </w:pPr>
      <w:r w:rsidRPr="00A22AED">
        <w:rPr>
          <w:rFonts w:ascii="Arial" w:hAnsi="Arial" w:cs="Arial"/>
          <w:i/>
        </w:rPr>
        <w:t>7.2.2.1</w:t>
      </w:r>
      <w:r w:rsidRPr="00A22AED">
        <w:rPr>
          <w:rFonts w:ascii="Arial" w:hAnsi="Arial" w:cs="Arial"/>
          <w:i/>
        </w:rPr>
        <w:tab/>
        <w:t>…</w:t>
      </w:r>
    </w:p>
    <w:p w:rsidR="00033C20" w:rsidRDefault="00033C20" w:rsidP="00033C20">
      <w:pPr>
        <w:pStyle w:val="ListParagraph"/>
        <w:spacing w:line="480" w:lineRule="auto"/>
        <w:ind w:left="2159" w:hanging="1308"/>
        <w:jc w:val="both"/>
        <w:rPr>
          <w:rFonts w:ascii="Arial" w:hAnsi="Arial" w:cs="Arial"/>
          <w:i/>
        </w:rPr>
      </w:pPr>
      <w:r w:rsidRPr="00316D0F">
        <w:rPr>
          <w:rFonts w:ascii="Arial" w:hAnsi="Arial" w:cs="Arial"/>
          <w:i/>
        </w:rPr>
        <w:t>7.2.2.2</w:t>
      </w:r>
      <w:r w:rsidRPr="00316D0F">
        <w:rPr>
          <w:rFonts w:ascii="Arial" w:hAnsi="Arial" w:cs="Arial"/>
          <w:i/>
        </w:rPr>
        <w:tab/>
        <w:t>upon subscription of shares in BFSSA by a suitable BBBEE Investor, an amount equal to 32% of the Advisory Fee up to a maximum of USD800,000.00 less any amounts paid under clause 7.2.1 not already</w:t>
      </w:r>
      <w:r w:rsidR="00E37E11">
        <w:rPr>
          <w:rFonts w:ascii="Arial" w:hAnsi="Arial" w:cs="Arial"/>
          <w:i/>
        </w:rPr>
        <w:t xml:space="preserve"> deducted under clause 7.2.2.1;”</w:t>
      </w:r>
    </w:p>
    <w:p w:rsidR="00E37E11" w:rsidRPr="00316D0F" w:rsidRDefault="00E37E11" w:rsidP="00033C20">
      <w:pPr>
        <w:pStyle w:val="ListParagraph"/>
        <w:spacing w:line="480" w:lineRule="auto"/>
        <w:ind w:left="2159" w:hanging="1308"/>
        <w:jc w:val="both"/>
        <w:rPr>
          <w:rFonts w:ascii="Arial" w:hAnsi="Arial" w:cs="Arial"/>
          <w:i/>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[33]</w:t>
      </w:r>
      <w:r>
        <w:rPr>
          <w:rFonts w:ascii="Arial" w:hAnsi="Arial Unicode MS" w:cs="Arial"/>
        </w:rPr>
        <w:tab/>
      </w:r>
      <w:r w:rsidR="00BD4261" w:rsidRPr="002040FC">
        <w:rPr>
          <w:rFonts w:ascii="Arial" w:hAnsi="Arial" w:cs="Arial"/>
        </w:rPr>
        <w:t xml:space="preserve">It is thus apparent that Bayport referenced an incorrect paragraph – Bayport argues </w:t>
      </w:r>
      <w:r w:rsidR="008B35DE" w:rsidRPr="002040FC">
        <w:rPr>
          <w:rFonts w:ascii="Arial" w:hAnsi="Arial" w:cs="Arial"/>
        </w:rPr>
        <w:t>that it is very clear</w:t>
      </w:r>
      <w:r w:rsidR="00F848C5" w:rsidRPr="002040FC">
        <w:rPr>
          <w:rFonts w:ascii="Arial" w:hAnsi="Arial" w:cs="Arial"/>
        </w:rPr>
        <w:t xml:space="preserve"> which paragraph is referred to and that</w:t>
      </w:r>
      <w:r w:rsidR="008B35DE" w:rsidRPr="002040FC">
        <w:rPr>
          <w:rFonts w:ascii="Arial" w:hAnsi="Arial" w:cs="Arial"/>
        </w:rPr>
        <w:t xml:space="preserve"> </w:t>
      </w:r>
      <w:r w:rsidR="00316D0F" w:rsidRPr="002040FC">
        <w:rPr>
          <w:rFonts w:ascii="Arial" w:hAnsi="Arial" w:cs="Arial"/>
        </w:rPr>
        <w:t>Khumovest’</w:t>
      </w:r>
      <w:r w:rsidR="008B35DE" w:rsidRPr="002040FC">
        <w:rPr>
          <w:rFonts w:ascii="Arial" w:hAnsi="Arial" w:cs="Arial"/>
        </w:rPr>
        <w:t xml:space="preserve">s avoidance of the question is not </w:t>
      </w:r>
      <w:r w:rsidR="00316D0F" w:rsidRPr="002040FC">
        <w:rPr>
          <w:rFonts w:ascii="Arial" w:hAnsi="Arial" w:cs="Arial"/>
        </w:rPr>
        <w:t>bona fide</w:t>
      </w:r>
      <w:r w:rsidR="00CA15D5" w:rsidRPr="002040FC">
        <w:rPr>
          <w:rFonts w:ascii="Arial" w:hAnsi="Arial" w:cs="Arial"/>
        </w:rPr>
        <w:t>. I</w:t>
      </w:r>
      <w:r w:rsidR="008B35DE" w:rsidRPr="002040FC">
        <w:rPr>
          <w:rFonts w:ascii="Arial" w:hAnsi="Arial" w:cs="Arial"/>
        </w:rPr>
        <w:t xml:space="preserve">t may be so that the incorrect paragraph in the Mandate Agreement is referenced, </w:t>
      </w:r>
      <w:r w:rsidR="00F848C5" w:rsidRPr="002040FC">
        <w:rPr>
          <w:rFonts w:ascii="Arial" w:hAnsi="Arial" w:cs="Arial"/>
        </w:rPr>
        <w:t xml:space="preserve">but </w:t>
      </w:r>
      <w:r w:rsidR="008B35DE" w:rsidRPr="002040FC">
        <w:rPr>
          <w:rFonts w:ascii="Arial" w:hAnsi="Arial" w:cs="Arial"/>
        </w:rPr>
        <w:t xml:space="preserve">Bayport is </w:t>
      </w:r>
      <w:r w:rsidR="00AD35DD" w:rsidRPr="002040FC">
        <w:rPr>
          <w:rFonts w:ascii="Arial" w:hAnsi="Arial" w:cs="Arial"/>
        </w:rPr>
        <w:t>o</w:t>
      </w:r>
      <w:r w:rsidR="007E7FF6" w:rsidRPr="002040FC">
        <w:rPr>
          <w:rFonts w:ascii="Arial" w:hAnsi="Arial" w:cs="Arial"/>
        </w:rPr>
        <w:t>b</w:t>
      </w:r>
      <w:r w:rsidR="00AD35DD" w:rsidRPr="002040FC">
        <w:rPr>
          <w:rFonts w:ascii="Arial" w:hAnsi="Arial" w:cs="Arial"/>
        </w:rPr>
        <w:t>liged to consider only that which is sought. In my view Bayport was entitled to respond as it did and these parti</w:t>
      </w:r>
      <w:r w:rsidR="005B1DBD" w:rsidRPr="002040FC">
        <w:rPr>
          <w:rFonts w:ascii="Arial" w:hAnsi="Arial" w:cs="Arial"/>
        </w:rPr>
        <w:t>culars</w:t>
      </w:r>
      <w:r w:rsidR="00AD35DD" w:rsidRPr="002040FC">
        <w:rPr>
          <w:rFonts w:ascii="Arial" w:hAnsi="Arial" w:cs="Arial"/>
        </w:rPr>
        <w:t xml:space="preserve"> are thus refused.</w:t>
      </w:r>
    </w:p>
    <w:p w:rsidR="00AD35DD" w:rsidRDefault="00AD35DD" w:rsidP="00786A87">
      <w:pPr>
        <w:spacing w:line="480" w:lineRule="auto"/>
        <w:jc w:val="both"/>
        <w:rPr>
          <w:rFonts w:ascii="Arial" w:hAnsi="Arial" w:cs="Arial"/>
        </w:rPr>
      </w:pPr>
    </w:p>
    <w:p w:rsidR="00786A87" w:rsidRPr="00786A87" w:rsidRDefault="00786A87" w:rsidP="00786A87">
      <w:pPr>
        <w:spacing w:line="480" w:lineRule="auto"/>
        <w:jc w:val="both"/>
        <w:rPr>
          <w:rFonts w:ascii="Arial" w:hAnsi="Arial" w:cs="Arial"/>
          <w:b/>
        </w:rPr>
      </w:pPr>
      <w:r w:rsidRPr="00786A87">
        <w:rPr>
          <w:rFonts w:ascii="Arial" w:hAnsi="Arial" w:cs="Arial"/>
          <w:b/>
        </w:rPr>
        <w:t>PARAGRAPH 12.2 OF THE RFP</w:t>
      </w:r>
    </w:p>
    <w:p w:rsidR="0087110F" w:rsidRPr="002040FC" w:rsidRDefault="002040FC" w:rsidP="002040FC">
      <w:pPr>
        <w:spacing w:line="480" w:lineRule="auto"/>
        <w:ind w:left="851" w:hanging="851"/>
        <w:jc w:val="both"/>
        <w:rPr>
          <w:rFonts w:ascii="Arial" w:hAnsi="Arial" w:cs="Arial"/>
        </w:rPr>
      </w:pPr>
      <w:r>
        <w:rPr>
          <w:rFonts w:ascii="Arial" w:hAnsi="Arial Unicode MS" w:cs="Arial"/>
        </w:rPr>
        <w:t>[34]</w:t>
      </w:r>
      <w:r>
        <w:rPr>
          <w:rFonts w:ascii="Arial" w:hAnsi="Arial Unicode MS" w:cs="Arial"/>
        </w:rPr>
        <w:tab/>
      </w:r>
      <w:r w:rsidR="00112A26" w:rsidRPr="002040FC">
        <w:rPr>
          <w:rFonts w:ascii="Arial" w:hAnsi="Arial" w:cs="Arial"/>
        </w:rPr>
        <w:t>Paragraphs</w:t>
      </w:r>
      <w:r w:rsidR="00786A87" w:rsidRPr="002040FC">
        <w:rPr>
          <w:rFonts w:ascii="Arial" w:hAnsi="Arial" w:cs="Arial"/>
        </w:rPr>
        <w:t xml:space="preserve"> 18 and 19 of the Intendit state:</w:t>
      </w:r>
    </w:p>
    <w:p w:rsidR="00786A87" w:rsidRPr="00CE0F3C" w:rsidRDefault="00001C87" w:rsidP="00CE0F3C">
      <w:pPr>
        <w:pStyle w:val="ListParagraph"/>
        <w:spacing w:line="480" w:lineRule="auto"/>
        <w:ind w:left="1439" w:hanging="588"/>
        <w:jc w:val="both"/>
        <w:rPr>
          <w:rFonts w:ascii="Arial" w:hAnsi="Arial" w:cs="Arial"/>
          <w:i/>
        </w:rPr>
      </w:pPr>
      <w:r w:rsidRPr="00CE0F3C">
        <w:rPr>
          <w:rFonts w:ascii="Arial" w:hAnsi="Arial" w:cs="Arial"/>
          <w:i/>
        </w:rPr>
        <w:t>“18.</w:t>
      </w:r>
      <w:r w:rsidRPr="00CE0F3C">
        <w:rPr>
          <w:rFonts w:ascii="Arial" w:hAnsi="Arial" w:cs="Arial"/>
          <w:i/>
        </w:rPr>
        <w:tab/>
        <w:t>Bayport Mauritius is in the process of seeking to implement a transaction resulting in Bayport SA acquiring a controlling interest in Mercantile Bank Limited, being a bank located in the Republic of South Africa (“</w:t>
      </w:r>
      <w:r w:rsidRPr="00CE0F3C">
        <w:rPr>
          <w:rFonts w:ascii="Arial" w:hAnsi="Arial" w:cs="Arial"/>
          <w:b/>
          <w:i/>
        </w:rPr>
        <w:t>the Mercantile Bank Transaction</w:t>
      </w:r>
      <w:r w:rsidRPr="00CE0F3C">
        <w:rPr>
          <w:rFonts w:ascii="Arial" w:hAnsi="Arial" w:cs="Arial"/>
          <w:i/>
        </w:rPr>
        <w:t>”).</w:t>
      </w:r>
    </w:p>
    <w:p w:rsidR="00001C87" w:rsidRDefault="00001C87" w:rsidP="00CE0F3C">
      <w:pPr>
        <w:pStyle w:val="ListParagraph"/>
        <w:spacing w:line="480" w:lineRule="auto"/>
        <w:ind w:left="1439" w:hanging="588"/>
        <w:jc w:val="both"/>
        <w:rPr>
          <w:rFonts w:ascii="Arial" w:hAnsi="Arial" w:cs="Arial"/>
          <w:i/>
        </w:rPr>
      </w:pPr>
      <w:r w:rsidRPr="00CE0F3C">
        <w:rPr>
          <w:rFonts w:ascii="Arial" w:hAnsi="Arial" w:cs="Arial"/>
          <w:i/>
        </w:rPr>
        <w:t>19.</w:t>
      </w:r>
      <w:r w:rsidRPr="00CE0F3C">
        <w:rPr>
          <w:rFonts w:ascii="Arial" w:hAnsi="Arial" w:cs="Arial"/>
          <w:i/>
        </w:rPr>
        <w:tab/>
        <w:t>The Mercantile Bank Transaction accords with the definition of New BEE Transaction in clause 2.1.17 of the Mandate Agreement (step 3).</w:t>
      </w:r>
      <w:r w:rsidR="00434634">
        <w:rPr>
          <w:rFonts w:ascii="Arial" w:hAnsi="Arial" w:cs="Arial"/>
          <w:i/>
        </w:rPr>
        <w:t>”</w:t>
      </w:r>
    </w:p>
    <w:p w:rsidR="00CE0F3C" w:rsidRPr="00CE0F3C" w:rsidRDefault="00CE0F3C" w:rsidP="00CE0F3C">
      <w:pPr>
        <w:pStyle w:val="ListParagraph"/>
        <w:spacing w:line="480" w:lineRule="auto"/>
        <w:ind w:left="1439" w:hanging="588"/>
        <w:jc w:val="both"/>
        <w:rPr>
          <w:rFonts w:ascii="Arial" w:hAnsi="Arial" w:cs="Arial"/>
          <w:i/>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lastRenderedPageBreak/>
        <w:t>[35]</w:t>
      </w:r>
      <w:r>
        <w:rPr>
          <w:rFonts w:ascii="Arial" w:hAnsi="Arial Unicode MS" w:cs="Arial"/>
        </w:rPr>
        <w:tab/>
      </w:r>
      <w:r w:rsidR="00786A87" w:rsidRPr="002040FC">
        <w:rPr>
          <w:rFonts w:ascii="Arial" w:hAnsi="Arial" w:cs="Arial"/>
        </w:rPr>
        <w:t>The information sought in paragraph 12.2 pertains to the Mercantile Bank Transaction and includes a) the identity of the members of the proposed consortium, b) wh</w:t>
      </w:r>
      <w:r w:rsidR="00112A26" w:rsidRPr="002040FC">
        <w:rPr>
          <w:rFonts w:ascii="Arial" w:hAnsi="Arial" w:cs="Arial"/>
        </w:rPr>
        <w:t>e</w:t>
      </w:r>
      <w:r w:rsidR="00786A87" w:rsidRPr="002040FC">
        <w:rPr>
          <w:rFonts w:ascii="Arial" w:hAnsi="Arial" w:cs="Arial"/>
        </w:rPr>
        <w:t>ther and when the Minister of Finance approved the transaction</w:t>
      </w:r>
      <w:r w:rsidR="00786A87">
        <w:rPr>
          <w:rStyle w:val="FootnoteReference"/>
          <w:rFonts w:ascii="Arial" w:hAnsi="Arial" w:cs="Arial"/>
        </w:rPr>
        <w:footnoteReference w:id="9"/>
      </w:r>
      <w:r w:rsidR="00284A99" w:rsidRPr="002040FC">
        <w:rPr>
          <w:rFonts w:ascii="Arial" w:hAnsi="Arial" w:cs="Arial"/>
        </w:rPr>
        <w:t>, c) whether and when the Pr</w:t>
      </w:r>
      <w:r w:rsidR="00CC7FE7" w:rsidRPr="002040FC">
        <w:rPr>
          <w:rFonts w:ascii="Arial" w:hAnsi="Arial" w:cs="Arial"/>
        </w:rPr>
        <w:t>u</w:t>
      </w:r>
      <w:r w:rsidR="00284A99" w:rsidRPr="002040FC">
        <w:rPr>
          <w:rFonts w:ascii="Arial" w:hAnsi="Arial" w:cs="Arial"/>
        </w:rPr>
        <w:t>dential Authority approved the transaction</w:t>
      </w:r>
      <w:r w:rsidR="00284A99">
        <w:rPr>
          <w:rStyle w:val="FootnoteReference"/>
          <w:rFonts w:ascii="Arial" w:hAnsi="Arial" w:cs="Arial"/>
        </w:rPr>
        <w:footnoteReference w:id="10"/>
      </w:r>
      <w:r w:rsidR="009D3A50" w:rsidRPr="002040FC">
        <w:rPr>
          <w:rFonts w:ascii="Arial" w:hAnsi="Arial" w:cs="Arial"/>
        </w:rPr>
        <w:t>.</w:t>
      </w:r>
    </w:p>
    <w:p w:rsidR="00D27963" w:rsidRDefault="00D27963" w:rsidP="00D27963">
      <w:pPr>
        <w:pStyle w:val="ListParagraph"/>
        <w:spacing w:line="480" w:lineRule="auto"/>
        <w:ind w:left="851"/>
        <w:jc w:val="both"/>
        <w:rPr>
          <w:rFonts w:ascii="Arial" w:hAnsi="Arial" w:cs="Arial"/>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[36]</w:t>
      </w:r>
      <w:r>
        <w:rPr>
          <w:rFonts w:ascii="Arial" w:hAnsi="Arial Unicode MS" w:cs="Arial"/>
        </w:rPr>
        <w:tab/>
      </w:r>
      <w:r w:rsidR="009D3A50" w:rsidRPr="002040FC">
        <w:rPr>
          <w:rFonts w:ascii="Arial" w:hAnsi="Arial" w:cs="Arial"/>
        </w:rPr>
        <w:t>Khumovest’s response is the following:</w:t>
      </w:r>
    </w:p>
    <w:p w:rsidR="00D27963" w:rsidRPr="00D27963" w:rsidRDefault="00D27963" w:rsidP="00D27963">
      <w:pPr>
        <w:pStyle w:val="ListParagraph"/>
        <w:spacing w:line="480" w:lineRule="auto"/>
        <w:ind w:left="2159" w:hanging="1308"/>
        <w:jc w:val="both"/>
        <w:rPr>
          <w:rFonts w:ascii="Arial" w:hAnsi="Arial" w:cs="Arial"/>
          <w:i/>
        </w:rPr>
      </w:pPr>
      <w:r>
        <w:rPr>
          <w:rFonts w:ascii="Arial" w:hAnsi="Arial" w:cs="Arial"/>
          <w:i/>
        </w:rPr>
        <w:t>“</w:t>
      </w:r>
      <w:r w:rsidRPr="00D27963">
        <w:rPr>
          <w:rFonts w:ascii="Arial" w:hAnsi="Arial" w:cs="Arial"/>
          <w:i/>
        </w:rPr>
        <w:t>12.1.1</w:t>
      </w:r>
      <w:r w:rsidRPr="00D27963">
        <w:rPr>
          <w:rFonts w:ascii="Arial" w:hAnsi="Arial" w:cs="Arial"/>
          <w:i/>
        </w:rPr>
        <w:tab/>
        <w:t>Paragraph 19 of the plea does not contain an allegation that “the ‘Mercantile Bank Transaction’ accords with that definition”.</w:t>
      </w:r>
    </w:p>
    <w:p w:rsidR="00D27963" w:rsidRDefault="00D27963" w:rsidP="00D27963">
      <w:pPr>
        <w:pStyle w:val="ListParagraph"/>
        <w:spacing w:line="480" w:lineRule="auto"/>
        <w:ind w:left="2159" w:hanging="1308"/>
        <w:jc w:val="both"/>
        <w:rPr>
          <w:rFonts w:ascii="Arial" w:hAnsi="Arial" w:cs="Arial"/>
          <w:i/>
        </w:rPr>
      </w:pPr>
      <w:r w:rsidRPr="00D27963">
        <w:rPr>
          <w:rFonts w:ascii="Arial" w:hAnsi="Arial" w:cs="Arial"/>
          <w:i/>
        </w:rPr>
        <w:t>12.1.2</w:t>
      </w:r>
      <w:r w:rsidRPr="00D27963">
        <w:rPr>
          <w:rFonts w:ascii="Arial" w:hAnsi="Arial" w:cs="Arial"/>
          <w:i/>
        </w:rPr>
        <w:tab/>
        <w:t>The particularity sought accordingly cannot be provided, as it is not understood.</w:t>
      </w:r>
      <w:r w:rsidR="0008630C">
        <w:rPr>
          <w:rFonts w:ascii="Arial" w:hAnsi="Arial" w:cs="Arial"/>
          <w:i/>
        </w:rPr>
        <w:t>”</w:t>
      </w:r>
    </w:p>
    <w:p w:rsidR="00D27963" w:rsidRPr="00D27963" w:rsidRDefault="00D27963" w:rsidP="00D27963">
      <w:pPr>
        <w:pStyle w:val="ListParagraph"/>
        <w:spacing w:line="480" w:lineRule="auto"/>
        <w:ind w:left="2159" w:hanging="1308"/>
        <w:jc w:val="both"/>
        <w:rPr>
          <w:rFonts w:ascii="Arial" w:hAnsi="Arial" w:cs="Arial"/>
          <w:i/>
        </w:rPr>
      </w:pPr>
    </w:p>
    <w:p w:rsidR="009D3A50" w:rsidRPr="002040FC" w:rsidRDefault="002040FC" w:rsidP="002040FC">
      <w:pPr>
        <w:spacing w:line="480" w:lineRule="auto"/>
        <w:ind w:left="851" w:hanging="851"/>
        <w:jc w:val="both"/>
        <w:rPr>
          <w:rFonts w:ascii="Arial" w:hAnsi="Arial" w:cs="Arial"/>
        </w:rPr>
      </w:pPr>
      <w:r>
        <w:rPr>
          <w:rFonts w:ascii="Arial" w:hAnsi="Arial Unicode MS" w:cs="Arial"/>
        </w:rPr>
        <w:t>[37]</w:t>
      </w:r>
      <w:r>
        <w:rPr>
          <w:rFonts w:ascii="Arial" w:hAnsi="Arial Unicode MS" w:cs="Arial"/>
        </w:rPr>
        <w:tab/>
      </w:r>
      <w:r w:rsidR="009D3A50" w:rsidRPr="002040FC">
        <w:rPr>
          <w:rFonts w:ascii="Arial" w:hAnsi="Arial" w:cs="Arial"/>
        </w:rPr>
        <w:t xml:space="preserve">But the response from Khumovest is incorrect: </w:t>
      </w:r>
      <w:r w:rsidR="00112A26" w:rsidRPr="002040FC">
        <w:rPr>
          <w:rFonts w:ascii="Arial" w:hAnsi="Arial" w:cs="Arial"/>
        </w:rPr>
        <w:t>firstly,</w:t>
      </w:r>
      <w:r w:rsidR="009D3A50" w:rsidRPr="002040FC">
        <w:rPr>
          <w:rFonts w:ascii="Arial" w:hAnsi="Arial" w:cs="Arial"/>
        </w:rPr>
        <w:t xml:space="preserve"> it specifically alleges in paragraph 19 of the Intendit </w:t>
      </w:r>
      <w:r w:rsidR="00DE1DC8" w:rsidRPr="002040FC">
        <w:rPr>
          <w:rFonts w:ascii="Arial" w:hAnsi="Arial" w:cs="Arial"/>
        </w:rPr>
        <w:t>t</w:t>
      </w:r>
      <w:r w:rsidR="009D3A50" w:rsidRPr="002040FC">
        <w:rPr>
          <w:rFonts w:ascii="Arial" w:hAnsi="Arial" w:cs="Arial"/>
        </w:rPr>
        <w:t>hat the Mercantile Bank Transaction accords with the definition of New BEE Transaction in clause 2.1.17 of the Mandate Agreement and</w:t>
      </w:r>
      <w:r w:rsidR="00DE1DC8" w:rsidRPr="002040FC">
        <w:rPr>
          <w:rFonts w:ascii="Arial" w:hAnsi="Arial" w:cs="Arial"/>
        </w:rPr>
        <w:t>,</w:t>
      </w:r>
      <w:r w:rsidR="009D3A50" w:rsidRPr="002040FC">
        <w:rPr>
          <w:rFonts w:ascii="Arial" w:hAnsi="Arial" w:cs="Arial"/>
        </w:rPr>
        <w:t xml:space="preserve"> secondly</w:t>
      </w:r>
      <w:r w:rsidR="00DE1DC8" w:rsidRPr="002040FC">
        <w:rPr>
          <w:rFonts w:ascii="Arial" w:hAnsi="Arial" w:cs="Arial"/>
        </w:rPr>
        <w:t>,</w:t>
      </w:r>
      <w:r w:rsidR="009D3A50" w:rsidRPr="002040FC">
        <w:rPr>
          <w:rFonts w:ascii="Arial" w:hAnsi="Arial" w:cs="Arial"/>
        </w:rPr>
        <w:t xml:space="preserve"> clause 2.1.17 of the Mandate Agreement defines a “New BBBEE Transaction” as </w:t>
      </w:r>
    </w:p>
    <w:p w:rsidR="00DE1DC8" w:rsidRPr="00DE1DC8" w:rsidRDefault="00DE1DC8" w:rsidP="00DE1DC8">
      <w:pPr>
        <w:pStyle w:val="ListParagraph"/>
        <w:spacing w:line="480" w:lineRule="auto"/>
        <w:ind w:left="2159" w:hanging="1308"/>
        <w:jc w:val="both"/>
        <w:rPr>
          <w:rFonts w:ascii="Arial" w:hAnsi="Arial" w:cs="Arial"/>
          <w:i/>
        </w:rPr>
      </w:pPr>
      <w:r w:rsidRPr="00DE1DC8">
        <w:rPr>
          <w:rFonts w:ascii="Arial" w:hAnsi="Arial" w:cs="Arial"/>
          <w:i/>
        </w:rPr>
        <w:t>“2.1.17</w:t>
      </w:r>
      <w:r w:rsidRPr="00DE1DC8">
        <w:rPr>
          <w:rFonts w:ascii="Arial" w:hAnsi="Arial" w:cs="Arial"/>
          <w:i/>
        </w:rPr>
        <w:tab/>
        <w:t>“New BBBEE Transaction” means a transaction in terms of which a consortium satisfying the requirements of BBBEE, consisting of:</w:t>
      </w:r>
    </w:p>
    <w:p w:rsidR="00DE1DC8" w:rsidRPr="00DE1DC8" w:rsidRDefault="00DE1DC8" w:rsidP="00DE1DC8">
      <w:pPr>
        <w:pStyle w:val="ListParagraph"/>
        <w:spacing w:line="480" w:lineRule="auto"/>
        <w:ind w:left="851"/>
        <w:jc w:val="both"/>
        <w:rPr>
          <w:rFonts w:ascii="Arial" w:hAnsi="Arial" w:cs="Arial"/>
          <w:i/>
        </w:rPr>
      </w:pPr>
      <w:r w:rsidRPr="00DE1DC8">
        <w:rPr>
          <w:rFonts w:ascii="Arial" w:hAnsi="Arial" w:cs="Arial"/>
          <w:i/>
        </w:rPr>
        <w:t>2.1.17.1</w:t>
      </w:r>
      <w:r w:rsidRPr="00DE1DC8">
        <w:rPr>
          <w:rFonts w:ascii="Arial" w:hAnsi="Arial" w:cs="Arial"/>
          <w:i/>
        </w:rPr>
        <w:tab/>
        <w:t>BFSSA;</w:t>
      </w:r>
    </w:p>
    <w:p w:rsidR="00DE1DC8" w:rsidRPr="00DE1DC8" w:rsidRDefault="00DE1DC8" w:rsidP="00DE1DC8">
      <w:pPr>
        <w:pStyle w:val="ListParagraph"/>
        <w:spacing w:line="480" w:lineRule="auto"/>
        <w:ind w:left="851"/>
        <w:jc w:val="both"/>
        <w:rPr>
          <w:rFonts w:ascii="Arial" w:hAnsi="Arial" w:cs="Arial"/>
          <w:i/>
        </w:rPr>
      </w:pPr>
      <w:r w:rsidRPr="00DE1DC8">
        <w:rPr>
          <w:rFonts w:ascii="Arial" w:hAnsi="Arial" w:cs="Arial"/>
          <w:i/>
        </w:rPr>
        <w:t>2.1.17.2</w:t>
      </w:r>
      <w:r w:rsidRPr="00DE1DC8">
        <w:rPr>
          <w:rFonts w:ascii="Arial" w:hAnsi="Arial" w:cs="Arial"/>
          <w:i/>
        </w:rPr>
        <w:tab/>
        <w:t>Telkom; and/or</w:t>
      </w:r>
    </w:p>
    <w:p w:rsidR="00DE1DC8" w:rsidRPr="00DE1DC8" w:rsidRDefault="00DE1DC8" w:rsidP="00DE1DC8">
      <w:pPr>
        <w:pStyle w:val="ListParagraph"/>
        <w:spacing w:line="480" w:lineRule="auto"/>
        <w:ind w:left="851"/>
        <w:jc w:val="both"/>
        <w:rPr>
          <w:rFonts w:ascii="Arial" w:hAnsi="Arial" w:cs="Arial"/>
          <w:i/>
        </w:rPr>
      </w:pPr>
      <w:r w:rsidRPr="00DE1DC8">
        <w:rPr>
          <w:rFonts w:ascii="Arial" w:hAnsi="Arial" w:cs="Arial"/>
          <w:i/>
        </w:rPr>
        <w:t>2.1.17.3</w:t>
      </w:r>
      <w:r w:rsidRPr="00DE1DC8">
        <w:rPr>
          <w:rFonts w:ascii="Arial" w:hAnsi="Arial" w:cs="Arial"/>
          <w:i/>
        </w:rPr>
        <w:tab/>
        <w:t>a BBBEE Investor,</w:t>
      </w:r>
    </w:p>
    <w:p w:rsidR="00DE1DC8" w:rsidRDefault="00DE1DC8" w:rsidP="00DE1DC8">
      <w:pPr>
        <w:pStyle w:val="ListParagraph"/>
        <w:spacing w:line="480" w:lineRule="auto"/>
        <w:ind w:left="851"/>
        <w:jc w:val="both"/>
        <w:rPr>
          <w:rFonts w:ascii="Arial" w:hAnsi="Arial" w:cs="Arial"/>
          <w:i/>
        </w:rPr>
      </w:pPr>
      <w:r w:rsidRPr="00DE1DC8">
        <w:rPr>
          <w:rFonts w:ascii="Arial" w:hAnsi="Arial" w:cs="Arial"/>
          <w:i/>
        </w:rPr>
        <w:lastRenderedPageBreak/>
        <w:t xml:space="preserve">acquires a controlling interest in a bank located </w:t>
      </w:r>
      <w:r w:rsidR="00CD0D71">
        <w:rPr>
          <w:rFonts w:ascii="Arial" w:hAnsi="Arial" w:cs="Arial"/>
          <w:i/>
        </w:rPr>
        <w:t>in the Republic of South Africa.”</w:t>
      </w:r>
    </w:p>
    <w:p w:rsidR="00DE1DC8" w:rsidRPr="00DE1DC8" w:rsidRDefault="00DE1DC8" w:rsidP="00DE1DC8">
      <w:pPr>
        <w:pStyle w:val="ListParagraph"/>
        <w:spacing w:line="480" w:lineRule="auto"/>
        <w:ind w:left="851"/>
        <w:jc w:val="both"/>
        <w:rPr>
          <w:rFonts w:ascii="Arial" w:hAnsi="Arial" w:cs="Arial"/>
          <w:i/>
        </w:rPr>
      </w:pPr>
    </w:p>
    <w:p w:rsidR="007A1660" w:rsidRPr="002040FC" w:rsidRDefault="002040FC" w:rsidP="002040FC">
      <w:pPr>
        <w:spacing w:line="480" w:lineRule="auto"/>
        <w:ind w:left="851" w:hanging="851"/>
        <w:jc w:val="both"/>
        <w:rPr>
          <w:rFonts w:ascii="Arial" w:hAnsi="Arial" w:cs="Arial"/>
        </w:rPr>
      </w:pPr>
      <w:r>
        <w:rPr>
          <w:rFonts w:ascii="Arial" w:hAnsi="Arial Unicode MS" w:cs="Arial"/>
        </w:rPr>
        <w:t>[38]</w:t>
      </w:r>
      <w:r>
        <w:rPr>
          <w:rFonts w:ascii="Arial" w:hAnsi="Arial Unicode MS" w:cs="Arial"/>
        </w:rPr>
        <w:tab/>
      </w:r>
      <w:r w:rsidR="009D3A50" w:rsidRPr="002040FC">
        <w:rPr>
          <w:rFonts w:ascii="Arial" w:hAnsi="Arial" w:cs="Arial"/>
        </w:rPr>
        <w:t>In my view the particularity sought as regards the members of the consortium</w:t>
      </w:r>
      <w:r w:rsidR="002A1AF8">
        <w:rPr>
          <w:rStyle w:val="FootnoteReference"/>
          <w:rFonts w:ascii="Arial" w:hAnsi="Arial" w:cs="Arial"/>
        </w:rPr>
        <w:footnoteReference w:id="11"/>
      </w:r>
      <w:r w:rsidR="002A1AF8" w:rsidRPr="002040FC">
        <w:rPr>
          <w:rFonts w:ascii="Arial" w:hAnsi="Arial" w:cs="Arial"/>
        </w:rPr>
        <w:t xml:space="preserve"> </w:t>
      </w:r>
      <w:r w:rsidR="009D3A50" w:rsidRPr="002040FC">
        <w:rPr>
          <w:rFonts w:ascii="Arial" w:hAnsi="Arial" w:cs="Arial"/>
        </w:rPr>
        <w:t xml:space="preserve"> must be provided to Bayport. These are indeed necessary for preparation for trial</w:t>
      </w:r>
      <w:r w:rsidR="002A1AF8" w:rsidRPr="002040FC">
        <w:rPr>
          <w:rFonts w:ascii="Arial" w:hAnsi="Arial" w:cs="Arial"/>
        </w:rPr>
        <w:t xml:space="preserve">. </w:t>
      </w:r>
      <w:r w:rsidR="009C4138" w:rsidRPr="002040FC">
        <w:rPr>
          <w:rFonts w:ascii="Arial" w:hAnsi="Arial" w:cs="Arial"/>
        </w:rPr>
        <w:t>As regards the remainder</w:t>
      </w:r>
      <w:r w:rsidR="009C4138">
        <w:rPr>
          <w:rStyle w:val="FootnoteReference"/>
          <w:rFonts w:ascii="Arial" w:hAnsi="Arial" w:cs="Arial"/>
        </w:rPr>
        <w:footnoteReference w:id="12"/>
      </w:r>
      <w:r w:rsidR="00E272CD" w:rsidRPr="002040FC">
        <w:rPr>
          <w:rFonts w:ascii="Arial" w:hAnsi="Arial" w:cs="Arial"/>
        </w:rPr>
        <w:t xml:space="preserve">, </w:t>
      </w:r>
      <w:r w:rsidR="00095B40" w:rsidRPr="002040FC">
        <w:rPr>
          <w:rFonts w:ascii="Arial" w:hAnsi="Arial" w:cs="Arial"/>
        </w:rPr>
        <w:t>Bayport has</w:t>
      </w:r>
      <w:r w:rsidR="00951226" w:rsidRPr="002040FC">
        <w:rPr>
          <w:rFonts w:ascii="Arial" w:hAnsi="Arial" w:cs="Arial"/>
        </w:rPr>
        <w:t xml:space="preserve"> other avenues open to it to explore the information sought </w:t>
      </w:r>
      <w:r w:rsidR="00E272CD" w:rsidRPr="002040FC">
        <w:rPr>
          <w:rFonts w:ascii="Arial" w:hAnsi="Arial" w:cs="Arial"/>
        </w:rPr>
        <w:t>and must utilise those. Given this, Bayport can avoid surprise or embarrassment at trial by the utilisation of these other avenues.</w:t>
      </w:r>
    </w:p>
    <w:p w:rsidR="00E272CD" w:rsidRPr="00E272CD" w:rsidRDefault="00E272CD" w:rsidP="00E272CD">
      <w:pPr>
        <w:pStyle w:val="ListParagraph"/>
        <w:spacing w:line="480" w:lineRule="auto"/>
        <w:ind w:left="851"/>
        <w:jc w:val="both"/>
        <w:rPr>
          <w:rFonts w:ascii="Arial" w:hAnsi="Arial" w:cs="Arial"/>
        </w:rPr>
      </w:pPr>
    </w:p>
    <w:p w:rsidR="0087110F" w:rsidRPr="007A1660" w:rsidRDefault="007A1660" w:rsidP="007A1660">
      <w:pPr>
        <w:spacing w:line="480" w:lineRule="auto"/>
        <w:jc w:val="both"/>
        <w:rPr>
          <w:rFonts w:ascii="Arial" w:hAnsi="Arial" w:cs="Arial"/>
          <w:b/>
        </w:rPr>
      </w:pPr>
      <w:r w:rsidRPr="007A1660">
        <w:rPr>
          <w:rFonts w:ascii="Arial" w:hAnsi="Arial" w:cs="Arial"/>
          <w:b/>
        </w:rPr>
        <w:t>PARAGRAPH 14 OF THE RFP</w:t>
      </w:r>
    </w:p>
    <w:p w:rsidR="0087110F" w:rsidRPr="002040FC" w:rsidRDefault="002040FC" w:rsidP="002040FC">
      <w:pPr>
        <w:spacing w:line="480" w:lineRule="auto"/>
        <w:ind w:left="851" w:hanging="851"/>
        <w:jc w:val="both"/>
        <w:rPr>
          <w:rFonts w:ascii="Arial" w:hAnsi="Arial" w:cs="Arial"/>
        </w:rPr>
      </w:pPr>
      <w:r>
        <w:rPr>
          <w:rFonts w:ascii="Arial" w:hAnsi="Arial Unicode MS" w:cs="Arial"/>
        </w:rPr>
        <w:t>[39]</w:t>
      </w:r>
      <w:r>
        <w:rPr>
          <w:rFonts w:ascii="Arial" w:hAnsi="Arial Unicode MS" w:cs="Arial"/>
        </w:rPr>
        <w:tab/>
      </w:r>
      <w:r w:rsidR="007A1660" w:rsidRPr="002040FC">
        <w:rPr>
          <w:rFonts w:ascii="Arial" w:hAnsi="Arial" w:cs="Arial"/>
        </w:rPr>
        <w:t>Paragraphs 27.1 and 29 of the Intendit relate to the alternative claim</w:t>
      </w:r>
      <w:r w:rsidR="00AA5324" w:rsidRPr="002040FC">
        <w:rPr>
          <w:rFonts w:ascii="Arial" w:hAnsi="Arial" w:cs="Arial"/>
        </w:rPr>
        <w:t>,</w:t>
      </w:r>
      <w:r w:rsidR="007A1660" w:rsidRPr="002040FC">
        <w:rPr>
          <w:rFonts w:ascii="Arial" w:hAnsi="Arial" w:cs="Arial"/>
        </w:rPr>
        <w:t xml:space="preserve"> ie the “New Agreement”</w:t>
      </w:r>
      <w:r w:rsidR="00AA5324" w:rsidRPr="002040FC">
        <w:rPr>
          <w:rFonts w:ascii="Arial" w:hAnsi="Arial" w:cs="Arial"/>
        </w:rPr>
        <w:t>,</w:t>
      </w:r>
      <w:r w:rsidR="007A1660" w:rsidRPr="002040FC">
        <w:rPr>
          <w:rFonts w:ascii="Arial" w:hAnsi="Arial" w:cs="Arial"/>
        </w:rPr>
        <w:t xml:space="preserve"> and state:</w:t>
      </w:r>
    </w:p>
    <w:p w:rsidR="00F923B5" w:rsidRPr="00C35354" w:rsidRDefault="00C35354" w:rsidP="00F923B5">
      <w:pPr>
        <w:pStyle w:val="ListParagraph"/>
        <w:spacing w:line="480" w:lineRule="auto"/>
        <w:ind w:left="851"/>
        <w:jc w:val="both"/>
        <w:rPr>
          <w:rFonts w:ascii="Arial" w:hAnsi="Arial" w:cs="Arial"/>
          <w:i/>
        </w:rPr>
      </w:pPr>
      <w:r>
        <w:rPr>
          <w:rFonts w:ascii="Arial" w:hAnsi="Arial" w:cs="Arial"/>
          <w:i/>
        </w:rPr>
        <w:t>“</w:t>
      </w:r>
      <w:r w:rsidRPr="00C35354">
        <w:rPr>
          <w:rFonts w:ascii="Arial" w:hAnsi="Arial" w:cs="Arial"/>
          <w:i/>
        </w:rPr>
        <w:t>27.1</w:t>
      </w:r>
      <w:r w:rsidRPr="00C35354">
        <w:rPr>
          <w:rFonts w:ascii="Arial" w:hAnsi="Arial" w:cs="Arial"/>
          <w:i/>
        </w:rPr>
        <w:tab/>
      </w:r>
      <w:r w:rsidRPr="00C35354">
        <w:rPr>
          <w:rFonts w:ascii="Arial" w:hAnsi="Arial" w:cs="Arial"/>
          <w:i/>
        </w:rPr>
        <w:tab/>
        <w:t>Bayport Mauritius intended to implement a BEE Transaction (“BEE Transaction 2.0”) resulting in BEE Investor acquiring:</w:t>
      </w:r>
    </w:p>
    <w:p w:rsidR="00C35354" w:rsidRPr="00C35354" w:rsidRDefault="00C35354" w:rsidP="00F923B5">
      <w:pPr>
        <w:pStyle w:val="ListParagraph"/>
        <w:spacing w:line="480" w:lineRule="auto"/>
        <w:ind w:left="851"/>
        <w:jc w:val="both"/>
        <w:rPr>
          <w:rFonts w:ascii="Arial" w:hAnsi="Arial" w:cs="Arial"/>
          <w:i/>
        </w:rPr>
      </w:pPr>
      <w:r w:rsidRPr="00C35354">
        <w:rPr>
          <w:rFonts w:ascii="Arial" w:hAnsi="Arial" w:cs="Arial"/>
          <w:i/>
        </w:rPr>
        <w:t>27.1.1</w:t>
      </w:r>
      <w:r w:rsidRPr="00C35354">
        <w:rPr>
          <w:rFonts w:ascii="Arial" w:hAnsi="Arial" w:cs="Arial"/>
          <w:i/>
        </w:rPr>
        <w:tab/>
        <w:t>A 10% equity interest in Bayport Mauritius upon listing;</w:t>
      </w:r>
    </w:p>
    <w:p w:rsidR="00C35354" w:rsidRPr="00C35354" w:rsidRDefault="00C35354" w:rsidP="00F923B5">
      <w:pPr>
        <w:pStyle w:val="ListParagraph"/>
        <w:spacing w:line="480" w:lineRule="auto"/>
        <w:ind w:left="851"/>
        <w:jc w:val="both"/>
        <w:rPr>
          <w:rFonts w:ascii="Arial" w:hAnsi="Arial" w:cs="Arial"/>
          <w:i/>
        </w:rPr>
      </w:pPr>
      <w:r w:rsidRPr="00C35354">
        <w:rPr>
          <w:rFonts w:ascii="Arial" w:hAnsi="Arial" w:cs="Arial"/>
          <w:i/>
        </w:rPr>
        <w:tab/>
      </w:r>
      <w:r w:rsidRPr="00C35354">
        <w:rPr>
          <w:rFonts w:ascii="Arial" w:hAnsi="Arial" w:cs="Arial"/>
          <w:i/>
        </w:rPr>
        <w:tab/>
        <w:t>and</w:t>
      </w:r>
    </w:p>
    <w:p w:rsidR="00C35354" w:rsidRDefault="00C35354" w:rsidP="00F923B5">
      <w:pPr>
        <w:pStyle w:val="ListParagraph"/>
        <w:spacing w:line="480" w:lineRule="auto"/>
        <w:ind w:left="851"/>
        <w:jc w:val="both"/>
        <w:rPr>
          <w:rFonts w:ascii="Arial" w:hAnsi="Arial" w:cs="Arial"/>
          <w:i/>
        </w:rPr>
      </w:pPr>
      <w:r w:rsidRPr="00C35354">
        <w:rPr>
          <w:rFonts w:ascii="Arial" w:hAnsi="Arial" w:cs="Arial"/>
          <w:i/>
        </w:rPr>
        <w:t>27.1.2</w:t>
      </w:r>
      <w:r w:rsidRPr="00C35354">
        <w:rPr>
          <w:rFonts w:ascii="Arial" w:hAnsi="Arial" w:cs="Arial"/>
          <w:i/>
        </w:rPr>
        <w:tab/>
        <w:t>A controlling interest in Bayport SA.</w:t>
      </w:r>
    </w:p>
    <w:p w:rsidR="00C35354" w:rsidRDefault="00C35354" w:rsidP="00F923B5">
      <w:pPr>
        <w:pStyle w:val="ListParagraph"/>
        <w:spacing w:line="480" w:lineRule="auto"/>
        <w:ind w:left="851"/>
        <w:jc w:val="both"/>
        <w:rPr>
          <w:rFonts w:ascii="Arial" w:hAnsi="Arial" w:cs="Arial"/>
          <w:i/>
        </w:rPr>
      </w:pPr>
      <w:r>
        <w:rPr>
          <w:rFonts w:ascii="Arial" w:hAnsi="Arial" w:cs="Arial"/>
          <w:i/>
        </w:rPr>
        <w:t>27.2</w:t>
      </w:r>
      <w:r>
        <w:rPr>
          <w:rFonts w:ascii="Arial" w:hAnsi="Arial" w:cs="Arial"/>
          <w:i/>
        </w:rPr>
        <w:tab/>
      </w:r>
      <w:r>
        <w:rPr>
          <w:rFonts w:ascii="Arial" w:hAnsi="Arial" w:cs="Arial"/>
          <w:i/>
        </w:rPr>
        <w:tab/>
        <w:t>…</w:t>
      </w:r>
    </w:p>
    <w:p w:rsidR="00C35354" w:rsidRDefault="00C35354" w:rsidP="00F923B5">
      <w:pPr>
        <w:pStyle w:val="ListParagraph"/>
        <w:spacing w:line="480" w:lineRule="auto"/>
        <w:ind w:left="851"/>
        <w:jc w:val="both"/>
        <w:rPr>
          <w:rFonts w:ascii="Arial" w:hAnsi="Arial" w:cs="Arial"/>
          <w:i/>
        </w:rPr>
      </w:pPr>
      <w:r>
        <w:rPr>
          <w:rFonts w:ascii="Arial" w:hAnsi="Arial" w:cs="Arial"/>
          <w:i/>
        </w:rPr>
        <w:t>27.3</w:t>
      </w:r>
      <w:r>
        <w:rPr>
          <w:rFonts w:ascii="Arial" w:hAnsi="Arial" w:cs="Arial"/>
          <w:i/>
        </w:rPr>
        <w:tab/>
      </w:r>
      <w:r>
        <w:rPr>
          <w:rFonts w:ascii="Arial" w:hAnsi="Arial" w:cs="Arial"/>
          <w:i/>
        </w:rPr>
        <w:tab/>
        <w:t>…</w:t>
      </w:r>
    </w:p>
    <w:p w:rsidR="00C35354" w:rsidRDefault="00C35354" w:rsidP="00F923B5">
      <w:pPr>
        <w:pStyle w:val="ListParagraph"/>
        <w:spacing w:line="480" w:lineRule="auto"/>
        <w:ind w:left="851"/>
        <w:jc w:val="both"/>
        <w:rPr>
          <w:rFonts w:ascii="Arial" w:hAnsi="Arial" w:cs="Arial"/>
          <w:i/>
        </w:rPr>
      </w:pPr>
      <w:r>
        <w:rPr>
          <w:rFonts w:ascii="Arial" w:hAnsi="Arial" w:cs="Arial"/>
          <w:i/>
        </w:rPr>
        <w:t>27.4</w:t>
      </w:r>
      <w:r>
        <w:rPr>
          <w:rFonts w:ascii="Arial" w:hAnsi="Arial" w:cs="Arial"/>
          <w:i/>
        </w:rPr>
        <w:tab/>
      </w:r>
      <w:r>
        <w:rPr>
          <w:rFonts w:ascii="Arial" w:hAnsi="Arial" w:cs="Arial"/>
          <w:i/>
        </w:rPr>
        <w:tab/>
        <w:t>…</w:t>
      </w:r>
    </w:p>
    <w:p w:rsidR="00C35354" w:rsidRDefault="00C35354" w:rsidP="00F923B5">
      <w:pPr>
        <w:pStyle w:val="ListParagraph"/>
        <w:spacing w:line="480" w:lineRule="auto"/>
        <w:ind w:left="851"/>
        <w:jc w:val="both"/>
        <w:rPr>
          <w:rFonts w:ascii="Arial" w:hAnsi="Arial" w:cs="Arial"/>
          <w:i/>
        </w:rPr>
      </w:pPr>
      <w:r>
        <w:rPr>
          <w:rFonts w:ascii="Arial" w:hAnsi="Arial" w:cs="Arial"/>
          <w:i/>
        </w:rPr>
        <w:t>27.5</w:t>
      </w:r>
      <w:r>
        <w:rPr>
          <w:rFonts w:ascii="Arial" w:hAnsi="Arial" w:cs="Arial"/>
          <w:i/>
        </w:rPr>
        <w:tab/>
      </w:r>
      <w:r>
        <w:rPr>
          <w:rFonts w:ascii="Arial" w:hAnsi="Arial" w:cs="Arial"/>
          <w:i/>
        </w:rPr>
        <w:tab/>
        <w:t>…</w:t>
      </w:r>
    </w:p>
    <w:p w:rsidR="00C35354" w:rsidRDefault="00C35354" w:rsidP="00F923B5">
      <w:pPr>
        <w:pStyle w:val="ListParagraph"/>
        <w:spacing w:line="480" w:lineRule="auto"/>
        <w:ind w:left="851"/>
        <w:jc w:val="both"/>
        <w:rPr>
          <w:rFonts w:ascii="Arial" w:hAnsi="Arial" w:cs="Arial"/>
          <w:i/>
        </w:rPr>
      </w:pPr>
      <w:r>
        <w:rPr>
          <w:rFonts w:ascii="Arial" w:hAnsi="Arial" w:cs="Arial"/>
          <w:i/>
        </w:rPr>
        <w:t>28.</w:t>
      </w:r>
      <w:r>
        <w:rPr>
          <w:rFonts w:ascii="Arial" w:hAnsi="Arial" w:cs="Arial"/>
          <w:i/>
        </w:rPr>
        <w:tab/>
      </w:r>
      <w:r>
        <w:rPr>
          <w:rFonts w:ascii="Arial" w:hAnsi="Arial" w:cs="Arial"/>
          <w:i/>
        </w:rPr>
        <w:tab/>
        <w:t>…</w:t>
      </w:r>
    </w:p>
    <w:p w:rsidR="00C35354" w:rsidRDefault="00C35354" w:rsidP="00C35354">
      <w:pPr>
        <w:pStyle w:val="ListParagraph"/>
        <w:spacing w:line="480" w:lineRule="auto"/>
        <w:ind w:left="2159" w:hanging="1308"/>
        <w:jc w:val="both"/>
        <w:rPr>
          <w:rFonts w:ascii="Arial" w:hAnsi="Arial" w:cs="Arial"/>
          <w:i/>
        </w:rPr>
      </w:pPr>
      <w:r>
        <w:rPr>
          <w:rFonts w:ascii="Arial" w:hAnsi="Arial" w:cs="Arial"/>
          <w:i/>
        </w:rPr>
        <w:lastRenderedPageBreak/>
        <w:t>29.</w:t>
      </w:r>
      <w:r>
        <w:rPr>
          <w:rFonts w:ascii="Arial" w:hAnsi="Arial" w:cs="Arial"/>
          <w:i/>
        </w:rPr>
        <w:tab/>
      </w:r>
      <w:r>
        <w:rPr>
          <w:rFonts w:ascii="Arial" w:hAnsi="Arial" w:cs="Arial"/>
          <w:i/>
        </w:rPr>
        <w:tab/>
        <w:t>By latest December 2017, BEE Transaction 2.0 had been implemented.</w:t>
      </w:r>
    </w:p>
    <w:p w:rsidR="00AB6096" w:rsidRPr="00C35354" w:rsidRDefault="00AB6096" w:rsidP="00C35354">
      <w:pPr>
        <w:pStyle w:val="ListParagraph"/>
        <w:spacing w:line="480" w:lineRule="auto"/>
        <w:ind w:left="2159" w:hanging="1308"/>
        <w:jc w:val="both"/>
        <w:rPr>
          <w:rFonts w:ascii="Arial" w:hAnsi="Arial" w:cs="Arial"/>
          <w:i/>
        </w:rPr>
      </w:pPr>
    </w:p>
    <w:p w:rsidR="0087110F" w:rsidRPr="002040FC" w:rsidRDefault="002040FC" w:rsidP="002040FC">
      <w:pPr>
        <w:spacing w:line="480" w:lineRule="auto"/>
        <w:ind w:left="851" w:hanging="851"/>
        <w:jc w:val="both"/>
        <w:rPr>
          <w:rFonts w:ascii="Arial" w:hAnsi="Arial" w:cs="Arial"/>
        </w:rPr>
      </w:pPr>
      <w:r>
        <w:rPr>
          <w:rFonts w:ascii="Arial" w:hAnsi="Arial Unicode MS" w:cs="Arial"/>
        </w:rPr>
        <w:t>[40]</w:t>
      </w:r>
      <w:r>
        <w:rPr>
          <w:rFonts w:ascii="Arial" w:hAnsi="Arial Unicode MS" w:cs="Arial"/>
        </w:rPr>
        <w:tab/>
      </w:r>
      <w:r w:rsidR="009309BA" w:rsidRPr="002040FC">
        <w:rPr>
          <w:rFonts w:ascii="Arial" w:hAnsi="Arial" w:cs="Arial"/>
        </w:rPr>
        <w:t>The</w:t>
      </w:r>
      <w:r w:rsidR="007A1660" w:rsidRPr="002040FC">
        <w:rPr>
          <w:rFonts w:ascii="Arial" w:hAnsi="Arial" w:cs="Arial"/>
        </w:rPr>
        <w:t xml:space="preserve"> request seeks to elicit information pertaining to the identity of the BEE Investor and the manner in which “BEE Transaction 2.0” was implemented.</w:t>
      </w:r>
    </w:p>
    <w:p w:rsidR="0087110F" w:rsidRPr="007A1660" w:rsidRDefault="0087110F" w:rsidP="007A1660">
      <w:pPr>
        <w:spacing w:line="480" w:lineRule="auto"/>
        <w:ind w:left="720"/>
        <w:jc w:val="both"/>
        <w:rPr>
          <w:rFonts w:ascii="Arial" w:hAnsi="Arial" w:cs="Arial"/>
        </w:rPr>
      </w:pPr>
    </w:p>
    <w:p w:rsidR="007A1660" w:rsidRPr="002040FC" w:rsidRDefault="002040FC" w:rsidP="002040FC">
      <w:pPr>
        <w:spacing w:line="480" w:lineRule="auto"/>
        <w:ind w:left="851" w:hanging="851"/>
        <w:jc w:val="both"/>
        <w:rPr>
          <w:rFonts w:ascii="Arial" w:hAnsi="Arial" w:cs="Arial"/>
        </w:rPr>
      </w:pPr>
      <w:r>
        <w:rPr>
          <w:rFonts w:ascii="Arial" w:hAnsi="Arial Unicode MS" w:cs="Arial"/>
        </w:rPr>
        <w:t>[41]</w:t>
      </w:r>
      <w:r>
        <w:rPr>
          <w:rFonts w:ascii="Arial" w:hAnsi="Arial Unicode MS" w:cs="Arial"/>
        </w:rPr>
        <w:tab/>
      </w:r>
      <w:r w:rsidR="007A1660" w:rsidRPr="002040FC">
        <w:rPr>
          <w:rFonts w:ascii="Arial" w:hAnsi="Arial" w:cs="Arial"/>
        </w:rPr>
        <w:t>Kh</w:t>
      </w:r>
      <w:r w:rsidR="00AB6096" w:rsidRPr="002040FC">
        <w:rPr>
          <w:rFonts w:ascii="Arial" w:hAnsi="Arial" w:cs="Arial"/>
        </w:rPr>
        <w:t>umovest’s response was to state a) t</w:t>
      </w:r>
      <w:r w:rsidR="007A1660" w:rsidRPr="002040FC">
        <w:rPr>
          <w:rFonts w:ascii="Arial" w:hAnsi="Arial" w:cs="Arial"/>
        </w:rPr>
        <w:t>hat the particularity is not strictly necessary to enable Bayport</w:t>
      </w:r>
      <w:r w:rsidR="00112A26" w:rsidRPr="002040FC">
        <w:rPr>
          <w:rFonts w:ascii="Arial" w:hAnsi="Arial" w:cs="Arial"/>
        </w:rPr>
        <w:t xml:space="preserve"> </w:t>
      </w:r>
      <w:r w:rsidR="007A1660" w:rsidRPr="002040FC">
        <w:rPr>
          <w:rFonts w:ascii="Arial" w:hAnsi="Arial" w:cs="Arial"/>
        </w:rPr>
        <w:t>to prepare for trial, b) that Bayport’s discovery was inadequate, c) that the information fell within Bayport’s knowledge and d) that the particulars c</w:t>
      </w:r>
      <w:r w:rsidR="00797242" w:rsidRPr="002040FC">
        <w:rPr>
          <w:rFonts w:ascii="Arial" w:hAnsi="Arial" w:cs="Arial"/>
        </w:rPr>
        <w:t>onstitute a matter for evidence.</w:t>
      </w:r>
    </w:p>
    <w:p w:rsidR="00AB6096" w:rsidRPr="00AB6096" w:rsidRDefault="00AB6096" w:rsidP="00AB6096">
      <w:pPr>
        <w:spacing w:line="480" w:lineRule="auto"/>
        <w:jc w:val="both"/>
        <w:rPr>
          <w:rFonts w:ascii="Arial" w:hAnsi="Arial" w:cs="Arial"/>
        </w:rPr>
      </w:pPr>
    </w:p>
    <w:p w:rsidR="00AB6096" w:rsidRPr="002040FC" w:rsidRDefault="002040FC" w:rsidP="002040FC">
      <w:pPr>
        <w:spacing w:line="480" w:lineRule="auto"/>
        <w:ind w:left="851" w:hanging="851"/>
        <w:jc w:val="both"/>
        <w:rPr>
          <w:rFonts w:ascii="Arial" w:hAnsi="Arial" w:cs="Arial"/>
        </w:rPr>
      </w:pPr>
      <w:r>
        <w:rPr>
          <w:rFonts w:ascii="Arial" w:hAnsi="Arial Unicode MS" w:cs="Arial"/>
        </w:rPr>
        <w:t>[42]</w:t>
      </w:r>
      <w:r>
        <w:rPr>
          <w:rFonts w:ascii="Arial" w:hAnsi="Arial Unicode MS" w:cs="Arial"/>
        </w:rPr>
        <w:tab/>
      </w:r>
      <w:r w:rsidR="00402365" w:rsidRPr="002040FC">
        <w:rPr>
          <w:rFonts w:ascii="Arial" w:hAnsi="Arial" w:cs="Arial"/>
        </w:rPr>
        <w:t xml:space="preserve">However, as with the </w:t>
      </w:r>
      <w:r w:rsidR="00DB0649" w:rsidRPr="002040FC">
        <w:rPr>
          <w:rFonts w:ascii="Arial" w:hAnsi="Arial" w:cs="Arial"/>
        </w:rPr>
        <w:t>previous responses</w:t>
      </w:r>
      <w:r w:rsidR="00402365" w:rsidRPr="002040FC">
        <w:rPr>
          <w:rFonts w:ascii="Arial" w:hAnsi="Arial" w:cs="Arial"/>
        </w:rPr>
        <w:t xml:space="preserve">, this response is simply an obfuscation.  It is Khumovest which relies on this “New Agreement” and the </w:t>
      </w:r>
      <w:r w:rsidR="00112A26" w:rsidRPr="002040FC">
        <w:rPr>
          <w:rFonts w:ascii="Arial" w:hAnsi="Arial" w:cs="Arial"/>
        </w:rPr>
        <w:t xml:space="preserve">fulfilment of its terms to </w:t>
      </w:r>
      <w:r w:rsidR="00402365" w:rsidRPr="002040FC">
        <w:rPr>
          <w:rFonts w:ascii="Arial" w:hAnsi="Arial" w:cs="Arial"/>
        </w:rPr>
        <w:t>justify its claim – it must provide the sought particularity to enable Bayport to meet its case without surprise.</w:t>
      </w:r>
    </w:p>
    <w:p w:rsidR="00AB6096" w:rsidRPr="00AB6096" w:rsidRDefault="00AB6096" w:rsidP="00AB6096">
      <w:pPr>
        <w:spacing w:line="480" w:lineRule="auto"/>
        <w:jc w:val="both"/>
        <w:rPr>
          <w:rFonts w:ascii="Arial" w:hAnsi="Arial" w:cs="Arial"/>
        </w:rPr>
      </w:pPr>
    </w:p>
    <w:p w:rsidR="00402365" w:rsidRPr="002040FC" w:rsidRDefault="002040FC" w:rsidP="002040FC">
      <w:pPr>
        <w:spacing w:line="480" w:lineRule="auto"/>
        <w:ind w:left="851" w:hanging="851"/>
        <w:jc w:val="both"/>
        <w:rPr>
          <w:rFonts w:ascii="Arial" w:hAnsi="Arial" w:cs="Arial"/>
        </w:rPr>
      </w:pPr>
      <w:r>
        <w:rPr>
          <w:rFonts w:ascii="Arial" w:hAnsi="Arial Unicode MS" w:cs="Arial"/>
        </w:rPr>
        <w:t>[43]</w:t>
      </w:r>
      <w:r>
        <w:rPr>
          <w:rFonts w:ascii="Arial" w:hAnsi="Arial Unicode MS" w:cs="Arial"/>
        </w:rPr>
        <w:tab/>
      </w:r>
      <w:r w:rsidR="00DB0649" w:rsidRPr="002040FC">
        <w:rPr>
          <w:rFonts w:ascii="Arial" w:hAnsi="Arial" w:cs="Arial"/>
        </w:rPr>
        <w:t>Furthermore, and in respect of Khumovest’s contention regarding Bayport’s discovery</w:t>
      </w:r>
      <w:r w:rsidR="003B44A8" w:rsidRPr="002040FC">
        <w:rPr>
          <w:rFonts w:ascii="Arial" w:hAnsi="Arial" w:cs="Arial"/>
        </w:rPr>
        <w:t xml:space="preserve"> where </w:t>
      </w:r>
      <w:r w:rsidR="00DB0649" w:rsidRPr="002040FC">
        <w:rPr>
          <w:rFonts w:ascii="Arial" w:hAnsi="Arial" w:cs="Arial"/>
        </w:rPr>
        <w:t>Khumovest</w:t>
      </w:r>
      <w:r w:rsidR="003B44A8" w:rsidRPr="002040FC">
        <w:rPr>
          <w:rFonts w:ascii="Arial" w:hAnsi="Arial" w:cs="Arial"/>
        </w:rPr>
        <w:t xml:space="preserve"> makes positive assertions in its </w:t>
      </w:r>
      <w:r w:rsidR="003E04A3" w:rsidRPr="002040FC">
        <w:rPr>
          <w:rFonts w:ascii="Arial" w:hAnsi="Arial" w:cs="Arial"/>
        </w:rPr>
        <w:t>Intendit regarding</w:t>
      </w:r>
      <w:r w:rsidR="003B44A8" w:rsidRPr="002040FC">
        <w:rPr>
          <w:rFonts w:ascii="Arial" w:hAnsi="Arial" w:cs="Arial"/>
        </w:rPr>
        <w:t xml:space="preserve"> the fulfilment of terms of its agreement, whether in regards of the main</w:t>
      </w:r>
      <w:r w:rsidR="00DB0649" w:rsidRPr="002040FC">
        <w:rPr>
          <w:rFonts w:ascii="Arial" w:hAnsi="Arial" w:cs="Arial"/>
        </w:rPr>
        <w:t xml:space="preserve"> or the alternative</w:t>
      </w:r>
      <w:r w:rsidR="003B44A8" w:rsidRPr="002040FC">
        <w:rPr>
          <w:rFonts w:ascii="Arial" w:hAnsi="Arial" w:cs="Arial"/>
        </w:rPr>
        <w:t xml:space="preserve"> claims,</w:t>
      </w:r>
      <w:r w:rsidR="00DB0649" w:rsidRPr="002040FC">
        <w:rPr>
          <w:rFonts w:ascii="Arial" w:hAnsi="Arial" w:cs="Arial"/>
        </w:rPr>
        <w:t xml:space="preserve"> and</w:t>
      </w:r>
      <w:r w:rsidR="003B44A8" w:rsidRPr="002040FC">
        <w:rPr>
          <w:rFonts w:ascii="Arial" w:hAnsi="Arial" w:cs="Arial"/>
        </w:rPr>
        <w:t xml:space="preserve"> it bears t</w:t>
      </w:r>
      <w:r w:rsidR="00DB0649" w:rsidRPr="002040FC">
        <w:rPr>
          <w:rFonts w:ascii="Arial" w:hAnsi="Arial" w:cs="Arial"/>
        </w:rPr>
        <w:t xml:space="preserve">he </w:t>
      </w:r>
      <w:r w:rsidR="003B44A8" w:rsidRPr="002040FC">
        <w:rPr>
          <w:rFonts w:ascii="Arial" w:hAnsi="Arial" w:cs="Arial"/>
        </w:rPr>
        <w:t>onus</w:t>
      </w:r>
      <w:r w:rsidR="00DB0649" w:rsidRPr="002040FC">
        <w:rPr>
          <w:rFonts w:ascii="Arial" w:hAnsi="Arial" w:cs="Arial"/>
        </w:rPr>
        <w:t xml:space="preserve"> of proving its claim</w:t>
      </w:r>
      <w:r w:rsidR="003B44A8" w:rsidRPr="002040FC">
        <w:rPr>
          <w:rFonts w:ascii="Arial" w:hAnsi="Arial" w:cs="Arial"/>
        </w:rPr>
        <w:t xml:space="preserve">. It cannot argue that </w:t>
      </w:r>
      <w:r w:rsidR="00AB6096" w:rsidRPr="002040FC">
        <w:rPr>
          <w:rFonts w:ascii="Arial" w:hAnsi="Arial" w:cs="Arial"/>
        </w:rPr>
        <w:t>it is waiting</w:t>
      </w:r>
      <w:r w:rsidR="003B44A8" w:rsidRPr="002040FC">
        <w:rPr>
          <w:rFonts w:ascii="Arial" w:hAnsi="Arial" w:cs="Arial"/>
        </w:rPr>
        <w:t xml:space="preserve"> for Bayport to discover so that</w:t>
      </w:r>
      <w:r w:rsidR="004209A2" w:rsidRPr="002040FC">
        <w:rPr>
          <w:rFonts w:ascii="Arial" w:hAnsi="Arial" w:cs="Arial"/>
        </w:rPr>
        <w:t xml:space="preserve"> it can prove its claim. I</w:t>
      </w:r>
      <w:r w:rsidR="003B44A8" w:rsidRPr="002040FC">
        <w:rPr>
          <w:rFonts w:ascii="Arial" w:hAnsi="Arial" w:cs="Arial"/>
        </w:rPr>
        <w:t>t must also be borne in mind that a Rule 35(3) and its response is not a pleading – a RFP is. The RFP serves to shorten the unnecessary issues and evidence</w:t>
      </w:r>
      <w:r w:rsidR="00E40D47" w:rsidRPr="002040FC">
        <w:rPr>
          <w:rFonts w:ascii="Arial" w:hAnsi="Arial" w:cs="Arial"/>
        </w:rPr>
        <w:t>,</w:t>
      </w:r>
      <w:r w:rsidR="003B44A8" w:rsidRPr="002040FC">
        <w:rPr>
          <w:rFonts w:ascii="Arial" w:hAnsi="Arial" w:cs="Arial"/>
        </w:rPr>
        <w:t xml:space="preserve"> depending on the responses provided</w:t>
      </w:r>
      <w:r w:rsidR="00E40D47" w:rsidRPr="002040FC">
        <w:rPr>
          <w:rFonts w:ascii="Arial" w:hAnsi="Arial" w:cs="Arial"/>
        </w:rPr>
        <w:t>,</w:t>
      </w:r>
      <w:r w:rsidR="003B44A8" w:rsidRPr="002040FC">
        <w:rPr>
          <w:rFonts w:ascii="Arial" w:hAnsi="Arial" w:cs="Arial"/>
        </w:rPr>
        <w:t xml:space="preserve"> and thus it </w:t>
      </w:r>
      <w:r w:rsidR="003E04A3" w:rsidRPr="002040FC">
        <w:rPr>
          <w:rFonts w:ascii="Arial" w:hAnsi="Arial" w:cs="Arial"/>
        </w:rPr>
        <w:t>also</w:t>
      </w:r>
      <w:r w:rsidR="003B44A8" w:rsidRPr="002040FC">
        <w:rPr>
          <w:rFonts w:ascii="Arial" w:hAnsi="Arial" w:cs="Arial"/>
        </w:rPr>
        <w:t xml:space="preserve"> serves</w:t>
      </w:r>
      <w:r w:rsidR="00773CBC" w:rsidRPr="002040FC">
        <w:rPr>
          <w:rFonts w:ascii="Arial" w:hAnsi="Arial" w:cs="Arial"/>
        </w:rPr>
        <w:t xml:space="preserve"> to put a defendant in the position that it knows which averments must be met and </w:t>
      </w:r>
      <w:r w:rsidR="00773CBC" w:rsidRPr="002040FC">
        <w:rPr>
          <w:rFonts w:ascii="Arial" w:hAnsi="Arial" w:cs="Arial"/>
        </w:rPr>
        <w:lastRenderedPageBreak/>
        <w:t>which are not contentious</w:t>
      </w:r>
      <w:r w:rsidR="00844CFF" w:rsidRPr="002040FC">
        <w:rPr>
          <w:rFonts w:ascii="Arial" w:hAnsi="Arial" w:cs="Arial"/>
        </w:rPr>
        <w:t xml:space="preserve"> or admitted</w:t>
      </w:r>
      <w:r w:rsidR="00773CBC" w:rsidRPr="002040FC">
        <w:rPr>
          <w:rFonts w:ascii="Arial" w:hAnsi="Arial" w:cs="Arial"/>
        </w:rPr>
        <w:t xml:space="preserve">. As it was stated in </w:t>
      </w:r>
      <w:r w:rsidR="00773CBC" w:rsidRPr="002040FC">
        <w:rPr>
          <w:rFonts w:ascii="Arial" w:hAnsi="Arial" w:cs="Arial"/>
          <w:b/>
        </w:rPr>
        <w:t>Ruslyn Mining and Pl</w:t>
      </w:r>
      <w:r w:rsidR="00844CFF" w:rsidRPr="002040FC">
        <w:rPr>
          <w:rFonts w:ascii="Arial" w:hAnsi="Arial" w:cs="Arial"/>
          <w:b/>
        </w:rPr>
        <w:t>ant Hire (Pty) Ltd</w:t>
      </w:r>
      <w:r w:rsidR="00773CBC" w:rsidRPr="002040FC">
        <w:rPr>
          <w:rFonts w:ascii="Arial" w:hAnsi="Arial" w:cs="Arial"/>
          <w:b/>
        </w:rPr>
        <w:t xml:space="preserve"> v Alexkor Ltd</w:t>
      </w:r>
      <w:r w:rsidR="00773CBC">
        <w:rPr>
          <w:rStyle w:val="FootnoteReference"/>
          <w:rFonts w:ascii="Arial" w:hAnsi="Arial" w:cs="Arial"/>
        </w:rPr>
        <w:footnoteReference w:id="13"/>
      </w:r>
    </w:p>
    <w:p w:rsidR="0010027E" w:rsidRDefault="0010027E" w:rsidP="0010027E">
      <w:pPr>
        <w:pStyle w:val="ListParagraph"/>
        <w:spacing w:line="480" w:lineRule="auto"/>
        <w:ind w:left="851"/>
        <w:jc w:val="both"/>
        <w:rPr>
          <w:rFonts w:ascii="Arial" w:hAnsi="Arial" w:cs="Arial"/>
          <w:i/>
        </w:rPr>
      </w:pPr>
      <w:r w:rsidRPr="0010027E">
        <w:rPr>
          <w:rFonts w:ascii="Arial" w:hAnsi="Arial" w:cs="Arial"/>
          <w:i/>
        </w:rPr>
        <w:t>“The purpose of particulars for trials is to limit waste of time and costs by providing the other party with additional insight into the case which has been pleaded, thus avoiding, where possible, delays or postponements to seek evidence to meet a case.”</w:t>
      </w:r>
    </w:p>
    <w:p w:rsidR="00620500" w:rsidRPr="0010027E" w:rsidRDefault="00620500" w:rsidP="0010027E">
      <w:pPr>
        <w:pStyle w:val="ListParagraph"/>
        <w:spacing w:line="480" w:lineRule="auto"/>
        <w:ind w:left="851"/>
        <w:jc w:val="both"/>
        <w:rPr>
          <w:rFonts w:ascii="Arial" w:hAnsi="Arial" w:cs="Arial"/>
          <w:i/>
        </w:rPr>
      </w:pPr>
    </w:p>
    <w:p w:rsidR="00402365" w:rsidRPr="002040FC" w:rsidRDefault="002040FC" w:rsidP="002040FC">
      <w:pPr>
        <w:spacing w:line="480" w:lineRule="auto"/>
        <w:ind w:left="851" w:hanging="851"/>
        <w:jc w:val="both"/>
        <w:rPr>
          <w:rFonts w:ascii="Arial" w:hAnsi="Arial" w:cs="Arial"/>
        </w:rPr>
      </w:pPr>
      <w:r>
        <w:rPr>
          <w:rFonts w:ascii="Arial" w:hAnsi="Arial Unicode MS" w:cs="Arial"/>
        </w:rPr>
        <w:t>[44]</w:t>
      </w:r>
      <w:r>
        <w:rPr>
          <w:rFonts w:ascii="Arial" w:hAnsi="Arial Unicode MS" w:cs="Arial"/>
        </w:rPr>
        <w:tab/>
      </w:r>
      <w:r w:rsidR="00527014" w:rsidRPr="002040FC">
        <w:rPr>
          <w:rFonts w:ascii="Arial" w:hAnsi="Arial" w:cs="Arial"/>
        </w:rPr>
        <w:t xml:space="preserve">And </w:t>
      </w:r>
      <w:r w:rsidR="00603D1C" w:rsidRPr="002040FC">
        <w:rPr>
          <w:rFonts w:ascii="Arial" w:hAnsi="Arial" w:cs="Arial"/>
        </w:rPr>
        <w:t xml:space="preserve">in </w:t>
      </w:r>
      <w:r w:rsidR="00603D1C" w:rsidRPr="002040FC">
        <w:rPr>
          <w:rFonts w:ascii="Arial" w:hAnsi="Arial" w:cs="Arial"/>
          <w:b/>
        </w:rPr>
        <w:t>Thompson v Barclays Bank DCO</w:t>
      </w:r>
      <w:r w:rsidR="00603D1C">
        <w:rPr>
          <w:rStyle w:val="FootnoteReference"/>
          <w:rFonts w:ascii="Arial" w:hAnsi="Arial" w:cs="Arial"/>
        </w:rPr>
        <w:footnoteReference w:id="14"/>
      </w:r>
      <w:r w:rsidR="00CF4F81" w:rsidRPr="002040FC">
        <w:rPr>
          <w:rFonts w:ascii="Arial" w:hAnsi="Arial" w:cs="Arial"/>
        </w:rPr>
        <w:t xml:space="preserve"> </w:t>
      </w:r>
      <w:r w:rsidR="00527014" w:rsidRPr="002040FC">
        <w:rPr>
          <w:rFonts w:ascii="Arial" w:hAnsi="Arial" w:cs="Arial"/>
        </w:rPr>
        <w:t>it was stated:</w:t>
      </w:r>
    </w:p>
    <w:p w:rsidR="00CF4F81" w:rsidRPr="00CE7330" w:rsidRDefault="0006006C" w:rsidP="00CF4F81">
      <w:pPr>
        <w:pStyle w:val="ListParagraph"/>
        <w:spacing w:line="480" w:lineRule="auto"/>
        <w:ind w:left="851"/>
        <w:jc w:val="both"/>
        <w:rPr>
          <w:rFonts w:ascii="Arial" w:hAnsi="Arial" w:cs="Arial"/>
        </w:rPr>
      </w:pPr>
      <w:r>
        <w:rPr>
          <w:rFonts w:ascii="Arial" w:hAnsi="Arial" w:cs="Arial"/>
          <w:i/>
        </w:rPr>
        <w:t>“I</w:t>
      </w:r>
      <w:r w:rsidR="00CF4F81" w:rsidRPr="001E0E84">
        <w:rPr>
          <w:rFonts w:ascii="Arial" w:hAnsi="Arial" w:cs="Arial"/>
          <w:i/>
        </w:rPr>
        <w:t xml:space="preserve">n examining the above contentions one should not overlook the purpose of further parties for trials, these are a) to present surprise; b) that the parties should be told </w:t>
      </w:r>
      <w:r w:rsidR="00CF4F81" w:rsidRPr="001E0E84">
        <w:rPr>
          <w:rFonts w:ascii="Arial" w:hAnsi="Arial" w:cs="Arial"/>
          <w:i/>
          <w:u w:val="single"/>
        </w:rPr>
        <w:t>with great precision what the other party is going to prove in order to enable his opponent to prepare his case to combat counter allegations</w:t>
      </w:r>
      <w:r w:rsidR="00CF4F81" w:rsidRPr="001E0E84">
        <w:rPr>
          <w:rStyle w:val="FootnoteReference"/>
          <w:rFonts w:ascii="Arial" w:hAnsi="Arial" w:cs="Arial"/>
          <w:i/>
          <w:u w:val="single"/>
        </w:rPr>
        <w:footnoteReference w:id="15"/>
      </w:r>
      <w:r w:rsidR="00CE7330" w:rsidRPr="001E0E84">
        <w:rPr>
          <w:rFonts w:ascii="Arial" w:hAnsi="Arial" w:cs="Arial"/>
          <w:i/>
          <w:u w:val="single"/>
        </w:rPr>
        <w:t>….,</w:t>
      </w:r>
      <w:r w:rsidR="00CE7330" w:rsidRPr="001E0E84">
        <w:rPr>
          <w:rFonts w:ascii="Arial" w:hAnsi="Arial" w:cs="Arial"/>
          <w:i/>
        </w:rPr>
        <w:t xml:space="preserve"> c) having regard to the above nevertheless not to tie the other party down and limit his case unfairly at the trial.” </w:t>
      </w:r>
      <w:r w:rsidR="00CE7330">
        <w:rPr>
          <w:rFonts w:ascii="Arial" w:hAnsi="Arial" w:cs="Arial"/>
        </w:rPr>
        <w:t>(my emphasis)</w:t>
      </w:r>
    </w:p>
    <w:p w:rsidR="00402365" w:rsidRDefault="00402365" w:rsidP="001E0E84">
      <w:pPr>
        <w:pStyle w:val="ListParagraph"/>
        <w:spacing w:line="480" w:lineRule="auto"/>
        <w:ind w:left="851"/>
        <w:jc w:val="both"/>
        <w:rPr>
          <w:rFonts w:ascii="Arial" w:hAnsi="Arial" w:cs="Arial"/>
        </w:rPr>
      </w:pPr>
    </w:p>
    <w:p w:rsidR="00402365" w:rsidRPr="002040FC" w:rsidRDefault="002040FC" w:rsidP="002040FC">
      <w:pPr>
        <w:spacing w:line="480" w:lineRule="auto"/>
        <w:ind w:left="851" w:hanging="851"/>
        <w:jc w:val="both"/>
        <w:rPr>
          <w:rFonts w:ascii="Arial" w:hAnsi="Arial" w:cs="Arial"/>
        </w:rPr>
      </w:pPr>
      <w:r>
        <w:rPr>
          <w:rFonts w:ascii="Arial" w:hAnsi="Arial Unicode MS" w:cs="Arial"/>
        </w:rPr>
        <w:t>[45]</w:t>
      </w:r>
      <w:r>
        <w:rPr>
          <w:rFonts w:ascii="Arial" w:hAnsi="Arial Unicode MS" w:cs="Arial"/>
        </w:rPr>
        <w:tab/>
      </w:r>
      <w:r w:rsidR="0006006C" w:rsidRPr="002040FC">
        <w:rPr>
          <w:rFonts w:ascii="Arial" w:hAnsi="Arial" w:cs="Arial"/>
        </w:rPr>
        <w:t>The fact that the particulars</w:t>
      </w:r>
      <w:r w:rsidR="001E0E84" w:rsidRPr="002040FC">
        <w:rPr>
          <w:rFonts w:ascii="Arial" w:hAnsi="Arial" w:cs="Arial"/>
        </w:rPr>
        <w:t xml:space="preserve"> requested may involve the disclosure of </w:t>
      </w:r>
      <w:r w:rsidR="00527014" w:rsidRPr="002040FC">
        <w:rPr>
          <w:rFonts w:ascii="Arial" w:hAnsi="Arial" w:cs="Arial"/>
        </w:rPr>
        <w:t>evidence does not disentitle an</w:t>
      </w:r>
      <w:r w:rsidR="001E0E84" w:rsidRPr="002040FC">
        <w:rPr>
          <w:rFonts w:ascii="Arial" w:hAnsi="Arial" w:cs="Arial"/>
        </w:rPr>
        <w:t xml:space="preserve"> applicant from obtaining the particulars if it can demonstrate embarrassment or prejudice in its preparation</w:t>
      </w:r>
      <w:r w:rsidR="0006006C" w:rsidRPr="002040FC">
        <w:rPr>
          <w:rFonts w:ascii="Arial" w:hAnsi="Arial" w:cs="Arial"/>
        </w:rPr>
        <w:t>,</w:t>
      </w:r>
      <w:r w:rsidR="001E0E84" w:rsidRPr="002040FC">
        <w:rPr>
          <w:rFonts w:ascii="Arial" w:hAnsi="Arial" w:cs="Arial"/>
        </w:rPr>
        <w:t xml:space="preserve"> as it is entitled to know what case it must meet</w:t>
      </w:r>
      <w:r w:rsidR="00603BCD" w:rsidRPr="002040FC">
        <w:rPr>
          <w:rFonts w:ascii="Arial" w:hAnsi="Arial" w:cs="Arial"/>
        </w:rPr>
        <w:t>.</w:t>
      </w:r>
      <w:r w:rsidR="001E0E84">
        <w:rPr>
          <w:rStyle w:val="FootnoteReference"/>
          <w:rFonts w:ascii="Arial" w:hAnsi="Arial" w:cs="Arial"/>
        </w:rPr>
        <w:footnoteReference w:id="16"/>
      </w:r>
      <w:r w:rsidR="00620500" w:rsidRPr="002040FC">
        <w:rPr>
          <w:rFonts w:ascii="Arial" w:hAnsi="Arial" w:cs="Arial"/>
        </w:rPr>
        <w:t xml:space="preserve"> Thus this is not o</w:t>
      </w:r>
      <w:r w:rsidR="00603BCD" w:rsidRPr="002040FC">
        <w:rPr>
          <w:rFonts w:ascii="Arial" w:hAnsi="Arial" w:cs="Arial"/>
        </w:rPr>
        <w:t>n its own</w:t>
      </w:r>
      <w:r w:rsidR="00527014" w:rsidRPr="002040FC">
        <w:rPr>
          <w:rFonts w:ascii="Arial" w:hAnsi="Arial" w:cs="Arial"/>
        </w:rPr>
        <w:t xml:space="preserve"> a</w:t>
      </w:r>
      <w:r w:rsidR="00603BCD" w:rsidRPr="002040FC">
        <w:rPr>
          <w:rFonts w:ascii="Arial" w:hAnsi="Arial" w:cs="Arial"/>
        </w:rPr>
        <w:t xml:space="preserve"> ground to refuse an order to compel further partic</w:t>
      </w:r>
      <w:r w:rsidR="00474F2E" w:rsidRPr="002040FC">
        <w:rPr>
          <w:rFonts w:ascii="Arial" w:hAnsi="Arial" w:cs="Arial"/>
        </w:rPr>
        <w:t>ular</w:t>
      </w:r>
      <w:r w:rsidR="00603BCD" w:rsidRPr="002040FC">
        <w:rPr>
          <w:rFonts w:ascii="Arial" w:hAnsi="Arial" w:cs="Arial"/>
        </w:rPr>
        <w:t>s.</w:t>
      </w:r>
      <w:r w:rsidR="00603BCD">
        <w:rPr>
          <w:rStyle w:val="FootnoteReference"/>
          <w:rFonts w:ascii="Arial" w:hAnsi="Arial" w:cs="Arial"/>
        </w:rPr>
        <w:footnoteReference w:id="17"/>
      </w:r>
    </w:p>
    <w:p w:rsidR="0090175B" w:rsidRDefault="0090175B" w:rsidP="0090175B">
      <w:pPr>
        <w:spacing w:line="480" w:lineRule="auto"/>
        <w:jc w:val="both"/>
        <w:rPr>
          <w:rFonts w:ascii="Arial" w:hAnsi="Arial" w:cs="Arial"/>
          <w:b/>
        </w:rPr>
      </w:pPr>
    </w:p>
    <w:p w:rsidR="00527014" w:rsidRDefault="00527014" w:rsidP="0090175B">
      <w:pPr>
        <w:spacing w:line="480" w:lineRule="auto"/>
        <w:jc w:val="both"/>
        <w:rPr>
          <w:rFonts w:ascii="Arial" w:hAnsi="Arial" w:cs="Arial"/>
          <w:b/>
        </w:rPr>
      </w:pPr>
    </w:p>
    <w:p w:rsidR="0090175B" w:rsidRPr="0090175B" w:rsidRDefault="0090175B" w:rsidP="0090175B">
      <w:pPr>
        <w:spacing w:line="480" w:lineRule="auto"/>
        <w:jc w:val="both"/>
        <w:rPr>
          <w:rFonts w:ascii="Arial" w:hAnsi="Arial" w:cs="Arial"/>
          <w:b/>
        </w:rPr>
      </w:pPr>
      <w:r w:rsidRPr="0090175B">
        <w:rPr>
          <w:rFonts w:ascii="Arial" w:hAnsi="Arial" w:cs="Arial"/>
          <w:b/>
        </w:rPr>
        <w:lastRenderedPageBreak/>
        <w:t>THE COSTS</w:t>
      </w:r>
    </w:p>
    <w:p w:rsidR="00402365" w:rsidRPr="002040FC" w:rsidRDefault="002040FC" w:rsidP="002040FC">
      <w:pPr>
        <w:spacing w:line="480" w:lineRule="auto"/>
        <w:ind w:left="851" w:hanging="851"/>
        <w:jc w:val="both"/>
        <w:rPr>
          <w:rFonts w:ascii="Arial" w:hAnsi="Arial" w:cs="Arial"/>
        </w:rPr>
      </w:pPr>
      <w:r>
        <w:rPr>
          <w:rFonts w:ascii="Arial" w:hAnsi="Arial Unicode MS" w:cs="Arial"/>
        </w:rPr>
        <w:t>[46]</w:t>
      </w:r>
      <w:r>
        <w:rPr>
          <w:rFonts w:ascii="Arial" w:hAnsi="Arial Unicode MS" w:cs="Arial"/>
        </w:rPr>
        <w:tab/>
      </w:r>
      <w:r w:rsidR="0090175B" w:rsidRPr="002040FC">
        <w:rPr>
          <w:rFonts w:ascii="Arial" w:hAnsi="Arial" w:cs="Arial"/>
        </w:rPr>
        <w:t xml:space="preserve">In my view Bayport has been substantially successful and is entitled to its costs. The matter </w:t>
      </w:r>
      <w:r w:rsidR="00F81DC6" w:rsidRPr="002040FC">
        <w:rPr>
          <w:rFonts w:ascii="Arial" w:hAnsi="Arial" w:cs="Arial"/>
        </w:rPr>
        <w:t xml:space="preserve">is one of some complexity </w:t>
      </w:r>
      <w:r w:rsidR="00C511EB" w:rsidRPr="002040FC">
        <w:rPr>
          <w:rFonts w:ascii="Arial" w:hAnsi="Arial" w:cs="Arial"/>
        </w:rPr>
        <w:t>and therefore the costs of senior counsel are warranted.</w:t>
      </w:r>
    </w:p>
    <w:p w:rsidR="00F9642D" w:rsidRDefault="00F9642D" w:rsidP="00C511EB">
      <w:pPr>
        <w:spacing w:line="480" w:lineRule="auto"/>
        <w:jc w:val="both"/>
        <w:rPr>
          <w:rFonts w:ascii="Arial" w:hAnsi="Arial" w:cs="Arial"/>
          <w:b/>
        </w:rPr>
      </w:pPr>
    </w:p>
    <w:p w:rsidR="00C511EB" w:rsidRPr="00C511EB" w:rsidRDefault="00C511EB" w:rsidP="00C511EB">
      <w:pPr>
        <w:spacing w:line="480" w:lineRule="auto"/>
        <w:jc w:val="both"/>
        <w:rPr>
          <w:rFonts w:ascii="Arial" w:hAnsi="Arial" w:cs="Arial"/>
          <w:b/>
        </w:rPr>
      </w:pPr>
      <w:r w:rsidRPr="00C511EB">
        <w:rPr>
          <w:rFonts w:ascii="Arial" w:hAnsi="Arial" w:cs="Arial"/>
          <w:b/>
        </w:rPr>
        <w:t>THE ORDER</w:t>
      </w:r>
    </w:p>
    <w:p w:rsidR="00402365" w:rsidRPr="002040FC" w:rsidRDefault="002040FC" w:rsidP="002040FC">
      <w:pPr>
        <w:spacing w:line="480" w:lineRule="auto"/>
        <w:ind w:left="851" w:hanging="851"/>
        <w:jc w:val="both"/>
        <w:rPr>
          <w:rFonts w:ascii="Arial" w:hAnsi="Arial" w:cs="Arial"/>
        </w:rPr>
      </w:pPr>
      <w:r>
        <w:rPr>
          <w:rFonts w:ascii="Arial" w:hAnsi="Arial Unicode MS" w:cs="Arial"/>
        </w:rPr>
        <w:t>[47]</w:t>
      </w:r>
      <w:r>
        <w:rPr>
          <w:rFonts w:ascii="Arial" w:hAnsi="Arial Unicode MS" w:cs="Arial"/>
        </w:rPr>
        <w:tab/>
      </w:r>
      <w:r w:rsidR="00C511EB" w:rsidRPr="002040FC">
        <w:rPr>
          <w:rFonts w:ascii="Arial" w:hAnsi="Arial" w:cs="Arial"/>
        </w:rPr>
        <w:t>The order I make is the following:</w:t>
      </w:r>
    </w:p>
    <w:p w:rsidR="00C511EB" w:rsidRPr="002040FC" w:rsidRDefault="002040FC" w:rsidP="002040FC">
      <w:pPr>
        <w:spacing w:line="480" w:lineRule="auto"/>
        <w:ind w:left="1211" w:hanging="360"/>
        <w:jc w:val="both"/>
        <w:rPr>
          <w:rFonts w:ascii="Arial" w:hAnsi="Arial" w:cs="Arial"/>
        </w:rPr>
      </w:pPr>
      <w:r>
        <w:rPr>
          <w:rFonts w:ascii="Arial" w:hAnsi="Arial" w:cs="Arial"/>
        </w:rPr>
        <w:t>1.</w:t>
      </w:r>
      <w:r>
        <w:rPr>
          <w:rFonts w:ascii="Arial" w:hAnsi="Arial" w:cs="Arial"/>
        </w:rPr>
        <w:tab/>
      </w:r>
      <w:r w:rsidR="00C511EB" w:rsidRPr="002040FC">
        <w:rPr>
          <w:rFonts w:ascii="Arial" w:hAnsi="Arial" w:cs="Arial"/>
        </w:rPr>
        <w:t>The plaintiff is ordered to pr</w:t>
      </w:r>
      <w:r w:rsidR="00122C98" w:rsidRPr="002040FC">
        <w:rPr>
          <w:rFonts w:ascii="Arial" w:hAnsi="Arial" w:cs="Arial"/>
        </w:rPr>
        <w:t>ovide further and better particulars</w:t>
      </w:r>
      <w:r w:rsidR="00C511EB" w:rsidRPr="002040FC">
        <w:rPr>
          <w:rFonts w:ascii="Arial" w:hAnsi="Arial" w:cs="Arial"/>
        </w:rPr>
        <w:t xml:space="preserve"> to the defendant’s request </w:t>
      </w:r>
      <w:r w:rsidR="00122C98" w:rsidRPr="002040FC">
        <w:rPr>
          <w:rFonts w:ascii="Arial" w:hAnsi="Arial" w:cs="Arial"/>
        </w:rPr>
        <w:t>contained</w:t>
      </w:r>
      <w:r w:rsidR="00C511EB" w:rsidRPr="002040FC">
        <w:rPr>
          <w:rFonts w:ascii="Arial" w:hAnsi="Arial" w:cs="Arial"/>
        </w:rPr>
        <w:t xml:space="preserve"> in paragraphs 4.5, 7.3</w:t>
      </w:r>
      <w:r w:rsidR="00016589" w:rsidRPr="002040FC">
        <w:rPr>
          <w:rFonts w:ascii="Arial" w:hAnsi="Arial" w:cs="Arial"/>
        </w:rPr>
        <w:t xml:space="preserve">, </w:t>
      </w:r>
      <w:r w:rsidR="00C511EB" w:rsidRPr="002040FC">
        <w:rPr>
          <w:rFonts w:ascii="Arial" w:hAnsi="Arial" w:cs="Arial"/>
        </w:rPr>
        <w:t>7.4, 9.1, 9.5, 10, 12.2 and 14 of the defendant’s request for further particulars for trial dated 20 September 2021 but excluding the request in paragraph</w:t>
      </w:r>
      <w:r w:rsidR="00F9642D" w:rsidRPr="002040FC">
        <w:rPr>
          <w:rFonts w:ascii="Arial" w:hAnsi="Arial" w:cs="Arial"/>
        </w:rPr>
        <w:t>s 10 and 12.2</w:t>
      </w:r>
      <w:r w:rsidR="00152EEE" w:rsidRPr="002040FC">
        <w:rPr>
          <w:rFonts w:ascii="Arial" w:hAnsi="Arial" w:cs="Arial"/>
        </w:rPr>
        <w:t>.</w:t>
      </w:r>
      <w:r w:rsidR="00C511EB" w:rsidRPr="002040FC">
        <w:rPr>
          <w:rFonts w:ascii="Arial" w:hAnsi="Arial" w:cs="Arial"/>
        </w:rPr>
        <w:t>2</w:t>
      </w:r>
      <w:r w:rsidR="002C1D6D" w:rsidRPr="002040FC">
        <w:rPr>
          <w:rFonts w:ascii="Arial" w:hAnsi="Arial" w:cs="Arial"/>
        </w:rPr>
        <w:t xml:space="preserve"> of the request for further particulars for trial.</w:t>
      </w:r>
    </w:p>
    <w:p w:rsidR="00C511EB" w:rsidRDefault="00C511EB" w:rsidP="00C511EB">
      <w:pPr>
        <w:pStyle w:val="ListParagraph"/>
        <w:spacing w:line="480" w:lineRule="auto"/>
        <w:ind w:left="1211"/>
        <w:jc w:val="both"/>
        <w:rPr>
          <w:rFonts w:ascii="Arial" w:hAnsi="Arial" w:cs="Arial"/>
        </w:rPr>
      </w:pPr>
    </w:p>
    <w:p w:rsidR="00C511EB" w:rsidRPr="002040FC" w:rsidRDefault="002040FC" w:rsidP="002040FC">
      <w:pPr>
        <w:spacing w:line="480" w:lineRule="auto"/>
        <w:ind w:left="1211" w:hanging="360"/>
        <w:jc w:val="both"/>
        <w:rPr>
          <w:rFonts w:ascii="Arial" w:hAnsi="Arial" w:cs="Arial"/>
        </w:rPr>
      </w:pPr>
      <w:r>
        <w:rPr>
          <w:rFonts w:ascii="Arial" w:hAnsi="Arial" w:cs="Arial"/>
        </w:rPr>
        <w:t>2.</w:t>
      </w:r>
      <w:r>
        <w:rPr>
          <w:rFonts w:ascii="Arial" w:hAnsi="Arial" w:cs="Arial"/>
        </w:rPr>
        <w:tab/>
      </w:r>
      <w:r w:rsidR="00C511EB" w:rsidRPr="002040FC">
        <w:rPr>
          <w:rFonts w:ascii="Arial" w:hAnsi="Arial" w:cs="Arial"/>
        </w:rPr>
        <w:t>The plaintiff is ordered to deliver its further and better particulars within 10 days from the date of this order.</w:t>
      </w:r>
    </w:p>
    <w:p w:rsidR="00C511EB" w:rsidRPr="00C511EB" w:rsidRDefault="00C511EB" w:rsidP="00C511EB">
      <w:pPr>
        <w:spacing w:line="480" w:lineRule="auto"/>
        <w:jc w:val="both"/>
        <w:rPr>
          <w:rFonts w:ascii="Arial" w:hAnsi="Arial" w:cs="Arial"/>
        </w:rPr>
      </w:pPr>
    </w:p>
    <w:p w:rsidR="000876F8" w:rsidRPr="002040FC" w:rsidRDefault="002040FC" w:rsidP="002040FC">
      <w:pPr>
        <w:spacing w:line="480" w:lineRule="auto"/>
        <w:ind w:left="1211" w:hanging="360"/>
        <w:jc w:val="both"/>
        <w:rPr>
          <w:rFonts w:ascii="Arial" w:hAnsi="Arial" w:cs="Arial"/>
        </w:rPr>
      </w:pPr>
      <w:r w:rsidRPr="0063067C">
        <w:rPr>
          <w:rFonts w:ascii="Arial" w:hAnsi="Arial" w:cs="Arial"/>
        </w:rPr>
        <w:t>3.</w:t>
      </w:r>
      <w:r w:rsidRPr="0063067C">
        <w:rPr>
          <w:rFonts w:ascii="Arial" w:hAnsi="Arial" w:cs="Arial"/>
        </w:rPr>
        <w:tab/>
      </w:r>
      <w:r w:rsidR="00C511EB" w:rsidRPr="002040FC">
        <w:rPr>
          <w:rFonts w:ascii="Arial" w:hAnsi="Arial" w:cs="Arial"/>
        </w:rPr>
        <w:t>The plaintiff is ordered to pay the costs of this application, including the costs of senior counsel.</w:t>
      </w:r>
    </w:p>
    <w:p w:rsidR="000876F8" w:rsidRPr="00440039" w:rsidRDefault="000876F8" w:rsidP="000876F8">
      <w:pPr>
        <w:pStyle w:val="ListParagraph"/>
        <w:spacing w:line="480" w:lineRule="auto"/>
        <w:jc w:val="both"/>
        <w:rPr>
          <w:rFonts w:ascii="Arial" w:hAnsi="Arial" w:cs="Arial"/>
        </w:rPr>
      </w:pPr>
    </w:p>
    <w:p w:rsidR="00A973C4" w:rsidRPr="00782C4F" w:rsidRDefault="002876B5" w:rsidP="00A973C4">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Arial" w:hAnsi="Arial" w:cs="Arial"/>
        </w:rPr>
        <w:t>______________</w:t>
      </w:r>
    </w:p>
    <w:p w:rsidR="00A973C4" w:rsidRPr="00782C4F"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782C4F">
        <w:rPr>
          <w:rFonts w:ascii="Arial" w:hAnsi="Arial" w:cs="Arial"/>
          <w:b/>
        </w:rPr>
        <w:t xml:space="preserve"> NEUKIRCHER J</w:t>
      </w:r>
    </w:p>
    <w:p w:rsidR="00A973C4" w:rsidRPr="00782C4F" w:rsidRDefault="00D03297"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782C4F">
        <w:rPr>
          <w:rFonts w:ascii="Arial" w:hAnsi="Arial" w:cs="Arial"/>
          <w:b/>
        </w:rPr>
        <w:t xml:space="preserve"> </w:t>
      </w:r>
      <w:r w:rsidR="00A973C4" w:rsidRPr="00782C4F">
        <w:rPr>
          <w:rFonts w:ascii="Arial" w:hAnsi="Arial" w:cs="Arial"/>
          <w:b/>
        </w:rPr>
        <w:t>JUDGE OF THE HIGH COURT</w:t>
      </w:r>
    </w:p>
    <w:p w:rsidR="00A973C4" w:rsidRPr="00782C4F"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782C4F">
        <w:rPr>
          <w:rFonts w:ascii="Arial" w:hAnsi="Arial" w:cs="Arial"/>
          <w:b/>
        </w:rPr>
        <w:t>GAUTENG DIVISION, PRETORIA</w:t>
      </w:r>
    </w:p>
    <w:p w:rsidR="00402AC5" w:rsidRDefault="00402AC5"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rPr>
      </w:pPr>
    </w:p>
    <w:p w:rsidR="00A973C4"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rPr>
      </w:pPr>
      <w:r w:rsidRPr="00782C4F">
        <w:rPr>
          <w:rFonts w:ascii="Arial" w:hAnsi="Arial" w:cs="Arial"/>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w:t>
      </w:r>
      <w:r w:rsidRPr="003600DE">
        <w:rPr>
          <w:rFonts w:ascii="Arial" w:hAnsi="Arial" w:cs="Arial"/>
        </w:rPr>
        <w:t xml:space="preserve">be </w:t>
      </w:r>
      <w:r w:rsidR="00152EEE">
        <w:rPr>
          <w:rFonts w:ascii="Arial" w:hAnsi="Arial" w:cs="Arial"/>
        </w:rPr>
        <w:t>2 September</w:t>
      </w:r>
      <w:r w:rsidR="00402AC5">
        <w:rPr>
          <w:rFonts w:ascii="Arial" w:hAnsi="Arial" w:cs="Arial"/>
        </w:rPr>
        <w:t xml:space="preserve"> 2022.</w:t>
      </w:r>
    </w:p>
    <w:p w:rsidR="00402AC5" w:rsidRDefault="00402AC5"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rPr>
      </w:pPr>
    </w:p>
    <w:p w:rsidR="00F9642D" w:rsidRPr="00665C08" w:rsidRDefault="00F9642D"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rPr>
      </w:pPr>
    </w:p>
    <w:p w:rsidR="0063067C" w:rsidRPr="0063067C" w:rsidRDefault="00665C08" w:rsidP="0063067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jc w:val="both"/>
        <w:rPr>
          <w:rFonts w:ascii="Arial" w:hAnsi="Arial" w:cs="Arial"/>
          <w:sz w:val="22"/>
          <w:szCs w:val="22"/>
        </w:rPr>
      </w:pPr>
      <w:r w:rsidRPr="0063067C">
        <w:rPr>
          <w:rFonts w:ascii="Arial" w:hAnsi="Arial" w:cs="Arial"/>
          <w:sz w:val="22"/>
          <w:szCs w:val="22"/>
        </w:rPr>
        <w:t>Appearances:</w:t>
      </w:r>
    </w:p>
    <w:p w:rsidR="00665C08" w:rsidRPr="0063067C" w:rsidRDefault="00665C08" w:rsidP="0063067C">
      <w:pPr>
        <w:widowControl w:val="0"/>
        <w:autoSpaceDE w:val="0"/>
        <w:autoSpaceDN w:val="0"/>
        <w:adjustRightInd w:val="0"/>
        <w:spacing w:line="276" w:lineRule="auto"/>
        <w:ind w:left="3600" w:hanging="3600"/>
        <w:jc w:val="both"/>
        <w:rPr>
          <w:rFonts w:ascii="Arial" w:hAnsi="Arial" w:cs="Arial"/>
          <w:sz w:val="22"/>
          <w:szCs w:val="22"/>
        </w:rPr>
      </w:pPr>
      <w:r w:rsidRPr="0063067C">
        <w:rPr>
          <w:rFonts w:ascii="Arial" w:hAnsi="Arial" w:cs="Arial"/>
          <w:sz w:val="22"/>
          <w:szCs w:val="22"/>
        </w:rPr>
        <w:t>For the applicant</w:t>
      </w:r>
      <w:r w:rsidR="00711BCE" w:rsidRPr="0063067C">
        <w:rPr>
          <w:rFonts w:ascii="Arial" w:hAnsi="Arial" w:cs="Arial"/>
          <w:sz w:val="22"/>
          <w:szCs w:val="22"/>
        </w:rPr>
        <w:t xml:space="preserve"> / defendant</w:t>
      </w:r>
      <w:r w:rsidRPr="0063067C">
        <w:rPr>
          <w:rFonts w:ascii="Arial" w:hAnsi="Arial" w:cs="Arial"/>
          <w:sz w:val="22"/>
          <w:szCs w:val="22"/>
        </w:rPr>
        <w:tab/>
        <w:t xml:space="preserve">: </w:t>
      </w:r>
      <w:r w:rsidRPr="0063067C">
        <w:rPr>
          <w:rFonts w:ascii="Arial" w:hAnsi="Arial" w:cs="Arial"/>
          <w:sz w:val="22"/>
          <w:szCs w:val="22"/>
        </w:rPr>
        <w:tab/>
        <w:t xml:space="preserve">Adv </w:t>
      </w:r>
      <w:r w:rsidR="00711BCE" w:rsidRPr="0063067C">
        <w:rPr>
          <w:rFonts w:ascii="Arial" w:hAnsi="Arial" w:cs="Arial"/>
          <w:sz w:val="22"/>
          <w:szCs w:val="22"/>
        </w:rPr>
        <w:t>ARG Mundell SC</w:t>
      </w:r>
    </w:p>
    <w:p w:rsidR="00665C08" w:rsidRPr="0063067C" w:rsidRDefault="00665C08" w:rsidP="0063067C">
      <w:pPr>
        <w:widowControl w:val="0"/>
        <w:autoSpaceDE w:val="0"/>
        <w:autoSpaceDN w:val="0"/>
        <w:adjustRightInd w:val="0"/>
        <w:spacing w:line="276" w:lineRule="auto"/>
        <w:jc w:val="both"/>
        <w:rPr>
          <w:rFonts w:ascii="Arial" w:hAnsi="Arial" w:cs="Arial"/>
          <w:sz w:val="22"/>
          <w:szCs w:val="22"/>
        </w:rPr>
      </w:pPr>
      <w:r w:rsidRPr="0063067C">
        <w:rPr>
          <w:rFonts w:ascii="Arial" w:hAnsi="Arial" w:cs="Arial"/>
          <w:sz w:val="22"/>
          <w:szCs w:val="22"/>
        </w:rPr>
        <w:t>Instructed by</w:t>
      </w:r>
      <w:r w:rsidRPr="0063067C">
        <w:rPr>
          <w:rFonts w:ascii="Arial" w:hAnsi="Arial" w:cs="Arial"/>
          <w:sz w:val="22"/>
          <w:szCs w:val="22"/>
        </w:rPr>
        <w:tab/>
      </w:r>
      <w:r w:rsidRPr="0063067C">
        <w:rPr>
          <w:rFonts w:ascii="Arial" w:hAnsi="Arial" w:cs="Arial"/>
          <w:sz w:val="22"/>
          <w:szCs w:val="22"/>
        </w:rPr>
        <w:tab/>
      </w:r>
      <w:r w:rsidRPr="0063067C">
        <w:rPr>
          <w:rFonts w:ascii="Arial" w:hAnsi="Arial" w:cs="Arial"/>
          <w:sz w:val="22"/>
          <w:szCs w:val="22"/>
        </w:rPr>
        <w:tab/>
      </w:r>
      <w:r w:rsidRPr="0063067C">
        <w:rPr>
          <w:rFonts w:ascii="Arial" w:hAnsi="Arial" w:cs="Arial"/>
          <w:sz w:val="22"/>
          <w:szCs w:val="22"/>
        </w:rPr>
        <w:tab/>
        <w:t>:</w:t>
      </w:r>
      <w:r w:rsidRPr="0063067C">
        <w:rPr>
          <w:rFonts w:ascii="Arial" w:hAnsi="Arial" w:cs="Arial"/>
          <w:sz w:val="22"/>
          <w:szCs w:val="22"/>
        </w:rPr>
        <w:tab/>
      </w:r>
      <w:r w:rsidR="00711BCE" w:rsidRPr="0063067C">
        <w:rPr>
          <w:rFonts w:ascii="Arial" w:hAnsi="Arial" w:cs="Arial"/>
          <w:sz w:val="22"/>
          <w:szCs w:val="22"/>
        </w:rPr>
        <w:t>Marie-Lou Bester Inc</w:t>
      </w:r>
    </w:p>
    <w:p w:rsidR="00711BCE" w:rsidRPr="0063067C" w:rsidRDefault="00711BCE" w:rsidP="00665C08">
      <w:pPr>
        <w:widowControl w:val="0"/>
        <w:autoSpaceDE w:val="0"/>
        <w:autoSpaceDN w:val="0"/>
        <w:adjustRightInd w:val="0"/>
        <w:spacing w:line="360" w:lineRule="auto"/>
        <w:jc w:val="both"/>
        <w:rPr>
          <w:rFonts w:ascii="Arial" w:hAnsi="Arial" w:cs="Arial"/>
          <w:sz w:val="22"/>
          <w:szCs w:val="22"/>
        </w:rPr>
      </w:pPr>
    </w:p>
    <w:p w:rsidR="00665C08" w:rsidRPr="0063067C" w:rsidRDefault="00665C08" w:rsidP="0063067C">
      <w:pPr>
        <w:widowControl w:val="0"/>
        <w:autoSpaceDE w:val="0"/>
        <w:autoSpaceDN w:val="0"/>
        <w:adjustRightInd w:val="0"/>
        <w:spacing w:line="276" w:lineRule="auto"/>
        <w:jc w:val="both"/>
        <w:rPr>
          <w:rFonts w:ascii="Arial" w:hAnsi="Arial" w:cs="Arial"/>
          <w:sz w:val="22"/>
          <w:szCs w:val="22"/>
        </w:rPr>
      </w:pPr>
      <w:r w:rsidRPr="0063067C">
        <w:rPr>
          <w:rFonts w:ascii="Arial" w:hAnsi="Arial" w:cs="Arial"/>
          <w:sz w:val="22"/>
          <w:szCs w:val="22"/>
        </w:rPr>
        <w:t xml:space="preserve">For the </w:t>
      </w:r>
      <w:r w:rsidR="00711BCE" w:rsidRPr="0063067C">
        <w:rPr>
          <w:rFonts w:ascii="Arial" w:hAnsi="Arial" w:cs="Arial"/>
          <w:sz w:val="22"/>
          <w:szCs w:val="22"/>
        </w:rPr>
        <w:t>respondent / plaintiff</w:t>
      </w:r>
      <w:r w:rsidR="00711BCE" w:rsidRPr="0063067C">
        <w:rPr>
          <w:rFonts w:ascii="Arial" w:hAnsi="Arial" w:cs="Arial"/>
          <w:sz w:val="22"/>
          <w:szCs w:val="22"/>
        </w:rPr>
        <w:tab/>
      </w:r>
      <w:r w:rsidR="0063067C">
        <w:rPr>
          <w:rFonts w:ascii="Arial" w:hAnsi="Arial" w:cs="Arial"/>
          <w:sz w:val="22"/>
          <w:szCs w:val="22"/>
        </w:rPr>
        <w:tab/>
      </w:r>
      <w:r w:rsidRPr="0063067C">
        <w:rPr>
          <w:rFonts w:ascii="Arial" w:hAnsi="Arial" w:cs="Arial"/>
          <w:sz w:val="22"/>
          <w:szCs w:val="22"/>
        </w:rPr>
        <w:t>:</w:t>
      </w:r>
      <w:r w:rsidRPr="0063067C">
        <w:rPr>
          <w:rFonts w:ascii="Arial" w:hAnsi="Arial" w:cs="Arial"/>
          <w:sz w:val="22"/>
          <w:szCs w:val="22"/>
        </w:rPr>
        <w:tab/>
      </w:r>
      <w:r w:rsidR="00EC27E0" w:rsidRPr="0063067C">
        <w:rPr>
          <w:rFonts w:ascii="Arial" w:hAnsi="Arial" w:cs="Arial"/>
          <w:sz w:val="22"/>
          <w:szCs w:val="22"/>
        </w:rPr>
        <w:t>Adv Ross Bosman</w:t>
      </w:r>
      <w:r w:rsidRPr="0063067C">
        <w:rPr>
          <w:rFonts w:ascii="Arial" w:hAnsi="Arial" w:cs="Arial"/>
          <w:sz w:val="22"/>
          <w:szCs w:val="22"/>
        </w:rPr>
        <w:tab/>
      </w:r>
    </w:p>
    <w:p w:rsidR="00665C08" w:rsidRPr="0063067C" w:rsidRDefault="00665C08" w:rsidP="0063067C">
      <w:pPr>
        <w:widowControl w:val="0"/>
        <w:autoSpaceDE w:val="0"/>
        <w:autoSpaceDN w:val="0"/>
        <w:adjustRightInd w:val="0"/>
        <w:spacing w:line="276" w:lineRule="auto"/>
        <w:jc w:val="both"/>
        <w:rPr>
          <w:rFonts w:ascii="Arial" w:hAnsi="Arial" w:cs="Arial"/>
          <w:sz w:val="22"/>
          <w:szCs w:val="22"/>
        </w:rPr>
      </w:pPr>
      <w:r w:rsidRPr="0063067C">
        <w:rPr>
          <w:rFonts w:ascii="Arial" w:hAnsi="Arial" w:cs="Arial"/>
          <w:sz w:val="22"/>
          <w:szCs w:val="22"/>
        </w:rPr>
        <w:t>Instructed by</w:t>
      </w:r>
      <w:r w:rsidRPr="0063067C">
        <w:rPr>
          <w:rFonts w:ascii="Arial" w:hAnsi="Arial" w:cs="Arial"/>
          <w:sz w:val="22"/>
          <w:szCs w:val="22"/>
        </w:rPr>
        <w:tab/>
      </w:r>
      <w:r w:rsidRPr="0063067C">
        <w:rPr>
          <w:rFonts w:ascii="Arial" w:hAnsi="Arial" w:cs="Arial"/>
          <w:sz w:val="22"/>
          <w:szCs w:val="22"/>
        </w:rPr>
        <w:tab/>
      </w:r>
      <w:r w:rsidRPr="0063067C">
        <w:rPr>
          <w:rFonts w:ascii="Arial" w:hAnsi="Arial" w:cs="Arial"/>
          <w:sz w:val="22"/>
          <w:szCs w:val="22"/>
        </w:rPr>
        <w:tab/>
      </w:r>
      <w:r w:rsidRPr="0063067C">
        <w:rPr>
          <w:rFonts w:ascii="Arial" w:hAnsi="Arial" w:cs="Arial"/>
          <w:sz w:val="22"/>
          <w:szCs w:val="22"/>
        </w:rPr>
        <w:tab/>
        <w:t xml:space="preserve">: </w:t>
      </w:r>
      <w:r w:rsidRPr="0063067C">
        <w:rPr>
          <w:rFonts w:ascii="Arial" w:hAnsi="Arial" w:cs="Arial"/>
          <w:sz w:val="22"/>
          <w:szCs w:val="22"/>
        </w:rPr>
        <w:tab/>
      </w:r>
      <w:r w:rsidR="00711BCE" w:rsidRPr="0063067C">
        <w:rPr>
          <w:rFonts w:ascii="Arial" w:hAnsi="Arial" w:cs="Arial"/>
          <w:sz w:val="22"/>
          <w:szCs w:val="22"/>
        </w:rPr>
        <w:t>Leslie Cohen &amp; Associates</w:t>
      </w:r>
    </w:p>
    <w:p w:rsidR="00624AF2" w:rsidRPr="0063067C" w:rsidRDefault="00624AF2" w:rsidP="00665C08">
      <w:pPr>
        <w:widowControl w:val="0"/>
        <w:autoSpaceDE w:val="0"/>
        <w:autoSpaceDN w:val="0"/>
        <w:adjustRightInd w:val="0"/>
        <w:spacing w:line="360" w:lineRule="auto"/>
        <w:jc w:val="both"/>
        <w:rPr>
          <w:rFonts w:ascii="Arial" w:hAnsi="Arial" w:cs="Arial"/>
          <w:sz w:val="22"/>
          <w:szCs w:val="22"/>
        </w:rPr>
      </w:pPr>
    </w:p>
    <w:p w:rsidR="00A973C4" w:rsidRPr="0063067C" w:rsidRDefault="00665C08" w:rsidP="00B65FCE">
      <w:pPr>
        <w:widowControl w:val="0"/>
        <w:autoSpaceDE w:val="0"/>
        <w:autoSpaceDN w:val="0"/>
        <w:adjustRightInd w:val="0"/>
        <w:spacing w:line="360" w:lineRule="auto"/>
        <w:jc w:val="both"/>
        <w:rPr>
          <w:rFonts w:ascii="Arial" w:hAnsi="Arial" w:cs="Arial"/>
          <w:sz w:val="22"/>
          <w:szCs w:val="22"/>
        </w:rPr>
      </w:pPr>
      <w:r w:rsidRPr="0063067C">
        <w:rPr>
          <w:rFonts w:ascii="Arial" w:hAnsi="Arial" w:cs="Arial"/>
          <w:sz w:val="22"/>
          <w:szCs w:val="22"/>
        </w:rPr>
        <w:t xml:space="preserve">Date of hearing </w:t>
      </w:r>
      <w:r w:rsidRPr="0063067C">
        <w:rPr>
          <w:rFonts w:ascii="Arial" w:hAnsi="Arial" w:cs="Arial"/>
          <w:sz w:val="22"/>
          <w:szCs w:val="22"/>
        </w:rPr>
        <w:tab/>
      </w:r>
      <w:r w:rsidRPr="0063067C">
        <w:rPr>
          <w:rFonts w:ascii="Arial" w:hAnsi="Arial" w:cs="Arial"/>
          <w:sz w:val="22"/>
          <w:szCs w:val="22"/>
        </w:rPr>
        <w:tab/>
      </w:r>
      <w:r w:rsidRPr="0063067C">
        <w:rPr>
          <w:rFonts w:ascii="Arial" w:hAnsi="Arial" w:cs="Arial"/>
          <w:sz w:val="22"/>
          <w:szCs w:val="22"/>
        </w:rPr>
        <w:tab/>
        <w:t xml:space="preserve">: </w:t>
      </w:r>
      <w:r w:rsidRPr="0063067C">
        <w:rPr>
          <w:rFonts w:ascii="Arial" w:hAnsi="Arial" w:cs="Arial"/>
          <w:sz w:val="22"/>
          <w:szCs w:val="22"/>
        </w:rPr>
        <w:tab/>
        <w:t>10 August 2022</w:t>
      </w:r>
    </w:p>
    <w:sectPr w:rsidR="00A973C4" w:rsidRPr="006306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7C" w:rsidRDefault="0036237C" w:rsidP="00E840AE">
      <w:r>
        <w:separator/>
      </w:r>
    </w:p>
  </w:endnote>
  <w:endnote w:type="continuationSeparator" w:id="0">
    <w:p w:rsidR="0036237C" w:rsidRDefault="0036237C" w:rsidP="00E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7C" w:rsidRDefault="0036237C" w:rsidP="00E840AE">
      <w:r>
        <w:separator/>
      </w:r>
    </w:p>
  </w:footnote>
  <w:footnote w:type="continuationSeparator" w:id="0">
    <w:p w:rsidR="0036237C" w:rsidRDefault="0036237C" w:rsidP="00E840AE">
      <w:r>
        <w:continuationSeparator/>
      </w:r>
    </w:p>
  </w:footnote>
  <w:footnote w:id="1">
    <w:p w:rsidR="00805AB6" w:rsidRPr="00814936" w:rsidRDefault="00805AB6">
      <w:pPr>
        <w:pStyle w:val="FootnoteText"/>
        <w:rPr>
          <w:rFonts w:asciiTheme="minorHAnsi" w:hAnsiTheme="minorHAnsi" w:cstheme="minorHAnsi"/>
          <w:lang w:val="en-US"/>
        </w:rPr>
      </w:pPr>
      <w:r w:rsidRPr="00814936">
        <w:rPr>
          <w:rStyle w:val="FootnoteReference"/>
          <w:rFonts w:asciiTheme="minorHAnsi" w:hAnsiTheme="minorHAnsi" w:cstheme="minorHAnsi"/>
        </w:rPr>
        <w:footnoteRef/>
      </w:r>
      <w:r w:rsidRPr="00814936">
        <w:rPr>
          <w:rFonts w:asciiTheme="minorHAnsi" w:hAnsiTheme="minorHAnsi" w:cstheme="minorHAnsi"/>
        </w:rPr>
        <w:t xml:space="preserve"> Nieuwoudt v Joubert 1988 (3) SA 84 (SECLD) at 91B</w:t>
      </w:r>
    </w:p>
  </w:footnote>
  <w:footnote w:id="2">
    <w:p w:rsidR="00F54939" w:rsidRPr="00814936" w:rsidRDefault="00F54939">
      <w:pPr>
        <w:pStyle w:val="FootnoteText"/>
        <w:rPr>
          <w:rFonts w:asciiTheme="minorHAnsi" w:hAnsiTheme="minorHAnsi" w:cstheme="minorHAnsi"/>
          <w:lang w:val="en-US"/>
        </w:rPr>
      </w:pPr>
      <w:r w:rsidRPr="00814936">
        <w:rPr>
          <w:rStyle w:val="FootnoteReference"/>
          <w:rFonts w:asciiTheme="minorHAnsi" w:hAnsiTheme="minorHAnsi" w:cstheme="minorHAnsi"/>
        </w:rPr>
        <w:footnoteRef/>
      </w:r>
      <w:r w:rsidRPr="00814936">
        <w:rPr>
          <w:rFonts w:asciiTheme="minorHAnsi" w:hAnsiTheme="minorHAnsi" w:cstheme="minorHAnsi"/>
        </w:rPr>
        <w:t xml:space="preserve"> Constantia Insurance Holdings (Pty) Ltd v Towsy and Others [2016] ZAGPJHC 267 (16/09/2016) at par 22.</w:t>
      </w:r>
    </w:p>
  </w:footnote>
  <w:footnote w:id="3">
    <w:p w:rsidR="00814936" w:rsidRPr="00814936" w:rsidRDefault="00814936">
      <w:pPr>
        <w:pStyle w:val="FootnoteText"/>
        <w:rPr>
          <w:lang w:val="en-US"/>
        </w:rPr>
      </w:pPr>
      <w:r w:rsidRPr="00814936">
        <w:rPr>
          <w:rStyle w:val="FootnoteReference"/>
          <w:rFonts w:asciiTheme="minorHAnsi" w:hAnsiTheme="minorHAnsi" w:cstheme="minorHAnsi"/>
        </w:rPr>
        <w:footnoteRef/>
      </w:r>
      <w:r w:rsidRPr="00814936">
        <w:rPr>
          <w:rFonts w:asciiTheme="minorHAnsi" w:hAnsiTheme="minorHAnsi" w:cstheme="minorHAnsi"/>
        </w:rPr>
        <w:t xml:space="preserve"> Constantia Insurance</w:t>
      </w:r>
    </w:p>
  </w:footnote>
  <w:footnote w:id="4">
    <w:p w:rsidR="00566661" w:rsidRPr="00AC44BD" w:rsidRDefault="00566661">
      <w:pPr>
        <w:pStyle w:val="FootnoteText"/>
        <w:rPr>
          <w:lang w:val="en-US"/>
        </w:rPr>
      </w:pPr>
      <w:r>
        <w:rPr>
          <w:rStyle w:val="FootnoteReference"/>
        </w:rPr>
        <w:footnoteRef/>
      </w:r>
      <w:r>
        <w:t xml:space="preserve"> </w:t>
      </w:r>
      <w:r>
        <w:rPr>
          <w:lang w:val="en-US"/>
        </w:rPr>
        <w:t>Specifically, in relation to paragraphs 2.3.1</w:t>
      </w:r>
      <w:r w:rsidR="001028F1">
        <w:rPr>
          <w:lang w:val="en-US"/>
        </w:rPr>
        <w:t>, 3.4.1 and 3.4.2 of the RFP</w:t>
      </w:r>
    </w:p>
  </w:footnote>
  <w:footnote w:id="5">
    <w:p w:rsidR="00566661" w:rsidRPr="0016386B" w:rsidRDefault="00566661">
      <w:pPr>
        <w:pStyle w:val="FootnoteText"/>
        <w:rPr>
          <w:lang w:val="en-US"/>
        </w:rPr>
      </w:pPr>
      <w:r>
        <w:rPr>
          <w:rStyle w:val="FootnoteReference"/>
        </w:rPr>
        <w:footnoteRef/>
      </w:r>
      <w:r>
        <w:t xml:space="preserve"> </w:t>
      </w:r>
      <w:r>
        <w:rPr>
          <w:lang w:val="en-US"/>
        </w:rPr>
        <w:t xml:space="preserve">Of which there are 17 pleaded components of those obligations </w:t>
      </w:r>
    </w:p>
  </w:footnote>
  <w:footnote w:id="6">
    <w:p w:rsidR="00004495" w:rsidRPr="00004495" w:rsidRDefault="00004495">
      <w:pPr>
        <w:pStyle w:val="FootnoteText"/>
        <w:rPr>
          <w:lang w:val="en-US"/>
        </w:rPr>
      </w:pPr>
      <w:r>
        <w:rPr>
          <w:rStyle w:val="FootnoteReference"/>
        </w:rPr>
        <w:footnoteRef/>
      </w:r>
      <w:r>
        <w:t xml:space="preserve"> </w:t>
      </w:r>
      <w:r w:rsidR="00FA50D4">
        <w:rPr>
          <w:lang w:val="en-US"/>
        </w:rPr>
        <w:t xml:space="preserve">The fact that the particulars sought constitute evidence does not disqualify it from disclosure, provided that they are “strictly necessary” to prepare for trial </w:t>
      </w:r>
      <w:r w:rsidR="000067AD">
        <w:rPr>
          <w:lang w:val="en-US"/>
        </w:rPr>
        <w:t xml:space="preserve">- </w:t>
      </w:r>
      <w:r w:rsidR="00FA50D4">
        <w:rPr>
          <w:lang w:val="en-US"/>
        </w:rPr>
        <w:t>Anna</w:t>
      </w:r>
      <w:r w:rsidR="00371E8B">
        <w:rPr>
          <w:lang w:val="en-US"/>
        </w:rPr>
        <w:t>n</w:t>
      </w:r>
      <w:r w:rsidR="00FA50D4">
        <w:rPr>
          <w:lang w:val="en-US"/>
        </w:rPr>
        <w:t>dale v Bates 1956 (3) SA 549 (W) at 551</w:t>
      </w:r>
    </w:p>
  </w:footnote>
  <w:footnote w:id="7">
    <w:p w:rsidR="00566661" w:rsidRPr="00DD06BF" w:rsidRDefault="00566661">
      <w:pPr>
        <w:pStyle w:val="FootnoteText"/>
        <w:rPr>
          <w:lang w:val="en-US"/>
        </w:rPr>
      </w:pPr>
      <w:r>
        <w:rPr>
          <w:rStyle w:val="FootnoteReference"/>
        </w:rPr>
        <w:footnoteRef/>
      </w:r>
      <w:r>
        <w:t xml:space="preserve"> </w:t>
      </w:r>
      <w:r>
        <w:rPr>
          <w:lang w:val="en-US"/>
        </w:rPr>
        <w:t>i.e clause 5.1 of the Mandate Agreement</w:t>
      </w:r>
    </w:p>
  </w:footnote>
  <w:footnote w:id="8">
    <w:p w:rsidR="009C6828" w:rsidRPr="00F3487A" w:rsidRDefault="009C6828" w:rsidP="009C6828">
      <w:pPr>
        <w:pStyle w:val="FootnoteText"/>
        <w:rPr>
          <w:lang w:val="en-US"/>
        </w:rPr>
      </w:pPr>
      <w:r>
        <w:rPr>
          <w:rStyle w:val="FootnoteReference"/>
        </w:rPr>
        <w:footnoteRef/>
      </w:r>
      <w:r>
        <w:t xml:space="preserve"> </w:t>
      </w:r>
      <w:r>
        <w:rPr>
          <w:lang w:val="en-US"/>
        </w:rPr>
        <w:t>Goldsmid v SA Amal</w:t>
      </w:r>
      <w:r w:rsidR="007F2473">
        <w:rPr>
          <w:lang w:val="en-US"/>
        </w:rPr>
        <w:t>gamated Jewish Press Ltd 1929 WL</w:t>
      </w:r>
      <w:r>
        <w:rPr>
          <w:lang w:val="en-US"/>
        </w:rPr>
        <w:t>D 184 at 191</w:t>
      </w:r>
    </w:p>
  </w:footnote>
  <w:footnote w:id="9">
    <w:p w:rsidR="00786A87" w:rsidRPr="00786A87" w:rsidRDefault="00786A87">
      <w:pPr>
        <w:pStyle w:val="FootnoteText"/>
        <w:rPr>
          <w:lang w:val="en-US"/>
        </w:rPr>
      </w:pPr>
      <w:r>
        <w:rPr>
          <w:rStyle w:val="FootnoteReference"/>
        </w:rPr>
        <w:footnoteRef/>
      </w:r>
      <w:r>
        <w:t xml:space="preserve"> </w:t>
      </w:r>
      <w:r>
        <w:rPr>
          <w:lang w:val="en-US"/>
        </w:rPr>
        <w:t>Section 54 (1) of the Banks A</w:t>
      </w:r>
      <w:r w:rsidR="00284A99">
        <w:rPr>
          <w:lang w:val="en-US"/>
        </w:rPr>
        <w:t>ct 94 of 1990</w:t>
      </w:r>
    </w:p>
  </w:footnote>
  <w:footnote w:id="10">
    <w:p w:rsidR="00284A99" w:rsidRPr="00284A99" w:rsidRDefault="00284A99">
      <w:pPr>
        <w:pStyle w:val="FootnoteText"/>
        <w:rPr>
          <w:lang w:val="en-US"/>
        </w:rPr>
      </w:pPr>
      <w:r>
        <w:rPr>
          <w:rStyle w:val="FootnoteReference"/>
        </w:rPr>
        <w:footnoteRef/>
      </w:r>
      <w:r>
        <w:t xml:space="preserve"> </w:t>
      </w:r>
      <w:r>
        <w:rPr>
          <w:lang w:val="en-US"/>
        </w:rPr>
        <w:t xml:space="preserve">Section 32 of the </w:t>
      </w:r>
      <w:r w:rsidR="001E7F9B">
        <w:rPr>
          <w:lang w:val="en-US"/>
        </w:rPr>
        <w:t>Financial</w:t>
      </w:r>
      <w:r>
        <w:rPr>
          <w:lang w:val="en-US"/>
        </w:rPr>
        <w:t xml:space="preserve"> Sector Regulation Act 9 of 2017</w:t>
      </w:r>
    </w:p>
  </w:footnote>
  <w:footnote w:id="11">
    <w:p w:rsidR="002A1AF8" w:rsidRPr="009D3A50" w:rsidRDefault="002A1AF8" w:rsidP="002A1AF8">
      <w:pPr>
        <w:pStyle w:val="FootnoteText"/>
        <w:rPr>
          <w:lang w:val="en-US"/>
        </w:rPr>
      </w:pPr>
      <w:r>
        <w:rPr>
          <w:rStyle w:val="FootnoteReference"/>
        </w:rPr>
        <w:footnoteRef/>
      </w:r>
      <w:r>
        <w:t xml:space="preserve"> </w:t>
      </w:r>
      <w:r>
        <w:rPr>
          <w:lang w:val="en-US"/>
        </w:rPr>
        <w:t>Paragraph 12.2.1 of the RFP</w:t>
      </w:r>
    </w:p>
  </w:footnote>
  <w:footnote w:id="12">
    <w:p w:rsidR="009C4138" w:rsidRPr="009C4138" w:rsidRDefault="009C4138">
      <w:pPr>
        <w:pStyle w:val="FootnoteText"/>
        <w:rPr>
          <w:lang w:val="en-US"/>
        </w:rPr>
      </w:pPr>
      <w:r>
        <w:rPr>
          <w:rStyle w:val="FootnoteReference"/>
        </w:rPr>
        <w:footnoteRef/>
      </w:r>
      <w:r>
        <w:t xml:space="preserve"> </w:t>
      </w:r>
      <w:r>
        <w:rPr>
          <w:lang w:val="en-US"/>
        </w:rPr>
        <w:t>ie paragraph 12.2.2 of the RFP</w:t>
      </w:r>
    </w:p>
  </w:footnote>
  <w:footnote w:id="13">
    <w:p w:rsidR="00773CBC" w:rsidRPr="00773CBC" w:rsidRDefault="00773CBC">
      <w:pPr>
        <w:pStyle w:val="FootnoteText"/>
        <w:rPr>
          <w:lang w:val="en-US"/>
        </w:rPr>
      </w:pPr>
      <w:r>
        <w:rPr>
          <w:rStyle w:val="FootnoteReference"/>
        </w:rPr>
        <w:footnoteRef/>
      </w:r>
      <w:r>
        <w:t xml:space="preserve"> </w:t>
      </w:r>
      <w:r>
        <w:rPr>
          <w:lang w:val="en-US"/>
        </w:rPr>
        <w:t>[2012] 1 All SA 317 (SCA) at paragraph 18</w:t>
      </w:r>
    </w:p>
  </w:footnote>
  <w:footnote w:id="14">
    <w:p w:rsidR="00603D1C" w:rsidRPr="00603D1C" w:rsidRDefault="00603D1C">
      <w:pPr>
        <w:pStyle w:val="FootnoteText"/>
        <w:rPr>
          <w:lang w:val="en-US"/>
        </w:rPr>
      </w:pPr>
      <w:r>
        <w:rPr>
          <w:rStyle w:val="FootnoteReference"/>
        </w:rPr>
        <w:footnoteRef/>
      </w:r>
      <w:r>
        <w:t xml:space="preserve"> </w:t>
      </w:r>
      <w:r>
        <w:rPr>
          <w:lang w:val="en-US"/>
        </w:rPr>
        <w:t>1965</w:t>
      </w:r>
      <w:r w:rsidR="00471676">
        <w:rPr>
          <w:lang w:val="en-US"/>
        </w:rPr>
        <w:t xml:space="preserve"> </w:t>
      </w:r>
      <w:r>
        <w:rPr>
          <w:lang w:val="en-US"/>
        </w:rPr>
        <w:t>(1) SA 365 (W) at 369 D - E</w:t>
      </w:r>
    </w:p>
  </w:footnote>
  <w:footnote w:id="15">
    <w:p w:rsidR="00CF4F81" w:rsidRPr="00CF4F81" w:rsidRDefault="00CF4F81">
      <w:pPr>
        <w:pStyle w:val="FootnoteText"/>
        <w:rPr>
          <w:lang w:val="en-US"/>
        </w:rPr>
      </w:pPr>
      <w:r w:rsidRPr="0006006C">
        <w:rPr>
          <w:rStyle w:val="FootnoteReference"/>
        </w:rPr>
        <w:footnoteRef/>
      </w:r>
      <w:r w:rsidRPr="0006006C">
        <w:t xml:space="preserve"> </w:t>
      </w:r>
      <w:r w:rsidR="0006006C" w:rsidRPr="0006006C">
        <w:t>Authorities omitted</w:t>
      </w:r>
    </w:p>
  </w:footnote>
  <w:footnote w:id="16">
    <w:p w:rsidR="001E0E84" w:rsidRPr="001E0E84" w:rsidRDefault="001E0E84">
      <w:pPr>
        <w:pStyle w:val="FootnoteText"/>
        <w:rPr>
          <w:lang w:val="en-US"/>
        </w:rPr>
      </w:pPr>
      <w:r>
        <w:rPr>
          <w:rStyle w:val="FootnoteReference"/>
        </w:rPr>
        <w:footnoteRef/>
      </w:r>
      <w:r>
        <w:t xml:space="preserve"> </w:t>
      </w:r>
      <w:r w:rsidR="00122C98">
        <w:rPr>
          <w:lang w:val="en-US"/>
        </w:rPr>
        <w:t>Anna</w:t>
      </w:r>
      <w:r w:rsidR="002C2062">
        <w:rPr>
          <w:lang w:val="en-US"/>
        </w:rPr>
        <w:t>n</w:t>
      </w:r>
      <w:r w:rsidR="00122C98">
        <w:rPr>
          <w:lang w:val="en-US"/>
        </w:rPr>
        <w:t>dale v Bates</w:t>
      </w:r>
      <w:r>
        <w:rPr>
          <w:lang w:val="en-US"/>
        </w:rPr>
        <w:t xml:space="preserve"> </w:t>
      </w:r>
      <w:r w:rsidR="00471676">
        <w:rPr>
          <w:lang w:val="en-US"/>
        </w:rPr>
        <w:t>supra</w:t>
      </w:r>
    </w:p>
  </w:footnote>
  <w:footnote w:id="17">
    <w:p w:rsidR="00603BCD" w:rsidRPr="00603BCD" w:rsidRDefault="00603BCD">
      <w:pPr>
        <w:pStyle w:val="FootnoteText"/>
        <w:rPr>
          <w:lang w:val="en-US"/>
        </w:rPr>
      </w:pPr>
      <w:r>
        <w:rPr>
          <w:rStyle w:val="FootnoteReference"/>
        </w:rPr>
        <w:footnoteRef/>
      </w:r>
      <w:r>
        <w:t xml:space="preserve"> </w:t>
      </w:r>
      <w:r>
        <w:rPr>
          <w:lang w:val="en-US"/>
        </w:rPr>
        <w:t>Brett v</w:t>
      </w:r>
      <w:r w:rsidR="00122C98">
        <w:rPr>
          <w:lang w:val="en-US"/>
        </w:rPr>
        <w:t xml:space="preserve"> Schultz 1982 (3) SA 286 (SE) at</w:t>
      </w:r>
      <w:r>
        <w:rPr>
          <w:lang w:val="en-US"/>
        </w:rPr>
        <w:t xml:space="preserve"> 292H – 293B.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34599"/>
      <w:docPartObj>
        <w:docPartGallery w:val="Page Numbers (Top of Page)"/>
        <w:docPartUnique/>
      </w:docPartObj>
    </w:sdtPr>
    <w:sdtEndPr>
      <w:rPr>
        <w:noProof/>
      </w:rPr>
    </w:sdtEndPr>
    <w:sdtContent>
      <w:p w:rsidR="00566661" w:rsidRDefault="00566661">
        <w:pPr>
          <w:pStyle w:val="Header"/>
          <w:jc w:val="right"/>
        </w:pPr>
        <w:r>
          <w:fldChar w:fldCharType="begin"/>
        </w:r>
        <w:r>
          <w:instrText xml:space="preserve"> PAGE   \* MERGEFORMAT </w:instrText>
        </w:r>
        <w:r>
          <w:fldChar w:fldCharType="separate"/>
        </w:r>
        <w:r w:rsidR="002040FC">
          <w:rPr>
            <w:noProof/>
          </w:rPr>
          <w:t>1</w:t>
        </w:r>
        <w:r>
          <w:rPr>
            <w:noProof/>
          </w:rPr>
          <w:fldChar w:fldCharType="end"/>
        </w:r>
      </w:p>
    </w:sdtContent>
  </w:sdt>
  <w:p w:rsidR="00566661" w:rsidRDefault="005666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FF7"/>
    <w:multiLevelType w:val="hybridMultilevel"/>
    <w:tmpl w:val="6464D16E"/>
    <w:lvl w:ilvl="0" w:tplc="1DA232E0">
      <w:start w:val="1"/>
      <w:numFmt w:val="decimal"/>
      <w:lvlText w:val="[%1]"/>
      <w:lvlJc w:val="left"/>
      <w:pPr>
        <w:ind w:left="360" w:hanging="360"/>
      </w:pPr>
      <w:rPr>
        <w:rFonts w:hAnsi="Arial Unicode MS" w:hint="default"/>
        <w:b w:val="0"/>
        <w:caps w:val="0"/>
        <w:smallCaps w:val="0"/>
        <w:strike w:val="0"/>
        <w:dstrike w:val="0"/>
        <w:outline w:val="0"/>
        <w:emboss w:val="0"/>
        <w:imprint w:val="0"/>
        <w:spacing w:val="0"/>
        <w:w w:val="100"/>
        <w:kern w:val="0"/>
        <w:position w:val="0"/>
        <w:vertAlign w:val="baseline"/>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D4D64B4"/>
    <w:multiLevelType w:val="hybridMultilevel"/>
    <w:tmpl w:val="1EB43DEA"/>
    <w:lvl w:ilvl="0" w:tplc="4AAAEF7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23FF1D31"/>
    <w:multiLevelType w:val="hybridMultilevel"/>
    <w:tmpl w:val="30BAB2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C7D0095"/>
    <w:multiLevelType w:val="hybridMultilevel"/>
    <w:tmpl w:val="461ADE44"/>
    <w:lvl w:ilvl="0" w:tplc="6D7A586A">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5" w15:restartNumberingAfterBreak="0">
    <w:nsid w:val="2CBA24AE"/>
    <w:multiLevelType w:val="hybridMultilevel"/>
    <w:tmpl w:val="817AA7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1A64CBB"/>
    <w:multiLevelType w:val="hybridMultilevel"/>
    <w:tmpl w:val="AFBAFF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D12F76"/>
    <w:multiLevelType w:val="hybridMultilevel"/>
    <w:tmpl w:val="BA806014"/>
    <w:lvl w:ilvl="0" w:tplc="9A3ECD7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50AC123C"/>
    <w:multiLevelType w:val="hybridMultilevel"/>
    <w:tmpl w:val="84AEA7E0"/>
    <w:lvl w:ilvl="0" w:tplc="36CCBBB4">
      <w:start w:val="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327F9A"/>
    <w:multiLevelType w:val="hybridMultilevel"/>
    <w:tmpl w:val="0E4CE29A"/>
    <w:lvl w:ilvl="0" w:tplc="6FCC3F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DAA1B41"/>
    <w:multiLevelType w:val="hybridMultilevel"/>
    <w:tmpl w:val="9E2C7BA6"/>
    <w:lvl w:ilvl="0" w:tplc="6FCC3FD2">
      <w:start w:val="1"/>
      <w:numFmt w:val="decimal"/>
      <w:lvlText w:val="[%1]"/>
      <w:lvlJc w:val="left"/>
      <w:pPr>
        <w:ind w:left="850" w:hanging="360"/>
      </w:pPr>
      <w:rPr>
        <w:rFonts w:hint="default"/>
      </w:rPr>
    </w:lvl>
    <w:lvl w:ilvl="1" w:tplc="1C090019" w:tentative="1">
      <w:start w:val="1"/>
      <w:numFmt w:val="lowerLetter"/>
      <w:lvlText w:val="%2."/>
      <w:lvlJc w:val="left"/>
      <w:pPr>
        <w:ind w:left="1570" w:hanging="360"/>
      </w:pPr>
    </w:lvl>
    <w:lvl w:ilvl="2" w:tplc="1C09001B" w:tentative="1">
      <w:start w:val="1"/>
      <w:numFmt w:val="lowerRoman"/>
      <w:lvlText w:val="%3."/>
      <w:lvlJc w:val="right"/>
      <w:pPr>
        <w:ind w:left="2290" w:hanging="180"/>
      </w:pPr>
    </w:lvl>
    <w:lvl w:ilvl="3" w:tplc="1C09000F" w:tentative="1">
      <w:start w:val="1"/>
      <w:numFmt w:val="decimal"/>
      <w:lvlText w:val="%4."/>
      <w:lvlJc w:val="left"/>
      <w:pPr>
        <w:ind w:left="3010" w:hanging="360"/>
      </w:pPr>
    </w:lvl>
    <w:lvl w:ilvl="4" w:tplc="1C090019" w:tentative="1">
      <w:start w:val="1"/>
      <w:numFmt w:val="lowerLetter"/>
      <w:lvlText w:val="%5."/>
      <w:lvlJc w:val="left"/>
      <w:pPr>
        <w:ind w:left="3730" w:hanging="360"/>
      </w:pPr>
    </w:lvl>
    <w:lvl w:ilvl="5" w:tplc="1C09001B" w:tentative="1">
      <w:start w:val="1"/>
      <w:numFmt w:val="lowerRoman"/>
      <w:lvlText w:val="%6."/>
      <w:lvlJc w:val="right"/>
      <w:pPr>
        <w:ind w:left="4450" w:hanging="180"/>
      </w:pPr>
    </w:lvl>
    <w:lvl w:ilvl="6" w:tplc="1C09000F" w:tentative="1">
      <w:start w:val="1"/>
      <w:numFmt w:val="decimal"/>
      <w:lvlText w:val="%7."/>
      <w:lvlJc w:val="left"/>
      <w:pPr>
        <w:ind w:left="5170" w:hanging="360"/>
      </w:pPr>
    </w:lvl>
    <w:lvl w:ilvl="7" w:tplc="1C090019" w:tentative="1">
      <w:start w:val="1"/>
      <w:numFmt w:val="lowerLetter"/>
      <w:lvlText w:val="%8."/>
      <w:lvlJc w:val="left"/>
      <w:pPr>
        <w:ind w:left="5890" w:hanging="360"/>
      </w:pPr>
    </w:lvl>
    <w:lvl w:ilvl="8" w:tplc="1C09001B" w:tentative="1">
      <w:start w:val="1"/>
      <w:numFmt w:val="lowerRoman"/>
      <w:lvlText w:val="%9."/>
      <w:lvlJc w:val="right"/>
      <w:pPr>
        <w:ind w:left="6610" w:hanging="180"/>
      </w:pPr>
    </w:lvl>
  </w:abstractNum>
  <w:abstractNum w:abstractNumId="11" w15:restartNumberingAfterBreak="0">
    <w:nsid w:val="6A260301"/>
    <w:multiLevelType w:val="hybridMultilevel"/>
    <w:tmpl w:val="C1AA157A"/>
    <w:lvl w:ilvl="0" w:tplc="91A8819C">
      <w:start w:val="2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CC17F59"/>
    <w:multiLevelType w:val="hybridMultilevel"/>
    <w:tmpl w:val="64EAC632"/>
    <w:lvl w:ilvl="0" w:tplc="036C8ABA">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36545CE"/>
    <w:multiLevelType w:val="multilevel"/>
    <w:tmpl w:val="7F08B786"/>
    <w:lvl w:ilvl="0">
      <w:start w:val="30"/>
      <w:numFmt w:val="decimal"/>
      <w:lvlText w:val="%1"/>
      <w:lvlJc w:val="left"/>
      <w:pPr>
        <w:ind w:left="468" w:hanging="468"/>
      </w:pPr>
      <w:rPr>
        <w:rFonts w:hint="default"/>
      </w:rPr>
    </w:lvl>
    <w:lvl w:ilvl="1">
      <w:start w:val="4"/>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AB301D2"/>
    <w:multiLevelType w:val="hybridMultilevel"/>
    <w:tmpl w:val="FC2603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B6346EE"/>
    <w:multiLevelType w:val="hybridMultilevel"/>
    <w:tmpl w:val="97AC0A22"/>
    <w:lvl w:ilvl="0" w:tplc="0712B030">
      <w:start w:val="1"/>
      <w:numFmt w:val="decimal"/>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0"/>
  </w:num>
  <w:num w:numId="5">
    <w:abstractNumId w:val="9"/>
  </w:num>
  <w:num w:numId="6">
    <w:abstractNumId w:val="11"/>
  </w:num>
  <w:num w:numId="7">
    <w:abstractNumId w:val="8"/>
  </w:num>
  <w:num w:numId="8">
    <w:abstractNumId w:val="13"/>
  </w:num>
  <w:num w:numId="9">
    <w:abstractNumId w:val="0"/>
  </w:num>
  <w:num w:numId="10">
    <w:abstractNumId w:val="15"/>
  </w:num>
  <w:num w:numId="11">
    <w:abstractNumId w:val="4"/>
  </w:num>
  <w:num w:numId="12">
    <w:abstractNumId w:val="5"/>
  </w:num>
  <w:num w:numId="13">
    <w:abstractNumId w:val="2"/>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C4"/>
    <w:rsid w:val="00001C87"/>
    <w:rsid w:val="00003A25"/>
    <w:rsid w:val="00004495"/>
    <w:rsid w:val="00004E4F"/>
    <w:rsid w:val="000067AD"/>
    <w:rsid w:val="0001060E"/>
    <w:rsid w:val="00016589"/>
    <w:rsid w:val="000206DE"/>
    <w:rsid w:val="00025EE1"/>
    <w:rsid w:val="000266AD"/>
    <w:rsid w:val="00033C20"/>
    <w:rsid w:val="00034664"/>
    <w:rsid w:val="000571E2"/>
    <w:rsid w:val="00057BAE"/>
    <w:rsid w:val="0006006C"/>
    <w:rsid w:val="000732CB"/>
    <w:rsid w:val="0008630C"/>
    <w:rsid w:val="000876F8"/>
    <w:rsid w:val="0009286B"/>
    <w:rsid w:val="000939A7"/>
    <w:rsid w:val="00095B40"/>
    <w:rsid w:val="000A1B6A"/>
    <w:rsid w:val="000A5F51"/>
    <w:rsid w:val="000B1954"/>
    <w:rsid w:val="000C6FD1"/>
    <w:rsid w:val="000E0470"/>
    <w:rsid w:val="000E1A80"/>
    <w:rsid w:val="000E5EFD"/>
    <w:rsid w:val="000F0482"/>
    <w:rsid w:val="000F23CD"/>
    <w:rsid w:val="000F5C8D"/>
    <w:rsid w:val="000F74FE"/>
    <w:rsid w:val="0010027E"/>
    <w:rsid w:val="0010056F"/>
    <w:rsid w:val="0010098B"/>
    <w:rsid w:val="001028F1"/>
    <w:rsid w:val="00110BDE"/>
    <w:rsid w:val="00112A26"/>
    <w:rsid w:val="001160F9"/>
    <w:rsid w:val="001172B1"/>
    <w:rsid w:val="00121E03"/>
    <w:rsid w:val="00122C98"/>
    <w:rsid w:val="001233BC"/>
    <w:rsid w:val="00130BBD"/>
    <w:rsid w:val="001319A7"/>
    <w:rsid w:val="00133758"/>
    <w:rsid w:val="00140359"/>
    <w:rsid w:val="00145562"/>
    <w:rsid w:val="001515D7"/>
    <w:rsid w:val="00152EEE"/>
    <w:rsid w:val="00153A43"/>
    <w:rsid w:val="00162E0E"/>
    <w:rsid w:val="0016386B"/>
    <w:rsid w:val="00170505"/>
    <w:rsid w:val="00173EAC"/>
    <w:rsid w:val="00180DBC"/>
    <w:rsid w:val="0018348A"/>
    <w:rsid w:val="00185394"/>
    <w:rsid w:val="001965F6"/>
    <w:rsid w:val="001A1D82"/>
    <w:rsid w:val="001A272C"/>
    <w:rsid w:val="001A5726"/>
    <w:rsid w:val="001A75B5"/>
    <w:rsid w:val="001B145C"/>
    <w:rsid w:val="001B349A"/>
    <w:rsid w:val="001C38D3"/>
    <w:rsid w:val="001C40E7"/>
    <w:rsid w:val="001C66DB"/>
    <w:rsid w:val="001D2474"/>
    <w:rsid w:val="001D294C"/>
    <w:rsid w:val="001E0E84"/>
    <w:rsid w:val="001E1CAA"/>
    <w:rsid w:val="001E2EB6"/>
    <w:rsid w:val="001E3367"/>
    <w:rsid w:val="001E7F9B"/>
    <w:rsid w:val="001F4950"/>
    <w:rsid w:val="00200065"/>
    <w:rsid w:val="002040FC"/>
    <w:rsid w:val="00205EF9"/>
    <w:rsid w:val="00207087"/>
    <w:rsid w:val="00212452"/>
    <w:rsid w:val="00212953"/>
    <w:rsid w:val="00226469"/>
    <w:rsid w:val="002266FB"/>
    <w:rsid w:val="00230231"/>
    <w:rsid w:val="002348A4"/>
    <w:rsid w:val="00236188"/>
    <w:rsid w:val="00237FD2"/>
    <w:rsid w:val="00244AC9"/>
    <w:rsid w:val="00250A13"/>
    <w:rsid w:val="00250C48"/>
    <w:rsid w:val="00263A9B"/>
    <w:rsid w:val="00265C1C"/>
    <w:rsid w:val="00274888"/>
    <w:rsid w:val="002750C4"/>
    <w:rsid w:val="00281E3D"/>
    <w:rsid w:val="00281F0D"/>
    <w:rsid w:val="00282E71"/>
    <w:rsid w:val="0028333A"/>
    <w:rsid w:val="00284A99"/>
    <w:rsid w:val="0028630D"/>
    <w:rsid w:val="002873FA"/>
    <w:rsid w:val="002876B5"/>
    <w:rsid w:val="00296724"/>
    <w:rsid w:val="002A0D6D"/>
    <w:rsid w:val="002A1AF8"/>
    <w:rsid w:val="002A30D2"/>
    <w:rsid w:val="002A6E49"/>
    <w:rsid w:val="002A79CC"/>
    <w:rsid w:val="002B3F60"/>
    <w:rsid w:val="002B668B"/>
    <w:rsid w:val="002B71F2"/>
    <w:rsid w:val="002C14E8"/>
    <w:rsid w:val="002C1D6D"/>
    <w:rsid w:val="002C2062"/>
    <w:rsid w:val="002C4361"/>
    <w:rsid w:val="002D18A6"/>
    <w:rsid w:val="002D2ACE"/>
    <w:rsid w:val="002E0858"/>
    <w:rsid w:val="002F4689"/>
    <w:rsid w:val="002F7E2A"/>
    <w:rsid w:val="00301BE0"/>
    <w:rsid w:val="00302CE9"/>
    <w:rsid w:val="00316D0F"/>
    <w:rsid w:val="003305CE"/>
    <w:rsid w:val="003316AA"/>
    <w:rsid w:val="00351AED"/>
    <w:rsid w:val="00353EEE"/>
    <w:rsid w:val="003546B4"/>
    <w:rsid w:val="003548FE"/>
    <w:rsid w:val="00356482"/>
    <w:rsid w:val="00356DEA"/>
    <w:rsid w:val="003600DE"/>
    <w:rsid w:val="0036237C"/>
    <w:rsid w:val="003650FE"/>
    <w:rsid w:val="00367B77"/>
    <w:rsid w:val="00371E8B"/>
    <w:rsid w:val="00376686"/>
    <w:rsid w:val="00381B2B"/>
    <w:rsid w:val="00391CB3"/>
    <w:rsid w:val="0039574A"/>
    <w:rsid w:val="00396BE0"/>
    <w:rsid w:val="003A0D94"/>
    <w:rsid w:val="003A5C7D"/>
    <w:rsid w:val="003B44A8"/>
    <w:rsid w:val="003C08A5"/>
    <w:rsid w:val="003C302B"/>
    <w:rsid w:val="003C7A67"/>
    <w:rsid w:val="003D00EB"/>
    <w:rsid w:val="003D190C"/>
    <w:rsid w:val="003D6ECC"/>
    <w:rsid w:val="003E04A3"/>
    <w:rsid w:val="003E0D84"/>
    <w:rsid w:val="00402365"/>
    <w:rsid w:val="00402AC5"/>
    <w:rsid w:val="004061B5"/>
    <w:rsid w:val="0041539B"/>
    <w:rsid w:val="004209A2"/>
    <w:rsid w:val="00422F03"/>
    <w:rsid w:val="00423A2F"/>
    <w:rsid w:val="00423A60"/>
    <w:rsid w:val="00426DF8"/>
    <w:rsid w:val="00433273"/>
    <w:rsid w:val="00434634"/>
    <w:rsid w:val="00440039"/>
    <w:rsid w:val="00443744"/>
    <w:rsid w:val="00444DA3"/>
    <w:rsid w:val="00451AC7"/>
    <w:rsid w:val="00461E90"/>
    <w:rsid w:val="00471676"/>
    <w:rsid w:val="00474F2E"/>
    <w:rsid w:val="00483D73"/>
    <w:rsid w:val="00483FFC"/>
    <w:rsid w:val="00486551"/>
    <w:rsid w:val="00494D36"/>
    <w:rsid w:val="004A3019"/>
    <w:rsid w:val="004A3CA1"/>
    <w:rsid w:val="004B23AC"/>
    <w:rsid w:val="004C5637"/>
    <w:rsid w:val="004C7FC0"/>
    <w:rsid w:val="004D554F"/>
    <w:rsid w:val="004D6574"/>
    <w:rsid w:val="004E2D86"/>
    <w:rsid w:val="004F7E4A"/>
    <w:rsid w:val="0051621E"/>
    <w:rsid w:val="00525181"/>
    <w:rsid w:val="005259CA"/>
    <w:rsid w:val="00527014"/>
    <w:rsid w:val="0053215D"/>
    <w:rsid w:val="00543CE7"/>
    <w:rsid w:val="005441AF"/>
    <w:rsid w:val="005456A0"/>
    <w:rsid w:val="005509CB"/>
    <w:rsid w:val="0055579A"/>
    <w:rsid w:val="00557123"/>
    <w:rsid w:val="00560D44"/>
    <w:rsid w:val="0056502C"/>
    <w:rsid w:val="005650A1"/>
    <w:rsid w:val="00566661"/>
    <w:rsid w:val="00570EF8"/>
    <w:rsid w:val="00571DDF"/>
    <w:rsid w:val="0057799A"/>
    <w:rsid w:val="0058126C"/>
    <w:rsid w:val="00581814"/>
    <w:rsid w:val="00587520"/>
    <w:rsid w:val="0059151F"/>
    <w:rsid w:val="005963A2"/>
    <w:rsid w:val="0059758D"/>
    <w:rsid w:val="005A0DCF"/>
    <w:rsid w:val="005A2131"/>
    <w:rsid w:val="005A3AF4"/>
    <w:rsid w:val="005A5CFB"/>
    <w:rsid w:val="005B1DBD"/>
    <w:rsid w:val="005D5F15"/>
    <w:rsid w:val="005E44DE"/>
    <w:rsid w:val="005F09FE"/>
    <w:rsid w:val="005F103F"/>
    <w:rsid w:val="005F297E"/>
    <w:rsid w:val="00603BCD"/>
    <w:rsid w:val="00603D1C"/>
    <w:rsid w:val="00610943"/>
    <w:rsid w:val="00620500"/>
    <w:rsid w:val="00621B1E"/>
    <w:rsid w:val="00622EEE"/>
    <w:rsid w:val="00624AF2"/>
    <w:rsid w:val="00624E8D"/>
    <w:rsid w:val="0063067C"/>
    <w:rsid w:val="00647999"/>
    <w:rsid w:val="00651839"/>
    <w:rsid w:val="00660B4D"/>
    <w:rsid w:val="00664146"/>
    <w:rsid w:val="00665C08"/>
    <w:rsid w:val="00665C66"/>
    <w:rsid w:val="0068058C"/>
    <w:rsid w:val="00686497"/>
    <w:rsid w:val="00694BA6"/>
    <w:rsid w:val="006950C2"/>
    <w:rsid w:val="00696355"/>
    <w:rsid w:val="00697158"/>
    <w:rsid w:val="006A07F2"/>
    <w:rsid w:val="006A1775"/>
    <w:rsid w:val="006B09BD"/>
    <w:rsid w:val="006C0809"/>
    <w:rsid w:val="006D4125"/>
    <w:rsid w:val="006D7BC2"/>
    <w:rsid w:val="006E3D7E"/>
    <w:rsid w:val="006F5A23"/>
    <w:rsid w:val="00711BCE"/>
    <w:rsid w:val="00712E85"/>
    <w:rsid w:val="0071535A"/>
    <w:rsid w:val="0071575A"/>
    <w:rsid w:val="0072114C"/>
    <w:rsid w:val="00725601"/>
    <w:rsid w:val="00727901"/>
    <w:rsid w:val="00727906"/>
    <w:rsid w:val="00730B92"/>
    <w:rsid w:val="007441E4"/>
    <w:rsid w:val="00753457"/>
    <w:rsid w:val="00753BCF"/>
    <w:rsid w:val="00757A5E"/>
    <w:rsid w:val="00773CBC"/>
    <w:rsid w:val="0077697B"/>
    <w:rsid w:val="00780099"/>
    <w:rsid w:val="00782C4F"/>
    <w:rsid w:val="007837B6"/>
    <w:rsid w:val="00784828"/>
    <w:rsid w:val="00786A87"/>
    <w:rsid w:val="00797242"/>
    <w:rsid w:val="007A06DB"/>
    <w:rsid w:val="007A1660"/>
    <w:rsid w:val="007A2207"/>
    <w:rsid w:val="007A3B9B"/>
    <w:rsid w:val="007A6026"/>
    <w:rsid w:val="007B3761"/>
    <w:rsid w:val="007B3EF7"/>
    <w:rsid w:val="007C16EE"/>
    <w:rsid w:val="007C5A21"/>
    <w:rsid w:val="007D3352"/>
    <w:rsid w:val="007D3587"/>
    <w:rsid w:val="007D6F72"/>
    <w:rsid w:val="007E1A68"/>
    <w:rsid w:val="007E4AC0"/>
    <w:rsid w:val="007E7FF6"/>
    <w:rsid w:val="007F2473"/>
    <w:rsid w:val="007F506A"/>
    <w:rsid w:val="00805AB6"/>
    <w:rsid w:val="00810403"/>
    <w:rsid w:val="008112E5"/>
    <w:rsid w:val="00812C0A"/>
    <w:rsid w:val="00813239"/>
    <w:rsid w:val="00814936"/>
    <w:rsid w:val="00815EA6"/>
    <w:rsid w:val="00821A1B"/>
    <w:rsid w:val="00824D66"/>
    <w:rsid w:val="00825CCF"/>
    <w:rsid w:val="0083646B"/>
    <w:rsid w:val="00840C30"/>
    <w:rsid w:val="00844865"/>
    <w:rsid w:val="00844CFF"/>
    <w:rsid w:val="00847651"/>
    <w:rsid w:val="00850789"/>
    <w:rsid w:val="00866374"/>
    <w:rsid w:val="0087110F"/>
    <w:rsid w:val="00872864"/>
    <w:rsid w:val="0087463C"/>
    <w:rsid w:val="008746F3"/>
    <w:rsid w:val="0089062C"/>
    <w:rsid w:val="00892127"/>
    <w:rsid w:val="0089242C"/>
    <w:rsid w:val="008A2CB7"/>
    <w:rsid w:val="008B35DE"/>
    <w:rsid w:val="008B5AB2"/>
    <w:rsid w:val="008D2CF4"/>
    <w:rsid w:val="008D5149"/>
    <w:rsid w:val="008D7E8D"/>
    <w:rsid w:val="008E0757"/>
    <w:rsid w:val="008F0F61"/>
    <w:rsid w:val="008F1316"/>
    <w:rsid w:val="008F4E84"/>
    <w:rsid w:val="008F5754"/>
    <w:rsid w:val="0090175B"/>
    <w:rsid w:val="00902CB6"/>
    <w:rsid w:val="00906E3D"/>
    <w:rsid w:val="00911B55"/>
    <w:rsid w:val="00911CA0"/>
    <w:rsid w:val="00916892"/>
    <w:rsid w:val="00923A35"/>
    <w:rsid w:val="009309BA"/>
    <w:rsid w:val="009331D4"/>
    <w:rsid w:val="0093475B"/>
    <w:rsid w:val="00934C0E"/>
    <w:rsid w:val="00940437"/>
    <w:rsid w:val="00943DC2"/>
    <w:rsid w:val="00951226"/>
    <w:rsid w:val="00962877"/>
    <w:rsid w:val="00971871"/>
    <w:rsid w:val="00971BDF"/>
    <w:rsid w:val="00972A70"/>
    <w:rsid w:val="00974102"/>
    <w:rsid w:val="00975E49"/>
    <w:rsid w:val="00985051"/>
    <w:rsid w:val="00996E05"/>
    <w:rsid w:val="0099782A"/>
    <w:rsid w:val="009A00A3"/>
    <w:rsid w:val="009A7767"/>
    <w:rsid w:val="009A783E"/>
    <w:rsid w:val="009B13C5"/>
    <w:rsid w:val="009B2596"/>
    <w:rsid w:val="009B2E21"/>
    <w:rsid w:val="009B5786"/>
    <w:rsid w:val="009C3326"/>
    <w:rsid w:val="009C4138"/>
    <w:rsid w:val="009C6828"/>
    <w:rsid w:val="009C76B9"/>
    <w:rsid w:val="009D3A50"/>
    <w:rsid w:val="009D7189"/>
    <w:rsid w:val="009D7ACA"/>
    <w:rsid w:val="009F076A"/>
    <w:rsid w:val="009F179E"/>
    <w:rsid w:val="00A05B74"/>
    <w:rsid w:val="00A10DA1"/>
    <w:rsid w:val="00A14FE6"/>
    <w:rsid w:val="00A20FBF"/>
    <w:rsid w:val="00A22AED"/>
    <w:rsid w:val="00A23CF8"/>
    <w:rsid w:val="00A27665"/>
    <w:rsid w:val="00A32ACD"/>
    <w:rsid w:val="00A37650"/>
    <w:rsid w:val="00A37684"/>
    <w:rsid w:val="00A378F1"/>
    <w:rsid w:val="00A5437C"/>
    <w:rsid w:val="00A65C0A"/>
    <w:rsid w:val="00A66E77"/>
    <w:rsid w:val="00A66E98"/>
    <w:rsid w:val="00A923CB"/>
    <w:rsid w:val="00A95556"/>
    <w:rsid w:val="00A967EB"/>
    <w:rsid w:val="00A973C4"/>
    <w:rsid w:val="00AA5324"/>
    <w:rsid w:val="00AB0B2F"/>
    <w:rsid w:val="00AB6096"/>
    <w:rsid w:val="00AC43E6"/>
    <w:rsid w:val="00AC44BD"/>
    <w:rsid w:val="00AD1966"/>
    <w:rsid w:val="00AD2472"/>
    <w:rsid w:val="00AD35DD"/>
    <w:rsid w:val="00AD4CB1"/>
    <w:rsid w:val="00AE7382"/>
    <w:rsid w:val="00AF274F"/>
    <w:rsid w:val="00AF4B87"/>
    <w:rsid w:val="00B01F65"/>
    <w:rsid w:val="00B0356C"/>
    <w:rsid w:val="00B03A04"/>
    <w:rsid w:val="00B10E18"/>
    <w:rsid w:val="00B201BB"/>
    <w:rsid w:val="00B318CD"/>
    <w:rsid w:val="00B4213D"/>
    <w:rsid w:val="00B63190"/>
    <w:rsid w:val="00B6432D"/>
    <w:rsid w:val="00B65FCE"/>
    <w:rsid w:val="00B73576"/>
    <w:rsid w:val="00B776AB"/>
    <w:rsid w:val="00B77CAD"/>
    <w:rsid w:val="00B77E1D"/>
    <w:rsid w:val="00B93114"/>
    <w:rsid w:val="00B963F8"/>
    <w:rsid w:val="00BA6D87"/>
    <w:rsid w:val="00BC300D"/>
    <w:rsid w:val="00BD0685"/>
    <w:rsid w:val="00BD4261"/>
    <w:rsid w:val="00BD4DFA"/>
    <w:rsid w:val="00BD5928"/>
    <w:rsid w:val="00BE1CFB"/>
    <w:rsid w:val="00BE266C"/>
    <w:rsid w:val="00BF3061"/>
    <w:rsid w:val="00C01292"/>
    <w:rsid w:val="00C06278"/>
    <w:rsid w:val="00C1132F"/>
    <w:rsid w:val="00C177F5"/>
    <w:rsid w:val="00C31B38"/>
    <w:rsid w:val="00C35354"/>
    <w:rsid w:val="00C3682F"/>
    <w:rsid w:val="00C37882"/>
    <w:rsid w:val="00C4398B"/>
    <w:rsid w:val="00C43C2D"/>
    <w:rsid w:val="00C441D3"/>
    <w:rsid w:val="00C505C3"/>
    <w:rsid w:val="00C511EB"/>
    <w:rsid w:val="00C57195"/>
    <w:rsid w:val="00C60989"/>
    <w:rsid w:val="00C6535B"/>
    <w:rsid w:val="00C7346E"/>
    <w:rsid w:val="00C95BEC"/>
    <w:rsid w:val="00CA15D5"/>
    <w:rsid w:val="00CA4396"/>
    <w:rsid w:val="00CA7DFB"/>
    <w:rsid w:val="00CC260D"/>
    <w:rsid w:val="00CC39FD"/>
    <w:rsid w:val="00CC50C2"/>
    <w:rsid w:val="00CC7FE7"/>
    <w:rsid w:val="00CD02B4"/>
    <w:rsid w:val="00CD0D71"/>
    <w:rsid w:val="00CD49D0"/>
    <w:rsid w:val="00CD514F"/>
    <w:rsid w:val="00CD5B38"/>
    <w:rsid w:val="00CD7830"/>
    <w:rsid w:val="00CE0F3C"/>
    <w:rsid w:val="00CE2965"/>
    <w:rsid w:val="00CE31CD"/>
    <w:rsid w:val="00CE3A6D"/>
    <w:rsid w:val="00CE7016"/>
    <w:rsid w:val="00CE7330"/>
    <w:rsid w:val="00CF36D3"/>
    <w:rsid w:val="00CF4F81"/>
    <w:rsid w:val="00CF763F"/>
    <w:rsid w:val="00D01368"/>
    <w:rsid w:val="00D03297"/>
    <w:rsid w:val="00D050F9"/>
    <w:rsid w:val="00D0670E"/>
    <w:rsid w:val="00D132FC"/>
    <w:rsid w:val="00D21A8D"/>
    <w:rsid w:val="00D22595"/>
    <w:rsid w:val="00D240F3"/>
    <w:rsid w:val="00D27963"/>
    <w:rsid w:val="00D312C3"/>
    <w:rsid w:val="00D33267"/>
    <w:rsid w:val="00D3454C"/>
    <w:rsid w:val="00D371CD"/>
    <w:rsid w:val="00D37C57"/>
    <w:rsid w:val="00D50903"/>
    <w:rsid w:val="00D5118C"/>
    <w:rsid w:val="00D56ABF"/>
    <w:rsid w:val="00D6265A"/>
    <w:rsid w:val="00D67A99"/>
    <w:rsid w:val="00D73433"/>
    <w:rsid w:val="00D75C53"/>
    <w:rsid w:val="00D77A04"/>
    <w:rsid w:val="00D8076A"/>
    <w:rsid w:val="00D935FF"/>
    <w:rsid w:val="00D95D83"/>
    <w:rsid w:val="00D97B42"/>
    <w:rsid w:val="00DA6991"/>
    <w:rsid w:val="00DB0259"/>
    <w:rsid w:val="00DB0649"/>
    <w:rsid w:val="00DB32DC"/>
    <w:rsid w:val="00DB60DA"/>
    <w:rsid w:val="00DC05AF"/>
    <w:rsid w:val="00DC6834"/>
    <w:rsid w:val="00DC7416"/>
    <w:rsid w:val="00DC74D4"/>
    <w:rsid w:val="00DC7F21"/>
    <w:rsid w:val="00DC7FD3"/>
    <w:rsid w:val="00DD06BF"/>
    <w:rsid w:val="00DD7E48"/>
    <w:rsid w:val="00DE1DC8"/>
    <w:rsid w:val="00DF49AE"/>
    <w:rsid w:val="00E14D10"/>
    <w:rsid w:val="00E1513D"/>
    <w:rsid w:val="00E15843"/>
    <w:rsid w:val="00E16B65"/>
    <w:rsid w:val="00E22344"/>
    <w:rsid w:val="00E260D9"/>
    <w:rsid w:val="00E272CD"/>
    <w:rsid w:val="00E31391"/>
    <w:rsid w:val="00E31787"/>
    <w:rsid w:val="00E32F3F"/>
    <w:rsid w:val="00E33F1E"/>
    <w:rsid w:val="00E37E11"/>
    <w:rsid w:val="00E40D47"/>
    <w:rsid w:val="00E44C6A"/>
    <w:rsid w:val="00E51082"/>
    <w:rsid w:val="00E51F85"/>
    <w:rsid w:val="00E73DE2"/>
    <w:rsid w:val="00E77976"/>
    <w:rsid w:val="00E81C81"/>
    <w:rsid w:val="00E840AE"/>
    <w:rsid w:val="00E87CA2"/>
    <w:rsid w:val="00E92E51"/>
    <w:rsid w:val="00E96337"/>
    <w:rsid w:val="00EA1D57"/>
    <w:rsid w:val="00EA6F48"/>
    <w:rsid w:val="00EC27E0"/>
    <w:rsid w:val="00EC7C8E"/>
    <w:rsid w:val="00ED1ADD"/>
    <w:rsid w:val="00ED36D1"/>
    <w:rsid w:val="00ED49F6"/>
    <w:rsid w:val="00ED6E43"/>
    <w:rsid w:val="00EE6F38"/>
    <w:rsid w:val="00F0473B"/>
    <w:rsid w:val="00F0494D"/>
    <w:rsid w:val="00F07F67"/>
    <w:rsid w:val="00F23D46"/>
    <w:rsid w:val="00F2414E"/>
    <w:rsid w:val="00F25B2D"/>
    <w:rsid w:val="00F33FD7"/>
    <w:rsid w:val="00F3487A"/>
    <w:rsid w:val="00F3742B"/>
    <w:rsid w:val="00F43E71"/>
    <w:rsid w:val="00F4545E"/>
    <w:rsid w:val="00F461D7"/>
    <w:rsid w:val="00F46661"/>
    <w:rsid w:val="00F47CF2"/>
    <w:rsid w:val="00F54939"/>
    <w:rsid w:val="00F572D6"/>
    <w:rsid w:val="00F612A3"/>
    <w:rsid w:val="00F63348"/>
    <w:rsid w:val="00F658A3"/>
    <w:rsid w:val="00F669FF"/>
    <w:rsid w:val="00F73F67"/>
    <w:rsid w:val="00F779C9"/>
    <w:rsid w:val="00F81DC6"/>
    <w:rsid w:val="00F848C5"/>
    <w:rsid w:val="00F85BDD"/>
    <w:rsid w:val="00F87825"/>
    <w:rsid w:val="00F91A14"/>
    <w:rsid w:val="00F91EAD"/>
    <w:rsid w:val="00F923B5"/>
    <w:rsid w:val="00F93AA1"/>
    <w:rsid w:val="00F9642D"/>
    <w:rsid w:val="00FA0B6A"/>
    <w:rsid w:val="00FA50D4"/>
    <w:rsid w:val="00FB1C48"/>
    <w:rsid w:val="00FB20D7"/>
    <w:rsid w:val="00FB2D5C"/>
    <w:rsid w:val="00FB7D43"/>
    <w:rsid w:val="00FC362C"/>
    <w:rsid w:val="00FC3FDC"/>
    <w:rsid w:val="00FC502B"/>
    <w:rsid w:val="00FC6538"/>
    <w:rsid w:val="00FD1B69"/>
    <w:rsid w:val="00FD1B80"/>
    <w:rsid w:val="00FD2937"/>
    <w:rsid w:val="00FD4822"/>
    <w:rsid w:val="00FE1229"/>
    <w:rsid w:val="00FE30BD"/>
    <w:rsid w:val="00FE312C"/>
    <w:rsid w:val="00FF22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BA10-A0D5-4489-81B5-2B81CCB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C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Title">
    <w:name w:val="Legal_Title"/>
    <w:basedOn w:val="Normal"/>
    <w:next w:val="Normal"/>
    <w:semiHidden/>
    <w:rsid w:val="00A973C4"/>
    <w:pPr>
      <w:keepNext/>
      <w:suppressAutoHyphens/>
      <w:spacing w:after="360" w:line="480" w:lineRule="auto"/>
      <w:jc w:val="center"/>
    </w:pPr>
    <w:rPr>
      <w:rFonts w:ascii="Arial" w:hAnsi="Arial"/>
      <w:b/>
      <w:caps/>
    </w:rPr>
  </w:style>
  <w:style w:type="paragraph" w:customStyle="1" w:styleId="LegalAnnexure">
    <w:name w:val="Legal_Annexure"/>
    <w:basedOn w:val="Normal"/>
    <w:next w:val="Normal"/>
    <w:semiHidden/>
    <w:rsid w:val="00A973C4"/>
    <w:pPr>
      <w:keepNext/>
      <w:suppressAutoHyphens/>
      <w:spacing w:after="360" w:line="480" w:lineRule="auto"/>
      <w:jc w:val="right"/>
    </w:pPr>
    <w:rPr>
      <w:rFonts w:ascii="Arial" w:hAnsi="Arial"/>
      <w:b/>
      <w:caps/>
    </w:rPr>
  </w:style>
  <w:style w:type="paragraph" w:styleId="FootnoteText">
    <w:name w:val="footnote text"/>
    <w:basedOn w:val="Normal"/>
    <w:link w:val="FootnoteTextChar"/>
    <w:uiPriority w:val="99"/>
    <w:semiHidden/>
    <w:unhideWhenUsed/>
    <w:rsid w:val="00E840AE"/>
    <w:rPr>
      <w:sz w:val="20"/>
      <w:szCs w:val="20"/>
    </w:rPr>
  </w:style>
  <w:style w:type="character" w:customStyle="1" w:styleId="FootnoteTextChar">
    <w:name w:val="Footnote Text Char"/>
    <w:basedOn w:val="DefaultParagraphFont"/>
    <w:link w:val="FootnoteText"/>
    <w:uiPriority w:val="99"/>
    <w:semiHidden/>
    <w:rsid w:val="00E840A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840AE"/>
    <w:rPr>
      <w:vertAlign w:val="superscript"/>
    </w:rPr>
  </w:style>
  <w:style w:type="paragraph" w:styleId="ListParagraph">
    <w:name w:val="List Paragraph"/>
    <w:basedOn w:val="Normal"/>
    <w:uiPriority w:val="34"/>
    <w:qFormat/>
    <w:rsid w:val="00923A35"/>
    <w:pPr>
      <w:ind w:left="720"/>
      <w:contextualSpacing/>
    </w:pPr>
  </w:style>
  <w:style w:type="paragraph" w:styleId="NormalWeb">
    <w:name w:val="Normal (Web)"/>
    <w:basedOn w:val="Normal"/>
    <w:uiPriority w:val="99"/>
    <w:semiHidden/>
    <w:unhideWhenUsed/>
    <w:rsid w:val="00244AC9"/>
    <w:pPr>
      <w:spacing w:before="100" w:beforeAutospacing="1" w:after="100" w:afterAutospacing="1"/>
    </w:pPr>
    <w:rPr>
      <w:lang w:val="en-ZA" w:eastAsia="en-ZA"/>
    </w:rPr>
  </w:style>
  <w:style w:type="character" w:styleId="Hyperlink">
    <w:name w:val="Hyperlink"/>
    <w:basedOn w:val="DefaultParagraphFont"/>
    <w:uiPriority w:val="99"/>
    <w:semiHidden/>
    <w:unhideWhenUsed/>
    <w:rsid w:val="00244AC9"/>
    <w:rPr>
      <w:color w:val="0000FF"/>
      <w:u w:val="single"/>
    </w:rPr>
  </w:style>
  <w:style w:type="paragraph" w:styleId="BalloonText">
    <w:name w:val="Balloon Text"/>
    <w:basedOn w:val="Normal"/>
    <w:link w:val="BalloonTextChar"/>
    <w:uiPriority w:val="99"/>
    <w:semiHidden/>
    <w:unhideWhenUsed/>
    <w:rsid w:val="00571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DF"/>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571DDF"/>
    <w:pPr>
      <w:tabs>
        <w:tab w:val="center" w:pos="4513"/>
        <w:tab w:val="right" w:pos="9026"/>
      </w:tabs>
    </w:pPr>
  </w:style>
  <w:style w:type="character" w:customStyle="1" w:styleId="HeaderChar">
    <w:name w:val="Header Char"/>
    <w:basedOn w:val="DefaultParagraphFont"/>
    <w:link w:val="Header"/>
    <w:uiPriority w:val="99"/>
    <w:rsid w:val="00571D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71DDF"/>
    <w:pPr>
      <w:tabs>
        <w:tab w:val="center" w:pos="4513"/>
        <w:tab w:val="right" w:pos="9026"/>
      </w:tabs>
    </w:pPr>
  </w:style>
  <w:style w:type="character" w:customStyle="1" w:styleId="FooterChar">
    <w:name w:val="Footer Char"/>
    <w:basedOn w:val="DefaultParagraphFont"/>
    <w:link w:val="Footer"/>
    <w:uiPriority w:val="99"/>
    <w:rsid w:val="00571DDF"/>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62877"/>
    <w:rPr>
      <w:sz w:val="16"/>
      <w:szCs w:val="16"/>
    </w:rPr>
  </w:style>
  <w:style w:type="paragraph" w:styleId="CommentText">
    <w:name w:val="annotation text"/>
    <w:basedOn w:val="Normal"/>
    <w:link w:val="CommentTextChar"/>
    <w:uiPriority w:val="99"/>
    <w:semiHidden/>
    <w:unhideWhenUsed/>
    <w:rsid w:val="00962877"/>
    <w:rPr>
      <w:sz w:val="20"/>
      <w:szCs w:val="20"/>
    </w:rPr>
  </w:style>
  <w:style w:type="character" w:customStyle="1" w:styleId="CommentTextChar">
    <w:name w:val="Comment Text Char"/>
    <w:basedOn w:val="DefaultParagraphFont"/>
    <w:link w:val="CommentText"/>
    <w:uiPriority w:val="99"/>
    <w:semiHidden/>
    <w:rsid w:val="0096287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62877"/>
    <w:rPr>
      <w:b/>
      <w:bCs/>
    </w:rPr>
  </w:style>
  <w:style w:type="character" w:customStyle="1" w:styleId="CommentSubjectChar">
    <w:name w:val="Comment Subject Char"/>
    <w:basedOn w:val="CommentTextChar"/>
    <w:link w:val="CommentSubject"/>
    <w:uiPriority w:val="99"/>
    <w:semiHidden/>
    <w:rsid w:val="00962877"/>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62877"/>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6462">
      <w:bodyDiv w:val="1"/>
      <w:marLeft w:val="0"/>
      <w:marRight w:val="0"/>
      <w:marTop w:val="0"/>
      <w:marBottom w:val="0"/>
      <w:divBdr>
        <w:top w:val="none" w:sz="0" w:space="0" w:color="auto"/>
        <w:left w:val="none" w:sz="0" w:space="0" w:color="auto"/>
        <w:bottom w:val="none" w:sz="0" w:space="0" w:color="auto"/>
        <w:right w:val="none" w:sz="0" w:space="0" w:color="auto"/>
      </w:divBdr>
    </w:div>
    <w:div w:id="1428621839">
      <w:bodyDiv w:val="1"/>
      <w:marLeft w:val="0"/>
      <w:marRight w:val="0"/>
      <w:marTop w:val="0"/>
      <w:marBottom w:val="0"/>
      <w:divBdr>
        <w:top w:val="none" w:sz="0" w:space="0" w:color="auto"/>
        <w:left w:val="none" w:sz="0" w:space="0" w:color="auto"/>
        <w:bottom w:val="none" w:sz="0" w:space="0" w:color="auto"/>
        <w:right w:val="none" w:sz="0" w:space="0" w:color="auto"/>
      </w:divBdr>
    </w:div>
    <w:div w:id="1551765080">
      <w:bodyDiv w:val="1"/>
      <w:marLeft w:val="0"/>
      <w:marRight w:val="0"/>
      <w:marTop w:val="0"/>
      <w:marBottom w:val="0"/>
      <w:divBdr>
        <w:top w:val="none" w:sz="0" w:space="0" w:color="auto"/>
        <w:left w:val="none" w:sz="0" w:space="0" w:color="auto"/>
        <w:bottom w:val="none" w:sz="0" w:space="0" w:color="auto"/>
        <w:right w:val="none" w:sz="0" w:space="0" w:color="auto"/>
      </w:divBdr>
      <w:divsChild>
        <w:div w:id="1763329791">
          <w:marLeft w:val="0"/>
          <w:marRight w:val="0"/>
          <w:marTop w:val="120"/>
          <w:marBottom w:val="0"/>
          <w:divBdr>
            <w:top w:val="none" w:sz="0" w:space="0" w:color="auto"/>
            <w:left w:val="none" w:sz="0" w:space="0" w:color="auto"/>
            <w:bottom w:val="none" w:sz="0" w:space="0" w:color="auto"/>
            <w:right w:val="none" w:sz="0" w:space="0" w:color="auto"/>
          </w:divBdr>
        </w:div>
        <w:div w:id="1079979386">
          <w:marLeft w:val="0"/>
          <w:marRight w:val="0"/>
          <w:marTop w:val="120"/>
          <w:marBottom w:val="0"/>
          <w:divBdr>
            <w:top w:val="none" w:sz="0" w:space="0" w:color="auto"/>
            <w:left w:val="none" w:sz="0" w:space="0" w:color="auto"/>
            <w:bottom w:val="none" w:sz="0" w:space="0" w:color="auto"/>
            <w:right w:val="none" w:sz="0" w:space="0" w:color="auto"/>
          </w:divBdr>
        </w:div>
        <w:div w:id="901986659">
          <w:marLeft w:val="0"/>
          <w:marRight w:val="0"/>
          <w:marTop w:val="120"/>
          <w:marBottom w:val="0"/>
          <w:divBdr>
            <w:top w:val="none" w:sz="0" w:space="0" w:color="auto"/>
            <w:left w:val="none" w:sz="0" w:space="0" w:color="auto"/>
            <w:bottom w:val="none" w:sz="0" w:space="0" w:color="auto"/>
            <w:right w:val="none" w:sz="0" w:space="0" w:color="auto"/>
          </w:divBdr>
        </w:div>
        <w:div w:id="866212740">
          <w:marLeft w:val="0"/>
          <w:marRight w:val="0"/>
          <w:marTop w:val="120"/>
          <w:marBottom w:val="0"/>
          <w:divBdr>
            <w:top w:val="none" w:sz="0" w:space="0" w:color="auto"/>
            <w:left w:val="none" w:sz="0" w:space="0" w:color="auto"/>
            <w:bottom w:val="none" w:sz="0" w:space="0" w:color="auto"/>
            <w:right w:val="none" w:sz="0" w:space="0" w:color="auto"/>
          </w:divBdr>
        </w:div>
        <w:div w:id="2006205928">
          <w:marLeft w:val="0"/>
          <w:marRight w:val="0"/>
          <w:marTop w:val="240"/>
          <w:marBottom w:val="24"/>
          <w:divBdr>
            <w:top w:val="single" w:sz="8" w:space="2" w:color="808080"/>
            <w:left w:val="none" w:sz="0" w:space="0" w:color="auto"/>
            <w:bottom w:val="none" w:sz="0" w:space="0" w:color="auto"/>
            <w:right w:val="none" w:sz="0" w:space="0" w:color="auto"/>
          </w:divBdr>
        </w:div>
        <w:div w:id="1977295452">
          <w:marLeft w:val="0"/>
          <w:marRight w:val="0"/>
          <w:marTop w:val="120"/>
          <w:marBottom w:val="0"/>
          <w:divBdr>
            <w:top w:val="none" w:sz="0" w:space="0" w:color="auto"/>
            <w:left w:val="none" w:sz="0" w:space="0" w:color="auto"/>
            <w:bottom w:val="none" w:sz="0" w:space="0" w:color="auto"/>
            <w:right w:val="none" w:sz="0" w:space="0" w:color="auto"/>
          </w:divBdr>
        </w:div>
        <w:div w:id="8435925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255F-6950-46F1-A1FB-DE83817E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21</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247</cp:revision>
  <cp:lastPrinted>2022-09-02T09:26:00Z</cp:lastPrinted>
  <dcterms:created xsi:type="dcterms:W3CDTF">2022-08-25T07:47:00Z</dcterms:created>
  <dcterms:modified xsi:type="dcterms:W3CDTF">2022-10-13T10:57:00Z</dcterms:modified>
</cp:coreProperties>
</file>