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522" w:rsidRPr="000C7880" w:rsidRDefault="00E85522" w:rsidP="00E85522">
      <w:pPr>
        <w:rPr>
          <w:rFonts w:ascii="Times New Roman" w:hAnsi="Times New Roman" w:cs="Times New Roman"/>
          <w:sz w:val="28"/>
          <w:szCs w:val="28"/>
        </w:rPr>
      </w:pPr>
      <w:bookmarkStart w:id="0" w:name="_GoBack"/>
      <w:bookmarkEnd w:id="0"/>
      <w:r w:rsidRPr="000C7880">
        <w:rPr>
          <w:rFonts w:ascii="Times New Roman" w:hAnsi="Times New Roman" w:cs="Times New Roman"/>
          <w:noProof/>
          <w:color w:val="000000" w:themeColor="text1"/>
          <w:sz w:val="28"/>
          <w:szCs w:val="28"/>
          <w:lang w:eastAsia="en-ZA"/>
        </w:rPr>
        <w:drawing>
          <wp:anchor distT="0" distB="0" distL="114300" distR="114300" simplePos="0" relativeHeight="251659264" behindDoc="0" locked="0" layoutInCell="1" allowOverlap="1" wp14:anchorId="3A653D40" wp14:editId="58EB98D0">
            <wp:simplePos x="0" y="0"/>
            <wp:positionH relativeFrom="column">
              <wp:posOffset>2295525</wp:posOffset>
            </wp:positionH>
            <wp:positionV relativeFrom="paragraph">
              <wp:posOffset>52705</wp:posOffset>
            </wp:positionV>
            <wp:extent cx="1247775" cy="1247775"/>
            <wp:effectExtent l="0" t="0" r="9525" b="9525"/>
            <wp:wrapSquare wrapText="bothSides"/>
            <wp:docPr id="1"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anchor>
        </w:drawing>
      </w:r>
      <w:r w:rsidR="00CE0318">
        <w:rPr>
          <w:rFonts w:ascii="Times New Roman" w:hAnsi="Times New Roman" w:cs="Times New Roman"/>
          <w:sz w:val="28"/>
          <w:szCs w:val="28"/>
        </w:rPr>
        <w:t xml:space="preserve"> </w:t>
      </w:r>
    </w:p>
    <w:p w:rsidR="00E85522" w:rsidRPr="000C7880" w:rsidRDefault="00E85522" w:rsidP="00E85522">
      <w:pPr>
        <w:tabs>
          <w:tab w:val="left" w:pos="2415"/>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
    <w:p w:rsidR="00E85522" w:rsidRPr="000C7880" w:rsidRDefault="00E85522" w:rsidP="00E85522">
      <w:pPr>
        <w:spacing w:after="0"/>
        <w:rPr>
          <w:rFonts w:ascii="Times New Roman" w:hAnsi="Times New Roman" w:cs="Times New Roman"/>
          <w:color w:val="000000" w:themeColor="text1"/>
          <w:sz w:val="28"/>
          <w:szCs w:val="28"/>
        </w:rPr>
      </w:pPr>
    </w:p>
    <w:p w:rsidR="00E85522" w:rsidRPr="000C7880" w:rsidRDefault="00E85522" w:rsidP="00E85522">
      <w:pPr>
        <w:spacing w:after="0"/>
        <w:rPr>
          <w:rFonts w:ascii="Times New Roman" w:hAnsi="Times New Roman" w:cs="Times New Roman"/>
          <w:b/>
          <w:color w:val="000000" w:themeColor="text1"/>
          <w:sz w:val="28"/>
          <w:szCs w:val="28"/>
        </w:rPr>
      </w:pPr>
      <w:r w:rsidRPr="000C788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0C7880">
        <w:rPr>
          <w:rFonts w:ascii="Times New Roman" w:hAnsi="Times New Roman" w:cs="Times New Roman"/>
          <w:b/>
          <w:color w:val="000000" w:themeColor="text1"/>
          <w:sz w:val="28"/>
          <w:szCs w:val="28"/>
        </w:rPr>
        <w:t>HIGH COURT OF SOUTH AFRICA</w:t>
      </w:r>
    </w:p>
    <w:p w:rsidR="009F2441" w:rsidRDefault="00E85522" w:rsidP="00C72C9A">
      <w:pPr>
        <w:tabs>
          <w:tab w:val="center" w:pos="4513"/>
          <w:tab w:val="left" w:pos="7826"/>
        </w:tabs>
        <w:spacing w:after="120"/>
        <w:rPr>
          <w:rFonts w:ascii="Times New Roman" w:hAnsi="Times New Roman" w:cs="Times New Roman"/>
          <w:b/>
          <w:color w:val="000000" w:themeColor="text1"/>
          <w:sz w:val="28"/>
          <w:szCs w:val="28"/>
        </w:rPr>
      </w:pPr>
      <w:r w:rsidRPr="000C7880">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                             </w:t>
      </w:r>
      <w:r w:rsidRPr="000C7880">
        <w:rPr>
          <w:rFonts w:ascii="Times New Roman" w:hAnsi="Times New Roman" w:cs="Times New Roman"/>
          <w:b/>
          <w:color w:val="000000" w:themeColor="text1"/>
          <w:sz w:val="28"/>
          <w:szCs w:val="28"/>
        </w:rPr>
        <w:t>(GAUTENG DIVISION, PRETORIA)</w:t>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sidRPr="000C7880">
        <w:rPr>
          <w:rFonts w:ascii="Times New Roman" w:hAnsi="Times New Roman" w:cs="Times New Roman"/>
          <w:b/>
          <w:color w:val="000000" w:themeColor="text1"/>
          <w:sz w:val="28"/>
          <w:szCs w:val="28"/>
          <w:highlight w:val="yellow"/>
        </w:rPr>
        <w:t xml:space="preserve">                                                                    </w:t>
      </w:r>
      <w:r w:rsidR="009F2441">
        <w:rPr>
          <w:rFonts w:ascii="Times New Roman" w:hAnsi="Times New Roman" w:cs="Times New Roman"/>
          <w:b/>
          <w:color w:val="000000" w:themeColor="text1"/>
          <w:sz w:val="28"/>
          <w:szCs w:val="28"/>
        </w:rPr>
        <w:t xml:space="preserve">   </w:t>
      </w:r>
    </w:p>
    <w:p w:rsidR="00AC3D9A" w:rsidRDefault="00E85522" w:rsidP="009F2441">
      <w:pPr>
        <w:spacing w:after="240"/>
        <w:ind w:right="-46"/>
        <w:jc w:val="right"/>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CASE NO:</w:t>
      </w:r>
      <w:r w:rsidR="00850591">
        <w:rPr>
          <w:rFonts w:ascii="Times New Roman" w:hAnsi="Times New Roman" w:cs="Times New Roman"/>
          <w:b/>
          <w:color w:val="000000" w:themeColor="text1"/>
          <w:sz w:val="28"/>
          <w:szCs w:val="28"/>
        </w:rPr>
        <w:t xml:space="preserve"> </w:t>
      </w:r>
      <w:r w:rsidR="00A017A2">
        <w:rPr>
          <w:rFonts w:ascii="Times New Roman" w:hAnsi="Times New Roman" w:cs="Times New Roman"/>
          <w:b/>
          <w:color w:val="000000" w:themeColor="text1"/>
          <w:sz w:val="28"/>
          <w:szCs w:val="28"/>
        </w:rPr>
        <w:t xml:space="preserve">70603/2018 </w:t>
      </w:r>
    </w:p>
    <w:tbl>
      <w:tblPr>
        <w:tblpPr w:leftFromText="180" w:rightFromText="180" w:vertAnchor="text" w:horzAnchor="margin" w:tblpXSpec="right"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tblGrid>
      <w:tr w:rsidR="00D72A63" w:rsidRPr="00D72A63" w:rsidTr="00C53475">
        <w:tc>
          <w:tcPr>
            <w:tcW w:w="4428" w:type="dxa"/>
          </w:tcPr>
          <w:p w:rsidR="00D72A63" w:rsidRPr="00D72A63" w:rsidRDefault="005617EA" w:rsidP="00D72A63">
            <w:pPr>
              <w:spacing w:after="0"/>
              <w:jc w:val="left"/>
              <w:rPr>
                <w:rFonts w:ascii="Times New Roman" w:eastAsia="Calibri" w:hAnsi="Times New Roman" w:cs="Arial"/>
                <w:b/>
                <w:spacing w:val="3"/>
                <w:w w:val="104"/>
                <w:kern w:val="24"/>
                <w:sz w:val="18"/>
                <w:szCs w:val="18"/>
                <w:lang w:val="en-GB"/>
              </w:rPr>
            </w:pPr>
            <w:bookmarkStart w:id="1" w:name="OLE_LINK1"/>
            <w:bookmarkStart w:id="2" w:name="OLE_LINK2"/>
            <w:bookmarkStart w:id="3" w:name="OLE_LINK3"/>
            <w:bookmarkStart w:id="4" w:name="OLE_LINK4"/>
            <w:r>
              <w:rPr>
                <w:rFonts w:ascii="Times New Roman" w:eastAsia="Calibri" w:hAnsi="Times New Roman" w:cs="Arial"/>
                <w:b/>
                <w:spacing w:val="3"/>
                <w:w w:val="104"/>
                <w:kern w:val="24"/>
                <w:sz w:val="18"/>
                <w:szCs w:val="18"/>
                <w:lang w:val="en-GB"/>
              </w:rPr>
              <w:t xml:space="preserve">(1) REPORTABLE: </w:t>
            </w:r>
            <w:r w:rsidR="00D72A63" w:rsidRPr="00D72A63">
              <w:rPr>
                <w:rFonts w:ascii="Times New Roman" w:eastAsia="Calibri" w:hAnsi="Times New Roman" w:cs="Arial"/>
                <w:b/>
                <w:spacing w:val="3"/>
                <w:w w:val="104"/>
                <w:kern w:val="24"/>
                <w:sz w:val="18"/>
                <w:szCs w:val="18"/>
                <w:lang w:val="en-GB"/>
              </w:rPr>
              <w:t xml:space="preserve"> NO.</w:t>
            </w:r>
          </w:p>
          <w:p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(2) OF I</w:t>
            </w:r>
            <w:r w:rsidR="005617EA">
              <w:rPr>
                <w:rFonts w:ascii="Times New Roman" w:eastAsia="Calibri" w:hAnsi="Times New Roman" w:cs="Arial"/>
                <w:b/>
                <w:spacing w:val="3"/>
                <w:w w:val="104"/>
                <w:kern w:val="24"/>
                <w:sz w:val="18"/>
                <w:szCs w:val="18"/>
                <w:lang w:val="en-GB"/>
              </w:rPr>
              <w:t xml:space="preserve">NTEREST TO OTHER JUDGES: </w:t>
            </w:r>
            <w:r w:rsidRPr="00D72A63">
              <w:rPr>
                <w:rFonts w:ascii="Times New Roman" w:eastAsia="Calibri" w:hAnsi="Times New Roman" w:cs="Arial"/>
                <w:b/>
                <w:spacing w:val="3"/>
                <w:w w:val="104"/>
                <w:kern w:val="24"/>
                <w:sz w:val="18"/>
                <w:szCs w:val="18"/>
                <w:lang w:val="en-GB"/>
              </w:rPr>
              <w:t>NO.</w:t>
            </w:r>
          </w:p>
          <w:p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(3) REVISED.</w:t>
            </w:r>
          </w:p>
          <w:p w:rsidR="005E2C22"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u w:val="single"/>
                <w:lang w:val="en-GB"/>
              </w:rPr>
              <w:t>DATE</w:t>
            </w:r>
            <w:r w:rsidR="0060768C">
              <w:rPr>
                <w:rFonts w:ascii="Times New Roman" w:eastAsia="Calibri" w:hAnsi="Times New Roman" w:cs="Arial"/>
                <w:b/>
                <w:spacing w:val="3"/>
                <w:w w:val="104"/>
                <w:kern w:val="24"/>
                <w:sz w:val="18"/>
                <w:szCs w:val="18"/>
                <w:lang w:val="en-GB"/>
              </w:rPr>
              <w:t>:</w:t>
            </w:r>
            <w:r w:rsidR="00A71DA4">
              <w:rPr>
                <w:rFonts w:ascii="Times New Roman" w:eastAsia="Calibri" w:hAnsi="Times New Roman" w:cs="Arial"/>
                <w:b/>
                <w:spacing w:val="3"/>
                <w:w w:val="104"/>
                <w:kern w:val="24"/>
                <w:sz w:val="18"/>
                <w:szCs w:val="18"/>
                <w:lang w:val="en-GB"/>
              </w:rPr>
              <w:t xml:space="preserve"> </w:t>
            </w:r>
            <w:r w:rsidR="006533C7">
              <w:rPr>
                <w:rFonts w:ascii="Times New Roman" w:eastAsia="Calibri" w:hAnsi="Times New Roman" w:cs="Arial"/>
                <w:b/>
                <w:spacing w:val="3"/>
                <w:w w:val="104"/>
                <w:kern w:val="24"/>
                <w:sz w:val="18"/>
                <w:szCs w:val="18"/>
                <w:lang w:val="en-GB"/>
              </w:rPr>
              <w:t xml:space="preserve">3 OCTOBER </w:t>
            </w:r>
            <w:r w:rsidR="0090163D">
              <w:rPr>
                <w:rFonts w:ascii="Times New Roman" w:eastAsia="Calibri" w:hAnsi="Times New Roman" w:cs="Arial"/>
                <w:b/>
                <w:spacing w:val="3"/>
                <w:w w:val="104"/>
                <w:kern w:val="24"/>
                <w:sz w:val="18"/>
                <w:szCs w:val="18"/>
                <w:lang w:val="en-GB"/>
              </w:rPr>
              <w:t>2022</w:t>
            </w:r>
            <w:r w:rsidR="00B179C7">
              <w:rPr>
                <w:rFonts w:ascii="Times New Roman" w:eastAsia="Calibri" w:hAnsi="Times New Roman" w:cs="Arial"/>
                <w:b/>
                <w:spacing w:val="3"/>
                <w:w w:val="104"/>
                <w:kern w:val="24"/>
                <w:sz w:val="18"/>
                <w:szCs w:val="18"/>
                <w:lang w:val="en-GB"/>
              </w:rPr>
              <w:t xml:space="preserve"> </w:t>
            </w:r>
            <w:r w:rsidRPr="00D72A63">
              <w:rPr>
                <w:rFonts w:ascii="Times New Roman" w:eastAsia="Calibri" w:hAnsi="Times New Roman" w:cs="Arial"/>
                <w:b/>
                <w:spacing w:val="3"/>
                <w:w w:val="104"/>
                <w:kern w:val="24"/>
                <w:sz w:val="18"/>
                <w:szCs w:val="18"/>
                <w:lang w:val="en-GB"/>
              </w:rPr>
              <w:t xml:space="preserve"> </w:t>
            </w:r>
          </w:p>
          <w:p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 xml:space="preserve">                       </w:t>
            </w:r>
          </w:p>
          <w:p w:rsidR="00D72A63" w:rsidRPr="00D72A63" w:rsidRDefault="00D72A63" w:rsidP="00D72A63">
            <w:pPr>
              <w:spacing w:after="0"/>
              <w:jc w:val="left"/>
              <w:rPr>
                <w:rFonts w:ascii="Times New Roman" w:eastAsia="Calibri" w:hAnsi="Times New Roman" w:cs="Arial"/>
                <w:b/>
                <w:spacing w:val="3"/>
                <w:w w:val="104"/>
                <w:kern w:val="24"/>
                <w:sz w:val="18"/>
                <w:szCs w:val="18"/>
                <w:u w:val="single"/>
                <w:lang w:val="en-GB"/>
              </w:rPr>
            </w:pPr>
            <w:r w:rsidRPr="00D72A63">
              <w:rPr>
                <w:rFonts w:ascii="Times New Roman" w:eastAsia="Calibri" w:hAnsi="Times New Roman" w:cs="Arial"/>
                <w:b/>
                <w:spacing w:val="3"/>
                <w:w w:val="104"/>
                <w:kern w:val="24"/>
                <w:sz w:val="18"/>
                <w:szCs w:val="18"/>
                <w:u w:val="single"/>
                <w:lang w:val="en-GB"/>
              </w:rPr>
              <w:t>SIGNATURE</w:t>
            </w:r>
          </w:p>
        </w:tc>
      </w:tr>
      <w:bookmarkEnd w:id="1"/>
      <w:bookmarkEnd w:id="2"/>
      <w:bookmarkEnd w:id="3"/>
      <w:bookmarkEnd w:id="4"/>
    </w:tbl>
    <w:p w:rsidR="00D72A63" w:rsidRDefault="00D72A63" w:rsidP="00D72A63">
      <w:pPr>
        <w:spacing w:after="240"/>
        <w:ind w:right="-46"/>
        <w:jc w:val="right"/>
        <w:rPr>
          <w:rFonts w:ascii="Times New Roman" w:hAnsi="Times New Roman" w:cs="Times New Roman"/>
          <w:b/>
          <w:color w:val="000000" w:themeColor="text1"/>
          <w:sz w:val="28"/>
          <w:szCs w:val="28"/>
        </w:rPr>
      </w:pPr>
    </w:p>
    <w:p w:rsidR="00D72A63" w:rsidRDefault="00D72A63" w:rsidP="00D72A63">
      <w:pPr>
        <w:spacing w:after="240"/>
        <w:ind w:right="-46"/>
        <w:jc w:val="right"/>
        <w:rPr>
          <w:rFonts w:ascii="Times New Roman" w:hAnsi="Times New Roman" w:cs="Times New Roman"/>
          <w:b/>
          <w:color w:val="000000" w:themeColor="text1"/>
          <w:sz w:val="28"/>
          <w:szCs w:val="28"/>
        </w:rPr>
      </w:pPr>
    </w:p>
    <w:p w:rsidR="00D72A63" w:rsidRDefault="00D72A63" w:rsidP="00E85522">
      <w:pPr>
        <w:spacing w:after="240"/>
        <w:ind w:right="-46"/>
        <w:rPr>
          <w:rFonts w:ascii="Times New Roman" w:hAnsi="Times New Roman" w:cs="Times New Roman"/>
          <w:b/>
          <w:color w:val="000000" w:themeColor="text1"/>
          <w:sz w:val="28"/>
          <w:szCs w:val="28"/>
        </w:rPr>
      </w:pPr>
    </w:p>
    <w:p w:rsidR="00D72A63" w:rsidRPr="00D72A63" w:rsidRDefault="00D72A63" w:rsidP="00E85522">
      <w:pPr>
        <w:spacing w:after="240"/>
        <w:ind w:right="-46"/>
        <w:rPr>
          <w:rFonts w:ascii="Times New Roman" w:hAnsi="Times New Roman" w:cs="Times New Roman"/>
          <w:color w:val="000000" w:themeColor="text1"/>
          <w:sz w:val="28"/>
          <w:szCs w:val="28"/>
        </w:rPr>
      </w:pPr>
    </w:p>
    <w:p w:rsidR="00CA654F" w:rsidRDefault="00D72A63" w:rsidP="004C58F4">
      <w:pPr>
        <w:spacing w:after="120"/>
        <w:ind w:right="-45"/>
        <w:rPr>
          <w:rFonts w:ascii="Times New Roman" w:hAnsi="Times New Roman" w:cs="Times New Roman"/>
          <w:color w:val="000000" w:themeColor="text1"/>
          <w:sz w:val="28"/>
          <w:szCs w:val="28"/>
        </w:rPr>
      </w:pPr>
      <w:r w:rsidRPr="00D72A63">
        <w:rPr>
          <w:rFonts w:ascii="Times New Roman" w:hAnsi="Times New Roman" w:cs="Times New Roman"/>
          <w:color w:val="000000" w:themeColor="text1"/>
          <w:sz w:val="28"/>
          <w:szCs w:val="28"/>
        </w:rPr>
        <w:t>In the matter between:</w:t>
      </w:r>
      <w:r w:rsidR="00A75291">
        <w:rPr>
          <w:rFonts w:ascii="Times New Roman" w:hAnsi="Times New Roman" w:cs="Times New Roman"/>
          <w:b/>
          <w:color w:val="000000" w:themeColor="text1"/>
          <w:sz w:val="28"/>
          <w:szCs w:val="28"/>
        </w:rPr>
        <w:tab/>
      </w:r>
      <w:r w:rsidR="00A75291">
        <w:rPr>
          <w:rFonts w:ascii="Times New Roman" w:hAnsi="Times New Roman" w:cs="Times New Roman"/>
          <w:b/>
          <w:color w:val="000000" w:themeColor="text1"/>
          <w:sz w:val="28"/>
          <w:szCs w:val="28"/>
        </w:rPr>
        <w:tab/>
      </w:r>
      <w:r w:rsidR="00A75291">
        <w:rPr>
          <w:rFonts w:ascii="Times New Roman" w:hAnsi="Times New Roman" w:cs="Times New Roman"/>
          <w:b/>
          <w:color w:val="000000" w:themeColor="text1"/>
          <w:sz w:val="28"/>
          <w:szCs w:val="28"/>
        </w:rPr>
        <w:tab/>
      </w:r>
      <w:r w:rsidR="00A75291">
        <w:rPr>
          <w:rFonts w:ascii="Times New Roman" w:hAnsi="Times New Roman" w:cs="Times New Roman"/>
          <w:b/>
          <w:color w:val="000000" w:themeColor="text1"/>
          <w:sz w:val="28"/>
          <w:szCs w:val="28"/>
        </w:rPr>
        <w:tab/>
      </w:r>
      <w:r w:rsidR="00A75291">
        <w:rPr>
          <w:rFonts w:ascii="Times New Roman" w:hAnsi="Times New Roman" w:cs="Times New Roman"/>
          <w:color w:val="000000" w:themeColor="text1"/>
          <w:sz w:val="28"/>
          <w:szCs w:val="28"/>
        </w:rPr>
        <w:tab/>
      </w:r>
      <w:r w:rsidR="00A75291">
        <w:rPr>
          <w:rFonts w:ascii="Times New Roman" w:hAnsi="Times New Roman" w:cs="Times New Roman"/>
          <w:color w:val="000000" w:themeColor="text1"/>
          <w:sz w:val="28"/>
          <w:szCs w:val="28"/>
        </w:rPr>
        <w:tab/>
        <w:t xml:space="preserve">  </w:t>
      </w:r>
      <w:r w:rsidR="00A75291">
        <w:rPr>
          <w:rFonts w:ascii="Times New Roman" w:hAnsi="Times New Roman" w:cs="Times New Roman"/>
          <w:color w:val="000000" w:themeColor="text1"/>
          <w:sz w:val="28"/>
          <w:szCs w:val="28"/>
        </w:rPr>
        <w:tab/>
      </w:r>
    </w:p>
    <w:p w:rsidR="001D0252" w:rsidRDefault="00A017A2" w:rsidP="006B7F16">
      <w:pPr>
        <w:spacing w:after="120"/>
        <w:ind w:right="-45"/>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WITWATERSRAND ESTATE</w:t>
      </w:r>
      <w:r w:rsidR="002F195E">
        <w:rPr>
          <w:rFonts w:ascii="Times New Roman" w:hAnsi="Times New Roman" w:cs="Times New Roman"/>
          <w:b/>
          <w:color w:val="000000" w:themeColor="text1"/>
          <w:sz w:val="28"/>
          <w:szCs w:val="28"/>
        </w:rPr>
        <w:t>S</w:t>
      </w:r>
      <w:r>
        <w:rPr>
          <w:rFonts w:ascii="Times New Roman" w:hAnsi="Times New Roman" w:cs="Times New Roman"/>
          <w:b/>
          <w:color w:val="000000" w:themeColor="text1"/>
          <w:sz w:val="28"/>
          <w:szCs w:val="28"/>
        </w:rPr>
        <w:t xml:space="preserve"> LTD</w:t>
      </w:r>
      <w:r>
        <w:rPr>
          <w:rFonts w:ascii="Times New Roman" w:hAnsi="Times New Roman" w:cs="Times New Roman"/>
          <w:b/>
          <w:color w:val="000000" w:themeColor="text1"/>
          <w:sz w:val="28"/>
          <w:szCs w:val="28"/>
        </w:rPr>
        <w:tab/>
      </w:r>
      <w:r w:rsidR="00347D6C">
        <w:rPr>
          <w:rFonts w:ascii="Times New Roman" w:hAnsi="Times New Roman" w:cs="Times New Roman"/>
          <w:b/>
          <w:color w:val="000000" w:themeColor="text1"/>
          <w:sz w:val="28"/>
          <w:szCs w:val="28"/>
        </w:rPr>
        <w:t xml:space="preserve"> </w:t>
      </w:r>
      <w:proofErr w:type="gramStart"/>
      <w:r w:rsidR="00347D6C">
        <w:rPr>
          <w:rFonts w:ascii="Times New Roman" w:hAnsi="Times New Roman" w:cs="Times New Roman"/>
          <w:b/>
          <w:color w:val="000000" w:themeColor="text1"/>
          <w:sz w:val="28"/>
          <w:szCs w:val="28"/>
        </w:rPr>
        <w:tab/>
        <w:t xml:space="preserve">  </w:t>
      </w:r>
      <w:r>
        <w:rPr>
          <w:rFonts w:ascii="Times New Roman" w:hAnsi="Times New Roman" w:cs="Times New Roman"/>
          <w:b/>
          <w:color w:val="000000" w:themeColor="text1"/>
          <w:sz w:val="28"/>
          <w:szCs w:val="28"/>
        </w:rPr>
        <w:tab/>
      </w:r>
      <w:proofErr w:type="gramEnd"/>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sidR="001D0252" w:rsidRPr="001D0252">
        <w:rPr>
          <w:rFonts w:ascii="Times New Roman" w:hAnsi="Times New Roman" w:cs="Times New Roman"/>
          <w:color w:val="000000" w:themeColor="text1"/>
          <w:sz w:val="28"/>
          <w:szCs w:val="28"/>
        </w:rPr>
        <w:t>Applicant</w:t>
      </w:r>
    </w:p>
    <w:p w:rsidR="00F910B2" w:rsidRDefault="00F910B2" w:rsidP="00F910B2">
      <w:pPr>
        <w:spacing w:after="240"/>
        <w:ind w:right="-4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and</w:t>
      </w:r>
    </w:p>
    <w:p w:rsidR="0090163D" w:rsidRDefault="002F195E" w:rsidP="009F2441">
      <w:pPr>
        <w:spacing w:after="0"/>
        <w:ind w:right="-45"/>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CENTUR</w:t>
      </w:r>
      <w:r w:rsidR="0090163D">
        <w:rPr>
          <w:rFonts w:ascii="Times New Roman" w:hAnsi="Times New Roman" w:cs="Times New Roman"/>
          <w:b/>
          <w:color w:val="000000" w:themeColor="text1"/>
          <w:sz w:val="28"/>
          <w:szCs w:val="28"/>
        </w:rPr>
        <w:t>Y PROPERTY DEVELOPMENTS</w:t>
      </w:r>
    </w:p>
    <w:p w:rsidR="00892EA5" w:rsidRDefault="0090163D" w:rsidP="0090163D">
      <w:pPr>
        <w:spacing w:after="120"/>
        <w:ind w:right="-45"/>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(PTY) LTD</w:t>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sidR="00844683">
        <w:rPr>
          <w:rFonts w:ascii="Times New Roman" w:hAnsi="Times New Roman" w:cs="Times New Roman"/>
          <w:b/>
          <w:color w:val="000000" w:themeColor="text1"/>
          <w:sz w:val="28"/>
          <w:szCs w:val="28"/>
        </w:rPr>
        <w:tab/>
      </w:r>
      <w:r w:rsidR="007255E0">
        <w:rPr>
          <w:rFonts w:ascii="Times New Roman" w:hAnsi="Times New Roman" w:cs="Times New Roman"/>
          <w:b/>
          <w:color w:val="000000" w:themeColor="text1"/>
          <w:sz w:val="28"/>
          <w:szCs w:val="28"/>
        </w:rPr>
        <w:t xml:space="preserve">       </w:t>
      </w:r>
      <w:r w:rsidR="00892EA5">
        <w:rPr>
          <w:rFonts w:ascii="Times New Roman" w:hAnsi="Times New Roman" w:cs="Times New Roman"/>
          <w:b/>
          <w:color w:val="000000" w:themeColor="text1"/>
          <w:sz w:val="28"/>
          <w:szCs w:val="28"/>
        </w:rPr>
        <w:t xml:space="preserve">   </w:t>
      </w:r>
      <w:r w:rsidR="00A017A2">
        <w:rPr>
          <w:rFonts w:ascii="Times New Roman" w:hAnsi="Times New Roman" w:cs="Times New Roman"/>
          <w:b/>
          <w:color w:val="000000" w:themeColor="text1"/>
          <w:sz w:val="28"/>
          <w:szCs w:val="28"/>
        </w:rPr>
        <w:tab/>
      </w:r>
      <w:r w:rsidR="00A017A2">
        <w:rPr>
          <w:rFonts w:ascii="Times New Roman" w:hAnsi="Times New Roman" w:cs="Times New Roman"/>
          <w:b/>
          <w:color w:val="000000" w:themeColor="text1"/>
          <w:sz w:val="28"/>
          <w:szCs w:val="28"/>
        </w:rPr>
        <w:tab/>
      </w:r>
      <w:r w:rsidR="00A017A2">
        <w:rPr>
          <w:rFonts w:ascii="Times New Roman" w:hAnsi="Times New Roman" w:cs="Times New Roman"/>
          <w:b/>
          <w:color w:val="000000" w:themeColor="text1"/>
          <w:sz w:val="28"/>
          <w:szCs w:val="28"/>
        </w:rPr>
        <w:tab/>
      </w:r>
      <w:r w:rsidR="00A017A2">
        <w:rPr>
          <w:rFonts w:ascii="Times New Roman" w:hAnsi="Times New Roman" w:cs="Times New Roman"/>
          <w:b/>
          <w:color w:val="000000" w:themeColor="text1"/>
          <w:sz w:val="28"/>
          <w:szCs w:val="28"/>
        </w:rPr>
        <w:tab/>
      </w:r>
      <w:r w:rsidR="00A017A2">
        <w:rPr>
          <w:rFonts w:ascii="Times New Roman" w:hAnsi="Times New Roman" w:cs="Times New Roman"/>
          <w:b/>
          <w:color w:val="000000" w:themeColor="text1"/>
          <w:sz w:val="28"/>
          <w:szCs w:val="28"/>
        </w:rPr>
        <w:tab/>
        <w:t xml:space="preserve">         </w:t>
      </w:r>
      <w:r w:rsidR="00892EA5" w:rsidRPr="00892EA5">
        <w:rPr>
          <w:rFonts w:ascii="Times New Roman" w:hAnsi="Times New Roman" w:cs="Times New Roman"/>
          <w:color w:val="000000" w:themeColor="text1"/>
          <w:sz w:val="28"/>
          <w:szCs w:val="28"/>
        </w:rPr>
        <w:t>Fi</w:t>
      </w:r>
      <w:r w:rsidR="00892EA5">
        <w:rPr>
          <w:rFonts w:ascii="Times New Roman" w:hAnsi="Times New Roman" w:cs="Times New Roman"/>
          <w:color w:val="000000" w:themeColor="text1"/>
          <w:sz w:val="28"/>
          <w:szCs w:val="28"/>
        </w:rPr>
        <w:t>r</w:t>
      </w:r>
      <w:r w:rsidR="00892EA5" w:rsidRPr="00892EA5">
        <w:rPr>
          <w:rFonts w:ascii="Times New Roman" w:hAnsi="Times New Roman" w:cs="Times New Roman"/>
          <w:color w:val="000000" w:themeColor="text1"/>
          <w:sz w:val="28"/>
          <w:szCs w:val="28"/>
        </w:rPr>
        <w:t>st</w:t>
      </w:r>
      <w:r w:rsidR="00892EA5">
        <w:rPr>
          <w:rFonts w:ascii="Times New Roman" w:hAnsi="Times New Roman" w:cs="Times New Roman"/>
          <w:color w:val="000000" w:themeColor="text1"/>
          <w:sz w:val="28"/>
          <w:szCs w:val="28"/>
        </w:rPr>
        <w:t xml:space="preserve"> </w:t>
      </w:r>
      <w:r w:rsidR="007255E0" w:rsidRPr="007255E0">
        <w:rPr>
          <w:rFonts w:ascii="Times New Roman" w:hAnsi="Times New Roman" w:cs="Times New Roman"/>
          <w:color w:val="000000" w:themeColor="text1"/>
          <w:sz w:val="28"/>
          <w:szCs w:val="28"/>
        </w:rPr>
        <w:t>R</w:t>
      </w:r>
      <w:r w:rsidR="007255E0">
        <w:rPr>
          <w:rFonts w:ascii="Times New Roman" w:hAnsi="Times New Roman" w:cs="Times New Roman"/>
          <w:color w:val="000000" w:themeColor="text1"/>
          <w:sz w:val="28"/>
          <w:szCs w:val="28"/>
        </w:rPr>
        <w:t>espondent</w:t>
      </w:r>
    </w:p>
    <w:p w:rsidR="009F2441" w:rsidRDefault="009F2441" w:rsidP="009F2441">
      <w:pPr>
        <w:spacing w:after="0"/>
        <w:ind w:right="-45"/>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PRECINCT RESIDENT</w:t>
      </w:r>
      <w:r w:rsidR="002F195E">
        <w:rPr>
          <w:rFonts w:ascii="Times New Roman" w:hAnsi="Times New Roman" w:cs="Times New Roman"/>
          <w:b/>
          <w:color w:val="000000" w:themeColor="text1"/>
          <w:sz w:val="28"/>
          <w:szCs w:val="28"/>
        </w:rPr>
        <w:t>I</w:t>
      </w:r>
      <w:r>
        <w:rPr>
          <w:rFonts w:ascii="Times New Roman" w:hAnsi="Times New Roman" w:cs="Times New Roman"/>
          <w:b/>
          <w:color w:val="000000" w:themeColor="text1"/>
          <w:sz w:val="28"/>
          <w:szCs w:val="28"/>
        </w:rPr>
        <w:t xml:space="preserve">AL DEVELOPMENTS </w:t>
      </w:r>
    </w:p>
    <w:p w:rsidR="00892EA5" w:rsidRPr="00A017A2" w:rsidRDefault="009F2441" w:rsidP="000C7D41">
      <w:pPr>
        <w:spacing w:after="120"/>
        <w:ind w:right="-45"/>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(PTY) LTD</w:t>
      </w:r>
      <w:r w:rsidR="00A017A2">
        <w:rPr>
          <w:rFonts w:ascii="Times New Roman" w:hAnsi="Times New Roman" w:cs="Times New Roman"/>
          <w:b/>
          <w:color w:val="000000" w:themeColor="text1"/>
          <w:sz w:val="28"/>
          <w:szCs w:val="28"/>
        </w:rPr>
        <w:tab/>
      </w:r>
      <w:r w:rsidR="00A017A2">
        <w:rPr>
          <w:rFonts w:ascii="Times New Roman" w:hAnsi="Times New Roman" w:cs="Times New Roman"/>
          <w:b/>
          <w:color w:val="000000" w:themeColor="text1"/>
          <w:sz w:val="28"/>
          <w:szCs w:val="28"/>
        </w:rPr>
        <w:tab/>
      </w:r>
      <w:r w:rsidR="00A017A2">
        <w:rPr>
          <w:rFonts w:ascii="Times New Roman" w:hAnsi="Times New Roman" w:cs="Times New Roman"/>
          <w:b/>
          <w:color w:val="000000" w:themeColor="text1"/>
          <w:sz w:val="28"/>
          <w:szCs w:val="28"/>
        </w:rPr>
        <w:tab/>
      </w:r>
      <w:r w:rsidR="00A017A2">
        <w:rPr>
          <w:rFonts w:ascii="Times New Roman" w:hAnsi="Times New Roman" w:cs="Times New Roman"/>
          <w:b/>
          <w:color w:val="000000" w:themeColor="text1"/>
          <w:sz w:val="28"/>
          <w:szCs w:val="28"/>
        </w:rPr>
        <w:tab/>
      </w:r>
      <w:r w:rsidR="00A017A2">
        <w:rPr>
          <w:rFonts w:ascii="Times New Roman" w:hAnsi="Times New Roman" w:cs="Times New Roman"/>
          <w:b/>
          <w:color w:val="000000" w:themeColor="text1"/>
          <w:sz w:val="28"/>
          <w:szCs w:val="28"/>
        </w:rPr>
        <w:tab/>
      </w:r>
      <w:r w:rsidR="00A017A2">
        <w:rPr>
          <w:rFonts w:ascii="Times New Roman" w:hAnsi="Times New Roman" w:cs="Times New Roman"/>
          <w:b/>
          <w:color w:val="000000" w:themeColor="text1"/>
          <w:sz w:val="28"/>
          <w:szCs w:val="28"/>
        </w:rPr>
        <w:tab/>
        <w:t xml:space="preserve">     </w:t>
      </w:r>
      <w:r w:rsidR="007C5316">
        <w:rPr>
          <w:rFonts w:ascii="Times New Roman" w:hAnsi="Times New Roman" w:cs="Times New Roman"/>
          <w:b/>
          <w:color w:val="000000" w:themeColor="text1"/>
          <w:sz w:val="28"/>
          <w:szCs w:val="28"/>
        </w:rPr>
        <w:tab/>
        <w:t xml:space="preserve">     </w:t>
      </w:r>
      <w:r w:rsidR="00E92C88">
        <w:rPr>
          <w:rFonts w:ascii="Times New Roman" w:hAnsi="Times New Roman" w:cs="Times New Roman"/>
          <w:b/>
          <w:color w:val="000000" w:themeColor="text1"/>
          <w:sz w:val="28"/>
          <w:szCs w:val="28"/>
        </w:rPr>
        <w:tab/>
        <w:t xml:space="preserve">     </w:t>
      </w:r>
      <w:r w:rsidR="00892EA5">
        <w:rPr>
          <w:rFonts w:ascii="Times New Roman" w:hAnsi="Times New Roman" w:cs="Times New Roman"/>
          <w:color w:val="000000" w:themeColor="text1"/>
          <w:sz w:val="28"/>
          <w:szCs w:val="28"/>
        </w:rPr>
        <w:t>Second Respondent</w:t>
      </w:r>
    </w:p>
    <w:p w:rsidR="009F2441" w:rsidRDefault="009F2441" w:rsidP="000C7D41">
      <w:pPr>
        <w:pBdr>
          <w:bottom w:val="single" w:sz="12" w:space="1" w:color="auto"/>
        </w:pBdr>
        <w:spacing w:after="120"/>
        <w:ind w:right="-45"/>
        <w:rPr>
          <w:rFonts w:ascii="Times New Roman" w:hAnsi="Times New Roman" w:cs="Times New Roman"/>
          <w:color w:val="000000" w:themeColor="text1"/>
          <w:sz w:val="28"/>
          <w:szCs w:val="28"/>
        </w:rPr>
      </w:pPr>
    </w:p>
    <w:p w:rsidR="0090163D" w:rsidRDefault="0090163D" w:rsidP="000C7D41">
      <w:pPr>
        <w:pBdr>
          <w:bottom w:val="single" w:sz="12" w:space="1" w:color="auto"/>
        </w:pBdr>
        <w:spacing w:after="120"/>
        <w:ind w:right="-4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Summary:</w:t>
      </w:r>
      <w:r>
        <w:rPr>
          <w:rFonts w:ascii="Times New Roman" w:hAnsi="Times New Roman" w:cs="Times New Roman"/>
          <w:color w:val="000000" w:themeColor="text1"/>
          <w:sz w:val="28"/>
          <w:szCs w:val="28"/>
        </w:rPr>
        <w:tab/>
        <w:t>contract – specific performance – court’s discretion</w:t>
      </w:r>
      <w:r w:rsidR="00601C5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final </w:t>
      </w:r>
      <w:r w:rsidR="00D34B57">
        <w:rPr>
          <w:rFonts w:ascii="Times New Roman" w:hAnsi="Times New Roman" w:cs="Times New Roman"/>
          <w:color w:val="000000" w:themeColor="text1"/>
          <w:sz w:val="28"/>
          <w:szCs w:val="28"/>
        </w:rPr>
        <w:t>interdict –</w:t>
      </w:r>
      <w:r>
        <w:rPr>
          <w:rFonts w:ascii="Times New Roman" w:hAnsi="Times New Roman" w:cs="Times New Roman"/>
          <w:color w:val="000000" w:themeColor="text1"/>
          <w:sz w:val="28"/>
          <w:szCs w:val="28"/>
        </w:rPr>
        <w:t xml:space="preserve"> application for a mandamus in a contractual setting.</w:t>
      </w:r>
    </w:p>
    <w:p w:rsidR="0090163D" w:rsidRDefault="0090163D" w:rsidP="000C7D41">
      <w:pPr>
        <w:pBdr>
          <w:bottom w:val="single" w:sz="12" w:space="1" w:color="auto"/>
        </w:pBdr>
        <w:spacing w:after="120"/>
        <w:ind w:right="-45"/>
        <w:rPr>
          <w:rFonts w:ascii="Times New Roman" w:hAnsi="Times New Roman" w:cs="Times New Roman"/>
          <w:color w:val="000000" w:themeColor="text1"/>
          <w:sz w:val="28"/>
          <w:szCs w:val="28"/>
        </w:rPr>
      </w:pPr>
    </w:p>
    <w:p w:rsidR="0090163D" w:rsidRDefault="0090163D" w:rsidP="000C7D41">
      <w:pPr>
        <w:spacing w:after="120"/>
        <w:ind w:right="-45"/>
        <w:rPr>
          <w:rFonts w:ascii="Times New Roman" w:hAnsi="Times New Roman" w:cs="Times New Roman"/>
          <w:color w:val="000000" w:themeColor="text1"/>
          <w:sz w:val="28"/>
          <w:szCs w:val="28"/>
        </w:rPr>
      </w:pPr>
    </w:p>
    <w:p w:rsidR="0090163D" w:rsidRPr="003312D5" w:rsidRDefault="0090163D" w:rsidP="0090163D">
      <w:pPr>
        <w:pBdr>
          <w:bottom w:val="single" w:sz="12" w:space="1" w:color="auto"/>
        </w:pBdr>
        <w:spacing w:after="120"/>
        <w:ind w:right="-45"/>
        <w:jc w:val="center"/>
        <w:rPr>
          <w:rFonts w:ascii="Times New Roman" w:hAnsi="Times New Roman" w:cs="Times New Roman"/>
          <w:b/>
          <w:color w:val="000000" w:themeColor="text1"/>
          <w:sz w:val="28"/>
          <w:szCs w:val="28"/>
        </w:rPr>
      </w:pPr>
      <w:r w:rsidRPr="003312D5">
        <w:rPr>
          <w:rFonts w:ascii="Times New Roman" w:hAnsi="Times New Roman" w:cs="Times New Roman"/>
          <w:b/>
          <w:color w:val="000000" w:themeColor="text1"/>
          <w:sz w:val="28"/>
          <w:szCs w:val="28"/>
        </w:rPr>
        <w:lastRenderedPageBreak/>
        <w:t>ORDER</w:t>
      </w:r>
    </w:p>
    <w:p w:rsidR="001D0252" w:rsidRPr="00347D6C" w:rsidRDefault="001D0252" w:rsidP="000C7D41">
      <w:pPr>
        <w:spacing w:after="120"/>
        <w:ind w:right="-45"/>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 </w:t>
      </w:r>
    </w:p>
    <w:p w:rsidR="0090163D" w:rsidRDefault="0090163D" w:rsidP="00E85522">
      <w:pPr>
        <w:spacing w:after="240" w:line="240" w:lineRule="auto"/>
        <w:ind w:right="-5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The application is dismissed with costs, including the costs of two counsel where employed.</w:t>
      </w:r>
    </w:p>
    <w:p w:rsidR="00E85522" w:rsidRPr="000C7880" w:rsidRDefault="00E85522" w:rsidP="00E85522">
      <w:pPr>
        <w:spacing w:after="240" w:line="240" w:lineRule="auto"/>
        <w:ind w:right="-57"/>
        <w:rPr>
          <w:rFonts w:ascii="Times New Roman" w:hAnsi="Times New Roman" w:cs="Times New Roman"/>
          <w:b/>
          <w:color w:val="000000" w:themeColor="text1"/>
          <w:sz w:val="28"/>
          <w:szCs w:val="28"/>
        </w:rPr>
      </w:pPr>
      <w:r w:rsidRPr="000C7880">
        <w:rPr>
          <w:rFonts w:ascii="Times New Roman" w:hAnsi="Times New Roman" w:cs="Times New Roman"/>
          <w:b/>
          <w:color w:val="000000" w:themeColor="text1"/>
          <w:sz w:val="28"/>
          <w:szCs w:val="28"/>
        </w:rPr>
        <w:t>__________________________________</w:t>
      </w:r>
      <w:r w:rsidR="00133952">
        <w:rPr>
          <w:rFonts w:ascii="Times New Roman" w:hAnsi="Times New Roman" w:cs="Times New Roman"/>
          <w:b/>
          <w:color w:val="000000" w:themeColor="text1"/>
          <w:sz w:val="28"/>
          <w:szCs w:val="28"/>
        </w:rPr>
        <w:t>__________________________</w:t>
      </w:r>
      <w:r>
        <w:rPr>
          <w:rFonts w:ascii="Times New Roman" w:hAnsi="Times New Roman" w:cs="Times New Roman"/>
          <w:b/>
          <w:color w:val="000000" w:themeColor="text1"/>
          <w:sz w:val="28"/>
          <w:szCs w:val="28"/>
        </w:rPr>
        <w:t>____</w:t>
      </w:r>
      <w:r w:rsidRPr="000C7880">
        <w:rPr>
          <w:rFonts w:ascii="Times New Roman" w:hAnsi="Times New Roman" w:cs="Times New Roman"/>
          <w:b/>
          <w:color w:val="000000" w:themeColor="text1"/>
          <w:sz w:val="28"/>
          <w:szCs w:val="28"/>
        </w:rPr>
        <w:t xml:space="preserve">                                                     </w:t>
      </w:r>
    </w:p>
    <w:p w:rsidR="00BE730F" w:rsidRDefault="00E85522" w:rsidP="00E85522">
      <w:pPr>
        <w:spacing w:after="120" w:line="240" w:lineRule="auto"/>
        <w:ind w:right="-57"/>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J</w:t>
      </w:r>
      <w:r w:rsidR="00CE0318">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U</w:t>
      </w:r>
      <w:r w:rsidR="00CE0318">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D</w:t>
      </w:r>
      <w:r w:rsidR="00CE0318">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G</w:t>
      </w:r>
      <w:r w:rsidR="00CE0318">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M</w:t>
      </w:r>
      <w:r w:rsidR="00CE0318">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E</w:t>
      </w:r>
      <w:r w:rsidR="00CE0318">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N</w:t>
      </w:r>
      <w:r w:rsidR="00CE0318">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T</w:t>
      </w:r>
      <w:r w:rsidR="00D11A05">
        <w:rPr>
          <w:rFonts w:ascii="Times New Roman" w:hAnsi="Times New Roman" w:cs="Times New Roman"/>
          <w:b/>
          <w:color w:val="000000" w:themeColor="text1"/>
          <w:sz w:val="28"/>
          <w:szCs w:val="28"/>
        </w:rPr>
        <w:t xml:space="preserve"> </w:t>
      </w:r>
    </w:p>
    <w:p w:rsidR="00407798" w:rsidRDefault="00E85522" w:rsidP="00407798">
      <w:pPr>
        <w:spacing w:after="120"/>
        <w:ind w:right="-45"/>
        <w:rPr>
          <w:rFonts w:ascii="Times New Roman" w:hAnsi="Times New Roman" w:cs="Times New Roman"/>
          <w:i/>
          <w:color w:val="000000" w:themeColor="text1"/>
          <w:sz w:val="28"/>
          <w:szCs w:val="28"/>
        </w:rPr>
      </w:pPr>
      <w:r w:rsidRPr="000C7880">
        <w:rPr>
          <w:rFonts w:ascii="Times New Roman" w:hAnsi="Times New Roman" w:cs="Times New Roman"/>
          <w:b/>
          <w:color w:val="000000" w:themeColor="text1"/>
          <w:sz w:val="28"/>
          <w:szCs w:val="28"/>
        </w:rPr>
        <w:t>__________________________________</w:t>
      </w:r>
      <w:r>
        <w:rPr>
          <w:rFonts w:ascii="Times New Roman" w:hAnsi="Times New Roman" w:cs="Times New Roman"/>
          <w:b/>
          <w:color w:val="000000" w:themeColor="text1"/>
          <w:sz w:val="28"/>
          <w:szCs w:val="28"/>
        </w:rPr>
        <w:t>______________________________</w:t>
      </w:r>
      <w:r w:rsidR="00407798" w:rsidRPr="00407798">
        <w:rPr>
          <w:rFonts w:ascii="Times New Roman" w:hAnsi="Times New Roman" w:cs="Times New Roman"/>
          <w:i/>
          <w:color w:val="000000" w:themeColor="text1"/>
          <w:sz w:val="28"/>
          <w:szCs w:val="28"/>
        </w:rPr>
        <w:t xml:space="preserve"> </w:t>
      </w:r>
      <w:r w:rsidR="000C7D41">
        <w:rPr>
          <w:rFonts w:ascii="Times New Roman" w:hAnsi="Times New Roman" w:cs="Times New Roman"/>
          <w:i/>
          <w:color w:val="000000" w:themeColor="text1"/>
          <w:sz w:val="28"/>
          <w:szCs w:val="28"/>
        </w:rPr>
        <w:t>This matter</w:t>
      </w:r>
      <w:r w:rsidR="00407798">
        <w:rPr>
          <w:rFonts w:ascii="Times New Roman" w:hAnsi="Times New Roman" w:cs="Times New Roman"/>
          <w:i/>
          <w:color w:val="000000" w:themeColor="text1"/>
          <w:sz w:val="28"/>
          <w:szCs w:val="28"/>
        </w:rPr>
        <w:t xml:space="preserve"> has been </w:t>
      </w:r>
      <w:r w:rsidR="0090163D">
        <w:rPr>
          <w:rFonts w:ascii="Times New Roman" w:hAnsi="Times New Roman" w:cs="Times New Roman"/>
          <w:i/>
          <w:color w:val="000000" w:themeColor="text1"/>
          <w:sz w:val="28"/>
          <w:szCs w:val="28"/>
        </w:rPr>
        <w:t>in open court</w:t>
      </w:r>
      <w:r w:rsidR="004D46C9">
        <w:rPr>
          <w:rFonts w:ascii="Times New Roman" w:hAnsi="Times New Roman" w:cs="Times New Roman"/>
          <w:i/>
          <w:color w:val="000000" w:themeColor="text1"/>
          <w:sz w:val="28"/>
          <w:szCs w:val="28"/>
        </w:rPr>
        <w:t xml:space="preserve"> </w:t>
      </w:r>
      <w:r w:rsidR="002D15B0">
        <w:rPr>
          <w:rFonts w:ascii="Times New Roman" w:hAnsi="Times New Roman" w:cs="Times New Roman"/>
          <w:i/>
          <w:color w:val="000000" w:themeColor="text1"/>
          <w:sz w:val="28"/>
          <w:szCs w:val="28"/>
        </w:rPr>
        <w:t>and otherwise dispose</w:t>
      </w:r>
      <w:r w:rsidR="001000CD">
        <w:rPr>
          <w:rFonts w:ascii="Times New Roman" w:hAnsi="Times New Roman" w:cs="Times New Roman"/>
          <w:i/>
          <w:color w:val="000000" w:themeColor="text1"/>
          <w:sz w:val="28"/>
          <w:szCs w:val="28"/>
        </w:rPr>
        <w:t>d</w:t>
      </w:r>
      <w:r w:rsidR="002D15B0">
        <w:rPr>
          <w:rFonts w:ascii="Times New Roman" w:hAnsi="Times New Roman" w:cs="Times New Roman"/>
          <w:i/>
          <w:color w:val="000000" w:themeColor="text1"/>
          <w:sz w:val="28"/>
          <w:szCs w:val="28"/>
        </w:rPr>
        <w:t xml:space="preserve"> of in terms of </w:t>
      </w:r>
      <w:r w:rsidR="002F7B24">
        <w:rPr>
          <w:rFonts w:ascii="Times New Roman" w:hAnsi="Times New Roman" w:cs="Times New Roman"/>
          <w:i/>
          <w:color w:val="000000" w:themeColor="text1"/>
          <w:sz w:val="28"/>
          <w:szCs w:val="28"/>
        </w:rPr>
        <w:t>the Directives</w:t>
      </w:r>
      <w:r w:rsidR="00407798" w:rsidRPr="00CD187A">
        <w:rPr>
          <w:rFonts w:ascii="Times New Roman" w:hAnsi="Times New Roman" w:cs="Times New Roman"/>
          <w:i/>
          <w:color w:val="000000" w:themeColor="text1"/>
          <w:sz w:val="28"/>
          <w:szCs w:val="28"/>
        </w:rPr>
        <w:t xml:space="preserve"> of the Judge President of this Division</w:t>
      </w:r>
      <w:r w:rsidR="002D15B0">
        <w:rPr>
          <w:rFonts w:ascii="Times New Roman" w:hAnsi="Times New Roman" w:cs="Times New Roman"/>
          <w:i/>
          <w:color w:val="000000" w:themeColor="text1"/>
          <w:sz w:val="28"/>
          <w:szCs w:val="28"/>
        </w:rPr>
        <w:t xml:space="preserve">. </w:t>
      </w:r>
      <w:r w:rsidR="00407798" w:rsidRPr="00CD187A">
        <w:rPr>
          <w:rFonts w:ascii="Times New Roman" w:hAnsi="Times New Roman" w:cs="Times New Roman"/>
          <w:i/>
          <w:color w:val="000000" w:themeColor="text1"/>
          <w:sz w:val="28"/>
          <w:szCs w:val="28"/>
        </w:rPr>
        <w:t xml:space="preserve"> The judgment and order are accordingly published and distributed electronically.</w:t>
      </w:r>
    </w:p>
    <w:p w:rsidR="00A15CE0" w:rsidRDefault="00A15CE0" w:rsidP="00C72C9A">
      <w:pPr>
        <w:spacing w:after="0"/>
        <w:ind w:right="-45"/>
        <w:rPr>
          <w:rFonts w:ascii="Times New Roman" w:hAnsi="Times New Roman" w:cs="Times New Roman"/>
          <w:i/>
          <w:color w:val="000000" w:themeColor="text1"/>
          <w:sz w:val="28"/>
          <w:szCs w:val="28"/>
        </w:rPr>
      </w:pPr>
    </w:p>
    <w:p w:rsidR="00E85522" w:rsidRDefault="00834376" w:rsidP="00B875CA">
      <w:pPr>
        <w:pStyle w:val="MEMONUMBERED"/>
        <w:numPr>
          <w:ilvl w:val="0"/>
          <w:numId w:val="0"/>
        </w:numPr>
        <w:spacing w:after="360" w:line="240" w:lineRule="auto"/>
        <w:rPr>
          <w:b/>
          <w:color w:val="000000" w:themeColor="text1"/>
          <w:sz w:val="28"/>
          <w:szCs w:val="28"/>
          <w:u w:val="single"/>
        </w:rPr>
      </w:pPr>
      <w:r>
        <w:rPr>
          <w:b/>
          <w:color w:val="000000" w:themeColor="text1"/>
          <w:sz w:val="28"/>
          <w:szCs w:val="28"/>
          <w:u w:val="single"/>
        </w:rPr>
        <w:t>DAVIS</w:t>
      </w:r>
      <w:r w:rsidR="00E85522" w:rsidRPr="000C7880">
        <w:rPr>
          <w:b/>
          <w:color w:val="000000" w:themeColor="text1"/>
          <w:sz w:val="28"/>
          <w:szCs w:val="28"/>
          <w:u w:val="single"/>
        </w:rPr>
        <w:t>, J</w:t>
      </w:r>
    </w:p>
    <w:p w:rsidR="0090163D" w:rsidRPr="003E47FE" w:rsidRDefault="0090163D" w:rsidP="003E47FE">
      <w:pPr>
        <w:pStyle w:val="MEMONUMBERED"/>
        <w:numPr>
          <w:ilvl w:val="0"/>
          <w:numId w:val="0"/>
        </w:numPr>
        <w:spacing w:after="120" w:line="360" w:lineRule="auto"/>
        <w:rPr>
          <w:b/>
          <w:color w:val="000000" w:themeColor="text1"/>
          <w:sz w:val="28"/>
          <w:szCs w:val="28"/>
        </w:rPr>
      </w:pPr>
      <w:r w:rsidRPr="003E47FE">
        <w:rPr>
          <w:b/>
          <w:color w:val="000000" w:themeColor="text1"/>
          <w:sz w:val="28"/>
          <w:szCs w:val="28"/>
        </w:rPr>
        <w:t xml:space="preserve">Introduction </w:t>
      </w:r>
    </w:p>
    <w:p w:rsidR="001C31F2" w:rsidRPr="00E5152F" w:rsidRDefault="00073A85" w:rsidP="00073A85">
      <w:pPr>
        <w:pStyle w:val="MEMONUMBERED"/>
        <w:numPr>
          <w:ilvl w:val="0"/>
          <w:numId w:val="0"/>
        </w:numPr>
        <w:spacing w:after="360" w:line="360" w:lineRule="auto"/>
        <w:rPr>
          <w:u w:val="single"/>
        </w:rPr>
      </w:pPr>
      <w:r w:rsidRPr="00E5152F">
        <w:rPr>
          <w:sz w:val="28"/>
          <w:szCs w:val="28"/>
        </w:rPr>
        <w:t>[1]</w:t>
      </w:r>
      <w:r w:rsidRPr="00E5152F">
        <w:rPr>
          <w:sz w:val="28"/>
          <w:szCs w:val="28"/>
        </w:rPr>
        <w:tab/>
      </w:r>
      <w:r w:rsidR="007D52B1">
        <w:rPr>
          <w:sz w:val="28"/>
          <w:szCs w:val="28"/>
        </w:rPr>
        <w:t>Three lar</w:t>
      </w:r>
      <w:r w:rsidR="00C72C9A">
        <w:rPr>
          <w:sz w:val="28"/>
          <w:szCs w:val="28"/>
        </w:rPr>
        <w:t xml:space="preserve">ge property developers own </w:t>
      </w:r>
      <w:proofErr w:type="spellStart"/>
      <w:r w:rsidR="00C72C9A">
        <w:rPr>
          <w:sz w:val="28"/>
          <w:szCs w:val="28"/>
        </w:rPr>
        <w:t>neighbouring</w:t>
      </w:r>
      <w:proofErr w:type="spellEnd"/>
      <w:r w:rsidR="00C72C9A">
        <w:rPr>
          <w:sz w:val="28"/>
          <w:szCs w:val="28"/>
        </w:rPr>
        <w:t xml:space="preserve"> properties in the </w:t>
      </w:r>
      <w:proofErr w:type="spellStart"/>
      <w:r w:rsidR="007D52B1">
        <w:rPr>
          <w:sz w:val="28"/>
          <w:szCs w:val="28"/>
        </w:rPr>
        <w:t>Kayalami</w:t>
      </w:r>
      <w:proofErr w:type="spellEnd"/>
      <w:r w:rsidR="007D52B1">
        <w:rPr>
          <w:sz w:val="28"/>
          <w:szCs w:val="28"/>
        </w:rPr>
        <w:t xml:space="preserve"> Gardens area.  The properties fall in the jurisdiction of the City of Johannesburg</w:t>
      </w:r>
      <w:r w:rsidR="002F195E">
        <w:rPr>
          <w:sz w:val="28"/>
          <w:szCs w:val="28"/>
        </w:rPr>
        <w:t xml:space="preserve"> (</w:t>
      </w:r>
      <w:proofErr w:type="spellStart"/>
      <w:r w:rsidR="002F195E">
        <w:rPr>
          <w:sz w:val="28"/>
          <w:szCs w:val="28"/>
        </w:rPr>
        <w:t>CoJ</w:t>
      </w:r>
      <w:proofErr w:type="spellEnd"/>
      <w:r w:rsidR="002F195E">
        <w:rPr>
          <w:sz w:val="28"/>
          <w:szCs w:val="28"/>
        </w:rPr>
        <w:t>)</w:t>
      </w:r>
      <w:r w:rsidR="00601C59">
        <w:rPr>
          <w:sz w:val="28"/>
          <w:szCs w:val="28"/>
        </w:rPr>
        <w:t xml:space="preserve"> and border on or have</w:t>
      </w:r>
      <w:r w:rsidR="007D52B1">
        <w:rPr>
          <w:sz w:val="28"/>
          <w:szCs w:val="28"/>
        </w:rPr>
        <w:t xml:space="preserve"> access to Allandale Road, a large arterial road to the north of Johannesburg with access to the N1 motorway.  The Applicant, Witwatersrand Estates Ltd (WEL) </w:t>
      </w:r>
      <w:proofErr w:type="spellStart"/>
      <w:r w:rsidR="007D52B1">
        <w:rPr>
          <w:sz w:val="28"/>
          <w:szCs w:val="28"/>
        </w:rPr>
        <w:t>harbours</w:t>
      </w:r>
      <w:proofErr w:type="spellEnd"/>
      <w:r w:rsidR="007D52B1">
        <w:rPr>
          <w:sz w:val="28"/>
          <w:szCs w:val="28"/>
        </w:rPr>
        <w:t xml:space="preserve"> apprehensions that the two respondents, Century Property Development (Pty) Ltd</w:t>
      </w:r>
      <w:r w:rsidR="002F195E">
        <w:rPr>
          <w:sz w:val="28"/>
          <w:szCs w:val="28"/>
        </w:rPr>
        <w:t xml:space="preserve"> (Century)</w:t>
      </w:r>
      <w:r w:rsidR="007D52B1">
        <w:rPr>
          <w:sz w:val="28"/>
          <w:szCs w:val="28"/>
        </w:rPr>
        <w:t xml:space="preserve"> and Precinct Residential Developments (Pty) Ltd (Precinct) are not </w:t>
      </w:r>
      <w:proofErr w:type="spellStart"/>
      <w:r w:rsidR="007D52B1">
        <w:rPr>
          <w:sz w:val="28"/>
          <w:szCs w:val="28"/>
        </w:rPr>
        <w:t>honouring</w:t>
      </w:r>
      <w:proofErr w:type="spellEnd"/>
      <w:r w:rsidR="007D52B1">
        <w:rPr>
          <w:sz w:val="28"/>
          <w:szCs w:val="28"/>
        </w:rPr>
        <w:t xml:space="preserve"> a Servitude Agreement entered into between WEL and the respondents’ predecessor and are acting in breach of the terms of a Notarial Deed of Restraint and Servitude (the </w:t>
      </w:r>
      <w:r w:rsidR="00601C59">
        <w:rPr>
          <w:sz w:val="28"/>
          <w:szCs w:val="28"/>
        </w:rPr>
        <w:t>Notarial Deed</w:t>
      </w:r>
      <w:r w:rsidR="007D52B1">
        <w:rPr>
          <w:sz w:val="28"/>
          <w:szCs w:val="28"/>
        </w:rPr>
        <w:t>) registered against the property from which portions</w:t>
      </w:r>
      <w:r w:rsidR="002F195E">
        <w:rPr>
          <w:sz w:val="28"/>
          <w:szCs w:val="28"/>
        </w:rPr>
        <w:t xml:space="preserve"> were</w:t>
      </w:r>
      <w:r w:rsidR="007D52B1">
        <w:rPr>
          <w:sz w:val="28"/>
          <w:szCs w:val="28"/>
        </w:rPr>
        <w:t xml:space="preserve"> subsequently subdivided</w:t>
      </w:r>
      <w:r w:rsidR="002F195E">
        <w:rPr>
          <w:sz w:val="28"/>
          <w:szCs w:val="28"/>
        </w:rPr>
        <w:t xml:space="preserve"> and which</w:t>
      </w:r>
      <w:r w:rsidR="007D52B1">
        <w:rPr>
          <w:sz w:val="28"/>
          <w:szCs w:val="28"/>
        </w:rPr>
        <w:t xml:space="preserve"> are</w:t>
      </w:r>
      <w:r w:rsidR="002F195E">
        <w:rPr>
          <w:sz w:val="28"/>
          <w:szCs w:val="28"/>
        </w:rPr>
        <w:t xml:space="preserve"> now</w:t>
      </w:r>
      <w:r w:rsidR="007D52B1">
        <w:rPr>
          <w:sz w:val="28"/>
          <w:szCs w:val="28"/>
        </w:rPr>
        <w:t xml:space="preserve"> owned by the respondents.  </w:t>
      </w:r>
    </w:p>
    <w:p w:rsidR="00C72C9A" w:rsidRDefault="00C72C9A" w:rsidP="00E5152F">
      <w:pPr>
        <w:pStyle w:val="MEMONUMBERED"/>
        <w:numPr>
          <w:ilvl w:val="0"/>
          <w:numId w:val="0"/>
        </w:numPr>
        <w:spacing w:after="120" w:line="360" w:lineRule="auto"/>
        <w:ind w:firstLine="709"/>
        <w:rPr>
          <w:sz w:val="28"/>
          <w:szCs w:val="28"/>
          <w:u w:val="single"/>
        </w:rPr>
      </w:pPr>
    </w:p>
    <w:p w:rsidR="001C31F2" w:rsidRPr="003E47FE" w:rsidRDefault="001C31F2" w:rsidP="003E47FE">
      <w:pPr>
        <w:pStyle w:val="MEMONUMBERED"/>
        <w:numPr>
          <w:ilvl w:val="0"/>
          <w:numId w:val="0"/>
        </w:numPr>
        <w:spacing w:after="120" w:line="360" w:lineRule="auto"/>
        <w:rPr>
          <w:b/>
        </w:rPr>
      </w:pPr>
      <w:r w:rsidRPr="003E47FE">
        <w:rPr>
          <w:b/>
          <w:sz w:val="28"/>
          <w:szCs w:val="28"/>
        </w:rPr>
        <w:lastRenderedPageBreak/>
        <w:t>Relief claimed</w:t>
      </w:r>
    </w:p>
    <w:p w:rsidR="009F2441" w:rsidRPr="00E5152F" w:rsidRDefault="00073A85" w:rsidP="00073A85">
      <w:pPr>
        <w:pStyle w:val="MEMONUMBERED"/>
        <w:numPr>
          <w:ilvl w:val="0"/>
          <w:numId w:val="0"/>
        </w:numPr>
        <w:spacing w:after="360" w:line="360" w:lineRule="auto"/>
        <w:rPr>
          <w:u w:val="single"/>
        </w:rPr>
      </w:pPr>
      <w:r w:rsidRPr="00E5152F">
        <w:rPr>
          <w:sz w:val="28"/>
          <w:szCs w:val="28"/>
        </w:rPr>
        <w:t>[2]</w:t>
      </w:r>
      <w:r w:rsidRPr="00E5152F">
        <w:rPr>
          <w:sz w:val="28"/>
          <w:szCs w:val="28"/>
        </w:rPr>
        <w:tab/>
      </w:r>
      <w:r w:rsidR="002F195E">
        <w:rPr>
          <w:sz w:val="28"/>
          <w:szCs w:val="28"/>
        </w:rPr>
        <w:t>A</w:t>
      </w:r>
      <w:r w:rsidR="001C31F2">
        <w:rPr>
          <w:sz w:val="28"/>
          <w:szCs w:val="28"/>
        </w:rPr>
        <w:t xml:space="preserve">fter an unsuccessful attempt at reviewing a decision of the </w:t>
      </w:r>
      <w:proofErr w:type="spellStart"/>
      <w:r w:rsidR="001C31F2">
        <w:rPr>
          <w:sz w:val="28"/>
          <w:szCs w:val="28"/>
        </w:rPr>
        <w:t>CoJ</w:t>
      </w:r>
      <w:proofErr w:type="spellEnd"/>
      <w:r w:rsidR="001C31F2">
        <w:rPr>
          <w:sz w:val="28"/>
          <w:szCs w:val="28"/>
        </w:rPr>
        <w:t xml:space="preserve"> whereby an initially approved</w:t>
      </w:r>
      <w:r w:rsidR="00601C59">
        <w:rPr>
          <w:sz w:val="28"/>
          <w:szCs w:val="28"/>
        </w:rPr>
        <w:t xml:space="preserve"> mo</w:t>
      </w:r>
      <w:r w:rsidR="002F195E">
        <w:rPr>
          <w:sz w:val="28"/>
          <w:szCs w:val="28"/>
        </w:rPr>
        <w:t>de of</w:t>
      </w:r>
      <w:r w:rsidR="001C31F2">
        <w:rPr>
          <w:sz w:val="28"/>
          <w:szCs w:val="28"/>
        </w:rPr>
        <w:t xml:space="preserve"> development (with which WEL was satisfied) had been amended (in case no 90490/18 in this court and in respect of which a separate judgment had been handed down on 9 June 2022), WEL </w:t>
      </w:r>
      <w:r w:rsidR="00601C59">
        <w:rPr>
          <w:sz w:val="28"/>
          <w:szCs w:val="28"/>
        </w:rPr>
        <w:t>now persists with this</w:t>
      </w:r>
      <w:r w:rsidR="001C31F2">
        <w:rPr>
          <w:sz w:val="28"/>
          <w:szCs w:val="28"/>
        </w:rPr>
        <w:t xml:space="preserve"> application for interdictory relief.  As will become apparent </w:t>
      </w:r>
      <w:proofErr w:type="spellStart"/>
      <w:r w:rsidR="001C31F2">
        <w:rPr>
          <w:sz w:val="28"/>
          <w:szCs w:val="28"/>
        </w:rPr>
        <w:t>hereinlater</w:t>
      </w:r>
      <w:proofErr w:type="spellEnd"/>
      <w:r w:rsidR="001C31F2">
        <w:rPr>
          <w:sz w:val="28"/>
          <w:szCs w:val="28"/>
        </w:rPr>
        <w:t xml:space="preserve">, the nature of the relief (and not only its terms) </w:t>
      </w:r>
      <w:r w:rsidR="002F195E">
        <w:rPr>
          <w:sz w:val="28"/>
          <w:szCs w:val="28"/>
        </w:rPr>
        <w:t>is</w:t>
      </w:r>
      <w:r w:rsidR="001C31F2">
        <w:rPr>
          <w:sz w:val="28"/>
          <w:szCs w:val="28"/>
        </w:rPr>
        <w:t xml:space="preserve"> central to the adjudication of this matter.</w:t>
      </w:r>
      <w:r w:rsidR="002F195E">
        <w:rPr>
          <w:sz w:val="28"/>
          <w:szCs w:val="28"/>
        </w:rPr>
        <w:t xml:space="preserve">  </w:t>
      </w:r>
      <w:r w:rsidR="00601C59">
        <w:rPr>
          <w:sz w:val="28"/>
          <w:szCs w:val="28"/>
          <w:lang w:val="en-ZA"/>
        </w:rPr>
        <w:t xml:space="preserve">For this </w:t>
      </w:r>
      <w:proofErr w:type="gramStart"/>
      <w:r w:rsidR="00601C59">
        <w:rPr>
          <w:sz w:val="28"/>
          <w:szCs w:val="28"/>
          <w:lang w:val="en-ZA"/>
        </w:rPr>
        <w:t>reason</w:t>
      </w:r>
      <w:proofErr w:type="gramEnd"/>
      <w:r w:rsidR="00601C59">
        <w:rPr>
          <w:sz w:val="28"/>
          <w:szCs w:val="28"/>
          <w:lang w:val="en-ZA"/>
        </w:rPr>
        <w:t xml:space="preserve"> the relief sought in</w:t>
      </w:r>
      <w:r w:rsidR="00601C59" w:rsidRPr="002F195E">
        <w:rPr>
          <w:sz w:val="28"/>
          <w:szCs w:val="28"/>
          <w:lang w:val="en-ZA"/>
        </w:rPr>
        <w:t xml:space="preserve"> </w:t>
      </w:r>
      <w:r w:rsidR="002F195E" w:rsidRPr="002F195E">
        <w:rPr>
          <w:sz w:val="28"/>
          <w:szCs w:val="28"/>
          <w:lang w:val="en-ZA"/>
        </w:rPr>
        <w:t>WEL’s</w:t>
      </w:r>
      <w:r w:rsidR="00601C59">
        <w:rPr>
          <w:sz w:val="28"/>
          <w:szCs w:val="28"/>
          <w:lang w:val="en-ZA"/>
        </w:rPr>
        <w:t xml:space="preserve"> amended</w:t>
      </w:r>
      <w:r w:rsidR="002F195E" w:rsidRPr="002F195E">
        <w:rPr>
          <w:sz w:val="28"/>
          <w:szCs w:val="28"/>
          <w:lang w:val="en-ZA"/>
        </w:rPr>
        <w:t xml:space="preserve"> notice of motion</w:t>
      </w:r>
      <w:r w:rsidR="00601C59">
        <w:rPr>
          <w:sz w:val="28"/>
          <w:szCs w:val="28"/>
          <w:lang w:val="en-ZA"/>
        </w:rPr>
        <w:t>,</w:t>
      </w:r>
      <w:r w:rsidR="002F195E">
        <w:rPr>
          <w:sz w:val="28"/>
          <w:szCs w:val="28"/>
          <w:lang w:val="en-ZA"/>
        </w:rPr>
        <w:t xml:space="preserve"> </w:t>
      </w:r>
      <w:r w:rsidR="001C31F2">
        <w:rPr>
          <w:sz w:val="28"/>
          <w:szCs w:val="28"/>
        </w:rPr>
        <w:t>is quoted here in full:</w:t>
      </w:r>
    </w:p>
    <w:p w:rsidR="002B4968" w:rsidRPr="009F2441" w:rsidRDefault="003804BC" w:rsidP="003E47FE">
      <w:pPr>
        <w:pStyle w:val="MEMONUMBERED"/>
        <w:numPr>
          <w:ilvl w:val="0"/>
          <w:numId w:val="0"/>
        </w:numPr>
        <w:spacing w:after="360" w:line="360" w:lineRule="auto"/>
        <w:ind w:left="1560" w:hanging="709"/>
        <w:rPr>
          <w:i/>
          <w:sz w:val="28"/>
          <w:szCs w:val="28"/>
        </w:rPr>
      </w:pPr>
      <w:r>
        <w:rPr>
          <w:sz w:val="28"/>
          <w:szCs w:val="28"/>
        </w:rPr>
        <w:t>“</w:t>
      </w:r>
      <w:r w:rsidRPr="009F2441">
        <w:rPr>
          <w:i/>
          <w:sz w:val="28"/>
          <w:szCs w:val="28"/>
        </w:rPr>
        <w:t>1.</w:t>
      </w:r>
      <w:r w:rsidRPr="009F2441">
        <w:rPr>
          <w:i/>
          <w:sz w:val="28"/>
          <w:szCs w:val="28"/>
        </w:rPr>
        <w:tab/>
        <w:t>Directing that the First and Second R</w:t>
      </w:r>
      <w:r w:rsidR="002B4968" w:rsidRPr="009F2441">
        <w:rPr>
          <w:i/>
          <w:sz w:val="28"/>
          <w:szCs w:val="28"/>
        </w:rPr>
        <w:t>e</w:t>
      </w:r>
      <w:r w:rsidRPr="009F2441">
        <w:rPr>
          <w:i/>
          <w:sz w:val="28"/>
          <w:szCs w:val="28"/>
        </w:rPr>
        <w:t>spondent</w:t>
      </w:r>
      <w:r w:rsidR="002B4968" w:rsidRPr="009F2441">
        <w:rPr>
          <w:i/>
          <w:sz w:val="28"/>
          <w:szCs w:val="28"/>
        </w:rPr>
        <w:t>s, being the registered township owners of (</w:t>
      </w:r>
      <w:proofErr w:type="spellStart"/>
      <w:r w:rsidR="002B4968" w:rsidRPr="009F2441">
        <w:rPr>
          <w:i/>
          <w:sz w:val="28"/>
          <w:szCs w:val="28"/>
        </w:rPr>
        <w:t>i</w:t>
      </w:r>
      <w:proofErr w:type="spellEnd"/>
      <w:r w:rsidR="002B4968" w:rsidRPr="009F2441">
        <w:rPr>
          <w:i/>
          <w:sz w:val="28"/>
          <w:szCs w:val="28"/>
        </w:rPr>
        <w:t xml:space="preserve">) Kyalami Gardens Extension 27 (which was established on a portion of the remaining extent of Portion 2 of the farm </w:t>
      </w:r>
      <w:proofErr w:type="spellStart"/>
      <w:r w:rsidR="002B4968" w:rsidRPr="009F2441">
        <w:rPr>
          <w:i/>
          <w:sz w:val="28"/>
          <w:szCs w:val="28"/>
        </w:rPr>
        <w:t>Bothasfontein</w:t>
      </w:r>
      <w:proofErr w:type="spellEnd"/>
      <w:r w:rsidR="002B4968" w:rsidRPr="009F2441">
        <w:rPr>
          <w:i/>
          <w:sz w:val="28"/>
          <w:szCs w:val="28"/>
        </w:rPr>
        <w:t xml:space="preserve"> 408 J.R., and a part of the remaining extent of portion 88 of the farm </w:t>
      </w:r>
      <w:proofErr w:type="spellStart"/>
      <w:r w:rsidR="002B4968" w:rsidRPr="009F2441">
        <w:rPr>
          <w:i/>
          <w:sz w:val="28"/>
          <w:szCs w:val="28"/>
        </w:rPr>
        <w:t>Bothasfointein</w:t>
      </w:r>
      <w:proofErr w:type="spellEnd"/>
      <w:r w:rsidR="002B4968" w:rsidRPr="009F2441">
        <w:rPr>
          <w:i/>
          <w:sz w:val="28"/>
          <w:szCs w:val="28"/>
        </w:rPr>
        <w:t xml:space="preserve"> 498 J.R) and (ii) Kyalami Gardens Extensions 33, 35, 36 and 37 (“</w:t>
      </w:r>
      <w:r w:rsidR="002B4968" w:rsidRPr="002F195E">
        <w:rPr>
          <w:i/>
          <w:sz w:val="28"/>
          <w:szCs w:val="28"/>
        </w:rPr>
        <w:t>the property</w:t>
      </w:r>
      <w:r w:rsidR="002B4968" w:rsidRPr="009F2441">
        <w:rPr>
          <w:i/>
          <w:sz w:val="28"/>
          <w:szCs w:val="28"/>
        </w:rPr>
        <w:t>”) and any township that may have been established thereon subsequent 20 October 2010, be compelled:</w:t>
      </w:r>
    </w:p>
    <w:p w:rsidR="000111C3" w:rsidRPr="00E5152F" w:rsidRDefault="00073A85" w:rsidP="00073A85">
      <w:pPr>
        <w:pStyle w:val="MEMONUMBERED"/>
        <w:numPr>
          <w:ilvl w:val="0"/>
          <w:numId w:val="0"/>
        </w:numPr>
        <w:spacing w:after="360" w:line="360" w:lineRule="auto"/>
        <w:ind w:left="2835" w:hanging="675"/>
        <w:rPr>
          <w:i/>
          <w:sz w:val="28"/>
          <w:szCs w:val="28"/>
        </w:rPr>
      </w:pPr>
      <w:r w:rsidRPr="00E5152F">
        <w:rPr>
          <w:i/>
          <w:sz w:val="28"/>
          <w:szCs w:val="28"/>
        </w:rPr>
        <w:t>1.1</w:t>
      </w:r>
      <w:r w:rsidRPr="00E5152F">
        <w:rPr>
          <w:i/>
          <w:sz w:val="28"/>
          <w:szCs w:val="28"/>
        </w:rPr>
        <w:tab/>
      </w:r>
      <w:r w:rsidR="002B4968" w:rsidRPr="009F2441">
        <w:rPr>
          <w:i/>
          <w:sz w:val="28"/>
          <w:szCs w:val="28"/>
        </w:rPr>
        <w:t>To comply with the Servitude Agreement dated 26 August 2010 pertaining to the limitation of development of the property; and</w:t>
      </w:r>
    </w:p>
    <w:p w:rsidR="000111C3" w:rsidRPr="00E5152F" w:rsidRDefault="00073A85" w:rsidP="00073A85">
      <w:pPr>
        <w:pStyle w:val="MEMONUMBERED"/>
        <w:numPr>
          <w:ilvl w:val="0"/>
          <w:numId w:val="0"/>
        </w:numPr>
        <w:spacing w:after="360" w:line="360" w:lineRule="auto"/>
        <w:ind w:left="2835" w:hanging="675"/>
        <w:rPr>
          <w:i/>
          <w:sz w:val="28"/>
          <w:szCs w:val="28"/>
        </w:rPr>
      </w:pPr>
      <w:r w:rsidRPr="00E5152F">
        <w:rPr>
          <w:i/>
          <w:sz w:val="28"/>
          <w:szCs w:val="28"/>
        </w:rPr>
        <w:t>1.2</w:t>
      </w:r>
      <w:r w:rsidRPr="00E5152F">
        <w:rPr>
          <w:i/>
          <w:sz w:val="28"/>
          <w:szCs w:val="28"/>
        </w:rPr>
        <w:tab/>
      </w:r>
      <w:r w:rsidR="002B4968" w:rsidRPr="009F2441">
        <w:rPr>
          <w:i/>
          <w:sz w:val="28"/>
          <w:szCs w:val="28"/>
        </w:rPr>
        <w:t xml:space="preserve">To comply with the provisions and obligations set out in Notarial Deed of Restraint and Servitude K02206/12S (the Servitude”) pertaining to the future development, road network and land uses and the positions thereof, as provided for in the said Deed registered as a </w:t>
      </w:r>
      <w:proofErr w:type="spellStart"/>
      <w:r w:rsidR="002B4968" w:rsidRPr="009F2441">
        <w:rPr>
          <w:i/>
          <w:sz w:val="28"/>
          <w:szCs w:val="28"/>
        </w:rPr>
        <w:t>pr</w:t>
      </w:r>
      <w:r w:rsidR="000111C3" w:rsidRPr="009F2441">
        <w:rPr>
          <w:i/>
          <w:sz w:val="28"/>
          <w:szCs w:val="28"/>
        </w:rPr>
        <w:t>a</w:t>
      </w:r>
      <w:r w:rsidR="002B4968" w:rsidRPr="009F2441">
        <w:rPr>
          <w:i/>
          <w:sz w:val="28"/>
          <w:szCs w:val="28"/>
        </w:rPr>
        <w:t>edial</w:t>
      </w:r>
      <w:proofErr w:type="spellEnd"/>
      <w:r w:rsidR="002B4968" w:rsidRPr="009F2441">
        <w:rPr>
          <w:i/>
          <w:sz w:val="28"/>
          <w:szCs w:val="28"/>
        </w:rPr>
        <w:t xml:space="preserve"> </w:t>
      </w:r>
      <w:r w:rsidR="002B4968" w:rsidRPr="009F2441">
        <w:rPr>
          <w:i/>
          <w:sz w:val="28"/>
          <w:szCs w:val="28"/>
        </w:rPr>
        <w:lastRenderedPageBreak/>
        <w:t>ser</w:t>
      </w:r>
      <w:r w:rsidR="000111C3" w:rsidRPr="009F2441">
        <w:rPr>
          <w:i/>
          <w:sz w:val="28"/>
          <w:szCs w:val="28"/>
        </w:rPr>
        <w:t>vitude against the title deed of the property, namely Deed of Transfer T75612/12;</w:t>
      </w:r>
    </w:p>
    <w:p w:rsidR="000111C3" w:rsidRPr="00E5152F" w:rsidRDefault="00073A85" w:rsidP="00073A85">
      <w:pPr>
        <w:pStyle w:val="MEMONUMBERED"/>
        <w:numPr>
          <w:ilvl w:val="0"/>
          <w:numId w:val="0"/>
        </w:numPr>
        <w:spacing w:after="360" w:line="360" w:lineRule="auto"/>
        <w:ind w:left="2835" w:hanging="675"/>
        <w:rPr>
          <w:i/>
          <w:sz w:val="28"/>
          <w:szCs w:val="28"/>
        </w:rPr>
      </w:pPr>
      <w:r w:rsidRPr="00E5152F">
        <w:rPr>
          <w:i/>
          <w:sz w:val="28"/>
          <w:szCs w:val="28"/>
        </w:rPr>
        <w:t>1.3</w:t>
      </w:r>
      <w:r w:rsidRPr="00E5152F">
        <w:rPr>
          <w:i/>
          <w:sz w:val="28"/>
          <w:szCs w:val="28"/>
        </w:rPr>
        <w:tab/>
      </w:r>
      <w:r w:rsidR="000111C3" w:rsidRPr="009F2441">
        <w:rPr>
          <w:i/>
          <w:sz w:val="28"/>
          <w:szCs w:val="28"/>
        </w:rPr>
        <w:t>In relation to the First Respondent only, to comply with the terms, undertakings and warranties as provided for in an agreement in respect of the cancellation of the School Lease dated 8 July 2013.</w:t>
      </w:r>
    </w:p>
    <w:p w:rsidR="000111C3" w:rsidRPr="009F2441" w:rsidRDefault="002B4968" w:rsidP="003E47FE">
      <w:pPr>
        <w:pStyle w:val="MEMONUMBERED"/>
        <w:numPr>
          <w:ilvl w:val="0"/>
          <w:numId w:val="0"/>
        </w:numPr>
        <w:spacing w:after="360" w:line="360" w:lineRule="auto"/>
        <w:ind w:left="1560" w:hanging="709"/>
        <w:rPr>
          <w:i/>
          <w:sz w:val="28"/>
          <w:szCs w:val="28"/>
        </w:rPr>
      </w:pPr>
      <w:r w:rsidRPr="009F2441">
        <w:rPr>
          <w:i/>
          <w:sz w:val="28"/>
          <w:szCs w:val="28"/>
        </w:rPr>
        <w:t>2.</w:t>
      </w:r>
      <w:r w:rsidR="000111C3" w:rsidRPr="009F2441">
        <w:rPr>
          <w:i/>
          <w:sz w:val="28"/>
          <w:szCs w:val="28"/>
        </w:rPr>
        <w:tab/>
        <w:t xml:space="preserve">Directing that the Respondents be compelled to ensure that nay development taking place on the portion of the property owned by them respectively complies, at any stage of the development, with – </w:t>
      </w:r>
    </w:p>
    <w:p w:rsidR="000111C3" w:rsidRPr="00E5152F" w:rsidRDefault="00073A85" w:rsidP="00073A85">
      <w:pPr>
        <w:pStyle w:val="MEMONUMBERED"/>
        <w:numPr>
          <w:ilvl w:val="0"/>
          <w:numId w:val="0"/>
        </w:numPr>
        <w:spacing w:after="360" w:line="360" w:lineRule="auto"/>
        <w:ind w:left="2835" w:hanging="675"/>
        <w:rPr>
          <w:i/>
          <w:sz w:val="28"/>
          <w:szCs w:val="28"/>
        </w:rPr>
      </w:pPr>
      <w:r w:rsidRPr="00E5152F">
        <w:rPr>
          <w:i/>
          <w:sz w:val="28"/>
          <w:szCs w:val="28"/>
        </w:rPr>
        <w:t>2.1</w:t>
      </w:r>
      <w:r w:rsidRPr="00E5152F">
        <w:rPr>
          <w:i/>
          <w:sz w:val="28"/>
          <w:szCs w:val="28"/>
        </w:rPr>
        <w:tab/>
      </w:r>
      <w:r w:rsidR="000111C3" w:rsidRPr="009F2441">
        <w:rPr>
          <w:i/>
          <w:sz w:val="28"/>
          <w:szCs w:val="28"/>
        </w:rPr>
        <w:t>The Kyalami Centro Master Plan a</w:t>
      </w:r>
      <w:r w:rsidR="00E5152F">
        <w:rPr>
          <w:i/>
          <w:sz w:val="28"/>
          <w:szCs w:val="28"/>
        </w:rPr>
        <w:t>s defined in the Servitude; and</w:t>
      </w:r>
    </w:p>
    <w:p w:rsidR="000111C3" w:rsidRPr="009F2441" w:rsidRDefault="00073A85" w:rsidP="00073A85">
      <w:pPr>
        <w:pStyle w:val="MEMONUMBERED"/>
        <w:numPr>
          <w:ilvl w:val="0"/>
          <w:numId w:val="0"/>
        </w:numPr>
        <w:spacing w:after="360" w:line="360" w:lineRule="auto"/>
        <w:ind w:left="2835" w:hanging="675"/>
        <w:rPr>
          <w:i/>
          <w:sz w:val="28"/>
          <w:szCs w:val="28"/>
        </w:rPr>
      </w:pPr>
      <w:r w:rsidRPr="009F2441">
        <w:rPr>
          <w:i/>
          <w:sz w:val="28"/>
          <w:szCs w:val="28"/>
        </w:rPr>
        <w:t>2.2</w:t>
      </w:r>
      <w:r w:rsidRPr="009F2441">
        <w:rPr>
          <w:i/>
          <w:sz w:val="28"/>
          <w:szCs w:val="28"/>
        </w:rPr>
        <w:tab/>
      </w:r>
      <w:r w:rsidR="000111C3" w:rsidRPr="009F2441">
        <w:rPr>
          <w:i/>
          <w:sz w:val="28"/>
          <w:szCs w:val="28"/>
        </w:rPr>
        <w:t>The land uses and positioning thereof defined in Precinct Plan No 07/8004/T1/2010 approved by the City of Johannesburg on 20 October 2010, in phases 1-19 (“the Precincts Plan”), provided for in the Centro Master Plan and the Precinct Plan and the decision under which the township was established;</w:t>
      </w:r>
    </w:p>
    <w:p w:rsidR="000111C3" w:rsidRPr="00E5152F" w:rsidRDefault="00073A85" w:rsidP="00073A85">
      <w:pPr>
        <w:pStyle w:val="MEMONUMBERED"/>
        <w:numPr>
          <w:ilvl w:val="0"/>
          <w:numId w:val="0"/>
        </w:numPr>
        <w:spacing w:after="360" w:line="360" w:lineRule="auto"/>
        <w:ind w:left="2835" w:hanging="675"/>
        <w:rPr>
          <w:i/>
          <w:sz w:val="28"/>
          <w:szCs w:val="28"/>
        </w:rPr>
      </w:pPr>
      <w:r w:rsidRPr="00E5152F">
        <w:rPr>
          <w:i/>
          <w:sz w:val="28"/>
          <w:szCs w:val="28"/>
        </w:rPr>
        <w:t>2.3</w:t>
      </w:r>
      <w:r w:rsidRPr="00E5152F">
        <w:rPr>
          <w:i/>
          <w:sz w:val="28"/>
          <w:szCs w:val="28"/>
        </w:rPr>
        <w:tab/>
      </w:r>
      <w:r w:rsidR="000111C3" w:rsidRPr="009F2441">
        <w:rPr>
          <w:i/>
          <w:sz w:val="28"/>
          <w:szCs w:val="28"/>
        </w:rPr>
        <w:t>The improvements and phases of the road network as defined the Centro Master Plan and the Servitude Agreement.</w:t>
      </w:r>
    </w:p>
    <w:p w:rsidR="003804BC" w:rsidRPr="009F2441" w:rsidRDefault="000111C3" w:rsidP="003E47FE">
      <w:pPr>
        <w:pStyle w:val="MEMONUMBERED"/>
        <w:numPr>
          <w:ilvl w:val="0"/>
          <w:numId w:val="0"/>
        </w:numPr>
        <w:spacing w:after="360" w:line="360" w:lineRule="auto"/>
        <w:ind w:left="1560" w:hanging="709"/>
        <w:rPr>
          <w:i/>
          <w:sz w:val="28"/>
          <w:szCs w:val="28"/>
        </w:rPr>
      </w:pPr>
      <w:r w:rsidRPr="009F2441">
        <w:rPr>
          <w:i/>
          <w:sz w:val="28"/>
          <w:szCs w:val="28"/>
        </w:rPr>
        <w:t>3.</w:t>
      </w:r>
      <w:r w:rsidRPr="009F2441">
        <w:rPr>
          <w:i/>
          <w:sz w:val="28"/>
          <w:szCs w:val="28"/>
        </w:rPr>
        <w:tab/>
        <w:t>That the Respondent or any person or entity (</w:t>
      </w:r>
      <w:proofErr w:type="spellStart"/>
      <w:r w:rsidRPr="009F2441">
        <w:rPr>
          <w:i/>
          <w:sz w:val="28"/>
          <w:szCs w:val="28"/>
        </w:rPr>
        <w:t>authorised</w:t>
      </w:r>
      <w:proofErr w:type="spellEnd"/>
      <w:r w:rsidRPr="009F2441">
        <w:rPr>
          <w:i/>
          <w:sz w:val="28"/>
          <w:szCs w:val="28"/>
        </w:rPr>
        <w:t xml:space="preserve"> by the Respondent) be prohibited, with immediate effect, from commencing with, proceeding any further or concluding, any building activities on the property in contradiction with the </w:t>
      </w:r>
      <w:r w:rsidRPr="009F2441">
        <w:rPr>
          <w:i/>
          <w:sz w:val="28"/>
          <w:szCs w:val="28"/>
        </w:rPr>
        <w:lastRenderedPageBreak/>
        <w:t>provisions of the Servitude read with the Centro Master Plan and the Precinct Plan, as referred to in prayers 1 and 2 above.</w:t>
      </w:r>
    </w:p>
    <w:p w:rsidR="009F2441" w:rsidRPr="009F2441" w:rsidRDefault="000111C3" w:rsidP="003E47FE">
      <w:pPr>
        <w:pStyle w:val="MEMONUMBERED"/>
        <w:numPr>
          <w:ilvl w:val="0"/>
          <w:numId w:val="0"/>
        </w:numPr>
        <w:spacing w:after="360" w:line="360" w:lineRule="auto"/>
        <w:ind w:left="1560" w:hanging="709"/>
        <w:rPr>
          <w:i/>
          <w:sz w:val="28"/>
          <w:szCs w:val="28"/>
        </w:rPr>
      </w:pPr>
      <w:r w:rsidRPr="009F2441">
        <w:rPr>
          <w:i/>
          <w:sz w:val="28"/>
          <w:szCs w:val="28"/>
        </w:rPr>
        <w:t>4.</w:t>
      </w:r>
      <w:r w:rsidRPr="009F2441">
        <w:rPr>
          <w:i/>
          <w:sz w:val="28"/>
          <w:szCs w:val="28"/>
        </w:rPr>
        <w:tab/>
        <w:t xml:space="preserve">That the First Respondent is prohibited from constructing, or allowing the construction of, or operation of a primary or secondary school on the property within two </w:t>
      </w:r>
      <w:proofErr w:type="spellStart"/>
      <w:r w:rsidRPr="009F2441">
        <w:rPr>
          <w:i/>
          <w:sz w:val="28"/>
          <w:szCs w:val="28"/>
        </w:rPr>
        <w:t>kilometres</w:t>
      </w:r>
      <w:proofErr w:type="spellEnd"/>
      <w:r w:rsidRPr="009F2441">
        <w:rPr>
          <w:i/>
          <w:sz w:val="28"/>
          <w:szCs w:val="28"/>
        </w:rPr>
        <w:t xml:space="preserve"> of the farm Waterfall as described in Title Deed 26167/</w:t>
      </w:r>
      <w:r w:rsidR="009F2441" w:rsidRPr="009F2441">
        <w:rPr>
          <w:i/>
          <w:sz w:val="28"/>
          <w:szCs w:val="28"/>
        </w:rPr>
        <w:t>1934.</w:t>
      </w:r>
    </w:p>
    <w:p w:rsidR="001C31F2" w:rsidRPr="001C31F2" w:rsidRDefault="009F2441" w:rsidP="003E47FE">
      <w:pPr>
        <w:pStyle w:val="MEMONUMBERED"/>
        <w:numPr>
          <w:ilvl w:val="0"/>
          <w:numId w:val="0"/>
        </w:numPr>
        <w:spacing w:after="360" w:line="360" w:lineRule="auto"/>
        <w:ind w:left="1560" w:hanging="709"/>
        <w:rPr>
          <w:u w:val="single"/>
        </w:rPr>
      </w:pPr>
      <w:r w:rsidRPr="009F2441">
        <w:rPr>
          <w:i/>
          <w:sz w:val="28"/>
          <w:szCs w:val="28"/>
        </w:rPr>
        <w:t>5.</w:t>
      </w:r>
      <w:r w:rsidRPr="009F2441">
        <w:rPr>
          <w:i/>
          <w:sz w:val="28"/>
          <w:szCs w:val="28"/>
        </w:rPr>
        <w:tab/>
        <w:t>That the Respondents pay the costs of this application on the attorney and own client scale</w:t>
      </w:r>
      <w:r>
        <w:rPr>
          <w:sz w:val="28"/>
          <w:szCs w:val="28"/>
        </w:rPr>
        <w:t>”.</w:t>
      </w:r>
    </w:p>
    <w:p w:rsidR="00E70A6B" w:rsidRPr="00E5152F" w:rsidRDefault="00073A85" w:rsidP="00073A85">
      <w:pPr>
        <w:pStyle w:val="MEMONUMBERED"/>
        <w:numPr>
          <w:ilvl w:val="0"/>
          <w:numId w:val="0"/>
        </w:numPr>
        <w:spacing w:after="360" w:line="360" w:lineRule="auto"/>
        <w:rPr>
          <w:sz w:val="28"/>
          <w:szCs w:val="28"/>
        </w:rPr>
      </w:pPr>
      <w:r w:rsidRPr="00E5152F">
        <w:rPr>
          <w:sz w:val="28"/>
          <w:szCs w:val="28"/>
        </w:rPr>
        <w:t>[3]</w:t>
      </w:r>
      <w:r w:rsidRPr="00E5152F">
        <w:rPr>
          <w:sz w:val="28"/>
          <w:szCs w:val="28"/>
        </w:rPr>
        <w:tab/>
      </w:r>
      <w:r w:rsidR="001C31F2" w:rsidRPr="00E70A6B">
        <w:rPr>
          <w:sz w:val="28"/>
          <w:szCs w:val="28"/>
        </w:rPr>
        <w:t xml:space="preserve">Before it can be determined whether any breach of the Servitude Agreement and the </w:t>
      </w:r>
      <w:r w:rsidR="00601C59">
        <w:rPr>
          <w:sz w:val="28"/>
          <w:szCs w:val="28"/>
        </w:rPr>
        <w:t>Notarial Deed</w:t>
      </w:r>
      <w:r w:rsidR="001C31F2" w:rsidRPr="00E70A6B">
        <w:rPr>
          <w:sz w:val="28"/>
          <w:szCs w:val="28"/>
        </w:rPr>
        <w:t xml:space="preserve"> has occurred, the relevant terms of these documents must be determined.  </w:t>
      </w:r>
      <w:r w:rsidR="002F195E">
        <w:rPr>
          <w:sz w:val="28"/>
          <w:szCs w:val="28"/>
        </w:rPr>
        <w:t>D</w:t>
      </w:r>
      <w:r w:rsidR="001C31F2" w:rsidRPr="00E70A6B">
        <w:rPr>
          <w:sz w:val="28"/>
          <w:szCs w:val="28"/>
        </w:rPr>
        <w:t>espite the documents having been in existence,</w:t>
      </w:r>
      <w:r w:rsidR="002F195E">
        <w:rPr>
          <w:sz w:val="28"/>
          <w:szCs w:val="28"/>
        </w:rPr>
        <w:t xml:space="preserve"> in writing, for about a decade, there</w:t>
      </w:r>
      <w:r w:rsidR="00601C59">
        <w:rPr>
          <w:sz w:val="28"/>
          <w:szCs w:val="28"/>
        </w:rPr>
        <w:t xml:space="preserve"> is some dispute regarding the</w:t>
      </w:r>
      <w:r w:rsidR="002F195E">
        <w:rPr>
          <w:sz w:val="28"/>
          <w:szCs w:val="28"/>
        </w:rPr>
        <w:t xml:space="preserve"> terms</w:t>
      </w:r>
      <w:r w:rsidR="00601C59">
        <w:rPr>
          <w:sz w:val="28"/>
          <w:szCs w:val="28"/>
        </w:rPr>
        <w:t xml:space="preserve"> thereof</w:t>
      </w:r>
      <w:r w:rsidR="002F195E">
        <w:rPr>
          <w:sz w:val="28"/>
          <w:szCs w:val="28"/>
        </w:rPr>
        <w:t>.  The dispute resides in what exactly constituted</w:t>
      </w:r>
      <w:r w:rsidR="00601C59">
        <w:rPr>
          <w:sz w:val="28"/>
          <w:szCs w:val="28"/>
        </w:rPr>
        <w:t xml:space="preserve"> the extent of the development (</w:t>
      </w:r>
      <w:r w:rsidR="002F195E">
        <w:rPr>
          <w:sz w:val="28"/>
          <w:szCs w:val="28"/>
        </w:rPr>
        <w:t>or restraint thereof) to which the parties had agreed, with reference to a plan or map.</w:t>
      </w:r>
    </w:p>
    <w:p w:rsidR="001C31F2" w:rsidRPr="003E47FE" w:rsidRDefault="001C31F2" w:rsidP="003E47FE">
      <w:pPr>
        <w:pStyle w:val="MEMONUMBERED"/>
        <w:numPr>
          <w:ilvl w:val="0"/>
          <w:numId w:val="0"/>
        </w:numPr>
        <w:spacing w:after="120" w:line="360" w:lineRule="auto"/>
        <w:rPr>
          <w:b/>
          <w:sz w:val="28"/>
          <w:szCs w:val="28"/>
        </w:rPr>
      </w:pPr>
      <w:r w:rsidRPr="003E47FE">
        <w:rPr>
          <w:b/>
          <w:sz w:val="28"/>
          <w:szCs w:val="28"/>
        </w:rPr>
        <w:t>The Servitude Agreement</w:t>
      </w:r>
    </w:p>
    <w:p w:rsidR="003E47FE" w:rsidRDefault="00073A85" w:rsidP="00073A85">
      <w:pPr>
        <w:pStyle w:val="MEMONUMBERED"/>
        <w:numPr>
          <w:ilvl w:val="0"/>
          <w:numId w:val="0"/>
        </w:numPr>
        <w:spacing w:after="360" w:line="360" w:lineRule="auto"/>
        <w:rPr>
          <w:sz w:val="28"/>
          <w:szCs w:val="28"/>
        </w:rPr>
      </w:pPr>
      <w:r>
        <w:rPr>
          <w:sz w:val="28"/>
          <w:szCs w:val="28"/>
        </w:rPr>
        <w:t>[4]</w:t>
      </w:r>
      <w:r>
        <w:rPr>
          <w:sz w:val="28"/>
          <w:szCs w:val="28"/>
        </w:rPr>
        <w:tab/>
      </w:r>
      <w:r w:rsidR="001C31F2">
        <w:rPr>
          <w:sz w:val="28"/>
          <w:szCs w:val="28"/>
        </w:rPr>
        <w:t>WEL was at all relevant times the owner of a property initially known as the Remaining extent of Portion 1 of the Farm Waterfall 5, Registration Division IR Gauteng Province</w:t>
      </w:r>
      <w:r w:rsidR="002F195E">
        <w:rPr>
          <w:sz w:val="28"/>
          <w:szCs w:val="28"/>
        </w:rPr>
        <w:t xml:space="preserve"> (the Waterfall </w:t>
      </w:r>
      <w:r w:rsidR="00601C59">
        <w:rPr>
          <w:sz w:val="28"/>
          <w:szCs w:val="28"/>
        </w:rPr>
        <w:t>property</w:t>
      </w:r>
      <w:r w:rsidR="002F195E">
        <w:rPr>
          <w:sz w:val="28"/>
          <w:szCs w:val="28"/>
        </w:rPr>
        <w:t>)</w:t>
      </w:r>
      <w:r w:rsidR="001C31F2">
        <w:rPr>
          <w:sz w:val="28"/>
          <w:szCs w:val="28"/>
        </w:rPr>
        <w:t>.  It consists of a sub</w:t>
      </w:r>
      <w:r w:rsidR="002F195E">
        <w:rPr>
          <w:sz w:val="28"/>
          <w:szCs w:val="28"/>
        </w:rPr>
        <w:t>stantial tract of land, bordered on three sides</w:t>
      </w:r>
      <w:r w:rsidR="001C31F2">
        <w:rPr>
          <w:sz w:val="28"/>
          <w:szCs w:val="28"/>
        </w:rPr>
        <w:t xml:space="preserve"> by Allandale </w:t>
      </w:r>
      <w:r w:rsidR="002F195E">
        <w:rPr>
          <w:sz w:val="28"/>
          <w:szCs w:val="28"/>
        </w:rPr>
        <w:t>Road, W</w:t>
      </w:r>
      <w:r w:rsidR="00E70A6B">
        <w:rPr>
          <w:sz w:val="28"/>
          <w:szCs w:val="28"/>
        </w:rPr>
        <w:t xml:space="preserve">aterfall Road (which is its main access road) and the </w:t>
      </w:r>
      <w:proofErr w:type="spellStart"/>
      <w:r w:rsidR="00E70A6B">
        <w:rPr>
          <w:sz w:val="28"/>
          <w:szCs w:val="28"/>
        </w:rPr>
        <w:t>Jukskei</w:t>
      </w:r>
      <w:proofErr w:type="spellEnd"/>
      <w:r w:rsidR="00E70A6B">
        <w:rPr>
          <w:sz w:val="28"/>
          <w:szCs w:val="28"/>
        </w:rPr>
        <w:t xml:space="preserve"> River.  From the plans, photographs and diagram</w:t>
      </w:r>
      <w:r w:rsidR="002F195E">
        <w:rPr>
          <w:sz w:val="28"/>
          <w:szCs w:val="28"/>
        </w:rPr>
        <w:t>s</w:t>
      </w:r>
      <w:r w:rsidR="00E70A6B">
        <w:rPr>
          <w:sz w:val="28"/>
          <w:szCs w:val="28"/>
        </w:rPr>
        <w:t xml:space="preserve"> submitted by the parties, it appears to be a fully developed township, with residenti</w:t>
      </w:r>
      <w:r w:rsidR="00601C59">
        <w:rPr>
          <w:sz w:val="28"/>
          <w:szCs w:val="28"/>
        </w:rPr>
        <w:t>al, business and leisure properties, including a dam and a c</w:t>
      </w:r>
      <w:r w:rsidR="00E70A6B">
        <w:rPr>
          <w:sz w:val="28"/>
          <w:szCs w:val="28"/>
        </w:rPr>
        <w:t xml:space="preserve">lubhouse.  In the Servitude agreement, it is referred to as the “servient land”. </w:t>
      </w:r>
      <w:r w:rsidR="001C31F2">
        <w:rPr>
          <w:sz w:val="28"/>
          <w:szCs w:val="28"/>
        </w:rPr>
        <w:t xml:space="preserve"> </w:t>
      </w:r>
    </w:p>
    <w:p w:rsidR="00D7379B" w:rsidRPr="003E47FE" w:rsidRDefault="00073A85" w:rsidP="00073A85">
      <w:pPr>
        <w:pStyle w:val="MEMONUMBERED"/>
        <w:numPr>
          <w:ilvl w:val="0"/>
          <w:numId w:val="0"/>
        </w:numPr>
        <w:spacing w:after="360" w:line="360" w:lineRule="auto"/>
        <w:rPr>
          <w:sz w:val="28"/>
          <w:szCs w:val="28"/>
        </w:rPr>
      </w:pPr>
      <w:r w:rsidRPr="003E47FE">
        <w:rPr>
          <w:sz w:val="28"/>
          <w:szCs w:val="28"/>
        </w:rPr>
        <w:t>[5]</w:t>
      </w:r>
      <w:r w:rsidRPr="003E47FE">
        <w:rPr>
          <w:sz w:val="28"/>
          <w:szCs w:val="28"/>
        </w:rPr>
        <w:tab/>
      </w:r>
      <w:r w:rsidR="00E70A6B" w:rsidRPr="003E47FE">
        <w:rPr>
          <w:sz w:val="28"/>
          <w:szCs w:val="28"/>
        </w:rPr>
        <w:t>The adjacent land, then owned by Erf 51 Melville CC (Melville), consisted of a slightly smaller, then undeveloped tract of land, being the Remaini</w:t>
      </w:r>
      <w:r w:rsidR="002F195E">
        <w:rPr>
          <w:sz w:val="28"/>
          <w:szCs w:val="28"/>
        </w:rPr>
        <w:t xml:space="preserve">ng Extent </w:t>
      </w:r>
      <w:r w:rsidR="002F195E">
        <w:rPr>
          <w:sz w:val="28"/>
          <w:szCs w:val="28"/>
        </w:rPr>
        <w:lastRenderedPageBreak/>
        <w:t>of Portion 2 of the Fa</w:t>
      </w:r>
      <w:r w:rsidR="00E70A6B" w:rsidRPr="003E47FE">
        <w:rPr>
          <w:sz w:val="28"/>
          <w:szCs w:val="28"/>
        </w:rPr>
        <w:t xml:space="preserve">rm </w:t>
      </w:r>
      <w:proofErr w:type="spellStart"/>
      <w:r w:rsidR="00E70A6B" w:rsidRPr="003E47FE">
        <w:rPr>
          <w:sz w:val="28"/>
          <w:szCs w:val="28"/>
        </w:rPr>
        <w:t>Bothasfontein</w:t>
      </w:r>
      <w:proofErr w:type="spellEnd"/>
      <w:r w:rsidR="00E70A6B" w:rsidRPr="003E47FE">
        <w:rPr>
          <w:sz w:val="28"/>
          <w:szCs w:val="28"/>
        </w:rPr>
        <w:t xml:space="preserve"> 408, Registration Division JR Gauteng.  It was referred to in the Servitude Agreement as the “dominant land” and</w:t>
      </w:r>
      <w:r w:rsidR="002F195E">
        <w:rPr>
          <w:sz w:val="28"/>
          <w:szCs w:val="28"/>
        </w:rPr>
        <w:t xml:space="preserve"> is known</w:t>
      </w:r>
      <w:r w:rsidR="00E70A6B" w:rsidRPr="003E47FE">
        <w:rPr>
          <w:sz w:val="28"/>
          <w:szCs w:val="28"/>
        </w:rPr>
        <w:t xml:space="preserve"> as the Mushroom Farm.</w:t>
      </w:r>
    </w:p>
    <w:p w:rsidR="00D7379B" w:rsidRPr="00E5152F" w:rsidRDefault="00073A85" w:rsidP="00073A85">
      <w:pPr>
        <w:pStyle w:val="MEMONUMBERED"/>
        <w:numPr>
          <w:ilvl w:val="0"/>
          <w:numId w:val="0"/>
        </w:numPr>
        <w:spacing w:after="360" w:line="360" w:lineRule="auto"/>
        <w:rPr>
          <w:sz w:val="28"/>
          <w:szCs w:val="28"/>
        </w:rPr>
      </w:pPr>
      <w:r w:rsidRPr="00E5152F">
        <w:rPr>
          <w:sz w:val="28"/>
          <w:szCs w:val="28"/>
        </w:rPr>
        <w:t>[6]</w:t>
      </w:r>
      <w:r w:rsidRPr="00E5152F">
        <w:rPr>
          <w:sz w:val="28"/>
          <w:szCs w:val="28"/>
        </w:rPr>
        <w:tab/>
      </w:r>
      <w:r w:rsidR="00E70A6B">
        <w:rPr>
          <w:sz w:val="28"/>
          <w:szCs w:val="28"/>
        </w:rPr>
        <w:t>Although the Mushroom Farm</w:t>
      </w:r>
      <w:r w:rsidR="002F195E">
        <w:rPr>
          <w:sz w:val="28"/>
          <w:szCs w:val="28"/>
        </w:rPr>
        <w:t xml:space="preserve"> also borders on Alla</w:t>
      </w:r>
      <w:r w:rsidR="00E70A6B">
        <w:rPr>
          <w:sz w:val="28"/>
          <w:szCs w:val="28"/>
        </w:rPr>
        <w:t xml:space="preserve">ndale Road for the whole length of its north-eastern border, convenient access (by way of a junction) which would satisfy the provincial and local authorities, would have </w:t>
      </w:r>
      <w:r w:rsidR="002F195E">
        <w:rPr>
          <w:sz w:val="28"/>
          <w:szCs w:val="28"/>
        </w:rPr>
        <w:t xml:space="preserve">had </w:t>
      </w:r>
      <w:r w:rsidR="00E70A6B">
        <w:rPr>
          <w:sz w:val="28"/>
          <w:szCs w:val="28"/>
        </w:rPr>
        <w:t xml:space="preserve">to be </w:t>
      </w:r>
      <w:r w:rsidR="002F195E">
        <w:rPr>
          <w:sz w:val="28"/>
          <w:szCs w:val="28"/>
        </w:rPr>
        <w:t xml:space="preserve">made </w:t>
      </w:r>
      <w:r w:rsidR="00E70A6B">
        <w:rPr>
          <w:sz w:val="28"/>
          <w:szCs w:val="28"/>
        </w:rPr>
        <w:t xml:space="preserve">where the Mushroom Farm and the </w:t>
      </w:r>
      <w:r w:rsidR="002F195E">
        <w:rPr>
          <w:sz w:val="28"/>
          <w:szCs w:val="28"/>
        </w:rPr>
        <w:t>Waterfall property meet at their</w:t>
      </w:r>
      <w:r w:rsidR="00E70A6B">
        <w:rPr>
          <w:sz w:val="28"/>
          <w:szCs w:val="28"/>
        </w:rPr>
        <w:t xml:space="preserve"> respective north-easter</w:t>
      </w:r>
      <w:r w:rsidR="002F195E">
        <w:rPr>
          <w:sz w:val="28"/>
          <w:szCs w:val="28"/>
        </w:rPr>
        <w:t>n and north-western corners</w:t>
      </w:r>
      <w:r w:rsidR="00E70A6B">
        <w:rPr>
          <w:sz w:val="28"/>
          <w:szCs w:val="28"/>
        </w:rPr>
        <w:t>.</w:t>
      </w:r>
    </w:p>
    <w:p w:rsidR="00D7379B" w:rsidRPr="00E5152F" w:rsidRDefault="00073A85" w:rsidP="00073A85">
      <w:pPr>
        <w:pStyle w:val="MEMONUMBERED"/>
        <w:numPr>
          <w:ilvl w:val="0"/>
          <w:numId w:val="0"/>
        </w:numPr>
        <w:spacing w:after="360" w:line="360" w:lineRule="auto"/>
        <w:rPr>
          <w:sz w:val="28"/>
          <w:szCs w:val="28"/>
        </w:rPr>
      </w:pPr>
      <w:r w:rsidRPr="00E5152F">
        <w:rPr>
          <w:sz w:val="28"/>
          <w:szCs w:val="28"/>
        </w:rPr>
        <w:t>[7]</w:t>
      </w:r>
      <w:r w:rsidRPr="00E5152F">
        <w:rPr>
          <w:sz w:val="28"/>
          <w:szCs w:val="28"/>
        </w:rPr>
        <w:tab/>
      </w:r>
      <w:r w:rsidR="00E70A6B">
        <w:rPr>
          <w:sz w:val="28"/>
          <w:szCs w:val="28"/>
        </w:rPr>
        <w:t xml:space="preserve">In order to </w:t>
      </w:r>
      <w:r w:rsidR="00644C1A">
        <w:rPr>
          <w:sz w:val="28"/>
          <w:szCs w:val="28"/>
        </w:rPr>
        <w:t>facilitate</w:t>
      </w:r>
      <w:r w:rsidR="00E70A6B">
        <w:rPr>
          <w:sz w:val="28"/>
          <w:szCs w:val="28"/>
        </w:rPr>
        <w:t xml:space="preserve"> the road junction, </w:t>
      </w:r>
      <w:r w:rsidR="002F195E">
        <w:rPr>
          <w:sz w:val="28"/>
          <w:szCs w:val="28"/>
        </w:rPr>
        <w:t>a servitude had to be granted over</w:t>
      </w:r>
      <w:r w:rsidR="00E70A6B">
        <w:rPr>
          <w:sz w:val="28"/>
          <w:szCs w:val="28"/>
        </w:rPr>
        <w:t xml:space="preserve"> the </w:t>
      </w:r>
      <w:r w:rsidR="002F195E">
        <w:rPr>
          <w:sz w:val="28"/>
          <w:szCs w:val="28"/>
        </w:rPr>
        <w:t>Waterfall property</w:t>
      </w:r>
      <w:r w:rsidR="002E1A9D">
        <w:rPr>
          <w:sz w:val="28"/>
          <w:szCs w:val="28"/>
        </w:rPr>
        <w:t xml:space="preserve"> to the Mushroom Farm.  </w:t>
      </w:r>
      <w:r w:rsidR="002F195E">
        <w:rPr>
          <w:sz w:val="28"/>
          <w:szCs w:val="28"/>
        </w:rPr>
        <w:t>The Servitude area</w:t>
      </w:r>
      <w:r w:rsidR="002E1A9D">
        <w:rPr>
          <w:sz w:val="28"/>
          <w:szCs w:val="28"/>
        </w:rPr>
        <w:t xml:space="preserve"> consisted of an undeveloped and unused sliver of land, falling outside the </w:t>
      </w:r>
      <w:r w:rsidR="002F195E">
        <w:rPr>
          <w:sz w:val="28"/>
          <w:szCs w:val="28"/>
        </w:rPr>
        <w:t xml:space="preserve">development on </w:t>
      </w:r>
      <w:r w:rsidR="002E1A9D">
        <w:rPr>
          <w:sz w:val="28"/>
          <w:szCs w:val="28"/>
        </w:rPr>
        <w:t xml:space="preserve">the </w:t>
      </w:r>
      <w:r w:rsidR="00601C59">
        <w:rPr>
          <w:sz w:val="28"/>
          <w:szCs w:val="28"/>
        </w:rPr>
        <w:t>W</w:t>
      </w:r>
      <w:r w:rsidR="002F195E">
        <w:rPr>
          <w:sz w:val="28"/>
          <w:szCs w:val="28"/>
        </w:rPr>
        <w:t>aterfall property</w:t>
      </w:r>
      <w:r w:rsidR="002E1A9D">
        <w:rPr>
          <w:sz w:val="28"/>
          <w:szCs w:val="28"/>
        </w:rPr>
        <w:t>.  It consisted (and still consists) of a triangular piece</w:t>
      </w:r>
      <w:r w:rsidR="002F195E">
        <w:rPr>
          <w:sz w:val="28"/>
          <w:szCs w:val="28"/>
        </w:rPr>
        <w:t xml:space="preserve"> of land</w:t>
      </w:r>
      <w:r w:rsidR="002E1A9D">
        <w:rPr>
          <w:sz w:val="28"/>
          <w:szCs w:val="28"/>
        </w:rPr>
        <w:t>, measuring in total</w:t>
      </w:r>
      <w:r w:rsidR="002F195E">
        <w:rPr>
          <w:sz w:val="28"/>
          <w:szCs w:val="28"/>
        </w:rPr>
        <w:t xml:space="preserve"> a mere</w:t>
      </w:r>
      <w:r w:rsidR="002E1A9D">
        <w:rPr>
          <w:sz w:val="28"/>
          <w:szCs w:val="28"/>
        </w:rPr>
        <w:t xml:space="preserve"> 2007m².</w:t>
      </w:r>
    </w:p>
    <w:p w:rsidR="00644C1A" w:rsidRDefault="00073A85" w:rsidP="00073A85">
      <w:pPr>
        <w:pStyle w:val="MEMONUMBERED"/>
        <w:numPr>
          <w:ilvl w:val="0"/>
          <w:numId w:val="0"/>
        </w:numPr>
        <w:spacing w:after="360" w:line="360" w:lineRule="auto"/>
        <w:rPr>
          <w:sz w:val="28"/>
          <w:szCs w:val="28"/>
        </w:rPr>
      </w:pPr>
      <w:r>
        <w:rPr>
          <w:sz w:val="28"/>
          <w:szCs w:val="28"/>
        </w:rPr>
        <w:t>[8]</w:t>
      </w:r>
      <w:r>
        <w:rPr>
          <w:sz w:val="28"/>
          <w:szCs w:val="28"/>
        </w:rPr>
        <w:tab/>
      </w:r>
      <w:r w:rsidR="00644C1A">
        <w:rPr>
          <w:sz w:val="28"/>
          <w:szCs w:val="28"/>
        </w:rPr>
        <w:t>Having regard to the remainder of the tracts of land and the size of the developments thereon, the servitude portion is insignificant in size, but</w:t>
      </w:r>
      <w:r w:rsidR="002F195E">
        <w:rPr>
          <w:sz w:val="28"/>
          <w:szCs w:val="28"/>
        </w:rPr>
        <w:t xml:space="preserve"> was</w:t>
      </w:r>
      <w:r w:rsidR="00644C1A">
        <w:rPr>
          <w:sz w:val="28"/>
          <w:szCs w:val="28"/>
        </w:rPr>
        <w:t xml:space="preserve"> necessary at that stage for the approval of development on the Mushroom Farm.  It is for this reason, that the parties embodied the granting of the servitude in a written document, even prior to its registration.  The agreement imposed certain obligations and restrictions on Melville.  The relevant terms contained in the Servitude Agreement, dated 26 August 2010 provide the following in this regard:</w:t>
      </w:r>
    </w:p>
    <w:p w:rsidR="007E608B" w:rsidRPr="00C72C9A" w:rsidRDefault="00644C1A" w:rsidP="003E47FE">
      <w:pPr>
        <w:pStyle w:val="MEMONUMBERED"/>
        <w:numPr>
          <w:ilvl w:val="0"/>
          <w:numId w:val="0"/>
        </w:numPr>
        <w:spacing w:after="360" w:line="360" w:lineRule="auto"/>
        <w:ind w:left="1440" w:hanging="720"/>
        <w:rPr>
          <w:i/>
          <w:sz w:val="28"/>
          <w:szCs w:val="28"/>
        </w:rPr>
      </w:pPr>
      <w:r>
        <w:rPr>
          <w:sz w:val="28"/>
          <w:szCs w:val="28"/>
        </w:rPr>
        <w:t>“</w:t>
      </w:r>
      <w:r w:rsidRPr="00C72C9A">
        <w:rPr>
          <w:i/>
          <w:sz w:val="28"/>
          <w:szCs w:val="28"/>
        </w:rPr>
        <w:t>2.1</w:t>
      </w:r>
      <w:r w:rsidR="007E608B" w:rsidRPr="00C72C9A">
        <w:rPr>
          <w:i/>
          <w:sz w:val="28"/>
          <w:szCs w:val="28"/>
        </w:rPr>
        <w:tab/>
        <w:t xml:space="preserve">This Servitude Owner hereby and with effect from the Signature Date grants to the Dominant Owner a </w:t>
      </w:r>
      <w:proofErr w:type="spellStart"/>
      <w:r w:rsidR="007E608B" w:rsidRPr="00C72C9A">
        <w:rPr>
          <w:i/>
          <w:sz w:val="28"/>
          <w:szCs w:val="28"/>
        </w:rPr>
        <w:t>praedial</w:t>
      </w:r>
      <w:proofErr w:type="spellEnd"/>
      <w:r w:rsidR="007E608B" w:rsidRPr="00C72C9A">
        <w:rPr>
          <w:i/>
          <w:sz w:val="28"/>
          <w:szCs w:val="28"/>
        </w:rPr>
        <w:t xml:space="preserve"> servitude in perpetuity over the Servitude Area for roads purposes and upon the further terms and conditions contained in this Agreement.</w:t>
      </w:r>
    </w:p>
    <w:p w:rsidR="007E608B" w:rsidRPr="00C72C9A" w:rsidRDefault="003E47FE" w:rsidP="003E47FE">
      <w:pPr>
        <w:pStyle w:val="MEMONUMBERED"/>
        <w:numPr>
          <w:ilvl w:val="0"/>
          <w:numId w:val="0"/>
        </w:numPr>
        <w:spacing w:after="360" w:line="360" w:lineRule="auto"/>
        <w:ind w:left="1440" w:hanging="720"/>
        <w:rPr>
          <w:i/>
          <w:sz w:val="28"/>
          <w:szCs w:val="28"/>
        </w:rPr>
      </w:pPr>
      <w:r>
        <w:rPr>
          <w:i/>
          <w:sz w:val="28"/>
          <w:szCs w:val="28"/>
        </w:rPr>
        <w:lastRenderedPageBreak/>
        <w:t>2.2</w:t>
      </w:r>
      <w:r>
        <w:rPr>
          <w:i/>
          <w:sz w:val="28"/>
          <w:szCs w:val="28"/>
        </w:rPr>
        <w:tab/>
      </w:r>
      <w:r w:rsidR="007E608B" w:rsidRPr="00C72C9A">
        <w:rPr>
          <w:i/>
          <w:sz w:val="28"/>
          <w:szCs w:val="28"/>
        </w:rPr>
        <w:t>The Servitude Area may be used solely for the construction of a public road thereon.</w:t>
      </w:r>
    </w:p>
    <w:p w:rsidR="007E608B" w:rsidRPr="00C72C9A" w:rsidRDefault="007E608B" w:rsidP="003E47FE">
      <w:pPr>
        <w:pStyle w:val="MEMONUMBERED"/>
        <w:numPr>
          <w:ilvl w:val="0"/>
          <w:numId w:val="0"/>
        </w:numPr>
        <w:spacing w:after="360" w:line="360" w:lineRule="auto"/>
        <w:ind w:firstLine="720"/>
        <w:rPr>
          <w:i/>
          <w:sz w:val="28"/>
          <w:szCs w:val="28"/>
        </w:rPr>
      </w:pPr>
      <w:r w:rsidRPr="00C72C9A">
        <w:rPr>
          <w:i/>
          <w:sz w:val="28"/>
          <w:szCs w:val="28"/>
        </w:rPr>
        <w:t>2.3</w:t>
      </w:r>
      <w:r w:rsidRPr="00C72C9A">
        <w:rPr>
          <w:i/>
          <w:sz w:val="28"/>
          <w:szCs w:val="28"/>
        </w:rPr>
        <w:tab/>
        <w:t>The Dominant Owner accepts the servitude hereby granted.</w:t>
      </w:r>
    </w:p>
    <w:p w:rsidR="007E608B" w:rsidRPr="00C72C9A" w:rsidRDefault="007E608B" w:rsidP="00E5152F">
      <w:pPr>
        <w:pStyle w:val="MEMONUMBERED"/>
        <w:numPr>
          <w:ilvl w:val="0"/>
          <w:numId w:val="0"/>
        </w:numPr>
        <w:spacing w:after="360" w:line="360" w:lineRule="auto"/>
        <w:ind w:left="2160" w:hanging="720"/>
        <w:rPr>
          <w:i/>
          <w:sz w:val="28"/>
          <w:szCs w:val="28"/>
        </w:rPr>
      </w:pPr>
      <w:r w:rsidRPr="00C72C9A">
        <w:rPr>
          <w:i/>
          <w:sz w:val="28"/>
          <w:szCs w:val="28"/>
        </w:rPr>
        <w:t>3.1</w:t>
      </w:r>
      <w:r w:rsidRPr="00C72C9A">
        <w:rPr>
          <w:i/>
          <w:sz w:val="28"/>
          <w:szCs w:val="28"/>
        </w:rPr>
        <w:tab/>
        <w:t>immediately after the Signature Date withdraw all objection (if any) which it may have lodged with any relevant authority in respect of any existing application by Servient Owner or any of its successors in title to any portions of the Farm for the establishment of a township and/or rezoning and/or subdivision and/or consolidation and/or any similar (in the widest sense) application (“Planning Application”) in respect of the Farm or any portion thereof;</w:t>
      </w:r>
    </w:p>
    <w:p w:rsidR="007E608B" w:rsidRPr="00C72C9A" w:rsidRDefault="007E608B" w:rsidP="00E5152F">
      <w:pPr>
        <w:pStyle w:val="MEMONUMBERED"/>
        <w:numPr>
          <w:ilvl w:val="0"/>
          <w:numId w:val="0"/>
        </w:numPr>
        <w:spacing w:after="360" w:line="360" w:lineRule="auto"/>
        <w:ind w:left="2160" w:hanging="720"/>
        <w:rPr>
          <w:i/>
          <w:sz w:val="28"/>
          <w:szCs w:val="28"/>
        </w:rPr>
      </w:pPr>
      <w:r w:rsidRPr="00C72C9A">
        <w:rPr>
          <w:i/>
          <w:sz w:val="28"/>
          <w:szCs w:val="28"/>
        </w:rPr>
        <w:t>3.2</w:t>
      </w:r>
      <w:r w:rsidRPr="00C72C9A">
        <w:rPr>
          <w:i/>
          <w:sz w:val="28"/>
          <w:szCs w:val="28"/>
        </w:rPr>
        <w:tab/>
        <w:t>not (and shall not encourage, solicit or induce any third party to do so) object to any further and/or future planning application by WEL and/or any third party in respect of the Farm or any portion thereof.</w:t>
      </w:r>
    </w:p>
    <w:p w:rsidR="007E608B" w:rsidRPr="00C72C9A" w:rsidRDefault="007E608B" w:rsidP="003E47FE">
      <w:pPr>
        <w:pStyle w:val="MEMONUMBERED"/>
        <w:numPr>
          <w:ilvl w:val="0"/>
          <w:numId w:val="0"/>
        </w:numPr>
        <w:spacing w:after="120" w:line="360" w:lineRule="auto"/>
        <w:ind w:firstLine="720"/>
        <w:rPr>
          <w:i/>
          <w:sz w:val="28"/>
          <w:szCs w:val="28"/>
        </w:rPr>
      </w:pPr>
      <w:r w:rsidRPr="00C72C9A">
        <w:rPr>
          <w:i/>
          <w:sz w:val="28"/>
          <w:szCs w:val="28"/>
        </w:rPr>
        <w:t>4.</w:t>
      </w:r>
      <w:r w:rsidRPr="00C72C9A">
        <w:rPr>
          <w:i/>
          <w:sz w:val="28"/>
          <w:szCs w:val="28"/>
        </w:rPr>
        <w:tab/>
      </w:r>
      <w:r w:rsidRPr="00C72C9A">
        <w:rPr>
          <w:b/>
          <w:i/>
          <w:sz w:val="28"/>
          <w:szCs w:val="28"/>
        </w:rPr>
        <w:t>LIMITATION</w:t>
      </w:r>
      <w:r w:rsidR="00E151C9" w:rsidRPr="00C72C9A">
        <w:rPr>
          <w:b/>
          <w:i/>
          <w:sz w:val="28"/>
          <w:szCs w:val="28"/>
        </w:rPr>
        <w:t xml:space="preserve"> OF</w:t>
      </w:r>
      <w:r w:rsidRPr="00C72C9A">
        <w:rPr>
          <w:b/>
          <w:i/>
          <w:sz w:val="28"/>
          <w:szCs w:val="28"/>
        </w:rPr>
        <w:t xml:space="preserve"> DEVELOPMENT</w:t>
      </w:r>
    </w:p>
    <w:p w:rsidR="00E151C9" w:rsidRPr="00C72C9A" w:rsidRDefault="00E151C9" w:rsidP="00E5152F">
      <w:pPr>
        <w:pStyle w:val="MEMONUMBERED"/>
        <w:numPr>
          <w:ilvl w:val="0"/>
          <w:numId w:val="0"/>
        </w:numPr>
        <w:spacing w:after="360" w:line="360" w:lineRule="auto"/>
        <w:ind w:left="2160" w:hanging="720"/>
        <w:rPr>
          <w:i/>
          <w:sz w:val="28"/>
          <w:szCs w:val="28"/>
        </w:rPr>
      </w:pPr>
      <w:r w:rsidRPr="00C72C9A">
        <w:rPr>
          <w:i/>
          <w:sz w:val="28"/>
          <w:szCs w:val="28"/>
        </w:rPr>
        <w:t>4.1</w:t>
      </w:r>
      <w:r w:rsidRPr="00C72C9A">
        <w:rPr>
          <w:i/>
          <w:sz w:val="28"/>
          <w:szCs w:val="28"/>
        </w:rPr>
        <w:tab/>
        <w:t>All future development of the Dominant Land shall be substantially in accordance with the Kyalami Centro Master Plan subject to such amendments as may be reasonably required by any relevant authority and/or the Dominant Owner and as may be approved of by the Servient Owner, which approval shall not be unreasonably withheld or delayed.</w:t>
      </w:r>
    </w:p>
    <w:p w:rsidR="00E151C9" w:rsidRPr="00C72C9A" w:rsidRDefault="00E151C9" w:rsidP="00E5152F">
      <w:pPr>
        <w:pStyle w:val="MEMONUMBERED"/>
        <w:numPr>
          <w:ilvl w:val="0"/>
          <w:numId w:val="0"/>
        </w:numPr>
        <w:spacing w:after="360" w:line="360" w:lineRule="auto"/>
        <w:ind w:left="2160" w:hanging="720"/>
        <w:rPr>
          <w:i/>
          <w:sz w:val="28"/>
          <w:szCs w:val="28"/>
        </w:rPr>
      </w:pPr>
      <w:r w:rsidRPr="00C72C9A">
        <w:rPr>
          <w:i/>
          <w:sz w:val="28"/>
          <w:szCs w:val="28"/>
        </w:rPr>
        <w:lastRenderedPageBreak/>
        <w:t>4.2</w:t>
      </w:r>
      <w:r w:rsidRPr="00C72C9A">
        <w:rPr>
          <w:i/>
          <w:sz w:val="28"/>
          <w:szCs w:val="28"/>
        </w:rPr>
        <w:tab/>
        <w:t>Without limiting the generality of the provisions of 4.1, no retail development exceeding 30 000 (thirty thousand) square meters of bulk area shall be developed on the Dominant Land.</w:t>
      </w:r>
    </w:p>
    <w:p w:rsidR="00E151C9" w:rsidRPr="00C72C9A" w:rsidRDefault="00E151C9" w:rsidP="003E47FE">
      <w:pPr>
        <w:pStyle w:val="MEMONUMBERED"/>
        <w:numPr>
          <w:ilvl w:val="0"/>
          <w:numId w:val="0"/>
        </w:numPr>
        <w:spacing w:after="120" w:line="360" w:lineRule="auto"/>
        <w:ind w:firstLine="720"/>
        <w:rPr>
          <w:i/>
          <w:sz w:val="28"/>
          <w:szCs w:val="28"/>
        </w:rPr>
      </w:pPr>
      <w:r w:rsidRPr="00C72C9A">
        <w:rPr>
          <w:i/>
          <w:sz w:val="28"/>
          <w:szCs w:val="28"/>
        </w:rPr>
        <w:t>5.</w:t>
      </w:r>
      <w:r w:rsidRPr="00C72C9A">
        <w:rPr>
          <w:i/>
          <w:sz w:val="28"/>
          <w:szCs w:val="28"/>
        </w:rPr>
        <w:tab/>
      </w:r>
      <w:r w:rsidRPr="00C72C9A">
        <w:rPr>
          <w:b/>
          <w:i/>
          <w:sz w:val="28"/>
          <w:szCs w:val="28"/>
        </w:rPr>
        <w:t>ROADS</w:t>
      </w:r>
    </w:p>
    <w:p w:rsidR="00D7379B" w:rsidRDefault="00E151C9" w:rsidP="00E5152F">
      <w:pPr>
        <w:pStyle w:val="MEMONUMBERED"/>
        <w:numPr>
          <w:ilvl w:val="0"/>
          <w:numId w:val="0"/>
        </w:numPr>
        <w:spacing w:after="360" w:line="360" w:lineRule="auto"/>
        <w:ind w:left="2160" w:hanging="720"/>
        <w:rPr>
          <w:sz w:val="28"/>
          <w:szCs w:val="28"/>
        </w:rPr>
      </w:pPr>
      <w:r w:rsidRPr="00C72C9A">
        <w:rPr>
          <w:i/>
          <w:sz w:val="28"/>
          <w:szCs w:val="28"/>
        </w:rPr>
        <w:t>5.1</w:t>
      </w:r>
      <w:r w:rsidRPr="00C72C9A">
        <w:rPr>
          <w:i/>
          <w:sz w:val="28"/>
          <w:szCs w:val="28"/>
        </w:rPr>
        <w:tab/>
        <w:t>The Dominant Owner shall at its cost and expense and to the standard, specification and phasing required by the relevant authorities as more fully appears from the Annexure 1, Annexure 2 and Traffic Impact Assessment dated September 2008 attached hereto as Annexure 4</w:t>
      </w:r>
      <w:r w:rsidR="00C72C9A">
        <w:rPr>
          <w:sz w:val="28"/>
          <w:szCs w:val="28"/>
        </w:rPr>
        <w:t>”.</w:t>
      </w:r>
    </w:p>
    <w:p w:rsidR="00D7379B" w:rsidRPr="00E5152F" w:rsidRDefault="00073A85" w:rsidP="00073A85">
      <w:pPr>
        <w:pStyle w:val="MEMONUMBERED"/>
        <w:numPr>
          <w:ilvl w:val="0"/>
          <w:numId w:val="0"/>
        </w:numPr>
        <w:spacing w:after="360" w:line="360" w:lineRule="auto"/>
        <w:rPr>
          <w:sz w:val="28"/>
          <w:szCs w:val="28"/>
        </w:rPr>
      </w:pPr>
      <w:r w:rsidRPr="00E5152F">
        <w:rPr>
          <w:sz w:val="28"/>
          <w:szCs w:val="28"/>
        </w:rPr>
        <w:t>[9]</w:t>
      </w:r>
      <w:r w:rsidRPr="00E5152F">
        <w:rPr>
          <w:sz w:val="28"/>
          <w:szCs w:val="28"/>
        </w:rPr>
        <w:tab/>
      </w:r>
      <w:r w:rsidR="00644C1A">
        <w:rPr>
          <w:sz w:val="28"/>
          <w:szCs w:val="28"/>
        </w:rPr>
        <w:t>In the definitions contained in the Servitude</w:t>
      </w:r>
      <w:r w:rsidR="002F195E">
        <w:rPr>
          <w:sz w:val="28"/>
          <w:szCs w:val="28"/>
        </w:rPr>
        <w:t xml:space="preserve"> Agreement, the “</w:t>
      </w:r>
      <w:proofErr w:type="spellStart"/>
      <w:r w:rsidR="002F195E">
        <w:rPr>
          <w:sz w:val="28"/>
          <w:szCs w:val="28"/>
        </w:rPr>
        <w:t>Kayalami</w:t>
      </w:r>
      <w:proofErr w:type="spellEnd"/>
      <w:r w:rsidR="002F195E">
        <w:rPr>
          <w:sz w:val="28"/>
          <w:szCs w:val="28"/>
        </w:rPr>
        <w:t xml:space="preserve"> Centro</w:t>
      </w:r>
      <w:r w:rsidR="00644C1A">
        <w:rPr>
          <w:sz w:val="28"/>
          <w:szCs w:val="28"/>
        </w:rPr>
        <w:t xml:space="preserve"> Master Plan”</w:t>
      </w:r>
      <w:r w:rsidR="00601C59">
        <w:rPr>
          <w:sz w:val="28"/>
          <w:szCs w:val="28"/>
        </w:rPr>
        <w:t xml:space="preserve"> referred to in </w:t>
      </w:r>
      <w:r w:rsidR="006533C7">
        <w:rPr>
          <w:sz w:val="28"/>
          <w:szCs w:val="28"/>
        </w:rPr>
        <w:t>clause</w:t>
      </w:r>
      <w:r w:rsidR="00601C59">
        <w:rPr>
          <w:sz w:val="28"/>
          <w:szCs w:val="28"/>
        </w:rPr>
        <w:t xml:space="preserve"> 4.1</w:t>
      </w:r>
      <w:r w:rsidR="00644C1A">
        <w:rPr>
          <w:sz w:val="28"/>
          <w:szCs w:val="28"/>
        </w:rPr>
        <w:t xml:space="preserve"> was defined as meaning “</w:t>
      </w:r>
      <w:r w:rsidR="00644C1A" w:rsidRPr="002F195E">
        <w:rPr>
          <w:i/>
          <w:sz w:val="28"/>
          <w:szCs w:val="28"/>
        </w:rPr>
        <w:t>the plan annexed hereto marked Annexure 1</w:t>
      </w:r>
      <w:r w:rsidR="00644C1A">
        <w:rPr>
          <w:sz w:val="28"/>
          <w:szCs w:val="28"/>
        </w:rPr>
        <w:t xml:space="preserve">”.  There was no annexure marked as such annexed to the agreement annexed to the founding affidavit, which lead to a huge debate as to what that </w:t>
      </w:r>
      <w:r w:rsidR="00E151C9">
        <w:rPr>
          <w:sz w:val="28"/>
          <w:szCs w:val="28"/>
        </w:rPr>
        <w:t>annexure</w:t>
      </w:r>
      <w:r w:rsidR="00644C1A">
        <w:rPr>
          <w:sz w:val="28"/>
          <w:szCs w:val="28"/>
        </w:rPr>
        <w:t xml:space="preserve"> entailed or whether it</w:t>
      </w:r>
      <w:r w:rsidR="00601C59">
        <w:rPr>
          <w:sz w:val="28"/>
          <w:szCs w:val="28"/>
        </w:rPr>
        <w:t xml:space="preserve"> had</w:t>
      </w:r>
      <w:r w:rsidR="00644C1A">
        <w:rPr>
          <w:sz w:val="28"/>
          <w:szCs w:val="28"/>
        </w:rPr>
        <w:t xml:space="preserve"> even existed at the time</w:t>
      </w:r>
      <w:r w:rsidR="00601C59">
        <w:rPr>
          <w:sz w:val="28"/>
          <w:szCs w:val="28"/>
        </w:rPr>
        <w:t xml:space="preserve"> of the agreement</w:t>
      </w:r>
      <w:r w:rsidR="00644C1A">
        <w:rPr>
          <w:sz w:val="28"/>
          <w:szCs w:val="28"/>
        </w:rPr>
        <w:t xml:space="preserve">.  </w:t>
      </w:r>
      <w:proofErr w:type="spellStart"/>
      <w:r w:rsidR="00644C1A">
        <w:rPr>
          <w:sz w:val="28"/>
          <w:szCs w:val="28"/>
        </w:rPr>
        <w:t>Adv</w:t>
      </w:r>
      <w:proofErr w:type="spellEnd"/>
      <w:r w:rsidR="00644C1A">
        <w:rPr>
          <w:sz w:val="28"/>
          <w:szCs w:val="28"/>
        </w:rPr>
        <w:t xml:space="preserve"> Maritz SC on behalf of Century was particularly vocal about this point, arguing that the “true” “Annexure 1” had </w:t>
      </w:r>
      <w:r w:rsidR="00601C59">
        <w:rPr>
          <w:sz w:val="28"/>
          <w:szCs w:val="28"/>
        </w:rPr>
        <w:t>neither</w:t>
      </w:r>
      <w:r w:rsidR="00644C1A">
        <w:rPr>
          <w:sz w:val="28"/>
          <w:szCs w:val="28"/>
        </w:rPr>
        <w:t xml:space="preserve"> been identified nor produced.</w:t>
      </w:r>
    </w:p>
    <w:p w:rsidR="00D7379B" w:rsidRPr="003E47FE" w:rsidRDefault="00073A85" w:rsidP="00073A85">
      <w:pPr>
        <w:pStyle w:val="MEMONUMBERED"/>
        <w:numPr>
          <w:ilvl w:val="0"/>
          <w:numId w:val="0"/>
        </w:numPr>
        <w:spacing w:after="360" w:line="360" w:lineRule="auto"/>
        <w:rPr>
          <w:sz w:val="28"/>
          <w:szCs w:val="28"/>
        </w:rPr>
      </w:pPr>
      <w:r w:rsidRPr="003E47FE">
        <w:rPr>
          <w:sz w:val="28"/>
          <w:szCs w:val="28"/>
        </w:rPr>
        <w:t>[10]</w:t>
      </w:r>
      <w:r w:rsidRPr="003E47FE">
        <w:rPr>
          <w:sz w:val="28"/>
          <w:szCs w:val="28"/>
        </w:rPr>
        <w:tab/>
      </w:r>
      <w:r w:rsidR="00644C1A">
        <w:rPr>
          <w:sz w:val="28"/>
          <w:szCs w:val="28"/>
        </w:rPr>
        <w:t xml:space="preserve">Despite what the respondents argued, they </w:t>
      </w:r>
      <w:r w:rsidR="00601C59">
        <w:rPr>
          <w:sz w:val="28"/>
          <w:szCs w:val="28"/>
        </w:rPr>
        <w:t>could</w:t>
      </w:r>
      <w:r w:rsidR="00644C1A">
        <w:rPr>
          <w:sz w:val="28"/>
          <w:szCs w:val="28"/>
        </w:rPr>
        <w:t xml:space="preserve"> not produce any</w:t>
      </w:r>
      <w:r w:rsidR="00601C59">
        <w:rPr>
          <w:sz w:val="28"/>
          <w:szCs w:val="28"/>
        </w:rPr>
        <w:t xml:space="preserve"> other</w:t>
      </w:r>
      <w:r w:rsidR="00644C1A">
        <w:rPr>
          <w:sz w:val="28"/>
          <w:szCs w:val="28"/>
        </w:rPr>
        <w:t xml:space="preserve"> document which they</w:t>
      </w:r>
      <w:r w:rsidR="00601C59">
        <w:rPr>
          <w:sz w:val="28"/>
          <w:szCs w:val="28"/>
        </w:rPr>
        <w:t xml:space="preserve"> could contend</w:t>
      </w:r>
      <w:r w:rsidR="00644C1A">
        <w:rPr>
          <w:sz w:val="28"/>
          <w:szCs w:val="28"/>
        </w:rPr>
        <w:t xml:space="preserve"> was the “true” annexure or</w:t>
      </w:r>
      <w:r w:rsidR="006533C7">
        <w:rPr>
          <w:sz w:val="28"/>
          <w:szCs w:val="28"/>
        </w:rPr>
        <w:t xml:space="preserve"> the</w:t>
      </w:r>
      <w:r w:rsidR="00644C1A">
        <w:rPr>
          <w:sz w:val="28"/>
          <w:szCs w:val="28"/>
        </w:rPr>
        <w:t xml:space="preserve"> “</w:t>
      </w:r>
      <w:proofErr w:type="spellStart"/>
      <w:r w:rsidR="00644C1A">
        <w:rPr>
          <w:sz w:val="28"/>
          <w:szCs w:val="28"/>
        </w:rPr>
        <w:t>Kayala</w:t>
      </w:r>
      <w:r w:rsidR="00001079">
        <w:rPr>
          <w:sz w:val="28"/>
          <w:szCs w:val="28"/>
        </w:rPr>
        <w:t>m</w:t>
      </w:r>
      <w:r w:rsidR="002F195E">
        <w:rPr>
          <w:sz w:val="28"/>
          <w:szCs w:val="28"/>
        </w:rPr>
        <w:t>i</w:t>
      </w:r>
      <w:proofErr w:type="spellEnd"/>
      <w:r w:rsidR="002F195E">
        <w:rPr>
          <w:sz w:val="28"/>
          <w:szCs w:val="28"/>
        </w:rPr>
        <w:t xml:space="preserve"> Centro</w:t>
      </w:r>
      <w:r w:rsidR="00644C1A">
        <w:rPr>
          <w:sz w:val="28"/>
          <w:szCs w:val="28"/>
        </w:rPr>
        <w:t xml:space="preserve"> Master Plan”.  On the other hand, WEL was adamant that Annexure FA5 to its founding affidavit was indeed the Annexure 1 referred t</w:t>
      </w:r>
      <w:r w:rsidR="00001079">
        <w:rPr>
          <w:sz w:val="28"/>
          <w:szCs w:val="28"/>
        </w:rPr>
        <w:t>o in the Servitude Agreement</w:t>
      </w:r>
      <w:r w:rsidR="002F195E">
        <w:rPr>
          <w:sz w:val="28"/>
          <w:szCs w:val="28"/>
        </w:rPr>
        <w:t>.  WEL</w:t>
      </w:r>
      <w:r w:rsidR="00AC789D">
        <w:rPr>
          <w:sz w:val="28"/>
          <w:szCs w:val="28"/>
        </w:rPr>
        <w:t xml:space="preserve"> based its</w:t>
      </w:r>
      <w:r w:rsidR="00644C1A">
        <w:rPr>
          <w:sz w:val="28"/>
          <w:szCs w:val="28"/>
        </w:rPr>
        <w:t xml:space="preserve"> case on this proposition and that is the case which this court must adjudicate on</w:t>
      </w:r>
      <w:r w:rsidR="00001079">
        <w:rPr>
          <w:sz w:val="28"/>
          <w:szCs w:val="28"/>
        </w:rPr>
        <w:t>.</w:t>
      </w:r>
    </w:p>
    <w:p w:rsidR="00D7379B" w:rsidRPr="00E5152F" w:rsidRDefault="00073A85" w:rsidP="00073A85">
      <w:pPr>
        <w:pStyle w:val="MEMONUMBERED"/>
        <w:numPr>
          <w:ilvl w:val="0"/>
          <w:numId w:val="0"/>
        </w:numPr>
        <w:spacing w:after="360" w:line="360" w:lineRule="auto"/>
        <w:rPr>
          <w:sz w:val="28"/>
          <w:szCs w:val="28"/>
        </w:rPr>
      </w:pPr>
      <w:r w:rsidRPr="00E5152F">
        <w:rPr>
          <w:sz w:val="28"/>
          <w:szCs w:val="28"/>
        </w:rPr>
        <w:t>[11]</w:t>
      </w:r>
      <w:r w:rsidRPr="00E5152F">
        <w:rPr>
          <w:sz w:val="28"/>
          <w:szCs w:val="28"/>
        </w:rPr>
        <w:tab/>
      </w:r>
      <w:r w:rsidR="00001079">
        <w:rPr>
          <w:sz w:val="28"/>
          <w:szCs w:val="28"/>
        </w:rPr>
        <w:t xml:space="preserve">Said Annexure FA5 also featured as annexure CL9 to Century’s answering affidavit but on the </w:t>
      </w:r>
      <w:proofErr w:type="spellStart"/>
      <w:r w:rsidR="00001079">
        <w:rPr>
          <w:sz w:val="28"/>
          <w:szCs w:val="28"/>
        </w:rPr>
        <w:t>lastmentioned</w:t>
      </w:r>
      <w:proofErr w:type="spellEnd"/>
      <w:r w:rsidR="00001079">
        <w:rPr>
          <w:sz w:val="28"/>
          <w:szCs w:val="28"/>
        </w:rPr>
        <w:t xml:space="preserve"> annexure the different phases of the </w:t>
      </w:r>
      <w:r w:rsidR="00001079">
        <w:rPr>
          <w:sz w:val="28"/>
          <w:szCs w:val="28"/>
        </w:rPr>
        <w:lastRenderedPageBreak/>
        <w:t xml:space="preserve">development were </w:t>
      </w:r>
      <w:proofErr w:type="spellStart"/>
      <w:r w:rsidR="00001079">
        <w:rPr>
          <w:sz w:val="28"/>
          <w:szCs w:val="28"/>
        </w:rPr>
        <w:t>colour</w:t>
      </w:r>
      <w:proofErr w:type="spellEnd"/>
      <w:r w:rsidR="00001079">
        <w:rPr>
          <w:sz w:val="28"/>
          <w:szCs w:val="28"/>
        </w:rPr>
        <w:t>-coded to correspond to a table contained in the annexure/s.</w:t>
      </w:r>
    </w:p>
    <w:p w:rsidR="00D7379B" w:rsidRPr="00E5152F" w:rsidRDefault="00073A85" w:rsidP="00073A85">
      <w:pPr>
        <w:pStyle w:val="MEMONUMBERED"/>
        <w:numPr>
          <w:ilvl w:val="0"/>
          <w:numId w:val="0"/>
        </w:numPr>
        <w:spacing w:after="360" w:line="360" w:lineRule="auto"/>
        <w:rPr>
          <w:sz w:val="28"/>
          <w:szCs w:val="28"/>
        </w:rPr>
      </w:pPr>
      <w:r w:rsidRPr="00E5152F">
        <w:rPr>
          <w:sz w:val="28"/>
          <w:szCs w:val="28"/>
        </w:rPr>
        <w:t>[12]</w:t>
      </w:r>
      <w:r w:rsidRPr="00E5152F">
        <w:rPr>
          <w:sz w:val="28"/>
          <w:szCs w:val="28"/>
        </w:rPr>
        <w:tab/>
      </w:r>
      <w:r w:rsidR="00001079">
        <w:rPr>
          <w:sz w:val="28"/>
          <w:szCs w:val="28"/>
        </w:rPr>
        <w:t>It is necessary to describe the contents of</w:t>
      </w:r>
      <w:r w:rsidR="00AC789D">
        <w:rPr>
          <w:sz w:val="28"/>
          <w:szCs w:val="28"/>
        </w:rPr>
        <w:t xml:space="preserve"> these corresponding annexures</w:t>
      </w:r>
      <w:r w:rsidR="006533C7">
        <w:rPr>
          <w:sz w:val="28"/>
          <w:szCs w:val="28"/>
        </w:rPr>
        <w:t>, that is FA5 and CL</w:t>
      </w:r>
      <w:r w:rsidR="00601C59">
        <w:rPr>
          <w:sz w:val="28"/>
          <w:szCs w:val="28"/>
        </w:rPr>
        <w:t xml:space="preserve"> 9</w:t>
      </w:r>
      <w:r w:rsidR="00001079">
        <w:rPr>
          <w:sz w:val="28"/>
          <w:szCs w:val="28"/>
        </w:rPr>
        <w:t xml:space="preserve">.  The plan is indeed titled in bold capital printed script “PROPOSED CENTRO KAYALAMI DEVELOPMENT INDICATIVE DEVELOPMENT PHASES”.  It depicts </w:t>
      </w:r>
      <w:r w:rsidR="00AC789D">
        <w:rPr>
          <w:sz w:val="28"/>
          <w:szCs w:val="28"/>
        </w:rPr>
        <w:t>Alla</w:t>
      </w:r>
      <w:r w:rsidR="00D7379B">
        <w:rPr>
          <w:sz w:val="28"/>
          <w:szCs w:val="28"/>
        </w:rPr>
        <w:t>ndale</w:t>
      </w:r>
      <w:r w:rsidR="00001079">
        <w:rPr>
          <w:sz w:val="28"/>
          <w:szCs w:val="28"/>
        </w:rPr>
        <w:t xml:space="preserve"> Road on the north-eastern boundary of Mushroom Farm and a junction which appears to</w:t>
      </w:r>
      <w:r w:rsidR="002D7529">
        <w:rPr>
          <w:sz w:val="28"/>
          <w:szCs w:val="28"/>
        </w:rPr>
        <w:t xml:space="preserve"> be</w:t>
      </w:r>
      <w:r w:rsidR="00001079">
        <w:rPr>
          <w:sz w:val="28"/>
          <w:szCs w:val="28"/>
        </w:rPr>
        <w:t xml:space="preserve"> part</w:t>
      </w:r>
      <w:r w:rsidR="00AC789D">
        <w:rPr>
          <w:sz w:val="28"/>
          <w:szCs w:val="28"/>
        </w:rPr>
        <w:t>l</w:t>
      </w:r>
      <w:r w:rsidR="00001079">
        <w:rPr>
          <w:sz w:val="28"/>
          <w:szCs w:val="28"/>
        </w:rPr>
        <w:t>y</w:t>
      </w:r>
      <w:r w:rsidR="00AC789D">
        <w:rPr>
          <w:sz w:val="28"/>
          <w:szCs w:val="28"/>
        </w:rPr>
        <w:t xml:space="preserve"> on</w:t>
      </w:r>
      <w:r w:rsidR="00001079">
        <w:rPr>
          <w:sz w:val="28"/>
          <w:szCs w:val="28"/>
        </w:rPr>
        <w:t xml:space="preserve"> the 2007m² sliver of land described above.  It depicts a proposed route of a road and</w:t>
      </w:r>
      <w:r w:rsidR="00AC789D">
        <w:rPr>
          <w:sz w:val="28"/>
          <w:szCs w:val="28"/>
        </w:rPr>
        <w:t xml:space="preserve"> subsidiary roads through the p</w:t>
      </w:r>
      <w:r w:rsidR="00001079">
        <w:rPr>
          <w:sz w:val="28"/>
          <w:szCs w:val="28"/>
        </w:rPr>
        <w:t>r</w:t>
      </w:r>
      <w:r w:rsidR="00AC789D">
        <w:rPr>
          <w:sz w:val="28"/>
          <w:szCs w:val="28"/>
        </w:rPr>
        <w:t>o</w:t>
      </w:r>
      <w:r w:rsidR="00001079">
        <w:rPr>
          <w:sz w:val="28"/>
          <w:szCs w:val="28"/>
        </w:rPr>
        <w:t>posed development, to link up with a future provincial road K73 running along the north-western border of the Mushroom Farm.</w:t>
      </w:r>
    </w:p>
    <w:p w:rsidR="00001079" w:rsidRDefault="00073A85" w:rsidP="00073A85">
      <w:pPr>
        <w:pStyle w:val="MEMONUMBERED"/>
        <w:numPr>
          <w:ilvl w:val="0"/>
          <w:numId w:val="0"/>
        </w:numPr>
        <w:spacing w:after="360" w:line="360" w:lineRule="auto"/>
        <w:rPr>
          <w:sz w:val="28"/>
          <w:szCs w:val="28"/>
        </w:rPr>
      </w:pPr>
      <w:r>
        <w:rPr>
          <w:sz w:val="28"/>
          <w:szCs w:val="28"/>
        </w:rPr>
        <w:t>[13]</w:t>
      </w:r>
      <w:r>
        <w:rPr>
          <w:sz w:val="28"/>
          <w:szCs w:val="28"/>
        </w:rPr>
        <w:tab/>
      </w:r>
      <w:r w:rsidR="00001079">
        <w:rPr>
          <w:sz w:val="28"/>
          <w:szCs w:val="28"/>
        </w:rPr>
        <w:t>There are two blocks of print imposed on the plan, the first is a “legend” and the second depicts “Notes”.  The “Legend” reads as follows:</w:t>
      </w:r>
    </w:p>
    <w:p w:rsidR="00001079" w:rsidRDefault="00001079" w:rsidP="00E5152F">
      <w:pPr>
        <w:pStyle w:val="MEMONUMBERED"/>
        <w:numPr>
          <w:ilvl w:val="0"/>
          <w:numId w:val="0"/>
        </w:numPr>
        <w:spacing w:after="360" w:line="360" w:lineRule="auto"/>
        <w:ind w:left="709"/>
        <w:rPr>
          <w:sz w:val="28"/>
          <w:szCs w:val="28"/>
        </w:rPr>
      </w:pPr>
      <w:r>
        <w:rPr>
          <w:sz w:val="28"/>
          <w:szCs w:val="28"/>
        </w:rPr>
        <w:t>“LEGEND:</w:t>
      </w:r>
      <w:r>
        <w:rPr>
          <w:sz w:val="28"/>
          <w:szCs w:val="28"/>
        </w:rPr>
        <w:tab/>
        <w:t>RECOMMENDED PHASING OF ROAD IMPROVEMENTS – ROAD NETWORK PHASES:</w:t>
      </w:r>
    </w:p>
    <w:p w:rsidR="00001079" w:rsidRPr="00020463" w:rsidRDefault="00001079" w:rsidP="00E5152F">
      <w:pPr>
        <w:pStyle w:val="MEMONUMBERED"/>
        <w:numPr>
          <w:ilvl w:val="0"/>
          <w:numId w:val="0"/>
        </w:numPr>
        <w:spacing w:after="360" w:line="360" w:lineRule="auto"/>
        <w:ind w:left="2159" w:hanging="1450"/>
        <w:rPr>
          <w:sz w:val="28"/>
          <w:szCs w:val="28"/>
        </w:rPr>
      </w:pPr>
      <w:r>
        <w:rPr>
          <w:sz w:val="28"/>
          <w:szCs w:val="28"/>
        </w:rPr>
        <w:t>Phase I</w:t>
      </w:r>
      <w:r>
        <w:rPr>
          <w:sz w:val="28"/>
          <w:szCs w:val="28"/>
        </w:rPr>
        <w:tab/>
      </w:r>
      <w:r w:rsidRPr="00020463">
        <w:rPr>
          <w:sz w:val="28"/>
          <w:szCs w:val="28"/>
        </w:rPr>
        <w:t>Allandale road</w:t>
      </w:r>
      <w:r w:rsidR="00AC789D" w:rsidRPr="00020463">
        <w:rPr>
          <w:sz w:val="28"/>
          <w:szCs w:val="28"/>
        </w:rPr>
        <w:t xml:space="preserve"> (K</w:t>
      </w:r>
      <w:r w:rsidRPr="00020463">
        <w:rPr>
          <w:sz w:val="28"/>
          <w:szCs w:val="28"/>
        </w:rPr>
        <w:t>58) dual carriage-capacity for 230 000m² GLA of development generating 40% of the total expected trip generation.  The upgrade needs to be completed before any sites take occupation.</w:t>
      </w:r>
    </w:p>
    <w:p w:rsidR="00001079" w:rsidRPr="00020463" w:rsidRDefault="00001079" w:rsidP="00E5152F">
      <w:pPr>
        <w:pStyle w:val="MEMONUMBERED"/>
        <w:numPr>
          <w:ilvl w:val="0"/>
          <w:numId w:val="0"/>
        </w:numPr>
        <w:spacing w:after="360" w:line="360" w:lineRule="auto"/>
        <w:ind w:left="2159" w:hanging="1450"/>
        <w:rPr>
          <w:sz w:val="28"/>
          <w:szCs w:val="28"/>
        </w:rPr>
      </w:pPr>
      <w:r w:rsidRPr="00020463">
        <w:rPr>
          <w:sz w:val="28"/>
          <w:szCs w:val="28"/>
        </w:rPr>
        <w:t>Phase II</w:t>
      </w:r>
      <w:r w:rsidR="004B63B8" w:rsidRPr="00020463">
        <w:rPr>
          <w:sz w:val="28"/>
          <w:szCs w:val="28"/>
        </w:rPr>
        <w:tab/>
        <w:t xml:space="preserve">K73 one carriage way including a bridge across the </w:t>
      </w:r>
      <w:proofErr w:type="spellStart"/>
      <w:r w:rsidR="004B63B8" w:rsidRPr="00020463">
        <w:rPr>
          <w:sz w:val="28"/>
          <w:szCs w:val="28"/>
        </w:rPr>
        <w:t>Jukskei</w:t>
      </w:r>
      <w:proofErr w:type="spellEnd"/>
      <w:r w:rsidR="004B63B8" w:rsidRPr="00020463">
        <w:rPr>
          <w:sz w:val="28"/>
          <w:szCs w:val="28"/>
        </w:rPr>
        <w:t xml:space="preserve"> river.  This road to be completed before development above 280 000m² GLA takes occupation.  This phase of road upgrades will provide sufficient capacity for a further 30% of development, i.e. 210 000m² GLA or development generating 70% of th</w:t>
      </w:r>
      <w:r w:rsidR="00C72C9A" w:rsidRPr="00020463">
        <w:rPr>
          <w:sz w:val="28"/>
          <w:szCs w:val="28"/>
        </w:rPr>
        <w:t>e</w:t>
      </w:r>
      <w:r w:rsidR="004B63B8" w:rsidRPr="00020463">
        <w:rPr>
          <w:sz w:val="28"/>
          <w:szCs w:val="28"/>
        </w:rPr>
        <w:t xml:space="preserve"> total expected trip generation.</w:t>
      </w:r>
    </w:p>
    <w:p w:rsidR="00D7379B" w:rsidRPr="00020463" w:rsidRDefault="004B63B8" w:rsidP="00E5152F">
      <w:pPr>
        <w:pStyle w:val="MEMONUMBERED"/>
        <w:numPr>
          <w:ilvl w:val="0"/>
          <w:numId w:val="0"/>
        </w:numPr>
        <w:spacing w:after="360" w:line="360" w:lineRule="auto"/>
        <w:ind w:left="2159" w:hanging="1450"/>
        <w:rPr>
          <w:sz w:val="28"/>
          <w:szCs w:val="28"/>
        </w:rPr>
      </w:pPr>
      <w:r w:rsidRPr="00020463">
        <w:rPr>
          <w:sz w:val="28"/>
          <w:szCs w:val="28"/>
        </w:rPr>
        <w:lastRenderedPageBreak/>
        <w:t>Phase III</w:t>
      </w:r>
      <w:r w:rsidRPr="00020463">
        <w:rPr>
          <w:sz w:val="28"/>
          <w:szCs w:val="28"/>
        </w:rPr>
        <w:tab/>
        <w:t xml:space="preserve">K73 one </w:t>
      </w:r>
      <w:r w:rsidR="00E5152F" w:rsidRPr="00020463">
        <w:rPr>
          <w:sz w:val="28"/>
          <w:szCs w:val="28"/>
        </w:rPr>
        <w:t>carriageway including the Allen</w:t>
      </w:r>
      <w:r w:rsidRPr="00020463">
        <w:rPr>
          <w:sz w:val="28"/>
          <w:szCs w:val="28"/>
        </w:rPr>
        <w:t>dale/K73 intersection.  This road needs to be completed before development above 490 000m² GLA or development generating more than 70% of expected t</w:t>
      </w:r>
      <w:r w:rsidR="00AC789D" w:rsidRPr="00020463">
        <w:rPr>
          <w:sz w:val="28"/>
          <w:szCs w:val="28"/>
        </w:rPr>
        <w:t>rip generation takes occupation</w:t>
      </w:r>
      <w:r w:rsidRPr="00020463">
        <w:rPr>
          <w:sz w:val="28"/>
          <w:szCs w:val="28"/>
        </w:rPr>
        <w:t>.</w:t>
      </w:r>
    </w:p>
    <w:p w:rsidR="00001079" w:rsidRDefault="00073A85" w:rsidP="00073A85">
      <w:pPr>
        <w:pStyle w:val="MEMONUMBERED"/>
        <w:numPr>
          <w:ilvl w:val="0"/>
          <w:numId w:val="0"/>
        </w:numPr>
        <w:spacing w:after="360" w:line="360" w:lineRule="auto"/>
        <w:ind w:left="709" w:hanging="709"/>
        <w:rPr>
          <w:sz w:val="28"/>
          <w:szCs w:val="28"/>
        </w:rPr>
      </w:pPr>
      <w:r>
        <w:rPr>
          <w:sz w:val="28"/>
          <w:szCs w:val="28"/>
        </w:rPr>
        <w:t>[14]</w:t>
      </w:r>
      <w:r>
        <w:rPr>
          <w:sz w:val="28"/>
          <w:szCs w:val="28"/>
        </w:rPr>
        <w:tab/>
      </w:r>
      <w:r w:rsidR="00C419B7">
        <w:rPr>
          <w:sz w:val="28"/>
          <w:szCs w:val="28"/>
        </w:rPr>
        <w:t>The “Notes” read as follows:</w:t>
      </w:r>
    </w:p>
    <w:p w:rsidR="00C419B7" w:rsidRPr="00C419B7" w:rsidRDefault="00C419B7" w:rsidP="00E5152F">
      <w:pPr>
        <w:pStyle w:val="MEMONUMBERED"/>
        <w:numPr>
          <w:ilvl w:val="0"/>
          <w:numId w:val="0"/>
        </w:numPr>
        <w:spacing w:after="360" w:line="360" w:lineRule="auto"/>
        <w:ind w:left="1439" w:hanging="730"/>
        <w:rPr>
          <w:i/>
          <w:sz w:val="28"/>
          <w:szCs w:val="28"/>
        </w:rPr>
      </w:pPr>
      <w:r>
        <w:rPr>
          <w:sz w:val="28"/>
          <w:szCs w:val="28"/>
        </w:rPr>
        <w:t>“</w:t>
      </w:r>
      <w:r w:rsidR="00D7379B">
        <w:rPr>
          <w:i/>
          <w:sz w:val="28"/>
          <w:szCs w:val="28"/>
        </w:rPr>
        <w:t>1)</w:t>
      </w:r>
      <w:r w:rsidR="00D7379B">
        <w:rPr>
          <w:i/>
          <w:sz w:val="28"/>
          <w:szCs w:val="28"/>
        </w:rPr>
        <w:tab/>
        <w:t>T</w:t>
      </w:r>
      <w:r w:rsidRPr="00C419B7">
        <w:rPr>
          <w:i/>
          <w:sz w:val="28"/>
          <w:szCs w:val="28"/>
        </w:rPr>
        <w:t>he order in which the phases are implemented</w:t>
      </w:r>
      <w:r w:rsidR="00020463">
        <w:rPr>
          <w:i/>
          <w:sz w:val="28"/>
          <w:szCs w:val="28"/>
        </w:rPr>
        <w:t xml:space="preserve"> can be amended with approval f</w:t>
      </w:r>
      <w:r w:rsidRPr="00C419B7">
        <w:rPr>
          <w:i/>
          <w:sz w:val="28"/>
          <w:szCs w:val="28"/>
        </w:rPr>
        <w:t>r</w:t>
      </w:r>
      <w:r w:rsidR="00020463">
        <w:rPr>
          <w:i/>
          <w:sz w:val="28"/>
          <w:szCs w:val="28"/>
        </w:rPr>
        <w:t>o</w:t>
      </w:r>
      <w:r w:rsidRPr="00C419B7">
        <w:rPr>
          <w:i/>
          <w:sz w:val="28"/>
          <w:szCs w:val="28"/>
        </w:rPr>
        <w:t>m the Municipality.</w:t>
      </w:r>
    </w:p>
    <w:p w:rsidR="00C419B7" w:rsidRPr="00C419B7" w:rsidRDefault="00C419B7" w:rsidP="00E5152F">
      <w:pPr>
        <w:pStyle w:val="MEMONUMBERED"/>
        <w:numPr>
          <w:ilvl w:val="0"/>
          <w:numId w:val="0"/>
        </w:numPr>
        <w:spacing w:after="360" w:line="360" w:lineRule="auto"/>
        <w:ind w:left="1439" w:hanging="730"/>
        <w:rPr>
          <w:i/>
          <w:sz w:val="28"/>
          <w:szCs w:val="28"/>
        </w:rPr>
      </w:pPr>
      <w:r w:rsidRPr="00C419B7">
        <w:rPr>
          <w:i/>
          <w:sz w:val="28"/>
          <w:szCs w:val="28"/>
        </w:rPr>
        <w:t>2)</w:t>
      </w:r>
      <w:r w:rsidRPr="00C419B7">
        <w:rPr>
          <w:i/>
          <w:sz w:val="28"/>
          <w:szCs w:val="28"/>
        </w:rPr>
        <w:tab/>
        <w:t>During the implementation of the development phases it must be noted that the Allandale Road access can only accommodate 280 000m²</w:t>
      </w:r>
      <w:r w:rsidR="00020463">
        <w:rPr>
          <w:i/>
          <w:sz w:val="28"/>
          <w:szCs w:val="28"/>
        </w:rPr>
        <w:t xml:space="preserve"> development (or the equivale</w:t>
      </w:r>
      <w:r w:rsidRPr="00C419B7">
        <w:rPr>
          <w:i/>
          <w:sz w:val="28"/>
          <w:szCs w:val="28"/>
        </w:rPr>
        <w:t>nt traffic generation as detailed in the Arup traffic impact study).</w:t>
      </w:r>
    </w:p>
    <w:p w:rsidR="00C419B7" w:rsidRPr="00C419B7" w:rsidRDefault="00D7379B" w:rsidP="00E5152F">
      <w:pPr>
        <w:pStyle w:val="MEMONUMBERED"/>
        <w:numPr>
          <w:ilvl w:val="0"/>
          <w:numId w:val="0"/>
        </w:numPr>
        <w:spacing w:after="360" w:line="360" w:lineRule="auto"/>
        <w:ind w:left="1439" w:hanging="730"/>
        <w:rPr>
          <w:i/>
          <w:sz w:val="28"/>
          <w:szCs w:val="28"/>
        </w:rPr>
      </w:pPr>
      <w:r>
        <w:rPr>
          <w:i/>
          <w:sz w:val="28"/>
          <w:szCs w:val="28"/>
        </w:rPr>
        <w:t>3)</w:t>
      </w:r>
      <w:r>
        <w:rPr>
          <w:i/>
          <w:sz w:val="28"/>
          <w:szCs w:val="28"/>
        </w:rPr>
        <w:tab/>
        <w:t>P</w:t>
      </w:r>
      <w:r w:rsidR="00C419B7" w:rsidRPr="00C419B7">
        <w:rPr>
          <w:i/>
          <w:sz w:val="28"/>
          <w:szCs w:val="28"/>
        </w:rPr>
        <w:t>hases exceeding the 280 000m² bulk above should incorporate the link and access to read K73.</w:t>
      </w:r>
    </w:p>
    <w:p w:rsidR="00C419B7" w:rsidRPr="00C419B7" w:rsidRDefault="00C419B7" w:rsidP="00E5152F">
      <w:pPr>
        <w:pStyle w:val="MEMONUMBERED"/>
        <w:numPr>
          <w:ilvl w:val="0"/>
          <w:numId w:val="0"/>
        </w:numPr>
        <w:spacing w:after="360" w:line="360" w:lineRule="auto"/>
        <w:ind w:left="1439" w:hanging="730"/>
        <w:rPr>
          <w:i/>
          <w:sz w:val="28"/>
          <w:szCs w:val="28"/>
        </w:rPr>
      </w:pPr>
      <w:r w:rsidRPr="00C419B7">
        <w:rPr>
          <w:i/>
          <w:sz w:val="28"/>
          <w:szCs w:val="28"/>
        </w:rPr>
        <w:t>4)</w:t>
      </w:r>
      <w:r w:rsidRPr="00C419B7">
        <w:rPr>
          <w:i/>
          <w:sz w:val="28"/>
          <w:szCs w:val="28"/>
        </w:rPr>
        <w:tab/>
        <w:t>Each development phase is responsible for the implementation of the required internal road links to connect the external road.</w:t>
      </w:r>
    </w:p>
    <w:p w:rsidR="00C419B7" w:rsidRDefault="00C419B7" w:rsidP="00E5152F">
      <w:pPr>
        <w:pStyle w:val="MEMONUMBERED"/>
        <w:numPr>
          <w:ilvl w:val="0"/>
          <w:numId w:val="0"/>
        </w:numPr>
        <w:spacing w:after="360" w:line="360" w:lineRule="auto"/>
        <w:ind w:left="1439" w:hanging="730"/>
        <w:rPr>
          <w:sz w:val="28"/>
          <w:szCs w:val="28"/>
        </w:rPr>
      </w:pPr>
      <w:r w:rsidRPr="00C419B7">
        <w:rPr>
          <w:i/>
          <w:sz w:val="28"/>
          <w:szCs w:val="28"/>
        </w:rPr>
        <w:t>5)</w:t>
      </w:r>
      <w:r w:rsidRPr="00C419B7">
        <w:rPr>
          <w:i/>
          <w:sz w:val="28"/>
          <w:szCs w:val="28"/>
        </w:rPr>
        <w:tab/>
        <w:t>The capacity provided on the internal road links should be in accordance with the extent of phase serval by the link</w:t>
      </w:r>
      <w:r>
        <w:rPr>
          <w:sz w:val="28"/>
          <w:szCs w:val="28"/>
        </w:rPr>
        <w:t>”.</w:t>
      </w:r>
    </w:p>
    <w:p w:rsidR="00D7379B" w:rsidRDefault="00D7379B" w:rsidP="00E5152F">
      <w:pPr>
        <w:pStyle w:val="MEMONUMBERED"/>
        <w:numPr>
          <w:ilvl w:val="0"/>
          <w:numId w:val="0"/>
        </w:numPr>
        <w:spacing w:after="360" w:line="360" w:lineRule="auto"/>
        <w:ind w:left="1439" w:hanging="730"/>
        <w:rPr>
          <w:sz w:val="28"/>
          <w:szCs w:val="28"/>
        </w:rPr>
      </w:pPr>
    </w:p>
    <w:p w:rsidR="00D7379B" w:rsidRPr="00E5152F" w:rsidRDefault="00073A85" w:rsidP="00073A85">
      <w:pPr>
        <w:pStyle w:val="MEMONUMBERED"/>
        <w:numPr>
          <w:ilvl w:val="0"/>
          <w:numId w:val="0"/>
        </w:numPr>
        <w:spacing w:after="360" w:line="360" w:lineRule="auto"/>
        <w:rPr>
          <w:sz w:val="28"/>
          <w:szCs w:val="28"/>
        </w:rPr>
      </w:pPr>
      <w:r w:rsidRPr="00E5152F">
        <w:rPr>
          <w:sz w:val="28"/>
          <w:szCs w:val="28"/>
        </w:rPr>
        <w:t>[15]</w:t>
      </w:r>
      <w:r w:rsidRPr="00E5152F">
        <w:rPr>
          <w:sz w:val="28"/>
          <w:szCs w:val="28"/>
        </w:rPr>
        <w:tab/>
      </w:r>
      <w:r w:rsidR="00C419B7">
        <w:rPr>
          <w:sz w:val="28"/>
          <w:szCs w:val="28"/>
        </w:rPr>
        <w:t>The plan is identified at the bottom thereof as “PLAN6 (Revision 05) ACCESS TO PROPOSED TOWNSHIP KAYALAMI GARDENS ENTENSION 27”.</w:t>
      </w:r>
    </w:p>
    <w:p w:rsidR="00C419B7" w:rsidRPr="003E47FE" w:rsidRDefault="002D7529" w:rsidP="003E47FE">
      <w:pPr>
        <w:pStyle w:val="MEMONUMBERED"/>
        <w:numPr>
          <w:ilvl w:val="0"/>
          <w:numId w:val="0"/>
        </w:numPr>
        <w:spacing w:after="120" w:line="360" w:lineRule="auto"/>
        <w:rPr>
          <w:b/>
          <w:sz w:val="28"/>
          <w:szCs w:val="28"/>
        </w:rPr>
      </w:pPr>
      <w:r>
        <w:rPr>
          <w:b/>
          <w:sz w:val="28"/>
          <w:szCs w:val="28"/>
        </w:rPr>
        <w:lastRenderedPageBreak/>
        <w:t>Notarial Deed</w:t>
      </w:r>
    </w:p>
    <w:p w:rsidR="00C419B7" w:rsidRDefault="00073A85" w:rsidP="00073A85">
      <w:pPr>
        <w:pStyle w:val="MEMONUMBERED"/>
        <w:numPr>
          <w:ilvl w:val="0"/>
          <w:numId w:val="0"/>
        </w:numPr>
        <w:spacing w:after="360" w:line="360" w:lineRule="auto"/>
        <w:rPr>
          <w:sz w:val="28"/>
          <w:szCs w:val="28"/>
        </w:rPr>
      </w:pPr>
      <w:r>
        <w:rPr>
          <w:sz w:val="28"/>
          <w:szCs w:val="28"/>
        </w:rPr>
        <w:t>[16]</w:t>
      </w:r>
      <w:r>
        <w:rPr>
          <w:sz w:val="28"/>
          <w:szCs w:val="28"/>
        </w:rPr>
        <w:tab/>
      </w:r>
      <w:r w:rsidR="00C419B7">
        <w:rPr>
          <w:sz w:val="28"/>
          <w:szCs w:val="28"/>
        </w:rPr>
        <w:t>The “</w:t>
      </w:r>
      <w:r w:rsidR="00020463">
        <w:rPr>
          <w:sz w:val="28"/>
          <w:szCs w:val="28"/>
        </w:rPr>
        <w:t>NOTARIAL DEED OF R</w:t>
      </w:r>
      <w:r w:rsidR="00D7379B">
        <w:rPr>
          <w:sz w:val="28"/>
          <w:szCs w:val="28"/>
        </w:rPr>
        <w:t>ESTRAINT AND GRANT OF SERVITUDE” registered on 15 December 2012 as R02206/12 provides as follows:</w:t>
      </w:r>
    </w:p>
    <w:p w:rsidR="00D7379B" w:rsidRPr="00E5152F" w:rsidRDefault="00D7379B" w:rsidP="00E5152F">
      <w:pPr>
        <w:pStyle w:val="MEMONUMBERED"/>
        <w:numPr>
          <w:ilvl w:val="0"/>
          <w:numId w:val="0"/>
        </w:numPr>
        <w:spacing w:after="360" w:line="360" w:lineRule="auto"/>
        <w:ind w:left="1440"/>
        <w:rPr>
          <w:i/>
          <w:sz w:val="28"/>
          <w:szCs w:val="28"/>
        </w:rPr>
      </w:pPr>
      <w:r>
        <w:rPr>
          <w:sz w:val="28"/>
          <w:szCs w:val="28"/>
        </w:rPr>
        <w:t>“</w:t>
      </w:r>
      <w:r w:rsidR="00020463">
        <w:rPr>
          <w:i/>
          <w:sz w:val="28"/>
          <w:szCs w:val="28"/>
        </w:rPr>
        <w:t>WHEREAS Melville</w:t>
      </w:r>
      <w:r w:rsidRPr="00E5152F">
        <w:rPr>
          <w:i/>
          <w:sz w:val="28"/>
          <w:szCs w:val="28"/>
        </w:rPr>
        <w:t xml:space="preserve"> CC requires access to and the use of portion 1 Waterfall</w:t>
      </w:r>
      <w:r w:rsidR="00020463">
        <w:rPr>
          <w:i/>
          <w:sz w:val="28"/>
          <w:szCs w:val="28"/>
        </w:rPr>
        <w:t xml:space="preserve"> for roadway purposes AND WHERE</w:t>
      </w:r>
      <w:r w:rsidRPr="00E5152F">
        <w:rPr>
          <w:i/>
          <w:sz w:val="28"/>
          <w:szCs w:val="28"/>
        </w:rPr>
        <w:t>AS WEL has agreed to grant to Melville CC a servitude in perpetuity to gain ac</w:t>
      </w:r>
      <w:r w:rsidR="00E5152F" w:rsidRPr="00E5152F">
        <w:rPr>
          <w:i/>
          <w:sz w:val="28"/>
          <w:szCs w:val="28"/>
        </w:rPr>
        <w:t>c</w:t>
      </w:r>
      <w:r w:rsidRPr="00E5152F">
        <w:rPr>
          <w:i/>
          <w:sz w:val="28"/>
          <w:szCs w:val="28"/>
        </w:rPr>
        <w:t>ess to and use of Portion 1 of Waterfall for roadway purposes … NOW THEREFORE THESE PRESENTS WINESS:</w:t>
      </w:r>
    </w:p>
    <w:p w:rsidR="00D7379B" w:rsidRPr="00E5152F" w:rsidRDefault="00D7379B" w:rsidP="00E5152F">
      <w:pPr>
        <w:pStyle w:val="MEMONUMBERED"/>
        <w:numPr>
          <w:ilvl w:val="0"/>
          <w:numId w:val="0"/>
        </w:numPr>
        <w:spacing w:after="120" w:line="360" w:lineRule="auto"/>
        <w:rPr>
          <w:i/>
          <w:sz w:val="28"/>
          <w:szCs w:val="28"/>
        </w:rPr>
      </w:pPr>
      <w:r w:rsidRPr="00E5152F">
        <w:rPr>
          <w:i/>
          <w:sz w:val="28"/>
          <w:szCs w:val="28"/>
        </w:rPr>
        <w:tab/>
      </w:r>
      <w:r w:rsidRPr="00E5152F">
        <w:rPr>
          <w:i/>
          <w:sz w:val="28"/>
          <w:szCs w:val="28"/>
        </w:rPr>
        <w:tab/>
        <w:t>RESTRAINT:</w:t>
      </w:r>
    </w:p>
    <w:p w:rsidR="00A6543B" w:rsidRPr="00E5152F" w:rsidRDefault="00073A85" w:rsidP="00073A85">
      <w:pPr>
        <w:pStyle w:val="MEMONUMBERED"/>
        <w:numPr>
          <w:ilvl w:val="0"/>
          <w:numId w:val="0"/>
        </w:numPr>
        <w:spacing w:after="360" w:line="360" w:lineRule="auto"/>
        <w:ind w:left="2880" w:hanging="612"/>
        <w:rPr>
          <w:i/>
          <w:sz w:val="28"/>
          <w:szCs w:val="28"/>
        </w:rPr>
      </w:pPr>
      <w:r w:rsidRPr="00E5152F">
        <w:rPr>
          <w:i/>
          <w:sz w:val="28"/>
          <w:szCs w:val="28"/>
        </w:rPr>
        <w:t>1.</w:t>
      </w:r>
      <w:r w:rsidRPr="00E5152F">
        <w:rPr>
          <w:i/>
          <w:sz w:val="28"/>
          <w:szCs w:val="28"/>
        </w:rPr>
        <w:tab/>
      </w:r>
      <w:r w:rsidR="002614D4" w:rsidRPr="00E5152F">
        <w:rPr>
          <w:i/>
          <w:sz w:val="28"/>
          <w:szCs w:val="28"/>
        </w:rPr>
        <w:t>THAT the servitude agreement dated 26 August 2010 (a copy of which is filed in the protocol of the notary executing this Deed) (the “Principal Agreement”) entered into between inter alia WEL and Melville CC, remains binding on the said parties and their successors in title and that this servitude is in addition to and not in substitution of such Principal Agreement.</w:t>
      </w:r>
    </w:p>
    <w:p w:rsidR="00A6543B" w:rsidRPr="00E5152F" w:rsidRDefault="00073A85" w:rsidP="00073A85">
      <w:pPr>
        <w:pStyle w:val="MEMONUMBERED"/>
        <w:numPr>
          <w:ilvl w:val="0"/>
          <w:numId w:val="0"/>
        </w:numPr>
        <w:spacing w:after="360" w:line="360" w:lineRule="auto"/>
        <w:ind w:left="2880" w:hanging="612"/>
        <w:rPr>
          <w:i/>
          <w:sz w:val="28"/>
          <w:szCs w:val="28"/>
        </w:rPr>
      </w:pPr>
      <w:r w:rsidRPr="00E5152F">
        <w:rPr>
          <w:i/>
          <w:sz w:val="28"/>
          <w:szCs w:val="28"/>
        </w:rPr>
        <w:t>2.</w:t>
      </w:r>
      <w:r w:rsidRPr="00E5152F">
        <w:rPr>
          <w:i/>
          <w:sz w:val="28"/>
          <w:szCs w:val="28"/>
        </w:rPr>
        <w:tab/>
      </w:r>
      <w:r w:rsidR="002614D4" w:rsidRPr="00E5152F">
        <w:rPr>
          <w:i/>
          <w:sz w:val="28"/>
          <w:szCs w:val="28"/>
        </w:rPr>
        <w:t xml:space="preserve">THAT Melville CC has withdrawn all objections which have been lodged by Melville CC with all relevant authorities in respect of any existing application, made by or on behalf of WEL or WEL’s  successors in title assigns, for the establishment of a township and/or rezoning and/or subdivision and/or any other similar application (which </w:t>
      </w:r>
      <w:r w:rsidR="006B02C2" w:rsidRPr="00E5152F">
        <w:rPr>
          <w:i/>
          <w:sz w:val="28"/>
          <w:szCs w:val="28"/>
        </w:rPr>
        <w:t>application</w:t>
      </w:r>
      <w:r w:rsidR="002614D4" w:rsidRPr="00E5152F">
        <w:rPr>
          <w:i/>
          <w:sz w:val="28"/>
          <w:szCs w:val="28"/>
        </w:rPr>
        <w:t xml:space="preserve"> is to be interpreted in </w:t>
      </w:r>
      <w:r w:rsidR="00C72C9A" w:rsidRPr="00E5152F">
        <w:rPr>
          <w:i/>
          <w:sz w:val="28"/>
          <w:szCs w:val="28"/>
        </w:rPr>
        <w:t>its</w:t>
      </w:r>
      <w:r w:rsidR="002614D4" w:rsidRPr="00E5152F">
        <w:rPr>
          <w:i/>
          <w:sz w:val="28"/>
          <w:szCs w:val="28"/>
        </w:rPr>
        <w:t xml:space="preserve"> widest sense) on, in or over Portion 1 </w:t>
      </w:r>
      <w:proofErr w:type="spellStart"/>
      <w:r w:rsidR="002614D4" w:rsidRPr="00E5152F">
        <w:rPr>
          <w:i/>
          <w:sz w:val="28"/>
          <w:szCs w:val="28"/>
        </w:rPr>
        <w:t>Waterval</w:t>
      </w:r>
      <w:proofErr w:type="spellEnd"/>
      <w:r w:rsidR="002614D4" w:rsidRPr="00E5152F">
        <w:rPr>
          <w:i/>
          <w:sz w:val="28"/>
          <w:szCs w:val="28"/>
        </w:rPr>
        <w:t xml:space="preserve"> including such portions of the property originally </w:t>
      </w:r>
      <w:r w:rsidR="002614D4" w:rsidRPr="00E5152F">
        <w:rPr>
          <w:i/>
          <w:sz w:val="28"/>
          <w:szCs w:val="28"/>
        </w:rPr>
        <w:lastRenderedPageBreak/>
        <w:t xml:space="preserve">acquired by WEL which have since been </w:t>
      </w:r>
      <w:r w:rsidR="006B02C2" w:rsidRPr="00E5152F">
        <w:rPr>
          <w:i/>
          <w:sz w:val="28"/>
          <w:szCs w:val="28"/>
        </w:rPr>
        <w:t>subdivided</w:t>
      </w:r>
      <w:r w:rsidR="002614D4" w:rsidRPr="00E5152F">
        <w:rPr>
          <w:i/>
          <w:sz w:val="28"/>
          <w:szCs w:val="28"/>
        </w:rPr>
        <w:t xml:space="preserve"> and/or transferred by WEL or WEL’s </w:t>
      </w:r>
      <w:r w:rsidR="006B02C2" w:rsidRPr="00E5152F">
        <w:rPr>
          <w:i/>
          <w:sz w:val="28"/>
          <w:szCs w:val="28"/>
        </w:rPr>
        <w:t>successors in title and assigns to any third party.</w:t>
      </w:r>
    </w:p>
    <w:p w:rsidR="00A6543B" w:rsidRPr="00E5152F" w:rsidRDefault="00073A85" w:rsidP="00073A85">
      <w:pPr>
        <w:pStyle w:val="MEMONUMBERED"/>
        <w:numPr>
          <w:ilvl w:val="0"/>
          <w:numId w:val="0"/>
        </w:numPr>
        <w:spacing w:after="360" w:line="360" w:lineRule="auto"/>
        <w:ind w:left="2880" w:hanging="612"/>
        <w:rPr>
          <w:i/>
          <w:sz w:val="28"/>
          <w:szCs w:val="28"/>
        </w:rPr>
      </w:pPr>
      <w:r w:rsidRPr="00E5152F">
        <w:rPr>
          <w:i/>
          <w:sz w:val="28"/>
          <w:szCs w:val="28"/>
        </w:rPr>
        <w:t>3.</w:t>
      </w:r>
      <w:r w:rsidRPr="00E5152F">
        <w:rPr>
          <w:i/>
          <w:sz w:val="28"/>
          <w:szCs w:val="28"/>
        </w:rPr>
        <w:tab/>
      </w:r>
      <w:r w:rsidR="006B02C2" w:rsidRPr="00E5152F">
        <w:rPr>
          <w:i/>
          <w:sz w:val="28"/>
          <w:szCs w:val="28"/>
        </w:rPr>
        <w:t xml:space="preserve">THAT Melville CC shall not object to any future applications for the </w:t>
      </w:r>
      <w:r w:rsidR="00A6543B" w:rsidRPr="00E5152F">
        <w:rPr>
          <w:i/>
          <w:sz w:val="28"/>
          <w:szCs w:val="28"/>
        </w:rPr>
        <w:t>establishment</w:t>
      </w:r>
      <w:r w:rsidR="006B02C2" w:rsidRPr="00E5152F">
        <w:rPr>
          <w:i/>
          <w:sz w:val="28"/>
          <w:szCs w:val="28"/>
        </w:rPr>
        <w:t xml:space="preserve"> of a township and/or rezoning and/or subdivision and/or any other similar application (which application is to be interpreted in the widest </w:t>
      </w:r>
      <w:r w:rsidR="00A6543B" w:rsidRPr="00E5152F">
        <w:rPr>
          <w:i/>
          <w:sz w:val="28"/>
          <w:szCs w:val="28"/>
        </w:rPr>
        <w:t>sense</w:t>
      </w:r>
      <w:r w:rsidR="006B02C2" w:rsidRPr="00E5152F">
        <w:rPr>
          <w:i/>
          <w:sz w:val="28"/>
          <w:szCs w:val="28"/>
        </w:rPr>
        <w:t xml:space="preserve">), as contemplated in </w:t>
      </w:r>
      <w:r w:rsidR="00A6543B" w:rsidRPr="00E5152F">
        <w:rPr>
          <w:i/>
          <w:sz w:val="28"/>
          <w:szCs w:val="28"/>
        </w:rPr>
        <w:t>clause</w:t>
      </w:r>
      <w:r w:rsidR="006B02C2" w:rsidRPr="00E5152F">
        <w:rPr>
          <w:i/>
          <w:sz w:val="28"/>
          <w:szCs w:val="28"/>
        </w:rPr>
        <w:t xml:space="preserve"> 2 above, brought by WEL or WEL’s successors in title and assign and in addition thereto Melville cc agrees not to encourage, solicit or induce any third party to lodge such objection.</w:t>
      </w:r>
    </w:p>
    <w:p w:rsidR="00A6543B" w:rsidRPr="00E5152F" w:rsidRDefault="00073A85" w:rsidP="00073A85">
      <w:pPr>
        <w:pStyle w:val="MEMONUMBERED"/>
        <w:numPr>
          <w:ilvl w:val="0"/>
          <w:numId w:val="0"/>
        </w:numPr>
        <w:spacing w:after="360" w:line="360" w:lineRule="auto"/>
        <w:ind w:left="2880" w:hanging="612"/>
        <w:rPr>
          <w:i/>
          <w:sz w:val="28"/>
          <w:szCs w:val="28"/>
        </w:rPr>
      </w:pPr>
      <w:r w:rsidRPr="00E5152F">
        <w:rPr>
          <w:i/>
          <w:sz w:val="28"/>
          <w:szCs w:val="28"/>
        </w:rPr>
        <w:t>4.</w:t>
      </w:r>
      <w:r w:rsidRPr="00E5152F">
        <w:rPr>
          <w:i/>
          <w:sz w:val="28"/>
          <w:szCs w:val="28"/>
        </w:rPr>
        <w:tab/>
      </w:r>
      <w:r w:rsidR="006B02C2" w:rsidRPr="00E5152F">
        <w:rPr>
          <w:i/>
          <w:sz w:val="28"/>
          <w:szCs w:val="28"/>
        </w:rPr>
        <w:t xml:space="preserve">THAT all future development on, in or over Portion 2 </w:t>
      </w:r>
      <w:proofErr w:type="spellStart"/>
      <w:r w:rsidR="006B02C2" w:rsidRPr="00E5152F">
        <w:rPr>
          <w:i/>
          <w:sz w:val="28"/>
          <w:szCs w:val="28"/>
        </w:rPr>
        <w:t>Bothasfontein</w:t>
      </w:r>
      <w:proofErr w:type="spellEnd"/>
      <w:r w:rsidR="006B02C2" w:rsidRPr="00E5152F">
        <w:rPr>
          <w:i/>
          <w:sz w:val="28"/>
          <w:szCs w:val="28"/>
        </w:rPr>
        <w:t xml:space="preserve"> shall be substantially in accordance with the Kyalami Centro Master Plan, subject to such amendments as may be reasonably required by any relevant authority and/or Melville CC and as m</w:t>
      </w:r>
      <w:r w:rsidR="00C72C9A">
        <w:rPr>
          <w:i/>
          <w:sz w:val="28"/>
          <w:szCs w:val="28"/>
        </w:rPr>
        <w:t>a</w:t>
      </w:r>
      <w:r w:rsidR="006B02C2" w:rsidRPr="00E5152F">
        <w:rPr>
          <w:i/>
          <w:sz w:val="28"/>
          <w:szCs w:val="28"/>
        </w:rPr>
        <w:t xml:space="preserve">y be approved of by WEL, which shall not be unreasonably withheld or delayed.  In </w:t>
      </w:r>
      <w:proofErr w:type="gramStart"/>
      <w:r w:rsidR="006B02C2" w:rsidRPr="00E5152F">
        <w:rPr>
          <w:i/>
          <w:sz w:val="28"/>
          <w:szCs w:val="28"/>
        </w:rPr>
        <w:t>addition</w:t>
      </w:r>
      <w:proofErr w:type="gramEnd"/>
      <w:r w:rsidR="006B02C2" w:rsidRPr="00E5152F">
        <w:rPr>
          <w:i/>
          <w:sz w:val="28"/>
          <w:szCs w:val="28"/>
        </w:rPr>
        <w:t xml:space="preserve"> thereto no retail development exceeding 30 000 (thirty thousand) square </w:t>
      </w:r>
      <w:proofErr w:type="spellStart"/>
      <w:r w:rsidR="006B02C2" w:rsidRPr="00E5152F">
        <w:rPr>
          <w:i/>
          <w:sz w:val="28"/>
          <w:szCs w:val="28"/>
        </w:rPr>
        <w:t>metres</w:t>
      </w:r>
      <w:proofErr w:type="spellEnd"/>
      <w:r w:rsidR="006B02C2" w:rsidRPr="00E5152F">
        <w:rPr>
          <w:i/>
          <w:sz w:val="28"/>
          <w:szCs w:val="28"/>
        </w:rPr>
        <w:t xml:space="preserve"> of bulk area shall be developed on Portion 2 </w:t>
      </w:r>
      <w:proofErr w:type="spellStart"/>
      <w:r w:rsidR="006B02C2" w:rsidRPr="00E5152F">
        <w:rPr>
          <w:i/>
          <w:sz w:val="28"/>
          <w:szCs w:val="28"/>
        </w:rPr>
        <w:t>Bothasfontein</w:t>
      </w:r>
      <w:proofErr w:type="spellEnd"/>
      <w:r w:rsidR="006B02C2" w:rsidRPr="00E5152F">
        <w:rPr>
          <w:i/>
          <w:sz w:val="28"/>
          <w:szCs w:val="28"/>
        </w:rPr>
        <w:t>.</w:t>
      </w:r>
    </w:p>
    <w:p w:rsidR="006B02C2" w:rsidRPr="00E5152F" w:rsidRDefault="00073A85" w:rsidP="00073A85">
      <w:pPr>
        <w:pStyle w:val="MEMONUMBERED"/>
        <w:numPr>
          <w:ilvl w:val="0"/>
          <w:numId w:val="0"/>
        </w:numPr>
        <w:spacing w:after="360" w:line="360" w:lineRule="auto"/>
        <w:ind w:left="2880" w:hanging="612"/>
        <w:rPr>
          <w:i/>
          <w:sz w:val="28"/>
          <w:szCs w:val="28"/>
        </w:rPr>
      </w:pPr>
      <w:r w:rsidRPr="00E5152F">
        <w:rPr>
          <w:i/>
          <w:sz w:val="28"/>
          <w:szCs w:val="28"/>
        </w:rPr>
        <w:t>5.</w:t>
      </w:r>
      <w:r w:rsidRPr="00E5152F">
        <w:rPr>
          <w:i/>
          <w:sz w:val="28"/>
          <w:szCs w:val="28"/>
        </w:rPr>
        <w:tab/>
      </w:r>
      <w:r w:rsidR="006B02C2" w:rsidRPr="00E5152F">
        <w:rPr>
          <w:i/>
          <w:sz w:val="28"/>
          <w:szCs w:val="28"/>
        </w:rPr>
        <w:t xml:space="preserve">THAT condition 3 and 4 above be recorded against the title deed of Portion 2 </w:t>
      </w:r>
      <w:proofErr w:type="spellStart"/>
      <w:r w:rsidR="006B02C2" w:rsidRPr="00E5152F">
        <w:rPr>
          <w:i/>
          <w:sz w:val="28"/>
          <w:szCs w:val="28"/>
        </w:rPr>
        <w:t>Bothasfontein</w:t>
      </w:r>
      <w:proofErr w:type="spellEnd"/>
      <w:r w:rsidR="006B02C2" w:rsidRPr="00E5152F">
        <w:rPr>
          <w:i/>
          <w:sz w:val="28"/>
          <w:szCs w:val="28"/>
        </w:rPr>
        <w:t xml:space="preserve"> and shall be binding on the successors in title and assigns of Melville CC as owner of Portion 2 </w:t>
      </w:r>
      <w:proofErr w:type="spellStart"/>
      <w:r w:rsidR="006B02C2" w:rsidRPr="00E5152F">
        <w:rPr>
          <w:i/>
          <w:sz w:val="28"/>
          <w:szCs w:val="28"/>
        </w:rPr>
        <w:t>Bothasfontein</w:t>
      </w:r>
      <w:proofErr w:type="spellEnd"/>
      <w:r w:rsidR="006B02C2" w:rsidRPr="00E5152F">
        <w:rPr>
          <w:i/>
          <w:sz w:val="28"/>
          <w:szCs w:val="28"/>
        </w:rPr>
        <w:t>.</w:t>
      </w:r>
    </w:p>
    <w:p w:rsidR="006B02C2" w:rsidRPr="00E5152F" w:rsidRDefault="006B02C2" w:rsidP="00E5152F">
      <w:pPr>
        <w:pStyle w:val="MEMONUMBERED"/>
        <w:numPr>
          <w:ilvl w:val="0"/>
          <w:numId w:val="0"/>
        </w:numPr>
        <w:spacing w:after="120" w:line="360" w:lineRule="auto"/>
        <w:ind w:left="1440" w:firstLine="720"/>
        <w:rPr>
          <w:i/>
          <w:sz w:val="28"/>
          <w:szCs w:val="28"/>
        </w:rPr>
      </w:pPr>
      <w:r w:rsidRPr="00E5152F">
        <w:rPr>
          <w:i/>
          <w:sz w:val="28"/>
          <w:szCs w:val="28"/>
        </w:rPr>
        <w:lastRenderedPageBreak/>
        <w:t>GRANT OF SERVITUDE OF RIGHT OF WAY</w:t>
      </w:r>
    </w:p>
    <w:p w:rsidR="00A6543B" w:rsidRPr="00E5152F" w:rsidRDefault="00073A85" w:rsidP="00073A85">
      <w:pPr>
        <w:pStyle w:val="MEMONUMBERED"/>
        <w:numPr>
          <w:ilvl w:val="0"/>
          <w:numId w:val="0"/>
        </w:numPr>
        <w:spacing w:after="360" w:line="360" w:lineRule="auto"/>
        <w:ind w:left="2880" w:hanging="612"/>
        <w:rPr>
          <w:i/>
          <w:sz w:val="28"/>
          <w:szCs w:val="28"/>
        </w:rPr>
      </w:pPr>
      <w:r w:rsidRPr="00E5152F">
        <w:rPr>
          <w:i/>
          <w:sz w:val="28"/>
          <w:szCs w:val="28"/>
        </w:rPr>
        <w:t>6.</w:t>
      </w:r>
      <w:r w:rsidRPr="00E5152F">
        <w:rPr>
          <w:i/>
          <w:sz w:val="28"/>
          <w:szCs w:val="28"/>
        </w:rPr>
        <w:tab/>
      </w:r>
      <w:r w:rsidR="006B02C2" w:rsidRPr="00E5152F">
        <w:rPr>
          <w:i/>
          <w:sz w:val="28"/>
          <w:szCs w:val="28"/>
        </w:rPr>
        <w:t xml:space="preserve">THAT WEL hereby gives and grants to Melville CC, its successors in title and assigns of Melville CC as owner of Portion 2 </w:t>
      </w:r>
      <w:proofErr w:type="spellStart"/>
      <w:r w:rsidR="006B02C2" w:rsidRPr="00E5152F">
        <w:rPr>
          <w:i/>
          <w:sz w:val="28"/>
          <w:szCs w:val="28"/>
        </w:rPr>
        <w:t>Bothasfontien</w:t>
      </w:r>
      <w:proofErr w:type="spellEnd"/>
      <w:r w:rsidR="006B02C2" w:rsidRPr="00E5152F">
        <w:rPr>
          <w:i/>
          <w:sz w:val="28"/>
          <w:szCs w:val="28"/>
        </w:rPr>
        <w:t xml:space="preserve">.  A perpetual right of way and use over a portion of Portion 1 </w:t>
      </w:r>
      <w:proofErr w:type="spellStart"/>
      <w:r w:rsidR="006B02C2" w:rsidRPr="00E5152F">
        <w:rPr>
          <w:i/>
          <w:sz w:val="28"/>
          <w:szCs w:val="28"/>
        </w:rPr>
        <w:t>Waterval</w:t>
      </w:r>
      <w:proofErr w:type="spellEnd"/>
      <w:r w:rsidR="006B02C2" w:rsidRPr="00E5152F">
        <w:rPr>
          <w:i/>
          <w:sz w:val="28"/>
          <w:szCs w:val="28"/>
        </w:rPr>
        <w:t xml:space="preserve"> indicated by the figure ABCDA, measuring 2007 (two thousand and seven) square meters as indicated on diagram SG No. 4560/2010 (attached hereto) (hereinafter referred to as the “Servitude Area”) with the right to Melville CC to use the Servitude Area in perpetuity for roadway purposes.</w:t>
      </w:r>
    </w:p>
    <w:p w:rsidR="00A6543B" w:rsidRPr="00E5152F" w:rsidRDefault="00073A85" w:rsidP="00073A85">
      <w:pPr>
        <w:pStyle w:val="MEMONUMBERED"/>
        <w:numPr>
          <w:ilvl w:val="0"/>
          <w:numId w:val="0"/>
        </w:numPr>
        <w:spacing w:after="360" w:line="360" w:lineRule="auto"/>
        <w:ind w:left="2880" w:hanging="612"/>
        <w:rPr>
          <w:i/>
          <w:sz w:val="28"/>
          <w:szCs w:val="28"/>
        </w:rPr>
      </w:pPr>
      <w:r w:rsidRPr="00E5152F">
        <w:rPr>
          <w:i/>
          <w:sz w:val="28"/>
          <w:szCs w:val="28"/>
        </w:rPr>
        <w:t>7.</w:t>
      </w:r>
      <w:r w:rsidRPr="00E5152F">
        <w:rPr>
          <w:i/>
          <w:sz w:val="28"/>
          <w:szCs w:val="28"/>
        </w:rPr>
        <w:tab/>
      </w:r>
      <w:r w:rsidR="006B02C2" w:rsidRPr="00E5152F">
        <w:rPr>
          <w:i/>
          <w:sz w:val="28"/>
          <w:szCs w:val="28"/>
        </w:rPr>
        <w:t>THAT the public roadway within the Servitude Area shall be constructed by or on behalf of Melville CC and in accordance with the standards specification and phasing required by the relevant authority and as agreed between the parties in terms of the Principal Agreement.</w:t>
      </w:r>
    </w:p>
    <w:p w:rsidR="00A6543B" w:rsidRPr="00E5152F" w:rsidRDefault="00073A85" w:rsidP="00073A85">
      <w:pPr>
        <w:pStyle w:val="MEMONUMBERED"/>
        <w:numPr>
          <w:ilvl w:val="0"/>
          <w:numId w:val="0"/>
        </w:numPr>
        <w:spacing w:after="360" w:line="360" w:lineRule="auto"/>
        <w:ind w:left="2880" w:hanging="612"/>
        <w:rPr>
          <w:i/>
          <w:sz w:val="28"/>
          <w:szCs w:val="28"/>
        </w:rPr>
      </w:pPr>
      <w:r w:rsidRPr="00E5152F">
        <w:rPr>
          <w:i/>
          <w:sz w:val="28"/>
          <w:szCs w:val="28"/>
        </w:rPr>
        <w:t>8.</w:t>
      </w:r>
      <w:r w:rsidRPr="00E5152F">
        <w:rPr>
          <w:i/>
          <w:sz w:val="28"/>
          <w:szCs w:val="28"/>
        </w:rPr>
        <w:tab/>
      </w:r>
      <w:r w:rsidR="00A6543B" w:rsidRPr="00E5152F">
        <w:rPr>
          <w:i/>
          <w:sz w:val="28"/>
          <w:szCs w:val="28"/>
        </w:rPr>
        <w:t>THAT the cost of constructing the roadway shall be for the account of Melville CC.</w:t>
      </w:r>
    </w:p>
    <w:p w:rsidR="00A6543B" w:rsidRPr="00E5152F" w:rsidRDefault="00073A85" w:rsidP="00073A85">
      <w:pPr>
        <w:pStyle w:val="MEMONUMBERED"/>
        <w:numPr>
          <w:ilvl w:val="0"/>
          <w:numId w:val="0"/>
        </w:numPr>
        <w:spacing w:after="360" w:line="360" w:lineRule="auto"/>
        <w:ind w:left="2880" w:hanging="612"/>
        <w:rPr>
          <w:i/>
          <w:sz w:val="28"/>
          <w:szCs w:val="28"/>
        </w:rPr>
      </w:pPr>
      <w:r w:rsidRPr="00E5152F">
        <w:rPr>
          <w:i/>
          <w:sz w:val="28"/>
          <w:szCs w:val="28"/>
        </w:rPr>
        <w:t>17.</w:t>
      </w:r>
      <w:r w:rsidRPr="00E5152F">
        <w:rPr>
          <w:i/>
          <w:sz w:val="28"/>
          <w:szCs w:val="28"/>
        </w:rPr>
        <w:tab/>
      </w:r>
      <w:r w:rsidR="00A6543B" w:rsidRPr="00E5152F">
        <w:rPr>
          <w:i/>
          <w:sz w:val="28"/>
          <w:szCs w:val="28"/>
        </w:rPr>
        <w:t>THAT there shall be no consideration payable by Melville CC to WEL for or in respect of the rights hereby granted.</w:t>
      </w:r>
    </w:p>
    <w:p w:rsidR="00D7379B" w:rsidRPr="00E5152F" w:rsidRDefault="00073A85" w:rsidP="00073A85">
      <w:pPr>
        <w:pStyle w:val="MEMONUMBERED"/>
        <w:numPr>
          <w:ilvl w:val="0"/>
          <w:numId w:val="0"/>
        </w:numPr>
        <w:spacing w:after="360" w:line="360" w:lineRule="auto"/>
        <w:ind w:left="2880" w:hanging="612"/>
        <w:rPr>
          <w:sz w:val="28"/>
          <w:szCs w:val="28"/>
        </w:rPr>
      </w:pPr>
      <w:r w:rsidRPr="00E5152F">
        <w:rPr>
          <w:sz w:val="28"/>
          <w:szCs w:val="28"/>
        </w:rPr>
        <w:t>18.</w:t>
      </w:r>
      <w:r w:rsidRPr="00E5152F">
        <w:rPr>
          <w:sz w:val="28"/>
          <w:szCs w:val="28"/>
        </w:rPr>
        <w:tab/>
      </w:r>
      <w:r w:rsidR="00A6543B" w:rsidRPr="00E5152F">
        <w:rPr>
          <w:i/>
          <w:sz w:val="28"/>
          <w:szCs w:val="28"/>
        </w:rPr>
        <w:t xml:space="preserve">THAT </w:t>
      </w:r>
      <w:proofErr w:type="spellStart"/>
      <w:r w:rsidR="00A6543B" w:rsidRPr="00E5152F">
        <w:rPr>
          <w:i/>
          <w:sz w:val="28"/>
          <w:szCs w:val="28"/>
        </w:rPr>
        <w:t>Melvile</w:t>
      </w:r>
      <w:proofErr w:type="spellEnd"/>
      <w:r w:rsidR="00A6543B" w:rsidRPr="00E5152F">
        <w:rPr>
          <w:i/>
          <w:sz w:val="28"/>
          <w:szCs w:val="28"/>
        </w:rPr>
        <w:t xml:space="preserve"> CC shall be obliged to proceed with the construction of the roadway in accordance with the provisions of clause 5 of the Principal Agreement</w:t>
      </w:r>
      <w:r w:rsidR="00E5152F">
        <w:rPr>
          <w:sz w:val="28"/>
          <w:szCs w:val="28"/>
        </w:rPr>
        <w:t>”.</w:t>
      </w:r>
      <w:r w:rsidR="00D7379B" w:rsidRPr="00E5152F">
        <w:rPr>
          <w:sz w:val="28"/>
          <w:szCs w:val="28"/>
        </w:rPr>
        <w:tab/>
      </w:r>
      <w:r w:rsidR="00D7379B" w:rsidRPr="00E5152F">
        <w:rPr>
          <w:sz w:val="28"/>
          <w:szCs w:val="28"/>
        </w:rPr>
        <w:tab/>
      </w:r>
    </w:p>
    <w:p w:rsidR="00D7379B" w:rsidRPr="003E47FE" w:rsidRDefault="00D7379B" w:rsidP="00E5152F">
      <w:pPr>
        <w:pStyle w:val="MEMONUMBERED"/>
        <w:numPr>
          <w:ilvl w:val="0"/>
          <w:numId w:val="0"/>
        </w:numPr>
        <w:spacing w:after="120" w:line="360" w:lineRule="auto"/>
        <w:rPr>
          <w:b/>
          <w:sz w:val="28"/>
          <w:szCs w:val="28"/>
        </w:rPr>
      </w:pPr>
      <w:r w:rsidRPr="003E47FE">
        <w:rPr>
          <w:b/>
          <w:sz w:val="28"/>
          <w:szCs w:val="28"/>
        </w:rPr>
        <w:lastRenderedPageBreak/>
        <w:t xml:space="preserve">Subsequent events and alleged breaches </w:t>
      </w:r>
    </w:p>
    <w:p w:rsidR="00FD2BB9" w:rsidRPr="00E5152F" w:rsidRDefault="00073A85" w:rsidP="00073A85">
      <w:pPr>
        <w:pStyle w:val="MEMONUMBERED"/>
        <w:numPr>
          <w:ilvl w:val="0"/>
          <w:numId w:val="0"/>
        </w:numPr>
        <w:spacing w:after="360" w:line="360" w:lineRule="auto"/>
        <w:rPr>
          <w:sz w:val="28"/>
          <w:szCs w:val="28"/>
        </w:rPr>
      </w:pPr>
      <w:r w:rsidRPr="00E5152F">
        <w:rPr>
          <w:sz w:val="28"/>
          <w:szCs w:val="28"/>
        </w:rPr>
        <w:t>[17]</w:t>
      </w:r>
      <w:r w:rsidRPr="00E5152F">
        <w:rPr>
          <w:sz w:val="28"/>
          <w:szCs w:val="28"/>
        </w:rPr>
        <w:tab/>
      </w:r>
      <w:r w:rsidR="00D7379B">
        <w:rPr>
          <w:sz w:val="28"/>
          <w:szCs w:val="28"/>
        </w:rPr>
        <w:t xml:space="preserve">In 2017 Century, having bought the Mushroom Farm from Melville, applied for and obtained approval from the </w:t>
      </w:r>
      <w:proofErr w:type="spellStart"/>
      <w:r w:rsidR="00D7379B">
        <w:rPr>
          <w:sz w:val="28"/>
          <w:szCs w:val="28"/>
        </w:rPr>
        <w:t>CoJ</w:t>
      </w:r>
      <w:proofErr w:type="spellEnd"/>
      <w:r w:rsidR="00D7379B">
        <w:rPr>
          <w:sz w:val="28"/>
          <w:szCs w:val="28"/>
        </w:rPr>
        <w:t xml:space="preserve"> to amend the initial precinct plan for the development.</w:t>
      </w:r>
      <w:r w:rsidR="00B05331">
        <w:rPr>
          <w:sz w:val="28"/>
          <w:szCs w:val="28"/>
        </w:rPr>
        <w:t xml:space="preserve">  The amendment was made i</w:t>
      </w:r>
      <w:r w:rsidR="00020463">
        <w:rPr>
          <w:sz w:val="28"/>
          <w:szCs w:val="28"/>
        </w:rPr>
        <w:t>n terms of the Town Planning &amp; T</w:t>
      </w:r>
      <w:r w:rsidR="00B05331">
        <w:rPr>
          <w:sz w:val="28"/>
          <w:szCs w:val="28"/>
        </w:rPr>
        <w:t>ownships Ordinance 15 o</w:t>
      </w:r>
      <w:r w:rsidR="00020463">
        <w:rPr>
          <w:sz w:val="28"/>
          <w:szCs w:val="28"/>
        </w:rPr>
        <w:t>f</w:t>
      </w:r>
      <w:r w:rsidR="00B05331">
        <w:rPr>
          <w:sz w:val="28"/>
          <w:szCs w:val="28"/>
        </w:rPr>
        <w:t xml:space="preserve"> 1986 and the Johannesburg Metropolitan Municipality Spatial Planning and Land Use Management Bylaw 2016.  The precinct plan which was amended was a plan previously approved by the </w:t>
      </w:r>
      <w:proofErr w:type="spellStart"/>
      <w:r w:rsidR="00B05331">
        <w:rPr>
          <w:sz w:val="28"/>
          <w:szCs w:val="28"/>
        </w:rPr>
        <w:t>CoJ</w:t>
      </w:r>
      <w:proofErr w:type="spellEnd"/>
      <w:r w:rsidR="00B05331">
        <w:rPr>
          <w:sz w:val="28"/>
          <w:szCs w:val="28"/>
        </w:rPr>
        <w:t xml:space="preserve"> as a Precinct Plan in respect of Erf 3 of </w:t>
      </w:r>
      <w:proofErr w:type="spellStart"/>
      <w:r w:rsidR="00B05331">
        <w:rPr>
          <w:sz w:val="28"/>
          <w:szCs w:val="28"/>
        </w:rPr>
        <w:t>Kayalami</w:t>
      </w:r>
      <w:proofErr w:type="spellEnd"/>
      <w:r w:rsidR="00B05331">
        <w:rPr>
          <w:sz w:val="28"/>
          <w:szCs w:val="28"/>
        </w:rPr>
        <w:t xml:space="preserve"> Gardens</w:t>
      </w:r>
      <w:r w:rsidR="00020463">
        <w:rPr>
          <w:sz w:val="28"/>
          <w:szCs w:val="28"/>
        </w:rPr>
        <w:t xml:space="preserve"> Ext 27 on 30 October 2010.  This original P</w:t>
      </w:r>
      <w:r w:rsidR="00B05331">
        <w:rPr>
          <w:sz w:val="28"/>
          <w:szCs w:val="28"/>
        </w:rPr>
        <w:t>recinct Plan, together with the approval for development of a township on the Mushroom Farm provided inter</w:t>
      </w:r>
      <w:r w:rsidR="00020463">
        <w:rPr>
          <w:sz w:val="28"/>
          <w:szCs w:val="28"/>
        </w:rPr>
        <w:t xml:space="preserve"> </w:t>
      </w:r>
      <w:r w:rsidR="00B05331">
        <w:rPr>
          <w:sz w:val="28"/>
          <w:szCs w:val="28"/>
        </w:rPr>
        <w:t>alia for division of the township into four erven and 19 “precinct</w:t>
      </w:r>
      <w:r w:rsidR="00020463">
        <w:rPr>
          <w:sz w:val="28"/>
          <w:szCs w:val="28"/>
        </w:rPr>
        <w:t>s</w:t>
      </w:r>
      <w:r w:rsidR="00B05331">
        <w:rPr>
          <w:sz w:val="28"/>
          <w:szCs w:val="28"/>
        </w:rPr>
        <w:t>” and 30 000m² land use area for shops and 525 000m² of resident</w:t>
      </w:r>
      <w:r w:rsidR="00020463">
        <w:rPr>
          <w:sz w:val="28"/>
          <w:szCs w:val="28"/>
        </w:rPr>
        <w:t>ial buildings.  It also provided</w:t>
      </w:r>
      <w:r w:rsidR="00B05331">
        <w:rPr>
          <w:sz w:val="28"/>
          <w:szCs w:val="28"/>
        </w:rPr>
        <w:t xml:space="preserve"> for a place of instruction, but I shall deal with this topic separately later.  The total developmental area was 745 000m².  </w:t>
      </w:r>
      <w:r w:rsidR="00020463">
        <w:rPr>
          <w:sz w:val="28"/>
          <w:szCs w:val="28"/>
        </w:rPr>
        <w:t>I</w:t>
      </w:r>
      <w:r w:rsidR="00B05331">
        <w:rPr>
          <w:sz w:val="28"/>
          <w:szCs w:val="28"/>
        </w:rPr>
        <w:t>t also provided for “open space areas”.</w:t>
      </w:r>
    </w:p>
    <w:p w:rsidR="00FD2BB9" w:rsidRPr="00E5152F" w:rsidRDefault="00073A85" w:rsidP="00073A85">
      <w:pPr>
        <w:pStyle w:val="MEMONUMBERED"/>
        <w:numPr>
          <w:ilvl w:val="0"/>
          <w:numId w:val="0"/>
        </w:numPr>
        <w:spacing w:after="360" w:line="360" w:lineRule="auto"/>
        <w:rPr>
          <w:sz w:val="28"/>
          <w:szCs w:val="28"/>
        </w:rPr>
      </w:pPr>
      <w:r w:rsidRPr="00E5152F">
        <w:rPr>
          <w:sz w:val="28"/>
          <w:szCs w:val="28"/>
        </w:rPr>
        <w:t>[18]</w:t>
      </w:r>
      <w:r w:rsidRPr="00E5152F">
        <w:rPr>
          <w:sz w:val="28"/>
          <w:szCs w:val="28"/>
        </w:rPr>
        <w:tab/>
      </w:r>
      <w:r w:rsidR="00B05331">
        <w:rPr>
          <w:sz w:val="28"/>
          <w:szCs w:val="28"/>
        </w:rPr>
        <w:t>The amendme</w:t>
      </w:r>
      <w:r w:rsidR="00020463">
        <w:rPr>
          <w:sz w:val="28"/>
          <w:szCs w:val="28"/>
        </w:rPr>
        <w:t>nt to the Precinct Plan approved</w:t>
      </w:r>
      <w:r w:rsidR="00B05331">
        <w:rPr>
          <w:sz w:val="28"/>
          <w:szCs w:val="28"/>
        </w:rPr>
        <w:t xml:space="preserve"> by the </w:t>
      </w:r>
      <w:proofErr w:type="spellStart"/>
      <w:r w:rsidR="00B05331">
        <w:rPr>
          <w:sz w:val="28"/>
          <w:szCs w:val="28"/>
        </w:rPr>
        <w:t>CoJ</w:t>
      </w:r>
      <w:proofErr w:type="spellEnd"/>
      <w:r w:rsidR="00B05331">
        <w:rPr>
          <w:sz w:val="28"/>
          <w:szCs w:val="28"/>
        </w:rPr>
        <w:t xml:space="preserve"> in 2017 provided for division of the township into 22 erven and 10 “precincts” or phases.  The configuration of the internal roads </w:t>
      </w:r>
      <w:proofErr w:type="gramStart"/>
      <w:r w:rsidR="00B05331">
        <w:rPr>
          <w:sz w:val="28"/>
          <w:szCs w:val="28"/>
        </w:rPr>
        <w:t>were</w:t>
      </w:r>
      <w:proofErr w:type="gramEnd"/>
      <w:r w:rsidR="00B05331">
        <w:rPr>
          <w:sz w:val="28"/>
          <w:szCs w:val="28"/>
        </w:rPr>
        <w:t xml:space="preserve"> amended and their width was increased in accordance with requirements imposed by </w:t>
      </w:r>
      <w:proofErr w:type="spellStart"/>
      <w:r w:rsidR="00B05331">
        <w:rPr>
          <w:sz w:val="28"/>
          <w:szCs w:val="28"/>
        </w:rPr>
        <w:t>Gautrans</w:t>
      </w:r>
      <w:proofErr w:type="spellEnd"/>
      <w:r w:rsidR="00B05331">
        <w:rPr>
          <w:sz w:val="28"/>
          <w:szCs w:val="28"/>
        </w:rPr>
        <w:t xml:space="preserve"> and the Johannesburg Roads Agency (JRA).  The extent of open space area was also</w:t>
      </w:r>
      <w:r w:rsidR="0075514B">
        <w:rPr>
          <w:sz w:val="28"/>
          <w:szCs w:val="28"/>
        </w:rPr>
        <w:t xml:space="preserve"> substantially increased, resulting in a decrease of the development land.  Further requirements imposed by the </w:t>
      </w:r>
      <w:proofErr w:type="spellStart"/>
      <w:r w:rsidR="0075514B">
        <w:rPr>
          <w:sz w:val="28"/>
          <w:szCs w:val="28"/>
        </w:rPr>
        <w:t>CoJ</w:t>
      </w:r>
      <w:proofErr w:type="spellEnd"/>
      <w:r w:rsidR="0075514B">
        <w:rPr>
          <w:sz w:val="28"/>
          <w:szCs w:val="28"/>
        </w:rPr>
        <w:t xml:space="preserve"> reduced the developable floor area to 590 500m².  the amendment also provided for the subdivision of the Mushroom Farm into </w:t>
      </w:r>
      <w:proofErr w:type="spellStart"/>
      <w:r w:rsidR="0075514B">
        <w:rPr>
          <w:sz w:val="28"/>
          <w:szCs w:val="28"/>
        </w:rPr>
        <w:t>Kayalami</w:t>
      </w:r>
      <w:proofErr w:type="spellEnd"/>
      <w:r w:rsidR="0075514B">
        <w:rPr>
          <w:sz w:val="28"/>
          <w:szCs w:val="28"/>
        </w:rPr>
        <w:t xml:space="preserve"> Gardens Extensions 34 to 43.</w:t>
      </w:r>
    </w:p>
    <w:p w:rsidR="00FD2BB9" w:rsidRPr="00E5152F" w:rsidRDefault="00073A85" w:rsidP="00073A85">
      <w:pPr>
        <w:pStyle w:val="MEMONUMBERED"/>
        <w:numPr>
          <w:ilvl w:val="0"/>
          <w:numId w:val="0"/>
        </w:numPr>
        <w:spacing w:after="360" w:line="360" w:lineRule="auto"/>
        <w:rPr>
          <w:sz w:val="28"/>
          <w:szCs w:val="28"/>
        </w:rPr>
      </w:pPr>
      <w:r w:rsidRPr="00E5152F">
        <w:rPr>
          <w:sz w:val="28"/>
          <w:szCs w:val="28"/>
        </w:rPr>
        <w:t>[19]</w:t>
      </w:r>
      <w:r w:rsidRPr="00E5152F">
        <w:rPr>
          <w:sz w:val="28"/>
          <w:szCs w:val="28"/>
        </w:rPr>
        <w:tab/>
      </w:r>
      <w:r w:rsidR="0075514B">
        <w:rPr>
          <w:sz w:val="28"/>
          <w:szCs w:val="28"/>
        </w:rPr>
        <w:t>The commencement of construction and earthworks relating to the development approved in</w:t>
      </w:r>
      <w:r w:rsidR="00020463">
        <w:rPr>
          <w:sz w:val="28"/>
          <w:szCs w:val="28"/>
        </w:rPr>
        <w:t xml:space="preserve"> terms of the amended Precinct P</w:t>
      </w:r>
      <w:r w:rsidR="0075514B">
        <w:rPr>
          <w:sz w:val="28"/>
          <w:szCs w:val="28"/>
        </w:rPr>
        <w:t>lan, stated in February 2018 on Extension 34.  At the time of hearing of the interdict application, it was common cause that all the “internal” bulk services, including water</w:t>
      </w:r>
      <w:proofErr w:type="gramStart"/>
      <w:r w:rsidR="0075514B">
        <w:rPr>
          <w:sz w:val="28"/>
          <w:szCs w:val="28"/>
        </w:rPr>
        <w:t>-</w:t>
      </w:r>
      <w:r w:rsidR="002D7529">
        <w:rPr>
          <w:sz w:val="28"/>
          <w:szCs w:val="28"/>
        </w:rPr>
        <w:t>,sewage</w:t>
      </w:r>
      <w:proofErr w:type="gramEnd"/>
      <w:r w:rsidR="002D7529">
        <w:rPr>
          <w:sz w:val="28"/>
          <w:szCs w:val="28"/>
        </w:rPr>
        <w:t xml:space="preserve"> </w:t>
      </w:r>
      <w:r w:rsidR="0075514B">
        <w:rPr>
          <w:sz w:val="28"/>
          <w:szCs w:val="28"/>
        </w:rPr>
        <w:t xml:space="preserve">and </w:t>
      </w:r>
      <w:r w:rsidR="0075514B">
        <w:rPr>
          <w:sz w:val="28"/>
          <w:szCs w:val="28"/>
        </w:rPr>
        <w:lastRenderedPageBreak/>
        <w:t>electrical reticulation and other works relating to the road network, both in relation to connecting roads, junctions and internal roads save for the proposed K-73</w:t>
      </w:r>
      <w:r w:rsidR="00FD2BB9">
        <w:rPr>
          <w:sz w:val="28"/>
          <w:szCs w:val="28"/>
        </w:rPr>
        <w:t>, had been completed.  The development of Extension</w:t>
      </w:r>
      <w:r w:rsidR="002D7529">
        <w:rPr>
          <w:sz w:val="28"/>
          <w:szCs w:val="28"/>
        </w:rPr>
        <w:t>s</w:t>
      </w:r>
      <w:r w:rsidR="00FD2BB9">
        <w:rPr>
          <w:sz w:val="28"/>
          <w:szCs w:val="28"/>
        </w:rPr>
        <w:t xml:space="preserve"> 34 and 35 had also been completed.  This was done by Precin</w:t>
      </w:r>
      <w:r w:rsidR="00020463">
        <w:rPr>
          <w:sz w:val="28"/>
          <w:szCs w:val="28"/>
        </w:rPr>
        <w:t>ct (who had in the meantime beco</w:t>
      </w:r>
      <w:r w:rsidR="00FD2BB9">
        <w:rPr>
          <w:sz w:val="28"/>
          <w:szCs w:val="28"/>
        </w:rPr>
        <w:t xml:space="preserve">me the owner of these </w:t>
      </w:r>
      <w:proofErr w:type="spellStart"/>
      <w:r w:rsidR="00FD2BB9">
        <w:rPr>
          <w:sz w:val="28"/>
          <w:szCs w:val="28"/>
        </w:rPr>
        <w:t>to</w:t>
      </w:r>
      <w:proofErr w:type="spellEnd"/>
      <w:r w:rsidR="00FD2BB9">
        <w:rPr>
          <w:sz w:val="28"/>
          <w:szCs w:val="28"/>
        </w:rPr>
        <w:t xml:space="preserve"> parcels of land) at a cost of some R 600 million.</w:t>
      </w:r>
      <w:r w:rsidR="0075514B">
        <w:rPr>
          <w:sz w:val="28"/>
          <w:szCs w:val="28"/>
        </w:rPr>
        <w:t xml:space="preserve"> </w:t>
      </w:r>
      <w:r w:rsidR="00B05331">
        <w:rPr>
          <w:sz w:val="28"/>
          <w:szCs w:val="28"/>
        </w:rPr>
        <w:t xml:space="preserve"> </w:t>
      </w:r>
    </w:p>
    <w:p w:rsidR="00950619" w:rsidRPr="00E5152F" w:rsidRDefault="00073A85" w:rsidP="00073A85">
      <w:pPr>
        <w:pStyle w:val="MEMONUMBERED"/>
        <w:numPr>
          <w:ilvl w:val="0"/>
          <w:numId w:val="0"/>
        </w:numPr>
        <w:spacing w:after="360" w:line="360" w:lineRule="auto"/>
        <w:rPr>
          <w:sz w:val="28"/>
          <w:szCs w:val="28"/>
        </w:rPr>
      </w:pPr>
      <w:r w:rsidRPr="00E5152F">
        <w:rPr>
          <w:sz w:val="28"/>
          <w:szCs w:val="28"/>
        </w:rPr>
        <w:t>[20]</w:t>
      </w:r>
      <w:r w:rsidRPr="00E5152F">
        <w:rPr>
          <w:sz w:val="28"/>
          <w:szCs w:val="28"/>
        </w:rPr>
        <w:tab/>
      </w:r>
      <w:r w:rsidR="00FD2BB9">
        <w:rPr>
          <w:sz w:val="28"/>
          <w:szCs w:val="28"/>
        </w:rPr>
        <w:t xml:space="preserve">WEL had two principal objections to the commencement and continuation of the developments in terms of the 2017 </w:t>
      </w:r>
      <w:proofErr w:type="spellStart"/>
      <w:r w:rsidR="00FD2BB9">
        <w:rPr>
          <w:sz w:val="28"/>
          <w:szCs w:val="28"/>
        </w:rPr>
        <w:t>CoJ</w:t>
      </w:r>
      <w:proofErr w:type="spellEnd"/>
      <w:r w:rsidR="00FD2BB9">
        <w:rPr>
          <w:sz w:val="28"/>
          <w:szCs w:val="28"/>
        </w:rPr>
        <w:t xml:space="preserve"> approved amend</w:t>
      </w:r>
      <w:r w:rsidR="00020463">
        <w:rPr>
          <w:sz w:val="28"/>
          <w:szCs w:val="28"/>
        </w:rPr>
        <w:t>ed Precinct Plan</w:t>
      </w:r>
      <w:r w:rsidR="00FD2BB9">
        <w:rPr>
          <w:sz w:val="28"/>
          <w:szCs w:val="28"/>
        </w:rPr>
        <w:t xml:space="preserve"> by both Century and Precinct.  The first principal objection was that the amendment was approved by the </w:t>
      </w:r>
      <w:proofErr w:type="spellStart"/>
      <w:r w:rsidR="00FD2BB9">
        <w:rPr>
          <w:sz w:val="28"/>
          <w:szCs w:val="28"/>
        </w:rPr>
        <w:t>CoJ</w:t>
      </w:r>
      <w:proofErr w:type="spellEnd"/>
      <w:r w:rsidR="00FD2BB9">
        <w:rPr>
          <w:sz w:val="28"/>
          <w:szCs w:val="28"/>
        </w:rPr>
        <w:t xml:space="preserve"> without notice to</w:t>
      </w:r>
      <w:r w:rsidR="00020463">
        <w:rPr>
          <w:sz w:val="28"/>
          <w:szCs w:val="28"/>
        </w:rPr>
        <w:t xml:space="preserve"> or participation by WEL.  The l</w:t>
      </w:r>
      <w:r w:rsidR="00FD2BB9">
        <w:rPr>
          <w:sz w:val="28"/>
          <w:szCs w:val="28"/>
        </w:rPr>
        <w:t>egality of t</w:t>
      </w:r>
      <w:r w:rsidR="00020463">
        <w:rPr>
          <w:sz w:val="28"/>
          <w:szCs w:val="28"/>
        </w:rPr>
        <w:t>he administrative</w:t>
      </w:r>
      <w:r w:rsidR="00FD2BB9">
        <w:rPr>
          <w:sz w:val="28"/>
          <w:szCs w:val="28"/>
        </w:rPr>
        <w:t xml:space="preserve"> action by the </w:t>
      </w:r>
      <w:proofErr w:type="spellStart"/>
      <w:r w:rsidR="00FD2BB9">
        <w:rPr>
          <w:sz w:val="28"/>
          <w:szCs w:val="28"/>
        </w:rPr>
        <w:t>CoJ</w:t>
      </w:r>
      <w:proofErr w:type="spellEnd"/>
      <w:r w:rsidR="00FD2BB9">
        <w:rPr>
          <w:sz w:val="28"/>
          <w:szCs w:val="28"/>
        </w:rPr>
        <w:t xml:space="preserve">, who had argued that the amendment had no external effect did not amend any roads on junctions beyond that which had originally been approved in 2010 and was in any event in accordance with the </w:t>
      </w:r>
      <w:proofErr w:type="spellStart"/>
      <w:r w:rsidR="00FD2BB9">
        <w:rPr>
          <w:sz w:val="28"/>
          <w:szCs w:val="28"/>
        </w:rPr>
        <w:t>CoJ</w:t>
      </w:r>
      <w:proofErr w:type="spellEnd"/>
      <w:r w:rsidR="00FD2BB9">
        <w:rPr>
          <w:sz w:val="28"/>
          <w:szCs w:val="28"/>
        </w:rPr>
        <w:t xml:space="preserve"> spatial planning for the area, had been dealt with in the separate review application launched by </w:t>
      </w:r>
      <w:proofErr w:type="spellStart"/>
      <w:r w:rsidR="00FD2BB9">
        <w:rPr>
          <w:sz w:val="28"/>
          <w:szCs w:val="28"/>
        </w:rPr>
        <w:t>CoJ</w:t>
      </w:r>
      <w:proofErr w:type="spellEnd"/>
      <w:r w:rsidR="00FD2BB9">
        <w:rPr>
          <w:sz w:val="28"/>
          <w:szCs w:val="28"/>
        </w:rPr>
        <w:t xml:space="preserve"> under case no 70603/2018 in this division</w:t>
      </w:r>
      <w:r w:rsidR="002D7529">
        <w:rPr>
          <w:sz w:val="28"/>
          <w:szCs w:val="28"/>
        </w:rPr>
        <w:t xml:space="preserve"> as referred to in paragraph 2 above</w:t>
      </w:r>
      <w:r w:rsidR="00FD2BB9">
        <w:rPr>
          <w:sz w:val="28"/>
          <w:szCs w:val="28"/>
        </w:rPr>
        <w:t>.</w:t>
      </w:r>
      <w:r w:rsidR="00020463">
        <w:rPr>
          <w:sz w:val="28"/>
          <w:szCs w:val="28"/>
        </w:rPr>
        <w:t xml:space="preserve">  That objection is therefore no longer alive.</w:t>
      </w:r>
    </w:p>
    <w:p w:rsidR="00950619" w:rsidRPr="00E5152F" w:rsidRDefault="00073A85" w:rsidP="00073A85">
      <w:pPr>
        <w:pStyle w:val="MEMONUMBERED"/>
        <w:numPr>
          <w:ilvl w:val="0"/>
          <w:numId w:val="0"/>
        </w:numPr>
        <w:spacing w:after="360" w:line="360" w:lineRule="auto"/>
        <w:rPr>
          <w:sz w:val="28"/>
          <w:szCs w:val="28"/>
        </w:rPr>
      </w:pPr>
      <w:r w:rsidRPr="00E5152F">
        <w:rPr>
          <w:sz w:val="28"/>
          <w:szCs w:val="28"/>
        </w:rPr>
        <w:t>[21]</w:t>
      </w:r>
      <w:r w:rsidRPr="00E5152F">
        <w:rPr>
          <w:sz w:val="28"/>
          <w:szCs w:val="28"/>
        </w:rPr>
        <w:tab/>
      </w:r>
      <w:r w:rsidR="00950619">
        <w:rPr>
          <w:sz w:val="28"/>
          <w:szCs w:val="28"/>
        </w:rPr>
        <w:t xml:space="preserve">The second principal objection was that the construction and development in terms of the amended </w:t>
      </w:r>
      <w:r w:rsidR="00020463">
        <w:rPr>
          <w:sz w:val="28"/>
          <w:szCs w:val="28"/>
        </w:rPr>
        <w:t xml:space="preserve">Precinct Plan </w:t>
      </w:r>
      <w:r w:rsidR="00950619">
        <w:rPr>
          <w:sz w:val="28"/>
          <w:szCs w:val="28"/>
        </w:rPr>
        <w:t xml:space="preserve">were done or are being done in breach of the Servitude Agreement and the </w:t>
      </w:r>
      <w:r w:rsidR="002D7529">
        <w:rPr>
          <w:sz w:val="28"/>
          <w:szCs w:val="28"/>
        </w:rPr>
        <w:t>Notarial Deed</w:t>
      </w:r>
      <w:r w:rsidR="00950619">
        <w:rPr>
          <w:sz w:val="28"/>
          <w:szCs w:val="28"/>
        </w:rPr>
        <w:t xml:space="preserve"> and without WEL’s consent.</w:t>
      </w:r>
    </w:p>
    <w:p w:rsidR="00950619" w:rsidRDefault="00073A85" w:rsidP="00073A85">
      <w:pPr>
        <w:pStyle w:val="MEMONUMBERED"/>
        <w:numPr>
          <w:ilvl w:val="0"/>
          <w:numId w:val="0"/>
        </w:numPr>
        <w:spacing w:after="360" w:line="360" w:lineRule="auto"/>
        <w:rPr>
          <w:sz w:val="28"/>
          <w:szCs w:val="28"/>
        </w:rPr>
      </w:pPr>
      <w:r>
        <w:rPr>
          <w:sz w:val="28"/>
          <w:szCs w:val="28"/>
        </w:rPr>
        <w:t>[22]</w:t>
      </w:r>
      <w:r>
        <w:rPr>
          <w:sz w:val="28"/>
          <w:szCs w:val="28"/>
        </w:rPr>
        <w:tab/>
      </w:r>
      <w:r w:rsidR="00950619">
        <w:rPr>
          <w:sz w:val="28"/>
          <w:szCs w:val="28"/>
        </w:rPr>
        <w:t>Regarding the terms of the Servitude Agreement whic</w:t>
      </w:r>
      <w:r w:rsidR="002D7529">
        <w:rPr>
          <w:sz w:val="28"/>
          <w:szCs w:val="28"/>
        </w:rPr>
        <w:t>h WEL says are breached by the r</w:t>
      </w:r>
      <w:r w:rsidR="00950619">
        <w:rPr>
          <w:sz w:val="28"/>
          <w:szCs w:val="28"/>
        </w:rPr>
        <w:t xml:space="preserve">espondents, WEL’s case is set out as follows in its founding affidavit:  </w:t>
      </w:r>
    </w:p>
    <w:p w:rsidR="00950619" w:rsidRPr="003312D5" w:rsidRDefault="00950619" w:rsidP="003E47FE">
      <w:pPr>
        <w:pStyle w:val="MEMONUMBERED"/>
        <w:numPr>
          <w:ilvl w:val="0"/>
          <w:numId w:val="0"/>
        </w:numPr>
        <w:spacing w:after="360" w:line="360" w:lineRule="auto"/>
        <w:ind w:left="1440"/>
        <w:rPr>
          <w:i/>
          <w:sz w:val="28"/>
          <w:szCs w:val="28"/>
        </w:rPr>
      </w:pPr>
      <w:r>
        <w:rPr>
          <w:sz w:val="28"/>
          <w:szCs w:val="28"/>
        </w:rPr>
        <w:t>“</w:t>
      </w:r>
      <w:r w:rsidRPr="003312D5">
        <w:rPr>
          <w:i/>
          <w:sz w:val="28"/>
          <w:szCs w:val="28"/>
        </w:rPr>
        <w:t>17.3</w:t>
      </w:r>
      <w:r w:rsidRPr="003312D5">
        <w:rPr>
          <w:i/>
          <w:sz w:val="28"/>
          <w:szCs w:val="28"/>
        </w:rPr>
        <w:tab/>
        <w:t xml:space="preserve">In terms of clause 4.1 [of the servitude </w:t>
      </w:r>
      <w:r w:rsidR="00251B1B" w:rsidRPr="003312D5">
        <w:rPr>
          <w:i/>
          <w:sz w:val="28"/>
          <w:szCs w:val="28"/>
        </w:rPr>
        <w:t>Agreement [</w:t>
      </w:r>
      <w:r w:rsidRPr="003312D5">
        <w:rPr>
          <w:i/>
          <w:sz w:val="28"/>
          <w:szCs w:val="28"/>
        </w:rPr>
        <w:t xml:space="preserve">all future development </w:t>
      </w:r>
      <w:r w:rsidR="00251B1B" w:rsidRPr="003312D5">
        <w:rPr>
          <w:i/>
          <w:sz w:val="28"/>
          <w:szCs w:val="28"/>
        </w:rPr>
        <w:t>of the Mushroom Farm should be substantially in acc</w:t>
      </w:r>
      <w:r w:rsidR="00020463">
        <w:rPr>
          <w:i/>
          <w:sz w:val="28"/>
          <w:szCs w:val="28"/>
        </w:rPr>
        <w:t xml:space="preserve">ordance with the </w:t>
      </w:r>
      <w:proofErr w:type="spellStart"/>
      <w:r w:rsidR="00020463">
        <w:rPr>
          <w:i/>
          <w:sz w:val="28"/>
          <w:szCs w:val="28"/>
        </w:rPr>
        <w:t>Kayalami</w:t>
      </w:r>
      <w:proofErr w:type="spellEnd"/>
      <w:r w:rsidR="00020463">
        <w:rPr>
          <w:i/>
          <w:sz w:val="28"/>
          <w:szCs w:val="28"/>
        </w:rPr>
        <w:t xml:space="preserve"> Centro</w:t>
      </w:r>
      <w:r w:rsidR="00251B1B" w:rsidRPr="003312D5">
        <w:rPr>
          <w:i/>
          <w:sz w:val="28"/>
          <w:szCs w:val="28"/>
        </w:rPr>
        <w:t xml:space="preserve"> Master Plan … (the annexure to the servitude agreement) subject to such amendments as may be </w:t>
      </w:r>
      <w:r w:rsidR="00B11647" w:rsidRPr="003312D5">
        <w:rPr>
          <w:i/>
          <w:sz w:val="28"/>
          <w:szCs w:val="28"/>
        </w:rPr>
        <w:lastRenderedPageBreak/>
        <w:t>reasonably</w:t>
      </w:r>
      <w:r w:rsidR="00251B1B" w:rsidRPr="003312D5">
        <w:rPr>
          <w:i/>
          <w:sz w:val="28"/>
          <w:szCs w:val="28"/>
        </w:rPr>
        <w:t xml:space="preserve"> required by any relevant authority and/or the owner of the Mushroom Farm which had to be approved by the Applicant (WEL) which approval the Applicant would not unreasonably withhold or delay …</w:t>
      </w:r>
    </w:p>
    <w:p w:rsidR="00251B1B" w:rsidRPr="003312D5" w:rsidRDefault="00251B1B" w:rsidP="003E47FE">
      <w:pPr>
        <w:pStyle w:val="MEMONUMBERED"/>
        <w:numPr>
          <w:ilvl w:val="0"/>
          <w:numId w:val="0"/>
        </w:numPr>
        <w:spacing w:after="360" w:line="360" w:lineRule="auto"/>
        <w:ind w:left="1440"/>
        <w:rPr>
          <w:i/>
          <w:sz w:val="28"/>
          <w:szCs w:val="28"/>
        </w:rPr>
      </w:pPr>
      <w:r w:rsidRPr="003312D5">
        <w:rPr>
          <w:i/>
          <w:sz w:val="28"/>
          <w:szCs w:val="28"/>
        </w:rPr>
        <w:t>18.</w:t>
      </w:r>
      <w:r w:rsidRPr="003312D5">
        <w:rPr>
          <w:i/>
          <w:sz w:val="28"/>
          <w:szCs w:val="28"/>
        </w:rPr>
        <w:tab/>
        <w:t>I draw the court’s attention specifically to the Annexure to the Servitude Agreement, the Centro Master Plan.  The Centro Master</w:t>
      </w:r>
      <w:r w:rsidR="00020463">
        <w:rPr>
          <w:i/>
          <w:sz w:val="28"/>
          <w:szCs w:val="28"/>
        </w:rPr>
        <w:t xml:space="preserve"> Plan focuses not only on the ph</w:t>
      </w:r>
      <w:r w:rsidRPr="003312D5">
        <w:rPr>
          <w:i/>
          <w:sz w:val="28"/>
          <w:szCs w:val="28"/>
        </w:rPr>
        <w:t xml:space="preserve">asing and the extent of the relevant road upgrades </w:t>
      </w:r>
      <w:r w:rsidR="00020463">
        <w:rPr>
          <w:i/>
          <w:sz w:val="28"/>
          <w:szCs w:val="28"/>
        </w:rPr>
        <w:t>b</w:t>
      </w:r>
      <w:r w:rsidRPr="003312D5">
        <w:rPr>
          <w:i/>
          <w:sz w:val="28"/>
          <w:szCs w:val="28"/>
        </w:rPr>
        <w:t xml:space="preserve">ordering the Mushroom Farm, but also on the mixed-use nature of the development with dispersed offices, retail spaces and residential spaces which does not resemble an office park or a shopping </w:t>
      </w:r>
      <w:proofErr w:type="spellStart"/>
      <w:r w:rsidRPr="003312D5">
        <w:rPr>
          <w:i/>
          <w:sz w:val="28"/>
          <w:szCs w:val="28"/>
        </w:rPr>
        <w:t>centre</w:t>
      </w:r>
      <w:proofErr w:type="spellEnd"/>
      <w:r w:rsidRPr="003312D5">
        <w:rPr>
          <w:i/>
          <w:sz w:val="28"/>
          <w:szCs w:val="28"/>
        </w:rPr>
        <w:t>.  Wh</w:t>
      </w:r>
      <w:r w:rsidR="00020463">
        <w:rPr>
          <w:i/>
          <w:sz w:val="28"/>
          <w:szCs w:val="28"/>
        </w:rPr>
        <w:t>at is important about the Centro</w:t>
      </w:r>
      <w:r w:rsidRPr="003312D5">
        <w:rPr>
          <w:i/>
          <w:sz w:val="28"/>
          <w:szCs w:val="28"/>
        </w:rPr>
        <w:t xml:space="preserve"> Master Plan is that it was prepared with reference to the proposed layout and land use area usage depicted in the Precinct Plan which was approved by the </w:t>
      </w:r>
      <w:proofErr w:type="spellStart"/>
      <w:r w:rsidRPr="003312D5">
        <w:rPr>
          <w:i/>
          <w:sz w:val="28"/>
          <w:szCs w:val="28"/>
        </w:rPr>
        <w:t>CoJ</w:t>
      </w:r>
      <w:proofErr w:type="spellEnd"/>
      <w:r w:rsidRPr="003312D5">
        <w:rPr>
          <w:i/>
          <w:sz w:val="28"/>
          <w:szCs w:val="28"/>
        </w:rPr>
        <w:t xml:space="preserve"> two months later …</w:t>
      </w:r>
    </w:p>
    <w:p w:rsidR="00251B1B" w:rsidRPr="003312D5" w:rsidRDefault="00251B1B" w:rsidP="003E47FE">
      <w:pPr>
        <w:pStyle w:val="MEMONUMBERED"/>
        <w:numPr>
          <w:ilvl w:val="0"/>
          <w:numId w:val="0"/>
        </w:numPr>
        <w:spacing w:after="360" w:line="360" w:lineRule="auto"/>
        <w:ind w:left="1440"/>
        <w:rPr>
          <w:i/>
          <w:sz w:val="28"/>
          <w:szCs w:val="28"/>
        </w:rPr>
      </w:pPr>
      <w:r w:rsidRPr="003312D5">
        <w:rPr>
          <w:i/>
          <w:sz w:val="28"/>
          <w:szCs w:val="28"/>
        </w:rPr>
        <w:t>19.</w:t>
      </w:r>
      <w:r w:rsidRPr="003312D5">
        <w:rPr>
          <w:i/>
          <w:sz w:val="28"/>
          <w:szCs w:val="28"/>
        </w:rPr>
        <w:tab/>
        <w:t>The Centro Master Plan relate to the same layout as can readily be seen when the documents are compared …</w:t>
      </w:r>
    </w:p>
    <w:p w:rsidR="00950619" w:rsidRPr="00950619" w:rsidRDefault="00251B1B" w:rsidP="003E47FE">
      <w:pPr>
        <w:pStyle w:val="MEMONUMBERED"/>
        <w:numPr>
          <w:ilvl w:val="0"/>
          <w:numId w:val="0"/>
        </w:numPr>
        <w:spacing w:after="360" w:line="360" w:lineRule="auto"/>
        <w:ind w:left="1429"/>
        <w:rPr>
          <w:sz w:val="28"/>
          <w:szCs w:val="28"/>
        </w:rPr>
      </w:pPr>
      <w:r w:rsidRPr="003312D5">
        <w:rPr>
          <w:i/>
          <w:sz w:val="28"/>
          <w:szCs w:val="28"/>
        </w:rPr>
        <w:t>20.</w:t>
      </w:r>
      <w:r w:rsidRPr="003312D5">
        <w:rPr>
          <w:i/>
          <w:sz w:val="28"/>
          <w:szCs w:val="28"/>
        </w:rPr>
        <w:tab/>
      </w:r>
      <w:r w:rsidR="00D0659C" w:rsidRPr="003312D5">
        <w:rPr>
          <w:i/>
          <w:sz w:val="28"/>
          <w:szCs w:val="28"/>
        </w:rPr>
        <w:t>W</w:t>
      </w:r>
      <w:r w:rsidR="00752653" w:rsidRPr="003312D5">
        <w:rPr>
          <w:i/>
          <w:sz w:val="28"/>
          <w:szCs w:val="28"/>
        </w:rPr>
        <w:t xml:space="preserve">hereas the Centro Master Plan describes the road network phases, the Precinct Plan describes the area of land usage for each phase contained in the diagram, the road improvements were controlled by way of different stages wherever it was obliged to be completed on the Mushroom Farm.   It is apparent from the Precinct Plan that the underlying concept of the development was a mixed-use development in that very few of the phases or erfs are exclusively designated to be residential or offices or shops.  Rather, by and large, each phase or erf </w:t>
      </w:r>
      <w:r w:rsidR="00D0659C" w:rsidRPr="003312D5">
        <w:rPr>
          <w:i/>
          <w:sz w:val="28"/>
          <w:szCs w:val="28"/>
        </w:rPr>
        <w:t>contains</w:t>
      </w:r>
      <w:r w:rsidR="00752653" w:rsidRPr="003312D5">
        <w:rPr>
          <w:i/>
          <w:sz w:val="28"/>
          <w:szCs w:val="28"/>
        </w:rPr>
        <w:t xml:space="preserve"> a mixed use of residential, shops and/or offices …</w:t>
      </w:r>
      <w:r w:rsidR="00752653">
        <w:rPr>
          <w:sz w:val="28"/>
          <w:szCs w:val="28"/>
        </w:rPr>
        <w:t>”.</w:t>
      </w:r>
      <w:r>
        <w:rPr>
          <w:sz w:val="28"/>
          <w:szCs w:val="28"/>
        </w:rPr>
        <w:tab/>
      </w:r>
    </w:p>
    <w:p w:rsidR="00950619" w:rsidRDefault="00073A85" w:rsidP="00073A85">
      <w:pPr>
        <w:pStyle w:val="MEMONUMBERED"/>
        <w:numPr>
          <w:ilvl w:val="0"/>
          <w:numId w:val="0"/>
        </w:numPr>
        <w:spacing w:after="360" w:line="360" w:lineRule="auto"/>
        <w:ind w:left="709" w:hanging="709"/>
        <w:rPr>
          <w:sz w:val="28"/>
          <w:szCs w:val="28"/>
        </w:rPr>
      </w:pPr>
      <w:r>
        <w:rPr>
          <w:sz w:val="28"/>
          <w:szCs w:val="28"/>
        </w:rPr>
        <w:lastRenderedPageBreak/>
        <w:t>[23]</w:t>
      </w:r>
      <w:r>
        <w:rPr>
          <w:sz w:val="28"/>
          <w:szCs w:val="28"/>
        </w:rPr>
        <w:tab/>
      </w:r>
      <w:r w:rsidR="00D0659C">
        <w:rPr>
          <w:sz w:val="28"/>
          <w:szCs w:val="28"/>
        </w:rPr>
        <w:t xml:space="preserve">The same allegations are made in respect of the </w:t>
      </w:r>
      <w:r w:rsidR="002D7529">
        <w:rPr>
          <w:sz w:val="28"/>
          <w:szCs w:val="28"/>
        </w:rPr>
        <w:t>Notarial Deed</w:t>
      </w:r>
      <w:r w:rsidR="00D0659C">
        <w:rPr>
          <w:sz w:val="28"/>
          <w:szCs w:val="28"/>
        </w:rPr>
        <w:t>:</w:t>
      </w:r>
    </w:p>
    <w:p w:rsidR="00A6543B" w:rsidRDefault="00D0659C" w:rsidP="00E5152F">
      <w:pPr>
        <w:pStyle w:val="MEMONUMBERED"/>
        <w:numPr>
          <w:ilvl w:val="0"/>
          <w:numId w:val="0"/>
        </w:numPr>
        <w:spacing w:after="360" w:line="360" w:lineRule="auto"/>
        <w:ind w:left="1440"/>
        <w:rPr>
          <w:sz w:val="28"/>
          <w:szCs w:val="28"/>
        </w:rPr>
      </w:pPr>
      <w:r>
        <w:rPr>
          <w:sz w:val="28"/>
          <w:szCs w:val="28"/>
        </w:rPr>
        <w:t>“</w:t>
      </w:r>
      <w:r w:rsidRPr="003312D5">
        <w:rPr>
          <w:i/>
          <w:sz w:val="28"/>
          <w:szCs w:val="28"/>
        </w:rPr>
        <w:t>In terms of clause 4, all future development on the Mushroom Farm shall be substantially in accordance with the Centro Master Plan,</w:t>
      </w:r>
      <w:r w:rsidR="00020463">
        <w:rPr>
          <w:i/>
          <w:sz w:val="28"/>
          <w:szCs w:val="28"/>
        </w:rPr>
        <w:t xml:space="preserve"> subject to such amendmen</w:t>
      </w:r>
      <w:r w:rsidR="005D2BCA">
        <w:rPr>
          <w:i/>
          <w:sz w:val="28"/>
          <w:szCs w:val="28"/>
        </w:rPr>
        <w:t>t as may be required by any rele</w:t>
      </w:r>
      <w:r w:rsidR="00020463">
        <w:rPr>
          <w:i/>
          <w:sz w:val="28"/>
          <w:szCs w:val="28"/>
        </w:rPr>
        <w:t xml:space="preserve">vant authority and/or Melville CC, and which have to be approved by the Applicant, which approval </w:t>
      </w:r>
      <w:r w:rsidR="005D2BCA">
        <w:rPr>
          <w:i/>
          <w:sz w:val="28"/>
          <w:szCs w:val="28"/>
        </w:rPr>
        <w:t>shall not be unreasonably</w:t>
      </w:r>
      <w:r w:rsidRPr="003312D5">
        <w:rPr>
          <w:i/>
          <w:sz w:val="28"/>
          <w:szCs w:val="28"/>
        </w:rPr>
        <w:t xml:space="preserve"> withheld or delayed.  In </w:t>
      </w:r>
      <w:proofErr w:type="gramStart"/>
      <w:r w:rsidRPr="003312D5">
        <w:rPr>
          <w:i/>
          <w:sz w:val="28"/>
          <w:szCs w:val="28"/>
        </w:rPr>
        <w:t>addition</w:t>
      </w:r>
      <w:proofErr w:type="gramEnd"/>
      <w:r w:rsidRPr="003312D5">
        <w:rPr>
          <w:i/>
          <w:sz w:val="28"/>
          <w:szCs w:val="28"/>
        </w:rPr>
        <w:t xml:space="preserve"> thereto, no retail development exceeding 20 000 square meter of bulk area shall be developed on the Mushroom Farm.  Most importantly, the Centro Master Plan depicted a mixed use dispersed development, as more fully described in 20 above</w:t>
      </w:r>
      <w:r w:rsidR="00A6543B">
        <w:rPr>
          <w:sz w:val="28"/>
          <w:szCs w:val="28"/>
        </w:rPr>
        <w:t>”.</w:t>
      </w:r>
    </w:p>
    <w:p w:rsidR="00D0659C" w:rsidRDefault="00073A85" w:rsidP="00073A85">
      <w:pPr>
        <w:pStyle w:val="MEMONUMBERED"/>
        <w:numPr>
          <w:ilvl w:val="0"/>
          <w:numId w:val="0"/>
        </w:numPr>
        <w:spacing w:after="360" w:line="360" w:lineRule="auto"/>
        <w:rPr>
          <w:sz w:val="28"/>
          <w:szCs w:val="28"/>
        </w:rPr>
      </w:pPr>
      <w:r>
        <w:rPr>
          <w:sz w:val="28"/>
          <w:szCs w:val="28"/>
        </w:rPr>
        <w:t>[24]</w:t>
      </w:r>
      <w:r>
        <w:rPr>
          <w:sz w:val="28"/>
          <w:szCs w:val="28"/>
        </w:rPr>
        <w:tab/>
      </w:r>
      <w:r w:rsidR="002D7529">
        <w:rPr>
          <w:sz w:val="28"/>
          <w:szCs w:val="28"/>
        </w:rPr>
        <w:t>WEL relies o</w:t>
      </w:r>
      <w:r w:rsidR="00D0659C">
        <w:rPr>
          <w:sz w:val="28"/>
          <w:szCs w:val="28"/>
        </w:rPr>
        <w:t>n the contents of a brochure which it claims came into its possession during June 201</w:t>
      </w:r>
      <w:r w:rsidR="002D7529">
        <w:rPr>
          <w:sz w:val="28"/>
          <w:szCs w:val="28"/>
        </w:rPr>
        <w:t xml:space="preserve">8, promoting the development of </w:t>
      </w:r>
      <w:r w:rsidR="00D0659C">
        <w:rPr>
          <w:sz w:val="28"/>
          <w:szCs w:val="28"/>
        </w:rPr>
        <w:t xml:space="preserve">the Mushroom Farm as “the Precinct”.  It contains a “Micro Locality” plan which WEL compared to the </w:t>
      </w:r>
      <w:proofErr w:type="spellStart"/>
      <w:proofErr w:type="gramStart"/>
      <w:r w:rsidR="002D7529">
        <w:rPr>
          <w:sz w:val="28"/>
          <w:szCs w:val="28"/>
        </w:rPr>
        <w:t>Kayalami</w:t>
      </w:r>
      <w:proofErr w:type="spellEnd"/>
      <w:r w:rsidR="002D7529">
        <w:rPr>
          <w:sz w:val="28"/>
          <w:szCs w:val="28"/>
        </w:rPr>
        <w:t xml:space="preserve">  </w:t>
      </w:r>
      <w:r w:rsidR="00D0659C">
        <w:rPr>
          <w:sz w:val="28"/>
          <w:szCs w:val="28"/>
        </w:rPr>
        <w:t>Centro</w:t>
      </w:r>
      <w:proofErr w:type="gramEnd"/>
      <w:r w:rsidR="00D0659C">
        <w:rPr>
          <w:sz w:val="28"/>
          <w:szCs w:val="28"/>
        </w:rPr>
        <w:t xml:space="preserve"> Master Plan and the (initial) Precinct Plan.  This led WEL to aver as follows:</w:t>
      </w:r>
    </w:p>
    <w:p w:rsidR="00D0659C" w:rsidRPr="003312D5" w:rsidRDefault="00D0659C" w:rsidP="00E5152F">
      <w:pPr>
        <w:pStyle w:val="MEMONUMBERED"/>
        <w:numPr>
          <w:ilvl w:val="0"/>
          <w:numId w:val="0"/>
        </w:numPr>
        <w:spacing w:after="360" w:line="360" w:lineRule="auto"/>
        <w:ind w:left="1701" w:hanging="992"/>
        <w:rPr>
          <w:i/>
          <w:sz w:val="28"/>
          <w:szCs w:val="28"/>
        </w:rPr>
      </w:pPr>
      <w:r>
        <w:rPr>
          <w:sz w:val="28"/>
          <w:szCs w:val="28"/>
        </w:rPr>
        <w:t>“</w:t>
      </w:r>
      <w:r w:rsidRPr="003312D5">
        <w:rPr>
          <w:i/>
          <w:sz w:val="28"/>
          <w:szCs w:val="28"/>
        </w:rPr>
        <w:t>33.1</w:t>
      </w:r>
      <w:r w:rsidRPr="003312D5">
        <w:rPr>
          <w:i/>
          <w:sz w:val="28"/>
          <w:szCs w:val="28"/>
        </w:rPr>
        <w:tab/>
        <w:t>The road layout within the Mushroom Farm has been altered drastically</w:t>
      </w:r>
    </w:p>
    <w:p w:rsidR="00D0659C" w:rsidRPr="003312D5" w:rsidRDefault="00073A85" w:rsidP="00073A85">
      <w:pPr>
        <w:pStyle w:val="MEMONUMBERED"/>
        <w:numPr>
          <w:ilvl w:val="0"/>
          <w:numId w:val="0"/>
        </w:numPr>
        <w:spacing w:after="360" w:line="360" w:lineRule="auto"/>
        <w:ind w:left="1701" w:hanging="850"/>
        <w:rPr>
          <w:i/>
          <w:sz w:val="28"/>
          <w:szCs w:val="28"/>
        </w:rPr>
      </w:pPr>
      <w:r w:rsidRPr="003312D5">
        <w:rPr>
          <w:i/>
          <w:sz w:val="28"/>
          <w:szCs w:val="28"/>
        </w:rPr>
        <w:t>33.2</w:t>
      </w:r>
      <w:r w:rsidRPr="003312D5">
        <w:rPr>
          <w:i/>
          <w:sz w:val="28"/>
          <w:szCs w:val="28"/>
        </w:rPr>
        <w:tab/>
      </w:r>
      <w:r w:rsidR="00D0659C" w:rsidRPr="003312D5">
        <w:rPr>
          <w:i/>
          <w:sz w:val="28"/>
          <w:szCs w:val="28"/>
        </w:rPr>
        <w:t>The layout in the Micro Locality does not mirror the division of the area into precincts as depicted in the Centro Master Plan.  Nor does it mirror the division of the area into erfs as shown on the Precinct Plan.</w:t>
      </w:r>
    </w:p>
    <w:p w:rsidR="00C53509" w:rsidRPr="003312D5" w:rsidRDefault="00073A85" w:rsidP="00073A85">
      <w:pPr>
        <w:pStyle w:val="MEMONUMBERED"/>
        <w:numPr>
          <w:ilvl w:val="0"/>
          <w:numId w:val="0"/>
        </w:numPr>
        <w:spacing w:after="360" w:line="360" w:lineRule="auto"/>
        <w:ind w:left="1701" w:hanging="850"/>
        <w:rPr>
          <w:i/>
          <w:sz w:val="28"/>
          <w:szCs w:val="28"/>
        </w:rPr>
      </w:pPr>
      <w:r w:rsidRPr="003312D5">
        <w:rPr>
          <w:i/>
          <w:sz w:val="28"/>
          <w:szCs w:val="28"/>
        </w:rPr>
        <w:t>33.3</w:t>
      </w:r>
      <w:r w:rsidRPr="003312D5">
        <w:rPr>
          <w:i/>
          <w:sz w:val="28"/>
          <w:szCs w:val="28"/>
        </w:rPr>
        <w:tab/>
      </w:r>
      <w:r w:rsidR="00C53509" w:rsidRPr="003312D5">
        <w:rPr>
          <w:i/>
          <w:sz w:val="28"/>
          <w:szCs w:val="28"/>
        </w:rPr>
        <w:t>The Micro Locality depicts various areas for use as exclusively residential retail or offices contrary to the Precinct Plan.</w:t>
      </w:r>
    </w:p>
    <w:p w:rsidR="003E041F" w:rsidRPr="00E5152F" w:rsidRDefault="00073A85" w:rsidP="00073A85">
      <w:pPr>
        <w:pStyle w:val="MEMONUMBERED"/>
        <w:numPr>
          <w:ilvl w:val="0"/>
          <w:numId w:val="0"/>
        </w:numPr>
        <w:spacing w:after="360" w:line="360" w:lineRule="auto"/>
        <w:ind w:left="1701" w:hanging="850"/>
        <w:rPr>
          <w:sz w:val="28"/>
          <w:szCs w:val="28"/>
        </w:rPr>
      </w:pPr>
      <w:r w:rsidRPr="00E5152F">
        <w:rPr>
          <w:sz w:val="28"/>
          <w:szCs w:val="28"/>
        </w:rPr>
        <w:lastRenderedPageBreak/>
        <w:t>33.4</w:t>
      </w:r>
      <w:r w:rsidRPr="00E5152F">
        <w:rPr>
          <w:sz w:val="28"/>
          <w:szCs w:val="28"/>
        </w:rPr>
        <w:tab/>
      </w:r>
      <w:r w:rsidR="00C53509" w:rsidRPr="003312D5">
        <w:rPr>
          <w:i/>
          <w:sz w:val="28"/>
          <w:szCs w:val="28"/>
        </w:rPr>
        <w:t xml:space="preserve">Furthermore, there is an area designated for a school building in the middle of the Mushroom Farm, contrary to the Cancellation Agreement”.  Subject to such amendments as may be required by any relevant authority and/or Melville CC, and which have to be approved by the Applicant, which approval shall not be unreasonably be withheld or delayed.  In </w:t>
      </w:r>
      <w:proofErr w:type="gramStart"/>
      <w:r w:rsidR="00C53509" w:rsidRPr="003312D5">
        <w:rPr>
          <w:i/>
          <w:sz w:val="28"/>
          <w:szCs w:val="28"/>
        </w:rPr>
        <w:t>addition</w:t>
      </w:r>
      <w:proofErr w:type="gramEnd"/>
      <w:r w:rsidR="00C53509" w:rsidRPr="003312D5">
        <w:rPr>
          <w:i/>
          <w:sz w:val="28"/>
          <w:szCs w:val="28"/>
        </w:rPr>
        <w:t xml:space="preserve"> thereto, no retail development exceeding 30 000 square meter of bulk area shall be developed on the Mushroom Farm.  Most importantly, the Centro Master Plan depicted a mixed use dispersed development, as more fully described in 20 above</w:t>
      </w:r>
      <w:r w:rsidR="00C53509">
        <w:rPr>
          <w:sz w:val="28"/>
          <w:szCs w:val="28"/>
        </w:rPr>
        <w:t>”.</w:t>
      </w:r>
    </w:p>
    <w:p w:rsidR="003E041F" w:rsidRPr="00E5152F" w:rsidRDefault="00073A85" w:rsidP="00073A85">
      <w:pPr>
        <w:pStyle w:val="MEMONUMBERED"/>
        <w:numPr>
          <w:ilvl w:val="0"/>
          <w:numId w:val="0"/>
        </w:numPr>
        <w:spacing w:after="360" w:line="360" w:lineRule="auto"/>
        <w:rPr>
          <w:sz w:val="28"/>
          <w:szCs w:val="28"/>
        </w:rPr>
      </w:pPr>
      <w:r w:rsidRPr="00E5152F">
        <w:rPr>
          <w:sz w:val="28"/>
          <w:szCs w:val="28"/>
        </w:rPr>
        <w:t>[25]</w:t>
      </w:r>
      <w:r w:rsidRPr="00E5152F">
        <w:rPr>
          <w:sz w:val="28"/>
          <w:szCs w:val="28"/>
        </w:rPr>
        <w:tab/>
      </w:r>
      <w:r w:rsidR="003E041F">
        <w:rPr>
          <w:sz w:val="28"/>
          <w:szCs w:val="28"/>
        </w:rPr>
        <w:t>WEL’s case is further that, as a quid pro quo for granting the servitude to the adjacent dominant land, development thereon would be restricted so as not to compete directly with WEL’s development of its own land.</w:t>
      </w:r>
    </w:p>
    <w:p w:rsidR="003E041F" w:rsidRPr="00E5152F" w:rsidRDefault="00073A85" w:rsidP="00073A85">
      <w:pPr>
        <w:pStyle w:val="MEMONUMBERED"/>
        <w:numPr>
          <w:ilvl w:val="0"/>
          <w:numId w:val="0"/>
        </w:numPr>
        <w:spacing w:after="360" w:line="360" w:lineRule="auto"/>
        <w:rPr>
          <w:sz w:val="28"/>
          <w:szCs w:val="28"/>
        </w:rPr>
      </w:pPr>
      <w:r w:rsidRPr="00E5152F">
        <w:rPr>
          <w:sz w:val="28"/>
          <w:szCs w:val="28"/>
        </w:rPr>
        <w:t>[26]</w:t>
      </w:r>
      <w:r w:rsidRPr="00E5152F">
        <w:rPr>
          <w:sz w:val="28"/>
          <w:szCs w:val="28"/>
        </w:rPr>
        <w:tab/>
      </w:r>
      <w:r w:rsidR="003E041F">
        <w:rPr>
          <w:sz w:val="28"/>
          <w:szCs w:val="28"/>
        </w:rPr>
        <w:t>Conceding in its replying affidavit that the “servitude Agreement does not refer to the Precinct Plan”, WEL contended nevertheless that “</w:t>
      </w:r>
      <w:r w:rsidR="005D2BCA">
        <w:rPr>
          <w:i/>
          <w:sz w:val="28"/>
          <w:szCs w:val="28"/>
        </w:rPr>
        <w:t>the Applicant’s</w:t>
      </w:r>
      <w:r w:rsidR="003E041F" w:rsidRPr="003E041F">
        <w:rPr>
          <w:i/>
          <w:sz w:val="28"/>
          <w:szCs w:val="28"/>
        </w:rPr>
        <w:t xml:space="preserve"> case hinges firstly, and most importantly, on the fact that the Respondent is already in breach of its obligations arising out of the Servitude Agreement.  Fundamentally this case is based on an assertion that the subject properties are that differs fundamentally from the Centro Master Plan, read together with the Precinct Plan</w:t>
      </w:r>
      <w:r w:rsidR="003E041F">
        <w:rPr>
          <w:sz w:val="28"/>
          <w:szCs w:val="28"/>
        </w:rPr>
        <w:t xml:space="preserve">”.  </w:t>
      </w:r>
    </w:p>
    <w:p w:rsidR="003E041F" w:rsidRPr="00E5152F" w:rsidRDefault="00073A85" w:rsidP="00073A85">
      <w:pPr>
        <w:pStyle w:val="MEMONUMBERED"/>
        <w:numPr>
          <w:ilvl w:val="0"/>
          <w:numId w:val="0"/>
        </w:numPr>
        <w:spacing w:after="360" w:line="360" w:lineRule="auto"/>
        <w:rPr>
          <w:sz w:val="28"/>
          <w:szCs w:val="28"/>
        </w:rPr>
      </w:pPr>
      <w:r w:rsidRPr="00E5152F">
        <w:rPr>
          <w:sz w:val="28"/>
          <w:szCs w:val="28"/>
        </w:rPr>
        <w:t>[27]</w:t>
      </w:r>
      <w:r w:rsidRPr="00E5152F">
        <w:rPr>
          <w:sz w:val="28"/>
          <w:szCs w:val="28"/>
        </w:rPr>
        <w:tab/>
      </w:r>
      <w:r w:rsidR="003E041F">
        <w:rPr>
          <w:sz w:val="28"/>
          <w:szCs w:val="28"/>
        </w:rPr>
        <w:t>The above allegations were made prior</w:t>
      </w:r>
      <w:r w:rsidR="005D2BCA">
        <w:rPr>
          <w:sz w:val="28"/>
          <w:szCs w:val="28"/>
        </w:rPr>
        <w:t xml:space="preserve"> to Precinct having been joined</w:t>
      </w:r>
      <w:r w:rsidR="003E041F">
        <w:rPr>
          <w:sz w:val="28"/>
          <w:szCs w:val="28"/>
        </w:rPr>
        <w:t>.  After that</w:t>
      </w:r>
      <w:r w:rsidR="005D2BCA">
        <w:rPr>
          <w:sz w:val="28"/>
          <w:szCs w:val="28"/>
        </w:rPr>
        <w:t xml:space="preserve"> had</w:t>
      </w:r>
      <w:r w:rsidR="003E041F">
        <w:rPr>
          <w:sz w:val="28"/>
          <w:szCs w:val="28"/>
        </w:rPr>
        <w:t xml:space="preserve"> occurred</w:t>
      </w:r>
      <w:r w:rsidR="005D2BCA">
        <w:rPr>
          <w:sz w:val="28"/>
          <w:szCs w:val="28"/>
        </w:rPr>
        <w:t>,</w:t>
      </w:r>
      <w:r w:rsidR="003E041F">
        <w:rPr>
          <w:sz w:val="28"/>
          <w:szCs w:val="28"/>
        </w:rPr>
        <w:t xml:space="preserve"> WEL further alleged that Precinct is not only </w:t>
      </w:r>
      <w:r w:rsidR="001F5834">
        <w:rPr>
          <w:sz w:val="28"/>
          <w:szCs w:val="28"/>
        </w:rPr>
        <w:t>b</w:t>
      </w:r>
      <w:r w:rsidR="003E041F">
        <w:rPr>
          <w:sz w:val="28"/>
          <w:szCs w:val="28"/>
        </w:rPr>
        <w:t>ound by the restraints imposed on Me</w:t>
      </w:r>
      <w:r w:rsidR="001F5834">
        <w:rPr>
          <w:sz w:val="28"/>
          <w:szCs w:val="28"/>
        </w:rPr>
        <w:t>lville and subsequently on Cent</w:t>
      </w:r>
      <w:r w:rsidR="003E041F">
        <w:rPr>
          <w:sz w:val="28"/>
          <w:szCs w:val="28"/>
        </w:rPr>
        <w:t>ury, but that it has also breached those restraints</w:t>
      </w:r>
      <w:r w:rsidR="005D2BCA">
        <w:rPr>
          <w:sz w:val="28"/>
          <w:szCs w:val="28"/>
        </w:rPr>
        <w:t>.</w:t>
      </w:r>
      <w:r w:rsidR="003E041F">
        <w:rPr>
          <w:sz w:val="28"/>
          <w:szCs w:val="28"/>
        </w:rPr>
        <w:t xml:space="preserve"> </w:t>
      </w:r>
      <w:r w:rsidR="005D2BCA">
        <w:rPr>
          <w:sz w:val="28"/>
          <w:szCs w:val="28"/>
        </w:rPr>
        <w:t xml:space="preserve"> A</w:t>
      </w:r>
      <w:r w:rsidR="003E041F">
        <w:rPr>
          <w:sz w:val="28"/>
          <w:szCs w:val="28"/>
        </w:rPr>
        <w:t xml:space="preserve">fter </w:t>
      </w:r>
      <w:r w:rsidR="005D2BCA">
        <w:rPr>
          <w:sz w:val="28"/>
          <w:szCs w:val="28"/>
        </w:rPr>
        <w:t>the</w:t>
      </w:r>
      <w:r w:rsidR="003E041F">
        <w:rPr>
          <w:sz w:val="28"/>
          <w:szCs w:val="28"/>
        </w:rPr>
        <w:t xml:space="preserve"> joinder, WEL maintained that “</w:t>
      </w:r>
      <w:r w:rsidR="003E041F" w:rsidRPr="00332A75">
        <w:rPr>
          <w:i/>
          <w:sz w:val="28"/>
          <w:szCs w:val="28"/>
        </w:rPr>
        <w:t xml:space="preserve">the servitude was concluded in circumstances where the </w:t>
      </w:r>
      <w:proofErr w:type="spellStart"/>
      <w:r w:rsidR="003E041F" w:rsidRPr="00332A75">
        <w:rPr>
          <w:i/>
          <w:sz w:val="28"/>
          <w:szCs w:val="28"/>
        </w:rPr>
        <w:t>Kayalami</w:t>
      </w:r>
      <w:proofErr w:type="spellEnd"/>
      <w:r w:rsidR="003E041F" w:rsidRPr="00332A75">
        <w:rPr>
          <w:i/>
          <w:sz w:val="28"/>
          <w:szCs w:val="28"/>
        </w:rPr>
        <w:t xml:space="preserve"> Centro Master Plan reflected the same obligations and layout as the final Precinct Plan for </w:t>
      </w:r>
      <w:r w:rsidR="002D7529">
        <w:rPr>
          <w:i/>
          <w:sz w:val="28"/>
          <w:szCs w:val="28"/>
        </w:rPr>
        <w:lastRenderedPageBreak/>
        <w:t>Extension 27”</w:t>
      </w:r>
      <w:r w:rsidR="003E041F" w:rsidRPr="00332A75">
        <w:rPr>
          <w:i/>
          <w:sz w:val="28"/>
          <w:szCs w:val="28"/>
        </w:rPr>
        <w:t xml:space="preserve"> </w:t>
      </w:r>
      <w:r w:rsidR="003E041F" w:rsidRPr="005D2BCA">
        <w:rPr>
          <w:sz w:val="28"/>
          <w:szCs w:val="28"/>
        </w:rPr>
        <w:t>and</w:t>
      </w:r>
      <w:r w:rsidR="003E041F" w:rsidRPr="00332A75">
        <w:rPr>
          <w:i/>
          <w:sz w:val="28"/>
          <w:szCs w:val="28"/>
        </w:rPr>
        <w:t xml:space="preserve"> “as mentioned in affidavits filed of record, the evil that the Applicant seeks to prevent is t</w:t>
      </w:r>
      <w:r w:rsidR="001F5834" w:rsidRPr="00332A75">
        <w:rPr>
          <w:i/>
          <w:sz w:val="28"/>
          <w:szCs w:val="28"/>
        </w:rPr>
        <w:t>o stop Century (and Precinct) f</w:t>
      </w:r>
      <w:r w:rsidR="003E041F" w:rsidRPr="00332A75">
        <w:rPr>
          <w:i/>
          <w:sz w:val="28"/>
          <w:szCs w:val="28"/>
        </w:rPr>
        <w:t>r</w:t>
      </w:r>
      <w:r w:rsidR="001F5834" w:rsidRPr="00332A75">
        <w:rPr>
          <w:i/>
          <w:sz w:val="28"/>
          <w:szCs w:val="28"/>
        </w:rPr>
        <w:t>o</w:t>
      </w:r>
      <w:r w:rsidR="003E041F" w:rsidRPr="00332A75">
        <w:rPr>
          <w:i/>
          <w:sz w:val="28"/>
          <w:szCs w:val="28"/>
        </w:rPr>
        <w:t xml:space="preserve">m </w:t>
      </w:r>
      <w:r w:rsidR="001F5834" w:rsidRPr="00332A75">
        <w:rPr>
          <w:i/>
          <w:sz w:val="28"/>
          <w:szCs w:val="28"/>
        </w:rPr>
        <w:t xml:space="preserve">erecting a multi-use development in competition with the multi-use development that have been constructed on the Waterfall Farm (WEL’s land).  The loss of revenue created by such competing development is almost impossible to qualify and the suggestion that the Applicant would have an alternative claim for damages, is opportunistic.  The 2010 Precinct Plan defined the mixed use in erven 1 – 5 which regulated the </w:t>
      </w:r>
      <w:r w:rsidR="00332A75" w:rsidRPr="00332A75">
        <w:rPr>
          <w:i/>
          <w:sz w:val="28"/>
          <w:szCs w:val="28"/>
        </w:rPr>
        <w:t xml:space="preserve">development in these precincts.  Century </w:t>
      </w:r>
      <w:r w:rsidR="00332A75">
        <w:rPr>
          <w:i/>
          <w:sz w:val="28"/>
          <w:szCs w:val="28"/>
        </w:rPr>
        <w:t>failed to adhere to the</w:t>
      </w:r>
      <w:r w:rsidR="00332A75" w:rsidRPr="00332A75">
        <w:rPr>
          <w:i/>
          <w:sz w:val="28"/>
          <w:szCs w:val="28"/>
        </w:rPr>
        <w:t>se development controls which it was contractually obliged to do … “</w:t>
      </w:r>
      <w:r w:rsidR="00332A75" w:rsidRPr="005D2BCA">
        <w:rPr>
          <w:sz w:val="28"/>
          <w:szCs w:val="28"/>
        </w:rPr>
        <w:t>and</w:t>
      </w:r>
      <w:r w:rsidR="00332A75" w:rsidRPr="00332A75">
        <w:rPr>
          <w:i/>
          <w:sz w:val="28"/>
          <w:szCs w:val="28"/>
        </w:rPr>
        <w:t>” … the Applicant seeks no more than that the development of the Precincts properties complies with the development restrictions imposed by the Notarial Deed, read with the 2010 Precinct Plan</w:t>
      </w:r>
      <w:r w:rsidR="00332A75">
        <w:rPr>
          <w:sz w:val="28"/>
          <w:szCs w:val="28"/>
        </w:rPr>
        <w:t>”.</w:t>
      </w:r>
      <w:r w:rsidR="001F5834">
        <w:rPr>
          <w:sz w:val="28"/>
          <w:szCs w:val="28"/>
        </w:rPr>
        <w:t xml:space="preserve">   </w:t>
      </w:r>
    </w:p>
    <w:p w:rsidR="00332A75" w:rsidRPr="003E47FE" w:rsidRDefault="00332A75" w:rsidP="003E47FE">
      <w:pPr>
        <w:pStyle w:val="MEMONUMBERED"/>
        <w:numPr>
          <w:ilvl w:val="0"/>
          <w:numId w:val="0"/>
        </w:numPr>
        <w:spacing w:after="120" w:line="360" w:lineRule="auto"/>
        <w:rPr>
          <w:b/>
          <w:sz w:val="28"/>
          <w:szCs w:val="28"/>
        </w:rPr>
      </w:pPr>
      <w:r w:rsidRPr="003E47FE">
        <w:rPr>
          <w:b/>
          <w:sz w:val="28"/>
          <w:szCs w:val="28"/>
        </w:rPr>
        <w:t xml:space="preserve">Evaluation </w:t>
      </w:r>
    </w:p>
    <w:p w:rsidR="00332A75" w:rsidRDefault="00073A85" w:rsidP="00073A85">
      <w:pPr>
        <w:pStyle w:val="MEMONUMBERED"/>
        <w:numPr>
          <w:ilvl w:val="0"/>
          <w:numId w:val="0"/>
        </w:numPr>
        <w:spacing w:after="360" w:line="360" w:lineRule="auto"/>
        <w:rPr>
          <w:sz w:val="28"/>
          <w:szCs w:val="28"/>
        </w:rPr>
      </w:pPr>
      <w:r>
        <w:rPr>
          <w:sz w:val="28"/>
          <w:szCs w:val="28"/>
        </w:rPr>
        <w:t>[28]</w:t>
      </w:r>
      <w:r>
        <w:rPr>
          <w:sz w:val="28"/>
          <w:szCs w:val="28"/>
        </w:rPr>
        <w:tab/>
      </w:r>
      <w:r w:rsidR="00332A75">
        <w:rPr>
          <w:sz w:val="28"/>
          <w:szCs w:val="28"/>
        </w:rPr>
        <w:t xml:space="preserve">The first issue to be </w:t>
      </w:r>
      <w:r w:rsidR="00A6543B">
        <w:rPr>
          <w:sz w:val="28"/>
          <w:szCs w:val="28"/>
        </w:rPr>
        <w:t>decided</w:t>
      </w:r>
      <w:r w:rsidR="00332A75">
        <w:rPr>
          <w:sz w:val="28"/>
          <w:szCs w:val="28"/>
        </w:rPr>
        <w:t xml:space="preserve"> is whether the 2010 Precinct Plan formed part of the Servitude Agreement and the </w:t>
      </w:r>
      <w:r w:rsidR="002D7529">
        <w:rPr>
          <w:sz w:val="28"/>
          <w:szCs w:val="28"/>
        </w:rPr>
        <w:t>Notarial Deed</w:t>
      </w:r>
      <w:r w:rsidR="00332A75">
        <w:rPr>
          <w:sz w:val="28"/>
          <w:szCs w:val="28"/>
        </w:rPr>
        <w:t>.  Th</w:t>
      </w:r>
      <w:r w:rsidR="005D2BCA">
        <w:rPr>
          <w:sz w:val="28"/>
          <w:szCs w:val="28"/>
        </w:rPr>
        <w:t xml:space="preserve">is is what WEL contends.  The </w:t>
      </w:r>
      <w:r w:rsidR="00332A75">
        <w:rPr>
          <w:sz w:val="28"/>
          <w:szCs w:val="28"/>
        </w:rPr>
        <w:t xml:space="preserve">first point to be noted that the Precinct Plan as such is not mentioned </w:t>
      </w:r>
      <w:r w:rsidR="002D7529">
        <w:rPr>
          <w:sz w:val="28"/>
          <w:szCs w:val="28"/>
        </w:rPr>
        <w:t>in either document.  The reason why it could</w:t>
      </w:r>
      <w:r w:rsidR="00332A75">
        <w:rPr>
          <w:sz w:val="28"/>
          <w:szCs w:val="28"/>
        </w:rPr>
        <w:t xml:space="preserve"> not </w:t>
      </w:r>
      <w:proofErr w:type="gramStart"/>
      <w:r w:rsidR="00332A75">
        <w:rPr>
          <w:sz w:val="28"/>
          <w:szCs w:val="28"/>
        </w:rPr>
        <w:t>mentioned</w:t>
      </w:r>
      <w:proofErr w:type="gramEnd"/>
      <w:r w:rsidR="00332A75">
        <w:rPr>
          <w:sz w:val="28"/>
          <w:szCs w:val="28"/>
        </w:rPr>
        <w:t xml:space="preserve"> in the Servitude Agree</w:t>
      </w:r>
      <w:r w:rsidR="005D2BCA">
        <w:rPr>
          <w:sz w:val="28"/>
          <w:szCs w:val="28"/>
        </w:rPr>
        <w:t>ment is because that agreement pre-dated</w:t>
      </w:r>
      <w:r w:rsidR="00332A75">
        <w:rPr>
          <w:sz w:val="28"/>
          <w:szCs w:val="28"/>
        </w:rPr>
        <w:t xml:space="preserve"> the approval of the Precinct Plan.  This much is conceded by WEL.  However, WEL argues, in supplementary Heads of Argument delivered on its behalf, that:</w:t>
      </w:r>
    </w:p>
    <w:p w:rsidR="00A6543B" w:rsidRDefault="00332A75" w:rsidP="003E47FE">
      <w:pPr>
        <w:pStyle w:val="MEMONUMBERED"/>
        <w:numPr>
          <w:ilvl w:val="0"/>
          <w:numId w:val="0"/>
        </w:numPr>
        <w:spacing w:after="360" w:line="360" w:lineRule="auto"/>
        <w:ind w:left="1429"/>
        <w:rPr>
          <w:sz w:val="28"/>
          <w:szCs w:val="28"/>
        </w:rPr>
      </w:pPr>
      <w:r>
        <w:rPr>
          <w:sz w:val="28"/>
          <w:szCs w:val="28"/>
        </w:rPr>
        <w:t>“</w:t>
      </w:r>
      <w:r w:rsidRPr="000D5796">
        <w:rPr>
          <w:i/>
          <w:sz w:val="28"/>
          <w:szCs w:val="28"/>
        </w:rPr>
        <w:t xml:space="preserve">The servitude agreement was informed by the land use rights and the placing thereof which was at that stage in the process of approval and reflected in the then pending township development process of Extension 27.  The difference between the </w:t>
      </w:r>
      <w:proofErr w:type="spellStart"/>
      <w:r w:rsidRPr="000D5796">
        <w:rPr>
          <w:i/>
          <w:sz w:val="28"/>
          <w:szCs w:val="28"/>
        </w:rPr>
        <w:t>Kayalami</w:t>
      </w:r>
      <w:proofErr w:type="spellEnd"/>
      <w:r w:rsidRPr="000D5796">
        <w:rPr>
          <w:i/>
          <w:sz w:val="28"/>
          <w:szCs w:val="28"/>
        </w:rPr>
        <w:t xml:space="preserve"> Centro Plan and the 2010 Precinct Plan is the purpose they served and the information that is reflected therein.  The </w:t>
      </w:r>
      <w:proofErr w:type="spellStart"/>
      <w:r w:rsidRPr="000D5796">
        <w:rPr>
          <w:i/>
          <w:sz w:val="28"/>
          <w:szCs w:val="28"/>
        </w:rPr>
        <w:t>Kayalami</w:t>
      </w:r>
      <w:proofErr w:type="spellEnd"/>
      <w:r w:rsidRPr="000D5796">
        <w:rPr>
          <w:i/>
          <w:sz w:val="28"/>
          <w:szCs w:val="28"/>
        </w:rPr>
        <w:t xml:space="preserve"> Centro Master Pla</w:t>
      </w:r>
      <w:r w:rsidR="005D2BCA">
        <w:rPr>
          <w:i/>
          <w:sz w:val="28"/>
          <w:szCs w:val="28"/>
        </w:rPr>
        <w:t>n deals with the development ph</w:t>
      </w:r>
      <w:r w:rsidRPr="000D5796">
        <w:rPr>
          <w:i/>
          <w:sz w:val="28"/>
          <w:szCs w:val="28"/>
        </w:rPr>
        <w:t>ases</w:t>
      </w:r>
      <w:r w:rsidR="000D5796" w:rsidRPr="000D5796">
        <w:rPr>
          <w:i/>
          <w:sz w:val="28"/>
          <w:szCs w:val="28"/>
        </w:rPr>
        <w:t xml:space="preserve"> of the development </w:t>
      </w:r>
      <w:r w:rsidR="000D5796" w:rsidRPr="000D5796">
        <w:rPr>
          <w:i/>
          <w:sz w:val="28"/>
          <w:szCs w:val="28"/>
        </w:rPr>
        <w:lastRenderedPageBreak/>
        <w:t>over the land in respect of road improvement and access and was directly linked to the 2010 Precinct Plan</w:t>
      </w:r>
      <w:r w:rsidR="005D2BCA">
        <w:rPr>
          <w:i/>
          <w:sz w:val="28"/>
          <w:szCs w:val="28"/>
        </w:rPr>
        <w:t xml:space="preserve"> which</w:t>
      </w:r>
      <w:r w:rsidR="000D5796" w:rsidRPr="000D5796">
        <w:rPr>
          <w:i/>
          <w:sz w:val="28"/>
          <w:szCs w:val="28"/>
        </w:rPr>
        <w:t xml:space="preserve"> deals with different land uses, positioning of the land uses and the development controls thereof which bound the parties and restricted Century in their development rights</w:t>
      </w:r>
      <w:r w:rsidR="000D5796">
        <w:rPr>
          <w:sz w:val="28"/>
          <w:szCs w:val="28"/>
        </w:rPr>
        <w:t>”.</w:t>
      </w:r>
      <w:r>
        <w:rPr>
          <w:sz w:val="28"/>
          <w:szCs w:val="28"/>
        </w:rPr>
        <w:t xml:space="preserve"> </w:t>
      </w:r>
    </w:p>
    <w:p w:rsidR="00693FA5" w:rsidRDefault="00073A85" w:rsidP="00073A85">
      <w:pPr>
        <w:pStyle w:val="MEMONUMBERED"/>
        <w:numPr>
          <w:ilvl w:val="0"/>
          <w:numId w:val="0"/>
        </w:numPr>
        <w:spacing w:after="360" w:line="360" w:lineRule="auto"/>
        <w:rPr>
          <w:sz w:val="28"/>
          <w:szCs w:val="28"/>
        </w:rPr>
      </w:pPr>
      <w:r>
        <w:rPr>
          <w:sz w:val="28"/>
          <w:szCs w:val="28"/>
        </w:rPr>
        <w:t>[29]</w:t>
      </w:r>
      <w:r>
        <w:rPr>
          <w:sz w:val="28"/>
          <w:szCs w:val="28"/>
        </w:rPr>
        <w:tab/>
      </w:r>
      <w:r w:rsidR="000D5796" w:rsidRPr="00693FA5">
        <w:rPr>
          <w:sz w:val="28"/>
          <w:szCs w:val="28"/>
        </w:rPr>
        <w:t>These submissions do not assist in answering the question as to why, if WEL sought to limit the re</w:t>
      </w:r>
      <w:r w:rsidR="00693FA5" w:rsidRPr="00693FA5">
        <w:rPr>
          <w:sz w:val="28"/>
          <w:szCs w:val="28"/>
        </w:rPr>
        <w:t>spondents and their predecessor</w:t>
      </w:r>
      <w:r w:rsidR="000D5796" w:rsidRPr="00693FA5">
        <w:rPr>
          <w:sz w:val="28"/>
          <w:szCs w:val="28"/>
        </w:rPr>
        <w:t xml:space="preserve"> Melville, in the fashion contended, no such limitation featured in the agreement.  The </w:t>
      </w:r>
      <w:proofErr w:type="spellStart"/>
      <w:r w:rsidR="002D7529">
        <w:rPr>
          <w:sz w:val="28"/>
          <w:szCs w:val="28"/>
        </w:rPr>
        <w:t>Kayalami</w:t>
      </w:r>
      <w:proofErr w:type="spellEnd"/>
      <w:r w:rsidR="002D7529">
        <w:rPr>
          <w:sz w:val="28"/>
          <w:szCs w:val="28"/>
        </w:rPr>
        <w:t xml:space="preserve"> </w:t>
      </w:r>
      <w:r w:rsidR="000D5796" w:rsidRPr="00693FA5">
        <w:rPr>
          <w:sz w:val="28"/>
          <w:szCs w:val="28"/>
        </w:rPr>
        <w:t>Centro Master Plan</w:t>
      </w:r>
      <w:r w:rsidR="00693FA5" w:rsidRPr="00693FA5">
        <w:rPr>
          <w:sz w:val="28"/>
          <w:szCs w:val="28"/>
        </w:rPr>
        <w:t xml:space="preserve"> was at that stage, in the same manner as the proposed Precinct Plan</w:t>
      </w:r>
      <w:r w:rsidR="000D5796" w:rsidRPr="00693FA5">
        <w:rPr>
          <w:sz w:val="28"/>
          <w:szCs w:val="28"/>
        </w:rPr>
        <w:t>, still part of the de</w:t>
      </w:r>
      <w:r w:rsidR="006533C7">
        <w:rPr>
          <w:sz w:val="28"/>
          <w:szCs w:val="28"/>
        </w:rPr>
        <w:t>velopment process to be approved</w:t>
      </w:r>
      <w:r w:rsidR="000D5796" w:rsidRPr="00693FA5">
        <w:rPr>
          <w:sz w:val="28"/>
          <w:szCs w:val="28"/>
        </w:rPr>
        <w:t xml:space="preserve"> by the </w:t>
      </w:r>
      <w:proofErr w:type="spellStart"/>
      <w:r w:rsidR="000D5796" w:rsidRPr="00693FA5">
        <w:rPr>
          <w:sz w:val="28"/>
          <w:szCs w:val="28"/>
        </w:rPr>
        <w:t>CoJ</w:t>
      </w:r>
      <w:proofErr w:type="spellEnd"/>
      <w:r w:rsidR="000D5796" w:rsidRPr="00693FA5">
        <w:rPr>
          <w:sz w:val="28"/>
          <w:szCs w:val="28"/>
        </w:rPr>
        <w:t xml:space="preserve">.  Nothing </w:t>
      </w:r>
      <w:r w:rsidR="002D7529">
        <w:rPr>
          <w:sz w:val="28"/>
          <w:szCs w:val="28"/>
        </w:rPr>
        <w:t>therefore would have</w:t>
      </w:r>
      <w:r w:rsidR="000D5796" w:rsidRPr="00693FA5">
        <w:rPr>
          <w:sz w:val="28"/>
          <w:szCs w:val="28"/>
        </w:rPr>
        <w:t xml:space="preserve"> prevented the parties, if that had been their intention</w:t>
      </w:r>
      <w:r w:rsidR="00693FA5" w:rsidRPr="00693FA5">
        <w:rPr>
          <w:sz w:val="28"/>
          <w:szCs w:val="28"/>
        </w:rPr>
        <w:t>, to incorporate a draft plan or</w:t>
      </w:r>
      <w:r w:rsidR="000D5796" w:rsidRPr="00693FA5">
        <w:rPr>
          <w:sz w:val="28"/>
          <w:szCs w:val="28"/>
        </w:rPr>
        <w:t xml:space="preserve"> indeed the Precinct Plan submitted to the </w:t>
      </w:r>
      <w:proofErr w:type="spellStart"/>
      <w:r w:rsidR="000D5796" w:rsidRPr="00693FA5">
        <w:rPr>
          <w:sz w:val="28"/>
          <w:szCs w:val="28"/>
        </w:rPr>
        <w:t>CoJ</w:t>
      </w:r>
      <w:proofErr w:type="spellEnd"/>
      <w:r w:rsidR="00693FA5" w:rsidRPr="00693FA5">
        <w:rPr>
          <w:sz w:val="28"/>
          <w:szCs w:val="28"/>
        </w:rPr>
        <w:t xml:space="preserve"> for approval,</w:t>
      </w:r>
      <w:r w:rsidR="000D5796" w:rsidRPr="00693FA5">
        <w:rPr>
          <w:sz w:val="28"/>
          <w:szCs w:val="28"/>
        </w:rPr>
        <w:t xml:space="preserve"> </w:t>
      </w:r>
      <w:r w:rsidR="002D7529">
        <w:rPr>
          <w:sz w:val="28"/>
          <w:szCs w:val="28"/>
        </w:rPr>
        <w:t>in</w:t>
      </w:r>
      <w:r w:rsidR="000D5796" w:rsidRPr="00693FA5">
        <w:rPr>
          <w:sz w:val="28"/>
          <w:szCs w:val="28"/>
        </w:rPr>
        <w:t xml:space="preserve">to the Servitude Agreement.  Nothing also prevented them from </w:t>
      </w:r>
      <w:r w:rsidR="002D7529">
        <w:rPr>
          <w:sz w:val="28"/>
          <w:szCs w:val="28"/>
        </w:rPr>
        <w:t>otherwise</w:t>
      </w:r>
      <w:r w:rsidR="006533C7">
        <w:rPr>
          <w:sz w:val="28"/>
          <w:szCs w:val="28"/>
        </w:rPr>
        <w:t xml:space="preserve"> </w:t>
      </w:r>
      <w:r w:rsidR="000D5796" w:rsidRPr="00693FA5">
        <w:rPr>
          <w:sz w:val="28"/>
          <w:szCs w:val="28"/>
        </w:rPr>
        <w:t xml:space="preserve">delineating </w:t>
      </w:r>
      <w:r w:rsidR="00693FA5" w:rsidRPr="00693FA5">
        <w:rPr>
          <w:sz w:val="28"/>
          <w:szCs w:val="28"/>
        </w:rPr>
        <w:t>those restrictions which WEL now contends for, in the agreement.  This could have been made</w:t>
      </w:r>
      <w:r w:rsidR="000D5796" w:rsidRPr="00693FA5">
        <w:rPr>
          <w:sz w:val="28"/>
          <w:szCs w:val="28"/>
        </w:rPr>
        <w:t xml:space="preserve"> subject to approval by </w:t>
      </w:r>
      <w:proofErr w:type="spellStart"/>
      <w:r w:rsidR="000D5796" w:rsidRPr="00693FA5">
        <w:rPr>
          <w:sz w:val="28"/>
          <w:szCs w:val="28"/>
        </w:rPr>
        <w:t>CoJ</w:t>
      </w:r>
      <w:proofErr w:type="spellEnd"/>
      <w:r w:rsidR="000D5796" w:rsidRPr="00693FA5">
        <w:rPr>
          <w:sz w:val="28"/>
          <w:szCs w:val="28"/>
        </w:rPr>
        <w:t xml:space="preserve"> or</w:t>
      </w:r>
      <w:r w:rsidR="002D7529">
        <w:rPr>
          <w:sz w:val="28"/>
          <w:szCs w:val="28"/>
        </w:rPr>
        <w:t xml:space="preserve">, if not approved, </w:t>
      </w:r>
      <w:r w:rsidR="000D5796" w:rsidRPr="00693FA5">
        <w:rPr>
          <w:sz w:val="28"/>
          <w:szCs w:val="28"/>
        </w:rPr>
        <w:t>as applicable</w:t>
      </w:r>
      <w:r w:rsidR="002D7529">
        <w:rPr>
          <w:sz w:val="28"/>
          <w:szCs w:val="28"/>
        </w:rPr>
        <w:t xml:space="preserve"> only inter </w:t>
      </w:r>
      <w:proofErr w:type="spellStart"/>
      <w:r w:rsidR="002D7529">
        <w:rPr>
          <w:sz w:val="28"/>
          <w:szCs w:val="28"/>
        </w:rPr>
        <w:t>part</w:t>
      </w:r>
      <w:r w:rsidR="000D5796" w:rsidRPr="00693FA5">
        <w:rPr>
          <w:sz w:val="28"/>
          <w:szCs w:val="28"/>
        </w:rPr>
        <w:t>es</w:t>
      </w:r>
      <w:proofErr w:type="spellEnd"/>
      <w:r w:rsidR="00693FA5">
        <w:rPr>
          <w:sz w:val="28"/>
          <w:szCs w:val="28"/>
        </w:rPr>
        <w:t>.</w:t>
      </w:r>
    </w:p>
    <w:p w:rsidR="003312D5" w:rsidRPr="00693FA5" w:rsidRDefault="00073A85" w:rsidP="00073A85">
      <w:pPr>
        <w:pStyle w:val="MEMONUMBERED"/>
        <w:numPr>
          <w:ilvl w:val="0"/>
          <w:numId w:val="0"/>
        </w:numPr>
        <w:spacing w:after="360" w:line="360" w:lineRule="auto"/>
        <w:rPr>
          <w:sz w:val="28"/>
          <w:szCs w:val="28"/>
        </w:rPr>
      </w:pPr>
      <w:r w:rsidRPr="00693FA5">
        <w:rPr>
          <w:sz w:val="28"/>
          <w:szCs w:val="28"/>
        </w:rPr>
        <w:t>[30]</w:t>
      </w:r>
      <w:r w:rsidRPr="00693FA5">
        <w:rPr>
          <w:sz w:val="28"/>
          <w:szCs w:val="28"/>
        </w:rPr>
        <w:tab/>
      </w:r>
      <w:r w:rsidR="000D5796" w:rsidRPr="00693FA5">
        <w:rPr>
          <w:sz w:val="28"/>
          <w:szCs w:val="28"/>
        </w:rPr>
        <w:t xml:space="preserve">The explanation as to why the Precinct Plan </w:t>
      </w:r>
      <w:r w:rsidR="002D7529">
        <w:rPr>
          <w:sz w:val="28"/>
          <w:szCs w:val="28"/>
        </w:rPr>
        <w:t>could</w:t>
      </w:r>
      <w:r w:rsidR="000D5796" w:rsidRPr="00693FA5">
        <w:rPr>
          <w:sz w:val="28"/>
          <w:szCs w:val="28"/>
        </w:rPr>
        <w:t xml:space="preserve"> not</w:t>
      </w:r>
      <w:r w:rsidR="002D7529">
        <w:rPr>
          <w:sz w:val="28"/>
          <w:szCs w:val="28"/>
        </w:rPr>
        <w:t xml:space="preserve"> have been</w:t>
      </w:r>
      <w:r w:rsidR="000D5796" w:rsidRPr="00693FA5">
        <w:rPr>
          <w:sz w:val="28"/>
          <w:szCs w:val="28"/>
        </w:rPr>
        <w:t xml:space="preserve"> annexed to or incorporated in the </w:t>
      </w:r>
      <w:r w:rsidR="006533C7">
        <w:rPr>
          <w:sz w:val="28"/>
          <w:szCs w:val="28"/>
        </w:rPr>
        <w:t>Servitude</w:t>
      </w:r>
      <w:r w:rsidR="002D7529">
        <w:rPr>
          <w:sz w:val="28"/>
          <w:szCs w:val="28"/>
        </w:rPr>
        <w:t xml:space="preserve"> Agreement</w:t>
      </w:r>
      <w:r w:rsidR="000D5796" w:rsidRPr="00693FA5">
        <w:rPr>
          <w:sz w:val="28"/>
          <w:szCs w:val="28"/>
        </w:rPr>
        <w:t xml:space="preserve">, does not hold water in respect of the </w:t>
      </w:r>
      <w:r w:rsidR="002D7529">
        <w:rPr>
          <w:sz w:val="28"/>
          <w:szCs w:val="28"/>
        </w:rPr>
        <w:t>Notarial Deed</w:t>
      </w:r>
      <w:r w:rsidR="000D5796" w:rsidRPr="00693FA5">
        <w:rPr>
          <w:sz w:val="28"/>
          <w:szCs w:val="28"/>
        </w:rPr>
        <w:t>, which was registered only in 2012</w:t>
      </w:r>
      <w:r w:rsidR="002D7529">
        <w:rPr>
          <w:sz w:val="28"/>
          <w:szCs w:val="28"/>
        </w:rPr>
        <w:t>, that is after the Precinct Plan had already been approved.</w:t>
      </w:r>
      <w:r w:rsidR="000D5796" w:rsidRPr="00693FA5">
        <w:rPr>
          <w:sz w:val="28"/>
          <w:szCs w:val="28"/>
        </w:rPr>
        <w:t xml:space="preserve">  WEL, when explaining which of</w:t>
      </w:r>
      <w:r w:rsidR="002D7529">
        <w:rPr>
          <w:sz w:val="28"/>
          <w:szCs w:val="28"/>
        </w:rPr>
        <w:t xml:space="preserve"> the</w:t>
      </w:r>
      <w:r w:rsidR="000D5796" w:rsidRPr="00693FA5">
        <w:rPr>
          <w:sz w:val="28"/>
          <w:szCs w:val="28"/>
        </w:rPr>
        <w:t xml:space="preserve"> annexures to its founding affidavit actually c</w:t>
      </w:r>
      <w:r w:rsidR="002D7529">
        <w:rPr>
          <w:sz w:val="28"/>
          <w:szCs w:val="28"/>
        </w:rPr>
        <w:t>onstituted “Annexure 1” to the Servitude A</w:t>
      </w:r>
      <w:r w:rsidR="000D5796" w:rsidRPr="00693FA5">
        <w:rPr>
          <w:sz w:val="28"/>
          <w:szCs w:val="28"/>
        </w:rPr>
        <w:t>greement, had access to the notary and the protocol co</w:t>
      </w:r>
      <w:r w:rsidR="002D7529">
        <w:rPr>
          <w:sz w:val="28"/>
          <w:szCs w:val="28"/>
        </w:rPr>
        <w:t>ntaining the s</w:t>
      </w:r>
      <w:r w:rsidR="000D5796" w:rsidRPr="00693FA5">
        <w:rPr>
          <w:sz w:val="28"/>
          <w:szCs w:val="28"/>
        </w:rPr>
        <w:t xml:space="preserve">ervitude documents.  </w:t>
      </w:r>
      <w:r w:rsidR="002D7529">
        <w:rPr>
          <w:sz w:val="28"/>
          <w:szCs w:val="28"/>
        </w:rPr>
        <w:t>Notably, despite this access, t</w:t>
      </w:r>
      <w:r w:rsidR="000D5796" w:rsidRPr="00693FA5">
        <w:rPr>
          <w:sz w:val="28"/>
          <w:szCs w:val="28"/>
        </w:rPr>
        <w:t>he Precinct Plan, did not feature</w:t>
      </w:r>
      <w:r w:rsidR="002D7529">
        <w:rPr>
          <w:sz w:val="28"/>
          <w:szCs w:val="28"/>
        </w:rPr>
        <w:t xml:space="preserve"> as an annexure</w:t>
      </w:r>
      <w:r w:rsidR="000D5796" w:rsidRPr="00693FA5">
        <w:rPr>
          <w:sz w:val="28"/>
          <w:szCs w:val="28"/>
        </w:rPr>
        <w:t xml:space="preserve">. </w:t>
      </w:r>
    </w:p>
    <w:p w:rsidR="003312D5" w:rsidRPr="00E5152F" w:rsidRDefault="00073A85" w:rsidP="00073A85">
      <w:pPr>
        <w:pStyle w:val="MEMONUMBERED"/>
        <w:numPr>
          <w:ilvl w:val="0"/>
          <w:numId w:val="0"/>
        </w:numPr>
        <w:spacing w:after="360" w:line="360" w:lineRule="auto"/>
        <w:rPr>
          <w:sz w:val="28"/>
          <w:szCs w:val="28"/>
        </w:rPr>
      </w:pPr>
      <w:r w:rsidRPr="00E5152F">
        <w:rPr>
          <w:sz w:val="28"/>
          <w:szCs w:val="28"/>
        </w:rPr>
        <w:lastRenderedPageBreak/>
        <w:t>[31]</w:t>
      </w:r>
      <w:r w:rsidRPr="00E5152F">
        <w:rPr>
          <w:sz w:val="28"/>
          <w:szCs w:val="28"/>
        </w:rPr>
        <w:tab/>
      </w:r>
      <w:r w:rsidR="00383FD4">
        <w:rPr>
          <w:sz w:val="28"/>
          <w:szCs w:val="28"/>
        </w:rPr>
        <w:t xml:space="preserve">Of </w:t>
      </w:r>
      <w:r w:rsidR="00693FA5">
        <w:rPr>
          <w:sz w:val="28"/>
          <w:szCs w:val="28"/>
        </w:rPr>
        <w:t>cru</w:t>
      </w:r>
      <w:r w:rsidR="001E437D">
        <w:rPr>
          <w:sz w:val="28"/>
          <w:szCs w:val="28"/>
        </w:rPr>
        <w:t>cial importance</w:t>
      </w:r>
      <w:r w:rsidR="00383FD4">
        <w:rPr>
          <w:sz w:val="28"/>
          <w:szCs w:val="28"/>
        </w:rPr>
        <w:t xml:space="preserve"> is the absence of a claim for rectification for inclusion of either the Precinct Plan or its contents into either the Servitude Agreement or the </w:t>
      </w:r>
      <w:r w:rsidR="002D7529">
        <w:rPr>
          <w:sz w:val="28"/>
          <w:szCs w:val="28"/>
        </w:rPr>
        <w:t>Notarial Deed</w:t>
      </w:r>
      <w:r w:rsidR="00383FD4">
        <w:rPr>
          <w:sz w:val="28"/>
          <w:szCs w:val="28"/>
        </w:rPr>
        <w:t>.</w:t>
      </w:r>
    </w:p>
    <w:p w:rsidR="003312D5" w:rsidRPr="00E5152F" w:rsidRDefault="00073A85" w:rsidP="00073A85">
      <w:pPr>
        <w:pStyle w:val="MEMONUMBERED"/>
        <w:numPr>
          <w:ilvl w:val="0"/>
          <w:numId w:val="0"/>
        </w:numPr>
        <w:spacing w:after="360" w:line="360" w:lineRule="auto"/>
        <w:rPr>
          <w:sz w:val="28"/>
          <w:szCs w:val="28"/>
        </w:rPr>
      </w:pPr>
      <w:r w:rsidRPr="00E5152F">
        <w:rPr>
          <w:sz w:val="28"/>
          <w:szCs w:val="28"/>
        </w:rPr>
        <w:t>[32]</w:t>
      </w:r>
      <w:r w:rsidRPr="00E5152F">
        <w:rPr>
          <w:sz w:val="28"/>
          <w:szCs w:val="28"/>
        </w:rPr>
        <w:tab/>
      </w:r>
      <w:r w:rsidR="002D7529">
        <w:rPr>
          <w:sz w:val="28"/>
          <w:szCs w:val="28"/>
        </w:rPr>
        <w:t xml:space="preserve">In an attempt to </w:t>
      </w:r>
      <w:r w:rsidR="00FD5007">
        <w:rPr>
          <w:sz w:val="28"/>
          <w:szCs w:val="28"/>
        </w:rPr>
        <w:t>meet these deficiencies, WEL so</w:t>
      </w:r>
      <w:r w:rsidR="002D7529">
        <w:rPr>
          <w:sz w:val="28"/>
          <w:szCs w:val="28"/>
        </w:rPr>
        <w:t>ught to rely</w:t>
      </w:r>
      <w:r w:rsidR="00383FD4">
        <w:rPr>
          <w:sz w:val="28"/>
          <w:szCs w:val="28"/>
        </w:rPr>
        <w:t xml:space="preserve"> on the interpretational aids</w:t>
      </w:r>
      <w:r w:rsidR="00383FD4">
        <w:rPr>
          <w:rStyle w:val="FootnoteReference"/>
          <w:sz w:val="28"/>
          <w:szCs w:val="28"/>
        </w:rPr>
        <w:footnoteReference w:id="1"/>
      </w:r>
      <w:r w:rsidR="00383FD4">
        <w:rPr>
          <w:sz w:val="28"/>
          <w:szCs w:val="28"/>
        </w:rPr>
        <w:t xml:space="preserve"> to be gleaned from the “context” </w:t>
      </w:r>
      <w:r w:rsidR="00FD5007">
        <w:rPr>
          <w:sz w:val="28"/>
          <w:szCs w:val="28"/>
        </w:rPr>
        <w:t xml:space="preserve">existing </w:t>
      </w:r>
      <w:r w:rsidR="00383FD4">
        <w:rPr>
          <w:sz w:val="28"/>
          <w:szCs w:val="28"/>
        </w:rPr>
        <w:t>at the time when the Servitude Agreement w</w:t>
      </w:r>
      <w:r w:rsidR="00FA068C">
        <w:rPr>
          <w:sz w:val="28"/>
          <w:szCs w:val="28"/>
        </w:rPr>
        <w:t xml:space="preserve">as </w:t>
      </w:r>
      <w:r w:rsidR="00FD5007">
        <w:rPr>
          <w:sz w:val="28"/>
          <w:szCs w:val="28"/>
        </w:rPr>
        <w:t xml:space="preserve">concluded.  For this </w:t>
      </w:r>
      <w:proofErr w:type="gramStart"/>
      <w:r w:rsidR="00FD5007">
        <w:rPr>
          <w:sz w:val="28"/>
          <w:szCs w:val="28"/>
        </w:rPr>
        <w:t>purpose</w:t>
      </w:r>
      <w:proofErr w:type="gramEnd"/>
      <w:r w:rsidR="00FA068C">
        <w:rPr>
          <w:sz w:val="28"/>
          <w:szCs w:val="28"/>
        </w:rPr>
        <w:t xml:space="preserve"> WEL referred to a “s</w:t>
      </w:r>
      <w:r w:rsidR="00383FD4">
        <w:rPr>
          <w:sz w:val="28"/>
          <w:szCs w:val="28"/>
        </w:rPr>
        <w:t>heaf” of correspondence exchanged between the parties at the time</w:t>
      </w:r>
      <w:r w:rsidR="00FA068C">
        <w:rPr>
          <w:sz w:val="28"/>
          <w:szCs w:val="28"/>
        </w:rPr>
        <w:t xml:space="preserve">. </w:t>
      </w:r>
      <w:r w:rsidR="00383FD4">
        <w:rPr>
          <w:sz w:val="28"/>
          <w:szCs w:val="28"/>
        </w:rPr>
        <w:t xml:space="preserve"> </w:t>
      </w:r>
      <w:r w:rsidR="00FA068C">
        <w:rPr>
          <w:sz w:val="28"/>
          <w:szCs w:val="28"/>
        </w:rPr>
        <w:t>R</w:t>
      </w:r>
      <w:r w:rsidR="00383FD4">
        <w:rPr>
          <w:sz w:val="28"/>
          <w:szCs w:val="28"/>
        </w:rPr>
        <w:t>ather than confirm</w:t>
      </w:r>
      <w:r w:rsidR="00FA068C">
        <w:rPr>
          <w:sz w:val="28"/>
          <w:szCs w:val="28"/>
        </w:rPr>
        <w:t>ing</w:t>
      </w:r>
      <w:r w:rsidR="00383FD4">
        <w:rPr>
          <w:sz w:val="28"/>
          <w:szCs w:val="28"/>
        </w:rPr>
        <w:t xml:space="preserve"> any negotiation or agreement regarding restrictions</w:t>
      </w:r>
      <w:r w:rsidR="00FA068C">
        <w:rPr>
          <w:sz w:val="28"/>
          <w:szCs w:val="28"/>
        </w:rPr>
        <w:t xml:space="preserve"> or restraints to be placed</w:t>
      </w:r>
      <w:r w:rsidR="00383FD4">
        <w:rPr>
          <w:sz w:val="28"/>
          <w:szCs w:val="28"/>
        </w:rPr>
        <w:t xml:space="preserve"> on the nature and extent of the development </w:t>
      </w:r>
      <w:r w:rsidR="00FA068C">
        <w:rPr>
          <w:sz w:val="28"/>
          <w:szCs w:val="28"/>
        </w:rPr>
        <w:t>on the Mushroom farm</w:t>
      </w:r>
      <w:r w:rsidR="00383FD4">
        <w:rPr>
          <w:sz w:val="28"/>
          <w:szCs w:val="28"/>
        </w:rPr>
        <w:t>, the correspondence centered around the maximum traffic volumes at the two entry points to the developm</w:t>
      </w:r>
      <w:r w:rsidR="00FA068C">
        <w:rPr>
          <w:sz w:val="28"/>
          <w:szCs w:val="28"/>
        </w:rPr>
        <w:t>ent, i.e. the junction with Alla</w:t>
      </w:r>
      <w:r w:rsidR="00383FD4">
        <w:rPr>
          <w:sz w:val="28"/>
          <w:szCs w:val="28"/>
        </w:rPr>
        <w:t>ndale Road and the K-73 respectively.  I give one example hereof, contained in a let</w:t>
      </w:r>
      <w:r w:rsidR="00B11647">
        <w:rPr>
          <w:sz w:val="28"/>
          <w:szCs w:val="28"/>
        </w:rPr>
        <w:t xml:space="preserve">ter from the director of </w:t>
      </w:r>
      <w:proofErr w:type="spellStart"/>
      <w:r w:rsidR="00B11647">
        <w:rPr>
          <w:sz w:val="28"/>
          <w:szCs w:val="28"/>
        </w:rPr>
        <w:t>Atterbu</w:t>
      </w:r>
      <w:r w:rsidR="00383FD4">
        <w:rPr>
          <w:sz w:val="28"/>
          <w:szCs w:val="28"/>
        </w:rPr>
        <w:t>ry</w:t>
      </w:r>
      <w:proofErr w:type="spellEnd"/>
      <w:r w:rsidR="00383FD4">
        <w:rPr>
          <w:sz w:val="28"/>
          <w:szCs w:val="28"/>
        </w:rPr>
        <w:t xml:space="preserve"> Properties (one of the negotiating parties) to WEL dated 25 February 2021: “</w:t>
      </w:r>
      <w:r w:rsidR="00383FD4" w:rsidRPr="00B11647">
        <w:rPr>
          <w:i/>
          <w:sz w:val="28"/>
          <w:szCs w:val="28"/>
        </w:rPr>
        <w:t xml:space="preserve">Thank you once again for meeting </w:t>
      </w:r>
      <w:r w:rsidR="008F63FB" w:rsidRPr="00B11647">
        <w:rPr>
          <w:i/>
          <w:sz w:val="28"/>
          <w:szCs w:val="28"/>
        </w:rPr>
        <w:t>re the above matter [identified as “Waterfall – Servitude for Mushroom Farm”] … on 11 February 2010.  We wish to confirm the salient aspect of our discussion durin</w:t>
      </w:r>
      <w:r w:rsidR="003312D5" w:rsidRPr="00B11647">
        <w:rPr>
          <w:i/>
          <w:sz w:val="28"/>
          <w:szCs w:val="28"/>
        </w:rPr>
        <w:t>g the meeting to be as follows:</w:t>
      </w:r>
    </w:p>
    <w:p w:rsidR="0042002E" w:rsidRPr="003E47FE" w:rsidRDefault="00073A85" w:rsidP="00073A85">
      <w:pPr>
        <w:pStyle w:val="MEMONUMBERED"/>
        <w:numPr>
          <w:ilvl w:val="0"/>
          <w:numId w:val="0"/>
        </w:numPr>
        <w:spacing w:after="360" w:line="360" w:lineRule="auto"/>
        <w:ind w:left="1560" w:hanging="709"/>
        <w:rPr>
          <w:i/>
          <w:sz w:val="28"/>
          <w:szCs w:val="28"/>
        </w:rPr>
      </w:pPr>
      <w:r w:rsidRPr="003E47FE">
        <w:rPr>
          <w:i/>
          <w:sz w:val="28"/>
          <w:szCs w:val="28"/>
        </w:rPr>
        <w:t>1.</w:t>
      </w:r>
      <w:r w:rsidRPr="003E47FE">
        <w:rPr>
          <w:i/>
          <w:sz w:val="28"/>
          <w:szCs w:val="28"/>
        </w:rPr>
        <w:tab/>
      </w:r>
      <w:r w:rsidR="00277D94" w:rsidRPr="0042002E">
        <w:rPr>
          <w:i/>
          <w:sz w:val="28"/>
          <w:szCs w:val="28"/>
        </w:rPr>
        <w:t xml:space="preserve">Mushroom Farm (Kyalami Ext 70) did not notified the owners of Waterfall land as the direct adjacent land </w:t>
      </w:r>
      <w:proofErr w:type="spellStart"/>
      <w:r w:rsidR="00277D94" w:rsidRPr="0042002E">
        <w:rPr>
          <w:i/>
          <w:sz w:val="28"/>
          <w:szCs w:val="28"/>
        </w:rPr>
        <w:t>neighbours</w:t>
      </w:r>
      <w:proofErr w:type="spellEnd"/>
      <w:r w:rsidR="00277D94" w:rsidRPr="0042002E">
        <w:rPr>
          <w:i/>
          <w:sz w:val="28"/>
          <w:szCs w:val="28"/>
        </w:rPr>
        <w:t xml:space="preserve"> when submitting their application for township establishment.  Hence no opportunity was granted to comment or object.</w:t>
      </w:r>
    </w:p>
    <w:p w:rsidR="0042002E" w:rsidRPr="00E5152F" w:rsidRDefault="00073A85" w:rsidP="00073A85">
      <w:pPr>
        <w:pStyle w:val="MEMONUMBERED"/>
        <w:numPr>
          <w:ilvl w:val="0"/>
          <w:numId w:val="0"/>
        </w:numPr>
        <w:spacing w:after="360" w:line="360" w:lineRule="auto"/>
        <w:ind w:left="1560" w:hanging="709"/>
        <w:rPr>
          <w:i/>
          <w:sz w:val="28"/>
          <w:szCs w:val="28"/>
        </w:rPr>
      </w:pPr>
      <w:r w:rsidRPr="00E5152F">
        <w:rPr>
          <w:i/>
          <w:sz w:val="28"/>
          <w:szCs w:val="28"/>
        </w:rPr>
        <w:t>2.</w:t>
      </w:r>
      <w:r w:rsidRPr="00E5152F">
        <w:rPr>
          <w:i/>
          <w:sz w:val="28"/>
          <w:szCs w:val="28"/>
        </w:rPr>
        <w:tab/>
      </w:r>
      <w:r w:rsidR="00D07A8C" w:rsidRPr="0042002E">
        <w:rPr>
          <w:i/>
          <w:sz w:val="28"/>
          <w:szCs w:val="28"/>
        </w:rPr>
        <w:t xml:space="preserve">Waterfall owners (Mia’s &amp; </w:t>
      </w:r>
      <w:proofErr w:type="spellStart"/>
      <w:r w:rsidR="00D07A8C" w:rsidRPr="0042002E">
        <w:rPr>
          <w:i/>
          <w:sz w:val="28"/>
          <w:szCs w:val="28"/>
        </w:rPr>
        <w:t>Atterbury</w:t>
      </w:r>
      <w:proofErr w:type="spellEnd"/>
      <w:r w:rsidR="00D07A8C" w:rsidRPr="0042002E">
        <w:rPr>
          <w:i/>
          <w:sz w:val="28"/>
          <w:szCs w:val="28"/>
        </w:rPr>
        <w:t>) obtained a cop</w:t>
      </w:r>
      <w:r w:rsidR="00B11647">
        <w:rPr>
          <w:i/>
          <w:sz w:val="28"/>
          <w:szCs w:val="28"/>
        </w:rPr>
        <w:t>y of the T.I.S of the Mushroom F</w:t>
      </w:r>
      <w:r w:rsidR="00D07A8C" w:rsidRPr="0042002E">
        <w:rPr>
          <w:i/>
          <w:sz w:val="28"/>
          <w:szCs w:val="28"/>
        </w:rPr>
        <w:t>arm.  Waterfall have serious reservations re the road infrastructure upgrading proposed by the T.I.S.</w:t>
      </w:r>
    </w:p>
    <w:p w:rsidR="0042002E" w:rsidRPr="00E5152F" w:rsidRDefault="00073A85" w:rsidP="00073A85">
      <w:pPr>
        <w:pStyle w:val="MEMONUMBERED"/>
        <w:numPr>
          <w:ilvl w:val="0"/>
          <w:numId w:val="0"/>
        </w:numPr>
        <w:spacing w:after="360" w:line="360" w:lineRule="auto"/>
        <w:ind w:left="1560" w:hanging="709"/>
        <w:rPr>
          <w:i/>
          <w:sz w:val="28"/>
          <w:szCs w:val="28"/>
        </w:rPr>
      </w:pPr>
      <w:r w:rsidRPr="00E5152F">
        <w:rPr>
          <w:i/>
          <w:sz w:val="28"/>
          <w:szCs w:val="28"/>
        </w:rPr>
        <w:lastRenderedPageBreak/>
        <w:t>3.</w:t>
      </w:r>
      <w:r w:rsidRPr="00E5152F">
        <w:rPr>
          <w:i/>
          <w:sz w:val="28"/>
          <w:szCs w:val="28"/>
        </w:rPr>
        <w:tab/>
      </w:r>
      <w:r w:rsidR="00D07A8C" w:rsidRPr="0042002E">
        <w:rPr>
          <w:i/>
          <w:sz w:val="28"/>
          <w:szCs w:val="28"/>
        </w:rPr>
        <w:t xml:space="preserve">The owners of the Mushroom Farm </w:t>
      </w:r>
      <w:proofErr w:type="gramStart"/>
      <w:r w:rsidR="00D07A8C" w:rsidRPr="0042002E">
        <w:rPr>
          <w:i/>
          <w:sz w:val="28"/>
          <w:szCs w:val="28"/>
        </w:rPr>
        <w:t>is</w:t>
      </w:r>
      <w:proofErr w:type="gramEnd"/>
      <w:r w:rsidR="00D07A8C" w:rsidRPr="0042002E">
        <w:rPr>
          <w:i/>
          <w:sz w:val="28"/>
          <w:szCs w:val="28"/>
        </w:rPr>
        <w:t xml:space="preserve"> seeking to obtain a right of way servitude over a certain portion of the Waterfall land in order</w:t>
      </w:r>
      <w:r w:rsidR="0042002E">
        <w:rPr>
          <w:i/>
          <w:sz w:val="28"/>
          <w:szCs w:val="28"/>
        </w:rPr>
        <w:t xml:space="preserve"> to bet access off Allandale Rd.</w:t>
      </w:r>
    </w:p>
    <w:p w:rsidR="0042002E" w:rsidRPr="00E5152F" w:rsidRDefault="00073A85" w:rsidP="00073A85">
      <w:pPr>
        <w:pStyle w:val="MEMONUMBERED"/>
        <w:numPr>
          <w:ilvl w:val="0"/>
          <w:numId w:val="0"/>
        </w:numPr>
        <w:spacing w:after="360" w:line="360" w:lineRule="auto"/>
        <w:ind w:left="1560" w:hanging="709"/>
        <w:rPr>
          <w:i/>
          <w:sz w:val="28"/>
          <w:szCs w:val="28"/>
        </w:rPr>
      </w:pPr>
      <w:r w:rsidRPr="00E5152F">
        <w:rPr>
          <w:i/>
          <w:sz w:val="28"/>
          <w:szCs w:val="28"/>
        </w:rPr>
        <w:t>4.</w:t>
      </w:r>
      <w:r w:rsidRPr="00E5152F">
        <w:rPr>
          <w:i/>
          <w:sz w:val="28"/>
          <w:szCs w:val="28"/>
        </w:rPr>
        <w:tab/>
      </w:r>
      <w:r w:rsidR="00D07A8C" w:rsidRPr="0042002E">
        <w:rPr>
          <w:i/>
          <w:sz w:val="28"/>
          <w:szCs w:val="28"/>
        </w:rPr>
        <w:t>Mushroom Farm owners &amp; Waterfall owners met some time ago during 2009 and agreed that a right of way servitude may be granted subject to an agreement be reached re the upgrading of road infrastructure.</w:t>
      </w:r>
    </w:p>
    <w:p w:rsidR="0042002E" w:rsidRPr="00E5152F" w:rsidRDefault="00073A85" w:rsidP="00073A85">
      <w:pPr>
        <w:pStyle w:val="MEMONUMBERED"/>
        <w:numPr>
          <w:ilvl w:val="0"/>
          <w:numId w:val="0"/>
        </w:numPr>
        <w:spacing w:after="360" w:line="360" w:lineRule="auto"/>
        <w:ind w:left="1560" w:hanging="709"/>
        <w:rPr>
          <w:i/>
          <w:sz w:val="28"/>
          <w:szCs w:val="28"/>
        </w:rPr>
      </w:pPr>
      <w:r w:rsidRPr="00E5152F">
        <w:rPr>
          <w:i/>
          <w:sz w:val="28"/>
          <w:szCs w:val="28"/>
        </w:rPr>
        <w:t>5.</w:t>
      </w:r>
      <w:r w:rsidRPr="00E5152F">
        <w:rPr>
          <w:i/>
          <w:sz w:val="28"/>
          <w:szCs w:val="28"/>
        </w:rPr>
        <w:tab/>
      </w:r>
      <w:r w:rsidR="00D07A8C" w:rsidRPr="0042002E">
        <w:rPr>
          <w:i/>
          <w:sz w:val="28"/>
          <w:szCs w:val="28"/>
        </w:rPr>
        <w:t>Waterfall drafted such an agreement and submitted same to JRA for comments.  JRA objected against the principles of the draft agreement and advised that an alternative access may be granted for the owners of the Mushroom Farm.  A draft order copy of this agreement was submitted to you during our meeting.</w:t>
      </w:r>
    </w:p>
    <w:p w:rsidR="0042002E" w:rsidRPr="00E5152F" w:rsidRDefault="00073A85" w:rsidP="00073A85">
      <w:pPr>
        <w:pStyle w:val="MEMONUMBERED"/>
        <w:numPr>
          <w:ilvl w:val="0"/>
          <w:numId w:val="0"/>
        </w:numPr>
        <w:spacing w:after="360" w:line="360" w:lineRule="auto"/>
        <w:ind w:left="1560" w:hanging="709"/>
        <w:rPr>
          <w:i/>
          <w:sz w:val="28"/>
          <w:szCs w:val="28"/>
        </w:rPr>
      </w:pPr>
      <w:r w:rsidRPr="00E5152F">
        <w:rPr>
          <w:i/>
          <w:sz w:val="28"/>
          <w:szCs w:val="28"/>
        </w:rPr>
        <w:t>6.</w:t>
      </w:r>
      <w:r w:rsidRPr="00E5152F">
        <w:rPr>
          <w:i/>
          <w:sz w:val="28"/>
          <w:szCs w:val="28"/>
        </w:rPr>
        <w:tab/>
      </w:r>
      <w:r w:rsidR="00D07A8C" w:rsidRPr="0042002E">
        <w:rPr>
          <w:i/>
          <w:sz w:val="28"/>
          <w:szCs w:val="28"/>
        </w:rPr>
        <w:t xml:space="preserve">Waterfall owners appealed to </w:t>
      </w:r>
      <w:proofErr w:type="spellStart"/>
      <w:r w:rsidR="00D07A8C" w:rsidRPr="0042002E">
        <w:rPr>
          <w:i/>
          <w:sz w:val="28"/>
          <w:szCs w:val="28"/>
        </w:rPr>
        <w:t>Joburg</w:t>
      </w:r>
      <w:proofErr w:type="spellEnd"/>
      <w:r w:rsidR="00D07A8C" w:rsidRPr="0042002E">
        <w:rPr>
          <w:i/>
          <w:sz w:val="28"/>
          <w:szCs w:val="28"/>
        </w:rPr>
        <w:t xml:space="preserve"> Planning – your office – to withheld the approval of the Mushroom farm township application until such time that an amicable agreement is reache</w:t>
      </w:r>
      <w:r w:rsidR="0042002E">
        <w:rPr>
          <w:i/>
          <w:sz w:val="28"/>
          <w:szCs w:val="28"/>
        </w:rPr>
        <w:t>d with the Mushroom Farm owners.</w:t>
      </w:r>
    </w:p>
    <w:p w:rsidR="0042002E" w:rsidRPr="00E5152F" w:rsidRDefault="00073A85" w:rsidP="00073A85">
      <w:pPr>
        <w:pStyle w:val="MEMONUMBERED"/>
        <w:numPr>
          <w:ilvl w:val="0"/>
          <w:numId w:val="0"/>
        </w:numPr>
        <w:spacing w:after="360" w:line="360" w:lineRule="auto"/>
        <w:ind w:left="1560" w:hanging="709"/>
        <w:rPr>
          <w:i/>
          <w:sz w:val="28"/>
          <w:szCs w:val="28"/>
        </w:rPr>
      </w:pPr>
      <w:r w:rsidRPr="00E5152F">
        <w:rPr>
          <w:i/>
          <w:sz w:val="28"/>
          <w:szCs w:val="28"/>
        </w:rPr>
        <w:t>7.</w:t>
      </w:r>
      <w:r w:rsidRPr="00E5152F">
        <w:rPr>
          <w:i/>
          <w:sz w:val="28"/>
          <w:szCs w:val="28"/>
        </w:rPr>
        <w:tab/>
      </w:r>
      <w:r w:rsidR="00D07A8C" w:rsidRPr="0042002E">
        <w:rPr>
          <w:i/>
          <w:sz w:val="28"/>
          <w:szCs w:val="28"/>
        </w:rPr>
        <w:t>Waterfall owners are having a further follow up with representatives of JRA tomorrow re inter alia the above matter and hope to have a resolution on this matter soon.</w:t>
      </w:r>
    </w:p>
    <w:p w:rsidR="00D07A8C" w:rsidRPr="0042002E" w:rsidRDefault="00D07A8C" w:rsidP="00C46A89">
      <w:pPr>
        <w:pStyle w:val="MEMONUMBERED"/>
        <w:numPr>
          <w:ilvl w:val="0"/>
          <w:numId w:val="0"/>
        </w:numPr>
        <w:spacing w:after="360" w:line="360" w:lineRule="auto"/>
        <w:ind w:left="1560" w:hanging="120"/>
        <w:rPr>
          <w:i/>
          <w:sz w:val="28"/>
          <w:szCs w:val="28"/>
        </w:rPr>
      </w:pPr>
      <w:r w:rsidRPr="0042002E">
        <w:rPr>
          <w:i/>
          <w:sz w:val="28"/>
          <w:szCs w:val="28"/>
        </w:rPr>
        <w:t>We trust the above to be a true reflection</w:t>
      </w:r>
      <w:r w:rsidR="00C46A89">
        <w:rPr>
          <w:i/>
          <w:sz w:val="28"/>
          <w:szCs w:val="28"/>
        </w:rPr>
        <w:t xml:space="preserve"> of our discussion and we shall </w:t>
      </w:r>
      <w:r w:rsidRPr="0042002E">
        <w:rPr>
          <w:i/>
          <w:sz w:val="28"/>
          <w:szCs w:val="28"/>
        </w:rPr>
        <w:t>be keeping you posted with any progress made.</w:t>
      </w:r>
    </w:p>
    <w:p w:rsidR="00D07A8C" w:rsidRPr="0042002E" w:rsidRDefault="00D07A8C" w:rsidP="00C46A89">
      <w:pPr>
        <w:pStyle w:val="MEMONUMBERED"/>
        <w:numPr>
          <w:ilvl w:val="0"/>
          <w:numId w:val="0"/>
        </w:numPr>
        <w:spacing w:after="120" w:line="360" w:lineRule="auto"/>
        <w:ind w:left="1560" w:hanging="120"/>
        <w:rPr>
          <w:i/>
          <w:sz w:val="28"/>
          <w:szCs w:val="28"/>
        </w:rPr>
      </w:pPr>
      <w:r w:rsidRPr="0042002E">
        <w:rPr>
          <w:i/>
          <w:sz w:val="28"/>
          <w:szCs w:val="28"/>
        </w:rPr>
        <w:t>Your faithfully</w:t>
      </w:r>
    </w:p>
    <w:p w:rsidR="003312D5" w:rsidRDefault="00D07A8C" w:rsidP="00C46A89">
      <w:pPr>
        <w:pStyle w:val="MEMONUMBERED"/>
        <w:numPr>
          <w:ilvl w:val="0"/>
          <w:numId w:val="0"/>
        </w:numPr>
        <w:spacing w:after="360" w:line="360" w:lineRule="auto"/>
        <w:ind w:left="1560" w:hanging="120"/>
        <w:rPr>
          <w:sz w:val="28"/>
          <w:szCs w:val="28"/>
        </w:rPr>
      </w:pPr>
      <w:proofErr w:type="spellStart"/>
      <w:r w:rsidRPr="0042002E">
        <w:rPr>
          <w:i/>
          <w:sz w:val="28"/>
          <w:szCs w:val="28"/>
        </w:rPr>
        <w:t>Coenie</w:t>
      </w:r>
      <w:proofErr w:type="spellEnd"/>
      <w:r w:rsidRPr="0042002E">
        <w:rPr>
          <w:i/>
          <w:sz w:val="28"/>
          <w:szCs w:val="28"/>
        </w:rPr>
        <w:t xml:space="preserve"> </w:t>
      </w:r>
      <w:proofErr w:type="spellStart"/>
      <w:r w:rsidR="0042002E" w:rsidRPr="0042002E">
        <w:rPr>
          <w:i/>
          <w:sz w:val="28"/>
          <w:szCs w:val="28"/>
        </w:rPr>
        <w:t>Bezuidenhout</w:t>
      </w:r>
      <w:proofErr w:type="spellEnd"/>
      <w:r w:rsidR="00B11647" w:rsidRPr="00B11647">
        <w:rPr>
          <w:sz w:val="28"/>
          <w:szCs w:val="28"/>
        </w:rPr>
        <w:t>”</w:t>
      </w:r>
      <w:r w:rsidR="0042002E">
        <w:rPr>
          <w:sz w:val="28"/>
          <w:szCs w:val="28"/>
        </w:rPr>
        <w:t>.</w:t>
      </w:r>
    </w:p>
    <w:p w:rsidR="0042002E" w:rsidRPr="00E5152F" w:rsidRDefault="00073A85" w:rsidP="00073A85">
      <w:pPr>
        <w:pStyle w:val="MEMONUMBERED"/>
        <w:numPr>
          <w:ilvl w:val="0"/>
          <w:numId w:val="0"/>
        </w:numPr>
        <w:spacing w:after="360" w:line="360" w:lineRule="auto"/>
        <w:rPr>
          <w:sz w:val="28"/>
          <w:szCs w:val="28"/>
        </w:rPr>
      </w:pPr>
      <w:r w:rsidRPr="00E5152F">
        <w:rPr>
          <w:sz w:val="28"/>
          <w:szCs w:val="28"/>
        </w:rPr>
        <w:lastRenderedPageBreak/>
        <w:t>[33]</w:t>
      </w:r>
      <w:r w:rsidRPr="00E5152F">
        <w:rPr>
          <w:sz w:val="28"/>
          <w:szCs w:val="28"/>
        </w:rPr>
        <w:tab/>
      </w:r>
      <w:r w:rsidR="008F63FB">
        <w:rPr>
          <w:sz w:val="28"/>
          <w:szCs w:val="28"/>
        </w:rPr>
        <w:t xml:space="preserve">One of the last correspondences, dated 26 July 2010, prior to WEL (or its holding company) agreeing to </w:t>
      </w:r>
      <w:r w:rsidR="00B11647">
        <w:rPr>
          <w:sz w:val="28"/>
          <w:szCs w:val="28"/>
        </w:rPr>
        <w:t>the Servitude Agreement, annex</w:t>
      </w:r>
      <w:r w:rsidR="008F63FB">
        <w:rPr>
          <w:sz w:val="28"/>
          <w:szCs w:val="28"/>
        </w:rPr>
        <w:t xml:space="preserve">ed a traffic </w:t>
      </w:r>
      <w:r w:rsidR="00FD5007">
        <w:rPr>
          <w:sz w:val="28"/>
          <w:szCs w:val="28"/>
        </w:rPr>
        <w:t>flow report from Arup Transport</w:t>
      </w:r>
      <w:r w:rsidR="008F63FB">
        <w:rPr>
          <w:sz w:val="28"/>
          <w:szCs w:val="28"/>
        </w:rPr>
        <w:t xml:space="preserve"> Planning.  It dealt with trip generation, traffic volumes and road upgrades</w:t>
      </w:r>
      <w:r w:rsidR="00FA068C">
        <w:rPr>
          <w:sz w:val="28"/>
          <w:szCs w:val="28"/>
        </w:rPr>
        <w:t xml:space="preserve"> and</w:t>
      </w:r>
      <w:r w:rsidR="008F63FB">
        <w:rPr>
          <w:sz w:val="28"/>
          <w:szCs w:val="28"/>
        </w:rPr>
        <w:t xml:space="preserve"> recommended that “</w:t>
      </w:r>
      <w:r w:rsidR="008F63FB" w:rsidRPr="00FA068C">
        <w:rPr>
          <w:i/>
          <w:sz w:val="28"/>
          <w:szCs w:val="28"/>
        </w:rPr>
        <w:t xml:space="preserve">road network construction phases that correspond to the establishment of 40%, 20% and 100% of the development respectively are provided in the attached Plan 6 (Rev 4) …  it was concluded that if the above recommendations are adhered to, </w:t>
      </w:r>
      <w:proofErr w:type="spellStart"/>
      <w:r w:rsidR="008F63FB" w:rsidRPr="00FA068C">
        <w:rPr>
          <w:i/>
          <w:sz w:val="28"/>
          <w:szCs w:val="28"/>
        </w:rPr>
        <w:t>Atterbury</w:t>
      </w:r>
      <w:proofErr w:type="spellEnd"/>
      <w:r w:rsidR="008F63FB" w:rsidRPr="00FA068C">
        <w:rPr>
          <w:i/>
          <w:sz w:val="28"/>
          <w:szCs w:val="28"/>
        </w:rPr>
        <w:t xml:space="preserve"> Properties and Century properties will grant the servitude access to </w:t>
      </w:r>
      <w:proofErr w:type="spellStart"/>
      <w:r w:rsidR="008F63FB" w:rsidRPr="00FA068C">
        <w:rPr>
          <w:i/>
          <w:sz w:val="28"/>
          <w:szCs w:val="28"/>
        </w:rPr>
        <w:t>Kayalami</w:t>
      </w:r>
      <w:proofErr w:type="spellEnd"/>
      <w:r w:rsidR="008F63FB" w:rsidRPr="00FA068C">
        <w:rPr>
          <w:i/>
          <w:sz w:val="28"/>
          <w:szCs w:val="28"/>
        </w:rPr>
        <w:t xml:space="preserve"> Gardens Ext 27</w:t>
      </w:r>
      <w:r w:rsidR="008F63FB">
        <w:rPr>
          <w:sz w:val="28"/>
          <w:szCs w:val="28"/>
        </w:rPr>
        <w:t xml:space="preserve">”.  </w:t>
      </w:r>
      <w:r w:rsidR="00FA068C">
        <w:rPr>
          <w:sz w:val="28"/>
          <w:szCs w:val="28"/>
        </w:rPr>
        <w:t>T</w:t>
      </w:r>
      <w:r w:rsidR="008F63FB">
        <w:rPr>
          <w:sz w:val="28"/>
          <w:szCs w:val="28"/>
        </w:rPr>
        <w:t>he response from the WEL side was “</w:t>
      </w:r>
      <w:r w:rsidR="008F63FB" w:rsidRPr="00FA068C">
        <w:rPr>
          <w:i/>
          <w:sz w:val="28"/>
          <w:szCs w:val="28"/>
        </w:rPr>
        <w:t>Thank you for the feedback.  Only WEL and WII are s</w:t>
      </w:r>
      <w:r w:rsidR="00782A71" w:rsidRPr="00FA068C">
        <w:rPr>
          <w:i/>
          <w:sz w:val="28"/>
          <w:szCs w:val="28"/>
        </w:rPr>
        <w:t xml:space="preserve">ignatures to the agreement and we have written confirmations from both </w:t>
      </w:r>
      <w:proofErr w:type="spellStart"/>
      <w:r w:rsidR="00782A71" w:rsidRPr="00FA068C">
        <w:rPr>
          <w:i/>
          <w:sz w:val="28"/>
          <w:szCs w:val="28"/>
        </w:rPr>
        <w:t>Atterburg</w:t>
      </w:r>
      <w:proofErr w:type="spellEnd"/>
      <w:r w:rsidR="00782A71" w:rsidRPr="00FA068C">
        <w:rPr>
          <w:i/>
          <w:sz w:val="28"/>
          <w:szCs w:val="28"/>
        </w:rPr>
        <w:t xml:space="preserve"> and Century that we may proceed to sign the agreement</w:t>
      </w:r>
      <w:r w:rsidR="00782A71">
        <w:rPr>
          <w:sz w:val="28"/>
          <w:szCs w:val="28"/>
        </w:rPr>
        <w:t xml:space="preserve">”.  Nothing was said about the Precinct Plan or any “limitations” or “restrictions” on the development.  One </w:t>
      </w:r>
      <w:r w:rsidR="00FA068C">
        <w:rPr>
          <w:sz w:val="28"/>
          <w:szCs w:val="28"/>
        </w:rPr>
        <w:t>may</w:t>
      </w:r>
      <w:r w:rsidR="00782A71">
        <w:rPr>
          <w:sz w:val="28"/>
          <w:szCs w:val="28"/>
        </w:rPr>
        <w:t xml:space="preserve"> be rem</w:t>
      </w:r>
      <w:r w:rsidR="00FA068C">
        <w:rPr>
          <w:sz w:val="28"/>
          <w:szCs w:val="28"/>
        </w:rPr>
        <w:t>inded</w:t>
      </w:r>
      <w:r w:rsidR="00782A71">
        <w:rPr>
          <w:sz w:val="28"/>
          <w:szCs w:val="28"/>
        </w:rPr>
        <w:t xml:space="preserve"> that the </w:t>
      </w:r>
      <w:proofErr w:type="spellStart"/>
      <w:r w:rsidR="00782A71">
        <w:rPr>
          <w:sz w:val="28"/>
          <w:szCs w:val="28"/>
        </w:rPr>
        <w:t>Kayalami</w:t>
      </w:r>
      <w:proofErr w:type="spellEnd"/>
      <w:r w:rsidR="00782A71">
        <w:rPr>
          <w:sz w:val="28"/>
          <w:szCs w:val="28"/>
        </w:rPr>
        <w:t xml:space="preserve"> Centro Master Plan was revision 5 of Plan 6 and nor revision 4 as r</w:t>
      </w:r>
      <w:r w:rsidR="00FA068C">
        <w:rPr>
          <w:sz w:val="28"/>
          <w:szCs w:val="28"/>
        </w:rPr>
        <w:t>eferred to in this correspondence</w:t>
      </w:r>
      <w:r w:rsidR="00782A71">
        <w:rPr>
          <w:sz w:val="28"/>
          <w:szCs w:val="28"/>
        </w:rPr>
        <w:t xml:space="preserve"> but, on the evidence, nothing turns on this</w:t>
      </w:r>
      <w:r w:rsidR="00FA068C">
        <w:rPr>
          <w:sz w:val="28"/>
          <w:szCs w:val="28"/>
        </w:rPr>
        <w:t>.  The point remains that</w:t>
      </w:r>
      <w:r w:rsidR="00782A71">
        <w:rPr>
          <w:sz w:val="28"/>
          <w:szCs w:val="28"/>
        </w:rPr>
        <w:t xml:space="preserve"> the only restrictions contained </w:t>
      </w:r>
      <w:r w:rsidR="00FA068C">
        <w:rPr>
          <w:sz w:val="28"/>
          <w:szCs w:val="28"/>
        </w:rPr>
        <w:t>in the “sheaf” of documents, w</w:t>
      </w:r>
      <w:r w:rsidR="00782A71">
        <w:rPr>
          <w:sz w:val="28"/>
          <w:szCs w:val="28"/>
        </w:rPr>
        <w:t>ere those relating to traffic</w:t>
      </w:r>
      <w:r w:rsidR="00FA068C">
        <w:rPr>
          <w:sz w:val="28"/>
          <w:szCs w:val="28"/>
        </w:rPr>
        <w:t xml:space="preserve"> flows and roads</w:t>
      </w:r>
      <w:r w:rsidR="00782A71">
        <w:rPr>
          <w:sz w:val="28"/>
          <w:szCs w:val="28"/>
        </w:rPr>
        <w:t xml:space="preserve"> as quoted in paras 12-15 above.</w:t>
      </w:r>
      <w:r w:rsidR="00FA068C">
        <w:rPr>
          <w:sz w:val="28"/>
          <w:szCs w:val="28"/>
        </w:rPr>
        <w:t xml:space="preserve">  There are no other references in any of the documents that lead to an incorporation of the 2010 Precinct Plan, even by </w:t>
      </w:r>
      <w:proofErr w:type="spellStart"/>
      <w:r w:rsidR="00FA068C">
        <w:rPr>
          <w:sz w:val="28"/>
          <w:szCs w:val="28"/>
        </w:rPr>
        <w:t>refenrece</w:t>
      </w:r>
      <w:proofErr w:type="spellEnd"/>
      <w:r w:rsidR="00FA068C">
        <w:rPr>
          <w:sz w:val="28"/>
          <w:szCs w:val="28"/>
        </w:rPr>
        <w:t>.</w:t>
      </w:r>
    </w:p>
    <w:p w:rsidR="003312D5" w:rsidRPr="00E5152F" w:rsidRDefault="00073A85" w:rsidP="00073A85">
      <w:pPr>
        <w:pStyle w:val="MEMONUMBERED"/>
        <w:numPr>
          <w:ilvl w:val="0"/>
          <w:numId w:val="0"/>
        </w:numPr>
        <w:spacing w:after="360" w:line="360" w:lineRule="auto"/>
        <w:rPr>
          <w:sz w:val="28"/>
          <w:szCs w:val="28"/>
        </w:rPr>
      </w:pPr>
      <w:r w:rsidRPr="00E5152F">
        <w:rPr>
          <w:sz w:val="28"/>
          <w:szCs w:val="28"/>
        </w:rPr>
        <w:t>[34]</w:t>
      </w:r>
      <w:r w:rsidRPr="00E5152F">
        <w:rPr>
          <w:sz w:val="28"/>
          <w:szCs w:val="28"/>
        </w:rPr>
        <w:tab/>
      </w:r>
      <w:r w:rsidR="00782A71">
        <w:rPr>
          <w:sz w:val="28"/>
          <w:szCs w:val="28"/>
        </w:rPr>
        <w:t xml:space="preserve">I therefore find that the case sought to be made out by WEL for the incorporation of the 2010 Precinct Plan or any restrictions pertaining to development contained therein into either the Servitude Agreement or the </w:t>
      </w:r>
      <w:r w:rsidR="00FD5007">
        <w:rPr>
          <w:sz w:val="28"/>
          <w:szCs w:val="28"/>
        </w:rPr>
        <w:t>Notarial Deed</w:t>
      </w:r>
      <w:r w:rsidR="00782A71">
        <w:rPr>
          <w:sz w:val="28"/>
          <w:szCs w:val="28"/>
        </w:rPr>
        <w:t xml:space="preserve"> is not supported by the evidence and cannot be sustained, despite any interpretational exercise proposed by WEL.</w:t>
      </w:r>
    </w:p>
    <w:p w:rsidR="003312D5" w:rsidRPr="00E5152F" w:rsidRDefault="00073A85" w:rsidP="00073A85">
      <w:pPr>
        <w:pStyle w:val="MEMONUMBERED"/>
        <w:numPr>
          <w:ilvl w:val="0"/>
          <w:numId w:val="0"/>
        </w:numPr>
        <w:spacing w:after="360" w:line="360" w:lineRule="auto"/>
        <w:rPr>
          <w:sz w:val="28"/>
          <w:szCs w:val="28"/>
        </w:rPr>
      </w:pPr>
      <w:r w:rsidRPr="00E5152F">
        <w:rPr>
          <w:sz w:val="28"/>
          <w:szCs w:val="28"/>
        </w:rPr>
        <w:t>[35]</w:t>
      </w:r>
      <w:r w:rsidRPr="00E5152F">
        <w:rPr>
          <w:sz w:val="28"/>
          <w:szCs w:val="28"/>
        </w:rPr>
        <w:tab/>
      </w:r>
      <w:r w:rsidR="00782A71">
        <w:rPr>
          <w:sz w:val="28"/>
          <w:szCs w:val="28"/>
        </w:rPr>
        <w:t>The next question to be answered is</w:t>
      </w:r>
      <w:r w:rsidR="00FD5007">
        <w:rPr>
          <w:sz w:val="28"/>
          <w:szCs w:val="28"/>
        </w:rPr>
        <w:t xml:space="preserve"> then</w:t>
      </w:r>
      <w:r w:rsidR="00782A71">
        <w:rPr>
          <w:sz w:val="28"/>
          <w:szCs w:val="28"/>
        </w:rPr>
        <w:t xml:space="preserve"> whether the construction and development of the Mushroom Farm</w:t>
      </w:r>
      <w:r w:rsidR="00FA068C">
        <w:rPr>
          <w:sz w:val="28"/>
          <w:szCs w:val="28"/>
        </w:rPr>
        <w:t xml:space="preserve">, </w:t>
      </w:r>
      <w:r w:rsidR="00782A71">
        <w:rPr>
          <w:sz w:val="28"/>
          <w:szCs w:val="28"/>
        </w:rPr>
        <w:t>although</w:t>
      </w:r>
      <w:r w:rsidR="00FA068C">
        <w:rPr>
          <w:sz w:val="28"/>
          <w:szCs w:val="28"/>
        </w:rPr>
        <w:t xml:space="preserve"> it may be</w:t>
      </w:r>
      <w:r w:rsidR="00782A71">
        <w:rPr>
          <w:sz w:val="28"/>
          <w:szCs w:val="28"/>
        </w:rPr>
        <w:t xml:space="preserve"> lawful as far as the </w:t>
      </w:r>
      <w:proofErr w:type="spellStart"/>
      <w:r w:rsidR="00782A71">
        <w:rPr>
          <w:sz w:val="28"/>
          <w:szCs w:val="28"/>
        </w:rPr>
        <w:t>CoJ</w:t>
      </w:r>
      <w:proofErr w:type="spellEnd"/>
      <w:r w:rsidR="00782A71">
        <w:rPr>
          <w:sz w:val="28"/>
          <w:szCs w:val="28"/>
        </w:rPr>
        <w:t xml:space="preserve"> and compliance with all statutory prescripts are concerned, still amount to a </w:t>
      </w:r>
      <w:r w:rsidR="00782A71">
        <w:rPr>
          <w:sz w:val="28"/>
          <w:szCs w:val="28"/>
        </w:rPr>
        <w:lastRenderedPageBreak/>
        <w:t xml:space="preserve">breach of the Servitude Agreement and the </w:t>
      </w:r>
      <w:r w:rsidR="00FD5007">
        <w:rPr>
          <w:sz w:val="28"/>
          <w:szCs w:val="28"/>
        </w:rPr>
        <w:t>Notarial Deed</w:t>
      </w:r>
      <w:r w:rsidR="00782A71">
        <w:rPr>
          <w:sz w:val="28"/>
          <w:szCs w:val="28"/>
        </w:rPr>
        <w:t>.  This would entail a determination of</w:t>
      </w:r>
      <w:r w:rsidR="00A3114D">
        <w:rPr>
          <w:sz w:val="28"/>
          <w:szCs w:val="28"/>
        </w:rPr>
        <w:t xml:space="preserve"> whether the current construction</w:t>
      </w:r>
      <w:r w:rsidR="00782A71">
        <w:rPr>
          <w:sz w:val="28"/>
          <w:szCs w:val="28"/>
        </w:rPr>
        <w:t xml:space="preserve"> and development are “subs</w:t>
      </w:r>
      <w:r w:rsidR="0042002E">
        <w:rPr>
          <w:sz w:val="28"/>
          <w:szCs w:val="28"/>
        </w:rPr>
        <w:t>ta</w:t>
      </w:r>
      <w:r w:rsidR="00782A71">
        <w:rPr>
          <w:sz w:val="28"/>
          <w:szCs w:val="28"/>
        </w:rPr>
        <w:t>ntially</w:t>
      </w:r>
      <w:r w:rsidR="00FD5007">
        <w:rPr>
          <w:sz w:val="28"/>
          <w:szCs w:val="28"/>
        </w:rPr>
        <w:t>”</w:t>
      </w:r>
      <w:r w:rsidR="00782A71">
        <w:rPr>
          <w:sz w:val="28"/>
          <w:szCs w:val="28"/>
        </w:rPr>
        <w:t xml:space="preserve"> in accordance with </w:t>
      </w:r>
      <w:r w:rsidR="00FD5007">
        <w:rPr>
          <w:sz w:val="28"/>
          <w:szCs w:val="28"/>
        </w:rPr>
        <w:t xml:space="preserve">the </w:t>
      </w:r>
      <w:proofErr w:type="spellStart"/>
      <w:r w:rsidR="00FD5007">
        <w:rPr>
          <w:sz w:val="28"/>
          <w:szCs w:val="28"/>
        </w:rPr>
        <w:t>Kayalami</w:t>
      </w:r>
      <w:proofErr w:type="spellEnd"/>
      <w:r w:rsidR="00FD5007">
        <w:rPr>
          <w:sz w:val="28"/>
          <w:szCs w:val="28"/>
        </w:rPr>
        <w:t xml:space="preserve"> Centro Master Plan</w:t>
      </w:r>
      <w:r w:rsidR="00782A71">
        <w:rPr>
          <w:sz w:val="28"/>
          <w:szCs w:val="28"/>
        </w:rPr>
        <w:t xml:space="preserve"> as provided in par 4.1 of the Servitude Agreement and par 4 of the </w:t>
      </w:r>
      <w:r w:rsidR="00FD5007">
        <w:rPr>
          <w:sz w:val="28"/>
          <w:szCs w:val="28"/>
        </w:rPr>
        <w:t>Notarial Deed</w:t>
      </w:r>
      <w:r w:rsidR="00FA068C">
        <w:rPr>
          <w:sz w:val="28"/>
          <w:szCs w:val="28"/>
        </w:rPr>
        <w:t xml:space="preserve">. </w:t>
      </w:r>
    </w:p>
    <w:p w:rsidR="003312D5" w:rsidRPr="00E5152F" w:rsidRDefault="00073A85" w:rsidP="00073A85">
      <w:pPr>
        <w:pStyle w:val="MEMONUMBERED"/>
        <w:numPr>
          <w:ilvl w:val="0"/>
          <w:numId w:val="0"/>
        </w:numPr>
        <w:spacing w:after="360" w:line="360" w:lineRule="auto"/>
        <w:rPr>
          <w:sz w:val="28"/>
          <w:szCs w:val="28"/>
        </w:rPr>
      </w:pPr>
      <w:r w:rsidRPr="00E5152F">
        <w:rPr>
          <w:sz w:val="28"/>
          <w:szCs w:val="28"/>
        </w:rPr>
        <w:t>[36]</w:t>
      </w:r>
      <w:r w:rsidRPr="00E5152F">
        <w:rPr>
          <w:sz w:val="28"/>
          <w:szCs w:val="28"/>
        </w:rPr>
        <w:tab/>
      </w:r>
      <w:r w:rsidR="00A3114D">
        <w:rPr>
          <w:sz w:val="28"/>
          <w:szCs w:val="28"/>
        </w:rPr>
        <w:t>In order to facilitate a comparison</w:t>
      </w:r>
      <w:r w:rsidR="00FA068C">
        <w:rPr>
          <w:sz w:val="28"/>
          <w:szCs w:val="28"/>
        </w:rPr>
        <w:t>, as far as roads go,</w:t>
      </w:r>
      <w:r w:rsidR="00A3114D">
        <w:rPr>
          <w:sz w:val="28"/>
          <w:szCs w:val="28"/>
        </w:rPr>
        <w:t xml:space="preserve"> between the </w:t>
      </w:r>
      <w:proofErr w:type="spellStart"/>
      <w:r w:rsidR="00A3114D">
        <w:rPr>
          <w:sz w:val="28"/>
          <w:szCs w:val="28"/>
        </w:rPr>
        <w:t>Kayalami</w:t>
      </w:r>
      <w:proofErr w:type="spellEnd"/>
      <w:r w:rsidR="00A3114D">
        <w:rPr>
          <w:sz w:val="28"/>
          <w:szCs w:val="28"/>
        </w:rPr>
        <w:t xml:space="preserve"> Centro Master Plan and the 2017 Precinct Plan</w:t>
      </w:r>
      <w:r w:rsidR="00FD5007">
        <w:rPr>
          <w:sz w:val="28"/>
          <w:szCs w:val="28"/>
        </w:rPr>
        <w:t xml:space="preserve"> (which reflects the current development)</w:t>
      </w:r>
      <w:r w:rsidR="00A3114D">
        <w:rPr>
          <w:sz w:val="28"/>
          <w:szCs w:val="28"/>
        </w:rPr>
        <w:t>, the roads depicted on the former were superimposed on the latter.</w:t>
      </w:r>
      <w:r w:rsidR="00FA068C">
        <w:rPr>
          <w:sz w:val="28"/>
          <w:szCs w:val="28"/>
        </w:rPr>
        <w:t xml:space="preserve">  This was done by way of a </w:t>
      </w:r>
      <w:proofErr w:type="spellStart"/>
      <w:r w:rsidR="00FA068C">
        <w:rPr>
          <w:sz w:val="28"/>
          <w:szCs w:val="28"/>
        </w:rPr>
        <w:t>colour</w:t>
      </w:r>
      <w:proofErr w:type="spellEnd"/>
      <w:r w:rsidR="00FA068C">
        <w:rPr>
          <w:sz w:val="28"/>
          <w:szCs w:val="28"/>
        </w:rPr>
        <w:t xml:space="preserve"> diagram prepared by Century.</w:t>
      </w:r>
      <w:r w:rsidR="00A3114D">
        <w:rPr>
          <w:sz w:val="28"/>
          <w:szCs w:val="28"/>
        </w:rPr>
        <w:t xml:space="preserve">  This</w:t>
      </w:r>
      <w:r w:rsidR="00FA068C">
        <w:rPr>
          <w:sz w:val="28"/>
          <w:szCs w:val="28"/>
        </w:rPr>
        <w:t xml:space="preserve"> incidentally</w:t>
      </w:r>
      <w:r w:rsidR="00A3114D">
        <w:rPr>
          <w:sz w:val="28"/>
          <w:szCs w:val="28"/>
        </w:rPr>
        <w:t xml:space="preserve"> also facilitated a comparison between the precincts depicted on the </w:t>
      </w:r>
      <w:proofErr w:type="spellStart"/>
      <w:r w:rsidR="00A3114D">
        <w:rPr>
          <w:sz w:val="28"/>
          <w:szCs w:val="28"/>
        </w:rPr>
        <w:t>Kayalami</w:t>
      </w:r>
      <w:proofErr w:type="spellEnd"/>
      <w:r w:rsidR="00A3114D">
        <w:rPr>
          <w:sz w:val="28"/>
          <w:szCs w:val="28"/>
        </w:rPr>
        <w:t xml:space="preserve"> Centro Master Plan (and the 2010 Precinct Plan referred to earlier) and the 2017 Precinct Plan. </w:t>
      </w:r>
    </w:p>
    <w:p w:rsidR="00FD5007" w:rsidRDefault="00073A85" w:rsidP="00073A85">
      <w:pPr>
        <w:pStyle w:val="MEMONUMBERED"/>
        <w:numPr>
          <w:ilvl w:val="0"/>
          <w:numId w:val="0"/>
        </w:numPr>
        <w:spacing w:after="360" w:line="360" w:lineRule="auto"/>
        <w:rPr>
          <w:sz w:val="28"/>
          <w:szCs w:val="28"/>
        </w:rPr>
      </w:pPr>
      <w:r>
        <w:rPr>
          <w:sz w:val="28"/>
          <w:szCs w:val="28"/>
        </w:rPr>
        <w:t>[37]</w:t>
      </w:r>
      <w:r>
        <w:rPr>
          <w:sz w:val="28"/>
          <w:szCs w:val="28"/>
        </w:rPr>
        <w:tab/>
      </w:r>
      <w:r w:rsidR="00A3114D">
        <w:rPr>
          <w:sz w:val="28"/>
          <w:szCs w:val="28"/>
        </w:rPr>
        <w:t>The difference</w:t>
      </w:r>
      <w:r w:rsidR="0012356D">
        <w:rPr>
          <w:sz w:val="28"/>
          <w:szCs w:val="28"/>
        </w:rPr>
        <w:t>s</w:t>
      </w:r>
      <w:r w:rsidR="00A3114D">
        <w:rPr>
          <w:sz w:val="28"/>
          <w:szCs w:val="28"/>
        </w:rPr>
        <w:t xml:space="preserve"> are principally the following:</w:t>
      </w:r>
      <w:r w:rsidR="00FD5007">
        <w:rPr>
          <w:sz w:val="28"/>
          <w:szCs w:val="28"/>
        </w:rPr>
        <w:t xml:space="preserve"> </w:t>
      </w:r>
      <w:r w:rsidR="00E77554" w:rsidRPr="00FD5007">
        <w:rPr>
          <w:sz w:val="28"/>
          <w:szCs w:val="28"/>
        </w:rPr>
        <w:t>T</w:t>
      </w:r>
      <w:r w:rsidR="0086654C" w:rsidRPr="00FD5007">
        <w:rPr>
          <w:sz w:val="28"/>
          <w:szCs w:val="28"/>
        </w:rPr>
        <w:t xml:space="preserve">he </w:t>
      </w:r>
      <w:proofErr w:type="spellStart"/>
      <w:r w:rsidR="0086654C" w:rsidRPr="00FD5007">
        <w:rPr>
          <w:sz w:val="28"/>
          <w:szCs w:val="28"/>
        </w:rPr>
        <w:t>Kayalami</w:t>
      </w:r>
      <w:proofErr w:type="spellEnd"/>
      <w:r w:rsidR="0086654C" w:rsidRPr="00FD5007">
        <w:rPr>
          <w:sz w:val="28"/>
          <w:szCs w:val="28"/>
        </w:rPr>
        <w:t xml:space="preserve"> Centro Master Plan p</w:t>
      </w:r>
      <w:r w:rsidR="00A3114D" w:rsidRPr="00FD5007">
        <w:rPr>
          <w:sz w:val="28"/>
          <w:szCs w:val="28"/>
        </w:rPr>
        <w:t>rovided for a junction of the “Mus</w:t>
      </w:r>
      <w:r w:rsidR="0086654C" w:rsidRPr="00FD5007">
        <w:rPr>
          <w:sz w:val="28"/>
          <w:szCs w:val="28"/>
        </w:rPr>
        <w:t>hroom Farm Road” with Alla</w:t>
      </w:r>
      <w:r w:rsidR="00A3114D" w:rsidRPr="00FD5007">
        <w:rPr>
          <w:sz w:val="28"/>
          <w:szCs w:val="28"/>
        </w:rPr>
        <w:t>ndale Road at the north eastern corner of the Mushroom Farm (where the servitude sliver of land refer</w:t>
      </w:r>
      <w:r w:rsidR="00E77554" w:rsidRPr="00FD5007">
        <w:rPr>
          <w:sz w:val="28"/>
          <w:szCs w:val="28"/>
        </w:rPr>
        <w:t>red</w:t>
      </w:r>
      <w:r w:rsidR="00A3114D" w:rsidRPr="00FD5007">
        <w:rPr>
          <w:sz w:val="28"/>
          <w:szCs w:val="28"/>
        </w:rPr>
        <w:t xml:space="preserve"> to earlier is utilized) and then pro</w:t>
      </w:r>
      <w:r w:rsidR="00FA068C" w:rsidRPr="00FD5007">
        <w:rPr>
          <w:sz w:val="28"/>
          <w:szCs w:val="28"/>
        </w:rPr>
        <w:t>ceed</w:t>
      </w:r>
      <w:r w:rsidR="00E77554" w:rsidRPr="00FD5007">
        <w:rPr>
          <w:sz w:val="28"/>
          <w:szCs w:val="28"/>
        </w:rPr>
        <w:t>ed</w:t>
      </w:r>
      <w:r w:rsidR="00FA068C" w:rsidRPr="00FD5007">
        <w:rPr>
          <w:sz w:val="28"/>
          <w:szCs w:val="28"/>
        </w:rPr>
        <w:t xml:space="preserve"> to provide for two grid</w:t>
      </w:r>
      <w:r w:rsidR="0086654C" w:rsidRPr="00FD5007">
        <w:rPr>
          <w:sz w:val="28"/>
          <w:szCs w:val="28"/>
        </w:rPr>
        <w:t>-</w:t>
      </w:r>
      <w:r w:rsidR="00FA068C" w:rsidRPr="00FD5007">
        <w:rPr>
          <w:sz w:val="28"/>
          <w:szCs w:val="28"/>
        </w:rPr>
        <w:t>lik</w:t>
      </w:r>
      <w:r w:rsidR="00A3114D" w:rsidRPr="00FD5007">
        <w:rPr>
          <w:sz w:val="28"/>
          <w:szCs w:val="28"/>
        </w:rPr>
        <w:t xml:space="preserve">e sets of internal roads, serving all 19 proposed precincts </w:t>
      </w:r>
      <w:r w:rsidR="00E77554" w:rsidRPr="00FD5007">
        <w:rPr>
          <w:sz w:val="28"/>
          <w:szCs w:val="28"/>
        </w:rPr>
        <w:t>depicted on the 2010 plan</w:t>
      </w:r>
      <w:r w:rsidR="00A3114D" w:rsidRPr="00FD5007">
        <w:rPr>
          <w:sz w:val="28"/>
          <w:szCs w:val="28"/>
        </w:rPr>
        <w:t xml:space="preserve"> before linking up via a traffic circle and a further road to the K-73 on the north western side of the Mushroom Farm</w:t>
      </w:r>
      <w:r w:rsidR="005C024F" w:rsidRPr="00FD5007">
        <w:rPr>
          <w:sz w:val="28"/>
          <w:szCs w:val="28"/>
        </w:rPr>
        <w:t xml:space="preserve">.  The </w:t>
      </w:r>
      <w:r w:rsidR="0042002E" w:rsidRPr="00FD5007">
        <w:rPr>
          <w:sz w:val="28"/>
          <w:szCs w:val="28"/>
        </w:rPr>
        <w:t>2017 Precinct</w:t>
      </w:r>
      <w:r w:rsidR="001F35FE" w:rsidRPr="00FD5007">
        <w:rPr>
          <w:sz w:val="28"/>
          <w:szCs w:val="28"/>
        </w:rPr>
        <w:t xml:space="preserve"> Plan has retained the </w:t>
      </w:r>
      <w:r w:rsidR="0042002E" w:rsidRPr="00FD5007">
        <w:rPr>
          <w:sz w:val="28"/>
          <w:szCs w:val="28"/>
        </w:rPr>
        <w:t>junctions</w:t>
      </w:r>
      <w:r w:rsidR="00E77554" w:rsidRPr="00FD5007">
        <w:rPr>
          <w:sz w:val="28"/>
          <w:szCs w:val="28"/>
        </w:rPr>
        <w:t xml:space="preserve"> at Alla</w:t>
      </w:r>
      <w:r w:rsidR="001F35FE" w:rsidRPr="00FD5007">
        <w:rPr>
          <w:sz w:val="28"/>
          <w:szCs w:val="28"/>
        </w:rPr>
        <w:t xml:space="preserve">ndale Road and the K-73 </w:t>
      </w:r>
      <w:r w:rsidR="0042002E" w:rsidRPr="00FD5007">
        <w:rPr>
          <w:sz w:val="28"/>
          <w:szCs w:val="28"/>
        </w:rPr>
        <w:t>but the</w:t>
      </w:r>
      <w:r w:rsidR="001F35FE" w:rsidRPr="00FD5007">
        <w:rPr>
          <w:sz w:val="28"/>
          <w:szCs w:val="28"/>
        </w:rPr>
        <w:t xml:space="preserve"> grid of internal </w:t>
      </w:r>
      <w:r w:rsidR="0042002E" w:rsidRPr="00FD5007">
        <w:rPr>
          <w:sz w:val="28"/>
          <w:szCs w:val="28"/>
        </w:rPr>
        <w:t>roads</w:t>
      </w:r>
      <w:r w:rsidR="001F35FE" w:rsidRPr="00FD5007">
        <w:rPr>
          <w:sz w:val="28"/>
          <w:szCs w:val="28"/>
        </w:rPr>
        <w:t xml:space="preserve"> has been somewhat limited by way of more simplistic access to the proposed precincts which will now be developed in 10 phases.  In total, four “spheres” of the </w:t>
      </w:r>
      <w:r w:rsidR="0042002E" w:rsidRPr="00FD5007">
        <w:rPr>
          <w:sz w:val="28"/>
          <w:szCs w:val="28"/>
        </w:rPr>
        <w:t>grids</w:t>
      </w:r>
      <w:r w:rsidR="00E77554" w:rsidRPr="00FD5007">
        <w:rPr>
          <w:sz w:val="28"/>
          <w:szCs w:val="28"/>
        </w:rPr>
        <w:t xml:space="preserve"> have fallen away while the ro</w:t>
      </w:r>
      <w:r w:rsidR="001F35FE" w:rsidRPr="00FD5007">
        <w:rPr>
          <w:sz w:val="28"/>
          <w:szCs w:val="28"/>
        </w:rPr>
        <w:t xml:space="preserve">ad width has increased and two internal traffic circles have been added.  </w:t>
      </w:r>
    </w:p>
    <w:p w:rsidR="0042002E" w:rsidRPr="00FD5007" w:rsidRDefault="00073A85" w:rsidP="00073A85">
      <w:pPr>
        <w:pStyle w:val="MEMONUMBERED"/>
        <w:numPr>
          <w:ilvl w:val="0"/>
          <w:numId w:val="0"/>
        </w:numPr>
        <w:spacing w:after="360" w:line="360" w:lineRule="auto"/>
        <w:rPr>
          <w:sz w:val="28"/>
          <w:szCs w:val="28"/>
        </w:rPr>
      </w:pPr>
      <w:r w:rsidRPr="00FD5007">
        <w:rPr>
          <w:sz w:val="28"/>
          <w:szCs w:val="28"/>
        </w:rPr>
        <w:t>[38]</w:t>
      </w:r>
      <w:r w:rsidRPr="00FD5007">
        <w:rPr>
          <w:sz w:val="28"/>
          <w:szCs w:val="28"/>
        </w:rPr>
        <w:tab/>
      </w:r>
      <w:r w:rsidR="001F35FE" w:rsidRPr="00FD5007">
        <w:rPr>
          <w:sz w:val="28"/>
          <w:szCs w:val="28"/>
        </w:rPr>
        <w:t>Do</w:t>
      </w:r>
      <w:r w:rsidR="0042002E" w:rsidRPr="00FD5007">
        <w:rPr>
          <w:sz w:val="28"/>
          <w:szCs w:val="28"/>
        </w:rPr>
        <w:t xml:space="preserve"> these differences amount</w:t>
      </w:r>
      <w:r w:rsidR="001F35FE" w:rsidRPr="00FD5007">
        <w:rPr>
          <w:sz w:val="28"/>
          <w:szCs w:val="28"/>
        </w:rPr>
        <w:t xml:space="preserve"> to “substantial” changes?  I think not: the external exit points and points of access to the Mushroom Farm have remained unaltered.  The internal roads have been amended to comply with the JRA </w:t>
      </w:r>
      <w:r w:rsidR="001F35FE" w:rsidRPr="00FD5007">
        <w:rPr>
          <w:sz w:val="28"/>
          <w:szCs w:val="28"/>
        </w:rPr>
        <w:lastRenderedPageBreak/>
        <w:t>requirements and the widening of an internal road can hardly be viewed as a “substantial” amendment.  The access to the phases wer</w:t>
      </w:r>
      <w:r w:rsidR="0042002E" w:rsidRPr="00FD5007">
        <w:rPr>
          <w:sz w:val="28"/>
          <w:szCs w:val="28"/>
        </w:rPr>
        <w:t>e at all relevant times in both</w:t>
      </w:r>
      <w:r w:rsidR="001F35FE" w:rsidRPr="00FD5007">
        <w:rPr>
          <w:sz w:val="28"/>
          <w:szCs w:val="28"/>
        </w:rPr>
        <w:t xml:space="preserve"> plans simply a means of accessing each phase or precinct in the most </w:t>
      </w:r>
      <w:r w:rsidR="0042002E" w:rsidRPr="00FD5007">
        <w:rPr>
          <w:sz w:val="28"/>
          <w:szCs w:val="28"/>
        </w:rPr>
        <w:t>convenient</w:t>
      </w:r>
      <w:r w:rsidR="001F35FE" w:rsidRPr="00FD5007">
        <w:rPr>
          <w:sz w:val="28"/>
          <w:szCs w:val="28"/>
        </w:rPr>
        <w:t xml:space="preserve"> and practical way and this principle has been retained.  The simplification of the internal roads amount to an almost imperceptible amendment, particularly </w:t>
      </w:r>
      <w:r w:rsidR="00E77554" w:rsidRPr="00FD5007">
        <w:rPr>
          <w:sz w:val="28"/>
          <w:szCs w:val="28"/>
        </w:rPr>
        <w:t>when viewed from</w:t>
      </w:r>
      <w:r w:rsidR="001F35FE" w:rsidRPr="00FD5007">
        <w:rPr>
          <w:sz w:val="28"/>
          <w:szCs w:val="28"/>
        </w:rPr>
        <w:t xml:space="preserve"> outside the Mushroom Farm and in any event</w:t>
      </w:r>
      <w:r w:rsidR="00E77554" w:rsidRPr="00FD5007">
        <w:rPr>
          <w:sz w:val="28"/>
          <w:szCs w:val="28"/>
        </w:rPr>
        <w:t>, it</w:t>
      </w:r>
      <w:r w:rsidR="001F35FE" w:rsidRPr="00FD5007">
        <w:rPr>
          <w:sz w:val="28"/>
          <w:szCs w:val="28"/>
        </w:rPr>
        <w:t xml:space="preserve"> has no external effect.  Where the road</w:t>
      </w:r>
      <w:r w:rsidR="00E77554" w:rsidRPr="00FD5007">
        <w:rPr>
          <w:sz w:val="28"/>
          <w:szCs w:val="28"/>
        </w:rPr>
        <w:t xml:space="preserve"> traffic volumes, on which the S</w:t>
      </w:r>
      <w:r w:rsidR="001F35FE" w:rsidRPr="00FD5007">
        <w:rPr>
          <w:sz w:val="28"/>
          <w:szCs w:val="28"/>
        </w:rPr>
        <w:t xml:space="preserve">ervitude Agreement and the </w:t>
      </w:r>
      <w:r w:rsidR="00FD5007">
        <w:rPr>
          <w:sz w:val="28"/>
          <w:szCs w:val="28"/>
        </w:rPr>
        <w:t>Notarial Deed</w:t>
      </w:r>
      <w:r w:rsidR="001F35FE" w:rsidRPr="00FD5007">
        <w:rPr>
          <w:sz w:val="28"/>
          <w:szCs w:val="28"/>
        </w:rPr>
        <w:t xml:space="preserve"> had been based</w:t>
      </w:r>
      <w:r w:rsidR="00E77554" w:rsidRPr="00FD5007">
        <w:rPr>
          <w:sz w:val="28"/>
          <w:szCs w:val="28"/>
        </w:rPr>
        <w:t>,</w:t>
      </w:r>
      <w:r w:rsidR="001F35FE" w:rsidRPr="00FD5007">
        <w:rPr>
          <w:sz w:val="28"/>
          <w:szCs w:val="28"/>
        </w:rPr>
        <w:t xml:space="preserve"> had remained unaffected (or possibly been decreased), the 2017 Precinct Plan </w:t>
      </w:r>
      <w:r w:rsidR="00FD5007">
        <w:rPr>
          <w:sz w:val="28"/>
          <w:szCs w:val="28"/>
        </w:rPr>
        <w:t xml:space="preserve">and the development in accordance therewith </w:t>
      </w:r>
      <w:r w:rsidR="001F35FE" w:rsidRPr="00FD5007">
        <w:rPr>
          <w:sz w:val="28"/>
          <w:szCs w:val="28"/>
        </w:rPr>
        <w:t xml:space="preserve">cannot be found to constitute a “substantial” deviation from the </w:t>
      </w:r>
      <w:proofErr w:type="spellStart"/>
      <w:r w:rsidR="001F35FE" w:rsidRPr="00FD5007">
        <w:rPr>
          <w:sz w:val="28"/>
          <w:szCs w:val="28"/>
        </w:rPr>
        <w:t>Kayalami</w:t>
      </w:r>
      <w:proofErr w:type="spellEnd"/>
      <w:r w:rsidR="001F35FE" w:rsidRPr="00FD5007">
        <w:rPr>
          <w:sz w:val="28"/>
          <w:szCs w:val="28"/>
        </w:rPr>
        <w:t xml:space="preserve"> Centro Master Plan.</w:t>
      </w:r>
      <w:r w:rsidR="008E6EE9" w:rsidRPr="00FD5007">
        <w:rPr>
          <w:sz w:val="28"/>
          <w:szCs w:val="28"/>
        </w:rPr>
        <w:t xml:space="preserve">  Construction in terms thereof therefore does not amount to a breach and neither had it been necessary</w:t>
      </w:r>
      <w:r w:rsidR="00E77554" w:rsidRPr="00FD5007">
        <w:rPr>
          <w:sz w:val="28"/>
          <w:szCs w:val="28"/>
        </w:rPr>
        <w:t xml:space="preserve"> to seek WEL’s approval</w:t>
      </w:r>
      <w:r w:rsidR="003312D5" w:rsidRPr="00FD5007">
        <w:rPr>
          <w:sz w:val="28"/>
          <w:szCs w:val="28"/>
        </w:rPr>
        <w:t>.</w:t>
      </w:r>
    </w:p>
    <w:p w:rsidR="00E77554" w:rsidRDefault="00073A85" w:rsidP="00073A85">
      <w:pPr>
        <w:pStyle w:val="MEMONUMBERED"/>
        <w:numPr>
          <w:ilvl w:val="0"/>
          <w:numId w:val="0"/>
        </w:numPr>
        <w:spacing w:after="360" w:line="360" w:lineRule="auto"/>
        <w:rPr>
          <w:sz w:val="28"/>
          <w:szCs w:val="28"/>
        </w:rPr>
      </w:pPr>
      <w:r>
        <w:rPr>
          <w:sz w:val="28"/>
          <w:szCs w:val="28"/>
        </w:rPr>
        <w:t>[39]</w:t>
      </w:r>
      <w:r>
        <w:rPr>
          <w:sz w:val="28"/>
          <w:szCs w:val="28"/>
        </w:rPr>
        <w:tab/>
      </w:r>
      <w:r w:rsidR="00E77554">
        <w:rPr>
          <w:sz w:val="28"/>
          <w:szCs w:val="28"/>
        </w:rPr>
        <w:t xml:space="preserve">If I </w:t>
      </w:r>
      <w:r w:rsidR="00FD5007">
        <w:rPr>
          <w:sz w:val="28"/>
          <w:szCs w:val="28"/>
        </w:rPr>
        <w:t>were to be</w:t>
      </w:r>
      <w:r w:rsidR="00E77554">
        <w:rPr>
          <w:sz w:val="28"/>
          <w:szCs w:val="28"/>
        </w:rPr>
        <w:t xml:space="preserve"> wrong about the exclusion of the 2010 Precinct Plan from the Servitude Agreement or the </w:t>
      </w:r>
      <w:r w:rsidR="00FD5007">
        <w:rPr>
          <w:sz w:val="28"/>
          <w:szCs w:val="28"/>
        </w:rPr>
        <w:t>Notarial Deed</w:t>
      </w:r>
      <w:r w:rsidR="00E77554">
        <w:rPr>
          <w:sz w:val="28"/>
          <w:szCs w:val="28"/>
        </w:rPr>
        <w:t xml:space="preserve"> or, even if it remains excluded, can it be found that, in addition to the issue of roads already dealt with</w:t>
      </w:r>
      <w:r w:rsidR="00FD5007">
        <w:rPr>
          <w:sz w:val="28"/>
          <w:szCs w:val="28"/>
        </w:rPr>
        <w:t xml:space="preserve"> in paragraph 38</w:t>
      </w:r>
      <w:r w:rsidR="00E77554">
        <w:rPr>
          <w:sz w:val="28"/>
          <w:szCs w:val="28"/>
        </w:rPr>
        <w:t xml:space="preserve"> above, the current development is in breach of the terms of the Servitude</w:t>
      </w:r>
      <w:r w:rsidR="00FD5007">
        <w:rPr>
          <w:sz w:val="28"/>
          <w:szCs w:val="28"/>
        </w:rPr>
        <w:t xml:space="preserve"> agreement or the Notarial Deed</w:t>
      </w:r>
      <w:r w:rsidR="00E77554">
        <w:rPr>
          <w:sz w:val="28"/>
          <w:szCs w:val="28"/>
        </w:rPr>
        <w:t xml:space="preserve"> in that it is not in “substantial” accordance with the</w:t>
      </w:r>
      <w:r w:rsidR="00FD5007">
        <w:rPr>
          <w:sz w:val="28"/>
          <w:szCs w:val="28"/>
        </w:rPr>
        <w:t xml:space="preserve"> depiction of</w:t>
      </w:r>
      <w:r w:rsidR="00E77554">
        <w:rPr>
          <w:sz w:val="28"/>
          <w:szCs w:val="28"/>
        </w:rPr>
        <w:t xml:space="preserve"> precincts </w:t>
      </w:r>
      <w:r w:rsidR="00FD5007">
        <w:rPr>
          <w:sz w:val="28"/>
          <w:szCs w:val="28"/>
        </w:rPr>
        <w:t>(</w:t>
      </w:r>
      <w:r w:rsidR="00E77554">
        <w:rPr>
          <w:sz w:val="28"/>
          <w:szCs w:val="28"/>
        </w:rPr>
        <w:t xml:space="preserve">or the uses of land contemplated therein) </w:t>
      </w:r>
      <w:r w:rsidR="00FD5007">
        <w:rPr>
          <w:sz w:val="28"/>
          <w:szCs w:val="28"/>
        </w:rPr>
        <w:t>which</w:t>
      </w:r>
      <w:r w:rsidR="00E77554">
        <w:rPr>
          <w:sz w:val="28"/>
          <w:szCs w:val="28"/>
        </w:rPr>
        <w:t xml:space="preserve"> may</w:t>
      </w:r>
      <w:r w:rsidR="00FD5007">
        <w:rPr>
          <w:sz w:val="28"/>
          <w:szCs w:val="28"/>
        </w:rPr>
        <w:t xml:space="preserve"> possibly</w:t>
      </w:r>
      <w:r w:rsidR="00E77554">
        <w:rPr>
          <w:sz w:val="28"/>
          <w:szCs w:val="28"/>
        </w:rPr>
        <w:t xml:space="preserve"> be extracted from the </w:t>
      </w:r>
      <w:proofErr w:type="spellStart"/>
      <w:r w:rsidR="00E77554">
        <w:rPr>
          <w:sz w:val="28"/>
          <w:szCs w:val="28"/>
        </w:rPr>
        <w:t>Kayalami</w:t>
      </w:r>
      <w:proofErr w:type="spellEnd"/>
      <w:r w:rsidR="00E77554">
        <w:rPr>
          <w:sz w:val="28"/>
          <w:szCs w:val="28"/>
        </w:rPr>
        <w:t xml:space="preserve"> Centro Master Plan?</w:t>
      </w:r>
      <w:r w:rsidR="00FD5007">
        <w:rPr>
          <w:sz w:val="28"/>
          <w:szCs w:val="28"/>
        </w:rPr>
        <w:t xml:space="preserve">  This is what WEL’s argument quoted in paragraph 22 above contemplates.</w:t>
      </w:r>
    </w:p>
    <w:p w:rsidR="00A3114D" w:rsidRDefault="00073A85" w:rsidP="00073A85">
      <w:pPr>
        <w:pStyle w:val="MEMONUMBERED"/>
        <w:numPr>
          <w:ilvl w:val="0"/>
          <w:numId w:val="0"/>
        </w:numPr>
        <w:spacing w:after="360" w:line="360" w:lineRule="auto"/>
        <w:rPr>
          <w:sz w:val="28"/>
          <w:szCs w:val="28"/>
        </w:rPr>
      </w:pPr>
      <w:r>
        <w:rPr>
          <w:sz w:val="28"/>
          <w:szCs w:val="28"/>
        </w:rPr>
        <w:t>[40]</w:t>
      </w:r>
      <w:r>
        <w:rPr>
          <w:sz w:val="28"/>
          <w:szCs w:val="28"/>
        </w:rPr>
        <w:tab/>
      </w:r>
      <w:r w:rsidR="00E77554">
        <w:rPr>
          <w:sz w:val="28"/>
          <w:szCs w:val="28"/>
        </w:rPr>
        <w:t>As already indicated</w:t>
      </w:r>
      <w:r w:rsidR="008E6EE9">
        <w:rPr>
          <w:sz w:val="28"/>
          <w:szCs w:val="28"/>
        </w:rPr>
        <w:t xml:space="preserve"> </w:t>
      </w:r>
      <w:proofErr w:type="spellStart"/>
      <w:r w:rsidR="008E6EE9">
        <w:rPr>
          <w:sz w:val="28"/>
          <w:szCs w:val="28"/>
        </w:rPr>
        <w:t>Kayalami</w:t>
      </w:r>
      <w:proofErr w:type="spellEnd"/>
      <w:r w:rsidR="008E6EE9">
        <w:rPr>
          <w:sz w:val="28"/>
          <w:szCs w:val="28"/>
        </w:rPr>
        <w:t xml:space="preserve"> </w:t>
      </w:r>
      <w:r w:rsidR="00E77554">
        <w:rPr>
          <w:sz w:val="28"/>
          <w:szCs w:val="28"/>
        </w:rPr>
        <w:t>Centro Master Plan depicted 19 “p</w:t>
      </w:r>
      <w:r w:rsidR="008E6EE9">
        <w:rPr>
          <w:sz w:val="28"/>
          <w:szCs w:val="28"/>
        </w:rPr>
        <w:t>recincts</w:t>
      </w:r>
      <w:r w:rsidR="00FD5007">
        <w:rPr>
          <w:sz w:val="28"/>
          <w:szCs w:val="28"/>
        </w:rPr>
        <w:t xml:space="preserve">”.  This </w:t>
      </w:r>
      <w:r w:rsidR="008E6EE9">
        <w:rPr>
          <w:sz w:val="28"/>
          <w:szCs w:val="28"/>
        </w:rPr>
        <w:t>word was use</w:t>
      </w:r>
      <w:r w:rsidR="00E77554">
        <w:rPr>
          <w:sz w:val="28"/>
          <w:szCs w:val="28"/>
        </w:rPr>
        <w:t>d by the parties interchangeably</w:t>
      </w:r>
      <w:r w:rsidR="008E6EE9">
        <w:rPr>
          <w:sz w:val="28"/>
          <w:szCs w:val="28"/>
        </w:rPr>
        <w:t xml:space="preserve"> with </w:t>
      </w:r>
      <w:r w:rsidR="00E77554">
        <w:rPr>
          <w:sz w:val="28"/>
          <w:szCs w:val="28"/>
        </w:rPr>
        <w:t>erven, phases or even townships</w:t>
      </w:r>
      <w:r w:rsidR="008775A6">
        <w:rPr>
          <w:sz w:val="28"/>
          <w:szCs w:val="28"/>
        </w:rPr>
        <w:t>.  This depiction</w:t>
      </w:r>
      <w:r w:rsidR="008E6EE9">
        <w:rPr>
          <w:sz w:val="28"/>
          <w:szCs w:val="28"/>
        </w:rPr>
        <w:t xml:space="preserve"> was done without reference to zoning type</w:t>
      </w:r>
      <w:r w:rsidR="008775A6">
        <w:rPr>
          <w:sz w:val="28"/>
          <w:szCs w:val="28"/>
        </w:rPr>
        <w:t>s</w:t>
      </w:r>
      <w:r w:rsidR="008E6EE9">
        <w:rPr>
          <w:sz w:val="28"/>
          <w:szCs w:val="28"/>
        </w:rPr>
        <w:t xml:space="preserve"> or developable areas.  These</w:t>
      </w:r>
      <w:r w:rsidR="008775A6">
        <w:rPr>
          <w:sz w:val="28"/>
          <w:szCs w:val="28"/>
        </w:rPr>
        <w:t xml:space="preserve"> kind of </w:t>
      </w:r>
      <w:r w:rsidR="008E6EE9">
        <w:rPr>
          <w:sz w:val="28"/>
          <w:szCs w:val="28"/>
        </w:rPr>
        <w:t xml:space="preserve">details </w:t>
      </w:r>
      <w:r w:rsidR="008775A6">
        <w:rPr>
          <w:sz w:val="28"/>
          <w:szCs w:val="28"/>
        </w:rPr>
        <w:t>only appeared on the 2010 Precinct</w:t>
      </w:r>
      <w:r w:rsidR="008E6EE9">
        <w:rPr>
          <w:sz w:val="28"/>
          <w:szCs w:val="28"/>
        </w:rPr>
        <w:t xml:space="preserve"> Plan.  </w:t>
      </w:r>
      <w:r w:rsidR="00FD5007">
        <w:rPr>
          <w:sz w:val="28"/>
          <w:szCs w:val="28"/>
        </w:rPr>
        <w:t>But e</w:t>
      </w:r>
      <w:r w:rsidR="008E6EE9">
        <w:rPr>
          <w:sz w:val="28"/>
          <w:szCs w:val="28"/>
        </w:rPr>
        <w:t>ven if one were to e</w:t>
      </w:r>
      <w:r w:rsidR="00FD5007">
        <w:rPr>
          <w:sz w:val="28"/>
          <w:szCs w:val="28"/>
        </w:rPr>
        <w:t>xtract this detail from the 2010</w:t>
      </w:r>
      <w:r w:rsidR="008E6EE9">
        <w:rPr>
          <w:sz w:val="28"/>
          <w:szCs w:val="28"/>
        </w:rPr>
        <w:t xml:space="preserve"> Precinct Plan and impose it on the </w:t>
      </w:r>
      <w:proofErr w:type="spellStart"/>
      <w:r w:rsidR="008E6EE9">
        <w:rPr>
          <w:sz w:val="28"/>
          <w:szCs w:val="28"/>
        </w:rPr>
        <w:t>Kayalami</w:t>
      </w:r>
      <w:proofErr w:type="spellEnd"/>
      <w:r w:rsidR="008E6EE9">
        <w:rPr>
          <w:sz w:val="28"/>
          <w:szCs w:val="28"/>
        </w:rPr>
        <w:t xml:space="preserve"> Centro Master Plan,</w:t>
      </w:r>
      <w:r w:rsidR="008775A6">
        <w:rPr>
          <w:sz w:val="28"/>
          <w:szCs w:val="28"/>
        </w:rPr>
        <w:t xml:space="preserve"> and consider, apart from </w:t>
      </w:r>
      <w:r w:rsidR="008775A6">
        <w:rPr>
          <w:sz w:val="28"/>
          <w:szCs w:val="28"/>
        </w:rPr>
        <w:lastRenderedPageBreak/>
        <w:t>the issue of roads already described above, the remaining features</w:t>
      </w:r>
      <w:r w:rsidR="00FD5007">
        <w:rPr>
          <w:sz w:val="28"/>
          <w:szCs w:val="28"/>
        </w:rPr>
        <w:t xml:space="preserve"> and compare them with the 2017 Precinct Plan</w:t>
      </w:r>
      <w:r w:rsidR="008775A6">
        <w:rPr>
          <w:sz w:val="28"/>
          <w:szCs w:val="28"/>
        </w:rPr>
        <w:t>,</w:t>
      </w:r>
      <w:r w:rsidR="008E6EE9">
        <w:rPr>
          <w:sz w:val="28"/>
          <w:szCs w:val="28"/>
        </w:rPr>
        <w:t xml:space="preserve"> the o</w:t>
      </w:r>
      <w:r w:rsidR="008775A6">
        <w:rPr>
          <w:sz w:val="28"/>
          <w:szCs w:val="28"/>
        </w:rPr>
        <w:t>nly real difference is that 19 p</w:t>
      </w:r>
      <w:r w:rsidR="008E6EE9">
        <w:rPr>
          <w:sz w:val="28"/>
          <w:szCs w:val="28"/>
        </w:rPr>
        <w:t>rec</w:t>
      </w:r>
      <w:r w:rsidR="008775A6">
        <w:rPr>
          <w:sz w:val="28"/>
          <w:szCs w:val="28"/>
        </w:rPr>
        <w:t>incts have now become 10 p</w:t>
      </w:r>
      <w:r w:rsidR="008E6EE9">
        <w:rPr>
          <w:sz w:val="28"/>
          <w:szCs w:val="28"/>
        </w:rPr>
        <w:t>recincts.  The maximum developable floor area for maximum bulk are</w:t>
      </w:r>
      <w:r w:rsidR="00870FD5">
        <w:rPr>
          <w:sz w:val="28"/>
          <w:szCs w:val="28"/>
        </w:rPr>
        <w:t>a of 30 000m² contained in the S</w:t>
      </w:r>
      <w:r w:rsidR="008E6EE9">
        <w:rPr>
          <w:sz w:val="28"/>
          <w:szCs w:val="28"/>
        </w:rPr>
        <w:t>ervitude</w:t>
      </w:r>
      <w:r w:rsidR="00870FD5">
        <w:rPr>
          <w:sz w:val="28"/>
          <w:szCs w:val="28"/>
        </w:rPr>
        <w:t xml:space="preserve"> Agreement</w:t>
      </w:r>
      <w:r w:rsidR="008E6EE9">
        <w:rPr>
          <w:sz w:val="28"/>
          <w:szCs w:val="28"/>
        </w:rPr>
        <w:t xml:space="preserve"> has been retained.  The </w:t>
      </w:r>
      <w:proofErr w:type="spellStart"/>
      <w:r w:rsidR="008E6EE9">
        <w:rPr>
          <w:sz w:val="28"/>
          <w:szCs w:val="28"/>
        </w:rPr>
        <w:t>CoJ</w:t>
      </w:r>
      <w:proofErr w:type="spellEnd"/>
      <w:r w:rsidR="008E6EE9">
        <w:rPr>
          <w:sz w:val="28"/>
          <w:szCs w:val="28"/>
        </w:rPr>
        <w:t xml:space="preserve"> has found that the amendment has no negative external effect on </w:t>
      </w:r>
      <w:proofErr w:type="spellStart"/>
      <w:r w:rsidR="008E6EE9">
        <w:rPr>
          <w:sz w:val="28"/>
          <w:szCs w:val="28"/>
        </w:rPr>
        <w:t>neighbouring</w:t>
      </w:r>
      <w:proofErr w:type="spellEnd"/>
      <w:r w:rsidR="008E6EE9">
        <w:rPr>
          <w:sz w:val="28"/>
          <w:szCs w:val="28"/>
        </w:rPr>
        <w:t xml:space="preserve"> properties or the area as a whole.  Even if one were to ignore this view</w:t>
      </w:r>
      <w:r w:rsidR="008775A6">
        <w:rPr>
          <w:sz w:val="28"/>
          <w:szCs w:val="28"/>
        </w:rPr>
        <w:t xml:space="preserve"> expressed</w:t>
      </w:r>
      <w:r w:rsidR="008E6EE9">
        <w:rPr>
          <w:sz w:val="28"/>
          <w:szCs w:val="28"/>
        </w:rPr>
        <w:t xml:space="preserve"> by the </w:t>
      </w:r>
      <w:proofErr w:type="spellStart"/>
      <w:r w:rsidR="008E6EE9">
        <w:rPr>
          <w:sz w:val="28"/>
          <w:szCs w:val="28"/>
        </w:rPr>
        <w:t>CoJ</w:t>
      </w:r>
      <w:proofErr w:type="spellEnd"/>
      <w:r w:rsidR="008775A6">
        <w:rPr>
          <w:sz w:val="28"/>
          <w:szCs w:val="28"/>
        </w:rPr>
        <w:t>,</w:t>
      </w:r>
      <w:r w:rsidR="008E6EE9">
        <w:rPr>
          <w:sz w:val="28"/>
          <w:szCs w:val="28"/>
        </w:rPr>
        <w:t xml:space="preserve"> the evidence placed before the court by Century by way of an affidavit by a registered p</w:t>
      </w:r>
      <w:r w:rsidR="008775A6">
        <w:rPr>
          <w:sz w:val="28"/>
          <w:szCs w:val="28"/>
        </w:rPr>
        <w:t>rofessional town planner (</w:t>
      </w:r>
      <w:proofErr w:type="spellStart"/>
      <w:r w:rsidR="008775A6">
        <w:rPr>
          <w:sz w:val="28"/>
          <w:szCs w:val="28"/>
        </w:rPr>
        <w:t>Dacom</w:t>
      </w:r>
      <w:r w:rsidR="008E6EE9">
        <w:rPr>
          <w:sz w:val="28"/>
          <w:szCs w:val="28"/>
        </w:rPr>
        <w:t>b</w:t>
      </w:r>
      <w:proofErr w:type="spellEnd"/>
      <w:r w:rsidR="008E6EE9">
        <w:rPr>
          <w:sz w:val="28"/>
          <w:szCs w:val="28"/>
        </w:rPr>
        <w:t>)</w:t>
      </w:r>
      <w:r w:rsidR="008775A6">
        <w:rPr>
          <w:sz w:val="28"/>
          <w:szCs w:val="28"/>
        </w:rPr>
        <w:t xml:space="preserve"> has to be weighed up.  Although this evidence has been supplied in a replying affidavit to its initial counter-application by Century and therefore it may no</w:t>
      </w:r>
      <w:r w:rsidR="00870FD5">
        <w:rPr>
          <w:sz w:val="28"/>
          <w:szCs w:val="28"/>
        </w:rPr>
        <w:t>t</w:t>
      </w:r>
      <w:r w:rsidR="008775A6">
        <w:rPr>
          <w:sz w:val="28"/>
          <w:szCs w:val="28"/>
        </w:rPr>
        <w:t xml:space="preserve"> conveniently fit into the application of</w:t>
      </w:r>
      <w:r w:rsidR="008E6EE9">
        <w:rPr>
          <w:sz w:val="28"/>
          <w:szCs w:val="28"/>
        </w:rPr>
        <w:t xml:space="preserve"> the </w:t>
      </w:r>
      <w:proofErr w:type="spellStart"/>
      <w:r w:rsidR="008E6EE9">
        <w:rPr>
          <w:sz w:val="28"/>
          <w:szCs w:val="28"/>
        </w:rPr>
        <w:t>Plascon</w:t>
      </w:r>
      <w:proofErr w:type="spellEnd"/>
      <w:r w:rsidR="008E6EE9">
        <w:rPr>
          <w:sz w:val="28"/>
          <w:szCs w:val="28"/>
        </w:rPr>
        <w:t>-</w:t>
      </w:r>
      <w:r w:rsidR="008775A6">
        <w:rPr>
          <w:sz w:val="28"/>
          <w:szCs w:val="28"/>
        </w:rPr>
        <w:t>Eva</w:t>
      </w:r>
      <w:r w:rsidR="008E6EE9">
        <w:rPr>
          <w:sz w:val="28"/>
          <w:szCs w:val="28"/>
        </w:rPr>
        <w:t>ns-Rule</w:t>
      </w:r>
      <w:r w:rsidR="008E6EE9">
        <w:rPr>
          <w:rStyle w:val="FootnoteReference"/>
          <w:sz w:val="28"/>
          <w:szCs w:val="28"/>
        </w:rPr>
        <w:footnoteReference w:id="2"/>
      </w:r>
      <w:r w:rsidR="008775A6">
        <w:rPr>
          <w:sz w:val="28"/>
          <w:szCs w:val="28"/>
        </w:rPr>
        <w:t>,</w:t>
      </w:r>
      <w:r w:rsidR="008E6EE9">
        <w:rPr>
          <w:sz w:val="28"/>
          <w:szCs w:val="28"/>
        </w:rPr>
        <w:t xml:space="preserve"> </w:t>
      </w:r>
      <w:r w:rsidR="00835404">
        <w:rPr>
          <w:sz w:val="28"/>
          <w:szCs w:val="28"/>
        </w:rPr>
        <w:t>the town planner’s</w:t>
      </w:r>
      <w:r w:rsidR="008E6EE9">
        <w:rPr>
          <w:sz w:val="28"/>
          <w:szCs w:val="28"/>
        </w:rPr>
        <w:t xml:space="preserve"> expertise has not been doubted</w:t>
      </w:r>
      <w:r w:rsidR="00835404">
        <w:rPr>
          <w:sz w:val="28"/>
          <w:szCs w:val="28"/>
        </w:rPr>
        <w:t xml:space="preserve"> in subsequent affidavits filed by WEL</w:t>
      </w:r>
      <w:r w:rsidR="008E6EE9">
        <w:rPr>
          <w:sz w:val="28"/>
          <w:szCs w:val="28"/>
        </w:rPr>
        <w:t xml:space="preserve"> and his factual evidence is corroborat</w:t>
      </w:r>
      <w:r w:rsidR="00835404">
        <w:rPr>
          <w:sz w:val="28"/>
          <w:szCs w:val="28"/>
        </w:rPr>
        <w:t>ed by documents filed of record.</w:t>
      </w:r>
      <w:r w:rsidR="008E6EE9">
        <w:rPr>
          <w:sz w:val="28"/>
          <w:szCs w:val="28"/>
        </w:rPr>
        <w:t xml:space="preserve"> </w:t>
      </w:r>
      <w:r w:rsidR="00835404">
        <w:rPr>
          <w:sz w:val="28"/>
          <w:szCs w:val="28"/>
        </w:rPr>
        <w:t xml:space="preserve"> </w:t>
      </w:r>
      <w:r w:rsidR="008E6EE9">
        <w:rPr>
          <w:sz w:val="28"/>
          <w:szCs w:val="28"/>
        </w:rPr>
        <w:t>I find no</w:t>
      </w:r>
      <w:r w:rsidR="00835404">
        <w:rPr>
          <w:sz w:val="28"/>
          <w:szCs w:val="28"/>
        </w:rPr>
        <w:t xml:space="preserve"> cogent</w:t>
      </w:r>
      <w:r w:rsidR="008E6EE9">
        <w:rPr>
          <w:sz w:val="28"/>
          <w:szCs w:val="28"/>
        </w:rPr>
        <w:t xml:space="preserve"> reason to discard his evidence.  He inter alia concluded the following after </w:t>
      </w:r>
      <w:r w:rsidR="00446F1E">
        <w:rPr>
          <w:sz w:val="28"/>
          <w:szCs w:val="28"/>
        </w:rPr>
        <w:t xml:space="preserve">reference to the detail contained in the </w:t>
      </w:r>
      <w:proofErr w:type="spellStart"/>
      <w:r w:rsidR="00446F1E">
        <w:rPr>
          <w:sz w:val="28"/>
          <w:szCs w:val="28"/>
        </w:rPr>
        <w:t>Kayalami</w:t>
      </w:r>
      <w:proofErr w:type="spellEnd"/>
      <w:r w:rsidR="00446F1E">
        <w:rPr>
          <w:sz w:val="28"/>
          <w:szCs w:val="28"/>
        </w:rPr>
        <w:t xml:space="preserve"> Centro Master Plan, the 2010 Prec</w:t>
      </w:r>
      <w:r w:rsidR="00835404">
        <w:rPr>
          <w:sz w:val="28"/>
          <w:szCs w:val="28"/>
        </w:rPr>
        <w:t>inct</w:t>
      </w:r>
      <w:r w:rsidR="00446F1E">
        <w:rPr>
          <w:sz w:val="28"/>
          <w:szCs w:val="28"/>
        </w:rPr>
        <w:t xml:space="preserve"> Plan and the 2017 Precinct Plan:</w:t>
      </w:r>
    </w:p>
    <w:p w:rsidR="00446F1E" w:rsidRPr="00835404" w:rsidRDefault="00835404" w:rsidP="0039419D">
      <w:pPr>
        <w:pStyle w:val="MEMONUMBERED"/>
        <w:numPr>
          <w:ilvl w:val="0"/>
          <w:numId w:val="0"/>
        </w:numPr>
        <w:spacing w:after="360" w:line="360" w:lineRule="auto"/>
        <w:ind w:left="2160" w:hanging="720"/>
        <w:rPr>
          <w:i/>
          <w:sz w:val="28"/>
          <w:szCs w:val="28"/>
        </w:rPr>
      </w:pPr>
      <w:r>
        <w:rPr>
          <w:sz w:val="28"/>
          <w:szCs w:val="28"/>
        </w:rPr>
        <w:t>“</w:t>
      </w:r>
      <w:r w:rsidRPr="00835404">
        <w:rPr>
          <w:i/>
          <w:sz w:val="28"/>
          <w:szCs w:val="28"/>
        </w:rPr>
        <w:t>35.</w:t>
      </w:r>
      <w:r w:rsidRPr="00835404">
        <w:rPr>
          <w:i/>
          <w:sz w:val="28"/>
          <w:szCs w:val="28"/>
        </w:rPr>
        <w:tab/>
        <w:t>When the 2010 Precinct P</w:t>
      </w:r>
      <w:r w:rsidR="0039419D" w:rsidRPr="00835404">
        <w:rPr>
          <w:i/>
          <w:sz w:val="28"/>
          <w:szCs w:val="28"/>
        </w:rPr>
        <w:t>lan is compared to the alleged Kyalami Centro Master Plan which the Applicant relies on, it is evident that there is a vast difference in the detail denot</w:t>
      </w:r>
      <w:r w:rsidRPr="00835404">
        <w:rPr>
          <w:i/>
          <w:sz w:val="28"/>
          <w:szCs w:val="28"/>
        </w:rPr>
        <w:t>ed on each plan, with the 2010 P</w:t>
      </w:r>
      <w:r w:rsidR="0039419D" w:rsidRPr="00835404">
        <w:rPr>
          <w:i/>
          <w:sz w:val="28"/>
          <w:szCs w:val="28"/>
        </w:rPr>
        <w:t>re</w:t>
      </w:r>
      <w:r w:rsidRPr="00835404">
        <w:rPr>
          <w:i/>
          <w:sz w:val="28"/>
          <w:szCs w:val="28"/>
        </w:rPr>
        <w:t>cinct P</w:t>
      </w:r>
      <w:r w:rsidR="0039419D" w:rsidRPr="00835404">
        <w:rPr>
          <w:i/>
          <w:sz w:val="28"/>
          <w:szCs w:val="28"/>
        </w:rPr>
        <w:t>lan as approve</w:t>
      </w:r>
      <w:r w:rsidRPr="00835404">
        <w:rPr>
          <w:i/>
          <w:sz w:val="28"/>
          <w:szCs w:val="28"/>
        </w:rPr>
        <w:t>d by the municipality, containing</w:t>
      </w:r>
      <w:r w:rsidR="0039419D" w:rsidRPr="00835404">
        <w:rPr>
          <w:i/>
          <w:sz w:val="28"/>
          <w:szCs w:val="28"/>
        </w:rPr>
        <w:t xml:space="preserve"> detailed information with regard to the intended use of each developable land parcel (precinct) (either a combination of land use </w:t>
      </w:r>
      <w:proofErr w:type="spellStart"/>
      <w:r w:rsidR="0039419D" w:rsidRPr="00835404">
        <w:rPr>
          <w:i/>
          <w:sz w:val="28"/>
          <w:szCs w:val="28"/>
        </w:rPr>
        <w:t>hypologies</w:t>
      </w:r>
      <w:proofErr w:type="spellEnd"/>
      <w:r w:rsidR="0039419D" w:rsidRPr="00835404">
        <w:rPr>
          <w:i/>
          <w:sz w:val="28"/>
          <w:szCs w:val="28"/>
        </w:rPr>
        <w:t xml:space="preserve"> or single use components).</w:t>
      </w:r>
    </w:p>
    <w:p w:rsidR="00B66EF2" w:rsidRPr="00835404" w:rsidRDefault="0039419D" w:rsidP="0039419D">
      <w:pPr>
        <w:pStyle w:val="MEMONUMBERED"/>
        <w:numPr>
          <w:ilvl w:val="0"/>
          <w:numId w:val="0"/>
        </w:numPr>
        <w:spacing w:after="360" w:line="360" w:lineRule="auto"/>
        <w:ind w:left="2160" w:hanging="720"/>
        <w:rPr>
          <w:i/>
          <w:sz w:val="28"/>
          <w:szCs w:val="28"/>
        </w:rPr>
      </w:pPr>
      <w:r w:rsidRPr="00835404">
        <w:rPr>
          <w:i/>
          <w:sz w:val="28"/>
          <w:szCs w:val="28"/>
        </w:rPr>
        <w:lastRenderedPageBreak/>
        <w:t>36.</w:t>
      </w:r>
      <w:r w:rsidRPr="00835404">
        <w:rPr>
          <w:i/>
          <w:sz w:val="28"/>
          <w:szCs w:val="28"/>
        </w:rPr>
        <w:tab/>
        <w:t>This distinction is important when regard is had to the allegation by the Applicant that, what had been approved by the municipality with regard to the 2017 precinct plan and, by Extensions 34 and 35, somehow conforms to what the Applicant describes as a “multi-use development”, as opposed to his preferred “mixed use development”, ostensibly denoted</w:t>
      </w:r>
      <w:r w:rsidR="00676C31" w:rsidRPr="00835404">
        <w:rPr>
          <w:i/>
          <w:sz w:val="28"/>
          <w:szCs w:val="28"/>
        </w:rPr>
        <w:t xml:space="preserve"> on the Kyalami Centro Master Plan.  As is evident from the</w:t>
      </w:r>
      <w:r w:rsidR="00835404">
        <w:rPr>
          <w:i/>
          <w:sz w:val="28"/>
          <w:szCs w:val="28"/>
        </w:rPr>
        <w:t xml:space="preserve"> explanations above, and with du</w:t>
      </w:r>
      <w:r w:rsidR="00676C31" w:rsidRPr="00835404">
        <w:rPr>
          <w:i/>
          <w:sz w:val="28"/>
          <w:szCs w:val="28"/>
        </w:rPr>
        <w:t>e regard to the Kyalami Centro Master Plan, there is no indication on such master plan of any mixing of land use typologies</w:t>
      </w:r>
      <w:r w:rsidR="00B66EF2" w:rsidRPr="00835404">
        <w:rPr>
          <w:i/>
          <w:sz w:val="28"/>
          <w:szCs w:val="28"/>
        </w:rPr>
        <w:t xml:space="preserve"> nor a quantification thereof and such submissions made by the Applicant seem to have no merits.</w:t>
      </w:r>
    </w:p>
    <w:p w:rsidR="00B66EF2" w:rsidRPr="00835404" w:rsidRDefault="00B66EF2" w:rsidP="0039419D">
      <w:pPr>
        <w:pStyle w:val="MEMONUMBERED"/>
        <w:numPr>
          <w:ilvl w:val="0"/>
          <w:numId w:val="0"/>
        </w:numPr>
        <w:spacing w:after="360" w:line="360" w:lineRule="auto"/>
        <w:ind w:left="2160" w:hanging="720"/>
        <w:rPr>
          <w:i/>
          <w:sz w:val="28"/>
          <w:szCs w:val="28"/>
        </w:rPr>
      </w:pPr>
      <w:r w:rsidRPr="00835404">
        <w:rPr>
          <w:i/>
          <w:sz w:val="28"/>
          <w:szCs w:val="28"/>
        </w:rPr>
        <w:t>42.</w:t>
      </w:r>
      <w:r w:rsidRPr="00835404">
        <w:rPr>
          <w:i/>
          <w:sz w:val="28"/>
          <w:szCs w:val="28"/>
        </w:rPr>
        <w:tab/>
        <w:t>The amendments reflected in the 2017 precinct plan were of an internal nature (confined to the layout of road reserves within the boundaries of Extension 27 whilst reducing the developable floor area by a considerable margin) and, as a result, would not be expected to have any material impact on the receiving environment beyond the boundaries of the township, including the development and interest of the Applicant as an adjacent land owner and property developer.  The amendments can in my view therefore be regarded as being substantially in accordance with the Kyalami Centro Plan.</w:t>
      </w:r>
    </w:p>
    <w:p w:rsidR="00B6075C" w:rsidRPr="00835404" w:rsidRDefault="00683BB5" w:rsidP="0039419D">
      <w:pPr>
        <w:pStyle w:val="MEMONUMBERED"/>
        <w:numPr>
          <w:ilvl w:val="0"/>
          <w:numId w:val="0"/>
        </w:numPr>
        <w:spacing w:after="360" w:line="360" w:lineRule="auto"/>
        <w:ind w:left="2160" w:hanging="720"/>
        <w:rPr>
          <w:i/>
          <w:sz w:val="28"/>
          <w:szCs w:val="28"/>
        </w:rPr>
      </w:pPr>
      <w:r w:rsidRPr="00835404">
        <w:rPr>
          <w:i/>
          <w:sz w:val="28"/>
          <w:szCs w:val="28"/>
        </w:rPr>
        <w:t>43.</w:t>
      </w:r>
      <w:r w:rsidRPr="00835404">
        <w:rPr>
          <w:i/>
          <w:sz w:val="28"/>
          <w:szCs w:val="28"/>
        </w:rPr>
        <w:tab/>
        <w:t>I</w:t>
      </w:r>
      <w:r w:rsidR="00B66EF2" w:rsidRPr="00835404">
        <w:rPr>
          <w:i/>
          <w:sz w:val="28"/>
          <w:szCs w:val="28"/>
        </w:rPr>
        <w:t xml:space="preserve">n fact, the 2017 precinct plan and the subsequent amendment of the municipality’s decision with regard to Extension 27 brought about a decrease in the approved land use zoning </w:t>
      </w:r>
      <w:r w:rsidR="00B66EF2" w:rsidRPr="00835404">
        <w:rPr>
          <w:i/>
          <w:sz w:val="28"/>
          <w:szCs w:val="28"/>
        </w:rPr>
        <w:lastRenderedPageBreak/>
        <w:t>rights cap from 695 000m² in floor area to 675 000</w:t>
      </w:r>
      <w:r w:rsidR="00B6075C" w:rsidRPr="00835404">
        <w:rPr>
          <w:i/>
          <w:sz w:val="28"/>
          <w:szCs w:val="28"/>
        </w:rPr>
        <w:t>m² (a reduction of some 20 000m²).</w:t>
      </w:r>
    </w:p>
    <w:p w:rsidR="0039419D" w:rsidRPr="00835404" w:rsidRDefault="00683BB5" w:rsidP="0039419D">
      <w:pPr>
        <w:pStyle w:val="MEMONUMBERED"/>
        <w:numPr>
          <w:ilvl w:val="0"/>
          <w:numId w:val="0"/>
        </w:numPr>
        <w:spacing w:after="360" w:line="360" w:lineRule="auto"/>
        <w:ind w:left="2160" w:hanging="720"/>
        <w:rPr>
          <w:i/>
          <w:sz w:val="28"/>
          <w:szCs w:val="28"/>
        </w:rPr>
      </w:pPr>
      <w:r w:rsidRPr="00835404">
        <w:rPr>
          <w:i/>
          <w:sz w:val="28"/>
          <w:szCs w:val="28"/>
        </w:rPr>
        <w:t>44.</w:t>
      </w:r>
      <w:r w:rsidRPr="00835404">
        <w:rPr>
          <w:i/>
          <w:sz w:val="28"/>
          <w:szCs w:val="28"/>
        </w:rPr>
        <w:tab/>
        <w:t>S</w:t>
      </w:r>
      <w:r w:rsidR="00B6075C" w:rsidRPr="00835404">
        <w:rPr>
          <w:i/>
          <w:sz w:val="28"/>
          <w:szCs w:val="28"/>
        </w:rPr>
        <w:t>uch a reduction may be expected to reduce the possible impact of such development on the receiving environment, including the interests of the Applicant as an adjacent land owner.  Furthermore, such a substantial reduction in developable floor area may be expected to lessen any competition which may exist between the developments of the Respondent and the Applicant.</w:t>
      </w:r>
      <w:r w:rsidR="0039419D" w:rsidRPr="00835404">
        <w:rPr>
          <w:i/>
          <w:sz w:val="28"/>
          <w:szCs w:val="28"/>
        </w:rPr>
        <w:t xml:space="preserve"> </w:t>
      </w:r>
    </w:p>
    <w:p w:rsidR="00B6075C" w:rsidRPr="00835404" w:rsidRDefault="00B6075C" w:rsidP="00683BB5">
      <w:pPr>
        <w:pStyle w:val="MEMONUMBERED"/>
        <w:numPr>
          <w:ilvl w:val="0"/>
          <w:numId w:val="0"/>
        </w:numPr>
        <w:spacing w:after="360" w:line="360" w:lineRule="auto"/>
        <w:ind w:left="2880" w:hanging="720"/>
        <w:rPr>
          <w:i/>
          <w:sz w:val="28"/>
          <w:szCs w:val="28"/>
        </w:rPr>
      </w:pPr>
      <w:r w:rsidRPr="00835404">
        <w:rPr>
          <w:i/>
          <w:sz w:val="28"/>
          <w:szCs w:val="28"/>
        </w:rPr>
        <w:t>48.1</w:t>
      </w:r>
      <w:r w:rsidRPr="00835404">
        <w:rPr>
          <w:i/>
          <w:sz w:val="28"/>
          <w:szCs w:val="28"/>
        </w:rPr>
        <w:tab/>
        <w:t>Whereas the 2010 precincts plan indicated more and wider notional road reserves (separating the individual proposed precincts or developable land parcels), the 2017 precinct plan illustrates proposed road reserves which are of lesser extent (both in reserve width and length).  The position and alignment of the main road reserved and thoroughfares and parts of access to external perimeter roads (all internal to the boundaries of Extension 27) remained largely unchanged.</w:t>
      </w:r>
    </w:p>
    <w:p w:rsidR="00B6075C" w:rsidRPr="00835404" w:rsidRDefault="00683BB5" w:rsidP="00683BB5">
      <w:pPr>
        <w:pStyle w:val="MEMONUMBERED"/>
        <w:numPr>
          <w:ilvl w:val="0"/>
          <w:numId w:val="0"/>
        </w:numPr>
        <w:spacing w:after="360" w:line="360" w:lineRule="auto"/>
        <w:ind w:left="2880" w:hanging="720"/>
        <w:rPr>
          <w:i/>
          <w:sz w:val="28"/>
          <w:szCs w:val="28"/>
        </w:rPr>
      </w:pPr>
      <w:r w:rsidRPr="00835404">
        <w:rPr>
          <w:i/>
          <w:sz w:val="28"/>
          <w:szCs w:val="28"/>
        </w:rPr>
        <w:t>48.2</w:t>
      </w:r>
      <w:r w:rsidRPr="00835404">
        <w:rPr>
          <w:i/>
          <w:sz w:val="28"/>
          <w:szCs w:val="28"/>
        </w:rPr>
        <w:tab/>
        <w:t>B</w:t>
      </w:r>
      <w:r w:rsidR="00B6075C" w:rsidRPr="00835404">
        <w:rPr>
          <w:i/>
          <w:sz w:val="28"/>
          <w:szCs w:val="28"/>
        </w:rPr>
        <w:t xml:space="preserve">y reducing the width of the internal road reserves in the 2017 precinct plan, it had the effect of enlarged the developable land parcels of the individual precincts which were to take access from the internal road system.  </w:t>
      </w:r>
      <w:proofErr w:type="gramStart"/>
      <w:r w:rsidR="00B6075C" w:rsidRPr="00835404">
        <w:rPr>
          <w:i/>
          <w:sz w:val="28"/>
          <w:szCs w:val="28"/>
        </w:rPr>
        <w:t>Consequently</w:t>
      </w:r>
      <w:proofErr w:type="gramEnd"/>
      <w:r w:rsidR="00B6075C" w:rsidRPr="00835404">
        <w:rPr>
          <w:i/>
          <w:sz w:val="28"/>
          <w:szCs w:val="28"/>
        </w:rPr>
        <w:t xml:space="preserve"> the position, configuration and general shape of each of the indiv</w:t>
      </w:r>
      <w:r w:rsidR="00081B84" w:rsidRPr="00835404">
        <w:rPr>
          <w:i/>
          <w:sz w:val="28"/>
          <w:szCs w:val="28"/>
        </w:rPr>
        <w:t xml:space="preserve">idual precincts (developable land parcels) reflected on the 2010 precinct plan are the absence of internal road reserves </w:t>
      </w:r>
      <w:r w:rsidR="00081B84" w:rsidRPr="00835404">
        <w:rPr>
          <w:i/>
          <w:sz w:val="28"/>
          <w:szCs w:val="28"/>
        </w:rPr>
        <w:lastRenderedPageBreak/>
        <w:t>in places although developable floor- area were substantially reduced by increased open space areas.</w:t>
      </w:r>
    </w:p>
    <w:p w:rsidR="00081B84" w:rsidRPr="00835404" w:rsidRDefault="00081B84" w:rsidP="00683BB5">
      <w:pPr>
        <w:pStyle w:val="MEMONUMBERED"/>
        <w:numPr>
          <w:ilvl w:val="0"/>
          <w:numId w:val="0"/>
        </w:numPr>
        <w:spacing w:after="360" w:line="360" w:lineRule="auto"/>
        <w:ind w:left="2880" w:hanging="720"/>
        <w:rPr>
          <w:i/>
          <w:sz w:val="28"/>
          <w:szCs w:val="28"/>
        </w:rPr>
      </w:pPr>
      <w:r w:rsidRPr="00835404">
        <w:rPr>
          <w:i/>
          <w:sz w:val="28"/>
          <w:szCs w:val="28"/>
        </w:rPr>
        <w:t>48.3</w:t>
      </w:r>
      <w:r w:rsidRPr="00835404">
        <w:rPr>
          <w:i/>
          <w:sz w:val="28"/>
          <w:szCs w:val="28"/>
        </w:rPr>
        <w:tab/>
        <w:t>In the 2010 precinct plan a total of 19 precincts or subdivided land parcels (parts of the larges Erf 3) are reflected.  In the table described as “Area of Land Use” on the 2010 precinct plans, the second column thereof reflects the land area with regard to each on the 19 Precincts, and an indication of the mix of land use typologies envisaged on each.</w:t>
      </w:r>
    </w:p>
    <w:p w:rsidR="00081B84" w:rsidRPr="00835404" w:rsidRDefault="00081B84" w:rsidP="00683BB5">
      <w:pPr>
        <w:pStyle w:val="MEMONUMBERED"/>
        <w:numPr>
          <w:ilvl w:val="0"/>
          <w:numId w:val="0"/>
        </w:numPr>
        <w:spacing w:after="360" w:line="360" w:lineRule="auto"/>
        <w:ind w:left="2880" w:hanging="720"/>
        <w:rPr>
          <w:i/>
          <w:sz w:val="28"/>
          <w:szCs w:val="28"/>
        </w:rPr>
      </w:pPr>
      <w:r w:rsidRPr="00835404">
        <w:rPr>
          <w:i/>
          <w:sz w:val="28"/>
          <w:szCs w:val="28"/>
        </w:rPr>
        <w:t>48.4</w:t>
      </w:r>
      <w:r w:rsidRPr="00835404">
        <w:rPr>
          <w:i/>
          <w:sz w:val="28"/>
          <w:szCs w:val="28"/>
        </w:rPr>
        <w:tab/>
        <w:t>When the 2017 precinct plan is considered, it is evident that it only provided for 10 precincts or developable land parcels, albeit that the main points of entry to the subject property remained unchanged and the perimeter boundary of the larger township</w:t>
      </w:r>
      <w:r w:rsidR="00843D32" w:rsidRPr="00835404">
        <w:rPr>
          <w:i/>
          <w:sz w:val="28"/>
          <w:szCs w:val="28"/>
        </w:rPr>
        <w:t xml:space="preserve"> boundary remained unchanged.</w:t>
      </w:r>
    </w:p>
    <w:p w:rsidR="00131DB9" w:rsidRPr="00835404" w:rsidRDefault="00131DB9" w:rsidP="00683BB5">
      <w:pPr>
        <w:pStyle w:val="MEMONUMBERED"/>
        <w:numPr>
          <w:ilvl w:val="0"/>
          <w:numId w:val="0"/>
        </w:numPr>
        <w:spacing w:after="360" w:line="360" w:lineRule="auto"/>
        <w:ind w:left="2880" w:hanging="720"/>
        <w:rPr>
          <w:i/>
          <w:sz w:val="28"/>
          <w:szCs w:val="28"/>
        </w:rPr>
      </w:pPr>
      <w:r w:rsidRPr="00835404">
        <w:rPr>
          <w:i/>
          <w:sz w:val="28"/>
          <w:szCs w:val="28"/>
        </w:rPr>
        <w:t>48.5</w:t>
      </w:r>
      <w:r w:rsidRPr="00835404">
        <w:rPr>
          <w:i/>
          <w:sz w:val="28"/>
          <w:szCs w:val="28"/>
        </w:rPr>
        <w:tab/>
        <w:t xml:space="preserve">Of importance is the fact that in combination, the developable floor area with regard to the 10 precincts or developable land parcels depicted on the 2017 precinct plan rendered 675 000m², as opposed to what had been originally approved by the municipality </w:t>
      </w:r>
      <w:proofErr w:type="spellStart"/>
      <w:r w:rsidRPr="00835404">
        <w:rPr>
          <w:i/>
          <w:sz w:val="28"/>
          <w:szCs w:val="28"/>
        </w:rPr>
        <w:t>viz</w:t>
      </w:r>
      <w:proofErr w:type="spellEnd"/>
      <w:r w:rsidRPr="00835404">
        <w:rPr>
          <w:i/>
          <w:sz w:val="28"/>
          <w:szCs w:val="28"/>
        </w:rPr>
        <w:t xml:space="preserve"> a </w:t>
      </w:r>
      <w:proofErr w:type="spellStart"/>
      <w:r w:rsidRPr="00835404">
        <w:rPr>
          <w:i/>
          <w:sz w:val="28"/>
          <w:szCs w:val="28"/>
        </w:rPr>
        <w:t>viz</w:t>
      </w:r>
      <w:proofErr w:type="spellEnd"/>
      <w:r w:rsidRPr="00835404">
        <w:rPr>
          <w:i/>
          <w:sz w:val="28"/>
          <w:szCs w:val="28"/>
        </w:rPr>
        <w:t xml:space="preserve"> the 2010 precinct plan namely 695 000m².  notwithstanding the difference in the internal layout of the proposed road systems reflected on the two precinct plans, it is evident that what was previously approved with regard to the larger Extension 27 (i.e. 695 000m² of floor area) was effectively reduced to 675 000m², </w:t>
      </w:r>
      <w:r w:rsidRPr="00835404">
        <w:rPr>
          <w:i/>
          <w:sz w:val="28"/>
          <w:szCs w:val="28"/>
        </w:rPr>
        <w:lastRenderedPageBreak/>
        <w:t>whilst the combination of land use components envisaged for the larger development (the mix of land uses) remained substantially unchanged save for an increase in open space areas.</w:t>
      </w:r>
    </w:p>
    <w:p w:rsidR="00131DB9" w:rsidRPr="00835404" w:rsidRDefault="00683BB5" w:rsidP="00683BB5">
      <w:pPr>
        <w:pStyle w:val="MEMONUMBERED"/>
        <w:numPr>
          <w:ilvl w:val="0"/>
          <w:numId w:val="0"/>
        </w:numPr>
        <w:spacing w:after="360" w:line="360" w:lineRule="auto"/>
        <w:ind w:left="2880" w:hanging="720"/>
        <w:rPr>
          <w:i/>
          <w:sz w:val="28"/>
          <w:szCs w:val="28"/>
        </w:rPr>
      </w:pPr>
      <w:r w:rsidRPr="00835404">
        <w:rPr>
          <w:i/>
          <w:sz w:val="28"/>
          <w:szCs w:val="28"/>
        </w:rPr>
        <w:t>48.6</w:t>
      </w:r>
      <w:r w:rsidRPr="00835404">
        <w:rPr>
          <w:i/>
          <w:sz w:val="28"/>
          <w:szCs w:val="28"/>
        </w:rPr>
        <w:tab/>
        <w:t>F</w:t>
      </w:r>
      <w:r w:rsidR="00131DB9" w:rsidRPr="00835404">
        <w:rPr>
          <w:i/>
          <w:sz w:val="28"/>
          <w:szCs w:val="28"/>
        </w:rPr>
        <w:t>ollowing the approval of the 2017 precinct plan, the division of Extension 27 into the different independent township extensions namely Extension 34 up to and including 43 resulted in Extensions 38 up to and including 43 (a total of 6 separate township extensions) accounting for approximately 80% of the developable floor are which may be considered to be exclusively for mixed use purposes.  Extensions 34 up to and including 37 (a total of 4 township extensions) account for approximately 20% of the developable floor area and is largely residential in nature.</w:t>
      </w:r>
    </w:p>
    <w:p w:rsidR="00843D32" w:rsidRDefault="00683BB5" w:rsidP="00683BB5">
      <w:pPr>
        <w:pStyle w:val="MEMONUMBERED"/>
        <w:numPr>
          <w:ilvl w:val="0"/>
          <w:numId w:val="0"/>
        </w:numPr>
        <w:spacing w:after="360" w:line="360" w:lineRule="auto"/>
        <w:ind w:left="2160" w:hanging="720"/>
        <w:rPr>
          <w:sz w:val="28"/>
          <w:szCs w:val="28"/>
        </w:rPr>
      </w:pPr>
      <w:r w:rsidRPr="00835404">
        <w:rPr>
          <w:i/>
          <w:sz w:val="28"/>
          <w:szCs w:val="28"/>
        </w:rPr>
        <w:t>49.</w:t>
      </w:r>
      <w:r w:rsidRPr="00835404">
        <w:rPr>
          <w:i/>
          <w:sz w:val="28"/>
          <w:szCs w:val="28"/>
        </w:rPr>
        <w:tab/>
        <w:t xml:space="preserve">Upon consideration of the </w:t>
      </w:r>
      <w:proofErr w:type="spellStart"/>
      <w:r w:rsidRPr="00835404">
        <w:rPr>
          <w:i/>
          <w:sz w:val="28"/>
          <w:szCs w:val="28"/>
        </w:rPr>
        <w:t>aforegoing</w:t>
      </w:r>
      <w:proofErr w:type="spellEnd"/>
      <w:r w:rsidRPr="00835404">
        <w:rPr>
          <w:i/>
          <w:sz w:val="28"/>
          <w:szCs w:val="28"/>
        </w:rPr>
        <w:t xml:space="preserve"> there can form a Town Planning perspective be no basis on which these amendments could be described as being material in nature</w:t>
      </w:r>
      <w:r>
        <w:rPr>
          <w:sz w:val="28"/>
          <w:szCs w:val="28"/>
        </w:rPr>
        <w:t>.</w:t>
      </w:r>
    </w:p>
    <w:p w:rsidR="00E5152F" w:rsidRDefault="00073A85" w:rsidP="00073A85">
      <w:pPr>
        <w:pStyle w:val="MEMONUMBERED"/>
        <w:numPr>
          <w:ilvl w:val="0"/>
          <w:numId w:val="0"/>
        </w:numPr>
        <w:spacing w:after="360" w:line="360" w:lineRule="auto"/>
        <w:rPr>
          <w:sz w:val="28"/>
          <w:szCs w:val="28"/>
        </w:rPr>
      </w:pPr>
      <w:r>
        <w:rPr>
          <w:sz w:val="28"/>
          <w:szCs w:val="28"/>
        </w:rPr>
        <w:t>[41]</w:t>
      </w:r>
      <w:r>
        <w:rPr>
          <w:sz w:val="28"/>
          <w:szCs w:val="28"/>
        </w:rPr>
        <w:tab/>
      </w:r>
      <w:r w:rsidR="00446F1E">
        <w:rPr>
          <w:sz w:val="28"/>
          <w:szCs w:val="28"/>
        </w:rPr>
        <w:t xml:space="preserve">Based on the above, I find that the respondents have not breached the terms of the Servitude Agreement or the </w:t>
      </w:r>
      <w:r w:rsidR="00870FD5">
        <w:rPr>
          <w:sz w:val="28"/>
          <w:szCs w:val="28"/>
        </w:rPr>
        <w:t>Notarial Deed, even if the two Precincts plan are used as a method of comparison.</w:t>
      </w:r>
      <w:r w:rsidR="00446F1E">
        <w:rPr>
          <w:sz w:val="28"/>
          <w:szCs w:val="28"/>
        </w:rPr>
        <w:t xml:space="preserve">  The town planner reached the same conclusion,</w:t>
      </w:r>
      <w:r w:rsidR="00870FD5">
        <w:rPr>
          <w:sz w:val="28"/>
          <w:szCs w:val="28"/>
        </w:rPr>
        <w:t xml:space="preserve"> even</w:t>
      </w:r>
      <w:r w:rsidR="00446F1E">
        <w:rPr>
          <w:sz w:val="28"/>
          <w:szCs w:val="28"/>
        </w:rPr>
        <w:t xml:space="preserve"> having taking into account WEL’s argument ab</w:t>
      </w:r>
      <w:r w:rsidR="00592466">
        <w:rPr>
          <w:sz w:val="28"/>
          <w:szCs w:val="28"/>
        </w:rPr>
        <w:t>out so-called “mixed use” area.</w:t>
      </w:r>
    </w:p>
    <w:p w:rsidR="00870FD5" w:rsidRDefault="00073A85" w:rsidP="00073A85">
      <w:pPr>
        <w:pStyle w:val="MEMONUMBERED"/>
        <w:numPr>
          <w:ilvl w:val="0"/>
          <w:numId w:val="0"/>
        </w:numPr>
        <w:spacing w:after="360" w:line="360" w:lineRule="auto"/>
        <w:rPr>
          <w:sz w:val="28"/>
          <w:szCs w:val="28"/>
        </w:rPr>
      </w:pPr>
      <w:r>
        <w:rPr>
          <w:sz w:val="28"/>
          <w:szCs w:val="28"/>
        </w:rPr>
        <w:t>[42]</w:t>
      </w:r>
      <w:r>
        <w:rPr>
          <w:sz w:val="28"/>
          <w:szCs w:val="28"/>
        </w:rPr>
        <w:tab/>
      </w:r>
      <w:r w:rsidR="00870FD5">
        <w:rPr>
          <w:sz w:val="28"/>
          <w:szCs w:val="28"/>
        </w:rPr>
        <w:t xml:space="preserve">To </w:t>
      </w:r>
      <w:r w:rsidR="006533C7">
        <w:rPr>
          <w:sz w:val="28"/>
          <w:szCs w:val="28"/>
        </w:rPr>
        <w:t>sum up thu</w:t>
      </w:r>
      <w:r w:rsidR="00870FD5">
        <w:rPr>
          <w:sz w:val="28"/>
          <w:szCs w:val="28"/>
        </w:rPr>
        <w:t>s far, I conclude that:</w:t>
      </w:r>
    </w:p>
    <w:p w:rsidR="00870FD5" w:rsidRDefault="00073A85" w:rsidP="00073A85">
      <w:pPr>
        <w:pStyle w:val="MEMONUMBERED"/>
        <w:numPr>
          <w:ilvl w:val="0"/>
          <w:numId w:val="0"/>
        </w:numPr>
        <w:spacing w:after="360" w:line="360" w:lineRule="auto"/>
        <w:ind w:left="1276" w:hanging="567"/>
        <w:rPr>
          <w:sz w:val="28"/>
          <w:szCs w:val="28"/>
        </w:rPr>
      </w:pPr>
      <w:r>
        <w:rPr>
          <w:sz w:val="28"/>
          <w:szCs w:val="28"/>
        </w:rPr>
        <w:lastRenderedPageBreak/>
        <w:t>(a)</w:t>
      </w:r>
      <w:r>
        <w:rPr>
          <w:sz w:val="28"/>
          <w:szCs w:val="28"/>
        </w:rPr>
        <w:tab/>
      </w:r>
      <w:r w:rsidR="00870FD5">
        <w:rPr>
          <w:sz w:val="28"/>
          <w:szCs w:val="28"/>
        </w:rPr>
        <w:t>The 2010 Precinct Plan did not form part of the Servitude Agreement or the Notarial Deed and neither were its contents incorporated therein.</w:t>
      </w:r>
    </w:p>
    <w:p w:rsidR="00870FD5" w:rsidRDefault="00073A85" w:rsidP="00073A85">
      <w:pPr>
        <w:pStyle w:val="MEMONUMBERED"/>
        <w:numPr>
          <w:ilvl w:val="0"/>
          <w:numId w:val="0"/>
        </w:numPr>
        <w:spacing w:after="360" w:line="360" w:lineRule="auto"/>
        <w:ind w:left="1276" w:hanging="567"/>
        <w:rPr>
          <w:sz w:val="28"/>
          <w:szCs w:val="28"/>
        </w:rPr>
      </w:pPr>
      <w:r>
        <w:rPr>
          <w:sz w:val="28"/>
          <w:szCs w:val="28"/>
        </w:rPr>
        <w:t>(b)</w:t>
      </w:r>
      <w:r>
        <w:rPr>
          <w:sz w:val="28"/>
          <w:szCs w:val="28"/>
        </w:rPr>
        <w:tab/>
      </w:r>
      <w:r w:rsidR="00870FD5">
        <w:rPr>
          <w:sz w:val="28"/>
          <w:szCs w:val="28"/>
        </w:rPr>
        <w:t xml:space="preserve">The relevant plan applicable to the Servitude Agreement and the Notarial Deed was the </w:t>
      </w:r>
      <w:proofErr w:type="spellStart"/>
      <w:r w:rsidR="00870FD5">
        <w:rPr>
          <w:sz w:val="28"/>
          <w:szCs w:val="28"/>
        </w:rPr>
        <w:t>Kayalami</w:t>
      </w:r>
      <w:proofErr w:type="spellEnd"/>
      <w:r w:rsidR="00870FD5">
        <w:rPr>
          <w:sz w:val="28"/>
          <w:szCs w:val="28"/>
        </w:rPr>
        <w:t xml:space="preserve"> Centro Master Plan reflected as Annexures</w:t>
      </w:r>
      <w:r w:rsidR="00870FD5" w:rsidRPr="00870FD5">
        <w:rPr>
          <w:sz w:val="28"/>
          <w:szCs w:val="28"/>
        </w:rPr>
        <w:t xml:space="preserve"> FA5 and CL9</w:t>
      </w:r>
      <w:r w:rsidR="00870FD5">
        <w:rPr>
          <w:sz w:val="28"/>
          <w:szCs w:val="28"/>
        </w:rPr>
        <w:t>.</w:t>
      </w:r>
    </w:p>
    <w:p w:rsidR="00870FD5" w:rsidRDefault="00073A85" w:rsidP="00073A85">
      <w:pPr>
        <w:pStyle w:val="MEMONUMBERED"/>
        <w:numPr>
          <w:ilvl w:val="0"/>
          <w:numId w:val="0"/>
        </w:numPr>
        <w:spacing w:after="360" w:line="360" w:lineRule="auto"/>
        <w:ind w:left="1276" w:hanging="567"/>
        <w:rPr>
          <w:sz w:val="28"/>
          <w:szCs w:val="28"/>
        </w:rPr>
      </w:pPr>
      <w:r>
        <w:rPr>
          <w:sz w:val="28"/>
          <w:szCs w:val="28"/>
        </w:rPr>
        <w:t>(c)</w:t>
      </w:r>
      <w:r>
        <w:rPr>
          <w:sz w:val="28"/>
          <w:szCs w:val="28"/>
        </w:rPr>
        <w:tab/>
      </w:r>
      <w:r w:rsidR="00870FD5">
        <w:rPr>
          <w:sz w:val="28"/>
          <w:szCs w:val="28"/>
        </w:rPr>
        <w:t>The development and construction by Century and Precincts are not subs</w:t>
      </w:r>
      <w:r w:rsidR="006533C7">
        <w:rPr>
          <w:sz w:val="28"/>
          <w:szCs w:val="28"/>
        </w:rPr>
        <w:t>tantially</w:t>
      </w:r>
      <w:r w:rsidR="00870FD5">
        <w:rPr>
          <w:sz w:val="28"/>
          <w:szCs w:val="28"/>
        </w:rPr>
        <w:t xml:space="preserve"> different from the roads and restrictions reflected in the </w:t>
      </w:r>
      <w:proofErr w:type="spellStart"/>
      <w:r w:rsidR="00870FD5">
        <w:rPr>
          <w:sz w:val="28"/>
          <w:szCs w:val="28"/>
        </w:rPr>
        <w:t>Kayalami</w:t>
      </w:r>
      <w:proofErr w:type="spellEnd"/>
      <w:r w:rsidR="00870FD5">
        <w:rPr>
          <w:sz w:val="28"/>
          <w:szCs w:val="28"/>
        </w:rPr>
        <w:t xml:space="preserve"> Centro Master Plan and therefore not in breach of the Servitude Agreement or the Notarial Deed.</w:t>
      </w:r>
    </w:p>
    <w:p w:rsidR="00870FD5" w:rsidRPr="00870FD5" w:rsidRDefault="00073A85" w:rsidP="00073A85">
      <w:pPr>
        <w:pStyle w:val="MEMONUMBERED"/>
        <w:numPr>
          <w:ilvl w:val="0"/>
          <w:numId w:val="0"/>
        </w:numPr>
        <w:spacing w:after="360" w:line="360" w:lineRule="auto"/>
        <w:ind w:left="1276" w:hanging="567"/>
        <w:rPr>
          <w:sz w:val="28"/>
          <w:szCs w:val="28"/>
        </w:rPr>
      </w:pPr>
      <w:r w:rsidRPr="00870FD5">
        <w:rPr>
          <w:sz w:val="28"/>
          <w:szCs w:val="28"/>
        </w:rPr>
        <w:t>(d)</w:t>
      </w:r>
      <w:r w:rsidRPr="00870FD5">
        <w:rPr>
          <w:sz w:val="28"/>
          <w:szCs w:val="28"/>
        </w:rPr>
        <w:tab/>
      </w:r>
      <w:r w:rsidR="00870FD5">
        <w:rPr>
          <w:sz w:val="28"/>
          <w:szCs w:val="28"/>
        </w:rPr>
        <w:t xml:space="preserve">Even if the conclusion in (a) were to be wrong or even if the contents of the </w:t>
      </w:r>
      <w:proofErr w:type="spellStart"/>
      <w:r w:rsidR="00870FD5">
        <w:rPr>
          <w:sz w:val="28"/>
          <w:szCs w:val="28"/>
        </w:rPr>
        <w:t>Kayalami</w:t>
      </w:r>
      <w:proofErr w:type="spellEnd"/>
      <w:r w:rsidR="00870FD5">
        <w:rPr>
          <w:sz w:val="28"/>
          <w:szCs w:val="28"/>
        </w:rPr>
        <w:t xml:space="preserve"> Centro Master Plan relating to precincts were to be extrapolated to accord with the 2010 Precinct Plan then the construction and development in accordance with the 2017 Precinct Plan would still not be so substantially different to constitute b</w:t>
      </w:r>
      <w:r w:rsidR="006533C7">
        <w:rPr>
          <w:sz w:val="28"/>
          <w:szCs w:val="28"/>
        </w:rPr>
        <w:t>r</w:t>
      </w:r>
      <w:r w:rsidR="00870FD5">
        <w:rPr>
          <w:sz w:val="28"/>
          <w:szCs w:val="28"/>
        </w:rPr>
        <w:t>eaches of the Servitude Agreement and the Notarial Deed.</w:t>
      </w:r>
    </w:p>
    <w:p w:rsidR="00446F1E" w:rsidRPr="00961F52" w:rsidRDefault="00446F1E" w:rsidP="00961F52">
      <w:pPr>
        <w:pStyle w:val="MEMONUMBERED"/>
        <w:numPr>
          <w:ilvl w:val="0"/>
          <w:numId w:val="0"/>
        </w:numPr>
        <w:spacing w:after="120" w:line="360" w:lineRule="auto"/>
        <w:rPr>
          <w:b/>
          <w:sz w:val="28"/>
          <w:szCs w:val="28"/>
        </w:rPr>
      </w:pPr>
      <w:r w:rsidRPr="00961F52">
        <w:rPr>
          <w:b/>
          <w:sz w:val="28"/>
          <w:szCs w:val="28"/>
        </w:rPr>
        <w:t>The school issue</w:t>
      </w:r>
    </w:p>
    <w:p w:rsidR="00395871" w:rsidRPr="00E5152F" w:rsidRDefault="00073A85" w:rsidP="00073A85">
      <w:pPr>
        <w:pStyle w:val="MEMONUMBERED"/>
        <w:numPr>
          <w:ilvl w:val="0"/>
          <w:numId w:val="0"/>
        </w:numPr>
        <w:spacing w:after="360" w:line="360" w:lineRule="auto"/>
        <w:rPr>
          <w:sz w:val="28"/>
          <w:szCs w:val="28"/>
        </w:rPr>
      </w:pPr>
      <w:r w:rsidRPr="00E5152F">
        <w:rPr>
          <w:sz w:val="28"/>
          <w:szCs w:val="28"/>
        </w:rPr>
        <w:t>[43]</w:t>
      </w:r>
      <w:r w:rsidRPr="00E5152F">
        <w:rPr>
          <w:sz w:val="28"/>
          <w:szCs w:val="28"/>
        </w:rPr>
        <w:tab/>
      </w:r>
      <w:r w:rsidR="00446F1E">
        <w:rPr>
          <w:sz w:val="28"/>
          <w:szCs w:val="28"/>
        </w:rPr>
        <w:t>In the brochure o</w:t>
      </w:r>
      <w:r w:rsidR="00870FD5">
        <w:rPr>
          <w:sz w:val="28"/>
          <w:szCs w:val="28"/>
        </w:rPr>
        <w:t>btained by WEL, the impression wa</w:t>
      </w:r>
      <w:r w:rsidR="00446F1E">
        <w:rPr>
          <w:sz w:val="28"/>
          <w:szCs w:val="28"/>
        </w:rPr>
        <w:t>s</w:t>
      </w:r>
      <w:r w:rsidR="00457DBD">
        <w:rPr>
          <w:sz w:val="28"/>
          <w:szCs w:val="28"/>
        </w:rPr>
        <w:t xml:space="preserve"> created that Century (and/or Precinct) might construct or operate a school on the Mushroom Far</w:t>
      </w:r>
      <w:r w:rsidR="006533C7">
        <w:rPr>
          <w:sz w:val="28"/>
          <w:szCs w:val="28"/>
        </w:rPr>
        <w:t>m</w:t>
      </w:r>
      <w:r w:rsidR="00870FD5">
        <w:rPr>
          <w:sz w:val="28"/>
          <w:szCs w:val="28"/>
        </w:rPr>
        <w:t>.</w:t>
      </w:r>
      <w:r w:rsidR="00457DBD">
        <w:rPr>
          <w:sz w:val="28"/>
          <w:szCs w:val="28"/>
        </w:rPr>
        <w:t xml:space="preserve"> </w:t>
      </w:r>
      <w:r w:rsidR="00870FD5">
        <w:rPr>
          <w:sz w:val="28"/>
          <w:szCs w:val="28"/>
        </w:rPr>
        <w:t xml:space="preserve"> W</w:t>
      </w:r>
      <w:r w:rsidR="00457DBD">
        <w:rPr>
          <w:sz w:val="28"/>
          <w:szCs w:val="28"/>
        </w:rPr>
        <w:t>ere this to be the case, it would constitute a breach of yet a further agreement reached between WEL and Century, regarding the possible const</w:t>
      </w:r>
      <w:r w:rsidR="00870FD5">
        <w:rPr>
          <w:sz w:val="28"/>
          <w:szCs w:val="28"/>
        </w:rPr>
        <w:t>ruction</w:t>
      </w:r>
      <w:r w:rsidR="00457DBD">
        <w:rPr>
          <w:sz w:val="28"/>
          <w:szCs w:val="28"/>
        </w:rPr>
        <w:t xml:space="preserve"> of a school</w:t>
      </w:r>
      <w:r w:rsidR="00DE078E">
        <w:rPr>
          <w:sz w:val="28"/>
          <w:szCs w:val="28"/>
        </w:rPr>
        <w:t xml:space="preserve">.  </w:t>
      </w:r>
      <w:r w:rsidR="006533C7">
        <w:rPr>
          <w:sz w:val="28"/>
          <w:szCs w:val="28"/>
        </w:rPr>
        <w:t>This agreement</w:t>
      </w:r>
      <w:r w:rsidR="00DE078E">
        <w:rPr>
          <w:sz w:val="28"/>
          <w:szCs w:val="28"/>
        </w:rPr>
        <w:t xml:space="preserve"> was </w:t>
      </w:r>
      <w:r w:rsidR="00457DBD">
        <w:rPr>
          <w:sz w:val="28"/>
          <w:szCs w:val="28"/>
        </w:rPr>
        <w:t>referred to as the “Cancellation Agreement”.</w:t>
      </w:r>
    </w:p>
    <w:p w:rsidR="00395871" w:rsidRPr="00E5152F" w:rsidRDefault="00073A85" w:rsidP="00073A85">
      <w:pPr>
        <w:pStyle w:val="MEMONUMBERED"/>
        <w:numPr>
          <w:ilvl w:val="0"/>
          <w:numId w:val="0"/>
        </w:numPr>
        <w:spacing w:after="360" w:line="360" w:lineRule="auto"/>
        <w:rPr>
          <w:sz w:val="28"/>
          <w:szCs w:val="28"/>
        </w:rPr>
      </w:pPr>
      <w:r w:rsidRPr="00E5152F">
        <w:rPr>
          <w:sz w:val="28"/>
          <w:szCs w:val="28"/>
        </w:rPr>
        <w:t>[44]</w:t>
      </w:r>
      <w:r w:rsidRPr="00E5152F">
        <w:rPr>
          <w:sz w:val="28"/>
          <w:szCs w:val="28"/>
        </w:rPr>
        <w:tab/>
      </w:r>
      <w:r w:rsidR="00457DBD">
        <w:rPr>
          <w:sz w:val="28"/>
          <w:szCs w:val="28"/>
        </w:rPr>
        <w:t xml:space="preserve">The Cancellation Agreement was concluded on </w:t>
      </w:r>
      <w:r w:rsidR="00835404">
        <w:rPr>
          <w:sz w:val="28"/>
          <w:szCs w:val="28"/>
        </w:rPr>
        <w:t>5 July 2013.</w:t>
      </w:r>
      <w:r w:rsidR="00457DBD">
        <w:rPr>
          <w:sz w:val="28"/>
          <w:szCs w:val="28"/>
        </w:rPr>
        <w:t xml:space="preserve">  In it, the parties thereto agreed that Century </w:t>
      </w:r>
      <w:r w:rsidR="00457DBD" w:rsidRPr="00835404">
        <w:rPr>
          <w:i/>
          <w:sz w:val="28"/>
          <w:szCs w:val="28"/>
        </w:rPr>
        <w:t xml:space="preserve">“… shall not construct (or allow to be constructed) or operate (or allow to be operated) a Primary (Grades 1 – 7) or </w:t>
      </w:r>
      <w:r w:rsidR="00457DBD" w:rsidRPr="00835404">
        <w:rPr>
          <w:i/>
          <w:sz w:val="28"/>
          <w:szCs w:val="28"/>
        </w:rPr>
        <w:lastRenderedPageBreak/>
        <w:t>Secondary (Grades 8 – 12) School on the Mushroom Farm property …</w:t>
      </w:r>
      <w:r w:rsidR="00457DBD">
        <w:rPr>
          <w:sz w:val="28"/>
          <w:szCs w:val="28"/>
        </w:rPr>
        <w:t>”.  In terms of clause 5.2 of the Cancellation Agreement, Century undertook to bind all future purchase</w:t>
      </w:r>
      <w:r w:rsidR="00DE078E">
        <w:rPr>
          <w:sz w:val="28"/>
          <w:szCs w:val="28"/>
        </w:rPr>
        <w:t>r</w:t>
      </w:r>
      <w:r w:rsidR="00457DBD">
        <w:rPr>
          <w:sz w:val="28"/>
          <w:szCs w:val="28"/>
        </w:rPr>
        <w:t>s to this restriction.</w:t>
      </w:r>
      <w:r w:rsidR="00446F1E">
        <w:rPr>
          <w:sz w:val="28"/>
          <w:szCs w:val="28"/>
        </w:rPr>
        <w:t xml:space="preserve"> </w:t>
      </w:r>
    </w:p>
    <w:p w:rsidR="00100484" w:rsidRDefault="00073A85" w:rsidP="00073A85">
      <w:pPr>
        <w:pStyle w:val="MEMONUMBERED"/>
        <w:numPr>
          <w:ilvl w:val="0"/>
          <w:numId w:val="0"/>
        </w:numPr>
        <w:spacing w:after="360" w:line="360" w:lineRule="auto"/>
        <w:rPr>
          <w:sz w:val="28"/>
          <w:szCs w:val="28"/>
        </w:rPr>
      </w:pPr>
      <w:r>
        <w:rPr>
          <w:sz w:val="28"/>
          <w:szCs w:val="28"/>
        </w:rPr>
        <w:t>[45]</w:t>
      </w:r>
      <w:r>
        <w:rPr>
          <w:sz w:val="28"/>
          <w:szCs w:val="28"/>
        </w:rPr>
        <w:tab/>
      </w:r>
      <w:r w:rsidR="00457DBD">
        <w:rPr>
          <w:sz w:val="28"/>
          <w:szCs w:val="28"/>
        </w:rPr>
        <w:t xml:space="preserve">The representation contained in the </w:t>
      </w:r>
      <w:r w:rsidR="00100484">
        <w:rPr>
          <w:sz w:val="28"/>
          <w:szCs w:val="28"/>
        </w:rPr>
        <w:t>bro</w:t>
      </w:r>
      <w:r w:rsidR="00457DBD">
        <w:rPr>
          <w:sz w:val="28"/>
          <w:szCs w:val="28"/>
        </w:rPr>
        <w:t>ch</w:t>
      </w:r>
      <w:r w:rsidR="00100484">
        <w:rPr>
          <w:sz w:val="28"/>
          <w:szCs w:val="28"/>
        </w:rPr>
        <w:t>u</w:t>
      </w:r>
      <w:r w:rsidR="00457DBD">
        <w:rPr>
          <w:sz w:val="28"/>
          <w:szCs w:val="28"/>
        </w:rPr>
        <w:t>r</w:t>
      </w:r>
      <w:r w:rsidR="00100484">
        <w:rPr>
          <w:sz w:val="28"/>
          <w:szCs w:val="28"/>
        </w:rPr>
        <w:t>e</w:t>
      </w:r>
      <w:r w:rsidR="00457DBD">
        <w:rPr>
          <w:sz w:val="28"/>
          <w:szCs w:val="28"/>
        </w:rPr>
        <w:t xml:space="preserve"> referred to earlier which came into WEL’s possession, </w:t>
      </w:r>
      <w:r w:rsidR="00100484">
        <w:rPr>
          <w:sz w:val="28"/>
          <w:szCs w:val="28"/>
        </w:rPr>
        <w:t>which</w:t>
      </w:r>
      <w:r w:rsidR="00457DBD">
        <w:rPr>
          <w:sz w:val="28"/>
          <w:szCs w:val="28"/>
        </w:rPr>
        <w:t xml:space="preserve"> might have created a fear that this </w:t>
      </w:r>
      <w:r w:rsidR="00100484">
        <w:rPr>
          <w:sz w:val="28"/>
          <w:szCs w:val="28"/>
        </w:rPr>
        <w:t>restriction</w:t>
      </w:r>
      <w:r w:rsidR="00457DBD">
        <w:rPr>
          <w:sz w:val="28"/>
          <w:szCs w:val="28"/>
        </w:rPr>
        <w:t xml:space="preserve"> might be breached, was due to an architect</w:t>
      </w:r>
      <w:r w:rsidR="00DE078E">
        <w:rPr>
          <w:sz w:val="28"/>
          <w:szCs w:val="28"/>
        </w:rPr>
        <w:t>’</w:t>
      </w:r>
      <w:r w:rsidR="00457DBD">
        <w:rPr>
          <w:sz w:val="28"/>
          <w:szCs w:val="28"/>
        </w:rPr>
        <w:t>s impression expre</w:t>
      </w:r>
      <w:r w:rsidR="00100484">
        <w:rPr>
          <w:sz w:val="28"/>
          <w:szCs w:val="28"/>
        </w:rPr>
        <w:t>ssed in the bro</w:t>
      </w:r>
      <w:r w:rsidR="00457DBD">
        <w:rPr>
          <w:sz w:val="28"/>
          <w:szCs w:val="28"/>
        </w:rPr>
        <w:t>chure</w:t>
      </w:r>
      <w:r w:rsidR="00100484">
        <w:rPr>
          <w:sz w:val="28"/>
          <w:szCs w:val="28"/>
        </w:rPr>
        <w:t xml:space="preserve"> pertaining to a “place of instruction</w:t>
      </w:r>
      <w:r w:rsidR="00DE078E">
        <w:rPr>
          <w:sz w:val="28"/>
          <w:szCs w:val="28"/>
        </w:rPr>
        <w:t>”</w:t>
      </w:r>
      <w:r w:rsidR="00100484">
        <w:rPr>
          <w:sz w:val="28"/>
          <w:szCs w:val="28"/>
        </w:rPr>
        <w:t xml:space="preserve">.  In the letter from Century’s attorneys dated 27 June 2018 (referred to earlier and which also featured prominently in the review application under case no </w:t>
      </w:r>
      <w:r w:rsidR="00DE078E">
        <w:rPr>
          <w:sz w:val="28"/>
          <w:szCs w:val="28"/>
        </w:rPr>
        <w:t>90490/18</w:t>
      </w:r>
      <w:r w:rsidR="00100484">
        <w:rPr>
          <w:sz w:val="28"/>
          <w:szCs w:val="28"/>
        </w:rPr>
        <w:t xml:space="preserve"> already mentioned abov</w:t>
      </w:r>
      <w:r w:rsidR="00DE078E">
        <w:rPr>
          <w:sz w:val="28"/>
          <w:szCs w:val="28"/>
        </w:rPr>
        <w:t>e) it was confirmed that</w:t>
      </w:r>
      <w:r w:rsidR="00100484">
        <w:rPr>
          <w:sz w:val="28"/>
          <w:szCs w:val="28"/>
        </w:rPr>
        <w:t xml:space="preserve"> </w:t>
      </w:r>
      <w:r w:rsidR="00DE078E" w:rsidRPr="00DE078E">
        <w:rPr>
          <w:sz w:val="28"/>
          <w:szCs w:val="28"/>
        </w:rPr>
        <w:t>“</w:t>
      </w:r>
      <w:r w:rsidR="00100484" w:rsidRPr="00DE078E">
        <w:rPr>
          <w:i/>
          <w:sz w:val="28"/>
          <w:szCs w:val="28"/>
        </w:rPr>
        <w:t>… no school development is envisaged by the respondent in terms of any “place of instruction</w:t>
      </w:r>
      <w:r w:rsidR="00DE078E" w:rsidRPr="00DE078E">
        <w:rPr>
          <w:i/>
          <w:sz w:val="28"/>
          <w:szCs w:val="28"/>
        </w:rPr>
        <w:t>”</w:t>
      </w:r>
      <w:r w:rsidR="00100484" w:rsidRPr="00DE078E">
        <w:rPr>
          <w:i/>
          <w:sz w:val="28"/>
          <w:szCs w:val="28"/>
        </w:rPr>
        <w:t xml:space="preserve"> land use rights</w:t>
      </w:r>
      <w:r w:rsidR="00100484">
        <w:rPr>
          <w:sz w:val="28"/>
          <w:szCs w:val="28"/>
        </w:rPr>
        <w:t>”.  This intention has expressly and repeatedly been confirmed in the affidavits subsequently delivered by Century.  Factually also, there is no evidence that any construction of any school is taking place or is envisaged.  Precinct has completed the development of Extension</w:t>
      </w:r>
      <w:r w:rsidR="00DE078E">
        <w:rPr>
          <w:sz w:val="28"/>
          <w:szCs w:val="28"/>
        </w:rPr>
        <w:t>s</w:t>
      </w:r>
      <w:r w:rsidR="00100484">
        <w:rPr>
          <w:sz w:val="28"/>
          <w:szCs w:val="28"/>
        </w:rPr>
        <w:t xml:space="preserve"> 34 and 35 and no school has been constructed on those parcels of land.  The further portions intended to be developed by Precinct </w:t>
      </w:r>
      <w:proofErr w:type="gramStart"/>
      <w:r w:rsidR="00100484">
        <w:rPr>
          <w:sz w:val="28"/>
          <w:szCs w:val="28"/>
        </w:rPr>
        <w:t>are</w:t>
      </w:r>
      <w:proofErr w:type="gramEnd"/>
      <w:r w:rsidR="00100484">
        <w:rPr>
          <w:sz w:val="28"/>
          <w:szCs w:val="28"/>
        </w:rPr>
        <w:t xml:space="preserve"> Extensions 36 and 37.  These will contain 716 residential units and no construction of any school has been approved by the </w:t>
      </w:r>
      <w:proofErr w:type="spellStart"/>
      <w:r w:rsidR="00100484">
        <w:rPr>
          <w:sz w:val="28"/>
          <w:szCs w:val="28"/>
        </w:rPr>
        <w:t>CoJ</w:t>
      </w:r>
      <w:proofErr w:type="spellEnd"/>
      <w:r w:rsidR="00100484">
        <w:rPr>
          <w:sz w:val="28"/>
          <w:szCs w:val="28"/>
        </w:rPr>
        <w:t xml:space="preserve"> in these two extensions.</w:t>
      </w:r>
    </w:p>
    <w:p w:rsidR="00395871" w:rsidRPr="00B75DA6" w:rsidRDefault="00073A85" w:rsidP="00073A85">
      <w:pPr>
        <w:pStyle w:val="MEMONUMBERED"/>
        <w:numPr>
          <w:ilvl w:val="0"/>
          <w:numId w:val="0"/>
        </w:numPr>
        <w:spacing w:after="360" w:line="360" w:lineRule="auto"/>
        <w:rPr>
          <w:sz w:val="28"/>
          <w:szCs w:val="28"/>
        </w:rPr>
      </w:pPr>
      <w:r w:rsidRPr="00B75DA6">
        <w:rPr>
          <w:sz w:val="28"/>
          <w:szCs w:val="28"/>
        </w:rPr>
        <w:t>[46]</w:t>
      </w:r>
      <w:r w:rsidRPr="00B75DA6">
        <w:rPr>
          <w:sz w:val="28"/>
          <w:szCs w:val="28"/>
        </w:rPr>
        <w:tab/>
      </w:r>
      <w:r w:rsidR="00100484">
        <w:rPr>
          <w:sz w:val="28"/>
          <w:szCs w:val="28"/>
        </w:rPr>
        <w:t xml:space="preserve">In my view there appears to be no reasonable apprehension justifying the granting of an interdict against either of the respondents regarding the construction of a school as contained in the relief sought by way of WEL’s amended notice of motion, irrespective of any finding on the remainder of issues.   </w:t>
      </w:r>
    </w:p>
    <w:p w:rsidR="00100484" w:rsidRPr="00961F52" w:rsidRDefault="00100484" w:rsidP="00961F52">
      <w:pPr>
        <w:pStyle w:val="MEMONUMBERED"/>
        <w:numPr>
          <w:ilvl w:val="0"/>
          <w:numId w:val="0"/>
        </w:numPr>
        <w:spacing w:after="120" w:line="360" w:lineRule="auto"/>
        <w:rPr>
          <w:b/>
          <w:sz w:val="28"/>
          <w:szCs w:val="28"/>
        </w:rPr>
      </w:pPr>
      <w:r w:rsidRPr="00961F52">
        <w:rPr>
          <w:b/>
          <w:sz w:val="28"/>
          <w:szCs w:val="28"/>
        </w:rPr>
        <w:t xml:space="preserve">Specific </w:t>
      </w:r>
      <w:r w:rsidR="00395871" w:rsidRPr="00961F52">
        <w:rPr>
          <w:b/>
          <w:sz w:val="28"/>
          <w:szCs w:val="28"/>
        </w:rPr>
        <w:t>performance</w:t>
      </w:r>
    </w:p>
    <w:p w:rsidR="00395871" w:rsidRPr="00961F52" w:rsidRDefault="00073A85" w:rsidP="00073A85">
      <w:pPr>
        <w:pStyle w:val="MEMONUMBERED"/>
        <w:numPr>
          <w:ilvl w:val="0"/>
          <w:numId w:val="0"/>
        </w:numPr>
        <w:spacing w:after="360" w:line="360" w:lineRule="auto"/>
        <w:rPr>
          <w:sz w:val="28"/>
          <w:szCs w:val="28"/>
        </w:rPr>
      </w:pPr>
      <w:r w:rsidRPr="00961F52">
        <w:rPr>
          <w:sz w:val="28"/>
          <w:szCs w:val="28"/>
        </w:rPr>
        <w:t>[47]</w:t>
      </w:r>
      <w:r w:rsidRPr="00961F52">
        <w:rPr>
          <w:sz w:val="28"/>
          <w:szCs w:val="28"/>
        </w:rPr>
        <w:tab/>
      </w:r>
      <w:r w:rsidR="00100484">
        <w:rPr>
          <w:sz w:val="28"/>
          <w:szCs w:val="28"/>
        </w:rPr>
        <w:t xml:space="preserve">Even if I were wrong in respect of the conclusions reached regarding the exclusion of the “limitations” introduced by the 2010 Precinct Plan (or the interpretation regarding the absence of such limitations in the </w:t>
      </w:r>
      <w:proofErr w:type="spellStart"/>
      <w:r w:rsidR="00100484">
        <w:rPr>
          <w:sz w:val="28"/>
          <w:szCs w:val="28"/>
        </w:rPr>
        <w:t>Kayalami</w:t>
      </w:r>
      <w:proofErr w:type="spellEnd"/>
      <w:r w:rsidR="00100484">
        <w:rPr>
          <w:sz w:val="28"/>
          <w:szCs w:val="28"/>
        </w:rPr>
        <w:t xml:space="preserve"> Centro </w:t>
      </w:r>
      <w:r w:rsidR="00100484">
        <w:rPr>
          <w:sz w:val="28"/>
          <w:szCs w:val="28"/>
        </w:rPr>
        <w:lastRenderedPageBreak/>
        <w:t>Master Plan) and wrong as to whether the 2017 Precinct Plan and the construction and development in terms thereof constitute “substantial” deviations or not, one still has to consi</w:t>
      </w:r>
      <w:r w:rsidR="00DE078E">
        <w:rPr>
          <w:sz w:val="28"/>
          <w:szCs w:val="28"/>
        </w:rPr>
        <w:t xml:space="preserve">der whether the relief claimed </w:t>
      </w:r>
      <w:r w:rsidR="00100484">
        <w:rPr>
          <w:sz w:val="28"/>
          <w:szCs w:val="28"/>
        </w:rPr>
        <w:t>ought to be granted in the circumstances of this case insofar as the relief amount to a claim for specific per</w:t>
      </w:r>
      <w:r w:rsidR="003B3CB4">
        <w:rPr>
          <w:sz w:val="28"/>
          <w:szCs w:val="28"/>
        </w:rPr>
        <w:t xml:space="preserve">formance.  Although the relief is couched in the form of an interdict, ostensibly aimed at preventing a breach of contractual terms, upon a reading of the affidavits delivered on behalf of WEL, it appears that WEL seeks the demolition of existing works and an alignment thereof with the pre-amendment plans.  This amounts to nothing other than an enforcement of a contract by way </w:t>
      </w:r>
      <w:r w:rsidR="006533C7">
        <w:rPr>
          <w:sz w:val="28"/>
          <w:szCs w:val="28"/>
        </w:rPr>
        <w:t>of a</w:t>
      </w:r>
      <w:r w:rsidR="00DE078E">
        <w:rPr>
          <w:sz w:val="28"/>
          <w:szCs w:val="28"/>
        </w:rPr>
        <w:t xml:space="preserve"> claim for </w:t>
      </w:r>
      <w:r w:rsidR="003B3CB4">
        <w:rPr>
          <w:sz w:val="28"/>
          <w:szCs w:val="28"/>
        </w:rPr>
        <w:t>specific performance.</w:t>
      </w:r>
    </w:p>
    <w:p w:rsidR="00E5152F" w:rsidRPr="00E5152F" w:rsidRDefault="00073A85" w:rsidP="00073A85">
      <w:pPr>
        <w:pStyle w:val="MEMONUMBERED"/>
        <w:numPr>
          <w:ilvl w:val="0"/>
          <w:numId w:val="0"/>
        </w:numPr>
        <w:spacing w:after="360" w:line="360" w:lineRule="auto"/>
        <w:rPr>
          <w:sz w:val="28"/>
          <w:szCs w:val="28"/>
        </w:rPr>
      </w:pPr>
      <w:r w:rsidRPr="00E5152F">
        <w:rPr>
          <w:sz w:val="28"/>
          <w:szCs w:val="28"/>
        </w:rPr>
        <w:t>[48]</w:t>
      </w:r>
      <w:r w:rsidRPr="00E5152F">
        <w:rPr>
          <w:sz w:val="28"/>
          <w:szCs w:val="28"/>
        </w:rPr>
        <w:tab/>
      </w:r>
      <w:r w:rsidR="003B3CB4" w:rsidRPr="00E5152F">
        <w:rPr>
          <w:sz w:val="28"/>
          <w:szCs w:val="28"/>
        </w:rPr>
        <w:t>It is trite that a court has a discretion to grant or refuse an order for specific performance in appropriate circumstances</w:t>
      </w:r>
      <w:r w:rsidR="003B3CB4">
        <w:rPr>
          <w:rStyle w:val="FootnoteReference"/>
          <w:sz w:val="28"/>
          <w:szCs w:val="28"/>
        </w:rPr>
        <w:footnoteReference w:id="3"/>
      </w:r>
      <w:r w:rsidR="003B3CB4" w:rsidRPr="00E5152F">
        <w:rPr>
          <w:sz w:val="28"/>
          <w:szCs w:val="28"/>
        </w:rPr>
        <w:t xml:space="preserve">.  There are no hard and fast rules as to what appropriate circumstances may be, but the starting point seems to be a </w:t>
      </w:r>
      <w:r w:rsidR="00DE078E">
        <w:rPr>
          <w:sz w:val="28"/>
          <w:szCs w:val="28"/>
        </w:rPr>
        <w:t>comparison</w:t>
      </w:r>
      <w:r w:rsidR="003B3CB4" w:rsidRPr="00E5152F">
        <w:rPr>
          <w:sz w:val="28"/>
          <w:szCs w:val="28"/>
        </w:rPr>
        <w:t xml:space="preserve"> of the consequences of either granting or refusing such an order and which of the two options would lead to an “unduly harsh” result</w:t>
      </w:r>
      <w:r w:rsidR="003B3CB4">
        <w:rPr>
          <w:rStyle w:val="FootnoteReference"/>
          <w:sz w:val="28"/>
          <w:szCs w:val="28"/>
        </w:rPr>
        <w:footnoteReference w:id="4"/>
      </w:r>
      <w:r w:rsidR="003B3CB4" w:rsidRPr="00E5152F">
        <w:rPr>
          <w:sz w:val="28"/>
          <w:szCs w:val="28"/>
        </w:rPr>
        <w:t>.</w:t>
      </w:r>
    </w:p>
    <w:p w:rsidR="00E5152F" w:rsidRPr="00B75DA6" w:rsidRDefault="00073A85" w:rsidP="00073A85">
      <w:pPr>
        <w:pStyle w:val="MEMONUMBERED"/>
        <w:numPr>
          <w:ilvl w:val="0"/>
          <w:numId w:val="0"/>
        </w:numPr>
        <w:spacing w:after="360" w:line="360" w:lineRule="auto"/>
        <w:rPr>
          <w:sz w:val="28"/>
          <w:szCs w:val="28"/>
        </w:rPr>
      </w:pPr>
      <w:r w:rsidRPr="00B75DA6">
        <w:rPr>
          <w:sz w:val="28"/>
          <w:szCs w:val="28"/>
        </w:rPr>
        <w:t>[49]</w:t>
      </w:r>
      <w:r w:rsidRPr="00B75DA6">
        <w:rPr>
          <w:sz w:val="28"/>
          <w:szCs w:val="28"/>
        </w:rPr>
        <w:tab/>
      </w:r>
      <w:r w:rsidR="00136448">
        <w:rPr>
          <w:sz w:val="28"/>
          <w:szCs w:val="28"/>
        </w:rPr>
        <w:t xml:space="preserve">In the present case, Extensions 34 and 35 have been completely developed.  This was done at the cost of approximately R600 million and comprise 672 residential units.  All these units are occupied.  Extensions </w:t>
      </w:r>
      <w:r w:rsidR="00297891">
        <w:rPr>
          <w:sz w:val="28"/>
          <w:szCs w:val="28"/>
        </w:rPr>
        <w:t xml:space="preserve">36 and 37 have also been approved in terms of the existing town planning scheme.  </w:t>
      </w:r>
      <w:r w:rsidR="00E5152F">
        <w:rPr>
          <w:sz w:val="28"/>
          <w:szCs w:val="28"/>
        </w:rPr>
        <w:t>These townships</w:t>
      </w:r>
      <w:r w:rsidR="00297891">
        <w:rPr>
          <w:sz w:val="28"/>
          <w:szCs w:val="28"/>
        </w:rPr>
        <w:t xml:space="preserve"> will comprise a further 715 residential units.  The groundworks already completed cost some R36 million and construct</w:t>
      </w:r>
      <w:r w:rsidR="00E5152F">
        <w:rPr>
          <w:sz w:val="28"/>
          <w:szCs w:val="28"/>
        </w:rPr>
        <w:t>i</w:t>
      </w:r>
      <w:r w:rsidR="00297891">
        <w:rPr>
          <w:sz w:val="28"/>
          <w:szCs w:val="28"/>
        </w:rPr>
        <w:t xml:space="preserve">on agreements of some R163 million have already been concluded, accommodating approximately 267 workers on site daily.  The aggregate costs of this part of the development </w:t>
      </w:r>
      <w:r w:rsidR="00297891">
        <w:rPr>
          <w:sz w:val="28"/>
          <w:szCs w:val="28"/>
        </w:rPr>
        <w:lastRenderedPageBreak/>
        <w:t>amounts to R 248 million and the daily operational costs of Precinct amount to R 2 million per day.  WEL de</w:t>
      </w:r>
      <w:r w:rsidR="00DE078E">
        <w:rPr>
          <w:sz w:val="28"/>
          <w:szCs w:val="28"/>
        </w:rPr>
        <w:t>nies</w:t>
      </w:r>
      <w:r w:rsidR="00297891">
        <w:rPr>
          <w:sz w:val="28"/>
          <w:szCs w:val="28"/>
        </w:rPr>
        <w:t xml:space="preserve"> that the halting and setting aside of these developments, the roads (both access and internal) and the entire currently existing cadastral existence of the township (all duly registered in the offices of the Registrar of Deeds and the Office of the Surveyor General) would be</w:t>
      </w:r>
      <w:r w:rsidR="006533C7">
        <w:rPr>
          <w:sz w:val="28"/>
          <w:szCs w:val="28"/>
        </w:rPr>
        <w:t xml:space="preserve"> as</w:t>
      </w:r>
      <w:r w:rsidR="00297891">
        <w:rPr>
          <w:sz w:val="28"/>
          <w:szCs w:val="28"/>
        </w:rPr>
        <w:t xml:space="preserve"> “cataclysmic”</w:t>
      </w:r>
      <w:r w:rsidR="00DE078E">
        <w:rPr>
          <w:sz w:val="28"/>
          <w:szCs w:val="28"/>
        </w:rPr>
        <w:t xml:space="preserve"> as the respondents claim</w:t>
      </w:r>
      <w:r w:rsidR="00297891">
        <w:rPr>
          <w:sz w:val="28"/>
          <w:szCs w:val="28"/>
        </w:rPr>
        <w:t>, but the sheer extent there</w:t>
      </w:r>
      <w:r w:rsidR="00DE078E">
        <w:rPr>
          <w:sz w:val="28"/>
          <w:szCs w:val="28"/>
        </w:rPr>
        <w:t>of renders this denial somewhat</w:t>
      </w:r>
      <w:r w:rsidR="00297891">
        <w:rPr>
          <w:sz w:val="28"/>
          <w:szCs w:val="28"/>
        </w:rPr>
        <w:t xml:space="preserve"> hollow.  On the other hand, the perceived apprehension of loss to be suffered by WEL which may </w:t>
      </w:r>
      <w:r w:rsidR="006533C7">
        <w:rPr>
          <w:sz w:val="28"/>
          <w:szCs w:val="28"/>
        </w:rPr>
        <w:t>result</w:t>
      </w:r>
      <w:r w:rsidR="00DE078E">
        <w:rPr>
          <w:sz w:val="28"/>
          <w:szCs w:val="28"/>
        </w:rPr>
        <w:t xml:space="preserve"> from</w:t>
      </w:r>
      <w:r w:rsidR="00297891">
        <w:rPr>
          <w:sz w:val="28"/>
          <w:szCs w:val="28"/>
        </w:rPr>
        <w:t xml:space="preserve"> the competing development on the Mushroom Farm, has nowhere been identified with any me</w:t>
      </w:r>
      <w:r w:rsidR="00DE078E">
        <w:rPr>
          <w:sz w:val="28"/>
          <w:szCs w:val="28"/>
        </w:rPr>
        <w:t>asure of certainty.  WEL alleges</w:t>
      </w:r>
      <w:r w:rsidR="00297891">
        <w:rPr>
          <w:sz w:val="28"/>
          <w:szCs w:val="28"/>
        </w:rPr>
        <w:t xml:space="preserve"> that it might be impossible to calculate and that may be so, but</w:t>
      </w:r>
      <w:r w:rsidR="006533C7">
        <w:rPr>
          <w:sz w:val="28"/>
          <w:szCs w:val="28"/>
        </w:rPr>
        <w:t xml:space="preserve"> the nature thereof has not even</w:t>
      </w:r>
      <w:r w:rsidR="00297891">
        <w:rPr>
          <w:sz w:val="28"/>
          <w:szCs w:val="28"/>
        </w:rPr>
        <w:t xml:space="preserve"> been explained.</w:t>
      </w:r>
    </w:p>
    <w:p w:rsidR="00E5152F" w:rsidRPr="00B75DA6" w:rsidRDefault="00073A85" w:rsidP="00073A85">
      <w:pPr>
        <w:pStyle w:val="MEMONUMBERED"/>
        <w:numPr>
          <w:ilvl w:val="0"/>
          <w:numId w:val="0"/>
        </w:numPr>
        <w:spacing w:after="360" w:line="360" w:lineRule="auto"/>
        <w:rPr>
          <w:sz w:val="28"/>
          <w:szCs w:val="28"/>
        </w:rPr>
      </w:pPr>
      <w:r w:rsidRPr="00B75DA6">
        <w:rPr>
          <w:sz w:val="28"/>
          <w:szCs w:val="28"/>
        </w:rPr>
        <w:t>[50]</w:t>
      </w:r>
      <w:r w:rsidRPr="00B75DA6">
        <w:rPr>
          <w:sz w:val="28"/>
          <w:szCs w:val="28"/>
        </w:rPr>
        <w:tab/>
      </w:r>
      <w:r w:rsidR="00297891">
        <w:rPr>
          <w:sz w:val="28"/>
          <w:szCs w:val="28"/>
        </w:rPr>
        <w:t xml:space="preserve">In the circumstances of this case, I find that is an appropriate case where a court should exercise its judicial </w:t>
      </w:r>
      <w:r w:rsidR="00B75DA6">
        <w:rPr>
          <w:sz w:val="28"/>
          <w:szCs w:val="28"/>
        </w:rPr>
        <w:t>discretion by declining to or</w:t>
      </w:r>
      <w:r w:rsidR="00297891">
        <w:rPr>
          <w:sz w:val="28"/>
          <w:szCs w:val="28"/>
        </w:rPr>
        <w:t xml:space="preserve">der </w:t>
      </w:r>
      <w:r w:rsidR="00B75DA6">
        <w:rPr>
          <w:sz w:val="28"/>
          <w:szCs w:val="28"/>
        </w:rPr>
        <w:t>specific</w:t>
      </w:r>
      <w:r w:rsidR="00297891">
        <w:rPr>
          <w:sz w:val="28"/>
          <w:szCs w:val="28"/>
        </w:rPr>
        <w:t xml:space="preserve"> performance, particularly in the somewhat vague and far-reaching fashion in which it has been claimed by WEL.</w:t>
      </w:r>
    </w:p>
    <w:p w:rsidR="006A233E" w:rsidRPr="00B75DA6" w:rsidRDefault="00073A85" w:rsidP="00073A85">
      <w:pPr>
        <w:pStyle w:val="MEMONUMBERED"/>
        <w:numPr>
          <w:ilvl w:val="0"/>
          <w:numId w:val="0"/>
        </w:numPr>
        <w:spacing w:after="360" w:line="360" w:lineRule="auto"/>
        <w:rPr>
          <w:sz w:val="28"/>
          <w:szCs w:val="28"/>
        </w:rPr>
      </w:pPr>
      <w:r w:rsidRPr="00B75DA6">
        <w:rPr>
          <w:sz w:val="28"/>
          <w:szCs w:val="28"/>
        </w:rPr>
        <w:t>[51]</w:t>
      </w:r>
      <w:r w:rsidRPr="00B75DA6">
        <w:rPr>
          <w:sz w:val="28"/>
          <w:szCs w:val="28"/>
        </w:rPr>
        <w:tab/>
      </w:r>
      <w:r w:rsidR="00A644DC">
        <w:rPr>
          <w:sz w:val="28"/>
          <w:szCs w:val="28"/>
        </w:rPr>
        <w:t>It follows that the application should be dismissed.  The fu</w:t>
      </w:r>
      <w:r w:rsidR="00DE078E">
        <w:rPr>
          <w:sz w:val="28"/>
          <w:szCs w:val="28"/>
        </w:rPr>
        <w:t>rther result hereof</w:t>
      </w:r>
      <w:r w:rsidR="00A644DC">
        <w:rPr>
          <w:sz w:val="28"/>
          <w:szCs w:val="28"/>
        </w:rPr>
        <w:t xml:space="preserve"> is that Century’s conditional counter-application (for a mandamus that WEL considers granting consent to the amendments brought about by the 2017 Precinct</w:t>
      </w:r>
      <w:r w:rsidR="00DE078E">
        <w:rPr>
          <w:sz w:val="28"/>
          <w:szCs w:val="28"/>
        </w:rPr>
        <w:t xml:space="preserve"> Plan), need not be entertained.  In </w:t>
      </w:r>
      <w:r w:rsidR="00A644DC">
        <w:rPr>
          <w:sz w:val="28"/>
          <w:szCs w:val="28"/>
        </w:rPr>
        <w:t>respect of the incidence of costs, I find no cogent reason to depart from the general principle that costs should follow the event.</w:t>
      </w:r>
    </w:p>
    <w:p w:rsidR="00DC42B1" w:rsidRPr="00961F52" w:rsidRDefault="00073A85" w:rsidP="00073A85">
      <w:pPr>
        <w:pStyle w:val="MEMONUMBERED"/>
        <w:numPr>
          <w:ilvl w:val="0"/>
          <w:numId w:val="0"/>
        </w:numPr>
        <w:spacing w:after="120" w:line="360" w:lineRule="auto"/>
        <w:ind w:left="709" w:hanging="709"/>
        <w:rPr>
          <w:b/>
          <w:sz w:val="28"/>
          <w:szCs w:val="28"/>
        </w:rPr>
      </w:pPr>
      <w:r w:rsidRPr="00961F52">
        <w:rPr>
          <w:sz w:val="28"/>
          <w:szCs w:val="28"/>
        </w:rPr>
        <w:t>[52]</w:t>
      </w:r>
      <w:r w:rsidRPr="00961F52">
        <w:rPr>
          <w:sz w:val="28"/>
          <w:szCs w:val="28"/>
        </w:rPr>
        <w:tab/>
      </w:r>
      <w:r w:rsidR="00246693" w:rsidRPr="00961F52">
        <w:rPr>
          <w:b/>
          <w:sz w:val="28"/>
          <w:szCs w:val="28"/>
        </w:rPr>
        <w:t>Order</w:t>
      </w:r>
    </w:p>
    <w:p w:rsidR="00B20DE8" w:rsidRPr="003B3CB4" w:rsidRDefault="003B3CB4" w:rsidP="00961F52">
      <w:pPr>
        <w:pStyle w:val="MEMONUMBERED"/>
        <w:numPr>
          <w:ilvl w:val="0"/>
          <w:numId w:val="0"/>
        </w:numPr>
        <w:spacing w:after="360" w:line="360" w:lineRule="auto"/>
        <w:rPr>
          <w:sz w:val="28"/>
          <w:szCs w:val="28"/>
        </w:rPr>
      </w:pPr>
      <w:r w:rsidRPr="003B3CB4">
        <w:rPr>
          <w:sz w:val="28"/>
          <w:szCs w:val="28"/>
        </w:rPr>
        <w:t>The application is dismissed with costs, including the costs of two counsel, where employed by the respondents.</w:t>
      </w:r>
    </w:p>
    <w:p w:rsidR="00B75DA6" w:rsidRPr="009B27D4" w:rsidRDefault="00B75DA6" w:rsidP="00F44D56">
      <w:pPr>
        <w:pStyle w:val="MEMONUMBERED"/>
        <w:numPr>
          <w:ilvl w:val="0"/>
          <w:numId w:val="0"/>
        </w:numPr>
        <w:spacing w:after="360" w:line="360" w:lineRule="auto"/>
        <w:rPr>
          <w:sz w:val="28"/>
          <w:szCs w:val="28"/>
          <w:u w:val="single"/>
        </w:rPr>
      </w:pPr>
    </w:p>
    <w:p w:rsidR="007103CD" w:rsidRPr="007332AE" w:rsidRDefault="007103CD" w:rsidP="007103CD">
      <w:pPr>
        <w:pStyle w:val="MEMONUMBERED"/>
        <w:numPr>
          <w:ilvl w:val="0"/>
          <w:numId w:val="0"/>
        </w:numPr>
        <w:spacing w:line="240" w:lineRule="auto"/>
        <w:jc w:val="right"/>
        <w:rPr>
          <w:sz w:val="28"/>
          <w:szCs w:val="28"/>
        </w:rPr>
      </w:pPr>
      <w:r>
        <w:lastRenderedPageBreak/>
        <w:t xml:space="preserve">                                                                                         </w:t>
      </w:r>
      <w:r w:rsidRPr="007332AE">
        <w:rPr>
          <w:sz w:val="28"/>
          <w:szCs w:val="28"/>
        </w:rPr>
        <w:t>_______________________</w:t>
      </w:r>
    </w:p>
    <w:p w:rsidR="007103CD" w:rsidRPr="007332AE" w:rsidRDefault="007103CD" w:rsidP="007103CD">
      <w:pPr>
        <w:pStyle w:val="MEMONUMBERED"/>
        <w:numPr>
          <w:ilvl w:val="0"/>
          <w:numId w:val="0"/>
        </w:numPr>
        <w:spacing w:line="240" w:lineRule="auto"/>
        <w:rPr>
          <w:sz w:val="28"/>
          <w:szCs w:val="28"/>
        </w:rPr>
      </w:pPr>
      <w:r w:rsidRPr="007332AE">
        <w:rPr>
          <w:sz w:val="28"/>
          <w:szCs w:val="28"/>
        </w:rPr>
        <w:t xml:space="preserve">                                                          </w:t>
      </w:r>
      <w:r>
        <w:rPr>
          <w:sz w:val="28"/>
          <w:szCs w:val="28"/>
        </w:rPr>
        <w:t xml:space="preserve">                                </w:t>
      </w:r>
      <w:r w:rsidR="00CD187A">
        <w:rPr>
          <w:sz w:val="28"/>
          <w:szCs w:val="28"/>
        </w:rPr>
        <w:t xml:space="preserve">     </w:t>
      </w:r>
      <w:r>
        <w:rPr>
          <w:sz w:val="28"/>
          <w:szCs w:val="28"/>
        </w:rPr>
        <w:t>N DAVIS</w:t>
      </w:r>
    </w:p>
    <w:p w:rsidR="007103CD" w:rsidRDefault="007103CD" w:rsidP="007103CD">
      <w:pPr>
        <w:pStyle w:val="MEMONUMBERED"/>
        <w:numPr>
          <w:ilvl w:val="0"/>
          <w:numId w:val="0"/>
        </w:numPr>
        <w:spacing w:line="240" w:lineRule="auto"/>
        <w:jc w:val="center"/>
        <w:rPr>
          <w:sz w:val="28"/>
          <w:szCs w:val="28"/>
        </w:rPr>
      </w:pPr>
      <w:r w:rsidRPr="007332AE">
        <w:rPr>
          <w:sz w:val="28"/>
          <w:szCs w:val="28"/>
        </w:rPr>
        <w:t xml:space="preserve">                                                                            </w:t>
      </w:r>
      <w:r>
        <w:rPr>
          <w:sz w:val="28"/>
          <w:szCs w:val="28"/>
        </w:rPr>
        <w:t xml:space="preserve"> </w:t>
      </w:r>
      <w:r w:rsidR="00CD187A">
        <w:rPr>
          <w:sz w:val="28"/>
          <w:szCs w:val="28"/>
        </w:rPr>
        <w:t xml:space="preserve">    </w:t>
      </w:r>
      <w:r w:rsidRPr="007332AE">
        <w:rPr>
          <w:sz w:val="28"/>
          <w:szCs w:val="28"/>
        </w:rPr>
        <w:t>Judge of the High Court</w:t>
      </w:r>
    </w:p>
    <w:p w:rsidR="00CD2515" w:rsidRDefault="007103CD" w:rsidP="009B27D4">
      <w:pPr>
        <w:pStyle w:val="MEMONUMBERED"/>
        <w:numPr>
          <w:ilvl w:val="0"/>
          <w:numId w:val="0"/>
        </w:numPr>
        <w:spacing w:line="240" w:lineRule="auto"/>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Gauteng Division, Pretoria</w:t>
      </w:r>
    </w:p>
    <w:p w:rsidR="00DE078E" w:rsidRDefault="00DE078E" w:rsidP="007103CD">
      <w:pPr>
        <w:pStyle w:val="MEMONUMBERED"/>
        <w:numPr>
          <w:ilvl w:val="0"/>
          <w:numId w:val="0"/>
        </w:numPr>
        <w:rPr>
          <w:sz w:val="28"/>
          <w:szCs w:val="28"/>
        </w:rPr>
      </w:pPr>
    </w:p>
    <w:p w:rsidR="00CD2515" w:rsidRDefault="007103CD" w:rsidP="007103CD">
      <w:pPr>
        <w:pStyle w:val="MEMONUMBERED"/>
        <w:numPr>
          <w:ilvl w:val="0"/>
          <w:numId w:val="0"/>
        </w:numPr>
        <w:rPr>
          <w:sz w:val="28"/>
          <w:szCs w:val="28"/>
        </w:rPr>
      </w:pPr>
      <w:r>
        <w:rPr>
          <w:sz w:val="28"/>
          <w:szCs w:val="28"/>
        </w:rPr>
        <w:t xml:space="preserve">Date of Hearing: </w:t>
      </w:r>
      <w:r w:rsidR="00572132">
        <w:rPr>
          <w:sz w:val="28"/>
          <w:szCs w:val="28"/>
        </w:rPr>
        <w:t xml:space="preserve"> </w:t>
      </w:r>
      <w:r w:rsidR="00A644DC">
        <w:rPr>
          <w:sz w:val="28"/>
          <w:szCs w:val="28"/>
        </w:rPr>
        <w:t>29 August</w:t>
      </w:r>
      <w:r w:rsidR="006533C7">
        <w:rPr>
          <w:sz w:val="28"/>
          <w:szCs w:val="28"/>
        </w:rPr>
        <w:t xml:space="preserve"> 2022</w:t>
      </w:r>
    </w:p>
    <w:p w:rsidR="007103CD" w:rsidRDefault="007103CD" w:rsidP="007103CD">
      <w:pPr>
        <w:pStyle w:val="MEMONUMBERED"/>
        <w:numPr>
          <w:ilvl w:val="0"/>
          <w:numId w:val="0"/>
        </w:numPr>
        <w:rPr>
          <w:sz w:val="28"/>
          <w:szCs w:val="28"/>
        </w:rPr>
      </w:pPr>
      <w:r>
        <w:rPr>
          <w:sz w:val="28"/>
          <w:szCs w:val="28"/>
        </w:rPr>
        <w:t>Judgment delivered:</w:t>
      </w:r>
      <w:r w:rsidR="00572132">
        <w:rPr>
          <w:sz w:val="28"/>
          <w:szCs w:val="28"/>
        </w:rPr>
        <w:t xml:space="preserve"> </w:t>
      </w:r>
      <w:r w:rsidR="006533C7">
        <w:rPr>
          <w:sz w:val="28"/>
          <w:szCs w:val="28"/>
        </w:rPr>
        <w:t>3 October 2022</w:t>
      </w:r>
      <w:r>
        <w:rPr>
          <w:sz w:val="28"/>
          <w:szCs w:val="28"/>
        </w:rPr>
        <w:t xml:space="preserve"> </w:t>
      </w:r>
      <w:r w:rsidR="00973892">
        <w:rPr>
          <w:sz w:val="28"/>
          <w:szCs w:val="28"/>
        </w:rPr>
        <w:t xml:space="preserve"> </w:t>
      </w:r>
    </w:p>
    <w:p w:rsidR="00AF5999" w:rsidRDefault="00AF5999" w:rsidP="007103CD">
      <w:pPr>
        <w:pStyle w:val="MEMONUMBERED"/>
        <w:numPr>
          <w:ilvl w:val="0"/>
          <w:numId w:val="0"/>
        </w:numPr>
        <w:rPr>
          <w:sz w:val="28"/>
          <w:szCs w:val="28"/>
        </w:rPr>
      </w:pPr>
    </w:p>
    <w:p w:rsidR="007103CD" w:rsidRPr="003E4489" w:rsidRDefault="007103CD" w:rsidP="007103CD">
      <w:pPr>
        <w:pStyle w:val="MEMONUMBERED"/>
        <w:numPr>
          <w:ilvl w:val="0"/>
          <w:numId w:val="0"/>
        </w:numPr>
        <w:rPr>
          <w:sz w:val="28"/>
          <w:szCs w:val="28"/>
        </w:rPr>
      </w:pPr>
      <w:r w:rsidRPr="003E4489">
        <w:rPr>
          <w:sz w:val="28"/>
          <w:szCs w:val="28"/>
        </w:rPr>
        <w:t>APPEARANCES:</w:t>
      </w:r>
    </w:p>
    <w:p w:rsidR="00A71DA4" w:rsidRDefault="007103CD" w:rsidP="00D11A05">
      <w:pPr>
        <w:spacing w:after="0"/>
        <w:rPr>
          <w:rFonts w:ascii="Times New Roman" w:eastAsia="Times New Roman" w:hAnsi="Times New Roman" w:cs="Times New Roman"/>
          <w:sz w:val="28"/>
          <w:szCs w:val="28"/>
          <w:lang w:val="en-US" w:eastAsia="en-ZA"/>
        </w:rPr>
      </w:pPr>
      <w:r w:rsidRPr="003E4489">
        <w:rPr>
          <w:rFonts w:ascii="Times New Roman" w:eastAsia="Times New Roman" w:hAnsi="Times New Roman" w:cs="Times New Roman"/>
          <w:sz w:val="28"/>
          <w:szCs w:val="28"/>
          <w:lang w:val="en-US" w:eastAsia="en-ZA"/>
        </w:rPr>
        <w:t xml:space="preserve">For the </w:t>
      </w:r>
      <w:r w:rsidR="0025016B">
        <w:rPr>
          <w:rFonts w:ascii="Times New Roman" w:eastAsia="Times New Roman" w:hAnsi="Times New Roman" w:cs="Times New Roman"/>
          <w:sz w:val="28"/>
          <w:szCs w:val="28"/>
          <w:lang w:val="en-US" w:eastAsia="en-ZA"/>
        </w:rPr>
        <w:t>Applicant</w:t>
      </w:r>
      <w:r w:rsidRPr="003E4489">
        <w:rPr>
          <w:rFonts w:ascii="Times New Roman" w:eastAsia="Times New Roman" w:hAnsi="Times New Roman" w:cs="Times New Roman"/>
          <w:sz w:val="28"/>
          <w:szCs w:val="28"/>
          <w:lang w:val="en-US" w:eastAsia="en-ZA"/>
        </w:rPr>
        <w:t>:</w:t>
      </w:r>
      <w:r>
        <w:rPr>
          <w:rFonts w:ascii="Times New Roman" w:eastAsia="Times New Roman" w:hAnsi="Times New Roman" w:cs="Times New Roman"/>
          <w:sz w:val="28"/>
          <w:szCs w:val="28"/>
          <w:lang w:val="en-US" w:eastAsia="en-ZA"/>
        </w:rPr>
        <w:tab/>
      </w:r>
      <w:r w:rsidR="00E15DC7">
        <w:rPr>
          <w:rFonts w:ascii="Times New Roman" w:eastAsia="Times New Roman" w:hAnsi="Times New Roman" w:cs="Times New Roman"/>
          <w:sz w:val="28"/>
          <w:szCs w:val="28"/>
          <w:lang w:val="en-US" w:eastAsia="en-ZA"/>
        </w:rPr>
        <w:tab/>
      </w:r>
      <w:r w:rsidR="009B27D4">
        <w:rPr>
          <w:rFonts w:ascii="Times New Roman" w:eastAsia="Times New Roman" w:hAnsi="Times New Roman" w:cs="Times New Roman"/>
          <w:sz w:val="28"/>
          <w:szCs w:val="28"/>
          <w:lang w:val="en-US" w:eastAsia="en-ZA"/>
        </w:rPr>
        <w:tab/>
      </w:r>
      <w:r w:rsidR="009B27D4">
        <w:rPr>
          <w:rFonts w:ascii="Times New Roman" w:eastAsia="Times New Roman" w:hAnsi="Times New Roman" w:cs="Times New Roman"/>
          <w:sz w:val="28"/>
          <w:szCs w:val="28"/>
          <w:lang w:val="en-US" w:eastAsia="en-ZA"/>
        </w:rPr>
        <w:tab/>
      </w:r>
      <w:r w:rsidR="00D11A05">
        <w:rPr>
          <w:rFonts w:ascii="Times New Roman" w:eastAsia="Times New Roman" w:hAnsi="Times New Roman" w:cs="Times New Roman"/>
          <w:sz w:val="28"/>
          <w:szCs w:val="28"/>
          <w:lang w:val="en-US" w:eastAsia="en-ZA"/>
        </w:rPr>
        <w:t xml:space="preserve">Adv. </w:t>
      </w:r>
      <w:r w:rsidR="00A71DA4">
        <w:rPr>
          <w:rFonts w:ascii="Times New Roman" w:eastAsia="Times New Roman" w:hAnsi="Times New Roman" w:cs="Times New Roman"/>
          <w:sz w:val="28"/>
          <w:szCs w:val="28"/>
          <w:lang w:val="en-US" w:eastAsia="en-ZA"/>
        </w:rPr>
        <w:t>L</w:t>
      </w:r>
      <w:r w:rsidR="00E006FF">
        <w:rPr>
          <w:rFonts w:ascii="Times New Roman" w:eastAsia="Times New Roman" w:hAnsi="Times New Roman" w:cs="Times New Roman"/>
          <w:sz w:val="28"/>
          <w:szCs w:val="28"/>
          <w:lang w:val="en-US" w:eastAsia="en-ZA"/>
        </w:rPr>
        <w:t xml:space="preserve">.G. F </w:t>
      </w:r>
      <w:r w:rsidR="00A71DA4">
        <w:rPr>
          <w:rFonts w:ascii="Times New Roman" w:eastAsia="Times New Roman" w:hAnsi="Times New Roman" w:cs="Times New Roman"/>
          <w:sz w:val="28"/>
          <w:szCs w:val="28"/>
          <w:lang w:val="en-US" w:eastAsia="en-ZA"/>
        </w:rPr>
        <w:t>Putter</w:t>
      </w:r>
      <w:r w:rsidR="00E40169">
        <w:rPr>
          <w:rFonts w:ascii="Times New Roman" w:eastAsia="Times New Roman" w:hAnsi="Times New Roman" w:cs="Times New Roman"/>
          <w:sz w:val="28"/>
          <w:szCs w:val="28"/>
          <w:lang w:val="en-US" w:eastAsia="en-ZA"/>
        </w:rPr>
        <w:t xml:space="preserve"> SC</w:t>
      </w:r>
      <w:r w:rsidR="00A71DA4">
        <w:rPr>
          <w:rFonts w:ascii="Times New Roman" w:eastAsia="Times New Roman" w:hAnsi="Times New Roman" w:cs="Times New Roman"/>
          <w:sz w:val="28"/>
          <w:szCs w:val="28"/>
          <w:lang w:val="en-US" w:eastAsia="en-ZA"/>
        </w:rPr>
        <w:t xml:space="preserve"> together with </w:t>
      </w:r>
    </w:p>
    <w:p w:rsidR="007103CD" w:rsidRDefault="00A71DA4" w:rsidP="00A71DA4">
      <w:pPr>
        <w:spacing w:after="0"/>
        <w:ind w:left="3600" w:firstLine="720"/>
        <w:rPr>
          <w:rFonts w:ascii="Times New Roman" w:eastAsia="Times New Roman" w:hAnsi="Times New Roman" w:cs="Times New Roman"/>
          <w:sz w:val="28"/>
          <w:szCs w:val="28"/>
          <w:lang w:val="en-US" w:eastAsia="en-ZA"/>
        </w:rPr>
      </w:pPr>
      <w:r>
        <w:rPr>
          <w:rFonts w:ascii="Times New Roman" w:eastAsia="Times New Roman" w:hAnsi="Times New Roman" w:cs="Times New Roman"/>
          <w:sz w:val="28"/>
          <w:szCs w:val="28"/>
          <w:lang w:val="en-US" w:eastAsia="en-ZA"/>
        </w:rPr>
        <w:t>Adv. H</w:t>
      </w:r>
      <w:r w:rsidR="00E006FF">
        <w:rPr>
          <w:rFonts w:ascii="Times New Roman" w:eastAsia="Times New Roman" w:hAnsi="Times New Roman" w:cs="Times New Roman"/>
          <w:sz w:val="28"/>
          <w:szCs w:val="28"/>
          <w:lang w:val="en-US" w:eastAsia="en-ZA"/>
        </w:rPr>
        <w:t>. V</w:t>
      </w:r>
      <w:r>
        <w:rPr>
          <w:rFonts w:ascii="Times New Roman" w:eastAsia="Times New Roman" w:hAnsi="Times New Roman" w:cs="Times New Roman"/>
          <w:sz w:val="28"/>
          <w:szCs w:val="28"/>
          <w:lang w:val="en-US" w:eastAsia="en-ZA"/>
        </w:rPr>
        <w:t xml:space="preserve"> Vorster</w:t>
      </w:r>
    </w:p>
    <w:p w:rsidR="00061008" w:rsidRDefault="00E15DC7" w:rsidP="0025016B">
      <w:pPr>
        <w:spacing w:after="0"/>
        <w:ind w:left="3544" w:hanging="3544"/>
        <w:rPr>
          <w:rFonts w:ascii="Times New Roman" w:eastAsia="Times New Roman" w:hAnsi="Times New Roman" w:cs="Times New Roman"/>
          <w:sz w:val="28"/>
          <w:szCs w:val="28"/>
          <w:lang w:val="en-US" w:eastAsia="en-ZA"/>
        </w:rPr>
      </w:pPr>
      <w:r>
        <w:rPr>
          <w:rFonts w:ascii="Times New Roman" w:eastAsia="Times New Roman" w:hAnsi="Times New Roman" w:cs="Times New Roman"/>
          <w:sz w:val="28"/>
          <w:szCs w:val="28"/>
          <w:lang w:val="en-US" w:eastAsia="en-ZA"/>
        </w:rPr>
        <w:t xml:space="preserve">Attorney for </w:t>
      </w:r>
      <w:r w:rsidR="0025016B">
        <w:rPr>
          <w:rFonts w:ascii="Times New Roman" w:eastAsia="Times New Roman" w:hAnsi="Times New Roman" w:cs="Times New Roman"/>
          <w:sz w:val="28"/>
          <w:szCs w:val="28"/>
          <w:lang w:val="en-US" w:eastAsia="en-ZA"/>
        </w:rPr>
        <w:t>Applicant</w:t>
      </w:r>
      <w:r w:rsidR="00FA412D">
        <w:rPr>
          <w:rFonts w:ascii="Times New Roman" w:eastAsia="Times New Roman" w:hAnsi="Times New Roman" w:cs="Times New Roman"/>
          <w:sz w:val="28"/>
          <w:szCs w:val="28"/>
          <w:lang w:val="en-US" w:eastAsia="en-ZA"/>
        </w:rPr>
        <w:t>:</w:t>
      </w:r>
      <w:r w:rsidR="00AD1C5F">
        <w:rPr>
          <w:rFonts w:ascii="Times New Roman" w:eastAsia="Times New Roman" w:hAnsi="Times New Roman" w:cs="Times New Roman"/>
          <w:sz w:val="28"/>
          <w:szCs w:val="28"/>
          <w:lang w:val="en-US" w:eastAsia="en-ZA"/>
        </w:rPr>
        <w:tab/>
      </w:r>
      <w:r w:rsidR="0025016B">
        <w:rPr>
          <w:rFonts w:ascii="Times New Roman" w:eastAsia="Times New Roman" w:hAnsi="Times New Roman" w:cs="Times New Roman"/>
          <w:sz w:val="28"/>
          <w:szCs w:val="28"/>
          <w:lang w:val="en-US" w:eastAsia="en-ZA"/>
        </w:rPr>
        <w:tab/>
      </w:r>
      <w:r w:rsidR="0025016B">
        <w:rPr>
          <w:rFonts w:ascii="Times New Roman" w:eastAsia="Times New Roman" w:hAnsi="Times New Roman" w:cs="Times New Roman"/>
          <w:sz w:val="28"/>
          <w:szCs w:val="28"/>
          <w:lang w:val="en-US" w:eastAsia="en-ZA"/>
        </w:rPr>
        <w:tab/>
      </w:r>
      <w:r w:rsidR="00061008">
        <w:rPr>
          <w:rFonts w:ascii="Times New Roman" w:eastAsia="Times New Roman" w:hAnsi="Times New Roman" w:cs="Times New Roman"/>
          <w:sz w:val="28"/>
          <w:szCs w:val="28"/>
          <w:lang w:val="en-US" w:eastAsia="en-ZA"/>
        </w:rPr>
        <w:t xml:space="preserve">Faber </w:t>
      </w:r>
      <w:proofErr w:type="spellStart"/>
      <w:r w:rsidR="00061008">
        <w:rPr>
          <w:rFonts w:ascii="Times New Roman" w:eastAsia="Times New Roman" w:hAnsi="Times New Roman" w:cs="Times New Roman"/>
          <w:sz w:val="28"/>
          <w:szCs w:val="28"/>
          <w:lang w:val="en-US" w:eastAsia="en-ZA"/>
        </w:rPr>
        <w:t>Goërtz</w:t>
      </w:r>
      <w:proofErr w:type="spellEnd"/>
      <w:r w:rsidR="00061008">
        <w:rPr>
          <w:rFonts w:ascii="Times New Roman" w:eastAsia="Times New Roman" w:hAnsi="Times New Roman" w:cs="Times New Roman"/>
          <w:sz w:val="28"/>
          <w:szCs w:val="28"/>
          <w:lang w:val="en-US" w:eastAsia="en-ZA"/>
        </w:rPr>
        <w:t xml:space="preserve"> Ellis Austen Inc., </w:t>
      </w:r>
      <w:proofErr w:type="spellStart"/>
      <w:r w:rsidR="00061008">
        <w:rPr>
          <w:rFonts w:ascii="Times New Roman" w:eastAsia="Times New Roman" w:hAnsi="Times New Roman" w:cs="Times New Roman"/>
          <w:sz w:val="28"/>
          <w:szCs w:val="28"/>
          <w:lang w:val="en-US" w:eastAsia="en-ZA"/>
        </w:rPr>
        <w:t>Bryanston</w:t>
      </w:r>
      <w:proofErr w:type="spellEnd"/>
      <w:r w:rsidR="00061008">
        <w:rPr>
          <w:rFonts w:ascii="Times New Roman" w:eastAsia="Times New Roman" w:hAnsi="Times New Roman" w:cs="Times New Roman"/>
          <w:sz w:val="28"/>
          <w:szCs w:val="28"/>
          <w:lang w:val="en-US" w:eastAsia="en-ZA"/>
        </w:rPr>
        <w:t xml:space="preserve"> </w:t>
      </w:r>
    </w:p>
    <w:p w:rsidR="00FA412D" w:rsidRDefault="00061008" w:rsidP="00061008">
      <w:pPr>
        <w:spacing w:after="0"/>
        <w:ind w:left="4264" w:firstLine="56"/>
        <w:rPr>
          <w:rFonts w:ascii="Times New Roman" w:eastAsia="Times New Roman" w:hAnsi="Times New Roman" w:cs="Times New Roman"/>
          <w:sz w:val="28"/>
          <w:szCs w:val="28"/>
          <w:lang w:val="en-US" w:eastAsia="en-ZA"/>
        </w:rPr>
      </w:pPr>
      <w:r>
        <w:rPr>
          <w:rFonts w:ascii="Times New Roman" w:eastAsia="Times New Roman" w:hAnsi="Times New Roman" w:cs="Times New Roman"/>
          <w:sz w:val="28"/>
          <w:szCs w:val="28"/>
          <w:lang w:val="en-US" w:eastAsia="en-ZA"/>
        </w:rPr>
        <w:t xml:space="preserve">c/o John </w:t>
      </w:r>
      <w:proofErr w:type="spellStart"/>
      <w:r>
        <w:rPr>
          <w:rFonts w:ascii="Times New Roman" w:eastAsia="Times New Roman" w:hAnsi="Times New Roman" w:cs="Times New Roman"/>
          <w:sz w:val="28"/>
          <w:szCs w:val="28"/>
          <w:lang w:val="en-US" w:eastAsia="en-ZA"/>
        </w:rPr>
        <w:t>Broido</w:t>
      </w:r>
      <w:proofErr w:type="spellEnd"/>
      <w:r>
        <w:rPr>
          <w:rFonts w:ascii="Times New Roman" w:eastAsia="Times New Roman" w:hAnsi="Times New Roman" w:cs="Times New Roman"/>
          <w:sz w:val="28"/>
          <w:szCs w:val="28"/>
          <w:lang w:val="en-US" w:eastAsia="en-ZA"/>
        </w:rPr>
        <w:t xml:space="preserve"> Attorneys,</w:t>
      </w:r>
      <w:r w:rsidR="0025016B">
        <w:rPr>
          <w:rFonts w:ascii="Times New Roman" w:eastAsia="Times New Roman" w:hAnsi="Times New Roman" w:cs="Times New Roman"/>
          <w:sz w:val="28"/>
          <w:szCs w:val="28"/>
          <w:lang w:val="en-US" w:eastAsia="en-ZA"/>
        </w:rPr>
        <w:t xml:space="preserve"> </w:t>
      </w:r>
      <w:r>
        <w:rPr>
          <w:rFonts w:ascii="Times New Roman" w:eastAsia="Times New Roman" w:hAnsi="Times New Roman" w:cs="Times New Roman"/>
          <w:sz w:val="28"/>
          <w:szCs w:val="28"/>
          <w:lang w:val="en-US" w:eastAsia="en-ZA"/>
        </w:rPr>
        <w:t>Johannesburg</w:t>
      </w:r>
    </w:p>
    <w:p w:rsidR="007103CD" w:rsidRDefault="007103CD" w:rsidP="007103CD">
      <w:pPr>
        <w:spacing w:after="0"/>
        <w:ind w:left="3600" w:hanging="3600"/>
        <w:rPr>
          <w:rFonts w:ascii="Times New Roman" w:eastAsia="Times New Roman" w:hAnsi="Times New Roman" w:cs="Times New Roman"/>
          <w:sz w:val="28"/>
          <w:szCs w:val="28"/>
          <w:lang w:val="en-US" w:eastAsia="en-ZA"/>
        </w:rPr>
      </w:pPr>
    </w:p>
    <w:p w:rsidR="008D017C" w:rsidRDefault="007103CD" w:rsidP="00B153B1">
      <w:pPr>
        <w:spacing w:after="0"/>
        <w:rPr>
          <w:rFonts w:ascii="Times New Roman" w:eastAsia="Times New Roman" w:hAnsi="Times New Roman" w:cs="Times New Roman"/>
          <w:sz w:val="28"/>
          <w:szCs w:val="28"/>
          <w:lang w:val="en-US" w:eastAsia="en-ZA"/>
        </w:rPr>
      </w:pPr>
      <w:r>
        <w:rPr>
          <w:rFonts w:ascii="Times New Roman" w:eastAsia="Times New Roman" w:hAnsi="Times New Roman" w:cs="Times New Roman"/>
          <w:sz w:val="28"/>
          <w:szCs w:val="28"/>
          <w:lang w:val="en-US" w:eastAsia="en-ZA"/>
        </w:rPr>
        <w:t xml:space="preserve">For the </w:t>
      </w:r>
      <w:r w:rsidR="00A71DA4">
        <w:rPr>
          <w:rFonts w:ascii="Times New Roman" w:eastAsia="Times New Roman" w:hAnsi="Times New Roman" w:cs="Times New Roman"/>
          <w:sz w:val="28"/>
          <w:szCs w:val="28"/>
          <w:lang w:val="en-US" w:eastAsia="en-ZA"/>
        </w:rPr>
        <w:t>2</w:t>
      </w:r>
      <w:r w:rsidR="00A71DA4" w:rsidRPr="00A71DA4">
        <w:rPr>
          <w:rFonts w:ascii="Times New Roman" w:eastAsia="Times New Roman" w:hAnsi="Times New Roman" w:cs="Times New Roman"/>
          <w:sz w:val="28"/>
          <w:szCs w:val="28"/>
          <w:vertAlign w:val="superscript"/>
          <w:lang w:val="en-US" w:eastAsia="en-ZA"/>
        </w:rPr>
        <w:t>nd</w:t>
      </w:r>
      <w:r w:rsidR="00A71DA4">
        <w:rPr>
          <w:rFonts w:ascii="Times New Roman" w:eastAsia="Times New Roman" w:hAnsi="Times New Roman" w:cs="Times New Roman"/>
          <w:sz w:val="28"/>
          <w:szCs w:val="28"/>
          <w:lang w:val="en-US" w:eastAsia="en-ZA"/>
        </w:rPr>
        <w:t xml:space="preserve"> </w:t>
      </w:r>
      <w:r w:rsidR="0025016B">
        <w:rPr>
          <w:rFonts w:ascii="Times New Roman" w:eastAsia="Times New Roman" w:hAnsi="Times New Roman" w:cs="Times New Roman"/>
          <w:sz w:val="28"/>
          <w:szCs w:val="28"/>
          <w:lang w:val="en-US" w:eastAsia="en-ZA"/>
        </w:rPr>
        <w:t>Respondent</w:t>
      </w:r>
      <w:r w:rsidR="004F6856">
        <w:rPr>
          <w:rFonts w:ascii="Times New Roman" w:eastAsia="Times New Roman" w:hAnsi="Times New Roman" w:cs="Times New Roman"/>
          <w:sz w:val="28"/>
          <w:szCs w:val="28"/>
          <w:lang w:val="en-US" w:eastAsia="en-ZA"/>
        </w:rPr>
        <w:t>s</w:t>
      </w:r>
      <w:r>
        <w:rPr>
          <w:rFonts w:ascii="Times New Roman" w:eastAsia="Times New Roman" w:hAnsi="Times New Roman" w:cs="Times New Roman"/>
          <w:sz w:val="28"/>
          <w:szCs w:val="28"/>
          <w:lang w:val="en-US" w:eastAsia="en-ZA"/>
        </w:rPr>
        <w:t>:</w:t>
      </w:r>
      <w:r w:rsidR="00AD1C5F">
        <w:rPr>
          <w:rFonts w:ascii="Times New Roman" w:eastAsia="Times New Roman" w:hAnsi="Times New Roman" w:cs="Times New Roman"/>
          <w:sz w:val="28"/>
          <w:szCs w:val="28"/>
          <w:lang w:val="en-US" w:eastAsia="en-ZA"/>
        </w:rPr>
        <w:t xml:space="preserve"> </w:t>
      </w:r>
      <w:r w:rsidR="00A91642">
        <w:rPr>
          <w:rFonts w:ascii="Times New Roman" w:eastAsia="Times New Roman" w:hAnsi="Times New Roman" w:cs="Times New Roman"/>
          <w:sz w:val="28"/>
          <w:szCs w:val="28"/>
          <w:lang w:val="en-US" w:eastAsia="en-ZA"/>
        </w:rPr>
        <w:tab/>
      </w:r>
      <w:r w:rsidR="00A91642">
        <w:rPr>
          <w:rFonts w:ascii="Times New Roman" w:eastAsia="Times New Roman" w:hAnsi="Times New Roman" w:cs="Times New Roman"/>
          <w:sz w:val="28"/>
          <w:szCs w:val="28"/>
          <w:lang w:val="en-US" w:eastAsia="en-ZA"/>
        </w:rPr>
        <w:tab/>
      </w:r>
      <w:r w:rsidR="00A71DA4">
        <w:rPr>
          <w:rFonts w:ascii="Times New Roman" w:eastAsia="Times New Roman" w:hAnsi="Times New Roman" w:cs="Times New Roman"/>
          <w:sz w:val="28"/>
          <w:szCs w:val="28"/>
          <w:lang w:val="en-US" w:eastAsia="en-ZA"/>
        </w:rPr>
        <w:tab/>
      </w:r>
      <w:r w:rsidR="00A91642">
        <w:rPr>
          <w:rFonts w:ascii="Times New Roman" w:eastAsia="Times New Roman" w:hAnsi="Times New Roman" w:cs="Times New Roman"/>
          <w:sz w:val="28"/>
          <w:szCs w:val="28"/>
          <w:lang w:val="en-US" w:eastAsia="en-ZA"/>
        </w:rPr>
        <w:t>Adv.</w:t>
      </w:r>
      <w:r w:rsidR="008D017C">
        <w:rPr>
          <w:rFonts w:ascii="Times New Roman" w:eastAsia="Times New Roman" w:hAnsi="Times New Roman" w:cs="Times New Roman"/>
          <w:sz w:val="28"/>
          <w:szCs w:val="28"/>
          <w:lang w:val="en-US" w:eastAsia="en-ZA"/>
        </w:rPr>
        <w:t xml:space="preserve"> M. C Maritz SC together with </w:t>
      </w:r>
    </w:p>
    <w:p w:rsidR="00B153B1" w:rsidRDefault="008D017C" w:rsidP="008D017C">
      <w:pPr>
        <w:spacing w:after="0"/>
        <w:ind w:left="3600" w:firstLine="720"/>
        <w:rPr>
          <w:rFonts w:ascii="Times New Roman" w:eastAsia="Times New Roman" w:hAnsi="Times New Roman" w:cs="Times New Roman"/>
          <w:sz w:val="28"/>
          <w:szCs w:val="28"/>
          <w:lang w:val="en-US" w:eastAsia="en-ZA"/>
        </w:rPr>
      </w:pPr>
      <w:r>
        <w:rPr>
          <w:rFonts w:ascii="Times New Roman" w:eastAsia="Times New Roman" w:hAnsi="Times New Roman" w:cs="Times New Roman"/>
          <w:sz w:val="28"/>
          <w:szCs w:val="28"/>
          <w:lang w:val="en-US" w:eastAsia="en-ZA"/>
        </w:rPr>
        <w:t>Adv.</w:t>
      </w:r>
      <w:r w:rsidR="00E40169">
        <w:rPr>
          <w:rFonts w:ascii="Times New Roman" w:eastAsia="Times New Roman" w:hAnsi="Times New Roman" w:cs="Times New Roman"/>
          <w:sz w:val="28"/>
          <w:szCs w:val="28"/>
          <w:lang w:val="en-US" w:eastAsia="en-ZA"/>
        </w:rPr>
        <w:t xml:space="preserve"> </w:t>
      </w:r>
      <w:r w:rsidR="00E006FF">
        <w:rPr>
          <w:rFonts w:ascii="Times New Roman" w:eastAsia="Times New Roman" w:hAnsi="Times New Roman" w:cs="Times New Roman"/>
          <w:sz w:val="28"/>
          <w:szCs w:val="28"/>
          <w:lang w:val="en-US" w:eastAsia="en-ZA"/>
        </w:rPr>
        <w:t>J.</w:t>
      </w:r>
      <w:r>
        <w:rPr>
          <w:rFonts w:ascii="Times New Roman" w:eastAsia="Times New Roman" w:hAnsi="Times New Roman" w:cs="Times New Roman"/>
          <w:sz w:val="28"/>
          <w:szCs w:val="28"/>
          <w:lang w:val="en-US" w:eastAsia="en-ZA"/>
        </w:rPr>
        <w:t xml:space="preserve"> </w:t>
      </w:r>
      <w:r w:rsidR="00E006FF">
        <w:rPr>
          <w:rFonts w:ascii="Times New Roman" w:eastAsia="Times New Roman" w:hAnsi="Times New Roman" w:cs="Times New Roman"/>
          <w:sz w:val="28"/>
          <w:szCs w:val="28"/>
          <w:lang w:val="en-US" w:eastAsia="en-ZA"/>
        </w:rPr>
        <w:t xml:space="preserve">A </w:t>
      </w:r>
      <w:r w:rsidR="00A71DA4">
        <w:rPr>
          <w:rFonts w:ascii="Times New Roman" w:eastAsia="Times New Roman" w:hAnsi="Times New Roman" w:cs="Times New Roman"/>
          <w:sz w:val="28"/>
          <w:szCs w:val="28"/>
          <w:lang w:val="en-US" w:eastAsia="en-ZA"/>
        </w:rPr>
        <w:t>V</w:t>
      </w:r>
      <w:r w:rsidR="00E006FF">
        <w:rPr>
          <w:rFonts w:ascii="Times New Roman" w:eastAsia="Times New Roman" w:hAnsi="Times New Roman" w:cs="Times New Roman"/>
          <w:sz w:val="28"/>
          <w:szCs w:val="28"/>
          <w:lang w:val="en-US" w:eastAsia="en-ZA"/>
        </w:rPr>
        <w:t>enter</w:t>
      </w:r>
      <w:r w:rsidR="00AD1C5F">
        <w:rPr>
          <w:rFonts w:ascii="Times New Roman" w:eastAsia="Times New Roman" w:hAnsi="Times New Roman" w:cs="Times New Roman"/>
          <w:sz w:val="28"/>
          <w:szCs w:val="28"/>
          <w:lang w:val="en-US" w:eastAsia="en-ZA"/>
        </w:rPr>
        <w:tab/>
      </w:r>
    </w:p>
    <w:p w:rsidR="0025016B" w:rsidRDefault="007103CD" w:rsidP="00061008">
      <w:pPr>
        <w:spacing w:after="0"/>
        <w:rPr>
          <w:rFonts w:ascii="Times New Roman" w:hAnsi="Times New Roman" w:cs="Times New Roman"/>
          <w:sz w:val="28"/>
          <w:szCs w:val="28"/>
        </w:rPr>
      </w:pPr>
      <w:r w:rsidRPr="00EB0FD9">
        <w:rPr>
          <w:rFonts w:ascii="Times New Roman" w:hAnsi="Times New Roman" w:cs="Times New Roman"/>
          <w:sz w:val="28"/>
          <w:szCs w:val="28"/>
        </w:rPr>
        <w:t xml:space="preserve">Attorney for </w:t>
      </w:r>
      <w:r w:rsidR="009B27D4">
        <w:rPr>
          <w:rFonts w:ascii="Times New Roman" w:hAnsi="Times New Roman" w:cs="Times New Roman"/>
          <w:sz w:val="28"/>
          <w:szCs w:val="28"/>
        </w:rPr>
        <w:t>2</w:t>
      </w:r>
      <w:r w:rsidR="009B27D4" w:rsidRPr="009B27D4">
        <w:rPr>
          <w:rFonts w:ascii="Times New Roman" w:hAnsi="Times New Roman" w:cs="Times New Roman"/>
          <w:sz w:val="28"/>
          <w:szCs w:val="28"/>
          <w:vertAlign w:val="superscript"/>
        </w:rPr>
        <w:t>nd</w:t>
      </w:r>
      <w:r w:rsidR="009B27D4">
        <w:rPr>
          <w:rFonts w:ascii="Times New Roman" w:hAnsi="Times New Roman" w:cs="Times New Roman"/>
          <w:sz w:val="28"/>
          <w:szCs w:val="28"/>
        </w:rPr>
        <w:t xml:space="preserve"> </w:t>
      </w:r>
      <w:r w:rsidR="0025016B">
        <w:rPr>
          <w:rFonts w:ascii="Times New Roman" w:hAnsi="Times New Roman" w:cs="Times New Roman"/>
          <w:sz w:val="28"/>
          <w:szCs w:val="28"/>
        </w:rPr>
        <w:t>Respondent</w:t>
      </w:r>
      <w:r w:rsidR="004F6856">
        <w:rPr>
          <w:rFonts w:ascii="Times New Roman" w:hAnsi="Times New Roman" w:cs="Times New Roman"/>
          <w:sz w:val="28"/>
          <w:szCs w:val="28"/>
        </w:rPr>
        <w:t>s</w:t>
      </w:r>
      <w:r w:rsidRPr="00EB0FD9">
        <w:rPr>
          <w:rFonts w:ascii="Times New Roman" w:hAnsi="Times New Roman" w:cs="Times New Roman"/>
          <w:sz w:val="28"/>
          <w:szCs w:val="28"/>
        </w:rPr>
        <w:t>:</w:t>
      </w:r>
      <w:r w:rsidR="007D56F1" w:rsidRPr="00EB0FD9">
        <w:rPr>
          <w:rFonts w:ascii="Times New Roman" w:hAnsi="Times New Roman" w:cs="Times New Roman"/>
          <w:sz w:val="28"/>
          <w:szCs w:val="28"/>
        </w:rPr>
        <w:tab/>
      </w:r>
      <w:r w:rsidR="00594E45">
        <w:rPr>
          <w:rFonts w:ascii="Times New Roman" w:hAnsi="Times New Roman" w:cs="Times New Roman"/>
          <w:sz w:val="28"/>
          <w:szCs w:val="28"/>
        </w:rPr>
        <w:tab/>
      </w:r>
      <w:proofErr w:type="spellStart"/>
      <w:r w:rsidR="00061008">
        <w:rPr>
          <w:rFonts w:ascii="Times New Roman" w:hAnsi="Times New Roman" w:cs="Times New Roman"/>
          <w:sz w:val="28"/>
          <w:szCs w:val="28"/>
        </w:rPr>
        <w:t>Adriaan</w:t>
      </w:r>
      <w:proofErr w:type="spellEnd"/>
      <w:r w:rsidR="00061008">
        <w:rPr>
          <w:rFonts w:ascii="Times New Roman" w:hAnsi="Times New Roman" w:cs="Times New Roman"/>
          <w:sz w:val="28"/>
          <w:szCs w:val="28"/>
        </w:rPr>
        <w:t xml:space="preserve"> Venter Attorneys</w:t>
      </w:r>
      <w:r w:rsidR="00594E45">
        <w:rPr>
          <w:rFonts w:ascii="Times New Roman" w:hAnsi="Times New Roman" w:cs="Times New Roman"/>
          <w:sz w:val="28"/>
          <w:szCs w:val="28"/>
        </w:rPr>
        <w:t>,</w:t>
      </w:r>
      <w:r w:rsidR="00061008">
        <w:rPr>
          <w:rFonts w:ascii="Times New Roman" w:hAnsi="Times New Roman" w:cs="Times New Roman"/>
          <w:sz w:val="28"/>
          <w:szCs w:val="28"/>
        </w:rPr>
        <w:t xml:space="preserve"> </w:t>
      </w:r>
      <w:r w:rsidR="00AD1C5F" w:rsidRPr="00EB0FD9">
        <w:rPr>
          <w:rFonts w:ascii="Times New Roman" w:hAnsi="Times New Roman" w:cs="Times New Roman"/>
          <w:sz w:val="28"/>
          <w:szCs w:val="28"/>
        </w:rPr>
        <w:t>Pretoria</w:t>
      </w:r>
      <w:r w:rsidR="00FA412D" w:rsidRPr="00EB0FD9">
        <w:rPr>
          <w:rFonts w:ascii="Times New Roman" w:hAnsi="Times New Roman" w:cs="Times New Roman"/>
          <w:sz w:val="28"/>
          <w:szCs w:val="28"/>
        </w:rPr>
        <w:tab/>
      </w:r>
    </w:p>
    <w:p w:rsidR="0025016B" w:rsidRDefault="0025016B" w:rsidP="00B153B1">
      <w:pPr>
        <w:spacing w:after="0"/>
        <w:rPr>
          <w:rFonts w:ascii="Times New Roman" w:hAnsi="Times New Roman" w:cs="Times New Roman"/>
          <w:sz w:val="28"/>
          <w:szCs w:val="28"/>
        </w:rPr>
      </w:pPr>
    </w:p>
    <w:p w:rsidR="008D017C" w:rsidRDefault="004F6856" w:rsidP="0025016B">
      <w:pPr>
        <w:spacing w:after="0"/>
        <w:rPr>
          <w:rFonts w:ascii="Times New Roman" w:eastAsia="Times New Roman" w:hAnsi="Times New Roman" w:cs="Times New Roman"/>
          <w:sz w:val="28"/>
          <w:szCs w:val="28"/>
          <w:lang w:val="en-US" w:eastAsia="en-ZA"/>
        </w:rPr>
      </w:pPr>
      <w:r>
        <w:rPr>
          <w:rFonts w:ascii="Times New Roman" w:eastAsia="Times New Roman" w:hAnsi="Times New Roman" w:cs="Times New Roman"/>
          <w:sz w:val="28"/>
          <w:szCs w:val="28"/>
          <w:lang w:val="en-US" w:eastAsia="en-ZA"/>
        </w:rPr>
        <w:t xml:space="preserve">For the </w:t>
      </w:r>
      <w:r w:rsidR="00A71DA4">
        <w:rPr>
          <w:rFonts w:ascii="Times New Roman" w:eastAsia="Times New Roman" w:hAnsi="Times New Roman" w:cs="Times New Roman"/>
          <w:sz w:val="28"/>
          <w:szCs w:val="28"/>
          <w:lang w:val="en-US" w:eastAsia="en-ZA"/>
        </w:rPr>
        <w:t>3</w:t>
      </w:r>
      <w:r w:rsidR="00A71DA4" w:rsidRPr="00A71DA4">
        <w:rPr>
          <w:rFonts w:ascii="Times New Roman" w:eastAsia="Times New Roman" w:hAnsi="Times New Roman" w:cs="Times New Roman"/>
          <w:sz w:val="28"/>
          <w:szCs w:val="28"/>
          <w:vertAlign w:val="superscript"/>
          <w:lang w:val="en-US" w:eastAsia="en-ZA"/>
        </w:rPr>
        <w:t>rd</w:t>
      </w:r>
      <w:r w:rsidR="00A71DA4">
        <w:rPr>
          <w:rFonts w:ascii="Times New Roman" w:eastAsia="Times New Roman" w:hAnsi="Times New Roman" w:cs="Times New Roman"/>
          <w:sz w:val="28"/>
          <w:szCs w:val="28"/>
          <w:lang w:val="en-US" w:eastAsia="en-ZA"/>
        </w:rPr>
        <w:t xml:space="preserve"> </w:t>
      </w:r>
      <w:r w:rsidR="00A71DA4">
        <w:rPr>
          <w:rFonts w:ascii="Times New Roman" w:eastAsia="Times New Roman" w:hAnsi="Times New Roman" w:cs="Times New Roman"/>
          <w:sz w:val="28"/>
          <w:szCs w:val="28"/>
          <w:lang w:val="en-US" w:eastAsia="en-ZA"/>
        </w:rPr>
        <w:tab/>
      </w:r>
      <w:r w:rsidR="0025016B">
        <w:rPr>
          <w:rFonts w:ascii="Times New Roman" w:eastAsia="Times New Roman" w:hAnsi="Times New Roman" w:cs="Times New Roman"/>
          <w:sz w:val="28"/>
          <w:szCs w:val="28"/>
          <w:lang w:val="en-US" w:eastAsia="en-ZA"/>
        </w:rPr>
        <w:t>Respondent</w:t>
      </w:r>
      <w:r>
        <w:rPr>
          <w:rFonts w:ascii="Times New Roman" w:eastAsia="Times New Roman" w:hAnsi="Times New Roman" w:cs="Times New Roman"/>
          <w:sz w:val="28"/>
          <w:szCs w:val="28"/>
          <w:lang w:val="en-US" w:eastAsia="en-ZA"/>
        </w:rPr>
        <w:t xml:space="preserve">s: </w:t>
      </w:r>
      <w:r>
        <w:rPr>
          <w:rFonts w:ascii="Times New Roman" w:eastAsia="Times New Roman" w:hAnsi="Times New Roman" w:cs="Times New Roman"/>
          <w:sz w:val="28"/>
          <w:szCs w:val="28"/>
          <w:lang w:val="en-US" w:eastAsia="en-ZA"/>
        </w:rPr>
        <w:tab/>
      </w:r>
      <w:r>
        <w:rPr>
          <w:rFonts w:ascii="Times New Roman" w:eastAsia="Times New Roman" w:hAnsi="Times New Roman" w:cs="Times New Roman"/>
          <w:sz w:val="28"/>
          <w:szCs w:val="28"/>
          <w:lang w:val="en-US" w:eastAsia="en-ZA"/>
        </w:rPr>
        <w:tab/>
      </w:r>
      <w:r w:rsidR="008D017C">
        <w:rPr>
          <w:rFonts w:ascii="Times New Roman" w:eastAsia="Times New Roman" w:hAnsi="Times New Roman" w:cs="Times New Roman"/>
          <w:sz w:val="28"/>
          <w:szCs w:val="28"/>
          <w:lang w:val="en-US" w:eastAsia="en-ZA"/>
        </w:rPr>
        <w:t xml:space="preserve">Adv. M C Erasmus SC together with </w:t>
      </w:r>
    </w:p>
    <w:p w:rsidR="0025016B" w:rsidRDefault="0025016B" w:rsidP="008D017C">
      <w:pPr>
        <w:spacing w:after="0"/>
        <w:ind w:left="3600" w:firstLine="720"/>
        <w:rPr>
          <w:rFonts w:ascii="Times New Roman" w:eastAsia="Times New Roman" w:hAnsi="Times New Roman" w:cs="Times New Roman"/>
          <w:sz w:val="28"/>
          <w:szCs w:val="28"/>
          <w:lang w:val="en-US" w:eastAsia="en-ZA"/>
        </w:rPr>
      </w:pPr>
      <w:r>
        <w:rPr>
          <w:rFonts w:ascii="Times New Roman" w:eastAsia="Times New Roman" w:hAnsi="Times New Roman" w:cs="Times New Roman"/>
          <w:sz w:val="28"/>
          <w:szCs w:val="28"/>
          <w:lang w:val="en-US" w:eastAsia="en-ZA"/>
        </w:rPr>
        <w:t>Adv.</w:t>
      </w:r>
      <w:r w:rsidR="004F6856">
        <w:rPr>
          <w:rFonts w:ascii="Times New Roman" w:eastAsia="Times New Roman" w:hAnsi="Times New Roman" w:cs="Times New Roman"/>
          <w:sz w:val="28"/>
          <w:szCs w:val="28"/>
          <w:lang w:val="en-US" w:eastAsia="en-ZA"/>
        </w:rPr>
        <w:t xml:space="preserve"> </w:t>
      </w:r>
      <w:r w:rsidR="008D017C">
        <w:rPr>
          <w:rFonts w:ascii="Times New Roman" w:eastAsia="Times New Roman" w:hAnsi="Times New Roman" w:cs="Times New Roman"/>
          <w:sz w:val="28"/>
          <w:szCs w:val="28"/>
          <w:lang w:val="en-US" w:eastAsia="en-ZA"/>
        </w:rPr>
        <w:t xml:space="preserve">D. J van </w:t>
      </w:r>
      <w:proofErr w:type="spellStart"/>
      <w:r w:rsidR="008D017C">
        <w:rPr>
          <w:rFonts w:ascii="Times New Roman" w:eastAsia="Times New Roman" w:hAnsi="Times New Roman" w:cs="Times New Roman"/>
          <w:sz w:val="28"/>
          <w:szCs w:val="28"/>
          <w:lang w:val="en-US" w:eastAsia="en-ZA"/>
        </w:rPr>
        <w:t>Heerden</w:t>
      </w:r>
      <w:proofErr w:type="spellEnd"/>
      <w:r>
        <w:rPr>
          <w:rFonts w:ascii="Times New Roman" w:eastAsia="Times New Roman" w:hAnsi="Times New Roman" w:cs="Times New Roman"/>
          <w:sz w:val="28"/>
          <w:szCs w:val="28"/>
          <w:lang w:val="en-US" w:eastAsia="en-ZA"/>
        </w:rPr>
        <w:tab/>
      </w:r>
    </w:p>
    <w:p w:rsidR="003A4D7A" w:rsidRPr="007332AE" w:rsidRDefault="0025016B" w:rsidP="00F07BEE">
      <w:pPr>
        <w:spacing w:after="0"/>
        <w:ind w:left="4320" w:hanging="4320"/>
        <w:rPr>
          <w:sz w:val="28"/>
          <w:szCs w:val="28"/>
        </w:rPr>
      </w:pPr>
      <w:r w:rsidRPr="00EB0FD9">
        <w:rPr>
          <w:rFonts w:ascii="Times New Roman" w:hAnsi="Times New Roman" w:cs="Times New Roman"/>
          <w:sz w:val="28"/>
          <w:szCs w:val="28"/>
        </w:rPr>
        <w:t xml:space="preserve">Attorney for </w:t>
      </w:r>
      <w:r>
        <w:rPr>
          <w:rFonts w:ascii="Times New Roman" w:hAnsi="Times New Roman" w:cs="Times New Roman"/>
          <w:sz w:val="28"/>
          <w:szCs w:val="28"/>
        </w:rPr>
        <w:t>3</w:t>
      </w:r>
      <w:r w:rsidRPr="0025016B">
        <w:rPr>
          <w:rFonts w:ascii="Times New Roman" w:hAnsi="Times New Roman" w:cs="Times New Roman"/>
          <w:sz w:val="28"/>
          <w:szCs w:val="28"/>
          <w:vertAlign w:val="superscript"/>
        </w:rPr>
        <w:t>rd</w:t>
      </w:r>
      <w:r>
        <w:rPr>
          <w:rFonts w:ascii="Times New Roman" w:hAnsi="Times New Roman" w:cs="Times New Roman"/>
          <w:sz w:val="28"/>
          <w:szCs w:val="28"/>
        </w:rPr>
        <w:t xml:space="preserve"> Respondent</w:t>
      </w:r>
      <w:r w:rsidR="004F6856">
        <w:rPr>
          <w:rFonts w:ascii="Times New Roman" w:hAnsi="Times New Roman" w:cs="Times New Roman"/>
          <w:sz w:val="28"/>
          <w:szCs w:val="28"/>
        </w:rPr>
        <w:t>s</w:t>
      </w:r>
      <w:r w:rsidRPr="00EB0FD9">
        <w:rPr>
          <w:rFonts w:ascii="Times New Roman" w:hAnsi="Times New Roman" w:cs="Times New Roman"/>
          <w:sz w:val="28"/>
          <w:szCs w:val="28"/>
        </w:rPr>
        <w:t>:</w:t>
      </w:r>
      <w:r>
        <w:rPr>
          <w:rFonts w:ascii="Times New Roman" w:hAnsi="Times New Roman" w:cs="Times New Roman"/>
          <w:sz w:val="28"/>
          <w:szCs w:val="28"/>
        </w:rPr>
        <w:tab/>
      </w:r>
      <w:proofErr w:type="spellStart"/>
      <w:r w:rsidR="008D017C">
        <w:rPr>
          <w:rFonts w:ascii="Times New Roman" w:hAnsi="Times New Roman" w:cs="Times New Roman"/>
          <w:sz w:val="28"/>
          <w:szCs w:val="28"/>
        </w:rPr>
        <w:t>Weavind</w:t>
      </w:r>
      <w:proofErr w:type="spellEnd"/>
      <w:r w:rsidR="008D017C">
        <w:rPr>
          <w:rFonts w:ascii="Times New Roman" w:hAnsi="Times New Roman" w:cs="Times New Roman"/>
          <w:sz w:val="28"/>
          <w:szCs w:val="28"/>
        </w:rPr>
        <w:t xml:space="preserve"> &amp; </w:t>
      </w:r>
      <w:proofErr w:type="spellStart"/>
      <w:r w:rsidR="008D017C">
        <w:rPr>
          <w:rFonts w:ascii="Times New Roman" w:hAnsi="Times New Roman" w:cs="Times New Roman"/>
          <w:sz w:val="28"/>
          <w:szCs w:val="28"/>
        </w:rPr>
        <w:t>Weavind</w:t>
      </w:r>
      <w:proofErr w:type="spellEnd"/>
      <w:r w:rsidR="008D017C">
        <w:rPr>
          <w:rFonts w:ascii="Times New Roman" w:hAnsi="Times New Roman" w:cs="Times New Roman"/>
          <w:sz w:val="28"/>
          <w:szCs w:val="28"/>
        </w:rPr>
        <w:t xml:space="preserve"> Attorneys,</w:t>
      </w:r>
      <w:r w:rsidR="00061008">
        <w:rPr>
          <w:rFonts w:ascii="Times New Roman" w:hAnsi="Times New Roman" w:cs="Times New Roman"/>
          <w:sz w:val="28"/>
          <w:szCs w:val="28"/>
        </w:rPr>
        <w:t xml:space="preserve"> </w:t>
      </w:r>
      <w:r>
        <w:rPr>
          <w:rFonts w:ascii="Times New Roman" w:hAnsi="Times New Roman" w:cs="Times New Roman"/>
          <w:sz w:val="28"/>
          <w:szCs w:val="28"/>
        </w:rPr>
        <w:t>Pretoria</w:t>
      </w:r>
    </w:p>
    <w:sectPr w:rsidR="003A4D7A" w:rsidRPr="007332A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83D" w:rsidRDefault="0090483D" w:rsidP="00AA0559">
      <w:pPr>
        <w:spacing w:after="0" w:line="240" w:lineRule="auto"/>
      </w:pPr>
      <w:r>
        <w:separator/>
      </w:r>
    </w:p>
  </w:endnote>
  <w:endnote w:type="continuationSeparator" w:id="0">
    <w:p w:rsidR="0090483D" w:rsidRDefault="0090483D" w:rsidP="00AA0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83D" w:rsidRDefault="0090483D" w:rsidP="00AA0559">
      <w:pPr>
        <w:spacing w:after="0" w:line="240" w:lineRule="auto"/>
      </w:pPr>
      <w:r>
        <w:separator/>
      </w:r>
    </w:p>
  </w:footnote>
  <w:footnote w:type="continuationSeparator" w:id="0">
    <w:p w:rsidR="0090483D" w:rsidRDefault="0090483D" w:rsidP="00AA0559">
      <w:pPr>
        <w:spacing w:after="0" w:line="240" w:lineRule="auto"/>
      </w:pPr>
      <w:r>
        <w:continuationSeparator/>
      </w:r>
    </w:p>
  </w:footnote>
  <w:footnote w:id="1">
    <w:p w:rsidR="00D07A8C" w:rsidRPr="00383FD4" w:rsidRDefault="00D07A8C">
      <w:pPr>
        <w:pStyle w:val="FootnoteText"/>
        <w:rPr>
          <w:lang w:val="en-US"/>
        </w:rPr>
      </w:pPr>
      <w:r>
        <w:rPr>
          <w:rStyle w:val="FootnoteReference"/>
        </w:rPr>
        <w:footnoteRef/>
      </w:r>
      <w:r>
        <w:t xml:space="preserve"> </w:t>
      </w:r>
      <w:r w:rsidRPr="00B11647">
        <w:rPr>
          <w:i/>
          <w:lang w:val="en-US"/>
        </w:rPr>
        <w:t>Affirmative Portfolios CC v Transnet t/a Metrorail</w:t>
      </w:r>
      <w:r>
        <w:rPr>
          <w:lang w:val="en-US"/>
        </w:rPr>
        <w:t xml:space="preserve"> 2009 (1) SA 196 (SCA) at [15] and </w:t>
      </w:r>
      <w:r w:rsidRPr="00B11647">
        <w:rPr>
          <w:i/>
          <w:lang w:val="en-US"/>
        </w:rPr>
        <w:t xml:space="preserve">Natal Joint Municipal Pension Fund v </w:t>
      </w:r>
      <w:proofErr w:type="spellStart"/>
      <w:r w:rsidRPr="00B11647">
        <w:rPr>
          <w:i/>
          <w:lang w:val="en-US"/>
        </w:rPr>
        <w:t>Endumeni</w:t>
      </w:r>
      <w:proofErr w:type="spellEnd"/>
      <w:r w:rsidRPr="00B11647">
        <w:rPr>
          <w:i/>
          <w:lang w:val="en-US"/>
        </w:rPr>
        <w:t xml:space="preserve"> Municipality</w:t>
      </w:r>
      <w:r>
        <w:rPr>
          <w:lang w:val="en-US"/>
        </w:rPr>
        <w:t xml:space="preserve"> 2012 (4) SA 593 (SCA) at [18] and [19] and </w:t>
      </w:r>
      <w:r w:rsidRPr="00B11647">
        <w:rPr>
          <w:i/>
          <w:lang w:val="en-US"/>
        </w:rPr>
        <w:t>University of Johannesburg v A</w:t>
      </w:r>
      <w:r w:rsidR="00B11647">
        <w:rPr>
          <w:i/>
          <w:lang w:val="en-US"/>
        </w:rPr>
        <w:t>uckland Park Th</w:t>
      </w:r>
      <w:r w:rsidRPr="00B11647">
        <w:rPr>
          <w:i/>
          <w:lang w:val="en-US"/>
        </w:rPr>
        <w:t>e</w:t>
      </w:r>
      <w:r w:rsidR="00B11647">
        <w:rPr>
          <w:i/>
          <w:lang w:val="en-US"/>
        </w:rPr>
        <w:t>o</w:t>
      </w:r>
      <w:r w:rsidRPr="00B11647">
        <w:rPr>
          <w:i/>
          <w:lang w:val="en-US"/>
        </w:rPr>
        <w:t xml:space="preserve">logical </w:t>
      </w:r>
      <w:r w:rsidR="00B11647" w:rsidRPr="00B11647">
        <w:rPr>
          <w:i/>
          <w:lang w:val="en-US"/>
        </w:rPr>
        <w:t>Seminary</w:t>
      </w:r>
      <w:r>
        <w:rPr>
          <w:lang w:val="en-US"/>
        </w:rPr>
        <w:t xml:space="preserve"> 2021 (6) SA 1 (CC).</w:t>
      </w:r>
    </w:p>
  </w:footnote>
  <w:footnote w:id="2">
    <w:p w:rsidR="00D07A8C" w:rsidRPr="008E6EE9" w:rsidRDefault="00D07A8C">
      <w:pPr>
        <w:pStyle w:val="FootnoteText"/>
        <w:rPr>
          <w:lang w:val="en-US"/>
        </w:rPr>
      </w:pPr>
      <w:r>
        <w:rPr>
          <w:rStyle w:val="FootnoteReference"/>
        </w:rPr>
        <w:footnoteRef/>
      </w:r>
      <w:r>
        <w:t xml:space="preserve"> </w:t>
      </w:r>
      <w:proofErr w:type="spellStart"/>
      <w:r w:rsidR="00835404" w:rsidRPr="00835404">
        <w:rPr>
          <w:i/>
        </w:rPr>
        <w:t>Plascon</w:t>
      </w:r>
      <w:proofErr w:type="spellEnd"/>
      <w:r w:rsidR="00835404" w:rsidRPr="00835404">
        <w:rPr>
          <w:i/>
        </w:rPr>
        <w:t xml:space="preserve">-Evan Points Ltd v Van </w:t>
      </w:r>
      <w:proofErr w:type="spellStart"/>
      <w:r w:rsidR="00835404" w:rsidRPr="00835404">
        <w:rPr>
          <w:i/>
        </w:rPr>
        <w:t>Rebeeck</w:t>
      </w:r>
      <w:proofErr w:type="spellEnd"/>
      <w:r w:rsidR="00835404" w:rsidRPr="00835404">
        <w:rPr>
          <w:i/>
        </w:rPr>
        <w:t xml:space="preserve"> Paints (Pty) Ltd</w:t>
      </w:r>
      <w:r w:rsidR="00835404">
        <w:t xml:space="preserve"> 1984 (3) SA 623 (A) at 634E – 635D and </w:t>
      </w:r>
      <w:r w:rsidR="00835404" w:rsidRPr="00835404">
        <w:rPr>
          <w:i/>
        </w:rPr>
        <w:t>NDPP v Zuma</w:t>
      </w:r>
      <w:r w:rsidR="00835404">
        <w:t xml:space="preserve"> 2009 (2) SA 277 (SCA) at [26].</w:t>
      </w:r>
    </w:p>
  </w:footnote>
  <w:footnote w:id="3">
    <w:p w:rsidR="003B3CB4" w:rsidRPr="003B3CB4" w:rsidRDefault="003B3CB4">
      <w:pPr>
        <w:pStyle w:val="FootnoteText"/>
        <w:rPr>
          <w:lang w:val="en-US"/>
        </w:rPr>
      </w:pPr>
      <w:r>
        <w:rPr>
          <w:rStyle w:val="FootnoteReference"/>
        </w:rPr>
        <w:footnoteRef/>
      </w:r>
      <w:r>
        <w:t xml:space="preserve"> </w:t>
      </w:r>
      <w:r w:rsidR="00136448">
        <w:t xml:space="preserve">See: </w:t>
      </w:r>
      <w:proofErr w:type="spellStart"/>
      <w:r w:rsidR="00136448" w:rsidRPr="00136448">
        <w:rPr>
          <w:i/>
        </w:rPr>
        <w:t>Hagnes</w:t>
      </w:r>
      <w:proofErr w:type="spellEnd"/>
      <w:r w:rsidR="00136448" w:rsidRPr="00136448">
        <w:rPr>
          <w:i/>
        </w:rPr>
        <w:t xml:space="preserve"> v King Williamstown Municipality</w:t>
      </w:r>
      <w:r w:rsidR="00136448">
        <w:t xml:space="preserve"> 1951 (2) SA 371 (A) at 398: “</w:t>
      </w:r>
      <w:r w:rsidR="00136448" w:rsidRPr="00136448">
        <w:rPr>
          <w:i/>
        </w:rPr>
        <w:t>although a court will as far as possible give effect to a plaintiff’s choice to claim specific performance, it has a discretion in a fitting case to refuse to decree specific performance and leave the plaintiff to claim and prove his id quod interest</w:t>
      </w:r>
      <w:r w:rsidR="00136448">
        <w:t xml:space="preserve">”.  See also </w:t>
      </w:r>
      <w:r w:rsidR="00136448" w:rsidRPr="00136448">
        <w:rPr>
          <w:i/>
        </w:rPr>
        <w:t>Benson v SA Mutual Life Assurance Society</w:t>
      </w:r>
      <w:r w:rsidR="00136448">
        <w:t xml:space="preserve"> 1986 (1) SA 776 (A) at 781 H-I. </w:t>
      </w:r>
    </w:p>
  </w:footnote>
  <w:footnote w:id="4">
    <w:p w:rsidR="003B3CB4" w:rsidRPr="003B3CB4" w:rsidRDefault="003B3CB4">
      <w:pPr>
        <w:pStyle w:val="FootnoteText"/>
        <w:rPr>
          <w:lang w:val="en-US"/>
        </w:rPr>
      </w:pPr>
      <w:r>
        <w:rPr>
          <w:rStyle w:val="FootnoteReference"/>
        </w:rPr>
        <w:footnoteRef/>
      </w:r>
      <w:r>
        <w:t xml:space="preserve"> </w:t>
      </w:r>
      <w:r w:rsidR="00136448">
        <w:t xml:space="preserve">See </w:t>
      </w:r>
      <w:r w:rsidR="00136448" w:rsidRPr="00297891">
        <w:rPr>
          <w:i/>
        </w:rPr>
        <w:t>Benson’s-case</w:t>
      </w:r>
      <w:r w:rsidR="00136448">
        <w:t xml:space="preserve"> above at 783 C-D and </w:t>
      </w:r>
      <w:r w:rsidR="00136448" w:rsidRPr="00297891">
        <w:rPr>
          <w:i/>
        </w:rPr>
        <w:t>ISEP Structural Engineering and Planting (Pty) Ltd v Inland Exploration Co (Pty) Ltd</w:t>
      </w:r>
      <w:r w:rsidR="00136448">
        <w:t xml:space="preserve"> 1981 (4) SA 1 (A) at 5 E-H.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4353984"/>
      <w:docPartObj>
        <w:docPartGallery w:val="Page Numbers (Top of Page)"/>
        <w:docPartUnique/>
      </w:docPartObj>
    </w:sdtPr>
    <w:sdtEndPr>
      <w:rPr>
        <w:noProof/>
      </w:rPr>
    </w:sdtEndPr>
    <w:sdtContent>
      <w:p w:rsidR="00D07A8C" w:rsidRDefault="00D07A8C">
        <w:pPr>
          <w:pStyle w:val="Header"/>
          <w:jc w:val="right"/>
        </w:pPr>
        <w:r>
          <w:fldChar w:fldCharType="begin"/>
        </w:r>
        <w:r>
          <w:instrText xml:space="preserve"> PAGE   \* MERGEFORMAT </w:instrText>
        </w:r>
        <w:r>
          <w:fldChar w:fldCharType="separate"/>
        </w:r>
        <w:r w:rsidR="00073A85">
          <w:rPr>
            <w:noProof/>
          </w:rPr>
          <w:t>33</w:t>
        </w:r>
        <w:r>
          <w:rPr>
            <w:noProof/>
          </w:rPr>
          <w:fldChar w:fldCharType="end"/>
        </w:r>
      </w:p>
    </w:sdtContent>
  </w:sdt>
  <w:p w:rsidR="00D07A8C" w:rsidRDefault="00D07A8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D1F8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6741FF"/>
    <w:multiLevelType w:val="multilevel"/>
    <w:tmpl w:val="4A46C2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95A7A26"/>
    <w:multiLevelType w:val="hybridMultilevel"/>
    <w:tmpl w:val="26782190"/>
    <w:lvl w:ilvl="0" w:tplc="45506462">
      <w:start w:val="1"/>
      <w:numFmt w:val="decimal"/>
      <w:pStyle w:val="MEMONUMBERED"/>
      <w:lvlText w:val="[%1]"/>
      <w:lvlJc w:val="left"/>
      <w:rPr>
        <w:rFonts w:ascii="Times New Roman" w:hAnsi="Times New Roman" w:cs="Times New Roman" w:hint="default"/>
        <w:b w:val="0"/>
        <w:i w:val="0"/>
        <w:caps w:val="0"/>
        <w:strike w:val="0"/>
        <w:dstrike w:val="0"/>
        <w:vanish w:val="0"/>
        <w:color w:val="auto"/>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27B0D4B0">
      <w:start w:val="1"/>
      <w:numFmt w:val="lowerLetter"/>
      <w:lvlText w:val="%2."/>
      <w:lvlJc w:val="left"/>
      <w:pPr>
        <w:ind w:left="5782" w:hanging="360"/>
      </w:pPr>
      <w:rPr>
        <w:rFonts w:cs="Times New Roman"/>
      </w:rPr>
    </w:lvl>
    <w:lvl w:ilvl="2" w:tplc="0409001B">
      <w:start w:val="1"/>
      <w:numFmt w:val="lowerRoman"/>
      <w:lvlText w:val="%3."/>
      <w:lvlJc w:val="right"/>
      <w:pPr>
        <w:ind w:left="6447" w:hanging="180"/>
      </w:pPr>
      <w:rPr>
        <w:rFonts w:cs="Times New Roman"/>
      </w:rPr>
    </w:lvl>
    <w:lvl w:ilvl="3" w:tplc="EE864DE6">
      <w:start w:val="1"/>
      <w:numFmt w:val="decimal"/>
      <w:lvlText w:val="%4."/>
      <w:lvlJc w:val="left"/>
      <w:pPr>
        <w:ind w:left="4647" w:hanging="360"/>
      </w:pPr>
      <w:rPr>
        <w:rFonts w:ascii="Arial" w:hAnsi="Arial" w:cs="Arial" w:hint="default"/>
        <w:strike w:val="0"/>
      </w:rPr>
    </w:lvl>
    <w:lvl w:ilvl="4" w:tplc="04090019">
      <w:start w:val="1"/>
      <w:numFmt w:val="lowerLetter"/>
      <w:lvlText w:val="%5."/>
      <w:lvlJc w:val="left"/>
      <w:pPr>
        <w:ind w:left="7887" w:hanging="360"/>
      </w:pPr>
      <w:rPr>
        <w:rFonts w:cs="Times New Roman"/>
      </w:rPr>
    </w:lvl>
    <w:lvl w:ilvl="5" w:tplc="0409001B">
      <w:start w:val="1"/>
      <w:numFmt w:val="lowerRoman"/>
      <w:lvlText w:val="%6."/>
      <w:lvlJc w:val="right"/>
      <w:pPr>
        <w:ind w:left="8607" w:hanging="180"/>
      </w:pPr>
      <w:rPr>
        <w:rFonts w:cs="Times New Roman"/>
      </w:rPr>
    </w:lvl>
    <w:lvl w:ilvl="6" w:tplc="0409000F">
      <w:start w:val="1"/>
      <w:numFmt w:val="decimal"/>
      <w:lvlText w:val="%7."/>
      <w:lvlJc w:val="left"/>
      <w:pPr>
        <w:ind w:left="9327" w:hanging="360"/>
      </w:pPr>
      <w:rPr>
        <w:rFonts w:cs="Times New Roman"/>
      </w:rPr>
    </w:lvl>
    <w:lvl w:ilvl="7" w:tplc="04090019">
      <w:start w:val="1"/>
      <w:numFmt w:val="lowerLetter"/>
      <w:lvlText w:val="%8."/>
      <w:lvlJc w:val="left"/>
      <w:pPr>
        <w:ind w:left="10047" w:hanging="360"/>
      </w:pPr>
      <w:rPr>
        <w:rFonts w:cs="Times New Roman"/>
      </w:rPr>
    </w:lvl>
    <w:lvl w:ilvl="8" w:tplc="DC96EED0">
      <w:start w:val="1"/>
      <w:numFmt w:val="bullet"/>
      <w:lvlText w:val="-"/>
      <w:lvlJc w:val="left"/>
      <w:pPr>
        <w:ind w:left="10947" w:hanging="360"/>
      </w:pPr>
      <w:rPr>
        <w:rFonts w:ascii="Times New Roman" w:eastAsia="Times New Roman" w:hAnsi="Times New Roman" w:cs="Times New Roman" w:hint="default"/>
      </w:rPr>
    </w:lvl>
  </w:abstractNum>
  <w:abstractNum w:abstractNumId="3" w15:restartNumberingAfterBreak="0">
    <w:nsid w:val="0D675B98"/>
    <w:multiLevelType w:val="hybridMultilevel"/>
    <w:tmpl w:val="75E69B64"/>
    <w:lvl w:ilvl="0" w:tplc="8B8E2A48">
      <w:start w:val="5"/>
      <w:numFmt w:val="bullet"/>
      <w:lvlText w:val="-"/>
      <w:lvlJc w:val="left"/>
      <w:pPr>
        <w:ind w:left="1069" w:hanging="360"/>
      </w:pPr>
      <w:rPr>
        <w:rFonts w:ascii="Times New Roman" w:eastAsia="Times New Roman" w:hAnsi="Times New Roman" w:cs="Times New Roman"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4" w15:restartNumberingAfterBreak="0">
    <w:nsid w:val="14A073D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991A7D"/>
    <w:multiLevelType w:val="hybridMultilevel"/>
    <w:tmpl w:val="EC88C19A"/>
    <w:lvl w:ilvl="0" w:tplc="1C09000F">
      <w:start w:val="1"/>
      <w:numFmt w:val="decimal"/>
      <w:lvlText w:val="%1."/>
      <w:lvlJc w:val="left"/>
      <w:pPr>
        <w:ind w:left="2880" w:hanging="360"/>
      </w:p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6" w15:restartNumberingAfterBreak="0">
    <w:nsid w:val="1C272C3A"/>
    <w:multiLevelType w:val="hybridMultilevel"/>
    <w:tmpl w:val="38208326"/>
    <w:lvl w:ilvl="0" w:tplc="A5ECECAC">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7" w15:restartNumberingAfterBreak="0">
    <w:nsid w:val="1D480AD9"/>
    <w:multiLevelType w:val="hybridMultilevel"/>
    <w:tmpl w:val="C0168784"/>
    <w:lvl w:ilvl="0" w:tplc="723A76BE">
      <w:start w:val="17"/>
      <w:numFmt w:val="decimal"/>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8" w15:restartNumberingAfterBreak="0">
    <w:nsid w:val="2A327FAA"/>
    <w:multiLevelType w:val="hybridMultilevel"/>
    <w:tmpl w:val="B49A0904"/>
    <w:lvl w:ilvl="0" w:tplc="0D6435A8">
      <w:start w:val="2"/>
      <w:numFmt w:val="bullet"/>
      <w:lvlText w:val="-"/>
      <w:lvlJc w:val="left"/>
      <w:pPr>
        <w:ind w:left="1069" w:hanging="360"/>
      </w:pPr>
      <w:rPr>
        <w:rFonts w:ascii="Times New Roman" w:eastAsia="Times New Roman" w:hAnsi="Times New Roman" w:cs="Times New Roman"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9" w15:restartNumberingAfterBreak="0">
    <w:nsid w:val="2BCE49EB"/>
    <w:multiLevelType w:val="multilevel"/>
    <w:tmpl w:val="2056056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1A4269F"/>
    <w:multiLevelType w:val="multilevel"/>
    <w:tmpl w:val="DC8680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1B53C9B"/>
    <w:multiLevelType w:val="hybridMultilevel"/>
    <w:tmpl w:val="7B46BD94"/>
    <w:lvl w:ilvl="0" w:tplc="DC96EED0">
      <w:start w:val="1"/>
      <w:numFmt w:val="bullet"/>
      <w:lvlText w:val="-"/>
      <w:lvlJc w:val="left"/>
      <w:pPr>
        <w:ind w:left="1429" w:hanging="360"/>
      </w:pPr>
      <w:rPr>
        <w:rFonts w:ascii="Times New Roman" w:eastAsia="Times New Roman" w:hAnsi="Times New Roman" w:cs="Times New Roman"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2" w15:restartNumberingAfterBreak="0">
    <w:nsid w:val="3A3000E9"/>
    <w:multiLevelType w:val="hybridMultilevel"/>
    <w:tmpl w:val="5266AC7A"/>
    <w:lvl w:ilvl="0" w:tplc="DC96EED0">
      <w:start w:val="1"/>
      <w:numFmt w:val="bullet"/>
      <w:lvlText w:val="-"/>
      <w:lvlJc w:val="left"/>
      <w:pPr>
        <w:ind w:left="1429" w:hanging="360"/>
      </w:pPr>
      <w:rPr>
        <w:rFonts w:ascii="Times New Roman" w:eastAsia="Times New Roman" w:hAnsi="Times New Roman" w:cs="Times New Roman"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3" w15:restartNumberingAfterBreak="0">
    <w:nsid w:val="3C637287"/>
    <w:multiLevelType w:val="hybridMultilevel"/>
    <w:tmpl w:val="931C2EEC"/>
    <w:lvl w:ilvl="0" w:tplc="9D5A1784">
      <w:start w:val="1"/>
      <w:numFmt w:val="lowerLetter"/>
      <w:lvlText w:val="(%1)"/>
      <w:lvlJc w:val="left"/>
      <w:pPr>
        <w:ind w:left="2159" w:hanging="360"/>
      </w:pPr>
      <w:rPr>
        <w:rFonts w:hint="default"/>
      </w:rPr>
    </w:lvl>
    <w:lvl w:ilvl="1" w:tplc="1C090019" w:tentative="1">
      <w:start w:val="1"/>
      <w:numFmt w:val="lowerLetter"/>
      <w:lvlText w:val="%2."/>
      <w:lvlJc w:val="left"/>
      <w:pPr>
        <w:ind w:left="2879" w:hanging="360"/>
      </w:pPr>
    </w:lvl>
    <w:lvl w:ilvl="2" w:tplc="1C09001B" w:tentative="1">
      <w:start w:val="1"/>
      <w:numFmt w:val="lowerRoman"/>
      <w:lvlText w:val="%3."/>
      <w:lvlJc w:val="right"/>
      <w:pPr>
        <w:ind w:left="3599" w:hanging="180"/>
      </w:pPr>
    </w:lvl>
    <w:lvl w:ilvl="3" w:tplc="1C09000F" w:tentative="1">
      <w:start w:val="1"/>
      <w:numFmt w:val="decimal"/>
      <w:lvlText w:val="%4."/>
      <w:lvlJc w:val="left"/>
      <w:pPr>
        <w:ind w:left="4319" w:hanging="360"/>
      </w:pPr>
    </w:lvl>
    <w:lvl w:ilvl="4" w:tplc="1C090019" w:tentative="1">
      <w:start w:val="1"/>
      <w:numFmt w:val="lowerLetter"/>
      <w:lvlText w:val="%5."/>
      <w:lvlJc w:val="left"/>
      <w:pPr>
        <w:ind w:left="5039" w:hanging="360"/>
      </w:pPr>
    </w:lvl>
    <w:lvl w:ilvl="5" w:tplc="1C09001B" w:tentative="1">
      <w:start w:val="1"/>
      <w:numFmt w:val="lowerRoman"/>
      <w:lvlText w:val="%6."/>
      <w:lvlJc w:val="right"/>
      <w:pPr>
        <w:ind w:left="5759" w:hanging="180"/>
      </w:pPr>
    </w:lvl>
    <w:lvl w:ilvl="6" w:tplc="1C09000F" w:tentative="1">
      <w:start w:val="1"/>
      <w:numFmt w:val="decimal"/>
      <w:lvlText w:val="%7."/>
      <w:lvlJc w:val="left"/>
      <w:pPr>
        <w:ind w:left="6479" w:hanging="360"/>
      </w:pPr>
    </w:lvl>
    <w:lvl w:ilvl="7" w:tplc="1C090019" w:tentative="1">
      <w:start w:val="1"/>
      <w:numFmt w:val="lowerLetter"/>
      <w:lvlText w:val="%8."/>
      <w:lvlJc w:val="left"/>
      <w:pPr>
        <w:ind w:left="7199" w:hanging="360"/>
      </w:pPr>
    </w:lvl>
    <w:lvl w:ilvl="8" w:tplc="1C09001B" w:tentative="1">
      <w:start w:val="1"/>
      <w:numFmt w:val="lowerRoman"/>
      <w:lvlText w:val="%9."/>
      <w:lvlJc w:val="right"/>
      <w:pPr>
        <w:ind w:left="7919" w:hanging="180"/>
      </w:pPr>
    </w:lvl>
  </w:abstractNum>
  <w:abstractNum w:abstractNumId="14" w15:restartNumberingAfterBreak="0">
    <w:nsid w:val="3FE7309D"/>
    <w:multiLevelType w:val="multilevel"/>
    <w:tmpl w:val="51D610EE"/>
    <w:lvl w:ilvl="0">
      <w:start w:val="2"/>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15" w15:restartNumberingAfterBreak="0">
    <w:nsid w:val="41CD28CD"/>
    <w:multiLevelType w:val="hybridMultilevel"/>
    <w:tmpl w:val="FB5CA466"/>
    <w:lvl w:ilvl="0" w:tplc="1C09000F">
      <w:start w:val="1"/>
      <w:numFmt w:val="decimal"/>
      <w:lvlText w:val="%1."/>
      <w:lvlJc w:val="left"/>
      <w:pPr>
        <w:ind w:left="1211" w:hanging="360"/>
      </w:p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6" w15:restartNumberingAfterBreak="0">
    <w:nsid w:val="421D1B27"/>
    <w:multiLevelType w:val="multilevel"/>
    <w:tmpl w:val="AF5494B6"/>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4535E63"/>
    <w:multiLevelType w:val="multilevel"/>
    <w:tmpl w:val="8D8464A4"/>
    <w:lvl w:ilvl="0">
      <w:start w:val="1"/>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18" w15:restartNumberingAfterBreak="0">
    <w:nsid w:val="452D17F8"/>
    <w:multiLevelType w:val="multilevel"/>
    <w:tmpl w:val="0AC449F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8687758"/>
    <w:multiLevelType w:val="hybridMultilevel"/>
    <w:tmpl w:val="DA8A72BC"/>
    <w:lvl w:ilvl="0" w:tplc="FF1687D8">
      <w:start w:val="1"/>
      <w:numFmt w:val="decimal"/>
      <w:lvlText w:val="%1."/>
      <w:lvlJc w:val="left"/>
      <w:pPr>
        <w:ind w:left="2138" w:hanging="360"/>
      </w:pPr>
      <w:rPr>
        <w:rFonts w:hint="default"/>
      </w:rPr>
    </w:lvl>
    <w:lvl w:ilvl="1" w:tplc="1C090019" w:tentative="1">
      <w:start w:val="1"/>
      <w:numFmt w:val="lowerLetter"/>
      <w:lvlText w:val="%2."/>
      <w:lvlJc w:val="left"/>
      <w:pPr>
        <w:ind w:left="2858" w:hanging="360"/>
      </w:pPr>
    </w:lvl>
    <w:lvl w:ilvl="2" w:tplc="1C09001B" w:tentative="1">
      <w:start w:val="1"/>
      <w:numFmt w:val="lowerRoman"/>
      <w:lvlText w:val="%3."/>
      <w:lvlJc w:val="right"/>
      <w:pPr>
        <w:ind w:left="3578" w:hanging="180"/>
      </w:pPr>
    </w:lvl>
    <w:lvl w:ilvl="3" w:tplc="1C09000F" w:tentative="1">
      <w:start w:val="1"/>
      <w:numFmt w:val="decimal"/>
      <w:lvlText w:val="%4."/>
      <w:lvlJc w:val="left"/>
      <w:pPr>
        <w:ind w:left="4298" w:hanging="360"/>
      </w:pPr>
    </w:lvl>
    <w:lvl w:ilvl="4" w:tplc="1C090019" w:tentative="1">
      <w:start w:val="1"/>
      <w:numFmt w:val="lowerLetter"/>
      <w:lvlText w:val="%5."/>
      <w:lvlJc w:val="left"/>
      <w:pPr>
        <w:ind w:left="5018" w:hanging="360"/>
      </w:pPr>
    </w:lvl>
    <w:lvl w:ilvl="5" w:tplc="1C09001B" w:tentative="1">
      <w:start w:val="1"/>
      <w:numFmt w:val="lowerRoman"/>
      <w:lvlText w:val="%6."/>
      <w:lvlJc w:val="right"/>
      <w:pPr>
        <w:ind w:left="5738" w:hanging="180"/>
      </w:pPr>
    </w:lvl>
    <w:lvl w:ilvl="6" w:tplc="1C09000F" w:tentative="1">
      <w:start w:val="1"/>
      <w:numFmt w:val="decimal"/>
      <w:lvlText w:val="%7."/>
      <w:lvlJc w:val="left"/>
      <w:pPr>
        <w:ind w:left="6458" w:hanging="360"/>
      </w:pPr>
    </w:lvl>
    <w:lvl w:ilvl="7" w:tplc="1C090019" w:tentative="1">
      <w:start w:val="1"/>
      <w:numFmt w:val="lowerLetter"/>
      <w:lvlText w:val="%8."/>
      <w:lvlJc w:val="left"/>
      <w:pPr>
        <w:ind w:left="7178" w:hanging="360"/>
      </w:pPr>
    </w:lvl>
    <w:lvl w:ilvl="8" w:tplc="1C09001B" w:tentative="1">
      <w:start w:val="1"/>
      <w:numFmt w:val="lowerRoman"/>
      <w:lvlText w:val="%9."/>
      <w:lvlJc w:val="right"/>
      <w:pPr>
        <w:ind w:left="7898" w:hanging="180"/>
      </w:pPr>
    </w:lvl>
  </w:abstractNum>
  <w:abstractNum w:abstractNumId="20" w15:restartNumberingAfterBreak="0">
    <w:nsid w:val="48D552ED"/>
    <w:multiLevelType w:val="multilevel"/>
    <w:tmpl w:val="0AC449F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C9414B6"/>
    <w:multiLevelType w:val="hybridMultilevel"/>
    <w:tmpl w:val="425C2F30"/>
    <w:lvl w:ilvl="0" w:tplc="2818AC6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52B537FB"/>
    <w:multiLevelType w:val="hybridMultilevel"/>
    <w:tmpl w:val="2BE200EA"/>
    <w:lvl w:ilvl="0" w:tplc="288AA518">
      <w:start w:val="1"/>
      <w:numFmt w:val="decimal"/>
      <w:lvlText w:val="(%1)"/>
      <w:lvlJc w:val="left"/>
      <w:pPr>
        <w:ind w:left="1799" w:hanging="360"/>
      </w:pPr>
      <w:rPr>
        <w:rFonts w:hint="default"/>
      </w:rPr>
    </w:lvl>
    <w:lvl w:ilvl="1" w:tplc="1C090019" w:tentative="1">
      <w:start w:val="1"/>
      <w:numFmt w:val="lowerLetter"/>
      <w:lvlText w:val="%2."/>
      <w:lvlJc w:val="left"/>
      <w:pPr>
        <w:ind w:left="2519" w:hanging="360"/>
      </w:pPr>
    </w:lvl>
    <w:lvl w:ilvl="2" w:tplc="1C09001B" w:tentative="1">
      <w:start w:val="1"/>
      <w:numFmt w:val="lowerRoman"/>
      <w:lvlText w:val="%3."/>
      <w:lvlJc w:val="right"/>
      <w:pPr>
        <w:ind w:left="3239" w:hanging="180"/>
      </w:pPr>
    </w:lvl>
    <w:lvl w:ilvl="3" w:tplc="1C09000F" w:tentative="1">
      <w:start w:val="1"/>
      <w:numFmt w:val="decimal"/>
      <w:lvlText w:val="%4."/>
      <w:lvlJc w:val="left"/>
      <w:pPr>
        <w:ind w:left="3959" w:hanging="360"/>
      </w:pPr>
    </w:lvl>
    <w:lvl w:ilvl="4" w:tplc="1C090019" w:tentative="1">
      <w:start w:val="1"/>
      <w:numFmt w:val="lowerLetter"/>
      <w:lvlText w:val="%5."/>
      <w:lvlJc w:val="left"/>
      <w:pPr>
        <w:ind w:left="4679" w:hanging="360"/>
      </w:pPr>
    </w:lvl>
    <w:lvl w:ilvl="5" w:tplc="1C09001B" w:tentative="1">
      <w:start w:val="1"/>
      <w:numFmt w:val="lowerRoman"/>
      <w:lvlText w:val="%6."/>
      <w:lvlJc w:val="right"/>
      <w:pPr>
        <w:ind w:left="5399" w:hanging="180"/>
      </w:pPr>
    </w:lvl>
    <w:lvl w:ilvl="6" w:tplc="1C09000F" w:tentative="1">
      <w:start w:val="1"/>
      <w:numFmt w:val="decimal"/>
      <w:lvlText w:val="%7."/>
      <w:lvlJc w:val="left"/>
      <w:pPr>
        <w:ind w:left="6119" w:hanging="360"/>
      </w:pPr>
    </w:lvl>
    <w:lvl w:ilvl="7" w:tplc="1C090019" w:tentative="1">
      <w:start w:val="1"/>
      <w:numFmt w:val="lowerLetter"/>
      <w:lvlText w:val="%8."/>
      <w:lvlJc w:val="left"/>
      <w:pPr>
        <w:ind w:left="6839" w:hanging="360"/>
      </w:pPr>
    </w:lvl>
    <w:lvl w:ilvl="8" w:tplc="1C09001B" w:tentative="1">
      <w:start w:val="1"/>
      <w:numFmt w:val="lowerRoman"/>
      <w:lvlText w:val="%9."/>
      <w:lvlJc w:val="right"/>
      <w:pPr>
        <w:ind w:left="7559" w:hanging="180"/>
      </w:pPr>
    </w:lvl>
  </w:abstractNum>
  <w:abstractNum w:abstractNumId="23" w15:restartNumberingAfterBreak="0">
    <w:nsid w:val="54297D0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69F674A"/>
    <w:multiLevelType w:val="multilevel"/>
    <w:tmpl w:val="AF0C04D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CA5670F"/>
    <w:multiLevelType w:val="multilevel"/>
    <w:tmpl w:val="140419C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5F90570D"/>
    <w:multiLevelType w:val="multilevel"/>
    <w:tmpl w:val="CA7EF428"/>
    <w:lvl w:ilvl="0">
      <w:start w:val="33"/>
      <w:numFmt w:val="decimal"/>
      <w:lvlText w:val="%1"/>
      <w:lvlJc w:val="left"/>
      <w:pPr>
        <w:ind w:left="490" w:hanging="490"/>
      </w:pPr>
      <w:rPr>
        <w:rFonts w:hint="default"/>
      </w:rPr>
    </w:lvl>
    <w:lvl w:ilvl="1">
      <w:start w:val="2"/>
      <w:numFmt w:val="decimal"/>
      <w:lvlText w:val="%1.%2"/>
      <w:lvlJc w:val="left"/>
      <w:pPr>
        <w:ind w:left="1570" w:hanging="49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7" w15:restartNumberingAfterBreak="0">
    <w:nsid w:val="60B13656"/>
    <w:multiLevelType w:val="multilevel"/>
    <w:tmpl w:val="92E4B2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31E542B"/>
    <w:multiLevelType w:val="multilevel"/>
    <w:tmpl w:val="9A54325A"/>
    <w:lvl w:ilvl="0">
      <w:start w:val="1"/>
      <w:numFmt w:val="decimal"/>
      <w:lvlText w:val="%1"/>
      <w:lvlJc w:val="left"/>
      <w:pPr>
        <w:ind w:left="72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29" w15:restartNumberingAfterBreak="0">
    <w:nsid w:val="74E13F8E"/>
    <w:multiLevelType w:val="hybridMultilevel"/>
    <w:tmpl w:val="FE00110C"/>
    <w:lvl w:ilvl="0" w:tplc="1C09000F">
      <w:start w:val="1"/>
      <w:numFmt w:val="decimal"/>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0" w15:restartNumberingAfterBreak="0">
    <w:nsid w:val="754A6049"/>
    <w:multiLevelType w:val="hybridMultilevel"/>
    <w:tmpl w:val="20744462"/>
    <w:lvl w:ilvl="0" w:tplc="1C090001">
      <w:start w:val="1"/>
      <w:numFmt w:val="bullet"/>
      <w:lvlText w:val=""/>
      <w:lvlJc w:val="left"/>
      <w:pPr>
        <w:ind w:left="2138" w:hanging="360"/>
      </w:pPr>
      <w:rPr>
        <w:rFonts w:ascii="Symbol" w:hAnsi="Symbol" w:hint="default"/>
      </w:rPr>
    </w:lvl>
    <w:lvl w:ilvl="1" w:tplc="1C090003" w:tentative="1">
      <w:start w:val="1"/>
      <w:numFmt w:val="bullet"/>
      <w:lvlText w:val="o"/>
      <w:lvlJc w:val="left"/>
      <w:pPr>
        <w:ind w:left="2858" w:hanging="360"/>
      </w:pPr>
      <w:rPr>
        <w:rFonts w:ascii="Courier New" w:hAnsi="Courier New" w:cs="Courier New" w:hint="default"/>
      </w:rPr>
    </w:lvl>
    <w:lvl w:ilvl="2" w:tplc="1C090005" w:tentative="1">
      <w:start w:val="1"/>
      <w:numFmt w:val="bullet"/>
      <w:lvlText w:val=""/>
      <w:lvlJc w:val="left"/>
      <w:pPr>
        <w:ind w:left="3578" w:hanging="360"/>
      </w:pPr>
      <w:rPr>
        <w:rFonts w:ascii="Wingdings" w:hAnsi="Wingdings" w:hint="default"/>
      </w:rPr>
    </w:lvl>
    <w:lvl w:ilvl="3" w:tplc="1C090001" w:tentative="1">
      <w:start w:val="1"/>
      <w:numFmt w:val="bullet"/>
      <w:lvlText w:val=""/>
      <w:lvlJc w:val="left"/>
      <w:pPr>
        <w:ind w:left="4298" w:hanging="360"/>
      </w:pPr>
      <w:rPr>
        <w:rFonts w:ascii="Symbol" w:hAnsi="Symbol" w:hint="default"/>
      </w:rPr>
    </w:lvl>
    <w:lvl w:ilvl="4" w:tplc="1C090003" w:tentative="1">
      <w:start w:val="1"/>
      <w:numFmt w:val="bullet"/>
      <w:lvlText w:val="o"/>
      <w:lvlJc w:val="left"/>
      <w:pPr>
        <w:ind w:left="5018" w:hanging="360"/>
      </w:pPr>
      <w:rPr>
        <w:rFonts w:ascii="Courier New" w:hAnsi="Courier New" w:cs="Courier New" w:hint="default"/>
      </w:rPr>
    </w:lvl>
    <w:lvl w:ilvl="5" w:tplc="1C090005" w:tentative="1">
      <w:start w:val="1"/>
      <w:numFmt w:val="bullet"/>
      <w:lvlText w:val=""/>
      <w:lvlJc w:val="left"/>
      <w:pPr>
        <w:ind w:left="5738" w:hanging="360"/>
      </w:pPr>
      <w:rPr>
        <w:rFonts w:ascii="Wingdings" w:hAnsi="Wingdings" w:hint="default"/>
      </w:rPr>
    </w:lvl>
    <w:lvl w:ilvl="6" w:tplc="1C090001" w:tentative="1">
      <w:start w:val="1"/>
      <w:numFmt w:val="bullet"/>
      <w:lvlText w:val=""/>
      <w:lvlJc w:val="left"/>
      <w:pPr>
        <w:ind w:left="6458" w:hanging="360"/>
      </w:pPr>
      <w:rPr>
        <w:rFonts w:ascii="Symbol" w:hAnsi="Symbol" w:hint="default"/>
      </w:rPr>
    </w:lvl>
    <w:lvl w:ilvl="7" w:tplc="1C090003" w:tentative="1">
      <w:start w:val="1"/>
      <w:numFmt w:val="bullet"/>
      <w:lvlText w:val="o"/>
      <w:lvlJc w:val="left"/>
      <w:pPr>
        <w:ind w:left="7178" w:hanging="360"/>
      </w:pPr>
      <w:rPr>
        <w:rFonts w:ascii="Courier New" w:hAnsi="Courier New" w:cs="Courier New" w:hint="default"/>
      </w:rPr>
    </w:lvl>
    <w:lvl w:ilvl="8" w:tplc="1C090005" w:tentative="1">
      <w:start w:val="1"/>
      <w:numFmt w:val="bullet"/>
      <w:lvlText w:val=""/>
      <w:lvlJc w:val="left"/>
      <w:pPr>
        <w:ind w:left="7898" w:hanging="360"/>
      </w:pPr>
      <w:rPr>
        <w:rFonts w:ascii="Wingdings" w:hAnsi="Wingdings" w:hint="default"/>
      </w:rPr>
    </w:lvl>
  </w:abstractNum>
  <w:abstractNum w:abstractNumId="31" w15:restartNumberingAfterBreak="0">
    <w:nsid w:val="766B381C"/>
    <w:multiLevelType w:val="hybridMultilevel"/>
    <w:tmpl w:val="D8025F00"/>
    <w:lvl w:ilvl="0" w:tplc="1AFCB3B6">
      <w:start w:val="1"/>
      <w:numFmt w:val="lowerRoman"/>
      <w:lvlText w:val="(%1)"/>
      <w:lvlJc w:val="left"/>
      <w:pPr>
        <w:ind w:left="3240" w:hanging="72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32" w15:restartNumberingAfterBreak="0">
    <w:nsid w:val="7730489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A61237C"/>
    <w:multiLevelType w:val="hybridMultilevel"/>
    <w:tmpl w:val="BD108D9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F5E108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9"/>
  </w:num>
  <w:num w:numId="3">
    <w:abstractNumId w:val="16"/>
  </w:num>
  <w:num w:numId="4">
    <w:abstractNumId w:val="27"/>
  </w:num>
  <w:num w:numId="5">
    <w:abstractNumId w:val="15"/>
  </w:num>
  <w:num w:numId="6">
    <w:abstractNumId w:val="10"/>
  </w:num>
  <w:num w:numId="7">
    <w:abstractNumId w:val="20"/>
  </w:num>
  <w:num w:numId="8">
    <w:abstractNumId w:val="3"/>
  </w:num>
  <w:num w:numId="9">
    <w:abstractNumId w:val="18"/>
  </w:num>
  <w:num w:numId="10">
    <w:abstractNumId w:val="25"/>
  </w:num>
  <w:num w:numId="11">
    <w:abstractNumId w:val="28"/>
  </w:num>
  <w:num w:numId="12">
    <w:abstractNumId w:val="8"/>
  </w:num>
  <w:num w:numId="13">
    <w:abstractNumId w:val="30"/>
  </w:num>
  <w:num w:numId="14">
    <w:abstractNumId w:val="19"/>
  </w:num>
  <w:num w:numId="15">
    <w:abstractNumId w:val="6"/>
  </w:num>
  <w:num w:numId="16">
    <w:abstractNumId w:val="31"/>
  </w:num>
  <w:num w:numId="17">
    <w:abstractNumId w:val="22"/>
  </w:num>
  <w:num w:numId="18">
    <w:abstractNumId w:val="13"/>
  </w:num>
  <w:num w:numId="19">
    <w:abstractNumId w:val="33"/>
  </w:num>
  <w:num w:numId="20">
    <w:abstractNumId w:val="34"/>
  </w:num>
  <w:num w:numId="21">
    <w:abstractNumId w:val="24"/>
  </w:num>
  <w:num w:numId="22">
    <w:abstractNumId w:val="32"/>
  </w:num>
  <w:num w:numId="23">
    <w:abstractNumId w:val="1"/>
  </w:num>
  <w:num w:numId="24">
    <w:abstractNumId w:val="12"/>
  </w:num>
  <w:num w:numId="25">
    <w:abstractNumId w:val="11"/>
  </w:num>
  <w:num w:numId="26">
    <w:abstractNumId w:val="23"/>
  </w:num>
  <w:num w:numId="27">
    <w:abstractNumId w:val="26"/>
  </w:num>
  <w:num w:numId="28">
    <w:abstractNumId w:val="0"/>
  </w:num>
  <w:num w:numId="29">
    <w:abstractNumId w:val="17"/>
  </w:num>
  <w:num w:numId="30">
    <w:abstractNumId w:val="4"/>
  </w:num>
  <w:num w:numId="31">
    <w:abstractNumId w:val="14"/>
  </w:num>
  <w:num w:numId="32">
    <w:abstractNumId w:val="5"/>
  </w:num>
  <w:num w:numId="33">
    <w:abstractNumId w:val="7"/>
  </w:num>
  <w:num w:numId="34">
    <w:abstractNumId w:val="29"/>
  </w:num>
  <w:num w:numId="35">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522"/>
    <w:rsid w:val="00001079"/>
    <w:rsid w:val="00002383"/>
    <w:rsid w:val="00003633"/>
    <w:rsid w:val="00005E47"/>
    <w:rsid w:val="000111C3"/>
    <w:rsid w:val="000114F9"/>
    <w:rsid w:val="00013A53"/>
    <w:rsid w:val="000158AA"/>
    <w:rsid w:val="00016209"/>
    <w:rsid w:val="000162DF"/>
    <w:rsid w:val="00017C97"/>
    <w:rsid w:val="00020463"/>
    <w:rsid w:val="00022E9F"/>
    <w:rsid w:val="00025D5B"/>
    <w:rsid w:val="00030A67"/>
    <w:rsid w:val="00033017"/>
    <w:rsid w:val="00034412"/>
    <w:rsid w:val="00035037"/>
    <w:rsid w:val="0003669C"/>
    <w:rsid w:val="00043182"/>
    <w:rsid w:val="000433EC"/>
    <w:rsid w:val="000434D3"/>
    <w:rsid w:val="00044C14"/>
    <w:rsid w:val="0004595B"/>
    <w:rsid w:val="00045BD7"/>
    <w:rsid w:val="00045D96"/>
    <w:rsid w:val="00046669"/>
    <w:rsid w:val="0004723D"/>
    <w:rsid w:val="000507D8"/>
    <w:rsid w:val="000526A2"/>
    <w:rsid w:val="0005586E"/>
    <w:rsid w:val="00060A8C"/>
    <w:rsid w:val="00061008"/>
    <w:rsid w:val="000639A7"/>
    <w:rsid w:val="0006707B"/>
    <w:rsid w:val="00072BFD"/>
    <w:rsid w:val="00072CBF"/>
    <w:rsid w:val="000733D8"/>
    <w:rsid w:val="00073A85"/>
    <w:rsid w:val="00075525"/>
    <w:rsid w:val="00081B84"/>
    <w:rsid w:val="00083FBA"/>
    <w:rsid w:val="00084496"/>
    <w:rsid w:val="000869ED"/>
    <w:rsid w:val="000917D0"/>
    <w:rsid w:val="00091D60"/>
    <w:rsid w:val="00095B9B"/>
    <w:rsid w:val="000963FB"/>
    <w:rsid w:val="00096F2D"/>
    <w:rsid w:val="000A34CC"/>
    <w:rsid w:val="000A3BB4"/>
    <w:rsid w:val="000A561C"/>
    <w:rsid w:val="000A58D6"/>
    <w:rsid w:val="000B1F53"/>
    <w:rsid w:val="000B4277"/>
    <w:rsid w:val="000B4EAB"/>
    <w:rsid w:val="000B7286"/>
    <w:rsid w:val="000C33A6"/>
    <w:rsid w:val="000C39B9"/>
    <w:rsid w:val="000C46FD"/>
    <w:rsid w:val="000C7D41"/>
    <w:rsid w:val="000D148E"/>
    <w:rsid w:val="000D53E7"/>
    <w:rsid w:val="000D5796"/>
    <w:rsid w:val="000D697B"/>
    <w:rsid w:val="000E3B23"/>
    <w:rsid w:val="000F2FB4"/>
    <w:rsid w:val="000F3B5F"/>
    <w:rsid w:val="000F59F0"/>
    <w:rsid w:val="000F5CFF"/>
    <w:rsid w:val="001000CD"/>
    <w:rsid w:val="00100484"/>
    <w:rsid w:val="001026BF"/>
    <w:rsid w:val="00103605"/>
    <w:rsid w:val="001045B0"/>
    <w:rsid w:val="001050E4"/>
    <w:rsid w:val="00105745"/>
    <w:rsid w:val="0010691B"/>
    <w:rsid w:val="0010736C"/>
    <w:rsid w:val="00110188"/>
    <w:rsid w:val="00111FA7"/>
    <w:rsid w:val="00113648"/>
    <w:rsid w:val="00114297"/>
    <w:rsid w:val="0012356D"/>
    <w:rsid w:val="001257F6"/>
    <w:rsid w:val="00125D4D"/>
    <w:rsid w:val="00126C90"/>
    <w:rsid w:val="00130162"/>
    <w:rsid w:val="00131BB8"/>
    <w:rsid w:val="00131DB9"/>
    <w:rsid w:val="001328BC"/>
    <w:rsid w:val="00132E4B"/>
    <w:rsid w:val="00133952"/>
    <w:rsid w:val="00133B51"/>
    <w:rsid w:val="00134102"/>
    <w:rsid w:val="00134508"/>
    <w:rsid w:val="00136448"/>
    <w:rsid w:val="001364B9"/>
    <w:rsid w:val="00142AB8"/>
    <w:rsid w:val="001431D8"/>
    <w:rsid w:val="0014349A"/>
    <w:rsid w:val="00145921"/>
    <w:rsid w:val="00145B15"/>
    <w:rsid w:val="00146336"/>
    <w:rsid w:val="00147EF6"/>
    <w:rsid w:val="0015066C"/>
    <w:rsid w:val="0015347A"/>
    <w:rsid w:val="00154D20"/>
    <w:rsid w:val="001662A8"/>
    <w:rsid w:val="00167EC4"/>
    <w:rsid w:val="0017170F"/>
    <w:rsid w:val="00171B5B"/>
    <w:rsid w:val="00175377"/>
    <w:rsid w:val="0018055B"/>
    <w:rsid w:val="00184B1E"/>
    <w:rsid w:val="00184CA2"/>
    <w:rsid w:val="00185422"/>
    <w:rsid w:val="00185A2C"/>
    <w:rsid w:val="00190FAF"/>
    <w:rsid w:val="00192075"/>
    <w:rsid w:val="001936D0"/>
    <w:rsid w:val="0019651B"/>
    <w:rsid w:val="00197D01"/>
    <w:rsid w:val="001A164C"/>
    <w:rsid w:val="001A22B8"/>
    <w:rsid w:val="001A22E2"/>
    <w:rsid w:val="001A297B"/>
    <w:rsid w:val="001A4F3D"/>
    <w:rsid w:val="001A5305"/>
    <w:rsid w:val="001B06B1"/>
    <w:rsid w:val="001B0C22"/>
    <w:rsid w:val="001B181E"/>
    <w:rsid w:val="001B1CE7"/>
    <w:rsid w:val="001B322B"/>
    <w:rsid w:val="001B73F0"/>
    <w:rsid w:val="001C25A0"/>
    <w:rsid w:val="001C2F6E"/>
    <w:rsid w:val="001C31F2"/>
    <w:rsid w:val="001C4F91"/>
    <w:rsid w:val="001C5569"/>
    <w:rsid w:val="001C6A75"/>
    <w:rsid w:val="001D0252"/>
    <w:rsid w:val="001D0E42"/>
    <w:rsid w:val="001D173A"/>
    <w:rsid w:val="001D5287"/>
    <w:rsid w:val="001D6823"/>
    <w:rsid w:val="001E0669"/>
    <w:rsid w:val="001E09E9"/>
    <w:rsid w:val="001E0CE1"/>
    <w:rsid w:val="001E0F19"/>
    <w:rsid w:val="001E178C"/>
    <w:rsid w:val="001E1A55"/>
    <w:rsid w:val="001E2610"/>
    <w:rsid w:val="001E437D"/>
    <w:rsid w:val="001E5486"/>
    <w:rsid w:val="001F0296"/>
    <w:rsid w:val="001F0F07"/>
    <w:rsid w:val="001F127F"/>
    <w:rsid w:val="001F1299"/>
    <w:rsid w:val="001F2EFB"/>
    <w:rsid w:val="001F35FE"/>
    <w:rsid w:val="001F5834"/>
    <w:rsid w:val="001F62FC"/>
    <w:rsid w:val="001F6796"/>
    <w:rsid w:val="001F6A2A"/>
    <w:rsid w:val="001F7DA3"/>
    <w:rsid w:val="002008BB"/>
    <w:rsid w:val="00200E99"/>
    <w:rsid w:val="0020479D"/>
    <w:rsid w:val="00204FE1"/>
    <w:rsid w:val="002100DA"/>
    <w:rsid w:val="002116B4"/>
    <w:rsid w:val="00213934"/>
    <w:rsid w:val="00213C67"/>
    <w:rsid w:val="00214CD5"/>
    <w:rsid w:val="00216627"/>
    <w:rsid w:val="00216753"/>
    <w:rsid w:val="00216D5F"/>
    <w:rsid w:val="00222AE8"/>
    <w:rsid w:val="00222B7F"/>
    <w:rsid w:val="0023155E"/>
    <w:rsid w:val="002321CC"/>
    <w:rsid w:val="00237EF3"/>
    <w:rsid w:val="00246693"/>
    <w:rsid w:val="0025016B"/>
    <w:rsid w:val="00250BFB"/>
    <w:rsid w:val="00251B1B"/>
    <w:rsid w:val="002523F8"/>
    <w:rsid w:val="00253634"/>
    <w:rsid w:val="00255B49"/>
    <w:rsid w:val="00255C64"/>
    <w:rsid w:val="00257018"/>
    <w:rsid w:val="002577E4"/>
    <w:rsid w:val="00260219"/>
    <w:rsid w:val="002614D4"/>
    <w:rsid w:val="0026279D"/>
    <w:rsid w:val="00262D36"/>
    <w:rsid w:val="00267BED"/>
    <w:rsid w:val="00270672"/>
    <w:rsid w:val="00270A14"/>
    <w:rsid w:val="00272C77"/>
    <w:rsid w:val="00273A27"/>
    <w:rsid w:val="00276F39"/>
    <w:rsid w:val="00277D94"/>
    <w:rsid w:val="002800D1"/>
    <w:rsid w:val="002831D8"/>
    <w:rsid w:val="00284F89"/>
    <w:rsid w:val="002856D3"/>
    <w:rsid w:val="00291567"/>
    <w:rsid w:val="00294768"/>
    <w:rsid w:val="0029581B"/>
    <w:rsid w:val="00297891"/>
    <w:rsid w:val="00297F80"/>
    <w:rsid w:val="002A2933"/>
    <w:rsid w:val="002A34B0"/>
    <w:rsid w:val="002A3FB2"/>
    <w:rsid w:val="002A6D98"/>
    <w:rsid w:val="002A7021"/>
    <w:rsid w:val="002A7524"/>
    <w:rsid w:val="002B3C88"/>
    <w:rsid w:val="002B4968"/>
    <w:rsid w:val="002B66DC"/>
    <w:rsid w:val="002C1150"/>
    <w:rsid w:val="002C1743"/>
    <w:rsid w:val="002C33A2"/>
    <w:rsid w:val="002C379B"/>
    <w:rsid w:val="002C5CFD"/>
    <w:rsid w:val="002C5F49"/>
    <w:rsid w:val="002D042D"/>
    <w:rsid w:val="002D09C8"/>
    <w:rsid w:val="002D15B0"/>
    <w:rsid w:val="002D1B78"/>
    <w:rsid w:val="002D3433"/>
    <w:rsid w:val="002D4C0E"/>
    <w:rsid w:val="002D7529"/>
    <w:rsid w:val="002E1A9D"/>
    <w:rsid w:val="002E36BB"/>
    <w:rsid w:val="002E546D"/>
    <w:rsid w:val="002E77B7"/>
    <w:rsid w:val="002F11D4"/>
    <w:rsid w:val="002F195E"/>
    <w:rsid w:val="002F22D6"/>
    <w:rsid w:val="002F315F"/>
    <w:rsid w:val="002F3BE8"/>
    <w:rsid w:val="002F63E1"/>
    <w:rsid w:val="002F6F7E"/>
    <w:rsid w:val="002F7B24"/>
    <w:rsid w:val="00300352"/>
    <w:rsid w:val="00302A24"/>
    <w:rsid w:val="003037F4"/>
    <w:rsid w:val="003100A9"/>
    <w:rsid w:val="003102DE"/>
    <w:rsid w:val="00310C3D"/>
    <w:rsid w:val="00314134"/>
    <w:rsid w:val="00316280"/>
    <w:rsid w:val="00316E3E"/>
    <w:rsid w:val="00326058"/>
    <w:rsid w:val="0032722B"/>
    <w:rsid w:val="003312D5"/>
    <w:rsid w:val="00331946"/>
    <w:rsid w:val="00332A75"/>
    <w:rsid w:val="00333934"/>
    <w:rsid w:val="00334CB8"/>
    <w:rsid w:val="003350C0"/>
    <w:rsid w:val="0033543A"/>
    <w:rsid w:val="00336CFE"/>
    <w:rsid w:val="00337E9C"/>
    <w:rsid w:val="003415EC"/>
    <w:rsid w:val="00342B69"/>
    <w:rsid w:val="00345B69"/>
    <w:rsid w:val="00345CC4"/>
    <w:rsid w:val="00347D6C"/>
    <w:rsid w:val="00350CD4"/>
    <w:rsid w:val="00351B20"/>
    <w:rsid w:val="003532DB"/>
    <w:rsid w:val="003540E5"/>
    <w:rsid w:val="003542D6"/>
    <w:rsid w:val="003551DF"/>
    <w:rsid w:val="0035534D"/>
    <w:rsid w:val="00363643"/>
    <w:rsid w:val="00364DCE"/>
    <w:rsid w:val="003650D9"/>
    <w:rsid w:val="00367455"/>
    <w:rsid w:val="00367816"/>
    <w:rsid w:val="00371395"/>
    <w:rsid w:val="003759C0"/>
    <w:rsid w:val="00375CC0"/>
    <w:rsid w:val="003804BC"/>
    <w:rsid w:val="003811DD"/>
    <w:rsid w:val="00381794"/>
    <w:rsid w:val="003818E8"/>
    <w:rsid w:val="00383FD4"/>
    <w:rsid w:val="00385CD2"/>
    <w:rsid w:val="00385D25"/>
    <w:rsid w:val="00385F31"/>
    <w:rsid w:val="00393057"/>
    <w:rsid w:val="003934E8"/>
    <w:rsid w:val="0039419D"/>
    <w:rsid w:val="00395871"/>
    <w:rsid w:val="00397C42"/>
    <w:rsid w:val="003A1568"/>
    <w:rsid w:val="003A2E5C"/>
    <w:rsid w:val="003A4D7A"/>
    <w:rsid w:val="003A7170"/>
    <w:rsid w:val="003B0968"/>
    <w:rsid w:val="003B2746"/>
    <w:rsid w:val="003B2C23"/>
    <w:rsid w:val="003B3CB4"/>
    <w:rsid w:val="003B663E"/>
    <w:rsid w:val="003B7479"/>
    <w:rsid w:val="003C419C"/>
    <w:rsid w:val="003C50B4"/>
    <w:rsid w:val="003C5A51"/>
    <w:rsid w:val="003D1B48"/>
    <w:rsid w:val="003D4011"/>
    <w:rsid w:val="003D4E22"/>
    <w:rsid w:val="003D616D"/>
    <w:rsid w:val="003D77CC"/>
    <w:rsid w:val="003D7F4D"/>
    <w:rsid w:val="003E01A8"/>
    <w:rsid w:val="003E041F"/>
    <w:rsid w:val="003E1931"/>
    <w:rsid w:val="003E26DA"/>
    <w:rsid w:val="003E3B9F"/>
    <w:rsid w:val="003E4489"/>
    <w:rsid w:val="003E47FE"/>
    <w:rsid w:val="003E69C2"/>
    <w:rsid w:val="003E7CF5"/>
    <w:rsid w:val="003F239E"/>
    <w:rsid w:val="003F28D2"/>
    <w:rsid w:val="003F6BD8"/>
    <w:rsid w:val="00402B09"/>
    <w:rsid w:val="00403849"/>
    <w:rsid w:val="00404DEE"/>
    <w:rsid w:val="00404EFA"/>
    <w:rsid w:val="00407798"/>
    <w:rsid w:val="0041305B"/>
    <w:rsid w:val="004135FD"/>
    <w:rsid w:val="00413F27"/>
    <w:rsid w:val="00415832"/>
    <w:rsid w:val="00415B75"/>
    <w:rsid w:val="0042002E"/>
    <w:rsid w:val="0042059A"/>
    <w:rsid w:val="00421673"/>
    <w:rsid w:val="004226BB"/>
    <w:rsid w:val="00423F59"/>
    <w:rsid w:val="00424A71"/>
    <w:rsid w:val="00424D8B"/>
    <w:rsid w:val="0043243C"/>
    <w:rsid w:val="00435E00"/>
    <w:rsid w:val="0044155F"/>
    <w:rsid w:val="004425E6"/>
    <w:rsid w:val="00443E13"/>
    <w:rsid w:val="00444292"/>
    <w:rsid w:val="00445B88"/>
    <w:rsid w:val="00446F1E"/>
    <w:rsid w:val="00452730"/>
    <w:rsid w:val="0045437C"/>
    <w:rsid w:val="004571EC"/>
    <w:rsid w:val="004573C2"/>
    <w:rsid w:val="00457DBD"/>
    <w:rsid w:val="0046244D"/>
    <w:rsid w:val="004635B0"/>
    <w:rsid w:val="0046655B"/>
    <w:rsid w:val="00470DDD"/>
    <w:rsid w:val="004744DE"/>
    <w:rsid w:val="004754F5"/>
    <w:rsid w:val="00475E75"/>
    <w:rsid w:val="004762A0"/>
    <w:rsid w:val="00480939"/>
    <w:rsid w:val="004812FC"/>
    <w:rsid w:val="00481794"/>
    <w:rsid w:val="00481C98"/>
    <w:rsid w:val="004846FD"/>
    <w:rsid w:val="00496C35"/>
    <w:rsid w:val="004A2304"/>
    <w:rsid w:val="004A2A32"/>
    <w:rsid w:val="004A5304"/>
    <w:rsid w:val="004A53D7"/>
    <w:rsid w:val="004A5A2E"/>
    <w:rsid w:val="004A6EF3"/>
    <w:rsid w:val="004B5A17"/>
    <w:rsid w:val="004B60D8"/>
    <w:rsid w:val="004B63B8"/>
    <w:rsid w:val="004B78F1"/>
    <w:rsid w:val="004B7F28"/>
    <w:rsid w:val="004C26BF"/>
    <w:rsid w:val="004C444D"/>
    <w:rsid w:val="004C58F4"/>
    <w:rsid w:val="004C7D2B"/>
    <w:rsid w:val="004D0992"/>
    <w:rsid w:val="004D1705"/>
    <w:rsid w:val="004D46C9"/>
    <w:rsid w:val="004D52D2"/>
    <w:rsid w:val="004E4ABC"/>
    <w:rsid w:val="004E7693"/>
    <w:rsid w:val="004F0D00"/>
    <w:rsid w:val="004F1F25"/>
    <w:rsid w:val="004F576F"/>
    <w:rsid w:val="004F6856"/>
    <w:rsid w:val="004F73C1"/>
    <w:rsid w:val="00500C18"/>
    <w:rsid w:val="0050165B"/>
    <w:rsid w:val="0050255C"/>
    <w:rsid w:val="00503949"/>
    <w:rsid w:val="005057C3"/>
    <w:rsid w:val="005107AB"/>
    <w:rsid w:val="00511353"/>
    <w:rsid w:val="00512C60"/>
    <w:rsid w:val="00514011"/>
    <w:rsid w:val="00516F7E"/>
    <w:rsid w:val="0051793E"/>
    <w:rsid w:val="005216F8"/>
    <w:rsid w:val="0052375A"/>
    <w:rsid w:val="005267D3"/>
    <w:rsid w:val="00527336"/>
    <w:rsid w:val="00527BC0"/>
    <w:rsid w:val="00532CFD"/>
    <w:rsid w:val="00541E26"/>
    <w:rsid w:val="00556A9F"/>
    <w:rsid w:val="005617EA"/>
    <w:rsid w:val="00564E18"/>
    <w:rsid w:val="00566D56"/>
    <w:rsid w:val="00571327"/>
    <w:rsid w:val="00571602"/>
    <w:rsid w:val="00571944"/>
    <w:rsid w:val="00571FF5"/>
    <w:rsid w:val="00572132"/>
    <w:rsid w:val="00573199"/>
    <w:rsid w:val="00576695"/>
    <w:rsid w:val="00576B66"/>
    <w:rsid w:val="005775D4"/>
    <w:rsid w:val="00581D9E"/>
    <w:rsid w:val="00583D93"/>
    <w:rsid w:val="005845AF"/>
    <w:rsid w:val="00592466"/>
    <w:rsid w:val="00594B4F"/>
    <w:rsid w:val="00594E45"/>
    <w:rsid w:val="00596832"/>
    <w:rsid w:val="005A650C"/>
    <w:rsid w:val="005B1233"/>
    <w:rsid w:val="005B3393"/>
    <w:rsid w:val="005B4583"/>
    <w:rsid w:val="005B49C2"/>
    <w:rsid w:val="005B4AFB"/>
    <w:rsid w:val="005C024F"/>
    <w:rsid w:val="005C1140"/>
    <w:rsid w:val="005C5DB1"/>
    <w:rsid w:val="005C617D"/>
    <w:rsid w:val="005D0A48"/>
    <w:rsid w:val="005D21BF"/>
    <w:rsid w:val="005D2BCA"/>
    <w:rsid w:val="005E1584"/>
    <w:rsid w:val="005E2808"/>
    <w:rsid w:val="005E2A9F"/>
    <w:rsid w:val="005E2C22"/>
    <w:rsid w:val="005F03B8"/>
    <w:rsid w:val="005F150B"/>
    <w:rsid w:val="005F2A87"/>
    <w:rsid w:val="005F4748"/>
    <w:rsid w:val="005F65D2"/>
    <w:rsid w:val="005F662B"/>
    <w:rsid w:val="00600038"/>
    <w:rsid w:val="00601C59"/>
    <w:rsid w:val="0060200B"/>
    <w:rsid w:val="006048EF"/>
    <w:rsid w:val="00605FC6"/>
    <w:rsid w:val="0060768C"/>
    <w:rsid w:val="0061019A"/>
    <w:rsid w:val="00610AA9"/>
    <w:rsid w:val="00611CEE"/>
    <w:rsid w:val="006205B7"/>
    <w:rsid w:val="00620E40"/>
    <w:rsid w:val="00621099"/>
    <w:rsid w:val="006221BC"/>
    <w:rsid w:val="006228B9"/>
    <w:rsid w:val="00624082"/>
    <w:rsid w:val="0063155B"/>
    <w:rsid w:val="00631B91"/>
    <w:rsid w:val="006329ED"/>
    <w:rsid w:val="00634114"/>
    <w:rsid w:val="00637EFE"/>
    <w:rsid w:val="006406E1"/>
    <w:rsid w:val="00642757"/>
    <w:rsid w:val="00644C1A"/>
    <w:rsid w:val="006471D9"/>
    <w:rsid w:val="0065175F"/>
    <w:rsid w:val="006520BB"/>
    <w:rsid w:val="00652E7A"/>
    <w:rsid w:val="006533C7"/>
    <w:rsid w:val="00655242"/>
    <w:rsid w:val="00655737"/>
    <w:rsid w:val="00657849"/>
    <w:rsid w:val="0066110F"/>
    <w:rsid w:val="00661E0F"/>
    <w:rsid w:val="006625A1"/>
    <w:rsid w:val="00664F68"/>
    <w:rsid w:val="00671123"/>
    <w:rsid w:val="00674BCC"/>
    <w:rsid w:val="00676C31"/>
    <w:rsid w:val="00683BB5"/>
    <w:rsid w:val="00684037"/>
    <w:rsid w:val="00687A2C"/>
    <w:rsid w:val="00693FA5"/>
    <w:rsid w:val="00694E64"/>
    <w:rsid w:val="00695A24"/>
    <w:rsid w:val="00697479"/>
    <w:rsid w:val="00697626"/>
    <w:rsid w:val="00697A20"/>
    <w:rsid w:val="006A233E"/>
    <w:rsid w:val="006A2CC6"/>
    <w:rsid w:val="006A3265"/>
    <w:rsid w:val="006A5FC3"/>
    <w:rsid w:val="006A6D3D"/>
    <w:rsid w:val="006A7C65"/>
    <w:rsid w:val="006B02C2"/>
    <w:rsid w:val="006B06C6"/>
    <w:rsid w:val="006B7F16"/>
    <w:rsid w:val="006C003B"/>
    <w:rsid w:val="006C1EA5"/>
    <w:rsid w:val="006C21A9"/>
    <w:rsid w:val="006C3C8A"/>
    <w:rsid w:val="006C4CFF"/>
    <w:rsid w:val="006C56D6"/>
    <w:rsid w:val="006D46B8"/>
    <w:rsid w:val="006D5382"/>
    <w:rsid w:val="006D60DB"/>
    <w:rsid w:val="006D747B"/>
    <w:rsid w:val="006E1D96"/>
    <w:rsid w:val="006E2533"/>
    <w:rsid w:val="006E28BC"/>
    <w:rsid w:val="006E5B15"/>
    <w:rsid w:val="006E5FF8"/>
    <w:rsid w:val="006E6411"/>
    <w:rsid w:val="006F07EC"/>
    <w:rsid w:val="006F0B5A"/>
    <w:rsid w:val="006F22E7"/>
    <w:rsid w:val="006F2452"/>
    <w:rsid w:val="006F2EB5"/>
    <w:rsid w:val="006F41C6"/>
    <w:rsid w:val="00702E75"/>
    <w:rsid w:val="00704D51"/>
    <w:rsid w:val="00705887"/>
    <w:rsid w:val="00707250"/>
    <w:rsid w:val="00710267"/>
    <w:rsid w:val="007103CD"/>
    <w:rsid w:val="00712592"/>
    <w:rsid w:val="00712B67"/>
    <w:rsid w:val="00713BDB"/>
    <w:rsid w:val="007152DA"/>
    <w:rsid w:val="007154FB"/>
    <w:rsid w:val="00720D1F"/>
    <w:rsid w:val="007212CE"/>
    <w:rsid w:val="00721956"/>
    <w:rsid w:val="00722C56"/>
    <w:rsid w:val="00723559"/>
    <w:rsid w:val="007255E0"/>
    <w:rsid w:val="00725A3F"/>
    <w:rsid w:val="00725D66"/>
    <w:rsid w:val="0072611F"/>
    <w:rsid w:val="00726C37"/>
    <w:rsid w:val="00730616"/>
    <w:rsid w:val="00737B36"/>
    <w:rsid w:val="00737FFA"/>
    <w:rsid w:val="007405BF"/>
    <w:rsid w:val="0074301E"/>
    <w:rsid w:val="007443C3"/>
    <w:rsid w:val="00747053"/>
    <w:rsid w:val="00747504"/>
    <w:rsid w:val="007508EE"/>
    <w:rsid w:val="00752653"/>
    <w:rsid w:val="00753FE2"/>
    <w:rsid w:val="0075514B"/>
    <w:rsid w:val="007552CE"/>
    <w:rsid w:val="00755717"/>
    <w:rsid w:val="00756317"/>
    <w:rsid w:val="00765975"/>
    <w:rsid w:val="00766663"/>
    <w:rsid w:val="00767043"/>
    <w:rsid w:val="00767DF0"/>
    <w:rsid w:val="0077050B"/>
    <w:rsid w:val="00771349"/>
    <w:rsid w:val="00773E71"/>
    <w:rsid w:val="007806DB"/>
    <w:rsid w:val="007813B0"/>
    <w:rsid w:val="00782A71"/>
    <w:rsid w:val="0078392C"/>
    <w:rsid w:val="00786932"/>
    <w:rsid w:val="00791E20"/>
    <w:rsid w:val="0079202F"/>
    <w:rsid w:val="00792C07"/>
    <w:rsid w:val="00794E23"/>
    <w:rsid w:val="00795CB6"/>
    <w:rsid w:val="007A07DB"/>
    <w:rsid w:val="007A1708"/>
    <w:rsid w:val="007A3FE8"/>
    <w:rsid w:val="007A4DE1"/>
    <w:rsid w:val="007A6F68"/>
    <w:rsid w:val="007A7DB9"/>
    <w:rsid w:val="007B0A82"/>
    <w:rsid w:val="007B626F"/>
    <w:rsid w:val="007C0228"/>
    <w:rsid w:val="007C1A08"/>
    <w:rsid w:val="007C5316"/>
    <w:rsid w:val="007D10D4"/>
    <w:rsid w:val="007D52B1"/>
    <w:rsid w:val="007D5363"/>
    <w:rsid w:val="007D56F1"/>
    <w:rsid w:val="007E129E"/>
    <w:rsid w:val="007E1B93"/>
    <w:rsid w:val="007E3281"/>
    <w:rsid w:val="007E355D"/>
    <w:rsid w:val="007E3B5C"/>
    <w:rsid w:val="007E4826"/>
    <w:rsid w:val="007E608B"/>
    <w:rsid w:val="007E6855"/>
    <w:rsid w:val="007E769F"/>
    <w:rsid w:val="007E7BE6"/>
    <w:rsid w:val="007F05A9"/>
    <w:rsid w:val="007F7544"/>
    <w:rsid w:val="00803FE0"/>
    <w:rsid w:val="00806CE8"/>
    <w:rsid w:val="00814B4E"/>
    <w:rsid w:val="008170AF"/>
    <w:rsid w:val="00821A52"/>
    <w:rsid w:val="008340F4"/>
    <w:rsid w:val="00834376"/>
    <w:rsid w:val="00834554"/>
    <w:rsid w:val="008345B1"/>
    <w:rsid w:val="00835404"/>
    <w:rsid w:val="00835836"/>
    <w:rsid w:val="00835F61"/>
    <w:rsid w:val="00837A26"/>
    <w:rsid w:val="008408FD"/>
    <w:rsid w:val="0084316C"/>
    <w:rsid w:val="00843D32"/>
    <w:rsid w:val="0084464F"/>
    <w:rsid w:val="00844683"/>
    <w:rsid w:val="008459D4"/>
    <w:rsid w:val="008466CB"/>
    <w:rsid w:val="00847E90"/>
    <w:rsid w:val="00850591"/>
    <w:rsid w:val="0085363B"/>
    <w:rsid w:val="008537CB"/>
    <w:rsid w:val="00860C13"/>
    <w:rsid w:val="0086654C"/>
    <w:rsid w:val="00870FD5"/>
    <w:rsid w:val="00874429"/>
    <w:rsid w:val="008775A6"/>
    <w:rsid w:val="00882319"/>
    <w:rsid w:val="00882FF1"/>
    <w:rsid w:val="00883418"/>
    <w:rsid w:val="008850E8"/>
    <w:rsid w:val="00887B65"/>
    <w:rsid w:val="0089285B"/>
    <w:rsid w:val="00892EA5"/>
    <w:rsid w:val="008A31D0"/>
    <w:rsid w:val="008A4FDB"/>
    <w:rsid w:val="008A70AD"/>
    <w:rsid w:val="008A7EAF"/>
    <w:rsid w:val="008B1774"/>
    <w:rsid w:val="008B4813"/>
    <w:rsid w:val="008B4FFA"/>
    <w:rsid w:val="008B6BB8"/>
    <w:rsid w:val="008C36A7"/>
    <w:rsid w:val="008C4892"/>
    <w:rsid w:val="008D017C"/>
    <w:rsid w:val="008D1B8A"/>
    <w:rsid w:val="008D3675"/>
    <w:rsid w:val="008D5282"/>
    <w:rsid w:val="008D56CD"/>
    <w:rsid w:val="008E1471"/>
    <w:rsid w:val="008E313D"/>
    <w:rsid w:val="008E6EE9"/>
    <w:rsid w:val="008E71A3"/>
    <w:rsid w:val="008E71A4"/>
    <w:rsid w:val="008F0D31"/>
    <w:rsid w:val="008F2B9C"/>
    <w:rsid w:val="008F34DA"/>
    <w:rsid w:val="008F3DF9"/>
    <w:rsid w:val="008F4097"/>
    <w:rsid w:val="008F63FB"/>
    <w:rsid w:val="00900240"/>
    <w:rsid w:val="0090163D"/>
    <w:rsid w:val="0090483D"/>
    <w:rsid w:val="00904CCE"/>
    <w:rsid w:val="00910725"/>
    <w:rsid w:val="00911651"/>
    <w:rsid w:val="00912920"/>
    <w:rsid w:val="00920680"/>
    <w:rsid w:val="00922C62"/>
    <w:rsid w:val="00924FD9"/>
    <w:rsid w:val="00926111"/>
    <w:rsid w:val="00933262"/>
    <w:rsid w:val="00933531"/>
    <w:rsid w:val="00933EEC"/>
    <w:rsid w:val="00937D5F"/>
    <w:rsid w:val="00937EC6"/>
    <w:rsid w:val="00940452"/>
    <w:rsid w:val="00940920"/>
    <w:rsid w:val="00940B23"/>
    <w:rsid w:val="009416F9"/>
    <w:rsid w:val="0094226B"/>
    <w:rsid w:val="0094387D"/>
    <w:rsid w:val="00946B75"/>
    <w:rsid w:val="00950619"/>
    <w:rsid w:val="00953D3F"/>
    <w:rsid w:val="00954143"/>
    <w:rsid w:val="00954821"/>
    <w:rsid w:val="009605E5"/>
    <w:rsid w:val="00961F52"/>
    <w:rsid w:val="00965F81"/>
    <w:rsid w:val="00967890"/>
    <w:rsid w:val="00967E73"/>
    <w:rsid w:val="00973892"/>
    <w:rsid w:val="00975075"/>
    <w:rsid w:val="00975592"/>
    <w:rsid w:val="009776A0"/>
    <w:rsid w:val="00980388"/>
    <w:rsid w:val="00983D3F"/>
    <w:rsid w:val="00983F5A"/>
    <w:rsid w:val="00984A6D"/>
    <w:rsid w:val="0098630F"/>
    <w:rsid w:val="0098792E"/>
    <w:rsid w:val="0099109B"/>
    <w:rsid w:val="009949BA"/>
    <w:rsid w:val="00997F1A"/>
    <w:rsid w:val="009A092D"/>
    <w:rsid w:val="009A1C88"/>
    <w:rsid w:val="009A5DE0"/>
    <w:rsid w:val="009A6E57"/>
    <w:rsid w:val="009A726C"/>
    <w:rsid w:val="009A784D"/>
    <w:rsid w:val="009B04B0"/>
    <w:rsid w:val="009B1983"/>
    <w:rsid w:val="009B27D4"/>
    <w:rsid w:val="009B2B24"/>
    <w:rsid w:val="009B3FD7"/>
    <w:rsid w:val="009B5FBE"/>
    <w:rsid w:val="009B775C"/>
    <w:rsid w:val="009C1612"/>
    <w:rsid w:val="009C30CF"/>
    <w:rsid w:val="009C5C5A"/>
    <w:rsid w:val="009C642D"/>
    <w:rsid w:val="009C6994"/>
    <w:rsid w:val="009D0AE0"/>
    <w:rsid w:val="009D7A3B"/>
    <w:rsid w:val="009E3346"/>
    <w:rsid w:val="009E3E04"/>
    <w:rsid w:val="009F2441"/>
    <w:rsid w:val="009F6B28"/>
    <w:rsid w:val="00A00CB5"/>
    <w:rsid w:val="00A017A2"/>
    <w:rsid w:val="00A02D4A"/>
    <w:rsid w:val="00A02E02"/>
    <w:rsid w:val="00A10B48"/>
    <w:rsid w:val="00A10E93"/>
    <w:rsid w:val="00A116E5"/>
    <w:rsid w:val="00A12FC7"/>
    <w:rsid w:val="00A15758"/>
    <w:rsid w:val="00A15CA5"/>
    <w:rsid w:val="00A15CE0"/>
    <w:rsid w:val="00A23A35"/>
    <w:rsid w:val="00A2671A"/>
    <w:rsid w:val="00A2697B"/>
    <w:rsid w:val="00A3114D"/>
    <w:rsid w:val="00A33360"/>
    <w:rsid w:val="00A33C3B"/>
    <w:rsid w:val="00A3783F"/>
    <w:rsid w:val="00A37CEF"/>
    <w:rsid w:val="00A452F8"/>
    <w:rsid w:val="00A45BA5"/>
    <w:rsid w:val="00A47C69"/>
    <w:rsid w:val="00A47F76"/>
    <w:rsid w:val="00A54AA3"/>
    <w:rsid w:val="00A60206"/>
    <w:rsid w:val="00A6023F"/>
    <w:rsid w:val="00A644DC"/>
    <w:rsid w:val="00A6543B"/>
    <w:rsid w:val="00A6561C"/>
    <w:rsid w:val="00A65848"/>
    <w:rsid w:val="00A676E1"/>
    <w:rsid w:val="00A71DA4"/>
    <w:rsid w:val="00A73F1F"/>
    <w:rsid w:val="00A74921"/>
    <w:rsid w:val="00A75291"/>
    <w:rsid w:val="00A75A28"/>
    <w:rsid w:val="00A75BB6"/>
    <w:rsid w:val="00A81D58"/>
    <w:rsid w:val="00A84249"/>
    <w:rsid w:val="00A85F66"/>
    <w:rsid w:val="00A87B7B"/>
    <w:rsid w:val="00A90BC8"/>
    <w:rsid w:val="00A90BE5"/>
    <w:rsid w:val="00A911AE"/>
    <w:rsid w:val="00A91343"/>
    <w:rsid w:val="00A91642"/>
    <w:rsid w:val="00A91788"/>
    <w:rsid w:val="00A92077"/>
    <w:rsid w:val="00A93D26"/>
    <w:rsid w:val="00A95C57"/>
    <w:rsid w:val="00A966A7"/>
    <w:rsid w:val="00A96D48"/>
    <w:rsid w:val="00A97AF9"/>
    <w:rsid w:val="00A97CCB"/>
    <w:rsid w:val="00AA015B"/>
    <w:rsid w:val="00AA0559"/>
    <w:rsid w:val="00AA13B4"/>
    <w:rsid w:val="00AA1AA0"/>
    <w:rsid w:val="00AA2A8D"/>
    <w:rsid w:val="00AA5EDC"/>
    <w:rsid w:val="00AA6E32"/>
    <w:rsid w:val="00AB0FE4"/>
    <w:rsid w:val="00AB17F0"/>
    <w:rsid w:val="00AB20DF"/>
    <w:rsid w:val="00AC0624"/>
    <w:rsid w:val="00AC37DF"/>
    <w:rsid w:val="00AC3D9A"/>
    <w:rsid w:val="00AC5586"/>
    <w:rsid w:val="00AC789D"/>
    <w:rsid w:val="00AC789E"/>
    <w:rsid w:val="00AD007C"/>
    <w:rsid w:val="00AD1C5F"/>
    <w:rsid w:val="00AD414E"/>
    <w:rsid w:val="00AD4457"/>
    <w:rsid w:val="00AD6206"/>
    <w:rsid w:val="00AD6B7F"/>
    <w:rsid w:val="00AE14BD"/>
    <w:rsid w:val="00AE57BB"/>
    <w:rsid w:val="00AE7ACB"/>
    <w:rsid w:val="00AF052F"/>
    <w:rsid w:val="00AF17EC"/>
    <w:rsid w:val="00AF240B"/>
    <w:rsid w:val="00AF2F07"/>
    <w:rsid w:val="00AF5999"/>
    <w:rsid w:val="00B00D82"/>
    <w:rsid w:val="00B029DA"/>
    <w:rsid w:val="00B033FD"/>
    <w:rsid w:val="00B03441"/>
    <w:rsid w:val="00B042BC"/>
    <w:rsid w:val="00B05331"/>
    <w:rsid w:val="00B05EE5"/>
    <w:rsid w:val="00B0636A"/>
    <w:rsid w:val="00B07083"/>
    <w:rsid w:val="00B11647"/>
    <w:rsid w:val="00B11799"/>
    <w:rsid w:val="00B12519"/>
    <w:rsid w:val="00B153B1"/>
    <w:rsid w:val="00B16491"/>
    <w:rsid w:val="00B179C7"/>
    <w:rsid w:val="00B20DE8"/>
    <w:rsid w:val="00B23C91"/>
    <w:rsid w:val="00B26737"/>
    <w:rsid w:val="00B27F6B"/>
    <w:rsid w:val="00B32D4A"/>
    <w:rsid w:val="00B3311D"/>
    <w:rsid w:val="00B34822"/>
    <w:rsid w:val="00B34F92"/>
    <w:rsid w:val="00B3593D"/>
    <w:rsid w:val="00B36FBC"/>
    <w:rsid w:val="00B40FFB"/>
    <w:rsid w:val="00B44056"/>
    <w:rsid w:val="00B45DF0"/>
    <w:rsid w:val="00B474AB"/>
    <w:rsid w:val="00B50DF8"/>
    <w:rsid w:val="00B52559"/>
    <w:rsid w:val="00B53DDF"/>
    <w:rsid w:val="00B5496E"/>
    <w:rsid w:val="00B567F1"/>
    <w:rsid w:val="00B6075C"/>
    <w:rsid w:val="00B62271"/>
    <w:rsid w:val="00B625ED"/>
    <w:rsid w:val="00B64EE2"/>
    <w:rsid w:val="00B660A3"/>
    <w:rsid w:val="00B66EF2"/>
    <w:rsid w:val="00B6750C"/>
    <w:rsid w:val="00B71BC8"/>
    <w:rsid w:val="00B722D8"/>
    <w:rsid w:val="00B726AE"/>
    <w:rsid w:val="00B74BEF"/>
    <w:rsid w:val="00B74D56"/>
    <w:rsid w:val="00B75DA6"/>
    <w:rsid w:val="00B819B0"/>
    <w:rsid w:val="00B81AF1"/>
    <w:rsid w:val="00B81E1B"/>
    <w:rsid w:val="00B82F3F"/>
    <w:rsid w:val="00B84D0A"/>
    <w:rsid w:val="00B875CA"/>
    <w:rsid w:val="00B93D38"/>
    <w:rsid w:val="00B96472"/>
    <w:rsid w:val="00B96B5C"/>
    <w:rsid w:val="00BA05AE"/>
    <w:rsid w:val="00BA07EE"/>
    <w:rsid w:val="00BA082F"/>
    <w:rsid w:val="00BA13B6"/>
    <w:rsid w:val="00BA38BA"/>
    <w:rsid w:val="00BA7563"/>
    <w:rsid w:val="00BB14BB"/>
    <w:rsid w:val="00BB35A0"/>
    <w:rsid w:val="00BB57A9"/>
    <w:rsid w:val="00BB7231"/>
    <w:rsid w:val="00BD1597"/>
    <w:rsid w:val="00BD7AAA"/>
    <w:rsid w:val="00BE18B8"/>
    <w:rsid w:val="00BE19D7"/>
    <w:rsid w:val="00BE4C03"/>
    <w:rsid w:val="00BE730F"/>
    <w:rsid w:val="00BE788A"/>
    <w:rsid w:val="00BF06BB"/>
    <w:rsid w:val="00BF0B85"/>
    <w:rsid w:val="00BF1BC5"/>
    <w:rsid w:val="00BF3208"/>
    <w:rsid w:val="00BF3DBD"/>
    <w:rsid w:val="00BF3F42"/>
    <w:rsid w:val="00BF4491"/>
    <w:rsid w:val="00BF4737"/>
    <w:rsid w:val="00BF58F8"/>
    <w:rsid w:val="00BF5F62"/>
    <w:rsid w:val="00BF7949"/>
    <w:rsid w:val="00BF7B5F"/>
    <w:rsid w:val="00C001AB"/>
    <w:rsid w:val="00C00E37"/>
    <w:rsid w:val="00C06D63"/>
    <w:rsid w:val="00C11962"/>
    <w:rsid w:val="00C11E11"/>
    <w:rsid w:val="00C17704"/>
    <w:rsid w:val="00C21E6B"/>
    <w:rsid w:val="00C2554A"/>
    <w:rsid w:val="00C25BCB"/>
    <w:rsid w:val="00C2619E"/>
    <w:rsid w:val="00C2794E"/>
    <w:rsid w:val="00C27F69"/>
    <w:rsid w:val="00C30B0C"/>
    <w:rsid w:val="00C310A3"/>
    <w:rsid w:val="00C3375D"/>
    <w:rsid w:val="00C33DDE"/>
    <w:rsid w:val="00C33EB3"/>
    <w:rsid w:val="00C35495"/>
    <w:rsid w:val="00C40059"/>
    <w:rsid w:val="00C419B7"/>
    <w:rsid w:val="00C419CC"/>
    <w:rsid w:val="00C42D54"/>
    <w:rsid w:val="00C4326C"/>
    <w:rsid w:val="00C43BBE"/>
    <w:rsid w:val="00C46876"/>
    <w:rsid w:val="00C46A89"/>
    <w:rsid w:val="00C51113"/>
    <w:rsid w:val="00C5223D"/>
    <w:rsid w:val="00C52A52"/>
    <w:rsid w:val="00C53475"/>
    <w:rsid w:val="00C53509"/>
    <w:rsid w:val="00C57846"/>
    <w:rsid w:val="00C60509"/>
    <w:rsid w:val="00C611B0"/>
    <w:rsid w:val="00C61354"/>
    <w:rsid w:val="00C658E2"/>
    <w:rsid w:val="00C66C36"/>
    <w:rsid w:val="00C7030D"/>
    <w:rsid w:val="00C723D2"/>
    <w:rsid w:val="00C72C9A"/>
    <w:rsid w:val="00C73A3C"/>
    <w:rsid w:val="00C748F8"/>
    <w:rsid w:val="00C80051"/>
    <w:rsid w:val="00C8030D"/>
    <w:rsid w:val="00C82ACB"/>
    <w:rsid w:val="00C83F01"/>
    <w:rsid w:val="00C8458B"/>
    <w:rsid w:val="00C8528D"/>
    <w:rsid w:val="00C90495"/>
    <w:rsid w:val="00C91C9D"/>
    <w:rsid w:val="00C92888"/>
    <w:rsid w:val="00C93E3D"/>
    <w:rsid w:val="00C9537B"/>
    <w:rsid w:val="00C974BE"/>
    <w:rsid w:val="00CA654F"/>
    <w:rsid w:val="00CA65E2"/>
    <w:rsid w:val="00CA7114"/>
    <w:rsid w:val="00CA7435"/>
    <w:rsid w:val="00CB00FB"/>
    <w:rsid w:val="00CB0E90"/>
    <w:rsid w:val="00CB167D"/>
    <w:rsid w:val="00CB285F"/>
    <w:rsid w:val="00CB34C0"/>
    <w:rsid w:val="00CB4D91"/>
    <w:rsid w:val="00CC2DF4"/>
    <w:rsid w:val="00CC7399"/>
    <w:rsid w:val="00CD0C00"/>
    <w:rsid w:val="00CD187A"/>
    <w:rsid w:val="00CD2515"/>
    <w:rsid w:val="00CD447C"/>
    <w:rsid w:val="00CD6C8D"/>
    <w:rsid w:val="00CD7690"/>
    <w:rsid w:val="00CD7B9D"/>
    <w:rsid w:val="00CE0318"/>
    <w:rsid w:val="00CE2E45"/>
    <w:rsid w:val="00CE501B"/>
    <w:rsid w:val="00CE57EB"/>
    <w:rsid w:val="00CE5B07"/>
    <w:rsid w:val="00CE6683"/>
    <w:rsid w:val="00CE6DCC"/>
    <w:rsid w:val="00CE7023"/>
    <w:rsid w:val="00CF1772"/>
    <w:rsid w:val="00CF56FB"/>
    <w:rsid w:val="00CF665B"/>
    <w:rsid w:val="00D02E71"/>
    <w:rsid w:val="00D04D93"/>
    <w:rsid w:val="00D05012"/>
    <w:rsid w:val="00D0576C"/>
    <w:rsid w:val="00D0659C"/>
    <w:rsid w:val="00D06637"/>
    <w:rsid w:val="00D07341"/>
    <w:rsid w:val="00D07A8C"/>
    <w:rsid w:val="00D116F0"/>
    <w:rsid w:val="00D11A05"/>
    <w:rsid w:val="00D138E6"/>
    <w:rsid w:val="00D150D4"/>
    <w:rsid w:val="00D2140D"/>
    <w:rsid w:val="00D217D3"/>
    <w:rsid w:val="00D23355"/>
    <w:rsid w:val="00D23B95"/>
    <w:rsid w:val="00D24E6C"/>
    <w:rsid w:val="00D25A0A"/>
    <w:rsid w:val="00D27B96"/>
    <w:rsid w:val="00D3108F"/>
    <w:rsid w:val="00D313BA"/>
    <w:rsid w:val="00D31763"/>
    <w:rsid w:val="00D333FB"/>
    <w:rsid w:val="00D3476D"/>
    <w:rsid w:val="00D34B57"/>
    <w:rsid w:val="00D34EF4"/>
    <w:rsid w:val="00D368E4"/>
    <w:rsid w:val="00D37D75"/>
    <w:rsid w:val="00D51C65"/>
    <w:rsid w:val="00D52CE2"/>
    <w:rsid w:val="00D53AA5"/>
    <w:rsid w:val="00D54DE1"/>
    <w:rsid w:val="00D55417"/>
    <w:rsid w:val="00D57C75"/>
    <w:rsid w:val="00D65366"/>
    <w:rsid w:val="00D67576"/>
    <w:rsid w:val="00D71047"/>
    <w:rsid w:val="00D719C3"/>
    <w:rsid w:val="00D72A63"/>
    <w:rsid w:val="00D730B9"/>
    <w:rsid w:val="00D7379B"/>
    <w:rsid w:val="00D73B73"/>
    <w:rsid w:val="00D75175"/>
    <w:rsid w:val="00D816AC"/>
    <w:rsid w:val="00D82580"/>
    <w:rsid w:val="00D828EE"/>
    <w:rsid w:val="00D8592A"/>
    <w:rsid w:val="00D8600B"/>
    <w:rsid w:val="00D87BDF"/>
    <w:rsid w:val="00D90E83"/>
    <w:rsid w:val="00D9285E"/>
    <w:rsid w:val="00D97E96"/>
    <w:rsid w:val="00DA1421"/>
    <w:rsid w:val="00DA68D0"/>
    <w:rsid w:val="00DB49B4"/>
    <w:rsid w:val="00DB6A87"/>
    <w:rsid w:val="00DC04A9"/>
    <w:rsid w:val="00DC2803"/>
    <w:rsid w:val="00DC30A1"/>
    <w:rsid w:val="00DC42B1"/>
    <w:rsid w:val="00DC42DA"/>
    <w:rsid w:val="00DC64D7"/>
    <w:rsid w:val="00DC657E"/>
    <w:rsid w:val="00DC7462"/>
    <w:rsid w:val="00DC76DE"/>
    <w:rsid w:val="00DD289D"/>
    <w:rsid w:val="00DD6E33"/>
    <w:rsid w:val="00DE078E"/>
    <w:rsid w:val="00DE42EE"/>
    <w:rsid w:val="00DE510D"/>
    <w:rsid w:val="00DE597C"/>
    <w:rsid w:val="00DE67FD"/>
    <w:rsid w:val="00DF219A"/>
    <w:rsid w:val="00DF3FA7"/>
    <w:rsid w:val="00E006FF"/>
    <w:rsid w:val="00E0656F"/>
    <w:rsid w:val="00E13409"/>
    <w:rsid w:val="00E151C9"/>
    <w:rsid w:val="00E15DC7"/>
    <w:rsid w:val="00E1655E"/>
    <w:rsid w:val="00E20D9A"/>
    <w:rsid w:val="00E219CD"/>
    <w:rsid w:val="00E21DD7"/>
    <w:rsid w:val="00E27C7D"/>
    <w:rsid w:val="00E30B41"/>
    <w:rsid w:val="00E36302"/>
    <w:rsid w:val="00E36770"/>
    <w:rsid w:val="00E40169"/>
    <w:rsid w:val="00E40C4B"/>
    <w:rsid w:val="00E429CE"/>
    <w:rsid w:val="00E42D8A"/>
    <w:rsid w:val="00E44A28"/>
    <w:rsid w:val="00E5152F"/>
    <w:rsid w:val="00E56499"/>
    <w:rsid w:val="00E56C70"/>
    <w:rsid w:val="00E625CF"/>
    <w:rsid w:val="00E62710"/>
    <w:rsid w:val="00E63173"/>
    <w:rsid w:val="00E66647"/>
    <w:rsid w:val="00E70A6B"/>
    <w:rsid w:val="00E71037"/>
    <w:rsid w:val="00E71E4E"/>
    <w:rsid w:val="00E7500D"/>
    <w:rsid w:val="00E77554"/>
    <w:rsid w:val="00E8084C"/>
    <w:rsid w:val="00E81FD6"/>
    <w:rsid w:val="00E82404"/>
    <w:rsid w:val="00E82FD7"/>
    <w:rsid w:val="00E85522"/>
    <w:rsid w:val="00E92259"/>
    <w:rsid w:val="00E92C88"/>
    <w:rsid w:val="00E9587E"/>
    <w:rsid w:val="00E96708"/>
    <w:rsid w:val="00E97637"/>
    <w:rsid w:val="00EA62FA"/>
    <w:rsid w:val="00EA6364"/>
    <w:rsid w:val="00EA7043"/>
    <w:rsid w:val="00EB053B"/>
    <w:rsid w:val="00EB0FD9"/>
    <w:rsid w:val="00EB3902"/>
    <w:rsid w:val="00EB3DD2"/>
    <w:rsid w:val="00EB6608"/>
    <w:rsid w:val="00EB67B0"/>
    <w:rsid w:val="00EB6997"/>
    <w:rsid w:val="00EC0D18"/>
    <w:rsid w:val="00EC31A0"/>
    <w:rsid w:val="00EC50A0"/>
    <w:rsid w:val="00EC5CC4"/>
    <w:rsid w:val="00ED16E0"/>
    <w:rsid w:val="00ED3032"/>
    <w:rsid w:val="00ED3A49"/>
    <w:rsid w:val="00EE19C7"/>
    <w:rsid w:val="00EE3695"/>
    <w:rsid w:val="00EE49C6"/>
    <w:rsid w:val="00EE4D73"/>
    <w:rsid w:val="00EE7C92"/>
    <w:rsid w:val="00EF07A9"/>
    <w:rsid w:val="00EF43A6"/>
    <w:rsid w:val="00F001A8"/>
    <w:rsid w:val="00F00B67"/>
    <w:rsid w:val="00F01BD2"/>
    <w:rsid w:val="00F04A41"/>
    <w:rsid w:val="00F05406"/>
    <w:rsid w:val="00F065E9"/>
    <w:rsid w:val="00F06636"/>
    <w:rsid w:val="00F070E4"/>
    <w:rsid w:val="00F07BEE"/>
    <w:rsid w:val="00F07DC5"/>
    <w:rsid w:val="00F10E01"/>
    <w:rsid w:val="00F11CE0"/>
    <w:rsid w:val="00F11ED4"/>
    <w:rsid w:val="00F12012"/>
    <w:rsid w:val="00F17C8A"/>
    <w:rsid w:val="00F20FC4"/>
    <w:rsid w:val="00F23579"/>
    <w:rsid w:val="00F265D9"/>
    <w:rsid w:val="00F30EAA"/>
    <w:rsid w:val="00F3722B"/>
    <w:rsid w:val="00F400EC"/>
    <w:rsid w:val="00F43E31"/>
    <w:rsid w:val="00F4417A"/>
    <w:rsid w:val="00F44D56"/>
    <w:rsid w:val="00F45779"/>
    <w:rsid w:val="00F545BD"/>
    <w:rsid w:val="00F56C7A"/>
    <w:rsid w:val="00F603DE"/>
    <w:rsid w:val="00F619F9"/>
    <w:rsid w:val="00F6630E"/>
    <w:rsid w:val="00F70072"/>
    <w:rsid w:val="00F74EA7"/>
    <w:rsid w:val="00F76FD8"/>
    <w:rsid w:val="00F77999"/>
    <w:rsid w:val="00F81A93"/>
    <w:rsid w:val="00F84263"/>
    <w:rsid w:val="00F862FE"/>
    <w:rsid w:val="00F910B2"/>
    <w:rsid w:val="00F916BF"/>
    <w:rsid w:val="00F932D2"/>
    <w:rsid w:val="00F93D0C"/>
    <w:rsid w:val="00F9437C"/>
    <w:rsid w:val="00F95126"/>
    <w:rsid w:val="00F96DF1"/>
    <w:rsid w:val="00FA068C"/>
    <w:rsid w:val="00FA412D"/>
    <w:rsid w:val="00FA43A3"/>
    <w:rsid w:val="00FA4C73"/>
    <w:rsid w:val="00FB3352"/>
    <w:rsid w:val="00FB42B0"/>
    <w:rsid w:val="00FB4C6E"/>
    <w:rsid w:val="00FC0CA8"/>
    <w:rsid w:val="00FC5663"/>
    <w:rsid w:val="00FC5F75"/>
    <w:rsid w:val="00FC7646"/>
    <w:rsid w:val="00FD2BB9"/>
    <w:rsid w:val="00FD5007"/>
    <w:rsid w:val="00FD57BE"/>
    <w:rsid w:val="00FE09F2"/>
    <w:rsid w:val="00FE0AA1"/>
    <w:rsid w:val="00FE1782"/>
    <w:rsid w:val="00FE4571"/>
    <w:rsid w:val="00FE4EDA"/>
    <w:rsid w:val="00FF1D4A"/>
    <w:rsid w:val="00FF2B3F"/>
    <w:rsid w:val="00FF4020"/>
    <w:rsid w:val="00FF55B5"/>
    <w:rsid w:val="00FF5B2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FBB1EE-1332-4681-AB1C-B0EA5F023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3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NUMBERED">
    <w:name w:val="MEMO NUMBERED"/>
    <w:basedOn w:val="Normal"/>
    <w:link w:val="MEMONUMBEREDChar"/>
    <w:qFormat/>
    <w:rsid w:val="00E85522"/>
    <w:pPr>
      <w:numPr>
        <w:numId w:val="1"/>
      </w:numPr>
      <w:spacing w:after="0" w:line="480" w:lineRule="auto"/>
    </w:pPr>
    <w:rPr>
      <w:rFonts w:ascii="Times New Roman" w:eastAsia="Times New Roman" w:hAnsi="Times New Roman" w:cs="Times New Roman"/>
      <w:sz w:val="24"/>
      <w:szCs w:val="24"/>
      <w:lang w:val="en-US" w:eastAsia="en-ZA"/>
    </w:rPr>
  </w:style>
  <w:style w:type="character" w:customStyle="1" w:styleId="MEMONUMBEREDChar">
    <w:name w:val="MEMO NUMBERED Char"/>
    <w:basedOn w:val="DefaultParagraphFont"/>
    <w:link w:val="MEMONUMBERED"/>
    <w:locked/>
    <w:rsid w:val="00E85522"/>
    <w:rPr>
      <w:rFonts w:ascii="Times New Roman" w:eastAsia="Times New Roman" w:hAnsi="Times New Roman" w:cs="Times New Roman"/>
      <w:sz w:val="24"/>
      <w:szCs w:val="24"/>
      <w:lang w:val="en-US" w:eastAsia="en-ZA"/>
    </w:rPr>
  </w:style>
  <w:style w:type="character" w:styleId="CommentReference">
    <w:name w:val="annotation reference"/>
    <w:basedOn w:val="DefaultParagraphFont"/>
    <w:uiPriority w:val="99"/>
    <w:semiHidden/>
    <w:unhideWhenUsed/>
    <w:rsid w:val="00600038"/>
    <w:rPr>
      <w:sz w:val="16"/>
      <w:szCs w:val="16"/>
    </w:rPr>
  </w:style>
  <w:style w:type="paragraph" w:styleId="CommentText">
    <w:name w:val="annotation text"/>
    <w:basedOn w:val="Normal"/>
    <w:link w:val="CommentTextChar"/>
    <w:uiPriority w:val="99"/>
    <w:semiHidden/>
    <w:unhideWhenUsed/>
    <w:rsid w:val="00600038"/>
    <w:pPr>
      <w:spacing w:line="240" w:lineRule="auto"/>
    </w:pPr>
    <w:rPr>
      <w:sz w:val="20"/>
      <w:szCs w:val="20"/>
    </w:rPr>
  </w:style>
  <w:style w:type="character" w:customStyle="1" w:styleId="CommentTextChar">
    <w:name w:val="Comment Text Char"/>
    <w:basedOn w:val="DefaultParagraphFont"/>
    <w:link w:val="CommentText"/>
    <w:uiPriority w:val="99"/>
    <w:semiHidden/>
    <w:rsid w:val="00600038"/>
    <w:rPr>
      <w:sz w:val="20"/>
      <w:szCs w:val="20"/>
    </w:rPr>
  </w:style>
  <w:style w:type="paragraph" w:styleId="CommentSubject">
    <w:name w:val="annotation subject"/>
    <w:basedOn w:val="CommentText"/>
    <w:next w:val="CommentText"/>
    <w:link w:val="CommentSubjectChar"/>
    <w:uiPriority w:val="99"/>
    <w:semiHidden/>
    <w:unhideWhenUsed/>
    <w:rsid w:val="00600038"/>
    <w:rPr>
      <w:b/>
      <w:bCs/>
    </w:rPr>
  </w:style>
  <w:style w:type="character" w:customStyle="1" w:styleId="CommentSubjectChar">
    <w:name w:val="Comment Subject Char"/>
    <w:basedOn w:val="CommentTextChar"/>
    <w:link w:val="CommentSubject"/>
    <w:uiPriority w:val="99"/>
    <w:semiHidden/>
    <w:rsid w:val="00600038"/>
    <w:rPr>
      <w:b/>
      <w:bCs/>
      <w:sz w:val="20"/>
      <w:szCs w:val="20"/>
    </w:rPr>
  </w:style>
  <w:style w:type="paragraph" w:styleId="BalloonText">
    <w:name w:val="Balloon Text"/>
    <w:basedOn w:val="Normal"/>
    <w:link w:val="BalloonTextChar"/>
    <w:uiPriority w:val="99"/>
    <w:semiHidden/>
    <w:unhideWhenUsed/>
    <w:rsid w:val="00600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038"/>
    <w:rPr>
      <w:rFonts w:ascii="Segoe UI" w:hAnsi="Segoe UI" w:cs="Segoe UI"/>
      <w:sz w:val="18"/>
      <w:szCs w:val="18"/>
    </w:rPr>
  </w:style>
  <w:style w:type="paragraph" w:styleId="FootnoteText">
    <w:name w:val="footnote text"/>
    <w:basedOn w:val="Normal"/>
    <w:link w:val="FootnoteTextChar"/>
    <w:uiPriority w:val="99"/>
    <w:semiHidden/>
    <w:unhideWhenUsed/>
    <w:rsid w:val="00AA05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0559"/>
    <w:rPr>
      <w:sz w:val="20"/>
      <w:szCs w:val="20"/>
    </w:rPr>
  </w:style>
  <w:style w:type="character" w:styleId="FootnoteReference">
    <w:name w:val="footnote reference"/>
    <w:basedOn w:val="DefaultParagraphFont"/>
    <w:uiPriority w:val="99"/>
    <w:semiHidden/>
    <w:unhideWhenUsed/>
    <w:rsid w:val="00AA0559"/>
    <w:rPr>
      <w:vertAlign w:val="superscript"/>
    </w:rPr>
  </w:style>
  <w:style w:type="paragraph" w:styleId="Header">
    <w:name w:val="header"/>
    <w:basedOn w:val="Normal"/>
    <w:link w:val="HeaderChar"/>
    <w:uiPriority w:val="99"/>
    <w:unhideWhenUsed/>
    <w:rsid w:val="00D92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85E"/>
  </w:style>
  <w:style w:type="paragraph" w:styleId="Footer">
    <w:name w:val="footer"/>
    <w:basedOn w:val="Normal"/>
    <w:link w:val="FooterChar"/>
    <w:uiPriority w:val="99"/>
    <w:unhideWhenUsed/>
    <w:rsid w:val="00D92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85E"/>
  </w:style>
  <w:style w:type="paragraph" w:styleId="ListParagraph">
    <w:name w:val="List Paragraph"/>
    <w:basedOn w:val="Normal"/>
    <w:uiPriority w:val="34"/>
    <w:qFormat/>
    <w:rsid w:val="002C5F49"/>
    <w:pPr>
      <w:ind w:left="720"/>
      <w:contextualSpacing/>
    </w:pPr>
  </w:style>
  <w:style w:type="character" w:styleId="Hyperlink">
    <w:name w:val="Hyperlink"/>
    <w:rsid w:val="00AA5ED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80BF9-697E-45CF-99D9-6375C0C50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1651</TotalTime>
  <Pages>35</Pages>
  <Words>7922</Words>
  <Characters>45162</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Tumi Maponya</dc:creator>
  <cp:lastModifiedBy>Mary Bruce</cp:lastModifiedBy>
  <cp:revision>21</cp:revision>
  <cp:lastPrinted>2022-10-03T10:59:00Z</cp:lastPrinted>
  <dcterms:created xsi:type="dcterms:W3CDTF">2022-09-15T18:35:00Z</dcterms:created>
  <dcterms:modified xsi:type="dcterms:W3CDTF">2022-10-13T15:08:00Z</dcterms:modified>
</cp:coreProperties>
</file>