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2A3F" w14:textId="77777777" w:rsidR="002E4CD5" w:rsidRPr="00A552F8" w:rsidRDefault="002E4CD5" w:rsidP="00A552F8">
      <w:pPr>
        <w:tabs>
          <w:tab w:val="left" w:pos="720"/>
          <w:tab w:val="left" w:pos="1440"/>
          <w:tab w:val="left" w:pos="2160"/>
          <w:tab w:val="left" w:pos="2880"/>
          <w:tab w:val="left" w:pos="5193"/>
        </w:tabs>
        <w:spacing w:line="360" w:lineRule="auto"/>
        <w:jc w:val="center"/>
        <w:rPr>
          <w:rFonts w:ascii="Arial" w:hAnsi="Arial" w:cs="Arial"/>
        </w:rPr>
      </w:pPr>
      <w:bookmarkStart w:id="0" w:name="OLE_LINK1"/>
      <w:bookmarkStart w:id="1" w:name="OLE_LINK2"/>
      <w:bookmarkStart w:id="2" w:name="_GoBack"/>
      <w:bookmarkEnd w:id="2"/>
      <w:r w:rsidRPr="00A552F8">
        <w:rPr>
          <w:rFonts w:ascii="Arial" w:hAnsi="Arial" w:cs="Arial"/>
          <w:noProof/>
          <w:lang w:eastAsia="en-ZA"/>
        </w:rPr>
        <w:drawing>
          <wp:inline distT="0" distB="0" distL="0" distR="0" wp14:anchorId="6198F309" wp14:editId="43B07949">
            <wp:extent cx="1571625" cy="15716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14:paraId="35DC8875" w14:textId="77777777" w:rsidR="002E4CD5" w:rsidRPr="00A552F8" w:rsidRDefault="002E4CD5" w:rsidP="00A552F8">
      <w:pPr>
        <w:spacing w:line="360" w:lineRule="auto"/>
        <w:jc w:val="center"/>
        <w:rPr>
          <w:rFonts w:ascii="Arial" w:hAnsi="Arial" w:cs="Arial"/>
          <w:b/>
          <w:bCs/>
          <w:iCs/>
          <w:color w:val="000000"/>
          <w:lang w:val="en-US"/>
        </w:rPr>
      </w:pPr>
      <w:r w:rsidRPr="00A552F8">
        <w:rPr>
          <w:rFonts w:ascii="Arial" w:hAnsi="Arial" w:cs="Arial"/>
          <w:b/>
          <w:bCs/>
          <w:iCs/>
          <w:color w:val="000000"/>
          <w:lang w:val="en-US"/>
        </w:rPr>
        <w:t>IN THE HIGH COURT OF SOUTH AFRICA</w:t>
      </w:r>
    </w:p>
    <w:p w14:paraId="686BB49D" w14:textId="77777777" w:rsidR="002E4CD5" w:rsidRPr="00A552F8" w:rsidRDefault="002E4CD5" w:rsidP="00A552F8">
      <w:pPr>
        <w:spacing w:line="360" w:lineRule="auto"/>
        <w:jc w:val="center"/>
        <w:rPr>
          <w:rFonts w:ascii="Arial" w:hAnsi="Arial" w:cs="Arial"/>
          <w:b/>
          <w:bCs/>
          <w:iCs/>
          <w:lang w:val="en-US"/>
        </w:rPr>
      </w:pPr>
      <w:r w:rsidRPr="00A552F8">
        <w:rPr>
          <w:rFonts w:ascii="Arial" w:hAnsi="Arial" w:cs="Arial"/>
          <w:b/>
          <w:bCs/>
          <w:iCs/>
          <w:lang w:val="en-US"/>
        </w:rPr>
        <w:t>GAUTENG DIVISION, PRETORIA</w:t>
      </w:r>
    </w:p>
    <w:p w14:paraId="06FCC926" w14:textId="77777777" w:rsidR="002E4CD5" w:rsidRPr="00A552F8" w:rsidRDefault="002E4CD5" w:rsidP="00A552F8">
      <w:pPr>
        <w:spacing w:line="360" w:lineRule="auto"/>
        <w:jc w:val="both"/>
        <w:rPr>
          <w:rFonts w:ascii="Arial" w:hAnsi="Arial" w:cs="Arial"/>
          <w:b/>
          <w:bCs/>
          <w:iCs/>
          <w:lang w:val="en-US"/>
        </w:rPr>
      </w:pPr>
    </w:p>
    <w:p w14:paraId="583242FD" w14:textId="1CF39C06" w:rsidR="002E4CD5" w:rsidRPr="00A552F8" w:rsidRDefault="002E4CD5" w:rsidP="00A552F8">
      <w:pPr>
        <w:spacing w:line="360" w:lineRule="auto"/>
        <w:jc w:val="right"/>
        <w:rPr>
          <w:rFonts w:ascii="Arial" w:hAnsi="Arial" w:cs="Arial"/>
          <w:b/>
        </w:rPr>
      </w:pPr>
      <w:r w:rsidRPr="00A552F8">
        <w:rPr>
          <w:rFonts w:ascii="Arial" w:hAnsi="Arial" w:cs="Arial"/>
          <w:b/>
        </w:rPr>
        <w:t xml:space="preserve">Case No: 61684/21 </w:t>
      </w:r>
    </w:p>
    <w:p w14:paraId="40721484" w14:textId="48B56234" w:rsidR="002E4CD5" w:rsidRPr="00A552F8" w:rsidRDefault="00A552F8" w:rsidP="00A552F8">
      <w:pPr>
        <w:spacing w:line="360" w:lineRule="auto"/>
        <w:jc w:val="right"/>
        <w:rPr>
          <w:rFonts w:ascii="Arial" w:hAnsi="Arial" w:cs="Arial"/>
          <w:b/>
        </w:rPr>
      </w:pPr>
      <w:r w:rsidRPr="00A552F8">
        <w:rPr>
          <w:rFonts w:ascii="Arial" w:hAnsi="Arial" w:cs="Arial"/>
          <w:noProof/>
          <w:lang w:eastAsia="en-ZA"/>
        </w:rPr>
        <mc:AlternateContent>
          <mc:Choice Requires="wps">
            <w:drawing>
              <wp:anchor distT="0" distB="0" distL="114300" distR="114300" simplePos="0" relativeHeight="251661312" behindDoc="0" locked="0" layoutInCell="1" allowOverlap="1" wp14:anchorId="3CD3E588" wp14:editId="696766B9">
                <wp:simplePos x="0" y="0"/>
                <wp:positionH relativeFrom="margin">
                  <wp:posOffset>6350</wp:posOffset>
                </wp:positionH>
                <wp:positionV relativeFrom="paragraph">
                  <wp:posOffset>6985</wp:posOffset>
                </wp:positionV>
                <wp:extent cx="2959100" cy="1403350"/>
                <wp:effectExtent l="0" t="0" r="127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59100" cy="1403350"/>
                        </a:xfrm>
                        <a:prstGeom prst="rect">
                          <a:avLst/>
                        </a:prstGeom>
                        <a:solidFill>
                          <a:srgbClr val="FFFFFF"/>
                        </a:solidFill>
                        <a:ln w="9525">
                          <a:solidFill>
                            <a:srgbClr val="000000"/>
                          </a:solidFill>
                          <a:miter lim="800000"/>
                          <a:headEnd/>
                          <a:tailEnd/>
                        </a:ln>
                      </wps:spPr>
                      <wps:txbx>
                        <w:txbxContent>
                          <w:p w14:paraId="373B97AC" w14:textId="2BB38916" w:rsidR="00A552F8" w:rsidRDefault="002525FB" w:rsidP="002525FB">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(1)</w:t>
                            </w:r>
                            <w:r>
                              <w:rPr>
                                <w:rFonts w:ascii="Calibri" w:hAnsi="Calibri"/>
                                <w:sz w:val="20"/>
                                <w:szCs w:val="20"/>
                                <w:lang w:val="af-ZA"/>
                              </w:rPr>
                              <w:tab/>
                            </w:r>
                            <w:r w:rsidR="00A552F8">
                              <w:rPr>
                                <w:rFonts w:ascii="Calibri" w:hAnsi="Calibri"/>
                                <w:sz w:val="20"/>
                                <w:szCs w:val="20"/>
                                <w:lang w:val="af-ZA"/>
                              </w:rPr>
                              <w:t>REPORTABLE: NO</w:t>
                            </w:r>
                          </w:p>
                          <w:p w14:paraId="043661ED" w14:textId="5D6CA2EF" w:rsidR="00A552F8" w:rsidRDefault="002525FB" w:rsidP="002525FB">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(2)</w:t>
                            </w:r>
                            <w:r>
                              <w:rPr>
                                <w:rFonts w:ascii="Calibri" w:hAnsi="Calibri"/>
                                <w:sz w:val="20"/>
                                <w:szCs w:val="20"/>
                                <w:lang w:val="af-ZA"/>
                              </w:rPr>
                              <w:tab/>
                            </w:r>
                            <w:r w:rsidR="00A552F8">
                              <w:rPr>
                                <w:rFonts w:ascii="Calibri" w:hAnsi="Calibri"/>
                                <w:sz w:val="20"/>
                                <w:szCs w:val="20"/>
                                <w:lang w:val="af-ZA"/>
                              </w:rPr>
                              <w:t>OF INTEREST TO OTHERS JUDGES: NO</w:t>
                            </w:r>
                          </w:p>
                          <w:p w14:paraId="35577CAB" w14:textId="4FE348CC" w:rsidR="00A552F8" w:rsidRDefault="002525FB" w:rsidP="002525FB">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(3)</w:t>
                            </w:r>
                            <w:r>
                              <w:rPr>
                                <w:rFonts w:ascii="Calibri" w:hAnsi="Calibri"/>
                                <w:sz w:val="20"/>
                                <w:szCs w:val="20"/>
                                <w:lang w:val="af-ZA"/>
                              </w:rPr>
                              <w:tab/>
                            </w:r>
                            <w:r w:rsidR="00A552F8">
                              <w:rPr>
                                <w:rFonts w:ascii="Calibri" w:hAnsi="Calibri"/>
                                <w:sz w:val="20"/>
                                <w:szCs w:val="20"/>
                                <w:lang w:val="af-ZA"/>
                              </w:rPr>
                              <w:t>REVISED</w:t>
                            </w:r>
                          </w:p>
                          <w:p w14:paraId="78566F1B" w14:textId="22102B55" w:rsidR="00A552F8" w:rsidRDefault="00A552F8" w:rsidP="00A552F8">
                            <w:pPr>
                              <w:tabs>
                                <w:tab w:val="center" w:pos="4320"/>
                                <w:tab w:val="right" w:pos="8640"/>
                              </w:tabs>
                              <w:ind w:left="720"/>
                              <w:contextualSpacing/>
                              <w:rPr>
                                <w:rFonts w:ascii="Calibri" w:hAnsi="Calibri"/>
                                <w:sz w:val="20"/>
                                <w:szCs w:val="20"/>
                                <w:lang w:val="af-ZA"/>
                              </w:rPr>
                            </w:pPr>
                            <w:r>
                              <w:rPr>
                                <w:noProof/>
                                <w:sz w:val="20"/>
                                <w:szCs w:val="20"/>
                                <w:lang w:eastAsia="en-ZA"/>
                              </w:rPr>
                              <w:drawing>
                                <wp:inline distT="0" distB="0" distL="0" distR="0" wp14:anchorId="4C5F5B6E" wp14:editId="014378E3">
                                  <wp:extent cx="902970" cy="561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970" cy="561340"/>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u w:val="dotted"/>
                                <w:lang w:val="af-ZA"/>
                              </w:rPr>
                              <w:t xml:space="preserve"> </w:t>
                            </w:r>
                            <w:r w:rsidR="006447DD">
                              <w:rPr>
                                <w:rFonts w:ascii="Calibri" w:hAnsi="Calibri"/>
                                <w:sz w:val="20"/>
                                <w:szCs w:val="20"/>
                                <w:u w:val="dotted"/>
                                <w:lang w:val="af-ZA"/>
                              </w:rPr>
                              <w:t xml:space="preserve">06 </w:t>
                            </w:r>
                            <w:r w:rsidRPr="006447DD">
                              <w:rPr>
                                <w:rFonts w:ascii="Calibri" w:hAnsi="Calibri"/>
                                <w:sz w:val="20"/>
                                <w:szCs w:val="20"/>
                                <w:u w:val="dotted"/>
                                <w:lang w:val="af-ZA"/>
                              </w:rPr>
                              <w:t>OCTOBER 2022</w:t>
                            </w:r>
                          </w:p>
                          <w:p w14:paraId="26F1477C" w14:textId="77777777" w:rsidR="00A552F8" w:rsidRDefault="00A552F8" w:rsidP="00A552F8">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3E588" id="_x0000_t202" coordsize="21600,21600" o:spt="202" path="m,l,21600r21600,l21600,xe">
                <v:stroke joinstyle="miter"/>
                <v:path gradientshapeok="t" o:connecttype="rect"/>
              </v:shapetype>
              <v:shape id="Text Box 9" o:spid="_x0000_s1026" type="#_x0000_t202" style="position:absolute;left:0;text-align:left;margin-left:.5pt;margin-top:.55pt;width:233pt;height:110.5pt;rotation:18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">
                <v:textbox>
                  <w:txbxContent>
                    <w:p w14:paraId="373B97AC" w14:textId="2BB38916" w:rsidR="00A552F8" w:rsidRDefault="002525FB" w:rsidP="002525FB">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(1)</w:t>
                      </w:r>
                      <w:r>
                        <w:rPr>
                          <w:rFonts w:ascii="Calibri" w:hAnsi="Calibri"/>
                          <w:sz w:val="20"/>
                          <w:szCs w:val="20"/>
                          <w:lang w:val="af-ZA"/>
                        </w:rPr>
                        <w:tab/>
                      </w:r>
                      <w:r w:rsidR="00A552F8">
                        <w:rPr>
                          <w:rFonts w:ascii="Calibri" w:hAnsi="Calibri"/>
                          <w:sz w:val="20"/>
                          <w:szCs w:val="20"/>
                          <w:lang w:val="af-ZA"/>
                        </w:rPr>
                        <w:t>REPORTABLE: NO</w:t>
                      </w:r>
                    </w:p>
                    <w:p w14:paraId="043661ED" w14:textId="5D6CA2EF" w:rsidR="00A552F8" w:rsidRDefault="002525FB" w:rsidP="002525FB">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(2)</w:t>
                      </w:r>
                      <w:r>
                        <w:rPr>
                          <w:rFonts w:ascii="Calibri" w:hAnsi="Calibri"/>
                          <w:sz w:val="20"/>
                          <w:szCs w:val="20"/>
                          <w:lang w:val="af-ZA"/>
                        </w:rPr>
                        <w:tab/>
                      </w:r>
                      <w:r w:rsidR="00A552F8">
                        <w:rPr>
                          <w:rFonts w:ascii="Calibri" w:hAnsi="Calibri"/>
                          <w:sz w:val="20"/>
                          <w:szCs w:val="20"/>
                          <w:lang w:val="af-ZA"/>
                        </w:rPr>
                        <w:t>OF INTEREST TO OTHERS JUDGES: NO</w:t>
                      </w:r>
                    </w:p>
                    <w:p w14:paraId="35577CAB" w14:textId="4FE348CC" w:rsidR="00A552F8" w:rsidRDefault="002525FB" w:rsidP="002525FB">
                      <w:pPr>
                        <w:widowControl w:val="0"/>
                        <w:autoSpaceDE w:val="0"/>
                        <w:autoSpaceDN w:val="0"/>
                        <w:adjustRightInd w:val="0"/>
                        <w:ind w:left="426" w:hanging="426"/>
                        <w:contextualSpacing/>
                        <w:rPr>
                          <w:rFonts w:ascii="Calibri" w:hAnsi="Calibri"/>
                          <w:sz w:val="20"/>
                          <w:szCs w:val="20"/>
                          <w:lang w:val="af-ZA"/>
                        </w:rPr>
                      </w:pPr>
                      <w:r>
                        <w:rPr>
                          <w:rFonts w:ascii="Calibri" w:hAnsi="Calibri"/>
                          <w:sz w:val="20"/>
                          <w:szCs w:val="20"/>
                          <w:lang w:val="af-ZA"/>
                        </w:rPr>
                        <w:t>(3)</w:t>
                      </w:r>
                      <w:r>
                        <w:rPr>
                          <w:rFonts w:ascii="Calibri" w:hAnsi="Calibri"/>
                          <w:sz w:val="20"/>
                          <w:szCs w:val="20"/>
                          <w:lang w:val="af-ZA"/>
                        </w:rPr>
                        <w:tab/>
                      </w:r>
                      <w:r w:rsidR="00A552F8">
                        <w:rPr>
                          <w:rFonts w:ascii="Calibri" w:hAnsi="Calibri"/>
                          <w:sz w:val="20"/>
                          <w:szCs w:val="20"/>
                          <w:lang w:val="af-ZA"/>
                        </w:rPr>
                        <w:t>REVISED</w:t>
                      </w:r>
                    </w:p>
                    <w:p w14:paraId="78566F1B" w14:textId="22102B55" w:rsidR="00A552F8" w:rsidRDefault="00A552F8" w:rsidP="00A552F8">
                      <w:pPr>
                        <w:tabs>
                          <w:tab w:val="center" w:pos="4320"/>
                          <w:tab w:val="right" w:pos="8640"/>
                        </w:tabs>
                        <w:ind w:left="720"/>
                        <w:contextualSpacing/>
                        <w:rPr>
                          <w:rFonts w:ascii="Calibri" w:hAnsi="Calibri"/>
                          <w:sz w:val="20"/>
                          <w:szCs w:val="20"/>
                          <w:lang w:val="af-ZA"/>
                        </w:rPr>
                      </w:pPr>
                      <w:r>
                        <w:rPr>
                          <w:noProof/>
                          <w:sz w:val="20"/>
                          <w:szCs w:val="20"/>
                          <w:lang w:eastAsia="en-ZA"/>
                        </w:rPr>
                        <w:drawing>
                          <wp:inline distT="0" distB="0" distL="0" distR="0" wp14:anchorId="4C5F5B6E" wp14:editId="014378E3">
                            <wp:extent cx="902970" cy="561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970" cy="561340"/>
                                    </a:xfrm>
                                    <a:prstGeom prst="rect">
                                      <a:avLst/>
                                    </a:prstGeom>
                                    <a:noFill/>
                                    <a:ln>
                                      <a:noFill/>
                                    </a:ln>
                                  </pic:spPr>
                                </pic:pic>
                              </a:graphicData>
                            </a:graphic>
                          </wp:inline>
                        </w:drawing>
                      </w:r>
                      <w:r>
                        <w:rPr>
                          <w:rFonts w:ascii="Calibri" w:hAnsi="Calibri"/>
                          <w:sz w:val="20"/>
                          <w:szCs w:val="20"/>
                          <w:lang w:val="af-ZA"/>
                        </w:rPr>
                        <w:tab/>
                      </w:r>
                      <w:r>
                        <w:rPr>
                          <w:rFonts w:ascii="Calibri" w:hAnsi="Calibri"/>
                          <w:sz w:val="20"/>
                          <w:szCs w:val="20"/>
                          <w:u w:val="dotted"/>
                          <w:lang w:val="af-ZA"/>
                        </w:rPr>
                        <w:t xml:space="preserve"> </w:t>
                      </w:r>
                      <w:r w:rsidR="006447DD">
                        <w:rPr>
                          <w:rFonts w:ascii="Calibri" w:hAnsi="Calibri"/>
                          <w:sz w:val="20"/>
                          <w:szCs w:val="20"/>
                          <w:u w:val="dotted"/>
                          <w:lang w:val="af-ZA"/>
                        </w:rPr>
                        <w:t xml:space="preserve">06 </w:t>
                      </w:r>
                      <w:r w:rsidRPr="006447DD">
                        <w:rPr>
                          <w:rFonts w:ascii="Calibri" w:hAnsi="Calibri"/>
                          <w:sz w:val="20"/>
                          <w:szCs w:val="20"/>
                          <w:u w:val="dotted"/>
                          <w:lang w:val="af-ZA"/>
                        </w:rPr>
                        <w:t>OCTOBER 2022</w:t>
                      </w:r>
                    </w:p>
                    <w:p w14:paraId="26F1477C" w14:textId="77777777" w:rsidR="00A552F8" w:rsidRDefault="00A552F8" w:rsidP="00A552F8">
                      <w:pPr>
                        <w:tabs>
                          <w:tab w:val="center" w:pos="4320"/>
                          <w:tab w:val="right" w:pos="8640"/>
                        </w:tabs>
                        <w:rPr>
                          <w:rFonts w:ascii="Calibri" w:hAnsi="Calibri"/>
                          <w:sz w:val="20"/>
                          <w:szCs w:val="20"/>
                          <w:lang w:val="af-ZA"/>
                        </w:rPr>
                      </w:pPr>
                      <w:r>
                        <w:rPr>
                          <w:rFonts w:ascii="Calibri" w:hAnsi="Calibri"/>
                          <w:b/>
                          <w:sz w:val="20"/>
                          <w:szCs w:val="20"/>
                          <w:lang w:val="af-ZA"/>
                        </w:rPr>
                        <w:t xml:space="preserve">                 SIGNATURE</w:t>
                      </w:r>
                      <w:r>
                        <w:rPr>
                          <w:rFonts w:ascii="Calibri" w:hAnsi="Calibri"/>
                          <w:sz w:val="20"/>
                          <w:szCs w:val="20"/>
                          <w:lang w:val="af-ZA"/>
                        </w:rPr>
                        <w:t xml:space="preserve">                                       </w:t>
                      </w:r>
                      <w:r>
                        <w:rPr>
                          <w:rFonts w:ascii="Calibri" w:hAnsi="Calibri"/>
                          <w:b/>
                          <w:sz w:val="20"/>
                          <w:szCs w:val="20"/>
                          <w:lang w:val="af-ZA"/>
                        </w:rPr>
                        <w:t xml:space="preserve"> DATE</w:t>
                      </w:r>
                      <w:r>
                        <w:rPr>
                          <w:rFonts w:ascii="Calibri" w:hAnsi="Calibri"/>
                          <w:sz w:val="20"/>
                          <w:szCs w:val="20"/>
                          <w:lang w:val="af-ZA"/>
                        </w:rPr>
                        <w:t xml:space="preserve">  </w:t>
                      </w:r>
                    </w:p>
                  </w:txbxContent>
                </v:textbox>
                <w10:wrap anchorx="margin"/>
              </v:shape>
            </w:pict>
          </mc:Fallback>
        </mc:AlternateContent>
      </w:r>
    </w:p>
    <w:p w14:paraId="5741A93D" w14:textId="77777777" w:rsidR="00A552F8" w:rsidRDefault="00A552F8" w:rsidP="00A552F8">
      <w:pPr>
        <w:spacing w:line="360" w:lineRule="auto"/>
        <w:jc w:val="both"/>
        <w:rPr>
          <w:rFonts w:ascii="Arial" w:hAnsi="Arial" w:cs="Arial"/>
          <w:noProof/>
          <w:lang w:eastAsia="en-ZA"/>
        </w:rPr>
      </w:pPr>
    </w:p>
    <w:p w14:paraId="4BD597FE" w14:textId="77777777" w:rsidR="00A552F8" w:rsidRDefault="00A552F8" w:rsidP="00A552F8">
      <w:pPr>
        <w:spacing w:line="360" w:lineRule="auto"/>
        <w:jc w:val="both"/>
        <w:rPr>
          <w:rFonts w:ascii="Arial" w:hAnsi="Arial" w:cs="Arial"/>
          <w:noProof/>
          <w:lang w:eastAsia="en-ZA"/>
        </w:rPr>
      </w:pPr>
    </w:p>
    <w:p w14:paraId="6CB5C0C2" w14:textId="77777777" w:rsidR="00A552F8" w:rsidRDefault="00A552F8" w:rsidP="00A552F8">
      <w:pPr>
        <w:spacing w:line="360" w:lineRule="auto"/>
        <w:jc w:val="both"/>
        <w:rPr>
          <w:rFonts w:ascii="Arial" w:hAnsi="Arial" w:cs="Arial"/>
          <w:noProof/>
          <w:lang w:eastAsia="en-ZA"/>
        </w:rPr>
      </w:pPr>
    </w:p>
    <w:p w14:paraId="36CA7447" w14:textId="77777777" w:rsidR="00A552F8" w:rsidRDefault="00A552F8" w:rsidP="00A552F8">
      <w:pPr>
        <w:spacing w:line="360" w:lineRule="auto"/>
        <w:jc w:val="both"/>
        <w:rPr>
          <w:rFonts w:ascii="Arial" w:hAnsi="Arial" w:cs="Arial"/>
          <w:noProof/>
          <w:lang w:eastAsia="en-ZA"/>
        </w:rPr>
      </w:pPr>
    </w:p>
    <w:p w14:paraId="7389EF88" w14:textId="68DA5130" w:rsidR="002E4CD5" w:rsidRPr="00A552F8" w:rsidRDefault="002E4CD5" w:rsidP="00A552F8">
      <w:pPr>
        <w:spacing w:line="360" w:lineRule="auto"/>
        <w:jc w:val="both"/>
        <w:rPr>
          <w:rFonts w:ascii="Arial" w:hAnsi="Arial" w:cs="Arial"/>
        </w:rPr>
      </w:pPr>
    </w:p>
    <w:p w14:paraId="3C9BD5A7" w14:textId="77777777" w:rsidR="002E4CD5" w:rsidRPr="00A552F8" w:rsidRDefault="002E4CD5" w:rsidP="00A552F8">
      <w:pPr>
        <w:spacing w:line="360" w:lineRule="auto"/>
        <w:jc w:val="both"/>
        <w:rPr>
          <w:rFonts w:ascii="Arial" w:hAnsi="Arial" w:cs="Arial"/>
        </w:rPr>
      </w:pPr>
      <w:r w:rsidRPr="00A552F8">
        <w:rPr>
          <w:rFonts w:ascii="Arial" w:hAnsi="Arial" w:cs="Arial"/>
        </w:rPr>
        <w:t xml:space="preserve">In the matter between: </w:t>
      </w:r>
    </w:p>
    <w:p w14:paraId="41602CC1" w14:textId="77777777" w:rsidR="002E4CD5" w:rsidRPr="00A552F8" w:rsidRDefault="002E4CD5" w:rsidP="00A552F8">
      <w:pPr>
        <w:spacing w:line="360" w:lineRule="auto"/>
        <w:jc w:val="both"/>
        <w:rPr>
          <w:rFonts w:ascii="Arial" w:hAnsi="Arial" w:cs="Arial"/>
        </w:rPr>
      </w:pPr>
    </w:p>
    <w:p w14:paraId="21A1ADB9" w14:textId="77777777" w:rsidR="002E4CD5" w:rsidRPr="00A552F8" w:rsidRDefault="002E4CD5" w:rsidP="00A552F8">
      <w:pPr>
        <w:tabs>
          <w:tab w:val="left" w:pos="7655"/>
        </w:tabs>
        <w:spacing w:line="360" w:lineRule="auto"/>
        <w:jc w:val="both"/>
        <w:rPr>
          <w:rFonts w:ascii="Arial" w:hAnsi="Arial" w:cs="Arial"/>
        </w:rPr>
      </w:pPr>
      <w:r w:rsidRPr="00A552F8">
        <w:rPr>
          <w:rFonts w:ascii="Arial" w:hAnsi="Arial" w:cs="Arial"/>
          <w:b/>
        </w:rPr>
        <w:t>REHANA SURTIE TAYOB N.O.</w:t>
      </w:r>
      <w:r w:rsidRPr="00A552F8">
        <w:rPr>
          <w:rFonts w:ascii="Arial" w:hAnsi="Arial" w:cs="Arial"/>
          <w:b/>
        </w:rPr>
        <w:tab/>
      </w:r>
      <w:r w:rsidRPr="00A552F8">
        <w:rPr>
          <w:rFonts w:ascii="Arial" w:hAnsi="Arial" w:cs="Arial"/>
        </w:rPr>
        <w:t>First Plaintiff</w:t>
      </w:r>
    </w:p>
    <w:p w14:paraId="5292623B" w14:textId="77777777" w:rsidR="002E4CD5" w:rsidRPr="00A552F8" w:rsidRDefault="002E4CD5" w:rsidP="00A552F8">
      <w:pPr>
        <w:spacing w:line="360" w:lineRule="auto"/>
        <w:jc w:val="both"/>
        <w:rPr>
          <w:rFonts w:ascii="Arial" w:hAnsi="Arial" w:cs="Arial"/>
          <w:b/>
        </w:rPr>
      </w:pPr>
      <w:r w:rsidRPr="00A552F8">
        <w:rPr>
          <w:rFonts w:ascii="Arial" w:hAnsi="Arial" w:cs="Arial"/>
          <w:b/>
        </w:rPr>
        <w:t>(In her capacity as executrix</w:t>
      </w:r>
    </w:p>
    <w:p w14:paraId="54CF4AF9" w14:textId="77777777" w:rsidR="002E4CD5" w:rsidRPr="00A552F8" w:rsidRDefault="002E4CD5" w:rsidP="00A552F8">
      <w:pPr>
        <w:spacing w:line="360" w:lineRule="auto"/>
        <w:jc w:val="both"/>
        <w:rPr>
          <w:rFonts w:ascii="Arial" w:hAnsi="Arial" w:cs="Arial"/>
          <w:b/>
        </w:rPr>
      </w:pPr>
      <w:r w:rsidRPr="00A552F8">
        <w:rPr>
          <w:rFonts w:ascii="Arial" w:hAnsi="Arial" w:cs="Arial"/>
          <w:b/>
        </w:rPr>
        <w:t>In the Estate Late ABDUL RAZAK</w:t>
      </w:r>
    </w:p>
    <w:p w14:paraId="2F7C0E9F" w14:textId="77777777" w:rsidR="002E4CD5" w:rsidRPr="00A552F8" w:rsidRDefault="002E4CD5" w:rsidP="00A552F8">
      <w:pPr>
        <w:spacing w:line="360" w:lineRule="auto"/>
        <w:jc w:val="both"/>
        <w:rPr>
          <w:rFonts w:ascii="Arial" w:hAnsi="Arial" w:cs="Arial"/>
          <w:b/>
        </w:rPr>
      </w:pPr>
      <w:r w:rsidRPr="00A552F8">
        <w:rPr>
          <w:rFonts w:ascii="Arial" w:hAnsi="Arial" w:cs="Arial"/>
          <w:b/>
        </w:rPr>
        <w:t>TAYOB SURTIE)</w:t>
      </w:r>
    </w:p>
    <w:p w14:paraId="4549AD46" w14:textId="77777777" w:rsidR="002E4CD5" w:rsidRPr="00A552F8" w:rsidRDefault="002E4CD5" w:rsidP="00A552F8">
      <w:pPr>
        <w:spacing w:line="360" w:lineRule="auto"/>
        <w:jc w:val="both"/>
        <w:rPr>
          <w:rFonts w:ascii="Arial" w:hAnsi="Arial" w:cs="Arial"/>
          <w:b/>
        </w:rPr>
      </w:pPr>
    </w:p>
    <w:p w14:paraId="36892328" w14:textId="77777777" w:rsidR="002E4CD5" w:rsidRPr="00A552F8" w:rsidRDefault="002E4CD5" w:rsidP="00A552F8">
      <w:pPr>
        <w:tabs>
          <w:tab w:val="left" w:pos="7371"/>
        </w:tabs>
        <w:spacing w:line="360" w:lineRule="auto"/>
        <w:jc w:val="both"/>
        <w:rPr>
          <w:rFonts w:ascii="Arial" w:hAnsi="Arial" w:cs="Arial"/>
        </w:rPr>
      </w:pPr>
      <w:r w:rsidRPr="00A552F8">
        <w:rPr>
          <w:rFonts w:ascii="Arial" w:hAnsi="Arial" w:cs="Arial"/>
          <w:b/>
        </w:rPr>
        <w:t>EDWARD JEFFREY KOORBANALLY</w:t>
      </w:r>
      <w:r w:rsidRPr="00A552F8">
        <w:rPr>
          <w:rFonts w:ascii="Arial" w:hAnsi="Arial" w:cs="Arial"/>
          <w:b/>
        </w:rPr>
        <w:tab/>
      </w:r>
      <w:r w:rsidRPr="00A552F8">
        <w:rPr>
          <w:rFonts w:ascii="Arial" w:hAnsi="Arial" w:cs="Arial"/>
        </w:rPr>
        <w:t>Second Plaintiff</w:t>
      </w:r>
    </w:p>
    <w:p w14:paraId="46168F5F" w14:textId="77777777" w:rsidR="002E4CD5" w:rsidRPr="00A552F8" w:rsidRDefault="002E4CD5" w:rsidP="00A552F8">
      <w:pPr>
        <w:tabs>
          <w:tab w:val="left" w:pos="7371"/>
        </w:tabs>
        <w:spacing w:line="360" w:lineRule="auto"/>
        <w:jc w:val="both"/>
        <w:rPr>
          <w:rFonts w:ascii="Arial" w:hAnsi="Arial" w:cs="Arial"/>
        </w:rPr>
      </w:pPr>
    </w:p>
    <w:p w14:paraId="6A87012E" w14:textId="77777777" w:rsidR="002E4CD5" w:rsidRPr="00A552F8" w:rsidRDefault="002E4CD5" w:rsidP="00A552F8">
      <w:pPr>
        <w:tabs>
          <w:tab w:val="left" w:pos="7371"/>
        </w:tabs>
        <w:spacing w:line="360" w:lineRule="auto"/>
        <w:jc w:val="both"/>
        <w:rPr>
          <w:rFonts w:ascii="Arial" w:hAnsi="Arial" w:cs="Arial"/>
        </w:rPr>
      </w:pPr>
      <w:r w:rsidRPr="00A552F8">
        <w:rPr>
          <w:rFonts w:ascii="Arial" w:hAnsi="Arial" w:cs="Arial"/>
        </w:rPr>
        <w:t>and</w:t>
      </w:r>
    </w:p>
    <w:p w14:paraId="58454176" w14:textId="77777777" w:rsidR="002E4CD5" w:rsidRPr="00A552F8" w:rsidRDefault="002E4CD5" w:rsidP="00A552F8">
      <w:pPr>
        <w:tabs>
          <w:tab w:val="left" w:pos="7371"/>
        </w:tabs>
        <w:spacing w:line="360" w:lineRule="auto"/>
        <w:jc w:val="both"/>
        <w:rPr>
          <w:rFonts w:ascii="Arial" w:hAnsi="Arial" w:cs="Arial"/>
        </w:rPr>
      </w:pPr>
    </w:p>
    <w:p w14:paraId="73ED4074" w14:textId="77777777" w:rsidR="002E4CD5" w:rsidRPr="00A552F8" w:rsidRDefault="002E4CD5" w:rsidP="00A552F8">
      <w:pPr>
        <w:tabs>
          <w:tab w:val="left" w:pos="7371"/>
        </w:tabs>
        <w:spacing w:line="360" w:lineRule="auto"/>
        <w:jc w:val="both"/>
        <w:rPr>
          <w:rFonts w:ascii="Arial" w:hAnsi="Arial" w:cs="Arial"/>
        </w:rPr>
      </w:pPr>
      <w:r w:rsidRPr="00A552F8">
        <w:rPr>
          <w:rFonts w:ascii="Arial" w:hAnsi="Arial" w:cs="Arial"/>
          <w:b/>
        </w:rPr>
        <w:t>PUBLIC INVESTMENT CORPORATION (PIC)</w:t>
      </w:r>
      <w:r w:rsidRPr="00A552F8">
        <w:rPr>
          <w:rFonts w:ascii="Arial" w:hAnsi="Arial" w:cs="Arial"/>
          <w:b/>
        </w:rPr>
        <w:tab/>
      </w:r>
      <w:r w:rsidRPr="00A552F8">
        <w:rPr>
          <w:rFonts w:ascii="Arial" w:hAnsi="Arial" w:cs="Arial"/>
        </w:rPr>
        <w:t>First Defendant</w:t>
      </w:r>
    </w:p>
    <w:p w14:paraId="6FCE9441" w14:textId="77777777" w:rsidR="002E4CD5" w:rsidRPr="00A552F8" w:rsidRDefault="002E4CD5" w:rsidP="00A552F8">
      <w:pPr>
        <w:tabs>
          <w:tab w:val="left" w:pos="7371"/>
        </w:tabs>
        <w:spacing w:line="360" w:lineRule="auto"/>
        <w:jc w:val="both"/>
        <w:rPr>
          <w:rFonts w:ascii="Arial" w:hAnsi="Arial" w:cs="Arial"/>
        </w:rPr>
      </w:pPr>
    </w:p>
    <w:p w14:paraId="1DC7BFE8" w14:textId="1F87F31E" w:rsidR="002E4CD5" w:rsidRPr="00A552F8" w:rsidRDefault="002E4CD5" w:rsidP="00A552F8">
      <w:pPr>
        <w:tabs>
          <w:tab w:val="left" w:pos="7088"/>
        </w:tabs>
        <w:spacing w:line="360" w:lineRule="auto"/>
        <w:jc w:val="both"/>
        <w:rPr>
          <w:rFonts w:ascii="Arial" w:hAnsi="Arial" w:cs="Arial"/>
        </w:rPr>
      </w:pPr>
      <w:r w:rsidRPr="00A552F8">
        <w:rPr>
          <w:rFonts w:ascii="Arial" w:hAnsi="Arial" w:cs="Arial"/>
          <w:b/>
        </w:rPr>
        <w:t>ABSA GROUP LIMITED</w:t>
      </w:r>
      <w:r w:rsidR="00A552F8">
        <w:rPr>
          <w:rFonts w:ascii="Arial" w:hAnsi="Arial" w:cs="Arial"/>
          <w:b/>
        </w:rPr>
        <w:t xml:space="preserve">                                                                    </w:t>
      </w:r>
      <w:r w:rsidRPr="00A552F8">
        <w:rPr>
          <w:rFonts w:ascii="Arial" w:hAnsi="Arial" w:cs="Arial"/>
        </w:rPr>
        <w:t>Second Defendant</w:t>
      </w:r>
    </w:p>
    <w:p w14:paraId="6A938953" w14:textId="77777777" w:rsidR="002E4CD5" w:rsidRPr="00A552F8" w:rsidRDefault="002E4CD5" w:rsidP="00A552F8">
      <w:pPr>
        <w:pBdr>
          <w:top w:val="single" w:sz="12" w:space="1" w:color="auto"/>
          <w:bottom w:val="single" w:sz="12" w:space="1" w:color="auto"/>
        </w:pBdr>
        <w:spacing w:line="360" w:lineRule="auto"/>
        <w:contextualSpacing/>
        <w:jc w:val="both"/>
        <w:rPr>
          <w:rFonts w:ascii="Arial" w:hAnsi="Arial" w:cs="Arial"/>
          <w:b/>
        </w:rPr>
      </w:pPr>
    </w:p>
    <w:p w14:paraId="3908362E" w14:textId="7FD4095E" w:rsidR="002E4CD5" w:rsidRPr="00A552F8" w:rsidRDefault="002E4CD5" w:rsidP="00A552F8">
      <w:pPr>
        <w:pBdr>
          <w:top w:val="single" w:sz="12" w:space="1" w:color="auto"/>
          <w:bottom w:val="single" w:sz="12" w:space="1" w:color="auto"/>
        </w:pBdr>
        <w:spacing w:line="360" w:lineRule="auto"/>
        <w:contextualSpacing/>
        <w:jc w:val="center"/>
        <w:rPr>
          <w:rFonts w:ascii="Arial" w:hAnsi="Arial" w:cs="Arial"/>
          <w:b/>
        </w:rPr>
      </w:pPr>
      <w:r w:rsidRPr="00A552F8">
        <w:rPr>
          <w:rFonts w:ascii="Arial" w:hAnsi="Arial" w:cs="Arial"/>
          <w:b/>
        </w:rPr>
        <w:t>JUDGMENT</w:t>
      </w:r>
    </w:p>
    <w:p w14:paraId="0B135450" w14:textId="77777777" w:rsidR="002E4CD5" w:rsidRPr="00A552F8" w:rsidRDefault="002E4CD5" w:rsidP="00A552F8">
      <w:pPr>
        <w:spacing w:line="360" w:lineRule="auto"/>
        <w:jc w:val="both"/>
        <w:rPr>
          <w:rFonts w:ascii="Arial" w:hAnsi="Arial" w:cs="Arial"/>
          <w:b/>
        </w:rPr>
      </w:pPr>
      <w:r w:rsidRPr="00A552F8">
        <w:rPr>
          <w:rFonts w:ascii="Arial" w:hAnsi="Arial" w:cs="Arial"/>
          <w:b/>
        </w:rPr>
        <w:t xml:space="preserve">NDLOKOVANE AJ </w:t>
      </w:r>
    </w:p>
    <w:p w14:paraId="7F962D1E" w14:textId="77777777" w:rsidR="002E4CD5" w:rsidRPr="00A552F8" w:rsidRDefault="002E4CD5" w:rsidP="00A552F8">
      <w:pPr>
        <w:pStyle w:val="NormalWeb"/>
        <w:spacing w:before="0" w:beforeAutospacing="0" w:after="0" w:afterAutospacing="0" w:line="360" w:lineRule="auto"/>
        <w:jc w:val="both"/>
        <w:rPr>
          <w:rFonts w:ascii="Arial" w:hAnsi="Arial" w:cs="Arial"/>
          <w:b/>
          <w:bCs/>
          <w:color w:val="242121"/>
          <w:u w:val="single"/>
          <w:lang w:val="en-GB"/>
        </w:rPr>
      </w:pPr>
    </w:p>
    <w:p w14:paraId="3F4DD09C" w14:textId="77777777" w:rsidR="002E4CD5" w:rsidRPr="00A552F8" w:rsidRDefault="002E4CD5" w:rsidP="00A552F8">
      <w:pPr>
        <w:tabs>
          <w:tab w:val="left" w:pos="6237"/>
          <w:tab w:val="left" w:pos="6521"/>
          <w:tab w:val="left" w:pos="6946"/>
        </w:tabs>
        <w:spacing w:line="360" w:lineRule="auto"/>
        <w:jc w:val="both"/>
        <w:rPr>
          <w:rFonts w:ascii="Arial" w:hAnsi="Arial" w:cs="Arial"/>
          <w:b/>
        </w:rPr>
      </w:pPr>
    </w:p>
    <w:p w14:paraId="6703EE92" w14:textId="77777777" w:rsidR="002E4CD5" w:rsidRPr="00A552F8" w:rsidRDefault="002E4CD5" w:rsidP="00A552F8">
      <w:pPr>
        <w:tabs>
          <w:tab w:val="left" w:pos="7088"/>
        </w:tabs>
        <w:spacing w:line="360" w:lineRule="auto"/>
        <w:jc w:val="both"/>
        <w:rPr>
          <w:rFonts w:ascii="Arial" w:hAnsi="Arial" w:cs="Arial"/>
          <w:b/>
        </w:rPr>
      </w:pPr>
      <w:r w:rsidRPr="00A552F8">
        <w:rPr>
          <w:rFonts w:ascii="Arial" w:hAnsi="Arial" w:cs="Arial"/>
          <w:b/>
        </w:rPr>
        <w:t>INTRODUCTION</w:t>
      </w:r>
    </w:p>
    <w:p w14:paraId="1CE4518D" w14:textId="77777777" w:rsidR="002E4CD5" w:rsidRPr="00A552F8" w:rsidRDefault="002E4CD5" w:rsidP="00A552F8">
      <w:pPr>
        <w:tabs>
          <w:tab w:val="left" w:pos="7088"/>
        </w:tabs>
        <w:spacing w:line="360" w:lineRule="auto"/>
        <w:jc w:val="both"/>
        <w:rPr>
          <w:rFonts w:ascii="Arial" w:hAnsi="Arial" w:cs="Arial"/>
          <w:b/>
        </w:rPr>
      </w:pPr>
    </w:p>
    <w:p w14:paraId="7E194105" w14:textId="2E5F75F7" w:rsidR="002E4CD5" w:rsidRPr="00A552F8" w:rsidRDefault="00DE2AEC" w:rsidP="00A552F8">
      <w:pPr>
        <w:tabs>
          <w:tab w:val="left" w:pos="567"/>
        </w:tabs>
        <w:spacing w:line="360" w:lineRule="auto"/>
        <w:ind w:left="567" w:hanging="567"/>
        <w:jc w:val="both"/>
        <w:rPr>
          <w:rFonts w:ascii="Arial" w:hAnsi="Arial" w:cs="Arial"/>
        </w:rPr>
      </w:pPr>
      <w:r>
        <w:rPr>
          <w:rFonts w:ascii="Arial" w:hAnsi="Arial" w:cs="Arial"/>
        </w:rPr>
        <w:t>[</w:t>
      </w:r>
      <w:r w:rsidR="002E4CD5" w:rsidRPr="00A552F8">
        <w:rPr>
          <w:rFonts w:ascii="Arial" w:hAnsi="Arial" w:cs="Arial"/>
        </w:rPr>
        <w:t>1.</w:t>
      </w:r>
      <w:r>
        <w:rPr>
          <w:rFonts w:ascii="Arial" w:hAnsi="Arial" w:cs="Arial"/>
        </w:rPr>
        <w:t>]</w:t>
      </w:r>
      <w:r w:rsidR="002E4CD5" w:rsidRPr="00A552F8">
        <w:rPr>
          <w:rFonts w:ascii="Arial" w:hAnsi="Arial" w:cs="Arial"/>
        </w:rPr>
        <w:tab/>
        <w:t xml:space="preserve">This court is called upon to adjudicate an </w:t>
      </w:r>
      <w:r w:rsidR="0001409F">
        <w:rPr>
          <w:rFonts w:ascii="Arial" w:hAnsi="Arial" w:cs="Arial"/>
        </w:rPr>
        <w:t xml:space="preserve">opposed </w:t>
      </w:r>
      <w:r w:rsidR="002E4CD5" w:rsidRPr="00A552F8">
        <w:rPr>
          <w:rFonts w:ascii="Arial" w:hAnsi="Arial" w:cs="Arial"/>
        </w:rPr>
        <w:t>exception taken by the First Defendant to the Plaintiffs’ amended particulars of claim</w:t>
      </w:r>
      <w:r w:rsidR="0001409F">
        <w:rPr>
          <w:rFonts w:ascii="Arial" w:hAnsi="Arial" w:cs="Arial"/>
        </w:rPr>
        <w:t>.</w:t>
      </w:r>
    </w:p>
    <w:p w14:paraId="29E062DD" w14:textId="77777777" w:rsidR="002E4CD5" w:rsidRPr="00A552F8" w:rsidRDefault="002E4CD5" w:rsidP="00A552F8">
      <w:pPr>
        <w:tabs>
          <w:tab w:val="left" w:pos="567"/>
        </w:tabs>
        <w:spacing w:line="360" w:lineRule="auto"/>
        <w:ind w:left="567" w:hanging="567"/>
        <w:jc w:val="both"/>
        <w:rPr>
          <w:rFonts w:ascii="Arial" w:hAnsi="Arial" w:cs="Arial"/>
        </w:rPr>
      </w:pPr>
    </w:p>
    <w:p w14:paraId="203D907A" w14:textId="6A12325A" w:rsidR="002E4CD5" w:rsidRDefault="00DE2AEC" w:rsidP="00A552F8">
      <w:pPr>
        <w:tabs>
          <w:tab w:val="left" w:pos="567"/>
        </w:tabs>
        <w:spacing w:line="360" w:lineRule="auto"/>
        <w:ind w:left="567" w:hanging="567"/>
        <w:jc w:val="both"/>
        <w:rPr>
          <w:rFonts w:ascii="Arial" w:hAnsi="Arial" w:cs="Arial"/>
        </w:rPr>
      </w:pPr>
      <w:r>
        <w:rPr>
          <w:rFonts w:ascii="Arial" w:hAnsi="Arial" w:cs="Arial"/>
        </w:rPr>
        <w:t>[</w:t>
      </w:r>
      <w:r w:rsidR="002E4CD5" w:rsidRPr="00A552F8">
        <w:rPr>
          <w:rFonts w:ascii="Arial" w:hAnsi="Arial" w:cs="Arial"/>
        </w:rPr>
        <w:t>2.</w:t>
      </w:r>
      <w:r>
        <w:rPr>
          <w:rFonts w:ascii="Arial" w:hAnsi="Arial" w:cs="Arial"/>
        </w:rPr>
        <w:t>]</w:t>
      </w:r>
      <w:r w:rsidR="002E4CD5" w:rsidRPr="00A552F8">
        <w:rPr>
          <w:rFonts w:ascii="Arial" w:hAnsi="Arial" w:cs="Arial"/>
        </w:rPr>
        <w:tab/>
        <w:t>The litigat</w:t>
      </w:r>
      <w:r w:rsidR="0078266C">
        <w:rPr>
          <w:rFonts w:ascii="Arial" w:hAnsi="Arial" w:cs="Arial"/>
        </w:rPr>
        <w:t xml:space="preserve">ion in this matter commenced in </w:t>
      </w:r>
      <w:r w:rsidR="002E4CD5" w:rsidRPr="00A552F8">
        <w:rPr>
          <w:rFonts w:ascii="Arial" w:hAnsi="Arial" w:cs="Arial"/>
        </w:rPr>
        <w:t>the Western Cape Division of the High Court of South Africa, Cape Town</w:t>
      </w:r>
      <w:r w:rsidR="0078266C">
        <w:rPr>
          <w:rFonts w:ascii="Arial" w:hAnsi="Arial" w:cs="Arial"/>
        </w:rPr>
        <w:t xml:space="preserve">. However, the </w:t>
      </w:r>
      <w:r w:rsidR="00C30C35">
        <w:rPr>
          <w:rFonts w:ascii="Arial" w:hAnsi="Arial" w:cs="Arial"/>
        </w:rPr>
        <w:t xml:space="preserve">first </w:t>
      </w:r>
      <w:r w:rsidR="0078266C">
        <w:rPr>
          <w:rFonts w:ascii="Arial" w:hAnsi="Arial" w:cs="Arial"/>
        </w:rPr>
        <w:t xml:space="preserve">defendant </w:t>
      </w:r>
      <w:r w:rsidR="00C30C35">
        <w:rPr>
          <w:rFonts w:ascii="Arial" w:hAnsi="Arial" w:cs="Arial"/>
        </w:rPr>
        <w:t>successfully raised an exception on</w:t>
      </w:r>
      <w:r w:rsidR="0078266C">
        <w:rPr>
          <w:rFonts w:ascii="Arial" w:hAnsi="Arial" w:cs="Arial"/>
        </w:rPr>
        <w:t xml:space="preserve"> ground</w:t>
      </w:r>
      <w:r w:rsidR="00C30C35">
        <w:rPr>
          <w:rFonts w:ascii="Arial" w:hAnsi="Arial" w:cs="Arial"/>
        </w:rPr>
        <w:t>s</w:t>
      </w:r>
      <w:r w:rsidR="0078266C">
        <w:rPr>
          <w:rFonts w:ascii="Arial" w:hAnsi="Arial" w:cs="Arial"/>
        </w:rPr>
        <w:t xml:space="preserve"> of jurisdiction</w:t>
      </w:r>
      <w:r w:rsidR="00C30C35">
        <w:rPr>
          <w:rFonts w:ascii="Arial" w:hAnsi="Arial" w:cs="Arial"/>
        </w:rPr>
        <w:t>.</w:t>
      </w:r>
      <w:r w:rsidR="0078266C">
        <w:rPr>
          <w:rFonts w:ascii="Arial" w:hAnsi="Arial" w:cs="Arial"/>
        </w:rPr>
        <w:t xml:space="preserve"> As a result,</w:t>
      </w:r>
      <w:r w:rsidR="002E4CD5" w:rsidRPr="00A552F8">
        <w:rPr>
          <w:rFonts w:ascii="Arial" w:hAnsi="Arial" w:cs="Arial"/>
        </w:rPr>
        <w:t xml:space="preserve"> the matter was subsequently enrolled with this court.</w:t>
      </w:r>
    </w:p>
    <w:p w14:paraId="5722901E" w14:textId="77777777" w:rsidR="00DE2AEC" w:rsidRPr="00A552F8" w:rsidRDefault="00DE2AEC" w:rsidP="00A552F8">
      <w:pPr>
        <w:tabs>
          <w:tab w:val="left" w:pos="567"/>
        </w:tabs>
        <w:spacing w:line="360" w:lineRule="auto"/>
        <w:ind w:left="567" w:hanging="567"/>
        <w:jc w:val="both"/>
        <w:rPr>
          <w:rFonts w:ascii="Arial" w:hAnsi="Arial" w:cs="Arial"/>
        </w:rPr>
      </w:pPr>
    </w:p>
    <w:p w14:paraId="74DC6A24" w14:textId="2EE76E60" w:rsidR="002E4CD5" w:rsidRDefault="00DE2AEC" w:rsidP="00A552F8">
      <w:pPr>
        <w:tabs>
          <w:tab w:val="left" w:pos="567"/>
        </w:tabs>
        <w:spacing w:line="360" w:lineRule="auto"/>
        <w:ind w:left="567" w:hanging="567"/>
        <w:jc w:val="both"/>
        <w:rPr>
          <w:rFonts w:ascii="Arial" w:hAnsi="Arial" w:cs="Arial"/>
          <w:b/>
          <w:bCs/>
        </w:rPr>
      </w:pPr>
      <w:r w:rsidRPr="00DE2AEC">
        <w:rPr>
          <w:rFonts w:ascii="Arial" w:hAnsi="Arial" w:cs="Arial"/>
          <w:b/>
          <w:bCs/>
        </w:rPr>
        <w:t>THE PARTIES</w:t>
      </w:r>
    </w:p>
    <w:p w14:paraId="7F821FE7" w14:textId="77777777" w:rsidR="00831090" w:rsidRDefault="00831090" w:rsidP="00A552F8">
      <w:pPr>
        <w:tabs>
          <w:tab w:val="left" w:pos="567"/>
        </w:tabs>
        <w:spacing w:line="360" w:lineRule="auto"/>
        <w:ind w:left="567" w:hanging="567"/>
        <w:jc w:val="both"/>
        <w:rPr>
          <w:rFonts w:ascii="Arial" w:hAnsi="Arial" w:cs="Arial"/>
          <w:b/>
          <w:bCs/>
        </w:rPr>
      </w:pPr>
    </w:p>
    <w:p w14:paraId="653DA6B2" w14:textId="5CD426CD" w:rsidR="00DE2AEC" w:rsidRDefault="00DE2AEC" w:rsidP="00A552F8">
      <w:pPr>
        <w:tabs>
          <w:tab w:val="left" w:pos="567"/>
        </w:tabs>
        <w:spacing w:line="360" w:lineRule="auto"/>
        <w:ind w:left="567" w:hanging="567"/>
        <w:jc w:val="both"/>
        <w:rPr>
          <w:rFonts w:ascii="Arial" w:hAnsi="Arial" w:cs="Arial"/>
        </w:rPr>
      </w:pPr>
      <w:r>
        <w:rPr>
          <w:rFonts w:ascii="Arial" w:hAnsi="Arial" w:cs="Arial"/>
          <w:b/>
          <w:bCs/>
        </w:rPr>
        <w:t xml:space="preserve">[3.]  </w:t>
      </w:r>
      <w:r w:rsidRPr="00DE2AEC">
        <w:rPr>
          <w:rFonts w:ascii="Arial" w:hAnsi="Arial" w:cs="Arial"/>
        </w:rPr>
        <w:t>The first</w:t>
      </w:r>
      <w:r>
        <w:rPr>
          <w:rFonts w:ascii="Arial" w:hAnsi="Arial" w:cs="Arial"/>
          <w:b/>
          <w:bCs/>
        </w:rPr>
        <w:t xml:space="preserve"> </w:t>
      </w:r>
      <w:r w:rsidRPr="00DE2AEC">
        <w:rPr>
          <w:rFonts w:ascii="Arial" w:hAnsi="Arial" w:cs="Arial"/>
        </w:rPr>
        <w:t>plaintiff</w:t>
      </w:r>
      <w:r>
        <w:rPr>
          <w:rFonts w:ascii="Arial" w:hAnsi="Arial" w:cs="Arial"/>
        </w:rPr>
        <w:t xml:space="preserve"> based in Lesotho, is the wife and executrix of the estate of the late Abdul Razak Tayob Surtie</w:t>
      </w:r>
      <w:r w:rsidR="006447DD">
        <w:rPr>
          <w:rFonts w:ascii="Arial" w:hAnsi="Arial" w:cs="Arial"/>
        </w:rPr>
        <w:t xml:space="preserve"> </w:t>
      </w:r>
      <w:r>
        <w:rPr>
          <w:rFonts w:ascii="Arial" w:hAnsi="Arial" w:cs="Arial"/>
        </w:rPr>
        <w:t>(the deceased).</w:t>
      </w:r>
      <w:r w:rsidR="006447DD">
        <w:rPr>
          <w:rFonts w:ascii="Arial" w:hAnsi="Arial" w:cs="Arial"/>
        </w:rPr>
        <w:t xml:space="preserve"> </w:t>
      </w:r>
      <w:r>
        <w:rPr>
          <w:rFonts w:ascii="Arial" w:hAnsi="Arial" w:cs="Arial"/>
        </w:rPr>
        <w:t>The second plaintiff is the agent of the first plaintiff and is based in Cape Town.</w:t>
      </w:r>
    </w:p>
    <w:p w14:paraId="69DA8B90" w14:textId="54026E56" w:rsidR="00DE2AEC" w:rsidRDefault="00DE2AEC" w:rsidP="00A552F8">
      <w:pPr>
        <w:tabs>
          <w:tab w:val="left" w:pos="567"/>
        </w:tabs>
        <w:spacing w:line="360" w:lineRule="auto"/>
        <w:ind w:left="567" w:hanging="567"/>
        <w:jc w:val="both"/>
        <w:rPr>
          <w:rFonts w:ascii="Arial" w:hAnsi="Arial" w:cs="Arial"/>
        </w:rPr>
      </w:pPr>
      <w:r>
        <w:rPr>
          <w:rFonts w:ascii="Arial" w:hAnsi="Arial" w:cs="Arial"/>
          <w:b/>
          <w:bCs/>
        </w:rPr>
        <w:t xml:space="preserve">[4.] </w:t>
      </w:r>
      <w:r w:rsidRPr="00DE2AEC">
        <w:rPr>
          <w:rFonts w:ascii="Arial" w:hAnsi="Arial" w:cs="Arial"/>
        </w:rPr>
        <w:t>The Second Defendant</w:t>
      </w:r>
      <w:r w:rsidR="00831090">
        <w:rPr>
          <w:rFonts w:ascii="Arial" w:hAnsi="Arial" w:cs="Arial"/>
        </w:rPr>
        <w:t xml:space="preserve"> is ABSA Group Limited, with principal place of business in Johannesburg, holding account0000/4444.</w:t>
      </w:r>
    </w:p>
    <w:p w14:paraId="7C4FB540" w14:textId="77777777" w:rsidR="006447DD" w:rsidRPr="00DE2AEC" w:rsidRDefault="006447DD" w:rsidP="00A552F8">
      <w:pPr>
        <w:tabs>
          <w:tab w:val="left" w:pos="567"/>
        </w:tabs>
        <w:spacing w:line="360" w:lineRule="auto"/>
        <w:ind w:left="567" w:hanging="567"/>
        <w:jc w:val="both"/>
        <w:rPr>
          <w:rFonts w:ascii="Arial" w:hAnsi="Arial" w:cs="Arial"/>
          <w:b/>
          <w:bCs/>
        </w:rPr>
      </w:pPr>
    </w:p>
    <w:p w14:paraId="46E0CE67" w14:textId="77777777" w:rsidR="002E4CD5" w:rsidRPr="00A552F8" w:rsidRDefault="002E4CD5" w:rsidP="00A552F8">
      <w:pPr>
        <w:tabs>
          <w:tab w:val="left" w:pos="567"/>
        </w:tabs>
        <w:spacing w:line="360" w:lineRule="auto"/>
        <w:ind w:left="567" w:hanging="567"/>
        <w:jc w:val="both"/>
        <w:rPr>
          <w:rFonts w:ascii="Arial" w:hAnsi="Arial" w:cs="Arial"/>
          <w:b/>
        </w:rPr>
      </w:pPr>
      <w:r w:rsidRPr="00A552F8">
        <w:rPr>
          <w:rFonts w:ascii="Arial" w:hAnsi="Arial" w:cs="Arial"/>
          <w:b/>
        </w:rPr>
        <w:t>BACKGROUND FACTS</w:t>
      </w:r>
    </w:p>
    <w:p w14:paraId="395B31D7" w14:textId="77777777" w:rsidR="002E4CD5" w:rsidRPr="00A552F8" w:rsidRDefault="002E4CD5" w:rsidP="00A552F8">
      <w:pPr>
        <w:tabs>
          <w:tab w:val="left" w:pos="567"/>
        </w:tabs>
        <w:spacing w:line="360" w:lineRule="auto"/>
        <w:ind w:left="567" w:hanging="567"/>
        <w:jc w:val="both"/>
        <w:rPr>
          <w:rFonts w:ascii="Arial" w:hAnsi="Arial" w:cs="Arial"/>
          <w:b/>
        </w:rPr>
      </w:pPr>
    </w:p>
    <w:p w14:paraId="7A93D893" w14:textId="4AA30A79" w:rsidR="002E4CD5" w:rsidRPr="00A552F8" w:rsidRDefault="00831090" w:rsidP="00A552F8">
      <w:pPr>
        <w:tabs>
          <w:tab w:val="left" w:pos="567"/>
        </w:tabs>
        <w:spacing w:line="360" w:lineRule="auto"/>
        <w:ind w:left="567" w:hanging="567"/>
        <w:jc w:val="both"/>
        <w:rPr>
          <w:rFonts w:ascii="Arial" w:hAnsi="Arial" w:cs="Arial"/>
        </w:rPr>
      </w:pPr>
      <w:r>
        <w:rPr>
          <w:rFonts w:ascii="Arial" w:hAnsi="Arial" w:cs="Arial"/>
        </w:rPr>
        <w:t>[5</w:t>
      </w:r>
      <w:r w:rsidR="002E4CD5" w:rsidRPr="00A552F8">
        <w:rPr>
          <w:rFonts w:ascii="Arial" w:hAnsi="Arial" w:cs="Arial"/>
        </w:rPr>
        <w:t>.</w:t>
      </w:r>
      <w:r>
        <w:rPr>
          <w:rFonts w:ascii="Arial" w:hAnsi="Arial" w:cs="Arial"/>
        </w:rPr>
        <w:t>]</w:t>
      </w:r>
      <w:r w:rsidR="002E4CD5" w:rsidRPr="00A552F8">
        <w:rPr>
          <w:rFonts w:ascii="Arial" w:hAnsi="Arial" w:cs="Arial"/>
        </w:rPr>
        <w:tab/>
        <w:t>The Plaintiffs adduced amongst others the following facts in support of their claim in the main action:</w:t>
      </w:r>
    </w:p>
    <w:p w14:paraId="14E86695" w14:textId="77777777" w:rsidR="002E4CD5" w:rsidRPr="00A552F8" w:rsidRDefault="002E4CD5" w:rsidP="00A552F8">
      <w:pPr>
        <w:tabs>
          <w:tab w:val="left" w:pos="567"/>
        </w:tabs>
        <w:spacing w:line="360" w:lineRule="auto"/>
        <w:ind w:left="567" w:hanging="567"/>
        <w:jc w:val="both"/>
        <w:rPr>
          <w:rFonts w:ascii="Arial" w:hAnsi="Arial" w:cs="Arial"/>
        </w:rPr>
      </w:pPr>
    </w:p>
    <w:p w14:paraId="32B41A40" w14:textId="7C8E031B"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tab/>
      </w:r>
      <w:r w:rsidR="00831090">
        <w:rPr>
          <w:rFonts w:ascii="Arial" w:hAnsi="Arial" w:cs="Arial"/>
        </w:rPr>
        <w:t>5</w:t>
      </w:r>
      <w:r w:rsidRPr="00A552F8">
        <w:rPr>
          <w:rFonts w:ascii="Arial" w:hAnsi="Arial" w:cs="Arial"/>
        </w:rPr>
        <w:t>.1</w:t>
      </w:r>
      <w:r w:rsidRPr="00A552F8">
        <w:rPr>
          <w:rFonts w:ascii="Arial" w:hAnsi="Arial" w:cs="Arial"/>
        </w:rPr>
        <w:tab/>
        <w:t>The late ART Surtie (“the deceased”) is the beneficiary of offshore inheritance assets which were repatriated during 1984, after such repatriation was initiated by the Lesotho Branch of Barclays Bank Limited;</w:t>
      </w:r>
    </w:p>
    <w:p w14:paraId="425FE4F6" w14:textId="77777777" w:rsidR="002E4CD5" w:rsidRPr="00A552F8" w:rsidRDefault="002E4CD5" w:rsidP="00A552F8">
      <w:pPr>
        <w:tabs>
          <w:tab w:val="left" w:pos="567"/>
        </w:tabs>
        <w:spacing w:line="360" w:lineRule="auto"/>
        <w:ind w:left="1440" w:hanging="1440"/>
        <w:jc w:val="both"/>
        <w:rPr>
          <w:rFonts w:ascii="Arial" w:hAnsi="Arial" w:cs="Arial"/>
        </w:rPr>
      </w:pPr>
    </w:p>
    <w:p w14:paraId="73DF97CB" w14:textId="58E420E9"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tab/>
      </w:r>
      <w:r w:rsidR="00831090">
        <w:rPr>
          <w:rFonts w:ascii="Arial" w:hAnsi="Arial" w:cs="Arial"/>
        </w:rPr>
        <w:t>5</w:t>
      </w:r>
      <w:r w:rsidRPr="00A552F8">
        <w:rPr>
          <w:rFonts w:ascii="Arial" w:hAnsi="Arial" w:cs="Arial"/>
        </w:rPr>
        <w:t>.2</w:t>
      </w:r>
      <w:r w:rsidRPr="00A552F8">
        <w:rPr>
          <w:rFonts w:ascii="Arial" w:hAnsi="Arial" w:cs="Arial"/>
        </w:rPr>
        <w:tab/>
        <w:t>The source of those funds was from diamond mining claims and investments done with Share Certificate Portfolio 7315 (“the Share Certificate”) after having been involved in commercial trade as far back as 1896;</w:t>
      </w:r>
    </w:p>
    <w:p w14:paraId="63CF2C32" w14:textId="77777777" w:rsidR="002E4CD5" w:rsidRPr="00A552F8" w:rsidRDefault="002E4CD5" w:rsidP="00A552F8">
      <w:pPr>
        <w:tabs>
          <w:tab w:val="left" w:pos="567"/>
        </w:tabs>
        <w:spacing w:line="360" w:lineRule="auto"/>
        <w:ind w:left="1440" w:hanging="1440"/>
        <w:jc w:val="both"/>
        <w:rPr>
          <w:rFonts w:ascii="Arial" w:hAnsi="Arial" w:cs="Arial"/>
        </w:rPr>
      </w:pPr>
    </w:p>
    <w:p w14:paraId="1DDF7845" w14:textId="2D11F22F"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lastRenderedPageBreak/>
        <w:tab/>
        <w:t>3.3</w:t>
      </w:r>
      <w:r w:rsidRPr="00A552F8">
        <w:rPr>
          <w:rFonts w:ascii="Arial" w:hAnsi="Arial" w:cs="Arial"/>
        </w:rPr>
        <w:tab/>
        <w:t>The Share Certificate with Portfolio Number 7315 is globally recognised as a financial trading instru</w:t>
      </w:r>
      <w:r w:rsidR="0008187B">
        <w:rPr>
          <w:rFonts w:ascii="Arial" w:hAnsi="Arial" w:cs="Arial"/>
        </w:rPr>
        <w:t xml:space="preserve">ment for precious metals and </w:t>
      </w:r>
      <w:r w:rsidRPr="00A552F8">
        <w:rPr>
          <w:rFonts w:ascii="Arial" w:hAnsi="Arial" w:cs="Arial"/>
        </w:rPr>
        <w:t>is commonly known as Trust Bonds paying dividends every 3 years;</w:t>
      </w:r>
    </w:p>
    <w:p w14:paraId="2115BD72" w14:textId="77777777" w:rsidR="002E4CD5" w:rsidRPr="00A552F8" w:rsidRDefault="002E4CD5" w:rsidP="00A552F8">
      <w:pPr>
        <w:tabs>
          <w:tab w:val="left" w:pos="567"/>
        </w:tabs>
        <w:spacing w:line="360" w:lineRule="auto"/>
        <w:ind w:left="1440" w:hanging="1440"/>
        <w:jc w:val="both"/>
        <w:rPr>
          <w:rFonts w:ascii="Arial" w:hAnsi="Arial" w:cs="Arial"/>
        </w:rPr>
      </w:pPr>
    </w:p>
    <w:p w14:paraId="5A1171BD" w14:textId="1F74EDCD"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tab/>
        <w:t>3.4</w:t>
      </w:r>
      <w:r w:rsidRPr="00A552F8">
        <w:rPr>
          <w:rFonts w:ascii="Arial" w:hAnsi="Arial" w:cs="Arial"/>
        </w:rPr>
        <w:tab/>
        <w:t>The Share Certificate and the accompanying rights and obligations were transferred to the deceased during 1923 and that by operation of law the deceased became the beneficiary of the assets and funds held by the said certificate;</w:t>
      </w:r>
    </w:p>
    <w:p w14:paraId="6A4549C2" w14:textId="77777777" w:rsidR="002E4CD5" w:rsidRPr="00A552F8" w:rsidRDefault="002E4CD5" w:rsidP="00A552F8">
      <w:pPr>
        <w:tabs>
          <w:tab w:val="left" w:pos="567"/>
        </w:tabs>
        <w:spacing w:line="360" w:lineRule="auto"/>
        <w:ind w:left="1440" w:hanging="1440"/>
        <w:jc w:val="both"/>
        <w:rPr>
          <w:rFonts w:ascii="Arial" w:hAnsi="Arial" w:cs="Arial"/>
        </w:rPr>
      </w:pPr>
    </w:p>
    <w:p w14:paraId="7F2B791B" w14:textId="5D7A06C3"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tab/>
        <w:t>3.5</w:t>
      </w:r>
      <w:r w:rsidRPr="00A552F8">
        <w:rPr>
          <w:rFonts w:ascii="Arial" w:hAnsi="Arial" w:cs="Arial"/>
        </w:rPr>
        <w:tab/>
        <w:t>The Share Certificate was put on stock exchange trade with the London Stock Exchange which was managed by Barclays Bank International;</w:t>
      </w:r>
    </w:p>
    <w:p w14:paraId="41D1F4A6" w14:textId="77777777" w:rsidR="002E4CD5" w:rsidRPr="00A552F8" w:rsidRDefault="002E4CD5" w:rsidP="00A552F8">
      <w:pPr>
        <w:tabs>
          <w:tab w:val="left" w:pos="567"/>
        </w:tabs>
        <w:spacing w:line="360" w:lineRule="auto"/>
        <w:ind w:left="1440" w:hanging="1440"/>
        <w:jc w:val="both"/>
        <w:rPr>
          <w:rFonts w:ascii="Arial" w:hAnsi="Arial" w:cs="Arial"/>
        </w:rPr>
      </w:pPr>
    </w:p>
    <w:p w14:paraId="2EA35740" w14:textId="5A837F0F"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tab/>
        <w:t>3.6</w:t>
      </w:r>
      <w:r w:rsidRPr="00A552F8">
        <w:rPr>
          <w:rFonts w:ascii="Arial" w:hAnsi="Arial" w:cs="Arial"/>
        </w:rPr>
        <w:tab/>
        <w:t>The Second Plaintiff established from the Second Defendant that assets relating to the Share Certificate (belonging to the deceased) in the amount of $36 billion (Thirty-six Billion United States Dollars) was transferred into the account of the deceased on 10 December 1984;</w:t>
      </w:r>
    </w:p>
    <w:p w14:paraId="4B570F03" w14:textId="77777777" w:rsidR="002E4CD5" w:rsidRPr="00A552F8" w:rsidRDefault="002E4CD5" w:rsidP="00A552F8">
      <w:pPr>
        <w:tabs>
          <w:tab w:val="left" w:pos="567"/>
        </w:tabs>
        <w:spacing w:line="360" w:lineRule="auto"/>
        <w:ind w:left="1440" w:hanging="1440"/>
        <w:jc w:val="both"/>
        <w:rPr>
          <w:rFonts w:ascii="Arial" w:hAnsi="Arial" w:cs="Arial"/>
        </w:rPr>
      </w:pPr>
    </w:p>
    <w:p w14:paraId="65E7BAFB" w14:textId="0D47B582"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tab/>
        <w:t>3.7</w:t>
      </w:r>
      <w:r w:rsidRPr="00A552F8">
        <w:rPr>
          <w:rFonts w:ascii="Arial" w:hAnsi="Arial" w:cs="Arial"/>
        </w:rPr>
        <w:tab/>
        <w:t>The account of the deceased is held with the Second Defendant under account name A (MM) Surtie with account number 0000/4444;</w:t>
      </w:r>
    </w:p>
    <w:p w14:paraId="05FD27AC" w14:textId="77777777" w:rsidR="002E4CD5" w:rsidRPr="00A552F8" w:rsidRDefault="002E4CD5" w:rsidP="00A552F8">
      <w:pPr>
        <w:tabs>
          <w:tab w:val="left" w:pos="567"/>
        </w:tabs>
        <w:spacing w:line="360" w:lineRule="auto"/>
        <w:ind w:left="1440" w:hanging="1440"/>
        <w:jc w:val="both"/>
        <w:rPr>
          <w:rFonts w:ascii="Arial" w:hAnsi="Arial" w:cs="Arial"/>
        </w:rPr>
      </w:pPr>
    </w:p>
    <w:p w14:paraId="5BE7A7F5" w14:textId="14378BAF"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tab/>
        <w:t>3.8</w:t>
      </w:r>
      <w:r w:rsidRPr="00A552F8">
        <w:rPr>
          <w:rFonts w:ascii="Arial" w:hAnsi="Arial" w:cs="Arial"/>
        </w:rPr>
        <w:tab/>
        <w:t xml:space="preserve">On 7 June 1985, six months after the date of transfer of the said funds, it was converted to South African currency in the total amount </w:t>
      </w:r>
      <w:r w:rsidR="00EC28AA">
        <w:rPr>
          <w:rFonts w:ascii="Arial" w:hAnsi="Arial" w:cs="Arial"/>
        </w:rPr>
        <w:t>of</w:t>
      </w:r>
      <w:r w:rsidRPr="00A552F8">
        <w:rPr>
          <w:rFonts w:ascii="Arial" w:hAnsi="Arial" w:cs="Arial"/>
        </w:rPr>
        <w:t xml:space="preserve"> R87.84 billion;</w:t>
      </w:r>
    </w:p>
    <w:p w14:paraId="61233DDD" w14:textId="77777777" w:rsidR="002E4CD5" w:rsidRPr="00A552F8" w:rsidRDefault="002E4CD5" w:rsidP="00A552F8">
      <w:pPr>
        <w:tabs>
          <w:tab w:val="left" w:pos="567"/>
        </w:tabs>
        <w:spacing w:line="360" w:lineRule="auto"/>
        <w:ind w:left="1440" w:hanging="1440"/>
        <w:jc w:val="both"/>
        <w:rPr>
          <w:rFonts w:ascii="Arial" w:hAnsi="Arial" w:cs="Arial"/>
        </w:rPr>
      </w:pPr>
    </w:p>
    <w:p w14:paraId="20093BA7" w14:textId="6579367D"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tab/>
        <w:t>3.9</w:t>
      </w:r>
      <w:r w:rsidRPr="00A552F8">
        <w:rPr>
          <w:rFonts w:ascii="Arial" w:hAnsi="Arial" w:cs="Arial"/>
        </w:rPr>
        <w:tab/>
        <w:t>The funds of the deceased were invested in government bonds RSA 150 and RSA 153 and that the amounts earned from the aforesaid investments equalled a total amount in the sum of R1.35 trillion;</w:t>
      </w:r>
    </w:p>
    <w:p w14:paraId="1D422C85" w14:textId="77777777" w:rsidR="002E4CD5" w:rsidRPr="00A552F8" w:rsidRDefault="002E4CD5" w:rsidP="00A552F8">
      <w:pPr>
        <w:tabs>
          <w:tab w:val="left" w:pos="567"/>
        </w:tabs>
        <w:spacing w:line="360" w:lineRule="auto"/>
        <w:ind w:left="1440" w:hanging="1440"/>
        <w:jc w:val="both"/>
        <w:rPr>
          <w:rFonts w:ascii="Arial" w:hAnsi="Arial" w:cs="Arial"/>
        </w:rPr>
      </w:pPr>
    </w:p>
    <w:p w14:paraId="0EB29C4C" w14:textId="1B105C97"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tab/>
        <w:t>3.10</w:t>
      </w:r>
      <w:r w:rsidRPr="00A552F8">
        <w:rPr>
          <w:rFonts w:ascii="Arial" w:hAnsi="Arial" w:cs="Arial"/>
        </w:rPr>
        <w:tab/>
        <w:t>The funds were deposited into a special restricted account 0000/4444 between 2 September 1985 and 31 March 1986 and that as per the Government Regulations the account was created in circumstances where payment was required to be made to foreign national and such payment was prohibited in terms of the apartheid laws and regulations;</w:t>
      </w:r>
    </w:p>
    <w:p w14:paraId="7522C900" w14:textId="77777777" w:rsidR="002E4CD5" w:rsidRPr="00A552F8" w:rsidRDefault="002E4CD5" w:rsidP="00A552F8">
      <w:pPr>
        <w:tabs>
          <w:tab w:val="left" w:pos="567"/>
        </w:tabs>
        <w:spacing w:line="360" w:lineRule="auto"/>
        <w:ind w:left="1440" w:hanging="1440"/>
        <w:jc w:val="both"/>
        <w:rPr>
          <w:rFonts w:ascii="Arial" w:hAnsi="Arial" w:cs="Arial"/>
        </w:rPr>
      </w:pPr>
    </w:p>
    <w:p w14:paraId="52860A72" w14:textId="3D6F7782"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lastRenderedPageBreak/>
        <w:tab/>
        <w:t>3.11</w:t>
      </w:r>
      <w:r w:rsidRPr="00A552F8">
        <w:rPr>
          <w:rFonts w:ascii="Arial" w:hAnsi="Arial" w:cs="Arial"/>
        </w:rPr>
        <w:tab/>
        <w:t>As per its definition a special restricted account is an account opened with the First Defendant for payment of an amount in circumstances such as those of the deceased;</w:t>
      </w:r>
    </w:p>
    <w:p w14:paraId="7B4BA495" w14:textId="77777777" w:rsidR="002E4CD5" w:rsidRPr="00A552F8" w:rsidRDefault="002E4CD5" w:rsidP="00A552F8">
      <w:pPr>
        <w:tabs>
          <w:tab w:val="left" w:pos="567"/>
        </w:tabs>
        <w:spacing w:line="360" w:lineRule="auto"/>
        <w:ind w:left="1440" w:hanging="1440"/>
        <w:jc w:val="both"/>
        <w:rPr>
          <w:rFonts w:ascii="Arial" w:hAnsi="Arial" w:cs="Arial"/>
        </w:rPr>
      </w:pPr>
    </w:p>
    <w:p w14:paraId="1FF5DAEC" w14:textId="2400EB88"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tab/>
        <w:t>3.12</w:t>
      </w:r>
      <w:r w:rsidRPr="00A552F8">
        <w:rPr>
          <w:rFonts w:ascii="Arial" w:hAnsi="Arial" w:cs="Arial"/>
        </w:rPr>
        <w:tab/>
        <w:t>Those funds were subsequently invested by the First Defendant in South African Government Bonds which were underwritten by the South African Reserve Bank;</w:t>
      </w:r>
    </w:p>
    <w:p w14:paraId="35DC4DB3" w14:textId="77777777" w:rsidR="002E4CD5" w:rsidRPr="00A552F8" w:rsidRDefault="002E4CD5" w:rsidP="00A552F8">
      <w:pPr>
        <w:tabs>
          <w:tab w:val="left" w:pos="567"/>
        </w:tabs>
        <w:spacing w:line="360" w:lineRule="auto"/>
        <w:ind w:left="1440" w:hanging="1440"/>
        <w:jc w:val="both"/>
        <w:rPr>
          <w:rFonts w:ascii="Arial" w:hAnsi="Arial" w:cs="Arial"/>
        </w:rPr>
      </w:pPr>
    </w:p>
    <w:p w14:paraId="5F9DAE2F" w14:textId="18231A51"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tab/>
        <w:t>3.14</w:t>
      </w:r>
      <w:r w:rsidRPr="00A552F8">
        <w:rPr>
          <w:rFonts w:ascii="Arial" w:hAnsi="Arial" w:cs="Arial"/>
        </w:rPr>
        <w:tab/>
        <w:t>On or about 31 October 2001 the values of those bonds were respectively, R150 bonds R77.3 billion and the R153 bonds R91,9 billion; and</w:t>
      </w:r>
    </w:p>
    <w:p w14:paraId="3F3018F7" w14:textId="77777777" w:rsidR="002E4CD5" w:rsidRPr="00A552F8" w:rsidRDefault="002E4CD5" w:rsidP="00A552F8">
      <w:pPr>
        <w:tabs>
          <w:tab w:val="left" w:pos="567"/>
        </w:tabs>
        <w:spacing w:line="360" w:lineRule="auto"/>
        <w:ind w:left="1440" w:hanging="1440"/>
        <w:jc w:val="both"/>
        <w:rPr>
          <w:rFonts w:ascii="Arial" w:hAnsi="Arial" w:cs="Arial"/>
        </w:rPr>
      </w:pPr>
    </w:p>
    <w:p w14:paraId="333A980B" w14:textId="77777777" w:rsidR="002E4CD5" w:rsidRPr="00A552F8" w:rsidRDefault="002E4CD5" w:rsidP="00A552F8">
      <w:pPr>
        <w:tabs>
          <w:tab w:val="left" w:pos="567"/>
        </w:tabs>
        <w:spacing w:line="360" w:lineRule="auto"/>
        <w:ind w:left="1440" w:hanging="1440"/>
        <w:jc w:val="both"/>
        <w:rPr>
          <w:rFonts w:ascii="Arial" w:hAnsi="Arial" w:cs="Arial"/>
        </w:rPr>
      </w:pPr>
      <w:r w:rsidRPr="00A552F8">
        <w:rPr>
          <w:rFonts w:ascii="Arial" w:hAnsi="Arial" w:cs="Arial"/>
        </w:rPr>
        <w:tab/>
        <w:t>3.15</w:t>
      </w:r>
      <w:r w:rsidRPr="00A552F8">
        <w:rPr>
          <w:rFonts w:ascii="Arial" w:hAnsi="Arial" w:cs="Arial"/>
        </w:rPr>
        <w:tab/>
        <w:t>The Financial Services Board (now Financial Sector Conduct Authority) confirmed the said R150 and R153 bonds in USD denominations.</w:t>
      </w:r>
    </w:p>
    <w:p w14:paraId="69E7AF71" w14:textId="77777777" w:rsidR="002E4CD5" w:rsidRPr="00A552F8" w:rsidRDefault="002E4CD5" w:rsidP="00A552F8">
      <w:pPr>
        <w:tabs>
          <w:tab w:val="left" w:pos="567"/>
        </w:tabs>
        <w:spacing w:line="360" w:lineRule="auto"/>
        <w:ind w:left="1440" w:hanging="1440"/>
        <w:jc w:val="both"/>
        <w:rPr>
          <w:rFonts w:ascii="Arial" w:hAnsi="Arial" w:cs="Arial"/>
        </w:rPr>
      </w:pPr>
    </w:p>
    <w:p w14:paraId="78426CE5" w14:textId="6899F639" w:rsidR="002E4CD5" w:rsidRPr="00A552F8" w:rsidRDefault="002E4CD5" w:rsidP="00A552F8">
      <w:pPr>
        <w:tabs>
          <w:tab w:val="left" w:pos="567"/>
        </w:tabs>
        <w:spacing w:line="360" w:lineRule="auto"/>
        <w:ind w:left="567" w:hanging="567"/>
        <w:jc w:val="both"/>
        <w:rPr>
          <w:rFonts w:ascii="Arial" w:hAnsi="Arial" w:cs="Arial"/>
        </w:rPr>
      </w:pPr>
      <w:r w:rsidRPr="00A552F8">
        <w:rPr>
          <w:rFonts w:ascii="Arial" w:hAnsi="Arial" w:cs="Arial"/>
        </w:rPr>
        <w:t>4.</w:t>
      </w:r>
      <w:r w:rsidRPr="00A552F8">
        <w:rPr>
          <w:rFonts w:ascii="Arial" w:hAnsi="Arial" w:cs="Arial"/>
        </w:rPr>
        <w:tab/>
        <w:t>The Plaintiffs accordingly seek payment of R1.35 trillion which they calculated at R87.84 billion plus interest over 25 years ending 2010 on an average of 5-6.5% per annum. Interest was calculated as from July 1985.</w:t>
      </w:r>
    </w:p>
    <w:p w14:paraId="27588E25" w14:textId="77777777" w:rsidR="002E4CD5" w:rsidRPr="00A552F8" w:rsidRDefault="002E4CD5" w:rsidP="00A552F8">
      <w:pPr>
        <w:tabs>
          <w:tab w:val="left" w:pos="567"/>
        </w:tabs>
        <w:spacing w:line="360" w:lineRule="auto"/>
        <w:ind w:left="567" w:hanging="567"/>
        <w:jc w:val="both"/>
        <w:rPr>
          <w:rFonts w:ascii="Arial" w:hAnsi="Arial" w:cs="Arial"/>
        </w:rPr>
      </w:pPr>
    </w:p>
    <w:p w14:paraId="0B51EC26" w14:textId="77777777" w:rsidR="002E4CD5" w:rsidRPr="00A552F8" w:rsidRDefault="002E4CD5" w:rsidP="00A552F8">
      <w:pPr>
        <w:tabs>
          <w:tab w:val="left" w:pos="567"/>
        </w:tabs>
        <w:spacing w:line="360" w:lineRule="auto"/>
        <w:ind w:left="567" w:hanging="567"/>
        <w:jc w:val="both"/>
        <w:rPr>
          <w:rFonts w:ascii="Arial" w:hAnsi="Arial" w:cs="Arial"/>
          <w:b/>
        </w:rPr>
      </w:pPr>
      <w:r w:rsidRPr="00A552F8">
        <w:rPr>
          <w:rFonts w:ascii="Arial" w:hAnsi="Arial" w:cs="Arial"/>
          <w:b/>
        </w:rPr>
        <w:t>THE LEGAL PRINCIPLES APPLICABLE TO EXCEPTIONS</w:t>
      </w:r>
    </w:p>
    <w:p w14:paraId="60DD24F3" w14:textId="77777777" w:rsidR="002E4CD5" w:rsidRPr="00A552F8" w:rsidRDefault="002E4CD5" w:rsidP="00A552F8">
      <w:pPr>
        <w:tabs>
          <w:tab w:val="left" w:pos="567"/>
        </w:tabs>
        <w:spacing w:line="360" w:lineRule="auto"/>
        <w:ind w:left="567" w:hanging="567"/>
        <w:jc w:val="both"/>
        <w:rPr>
          <w:rFonts w:ascii="Arial" w:hAnsi="Arial" w:cs="Arial"/>
          <w:b/>
        </w:rPr>
      </w:pPr>
    </w:p>
    <w:p w14:paraId="1EDF727E" w14:textId="49705BF2" w:rsidR="002E4CD5" w:rsidRPr="00A552F8" w:rsidRDefault="002E4CD5" w:rsidP="00A552F8">
      <w:pPr>
        <w:tabs>
          <w:tab w:val="left" w:pos="567"/>
        </w:tabs>
        <w:spacing w:line="360" w:lineRule="auto"/>
        <w:ind w:left="567" w:hanging="567"/>
        <w:jc w:val="both"/>
        <w:rPr>
          <w:rFonts w:ascii="Arial" w:hAnsi="Arial" w:cs="Arial"/>
        </w:rPr>
      </w:pPr>
      <w:r w:rsidRPr="00A552F8">
        <w:rPr>
          <w:rFonts w:ascii="Arial" w:hAnsi="Arial" w:cs="Arial"/>
        </w:rPr>
        <w:t>5.</w:t>
      </w:r>
      <w:r w:rsidRPr="00A552F8">
        <w:rPr>
          <w:rFonts w:ascii="Arial" w:hAnsi="Arial" w:cs="Arial"/>
        </w:rPr>
        <w:tab/>
        <w:t xml:space="preserve">It is trite that a court when considering an exception </w:t>
      </w:r>
      <w:r w:rsidR="00EC28AA">
        <w:rPr>
          <w:rFonts w:ascii="Arial" w:hAnsi="Arial" w:cs="Arial"/>
        </w:rPr>
        <w:t xml:space="preserve">on the basis </w:t>
      </w:r>
      <w:r w:rsidRPr="00A552F8">
        <w:rPr>
          <w:rFonts w:ascii="Arial" w:hAnsi="Arial" w:cs="Arial"/>
        </w:rPr>
        <w:t>that a pleading does not sustain a cause of action, will accept, as true, the allegations pleaded by the plaintiff to assess whether they disclose a cause of action.</w:t>
      </w:r>
      <w:r w:rsidRPr="00A552F8">
        <w:rPr>
          <w:rStyle w:val="FootnoteReference"/>
          <w:rFonts w:ascii="Arial" w:hAnsi="Arial" w:cs="Arial"/>
        </w:rPr>
        <w:footnoteReference w:id="1"/>
      </w:r>
    </w:p>
    <w:p w14:paraId="7D381B0B" w14:textId="77777777" w:rsidR="002E4CD5" w:rsidRPr="00A552F8" w:rsidRDefault="002E4CD5" w:rsidP="00A552F8">
      <w:pPr>
        <w:tabs>
          <w:tab w:val="left" w:pos="567"/>
        </w:tabs>
        <w:spacing w:line="360" w:lineRule="auto"/>
        <w:ind w:left="567" w:hanging="567"/>
        <w:jc w:val="both"/>
        <w:rPr>
          <w:rFonts w:ascii="Arial" w:hAnsi="Arial" w:cs="Arial"/>
        </w:rPr>
      </w:pPr>
    </w:p>
    <w:p w14:paraId="6C727BF1" w14:textId="77777777" w:rsidR="002E4CD5" w:rsidRPr="00A552F8" w:rsidRDefault="002E4CD5" w:rsidP="00A552F8">
      <w:pPr>
        <w:tabs>
          <w:tab w:val="left" w:pos="567"/>
        </w:tabs>
        <w:spacing w:line="360" w:lineRule="auto"/>
        <w:ind w:left="567" w:hanging="567"/>
        <w:jc w:val="both"/>
        <w:rPr>
          <w:rFonts w:ascii="Arial" w:hAnsi="Arial" w:cs="Arial"/>
        </w:rPr>
      </w:pPr>
      <w:r w:rsidRPr="00A552F8">
        <w:rPr>
          <w:rFonts w:ascii="Arial" w:hAnsi="Arial" w:cs="Arial"/>
        </w:rPr>
        <w:t>6.</w:t>
      </w:r>
      <w:r w:rsidRPr="00A552F8">
        <w:rPr>
          <w:rFonts w:ascii="Arial" w:hAnsi="Arial" w:cs="Arial"/>
        </w:rPr>
        <w:tab/>
        <w:t>An excipient who alleges that summons does not disclose a cause of action must establish that upon any construction of the particulars of claim, no cause of action is disclosed.</w:t>
      </w:r>
      <w:r w:rsidRPr="00A552F8">
        <w:rPr>
          <w:rStyle w:val="FootnoteReference"/>
          <w:rFonts w:ascii="Arial" w:hAnsi="Arial" w:cs="Arial"/>
        </w:rPr>
        <w:footnoteReference w:id="2"/>
      </w:r>
      <w:r w:rsidRPr="00A552F8">
        <w:rPr>
          <w:rFonts w:ascii="Arial" w:hAnsi="Arial" w:cs="Arial"/>
        </w:rPr>
        <w:t xml:space="preserve"> A pleading must be read as a whole, and an exception cannot be taken to a paragraph or part of a pleading that is not self-contained.</w:t>
      </w:r>
      <w:r w:rsidRPr="00A552F8">
        <w:rPr>
          <w:rStyle w:val="FootnoteReference"/>
          <w:rFonts w:ascii="Arial" w:hAnsi="Arial" w:cs="Arial"/>
        </w:rPr>
        <w:footnoteReference w:id="3"/>
      </w:r>
    </w:p>
    <w:p w14:paraId="7F09ABA2" w14:textId="77777777" w:rsidR="002E4CD5" w:rsidRPr="00A552F8" w:rsidRDefault="002E4CD5" w:rsidP="00A552F8">
      <w:pPr>
        <w:tabs>
          <w:tab w:val="left" w:pos="567"/>
        </w:tabs>
        <w:spacing w:line="360" w:lineRule="auto"/>
        <w:ind w:left="567" w:hanging="567"/>
        <w:jc w:val="both"/>
        <w:rPr>
          <w:rFonts w:ascii="Arial" w:hAnsi="Arial" w:cs="Arial"/>
        </w:rPr>
      </w:pPr>
    </w:p>
    <w:p w14:paraId="310A5306" w14:textId="77777777" w:rsidR="002E4CD5" w:rsidRPr="00A552F8" w:rsidRDefault="002E4CD5" w:rsidP="00A552F8">
      <w:pPr>
        <w:tabs>
          <w:tab w:val="left" w:pos="567"/>
        </w:tabs>
        <w:spacing w:line="360" w:lineRule="auto"/>
        <w:ind w:left="567" w:hanging="567"/>
        <w:jc w:val="both"/>
        <w:rPr>
          <w:rFonts w:ascii="Arial" w:hAnsi="Arial" w:cs="Arial"/>
        </w:rPr>
      </w:pPr>
      <w:r w:rsidRPr="00A552F8">
        <w:rPr>
          <w:rFonts w:ascii="Arial" w:hAnsi="Arial" w:cs="Arial"/>
        </w:rPr>
        <w:lastRenderedPageBreak/>
        <w:t>7.</w:t>
      </w:r>
      <w:r w:rsidRPr="00A552F8">
        <w:rPr>
          <w:rFonts w:ascii="Arial" w:hAnsi="Arial" w:cs="Arial"/>
        </w:rPr>
        <w:tab/>
        <w:t>Minor blemishes and unradical embarrassments caused by a pleading can and should be cured by further particulars.</w:t>
      </w:r>
      <w:r w:rsidRPr="00A552F8">
        <w:rPr>
          <w:rStyle w:val="FootnoteReference"/>
          <w:rFonts w:ascii="Arial" w:hAnsi="Arial" w:cs="Arial"/>
        </w:rPr>
        <w:footnoteReference w:id="4"/>
      </w:r>
      <w:r w:rsidRPr="00A552F8">
        <w:rPr>
          <w:rFonts w:ascii="Arial" w:hAnsi="Arial" w:cs="Arial"/>
        </w:rPr>
        <w:t xml:space="preserve"> It is also trite that when an exception is raised on the ground that a pleading lacks averments necessary to sustain a cause of action, the excipient is required to show that upon every interpretation that the pleading in question can reasonably bear, no cause of action is disclosed.</w:t>
      </w:r>
      <w:r w:rsidRPr="00A552F8">
        <w:rPr>
          <w:rStyle w:val="FootnoteReference"/>
          <w:rFonts w:ascii="Arial" w:hAnsi="Arial" w:cs="Arial"/>
        </w:rPr>
        <w:footnoteReference w:id="5"/>
      </w:r>
    </w:p>
    <w:p w14:paraId="741FD9AE" w14:textId="77777777" w:rsidR="002E4CD5" w:rsidRPr="00A552F8" w:rsidRDefault="002E4CD5" w:rsidP="00A552F8">
      <w:pPr>
        <w:tabs>
          <w:tab w:val="left" w:pos="567"/>
        </w:tabs>
        <w:spacing w:line="360" w:lineRule="auto"/>
        <w:ind w:left="567" w:hanging="567"/>
        <w:jc w:val="both"/>
        <w:rPr>
          <w:rFonts w:ascii="Arial" w:hAnsi="Arial" w:cs="Arial"/>
        </w:rPr>
      </w:pPr>
    </w:p>
    <w:p w14:paraId="04EED383" w14:textId="77777777" w:rsidR="002E4CD5" w:rsidRPr="00A552F8" w:rsidRDefault="002E4CD5" w:rsidP="00A552F8">
      <w:pPr>
        <w:tabs>
          <w:tab w:val="left" w:pos="567"/>
        </w:tabs>
        <w:spacing w:line="360" w:lineRule="auto"/>
        <w:ind w:left="567" w:hanging="567"/>
        <w:jc w:val="both"/>
        <w:rPr>
          <w:rFonts w:ascii="Arial" w:hAnsi="Arial" w:cs="Arial"/>
        </w:rPr>
      </w:pPr>
    </w:p>
    <w:p w14:paraId="59350043" w14:textId="77777777" w:rsidR="002E4CD5" w:rsidRPr="00A552F8" w:rsidRDefault="002E4CD5" w:rsidP="00A552F8">
      <w:pPr>
        <w:tabs>
          <w:tab w:val="left" w:pos="567"/>
        </w:tabs>
        <w:spacing w:line="360" w:lineRule="auto"/>
        <w:ind w:left="567" w:hanging="567"/>
        <w:jc w:val="both"/>
        <w:rPr>
          <w:rFonts w:ascii="Arial" w:hAnsi="Arial" w:cs="Arial"/>
          <w:b/>
        </w:rPr>
      </w:pPr>
      <w:r w:rsidRPr="00A552F8">
        <w:rPr>
          <w:rFonts w:ascii="Arial" w:hAnsi="Arial" w:cs="Arial"/>
          <w:b/>
        </w:rPr>
        <w:t>THE FIRST DEFENDANT’S EXCEPTION: THE PARTIES’ SUBMISSIONS</w:t>
      </w:r>
    </w:p>
    <w:p w14:paraId="6157E29B" w14:textId="77777777" w:rsidR="002E4CD5" w:rsidRPr="00A552F8" w:rsidRDefault="002E4CD5" w:rsidP="00A552F8">
      <w:pPr>
        <w:tabs>
          <w:tab w:val="left" w:pos="567"/>
        </w:tabs>
        <w:spacing w:line="360" w:lineRule="auto"/>
        <w:ind w:left="567" w:hanging="567"/>
        <w:jc w:val="both"/>
        <w:rPr>
          <w:rFonts w:ascii="Arial" w:hAnsi="Arial" w:cs="Arial"/>
          <w:b/>
        </w:rPr>
      </w:pPr>
    </w:p>
    <w:p w14:paraId="039D2D1A" w14:textId="77777777" w:rsidR="002E4CD5" w:rsidRPr="00A552F8" w:rsidRDefault="002E4CD5" w:rsidP="00A552F8">
      <w:pPr>
        <w:tabs>
          <w:tab w:val="left" w:pos="567"/>
        </w:tabs>
        <w:spacing w:line="360" w:lineRule="auto"/>
        <w:ind w:left="567" w:hanging="567"/>
        <w:jc w:val="both"/>
        <w:rPr>
          <w:rFonts w:ascii="Arial" w:hAnsi="Arial" w:cs="Arial"/>
        </w:rPr>
      </w:pPr>
      <w:r w:rsidRPr="00A552F8">
        <w:rPr>
          <w:rFonts w:ascii="Arial" w:hAnsi="Arial" w:cs="Arial"/>
        </w:rPr>
        <w:t>8.</w:t>
      </w:r>
      <w:r w:rsidRPr="00A552F8">
        <w:rPr>
          <w:rFonts w:ascii="Arial" w:hAnsi="Arial" w:cs="Arial"/>
        </w:rPr>
        <w:tab/>
        <w:t>The parties’ submissions regarding the First Defendant’s exception are as follows:</w:t>
      </w:r>
    </w:p>
    <w:p w14:paraId="3FD7FB4A" w14:textId="77777777" w:rsidR="002E4CD5" w:rsidRPr="00A552F8" w:rsidRDefault="002E4CD5" w:rsidP="00A552F8">
      <w:pPr>
        <w:tabs>
          <w:tab w:val="left" w:pos="567"/>
        </w:tabs>
        <w:spacing w:line="360" w:lineRule="auto"/>
        <w:ind w:left="567" w:hanging="567"/>
        <w:jc w:val="both"/>
        <w:rPr>
          <w:rFonts w:ascii="Arial" w:hAnsi="Arial" w:cs="Arial"/>
        </w:rPr>
      </w:pPr>
    </w:p>
    <w:p w14:paraId="5BD00C3D" w14:textId="77777777" w:rsidR="002E4CD5" w:rsidRPr="00A552F8" w:rsidRDefault="002E4CD5" w:rsidP="00EC28AA">
      <w:pPr>
        <w:spacing w:line="360" w:lineRule="auto"/>
        <w:ind w:left="567"/>
        <w:jc w:val="both"/>
        <w:rPr>
          <w:rFonts w:ascii="Arial" w:hAnsi="Arial" w:cs="Arial"/>
          <w:b/>
          <w:u w:val="single"/>
        </w:rPr>
      </w:pPr>
      <w:r w:rsidRPr="00A552F8">
        <w:rPr>
          <w:rFonts w:ascii="Arial" w:hAnsi="Arial" w:cs="Arial"/>
          <w:b/>
          <w:u w:val="single"/>
        </w:rPr>
        <w:t>First Ground of Exception: failure to seek an order declaring the Policy invalid, unconstitutional or reviewed and set aside</w:t>
      </w:r>
    </w:p>
    <w:p w14:paraId="57726F81" w14:textId="77777777" w:rsidR="002E4CD5" w:rsidRPr="00A552F8" w:rsidRDefault="002E4CD5" w:rsidP="00A552F8">
      <w:pPr>
        <w:spacing w:line="360" w:lineRule="auto"/>
        <w:jc w:val="both"/>
        <w:rPr>
          <w:rFonts w:ascii="Arial" w:hAnsi="Arial" w:cs="Arial"/>
          <w:b/>
          <w:u w:val="single"/>
        </w:rPr>
      </w:pPr>
    </w:p>
    <w:p w14:paraId="5C2C7E8E" w14:textId="49FF21AB" w:rsidR="002E4CD5" w:rsidRPr="00A552F8" w:rsidRDefault="002E4CD5" w:rsidP="00A552F8">
      <w:pPr>
        <w:spacing w:line="360" w:lineRule="auto"/>
        <w:ind w:left="720" w:hanging="720"/>
        <w:jc w:val="both"/>
        <w:rPr>
          <w:rFonts w:ascii="Arial" w:hAnsi="Arial" w:cs="Arial"/>
        </w:rPr>
      </w:pPr>
      <w:r w:rsidRPr="00A552F8">
        <w:rPr>
          <w:rFonts w:ascii="Arial" w:hAnsi="Arial" w:cs="Arial"/>
        </w:rPr>
        <w:t>9.</w:t>
      </w:r>
      <w:r w:rsidRPr="00A552F8">
        <w:rPr>
          <w:rFonts w:ascii="Arial" w:hAnsi="Arial" w:cs="Arial"/>
        </w:rPr>
        <w:tab/>
        <w:t>The First Defendant contended that the Plaintiffs failed to seek an order that the apartheid Government’s Policy of precluding any person from paying monies over to a foreign creditor, citizen or country is declared unconstitutional and invalid or reviewed and set aside.</w:t>
      </w:r>
    </w:p>
    <w:p w14:paraId="31FFED7F" w14:textId="77777777" w:rsidR="002E4CD5" w:rsidRPr="00A552F8" w:rsidRDefault="002E4CD5" w:rsidP="00A552F8">
      <w:pPr>
        <w:spacing w:line="360" w:lineRule="auto"/>
        <w:ind w:left="720" w:hanging="720"/>
        <w:jc w:val="both"/>
        <w:rPr>
          <w:rFonts w:ascii="Arial" w:hAnsi="Arial" w:cs="Arial"/>
        </w:rPr>
      </w:pPr>
    </w:p>
    <w:p w14:paraId="4246E7CB" w14:textId="66E557F8" w:rsidR="002E4CD5" w:rsidRPr="00A552F8" w:rsidRDefault="002E4CD5" w:rsidP="00A552F8">
      <w:pPr>
        <w:spacing w:line="360" w:lineRule="auto"/>
        <w:ind w:left="720" w:hanging="720"/>
        <w:jc w:val="both"/>
        <w:rPr>
          <w:rFonts w:ascii="Arial" w:hAnsi="Arial" w:cs="Arial"/>
        </w:rPr>
      </w:pPr>
      <w:r w:rsidRPr="00A552F8">
        <w:rPr>
          <w:rFonts w:ascii="Arial" w:hAnsi="Arial" w:cs="Arial"/>
        </w:rPr>
        <w:t>10.</w:t>
      </w:r>
      <w:r w:rsidRPr="00A552F8">
        <w:rPr>
          <w:rFonts w:ascii="Arial" w:hAnsi="Arial" w:cs="Arial"/>
        </w:rPr>
        <w:tab/>
        <w:t>The Plaintiffs on the other hand submitted that the provisions of Regulation 2 of Currency and Exchanges Act 9 of 1933, promulgated in Government Notice R2016 in Government Gazette 15211 dated 22 October 1993, that prevented payment to the Plaintiffs’ lapsed on 15 August 2001 and were not replaced by similar provisions.</w:t>
      </w:r>
    </w:p>
    <w:p w14:paraId="35373B9A" w14:textId="77777777" w:rsidR="002E4CD5" w:rsidRPr="00A552F8" w:rsidRDefault="002E4CD5" w:rsidP="00A552F8">
      <w:pPr>
        <w:spacing w:line="360" w:lineRule="auto"/>
        <w:ind w:left="720" w:hanging="720"/>
        <w:jc w:val="both"/>
        <w:rPr>
          <w:rFonts w:ascii="Arial" w:hAnsi="Arial" w:cs="Arial"/>
        </w:rPr>
      </w:pPr>
    </w:p>
    <w:p w14:paraId="22F64928" w14:textId="011EBB41" w:rsidR="002E4CD5" w:rsidRPr="00A552F8" w:rsidRDefault="002E4CD5" w:rsidP="00A552F8">
      <w:pPr>
        <w:spacing w:line="360" w:lineRule="auto"/>
        <w:ind w:left="720" w:hanging="720"/>
        <w:jc w:val="both"/>
        <w:rPr>
          <w:rFonts w:ascii="Arial" w:hAnsi="Arial" w:cs="Arial"/>
        </w:rPr>
      </w:pPr>
      <w:r w:rsidRPr="00A552F8">
        <w:rPr>
          <w:rFonts w:ascii="Arial" w:hAnsi="Arial" w:cs="Arial"/>
        </w:rPr>
        <w:t>11.</w:t>
      </w:r>
      <w:r w:rsidRPr="00A552F8">
        <w:rPr>
          <w:rFonts w:ascii="Arial" w:hAnsi="Arial" w:cs="Arial"/>
        </w:rPr>
        <w:tab/>
        <w:t>The Plaintiffs further submitted that the lapse of Regulation 2 alluded to above placed them in a position that they are able to claim payment of the monies held for the benefit of the deceased’s estate.</w:t>
      </w:r>
    </w:p>
    <w:p w14:paraId="5D613E93" w14:textId="77777777" w:rsidR="002E4CD5" w:rsidRPr="00A552F8" w:rsidRDefault="002E4CD5" w:rsidP="00A552F8">
      <w:pPr>
        <w:spacing w:line="360" w:lineRule="auto"/>
        <w:ind w:left="720" w:hanging="720"/>
        <w:jc w:val="both"/>
        <w:rPr>
          <w:rFonts w:ascii="Arial" w:hAnsi="Arial" w:cs="Arial"/>
        </w:rPr>
      </w:pPr>
    </w:p>
    <w:p w14:paraId="76AA6C55" w14:textId="0D7133E6" w:rsidR="002E4CD5" w:rsidRPr="00A552F8" w:rsidRDefault="002E4CD5" w:rsidP="00A552F8">
      <w:pPr>
        <w:spacing w:line="360" w:lineRule="auto"/>
        <w:ind w:left="720" w:hanging="720"/>
        <w:jc w:val="both"/>
        <w:rPr>
          <w:rFonts w:ascii="Arial" w:hAnsi="Arial" w:cs="Arial"/>
        </w:rPr>
      </w:pPr>
      <w:r w:rsidRPr="00A552F8">
        <w:rPr>
          <w:rFonts w:ascii="Arial" w:hAnsi="Arial" w:cs="Arial"/>
        </w:rPr>
        <w:lastRenderedPageBreak/>
        <w:t>12.</w:t>
      </w:r>
      <w:r w:rsidRPr="00A552F8">
        <w:rPr>
          <w:rFonts w:ascii="Arial" w:hAnsi="Arial" w:cs="Arial"/>
        </w:rPr>
        <w:tab/>
        <w:t>The Plaintiffs contended that the First Defendant’s argument in respect of them having to pursue a declaration of constitutional invalidity is without merit</w:t>
      </w:r>
      <w:r w:rsidR="00CA4CA9">
        <w:rPr>
          <w:rFonts w:ascii="Arial" w:hAnsi="Arial" w:cs="Arial"/>
        </w:rPr>
        <w:t xml:space="preserve"> as the regulation in question is non-existent</w:t>
      </w:r>
      <w:r w:rsidRPr="00A552F8">
        <w:rPr>
          <w:rFonts w:ascii="Arial" w:hAnsi="Arial" w:cs="Arial"/>
        </w:rPr>
        <w:t xml:space="preserve">. </w:t>
      </w:r>
      <w:r w:rsidR="00CA4CA9">
        <w:rPr>
          <w:rFonts w:ascii="Arial" w:hAnsi="Arial" w:cs="Arial"/>
        </w:rPr>
        <w:t>Accordingly, that,</w:t>
      </w:r>
      <w:r w:rsidRPr="00A552F8">
        <w:rPr>
          <w:rFonts w:ascii="Arial" w:hAnsi="Arial" w:cs="Arial"/>
        </w:rPr>
        <w:t xml:space="preserve"> this ground of exception should be dismissed.</w:t>
      </w:r>
    </w:p>
    <w:p w14:paraId="030AFE68" w14:textId="77777777" w:rsidR="002E4CD5" w:rsidRPr="00A552F8" w:rsidRDefault="002E4CD5" w:rsidP="00A552F8">
      <w:pPr>
        <w:spacing w:line="360" w:lineRule="auto"/>
        <w:ind w:left="720" w:hanging="720"/>
        <w:jc w:val="both"/>
        <w:rPr>
          <w:rFonts w:ascii="Arial" w:hAnsi="Arial" w:cs="Arial"/>
        </w:rPr>
      </w:pPr>
    </w:p>
    <w:p w14:paraId="57CE8344" w14:textId="5BC89787" w:rsidR="002E4CD5" w:rsidRPr="00A552F8" w:rsidRDefault="002E4CD5" w:rsidP="00A552F8">
      <w:pPr>
        <w:spacing w:line="360" w:lineRule="auto"/>
        <w:ind w:left="720" w:hanging="720"/>
        <w:jc w:val="both"/>
        <w:rPr>
          <w:rFonts w:ascii="Arial" w:hAnsi="Arial" w:cs="Arial"/>
        </w:rPr>
      </w:pPr>
      <w:r w:rsidRPr="00A552F8">
        <w:rPr>
          <w:rFonts w:ascii="Arial" w:hAnsi="Arial" w:cs="Arial"/>
        </w:rPr>
        <w:t>13.</w:t>
      </w:r>
      <w:r w:rsidRPr="00A552F8">
        <w:rPr>
          <w:rFonts w:ascii="Arial" w:hAnsi="Arial" w:cs="Arial"/>
        </w:rPr>
        <w:tab/>
        <w:t>In contrast the First Defendant contended that although the Policy is no longer operable</w:t>
      </w:r>
      <w:r w:rsidR="00384121">
        <w:rPr>
          <w:rFonts w:ascii="Arial" w:hAnsi="Arial" w:cs="Arial"/>
        </w:rPr>
        <w:t>,</w:t>
      </w:r>
      <w:r w:rsidRPr="00A552F8">
        <w:rPr>
          <w:rFonts w:ascii="Arial" w:hAnsi="Arial" w:cs="Arial"/>
        </w:rPr>
        <w:t xml:space="preserve"> the consequences of the Policy at the relevant time cannot be ignored. In amplification of its contention in this regard the First Defendant submitted that in terms of section 12(2)(b) of the Interpretation Act 33 of 1957, where a law repeals any other law, and unless the contrary intention appears, the repeal shall not “</w:t>
      </w:r>
      <w:r w:rsidRPr="00A552F8">
        <w:rPr>
          <w:rFonts w:ascii="Arial" w:hAnsi="Arial" w:cs="Arial"/>
          <w:i/>
        </w:rPr>
        <w:t>affect the previous operation of any law so repealed or anything duly done or suffered under the law so repealed</w:t>
      </w:r>
      <w:r w:rsidRPr="00A552F8">
        <w:rPr>
          <w:rFonts w:ascii="Arial" w:hAnsi="Arial" w:cs="Arial"/>
        </w:rPr>
        <w:t>”.</w:t>
      </w:r>
    </w:p>
    <w:p w14:paraId="288EBD58" w14:textId="77777777" w:rsidR="002E4CD5" w:rsidRPr="00A552F8" w:rsidRDefault="002E4CD5" w:rsidP="00A552F8">
      <w:pPr>
        <w:spacing w:line="360" w:lineRule="auto"/>
        <w:ind w:left="720" w:hanging="720"/>
        <w:jc w:val="both"/>
        <w:rPr>
          <w:rFonts w:ascii="Arial" w:hAnsi="Arial" w:cs="Arial"/>
        </w:rPr>
      </w:pPr>
    </w:p>
    <w:p w14:paraId="0702AA32"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14.</w:t>
      </w:r>
      <w:r w:rsidRPr="00A552F8">
        <w:rPr>
          <w:rFonts w:ascii="Arial" w:hAnsi="Arial" w:cs="Arial"/>
        </w:rPr>
        <w:tab/>
        <w:t>The First Defendant further submitted that there is a presumption that legislation does not apply retrospectively or retroactively, unless a contrary intention is indicated either expressly or by clear implication.</w:t>
      </w:r>
      <w:r w:rsidRPr="00A552F8">
        <w:rPr>
          <w:rStyle w:val="FootnoteReference"/>
          <w:rFonts w:ascii="Arial" w:hAnsi="Arial" w:cs="Arial"/>
        </w:rPr>
        <w:footnoteReference w:id="6"/>
      </w:r>
    </w:p>
    <w:p w14:paraId="0C47EFBF" w14:textId="77777777" w:rsidR="002E4CD5" w:rsidRPr="00A552F8" w:rsidRDefault="002E4CD5" w:rsidP="00A552F8">
      <w:pPr>
        <w:spacing w:line="360" w:lineRule="auto"/>
        <w:ind w:left="720" w:hanging="720"/>
        <w:jc w:val="both"/>
        <w:rPr>
          <w:rFonts w:ascii="Arial" w:hAnsi="Arial" w:cs="Arial"/>
        </w:rPr>
      </w:pPr>
    </w:p>
    <w:p w14:paraId="3EC532FA" w14:textId="32C1F701" w:rsidR="002E4CD5" w:rsidRPr="00A552F8" w:rsidRDefault="002E4CD5" w:rsidP="00A552F8">
      <w:pPr>
        <w:spacing w:line="360" w:lineRule="auto"/>
        <w:ind w:left="720" w:hanging="720"/>
        <w:jc w:val="both"/>
        <w:rPr>
          <w:rFonts w:ascii="Arial" w:hAnsi="Arial" w:cs="Arial"/>
        </w:rPr>
      </w:pPr>
      <w:r w:rsidRPr="00A552F8">
        <w:rPr>
          <w:rFonts w:ascii="Arial" w:hAnsi="Arial" w:cs="Arial"/>
        </w:rPr>
        <w:t>15.</w:t>
      </w:r>
      <w:r w:rsidRPr="00A552F8">
        <w:rPr>
          <w:rFonts w:ascii="Arial" w:hAnsi="Arial" w:cs="Arial"/>
        </w:rPr>
        <w:tab/>
        <w:t>The First Defendant contended that the practical consequences of the Policy and/or the enabling legislation is that the Plaintiffs had no right to demand payment during 1985 and would continue to have no such a right until the consequence of the Policy and/or the enabling legislation ceased.</w:t>
      </w:r>
    </w:p>
    <w:p w14:paraId="2E416A54" w14:textId="77777777" w:rsidR="002E4CD5" w:rsidRPr="00A552F8" w:rsidRDefault="002E4CD5" w:rsidP="00A552F8">
      <w:pPr>
        <w:spacing w:line="360" w:lineRule="auto"/>
        <w:ind w:left="720" w:hanging="720"/>
        <w:jc w:val="both"/>
        <w:rPr>
          <w:rFonts w:ascii="Arial" w:hAnsi="Arial" w:cs="Arial"/>
        </w:rPr>
      </w:pPr>
    </w:p>
    <w:p w14:paraId="1E98D343" w14:textId="6E66CCCE" w:rsidR="002E4CD5" w:rsidRPr="00A552F8" w:rsidRDefault="002E4CD5" w:rsidP="00A552F8">
      <w:pPr>
        <w:spacing w:line="360" w:lineRule="auto"/>
        <w:ind w:left="720" w:hanging="720"/>
        <w:jc w:val="both"/>
        <w:rPr>
          <w:rFonts w:ascii="Arial" w:hAnsi="Arial" w:cs="Arial"/>
        </w:rPr>
      </w:pPr>
      <w:r w:rsidRPr="00A552F8">
        <w:rPr>
          <w:rFonts w:ascii="Arial" w:hAnsi="Arial" w:cs="Arial"/>
        </w:rPr>
        <w:t>16.</w:t>
      </w:r>
      <w:r w:rsidRPr="00A552F8">
        <w:rPr>
          <w:rFonts w:ascii="Arial" w:hAnsi="Arial" w:cs="Arial"/>
        </w:rPr>
        <w:tab/>
        <w:t>The First Defendant further contended that even if it were to be argued that the Policy does not constitute law as defined in the Interpretation Act, it cannot be disputed that the Policy was grounded upon enabling law that existed at the time, the consequence of which cannot be ignored.</w:t>
      </w:r>
    </w:p>
    <w:p w14:paraId="67ED7466" w14:textId="77777777" w:rsidR="002E4CD5" w:rsidRPr="00A552F8" w:rsidRDefault="002E4CD5" w:rsidP="00A552F8">
      <w:pPr>
        <w:spacing w:line="360" w:lineRule="auto"/>
        <w:ind w:left="720" w:hanging="720"/>
        <w:jc w:val="both"/>
        <w:rPr>
          <w:rFonts w:ascii="Arial" w:hAnsi="Arial" w:cs="Arial"/>
        </w:rPr>
      </w:pPr>
    </w:p>
    <w:p w14:paraId="1B975CB3" w14:textId="7C0C34A6" w:rsidR="002E4CD5" w:rsidRPr="00A552F8" w:rsidRDefault="002E4CD5" w:rsidP="00A552F8">
      <w:pPr>
        <w:spacing w:line="360" w:lineRule="auto"/>
        <w:ind w:left="720" w:hanging="720"/>
        <w:jc w:val="both"/>
        <w:rPr>
          <w:rFonts w:ascii="Arial" w:hAnsi="Arial" w:cs="Arial"/>
        </w:rPr>
      </w:pPr>
      <w:r w:rsidRPr="00A552F8">
        <w:rPr>
          <w:rFonts w:ascii="Arial" w:hAnsi="Arial" w:cs="Arial"/>
        </w:rPr>
        <w:t>17.</w:t>
      </w:r>
      <w:r w:rsidRPr="00A552F8">
        <w:rPr>
          <w:rFonts w:ascii="Arial" w:hAnsi="Arial" w:cs="Arial"/>
        </w:rPr>
        <w:tab/>
        <w:t xml:space="preserve">In this regard the First Defendant cited the dictum in </w:t>
      </w:r>
      <w:r w:rsidRPr="00EA1241">
        <w:rPr>
          <w:rFonts w:ascii="Arial" w:hAnsi="Arial" w:cs="Arial"/>
          <w:b/>
          <w:bCs/>
          <w:i/>
        </w:rPr>
        <w:t>Economic Freedom Fighters v Speaker of the National Assembly; Democratic Alliance v Speaker of the National Assembly</w:t>
      </w:r>
      <w:r w:rsidRPr="00A552F8">
        <w:rPr>
          <w:rStyle w:val="FootnoteReference"/>
          <w:rFonts w:ascii="Arial" w:hAnsi="Arial" w:cs="Arial"/>
          <w:i/>
        </w:rPr>
        <w:footnoteReference w:id="7"/>
      </w:r>
      <w:r w:rsidRPr="00A552F8">
        <w:rPr>
          <w:rFonts w:ascii="Arial" w:hAnsi="Arial" w:cs="Arial"/>
        </w:rPr>
        <w:t>, where the Constitutional Court stated amongst others the following:</w:t>
      </w:r>
    </w:p>
    <w:p w14:paraId="18CC0B3B" w14:textId="77777777" w:rsidR="002E4CD5" w:rsidRPr="00A552F8" w:rsidRDefault="002E4CD5" w:rsidP="00A552F8">
      <w:pPr>
        <w:spacing w:line="360" w:lineRule="auto"/>
        <w:ind w:left="720" w:hanging="720"/>
        <w:jc w:val="both"/>
        <w:rPr>
          <w:rFonts w:ascii="Arial" w:hAnsi="Arial" w:cs="Arial"/>
        </w:rPr>
      </w:pPr>
    </w:p>
    <w:p w14:paraId="66D7A5DB" w14:textId="77777777" w:rsidR="002E4CD5" w:rsidRPr="00A552F8" w:rsidRDefault="002E4CD5" w:rsidP="00A552F8">
      <w:pPr>
        <w:spacing w:line="360" w:lineRule="auto"/>
        <w:ind w:left="1440"/>
        <w:jc w:val="both"/>
        <w:rPr>
          <w:rFonts w:ascii="Arial" w:hAnsi="Arial" w:cs="Arial"/>
        </w:rPr>
      </w:pPr>
      <w:r w:rsidRPr="00A552F8">
        <w:rPr>
          <w:rFonts w:ascii="Arial" w:hAnsi="Arial" w:cs="Arial"/>
        </w:rPr>
        <w:lastRenderedPageBreak/>
        <w:t>“No decision grounded [in] the Constitution or law may be disregarded without recourse to a court of law…No binding and constitutionally or statutorily sourced decision may be disregarded willy-nilly. It has legal consequences and must be complied with or acted upon. To achieve the opposite outcome lawfully, an order of court would have to be obtained”.</w:t>
      </w:r>
    </w:p>
    <w:p w14:paraId="7A02B113" w14:textId="77777777" w:rsidR="002E4CD5" w:rsidRPr="00A552F8" w:rsidRDefault="002E4CD5" w:rsidP="00A552F8">
      <w:pPr>
        <w:spacing w:line="360" w:lineRule="auto"/>
        <w:ind w:left="720" w:hanging="720"/>
        <w:jc w:val="both"/>
        <w:rPr>
          <w:rFonts w:ascii="Arial" w:hAnsi="Arial" w:cs="Arial"/>
        </w:rPr>
      </w:pPr>
    </w:p>
    <w:p w14:paraId="54502308" w14:textId="2CE16AFF" w:rsidR="002E4CD5" w:rsidRPr="00A552F8" w:rsidRDefault="002E4CD5" w:rsidP="00A552F8">
      <w:pPr>
        <w:spacing w:line="360" w:lineRule="auto"/>
        <w:ind w:left="720" w:hanging="720"/>
        <w:jc w:val="both"/>
        <w:rPr>
          <w:rFonts w:ascii="Arial" w:hAnsi="Arial" w:cs="Arial"/>
        </w:rPr>
      </w:pPr>
      <w:r w:rsidRPr="00A552F8">
        <w:rPr>
          <w:rFonts w:ascii="Arial" w:hAnsi="Arial" w:cs="Arial"/>
        </w:rPr>
        <w:t>18.</w:t>
      </w:r>
      <w:r w:rsidRPr="00A552F8">
        <w:rPr>
          <w:rFonts w:ascii="Arial" w:hAnsi="Arial" w:cs="Arial"/>
        </w:rPr>
        <w:tab/>
        <w:t xml:space="preserve">The First Defendant relying in the dictum in </w:t>
      </w:r>
      <w:r w:rsidRPr="00EA1241">
        <w:rPr>
          <w:rFonts w:ascii="Arial" w:hAnsi="Arial" w:cs="Arial"/>
          <w:b/>
          <w:bCs/>
          <w:i/>
        </w:rPr>
        <w:t>Oudekraal Estates (Pty) Ltd v City of Cape Town</w:t>
      </w:r>
      <w:r w:rsidRPr="00A552F8">
        <w:rPr>
          <w:rStyle w:val="FootnoteReference"/>
          <w:rFonts w:ascii="Arial" w:hAnsi="Arial" w:cs="Arial"/>
          <w:i/>
        </w:rPr>
        <w:footnoteReference w:id="8"/>
      </w:r>
      <w:r w:rsidRPr="00A552F8">
        <w:rPr>
          <w:rFonts w:ascii="Arial" w:hAnsi="Arial" w:cs="Arial"/>
          <w:i/>
        </w:rPr>
        <w:t xml:space="preserve"> </w:t>
      </w:r>
      <w:r w:rsidRPr="00A552F8">
        <w:rPr>
          <w:rFonts w:ascii="Arial" w:hAnsi="Arial" w:cs="Arial"/>
        </w:rPr>
        <w:t xml:space="preserve">(commonly referred to as </w:t>
      </w:r>
      <w:r w:rsidRPr="00A552F8">
        <w:rPr>
          <w:rFonts w:ascii="Arial" w:hAnsi="Arial" w:cs="Arial"/>
          <w:i/>
        </w:rPr>
        <w:t>Oudekraal 1</w:t>
      </w:r>
      <w:r w:rsidRPr="00A552F8">
        <w:rPr>
          <w:rFonts w:ascii="Arial" w:hAnsi="Arial" w:cs="Arial"/>
        </w:rPr>
        <w:t>), also contended that the Policy existed as a fact and its consequences cannot simply be ignored. Further that although the Policy no longer exists, its repeal cannot result in an automatic entitlement that operates in the past, the Policy has legal consequences unless an order of court determining otherwise is obtained.</w:t>
      </w:r>
    </w:p>
    <w:p w14:paraId="215CD0EF" w14:textId="77777777" w:rsidR="002E4CD5" w:rsidRPr="00A552F8" w:rsidRDefault="002E4CD5" w:rsidP="00A552F8">
      <w:pPr>
        <w:spacing w:line="360" w:lineRule="auto"/>
        <w:ind w:left="720" w:hanging="720"/>
        <w:jc w:val="both"/>
        <w:rPr>
          <w:rFonts w:ascii="Arial" w:hAnsi="Arial" w:cs="Arial"/>
        </w:rPr>
      </w:pPr>
    </w:p>
    <w:p w14:paraId="00C8314D" w14:textId="693428B6" w:rsidR="002E4CD5" w:rsidRPr="00A552F8" w:rsidRDefault="002E4CD5" w:rsidP="00A552F8">
      <w:pPr>
        <w:spacing w:line="360" w:lineRule="auto"/>
        <w:ind w:left="720" w:hanging="720"/>
        <w:jc w:val="both"/>
        <w:rPr>
          <w:rFonts w:ascii="Arial" w:hAnsi="Arial" w:cs="Arial"/>
        </w:rPr>
      </w:pPr>
      <w:r w:rsidRPr="00A552F8">
        <w:rPr>
          <w:rFonts w:ascii="Arial" w:hAnsi="Arial" w:cs="Arial"/>
        </w:rPr>
        <w:t>!9.</w:t>
      </w:r>
      <w:r w:rsidRPr="00A552F8">
        <w:rPr>
          <w:rFonts w:ascii="Arial" w:hAnsi="Arial" w:cs="Arial"/>
        </w:rPr>
        <w:tab/>
        <w:t>The First Defendant concluded in this regard by contending that to assert a claim for an amount and interest arising in 1985, the Plaintiffs cannot ignore the Policy and prevailing legislation, but must seek an order to declare the prevailing legislation invalid, unconstitutional, and/or to review the Policy and have it set aside.</w:t>
      </w:r>
    </w:p>
    <w:p w14:paraId="1B180D99" w14:textId="77777777" w:rsidR="002E4CD5" w:rsidRPr="00A552F8" w:rsidRDefault="002E4CD5" w:rsidP="00A552F8">
      <w:pPr>
        <w:spacing w:line="360" w:lineRule="auto"/>
        <w:ind w:left="720" w:hanging="720"/>
        <w:jc w:val="both"/>
        <w:rPr>
          <w:rFonts w:ascii="Arial" w:hAnsi="Arial" w:cs="Arial"/>
        </w:rPr>
      </w:pPr>
    </w:p>
    <w:p w14:paraId="04CE6A06" w14:textId="77777777" w:rsidR="002E4CD5" w:rsidRPr="00A552F8" w:rsidRDefault="002E4CD5" w:rsidP="002243AB">
      <w:pPr>
        <w:spacing w:line="360" w:lineRule="auto"/>
        <w:ind w:left="709"/>
        <w:jc w:val="both"/>
        <w:rPr>
          <w:rFonts w:ascii="Arial" w:hAnsi="Arial" w:cs="Arial"/>
          <w:b/>
          <w:u w:val="single"/>
        </w:rPr>
      </w:pPr>
      <w:r w:rsidRPr="00A552F8">
        <w:rPr>
          <w:rFonts w:ascii="Arial" w:hAnsi="Arial" w:cs="Arial"/>
          <w:b/>
          <w:u w:val="single"/>
        </w:rPr>
        <w:t>Second Ground of Exception: failure to challenge Regulation 4(c) and/or decision by the Minister of Finance</w:t>
      </w:r>
    </w:p>
    <w:p w14:paraId="7DC61313" w14:textId="77777777" w:rsidR="002E4CD5" w:rsidRPr="00A552F8" w:rsidRDefault="002E4CD5" w:rsidP="002243AB">
      <w:pPr>
        <w:spacing w:line="360" w:lineRule="auto"/>
        <w:ind w:left="709"/>
        <w:jc w:val="both"/>
        <w:rPr>
          <w:rFonts w:ascii="Arial" w:hAnsi="Arial" w:cs="Arial"/>
          <w:b/>
          <w:u w:val="single"/>
        </w:rPr>
      </w:pPr>
    </w:p>
    <w:p w14:paraId="32D6AC83" w14:textId="2F1036B0" w:rsidR="002E4CD5" w:rsidRPr="00A552F8" w:rsidRDefault="002E4CD5" w:rsidP="00A552F8">
      <w:pPr>
        <w:spacing w:line="360" w:lineRule="auto"/>
        <w:ind w:left="720" w:hanging="720"/>
        <w:jc w:val="both"/>
        <w:rPr>
          <w:rFonts w:ascii="Arial" w:hAnsi="Arial" w:cs="Arial"/>
        </w:rPr>
      </w:pPr>
      <w:r w:rsidRPr="00A552F8">
        <w:rPr>
          <w:rFonts w:ascii="Arial" w:hAnsi="Arial" w:cs="Arial"/>
        </w:rPr>
        <w:t>20.</w:t>
      </w:r>
      <w:r w:rsidRPr="00A552F8">
        <w:rPr>
          <w:rFonts w:ascii="Arial" w:hAnsi="Arial" w:cs="Arial"/>
        </w:rPr>
        <w:tab/>
        <w:t xml:space="preserve">The First Defendant highlighted that the Plaintiffs, relying on Regulation 4(c), alleged that the amount of R1.35 trillion is </w:t>
      </w:r>
      <w:r w:rsidR="002243AB">
        <w:rPr>
          <w:rFonts w:ascii="Arial" w:hAnsi="Arial" w:cs="Arial"/>
        </w:rPr>
        <w:t xml:space="preserve">the </w:t>
      </w:r>
      <w:r w:rsidRPr="00A552F8">
        <w:rPr>
          <w:rFonts w:ascii="Arial" w:hAnsi="Arial" w:cs="Arial"/>
        </w:rPr>
        <w:t>debt due by the Public Investment Corporation (PIC) and ought to be paid by the PIC to the deceased’s estate.</w:t>
      </w:r>
    </w:p>
    <w:p w14:paraId="70A4EF55" w14:textId="77777777" w:rsidR="002E4CD5" w:rsidRPr="00A552F8" w:rsidRDefault="002E4CD5" w:rsidP="00A552F8">
      <w:pPr>
        <w:spacing w:line="360" w:lineRule="auto"/>
        <w:ind w:left="720" w:hanging="720"/>
        <w:jc w:val="both"/>
        <w:rPr>
          <w:rFonts w:ascii="Arial" w:hAnsi="Arial" w:cs="Arial"/>
        </w:rPr>
      </w:pPr>
    </w:p>
    <w:p w14:paraId="027E969B"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21.</w:t>
      </w:r>
      <w:r w:rsidRPr="00A552F8">
        <w:rPr>
          <w:rFonts w:ascii="Arial" w:hAnsi="Arial" w:cs="Arial"/>
        </w:rPr>
        <w:tab/>
        <w:t>The provisions of Regulation 4(c) are as follows:</w:t>
      </w:r>
    </w:p>
    <w:p w14:paraId="4D645C33" w14:textId="77777777" w:rsidR="002E4CD5" w:rsidRPr="00A552F8" w:rsidRDefault="002E4CD5" w:rsidP="00A552F8">
      <w:pPr>
        <w:spacing w:line="360" w:lineRule="auto"/>
        <w:ind w:left="720" w:hanging="720"/>
        <w:jc w:val="both"/>
        <w:rPr>
          <w:rFonts w:ascii="Arial" w:hAnsi="Arial" w:cs="Arial"/>
        </w:rPr>
      </w:pPr>
    </w:p>
    <w:p w14:paraId="1E31EA99" w14:textId="4D56A23A" w:rsidR="002E4CD5" w:rsidRDefault="002E4CD5">
      <w:pPr>
        <w:spacing w:line="360" w:lineRule="auto"/>
        <w:ind w:left="720" w:hanging="720"/>
        <w:jc w:val="both"/>
        <w:rPr>
          <w:rFonts w:ascii="Arial" w:hAnsi="Arial" w:cs="Arial"/>
          <w:i/>
        </w:rPr>
      </w:pPr>
      <w:r w:rsidRPr="00A552F8">
        <w:rPr>
          <w:rFonts w:ascii="Arial" w:hAnsi="Arial" w:cs="Arial"/>
        </w:rPr>
        <w:tab/>
        <w:t>“</w:t>
      </w:r>
      <w:r w:rsidRPr="00A552F8">
        <w:rPr>
          <w:rFonts w:ascii="Arial" w:hAnsi="Arial" w:cs="Arial"/>
          <w:i/>
        </w:rPr>
        <w:t>(c)</w:t>
      </w:r>
      <w:r w:rsidRPr="00A552F8">
        <w:rPr>
          <w:rFonts w:ascii="Arial" w:hAnsi="Arial" w:cs="Arial"/>
          <w:i/>
        </w:rPr>
        <w:tab/>
        <w:t>The sum standing to the credit of a special restricted account shall –</w:t>
      </w:r>
    </w:p>
    <w:p w14:paraId="6C9BB3D7" w14:textId="77777777" w:rsidR="00AD46C2" w:rsidRPr="00A552F8" w:rsidRDefault="00AD46C2">
      <w:pPr>
        <w:spacing w:line="360" w:lineRule="auto"/>
        <w:ind w:left="720" w:hanging="720"/>
        <w:jc w:val="both"/>
        <w:rPr>
          <w:rFonts w:ascii="Arial" w:hAnsi="Arial" w:cs="Arial"/>
          <w:i/>
        </w:rPr>
      </w:pPr>
    </w:p>
    <w:p w14:paraId="6574ACA5" w14:textId="71CC90FE" w:rsidR="002E4CD5" w:rsidRPr="002525FB" w:rsidRDefault="002525FB" w:rsidP="002525FB">
      <w:pPr>
        <w:ind w:left="2138" w:hanging="720"/>
        <w:jc w:val="both"/>
        <w:rPr>
          <w:rFonts w:ascii="Arial" w:hAnsi="Arial" w:cs="Arial"/>
          <w:i/>
        </w:rPr>
      </w:pPr>
      <w:r w:rsidRPr="00A552F8">
        <w:rPr>
          <w:rFonts w:ascii="Arial" w:eastAsiaTheme="minorHAnsi" w:hAnsi="Arial" w:cs="Arial"/>
          <w:i/>
          <w:lang w:eastAsia="en-US"/>
        </w:rPr>
        <w:t>(i)</w:t>
      </w:r>
      <w:r w:rsidRPr="00A552F8">
        <w:rPr>
          <w:rFonts w:ascii="Arial" w:eastAsiaTheme="minorHAnsi" w:hAnsi="Arial" w:cs="Arial"/>
          <w:i/>
          <w:lang w:eastAsia="en-US"/>
        </w:rPr>
        <w:tab/>
      </w:r>
      <w:r w:rsidR="002E4CD5" w:rsidRPr="002525FB">
        <w:rPr>
          <w:rFonts w:ascii="Arial" w:hAnsi="Arial" w:cs="Arial"/>
          <w:i/>
        </w:rPr>
        <w:t>bear interest which shall be calculated and be payable in a manner, and at a rate, which shall be determined from time to time by the Minister of Finance or by a person designated by him;</w:t>
      </w:r>
    </w:p>
    <w:p w14:paraId="48102C8D" w14:textId="77777777" w:rsidR="002E4CD5" w:rsidRPr="00A552F8" w:rsidRDefault="002E4CD5" w:rsidP="006447DD">
      <w:pPr>
        <w:pStyle w:val="ListParagraph"/>
        <w:ind w:left="1418"/>
        <w:jc w:val="both"/>
        <w:rPr>
          <w:rFonts w:ascii="Arial" w:hAnsi="Arial" w:cs="Arial"/>
          <w:i/>
          <w:sz w:val="24"/>
          <w:szCs w:val="24"/>
        </w:rPr>
      </w:pPr>
    </w:p>
    <w:p w14:paraId="2F8A0BAB" w14:textId="70CCCB48" w:rsidR="002E4CD5" w:rsidRPr="002525FB" w:rsidRDefault="002525FB" w:rsidP="002525FB">
      <w:pPr>
        <w:ind w:left="2138" w:hanging="720"/>
        <w:jc w:val="both"/>
        <w:rPr>
          <w:rFonts w:ascii="Arial" w:hAnsi="Arial" w:cs="Arial"/>
          <w:i/>
        </w:rPr>
      </w:pPr>
      <w:r w:rsidRPr="00A552F8">
        <w:rPr>
          <w:rFonts w:ascii="Arial" w:eastAsiaTheme="minorHAnsi" w:hAnsi="Arial" w:cs="Arial"/>
          <w:i/>
          <w:lang w:eastAsia="en-US"/>
        </w:rPr>
        <w:lastRenderedPageBreak/>
        <w:t>(ii)</w:t>
      </w:r>
      <w:r w:rsidRPr="00A552F8">
        <w:rPr>
          <w:rFonts w:ascii="Arial" w:eastAsiaTheme="minorHAnsi" w:hAnsi="Arial" w:cs="Arial"/>
          <w:i/>
          <w:lang w:eastAsia="en-US"/>
        </w:rPr>
        <w:tab/>
      </w:r>
      <w:r w:rsidR="002E4CD5" w:rsidRPr="002525FB">
        <w:rPr>
          <w:rFonts w:ascii="Arial" w:hAnsi="Arial" w:cs="Arial"/>
          <w:i/>
        </w:rPr>
        <w:t>be a debt due by and be repaid by the Public Investment Commissioners in such a manner and in such instalments and on such conditions as may be determined from time to time by the Minister of Finance or by a person designated by him, to the foreign creditor in whose favour such sum has been paid into the special restricted account;</w:t>
      </w:r>
    </w:p>
    <w:p w14:paraId="5DEE6EEB" w14:textId="77777777" w:rsidR="002E4CD5" w:rsidRPr="00A552F8" w:rsidRDefault="002E4CD5" w:rsidP="006447DD">
      <w:pPr>
        <w:pStyle w:val="ListParagraph"/>
        <w:ind w:left="1418"/>
        <w:jc w:val="both"/>
        <w:rPr>
          <w:rFonts w:ascii="Arial" w:hAnsi="Arial" w:cs="Arial"/>
          <w:i/>
          <w:sz w:val="24"/>
          <w:szCs w:val="24"/>
        </w:rPr>
      </w:pPr>
    </w:p>
    <w:p w14:paraId="1F22185F" w14:textId="7B4FDB53" w:rsidR="002E4CD5" w:rsidRPr="002525FB" w:rsidRDefault="002525FB" w:rsidP="002525FB">
      <w:pPr>
        <w:ind w:left="2138" w:hanging="720"/>
        <w:jc w:val="both"/>
        <w:rPr>
          <w:rFonts w:ascii="Arial" w:hAnsi="Arial" w:cs="Arial"/>
          <w:i/>
        </w:rPr>
      </w:pPr>
      <w:r w:rsidRPr="00A552F8">
        <w:rPr>
          <w:rFonts w:ascii="Arial" w:eastAsiaTheme="minorHAnsi" w:hAnsi="Arial" w:cs="Arial"/>
          <w:i/>
          <w:lang w:eastAsia="en-US"/>
        </w:rPr>
        <w:t>(iii)</w:t>
      </w:r>
      <w:r w:rsidRPr="00A552F8">
        <w:rPr>
          <w:rFonts w:ascii="Arial" w:eastAsiaTheme="minorHAnsi" w:hAnsi="Arial" w:cs="Arial"/>
          <w:i/>
          <w:lang w:eastAsia="en-US"/>
        </w:rPr>
        <w:tab/>
      </w:r>
      <w:r w:rsidR="002E4CD5" w:rsidRPr="002525FB">
        <w:rPr>
          <w:rFonts w:ascii="Arial" w:hAnsi="Arial" w:cs="Arial"/>
          <w:i/>
        </w:rPr>
        <w:t>until such time as it is repaid to the foreign creditor in terms of subparagraph (ii) or is paid to another person at the request of the foreign creditor-</w:t>
      </w:r>
    </w:p>
    <w:p w14:paraId="7A0DB6AC" w14:textId="77777777" w:rsidR="002E4CD5" w:rsidRPr="00A552F8" w:rsidRDefault="002E4CD5" w:rsidP="006447DD">
      <w:pPr>
        <w:pStyle w:val="ListParagraph"/>
        <w:ind w:left="1418"/>
        <w:jc w:val="both"/>
        <w:rPr>
          <w:rFonts w:ascii="Arial" w:hAnsi="Arial" w:cs="Arial"/>
          <w:i/>
          <w:sz w:val="24"/>
          <w:szCs w:val="24"/>
        </w:rPr>
      </w:pPr>
    </w:p>
    <w:p w14:paraId="7B25CD3B" w14:textId="77777777" w:rsidR="002E4CD5" w:rsidRPr="00A552F8" w:rsidRDefault="002E4CD5" w:rsidP="006447DD">
      <w:pPr>
        <w:pStyle w:val="ListParagraph"/>
        <w:ind w:left="2705" w:hanging="720"/>
        <w:jc w:val="both"/>
        <w:rPr>
          <w:rFonts w:ascii="Arial" w:hAnsi="Arial" w:cs="Arial"/>
          <w:i/>
          <w:sz w:val="24"/>
          <w:szCs w:val="24"/>
        </w:rPr>
      </w:pPr>
      <w:r w:rsidRPr="00A552F8">
        <w:rPr>
          <w:rFonts w:ascii="Arial" w:hAnsi="Arial" w:cs="Arial"/>
          <w:i/>
          <w:sz w:val="24"/>
          <w:szCs w:val="24"/>
        </w:rPr>
        <w:t>(aa)</w:t>
      </w:r>
      <w:r w:rsidRPr="00A552F8">
        <w:rPr>
          <w:rFonts w:ascii="Arial" w:hAnsi="Arial" w:cs="Arial"/>
          <w:i/>
          <w:sz w:val="24"/>
          <w:szCs w:val="24"/>
        </w:rPr>
        <w:tab/>
        <w:t>be held and retained by the Public Investment Commissioners on such terms and conditions as may be determined by the Minister of Finance or a person designated by him;</w:t>
      </w:r>
    </w:p>
    <w:p w14:paraId="743F4E3C" w14:textId="77777777" w:rsidR="002E4CD5" w:rsidRPr="00A552F8" w:rsidRDefault="002E4CD5" w:rsidP="006447DD">
      <w:pPr>
        <w:pStyle w:val="ListParagraph"/>
        <w:ind w:left="1985"/>
        <w:jc w:val="both"/>
        <w:rPr>
          <w:rFonts w:ascii="Arial" w:hAnsi="Arial" w:cs="Arial"/>
          <w:i/>
          <w:sz w:val="24"/>
          <w:szCs w:val="24"/>
        </w:rPr>
      </w:pPr>
    </w:p>
    <w:p w14:paraId="3BA9531A" w14:textId="77777777" w:rsidR="002E4CD5" w:rsidRPr="00A552F8" w:rsidRDefault="002E4CD5" w:rsidP="006447DD">
      <w:pPr>
        <w:pStyle w:val="ListParagraph"/>
        <w:ind w:left="2705" w:hanging="720"/>
        <w:jc w:val="both"/>
        <w:rPr>
          <w:rFonts w:ascii="Arial" w:hAnsi="Arial" w:cs="Arial"/>
          <w:sz w:val="24"/>
          <w:szCs w:val="24"/>
        </w:rPr>
      </w:pPr>
      <w:r w:rsidRPr="00A552F8">
        <w:rPr>
          <w:rFonts w:ascii="Arial" w:hAnsi="Arial" w:cs="Arial"/>
          <w:i/>
          <w:sz w:val="24"/>
          <w:szCs w:val="24"/>
        </w:rPr>
        <w:t>(bb)</w:t>
      </w:r>
      <w:r w:rsidRPr="00A552F8">
        <w:rPr>
          <w:rFonts w:ascii="Arial" w:hAnsi="Arial" w:cs="Arial"/>
          <w:i/>
          <w:sz w:val="24"/>
          <w:szCs w:val="24"/>
        </w:rPr>
        <w:tab/>
        <w:t>be dealt with only in accordance with such condition as may be determined from time to time by the Minister of Finance or by a person designated by him.</w:t>
      </w:r>
      <w:r w:rsidRPr="00A552F8">
        <w:rPr>
          <w:rFonts w:ascii="Arial" w:hAnsi="Arial" w:cs="Arial"/>
          <w:sz w:val="24"/>
          <w:szCs w:val="24"/>
        </w:rPr>
        <w:t>”</w:t>
      </w:r>
    </w:p>
    <w:p w14:paraId="69E5D74C" w14:textId="77777777" w:rsidR="002E4CD5" w:rsidRPr="00A552F8" w:rsidRDefault="002E4CD5" w:rsidP="00A552F8">
      <w:pPr>
        <w:spacing w:line="360" w:lineRule="auto"/>
        <w:jc w:val="both"/>
        <w:rPr>
          <w:rFonts w:ascii="Arial" w:hAnsi="Arial" w:cs="Arial"/>
        </w:rPr>
      </w:pPr>
    </w:p>
    <w:p w14:paraId="31816A0F" w14:textId="6FE2356C" w:rsidR="002E4CD5" w:rsidRPr="00A552F8" w:rsidRDefault="002E4CD5" w:rsidP="00A552F8">
      <w:pPr>
        <w:spacing w:line="360" w:lineRule="auto"/>
        <w:ind w:left="720" w:hanging="720"/>
        <w:jc w:val="both"/>
        <w:rPr>
          <w:rFonts w:ascii="Arial" w:hAnsi="Arial" w:cs="Arial"/>
        </w:rPr>
      </w:pPr>
      <w:r w:rsidRPr="00A552F8">
        <w:rPr>
          <w:rFonts w:ascii="Arial" w:hAnsi="Arial" w:cs="Arial"/>
        </w:rPr>
        <w:t>22.</w:t>
      </w:r>
      <w:r w:rsidRPr="00A552F8">
        <w:rPr>
          <w:rFonts w:ascii="Arial" w:hAnsi="Arial" w:cs="Arial"/>
        </w:rPr>
        <w:tab/>
        <w:t>The First Defendant contended that upon proper construction of Regulation 4(c), there are several requirements that must be met before any credit standing in a special restricted account, together with interest are due and payable in terms of Regulation 4(c).</w:t>
      </w:r>
    </w:p>
    <w:p w14:paraId="4CCE870F" w14:textId="77777777" w:rsidR="002E4CD5" w:rsidRPr="00A552F8" w:rsidRDefault="002E4CD5" w:rsidP="00A552F8">
      <w:pPr>
        <w:spacing w:line="360" w:lineRule="auto"/>
        <w:jc w:val="both"/>
        <w:rPr>
          <w:rFonts w:ascii="Arial" w:hAnsi="Arial" w:cs="Arial"/>
          <w:i/>
        </w:rPr>
      </w:pPr>
    </w:p>
    <w:p w14:paraId="2A201A79"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23.</w:t>
      </w:r>
      <w:r w:rsidRPr="00A552F8">
        <w:rPr>
          <w:rFonts w:ascii="Arial" w:hAnsi="Arial" w:cs="Arial"/>
        </w:rPr>
        <w:tab/>
        <w:t>The First Defendant submitted that the Plaintiffs have to prove the following:</w:t>
      </w:r>
    </w:p>
    <w:p w14:paraId="2CA46D7F" w14:textId="77777777" w:rsidR="002E4CD5" w:rsidRPr="00A552F8" w:rsidRDefault="002E4CD5" w:rsidP="00A552F8">
      <w:pPr>
        <w:spacing w:line="360" w:lineRule="auto"/>
        <w:ind w:left="720" w:hanging="720"/>
        <w:jc w:val="both"/>
        <w:rPr>
          <w:rFonts w:ascii="Arial" w:hAnsi="Arial" w:cs="Arial"/>
        </w:rPr>
      </w:pPr>
    </w:p>
    <w:p w14:paraId="3B097D4D" w14:textId="4B2C255A" w:rsidR="002E4CD5" w:rsidRPr="00A552F8" w:rsidRDefault="002E4CD5" w:rsidP="00A552F8">
      <w:pPr>
        <w:spacing w:line="360" w:lineRule="auto"/>
        <w:ind w:left="1440" w:hanging="720"/>
        <w:jc w:val="both"/>
        <w:rPr>
          <w:rFonts w:ascii="Arial" w:hAnsi="Arial" w:cs="Arial"/>
        </w:rPr>
      </w:pPr>
      <w:r w:rsidRPr="00A552F8">
        <w:rPr>
          <w:rFonts w:ascii="Arial" w:hAnsi="Arial" w:cs="Arial"/>
        </w:rPr>
        <w:t>23.1</w:t>
      </w:r>
      <w:r w:rsidRPr="00A552F8">
        <w:rPr>
          <w:rFonts w:ascii="Arial" w:hAnsi="Arial" w:cs="Arial"/>
        </w:rPr>
        <w:tab/>
        <w:t>The Plaintiffs must allege and prove the interest rate determined by the Minister of Finance.</w:t>
      </w:r>
    </w:p>
    <w:p w14:paraId="7618B67B" w14:textId="77777777" w:rsidR="002E4CD5" w:rsidRPr="00A552F8" w:rsidRDefault="002E4CD5" w:rsidP="00A552F8">
      <w:pPr>
        <w:spacing w:line="360" w:lineRule="auto"/>
        <w:ind w:left="1440" w:hanging="720"/>
        <w:jc w:val="both"/>
        <w:rPr>
          <w:rFonts w:ascii="Arial" w:hAnsi="Arial" w:cs="Arial"/>
        </w:rPr>
      </w:pPr>
    </w:p>
    <w:p w14:paraId="2D1D7FC6" w14:textId="4CC6D6B8" w:rsidR="002E4CD5" w:rsidRPr="00A552F8" w:rsidRDefault="002E4CD5" w:rsidP="00A552F8">
      <w:pPr>
        <w:spacing w:line="360" w:lineRule="auto"/>
        <w:ind w:left="1440" w:hanging="720"/>
        <w:jc w:val="both"/>
        <w:rPr>
          <w:rFonts w:ascii="Arial" w:hAnsi="Arial" w:cs="Arial"/>
        </w:rPr>
      </w:pPr>
      <w:r w:rsidRPr="00A552F8">
        <w:rPr>
          <w:rFonts w:ascii="Arial" w:hAnsi="Arial" w:cs="Arial"/>
        </w:rPr>
        <w:t>23.2</w:t>
      </w:r>
      <w:r w:rsidRPr="00A552F8">
        <w:rPr>
          <w:rFonts w:ascii="Arial" w:hAnsi="Arial" w:cs="Arial"/>
        </w:rPr>
        <w:tab/>
        <w:t>The Plaintiffs must allege and prove the manner of payment, instalments determined, and any applicable conditions for repayment as determined by the Minister of Finance, and that absent such determination no repayments could commence and thus no entitlement to repayment.</w:t>
      </w:r>
    </w:p>
    <w:p w14:paraId="5FBBA8C4" w14:textId="77777777" w:rsidR="002E4CD5" w:rsidRPr="00A552F8" w:rsidRDefault="002E4CD5" w:rsidP="00A552F8">
      <w:pPr>
        <w:spacing w:line="360" w:lineRule="auto"/>
        <w:ind w:left="1440" w:hanging="720"/>
        <w:jc w:val="both"/>
        <w:rPr>
          <w:rFonts w:ascii="Arial" w:hAnsi="Arial" w:cs="Arial"/>
        </w:rPr>
      </w:pPr>
    </w:p>
    <w:p w14:paraId="3D465F3D" w14:textId="516DCD5F" w:rsidR="002E4CD5" w:rsidRPr="00A552F8" w:rsidRDefault="002E4CD5" w:rsidP="00A552F8">
      <w:pPr>
        <w:spacing w:line="360" w:lineRule="auto"/>
        <w:ind w:left="1440" w:hanging="720"/>
        <w:jc w:val="both"/>
        <w:rPr>
          <w:rFonts w:ascii="Arial" w:hAnsi="Arial" w:cs="Arial"/>
        </w:rPr>
      </w:pPr>
      <w:r w:rsidRPr="00A552F8">
        <w:rPr>
          <w:rFonts w:ascii="Arial" w:hAnsi="Arial" w:cs="Arial"/>
        </w:rPr>
        <w:lastRenderedPageBreak/>
        <w:t>23.3</w:t>
      </w:r>
      <w:r w:rsidRPr="00A552F8">
        <w:rPr>
          <w:rFonts w:ascii="Arial" w:hAnsi="Arial" w:cs="Arial"/>
        </w:rPr>
        <w:tab/>
        <w:t>The Plaintiffs must allege that the funds paid into the special restricted account was paid into the special restricted account in favour of the deceased.</w:t>
      </w:r>
    </w:p>
    <w:p w14:paraId="4FC0808D" w14:textId="77777777" w:rsidR="002E4CD5" w:rsidRPr="00A552F8" w:rsidRDefault="002E4CD5" w:rsidP="00A552F8">
      <w:pPr>
        <w:spacing w:line="360" w:lineRule="auto"/>
        <w:ind w:left="1440" w:hanging="720"/>
        <w:jc w:val="both"/>
        <w:rPr>
          <w:rFonts w:ascii="Arial" w:hAnsi="Arial" w:cs="Arial"/>
        </w:rPr>
      </w:pPr>
    </w:p>
    <w:p w14:paraId="27106F73" w14:textId="486BBEB6" w:rsidR="002E4CD5" w:rsidRPr="00A552F8" w:rsidRDefault="002E4CD5" w:rsidP="00A552F8">
      <w:pPr>
        <w:spacing w:line="360" w:lineRule="auto"/>
        <w:ind w:left="1440" w:hanging="720"/>
        <w:jc w:val="both"/>
        <w:rPr>
          <w:rFonts w:ascii="Arial" w:hAnsi="Arial" w:cs="Arial"/>
        </w:rPr>
      </w:pPr>
      <w:r w:rsidRPr="00A552F8">
        <w:rPr>
          <w:rFonts w:ascii="Arial" w:hAnsi="Arial" w:cs="Arial"/>
        </w:rPr>
        <w:t>23.4</w:t>
      </w:r>
      <w:r w:rsidRPr="00A552F8">
        <w:rPr>
          <w:rFonts w:ascii="Arial" w:hAnsi="Arial" w:cs="Arial"/>
        </w:rPr>
        <w:tab/>
        <w:t>The PIC is not holding and/or dealing with the funds in accordance with the terms and conditions as determined by the Minister of Finance.</w:t>
      </w:r>
    </w:p>
    <w:p w14:paraId="3C905A88" w14:textId="77777777" w:rsidR="002E4CD5" w:rsidRPr="00A552F8" w:rsidRDefault="002E4CD5" w:rsidP="00A552F8">
      <w:pPr>
        <w:spacing w:line="360" w:lineRule="auto"/>
        <w:ind w:left="1440" w:hanging="720"/>
        <w:jc w:val="both"/>
        <w:rPr>
          <w:rFonts w:ascii="Arial" w:hAnsi="Arial" w:cs="Arial"/>
        </w:rPr>
      </w:pPr>
    </w:p>
    <w:p w14:paraId="08EDDF63" w14:textId="01A111EB" w:rsidR="002E4CD5" w:rsidRPr="00A552F8" w:rsidRDefault="002E4CD5" w:rsidP="00A552F8">
      <w:pPr>
        <w:spacing w:line="360" w:lineRule="auto"/>
        <w:ind w:left="720" w:hanging="720"/>
        <w:jc w:val="both"/>
        <w:rPr>
          <w:rFonts w:ascii="Arial" w:hAnsi="Arial" w:cs="Arial"/>
        </w:rPr>
      </w:pPr>
      <w:r w:rsidRPr="00A552F8">
        <w:rPr>
          <w:rFonts w:ascii="Arial" w:hAnsi="Arial" w:cs="Arial"/>
        </w:rPr>
        <w:t>24.</w:t>
      </w:r>
      <w:r w:rsidRPr="00A552F8">
        <w:rPr>
          <w:rFonts w:ascii="Arial" w:hAnsi="Arial" w:cs="Arial"/>
        </w:rPr>
        <w:tab/>
      </w:r>
      <w:r w:rsidRPr="00AC40C2">
        <w:rPr>
          <w:rFonts w:ascii="Arial" w:hAnsi="Arial" w:cs="Arial"/>
        </w:rPr>
        <w:t>The First Defendant contended that having regard to the requirements of Regulation 4(c), the Plaintiffs did not plead the following:</w:t>
      </w:r>
    </w:p>
    <w:p w14:paraId="289F937C" w14:textId="77777777" w:rsidR="002E4CD5" w:rsidRPr="00A552F8" w:rsidRDefault="002E4CD5" w:rsidP="00A552F8">
      <w:pPr>
        <w:spacing w:line="360" w:lineRule="auto"/>
        <w:ind w:left="720" w:hanging="720"/>
        <w:jc w:val="both"/>
        <w:rPr>
          <w:rFonts w:ascii="Arial" w:hAnsi="Arial" w:cs="Arial"/>
        </w:rPr>
      </w:pPr>
    </w:p>
    <w:p w14:paraId="0CE9D092" w14:textId="558F9BDE" w:rsidR="002E4CD5" w:rsidRPr="00A552F8" w:rsidRDefault="002E4CD5" w:rsidP="00A552F8">
      <w:pPr>
        <w:spacing w:line="360" w:lineRule="auto"/>
        <w:ind w:left="1440" w:hanging="720"/>
        <w:jc w:val="both"/>
        <w:rPr>
          <w:rFonts w:ascii="Arial" w:hAnsi="Arial" w:cs="Arial"/>
        </w:rPr>
      </w:pPr>
      <w:r w:rsidRPr="00A552F8">
        <w:rPr>
          <w:rFonts w:ascii="Arial" w:hAnsi="Arial" w:cs="Arial"/>
        </w:rPr>
        <w:t>24.1</w:t>
      </w:r>
      <w:r w:rsidRPr="00A552F8">
        <w:rPr>
          <w:rFonts w:ascii="Arial" w:hAnsi="Arial" w:cs="Arial"/>
        </w:rPr>
        <w:tab/>
        <w:t>that the deceased was the person in whose favour the sum allegedly standing to credit was paid into the restricted account.</w:t>
      </w:r>
    </w:p>
    <w:p w14:paraId="00F32053" w14:textId="77777777" w:rsidR="002E4CD5" w:rsidRPr="00A552F8" w:rsidRDefault="002E4CD5" w:rsidP="00A552F8">
      <w:pPr>
        <w:spacing w:line="360" w:lineRule="auto"/>
        <w:ind w:left="1440" w:hanging="720"/>
        <w:jc w:val="both"/>
        <w:rPr>
          <w:rFonts w:ascii="Arial" w:hAnsi="Arial" w:cs="Arial"/>
        </w:rPr>
      </w:pPr>
    </w:p>
    <w:p w14:paraId="0A2BB4DF" w14:textId="627334E0" w:rsidR="002E4CD5" w:rsidRPr="00A552F8" w:rsidRDefault="002E4CD5" w:rsidP="00A552F8">
      <w:pPr>
        <w:spacing w:line="360" w:lineRule="auto"/>
        <w:ind w:left="1440" w:hanging="720"/>
        <w:jc w:val="both"/>
        <w:rPr>
          <w:rFonts w:ascii="Arial" w:hAnsi="Arial" w:cs="Arial"/>
        </w:rPr>
      </w:pPr>
      <w:r w:rsidRPr="00A552F8">
        <w:rPr>
          <w:rFonts w:ascii="Arial" w:hAnsi="Arial" w:cs="Arial"/>
        </w:rPr>
        <w:t>24.2</w:t>
      </w:r>
      <w:r w:rsidRPr="00A552F8">
        <w:rPr>
          <w:rFonts w:ascii="Arial" w:hAnsi="Arial" w:cs="Arial"/>
        </w:rPr>
        <w:tab/>
        <w:t>to the extent that Regulation 4(c)(ii) entitles the Minister of Finance to deal with the sum standing to the credit of the special restricted account in such manner and in accordance with such conditions as may be determined by him from time to time, the non-payment is unconstitutional and invalid or ought to be reviewed and set aside.</w:t>
      </w:r>
    </w:p>
    <w:p w14:paraId="49C682A3" w14:textId="77777777" w:rsidR="002E4CD5" w:rsidRPr="00A552F8" w:rsidRDefault="002E4CD5" w:rsidP="00A552F8">
      <w:pPr>
        <w:spacing w:line="360" w:lineRule="auto"/>
        <w:jc w:val="both"/>
        <w:rPr>
          <w:rFonts w:ascii="Arial" w:hAnsi="Arial" w:cs="Arial"/>
        </w:rPr>
      </w:pPr>
    </w:p>
    <w:p w14:paraId="5F8E9253" w14:textId="77777777" w:rsidR="002E4CD5" w:rsidRPr="00A552F8" w:rsidRDefault="002E4CD5" w:rsidP="00AC40C2">
      <w:pPr>
        <w:spacing w:line="360" w:lineRule="auto"/>
        <w:ind w:left="709"/>
        <w:jc w:val="both"/>
        <w:rPr>
          <w:rFonts w:ascii="Arial" w:hAnsi="Arial" w:cs="Arial"/>
          <w:i/>
          <w:u w:val="single"/>
        </w:rPr>
      </w:pPr>
      <w:r w:rsidRPr="00A552F8">
        <w:rPr>
          <w:rFonts w:ascii="Arial" w:hAnsi="Arial" w:cs="Arial"/>
          <w:i/>
          <w:u w:val="single"/>
        </w:rPr>
        <w:t>No allegation that the deceased is the person in whose favour the sum in special restricted account was paid</w:t>
      </w:r>
    </w:p>
    <w:p w14:paraId="7B9059E8" w14:textId="77777777" w:rsidR="002E4CD5" w:rsidRPr="00A552F8" w:rsidRDefault="002E4CD5" w:rsidP="00A552F8">
      <w:pPr>
        <w:spacing w:line="360" w:lineRule="auto"/>
        <w:jc w:val="both"/>
        <w:rPr>
          <w:rFonts w:ascii="Arial" w:hAnsi="Arial" w:cs="Arial"/>
          <w:i/>
          <w:u w:val="single"/>
        </w:rPr>
      </w:pPr>
    </w:p>
    <w:p w14:paraId="6BD61EBA" w14:textId="1DDAC1A9" w:rsidR="002E4CD5" w:rsidRPr="00A552F8" w:rsidRDefault="002E4CD5" w:rsidP="00A552F8">
      <w:pPr>
        <w:spacing w:line="360" w:lineRule="auto"/>
        <w:ind w:left="720" w:hanging="720"/>
        <w:jc w:val="both"/>
        <w:rPr>
          <w:rFonts w:ascii="Arial" w:hAnsi="Arial" w:cs="Arial"/>
        </w:rPr>
      </w:pPr>
      <w:r w:rsidRPr="00A552F8">
        <w:rPr>
          <w:rFonts w:ascii="Arial" w:hAnsi="Arial" w:cs="Arial"/>
        </w:rPr>
        <w:t>25.</w:t>
      </w:r>
      <w:r w:rsidRPr="00A552F8">
        <w:rPr>
          <w:rFonts w:ascii="Arial" w:hAnsi="Arial" w:cs="Arial"/>
        </w:rPr>
        <w:tab/>
        <w:t>The First Defendant averred that it is well established that money when deposited into a bank account ceases to be the principal’s money.</w:t>
      </w:r>
      <w:r w:rsidR="006447DD" w:rsidRPr="00A552F8">
        <w:rPr>
          <w:rFonts w:ascii="Arial" w:hAnsi="Arial" w:cs="Arial"/>
        </w:rPr>
        <w:t xml:space="preserve"> </w:t>
      </w:r>
      <w:r w:rsidRPr="00A552F8">
        <w:rPr>
          <w:rFonts w:ascii="Arial" w:hAnsi="Arial" w:cs="Arial"/>
        </w:rPr>
        <w:t>Further that it is then the money of the banker who is bound to return an equivalent by paying a similar amount to that deposited on demand and that in effect funds deposited into a bank account becomes the property of the bank.</w:t>
      </w:r>
    </w:p>
    <w:p w14:paraId="1065B2BE" w14:textId="77777777" w:rsidR="002E4CD5" w:rsidRPr="00A552F8" w:rsidRDefault="002E4CD5" w:rsidP="00A552F8">
      <w:pPr>
        <w:spacing w:line="360" w:lineRule="auto"/>
        <w:ind w:left="720" w:hanging="720"/>
        <w:jc w:val="both"/>
        <w:rPr>
          <w:rFonts w:ascii="Arial" w:hAnsi="Arial" w:cs="Arial"/>
        </w:rPr>
      </w:pPr>
    </w:p>
    <w:p w14:paraId="2886EF87" w14:textId="405393D4" w:rsidR="002E4CD5" w:rsidRPr="00A552F8" w:rsidRDefault="002E4CD5" w:rsidP="00A552F8">
      <w:pPr>
        <w:spacing w:line="360" w:lineRule="auto"/>
        <w:ind w:left="720" w:hanging="720"/>
        <w:jc w:val="both"/>
        <w:rPr>
          <w:rFonts w:ascii="Arial" w:hAnsi="Arial" w:cs="Arial"/>
        </w:rPr>
      </w:pPr>
      <w:r w:rsidRPr="00A552F8">
        <w:rPr>
          <w:rFonts w:ascii="Arial" w:hAnsi="Arial" w:cs="Arial"/>
        </w:rPr>
        <w:t>26.</w:t>
      </w:r>
      <w:r w:rsidRPr="00A552F8">
        <w:rPr>
          <w:rFonts w:ascii="Arial" w:hAnsi="Arial" w:cs="Arial"/>
        </w:rPr>
        <w:tab/>
        <w:t>The First Defendant also averred that the act of crediting a customer in a bank’s books does not in itself create a liability, because the credit may have been wrongly ent</w:t>
      </w:r>
      <w:r w:rsidR="006447DD">
        <w:rPr>
          <w:rFonts w:ascii="Arial" w:hAnsi="Arial" w:cs="Arial"/>
        </w:rPr>
        <w:t>ered and be subject to reversal.</w:t>
      </w:r>
      <w:r w:rsidRPr="00A552F8">
        <w:rPr>
          <w:rFonts w:ascii="Arial" w:hAnsi="Arial" w:cs="Arial"/>
        </w:rPr>
        <w:t xml:space="preserve"> Relying on the principle emanating from </w:t>
      </w:r>
      <w:r w:rsidRPr="00A552F8">
        <w:rPr>
          <w:rFonts w:ascii="Arial" w:hAnsi="Arial" w:cs="Arial"/>
          <w:i/>
        </w:rPr>
        <w:t>Rosseau NO v Standard Bank of SA Ltd</w:t>
      </w:r>
      <w:r w:rsidR="00AD46C2">
        <w:rPr>
          <w:rFonts w:ascii="Arial" w:hAnsi="Arial" w:cs="Arial"/>
          <w:i/>
        </w:rPr>
        <w:t>,</w:t>
      </w:r>
      <w:r w:rsidRPr="00A552F8">
        <w:rPr>
          <w:rStyle w:val="FootnoteReference"/>
          <w:rFonts w:ascii="Arial" w:hAnsi="Arial" w:cs="Arial"/>
          <w:i/>
        </w:rPr>
        <w:footnoteReference w:id="9"/>
      </w:r>
      <w:r w:rsidRPr="00A552F8">
        <w:rPr>
          <w:rFonts w:ascii="Arial" w:hAnsi="Arial" w:cs="Arial"/>
        </w:rPr>
        <w:t xml:space="preserve"> the First Defendant contended that the general principles for the recovery of more standing to the credit of a </w:t>
      </w:r>
      <w:r w:rsidRPr="00A552F8">
        <w:rPr>
          <w:rFonts w:ascii="Arial" w:hAnsi="Arial" w:cs="Arial"/>
        </w:rPr>
        <w:lastRenderedPageBreak/>
        <w:t>bank account requires establishing that the deceased was a creditor of the bank.</w:t>
      </w:r>
    </w:p>
    <w:p w14:paraId="5B9FD2FA" w14:textId="77777777" w:rsidR="002E4CD5" w:rsidRPr="00A552F8" w:rsidRDefault="002E4CD5" w:rsidP="00A552F8">
      <w:pPr>
        <w:spacing w:line="360" w:lineRule="auto"/>
        <w:ind w:left="720" w:hanging="720"/>
        <w:jc w:val="both"/>
        <w:rPr>
          <w:rFonts w:ascii="Arial" w:hAnsi="Arial" w:cs="Arial"/>
        </w:rPr>
      </w:pPr>
    </w:p>
    <w:p w14:paraId="1D6D9EDC"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27.</w:t>
      </w:r>
      <w:r w:rsidRPr="00A552F8">
        <w:rPr>
          <w:rFonts w:ascii="Arial" w:hAnsi="Arial" w:cs="Arial"/>
        </w:rPr>
        <w:tab/>
        <w:t xml:space="preserve">In </w:t>
      </w:r>
      <w:r w:rsidRPr="00A552F8">
        <w:rPr>
          <w:rFonts w:ascii="Arial" w:hAnsi="Arial" w:cs="Arial"/>
          <w:i/>
        </w:rPr>
        <w:t>Rosseau NO v Standard Bank of SA Ltd</w:t>
      </w:r>
      <w:r w:rsidRPr="00A552F8">
        <w:rPr>
          <w:rFonts w:ascii="Arial" w:hAnsi="Arial" w:cs="Arial"/>
        </w:rPr>
        <w:t>, Watermeyer J stated that:</w:t>
      </w:r>
    </w:p>
    <w:p w14:paraId="11740FD4" w14:textId="77777777" w:rsidR="002E4CD5" w:rsidRPr="00A552F8" w:rsidRDefault="002E4CD5" w:rsidP="00A552F8">
      <w:pPr>
        <w:spacing w:line="360" w:lineRule="auto"/>
        <w:ind w:left="720" w:hanging="720"/>
        <w:jc w:val="both"/>
        <w:rPr>
          <w:rFonts w:ascii="Arial" w:hAnsi="Arial" w:cs="Arial"/>
        </w:rPr>
      </w:pPr>
    </w:p>
    <w:p w14:paraId="2C8FEA72" w14:textId="77777777" w:rsidR="002E4CD5" w:rsidRPr="00A552F8" w:rsidRDefault="002E4CD5" w:rsidP="00A552F8">
      <w:pPr>
        <w:spacing w:line="360" w:lineRule="auto"/>
        <w:ind w:left="1440"/>
        <w:jc w:val="both"/>
        <w:rPr>
          <w:rFonts w:ascii="Arial" w:hAnsi="Arial" w:cs="Arial"/>
        </w:rPr>
      </w:pPr>
      <w:r w:rsidRPr="00A552F8">
        <w:rPr>
          <w:rFonts w:ascii="Arial" w:hAnsi="Arial" w:cs="Arial"/>
        </w:rPr>
        <w:t>“</w:t>
      </w:r>
      <w:r w:rsidRPr="00A552F8">
        <w:rPr>
          <w:rFonts w:ascii="Arial" w:hAnsi="Arial" w:cs="Arial"/>
          <w:i/>
        </w:rPr>
        <w:t>The legal relationship between a banker and a customer whose account is in credit is that of the debtor and creditor. The customer is a creditor who has a claim against the bank in the sense that he has a right to have it make payments to him, or to his order, on cheques drawn by him up to the amount by which his account is in credit.</w:t>
      </w:r>
      <w:r w:rsidRPr="00A552F8">
        <w:rPr>
          <w:rFonts w:ascii="Arial" w:hAnsi="Arial" w:cs="Arial"/>
        </w:rPr>
        <w:t>”</w:t>
      </w:r>
      <w:r w:rsidRPr="00A552F8">
        <w:rPr>
          <w:rStyle w:val="FootnoteReference"/>
          <w:rFonts w:ascii="Arial" w:hAnsi="Arial" w:cs="Arial"/>
        </w:rPr>
        <w:footnoteReference w:id="10"/>
      </w:r>
    </w:p>
    <w:p w14:paraId="2821D442" w14:textId="77777777" w:rsidR="002E4CD5" w:rsidRPr="00A552F8" w:rsidRDefault="002E4CD5" w:rsidP="00A552F8">
      <w:pPr>
        <w:spacing w:line="360" w:lineRule="auto"/>
        <w:jc w:val="both"/>
        <w:rPr>
          <w:rFonts w:ascii="Arial" w:hAnsi="Arial" w:cs="Arial"/>
        </w:rPr>
      </w:pPr>
    </w:p>
    <w:p w14:paraId="34D8AE56" w14:textId="4C86D557" w:rsidR="002E4CD5" w:rsidRPr="00A552F8" w:rsidRDefault="002E4CD5" w:rsidP="00A552F8">
      <w:pPr>
        <w:spacing w:line="360" w:lineRule="auto"/>
        <w:ind w:left="720" w:hanging="720"/>
        <w:jc w:val="both"/>
        <w:rPr>
          <w:rFonts w:ascii="Arial" w:hAnsi="Arial" w:cs="Arial"/>
        </w:rPr>
      </w:pPr>
      <w:r w:rsidRPr="00A552F8">
        <w:rPr>
          <w:rFonts w:ascii="Arial" w:hAnsi="Arial" w:cs="Arial"/>
        </w:rPr>
        <w:t>28.</w:t>
      </w:r>
      <w:r w:rsidRPr="00A552F8">
        <w:rPr>
          <w:rFonts w:ascii="Arial" w:hAnsi="Arial" w:cs="Arial"/>
        </w:rPr>
        <w:tab/>
        <w:t>The First Defendant observed that the Plaintiffs pleaded that Barclays PLC was the initial bank that transferred the funds from the United Kingdom to Barclays Bank International Limited (RSA)</w:t>
      </w:r>
      <w:r w:rsidR="00AD46C2">
        <w:rPr>
          <w:rFonts w:ascii="Arial" w:hAnsi="Arial" w:cs="Arial"/>
        </w:rPr>
        <w:t>.</w:t>
      </w:r>
    </w:p>
    <w:p w14:paraId="77A4E238" w14:textId="77777777" w:rsidR="002E4CD5" w:rsidRPr="00A552F8" w:rsidRDefault="002E4CD5" w:rsidP="00A552F8">
      <w:pPr>
        <w:spacing w:line="360" w:lineRule="auto"/>
        <w:ind w:left="720" w:hanging="720"/>
        <w:jc w:val="both"/>
        <w:rPr>
          <w:rFonts w:ascii="Arial" w:hAnsi="Arial" w:cs="Arial"/>
        </w:rPr>
      </w:pPr>
    </w:p>
    <w:p w14:paraId="0B877B67" w14:textId="2E2F75CF" w:rsidR="002E4CD5" w:rsidRPr="00A552F8" w:rsidRDefault="002E4CD5" w:rsidP="00A552F8">
      <w:pPr>
        <w:spacing w:line="360" w:lineRule="auto"/>
        <w:ind w:left="720" w:hanging="720"/>
        <w:jc w:val="both"/>
        <w:rPr>
          <w:rFonts w:ascii="Arial" w:hAnsi="Arial" w:cs="Arial"/>
        </w:rPr>
      </w:pPr>
      <w:r w:rsidRPr="00A552F8">
        <w:rPr>
          <w:rFonts w:ascii="Arial" w:hAnsi="Arial" w:cs="Arial"/>
        </w:rPr>
        <w:t>29.</w:t>
      </w:r>
      <w:r w:rsidRPr="00A552F8">
        <w:rPr>
          <w:rFonts w:ascii="Arial" w:hAnsi="Arial" w:cs="Arial"/>
        </w:rPr>
        <w:tab/>
        <w:t>The First Defendant contended that there are no allegations to suggest that the deceased was a creditor of Barclays PLC (or any subsequent bank) either by alleging the following:</w:t>
      </w:r>
    </w:p>
    <w:p w14:paraId="6795D809" w14:textId="77777777" w:rsidR="002E4CD5" w:rsidRPr="00A552F8" w:rsidRDefault="002E4CD5" w:rsidP="00A552F8">
      <w:pPr>
        <w:spacing w:line="360" w:lineRule="auto"/>
        <w:ind w:left="720" w:hanging="720"/>
        <w:jc w:val="both"/>
        <w:rPr>
          <w:rFonts w:ascii="Arial" w:hAnsi="Arial" w:cs="Arial"/>
        </w:rPr>
      </w:pPr>
    </w:p>
    <w:p w14:paraId="7A8DC541" w14:textId="11AE08E8" w:rsidR="002E4CD5" w:rsidRPr="00A552F8" w:rsidRDefault="002E4CD5" w:rsidP="00A552F8">
      <w:pPr>
        <w:spacing w:line="360" w:lineRule="auto"/>
        <w:ind w:left="1440" w:hanging="720"/>
        <w:jc w:val="both"/>
        <w:rPr>
          <w:rFonts w:ascii="Arial" w:hAnsi="Arial" w:cs="Arial"/>
        </w:rPr>
      </w:pPr>
      <w:r w:rsidRPr="00A552F8">
        <w:rPr>
          <w:rFonts w:ascii="Arial" w:hAnsi="Arial" w:cs="Arial"/>
        </w:rPr>
        <w:t>29.1</w:t>
      </w:r>
      <w:r w:rsidRPr="00A552F8">
        <w:rPr>
          <w:rFonts w:ascii="Arial" w:hAnsi="Arial" w:cs="Arial"/>
        </w:rPr>
        <w:tab/>
        <w:t>the deceased had an agreement with Barclays PLC in terms of which the deceased was the client i.e. account holder and Barclays the bank; or</w:t>
      </w:r>
    </w:p>
    <w:p w14:paraId="2BD555B6" w14:textId="77777777" w:rsidR="002E4CD5" w:rsidRPr="00A552F8" w:rsidRDefault="002E4CD5" w:rsidP="00A552F8">
      <w:pPr>
        <w:spacing w:line="360" w:lineRule="auto"/>
        <w:ind w:left="1440" w:hanging="720"/>
        <w:jc w:val="both"/>
        <w:rPr>
          <w:rFonts w:ascii="Arial" w:hAnsi="Arial" w:cs="Arial"/>
        </w:rPr>
      </w:pPr>
    </w:p>
    <w:p w14:paraId="3245EDC7" w14:textId="21C65FB2" w:rsidR="002E4CD5" w:rsidRPr="00A552F8" w:rsidRDefault="002E4CD5" w:rsidP="00A552F8">
      <w:pPr>
        <w:spacing w:line="360" w:lineRule="auto"/>
        <w:ind w:left="1440" w:hanging="720"/>
        <w:jc w:val="both"/>
        <w:rPr>
          <w:rFonts w:ascii="Arial" w:hAnsi="Arial" w:cs="Arial"/>
        </w:rPr>
      </w:pPr>
      <w:r w:rsidRPr="00A552F8">
        <w:rPr>
          <w:rFonts w:ascii="Arial" w:hAnsi="Arial" w:cs="Arial"/>
        </w:rPr>
        <w:t>29.2</w:t>
      </w:r>
      <w:r w:rsidRPr="00A552F8">
        <w:rPr>
          <w:rFonts w:ascii="Arial" w:hAnsi="Arial" w:cs="Arial"/>
        </w:rPr>
        <w:tab/>
        <w:t>that any person holding the account with Barclays PLC was doing so as an agent of the deceased; or</w:t>
      </w:r>
    </w:p>
    <w:p w14:paraId="3FBFA9C9" w14:textId="77777777" w:rsidR="002E4CD5" w:rsidRPr="00A552F8" w:rsidRDefault="002E4CD5" w:rsidP="00A552F8">
      <w:pPr>
        <w:spacing w:line="360" w:lineRule="auto"/>
        <w:ind w:left="1440" w:hanging="720"/>
        <w:jc w:val="both"/>
        <w:rPr>
          <w:rFonts w:ascii="Arial" w:hAnsi="Arial" w:cs="Arial"/>
        </w:rPr>
      </w:pPr>
    </w:p>
    <w:p w14:paraId="36E14A3A" w14:textId="38FD9B04" w:rsidR="002E4CD5" w:rsidRPr="00A552F8" w:rsidRDefault="002E4CD5" w:rsidP="00A552F8">
      <w:pPr>
        <w:spacing w:line="360" w:lineRule="auto"/>
        <w:ind w:left="1440" w:hanging="720"/>
        <w:jc w:val="both"/>
        <w:rPr>
          <w:rFonts w:ascii="Arial" w:hAnsi="Arial" w:cs="Arial"/>
        </w:rPr>
      </w:pPr>
      <w:r w:rsidRPr="00A552F8">
        <w:rPr>
          <w:rFonts w:ascii="Arial" w:hAnsi="Arial" w:cs="Arial"/>
        </w:rPr>
        <w:t>29.3</w:t>
      </w:r>
      <w:r w:rsidRPr="00A552F8">
        <w:rPr>
          <w:rFonts w:ascii="Arial" w:hAnsi="Arial" w:cs="Arial"/>
        </w:rPr>
        <w:tab/>
        <w:t>that any proceeds from the Share Certificate Portfolio was paid into a bank account held by Barclays PLC so as to establish a personal right of recovery; or</w:t>
      </w:r>
    </w:p>
    <w:p w14:paraId="7BE97479" w14:textId="77777777" w:rsidR="002E4CD5" w:rsidRPr="00A552F8" w:rsidRDefault="002E4CD5" w:rsidP="00A552F8">
      <w:pPr>
        <w:spacing w:line="360" w:lineRule="auto"/>
        <w:ind w:left="1440" w:hanging="720"/>
        <w:jc w:val="both"/>
        <w:rPr>
          <w:rFonts w:ascii="Arial" w:hAnsi="Arial" w:cs="Arial"/>
        </w:rPr>
      </w:pPr>
    </w:p>
    <w:p w14:paraId="46264B41" w14:textId="2A7C6477" w:rsidR="002E4CD5" w:rsidRPr="00A552F8" w:rsidRDefault="002E4CD5" w:rsidP="00A552F8">
      <w:pPr>
        <w:spacing w:line="360" w:lineRule="auto"/>
        <w:ind w:left="1440" w:hanging="720"/>
        <w:jc w:val="both"/>
        <w:rPr>
          <w:rFonts w:ascii="Arial" w:hAnsi="Arial" w:cs="Arial"/>
        </w:rPr>
      </w:pPr>
      <w:r w:rsidRPr="00A552F8">
        <w:rPr>
          <w:rFonts w:ascii="Arial" w:hAnsi="Arial" w:cs="Arial"/>
        </w:rPr>
        <w:t>29.4</w:t>
      </w:r>
      <w:r w:rsidRPr="00A552F8">
        <w:rPr>
          <w:rFonts w:ascii="Arial" w:hAnsi="Arial" w:cs="Arial"/>
        </w:rPr>
        <w:tab/>
        <w:t>those funds were paid by Barclays PLC to Barclays Bank International Limited (RSA), the latter acting as an agent of the deceased or accepting it for the benefit of the deceased.</w:t>
      </w:r>
    </w:p>
    <w:p w14:paraId="4621DBD9" w14:textId="77777777" w:rsidR="002E4CD5" w:rsidRPr="00A552F8" w:rsidRDefault="002E4CD5" w:rsidP="00A552F8">
      <w:pPr>
        <w:spacing w:line="360" w:lineRule="auto"/>
        <w:jc w:val="both"/>
        <w:rPr>
          <w:rFonts w:ascii="Arial" w:hAnsi="Arial" w:cs="Arial"/>
        </w:rPr>
      </w:pPr>
    </w:p>
    <w:p w14:paraId="1BFBE881" w14:textId="6A1C9CB0" w:rsidR="002E4CD5" w:rsidRPr="00A552F8" w:rsidRDefault="002E4CD5" w:rsidP="00A552F8">
      <w:pPr>
        <w:spacing w:line="360" w:lineRule="auto"/>
        <w:ind w:left="720" w:hanging="720"/>
        <w:jc w:val="both"/>
        <w:rPr>
          <w:rFonts w:ascii="Arial" w:hAnsi="Arial" w:cs="Arial"/>
        </w:rPr>
      </w:pPr>
      <w:r w:rsidRPr="00A552F8">
        <w:rPr>
          <w:rFonts w:ascii="Arial" w:hAnsi="Arial" w:cs="Arial"/>
        </w:rPr>
        <w:t>30.</w:t>
      </w:r>
      <w:r w:rsidRPr="00A552F8">
        <w:rPr>
          <w:rFonts w:ascii="Arial" w:hAnsi="Arial" w:cs="Arial"/>
        </w:rPr>
        <w:tab/>
        <w:t>The First Defendant contended that in the absence of establishing an initial entitlement to the funds, any subsequent transfers of the funds had to be done expressly on the understanding that the funds were transferred and paid into the special restricted account in favour of the deceased.</w:t>
      </w:r>
    </w:p>
    <w:p w14:paraId="2A135A15" w14:textId="77777777" w:rsidR="002E4CD5" w:rsidRPr="00A552F8" w:rsidRDefault="002E4CD5" w:rsidP="00A552F8">
      <w:pPr>
        <w:spacing w:line="360" w:lineRule="auto"/>
        <w:ind w:left="720" w:hanging="720"/>
        <w:jc w:val="both"/>
        <w:rPr>
          <w:rFonts w:ascii="Arial" w:hAnsi="Arial" w:cs="Arial"/>
        </w:rPr>
      </w:pPr>
    </w:p>
    <w:p w14:paraId="43739A77" w14:textId="232394BD" w:rsidR="002E4CD5" w:rsidRPr="00A552F8" w:rsidRDefault="002E4CD5" w:rsidP="00A552F8">
      <w:pPr>
        <w:spacing w:line="360" w:lineRule="auto"/>
        <w:ind w:left="720" w:hanging="720"/>
        <w:jc w:val="both"/>
        <w:rPr>
          <w:rFonts w:ascii="Arial" w:hAnsi="Arial" w:cs="Arial"/>
        </w:rPr>
      </w:pPr>
      <w:r w:rsidRPr="00A552F8">
        <w:rPr>
          <w:rFonts w:ascii="Arial" w:hAnsi="Arial" w:cs="Arial"/>
        </w:rPr>
        <w:t>31.</w:t>
      </w:r>
      <w:r w:rsidRPr="00A552F8">
        <w:rPr>
          <w:rFonts w:ascii="Arial" w:hAnsi="Arial" w:cs="Arial"/>
        </w:rPr>
        <w:tab/>
        <w:t>In response to the First Defendant’s averments in this regard, the Plaintiffs submitted that the allegations made in paragraphs 12 to 23, 25, 26, 27, 30, 31, 35, 37 to 44, 45, 46 and 49 of the particulars of claim trace the funds from the Share Certificate to the monies currently held by and on behalf of the First Defendant.</w:t>
      </w:r>
    </w:p>
    <w:p w14:paraId="44F9A1F8" w14:textId="77777777" w:rsidR="002E4CD5" w:rsidRPr="00A552F8" w:rsidRDefault="002E4CD5" w:rsidP="00A552F8">
      <w:pPr>
        <w:spacing w:line="360" w:lineRule="auto"/>
        <w:ind w:left="720" w:hanging="720"/>
        <w:jc w:val="both"/>
        <w:rPr>
          <w:rFonts w:ascii="Arial" w:hAnsi="Arial" w:cs="Arial"/>
        </w:rPr>
      </w:pPr>
    </w:p>
    <w:p w14:paraId="37C77FA9" w14:textId="2272A242" w:rsidR="002E4CD5" w:rsidRPr="00A552F8" w:rsidRDefault="002E4CD5" w:rsidP="00A552F8">
      <w:pPr>
        <w:spacing w:line="360" w:lineRule="auto"/>
        <w:ind w:left="720" w:hanging="720"/>
        <w:jc w:val="both"/>
        <w:rPr>
          <w:rFonts w:ascii="Arial" w:hAnsi="Arial" w:cs="Arial"/>
        </w:rPr>
      </w:pPr>
      <w:r w:rsidRPr="00A552F8">
        <w:rPr>
          <w:rFonts w:ascii="Arial" w:hAnsi="Arial" w:cs="Arial"/>
        </w:rPr>
        <w:t>32.</w:t>
      </w:r>
      <w:r w:rsidRPr="00A552F8">
        <w:rPr>
          <w:rFonts w:ascii="Arial" w:hAnsi="Arial" w:cs="Arial"/>
        </w:rPr>
        <w:tab/>
        <w:t>The Plaintiffs further submitted with reference to paragraphs 15, 22, 23, 25, 31, 37, 46 and 49 that the particulars of claim repeatedly in various forms alleged that the funds which emanate from the Share Certificate are those which are held in the Special Restricted account for the benefit of the deceased.</w:t>
      </w:r>
    </w:p>
    <w:p w14:paraId="7B7944B1" w14:textId="77777777" w:rsidR="002E4CD5" w:rsidRPr="00A552F8" w:rsidRDefault="002E4CD5" w:rsidP="00A552F8">
      <w:pPr>
        <w:spacing w:line="360" w:lineRule="auto"/>
        <w:ind w:left="720" w:hanging="720"/>
        <w:jc w:val="both"/>
        <w:rPr>
          <w:rFonts w:ascii="Arial" w:hAnsi="Arial" w:cs="Arial"/>
        </w:rPr>
      </w:pPr>
    </w:p>
    <w:p w14:paraId="764D3362" w14:textId="44707656" w:rsidR="002E4CD5" w:rsidRPr="00A552F8" w:rsidRDefault="002E4CD5" w:rsidP="00A552F8">
      <w:pPr>
        <w:spacing w:line="360" w:lineRule="auto"/>
        <w:ind w:left="720" w:hanging="720"/>
        <w:jc w:val="both"/>
        <w:rPr>
          <w:rFonts w:ascii="Arial" w:hAnsi="Arial" w:cs="Arial"/>
        </w:rPr>
      </w:pPr>
      <w:r w:rsidRPr="00A552F8">
        <w:rPr>
          <w:rFonts w:ascii="Arial" w:hAnsi="Arial" w:cs="Arial"/>
        </w:rPr>
        <w:t>33.</w:t>
      </w:r>
      <w:r w:rsidRPr="00A552F8">
        <w:rPr>
          <w:rFonts w:ascii="Arial" w:hAnsi="Arial" w:cs="Arial"/>
        </w:rPr>
        <w:tab/>
        <w:t>The Plaintiffs contended that where an exception is raised on the grounds that a pleading lacks averments necessary to sustain a cause of action, the excipient is required to show that upon every interpretation that the pleading in question can reasonably bear, no cause of action is disclosed. The Plaintiffs accordingly contended that this ground of exception lacks merit, and ought to be dismissed.</w:t>
      </w:r>
    </w:p>
    <w:p w14:paraId="0AB924D3" w14:textId="77777777" w:rsidR="002E4CD5" w:rsidRPr="00A552F8" w:rsidRDefault="002E4CD5" w:rsidP="00A552F8">
      <w:pPr>
        <w:spacing w:line="360" w:lineRule="auto"/>
        <w:ind w:left="720" w:hanging="720"/>
        <w:jc w:val="both"/>
        <w:rPr>
          <w:rFonts w:ascii="Arial" w:hAnsi="Arial" w:cs="Arial"/>
        </w:rPr>
      </w:pPr>
    </w:p>
    <w:p w14:paraId="7BC66D9E" w14:textId="77777777" w:rsidR="002E4CD5" w:rsidRPr="00A552F8" w:rsidRDefault="002E4CD5" w:rsidP="00A552F8">
      <w:pPr>
        <w:spacing w:line="360" w:lineRule="auto"/>
        <w:ind w:left="720" w:hanging="720"/>
        <w:jc w:val="both"/>
        <w:rPr>
          <w:rFonts w:ascii="Arial" w:hAnsi="Arial" w:cs="Arial"/>
          <w:i/>
          <w:u w:val="single"/>
        </w:rPr>
      </w:pPr>
      <w:r w:rsidRPr="00A552F8">
        <w:rPr>
          <w:rFonts w:ascii="Arial" w:hAnsi="Arial" w:cs="Arial"/>
          <w:i/>
          <w:u w:val="single"/>
        </w:rPr>
        <w:t>Minister of Finance’s entitlement to deal with the funds</w:t>
      </w:r>
    </w:p>
    <w:p w14:paraId="066844BB" w14:textId="77777777" w:rsidR="002E4CD5" w:rsidRPr="00A552F8" w:rsidRDefault="002E4CD5" w:rsidP="00A552F8">
      <w:pPr>
        <w:spacing w:line="360" w:lineRule="auto"/>
        <w:ind w:left="720" w:hanging="720"/>
        <w:jc w:val="both"/>
        <w:rPr>
          <w:rFonts w:ascii="Arial" w:hAnsi="Arial" w:cs="Arial"/>
          <w:i/>
          <w:u w:val="single"/>
        </w:rPr>
      </w:pPr>
    </w:p>
    <w:p w14:paraId="692176FF" w14:textId="37071C65" w:rsidR="002E4CD5" w:rsidRPr="00A552F8" w:rsidRDefault="002E4CD5" w:rsidP="00A552F8">
      <w:pPr>
        <w:spacing w:line="360" w:lineRule="auto"/>
        <w:ind w:left="720" w:hanging="720"/>
        <w:jc w:val="both"/>
        <w:rPr>
          <w:rFonts w:ascii="Arial" w:hAnsi="Arial" w:cs="Arial"/>
        </w:rPr>
      </w:pPr>
      <w:r w:rsidRPr="00A552F8">
        <w:rPr>
          <w:rFonts w:ascii="Arial" w:hAnsi="Arial" w:cs="Arial"/>
        </w:rPr>
        <w:t>34.</w:t>
      </w:r>
      <w:r w:rsidRPr="00A552F8">
        <w:rPr>
          <w:rFonts w:ascii="Arial" w:hAnsi="Arial" w:cs="Arial"/>
        </w:rPr>
        <w:tab/>
        <w:t>The First Defendant acknowledged that the Plaintiffs alleged in paragraph 49 of their particulars of claim that the former Minister of Finance, Mr Trevor Manuel in effect directed that the sum be held or invested in the Government Employees Pension Fund after 1996.</w:t>
      </w:r>
    </w:p>
    <w:p w14:paraId="43DF1643" w14:textId="77777777" w:rsidR="002E4CD5" w:rsidRPr="00A552F8" w:rsidRDefault="002E4CD5" w:rsidP="00A552F8">
      <w:pPr>
        <w:spacing w:line="360" w:lineRule="auto"/>
        <w:ind w:left="720" w:hanging="720"/>
        <w:jc w:val="both"/>
        <w:rPr>
          <w:rFonts w:ascii="Arial" w:hAnsi="Arial" w:cs="Arial"/>
        </w:rPr>
      </w:pPr>
    </w:p>
    <w:p w14:paraId="6065EB52" w14:textId="3958EF14" w:rsidR="002E4CD5" w:rsidRPr="00A552F8" w:rsidRDefault="002E4CD5" w:rsidP="00A552F8">
      <w:pPr>
        <w:spacing w:line="360" w:lineRule="auto"/>
        <w:ind w:left="720" w:hanging="720"/>
        <w:jc w:val="both"/>
        <w:rPr>
          <w:rFonts w:ascii="Arial" w:hAnsi="Arial" w:cs="Arial"/>
        </w:rPr>
      </w:pPr>
      <w:r w:rsidRPr="00A552F8">
        <w:rPr>
          <w:rFonts w:ascii="Arial" w:hAnsi="Arial" w:cs="Arial"/>
        </w:rPr>
        <w:t>35.</w:t>
      </w:r>
      <w:r w:rsidRPr="00A552F8">
        <w:rPr>
          <w:rFonts w:ascii="Arial" w:hAnsi="Arial" w:cs="Arial"/>
        </w:rPr>
        <w:tab/>
        <w:t xml:space="preserve">The First Defendant contended that the Plaintiffs failed to plead any compliance with the requirements of Regulation 4(c)(ii), which according to the First </w:t>
      </w:r>
      <w:r w:rsidRPr="00A552F8">
        <w:rPr>
          <w:rFonts w:ascii="Arial" w:hAnsi="Arial" w:cs="Arial"/>
        </w:rPr>
        <w:lastRenderedPageBreak/>
        <w:t>Defendant is a pre-condition of repayment. The First Defendant is adamant that there is thus no right of repayment.</w:t>
      </w:r>
    </w:p>
    <w:p w14:paraId="4101809B" w14:textId="77777777" w:rsidR="002E4CD5" w:rsidRPr="00A552F8" w:rsidRDefault="002E4CD5" w:rsidP="00A552F8">
      <w:pPr>
        <w:spacing w:line="360" w:lineRule="auto"/>
        <w:ind w:left="720" w:hanging="720"/>
        <w:jc w:val="both"/>
        <w:rPr>
          <w:rFonts w:ascii="Arial" w:hAnsi="Arial" w:cs="Arial"/>
        </w:rPr>
      </w:pPr>
    </w:p>
    <w:p w14:paraId="71AF8FA6" w14:textId="0FAF7124" w:rsidR="002E4CD5" w:rsidRPr="00A552F8" w:rsidRDefault="002E4CD5" w:rsidP="00A552F8">
      <w:pPr>
        <w:spacing w:line="360" w:lineRule="auto"/>
        <w:ind w:left="720" w:hanging="720"/>
        <w:jc w:val="both"/>
        <w:rPr>
          <w:rFonts w:ascii="Arial" w:hAnsi="Arial" w:cs="Arial"/>
        </w:rPr>
      </w:pPr>
      <w:r w:rsidRPr="00A552F8">
        <w:rPr>
          <w:rFonts w:ascii="Arial" w:hAnsi="Arial" w:cs="Arial"/>
        </w:rPr>
        <w:t>36.</w:t>
      </w:r>
      <w:r w:rsidRPr="00A552F8">
        <w:rPr>
          <w:rFonts w:ascii="Arial" w:hAnsi="Arial" w:cs="Arial"/>
        </w:rPr>
        <w:tab/>
        <w:t>The First Defendant averred that on the face of it the particulars of claim, the then Minister of Finance made a decision on how the funds in the special restricted account are to be dealt with in accordance with Regulation 4(c)(iii).</w:t>
      </w:r>
    </w:p>
    <w:p w14:paraId="7726CF3C" w14:textId="77777777" w:rsidR="002E4CD5" w:rsidRPr="00A552F8" w:rsidRDefault="002E4CD5" w:rsidP="00A552F8">
      <w:pPr>
        <w:spacing w:line="360" w:lineRule="auto"/>
        <w:ind w:left="720" w:hanging="720"/>
        <w:jc w:val="both"/>
        <w:rPr>
          <w:rFonts w:ascii="Arial" w:hAnsi="Arial" w:cs="Arial"/>
        </w:rPr>
      </w:pPr>
    </w:p>
    <w:p w14:paraId="26E91B6C" w14:textId="308EFADB" w:rsidR="002E4CD5" w:rsidRPr="00A552F8" w:rsidRDefault="002E4CD5" w:rsidP="00A552F8">
      <w:pPr>
        <w:spacing w:line="360" w:lineRule="auto"/>
        <w:ind w:left="720" w:hanging="720"/>
        <w:jc w:val="both"/>
        <w:rPr>
          <w:rFonts w:ascii="Arial" w:hAnsi="Arial" w:cs="Arial"/>
        </w:rPr>
      </w:pPr>
      <w:r w:rsidRPr="00A552F8">
        <w:rPr>
          <w:rFonts w:ascii="Arial" w:hAnsi="Arial" w:cs="Arial"/>
        </w:rPr>
        <w:t>37.</w:t>
      </w:r>
      <w:r w:rsidRPr="00A552F8">
        <w:rPr>
          <w:rFonts w:ascii="Arial" w:hAnsi="Arial" w:cs="Arial"/>
        </w:rPr>
        <w:tab/>
        <w:t>The First Defendant contended that Regulation 4(c)(iii) and the Minister’s decision remain in full force and have legal consequences, cannot be ignored unless declared invalid and set aside and further that no such relief is sought by the Plaintiffs.</w:t>
      </w:r>
    </w:p>
    <w:p w14:paraId="57CDC3FE" w14:textId="77777777" w:rsidR="002E4CD5" w:rsidRPr="00A552F8" w:rsidRDefault="002E4CD5" w:rsidP="00A552F8">
      <w:pPr>
        <w:spacing w:line="360" w:lineRule="auto"/>
        <w:ind w:left="720" w:hanging="720"/>
        <w:jc w:val="both"/>
        <w:rPr>
          <w:rFonts w:ascii="Arial" w:hAnsi="Arial" w:cs="Arial"/>
        </w:rPr>
      </w:pPr>
    </w:p>
    <w:p w14:paraId="0BE4C53D" w14:textId="7F7C7C28" w:rsidR="002E4CD5" w:rsidRPr="00A552F8" w:rsidRDefault="002E4CD5" w:rsidP="00A552F8">
      <w:pPr>
        <w:spacing w:line="360" w:lineRule="auto"/>
        <w:ind w:left="720" w:hanging="720"/>
        <w:jc w:val="both"/>
        <w:rPr>
          <w:rFonts w:ascii="Arial" w:hAnsi="Arial" w:cs="Arial"/>
        </w:rPr>
      </w:pPr>
      <w:r w:rsidRPr="00A552F8">
        <w:rPr>
          <w:rFonts w:ascii="Arial" w:hAnsi="Arial" w:cs="Arial"/>
        </w:rPr>
        <w:t>38.</w:t>
      </w:r>
      <w:r w:rsidRPr="00A552F8">
        <w:rPr>
          <w:rFonts w:ascii="Arial" w:hAnsi="Arial" w:cs="Arial"/>
        </w:rPr>
        <w:tab/>
        <w:t>The Plaintiffs on the other hand acknowledged that in terms of Regulation 4(c)(iii), until the time the First Defendant repays the sum standing to the credit of the estate of the deceased, the First Defendant is obliged to hold it on such terms and conditions as may be determined by the Minister.</w:t>
      </w:r>
    </w:p>
    <w:p w14:paraId="626F6018" w14:textId="77777777" w:rsidR="002E4CD5" w:rsidRPr="00A552F8" w:rsidRDefault="002E4CD5" w:rsidP="00A552F8">
      <w:pPr>
        <w:spacing w:line="360" w:lineRule="auto"/>
        <w:ind w:left="720" w:hanging="720"/>
        <w:jc w:val="both"/>
        <w:rPr>
          <w:rFonts w:ascii="Arial" w:hAnsi="Arial" w:cs="Arial"/>
        </w:rPr>
      </w:pPr>
    </w:p>
    <w:p w14:paraId="65C655A1" w14:textId="28DFC3CA" w:rsidR="002E4CD5" w:rsidRPr="00A552F8" w:rsidRDefault="002E4CD5" w:rsidP="00A552F8">
      <w:pPr>
        <w:spacing w:line="360" w:lineRule="auto"/>
        <w:ind w:left="720" w:hanging="720"/>
        <w:jc w:val="both"/>
        <w:rPr>
          <w:rFonts w:ascii="Arial" w:hAnsi="Arial" w:cs="Arial"/>
        </w:rPr>
      </w:pPr>
      <w:r w:rsidRPr="00A552F8">
        <w:rPr>
          <w:rFonts w:ascii="Arial" w:hAnsi="Arial" w:cs="Arial"/>
        </w:rPr>
        <w:t>39.</w:t>
      </w:r>
      <w:r w:rsidRPr="00A552F8">
        <w:rPr>
          <w:rFonts w:ascii="Arial" w:hAnsi="Arial" w:cs="Arial"/>
        </w:rPr>
        <w:tab/>
        <w:t>The Plaintiffs contended that the Minister’s powers are limited to determining, from time to time the following:</w:t>
      </w:r>
    </w:p>
    <w:p w14:paraId="04CFE453" w14:textId="77777777" w:rsidR="002E4CD5" w:rsidRPr="00A552F8" w:rsidRDefault="002E4CD5" w:rsidP="00A552F8">
      <w:pPr>
        <w:spacing w:line="360" w:lineRule="auto"/>
        <w:ind w:left="720" w:hanging="720"/>
        <w:jc w:val="both"/>
        <w:rPr>
          <w:rFonts w:ascii="Arial" w:hAnsi="Arial" w:cs="Arial"/>
        </w:rPr>
      </w:pPr>
    </w:p>
    <w:p w14:paraId="3676E7AB" w14:textId="2ED7435E" w:rsidR="002E4CD5" w:rsidRPr="00A552F8" w:rsidRDefault="002E4CD5" w:rsidP="00A552F8">
      <w:pPr>
        <w:spacing w:line="360" w:lineRule="auto"/>
        <w:ind w:left="1440" w:hanging="720"/>
        <w:jc w:val="both"/>
        <w:rPr>
          <w:rFonts w:ascii="Arial" w:hAnsi="Arial" w:cs="Arial"/>
        </w:rPr>
      </w:pPr>
      <w:r w:rsidRPr="00A552F8">
        <w:rPr>
          <w:rFonts w:ascii="Arial" w:hAnsi="Arial" w:cs="Arial"/>
        </w:rPr>
        <w:t>39.1</w:t>
      </w:r>
      <w:r w:rsidRPr="00A552F8">
        <w:rPr>
          <w:rFonts w:ascii="Arial" w:hAnsi="Arial" w:cs="Arial"/>
        </w:rPr>
        <w:tab/>
        <w:t>how the First Defendant is to hold the sum standing to the credit of the estate of the deceased until it is refunded.</w:t>
      </w:r>
    </w:p>
    <w:p w14:paraId="0AA268B6" w14:textId="77777777" w:rsidR="002E4CD5" w:rsidRPr="00A552F8" w:rsidRDefault="002E4CD5" w:rsidP="00A552F8">
      <w:pPr>
        <w:spacing w:line="360" w:lineRule="auto"/>
        <w:ind w:left="1440" w:hanging="720"/>
        <w:jc w:val="both"/>
        <w:rPr>
          <w:rFonts w:ascii="Arial" w:hAnsi="Arial" w:cs="Arial"/>
        </w:rPr>
      </w:pPr>
    </w:p>
    <w:p w14:paraId="1397BC93" w14:textId="358C5936" w:rsidR="002E4CD5" w:rsidRPr="00A552F8" w:rsidRDefault="002E4CD5" w:rsidP="00A552F8">
      <w:pPr>
        <w:spacing w:line="360" w:lineRule="auto"/>
        <w:ind w:left="1440" w:hanging="720"/>
        <w:jc w:val="both"/>
        <w:rPr>
          <w:rFonts w:ascii="Arial" w:hAnsi="Arial" w:cs="Arial"/>
        </w:rPr>
      </w:pPr>
      <w:r w:rsidRPr="00A552F8">
        <w:rPr>
          <w:rFonts w:ascii="Arial" w:hAnsi="Arial" w:cs="Arial"/>
        </w:rPr>
        <w:t>39.2</w:t>
      </w:r>
      <w:r w:rsidRPr="00A552F8">
        <w:rPr>
          <w:rFonts w:ascii="Arial" w:hAnsi="Arial" w:cs="Arial"/>
        </w:rPr>
        <w:tab/>
        <w:t>in which manner and in which instalments and on which conditions the First Defendant is to repay the sum standing to the credit of the estate of the deceased.</w:t>
      </w:r>
    </w:p>
    <w:p w14:paraId="3F2A1E8E" w14:textId="77777777" w:rsidR="002E4CD5" w:rsidRPr="00A552F8" w:rsidRDefault="002E4CD5" w:rsidP="00A552F8">
      <w:pPr>
        <w:spacing w:line="360" w:lineRule="auto"/>
        <w:jc w:val="both"/>
        <w:rPr>
          <w:rFonts w:ascii="Arial" w:hAnsi="Arial" w:cs="Arial"/>
        </w:rPr>
      </w:pPr>
    </w:p>
    <w:p w14:paraId="4DE30E8B" w14:textId="440FA38B" w:rsidR="002E4CD5" w:rsidRPr="00A552F8" w:rsidRDefault="002E4CD5" w:rsidP="00A552F8">
      <w:pPr>
        <w:spacing w:line="360" w:lineRule="auto"/>
        <w:ind w:left="720" w:hanging="720"/>
        <w:jc w:val="both"/>
        <w:rPr>
          <w:rFonts w:ascii="Arial" w:hAnsi="Arial" w:cs="Arial"/>
        </w:rPr>
      </w:pPr>
      <w:r w:rsidRPr="00A552F8">
        <w:rPr>
          <w:rFonts w:ascii="Arial" w:hAnsi="Arial" w:cs="Arial"/>
        </w:rPr>
        <w:t>40.</w:t>
      </w:r>
      <w:r w:rsidRPr="00A552F8">
        <w:rPr>
          <w:rFonts w:ascii="Arial" w:hAnsi="Arial" w:cs="Arial"/>
        </w:rPr>
        <w:tab/>
        <w:t>The Plaintiffs submitted that the Minister does not have the power to determine whether to repay the sum standing to the credit of the estate of the deceased upon the First Defendant being requested to do so.</w:t>
      </w:r>
    </w:p>
    <w:p w14:paraId="1AB1C5FC" w14:textId="77777777" w:rsidR="002E4CD5" w:rsidRPr="00A552F8" w:rsidRDefault="002E4CD5" w:rsidP="00A552F8">
      <w:pPr>
        <w:spacing w:line="360" w:lineRule="auto"/>
        <w:ind w:left="720" w:hanging="720"/>
        <w:jc w:val="both"/>
        <w:rPr>
          <w:rFonts w:ascii="Arial" w:hAnsi="Arial" w:cs="Arial"/>
        </w:rPr>
      </w:pPr>
    </w:p>
    <w:p w14:paraId="31052612" w14:textId="292885D6" w:rsidR="002E4CD5" w:rsidRPr="00A552F8" w:rsidRDefault="002E4CD5" w:rsidP="00A552F8">
      <w:pPr>
        <w:spacing w:line="360" w:lineRule="auto"/>
        <w:ind w:left="720" w:hanging="720"/>
        <w:jc w:val="both"/>
        <w:rPr>
          <w:rFonts w:ascii="Arial" w:hAnsi="Arial" w:cs="Arial"/>
        </w:rPr>
      </w:pPr>
      <w:r w:rsidRPr="00A552F8">
        <w:rPr>
          <w:rFonts w:ascii="Arial" w:hAnsi="Arial" w:cs="Arial"/>
        </w:rPr>
        <w:t>41.</w:t>
      </w:r>
      <w:r w:rsidRPr="00A552F8">
        <w:rPr>
          <w:rFonts w:ascii="Arial" w:hAnsi="Arial" w:cs="Arial"/>
        </w:rPr>
        <w:tab/>
        <w:t>The Plaintiffs contended that the use of the word “may” in Regulation 4(c)(ii) indicates that the Minister is not obliged to determine the terms upon which any sum standing to the credit of a foreign creditor is to be repaid.</w:t>
      </w:r>
    </w:p>
    <w:p w14:paraId="2D924BFE" w14:textId="77777777" w:rsidR="002E4CD5" w:rsidRPr="00A552F8" w:rsidRDefault="002E4CD5" w:rsidP="00A552F8">
      <w:pPr>
        <w:spacing w:line="360" w:lineRule="auto"/>
        <w:ind w:left="720" w:hanging="720"/>
        <w:jc w:val="both"/>
        <w:rPr>
          <w:rFonts w:ascii="Arial" w:hAnsi="Arial" w:cs="Arial"/>
        </w:rPr>
      </w:pPr>
    </w:p>
    <w:p w14:paraId="607A25BD" w14:textId="11E10000" w:rsidR="002E4CD5" w:rsidRPr="00A552F8" w:rsidRDefault="002E4CD5" w:rsidP="00A552F8">
      <w:pPr>
        <w:spacing w:line="360" w:lineRule="auto"/>
        <w:ind w:left="720" w:hanging="720"/>
        <w:jc w:val="both"/>
        <w:rPr>
          <w:rFonts w:ascii="Arial" w:hAnsi="Arial" w:cs="Arial"/>
        </w:rPr>
      </w:pPr>
      <w:r w:rsidRPr="00A552F8">
        <w:rPr>
          <w:rFonts w:ascii="Arial" w:hAnsi="Arial" w:cs="Arial"/>
        </w:rPr>
        <w:t>42.</w:t>
      </w:r>
      <w:r w:rsidRPr="00A552F8">
        <w:rPr>
          <w:rFonts w:ascii="Arial" w:hAnsi="Arial" w:cs="Arial"/>
        </w:rPr>
        <w:tab/>
        <w:t>The Plaintiffs averred that should the Minister wish to regulate the manner in which the sum standing to the credit of the estate of the deceased is to be repaid, the obligation is on him to make the necessary determinations.</w:t>
      </w:r>
    </w:p>
    <w:p w14:paraId="4906B507" w14:textId="77777777" w:rsidR="002E4CD5" w:rsidRPr="00A552F8" w:rsidRDefault="002E4CD5" w:rsidP="00A552F8">
      <w:pPr>
        <w:spacing w:line="360" w:lineRule="auto"/>
        <w:ind w:left="720" w:hanging="720"/>
        <w:jc w:val="both"/>
        <w:rPr>
          <w:rFonts w:ascii="Arial" w:hAnsi="Arial" w:cs="Arial"/>
        </w:rPr>
      </w:pPr>
    </w:p>
    <w:p w14:paraId="215BA091" w14:textId="3ED38FFD" w:rsidR="002E4CD5" w:rsidRPr="00A552F8" w:rsidRDefault="002E4CD5" w:rsidP="00A552F8">
      <w:pPr>
        <w:spacing w:line="360" w:lineRule="auto"/>
        <w:ind w:left="720" w:hanging="720"/>
        <w:jc w:val="both"/>
        <w:rPr>
          <w:rFonts w:ascii="Arial" w:hAnsi="Arial" w:cs="Arial"/>
        </w:rPr>
      </w:pPr>
      <w:r w:rsidRPr="00A552F8">
        <w:rPr>
          <w:rFonts w:ascii="Arial" w:hAnsi="Arial" w:cs="Arial"/>
        </w:rPr>
        <w:t>43.</w:t>
      </w:r>
      <w:r w:rsidRPr="00A552F8">
        <w:rPr>
          <w:rFonts w:ascii="Arial" w:hAnsi="Arial" w:cs="Arial"/>
        </w:rPr>
        <w:tab/>
        <w:t>The Plaintiffs further averred that in the absence of a determination by the Minister as to the manner in which the sum standing to the credit of the estate of the deceased is to be repaid, it is to be paid forthwith.</w:t>
      </w:r>
    </w:p>
    <w:p w14:paraId="532B980B" w14:textId="77777777" w:rsidR="002E4CD5" w:rsidRPr="00A552F8" w:rsidRDefault="002E4CD5" w:rsidP="00A552F8">
      <w:pPr>
        <w:spacing w:line="360" w:lineRule="auto"/>
        <w:ind w:left="720" w:hanging="720"/>
        <w:jc w:val="both"/>
        <w:rPr>
          <w:rFonts w:ascii="Arial" w:hAnsi="Arial" w:cs="Arial"/>
        </w:rPr>
      </w:pPr>
    </w:p>
    <w:p w14:paraId="4A74AEC5" w14:textId="48418FCB" w:rsidR="002E4CD5" w:rsidRPr="00A552F8" w:rsidRDefault="002E4CD5" w:rsidP="00A552F8">
      <w:pPr>
        <w:spacing w:line="360" w:lineRule="auto"/>
        <w:ind w:left="720" w:hanging="720"/>
        <w:jc w:val="both"/>
        <w:rPr>
          <w:rFonts w:ascii="Arial" w:hAnsi="Arial" w:cs="Arial"/>
        </w:rPr>
      </w:pPr>
      <w:r w:rsidRPr="00A552F8">
        <w:rPr>
          <w:rFonts w:ascii="Arial" w:hAnsi="Arial" w:cs="Arial"/>
        </w:rPr>
        <w:t>44.</w:t>
      </w:r>
      <w:r w:rsidRPr="00A552F8">
        <w:rPr>
          <w:rFonts w:ascii="Arial" w:hAnsi="Arial" w:cs="Arial"/>
        </w:rPr>
        <w:tab/>
        <w:t>The Plaintiffs are adamant that it is unnecessary to have Regulation 4(c)(ii) declared unconstitutional, or to have Regulation 4(c)(ii) reviewed, or to have any decision made by the Minister in terms of Regulation 4(c)(ii) reviewed in order to secure the repayment of the funds the Plaintiffs clai</w:t>
      </w:r>
      <w:r w:rsidR="006447DD">
        <w:rPr>
          <w:rFonts w:ascii="Arial" w:hAnsi="Arial" w:cs="Arial"/>
        </w:rPr>
        <w:t>med in the particulars of claim.</w:t>
      </w:r>
    </w:p>
    <w:p w14:paraId="79618E0F" w14:textId="77777777" w:rsidR="002E4CD5" w:rsidRPr="00A552F8" w:rsidRDefault="002E4CD5" w:rsidP="00A552F8">
      <w:pPr>
        <w:spacing w:line="360" w:lineRule="auto"/>
        <w:ind w:left="720" w:hanging="720"/>
        <w:jc w:val="both"/>
        <w:rPr>
          <w:rFonts w:ascii="Arial" w:hAnsi="Arial" w:cs="Arial"/>
        </w:rPr>
      </w:pPr>
    </w:p>
    <w:p w14:paraId="2E93D521" w14:textId="07879354" w:rsidR="002E4CD5" w:rsidRPr="00A552F8" w:rsidRDefault="002E4CD5" w:rsidP="00A552F8">
      <w:pPr>
        <w:spacing w:line="360" w:lineRule="auto"/>
        <w:ind w:left="720" w:hanging="720"/>
        <w:jc w:val="both"/>
        <w:rPr>
          <w:rFonts w:ascii="Arial" w:hAnsi="Arial" w:cs="Arial"/>
        </w:rPr>
      </w:pPr>
      <w:r w:rsidRPr="00A552F8">
        <w:rPr>
          <w:rFonts w:ascii="Arial" w:hAnsi="Arial" w:cs="Arial"/>
        </w:rPr>
        <w:t>45.</w:t>
      </w:r>
      <w:r w:rsidRPr="00A552F8">
        <w:rPr>
          <w:rFonts w:ascii="Arial" w:hAnsi="Arial" w:cs="Arial"/>
        </w:rPr>
        <w:tab/>
        <w:t>The Plaintiffs highlighted that on 17 October 2019, the First Defendant was duly requested to repay the sum standing to the credit of the estate of the deceased, with the result that the First Defendant is obliged to pay the amount forthwith.</w:t>
      </w:r>
    </w:p>
    <w:p w14:paraId="78641A3E" w14:textId="77777777" w:rsidR="002E4CD5" w:rsidRPr="00A552F8" w:rsidRDefault="002E4CD5" w:rsidP="00A552F8">
      <w:pPr>
        <w:spacing w:line="360" w:lineRule="auto"/>
        <w:ind w:left="720" w:hanging="720"/>
        <w:jc w:val="both"/>
        <w:rPr>
          <w:rFonts w:ascii="Arial" w:hAnsi="Arial" w:cs="Arial"/>
        </w:rPr>
      </w:pPr>
    </w:p>
    <w:p w14:paraId="334FB2C3" w14:textId="04ACC971" w:rsidR="002E4CD5" w:rsidRPr="00A552F8" w:rsidRDefault="002E4CD5" w:rsidP="00A552F8">
      <w:pPr>
        <w:spacing w:line="360" w:lineRule="auto"/>
        <w:ind w:left="720" w:hanging="720"/>
        <w:jc w:val="both"/>
        <w:rPr>
          <w:rFonts w:ascii="Arial" w:hAnsi="Arial" w:cs="Arial"/>
        </w:rPr>
      </w:pPr>
      <w:r w:rsidRPr="00A552F8">
        <w:rPr>
          <w:rFonts w:ascii="Arial" w:hAnsi="Arial" w:cs="Arial"/>
        </w:rPr>
        <w:t>46.</w:t>
      </w:r>
      <w:r w:rsidRPr="00A552F8">
        <w:rPr>
          <w:rFonts w:ascii="Arial" w:hAnsi="Arial" w:cs="Arial"/>
        </w:rPr>
        <w:tab/>
        <w:t>The Plaintiffs accordingly submitted that this leg of the second ground of the exception falls to be dismissed.</w:t>
      </w:r>
    </w:p>
    <w:p w14:paraId="1389AE98" w14:textId="77777777" w:rsidR="002E4CD5" w:rsidRPr="00A552F8" w:rsidRDefault="002E4CD5" w:rsidP="00A552F8">
      <w:pPr>
        <w:spacing w:line="360" w:lineRule="auto"/>
        <w:ind w:left="720" w:hanging="720"/>
        <w:jc w:val="both"/>
        <w:rPr>
          <w:rFonts w:ascii="Arial" w:hAnsi="Arial" w:cs="Arial"/>
        </w:rPr>
      </w:pPr>
    </w:p>
    <w:p w14:paraId="23FBC933" w14:textId="13027E49" w:rsidR="002E4CD5" w:rsidRPr="00A552F8" w:rsidRDefault="002E4CD5" w:rsidP="00A552F8">
      <w:pPr>
        <w:spacing w:line="360" w:lineRule="auto"/>
        <w:ind w:left="720" w:hanging="720"/>
        <w:jc w:val="both"/>
        <w:rPr>
          <w:rFonts w:ascii="Arial" w:hAnsi="Arial" w:cs="Arial"/>
        </w:rPr>
      </w:pPr>
      <w:r w:rsidRPr="00A552F8">
        <w:rPr>
          <w:rFonts w:ascii="Arial" w:hAnsi="Arial" w:cs="Arial"/>
        </w:rPr>
        <w:t>47.</w:t>
      </w:r>
      <w:r w:rsidRPr="00A552F8">
        <w:rPr>
          <w:rFonts w:ascii="Arial" w:hAnsi="Arial" w:cs="Arial"/>
        </w:rPr>
        <w:tab/>
        <w:t>The First Defendant observed that on the face of it the particulars of claim, the special restricted account, alleged to be in the name of the deceased (allegedly linked to the special restricted account), is currently trading on a trading platform at the instance of a third party.</w:t>
      </w:r>
    </w:p>
    <w:p w14:paraId="0D62640D" w14:textId="77777777" w:rsidR="002E4CD5" w:rsidRPr="00A552F8" w:rsidRDefault="002E4CD5" w:rsidP="00A552F8">
      <w:pPr>
        <w:spacing w:line="360" w:lineRule="auto"/>
        <w:ind w:left="720" w:hanging="720"/>
        <w:jc w:val="both"/>
        <w:rPr>
          <w:rFonts w:ascii="Arial" w:hAnsi="Arial" w:cs="Arial"/>
        </w:rPr>
      </w:pPr>
    </w:p>
    <w:p w14:paraId="12A4F4E2" w14:textId="0AE789CF" w:rsidR="002E4CD5" w:rsidRPr="00A552F8" w:rsidRDefault="002E4CD5" w:rsidP="00A552F8">
      <w:pPr>
        <w:spacing w:line="360" w:lineRule="auto"/>
        <w:ind w:left="720" w:hanging="720"/>
        <w:jc w:val="both"/>
        <w:rPr>
          <w:rFonts w:ascii="Arial" w:hAnsi="Arial" w:cs="Arial"/>
        </w:rPr>
      </w:pPr>
      <w:r w:rsidRPr="00A552F8">
        <w:rPr>
          <w:rFonts w:ascii="Arial" w:hAnsi="Arial" w:cs="Arial"/>
        </w:rPr>
        <w:t>48.</w:t>
      </w:r>
      <w:r w:rsidRPr="00A552F8">
        <w:rPr>
          <w:rFonts w:ascii="Arial" w:hAnsi="Arial" w:cs="Arial"/>
        </w:rPr>
        <w:tab/>
        <w:t>The First Defendant contended that apart from attaching what purports to be an affidavit by a person claiming to have endured torture by one Machsherry, the deponent does not confirm any link between the trading account and the account alleged to be in the name of the deceased.</w:t>
      </w:r>
    </w:p>
    <w:p w14:paraId="5D533161" w14:textId="77777777" w:rsidR="002E4CD5" w:rsidRPr="00A552F8" w:rsidRDefault="002E4CD5" w:rsidP="00A552F8">
      <w:pPr>
        <w:spacing w:line="360" w:lineRule="auto"/>
        <w:ind w:left="720" w:hanging="720"/>
        <w:jc w:val="both"/>
        <w:rPr>
          <w:rFonts w:ascii="Arial" w:hAnsi="Arial" w:cs="Arial"/>
        </w:rPr>
      </w:pPr>
    </w:p>
    <w:p w14:paraId="5B9A47AE" w14:textId="2AB0C473" w:rsidR="002E4CD5" w:rsidRPr="00A552F8" w:rsidRDefault="002E4CD5" w:rsidP="00A552F8">
      <w:pPr>
        <w:spacing w:line="360" w:lineRule="auto"/>
        <w:ind w:left="720" w:hanging="720"/>
        <w:jc w:val="both"/>
        <w:rPr>
          <w:rFonts w:ascii="Arial" w:hAnsi="Arial" w:cs="Arial"/>
        </w:rPr>
      </w:pPr>
      <w:r w:rsidRPr="00A552F8">
        <w:rPr>
          <w:rFonts w:ascii="Arial" w:hAnsi="Arial" w:cs="Arial"/>
        </w:rPr>
        <w:t>49.</w:t>
      </w:r>
      <w:r w:rsidRPr="00A552F8">
        <w:rPr>
          <w:rFonts w:ascii="Arial" w:hAnsi="Arial" w:cs="Arial"/>
        </w:rPr>
        <w:tab/>
        <w:t xml:space="preserve">In response the Plaintiffs contended that the First Defendant is limited to attempting to show that annexure E is so integral to the Plaintiffs’ pleaded case, </w:t>
      </w:r>
      <w:r w:rsidRPr="00A552F8">
        <w:rPr>
          <w:rFonts w:ascii="Arial" w:hAnsi="Arial" w:cs="Arial"/>
        </w:rPr>
        <w:lastRenderedPageBreak/>
        <w:t>that without annexure E establishing the link between the trading account and that of the deceased, the particulars of claim lack the necessary allegations to sustain a cause of action against the First Defendant.</w:t>
      </w:r>
    </w:p>
    <w:p w14:paraId="48BCB833" w14:textId="77777777" w:rsidR="002E4CD5" w:rsidRPr="00A552F8" w:rsidRDefault="002E4CD5" w:rsidP="00A552F8">
      <w:pPr>
        <w:spacing w:line="360" w:lineRule="auto"/>
        <w:ind w:left="720" w:hanging="720"/>
        <w:jc w:val="both"/>
        <w:rPr>
          <w:rFonts w:ascii="Arial" w:hAnsi="Arial" w:cs="Arial"/>
        </w:rPr>
      </w:pPr>
    </w:p>
    <w:p w14:paraId="0AF35C24" w14:textId="753C9ABE" w:rsidR="002E4CD5" w:rsidRPr="00A552F8" w:rsidRDefault="002E4CD5" w:rsidP="00A552F8">
      <w:pPr>
        <w:spacing w:line="360" w:lineRule="auto"/>
        <w:ind w:left="720" w:hanging="720"/>
        <w:jc w:val="both"/>
        <w:rPr>
          <w:rFonts w:ascii="Arial" w:hAnsi="Arial" w:cs="Arial"/>
        </w:rPr>
      </w:pPr>
      <w:r w:rsidRPr="00A552F8">
        <w:rPr>
          <w:rFonts w:ascii="Arial" w:hAnsi="Arial" w:cs="Arial"/>
        </w:rPr>
        <w:t>50.</w:t>
      </w:r>
      <w:r w:rsidRPr="00A552F8">
        <w:rPr>
          <w:rFonts w:ascii="Arial" w:hAnsi="Arial" w:cs="Arial"/>
        </w:rPr>
        <w:tab/>
        <w:t xml:space="preserve">The Plaintiffs further contended that they do not claim that annexure E is a </w:t>
      </w:r>
      <w:r w:rsidRPr="00A552F8">
        <w:rPr>
          <w:rFonts w:ascii="Arial" w:hAnsi="Arial" w:cs="Arial"/>
          <w:i/>
        </w:rPr>
        <w:t xml:space="preserve">sine qua non </w:t>
      </w:r>
      <w:r w:rsidRPr="00A552F8">
        <w:rPr>
          <w:rFonts w:ascii="Arial" w:hAnsi="Arial" w:cs="Arial"/>
        </w:rPr>
        <w:t>for the success of the claim against the First Defendant. Further that to the extent necessary, they have already alleged the link between the trading account and the deceased’s account as evidenced by the use of the words “the aforesaid link” in paragraph 33 of the particulars of claim.</w:t>
      </w:r>
    </w:p>
    <w:p w14:paraId="35227BDD" w14:textId="77777777" w:rsidR="002E4CD5" w:rsidRPr="00A552F8" w:rsidRDefault="002E4CD5" w:rsidP="00A552F8">
      <w:pPr>
        <w:spacing w:line="360" w:lineRule="auto"/>
        <w:ind w:left="720" w:hanging="720"/>
        <w:jc w:val="both"/>
        <w:rPr>
          <w:rFonts w:ascii="Arial" w:hAnsi="Arial" w:cs="Arial"/>
        </w:rPr>
      </w:pPr>
    </w:p>
    <w:p w14:paraId="06F69C43" w14:textId="26B85FC6" w:rsidR="002E4CD5" w:rsidRPr="00A552F8" w:rsidRDefault="002E4CD5" w:rsidP="00A552F8">
      <w:pPr>
        <w:spacing w:line="360" w:lineRule="auto"/>
        <w:ind w:left="720" w:hanging="720"/>
        <w:jc w:val="both"/>
        <w:rPr>
          <w:rFonts w:ascii="Arial" w:hAnsi="Arial" w:cs="Arial"/>
        </w:rPr>
      </w:pPr>
      <w:r w:rsidRPr="00A552F8">
        <w:rPr>
          <w:rFonts w:ascii="Arial" w:hAnsi="Arial" w:cs="Arial"/>
        </w:rPr>
        <w:t>51.</w:t>
      </w:r>
      <w:r w:rsidRPr="00A552F8">
        <w:rPr>
          <w:rFonts w:ascii="Arial" w:hAnsi="Arial" w:cs="Arial"/>
        </w:rPr>
        <w:tab/>
        <w:t>The Plaintiffs also contended that the link referred to in paragraph 33 of the particulars of claim is also, independently established in paragraphs 13 to 32, 34, 37 to 46 and 49 thereof.</w:t>
      </w:r>
    </w:p>
    <w:p w14:paraId="3DD57B0D" w14:textId="77777777" w:rsidR="002E4CD5" w:rsidRPr="00A552F8" w:rsidRDefault="002E4CD5" w:rsidP="00A552F8">
      <w:pPr>
        <w:spacing w:line="360" w:lineRule="auto"/>
        <w:ind w:left="720" w:hanging="720"/>
        <w:jc w:val="both"/>
        <w:rPr>
          <w:rFonts w:ascii="Arial" w:hAnsi="Arial" w:cs="Arial"/>
        </w:rPr>
      </w:pPr>
    </w:p>
    <w:p w14:paraId="41DE6ADA" w14:textId="128D6887" w:rsidR="002E4CD5" w:rsidRPr="00A552F8" w:rsidRDefault="002E4CD5" w:rsidP="00A552F8">
      <w:pPr>
        <w:spacing w:line="360" w:lineRule="auto"/>
        <w:ind w:left="720" w:hanging="720"/>
        <w:jc w:val="both"/>
        <w:rPr>
          <w:rFonts w:ascii="Arial" w:hAnsi="Arial" w:cs="Arial"/>
        </w:rPr>
      </w:pPr>
      <w:r w:rsidRPr="00A552F8">
        <w:rPr>
          <w:rFonts w:ascii="Arial" w:hAnsi="Arial" w:cs="Arial"/>
        </w:rPr>
        <w:t>52.</w:t>
      </w:r>
      <w:r w:rsidRPr="00A552F8">
        <w:rPr>
          <w:rFonts w:ascii="Arial" w:hAnsi="Arial" w:cs="Arial"/>
        </w:rPr>
        <w:tab/>
        <w:t>The Plaintiffs averred that the First Defendant cannot establish, as it is obliged to do in order to succeed with this ground, that upon every interpretation the particulars of claim can reasonably bear, no cause of action is disclosed for the reasons set out in the third ground of the exception.</w:t>
      </w:r>
    </w:p>
    <w:p w14:paraId="0CB611D4" w14:textId="77777777" w:rsidR="002E4CD5" w:rsidRPr="00A552F8" w:rsidRDefault="002E4CD5" w:rsidP="00A552F8">
      <w:pPr>
        <w:spacing w:line="360" w:lineRule="auto"/>
        <w:ind w:left="720" w:hanging="720"/>
        <w:jc w:val="both"/>
        <w:rPr>
          <w:rFonts w:ascii="Arial" w:hAnsi="Arial" w:cs="Arial"/>
        </w:rPr>
      </w:pPr>
    </w:p>
    <w:p w14:paraId="3FD6A352" w14:textId="77777777" w:rsidR="002E4CD5" w:rsidRPr="00A552F8" w:rsidRDefault="002E4CD5" w:rsidP="00A552F8">
      <w:pPr>
        <w:spacing w:line="360" w:lineRule="auto"/>
        <w:ind w:left="720" w:hanging="720"/>
        <w:jc w:val="both"/>
        <w:rPr>
          <w:rFonts w:ascii="Arial" w:hAnsi="Arial" w:cs="Arial"/>
          <w:b/>
        </w:rPr>
      </w:pPr>
      <w:r w:rsidRPr="00A552F8">
        <w:rPr>
          <w:rFonts w:ascii="Arial" w:hAnsi="Arial" w:cs="Arial"/>
          <w:b/>
        </w:rPr>
        <w:t>EVALUATION OF THE FACTS</w:t>
      </w:r>
    </w:p>
    <w:p w14:paraId="28444833" w14:textId="77777777" w:rsidR="002E4CD5" w:rsidRPr="00A552F8" w:rsidRDefault="002E4CD5" w:rsidP="00A552F8">
      <w:pPr>
        <w:spacing w:line="360" w:lineRule="auto"/>
        <w:ind w:left="720" w:hanging="720"/>
        <w:jc w:val="both"/>
        <w:rPr>
          <w:rFonts w:ascii="Arial" w:hAnsi="Arial" w:cs="Arial"/>
          <w:b/>
        </w:rPr>
      </w:pPr>
    </w:p>
    <w:p w14:paraId="5E9283F9"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53.</w:t>
      </w:r>
      <w:r w:rsidRPr="00A552F8">
        <w:rPr>
          <w:rFonts w:ascii="Arial" w:hAnsi="Arial" w:cs="Arial"/>
        </w:rPr>
        <w:tab/>
        <w:t>The evaluation of the facts herein is intended to assess the Parties’ submissions in order to determine which party is favoured by the balance of probabilities.</w:t>
      </w:r>
    </w:p>
    <w:p w14:paraId="35DDD12F" w14:textId="77777777" w:rsidR="002E4CD5" w:rsidRPr="00A552F8" w:rsidRDefault="002E4CD5" w:rsidP="00A552F8">
      <w:pPr>
        <w:spacing w:line="360" w:lineRule="auto"/>
        <w:ind w:left="720" w:hanging="720"/>
        <w:jc w:val="both"/>
        <w:rPr>
          <w:rFonts w:ascii="Arial" w:hAnsi="Arial" w:cs="Arial"/>
        </w:rPr>
      </w:pPr>
    </w:p>
    <w:p w14:paraId="19AEB6DE" w14:textId="77777777" w:rsidR="002E4CD5" w:rsidRPr="00A552F8" w:rsidRDefault="002E4CD5" w:rsidP="006F44F6">
      <w:pPr>
        <w:spacing w:line="360" w:lineRule="auto"/>
        <w:ind w:left="709"/>
        <w:jc w:val="both"/>
        <w:rPr>
          <w:rFonts w:ascii="Arial" w:hAnsi="Arial" w:cs="Arial"/>
          <w:b/>
          <w:u w:val="single"/>
        </w:rPr>
      </w:pPr>
      <w:r w:rsidRPr="00A552F8">
        <w:rPr>
          <w:rFonts w:ascii="Arial" w:hAnsi="Arial" w:cs="Arial"/>
          <w:b/>
          <w:u w:val="single"/>
        </w:rPr>
        <w:t>First Ground of Exception: failure to seek an order declaring the Policy invalid, unconstitutional or reviewed and set aside</w:t>
      </w:r>
    </w:p>
    <w:p w14:paraId="5EAA1E5D" w14:textId="77777777" w:rsidR="002E4CD5" w:rsidRPr="00A552F8" w:rsidRDefault="002E4CD5" w:rsidP="00A552F8">
      <w:pPr>
        <w:spacing w:line="360" w:lineRule="auto"/>
        <w:jc w:val="both"/>
        <w:rPr>
          <w:rFonts w:ascii="Arial" w:hAnsi="Arial" w:cs="Arial"/>
          <w:b/>
          <w:u w:val="single"/>
        </w:rPr>
      </w:pPr>
    </w:p>
    <w:p w14:paraId="3F5BCD12" w14:textId="2CCC7081" w:rsidR="002E4CD5" w:rsidRPr="00A552F8" w:rsidRDefault="002E4CD5" w:rsidP="00A552F8">
      <w:pPr>
        <w:spacing w:line="360" w:lineRule="auto"/>
        <w:ind w:left="720" w:hanging="720"/>
        <w:jc w:val="both"/>
        <w:rPr>
          <w:rFonts w:ascii="Arial" w:hAnsi="Arial" w:cs="Arial"/>
        </w:rPr>
      </w:pPr>
      <w:r w:rsidRPr="00A552F8">
        <w:rPr>
          <w:rFonts w:ascii="Arial" w:hAnsi="Arial" w:cs="Arial"/>
        </w:rPr>
        <w:t>54.</w:t>
      </w:r>
      <w:r w:rsidRPr="00A552F8">
        <w:rPr>
          <w:rFonts w:ascii="Arial" w:hAnsi="Arial" w:cs="Arial"/>
        </w:rPr>
        <w:tab/>
        <w:t>It is common cause that the Policy precluding any person from paying monies over to a foreign creditor, citizen or country is no longer applicable.</w:t>
      </w:r>
    </w:p>
    <w:p w14:paraId="3FD70BF9" w14:textId="77777777" w:rsidR="002E4CD5" w:rsidRPr="00A552F8" w:rsidRDefault="002E4CD5" w:rsidP="00A552F8">
      <w:pPr>
        <w:spacing w:line="360" w:lineRule="auto"/>
        <w:ind w:left="720" w:hanging="720"/>
        <w:jc w:val="both"/>
        <w:rPr>
          <w:rFonts w:ascii="Arial" w:hAnsi="Arial" w:cs="Arial"/>
        </w:rPr>
      </w:pPr>
    </w:p>
    <w:p w14:paraId="37F32088"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55.</w:t>
      </w:r>
      <w:r w:rsidRPr="00A552F8">
        <w:rPr>
          <w:rFonts w:ascii="Arial" w:hAnsi="Arial" w:cs="Arial"/>
        </w:rPr>
        <w:tab/>
        <w:t xml:space="preserve">Whereas the Plaintiffs contended that the lapse of Regulation 2 (the Policy) that precluded payment to them had lapsed, I tend to agree with the First </w:t>
      </w:r>
      <w:r w:rsidRPr="00A552F8">
        <w:rPr>
          <w:rFonts w:ascii="Arial" w:hAnsi="Arial" w:cs="Arial"/>
        </w:rPr>
        <w:lastRenderedPageBreak/>
        <w:t>Defendant’s contention that its consequences at the relevant time cannot be ignored.</w:t>
      </w:r>
    </w:p>
    <w:p w14:paraId="0533C96B" w14:textId="77777777" w:rsidR="002E4CD5" w:rsidRPr="00A552F8" w:rsidRDefault="002E4CD5" w:rsidP="00A552F8">
      <w:pPr>
        <w:spacing w:line="360" w:lineRule="auto"/>
        <w:ind w:left="720" w:hanging="720"/>
        <w:jc w:val="both"/>
        <w:rPr>
          <w:rFonts w:ascii="Arial" w:hAnsi="Arial" w:cs="Arial"/>
        </w:rPr>
      </w:pPr>
    </w:p>
    <w:p w14:paraId="2EC2B057"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56.</w:t>
      </w:r>
      <w:r w:rsidRPr="00A552F8">
        <w:rPr>
          <w:rFonts w:ascii="Arial" w:hAnsi="Arial" w:cs="Arial"/>
        </w:rPr>
        <w:tab/>
        <w:t>In terms of section 12(2)(b) of the Interpretation Act, 1957</w:t>
      </w:r>
      <w:r w:rsidRPr="00A552F8">
        <w:rPr>
          <w:rStyle w:val="FootnoteReference"/>
          <w:rFonts w:ascii="Arial" w:hAnsi="Arial" w:cs="Arial"/>
        </w:rPr>
        <w:footnoteReference w:id="11"/>
      </w:r>
      <w:r w:rsidRPr="00A552F8">
        <w:rPr>
          <w:rFonts w:ascii="Arial" w:hAnsi="Arial" w:cs="Arial"/>
        </w:rPr>
        <w:t>, where a law repeals any other law, and unless the contrary intention applies, the repeal shall not affect the previous operation of any law so repealed or anything done or suffered under the law so repealed.</w:t>
      </w:r>
    </w:p>
    <w:p w14:paraId="7DF3C25B" w14:textId="77777777" w:rsidR="002E4CD5" w:rsidRPr="00A552F8" w:rsidRDefault="002E4CD5" w:rsidP="00A552F8">
      <w:pPr>
        <w:spacing w:line="360" w:lineRule="auto"/>
        <w:ind w:left="720" w:hanging="720"/>
        <w:jc w:val="both"/>
        <w:rPr>
          <w:rFonts w:ascii="Arial" w:hAnsi="Arial" w:cs="Arial"/>
        </w:rPr>
      </w:pPr>
    </w:p>
    <w:p w14:paraId="0B742B93"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57.</w:t>
      </w:r>
      <w:r w:rsidRPr="00A552F8">
        <w:rPr>
          <w:rFonts w:ascii="Arial" w:hAnsi="Arial" w:cs="Arial"/>
        </w:rPr>
        <w:tab/>
        <w:t xml:space="preserve">In </w:t>
      </w:r>
      <w:r w:rsidRPr="00A552F8">
        <w:rPr>
          <w:rFonts w:ascii="Arial" w:hAnsi="Arial" w:cs="Arial"/>
          <w:i/>
        </w:rPr>
        <w:t>Economic Freedom Fighters v Speaker of the National Assembly; Democratic Alliance v Speaker of the National Assembly</w:t>
      </w:r>
      <w:r w:rsidRPr="00A552F8">
        <w:rPr>
          <w:rStyle w:val="FootnoteReference"/>
          <w:rFonts w:ascii="Arial" w:hAnsi="Arial" w:cs="Arial"/>
          <w:i/>
        </w:rPr>
        <w:footnoteReference w:id="12"/>
      </w:r>
      <w:r w:rsidRPr="00A552F8">
        <w:rPr>
          <w:rFonts w:ascii="Arial" w:hAnsi="Arial" w:cs="Arial"/>
        </w:rPr>
        <w:t>, the Constitutional Court held that no decision grounded on the Constitution or law may be disregarded without recourse to a court of law.</w:t>
      </w:r>
    </w:p>
    <w:p w14:paraId="02B86C77" w14:textId="77777777" w:rsidR="002E4CD5" w:rsidRPr="00A552F8" w:rsidRDefault="002E4CD5" w:rsidP="00A552F8">
      <w:pPr>
        <w:spacing w:line="360" w:lineRule="auto"/>
        <w:ind w:left="720" w:hanging="720"/>
        <w:jc w:val="both"/>
        <w:rPr>
          <w:rFonts w:ascii="Arial" w:hAnsi="Arial" w:cs="Arial"/>
        </w:rPr>
      </w:pPr>
    </w:p>
    <w:p w14:paraId="7825BE56"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58.</w:t>
      </w:r>
      <w:r w:rsidRPr="00A552F8">
        <w:rPr>
          <w:rFonts w:ascii="Arial" w:hAnsi="Arial" w:cs="Arial"/>
        </w:rPr>
        <w:tab/>
        <w:t xml:space="preserve">In </w:t>
      </w:r>
      <w:r w:rsidRPr="00A552F8">
        <w:rPr>
          <w:rFonts w:ascii="Arial" w:hAnsi="Arial" w:cs="Arial"/>
          <w:i/>
        </w:rPr>
        <w:t>Oudekraal 1</w:t>
      </w:r>
      <w:r w:rsidRPr="00A552F8">
        <w:rPr>
          <w:rStyle w:val="FootnoteReference"/>
          <w:rFonts w:ascii="Arial" w:hAnsi="Arial" w:cs="Arial"/>
          <w:i/>
        </w:rPr>
        <w:footnoteReference w:id="13"/>
      </w:r>
      <w:r w:rsidRPr="00A552F8">
        <w:rPr>
          <w:rFonts w:ascii="Arial" w:hAnsi="Arial" w:cs="Arial"/>
        </w:rPr>
        <w:t>, the Supreme Court of Appeal held that until an administrative action is set aside by a court in proceedings for judicial review it exist in fact and it has legal consequences that cannot simply be overlooked.</w:t>
      </w:r>
    </w:p>
    <w:p w14:paraId="5B03D06B" w14:textId="77777777" w:rsidR="002E4CD5" w:rsidRPr="00A552F8" w:rsidRDefault="002E4CD5" w:rsidP="00A552F8">
      <w:pPr>
        <w:spacing w:line="360" w:lineRule="auto"/>
        <w:ind w:left="720" w:hanging="720"/>
        <w:jc w:val="both"/>
        <w:rPr>
          <w:rFonts w:ascii="Arial" w:hAnsi="Arial" w:cs="Arial"/>
        </w:rPr>
      </w:pPr>
    </w:p>
    <w:p w14:paraId="3C5F8E49"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59.</w:t>
      </w:r>
      <w:r w:rsidRPr="00A552F8">
        <w:rPr>
          <w:rFonts w:ascii="Arial" w:hAnsi="Arial" w:cs="Arial"/>
        </w:rPr>
        <w:tab/>
        <w:t>It then follows that it is incumbent on the Plaintiffs to have the legal consequences of the Policy either declared unconstitutional and invalid or reviewed and set aside in order for them to succeed with their claim against the First Defendant.</w:t>
      </w:r>
    </w:p>
    <w:p w14:paraId="38E25233" w14:textId="77777777" w:rsidR="002E4CD5" w:rsidRPr="00A552F8" w:rsidRDefault="002E4CD5" w:rsidP="00A552F8">
      <w:pPr>
        <w:spacing w:line="360" w:lineRule="auto"/>
        <w:ind w:left="720" w:hanging="720"/>
        <w:jc w:val="both"/>
        <w:rPr>
          <w:rFonts w:ascii="Arial" w:hAnsi="Arial" w:cs="Arial"/>
        </w:rPr>
      </w:pPr>
    </w:p>
    <w:p w14:paraId="5D783389" w14:textId="77777777" w:rsidR="002E4CD5" w:rsidRPr="00A552F8" w:rsidRDefault="002E4CD5" w:rsidP="006F44F6">
      <w:pPr>
        <w:spacing w:line="360" w:lineRule="auto"/>
        <w:ind w:left="709"/>
        <w:jc w:val="both"/>
        <w:rPr>
          <w:rFonts w:ascii="Arial" w:hAnsi="Arial" w:cs="Arial"/>
          <w:b/>
          <w:u w:val="single"/>
        </w:rPr>
      </w:pPr>
      <w:r w:rsidRPr="00A552F8">
        <w:rPr>
          <w:rFonts w:ascii="Arial" w:hAnsi="Arial" w:cs="Arial"/>
          <w:b/>
          <w:u w:val="single"/>
        </w:rPr>
        <w:t>Second Ground of Exception: failure to challenge Regulation 4(c) and/or decision by the Minister of Finance</w:t>
      </w:r>
    </w:p>
    <w:p w14:paraId="675DF3C5" w14:textId="77777777" w:rsidR="002E4CD5" w:rsidRPr="00A552F8" w:rsidRDefault="002E4CD5" w:rsidP="00A552F8">
      <w:pPr>
        <w:spacing w:line="360" w:lineRule="auto"/>
        <w:ind w:left="720" w:hanging="720"/>
        <w:jc w:val="both"/>
        <w:rPr>
          <w:rFonts w:ascii="Arial" w:hAnsi="Arial" w:cs="Arial"/>
        </w:rPr>
      </w:pPr>
    </w:p>
    <w:p w14:paraId="1A5DC714"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60.</w:t>
      </w:r>
      <w:r w:rsidRPr="00A552F8">
        <w:rPr>
          <w:rFonts w:ascii="Arial" w:hAnsi="Arial" w:cs="Arial"/>
        </w:rPr>
        <w:tab/>
        <w:t>The First Defendant contended that the Plaintiffs failed to plead that the deceased was the person in whose favour the sum allegedly standing to credit was paid to the special restricted account.</w:t>
      </w:r>
    </w:p>
    <w:p w14:paraId="1AAAFD12" w14:textId="77777777" w:rsidR="002E4CD5" w:rsidRPr="00A552F8" w:rsidRDefault="002E4CD5" w:rsidP="00A552F8">
      <w:pPr>
        <w:spacing w:line="360" w:lineRule="auto"/>
        <w:ind w:left="720" w:hanging="720"/>
        <w:jc w:val="both"/>
        <w:rPr>
          <w:rFonts w:ascii="Arial" w:hAnsi="Arial" w:cs="Arial"/>
        </w:rPr>
      </w:pPr>
    </w:p>
    <w:p w14:paraId="2CBB54DC"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61.</w:t>
      </w:r>
      <w:r w:rsidRPr="00A552F8">
        <w:rPr>
          <w:rFonts w:ascii="Arial" w:hAnsi="Arial" w:cs="Arial"/>
        </w:rPr>
        <w:tab/>
        <w:t xml:space="preserve">I tend to disagree with the First Defendant in this regard in that the First Defendant did not challenge or rebut the Plaintiffs’ allegations that the Second </w:t>
      </w:r>
      <w:r w:rsidRPr="00A552F8">
        <w:rPr>
          <w:rFonts w:ascii="Arial" w:hAnsi="Arial" w:cs="Arial"/>
        </w:rPr>
        <w:lastRenderedPageBreak/>
        <w:t>Plaintiff established from the Second Defendant that the assets relating to the Share Certificate (belonging to the deceased) in the amount of $36 billion was transferred into the account of the deceased on 10 December 1984.</w:t>
      </w:r>
    </w:p>
    <w:p w14:paraId="29B3540A" w14:textId="77777777" w:rsidR="002E4CD5" w:rsidRPr="00A552F8" w:rsidRDefault="002E4CD5" w:rsidP="00A552F8">
      <w:pPr>
        <w:spacing w:line="360" w:lineRule="auto"/>
        <w:ind w:left="720" w:hanging="720"/>
        <w:jc w:val="both"/>
        <w:rPr>
          <w:rFonts w:ascii="Arial" w:hAnsi="Arial" w:cs="Arial"/>
        </w:rPr>
      </w:pPr>
    </w:p>
    <w:p w14:paraId="5FABCE7C"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62.</w:t>
      </w:r>
      <w:r w:rsidRPr="00A552F8">
        <w:rPr>
          <w:rFonts w:ascii="Arial" w:hAnsi="Arial" w:cs="Arial"/>
        </w:rPr>
        <w:tab/>
        <w:t>Similarly the First Defendant did not challenge the Plaintiffs’ allegation that the special restricted account is held with the Second Defendant under account name A (MM) Surtie with account number 0000/4444. The First Defendant also did not challenge the Plaintiffs’ allegation that the funds of the deceased were invested in Government Bonds RSA 150 and RSA 153 and that the amounts earned from those investments equalled a total amount in the sum of R1.3 billion.</w:t>
      </w:r>
    </w:p>
    <w:p w14:paraId="5D1D567E" w14:textId="77777777" w:rsidR="002E4CD5" w:rsidRPr="00A552F8" w:rsidRDefault="002E4CD5" w:rsidP="00A552F8">
      <w:pPr>
        <w:spacing w:line="360" w:lineRule="auto"/>
        <w:ind w:left="720" w:hanging="720"/>
        <w:jc w:val="both"/>
        <w:rPr>
          <w:rFonts w:ascii="Arial" w:hAnsi="Arial" w:cs="Arial"/>
        </w:rPr>
      </w:pPr>
    </w:p>
    <w:p w14:paraId="498C0BBF"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63.</w:t>
      </w:r>
      <w:r w:rsidRPr="00A552F8">
        <w:rPr>
          <w:rFonts w:ascii="Arial" w:hAnsi="Arial" w:cs="Arial"/>
        </w:rPr>
        <w:tab/>
        <w:t>In relation to the First Defendant’s contention that the Plaintiffs failed to plead any compliance with the requirements of Regulation 4(c)(ii), which is a precondition of repayment, I tend to disagree with the First Defendant in that it is not within the Plaintiffs’ competence to comply with the requirements of Regulation 4(c)(ii) absent the Minister’s determination in that regard.</w:t>
      </w:r>
    </w:p>
    <w:p w14:paraId="1CAB6E6A" w14:textId="77777777" w:rsidR="002E4CD5" w:rsidRPr="00A552F8" w:rsidRDefault="002E4CD5" w:rsidP="00A552F8">
      <w:pPr>
        <w:spacing w:line="360" w:lineRule="auto"/>
        <w:ind w:left="720" w:hanging="720"/>
        <w:jc w:val="both"/>
        <w:rPr>
          <w:rFonts w:ascii="Arial" w:hAnsi="Arial" w:cs="Arial"/>
        </w:rPr>
      </w:pPr>
    </w:p>
    <w:p w14:paraId="77B78BAE" w14:textId="1048C801" w:rsidR="002E4CD5" w:rsidRPr="00A552F8" w:rsidRDefault="002E4CD5" w:rsidP="00A552F8">
      <w:pPr>
        <w:spacing w:line="360" w:lineRule="auto"/>
        <w:ind w:left="720" w:hanging="720"/>
        <w:jc w:val="both"/>
        <w:rPr>
          <w:rFonts w:ascii="Arial" w:hAnsi="Arial" w:cs="Arial"/>
        </w:rPr>
      </w:pPr>
      <w:r w:rsidRPr="00A552F8">
        <w:rPr>
          <w:rFonts w:ascii="Arial" w:hAnsi="Arial" w:cs="Arial"/>
        </w:rPr>
        <w:t>64.</w:t>
      </w:r>
      <w:r w:rsidRPr="00A552F8">
        <w:rPr>
          <w:rFonts w:ascii="Arial" w:hAnsi="Arial" w:cs="Arial"/>
        </w:rPr>
        <w:tab/>
        <w:t>However, I tend to agree with the First Defendant that once the Minister has made a determination in terms of Regulation 4(c)(iii), such a decision remain</w:t>
      </w:r>
      <w:r w:rsidR="00504C79">
        <w:rPr>
          <w:rFonts w:ascii="Arial" w:hAnsi="Arial" w:cs="Arial"/>
        </w:rPr>
        <w:t>s</w:t>
      </w:r>
      <w:r w:rsidRPr="00A552F8">
        <w:rPr>
          <w:rFonts w:ascii="Arial" w:hAnsi="Arial" w:cs="Arial"/>
        </w:rPr>
        <w:t xml:space="preserve"> in full force and ha</w:t>
      </w:r>
      <w:r w:rsidR="00504C79">
        <w:rPr>
          <w:rFonts w:ascii="Arial" w:hAnsi="Arial" w:cs="Arial"/>
        </w:rPr>
        <w:t>s</w:t>
      </w:r>
      <w:r w:rsidRPr="00A552F8">
        <w:rPr>
          <w:rFonts w:ascii="Arial" w:hAnsi="Arial" w:cs="Arial"/>
        </w:rPr>
        <w:t xml:space="preserve"> legal consequences. It then follows that Regulation 4(c)(iii) and the Minister’s decision cannot be ignored unless declared invalid and set aside.</w:t>
      </w:r>
    </w:p>
    <w:p w14:paraId="577694BC" w14:textId="77777777" w:rsidR="002E4CD5" w:rsidRPr="00A552F8" w:rsidRDefault="002E4CD5" w:rsidP="00A552F8">
      <w:pPr>
        <w:spacing w:line="360" w:lineRule="auto"/>
        <w:ind w:left="720" w:hanging="720"/>
        <w:jc w:val="both"/>
        <w:rPr>
          <w:rFonts w:ascii="Arial" w:hAnsi="Arial" w:cs="Arial"/>
        </w:rPr>
      </w:pPr>
    </w:p>
    <w:p w14:paraId="7B34DA51" w14:textId="77777777" w:rsidR="002E4CD5" w:rsidRPr="00A552F8" w:rsidRDefault="002E4CD5" w:rsidP="006F44F6">
      <w:pPr>
        <w:spacing w:line="360" w:lineRule="auto"/>
        <w:ind w:left="720" w:hanging="11"/>
        <w:jc w:val="both"/>
        <w:rPr>
          <w:rFonts w:ascii="Arial" w:hAnsi="Arial" w:cs="Arial"/>
          <w:b/>
          <w:u w:val="single"/>
        </w:rPr>
      </w:pPr>
      <w:r w:rsidRPr="00A552F8">
        <w:rPr>
          <w:rFonts w:ascii="Arial" w:hAnsi="Arial" w:cs="Arial"/>
          <w:b/>
          <w:u w:val="single"/>
        </w:rPr>
        <w:t>Third Ground of Exception: failure to establish link between accounts</w:t>
      </w:r>
    </w:p>
    <w:p w14:paraId="35A85674" w14:textId="77777777" w:rsidR="002E4CD5" w:rsidRPr="00A552F8" w:rsidRDefault="002E4CD5" w:rsidP="00A552F8">
      <w:pPr>
        <w:spacing w:line="360" w:lineRule="auto"/>
        <w:ind w:left="720" w:hanging="720"/>
        <w:jc w:val="both"/>
        <w:rPr>
          <w:rFonts w:ascii="Arial" w:hAnsi="Arial" w:cs="Arial"/>
          <w:b/>
          <w:u w:val="single"/>
        </w:rPr>
      </w:pPr>
    </w:p>
    <w:p w14:paraId="160971E4"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65.</w:t>
      </w:r>
      <w:r w:rsidRPr="00A552F8">
        <w:rPr>
          <w:rFonts w:ascii="Arial" w:hAnsi="Arial" w:cs="Arial"/>
        </w:rPr>
        <w:tab/>
        <w:t>As alluded to above First Defendant did not challenge or rebut the Plaintiffs’ allegations that the Second Plaintiff established from the Second Defendant that the assets relating to the Share Certificate (belonging to the deceased) in the amount of $36 billion was transferred into the account of the deceased on 10 December 1984.</w:t>
      </w:r>
    </w:p>
    <w:p w14:paraId="0362F1D4" w14:textId="77777777" w:rsidR="002E4CD5" w:rsidRPr="00A552F8" w:rsidRDefault="002E4CD5" w:rsidP="00A552F8">
      <w:pPr>
        <w:spacing w:line="360" w:lineRule="auto"/>
        <w:ind w:left="720" w:hanging="720"/>
        <w:jc w:val="both"/>
        <w:rPr>
          <w:rFonts w:ascii="Arial" w:hAnsi="Arial" w:cs="Arial"/>
        </w:rPr>
      </w:pPr>
    </w:p>
    <w:p w14:paraId="05E3F5C3"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66.</w:t>
      </w:r>
      <w:r w:rsidRPr="00A552F8">
        <w:rPr>
          <w:rFonts w:ascii="Arial" w:hAnsi="Arial" w:cs="Arial"/>
        </w:rPr>
        <w:tab/>
        <w:t xml:space="preserve">I also reiterate that First Defendant did not challenge the Plaintiffs’ allegation that the special restricted account is held with the Second Defendant under </w:t>
      </w:r>
      <w:r w:rsidRPr="00A552F8">
        <w:rPr>
          <w:rFonts w:ascii="Arial" w:hAnsi="Arial" w:cs="Arial"/>
        </w:rPr>
        <w:lastRenderedPageBreak/>
        <w:t>account name A (MM) Surtie with account number 0000/4444. The First Defendant also did not challenge the Plaintiffs’ allegation that the funds of the deceased were invested in Government Bonds RSA 150 and RSA 153 and that the amounts earned from those investments equalled a total amount in the sum of R1.3 billion.</w:t>
      </w:r>
    </w:p>
    <w:p w14:paraId="1557DF9B" w14:textId="77777777" w:rsidR="002E4CD5" w:rsidRPr="00A552F8" w:rsidRDefault="002E4CD5" w:rsidP="00A552F8">
      <w:pPr>
        <w:spacing w:line="360" w:lineRule="auto"/>
        <w:ind w:left="720" w:hanging="720"/>
        <w:jc w:val="both"/>
        <w:rPr>
          <w:rFonts w:ascii="Arial" w:hAnsi="Arial" w:cs="Arial"/>
        </w:rPr>
      </w:pPr>
    </w:p>
    <w:p w14:paraId="672A05C3" w14:textId="77777777" w:rsidR="002E4CD5" w:rsidRPr="00A552F8" w:rsidRDefault="002E4CD5" w:rsidP="00A552F8">
      <w:pPr>
        <w:spacing w:line="360" w:lineRule="auto"/>
        <w:ind w:left="720" w:hanging="720"/>
        <w:jc w:val="both"/>
        <w:rPr>
          <w:rFonts w:ascii="Arial" w:hAnsi="Arial" w:cs="Arial"/>
        </w:rPr>
      </w:pPr>
      <w:r w:rsidRPr="00A552F8">
        <w:rPr>
          <w:rFonts w:ascii="Arial" w:hAnsi="Arial" w:cs="Arial"/>
        </w:rPr>
        <w:t>67.</w:t>
      </w:r>
      <w:r w:rsidRPr="00A552F8">
        <w:rPr>
          <w:rFonts w:ascii="Arial" w:hAnsi="Arial" w:cs="Arial"/>
        </w:rPr>
        <w:tab/>
        <w:t>It then follows that the First Defendant’s contention in this regard cannot be sustained.</w:t>
      </w:r>
    </w:p>
    <w:p w14:paraId="522BFC7B" w14:textId="77777777" w:rsidR="002E4CD5" w:rsidRPr="00A552F8" w:rsidRDefault="002E4CD5" w:rsidP="00A552F8">
      <w:pPr>
        <w:spacing w:line="360" w:lineRule="auto"/>
        <w:ind w:left="720" w:hanging="720"/>
        <w:jc w:val="both"/>
        <w:rPr>
          <w:rFonts w:ascii="Arial" w:hAnsi="Arial" w:cs="Arial"/>
        </w:rPr>
      </w:pPr>
    </w:p>
    <w:p w14:paraId="7C81D113" w14:textId="77777777" w:rsidR="002E4CD5" w:rsidRPr="00A552F8" w:rsidRDefault="002E4CD5" w:rsidP="00A552F8">
      <w:pPr>
        <w:spacing w:line="360" w:lineRule="auto"/>
        <w:ind w:left="720" w:hanging="720"/>
        <w:jc w:val="both"/>
        <w:rPr>
          <w:rFonts w:ascii="Arial" w:hAnsi="Arial" w:cs="Arial"/>
          <w:b/>
        </w:rPr>
      </w:pPr>
      <w:r w:rsidRPr="00A552F8">
        <w:rPr>
          <w:rFonts w:ascii="Arial" w:hAnsi="Arial" w:cs="Arial"/>
          <w:b/>
        </w:rPr>
        <w:t>APPLICATION OF THE LAW</w:t>
      </w:r>
    </w:p>
    <w:p w14:paraId="1B3EB04E" w14:textId="77777777" w:rsidR="002E4CD5" w:rsidRPr="00A552F8" w:rsidRDefault="002E4CD5" w:rsidP="00A552F8">
      <w:pPr>
        <w:spacing w:line="360" w:lineRule="auto"/>
        <w:ind w:left="720" w:hanging="720"/>
        <w:jc w:val="both"/>
        <w:rPr>
          <w:rFonts w:ascii="Arial" w:hAnsi="Arial" w:cs="Arial"/>
          <w:b/>
        </w:rPr>
      </w:pPr>
    </w:p>
    <w:p w14:paraId="4EFE511D" w14:textId="2A928CFA" w:rsidR="002E4CD5" w:rsidRPr="00A552F8" w:rsidRDefault="002E4CD5" w:rsidP="00A552F8">
      <w:pPr>
        <w:spacing w:line="360" w:lineRule="auto"/>
        <w:ind w:left="720" w:hanging="720"/>
        <w:jc w:val="both"/>
        <w:rPr>
          <w:rFonts w:ascii="Arial" w:hAnsi="Arial" w:cs="Arial"/>
        </w:rPr>
      </w:pPr>
      <w:r w:rsidRPr="00A552F8">
        <w:rPr>
          <w:rFonts w:ascii="Arial" w:hAnsi="Arial" w:cs="Arial"/>
        </w:rPr>
        <w:t>68.</w:t>
      </w:r>
      <w:r w:rsidRPr="00A552F8">
        <w:rPr>
          <w:rFonts w:ascii="Arial" w:hAnsi="Arial" w:cs="Arial"/>
        </w:rPr>
        <w:tab/>
        <w:t xml:space="preserve">On the face of it the particulars of claim </w:t>
      </w:r>
      <w:r w:rsidR="00504C79" w:rsidRPr="00A552F8">
        <w:rPr>
          <w:rFonts w:ascii="Arial" w:hAnsi="Arial" w:cs="Arial"/>
        </w:rPr>
        <w:t>do</w:t>
      </w:r>
      <w:r w:rsidRPr="00A552F8">
        <w:rPr>
          <w:rFonts w:ascii="Arial" w:hAnsi="Arial" w:cs="Arial"/>
        </w:rPr>
        <w:t xml:space="preserve"> disclose a cause of action based on the recovery of a debt due by the First Defendant in terms of Regulation 4(c)(ii).</w:t>
      </w:r>
    </w:p>
    <w:p w14:paraId="0D7AA8E5" w14:textId="77777777" w:rsidR="002E4CD5" w:rsidRPr="00A552F8" w:rsidRDefault="002E4CD5" w:rsidP="00A552F8">
      <w:pPr>
        <w:spacing w:line="360" w:lineRule="auto"/>
        <w:ind w:left="720" w:hanging="720"/>
        <w:jc w:val="both"/>
        <w:rPr>
          <w:rFonts w:ascii="Arial" w:hAnsi="Arial" w:cs="Arial"/>
        </w:rPr>
      </w:pPr>
    </w:p>
    <w:p w14:paraId="35AE0720" w14:textId="31E4BDD3" w:rsidR="002E4CD5" w:rsidRPr="00A552F8" w:rsidRDefault="002E4CD5" w:rsidP="00A552F8">
      <w:pPr>
        <w:spacing w:line="360" w:lineRule="auto"/>
        <w:ind w:left="720" w:hanging="720"/>
        <w:jc w:val="both"/>
        <w:rPr>
          <w:rFonts w:ascii="Arial" w:hAnsi="Arial" w:cs="Arial"/>
        </w:rPr>
      </w:pPr>
      <w:r w:rsidRPr="00A552F8">
        <w:rPr>
          <w:rFonts w:ascii="Arial" w:hAnsi="Arial" w:cs="Arial"/>
        </w:rPr>
        <w:t>69.</w:t>
      </w:r>
      <w:r w:rsidRPr="00A552F8">
        <w:rPr>
          <w:rFonts w:ascii="Arial" w:hAnsi="Arial" w:cs="Arial"/>
        </w:rPr>
        <w:tab/>
        <w:t>However, the cause of action is one that cannot be enforced in the circumstances of this case owing to the impediments in Regulation 4(c). Therefore</w:t>
      </w:r>
      <w:r w:rsidR="00504C79">
        <w:rPr>
          <w:rFonts w:ascii="Arial" w:hAnsi="Arial" w:cs="Arial"/>
        </w:rPr>
        <w:t>,</w:t>
      </w:r>
      <w:r w:rsidRPr="00A552F8">
        <w:rPr>
          <w:rFonts w:ascii="Arial" w:hAnsi="Arial" w:cs="Arial"/>
        </w:rPr>
        <w:t xml:space="preserve"> the particulars of claims are in the circumstances excipiable.</w:t>
      </w:r>
      <w:r w:rsidR="00F221B6" w:rsidRPr="00F221B6">
        <w:rPr>
          <w:rFonts w:ascii="Arial" w:hAnsi="Arial" w:cs="Arial"/>
          <w:b/>
          <w:bCs/>
          <w:color w:val="202124"/>
          <w:shd w:val="clear" w:color="auto" w:fill="FFFFFF"/>
        </w:rPr>
        <w:t xml:space="preserve"> </w:t>
      </w:r>
      <w:r w:rsidR="00F221B6">
        <w:rPr>
          <w:rFonts w:ascii="Arial" w:hAnsi="Arial" w:cs="Arial"/>
          <w:b/>
          <w:bCs/>
        </w:rPr>
        <w:t> </w:t>
      </w:r>
    </w:p>
    <w:p w14:paraId="7054175C" w14:textId="77777777" w:rsidR="002E4CD5" w:rsidRPr="00A552F8" w:rsidRDefault="002E4CD5" w:rsidP="00A552F8">
      <w:pPr>
        <w:spacing w:line="360" w:lineRule="auto"/>
        <w:ind w:left="720" w:hanging="720"/>
        <w:jc w:val="both"/>
        <w:rPr>
          <w:rFonts w:ascii="Arial" w:hAnsi="Arial" w:cs="Arial"/>
        </w:rPr>
      </w:pPr>
    </w:p>
    <w:p w14:paraId="65112239" w14:textId="77777777" w:rsidR="002E4CD5" w:rsidRPr="00A552F8" w:rsidRDefault="002E4CD5" w:rsidP="00A552F8">
      <w:pPr>
        <w:spacing w:line="360" w:lineRule="auto"/>
        <w:ind w:left="720" w:hanging="720"/>
        <w:jc w:val="both"/>
        <w:rPr>
          <w:rFonts w:ascii="Arial" w:hAnsi="Arial" w:cs="Arial"/>
        </w:rPr>
      </w:pPr>
    </w:p>
    <w:p w14:paraId="5D5AE402" w14:textId="77777777" w:rsidR="002E4CD5" w:rsidRPr="00A552F8" w:rsidRDefault="002E4CD5" w:rsidP="00A552F8">
      <w:pPr>
        <w:spacing w:line="360" w:lineRule="auto"/>
        <w:ind w:left="720" w:hanging="720"/>
        <w:jc w:val="both"/>
        <w:rPr>
          <w:rFonts w:ascii="Arial" w:hAnsi="Arial" w:cs="Arial"/>
          <w:b/>
        </w:rPr>
      </w:pPr>
      <w:r w:rsidRPr="00A552F8">
        <w:rPr>
          <w:rFonts w:ascii="Arial" w:hAnsi="Arial" w:cs="Arial"/>
          <w:b/>
        </w:rPr>
        <w:t>CONCLUSION</w:t>
      </w:r>
    </w:p>
    <w:p w14:paraId="02EA11DF" w14:textId="77777777" w:rsidR="002E4CD5" w:rsidRPr="00A552F8" w:rsidRDefault="002E4CD5" w:rsidP="00A552F8">
      <w:pPr>
        <w:spacing w:line="360" w:lineRule="auto"/>
        <w:ind w:left="720" w:hanging="720"/>
        <w:jc w:val="both"/>
        <w:rPr>
          <w:rFonts w:ascii="Arial" w:hAnsi="Arial" w:cs="Arial"/>
          <w:b/>
        </w:rPr>
      </w:pPr>
    </w:p>
    <w:p w14:paraId="68BC5620" w14:textId="0519C55F" w:rsidR="002E4CD5" w:rsidRPr="00A552F8" w:rsidRDefault="002E4CD5" w:rsidP="00A552F8">
      <w:pPr>
        <w:spacing w:line="360" w:lineRule="auto"/>
        <w:ind w:left="720" w:hanging="720"/>
        <w:jc w:val="both"/>
        <w:rPr>
          <w:rFonts w:ascii="Arial" w:hAnsi="Arial" w:cs="Arial"/>
        </w:rPr>
      </w:pPr>
      <w:r w:rsidRPr="00A552F8">
        <w:rPr>
          <w:rFonts w:ascii="Arial" w:hAnsi="Arial" w:cs="Arial"/>
        </w:rPr>
        <w:t>70.</w:t>
      </w:r>
      <w:r w:rsidRPr="00A552F8">
        <w:rPr>
          <w:rFonts w:ascii="Arial" w:hAnsi="Arial" w:cs="Arial"/>
        </w:rPr>
        <w:tab/>
        <w:t>Therefore the First Defendant</w:t>
      </w:r>
      <w:r w:rsidR="00504C79">
        <w:rPr>
          <w:rFonts w:ascii="Arial" w:hAnsi="Arial" w:cs="Arial"/>
        </w:rPr>
        <w:t>’s</w:t>
      </w:r>
      <w:r w:rsidRPr="00A552F8">
        <w:rPr>
          <w:rFonts w:ascii="Arial" w:hAnsi="Arial" w:cs="Arial"/>
        </w:rPr>
        <w:t xml:space="preserve"> exception is upheld with costs.</w:t>
      </w:r>
    </w:p>
    <w:p w14:paraId="1C40F9B9" w14:textId="77777777" w:rsidR="002E4CD5" w:rsidRPr="00A552F8" w:rsidRDefault="002E4CD5" w:rsidP="00A552F8">
      <w:pPr>
        <w:spacing w:line="360" w:lineRule="auto"/>
        <w:ind w:left="720" w:hanging="720"/>
        <w:jc w:val="both"/>
        <w:rPr>
          <w:rFonts w:ascii="Arial" w:hAnsi="Arial" w:cs="Arial"/>
        </w:rPr>
      </w:pPr>
    </w:p>
    <w:p w14:paraId="3635AD95" w14:textId="77777777" w:rsidR="002E4CD5" w:rsidRPr="00A552F8" w:rsidRDefault="002E4CD5" w:rsidP="006447DD">
      <w:pPr>
        <w:spacing w:line="360" w:lineRule="auto"/>
        <w:jc w:val="both"/>
        <w:rPr>
          <w:rFonts w:ascii="Arial" w:hAnsi="Arial" w:cs="Arial"/>
        </w:rPr>
      </w:pPr>
    </w:p>
    <w:p w14:paraId="087E0FBA" w14:textId="77777777" w:rsidR="002E4CD5" w:rsidRPr="00A552F8" w:rsidRDefault="002E4CD5" w:rsidP="00A552F8">
      <w:pPr>
        <w:spacing w:line="360" w:lineRule="auto"/>
        <w:jc w:val="both"/>
        <w:rPr>
          <w:rFonts w:ascii="Arial" w:hAnsi="Arial" w:cs="Arial"/>
          <w:color w:val="242121"/>
        </w:rPr>
      </w:pPr>
    </w:p>
    <w:p w14:paraId="672E1661" w14:textId="77777777" w:rsidR="002E4CD5" w:rsidRPr="00A552F8" w:rsidRDefault="002E4CD5" w:rsidP="00A552F8">
      <w:pPr>
        <w:spacing w:line="360" w:lineRule="auto"/>
        <w:jc w:val="both"/>
        <w:rPr>
          <w:rFonts w:ascii="Arial" w:hAnsi="Arial" w:cs="Arial"/>
          <w:color w:val="242121"/>
        </w:rPr>
      </w:pPr>
    </w:p>
    <w:p w14:paraId="6E1D6FD6" w14:textId="77777777" w:rsidR="002E4CD5" w:rsidRPr="00A552F8" w:rsidRDefault="002E4CD5" w:rsidP="006447DD">
      <w:pPr>
        <w:spacing w:line="360" w:lineRule="auto"/>
        <w:jc w:val="right"/>
        <w:rPr>
          <w:rFonts w:ascii="Arial" w:hAnsi="Arial" w:cs="Arial"/>
        </w:rPr>
      </w:pPr>
      <w:r w:rsidRPr="00A552F8">
        <w:rPr>
          <w:rFonts w:ascii="Arial" w:hAnsi="Arial" w:cs="Arial"/>
          <w:noProof/>
          <w:lang w:eastAsia="en-ZA"/>
        </w:rPr>
        <w:drawing>
          <wp:inline distT="0" distB="0" distL="0" distR="0" wp14:anchorId="58D20BEA" wp14:editId="0D200280">
            <wp:extent cx="1004711" cy="71846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alphaModFix/>
                      <a:extLst>
                        <a:ext uri="{28A0092B-C50C-407E-A947-70E740481C1C}">
                          <a14:useLocalDpi xmlns:a14="http://schemas.microsoft.com/office/drawing/2010/main" val="0"/>
                        </a:ext>
                      </a:extLst>
                    </a:blip>
                    <a:srcRect/>
                    <a:stretch>
                      <a:fillRect/>
                    </a:stretch>
                  </pic:blipFill>
                  <pic:spPr bwMode="auto">
                    <a:xfrm>
                      <a:off x="0" y="0"/>
                      <a:ext cx="1031332" cy="737506"/>
                    </a:xfrm>
                    <a:prstGeom prst="rect">
                      <a:avLst/>
                    </a:prstGeom>
                    <a:noFill/>
                    <a:ln>
                      <a:noFill/>
                    </a:ln>
                  </pic:spPr>
                </pic:pic>
              </a:graphicData>
            </a:graphic>
          </wp:inline>
        </w:drawing>
      </w:r>
    </w:p>
    <w:p w14:paraId="7A585475" w14:textId="77777777" w:rsidR="002E4CD5" w:rsidRPr="00A552F8" w:rsidRDefault="002E4CD5" w:rsidP="006447DD">
      <w:pPr>
        <w:spacing w:line="360" w:lineRule="auto"/>
        <w:jc w:val="right"/>
        <w:rPr>
          <w:rFonts w:ascii="Arial" w:hAnsi="Arial" w:cs="Arial"/>
          <w:b/>
        </w:rPr>
      </w:pPr>
      <w:r w:rsidRPr="00A552F8">
        <w:rPr>
          <w:rFonts w:ascii="Arial" w:hAnsi="Arial" w:cs="Arial"/>
          <w:b/>
        </w:rPr>
        <w:t>N NDLOKOVANE AJ</w:t>
      </w:r>
    </w:p>
    <w:p w14:paraId="29AD061D" w14:textId="77777777" w:rsidR="002E4CD5" w:rsidRPr="00A552F8" w:rsidRDefault="002E4CD5" w:rsidP="006447DD">
      <w:pPr>
        <w:spacing w:line="360" w:lineRule="auto"/>
        <w:jc w:val="right"/>
        <w:rPr>
          <w:rFonts w:ascii="Arial" w:hAnsi="Arial" w:cs="Arial"/>
          <w:b/>
        </w:rPr>
      </w:pPr>
      <w:r w:rsidRPr="00A552F8">
        <w:rPr>
          <w:rFonts w:ascii="Arial" w:hAnsi="Arial" w:cs="Arial"/>
          <w:b/>
        </w:rPr>
        <w:t>ACTING JUDGE OF THE HIGH COURT</w:t>
      </w:r>
    </w:p>
    <w:p w14:paraId="6DD058E1" w14:textId="77777777" w:rsidR="002E4CD5" w:rsidRPr="00A552F8" w:rsidRDefault="002E4CD5" w:rsidP="006447DD">
      <w:pPr>
        <w:spacing w:line="360" w:lineRule="auto"/>
        <w:jc w:val="right"/>
        <w:rPr>
          <w:rFonts w:ascii="Arial" w:hAnsi="Arial" w:cs="Arial"/>
          <w:b/>
        </w:rPr>
      </w:pPr>
      <w:r w:rsidRPr="00A552F8">
        <w:rPr>
          <w:rFonts w:ascii="Arial" w:hAnsi="Arial" w:cs="Arial"/>
          <w:b/>
        </w:rPr>
        <w:t>GAUTENG DIVISION, PRETORIA</w:t>
      </w:r>
    </w:p>
    <w:p w14:paraId="6CEEA17A" w14:textId="77777777" w:rsidR="002E4CD5" w:rsidRPr="00A552F8" w:rsidRDefault="002E4CD5" w:rsidP="006447DD">
      <w:pPr>
        <w:spacing w:line="360" w:lineRule="auto"/>
        <w:jc w:val="right"/>
        <w:rPr>
          <w:rFonts w:ascii="Arial" w:hAnsi="Arial" w:cs="Arial"/>
          <w:b/>
          <w:color w:val="000000" w:themeColor="text1"/>
        </w:rPr>
      </w:pPr>
    </w:p>
    <w:p w14:paraId="19B5BB56" w14:textId="5C899C10" w:rsidR="002E4CD5" w:rsidRPr="00A552F8" w:rsidRDefault="002E4CD5" w:rsidP="00A552F8">
      <w:pPr>
        <w:spacing w:line="360" w:lineRule="auto"/>
        <w:jc w:val="both"/>
        <w:rPr>
          <w:rFonts w:ascii="Arial" w:hAnsi="Arial" w:cs="Arial"/>
          <w:bCs/>
          <w:color w:val="000000" w:themeColor="text1"/>
        </w:rPr>
      </w:pPr>
      <w:r w:rsidRPr="00A552F8">
        <w:rPr>
          <w:rFonts w:ascii="Arial" w:eastAsia="Calibri" w:hAnsi="Arial" w:cs="Arial"/>
          <w:bCs/>
        </w:rPr>
        <w:lastRenderedPageBreak/>
        <w:t xml:space="preserve">Delivered: this judgment was prepared and authored by the judge whose name is reflected and is handed down electronically and by circulation to the parties/their legal representatives by email and by uploading it to the electronic file of </w:t>
      </w:r>
      <w:r w:rsidR="00504C79">
        <w:rPr>
          <w:rFonts w:ascii="Arial" w:eastAsia="Calibri" w:hAnsi="Arial" w:cs="Arial"/>
          <w:bCs/>
        </w:rPr>
        <w:t>t</w:t>
      </w:r>
      <w:r w:rsidRPr="00A552F8">
        <w:rPr>
          <w:rFonts w:ascii="Arial" w:eastAsia="Calibri" w:hAnsi="Arial" w:cs="Arial"/>
          <w:bCs/>
        </w:rPr>
        <w:t>his matter on Caselines. The date f</w:t>
      </w:r>
      <w:r w:rsidR="006447DD">
        <w:rPr>
          <w:rFonts w:ascii="Arial" w:eastAsia="Calibri" w:hAnsi="Arial" w:cs="Arial"/>
          <w:bCs/>
        </w:rPr>
        <w:t>or handing down is deemed to be</w:t>
      </w:r>
      <w:r w:rsidRPr="00A552F8">
        <w:rPr>
          <w:rFonts w:ascii="Arial" w:eastAsia="Calibri" w:hAnsi="Arial" w:cs="Arial"/>
          <w:bCs/>
        </w:rPr>
        <w:t xml:space="preserve"> </w:t>
      </w:r>
      <w:r w:rsidR="006447DD">
        <w:rPr>
          <w:rFonts w:ascii="Arial" w:eastAsia="Calibri" w:hAnsi="Arial" w:cs="Arial"/>
          <w:bCs/>
        </w:rPr>
        <w:t xml:space="preserve">06 </w:t>
      </w:r>
      <w:r w:rsidR="00504C79" w:rsidRPr="006447DD">
        <w:rPr>
          <w:rFonts w:ascii="Arial" w:eastAsia="Calibri" w:hAnsi="Arial" w:cs="Arial"/>
          <w:bCs/>
        </w:rPr>
        <w:t>October</w:t>
      </w:r>
      <w:r w:rsidRPr="006447DD">
        <w:rPr>
          <w:rFonts w:ascii="Arial" w:eastAsia="Calibri" w:hAnsi="Arial" w:cs="Arial"/>
          <w:bCs/>
        </w:rPr>
        <w:t xml:space="preserve"> 2022</w:t>
      </w:r>
      <w:r w:rsidR="00504C79">
        <w:rPr>
          <w:rFonts w:ascii="Arial" w:eastAsia="Calibri" w:hAnsi="Arial" w:cs="Arial"/>
          <w:bCs/>
        </w:rPr>
        <w:t>.</w:t>
      </w:r>
    </w:p>
    <w:p w14:paraId="6BE08903" w14:textId="79E4539C" w:rsidR="002E4CD5" w:rsidRDefault="002E4CD5" w:rsidP="00A552F8">
      <w:pPr>
        <w:spacing w:line="360" w:lineRule="auto"/>
        <w:jc w:val="both"/>
        <w:rPr>
          <w:rFonts w:ascii="Arial" w:hAnsi="Arial" w:cs="Arial"/>
          <w:b/>
          <w:color w:val="000000" w:themeColor="text1"/>
        </w:rPr>
      </w:pPr>
    </w:p>
    <w:p w14:paraId="47687CC9" w14:textId="77777777" w:rsidR="00504C79" w:rsidRPr="00A552F8" w:rsidRDefault="00504C79" w:rsidP="00A552F8">
      <w:pPr>
        <w:spacing w:line="360" w:lineRule="auto"/>
        <w:jc w:val="both"/>
        <w:rPr>
          <w:rFonts w:ascii="Arial" w:hAnsi="Arial" w:cs="Arial"/>
          <w:b/>
          <w:color w:val="000000" w:themeColor="text1"/>
        </w:rPr>
      </w:pPr>
    </w:p>
    <w:p w14:paraId="1FF52FD4" w14:textId="79F10C70" w:rsidR="002E4CD5" w:rsidRDefault="002E4CD5" w:rsidP="00A552F8">
      <w:pPr>
        <w:spacing w:line="360" w:lineRule="auto"/>
        <w:jc w:val="both"/>
        <w:rPr>
          <w:rFonts w:ascii="Arial" w:hAnsi="Arial" w:cs="Arial"/>
          <w:b/>
          <w:color w:val="000000" w:themeColor="text1"/>
          <w:u w:val="single"/>
        </w:rPr>
      </w:pPr>
      <w:r w:rsidRPr="00A552F8">
        <w:rPr>
          <w:rFonts w:ascii="Arial" w:hAnsi="Arial" w:cs="Arial"/>
          <w:b/>
          <w:color w:val="000000" w:themeColor="text1"/>
          <w:u w:val="single"/>
        </w:rPr>
        <w:t>APPEARANCES</w:t>
      </w:r>
      <w:r w:rsidR="00504C79">
        <w:rPr>
          <w:rFonts w:ascii="Arial" w:hAnsi="Arial" w:cs="Arial"/>
          <w:b/>
          <w:color w:val="000000" w:themeColor="text1"/>
          <w:u w:val="single"/>
        </w:rPr>
        <w:t>:</w:t>
      </w:r>
    </w:p>
    <w:p w14:paraId="6751C504" w14:textId="4CFC1B09" w:rsidR="006447DD" w:rsidRDefault="006447DD" w:rsidP="00A552F8">
      <w:pPr>
        <w:spacing w:line="360" w:lineRule="auto"/>
        <w:jc w:val="both"/>
        <w:rPr>
          <w:rFonts w:ascii="Arial" w:hAnsi="Arial" w:cs="Arial"/>
          <w:b/>
          <w:color w:val="000000" w:themeColor="text1"/>
          <w:u w:val="single"/>
        </w:rPr>
      </w:pPr>
    </w:p>
    <w:p w14:paraId="61606D68" w14:textId="77777777" w:rsidR="006447DD" w:rsidRDefault="006447DD" w:rsidP="006447DD">
      <w:pPr>
        <w:spacing w:line="360" w:lineRule="auto"/>
        <w:jc w:val="both"/>
        <w:rPr>
          <w:rFonts w:ascii="Arial" w:eastAsia="Calibri" w:hAnsi="Arial" w:cs="Arial"/>
          <w:bCs/>
        </w:rPr>
      </w:pPr>
      <w:r w:rsidRPr="00A552F8">
        <w:rPr>
          <w:rFonts w:ascii="Arial" w:eastAsia="Calibri" w:hAnsi="Arial" w:cs="Arial"/>
        </w:rPr>
        <w:t>FOR THE APPLICANT</w:t>
      </w:r>
      <w:r w:rsidRPr="00A552F8">
        <w:rPr>
          <w:rFonts w:ascii="Arial" w:eastAsia="Calibri" w:hAnsi="Arial" w:cs="Arial"/>
          <w:bCs/>
        </w:rPr>
        <w:t xml:space="preserve">: </w:t>
      </w:r>
      <w:r w:rsidRPr="00A552F8">
        <w:rPr>
          <w:rFonts w:ascii="Arial" w:eastAsia="Calibri" w:hAnsi="Arial" w:cs="Arial"/>
          <w:bCs/>
        </w:rPr>
        <w:tab/>
      </w:r>
      <w:r>
        <w:rPr>
          <w:rFonts w:ascii="Arial" w:eastAsia="Calibri" w:hAnsi="Arial" w:cs="Arial"/>
          <w:bCs/>
        </w:rPr>
        <w:tab/>
      </w:r>
      <w:r>
        <w:rPr>
          <w:rFonts w:ascii="Arial" w:eastAsia="Calibri" w:hAnsi="Arial" w:cs="Arial"/>
          <w:bCs/>
        </w:rPr>
        <w:tab/>
        <w:t>ADV. H LOOTS SC</w:t>
      </w:r>
    </w:p>
    <w:p w14:paraId="4B52259E" w14:textId="77777777" w:rsidR="006447DD" w:rsidRDefault="006447DD" w:rsidP="006447DD">
      <w:pPr>
        <w:spacing w:line="360" w:lineRule="auto"/>
        <w:jc w:val="both"/>
        <w:rPr>
          <w:rFonts w:ascii="Arial" w:eastAsia="Calibri" w:hAnsi="Arial" w:cs="Arial"/>
          <w:bCs/>
        </w:rPr>
      </w:pP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ADV. M FILTON</w:t>
      </w:r>
    </w:p>
    <w:p w14:paraId="2979FB63" w14:textId="77777777" w:rsidR="006447DD" w:rsidRPr="00A552F8" w:rsidRDefault="006447DD" w:rsidP="006447DD">
      <w:pPr>
        <w:spacing w:line="360" w:lineRule="auto"/>
        <w:jc w:val="both"/>
        <w:rPr>
          <w:rFonts w:ascii="Arial" w:eastAsia="Calibri" w:hAnsi="Arial" w:cs="Arial"/>
          <w:b/>
        </w:rPr>
      </w:pPr>
    </w:p>
    <w:p w14:paraId="47ADC866" w14:textId="77777777" w:rsidR="006447DD" w:rsidRDefault="006447DD" w:rsidP="006447DD">
      <w:pPr>
        <w:spacing w:line="360" w:lineRule="auto"/>
        <w:jc w:val="both"/>
        <w:rPr>
          <w:rFonts w:ascii="Arial" w:eastAsia="Calibri" w:hAnsi="Arial" w:cs="Arial"/>
          <w:bCs/>
        </w:rPr>
      </w:pPr>
      <w:r w:rsidRPr="00A552F8">
        <w:rPr>
          <w:rFonts w:ascii="Arial" w:eastAsia="Calibri" w:hAnsi="Arial" w:cs="Arial"/>
        </w:rPr>
        <w:t>FOR THE FIRST RESPONDENTS</w:t>
      </w:r>
      <w:r w:rsidRPr="00A552F8">
        <w:rPr>
          <w:rFonts w:ascii="Arial" w:eastAsia="Calibri" w:hAnsi="Arial" w:cs="Arial"/>
          <w:bCs/>
        </w:rPr>
        <w:t xml:space="preserve">: </w:t>
      </w:r>
      <w:r w:rsidRPr="00A552F8">
        <w:rPr>
          <w:rFonts w:ascii="Arial" w:eastAsia="Calibri" w:hAnsi="Arial" w:cs="Arial"/>
          <w:bCs/>
        </w:rPr>
        <w:tab/>
        <w:t>ADV</w:t>
      </w:r>
      <w:r>
        <w:rPr>
          <w:rFonts w:ascii="Arial" w:eastAsia="Calibri" w:hAnsi="Arial" w:cs="Arial"/>
          <w:bCs/>
        </w:rPr>
        <w:t>. NH MAENETJE SC</w:t>
      </w:r>
    </w:p>
    <w:p w14:paraId="70EDDD2C" w14:textId="77777777" w:rsidR="006447DD" w:rsidRDefault="006447DD" w:rsidP="006447DD">
      <w:pPr>
        <w:spacing w:line="360" w:lineRule="auto"/>
        <w:ind w:left="3600" w:firstLine="720"/>
        <w:jc w:val="both"/>
        <w:rPr>
          <w:rFonts w:ascii="Arial" w:eastAsia="Calibri" w:hAnsi="Arial" w:cs="Arial"/>
          <w:bCs/>
        </w:rPr>
      </w:pPr>
      <w:r w:rsidRPr="00A552F8">
        <w:rPr>
          <w:rFonts w:ascii="Arial" w:eastAsia="Calibri" w:hAnsi="Arial" w:cs="Arial"/>
          <w:bCs/>
        </w:rPr>
        <w:t>ADV</w:t>
      </w:r>
      <w:r>
        <w:rPr>
          <w:rFonts w:ascii="Arial" w:eastAsia="Calibri" w:hAnsi="Arial" w:cs="Arial"/>
          <w:bCs/>
        </w:rPr>
        <w:t>.</w:t>
      </w:r>
      <w:r w:rsidRPr="00A552F8">
        <w:rPr>
          <w:rFonts w:ascii="Arial" w:eastAsia="Calibri" w:hAnsi="Arial" w:cs="Arial"/>
          <w:bCs/>
        </w:rPr>
        <w:t xml:space="preserve">  </w:t>
      </w:r>
      <w:r>
        <w:rPr>
          <w:rFonts w:ascii="Arial" w:eastAsia="Calibri" w:hAnsi="Arial" w:cs="Arial"/>
          <w:bCs/>
        </w:rPr>
        <w:t>A VORSTER</w:t>
      </w:r>
    </w:p>
    <w:p w14:paraId="704AE54E" w14:textId="77777777" w:rsidR="006447DD" w:rsidRPr="00A552F8" w:rsidRDefault="006447DD" w:rsidP="006447DD">
      <w:pPr>
        <w:spacing w:line="360" w:lineRule="auto"/>
        <w:jc w:val="both"/>
        <w:rPr>
          <w:rFonts w:ascii="Arial" w:eastAsia="Calibri" w:hAnsi="Arial" w:cs="Arial"/>
          <w:bCs/>
        </w:rPr>
      </w:pPr>
    </w:p>
    <w:p w14:paraId="044BD926" w14:textId="77777777" w:rsidR="006447DD" w:rsidRPr="00A552F8" w:rsidRDefault="006447DD" w:rsidP="006447DD">
      <w:pPr>
        <w:spacing w:line="360" w:lineRule="auto"/>
        <w:jc w:val="both"/>
        <w:rPr>
          <w:rFonts w:ascii="Arial" w:eastAsia="Calibri" w:hAnsi="Arial" w:cs="Arial"/>
          <w:bCs/>
        </w:rPr>
      </w:pPr>
      <w:r w:rsidRPr="00A552F8">
        <w:rPr>
          <w:rFonts w:ascii="Arial" w:eastAsia="Calibri" w:hAnsi="Arial" w:cs="Arial"/>
        </w:rPr>
        <w:t>HEARD ON:</w:t>
      </w:r>
      <w:r w:rsidRPr="00A552F8">
        <w:rPr>
          <w:rFonts w:ascii="Arial" w:eastAsia="Calibri" w:hAnsi="Arial" w:cs="Arial"/>
        </w:rPr>
        <w:tab/>
      </w:r>
      <w:r w:rsidRPr="00A552F8">
        <w:rPr>
          <w:rFonts w:ascii="Arial" w:eastAsia="Calibri" w:hAnsi="Arial" w:cs="Arial"/>
        </w:rPr>
        <w:tab/>
      </w:r>
      <w:r w:rsidRPr="00A552F8">
        <w:rPr>
          <w:rFonts w:ascii="Arial" w:eastAsia="Calibri" w:hAnsi="Arial" w:cs="Arial"/>
          <w:b/>
        </w:rPr>
        <w:tab/>
      </w:r>
      <w:r>
        <w:rPr>
          <w:rFonts w:ascii="Arial" w:eastAsia="Calibri" w:hAnsi="Arial" w:cs="Arial"/>
          <w:b/>
        </w:rPr>
        <w:tab/>
      </w:r>
      <w:r>
        <w:rPr>
          <w:rFonts w:ascii="Arial" w:eastAsia="Calibri" w:hAnsi="Arial" w:cs="Arial"/>
          <w:b/>
        </w:rPr>
        <w:tab/>
      </w:r>
      <w:r w:rsidRPr="00A552F8">
        <w:rPr>
          <w:rFonts w:ascii="Arial" w:eastAsia="Calibri" w:hAnsi="Arial" w:cs="Arial"/>
          <w:bCs/>
        </w:rPr>
        <w:t>1</w:t>
      </w:r>
      <w:r>
        <w:rPr>
          <w:rFonts w:ascii="Arial" w:eastAsia="Calibri" w:hAnsi="Arial" w:cs="Arial"/>
          <w:bCs/>
        </w:rPr>
        <w:t>2</w:t>
      </w:r>
      <w:r w:rsidRPr="00A552F8">
        <w:rPr>
          <w:rFonts w:ascii="Arial" w:eastAsia="Calibri" w:hAnsi="Arial" w:cs="Arial"/>
          <w:bCs/>
        </w:rPr>
        <w:t xml:space="preserve"> </w:t>
      </w:r>
      <w:r>
        <w:rPr>
          <w:rFonts w:ascii="Arial" w:eastAsia="Calibri" w:hAnsi="Arial" w:cs="Arial"/>
          <w:bCs/>
        </w:rPr>
        <w:t>AUGUST</w:t>
      </w:r>
      <w:r w:rsidRPr="00A552F8">
        <w:rPr>
          <w:rFonts w:ascii="Arial" w:eastAsia="Calibri" w:hAnsi="Arial" w:cs="Arial"/>
          <w:bCs/>
        </w:rPr>
        <w:t xml:space="preserve"> 2022</w:t>
      </w:r>
    </w:p>
    <w:p w14:paraId="6CD64B5D" w14:textId="77777777" w:rsidR="006447DD" w:rsidRPr="00A552F8" w:rsidRDefault="006447DD" w:rsidP="006447DD">
      <w:pPr>
        <w:spacing w:line="360" w:lineRule="auto"/>
        <w:jc w:val="both"/>
        <w:rPr>
          <w:rFonts w:ascii="Arial" w:eastAsia="Calibri" w:hAnsi="Arial" w:cs="Arial"/>
          <w:bCs/>
        </w:rPr>
      </w:pPr>
      <w:r w:rsidRPr="00A552F8">
        <w:rPr>
          <w:rFonts w:ascii="Arial" w:eastAsia="Calibri" w:hAnsi="Arial" w:cs="Arial"/>
        </w:rPr>
        <w:t>DATE OF JUDGMENT</w:t>
      </w:r>
      <w:r w:rsidRPr="00A552F8">
        <w:rPr>
          <w:rFonts w:ascii="Arial" w:eastAsia="Calibri" w:hAnsi="Arial" w:cs="Arial"/>
          <w:bCs/>
        </w:rPr>
        <w:t xml:space="preserve">: </w:t>
      </w:r>
      <w:r w:rsidRPr="00A552F8">
        <w:rPr>
          <w:rFonts w:ascii="Arial" w:eastAsia="Calibri" w:hAnsi="Arial" w:cs="Arial"/>
          <w:bCs/>
        </w:rPr>
        <w:tab/>
      </w:r>
      <w:r>
        <w:rPr>
          <w:rFonts w:ascii="Arial" w:eastAsia="Calibri" w:hAnsi="Arial" w:cs="Arial"/>
          <w:bCs/>
        </w:rPr>
        <w:tab/>
      </w:r>
      <w:r>
        <w:rPr>
          <w:rFonts w:ascii="Arial" w:eastAsia="Calibri" w:hAnsi="Arial" w:cs="Arial"/>
          <w:bCs/>
        </w:rPr>
        <w:tab/>
        <w:t xml:space="preserve">06 </w:t>
      </w:r>
      <w:r w:rsidRPr="001A2913">
        <w:rPr>
          <w:rFonts w:ascii="Arial" w:eastAsia="Calibri" w:hAnsi="Arial" w:cs="Arial"/>
          <w:bCs/>
        </w:rPr>
        <w:t>OCTOBER 2022</w:t>
      </w:r>
    </w:p>
    <w:bookmarkEnd w:id="0"/>
    <w:bookmarkEnd w:id="1"/>
    <w:p w14:paraId="4CD35833" w14:textId="24741B4E" w:rsidR="002E4CD5" w:rsidRPr="00A552F8" w:rsidRDefault="002E4CD5" w:rsidP="006447DD">
      <w:pPr>
        <w:spacing w:line="360" w:lineRule="auto"/>
        <w:jc w:val="both"/>
        <w:rPr>
          <w:rFonts w:ascii="Arial" w:hAnsi="Arial" w:cs="Arial"/>
        </w:rPr>
      </w:pPr>
    </w:p>
    <w:sectPr w:rsidR="002E4CD5" w:rsidRPr="00A552F8" w:rsidSect="00E724E4">
      <w:headerReference w:type="default" r:id="rId11"/>
      <w:footerReference w:type="default" r:id="rId12"/>
      <w:pgSz w:w="11906" w:h="16838"/>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F2A58" w14:textId="77777777" w:rsidR="009746B9" w:rsidRDefault="009746B9" w:rsidP="002E4CD5">
      <w:r>
        <w:separator/>
      </w:r>
    </w:p>
  </w:endnote>
  <w:endnote w:type="continuationSeparator" w:id="0">
    <w:p w14:paraId="25C0D3BC" w14:textId="77777777" w:rsidR="009746B9" w:rsidRDefault="009746B9" w:rsidP="002E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5042" w14:textId="77777777" w:rsidR="00E724E4" w:rsidRDefault="009746B9" w:rsidP="00E724E4">
    <w:pPr>
      <w:pStyle w:val="Footer"/>
    </w:pPr>
  </w:p>
  <w:p w14:paraId="098CCB1F" w14:textId="77777777" w:rsidR="00E724E4" w:rsidRDefault="009746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C66C" w14:textId="77777777" w:rsidR="009746B9" w:rsidRDefault="009746B9" w:rsidP="002E4CD5">
      <w:r>
        <w:separator/>
      </w:r>
    </w:p>
  </w:footnote>
  <w:footnote w:type="continuationSeparator" w:id="0">
    <w:p w14:paraId="022DFBFE" w14:textId="77777777" w:rsidR="009746B9" w:rsidRDefault="009746B9" w:rsidP="002E4CD5">
      <w:r>
        <w:continuationSeparator/>
      </w:r>
    </w:p>
  </w:footnote>
  <w:footnote w:id="1">
    <w:p w14:paraId="3238FFA3" w14:textId="77777777" w:rsidR="002E4CD5" w:rsidRPr="006447DD" w:rsidRDefault="002E4CD5">
      <w:pPr>
        <w:pStyle w:val="FootnoteText"/>
        <w:jc w:val="both"/>
        <w:rPr>
          <w:rFonts w:ascii="Arial" w:hAnsi="Arial" w:cs="Arial"/>
        </w:rPr>
      </w:pPr>
      <w:r w:rsidRPr="006447DD">
        <w:rPr>
          <w:rStyle w:val="FootnoteReference"/>
          <w:rFonts w:ascii="Arial" w:hAnsi="Arial" w:cs="Arial"/>
        </w:rPr>
        <w:footnoteRef/>
      </w:r>
      <w:r w:rsidRPr="006447DD">
        <w:rPr>
          <w:rFonts w:ascii="Arial" w:hAnsi="Arial" w:cs="Arial"/>
        </w:rPr>
        <w:t xml:space="preserve"> </w:t>
      </w:r>
      <w:r w:rsidRPr="006447DD">
        <w:rPr>
          <w:rFonts w:ascii="Arial" w:hAnsi="Arial" w:cs="Arial"/>
          <w:i/>
        </w:rPr>
        <w:t xml:space="preserve">Merb (Pty) Ltd v Mathews </w:t>
      </w:r>
      <w:r w:rsidRPr="006447DD">
        <w:rPr>
          <w:rFonts w:ascii="Arial" w:hAnsi="Arial" w:cs="Arial"/>
        </w:rPr>
        <w:t>JDR 2889 (GJ) (</w:t>
      </w:r>
      <w:r w:rsidRPr="006447DD">
        <w:rPr>
          <w:rFonts w:ascii="Arial" w:hAnsi="Arial" w:cs="Arial"/>
          <w:b/>
          <w:i/>
        </w:rPr>
        <w:t>Merb</w:t>
      </w:r>
      <w:r w:rsidRPr="006447DD">
        <w:rPr>
          <w:rFonts w:ascii="Arial" w:hAnsi="Arial" w:cs="Arial"/>
        </w:rPr>
        <w:t xml:space="preserve">); </w:t>
      </w:r>
      <w:r w:rsidRPr="006447DD">
        <w:rPr>
          <w:rFonts w:ascii="Arial" w:hAnsi="Arial" w:cs="Arial"/>
          <w:i/>
        </w:rPr>
        <w:t xml:space="preserve">Ocean Consolidated Co Limited v The Government </w:t>
      </w:r>
      <w:r w:rsidRPr="006447DD">
        <w:rPr>
          <w:rFonts w:ascii="Arial" w:hAnsi="Arial" w:cs="Arial"/>
        </w:rPr>
        <w:t>1907 TS 786 at 788.</w:t>
      </w:r>
    </w:p>
  </w:footnote>
  <w:footnote w:id="2">
    <w:p w14:paraId="4FB3D8D2" w14:textId="77777777" w:rsidR="002E4CD5" w:rsidRPr="006447DD" w:rsidRDefault="002E4CD5">
      <w:pPr>
        <w:pStyle w:val="FootnoteText"/>
        <w:jc w:val="both"/>
        <w:rPr>
          <w:rFonts w:ascii="Arial" w:hAnsi="Arial" w:cs="Arial"/>
        </w:rPr>
      </w:pPr>
      <w:r w:rsidRPr="006447DD">
        <w:rPr>
          <w:rStyle w:val="FootnoteReference"/>
          <w:rFonts w:ascii="Arial" w:hAnsi="Arial" w:cs="Arial"/>
        </w:rPr>
        <w:footnoteRef/>
      </w:r>
      <w:r w:rsidRPr="006447DD">
        <w:rPr>
          <w:rFonts w:ascii="Arial" w:hAnsi="Arial" w:cs="Arial"/>
        </w:rPr>
        <w:t xml:space="preserve"> See </w:t>
      </w:r>
      <w:r w:rsidRPr="006447DD">
        <w:rPr>
          <w:rFonts w:ascii="Arial" w:hAnsi="Arial" w:cs="Arial"/>
          <w:i/>
        </w:rPr>
        <w:t xml:space="preserve">Merb </w:t>
      </w:r>
      <w:r w:rsidRPr="006447DD">
        <w:rPr>
          <w:rFonts w:ascii="Arial" w:hAnsi="Arial" w:cs="Arial"/>
        </w:rPr>
        <w:t>n17 above.</w:t>
      </w:r>
    </w:p>
  </w:footnote>
  <w:footnote w:id="3">
    <w:p w14:paraId="4191CA81" w14:textId="77777777" w:rsidR="002E4CD5" w:rsidRPr="006447DD" w:rsidRDefault="002E4CD5">
      <w:pPr>
        <w:pStyle w:val="FootnoteText"/>
        <w:jc w:val="both"/>
        <w:rPr>
          <w:rFonts w:ascii="Arial" w:hAnsi="Arial" w:cs="Arial"/>
          <w:i/>
        </w:rPr>
      </w:pPr>
      <w:r w:rsidRPr="006447DD">
        <w:rPr>
          <w:rStyle w:val="FootnoteReference"/>
          <w:rFonts w:ascii="Arial" w:hAnsi="Arial" w:cs="Arial"/>
        </w:rPr>
        <w:footnoteRef/>
      </w:r>
      <w:r w:rsidRPr="006447DD">
        <w:rPr>
          <w:rFonts w:ascii="Arial" w:hAnsi="Arial" w:cs="Arial"/>
        </w:rPr>
        <w:t xml:space="preserve"> See </w:t>
      </w:r>
      <w:r w:rsidRPr="006447DD">
        <w:rPr>
          <w:rFonts w:ascii="Arial" w:hAnsi="Arial" w:cs="Arial"/>
          <w:i/>
        </w:rPr>
        <w:t xml:space="preserve">Merb </w:t>
      </w:r>
      <w:r w:rsidRPr="006447DD">
        <w:rPr>
          <w:rFonts w:ascii="Arial" w:hAnsi="Arial" w:cs="Arial"/>
        </w:rPr>
        <w:t xml:space="preserve">n17 above; see also </w:t>
      </w:r>
      <w:r w:rsidRPr="006447DD">
        <w:rPr>
          <w:rFonts w:ascii="Arial" w:hAnsi="Arial" w:cs="Arial"/>
          <w:i/>
        </w:rPr>
        <w:t xml:space="preserve">Jowell v Bramwell-Jones &amp; Others </w:t>
      </w:r>
      <w:r w:rsidRPr="006447DD">
        <w:rPr>
          <w:rFonts w:ascii="Arial" w:hAnsi="Arial" w:cs="Arial"/>
        </w:rPr>
        <w:t>1998 (1) SA 836 (W) at 902 – 903 (</w:t>
      </w:r>
      <w:r w:rsidRPr="006447DD">
        <w:rPr>
          <w:rFonts w:ascii="Arial" w:hAnsi="Arial" w:cs="Arial"/>
          <w:b/>
          <w:i/>
        </w:rPr>
        <w:t>Jowell</w:t>
      </w:r>
      <w:r w:rsidRPr="006447DD">
        <w:rPr>
          <w:rFonts w:ascii="Arial" w:hAnsi="Arial" w:cs="Arial"/>
        </w:rPr>
        <w:t>).</w:t>
      </w:r>
    </w:p>
  </w:footnote>
  <w:footnote w:id="4">
    <w:p w14:paraId="11128504" w14:textId="77777777" w:rsidR="002E4CD5" w:rsidRPr="006447DD" w:rsidRDefault="002E4CD5">
      <w:pPr>
        <w:pStyle w:val="FootnoteText"/>
        <w:rPr>
          <w:rFonts w:ascii="Arial" w:hAnsi="Arial" w:cs="Arial"/>
        </w:rPr>
      </w:pPr>
      <w:r w:rsidRPr="006447DD">
        <w:rPr>
          <w:rStyle w:val="FootnoteReference"/>
          <w:rFonts w:ascii="Arial" w:hAnsi="Arial" w:cs="Arial"/>
        </w:rPr>
        <w:footnoteRef/>
      </w:r>
      <w:r w:rsidRPr="006447DD">
        <w:rPr>
          <w:rFonts w:ascii="Arial" w:hAnsi="Arial" w:cs="Arial"/>
        </w:rPr>
        <w:t xml:space="preserve"> Same as above.</w:t>
      </w:r>
    </w:p>
  </w:footnote>
  <w:footnote w:id="5">
    <w:p w14:paraId="0E85AF3E" w14:textId="77777777" w:rsidR="002E4CD5" w:rsidRPr="006447DD" w:rsidRDefault="002E4CD5">
      <w:pPr>
        <w:pStyle w:val="FootnoteText"/>
        <w:rPr>
          <w:rFonts w:ascii="Arial" w:hAnsi="Arial" w:cs="Arial"/>
        </w:rPr>
      </w:pPr>
      <w:r w:rsidRPr="006447DD">
        <w:rPr>
          <w:rStyle w:val="FootnoteReference"/>
          <w:rFonts w:ascii="Arial" w:hAnsi="Arial" w:cs="Arial"/>
        </w:rPr>
        <w:footnoteRef/>
      </w:r>
      <w:r w:rsidRPr="006447DD">
        <w:rPr>
          <w:rFonts w:ascii="Arial" w:hAnsi="Arial" w:cs="Arial"/>
        </w:rPr>
        <w:t xml:space="preserve"> See </w:t>
      </w:r>
      <w:r w:rsidRPr="006447DD">
        <w:rPr>
          <w:rFonts w:ascii="Arial" w:hAnsi="Arial" w:cs="Arial"/>
          <w:i/>
        </w:rPr>
        <w:t xml:space="preserve">Merb </w:t>
      </w:r>
      <w:r w:rsidRPr="006447DD">
        <w:rPr>
          <w:rFonts w:ascii="Arial" w:hAnsi="Arial" w:cs="Arial"/>
        </w:rPr>
        <w:t>n17 above.</w:t>
      </w:r>
    </w:p>
  </w:footnote>
  <w:footnote w:id="6">
    <w:p w14:paraId="02E5427B" w14:textId="77777777" w:rsidR="002E4CD5" w:rsidRPr="006447DD" w:rsidRDefault="002E4CD5">
      <w:pPr>
        <w:pStyle w:val="FootnoteText"/>
        <w:jc w:val="both"/>
        <w:rPr>
          <w:rFonts w:ascii="Arial" w:hAnsi="Arial" w:cs="Arial"/>
        </w:rPr>
      </w:pPr>
      <w:r w:rsidRPr="006447DD">
        <w:rPr>
          <w:rStyle w:val="FootnoteReference"/>
          <w:rFonts w:ascii="Arial" w:hAnsi="Arial" w:cs="Arial"/>
        </w:rPr>
        <w:footnoteRef/>
      </w:r>
      <w:r w:rsidRPr="006447DD">
        <w:rPr>
          <w:rFonts w:ascii="Arial" w:hAnsi="Arial" w:cs="Arial"/>
        </w:rPr>
        <w:t xml:space="preserve"> First Defendant’s Heads of Argument para 40.1; citing </w:t>
      </w:r>
      <w:r w:rsidRPr="006447DD">
        <w:rPr>
          <w:rFonts w:ascii="Arial" w:hAnsi="Arial" w:cs="Arial"/>
          <w:i/>
        </w:rPr>
        <w:t xml:space="preserve">S and Another v Acting Regional Magistrate, Boksburg and Another </w:t>
      </w:r>
      <w:r w:rsidRPr="006447DD">
        <w:rPr>
          <w:rFonts w:ascii="Arial" w:hAnsi="Arial" w:cs="Arial"/>
        </w:rPr>
        <w:t>2011 (2) SACR 274 (CC) at paras 16 &amp; 17 p283.</w:t>
      </w:r>
    </w:p>
  </w:footnote>
  <w:footnote w:id="7">
    <w:p w14:paraId="1C5AF83F" w14:textId="77777777" w:rsidR="002E4CD5" w:rsidRPr="006447DD" w:rsidRDefault="002E4CD5">
      <w:pPr>
        <w:pStyle w:val="FootnoteText"/>
        <w:rPr>
          <w:rFonts w:ascii="Arial" w:hAnsi="Arial" w:cs="Arial"/>
        </w:rPr>
      </w:pPr>
      <w:r w:rsidRPr="006447DD">
        <w:rPr>
          <w:rStyle w:val="FootnoteReference"/>
          <w:rFonts w:ascii="Arial" w:hAnsi="Arial" w:cs="Arial"/>
        </w:rPr>
        <w:footnoteRef/>
      </w:r>
      <w:r w:rsidRPr="006447DD">
        <w:rPr>
          <w:rFonts w:ascii="Arial" w:hAnsi="Arial" w:cs="Arial"/>
        </w:rPr>
        <w:t xml:space="preserve"> 2016 (3) SA 580 (CC) at para 74.</w:t>
      </w:r>
    </w:p>
  </w:footnote>
  <w:footnote w:id="8">
    <w:p w14:paraId="32781123" w14:textId="77777777" w:rsidR="002E4CD5" w:rsidRPr="006447DD" w:rsidRDefault="002E4CD5">
      <w:pPr>
        <w:pStyle w:val="FootnoteText"/>
        <w:rPr>
          <w:rFonts w:ascii="Arial" w:hAnsi="Arial" w:cs="Arial"/>
        </w:rPr>
      </w:pPr>
      <w:r w:rsidRPr="006447DD">
        <w:rPr>
          <w:rStyle w:val="FootnoteReference"/>
          <w:rFonts w:ascii="Arial" w:hAnsi="Arial" w:cs="Arial"/>
        </w:rPr>
        <w:footnoteRef/>
      </w:r>
      <w:r w:rsidRPr="006447DD">
        <w:rPr>
          <w:rFonts w:ascii="Arial" w:hAnsi="Arial" w:cs="Arial"/>
        </w:rPr>
        <w:t xml:space="preserve"> [2004] ZASCA 48; [2004] 3 All SA 1 (SCA) para 26.</w:t>
      </w:r>
    </w:p>
  </w:footnote>
  <w:footnote w:id="9">
    <w:p w14:paraId="7E4585C9" w14:textId="77777777" w:rsidR="002E4CD5" w:rsidRPr="006447DD" w:rsidRDefault="002E4CD5">
      <w:pPr>
        <w:pStyle w:val="FootnoteText"/>
        <w:rPr>
          <w:rFonts w:ascii="Arial" w:hAnsi="Arial" w:cs="Arial"/>
        </w:rPr>
      </w:pPr>
      <w:r w:rsidRPr="006447DD">
        <w:rPr>
          <w:rStyle w:val="FootnoteReference"/>
          <w:rFonts w:ascii="Arial" w:hAnsi="Arial" w:cs="Arial"/>
        </w:rPr>
        <w:footnoteRef/>
      </w:r>
      <w:r w:rsidRPr="006447DD">
        <w:rPr>
          <w:rFonts w:ascii="Arial" w:hAnsi="Arial" w:cs="Arial"/>
        </w:rPr>
        <w:t xml:space="preserve"> 1976 (4) SA 104 CPD at 106 B-D.</w:t>
      </w:r>
    </w:p>
  </w:footnote>
  <w:footnote w:id="10">
    <w:p w14:paraId="14D7D898" w14:textId="77777777" w:rsidR="002E4CD5" w:rsidRPr="006447DD" w:rsidRDefault="002E4CD5">
      <w:pPr>
        <w:pStyle w:val="FootnoteText"/>
        <w:rPr>
          <w:rFonts w:ascii="Arial" w:hAnsi="Arial" w:cs="Arial"/>
        </w:rPr>
      </w:pPr>
      <w:r w:rsidRPr="006447DD">
        <w:rPr>
          <w:rStyle w:val="FootnoteReference"/>
          <w:rFonts w:ascii="Arial" w:hAnsi="Arial" w:cs="Arial"/>
        </w:rPr>
        <w:footnoteRef/>
      </w:r>
      <w:r w:rsidRPr="006447DD">
        <w:rPr>
          <w:rFonts w:ascii="Arial" w:hAnsi="Arial" w:cs="Arial"/>
        </w:rPr>
        <w:t xml:space="preserve"> </w:t>
      </w:r>
      <w:r w:rsidRPr="006447DD">
        <w:rPr>
          <w:rFonts w:ascii="Arial" w:hAnsi="Arial" w:cs="Arial"/>
          <w:i/>
        </w:rPr>
        <w:t xml:space="preserve">Rosseau NO v Standard Bank of SA Ltd </w:t>
      </w:r>
      <w:r w:rsidRPr="006447DD">
        <w:rPr>
          <w:rFonts w:ascii="Arial" w:hAnsi="Arial" w:cs="Arial"/>
        </w:rPr>
        <w:t>1976 (4) SA 104 CPD at 106 B-D.</w:t>
      </w:r>
    </w:p>
  </w:footnote>
  <w:footnote w:id="11">
    <w:p w14:paraId="68615502" w14:textId="77777777" w:rsidR="002E4CD5" w:rsidRPr="006447DD" w:rsidRDefault="002E4CD5">
      <w:pPr>
        <w:pStyle w:val="FootnoteText"/>
        <w:rPr>
          <w:rFonts w:ascii="Arial" w:hAnsi="Arial" w:cs="Arial"/>
        </w:rPr>
      </w:pPr>
      <w:r w:rsidRPr="006447DD">
        <w:rPr>
          <w:rStyle w:val="FootnoteReference"/>
          <w:rFonts w:ascii="Arial" w:hAnsi="Arial" w:cs="Arial"/>
        </w:rPr>
        <w:footnoteRef/>
      </w:r>
      <w:r w:rsidRPr="006447DD">
        <w:rPr>
          <w:rFonts w:ascii="Arial" w:hAnsi="Arial" w:cs="Arial"/>
        </w:rPr>
        <w:t xml:space="preserve"> Act 33 of 1957.</w:t>
      </w:r>
    </w:p>
  </w:footnote>
  <w:footnote w:id="12">
    <w:p w14:paraId="79071772" w14:textId="77777777" w:rsidR="002E4CD5" w:rsidRPr="006447DD" w:rsidRDefault="002E4CD5">
      <w:pPr>
        <w:pStyle w:val="FootnoteText"/>
        <w:rPr>
          <w:rFonts w:ascii="Arial" w:hAnsi="Arial" w:cs="Arial"/>
        </w:rPr>
      </w:pPr>
      <w:r w:rsidRPr="006447DD">
        <w:rPr>
          <w:rStyle w:val="FootnoteReference"/>
          <w:rFonts w:ascii="Arial" w:hAnsi="Arial" w:cs="Arial"/>
        </w:rPr>
        <w:footnoteRef/>
      </w:r>
      <w:r w:rsidRPr="006447DD">
        <w:rPr>
          <w:rFonts w:ascii="Arial" w:hAnsi="Arial" w:cs="Arial"/>
        </w:rPr>
        <w:t xml:space="preserve"> 2016 (3) SA 580 (CC) para 74.</w:t>
      </w:r>
    </w:p>
  </w:footnote>
  <w:footnote w:id="13">
    <w:p w14:paraId="201B7BEF" w14:textId="77777777" w:rsidR="002E4CD5" w:rsidRPr="006447DD" w:rsidRDefault="002E4CD5">
      <w:pPr>
        <w:pStyle w:val="FootnoteText"/>
        <w:rPr>
          <w:rFonts w:ascii="Arial" w:hAnsi="Arial" w:cs="Arial"/>
        </w:rPr>
      </w:pPr>
      <w:r w:rsidRPr="006447DD">
        <w:rPr>
          <w:rStyle w:val="FootnoteReference"/>
          <w:rFonts w:ascii="Arial" w:hAnsi="Arial" w:cs="Arial"/>
        </w:rPr>
        <w:footnoteRef/>
      </w:r>
      <w:r w:rsidRPr="006447DD">
        <w:rPr>
          <w:rFonts w:ascii="Arial" w:hAnsi="Arial" w:cs="Arial"/>
        </w:rPr>
        <w:t xml:space="preserve"> </w:t>
      </w:r>
      <w:r w:rsidRPr="006447DD">
        <w:rPr>
          <w:rFonts w:ascii="Arial" w:hAnsi="Arial" w:cs="Arial"/>
          <w:i/>
        </w:rPr>
        <w:t xml:space="preserve">Oudekraal Estates (Pty) Ltd v City of Cape Town </w:t>
      </w:r>
      <w:r w:rsidRPr="006447DD">
        <w:rPr>
          <w:rFonts w:ascii="Arial" w:hAnsi="Arial" w:cs="Arial"/>
        </w:rPr>
        <w:t>[2004] ZASCA 48; [2004] 3 All SA 1 (SCA) para 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44224"/>
      <w:docPartObj>
        <w:docPartGallery w:val="Page Numbers (Top of Page)"/>
        <w:docPartUnique/>
      </w:docPartObj>
    </w:sdtPr>
    <w:sdtEndPr>
      <w:rPr>
        <w:noProof/>
      </w:rPr>
    </w:sdtEndPr>
    <w:sdtContent>
      <w:p w14:paraId="200CB0F5" w14:textId="011BEA6D" w:rsidR="00E724E4" w:rsidRDefault="006D4996">
        <w:pPr>
          <w:pStyle w:val="Header"/>
          <w:jc w:val="center"/>
        </w:pPr>
        <w:r>
          <w:fldChar w:fldCharType="begin"/>
        </w:r>
        <w:r>
          <w:instrText xml:space="preserve"> PAGE   \* MERGEFORMAT </w:instrText>
        </w:r>
        <w:r>
          <w:fldChar w:fldCharType="separate"/>
        </w:r>
        <w:r w:rsidR="002525FB">
          <w:rPr>
            <w:noProof/>
          </w:rPr>
          <w:t>18</w:t>
        </w:r>
        <w:r>
          <w:rPr>
            <w:noProof/>
          </w:rPr>
          <w:fldChar w:fldCharType="end"/>
        </w:r>
      </w:p>
    </w:sdtContent>
  </w:sdt>
  <w:p w14:paraId="21ED7348" w14:textId="77777777" w:rsidR="00E724E4" w:rsidRDefault="009746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A2C"/>
    <w:multiLevelType w:val="hybridMultilevel"/>
    <w:tmpl w:val="322AD5CC"/>
    <w:lvl w:ilvl="0" w:tplc="23ACF6F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13223237"/>
    <w:multiLevelType w:val="multilevel"/>
    <w:tmpl w:val="E73C7D92"/>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D5"/>
    <w:rsid w:val="00007C52"/>
    <w:rsid w:val="0001409F"/>
    <w:rsid w:val="00072933"/>
    <w:rsid w:val="0008187B"/>
    <w:rsid w:val="002243AB"/>
    <w:rsid w:val="002525FB"/>
    <w:rsid w:val="002E4CD5"/>
    <w:rsid w:val="00384121"/>
    <w:rsid w:val="00504C79"/>
    <w:rsid w:val="0061574D"/>
    <w:rsid w:val="006447DD"/>
    <w:rsid w:val="006D4996"/>
    <w:rsid w:val="006F44F6"/>
    <w:rsid w:val="0078266C"/>
    <w:rsid w:val="008250A4"/>
    <w:rsid w:val="00831090"/>
    <w:rsid w:val="008F1424"/>
    <w:rsid w:val="009746B9"/>
    <w:rsid w:val="00A552F8"/>
    <w:rsid w:val="00AC40C2"/>
    <w:rsid w:val="00AD46C2"/>
    <w:rsid w:val="00BE391B"/>
    <w:rsid w:val="00C30C35"/>
    <w:rsid w:val="00CA4CA9"/>
    <w:rsid w:val="00D67087"/>
    <w:rsid w:val="00D96455"/>
    <w:rsid w:val="00DE2AEC"/>
    <w:rsid w:val="00EA1241"/>
    <w:rsid w:val="00EC28AA"/>
    <w:rsid w:val="00F221B6"/>
    <w:rsid w:val="00FC35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0309"/>
  <w15:chartTrackingRefBased/>
  <w15:docId w15:val="{B1097CB4-83E5-0749-8A1E-CC7B4731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D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CD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E4CD5"/>
    <w:rPr>
      <w:sz w:val="22"/>
      <w:szCs w:val="22"/>
    </w:rPr>
  </w:style>
  <w:style w:type="paragraph" w:styleId="Footer">
    <w:name w:val="footer"/>
    <w:basedOn w:val="Normal"/>
    <w:link w:val="FooterChar"/>
    <w:uiPriority w:val="99"/>
    <w:unhideWhenUsed/>
    <w:rsid w:val="002E4CD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E4CD5"/>
    <w:rPr>
      <w:sz w:val="22"/>
      <w:szCs w:val="22"/>
    </w:rPr>
  </w:style>
  <w:style w:type="paragraph" w:styleId="NormalWeb">
    <w:name w:val="Normal (Web)"/>
    <w:basedOn w:val="Normal"/>
    <w:uiPriority w:val="99"/>
    <w:unhideWhenUsed/>
    <w:rsid w:val="002E4CD5"/>
    <w:pPr>
      <w:spacing w:before="100" w:beforeAutospacing="1" w:after="100" w:afterAutospacing="1"/>
    </w:pPr>
  </w:style>
  <w:style w:type="paragraph" w:styleId="ListParagraph">
    <w:name w:val="List Paragraph"/>
    <w:basedOn w:val="Normal"/>
    <w:uiPriority w:val="34"/>
    <w:qFormat/>
    <w:rsid w:val="002E4CD5"/>
    <w:pPr>
      <w:spacing w:line="360"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E4CD5"/>
    <w:rPr>
      <w:color w:val="0563C1" w:themeColor="hyperlink"/>
      <w:u w:val="single"/>
    </w:rPr>
  </w:style>
  <w:style w:type="character" w:customStyle="1" w:styleId="apple-converted-space">
    <w:name w:val="apple-converted-space"/>
    <w:basedOn w:val="DefaultParagraphFont"/>
    <w:rsid w:val="002E4CD5"/>
  </w:style>
  <w:style w:type="paragraph" w:styleId="FootnoteText">
    <w:name w:val="footnote text"/>
    <w:basedOn w:val="Normal"/>
    <w:link w:val="FootnoteTextChar"/>
    <w:uiPriority w:val="99"/>
    <w:semiHidden/>
    <w:unhideWhenUsed/>
    <w:rsid w:val="002E4CD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E4CD5"/>
    <w:rPr>
      <w:sz w:val="20"/>
      <w:szCs w:val="20"/>
    </w:rPr>
  </w:style>
  <w:style w:type="character" w:styleId="FootnoteReference">
    <w:name w:val="footnote reference"/>
    <w:basedOn w:val="DefaultParagraphFont"/>
    <w:uiPriority w:val="99"/>
    <w:semiHidden/>
    <w:unhideWhenUsed/>
    <w:rsid w:val="002E4CD5"/>
    <w:rPr>
      <w:vertAlign w:val="superscript"/>
    </w:rPr>
  </w:style>
  <w:style w:type="paragraph" w:styleId="BalloonText">
    <w:name w:val="Balloon Text"/>
    <w:basedOn w:val="Normal"/>
    <w:link w:val="BalloonTextChar"/>
    <w:uiPriority w:val="99"/>
    <w:semiHidden/>
    <w:unhideWhenUsed/>
    <w:rsid w:val="00644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7D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0EF26-85FC-4DC6-BA33-805132B7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Zanele Ndlokovane</dc:creator>
  <cp:keywords/>
  <dc:description/>
  <cp:lastModifiedBy>Mary Bruce</cp:lastModifiedBy>
  <cp:revision>4</cp:revision>
  <dcterms:created xsi:type="dcterms:W3CDTF">2022-10-06T07:20:00Z</dcterms:created>
  <dcterms:modified xsi:type="dcterms:W3CDTF">2022-10-17T10:04:00Z</dcterms:modified>
</cp:coreProperties>
</file>