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B935" w14:textId="77777777" w:rsidR="00B50E11" w:rsidRDefault="00B50E11" w:rsidP="00B50E11">
      <w:pPr>
        <w:pStyle w:val="Body"/>
        <w:jc w:val="center"/>
      </w:pPr>
      <w:bookmarkStart w:id="0" w:name="_GoBack"/>
      <w:bookmarkEnd w:id="0"/>
      <w:r>
        <w:rPr>
          <w:noProof/>
          <w:lang w:val="en-ZA" w:eastAsia="en-ZA"/>
        </w:rPr>
        <w:drawing>
          <wp:inline distT="0" distB="0" distL="0" distR="0" wp14:anchorId="049B1AB5" wp14:editId="4D5C4860">
            <wp:extent cx="1494941" cy="1543744"/>
            <wp:effectExtent l="0" t="0" r="3810" b="571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502380" cy="1551426"/>
                    </a:xfrm>
                    <a:prstGeom prst="rect">
                      <a:avLst/>
                    </a:prstGeom>
                    <a:ln w="12700" cap="flat">
                      <a:noFill/>
                      <a:miter lim="400000"/>
                    </a:ln>
                    <a:effectLst/>
                  </pic:spPr>
                </pic:pic>
              </a:graphicData>
            </a:graphic>
          </wp:inline>
        </w:drawing>
      </w:r>
    </w:p>
    <w:p w14:paraId="1474F8D4" w14:textId="77777777"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667A96EF" w14:textId="77777777" w:rsidR="00C519B2" w:rsidRPr="00341E97" w:rsidRDefault="00B50E11" w:rsidP="00341E97">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38D90121" w14:textId="77777777" w:rsidTr="00341E97">
        <w:trPr>
          <w:trHeight w:val="2205"/>
        </w:trPr>
        <w:tc>
          <w:tcPr>
            <w:tcW w:w="3998" w:type="dxa"/>
          </w:tcPr>
          <w:p w14:paraId="07FD3854"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18669867"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CE6C1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10749D">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0749D">
              <w:rPr>
                <w:rFonts w:ascii="Arial Unicode MS" w:eastAsia="Arial Unicode MS" w:hAnsi="Arial Unicode MS" w:cs="Arial Unicode MS"/>
                <w:b/>
                <w:bCs/>
                <w:sz w:val="16"/>
                <w:szCs w:val="16"/>
              </w:rPr>
              <w:t>NO</w:t>
            </w:r>
          </w:p>
          <w:p w14:paraId="32F16F80"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341E9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341E97">
              <w:rPr>
                <w:rFonts w:ascii="Arial Unicode MS" w:eastAsia="Arial Unicode MS" w:hAnsi="Arial Unicode MS" w:cs="Arial Unicode MS"/>
                <w:sz w:val="16"/>
                <w:szCs w:val="16"/>
              </w:rPr>
              <w:t xml:space="preserve"> </w:t>
            </w:r>
            <w:r w:rsidRPr="0010749D">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0749D">
              <w:rPr>
                <w:rFonts w:ascii="Arial Unicode MS" w:eastAsia="Arial Unicode MS" w:hAnsi="Arial Unicode MS" w:cs="Arial Unicode MS"/>
                <w:b/>
                <w:bCs/>
                <w:sz w:val="16"/>
                <w:szCs w:val="16"/>
              </w:rPr>
              <w:t>NO</w:t>
            </w:r>
          </w:p>
          <w:p w14:paraId="734F514C"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341E9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10749D" w:rsidRPr="0010749D">
              <w:rPr>
                <w:rFonts w:ascii="Arial Unicode MS" w:eastAsia="Arial Unicode MS" w:hAnsi="Arial Unicode MS" w:cs="Arial Unicode MS"/>
                <w:b/>
                <w:bCs/>
                <w:sz w:val="16"/>
                <w:szCs w:val="16"/>
              </w:rPr>
              <w:t xml:space="preserve"> NO</w:t>
            </w:r>
          </w:p>
          <w:p w14:paraId="44EEBB9B" w14:textId="59090116"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996B9B">
              <w:rPr>
                <w:rFonts w:ascii="Arial" w:eastAsia="Arial Unicode MS" w:hAnsi="Arial" w:cs="Arial"/>
                <w:b/>
                <w:bCs/>
                <w:sz w:val="20"/>
                <w:szCs w:val="20"/>
              </w:rPr>
              <w:t>:</w:t>
            </w:r>
            <w:r w:rsidR="00341E97" w:rsidRPr="00996B9B">
              <w:rPr>
                <w:rFonts w:ascii="Arial" w:eastAsia="Arial Unicode MS" w:hAnsi="Arial" w:cs="Arial"/>
                <w:b/>
                <w:bCs/>
                <w:sz w:val="20"/>
                <w:szCs w:val="20"/>
              </w:rPr>
              <w:t xml:space="preserve">   </w:t>
            </w:r>
            <w:r w:rsidR="00110539">
              <w:rPr>
                <w:rFonts w:ascii="Arial" w:eastAsia="Arial Unicode MS" w:hAnsi="Arial" w:cs="Arial"/>
                <w:b/>
                <w:bCs/>
                <w:sz w:val="20"/>
                <w:szCs w:val="20"/>
              </w:rPr>
              <w:t>21</w:t>
            </w:r>
            <w:r w:rsidR="00044032">
              <w:rPr>
                <w:rFonts w:ascii="Arial" w:eastAsia="Arial Unicode MS" w:hAnsi="Arial" w:cs="Arial"/>
                <w:b/>
                <w:bCs/>
                <w:sz w:val="20"/>
                <w:szCs w:val="20"/>
              </w:rPr>
              <w:t xml:space="preserve"> September</w:t>
            </w:r>
            <w:r w:rsidR="0010749D" w:rsidRPr="00996B9B">
              <w:rPr>
                <w:rFonts w:ascii="Arial" w:eastAsia="Arial Unicode MS" w:hAnsi="Arial" w:cs="Arial"/>
                <w:b/>
                <w:bCs/>
                <w:sz w:val="20"/>
                <w:szCs w:val="20"/>
              </w:rPr>
              <w:t xml:space="preserve"> 2022</w:t>
            </w:r>
            <w:r>
              <w:rPr>
                <w:rFonts w:ascii="Arial Unicode MS" w:eastAsia="Arial Unicode MS" w:hAnsi="Arial Unicode MS" w:cs="Arial Unicode MS"/>
                <w:sz w:val="16"/>
                <w:szCs w:val="16"/>
              </w:rPr>
              <w:br/>
            </w:r>
          </w:p>
          <w:p w14:paraId="15A011D6"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780D2647" w14:textId="77777777" w:rsidR="00B50E11" w:rsidRPr="0031449E" w:rsidRDefault="00B50E11" w:rsidP="00B50E11">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F6399E">
        <w:rPr>
          <w:rFonts w:cs="Arial"/>
          <w:b/>
          <w:bCs/>
          <w:sz w:val="24"/>
          <w:szCs w:val="24"/>
        </w:rPr>
        <w:t>27131/2022</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263"/>
        <w:gridCol w:w="66"/>
      </w:tblGrid>
      <w:tr w:rsidR="00B50E11" w:rsidRPr="0031449E" w14:paraId="1CEE00D9" w14:textId="77777777" w:rsidTr="00A50C50">
        <w:trPr>
          <w:gridAfter w:val="1"/>
          <w:wAfter w:w="66" w:type="dxa"/>
        </w:trPr>
        <w:tc>
          <w:tcPr>
            <w:tcW w:w="6300" w:type="dxa"/>
          </w:tcPr>
          <w:p w14:paraId="0BC29718" w14:textId="77777777" w:rsidR="00B50E11" w:rsidRDefault="00B50E11" w:rsidP="00996B9B">
            <w:pPr>
              <w:pStyle w:val="Body"/>
              <w:spacing w:line="360" w:lineRule="auto"/>
              <w:jc w:val="both"/>
              <w:rPr>
                <w:rFonts w:cs="Arial"/>
                <w:sz w:val="24"/>
                <w:szCs w:val="24"/>
              </w:rPr>
            </w:pPr>
            <w:r w:rsidRPr="0031449E">
              <w:rPr>
                <w:rFonts w:cs="Arial"/>
                <w:sz w:val="24"/>
                <w:szCs w:val="24"/>
              </w:rPr>
              <w:t>In the matter between:</w:t>
            </w:r>
          </w:p>
          <w:p w14:paraId="2B826316" w14:textId="2BE50376" w:rsidR="00A50C50" w:rsidRPr="0031449E" w:rsidRDefault="00A50C50" w:rsidP="00996B9B">
            <w:pPr>
              <w:pStyle w:val="Body"/>
              <w:spacing w:line="360" w:lineRule="auto"/>
              <w:jc w:val="both"/>
              <w:rPr>
                <w:rFonts w:cs="Arial"/>
                <w:sz w:val="24"/>
                <w:szCs w:val="24"/>
              </w:rPr>
            </w:pPr>
          </w:p>
        </w:tc>
        <w:tc>
          <w:tcPr>
            <w:tcW w:w="3263" w:type="dxa"/>
          </w:tcPr>
          <w:p w14:paraId="44200F0B" w14:textId="77777777" w:rsidR="00B50E11" w:rsidRPr="0031449E" w:rsidRDefault="00B50E11" w:rsidP="00996B9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63AABFB2" w14:textId="77777777" w:rsidTr="00A50C50">
        <w:trPr>
          <w:gridAfter w:val="1"/>
          <w:wAfter w:w="66" w:type="dxa"/>
          <w:trHeight w:val="685"/>
        </w:trPr>
        <w:tc>
          <w:tcPr>
            <w:tcW w:w="6300" w:type="dxa"/>
          </w:tcPr>
          <w:p w14:paraId="71A3553A" w14:textId="77777777" w:rsidR="007F7FED" w:rsidRPr="00C82502"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Arial"/>
                <w:b/>
                <w:bCs/>
                <w:sz w:val="24"/>
                <w:szCs w:val="24"/>
              </w:rPr>
            </w:pPr>
            <w:r w:rsidRPr="00C82502">
              <w:rPr>
                <w:rFonts w:cs="Arial"/>
                <w:b/>
                <w:bCs/>
                <w:sz w:val="24"/>
                <w:szCs w:val="24"/>
              </w:rPr>
              <w:t xml:space="preserve">WILLEM JACOBUS VENTER </w:t>
            </w:r>
            <w:r w:rsidR="00C82502" w:rsidRPr="00C82502">
              <w:rPr>
                <w:rFonts w:cs="Arial"/>
                <w:b/>
                <w:bCs/>
                <w:sz w:val="24"/>
                <w:szCs w:val="24"/>
              </w:rPr>
              <w:t>N.O</w:t>
            </w:r>
            <w:r w:rsidR="00C82502">
              <w:rPr>
                <w:rFonts w:cs="Arial"/>
                <w:b/>
                <w:bCs/>
                <w:sz w:val="24"/>
                <w:szCs w:val="24"/>
              </w:rPr>
              <w:t>.</w:t>
            </w:r>
          </w:p>
        </w:tc>
        <w:tc>
          <w:tcPr>
            <w:tcW w:w="3263" w:type="dxa"/>
          </w:tcPr>
          <w:p w14:paraId="22098E74" w14:textId="77777777" w:rsidR="00B50E11" w:rsidRPr="00341E97"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right"/>
              <w:rPr>
                <w:rFonts w:cs="Arial"/>
                <w:b/>
                <w:sz w:val="24"/>
                <w:szCs w:val="24"/>
              </w:rPr>
            </w:pPr>
            <w:r w:rsidRPr="00341E97">
              <w:rPr>
                <w:rFonts w:cs="Arial"/>
                <w:b/>
                <w:sz w:val="24"/>
                <w:szCs w:val="24"/>
              </w:rPr>
              <w:t xml:space="preserve"> FIRST </w:t>
            </w:r>
            <w:r w:rsidR="000218AC" w:rsidRPr="00341E97">
              <w:rPr>
                <w:rFonts w:cs="Arial"/>
                <w:b/>
                <w:sz w:val="24"/>
                <w:szCs w:val="24"/>
              </w:rPr>
              <w:t>APPLICANT</w:t>
            </w:r>
          </w:p>
        </w:tc>
      </w:tr>
      <w:tr w:rsidR="00F6399E" w:rsidRPr="0031449E" w14:paraId="6DB3FC06" w14:textId="77777777" w:rsidTr="00A50C50">
        <w:trPr>
          <w:gridAfter w:val="1"/>
          <w:wAfter w:w="66" w:type="dxa"/>
          <w:trHeight w:val="836"/>
        </w:trPr>
        <w:tc>
          <w:tcPr>
            <w:tcW w:w="6300" w:type="dxa"/>
          </w:tcPr>
          <w:p w14:paraId="2888FB6A" w14:textId="77777777" w:rsidR="00F6399E" w:rsidRPr="00C82502"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Arial"/>
                <w:b/>
                <w:bCs/>
                <w:sz w:val="24"/>
                <w:szCs w:val="24"/>
              </w:rPr>
            </w:pPr>
            <w:r w:rsidRPr="00C82502">
              <w:rPr>
                <w:rFonts w:cs="Arial"/>
                <w:b/>
                <w:bCs/>
                <w:sz w:val="24"/>
                <w:szCs w:val="24"/>
              </w:rPr>
              <w:t xml:space="preserve">KAREN VAN NIEKERK </w:t>
            </w:r>
            <w:r w:rsidR="00C82502" w:rsidRPr="00C82502">
              <w:rPr>
                <w:rFonts w:cs="Arial"/>
                <w:b/>
                <w:bCs/>
                <w:sz w:val="24"/>
                <w:szCs w:val="24"/>
              </w:rPr>
              <w:t>N.O</w:t>
            </w:r>
            <w:r w:rsidR="00C82502">
              <w:rPr>
                <w:rFonts w:cs="Arial"/>
                <w:b/>
                <w:bCs/>
                <w:sz w:val="24"/>
                <w:szCs w:val="24"/>
              </w:rPr>
              <w:t>.</w:t>
            </w:r>
          </w:p>
        </w:tc>
        <w:tc>
          <w:tcPr>
            <w:tcW w:w="3263" w:type="dxa"/>
          </w:tcPr>
          <w:p w14:paraId="2A21CCA1" w14:textId="77777777" w:rsidR="00F6399E" w:rsidRPr="00341E97"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right"/>
              <w:rPr>
                <w:rFonts w:cs="Arial"/>
                <w:b/>
                <w:sz w:val="24"/>
                <w:szCs w:val="24"/>
              </w:rPr>
            </w:pPr>
            <w:r w:rsidRPr="00341E97">
              <w:rPr>
                <w:rFonts w:cs="Arial"/>
                <w:b/>
                <w:sz w:val="24"/>
                <w:szCs w:val="24"/>
              </w:rPr>
              <w:t>SECOND APPLICANT</w:t>
            </w:r>
          </w:p>
        </w:tc>
      </w:tr>
      <w:tr w:rsidR="00F6399E" w:rsidRPr="0031449E" w14:paraId="7DC033F0" w14:textId="77777777" w:rsidTr="00A50C50">
        <w:trPr>
          <w:gridAfter w:val="1"/>
          <w:wAfter w:w="66" w:type="dxa"/>
          <w:trHeight w:val="847"/>
        </w:trPr>
        <w:tc>
          <w:tcPr>
            <w:tcW w:w="6300" w:type="dxa"/>
          </w:tcPr>
          <w:p w14:paraId="2CD87395" w14:textId="77777777" w:rsidR="00F6399E" w:rsidRPr="00C82502"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Arial"/>
                <w:b/>
                <w:bCs/>
                <w:sz w:val="24"/>
                <w:szCs w:val="24"/>
              </w:rPr>
            </w:pPr>
            <w:r w:rsidRPr="00C82502">
              <w:rPr>
                <w:rFonts w:cs="Arial"/>
                <w:b/>
                <w:bCs/>
                <w:sz w:val="24"/>
                <w:szCs w:val="24"/>
              </w:rPr>
              <w:t xml:space="preserve">KARINA ALETTA VAN NIEKERK </w:t>
            </w:r>
            <w:r w:rsidR="00C82502" w:rsidRPr="00C82502">
              <w:rPr>
                <w:rFonts w:cs="Arial"/>
                <w:b/>
                <w:bCs/>
                <w:sz w:val="24"/>
                <w:szCs w:val="24"/>
              </w:rPr>
              <w:t>N.O</w:t>
            </w:r>
            <w:r w:rsidR="00C82502">
              <w:rPr>
                <w:rFonts w:cs="Arial"/>
                <w:b/>
                <w:bCs/>
                <w:sz w:val="24"/>
                <w:szCs w:val="24"/>
              </w:rPr>
              <w:t>.</w:t>
            </w:r>
          </w:p>
        </w:tc>
        <w:tc>
          <w:tcPr>
            <w:tcW w:w="3263" w:type="dxa"/>
          </w:tcPr>
          <w:p w14:paraId="06D6E948" w14:textId="77777777" w:rsidR="00F6399E" w:rsidRPr="00341E97" w:rsidRDefault="00F6399E"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right"/>
              <w:rPr>
                <w:rFonts w:cs="Arial"/>
                <w:b/>
                <w:sz w:val="24"/>
                <w:szCs w:val="24"/>
              </w:rPr>
            </w:pPr>
            <w:r w:rsidRPr="00341E97">
              <w:rPr>
                <w:rFonts w:cs="Arial"/>
                <w:b/>
                <w:sz w:val="24"/>
                <w:szCs w:val="24"/>
              </w:rPr>
              <w:t>THIRD APPLICANT</w:t>
            </w:r>
          </w:p>
        </w:tc>
      </w:tr>
      <w:tr w:rsidR="00B50E11" w:rsidRPr="0031449E" w14:paraId="0361B77A" w14:textId="77777777" w:rsidTr="00A50C50">
        <w:trPr>
          <w:gridAfter w:val="1"/>
          <w:wAfter w:w="66" w:type="dxa"/>
          <w:trHeight w:val="690"/>
        </w:trPr>
        <w:tc>
          <w:tcPr>
            <w:tcW w:w="6300" w:type="dxa"/>
          </w:tcPr>
          <w:p w14:paraId="519574A6" w14:textId="77777777" w:rsidR="00B50E11" w:rsidRPr="00341E97" w:rsidRDefault="00416EA1" w:rsidP="003F404E">
            <w:pPr>
              <w:pStyle w:val="Body"/>
              <w:spacing w:line="360" w:lineRule="auto"/>
              <w:contextualSpacing/>
              <w:jc w:val="both"/>
              <w:rPr>
                <w:rFonts w:eastAsia="Tahoma" w:cs="Arial"/>
                <w:b/>
                <w:bCs/>
                <w:sz w:val="24"/>
                <w:szCs w:val="24"/>
              </w:rPr>
            </w:pPr>
            <w:r w:rsidRPr="00341E97">
              <w:rPr>
                <w:rFonts w:cs="Arial"/>
                <w:b/>
                <w:bCs/>
                <w:sz w:val="24"/>
                <w:szCs w:val="24"/>
              </w:rPr>
              <w:t>A</w:t>
            </w:r>
            <w:r w:rsidR="00B50E11" w:rsidRPr="00341E97">
              <w:rPr>
                <w:rFonts w:cs="Arial"/>
                <w:b/>
                <w:bCs/>
                <w:sz w:val="24"/>
                <w:szCs w:val="24"/>
              </w:rPr>
              <w:t>nd</w:t>
            </w:r>
          </w:p>
        </w:tc>
        <w:tc>
          <w:tcPr>
            <w:tcW w:w="3263" w:type="dxa"/>
          </w:tcPr>
          <w:p w14:paraId="6DA8E4E3" w14:textId="77777777" w:rsidR="00B50E11" w:rsidRPr="00C82502" w:rsidRDefault="00B50E11"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right"/>
              <w:rPr>
                <w:rFonts w:cs="Arial"/>
                <w:bCs/>
                <w:sz w:val="24"/>
                <w:szCs w:val="24"/>
              </w:rPr>
            </w:pPr>
          </w:p>
        </w:tc>
      </w:tr>
      <w:tr w:rsidR="00B50E11" w:rsidRPr="00341E97" w14:paraId="3C3E451D" w14:textId="77777777" w:rsidTr="00A50C50">
        <w:trPr>
          <w:gridAfter w:val="1"/>
          <w:wAfter w:w="66" w:type="dxa"/>
          <w:trHeight w:val="985"/>
        </w:trPr>
        <w:tc>
          <w:tcPr>
            <w:tcW w:w="6300" w:type="dxa"/>
          </w:tcPr>
          <w:p w14:paraId="56C88315" w14:textId="77777777" w:rsidR="00B50E11" w:rsidRPr="00DA7A8D" w:rsidRDefault="00F6399E"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right="-405"/>
              <w:contextualSpacing/>
              <w:jc w:val="both"/>
              <w:rPr>
                <w:rFonts w:cs="Arial"/>
                <w:b/>
                <w:bCs/>
                <w:sz w:val="24"/>
                <w:szCs w:val="24"/>
                <w:lang w:val="de-DE"/>
              </w:rPr>
            </w:pPr>
            <w:r>
              <w:rPr>
                <w:rFonts w:cs="Arial"/>
                <w:b/>
                <w:bCs/>
                <w:sz w:val="24"/>
                <w:szCs w:val="24"/>
                <w:lang w:val="de-DE"/>
              </w:rPr>
              <w:t>THE MASTER OF THE HIGH COURT, PRETORIA</w:t>
            </w:r>
          </w:p>
        </w:tc>
        <w:tc>
          <w:tcPr>
            <w:tcW w:w="3263" w:type="dxa"/>
          </w:tcPr>
          <w:p w14:paraId="6559AC92" w14:textId="77777777" w:rsidR="00B50E11" w:rsidRPr="00341E97" w:rsidRDefault="001F07DD"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contextualSpacing/>
              <w:jc w:val="right"/>
              <w:rPr>
                <w:rFonts w:cs="Arial"/>
                <w:b/>
                <w:sz w:val="24"/>
                <w:szCs w:val="24"/>
              </w:rPr>
            </w:pPr>
            <w:r w:rsidRPr="00341E97">
              <w:rPr>
                <w:rFonts w:cs="Arial"/>
                <w:b/>
                <w:sz w:val="24"/>
                <w:szCs w:val="24"/>
              </w:rPr>
              <w:t xml:space="preserve">FIRST </w:t>
            </w:r>
            <w:r w:rsidR="000218AC" w:rsidRPr="00341E97">
              <w:rPr>
                <w:rFonts w:cs="Arial"/>
                <w:b/>
                <w:sz w:val="24"/>
                <w:szCs w:val="24"/>
              </w:rPr>
              <w:t>RESPONDENT</w:t>
            </w:r>
          </w:p>
        </w:tc>
      </w:tr>
      <w:tr w:rsidR="0027008F" w:rsidRPr="00341E97" w14:paraId="27337B80" w14:textId="77777777" w:rsidTr="00A50C50">
        <w:trPr>
          <w:gridAfter w:val="1"/>
          <w:wAfter w:w="66" w:type="dxa"/>
        </w:trPr>
        <w:tc>
          <w:tcPr>
            <w:tcW w:w="6300" w:type="dxa"/>
          </w:tcPr>
          <w:p w14:paraId="3BEE4ED7" w14:textId="77777777" w:rsidR="0027008F" w:rsidRDefault="00F6399E"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contextualSpacing/>
              <w:jc w:val="both"/>
              <w:rPr>
                <w:rFonts w:cs="Arial"/>
                <w:b/>
                <w:bCs/>
                <w:sz w:val="24"/>
                <w:szCs w:val="24"/>
                <w:lang w:val="de-DE"/>
              </w:rPr>
            </w:pPr>
            <w:r>
              <w:rPr>
                <w:rFonts w:cs="Arial"/>
                <w:b/>
                <w:bCs/>
                <w:sz w:val="24"/>
                <w:szCs w:val="24"/>
                <w:lang w:val="de-DE"/>
              </w:rPr>
              <w:t>TIRHANI SITOS DE SITOS MATHEBULA N.O</w:t>
            </w:r>
          </w:p>
          <w:p w14:paraId="405357C3" w14:textId="77777777" w:rsidR="009447E3" w:rsidRDefault="009447E3"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contextualSpacing/>
              <w:jc w:val="both"/>
              <w:rPr>
                <w:rFonts w:cs="Arial"/>
                <w:b/>
                <w:bCs/>
                <w:sz w:val="24"/>
                <w:szCs w:val="24"/>
                <w:lang w:val="de-DE"/>
              </w:rPr>
            </w:pPr>
          </w:p>
        </w:tc>
        <w:tc>
          <w:tcPr>
            <w:tcW w:w="3263" w:type="dxa"/>
          </w:tcPr>
          <w:p w14:paraId="585A9C85" w14:textId="77777777" w:rsidR="0027008F" w:rsidRPr="00341E97" w:rsidRDefault="0027008F"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contextualSpacing/>
              <w:jc w:val="right"/>
              <w:rPr>
                <w:rFonts w:cs="Arial"/>
                <w:b/>
                <w:sz w:val="24"/>
                <w:szCs w:val="24"/>
              </w:rPr>
            </w:pPr>
            <w:r w:rsidRPr="00341E97">
              <w:rPr>
                <w:rFonts w:cs="Arial"/>
                <w:b/>
                <w:sz w:val="24"/>
                <w:szCs w:val="24"/>
              </w:rPr>
              <w:t>SECOND RESPONDENT</w:t>
            </w:r>
          </w:p>
        </w:tc>
      </w:tr>
      <w:tr w:rsidR="00F6399E" w:rsidRPr="00341E97" w14:paraId="37A78D63" w14:textId="77777777" w:rsidTr="00A50C50">
        <w:trPr>
          <w:gridAfter w:val="1"/>
          <w:wAfter w:w="66" w:type="dxa"/>
        </w:trPr>
        <w:tc>
          <w:tcPr>
            <w:tcW w:w="6300" w:type="dxa"/>
          </w:tcPr>
          <w:p w14:paraId="7D15A787" w14:textId="77777777" w:rsidR="00F6399E" w:rsidRDefault="00E7487B"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cs="Arial"/>
                <w:b/>
                <w:bCs/>
                <w:sz w:val="24"/>
                <w:szCs w:val="24"/>
                <w:lang w:val="de-DE"/>
              </w:rPr>
            </w:pPr>
            <w:r>
              <w:rPr>
                <w:rFonts w:cs="Arial"/>
                <w:b/>
                <w:bCs/>
                <w:sz w:val="24"/>
                <w:szCs w:val="24"/>
                <w:lang w:val="de-DE"/>
              </w:rPr>
              <w:t>LAILA ENVER MOTALA N.O</w:t>
            </w:r>
          </w:p>
          <w:p w14:paraId="42C8D191" w14:textId="77777777" w:rsidR="009447E3" w:rsidRDefault="009447E3"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cs="Arial"/>
                <w:b/>
                <w:bCs/>
                <w:sz w:val="24"/>
                <w:szCs w:val="24"/>
                <w:lang w:val="de-DE"/>
              </w:rPr>
            </w:pPr>
          </w:p>
        </w:tc>
        <w:tc>
          <w:tcPr>
            <w:tcW w:w="3263" w:type="dxa"/>
          </w:tcPr>
          <w:p w14:paraId="2D1C7454" w14:textId="77777777" w:rsidR="00E7487B" w:rsidRPr="00341E97" w:rsidRDefault="00E7487B"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cs="Arial"/>
                <w:b/>
                <w:sz w:val="24"/>
                <w:szCs w:val="24"/>
              </w:rPr>
            </w:pPr>
            <w:r w:rsidRPr="00341E97">
              <w:rPr>
                <w:rFonts w:cs="Arial"/>
                <w:b/>
                <w:sz w:val="24"/>
                <w:szCs w:val="24"/>
              </w:rPr>
              <w:t>THIRD RESPONDENT</w:t>
            </w:r>
          </w:p>
        </w:tc>
      </w:tr>
      <w:tr w:rsidR="00E7487B" w:rsidRPr="00341E97" w14:paraId="5546CCAC" w14:textId="77777777" w:rsidTr="00A50C50">
        <w:trPr>
          <w:gridAfter w:val="1"/>
          <w:wAfter w:w="66" w:type="dxa"/>
        </w:trPr>
        <w:tc>
          <w:tcPr>
            <w:tcW w:w="6300" w:type="dxa"/>
          </w:tcPr>
          <w:p w14:paraId="7B20892B" w14:textId="77777777" w:rsidR="00A50C50" w:rsidRDefault="00A50C50"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cs="Arial"/>
                <w:b/>
                <w:bCs/>
                <w:sz w:val="24"/>
                <w:szCs w:val="24"/>
                <w:lang w:val="de-DE"/>
              </w:rPr>
            </w:pPr>
          </w:p>
          <w:p w14:paraId="31E7E4C2" w14:textId="4E284D0B" w:rsidR="00E7487B" w:rsidRDefault="00E7487B"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cs="Arial"/>
                <w:b/>
                <w:bCs/>
                <w:sz w:val="24"/>
                <w:szCs w:val="24"/>
                <w:lang w:val="de-DE"/>
              </w:rPr>
            </w:pPr>
            <w:r>
              <w:rPr>
                <w:rFonts w:cs="Arial"/>
                <w:b/>
                <w:bCs/>
                <w:sz w:val="24"/>
                <w:szCs w:val="24"/>
                <w:lang w:val="de-DE"/>
              </w:rPr>
              <w:t>SOUTH AFRICAN RESTRUCTURING AND INSOLVENCY PRACTITIONERS ASSOCIATION NPC.</w:t>
            </w:r>
          </w:p>
          <w:p w14:paraId="283FBF7E" w14:textId="77777777" w:rsidR="009447E3" w:rsidRDefault="009447E3"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cs="Arial"/>
                <w:b/>
                <w:bCs/>
                <w:sz w:val="24"/>
                <w:szCs w:val="24"/>
                <w:lang w:val="de-DE"/>
              </w:rPr>
            </w:pPr>
          </w:p>
        </w:tc>
        <w:tc>
          <w:tcPr>
            <w:tcW w:w="3263" w:type="dxa"/>
          </w:tcPr>
          <w:p w14:paraId="39299710" w14:textId="77777777" w:rsidR="00A50C50" w:rsidRDefault="00A50C50"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cs="Arial"/>
                <w:b/>
                <w:sz w:val="24"/>
                <w:szCs w:val="24"/>
              </w:rPr>
            </w:pPr>
          </w:p>
          <w:p w14:paraId="30A21685" w14:textId="2A3B1F39" w:rsidR="00E7487B" w:rsidRPr="00341E97" w:rsidRDefault="00E7487B" w:rsidP="009447E3">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cs="Arial"/>
                <w:b/>
                <w:sz w:val="24"/>
                <w:szCs w:val="24"/>
              </w:rPr>
            </w:pPr>
            <w:r w:rsidRPr="00341E97">
              <w:rPr>
                <w:rFonts w:cs="Arial"/>
                <w:b/>
                <w:sz w:val="24"/>
                <w:szCs w:val="24"/>
              </w:rPr>
              <w:t>FOURTH RESPONDENT</w:t>
            </w:r>
          </w:p>
        </w:tc>
      </w:tr>
      <w:tr w:rsidR="00E7487B" w:rsidRPr="00341E97" w14:paraId="3B5784E6" w14:textId="77777777" w:rsidTr="00A50C50">
        <w:trPr>
          <w:gridAfter w:val="1"/>
          <w:wAfter w:w="66" w:type="dxa"/>
          <w:trHeight w:val="1045"/>
        </w:trPr>
        <w:tc>
          <w:tcPr>
            <w:tcW w:w="6300" w:type="dxa"/>
          </w:tcPr>
          <w:p w14:paraId="2477A6C5" w14:textId="77777777" w:rsidR="00E7487B" w:rsidRDefault="00E7487B" w:rsidP="003F40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r>
              <w:rPr>
                <w:rFonts w:cs="Arial"/>
                <w:b/>
                <w:bCs/>
                <w:sz w:val="24"/>
                <w:szCs w:val="24"/>
                <w:lang w:val="de-DE"/>
              </w:rPr>
              <w:t>MINISTER OF JUSTICE AND CONSTITUTIONAL DEVELOPMENT</w:t>
            </w:r>
          </w:p>
        </w:tc>
        <w:tc>
          <w:tcPr>
            <w:tcW w:w="3263" w:type="dxa"/>
          </w:tcPr>
          <w:p w14:paraId="127F5E76" w14:textId="77777777" w:rsidR="00E7487B" w:rsidRPr="00341E97" w:rsidRDefault="00E7487B" w:rsidP="00A50C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sidRPr="00341E97">
              <w:rPr>
                <w:rFonts w:cs="Arial"/>
                <w:b/>
                <w:sz w:val="24"/>
                <w:szCs w:val="24"/>
              </w:rPr>
              <w:t>FIFTH RESPONDENT</w:t>
            </w:r>
          </w:p>
        </w:tc>
      </w:tr>
      <w:tr w:rsidR="001D7244" w:rsidRPr="00217B1F" w14:paraId="42BD8563" w14:textId="77777777" w:rsidTr="001D7244">
        <w:trPr>
          <w:trHeight w:val="1045"/>
        </w:trPr>
        <w:tc>
          <w:tcPr>
            <w:tcW w:w="9629" w:type="dxa"/>
            <w:gridSpan w:val="3"/>
          </w:tcPr>
          <w:p w14:paraId="27922F97" w14:textId="77777777" w:rsidR="001D7244" w:rsidRPr="00217B1F"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14:paraId="16F5C8C8" w14:textId="77777777" w:rsidTr="00044032">
              <w:tc>
                <w:tcPr>
                  <w:tcW w:w="1790" w:type="dxa"/>
                </w:tcPr>
                <w:p w14:paraId="2E388B00"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Coram:</w:t>
                  </w:r>
                  <w:r w:rsidRPr="00217B1F">
                    <w:rPr>
                      <w:rFonts w:eastAsia="Times New Roman" w:cs="Arial"/>
                      <w:sz w:val="24"/>
                      <w:szCs w:val="24"/>
                      <w:lang w:val="en-ZA"/>
                    </w:rPr>
                    <w:t>          </w:t>
                  </w:r>
                </w:p>
              </w:tc>
              <w:tc>
                <w:tcPr>
                  <w:tcW w:w="7513" w:type="dxa"/>
                </w:tcPr>
                <w:p w14:paraId="4A393BFE" w14:textId="77777777" w:rsidR="001D7244" w:rsidRPr="00217B1F" w:rsidRDefault="001D7244" w:rsidP="00FA2702">
                  <w:pPr>
                    <w:tabs>
                      <w:tab w:val="left" w:pos="1417"/>
                    </w:tabs>
                    <w:spacing w:after="120" w:line="360" w:lineRule="atLeast"/>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10BF5392"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51F2984" w14:textId="77777777" w:rsidTr="00044032">
              <w:tc>
                <w:tcPr>
                  <w:tcW w:w="1790" w:type="dxa"/>
                </w:tcPr>
                <w:p w14:paraId="6E2451BB"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Heard on</w:t>
                  </w:r>
                  <w:r w:rsidRPr="00217B1F">
                    <w:rPr>
                      <w:rFonts w:eastAsia="Times New Roman" w:cs="Arial"/>
                      <w:sz w:val="24"/>
                      <w:szCs w:val="24"/>
                      <w:lang w:val="en-ZA"/>
                    </w:rPr>
                    <w:t>:      </w:t>
                  </w:r>
                </w:p>
              </w:tc>
              <w:tc>
                <w:tcPr>
                  <w:tcW w:w="7513" w:type="dxa"/>
                </w:tcPr>
                <w:p w14:paraId="0260722A" w14:textId="7D5D2116" w:rsidR="001D7244" w:rsidRPr="00217B1F" w:rsidRDefault="00044032" w:rsidP="00FA2702">
                  <w:pPr>
                    <w:spacing w:after="120" w:line="360" w:lineRule="atLeast"/>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12 September</w:t>
                  </w:r>
                  <w:r w:rsidR="00E7487B">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 xml:space="preserve">2022 </w:t>
                  </w:r>
                </w:p>
                <w:p w14:paraId="49087938"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F3F8897" w14:textId="77777777" w:rsidTr="00044032">
              <w:tc>
                <w:tcPr>
                  <w:tcW w:w="1790" w:type="dxa"/>
                </w:tcPr>
                <w:p w14:paraId="7788AB6E"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Delivered:</w:t>
                  </w:r>
                  <w:r>
                    <w:rPr>
                      <w:rFonts w:eastAsia="Times New Roman" w:cs="Arial"/>
                      <w:b/>
                      <w:bCs/>
                      <w:sz w:val="24"/>
                      <w:szCs w:val="24"/>
                      <w:lang w:val="en-ZA"/>
                    </w:rPr>
                    <w:t xml:space="preserve">   </w:t>
                  </w:r>
                </w:p>
              </w:tc>
              <w:tc>
                <w:tcPr>
                  <w:tcW w:w="7513" w:type="dxa"/>
                </w:tcPr>
                <w:p w14:paraId="51258C2D" w14:textId="55948AC9" w:rsidR="001D7244" w:rsidRPr="00217B1F" w:rsidRDefault="00110539" w:rsidP="00FA2702">
                  <w:pPr>
                    <w:tabs>
                      <w:tab w:val="left" w:pos="0"/>
                    </w:tabs>
                    <w:spacing w:after="120" w:line="360" w:lineRule="atLeast"/>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21</w:t>
                  </w:r>
                  <w:r w:rsidR="00044032">
                    <w:rPr>
                      <w:rFonts w:ascii="Arial" w:eastAsia="Times New Roman" w:hAnsi="Arial" w:cs="Arial"/>
                      <w:color w:val="000000"/>
                      <w:sz w:val="24"/>
                      <w:szCs w:val="24"/>
                      <w:lang w:val="en-ZA"/>
                    </w:rPr>
                    <w:t xml:space="preserve"> September</w:t>
                  </w:r>
                  <w:r w:rsidR="001D7244" w:rsidRPr="00217B1F">
                    <w:rPr>
                      <w:rFonts w:ascii="Arial" w:eastAsia="Times New Roman" w:hAnsi="Arial" w:cs="Arial"/>
                      <w:color w:val="000000"/>
                      <w:sz w:val="24"/>
                      <w:szCs w:val="24"/>
                      <w:lang w:val="en-ZA"/>
                    </w:rPr>
                    <w:t xml:space="preserve"> 2022</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SAFLII. The date and time for hand-down is deemed to be </w:t>
                  </w:r>
                  <w:r w:rsidR="00A554C6">
                    <w:rPr>
                      <w:rFonts w:ascii="Arial" w:eastAsia="Times New Roman" w:hAnsi="Arial" w:cs="Arial"/>
                      <w:color w:val="000000"/>
                      <w:sz w:val="24"/>
                      <w:szCs w:val="24"/>
                      <w:lang w:val="en-ZA"/>
                    </w:rPr>
                    <w:t>10</w:t>
                  </w:r>
                  <w:r w:rsidR="001D7244" w:rsidRPr="00217B1F">
                    <w:rPr>
                      <w:rFonts w:ascii="Arial" w:eastAsia="Times New Roman" w:hAnsi="Arial" w:cs="Arial"/>
                      <w:color w:val="000000"/>
                      <w:sz w:val="24"/>
                      <w:szCs w:val="24"/>
                      <w:lang w:val="en-ZA"/>
                    </w:rPr>
                    <w:t>H</w:t>
                  </w:r>
                  <w:r w:rsidR="00A554C6">
                    <w:rPr>
                      <w:rFonts w:ascii="Arial" w:eastAsia="Times New Roman" w:hAnsi="Arial" w:cs="Arial"/>
                      <w:color w:val="000000"/>
                      <w:sz w:val="24"/>
                      <w:szCs w:val="24"/>
                      <w:lang w:val="en-ZA"/>
                    </w:rPr>
                    <w:t>0</w:t>
                  </w:r>
                  <w:r>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21</w:t>
                  </w:r>
                  <w:r w:rsidR="00044032">
                    <w:rPr>
                      <w:rFonts w:ascii="Arial" w:eastAsia="Times New Roman" w:hAnsi="Arial" w:cs="Arial"/>
                      <w:color w:val="000000"/>
                      <w:sz w:val="24"/>
                      <w:szCs w:val="24"/>
                      <w:lang w:val="en-ZA"/>
                    </w:rPr>
                    <w:t xml:space="preserve"> September</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2022.</w:t>
                  </w:r>
                </w:p>
                <w:p w14:paraId="287F85DF"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5B93735C" w14:textId="77777777" w:rsidR="001D7244" w:rsidRPr="00217B1F"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7BB2EF31"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640C6FD8" w14:textId="77777777" w:rsidTr="00F25A36">
        <w:tc>
          <w:tcPr>
            <w:tcW w:w="9350" w:type="dxa"/>
          </w:tcPr>
          <w:p w14:paraId="1A8F2EE7"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02071064" w14:textId="77777777" w:rsidR="00B50E11" w:rsidRPr="0027341B"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4C2B8F0E" w14:textId="77777777" w:rsidR="00C519B2" w:rsidRDefault="00C519B2" w:rsidP="00B50E11">
      <w:pPr>
        <w:pStyle w:val="Body"/>
        <w:jc w:val="both"/>
        <w:rPr>
          <w:b/>
          <w:sz w:val="22"/>
          <w:szCs w:val="22"/>
        </w:rPr>
      </w:pPr>
    </w:p>
    <w:p w14:paraId="3E1BF7E8" w14:textId="1A52B993" w:rsidR="00996B9B" w:rsidRDefault="00B50E11" w:rsidP="009447E3">
      <w:pPr>
        <w:pStyle w:val="Body"/>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72A60EAC" w14:textId="77777777" w:rsidR="007B5BD6" w:rsidRDefault="007B5BD6" w:rsidP="009447E3">
      <w:pPr>
        <w:pStyle w:val="Body"/>
        <w:jc w:val="both"/>
        <w:rPr>
          <w:bCs/>
          <w:sz w:val="22"/>
          <w:szCs w:val="22"/>
        </w:rPr>
      </w:pPr>
    </w:p>
    <w:p w14:paraId="767C7410" w14:textId="0CE8F9F5" w:rsidR="00712652" w:rsidRPr="00A46C72" w:rsidRDefault="00821383" w:rsidP="00821383">
      <w:pPr>
        <w:pStyle w:val="Body"/>
        <w:spacing w:line="360" w:lineRule="auto"/>
        <w:ind w:left="851" w:hanging="851"/>
        <w:jc w:val="both"/>
        <w:rPr>
          <w:rFonts w:cs="Arial"/>
        </w:rPr>
      </w:pPr>
      <w:r w:rsidRPr="00A46C72">
        <w:rPr>
          <w:rFonts w:cs="Arial"/>
          <w:sz w:val="24"/>
          <w:szCs w:val="24"/>
        </w:rPr>
        <w:t>1.</w:t>
      </w:r>
      <w:r w:rsidRPr="00A46C72">
        <w:rPr>
          <w:rFonts w:cs="Arial"/>
          <w:sz w:val="24"/>
          <w:szCs w:val="24"/>
        </w:rPr>
        <w:tab/>
      </w:r>
      <w:r w:rsidR="00FE7C5E">
        <w:rPr>
          <w:bCs/>
          <w:sz w:val="24"/>
          <w:szCs w:val="24"/>
        </w:rPr>
        <w:t xml:space="preserve">On 8 August 2022 I handed down judgment </w:t>
      </w:r>
      <w:r w:rsidR="00110539">
        <w:rPr>
          <w:bCs/>
          <w:sz w:val="24"/>
          <w:szCs w:val="24"/>
        </w:rPr>
        <w:t xml:space="preserve">in which I </w:t>
      </w:r>
      <w:r w:rsidR="00FE7C5E">
        <w:rPr>
          <w:bCs/>
          <w:sz w:val="24"/>
          <w:szCs w:val="24"/>
        </w:rPr>
        <w:t xml:space="preserve">dismissed the application brought by the applicants together with punitive costs </w:t>
      </w:r>
      <w:r w:rsidR="00FE7C5E" w:rsidRPr="00A46C72">
        <w:rPr>
          <w:bCs/>
          <w:i/>
          <w:iCs/>
          <w:sz w:val="24"/>
          <w:szCs w:val="24"/>
        </w:rPr>
        <w:t>de bonis propriis</w:t>
      </w:r>
      <w:r w:rsidR="00FE7C5E">
        <w:rPr>
          <w:bCs/>
          <w:sz w:val="24"/>
          <w:szCs w:val="24"/>
        </w:rPr>
        <w:t xml:space="preserve">. It is against this </w:t>
      </w:r>
      <w:r w:rsidR="00A46C72">
        <w:rPr>
          <w:bCs/>
          <w:sz w:val="24"/>
          <w:szCs w:val="24"/>
        </w:rPr>
        <w:t xml:space="preserve">judgment that the applicants apply for leave to appeal – in respect of </w:t>
      </w:r>
      <w:r w:rsidR="00110539">
        <w:rPr>
          <w:bCs/>
          <w:sz w:val="24"/>
          <w:szCs w:val="24"/>
        </w:rPr>
        <w:t xml:space="preserve">both </w:t>
      </w:r>
      <w:r w:rsidR="00A46C72">
        <w:rPr>
          <w:bCs/>
          <w:sz w:val="24"/>
          <w:szCs w:val="24"/>
        </w:rPr>
        <w:t xml:space="preserve">the dismissal of the relief sought </w:t>
      </w:r>
      <w:r w:rsidR="00110539">
        <w:rPr>
          <w:bCs/>
          <w:sz w:val="24"/>
          <w:szCs w:val="24"/>
        </w:rPr>
        <w:t>(</w:t>
      </w:r>
      <w:r w:rsidR="00A46C72">
        <w:rPr>
          <w:bCs/>
          <w:sz w:val="24"/>
          <w:szCs w:val="24"/>
        </w:rPr>
        <w:t>ostensibly for the benefit of the creditors</w:t>
      </w:r>
      <w:r w:rsidR="00110539">
        <w:rPr>
          <w:bCs/>
          <w:sz w:val="24"/>
          <w:szCs w:val="24"/>
        </w:rPr>
        <w:t>)</w:t>
      </w:r>
      <w:r w:rsidR="00A46C72">
        <w:rPr>
          <w:bCs/>
          <w:sz w:val="24"/>
          <w:szCs w:val="24"/>
        </w:rPr>
        <w:t xml:space="preserve"> and </w:t>
      </w:r>
      <w:r w:rsidR="007B5BD6">
        <w:rPr>
          <w:bCs/>
          <w:sz w:val="24"/>
          <w:szCs w:val="24"/>
        </w:rPr>
        <w:t xml:space="preserve">also </w:t>
      </w:r>
      <w:r w:rsidR="00A46C72">
        <w:rPr>
          <w:bCs/>
          <w:sz w:val="24"/>
          <w:szCs w:val="24"/>
        </w:rPr>
        <w:t>in respect of the cost’s orders.</w:t>
      </w:r>
    </w:p>
    <w:p w14:paraId="5B54A1B9" w14:textId="0B9513FD" w:rsidR="00A46C72" w:rsidRDefault="00A46C72" w:rsidP="00A46C72">
      <w:pPr>
        <w:pStyle w:val="Body"/>
        <w:spacing w:line="360" w:lineRule="auto"/>
        <w:ind w:left="851"/>
        <w:jc w:val="both"/>
        <w:rPr>
          <w:rFonts w:cs="Arial"/>
        </w:rPr>
      </w:pPr>
    </w:p>
    <w:p w14:paraId="712C75D9" w14:textId="51B1F4BA" w:rsidR="00A50C50" w:rsidRDefault="00A50C50" w:rsidP="00A46C72">
      <w:pPr>
        <w:pStyle w:val="Body"/>
        <w:spacing w:line="360" w:lineRule="auto"/>
        <w:ind w:left="851"/>
        <w:jc w:val="both"/>
        <w:rPr>
          <w:rFonts w:cs="Arial"/>
        </w:rPr>
      </w:pPr>
    </w:p>
    <w:p w14:paraId="330656D1" w14:textId="77777777" w:rsidR="00A50C50" w:rsidRPr="00A46C72" w:rsidRDefault="00A50C50" w:rsidP="00A46C72">
      <w:pPr>
        <w:pStyle w:val="Body"/>
        <w:spacing w:line="360" w:lineRule="auto"/>
        <w:ind w:left="851"/>
        <w:jc w:val="both"/>
        <w:rPr>
          <w:rFonts w:cs="Arial"/>
        </w:rPr>
      </w:pPr>
    </w:p>
    <w:p w14:paraId="6B2E184F" w14:textId="0D40E049" w:rsidR="00170D43" w:rsidRPr="00A50C50" w:rsidRDefault="00821383" w:rsidP="00821383">
      <w:pPr>
        <w:pStyle w:val="Body"/>
        <w:spacing w:line="360" w:lineRule="auto"/>
        <w:ind w:left="851" w:hanging="851"/>
        <w:jc w:val="both"/>
        <w:rPr>
          <w:rFonts w:cs="Arial"/>
        </w:rPr>
      </w:pPr>
      <w:r w:rsidRPr="00A50C50">
        <w:rPr>
          <w:rFonts w:cs="Arial"/>
          <w:sz w:val="24"/>
          <w:szCs w:val="24"/>
        </w:rPr>
        <w:t>2.</w:t>
      </w:r>
      <w:r w:rsidRPr="00A50C50">
        <w:rPr>
          <w:rFonts w:cs="Arial"/>
          <w:sz w:val="24"/>
          <w:szCs w:val="24"/>
        </w:rPr>
        <w:tab/>
      </w:r>
      <w:r w:rsidR="00A46C72">
        <w:rPr>
          <w:bCs/>
          <w:sz w:val="24"/>
          <w:szCs w:val="24"/>
        </w:rPr>
        <w:t>In the present application, the applicants in their respective capacities as liquidators of Finalmente Global (Pty) LTD (in liquidation) were represented by</w:t>
      </w:r>
      <w:r w:rsidR="00A50C50">
        <w:rPr>
          <w:rFonts w:cs="Arial"/>
        </w:rPr>
        <w:t xml:space="preserve"> </w:t>
      </w:r>
      <w:r w:rsidR="00A46C72" w:rsidRPr="00A50C50">
        <w:rPr>
          <w:bCs/>
          <w:sz w:val="24"/>
          <w:szCs w:val="24"/>
        </w:rPr>
        <w:t>the same legal representatives who appeared initially. In their personal capacities and in respect of the costs order</w:t>
      </w:r>
      <w:r w:rsidR="0051359C" w:rsidRPr="00A50C50">
        <w:rPr>
          <w:bCs/>
          <w:sz w:val="24"/>
          <w:szCs w:val="24"/>
        </w:rPr>
        <w:t>, they appointed a different representative.</w:t>
      </w:r>
    </w:p>
    <w:p w14:paraId="62677978" w14:textId="77777777" w:rsidR="00170D43" w:rsidRDefault="00170D43" w:rsidP="00170D43">
      <w:pPr>
        <w:pStyle w:val="ListParagraph"/>
        <w:rPr>
          <w:rFonts w:cs="Arial"/>
        </w:rPr>
      </w:pPr>
    </w:p>
    <w:p w14:paraId="3D903A94" w14:textId="12922FCF" w:rsidR="00170D43" w:rsidRDefault="00821383" w:rsidP="00821383">
      <w:pPr>
        <w:pStyle w:val="Body"/>
        <w:spacing w:line="360" w:lineRule="auto"/>
        <w:ind w:left="851" w:hanging="851"/>
        <w:jc w:val="both"/>
        <w:rPr>
          <w:rFonts w:cs="Arial"/>
        </w:rPr>
      </w:pPr>
      <w:r>
        <w:rPr>
          <w:rFonts w:cs="Arial"/>
          <w:sz w:val="24"/>
          <w:szCs w:val="24"/>
        </w:rPr>
        <w:t>3.</w:t>
      </w:r>
      <w:r>
        <w:rPr>
          <w:rFonts w:cs="Arial"/>
          <w:sz w:val="24"/>
          <w:szCs w:val="24"/>
        </w:rPr>
        <w:tab/>
      </w:r>
      <w:r w:rsidR="00170D43" w:rsidRPr="00170D43">
        <w:rPr>
          <w:rFonts w:cs="Arial"/>
          <w:sz w:val="24"/>
          <w:szCs w:val="24"/>
        </w:rPr>
        <w:t xml:space="preserve">The test for the granting of leave to appeal is set out in S 17(1) of the Superior   Courts Act </w:t>
      </w:r>
      <w:r w:rsidR="00170D43">
        <w:rPr>
          <w:rStyle w:val="FootnoteReference"/>
          <w:rFonts w:cs="Arial"/>
          <w:sz w:val="24"/>
          <w:szCs w:val="24"/>
        </w:rPr>
        <w:footnoteReference w:id="1"/>
      </w:r>
      <w:r w:rsidR="00170D43" w:rsidRPr="00170D43">
        <w:rPr>
          <w:rFonts w:cs="Arial"/>
          <w:sz w:val="24"/>
          <w:szCs w:val="24"/>
        </w:rPr>
        <w:t xml:space="preserve"> :</w:t>
      </w:r>
    </w:p>
    <w:p w14:paraId="66E89C74" w14:textId="77777777" w:rsidR="00A50C50" w:rsidRPr="00A50C50" w:rsidRDefault="00A50C50" w:rsidP="00A50C50">
      <w:pPr>
        <w:pStyle w:val="Body"/>
        <w:spacing w:line="360" w:lineRule="auto"/>
        <w:ind w:left="851"/>
        <w:jc w:val="both"/>
        <w:rPr>
          <w:rFonts w:cs="Arial"/>
        </w:rPr>
      </w:pPr>
    </w:p>
    <w:p w14:paraId="3EF1B842" w14:textId="759859C4" w:rsidR="00170D43" w:rsidRPr="00A50C50" w:rsidRDefault="00170D43" w:rsidP="00A50C50">
      <w:pPr>
        <w:autoSpaceDE w:val="0"/>
        <w:autoSpaceDN w:val="0"/>
        <w:adjustRightInd w:val="0"/>
        <w:spacing w:before="120" w:after="120" w:line="480" w:lineRule="auto"/>
        <w:ind w:left="900" w:right="136"/>
        <w:jc w:val="both"/>
        <w:rPr>
          <w:rFonts w:ascii="Arial" w:hAnsi="Arial" w:cs="Arial"/>
          <w:i/>
          <w:sz w:val="22"/>
          <w:szCs w:val="22"/>
        </w:rPr>
      </w:pPr>
      <w:r w:rsidRPr="00A50C50">
        <w:rPr>
          <w:rFonts w:ascii="Arial" w:hAnsi="Arial" w:cs="Arial"/>
          <w:i/>
          <w:sz w:val="22"/>
          <w:szCs w:val="22"/>
        </w:rPr>
        <w:t>“Leave to appeal may only be given where the judge or judges concerned are of the opinion that –</w:t>
      </w:r>
    </w:p>
    <w:p w14:paraId="7CFB6F20" w14:textId="5FD1E6DA" w:rsidR="00170D43" w:rsidRPr="00821383" w:rsidRDefault="00821383" w:rsidP="00821383">
      <w:pPr>
        <w:tabs>
          <w:tab w:val="center" w:pos="1440"/>
          <w:tab w:val="center" w:pos="1980"/>
        </w:tabs>
        <w:autoSpaceDE w:val="0"/>
        <w:autoSpaceDN w:val="0"/>
        <w:adjustRightInd w:val="0"/>
        <w:spacing w:before="120" w:after="120" w:line="480" w:lineRule="auto"/>
        <w:ind w:left="1440" w:right="136" w:hanging="540"/>
        <w:jc w:val="both"/>
        <w:rPr>
          <w:rFonts w:ascii="Arial" w:hAnsi="Arial" w:cs="Arial"/>
          <w:i/>
          <w:sz w:val="22"/>
          <w:szCs w:val="22"/>
        </w:rPr>
      </w:pPr>
      <w:r w:rsidRPr="00A50C50">
        <w:rPr>
          <w:rFonts w:ascii="Arial" w:hAnsi="Arial" w:cs="Arial"/>
          <w:i/>
          <w:sz w:val="22"/>
          <w:szCs w:val="22"/>
        </w:rPr>
        <w:t>(a)</w:t>
      </w:r>
      <w:r w:rsidRPr="00A50C50">
        <w:rPr>
          <w:rFonts w:ascii="Arial" w:hAnsi="Arial" w:cs="Arial"/>
          <w:i/>
          <w:sz w:val="22"/>
          <w:szCs w:val="22"/>
        </w:rPr>
        <w:tab/>
      </w:r>
      <w:r w:rsidR="00170D43" w:rsidRPr="00821383">
        <w:rPr>
          <w:rFonts w:ascii="Arial" w:hAnsi="Arial" w:cs="Arial"/>
          <w:i/>
          <w:sz w:val="22"/>
          <w:szCs w:val="22"/>
        </w:rPr>
        <w:t xml:space="preserve">(i) </w:t>
      </w:r>
      <w:r w:rsidR="00170D43" w:rsidRPr="00821383">
        <w:rPr>
          <w:rFonts w:ascii="Arial" w:hAnsi="Arial" w:cs="Arial"/>
          <w:i/>
          <w:sz w:val="22"/>
          <w:szCs w:val="22"/>
        </w:rPr>
        <w:tab/>
      </w:r>
      <w:r w:rsidR="00170D43" w:rsidRPr="00821383">
        <w:rPr>
          <w:rFonts w:ascii="Arial" w:hAnsi="Arial" w:cs="Arial"/>
          <w:i/>
          <w:sz w:val="22"/>
          <w:szCs w:val="22"/>
        </w:rPr>
        <w:tab/>
        <w:t>the appeal would have a reasonable prospect of success; or</w:t>
      </w:r>
    </w:p>
    <w:p w14:paraId="54E324D2" w14:textId="738CAD6C" w:rsidR="00170D43" w:rsidRPr="00A50C50" w:rsidRDefault="00170D43" w:rsidP="00A50C50">
      <w:pPr>
        <w:pStyle w:val="ListParagraph"/>
        <w:tabs>
          <w:tab w:val="center" w:pos="1440"/>
          <w:tab w:val="center" w:pos="2070"/>
        </w:tabs>
        <w:autoSpaceDE w:val="0"/>
        <w:autoSpaceDN w:val="0"/>
        <w:adjustRightInd w:val="0"/>
        <w:spacing w:before="120" w:after="120" w:line="480" w:lineRule="auto"/>
        <w:ind w:left="2070" w:right="136" w:hanging="630"/>
        <w:jc w:val="both"/>
        <w:rPr>
          <w:rFonts w:ascii="Arial" w:hAnsi="Arial" w:cs="Arial"/>
          <w:iCs/>
          <w:sz w:val="22"/>
          <w:szCs w:val="22"/>
        </w:rPr>
      </w:pPr>
      <w:r w:rsidRPr="00A50C50">
        <w:rPr>
          <w:rFonts w:ascii="Arial" w:hAnsi="Arial" w:cs="Arial"/>
          <w:i/>
          <w:sz w:val="22"/>
          <w:szCs w:val="22"/>
        </w:rPr>
        <w:t xml:space="preserve">(ii) </w:t>
      </w:r>
      <w:r w:rsidRPr="00A50C50">
        <w:rPr>
          <w:rFonts w:ascii="Arial" w:hAnsi="Arial" w:cs="Arial"/>
          <w:i/>
          <w:sz w:val="22"/>
          <w:szCs w:val="22"/>
        </w:rPr>
        <w:tab/>
      </w:r>
      <w:r w:rsidRPr="00A50C50">
        <w:rPr>
          <w:rFonts w:ascii="Arial" w:hAnsi="Arial" w:cs="Arial"/>
          <w:i/>
          <w:sz w:val="22"/>
          <w:szCs w:val="22"/>
        </w:rPr>
        <w:tab/>
        <w:t>there is some other compelling reason why the appeal should be heard, including conflicting judgments on the matter under consideration.”</w:t>
      </w:r>
    </w:p>
    <w:p w14:paraId="2908726B" w14:textId="77777777" w:rsidR="00170D43" w:rsidRDefault="00170D43" w:rsidP="00170D43">
      <w:pPr>
        <w:pStyle w:val="Body"/>
        <w:jc w:val="both"/>
        <w:rPr>
          <w:rFonts w:cs="Arial"/>
          <w:sz w:val="24"/>
          <w:szCs w:val="24"/>
        </w:rPr>
      </w:pPr>
    </w:p>
    <w:p w14:paraId="4CADFEE6" w14:textId="0B8ED5E1" w:rsidR="00A61D39" w:rsidRDefault="00821383" w:rsidP="00821383">
      <w:pPr>
        <w:pStyle w:val="Body"/>
        <w:spacing w:line="360" w:lineRule="auto"/>
        <w:ind w:left="851" w:hanging="851"/>
        <w:jc w:val="both"/>
        <w:rPr>
          <w:rFonts w:cs="Arial"/>
          <w:sz w:val="24"/>
          <w:szCs w:val="24"/>
        </w:rPr>
      </w:pPr>
      <w:r>
        <w:rPr>
          <w:rFonts w:cs="Arial"/>
          <w:sz w:val="24"/>
          <w:szCs w:val="24"/>
        </w:rPr>
        <w:t>4.</w:t>
      </w:r>
      <w:r>
        <w:rPr>
          <w:rFonts w:cs="Arial"/>
          <w:sz w:val="24"/>
          <w:szCs w:val="24"/>
        </w:rPr>
        <w:tab/>
      </w:r>
      <w:r w:rsidR="00110539" w:rsidRPr="00A50C50">
        <w:rPr>
          <w:rFonts w:cs="Arial"/>
          <w:sz w:val="24"/>
          <w:szCs w:val="24"/>
        </w:rPr>
        <w:t xml:space="preserve">In respect of the application for leave to appeal against the dismissal of the application, the applicants raised as grounds a challenge to every finding made in the judgment. The argument </w:t>
      </w:r>
      <w:r w:rsidR="008B1922" w:rsidRPr="00A50C50">
        <w:rPr>
          <w:rFonts w:cs="Arial"/>
          <w:sz w:val="24"/>
          <w:szCs w:val="24"/>
        </w:rPr>
        <w:t xml:space="preserve">on this aspect </w:t>
      </w:r>
      <w:r w:rsidR="00110539" w:rsidRPr="00A50C50">
        <w:rPr>
          <w:rFonts w:cs="Arial"/>
          <w:sz w:val="24"/>
          <w:szCs w:val="24"/>
        </w:rPr>
        <w:t xml:space="preserve">was </w:t>
      </w:r>
      <w:r w:rsidR="00A9025B" w:rsidRPr="00A50C50">
        <w:rPr>
          <w:rFonts w:cs="Arial"/>
          <w:sz w:val="24"/>
          <w:szCs w:val="24"/>
        </w:rPr>
        <w:t xml:space="preserve">essentially </w:t>
      </w:r>
      <w:r w:rsidR="00110539" w:rsidRPr="00A50C50">
        <w:rPr>
          <w:rFonts w:cs="Arial"/>
          <w:sz w:val="24"/>
          <w:szCs w:val="24"/>
        </w:rPr>
        <w:t>a re-presentation of that which</w:t>
      </w:r>
      <w:r w:rsidR="00A9025B" w:rsidRPr="00A50C50">
        <w:rPr>
          <w:rFonts w:cs="Arial"/>
          <w:sz w:val="24"/>
          <w:szCs w:val="24"/>
        </w:rPr>
        <w:t xml:space="preserve"> was advanced during the hearing</w:t>
      </w:r>
      <w:r w:rsidR="008B1922" w:rsidRPr="00A50C50">
        <w:rPr>
          <w:rFonts w:cs="Arial"/>
          <w:sz w:val="24"/>
          <w:szCs w:val="24"/>
        </w:rPr>
        <w:t xml:space="preserve"> and which was dealt with in the judgment. </w:t>
      </w:r>
    </w:p>
    <w:p w14:paraId="27D24B56" w14:textId="77777777" w:rsidR="00A50C50" w:rsidRPr="00A50C50" w:rsidRDefault="00A50C50" w:rsidP="00A50C50">
      <w:pPr>
        <w:pStyle w:val="Body"/>
        <w:spacing w:line="360" w:lineRule="auto"/>
        <w:ind w:left="851"/>
        <w:jc w:val="both"/>
        <w:rPr>
          <w:rFonts w:cs="Arial"/>
          <w:sz w:val="24"/>
          <w:szCs w:val="24"/>
        </w:rPr>
      </w:pPr>
    </w:p>
    <w:p w14:paraId="0C9F9246" w14:textId="15237010" w:rsidR="008B1922" w:rsidRDefault="00821383" w:rsidP="00821383">
      <w:pPr>
        <w:pStyle w:val="Body"/>
        <w:spacing w:line="360" w:lineRule="auto"/>
        <w:ind w:left="851" w:hanging="851"/>
        <w:jc w:val="both"/>
        <w:rPr>
          <w:rFonts w:cs="Arial"/>
          <w:sz w:val="24"/>
          <w:szCs w:val="24"/>
        </w:rPr>
      </w:pPr>
      <w:r>
        <w:rPr>
          <w:rFonts w:cs="Arial"/>
          <w:sz w:val="24"/>
          <w:szCs w:val="24"/>
        </w:rPr>
        <w:t>5.</w:t>
      </w:r>
      <w:r>
        <w:rPr>
          <w:rFonts w:cs="Arial"/>
          <w:sz w:val="24"/>
          <w:szCs w:val="24"/>
        </w:rPr>
        <w:tab/>
      </w:r>
      <w:r w:rsidR="00A61D39" w:rsidRPr="00A50C50">
        <w:rPr>
          <w:rFonts w:cs="Arial"/>
          <w:sz w:val="24"/>
          <w:szCs w:val="24"/>
        </w:rPr>
        <w:t xml:space="preserve">In regard to the costs order, the basis upon which it was advanced was that during the hearing, and in reply, I </w:t>
      </w:r>
      <w:r w:rsidR="008B1922" w:rsidRPr="00A50C50">
        <w:rPr>
          <w:rFonts w:cs="Arial"/>
          <w:sz w:val="24"/>
          <w:szCs w:val="24"/>
        </w:rPr>
        <w:t>did</w:t>
      </w:r>
      <w:r w:rsidR="00A61D39" w:rsidRPr="00A50C50">
        <w:rPr>
          <w:rFonts w:cs="Arial"/>
          <w:sz w:val="24"/>
          <w:szCs w:val="24"/>
        </w:rPr>
        <w:t xml:space="preserve"> not afford counsel an opportunity to deal at all with this aspect. It is so that I did not afford counsel the opportunity. </w:t>
      </w:r>
    </w:p>
    <w:p w14:paraId="3DCE7C01" w14:textId="77777777" w:rsidR="00A50C50" w:rsidRPr="00A50C50" w:rsidRDefault="00A50C50" w:rsidP="00A50C50">
      <w:pPr>
        <w:pStyle w:val="Body"/>
        <w:spacing w:line="360" w:lineRule="auto"/>
        <w:jc w:val="both"/>
        <w:rPr>
          <w:rFonts w:cs="Arial"/>
          <w:sz w:val="24"/>
          <w:szCs w:val="24"/>
        </w:rPr>
      </w:pPr>
    </w:p>
    <w:p w14:paraId="7F64FF1B" w14:textId="6FBBDD3D" w:rsidR="00A50C50" w:rsidRDefault="00821383" w:rsidP="00821383">
      <w:pPr>
        <w:pStyle w:val="Body"/>
        <w:spacing w:line="360" w:lineRule="auto"/>
        <w:ind w:left="851" w:hanging="851"/>
        <w:jc w:val="both"/>
        <w:rPr>
          <w:rFonts w:cs="Arial"/>
          <w:sz w:val="24"/>
          <w:szCs w:val="24"/>
        </w:rPr>
      </w:pPr>
      <w:r>
        <w:rPr>
          <w:rFonts w:cs="Arial"/>
          <w:sz w:val="24"/>
          <w:szCs w:val="24"/>
        </w:rPr>
        <w:t>6.</w:t>
      </w:r>
      <w:r>
        <w:rPr>
          <w:rFonts w:cs="Arial"/>
          <w:sz w:val="24"/>
          <w:szCs w:val="24"/>
        </w:rPr>
        <w:tab/>
      </w:r>
      <w:r w:rsidR="00A61D39" w:rsidRPr="00A50C50">
        <w:rPr>
          <w:rFonts w:cs="Arial"/>
          <w:sz w:val="24"/>
          <w:szCs w:val="24"/>
        </w:rPr>
        <w:t xml:space="preserve">Does this, having regard to the particular circumstances of the matter amount to a </w:t>
      </w:r>
      <w:r w:rsidR="009A72B3" w:rsidRPr="00A50C50">
        <w:rPr>
          <w:rFonts w:cs="Arial"/>
          <w:sz w:val="24"/>
          <w:szCs w:val="24"/>
        </w:rPr>
        <w:t>failure to afford the applicants their right to be heard? If it does then so the</w:t>
      </w:r>
    </w:p>
    <w:p w14:paraId="609BAD5C" w14:textId="77777777" w:rsidR="00A50C50" w:rsidRDefault="00A50C50" w:rsidP="00A50C50">
      <w:pPr>
        <w:pStyle w:val="ListParagraph"/>
        <w:rPr>
          <w:rFonts w:cs="Arial"/>
        </w:rPr>
      </w:pPr>
    </w:p>
    <w:p w14:paraId="4878F381" w14:textId="77777777" w:rsidR="00A50C50" w:rsidRDefault="00A50C50" w:rsidP="00A50C50">
      <w:pPr>
        <w:pStyle w:val="Body"/>
        <w:spacing w:line="360" w:lineRule="auto"/>
        <w:ind w:left="851"/>
        <w:jc w:val="both"/>
        <w:rPr>
          <w:rFonts w:cs="Arial"/>
          <w:sz w:val="24"/>
          <w:szCs w:val="24"/>
        </w:rPr>
      </w:pPr>
    </w:p>
    <w:p w14:paraId="3E32333B" w14:textId="77777777" w:rsidR="00A50C50" w:rsidRDefault="00A50C50" w:rsidP="00A50C50">
      <w:pPr>
        <w:pStyle w:val="Body"/>
        <w:spacing w:line="360" w:lineRule="auto"/>
        <w:ind w:left="851"/>
        <w:jc w:val="both"/>
        <w:rPr>
          <w:rFonts w:cs="Arial"/>
          <w:sz w:val="24"/>
          <w:szCs w:val="24"/>
        </w:rPr>
      </w:pPr>
    </w:p>
    <w:p w14:paraId="1C3AC1AC" w14:textId="26E44636" w:rsidR="0051359C" w:rsidRPr="00A50C50" w:rsidRDefault="009A72B3" w:rsidP="00A50C50">
      <w:pPr>
        <w:pStyle w:val="Body"/>
        <w:spacing w:line="360" w:lineRule="auto"/>
        <w:ind w:left="851"/>
        <w:jc w:val="both"/>
        <w:rPr>
          <w:rFonts w:cs="Arial"/>
          <w:sz w:val="24"/>
          <w:szCs w:val="24"/>
        </w:rPr>
      </w:pPr>
      <w:r w:rsidRPr="00A50C50">
        <w:rPr>
          <w:rFonts w:cs="Arial"/>
          <w:sz w:val="24"/>
          <w:szCs w:val="24"/>
        </w:rPr>
        <w:t>argument went, leave to appeal to the full court of this division should be granted on the question of the costs as a separate</w:t>
      </w:r>
      <w:r w:rsidR="008B1922" w:rsidRPr="00A50C50">
        <w:rPr>
          <w:rFonts w:cs="Arial"/>
          <w:sz w:val="24"/>
          <w:szCs w:val="24"/>
        </w:rPr>
        <w:t xml:space="preserve"> issue.</w:t>
      </w:r>
    </w:p>
    <w:p w14:paraId="07CA58CC" w14:textId="77777777" w:rsidR="00A50C50" w:rsidRPr="00712652" w:rsidRDefault="00A50C50" w:rsidP="00A50C50">
      <w:pPr>
        <w:pStyle w:val="Body"/>
        <w:spacing w:line="360" w:lineRule="auto"/>
        <w:jc w:val="both"/>
        <w:rPr>
          <w:rFonts w:cs="Arial"/>
        </w:rPr>
      </w:pPr>
    </w:p>
    <w:p w14:paraId="1F7D7EC7" w14:textId="6EB6A3EE" w:rsidR="00712652" w:rsidRPr="00821383" w:rsidRDefault="00821383" w:rsidP="00821383">
      <w:pPr>
        <w:autoSpaceDE w:val="0"/>
        <w:autoSpaceDN w:val="0"/>
        <w:adjustRightInd w:val="0"/>
        <w:spacing w:line="360" w:lineRule="auto"/>
        <w:ind w:left="851" w:right="4" w:hanging="851"/>
        <w:jc w:val="both"/>
        <w:rPr>
          <w:rFonts w:ascii="Arial" w:hAnsi="Arial" w:cs="Arial"/>
          <w:i/>
          <w:iCs/>
          <w:sz w:val="22"/>
          <w:szCs w:val="22"/>
        </w:rPr>
      </w:pPr>
      <w:r w:rsidRPr="00A50C50">
        <w:rPr>
          <w:rFonts w:ascii="Arial" w:hAnsi="Arial" w:cs="Arial"/>
          <w:i/>
          <w:iCs/>
        </w:rPr>
        <w:t>7.</w:t>
      </w:r>
      <w:r w:rsidRPr="00A50C50">
        <w:rPr>
          <w:rFonts w:ascii="Arial" w:hAnsi="Arial" w:cs="Arial"/>
          <w:i/>
          <w:iCs/>
        </w:rPr>
        <w:tab/>
      </w:r>
      <w:r w:rsidR="008B1922" w:rsidRPr="00821383">
        <w:rPr>
          <w:rFonts w:ascii="Arial" w:hAnsi="Arial" w:cs="Arial"/>
        </w:rPr>
        <w:t xml:space="preserve">In the judgment I found that </w:t>
      </w:r>
      <w:r w:rsidR="0051359C" w:rsidRPr="00821383">
        <w:rPr>
          <w:rFonts w:ascii="Arial" w:hAnsi="Arial" w:cs="Arial"/>
          <w:i/>
          <w:iCs/>
          <w:sz w:val="22"/>
          <w:szCs w:val="22"/>
        </w:rPr>
        <w:t>“</w:t>
      </w:r>
      <w:r w:rsidR="00712652" w:rsidRPr="00821383">
        <w:rPr>
          <w:rFonts w:ascii="Arial" w:hAnsi="Arial" w:cs="Arial"/>
          <w:i/>
          <w:iCs/>
          <w:sz w:val="22"/>
          <w:szCs w:val="22"/>
        </w:rPr>
        <w:t>The present application was actuated by self-interest and the applicants sought to impugn the appointment of the second and third respondents, primarily in raising the exercise of the Master’s discretion in the absence of a policy, when they themselves had been beneficiaries of such exercise but also in respect of the third respondent by making scandalous and irrelevant allegations in the replying affidavit. Although such allegations were struck out at the commencement of the proceedings with no opposition to the application to do so from the applicants, the fact that such allegations were made is indicative of the desire to prevent the appointment of any further co-liquidators and in particular the third respondent.</w:t>
      </w:r>
    </w:p>
    <w:p w14:paraId="2C75609A" w14:textId="77777777" w:rsidR="00712652" w:rsidRPr="00A50C50" w:rsidRDefault="00712652" w:rsidP="00A50C50">
      <w:pPr>
        <w:pStyle w:val="ListParagraph"/>
        <w:ind w:left="851" w:right="4" w:hanging="851"/>
        <w:jc w:val="both"/>
        <w:rPr>
          <w:rFonts w:ascii="Arial" w:hAnsi="Arial" w:cs="Arial"/>
          <w:i/>
          <w:iCs/>
          <w:sz w:val="22"/>
          <w:szCs w:val="22"/>
        </w:rPr>
      </w:pPr>
    </w:p>
    <w:p w14:paraId="2E07B249" w14:textId="5378E1A5" w:rsidR="00685764" w:rsidRPr="00A50C50" w:rsidRDefault="00712652" w:rsidP="00A50C50">
      <w:pPr>
        <w:pStyle w:val="ListParagraph"/>
        <w:autoSpaceDE w:val="0"/>
        <w:autoSpaceDN w:val="0"/>
        <w:adjustRightInd w:val="0"/>
        <w:spacing w:line="360" w:lineRule="auto"/>
        <w:ind w:left="851" w:right="4"/>
        <w:jc w:val="both"/>
        <w:rPr>
          <w:rFonts w:ascii="Arial" w:hAnsi="Arial" w:cs="Arial"/>
          <w:i/>
          <w:iCs/>
          <w:sz w:val="22"/>
          <w:szCs w:val="22"/>
        </w:rPr>
      </w:pPr>
      <w:r w:rsidRPr="00A50C50">
        <w:rPr>
          <w:rFonts w:ascii="Arial" w:hAnsi="Arial" w:cs="Arial"/>
          <w:i/>
          <w:iCs/>
          <w:sz w:val="22"/>
          <w:szCs w:val="22"/>
        </w:rPr>
        <w:t>The applicat</w:t>
      </w:r>
      <w:r w:rsidR="00685764" w:rsidRPr="00A50C50">
        <w:rPr>
          <w:rFonts w:ascii="Arial" w:hAnsi="Arial" w:cs="Arial"/>
          <w:i/>
          <w:iCs/>
          <w:sz w:val="22"/>
          <w:szCs w:val="22"/>
        </w:rPr>
        <w:t xml:space="preserve">ion </w:t>
      </w:r>
      <w:r w:rsidR="00F87892" w:rsidRPr="00A50C50">
        <w:rPr>
          <w:rFonts w:ascii="Arial" w:hAnsi="Arial" w:cs="Arial"/>
          <w:i/>
          <w:iCs/>
          <w:sz w:val="22"/>
          <w:szCs w:val="22"/>
        </w:rPr>
        <w:t>is clearly</w:t>
      </w:r>
      <w:r w:rsidR="00685764" w:rsidRPr="00A50C50">
        <w:rPr>
          <w:rFonts w:ascii="Arial" w:hAnsi="Arial" w:cs="Arial"/>
          <w:i/>
          <w:iCs/>
          <w:sz w:val="22"/>
          <w:szCs w:val="22"/>
        </w:rPr>
        <w:t xml:space="preserve"> self-serving and destructive of the very purpose for which Sections 374 and 368 were amended.  It is for this reason that I intend to make the costs order that I do.</w:t>
      </w:r>
      <w:r w:rsidR="0051359C" w:rsidRPr="00A50C50">
        <w:rPr>
          <w:rFonts w:ascii="Arial" w:hAnsi="Arial" w:cs="Arial"/>
          <w:i/>
          <w:iCs/>
          <w:sz w:val="22"/>
          <w:szCs w:val="22"/>
        </w:rPr>
        <w:t>”</w:t>
      </w:r>
    </w:p>
    <w:p w14:paraId="784F7927" w14:textId="77777777" w:rsidR="00685764" w:rsidRPr="00685764" w:rsidRDefault="00685764" w:rsidP="00996B9B">
      <w:pPr>
        <w:pStyle w:val="ListParagraph"/>
        <w:ind w:left="851" w:hanging="851"/>
        <w:rPr>
          <w:rFonts w:ascii="Arial" w:hAnsi="Arial" w:cs="Arial"/>
        </w:rPr>
      </w:pPr>
    </w:p>
    <w:p w14:paraId="29CBD774" w14:textId="2BB848B4" w:rsidR="008275A6" w:rsidRPr="00821383" w:rsidRDefault="00821383" w:rsidP="00821383">
      <w:pPr>
        <w:spacing w:line="360" w:lineRule="auto"/>
        <w:ind w:left="851" w:hanging="851"/>
        <w:jc w:val="both"/>
        <w:rPr>
          <w:rFonts w:ascii="Arial" w:eastAsia="Times New Roman" w:hAnsi="Arial" w:cs="Arial"/>
          <w:color w:val="000000"/>
          <w:lang w:val="en-ZA" w:eastAsia="en-GB"/>
        </w:rPr>
      </w:pPr>
      <w:r>
        <w:rPr>
          <w:rFonts w:ascii="Arial" w:eastAsia="Times New Roman" w:hAnsi="Arial" w:cs="Arial"/>
          <w:color w:val="000000"/>
          <w:lang w:val="en-ZA" w:eastAsia="en-GB"/>
        </w:rPr>
        <w:t>8.</w:t>
      </w:r>
      <w:r>
        <w:rPr>
          <w:rFonts w:ascii="Arial" w:eastAsia="Times New Roman" w:hAnsi="Arial" w:cs="Arial"/>
          <w:color w:val="000000"/>
          <w:lang w:val="en-ZA" w:eastAsia="en-GB"/>
        </w:rPr>
        <w:tab/>
      </w:r>
      <w:r w:rsidR="008B1922" w:rsidRPr="00821383">
        <w:rPr>
          <w:rFonts w:ascii="Arial" w:eastAsia="Times New Roman" w:hAnsi="Arial" w:cs="Arial"/>
          <w:color w:val="000000"/>
          <w:lang w:val="en-ZA" w:eastAsia="en-GB"/>
        </w:rPr>
        <w:t>I</w:t>
      </w:r>
      <w:r w:rsidR="008275A6" w:rsidRPr="00821383">
        <w:rPr>
          <w:rFonts w:ascii="Arial" w:eastAsia="Times New Roman" w:hAnsi="Arial" w:cs="Arial"/>
          <w:color w:val="000000"/>
          <w:lang w:val="en-ZA" w:eastAsia="en-GB"/>
        </w:rPr>
        <w:t>t was not in issue in the matter nor was it argued that liquidators are required to act jointly</w:t>
      </w:r>
      <w:r w:rsidR="00706081">
        <w:rPr>
          <w:rStyle w:val="FootnoteReference"/>
          <w:rFonts w:ascii="Arial" w:eastAsia="Times New Roman" w:hAnsi="Arial" w:cs="Arial"/>
          <w:color w:val="000000"/>
          <w:lang w:val="en-ZA" w:eastAsia="en-GB"/>
        </w:rPr>
        <w:footnoteReference w:id="2"/>
      </w:r>
      <w:r w:rsidR="008275A6" w:rsidRPr="00821383">
        <w:rPr>
          <w:rFonts w:ascii="Arial" w:eastAsia="Times New Roman" w:hAnsi="Arial" w:cs="Arial"/>
          <w:color w:val="000000"/>
          <w:lang w:val="en-ZA" w:eastAsia="en-GB"/>
        </w:rPr>
        <w:t xml:space="preserve">. The application brought ostensibly by the applicants for the benefit of the estate did not enjoy the support of the second and third respondents and was thus  self-evidently not an action taken by all the liquidators jointly. </w:t>
      </w:r>
      <w:r w:rsidR="009B699E" w:rsidRPr="00821383">
        <w:rPr>
          <w:rFonts w:ascii="Arial" w:eastAsia="Times New Roman" w:hAnsi="Arial" w:cs="Arial"/>
          <w:color w:val="000000"/>
          <w:lang w:val="en-ZA" w:eastAsia="en-GB"/>
        </w:rPr>
        <w:t>The very purpose of the application was to have the appointments of the second and third respondents set aside.</w:t>
      </w:r>
    </w:p>
    <w:p w14:paraId="2597BC52" w14:textId="77777777" w:rsidR="008275A6" w:rsidRDefault="008275A6" w:rsidP="008275A6">
      <w:pPr>
        <w:pStyle w:val="ListParagraph"/>
        <w:spacing w:line="360" w:lineRule="auto"/>
        <w:ind w:left="851"/>
        <w:jc w:val="both"/>
        <w:rPr>
          <w:rFonts w:ascii="Arial" w:eastAsia="Times New Roman" w:hAnsi="Arial" w:cs="Arial"/>
          <w:color w:val="000000"/>
          <w:lang w:val="en-ZA" w:eastAsia="en-GB"/>
        </w:rPr>
      </w:pPr>
    </w:p>
    <w:p w14:paraId="77B08769" w14:textId="2B96A440" w:rsidR="00C71905" w:rsidRPr="00821383" w:rsidRDefault="00821383" w:rsidP="00821383">
      <w:pPr>
        <w:spacing w:line="360" w:lineRule="auto"/>
        <w:ind w:left="851" w:hanging="851"/>
        <w:jc w:val="both"/>
        <w:rPr>
          <w:rFonts w:ascii="Arial" w:eastAsia="Times New Roman" w:hAnsi="Arial" w:cs="Arial"/>
          <w:color w:val="000000"/>
          <w:lang w:val="en-ZA" w:eastAsia="en-GB"/>
        </w:rPr>
      </w:pPr>
      <w:r>
        <w:rPr>
          <w:rFonts w:ascii="Arial" w:eastAsia="Times New Roman" w:hAnsi="Arial" w:cs="Arial"/>
          <w:color w:val="000000"/>
          <w:lang w:val="en-ZA" w:eastAsia="en-GB"/>
        </w:rPr>
        <w:t>9.</w:t>
      </w:r>
      <w:r>
        <w:rPr>
          <w:rFonts w:ascii="Arial" w:eastAsia="Times New Roman" w:hAnsi="Arial" w:cs="Arial"/>
          <w:color w:val="000000"/>
          <w:lang w:val="en-ZA" w:eastAsia="en-GB"/>
        </w:rPr>
        <w:tab/>
      </w:r>
      <w:r w:rsidR="008275A6" w:rsidRPr="00821383">
        <w:rPr>
          <w:rFonts w:ascii="Arial" w:eastAsia="Times New Roman" w:hAnsi="Arial" w:cs="Arial"/>
          <w:color w:val="000000"/>
          <w:lang w:val="en-ZA" w:eastAsia="en-GB"/>
        </w:rPr>
        <w:t>However dissatisfied with the appointment of the second and third respondents the applicants were, the fact is that they are co-liquidators and would remain so unless their appointment was set aside. The applicants were cognisant of this when they brought the application.</w:t>
      </w:r>
      <w:r w:rsidR="006D0714" w:rsidRPr="00821383">
        <w:rPr>
          <w:rFonts w:ascii="Arial" w:eastAsia="Times New Roman" w:hAnsi="Arial" w:cs="Arial"/>
          <w:color w:val="000000"/>
          <w:lang w:val="en-ZA" w:eastAsia="en-GB"/>
        </w:rPr>
        <w:t xml:space="preserve"> Liquidators  cannot litigate for their personal interests and expect the estate (and creditors whose interests they are appointed </w:t>
      </w:r>
      <w:r w:rsidR="006D0714" w:rsidRPr="00821383">
        <w:rPr>
          <w:rFonts w:ascii="Arial" w:eastAsia="Times New Roman" w:hAnsi="Arial" w:cs="Arial"/>
          <w:color w:val="000000"/>
          <w:lang w:val="en-ZA" w:eastAsia="en-GB"/>
        </w:rPr>
        <w:lastRenderedPageBreak/>
        <w:t xml:space="preserve">to represent) to </w:t>
      </w:r>
      <w:r w:rsidR="00775876" w:rsidRPr="00821383">
        <w:rPr>
          <w:rFonts w:ascii="Arial" w:eastAsia="Times New Roman" w:hAnsi="Arial" w:cs="Arial"/>
          <w:color w:val="000000"/>
          <w:lang w:val="en-ZA" w:eastAsia="en-GB"/>
        </w:rPr>
        <w:t>bear</w:t>
      </w:r>
      <w:r w:rsidR="006D0714" w:rsidRPr="00821383">
        <w:rPr>
          <w:rFonts w:ascii="Arial" w:eastAsia="Times New Roman" w:hAnsi="Arial" w:cs="Arial"/>
          <w:color w:val="000000"/>
          <w:lang w:val="en-ZA" w:eastAsia="en-GB"/>
        </w:rPr>
        <w:t xml:space="preserve"> the costs</w:t>
      </w:r>
      <w:r w:rsidR="00775876">
        <w:rPr>
          <w:rStyle w:val="FootnoteReference"/>
          <w:rFonts w:ascii="Arial" w:eastAsia="Times New Roman" w:hAnsi="Arial" w:cs="Arial"/>
          <w:color w:val="000000"/>
          <w:lang w:val="en-ZA" w:eastAsia="en-GB"/>
        </w:rPr>
        <w:footnoteReference w:id="3"/>
      </w:r>
      <w:r w:rsidR="006D0714" w:rsidRPr="00821383">
        <w:rPr>
          <w:rFonts w:ascii="Arial" w:eastAsia="Times New Roman" w:hAnsi="Arial" w:cs="Arial"/>
          <w:color w:val="000000"/>
          <w:lang w:val="en-ZA" w:eastAsia="en-GB"/>
        </w:rPr>
        <w:t xml:space="preserve">. </w:t>
      </w:r>
      <w:r w:rsidR="00706081" w:rsidRPr="00821383">
        <w:rPr>
          <w:rFonts w:ascii="Arial" w:eastAsia="Times New Roman" w:hAnsi="Arial" w:cs="Arial"/>
          <w:color w:val="000000"/>
          <w:lang w:val="en-ZA" w:eastAsia="en-GB"/>
        </w:rPr>
        <w:t>No credible basis was laid at all for the application being in the interests of the estate.</w:t>
      </w:r>
    </w:p>
    <w:p w14:paraId="4A47B01E" w14:textId="77777777" w:rsidR="00C71905" w:rsidRPr="00C71905" w:rsidRDefault="00C71905" w:rsidP="00C71905">
      <w:pPr>
        <w:pStyle w:val="ListParagraph"/>
        <w:rPr>
          <w:rFonts w:ascii="Arial" w:eastAsia="Times New Roman" w:hAnsi="Arial" w:cs="Arial"/>
          <w:color w:val="000000"/>
          <w:lang w:val="en-ZA" w:eastAsia="en-GB"/>
        </w:rPr>
      </w:pPr>
    </w:p>
    <w:p w14:paraId="5B5E3F28" w14:textId="5054798B" w:rsidR="008B1922" w:rsidRPr="00821383" w:rsidRDefault="00821383" w:rsidP="00821383">
      <w:pPr>
        <w:spacing w:line="360" w:lineRule="auto"/>
        <w:ind w:left="851" w:hanging="851"/>
        <w:jc w:val="both"/>
        <w:rPr>
          <w:rFonts w:ascii="Arial" w:eastAsia="Times New Roman" w:hAnsi="Arial" w:cs="Arial"/>
          <w:color w:val="000000"/>
          <w:lang w:val="en-ZA" w:eastAsia="en-GB"/>
        </w:rPr>
      </w:pPr>
      <w:r w:rsidRPr="00C71905">
        <w:rPr>
          <w:rFonts w:ascii="Arial" w:eastAsia="Times New Roman" w:hAnsi="Arial" w:cs="Arial"/>
          <w:color w:val="000000"/>
          <w:lang w:val="en-ZA" w:eastAsia="en-GB"/>
        </w:rPr>
        <w:t>10.</w:t>
      </w:r>
      <w:r w:rsidRPr="00C71905">
        <w:rPr>
          <w:rFonts w:ascii="Arial" w:eastAsia="Times New Roman" w:hAnsi="Arial" w:cs="Arial"/>
          <w:color w:val="000000"/>
          <w:lang w:val="en-ZA" w:eastAsia="en-GB"/>
        </w:rPr>
        <w:tab/>
      </w:r>
      <w:r w:rsidR="006D0714" w:rsidRPr="00821383">
        <w:rPr>
          <w:rFonts w:ascii="Arial" w:eastAsia="Times New Roman" w:hAnsi="Arial" w:cs="Arial"/>
          <w:color w:val="000000"/>
          <w:lang w:val="en-ZA" w:eastAsia="en-GB"/>
        </w:rPr>
        <w:t>I was referred to a number of authorities on this aspect – all of those authorities, which are distinguishable on the facts, deal with circumstances where the person against whom the order was made was either an attorney</w:t>
      </w:r>
      <w:r w:rsidR="00C71905">
        <w:rPr>
          <w:rStyle w:val="FootnoteReference"/>
          <w:rFonts w:ascii="Arial" w:eastAsia="Times New Roman" w:hAnsi="Arial" w:cs="Arial"/>
          <w:color w:val="000000"/>
          <w:lang w:val="en-ZA" w:eastAsia="en-GB"/>
        </w:rPr>
        <w:footnoteReference w:id="4"/>
      </w:r>
      <w:r w:rsidR="006D0714" w:rsidRPr="00821383">
        <w:rPr>
          <w:rFonts w:ascii="Arial" w:eastAsia="Times New Roman" w:hAnsi="Arial" w:cs="Arial"/>
          <w:color w:val="000000"/>
          <w:lang w:val="en-ZA" w:eastAsia="en-GB"/>
        </w:rPr>
        <w:t xml:space="preserve"> for one of the parties or an employee of one of the parties</w:t>
      </w:r>
      <w:r w:rsidR="00625106">
        <w:rPr>
          <w:rStyle w:val="FootnoteReference"/>
          <w:rFonts w:ascii="Arial" w:eastAsia="Times New Roman" w:hAnsi="Arial" w:cs="Arial"/>
          <w:color w:val="000000"/>
          <w:lang w:val="en-ZA" w:eastAsia="en-GB"/>
        </w:rPr>
        <w:footnoteReference w:id="5"/>
      </w:r>
      <w:r w:rsidR="006D0714" w:rsidRPr="00821383">
        <w:rPr>
          <w:rFonts w:ascii="Arial" w:eastAsia="Times New Roman" w:hAnsi="Arial" w:cs="Arial"/>
          <w:color w:val="000000"/>
          <w:lang w:val="en-ZA" w:eastAsia="en-GB"/>
        </w:rPr>
        <w:t xml:space="preserve">. In the present circumstances </w:t>
      </w:r>
      <w:r w:rsidR="00C71905" w:rsidRPr="00821383">
        <w:rPr>
          <w:rFonts w:ascii="Arial" w:eastAsia="Times New Roman" w:hAnsi="Arial" w:cs="Arial"/>
          <w:color w:val="000000"/>
          <w:lang w:val="en-ZA" w:eastAsia="en-GB"/>
        </w:rPr>
        <w:t xml:space="preserve">the </w:t>
      </w:r>
      <w:r w:rsidR="006D0714" w:rsidRPr="00821383">
        <w:rPr>
          <w:rFonts w:ascii="Arial" w:eastAsia="Times New Roman" w:hAnsi="Arial" w:cs="Arial"/>
          <w:color w:val="000000"/>
          <w:lang w:val="en-ZA" w:eastAsia="en-GB"/>
        </w:rPr>
        <w:t xml:space="preserve">costs order was made against cited parties who engaged fully and were represented in the proceedings. Furthermore the present proceedings were motion proceedings and so </w:t>
      </w:r>
      <w:r w:rsidR="00205D53" w:rsidRPr="00821383">
        <w:rPr>
          <w:rFonts w:ascii="Arial" w:eastAsia="Times New Roman" w:hAnsi="Arial" w:cs="Arial"/>
          <w:color w:val="000000"/>
          <w:lang w:val="en-ZA" w:eastAsia="en-GB"/>
        </w:rPr>
        <w:t xml:space="preserve">the entirety of the evidence and respective cases was set out in the affidavits filed. </w:t>
      </w:r>
    </w:p>
    <w:p w14:paraId="5BE3EA1E" w14:textId="77777777" w:rsidR="00205D53" w:rsidRPr="00205D53" w:rsidRDefault="00205D53" w:rsidP="00205D53">
      <w:pPr>
        <w:pStyle w:val="ListParagraph"/>
        <w:rPr>
          <w:rFonts w:ascii="Arial" w:eastAsia="Times New Roman" w:hAnsi="Arial" w:cs="Arial"/>
          <w:color w:val="000000"/>
          <w:lang w:val="en-ZA" w:eastAsia="en-GB"/>
        </w:rPr>
      </w:pPr>
    </w:p>
    <w:p w14:paraId="0E57DDC8" w14:textId="22D8D71B" w:rsidR="00205D53" w:rsidRPr="00821383" w:rsidRDefault="00821383" w:rsidP="00821383">
      <w:pPr>
        <w:spacing w:line="360" w:lineRule="auto"/>
        <w:ind w:left="851" w:hanging="851"/>
        <w:jc w:val="both"/>
        <w:rPr>
          <w:rFonts w:ascii="Arial" w:eastAsia="Times New Roman" w:hAnsi="Arial" w:cs="Arial"/>
          <w:color w:val="000000"/>
          <w:lang w:val="en-ZA" w:eastAsia="en-GB"/>
        </w:rPr>
      </w:pPr>
      <w:r w:rsidRPr="00A50C50">
        <w:rPr>
          <w:rFonts w:ascii="Arial" w:eastAsia="Times New Roman" w:hAnsi="Arial" w:cs="Arial"/>
          <w:color w:val="000000"/>
          <w:lang w:val="en-ZA" w:eastAsia="en-GB"/>
        </w:rPr>
        <w:t>11.</w:t>
      </w:r>
      <w:r w:rsidRPr="00A50C50">
        <w:rPr>
          <w:rFonts w:ascii="Arial" w:eastAsia="Times New Roman" w:hAnsi="Arial" w:cs="Arial"/>
          <w:color w:val="000000"/>
          <w:lang w:val="en-ZA" w:eastAsia="en-GB"/>
        </w:rPr>
        <w:tab/>
      </w:r>
      <w:r w:rsidR="00205D53" w:rsidRPr="00821383">
        <w:rPr>
          <w:rFonts w:ascii="Arial" w:eastAsia="Times New Roman" w:hAnsi="Arial" w:cs="Arial"/>
          <w:color w:val="000000"/>
          <w:lang w:val="en-ZA" w:eastAsia="en-GB"/>
        </w:rPr>
        <w:t xml:space="preserve">The findings and the orders made in consequence </w:t>
      </w:r>
      <w:r w:rsidR="008D79A3" w:rsidRPr="00821383">
        <w:rPr>
          <w:rFonts w:ascii="Arial" w:eastAsia="Times New Roman" w:hAnsi="Arial" w:cs="Arial"/>
          <w:color w:val="000000"/>
          <w:lang w:val="en-ZA" w:eastAsia="en-GB"/>
        </w:rPr>
        <w:t>of a consideration of what was before the court. Even if counsel had addressed this, the findings made on the papers and orders would not in my view have been different.</w:t>
      </w:r>
    </w:p>
    <w:p w14:paraId="16ECFCE3" w14:textId="77777777" w:rsidR="00205D53" w:rsidRPr="00A50C50" w:rsidRDefault="00205D53" w:rsidP="00A50C50">
      <w:pPr>
        <w:spacing w:line="360" w:lineRule="auto"/>
        <w:jc w:val="both"/>
        <w:rPr>
          <w:rFonts w:ascii="Arial" w:eastAsia="Times New Roman" w:hAnsi="Arial" w:cs="Arial"/>
          <w:color w:val="000000"/>
          <w:lang w:val="en-ZA" w:eastAsia="en-GB"/>
        </w:rPr>
      </w:pPr>
    </w:p>
    <w:p w14:paraId="7D847BEA" w14:textId="661FF3E1" w:rsidR="00A9025B" w:rsidRPr="00821383" w:rsidRDefault="00821383" w:rsidP="00821383">
      <w:pPr>
        <w:spacing w:line="360" w:lineRule="auto"/>
        <w:ind w:left="851" w:hanging="851"/>
        <w:jc w:val="both"/>
        <w:rPr>
          <w:rFonts w:ascii="Arial" w:eastAsia="Times New Roman" w:hAnsi="Arial" w:cs="Arial"/>
          <w:color w:val="000000"/>
          <w:lang w:val="en-ZA" w:eastAsia="en-GB"/>
        </w:rPr>
      </w:pPr>
      <w:r w:rsidRPr="00A50C50">
        <w:rPr>
          <w:rFonts w:ascii="Arial" w:eastAsia="Times New Roman" w:hAnsi="Arial" w:cs="Arial"/>
          <w:color w:val="000000"/>
          <w:lang w:val="en-ZA" w:eastAsia="en-GB"/>
        </w:rPr>
        <w:t>12.</w:t>
      </w:r>
      <w:r w:rsidRPr="00A50C50">
        <w:rPr>
          <w:rFonts w:ascii="Arial" w:eastAsia="Times New Roman" w:hAnsi="Arial" w:cs="Arial"/>
          <w:color w:val="000000"/>
          <w:lang w:val="en-ZA" w:eastAsia="en-GB"/>
        </w:rPr>
        <w:tab/>
      </w:r>
      <w:r w:rsidR="00A9025B" w:rsidRPr="00821383">
        <w:rPr>
          <w:rFonts w:ascii="Arial" w:hAnsi="Arial" w:cs="Arial"/>
        </w:rPr>
        <w:t>I have considered the grounds upon which this application for leave to appeal has been brought and the arguments advanced by the parties at the hearing and set out in the heads of argument they filed. I have also considered the reasons for granting the orders of 8 August 2022 and am of the view that there is neither a reasonable prospect that another court would come to a different conclusion nor an arguable point of law or other compelling reason which merits the granting of leave to appeal</w:t>
      </w:r>
      <w:r w:rsidR="008D79A3" w:rsidRPr="00821383">
        <w:rPr>
          <w:rFonts w:ascii="Arial" w:hAnsi="Arial" w:cs="Arial"/>
        </w:rPr>
        <w:t>.</w:t>
      </w:r>
    </w:p>
    <w:p w14:paraId="5E92CE98" w14:textId="77777777" w:rsidR="00A9025B" w:rsidRPr="00A50C50" w:rsidRDefault="00A9025B" w:rsidP="00A9025B">
      <w:pPr>
        <w:pStyle w:val="ListParagraph"/>
        <w:rPr>
          <w:rFonts w:ascii="Arial" w:hAnsi="Arial" w:cs="Arial"/>
        </w:rPr>
      </w:pPr>
    </w:p>
    <w:p w14:paraId="1BE7B6D2" w14:textId="092049AD" w:rsidR="00416EA1" w:rsidRPr="00821383" w:rsidRDefault="00821383" w:rsidP="00821383">
      <w:pPr>
        <w:spacing w:line="360" w:lineRule="auto"/>
        <w:ind w:left="851" w:hanging="851"/>
        <w:jc w:val="both"/>
        <w:rPr>
          <w:rFonts w:ascii="Arial" w:eastAsia="Times New Roman" w:hAnsi="Arial" w:cs="Arial"/>
          <w:color w:val="000000"/>
          <w:lang w:val="en-ZA" w:eastAsia="en-GB"/>
        </w:rPr>
      </w:pPr>
      <w:r w:rsidRPr="00A50C50">
        <w:rPr>
          <w:rFonts w:ascii="Arial" w:eastAsia="Times New Roman" w:hAnsi="Arial" w:cs="Arial"/>
          <w:color w:val="000000"/>
          <w:lang w:val="en-ZA" w:eastAsia="en-GB"/>
        </w:rPr>
        <w:t>13.</w:t>
      </w:r>
      <w:r w:rsidRPr="00A50C50">
        <w:rPr>
          <w:rFonts w:ascii="Arial" w:eastAsia="Times New Roman" w:hAnsi="Arial" w:cs="Arial"/>
          <w:color w:val="000000"/>
          <w:lang w:val="en-ZA" w:eastAsia="en-GB"/>
        </w:rPr>
        <w:tab/>
      </w:r>
      <w:r w:rsidR="00A50C50" w:rsidRPr="00821383">
        <w:rPr>
          <w:rFonts w:ascii="Arial" w:hAnsi="Arial" w:cs="Arial"/>
        </w:rPr>
        <w:t xml:space="preserve">In </w:t>
      </w:r>
      <w:r w:rsidR="00C468B1" w:rsidRPr="00821383">
        <w:rPr>
          <w:rFonts w:ascii="Arial" w:hAnsi="Arial" w:cs="Arial"/>
        </w:rPr>
        <w:t>the circumstances, it is ordered</w:t>
      </w:r>
      <w:r w:rsidR="00A50C50" w:rsidRPr="00821383">
        <w:rPr>
          <w:rFonts w:ascii="Arial" w:hAnsi="Arial" w:cs="Arial"/>
        </w:rPr>
        <w:t xml:space="preserve"> that</w:t>
      </w:r>
      <w:r w:rsidR="00C468B1" w:rsidRPr="00821383">
        <w:rPr>
          <w:rFonts w:ascii="Arial" w:hAnsi="Arial" w:cs="Arial"/>
        </w:rPr>
        <w:t>:</w:t>
      </w:r>
    </w:p>
    <w:p w14:paraId="235D4E43" w14:textId="77777777" w:rsidR="00C468B1" w:rsidRPr="00F113FD" w:rsidRDefault="00C468B1" w:rsidP="00A50C50">
      <w:pPr>
        <w:pStyle w:val="Body"/>
        <w:spacing w:line="360" w:lineRule="auto"/>
        <w:ind w:left="360"/>
        <w:jc w:val="both"/>
        <w:rPr>
          <w:rFonts w:cs="Arial"/>
          <w:sz w:val="24"/>
          <w:szCs w:val="24"/>
        </w:rPr>
      </w:pPr>
    </w:p>
    <w:p w14:paraId="4D902E1D" w14:textId="5B8DE237" w:rsidR="00F113FD" w:rsidRDefault="00821383" w:rsidP="00821383">
      <w:pPr>
        <w:pStyle w:val="Body"/>
        <w:spacing w:line="360" w:lineRule="auto"/>
        <w:ind w:left="1701" w:hanging="850"/>
        <w:jc w:val="both"/>
        <w:rPr>
          <w:rFonts w:cs="Arial"/>
          <w:sz w:val="24"/>
          <w:szCs w:val="24"/>
        </w:rPr>
      </w:pPr>
      <w:r>
        <w:rPr>
          <w:rFonts w:cs="Arial"/>
          <w:sz w:val="24"/>
          <w:szCs w:val="24"/>
        </w:rPr>
        <w:t>13.1</w:t>
      </w:r>
      <w:r>
        <w:rPr>
          <w:rFonts w:cs="Arial"/>
          <w:sz w:val="24"/>
          <w:szCs w:val="24"/>
        </w:rPr>
        <w:tab/>
      </w:r>
      <w:r w:rsidR="00C468B1" w:rsidRPr="00F113FD">
        <w:rPr>
          <w:rFonts w:cs="Arial"/>
          <w:sz w:val="24"/>
          <w:szCs w:val="24"/>
        </w:rPr>
        <w:t xml:space="preserve">The </w:t>
      </w:r>
      <w:r w:rsidR="00A9025B">
        <w:rPr>
          <w:rFonts w:cs="Arial"/>
          <w:sz w:val="24"/>
          <w:szCs w:val="24"/>
        </w:rPr>
        <w:t>application for leave to appeal</w:t>
      </w:r>
      <w:r w:rsidR="00C468B1" w:rsidRPr="00F113FD">
        <w:rPr>
          <w:rFonts w:cs="Arial"/>
          <w:sz w:val="24"/>
          <w:szCs w:val="24"/>
        </w:rPr>
        <w:t xml:space="preserve"> is dismissed.</w:t>
      </w:r>
    </w:p>
    <w:p w14:paraId="2F45FD35" w14:textId="77777777" w:rsidR="00F113FD" w:rsidRDefault="00F113FD" w:rsidP="00A50C50">
      <w:pPr>
        <w:pStyle w:val="Body"/>
        <w:spacing w:line="360" w:lineRule="auto"/>
        <w:ind w:left="1701" w:hanging="850"/>
        <w:jc w:val="both"/>
        <w:rPr>
          <w:rFonts w:cs="Arial"/>
          <w:sz w:val="24"/>
          <w:szCs w:val="24"/>
        </w:rPr>
      </w:pPr>
    </w:p>
    <w:p w14:paraId="68073DF1" w14:textId="109C69A7" w:rsidR="00C468B1" w:rsidRPr="00A9025B" w:rsidRDefault="00821383" w:rsidP="00821383">
      <w:pPr>
        <w:pStyle w:val="Body"/>
        <w:spacing w:line="360" w:lineRule="auto"/>
        <w:ind w:left="1701" w:hanging="850"/>
        <w:jc w:val="both"/>
        <w:rPr>
          <w:rFonts w:cs="Arial"/>
          <w:sz w:val="24"/>
          <w:szCs w:val="24"/>
        </w:rPr>
      </w:pPr>
      <w:r w:rsidRPr="00A9025B">
        <w:rPr>
          <w:rFonts w:cs="Arial"/>
          <w:sz w:val="24"/>
          <w:szCs w:val="24"/>
        </w:rPr>
        <w:lastRenderedPageBreak/>
        <w:t>13.2</w:t>
      </w:r>
      <w:r w:rsidRPr="00A9025B">
        <w:rPr>
          <w:rFonts w:cs="Arial"/>
          <w:sz w:val="24"/>
          <w:szCs w:val="24"/>
        </w:rPr>
        <w:tab/>
      </w:r>
      <w:r w:rsidR="00C468B1" w:rsidRPr="00F113FD">
        <w:rPr>
          <w:rFonts w:cs="Arial"/>
          <w:sz w:val="24"/>
          <w:szCs w:val="24"/>
        </w:rPr>
        <w:t>The applicants are ordered to pay the first, second and third respondents’ costs</w:t>
      </w:r>
      <w:r w:rsidR="000076E1">
        <w:rPr>
          <w:rFonts w:cs="Arial"/>
          <w:sz w:val="24"/>
          <w:szCs w:val="24"/>
        </w:rPr>
        <w:t xml:space="preserve"> </w:t>
      </w:r>
      <w:r w:rsidR="00C468B1" w:rsidRPr="00F113FD">
        <w:rPr>
          <w:rFonts w:cs="Arial"/>
          <w:sz w:val="24"/>
          <w:szCs w:val="24"/>
        </w:rPr>
        <w:t xml:space="preserve">which costs are to </w:t>
      </w:r>
      <w:r w:rsidR="00C468B1" w:rsidRPr="00A9025B">
        <w:rPr>
          <w:rFonts w:cs="Arial"/>
          <w:sz w:val="24"/>
          <w:szCs w:val="24"/>
        </w:rPr>
        <w:t>include, the costs consequent upon the employment of two counsel</w:t>
      </w:r>
      <w:r w:rsidR="00685764" w:rsidRPr="00A9025B">
        <w:rPr>
          <w:rFonts w:cs="Arial"/>
          <w:sz w:val="24"/>
          <w:szCs w:val="24"/>
        </w:rPr>
        <w:t xml:space="preserve"> where so employed.</w:t>
      </w:r>
    </w:p>
    <w:p w14:paraId="78E0446D" w14:textId="77777777" w:rsidR="00685764" w:rsidRDefault="00685764" w:rsidP="00A50C50">
      <w:pPr>
        <w:pStyle w:val="ListParagraph"/>
        <w:spacing w:line="360" w:lineRule="auto"/>
        <w:ind w:left="1701" w:hanging="850"/>
        <w:jc w:val="both"/>
        <w:rPr>
          <w:rFonts w:cs="Arial"/>
        </w:rPr>
      </w:pPr>
    </w:p>
    <w:p w14:paraId="4EAE0FCB" w14:textId="0E0C8023" w:rsidR="00685764" w:rsidRDefault="00821383" w:rsidP="00821383">
      <w:pPr>
        <w:pStyle w:val="Body"/>
        <w:spacing w:line="360" w:lineRule="auto"/>
        <w:ind w:left="1701" w:hanging="850"/>
        <w:jc w:val="both"/>
        <w:rPr>
          <w:rFonts w:cs="Arial"/>
          <w:sz w:val="24"/>
          <w:szCs w:val="24"/>
        </w:rPr>
      </w:pPr>
      <w:r>
        <w:rPr>
          <w:rFonts w:cs="Arial"/>
          <w:sz w:val="24"/>
          <w:szCs w:val="24"/>
        </w:rPr>
        <w:t>13.3</w:t>
      </w:r>
      <w:r>
        <w:rPr>
          <w:rFonts w:cs="Arial"/>
          <w:sz w:val="24"/>
          <w:szCs w:val="24"/>
        </w:rPr>
        <w:tab/>
      </w:r>
      <w:r w:rsidR="00685764">
        <w:rPr>
          <w:rFonts w:cs="Arial"/>
          <w:sz w:val="24"/>
          <w:szCs w:val="24"/>
        </w:rPr>
        <w:t xml:space="preserve">The costs are to be paid by the applicants </w:t>
      </w:r>
      <w:r w:rsidR="00685764" w:rsidRPr="00685764">
        <w:rPr>
          <w:rFonts w:cs="Arial"/>
          <w:i/>
          <w:iCs/>
          <w:sz w:val="24"/>
          <w:szCs w:val="24"/>
        </w:rPr>
        <w:t>de bonis propriis</w:t>
      </w:r>
      <w:r w:rsidR="00685764">
        <w:rPr>
          <w:rFonts w:cs="Arial"/>
          <w:sz w:val="24"/>
          <w:szCs w:val="24"/>
        </w:rPr>
        <w:t>, jointly and severally, the one paying the others to be absolved.</w:t>
      </w:r>
    </w:p>
    <w:p w14:paraId="06A0C4E1" w14:textId="77777777" w:rsidR="00685764" w:rsidRDefault="00685764" w:rsidP="00A50C50">
      <w:pPr>
        <w:pStyle w:val="ListParagraph"/>
        <w:spacing w:line="360" w:lineRule="auto"/>
        <w:ind w:left="1701" w:hanging="850"/>
        <w:jc w:val="both"/>
        <w:rPr>
          <w:rFonts w:cs="Arial"/>
        </w:rPr>
      </w:pPr>
    </w:p>
    <w:p w14:paraId="60AD8EF4" w14:textId="0A52301D" w:rsidR="00685764" w:rsidRPr="00F113FD" w:rsidRDefault="00821383" w:rsidP="00821383">
      <w:pPr>
        <w:pStyle w:val="Body"/>
        <w:spacing w:line="360" w:lineRule="auto"/>
        <w:ind w:left="1701" w:hanging="850"/>
        <w:jc w:val="both"/>
        <w:rPr>
          <w:rFonts w:cs="Arial"/>
          <w:sz w:val="24"/>
          <w:szCs w:val="24"/>
        </w:rPr>
      </w:pPr>
      <w:r w:rsidRPr="00F113FD">
        <w:rPr>
          <w:rFonts w:cs="Arial"/>
          <w:sz w:val="24"/>
          <w:szCs w:val="24"/>
        </w:rPr>
        <w:t>13.4</w:t>
      </w:r>
      <w:r w:rsidRPr="00F113FD">
        <w:rPr>
          <w:rFonts w:cs="Arial"/>
          <w:sz w:val="24"/>
          <w:szCs w:val="24"/>
        </w:rPr>
        <w:tab/>
      </w:r>
      <w:r w:rsidR="00685764">
        <w:rPr>
          <w:rFonts w:cs="Arial"/>
          <w:sz w:val="24"/>
          <w:szCs w:val="24"/>
        </w:rPr>
        <w:t>None of the costs of the present application will form part of any of the costs of the liquidation of Finalment</w:t>
      </w:r>
      <w:r w:rsidR="003F404E">
        <w:rPr>
          <w:rFonts w:cs="Arial"/>
          <w:sz w:val="24"/>
          <w:szCs w:val="24"/>
        </w:rPr>
        <w:t>e</w:t>
      </w:r>
      <w:r w:rsidR="00685764">
        <w:rPr>
          <w:rFonts w:cs="Arial"/>
          <w:sz w:val="24"/>
          <w:szCs w:val="24"/>
        </w:rPr>
        <w:t xml:space="preserve"> Global (Pty) Ltd.</w:t>
      </w:r>
    </w:p>
    <w:p w14:paraId="7D520EB6" w14:textId="77777777" w:rsidR="00C468B1" w:rsidRDefault="00C468B1" w:rsidP="00C468B1">
      <w:pPr>
        <w:pStyle w:val="Body"/>
        <w:ind w:left="720"/>
        <w:rPr>
          <w:rFonts w:cs="Arial"/>
          <w:b/>
          <w:bCs/>
          <w:sz w:val="24"/>
          <w:szCs w:val="24"/>
        </w:rPr>
      </w:pPr>
    </w:p>
    <w:p w14:paraId="500B67C8" w14:textId="77777777" w:rsidR="00E3432B" w:rsidRDefault="00E3432B" w:rsidP="00413603">
      <w:pPr>
        <w:pStyle w:val="Body"/>
        <w:ind w:left="720"/>
        <w:jc w:val="right"/>
        <w:rPr>
          <w:rFonts w:cs="Arial"/>
          <w:b/>
          <w:bCs/>
          <w:sz w:val="24"/>
          <w:szCs w:val="24"/>
        </w:rPr>
      </w:pPr>
    </w:p>
    <w:p w14:paraId="752BDC86" w14:textId="1E45FA0B" w:rsidR="001D6C62" w:rsidRPr="00A50C50" w:rsidRDefault="00101D88" w:rsidP="00A50C50">
      <w:pPr>
        <w:pStyle w:val="Body"/>
        <w:ind w:left="720"/>
        <w:jc w:val="right"/>
        <w:rPr>
          <w:rFonts w:cs="Arial"/>
          <w:sz w:val="24"/>
          <w:szCs w:val="24"/>
        </w:rPr>
      </w:pPr>
      <w:r w:rsidRPr="00413603">
        <w:rPr>
          <w:rFonts w:cs="Arial"/>
          <w:b/>
          <w:bCs/>
          <w:sz w:val="24"/>
          <w:szCs w:val="24"/>
        </w:rPr>
        <w:t>_____________________________</w:t>
      </w:r>
    </w:p>
    <w:p w14:paraId="2EB8083A" w14:textId="77777777"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6520632C" w14:textId="77777777"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2689817A"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0438EDC8" w14:textId="77777777" w:rsidR="00416EA1" w:rsidRPr="00077E92" w:rsidRDefault="00416EA1" w:rsidP="0008693D">
      <w:pPr>
        <w:pStyle w:val="BodyA"/>
        <w:ind w:left="720"/>
        <w:jc w:val="right"/>
        <w:rPr>
          <w:rFonts w:ascii="Arial" w:eastAsia="Tahoma" w:hAnsi="Arial" w:cs="Arial"/>
          <w:b/>
          <w:bCs/>
        </w:rPr>
      </w:pPr>
    </w:p>
    <w:p w14:paraId="1706B793" w14:textId="77777777" w:rsidR="00416EA1" w:rsidRDefault="00416EA1" w:rsidP="00385391">
      <w:pPr>
        <w:spacing w:line="480" w:lineRule="auto"/>
        <w:ind w:left="567" w:hanging="567"/>
        <w:jc w:val="both"/>
        <w:rPr>
          <w:rFonts w:ascii="Arial" w:hAnsi="Arial" w:cs="Arial"/>
        </w:rPr>
      </w:pPr>
    </w:p>
    <w:p w14:paraId="77BD326E" w14:textId="5B0A82C4"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FE7C5E">
        <w:rPr>
          <w:rFonts w:ascii="Arial" w:hAnsi="Arial" w:cs="Arial"/>
          <w:sz w:val="22"/>
          <w:szCs w:val="22"/>
        </w:rPr>
        <w:t>12 SEPTEMBER</w:t>
      </w:r>
      <w:r w:rsidR="00E7487B">
        <w:rPr>
          <w:rFonts w:ascii="Arial" w:hAnsi="Arial" w:cs="Arial"/>
          <w:sz w:val="22"/>
          <w:szCs w:val="22"/>
        </w:rPr>
        <w:t xml:space="preserve"> 2022</w:t>
      </w:r>
    </w:p>
    <w:p w14:paraId="3044905C" w14:textId="6C2ED050" w:rsidR="006710DC" w:rsidRDefault="006630FB" w:rsidP="00F113FD">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A9025B">
        <w:rPr>
          <w:rFonts w:ascii="Arial" w:hAnsi="Arial" w:cs="Arial"/>
          <w:sz w:val="22"/>
          <w:szCs w:val="22"/>
        </w:rPr>
        <w:t>21</w:t>
      </w:r>
      <w:r w:rsidR="00FE7C5E">
        <w:rPr>
          <w:rFonts w:ascii="Arial" w:hAnsi="Arial" w:cs="Arial"/>
          <w:sz w:val="22"/>
          <w:szCs w:val="22"/>
        </w:rPr>
        <w:t xml:space="preserve"> SEPTEMBER</w:t>
      </w:r>
      <w:r w:rsidR="00341E97">
        <w:rPr>
          <w:rFonts w:ascii="Arial" w:hAnsi="Arial" w:cs="Arial"/>
          <w:sz w:val="22"/>
          <w:szCs w:val="22"/>
        </w:rPr>
        <w:t xml:space="preserve"> 2022</w:t>
      </w:r>
    </w:p>
    <w:p w14:paraId="5162F090" w14:textId="77777777" w:rsidR="00E3432B" w:rsidRDefault="00E3432B" w:rsidP="006630FB">
      <w:pPr>
        <w:spacing w:line="480" w:lineRule="auto"/>
        <w:ind w:left="567" w:hanging="567"/>
        <w:jc w:val="both"/>
        <w:rPr>
          <w:rFonts w:ascii="Arial" w:hAnsi="Arial" w:cs="Arial"/>
          <w:sz w:val="22"/>
          <w:szCs w:val="22"/>
        </w:rPr>
      </w:pPr>
    </w:p>
    <w:p w14:paraId="5BB3A7AB" w14:textId="77777777" w:rsidR="006630FB" w:rsidRDefault="006630FB" w:rsidP="006630FB">
      <w:pPr>
        <w:spacing w:line="48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C82502">
        <w:rPr>
          <w:rFonts w:ascii="Arial" w:hAnsi="Arial" w:cs="Arial"/>
          <w:sz w:val="22"/>
          <w:szCs w:val="22"/>
        </w:rPr>
        <w:t>S</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E7487B">
        <w:rPr>
          <w:rFonts w:ascii="Arial" w:hAnsi="Arial" w:cs="Arial"/>
          <w:sz w:val="22"/>
          <w:szCs w:val="22"/>
        </w:rPr>
        <w:t>J CILLIERS SC</w:t>
      </w:r>
    </w:p>
    <w:p w14:paraId="16341F6B" w14:textId="77777777" w:rsidR="00E7487B" w:rsidRPr="00242E76" w:rsidRDefault="00E7487B" w:rsidP="006630FB">
      <w:pPr>
        <w:spacing w:line="48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J WESSELS</w:t>
      </w:r>
    </w:p>
    <w:p w14:paraId="68A60C9B" w14:textId="77777777" w:rsidR="006630FB"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C82502">
        <w:rPr>
          <w:rFonts w:ascii="Arial" w:hAnsi="Arial" w:cs="Arial"/>
          <w:sz w:val="22"/>
          <w:szCs w:val="22"/>
        </w:rPr>
        <w:t>MAGDA KETS INCORPORATED</w:t>
      </w:r>
    </w:p>
    <w:p w14:paraId="453E941D" w14:textId="77777777"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C82502">
        <w:rPr>
          <w:rFonts w:ascii="Arial" w:hAnsi="Arial" w:cs="Arial"/>
          <w:sz w:val="22"/>
          <w:szCs w:val="22"/>
        </w:rPr>
        <w:t>MS M KETS</w:t>
      </w:r>
    </w:p>
    <w:p w14:paraId="0CC4F567" w14:textId="77777777" w:rsidR="000E6633" w:rsidRPr="00242E76" w:rsidRDefault="000E6633" w:rsidP="006630FB">
      <w:pPr>
        <w:spacing w:line="480" w:lineRule="auto"/>
        <w:ind w:left="567" w:hanging="567"/>
        <w:jc w:val="both"/>
        <w:rPr>
          <w:rFonts w:ascii="Arial" w:hAnsi="Arial" w:cs="Arial"/>
          <w:sz w:val="22"/>
          <w:szCs w:val="22"/>
        </w:rPr>
      </w:pPr>
    </w:p>
    <w:p w14:paraId="7B07343A" w14:textId="77777777"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C82502">
        <w:rPr>
          <w:rFonts w:ascii="Arial" w:hAnsi="Arial" w:cs="Arial"/>
          <w:sz w:val="22"/>
          <w:szCs w:val="22"/>
        </w:rPr>
        <w:t>1</w:t>
      </w:r>
      <w:r w:rsidR="00C82502" w:rsidRPr="00C82502">
        <w:rPr>
          <w:rFonts w:ascii="Arial" w:hAnsi="Arial" w:cs="Arial"/>
          <w:sz w:val="22"/>
          <w:szCs w:val="22"/>
          <w:vertAlign w:val="superscript"/>
        </w:rPr>
        <w:t>ST</w:t>
      </w:r>
      <w:r w:rsidR="00C82502">
        <w:rPr>
          <w:rFonts w:ascii="Arial" w:hAnsi="Arial" w:cs="Arial"/>
          <w:sz w:val="22"/>
          <w:szCs w:val="22"/>
        </w:rPr>
        <w:t xml:space="preserve">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C82502">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E7487B">
        <w:rPr>
          <w:rFonts w:ascii="Arial" w:hAnsi="Arial" w:cs="Arial"/>
          <w:sz w:val="22"/>
          <w:szCs w:val="22"/>
        </w:rPr>
        <w:t>D MOSOMA</w:t>
      </w:r>
    </w:p>
    <w:p w14:paraId="5E6B7DAB" w14:textId="77777777"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E7487B">
        <w:rPr>
          <w:rFonts w:ascii="Arial" w:hAnsi="Arial" w:cs="Arial"/>
          <w:sz w:val="22"/>
          <w:szCs w:val="22"/>
        </w:rPr>
        <w:t>THE STATE ATTORNEY, PRETORIA</w:t>
      </w:r>
    </w:p>
    <w:p w14:paraId="5CC0F8D6" w14:textId="77777777"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C82502">
        <w:rPr>
          <w:rFonts w:ascii="Arial" w:hAnsi="Arial" w:cs="Arial"/>
          <w:sz w:val="22"/>
          <w:szCs w:val="22"/>
        </w:rPr>
        <w:t>MS A MOODLEY</w:t>
      </w:r>
    </w:p>
    <w:p w14:paraId="72172346" w14:textId="77777777" w:rsidR="00A56BC1" w:rsidRDefault="00A56BC1" w:rsidP="00CB6F8A">
      <w:pPr>
        <w:spacing w:line="480" w:lineRule="auto"/>
        <w:jc w:val="both"/>
        <w:rPr>
          <w:rFonts w:ascii="Arial" w:hAnsi="Arial"/>
          <w:sz w:val="22"/>
          <w:szCs w:val="22"/>
        </w:rPr>
      </w:pPr>
    </w:p>
    <w:p w14:paraId="7CB12618" w14:textId="77777777" w:rsidR="00C82502" w:rsidRPr="00242E76" w:rsidRDefault="00E7487B" w:rsidP="00C82502">
      <w:pPr>
        <w:spacing w:line="480" w:lineRule="auto"/>
        <w:ind w:left="567" w:hanging="567"/>
        <w:jc w:val="both"/>
        <w:rPr>
          <w:rFonts w:ascii="Arial" w:hAnsi="Arial" w:cs="Arial"/>
          <w:sz w:val="22"/>
          <w:szCs w:val="22"/>
        </w:rPr>
      </w:pPr>
      <w:r w:rsidRPr="00242E76">
        <w:rPr>
          <w:rFonts w:ascii="Arial" w:hAnsi="Arial" w:cs="Arial"/>
          <w:sz w:val="22"/>
          <w:szCs w:val="22"/>
        </w:rPr>
        <w:lastRenderedPageBreak/>
        <w:t xml:space="preserve">COUNSEL FOR THE </w:t>
      </w:r>
      <w:r>
        <w:rPr>
          <w:rFonts w:ascii="Arial" w:hAnsi="Arial" w:cs="Arial"/>
          <w:sz w:val="22"/>
          <w:szCs w:val="22"/>
        </w:rPr>
        <w:t>2</w:t>
      </w:r>
      <w:r w:rsidRPr="00E7487B">
        <w:rPr>
          <w:rFonts w:ascii="Arial" w:hAnsi="Arial" w:cs="Arial"/>
          <w:sz w:val="22"/>
          <w:szCs w:val="22"/>
          <w:vertAlign w:val="superscript"/>
        </w:rPr>
        <w:t>ND</w:t>
      </w:r>
      <w:r>
        <w:rPr>
          <w:rFonts w:ascii="Arial" w:hAnsi="Arial" w:cs="Arial"/>
          <w:sz w:val="22"/>
          <w:szCs w:val="22"/>
        </w:rPr>
        <w:t xml:space="preserve"> &amp; 3</w:t>
      </w:r>
      <w:r w:rsidRPr="00E7487B">
        <w:rPr>
          <w:rFonts w:ascii="Arial" w:hAnsi="Arial" w:cs="Arial"/>
          <w:sz w:val="22"/>
          <w:szCs w:val="22"/>
          <w:vertAlign w:val="superscript"/>
        </w:rPr>
        <w:t>RD</w:t>
      </w:r>
      <w:r>
        <w:rPr>
          <w:rFonts w:ascii="Arial" w:hAnsi="Arial" w:cs="Arial"/>
          <w:sz w:val="22"/>
          <w:szCs w:val="22"/>
        </w:rPr>
        <w:t xml:space="preserve"> RESPONDENTS</w:t>
      </w:r>
      <w:r w:rsidRPr="00242E76">
        <w:rPr>
          <w:rFonts w:ascii="Arial" w:hAnsi="Arial" w:cs="Arial"/>
          <w:sz w:val="22"/>
          <w:szCs w:val="22"/>
        </w:rPr>
        <w:t>:</w:t>
      </w:r>
      <w:r>
        <w:rPr>
          <w:rFonts w:ascii="Arial" w:hAnsi="Arial" w:cs="Arial"/>
          <w:sz w:val="22"/>
          <w:szCs w:val="22"/>
        </w:rPr>
        <w:tab/>
      </w:r>
      <w:r w:rsidRPr="00242E76">
        <w:rPr>
          <w:rFonts w:ascii="Arial" w:hAnsi="Arial" w:cs="Arial"/>
          <w:sz w:val="22"/>
          <w:szCs w:val="22"/>
        </w:rPr>
        <w:t>ADV</w:t>
      </w:r>
      <w:r>
        <w:rPr>
          <w:rFonts w:ascii="Arial" w:hAnsi="Arial" w:cs="Arial"/>
          <w:sz w:val="22"/>
          <w:szCs w:val="22"/>
        </w:rPr>
        <w:t>. J BLOU SC</w:t>
      </w:r>
    </w:p>
    <w:p w14:paraId="330F55B0" w14:textId="77777777" w:rsidR="00E7487B" w:rsidRPr="00242E76" w:rsidRDefault="00E7487B" w:rsidP="00E7487B">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sidR="00C82502">
        <w:rPr>
          <w:rFonts w:ascii="Arial" w:hAnsi="Arial" w:cs="Arial"/>
          <w:sz w:val="22"/>
          <w:szCs w:val="22"/>
        </w:rPr>
        <w:t>KNOWLES HUSSAIN LINDSAY INC.</w:t>
      </w:r>
    </w:p>
    <w:p w14:paraId="6E571B39" w14:textId="77777777" w:rsidR="00E7487B" w:rsidRDefault="00E7487B" w:rsidP="00E7487B">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Pr>
          <w:rFonts w:ascii="Arial" w:hAnsi="Arial" w:cs="Arial"/>
          <w:sz w:val="22"/>
          <w:szCs w:val="22"/>
        </w:rPr>
        <w:tab/>
      </w:r>
      <w:r w:rsidR="00C82502">
        <w:rPr>
          <w:rFonts w:ascii="Arial" w:hAnsi="Arial" w:cs="Arial"/>
          <w:sz w:val="22"/>
          <w:szCs w:val="22"/>
        </w:rPr>
        <w:t>MR I LINDSAY</w:t>
      </w:r>
    </w:p>
    <w:p w14:paraId="5E69D350" w14:textId="77777777" w:rsidR="00044032" w:rsidRDefault="00044032" w:rsidP="00A50C50">
      <w:pPr>
        <w:spacing w:line="480" w:lineRule="auto"/>
        <w:jc w:val="both"/>
        <w:rPr>
          <w:rFonts w:ascii="Arial" w:hAnsi="Arial" w:cs="Arial"/>
        </w:rPr>
      </w:pPr>
    </w:p>
    <w:p w14:paraId="37B48CCB" w14:textId="26FAC637" w:rsidR="00044032" w:rsidRPr="00044032" w:rsidRDefault="00044032" w:rsidP="00044032">
      <w:pPr>
        <w:spacing w:line="480" w:lineRule="auto"/>
        <w:ind w:left="567" w:hanging="567"/>
        <w:jc w:val="both"/>
        <w:rPr>
          <w:rFonts w:ascii="Arial" w:hAnsi="Arial" w:cs="Arial"/>
          <w:sz w:val="22"/>
          <w:szCs w:val="22"/>
        </w:rPr>
      </w:pPr>
      <w:r w:rsidRPr="00044032">
        <w:rPr>
          <w:rFonts w:ascii="Arial" w:hAnsi="Arial" w:cs="Arial"/>
          <w:sz w:val="22"/>
          <w:szCs w:val="22"/>
        </w:rPr>
        <w:t>COUNSEL FOR THE APPLICANTS</w:t>
      </w:r>
      <w:r w:rsidR="002B25CA">
        <w:rPr>
          <w:rFonts w:ascii="Arial" w:hAnsi="Arial" w:cs="Arial"/>
          <w:sz w:val="22"/>
          <w:szCs w:val="22"/>
        </w:rPr>
        <w:t>(COSTS)</w:t>
      </w:r>
      <w:r w:rsidRPr="00044032">
        <w:rPr>
          <w:rFonts w:ascii="Arial" w:hAnsi="Arial" w:cs="Arial"/>
          <w:sz w:val="22"/>
          <w:szCs w:val="22"/>
        </w:rPr>
        <w:t>:</w:t>
      </w:r>
      <w:r w:rsidRPr="00044032">
        <w:rPr>
          <w:rFonts w:ascii="Arial" w:hAnsi="Arial" w:cs="Arial"/>
          <w:sz w:val="22"/>
          <w:szCs w:val="22"/>
        </w:rPr>
        <w:tab/>
        <w:t xml:space="preserve">ADV. </w:t>
      </w:r>
      <w:r w:rsidR="00FE7C5E">
        <w:rPr>
          <w:rFonts w:ascii="Arial" w:hAnsi="Arial" w:cs="Arial"/>
          <w:sz w:val="22"/>
          <w:szCs w:val="22"/>
        </w:rPr>
        <w:t>D</w:t>
      </w:r>
      <w:r w:rsidRPr="00044032">
        <w:rPr>
          <w:rFonts w:ascii="Arial" w:hAnsi="Arial" w:cs="Arial"/>
          <w:sz w:val="22"/>
          <w:szCs w:val="22"/>
        </w:rPr>
        <w:t xml:space="preserve"> LEATHERN</w:t>
      </w:r>
      <w:r w:rsidR="00FE7C5E">
        <w:rPr>
          <w:rFonts w:ascii="Arial" w:hAnsi="Arial" w:cs="Arial"/>
          <w:sz w:val="22"/>
          <w:szCs w:val="22"/>
        </w:rPr>
        <w:t xml:space="preserve"> SC</w:t>
      </w:r>
    </w:p>
    <w:p w14:paraId="39A435F9" w14:textId="22341668" w:rsidR="00FE7C5E" w:rsidRDefault="00044032" w:rsidP="001F07DD">
      <w:pPr>
        <w:spacing w:line="480" w:lineRule="auto"/>
        <w:ind w:left="567" w:hanging="567"/>
        <w:jc w:val="both"/>
        <w:rPr>
          <w:rFonts w:ascii="Arial" w:hAnsi="Arial" w:cs="Arial"/>
          <w:sz w:val="22"/>
          <w:szCs w:val="22"/>
        </w:rPr>
      </w:pPr>
      <w:r w:rsidRPr="00FE7C5E">
        <w:rPr>
          <w:rFonts w:ascii="Arial" w:hAnsi="Arial" w:cs="Arial"/>
          <w:sz w:val="22"/>
          <w:szCs w:val="22"/>
        </w:rPr>
        <w:t>INSTRUCTED BY:</w:t>
      </w:r>
      <w:r w:rsidR="00FE7C5E">
        <w:rPr>
          <w:rFonts w:ascii="Arial" w:hAnsi="Arial" w:cs="Arial"/>
          <w:sz w:val="22"/>
          <w:szCs w:val="22"/>
        </w:rPr>
        <w:tab/>
      </w:r>
      <w:r w:rsidR="00FE7C5E">
        <w:rPr>
          <w:rFonts w:ascii="Arial" w:hAnsi="Arial" w:cs="Arial"/>
          <w:sz w:val="22"/>
          <w:szCs w:val="22"/>
        </w:rPr>
        <w:tab/>
      </w:r>
      <w:r w:rsidR="00FE7C5E">
        <w:rPr>
          <w:rFonts w:ascii="Arial" w:hAnsi="Arial" w:cs="Arial"/>
          <w:sz w:val="22"/>
          <w:szCs w:val="22"/>
        </w:rPr>
        <w:tab/>
      </w:r>
      <w:r w:rsidR="00FE7C5E">
        <w:rPr>
          <w:rFonts w:ascii="Arial" w:hAnsi="Arial" w:cs="Arial"/>
          <w:sz w:val="22"/>
          <w:szCs w:val="22"/>
        </w:rPr>
        <w:tab/>
      </w:r>
      <w:r w:rsidR="00FE7C5E">
        <w:rPr>
          <w:rFonts w:ascii="Arial" w:hAnsi="Arial" w:cs="Arial"/>
          <w:sz w:val="22"/>
          <w:szCs w:val="22"/>
        </w:rPr>
        <w:tab/>
      </w:r>
      <w:r w:rsidR="002B25CA">
        <w:rPr>
          <w:rFonts w:ascii="Arial" w:hAnsi="Arial" w:cs="Arial"/>
          <w:sz w:val="22"/>
          <w:szCs w:val="22"/>
        </w:rPr>
        <w:t>TINTINGERS INC.</w:t>
      </w:r>
    </w:p>
    <w:p w14:paraId="7DB03DD5" w14:textId="7D9648FD" w:rsidR="00FE7C5E" w:rsidRPr="00A50C50" w:rsidRDefault="00FE7C5E" w:rsidP="00A50C50">
      <w:pPr>
        <w:spacing w:line="480" w:lineRule="auto"/>
        <w:ind w:left="567" w:hanging="567"/>
        <w:jc w:val="both"/>
        <w:rPr>
          <w:rFonts w:ascii="Arial" w:hAnsi="Arial" w:cs="Arial"/>
          <w:sz w:val="22"/>
          <w:szCs w:val="22"/>
        </w:rPr>
      </w:pPr>
      <w:r>
        <w:rPr>
          <w:rFonts w:ascii="Arial" w:hAnsi="Arial" w:cs="Arial"/>
          <w:sz w:val="22"/>
          <w:szCs w:val="22"/>
        </w:rPr>
        <w:t>REFERENCE: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B25CA">
        <w:rPr>
          <w:rFonts w:ascii="Arial" w:hAnsi="Arial" w:cs="Arial"/>
          <w:sz w:val="22"/>
          <w:szCs w:val="22"/>
        </w:rPr>
        <w:t>MR S TINTINGER</w:t>
      </w:r>
      <w:r w:rsidR="00044032" w:rsidRPr="00FE7C5E">
        <w:rPr>
          <w:rFonts w:ascii="Arial" w:hAnsi="Arial" w:cs="Arial"/>
          <w:sz w:val="22"/>
          <w:szCs w:val="22"/>
        </w:rPr>
        <w:tab/>
      </w:r>
      <w:r w:rsidR="00044032" w:rsidRPr="00FE7C5E">
        <w:rPr>
          <w:rFonts w:ascii="Arial" w:hAnsi="Arial" w:cs="Arial"/>
          <w:sz w:val="22"/>
          <w:szCs w:val="22"/>
        </w:rPr>
        <w:tab/>
      </w:r>
      <w:r w:rsidR="00044032" w:rsidRPr="00FE7C5E">
        <w:rPr>
          <w:rFonts w:ascii="Arial" w:hAnsi="Arial" w:cs="Arial"/>
          <w:sz w:val="22"/>
          <w:szCs w:val="22"/>
        </w:rPr>
        <w:tab/>
      </w:r>
      <w:r w:rsidR="00044032" w:rsidRPr="00FE7C5E">
        <w:rPr>
          <w:rFonts w:ascii="Arial" w:hAnsi="Arial" w:cs="Arial"/>
          <w:sz w:val="22"/>
          <w:szCs w:val="22"/>
        </w:rPr>
        <w:tab/>
      </w:r>
      <w:r w:rsidR="00044032" w:rsidRPr="00FE7C5E">
        <w:rPr>
          <w:rFonts w:ascii="Arial" w:hAnsi="Arial" w:cs="Arial"/>
          <w:sz w:val="22"/>
          <w:szCs w:val="22"/>
        </w:rPr>
        <w:tab/>
      </w:r>
    </w:p>
    <w:p w14:paraId="3A1CF977" w14:textId="3D4E3E13" w:rsidR="0027008F" w:rsidRPr="00CB6F8A" w:rsidRDefault="00C82502" w:rsidP="00CB6F8A">
      <w:pPr>
        <w:spacing w:line="480" w:lineRule="auto"/>
        <w:jc w:val="both"/>
        <w:rPr>
          <w:rFonts w:ascii="Arial" w:hAnsi="Arial"/>
          <w:sz w:val="22"/>
          <w:szCs w:val="22"/>
        </w:rPr>
      </w:pPr>
      <w:r>
        <w:rPr>
          <w:rFonts w:ascii="Arial" w:hAnsi="Arial"/>
          <w:sz w:val="22"/>
          <w:szCs w:val="22"/>
        </w:rPr>
        <w:t>NO APPEARANCE FOR THE 4</w:t>
      </w:r>
      <w:r w:rsidRPr="00C82502">
        <w:rPr>
          <w:rFonts w:ascii="Arial" w:hAnsi="Arial"/>
          <w:sz w:val="22"/>
          <w:szCs w:val="22"/>
          <w:vertAlign w:val="superscript"/>
        </w:rPr>
        <w:t>TH</w:t>
      </w:r>
      <w:r>
        <w:rPr>
          <w:rFonts w:ascii="Arial" w:hAnsi="Arial"/>
          <w:sz w:val="22"/>
          <w:szCs w:val="22"/>
        </w:rPr>
        <w:t xml:space="preserve"> AND 5</w:t>
      </w:r>
      <w:r w:rsidRPr="00C82502">
        <w:rPr>
          <w:rFonts w:ascii="Arial" w:hAnsi="Arial"/>
          <w:sz w:val="22"/>
          <w:szCs w:val="22"/>
          <w:vertAlign w:val="superscript"/>
        </w:rPr>
        <w:t>TH</w:t>
      </w:r>
      <w:r>
        <w:rPr>
          <w:rFonts w:ascii="Arial" w:hAnsi="Arial"/>
          <w:sz w:val="22"/>
          <w:szCs w:val="22"/>
        </w:rPr>
        <w:t xml:space="preserve"> RESPONDENTS.</w:t>
      </w:r>
    </w:p>
    <w:sectPr w:rsidR="0027008F" w:rsidRPr="00CB6F8A" w:rsidSect="00A50C50">
      <w:headerReference w:type="even" r:id="rId9"/>
      <w:headerReference w:type="default" r:id="rId10"/>
      <w:pgSz w:w="12240" w:h="15840"/>
      <w:pgMar w:top="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368F" w14:textId="77777777" w:rsidR="004C1A07" w:rsidRDefault="004C1A07" w:rsidP="008C18AE">
      <w:r>
        <w:separator/>
      </w:r>
    </w:p>
  </w:endnote>
  <w:endnote w:type="continuationSeparator" w:id="0">
    <w:p w14:paraId="6795B70E" w14:textId="77777777" w:rsidR="004C1A07" w:rsidRDefault="004C1A0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8790" w14:textId="77777777" w:rsidR="004C1A07" w:rsidRDefault="004C1A07" w:rsidP="008C18AE">
      <w:r>
        <w:separator/>
      </w:r>
    </w:p>
  </w:footnote>
  <w:footnote w:type="continuationSeparator" w:id="0">
    <w:p w14:paraId="06440459" w14:textId="77777777" w:rsidR="004C1A07" w:rsidRDefault="004C1A07" w:rsidP="008C18AE">
      <w:r>
        <w:continuationSeparator/>
      </w:r>
    </w:p>
  </w:footnote>
  <w:footnote w:id="1">
    <w:p w14:paraId="3D8DEFDA" w14:textId="77777777" w:rsidR="00170D43" w:rsidRPr="00A27133" w:rsidRDefault="00170D43" w:rsidP="00170D43">
      <w:pPr>
        <w:pStyle w:val="FootnoteText"/>
        <w:rPr>
          <w:rFonts w:ascii="Arial" w:hAnsi="Arial" w:cs="Arial"/>
          <w:sz w:val="20"/>
          <w:szCs w:val="20"/>
        </w:rPr>
      </w:pPr>
      <w:r w:rsidRPr="00A27133">
        <w:rPr>
          <w:rStyle w:val="FootnoteReference"/>
          <w:rFonts w:ascii="Arial" w:hAnsi="Arial" w:cs="Arial"/>
          <w:sz w:val="20"/>
          <w:szCs w:val="20"/>
        </w:rPr>
        <w:footnoteRef/>
      </w:r>
      <w:r w:rsidRPr="00A27133">
        <w:rPr>
          <w:rFonts w:ascii="Arial" w:hAnsi="Arial" w:cs="Arial"/>
          <w:sz w:val="20"/>
          <w:szCs w:val="20"/>
        </w:rPr>
        <w:t xml:space="preserve"> Act 10 of 2013</w:t>
      </w:r>
    </w:p>
  </w:footnote>
  <w:footnote w:id="2">
    <w:p w14:paraId="79C2A4F7" w14:textId="747DC26E" w:rsidR="00706081" w:rsidRPr="00706081" w:rsidRDefault="00706081">
      <w:pPr>
        <w:pStyle w:val="FootnoteText"/>
        <w:rPr>
          <w:rFonts w:ascii="Arial" w:hAnsi="Arial" w:cs="Arial"/>
          <w:sz w:val="20"/>
          <w:szCs w:val="20"/>
        </w:rPr>
      </w:pPr>
      <w:r>
        <w:rPr>
          <w:rStyle w:val="FootnoteReference"/>
        </w:rPr>
        <w:footnoteRef/>
      </w:r>
      <w:r>
        <w:t xml:space="preserve"> </w:t>
      </w:r>
      <w:r w:rsidRPr="00706081">
        <w:rPr>
          <w:rFonts w:ascii="Arial" w:hAnsi="Arial" w:cs="Arial"/>
          <w:sz w:val="20"/>
          <w:szCs w:val="20"/>
        </w:rPr>
        <w:t>Section 382(1) of the Companies Act 61 of 1973</w:t>
      </w:r>
    </w:p>
  </w:footnote>
  <w:footnote w:id="3">
    <w:p w14:paraId="773119B7" w14:textId="49BBAC62" w:rsidR="00775876" w:rsidRPr="00775876" w:rsidRDefault="00775876" w:rsidP="00C66F95">
      <w:pPr>
        <w:pStyle w:val="FootnoteText"/>
        <w:ind w:left="180" w:hanging="180"/>
        <w:rPr>
          <w:rFonts w:ascii="Arial" w:hAnsi="Arial" w:cs="Arial"/>
          <w:sz w:val="20"/>
          <w:szCs w:val="20"/>
        </w:rPr>
      </w:pPr>
      <w:r w:rsidRPr="00775876">
        <w:rPr>
          <w:rStyle w:val="FootnoteReference"/>
          <w:rFonts w:ascii="Arial" w:hAnsi="Arial" w:cs="Arial"/>
          <w:sz w:val="20"/>
          <w:szCs w:val="20"/>
        </w:rPr>
        <w:footnoteRef/>
      </w:r>
      <w:r w:rsidRPr="00775876">
        <w:rPr>
          <w:rFonts w:ascii="Arial" w:hAnsi="Arial" w:cs="Arial"/>
          <w:sz w:val="20"/>
          <w:szCs w:val="20"/>
        </w:rPr>
        <w:t xml:space="preserve"> Grobbelaar v Grobbelaar 1959 (4) SA 719 (A)</w:t>
      </w:r>
      <w:r w:rsidR="00C66F95">
        <w:rPr>
          <w:rFonts w:ascii="Arial" w:hAnsi="Arial" w:cs="Arial"/>
          <w:sz w:val="20"/>
          <w:szCs w:val="20"/>
        </w:rPr>
        <w:t>; Blou v Lampert and Chipkin, NNO and Others 1972 (2) 501 (T) at 507E-F and 509B-C</w:t>
      </w:r>
    </w:p>
  </w:footnote>
  <w:footnote w:id="4">
    <w:p w14:paraId="0C14B4DE" w14:textId="77777777" w:rsidR="00C66F95" w:rsidRDefault="00C71905" w:rsidP="00C66F95">
      <w:pPr>
        <w:pStyle w:val="FootnoteText"/>
        <w:ind w:left="180" w:hanging="180"/>
        <w:rPr>
          <w:rFonts w:ascii="Arial" w:hAnsi="Arial" w:cs="Arial"/>
          <w:sz w:val="20"/>
          <w:szCs w:val="20"/>
        </w:rPr>
      </w:pPr>
      <w:r w:rsidRPr="00C71905">
        <w:rPr>
          <w:rStyle w:val="FootnoteReference"/>
          <w:rFonts w:ascii="Arial" w:hAnsi="Arial" w:cs="Arial"/>
          <w:sz w:val="20"/>
          <w:szCs w:val="20"/>
        </w:rPr>
        <w:footnoteRef/>
      </w:r>
      <w:r w:rsidRPr="00C71905">
        <w:rPr>
          <w:rFonts w:ascii="Arial" w:hAnsi="Arial" w:cs="Arial"/>
          <w:sz w:val="20"/>
          <w:szCs w:val="20"/>
        </w:rPr>
        <w:t xml:space="preserve"> Kgoro Consortium (Pty) Ltd &amp; Another v Cedar Park Properties 39 (Pty) Ltd &amp; Others (935/2020) </w:t>
      </w:r>
    </w:p>
    <w:p w14:paraId="2CD3D067" w14:textId="0F68E972" w:rsidR="00C71905" w:rsidRPr="00C71905" w:rsidRDefault="00C66F95" w:rsidP="00C66F95">
      <w:pPr>
        <w:pStyle w:val="FootnoteText"/>
        <w:ind w:left="180" w:hanging="180"/>
        <w:rPr>
          <w:rFonts w:ascii="Arial" w:hAnsi="Arial" w:cs="Arial"/>
          <w:sz w:val="20"/>
          <w:szCs w:val="20"/>
        </w:rPr>
      </w:pPr>
      <w:r>
        <w:rPr>
          <w:rFonts w:ascii="Arial" w:hAnsi="Arial" w:cs="Arial"/>
          <w:sz w:val="20"/>
          <w:szCs w:val="20"/>
        </w:rPr>
        <w:t xml:space="preserve">  </w:t>
      </w:r>
      <w:r w:rsidR="00C71905" w:rsidRPr="00C71905">
        <w:rPr>
          <w:rFonts w:ascii="Arial" w:hAnsi="Arial" w:cs="Arial"/>
          <w:sz w:val="20"/>
          <w:szCs w:val="20"/>
        </w:rPr>
        <w:t>[2022] ZASCA 65 (9 May 2022)</w:t>
      </w:r>
    </w:p>
  </w:footnote>
  <w:footnote w:id="5">
    <w:p w14:paraId="3F15E694" w14:textId="4E5F38A7" w:rsidR="00625106" w:rsidRPr="00625106" w:rsidRDefault="00625106">
      <w:pPr>
        <w:pStyle w:val="FootnoteText"/>
        <w:rPr>
          <w:rFonts w:ascii="Arial" w:hAnsi="Arial" w:cs="Arial"/>
          <w:sz w:val="20"/>
          <w:szCs w:val="20"/>
        </w:rPr>
      </w:pPr>
      <w:r w:rsidRPr="00625106">
        <w:rPr>
          <w:rStyle w:val="FootnoteReference"/>
          <w:rFonts w:ascii="Arial" w:hAnsi="Arial" w:cs="Arial"/>
          <w:sz w:val="20"/>
          <w:szCs w:val="20"/>
        </w:rPr>
        <w:footnoteRef/>
      </w:r>
      <w:r w:rsidRPr="00625106">
        <w:rPr>
          <w:rFonts w:ascii="Arial" w:hAnsi="Arial" w:cs="Arial"/>
          <w:sz w:val="20"/>
          <w:szCs w:val="20"/>
        </w:rPr>
        <w:t xml:space="preserve"> Member of the Executive Council for Health, Gauteng v Lushaba 2017 (1) SA 106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B674"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74B4B"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6F61" w14:textId="6E217165"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383">
      <w:rPr>
        <w:rStyle w:val="PageNumber"/>
        <w:noProof/>
      </w:rPr>
      <w:t>7</w:t>
    </w:r>
    <w:r>
      <w:rPr>
        <w:rStyle w:val="PageNumber"/>
      </w:rPr>
      <w:fldChar w:fldCharType="end"/>
    </w:r>
  </w:p>
  <w:p w14:paraId="6E31ADC2"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3"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DFA3C2D"/>
    <w:multiLevelType w:val="hybridMultilevel"/>
    <w:tmpl w:val="30F0BD38"/>
    <w:lvl w:ilvl="0" w:tplc="5FB62AB8">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1E02209"/>
    <w:multiLevelType w:val="hybridMultilevel"/>
    <w:tmpl w:val="85BE56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5215367A"/>
    <w:multiLevelType w:val="multilevel"/>
    <w:tmpl w:val="6E9E04F8"/>
    <w:lvl w:ilvl="0">
      <w:start w:val="1"/>
      <w:numFmt w:val="decimal"/>
      <w:lvlText w:val="%1."/>
      <w:lvlJc w:val="left"/>
      <w:pPr>
        <w:ind w:left="720" w:hanging="360"/>
      </w:pPr>
      <w:rPr>
        <w:rFonts w:hint="default"/>
        <w:sz w:val="24"/>
        <w:szCs w:val="24"/>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810E9"/>
    <w:multiLevelType w:val="hybridMultilevel"/>
    <w:tmpl w:val="82C41B5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0206C50"/>
    <w:multiLevelType w:val="hybridMultilevel"/>
    <w:tmpl w:val="F1BC64E2"/>
    <w:lvl w:ilvl="0" w:tplc="B908F660">
      <w:start w:val="1"/>
      <w:numFmt w:val="decimal"/>
      <w:lvlText w:val="%1."/>
      <w:lvlJc w:val="left"/>
      <w:pPr>
        <w:ind w:left="360" w:hanging="360"/>
      </w:pPr>
      <w:rPr>
        <w:rFonts w:hint="default"/>
        <w:b w:val="0"/>
        <w:bCs/>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93E2EA5"/>
    <w:multiLevelType w:val="hybridMultilevel"/>
    <w:tmpl w:val="C7EA0894"/>
    <w:lvl w:ilvl="0" w:tplc="011A94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7234A"/>
    <w:multiLevelType w:val="hybridMultilevel"/>
    <w:tmpl w:val="EE6C5F2A"/>
    <w:lvl w:ilvl="0" w:tplc="057A5D54">
      <w:start w:val="1"/>
      <w:numFmt w:val="lowerLetter"/>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7"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
  </w:num>
  <w:num w:numId="5">
    <w:abstractNumId w:val="4"/>
  </w:num>
  <w:num w:numId="6">
    <w:abstractNumId w:val="13"/>
  </w:num>
  <w:num w:numId="7">
    <w:abstractNumId w:val="18"/>
  </w:num>
  <w:num w:numId="8">
    <w:abstractNumId w:val="17"/>
  </w:num>
  <w:num w:numId="9">
    <w:abstractNumId w:val="3"/>
  </w:num>
  <w:num w:numId="10">
    <w:abstractNumId w:val="5"/>
  </w:num>
  <w:num w:numId="11">
    <w:abstractNumId w:val="9"/>
  </w:num>
  <w:num w:numId="12">
    <w:abstractNumId w:val="2"/>
  </w:num>
  <w:num w:numId="13">
    <w:abstractNumId w:val="10"/>
  </w:num>
  <w:num w:numId="14">
    <w:abstractNumId w:val="12"/>
  </w:num>
  <w:num w:numId="15">
    <w:abstractNumId w:val="8"/>
  </w:num>
  <w:num w:numId="16">
    <w:abstractNumId w:val="16"/>
  </w:num>
  <w:num w:numId="17">
    <w:abstractNumId w:val="1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076E1"/>
    <w:rsid w:val="000104B4"/>
    <w:rsid w:val="000218AC"/>
    <w:rsid w:val="0002295E"/>
    <w:rsid w:val="00022E29"/>
    <w:rsid w:val="0002716E"/>
    <w:rsid w:val="00027CBC"/>
    <w:rsid w:val="00030EDB"/>
    <w:rsid w:val="00040A97"/>
    <w:rsid w:val="00044032"/>
    <w:rsid w:val="00050078"/>
    <w:rsid w:val="00052547"/>
    <w:rsid w:val="000578D1"/>
    <w:rsid w:val="00060BA3"/>
    <w:rsid w:val="00062CEF"/>
    <w:rsid w:val="0006302B"/>
    <w:rsid w:val="00070EA4"/>
    <w:rsid w:val="000730BB"/>
    <w:rsid w:val="0008376B"/>
    <w:rsid w:val="000838A0"/>
    <w:rsid w:val="0008544C"/>
    <w:rsid w:val="00085E25"/>
    <w:rsid w:val="0008693D"/>
    <w:rsid w:val="000926F4"/>
    <w:rsid w:val="000964D1"/>
    <w:rsid w:val="000971DB"/>
    <w:rsid w:val="000A26D7"/>
    <w:rsid w:val="000A5272"/>
    <w:rsid w:val="000C091F"/>
    <w:rsid w:val="000C13AB"/>
    <w:rsid w:val="000C1577"/>
    <w:rsid w:val="000C1D16"/>
    <w:rsid w:val="000C4554"/>
    <w:rsid w:val="000C6FBE"/>
    <w:rsid w:val="000D0136"/>
    <w:rsid w:val="000E07B1"/>
    <w:rsid w:val="000E5109"/>
    <w:rsid w:val="000E5543"/>
    <w:rsid w:val="000E5FB9"/>
    <w:rsid w:val="000E6633"/>
    <w:rsid w:val="000F4966"/>
    <w:rsid w:val="001004D6"/>
    <w:rsid w:val="00101D88"/>
    <w:rsid w:val="001021EE"/>
    <w:rsid w:val="00103EC1"/>
    <w:rsid w:val="0010749D"/>
    <w:rsid w:val="00110539"/>
    <w:rsid w:val="00114724"/>
    <w:rsid w:val="00121456"/>
    <w:rsid w:val="0012310D"/>
    <w:rsid w:val="00125FBF"/>
    <w:rsid w:val="00127B1A"/>
    <w:rsid w:val="0013492F"/>
    <w:rsid w:val="00144EA8"/>
    <w:rsid w:val="00151F35"/>
    <w:rsid w:val="00155668"/>
    <w:rsid w:val="0016046F"/>
    <w:rsid w:val="00161F55"/>
    <w:rsid w:val="00163683"/>
    <w:rsid w:val="00170D43"/>
    <w:rsid w:val="001721F5"/>
    <w:rsid w:val="001732C8"/>
    <w:rsid w:val="0017465D"/>
    <w:rsid w:val="0018645D"/>
    <w:rsid w:val="00194AFD"/>
    <w:rsid w:val="00194BAE"/>
    <w:rsid w:val="001A21CD"/>
    <w:rsid w:val="001A4DD3"/>
    <w:rsid w:val="001A7F86"/>
    <w:rsid w:val="001B288A"/>
    <w:rsid w:val="001B487B"/>
    <w:rsid w:val="001D6C62"/>
    <w:rsid w:val="001D6F4F"/>
    <w:rsid w:val="001D7244"/>
    <w:rsid w:val="001E6710"/>
    <w:rsid w:val="001E7BDB"/>
    <w:rsid w:val="001F07DD"/>
    <w:rsid w:val="001F450A"/>
    <w:rsid w:val="001F4AE5"/>
    <w:rsid w:val="002003EF"/>
    <w:rsid w:val="00201A93"/>
    <w:rsid w:val="002040D5"/>
    <w:rsid w:val="00205098"/>
    <w:rsid w:val="00205D53"/>
    <w:rsid w:val="0020751F"/>
    <w:rsid w:val="0021216F"/>
    <w:rsid w:val="002122DA"/>
    <w:rsid w:val="002129F5"/>
    <w:rsid w:val="0021667B"/>
    <w:rsid w:val="00232BFD"/>
    <w:rsid w:val="00232EA0"/>
    <w:rsid w:val="002332DE"/>
    <w:rsid w:val="00235638"/>
    <w:rsid w:val="00242E76"/>
    <w:rsid w:val="00244901"/>
    <w:rsid w:val="00254146"/>
    <w:rsid w:val="00255485"/>
    <w:rsid w:val="00264079"/>
    <w:rsid w:val="00265336"/>
    <w:rsid w:val="00267036"/>
    <w:rsid w:val="0027008F"/>
    <w:rsid w:val="00280528"/>
    <w:rsid w:val="00281CA0"/>
    <w:rsid w:val="00283B34"/>
    <w:rsid w:val="00287E6E"/>
    <w:rsid w:val="002914E5"/>
    <w:rsid w:val="0029767F"/>
    <w:rsid w:val="002A51AF"/>
    <w:rsid w:val="002A53F8"/>
    <w:rsid w:val="002A6A3F"/>
    <w:rsid w:val="002B0A35"/>
    <w:rsid w:val="002B25CA"/>
    <w:rsid w:val="002B4437"/>
    <w:rsid w:val="002B69B1"/>
    <w:rsid w:val="002C413A"/>
    <w:rsid w:val="002C4D4E"/>
    <w:rsid w:val="002C7527"/>
    <w:rsid w:val="002D6A2A"/>
    <w:rsid w:val="002D6BF0"/>
    <w:rsid w:val="002E1F21"/>
    <w:rsid w:val="00307191"/>
    <w:rsid w:val="00313396"/>
    <w:rsid w:val="003155D7"/>
    <w:rsid w:val="00315722"/>
    <w:rsid w:val="00315C11"/>
    <w:rsid w:val="00316515"/>
    <w:rsid w:val="00322298"/>
    <w:rsid w:val="00323F5E"/>
    <w:rsid w:val="00331FDC"/>
    <w:rsid w:val="00333325"/>
    <w:rsid w:val="003348C6"/>
    <w:rsid w:val="00334F20"/>
    <w:rsid w:val="00335D42"/>
    <w:rsid w:val="00341E97"/>
    <w:rsid w:val="00342015"/>
    <w:rsid w:val="00346C05"/>
    <w:rsid w:val="00360697"/>
    <w:rsid w:val="00363165"/>
    <w:rsid w:val="00371BE5"/>
    <w:rsid w:val="00375DC6"/>
    <w:rsid w:val="00376B87"/>
    <w:rsid w:val="00385391"/>
    <w:rsid w:val="00385FBC"/>
    <w:rsid w:val="003A14B0"/>
    <w:rsid w:val="003A20FB"/>
    <w:rsid w:val="003A3574"/>
    <w:rsid w:val="003A5BC8"/>
    <w:rsid w:val="003B6C23"/>
    <w:rsid w:val="003C415E"/>
    <w:rsid w:val="003C432D"/>
    <w:rsid w:val="003C53F6"/>
    <w:rsid w:val="003E6BDA"/>
    <w:rsid w:val="003F37AE"/>
    <w:rsid w:val="003F404E"/>
    <w:rsid w:val="003F46D7"/>
    <w:rsid w:val="003F6889"/>
    <w:rsid w:val="00406F88"/>
    <w:rsid w:val="004075F2"/>
    <w:rsid w:val="00412E0C"/>
    <w:rsid w:val="00413603"/>
    <w:rsid w:val="00413E2B"/>
    <w:rsid w:val="00416EA1"/>
    <w:rsid w:val="00417BE7"/>
    <w:rsid w:val="0042184A"/>
    <w:rsid w:val="00422311"/>
    <w:rsid w:val="004247F2"/>
    <w:rsid w:val="00425F53"/>
    <w:rsid w:val="00432B66"/>
    <w:rsid w:val="00435092"/>
    <w:rsid w:val="00440D4B"/>
    <w:rsid w:val="0044117D"/>
    <w:rsid w:val="0044361B"/>
    <w:rsid w:val="00443ADE"/>
    <w:rsid w:val="00444C8B"/>
    <w:rsid w:val="0045149D"/>
    <w:rsid w:val="00452A4C"/>
    <w:rsid w:val="00454072"/>
    <w:rsid w:val="00460F1A"/>
    <w:rsid w:val="00461E12"/>
    <w:rsid w:val="00475569"/>
    <w:rsid w:val="00475A8E"/>
    <w:rsid w:val="0048191C"/>
    <w:rsid w:val="00482966"/>
    <w:rsid w:val="00482AA7"/>
    <w:rsid w:val="004854D5"/>
    <w:rsid w:val="0049074E"/>
    <w:rsid w:val="0049313B"/>
    <w:rsid w:val="004C1A07"/>
    <w:rsid w:val="004C680E"/>
    <w:rsid w:val="004C6A1E"/>
    <w:rsid w:val="004D12FE"/>
    <w:rsid w:val="004D3845"/>
    <w:rsid w:val="004D3BF0"/>
    <w:rsid w:val="004E581A"/>
    <w:rsid w:val="004F0167"/>
    <w:rsid w:val="00500DA0"/>
    <w:rsid w:val="005069D9"/>
    <w:rsid w:val="0051359C"/>
    <w:rsid w:val="00514611"/>
    <w:rsid w:val="0051651C"/>
    <w:rsid w:val="00540198"/>
    <w:rsid w:val="00547AC7"/>
    <w:rsid w:val="00551B4C"/>
    <w:rsid w:val="0055431B"/>
    <w:rsid w:val="005560EF"/>
    <w:rsid w:val="00564F62"/>
    <w:rsid w:val="0057074A"/>
    <w:rsid w:val="005720E9"/>
    <w:rsid w:val="00587548"/>
    <w:rsid w:val="00587BF3"/>
    <w:rsid w:val="00595099"/>
    <w:rsid w:val="005A26A9"/>
    <w:rsid w:val="005A2F73"/>
    <w:rsid w:val="005B0DB3"/>
    <w:rsid w:val="005B118D"/>
    <w:rsid w:val="005B6266"/>
    <w:rsid w:val="005B75C1"/>
    <w:rsid w:val="005D3007"/>
    <w:rsid w:val="005D4790"/>
    <w:rsid w:val="005E0DE4"/>
    <w:rsid w:val="005E2259"/>
    <w:rsid w:val="005E230C"/>
    <w:rsid w:val="005E448E"/>
    <w:rsid w:val="005F206A"/>
    <w:rsid w:val="005F49B3"/>
    <w:rsid w:val="005F653D"/>
    <w:rsid w:val="006036F8"/>
    <w:rsid w:val="00605316"/>
    <w:rsid w:val="006077A9"/>
    <w:rsid w:val="00610D0B"/>
    <w:rsid w:val="00613E4D"/>
    <w:rsid w:val="00615A0C"/>
    <w:rsid w:val="0061695E"/>
    <w:rsid w:val="006216B4"/>
    <w:rsid w:val="00625106"/>
    <w:rsid w:val="00632C9A"/>
    <w:rsid w:val="00640A01"/>
    <w:rsid w:val="006430C0"/>
    <w:rsid w:val="00644BB3"/>
    <w:rsid w:val="00646138"/>
    <w:rsid w:val="00650745"/>
    <w:rsid w:val="00651B9B"/>
    <w:rsid w:val="00653433"/>
    <w:rsid w:val="00655236"/>
    <w:rsid w:val="006630FB"/>
    <w:rsid w:val="006710DC"/>
    <w:rsid w:val="00675035"/>
    <w:rsid w:val="00676987"/>
    <w:rsid w:val="00677BC9"/>
    <w:rsid w:val="00683071"/>
    <w:rsid w:val="00685764"/>
    <w:rsid w:val="00686AFF"/>
    <w:rsid w:val="00695349"/>
    <w:rsid w:val="00695533"/>
    <w:rsid w:val="006A1AA8"/>
    <w:rsid w:val="006A37E3"/>
    <w:rsid w:val="006A6DDB"/>
    <w:rsid w:val="006A770C"/>
    <w:rsid w:val="006B0014"/>
    <w:rsid w:val="006B3D1D"/>
    <w:rsid w:val="006B67ED"/>
    <w:rsid w:val="006C705A"/>
    <w:rsid w:val="006D0714"/>
    <w:rsid w:val="006E4415"/>
    <w:rsid w:val="006E462C"/>
    <w:rsid w:val="006F2787"/>
    <w:rsid w:val="006F40B5"/>
    <w:rsid w:val="00706081"/>
    <w:rsid w:val="00707C51"/>
    <w:rsid w:val="00712652"/>
    <w:rsid w:val="00713A5D"/>
    <w:rsid w:val="00720FEF"/>
    <w:rsid w:val="0072221F"/>
    <w:rsid w:val="007240E6"/>
    <w:rsid w:val="0073212D"/>
    <w:rsid w:val="00733746"/>
    <w:rsid w:val="00735EB8"/>
    <w:rsid w:val="00736CDA"/>
    <w:rsid w:val="00737291"/>
    <w:rsid w:val="00742BAE"/>
    <w:rsid w:val="00750CC1"/>
    <w:rsid w:val="00753AD4"/>
    <w:rsid w:val="00755484"/>
    <w:rsid w:val="00763002"/>
    <w:rsid w:val="00765D3B"/>
    <w:rsid w:val="007679D5"/>
    <w:rsid w:val="00771E0F"/>
    <w:rsid w:val="007728D2"/>
    <w:rsid w:val="00775876"/>
    <w:rsid w:val="007848B7"/>
    <w:rsid w:val="00785866"/>
    <w:rsid w:val="00786B1A"/>
    <w:rsid w:val="007875AE"/>
    <w:rsid w:val="0078777C"/>
    <w:rsid w:val="007970E1"/>
    <w:rsid w:val="007A288E"/>
    <w:rsid w:val="007A53BB"/>
    <w:rsid w:val="007B2C1E"/>
    <w:rsid w:val="007B46F6"/>
    <w:rsid w:val="007B5BD6"/>
    <w:rsid w:val="007B63CD"/>
    <w:rsid w:val="007C373C"/>
    <w:rsid w:val="007C7D36"/>
    <w:rsid w:val="007D17B5"/>
    <w:rsid w:val="007D24A3"/>
    <w:rsid w:val="007E14BF"/>
    <w:rsid w:val="007E7B98"/>
    <w:rsid w:val="007F0BBF"/>
    <w:rsid w:val="007F4EBC"/>
    <w:rsid w:val="007F5651"/>
    <w:rsid w:val="007F7FED"/>
    <w:rsid w:val="0080634A"/>
    <w:rsid w:val="00806DFA"/>
    <w:rsid w:val="00821383"/>
    <w:rsid w:val="00821962"/>
    <w:rsid w:val="00822511"/>
    <w:rsid w:val="008275A6"/>
    <w:rsid w:val="0083215B"/>
    <w:rsid w:val="0083710F"/>
    <w:rsid w:val="00837200"/>
    <w:rsid w:val="00840547"/>
    <w:rsid w:val="0084332A"/>
    <w:rsid w:val="008465D6"/>
    <w:rsid w:val="00860899"/>
    <w:rsid w:val="00866025"/>
    <w:rsid w:val="0088233C"/>
    <w:rsid w:val="008A3877"/>
    <w:rsid w:val="008B1922"/>
    <w:rsid w:val="008B1A58"/>
    <w:rsid w:val="008B1B71"/>
    <w:rsid w:val="008B2182"/>
    <w:rsid w:val="008C18AE"/>
    <w:rsid w:val="008C3603"/>
    <w:rsid w:val="008C4597"/>
    <w:rsid w:val="008C45A5"/>
    <w:rsid w:val="008D34A8"/>
    <w:rsid w:val="008D4FD5"/>
    <w:rsid w:val="008D79A3"/>
    <w:rsid w:val="008E4705"/>
    <w:rsid w:val="008E5BBF"/>
    <w:rsid w:val="008E5E4D"/>
    <w:rsid w:val="008F2EA2"/>
    <w:rsid w:val="009007B6"/>
    <w:rsid w:val="00901159"/>
    <w:rsid w:val="009026AA"/>
    <w:rsid w:val="00911000"/>
    <w:rsid w:val="00911F9D"/>
    <w:rsid w:val="009155B3"/>
    <w:rsid w:val="00916812"/>
    <w:rsid w:val="00916FDE"/>
    <w:rsid w:val="009227A6"/>
    <w:rsid w:val="00923678"/>
    <w:rsid w:val="00926EAA"/>
    <w:rsid w:val="0093492C"/>
    <w:rsid w:val="0093762E"/>
    <w:rsid w:val="00940B57"/>
    <w:rsid w:val="00941562"/>
    <w:rsid w:val="009447E3"/>
    <w:rsid w:val="00944BDE"/>
    <w:rsid w:val="0094618C"/>
    <w:rsid w:val="00950A27"/>
    <w:rsid w:val="0095576C"/>
    <w:rsid w:val="009732B6"/>
    <w:rsid w:val="00974554"/>
    <w:rsid w:val="00976D15"/>
    <w:rsid w:val="00977E1A"/>
    <w:rsid w:val="009838D5"/>
    <w:rsid w:val="00987290"/>
    <w:rsid w:val="009950C9"/>
    <w:rsid w:val="00996B9B"/>
    <w:rsid w:val="009A269B"/>
    <w:rsid w:val="009A33C1"/>
    <w:rsid w:val="009A72B3"/>
    <w:rsid w:val="009A79F1"/>
    <w:rsid w:val="009B099B"/>
    <w:rsid w:val="009B2BC9"/>
    <w:rsid w:val="009B36AA"/>
    <w:rsid w:val="009B4C31"/>
    <w:rsid w:val="009B699E"/>
    <w:rsid w:val="009C3B83"/>
    <w:rsid w:val="009D57DB"/>
    <w:rsid w:val="009E1EF1"/>
    <w:rsid w:val="009E4B4F"/>
    <w:rsid w:val="009F22F0"/>
    <w:rsid w:val="009F43A4"/>
    <w:rsid w:val="009F5E83"/>
    <w:rsid w:val="00A01777"/>
    <w:rsid w:val="00A06E43"/>
    <w:rsid w:val="00A07432"/>
    <w:rsid w:val="00A12932"/>
    <w:rsid w:val="00A13793"/>
    <w:rsid w:val="00A156AE"/>
    <w:rsid w:val="00A15E04"/>
    <w:rsid w:val="00A165EA"/>
    <w:rsid w:val="00A22388"/>
    <w:rsid w:val="00A228F5"/>
    <w:rsid w:val="00A24B93"/>
    <w:rsid w:val="00A337E6"/>
    <w:rsid w:val="00A3600A"/>
    <w:rsid w:val="00A43F9C"/>
    <w:rsid w:val="00A4634B"/>
    <w:rsid w:val="00A46C72"/>
    <w:rsid w:val="00A50C50"/>
    <w:rsid w:val="00A52FDF"/>
    <w:rsid w:val="00A54C36"/>
    <w:rsid w:val="00A554C6"/>
    <w:rsid w:val="00A56BC1"/>
    <w:rsid w:val="00A600CF"/>
    <w:rsid w:val="00A61D39"/>
    <w:rsid w:val="00A62353"/>
    <w:rsid w:val="00A63F51"/>
    <w:rsid w:val="00A75EF4"/>
    <w:rsid w:val="00A77551"/>
    <w:rsid w:val="00A9010C"/>
    <w:rsid w:val="00A901C5"/>
    <w:rsid w:val="00A9025B"/>
    <w:rsid w:val="00AA663B"/>
    <w:rsid w:val="00AB0426"/>
    <w:rsid w:val="00AB1510"/>
    <w:rsid w:val="00AB2DE7"/>
    <w:rsid w:val="00AB4CA7"/>
    <w:rsid w:val="00AB636E"/>
    <w:rsid w:val="00AB6798"/>
    <w:rsid w:val="00AD49F8"/>
    <w:rsid w:val="00AE1E5D"/>
    <w:rsid w:val="00AE4E9C"/>
    <w:rsid w:val="00AF1688"/>
    <w:rsid w:val="00AF3194"/>
    <w:rsid w:val="00AF7DAD"/>
    <w:rsid w:val="00B11DEB"/>
    <w:rsid w:val="00B120C9"/>
    <w:rsid w:val="00B20170"/>
    <w:rsid w:val="00B21489"/>
    <w:rsid w:val="00B22495"/>
    <w:rsid w:val="00B244B7"/>
    <w:rsid w:val="00B27848"/>
    <w:rsid w:val="00B3097A"/>
    <w:rsid w:val="00B3106B"/>
    <w:rsid w:val="00B404D0"/>
    <w:rsid w:val="00B44F10"/>
    <w:rsid w:val="00B50E11"/>
    <w:rsid w:val="00B64D36"/>
    <w:rsid w:val="00B70181"/>
    <w:rsid w:val="00B73443"/>
    <w:rsid w:val="00B8347D"/>
    <w:rsid w:val="00B83F4A"/>
    <w:rsid w:val="00B862D2"/>
    <w:rsid w:val="00B908DF"/>
    <w:rsid w:val="00B914B6"/>
    <w:rsid w:val="00B92A41"/>
    <w:rsid w:val="00B9551D"/>
    <w:rsid w:val="00B95693"/>
    <w:rsid w:val="00B95E84"/>
    <w:rsid w:val="00BA1F62"/>
    <w:rsid w:val="00BB3F9A"/>
    <w:rsid w:val="00BD2454"/>
    <w:rsid w:val="00BF09B4"/>
    <w:rsid w:val="00BF51A8"/>
    <w:rsid w:val="00C04C43"/>
    <w:rsid w:val="00C11D38"/>
    <w:rsid w:val="00C33AAD"/>
    <w:rsid w:val="00C4185B"/>
    <w:rsid w:val="00C45291"/>
    <w:rsid w:val="00C468B1"/>
    <w:rsid w:val="00C519B2"/>
    <w:rsid w:val="00C52737"/>
    <w:rsid w:val="00C53B19"/>
    <w:rsid w:val="00C5727B"/>
    <w:rsid w:val="00C63FFA"/>
    <w:rsid w:val="00C64B6A"/>
    <w:rsid w:val="00C66F95"/>
    <w:rsid w:val="00C71905"/>
    <w:rsid w:val="00C72A6C"/>
    <w:rsid w:val="00C7361A"/>
    <w:rsid w:val="00C7460D"/>
    <w:rsid w:val="00C82502"/>
    <w:rsid w:val="00C8430A"/>
    <w:rsid w:val="00C9262D"/>
    <w:rsid w:val="00CA6C2A"/>
    <w:rsid w:val="00CB2381"/>
    <w:rsid w:val="00CB2439"/>
    <w:rsid w:val="00CB52E7"/>
    <w:rsid w:val="00CB6F8A"/>
    <w:rsid w:val="00CC02A7"/>
    <w:rsid w:val="00CC3AB3"/>
    <w:rsid w:val="00CD1BDD"/>
    <w:rsid w:val="00CE09E5"/>
    <w:rsid w:val="00CE0CC7"/>
    <w:rsid w:val="00CE30E0"/>
    <w:rsid w:val="00CE3BED"/>
    <w:rsid w:val="00CE6C1E"/>
    <w:rsid w:val="00CF05BE"/>
    <w:rsid w:val="00CF1B27"/>
    <w:rsid w:val="00CF7D86"/>
    <w:rsid w:val="00CF7D99"/>
    <w:rsid w:val="00D00B2E"/>
    <w:rsid w:val="00D026E5"/>
    <w:rsid w:val="00D0642F"/>
    <w:rsid w:val="00D16320"/>
    <w:rsid w:val="00D2145B"/>
    <w:rsid w:val="00D23AB6"/>
    <w:rsid w:val="00D2698D"/>
    <w:rsid w:val="00D31928"/>
    <w:rsid w:val="00D344C1"/>
    <w:rsid w:val="00D42B06"/>
    <w:rsid w:val="00D523A1"/>
    <w:rsid w:val="00D526DF"/>
    <w:rsid w:val="00D61362"/>
    <w:rsid w:val="00D674DC"/>
    <w:rsid w:val="00D73D76"/>
    <w:rsid w:val="00D77C76"/>
    <w:rsid w:val="00D83CC8"/>
    <w:rsid w:val="00D91BA3"/>
    <w:rsid w:val="00D96192"/>
    <w:rsid w:val="00DA44A9"/>
    <w:rsid w:val="00DA7A8D"/>
    <w:rsid w:val="00DB19FF"/>
    <w:rsid w:val="00DB40AE"/>
    <w:rsid w:val="00DC0738"/>
    <w:rsid w:val="00DD0D2F"/>
    <w:rsid w:val="00DD4D3D"/>
    <w:rsid w:val="00DE0282"/>
    <w:rsid w:val="00DE1587"/>
    <w:rsid w:val="00DE39D7"/>
    <w:rsid w:val="00DF0D64"/>
    <w:rsid w:val="00DF1032"/>
    <w:rsid w:val="00DF4D83"/>
    <w:rsid w:val="00E01835"/>
    <w:rsid w:val="00E02EAF"/>
    <w:rsid w:val="00E03204"/>
    <w:rsid w:val="00E03B46"/>
    <w:rsid w:val="00E067A2"/>
    <w:rsid w:val="00E0771B"/>
    <w:rsid w:val="00E077DF"/>
    <w:rsid w:val="00E07A72"/>
    <w:rsid w:val="00E10EE6"/>
    <w:rsid w:val="00E15BCC"/>
    <w:rsid w:val="00E3052B"/>
    <w:rsid w:val="00E31629"/>
    <w:rsid w:val="00E324F2"/>
    <w:rsid w:val="00E3432B"/>
    <w:rsid w:val="00E43F8E"/>
    <w:rsid w:val="00E45186"/>
    <w:rsid w:val="00E50554"/>
    <w:rsid w:val="00E507F0"/>
    <w:rsid w:val="00E51144"/>
    <w:rsid w:val="00E55848"/>
    <w:rsid w:val="00E63F2E"/>
    <w:rsid w:val="00E65FD4"/>
    <w:rsid w:val="00E7210A"/>
    <w:rsid w:val="00E72A79"/>
    <w:rsid w:val="00E7487B"/>
    <w:rsid w:val="00E802B6"/>
    <w:rsid w:val="00E82E00"/>
    <w:rsid w:val="00E8500B"/>
    <w:rsid w:val="00E8695C"/>
    <w:rsid w:val="00E86AD4"/>
    <w:rsid w:val="00E904E4"/>
    <w:rsid w:val="00E932B5"/>
    <w:rsid w:val="00E94C86"/>
    <w:rsid w:val="00E95904"/>
    <w:rsid w:val="00E972D3"/>
    <w:rsid w:val="00EA79AD"/>
    <w:rsid w:val="00EB239A"/>
    <w:rsid w:val="00EC7C52"/>
    <w:rsid w:val="00ED011F"/>
    <w:rsid w:val="00ED23AA"/>
    <w:rsid w:val="00ED58E4"/>
    <w:rsid w:val="00ED68B8"/>
    <w:rsid w:val="00EE0738"/>
    <w:rsid w:val="00EE0DBB"/>
    <w:rsid w:val="00EE7699"/>
    <w:rsid w:val="00EE7C9E"/>
    <w:rsid w:val="00EF0C48"/>
    <w:rsid w:val="00EF46E6"/>
    <w:rsid w:val="00EF5F44"/>
    <w:rsid w:val="00EF626F"/>
    <w:rsid w:val="00EF629B"/>
    <w:rsid w:val="00F00B18"/>
    <w:rsid w:val="00F113FD"/>
    <w:rsid w:val="00F12440"/>
    <w:rsid w:val="00F142DB"/>
    <w:rsid w:val="00F16056"/>
    <w:rsid w:val="00F21520"/>
    <w:rsid w:val="00F25D67"/>
    <w:rsid w:val="00F26354"/>
    <w:rsid w:val="00F3578B"/>
    <w:rsid w:val="00F43A15"/>
    <w:rsid w:val="00F43C52"/>
    <w:rsid w:val="00F44185"/>
    <w:rsid w:val="00F471C4"/>
    <w:rsid w:val="00F53553"/>
    <w:rsid w:val="00F5420B"/>
    <w:rsid w:val="00F55C9B"/>
    <w:rsid w:val="00F56324"/>
    <w:rsid w:val="00F57032"/>
    <w:rsid w:val="00F62C95"/>
    <w:rsid w:val="00F63187"/>
    <w:rsid w:val="00F6399E"/>
    <w:rsid w:val="00F71C68"/>
    <w:rsid w:val="00F85632"/>
    <w:rsid w:val="00F87163"/>
    <w:rsid w:val="00F87892"/>
    <w:rsid w:val="00F90936"/>
    <w:rsid w:val="00F93BA4"/>
    <w:rsid w:val="00F95B0D"/>
    <w:rsid w:val="00F95B87"/>
    <w:rsid w:val="00F96145"/>
    <w:rsid w:val="00F97E13"/>
    <w:rsid w:val="00FC01F2"/>
    <w:rsid w:val="00FC0385"/>
    <w:rsid w:val="00FC76E7"/>
    <w:rsid w:val="00FD07EE"/>
    <w:rsid w:val="00FD36CE"/>
    <w:rsid w:val="00FD48A0"/>
    <w:rsid w:val="00FE07D3"/>
    <w:rsid w:val="00FE53D2"/>
    <w:rsid w:val="00FE7C5E"/>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7EA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12552263">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021D9C-BDFD-4B07-8664-404E566D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Mary Bruce</cp:lastModifiedBy>
  <cp:revision>8</cp:revision>
  <cp:lastPrinted>2022-08-08T06:31:00Z</cp:lastPrinted>
  <dcterms:created xsi:type="dcterms:W3CDTF">2022-09-21T06:05:00Z</dcterms:created>
  <dcterms:modified xsi:type="dcterms:W3CDTF">2022-10-19T10:33:00Z</dcterms:modified>
</cp:coreProperties>
</file>