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67D" w:rsidRPr="0033567D" w:rsidRDefault="0033567D" w:rsidP="0033567D">
      <w:r>
        <w:rPr>
          <w:rFonts w:ascii="Arial" w:hAnsi="Arial" w:cs="Arial"/>
          <w:color w:val="FF0000"/>
        </w:rPr>
        <w:t>Editorial note: Certain information has been redacted from this judgment in compliance with the law.</w:t>
      </w:r>
    </w:p>
    <w:p w:rsidR="00275B99" w:rsidRDefault="00275B99" w:rsidP="00275B99">
      <w:pPr>
        <w:spacing w:line="360" w:lineRule="auto"/>
        <w:jc w:val="center"/>
        <w:rPr>
          <w:rFonts w:ascii="Raavi" w:eastAsia="Calibri" w:hAnsi="Raavi" w:cs="Raavi"/>
          <w:b/>
          <w:sz w:val="28"/>
          <w:szCs w:val="28"/>
          <w:u w:val="single"/>
        </w:rPr>
      </w:pPr>
      <w:r>
        <w:rPr>
          <w:noProof/>
          <w:lang w:eastAsia="en-ZA"/>
        </w:rPr>
        <w:drawing>
          <wp:inline distT="0" distB="0" distL="0" distR="0" wp14:anchorId="2537F519" wp14:editId="6EC285EA">
            <wp:extent cx="1476375" cy="1285875"/>
            <wp:effectExtent l="0" t="0" r="9525" b="9525"/>
            <wp:docPr id="1" name="Picture 1" descr="http://ocj000-intranet/assets/judiciary-logo---seal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ocj000-intranet/assets/judiciary-logo---seal-2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100000"/>
                              </a14:imgEffect>
                              <a14:imgEffect>
                                <a14:colorTemperature colorTemp="58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B99" w:rsidRPr="00D14312" w:rsidRDefault="00275B99" w:rsidP="00275B99">
      <w:pPr>
        <w:spacing w:line="360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D14312">
        <w:rPr>
          <w:rFonts w:ascii="Arial" w:eastAsia="Calibri" w:hAnsi="Arial" w:cs="Arial"/>
          <w:b/>
          <w:sz w:val="28"/>
          <w:szCs w:val="28"/>
          <w:u w:val="single"/>
        </w:rPr>
        <w:t>IN THE HIGH COURT OF SOUTH AFRICA</w:t>
      </w:r>
    </w:p>
    <w:p w:rsidR="00275B99" w:rsidRPr="00D14312" w:rsidRDefault="00275B99" w:rsidP="00275B99">
      <w:pPr>
        <w:spacing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14312">
        <w:rPr>
          <w:rFonts w:ascii="Arial" w:eastAsia="Calibri" w:hAnsi="Arial" w:cs="Arial"/>
          <w:b/>
          <w:sz w:val="28"/>
          <w:szCs w:val="28"/>
        </w:rPr>
        <w:t>(GAUTENG DIVISION, PRETORIA)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275B99" w:rsidRPr="00D14312" w:rsidTr="00C92ADB">
        <w:tc>
          <w:tcPr>
            <w:tcW w:w="4428" w:type="dxa"/>
          </w:tcPr>
          <w:p w:rsidR="00275B99" w:rsidRPr="00D14312" w:rsidRDefault="00275B99" w:rsidP="00C92ADB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14312">
              <w:rPr>
                <w:rFonts w:ascii="Arial" w:eastAsia="Calibri" w:hAnsi="Arial" w:cs="Arial"/>
                <w:b/>
                <w:sz w:val="18"/>
                <w:szCs w:val="18"/>
              </w:rPr>
              <w:t>DELETE WHICHEVER IS NOT APPLICABLE</w:t>
            </w:r>
          </w:p>
          <w:p w:rsidR="00275B99" w:rsidRPr="00D14312" w:rsidRDefault="00BA435D" w:rsidP="00C92ADB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(1) REPORTABLE:  </w:t>
            </w:r>
            <w:r w:rsidR="00275B99" w:rsidRPr="00D14312">
              <w:rPr>
                <w:rFonts w:ascii="Arial" w:eastAsia="Calibri" w:hAnsi="Arial" w:cs="Arial"/>
                <w:b/>
                <w:sz w:val="18"/>
                <w:szCs w:val="18"/>
              </w:rPr>
              <w:t>NO.</w:t>
            </w:r>
          </w:p>
          <w:p w:rsidR="00275B99" w:rsidRPr="00D14312" w:rsidRDefault="00275B99" w:rsidP="00C92ADB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14312">
              <w:rPr>
                <w:rFonts w:ascii="Arial" w:eastAsia="Calibri" w:hAnsi="Arial" w:cs="Arial"/>
                <w:b/>
                <w:sz w:val="18"/>
                <w:szCs w:val="18"/>
              </w:rPr>
              <w:t>(2) OF I</w:t>
            </w:r>
            <w:r w:rsidR="00BA435D">
              <w:rPr>
                <w:rFonts w:ascii="Arial" w:eastAsia="Calibri" w:hAnsi="Arial" w:cs="Arial"/>
                <w:b/>
                <w:sz w:val="18"/>
                <w:szCs w:val="18"/>
              </w:rPr>
              <w:t xml:space="preserve">NTEREST TO OTHER JUDGES:  </w:t>
            </w:r>
            <w:r w:rsidRPr="00D14312">
              <w:rPr>
                <w:rFonts w:ascii="Arial" w:eastAsia="Calibri" w:hAnsi="Arial" w:cs="Arial"/>
                <w:b/>
                <w:sz w:val="18"/>
                <w:szCs w:val="18"/>
              </w:rPr>
              <w:t>NO.</w:t>
            </w:r>
          </w:p>
          <w:p w:rsidR="00275B99" w:rsidRPr="00D14312" w:rsidRDefault="00275B99" w:rsidP="00C92ADB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14312">
              <w:rPr>
                <w:rFonts w:ascii="Arial" w:eastAsia="Calibri" w:hAnsi="Arial" w:cs="Arial"/>
                <w:b/>
                <w:sz w:val="18"/>
                <w:szCs w:val="18"/>
              </w:rPr>
              <w:t>(3) REVISED.</w:t>
            </w:r>
          </w:p>
          <w:p w:rsidR="00275B99" w:rsidRPr="00D14312" w:rsidRDefault="00BA435D" w:rsidP="00C92ADB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2022-10-13</w:t>
            </w:r>
          </w:p>
          <w:p w:rsidR="00275B99" w:rsidRPr="00D14312" w:rsidRDefault="00275B99" w:rsidP="00C92ADB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</w:pPr>
            <w:r w:rsidRPr="00D14312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DATE</w:t>
            </w:r>
            <w:r w:rsidRPr="00D14312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                                        </w:t>
            </w:r>
            <w:r w:rsidRPr="00D14312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SIGNATURE</w:t>
            </w:r>
          </w:p>
        </w:tc>
      </w:tr>
    </w:tbl>
    <w:p w:rsidR="00275B99" w:rsidRPr="00D14312" w:rsidRDefault="00275B99" w:rsidP="00275B99">
      <w:pPr>
        <w:spacing w:line="360" w:lineRule="auto"/>
        <w:jc w:val="right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Case Number:  59537/2021</w:t>
      </w:r>
    </w:p>
    <w:p w:rsidR="00275B99" w:rsidRPr="00D14312" w:rsidRDefault="00275B99" w:rsidP="00275B99">
      <w:pPr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D14312">
        <w:rPr>
          <w:rFonts w:ascii="Arial" w:eastAsia="Calibri" w:hAnsi="Arial" w:cs="Arial"/>
          <w:sz w:val="28"/>
          <w:szCs w:val="28"/>
        </w:rPr>
        <w:t>In the matter between:</w:t>
      </w:r>
    </w:p>
    <w:p w:rsidR="00275B99" w:rsidRDefault="00275B99" w:rsidP="00275B9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14312">
        <w:rPr>
          <w:rFonts w:ascii="Arial" w:hAnsi="Arial" w:cs="Arial"/>
          <w:b/>
          <w:sz w:val="28"/>
          <w:szCs w:val="28"/>
        </w:rPr>
        <w:t xml:space="preserve">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275B99" w:rsidRDefault="00275B99" w:rsidP="00275B9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D</w:t>
      </w:r>
      <w:r w:rsidR="0033567D">
        <w:rPr>
          <w:rFonts w:ascii="Arial" w:hAnsi="Arial" w:cs="Arial"/>
          <w:b/>
          <w:sz w:val="28"/>
          <w:szCs w:val="28"/>
        </w:rPr>
        <w:t>[</w:t>
      </w:r>
      <w:proofErr w:type="gramEnd"/>
      <w:r w:rsidR="0033567D">
        <w:rPr>
          <w:rFonts w:ascii="Arial" w:hAnsi="Arial" w:cs="Arial"/>
          <w:b/>
          <w:sz w:val="28"/>
          <w:szCs w:val="28"/>
        </w:rPr>
        <w:t xml:space="preserve">…] </w:t>
      </w:r>
      <w:r>
        <w:rPr>
          <w:rFonts w:ascii="Arial" w:hAnsi="Arial" w:cs="Arial"/>
          <w:b/>
          <w:sz w:val="28"/>
          <w:szCs w:val="28"/>
        </w:rPr>
        <w:t>S</w:t>
      </w:r>
      <w:r w:rsidR="0033567D">
        <w:rPr>
          <w:rFonts w:ascii="Arial" w:hAnsi="Arial" w:cs="Arial"/>
          <w:b/>
          <w:sz w:val="28"/>
          <w:szCs w:val="28"/>
        </w:rPr>
        <w:t>[…]</w:t>
      </w:r>
    </w:p>
    <w:p w:rsidR="001630D5" w:rsidRPr="001630D5" w:rsidRDefault="001630D5" w:rsidP="00275B9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F5094D">
        <w:rPr>
          <w:rFonts w:ascii="Arial" w:hAnsi="Arial" w:cs="Arial"/>
          <w:sz w:val="28"/>
          <w:szCs w:val="28"/>
        </w:rPr>
        <w:t>dentity number</w:t>
      </w:r>
      <w:proofErr w:type="gramStart"/>
      <w:r>
        <w:rPr>
          <w:rFonts w:ascii="Arial" w:hAnsi="Arial" w:cs="Arial"/>
          <w:sz w:val="28"/>
          <w:szCs w:val="28"/>
        </w:rPr>
        <w:t xml:space="preserve">:  </w:t>
      </w:r>
      <w:r w:rsidR="0033567D">
        <w:rPr>
          <w:rFonts w:ascii="Arial" w:hAnsi="Arial" w:cs="Arial"/>
          <w:sz w:val="28"/>
          <w:szCs w:val="28"/>
        </w:rPr>
        <w:t>[</w:t>
      </w:r>
      <w:proofErr w:type="gramEnd"/>
      <w:r w:rsidR="0033567D">
        <w:rPr>
          <w:rFonts w:ascii="Arial" w:hAnsi="Arial" w:cs="Arial"/>
          <w:sz w:val="28"/>
          <w:szCs w:val="28"/>
        </w:rPr>
        <w:t xml:space="preserve">…]                        </w:t>
      </w:r>
      <w:r w:rsidR="00F5094D">
        <w:rPr>
          <w:rFonts w:ascii="Arial" w:hAnsi="Arial" w:cs="Arial"/>
          <w:sz w:val="28"/>
          <w:szCs w:val="28"/>
        </w:rPr>
        <w:tab/>
      </w:r>
      <w:r w:rsidR="00F5094D">
        <w:rPr>
          <w:rFonts w:ascii="Arial" w:hAnsi="Arial" w:cs="Arial"/>
          <w:sz w:val="28"/>
          <w:szCs w:val="28"/>
        </w:rPr>
        <w:tab/>
      </w:r>
      <w:r w:rsidR="00F5094D">
        <w:rPr>
          <w:rFonts w:ascii="Arial" w:hAnsi="Arial" w:cs="Arial"/>
          <w:sz w:val="28"/>
          <w:szCs w:val="28"/>
        </w:rPr>
        <w:tab/>
      </w:r>
      <w:r w:rsidR="00F5094D">
        <w:rPr>
          <w:rFonts w:ascii="Arial" w:hAnsi="Arial" w:cs="Arial"/>
          <w:sz w:val="28"/>
          <w:szCs w:val="28"/>
        </w:rPr>
        <w:tab/>
        <w:t xml:space="preserve">        </w:t>
      </w:r>
      <w:r>
        <w:rPr>
          <w:rFonts w:ascii="Arial" w:hAnsi="Arial" w:cs="Arial"/>
          <w:sz w:val="28"/>
          <w:szCs w:val="28"/>
        </w:rPr>
        <w:t>Applicant</w:t>
      </w:r>
    </w:p>
    <w:p w:rsidR="001630D5" w:rsidRDefault="001630D5" w:rsidP="00275B99">
      <w:pPr>
        <w:spacing w:line="360" w:lineRule="auto"/>
        <w:rPr>
          <w:rFonts w:ascii="Arial" w:hAnsi="Arial" w:cs="Arial"/>
          <w:sz w:val="28"/>
          <w:szCs w:val="28"/>
        </w:rPr>
      </w:pPr>
    </w:p>
    <w:p w:rsidR="00275B99" w:rsidRDefault="001630D5" w:rsidP="00275B9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275B99" w:rsidRPr="00D14312">
        <w:rPr>
          <w:rFonts w:ascii="Arial" w:hAnsi="Arial" w:cs="Arial"/>
          <w:sz w:val="28"/>
          <w:szCs w:val="28"/>
        </w:rPr>
        <w:t>nd</w:t>
      </w:r>
    </w:p>
    <w:p w:rsidR="001630D5" w:rsidRDefault="001630D5" w:rsidP="00275B99">
      <w:pPr>
        <w:spacing w:line="360" w:lineRule="auto"/>
        <w:rPr>
          <w:rFonts w:ascii="Arial" w:hAnsi="Arial" w:cs="Arial"/>
          <w:sz w:val="28"/>
          <w:szCs w:val="28"/>
        </w:rPr>
      </w:pPr>
    </w:p>
    <w:p w:rsidR="001630D5" w:rsidRDefault="001630D5" w:rsidP="00275B99">
      <w:pPr>
        <w:spacing w:line="360" w:lineRule="auto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L</w:t>
      </w:r>
      <w:r w:rsidR="0033567D">
        <w:rPr>
          <w:rFonts w:ascii="Arial" w:hAnsi="Arial" w:cs="Arial"/>
          <w:b/>
          <w:sz w:val="28"/>
          <w:szCs w:val="28"/>
        </w:rPr>
        <w:t>[</w:t>
      </w:r>
      <w:proofErr w:type="gramEnd"/>
      <w:r w:rsidR="0033567D">
        <w:rPr>
          <w:rFonts w:ascii="Arial" w:hAnsi="Arial" w:cs="Arial"/>
          <w:b/>
          <w:sz w:val="28"/>
          <w:szCs w:val="28"/>
        </w:rPr>
        <w:t>…]</w:t>
      </w:r>
      <w:r>
        <w:rPr>
          <w:rFonts w:ascii="Arial" w:hAnsi="Arial" w:cs="Arial"/>
          <w:b/>
          <w:sz w:val="28"/>
          <w:szCs w:val="28"/>
        </w:rPr>
        <w:t xml:space="preserve"> M</w:t>
      </w:r>
      <w:r w:rsidR="0033567D">
        <w:rPr>
          <w:rFonts w:ascii="Arial" w:hAnsi="Arial" w:cs="Arial"/>
          <w:b/>
          <w:sz w:val="28"/>
          <w:szCs w:val="28"/>
        </w:rPr>
        <w:t>[…]</w:t>
      </w:r>
      <w:r>
        <w:rPr>
          <w:rFonts w:ascii="Arial" w:hAnsi="Arial" w:cs="Arial"/>
          <w:b/>
          <w:sz w:val="28"/>
          <w:szCs w:val="28"/>
        </w:rPr>
        <w:t xml:space="preserve">       </w:t>
      </w:r>
    </w:p>
    <w:p w:rsidR="001630D5" w:rsidRPr="001630D5" w:rsidRDefault="00F5094D" w:rsidP="00275B9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Identity number</w:t>
      </w:r>
      <w:proofErr w:type="gramStart"/>
      <w:r w:rsidR="001630D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 </w:t>
      </w:r>
      <w:r w:rsidR="0033567D">
        <w:rPr>
          <w:rFonts w:ascii="Arial" w:hAnsi="Arial" w:cs="Arial"/>
          <w:sz w:val="28"/>
          <w:szCs w:val="28"/>
        </w:rPr>
        <w:t>[</w:t>
      </w:r>
      <w:proofErr w:type="gramEnd"/>
      <w:r w:rsidR="0033567D">
        <w:rPr>
          <w:rFonts w:ascii="Arial" w:hAnsi="Arial" w:cs="Arial"/>
          <w:sz w:val="28"/>
          <w:szCs w:val="28"/>
        </w:rPr>
        <w:t xml:space="preserve">…]                     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</w:t>
      </w:r>
      <w:r w:rsidR="001630D5">
        <w:rPr>
          <w:rFonts w:ascii="Arial" w:hAnsi="Arial" w:cs="Arial"/>
          <w:sz w:val="28"/>
          <w:szCs w:val="28"/>
        </w:rPr>
        <w:t>Respondent</w:t>
      </w:r>
    </w:p>
    <w:p w:rsidR="001630D5" w:rsidRDefault="001630D5" w:rsidP="00275B99">
      <w:pPr>
        <w:spacing w:line="360" w:lineRule="auto"/>
        <w:rPr>
          <w:rFonts w:ascii="Arial" w:hAnsi="Arial" w:cs="Arial"/>
          <w:sz w:val="28"/>
          <w:szCs w:val="28"/>
        </w:rPr>
      </w:pPr>
    </w:p>
    <w:p w:rsidR="001630D5" w:rsidRPr="00D14312" w:rsidRDefault="001630D5" w:rsidP="00275B99">
      <w:pPr>
        <w:spacing w:line="360" w:lineRule="auto"/>
        <w:rPr>
          <w:rFonts w:ascii="Arial" w:hAnsi="Arial" w:cs="Arial"/>
          <w:sz w:val="28"/>
          <w:szCs w:val="28"/>
        </w:rPr>
      </w:pPr>
    </w:p>
    <w:p w:rsidR="00275B99" w:rsidRPr="00D14312" w:rsidRDefault="00275B99" w:rsidP="001630D5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75B99" w:rsidRPr="00D14312" w:rsidRDefault="00275B99" w:rsidP="001630D5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14312">
        <w:rPr>
          <w:rFonts w:ascii="Arial" w:hAnsi="Arial" w:cs="Arial"/>
          <w:b/>
          <w:sz w:val="28"/>
          <w:szCs w:val="28"/>
        </w:rPr>
        <w:t>JUDGMENT</w:t>
      </w:r>
    </w:p>
    <w:p w:rsidR="00275B99" w:rsidRPr="00D14312" w:rsidRDefault="00275B99" w:rsidP="00275B99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275B99" w:rsidRPr="00D14312" w:rsidRDefault="00275B99" w:rsidP="00275B9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275B99" w:rsidRPr="00D14312" w:rsidRDefault="00275B99" w:rsidP="00275B99">
      <w:pPr>
        <w:rPr>
          <w:rFonts w:ascii="Arial" w:hAnsi="Arial" w:cs="Arial"/>
          <w:b/>
          <w:sz w:val="28"/>
          <w:szCs w:val="28"/>
        </w:rPr>
      </w:pPr>
      <w:r w:rsidRPr="00D14312">
        <w:rPr>
          <w:rFonts w:ascii="Arial" w:hAnsi="Arial" w:cs="Arial"/>
          <w:b/>
          <w:sz w:val="28"/>
          <w:szCs w:val="28"/>
        </w:rPr>
        <w:t>POTTERILL J</w:t>
      </w:r>
    </w:p>
    <w:p w:rsidR="00275B99" w:rsidRPr="00D14312" w:rsidRDefault="00275B99" w:rsidP="00275B99">
      <w:pPr>
        <w:rPr>
          <w:rFonts w:ascii="Arial" w:hAnsi="Arial" w:cs="Arial"/>
          <w:b/>
          <w:sz w:val="28"/>
          <w:szCs w:val="28"/>
        </w:rPr>
      </w:pPr>
    </w:p>
    <w:p w:rsidR="001630D5" w:rsidRPr="001630D5" w:rsidRDefault="00275B99" w:rsidP="00BA435D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D14312">
        <w:rPr>
          <w:rFonts w:ascii="Arial" w:hAnsi="Arial" w:cs="Arial"/>
          <w:sz w:val="24"/>
          <w:szCs w:val="24"/>
        </w:rPr>
        <w:t>[1]</w:t>
      </w:r>
      <w:r w:rsidRPr="00D14312">
        <w:rPr>
          <w:rFonts w:ascii="Arial" w:hAnsi="Arial" w:cs="Arial"/>
          <w:sz w:val="24"/>
          <w:szCs w:val="24"/>
        </w:rPr>
        <w:tab/>
      </w:r>
      <w:r w:rsidR="001630D5">
        <w:rPr>
          <w:rFonts w:ascii="Arial" w:hAnsi="Arial" w:cs="Arial"/>
          <w:sz w:val="24"/>
          <w:szCs w:val="24"/>
        </w:rPr>
        <w:t xml:space="preserve">In this matter for ease of reference I will refer to the parties by name.  Ms. </w:t>
      </w:r>
      <w:proofErr w:type="gramStart"/>
      <w:r w:rsidR="001630D5">
        <w:rPr>
          <w:rFonts w:ascii="Arial" w:hAnsi="Arial" w:cs="Arial"/>
          <w:sz w:val="24"/>
          <w:szCs w:val="24"/>
        </w:rPr>
        <w:t>M</w:t>
      </w:r>
      <w:r w:rsidR="00AB0F44">
        <w:rPr>
          <w:rFonts w:ascii="Arial" w:hAnsi="Arial" w:cs="Arial"/>
          <w:sz w:val="24"/>
          <w:szCs w:val="24"/>
        </w:rPr>
        <w:t>[</w:t>
      </w:r>
      <w:proofErr w:type="gramEnd"/>
      <w:r w:rsidR="00AB0F44">
        <w:rPr>
          <w:rFonts w:ascii="Arial" w:hAnsi="Arial" w:cs="Arial"/>
          <w:sz w:val="24"/>
          <w:szCs w:val="24"/>
        </w:rPr>
        <w:t>…]</w:t>
      </w:r>
      <w:r w:rsidR="001630D5">
        <w:rPr>
          <w:rFonts w:ascii="Arial" w:hAnsi="Arial" w:cs="Arial"/>
          <w:sz w:val="24"/>
          <w:szCs w:val="24"/>
        </w:rPr>
        <w:t xml:space="preserve"> issued and served a subpoena </w:t>
      </w:r>
      <w:proofErr w:type="spellStart"/>
      <w:r w:rsidR="001630D5">
        <w:rPr>
          <w:rFonts w:ascii="Arial" w:hAnsi="Arial" w:cs="Arial"/>
          <w:i/>
          <w:sz w:val="24"/>
          <w:szCs w:val="24"/>
        </w:rPr>
        <w:t>duces</w:t>
      </w:r>
      <w:proofErr w:type="spellEnd"/>
      <w:r w:rsidR="001630D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630D5">
        <w:rPr>
          <w:rFonts w:ascii="Arial" w:hAnsi="Arial" w:cs="Arial"/>
          <w:i/>
          <w:sz w:val="24"/>
          <w:szCs w:val="24"/>
        </w:rPr>
        <w:t>tecum</w:t>
      </w:r>
      <w:proofErr w:type="spellEnd"/>
      <w:r w:rsidR="001630D5">
        <w:rPr>
          <w:rFonts w:ascii="Arial" w:hAnsi="Arial" w:cs="Arial"/>
          <w:i/>
          <w:sz w:val="24"/>
          <w:szCs w:val="24"/>
        </w:rPr>
        <w:t xml:space="preserve"> </w:t>
      </w:r>
      <w:r w:rsidR="001630D5">
        <w:rPr>
          <w:rFonts w:ascii="Arial" w:hAnsi="Arial" w:cs="Arial"/>
          <w:sz w:val="24"/>
          <w:szCs w:val="24"/>
        </w:rPr>
        <w:t>on Investec Bank L</w:t>
      </w:r>
      <w:r w:rsidR="00BA435D">
        <w:rPr>
          <w:rFonts w:ascii="Arial" w:hAnsi="Arial" w:cs="Arial"/>
          <w:sz w:val="24"/>
          <w:szCs w:val="24"/>
        </w:rPr>
        <w:t xml:space="preserve">td, the bank </w:t>
      </w:r>
      <w:r w:rsidR="001630D5">
        <w:rPr>
          <w:rFonts w:ascii="Arial" w:hAnsi="Arial" w:cs="Arial"/>
          <w:sz w:val="24"/>
          <w:szCs w:val="24"/>
        </w:rPr>
        <w:t>who Mr S</w:t>
      </w:r>
      <w:r w:rsidR="00AB0F44">
        <w:rPr>
          <w:rFonts w:ascii="Arial" w:hAnsi="Arial" w:cs="Arial"/>
          <w:sz w:val="24"/>
          <w:szCs w:val="24"/>
        </w:rPr>
        <w:t>[…]</w:t>
      </w:r>
      <w:r w:rsidR="001630D5">
        <w:rPr>
          <w:rFonts w:ascii="Arial" w:hAnsi="Arial" w:cs="Arial"/>
          <w:sz w:val="24"/>
          <w:szCs w:val="24"/>
        </w:rPr>
        <w:t xml:space="preserve"> applied to for a mortgage bond.</w:t>
      </w:r>
      <w:r w:rsidR="00BA435D">
        <w:rPr>
          <w:rFonts w:ascii="Arial" w:hAnsi="Arial" w:cs="Arial"/>
          <w:sz w:val="24"/>
          <w:szCs w:val="24"/>
        </w:rPr>
        <w:t xml:space="preserve">  </w:t>
      </w:r>
      <w:r w:rsidR="001630D5">
        <w:rPr>
          <w:rFonts w:ascii="Arial" w:hAnsi="Arial" w:cs="Arial"/>
          <w:sz w:val="24"/>
          <w:szCs w:val="24"/>
        </w:rPr>
        <w:t xml:space="preserve">The subpoena </w:t>
      </w:r>
      <w:proofErr w:type="spellStart"/>
      <w:r w:rsidR="001630D5">
        <w:rPr>
          <w:rFonts w:ascii="Arial" w:hAnsi="Arial" w:cs="Arial"/>
          <w:i/>
          <w:sz w:val="24"/>
          <w:szCs w:val="24"/>
        </w:rPr>
        <w:t>duces</w:t>
      </w:r>
      <w:proofErr w:type="spellEnd"/>
      <w:r w:rsidR="001630D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630D5">
        <w:rPr>
          <w:rFonts w:ascii="Arial" w:hAnsi="Arial" w:cs="Arial"/>
          <w:i/>
          <w:sz w:val="24"/>
          <w:szCs w:val="24"/>
        </w:rPr>
        <w:t>tucem</w:t>
      </w:r>
      <w:proofErr w:type="spellEnd"/>
      <w:r w:rsidR="001630D5">
        <w:rPr>
          <w:rFonts w:ascii="Arial" w:hAnsi="Arial" w:cs="Arial"/>
          <w:i/>
          <w:sz w:val="24"/>
          <w:szCs w:val="24"/>
        </w:rPr>
        <w:t xml:space="preserve"> </w:t>
      </w:r>
      <w:r w:rsidR="001630D5">
        <w:rPr>
          <w:rFonts w:ascii="Arial" w:hAnsi="Arial" w:cs="Arial"/>
          <w:sz w:val="24"/>
          <w:szCs w:val="24"/>
        </w:rPr>
        <w:t xml:space="preserve">was issued by Ms </w:t>
      </w:r>
      <w:proofErr w:type="gramStart"/>
      <w:r w:rsidR="001630D5">
        <w:rPr>
          <w:rFonts w:ascii="Arial" w:hAnsi="Arial" w:cs="Arial"/>
          <w:sz w:val="24"/>
          <w:szCs w:val="24"/>
        </w:rPr>
        <w:t>M</w:t>
      </w:r>
      <w:r w:rsidR="00AB0F44">
        <w:rPr>
          <w:rFonts w:ascii="Arial" w:hAnsi="Arial" w:cs="Arial"/>
          <w:sz w:val="24"/>
          <w:szCs w:val="24"/>
        </w:rPr>
        <w:t>[</w:t>
      </w:r>
      <w:proofErr w:type="gramEnd"/>
      <w:r w:rsidR="00AB0F44">
        <w:rPr>
          <w:rFonts w:ascii="Arial" w:hAnsi="Arial" w:cs="Arial"/>
          <w:sz w:val="24"/>
          <w:szCs w:val="24"/>
        </w:rPr>
        <w:t>…]</w:t>
      </w:r>
      <w:r w:rsidR="001630D5">
        <w:rPr>
          <w:rFonts w:ascii="Arial" w:hAnsi="Arial" w:cs="Arial"/>
          <w:sz w:val="24"/>
          <w:szCs w:val="24"/>
        </w:rPr>
        <w:t xml:space="preserve"> purportedly in terms of Rule 38 of the Uniform Rules of Court.</w:t>
      </w:r>
    </w:p>
    <w:p w:rsidR="001630D5" w:rsidRDefault="001630D5" w:rsidP="001630D5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BA435D" w:rsidRDefault="00BA435D" w:rsidP="00BA435D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</w:t>
      </w:r>
      <w:r w:rsidR="001630D5">
        <w:rPr>
          <w:rFonts w:ascii="Arial" w:hAnsi="Arial" w:cs="Arial"/>
          <w:sz w:val="24"/>
          <w:szCs w:val="24"/>
        </w:rPr>
        <w:t>]</w:t>
      </w:r>
      <w:r w:rsidR="001630D5">
        <w:rPr>
          <w:rFonts w:ascii="Arial" w:hAnsi="Arial" w:cs="Arial"/>
          <w:sz w:val="24"/>
          <w:szCs w:val="24"/>
        </w:rPr>
        <w:tab/>
        <w:t xml:space="preserve">Ms </w:t>
      </w:r>
      <w:proofErr w:type="gramStart"/>
      <w:r w:rsidR="001630D5">
        <w:rPr>
          <w:rFonts w:ascii="Arial" w:hAnsi="Arial" w:cs="Arial"/>
          <w:sz w:val="24"/>
          <w:szCs w:val="24"/>
        </w:rPr>
        <w:t>M</w:t>
      </w:r>
      <w:r w:rsidR="00AB0F44">
        <w:rPr>
          <w:rFonts w:ascii="Arial" w:hAnsi="Arial" w:cs="Arial"/>
          <w:sz w:val="24"/>
          <w:szCs w:val="24"/>
        </w:rPr>
        <w:t>[</w:t>
      </w:r>
      <w:proofErr w:type="gramEnd"/>
      <w:r w:rsidR="00AB0F44">
        <w:rPr>
          <w:rFonts w:ascii="Arial" w:hAnsi="Arial" w:cs="Arial"/>
          <w:sz w:val="24"/>
          <w:szCs w:val="24"/>
        </w:rPr>
        <w:t>…]</w:t>
      </w:r>
      <w:r w:rsidR="001630D5">
        <w:rPr>
          <w:rFonts w:ascii="Arial" w:hAnsi="Arial" w:cs="Arial"/>
          <w:sz w:val="24"/>
          <w:szCs w:val="24"/>
        </w:rPr>
        <w:t xml:space="preserve"> and Mr S</w:t>
      </w:r>
      <w:r w:rsidR="00AB0F44">
        <w:rPr>
          <w:rFonts w:ascii="Arial" w:hAnsi="Arial" w:cs="Arial"/>
          <w:sz w:val="24"/>
          <w:szCs w:val="24"/>
        </w:rPr>
        <w:t>[…]</w:t>
      </w:r>
      <w:r w:rsidR="001630D5">
        <w:rPr>
          <w:rFonts w:ascii="Arial" w:hAnsi="Arial" w:cs="Arial"/>
          <w:sz w:val="24"/>
          <w:szCs w:val="24"/>
        </w:rPr>
        <w:t xml:space="preserve"> are unmarried, but have a daughter.  Ms </w:t>
      </w:r>
      <w:proofErr w:type="gramStart"/>
      <w:r w:rsidR="001630D5">
        <w:rPr>
          <w:rFonts w:ascii="Arial" w:hAnsi="Arial" w:cs="Arial"/>
          <w:sz w:val="24"/>
          <w:szCs w:val="24"/>
        </w:rPr>
        <w:t>M</w:t>
      </w:r>
      <w:r w:rsidR="00AB0F44">
        <w:rPr>
          <w:rFonts w:ascii="Arial" w:hAnsi="Arial" w:cs="Arial"/>
          <w:sz w:val="24"/>
          <w:szCs w:val="24"/>
        </w:rPr>
        <w:t>[</w:t>
      </w:r>
      <w:proofErr w:type="gramEnd"/>
      <w:r w:rsidR="00AB0F44">
        <w:rPr>
          <w:rFonts w:ascii="Arial" w:hAnsi="Arial" w:cs="Arial"/>
          <w:sz w:val="24"/>
          <w:szCs w:val="24"/>
        </w:rPr>
        <w:t>…]</w:t>
      </w:r>
      <w:r w:rsidR="001630D5">
        <w:rPr>
          <w:rFonts w:ascii="Arial" w:hAnsi="Arial" w:cs="Arial"/>
          <w:sz w:val="24"/>
          <w:szCs w:val="24"/>
        </w:rPr>
        <w:t xml:space="preserve"> launched an application </w:t>
      </w:r>
      <w:r>
        <w:rPr>
          <w:rFonts w:ascii="Arial" w:hAnsi="Arial" w:cs="Arial"/>
          <w:sz w:val="24"/>
          <w:szCs w:val="24"/>
        </w:rPr>
        <w:t xml:space="preserve">[the main application] </w:t>
      </w:r>
      <w:r w:rsidR="001630D5">
        <w:rPr>
          <w:rFonts w:ascii="Arial" w:hAnsi="Arial" w:cs="Arial"/>
          <w:sz w:val="24"/>
          <w:szCs w:val="24"/>
        </w:rPr>
        <w:t>to declare a motor vehicle a gift from Mr S</w:t>
      </w:r>
      <w:r w:rsidR="00AB0F44">
        <w:rPr>
          <w:rFonts w:ascii="Arial" w:hAnsi="Arial" w:cs="Arial"/>
          <w:sz w:val="24"/>
          <w:szCs w:val="24"/>
        </w:rPr>
        <w:t>[…]</w:t>
      </w:r>
      <w:r w:rsidR="001630D5">
        <w:rPr>
          <w:rFonts w:ascii="Arial" w:hAnsi="Arial" w:cs="Arial"/>
          <w:sz w:val="24"/>
          <w:szCs w:val="24"/>
        </w:rPr>
        <w:t xml:space="preserve"> to her and to order Mr S</w:t>
      </w:r>
      <w:r w:rsidR="00AB0F44">
        <w:rPr>
          <w:rFonts w:ascii="Arial" w:hAnsi="Arial" w:cs="Arial"/>
          <w:sz w:val="24"/>
          <w:szCs w:val="24"/>
        </w:rPr>
        <w:t>[…]</w:t>
      </w:r>
      <w:r w:rsidR="001630D5">
        <w:rPr>
          <w:rFonts w:ascii="Arial" w:hAnsi="Arial" w:cs="Arial"/>
          <w:sz w:val="24"/>
          <w:szCs w:val="24"/>
        </w:rPr>
        <w:t xml:space="preserve"> to pay the monthly instalment and insurance and to register the vehicle in the applicant’s name upon the last instalment</w:t>
      </w:r>
      <w:r>
        <w:rPr>
          <w:rFonts w:ascii="Arial" w:hAnsi="Arial" w:cs="Arial"/>
          <w:sz w:val="24"/>
          <w:szCs w:val="24"/>
        </w:rPr>
        <w:t xml:space="preserve"> being paid.  </w:t>
      </w:r>
      <w:r w:rsidR="001D5FA3">
        <w:rPr>
          <w:rFonts w:ascii="Arial" w:hAnsi="Arial" w:cs="Arial"/>
          <w:sz w:val="24"/>
          <w:szCs w:val="24"/>
        </w:rPr>
        <w:t xml:space="preserve">Ms </w:t>
      </w:r>
      <w:proofErr w:type="gramStart"/>
      <w:r w:rsidR="001D5FA3">
        <w:rPr>
          <w:rFonts w:ascii="Arial" w:hAnsi="Arial" w:cs="Arial"/>
          <w:sz w:val="24"/>
          <w:szCs w:val="24"/>
        </w:rPr>
        <w:t>M</w:t>
      </w:r>
      <w:r w:rsidR="00AB0F44">
        <w:rPr>
          <w:rFonts w:ascii="Arial" w:hAnsi="Arial" w:cs="Arial"/>
          <w:sz w:val="24"/>
          <w:szCs w:val="24"/>
        </w:rPr>
        <w:t>[</w:t>
      </w:r>
      <w:proofErr w:type="gramEnd"/>
      <w:r w:rsidR="00AB0F44">
        <w:rPr>
          <w:rFonts w:ascii="Arial" w:hAnsi="Arial" w:cs="Arial"/>
          <w:sz w:val="24"/>
          <w:szCs w:val="24"/>
        </w:rPr>
        <w:t>…]</w:t>
      </w:r>
      <w:r w:rsidR="001D5FA3">
        <w:rPr>
          <w:rFonts w:ascii="Arial" w:hAnsi="Arial" w:cs="Arial"/>
          <w:sz w:val="24"/>
          <w:szCs w:val="24"/>
        </w:rPr>
        <w:t xml:space="preserve"> also seeks that an alleged agreement to pay maintenance in the amount of R4 495.00 be enforced including ancillary relief thereto.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="001D5FA3">
        <w:rPr>
          <w:rFonts w:ascii="Arial" w:hAnsi="Arial" w:cs="Arial"/>
          <w:sz w:val="24"/>
          <w:szCs w:val="24"/>
        </w:rPr>
        <w:t>Furthermore</w:t>
      </w:r>
      <w:proofErr w:type="gramEnd"/>
      <w:r w:rsidR="001D5FA3">
        <w:rPr>
          <w:rFonts w:ascii="Arial" w:hAnsi="Arial" w:cs="Arial"/>
          <w:sz w:val="24"/>
          <w:szCs w:val="24"/>
        </w:rPr>
        <w:t xml:space="preserve"> interim relief is sought pertaining to the primary residence and contact rights of the minor child pending an investigation by the Family Advocate.  </w:t>
      </w:r>
    </w:p>
    <w:p w:rsidR="00BA435D" w:rsidRDefault="00BA435D" w:rsidP="00BA435D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275B99" w:rsidRDefault="00BA435D" w:rsidP="00BA435D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[3]</w:t>
      </w:r>
      <w:r>
        <w:rPr>
          <w:rFonts w:ascii="Arial" w:hAnsi="Arial" w:cs="Arial"/>
          <w:sz w:val="24"/>
          <w:szCs w:val="24"/>
        </w:rPr>
        <w:tab/>
      </w:r>
      <w:r w:rsidR="001D5FA3">
        <w:rPr>
          <w:rFonts w:ascii="Arial" w:hAnsi="Arial" w:cs="Arial"/>
          <w:sz w:val="24"/>
          <w:szCs w:val="24"/>
        </w:rPr>
        <w:t xml:space="preserve">I had expressed my concern to counsel for Ms </w:t>
      </w:r>
      <w:proofErr w:type="gramStart"/>
      <w:r w:rsidR="001D5FA3">
        <w:rPr>
          <w:rFonts w:ascii="Arial" w:hAnsi="Arial" w:cs="Arial"/>
          <w:sz w:val="24"/>
          <w:szCs w:val="24"/>
        </w:rPr>
        <w:t>M</w:t>
      </w:r>
      <w:r w:rsidR="00AB0F44">
        <w:rPr>
          <w:rFonts w:ascii="Arial" w:hAnsi="Arial" w:cs="Arial"/>
          <w:sz w:val="24"/>
          <w:szCs w:val="24"/>
        </w:rPr>
        <w:t>[</w:t>
      </w:r>
      <w:proofErr w:type="gramEnd"/>
      <w:r w:rsidR="00AB0F44">
        <w:rPr>
          <w:rFonts w:ascii="Arial" w:hAnsi="Arial" w:cs="Arial"/>
          <w:sz w:val="24"/>
          <w:szCs w:val="24"/>
        </w:rPr>
        <w:t>…]</w:t>
      </w:r>
      <w:r w:rsidR="001D5FA3">
        <w:rPr>
          <w:rFonts w:ascii="Arial" w:hAnsi="Arial" w:cs="Arial"/>
          <w:sz w:val="24"/>
          <w:szCs w:val="24"/>
        </w:rPr>
        <w:t xml:space="preserve"> that the nature of the application leans </w:t>
      </w:r>
      <w:r>
        <w:rPr>
          <w:rFonts w:ascii="Arial" w:hAnsi="Arial" w:cs="Arial"/>
          <w:sz w:val="24"/>
          <w:szCs w:val="24"/>
        </w:rPr>
        <w:t xml:space="preserve">itself </w:t>
      </w:r>
      <w:r w:rsidR="001D5FA3">
        <w:rPr>
          <w:rFonts w:ascii="Arial" w:hAnsi="Arial" w:cs="Arial"/>
          <w:sz w:val="24"/>
          <w:szCs w:val="24"/>
        </w:rPr>
        <w:t xml:space="preserve">to a </w:t>
      </w:r>
      <w:r w:rsidR="001D5FA3">
        <w:rPr>
          <w:rFonts w:ascii="Arial" w:hAnsi="Arial" w:cs="Arial"/>
          <w:i/>
          <w:sz w:val="24"/>
          <w:szCs w:val="24"/>
        </w:rPr>
        <w:t>bona fide</w:t>
      </w:r>
      <w:r w:rsidR="001D5FA3">
        <w:rPr>
          <w:i/>
        </w:rPr>
        <w:t xml:space="preserve"> </w:t>
      </w:r>
      <w:r w:rsidR="001D5FA3">
        <w:rPr>
          <w:rFonts w:ascii="Arial" w:hAnsi="Arial" w:cs="Arial"/>
          <w:sz w:val="24"/>
          <w:szCs w:val="24"/>
        </w:rPr>
        <w:t xml:space="preserve">dispute of fact which could render the application still-born.  Counsel however was of the view that in the main </w:t>
      </w:r>
      <w:r w:rsidR="001D5FA3">
        <w:rPr>
          <w:rFonts w:ascii="Arial" w:hAnsi="Arial" w:cs="Arial"/>
          <w:sz w:val="24"/>
          <w:szCs w:val="24"/>
        </w:rPr>
        <w:lastRenderedPageBreak/>
        <w:t xml:space="preserve">application there would be no dispute of fact and the matter could proceed on </w:t>
      </w:r>
      <w:r>
        <w:rPr>
          <w:rFonts w:ascii="Arial" w:hAnsi="Arial" w:cs="Arial"/>
          <w:sz w:val="24"/>
          <w:szCs w:val="24"/>
        </w:rPr>
        <w:t xml:space="preserve">mere </w:t>
      </w:r>
      <w:r w:rsidR="001D5FA3">
        <w:rPr>
          <w:rFonts w:ascii="Arial" w:hAnsi="Arial" w:cs="Arial"/>
          <w:sz w:val="24"/>
          <w:szCs w:val="24"/>
        </w:rPr>
        <w:t>affidavits.</w:t>
      </w:r>
    </w:p>
    <w:p w:rsidR="001D5FA3" w:rsidRDefault="001D5FA3" w:rsidP="001D5FA3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D5FA3" w:rsidRDefault="00BA435D" w:rsidP="001D5FA3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[4</w:t>
      </w:r>
      <w:r w:rsidR="001D5FA3">
        <w:rPr>
          <w:rFonts w:ascii="Arial" w:hAnsi="Arial" w:cs="Arial"/>
          <w:sz w:val="24"/>
          <w:szCs w:val="24"/>
        </w:rPr>
        <w:t>]</w:t>
      </w:r>
      <w:r w:rsidR="001D5FA3">
        <w:rPr>
          <w:rFonts w:ascii="Arial" w:hAnsi="Arial" w:cs="Arial"/>
          <w:sz w:val="24"/>
          <w:szCs w:val="24"/>
        </w:rPr>
        <w:tab/>
        <w:t xml:space="preserve">In the answering affidavit </w:t>
      </w:r>
      <w:r>
        <w:rPr>
          <w:rFonts w:ascii="Arial" w:hAnsi="Arial" w:cs="Arial"/>
          <w:sz w:val="24"/>
          <w:szCs w:val="24"/>
        </w:rPr>
        <w:t xml:space="preserve">to the main </w:t>
      </w:r>
      <w:r w:rsidR="001D5FA3">
        <w:rPr>
          <w:rFonts w:ascii="Arial" w:hAnsi="Arial" w:cs="Arial"/>
          <w:sz w:val="24"/>
          <w:szCs w:val="24"/>
        </w:rPr>
        <w:t xml:space="preserve">application Mr </w:t>
      </w:r>
      <w:proofErr w:type="gramStart"/>
      <w:r w:rsidR="001D5FA3">
        <w:rPr>
          <w:rFonts w:ascii="Arial" w:hAnsi="Arial" w:cs="Arial"/>
          <w:sz w:val="24"/>
          <w:szCs w:val="24"/>
        </w:rPr>
        <w:t>S</w:t>
      </w:r>
      <w:r w:rsidR="00AB0F44">
        <w:rPr>
          <w:rFonts w:ascii="Arial" w:hAnsi="Arial" w:cs="Arial"/>
          <w:sz w:val="24"/>
          <w:szCs w:val="24"/>
        </w:rPr>
        <w:t>[</w:t>
      </w:r>
      <w:proofErr w:type="gramEnd"/>
      <w:r w:rsidR="00AB0F44">
        <w:rPr>
          <w:rFonts w:ascii="Arial" w:hAnsi="Arial" w:cs="Arial"/>
          <w:sz w:val="24"/>
          <w:szCs w:val="24"/>
        </w:rPr>
        <w:t>…]</w:t>
      </w:r>
      <w:r w:rsidR="001D5FA3">
        <w:rPr>
          <w:rFonts w:ascii="Arial" w:hAnsi="Arial" w:cs="Arial"/>
          <w:sz w:val="24"/>
          <w:szCs w:val="24"/>
        </w:rPr>
        <w:t xml:space="preserve"> set out that he was experiencing financial difficulties and that he cannot afford to pay the amount maintenance claimed.  This averment caused Ms </w:t>
      </w:r>
      <w:proofErr w:type="gramStart"/>
      <w:r w:rsidR="001D5FA3">
        <w:rPr>
          <w:rFonts w:ascii="Arial" w:hAnsi="Arial" w:cs="Arial"/>
          <w:sz w:val="24"/>
          <w:szCs w:val="24"/>
        </w:rPr>
        <w:t>M</w:t>
      </w:r>
      <w:r w:rsidR="00AB0F44">
        <w:rPr>
          <w:rFonts w:ascii="Arial" w:hAnsi="Arial" w:cs="Arial"/>
          <w:sz w:val="24"/>
          <w:szCs w:val="24"/>
        </w:rPr>
        <w:t>[</w:t>
      </w:r>
      <w:proofErr w:type="gramEnd"/>
      <w:r w:rsidR="00AB0F44">
        <w:rPr>
          <w:rFonts w:ascii="Arial" w:hAnsi="Arial" w:cs="Arial"/>
          <w:sz w:val="24"/>
          <w:szCs w:val="24"/>
        </w:rPr>
        <w:t>…]</w:t>
      </w:r>
      <w:r w:rsidR="001D5FA3">
        <w:rPr>
          <w:rFonts w:ascii="Arial" w:hAnsi="Arial" w:cs="Arial"/>
          <w:sz w:val="24"/>
          <w:szCs w:val="24"/>
        </w:rPr>
        <w:t xml:space="preserve"> to resort to the issuing and service of the subpoena, because Mr S</w:t>
      </w:r>
      <w:r w:rsidR="00AB0F44">
        <w:rPr>
          <w:rFonts w:ascii="Arial" w:hAnsi="Arial" w:cs="Arial"/>
          <w:sz w:val="24"/>
          <w:szCs w:val="24"/>
        </w:rPr>
        <w:t>[…]</w:t>
      </w:r>
      <w:r w:rsidR="001D5FA3">
        <w:rPr>
          <w:rFonts w:ascii="Arial" w:hAnsi="Arial" w:cs="Arial"/>
          <w:sz w:val="24"/>
          <w:szCs w:val="24"/>
        </w:rPr>
        <w:t xml:space="preserve"> had bought a property and a vehicle, yet was pleading poverty.</w:t>
      </w:r>
    </w:p>
    <w:p w:rsidR="001D5FA3" w:rsidRDefault="001D5FA3" w:rsidP="001D5FA3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1D5FA3" w:rsidRDefault="00BA435D" w:rsidP="001D5FA3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[5</w:t>
      </w:r>
      <w:r w:rsidR="001D5FA3">
        <w:rPr>
          <w:rFonts w:ascii="Arial" w:hAnsi="Arial" w:cs="Arial"/>
          <w:sz w:val="24"/>
          <w:szCs w:val="24"/>
        </w:rPr>
        <w:t>]</w:t>
      </w:r>
      <w:r w:rsidR="001D5FA3">
        <w:rPr>
          <w:rFonts w:ascii="Arial" w:hAnsi="Arial" w:cs="Arial"/>
          <w:sz w:val="24"/>
          <w:szCs w:val="24"/>
        </w:rPr>
        <w:tab/>
        <w:t xml:space="preserve">Mr </w:t>
      </w:r>
      <w:proofErr w:type="gramStart"/>
      <w:r w:rsidR="001D5FA3">
        <w:rPr>
          <w:rFonts w:ascii="Arial" w:hAnsi="Arial" w:cs="Arial"/>
          <w:sz w:val="24"/>
          <w:szCs w:val="24"/>
        </w:rPr>
        <w:t>S</w:t>
      </w:r>
      <w:r w:rsidR="00AB0F44">
        <w:rPr>
          <w:rFonts w:ascii="Arial" w:hAnsi="Arial" w:cs="Arial"/>
          <w:sz w:val="24"/>
          <w:szCs w:val="24"/>
        </w:rPr>
        <w:t>[</w:t>
      </w:r>
      <w:proofErr w:type="gramEnd"/>
      <w:r w:rsidR="00AB0F44">
        <w:rPr>
          <w:rFonts w:ascii="Arial" w:hAnsi="Arial" w:cs="Arial"/>
          <w:sz w:val="24"/>
          <w:szCs w:val="24"/>
        </w:rPr>
        <w:t>…]</w:t>
      </w:r>
      <w:r w:rsidR="001D5FA3">
        <w:rPr>
          <w:rFonts w:ascii="Arial" w:hAnsi="Arial" w:cs="Arial"/>
          <w:sz w:val="24"/>
          <w:szCs w:val="24"/>
        </w:rPr>
        <w:t xml:space="preserve"> filed the replying affidavit </w:t>
      </w:r>
      <w:r>
        <w:rPr>
          <w:rFonts w:ascii="Arial" w:hAnsi="Arial" w:cs="Arial"/>
          <w:sz w:val="24"/>
          <w:szCs w:val="24"/>
        </w:rPr>
        <w:t xml:space="preserve">to the Rule 30 application </w:t>
      </w:r>
      <w:r w:rsidR="001D5FA3">
        <w:rPr>
          <w:rFonts w:ascii="Arial" w:hAnsi="Arial" w:cs="Arial"/>
          <w:sz w:val="24"/>
          <w:szCs w:val="24"/>
        </w:rPr>
        <w:t xml:space="preserve">late and sought condonation for the late filing thereof.  On behalf of Ms </w:t>
      </w:r>
      <w:proofErr w:type="gramStart"/>
      <w:r w:rsidR="001D5FA3">
        <w:rPr>
          <w:rFonts w:ascii="Arial" w:hAnsi="Arial" w:cs="Arial"/>
          <w:sz w:val="24"/>
          <w:szCs w:val="24"/>
        </w:rPr>
        <w:t>M</w:t>
      </w:r>
      <w:r w:rsidR="00AB0F44">
        <w:rPr>
          <w:rFonts w:ascii="Arial" w:hAnsi="Arial" w:cs="Arial"/>
          <w:sz w:val="24"/>
          <w:szCs w:val="24"/>
        </w:rPr>
        <w:t>[</w:t>
      </w:r>
      <w:proofErr w:type="gramEnd"/>
      <w:r w:rsidR="00AB0F44">
        <w:rPr>
          <w:rFonts w:ascii="Arial" w:hAnsi="Arial" w:cs="Arial"/>
          <w:sz w:val="24"/>
          <w:szCs w:val="24"/>
        </w:rPr>
        <w:t>…]</w:t>
      </w:r>
      <w:r w:rsidR="001D5FA3">
        <w:rPr>
          <w:rFonts w:ascii="Arial" w:hAnsi="Arial" w:cs="Arial"/>
          <w:sz w:val="24"/>
          <w:szCs w:val="24"/>
        </w:rPr>
        <w:t xml:space="preserve">, in order to finalise the matter, no formal objection to the condonation application was placed on record.  </w:t>
      </w:r>
      <w:proofErr w:type="gramStart"/>
      <w:r w:rsidR="001D5FA3">
        <w:rPr>
          <w:rFonts w:ascii="Arial" w:hAnsi="Arial" w:cs="Arial"/>
          <w:sz w:val="24"/>
          <w:szCs w:val="24"/>
        </w:rPr>
        <w:t>Accordingly</w:t>
      </w:r>
      <w:proofErr w:type="gramEnd"/>
      <w:r w:rsidR="001D5FA3">
        <w:rPr>
          <w:rFonts w:ascii="Arial" w:hAnsi="Arial" w:cs="Arial"/>
          <w:sz w:val="24"/>
          <w:szCs w:val="24"/>
        </w:rPr>
        <w:t xml:space="preserve"> condonation for the late filing is granted.</w:t>
      </w:r>
    </w:p>
    <w:p w:rsidR="001D5FA3" w:rsidRDefault="001D5FA3" w:rsidP="001D5FA3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1D5FA3" w:rsidRDefault="00BA435D" w:rsidP="001D5FA3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[6</w:t>
      </w:r>
      <w:r w:rsidR="001D5FA3">
        <w:rPr>
          <w:rFonts w:ascii="Arial" w:hAnsi="Arial" w:cs="Arial"/>
          <w:sz w:val="24"/>
          <w:szCs w:val="24"/>
        </w:rPr>
        <w:t>]</w:t>
      </w:r>
      <w:r w:rsidR="001D5FA3">
        <w:rPr>
          <w:rFonts w:ascii="Arial" w:hAnsi="Arial" w:cs="Arial"/>
          <w:sz w:val="24"/>
          <w:szCs w:val="24"/>
        </w:rPr>
        <w:tab/>
        <w:t xml:space="preserve">The conditional counter-application of Ms </w:t>
      </w:r>
      <w:proofErr w:type="gramStart"/>
      <w:r w:rsidR="001D5FA3">
        <w:rPr>
          <w:rFonts w:ascii="Arial" w:hAnsi="Arial" w:cs="Arial"/>
          <w:sz w:val="24"/>
          <w:szCs w:val="24"/>
        </w:rPr>
        <w:t>M</w:t>
      </w:r>
      <w:r w:rsidR="00AB0F44">
        <w:rPr>
          <w:rFonts w:ascii="Arial" w:hAnsi="Arial" w:cs="Arial"/>
          <w:sz w:val="24"/>
          <w:szCs w:val="24"/>
        </w:rPr>
        <w:t>[</w:t>
      </w:r>
      <w:proofErr w:type="gramEnd"/>
      <w:r w:rsidR="00AB0F44">
        <w:rPr>
          <w:rFonts w:ascii="Arial" w:hAnsi="Arial" w:cs="Arial"/>
          <w:sz w:val="24"/>
          <w:szCs w:val="24"/>
        </w:rPr>
        <w:t>…]</w:t>
      </w:r>
      <w:r w:rsidR="001D5FA3">
        <w:rPr>
          <w:rFonts w:ascii="Arial" w:hAnsi="Arial" w:cs="Arial"/>
          <w:sz w:val="24"/>
          <w:szCs w:val="24"/>
        </w:rPr>
        <w:t xml:space="preserve"> was conceded to be irregular in Rule 30 proceedin</w:t>
      </w:r>
      <w:r>
        <w:rPr>
          <w:rFonts w:ascii="Arial" w:hAnsi="Arial" w:cs="Arial"/>
          <w:sz w:val="24"/>
          <w:szCs w:val="24"/>
        </w:rPr>
        <w:t>gs and it was abandoned</w:t>
      </w:r>
      <w:r w:rsidR="001D5FA3">
        <w:rPr>
          <w:rFonts w:ascii="Arial" w:hAnsi="Arial" w:cs="Arial"/>
          <w:sz w:val="24"/>
          <w:szCs w:val="24"/>
        </w:rPr>
        <w:t>.</w:t>
      </w:r>
    </w:p>
    <w:p w:rsidR="001D5FA3" w:rsidRDefault="001D5FA3" w:rsidP="001D5FA3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1D5FA3" w:rsidRDefault="001D5FA3" w:rsidP="001D5FA3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The Rule 30 application</w:t>
      </w:r>
    </w:p>
    <w:p w:rsidR="001D5FA3" w:rsidRPr="001D5FA3" w:rsidRDefault="00BA435D" w:rsidP="001D5FA3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[7</w:t>
      </w:r>
      <w:r w:rsidR="001D5FA3">
        <w:rPr>
          <w:rFonts w:ascii="Arial" w:hAnsi="Arial" w:cs="Arial"/>
          <w:sz w:val="24"/>
          <w:szCs w:val="24"/>
        </w:rPr>
        <w:t>]</w:t>
      </w:r>
      <w:r w:rsidR="001D5FA3">
        <w:rPr>
          <w:rFonts w:ascii="Arial" w:hAnsi="Arial" w:cs="Arial"/>
          <w:sz w:val="24"/>
          <w:szCs w:val="24"/>
        </w:rPr>
        <w:tab/>
        <w:t xml:space="preserve">Mr </w:t>
      </w:r>
      <w:proofErr w:type="gramStart"/>
      <w:r w:rsidR="001D5FA3">
        <w:rPr>
          <w:rFonts w:ascii="Arial" w:hAnsi="Arial" w:cs="Arial"/>
          <w:sz w:val="24"/>
          <w:szCs w:val="24"/>
        </w:rPr>
        <w:t>S</w:t>
      </w:r>
      <w:r w:rsidR="00AB0F44">
        <w:rPr>
          <w:rFonts w:ascii="Arial" w:hAnsi="Arial" w:cs="Arial"/>
          <w:sz w:val="24"/>
          <w:szCs w:val="24"/>
        </w:rPr>
        <w:t>[</w:t>
      </w:r>
      <w:proofErr w:type="gramEnd"/>
      <w:r w:rsidR="00AB0F44">
        <w:rPr>
          <w:rFonts w:ascii="Arial" w:hAnsi="Arial" w:cs="Arial"/>
          <w:sz w:val="24"/>
          <w:szCs w:val="24"/>
        </w:rPr>
        <w:t>…]</w:t>
      </w:r>
      <w:r w:rsidR="001D5FA3">
        <w:rPr>
          <w:rFonts w:ascii="Arial" w:hAnsi="Arial" w:cs="Arial"/>
          <w:sz w:val="24"/>
          <w:szCs w:val="24"/>
        </w:rPr>
        <w:t xml:space="preserve"> is seeking that the subpoena </w:t>
      </w:r>
      <w:proofErr w:type="spellStart"/>
      <w:r w:rsidR="001D5FA3">
        <w:rPr>
          <w:rFonts w:ascii="Arial" w:hAnsi="Arial" w:cs="Arial"/>
          <w:i/>
          <w:sz w:val="24"/>
          <w:szCs w:val="24"/>
        </w:rPr>
        <w:t>duces</w:t>
      </w:r>
      <w:proofErr w:type="spellEnd"/>
      <w:r w:rsidR="001D5FA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D5FA3">
        <w:rPr>
          <w:rFonts w:ascii="Arial" w:hAnsi="Arial" w:cs="Arial"/>
          <w:i/>
          <w:sz w:val="24"/>
          <w:szCs w:val="24"/>
        </w:rPr>
        <w:t>tecum</w:t>
      </w:r>
      <w:proofErr w:type="spellEnd"/>
      <w:r w:rsidR="001D5FA3">
        <w:rPr>
          <w:rFonts w:ascii="Arial" w:hAnsi="Arial" w:cs="Arial"/>
          <w:i/>
          <w:sz w:val="24"/>
          <w:szCs w:val="24"/>
        </w:rPr>
        <w:t xml:space="preserve"> </w:t>
      </w:r>
      <w:r w:rsidR="001D5FA3">
        <w:rPr>
          <w:rFonts w:ascii="Arial" w:hAnsi="Arial" w:cs="Arial"/>
          <w:sz w:val="24"/>
          <w:szCs w:val="24"/>
        </w:rPr>
        <w:t>dated 23 March 2022 be set aside as an irregular step in terms of Rule 30.</w:t>
      </w:r>
    </w:p>
    <w:p w:rsidR="001D5FA3" w:rsidRDefault="001D5FA3" w:rsidP="001D5FA3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1D5FA3" w:rsidRPr="00042DD9" w:rsidRDefault="00BA435D" w:rsidP="001D5FA3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[8</w:t>
      </w:r>
      <w:r w:rsidR="001D5FA3">
        <w:rPr>
          <w:rFonts w:ascii="Arial" w:hAnsi="Arial" w:cs="Arial"/>
          <w:sz w:val="24"/>
          <w:szCs w:val="24"/>
        </w:rPr>
        <w:t>]</w:t>
      </w:r>
      <w:r w:rsidR="001D5FA3">
        <w:rPr>
          <w:rFonts w:ascii="Arial" w:hAnsi="Arial" w:cs="Arial"/>
          <w:sz w:val="24"/>
          <w:szCs w:val="24"/>
        </w:rPr>
        <w:tab/>
        <w:t>Much of the opposition to this application is only relevant to the main application.  The crisp issue is whether in an application a party can without the court’</w:t>
      </w:r>
      <w:r>
        <w:rPr>
          <w:rFonts w:ascii="Arial" w:hAnsi="Arial" w:cs="Arial"/>
          <w:sz w:val="24"/>
          <w:szCs w:val="24"/>
        </w:rPr>
        <w:t xml:space="preserve">s consent issue such </w:t>
      </w:r>
      <w:r w:rsidR="001D5FA3">
        <w:rPr>
          <w:rFonts w:ascii="Arial" w:hAnsi="Arial" w:cs="Arial"/>
          <w:sz w:val="24"/>
          <w:szCs w:val="24"/>
        </w:rPr>
        <w:t>subpoena.  Rule 38(1)(a)(iii) an</w:t>
      </w:r>
      <w:r>
        <w:rPr>
          <w:rFonts w:ascii="Arial" w:hAnsi="Arial" w:cs="Arial"/>
          <w:sz w:val="24"/>
          <w:szCs w:val="24"/>
        </w:rPr>
        <w:t>d</w:t>
      </w:r>
      <w:r w:rsidR="001D5FA3">
        <w:rPr>
          <w:rFonts w:ascii="Arial" w:hAnsi="Arial" w:cs="Arial"/>
          <w:sz w:val="24"/>
          <w:szCs w:val="24"/>
        </w:rPr>
        <w:t xml:space="preserve"> (c) of the Uniform Court Rules makes provision for various procedures to procure evidence for a trial.  Utilising Rule 38 in these circumstances is irregular.  Firstly, because it relates to securing the attendance of a witness for trial.  If, as </w:t>
      </w:r>
      <w:r w:rsidR="00042DD9">
        <w:rPr>
          <w:rFonts w:ascii="Arial" w:hAnsi="Arial" w:cs="Arial"/>
          <w:sz w:val="24"/>
          <w:szCs w:val="24"/>
        </w:rPr>
        <w:t xml:space="preserve">argued, there will be no trial to resolve factual disputes then no witness can testify.  The procedure </w:t>
      </w:r>
      <w:r w:rsidR="00042DD9">
        <w:rPr>
          <w:rFonts w:ascii="Arial" w:hAnsi="Arial" w:cs="Arial"/>
          <w:sz w:val="24"/>
          <w:szCs w:val="24"/>
        </w:rPr>
        <w:lastRenderedPageBreak/>
        <w:t xml:space="preserve">cannot be utilised to secure documentation and not a witness to tender the document into evidence.  A subpoena </w:t>
      </w:r>
      <w:proofErr w:type="spellStart"/>
      <w:r w:rsidR="00042DD9">
        <w:rPr>
          <w:rFonts w:ascii="Arial" w:hAnsi="Arial" w:cs="Arial"/>
          <w:i/>
          <w:sz w:val="24"/>
          <w:szCs w:val="24"/>
        </w:rPr>
        <w:t>duces</w:t>
      </w:r>
      <w:proofErr w:type="spellEnd"/>
      <w:r w:rsidR="00042DD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42DD9">
        <w:rPr>
          <w:rFonts w:ascii="Arial" w:hAnsi="Arial" w:cs="Arial"/>
          <w:i/>
          <w:sz w:val="24"/>
          <w:szCs w:val="24"/>
        </w:rPr>
        <w:t>tecum’s</w:t>
      </w:r>
      <w:proofErr w:type="spellEnd"/>
      <w:r w:rsidR="00042DD9">
        <w:rPr>
          <w:rFonts w:ascii="Arial" w:hAnsi="Arial" w:cs="Arial"/>
          <w:i/>
          <w:sz w:val="24"/>
          <w:szCs w:val="24"/>
        </w:rPr>
        <w:t xml:space="preserve"> </w:t>
      </w:r>
      <w:r w:rsidR="00042DD9">
        <w:rPr>
          <w:rFonts w:ascii="Arial" w:hAnsi="Arial" w:cs="Arial"/>
          <w:sz w:val="24"/>
          <w:szCs w:val="24"/>
        </w:rPr>
        <w:t>whole purpose is to facilitate the attendance of such witness to produce a document.  In this application procedure chose</w:t>
      </w:r>
      <w:r>
        <w:rPr>
          <w:rFonts w:ascii="Arial" w:hAnsi="Arial" w:cs="Arial"/>
          <w:sz w:val="24"/>
          <w:szCs w:val="24"/>
        </w:rPr>
        <w:t>n by the legal representa</w:t>
      </w:r>
      <w:r w:rsidR="00042DD9">
        <w:rPr>
          <w:rFonts w:ascii="Arial" w:hAnsi="Arial" w:cs="Arial"/>
          <w:sz w:val="24"/>
          <w:szCs w:val="24"/>
        </w:rPr>
        <w:t xml:space="preserve">tion of Ms </w:t>
      </w:r>
      <w:proofErr w:type="gramStart"/>
      <w:r w:rsidR="00042DD9">
        <w:rPr>
          <w:rFonts w:ascii="Arial" w:hAnsi="Arial" w:cs="Arial"/>
          <w:sz w:val="24"/>
          <w:szCs w:val="24"/>
        </w:rPr>
        <w:t>M</w:t>
      </w:r>
      <w:r w:rsidR="00AB0F44">
        <w:rPr>
          <w:rFonts w:ascii="Arial" w:hAnsi="Arial" w:cs="Arial"/>
          <w:sz w:val="24"/>
          <w:szCs w:val="24"/>
        </w:rPr>
        <w:t>[</w:t>
      </w:r>
      <w:proofErr w:type="gramEnd"/>
      <w:r w:rsidR="00AB0F44">
        <w:rPr>
          <w:rFonts w:ascii="Arial" w:hAnsi="Arial" w:cs="Arial"/>
          <w:sz w:val="24"/>
          <w:szCs w:val="24"/>
        </w:rPr>
        <w:t>…]</w:t>
      </w:r>
      <w:r w:rsidR="00042DD9">
        <w:rPr>
          <w:rFonts w:ascii="Arial" w:hAnsi="Arial" w:cs="Arial"/>
          <w:sz w:val="24"/>
          <w:szCs w:val="24"/>
        </w:rPr>
        <w:t xml:space="preserve"> no witnesses can testify.  By no means can this rule be utilised for an application.</w:t>
      </w:r>
    </w:p>
    <w:p w:rsidR="001D5FA3" w:rsidRDefault="001D5FA3" w:rsidP="001D5FA3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1D5FA3" w:rsidRDefault="00BA435D" w:rsidP="001D5FA3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[9</w:t>
      </w:r>
      <w:r w:rsidR="001D5FA3">
        <w:rPr>
          <w:rFonts w:ascii="Arial" w:hAnsi="Arial" w:cs="Arial"/>
          <w:sz w:val="24"/>
          <w:szCs w:val="24"/>
        </w:rPr>
        <w:t>]</w:t>
      </w:r>
      <w:r w:rsidR="00042DD9">
        <w:rPr>
          <w:rFonts w:ascii="Arial" w:hAnsi="Arial" w:cs="Arial"/>
          <w:sz w:val="24"/>
          <w:szCs w:val="24"/>
        </w:rPr>
        <w:tab/>
        <w:t xml:space="preserve">Ms </w:t>
      </w:r>
      <w:proofErr w:type="gramStart"/>
      <w:r w:rsidR="00042DD9">
        <w:rPr>
          <w:rFonts w:ascii="Arial" w:hAnsi="Arial" w:cs="Arial"/>
          <w:sz w:val="24"/>
          <w:szCs w:val="24"/>
        </w:rPr>
        <w:t>M</w:t>
      </w:r>
      <w:r w:rsidR="00AB0F44">
        <w:rPr>
          <w:rFonts w:ascii="Arial" w:hAnsi="Arial" w:cs="Arial"/>
          <w:sz w:val="24"/>
          <w:szCs w:val="24"/>
        </w:rPr>
        <w:t>[</w:t>
      </w:r>
      <w:proofErr w:type="gramEnd"/>
      <w:r w:rsidR="00AB0F44">
        <w:rPr>
          <w:rFonts w:ascii="Arial" w:hAnsi="Arial" w:cs="Arial"/>
          <w:sz w:val="24"/>
          <w:szCs w:val="24"/>
        </w:rPr>
        <w:t>…]</w:t>
      </w:r>
      <w:r w:rsidR="00042DD9">
        <w:rPr>
          <w:rFonts w:ascii="Arial" w:hAnsi="Arial" w:cs="Arial"/>
          <w:sz w:val="24"/>
          <w:szCs w:val="24"/>
        </w:rPr>
        <w:t xml:space="preserve"> chose to proceed by means of application.  Only the court can in</w:t>
      </w:r>
      <w:r>
        <w:rPr>
          <w:rFonts w:ascii="Arial" w:hAnsi="Arial" w:cs="Arial"/>
          <w:sz w:val="24"/>
          <w:szCs w:val="24"/>
        </w:rPr>
        <w:t xml:space="preserve"> application proceedings order and </w:t>
      </w:r>
      <w:r w:rsidR="00042DD9">
        <w:rPr>
          <w:rFonts w:ascii="Arial" w:hAnsi="Arial" w:cs="Arial"/>
          <w:sz w:val="24"/>
          <w:szCs w:val="24"/>
        </w:rPr>
        <w:t>only when there is a dispute of fact, whether th</w:t>
      </w:r>
      <w:r>
        <w:rPr>
          <w:rFonts w:ascii="Arial" w:hAnsi="Arial" w:cs="Arial"/>
          <w:sz w:val="24"/>
          <w:szCs w:val="24"/>
        </w:rPr>
        <w:t xml:space="preserve">e application will be dismissed, </w:t>
      </w:r>
      <w:r w:rsidR="00042DD9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 xml:space="preserve">referred to oral evidence, </w:t>
      </w:r>
      <w:r w:rsidR="00042DD9">
        <w:rPr>
          <w:rFonts w:ascii="Arial" w:hAnsi="Arial" w:cs="Arial"/>
          <w:sz w:val="24"/>
          <w:szCs w:val="24"/>
        </w:rPr>
        <w:t>or trial and whether witnesses must be subpoenaed.</w:t>
      </w:r>
    </w:p>
    <w:p w:rsidR="00042DD9" w:rsidRDefault="00042DD9" w:rsidP="001D5FA3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042DD9" w:rsidRDefault="00BA435D" w:rsidP="001D5FA3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[10</w:t>
      </w:r>
      <w:r w:rsidR="00042DD9">
        <w:rPr>
          <w:rFonts w:ascii="Arial" w:hAnsi="Arial" w:cs="Arial"/>
          <w:sz w:val="24"/>
          <w:szCs w:val="24"/>
        </w:rPr>
        <w:t>]</w:t>
      </w:r>
      <w:r w:rsidR="00042DD9">
        <w:rPr>
          <w:rFonts w:ascii="Arial" w:hAnsi="Arial" w:cs="Arial"/>
          <w:sz w:val="24"/>
          <w:szCs w:val="24"/>
        </w:rPr>
        <w:tab/>
        <w:t>Ms M</w:t>
      </w:r>
      <w:r w:rsidR="00AB0F44">
        <w:rPr>
          <w:rFonts w:ascii="Arial" w:hAnsi="Arial" w:cs="Arial"/>
          <w:sz w:val="24"/>
          <w:szCs w:val="24"/>
        </w:rPr>
        <w:t>[…]</w:t>
      </w:r>
      <w:bookmarkStart w:id="0" w:name="_GoBack"/>
      <w:bookmarkEnd w:id="0"/>
      <w:r w:rsidR="00042DD9">
        <w:rPr>
          <w:rFonts w:ascii="Arial" w:hAnsi="Arial" w:cs="Arial"/>
          <w:sz w:val="24"/>
          <w:szCs w:val="24"/>
        </w:rPr>
        <w:t xml:space="preserve"> is not without a remedy.  Rule 35(13) caters for discovery of documents in application proceedings.</w:t>
      </w:r>
    </w:p>
    <w:p w:rsidR="00042DD9" w:rsidRDefault="00042DD9" w:rsidP="001D5FA3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042DD9" w:rsidRDefault="00BA435D" w:rsidP="001D5FA3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[11</w:t>
      </w:r>
      <w:r w:rsidR="00042DD9">
        <w:rPr>
          <w:rFonts w:ascii="Arial" w:hAnsi="Arial" w:cs="Arial"/>
          <w:sz w:val="24"/>
          <w:szCs w:val="24"/>
        </w:rPr>
        <w:t>]</w:t>
      </w:r>
      <w:r w:rsidR="00042DD9">
        <w:rPr>
          <w:rFonts w:ascii="Arial" w:hAnsi="Arial" w:cs="Arial"/>
          <w:sz w:val="24"/>
          <w:szCs w:val="24"/>
        </w:rPr>
        <w:tab/>
        <w:t>I see no reason why the costs must not follow the result, but I do not find the jurisdictional requirement</w:t>
      </w:r>
      <w:r>
        <w:rPr>
          <w:rFonts w:ascii="Arial" w:hAnsi="Arial" w:cs="Arial"/>
          <w:sz w:val="24"/>
          <w:szCs w:val="24"/>
        </w:rPr>
        <w:t>s</w:t>
      </w:r>
      <w:r w:rsidR="00042DD9">
        <w:rPr>
          <w:rFonts w:ascii="Arial" w:hAnsi="Arial" w:cs="Arial"/>
          <w:sz w:val="24"/>
          <w:szCs w:val="24"/>
        </w:rPr>
        <w:t xml:space="preserve"> for a punitive costs order.  Accordingly, I make the following order:</w:t>
      </w:r>
    </w:p>
    <w:p w:rsidR="00042DD9" w:rsidRDefault="00042DD9" w:rsidP="001D5FA3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042DD9" w:rsidRDefault="00042DD9" w:rsidP="001D5FA3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A435D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ab/>
        <w:t xml:space="preserve">The subpoena </w:t>
      </w:r>
      <w:proofErr w:type="spellStart"/>
      <w:r>
        <w:rPr>
          <w:rFonts w:ascii="Arial" w:hAnsi="Arial" w:cs="Arial"/>
          <w:i/>
          <w:sz w:val="24"/>
          <w:szCs w:val="24"/>
        </w:rPr>
        <w:t>duces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tecum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dated 23 March 2022 is set aside.</w:t>
      </w:r>
    </w:p>
    <w:p w:rsidR="00042DD9" w:rsidRPr="00042DD9" w:rsidRDefault="00042DD9" w:rsidP="001D5FA3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A435D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z w:val="24"/>
          <w:szCs w:val="24"/>
        </w:rPr>
        <w:tab/>
        <w:t>The respondent is to carry the costs on a party and party scale.</w:t>
      </w:r>
    </w:p>
    <w:p w:rsidR="00042DD9" w:rsidRDefault="00042DD9" w:rsidP="001D5FA3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042DD9" w:rsidRDefault="00042DD9" w:rsidP="00275B99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042DD9" w:rsidRDefault="00042DD9" w:rsidP="00275B99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275B99" w:rsidRPr="00D14312" w:rsidRDefault="00275B99" w:rsidP="00275B99">
      <w:pPr>
        <w:spacing w:line="240" w:lineRule="auto"/>
        <w:jc w:val="right"/>
        <w:rPr>
          <w:rFonts w:ascii="Arial" w:eastAsia="Calibri" w:hAnsi="Arial" w:cs="Arial"/>
        </w:rPr>
      </w:pPr>
      <w:r w:rsidRPr="00D14312">
        <w:rPr>
          <w:rFonts w:ascii="Arial" w:eastAsia="Calibri" w:hAnsi="Arial" w:cs="Arial"/>
          <w:b/>
          <w:sz w:val="24"/>
          <w:szCs w:val="24"/>
        </w:rPr>
        <w:t>__________________</w:t>
      </w:r>
    </w:p>
    <w:p w:rsidR="00275B99" w:rsidRPr="00D14312" w:rsidRDefault="00275B99" w:rsidP="00275B99">
      <w:pPr>
        <w:spacing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D14312">
        <w:rPr>
          <w:rFonts w:ascii="Arial" w:eastAsia="Calibri" w:hAnsi="Arial" w:cs="Arial"/>
          <w:b/>
          <w:sz w:val="24"/>
          <w:szCs w:val="24"/>
        </w:rPr>
        <w:t>S. POTTERILL</w:t>
      </w:r>
    </w:p>
    <w:p w:rsidR="00275B99" w:rsidRPr="00D14312" w:rsidRDefault="00275B99" w:rsidP="00275B99">
      <w:pPr>
        <w:spacing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D14312">
        <w:rPr>
          <w:rFonts w:ascii="Arial" w:eastAsia="Calibri" w:hAnsi="Arial" w:cs="Arial"/>
          <w:b/>
          <w:sz w:val="24"/>
          <w:szCs w:val="24"/>
        </w:rPr>
        <w:t>JUDGE OF THE HIGH COURT</w:t>
      </w:r>
    </w:p>
    <w:p w:rsidR="00275B99" w:rsidRPr="00D14312" w:rsidRDefault="00275B99" w:rsidP="00275B99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BA435D" w:rsidRDefault="00BA435D" w:rsidP="00F5094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BA435D" w:rsidRDefault="00BA435D" w:rsidP="00F5094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BA435D" w:rsidRDefault="00BA435D" w:rsidP="00F5094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F5094D" w:rsidRPr="00524814" w:rsidRDefault="00F5094D" w:rsidP="00F5094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24814">
        <w:rPr>
          <w:rFonts w:ascii="Arial" w:eastAsia="Calibri" w:hAnsi="Arial" w:cs="Arial"/>
          <w:sz w:val="24"/>
          <w:szCs w:val="24"/>
        </w:rPr>
        <w:t xml:space="preserve">CASE NO:  </w:t>
      </w:r>
      <w:r>
        <w:rPr>
          <w:rFonts w:ascii="Arial" w:eastAsia="Calibri" w:hAnsi="Arial" w:cs="Arial"/>
          <w:sz w:val="24"/>
          <w:szCs w:val="24"/>
        </w:rPr>
        <w:t>59537/2021</w:t>
      </w:r>
    </w:p>
    <w:p w:rsidR="00F5094D" w:rsidRPr="00524814" w:rsidRDefault="00F5094D" w:rsidP="00F5094D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F5094D" w:rsidRPr="00524814" w:rsidRDefault="00F5094D" w:rsidP="00F5094D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524814">
        <w:rPr>
          <w:rFonts w:ascii="Arial" w:eastAsia="Calibri" w:hAnsi="Arial" w:cs="Arial"/>
          <w:sz w:val="24"/>
          <w:szCs w:val="24"/>
        </w:rPr>
        <w:t xml:space="preserve">HEARD ON:    </w:t>
      </w:r>
      <w:r>
        <w:rPr>
          <w:rFonts w:ascii="Arial" w:eastAsia="Calibri" w:hAnsi="Arial" w:cs="Arial"/>
          <w:sz w:val="24"/>
          <w:szCs w:val="24"/>
        </w:rPr>
        <w:t>11 October 2022</w:t>
      </w:r>
    </w:p>
    <w:p w:rsidR="00F5094D" w:rsidRPr="00524814" w:rsidRDefault="00F5094D" w:rsidP="00F5094D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F5094D" w:rsidRPr="00524814" w:rsidRDefault="00F5094D" w:rsidP="00F5094D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524814">
        <w:rPr>
          <w:rFonts w:ascii="Arial" w:eastAsia="Calibri" w:hAnsi="Arial" w:cs="Arial"/>
          <w:sz w:val="24"/>
          <w:szCs w:val="24"/>
        </w:rPr>
        <w:t>FOR T</w:t>
      </w:r>
      <w:r>
        <w:rPr>
          <w:rFonts w:ascii="Arial" w:eastAsia="Calibri" w:hAnsi="Arial" w:cs="Arial"/>
          <w:sz w:val="24"/>
          <w:szCs w:val="24"/>
        </w:rPr>
        <w:t>HE APPLICANT</w:t>
      </w:r>
      <w:r w:rsidRPr="00524814">
        <w:rPr>
          <w:rFonts w:ascii="Arial" w:eastAsia="Calibri" w:hAnsi="Arial" w:cs="Arial"/>
          <w:sz w:val="24"/>
          <w:szCs w:val="24"/>
        </w:rPr>
        <w:t>:  ADV.</w:t>
      </w:r>
      <w:r>
        <w:rPr>
          <w:rFonts w:ascii="Arial" w:eastAsia="Calibri" w:hAnsi="Arial" w:cs="Arial"/>
          <w:sz w:val="24"/>
          <w:szCs w:val="24"/>
        </w:rPr>
        <w:t xml:space="preserve"> G. KYRIAZIS</w:t>
      </w:r>
    </w:p>
    <w:p w:rsidR="00F5094D" w:rsidRPr="00524814" w:rsidRDefault="00F5094D" w:rsidP="00F5094D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F5094D" w:rsidRPr="00524814" w:rsidRDefault="00F5094D" w:rsidP="00F5094D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524814">
        <w:rPr>
          <w:rFonts w:ascii="Arial" w:eastAsia="Calibri" w:hAnsi="Arial" w:cs="Arial"/>
          <w:sz w:val="24"/>
          <w:szCs w:val="24"/>
        </w:rPr>
        <w:t xml:space="preserve">INSTRUCTED BY:  </w:t>
      </w:r>
      <w:r>
        <w:rPr>
          <w:rFonts w:ascii="Arial" w:eastAsia="Calibri" w:hAnsi="Arial" w:cs="Arial"/>
          <w:sz w:val="24"/>
          <w:szCs w:val="24"/>
        </w:rPr>
        <w:t xml:space="preserve">Cowan-Harper </w:t>
      </w:r>
      <w:proofErr w:type="spellStart"/>
      <w:r>
        <w:rPr>
          <w:rFonts w:ascii="Arial" w:eastAsia="Calibri" w:hAnsi="Arial" w:cs="Arial"/>
          <w:sz w:val="24"/>
          <w:szCs w:val="24"/>
        </w:rPr>
        <w:t>Madikizela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Attorneys</w:t>
      </w:r>
    </w:p>
    <w:p w:rsidR="00F5094D" w:rsidRPr="00524814" w:rsidRDefault="00F5094D" w:rsidP="00F5094D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F5094D" w:rsidRPr="00524814" w:rsidRDefault="00F5094D" w:rsidP="00F5094D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524814">
        <w:rPr>
          <w:rFonts w:ascii="Arial" w:eastAsia="Calibri" w:hAnsi="Arial" w:cs="Arial"/>
          <w:sz w:val="24"/>
          <w:szCs w:val="24"/>
        </w:rPr>
        <w:t xml:space="preserve">FOR THE </w:t>
      </w:r>
      <w:r>
        <w:rPr>
          <w:rFonts w:ascii="Arial" w:eastAsia="Calibri" w:hAnsi="Arial" w:cs="Arial"/>
          <w:sz w:val="24"/>
          <w:szCs w:val="24"/>
        </w:rPr>
        <w:t>RESPONDENT</w:t>
      </w:r>
      <w:r w:rsidRPr="00524814">
        <w:rPr>
          <w:rFonts w:ascii="Arial" w:eastAsia="Calibri" w:hAnsi="Arial" w:cs="Arial"/>
          <w:sz w:val="24"/>
          <w:szCs w:val="24"/>
        </w:rPr>
        <w:t>:  ADV.</w:t>
      </w:r>
      <w:r>
        <w:rPr>
          <w:rFonts w:ascii="Arial" w:eastAsia="Calibri" w:hAnsi="Arial" w:cs="Arial"/>
          <w:sz w:val="24"/>
          <w:szCs w:val="24"/>
        </w:rPr>
        <w:t xml:space="preserve"> L. VAN DER WESTHUIZEN</w:t>
      </w:r>
      <w:r w:rsidRPr="00524814">
        <w:rPr>
          <w:rFonts w:ascii="Arial" w:eastAsia="Calibri" w:hAnsi="Arial" w:cs="Arial"/>
          <w:sz w:val="24"/>
          <w:szCs w:val="24"/>
        </w:rPr>
        <w:t xml:space="preserve"> </w:t>
      </w:r>
    </w:p>
    <w:p w:rsidR="00F5094D" w:rsidRPr="00524814" w:rsidRDefault="00F5094D" w:rsidP="00F5094D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F5094D" w:rsidRPr="00524814" w:rsidRDefault="00F5094D" w:rsidP="00F5094D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524814">
        <w:rPr>
          <w:rFonts w:ascii="Arial" w:eastAsia="Calibri" w:hAnsi="Arial" w:cs="Arial"/>
          <w:sz w:val="24"/>
          <w:szCs w:val="24"/>
        </w:rPr>
        <w:t xml:space="preserve">INSTRUCTED BY:  </w:t>
      </w:r>
      <w:r>
        <w:rPr>
          <w:rFonts w:ascii="Arial" w:eastAsia="Calibri" w:hAnsi="Arial" w:cs="Arial"/>
          <w:sz w:val="24"/>
          <w:szCs w:val="24"/>
        </w:rPr>
        <w:t>Barnard Incorporated Attorneys</w:t>
      </w:r>
    </w:p>
    <w:p w:rsidR="00F5094D" w:rsidRPr="00524814" w:rsidRDefault="00F5094D" w:rsidP="00F5094D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F5094D" w:rsidRPr="00524814" w:rsidRDefault="00F5094D" w:rsidP="00F5094D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524814">
        <w:rPr>
          <w:rFonts w:ascii="Arial" w:eastAsia="Calibri" w:hAnsi="Arial" w:cs="Arial"/>
          <w:sz w:val="24"/>
          <w:szCs w:val="24"/>
        </w:rPr>
        <w:t xml:space="preserve">DATE OF JUDGMENT:    </w:t>
      </w:r>
      <w:r w:rsidR="002902CF">
        <w:rPr>
          <w:rFonts w:ascii="Arial" w:eastAsia="Calibri" w:hAnsi="Arial" w:cs="Arial"/>
          <w:sz w:val="24"/>
          <w:szCs w:val="24"/>
        </w:rPr>
        <w:t>13 October 2022</w:t>
      </w:r>
    </w:p>
    <w:p w:rsidR="00F5094D" w:rsidRPr="00524814" w:rsidRDefault="00F5094D" w:rsidP="00F5094D">
      <w:pPr>
        <w:rPr>
          <w:rFonts w:ascii="Arial" w:hAnsi="Arial" w:cs="Arial"/>
          <w:sz w:val="24"/>
          <w:szCs w:val="24"/>
        </w:rPr>
      </w:pPr>
    </w:p>
    <w:p w:rsidR="00275B99" w:rsidRPr="00D14312" w:rsidRDefault="00275B99" w:rsidP="00275B99">
      <w:pPr>
        <w:rPr>
          <w:rFonts w:ascii="Arial" w:hAnsi="Arial" w:cs="Arial"/>
          <w:b/>
          <w:sz w:val="28"/>
          <w:szCs w:val="28"/>
        </w:rPr>
      </w:pPr>
    </w:p>
    <w:p w:rsidR="00275B99" w:rsidRDefault="00275B99" w:rsidP="00275B99"/>
    <w:p w:rsidR="00275B99" w:rsidRDefault="00275B99" w:rsidP="00275B99"/>
    <w:p w:rsidR="000D73F8" w:rsidRDefault="000D73F8"/>
    <w:sectPr w:rsidR="000D73F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B2C" w:rsidRDefault="006F3B2C">
      <w:pPr>
        <w:spacing w:after="0" w:line="240" w:lineRule="auto"/>
      </w:pPr>
      <w:r>
        <w:separator/>
      </w:r>
    </w:p>
  </w:endnote>
  <w:endnote w:type="continuationSeparator" w:id="0">
    <w:p w:rsidR="006F3B2C" w:rsidRDefault="006F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B2C" w:rsidRDefault="006F3B2C">
      <w:pPr>
        <w:spacing w:after="0" w:line="240" w:lineRule="auto"/>
      </w:pPr>
      <w:r>
        <w:separator/>
      </w:r>
    </w:p>
  </w:footnote>
  <w:footnote w:type="continuationSeparator" w:id="0">
    <w:p w:rsidR="006F3B2C" w:rsidRDefault="006F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0240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40901" w:rsidRDefault="002902C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F4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40901" w:rsidRDefault="006F3B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99"/>
    <w:rsid w:val="00042DD9"/>
    <w:rsid w:val="000D73F8"/>
    <w:rsid w:val="001630D5"/>
    <w:rsid w:val="001D5FA3"/>
    <w:rsid w:val="00275B99"/>
    <w:rsid w:val="002902CF"/>
    <w:rsid w:val="0033567D"/>
    <w:rsid w:val="006F3B2C"/>
    <w:rsid w:val="00AB0F44"/>
    <w:rsid w:val="00BA435D"/>
    <w:rsid w:val="00F5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25821E"/>
  <w15:chartTrackingRefBased/>
  <w15:docId w15:val="{BC8E66DB-9E24-4CFC-81A8-08DB9FD9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B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B99"/>
  </w:style>
  <w:style w:type="paragraph" w:styleId="BalloonText">
    <w:name w:val="Balloon Text"/>
    <w:basedOn w:val="Normal"/>
    <w:link w:val="BalloonTextChar"/>
    <w:uiPriority w:val="99"/>
    <w:semiHidden/>
    <w:unhideWhenUsed/>
    <w:rsid w:val="00BA4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9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49EE6-067A-4238-9EA4-954AF0ABD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Jonah Hefer</dc:creator>
  <cp:keywords/>
  <dc:description/>
  <cp:lastModifiedBy>Mary Bruce</cp:lastModifiedBy>
  <cp:revision>5</cp:revision>
  <cp:lastPrinted>2022-10-13T11:02:00Z</cp:lastPrinted>
  <dcterms:created xsi:type="dcterms:W3CDTF">2022-10-13T09:26:00Z</dcterms:created>
  <dcterms:modified xsi:type="dcterms:W3CDTF">2022-10-26T09:44:00Z</dcterms:modified>
</cp:coreProperties>
</file>