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bookmarkStart w:id="0" w:name="_GoBack"/>
      <w:bookmarkEnd w:id="0"/>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DD64F6">
        <w:rPr>
          <w:rFonts w:ascii="Times New Roman" w:hAnsi="Times New Roman" w:cs="Times New Roman"/>
          <w:b/>
          <w:color w:val="000000" w:themeColor="text1"/>
          <w:sz w:val="28"/>
          <w:szCs w:val="28"/>
        </w:rPr>
        <w:t>93895/2019</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1" w:name="OLE_LINK1"/>
            <w:bookmarkStart w:id="2" w:name="OLE_LINK2"/>
            <w:bookmarkStart w:id="3" w:name="OLE_LINK3"/>
            <w:bookmarkStart w:id="4" w:name="OLE_LINK4"/>
            <w:r w:rsidRPr="00D72A63">
              <w:rPr>
                <w:rFonts w:ascii="Times New Roman" w:eastAsia="Calibri" w:hAnsi="Times New Roman" w:cs="Arial"/>
                <w:b/>
                <w:spacing w:val="3"/>
                <w:w w:val="104"/>
                <w:kern w:val="24"/>
                <w:sz w:val="18"/>
                <w:szCs w:val="18"/>
                <w:lang w:val="en-GB"/>
              </w:rPr>
              <w:t>DELETE WHICHEVER IS NOT APPLICABLE</w:t>
            </w:r>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95F12">
              <w:rPr>
                <w:rFonts w:ascii="Times New Roman" w:eastAsia="Calibri" w:hAnsi="Times New Roman" w:cs="Arial"/>
                <w:b/>
                <w:spacing w:val="3"/>
                <w:w w:val="104"/>
                <w:kern w:val="24"/>
                <w:sz w:val="18"/>
                <w:szCs w:val="18"/>
                <w:lang w:val="en-GB"/>
              </w:rPr>
              <w:t xml:space="preserve"> </w:t>
            </w:r>
            <w:r w:rsidR="00731C27">
              <w:rPr>
                <w:rFonts w:ascii="Times New Roman" w:eastAsia="Calibri" w:hAnsi="Times New Roman" w:cs="Arial"/>
                <w:b/>
                <w:spacing w:val="3"/>
                <w:w w:val="104"/>
                <w:kern w:val="24"/>
                <w:sz w:val="18"/>
                <w:szCs w:val="18"/>
                <w:lang w:val="en-GB"/>
              </w:rPr>
              <w:t xml:space="preserve">12 OCTOBER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1"/>
      <w:bookmarkEnd w:id="2"/>
      <w:bookmarkEnd w:id="3"/>
      <w:bookmarkEnd w:id="4"/>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FF214C" w:rsidRDefault="00DD64F6"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ESKOM PENSION AND PROVIDENT FUND</w:t>
      </w:r>
      <w:r w:rsidR="004E0A01">
        <w:rPr>
          <w:rFonts w:ascii="Times New Roman" w:hAnsi="Times New Roman" w:cs="Times New Roman"/>
          <w:color w:val="000000" w:themeColor="text1"/>
          <w:sz w:val="28"/>
          <w:szCs w:val="28"/>
        </w:rPr>
        <w:tab/>
      </w:r>
      <w:r w:rsidR="005B758D">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t>App</w:t>
      </w:r>
      <w:r>
        <w:rPr>
          <w:rFonts w:ascii="Times New Roman" w:hAnsi="Times New Roman" w:cs="Times New Roman"/>
          <w:color w:val="000000" w:themeColor="text1"/>
          <w:sz w:val="28"/>
          <w:szCs w:val="28"/>
        </w:rPr>
        <w:t>lic</w:t>
      </w:r>
      <w:r w:rsidR="00FA6C6B">
        <w:rPr>
          <w:rFonts w:ascii="Times New Roman" w:hAnsi="Times New Roman" w:cs="Times New Roman"/>
          <w:color w:val="000000" w:themeColor="text1"/>
          <w:sz w:val="28"/>
          <w:szCs w:val="28"/>
        </w:rPr>
        <w:t>ant</w:t>
      </w:r>
      <w:r w:rsidR="005B758D">
        <w:rPr>
          <w:rFonts w:ascii="Times New Roman" w:hAnsi="Times New Roman" w:cs="Times New Roman"/>
          <w:color w:val="000000" w:themeColor="text1"/>
          <w:sz w:val="28"/>
          <w:szCs w:val="28"/>
        </w:rPr>
        <w:t xml:space="preserve"> </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370E37" w:rsidRDefault="00DD64F6" w:rsidP="00042FF2">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BRIAN MOLEFE</w:t>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t xml:space="preserve">       </w:t>
      </w:r>
      <w:r w:rsidR="00FA6C6B">
        <w:rPr>
          <w:rFonts w:ascii="Times New Roman" w:hAnsi="Times New Roman" w:cs="Times New Roman"/>
          <w:b/>
          <w:color w:val="000000" w:themeColor="text1"/>
          <w:sz w:val="28"/>
          <w:szCs w:val="28"/>
        </w:rPr>
        <w:tab/>
      </w:r>
      <w:r w:rsidR="00FA6C6B">
        <w:rPr>
          <w:rFonts w:ascii="Times New Roman" w:hAnsi="Times New Roman" w:cs="Times New Roman"/>
          <w:b/>
          <w:color w:val="000000" w:themeColor="text1"/>
          <w:sz w:val="28"/>
          <w:szCs w:val="28"/>
        </w:rPr>
        <w:tab/>
        <w:t xml:space="preserve">      </w:t>
      </w:r>
      <w:r w:rsidR="00FA6C6B" w:rsidRPr="00DD64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r w:rsidRPr="00DD64F6">
        <w:rPr>
          <w:rFonts w:ascii="Times New Roman" w:hAnsi="Times New Roman" w:cs="Times New Roman"/>
          <w:color w:val="000000" w:themeColor="text1"/>
          <w:sz w:val="28"/>
          <w:szCs w:val="28"/>
        </w:rPr>
        <w:t>First</w:t>
      </w:r>
      <w:r>
        <w:rPr>
          <w:rFonts w:ascii="Times New Roman" w:hAnsi="Times New Roman" w:cs="Times New Roman"/>
          <w:b/>
          <w:color w:val="000000" w:themeColor="text1"/>
          <w:sz w:val="28"/>
          <w:szCs w:val="28"/>
        </w:rPr>
        <w:t xml:space="preserve"> </w:t>
      </w:r>
      <w:r w:rsidR="00042FF2" w:rsidRPr="00042FF2">
        <w:rPr>
          <w:rFonts w:ascii="Times New Roman" w:hAnsi="Times New Roman" w:cs="Times New Roman"/>
          <w:color w:val="000000" w:themeColor="text1"/>
          <w:sz w:val="28"/>
          <w:szCs w:val="28"/>
        </w:rPr>
        <w:t>Respondent</w:t>
      </w:r>
    </w:p>
    <w:p w:rsidR="00DD64F6" w:rsidRDefault="00DD64F6" w:rsidP="00042FF2">
      <w:pPr>
        <w:spacing w:after="120"/>
        <w:ind w:right="-45"/>
        <w:rPr>
          <w:rFonts w:ascii="Times New Roman" w:hAnsi="Times New Roman" w:cs="Times New Roman"/>
          <w:color w:val="000000" w:themeColor="text1"/>
          <w:sz w:val="28"/>
          <w:szCs w:val="28"/>
        </w:rPr>
      </w:pPr>
      <w:r w:rsidRPr="00DD64F6">
        <w:rPr>
          <w:rFonts w:ascii="Times New Roman" w:hAnsi="Times New Roman" w:cs="Times New Roman"/>
          <w:b/>
          <w:color w:val="000000" w:themeColor="text1"/>
          <w:sz w:val="28"/>
          <w:szCs w:val="28"/>
        </w:rPr>
        <w:t>ESKOM HOLDINGS SOC LIMITED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Second Respondent</w:t>
      </w:r>
    </w:p>
    <w:p w:rsidR="00DD64F6" w:rsidRPr="00DD64F6" w:rsidRDefault="00DD64F6" w:rsidP="00DD64F6">
      <w:pPr>
        <w:spacing w:after="0"/>
        <w:ind w:right="-45"/>
        <w:rPr>
          <w:rFonts w:ascii="Times New Roman" w:hAnsi="Times New Roman" w:cs="Times New Roman"/>
          <w:b/>
          <w:color w:val="000000" w:themeColor="text1"/>
          <w:sz w:val="28"/>
          <w:szCs w:val="28"/>
        </w:rPr>
      </w:pPr>
      <w:r w:rsidRPr="00DD64F6">
        <w:rPr>
          <w:rFonts w:ascii="Times New Roman" w:hAnsi="Times New Roman" w:cs="Times New Roman"/>
          <w:b/>
          <w:color w:val="000000" w:themeColor="text1"/>
          <w:sz w:val="28"/>
          <w:szCs w:val="28"/>
        </w:rPr>
        <w:t xml:space="preserve">THE COMMISSIONER FOR SOUTH AFRICAN </w:t>
      </w:r>
    </w:p>
    <w:p w:rsidR="00DD64F6" w:rsidRDefault="00DD64F6" w:rsidP="00042FF2">
      <w:pPr>
        <w:spacing w:after="120"/>
        <w:ind w:right="-45"/>
        <w:rPr>
          <w:rFonts w:ascii="Times New Roman" w:hAnsi="Times New Roman" w:cs="Times New Roman"/>
          <w:color w:val="000000" w:themeColor="text1"/>
          <w:sz w:val="28"/>
          <w:szCs w:val="28"/>
        </w:rPr>
      </w:pPr>
      <w:r w:rsidRPr="00DD64F6">
        <w:rPr>
          <w:rFonts w:ascii="Times New Roman" w:hAnsi="Times New Roman" w:cs="Times New Roman"/>
          <w:b/>
          <w:color w:val="000000" w:themeColor="text1"/>
          <w:sz w:val="28"/>
          <w:szCs w:val="28"/>
        </w:rPr>
        <w:t>REVENUE SERVICE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Third Respondent</w:t>
      </w:r>
    </w:p>
    <w:p w:rsidR="00370E37" w:rsidRDefault="00370E37" w:rsidP="00AF73ED">
      <w:pPr>
        <w:spacing w:after="0"/>
        <w:ind w:right="-45"/>
        <w:rPr>
          <w:rFonts w:ascii="Times New Roman" w:hAnsi="Times New Roman" w:cs="Times New Roman"/>
          <w:color w:val="000000" w:themeColor="text1"/>
          <w:sz w:val="28"/>
          <w:szCs w:val="28"/>
        </w:rPr>
      </w:pPr>
    </w:p>
    <w:p w:rsidR="000C70D0" w:rsidRDefault="005B1CBB" w:rsidP="000C70D0">
      <w:pPr>
        <w:pBdr>
          <w:bottom w:val="single" w:sz="12" w:space="1" w:color="auto"/>
        </w:pBdr>
        <w:spacing w:after="0"/>
        <w:ind w:left="1440" w:right="-45" w:hanging="1440"/>
        <w:rPr>
          <w:rFonts w:ascii="Times New Roman" w:hAnsi="Times New Roman" w:cs="Times New Roman"/>
          <w:color w:val="000000" w:themeColor="text1"/>
          <w:sz w:val="28"/>
          <w:szCs w:val="28"/>
        </w:rPr>
      </w:pPr>
      <w:r w:rsidRPr="004F6E92">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DA15EF" w:rsidRPr="004F6E92">
        <w:rPr>
          <w:rFonts w:ascii="Times New Roman" w:hAnsi="Times New Roman" w:cs="Times New Roman"/>
          <w:i/>
          <w:color w:val="000000" w:themeColor="text1"/>
          <w:sz w:val="28"/>
          <w:szCs w:val="28"/>
        </w:rPr>
        <w:t xml:space="preserve">application for leave to appeal – alleged incorrect application of Rule 41A – </w:t>
      </w:r>
      <w:r w:rsidR="004F6E92">
        <w:rPr>
          <w:rFonts w:ascii="Times New Roman" w:hAnsi="Times New Roman" w:cs="Times New Roman"/>
          <w:i/>
          <w:color w:val="000000" w:themeColor="text1"/>
          <w:sz w:val="28"/>
          <w:szCs w:val="28"/>
        </w:rPr>
        <w:t xml:space="preserve">allegations of misdirection and lack of judicial deference – </w:t>
      </w:r>
      <w:r w:rsidR="00DA15EF" w:rsidRPr="004F6E92">
        <w:rPr>
          <w:rFonts w:ascii="Times New Roman" w:hAnsi="Times New Roman" w:cs="Times New Roman"/>
          <w:i/>
          <w:color w:val="000000" w:themeColor="text1"/>
          <w:sz w:val="28"/>
          <w:szCs w:val="28"/>
        </w:rPr>
        <w:t>no prospect of success on appeal – leave refused</w:t>
      </w:r>
      <w:r w:rsidR="00DA15EF">
        <w:rPr>
          <w:rFonts w:ascii="Times New Roman" w:hAnsi="Times New Roman" w:cs="Times New Roman"/>
          <w:color w:val="000000" w:themeColor="text1"/>
          <w:sz w:val="28"/>
          <w:szCs w:val="28"/>
        </w:rPr>
        <w:t>.</w:t>
      </w:r>
    </w:p>
    <w:p w:rsidR="00902205" w:rsidRDefault="00902205" w:rsidP="005B1CBB">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5B1CBB">
      <w:pPr>
        <w:spacing w:after="0"/>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lastRenderedPageBreak/>
        <w:t>ORDER</w:t>
      </w:r>
    </w:p>
    <w:p w:rsidR="004F6E92" w:rsidRDefault="004F6E92" w:rsidP="00F47A12">
      <w:pPr>
        <w:pStyle w:val="MEMONUMBERED"/>
        <w:numPr>
          <w:ilvl w:val="0"/>
          <w:numId w:val="0"/>
        </w:numPr>
        <w:spacing w:after="360" w:line="360" w:lineRule="auto"/>
        <w:rPr>
          <w:sz w:val="28"/>
          <w:szCs w:val="28"/>
        </w:rPr>
      </w:pPr>
    </w:p>
    <w:p w:rsidR="00C53A51" w:rsidRDefault="00DA15EF" w:rsidP="00F47A12">
      <w:pPr>
        <w:pStyle w:val="MEMONUMBERED"/>
        <w:numPr>
          <w:ilvl w:val="0"/>
          <w:numId w:val="0"/>
        </w:numPr>
        <w:spacing w:after="360" w:line="360" w:lineRule="auto"/>
        <w:rPr>
          <w:sz w:val="28"/>
          <w:szCs w:val="28"/>
        </w:rPr>
      </w:pPr>
      <w:r>
        <w:rPr>
          <w:sz w:val="28"/>
          <w:szCs w:val="28"/>
        </w:rPr>
        <w:t xml:space="preserve">The application for leave to appeal is refused with costs, </w:t>
      </w:r>
      <w:r w:rsidR="00F47A12">
        <w:rPr>
          <w:sz w:val="28"/>
          <w:szCs w:val="28"/>
        </w:rPr>
        <w:t xml:space="preserve">such costs to include the employment of </w:t>
      </w:r>
      <w:r>
        <w:rPr>
          <w:sz w:val="28"/>
          <w:szCs w:val="28"/>
        </w:rPr>
        <w:t>two counsel.</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D26624">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DB275E"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DD64F6">
        <w:rPr>
          <w:color w:val="000000" w:themeColor="text1"/>
          <w:sz w:val="28"/>
          <w:szCs w:val="28"/>
        </w:rPr>
        <w:t xml:space="preserve">On 25 January 2018 a full court of this Division </w:t>
      </w:r>
      <w:r w:rsidR="00D26624">
        <w:rPr>
          <w:color w:val="000000" w:themeColor="text1"/>
          <w:sz w:val="28"/>
          <w:szCs w:val="28"/>
        </w:rPr>
        <w:t>ordered Mr Brian Molefe to repay “</w:t>
      </w:r>
      <w:r w:rsidR="00D26624" w:rsidRPr="0031116C">
        <w:rPr>
          <w:i/>
          <w:color w:val="000000" w:themeColor="text1"/>
          <w:sz w:val="28"/>
          <w:szCs w:val="28"/>
        </w:rPr>
        <w:t>any sum of money</w:t>
      </w:r>
      <w:r w:rsidR="00D26624">
        <w:rPr>
          <w:color w:val="000000" w:themeColor="text1"/>
          <w:sz w:val="28"/>
          <w:szCs w:val="28"/>
        </w:rPr>
        <w:t>” received by him in terms of “</w:t>
      </w:r>
      <w:r w:rsidR="00D26624" w:rsidRPr="0031116C">
        <w:rPr>
          <w:i/>
          <w:color w:val="000000" w:themeColor="text1"/>
          <w:sz w:val="28"/>
          <w:szCs w:val="28"/>
        </w:rPr>
        <w:t>any purported pension agreement</w:t>
      </w:r>
      <w:r w:rsidR="004F6E92">
        <w:rPr>
          <w:color w:val="000000" w:themeColor="text1"/>
          <w:sz w:val="28"/>
          <w:szCs w:val="28"/>
        </w:rPr>
        <w:t>” between him</w:t>
      </w:r>
      <w:r w:rsidR="00D26624">
        <w:rPr>
          <w:color w:val="000000" w:themeColor="text1"/>
          <w:sz w:val="28"/>
          <w:szCs w:val="28"/>
        </w:rPr>
        <w:t xml:space="preserve"> and Eskom.  After unsuccessful attempts to appeal </w:t>
      </w:r>
      <w:r w:rsidR="004F6E92">
        <w:rPr>
          <w:color w:val="000000" w:themeColor="text1"/>
          <w:sz w:val="28"/>
          <w:szCs w:val="28"/>
        </w:rPr>
        <w:t>the full court</w:t>
      </w:r>
      <w:r w:rsidR="00D26624">
        <w:rPr>
          <w:color w:val="000000" w:themeColor="text1"/>
          <w:sz w:val="28"/>
          <w:szCs w:val="28"/>
        </w:rPr>
        <w:t xml:space="preserve"> judgment, the Eskom Pension</w:t>
      </w:r>
      <w:r w:rsidR="004F6E92">
        <w:rPr>
          <w:color w:val="000000" w:themeColor="text1"/>
          <w:sz w:val="28"/>
          <w:szCs w:val="28"/>
        </w:rPr>
        <w:t xml:space="preserve"> and Provident</w:t>
      </w:r>
      <w:r w:rsidR="00D26624">
        <w:rPr>
          <w:color w:val="000000" w:themeColor="text1"/>
          <w:sz w:val="28"/>
          <w:szCs w:val="28"/>
        </w:rPr>
        <w:t xml:space="preserve"> Fund</w:t>
      </w:r>
      <w:r w:rsidR="004F6E92">
        <w:rPr>
          <w:color w:val="000000" w:themeColor="text1"/>
          <w:sz w:val="28"/>
          <w:szCs w:val="28"/>
        </w:rPr>
        <w:t xml:space="preserve"> (the Pension Fund)</w:t>
      </w:r>
      <w:r w:rsidR="00D26624">
        <w:rPr>
          <w:color w:val="000000" w:themeColor="text1"/>
          <w:sz w:val="28"/>
          <w:szCs w:val="28"/>
        </w:rPr>
        <w:t xml:space="preserve"> sought to recover the amounts due by Mr Molefe.  On 4 July 2022 this court quantified the amount due by Mr Molefe and authorised a set-off against that amount </w:t>
      </w:r>
      <w:r w:rsidR="004F6E92">
        <w:rPr>
          <w:color w:val="000000" w:themeColor="text1"/>
          <w:sz w:val="28"/>
          <w:szCs w:val="28"/>
        </w:rPr>
        <w:t xml:space="preserve">of </w:t>
      </w:r>
      <w:r w:rsidR="00D26624">
        <w:rPr>
          <w:color w:val="000000" w:themeColor="text1"/>
          <w:sz w:val="28"/>
          <w:szCs w:val="28"/>
        </w:rPr>
        <w:t>the after tax balance of Mr Molefe’s Transnet Retirement Fund</w:t>
      </w:r>
      <w:r w:rsidR="004F6E92">
        <w:rPr>
          <w:color w:val="000000" w:themeColor="text1"/>
          <w:sz w:val="28"/>
          <w:szCs w:val="28"/>
        </w:rPr>
        <w:t xml:space="preserve"> (TRF)</w:t>
      </w:r>
      <w:r w:rsidR="00D26624">
        <w:rPr>
          <w:color w:val="000000" w:themeColor="text1"/>
          <w:sz w:val="28"/>
          <w:szCs w:val="28"/>
        </w:rPr>
        <w:t xml:space="preserve"> lumpsum previously paid to the Pension Fund.  Mr Molefe now seeks leave to appeal this order.</w:t>
      </w:r>
    </w:p>
    <w:p w:rsidR="00D26624"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D26624">
        <w:rPr>
          <w:color w:val="000000" w:themeColor="text1"/>
          <w:sz w:val="28"/>
          <w:szCs w:val="28"/>
        </w:rPr>
        <w:t xml:space="preserve">Adv </w:t>
      </w:r>
      <w:r w:rsidR="00F47A12">
        <w:rPr>
          <w:color w:val="000000" w:themeColor="text1"/>
          <w:sz w:val="28"/>
          <w:szCs w:val="28"/>
        </w:rPr>
        <w:t>Ngalwana</w:t>
      </w:r>
      <w:r w:rsidR="00D26624">
        <w:rPr>
          <w:color w:val="000000" w:themeColor="text1"/>
          <w:sz w:val="28"/>
          <w:szCs w:val="28"/>
        </w:rPr>
        <w:t xml:space="preserve"> SC appeared for Mr Molefe at the hearing of the application for leave</w:t>
      </w:r>
      <w:r w:rsidR="0031116C">
        <w:rPr>
          <w:color w:val="000000" w:themeColor="text1"/>
          <w:sz w:val="28"/>
          <w:szCs w:val="28"/>
        </w:rPr>
        <w:t xml:space="preserve"> to appeal, together with Adv Ne</w:t>
      </w:r>
      <w:r w:rsidR="00D26624">
        <w:rPr>
          <w:color w:val="000000" w:themeColor="text1"/>
          <w:sz w:val="28"/>
          <w:szCs w:val="28"/>
        </w:rPr>
        <w:t xml:space="preserve">lani.  At the hearing, they handed up a </w:t>
      </w:r>
      <w:r w:rsidR="00D26624">
        <w:rPr>
          <w:color w:val="000000" w:themeColor="text1"/>
          <w:sz w:val="28"/>
          <w:szCs w:val="28"/>
        </w:rPr>
        <w:lastRenderedPageBreak/>
        <w:t>12- page “note for argument”.  In this note, the following were advanced as reasons why there was a reasonable prospect of success on appeal</w:t>
      </w:r>
      <w:r w:rsidR="00D26624">
        <w:rPr>
          <w:rStyle w:val="FootnoteReference"/>
          <w:color w:val="000000" w:themeColor="text1"/>
          <w:sz w:val="28"/>
          <w:szCs w:val="28"/>
        </w:rPr>
        <w:footnoteReference w:id="1"/>
      </w:r>
      <w:r w:rsidR="00F91762">
        <w:rPr>
          <w:color w:val="000000" w:themeColor="text1"/>
          <w:sz w:val="28"/>
          <w:szCs w:val="28"/>
        </w:rPr>
        <w:t>:</w:t>
      </w:r>
    </w:p>
    <w:p w:rsidR="00F91762" w:rsidRDefault="00703392" w:rsidP="00703392">
      <w:pPr>
        <w:pStyle w:val="MEMONUMBERED"/>
        <w:numPr>
          <w:ilvl w:val="0"/>
          <w:numId w:val="0"/>
        </w:numPr>
        <w:spacing w:after="120" w:line="360" w:lineRule="auto"/>
        <w:ind w:left="720" w:hanging="720"/>
        <w:rPr>
          <w:color w:val="000000" w:themeColor="text1"/>
          <w:sz w:val="28"/>
          <w:szCs w:val="28"/>
        </w:rPr>
      </w:pPr>
      <w:r>
        <w:rPr>
          <w:color w:val="000000" w:themeColor="text1"/>
          <w:sz w:val="28"/>
          <w:szCs w:val="28"/>
        </w:rPr>
        <w:t>(a)</w:t>
      </w:r>
      <w:r>
        <w:rPr>
          <w:color w:val="000000" w:themeColor="text1"/>
          <w:sz w:val="28"/>
          <w:szCs w:val="28"/>
        </w:rPr>
        <w:tab/>
      </w:r>
      <w:r w:rsidR="00F91762">
        <w:rPr>
          <w:color w:val="000000" w:themeColor="text1"/>
          <w:sz w:val="28"/>
          <w:szCs w:val="28"/>
        </w:rPr>
        <w:t>the court failed to exercise a discretion in terms of Rule 41A (3)(b) (the “mediation point”);</w:t>
      </w:r>
    </w:p>
    <w:p w:rsidR="00F91762" w:rsidRDefault="00703392" w:rsidP="00703392">
      <w:pPr>
        <w:pStyle w:val="MEMONUMBERED"/>
        <w:numPr>
          <w:ilvl w:val="0"/>
          <w:numId w:val="0"/>
        </w:numPr>
        <w:spacing w:after="120" w:line="360" w:lineRule="auto"/>
        <w:ind w:left="720" w:hanging="720"/>
        <w:rPr>
          <w:color w:val="000000" w:themeColor="text1"/>
          <w:sz w:val="28"/>
          <w:szCs w:val="28"/>
        </w:rPr>
      </w:pPr>
      <w:r>
        <w:rPr>
          <w:color w:val="000000" w:themeColor="text1"/>
          <w:sz w:val="28"/>
          <w:szCs w:val="28"/>
        </w:rPr>
        <w:t>(b)</w:t>
      </w:r>
      <w:r>
        <w:rPr>
          <w:color w:val="000000" w:themeColor="text1"/>
          <w:sz w:val="28"/>
          <w:szCs w:val="28"/>
        </w:rPr>
        <w:tab/>
      </w:r>
      <w:r w:rsidR="00F91762">
        <w:rPr>
          <w:color w:val="000000" w:themeColor="text1"/>
          <w:sz w:val="28"/>
          <w:szCs w:val="28"/>
        </w:rPr>
        <w:t xml:space="preserve">the court </w:t>
      </w:r>
      <w:r w:rsidR="004F6E92">
        <w:rPr>
          <w:color w:val="000000" w:themeColor="text1"/>
          <w:sz w:val="28"/>
          <w:szCs w:val="28"/>
        </w:rPr>
        <w:t>“</w:t>
      </w:r>
      <w:r w:rsidR="00F91762">
        <w:rPr>
          <w:color w:val="000000" w:themeColor="text1"/>
          <w:sz w:val="28"/>
          <w:szCs w:val="28"/>
        </w:rPr>
        <w:t>travelled</w:t>
      </w:r>
      <w:r w:rsidR="004F6E92">
        <w:rPr>
          <w:color w:val="000000" w:themeColor="text1"/>
          <w:sz w:val="28"/>
          <w:szCs w:val="28"/>
        </w:rPr>
        <w:t>”</w:t>
      </w:r>
      <w:r w:rsidR="00F91762">
        <w:rPr>
          <w:color w:val="000000" w:themeColor="text1"/>
          <w:sz w:val="28"/>
          <w:szCs w:val="28"/>
        </w:rPr>
        <w:t xml:space="preserve"> beyond the pleaded facts;</w:t>
      </w:r>
    </w:p>
    <w:p w:rsidR="00F91762" w:rsidRDefault="00703392" w:rsidP="00703392">
      <w:pPr>
        <w:pStyle w:val="MEMONUMBERED"/>
        <w:numPr>
          <w:ilvl w:val="0"/>
          <w:numId w:val="0"/>
        </w:numPr>
        <w:spacing w:after="120" w:line="360" w:lineRule="auto"/>
        <w:ind w:left="720" w:hanging="720"/>
        <w:rPr>
          <w:color w:val="000000" w:themeColor="text1"/>
          <w:sz w:val="28"/>
          <w:szCs w:val="28"/>
        </w:rPr>
      </w:pPr>
      <w:r>
        <w:rPr>
          <w:color w:val="000000" w:themeColor="text1"/>
          <w:sz w:val="28"/>
          <w:szCs w:val="28"/>
        </w:rPr>
        <w:t>(c)</w:t>
      </w:r>
      <w:r>
        <w:rPr>
          <w:color w:val="000000" w:themeColor="text1"/>
          <w:sz w:val="28"/>
          <w:szCs w:val="28"/>
        </w:rPr>
        <w:tab/>
      </w:r>
      <w:r w:rsidR="00F91762">
        <w:rPr>
          <w:color w:val="000000" w:themeColor="text1"/>
          <w:sz w:val="28"/>
          <w:szCs w:val="28"/>
        </w:rPr>
        <w:t>the court erred in its treatment of disputed facts;</w:t>
      </w:r>
    </w:p>
    <w:p w:rsidR="00F91762" w:rsidRDefault="00703392" w:rsidP="00703392">
      <w:pPr>
        <w:pStyle w:val="MEMONUMBERED"/>
        <w:numPr>
          <w:ilvl w:val="0"/>
          <w:numId w:val="0"/>
        </w:numPr>
        <w:spacing w:after="120" w:line="360" w:lineRule="auto"/>
        <w:ind w:left="720" w:hanging="720"/>
        <w:rPr>
          <w:color w:val="000000" w:themeColor="text1"/>
          <w:sz w:val="28"/>
          <w:szCs w:val="28"/>
        </w:rPr>
      </w:pPr>
      <w:r>
        <w:rPr>
          <w:color w:val="000000" w:themeColor="text1"/>
          <w:sz w:val="28"/>
          <w:szCs w:val="28"/>
        </w:rPr>
        <w:t>(d)</w:t>
      </w:r>
      <w:r>
        <w:rPr>
          <w:color w:val="000000" w:themeColor="text1"/>
          <w:sz w:val="28"/>
          <w:szCs w:val="28"/>
        </w:rPr>
        <w:tab/>
      </w:r>
      <w:r w:rsidR="00F91762">
        <w:rPr>
          <w:color w:val="000000" w:themeColor="text1"/>
          <w:sz w:val="28"/>
          <w:szCs w:val="28"/>
        </w:rPr>
        <w:t>t</w:t>
      </w:r>
      <w:r w:rsidR="00F91762" w:rsidRPr="00F91762">
        <w:rPr>
          <w:color w:val="000000" w:themeColor="text1"/>
          <w:sz w:val="28"/>
          <w:szCs w:val="28"/>
        </w:rPr>
        <w:t>he court erred in finding that it was implementing the full court’</w:t>
      </w:r>
      <w:r w:rsidR="00F91762">
        <w:rPr>
          <w:color w:val="000000" w:themeColor="text1"/>
          <w:sz w:val="28"/>
          <w:szCs w:val="28"/>
        </w:rPr>
        <w:t>s judgment;</w:t>
      </w:r>
    </w:p>
    <w:p w:rsidR="00F91762" w:rsidRPr="009D45F9" w:rsidRDefault="00703392" w:rsidP="00703392">
      <w:pPr>
        <w:pStyle w:val="MEMONUMBERED"/>
        <w:numPr>
          <w:ilvl w:val="0"/>
          <w:numId w:val="0"/>
        </w:numPr>
        <w:spacing w:after="360" w:line="360" w:lineRule="auto"/>
        <w:ind w:left="720" w:hanging="720"/>
        <w:rPr>
          <w:color w:val="000000" w:themeColor="text1"/>
          <w:sz w:val="28"/>
          <w:szCs w:val="28"/>
        </w:rPr>
      </w:pPr>
      <w:r w:rsidRPr="009D45F9">
        <w:rPr>
          <w:color w:val="000000" w:themeColor="text1"/>
          <w:sz w:val="28"/>
          <w:szCs w:val="28"/>
        </w:rPr>
        <w:t>(e)</w:t>
      </w:r>
      <w:r w:rsidRPr="009D45F9">
        <w:rPr>
          <w:color w:val="000000" w:themeColor="text1"/>
          <w:sz w:val="28"/>
          <w:szCs w:val="28"/>
        </w:rPr>
        <w:tab/>
      </w:r>
      <w:r w:rsidR="00F91762">
        <w:rPr>
          <w:color w:val="000000" w:themeColor="text1"/>
          <w:sz w:val="28"/>
          <w:szCs w:val="28"/>
        </w:rPr>
        <w:t>the court failed to exercise judicial deference.</w:t>
      </w:r>
    </w:p>
    <w:p w:rsidR="00F91762"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F91762">
        <w:rPr>
          <w:color w:val="000000" w:themeColor="text1"/>
          <w:sz w:val="28"/>
          <w:szCs w:val="28"/>
        </w:rPr>
        <w:t>In addition to the above, Mr Molefe also argued that there are two compelling reasons</w:t>
      </w:r>
      <w:r w:rsidR="00F91762">
        <w:rPr>
          <w:rStyle w:val="FootnoteReference"/>
          <w:color w:val="000000" w:themeColor="text1"/>
          <w:sz w:val="28"/>
          <w:szCs w:val="28"/>
        </w:rPr>
        <w:footnoteReference w:id="2"/>
      </w:r>
      <w:r w:rsidR="00F91762">
        <w:rPr>
          <w:color w:val="000000" w:themeColor="text1"/>
          <w:sz w:val="28"/>
          <w:szCs w:val="28"/>
        </w:rPr>
        <w:t xml:space="preserve"> why leave to appeal to the Supreme Court of Appeal should be granted.  These were, firstly that a “proper” interpretation of Rule 41A is required </w:t>
      </w:r>
      <w:r w:rsidR="00A67273">
        <w:rPr>
          <w:color w:val="000000" w:themeColor="text1"/>
          <w:sz w:val="28"/>
          <w:szCs w:val="28"/>
        </w:rPr>
        <w:t>by a different court tha</w:t>
      </w:r>
      <w:r w:rsidR="00F91762">
        <w:rPr>
          <w:color w:val="000000" w:themeColor="text1"/>
          <w:sz w:val="28"/>
          <w:szCs w:val="28"/>
        </w:rPr>
        <w:t xml:space="preserve">n one of first instance and that this is a “constitutional matter”.  The second reason is that the court had substituted its own calculations </w:t>
      </w:r>
      <w:r w:rsidR="009D45F9">
        <w:rPr>
          <w:color w:val="000000" w:themeColor="text1"/>
          <w:sz w:val="28"/>
          <w:szCs w:val="28"/>
        </w:rPr>
        <w:t>for that of the actuaries and thereby traversed beyond the pleadings.</w:t>
      </w:r>
    </w:p>
    <w:p w:rsidR="009D45F9"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9D45F9">
        <w:rPr>
          <w:color w:val="000000" w:themeColor="text1"/>
          <w:sz w:val="28"/>
          <w:szCs w:val="28"/>
        </w:rPr>
        <w:t>In the “note for argument”, the point was expressly made that there were numerous grounds of appeal raised in Mr Molefe’s application for leave to appeal and the fact that these weren’t traversed in the note, should not be seen as an abandonment of them.  The fact that these other grounds h</w:t>
      </w:r>
      <w:r w:rsidR="004F6E92">
        <w:rPr>
          <w:color w:val="000000" w:themeColor="text1"/>
          <w:sz w:val="28"/>
          <w:szCs w:val="28"/>
        </w:rPr>
        <w:t>ad not been traversed, justify</w:t>
      </w:r>
      <w:r w:rsidR="009D45F9">
        <w:rPr>
          <w:color w:val="000000" w:themeColor="text1"/>
          <w:sz w:val="28"/>
          <w:szCs w:val="28"/>
        </w:rPr>
        <w:t xml:space="preserve"> in my view</w:t>
      </w:r>
      <w:r w:rsidR="004F6E92">
        <w:rPr>
          <w:color w:val="000000" w:themeColor="text1"/>
          <w:sz w:val="28"/>
          <w:szCs w:val="28"/>
        </w:rPr>
        <w:t xml:space="preserve"> however,</w:t>
      </w:r>
      <w:r w:rsidR="009D45F9">
        <w:rPr>
          <w:color w:val="000000" w:themeColor="text1"/>
          <w:sz w:val="28"/>
          <w:szCs w:val="28"/>
        </w:rPr>
        <w:t xml:space="preserve"> the inference that they carry less weight than those actually argued.  I shall deal with the argued points first.</w:t>
      </w:r>
    </w:p>
    <w:p w:rsidR="009D45F9" w:rsidRPr="009D45F9" w:rsidRDefault="009D45F9" w:rsidP="00A67273">
      <w:pPr>
        <w:pStyle w:val="MEMONUMBERED"/>
        <w:numPr>
          <w:ilvl w:val="0"/>
          <w:numId w:val="0"/>
        </w:numPr>
        <w:spacing w:after="120" w:line="360" w:lineRule="auto"/>
        <w:rPr>
          <w:b/>
          <w:color w:val="000000" w:themeColor="text1"/>
          <w:sz w:val="28"/>
          <w:szCs w:val="28"/>
        </w:rPr>
      </w:pPr>
      <w:r w:rsidRPr="009D45F9">
        <w:rPr>
          <w:b/>
          <w:color w:val="000000" w:themeColor="text1"/>
          <w:sz w:val="28"/>
          <w:szCs w:val="28"/>
        </w:rPr>
        <w:t>The mediation point</w:t>
      </w:r>
    </w:p>
    <w:p w:rsidR="009D45F9"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[5]</w:t>
      </w:r>
      <w:r>
        <w:rPr>
          <w:color w:val="000000" w:themeColor="text1"/>
          <w:sz w:val="28"/>
          <w:szCs w:val="28"/>
        </w:rPr>
        <w:tab/>
      </w:r>
      <w:r w:rsidR="009D45F9">
        <w:rPr>
          <w:color w:val="000000" w:themeColor="text1"/>
          <w:sz w:val="28"/>
          <w:szCs w:val="28"/>
        </w:rPr>
        <w:t xml:space="preserve">Rule 41A was introduced into this court’s rules </w:t>
      </w:r>
      <w:r w:rsidR="004F6E92">
        <w:rPr>
          <w:color w:val="000000" w:themeColor="text1"/>
          <w:sz w:val="28"/>
          <w:szCs w:val="28"/>
        </w:rPr>
        <w:t>with effect from 9</w:t>
      </w:r>
      <w:r w:rsidR="009D45F9">
        <w:rPr>
          <w:color w:val="000000" w:themeColor="text1"/>
          <w:sz w:val="28"/>
          <w:szCs w:val="28"/>
        </w:rPr>
        <w:t xml:space="preserve"> March 2020.  This rule was therefore not in operation when the Pension Fund’s application for quantification was launched on 13 December 2019.  The requirements of Rule 41A (2)(a) and (b), requiring an applicant, when launching an application to serve a notice indicating whether such applicant agrees to or opposes a referral to mediation and which imposes a similar obligation on a respondent, when opposing an application to del</w:t>
      </w:r>
      <w:r w:rsidR="004F6E92">
        <w:rPr>
          <w:color w:val="000000" w:themeColor="text1"/>
          <w:sz w:val="28"/>
          <w:szCs w:val="28"/>
        </w:rPr>
        <w:t>iver a notice indicating</w:t>
      </w:r>
      <w:r w:rsidR="00FA5129">
        <w:rPr>
          <w:color w:val="000000" w:themeColor="text1"/>
          <w:sz w:val="28"/>
          <w:szCs w:val="28"/>
        </w:rPr>
        <w:t xml:space="preserve"> its attitude towards a referral to mediation, were not applicable to this matter.  It is for this reason that Mr Molefe places reliance on Rule 41A (3)(b), which provides that a court “</w:t>
      </w:r>
      <w:r w:rsidR="00FA5129" w:rsidRPr="00FA5129">
        <w:rPr>
          <w:i/>
          <w:color w:val="000000" w:themeColor="text1"/>
          <w:sz w:val="28"/>
          <w:szCs w:val="28"/>
        </w:rPr>
        <w:t>may at any stage before judgment direct the parties to consider referral of a dispute to mediation</w:t>
      </w:r>
      <w:r w:rsidR="00FA5129">
        <w:rPr>
          <w:color w:val="000000" w:themeColor="text1"/>
          <w:sz w:val="28"/>
          <w:szCs w:val="28"/>
        </w:rPr>
        <w:t>”.</w:t>
      </w:r>
      <w:r w:rsidR="004F6E92">
        <w:rPr>
          <w:color w:val="000000" w:themeColor="text1"/>
          <w:sz w:val="28"/>
          <w:szCs w:val="28"/>
        </w:rPr>
        <w:t xml:space="preserve">  Any other argument based on Rule 41A (2) notices will be misplaced.</w:t>
      </w:r>
    </w:p>
    <w:p w:rsidR="00FA5129"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FA5129">
        <w:rPr>
          <w:color w:val="000000" w:themeColor="text1"/>
          <w:sz w:val="28"/>
          <w:szCs w:val="28"/>
        </w:rPr>
        <w:t>The issue of referral to mediation was no</w:t>
      </w:r>
      <w:r w:rsidR="004F6E92">
        <w:rPr>
          <w:color w:val="000000" w:themeColor="text1"/>
          <w:sz w:val="28"/>
          <w:szCs w:val="28"/>
        </w:rPr>
        <w:t>t</w:t>
      </w:r>
      <w:r w:rsidR="00FA5129">
        <w:rPr>
          <w:color w:val="000000" w:themeColor="text1"/>
          <w:sz w:val="28"/>
          <w:szCs w:val="28"/>
        </w:rPr>
        <w:t xml:space="preserve"> raise</w:t>
      </w:r>
      <w:r w:rsidR="00702714">
        <w:rPr>
          <w:color w:val="000000" w:themeColor="text1"/>
          <w:sz w:val="28"/>
          <w:szCs w:val="28"/>
        </w:rPr>
        <w:t>d</w:t>
      </w:r>
      <w:r w:rsidR="00FA5129">
        <w:rPr>
          <w:color w:val="000000" w:themeColor="text1"/>
          <w:sz w:val="28"/>
          <w:szCs w:val="28"/>
        </w:rPr>
        <w:t xml:space="preserve"> by Mr Molefe in his answering affidavit delivered on 16 July 2020 (when the rule was already operational).  It was only raised by him in a supplementary answering affidavit delivered on</w:t>
      </w:r>
      <w:r w:rsidR="004F6E92">
        <w:rPr>
          <w:color w:val="000000" w:themeColor="text1"/>
          <w:sz w:val="28"/>
          <w:szCs w:val="28"/>
        </w:rPr>
        <w:t xml:space="preserve"> some 18 months later</w:t>
      </w:r>
      <w:r w:rsidR="00FA5129">
        <w:rPr>
          <w:color w:val="000000" w:themeColor="text1"/>
          <w:sz w:val="28"/>
          <w:szCs w:val="28"/>
        </w:rPr>
        <w:t xml:space="preserve"> 1 February 2022.</w:t>
      </w:r>
    </w:p>
    <w:p w:rsidR="00FA5129"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FA5129">
        <w:rPr>
          <w:color w:val="000000" w:themeColor="text1"/>
          <w:sz w:val="28"/>
          <w:szCs w:val="28"/>
        </w:rPr>
        <w:t xml:space="preserve">In the said supplementary answering affidavit, Mr Molefe set out his position regarding the issues which he believed could </w:t>
      </w:r>
      <w:r w:rsidR="003215A6">
        <w:rPr>
          <w:color w:val="000000" w:themeColor="text1"/>
          <w:sz w:val="28"/>
          <w:szCs w:val="28"/>
        </w:rPr>
        <w:t>be mediated.  The first issue in</w:t>
      </w:r>
      <w:r w:rsidR="00FA5129">
        <w:rPr>
          <w:color w:val="000000" w:themeColor="text1"/>
          <w:sz w:val="28"/>
          <w:szCs w:val="28"/>
        </w:rPr>
        <w:t xml:space="preserve"> his view</w:t>
      </w:r>
      <w:r w:rsidR="004F6E92">
        <w:rPr>
          <w:color w:val="000000" w:themeColor="text1"/>
          <w:sz w:val="28"/>
          <w:szCs w:val="28"/>
        </w:rPr>
        <w:t>, was</w:t>
      </w:r>
      <w:r w:rsidR="00FA5129">
        <w:rPr>
          <w:color w:val="000000" w:themeColor="text1"/>
          <w:sz w:val="28"/>
          <w:szCs w:val="28"/>
        </w:rPr>
        <w:t xml:space="preserve"> that the Pension Fund</w:t>
      </w:r>
      <w:r w:rsidR="004F6E92">
        <w:rPr>
          <w:color w:val="000000" w:themeColor="text1"/>
          <w:sz w:val="28"/>
          <w:szCs w:val="28"/>
        </w:rPr>
        <w:t xml:space="preserve"> had</w:t>
      </w:r>
      <w:r w:rsidR="00FA5129">
        <w:rPr>
          <w:color w:val="000000" w:themeColor="text1"/>
          <w:sz w:val="28"/>
          <w:szCs w:val="28"/>
        </w:rPr>
        <w:t xml:space="preserve"> conceded that the funds due to Mr Molefe in respect of his TRF lumpsum payment may be set-off against his debt, but that the Pension Fund “</w:t>
      </w:r>
      <w:r w:rsidR="00FA5129" w:rsidRPr="00FD04B5">
        <w:rPr>
          <w:i/>
          <w:color w:val="000000" w:themeColor="text1"/>
          <w:sz w:val="28"/>
          <w:szCs w:val="28"/>
        </w:rPr>
        <w:t>baulks at a mediated resolution</w:t>
      </w:r>
      <w:r w:rsidR="00FA5129">
        <w:rPr>
          <w:color w:val="000000" w:themeColor="text1"/>
          <w:sz w:val="28"/>
          <w:szCs w:val="28"/>
        </w:rPr>
        <w:t>”.</w:t>
      </w:r>
      <w:r w:rsidR="00FD04B5">
        <w:rPr>
          <w:color w:val="000000" w:themeColor="text1"/>
          <w:sz w:val="28"/>
          <w:szCs w:val="28"/>
        </w:rPr>
        <w:t xml:space="preserve"> The issue of set-off has</w:t>
      </w:r>
      <w:r w:rsidR="004F6E92">
        <w:rPr>
          <w:color w:val="000000" w:themeColor="text1"/>
          <w:sz w:val="28"/>
          <w:szCs w:val="28"/>
        </w:rPr>
        <w:t xml:space="preserve"> indeed been conceded by the Pension Fu</w:t>
      </w:r>
      <w:r w:rsidR="00FD04B5">
        <w:rPr>
          <w:color w:val="000000" w:themeColor="text1"/>
          <w:sz w:val="28"/>
          <w:szCs w:val="28"/>
        </w:rPr>
        <w:t>nd and featured in all the calculations, as well as in the judgment and the order.  There was, at the time of hearing the matter, th</w:t>
      </w:r>
      <w:r w:rsidR="004F6E92">
        <w:rPr>
          <w:color w:val="000000" w:themeColor="text1"/>
          <w:sz w:val="28"/>
          <w:szCs w:val="28"/>
        </w:rPr>
        <w:t>erefore nothing to mediate about</w:t>
      </w:r>
      <w:r w:rsidR="00FD04B5">
        <w:rPr>
          <w:color w:val="000000" w:themeColor="text1"/>
          <w:sz w:val="28"/>
          <w:szCs w:val="28"/>
        </w:rPr>
        <w:t xml:space="preserve"> this aspect</w:t>
      </w:r>
      <w:r w:rsidR="004F6E92">
        <w:rPr>
          <w:color w:val="000000" w:themeColor="text1"/>
          <w:sz w:val="28"/>
          <w:szCs w:val="28"/>
        </w:rPr>
        <w:t xml:space="preserve">. </w:t>
      </w:r>
      <w:r w:rsidR="00FD04B5">
        <w:rPr>
          <w:color w:val="000000" w:themeColor="text1"/>
          <w:sz w:val="28"/>
          <w:szCs w:val="28"/>
        </w:rPr>
        <w:t xml:space="preserve"> </w:t>
      </w:r>
      <w:r w:rsidR="004F6E92">
        <w:rPr>
          <w:color w:val="000000" w:themeColor="text1"/>
          <w:sz w:val="28"/>
          <w:szCs w:val="28"/>
        </w:rPr>
        <w:t>I</w:t>
      </w:r>
      <w:r w:rsidR="00FD04B5">
        <w:rPr>
          <w:color w:val="000000" w:themeColor="text1"/>
          <w:sz w:val="28"/>
          <w:szCs w:val="28"/>
        </w:rPr>
        <w:t>t was already a “done deal” as they say.</w:t>
      </w:r>
    </w:p>
    <w:p w:rsidR="00FD04B5"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FD04B5">
        <w:rPr>
          <w:color w:val="000000" w:themeColor="text1"/>
          <w:sz w:val="28"/>
          <w:szCs w:val="28"/>
        </w:rPr>
        <w:t>The second point which Mr Molefe raise</w:t>
      </w:r>
      <w:r w:rsidR="004F6E92">
        <w:rPr>
          <w:color w:val="000000" w:themeColor="text1"/>
          <w:sz w:val="28"/>
          <w:szCs w:val="28"/>
        </w:rPr>
        <w:t>d</w:t>
      </w:r>
      <w:r w:rsidR="00FD04B5">
        <w:rPr>
          <w:color w:val="000000" w:themeColor="text1"/>
          <w:sz w:val="28"/>
          <w:szCs w:val="28"/>
        </w:rPr>
        <w:t xml:space="preserve"> in his supplementary answering affidavit, </w:t>
      </w:r>
      <w:r w:rsidR="004F6E92">
        <w:rPr>
          <w:color w:val="000000" w:themeColor="text1"/>
          <w:sz w:val="28"/>
          <w:szCs w:val="28"/>
        </w:rPr>
        <w:t xml:space="preserve">which was to be mediated, </w:t>
      </w:r>
      <w:r w:rsidR="00FD04B5">
        <w:rPr>
          <w:color w:val="000000" w:themeColor="text1"/>
          <w:sz w:val="28"/>
          <w:szCs w:val="28"/>
        </w:rPr>
        <w:t xml:space="preserve">is the issue about the meeting of actuaries.  </w:t>
      </w:r>
      <w:r w:rsidR="00FD04B5">
        <w:rPr>
          <w:color w:val="000000" w:themeColor="text1"/>
          <w:sz w:val="28"/>
          <w:szCs w:val="28"/>
        </w:rPr>
        <w:lastRenderedPageBreak/>
        <w:t>Mr Molefe quoted the contents of a letter from the Pension Fund’s attorneys, dealing with the issues of mediation.  The Pension Fund’s position is quoted as being the following: “</w:t>
      </w:r>
      <w:r w:rsidR="00FD04B5" w:rsidRPr="00FD04B5">
        <w:rPr>
          <w:i/>
          <w:color w:val="000000" w:themeColor="text1"/>
          <w:sz w:val="28"/>
          <w:szCs w:val="28"/>
        </w:rPr>
        <w:t>Our client opposes the request for the matter to be referred to mediation for the reasons set out herein …</w:t>
      </w:r>
      <w:r w:rsidR="0031116C">
        <w:rPr>
          <w:i/>
          <w:color w:val="000000" w:themeColor="text1"/>
          <w:sz w:val="28"/>
          <w:szCs w:val="28"/>
        </w:rPr>
        <w:t>.</w:t>
      </w:r>
      <w:r w:rsidR="00FD04B5" w:rsidRPr="00FD04B5">
        <w:rPr>
          <w:i/>
          <w:color w:val="000000" w:themeColor="text1"/>
          <w:sz w:val="28"/>
          <w:szCs w:val="28"/>
        </w:rPr>
        <w:t xml:space="preserve">  As indicated in the case management meeting, our client is amenable to the respective actuaries meeting in an effect to curtail the issues that may arise for dispute in order to be of assistance to the court and to assist the efficient administration of justice by ensuring an efficient discharge of obligations flowing form the order of the full bench</w:t>
      </w:r>
      <w:r w:rsidR="00FD04B5">
        <w:rPr>
          <w:color w:val="000000" w:themeColor="text1"/>
          <w:sz w:val="28"/>
          <w:szCs w:val="28"/>
        </w:rPr>
        <w:t>”.</w:t>
      </w:r>
    </w:p>
    <w:p w:rsidR="00FD04B5"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FD04B5">
        <w:rPr>
          <w:color w:val="000000" w:themeColor="text1"/>
          <w:sz w:val="28"/>
          <w:szCs w:val="28"/>
        </w:rPr>
        <w:t>Pursuant to this, the actuaries have</w:t>
      </w:r>
      <w:r w:rsidR="004F6E92">
        <w:rPr>
          <w:color w:val="000000" w:themeColor="text1"/>
          <w:sz w:val="28"/>
          <w:szCs w:val="28"/>
        </w:rPr>
        <w:t xml:space="preserve"> indeed</w:t>
      </w:r>
      <w:r w:rsidR="00FD04B5">
        <w:rPr>
          <w:color w:val="000000" w:themeColor="text1"/>
          <w:sz w:val="28"/>
          <w:szCs w:val="28"/>
        </w:rPr>
        <w:t xml:space="preserve"> met</w:t>
      </w:r>
      <w:r w:rsidR="004F6E92">
        <w:rPr>
          <w:color w:val="000000" w:themeColor="text1"/>
          <w:sz w:val="28"/>
          <w:szCs w:val="28"/>
        </w:rPr>
        <w:t xml:space="preserve"> and</w:t>
      </w:r>
      <w:r w:rsidR="00FD04B5">
        <w:rPr>
          <w:color w:val="000000" w:themeColor="text1"/>
          <w:sz w:val="28"/>
          <w:szCs w:val="28"/>
        </w:rPr>
        <w:t xml:space="preserve"> have produced a set of joint minutes and I have directed thereafter that the minutes be revised so that i</w:t>
      </w:r>
      <w:r w:rsidR="00ED1FB6">
        <w:rPr>
          <w:color w:val="000000" w:themeColor="text1"/>
          <w:sz w:val="28"/>
          <w:szCs w:val="28"/>
        </w:rPr>
        <w:t>t clearly set out the actuaries’</w:t>
      </w:r>
      <w:r w:rsidR="00FD04B5">
        <w:rPr>
          <w:color w:val="000000" w:themeColor="text1"/>
          <w:sz w:val="28"/>
          <w:szCs w:val="28"/>
        </w:rPr>
        <w:t xml:space="preserve"> areas of agreement and disagreement, with reasons being furnished for the lastmentioned</w:t>
      </w:r>
      <w:r w:rsidR="00ED1FB6">
        <w:rPr>
          <w:color w:val="000000" w:themeColor="text1"/>
          <w:sz w:val="28"/>
          <w:szCs w:val="28"/>
        </w:rPr>
        <w:t xml:space="preserve">.  </w:t>
      </w:r>
      <w:r w:rsidR="00FD04B5">
        <w:rPr>
          <w:color w:val="000000" w:themeColor="text1"/>
          <w:sz w:val="28"/>
          <w:szCs w:val="28"/>
        </w:rPr>
        <w:t xml:space="preserve"> </w:t>
      </w:r>
      <w:r w:rsidR="00ED1FB6">
        <w:rPr>
          <w:color w:val="000000" w:themeColor="text1"/>
          <w:sz w:val="28"/>
          <w:szCs w:val="28"/>
        </w:rPr>
        <w:t>At time of the hearing of the matter, this had been done.  The areas of disagreement were in respect of legal argument</w:t>
      </w:r>
      <w:r w:rsidR="003215A6">
        <w:rPr>
          <w:color w:val="000000" w:themeColor="text1"/>
          <w:sz w:val="28"/>
          <w:szCs w:val="28"/>
        </w:rPr>
        <w:t xml:space="preserve"> and</w:t>
      </w:r>
      <w:r w:rsidR="00ED1FB6">
        <w:rPr>
          <w:color w:val="000000" w:themeColor="text1"/>
          <w:sz w:val="28"/>
          <w:szCs w:val="28"/>
        </w:rPr>
        <w:t xml:space="preserve"> not in respect of issues of calculation.</w:t>
      </w:r>
      <w:r w:rsidR="004F6E92">
        <w:rPr>
          <w:color w:val="000000" w:themeColor="text1"/>
          <w:sz w:val="28"/>
          <w:szCs w:val="28"/>
        </w:rPr>
        <w:t xml:space="preserve">  This issue has been dealt with in the judgment against which leave to appeal is being sought.  </w:t>
      </w:r>
    </w:p>
    <w:p w:rsidR="00ED1FB6"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4F6E92">
        <w:rPr>
          <w:color w:val="000000" w:themeColor="text1"/>
          <w:sz w:val="28"/>
          <w:szCs w:val="28"/>
        </w:rPr>
        <w:t xml:space="preserve">Despite this, the argument is that the parties should have been directed to consider a further referral to mediation.  </w:t>
      </w:r>
      <w:r w:rsidR="00ED1FB6">
        <w:rPr>
          <w:color w:val="000000" w:themeColor="text1"/>
          <w:sz w:val="28"/>
          <w:szCs w:val="28"/>
        </w:rPr>
        <w:t>One must bear in mind that mediation is a voluntary process</w:t>
      </w:r>
      <w:r w:rsidR="00ED1FB6">
        <w:rPr>
          <w:rStyle w:val="FootnoteReference"/>
          <w:color w:val="000000" w:themeColor="text1"/>
          <w:sz w:val="28"/>
          <w:szCs w:val="28"/>
        </w:rPr>
        <w:footnoteReference w:id="3"/>
      </w:r>
      <w:r w:rsidR="00ED1FB6">
        <w:rPr>
          <w:color w:val="000000" w:themeColor="text1"/>
          <w:sz w:val="28"/>
          <w:szCs w:val="28"/>
        </w:rPr>
        <w:t>.</w:t>
      </w:r>
      <w:r w:rsidR="006B5EE2">
        <w:rPr>
          <w:color w:val="000000" w:themeColor="text1"/>
          <w:sz w:val="28"/>
          <w:szCs w:val="28"/>
        </w:rPr>
        <w:t xml:space="preserve">  This much Adv </w:t>
      </w:r>
      <w:r w:rsidR="00F47A12">
        <w:rPr>
          <w:color w:val="000000" w:themeColor="text1"/>
          <w:sz w:val="28"/>
          <w:szCs w:val="28"/>
        </w:rPr>
        <w:t>Ngalwana</w:t>
      </w:r>
      <w:r w:rsidR="006B5EE2">
        <w:rPr>
          <w:color w:val="000000" w:themeColor="text1"/>
          <w:sz w:val="28"/>
          <w:szCs w:val="28"/>
        </w:rPr>
        <w:t xml:space="preserve"> SC conceded.  Where a party had furnished its reasons for not being willing to</w:t>
      </w:r>
      <w:r w:rsidR="00212833">
        <w:rPr>
          <w:color w:val="000000" w:themeColor="text1"/>
          <w:sz w:val="28"/>
          <w:szCs w:val="28"/>
        </w:rPr>
        <w:t xml:space="preserve"> further</w:t>
      </w:r>
      <w:r w:rsidR="006B5EE2">
        <w:rPr>
          <w:color w:val="000000" w:themeColor="text1"/>
          <w:sz w:val="28"/>
          <w:szCs w:val="28"/>
        </w:rPr>
        <w:t xml:space="preserve"> mediate a matter and</w:t>
      </w:r>
      <w:r w:rsidR="00212833">
        <w:rPr>
          <w:color w:val="000000" w:themeColor="text1"/>
          <w:sz w:val="28"/>
          <w:szCs w:val="28"/>
        </w:rPr>
        <w:t xml:space="preserve"> where those reasons we</w:t>
      </w:r>
      <w:r w:rsidR="006B5EE2">
        <w:rPr>
          <w:color w:val="000000" w:themeColor="text1"/>
          <w:sz w:val="28"/>
          <w:szCs w:val="28"/>
        </w:rPr>
        <w:t>re not arbitrary and where that party has otherwise co-operated in limiting areas of dispute, leaving the remaining issues outstanding to be of a legal</w:t>
      </w:r>
      <w:r w:rsidR="00212833">
        <w:rPr>
          <w:color w:val="000000" w:themeColor="text1"/>
          <w:sz w:val="28"/>
          <w:szCs w:val="28"/>
        </w:rPr>
        <w:t xml:space="preserve"> nature, it is difficult to discern</w:t>
      </w:r>
      <w:r w:rsidR="006B5EE2">
        <w:rPr>
          <w:color w:val="000000" w:themeColor="text1"/>
          <w:sz w:val="28"/>
          <w:szCs w:val="28"/>
        </w:rPr>
        <w:t xml:space="preserve"> grounds </w:t>
      </w:r>
      <w:r w:rsidR="00212833">
        <w:rPr>
          <w:color w:val="000000" w:themeColor="text1"/>
          <w:sz w:val="28"/>
          <w:szCs w:val="28"/>
        </w:rPr>
        <w:t>on which</w:t>
      </w:r>
      <w:r w:rsidR="006B5EE2">
        <w:rPr>
          <w:color w:val="000000" w:themeColor="text1"/>
          <w:sz w:val="28"/>
          <w:szCs w:val="28"/>
        </w:rPr>
        <w:t xml:space="preserve"> a court would</w:t>
      </w:r>
      <w:r w:rsidR="00212833">
        <w:rPr>
          <w:color w:val="000000" w:themeColor="text1"/>
          <w:sz w:val="28"/>
          <w:szCs w:val="28"/>
        </w:rPr>
        <w:t xml:space="preserve"> have been</w:t>
      </w:r>
      <w:r w:rsidR="006B5EE2">
        <w:rPr>
          <w:color w:val="000000" w:themeColor="text1"/>
          <w:sz w:val="28"/>
          <w:szCs w:val="28"/>
        </w:rPr>
        <w:t xml:space="preserve"> wrong </w:t>
      </w:r>
      <w:r w:rsidR="00212833">
        <w:rPr>
          <w:color w:val="000000" w:themeColor="text1"/>
          <w:sz w:val="28"/>
          <w:szCs w:val="28"/>
        </w:rPr>
        <w:t>to not</w:t>
      </w:r>
      <w:r w:rsidR="006B5EE2">
        <w:rPr>
          <w:color w:val="000000" w:themeColor="text1"/>
          <w:sz w:val="28"/>
          <w:szCs w:val="28"/>
        </w:rPr>
        <w:t xml:space="preserve"> “direct” a</w:t>
      </w:r>
      <w:r w:rsidR="00212833">
        <w:rPr>
          <w:color w:val="000000" w:themeColor="text1"/>
          <w:sz w:val="28"/>
          <w:szCs w:val="28"/>
        </w:rPr>
        <w:t xml:space="preserve"> further</w:t>
      </w:r>
      <w:r w:rsidR="006B5EE2">
        <w:rPr>
          <w:color w:val="000000" w:themeColor="text1"/>
          <w:sz w:val="28"/>
          <w:szCs w:val="28"/>
        </w:rPr>
        <w:t xml:space="preserve"> referral to meditation.  I have dealt with this aspect, having due regard to the nature of the</w:t>
      </w:r>
      <w:r w:rsidR="00212833">
        <w:rPr>
          <w:color w:val="000000" w:themeColor="text1"/>
          <w:sz w:val="28"/>
          <w:szCs w:val="28"/>
        </w:rPr>
        <w:t xml:space="preserve"> outstanding</w:t>
      </w:r>
      <w:r w:rsidR="006B5EE2">
        <w:rPr>
          <w:color w:val="000000" w:themeColor="text1"/>
          <w:sz w:val="28"/>
          <w:szCs w:val="28"/>
        </w:rPr>
        <w:t xml:space="preserve"> dispute</w:t>
      </w:r>
      <w:r w:rsidR="00212833">
        <w:rPr>
          <w:color w:val="000000" w:themeColor="text1"/>
          <w:sz w:val="28"/>
          <w:szCs w:val="28"/>
        </w:rPr>
        <w:t>s</w:t>
      </w:r>
      <w:r w:rsidR="006B5EE2">
        <w:rPr>
          <w:color w:val="000000" w:themeColor="text1"/>
          <w:sz w:val="28"/>
          <w:szCs w:val="28"/>
        </w:rPr>
        <w:t xml:space="preserve">, in paragraphs </w:t>
      </w:r>
      <w:r w:rsidR="00212833">
        <w:rPr>
          <w:color w:val="000000" w:themeColor="text1"/>
          <w:sz w:val="28"/>
          <w:szCs w:val="28"/>
        </w:rPr>
        <w:lastRenderedPageBreak/>
        <w:t>5.1.1</w:t>
      </w:r>
      <w:r w:rsidR="006B5EE2">
        <w:rPr>
          <w:color w:val="000000" w:themeColor="text1"/>
          <w:sz w:val="28"/>
          <w:szCs w:val="28"/>
        </w:rPr>
        <w:t xml:space="preserve"> to </w:t>
      </w:r>
      <w:r w:rsidR="00212833">
        <w:rPr>
          <w:color w:val="000000" w:themeColor="text1"/>
          <w:sz w:val="28"/>
          <w:szCs w:val="28"/>
        </w:rPr>
        <w:t>5.1.8</w:t>
      </w:r>
      <w:r w:rsidR="006B5EE2">
        <w:rPr>
          <w:color w:val="000000" w:themeColor="text1"/>
          <w:sz w:val="28"/>
          <w:szCs w:val="28"/>
        </w:rPr>
        <w:t xml:space="preserve"> of the judgment.  Based on the same arguments re-advanced during the hearing of the applica</w:t>
      </w:r>
      <w:r w:rsidR="00212833">
        <w:rPr>
          <w:color w:val="000000" w:themeColor="text1"/>
          <w:sz w:val="28"/>
          <w:szCs w:val="28"/>
        </w:rPr>
        <w:t>tion for leave to appeal, I find</w:t>
      </w:r>
      <w:r w:rsidR="006B5EE2">
        <w:rPr>
          <w:color w:val="000000" w:themeColor="text1"/>
          <w:sz w:val="28"/>
          <w:szCs w:val="28"/>
        </w:rPr>
        <w:t xml:space="preserve"> no reasonable prospect that a court of appeal would find that the discretion not to direct parties to reconsider a referral had not been exercised.  The</w:t>
      </w:r>
      <w:r w:rsidR="003215A6">
        <w:rPr>
          <w:color w:val="000000" w:themeColor="text1"/>
          <w:sz w:val="28"/>
          <w:szCs w:val="28"/>
        </w:rPr>
        <w:t xml:space="preserve"> alternative</w:t>
      </w:r>
      <w:r w:rsidR="006B5EE2">
        <w:rPr>
          <w:color w:val="000000" w:themeColor="text1"/>
          <w:sz w:val="28"/>
          <w:szCs w:val="28"/>
        </w:rPr>
        <w:t xml:space="preserve"> argument by Adv </w:t>
      </w:r>
      <w:r w:rsidR="00F47A12">
        <w:rPr>
          <w:color w:val="000000" w:themeColor="text1"/>
          <w:sz w:val="28"/>
          <w:szCs w:val="28"/>
        </w:rPr>
        <w:t>Ngalwana</w:t>
      </w:r>
      <w:r w:rsidR="006B5EE2">
        <w:rPr>
          <w:color w:val="000000" w:themeColor="text1"/>
          <w:sz w:val="28"/>
          <w:szCs w:val="28"/>
        </w:rPr>
        <w:t xml:space="preserve"> SC that the “failure” to direct the parties was based on the fact that no referral should take place, simply because the court</w:t>
      </w:r>
      <w:r w:rsidR="00212833">
        <w:rPr>
          <w:color w:val="000000" w:themeColor="text1"/>
          <w:sz w:val="28"/>
          <w:szCs w:val="28"/>
        </w:rPr>
        <w:t xml:space="preserve"> had</w:t>
      </w:r>
      <w:r w:rsidR="006B5EE2">
        <w:rPr>
          <w:color w:val="000000" w:themeColor="text1"/>
          <w:sz w:val="28"/>
          <w:szCs w:val="28"/>
        </w:rPr>
        <w:t xml:space="preserve"> found that the Pension Fund had “responded” to the invitation to mediate and had rejected it</w:t>
      </w:r>
      <w:r w:rsidR="00212833">
        <w:rPr>
          <w:color w:val="000000" w:themeColor="text1"/>
          <w:sz w:val="28"/>
          <w:szCs w:val="28"/>
        </w:rPr>
        <w:t>.</w:t>
      </w:r>
      <w:r w:rsidR="003215A6">
        <w:rPr>
          <w:color w:val="000000" w:themeColor="text1"/>
          <w:sz w:val="28"/>
          <w:szCs w:val="28"/>
        </w:rPr>
        <w:t xml:space="preserve">  The argument was that this was an improper exercise of the Court’s discretion</w:t>
      </w:r>
      <w:r w:rsidR="00212833">
        <w:rPr>
          <w:color w:val="000000" w:themeColor="text1"/>
          <w:sz w:val="28"/>
          <w:szCs w:val="28"/>
        </w:rPr>
        <w:t xml:space="preserve">  This</w:t>
      </w:r>
      <w:r w:rsidR="006B5EE2">
        <w:rPr>
          <w:color w:val="000000" w:themeColor="text1"/>
          <w:sz w:val="28"/>
          <w:szCs w:val="28"/>
        </w:rPr>
        <w:t xml:space="preserve"> is an</w:t>
      </w:r>
      <w:r w:rsidR="00212833">
        <w:rPr>
          <w:color w:val="000000" w:themeColor="text1"/>
          <w:sz w:val="28"/>
          <w:szCs w:val="28"/>
        </w:rPr>
        <w:t xml:space="preserve"> incorrect</w:t>
      </w:r>
      <w:r w:rsidR="006B5EE2">
        <w:rPr>
          <w:color w:val="000000" w:themeColor="text1"/>
          <w:sz w:val="28"/>
          <w:szCs w:val="28"/>
        </w:rPr>
        <w:t xml:space="preserve"> oversimplification</w:t>
      </w:r>
      <w:r w:rsidR="00212833">
        <w:rPr>
          <w:color w:val="000000" w:themeColor="text1"/>
          <w:sz w:val="28"/>
          <w:szCs w:val="28"/>
        </w:rPr>
        <w:t>, which is</w:t>
      </w:r>
      <w:r w:rsidR="006B5EE2">
        <w:rPr>
          <w:color w:val="000000" w:themeColor="text1"/>
          <w:sz w:val="28"/>
          <w:szCs w:val="28"/>
        </w:rPr>
        <w:t xml:space="preserve"> not supported by the facts.</w:t>
      </w:r>
    </w:p>
    <w:p w:rsidR="00DD3A56"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DD3A56">
        <w:rPr>
          <w:color w:val="000000" w:themeColor="text1"/>
          <w:sz w:val="28"/>
          <w:szCs w:val="28"/>
        </w:rPr>
        <w:t xml:space="preserve">There </w:t>
      </w:r>
      <w:r w:rsidR="00212833">
        <w:rPr>
          <w:color w:val="000000" w:themeColor="text1"/>
          <w:sz w:val="28"/>
          <w:szCs w:val="28"/>
        </w:rPr>
        <w:t>is another, more compelling reason</w:t>
      </w:r>
      <w:r w:rsidR="00DD3A56">
        <w:rPr>
          <w:color w:val="000000" w:themeColor="text1"/>
          <w:sz w:val="28"/>
          <w:szCs w:val="28"/>
        </w:rPr>
        <w:t xml:space="preserve"> why an application for leave to appeal on this point cannot succeed.  Mr Molefe</w:t>
      </w:r>
      <w:r w:rsidR="00212833">
        <w:rPr>
          <w:color w:val="000000" w:themeColor="text1"/>
          <w:sz w:val="28"/>
          <w:szCs w:val="28"/>
        </w:rPr>
        <w:t xml:space="preserve"> in his supplementary answering affidavit stated that he</w:t>
      </w:r>
      <w:r w:rsidR="00DD3A56">
        <w:rPr>
          <w:color w:val="000000" w:themeColor="text1"/>
          <w:sz w:val="28"/>
          <w:szCs w:val="28"/>
        </w:rPr>
        <w:t xml:space="preserve"> wanted a mediation process to determine “the precise” amount that he owes.  </w:t>
      </w:r>
      <w:r w:rsidR="00212833">
        <w:rPr>
          <w:color w:val="000000" w:themeColor="text1"/>
          <w:sz w:val="28"/>
          <w:szCs w:val="28"/>
        </w:rPr>
        <w:t>N</w:t>
      </w:r>
      <w:r w:rsidR="00DD3A56">
        <w:rPr>
          <w:color w:val="000000" w:themeColor="text1"/>
          <w:sz w:val="28"/>
          <w:szCs w:val="28"/>
        </w:rPr>
        <w:t xml:space="preserve">ow that </w:t>
      </w:r>
      <w:r w:rsidR="00212833">
        <w:rPr>
          <w:color w:val="000000" w:themeColor="text1"/>
          <w:sz w:val="28"/>
          <w:szCs w:val="28"/>
        </w:rPr>
        <w:t>a</w:t>
      </w:r>
      <w:r w:rsidR="00DD3A56">
        <w:rPr>
          <w:color w:val="000000" w:themeColor="text1"/>
          <w:sz w:val="28"/>
          <w:szCs w:val="28"/>
        </w:rPr>
        <w:t xml:space="preserve"> determination of the amount owing</w:t>
      </w:r>
      <w:r w:rsidR="00212833">
        <w:rPr>
          <w:color w:val="000000" w:themeColor="text1"/>
          <w:sz w:val="28"/>
          <w:szCs w:val="28"/>
        </w:rPr>
        <w:t xml:space="preserve"> had taken place</w:t>
      </w:r>
      <w:r w:rsidR="00DD3A56">
        <w:rPr>
          <w:color w:val="000000" w:themeColor="text1"/>
          <w:sz w:val="28"/>
          <w:szCs w:val="28"/>
        </w:rPr>
        <w:t>, the point had become moot.  It is inconceivable that a court of appeal would find that the matter could have been mediated and therefore that the parties must</w:t>
      </w:r>
      <w:r w:rsidR="003215A6">
        <w:rPr>
          <w:color w:val="000000" w:themeColor="text1"/>
          <w:sz w:val="28"/>
          <w:szCs w:val="28"/>
        </w:rPr>
        <w:t xml:space="preserve"> on appeal</w:t>
      </w:r>
      <w:r w:rsidR="00DD3A56">
        <w:rPr>
          <w:color w:val="000000" w:themeColor="text1"/>
          <w:sz w:val="28"/>
          <w:szCs w:val="28"/>
        </w:rPr>
        <w:t xml:space="preserve"> be directed to consider meeting around a mediation table about something which had already been determined.  This circular reasoning cannot be a ground upon which leave to appeal should be granted.</w:t>
      </w:r>
    </w:p>
    <w:p w:rsidR="00DD3A56" w:rsidRPr="006F5FB6" w:rsidRDefault="00DD3A56" w:rsidP="006F5FB6">
      <w:pPr>
        <w:pStyle w:val="MEMONUMBERED"/>
        <w:numPr>
          <w:ilvl w:val="0"/>
          <w:numId w:val="0"/>
        </w:numPr>
        <w:spacing w:after="120" w:line="360" w:lineRule="auto"/>
        <w:rPr>
          <w:b/>
          <w:color w:val="000000" w:themeColor="text1"/>
          <w:sz w:val="28"/>
          <w:szCs w:val="28"/>
        </w:rPr>
      </w:pPr>
      <w:r w:rsidRPr="006F5FB6">
        <w:rPr>
          <w:b/>
          <w:color w:val="000000" w:themeColor="text1"/>
          <w:sz w:val="28"/>
          <w:szCs w:val="28"/>
        </w:rPr>
        <w:t>The factual misdirection</w:t>
      </w:r>
    </w:p>
    <w:p w:rsidR="00DD3A56"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DD3A56">
        <w:rPr>
          <w:color w:val="000000" w:themeColor="text1"/>
          <w:sz w:val="28"/>
          <w:szCs w:val="28"/>
        </w:rPr>
        <w:t>In the main judgment, this court had found that “</w:t>
      </w:r>
      <w:r w:rsidR="00DD3A56" w:rsidRPr="00F47A12">
        <w:rPr>
          <w:i/>
          <w:color w:val="000000" w:themeColor="text1"/>
          <w:sz w:val="28"/>
          <w:szCs w:val="28"/>
        </w:rPr>
        <w:t>Mr Molefe has not put forward any evidence which contradicts the amounts …</w:t>
      </w:r>
      <w:r w:rsidR="00F47A12">
        <w:rPr>
          <w:color w:val="000000" w:themeColor="text1"/>
          <w:sz w:val="28"/>
          <w:szCs w:val="28"/>
        </w:rPr>
        <w:t>” Adv Nga</w:t>
      </w:r>
      <w:r w:rsidR="00DD3A56">
        <w:rPr>
          <w:color w:val="000000" w:themeColor="text1"/>
          <w:sz w:val="28"/>
          <w:szCs w:val="28"/>
        </w:rPr>
        <w:t xml:space="preserve">lwana SC argued that his was a misdirection as Mr Molefe </w:t>
      </w:r>
      <w:r w:rsidR="00DD3A56" w:rsidRPr="00DD3A56">
        <w:rPr>
          <w:b/>
          <w:color w:val="000000" w:themeColor="text1"/>
          <w:sz w:val="28"/>
          <w:szCs w:val="28"/>
        </w:rPr>
        <w:t xml:space="preserve">did </w:t>
      </w:r>
      <w:r w:rsidR="00DD3A56">
        <w:rPr>
          <w:color w:val="000000" w:themeColor="text1"/>
          <w:sz w:val="28"/>
          <w:szCs w:val="28"/>
        </w:rPr>
        <w:t>(so as to ensure that this court does not miss the emphasis, this word was underl</w:t>
      </w:r>
      <w:r w:rsidR="00212833">
        <w:rPr>
          <w:color w:val="000000" w:themeColor="text1"/>
          <w:sz w:val="28"/>
          <w:szCs w:val="28"/>
        </w:rPr>
        <w:t>ined and emboldened in the note</w:t>
      </w:r>
      <w:r w:rsidR="00DD3A56">
        <w:rPr>
          <w:color w:val="000000" w:themeColor="text1"/>
          <w:sz w:val="28"/>
          <w:szCs w:val="28"/>
        </w:rPr>
        <w:t xml:space="preserve"> for argument) dispute the amount.  This he apparently did by way of his denial and the furnishing of an actuarial calculation.</w:t>
      </w:r>
    </w:p>
    <w:p w:rsidR="00BC04AB"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[13]</w:t>
      </w:r>
      <w:r>
        <w:rPr>
          <w:color w:val="000000" w:themeColor="text1"/>
          <w:sz w:val="28"/>
          <w:szCs w:val="28"/>
        </w:rPr>
        <w:tab/>
      </w:r>
      <w:r w:rsidR="00DD3A56">
        <w:rPr>
          <w:color w:val="000000" w:themeColor="text1"/>
          <w:sz w:val="28"/>
          <w:szCs w:val="28"/>
        </w:rPr>
        <w:t>This argument still misses the point.  The question as to what Mr Molefe contends he received and what he alleges he has to repay has still not been answered by him: he denied the allegations of what the Pension Fund said had been paid t</w:t>
      </w:r>
      <w:r w:rsidR="00BC04AB">
        <w:rPr>
          <w:color w:val="000000" w:themeColor="text1"/>
          <w:sz w:val="28"/>
          <w:szCs w:val="28"/>
        </w:rPr>
        <w:t>o</w:t>
      </w:r>
      <w:r w:rsidR="00DD3A56">
        <w:rPr>
          <w:color w:val="000000" w:themeColor="text1"/>
          <w:sz w:val="28"/>
          <w:szCs w:val="28"/>
        </w:rPr>
        <w:t xml:space="preserve"> him, but, apart </w:t>
      </w:r>
      <w:r w:rsidR="00BC04AB">
        <w:rPr>
          <w:color w:val="000000" w:themeColor="text1"/>
          <w:sz w:val="28"/>
          <w:szCs w:val="28"/>
        </w:rPr>
        <w:t>from</w:t>
      </w:r>
      <w:r w:rsidR="00DD3A56">
        <w:rPr>
          <w:color w:val="000000" w:themeColor="text1"/>
          <w:sz w:val="28"/>
          <w:szCs w:val="28"/>
        </w:rPr>
        <w:t xml:space="preserve"> the bald denial, he produced no particularity or evidence of what</w:t>
      </w:r>
      <w:r w:rsidR="00212833">
        <w:rPr>
          <w:color w:val="000000" w:themeColor="text1"/>
          <w:sz w:val="28"/>
          <w:szCs w:val="28"/>
        </w:rPr>
        <w:t xml:space="preserve"> his version </w:t>
      </w:r>
      <w:r w:rsidR="003215A6">
        <w:rPr>
          <w:color w:val="000000" w:themeColor="text1"/>
          <w:sz w:val="28"/>
          <w:szCs w:val="28"/>
        </w:rPr>
        <w:t>was</w:t>
      </w:r>
      <w:r w:rsidR="00212833">
        <w:rPr>
          <w:color w:val="000000" w:themeColor="text1"/>
          <w:sz w:val="28"/>
          <w:szCs w:val="28"/>
        </w:rPr>
        <w:t xml:space="preserve"> of what</w:t>
      </w:r>
      <w:r w:rsidR="00DD3A56">
        <w:rPr>
          <w:color w:val="000000" w:themeColor="text1"/>
          <w:sz w:val="28"/>
          <w:szCs w:val="28"/>
        </w:rPr>
        <w:t xml:space="preserve"> he had then actually received.  The best he could do, was to say that a</w:t>
      </w:r>
      <w:r w:rsidR="00BC04AB">
        <w:rPr>
          <w:color w:val="000000" w:themeColor="text1"/>
          <w:sz w:val="28"/>
          <w:szCs w:val="28"/>
        </w:rPr>
        <w:t>mounts had been paid to SARS, but even on that score, the figures were supplied by the Pension Fund and by SARS.  Mr Molefe contributed no evidence to this debate</w:t>
      </w:r>
      <w:r w:rsidR="00BC04AB">
        <w:rPr>
          <w:rStyle w:val="FootnoteReference"/>
          <w:color w:val="000000" w:themeColor="text1"/>
          <w:sz w:val="28"/>
          <w:szCs w:val="28"/>
        </w:rPr>
        <w:footnoteReference w:id="4"/>
      </w:r>
      <w:r w:rsidR="00BC04AB">
        <w:rPr>
          <w:color w:val="000000" w:themeColor="text1"/>
          <w:sz w:val="28"/>
          <w:szCs w:val="28"/>
        </w:rPr>
        <w:t xml:space="preserve">.  </w:t>
      </w:r>
    </w:p>
    <w:p w:rsidR="00DD3A56"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BC04AB">
        <w:rPr>
          <w:color w:val="000000" w:themeColor="text1"/>
          <w:sz w:val="28"/>
          <w:szCs w:val="28"/>
        </w:rPr>
        <w:t>To illust</w:t>
      </w:r>
      <w:r w:rsidR="00212833">
        <w:rPr>
          <w:color w:val="000000" w:themeColor="text1"/>
          <w:sz w:val="28"/>
          <w:szCs w:val="28"/>
        </w:rPr>
        <w:t>rate the absence of evidence, or</w:t>
      </w:r>
      <w:r w:rsidR="00BC04AB">
        <w:rPr>
          <w:color w:val="000000" w:themeColor="text1"/>
          <w:sz w:val="28"/>
          <w:szCs w:val="28"/>
        </w:rPr>
        <w:t xml:space="preserve"> even of a version which would actually have created a genuine and real factual dispute, I asked Adv Ngalwana SC what his client contended that he actually owed.  The answer repeated the argument made in Mr Molefe’s affidavit that, </w:t>
      </w:r>
      <w:r w:rsidR="003215A6">
        <w:rPr>
          <w:color w:val="000000" w:themeColor="text1"/>
          <w:sz w:val="28"/>
          <w:szCs w:val="28"/>
        </w:rPr>
        <w:t>“</w:t>
      </w:r>
      <w:r w:rsidR="00BC04AB">
        <w:rPr>
          <w:color w:val="000000" w:themeColor="text1"/>
          <w:sz w:val="28"/>
          <w:szCs w:val="28"/>
        </w:rPr>
        <w:t>if anything</w:t>
      </w:r>
      <w:r w:rsidR="003215A6">
        <w:rPr>
          <w:color w:val="000000" w:themeColor="text1"/>
          <w:sz w:val="28"/>
          <w:szCs w:val="28"/>
        </w:rPr>
        <w:t>”</w:t>
      </w:r>
      <w:r w:rsidR="00BC04AB">
        <w:rPr>
          <w:color w:val="000000" w:themeColor="text1"/>
          <w:sz w:val="28"/>
          <w:szCs w:val="28"/>
        </w:rPr>
        <w:t xml:space="preserve">, it would be “no more than” R </w:t>
      </w:r>
      <w:r w:rsidR="00212833">
        <w:rPr>
          <w:color w:val="000000" w:themeColor="text1"/>
          <w:sz w:val="28"/>
          <w:szCs w:val="28"/>
        </w:rPr>
        <w:t>1 490 920, 88</w:t>
      </w:r>
      <w:r w:rsidR="00BC04AB">
        <w:rPr>
          <w:color w:val="000000" w:themeColor="text1"/>
          <w:sz w:val="28"/>
          <w:szCs w:val="28"/>
        </w:rPr>
        <w:t>.   This</w:t>
      </w:r>
      <w:r w:rsidR="00212833">
        <w:rPr>
          <w:color w:val="000000" w:themeColor="text1"/>
          <w:sz w:val="28"/>
          <w:szCs w:val="28"/>
        </w:rPr>
        <w:t xml:space="preserve"> is not a definitive answer and</w:t>
      </w:r>
      <w:r w:rsidR="00BC04AB">
        <w:rPr>
          <w:color w:val="000000" w:themeColor="text1"/>
          <w:sz w:val="28"/>
          <w:szCs w:val="28"/>
        </w:rPr>
        <w:t xml:space="preserve"> constitutes simply argument and not any evidence of factual nature.</w:t>
      </w:r>
      <w:r w:rsidR="00212833">
        <w:rPr>
          <w:color w:val="000000" w:themeColor="text1"/>
          <w:sz w:val="28"/>
          <w:szCs w:val="28"/>
        </w:rPr>
        <w:t xml:space="preserve">  Simply put, Mr Molefe argues that the amount ordered is incorrect, but does not say what the alleged correct amount would be.</w:t>
      </w:r>
    </w:p>
    <w:p w:rsidR="00BC04AB"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BC04AB">
        <w:rPr>
          <w:color w:val="000000" w:themeColor="text1"/>
          <w:sz w:val="28"/>
          <w:szCs w:val="28"/>
        </w:rPr>
        <w:t>Similarly, the reliance on the actuarial calculations does not save the day for Mr Molefe.  The actuary employed by him could only</w:t>
      </w:r>
      <w:r w:rsidR="00212833">
        <w:rPr>
          <w:color w:val="000000" w:themeColor="text1"/>
          <w:sz w:val="28"/>
          <w:szCs w:val="28"/>
        </w:rPr>
        <w:t>,</w:t>
      </w:r>
      <w:r w:rsidR="00BC04AB">
        <w:rPr>
          <w:color w:val="000000" w:themeColor="text1"/>
          <w:sz w:val="28"/>
          <w:szCs w:val="28"/>
        </w:rPr>
        <w:t xml:space="preserve"> in the absence of evid</w:t>
      </w:r>
      <w:r w:rsidR="00390D1B">
        <w:rPr>
          <w:color w:val="000000" w:themeColor="text1"/>
          <w:sz w:val="28"/>
          <w:szCs w:val="28"/>
        </w:rPr>
        <w:t>ence produced by Mr Molefe, rely of the evidence produced by the Pension Fund and SARS.  No wonder that the points of diffe</w:t>
      </w:r>
      <w:r w:rsidR="003215A6">
        <w:rPr>
          <w:color w:val="000000" w:themeColor="text1"/>
          <w:sz w:val="28"/>
          <w:szCs w:val="28"/>
        </w:rPr>
        <w:t>rence between the two actuaries</w:t>
      </w:r>
      <w:r w:rsidR="00390D1B">
        <w:rPr>
          <w:color w:val="000000" w:themeColor="text1"/>
          <w:sz w:val="28"/>
          <w:szCs w:val="28"/>
        </w:rPr>
        <w:t xml:space="preserve"> do not relate to calculations or factual differences, but to the legal questions relating to inclusions or deduction of what Mr Molefe would have been entitled to or not.  The “flow of funds” argument</w:t>
      </w:r>
      <w:r w:rsidR="00212833">
        <w:rPr>
          <w:color w:val="000000" w:themeColor="text1"/>
          <w:sz w:val="28"/>
          <w:szCs w:val="28"/>
        </w:rPr>
        <w:t xml:space="preserve"> advanced by Mr Molefe</w:t>
      </w:r>
      <w:r w:rsidR="00390D1B">
        <w:rPr>
          <w:color w:val="000000" w:themeColor="text1"/>
          <w:sz w:val="28"/>
          <w:szCs w:val="28"/>
        </w:rPr>
        <w:t xml:space="preserve"> does not detract from this and the calculations issue was dealt with in the judgment.  I </w:t>
      </w:r>
      <w:r w:rsidR="00390D1B">
        <w:rPr>
          <w:color w:val="000000" w:themeColor="text1"/>
          <w:sz w:val="28"/>
          <w:szCs w:val="28"/>
        </w:rPr>
        <w:lastRenderedPageBreak/>
        <w:t>find that no “misdirection” has been indicated which would justify the granting of leave to appeal.</w:t>
      </w:r>
    </w:p>
    <w:p w:rsidR="00390D1B" w:rsidRPr="006F5FB6" w:rsidRDefault="00390D1B" w:rsidP="006F5FB6">
      <w:pPr>
        <w:pStyle w:val="MEMONUMBERED"/>
        <w:numPr>
          <w:ilvl w:val="0"/>
          <w:numId w:val="0"/>
        </w:numPr>
        <w:spacing w:after="120" w:line="360" w:lineRule="auto"/>
        <w:rPr>
          <w:b/>
          <w:color w:val="000000" w:themeColor="text1"/>
          <w:sz w:val="28"/>
          <w:szCs w:val="28"/>
        </w:rPr>
      </w:pPr>
      <w:r w:rsidRPr="006F5FB6">
        <w:rPr>
          <w:b/>
          <w:color w:val="000000" w:themeColor="text1"/>
          <w:sz w:val="28"/>
          <w:szCs w:val="28"/>
        </w:rPr>
        <w:t>Material disputes of fact</w:t>
      </w:r>
    </w:p>
    <w:p w:rsidR="00390D1B"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390D1B">
        <w:rPr>
          <w:color w:val="000000" w:themeColor="text1"/>
          <w:sz w:val="28"/>
          <w:szCs w:val="28"/>
        </w:rPr>
        <w:t xml:space="preserve">Closely linked to the above </w:t>
      </w:r>
      <w:r w:rsidR="00212833">
        <w:rPr>
          <w:color w:val="000000" w:themeColor="text1"/>
          <w:sz w:val="28"/>
          <w:szCs w:val="28"/>
        </w:rPr>
        <w:t>is the approach a court should take where there is an absence of a real or genuine factual dispute.  This approach deals with</w:t>
      </w:r>
      <w:r w:rsidR="00390D1B">
        <w:rPr>
          <w:color w:val="000000" w:themeColor="text1"/>
          <w:sz w:val="28"/>
          <w:szCs w:val="28"/>
        </w:rPr>
        <w:t xml:space="preserve"> the principles regarding a</w:t>
      </w:r>
      <w:r w:rsidR="00212833">
        <w:rPr>
          <w:color w:val="000000" w:themeColor="text1"/>
          <w:sz w:val="28"/>
          <w:szCs w:val="28"/>
        </w:rPr>
        <w:t xml:space="preserve"> so-called</w:t>
      </w:r>
      <w:r w:rsidR="00390D1B">
        <w:rPr>
          <w:color w:val="000000" w:themeColor="text1"/>
          <w:sz w:val="28"/>
          <w:szCs w:val="28"/>
        </w:rPr>
        <w:t xml:space="preserve"> “robust approach”.  In Essential Judicial Reasoning</w:t>
      </w:r>
      <w:r w:rsidR="00390D1B">
        <w:rPr>
          <w:rStyle w:val="FootnoteReference"/>
          <w:color w:val="000000" w:themeColor="text1"/>
          <w:sz w:val="28"/>
          <w:szCs w:val="28"/>
        </w:rPr>
        <w:footnoteReference w:id="5"/>
      </w:r>
      <w:r w:rsidR="00390D1B">
        <w:rPr>
          <w:color w:val="000000" w:themeColor="text1"/>
          <w:sz w:val="28"/>
          <w:szCs w:val="28"/>
        </w:rPr>
        <w:t xml:space="preserve"> the position is summarized as follows: “</w:t>
      </w:r>
      <w:r w:rsidR="00212833">
        <w:rPr>
          <w:i/>
          <w:color w:val="000000" w:themeColor="text1"/>
          <w:sz w:val="28"/>
          <w:szCs w:val="28"/>
        </w:rPr>
        <w:t>At</w:t>
      </w:r>
      <w:r w:rsidR="00390D1B" w:rsidRPr="00390D1B">
        <w:rPr>
          <w:i/>
          <w:color w:val="000000" w:themeColor="text1"/>
          <w:sz w:val="28"/>
          <w:szCs w:val="28"/>
        </w:rPr>
        <w:t xml:space="preserve"> a very early stage the courts recognized that respondents frequently attempted to create disputes of fact where there are none and that courts should not be deterred from deciding on the facts where this is done</w:t>
      </w:r>
      <w:r w:rsidR="00212833">
        <w:rPr>
          <w:i/>
          <w:color w:val="000000" w:themeColor="text1"/>
          <w:sz w:val="28"/>
          <w:szCs w:val="28"/>
        </w:rPr>
        <w:t>.  The courts were enjoined to adopt a ‘robust approach’ to such disputes of fact</w:t>
      </w:r>
      <w:r w:rsidR="00390D1B">
        <w:rPr>
          <w:color w:val="000000" w:themeColor="text1"/>
          <w:sz w:val="28"/>
          <w:szCs w:val="28"/>
        </w:rPr>
        <w:t>”.</w:t>
      </w:r>
    </w:p>
    <w:p w:rsidR="00714D6D"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390D1B">
        <w:rPr>
          <w:color w:val="000000" w:themeColor="text1"/>
          <w:sz w:val="28"/>
          <w:szCs w:val="28"/>
        </w:rPr>
        <w:t xml:space="preserve">In the present matter the facts are simply those already found by the full court regarding the </w:t>
      </w:r>
      <w:r w:rsidR="006F5FB6">
        <w:rPr>
          <w:color w:val="000000" w:themeColor="text1"/>
          <w:sz w:val="28"/>
          <w:szCs w:val="28"/>
        </w:rPr>
        <w:t xml:space="preserve">undue pension benefit negotiated and received by Mr Molefe.  There are no disputes about the payment and receipt of his TRF lumpsum benefit and neither is there a dispute about what had been paid to SARS.  The remainder of arguments relating to what had constituted the pension benefits, the pension fund contributions by both the employer and employee, the issue of set-off and even </w:t>
      </w:r>
      <w:r w:rsidR="00212833">
        <w:rPr>
          <w:color w:val="000000" w:themeColor="text1"/>
          <w:sz w:val="28"/>
          <w:szCs w:val="28"/>
        </w:rPr>
        <w:t xml:space="preserve">whether </w:t>
      </w:r>
      <w:r w:rsidR="006F5FB6">
        <w:rPr>
          <w:color w:val="000000" w:themeColor="text1"/>
          <w:sz w:val="28"/>
          <w:szCs w:val="28"/>
        </w:rPr>
        <w:t>interest</w:t>
      </w:r>
      <w:r w:rsidR="00212833">
        <w:rPr>
          <w:color w:val="000000" w:themeColor="text1"/>
          <w:sz w:val="28"/>
          <w:szCs w:val="28"/>
        </w:rPr>
        <w:t xml:space="preserve"> is payable or not</w:t>
      </w:r>
      <w:r w:rsidR="006F5FB6">
        <w:rPr>
          <w:color w:val="000000" w:themeColor="text1"/>
          <w:sz w:val="28"/>
          <w:szCs w:val="28"/>
        </w:rPr>
        <w:t xml:space="preserve">, are all legal arguments which had to be determined within the rigid framework of facts.  </w:t>
      </w:r>
    </w:p>
    <w:p w:rsidR="00390D1B"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714D6D">
        <w:rPr>
          <w:color w:val="000000" w:themeColor="text1"/>
          <w:sz w:val="28"/>
          <w:szCs w:val="28"/>
        </w:rPr>
        <w:t xml:space="preserve">Simply put: there was no uncertainty as to which payments had been made and to whom they have been made, it was merely a determination as to who should make the repayments and to whom those repayments had to be made.  </w:t>
      </w:r>
      <w:r w:rsidR="006F5FB6">
        <w:rPr>
          <w:color w:val="000000" w:themeColor="text1"/>
          <w:sz w:val="28"/>
          <w:szCs w:val="28"/>
        </w:rPr>
        <w:t>This justified the determination or rather, the quantification of that which the full court had already ordered on the fa</w:t>
      </w:r>
      <w:r w:rsidR="00714D6D">
        <w:rPr>
          <w:color w:val="000000" w:themeColor="text1"/>
          <w:sz w:val="28"/>
          <w:szCs w:val="28"/>
        </w:rPr>
        <w:t>c</w:t>
      </w:r>
      <w:r w:rsidR="006F5FB6">
        <w:rPr>
          <w:color w:val="000000" w:themeColor="text1"/>
          <w:sz w:val="28"/>
          <w:szCs w:val="28"/>
        </w:rPr>
        <w:t>ts “as they stand” by way of a “</w:t>
      </w:r>
      <w:r w:rsidR="006F5FB6" w:rsidRPr="006F5FB6">
        <w:rPr>
          <w:i/>
          <w:color w:val="000000" w:themeColor="text1"/>
          <w:sz w:val="28"/>
          <w:szCs w:val="28"/>
        </w:rPr>
        <w:t>robust, common-</w:t>
      </w:r>
      <w:r w:rsidR="003215A6">
        <w:rPr>
          <w:i/>
          <w:color w:val="000000" w:themeColor="text1"/>
          <w:sz w:val="28"/>
          <w:szCs w:val="28"/>
        </w:rPr>
        <w:t>sense approach to a dispute on m</w:t>
      </w:r>
      <w:r w:rsidR="006F5FB6" w:rsidRPr="006F5FB6">
        <w:rPr>
          <w:i/>
          <w:color w:val="000000" w:themeColor="text1"/>
          <w:sz w:val="28"/>
          <w:szCs w:val="28"/>
        </w:rPr>
        <w:t xml:space="preserve">otion as otherwise the effective functioning of </w:t>
      </w:r>
      <w:r w:rsidR="006F5FB6" w:rsidRPr="006F5FB6">
        <w:rPr>
          <w:i/>
          <w:color w:val="000000" w:themeColor="text1"/>
          <w:sz w:val="28"/>
          <w:szCs w:val="28"/>
        </w:rPr>
        <w:lastRenderedPageBreak/>
        <w:t>the court can be hamstrong and circumvented by the most simple and blatant stratagem</w:t>
      </w:r>
      <w:r w:rsidR="006F5FB6">
        <w:rPr>
          <w:color w:val="000000" w:themeColor="text1"/>
          <w:sz w:val="28"/>
          <w:szCs w:val="28"/>
        </w:rPr>
        <w:t>”</w:t>
      </w:r>
      <w:r w:rsidR="006F5FB6">
        <w:rPr>
          <w:rStyle w:val="FootnoteReference"/>
          <w:color w:val="000000" w:themeColor="text1"/>
          <w:sz w:val="28"/>
          <w:szCs w:val="28"/>
        </w:rPr>
        <w:footnoteReference w:id="6"/>
      </w:r>
      <w:r w:rsidR="006F5FB6">
        <w:rPr>
          <w:color w:val="000000" w:themeColor="text1"/>
          <w:sz w:val="28"/>
          <w:szCs w:val="28"/>
        </w:rPr>
        <w:t>.  To grant leave to appeal would be to give effect to the attempt</w:t>
      </w:r>
      <w:r w:rsidR="00714D6D">
        <w:rPr>
          <w:color w:val="000000" w:themeColor="text1"/>
          <w:sz w:val="28"/>
          <w:szCs w:val="28"/>
        </w:rPr>
        <w:t>ed</w:t>
      </w:r>
      <w:r w:rsidR="006F5FB6">
        <w:rPr>
          <w:color w:val="000000" w:themeColor="text1"/>
          <w:sz w:val="28"/>
          <w:szCs w:val="28"/>
        </w:rPr>
        <w:t xml:space="preserve"> avoidance of determination of the quantification already referred to.</w:t>
      </w:r>
    </w:p>
    <w:p w:rsidR="006F5FB6" w:rsidRPr="006F5FB6" w:rsidRDefault="006F5FB6" w:rsidP="006F5FB6">
      <w:pPr>
        <w:pStyle w:val="MEMONUMBERED"/>
        <w:numPr>
          <w:ilvl w:val="0"/>
          <w:numId w:val="0"/>
        </w:numPr>
        <w:spacing w:after="120" w:line="360" w:lineRule="auto"/>
        <w:rPr>
          <w:b/>
          <w:color w:val="000000" w:themeColor="text1"/>
          <w:sz w:val="28"/>
          <w:szCs w:val="28"/>
        </w:rPr>
      </w:pPr>
      <w:r w:rsidRPr="006F5FB6">
        <w:rPr>
          <w:b/>
          <w:color w:val="000000" w:themeColor="text1"/>
          <w:sz w:val="28"/>
          <w:szCs w:val="28"/>
        </w:rPr>
        <w:t>Im</w:t>
      </w:r>
      <w:r w:rsidR="00714D6D">
        <w:rPr>
          <w:b/>
          <w:color w:val="000000" w:themeColor="text1"/>
          <w:sz w:val="28"/>
          <w:szCs w:val="28"/>
        </w:rPr>
        <w:t>plementation of the full court’s</w:t>
      </w:r>
      <w:r w:rsidRPr="006F5FB6">
        <w:rPr>
          <w:b/>
          <w:color w:val="000000" w:themeColor="text1"/>
          <w:sz w:val="28"/>
          <w:szCs w:val="28"/>
        </w:rPr>
        <w:t xml:space="preserve"> order</w:t>
      </w:r>
    </w:p>
    <w:p w:rsidR="006F5FB6"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6F5FB6">
        <w:rPr>
          <w:color w:val="000000" w:themeColor="text1"/>
          <w:sz w:val="28"/>
          <w:szCs w:val="28"/>
        </w:rPr>
        <w:t>Mr Molefe argues that this court was wrong in finding that the matter bef</w:t>
      </w:r>
      <w:r w:rsidR="0021291E">
        <w:rPr>
          <w:color w:val="000000" w:themeColor="text1"/>
          <w:sz w:val="28"/>
          <w:szCs w:val="28"/>
        </w:rPr>
        <w:t>o</w:t>
      </w:r>
      <w:r w:rsidR="006F5FB6">
        <w:rPr>
          <w:color w:val="000000" w:themeColor="text1"/>
          <w:sz w:val="28"/>
          <w:szCs w:val="28"/>
        </w:rPr>
        <w:t xml:space="preserve">re it constituted an “implementation” of the </w:t>
      </w:r>
      <w:r w:rsidR="00714D6D">
        <w:rPr>
          <w:color w:val="000000" w:themeColor="text1"/>
          <w:sz w:val="28"/>
          <w:szCs w:val="28"/>
        </w:rPr>
        <w:t xml:space="preserve">full court’s order.  The basis for this </w:t>
      </w:r>
      <w:r w:rsidR="006F5FB6">
        <w:rPr>
          <w:color w:val="000000" w:themeColor="text1"/>
          <w:sz w:val="28"/>
          <w:szCs w:val="28"/>
        </w:rPr>
        <w:t>contention, contained in the note for argument, is that the full court had alre</w:t>
      </w:r>
      <w:r w:rsidR="0021291E">
        <w:rPr>
          <w:color w:val="000000" w:themeColor="text1"/>
          <w:sz w:val="28"/>
          <w:szCs w:val="28"/>
        </w:rPr>
        <w:t>a</w:t>
      </w:r>
      <w:r w:rsidR="006F5FB6">
        <w:rPr>
          <w:color w:val="000000" w:themeColor="text1"/>
          <w:sz w:val="28"/>
          <w:szCs w:val="28"/>
        </w:rPr>
        <w:t>dy ordered Mr Molefe to pa</w:t>
      </w:r>
      <w:r w:rsidR="00714D6D">
        <w:rPr>
          <w:color w:val="000000" w:themeColor="text1"/>
          <w:sz w:val="28"/>
          <w:szCs w:val="28"/>
        </w:rPr>
        <w:t>y</w:t>
      </w:r>
      <w:r w:rsidR="006F5FB6">
        <w:rPr>
          <w:color w:val="000000" w:themeColor="text1"/>
          <w:sz w:val="28"/>
          <w:szCs w:val="28"/>
        </w:rPr>
        <w:t xml:space="preserve"> R 10 327 074, 53.</w:t>
      </w:r>
    </w:p>
    <w:p w:rsidR="0021291E"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21291E">
        <w:rPr>
          <w:color w:val="000000" w:themeColor="text1"/>
          <w:sz w:val="28"/>
          <w:szCs w:val="28"/>
        </w:rPr>
        <w:t>While the full court has indeed made the above order, Mr Molefe’s argument is self-defeating: if there had been no dispute about the above amount, then the question raised in the judgment and during argument is simply why had Mr Molefe then not paid that amount as long ago as withi</w:t>
      </w:r>
      <w:r w:rsidR="00714D6D">
        <w:rPr>
          <w:color w:val="000000" w:themeColor="text1"/>
          <w:sz w:val="28"/>
          <w:szCs w:val="28"/>
        </w:rPr>
        <w:t>n 10 days after 25 January 2018?  The six year lo</w:t>
      </w:r>
      <w:r w:rsidR="0021291E">
        <w:rPr>
          <w:color w:val="000000" w:themeColor="text1"/>
          <w:sz w:val="28"/>
          <w:szCs w:val="28"/>
        </w:rPr>
        <w:t>ng dispute in the ensuing years was caused by Mr Molefe wanting</w:t>
      </w:r>
      <w:r w:rsidR="00714D6D">
        <w:rPr>
          <w:color w:val="000000" w:themeColor="text1"/>
          <w:sz w:val="28"/>
          <w:szCs w:val="28"/>
        </w:rPr>
        <w:t xml:space="preserve"> the</w:t>
      </w:r>
      <w:r w:rsidR="0021291E">
        <w:rPr>
          <w:color w:val="000000" w:themeColor="text1"/>
          <w:sz w:val="28"/>
          <w:szCs w:val="28"/>
        </w:rPr>
        <w:t xml:space="preserve"> issues of payments to SARS, employer and employee contributions and set-off to be taken into account before the full court’s order can be “</w:t>
      </w:r>
      <w:r w:rsidR="00DC371F">
        <w:rPr>
          <w:color w:val="000000" w:themeColor="text1"/>
          <w:sz w:val="28"/>
          <w:szCs w:val="28"/>
        </w:rPr>
        <w:t>implemen</w:t>
      </w:r>
      <w:r w:rsidR="0021291E">
        <w:rPr>
          <w:color w:val="000000" w:themeColor="text1"/>
          <w:sz w:val="28"/>
          <w:szCs w:val="28"/>
        </w:rPr>
        <w:t>ted”, i.e. before he makes payment of any cent.</w:t>
      </w:r>
    </w:p>
    <w:p w:rsidR="00DC371F"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DC371F">
        <w:rPr>
          <w:color w:val="000000" w:themeColor="text1"/>
          <w:sz w:val="28"/>
          <w:szCs w:val="28"/>
        </w:rPr>
        <w:t>The determination of the “final” amount due can therefore not be viewed as anything but an attempt by the Pension Fund to “implement” the full court’s order.  It is difficult to understand how Mr M</w:t>
      </w:r>
      <w:r w:rsidR="003215A6">
        <w:rPr>
          <w:color w:val="000000" w:themeColor="text1"/>
          <w:sz w:val="28"/>
          <w:szCs w:val="28"/>
        </w:rPr>
        <w:t>olefe can argue that there is a</w:t>
      </w:r>
      <w:r w:rsidR="00DC371F">
        <w:rPr>
          <w:color w:val="000000" w:themeColor="text1"/>
          <w:sz w:val="28"/>
          <w:szCs w:val="28"/>
        </w:rPr>
        <w:t xml:space="preserve"> reasonable prospect of success that a court of appeal would order that this court’s determination should be overturned and that the position s</w:t>
      </w:r>
      <w:r w:rsidR="003215A6">
        <w:rPr>
          <w:color w:val="000000" w:themeColor="text1"/>
          <w:sz w:val="28"/>
          <w:szCs w:val="28"/>
        </w:rPr>
        <w:t>hould revert to where it was four</w:t>
      </w:r>
      <w:r w:rsidR="00DC371F">
        <w:rPr>
          <w:color w:val="000000" w:themeColor="text1"/>
          <w:sz w:val="28"/>
          <w:szCs w:val="28"/>
        </w:rPr>
        <w:t xml:space="preserve"> years ago with Mr Molefe</w:t>
      </w:r>
      <w:r w:rsidR="00714D6D">
        <w:rPr>
          <w:color w:val="000000" w:themeColor="text1"/>
          <w:sz w:val="28"/>
          <w:szCs w:val="28"/>
        </w:rPr>
        <w:t xml:space="preserve"> then still continuing to</w:t>
      </w:r>
      <w:r w:rsidR="00DC371F">
        <w:rPr>
          <w:color w:val="000000" w:themeColor="text1"/>
          <w:sz w:val="28"/>
          <w:szCs w:val="28"/>
        </w:rPr>
        <w:t xml:space="preserve"> contest the issue of payment in the amount mentioned by the full court.</w:t>
      </w:r>
    </w:p>
    <w:p w:rsidR="00DC371F" w:rsidRPr="00DC371F" w:rsidRDefault="00DC371F" w:rsidP="00DC371F">
      <w:pPr>
        <w:pStyle w:val="MEMONUMBERED"/>
        <w:numPr>
          <w:ilvl w:val="0"/>
          <w:numId w:val="0"/>
        </w:numPr>
        <w:spacing w:after="120" w:line="360" w:lineRule="auto"/>
        <w:rPr>
          <w:b/>
          <w:color w:val="000000" w:themeColor="text1"/>
          <w:sz w:val="28"/>
          <w:szCs w:val="28"/>
        </w:rPr>
      </w:pPr>
      <w:r w:rsidRPr="00DC371F">
        <w:rPr>
          <w:b/>
          <w:color w:val="000000" w:themeColor="text1"/>
          <w:sz w:val="28"/>
          <w:szCs w:val="28"/>
        </w:rPr>
        <w:t>Judicial deference</w:t>
      </w:r>
    </w:p>
    <w:p w:rsidR="00DC371F"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[22]</w:t>
      </w:r>
      <w:r>
        <w:rPr>
          <w:color w:val="000000" w:themeColor="text1"/>
          <w:sz w:val="28"/>
          <w:szCs w:val="28"/>
        </w:rPr>
        <w:tab/>
      </w:r>
      <w:r w:rsidR="00DC371F">
        <w:rPr>
          <w:color w:val="000000" w:themeColor="text1"/>
          <w:sz w:val="28"/>
          <w:szCs w:val="28"/>
        </w:rPr>
        <w:t>Mr Molefe argues that this court should have “deferred” to the actuaries or, more in particular, the actuary employed by him</w:t>
      </w:r>
      <w:r w:rsidR="00714D6D">
        <w:rPr>
          <w:color w:val="000000" w:themeColor="text1"/>
          <w:sz w:val="28"/>
          <w:szCs w:val="28"/>
        </w:rPr>
        <w:t>,</w:t>
      </w:r>
      <w:r w:rsidR="00DC371F">
        <w:rPr>
          <w:color w:val="000000" w:themeColor="text1"/>
          <w:sz w:val="28"/>
          <w:szCs w:val="28"/>
        </w:rPr>
        <w:t xml:space="preserve"> as he argues that the Pension Fund’s actuarial calculation was not “independent”.</w:t>
      </w:r>
    </w:p>
    <w:p w:rsidR="00DC371F"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714D6D">
        <w:rPr>
          <w:color w:val="000000" w:themeColor="text1"/>
          <w:sz w:val="28"/>
          <w:szCs w:val="28"/>
        </w:rPr>
        <w:t>In support of this argument</w:t>
      </w:r>
      <w:r w:rsidR="00DC371F">
        <w:rPr>
          <w:color w:val="000000" w:themeColor="text1"/>
          <w:sz w:val="28"/>
          <w:szCs w:val="28"/>
        </w:rPr>
        <w:t xml:space="preserve">, Adv </w:t>
      </w:r>
      <w:r w:rsidR="00F47A12">
        <w:rPr>
          <w:color w:val="000000" w:themeColor="text1"/>
          <w:sz w:val="28"/>
          <w:szCs w:val="28"/>
        </w:rPr>
        <w:t>Ngalwana</w:t>
      </w:r>
      <w:r w:rsidR="00DC371F">
        <w:rPr>
          <w:color w:val="000000" w:themeColor="text1"/>
          <w:sz w:val="28"/>
          <w:szCs w:val="28"/>
        </w:rPr>
        <w:t xml:space="preserve"> SC’s note for argument refers to two cases, the </w:t>
      </w:r>
      <w:r w:rsidR="00DC371F" w:rsidRPr="0007620F">
        <w:rPr>
          <w:i/>
          <w:color w:val="000000" w:themeColor="text1"/>
          <w:sz w:val="28"/>
          <w:szCs w:val="28"/>
        </w:rPr>
        <w:t>Minister of Environmental Affairs</w:t>
      </w:r>
      <w:r w:rsidR="00DC371F">
        <w:rPr>
          <w:rStyle w:val="FootnoteReference"/>
          <w:color w:val="000000" w:themeColor="text1"/>
          <w:sz w:val="28"/>
          <w:szCs w:val="28"/>
        </w:rPr>
        <w:footnoteReference w:id="7"/>
      </w:r>
      <w:r w:rsidR="00DC371F">
        <w:rPr>
          <w:color w:val="000000" w:themeColor="text1"/>
          <w:sz w:val="28"/>
          <w:szCs w:val="28"/>
        </w:rPr>
        <w:t xml:space="preserve"> and </w:t>
      </w:r>
      <w:r w:rsidR="00DC371F" w:rsidRPr="0007620F">
        <w:rPr>
          <w:i/>
          <w:color w:val="000000" w:themeColor="text1"/>
          <w:sz w:val="28"/>
          <w:szCs w:val="28"/>
        </w:rPr>
        <w:t>Bato Star</w:t>
      </w:r>
      <w:r w:rsidR="00DC371F">
        <w:rPr>
          <w:rStyle w:val="FootnoteReference"/>
          <w:color w:val="000000" w:themeColor="text1"/>
          <w:sz w:val="28"/>
          <w:szCs w:val="28"/>
        </w:rPr>
        <w:footnoteReference w:id="8"/>
      </w:r>
      <w:r w:rsidR="00DC371F">
        <w:rPr>
          <w:color w:val="000000" w:themeColor="text1"/>
          <w:sz w:val="28"/>
          <w:szCs w:val="28"/>
        </w:rPr>
        <w:t>.</w:t>
      </w:r>
    </w:p>
    <w:p w:rsidR="0007620F"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07620F">
        <w:rPr>
          <w:color w:val="000000" w:themeColor="text1"/>
          <w:sz w:val="28"/>
          <w:szCs w:val="28"/>
        </w:rPr>
        <w:t xml:space="preserve">In </w:t>
      </w:r>
      <w:r w:rsidR="0007620F" w:rsidRPr="00714D6D">
        <w:rPr>
          <w:i/>
          <w:color w:val="000000" w:themeColor="text1"/>
          <w:sz w:val="28"/>
          <w:szCs w:val="28"/>
        </w:rPr>
        <w:t>Minister of Environmental Affairs</w:t>
      </w:r>
      <w:r w:rsidR="00714D6D">
        <w:rPr>
          <w:color w:val="000000" w:themeColor="text1"/>
          <w:sz w:val="28"/>
          <w:szCs w:val="28"/>
        </w:rPr>
        <w:t>, the por</w:t>
      </w:r>
      <w:r w:rsidR="0007620F">
        <w:rPr>
          <w:color w:val="000000" w:themeColor="text1"/>
          <w:sz w:val="28"/>
          <w:szCs w:val="28"/>
        </w:rPr>
        <w:t>tion of the judgment on which reliance is placed, is the following (at para 53): “</w:t>
      </w:r>
      <w:r w:rsidR="0007620F" w:rsidRPr="0007620F">
        <w:rPr>
          <w:i/>
          <w:color w:val="000000" w:themeColor="text1"/>
          <w:sz w:val="28"/>
          <w:szCs w:val="28"/>
        </w:rPr>
        <w:t>Judicial deference is particularly appropriate where the subject-matter of an administrative action is very technical or of a kind in which a court has no particular proficiency</w:t>
      </w:r>
      <w:r w:rsidR="0007620F">
        <w:rPr>
          <w:color w:val="000000" w:themeColor="text1"/>
          <w:sz w:val="28"/>
          <w:szCs w:val="28"/>
        </w:rPr>
        <w:t xml:space="preserve">”.  The quotation </w:t>
      </w:r>
      <w:r w:rsidR="00714D6D">
        <w:rPr>
          <w:color w:val="000000" w:themeColor="text1"/>
          <w:sz w:val="28"/>
          <w:szCs w:val="28"/>
        </w:rPr>
        <w:t>from the Constitutional Court</w:t>
      </w:r>
      <w:r w:rsidR="0007620F">
        <w:rPr>
          <w:color w:val="000000" w:themeColor="text1"/>
          <w:sz w:val="28"/>
          <w:szCs w:val="28"/>
        </w:rPr>
        <w:t xml:space="preserve"> judgment in </w:t>
      </w:r>
      <w:r w:rsidR="0007620F" w:rsidRPr="00731C27">
        <w:rPr>
          <w:i/>
          <w:color w:val="000000" w:themeColor="text1"/>
          <w:sz w:val="28"/>
          <w:szCs w:val="28"/>
        </w:rPr>
        <w:t>Bato Star</w:t>
      </w:r>
      <w:r w:rsidR="0007620F">
        <w:rPr>
          <w:color w:val="000000" w:themeColor="text1"/>
          <w:sz w:val="28"/>
          <w:szCs w:val="28"/>
        </w:rPr>
        <w:t xml:space="preserve"> on which reliance was placed (at para 46) is: “</w:t>
      </w:r>
      <w:r w:rsidR="0007620F" w:rsidRPr="0007620F">
        <w:rPr>
          <w:i/>
          <w:color w:val="000000" w:themeColor="text1"/>
          <w:sz w:val="28"/>
          <w:szCs w:val="28"/>
        </w:rPr>
        <w:t>The use of the word deference may give rise to a misunderstanding as t</w:t>
      </w:r>
      <w:r w:rsidR="00714D6D">
        <w:rPr>
          <w:i/>
          <w:color w:val="000000" w:themeColor="text1"/>
          <w:sz w:val="28"/>
          <w:szCs w:val="28"/>
        </w:rPr>
        <w:t>o</w:t>
      </w:r>
      <w:r w:rsidR="0007620F" w:rsidRPr="0007620F">
        <w:rPr>
          <w:i/>
          <w:color w:val="000000" w:themeColor="text1"/>
          <w:sz w:val="28"/>
          <w:szCs w:val="28"/>
        </w:rPr>
        <w:t xml:space="preserve"> the true function of a review court.  This can be avoided if it is realised that the need for Courts to treat decision</w:t>
      </w:r>
      <w:r w:rsidR="00714D6D">
        <w:rPr>
          <w:i/>
          <w:color w:val="000000" w:themeColor="text1"/>
          <w:sz w:val="28"/>
          <w:szCs w:val="28"/>
        </w:rPr>
        <w:t>-</w:t>
      </w:r>
      <w:r w:rsidR="0007620F" w:rsidRPr="0007620F">
        <w:rPr>
          <w:i/>
          <w:color w:val="000000" w:themeColor="text1"/>
          <w:sz w:val="28"/>
          <w:szCs w:val="28"/>
        </w:rPr>
        <w:t>makers with appropriate deference or respect flows not from judicial courtesy or etiquette but form the fundamental principle of separation of powers itself</w:t>
      </w:r>
      <w:r w:rsidR="0007620F">
        <w:rPr>
          <w:color w:val="000000" w:themeColor="text1"/>
          <w:sz w:val="28"/>
          <w:szCs w:val="28"/>
        </w:rPr>
        <w:t xml:space="preserve">”. </w:t>
      </w:r>
    </w:p>
    <w:p w:rsidR="0007620F"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07620F">
        <w:rPr>
          <w:color w:val="000000" w:themeColor="text1"/>
          <w:sz w:val="28"/>
          <w:szCs w:val="28"/>
        </w:rPr>
        <w:t>None of the principles mentioned in these two judgments are applic</w:t>
      </w:r>
      <w:r w:rsidR="00714D6D">
        <w:rPr>
          <w:color w:val="000000" w:themeColor="text1"/>
          <w:sz w:val="28"/>
          <w:szCs w:val="28"/>
        </w:rPr>
        <w:t xml:space="preserve">able to the dispute in question. </w:t>
      </w:r>
      <w:r w:rsidR="0007620F">
        <w:rPr>
          <w:color w:val="000000" w:themeColor="text1"/>
          <w:sz w:val="28"/>
          <w:szCs w:val="28"/>
        </w:rPr>
        <w:t xml:space="preserve"> </w:t>
      </w:r>
      <w:r w:rsidR="00714D6D">
        <w:rPr>
          <w:color w:val="000000" w:themeColor="text1"/>
          <w:sz w:val="28"/>
          <w:szCs w:val="28"/>
        </w:rPr>
        <w:t>T</w:t>
      </w:r>
      <w:r w:rsidR="0007620F">
        <w:rPr>
          <w:color w:val="000000" w:themeColor="text1"/>
          <w:sz w:val="28"/>
          <w:szCs w:val="28"/>
        </w:rPr>
        <w:t>he matter before this court was not a review application</w:t>
      </w:r>
      <w:r w:rsidR="00714D6D">
        <w:rPr>
          <w:color w:val="000000" w:themeColor="text1"/>
          <w:sz w:val="28"/>
          <w:szCs w:val="28"/>
        </w:rPr>
        <w:t xml:space="preserve"> and t</w:t>
      </w:r>
      <w:r w:rsidR="0007620F">
        <w:rPr>
          <w:color w:val="000000" w:themeColor="text1"/>
          <w:sz w:val="28"/>
          <w:szCs w:val="28"/>
        </w:rPr>
        <w:t>he actuaries were not decision-makers.  The actuaries performed no administrative actions.  The issue of separati</w:t>
      </w:r>
      <w:r w:rsidR="00714D6D">
        <w:rPr>
          <w:color w:val="000000" w:themeColor="text1"/>
          <w:sz w:val="28"/>
          <w:szCs w:val="28"/>
        </w:rPr>
        <w:t>on of powers simply did not aris</w:t>
      </w:r>
      <w:r w:rsidR="0007620F">
        <w:rPr>
          <w:color w:val="000000" w:themeColor="text1"/>
          <w:sz w:val="28"/>
          <w:szCs w:val="28"/>
        </w:rPr>
        <w:t xml:space="preserve">e.  The </w:t>
      </w:r>
      <w:r w:rsidR="00714D6D">
        <w:rPr>
          <w:color w:val="000000" w:themeColor="text1"/>
          <w:sz w:val="28"/>
          <w:szCs w:val="28"/>
        </w:rPr>
        <w:t xml:space="preserve">deference </w:t>
      </w:r>
      <w:r w:rsidR="0007620F">
        <w:rPr>
          <w:color w:val="000000" w:themeColor="text1"/>
          <w:sz w:val="28"/>
          <w:szCs w:val="28"/>
        </w:rPr>
        <w:t xml:space="preserve">argument is simply so misplaced that it has no reasonable prospects of success on appeal. </w:t>
      </w:r>
    </w:p>
    <w:p w:rsidR="0007620F" w:rsidRPr="006B54E3" w:rsidRDefault="0007620F" w:rsidP="006B54E3">
      <w:pPr>
        <w:pStyle w:val="MEMONUMBERED"/>
        <w:numPr>
          <w:ilvl w:val="0"/>
          <w:numId w:val="0"/>
        </w:numPr>
        <w:spacing w:after="120" w:line="360" w:lineRule="auto"/>
        <w:rPr>
          <w:b/>
          <w:color w:val="000000" w:themeColor="text1"/>
          <w:sz w:val="28"/>
          <w:szCs w:val="28"/>
        </w:rPr>
      </w:pPr>
      <w:r w:rsidRPr="006B54E3">
        <w:rPr>
          <w:b/>
          <w:color w:val="000000" w:themeColor="text1"/>
          <w:sz w:val="28"/>
          <w:szCs w:val="28"/>
        </w:rPr>
        <w:t>Ad: compelling reasons</w:t>
      </w:r>
    </w:p>
    <w:p w:rsidR="0007620F"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[26]</w:t>
      </w:r>
      <w:r>
        <w:rPr>
          <w:color w:val="000000" w:themeColor="text1"/>
          <w:sz w:val="28"/>
          <w:szCs w:val="28"/>
        </w:rPr>
        <w:tab/>
      </w:r>
      <w:r w:rsidR="0007620F">
        <w:rPr>
          <w:color w:val="000000" w:themeColor="text1"/>
          <w:sz w:val="28"/>
          <w:szCs w:val="28"/>
        </w:rPr>
        <w:t>Dealing with the second topic raised under this rubric first as it relates to the above issue of the actu</w:t>
      </w:r>
      <w:r w:rsidR="00622EC2">
        <w:rPr>
          <w:color w:val="000000" w:themeColor="text1"/>
          <w:sz w:val="28"/>
          <w:szCs w:val="28"/>
        </w:rPr>
        <w:t>arial calculations, in the note</w:t>
      </w:r>
      <w:r w:rsidR="0007620F">
        <w:rPr>
          <w:color w:val="000000" w:themeColor="text1"/>
          <w:sz w:val="28"/>
          <w:szCs w:val="28"/>
        </w:rPr>
        <w:t xml:space="preserve"> for argument it is alleged that </w:t>
      </w:r>
      <w:r w:rsidR="006B54E3">
        <w:rPr>
          <w:color w:val="000000" w:themeColor="text1"/>
          <w:sz w:val="28"/>
          <w:szCs w:val="28"/>
        </w:rPr>
        <w:t>this court ignored the actuarial</w:t>
      </w:r>
      <w:r w:rsidR="0007620F">
        <w:rPr>
          <w:color w:val="000000" w:themeColor="text1"/>
          <w:sz w:val="28"/>
          <w:szCs w:val="28"/>
        </w:rPr>
        <w:t xml:space="preserve"> calculations</w:t>
      </w:r>
      <w:r w:rsidR="006B54E3">
        <w:rPr>
          <w:color w:val="000000" w:themeColor="text1"/>
          <w:sz w:val="28"/>
          <w:szCs w:val="28"/>
        </w:rPr>
        <w:t xml:space="preserve">, made its own calculations and, in doing so, </w:t>
      </w:r>
      <w:r w:rsidR="00714D6D">
        <w:rPr>
          <w:color w:val="000000" w:themeColor="text1"/>
          <w:sz w:val="28"/>
          <w:szCs w:val="28"/>
        </w:rPr>
        <w:t>“</w:t>
      </w:r>
      <w:r w:rsidR="006B54E3">
        <w:rPr>
          <w:color w:val="000000" w:themeColor="text1"/>
          <w:sz w:val="28"/>
          <w:szCs w:val="28"/>
        </w:rPr>
        <w:t>travelled</w:t>
      </w:r>
      <w:r w:rsidR="00714D6D">
        <w:rPr>
          <w:color w:val="000000" w:themeColor="text1"/>
          <w:sz w:val="28"/>
          <w:szCs w:val="28"/>
        </w:rPr>
        <w:t>”</w:t>
      </w:r>
      <w:r w:rsidR="006B54E3">
        <w:rPr>
          <w:color w:val="000000" w:themeColor="text1"/>
          <w:sz w:val="28"/>
          <w:szCs w:val="28"/>
        </w:rPr>
        <w:t xml:space="preserve"> beyond the pleadings.  This, so the argument goes, makes for a compelling case why leave to appeal should be granted.</w:t>
      </w:r>
    </w:p>
    <w:p w:rsidR="006B54E3"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6B54E3">
        <w:rPr>
          <w:color w:val="000000" w:themeColor="text1"/>
          <w:sz w:val="28"/>
          <w:szCs w:val="28"/>
        </w:rPr>
        <w:t>To reiterate, the actuaries had little differences of opinion, as it should be when the addition and subtraction of figures should be the same if all the facts are the same, whoever does the calculation</w:t>
      </w:r>
      <w:r w:rsidR="00714D6D">
        <w:rPr>
          <w:color w:val="000000" w:themeColor="text1"/>
          <w:sz w:val="28"/>
          <w:szCs w:val="28"/>
        </w:rPr>
        <w:t xml:space="preserve">. </w:t>
      </w:r>
      <w:r w:rsidR="006B54E3">
        <w:rPr>
          <w:color w:val="000000" w:themeColor="text1"/>
          <w:sz w:val="28"/>
          <w:szCs w:val="28"/>
        </w:rPr>
        <w:t xml:space="preserve"> </w:t>
      </w:r>
      <w:r w:rsidR="00714D6D">
        <w:rPr>
          <w:color w:val="000000" w:themeColor="text1"/>
          <w:sz w:val="28"/>
          <w:szCs w:val="28"/>
        </w:rPr>
        <w:t>T</w:t>
      </w:r>
      <w:r w:rsidR="006B54E3">
        <w:rPr>
          <w:color w:val="000000" w:themeColor="text1"/>
          <w:sz w:val="28"/>
          <w:szCs w:val="28"/>
        </w:rPr>
        <w:t>he areas of difference lay in which figures relating to contractual- or pension-benefits should be excluded or not.  These were legal questions beyond the field of expertise of the actuaries.</w:t>
      </w:r>
    </w:p>
    <w:p w:rsidR="006B54E3"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6B54E3">
        <w:rPr>
          <w:color w:val="000000" w:themeColor="text1"/>
          <w:sz w:val="28"/>
          <w:szCs w:val="28"/>
        </w:rPr>
        <w:t xml:space="preserve">I have again perused the judgment and every single figure quoted or relied on therein, in particular </w:t>
      </w:r>
      <w:r w:rsidR="00714D6D">
        <w:rPr>
          <w:color w:val="000000" w:themeColor="text1"/>
          <w:sz w:val="28"/>
          <w:szCs w:val="28"/>
        </w:rPr>
        <w:t xml:space="preserve">in </w:t>
      </w:r>
      <w:r w:rsidR="006B54E3">
        <w:rPr>
          <w:color w:val="000000" w:themeColor="text1"/>
          <w:sz w:val="28"/>
          <w:szCs w:val="28"/>
        </w:rPr>
        <w:t>para</w:t>
      </w:r>
      <w:r w:rsidR="00714D6D">
        <w:rPr>
          <w:color w:val="000000" w:themeColor="text1"/>
          <w:sz w:val="28"/>
          <w:szCs w:val="28"/>
        </w:rPr>
        <w:t>graph</w:t>
      </w:r>
      <w:r w:rsidR="006B54E3">
        <w:rPr>
          <w:color w:val="000000" w:themeColor="text1"/>
          <w:sz w:val="28"/>
          <w:szCs w:val="28"/>
        </w:rPr>
        <w:t xml:space="preserve"> 3 and the subparagraphs thereof, inc</w:t>
      </w:r>
      <w:r w:rsidR="00714D6D">
        <w:rPr>
          <w:color w:val="000000" w:themeColor="text1"/>
          <w:sz w:val="28"/>
          <w:szCs w:val="28"/>
        </w:rPr>
        <w:t>luding the table reproduced in p</w:t>
      </w:r>
      <w:r w:rsidR="006B54E3">
        <w:rPr>
          <w:color w:val="000000" w:themeColor="text1"/>
          <w:sz w:val="28"/>
          <w:szCs w:val="28"/>
        </w:rPr>
        <w:t>ara</w:t>
      </w:r>
      <w:r w:rsidR="00714D6D">
        <w:rPr>
          <w:color w:val="000000" w:themeColor="text1"/>
          <w:sz w:val="28"/>
          <w:szCs w:val="28"/>
        </w:rPr>
        <w:t>graph 3.14,</w:t>
      </w:r>
      <w:r w:rsidR="006B54E3">
        <w:rPr>
          <w:color w:val="000000" w:themeColor="text1"/>
          <w:sz w:val="28"/>
          <w:szCs w:val="28"/>
        </w:rPr>
        <w:t xml:space="preserve"> were extracted without deviation, a</w:t>
      </w:r>
      <w:r w:rsidR="00714D6D">
        <w:rPr>
          <w:color w:val="000000" w:themeColor="text1"/>
          <w:sz w:val="28"/>
          <w:szCs w:val="28"/>
        </w:rPr>
        <w:t>mendment or recalculation from the affidavits and I confronted</w:t>
      </w:r>
      <w:r w:rsidR="00F47A12">
        <w:rPr>
          <w:color w:val="000000" w:themeColor="text1"/>
          <w:sz w:val="28"/>
          <w:szCs w:val="28"/>
        </w:rPr>
        <w:t xml:space="preserve"> Adv Nga</w:t>
      </w:r>
      <w:r w:rsidR="006B54E3">
        <w:rPr>
          <w:color w:val="000000" w:themeColor="text1"/>
          <w:sz w:val="28"/>
          <w:szCs w:val="28"/>
        </w:rPr>
        <w:t>lwana SC with this fact, without contradiction. The only “calculations” which were made, were done after the determination of the disputed legal arguments and by way of simple addition as explicitly set out in the judgment (see for example para</w:t>
      </w:r>
      <w:r w:rsidR="00714D6D">
        <w:rPr>
          <w:color w:val="000000" w:themeColor="text1"/>
          <w:sz w:val="28"/>
          <w:szCs w:val="28"/>
        </w:rPr>
        <w:t>graph 3.13</w:t>
      </w:r>
      <w:r w:rsidR="006B54E3">
        <w:rPr>
          <w:color w:val="000000" w:themeColor="text1"/>
          <w:sz w:val="28"/>
          <w:szCs w:val="28"/>
        </w:rPr>
        <w:t>).</w:t>
      </w:r>
    </w:p>
    <w:p w:rsidR="006B54E3"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6B54E3">
        <w:rPr>
          <w:color w:val="000000" w:themeColor="text1"/>
          <w:sz w:val="28"/>
          <w:szCs w:val="28"/>
        </w:rPr>
        <w:t xml:space="preserve">There is no scope for any argument that this court has </w:t>
      </w:r>
      <w:r w:rsidR="00714D6D">
        <w:rPr>
          <w:color w:val="000000" w:themeColor="text1"/>
          <w:sz w:val="28"/>
          <w:szCs w:val="28"/>
        </w:rPr>
        <w:t>“</w:t>
      </w:r>
      <w:r w:rsidR="006B54E3">
        <w:rPr>
          <w:color w:val="000000" w:themeColor="text1"/>
          <w:sz w:val="28"/>
          <w:szCs w:val="28"/>
        </w:rPr>
        <w:t>travelled</w:t>
      </w:r>
      <w:r w:rsidR="00622EC2">
        <w:rPr>
          <w:color w:val="000000" w:themeColor="text1"/>
          <w:sz w:val="28"/>
          <w:szCs w:val="28"/>
        </w:rPr>
        <w:t xml:space="preserve"> </w:t>
      </w:r>
      <w:r w:rsidR="006B54E3">
        <w:rPr>
          <w:color w:val="000000" w:themeColor="text1"/>
          <w:sz w:val="28"/>
          <w:szCs w:val="28"/>
        </w:rPr>
        <w:t>beyond the pleadings”.  I</w:t>
      </w:r>
      <w:r w:rsidR="00714D6D">
        <w:rPr>
          <w:color w:val="000000" w:themeColor="text1"/>
          <w:sz w:val="28"/>
          <w:szCs w:val="28"/>
        </w:rPr>
        <w:t xml:space="preserve"> therefore</w:t>
      </w:r>
      <w:r w:rsidR="006B54E3">
        <w:rPr>
          <w:color w:val="000000" w:themeColor="text1"/>
          <w:sz w:val="28"/>
          <w:szCs w:val="28"/>
        </w:rPr>
        <w:t xml:space="preserve"> find no “compelling reason” as contemplated in section 17(1)(a)(ii) of the Act requiring the granting of leave to appeal.</w:t>
      </w:r>
    </w:p>
    <w:p w:rsidR="006B54E3"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6B54E3">
        <w:rPr>
          <w:color w:val="000000" w:themeColor="text1"/>
          <w:sz w:val="28"/>
          <w:szCs w:val="28"/>
        </w:rPr>
        <w:t>The other “compelling reason” as to why leave should be granted, is that this court took a “t</w:t>
      </w:r>
      <w:r w:rsidR="00714D6D">
        <w:rPr>
          <w:color w:val="000000" w:themeColor="text1"/>
          <w:sz w:val="28"/>
          <w:szCs w:val="28"/>
        </w:rPr>
        <w:t xml:space="preserve">oo narrow” </w:t>
      </w:r>
      <w:r w:rsidR="006B54E3">
        <w:rPr>
          <w:color w:val="000000" w:themeColor="text1"/>
          <w:sz w:val="28"/>
          <w:szCs w:val="28"/>
        </w:rPr>
        <w:t xml:space="preserve">view of the dispute which was sought to </w:t>
      </w:r>
      <w:r w:rsidR="00622EC2">
        <w:rPr>
          <w:color w:val="000000" w:themeColor="text1"/>
          <w:sz w:val="28"/>
          <w:szCs w:val="28"/>
        </w:rPr>
        <w:t>be mediated by Mr Molefe.  It was</w:t>
      </w:r>
      <w:r w:rsidR="006B54E3">
        <w:rPr>
          <w:color w:val="000000" w:themeColor="text1"/>
          <w:sz w:val="28"/>
          <w:szCs w:val="28"/>
        </w:rPr>
        <w:t xml:space="preserve"> argued </w:t>
      </w:r>
      <w:r w:rsidR="00622EC2">
        <w:rPr>
          <w:color w:val="000000" w:themeColor="text1"/>
          <w:sz w:val="28"/>
          <w:szCs w:val="28"/>
        </w:rPr>
        <w:t xml:space="preserve">by him </w:t>
      </w:r>
      <w:r w:rsidR="006B54E3">
        <w:rPr>
          <w:color w:val="000000" w:themeColor="text1"/>
          <w:sz w:val="28"/>
          <w:szCs w:val="28"/>
        </w:rPr>
        <w:t xml:space="preserve">that the issue was not only a mediated determination </w:t>
      </w:r>
      <w:r w:rsidR="00767B3F">
        <w:rPr>
          <w:color w:val="000000" w:themeColor="text1"/>
          <w:sz w:val="28"/>
          <w:szCs w:val="28"/>
        </w:rPr>
        <w:t>of</w:t>
      </w:r>
      <w:r w:rsidR="006B54E3">
        <w:rPr>
          <w:color w:val="000000" w:themeColor="text1"/>
          <w:sz w:val="28"/>
          <w:szCs w:val="28"/>
        </w:rPr>
        <w:t xml:space="preserve"> what he actually owed, but that he sought “</w:t>
      </w:r>
      <w:r w:rsidR="006B54E3" w:rsidRPr="00714D6D">
        <w:rPr>
          <w:i/>
          <w:color w:val="000000" w:themeColor="text1"/>
          <w:sz w:val="28"/>
          <w:szCs w:val="28"/>
        </w:rPr>
        <w:t>to explore areas of compromise or to generate options to resolve the disput</w:t>
      </w:r>
      <w:r w:rsidR="006B54E3">
        <w:rPr>
          <w:color w:val="000000" w:themeColor="text1"/>
          <w:sz w:val="28"/>
          <w:szCs w:val="28"/>
        </w:rPr>
        <w:t xml:space="preserve">e”.  I have </w:t>
      </w:r>
      <w:r w:rsidR="006B54E3">
        <w:rPr>
          <w:color w:val="000000" w:themeColor="text1"/>
          <w:sz w:val="28"/>
          <w:szCs w:val="28"/>
        </w:rPr>
        <w:lastRenderedPageBreak/>
        <w:t xml:space="preserve">already </w:t>
      </w:r>
      <w:r w:rsidR="00767B3F">
        <w:rPr>
          <w:color w:val="000000" w:themeColor="text1"/>
          <w:sz w:val="28"/>
          <w:szCs w:val="28"/>
        </w:rPr>
        <w:t>referred</w:t>
      </w:r>
      <w:r w:rsidR="006B54E3">
        <w:rPr>
          <w:color w:val="000000" w:themeColor="text1"/>
          <w:sz w:val="28"/>
          <w:szCs w:val="28"/>
        </w:rPr>
        <w:t xml:space="preserve"> to the fact that this is not what Mr Molefe’s supplementary answering affidavit contemplated and that the narrowing of possible areas of dispute had been achieved by the meeting of actuaries.</w:t>
      </w:r>
    </w:p>
    <w:p w:rsidR="00F16595"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767B3F">
        <w:rPr>
          <w:color w:val="000000" w:themeColor="text1"/>
          <w:sz w:val="28"/>
          <w:szCs w:val="28"/>
        </w:rPr>
        <w:t xml:space="preserve">The Pension Fund questioned how the question of whether it should historically have been directed to reconsider mediation or not could be a “compelling reason” to </w:t>
      </w:r>
      <w:r w:rsidR="00F16595">
        <w:rPr>
          <w:color w:val="000000" w:themeColor="text1"/>
          <w:sz w:val="28"/>
          <w:szCs w:val="28"/>
        </w:rPr>
        <w:t>grant leave to appeal when that which would have o</w:t>
      </w:r>
      <w:r w:rsidR="00714D6D">
        <w:rPr>
          <w:color w:val="000000" w:themeColor="text1"/>
          <w:sz w:val="28"/>
          <w:szCs w:val="28"/>
        </w:rPr>
        <w:t>stensibly been mediated, had now</w:t>
      </w:r>
      <w:r w:rsidR="00F16595">
        <w:rPr>
          <w:color w:val="000000" w:themeColor="text1"/>
          <w:sz w:val="28"/>
          <w:szCs w:val="28"/>
        </w:rPr>
        <w:t xml:space="preserve"> been finally determined by a court.  The dispute is </w:t>
      </w:r>
      <w:r w:rsidR="00622EC2">
        <w:rPr>
          <w:color w:val="000000" w:themeColor="text1"/>
          <w:sz w:val="28"/>
          <w:szCs w:val="28"/>
        </w:rPr>
        <w:t xml:space="preserve">therefore </w:t>
      </w:r>
      <w:r w:rsidR="00F16595">
        <w:rPr>
          <w:color w:val="000000" w:themeColor="text1"/>
          <w:sz w:val="28"/>
          <w:szCs w:val="28"/>
        </w:rPr>
        <w:t>moot</w:t>
      </w:r>
      <w:r w:rsidR="00622EC2">
        <w:rPr>
          <w:color w:val="000000" w:themeColor="text1"/>
          <w:sz w:val="28"/>
          <w:szCs w:val="28"/>
        </w:rPr>
        <w:t>.  I agree</w:t>
      </w:r>
      <w:r w:rsidR="00F16595">
        <w:rPr>
          <w:color w:val="000000" w:themeColor="text1"/>
          <w:sz w:val="28"/>
          <w:szCs w:val="28"/>
        </w:rPr>
        <w:t>.</w:t>
      </w:r>
    </w:p>
    <w:p w:rsidR="00767B3F"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[32]</w:t>
      </w:r>
      <w:r>
        <w:rPr>
          <w:color w:val="000000" w:themeColor="text1"/>
          <w:sz w:val="28"/>
          <w:szCs w:val="28"/>
        </w:rPr>
        <w:tab/>
      </w:r>
      <w:r w:rsidR="00714D6D">
        <w:rPr>
          <w:color w:val="000000" w:themeColor="text1"/>
          <w:sz w:val="28"/>
          <w:szCs w:val="28"/>
        </w:rPr>
        <w:t xml:space="preserve">In the premises </w:t>
      </w:r>
      <w:r w:rsidR="00F16595">
        <w:rPr>
          <w:color w:val="000000" w:themeColor="text1"/>
          <w:sz w:val="28"/>
          <w:szCs w:val="28"/>
        </w:rPr>
        <w:t>I find that no compelling reason</w:t>
      </w:r>
      <w:r w:rsidR="00714D6D">
        <w:rPr>
          <w:color w:val="000000" w:themeColor="text1"/>
          <w:sz w:val="28"/>
          <w:szCs w:val="28"/>
        </w:rPr>
        <w:t>s</w:t>
      </w:r>
      <w:r w:rsidR="00F16595">
        <w:rPr>
          <w:color w:val="000000" w:themeColor="text1"/>
          <w:sz w:val="28"/>
          <w:szCs w:val="28"/>
        </w:rPr>
        <w:t xml:space="preserve"> justifying the </w:t>
      </w:r>
      <w:r w:rsidR="00714D6D">
        <w:rPr>
          <w:color w:val="000000" w:themeColor="text1"/>
          <w:sz w:val="28"/>
          <w:szCs w:val="28"/>
        </w:rPr>
        <w:t>g</w:t>
      </w:r>
      <w:r w:rsidR="00F16595">
        <w:rPr>
          <w:color w:val="000000" w:themeColor="text1"/>
          <w:sz w:val="28"/>
          <w:szCs w:val="28"/>
        </w:rPr>
        <w:t>ranting of leave to appeal had been established</w:t>
      </w:r>
      <w:r w:rsidR="00714D6D">
        <w:rPr>
          <w:color w:val="000000" w:themeColor="text1"/>
          <w:sz w:val="28"/>
          <w:szCs w:val="28"/>
        </w:rPr>
        <w:t>, as contemplated in Section 17(1)(a)(ii) of the Act</w:t>
      </w:r>
      <w:r w:rsidR="00622EC2">
        <w:rPr>
          <w:color w:val="000000" w:themeColor="text1"/>
          <w:sz w:val="28"/>
          <w:szCs w:val="28"/>
        </w:rPr>
        <w:t xml:space="preserve"> and that there is no “constitutional”</w:t>
      </w:r>
      <w:r w:rsidR="003F7C9A">
        <w:rPr>
          <w:color w:val="000000" w:themeColor="text1"/>
          <w:sz w:val="28"/>
          <w:szCs w:val="28"/>
        </w:rPr>
        <w:t xml:space="preserve"> interpretation of Rule 41</w:t>
      </w:r>
      <w:r w:rsidR="00622EC2">
        <w:rPr>
          <w:color w:val="000000" w:themeColor="text1"/>
          <w:sz w:val="28"/>
          <w:szCs w:val="28"/>
        </w:rPr>
        <w:t>A required by the Supreme Court of Appeal</w:t>
      </w:r>
      <w:r w:rsidR="00F16595">
        <w:rPr>
          <w:color w:val="000000" w:themeColor="text1"/>
          <w:sz w:val="28"/>
          <w:szCs w:val="28"/>
        </w:rPr>
        <w:t xml:space="preserve">. </w:t>
      </w:r>
    </w:p>
    <w:p w:rsidR="00F16595"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[33]</w:t>
      </w:r>
      <w:r>
        <w:rPr>
          <w:color w:val="000000" w:themeColor="text1"/>
          <w:sz w:val="28"/>
          <w:szCs w:val="28"/>
        </w:rPr>
        <w:tab/>
      </w:r>
      <w:r w:rsidR="00F16595">
        <w:rPr>
          <w:color w:val="000000" w:themeColor="text1"/>
          <w:sz w:val="28"/>
          <w:szCs w:val="28"/>
        </w:rPr>
        <w:t xml:space="preserve">On behalf of SARS it was argued that there had been no “errors” </w:t>
      </w:r>
      <w:r w:rsidR="00731C27">
        <w:rPr>
          <w:color w:val="000000" w:themeColor="text1"/>
          <w:sz w:val="28"/>
          <w:szCs w:val="28"/>
        </w:rPr>
        <w:t>i</w:t>
      </w:r>
      <w:r w:rsidR="00F16595">
        <w:rPr>
          <w:color w:val="000000" w:themeColor="text1"/>
          <w:sz w:val="28"/>
          <w:szCs w:val="28"/>
        </w:rPr>
        <w:t>n the judgment where references</w:t>
      </w:r>
      <w:r w:rsidR="00714D6D">
        <w:rPr>
          <w:color w:val="000000" w:themeColor="text1"/>
          <w:sz w:val="28"/>
          <w:szCs w:val="28"/>
        </w:rPr>
        <w:t xml:space="preserve"> had been made to the Income Tax</w:t>
      </w:r>
      <w:r w:rsidR="00F16595">
        <w:rPr>
          <w:color w:val="000000" w:themeColor="text1"/>
          <w:sz w:val="28"/>
          <w:szCs w:val="28"/>
        </w:rPr>
        <w:t xml:space="preserve"> Act 58 of 1962 or the Tax Administration Act 28 of 2011 or </w:t>
      </w:r>
      <w:r w:rsidR="00714D6D">
        <w:rPr>
          <w:color w:val="000000" w:themeColor="text1"/>
          <w:sz w:val="28"/>
          <w:szCs w:val="28"/>
        </w:rPr>
        <w:t xml:space="preserve">to </w:t>
      </w:r>
      <w:r w:rsidR="00F16595">
        <w:rPr>
          <w:color w:val="000000" w:themeColor="text1"/>
          <w:sz w:val="28"/>
          <w:szCs w:val="28"/>
        </w:rPr>
        <w:t>any of SARS’ statutory obligations.  SARS was of the view that leave to appeal should be refused.</w:t>
      </w:r>
    </w:p>
    <w:p w:rsidR="00F16595"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[34]</w:t>
      </w:r>
      <w:r>
        <w:rPr>
          <w:color w:val="000000" w:themeColor="text1"/>
          <w:sz w:val="28"/>
          <w:szCs w:val="28"/>
        </w:rPr>
        <w:tab/>
      </w:r>
      <w:r w:rsidR="00F16595">
        <w:rPr>
          <w:color w:val="000000" w:themeColor="text1"/>
          <w:sz w:val="28"/>
          <w:szCs w:val="28"/>
        </w:rPr>
        <w:t xml:space="preserve">The pension Fund was of a similar view and also presented the court with useful heads of argument, refuting the issues raised by Mr Molefe.  The Pension </w:t>
      </w:r>
      <w:r w:rsidR="00714D6D">
        <w:rPr>
          <w:color w:val="000000" w:themeColor="text1"/>
          <w:sz w:val="28"/>
          <w:szCs w:val="28"/>
        </w:rPr>
        <w:t>F</w:t>
      </w:r>
      <w:r w:rsidR="00F16595">
        <w:rPr>
          <w:color w:val="000000" w:themeColor="text1"/>
          <w:sz w:val="28"/>
          <w:szCs w:val="28"/>
        </w:rPr>
        <w:t>und</w:t>
      </w:r>
      <w:r w:rsidR="00714D6D">
        <w:rPr>
          <w:color w:val="000000" w:themeColor="text1"/>
          <w:sz w:val="28"/>
          <w:szCs w:val="28"/>
        </w:rPr>
        <w:t>’</w:t>
      </w:r>
      <w:r w:rsidR="00F16595">
        <w:rPr>
          <w:color w:val="000000" w:themeColor="text1"/>
          <w:sz w:val="28"/>
          <w:szCs w:val="28"/>
        </w:rPr>
        <w:t>s application for leave to cross appeal, relating to the issue of interest and the date of commencement thereof, was conditional upon the event</w:t>
      </w:r>
      <w:r w:rsidR="00714D6D">
        <w:rPr>
          <w:color w:val="000000" w:themeColor="text1"/>
          <w:sz w:val="28"/>
          <w:szCs w:val="28"/>
        </w:rPr>
        <w:t xml:space="preserve"> of leave to appeal being grante</w:t>
      </w:r>
      <w:r w:rsidR="00F16595">
        <w:rPr>
          <w:color w:val="000000" w:themeColor="text1"/>
          <w:sz w:val="28"/>
          <w:szCs w:val="28"/>
        </w:rPr>
        <w:t>d to Mr Molefe.</w:t>
      </w:r>
      <w:r w:rsidR="00714D6D">
        <w:rPr>
          <w:color w:val="000000" w:themeColor="text1"/>
          <w:sz w:val="28"/>
          <w:szCs w:val="28"/>
        </w:rPr>
        <w:t xml:space="preserve">  As such and, in view of the conclusions reached in respect of the lack of merits of the application for leave to appeal, this will fall away.</w:t>
      </w:r>
      <w:r w:rsidR="00622EC2">
        <w:rPr>
          <w:color w:val="000000" w:themeColor="text1"/>
          <w:sz w:val="28"/>
          <w:szCs w:val="28"/>
        </w:rPr>
        <w:t xml:space="preserve">  I have not been convinced that the other (lesser) points raised in the application for lea</w:t>
      </w:r>
      <w:r w:rsidR="0088120F">
        <w:rPr>
          <w:color w:val="000000" w:themeColor="text1"/>
          <w:sz w:val="28"/>
          <w:szCs w:val="28"/>
        </w:rPr>
        <w:t>v</w:t>
      </w:r>
      <w:r w:rsidR="00622EC2">
        <w:rPr>
          <w:color w:val="000000" w:themeColor="text1"/>
          <w:sz w:val="28"/>
          <w:szCs w:val="28"/>
        </w:rPr>
        <w:t>e to appeal which have not been argued, otherwise merit the granting of leave to appeal</w:t>
      </w:r>
      <w:r w:rsidR="0088120F">
        <w:rPr>
          <w:color w:val="000000" w:themeColor="text1"/>
          <w:sz w:val="28"/>
          <w:szCs w:val="28"/>
        </w:rPr>
        <w:t>.</w:t>
      </w:r>
    </w:p>
    <w:p w:rsidR="00F16595" w:rsidRPr="00731C27" w:rsidRDefault="00F16595" w:rsidP="00731C27">
      <w:pPr>
        <w:pStyle w:val="MEMONUMBERED"/>
        <w:numPr>
          <w:ilvl w:val="0"/>
          <w:numId w:val="0"/>
        </w:numPr>
        <w:spacing w:after="120" w:line="360" w:lineRule="auto"/>
        <w:rPr>
          <w:b/>
          <w:color w:val="000000" w:themeColor="text1"/>
          <w:sz w:val="28"/>
          <w:szCs w:val="28"/>
        </w:rPr>
      </w:pPr>
      <w:r w:rsidRPr="00731C27">
        <w:rPr>
          <w:b/>
          <w:color w:val="000000" w:themeColor="text1"/>
          <w:sz w:val="28"/>
          <w:szCs w:val="28"/>
        </w:rPr>
        <w:lastRenderedPageBreak/>
        <w:t xml:space="preserve">Order </w:t>
      </w:r>
    </w:p>
    <w:p w:rsidR="00F16595" w:rsidRDefault="00703392" w:rsidP="00703392">
      <w:pPr>
        <w:pStyle w:val="MEMONUMBERED"/>
        <w:numPr>
          <w:ilvl w:val="0"/>
          <w:numId w:val="0"/>
        </w:numPr>
        <w:spacing w:after="360" w:line="360" w:lineRule="auto"/>
        <w:rPr>
          <w:color w:val="000000" w:themeColor="text1"/>
          <w:sz w:val="28"/>
          <w:szCs w:val="28"/>
        </w:rPr>
      </w:pPr>
      <w:r>
        <w:rPr>
          <w:color w:val="000000" w:themeColor="text1"/>
          <w:sz w:val="28"/>
          <w:szCs w:val="28"/>
        </w:rPr>
        <w:t>[35]</w:t>
      </w:r>
      <w:r>
        <w:rPr>
          <w:color w:val="000000" w:themeColor="text1"/>
          <w:sz w:val="28"/>
          <w:szCs w:val="28"/>
        </w:rPr>
        <w:tab/>
      </w:r>
      <w:r w:rsidR="00F16595">
        <w:rPr>
          <w:color w:val="000000" w:themeColor="text1"/>
          <w:sz w:val="28"/>
          <w:szCs w:val="28"/>
        </w:rPr>
        <w:t>In the premises and, having considered all the arguments raised, the following order is made:</w:t>
      </w:r>
    </w:p>
    <w:p w:rsidR="00D553BE" w:rsidRDefault="00F16595" w:rsidP="0088120F">
      <w:pPr>
        <w:pStyle w:val="MEMONUMBERED"/>
        <w:numPr>
          <w:ilvl w:val="0"/>
          <w:numId w:val="0"/>
        </w:numPr>
        <w:spacing w:after="360" w:line="360" w:lineRule="auto"/>
        <w:ind w:left="720"/>
        <w:rPr>
          <w:color w:val="000000" w:themeColor="text1"/>
          <w:sz w:val="28"/>
          <w:szCs w:val="28"/>
        </w:rPr>
      </w:pPr>
      <w:r>
        <w:rPr>
          <w:color w:val="000000" w:themeColor="text1"/>
          <w:sz w:val="28"/>
          <w:szCs w:val="28"/>
        </w:rPr>
        <w:t>The application for leave to appeal is refused with costs</w:t>
      </w:r>
      <w:r w:rsidR="00DB4AE3">
        <w:rPr>
          <w:color w:val="000000" w:themeColor="text1"/>
          <w:sz w:val="28"/>
          <w:szCs w:val="28"/>
        </w:rPr>
        <w:t>,</w:t>
      </w:r>
      <w:r>
        <w:rPr>
          <w:color w:val="000000" w:themeColor="text1"/>
          <w:sz w:val="28"/>
          <w:szCs w:val="28"/>
        </w:rPr>
        <w:t xml:space="preserve"> such costs to include the employment of two counsel.</w:t>
      </w:r>
    </w:p>
    <w:p w:rsidR="0088120F" w:rsidRPr="0088120F" w:rsidRDefault="0088120F" w:rsidP="0088120F">
      <w:pPr>
        <w:pStyle w:val="MEMONUMBERED"/>
        <w:numPr>
          <w:ilvl w:val="0"/>
          <w:numId w:val="0"/>
        </w:numPr>
        <w:spacing w:after="360" w:line="360" w:lineRule="auto"/>
        <w:ind w:left="720"/>
        <w:rPr>
          <w:color w:val="000000" w:themeColor="text1"/>
          <w:sz w:val="28"/>
          <w:szCs w:val="28"/>
        </w:rPr>
      </w:pPr>
    </w:p>
    <w:p w:rsidR="00D553BE" w:rsidRPr="00457350" w:rsidRDefault="00D553BE" w:rsidP="00457350">
      <w:pPr>
        <w:pStyle w:val="MEMONUMBERED"/>
        <w:numPr>
          <w:ilvl w:val="0"/>
          <w:numId w:val="0"/>
        </w:numPr>
        <w:spacing w:after="120" w:line="360" w:lineRule="auto"/>
        <w:ind w:left="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rsidR="006B1503" w:rsidRDefault="006B1503" w:rsidP="007103CD">
      <w:pPr>
        <w:pStyle w:val="MEMONUMBERED"/>
        <w:numPr>
          <w:ilvl w:val="0"/>
          <w:numId w:val="0"/>
        </w:numPr>
        <w:rPr>
          <w:sz w:val="28"/>
          <w:szCs w:val="28"/>
        </w:rPr>
      </w:pPr>
    </w:p>
    <w:p w:rsidR="0088120F" w:rsidRDefault="0088120F"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t>Date of Hearing:</w:t>
      </w:r>
      <w:r w:rsidR="0088120F">
        <w:rPr>
          <w:sz w:val="28"/>
          <w:szCs w:val="28"/>
        </w:rPr>
        <w:t xml:space="preserve"> </w:t>
      </w:r>
      <w:r w:rsidR="00F16595">
        <w:rPr>
          <w:sz w:val="28"/>
          <w:szCs w:val="28"/>
        </w:rPr>
        <w:t>05 October</w:t>
      </w:r>
      <w:r w:rsidR="00D553BE">
        <w:rPr>
          <w:sz w:val="28"/>
          <w:szCs w:val="28"/>
        </w:rPr>
        <w:t xml:space="preserve"> 2022</w:t>
      </w:r>
      <w:r w:rsidR="00D553BE">
        <w:rPr>
          <w:sz w:val="28"/>
          <w:szCs w:val="28"/>
        </w:rPr>
        <w:tab/>
      </w:r>
    </w:p>
    <w:p w:rsidR="007103CD" w:rsidRDefault="007103CD" w:rsidP="007103CD">
      <w:pPr>
        <w:pStyle w:val="MEMONUMBERED"/>
        <w:numPr>
          <w:ilvl w:val="0"/>
          <w:numId w:val="0"/>
        </w:numPr>
        <w:rPr>
          <w:sz w:val="28"/>
          <w:szCs w:val="28"/>
        </w:rPr>
      </w:pPr>
      <w:r>
        <w:rPr>
          <w:sz w:val="28"/>
          <w:szCs w:val="28"/>
        </w:rPr>
        <w:t>Judgment delivered:</w:t>
      </w:r>
      <w:r w:rsidR="00E073A6">
        <w:rPr>
          <w:sz w:val="28"/>
          <w:szCs w:val="28"/>
        </w:rPr>
        <w:t xml:space="preserve"> </w:t>
      </w:r>
      <w:r w:rsidR="00F16595">
        <w:rPr>
          <w:sz w:val="28"/>
          <w:szCs w:val="28"/>
        </w:rPr>
        <w:t>12 October</w:t>
      </w:r>
      <w:r w:rsidR="00D553BE">
        <w:rPr>
          <w:sz w:val="28"/>
          <w:szCs w:val="28"/>
        </w:rPr>
        <w:t xml:space="preserve"> </w:t>
      </w:r>
      <w:r w:rsidR="00BE766F">
        <w:rPr>
          <w:sz w:val="28"/>
          <w:szCs w:val="28"/>
        </w:rPr>
        <w:t>202</w:t>
      </w:r>
      <w:r w:rsidR="00457350">
        <w:rPr>
          <w:sz w:val="28"/>
          <w:szCs w:val="28"/>
        </w:rPr>
        <w:t>2</w:t>
      </w:r>
      <w:r w:rsidR="000A6F67">
        <w:rPr>
          <w:sz w:val="28"/>
          <w:szCs w:val="28"/>
        </w:rPr>
        <w:t xml:space="preserve">  </w:t>
      </w:r>
    </w:p>
    <w:p w:rsidR="0088120F" w:rsidRDefault="0088120F"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t>APPEARANCES:</w:t>
      </w:r>
    </w:p>
    <w:p w:rsidR="00140000" w:rsidRDefault="00A4455E" w:rsidP="00D553BE">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F76B6F">
        <w:rPr>
          <w:rFonts w:ascii="Times New Roman" w:hAnsi="Times New Roman" w:cs="Times New Roman"/>
          <w:sz w:val="28"/>
          <w:szCs w:val="28"/>
        </w:rPr>
        <w:t>App</w:t>
      </w:r>
      <w:r w:rsidR="00163CCE">
        <w:rPr>
          <w:rFonts w:ascii="Times New Roman" w:hAnsi="Times New Roman" w:cs="Times New Roman"/>
          <w:sz w:val="28"/>
          <w:szCs w:val="28"/>
        </w:rPr>
        <w:t>licant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5B758D">
        <w:rPr>
          <w:rFonts w:ascii="Times New Roman" w:hAnsi="Times New Roman" w:cs="Times New Roman"/>
          <w:sz w:val="28"/>
          <w:szCs w:val="28"/>
        </w:rPr>
        <w:t xml:space="preserve">Adv </w:t>
      </w:r>
      <w:r w:rsidR="00140000">
        <w:rPr>
          <w:rFonts w:ascii="Times New Roman" w:hAnsi="Times New Roman" w:cs="Times New Roman"/>
          <w:sz w:val="28"/>
          <w:szCs w:val="28"/>
        </w:rPr>
        <w:t xml:space="preserve">T Motau </w:t>
      </w:r>
      <w:r w:rsidR="00D553BE">
        <w:rPr>
          <w:rFonts w:ascii="Times New Roman" w:hAnsi="Times New Roman" w:cs="Times New Roman"/>
          <w:sz w:val="28"/>
          <w:szCs w:val="28"/>
        </w:rPr>
        <w:t>SC</w:t>
      </w:r>
      <w:r w:rsidR="00140000">
        <w:rPr>
          <w:rFonts w:ascii="Times New Roman" w:hAnsi="Times New Roman" w:cs="Times New Roman"/>
          <w:sz w:val="28"/>
          <w:szCs w:val="28"/>
        </w:rPr>
        <w:t xml:space="preserve"> together with </w:t>
      </w:r>
    </w:p>
    <w:p w:rsidR="00D553BE" w:rsidRDefault="00140000" w:rsidP="00140000">
      <w:pPr>
        <w:spacing w:after="0"/>
        <w:ind w:left="3600" w:firstLine="720"/>
        <w:rPr>
          <w:rFonts w:ascii="Times New Roman" w:hAnsi="Times New Roman" w:cs="Times New Roman"/>
          <w:sz w:val="28"/>
          <w:szCs w:val="28"/>
        </w:rPr>
      </w:pPr>
      <w:r>
        <w:rPr>
          <w:rFonts w:ascii="Times New Roman" w:hAnsi="Times New Roman" w:cs="Times New Roman"/>
          <w:sz w:val="28"/>
          <w:szCs w:val="28"/>
        </w:rPr>
        <w:t>Adv R Tshetlo</w:t>
      </w:r>
    </w:p>
    <w:p w:rsidR="00042FF2" w:rsidRDefault="005A0C31" w:rsidP="00EC5C57">
      <w:pPr>
        <w:spacing w:after="0"/>
        <w:rPr>
          <w:rFonts w:ascii="Times New Roman" w:hAnsi="Times New Roman" w:cs="Times New Roman"/>
          <w:sz w:val="28"/>
          <w:szCs w:val="28"/>
        </w:rPr>
      </w:pPr>
      <w:r>
        <w:rPr>
          <w:rFonts w:ascii="Times New Roman" w:hAnsi="Times New Roman" w:cs="Times New Roman"/>
          <w:sz w:val="28"/>
          <w:szCs w:val="28"/>
        </w:rPr>
        <w:t xml:space="preserve">Attorney for </w:t>
      </w:r>
      <w:r w:rsidR="00311426">
        <w:rPr>
          <w:rFonts w:ascii="Times New Roman" w:hAnsi="Times New Roman" w:cs="Times New Roman"/>
          <w:sz w:val="28"/>
          <w:szCs w:val="28"/>
        </w:rPr>
        <w:t>App</w:t>
      </w:r>
      <w:r w:rsidR="00163CCE">
        <w:rPr>
          <w:rFonts w:ascii="Times New Roman" w:hAnsi="Times New Roman" w:cs="Times New Roman"/>
          <w:sz w:val="28"/>
          <w:szCs w:val="28"/>
        </w:rPr>
        <w:t>licant</w:t>
      </w:r>
      <w:r w:rsidR="00A4455E">
        <w:rPr>
          <w:rFonts w:ascii="Times New Roman" w:hAnsi="Times New Roman" w:cs="Times New Roman"/>
          <w:sz w:val="28"/>
          <w:szCs w:val="28"/>
        </w:rPr>
        <w:t>:</w:t>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8C6430">
        <w:rPr>
          <w:rFonts w:ascii="Times New Roman" w:hAnsi="Times New Roman" w:cs="Times New Roman"/>
          <w:sz w:val="28"/>
          <w:szCs w:val="28"/>
        </w:rPr>
        <w:t xml:space="preserve">Norton </w:t>
      </w:r>
      <w:r w:rsidR="00140000">
        <w:rPr>
          <w:rFonts w:ascii="Times New Roman" w:hAnsi="Times New Roman" w:cs="Times New Roman"/>
          <w:sz w:val="28"/>
          <w:szCs w:val="28"/>
        </w:rPr>
        <w:t>Rose F</w:t>
      </w:r>
      <w:r w:rsidR="008C6430">
        <w:rPr>
          <w:rFonts w:ascii="Times New Roman" w:hAnsi="Times New Roman" w:cs="Times New Roman"/>
          <w:sz w:val="28"/>
          <w:szCs w:val="28"/>
        </w:rPr>
        <w:t>ullbright South Africa Inc.</w:t>
      </w:r>
      <w:r w:rsidR="00D553BE">
        <w:rPr>
          <w:rFonts w:ascii="Times New Roman" w:hAnsi="Times New Roman" w:cs="Times New Roman"/>
          <w:sz w:val="28"/>
          <w:szCs w:val="28"/>
        </w:rPr>
        <w:t>,</w:t>
      </w:r>
    </w:p>
    <w:p w:rsidR="000E671B" w:rsidRDefault="00042FF2" w:rsidP="00042FF2">
      <w:pPr>
        <w:spacing w:after="0"/>
        <w:ind w:left="3600" w:firstLine="720"/>
        <w:rPr>
          <w:rFonts w:ascii="Times New Roman" w:hAnsi="Times New Roman" w:cs="Times New Roman"/>
          <w:sz w:val="28"/>
          <w:szCs w:val="28"/>
        </w:rPr>
      </w:pPr>
      <w:r>
        <w:rPr>
          <w:rFonts w:ascii="Times New Roman" w:hAnsi="Times New Roman" w:cs="Times New Roman"/>
          <w:sz w:val="28"/>
          <w:szCs w:val="28"/>
        </w:rPr>
        <w:t>Johannesburg</w:t>
      </w:r>
    </w:p>
    <w:p w:rsidR="00042FF2" w:rsidRPr="00457350" w:rsidRDefault="00042FF2" w:rsidP="00042FF2">
      <w:pPr>
        <w:spacing w:after="0"/>
        <w:ind w:left="4320"/>
        <w:rPr>
          <w:rFonts w:ascii="Times New Roman" w:hAnsi="Times New Roman" w:cs="Times New Roman"/>
          <w:sz w:val="28"/>
          <w:szCs w:val="28"/>
        </w:rPr>
      </w:pPr>
      <w:r>
        <w:rPr>
          <w:rFonts w:ascii="Times New Roman" w:hAnsi="Times New Roman" w:cs="Times New Roman"/>
          <w:sz w:val="28"/>
          <w:szCs w:val="28"/>
        </w:rPr>
        <w:t xml:space="preserve">c/o </w:t>
      </w:r>
      <w:r w:rsidR="008C6430">
        <w:rPr>
          <w:rFonts w:ascii="Times New Roman" w:hAnsi="Times New Roman" w:cs="Times New Roman"/>
          <w:sz w:val="28"/>
          <w:szCs w:val="28"/>
        </w:rPr>
        <w:t>Macintosh Cross &amp; Farquharson</w:t>
      </w:r>
      <w:r>
        <w:rPr>
          <w:rFonts w:ascii="Times New Roman" w:hAnsi="Times New Roman" w:cs="Times New Roman"/>
          <w:sz w:val="28"/>
          <w:szCs w:val="28"/>
        </w:rPr>
        <w:t>, Pretoria</w:t>
      </w:r>
    </w:p>
    <w:p w:rsidR="00A4455E" w:rsidRDefault="00A4455E" w:rsidP="00C02EAC">
      <w:pPr>
        <w:pStyle w:val="MEMONUMBERED"/>
        <w:numPr>
          <w:ilvl w:val="0"/>
          <w:numId w:val="0"/>
        </w:numPr>
        <w:rPr>
          <w:sz w:val="28"/>
          <w:szCs w:val="28"/>
        </w:rPr>
      </w:pPr>
    </w:p>
    <w:p w:rsidR="0088120F" w:rsidRDefault="0088120F" w:rsidP="00C02EAC">
      <w:pPr>
        <w:pStyle w:val="MEMONUMBERED"/>
        <w:numPr>
          <w:ilvl w:val="0"/>
          <w:numId w:val="0"/>
        </w:numPr>
        <w:rPr>
          <w:sz w:val="28"/>
          <w:szCs w:val="28"/>
        </w:rPr>
      </w:pPr>
    </w:p>
    <w:p w:rsidR="000305A5" w:rsidRDefault="00B1466D" w:rsidP="00D553BE">
      <w:pPr>
        <w:spacing w:after="0"/>
        <w:rPr>
          <w:rFonts w:ascii="Times New Roman" w:hAnsi="Times New Roman" w:cs="Times New Roman"/>
          <w:sz w:val="28"/>
          <w:szCs w:val="28"/>
        </w:rPr>
      </w:pPr>
      <w:r>
        <w:rPr>
          <w:rFonts w:ascii="Times New Roman" w:hAnsi="Times New Roman" w:cs="Times New Roman"/>
          <w:sz w:val="28"/>
          <w:szCs w:val="28"/>
        </w:rPr>
        <w:lastRenderedPageBreak/>
        <w:t>For</w:t>
      </w:r>
      <w:r w:rsidR="008C6430">
        <w:rPr>
          <w:rFonts w:ascii="Times New Roman" w:hAnsi="Times New Roman" w:cs="Times New Roman"/>
          <w:sz w:val="28"/>
          <w:szCs w:val="28"/>
        </w:rPr>
        <w:t xml:space="preserve"> the 1</w:t>
      </w:r>
      <w:r w:rsidR="008C6430" w:rsidRPr="008C6430">
        <w:rPr>
          <w:rFonts w:ascii="Times New Roman" w:hAnsi="Times New Roman" w:cs="Times New Roman"/>
          <w:sz w:val="28"/>
          <w:szCs w:val="28"/>
          <w:vertAlign w:val="superscript"/>
        </w:rPr>
        <w:t>st</w:t>
      </w:r>
      <w:r w:rsidR="008C6430">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0A6F67">
        <w:rPr>
          <w:rFonts w:ascii="Times New Roman" w:hAnsi="Times New Roman" w:cs="Times New Roman"/>
          <w:sz w:val="28"/>
          <w:szCs w:val="28"/>
        </w:rPr>
        <w:t>:</w:t>
      </w:r>
      <w:r w:rsidR="00BF06C8">
        <w:rPr>
          <w:rFonts w:ascii="Times New Roman" w:hAnsi="Times New Roman" w:cs="Times New Roman"/>
          <w:sz w:val="28"/>
          <w:szCs w:val="28"/>
        </w:rPr>
        <w:tab/>
      </w:r>
      <w:r w:rsidR="00BF06C8">
        <w:rPr>
          <w:rFonts w:ascii="Times New Roman" w:hAnsi="Times New Roman" w:cs="Times New Roman"/>
          <w:sz w:val="28"/>
          <w:szCs w:val="28"/>
        </w:rPr>
        <w:tab/>
      </w:r>
      <w:r w:rsidR="00042FF2">
        <w:rPr>
          <w:rFonts w:ascii="Times New Roman" w:hAnsi="Times New Roman" w:cs="Times New Roman"/>
          <w:sz w:val="28"/>
          <w:szCs w:val="28"/>
        </w:rPr>
        <w:tab/>
      </w:r>
      <w:r w:rsidR="00BF06C8">
        <w:rPr>
          <w:rFonts w:ascii="Times New Roman" w:hAnsi="Times New Roman" w:cs="Times New Roman"/>
          <w:sz w:val="28"/>
          <w:szCs w:val="28"/>
        </w:rPr>
        <w:t xml:space="preserve">Adv </w:t>
      </w:r>
      <w:r w:rsidR="00140000">
        <w:rPr>
          <w:rFonts w:ascii="Times New Roman" w:hAnsi="Times New Roman" w:cs="Times New Roman"/>
          <w:sz w:val="28"/>
          <w:szCs w:val="28"/>
        </w:rPr>
        <w:t>V Ngalwana</w:t>
      </w:r>
      <w:r w:rsidR="00D553BE">
        <w:rPr>
          <w:rFonts w:ascii="Times New Roman" w:hAnsi="Times New Roman" w:cs="Times New Roman"/>
          <w:sz w:val="28"/>
          <w:szCs w:val="28"/>
        </w:rPr>
        <w:t xml:space="preserve"> SC</w:t>
      </w:r>
      <w:r w:rsidR="00140000">
        <w:rPr>
          <w:rFonts w:ascii="Times New Roman" w:hAnsi="Times New Roman" w:cs="Times New Roman"/>
          <w:sz w:val="28"/>
          <w:szCs w:val="28"/>
        </w:rPr>
        <w:t xml:space="preserve"> together with </w:t>
      </w:r>
    </w:p>
    <w:p w:rsidR="00140000" w:rsidRDefault="00140000" w:rsidP="00D553B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S Nelani</w:t>
      </w:r>
    </w:p>
    <w:p w:rsidR="008C6430" w:rsidRDefault="00A4455E" w:rsidP="008C6430">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w:t>
      </w:r>
      <w:r w:rsidR="008C6430">
        <w:rPr>
          <w:rFonts w:ascii="Times New Roman" w:hAnsi="Times New Roman" w:cs="Times New Roman"/>
          <w:sz w:val="28"/>
          <w:szCs w:val="28"/>
        </w:rPr>
        <w:t xml:space="preserve"> the 1</w:t>
      </w:r>
      <w:r w:rsidR="008C6430" w:rsidRPr="008C6430">
        <w:rPr>
          <w:rFonts w:ascii="Times New Roman" w:hAnsi="Times New Roman" w:cs="Times New Roman"/>
          <w:sz w:val="28"/>
          <w:szCs w:val="28"/>
          <w:vertAlign w:val="superscript"/>
        </w:rPr>
        <w:t>st</w:t>
      </w:r>
      <w:r w:rsidR="008C6430">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EA0C3D">
        <w:rPr>
          <w:rFonts w:ascii="Times New Roman" w:hAnsi="Times New Roman" w:cs="Times New Roman"/>
          <w:sz w:val="28"/>
          <w:szCs w:val="28"/>
        </w:rPr>
        <w:t>:</w:t>
      </w:r>
      <w:r w:rsidR="00042FF2">
        <w:rPr>
          <w:rFonts w:ascii="Times New Roman" w:hAnsi="Times New Roman" w:cs="Times New Roman"/>
          <w:sz w:val="28"/>
          <w:szCs w:val="28"/>
        </w:rPr>
        <w:tab/>
      </w:r>
      <w:r w:rsidR="008C6430">
        <w:rPr>
          <w:rFonts w:ascii="Times New Roman" w:hAnsi="Times New Roman" w:cs="Times New Roman"/>
          <w:sz w:val="28"/>
          <w:szCs w:val="28"/>
        </w:rPr>
        <w:t>Molaba Attorneys</w:t>
      </w:r>
      <w:r w:rsidR="000E671B">
        <w:rPr>
          <w:rFonts w:ascii="Times New Roman" w:hAnsi="Times New Roman" w:cs="Times New Roman"/>
          <w:sz w:val="28"/>
          <w:szCs w:val="28"/>
        </w:rPr>
        <w:t>,</w:t>
      </w:r>
      <w:r w:rsidR="008C6430">
        <w:rPr>
          <w:rFonts w:ascii="Times New Roman" w:hAnsi="Times New Roman" w:cs="Times New Roman"/>
          <w:sz w:val="28"/>
          <w:szCs w:val="28"/>
        </w:rPr>
        <w:t xml:space="preserve"> </w:t>
      </w:r>
      <w:r w:rsidR="000E671B">
        <w:rPr>
          <w:rFonts w:ascii="Times New Roman" w:hAnsi="Times New Roman" w:cs="Times New Roman"/>
          <w:sz w:val="28"/>
          <w:szCs w:val="28"/>
        </w:rPr>
        <w:t>Pretoria</w:t>
      </w:r>
    </w:p>
    <w:p w:rsidR="008C6430" w:rsidRDefault="008C6430" w:rsidP="008C6430">
      <w:pPr>
        <w:spacing w:after="0"/>
        <w:ind w:left="3686" w:hanging="3686"/>
        <w:rPr>
          <w:rFonts w:ascii="Times New Roman" w:hAnsi="Times New Roman" w:cs="Times New Roman"/>
          <w:sz w:val="28"/>
          <w:szCs w:val="28"/>
        </w:rPr>
      </w:pPr>
    </w:p>
    <w:p w:rsidR="00140000" w:rsidRDefault="00140000" w:rsidP="008C6430">
      <w:pPr>
        <w:spacing w:after="0"/>
        <w:ind w:left="3686" w:hanging="3686"/>
        <w:rPr>
          <w:rFonts w:ascii="Times New Roman" w:hAnsi="Times New Roman" w:cs="Times New Roman"/>
          <w:sz w:val="28"/>
          <w:szCs w:val="28"/>
        </w:rPr>
      </w:pPr>
      <w:r>
        <w:rPr>
          <w:rFonts w:ascii="Times New Roman" w:hAnsi="Times New Roman" w:cs="Times New Roman"/>
          <w:sz w:val="28"/>
          <w:szCs w:val="28"/>
        </w:rPr>
        <w:t>For the 3</w:t>
      </w:r>
      <w:r w:rsidRPr="00140000">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t xml:space="preserve">Adv L Sigogo SC together with </w:t>
      </w:r>
    </w:p>
    <w:p w:rsidR="00140000" w:rsidRDefault="00140000" w:rsidP="00140000">
      <w:pPr>
        <w:spacing w:after="0"/>
        <w:ind w:left="3686" w:firstLine="634"/>
        <w:rPr>
          <w:rFonts w:ascii="Times New Roman" w:hAnsi="Times New Roman" w:cs="Times New Roman"/>
          <w:sz w:val="28"/>
          <w:szCs w:val="28"/>
        </w:rPr>
      </w:pPr>
      <w:r>
        <w:rPr>
          <w:rFonts w:ascii="Times New Roman" w:hAnsi="Times New Roman" w:cs="Times New Roman"/>
          <w:sz w:val="28"/>
          <w:szCs w:val="28"/>
        </w:rPr>
        <w:t>Adv L Kalipa</w:t>
      </w:r>
    </w:p>
    <w:p w:rsidR="00140000" w:rsidRDefault="00140000" w:rsidP="008C6430">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 the 3</w:t>
      </w:r>
      <w:r w:rsidRPr="00140000">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r>
        <w:rPr>
          <w:rFonts w:ascii="Times New Roman" w:hAnsi="Times New Roman" w:cs="Times New Roman"/>
          <w:sz w:val="28"/>
          <w:szCs w:val="28"/>
        </w:rPr>
        <w:tab/>
        <w:t>Ledwaba Mazwai Attorneys, Pretoria</w:t>
      </w:r>
      <w:r>
        <w:rPr>
          <w:rFonts w:ascii="Times New Roman" w:hAnsi="Times New Roman" w:cs="Times New Roman"/>
          <w:sz w:val="28"/>
          <w:szCs w:val="28"/>
        </w:rPr>
        <w:tab/>
      </w:r>
    </w:p>
    <w:p w:rsidR="00C02EAC" w:rsidRDefault="00C02EAC" w:rsidP="00C02EAC">
      <w:pPr>
        <w:spacing w:after="0"/>
        <w:rPr>
          <w:rFonts w:ascii="Times New Roman" w:eastAsia="Times New Roman" w:hAnsi="Times New Roman" w:cs="Times New Roman"/>
          <w:sz w:val="28"/>
          <w:szCs w:val="28"/>
          <w:lang w:val="en-US" w:eastAsia="en-ZA"/>
        </w:rPr>
      </w:pPr>
    </w:p>
    <w:sectPr w:rsidR="00C02EAC" w:rsidSect="00617015">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99" w:rsidRDefault="00E65599" w:rsidP="00AA0559">
      <w:pPr>
        <w:spacing w:after="0" w:line="240" w:lineRule="auto"/>
      </w:pPr>
      <w:r>
        <w:separator/>
      </w:r>
    </w:p>
  </w:endnote>
  <w:endnote w:type="continuationSeparator" w:id="0">
    <w:p w:rsidR="00E65599" w:rsidRDefault="00E65599"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99" w:rsidRDefault="00E65599" w:rsidP="00AA0559">
      <w:pPr>
        <w:spacing w:after="0" w:line="240" w:lineRule="auto"/>
      </w:pPr>
      <w:r>
        <w:separator/>
      </w:r>
    </w:p>
  </w:footnote>
  <w:footnote w:type="continuationSeparator" w:id="0">
    <w:p w:rsidR="00E65599" w:rsidRDefault="00E65599" w:rsidP="00AA0559">
      <w:pPr>
        <w:spacing w:after="0" w:line="240" w:lineRule="auto"/>
      </w:pPr>
      <w:r>
        <w:continuationSeparator/>
      </w:r>
    </w:p>
  </w:footnote>
  <w:footnote w:id="1">
    <w:p w:rsidR="00DC371F" w:rsidRPr="00D26624" w:rsidRDefault="00DC371F">
      <w:pPr>
        <w:pStyle w:val="FootnoteText"/>
        <w:rPr>
          <w:lang w:val="en-US"/>
        </w:rPr>
      </w:pPr>
      <w:r>
        <w:rPr>
          <w:rStyle w:val="FootnoteReference"/>
        </w:rPr>
        <w:footnoteRef/>
      </w:r>
      <w:r>
        <w:t xml:space="preserve"> </w:t>
      </w:r>
      <w:r>
        <w:rPr>
          <w:lang w:val="en-US"/>
        </w:rPr>
        <w:t>As required by section 17(1)(a)(i) of the Superior Court</w:t>
      </w:r>
      <w:r w:rsidR="00702714">
        <w:rPr>
          <w:lang w:val="en-US"/>
        </w:rPr>
        <w:t>s</w:t>
      </w:r>
      <w:r>
        <w:rPr>
          <w:lang w:val="en-US"/>
        </w:rPr>
        <w:t xml:space="preserve"> Act 10 of 2013 (the Act).</w:t>
      </w:r>
    </w:p>
  </w:footnote>
  <w:footnote w:id="2">
    <w:p w:rsidR="00DC371F" w:rsidRPr="00F91762" w:rsidRDefault="00DC371F">
      <w:pPr>
        <w:pStyle w:val="FootnoteText"/>
        <w:rPr>
          <w:lang w:val="en-US"/>
        </w:rPr>
      </w:pPr>
      <w:r>
        <w:rPr>
          <w:rStyle w:val="FootnoteReference"/>
        </w:rPr>
        <w:footnoteRef/>
      </w:r>
      <w:r>
        <w:t xml:space="preserve"> </w:t>
      </w:r>
      <w:r w:rsidR="004F6E92">
        <w:t>As contemplated in section 17(1)(a)(ii) of the Act.</w:t>
      </w:r>
    </w:p>
  </w:footnote>
  <w:footnote w:id="3">
    <w:p w:rsidR="00DC371F" w:rsidRPr="00ED1FB6" w:rsidRDefault="00DC371F">
      <w:pPr>
        <w:pStyle w:val="FootnoteText"/>
        <w:rPr>
          <w:lang w:val="en-US"/>
        </w:rPr>
      </w:pPr>
      <w:r>
        <w:rPr>
          <w:rStyle w:val="FootnoteReference"/>
        </w:rPr>
        <w:footnoteRef/>
      </w:r>
      <w:r>
        <w:t xml:space="preserve"> </w:t>
      </w:r>
      <w:r w:rsidR="00F47A12">
        <w:rPr>
          <w:lang w:val="en-US"/>
        </w:rPr>
        <w:t>See the wording of Rule 41A (1): “</w:t>
      </w:r>
      <w:r w:rsidR="00F47A12" w:rsidRPr="00F91762">
        <w:rPr>
          <w:i/>
          <w:lang w:val="en-US"/>
        </w:rPr>
        <w:t xml:space="preserve">mediation is a </w:t>
      </w:r>
      <w:r w:rsidR="00F47A12" w:rsidRPr="00F91762">
        <w:rPr>
          <w:i/>
          <w:u w:val="single"/>
          <w:lang w:val="en-US"/>
        </w:rPr>
        <w:t>voluntary process</w:t>
      </w:r>
      <w:r w:rsidR="00F47A12" w:rsidRPr="00F91762">
        <w:rPr>
          <w:i/>
          <w:lang w:val="en-US"/>
        </w:rPr>
        <w:t xml:space="preserve"> entered into </w:t>
      </w:r>
      <w:r w:rsidR="00F47A12" w:rsidRPr="00F91762">
        <w:rPr>
          <w:i/>
          <w:u w:val="single"/>
          <w:lang w:val="en-US"/>
        </w:rPr>
        <w:t>by agreement</w:t>
      </w:r>
      <w:r w:rsidR="00F47A12" w:rsidRPr="00F91762">
        <w:rPr>
          <w:i/>
          <w:lang w:val="en-US"/>
        </w:rPr>
        <w:t xml:space="preserve"> between the parties to a dispute …</w:t>
      </w:r>
      <w:r w:rsidR="00F47A12">
        <w:rPr>
          <w:lang w:val="en-US"/>
        </w:rPr>
        <w:t xml:space="preserve">” (my emphasis and the discussion of the rule in </w:t>
      </w:r>
      <w:r w:rsidR="00F47A12" w:rsidRPr="00F91762">
        <w:rPr>
          <w:i/>
          <w:lang w:val="en-US"/>
        </w:rPr>
        <w:t>Ka</w:t>
      </w:r>
      <w:r w:rsidR="00F47A12">
        <w:rPr>
          <w:i/>
          <w:lang w:val="en-US"/>
        </w:rPr>
        <w:t>lagadi Manganese (Pty) Ltd and O</w:t>
      </w:r>
      <w:r w:rsidR="00F47A12" w:rsidRPr="00F91762">
        <w:rPr>
          <w:i/>
          <w:lang w:val="en-US"/>
        </w:rPr>
        <w:t>thers v IDC and Others</w:t>
      </w:r>
      <w:r w:rsidR="00F47A12">
        <w:rPr>
          <w:lang w:val="en-US"/>
        </w:rPr>
        <w:t xml:space="preserve"> (2020/12468) [2021] ZAGPJHC 127 (22 July 2021).</w:t>
      </w:r>
    </w:p>
  </w:footnote>
  <w:footnote w:id="4">
    <w:p w:rsidR="00DC371F" w:rsidRPr="00BC04AB" w:rsidRDefault="00DC371F">
      <w:pPr>
        <w:pStyle w:val="FootnoteText"/>
        <w:rPr>
          <w:lang w:val="en-US"/>
        </w:rPr>
      </w:pPr>
      <w:r>
        <w:rPr>
          <w:rStyle w:val="FootnoteReference"/>
        </w:rPr>
        <w:footnoteRef/>
      </w:r>
      <w:r>
        <w:t xml:space="preserve"> </w:t>
      </w:r>
      <w:r>
        <w:rPr>
          <w:lang w:val="en-US"/>
        </w:rPr>
        <w:t xml:space="preserve">The Supreme Court of Appeal had more than a decade ago reiterated that, in instances where a mere denial would not suffice and a party claims to have knowledge of a fact or wishes to dispute factual evidence, it is incumbent upon him to make those factual allegations or the produce evidence.  Failure to do so, would mean that there is, in fact, no factual dispute.  See </w:t>
      </w:r>
      <w:r w:rsidRPr="00BC04AB">
        <w:rPr>
          <w:i/>
          <w:lang w:val="en-US"/>
        </w:rPr>
        <w:t>Wightman t/a J W Construction v Headfour (Pty) Ltd and Another</w:t>
      </w:r>
      <w:r>
        <w:rPr>
          <w:lang w:val="en-US"/>
        </w:rPr>
        <w:t xml:space="preserve"> 2008 (3) SA 371 (SCA) at [13].</w:t>
      </w:r>
    </w:p>
  </w:footnote>
  <w:footnote w:id="5">
    <w:p w:rsidR="00DC371F" w:rsidRPr="00390D1B" w:rsidRDefault="00DC371F">
      <w:pPr>
        <w:pStyle w:val="FootnoteText"/>
        <w:rPr>
          <w:lang w:val="en-US"/>
        </w:rPr>
      </w:pPr>
      <w:r>
        <w:rPr>
          <w:rStyle w:val="FootnoteReference"/>
        </w:rPr>
        <w:footnoteRef/>
      </w:r>
      <w:r>
        <w:t xml:space="preserve"> </w:t>
      </w:r>
      <w:r>
        <w:rPr>
          <w:lang w:val="en-US"/>
        </w:rPr>
        <w:t>By retired Judge Southwood, Lexis Nexis, 2015 at 4.4</w:t>
      </w:r>
    </w:p>
  </w:footnote>
  <w:footnote w:id="6">
    <w:p w:rsidR="00DC371F" w:rsidRPr="006F5FB6" w:rsidRDefault="00DC371F">
      <w:pPr>
        <w:pStyle w:val="FootnoteText"/>
        <w:rPr>
          <w:lang w:val="en-US"/>
        </w:rPr>
      </w:pPr>
      <w:r>
        <w:rPr>
          <w:rStyle w:val="FootnoteReference"/>
        </w:rPr>
        <w:footnoteRef/>
      </w:r>
      <w:r>
        <w:rPr>
          <w:rStyle w:val="FootnoteReference"/>
        </w:rPr>
        <w:footnoteRef/>
      </w:r>
      <w:r>
        <w:t xml:space="preserve"> </w:t>
      </w:r>
      <w:r w:rsidRPr="0021291E">
        <w:rPr>
          <w:i/>
          <w:lang w:val="en-US"/>
        </w:rPr>
        <w:t>Soffiantini v Mould</w:t>
      </w:r>
      <w:r>
        <w:rPr>
          <w:lang w:val="en-US"/>
        </w:rPr>
        <w:t xml:space="preserve"> 1956 (4) SA 150 (E) at 154 E – H.</w:t>
      </w:r>
    </w:p>
  </w:footnote>
  <w:footnote w:id="7">
    <w:p w:rsidR="00DC371F" w:rsidRPr="00DC371F" w:rsidRDefault="00DC371F">
      <w:pPr>
        <w:pStyle w:val="FootnoteText"/>
        <w:rPr>
          <w:lang w:val="en-US"/>
        </w:rPr>
      </w:pPr>
      <w:r>
        <w:rPr>
          <w:rStyle w:val="FootnoteReference"/>
        </w:rPr>
        <w:footnoteRef/>
      </w:r>
      <w:r>
        <w:t xml:space="preserve"> </w:t>
      </w:r>
      <w:r w:rsidRPr="00DC371F">
        <w:rPr>
          <w:i/>
          <w:lang w:val="en-US"/>
        </w:rPr>
        <w:t>Minister of Environmental Affairs and Tourism and Others v Phambili Fisheries (Pty) Ltd; Minister of Environmental Affairs and Tourism v Bato Star Fishing (Pty) Ltd</w:t>
      </w:r>
      <w:r>
        <w:rPr>
          <w:lang w:val="en-US"/>
        </w:rPr>
        <w:t xml:space="preserve"> 2003 (6) SA 407 (SCA).</w:t>
      </w:r>
    </w:p>
  </w:footnote>
  <w:footnote w:id="8">
    <w:p w:rsidR="00DC371F" w:rsidRPr="00DC371F" w:rsidRDefault="00DC371F">
      <w:pPr>
        <w:pStyle w:val="FootnoteText"/>
        <w:rPr>
          <w:lang w:val="en-US"/>
        </w:rPr>
      </w:pPr>
      <w:r>
        <w:rPr>
          <w:rStyle w:val="FootnoteReference"/>
        </w:rPr>
        <w:footnoteRef/>
      </w:r>
      <w:r>
        <w:t xml:space="preserve"> </w:t>
      </w:r>
      <w:r w:rsidRPr="00DC371F">
        <w:rPr>
          <w:i/>
          <w:lang w:val="en-US"/>
        </w:rPr>
        <w:t>B</w:t>
      </w:r>
      <w:r>
        <w:rPr>
          <w:i/>
          <w:lang w:val="en-US"/>
        </w:rPr>
        <w:t>at</w:t>
      </w:r>
      <w:r w:rsidRPr="00DC371F">
        <w:rPr>
          <w:i/>
          <w:lang w:val="en-US"/>
        </w:rPr>
        <w:t>o Star Fishing (Pty) Ltd v Minister of Environmental Affairs and Tourism and Others</w:t>
      </w:r>
      <w:r>
        <w:rPr>
          <w:lang w:val="en-US"/>
        </w:rPr>
        <w:t xml:space="preserve"> 2004 (4) SA 290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79817"/>
      <w:docPartObj>
        <w:docPartGallery w:val="Page Numbers (Top of Page)"/>
        <w:docPartUnique/>
      </w:docPartObj>
    </w:sdtPr>
    <w:sdtEndPr>
      <w:rPr>
        <w:noProof/>
      </w:rPr>
    </w:sdtEndPr>
    <w:sdtContent>
      <w:p w:rsidR="00DC371F" w:rsidRDefault="00DC371F">
        <w:pPr>
          <w:pStyle w:val="Header"/>
          <w:jc w:val="right"/>
        </w:pPr>
        <w:r>
          <w:fldChar w:fldCharType="begin"/>
        </w:r>
        <w:r>
          <w:instrText xml:space="preserve"> PAGE   \* MERGEFORMAT </w:instrText>
        </w:r>
        <w:r>
          <w:fldChar w:fldCharType="separate"/>
        </w:r>
        <w:r w:rsidR="00703392">
          <w:rPr>
            <w:noProof/>
          </w:rPr>
          <w:t>5</w:t>
        </w:r>
        <w:r>
          <w:rPr>
            <w:noProof/>
          </w:rPr>
          <w:fldChar w:fldCharType="end"/>
        </w:r>
      </w:p>
    </w:sdtContent>
  </w:sdt>
  <w:p w:rsidR="00DC371F" w:rsidRDefault="00DC37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9"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1"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6D60C7"/>
    <w:multiLevelType w:val="hybridMultilevel"/>
    <w:tmpl w:val="DC70487A"/>
    <w:lvl w:ilvl="0" w:tplc="D30E7D8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8"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1"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6"/>
  </w:num>
  <w:num w:numId="3">
    <w:abstractNumId w:val="27"/>
  </w:num>
  <w:num w:numId="4">
    <w:abstractNumId w:val="20"/>
  </w:num>
  <w:num w:numId="5">
    <w:abstractNumId w:val="34"/>
  </w:num>
  <w:num w:numId="6">
    <w:abstractNumId w:val="9"/>
  </w:num>
  <w:num w:numId="7">
    <w:abstractNumId w:val="13"/>
  </w:num>
  <w:num w:numId="8">
    <w:abstractNumId w:val="3"/>
  </w:num>
  <w:num w:numId="9">
    <w:abstractNumId w:val="24"/>
  </w:num>
  <w:num w:numId="10">
    <w:abstractNumId w:val="12"/>
  </w:num>
  <w:num w:numId="11">
    <w:abstractNumId w:val="28"/>
  </w:num>
  <w:num w:numId="12">
    <w:abstractNumId w:val="14"/>
  </w:num>
  <w:num w:numId="13">
    <w:abstractNumId w:val="1"/>
  </w:num>
  <w:num w:numId="14">
    <w:abstractNumId w:val="18"/>
  </w:num>
  <w:num w:numId="15">
    <w:abstractNumId w:val="29"/>
  </w:num>
  <w:num w:numId="16">
    <w:abstractNumId w:val="17"/>
  </w:num>
  <w:num w:numId="17">
    <w:abstractNumId w:val="8"/>
  </w:num>
  <w:num w:numId="18">
    <w:abstractNumId w:val="30"/>
  </w:num>
  <w:num w:numId="19">
    <w:abstractNumId w:val="25"/>
  </w:num>
  <w:num w:numId="20">
    <w:abstractNumId w:val="0"/>
  </w:num>
  <w:num w:numId="21">
    <w:abstractNumId w:val="22"/>
  </w:num>
  <w:num w:numId="22">
    <w:abstractNumId w:val="23"/>
  </w:num>
  <w:num w:numId="23">
    <w:abstractNumId w:val="6"/>
  </w:num>
  <w:num w:numId="24">
    <w:abstractNumId w:val="19"/>
  </w:num>
  <w:num w:numId="25">
    <w:abstractNumId w:val="7"/>
  </w:num>
  <w:num w:numId="26">
    <w:abstractNumId w:val="21"/>
  </w:num>
  <w:num w:numId="27">
    <w:abstractNumId w:val="10"/>
  </w:num>
  <w:num w:numId="28">
    <w:abstractNumId w:val="4"/>
  </w:num>
  <w:num w:numId="29">
    <w:abstractNumId w:val="31"/>
  </w:num>
  <w:num w:numId="30">
    <w:abstractNumId w:val="32"/>
  </w:num>
  <w:num w:numId="31">
    <w:abstractNumId w:val="11"/>
  </w:num>
  <w:num w:numId="32">
    <w:abstractNumId w:val="33"/>
  </w:num>
  <w:num w:numId="33">
    <w:abstractNumId w:val="5"/>
  </w:num>
  <w:num w:numId="34">
    <w:abstractNumId w:val="26"/>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C06"/>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0000"/>
    <w:rsid w:val="00141A99"/>
    <w:rsid w:val="00142AB8"/>
    <w:rsid w:val="001430D2"/>
    <w:rsid w:val="0014349A"/>
    <w:rsid w:val="001451A4"/>
    <w:rsid w:val="00145921"/>
    <w:rsid w:val="00145B15"/>
    <w:rsid w:val="00145E2C"/>
    <w:rsid w:val="00146336"/>
    <w:rsid w:val="00147D17"/>
    <w:rsid w:val="0015347A"/>
    <w:rsid w:val="001555BF"/>
    <w:rsid w:val="00163CCE"/>
    <w:rsid w:val="00167EC4"/>
    <w:rsid w:val="001710E5"/>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27F"/>
    <w:rsid w:val="001F2EFB"/>
    <w:rsid w:val="001F4F2B"/>
    <w:rsid w:val="001F56C4"/>
    <w:rsid w:val="001F6A2A"/>
    <w:rsid w:val="001F7DA3"/>
    <w:rsid w:val="00200552"/>
    <w:rsid w:val="002008BB"/>
    <w:rsid w:val="00200E99"/>
    <w:rsid w:val="00204FE1"/>
    <w:rsid w:val="002100DA"/>
    <w:rsid w:val="00210ABE"/>
    <w:rsid w:val="002116B4"/>
    <w:rsid w:val="00212833"/>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003E"/>
    <w:rsid w:val="00282FE1"/>
    <w:rsid w:val="002856D3"/>
    <w:rsid w:val="00286AD5"/>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37F4"/>
    <w:rsid w:val="003043A5"/>
    <w:rsid w:val="003100A9"/>
    <w:rsid w:val="003102DE"/>
    <w:rsid w:val="0031116C"/>
    <w:rsid w:val="00311426"/>
    <w:rsid w:val="00312DD5"/>
    <w:rsid w:val="00315DF2"/>
    <w:rsid w:val="00316280"/>
    <w:rsid w:val="003177A0"/>
    <w:rsid w:val="00320E7B"/>
    <w:rsid w:val="003215A6"/>
    <w:rsid w:val="003259BF"/>
    <w:rsid w:val="00326058"/>
    <w:rsid w:val="0032722B"/>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7C42"/>
    <w:rsid w:val="003A0859"/>
    <w:rsid w:val="003A1568"/>
    <w:rsid w:val="003A4D7A"/>
    <w:rsid w:val="003A75D0"/>
    <w:rsid w:val="003A7831"/>
    <w:rsid w:val="003A7990"/>
    <w:rsid w:val="003B0968"/>
    <w:rsid w:val="003B1932"/>
    <w:rsid w:val="003B2C23"/>
    <w:rsid w:val="003B4628"/>
    <w:rsid w:val="003B663E"/>
    <w:rsid w:val="003B78D9"/>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3F7C9A"/>
    <w:rsid w:val="0040206E"/>
    <w:rsid w:val="004033C6"/>
    <w:rsid w:val="00403849"/>
    <w:rsid w:val="004040BB"/>
    <w:rsid w:val="00404DEE"/>
    <w:rsid w:val="00410EB3"/>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44DE"/>
    <w:rsid w:val="00474BB5"/>
    <w:rsid w:val="00475438"/>
    <w:rsid w:val="004754F5"/>
    <w:rsid w:val="00475E75"/>
    <w:rsid w:val="004762A0"/>
    <w:rsid w:val="00477416"/>
    <w:rsid w:val="004812FC"/>
    <w:rsid w:val="00481794"/>
    <w:rsid w:val="00481BF7"/>
    <w:rsid w:val="004821A0"/>
    <w:rsid w:val="004846FD"/>
    <w:rsid w:val="00484DFC"/>
    <w:rsid w:val="004864B6"/>
    <w:rsid w:val="00486E9D"/>
    <w:rsid w:val="0048784B"/>
    <w:rsid w:val="00490F69"/>
    <w:rsid w:val="0049411B"/>
    <w:rsid w:val="00495527"/>
    <w:rsid w:val="00496968"/>
    <w:rsid w:val="004A2304"/>
    <w:rsid w:val="004A2A32"/>
    <w:rsid w:val="004A2B93"/>
    <w:rsid w:val="004A3590"/>
    <w:rsid w:val="004A4EEA"/>
    <w:rsid w:val="004A53D7"/>
    <w:rsid w:val="004A591E"/>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4F6E92"/>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6695"/>
    <w:rsid w:val="00576B66"/>
    <w:rsid w:val="005775D4"/>
    <w:rsid w:val="00577E87"/>
    <w:rsid w:val="0058101D"/>
    <w:rsid w:val="00582084"/>
    <w:rsid w:val="00582786"/>
    <w:rsid w:val="00583D93"/>
    <w:rsid w:val="0058433C"/>
    <w:rsid w:val="005845AF"/>
    <w:rsid w:val="005857F0"/>
    <w:rsid w:val="005910C8"/>
    <w:rsid w:val="0059193B"/>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5538"/>
    <w:rsid w:val="005E55EF"/>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21BC"/>
    <w:rsid w:val="006228B9"/>
    <w:rsid w:val="00622EC2"/>
    <w:rsid w:val="00624082"/>
    <w:rsid w:val="00624317"/>
    <w:rsid w:val="00624A32"/>
    <w:rsid w:val="00624B64"/>
    <w:rsid w:val="00624D2B"/>
    <w:rsid w:val="0063155B"/>
    <w:rsid w:val="00631B34"/>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1123"/>
    <w:rsid w:val="00672C28"/>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4872"/>
    <w:rsid w:val="006A5A6B"/>
    <w:rsid w:val="006A5FC3"/>
    <w:rsid w:val="006A6D3D"/>
    <w:rsid w:val="006A7C65"/>
    <w:rsid w:val="006B0512"/>
    <w:rsid w:val="006B06C6"/>
    <w:rsid w:val="006B1503"/>
    <w:rsid w:val="006B29BF"/>
    <w:rsid w:val="006B2DDD"/>
    <w:rsid w:val="006B43C8"/>
    <w:rsid w:val="006B4BDA"/>
    <w:rsid w:val="006B54E3"/>
    <w:rsid w:val="006B5EE2"/>
    <w:rsid w:val="006B5FB3"/>
    <w:rsid w:val="006B65D6"/>
    <w:rsid w:val="006C003B"/>
    <w:rsid w:val="006C198E"/>
    <w:rsid w:val="006C1EA5"/>
    <w:rsid w:val="006C21A9"/>
    <w:rsid w:val="006C2B85"/>
    <w:rsid w:val="006C3C8A"/>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714"/>
    <w:rsid w:val="00702CA0"/>
    <w:rsid w:val="00703392"/>
    <w:rsid w:val="00704D51"/>
    <w:rsid w:val="00705887"/>
    <w:rsid w:val="00707250"/>
    <w:rsid w:val="00710267"/>
    <w:rsid w:val="007103CD"/>
    <w:rsid w:val="0071098A"/>
    <w:rsid w:val="00714D6D"/>
    <w:rsid w:val="007154EC"/>
    <w:rsid w:val="007154FB"/>
    <w:rsid w:val="00716E6B"/>
    <w:rsid w:val="007206A6"/>
    <w:rsid w:val="00720D1F"/>
    <w:rsid w:val="00722C56"/>
    <w:rsid w:val="00723559"/>
    <w:rsid w:val="00724AF6"/>
    <w:rsid w:val="00725A3F"/>
    <w:rsid w:val="00725D66"/>
    <w:rsid w:val="0072611F"/>
    <w:rsid w:val="00730616"/>
    <w:rsid w:val="00731C27"/>
    <w:rsid w:val="007334E6"/>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B3F"/>
    <w:rsid w:val="00767DF0"/>
    <w:rsid w:val="0077050B"/>
    <w:rsid w:val="0077059C"/>
    <w:rsid w:val="007736F3"/>
    <w:rsid w:val="007806DB"/>
    <w:rsid w:val="0078115B"/>
    <w:rsid w:val="00782356"/>
    <w:rsid w:val="0078533D"/>
    <w:rsid w:val="007910C0"/>
    <w:rsid w:val="0079202F"/>
    <w:rsid w:val="00792C07"/>
    <w:rsid w:val="00792D3B"/>
    <w:rsid w:val="007933F3"/>
    <w:rsid w:val="00793861"/>
    <w:rsid w:val="00794BAC"/>
    <w:rsid w:val="007A1708"/>
    <w:rsid w:val="007A3FE8"/>
    <w:rsid w:val="007A4DE1"/>
    <w:rsid w:val="007A60C4"/>
    <w:rsid w:val="007B141A"/>
    <w:rsid w:val="007B2A66"/>
    <w:rsid w:val="007B5D39"/>
    <w:rsid w:val="007B626F"/>
    <w:rsid w:val="007B6AE7"/>
    <w:rsid w:val="007C472A"/>
    <w:rsid w:val="007C5A85"/>
    <w:rsid w:val="007C6197"/>
    <w:rsid w:val="007D10D4"/>
    <w:rsid w:val="007D16EB"/>
    <w:rsid w:val="007D175C"/>
    <w:rsid w:val="007D294C"/>
    <w:rsid w:val="007D447F"/>
    <w:rsid w:val="007D5363"/>
    <w:rsid w:val="007D7A41"/>
    <w:rsid w:val="007E09BC"/>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FD5"/>
    <w:rsid w:val="00801C5E"/>
    <w:rsid w:val="0080320E"/>
    <w:rsid w:val="00803FE0"/>
    <w:rsid w:val="0081050C"/>
    <w:rsid w:val="00812F4A"/>
    <w:rsid w:val="00814577"/>
    <w:rsid w:val="008157DE"/>
    <w:rsid w:val="0081698E"/>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5363B"/>
    <w:rsid w:val="008537CB"/>
    <w:rsid w:val="00856277"/>
    <w:rsid w:val="00860860"/>
    <w:rsid w:val="00862EB3"/>
    <w:rsid w:val="00864292"/>
    <w:rsid w:val="00871517"/>
    <w:rsid w:val="00871B8B"/>
    <w:rsid w:val="00873BAE"/>
    <w:rsid w:val="00874429"/>
    <w:rsid w:val="008762D7"/>
    <w:rsid w:val="0088120F"/>
    <w:rsid w:val="008846D2"/>
    <w:rsid w:val="008850E8"/>
    <w:rsid w:val="0088679D"/>
    <w:rsid w:val="00893DEC"/>
    <w:rsid w:val="008968E0"/>
    <w:rsid w:val="008A268F"/>
    <w:rsid w:val="008A4A6E"/>
    <w:rsid w:val="008A6176"/>
    <w:rsid w:val="008A70AD"/>
    <w:rsid w:val="008B09F7"/>
    <w:rsid w:val="008B1518"/>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67B6"/>
    <w:rsid w:val="00916E47"/>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7EC"/>
    <w:rsid w:val="00953D3F"/>
    <w:rsid w:val="00954143"/>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6E57"/>
    <w:rsid w:val="009A726C"/>
    <w:rsid w:val="009A7525"/>
    <w:rsid w:val="009A784D"/>
    <w:rsid w:val="009B176A"/>
    <w:rsid w:val="009B232C"/>
    <w:rsid w:val="009B2B24"/>
    <w:rsid w:val="009B3852"/>
    <w:rsid w:val="009B3EEF"/>
    <w:rsid w:val="009B3FD7"/>
    <w:rsid w:val="009B5FBE"/>
    <w:rsid w:val="009B775C"/>
    <w:rsid w:val="009C30CF"/>
    <w:rsid w:val="009C5EE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48F"/>
    <w:rsid w:val="00A36FCB"/>
    <w:rsid w:val="00A370E6"/>
    <w:rsid w:val="00A37CEF"/>
    <w:rsid w:val="00A4455E"/>
    <w:rsid w:val="00A47F76"/>
    <w:rsid w:val="00A57E36"/>
    <w:rsid w:val="00A60206"/>
    <w:rsid w:val="00A6023F"/>
    <w:rsid w:val="00A6561C"/>
    <w:rsid w:val="00A67273"/>
    <w:rsid w:val="00A679BA"/>
    <w:rsid w:val="00A717B4"/>
    <w:rsid w:val="00A74921"/>
    <w:rsid w:val="00A75402"/>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3C72"/>
    <w:rsid w:val="00AD4457"/>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16D"/>
    <w:rsid w:val="00B255AC"/>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67671"/>
    <w:rsid w:val="00B70A17"/>
    <w:rsid w:val="00B7194C"/>
    <w:rsid w:val="00B71BC8"/>
    <w:rsid w:val="00B722D8"/>
    <w:rsid w:val="00B7257E"/>
    <w:rsid w:val="00B726AE"/>
    <w:rsid w:val="00B74BEF"/>
    <w:rsid w:val="00B74D56"/>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7AAA"/>
    <w:rsid w:val="00BE0958"/>
    <w:rsid w:val="00BE18B8"/>
    <w:rsid w:val="00BE19D7"/>
    <w:rsid w:val="00BE22C7"/>
    <w:rsid w:val="00BE6AE6"/>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B0C"/>
    <w:rsid w:val="00C310A3"/>
    <w:rsid w:val="00C33606"/>
    <w:rsid w:val="00C40059"/>
    <w:rsid w:val="00C4125E"/>
    <w:rsid w:val="00C42D54"/>
    <w:rsid w:val="00C43ABF"/>
    <w:rsid w:val="00C456B2"/>
    <w:rsid w:val="00C51113"/>
    <w:rsid w:val="00C51738"/>
    <w:rsid w:val="00C5223D"/>
    <w:rsid w:val="00C53475"/>
    <w:rsid w:val="00C53A51"/>
    <w:rsid w:val="00C53DD0"/>
    <w:rsid w:val="00C5443F"/>
    <w:rsid w:val="00C57563"/>
    <w:rsid w:val="00C57846"/>
    <w:rsid w:val="00C60F5C"/>
    <w:rsid w:val="00C61354"/>
    <w:rsid w:val="00C65FF7"/>
    <w:rsid w:val="00C66C36"/>
    <w:rsid w:val="00C6743A"/>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12F"/>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75CB"/>
    <w:rsid w:val="00CC04AA"/>
    <w:rsid w:val="00CC1EF2"/>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32A3"/>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4AE3"/>
    <w:rsid w:val="00DB68D2"/>
    <w:rsid w:val="00DB6A87"/>
    <w:rsid w:val="00DC012F"/>
    <w:rsid w:val="00DC04A9"/>
    <w:rsid w:val="00DC1BC6"/>
    <w:rsid w:val="00DC30A1"/>
    <w:rsid w:val="00DC371F"/>
    <w:rsid w:val="00DC64D7"/>
    <w:rsid w:val="00DC7462"/>
    <w:rsid w:val="00DD0B11"/>
    <w:rsid w:val="00DD140D"/>
    <w:rsid w:val="00DD256C"/>
    <w:rsid w:val="00DD3A56"/>
    <w:rsid w:val="00DD64F6"/>
    <w:rsid w:val="00DD6629"/>
    <w:rsid w:val="00DD6E33"/>
    <w:rsid w:val="00DE42EE"/>
    <w:rsid w:val="00DE510D"/>
    <w:rsid w:val="00DE64E0"/>
    <w:rsid w:val="00DE67FD"/>
    <w:rsid w:val="00DE7640"/>
    <w:rsid w:val="00DE7A19"/>
    <w:rsid w:val="00DF2676"/>
    <w:rsid w:val="00DF4942"/>
    <w:rsid w:val="00DF73EC"/>
    <w:rsid w:val="00DF7577"/>
    <w:rsid w:val="00E00182"/>
    <w:rsid w:val="00E004F6"/>
    <w:rsid w:val="00E00E11"/>
    <w:rsid w:val="00E00E50"/>
    <w:rsid w:val="00E01BD7"/>
    <w:rsid w:val="00E03404"/>
    <w:rsid w:val="00E044FC"/>
    <w:rsid w:val="00E0506A"/>
    <w:rsid w:val="00E073A6"/>
    <w:rsid w:val="00E13409"/>
    <w:rsid w:val="00E1390E"/>
    <w:rsid w:val="00E1415E"/>
    <w:rsid w:val="00E1655E"/>
    <w:rsid w:val="00E20D9A"/>
    <w:rsid w:val="00E219CD"/>
    <w:rsid w:val="00E21DD7"/>
    <w:rsid w:val="00E235E3"/>
    <w:rsid w:val="00E27C7D"/>
    <w:rsid w:val="00E30B41"/>
    <w:rsid w:val="00E3174A"/>
    <w:rsid w:val="00E3276D"/>
    <w:rsid w:val="00E36302"/>
    <w:rsid w:val="00E36B5F"/>
    <w:rsid w:val="00E36E4B"/>
    <w:rsid w:val="00E4044E"/>
    <w:rsid w:val="00E42572"/>
    <w:rsid w:val="00E429CE"/>
    <w:rsid w:val="00E42AF7"/>
    <w:rsid w:val="00E42D8A"/>
    <w:rsid w:val="00E4348F"/>
    <w:rsid w:val="00E56499"/>
    <w:rsid w:val="00E565BA"/>
    <w:rsid w:val="00E56C70"/>
    <w:rsid w:val="00E56D10"/>
    <w:rsid w:val="00E56D52"/>
    <w:rsid w:val="00E625CF"/>
    <w:rsid w:val="00E62710"/>
    <w:rsid w:val="00E64B23"/>
    <w:rsid w:val="00E65599"/>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C57"/>
    <w:rsid w:val="00EC636D"/>
    <w:rsid w:val="00ED16E0"/>
    <w:rsid w:val="00ED1FB6"/>
    <w:rsid w:val="00ED26C1"/>
    <w:rsid w:val="00ED3032"/>
    <w:rsid w:val="00ED5A1C"/>
    <w:rsid w:val="00EE3695"/>
    <w:rsid w:val="00EE638D"/>
    <w:rsid w:val="00EF0085"/>
    <w:rsid w:val="00EF07A9"/>
    <w:rsid w:val="00EF3352"/>
    <w:rsid w:val="00EF43A6"/>
    <w:rsid w:val="00EF571D"/>
    <w:rsid w:val="00EF69A4"/>
    <w:rsid w:val="00EF7534"/>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6595"/>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803C2"/>
    <w:rsid w:val="00F81A93"/>
    <w:rsid w:val="00F824F5"/>
    <w:rsid w:val="00F84263"/>
    <w:rsid w:val="00F862FE"/>
    <w:rsid w:val="00F90EBE"/>
    <w:rsid w:val="00F916BF"/>
    <w:rsid w:val="00F91762"/>
    <w:rsid w:val="00F9222D"/>
    <w:rsid w:val="00F932D2"/>
    <w:rsid w:val="00F9437C"/>
    <w:rsid w:val="00F945D5"/>
    <w:rsid w:val="00F95F12"/>
    <w:rsid w:val="00F96DF1"/>
    <w:rsid w:val="00FA061A"/>
    <w:rsid w:val="00FA43A3"/>
    <w:rsid w:val="00FA4C73"/>
    <w:rsid w:val="00FA5129"/>
    <w:rsid w:val="00FA6A49"/>
    <w:rsid w:val="00FA6C6B"/>
    <w:rsid w:val="00FB1C48"/>
    <w:rsid w:val="00FB2835"/>
    <w:rsid w:val="00FB6142"/>
    <w:rsid w:val="00FC44DB"/>
    <w:rsid w:val="00FC56B9"/>
    <w:rsid w:val="00FC5F75"/>
    <w:rsid w:val="00FD04B5"/>
    <w:rsid w:val="00FD27C0"/>
    <w:rsid w:val="00FD2F39"/>
    <w:rsid w:val="00FD61A3"/>
    <w:rsid w:val="00FD61DB"/>
    <w:rsid w:val="00FD64E6"/>
    <w:rsid w:val="00FE4571"/>
    <w:rsid w:val="00FE4EDA"/>
    <w:rsid w:val="00FE5DFC"/>
    <w:rsid w:val="00FE7ED6"/>
    <w:rsid w:val="00FF01D9"/>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5935-6616-4F2A-B603-44D743C5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14</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Mary Bruce</cp:lastModifiedBy>
  <cp:revision>10</cp:revision>
  <cp:lastPrinted>2022-10-12T13:24:00Z</cp:lastPrinted>
  <dcterms:created xsi:type="dcterms:W3CDTF">2022-10-10T07:38:00Z</dcterms:created>
  <dcterms:modified xsi:type="dcterms:W3CDTF">2022-10-26T10:01:00Z</dcterms:modified>
</cp:coreProperties>
</file>