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0F59" w14:textId="77777777" w:rsidR="00B50E11" w:rsidRDefault="00B50E11" w:rsidP="00B50E11">
      <w:pPr>
        <w:pStyle w:val="Body"/>
        <w:jc w:val="center"/>
      </w:pPr>
      <w:bookmarkStart w:id="0" w:name="_GoBack"/>
      <w:bookmarkEnd w:id="0"/>
      <w:r>
        <w:rPr>
          <w:noProof/>
          <w:lang w:val="en-ZA" w:eastAsia="en-ZA"/>
        </w:rPr>
        <w:drawing>
          <wp:inline distT="0" distB="0" distL="0" distR="0" wp14:anchorId="087D65E7" wp14:editId="4DBB13B4">
            <wp:extent cx="1494941" cy="1543744"/>
            <wp:effectExtent l="0" t="0" r="3810" b="571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02380" cy="1551426"/>
                    </a:xfrm>
                    <a:prstGeom prst="rect">
                      <a:avLst/>
                    </a:prstGeom>
                    <a:ln w="12700" cap="flat">
                      <a:noFill/>
                      <a:miter lim="400000"/>
                    </a:ln>
                    <a:effectLst/>
                  </pic:spPr>
                </pic:pic>
              </a:graphicData>
            </a:graphic>
          </wp:inline>
        </w:drawing>
      </w:r>
    </w:p>
    <w:p w14:paraId="3DDECB7C" w14:textId="77777777"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27311B28" w14:textId="77777777" w:rsidR="00C519B2" w:rsidRPr="00341E97" w:rsidRDefault="00B50E11" w:rsidP="00341E97">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3D531F40" w14:textId="77777777" w:rsidTr="00341E97">
        <w:trPr>
          <w:trHeight w:val="2205"/>
        </w:trPr>
        <w:tc>
          <w:tcPr>
            <w:tcW w:w="3998" w:type="dxa"/>
          </w:tcPr>
          <w:p w14:paraId="21EB8F78"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64EBC270"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E6C1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438F2658"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341E97">
              <w:rPr>
                <w:rFonts w:ascii="Arial Unicode MS" w:eastAsia="Arial Unicode MS" w:hAnsi="Arial Unicode MS" w:cs="Arial Unicode MS"/>
                <w:sz w:val="16"/>
                <w:szCs w:val="16"/>
              </w:rPr>
              <w:t xml:space="preserve"> </w:t>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65BEC7C5"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10749D" w:rsidRPr="0010749D">
              <w:rPr>
                <w:rFonts w:ascii="Arial Unicode MS" w:eastAsia="Arial Unicode MS" w:hAnsi="Arial Unicode MS" w:cs="Arial Unicode MS"/>
                <w:b/>
                <w:bCs/>
                <w:sz w:val="16"/>
                <w:szCs w:val="16"/>
              </w:rPr>
              <w:t xml:space="preserve"> NO</w:t>
            </w:r>
          </w:p>
          <w:p w14:paraId="6302CD8C" w14:textId="266844CE"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996B9B">
              <w:rPr>
                <w:rFonts w:ascii="Arial" w:eastAsia="Arial Unicode MS" w:hAnsi="Arial" w:cs="Arial"/>
                <w:b/>
                <w:bCs/>
                <w:sz w:val="20"/>
                <w:szCs w:val="20"/>
              </w:rPr>
              <w:t>:</w:t>
            </w:r>
            <w:r w:rsidR="00341E97" w:rsidRPr="00996B9B">
              <w:rPr>
                <w:rFonts w:ascii="Arial" w:eastAsia="Arial Unicode MS" w:hAnsi="Arial" w:cs="Arial"/>
                <w:b/>
                <w:bCs/>
                <w:sz w:val="20"/>
                <w:szCs w:val="20"/>
              </w:rPr>
              <w:t xml:space="preserve">   </w:t>
            </w:r>
            <w:r w:rsidR="00B418DF">
              <w:rPr>
                <w:rFonts w:ascii="Arial" w:eastAsia="Arial Unicode MS" w:hAnsi="Arial" w:cs="Arial"/>
                <w:b/>
                <w:bCs/>
                <w:sz w:val="20"/>
                <w:szCs w:val="20"/>
              </w:rPr>
              <w:t>2</w:t>
            </w:r>
            <w:r w:rsidR="00CF1CC9">
              <w:rPr>
                <w:rFonts w:ascii="Arial" w:eastAsia="Arial Unicode MS" w:hAnsi="Arial" w:cs="Arial"/>
                <w:b/>
                <w:bCs/>
                <w:sz w:val="20"/>
                <w:szCs w:val="20"/>
              </w:rPr>
              <w:t>0</w:t>
            </w:r>
            <w:r w:rsidR="00B418DF">
              <w:rPr>
                <w:rFonts w:ascii="Arial" w:eastAsia="Arial Unicode MS" w:hAnsi="Arial" w:cs="Arial"/>
                <w:b/>
                <w:bCs/>
                <w:sz w:val="20"/>
                <w:szCs w:val="20"/>
              </w:rPr>
              <w:t xml:space="preserve"> </w:t>
            </w:r>
            <w:r w:rsidR="00C737CE">
              <w:rPr>
                <w:rFonts w:ascii="Arial" w:eastAsia="Arial Unicode MS" w:hAnsi="Arial" w:cs="Arial"/>
                <w:b/>
                <w:bCs/>
                <w:sz w:val="20"/>
                <w:szCs w:val="20"/>
              </w:rPr>
              <w:t xml:space="preserve">October </w:t>
            </w:r>
            <w:r w:rsidR="0010749D" w:rsidRPr="00996B9B">
              <w:rPr>
                <w:rFonts w:ascii="Arial" w:eastAsia="Arial Unicode MS" w:hAnsi="Arial" w:cs="Arial"/>
                <w:b/>
                <w:bCs/>
                <w:sz w:val="20"/>
                <w:szCs w:val="20"/>
              </w:rPr>
              <w:t xml:space="preserve"> 2022</w:t>
            </w:r>
            <w:r>
              <w:rPr>
                <w:rFonts w:ascii="Arial Unicode MS" w:eastAsia="Arial Unicode MS" w:hAnsi="Arial Unicode MS" w:cs="Arial Unicode MS"/>
                <w:sz w:val="16"/>
                <w:szCs w:val="16"/>
              </w:rPr>
              <w:br/>
            </w:r>
          </w:p>
          <w:p w14:paraId="7D944CCC"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D7244" w:rsidRPr="00665EC9" w14:paraId="18AC2B4F" w14:textId="77777777" w:rsidTr="001D7244">
        <w:trPr>
          <w:trHeight w:val="1045"/>
        </w:trPr>
        <w:tc>
          <w:tcPr>
            <w:tcW w:w="9629" w:type="dxa"/>
          </w:tcPr>
          <w:p w14:paraId="38E2BEE1" w14:textId="77777777" w:rsidR="00C737CE" w:rsidRPr="00665EC9"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DC19567" w14:textId="77777777" w:rsidR="00C737CE" w:rsidRPr="00665EC9"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sz w:val="22"/>
                <w:szCs w:val="22"/>
              </w:rPr>
              <w:t>CASE NO: 32944/2022</w:t>
            </w:r>
          </w:p>
          <w:p w14:paraId="368D7E30" w14:textId="77777777" w:rsidR="00C737CE" w:rsidRPr="00665EC9"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p>
          <w:p w14:paraId="6D2ED552" w14:textId="77777777" w:rsidR="00C737CE" w:rsidRPr="00665EC9"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p>
          <w:p w14:paraId="38BA9B7B" w14:textId="77777777" w:rsidR="00C737CE" w:rsidRPr="00665EC9"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p>
          <w:p w14:paraId="69EB9EB7" w14:textId="64A8D6DD" w:rsidR="00C737CE" w:rsidRDefault="00C737CE"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65EC9">
              <w:rPr>
                <w:rFonts w:ascii="Arial" w:hAnsi="Arial" w:cs="Arial"/>
                <w:sz w:val="22"/>
                <w:szCs w:val="22"/>
              </w:rPr>
              <w:t>In the application between:</w:t>
            </w:r>
          </w:p>
          <w:p w14:paraId="3C47D3F2" w14:textId="77777777" w:rsidR="00B2164A" w:rsidRDefault="00B2164A"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2A261C3" w14:textId="6A8D5320" w:rsidR="00B2164A" w:rsidRDefault="00B2164A" w:rsidP="00AE50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418"/>
            </w:tblGrid>
            <w:tr w:rsidR="00B2164A" w14:paraId="0A76B359" w14:textId="77777777" w:rsidTr="00B2164A">
              <w:tc>
                <w:tcPr>
                  <w:tcW w:w="5985" w:type="dxa"/>
                </w:tcPr>
                <w:p w14:paraId="5BAE4E7E" w14:textId="7620590F" w:rsidR="00B2164A" w:rsidRPr="00B2164A" w:rsidRDefault="00B2164A" w:rsidP="00B2164A">
                  <w:pPr>
                    <w:spacing w:before="120" w:after="120"/>
                    <w:jc w:val="both"/>
                    <w:rPr>
                      <w:rFonts w:ascii="Arial" w:hAnsi="Arial" w:cs="Arial"/>
                      <w:b/>
                      <w:bCs/>
                      <w:sz w:val="24"/>
                      <w:szCs w:val="24"/>
                    </w:rPr>
                  </w:pPr>
                  <w:r w:rsidRPr="00B2164A">
                    <w:rPr>
                      <w:rFonts w:ascii="Arial" w:hAnsi="Arial" w:cs="Arial"/>
                      <w:b/>
                      <w:bCs/>
                      <w:sz w:val="24"/>
                      <w:szCs w:val="24"/>
                    </w:rPr>
                    <w:t>CHRISTELIKE MAATSKAPLIKE RAAD NOORD (“CMR NORTH”)</w:t>
                  </w:r>
                </w:p>
              </w:tc>
              <w:tc>
                <w:tcPr>
                  <w:tcW w:w="3418" w:type="dxa"/>
                </w:tcPr>
                <w:p w14:paraId="49061C41" w14:textId="446CB2AE"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Applicant</w:t>
                  </w:r>
                </w:p>
              </w:tc>
            </w:tr>
            <w:tr w:rsidR="00B2164A" w14:paraId="16B65146" w14:textId="77777777" w:rsidTr="00B2164A">
              <w:tc>
                <w:tcPr>
                  <w:tcW w:w="5985" w:type="dxa"/>
                </w:tcPr>
                <w:p w14:paraId="06CB069F" w14:textId="544D061E" w:rsidR="00B2164A" w:rsidRPr="00B2164A" w:rsidRDefault="00B2164A" w:rsidP="00B2164A">
                  <w:pPr>
                    <w:spacing w:before="120" w:after="120" w:line="360" w:lineRule="auto"/>
                    <w:jc w:val="both"/>
                    <w:rPr>
                      <w:rFonts w:ascii="Arial" w:hAnsi="Arial" w:cs="Arial"/>
                      <w:b/>
                      <w:bCs/>
                      <w:sz w:val="24"/>
                      <w:szCs w:val="24"/>
                    </w:rPr>
                  </w:pPr>
                  <w:r w:rsidRPr="00B2164A">
                    <w:rPr>
                      <w:rFonts w:ascii="Arial" w:hAnsi="Arial" w:cs="Arial"/>
                      <w:b/>
                      <w:bCs/>
                      <w:sz w:val="24"/>
                      <w:szCs w:val="24"/>
                    </w:rPr>
                    <w:t>and</w:t>
                  </w:r>
                </w:p>
              </w:tc>
              <w:tc>
                <w:tcPr>
                  <w:tcW w:w="3418" w:type="dxa"/>
                </w:tcPr>
                <w:p w14:paraId="35C9B876" w14:textId="77777777" w:rsidR="00B2164A" w:rsidRDefault="00B2164A" w:rsidP="00B2164A">
                  <w:pPr>
                    <w:spacing w:before="120" w:after="120" w:line="360" w:lineRule="auto"/>
                    <w:jc w:val="right"/>
                    <w:rPr>
                      <w:rFonts w:ascii="Arial" w:hAnsi="Arial" w:cs="Arial"/>
                      <w:sz w:val="22"/>
                      <w:szCs w:val="22"/>
                    </w:rPr>
                  </w:pPr>
                </w:p>
              </w:tc>
            </w:tr>
            <w:tr w:rsidR="00B2164A" w14:paraId="4D10FD71" w14:textId="77777777" w:rsidTr="00B2164A">
              <w:tc>
                <w:tcPr>
                  <w:tcW w:w="5985" w:type="dxa"/>
                </w:tcPr>
                <w:p w14:paraId="6B58AC11" w14:textId="36C19521" w:rsidR="00B2164A" w:rsidRPr="00B2164A" w:rsidRDefault="00B2164A" w:rsidP="00B2164A">
                  <w:pPr>
                    <w:spacing w:before="120" w:after="120" w:line="360" w:lineRule="auto"/>
                    <w:jc w:val="both"/>
                    <w:rPr>
                      <w:rFonts w:ascii="Arial" w:hAnsi="Arial" w:cs="Arial"/>
                      <w:b/>
                      <w:bCs/>
                      <w:sz w:val="24"/>
                      <w:szCs w:val="24"/>
                    </w:rPr>
                  </w:pPr>
                  <w:r w:rsidRPr="00B2164A">
                    <w:rPr>
                      <w:rFonts w:ascii="Arial" w:hAnsi="Arial" w:cs="Arial"/>
                      <w:b/>
                      <w:bCs/>
                      <w:sz w:val="24"/>
                      <w:szCs w:val="24"/>
                    </w:rPr>
                    <w:t>DEPARTMENT OF SOCIAL DEVELOPMENT</w:t>
                  </w:r>
                </w:p>
              </w:tc>
              <w:tc>
                <w:tcPr>
                  <w:tcW w:w="3418" w:type="dxa"/>
                </w:tcPr>
                <w:p w14:paraId="43CDE683" w14:textId="5CBC3CA0"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First Respondent</w:t>
                  </w:r>
                </w:p>
              </w:tc>
            </w:tr>
            <w:tr w:rsidR="00B2164A" w14:paraId="04D83A4F" w14:textId="77777777" w:rsidTr="00B2164A">
              <w:tc>
                <w:tcPr>
                  <w:tcW w:w="5985" w:type="dxa"/>
                </w:tcPr>
                <w:p w14:paraId="1FD7A754" w14:textId="443FF5D3" w:rsidR="00B2164A" w:rsidRPr="00B2164A" w:rsidRDefault="00B2164A" w:rsidP="00B2164A">
                  <w:pPr>
                    <w:spacing w:before="120" w:after="120"/>
                    <w:jc w:val="both"/>
                    <w:rPr>
                      <w:rFonts w:ascii="Arial" w:hAnsi="Arial" w:cs="Arial"/>
                      <w:b/>
                      <w:bCs/>
                      <w:sz w:val="24"/>
                      <w:szCs w:val="24"/>
                    </w:rPr>
                  </w:pPr>
                  <w:r w:rsidRPr="00B2164A">
                    <w:rPr>
                      <w:rFonts w:ascii="Arial" w:hAnsi="Arial" w:cs="Arial"/>
                      <w:b/>
                      <w:bCs/>
                      <w:sz w:val="24"/>
                      <w:szCs w:val="24"/>
                    </w:rPr>
                    <w:t>MEC FOR THE GAUTENG DEPARTMENT OF SOCIAL DEVELOPMENT</w:t>
                  </w:r>
                </w:p>
              </w:tc>
              <w:tc>
                <w:tcPr>
                  <w:tcW w:w="3418" w:type="dxa"/>
                </w:tcPr>
                <w:p w14:paraId="2F3AFBBC" w14:textId="2650A2CF"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Second Respondent</w:t>
                  </w:r>
                </w:p>
              </w:tc>
            </w:tr>
            <w:tr w:rsidR="00B2164A" w14:paraId="2B543B6D" w14:textId="77777777" w:rsidTr="00B2164A">
              <w:tc>
                <w:tcPr>
                  <w:tcW w:w="5985" w:type="dxa"/>
                </w:tcPr>
                <w:p w14:paraId="7641A876" w14:textId="445C2597" w:rsidR="00B2164A" w:rsidRPr="00B2164A" w:rsidRDefault="00B2164A" w:rsidP="00B2164A">
                  <w:pPr>
                    <w:spacing w:before="120" w:after="120"/>
                    <w:jc w:val="both"/>
                    <w:rPr>
                      <w:rFonts w:ascii="Arial" w:hAnsi="Arial" w:cs="Arial"/>
                      <w:b/>
                      <w:bCs/>
                      <w:sz w:val="24"/>
                      <w:szCs w:val="24"/>
                    </w:rPr>
                  </w:pPr>
                  <w:r w:rsidRPr="00B2164A">
                    <w:rPr>
                      <w:rFonts w:ascii="Arial" w:hAnsi="Arial" w:cs="Arial"/>
                      <w:b/>
                      <w:bCs/>
                      <w:sz w:val="24"/>
                      <w:szCs w:val="24"/>
                    </w:rPr>
                    <w:t>DIRECTOR-GENERAL, DEPARTMENT OF SOCIAL DEVELOPMENT</w:t>
                  </w:r>
                </w:p>
              </w:tc>
              <w:tc>
                <w:tcPr>
                  <w:tcW w:w="3418" w:type="dxa"/>
                </w:tcPr>
                <w:p w14:paraId="4FE8A6CF" w14:textId="36E6E222"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Third Respondent</w:t>
                  </w:r>
                </w:p>
              </w:tc>
            </w:tr>
            <w:tr w:rsidR="00B2164A" w14:paraId="027C13BB" w14:textId="77777777" w:rsidTr="00B2164A">
              <w:tc>
                <w:tcPr>
                  <w:tcW w:w="5985" w:type="dxa"/>
                </w:tcPr>
                <w:p w14:paraId="59789179" w14:textId="1F7E5BBF" w:rsidR="00B2164A" w:rsidRPr="00B2164A" w:rsidRDefault="00B2164A" w:rsidP="00B2164A">
                  <w:pPr>
                    <w:spacing w:before="120" w:after="120"/>
                    <w:jc w:val="both"/>
                    <w:rPr>
                      <w:rFonts w:ascii="Arial" w:hAnsi="Arial" w:cs="Arial"/>
                      <w:b/>
                      <w:bCs/>
                      <w:sz w:val="24"/>
                      <w:szCs w:val="24"/>
                    </w:rPr>
                  </w:pPr>
                  <w:r w:rsidRPr="00B2164A">
                    <w:rPr>
                      <w:rFonts w:ascii="Arial" w:hAnsi="Arial" w:cs="Arial"/>
                      <w:b/>
                      <w:bCs/>
                      <w:sz w:val="24"/>
                      <w:szCs w:val="24"/>
                    </w:rPr>
                    <w:t>MINISTER OF THE DEPARTMENT OF SOCIAL DEVELOPMENT</w:t>
                  </w:r>
                </w:p>
              </w:tc>
              <w:tc>
                <w:tcPr>
                  <w:tcW w:w="3418" w:type="dxa"/>
                </w:tcPr>
                <w:p w14:paraId="0171B6BD" w14:textId="77F56934"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Fourth Respondent</w:t>
                  </w:r>
                </w:p>
              </w:tc>
            </w:tr>
            <w:tr w:rsidR="00B2164A" w14:paraId="7B1ED122" w14:textId="77777777" w:rsidTr="00B2164A">
              <w:tc>
                <w:tcPr>
                  <w:tcW w:w="5985" w:type="dxa"/>
                </w:tcPr>
                <w:p w14:paraId="6D0DA0B5" w14:textId="76669B58" w:rsidR="00B2164A" w:rsidRPr="00B2164A" w:rsidRDefault="00B2164A" w:rsidP="00B2164A">
                  <w:pPr>
                    <w:spacing w:before="120" w:after="120" w:line="360" w:lineRule="auto"/>
                    <w:jc w:val="both"/>
                    <w:rPr>
                      <w:rFonts w:ascii="Arial" w:hAnsi="Arial" w:cs="Arial"/>
                      <w:b/>
                      <w:bCs/>
                      <w:sz w:val="24"/>
                      <w:szCs w:val="24"/>
                    </w:rPr>
                  </w:pPr>
                  <w:r w:rsidRPr="00B2164A">
                    <w:rPr>
                      <w:rFonts w:ascii="Arial" w:hAnsi="Arial" w:cs="Arial"/>
                      <w:b/>
                      <w:bCs/>
                      <w:sz w:val="24"/>
                      <w:szCs w:val="24"/>
                    </w:rPr>
                    <w:t>VARIOUS INTERVENING PARTIES</w:t>
                  </w:r>
                </w:p>
              </w:tc>
              <w:tc>
                <w:tcPr>
                  <w:tcW w:w="3418" w:type="dxa"/>
                </w:tcPr>
                <w:p w14:paraId="3EDB38CC" w14:textId="52195065" w:rsidR="00B2164A" w:rsidRDefault="00B2164A" w:rsidP="00B2164A">
                  <w:pPr>
                    <w:spacing w:before="120" w:after="120" w:line="360" w:lineRule="auto"/>
                    <w:jc w:val="right"/>
                    <w:rPr>
                      <w:rFonts w:ascii="Arial" w:hAnsi="Arial" w:cs="Arial"/>
                      <w:sz w:val="22"/>
                      <w:szCs w:val="22"/>
                    </w:rPr>
                  </w:pPr>
                  <w:r>
                    <w:rPr>
                      <w:rFonts w:ascii="Arial" w:hAnsi="Arial" w:cs="Arial"/>
                      <w:sz w:val="22"/>
                      <w:szCs w:val="22"/>
                    </w:rPr>
                    <w:t>Amici Curiae</w:t>
                  </w:r>
                </w:p>
              </w:tc>
            </w:tr>
          </w:tbl>
          <w:p w14:paraId="4289EA47" w14:textId="77777777" w:rsidR="00C737CE" w:rsidRPr="00665EC9" w:rsidRDefault="00C737CE"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rsidRPr="00665EC9" w14:paraId="1A0E73F1" w14:textId="77777777" w:rsidTr="00044032">
              <w:tc>
                <w:tcPr>
                  <w:tcW w:w="1790" w:type="dxa"/>
                </w:tcPr>
                <w:p w14:paraId="3FED8F38"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179C20A0" w14:textId="77777777" w:rsidR="001D7244" w:rsidRPr="005D1D30" w:rsidRDefault="001D7244" w:rsidP="00FA2702">
                  <w:pPr>
                    <w:tabs>
                      <w:tab w:val="left" w:pos="1417"/>
                    </w:tabs>
                    <w:spacing w:after="120" w:line="360" w:lineRule="atLeast"/>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Millar J </w:t>
                  </w:r>
                </w:p>
                <w:p w14:paraId="5B9C6653"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665EC9" w14:paraId="228B23B4" w14:textId="77777777" w:rsidTr="00044032">
              <w:tc>
                <w:tcPr>
                  <w:tcW w:w="1790" w:type="dxa"/>
                </w:tcPr>
                <w:p w14:paraId="3782ACB5"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B287286" w14:textId="77777777" w:rsidR="001D7244" w:rsidRPr="005D1D30" w:rsidRDefault="00C737CE" w:rsidP="00FA2702">
                  <w:pPr>
                    <w:spacing w:after="120" w:line="360" w:lineRule="atLeast"/>
                    <w:ind w:left="2268" w:hanging="2268"/>
                    <w:jc w:val="both"/>
                    <w:rPr>
                      <w:rFonts w:ascii="Arial" w:eastAsia="Times New Roman" w:hAnsi="Arial" w:cs="Arial"/>
                      <w:color w:val="000000"/>
                      <w:sz w:val="24"/>
                      <w:szCs w:val="24"/>
                    </w:rPr>
                  </w:pPr>
                  <w:r w:rsidRPr="005D1D30">
                    <w:rPr>
                      <w:rFonts w:ascii="Arial" w:eastAsia="Times New Roman" w:hAnsi="Arial" w:cs="Arial"/>
                      <w:color w:val="000000"/>
                      <w:sz w:val="24"/>
                      <w:szCs w:val="24"/>
                      <w:lang w:val="en-ZA"/>
                    </w:rPr>
                    <w:t>15</w:t>
                  </w:r>
                  <w:r w:rsidR="00044032" w:rsidRPr="005D1D30">
                    <w:rPr>
                      <w:rFonts w:ascii="Arial" w:eastAsia="Times New Roman" w:hAnsi="Arial" w:cs="Arial"/>
                      <w:color w:val="000000"/>
                      <w:sz w:val="24"/>
                      <w:szCs w:val="24"/>
                      <w:lang w:val="en-ZA"/>
                    </w:rPr>
                    <w:t xml:space="preserve"> September</w:t>
                  </w:r>
                  <w:r w:rsidR="00E7487B" w:rsidRPr="005D1D30">
                    <w:rPr>
                      <w:rFonts w:ascii="Arial" w:eastAsia="Times New Roman" w:hAnsi="Arial" w:cs="Arial"/>
                      <w:color w:val="000000"/>
                      <w:sz w:val="24"/>
                      <w:szCs w:val="24"/>
                      <w:lang w:val="en-ZA"/>
                    </w:rPr>
                    <w:t xml:space="preserve"> </w:t>
                  </w:r>
                  <w:r w:rsidR="001D7244" w:rsidRPr="005D1D30">
                    <w:rPr>
                      <w:rFonts w:ascii="Arial" w:eastAsia="Times New Roman" w:hAnsi="Arial" w:cs="Arial"/>
                      <w:color w:val="000000"/>
                      <w:sz w:val="24"/>
                      <w:szCs w:val="24"/>
                      <w:lang w:val="en-ZA"/>
                    </w:rPr>
                    <w:t xml:space="preserve">2022 </w:t>
                  </w:r>
                </w:p>
                <w:p w14:paraId="49BE3F31"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665EC9" w14:paraId="43F73DC2" w14:textId="77777777" w:rsidTr="00044032">
              <w:tc>
                <w:tcPr>
                  <w:tcW w:w="1790" w:type="dxa"/>
                </w:tcPr>
                <w:p w14:paraId="4EE56F41"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52E9F9A9" w14:textId="38EE6C64" w:rsidR="001D7244" w:rsidRDefault="00B418DF" w:rsidP="00FA2702">
                  <w:pPr>
                    <w:tabs>
                      <w:tab w:val="left" w:pos="0"/>
                    </w:tabs>
                    <w:spacing w:after="120" w:line="360" w:lineRule="atLeast"/>
                    <w:ind w:right="37" w:hanging="21"/>
                    <w:jc w:val="both"/>
                    <w:rPr>
                      <w:rFonts w:ascii="Arial" w:eastAsia="Times New Roman" w:hAnsi="Arial" w:cs="Arial"/>
                      <w:color w:val="000000"/>
                      <w:sz w:val="24"/>
                      <w:szCs w:val="24"/>
                      <w:lang w:val="en-ZA"/>
                    </w:rPr>
                  </w:pPr>
                  <w:r w:rsidRPr="005D1D30">
                    <w:rPr>
                      <w:rFonts w:ascii="Arial" w:eastAsia="Times New Roman" w:hAnsi="Arial" w:cs="Arial"/>
                      <w:color w:val="000000"/>
                      <w:sz w:val="24"/>
                      <w:szCs w:val="24"/>
                      <w:lang w:val="en-ZA"/>
                    </w:rPr>
                    <w:t>2</w:t>
                  </w:r>
                  <w:r w:rsidR="00CF1CC9">
                    <w:rPr>
                      <w:rFonts w:ascii="Arial" w:eastAsia="Times New Roman" w:hAnsi="Arial" w:cs="Arial"/>
                      <w:color w:val="000000"/>
                      <w:sz w:val="24"/>
                      <w:szCs w:val="24"/>
                      <w:lang w:val="en-ZA"/>
                    </w:rPr>
                    <w:t>0</w:t>
                  </w:r>
                  <w:r w:rsidR="009A1938" w:rsidRPr="005D1D30">
                    <w:rPr>
                      <w:rFonts w:ascii="Arial" w:eastAsia="Times New Roman" w:hAnsi="Arial" w:cs="Arial"/>
                      <w:color w:val="000000"/>
                      <w:sz w:val="24"/>
                      <w:szCs w:val="24"/>
                      <w:lang w:val="en-ZA"/>
                    </w:rPr>
                    <w:t xml:space="preserve"> October</w:t>
                  </w:r>
                  <w:r w:rsidR="001D7244" w:rsidRPr="005D1D30">
                    <w:rPr>
                      <w:rFonts w:ascii="Arial" w:eastAsia="Times New Roman" w:hAnsi="Arial" w:cs="Arial"/>
                      <w:color w:val="000000"/>
                      <w:sz w:val="24"/>
                      <w:szCs w:val="24"/>
                      <w:lang w:val="en-ZA"/>
                    </w:rPr>
                    <w:t xml:space="preserve"> 2022 - This judgment was handed down electronically by circulation to the parties' representatives by email, by being uploaded to the </w:t>
                  </w:r>
                  <w:r w:rsidR="001D7244" w:rsidRPr="005D1D30">
                    <w:rPr>
                      <w:rFonts w:ascii="Arial" w:eastAsia="Times New Roman" w:hAnsi="Arial" w:cs="Arial"/>
                      <w:i/>
                      <w:iCs/>
                      <w:color w:val="000000"/>
                      <w:sz w:val="24"/>
                      <w:szCs w:val="24"/>
                      <w:lang w:val="en-ZA"/>
                    </w:rPr>
                    <w:t>CaseLines</w:t>
                  </w:r>
                  <w:r w:rsidR="001D7244" w:rsidRPr="005D1D30">
                    <w:rPr>
                      <w:rFonts w:ascii="Arial" w:eastAsia="Times New Roman" w:hAnsi="Arial" w:cs="Arial"/>
                      <w:color w:val="000000"/>
                      <w:sz w:val="24"/>
                      <w:szCs w:val="24"/>
                      <w:lang w:val="en-ZA"/>
                    </w:rPr>
                    <w:t xml:space="preserve"> system of the GD and by release to SAFLII. The date and time for hand-down is deemed to be </w:t>
                  </w:r>
                  <w:r w:rsidR="00A554C6" w:rsidRPr="005D1D30">
                    <w:rPr>
                      <w:rFonts w:ascii="Arial" w:eastAsia="Times New Roman" w:hAnsi="Arial" w:cs="Arial"/>
                      <w:color w:val="000000"/>
                      <w:sz w:val="24"/>
                      <w:szCs w:val="24"/>
                      <w:lang w:val="en-ZA"/>
                    </w:rPr>
                    <w:t>1</w:t>
                  </w:r>
                  <w:r w:rsidR="003E4DBA" w:rsidRPr="005D1D30">
                    <w:rPr>
                      <w:rFonts w:ascii="Arial" w:eastAsia="Times New Roman" w:hAnsi="Arial" w:cs="Arial"/>
                      <w:color w:val="000000"/>
                      <w:sz w:val="24"/>
                      <w:szCs w:val="24"/>
                      <w:lang w:val="en-ZA"/>
                    </w:rPr>
                    <w:t>4</w:t>
                  </w:r>
                  <w:r w:rsidR="001D7244" w:rsidRPr="005D1D30">
                    <w:rPr>
                      <w:rFonts w:ascii="Arial" w:eastAsia="Times New Roman" w:hAnsi="Arial" w:cs="Arial"/>
                      <w:color w:val="000000"/>
                      <w:sz w:val="24"/>
                      <w:szCs w:val="24"/>
                      <w:lang w:val="en-ZA"/>
                    </w:rPr>
                    <w:t>H</w:t>
                  </w:r>
                  <w:r w:rsidR="00A554C6" w:rsidRPr="005D1D30">
                    <w:rPr>
                      <w:rFonts w:ascii="Arial" w:eastAsia="Times New Roman" w:hAnsi="Arial" w:cs="Arial"/>
                      <w:color w:val="000000"/>
                      <w:sz w:val="24"/>
                      <w:szCs w:val="24"/>
                      <w:lang w:val="en-ZA"/>
                    </w:rPr>
                    <w:t>0</w:t>
                  </w:r>
                  <w:r w:rsidR="00110539" w:rsidRPr="005D1D30">
                    <w:rPr>
                      <w:rFonts w:ascii="Arial" w:eastAsia="Times New Roman" w:hAnsi="Arial" w:cs="Arial"/>
                      <w:color w:val="000000"/>
                      <w:sz w:val="24"/>
                      <w:szCs w:val="24"/>
                      <w:lang w:val="en-ZA"/>
                    </w:rPr>
                    <w:t>0</w:t>
                  </w:r>
                  <w:r w:rsidR="001D7244" w:rsidRPr="005D1D30">
                    <w:rPr>
                      <w:rFonts w:ascii="Arial" w:eastAsia="Times New Roman" w:hAnsi="Arial" w:cs="Arial"/>
                      <w:color w:val="000000"/>
                      <w:sz w:val="24"/>
                      <w:szCs w:val="24"/>
                      <w:lang w:val="en-ZA"/>
                    </w:rPr>
                    <w:t xml:space="preserve"> on</w:t>
                  </w:r>
                  <w:r w:rsidR="009A1938" w:rsidRPr="005D1D30">
                    <w:rPr>
                      <w:rFonts w:ascii="Arial" w:eastAsia="Times New Roman" w:hAnsi="Arial" w:cs="Arial"/>
                      <w:color w:val="000000"/>
                      <w:sz w:val="24"/>
                      <w:szCs w:val="24"/>
                      <w:lang w:val="en-ZA"/>
                    </w:rPr>
                    <w:t xml:space="preserve"> </w:t>
                  </w:r>
                  <w:r w:rsidRPr="005D1D30">
                    <w:rPr>
                      <w:rFonts w:ascii="Arial" w:eastAsia="Times New Roman" w:hAnsi="Arial" w:cs="Arial"/>
                      <w:color w:val="000000"/>
                      <w:sz w:val="24"/>
                      <w:szCs w:val="24"/>
                      <w:lang w:val="en-ZA"/>
                    </w:rPr>
                    <w:t>2</w:t>
                  </w:r>
                  <w:r w:rsidR="00CF1CC9">
                    <w:rPr>
                      <w:rFonts w:ascii="Arial" w:eastAsia="Times New Roman" w:hAnsi="Arial" w:cs="Arial"/>
                      <w:color w:val="000000"/>
                      <w:sz w:val="24"/>
                      <w:szCs w:val="24"/>
                      <w:lang w:val="en-ZA"/>
                    </w:rPr>
                    <w:t>0</w:t>
                  </w:r>
                  <w:r w:rsidR="009A1938" w:rsidRPr="005D1D30">
                    <w:rPr>
                      <w:rFonts w:ascii="Arial" w:eastAsia="Times New Roman" w:hAnsi="Arial" w:cs="Arial"/>
                      <w:color w:val="000000"/>
                      <w:sz w:val="24"/>
                      <w:szCs w:val="24"/>
                      <w:lang w:val="en-ZA"/>
                    </w:rPr>
                    <w:t xml:space="preserve"> October 2022</w:t>
                  </w:r>
                  <w:r w:rsidR="001D7244" w:rsidRPr="005D1D30">
                    <w:rPr>
                      <w:rFonts w:ascii="Arial" w:eastAsia="Times New Roman" w:hAnsi="Arial" w:cs="Arial"/>
                      <w:color w:val="000000"/>
                      <w:sz w:val="24"/>
                      <w:szCs w:val="24"/>
                      <w:lang w:val="en-ZA"/>
                    </w:rPr>
                    <w:t>.</w:t>
                  </w:r>
                </w:p>
                <w:p w14:paraId="751BBB8E" w14:textId="77777777" w:rsidR="001D7244" w:rsidRPr="005D1D30"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7F090906" w14:textId="77777777" w:rsidR="001D7244" w:rsidRPr="00665EC9"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2B730B58" w14:textId="719F296F" w:rsidR="0003162D" w:rsidRPr="00105DEC" w:rsidRDefault="0003162D" w:rsidP="0003162D">
      <w:pPr>
        <w:spacing w:after="240" w:line="360" w:lineRule="auto"/>
        <w:ind w:left="142"/>
        <w:jc w:val="both"/>
        <w:rPr>
          <w:rFonts w:ascii="Arial" w:hAnsi="Arial" w:cs="Arial"/>
        </w:rPr>
      </w:pPr>
      <w:r w:rsidRPr="00651605">
        <w:rPr>
          <w:rFonts w:ascii="Arial" w:hAnsi="Arial" w:cs="Arial"/>
          <w:b/>
          <w:bCs/>
          <w:lang w:val="en-ZA"/>
        </w:rPr>
        <w:lastRenderedPageBreak/>
        <w:t>Summary:</w:t>
      </w:r>
      <w:r w:rsidR="00105DEC">
        <w:rPr>
          <w:rFonts w:ascii="Arial" w:hAnsi="Arial" w:cs="Arial"/>
          <w:b/>
          <w:bCs/>
          <w:lang w:val="en-ZA"/>
        </w:rPr>
        <w:tab/>
      </w:r>
      <w:r w:rsidR="00105DEC">
        <w:rPr>
          <w:rFonts w:ascii="Arial" w:hAnsi="Arial" w:cs="Arial"/>
          <w:b/>
          <w:bCs/>
          <w:lang w:val="en-ZA"/>
        </w:rPr>
        <w:tab/>
      </w:r>
      <w:r w:rsidR="00105DEC">
        <w:rPr>
          <w:rFonts w:ascii="Arial" w:hAnsi="Arial" w:cs="Arial"/>
          <w:lang w:val="en-ZA"/>
        </w:rPr>
        <w:t xml:space="preserve">Application to set aside decision to withdraw Child Protection </w:t>
      </w:r>
      <w:r w:rsidR="00CF1CC9">
        <w:rPr>
          <w:rFonts w:ascii="Arial" w:hAnsi="Arial" w:cs="Arial"/>
          <w:lang w:val="en-ZA"/>
        </w:rPr>
        <w:t>Organization d</w:t>
      </w:r>
      <w:r w:rsidR="00105DEC">
        <w:rPr>
          <w:rFonts w:ascii="Arial" w:hAnsi="Arial" w:cs="Arial"/>
          <w:lang w:val="en-ZA"/>
        </w:rPr>
        <w:t xml:space="preserve">esignation in terms of </w:t>
      </w:r>
      <w:r w:rsidR="00CF1CC9">
        <w:rPr>
          <w:rFonts w:ascii="Arial" w:hAnsi="Arial" w:cs="Arial"/>
          <w:lang w:val="en-ZA"/>
        </w:rPr>
        <w:t xml:space="preserve">section 107 of the </w:t>
      </w:r>
      <w:r w:rsidR="00105DEC">
        <w:rPr>
          <w:rFonts w:ascii="Arial" w:hAnsi="Arial" w:cs="Arial"/>
          <w:lang w:val="en-ZA"/>
        </w:rPr>
        <w:t xml:space="preserve">Children’s Act 38 of 2005 – decision </w:t>
      </w:r>
      <w:r w:rsidR="008D5E05">
        <w:rPr>
          <w:rFonts w:ascii="Arial" w:hAnsi="Arial" w:cs="Arial"/>
          <w:lang w:val="en-ZA"/>
        </w:rPr>
        <w:t>taken based on a deliberate and self-serving misinterpretation of letter withdrawing from subsidized services</w:t>
      </w:r>
      <w:r w:rsidR="00645537">
        <w:rPr>
          <w:rFonts w:ascii="Arial" w:hAnsi="Arial" w:cs="Arial"/>
          <w:lang w:val="en-ZA"/>
        </w:rPr>
        <w:t xml:space="preserve"> once subsidy withdrawn – clear indication in letter to  continue with other services - </w:t>
      </w:r>
      <w:r w:rsidR="008D5E05">
        <w:rPr>
          <w:rFonts w:ascii="Arial" w:hAnsi="Arial" w:cs="Arial"/>
          <w:lang w:val="en-ZA"/>
        </w:rPr>
        <w:t xml:space="preserve"> </w:t>
      </w:r>
      <w:r w:rsidR="00CF1CC9">
        <w:rPr>
          <w:rFonts w:ascii="Arial" w:hAnsi="Arial" w:cs="Arial"/>
          <w:lang w:val="en-ZA"/>
        </w:rPr>
        <w:t xml:space="preserve"> </w:t>
      </w:r>
      <w:r w:rsidR="00645537">
        <w:rPr>
          <w:rFonts w:ascii="Arial" w:hAnsi="Arial" w:cs="Arial"/>
          <w:lang w:val="en-ZA"/>
        </w:rPr>
        <w:t xml:space="preserve">complaints about service - </w:t>
      </w:r>
      <w:r w:rsidR="00CF1CC9">
        <w:rPr>
          <w:rFonts w:ascii="Arial" w:hAnsi="Arial" w:cs="Arial"/>
          <w:lang w:val="en-ZA"/>
        </w:rPr>
        <w:t xml:space="preserve">failure to conduct a proper investigation or to follow a fair process </w:t>
      </w:r>
      <w:r w:rsidR="008D5E05">
        <w:rPr>
          <w:rFonts w:ascii="Arial" w:hAnsi="Arial" w:cs="Arial"/>
          <w:lang w:val="en-ZA"/>
        </w:rPr>
        <w:t xml:space="preserve">– </w:t>
      </w:r>
      <w:r w:rsidR="00CF1CC9">
        <w:rPr>
          <w:rFonts w:ascii="Arial" w:hAnsi="Arial" w:cs="Arial"/>
          <w:lang w:val="en-ZA"/>
        </w:rPr>
        <w:t xml:space="preserve">Promotion of Administrative Justice Act 38 of 2000 – </w:t>
      </w:r>
      <w:r w:rsidR="008D5E05">
        <w:rPr>
          <w:rFonts w:ascii="Arial" w:hAnsi="Arial" w:cs="Arial"/>
          <w:lang w:val="en-ZA"/>
        </w:rPr>
        <w:t>decision review</w:t>
      </w:r>
      <w:r w:rsidR="00CF1CC9">
        <w:rPr>
          <w:rFonts w:ascii="Arial" w:hAnsi="Arial" w:cs="Arial"/>
          <w:lang w:val="en-ZA"/>
        </w:rPr>
        <w:t>able under sections 6(2)(c), 6(2)(e)(ii) &amp; (iv) – (vi),</w:t>
      </w:r>
      <w:r w:rsidR="008D5E05">
        <w:rPr>
          <w:rFonts w:ascii="Arial" w:hAnsi="Arial" w:cs="Arial"/>
          <w:lang w:val="en-ZA"/>
        </w:rPr>
        <w:t xml:space="preserve"> </w:t>
      </w:r>
      <w:r w:rsidR="00CF1CC9">
        <w:rPr>
          <w:rFonts w:ascii="Arial" w:hAnsi="Arial" w:cs="Arial"/>
          <w:lang w:val="en-ZA"/>
        </w:rPr>
        <w:t xml:space="preserve"> decision reviewed and set aside and Applicants designation reinstated with punitive costs.</w:t>
      </w:r>
    </w:p>
    <w:p w14:paraId="77870908" w14:textId="77777777" w:rsidR="0003162D" w:rsidRPr="0003162D" w:rsidRDefault="0003162D" w:rsidP="0003162D">
      <w:pPr>
        <w:pStyle w:val="LegalTramLines"/>
        <w:spacing w:after="240"/>
        <w:rPr>
          <w:b w:val="0"/>
          <w:bCs/>
          <w:sz w:val="28"/>
          <w:szCs w:val="28"/>
        </w:rPr>
      </w:pPr>
      <w:r w:rsidRPr="0003162D">
        <w:rPr>
          <w:b w:val="0"/>
          <w:bCs/>
          <w:sz w:val="28"/>
          <w:szCs w:val="28"/>
        </w:rPr>
        <w:t>ORDER</w:t>
      </w:r>
    </w:p>
    <w:p w14:paraId="38E26F0C" w14:textId="77777777" w:rsidR="0003162D" w:rsidRDefault="0003162D" w:rsidP="0003162D">
      <w:pPr>
        <w:pStyle w:val="Body"/>
        <w:spacing w:line="360" w:lineRule="auto"/>
        <w:jc w:val="both"/>
        <w:rPr>
          <w:bCs/>
          <w:sz w:val="24"/>
          <w:szCs w:val="24"/>
        </w:rPr>
      </w:pPr>
    </w:p>
    <w:p w14:paraId="104F632B" w14:textId="35579819" w:rsidR="0003162D" w:rsidRDefault="0003162D" w:rsidP="0003162D">
      <w:pPr>
        <w:pStyle w:val="Body"/>
        <w:spacing w:line="360" w:lineRule="auto"/>
        <w:jc w:val="both"/>
        <w:rPr>
          <w:bCs/>
          <w:sz w:val="24"/>
          <w:szCs w:val="24"/>
        </w:rPr>
      </w:pPr>
      <w:r>
        <w:rPr>
          <w:bCs/>
          <w:sz w:val="24"/>
          <w:szCs w:val="24"/>
        </w:rPr>
        <w:t xml:space="preserve">It is </w:t>
      </w:r>
      <w:r w:rsidR="00CF1CC9">
        <w:rPr>
          <w:bCs/>
          <w:sz w:val="24"/>
          <w:szCs w:val="24"/>
        </w:rPr>
        <w:t>ordered: -</w:t>
      </w:r>
    </w:p>
    <w:p w14:paraId="10CC12CD" w14:textId="77777777" w:rsidR="0003162D" w:rsidRDefault="0003162D" w:rsidP="0003162D">
      <w:pPr>
        <w:pStyle w:val="Body"/>
        <w:spacing w:line="360" w:lineRule="auto"/>
        <w:jc w:val="both"/>
        <w:rPr>
          <w:bCs/>
          <w:sz w:val="24"/>
          <w:szCs w:val="24"/>
        </w:rPr>
      </w:pPr>
    </w:p>
    <w:p w14:paraId="4BD575AF" w14:textId="0A492723" w:rsidR="0003162D" w:rsidRDefault="00F67663" w:rsidP="00F67663">
      <w:pPr>
        <w:pStyle w:val="Body"/>
        <w:spacing w:line="360" w:lineRule="auto"/>
        <w:ind w:left="851" w:hanging="851"/>
        <w:jc w:val="both"/>
        <w:rPr>
          <w:bCs/>
          <w:sz w:val="24"/>
          <w:szCs w:val="24"/>
        </w:rPr>
      </w:pPr>
      <w:r>
        <w:rPr>
          <w:bCs/>
          <w:sz w:val="24"/>
          <w:szCs w:val="24"/>
        </w:rPr>
        <w:t>1.</w:t>
      </w:r>
      <w:r>
        <w:rPr>
          <w:bCs/>
          <w:sz w:val="24"/>
          <w:szCs w:val="24"/>
        </w:rPr>
        <w:tab/>
      </w:r>
      <w:r w:rsidR="0003162D">
        <w:rPr>
          <w:bCs/>
          <w:sz w:val="24"/>
          <w:szCs w:val="24"/>
        </w:rPr>
        <w:t>The decision of the First Respondent on 6 June 2022 to withdraw the Applicants designation as a Child Protection Organisation in terms of the Children’s Act 38 of 2005 is declared to be unlawful.</w:t>
      </w:r>
    </w:p>
    <w:p w14:paraId="339BA6DA" w14:textId="77777777" w:rsidR="0003162D" w:rsidRDefault="0003162D" w:rsidP="0003162D">
      <w:pPr>
        <w:pStyle w:val="Body"/>
        <w:spacing w:line="360" w:lineRule="auto"/>
        <w:ind w:left="851" w:hanging="851"/>
        <w:jc w:val="both"/>
        <w:rPr>
          <w:bCs/>
          <w:sz w:val="24"/>
          <w:szCs w:val="24"/>
        </w:rPr>
      </w:pPr>
    </w:p>
    <w:p w14:paraId="23FD91F8" w14:textId="4D066B24" w:rsidR="0003162D" w:rsidRDefault="00F67663" w:rsidP="00F67663">
      <w:pPr>
        <w:pStyle w:val="Body"/>
        <w:spacing w:line="360" w:lineRule="auto"/>
        <w:ind w:left="851" w:hanging="851"/>
        <w:jc w:val="both"/>
        <w:rPr>
          <w:bCs/>
          <w:sz w:val="24"/>
          <w:szCs w:val="24"/>
        </w:rPr>
      </w:pPr>
      <w:r>
        <w:rPr>
          <w:bCs/>
          <w:sz w:val="24"/>
          <w:szCs w:val="24"/>
        </w:rPr>
        <w:t>2.</w:t>
      </w:r>
      <w:r>
        <w:rPr>
          <w:bCs/>
          <w:sz w:val="24"/>
          <w:szCs w:val="24"/>
        </w:rPr>
        <w:tab/>
      </w:r>
      <w:r w:rsidR="0003162D" w:rsidRPr="0003162D">
        <w:rPr>
          <w:bCs/>
          <w:sz w:val="24"/>
          <w:szCs w:val="24"/>
        </w:rPr>
        <w:t>The decision of 6 June 2022 is hereby reviewed and set aside.</w:t>
      </w:r>
    </w:p>
    <w:p w14:paraId="51D5A8E1" w14:textId="77777777" w:rsidR="0003162D" w:rsidRDefault="0003162D" w:rsidP="0003162D">
      <w:pPr>
        <w:pStyle w:val="ListParagraph"/>
        <w:spacing w:line="360" w:lineRule="auto"/>
        <w:ind w:left="851" w:hanging="851"/>
        <w:rPr>
          <w:bCs/>
        </w:rPr>
      </w:pPr>
    </w:p>
    <w:p w14:paraId="2957939F" w14:textId="4FF6E044" w:rsidR="0003162D" w:rsidRDefault="00F67663" w:rsidP="00F67663">
      <w:pPr>
        <w:pStyle w:val="Body"/>
        <w:spacing w:line="360" w:lineRule="auto"/>
        <w:ind w:left="851" w:hanging="851"/>
        <w:jc w:val="both"/>
        <w:rPr>
          <w:bCs/>
          <w:sz w:val="24"/>
          <w:szCs w:val="24"/>
        </w:rPr>
      </w:pPr>
      <w:r>
        <w:rPr>
          <w:bCs/>
          <w:sz w:val="24"/>
          <w:szCs w:val="24"/>
        </w:rPr>
        <w:lastRenderedPageBreak/>
        <w:t>3.</w:t>
      </w:r>
      <w:r>
        <w:rPr>
          <w:bCs/>
          <w:sz w:val="24"/>
          <w:szCs w:val="24"/>
        </w:rPr>
        <w:tab/>
      </w:r>
      <w:r w:rsidR="0003162D" w:rsidRPr="0003162D">
        <w:rPr>
          <w:bCs/>
          <w:sz w:val="24"/>
          <w:szCs w:val="24"/>
        </w:rPr>
        <w:t>The Applicant’s status as a Child Protection Organization, duly designated in terms of section 107 of the Children’s Act 38 of 2005 is hereby reinstated.</w:t>
      </w:r>
    </w:p>
    <w:p w14:paraId="1FC6FA9A" w14:textId="77777777" w:rsidR="0003162D" w:rsidRDefault="0003162D" w:rsidP="0003162D">
      <w:pPr>
        <w:pStyle w:val="ListParagraph"/>
        <w:spacing w:line="360" w:lineRule="auto"/>
        <w:ind w:left="851" w:hanging="851"/>
        <w:rPr>
          <w:bCs/>
        </w:rPr>
      </w:pPr>
    </w:p>
    <w:p w14:paraId="1B887731" w14:textId="74287AAB" w:rsidR="0003162D" w:rsidRDefault="00F67663" w:rsidP="00F67663">
      <w:pPr>
        <w:pStyle w:val="Body"/>
        <w:spacing w:line="360" w:lineRule="auto"/>
        <w:ind w:left="851" w:hanging="851"/>
        <w:jc w:val="both"/>
        <w:rPr>
          <w:bCs/>
          <w:sz w:val="24"/>
          <w:szCs w:val="24"/>
        </w:rPr>
      </w:pPr>
      <w:r>
        <w:rPr>
          <w:bCs/>
          <w:sz w:val="24"/>
          <w:szCs w:val="24"/>
        </w:rPr>
        <w:t>4.</w:t>
      </w:r>
      <w:r>
        <w:rPr>
          <w:bCs/>
          <w:sz w:val="24"/>
          <w:szCs w:val="24"/>
        </w:rPr>
        <w:tab/>
      </w:r>
      <w:r w:rsidR="0003162D" w:rsidRPr="0003162D">
        <w:rPr>
          <w:bCs/>
          <w:sz w:val="24"/>
          <w:szCs w:val="24"/>
        </w:rPr>
        <w:t>The first respondent is ordered to pay the applicants’ costs of the application on the scale as between attorney and client which costs are to include the costs consequent upon the employment of two counsel.</w:t>
      </w:r>
    </w:p>
    <w:p w14:paraId="0A45BCCC" w14:textId="3068861F" w:rsidR="0003162D" w:rsidRPr="00CF1CC9" w:rsidRDefault="0003162D" w:rsidP="00CF1CC9">
      <w:pPr>
        <w:spacing w:line="360" w:lineRule="auto"/>
        <w:rPr>
          <w:bCs/>
        </w:rPr>
      </w:pPr>
    </w:p>
    <w:p w14:paraId="34EE2CF4" w14:textId="77777777" w:rsidR="0003162D" w:rsidRDefault="0003162D" w:rsidP="0003162D">
      <w:pPr>
        <w:pStyle w:val="ListParagraph"/>
        <w:spacing w:line="360" w:lineRule="auto"/>
        <w:ind w:left="851" w:hanging="851"/>
        <w:rPr>
          <w:bCs/>
        </w:rPr>
      </w:pPr>
    </w:p>
    <w:p w14:paraId="08A6362B" w14:textId="69DD919F" w:rsidR="0003162D" w:rsidRPr="0003162D" w:rsidRDefault="00F67663" w:rsidP="00F67663">
      <w:pPr>
        <w:pStyle w:val="Body"/>
        <w:spacing w:line="360" w:lineRule="auto"/>
        <w:ind w:left="851" w:hanging="851"/>
        <w:jc w:val="both"/>
        <w:rPr>
          <w:bCs/>
          <w:sz w:val="24"/>
          <w:szCs w:val="24"/>
        </w:rPr>
      </w:pPr>
      <w:r w:rsidRPr="0003162D">
        <w:rPr>
          <w:bCs/>
          <w:sz w:val="24"/>
          <w:szCs w:val="24"/>
        </w:rPr>
        <w:t>5.</w:t>
      </w:r>
      <w:r w:rsidRPr="0003162D">
        <w:rPr>
          <w:bCs/>
          <w:sz w:val="24"/>
          <w:szCs w:val="24"/>
        </w:rPr>
        <w:tab/>
      </w:r>
      <w:r w:rsidR="0003162D" w:rsidRPr="0003162D">
        <w:rPr>
          <w:bCs/>
          <w:sz w:val="24"/>
          <w:szCs w:val="24"/>
        </w:rPr>
        <w:t>A copy of this judgment is to be sent to the South African Human Rights Commission.</w:t>
      </w:r>
    </w:p>
    <w:p w14:paraId="2006408E" w14:textId="77777777" w:rsidR="00B50E11" w:rsidRPr="00665EC9"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665EC9" w14:paraId="578FF0BE" w14:textId="77777777" w:rsidTr="00F25A36">
        <w:tc>
          <w:tcPr>
            <w:tcW w:w="9350" w:type="dxa"/>
          </w:tcPr>
          <w:p w14:paraId="2AE74CAC" w14:textId="77777777" w:rsidR="00650745" w:rsidRPr="00665EC9"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06752819" w14:textId="77777777" w:rsidR="00B50E11" w:rsidRPr="00665EC9"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03162D">
              <w:rPr>
                <w:rFonts w:eastAsia="Tahoma" w:cs="Arial"/>
                <w:b/>
                <w:bCs/>
                <w:sz w:val="28"/>
                <w:szCs w:val="22"/>
                <w:lang w:val="de-DE"/>
              </w:rPr>
              <w:t>JUDGMENT</w:t>
            </w:r>
          </w:p>
        </w:tc>
      </w:tr>
    </w:tbl>
    <w:p w14:paraId="48138290" w14:textId="77777777" w:rsidR="00C519B2" w:rsidRPr="00665EC9" w:rsidRDefault="00C519B2" w:rsidP="00665EC9">
      <w:pPr>
        <w:pStyle w:val="Body"/>
        <w:spacing w:line="360" w:lineRule="auto"/>
        <w:jc w:val="both"/>
        <w:rPr>
          <w:rFonts w:cs="Arial"/>
          <w:b/>
          <w:sz w:val="24"/>
          <w:szCs w:val="24"/>
        </w:rPr>
      </w:pPr>
    </w:p>
    <w:p w14:paraId="2F84AA7A" w14:textId="01395A14" w:rsidR="00996B9B" w:rsidRPr="00665EC9" w:rsidRDefault="00B50E11" w:rsidP="00665EC9">
      <w:pPr>
        <w:pStyle w:val="Body"/>
        <w:spacing w:line="360" w:lineRule="auto"/>
        <w:jc w:val="both"/>
        <w:rPr>
          <w:rFonts w:cs="Arial"/>
          <w:bCs/>
          <w:sz w:val="24"/>
          <w:szCs w:val="24"/>
        </w:rPr>
      </w:pPr>
      <w:r w:rsidRPr="00665EC9">
        <w:rPr>
          <w:rFonts w:cs="Arial"/>
          <w:b/>
          <w:sz w:val="24"/>
          <w:szCs w:val="24"/>
          <w:u w:val="single"/>
        </w:rPr>
        <w:t>MILLAR</w:t>
      </w:r>
      <w:r w:rsidR="004075F2" w:rsidRPr="00665EC9">
        <w:rPr>
          <w:rFonts w:cs="Arial"/>
          <w:b/>
          <w:sz w:val="24"/>
          <w:szCs w:val="24"/>
          <w:u w:val="single"/>
        </w:rPr>
        <w:t xml:space="preserve"> </w:t>
      </w:r>
      <w:r w:rsidRPr="00665EC9">
        <w:rPr>
          <w:rFonts w:cs="Arial"/>
          <w:b/>
          <w:sz w:val="24"/>
          <w:szCs w:val="24"/>
          <w:u w:val="single"/>
        </w:rPr>
        <w:t>J</w:t>
      </w:r>
    </w:p>
    <w:p w14:paraId="5902A2FE" w14:textId="77777777" w:rsidR="00F64212" w:rsidRPr="00665EC9" w:rsidRDefault="00F64212" w:rsidP="005D1D30">
      <w:pPr>
        <w:pStyle w:val="Body"/>
        <w:spacing w:line="360" w:lineRule="auto"/>
        <w:jc w:val="both"/>
        <w:rPr>
          <w:rFonts w:cs="Arial"/>
          <w:bCs/>
          <w:sz w:val="24"/>
          <w:szCs w:val="24"/>
        </w:rPr>
      </w:pPr>
    </w:p>
    <w:p w14:paraId="7C7E76E1" w14:textId="77D60DD5" w:rsidR="00EE0CE1" w:rsidRPr="00665EC9" w:rsidRDefault="00F67663" w:rsidP="00F67663">
      <w:pPr>
        <w:pStyle w:val="Body"/>
        <w:spacing w:line="360" w:lineRule="auto"/>
        <w:ind w:left="851" w:hanging="851"/>
        <w:jc w:val="both"/>
        <w:rPr>
          <w:rFonts w:cs="Arial"/>
          <w:bCs/>
          <w:sz w:val="24"/>
          <w:szCs w:val="24"/>
        </w:rPr>
      </w:pPr>
      <w:r w:rsidRPr="00665EC9">
        <w:rPr>
          <w:rFonts w:cs="Arial"/>
          <w:bCs/>
          <w:sz w:val="24"/>
          <w:szCs w:val="24"/>
        </w:rPr>
        <w:t>1.</w:t>
      </w:r>
      <w:r w:rsidRPr="00665EC9">
        <w:rPr>
          <w:rFonts w:cs="Arial"/>
          <w:bCs/>
          <w:sz w:val="24"/>
          <w:szCs w:val="24"/>
        </w:rPr>
        <w:tab/>
      </w:r>
      <w:r w:rsidR="00EE0CE1" w:rsidRPr="00665EC9">
        <w:rPr>
          <w:rFonts w:cs="Arial"/>
          <w:bCs/>
          <w:sz w:val="24"/>
          <w:szCs w:val="24"/>
        </w:rPr>
        <w:t>CMR</w:t>
      </w:r>
      <w:r w:rsidR="00FE5F88" w:rsidRPr="00665EC9">
        <w:rPr>
          <w:rFonts w:cs="Arial"/>
          <w:bCs/>
          <w:sz w:val="24"/>
          <w:szCs w:val="24"/>
        </w:rPr>
        <w:t xml:space="preserve"> North</w:t>
      </w:r>
      <w:r w:rsidR="007736D9">
        <w:rPr>
          <w:rFonts w:cs="Arial"/>
          <w:bCs/>
          <w:sz w:val="24"/>
          <w:szCs w:val="24"/>
        </w:rPr>
        <w:t>, the applicant,</w:t>
      </w:r>
      <w:r w:rsidR="00FE5F88" w:rsidRPr="00665EC9">
        <w:rPr>
          <w:rFonts w:cs="Arial"/>
          <w:bCs/>
          <w:sz w:val="24"/>
          <w:szCs w:val="24"/>
        </w:rPr>
        <w:t xml:space="preserve"> is </w:t>
      </w:r>
      <w:r w:rsidR="00405A29" w:rsidRPr="00665EC9">
        <w:rPr>
          <w:rFonts w:cs="Arial"/>
          <w:bCs/>
          <w:sz w:val="24"/>
          <w:szCs w:val="24"/>
        </w:rPr>
        <w:t>a registered non-profit</w:t>
      </w:r>
      <w:r w:rsidR="007736D9">
        <w:rPr>
          <w:rStyle w:val="FootnoteReference"/>
          <w:rFonts w:cs="Arial"/>
          <w:bCs/>
          <w:sz w:val="24"/>
          <w:szCs w:val="24"/>
        </w:rPr>
        <w:footnoteReference w:id="1"/>
      </w:r>
      <w:r w:rsidR="00405A29" w:rsidRPr="00665EC9">
        <w:rPr>
          <w:rFonts w:cs="Arial"/>
          <w:bCs/>
          <w:sz w:val="24"/>
          <w:szCs w:val="24"/>
        </w:rPr>
        <w:t xml:space="preserve"> Christian organization that</w:t>
      </w:r>
      <w:r w:rsidR="007736D9">
        <w:rPr>
          <w:rFonts w:cs="Arial"/>
          <w:bCs/>
          <w:sz w:val="24"/>
          <w:szCs w:val="24"/>
        </w:rPr>
        <w:t xml:space="preserve"> consists of a professional network of social workers. It is one of several organizations that operate under the moniker of ‘CMR’ in various areas – the organization that operates in each area is autonomous and distinct from the others </w:t>
      </w:r>
      <w:r w:rsidR="00D811BE">
        <w:rPr>
          <w:rFonts w:cs="Arial"/>
          <w:bCs/>
          <w:sz w:val="24"/>
          <w:szCs w:val="24"/>
        </w:rPr>
        <w:t>and each</w:t>
      </w:r>
      <w:r w:rsidR="007736D9">
        <w:rPr>
          <w:rFonts w:cs="Arial"/>
          <w:bCs/>
          <w:sz w:val="24"/>
          <w:szCs w:val="24"/>
        </w:rPr>
        <w:t xml:space="preserve"> is known by the area within which they operate providing social work and other services.</w:t>
      </w:r>
    </w:p>
    <w:p w14:paraId="3CEC0A3C" w14:textId="77777777" w:rsidR="00F64212" w:rsidRPr="00665EC9" w:rsidRDefault="00F64212" w:rsidP="005D1D30">
      <w:pPr>
        <w:pStyle w:val="Body"/>
        <w:spacing w:line="360" w:lineRule="auto"/>
        <w:ind w:left="851" w:hanging="862"/>
        <w:jc w:val="both"/>
        <w:rPr>
          <w:rFonts w:cs="Arial"/>
          <w:bCs/>
          <w:sz w:val="24"/>
          <w:szCs w:val="24"/>
        </w:rPr>
      </w:pPr>
    </w:p>
    <w:p w14:paraId="4C313C89" w14:textId="16F95F9F" w:rsidR="00B2164A" w:rsidRPr="005D1D30" w:rsidRDefault="00F67663" w:rsidP="00F67663">
      <w:pPr>
        <w:pStyle w:val="Body"/>
        <w:spacing w:line="360" w:lineRule="auto"/>
        <w:ind w:left="851" w:hanging="862"/>
        <w:jc w:val="both"/>
        <w:rPr>
          <w:rFonts w:cs="Arial"/>
          <w:bCs/>
          <w:sz w:val="24"/>
          <w:szCs w:val="24"/>
        </w:rPr>
      </w:pPr>
      <w:r w:rsidRPr="005D1D30">
        <w:rPr>
          <w:rFonts w:cs="Arial"/>
          <w:bCs/>
          <w:sz w:val="24"/>
          <w:szCs w:val="24"/>
        </w:rPr>
        <w:t>2.</w:t>
      </w:r>
      <w:r w:rsidRPr="005D1D30">
        <w:rPr>
          <w:rFonts w:cs="Arial"/>
          <w:bCs/>
          <w:sz w:val="24"/>
          <w:szCs w:val="24"/>
        </w:rPr>
        <w:tab/>
      </w:r>
      <w:r w:rsidR="00D811BE" w:rsidRPr="00665EC9">
        <w:rPr>
          <w:rFonts w:cs="Arial"/>
          <w:bCs/>
          <w:sz w:val="24"/>
          <w:szCs w:val="24"/>
        </w:rPr>
        <w:t>C</w:t>
      </w:r>
      <w:r w:rsidR="00B418DF">
        <w:rPr>
          <w:rFonts w:cs="Arial"/>
          <w:bCs/>
          <w:sz w:val="24"/>
          <w:szCs w:val="24"/>
        </w:rPr>
        <w:t>hild Protection Organisation (‘C</w:t>
      </w:r>
      <w:r w:rsidR="00D811BE" w:rsidRPr="00665EC9">
        <w:rPr>
          <w:rFonts w:cs="Arial"/>
          <w:bCs/>
          <w:sz w:val="24"/>
          <w:szCs w:val="24"/>
        </w:rPr>
        <w:t>PO</w:t>
      </w:r>
      <w:r w:rsidR="00B418DF">
        <w:rPr>
          <w:rFonts w:cs="Arial"/>
          <w:bCs/>
          <w:sz w:val="24"/>
          <w:szCs w:val="24"/>
        </w:rPr>
        <w:t>’)</w:t>
      </w:r>
      <w:r w:rsidR="00D811BE" w:rsidRPr="00665EC9">
        <w:rPr>
          <w:rFonts w:cs="Arial"/>
          <w:bCs/>
          <w:sz w:val="24"/>
          <w:szCs w:val="24"/>
        </w:rPr>
        <w:t xml:space="preserve"> accreditation </w:t>
      </w:r>
      <w:r w:rsidR="00D811BE">
        <w:rPr>
          <w:rFonts w:cs="Arial"/>
          <w:bCs/>
          <w:sz w:val="24"/>
          <w:szCs w:val="24"/>
        </w:rPr>
        <w:t>is</w:t>
      </w:r>
      <w:r w:rsidR="00D811BE" w:rsidRPr="00665EC9">
        <w:rPr>
          <w:rFonts w:cs="Arial"/>
          <w:bCs/>
          <w:sz w:val="24"/>
          <w:szCs w:val="24"/>
        </w:rPr>
        <w:t xml:space="preserve"> granted in terms of </w:t>
      </w:r>
      <w:r w:rsidR="00D811BE">
        <w:rPr>
          <w:rFonts w:cs="Arial"/>
          <w:bCs/>
          <w:sz w:val="24"/>
          <w:szCs w:val="24"/>
        </w:rPr>
        <w:t>section 107 of</w:t>
      </w:r>
      <w:r w:rsidR="00D811BE" w:rsidRPr="00665EC9">
        <w:rPr>
          <w:rFonts w:cs="Arial"/>
          <w:bCs/>
          <w:sz w:val="24"/>
          <w:szCs w:val="24"/>
        </w:rPr>
        <w:t xml:space="preserve"> the Children’s</w:t>
      </w:r>
      <w:r w:rsidR="00D811BE">
        <w:rPr>
          <w:rFonts w:cs="Arial"/>
          <w:bCs/>
          <w:sz w:val="24"/>
          <w:szCs w:val="24"/>
        </w:rPr>
        <w:t xml:space="preserve"> </w:t>
      </w:r>
      <w:r w:rsidR="00D811BE" w:rsidRPr="00665EC9">
        <w:rPr>
          <w:rFonts w:cs="Arial"/>
          <w:bCs/>
          <w:sz w:val="24"/>
          <w:szCs w:val="24"/>
        </w:rPr>
        <w:t>Act</w:t>
      </w:r>
      <w:r w:rsidR="00D811BE">
        <w:rPr>
          <w:rFonts w:cs="Arial"/>
          <w:bCs/>
          <w:sz w:val="24"/>
          <w:szCs w:val="24"/>
        </w:rPr>
        <w:t xml:space="preserve"> 38 of 2005</w:t>
      </w:r>
      <w:r w:rsidR="00D811BE">
        <w:rPr>
          <w:rStyle w:val="FootnoteReference"/>
          <w:rFonts w:cs="Arial"/>
          <w:bCs/>
          <w:sz w:val="24"/>
          <w:szCs w:val="24"/>
        </w:rPr>
        <w:footnoteReference w:id="2"/>
      </w:r>
      <w:r w:rsidR="00D811BE">
        <w:rPr>
          <w:rFonts w:cs="Arial"/>
          <w:bCs/>
          <w:sz w:val="24"/>
          <w:szCs w:val="24"/>
        </w:rPr>
        <w:t xml:space="preserve"> (‘the Act’). CMR North has enjoyed CPO </w:t>
      </w:r>
      <w:r w:rsidR="00B418DF">
        <w:rPr>
          <w:rFonts w:cs="Arial"/>
          <w:bCs/>
          <w:sz w:val="24"/>
          <w:szCs w:val="24"/>
        </w:rPr>
        <w:t>designation</w:t>
      </w:r>
      <w:r w:rsidR="00D811BE">
        <w:rPr>
          <w:rFonts w:cs="Arial"/>
          <w:bCs/>
          <w:sz w:val="24"/>
          <w:szCs w:val="24"/>
        </w:rPr>
        <w:t xml:space="preserve"> for many years, having been registered as a non-profit organization on 17 October 2001.</w:t>
      </w:r>
    </w:p>
    <w:p w14:paraId="629D9091" w14:textId="430D1BB6" w:rsidR="00D811BE" w:rsidRDefault="00D811BE" w:rsidP="005D1D30">
      <w:pPr>
        <w:pStyle w:val="ListParagraph"/>
        <w:ind w:left="851" w:hanging="862"/>
        <w:rPr>
          <w:rFonts w:cs="Arial"/>
          <w:bCs/>
        </w:rPr>
      </w:pPr>
    </w:p>
    <w:p w14:paraId="68ECE7FC" w14:textId="77777777" w:rsidR="005D1D30" w:rsidRDefault="005D1D30" w:rsidP="005D1D30">
      <w:pPr>
        <w:pStyle w:val="ListParagraph"/>
        <w:ind w:left="851" w:hanging="862"/>
        <w:rPr>
          <w:rFonts w:cs="Arial"/>
          <w:bCs/>
        </w:rPr>
      </w:pPr>
    </w:p>
    <w:p w14:paraId="714497BC" w14:textId="72789502" w:rsidR="007736D9" w:rsidRPr="00B2164A" w:rsidRDefault="00F67663" w:rsidP="00F67663">
      <w:pPr>
        <w:pStyle w:val="Body"/>
        <w:spacing w:line="360" w:lineRule="auto"/>
        <w:ind w:left="851" w:hanging="862"/>
        <w:jc w:val="both"/>
        <w:rPr>
          <w:rFonts w:cs="Arial"/>
          <w:bCs/>
          <w:sz w:val="24"/>
          <w:szCs w:val="24"/>
        </w:rPr>
      </w:pPr>
      <w:r w:rsidRPr="00B2164A">
        <w:rPr>
          <w:rFonts w:cs="Arial"/>
          <w:bCs/>
          <w:sz w:val="24"/>
          <w:szCs w:val="24"/>
        </w:rPr>
        <w:t>3.</w:t>
      </w:r>
      <w:r w:rsidRPr="00B2164A">
        <w:rPr>
          <w:rFonts w:cs="Arial"/>
          <w:bCs/>
          <w:sz w:val="24"/>
          <w:szCs w:val="24"/>
        </w:rPr>
        <w:tab/>
      </w:r>
      <w:r w:rsidR="00D811BE">
        <w:rPr>
          <w:rFonts w:cs="Arial"/>
          <w:bCs/>
          <w:sz w:val="24"/>
          <w:szCs w:val="24"/>
        </w:rPr>
        <w:t>T</w:t>
      </w:r>
      <w:r w:rsidR="007736D9" w:rsidRPr="00665EC9">
        <w:rPr>
          <w:rFonts w:cs="Arial"/>
          <w:bCs/>
          <w:sz w:val="24"/>
          <w:szCs w:val="24"/>
        </w:rPr>
        <w:t>his is an application brought by the applicant – CMR North,</w:t>
      </w:r>
      <w:r w:rsidR="007736D9">
        <w:rPr>
          <w:rFonts w:cs="Arial"/>
          <w:bCs/>
          <w:sz w:val="24"/>
          <w:szCs w:val="24"/>
        </w:rPr>
        <w:t xml:space="preserve"> f</w:t>
      </w:r>
      <w:r w:rsidR="007736D9" w:rsidRPr="00665EC9">
        <w:rPr>
          <w:rFonts w:cs="Arial"/>
          <w:bCs/>
          <w:sz w:val="24"/>
          <w:szCs w:val="24"/>
        </w:rPr>
        <w:t xml:space="preserve">or the review and setting aside of the decision taken on </w:t>
      </w:r>
      <w:r w:rsidR="007736D9">
        <w:rPr>
          <w:rFonts w:cs="Arial"/>
          <w:bCs/>
          <w:sz w:val="24"/>
          <w:szCs w:val="24"/>
        </w:rPr>
        <w:t xml:space="preserve">6 </w:t>
      </w:r>
      <w:r w:rsidR="0022328F">
        <w:rPr>
          <w:rFonts w:cs="Arial"/>
          <w:bCs/>
          <w:sz w:val="24"/>
          <w:szCs w:val="24"/>
        </w:rPr>
        <w:t xml:space="preserve">June </w:t>
      </w:r>
      <w:r w:rsidR="0022328F" w:rsidRPr="00665EC9">
        <w:rPr>
          <w:rFonts w:cs="Arial"/>
          <w:bCs/>
          <w:sz w:val="24"/>
          <w:szCs w:val="24"/>
        </w:rPr>
        <w:t>2022</w:t>
      </w:r>
      <w:r w:rsidR="007736D9" w:rsidRPr="00665EC9">
        <w:rPr>
          <w:rFonts w:cs="Arial"/>
          <w:bCs/>
          <w:sz w:val="24"/>
          <w:szCs w:val="24"/>
        </w:rPr>
        <w:t xml:space="preserve"> by</w:t>
      </w:r>
      <w:r w:rsidR="007736D9">
        <w:rPr>
          <w:rFonts w:cs="Arial"/>
          <w:bCs/>
          <w:sz w:val="24"/>
          <w:szCs w:val="24"/>
        </w:rPr>
        <w:t xml:space="preserve"> the </w:t>
      </w:r>
      <w:r w:rsidR="0022328F">
        <w:rPr>
          <w:rFonts w:cs="Arial"/>
          <w:bCs/>
          <w:sz w:val="24"/>
          <w:szCs w:val="24"/>
        </w:rPr>
        <w:t xml:space="preserve">Department of Social Development in Gauteng, the </w:t>
      </w:r>
      <w:r w:rsidR="007736D9">
        <w:rPr>
          <w:rFonts w:cs="Arial"/>
          <w:bCs/>
          <w:sz w:val="24"/>
          <w:szCs w:val="24"/>
        </w:rPr>
        <w:t>first respondent (‘DSD’)</w:t>
      </w:r>
      <w:r w:rsidR="007736D9" w:rsidRPr="00665EC9">
        <w:rPr>
          <w:rFonts w:cs="Arial"/>
          <w:bCs/>
          <w:sz w:val="24"/>
          <w:szCs w:val="24"/>
        </w:rPr>
        <w:t xml:space="preserve"> to withdraw its </w:t>
      </w:r>
      <w:r w:rsidR="00B418DF">
        <w:rPr>
          <w:rFonts w:cs="Arial"/>
          <w:bCs/>
          <w:sz w:val="24"/>
          <w:szCs w:val="24"/>
        </w:rPr>
        <w:t>designation</w:t>
      </w:r>
      <w:r w:rsidR="007736D9" w:rsidRPr="00665EC9">
        <w:rPr>
          <w:rFonts w:cs="Arial"/>
          <w:bCs/>
          <w:sz w:val="24"/>
          <w:szCs w:val="24"/>
        </w:rPr>
        <w:t xml:space="preserve"> and accreditation as a child protection organization (‘CPO’)</w:t>
      </w:r>
      <w:r w:rsidR="00D811BE">
        <w:rPr>
          <w:rStyle w:val="FootnoteReference"/>
          <w:rFonts w:cs="Arial"/>
          <w:bCs/>
          <w:sz w:val="24"/>
          <w:szCs w:val="24"/>
        </w:rPr>
        <w:footnoteReference w:id="3"/>
      </w:r>
      <w:r w:rsidR="007736D9" w:rsidRPr="00665EC9">
        <w:rPr>
          <w:rFonts w:cs="Arial"/>
          <w:bCs/>
          <w:sz w:val="24"/>
          <w:szCs w:val="24"/>
        </w:rPr>
        <w:t xml:space="preserve">. </w:t>
      </w:r>
    </w:p>
    <w:p w14:paraId="6530D80E" w14:textId="77777777" w:rsidR="00F64212" w:rsidRPr="00665EC9" w:rsidRDefault="00F64212" w:rsidP="005D1D30">
      <w:pPr>
        <w:pStyle w:val="Body"/>
        <w:spacing w:line="360" w:lineRule="auto"/>
        <w:ind w:left="851" w:hanging="862"/>
        <w:jc w:val="both"/>
        <w:rPr>
          <w:rFonts w:cs="Arial"/>
          <w:bCs/>
          <w:sz w:val="24"/>
          <w:szCs w:val="24"/>
        </w:rPr>
      </w:pPr>
    </w:p>
    <w:p w14:paraId="554505E1" w14:textId="2CEBF090" w:rsidR="0060432F" w:rsidRPr="00665EC9" w:rsidRDefault="00F67663" w:rsidP="00F67663">
      <w:pPr>
        <w:pStyle w:val="Body"/>
        <w:spacing w:line="360" w:lineRule="auto"/>
        <w:ind w:left="851" w:hanging="862"/>
        <w:jc w:val="both"/>
        <w:rPr>
          <w:rFonts w:cs="Arial"/>
          <w:bCs/>
          <w:sz w:val="24"/>
          <w:szCs w:val="24"/>
        </w:rPr>
      </w:pPr>
      <w:r w:rsidRPr="00665EC9">
        <w:rPr>
          <w:rFonts w:cs="Arial"/>
          <w:bCs/>
          <w:sz w:val="24"/>
          <w:szCs w:val="24"/>
        </w:rPr>
        <w:t>4.</w:t>
      </w:r>
      <w:r w:rsidRPr="00665EC9">
        <w:rPr>
          <w:rFonts w:cs="Arial"/>
          <w:bCs/>
          <w:sz w:val="24"/>
          <w:szCs w:val="24"/>
        </w:rPr>
        <w:tab/>
      </w:r>
      <w:r w:rsidR="00EE0CE1" w:rsidRPr="00665EC9">
        <w:rPr>
          <w:rFonts w:cs="Arial"/>
          <w:bCs/>
          <w:sz w:val="24"/>
          <w:szCs w:val="24"/>
        </w:rPr>
        <w:t xml:space="preserve">The present application was initially brought as an urgent application on </w:t>
      </w:r>
      <w:r w:rsidR="00EE6A14" w:rsidRPr="00665EC9">
        <w:rPr>
          <w:rFonts w:cs="Arial"/>
          <w:bCs/>
          <w:sz w:val="24"/>
          <w:szCs w:val="24"/>
        </w:rPr>
        <w:t>5 July 2022.</w:t>
      </w:r>
      <w:r w:rsidR="00EE0CE1" w:rsidRPr="00665EC9">
        <w:rPr>
          <w:rFonts w:cs="Arial"/>
          <w:bCs/>
          <w:sz w:val="24"/>
          <w:szCs w:val="24"/>
        </w:rPr>
        <w:t xml:space="preserve"> </w:t>
      </w:r>
      <w:r w:rsidR="00E956DA">
        <w:rPr>
          <w:rFonts w:cs="Arial"/>
          <w:bCs/>
          <w:sz w:val="24"/>
          <w:szCs w:val="24"/>
        </w:rPr>
        <w:t xml:space="preserve"> </w:t>
      </w:r>
      <w:r w:rsidR="00EE0CE1" w:rsidRPr="00665EC9">
        <w:rPr>
          <w:rFonts w:cs="Arial"/>
          <w:bCs/>
          <w:sz w:val="24"/>
          <w:szCs w:val="24"/>
        </w:rPr>
        <w:t xml:space="preserve">When the matter was called, notwithstanding its urgency, it was clearly not ripe for hearing – not least for the fact that the record of the decision had only after the service of the application </w:t>
      </w:r>
      <w:r w:rsidR="00EE6A14" w:rsidRPr="00665EC9">
        <w:rPr>
          <w:rFonts w:cs="Arial"/>
          <w:bCs/>
          <w:sz w:val="24"/>
          <w:szCs w:val="24"/>
        </w:rPr>
        <w:t xml:space="preserve">and a day or so beforehand </w:t>
      </w:r>
      <w:r w:rsidR="00EE0CE1" w:rsidRPr="00665EC9">
        <w:rPr>
          <w:rFonts w:cs="Arial"/>
          <w:bCs/>
          <w:sz w:val="24"/>
          <w:szCs w:val="24"/>
        </w:rPr>
        <w:t>been furnished to the applicant.</w:t>
      </w:r>
      <w:r w:rsidR="00EE6A14" w:rsidRPr="00665EC9">
        <w:rPr>
          <w:rFonts w:cs="Arial"/>
          <w:bCs/>
          <w:sz w:val="24"/>
          <w:szCs w:val="24"/>
        </w:rPr>
        <w:t xml:space="preserve"> I accordingly made a holding order which included timeframes for the filing of such further papers as may have been necessary to ensure that the matter could be properly heard.</w:t>
      </w:r>
    </w:p>
    <w:p w14:paraId="0741DBC5" w14:textId="77777777" w:rsidR="0060432F" w:rsidRPr="00665EC9" w:rsidRDefault="0060432F" w:rsidP="005D1D30">
      <w:pPr>
        <w:pStyle w:val="Body"/>
        <w:ind w:left="851" w:hanging="862"/>
        <w:jc w:val="both"/>
        <w:rPr>
          <w:rFonts w:cs="Arial"/>
          <w:bCs/>
          <w:sz w:val="22"/>
          <w:szCs w:val="22"/>
        </w:rPr>
      </w:pPr>
    </w:p>
    <w:p w14:paraId="1FAB49F3" w14:textId="5B9637EA" w:rsidR="00665EC9" w:rsidRPr="00665EC9" w:rsidRDefault="00F67663" w:rsidP="00F67663">
      <w:pPr>
        <w:pStyle w:val="Body"/>
        <w:spacing w:line="360" w:lineRule="auto"/>
        <w:ind w:left="851" w:hanging="862"/>
        <w:jc w:val="both"/>
        <w:rPr>
          <w:rFonts w:cs="Arial"/>
          <w:bCs/>
          <w:sz w:val="24"/>
          <w:szCs w:val="24"/>
        </w:rPr>
      </w:pPr>
      <w:r w:rsidRPr="00665EC9">
        <w:rPr>
          <w:rFonts w:cs="Arial"/>
          <w:bCs/>
          <w:sz w:val="24"/>
          <w:szCs w:val="24"/>
        </w:rPr>
        <w:t>5.</w:t>
      </w:r>
      <w:r w:rsidRPr="00665EC9">
        <w:rPr>
          <w:rFonts w:cs="Arial"/>
          <w:bCs/>
          <w:sz w:val="24"/>
          <w:szCs w:val="24"/>
        </w:rPr>
        <w:tab/>
      </w:r>
      <w:r w:rsidR="00EE6A14" w:rsidRPr="00665EC9">
        <w:rPr>
          <w:rFonts w:cs="Arial"/>
          <w:bCs/>
          <w:sz w:val="24"/>
          <w:szCs w:val="24"/>
        </w:rPr>
        <w:t xml:space="preserve">When the matter was called on 5 July 2022, I also heard an application for intervention on the part of </w:t>
      </w:r>
      <w:r w:rsidR="006B5F83">
        <w:rPr>
          <w:rFonts w:cs="Arial"/>
          <w:bCs/>
          <w:sz w:val="24"/>
          <w:szCs w:val="24"/>
        </w:rPr>
        <w:t>various</w:t>
      </w:r>
      <w:r w:rsidR="00EE6A14" w:rsidRPr="00665EC9">
        <w:rPr>
          <w:rFonts w:cs="Arial"/>
          <w:bCs/>
          <w:sz w:val="24"/>
          <w:szCs w:val="24"/>
        </w:rPr>
        <w:t xml:space="preserve"> person</w:t>
      </w:r>
      <w:r w:rsidR="006B5F83">
        <w:rPr>
          <w:rFonts w:cs="Arial"/>
          <w:bCs/>
          <w:sz w:val="24"/>
          <w:szCs w:val="24"/>
        </w:rPr>
        <w:t xml:space="preserve">s to be admitted as </w:t>
      </w:r>
      <w:r w:rsidR="006B5F83" w:rsidRPr="006B5F83">
        <w:rPr>
          <w:rFonts w:cs="Arial"/>
          <w:bCs/>
          <w:i/>
          <w:iCs/>
          <w:sz w:val="24"/>
          <w:szCs w:val="24"/>
        </w:rPr>
        <w:t>amici curiae</w:t>
      </w:r>
      <w:r w:rsidR="00EE6A14" w:rsidRPr="00665EC9">
        <w:rPr>
          <w:rFonts w:cs="Arial"/>
          <w:bCs/>
          <w:sz w:val="24"/>
          <w:szCs w:val="24"/>
        </w:rPr>
        <w:t xml:space="preserve"> – purported to include some of those that had lodged complaints</w:t>
      </w:r>
      <w:r w:rsidR="00B418DF">
        <w:rPr>
          <w:rFonts w:cs="Arial"/>
          <w:bCs/>
          <w:sz w:val="24"/>
          <w:szCs w:val="24"/>
        </w:rPr>
        <w:t xml:space="preserve"> against CMR North</w:t>
      </w:r>
      <w:r w:rsidR="00EE6A14" w:rsidRPr="00665EC9">
        <w:rPr>
          <w:rFonts w:cs="Arial"/>
          <w:bCs/>
          <w:sz w:val="24"/>
          <w:szCs w:val="24"/>
        </w:rPr>
        <w:t xml:space="preserve">. </w:t>
      </w:r>
      <w:r w:rsidR="00E956DA">
        <w:rPr>
          <w:rFonts w:cs="Arial"/>
          <w:bCs/>
          <w:sz w:val="24"/>
          <w:szCs w:val="24"/>
        </w:rPr>
        <w:t xml:space="preserve"> </w:t>
      </w:r>
      <w:r w:rsidR="00EE6A14" w:rsidRPr="00665EC9">
        <w:rPr>
          <w:rFonts w:cs="Arial"/>
          <w:bCs/>
          <w:sz w:val="24"/>
          <w:szCs w:val="24"/>
        </w:rPr>
        <w:t>Notwithstanding an objection by CMR North I deemed it prudent</w:t>
      </w:r>
      <w:r w:rsidR="00B418DF">
        <w:rPr>
          <w:rFonts w:cs="Arial"/>
          <w:bCs/>
          <w:sz w:val="24"/>
          <w:szCs w:val="24"/>
        </w:rPr>
        <w:t>,</w:t>
      </w:r>
      <w:r w:rsidR="00EE6A14" w:rsidRPr="00665EC9">
        <w:rPr>
          <w:rFonts w:cs="Arial"/>
          <w:bCs/>
          <w:sz w:val="24"/>
          <w:szCs w:val="24"/>
        </w:rPr>
        <w:t xml:space="preserve"> given the nature of the application and the </w:t>
      </w:r>
      <w:r w:rsidR="00CD55DE">
        <w:rPr>
          <w:rFonts w:cs="Arial"/>
          <w:bCs/>
          <w:sz w:val="24"/>
          <w:szCs w:val="24"/>
        </w:rPr>
        <w:t xml:space="preserve">importance </w:t>
      </w:r>
      <w:r w:rsidR="00CD55DE" w:rsidRPr="00665EC9">
        <w:rPr>
          <w:rFonts w:cs="Arial"/>
          <w:bCs/>
          <w:sz w:val="24"/>
          <w:szCs w:val="24"/>
        </w:rPr>
        <w:t>of</w:t>
      </w:r>
      <w:r w:rsidR="00EE6A14" w:rsidRPr="00665EC9">
        <w:rPr>
          <w:rFonts w:cs="Arial"/>
          <w:bCs/>
          <w:sz w:val="24"/>
          <w:szCs w:val="24"/>
        </w:rPr>
        <w:t xml:space="preserve"> its outcome </w:t>
      </w:r>
      <w:r w:rsidR="00CD55DE">
        <w:rPr>
          <w:rFonts w:cs="Arial"/>
          <w:bCs/>
          <w:sz w:val="24"/>
          <w:szCs w:val="24"/>
        </w:rPr>
        <w:t>to all concerned</w:t>
      </w:r>
      <w:r w:rsidR="00E956DA">
        <w:rPr>
          <w:rFonts w:cs="Arial"/>
          <w:bCs/>
          <w:sz w:val="24"/>
          <w:szCs w:val="24"/>
        </w:rPr>
        <w:t>,</w:t>
      </w:r>
      <w:r w:rsidR="00CD55DE">
        <w:rPr>
          <w:rFonts w:cs="Arial"/>
          <w:bCs/>
          <w:sz w:val="24"/>
          <w:szCs w:val="24"/>
        </w:rPr>
        <w:t xml:space="preserve"> </w:t>
      </w:r>
      <w:r w:rsidR="00EE6A14" w:rsidRPr="00665EC9">
        <w:rPr>
          <w:rFonts w:cs="Arial"/>
          <w:bCs/>
          <w:sz w:val="24"/>
          <w:szCs w:val="24"/>
        </w:rPr>
        <w:t xml:space="preserve">that the intervention be granted but only </w:t>
      </w:r>
      <w:r w:rsidR="00B3254A" w:rsidRPr="00665EC9">
        <w:rPr>
          <w:rFonts w:cs="Arial"/>
          <w:bCs/>
          <w:sz w:val="24"/>
          <w:szCs w:val="24"/>
        </w:rPr>
        <w:t>for the</w:t>
      </w:r>
      <w:r w:rsidR="00EE6A14" w:rsidRPr="00665EC9">
        <w:rPr>
          <w:rFonts w:cs="Arial"/>
          <w:bCs/>
          <w:sz w:val="24"/>
          <w:szCs w:val="24"/>
        </w:rPr>
        <w:t xml:space="preserve"> </w:t>
      </w:r>
      <w:r w:rsidR="00EE6A14" w:rsidRPr="00CD55DE">
        <w:rPr>
          <w:rFonts w:cs="Arial"/>
          <w:bCs/>
          <w:i/>
          <w:iCs/>
          <w:sz w:val="24"/>
          <w:szCs w:val="24"/>
        </w:rPr>
        <w:t>amic</w:t>
      </w:r>
      <w:r w:rsidR="006B5F83">
        <w:rPr>
          <w:rFonts w:cs="Arial"/>
          <w:bCs/>
          <w:i/>
          <w:iCs/>
          <w:sz w:val="24"/>
          <w:szCs w:val="24"/>
        </w:rPr>
        <w:t>i</w:t>
      </w:r>
      <w:r w:rsidR="00EE6A14" w:rsidRPr="00CD55DE">
        <w:rPr>
          <w:rFonts w:cs="Arial"/>
          <w:bCs/>
          <w:i/>
          <w:iCs/>
          <w:sz w:val="24"/>
          <w:szCs w:val="24"/>
        </w:rPr>
        <w:t xml:space="preserve"> curiae</w:t>
      </w:r>
      <w:r w:rsidR="00EE6A14" w:rsidRPr="00665EC9">
        <w:rPr>
          <w:rFonts w:cs="Arial"/>
          <w:bCs/>
          <w:sz w:val="24"/>
          <w:szCs w:val="24"/>
        </w:rPr>
        <w:t xml:space="preserve"> to make submissions on the papers to be filed by the parties.</w:t>
      </w:r>
      <w:r w:rsidR="00B3254A" w:rsidRPr="00665EC9">
        <w:rPr>
          <w:rFonts w:cs="Arial"/>
          <w:bCs/>
          <w:sz w:val="24"/>
          <w:szCs w:val="24"/>
        </w:rPr>
        <w:t xml:space="preserve"> </w:t>
      </w:r>
    </w:p>
    <w:p w14:paraId="1C400DB5" w14:textId="77777777" w:rsidR="0060432F" w:rsidRPr="00665EC9" w:rsidRDefault="0060432F" w:rsidP="005D1D30">
      <w:pPr>
        <w:spacing w:line="360" w:lineRule="auto"/>
        <w:ind w:left="851" w:hanging="862"/>
        <w:rPr>
          <w:rFonts w:ascii="Arial" w:hAnsi="Arial" w:cs="Arial"/>
          <w:bCs/>
        </w:rPr>
      </w:pPr>
    </w:p>
    <w:p w14:paraId="191714A1" w14:textId="4EA99A6D" w:rsidR="00F64212" w:rsidRPr="00665EC9" w:rsidRDefault="00F67663" w:rsidP="00F67663">
      <w:pPr>
        <w:pStyle w:val="Body"/>
        <w:spacing w:line="360" w:lineRule="auto"/>
        <w:ind w:left="851" w:hanging="862"/>
        <w:jc w:val="both"/>
        <w:rPr>
          <w:rFonts w:cs="Arial"/>
          <w:bCs/>
          <w:sz w:val="24"/>
          <w:szCs w:val="24"/>
        </w:rPr>
      </w:pPr>
      <w:r w:rsidRPr="00665EC9">
        <w:rPr>
          <w:rFonts w:cs="Arial"/>
          <w:bCs/>
          <w:sz w:val="24"/>
          <w:szCs w:val="24"/>
        </w:rPr>
        <w:t>6.</w:t>
      </w:r>
      <w:r w:rsidRPr="00665EC9">
        <w:rPr>
          <w:rFonts w:cs="Arial"/>
          <w:bCs/>
          <w:sz w:val="24"/>
          <w:szCs w:val="24"/>
        </w:rPr>
        <w:tab/>
      </w:r>
      <w:r w:rsidR="00B3254A" w:rsidRPr="00665EC9">
        <w:rPr>
          <w:rFonts w:cs="Arial"/>
          <w:bCs/>
          <w:sz w:val="24"/>
          <w:szCs w:val="24"/>
        </w:rPr>
        <w:t>I</w:t>
      </w:r>
      <w:r w:rsidR="00CE50E3">
        <w:rPr>
          <w:rFonts w:cs="Arial"/>
          <w:bCs/>
          <w:sz w:val="24"/>
          <w:szCs w:val="24"/>
        </w:rPr>
        <w:t>n addition, I</w:t>
      </w:r>
      <w:r w:rsidR="00B3254A" w:rsidRPr="00665EC9">
        <w:rPr>
          <w:rFonts w:cs="Arial"/>
          <w:bCs/>
          <w:sz w:val="24"/>
          <w:szCs w:val="24"/>
        </w:rPr>
        <w:t xml:space="preserve"> also granted an order giving the parties leave to approach the office of the Deputy Judge President to request the appointment of a case manager and indicated that I was willing to act as such should the request be favourably considered. It was</w:t>
      </w:r>
      <w:r w:rsidR="00B418DF">
        <w:rPr>
          <w:rFonts w:cs="Arial"/>
          <w:bCs/>
          <w:sz w:val="24"/>
          <w:szCs w:val="24"/>
        </w:rPr>
        <w:t>,</w:t>
      </w:r>
      <w:r w:rsidR="00B3254A" w:rsidRPr="00665EC9">
        <w:rPr>
          <w:rFonts w:cs="Arial"/>
          <w:bCs/>
          <w:sz w:val="24"/>
          <w:szCs w:val="24"/>
        </w:rPr>
        <w:t xml:space="preserve"> and it suffices to say</w:t>
      </w:r>
      <w:r w:rsidR="00E956DA">
        <w:rPr>
          <w:rFonts w:cs="Arial"/>
          <w:bCs/>
          <w:sz w:val="24"/>
          <w:szCs w:val="24"/>
        </w:rPr>
        <w:t>,</w:t>
      </w:r>
      <w:r w:rsidR="00B3254A" w:rsidRPr="00665EC9">
        <w:rPr>
          <w:rFonts w:cs="Arial"/>
          <w:bCs/>
          <w:sz w:val="24"/>
          <w:szCs w:val="24"/>
        </w:rPr>
        <w:t xml:space="preserve"> that the application was subsequently and by agreement between the parties heard on 15 September 2022. </w:t>
      </w:r>
    </w:p>
    <w:p w14:paraId="257F126C" w14:textId="11ED8825" w:rsidR="00F64212" w:rsidRDefault="00F64212" w:rsidP="00F64212">
      <w:pPr>
        <w:pStyle w:val="ListParagraph"/>
        <w:rPr>
          <w:rFonts w:ascii="Arial" w:hAnsi="Arial" w:cs="Arial"/>
          <w:bCs/>
          <w:sz w:val="22"/>
          <w:szCs w:val="22"/>
        </w:rPr>
      </w:pPr>
    </w:p>
    <w:p w14:paraId="65BA9C5A" w14:textId="77777777" w:rsidR="005D1D30" w:rsidRPr="0003162D" w:rsidRDefault="005D1D30" w:rsidP="0003162D">
      <w:pPr>
        <w:rPr>
          <w:rFonts w:ascii="Arial" w:hAnsi="Arial" w:cs="Arial"/>
          <w:bCs/>
          <w:sz w:val="22"/>
          <w:szCs w:val="22"/>
        </w:rPr>
      </w:pPr>
    </w:p>
    <w:p w14:paraId="5B80EC64" w14:textId="4B1DBB5C" w:rsidR="006B5F83" w:rsidRDefault="00F67663" w:rsidP="00F67663">
      <w:pPr>
        <w:pStyle w:val="Body"/>
        <w:spacing w:line="360" w:lineRule="auto"/>
        <w:ind w:left="851" w:hanging="851"/>
        <w:jc w:val="both"/>
        <w:rPr>
          <w:rFonts w:cs="Arial"/>
          <w:bCs/>
          <w:sz w:val="24"/>
          <w:szCs w:val="24"/>
        </w:rPr>
      </w:pPr>
      <w:r>
        <w:rPr>
          <w:rFonts w:cs="Arial"/>
          <w:bCs/>
          <w:sz w:val="24"/>
          <w:szCs w:val="24"/>
        </w:rPr>
        <w:lastRenderedPageBreak/>
        <w:t>7.</w:t>
      </w:r>
      <w:r>
        <w:rPr>
          <w:rFonts w:cs="Arial"/>
          <w:bCs/>
          <w:sz w:val="24"/>
          <w:szCs w:val="24"/>
        </w:rPr>
        <w:tab/>
      </w:r>
      <w:r w:rsidR="006B5F83">
        <w:rPr>
          <w:rFonts w:cs="Arial"/>
          <w:bCs/>
          <w:sz w:val="24"/>
          <w:szCs w:val="24"/>
        </w:rPr>
        <w:t>It is not in issue between the parties that the DSD</w:t>
      </w:r>
      <w:r w:rsidR="00E956DA">
        <w:rPr>
          <w:rFonts w:cs="Arial"/>
          <w:bCs/>
          <w:sz w:val="24"/>
          <w:szCs w:val="24"/>
        </w:rPr>
        <w:t>’s</w:t>
      </w:r>
      <w:r w:rsidR="006B5F83">
        <w:rPr>
          <w:rFonts w:cs="Arial"/>
          <w:bCs/>
          <w:sz w:val="24"/>
          <w:szCs w:val="24"/>
        </w:rPr>
        <w:t xml:space="preserve"> decision to withdraw the CPO status is administrative action as contemplated in the Promotion of Access to Justice Act</w:t>
      </w:r>
      <w:r w:rsidR="006B5F83">
        <w:rPr>
          <w:rStyle w:val="FootnoteReference"/>
          <w:rFonts w:cs="Arial"/>
          <w:bCs/>
          <w:sz w:val="24"/>
          <w:szCs w:val="24"/>
        </w:rPr>
        <w:footnoteReference w:id="4"/>
      </w:r>
      <w:r w:rsidR="006B5F83">
        <w:rPr>
          <w:rFonts w:cs="Arial"/>
          <w:bCs/>
          <w:sz w:val="24"/>
          <w:szCs w:val="24"/>
        </w:rPr>
        <w:t xml:space="preserve"> (PAJA) and that the determination of the present matter falls to be decided upon whether</w:t>
      </w:r>
      <w:r w:rsidR="002935FF">
        <w:rPr>
          <w:rFonts w:cs="Arial"/>
          <w:bCs/>
          <w:sz w:val="24"/>
          <w:szCs w:val="24"/>
        </w:rPr>
        <w:t xml:space="preserve">, in terms thereof, the decision to withdraw the </w:t>
      </w:r>
      <w:r w:rsidR="00B418DF">
        <w:rPr>
          <w:rFonts w:cs="Arial"/>
          <w:bCs/>
          <w:sz w:val="24"/>
          <w:szCs w:val="24"/>
        </w:rPr>
        <w:t>designation</w:t>
      </w:r>
      <w:r w:rsidR="002935FF">
        <w:rPr>
          <w:rFonts w:cs="Arial"/>
          <w:bCs/>
          <w:sz w:val="24"/>
          <w:szCs w:val="24"/>
        </w:rPr>
        <w:t xml:space="preserve"> was </w:t>
      </w:r>
      <w:r w:rsidR="002935FF" w:rsidRPr="002935FF">
        <w:rPr>
          <w:rFonts w:cs="Arial"/>
          <w:bCs/>
          <w:i/>
          <w:iCs/>
          <w:sz w:val="24"/>
          <w:szCs w:val="24"/>
        </w:rPr>
        <w:t>‘lawful, reasonable and procedurally fair’</w:t>
      </w:r>
      <w:r w:rsidR="002935FF">
        <w:rPr>
          <w:rFonts w:cs="Arial"/>
          <w:bCs/>
          <w:sz w:val="24"/>
          <w:szCs w:val="24"/>
        </w:rPr>
        <w:t>.</w:t>
      </w:r>
      <w:r w:rsidR="002935FF">
        <w:rPr>
          <w:rStyle w:val="FootnoteReference"/>
          <w:rFonts w:cs="Arial"/>
          <w:bCs/>
          <w:sz w:val="24"/>
          <w:szCs w:val="24"/>
        </w:rPr>
        <w:footnoteReference w:id="5"/>
      </w:r>
      <w:r w:rsidR="002935FF">
        <w:rPr>
          <w:rFonts w:cs="Arial"/>
          <w:bCs/>
          <w:sz w:val="24"/>
          <w:szCs w:val="24"/>
        </w:rPr>
        <w:t xml:space="preserve"> It is the case for CMR North that the decision did not meet any of these criteria and was impeach</w:t>
      </w:r>
      <w:r w:rsidR="00B418DF">
        <w:rPr>
          <w:rFonts w:cs="Arial"/>
          <w:bCs/>
          <w:sz w:val="24"/>
          <w:szCs w:val="24"/>
        </w:rPr>
        <w:t>able</w:t>
      </w:r>
      <w:r w:rsidR="002935FF">
        <w:rPr>
          <w:rFonts w:cs="Arial"/>
          <w:bCs/>
          <w:sz w:val="24"/>
          <w:szCs w:val="24"/>
        </w:rPr>
        <w:t xml:space="preserve"> specifically for want of adherence to the provisions of </w:t>
      </w:r>
      <w:r w:rsidR="00B418DF" w:rsidRPr="00B418DF">
        <w:rPr>
          <w:rFonts w:cs="Arial"/>
          <w:bCs/>
          <w:i/>
          <w:iCs/>
          <w:sz w:val="24"/>
          <w:szCs w:val="24"/>
        </w:rPr>
        <w:t>inter alia</w:t>
      </w:r>
      <w:r w:rsidR="00B418DF">
        <w:rPr>
          <w:rFonts w:cs="Arial"/>
          <w:bCs/>
          <w:sz w:val="24"/>
          <w:szCs w:val="24"/>
        </w:rPr>
        <w:t xml:space="preserve"> </w:t>
      </w:r>
      <w:r w:rsidR="002935FF">
        <w:rPr>
          <w:rFonts w:cs="Arial"/>
          <w:bCs/>
          <w:sz w:val="24"/>
          <w:szCs w:val="24"/>
        </w:rPr>
        <w:t>sections 6(2)(c)</w:t>
      </w:r>
      <w:r w:rsidR="002935FF">
        <w:rPr>
          <w:rStyle w:val="FootnoteReference"/>
          <w:rFonts w:cs="Arial"/>
          <w:bCs/>
          <w:sz w:val="24"/>
          <w:szCs w:val="24"/>
        </w:rPr>
        <w:footnoteReference w:id="6"/>
      </w:r>
      <w:r w:rsidR="002935FF">
        <w:rPr>
          <w:rFonts w:cs="Arial"/>
          <w:bCs/>
          <w:sz w:val="24"/>
          <w:szCs w:val="24"/>
        </w:rPr>
        <w:t xml:space="preserve"> and </w:t>
      </w:r>
      <w:r w:rsidR="00B418DF">
        <w:rPr>
          <w:rFonts w:cs="Arial"/>
          <w:bCs/>
          <w:sz w:val="24"/>
          <w:szCs w:val="24"/>
        </w:rPr>
        <w:t>6(e)(ii)</w:t>
      </w:r>
      <w:r w:rsidR="00B418DF">
        <w:rPr>
          <w:rStyle w:val="FootnoteReference"/>
          <w:rFonts w:cs="Arial"/>
          <w:bCs/>
          <w:sz w:val="24"/>
          <w:szCs w:val="24"/>
        </w:rPr>
        <w:footnoteReference w:id="7"/>
      </w:r>
      <w:r w:rsidR="00B418DF">
        <w:rPr>
          <w:rFonts w:cs="Arial"/>
          <w:bCs/>
          <w:sz w:val="24"/>
          <w:szCs w:val="24"/>
        </w:rPr>
        <w:t xml:space="preserve">, </w:t>
      </w:r>
      <w:r w:rsidR="002935FF">
        <w:rPr>
          <w:rFonts w:cs="Arial"/>
          <w:bCs/>
          <w:sz w:val="24"/>
          <w:szCs w:val="24"/>
        </w:rPr>
        <w:t>6(2)(e)(iv)</w:t>
      </w:r>
      <w:r w:rsidR="00CE66E2">
        <w:rPr>
          <w:rStyle w:val="FootnoteReference"/>
          <w:rFonts w:cs="Arial"/>
          <w:bCs/>
          <w:sz w:val="24"/>
          <w:szCs w:val="24"/>
        </w:rPr>
        <w:footnoteReference w:id="8"/>
      </w:r>
      <w:r w:rsidR="00B87BB1">
        <w:rPr>
          <w:rFonts w:cs="Arial"/>
          <w:bCs/>
          <w:sz w:val="24"/>
          <w:szCs w:val="24"/>
        </w:rPr>
        <w:t>, 6(2)(e)(v)</w:t>
      </w:r>
      <w:r w:rsidR="00B87BB1">
        <w:rPr>
          <w:rStyle w:val="FootnoteReference"/>
          <w:rFonts w:cs="Arial"/>
          <w:bCs/>
          <w:sz w:val="24"/>
          <w:szCs w:val="24"/>
        </w:rPr>
        <w:footnoteReference w:id="9"/>
      </w:r>
      <w:r w:rsidR="002935FF">
        <w:rPr>
          <w:rFonts w:cs="Arial"/>
          <w:bCs/>
          <w:sz w:val="24"/>
          <w:szCs w:val="24"/>
        </w:rPr>
        <w:t xml:space="preserve"> and (vi)</w:t>
      </w:r>
      <w:r w:rsidR="00A70EEB">
        <w:rPr>
          <w:rStyle w:val="FootnoteReference"/>
          <w:rFonts w:cs="Arial"/>
          <w:bCs/>
          <w:sz w:val="24"/>
          <w:szCs w:val="24"/>
        </w:rPr>
        <w:footnoteReference w:id="10"/>
      </w:r>
      <w:r w:rsidR="008916D0">
        <w:rPr>
          <w:rFonts w:cs="Arial"/>
          <w:bCs/>
          <w:sz w:val="24"/>
          <w:szCs w:val="24"/>
        </w:rPr>
        <w:t xml:space="preserve"> of PAJA.</w:t>
      </w:r>
    </w:p>
    <w:p w14:paraId="3A83FA3B" w14:textId="638CAAB4" w:rsidR="00B2164A" w:rsidRDefault="00B2164A" w:rsidP="005D1D30">
      <w:pPr>
        <w:pStyle w:val="ListParagraph"/>
        <w:ind w:left="851" w:hanging="851"/>
        <w:rPr>
          <w:rFonts w:cs="Arial"/>
          <w:bCs/>
        </w:rPr>
      </w:pPr>
    </w:p>
    <w:p w14:paraId="267D9468" w14:textId="77777777" w:rsidR="005D1D30" w:rsidRDefault="005D1D30" w:rsidP="005D1D30">
      <w:pPr>
        <w:pStyle w:val="ListParagraph"/>
        <w:ind w:left="851" w:hanging="851"/>
        <w:rPr>
          <w:rFonts w:cs="Arial"/>
          <w:bCs/>
        </w:rPr>
      </w:pPr>
    </w:p>
    <w:p w14:paraId="779876AA" w14:textId="5973D0CA" w:rsidR="00B3254A" w:rsidRPr="00665EC9" w:rsidRDefault="00F67663" w:rsidP="00F67663">
      <w:pPr>
        <w:pStyle w:val="Body"/>
        <w:spacing w:line="360" w:lineRule="auto"/>
        <w:ind w:left="851" w:hanging="851"/>
        <w:jc w:val="both"/>
        <w:rPr>
          <w:rFonts w:cs="Arial"/>
          <w:bCs/>
          <w:sz w:val="24"/>
          <w:szCs w:val="24"/>
        </w:rPr>
      </w:pPr>
      <w:r w:rsidRPr="00665EC9">
        <w:rPr>
          <w:rFonts w:cs="Arial"/>
          <w:bCs/>
          <w:sz w:val="24"/>
          <w:szCs w:val="24"/>
        </w:rPr>
        <w:t>8.</w:t>
      </w:r>
      <w:r w:rsidRPr="00665EC9">
        <w:rPr>
          <w:rFonts w:cs="Arial"/>
          <w:bCs/>
          <w:sz w:val="24"/>
          <w:szCs w:val="24"/>
        </w:rPr>
        <w:tab/>
      </w:r>
      <w:r w:rsidR="006B5F83">
        <w:rPr>
          <w:rFonts w:cs="Arial"/>
          <w:bCs/>
          <w:sz w:val="24"/>
          <w:szCs w:val="24"/>
        </w:rPr>
        <w:t>T</w:t>
      </w:r>
      <w:r w:rsidR="00B3254A" w:rsidRPr="00665EC9">
        <w:rPr>
          <w:rFonts w:cs="Arial"/>
          <w:bCs/>
          <w:sz w:val="24"/>
          <w:szCs w:val="24"/>
        </w:rPr>
        <w:t xml:space="preserve">he decision to withdraw the CPO status was made, firstly, in consequence of an investigation undertaken because of certain complaints made by members of the public about the conduct </w:t>
      </w:r>
      <w:r w:rsidR="00B278B9" w:rsidRPr="00665EC9">
        <w:rPr>
          <w:rFonts w:cs="Arial"/>
          <w:bCs/>
          <w:sz w:val="24"/>
          <w:szCs w:val="24"/>
        </w:rPr>
        <w:t>of social</w:t>
      </w:r>
      <w:r w:rsidR="00B3254A" w:rsidRPr="00665EC9">
        <w:rPr>
          <w:rFonts w:cs="Arial"/>
          <w:bCs/>
          <w:sz w:val="24"/>
          <w:szCs w:val="24"/>
        </w:rPr>
        <w:t xml:space="preserve"> workers who it was claimed were linked to or employed by CMR North</w:t>
      </w:r>
      <w:r w:rsidR="009C098B">
        <w:rPr>
          <w:rFonts w:cs="Arial"/>
          <w:bCs/>
          <w:sz w:val="24"/>
          <w:szCs w:val="24"/>
        </w:rPr>
        <w:t>. The investigation also included a DSD departmental quality assurance process</w:t>
      </w:r>
      <w:r w:rsidR="006C5D61">
        <w:rPr>
          <w:rStyle w:val="FootnoteReference"/>
          <w:rFonts w:cs="Arial"/>
          <w:bCs/>
          <w:sz w:val="24"/>
          <w:szCs w:val="24"/>
        </w:rPr>
        <w:footnoteReference w:id="11"/>
      </w:r>
      <w:r w:rsidR="009C098B">
        <w:rPr>
          <w:rFonts w:cs="Arial"/>
          <w:bCs/>
          <w:sz w:val="24"/>
          <w:szCs w:val="24"/>
        </w:rPr>
        <w:t xml:space="preserve"> (‘DQA’) and</w:t>
      </w:r>
      <w:r w:rsidR="00B3254A" w:rsidRPr="00665EC9">
        <w:rPr>
          <w:rFonts w:cs="Arial"/>
          <w:bCs/>
          <w:sz w:val="24"/>
          <w:szCs w:val="24"/>
        </w:rPr>
        <w:t xml:space="preserve"> secondly, from the contents of a letter addressed by CMR North to the </w:t>
      </w:r>
      <w:r w:rsidR="00CD55DE">
        <w:rPr>
          <w:rFonts w:cs="Arial"/>
          <w:bCs/>
          <w:sz w:val="24"/>
          <w:szCs w:val="24"/>
        </w:rPr>
        <w:t>DSD</w:t>
      </w:r>
      <w:r w:rsidR="00B3254A" w:rsidRPr="00665EC9">
        <w:rPr>
          <w:rFonts w:cs="Arial"/>
          <w:bCs/>
          <w:sz w:val="24"/>
          <w:szCs w:val="24"/>
        </w:rPr>
        <w:t xml:space="preserve"> on 29 March 2022.</w:t>
      </w:r>
      <w:r w:rsidR="00B278B9" w:rsidRPr="00665EC9">
        <w:rPr>
          <w:rFonts w:cs="Arial"/>
          <w:bCs/>
          <w:sz w:val="24"/>
          <w:szCs w:val="24"/>
        </w:rPr>
        <w:t xml:space="preserve"> I propose dealing with each of these in turn.</w:t>
      </w:r>
    </w:p>
    <w:p w14:paraId="24490C12" w14:textId="77777777" w:rsidR="0065125E" w:rsidRPr="00665EC9" w:rsidRDefault="0065125E" w:rsidP="005D1D30">
      <w:pPr>
        <w:pStyle w:val="Body"/>
        <w:ind w:left="851" w:hanging="851"/>
        <w:jc w:val="both"/>
        <w:rPr>
          <w:rFonts w:cs="Arial"/>
          <w:b/>
          <w:sz w:val="24"/>
          <w:szCs w:val="24"/>
        </w:rPr>
      </w:pPr>
    </w:p>
    <w:p w14:paraId="7F7A6054" w14:textId="29B32A8B" w:rsidR="00F64212" w:rsidRPr="00665EC9" w:rsidRDefault="00F67663" w:rsidP="00F67663">
      <w:pPr>
        <w:pStyle w:val="Body"/>
        <w:spacing w:line="360" w:lineRule="auto"/>
        <w:ind w:left="851" w:hanging="851"/>
        <w:jc w:val="both"/>
        <w:rPr>
          <w:rFonts w:cs="Arial"/>
          <w:bCs/>
          <w:sz w:val="24"/>
          <w:szCs w:val="24"/>
        </w:rPr>
      </w:pPr>
      <w:r w:rsidRPr="00665EC9">
        <w:rPr>
          <w:rFonts w:cs="Arial"/>
          <w:bCs/>
          <w:sz w:val="24"/>
          <w:szCs w:val="24"/>
        </w:rPr>
        <w:t>9.</w:t>
      </w:r>
      <w:r w:rsidRPr="00665EC9">
        <w:rPr>
          <w:rFonts w:cs="Arial"/>
          <w:bCs/>
          <w:sz w:val="24"/>
          <w:szCs w:val="24"/>
        </w:rPr>
        <w:tab/>
      </w:r>
      <w:r w:rsidR="0065125E" w:rsidRPr="00665EC9">
        <w:rPr>
          <w:rFonts w:cs="Arial"/>
          <w:bCs/>
          <w:sz w:val="24"/>
          <w:szCs w:val="24"/>
        </w:rPr>
        <w:t xml:space="preserve">Pursuant to various complaints received by the Department of Social Development against CMR North an investigation was undertaken.  The investigation, at least initially, centered on 8 separate cases in which complaints had been received made by families with whom CMR North had dealt. </w:t>
      </w:r>
      <w:r w:rsidR="0060432F" w:rsidRPr="00665EC9">
        <w:rPr>
          <w:rFonts w:cs="Arial"/>
          <w:bCs/>
          <w:sz w:val="24"/>
          <w:szCs w:val="24"/>
        </w:rPr>
        <w:t xml:space="preserve">  A meeting was held with the 8 separate complainants on 21 January 2022 at which they recounted their complaints.</w:t>
      </w:r>
    </w:p>
    <w:p w14:paraId="51C9AA47" w14:textId="77777777" w:rsidR="00F64212" w:rsidRPr="00AE50B8" w:rsidRDefault="00F64212" w:rsidP="005D1D30">
      <w:pPr>
        <w:pStyle w:val="Body"/>
        <w:spacing w:line="360" w:lineRule="auto"/>
        <w:ind w:left="851" w:hanging="851"/>
        <w:jc w:val="both"/>
        <w:rPr>
          <w:rFonts w:cs="Arial"/>
          <w:bCs/>
          <w:sz w:val="24"/>
          <w:szCs w:val="24"/>
        </w:rPr>
      </w:pPr>
    </w:p>
    <w:p w14:paraId="24332C4B" w14:textId="07ECFD04" w:rsidR="0065125E" w:rsidRPr="00AE50B8" w:rsidRDefault="00F67663" w:rsidP="00F67663">
      <w:pPr>
        <w:pStyle w:val="Body"/>
        <w:spacing w:line="360" w:lineRule="auto"/>
        <w:ind w:left="851" w:hanging="851"/>
        <w:jc w:val="both"/>
        <w:rPr>
          <w:rFonts w:cs="Arial"/>
          <w:bCs/>
          <w:sz w:val="24"/>
          <w:szCs w:val="24"/>
        </w:rPr>
      </w:pPr>
      <w:r w:rsidRPr="00AE50B8">
        <w:rPr>
          <w:rFonts w:cs="Arial"/>
          <w:bCs/>
          <w:sz w:val="24"/>
          <w:szCs w:val="24"/>
        </w:rPr>
        <w:t>10.</w:t>
      </w:r>
      <w:r w:rsidRPr="00AE50B8">
        <w:rPr>
          <w:rFonts w:cs="Arial"/>
          <w:bCs/>
          <w:sz w:val="24"/>
          <w:szCs w:val="24"/>
        </w:rPr>
        <w:tab/>
      </w:r>
      <w:r w:rsidR="0065125E" w:rsidRPr="00AE50B8">
        <w:rPr>
          <w:rFonts w:cs="Arial"/>
          <w:bCs/>
          <w:sz w:val="24"/>
          <w:szCs w:val="24"/>
        </w:rPr>
        <w:t>Arising from th</w:t>
      </w:r>
      <w:r w:rsidR="00CD55DE">
        <w:rPr>
          <w:rFonts w:cs="Arial"/>
          <w:bCs/>
          <w:sz w:val="24"/>
          <w:szCs w:val="24"/>
        </w:rPr>
        <w:t>is</w:t>
      </w:r>
      <w:r w:rsidR="0065125E" w:rsidRPr="00AE50B8">
        <w:rPr>
          <w:rFonts w:cs="Arial"/>
          <w:bCs/>
          <w:sz w:val="24"/>
          <w:szCs w:val="24"/>
        </w:rPr>
        <w:t xml:space="preserve"> investigation, 7 key challenges were identified.  It is pertinent to mention at this point that at no stage during the receipt, processing, </w:t>
      </w:r>
      <w:r w:rsidR="00CD55DE" w:rsidRPr="00AE50B8">
        <w:rPr>
          <w:rFonts w:cs="Arial"/>
          <w:bCs/>
          <w:sz w:val="24"/>
          <w:szCs w:val="24"/>
        </w:rPr>
        <w:t>investigation,</w:t>
      </w:r>
      <w:r w:rsidR="0065125E" w:rsidRPr="00AE50B8">
        <w:rPr>
          <w:rFonts w:cs="Arial"/>
          <w:bCs/>
          <w:sz w:val="24"/>
          <w:szCs w:val="24"/>
        </w:rPr>
        <w:t xml:space="preserve"> or discussion of the complaints was CMR North notified or invited to comment.  The 7 key challenges that were identified were accordingly that it was alleged that:</w:t>
      </w:r>
    </w:p>
    <w:p w14:paraId="1F155144" w14:textId="0FDB6F01" w:rsidR="0003162D" w:rsidRPr="00CF1CC9" w:rsidRDefault="0003162D" w:rsidP="00CF1CC9">
      <w:pPr>
        <w:rPr>
          <w:rFonts w:ascii="Arial" w:hAnsi="Arial" w:cs="Arial"/>
          <w:bCs/>
          <w:sz w:val="22"/>
          <w:szCs w:val="22"/>
        </w:rPr>
      </w:pPr>
    </w:p>
    <w:p w14:paraId="703E2FE9" w14:textId="1CC0E07A" w:rsidR="0003162D" w:rsidRDefault="0003162D" w:rsidP="005D1D30">
      <w:pPr>
        <w:pStyle w:val="ListParagraph"/>
        <w:ind w:left="851" w:hanging="851"/>
        <w:rPr>
          <w:rFonts w:ascii="Arial" w:hAnsi="Arial" w:cs="Arial"/>
          <w:bCs/>
          <w:sz w:val="22"/>
          <w:szCs w:val="22"/>
        </w:rPr>
      </w:pPr>
    </w:p>
    <w:p w14:paraId="2E707247" w14:textId="77777777" w:rsidR="0003162D" w:rsidRPr="00665EC9" w:rsidRDefault="0003162D" w:rsidP="005D1D30">
      <w:pPr>
        <w:pStyle w:val="ListParagraph"/>
        <w:ind w:left="851" w:hanging="851"/>
        <w:rPr>
          <w:rFonts w:ascii="Arial" w:hAnsi="Arial" w:cs="Arial"/>
          <w:bCs/>
          <w:sz w:val="22"/>
          <w:szCs w:val="22"/>
        </w:rPr>
      </w:pPr>
    </w:p>
    <w:p w14:paraId="6CB4C70C" w14:textId="767F2CF7" w:rsidR="0003162D" w:rsidRDefault="00F67663" w:rsidP="00F67663">
      <w:pPr>
        <w:pStyle w:val="Body"/>
        <w:spacing w:line="360" w:lineRule="auto"/>
        <w:ind w:left="1985" w:hanging="1134"/>
        <w:jc w:val="both"/>
        <w:rPr>
          <w:rFonts w:cs="Arial"/>
          <w:bCs/>
          <w:sz w:val="24"/>
          <w:szCs w:val="24"/>
        </w:rPr>
      </w:pPr>
      <w:r>
        <w:rPr>
          <w:rFonts w:cs="Arial"/>
          <w:bCs/>
          <w:sz w:val="24"/>
          <w:szCs w:val="24"/>
        </w:rPr>
        <w:t>10.1</w:t>
      </w:r>
      <w:r>
        <w:rPr>
          <w:rFonts w:cs="Arial"/>
          <w:bCs/>
          <w:sz w:val="24"/>
          <w:szCs w:val="24"/>
        </w:rPr>
        <w:tab/>
      </w:r>
      <w:r w:rsidR="0065125E" w:rsidRPr="00AE50B8">
        <w:rPr>
          <w:rFonts w:cs="Arial"/>
          <w:bCs/>
          <w:sz w:val="24"/>
          <w:szCs w:val="24"/>
        </w:rPr>
        <w:t>Parents had been denied contact with their children.</w:t>
      </w:r>
    </w:p>
    <w:p w14:paraId="6AC2AB33" w14:textId="77777777" w:rsidR="0003162D" w:rsidRDefault="0003162D" w:rsidP="0003162D">
      <w:pPr>
        <w:pStyle w:val="Body"/>
        <w:spacing w:line="360" w:lineRule="auto"/>
        <w:ind w:left="1985"/>
        <w:jc w:val="both"/>
        <w:rPr>
          <w:rFonts w:cs="Arial"/>
          <w:bCs/>
          <w:sz w:val="24"/>
          <w:szCs w:val="24"/>
        </w:rPr>
      </w:pPr>
    </w:p>
    <w:p w14:paraId="1E646372" w14:textId="16A5ECEE" w:rsidR="0003162D" w:rsidRDefault="00F67663" w:rsidP="00F67663">
      <w:pPr>
        <w:pStyle w:val="Body"/>
        <w:spacing w:line="360" w:lineRule="auto"/>
        <w:ind w:left="1985" w:hanging="1134"/>
        <w:jc w:val="both"/>
        <w:rPr>
          <w:rFonts w:cs="Arial"/>
          <w:bCs/>
          <w:sz w:val="24"/>
          <w:szCs w:val="24"/>
        </w:rPr>
      </w:pPr>
      <w:r>
        <w:rPr>
          <w:rFonts w:cs="Arial"/>
          <w:bCs/>
          <w:sz w:val="24"/>
          <w:szCs w:val="24"/>
        </w:rPr>
        <w:t>10.2</w:t>
      </w:r>
      <w:r>
        <w:rPr>
          <w:rFonts w:cs="Arial"/>
          <w:bCs/>
          <w:sz w:val="24"/>
          <w:szCs w:val="24"/>
        </w:rPr>
        <w:tab/>
      </w:r>
      <w:r w:rsidR="0065125E" w:rsidRPr="0003162D">
        <w:rPr>
          <w:rFonts w:cs="Arial"/>
          <w:bCs/>
          <w:sz w:val="24"/>
          <w:szCs w:val="24"/>
        </w:rPr>
        <w:t xml:space="preserve">Placement </w:t>
      </w:r>
      <w:r w:rsidR="00CD55DE" w:rsidRPr="0003162D">
        <w:rPr>
          <w:rFonts w:cs="Arial"/>
          <w:bCs/>
          <w:sz w:val="24"/>
          <w:szCs w:val="24"/>
        </w:rPr>
        <w:t xml:space="preserve">had been made </w:t>
      </w:r>
      <w:r w:rsidR="0065125E" w:rsidRPr="0003162D">
        <w:rPr>
          <w:rFonts w:cs="Arial"/>
          <w:bCs/>
          <w:sz w:val="24"/>
          <w:szCs w:val="24"/>
        </w:rPr>
        <w:t>of children in unrelated foster care with parents who had no children of their own together with the separation of siblings.</w:t>
      </w:r>
    </w:p>
    <w:p w14:paraId="0C47C237" w14:textId="77777777" w:rsidR="0003162D" w:rsidRDefault="0003162D" w:rsidP="0003162D">
      <w:pPr>
        <w:pStyle w:val="ListParagraph"/>
        <w:rPr>
          <w:rFonts w:cs="Arial"/>
          <w:bCs/>
        </w:rPr>
      </w:pPr>
    </w:p>
    <w:p w14:paraId="7D3794EB" w14:textId="33C7E4EB" w:rsidR="0003162D" w:rsidRDefault="00F67663" w:rsidP="00F67663">
      <w:pPr>
        <w:pStyle w:val="Body"/>
        <w:spacing w:line="360" w:lineRule="auto"/>
        <w:ind w:left="1985" w:hanging="1134"/>
        <w:jc w:val="both"/>
        <w:rPr>
          <w:rFonts w:cs="Arial"/>
          <w:bCs/>
          <w:sz w:val="24"/>
          <w:szCs w:val="24"/>
        </w:rPr>
      </w:pPr>
      <w:r>
        <w:rPr>
          <w:rFonts w:cs="Arial"/>
          <w:bCs/>
          <w:sz w:val="24"/>
          <w:szCs w:val="24"/>
        </w:rPr>
        <w:t>10.3</w:t>
      </w:r>
      <w:r>
        <w:rPr>
          <w:rFonts w:cs="Arial"/>
          <w:bCs/>
          <w:sz w:val="24"/>
          <w:szCs w:val="24"/>
        </w:rPr>
        <w:tab/>
      </w:r>
      <w:r w:rsidR="00CD55DE" w:rsidRPr="0003162D">
        <w:rPr>
          <w:rFonts w:cs="Arial"/>
          <w:bCs/>
          <w:sz w:val="24"/>
          <w:szCs w:val="24"/>
        </w:rPr>
        <w:t>There was a l</w:t>
      </w:r>
      <w:r w:rsidR="0065125E" w:rsidRPr="0003162D">
        <w:rPr>
          <w:rFonts w:cs="Arial"/>
          <w:bCs/>
          <w:sz w:val="24"/>
          <w:szCs w:val="24"/>
        </w:rPr>
        <w:t>ack of empowerment and support services to biological parents.</w:t>
      </w:r>
    </w:p>
    <w:p w14:paraId="5858E4F2" w14:textId="77777777" w:rsidR="0003162D" w:rsidRDefault="0003162D" w:rsidP="0003162D">
      <w:pPr>
        <w:pStyle w:val="ListParagraph"/>
        <w:rPr>
          <w:rFonts w:cs="Arial"/>
          <w:bCs/>
        </w:rPr>
      </w:pPr>
    </w:p>
    <w:p w14:paraId="62D899DA" w14:textId="694C6B93" w:rsidR="0003162D" w:rsidRDefault="00F67663" w:rsidP="00F67663">
      <w:pPr>
        <w:pStyle w:val="Body"/>
        <w:spacing w:line="360" w:lineRule="auto"/>
        <w:ind w:left="1985" w:hanging="1134"/>
        <w:jc w:val="both"/>
        <w:rPr>
          <w:rFonts w:cs="Arial"/>
          <w:bCs/>
          <w:sz w:val="24"/>
          <w:szCs w:val="24"/>
        </w:rPr>
      </w:pPr>
      <w:r>
        <w:rPr>
          <w:rFonts w:cs="Arial"/>
          <w:bCs/>
          <w:sz w:val="24"/>
          <w:szCs w:val="24"/>
        </w:rPr>
        <w:t>10.4</w:t>
      </w:r>
      <w:r>
        <w:rPr>
          <w:rFonts w:cs="Arial"/>
          <w:bCs/>
          <w:sz w:val="24"/>
          <w:szCs w:val="24"/>
        </w:rPr>
        <w:tab/>
      </w:r>
      <w:r w:rsidR="00CD55DE" w:rsidRPr="0003162D">
        <w:rPr>
          <w:rFonts w:cs="Arial"/>
          <w:bCs/>
          <w:sz w:val="24"/>
          <w:szCs w:val="24"/>
        </w:rPr>
        <w:t>There was a l</w:t>
      </w:r>
      <w:r w:rsidR="0065125E" w:rsidRPr="0003162D">
        <w:rPr>
          <w:rFonts w:cs="Arial"/>
          <w:bCs/>
          <w:sz w:val="24"/>
          <w:szCs w:val="24"/>
        </w:rPr>
        <w:t>ack of reunification services.</w:t>
      </w:r>
    </w:p>
    <w:p w14:paraId="2A9321AE" w14:textId="77777777" w:rsidR="0003162D" w:rsidRDefault="0003162D" w:rsidP="0003162D">
      <w:pPr>
        <w:pStyle w:val="ListParagraph"/>
        <w:rPr>
          <w:rFonts w:cs="Arial"/>
          <w:bCs/>
        </w:rPr>
      </w:pPr>
    </w:p>
    <w:p w14:paraId="2BAA4B77" w14:textId="036F8BA2" w:rsidR="0003162D" w:rsidRDefault="00F67663" w:rsidP="00F67663">
      <w:pPr>
        <w:pStyle w:val="Body"/>
        <w:spacing w:line="360" w:lineRule="auto"/>
        <w:ind w:left="1985" w:hanging="1134"/>
        <w:jc w:val="both"/>
        <w:rPr>
          <w:rFonts w:cs="Arial"/>
          <w:bCs/>
          <w:sz w:val="24"/>
          <w:szCs w:val="24"/>
        </w:rPr>
      </w:pPr>
      <w:r>
        <w:rPr>
          <w:rFonts w:cs="Arial"/>
          <w:bCs/>
          <w:sz w:val="24"/>
          <w:szCs w:val="24"/>
        </w:rPr>
        <w:t>10.5</w:t>
      </w:r>
      <w:r>
        <w:rPr>
          <w:rFonts w:cs="Arial"/>
          <w:bCs/>
          <w:sz w:val="24"/>
          <w:szCs w:val="24"/>
        </w:rPr>
        <w:tab/>
      </w:r>
      <w:r w:rsidR="0065125E" w:rsidRPr="0003162D">
        <w:rPr>
          <w:rFonts w:cs="Arial"/>
          <w:bCs/>
          <w:sz w:val="24"/>
          <w:szCs w:val="24"/>
        </w:rPr>
        <w:t xml:space="preserve">Children </w:t>
      </w:r>
      <w:r w:rsidR="00CD55DE" w:rsidRPr="0003162D">
        <w:rPr>
          <w:rFonts w:cs="Arial"/>
          <w:bCs/>
          <w:sz w:val="24"/>
          <w:szCs w:val="24"/>
        </w:rPr>
        <w:t xml:space="preserve">were </w:t>
      </w:r>
      <w:r w:rsidR="0065125E" w:rsidRPr="0003162D">
        <w:rPr>
          <w:rFonts w:cs="Arial"/>
          <w:bCs/>
          <w:sz w:val="24"/>
          <w:szCs w:val="24"/>
        </w:rPr>
        <w:t>being given away for adoption on the pretext of it being in the best interests of the child.</w:t>
      </w:r>
    </w:p>
    <w:p w14:paraId="3F1DDB90" w14:textId="77777777" w:rsidR="0003162D" w:rsidRDefault="0003162D" w:rsidP="0003162D">
      <w:pPr>
        <w:pStyle w:val="ListParagraph"/>
        <w:rPr>
          <w:rFonts w:cs="Arial"/>
          <w:bCs/>
        </w:rPr>
      </w:pPr>
    </w:p>
    <w:p w14:paraId="62297B91" w14:textId="091EF37C" w:rsidR="0003162D" w:rsidRDefault="00F67663" w:rsidP="00F67663">
      <w:pPr>
        <w:pStyle w:val="Body"/>
        <w:spacing w:line="360" w:lineRule="auto"/>
        <w:ind w:left="1985" w:hanging="1134"/>
        <w:jc w:val="both"/>
        <w:rPr>
          <w:rFonts w:cs="Arial"/>
          <w:bCs/>
          <w:sz w:val="24"/>
          <w:szCs w:val="24"/>
        </w:rPr>
      </w:pPr>
      <w:r>
        <w:rPr>
          <w:rFonts w:cs="Arial"/>
          <w:bCs/>
          <w:sz w:val="24"/>
          <w:szCs w:val="24"/>
        </w:rPr>
        <w:t>10.6</w:t>
      </w:r>
      <w:r>
        <w:rPr>
          <w:rFonts w:cs="Arial"/>
          <w:bCs/>
          <w:sz w:val="24"/>
          <w:szCs w:val="24"/>
        </w:rPr>
        <w:tab/>
      </w:r>
      <w:r w:rsidR="00CD55DE" w:rsidRPr="0003162D">
        <w:rPr>
          <w:rFonts w:cs="Arial"/>
          <w:bCs/>
          <w:sz w:val="24"/>
          <w:szCs w:val="24"/>
        </w:rPr>
        <w:t>There was a</w:t>
      </w:r>
      <w:r w:rsidR="0065125E" w:rsidRPr="0003162D">
        <w:rPr>
          <w:rFonts w:cs="Arial"/>
          <w:bCs/>
          <w:sz w:val="24"/>
          <w:szCs w:val="24"/>
        </w:rPr>
        <w:t xml:space="preserve"> breakdown of the relationship of trust between the biological families and CMR North social workers and</w:t>
      </w:r>
      <w:r w:rsidR="00F94A75" w:rsidRPr="0003162D">
        <w:rPr>
          <w:rFonts w:cs="Arial"/>
          <w:bCs/>
          <w:sz w:val="24"/>
          <w:szCs w:val="24"/>
        </w:rPr>
        <w:t xml:space="preserve"> with the social work profession as a whole</w:t>
      </w:r>
      <w:r w:rsidR="00CD55DE" w:rsidRPr="0003162D">
        <w:rPr>
          <w:rFonts w:cs="Arial"/>
          <w:bCs/>
          <w:sz w:val="24"/>
          <w:szCs w:val="24"/>
        </w:rPr>
        <w:t>.</w:t>
      </w:r>
    </w:p>
    <w:p w14:paraId="6C765A37" w14:textId="77777777" w:rsidR="0003162D" w:rsidRDefault="0003162D" w:rsidP="0003162D">
      <w:pPr>
        <w:pStyle w:val="ListParagraph"/>
        <w:rPr>
          <w:rFonts w:cs="Arial"/>
          <w:bCs/>
        </w:rPr>
      </w:pPr>
    </w:p>
    <w:p w14:paraId="472E729F" w14:textId="00EFC32B" w:rsidR="0065125E" w:rsidRPr="0003162D" w:rsidRDefault="00F67663" w:rsidP="00F67663">
      <w:pPr>
        <w:pStyle w:val="Body"/>
        <w:spacing w:line="360" w:lineRule="auto"/>
        <w:ind w:left="1985" w:hanging="1134"/>
        <w:jc w:val="both"/>
        <w:rPr>
          <w:rFonts w:cs="Arial"/>
          <w:bCs/>
          <w:sz w:val="24"/>
          <w:szCs w:val="24"/>
        </w:rPr>
      </w:pPr>
      <w:r w:rsidRPr="0003162D">
        <w:rPr>
          <w:rFonts w:cs="Arial"/>
          <w:bCs/>
          <w:sz w:val="24"/>
          <w:szCs w:val="24"/>
        </w:rPr>
        <w:t>10.7</w:t>
      </w:r>
      <w:r w:rsidRPr="0003162D">
        <w:rPr>
          <w:rFonts w:cs="Arial"/>
          <w:bCs/>
          <w:sz w:val="24"/>
          <w:szCs w:val="24"/>
        </w:rPr>
        <w:tab/>
      </w:r>
      <w:r w:rsidR="00CD55DE" w:rsidRPr="0003162D">
        <w:rPr>
          <w:rFonts w:cs="Arial"/>
          <w:bCs/>
          <w:sz w:val="24"/>
          <w:szCs w:val="24"/>
        </w:rPr>
        <w:t>There was a</w:t>
      </w:r>
      <w:r w:rsidR="00F94A75" w:rsidRPr="0003162D">
        <w:rPr>
          <w:rFonts w:cs="Arial"/>
          <w:bCs/>
          <w:sz w:val="24"/>
          <w:szCs w:val="24"/>
        </w:rPr>
        <w:t xml:space="preserve"> hostile children’s court environment for biological parents and the Department of Social Development social workers.</w:t>
      </w:r>
    </w:p>
    <w:p w14:paraId="739FADF7" w14:textId="77777777" w:rsidR="005D1D30" w:rsidRPr="00665EC9" w:rsidRDefault="005D1D30" w:rsidP="00F94A75">
      <w:pPr>
        <w:pStyle w:val="Body"/>
        <w:ind w:left="1440"/>
        <w:jc w:val="both"/>
        <w:rPr>
          <w:rFonts w:cs="Arial"/>
          <w:bCs/>
          <w:sz w:val="22"/>
          <w:szCs w:val="22"/>
        </w:rPr>
      </w:pPr>
    </w:p>
    <w:p w14:paraId="3C6799B3" w14:textId="0D8D4DD6" w:rsidR="00F64212" w:rsidRPr="00AE50B8" w:rsidRDefault="00F67663" w:rsidP="00F67663">
      <w:pPr>
        <w:pStyle w:val="Body"/>
        <w:spacing w:line="360" w:lineRule="auto"/>
        <w:ind w:left="851" w:hanging="851"/>
        <w:jc w:val="both"/>
        <w:rPr>
          <w:rFonts w:cs="Arial"/>
          <w:bCs/>
          <w:sz w:val="24"/>
          <w:szCs w:val="24"/>
        </w:rPr>
      </w:pPr>
      <w:r w:rsidRPr="00AE50B8">
        <w:rPr>
          <w:rFonts w:cs="Arial"/>
          <w:bCs/>
          <w:sz w:val="24"/>
          <w:szCs w:val="24"/>
        </w:rPr>
        <w:t>11.</w:t>
      </w:r>
      <w:r w:rsidRPr="00AE50B8">
        <w:rPr>
          <w:rFonts w:cs="Arial"/>
          <w:bCs/>
          <w:sz w:val="24"/>
          <w:szCs w:val="24"/>
        </w:rPr>
        <w:tab/>
      </w:r>
      <w:r w:rsidR="00F94A75" w:rsidRPr="00AE50B8">
        <w:rPr>
          <w:rFonts w:cs="Arial"/>
          <w:bCs/>
          <w:sz w:val="24"/>
          <w:szCs w:val="24"/>
        </w:rPr>
        <w:t xml:space="preserve">In each case the DSD made a recommendation.  The crux of these recommendations was that the funding of CMR North as well as the cases that its social workers had dealt with should be reviewed </w:t>
      </w:r>
      <w:r w:rsidR="00AE50B8" w:rsidRPr="00AE50B8">
        <w:rPr>
          <w:rFonts w:cs="Arial"/>
          <w:bCs/>
          <w:sz w:val="24"/>
          <w:szCs w:val="24"/>
        </w:rPr>
        <w:t>and</w:t>
      </w:r>
      <w:r w:rsidR="00F94A75" w:rsidRPr="00AE50B8">
        <w:rPr>
          <w:rFonts w:cs="Arial"/>
          <w:bCs/>
          <w:sz w:val="24"/>
          <w:szCs w:val="24"/>
        </w:rPr>
        <w:t xml:space="preserve"> that the partnership</w:t>
      </w:r>
      <w:r w:rsidR="00CD55DE">
        <w:rPr>
          <w:rFonts w:cs="Arial"/>
          <w:bCs/>
          <w:sz w:val="24"/>
          <w:szCs w:val="24"/>
        </w:rPr>
        <w:t xml:space="preserve"> and</w:t>
      </w:r>
      <w:r w:rsidR="00F94A75" w:rsidRPr="00AE50B8">
        <w:rPr>
          <w:rFonts w:cs="Arial"/>
          <w:bCs/>
          <w:sz w:val="24"/>
          <w:szCs w:val="24"/>
        </w:rPr>
        <w:t xml:space="preserve"> the CPO status of CMR North should be reviewed.</w:t>
      </w:r>
    </w:p>
    <w:p w14:paraId="6BEA7024" w14:textId="77777777" w:rsidR="00F64212" w:rsidRPr="00AE50B8" w:rsidRDefault="00F64212" w:rsidP="005D1D30">
      <w:pPr>
        <w:pStyle w:val="Body"/>
        <w:spacing w:line="360" w:lineRule="auto"/>
        <w:ind w:left="851" w:hanging="851"/>
        <w:jc w:val="both"/>
        <w:rPr>
          <w:rFonts w:cs="Arial"/>
          <w:bCs/>
          <w:sz w:val="24"/>
          <w:szCs w:val="24"/>
        </w:rPr>
      </w:pPr>
    </w:p>
    <w:p w14:paraId="25499F37" w14:textId="23AF0CDD" w:rsidR="009C098B" w:rsidRDefault="00F67663" w:rsidP="00F67663">
      <w:pPr>
        <w:pStyle w:val="Body"/>
        <w:spacing w:line="360" w:lineRule="auto"/>
        <w:ind w:left="851" w:hanging="851"/>
        <w:jc w:val="both"/>
        <w:rPr>
          <w:rFonts w:cs="Arial"/>
          <w:bCs/>
          <w:sz w:val="24"/>
          <w:szCs w:val="24"/>
        </w:rPr>
      </w:pPr>
      <w:r>
        <w:rPr>
          <w:rFonts w:cs="Arial"/>
          <w:bCs/>
          <w:sz w:val="24"/>
          <w:szCs w:val="24"/>
        </w:rPr>
        <w:lastRenderedPageBreak/>
        <w:t>12.</w:t>
      </w:r>
      <w:r>
        <w:rPr>
          <w:rFonts w:cs="Arial"/>
          <w:bCs/>
          <w:sz w:val="24"/>
          <w:szCs w:val="24"/>
        </w:rPr>
        <w:tab/>
      </w:r>
      <w:r w:rsidR="00BE3E46" w:rsidRPr="00AE50B8">
        <w:rPr>
          <w:rFonts w:cs="Arial"/>
          <w:bCs/>
          <w:sz w:val="24"/>
          <w:szCs w:val="24"/>
        </w:rPr>
        <w:t xml:space="preserve">In consequence of the allegations made on 21 January 2022 and the recommendations made in consequence, a team of social workers was mandated by the DSD to prepare a </w:t>
      </w:r>
      <w:r w:rsidR="009C098B">
        <w:rPr>
          <w:rFonts w:cs="Arial"/>
          <w:bCs/>
          <w:sz w:val="24"/>
          <w:szCs w:val="24"/>
        </w:rPr>
        <w:t xml:space="preserve">DQA report </w:t>
      </w:r>
      <w:r w:rsidR="00BE3E46" w:rsidRPr="00AE50B8">
        <w:rPr>
          <w:rFonts w:cs="Arial"/>
          <w:bCs/>
          <w:sz w:val="24"/>
          <w:szCs w:val="24"/>
        </w:rPr>
        <w:t xml:space="preserve">on CMR North.  </w:t>
      </w:r>
    </w:p>
    <w:p w14:paraId="1B30DC2A" w14:textId="3C7AE710" w:rsidR="0003162D" w:rsidRPr="00CF1CC9" w:rsidRDefault="0003162D" w:rsidP="00CF1CC9">
      <w:pPr>
        <w:rPr>
          <w:rFonts w:cs="Arial"/>
          <w:bCs/>
        </w:rPr>
      </w:pPr>
    </w:p>
    <w:p w14:paraId="51FF264E" w14:textId="446D61D7" w:rsidR="0003162D" w:rsidRDefault="0003162D" w:rsidP="005D1D30">
      <w:pPr>
        <w:pStyle w:val="ListParagraph"/>
        <w:ind w:left="851" w:hanging="851"/>
        <w:rPr>
          <w:rFonts w:cs="Arial"/>
          <w:bCs/>
        </w:rPr>
      </w:pPr>
    </w:p>
    <w:p w14:paraId="334F5756" w14:textId="77777777" w:rsidR="0003162D" w:rsidRDefault="0003162D" w:rsidP="005D1D30">
      <w:pPr>
        <w:pStyle w:val="ListParagraph"/>
        <w:ind w:left="851" w:hanging="851"/>
        <w:rPr>
          <w:rFonts w:cs="Arial"/>
          <w:bCs/>
        </w:rPr>
      </w:pPr>
    </w:p>
    <w:p w14:paraId="370EBCBA" w14:textId="02A58A16" w:rsidR="00BE3E46" w:rsidRPr="00AE50B8" w:rsidRDefault="00F67663" w:rsidP="00F67663">
      <w:pPr>
        <w:pStyle w:val="Body"/>
        <w:spacing w:line="360" w:lineRule="auto"/>
        <w:ind w:left="851" w:hanging="851"/>
        <w:jc w:val="both"/>
        <w:rPr>
          <w:rFonts w:cs="Arial"/>
          <w:bCs/>
          <w:sz w:val="24"/>
          <w:szCs w:val="24"/>
        </w:rPr>
      </w:pPr>
      <w:r w:rsidRPr="00AE50B8">
        <w:rPr>
          <w:rFonts w:cs="Arial"/>
          <w:bCs/>
          <w:sz w:val="24"/>
          <w:szCs w:val="24"/>
        </w:rPr>
        <w:t>13.</w:t>
      </w:r>
      <w:r w:rsidRPr="00AE50B8">
        <w:rPr>
          <w:rFonts w:cs="Arial"/>
          <w:bCs/>
          <w:sz w:val="24"/>
          <w:szCs w:val="24"/>
        </w:rPr>
        <w:tab/>
      </w:r>
      <w:r w:rsidR="00BE3E46" w:rsidRPr="00AE50B8">
        <w:rPr>
          <w:rFonts w:cs="Arial"/>
          <w:bCs/>
          <w:sz w:val="24"/>
          <w:szCs w:val="24"/>
        </w:rPr>
        <w:t xml:space="preserve">The team tasked with this consisted of 10 social workers who did this over a total </w:t>
      </w:r>
      <w:r w:rsidR="00CD55DE" w:rsidRPr="00AE50B8">
        <w:rPr>
          <w:rFonts w:cs="Arial"/>
          <w:bCs/>
          <w:sz w:val="24"/>
          <w:szCs w:val="24"/>
        </w:rPr>
        <w:t>5-day</w:t>
      </w:r>
      <w:r w:rsidR="00BE3E46" w:rsidRPr="00AE50B8">
        <w:rPr>
          <w:rFonts w:cs="Arial"/>
          <w:bCs/>
          <w:sz w:val="24"/>
          <w:szCs w:val="24"/>
        </w:rPr>
        <w:t xml:space="preserve"> period, initially on 26 and 27 January 2022 and thereafter on 15, 16 and 17 February 2022.</w:t>
      </w:r>
      <w:r w:rsidR="00215E00" w:rsidRPr="00AE50B8">
        <w:rPr>
          <w:rFonts w:cs="Arial"/>
          <w:bCs/>
          <w:sz w:val="24"/>
          <w:szCs w:val="24"/>
        </w:rPr>
        <w:t xml:space="preserve">  </w:t>
      </w:r>
      <w:r w:rsidR="005C62C5">
        <w:rPr>
          <w:rFonts w:cs="Arial"/>
          <w:bCs/>
          <w:sz w:val="24"/>
          <w:szCs w:val="24"/>
        </w:rPr>
        <w:t xml:space="preserve">In undertaking </w:t>
      </w:r>
      <w:r w:rsidR="009C098B">
        <w:rPr>
          <w:rFonts w:cs="Arial"/>
          <w:bCs/>
          <w:sz w:val="24"/>
          <w:szCs w:val="24"/>
        </w:rPr>
        <w:t xml:space="preserve">the </w:t>
      </w:r>
      <w:r w:rsidR="009C098B" w:rsidRPr="00AE50B8">
        <w:rPr>
          <w:rFonts w:cs="Arial"/>
          <w:bCs/>
          <w:sz w:val="24"/>
          <w:szCs w:val="24"/>
        </w:rPr>
        <w:t>process,</w:t>
      </w:r>
      <w:r w:rsidR="005C62C5">
        <w:rPr>
          <w:rFonts w:cs="Arial"/>
          <w:bCs/>
          <w:sz w:val="24"/>
          <w:szCs w:val="24"/>
        </w:rPr>
        <w:t xml:space="preserve"> it was identified that</w:t>
      </w:r>
      <w:r w:rsidR="00215E00" w:rsidRPr="00AE50B8">
        <w:rPr>
          <w:rFonts w:cs="Arial"/>
          <w:bCs/>
          <w:sz w:val="24"/>
          <w:szCs w:val="24"/>
        </w:rPr>
        <w:t>:</w:t>
      </w:r>
    </w:p>
    <w:p w14:paraId="3CCC8ACC" w14:textId="4BCD8F45" w:rsidR="00215E00" w:rsidRDefault="00215E00" w:rsidP="00215E00">
      <w:pPr>
        <w:pStyle w:val="ListParagraph"/>
        <w:rPr>
          <w:rFonts w:ascii="Arial" w:hAnsi="Arial" w:cs="Arial"/>
          <w:bCs/>
          <w:sz w:val="22"/>
          <w:szCs w:val="22"/>
        </w:rPr>
      </w:pPr>
    </w:p>
    <w:p w14:paraId="27FE1F90" w14:textId="77777777" w:rsidR="005D1D30" w:rsidRPr="00665EC9" w:rsidRDefault="005D1D30" w:rsidP="00215E00">
      <w:pPr>
        <w:pStyle w:val="ListParagraph"/>
        <w:rPr>
          <w:rFonts w:ascii="Arial" w:hAnsi="Arial" w:cs="Arial"/>
          <w:bCs/>
          <w:sz w:val="22"/>
          <w:szCs w:val="22"/>
        </w:rPr>
      </w:pPr>
    </w:p>
    <w:p w14:paraId="65DF2648" w14:textId="2891F660" w:rsidR="00215E00" w:rsidRPr="00665EC9" w:rsidRDefault="00F67663" w:rsidP="00F67663">
      <w:pPr>
        <w:pStyle w:val="Body"/>
        <w:spacing w:line="360" w:lineRule="auto"/>
        <w:ind w:left="1985" w:hanging="567"/>
        <w:jc w:val="both"/>
        <w:rPr>
          <w:rFonts w:cs="Arial"/>
          <w:bCs/>
          <w:i/>
          <w:iCs/>
          <w:sz w:val="22"/>
          <w:szCs w:val="22"/>
        </w:rPr>
      </w:pPr>
      <w:r w:rsidRPr="00665EC9">
        <w:rPr>
          <w:rFonts w:ascii="Symbol" w:hAnsi="Symbol" w:cs="Arial"/>
          <w:bCs/>
          <w:iCs/>
          <w:sz w:val="22"/>
          <w:szCs w:val="22"/>
        </w:rPr>
        <w:t></w:t>
      </w:r>
      <w:r w:rsidRPr="00665EC9">
        <w:rPr>
          <w:rFonts w:ascii="Symbol" w:hAnsi="Symbol" w:cs="Arial"/>
          <w:bCs/>
          <w:iCs/>
          <w:sz w:val="22"/>
          <w:szCs w:val="22"/>
        </w:rPr>
        <w:tab/>
      </w:r>
      <w:r w:rsidR="00215E00" w:rsidRPr="00665EC9">
        <w:rPr>
          <w:rFonts w:cs="Arial"/>
          <w:bCs/>
          <w:i/>
          <w:iCs/>
          <w:sz w:val="22"/>
          <w:szCs w:val="22"/>
        </w:rPr>
        <w:t>“</w:t>
      </w:r>
      <w:r w:rsidR="002D4352" w:rsidRPr="00665EC9">
        <w:rPr>
          <w:rFonts w:cs="Arial"/>
          <w:bCs/>
          <w:i/>
          <w:iCs/>
          <w:sz w:val="22"/>
          <w:szCs w:val="22"/>
        </w:rPr>
        <w:t>T</w:t>
      </w:r>
      <w:r w:rsidR="00215E00" w:rsidRPr="00665EC9">
        <w:rPr>
          <w:rFonts w:cs="Arial"/>
          <w:bCs/>
          <w:i/>
          <w:iCs/>
          <w:sz w:val="22"/>
          <w:szCs w:val="22"/>
        </w:rPr>
        <w:t>here were about two thousand (2000) given to the DQA team to audit covering all areas</w:t>
      </w:r>
      <w:r w:rsidR="002D4352" w:rsidRPr="00665EC9">
        <w:rPr>
          <w:rFonts w:cs="Arial"/>
          <w:bCs/>
          <w:i/>
          <w:iCs/>
          <w:sz w:val="22"/>
          <w:szCs w:val="22"/>
        </w:rPr>
        <w:t xml:space="preserve"> (sic)</w:t>
      </w:r>
      <w:r w:rsidR="00215E00" w:rsidRPr="00665EC9">
        <w:rPr>
          <w:rFonts w:cs="Arial"/>
          <w:bCs/>
          <w:i/>
          <w:iCs/>
          <w:sz w:val="22"/>
          <w:szCs w:val="22"/>
        </w:rPr>
        <w:t xml:space="preserve"> services</w:t>
      </w:r>
      <w:r w:rsidR="002D4352" w:rsidRPr="00665EC9">
        <w:rPr>
          <w:rFonts w:cs="Arial"/>
          <w:bCs/>
          <w:i/>
          <w:iCs/>
          <w:sz w:val="22"/>
          <w:szCs w:val="22"/>
        </w:rPr>
        <w:t xml:space="preserve"> by CMR </w:t>
      </w:r>
      <w:r w:rsidR="009C098B" w:rsidRPr="00665EC9">
        <w:rPr>
          <w:rFonts w:cs="Arial"/>
          <w:bCs/>
          <w:i/>
          <w:iCs/>
          <w:sz w:val="22"/>
          <w:szCs w:val="22"/>
        </w:rPr>
        <w:t>North.</w:t>
      </w:r>
    </w:p>
    <w:p w14:paraId="58617B76" w14:textId="77777777" w:rsidR="002D4352" w:rsidRPr="00665EC9" w:rsidRDefault="002D4352" w:rsidP="005D1D30">
      <w:pPr>
        <w:pStyle w:val="Body"/>
        <w:spacing w:line="360" w:lineRule="auto"/>
        <w:ind w:left="1985" w:hanging="567"/>
        <w:jc w:val="both"/>
        <w:rPr>
          <w:rFonts w:cs="Arial"/>
          <w:bCs/>
          <w:i/>
          <w:iCs/>
          <w:sz w:val="22"/>
          <w:szCs w:val="22"/>
        </w:rPr>
      </w:pPr>
    </w:p>
    <w:p w14:paraId="48A2B7CD" w14:textId="53EC3AA0" w:rsidR="002D4352" w:rsidRPr="00665EC9" w:rsidRDefault="00F67663" w:rsidP="00F67663">
      <w:pPr>
        <w:pStyle w:val="Body"/>
        <w:spacing w:line="360" w:lineRule="auto"/>
        <w:ind w:left="1985" w:hanging="567"/>
        <w:jc w:val="both"/>
        <w:rPr>
          <w:rFonts w:cs="Arial"/>
          <w:bCs/>
          <w:i/>
          <w:iCs/>
          <w:sz w:val="22"/>
          <w:szCs w:val="22"/>
        </w:rPr>
      </w:pPr>
      <w:r w:rsidRPr="00665EC9">
        <w:rPr>
          <w:rFonts w:ascii="Symbol" w:hAnsi="Symbol" w:cs="Arial"/>
          <w:bCs/>
          <w:iCs/>
          <w:sz w:val="22"/>
          <w:szCs w:val="22"/>
        </w:rPr>
        <w:t></w:t>
      </w:r>
      <w:r w:rsidRPr="00665EC9">
        <w:rPr>
          <w:rFonts w:ascii="Symbol" w:hAnsi="Symbol" w:cs="Arial"/>
          <w:bCs/>
          <w:iCs/>
          <w:sz w:val="22"/>
          <w:szCs w:val="22"/>
        </w:rPr>
        <w:tab/>
      </w:r>
      <w:r w:rsidR="002D4352" w:rsidRPr="00665EC9">
        <w:rPr>
          <w:rFonts w:cs="Arial"/>
          <w:bCs/>
          <w:i/>
          <w:iCs/>
          <w:sz w:val="22"/>
          <w:szCs w:val="22"/>
        </w:rPr>
        <w:t>The files were inclusive of Foster care, Adoption, Temporary Safe Care and Reunification programs.  The team also, had access to closed files.</w:t>
      </w:r>
    </w:p>
    <w:p w14:paraId="1DF33600" w14:textId="77777777" w:rsidR="002D4352" w:rsidRPr="00665EC9" w:rsidRDefault="002D4352" w:rsidP="005D1D30">
      <w:pPr>
        <w:pStyle w:val="Body"/>
        <w:spacing w:line="360" w:lineRule="auto"/>
        <w:ind w:left="1985" w:hanging="567"/>
        <w:jc w:val="both"/>
        <w:rPr>
          <w:rFonts w:cs="Arial"/>
          <w:bCs/>
          <w:i/>
          <w:iCs/>
          <w:sz w:val="22"/>
          <w:szCs w:val="22"/>
        </w:rPr>
      </w:pPr>
    </w:p>
    <w:p w14:paraId="5A19E320" w14:textId="05D65D1B" w:rsidR="0060432F" w:rsidRPr="0003162D" w:rsidRDefault="002D4352" w:rsidP="0003162D">
      <w:pPr>
        <w:pStyle w:val="Body"/>
        <w:spacing w:line="360" w:lineRule="auto"/>
        <w:ind w:left="1985" w:hanging="567"/>
        <w:jc w:val="both"/>
        <w:rPr>
          <w:rFonts w:cs="Arial"/>
          <w:bCs/>
          <w:i/>
          <w:iCs/>
          <w:sz w:val="22"/>
          <w:szCs w:val="22"/>
        </w:rPr>
      </w:pPr>
      <w:r w:rsidRPr="00665EC9">
        <w:rPr>
          <w:rFonts w:cs="Arial"/>
          <w:bCs/>
          <w:i/>
          <w:iCs/>
          <w:sz w:val="22"/>
          <w:szCs w:val="22"/>
        </w:rPr>
        <w:t xml:space="preserve">The team sampled 168 </w:t>
      </w:r>
      <w:r w:rsidR="00291DE0" w:rsidRPr="00665EC9">
        <w:rPr>
          <w:rFonts w:cs="Arial"/>
          <w:bCs/>
          <w:i/>
          <w:iCs/>
          <w:sz w:val="22"/>
          <w:szCs w:val="22"/>
        </w:rPr>
        <w:t>files;</w:t>
      </w:r>
      <w:r w:rsidRPr="00665EC9">
        <w:rPr>
          <w:rFonts w:cs="Arial"/>
          <w:bCs/>
          <w:i/>
          <w:iCs/>
          <w:sz w:val="22"/>
          <w:szCs w:val="22"/>
        </w:rPr>
        <w:t xml:space="preserve"> each team member quality assured about 7 to 8 files.”</w:t>
      </w:r>
    </w:p>
    <w:p w14:paraId="3305085F" w14:textId="77777777" w:rsidR="005D1D30" w:rsidRPr="00AE50B8" w:rsidRDefault="005D1D30" w:rsidP="00AE50B8">
      <w:pPr>
        <w:pStyle w:val="Body"/>
        <w:spacing w:line="360" w:lineRule="auto"/>
        <w:ind w:left="720"/>
        <w:jc w:val="both"/>
        <w:rPr>
          <w:rFonts w:cs="Arial"/>
          <w:bCs/>
          <w:sz w:val="24"/>
          <w:szCs w:val="24"/>
        </w:rPr>
      </w:pPr>
    </w:p>
    <w:p w14:paraId="1F7FE503" w14:textId="0DBAD78F" w:rsidR="00F64212" w:rsidRPr="00AE50B8" w:rsidRDefault="00F67663" w:rsidP="00F67663">
      <w:pPr>
        <w:pStyle w:val="Body"/>
        <w:spacing w:line="360" w:lineRule="auto"/>
        <w:ind w:left="851" w:hanging="851"/>
        <w:jc w:val="both"/>
        <w:rPr>
          <w:rFonts w:cs="Arial"/>
          <w:bCs/>
          <w:sz w:val="24"/>
          <w:szCs w:val="24"/>
        </w:rPr>
      </w:pPr>
      <w:r w:rsidRPr="00AE50B8">
        <w:rPr>
          <w:rFonts w:cs="Arial"/>
          <w:bCs/>
          <w:sz w:val="24"/>
          <w:szCs w:val="24"/>
        </w:rPr>
        <w:t>14.</w:t>
      </w:r>
      <w:r w:rsidRPr="00AE50B8">
        <w:rPr>
          <w:rFonts w:cs="Arial"/>
          <w:bCs/>
          <w:sz w:val="24"/>
          <w:szCs w:val="24"/>
        </w:rPr>
        <w:tab/>
      </w:r>
      <w:r w:rsidR="00F64212" w:rsidRPr="00AE50B8">
        <w:rPr>
          <w:rFonts w:cs="Arial"/>
          <w:bCs/>
          <w:sz w:val="24"/>
          <w:szCs w:val="24"/>
        </w:rPr>
        <w:t xml:space="preserve">Although only 168 of the 2000 files </w:t>
      </w:r>
      <w:r w:rsidR="00613937" w:rsidRPr="00AE50B8">
        <w:rPr>
          <w:rFonts w:cs="Arial"/>
          <w:bCs/>
          <w:sz w:val="24"/>
          <w:szCs w:val="24"/>
        </w:rPr>
        <w:t>i.e.,</w:t>
      </w:r>
      <w:r w:rsidR="00F64212" w:rsidRPr="00AE50B8">
        <w:rPr>
          <w:rFonts w:cs="Arial"/>
          <w:bCs/>
          <w:sz w:val="24"/>
          <w:szCs w:val="24"/>
        </w:rPr>
        <w:t xml:space="preserve"> 8,4% were considered, </w:t>
      </w:r>
      <w:r w:rsidR="00613937" w:rsidRPr="00AE50B8">
        <w:rPr>
          <w:rFonts w:cs="Arial"/>
          <w:bCs/>
          <w:sz w:val="24"/>
          <w:szCs w:val="24"/>
        </w:rPr>
        <w:t>several</w:t>
      </w:r>
      <w:r w:rsidR="00F64212" w:rsidRPr="00AE50B8">
        <w:rPr>
          <w:rFonts w:cs="Arial"/>
          <w:bCs/>
          <w:sz w:val="24"/>
          <w:szCs w:val="24"/>
        </w:rPr>
        <w:t xml:space="preserve"> conclusions were drawn which resulted in the following recommendations:</w:t>
      </w:r>
    </w:p>
    <w:p w14:paraId="0924D853" w14:textId="77777777" w:rsidR="00F64212" w:rsidRPr="00665EC9" w:rsidRDefault="00F64212" w:rsidP="00F64212">
      <w:pPr>
        <w:pStyle w:val="Body"/>
        <w:ind w:left="720"/>
        <w:jc w:val="both"/>
        <w:rPr>
          <w:rFonts w:cs="Arial"/>
          <w:bCs/>
          <w:sz w:val="22"/>
          <w:szCs w:val="22"/>
        </w:rPr>
      </w:pPr>
    </w:p>
    <w:p w14:paraId="393280CA" w14:textId="744ECA7B" w:rsidR="00F64212" w:rsidRDefault="00F67663" w:rsidP="00F67663">
      <w:pPr>
        <w:pStyle w:val="Body"/>
        <w:spacing w:line="360" w:lineRule="auto"/>
        <w:ind w:left="1985" w:hanging="567"/>
        <w:jc w:val="both"/>
        <w:rPr>
          <w:rFonts w:cs="Arial"/>
          <w:bCs/>
          <w:i/>
          <w:iCs/>
          <w:sz w:val="22"/>
          <w:szCs w:val="22"/>
        </w:rPr>
      </w:pPr>
      <w:r>
        <w:rPr>
          <w:rFonts w:ascii="Symbol" w:hAnsi="Symbol" w:cs="Arial"/>
          <w:bCs/>
          <w:iCs/>
          <w:sz w:val="22"/>
          <w:szCs w:val="22"/>
        </w:rPr>
        <w:t></w:t>
      </w:r>
      <w:r>
        <w:rPr>
          <w:rFonts w:ascii="Symbol" w:hAnsi="Symbol" w:cs="Arial"/>
          <w:bCs/>
          <w:iCs/>
          <w:sz w:val="22"/>
          <w:szCs w:val="22"/>
        </w:rPr>
        <w:tab/>
      </w:r>
      <w:r w:rsidR="00F64212" w:rsidRPr="00AE50B8">
        <w:rPr>
          <w:rFonts w:cs="Arial"/>
          <w:bCs/>
          <w:sz w:val="22"/>
          <w:szCs w:val="22"/>
        </w:rPr>
        <w:t>“</w:t>
      </w:r>
      <w:r w:rsidR="00F64212" w:rsidRPr="00AE50B8">
        <w:rPr>
          <w:rFonts w:cs="Arial"/>
          <w:bCs/>
          <w:i/>
          <w:iCs/>
          <w:sz w:val="22"/>
          <w:szCs w:val="22"/>
        </w:rPr>
        <w:t>All Case files be reassessed.</w:t>
      </w:r>
    </w:p>
    <w:p w14:paraId="7E02946E" w14:textId="77777777" w:rsidR="00AE50B8" w:rsidRPr="00AE50B8" w:rsidRDefault="00AE50B8" w:rsidP="005D1D30">
      <w:pPr>
        <w:pStyle w:val="Body"/>
        <w:spacing w:line="360" w:lineRule="auto"/>
        <w:ind w:left="1985" w:hanging="567"/>
        <w:jc w:val="both"/>
        <w:rPr>
          <w:rFonts w:cs="Arial"/>
          <w:bCs/>
          <w:i/>
          <w:iCs/>
          <w:sz w:val="22"/>
          <w:szCs w:val="22"/>
        </w:rPr>
      </w:pPr>
    </w:p>
    <w:p w14:paraId="2C687E2E" w14:textId="0B4F17C0" w:rsidR="00F64212" w:rsidRDefault="00F67663" w:rsidP="00F67663">
      <w:pPr>
        <w:pStyle w:val="Body"/>
        <w:spacing w:line="360" w:lineRule="auto"/>
        <w:ind w:left="1985" w:hanging="567"/>
        <w:jc w:val="both"/>
        <w:rPr>
          <w:rFonts w:cs="Arial"/>
          <w:bCs/>
          <w:i/>
          <w:iCs/>
          <w:sz w:val="22"/>
          <w:szCs w:val="22"/>
        </w:rPr>
      </w:pPr>
      <w:r>
        <w:rPr>
          <w:rFonts w:ascii="Symbol" w:hAnsi="Symbol" w:cs="Arial"/>
          <w:bCs/>
          <w:iCs/>
          <w:sz w:val="22"/>
          <w:szCs w:val="22"/>
        </w:rPr>
        <w:t></w:t>
      </w:r>
      <w:r>
        <w:rPr>
          <w:rFonts w:ascii="Symbol" w:hAnsi="Symbol" w:cs="Arial"/>
          <w:bCs/>
          <w:iCs/>
          <w:sz w:val="22"/>
          <w:szCs w:val="22"/>
        </w:rPr>
        <w:tab/>
      </w:r>
      <w:r w:rsidR="00F64212" w:rsidRPr="00AE50B8">
        <w:rPr>
          <w:rFonts w:cs="Arial"/>
          <w:bCs/>
          <w:i/>
          <w:iCs/>
          <w:sz w:val="22"/>
          <w:szCs w:val="22"/>
        </w:rPr>
        <w:t>All Court Orders issued by the Children’s Courts sec 48 of Children’s Act 38 of 2005 be reviewed.</w:t>
      </w:r>
    </w:p>
    <w:p w14:paraId="16F74E64" w14:textId="77777777" w:rsidR="00AE50B8" w:rsidRPr="00AE50B8" w:rsidRDefault="00AE50B8" w:rsidP="005D1D30">
      <w:pPr>
        <w:pStyle w:val="Body"/>
        <w:spacing w:line="360" w:lineRule="auto"/>
        <w:ind w:left="1985" w:hanging="567"/>
        <w:jc w:val="both"/>
        <w:rPr>
          <w:rFonts w:cs="Arial"/>
          <w:bCs/>
          <w:i/>
          <w:iCs/>
          <w:sz w:val="22"/>
          <w:szCs w:val="22"/>
        </w:rPr>
      </w:pPr>
    </w:p>
    <w:p w14:paraId="64CA3C6F" w14:textId="5D4DC36D" w:rsidR="00F64212" w:rsidRDefault="00F67663" w:rsidP="00F67663">
      <w:pPr>
        <w:pStyle w:val="Body"/>
        <w:spacing w:line="360" w:lineRule="auto"/>
        <w:ind w:left="1985" w:hanging="567"/>
        <w:jc w:val="both"/>
        <w:rPr>
          <w:bCs/>
          <w:i/>
          <w:iCs/>
          <w:sz w:val="22"/>
          <w:szCs w:val="22"/>
        </w:rPr>
      </w:pPr>
      <w:r>
        <w:rPr>
          <w:rFonts w:ascii="Symbol" w:hAnsi="Symbol"/>
          <w:bCs/>
          <w:iCs/>
          <w:sz w:val="22"/>
          <w:szCs w:val="22"/>
        </w:rPr>
        <w:t></w:t>
      </w:r>
      <w:r>
        <w:rPr>
          <w:rFonts w:ascii="Symbol" w:hAnsi="Symbol"/>
          <w:bCs/>
          <w:iCs/>
          <w:sz w:val="22"/>
          <w:szCs w:val="22"/>
        </w:rPr>
        <w:tab/>
      </w:r>
      <w:r w:rsidR="00F64212" w:rsidRPr="00AE50B8">
        <w:rPr>
          <w:bCs/>
          <w:i/>
          <w:iCs/>
          <w:sz w:val="22"/>
          <w:szCs w:val="22"/>
        </w:rPr>
        <w:t>Adherence to statutory management services must be adhered to.”</w:t>
      </w:r>
    </w:p>
    <w:p w14:paraId="1401098E" w14:textId="77777777" w:rsidR="00F64212" w:rsidRPr="00665EC9" w:rsidRDefault="00F64212" w:rsidP="0003162D">
      <w:pPr>
        <w:pStyle w:val="Body"/>
        <w:spacing w:line="360" w:lineRule="auto"/>
        <w:jc w:val="both"/>
        <w:rPr>
          <w:bCs/>
          <w:i/>
          <w:iCs/>
          <w:sz w:val="24"/>
          <w:szCs w:val="24"/>
        </w:rPr>
      </w:pPr>
    </w:p>
    <w:p w14:paraId="057D295E" w14:textId="145007F3" w:rsidR="009C098B" w:rsidRDefault="00F67663" w:rsidP="00F67663">
      <w:pPr>
        <w:pStyle w:val="Body"/>
        <w:spacing w:line="360" w:lineRule="auto"/>
        <w:ind w:left="851" w:hanging="851"/>
        <w:jc w:val="both"/>
        <w:rPr>
          <w:bCs/>
          <w:sz w:val="24"/>
          <w:szCs w:val="24"/>
        </w:rPr>
      </w:pPr>
      <w:r>
        <w:rPr>
          <w:bCs/>
          <w:sz w:val="24"/>
          <w:szCs w:val="24"/>
        </w:rPr>
        <w:t>15.</w:t>
      </w:r>
      <w:r>
        <w:rPr>
          <w:bCs/>
          <w:sz w:val="24"/>
          <w:szCs w:val="24"/>
        </w:rPr>
        <w:tab/>
      </w:r>
      <w:r w:rsidR="009C098B">
        <w:rPr>
          <w:bCs/>
          <w:sz w:val="24"/>
          <w:szCs w:val="24"/>
        </w:rPr>
        <w:t>The recommendations of the DQA were contained in a report dated 9 May 2022.</w:t>
      </w:r>
      <w:r w:rsidR="00031524">
        <w:rPr>
          <w:bCs/>
          <w:sz w:val="24"/>
          <w:szCs w:val="24"/>
        </w:rPr>
        <w:t xml:space="preserve"> The DQA did not, as it was supposed to have, address all of the matters prescribed by Regulation 32</w:t>
      </w:r>
      <w:r w:rsidR="00031524">
        <w:rPr>
          <w:rStyle w:val="FootnoteReference"/>
          <w:bCs/>
          <w:sz w:val="24"/>
          <w:szCs w:val="24"/>
        </w:rPr>
        <w:footnoteReference w:id="12"/>
      </w:r>
      <w:r w:rsidR="00031524">
        <w:rPr>
          <w:bCs/>
          <w:sz w:val="24"/>
          <w:szCs w:val="24"/>
        </w:rPr>
        <w:t>, omitting in particular Regulation 32(2)(a).</w:t>
      </w:r>
    </w:p>
    <w:p w14:paraId="233617CC" w14:textId="77777777" w:rsidR="009C098B" w:rsidRDefault="009C098B" w:rsidP="005D1D30">
      <w:pPr>
        <w:pStyle w:val="Body"/>
        <w:spacing w:line="360" w:lineRule="auto"/>
        <w:ind w:left="851" w:hanging="851"/>
        <w:jc w:val="both"/>
        <w:rPr>
          <w:bCs/>
          <w:sz w:val="24"/>
          <w:szCs w:val="24"/>
        </w:rPr>
      </w:pPr>
    </w:p>
    <w:p w14:paraId="5F1292D3" w14:textId="6BAE2F0D" w:rsidR="00522A83" w:rsidRDefault="00F67663" w:rsidP="00F67663">
      <w:pPr>
        <w:pStyle w:val="Body"/>
        <w:spacing w:line="360" w:lineRule="auto"/>
        <w:ind w:left="851" w:hanging="851"/>
        <w:jc w:val="both"/>
        <w:rPr>
          <w:bCs/>
          <w:sz w:val="24"/>
          <w:szCs w:val="24"/>
        </w:rPr>
      </w:pPr>
      <w:r>
        <w:rPr>
          <w:bCs/>
          <w:sz w:val="24"/>
          <w:szCs w:val="24"/>
        </w:rPr>
        <w:t>16.</w:t>
      </w:r>
      <w:r>
        <w:rPr>
          <w:bCs/>
          <w:sz w:val="24"/>
          <w:szCs w:val="24"/>
        </w:rPr>
        <w:tab/>
      </w:r>
      <w:r w:rsidR="009C098B">
        <w:rPr>
          <w:bCs/>
          <w:sz w:val="24"/>
          <w:szCs w:val="24"/>
        </w:rPr>
        <w:t>B</w:t>
      </w:r>
      <w:r w:rsidR="0060432F" w:rsidRPr="00665EC9">
        <w:rPr>
          <w:bCs/>
          <w:sz w:val="24"/>
          <w:szCs w:val="24"/>
        </w:rPr>
        <w:t>esides the 8 complaints investigated on 21 January 2022</w:t>
      </w:r>
      <w:r w:rsidR="009C098B">
        <w:rPr>
          <w:bCs/>
          <w:sz w:val="24"/>
          <w:szCs w:val="24"/>
        </w:rPr>
        <w:t xml:space="preserve"> and in the DQA</w:t>
      </w:r>
      <w:r w:rsidR="0060432F" w:rsidRPr="00665EC9">
        <w:rPr>
          <w:bCs/>
          <w:sz w:val="24"/>
          <w:szCs w:val="24"/>
        </w:rPr>
        <w:t xml:space="preserve">, the DSD also received a letter from the South African Police Services </w:t>
      </w:r>
      <w:r w:rsidR="00BE3E46" w:rsidRPr="00665EC9">
        <w:rPr>
          <w:bCs/>
          <w:sz w:val="24"/>
          <w:szCs w:val="24"/>
        </w:rPr>
        <w:t xml:space="preserve">(SAPS) </w:t>
      </w:r>
      <w:r w:rsidR="0060432F" w:rsidRPr="00665EC9">
        <w:rPr>
          <w:bCs/>
          <w:sz w:val="24"/>
          <w:szCs w:val="24"/>
        </w:rPr>
        <w:t>on 4 April 2022</w:t>
      </w:r>
      <w:r w:rsidR="001402F8" w:rsidRPr="00665EC9">
        <w:rPr>
          <w:rStyle w:val="FootnoteReference"/>
          <w:bCs/>
          <w:sz w:val="24"/>
          <w:szCs w:val="24"/>
        </w:rPr>
        <w:footnoteReference w:id="13"/>
      </w:r>
      <w:r w:rsidR="0060432F" w:rsidRPr="00665EC9">
        <w:rPr>
          <w:bCs/>
          <w:sz w:val="24"/>
          <w:szCs w:val="24"/>
        </w:rPr>
        <w:t xml:space="preserve"> requesting information to assist them with an investigation in respect of a complaint</w:t>
      </w:r>
      <w:r w:rsidR="00BE3E46" w:rsidRPr="00665EC9">
        <w:rPr>
          <w:bCs/>
          <w:sz w:val="24"/>
          <w:szCs w:val="24"/>
        </w:rPr>
        <w:t xml:space="preserve"> relating to what </w:t>
      </w:r>
      <w:r w:rsidR="009C098B">
        <w:rPr>
          <w:bCs/>
          <w:sz w:val="24"/>
          <w:szCs w:val="24"/>
        </w:rPr>
        <w:t xml:space="preserve">it </w:t>
      </w:r>
      <w:r w:rsidR="00BE3E46" w:rsidRPr="00665EC9">
        <w:rPr>
          <w:bCs/>
          <w:sz w:val="24"/>
          <w:szCs w:val="24"/>
        </w:rPr>
        <w:t xml:space="preserve">was alleged related to illegal adoptions. </w:t>
      </w:r>
    </w:p>
    <w:p w14:paraId="669787E2" w14:textId="77777777" w:rsidR="00522A83" w:rsidRDefault="00522A83" w:rsidP="005D1D30">
      <w:pPr>
        <w:pStyle w:val="ListParagraph"/>
        <w:ind w:left="851" w:hanging="851"/>
        <w:rPr>
          <w:bCs/>
        </w:rPr>
      </w:pPr>
    </w:p>
    <w:p w14:paraId="58AAB045" w14:textId="59960798" w:rsidR="0060432F" w:rsidRPr="00665EC9" w:rsidRDefault="00F67663" w:rsidP="00F67663">
      <w:pPr>
        <w:pStyle w:val="Body"/>
        <w:spacing w:line="360" w:lineRule="auto"/>
        <w:ind w:left="851" w:hanging="851"/>
        <w:jc w:val="both"/>
        <w:rPr>
          <w:bCs/>
          <w:sz w:val="24"/>
          <w:szCs w:val="24"/>
        </w:rPr>
      </w:pPr>
      <w:r w:rsidRPr="00665EC9">
        <w:rPr>
          <w:bCs/>
          <w:sz w:val="24"/>
          <w:szCs w:val="24"/>
        </w:rPr>
        <w:t>17.</w:t>
      </w:r>
      <w:r w:rsidRPr="00665EC9">
        <w:rPr>
          <w:bCs/>
          <w:sz w:val="24"/>
          <w:szCs w:val="24"/>
        </w:rPr>
        <w:tab/>
      </w:r>
      <w:r w:rsidR="00BE3E46" w:rsidRPr="00665EC9">
        <w:rPr>
          <w:bCs/>
          <w:sz w:val="24"/>
          <w:szCs w:val="24"/>
        </w:rPr>
        <w:t xml:space="preserve">This request for information related to an organization known as the Christian Social Council (CSC) as well as to </w:t>
      </w:r>
      <w:r w:rsidR="009C098B">
        <w:rPr>
          <w:bCs/>
          <w:sz w:val="24"/>
          <w:szCs w:val="24"/>
        </w:rPr>
        <w:t>the ‘</w:t>
      </w:r>
      <w:r w:rsidR="00BE3E46" w:rsidRPr="00665EC9">
        <w:rPr>
          <w:bCs/>
          <w:sz w:val="24"/>
          <w:szCs w:val="24"/>
        </w:rPr>
        <w:t>Christelike Maatskaplike Raad</w:t>
      </w:r>
      <w:r w:rsidR="009C098B">
        <w:rPr>
          <w:bCs/>
          <w:sz w:val="24"/>
          <w:szCs w:val="24"/>
        </w:rPr>
        <w:t>’</w:t>
      </w:r>
      <w:r w:rsidR="00BE3E46" w:rsidRPr="00665EC9">
        <w:rPr>
          <w:bCs/>
          <w:sz w:val="24"/>
          <w:szCs w:val="24"/>
        </w:rPr>
        <w:t xml:space="preserve"> and a person – </w:t>
      </w:r>
      <w:r w:rsidR="00CE50E3" w:rsidRPr="00665EC9">
        <w:rPr>
          <w:bCs/>
          <w:sz w:val="24"/>
          <w:szCs w:val="24"/>
        </w:rPr>
        <w:t>Ms.</w:t>
      </w:r>
      <w:r w:rsidR="00BE3E46" w:rsidRPr="00665EC9">
        <w:rPr>
          <w:bCs/>
          <w:sz w:val="24"/>
          <w:szCs w:val="24"/>
        </w:rPr>
        <w:t xml:space="preserve"> TA Terblanche who is allegedly known on Facebook as “Piexie Pienk”.  The letter from the SAPS sets out various allegations and concludes with </w:t>
      </w:r>
      <w:r w:rsidR="00BE3E46" w:rsidRPr="00AE50B8">
        <w:rPr>
          <w:bCs/>
          <w:i/>
          <w:iCs/>
          <w:sz w:val="22"/>
          <w:szCs w:val="22"/>
        </w:rPr>
        <w:t>“your office is requested to conduct investigation to prove or refute the allegation and provide the outcome to Component Head Serious Organized Crime Investigation”.</w:t>
      </w:r>
      <w:r w:rsidR="00F64212" w:rsidRPr="00AE50B8">
        <w:rPr>
          <w:bCs/>
          <w:i/>
          <w:iCs/>
          <w:sz w:val="22"/>
          <w:szCs w:val="22"/>
        </w:rPr>
        <w:t xml:space="preserve">  </w:t>
      </w:r>
      <w:r w:rsidR="00F64212" w:rsidRPr="00AE50B8">
        <w:rPr>
          <w:bCs/>
          <w:sz w:val="22"/>
          <w:szCs w:val="22"/>
        </w:rPr>
        <w:t xml:space="preserve"> </w:t>
      </w:r>
    </w:p>
    <w:p w14:paraId="76545ED0" w14:textId="77777777" w:rsidR="00F64212" w:rsidRPr="00665EC9" w:rsidRDefault="00F64212" w:rsidP="005D1D30">
      <w:pPr>
        <w:pStyle w:val="Body"/>
        <w:spacing w:line="360" w:lineRule="auto"/>
        <w:ind w:left="851" w:hanging="851"/>
        <w:jc w:val="both"/>
        <w:rPr>
          <w:bCs/>
          <w:sz w:val="24"/>
          <w:szCs w:val="24"/>
        </w:rPr>
      </w:pPr>
    </w:p>
    <w:p w14:paraId="4DADCE2E" w14:textId="06D2A1CE" w:rsidR="00CE50E3" w:rsidRDefault="00F67663" w:rsidP="00F67663">
      <w:pPr>
        <w:pStyle w:val="Body"/>
        <w:spacing w:line="360" w:lineRule="auto"/>
        <w:ind w:left="851" w:hanging="851"/>
        <w:jc w:val="both"/>
        <w:rPr>
          <w:bCs/>
          <w:sz w:val="24"/>
          <w:szCs w:val="24"/>
        </w:rPr>
      </w:pPr>
      <w:r>
        <w:rPr>
          <w:bCs/>
          <w:sz w:val="24"/>
          <w:szCs w:val="24"/>
        </w:rPr>
        <w:t>18.</w:t>
      </w:r>
      <w:r>
        <w:rPr>
          <w:bCs/>
          <w:sz w:val="24"/>
          <w:szCs w:val="24"/>
        </w:rPr>
        <w:tab/>
      </w:r>
      <w:r w:rsidR="001402F8" w:rsidRPr="00665EC9">
        <w:rPr>
          <w:bCs/>
          <w:sz w:val="24"/>
          <w:szCs w:val="24"/>
        </w:rPr>
        <w:t>On 16 May 2022 the DSD received a lengthy email in which various complaints were raised and various allegations made against CMR North</w:t>
      </w:r>
      <w:r w:rsidR="00CE50E3">
        <w:rPr>
          <w:bCs/>
          <w:sz w:val="24"/>
          <w:szCs w:val="24"/>
        </w:rPr>
        <w:t>. This</w:t>
      </w:r>
      <w:r w:rsidR="001402F8" w:rsidRPr="00665EC9">
        <w:rPr>
          <w:bCs/>
          <w:sz w:val="24"/>
          <w:szCs w:val="24"/>
        </w:rPr>
        <w:t xml:space="preserve"> was sent to the DSD by Mr</w:t>
      </w:r>
      <w:r w:rsidR="00AE50B8">
        <w:rPr>
          <w:bCs/>
          <w:sz w:val="24"/>
          <w:szCs w:val="24"/>
        </w:rPr>
        <w:t>.</w:t>
      </w:r>
      <w:r w:rsidR="001402F8" w:rsidRPr="00665EC9">
        <w:rPr>
          <w:bCs/>
          <w:sz w:val="24"/>
          <w:szCs w:val="24"/>
        </w:rPr>
        <w:t xml:space="preserve"> Leon Nel of an organization called “Cold Cases”.   These were set out in </w:t>
      </w:r>
      <w:r w:rsidR="00CC103A" w:rsidRPr="00665EC9">
        <w:rPr>
          <w:bCs/>
          <w:sz w:val="24"/>
          <w:szCs w:val="24"/>
        </w:rPr>
        <w:t xml:space="preserve">an </w:t>
      </w:r>
      <w:r w:rsidR="001402F8" w:rsidRPr="00665EC9">
        <w:rPr>
          <w:bCs/>
          <w:sz w:val="24"/>
          <w:szCs w:val="24"/>
        </w:rPr>
        <w:t>email forwarded by him</w:t>
      </w:r>
      <w:r w:rsidR="00CC103A" w:rsidRPr="00665EC9">
        <w:rPr>
          <w:bCs/>
          <w:sz w:val="24"/>
          <w:szCs w:val="24"/>
        </w:rPr>
        <w:t xml:space="preserve"> from</w:t>
      </w:r>
      <w:r w:rsidR="001402F8" w:rsidRPr="00665EC9">
        <w:rPr>
          <w:bCs/>
          <w:sz w:val="24"/>
          <w:szCs w:val="24"/>
        </w:rPr>
        <w:t xml:space="preserve"> Mr</w:t>
      </w:r>
      <w:r w:rsidR="00AE50B8">
        <w:rPr>
          <w:bCs/>
          <w:sz w:val="24"/>
          <w:szCs w:val="24"/>
        </w:rPr>
        <w:t>.</w:t>
      </w:r>
      <w:r w:rsidR="001402F8" w:rsidRPr="00665EC9">
        <w:rPr>
          <w:bCs/>
          <w:sz w:val="24"/>
          <w:szCs w:val="24"/>
        </w:rPr>
        <w:t xml:space="preserve"> Solomon Mondlane addressed to Mr</w:t>
      </w:r>
      <w:r w:rsidR="00AE50B8">
        <w:rPr>
          <w:bCs/>
          <w:sz w:val="24"/>
          <w:szCs w:val="24"/>
        </w:rPr>
        <w:t>.</w:t>
      </w:r>
      <w:r w:rsidR="001402F8" w:rsidRPr="00665EC9">
        <w:rPr>
          <w:bCs/>
          <w:sz w:val="24"/>
          <w:szCs w:val="24"/>
        </w:rPr>
        <w:t xml:space="preserve"> Hitler Sekhitla</w:t>
      </w:r>
      <w:r w:rsidR="00CC103A" w:rsidRPr="00665EC9">
        <w:rPr>
          <w:bCs/>
          <w:sz w:val="24"/>
          <w:szCs w:val="24"/>
        </w:rPr>
        <w:t xml:space="preserve"> and to which was attached an article that appears to have been written by Mr</w:t>
      </w:r>
      <w:r w:rsidR="00AE50B8">
        <w:rPr>
          <w:bCs/>
          <w:sz w:val="24"/>
          <w:szCs w:val="24"/>
        </w:rPr>
        <w:t xml:space="preserve">. </w:t>
      </w:r>
      <w:r w:rsidR="00CC103A" w:rsidRPr="00665EC9">
        <w:rPr>
          <w:bCs/>
          <w:sz w:val="24"/>
          <w:szCs w:val="24"/>
        </w:rPr>
        <w:t xml:space="preserve">Johan </w:t>
      </w:r>
      <w:r w:rsidR="00AE50B8">
        <w:rPr>
          <w:bCs/>
          <w:sz w:val="24"/>
          <w:szCs w:val="24"/>
        </w:rPr>
        <w:t>Eyb</w:t>
      </w:r>
      <w:r w:rsidR="00CC103A" w:rsidRPr="00665EC9">
        <w:rPr>
          <w:bCs/>
          <w:sz w:val="24"/>
          <w:szCs w:val="24"/>
        </w:rPr>
        <w:t xml:space="preserve">ers a senior journalist at Media 24. </w:t>
      </w:r>
    </w:p>
    <w:p w14:paraId="11C9E8EE" w14:textId="77777777" w:rsidR="005D1D30" w:rsidRPr="0003162D" w:rsidRDefault="005D1D30" w:rsidP="0003162D">
      <w:pPr>
        <w:rPr>
          <w:bCs/>
        </w:rPr>
      </w:pPr>
    </w:p>
    <w:p w14:paraId="3E222B89" w14:textId="36196208" w:rsidR="00F94A75" w:rsidRPr="00665EC9" w:rsidRDefault="00F67663" w:rsidP="00F67663">
      <w:pPr>
        <w:pStyle w:val="Body"/>
        <w:spacing w:line="360" w:lineRule="auto"/>
        <w:ind w:left="851" w:hanging="851"/>
        <w:jc w:val="both"/>
        <w:rPr>
          <w:bCs/>
          <w:sz w:val="24"/>
          <w:szCs w:val="24"/>
        </w:rPr>
      </w:pPr>
      <w:r w:rsidRPr="00665EC9">
        <w:rPr>
          <w:bCs/>
          <w:sz w:val="24"/>
          <w:szCs w:val="24"/>
        </w:rPr>
        <w:t>19.</w:t>
      </w:r>
      <w:r w:rsidRPr="00665EC9">
        <w:rPr>
          <w:bCs/>
          <w:sz w:val="24"/>
          <w:szCs w:val="24"/>
        </w:rPr>
        <w:tab/>
      </w:r>
      <w:r w:rsidR="00CC103A" w:rsidRPr="00665EC9">
        <w:rPr>
          <w:bCs/>
          <w:sz w:val="24"/>
          <w:szCs w:val="24"/>
        </w:rPr>
        <w:t xml:space="preserve">The allegations in the article were most serious and in the same vein as the initial 8 complaints investigated on 21 January 2022.  In </w:t>
      </w:r>
      <w:r w:rsidR="00AE50B8" w:rsidRPr="00665EC9">
        <w:rPr>
          <w:bCs/>
          <w:sz w:val="24"/>
          <w:szCs w:val="24"/>
        </w:rPr>
        <w:t>addition,</w:t>
      </w:r>
      <w:r w:rsidR="00CC103A" w:rsidRPr="00665EC9">
        <w:rPr>
          <w:bCs/>
          <w:sz w:val="24"/>
          <w:szCs w:val="24"/>
        </w:rPr>
        <w:t xml:space="preserve"> however, the article </w:t>
      </w:r>
      <w:r w:rsidR="00CC103A" w:rsidRPr="00665EC9">
        <w:rPr>
          <w:bCs/>
          <w:sz w:val="24"/>
          <w:szCs w:val="24"/>
        </w:rPr>
        <w:lastRenderedPageBreak/>
        <w:t>also dealt at some length with a</w:t>
      </w:r>
      <w:r w:rsidR="00CE50E3">
        <w:rPr>
          <w:bCs/>
          <w:sz w:val="24"/>
          <w:szCs w:val="24"/>
        </w:rPr>
        <w:t>nother</w:t>
      </w:r>
      <w:r w:rsidR="00CC103A" w:rsidRPr="00665EC9">
        <w:rPr>
          <w:bCs/>
          <w:sz w:val="24"/>
          <w:szCs w:val="24"/>
        </w:rPr>
        <w:t xml:space="preserve"> case</w:t>
      </w:r>
      <w:r w:rsidR="00522A83">
        <w:rPr>
          <w:rStyle w:val="FootnoteReference"/>
          <w:bCs/>
          <w:sz w:val="24"/>
          <w:szCs w:val="24"/>
        </w:rPr>
        <w:footnoteReference w:id="14"/>
      </w:r>
      <w:r w:rsidR="00CC103A" w:rsidRPr="00665EC9">
        <w:rPr>
          <w:bCs/>
          <w:sz w:val="24"/>
          <w:szCs w:val="24"/>
        </w:rPr>
        <w:t xml:space="preserve"> that is currently before the Constitutional Court</w:t>
      </w:r>
      <w:r w:rsidR="00CE50E3">
        <w:rPr>
          <w:bCs/>
          <w:sz w:val="24"/>
          <w:szCs w:val="24"/>
        </w:rPr>
        <w:t xml:space="preserve"> dating back 10 years and in which CMR North was alleged to have been involved.</w:t>
      </w:r>
      <w:r w:rsidR="00CC103A" w:rsidRPr="00665EC9">
        <w:rPr>
          <w:bCs/>
          <w:sz w:val="24"/>
          <w:szCs w:val="24"/>
        </w:rPr>
        <w:t xml:space="preserve">  </w:t>
      </w:r>
    </w:p>
    <w:p w14:paraId="225AB094" w14:textId="0C34EE78" w:rsidR="00B278B9" w:rsidRPr="00665EC9" w:rsidRDefault="00B278B9" w:rsidP="00B278B9">
      <w:pPr>
        <w:pStyle w:val="Body"/>
        <w:jc w:val="both"/>
        <w:rPr>
          <w:bCs/>
          <w:sz w:val="24"/>
          <w:szCs w:val="24"/>
        </w:rPr>
      </w:pPr>
    </w:p>
    <w:p w14:paraId="6C3D24E4" w14:textId="27FBDC20" w:rsidR="00AE50B8" w:rsidRPr="0003162D" w:rsidRDefault="00F67663" w:rsidP="00F67663">
      <w:pPr>
        <w:pStyle w:val="Body"/>
        <w:spacing w:line="360" w:lineRule="auto"/>
        <w:ind w:left="851" w:hanging="851"/>
        <w:jc w:val="both"/>
        <w:rPr>
          <w:bCs/>
          <w:sz w:val="24"/>
          <w:szCs w:val="24"/>
        </w:rPr>
      </w:pPr>
      <w:r w:rsidRPr="0003162D">
        <w:rPr>
          <w:bCs/>
          <w:sz w:val="24"/>
          <w:szCs w:val="24"/>
        </w:rPr>
        <w:t>20.</w:t>
      </w:r>
      <w:r w:rsidRPr="0003162D">
        <w:rPr>
          <w:bCs/>
          <w:sz w:val="24"/>
          <w:szCs w:val="24"/>
        </w:rPr>
        <w:tab/>
      </w:r>
      <w:r w:rsidR="007703FA" w:rsidRPr="00665EC9">
        <w:rPr>
          <w:bCs/>
          <w:sz w:val="24"/>
          <w:szCs w:val="24"/>
        </w:rPr>
        <w:t xml:space="preserve">On 29 March 2022, CMR North having received no feedback </w:t>
      </w:r>
      <w:r w:rsidR="00AE50B8" w:rsidRPr="00665EC9">
        <w:rPr>
          <w:bCs/>
          <w:sz w:val="24"/>
          <w:szCs w:val="24"/>
        </w:rPr>
        <w:t>regarding</w:t>
      </w:r>
      <w:r w:rsidR="007703FA" w:rsidRPr="00665EC9">
        <w:rPr>
          <w:bCs/>
          <w:sz w:val="24"/>
          <w:szCs w:val="24"/>
        </w:rPr>
        <w:t xml:space="preserve"> the DQA enquiry that took place during January and February 2022 and not having received any response to its request for the conclusion of a service level and subsidy agreement for the 2022/2023 financial year, notified the DSD that it would be unable to continue rendering any subsidized statutory services referred to it by the DSD.  It set out a program for the winding down of such services and for the </w:t>
      </w:r>
      <w:r w:rsidR="00AE50B8" w:rsidRPr="00665EC9">
        <w:rPr>
          <w:bCs/>
          <w:sz w:val="24"/>
          <w:szCs w:val="24"/>
        </w:rPr>
        <w:t>handover</w:t>
      </w:r>
      <w:r w:rsidR="007703FA" w:rsidRPr="00665EC9">
        <w:rPr>
          <w:bCs/>
          <w:sz w:val="24"/>
          <w:szCs w:val="24"/>
        </w:rPr>
        <w:t xml:space="preserve"> of all its existing cases.  It furthermore undertook to notify all other relevant role players accordingly.</w:t>
      </w:r>
    </w:p>
    <w:p w14:paraId="255FA6DA" w14:textId="77777777" w:rsidR="005D1D30" w:rsidRDefault="005D1D30" w:rsidP="005D1D30">
      <w:pPr>
        <w:pStyle w:val="Body"/>
        <w:spacing w:line="360" w:lineRule="auto"/>
        <w:ind w:left="851" w:hanging="851"/>
        <w:jc w:val="both"/>
        <w:rPr>
          <w:bCs/>
          <w:sz w:val="24"/>
          <w:szCs w:val="24"/>
        </w:rPr>
      </w:pPr>
    </w:p>
    <w:p w14:paraId="28B39D5E" w14:textId="2806CD39" w:rsidR="007703FA" w:rsidRDefault="00F67663" w:rsidP="00F67663">
      <w:pPr>
        <w:pStyle w:val="Body"/>
        <w:spacing w:line="360" w:lineRule="auto"/>
        <w:ind w:left="851" w:hanging="851"/>
        <w:jc w:val="both"/>
        <w:rPr>
          <w:bCs/>
          <w:sz w:val="24"/>
          <w:szCs w:val="24"/>
        </w:rPr>
      </w:pPr>
      <w:r>
        <w:rPr>
          <w:bCs/>
          <w:sz w:val="24"/>
          <w:szCs w:val="24"/>
        </w:rPr>
        <w:t>21.</w:t>
      </w:r>
      <w:r>
        <w:rPr>
          <w:bCs/>
          <w:sz w:val="24"/>
          <w:szCs w:val="24"/>
        </w:rPr>
        <w:tab/>
      </w:r>
      <w:r w:rsidR="007703FA" w:rsidRPr="00AE50B8">
        <w:rPr>
          <w:bCs/>
          <w:sz w:val="24"/>
          <w:szCs w:val="24"/>
        </w:rPr>
        <w:t>CMR North specifically qualified its withdrawal from the subsidized services and indicated:</w:t>
      </w:r>
    </w:p>
    <w:p w14:paraId="08BE1752" w14:textId="77777777" w:rsidR="005D1D30" w:rsidRPr="00E956DA" w:rsidRDefault="005D1D30" w:rsidP="00E956DA">
      <w:pPr>
        <w:spacing w:line="360" w:lineRule="auto"/>
        <w:jc w:val="both"/>
        <w:rPr>
          <w:bCs/>
          <w:i/>
          <w:iCs/>
        </w:rPr>
      </w:pPr>
    </w:p>
    <w:p w14:paraId="10B105C0" w14:textId="346D2C68" w:rsidR="00995B3F" w:rsidRPr="00E956DA" w:rsidRDefault="00760A23" w:rsidP="00E956DA">
      <w:pPr>
        <w:spacing w:line="360" w:lineRule="auto"/>
        <w:ind w:left="2160" w:hanging="720"/>
        <w:jc w:val="both"/>
        <w:rPr>
          <w:rFonts w:ascii="Arial" w:hAnsi="Arial" w:cs="Arial"/>
          <w:i/>
          <w:iCs/>
          <w:sz w:val="22"/>
          <w:szCs w:val="22"/>
        </w:rPr>
      </w:pPr>
      <w:r w:rsidRPr="005D1D30">
        <w:rPr>
          <w:rFonts w:ascii="Arial" w:hAnsi="Arial" w:cs="Arial"/>
          <w:bCs/>
          <w:i/>
          <w:iCs/>
          <w:sz w:val="22"/>
          <w:szCs w:val="22"/>
        </w:rPr>
        <w:t>“3</w:t>
      </w:r>
      <w:r w:rsidRPr="005D1D30">
        <w:rPr>
          <w:rFonts w:ascii="Arial" w:hAnsi="Arial" w:cs="Arial"/>
          <w:bCs/>
          <w:i/>
          <w:iCs/>
          <w:sz w:val="22"/>
          <w:szCs w:val="22"/>
        </w:rPr>
        <w:tab/>
      </w:r>
      <w:r w:rsidR="00C84D8B" w:rsidRPr="005D1D30">
        <w:rPr>
          <w:rFonts w:ascii="Arial" w:hAnsi="Arial" w:cs="Arial"/>
          <w:i/>
          <w:iCs/>
          <w:sz w:val="22"/>
          <w:szCs w:val="22"/>
        </w:rPr>
        <w:t xml:space="preserve">The management board of the CMR North therefore accepts that the Department of Social Development does not wish to continue its funding relationship with the CMR North in </w:t>
      </w:r>
      <w:r w:rsidR="00C84D8B" w:rsidRPr="005D1D30">
        <w:rPr>
          <w:rFonts w:ascii="Arial" w:hAnsi="Arial" w:cs="Arial"/>
          <w:i/>
          <w:iCs/>
          <w:noProof/>
          <w:sz w:val="22"/>
          <w:szCs w:val="22"/>
          <w:lang w:val="en-ZA" w:eastAsia="en-ZA"/>
        </w:rPr>
        <w:drawing>
          <wp:inline distT="0" distB="0" distL="0" distR="0" wp14:anchorId="3B179F45" wp14:editId="1445F063">
            <wp:extent cx="4572" cy="45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9"/>
                    <a:stretch>
                      <a:fillRect/>
                    </a:stretch>
                  </pic:blipFill>
                  <pic:spPr>
                    <a:xfrm>
                      <a:off x="0" y="0"/>
                      <a:ext cx="4572" cy="4570"/>
                    </a:xfrm>
                    <a:prstGeom prst="rect">
                      <a:avLst/>
                    </a:prstGeom>
                  </pic:spPr>
                </pic:pic>
              </a:graphicData>
            </a:graphic>
          </wp:inline>
        </w:drawing>
      </w:r>
      <w:r w:rsidR="00C84D8B" w:rsidRPr="005D1D30">
        <w:rPr>
          <w:rFonts w:ascii="Arial" w:hAnsi="Arial" w:cs="Arial"/>
          <w:i/>
          <w:iCs/>
          <w:sz w:val="22"/>
          <w:szCs w:val="22"/>
        </w:rPr>
        <w:t>respect to the rendering of services and to pay out the subsidies accordingly.”</w:t>
      </w:r>
    </w:p>
    <w:p w14:paraId="62247FFC" w14:textId="2A3A1128" w:rsidR="00760A23" w:rsidRPr="00995B3F" w:rsidRDefault="00522A83" w:rsidP="00995B3F">
      <w:pPr>
        <w:pStyle w:val="Body"/>
        <w:spacing w:line="360" w:lineRule="auto"/>
        <w:ind w:left="993"/>
        <w:jc w:val="both"/>
        <w:rPr>
          <w:rFonts w:cs="Arial"/>
          <w:bCs/>
          <w:sz w:val="24"/>
          <w:szCs w:val="24"/>
        </w:rPr>
      </w:pPr>
      <w:r w:rsidRPr="00995B3F">
        <w:rPr>
          <w:rFonts w:cs="Arial"/>
          <w:bCs/>
          <w:sz w:val="24"/>
          <w:szCs w:val="24"/>
        </w:rPr>
        <w:t>A</w:t>
      </w:r>
      <w:r w:rsidR="00C84D8B" w:rsidRPr="00995B3F">
        <w:rPr>
          <w:rFonts w:cs="Arial"/>
          <w:bCs/>
          <w:sz w:val="24"/>
          <w:szCs w:val="24"/>
        </w:rPr>
        <w:t>nd</w:t>
      </w:r>
    </w:p>
    <w:p w14:paraId="1ECC72E9" w14:textId="77777777" w:rsidR="00522A83" w:rsidRPr="005D1D30" w:rsidRDefault="00522A83" w:rsidP="005D1D30">
      <w:pPr>
        <w:pStyle w:val="ListParagraph"/>
        <w:spacing w:line="360" w:lineRule="auto"/>
        <w:ind w:left="1440"/>
        <w:jc w:val="both"/>
        <w:rPr>
          <w:rFonts w:ascii="Arial" w:hAnsi="Arial" w:cs="Arial"/>
          <w:bCs/>
          <w:i/>
          <w:iCs/>
          <w:sz w:val="22"/>
          <w:szCs w:val="22"/>
        </w:rPr>
      </w:pPr>
    </w:p>
    <w:p w14:paraId="57EE4E47" w14:textId="03570965" w:rsidR="00522A83" w:rsidRPr="00E956DA" w:rsidRDefault="00760A23" w:rsidP="00E956DA">
      <w:pPr>
        <w:pStyle w:val="ListParagraph"/>
        <w:spacing w:line="360" w:lineRule="auto"/>
        <w:ind w:left="2127" w:hanging="709"/>
        <w:jc w:val="both"/>
        <w:rPr>
          <w:rFonts w:ascii="Arial" w:hAnsi="Arial" w:cs="Arial"/>
          <w:bCs/>
          <w:i/>
          <w:iCs/>
          <w:sz w:val="22"/>
          <w:szCs w:val="22"/>
        </w:rPr>
      </w:pPr>
      <w:r w:rsidRPr="005D1D30">
        <w:rPr>
          <w:rFonts w:ascii="Arial" w:hAnsi="Arial" w:cs="Arial"/>
          <w:bCs/>
          <w:i/>
          <w:iCs/>
          <w:sz w:val="22"/>
          <w:szCs w:val="22"/>
        </w:rPr>
        <w:t>“i.</w:t>
      </w:r>
      <w:r w:rsidR="00522A83" w:rsidRPr="005D1D30">
        <w:rPr>
          <w:rFonts w:ascii="Arial" w:hAnsi="Arial" w:cs="Arial"/>
          <w:bCs/>
          <w:i/>
          <w:iCs/>
          <w:sz w:val="22"/>
          <w:szCs w:val="22"/>
        </w:rPr>
        <w:tab/>
      </w:r>
      <w:r w:rsidR="00522A83" w:rsidRPr="005D1D30">
        <w:rPr>
          <w:rFonts w:ascii="Arial" w:hAnsi="Arial" w:cs="Arial"/>
          <w:i/>
          <w:iCs/>
          <w:sz w:val="22"/>
          <w:szCs w:val="22"/>
        </w:rPr>
        <w:t>As from 1 April 2022 the CMR North cannot accept any more statutory intakes (Form</w:t>
      </w:r>
      <w:r w:rsidR="00522A83" w:rsidRPr="005D1D30">
        <w:rPr>
          <w:rFonts w:ascii="Arial" w:hAnsi="Arial" w:cs="Arial"/>
          <w:i/>
          <w:iCs/>
          <w:noProof/>
          <w:sz w:val="22"/>
          <w:szCs w:val="22"/>
          <w:lang w:val="en-ZA" w:eastAsia="en-ZA"/>
        </w:rPr>
        <w:drawing>
          <wp:inline distT="0" distB="0" distL="0" distR="0" wp14:anchorId="146E9F1A" wp14:editId="72DA5E04">
            <wp:extent cx="18288" cy="54841"/>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895" name="Picture 4895"/>
                    <pic:cNvPicPr/>
                  </pic:nvPicPr>
                  <pic:blipFill>
                    <a:blip r:embed="rId10"/>
                    <a:stretch>
                      <a:fillRect/>
                    </a:stretch>
                  </pic:blipFill>
                  <pic:spPr>
                    <a:xfrm>
                      <a:off x="0" y="0"/>
                      <a:ext cx="18288" cy="54841"/>
                    </a:xfrm>
                    <a:prstGeom prst="rect">
                      <a:avLst/>
                    </a:prstGeom>
                  </pic:spPr>
                </pic:pic>
              </a:graphicData>
            </a:graphic>
          </wp:inline>
        </w:drawing>
      </w:r>
      <w:r w:rsidR="00522A83" w:rsidRPr="005D1D30">
        <w:rPr>
          <w:rFonts w:ascii="Arial" w:hAnsi="Arial" w:cs="Arial"/>
          <w:i/>
          <w:iCs/>
          <w:sz w:val="22"/>
          <w:szCs w:val="22"/>
        </w:rPr>
        <w:t xml:space="preserve">9 and form 36 referrals from the Department of Social Development and court, as well; as referrals of any other statutory services including foster care screenings, foster care </w:t>
      </w:r>
      <w:r w:rsidR="00522A83" w:rsidRPr="005D1D30">
        <w:rPr>
          <w:rFonts w:ascii="Arial" w:hAnsi="Arial" w:cs="Arial"/>
          <w:i/>
          <w:iCs/>
          <w:noProof/>
          <w:sz w:val="22"/>
          <w:szCs w:val="22"/>
          <w:lang w:val="en-ZA" w:eastAsia="en-ZA"/>
        </w:rPr>
        <w:drawing>
          <wp:inline distT="0" distB="0" distL="0" distR="0" wp14:anchorId="3E55BAC9" wp14:editId="79EB8A42">
            <wp:extent cx="27432" cy="411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897" name="Picture 4897"/>
                    <pic:cNvPicPr/>
                  </pic:nvPicPr>
                  <pic:blipFill>
                    <a:blip r:embed="rId11"/>
                    <a:stretch>
                      <a:fillRect/>
                    </a:stretch>
                  </pic:blipFill>
                  <pic:spPr>
                    <a:xfrm>
                      <a:off x="0" y="0"/>
                      <a:ext cx="27432" cy="41130"/>
                    </a:xfrm>
                    <a:prstGeom prst="rect">
                      <a:avLst/>
                    </a:prstGeom>
                  </pic:spPr>
                </pic:pic>
              </a:graphicData>
            </a:graphic>
          </wp:inline>
        </w:drawing>
      </w:r>
      <w:r w:rsidR="00522A83" w:rsidRPr="005D1D30">
        <w:rPr>
          <w:rFonts w:ascii="Arial" w:hAnsi="Arial" w:cs="Arial"/>
          <w:i/>
          <w:iCs/>
          <w:sz w:val="22"/>
          <w:szCs w:val="22"/>
        </w:rPr>
        <w:t xml:space="preserve">supervision services, and family reunification services); These intakes will immediately </w:t>
      </w:r>
      <w:r w:rsidR="00522A83" w:rsidRPr="005D1D30">
        <w:rPr>
          <w:rFonts w:ascii="Arial" w:hAnsi="Arial" w:cs="Arial"/>
          <w:i/>
          <w:iCs/>
          <w:noProof/>
          <w:sz w:val="22"/>
          <w:szCs w:val="22"/>
          <w:lang w:val="en-ZA" w:eastAsia="en-ZA"/>
        </w:rPr>
        <w:drawing>
          <wp:inline distT="0" distB="0" distL="0" distR="0" wp14:anchorId="5C23ECA0" wp14:editId="6939B0A1">
            <wp:extent cx="4572" cy="45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12"/>
                    <a:stretch>
                      <a:fillRect/>
                    </a:stretch>
                  </pic:blipFill>
                  <pic:spPr>
                    <a:xfrm>
                      <a:off x="0" y="0"/>
                      <a:ext cx="4572" cy="4570"/>
                    </a:xfrm>
                    <a:prstGeom prst="rect">
                      <a:avLst/>
                    </a:prstGeom>
                  </pic:spPr>
                </pic:pic>
              </a:graphicData>
            </a:graphic>
          </wp:inline>
        </w:drawing>
      </w:r>
      <w:r w:rsidR="00522A83" w:rsidRPr="005D1D30">
        <w:rPr>
          <w:rFonts w:ascii="Arial" w:hAnsi="Arial" w:cs="Arial"/>
          <w:i/>
          <w:iCs/>
          <w:sz w:val="22"/>
          <w:szCs w:val="22"/>
        </w:rPr>
        <w:t>be referred to the Intake/Statutory section of the Department</w:t>
      </w:r>
    </w:p>
    <w:p w14:paraId="62F63C94" w14:textId="2D15FDB7" w:rsidR="00760A23" w:rsidRPr="00995B3F" w:rsidRDefault="00522A83" w:rsidP="00CF1CC9">
      <w:pPr>
        <w:pStyle w:val="ListParagraph"/>
        <w:ind w:left="990"/>
        <w:rPr>
          <w:rFonts w:ascii="Arial" w:hAnsi="Arial" w:cs="Arial"/>
          <w:bCs/>
        </w:rPr>
      </w:pPr>
      <w:r w:rsidRPr="00995B3F">
        <w:rPr>
          <w:rFonts w:ascii="Arial" w:hAnsi="Arial" w:cs="Arial"/>
          <w:bCs/>
        </w:rPr>
        <w:t>A</w:t>
      </w:r>
      <w:r w:rsidR="00C84D8B" w:rsidRPr="00995B3F">
        <w:rPr>
          <w:rFonts w:ascii="Arial" w:hAnsi="Arial" w:cs="Arial"/>
          <w:bCs/>
        </w:rPr>
        <w:t>nd</w:t>
      </w:r>
    </w:p>
    <w:p w14:paraId="6A921FB8" w14:textId="3FB317B8" w:rsidR="00522A83" w:rsidRPr="00522A83" w:rsidRDefault="00522A83" w:rsidP="00760A23">
      <w:pPr>
        <w:pStyle w:val="ListParagraph"/>
        <w:ind w:left="1440"/>
        <w:rPr>
          <w:rFonts w:ascii="Arial" w:hAnsi="Arial" w:cs="Arial"/>
          <w:bCs/>
          <w:i/>
          <w:iCs/>
          <w:sz w:val="22"/>
          <w:szCs w:val="22"/>
        </w:rPr>
      </w:pPr>
      <w:r>
        <w:rPr>
          <w:rFonts w:ascii="Arial" w:hAnsi="Arial" w:cs="Arial"/>
          <w:bCs/>
          <w:i/>
          <w:iCs/>
          <w:sz w:val="22"/>
          <w:szCs w:val="22"/>
        </w:rPr>
        <w:tab/>
      </w:r>
    </w:p>
    <w:p w14:paraId="18E527F1" w14:textId="77777777" w:rsidR="00995B3F" w:rsidRDefault="00995B3F" w:rsidP="00995B3F">
      <w:pPr>
        <w:pStyle w:val="Body"/>
        <w:spacing w:line="360" w:lineRule="auto"/>
        <w:ind w:left="2127" w:hanging="709"/>
        <w:jc w:val="both"/>
        <w:rPr>
          <w:bCs/>
          <w:sz w:val="24"/>
          <w:szCs w:val="24"/>
        </w:rPr>
      </w:pPr>
    </w:p>
    <w:p w14:paraId="1186897E" w14:textId="1F764FEE" w:rsidR="007703FA" w:rsidRPr="00665EC9" w:rsidRDefault="007703FA" w:rsidP="00995B3F">
      <w:pPr>
        <w:pStyle w:val="Body"/>
        <w:spacing w:line="360" w:lineRule="auto"/>
        <w:ind w:left="2127" w:hanging="709"/>
        <w:jc w:val="both"/>
        <w:rPr>
          <w:bCs/>
          <w:i/>
          <w:iCs/>
          <w:sz w:val="24"/>
          <w:szCs w:val="24"/>
        </w:rPr>
      </w:pPr>
      <w:r w:rsidRPr="00665EC9">
        <w:rPr>
          <w:bCs/>
          <w:sz w:val="24"/>
          <w:szCs w:val="24"/>
        </w:rPr>
        <w:lastRenderedPageBreak/>
        <w:t>“</w:t>
      </w:r>
      <w:r w:rsidRPr="00AE50B8">
        <w:rPr>
          <w:bCs/>
          <w:i/>
          <w:iCs/>
          <w:sz w:val="22"/>
          <w:szCs w:val="22"/>
        </w:rPr>
        <w:t>iv</w:t>
      </w:r>
      <w:r w:rsidRPr="00AE50B8">
        <w:rPr>
          <w:bCs/>
          <w:i/>
          <w:iCs/>
          <w:sz w:val="22"/>
          <w:szCs w:val="22"/>
        </w:rPr>
        <w:tab/>
        <w:t>The CMR North will continue with the rendering of prevention, family preservation and community development services in its current demarcated areas.”</w:t>
      </w:r>
    </w:p>
    <w:p w14:paraId="2CF21DAD" w14:textId="5F693A41" w:rsidR="00E956DA" w:rsidRDefault="00E956DA" w:rsidP="00AE50B8">
      <w:pPr>
        <w:pStyle w:val="Body"/>
        <w:spacing w:line="360" w:lineRule="auto"/>
        <w:jc w:val="both"/>
        <w:rPr>
          <w:b/>
          <w:sz w:val="24"/>
          <w:szCs w:val="24"/>
        </w:rPr>
      </w:pPr>
    </w:p>
    <w:p w14:paraId="62ECC998" w14:textId="30FEC155" w:rsidR="00E956DA" w:rsidRDefault="00E956DA" w:rsidP="00AE50B8">
      <w:pPr>
        <w:pStyle w:val="Body"/>
        <w:spacing w:line="360" w:lineRule="auto"/>
        <w:jc w:val="both"/>
        <w:rPr>
          <w:b/>
          <w:sz w:val="24"/>
          <w:szCs w:val="24"/>
        </w:rPr>
      </w:pPr>
    </w:p>
    <w:p w14:paraId="384BB00C" w14:textId="77777777" w:rsidR="00E956DA" w:rsidRPr="00665EC9" w:rsidRDefault="00E956DA" w:rsidP="00AE50B8">
      <w:pPr>
        <w:pStyle w:val="Body"/>
        <w:spacing w:line="360" w:lineRule="auto"/>
        <w:jc w:val="both"/>
        <w:rPr>
          <w:b/>
          <w:sz w:val="24"/>
          <w:szCs w:val="24"/>
        </w:rPr>
      </w:pPr>
    </w:p>
    <w:p w14:paraId="4983DC66" w14:textId="3E323ACE" w:rsidR="00AE50B8" w:rsidRDefault="00F67663" w:rsidP="00F67663">
      <w:pPr>
        <w:pStyle w:val="Body"/>
        <w:spacing w:line="360" w:lineRule="auto"/>
        <w:ind w:left="851" w:hanging="851"/>
        <w:jc w:val="both"/>
        <w:rPr>
          <w:bCs/>
          <w:sz w:val="24"/>
          <w:szCs w:val="24"/>
        </w:rPr>
      </w:pPr>
      <w:r>
        <w:rPr>
          <w:bCs/>
          <w:sz w:val="24"/>
          <w:szCs w:val="24"/>
        </w:rPr>
        <w:t>22.</w:t>
      </w:r>
      <w:r>
        <w:rPr>
          <w:bCs/>
          <w:sz w:val="24"/>
          <w:szCs w:val="24"/>
        </w:rPr>
        <w:tab/>
      </w:r>
      <w:r w:rsidR="005B649C" w:rsidRPr="00665EC9">
        <w:rPr>
          <w:bCs/>
          <w:sz w:val="24"/>
          <w:szCs w:val="24"/>
        </w:rPr>
        <w:t xml:space="preserve">On 13 April 2022, a meeting was held between CMR North and the DSD.  The purpose of the meeting was </w:t>
      </w:r>
      <w:r w:rsidR="00217B03">
        <w:rPr>
          <w:bCs/>
          <w:sz w:val="24"/>
          <w:szCs w:val="24"/>
        </w:rPr>
        <w:t xml:space="preserve">ostensibly </w:t>
      </w:r>
      <w:r w:rsidR="005B649C" w:rsidRPr="00665EC9">
        <w:rPr>
          <w:bCs/>
          <w:sz w:val="24"/>
          <w:szCs w:val="24"/>
        </w:rPr>
        <w:t xml:space="preserve">to discuss the challenges and complaints received by the DSD </w:t>
      </w:r>
      <w:r w:rsidR="00AE50B8" w:rsidRPr="00665EC9">
        <w:rPr>
          <w:bCs/>
          <w:sz w:val="24"/>
          <w:szCs w:val="24"/>
        </w:rPr>
        <w:t>regarding</w:t>
      </w:r>
      <w:r w:rsidR="005B649C" w:rsidRPr="00665EC9">
        <w:rPr>
          <w:bCs/>
          <w:sz w:val="24"/>
          <w:szCs w:val="24"/>
        </w:rPr>
        <w:t xml:space="preserve"> service delivery by CMR North.  </w:t>
      </w:r>
    </w:p>
    <w:p w14:paraId="5A14C9FB" w14:textId="77777777" w:rsidR="00AE50B8" w:rsidRDefault="00AE50B8" w:rsidP="005D1D30">
      <w:pPr>
        <w:pStyle w:val="Body"/>
        <w:spacing w:line="360" w:lineRule="auto"/>
        <w:ind w:left="851" w:hanging="851"/>
        <w:jc w:val="both"/>
        <w:rPr>
          <w:bCs/>
          <w:sz w:val="24"/>
          <w:szCs w:val="24"/>
        </w:rPr>
      </w:pPr>
    </w:p>
    <w:p w14:paraId="3F289047" w14:textId="59FF9CE1" w:rsidR="000C0B69" w:rsidRPr="00217B03" w:rsidRDefault="00F67663" w:rsidP="00F67663">
      <w:pPr>
        <w:pStyle w:val="Body"/>
        <w:spacing w:line="360" w:lineRule="auto"/>
        <w:ind w:left="851" w:hanging="851"/>
        <w:jc w:val="both"/>
        <w:rPr>
          <w:bCs/>
        </w:rPr>
      </w:pPr>
      <w:r w:rsidRPr="00217B03">
        <w:rPr>
          <w:bCs/>
        </w:rPr>
        <w:t>23.</w:t>
      </w:r>
      <w:r w:rsidRPr="00217B03">
        <w:rPr>
          <w:bCs/>
        </w:rPr>
        <w:tab/>
      </w:r>
      <w:r w:rsidR="005B649C" w:rsidRPr="00217B03">
        <w:rPr>
          <w:bCs/>
          <w:sz w:val="24"/>
          <w:szCs w:val="24"/>
        </w:rPr>
        <w:t xml:space="preserve">The </w:t>
      </w:r>
      <w:r w:rsidR="00217B03" w:rsidRPr="00217B03">
        <w:rPr>
          <w:bCs/>
          <w:sz w:val="24"/>
          <w:szCs w:val="24"/>
        </w:rPr>
        <w:t>true purpose of the meeting was however disclosed when the CMR North representatives were informed during the meeting that:</w:t>
      </w:r>
    </w:p>
    <w:p w14:paraId="5E8CDED7" w14:textId="77777777" w:rsidR="00995B3F" w:rsidRDefault="00995B3F" w:rsidP="0003162D">
      <w:pPr>
        <w:spacing w:after="161" w:line="360" w:lineRule="auto"/>
        <w:jc w:val="both"/>
        <w:rPr>
          <w:rFonts w:ascii="Arial" w:hAnsi="Arial" w:cs="Arial"/>
          <w:bCs/>
          <w:i/>
          <w:iCs/>
          <w:sz w:val="22"/>
          <w:szCs w:val="22"/>
        </w:rPr>
      </w:pPr>
    </w:p>
    <w:p w14:paraId="53E29732" w14:textId="679F1F9E" w:rsidR="00D67A04" w:rsidRPr="00D67A04" w:rsidRDefault="00217B03" w:rsidP="00995B3F">
      <w:pPr>
        <w:spacing w:after="161" w:line="360" w:lineRule="auto"/>
        <w:ind w:left="1418"/>
        <w:jc w:val="both"/>
        <w:rPr>
          <w:rFonts w:ascii="Arial" w:hAnsi="Arial" w:cs="Arial"/>
          <w:i/>
          <w:iCs/>
          <w:sz w:val="22"/>
          <w:szCs w:val="22"/>
        </w:rPr>
      </w:pPr>
      <w:r w:rsidRPr="00D67A04">
        <w:rPr>
          <w:rFonts w:ascii="Arial" w:hAnsi="Arial" w:cs="Arial"/>
          <w:bCs/>
          <w:i/>
          <w:iCs/>
          <w:sz w:val="22"/>
          <w:szCs w:val="22"/>
        </w:rPr>
        <w:t>“</w:t>
      </w:r>
      <w:r w:rsidR="00D67A04" w:rsidRPr="00D67A04">
        <w:rPr>
          <w:rFonts w:ascii="Arial" w:hAnsi="Arial" w:cs="Arial"/>
          <w:i/>
          <w:iCs/>
          <w:sz w:val="22"/>
          <w:szCs w:val="22"/>
        </w:rPr>
        <w:t>The DDG explained that there has been a number of parents who came forward to report that they have been unhappy in a manner that CMR North handled their cases and had no one to help them and their children are caught in the middle, thus they ended reporting to the Department.</w:t>
      </w:r>
    </w:p>
    <w:p w14:paraId="2609F8EB" w14:textId="77777777" w:rsidR="00995B3F" w:rsidRDefault="00995B3F" w:rsidP="00995B3F">
      <w:pPr>
        <w:spacing w:line="360" w:lineRule="auto"/>
        <w:ind w:left="1418"/>
        <w:jc w:val="both"/>
        <w:rPr>
          <w:rFonts w:ascii="Arial" w:hAnsi="Arial" w:cs="Arial"/>
          <w:i/>
          <w:iCs/>
          <w:sz w:val="22"/>
          <w:szCs w:val="22"/>
        </w:rPr>
      </w:pPr>
    </w:p>
    <w:p w14:paraId="36CF3F38" w14:textId="399B4DD0" w:rsidR="00D67A04" w:rsidRPr="00D67A04" w:rsidRDefault="00D67A04" w:rsidP="0003162D">
      <w:pPr>
        <w:spacing w:line="360" w:lineRule="auto"/>
        <w:ind w:left="1418"/>
        <w:jc w:val="both"/>
        <w:rPr>
          <w:rFonts w:ascii="Arial" w:hAnsi="Arial" w:cs="Arial"/>
          <w:i/>
          <w:iCs/>
          <w:sz w:val="22"/>
          <w:szCs w:val="22"/>
        </w:rPr>
      </w:pPr>
      <w:r w:rsidRPr="00D67A04">
        <w:rPr>
          <w:rFonts w:ascii="Arial" w:hAnsi="Arial" w:cs="Arial"/>
          <w:i/>
          <w:iCs/>
          <w:sz w:val="22"/>
          <w:szCs w:val="22"/>
        </w:rPr>
        <w:t xml:space="preserve">He added that other parties have shared their interests in seeing these complaints resolved, such as the Organised Crimes Unit, who have made it expressly clear to DSL) that there are serious concerns regarding the CMR North. The DDG remarked that the </w:t>
      </w:r>
      <w:r w:rsidRPr="00D67A04">
        <w:rPr>
          <w:rFonts w:ascii="Arial" w:hAnsi="Arial" w:cs="Arial"/>
          <w:i/>
          <w:iCs/>
          <w:noProof/>
          <w:sz w:val="22"/>
          <w:szCs w:val="22"/>
          <w:lang w:val="en-ZA" w:eastAsia="en-ZA"/>
        </w:rPr>
        <w:drawing>
          <wp:inline distT="0" distB="0" distL="0" distR="0" wp14:anchorId="72344DCA" wp14:editId="5B992C60">
            <wp:extent cx="4572"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13"/>
                    <a:stretch>
                      <a:fillRect/>
                    </a:stretch>
                  </pic:blipFill>
                  <pic:spPr>
                    <a:xfrm>
                      <a:off x="0" y="0"/>
                      <a:ext cx="4572" cy="4572"/>
                    </a:xfrm>
                    <a:prstGeom prst="rect">
                      <a:avLst/>
                    </a:prstGeom>
                  </pic:spPr>
                </pic:pic>
              </a:graphicData>
            </a:graphic>
          </wp:inline>
        </w:drawing>
      </w:r>
      <w:r w:rsidRPr="00D67A04">
        <w:rPr>
          <w:rFonts w:ascii="Arial" w:hAnsi="Arial" w:cs="Arial"/>
          <w:i/>
          <w:iCs/>
          <w:sz w:val="22"/>
          <w:szCs w:val="22"/>
        </w:rPr>
        <w:t>Organised Crimes Unit had indicated intent to pursue a detailed investigation regarding the CMR North, and has already formally requested DSL) to prove or refute their enquiry regarding the complaints against CMR North.”</w:t>
      </w:r>
    </w:p>
    <w:p w14:paraId="0D395E32" w14:textId="77777777" w:rsidR="00995B3F" w:rsidRDefault="00995B3F" w:rsidP="0003162D">
      <w:pPr>
        <w:spacing w:after="22"/>
        <w:ind w:right="784"/>
        <w:rPr>
          <w:rFonts w:ascii="Arial" w:hAnsi="Arial" w:cs="Arial"/>
        </w:rPr>
      </w:pPr>
    </w:p>
    <w:p w14:paraId="22DBC8C7" w14:textId="133C5945" w:rsidR="00D67A04" w:rsidRDefault="00D67A04" w:rsidP="00995B3F">
      <w:pPr>
        <w:spacing w:after="22"/>
        <w:ind w:left="851" w:right="784"/>
        <w:rPr>
          <w:rFonts w:ascii="Arial" w:hAnsi="Arial" w:cs="Arial"/>
        </w:rPr>
      </w:pPr>
      <w:r>
        <w:rPr>
          <w:rFonts w:ascii="Arial" w:hAnsi="Arial" w:cs="Arial"/>
        </w:rPr>
        <w:t>And</w:t>
      </w:r>
    </w:p>
    <w:p w14:paraId="30DFC2AE" w14:textId="77777777" w:rsidR="00995B3F" w:rsidRDefault="00995B3F" w:rsidP="0003162D">
      <w:pPr>
        <w:spacing w:after="22" w:line="360" w:lineRule="auto"/>
        <w:jc w:val="both"/>
        <w:rPr>
          <w:rFonts w:ascii="Arial" w:hAnsi="Arial" w:cs="Arial"/>
          <w:i/>
          <w:iCs/>
          <w:sz w:val="22"/>
          <w:szCs w:val="22"/>
        </w:rPr>
      </w:pPr>
    </w:p>
    <w:p w14:paraId="6E0B7AA8" w14:textId="0287DAC1" w:rsidR="00D67A04" w:rsidRPr="001A1C01" w:rsidRDefault="00D67A04" w:rsidP="00D67A04">
      <w:pPr>
        <w:spacing w:after="22" w:line="360" w:lineRule="auto"/>
        <w:ind w:left="1350"/>
        <w:jc w:val="both"/>
        <w:rPr>
          <w:rFonts w:ascii="Arial" w:hAnsi="Arial" w:cs="Arial"/>
        </w:rPr>
      </w:pPr>
      <w:r w:rsidRPr="00D67A04">
        <w:rPr>
          <w:rFonts w:ascii="Arial" w:hAnsi="Arial" w:cs="Arial"/>
          <w:i/>
          <w:iCs/>
          <w:sz w:val="22"/>
          <w:szCs w:val="22"/>
        </w:rPr>
        <w:t>“The DDG asked the board members if they were aware of the DQA process, and the CMR North social work manager responded that lots of documents were provided to the DSD team during the DQA process, but the DSD had been scant in its responses to the CMR North about what the progress was and what the findings were</w:t>
      </w:r>
      <w:r>
        <w:rPr>
          <w:rFonts w:ascii="Arial" w:hAnsi="Arial" w:cs="Arial"/>
        </w:rPr>
        <w:t>”</w:t>
      </w:r>
      <w:r w:rsidRPr="001A1C01">
        <w:rPr>
          <w:rFonts w:ascii="Arial" w:hAnsi="Arial" w:cs="Arial"/>
        </w:rPr>
        <w:t>.</w:t>
      </w:r>
    </w:p>
    <w:p w14:paraId="74EB4352" w14:textId="008284F9" w:rsidR="00D67A04" w:rsidRDefault="00D67A04" w:rsidP="00D67A04">
      <w:pPr>
        <w:rPr>
          <w:rFonts w:ascii="Arial" w:hAnsi="Arial" w:cs="Arial"/>
        </w:rPr>
      </w:pPr>
    </w:p>
    <w:p w14:paraId="2A33F264" w14:textId="78BF4C80" w:rsidR="00D67A04" w:rsidRDefault="00D67A04" w:rsidP="00CF1CC9">
      <w:pPr>
        <w:ind w:left="720" w:firstLine="180"/>
        <w:rPr>
          <w:rFonts w:ascii="Arial" w:hAnsi="Arial" w:cs="Arial"/>
        </w:rPr>
      </w:pPr>
      <w:r>
        <w:rPr>
          <w:rFonts w:ascii="Arial" w:hAnsi="Arial" w:cs="Arial"/>
        </w:rPr>
        <w:t>And</w:t>
      </w:r>
    </w:p>
    <w:p w14:paraId="5DE6CC93" w14:textId="77777777" w:rsidR="00D67A04" w:rsidRPr="00D67A04" w:rsidRDefault="00D67A04" w:rsidP="00D67A04">
      <w:pPr>
        <w:spacing w:line="360" w:lineRule="auto"/>
        <w:ind w:left="1260"/>
        <w:rPr>
          <w:rFonts w:ascii="Arial" w:hAnsi="Arial" w:cs="Arial"/>
          <w:i/>
          <w:iCs/>
          <w:sz w:val="22"/>
          <w:szCs w:val="22"/>
        </w:rPr>
      </w:pPr>
    </w:p>
    <w:p w14:paraId="58362BE0" w14:textId="77777777" w:rsidR="0003162D" w:rsidRDefault="00D67A04" w:rsidP="00D67A04">
      <w:pPr>
        <w:spacing w:line="360" w:lineRule="auto"/>
        <w:ind w:left="1260"/>
        <w:jc w:val="both"/>
        <w:rPr>
          <w:rFonts w:ascii="Arial" w:hAnsi="Arial" w:cs="Arial"/>
          <w:i/>
          <w:iCs/>
          <w:sz w:val="22"/>
          <w:szCs w:val="22"/>
        </w:rPr>
      </w:pPr>
      <w:r w:rsidRPr="00D67A04">
        <w:rPr>
          <w:rFonts w:ascii="Arial" w:hAnsi="Arial" w:cs="Arial"/>
          <w:i/>
          <w:iCs/>
          <w:sz w:val="22"/>
          <w:szCs w:val="22"/>
        </w:rPr>
        <w:t>“The DDG replied to the communicated concerns by stating that when the CMR North indicated its termination of funding relationship and statutory functions, the DSD's processes at the time had to change. In that time, the DQA report was</w:t>
      </w:r>
      <w:r>
        <w:rPr>
          <w:rFonts w:ascii="Arial" w:hAnsi="Arial" w:cs="Arial"/>
          <w:i/>
          <w:iCs/>
          <w:sz w:val="22"/>
          <w:szCs w:val="22"/>
        </w:rPr>
        <w:t xml:space="preserve"> </w:t>
      </w:r>
      <w:r w:rsidRPr="00D67A04">
        <w:rPr>
          <w:rFonts w:ascii="Arial" w:hAnsi="Arial" w:cs="Arial"/>
          <w:i/>
          <w:iCs/>
          <w:sz w:val="22"/>
          <w:szCs w:val="22"/>
        </w:rPr>
        <w:t xml:space="preserve">received, and that report will later be formally communicated to the CMR North for </w:t>
      </w:r>
    </w:p>
    <w:p w14:paraId="33E4141C" w14:textId="77777777" w:rsidR="0003162D" w:rsidRDefault="0003162D" w:rsidP="00D67A04">
      <w:pPr>
        <w:spacing w:line="360" w:lineRule="auto"/>
        <w:ind w:left="1260"/>
        <w:jc w:val="both"/>
        <w:rPr>
          <w:rFonts w:ascii="Arial" w:hAnsi="Arial" w:cs="Arial"/>
          <w:i/>
          <w:iCs/>
          <w:sz w:val="22"/>
          <w:szCs w:val="22"/>
        </w:rPr>
      </w:pPr>
    </w:p>
    <w:p w14:paraId="050972D3" w14:textId="77777777" w:rsidR="0003162D" w:rsidRDefault="0003162D" w:rsidP="00D67A04">
      <w:pPr>
        <w:spacing w:line="360" w:lineRule="auto"/>
        <w:ind w:left="1260"/>
        <w:jc w:val="both"/>
        <w:rPr>
          <w:rFonts w:ascii="Arial" w:hAnsi="Arial" w:cs="Arial"/>
          <w:i/>
          <w:iCs/>
          <w:sz w:val="22"/>
          <w:szCs w:val="22"/>
        </w:rPr>
      </w:pPr>
    </w:p>
    <w:p w14:paraId="496D82D4" w14:textId="4FE45122" w:rsidR="00D67A04" w:rsidRPr="00D67A04" w:rsidRDefault="00D67A04" w:rsidP="00D67A04">
      <w:pPr>
        <w:spacing w:line="360" w:lineRule="auto"/>
        <w:ind w:left="1260"/>
        <w:jc w:val="both"/>
        <w:rPr>
          <w:rFonts w:ascii="Arial" w:hAnsi="Arial" w:cs="Arial"/>
          <w:i/>
          <w:iCs/>
          <w:sz w:val="22"/>
          <w:szCs w:val="22"/>
        </w:rPr>
      </w:pPr>
      <w:r w:rsidRPr="00D67A04">
        <w:rPr>
          <w:rFonts w:ascii="Arial" w:hAnsi="Arial" w:cs="Arial"/>
          <w:i/>
          <w:iCs/>
          <w:sz w:val="22"/>
          <w:szCs w:val="22"/>
        </w:rPr>
        <w:t>analysis and comments. The findings from the DQA report and the Intake and Field Unit's report were unexpected and alarming, and these reports indicated that the CMR North has a case to answer.</w:t>
      </w:r>
    </w:p>
    <w:p w14:paraId="715B6E25" w14:textId="77777777" w:rsidR="00D67A04" w:rsidRDefault="00D67A04" w:rsidP="00D67A04">
      <w:pPr>
        <w:spacing w:line="360" w:lineRule="auto"/>
        <w:ind w:left="1260"/>
        <w:rPr>
          <w:rFonts w:ascii="Arial" w:hAnsi="Arial" w:cs="Arial"/>
          <w:i/>
          <w:iCs/>
          <w:sz w:val="22"/>
          <w:szCs w:val="22"/>
        </w:rPr>
      </w:pPr>
    </w:p>
    <w:p w14:paraId="0940EC57" w14:textId="5B9D7B33" w:rsidR="00D67A04" w:rsidRDefault="00D67A04" w:rsidP="00D67A04">
      <w:pPr>
        <w:spacing w:line="360" w:lineRule="auto"/>
        <w:ind w:left="1260"/>
        <w:rPr>
          <w:rFonts w:ascii="Arial" w:hAnsi="Arial" w:cs="Arial"/>
          <w:i/>
          <w:iCs/>
          <w:sz w:val="22"/>
          <w:szCs w:val="22"/>
        </w:rPr>
      </w:pPr>
      <w:r w:rsidRPr="00D67A04">
        <w:rPr>
          <w:rFonts w:ascii="Arial" w:hAnsi="Arial" w:cs="Arial"/>
          <w:i/>
          <w:iCs/>
          <w:sz w:val="22"/>
          <w:szCs w:val="22"/>
        </w:rPr>
        <w:t>The DDG presented the following intentions of DSD to the board members:</w:t>
      </w:r>
    </w:p>
    <w:p w14:paraId="438C33CF" w14:textId="77777777" w:rsidR="00D67A04" w:rsidRPr="00D67A04" w:rsidRDefault="00D67A04" w:rsidP="00D67A04">
      <w:pPr>
        <w:spacing w:line="360" w:lineRule="auto"/>
        <w:ind w:left="1260"/>
        <w:rPr>
          <w:rFonts w:ascii="Arial" w:hAnsi="Arial" w:cs="Arial"/>
          <w:i/>
          <w:iCs/>
          <w:sz w:val="22"/>
          <w:szCs w:val="22"/>
        </w:rPr>
      </w:pPr>
    </w:p>
    <w:p w14:paraId="1AB7799C" w14:textId="5E4A0DC8" w:rsidR="00D67A04" w:rsidRDefault="00F67663" w:rsidP="00F67663">
      <w:pPr>
        <w:spacing w:after="5" w:line="360" w:lineRule="auto"/>
        <w:ind w:left="1980" w:hanging="630"/>
        <w:rPr>
          <w:rFonts w:ascii="Arial" w:hAnsi="Arial" w:cs="Arial"/>
          <w:i/>
          <w:iCs/>
          <w:sz w:val="22"/>
          <w:szCs w:val="22"/>
        </w:rPr>
      </w:pPr>
      <w:r>
        <w:rPr>
          <w:rFonts w:ascii="Calibri" w:eastAsia="Calibri" w:hAnsi="Calibri" w:cs="Calibri"/>
          <w:iCs/>
          <w:color w:val="000000"/>
          <w:sz w:val="30"/>
          <w:szCs w:val="30"/>
          <w:u w:color="000000"/>
        </w:rPr>
        <w:t>•</w:t>
      </w:r>
      <w:r>
        <w:rPr>
          <w:rFonts w:ascii="Calibri" w:eastAsia="Calibri" w:hAnsi="Calibri" w:cs="Calibri"/>
          <w:iCs/>
          <w:color w:val="000000"/>
          <w:sz w:val="30"/>
          <w:szCs w:val="30"/>
          <w:u w:color="000000"/>
        </w:rPr>
        <w:tab/>
      </w:r>
      <w:r w:rsidR="00D67A04" w:rsidRPr="00D67A04">
        <w:rPr>
          <w:rFonts w:ascii="Arial" w:hAnsi="Arial" w:cs="Arial"/>
          <w:i/>
          <w:iCs/>
          <w:sz w:val="22"/>
          <w:szCs w:val="22"/>
        </w:rPr>
        <w:t>To accept the CMR North's letter of withdrawal;</w:t>
      </w:r>
    </w:p>
    <w:p w14:paraId="172C2447" w14:textId="77777777" w:rsidR="00D67A04" w:rsidRPr="00D67A04" w:rsidRDefault="00D67A04" w:rsidP="00D67A04">
      <w:pPr>
        <w:spacing w:after="5" w:line="360" w:lineRule="auto"/>
        <w:ind w:left="1980" w:hanging="630"/>
        <w:jc w:val="both"/>
        <w:rPr>
          <w:rFonts w:ascii="Arial" w:hAnsi="Arial" w:cs="Arial"/>
          <w:i/>
          <w:iCs/>
          <w:sz w:val="22"/>
          <w:szCs w:val="22"/>
        </w:rPr>
      </w:pPr>
    </w:p>
    <w:p w14:paraId="0BC10B66" w14:textId="5018B0F9" w:rsidR="00D67A04" w:rsidRPr="00D67A04" w:rsidRDefault="00F67663" w:rsidP="00F67663">
      <w:pPr>
        <w:spacing w:after="45" w:line="360" w:lineRule="auto"/>
        <w:ind w:left="1980" w:hanging="630"/>
        <w:jc w:val="both"/>
        <w:rPr>
          <w:rFonts w:ascii="Arial" w:hAnsi="Arial" w:cs="Arial"/>
          <w:i/>
          <w:iCs/>
          <w:sz w:val="22"/>
          <w:szCs w:val="22"/>
        </w:rPr>
      </w:pPr>
      <w:r w:rsidRPr="00D67A04">
        <w:rPr>
          <w:rFonts w:ascii="Calibri" w:eastAsia="Calibri" w:hAnsi="Calibri" w:cs="Calibri"/>
          <w:iCs/>
          <w:color w:val="000000"/>
          <w:sz w:val="30"/>
          <w:szCs w:val="30"/>
          <w:u w:color="000000"/>
        </w:rPr>
        <w:t>•</w:t>
      </w:r>
      <w:r w:rsidRPr="00D67A04">
        <w:rPr>
          <w:rFonts w:ascii="Calibri" w:eastAsia="Calibri" w:hAnsi="Calibri" w:cs="Calibri"/>
          <w:iCs/>
          <w:color w:val="000000"/>
          <w:sz w:val="30"/>
          <w:szCs w:val="30"/>
          <w:u w:color="000000"/>
        </w:rPr>
        <w:tab/>
      </w:r>
      <w:r w:rsidR="00D67A04" w:rsidRPr="00D67A04">
        <w:rPr>
          <w:rFonts w:ascii="Arial" w:hAnsi="Arial" w:cs="Arial"/>
          <w:i/>
          <w:iCs/>
          <w:sz w:val="22"/>
          <w:szCs w:val="22"/>
        </w:rPr>
        <w:t>The department intends to withdraw all other statutory programmes provided by CMR and the designation of child protection organisation status in terms of section 107 of the Children's Act, and to withdraw the designation certificate;</w:t>
      </w:r>
    </w:p>
    <w:p w14:paraId="07DF049A" w14:textId="77777777" w:rsidR="00D67A04" w:rsidRPr="00D67A04" w:rsidRDefault="00D67A04" w:rsidP="00D67A04">
      <w:pPr>
        <w:spacing w:line="360" w:lineRule="auto"/>
        <w:ind w:left="1260"/>
        <w:jc w:val="both"/>
        <w:rPr>
          <w:rFonts w:ascii="Arial" w:hAnsi="Arial" w:cs="Arial"/>
          <w:i/>
          <w:iCs/>
          <w:sz w:val="22"/>
          <w:szCs w:val="22"/>
        </w:rPr>
      </w:pPr>
    </w:p>
    <w:p w14:paraId="11C0326F" w14:textId="5686CA97" w:rsidR="00D67A04" w:rsidRPr="00D67A04" w:rsidRDefault="00D67A04" w:rsidP="0003162D">
      <w:pPr>
        <w:spacing w:after="230" w:line="360" w:lineRule="auto"/>
        <w:ind w:left="1260"/>
        <w:jc w:val="both"/>
        <w:rPr>
          <w:rFonts w:ascii="Arial" w:hAnsi="Arial" w:cs="Arial"/>
          <w:i/>
          <w:iCs/>
          <w:sz w:val="22"/>
          <w:szCs w:val="22"/>
        </w:rPr>
      </w:pPr>
      <w:r w:rsidRPr="00D67A04">
        <w:rPr>
          <w:rFonts w:ascii="Arial" w:hAnsi="Arial" w:cs="Arial"/>
          <w:i/>
          <w:iCs/>
          <w:sz w:val="22"/>
          <w:szCs w:val="22"/>
        </w:rPr>
        <w:t>and it was confirmed that DSD's letter of intention, the minutes of the meeting, the DQA report and the report on the findings from Intake and Field will be sent to the organisation within seven working days, and the organisation will be presented with an opportunity to respond to the matters presented”.</w:t>
      </w:r>
    </w:p>
    <w:p w14:paraId="29E7BC4E" w14:textId="155B7F6E" w:rsidR="00217B03" w:rsidRPr="00217B03" w:rsidRDefault="00217B03" w:rsidP="00217B03">
      <w:pPr>
        <w:pStyle w:val="Body"/>
        <w:spacing w:line="360" w:lineRule="auto"/>
        <w:ind w:left="720"/>
        <w:jc w:val="both"/>
        <w:rPr>
          <w:bCs/>
        </w:rPr>
      </w:pPr>
    </w:p>
    <w:p w14:paraId="25E35F9B" w14:textId="206EA766" w:rsidR="00B90127" w:rsidRPr="00B90127" w:rsidRDefault="00F67663" w:rsidP="00F67663">
      <w:pPr>
        <w:pStyle w:val="Body"/>
        <w:spacing w:line="360" w:lineRule="auto"/>
        <w:ind w:left="851" w:hanging="851"/>
        <w:jc w:val="both"/>
        <w:rPr>
          <w:bCs/>
          <w:i/>
          <w:iCs/>
          <w:sz w:val="24"/>
          <w:szCs w:val="24"/>
        </w:rPr>
      </w:pPr>
      <w:r w:rsidRPr="00B90127">
        <w:rPr>
          <w:bCs/>
          <w:i/>
          <w:iCs/>
          <w:sz w:val="24"/>
          <w:szCs w:val="24"/>
        </w:rPr>
        <w:t>24.</w:t>
      </w:r>
      <w:r w:rsidRPr="00B90127">
        <w:rPr>
          <w:bCs/>
          <w:i/>
          <w:iCs/>
          <w:sz w:val="24"/>
          <w:szCs w:val="24"/>
        </w:rPr>
        <w:tab/>
      </w:r>
      <w:r w:rsidR="00B90127">
        <w:rPr>
          <w:bCs/>
          <w:sz w:val="24"/>
          <w:szCs w:val="24"/>
        </w:rPr>
        <w:t>It bears mention at this juncture that during the meeting on 13 April 2022 the representatives of CMR North informed the DSD representatives that they were ‘</w:t>
      </w:r>
      <w:r w:rsidR="00B90127" w:rsidRPr="00B90127">
        <w:rPr>
          <w:bCs/>
          <w:i/>
          <w:iCs/>
          <w:sz w:val="24"/>
          <w:szCs w:val="24"/>
        </w:rPr>
        <w:t>terminating their funding relationship with the DSD, but not partnership with the entire DSD.’</w:t>
      </w:r>
    </w:p>
    <w:p w14:paraId="5721D9FC" w14:textId="77777777" w:rsidR="00995B3F" w:rsidRPr="00B90127" w:rsidRDefault="00995B3F" w:rsidP="005D1D30">
      <w:pPr>
        <w:pStyle w:val="Body"/>
        <w:spacing w:line="360" w:lineRule="auto"/>
        <w:ind w:left="851" w:hanging="851"/>
        <w:jc w:val="both"/>
        <w:rPr>
          <w:bCs/>
          <w:i/>
          <w:iCs/>
          <w:sz w:val="24"/>
          <w:szCs w:val="24"/>
        </w:rPr>
      </w:pPr>
    </w:p>
    <w:p w14:paraId="6BA01547" w14:textId="105B7A47" w:rsidR="0003162D" w:rsidRPr="001F2B32" w:rsidRDefault="00F67663" w:rsidP="00F67663">
      <w:pPr>
        <w:pStyle w:val="Body"/>
        <w:spacing w:line="360" w:lineRule="auto"/>
        <w:ind w:left="851" w:hanging="851"/>
        <w:jc w:val="both"/>
        <w:rPr>
          <w:bCs/>
          <w:sz w:val="24"/>
          <w:szCs w:val="24"/>
        </w:rPr>
      </w:pPr>
      <w:r w:rsidRPr="001F2B32">
        <w:rPr>
          <w:bCs/>
          <w:sz w:val="24"/>
          <w:szCs w:val="24"/>
        </w:rPr>
        <w:t>25.</w:t>
      </w:r>
      <w:r w:rsidRPr="001F2B32">
        <w:rPr>
          <w:bCs/>
          <w:sz w:val="24"/>
          <w:szCs w:val="24"/>
        </w:rPr>
        <w:tab/>
      </w:r>
      <w:r w:rsidR="00B90127">
        <w:rPr>
          <w:bCs/>
          <w:sz w:val="24"/>
          <w:szCs w:val="24"/>
        </w:rPr>
        <w:t>N</w:t>
      </w:r>
      <w:r w:rsidR="00F7026F">
        <w:rPr>
          <w:bCs/>
          <w:sz w:val="24"/>
          <w:szCs w:val="24"/>
        </w:rPr>
        <w:t xml:space="preserve">otwithstanding the stated intention to furnish CMR North with the DQA report and other investigation documents to afford them an opportunity to respond thereto, this did not occur.  On 6 May 2022, </w:t>
      </w:r>
      <w:r w:rsidR="00D76857">
        <w:rPr>
          <w:bCs/>
          <w:sz w:val="24"/>
          <w:szCs w:val="24"/>
        </w:rPr>
        <w:t xml:space="preserve">the DSD addressed a letter in which </w:t>
      </w:r>
      <w:r w:rsidR="00D76857">
        <w:rPr>
          <w:bCs/>
          <w:sz w:val="24"/>
          <w:szCs w:val="24"/>
        </w:rPr>
        <w:lastRenderedPageBreak/>
        <w:t>they indicated that both the DQA as well as the investigation report and subsequent investigation:</w:t>
      </w:r>
    </w:p>
    <w:p w14:paraId="4C052C3C" w14:textId="77777777" w:rsidR="0003162D" w:rsidRDefault="0003162D" w:rsidP="00D76857">
      <w:pPr>
        <w:pStyle w:val="Body"/>
        <w:spacing w:line="360" w:lineRule="auto"/>
        <w:ind w:left="720"/>
        <w:jc w:val="both"/>
        <w:rPr>
          <w:bCs/>
          <w:sz w:val="24"/>
          <w:szCs w:val="24"/>
        </w:rPr>
      </w:pPr>
    </w:p>
    <w:p w14:paraId="069953D7" w14:textId="1938410E" w:rsidR="00D76857" w:rsidRPr="00D76857" w:rsidRDefault="00D76857" w:rsidP="00D76857">
      <w:pPr>
        <w:pStyle w:val="Body"/>
        <w:spacing w:line="360" w:lineRule="auto"/>
        <w:ind w:left="1440"/>
        <w:jc w:val="both"/>
        <w:rPr>
          <w:bCs/>
          <w:i/>
          <w:iCs/>
          <w:sz w:val="22"/>
          <w:szCs w:val="22"/>
        </w:rPr>
      </w:pPr>
      <w:r w:rsidRPr="00D76857">
        <w:rPr>
          <w:bCs/>
          <w:i/>
          <w:iCs/>
          <w:sz w:val="22"/>
          <w:szCs w:val="22"/>
        </w:rPr>
        <w:t>“</w:t>
      </w:r>
      <w:r w:rsidR="00CE6DC9">
        <w:rPr>
          <w:bCs/>
          <w:i/>
          <w:iCs/>
          <w:sz w:val="22"/>
          <w:szCs w:val="22"/>
        </w:rPr>
        <w:t>. . . c</w:t>
      </w:r>
      <w:r w:rsidRPr="00D76857">
        <w:rPr>
          <w:bCs/>
          <w:i/>
          <w:iCs/>
          <w:sz w:val="22"/>
          <w:szCs w:val="22"/>
        </w:rPr>
        <w:t>onfirmed that the allegations made against CMR are in all probabilities (sic) accurate (as supported by evidence collected from the files and information collected during interviews with families, etc.)”</w:t>
      </w:r>
    </w:p>
    <w:p w14:paraId="0B1FADE4" w14:textId="023D2E28" w:rsidR="005B649C" w:rsidRDefault="005B649C" w:rsidP="00F7026F">
      <w:pPr>
        <w:pStyle w:val="Body"/>
        <w:spacing w:line="360" w:lineRule="auto"/>
        <w:jc w:val="both"/>
        <w:rPr>
          <w:bCs/>
          <w:sz w:val="24"/>
          <w:szCs w:val="24"/>
        </w:rPr>
      </w:pPr>
    </w:p>
    <w:p w14:paraId="00207220" w14:textId="2D116BA6" w:rsidR="00D76857" w:rsidRDefault="00F67663" w:rsidP="00F67663">
      <w:pPr>
        <w:pStyle w:val="Body"/>
        <w:spacing w:line="360" w:lineRule="auto"/>
        <w:ind w:left="851" w:hanging="851"/>
        <w:jc w:val="both"/>
        <w:rPr>
          <w:bCs/>
          <w:sz w:val="24"/>
          <w:szCs w:val="24"/>
        </w:rPr>
      </w:pPr>
      <w:r>
        <w:rPr>
          <w:bCs/>
          <w:sz w:val="24"/>
          <w:szCs w:val="24"/>
        </w:rPr>
        <w:t>26.</w:t>
      </w:r>
      <w:r>
        <w:rPr>
          <w:bCs/>
          <w:sz w:val="24"/>
          <w:szCs w:val="24"/>
        </w:rPr>
        <w:tab/>
      </w:r>
      <w:r w:rsidR="00CE6DC9">
        <w:rPr>
          <w:bCs/>
          <w:sz w:val="24"/>
          <w:szCs w:val="24"/>
        </w:rPr>
        <w:t xml:space="preserve">On 18 May 2022, CMR North responded comprehensively to the letter of 6 May 2022. In the letter they explained, firstly, that CMR North had not sought deregistration as a CPO, or for that matter as a </w:t>
      </w:r>
      <w:r w:rsidR="00E910B4">
        <w:rPr>
          <w:bCs/>
          <w:sz w:val="24"/>
          <w:szCs w:val="24"/>
        </w:rPr>
        <w:t>non-profit</w:t>
      </w:r>
      <w:r w:rsidR="00CE6DC9">
        <w:rPr>
          <w:bCs/>
          <w:sz w:val="24"/>
          <w:szCs w:val="24"/>
        </w:rPr>
        <w:t xml:space="preserve"> organization and that the letter of 29 March 2022 had been misconstrued.  Secondly, they also addressed the very serious allegations made against them and pertinently </w:t>
      </w:r>
      <w:r w:rsidR="00E910B4">
        <w:rPr>
          <w:bCs/>
          <w:sz w:val="24"/>
          <w:szCs w:val="24"/>
        </w:rPr>
        <w:t>stated:</w:t>
      </w:r>
    </w:p>
    <w:p w14:paraId="1E09BEE3" w14:textId="76ECB9BE" w:rsidR="00CE6DC9" w:rsidRDefault="00CE6DC9" w:rsidP="00CE6DC9">
      <w:pPr>
        <w:pStyle w:val="Body"/>
        <w:spacing w:line="360" w:lineRule="auto"/>
        <w:ind w:left="720"/>
        <w:jc w:val="both"/>
        <w:rPr>
          <w:bCs/>
          <w:sz w:val="24"/>
          <w:szCs w:val="24"/>
        </w:rPr>
      </w:pPr>
    </w:p>
    <w:p w14:paraId="729E9F76" w14:textId="213F3AE3" w:rsidR="00CE6DC9" w:rsidRDefault="00CE6DC9" w:rsidP="00E910B4">
      <w:pPr>
        <w:pStyle w:val="Body"/>
        <w:spacing w:line="360" w:lineRule="auto"/>
        <w:ind w:left="2160" w:hanging="720"/>
        <w:jc w:val="both"/>
        <w:rPr>
          <w:bCs/>
          <w:i/>
          <w:iCs/>
          <w:sz w:val="22"/>
          <w:szCs w:val="22"/>
        </w:rPr>
      </w:pPr>
      <w:r>
        <w:rPr>
          <w:bCs/>
          <w:sz w:val="24"/>
          <w:szCs w:val="24"/>
        </w:rPr>
        <w:t>“</w:t>
      </w:r>
      <w:r>
        <w:rPr>
          <w:bCs/>
          <w:i/>
          <w:iCs/>
          <w:sz w:val="22"/>
          <w:szCs w:val="22"/>
        </w:rPr>
        <w:t>1.</w:t>
      </w:r>
      <w:r>
        <w:rPr>
          <w:bCs/>
          <w:i/>
          <w:iCs/>
          <w:sz w:val="22"/>
          <w:szCs w:val="22"/>
        </w:rPr>
        <w:tab/>
        <w:t>GDSD’s notice and the attached DQA report contains general statements without substantial proof;</w:t>
      </w:r>
    </w:p>
    <w:p w14:paraId="11C2D6D5" w14:textId="7AB85DFA" w:rsidR="00CE6DC9" w:rsidRDefault="00CE6DC9" w:rsidP="00E910B4">
      <w:pPr>
        <w:pStyle w:val="Body"/>
        <w:spacing w:line="360" w:lineRule="auto"/>
        <w:ind w:left="2160" w:hanging="720"/>
        <w:jc w:val="both"/>
        <w:rPr>
          <w:bCs/>
          <w:i/>
          <w:iCs/>
          <w:sz w:val="22"/>
          <w:szCs w:val="22"/>
        </w:rPr>
      </w:pPr>
    </w:p>
    <w:p w14:paraId="0DFA2D4B" w14:textId="4DEBEE02" w:rsidR="00CE6DC9" w:rsidRPr="00CE6DC9" w:rsidRDefault="00CE6DC9" w:rsidP="00E910B4">
      <w:pPr>
        <w:pStyle w:val="Body"/>
        <w:spacing w:line="360" w:lineRule="auto"/>
        <w:ind w:left="2160" w:hanging="720"/>
        <w:jc w:val="both"/>
        <w:rPr>
          <w:bCs/>
          <w:i/>
          <w:iCs/>
          <w:sz w:val="22"/>
          <w:szCs w:val="22"/>
        </w:rPr>
      </w:pPr>
      <w:r>
        <w:rPr>
          <w:bCs/>
          <w:i/>
          <w:iCs/>
          <w:sz w:val="22"/>
          <w:szCs w:val="22"/>
        </w:rPr>
        <w:t>2.</w:t>
      </w:r>
      <w:r>
        <w:rPr>
          <w:bCs/>
          <w:i/>
          <w:iCs/>
          <w:sz w:val="22"/>
          <w:szCs w:val="22"/>
        </w:rPr>
        <w:tab/>
        <w:t>All 168 files referred to in the DQA report need to be scrutinized and verified by the CMR to understand the vague outcomes stated in that report</w:t>
      </w:r>
      <w:r w:rsidR="00E910B4">
        <w:rPr>
          <w:bCs/>
          <w:i/>
          <w:iCs/>
          <w:sz w:val="22"/>
          <w:szCs w:val="22"/>
        </w:rPr>
        <w:t>.”</w:t>
      </w:r>
    </w:p>
    <w:p w14:paraId="7D2DBD44" w14:textId="77777777" w:rsidR="00995B3F" w:rsidRDefault="00995B3F" w:rsidP="0003162D">
      <w:pPr>
        <w:pStyle w:val="Body"/>
        <w:spacing w:line="360" w:lineRule="auto"/>
        <w:jc w:val="both"/>
        <w:rPr>
          <w:b/>
          <w:sz w:val="24"/>
          <w:szCs w:val="24"/>
        </w:rPr>
      </w:pPr>
    </w:p>
    <w:p w14:paraId="01E24F73" w14:textId="558A1340" w:rsidR="00B278B9" w:rsidRPr="003E4DBA" w:rsidRDefault="00F67663" w:rsidP="00F67663">
      <w:pPr>
        <w:pStyle w:val="Body"/>
        <w:spacing w:line="360" w:lineRule="auto"/>
        <w:ind w:left="851" w:hanging="851"/>
        <w:jc w:val="both"/>
        <w:rPr>
          <w:b/>
          <w:sz w:val="24"/>
          <w:szCs w:val="24"/>
        </w:rPr>
      </w:pPr>
      <w:r w:rsidRPr="003E4DBA">
        <w:rPr>
          <w:bCs/>
          <w:sz w:val="24"/>
          <w:szCs w:val="24"/>
        </w:rPr>
        <w:t>27.</w:t>
      </w:r>
      <w:r w:rsidRPr="003E4DBA">
        <w:rPr>
          <w:bCs/>
          <w:sz w:val="24"/>
          <w:szCs w:val="24"/>
        </w:rPr>
        <w:tab/>
      </w:r>
      <w:r w:rsidR="00E910B4">
        <w:rPr>
          <w:bCs/>
          <w:sz w:val="24"/>
          <w:szCs w:val="24"/>
        </w:rPr>
        <w:t>They also went on to address comment and to dispute and rebut the allegations that had been made.  I do not intend to traverse the allegations or the responses.  These are not matters for consideration in the present proceedings.  It suffices to state that every single allegation was placed in issue.</w:t>
      </w:r>
    </w:p>
    <w:p w14:paraId="4B913F3D" w14:textId="77777777" w:rsidR="006D3289" w:rsidRPr="00665EC9" w:rsidRDefault="006D3289" w:rsidP="005D1D30">
      <w:pPr>
        <w:pStyle w:val="Body"/>
        <w:spacing w:line="360" w:lineRule="auto"/>
        <w:ind w:left="851" w:hanging="851"/>
        <w:jc w:val="both"/>
        <w:rPr>
          <w:bCs/>
          <w:sz w:val="24"/>
          <w:szCs w:val="24"/>
        </w:rPr>
      </w:pPr>
    </w:p>
    <w:p w14:paraId="79BB035A" w14:textId="674ECFE3" w:rsidR="00FA71DD" w:rsidRPr="00522A83" w:rsidRDefault="00F67663" w:rsidP="00F67663">
      <w:pPr>
        <w:pStyle w:val="Body"/>
        <w:spacing w:line="360" w:lineRule="auto"/>
        <w:ind w:left="851" w:hanging="851"/>
        <w:jc w:val="both"/>
        <w:rPr>
          <w:bCs/>
          <w:sz w:val="24"/>
          <w:szCs w:val="24"/>
        </w:rPr>
      </w:pPr>
      <w:r w:rsidRPr="00522A83">
        <w:rPr>
          <w:bCs/>
          <w:sz w:val="24"/>
          <w:szCs w:val="24"/>
        </w:rPr>
        <w:t>28.</w:t>
      </w:r>
      <w:r w:rsidRPr="00522A83">
        <w:rPr>
          <w:bCs/>
          <w:sz w:val="24"/>
          <w:szCs w:val="24"/>
        </w:rPr>
        <w:tab/>
      </w:r>
      <w:r w:rsidR="005E34E0">
        <w:rPr>
          <w:bCs/>
          <w:sz w:val="24"/>
          <w:szCs w:val="24"/>
        </w:rPr>
        <w:t xml:space="preserve">On 6 June 2022, the DSD proceeded to withdraw CMR North’s designation as a CPO.  </w:t>
      </w:r>
      <w:r w:rsidR="00FA71DD">
        <w:rPr>
          <w:bCs/>
          <w:sz w:val="24"/>
          <w:szCs w:val="24"/>
        </w:rPr>
        <w:t>The withdrawal and reasons for it were conveyed in a letter which read as follows:</w:t>
      </w:r>
    </w:p>
    <w:p w14:paraId="44510F94" w14:textId="77777777" w:rsidR="00FA71DD" w:rsidRDefault="00FA71DD" w:rsidP="00FA71DD">
      <w:pPr>
        <w:spacing w:after="193"/>
        <w:ind w:left="1910" w:right="705"/>
        <w:rPr>
          <w:rFonts w:ascii="Arial" w:hAnsi="Arial" w:cs="Arial"/>
          <w:bCs/>
          <w:sz w:val="22"/>
          <w:szCs w:val="22"/>
        </w:rPr>
      </w:pPr>
    </w:p>
    <w:p w14:paraId="4594D756" w14:textId="6766FA17" w:rsidR="00FA71DD" w:rsidRPr="00FA71DD" w:rsidRDefault="00FA71DD" w:rsidP="00995B3F">
      <w:pPr>
        <w:spacing w:after="193" w:line="360" w:lineRule="auto"/>
        <w:ind w:left="1418" w:right="4"/>
        <w:jc w:val="both"/>
        <w:rPr>
          <w:rFonts w:ascii="Arial" w:hAnsi="Arial" w:cs="Arial"/>
          <w:i/>
          <w:sz w:val="22"/>
          <w:szCs w:val="22"/>
        </w:rPr>
      </w:pPr>
      <w:r w:rsidRPr="00FA71DD">
        <w:rPr>
          <w:rFonts w:ascii="Arial" w:hAnsi="Arial" w:cs="Arial"/>
          <w:bCs/>
          <w:sz w:val="22"/>
          <w:szCs w:val="22"/>
        </w:rPr>
        <w:t>“</w:t>
      </w:r>
      <w:r w:rsidRPr="00FA71DD">
        <w:rPr>
          <w:rFonts w:ascii="Arial" w:hAnsi="Arial" w:cs="Arial"/>
          <w:b/>
          <w:bCs/>
          <w:i/>
          <w:sz w:val="22"/>
          <w:szCs w:val="22"/>
        </w:rPr>
        <w:t>NOTICE OF WITHDRAWAL OF THE DESIGNATION OF CMR NOORD's</w:t>
      </w:r>
      <w:r>
        <w:rPr>
          <w:rFonts w:ascii="Arial" w:hAnsi="Arial" w:cs="Arial"/>
          <w:b/>
          <w:bCs/>
          <w:i/>
          <w:sz w:val="22"/>
          <w:szCs w:val="22"/>
        </w:rPr>
        <w:t xml:space="preserve"> / </w:t>
      </w:r>
      <w:r w:rsidRPr="00FA71DD">
        <w:rPr>
          <w:rFonts w:ascii="Arial" w:hAnsi="Arial" w:cs="Arial"/>
          <w:b/>
          <w:bCs/>
          <w:i/>
          <w:sz w:val="22"/>
          <w:szCs w:val="22"/>
        </w:rPr>
        <w:t>NORTH's REGISTRATION AS A CHILD-PROTECTION ORGANISATION (CPO).</w:t>
      </w:r>
    </w:p>
    <w:p w14:paraId="7A15D0CF" w14:textId="0EB26D31" w:rsidR="00FA71DD" w:rsidRDefault="00FA71DD" w:rsidP="00995B3F">
      <w:pPr>
        <w:spacing w:after="152" w:line="360" w:lineRule="auto"/>
        <w:ind w:left="1418" w:right="4"/>
        <w:jc w:val="both"/>
        <w:rPr>
          <w:rFonts w:ascii="Arial" w:hAnsi="Arial" w:cs="Arial"/>
          <w:i/>
          <w:sz w:val="22"/>
          <w:szCs w:val="22"/>
        </w:rPr>
      </w:pPr>
      <w:r w:rsidRPr="00FA71DD">
        <w:rPr>
          <w:rFonts w:ascii="Arial" w:hAnsi="Arial" w:cs="Arial"/>
          <w:i/>
          <w:sz w:val="22"/>
          <w:szCs w:val="22"/>
        </w:rPr>
        <w:lastRenderedPageBreak/>
        <w:t>The above captioned subject matter together with the letter dated 29 March 2022, under hand of Couzyn Hertzog &amp; Horak Attorneys, and received on 6 April 2022, refers: -</w:t>
      </w:r>
    </w:p>
    <w:p w14:paraId="6B060C2C" w14:textId="77777777" w:rsidR="0003162D" w:rsidRPr="00FA71DD" w:rsidRDefault="0003162D" w:rsidP="001F2B32">
      <w:pPr>
        <w:spacing w:after="152" w:line="360" w:lineRule="auto"/>
        <w:ind w:right="4"/>
        <w:jc w:val="both"/>
        <w:rPr>
          <w:rFonts w:ascii="Arial" w:hAnsi="Arial" w:cs="Arial"/>
          <w:i/>
          <w:sz w:val="22"/>
          <w:szCs w:val="22"/>
        </w:rPr>
      </w:pPr>
    </w:p>
    <w:p w14:paraId="0E1A8755" w14:textId="1C32E383" w:rsidR="00995B3F" w:rsidRPr="00995B3F" w:rsidRDefault="00F67663" w:rsidP="00F67663">
      <w:pPr>
        <w:spacing w:after="223" w:line="360" w:lineRule="auto"/>
        <w:ind w:left="2268" w:right="4" w:hanging="850"/>
        <w:jc w:val="both"/>
        <w:rPr>
          <w:rFonts w:ascii="Arial" w:hAnsi="Arial" w:cs="Arial"/>
          <w:i/>
          <w:sz w:val="22"/>
          <w:szCs w:val="22"/>
        </w:rPr>
      </w:pPr>
      <w:r w:rsidRPr="00995B3F">
        <w:rPr>
          <w:rFonts w:ascii="Calibri" w:eastAsia="Calibri" w:hAnsi="Calibri" w:cs="Calibri"/>
          <w:color w:val="000000"/>
          <w:u w:color="000000"/>
        </w:rPr>
        <w:t>1.</w:t>
      </w:r>
      <w:r w:rsidRPr="00995B3F">
        <w:rPr>
          <w:rFonts w:ascii="Calibri" w:eastAsia="Calibri" w:hAnsi="Calibri" w:cs="Calibri"/>
          <w:color w:val="000000"/>
          <w:u w:color="000000"/>
        </w:rPr>
        <w:tab/>
      </w:r>
      <w:r w:rsidR="00FA71DD" w:rsidRPr="00FA71DD">
        <w:rPr>
          <w:rFonts w:ascii="Arial" w:hAnsi="Arial" w:cs="Arial"/>
          <w:i/>
          <w:sz w:val="22"/>
          <w:szCs w:val="22"/>
        </w:rPr>
        <w:t xml:space="preserve">At Paragraph four (4)(i) Of the letter referred to above your Organisation </w:t>
      </w:r>
      <w:r w:rsidR="00FA71DD" w:rsidRPr="00FA71DD">
        <w:rPr>
          <w:rFonts w:ascii="Arial" w:hAnsi="Arial" w:cs="Arial"/>
          <w:i/>
          <w:noProof/>
          <w:sz w:val="22"/>
          <w:szCs w:val="22"/>
          <w:lang w:val="en-ZA" w:eastAsia="en-ZA"/>
        </w:rPr>
        <w:drawing>
          <wp:inline distT="0" distB="0" distL="0" distR="0" wp14:anchorId="3A333AAF" wp14:editId="5A5F1F7E">
            <wp:extent cx="4572" cy="457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14"/>
                    <a:stretch>
                      <a:fillRect/>
                    </a:stretch>
                  </pic:blipFill>
                  <pic:spPr>
                    <a:xfrm>
                      <a:off x="0" y="0"/>
                      <a:ext cx="4572" cy="4572"/>
                    </a:xfrm>
                    <a:prstGeom prst="rect">
                      <a:avLst/>
                    </a:prstGeom>
                  </pic:spPr>
                </pic:pic>
              </a:graphicData>
            </a:graphic>
          </wp:inline>
        </w:drawing>
      </w:r>
      <w:r w:rsidR="00FA71DD" w:rsidRPr="00FA71DD">
        <w:rPr>
          <w:rFonts w:ascii="Arial" w:hAnsi="Arial" w:cs="Arial"/>
          <w:i/>
          <w:sz w:val="22"/>
          <w:szCs w:val="22"/>
        </w:rPr>
        <w:t xml:space="preserve">gave Notice of the intention to -voluntary Withdraw the provision Of </w:t>
      </w:r>
      <w:r w:rsidR="00FA71DD" w:rsidRPr="00FA71DD">
        <w:rPr>
          <w:rFonts w:ascii="Arial" w:hAnsi="Arial" w:cs="Arial"/>
          <w:i/>
          <w:noProof/>
          <w:sz w:val="22"/>
          <w:szCs w:val="22"/>
          <w:lang w:val="en-ZA" w:eastAsia="en-ZA"/>
        </w:rPr>
        <w:drawing>
          <wp:inline distT="0" distB="0" distL="0" distR="0" wp14:anchorId="0E480F66" wp14:editId="7D8381BC">
            <wp:extent cx="4572" cy="45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15"/>
                    <a:stretch>
                      <a:fillRect/>
                    </a:stretch>
                  </pic:blipFill>
                  <pic:spPr>
                    <a:xfrm>
                      <a:off x="0" y="0"/>
                      <a:ext cx="4572" cy="4572"/>
                    </a:xfrm>
                    <a:prstGeom prst="rect">
                      <a:avLst/>
                    </a:prstGeom>
                  </pic:spPr>
                </pic:pic>
              </a:graphicData>
            </a:graphic>
          </wp:inline>
        </w:drawing>
      </w:r>
      <w:r w:rsidR="00FA71DD" w:rsidRPr="00FA71DD">
        <w:rPr>
          <w:rFonts w:ascii="Arial" w:hAnsi="Arial" w:cs="Arial"/>
          <w:i/>
          <w:sz w:val="22"/>
          <w:szCs w:val="22"/>
        </w:rPr>
        <w:t>services from 1</w:t>
      </w:r>
      <w:r w:rsidR="00FA71DD" w:rsidRPr="00FA71DD">
        <w:rPr>
          <w:rFonts w:ascii="Arial" w:hAnsi="Arial" w:cs="Arial"/>
          <w:i/>
          <w:sz w:val="22"/>
          <w:szCs w:val="22"/>
          <w:vertAlign w:val="superscript"/>
        </w:rPr>
        <w:t xml:space="preserve">st </w:t>
      </w:r>
      <w:r w:rsidR="00FA71DD" w:rsidRPr="00FA71DD">
        <w:rPr>
          <w:rFonts w:ascii="Arial" w:hAnsi="Arial" w:cs="Arial"/>
          <w:i/>
          <w:sz w:val="22"/>
          <w:szCs w:val="22"/>
        </w:rPr>
        <w:t xml:space="preserve">April 2022, relating to Statutory Intakes: Form 9 &amp; 36 </w:t>
      </w:r>
      <w:r w:rsidR="00FA71DD" w:rsidRPr="00FA71DD">
        <w:rPr>
          <w:rFonts w:ascii="Arial" w:hAnsi="Arial" w:cs="Arial"/>
          <w:i/>
          <w:noProof/>
          <w:sz w:val="22"/>
          <w:szCs w:val="22"/>
          <w:lang w:val="en-ZA" w:eastAsia="en-ZA"/>
        </w:rPr>
        <w:drawing>
          <wp:inline distT="0" distB="0" distL="0" distR="0" wp14:anchorId="391506A7" wp14:editId="76AD0A28">
            <wp:extent cx="4572" cy="914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16"/>
                    <a:stretch>
                      <a:fillRect/>
                    </a:stretch>
                  </pic:blipFill>
                  <pic:spPr>
                    <a:xfrm>
                      <a:off x="0" y="0"/>
                      <a:ext cx="4572" cy="9144"/>
                    </a:xfrm>
                    <a:prstGeom prst="rect">
                      <a:avLst/>
                    </a:prstGeom>
                  </pic:spPr>
                </pic:pic>
              </a:graphicData>
            </a:graphic>
          </wp:inline>
        </w:drawing>
      </w:r>
      <w:r w:rsidR="00FA71DD" w:rsidRPr="00FA71DD">
        <w:rPr>
          <w:rFonts w:ascii="Arial" w:hAnsi="Arial" w:cs="Arial"/>
          <w:i/>
          <w:sz w:val="22"/>
          <w:szCs w:val="22"/>
        </w:rPr>
        <w:t>referrals. The voluntary withdrawal also specifically referred to Statutory services inter alia foster care screenings, foster care supervision services and family reunification services.</w:t>
      </w:r>
    </w:p>
    <w:p w14:paraId="6FF0F9C0" w14:textId="5A417503" w:rsidR="00995B3F" w:rsidRPr="00995B3F" w:rsidRDefault="00F67663" w:rsidP="00F67663">
      <w:pPr>
        <w:spacing w:after="153" w:line="360" w:lineRule="auto"/>
        <w:ind w:left="2268" w:right="4" w:hanging="850"/>
        <w:jc w:val="both"/>
        <w:rPr>
          <w:rFonts w:ascii="Arial" w:hAnsi="Arial" w:cs="Arial"/>
          <w:i/>
          <w:sz w:val="22"/>
          <w:szCs w:val="22"/>
        </w:rPr>
      </w:pPr>
      <w:r w:rsidRPr="00995B3F">
        <w:rPr>
          <w:rFonts w:ascii="Calibri" w:eastAsia="Calibri" w:hAnsi="Calibri" w:cs="Calibri"/>
          <w:color w:val="000000"/>
          <w:u w:color="000000"/>
        </w:rPr>
        <w:t>2.</w:t>
      </w:r>
      <w:r w:rsidRPr="00995B3F">
        <w:rPr>
          <w:rFonts w:ascii="Calibri" w:eastAsia="Calibri" w:hAnsi="Calibri" w:cs="Calibri"/>
          <w:color w:val="000000"/>
          <w:u w:color="000000"/>
        </w:rPr>
        <w:tab/>
      </w:r>
      <w:r w:rsidR="00FA71DD" w:rsidRPr="00FA71DD">
        <w:rPr>
          <w:rFonts w:ascii="Arial" w:hAnsi="Arial" w:cs="Arial"/>
          <w:i/>
          <w:sz w:val="22"/>
          <w:szCs w:val="22"/>
        </w:rPr>
        <w:t xml:space="preserve">The Gauteng Department of Social Development has noted and accepted the contents of' the letter, as Captioned in Paragraph one (I) </w:t>
      </w:r>
      <w:r w:rsidR="00FA71DD" w:rsidRPr="00FA71DD">
        <w:rPr>
          <w:rFonts w:ascii="Arial" w:hAnsi="Arial" w:cs="Arial"/>
          <w:i/>
          <w:noProof/>
          <w:sz w:val="22"/>
          <w:szCs w:val="22"/>
          <w:lang w:val="en-ZA" w:eastAsia="en-ZA"/>
        </w:rPr>
        <w:drawing>
          <wp:inline distT="0" distB="0" distL="0" distR="0" wp14:anchorId="676BAA66" wp14:editId="2874ED4A">
            <wp:extent cx="9144" cy="137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17"/>
                    <a:stretch>
                      <a:fillRect/>
                    </a:stretch>
                  </pic:blipFill>
                  <pic:spPr>
                    <a:xfrm>
                      <a:off x="0" y="0"/>
                      <a:ext cx="9144" cy="13716"/>
                    </a:xfrm>
                    <a:prstGeom prst="rect">
                      <a:avLst/>
                    </a:prstGeom>
                  </pic:spPr>
                </pic:pic>
              </a:graphicData>
            </a:graphic>
          </wp:inline>
        </w:drawing>
      </w:r>
      <w:r w:rsidR="00FA71DD" w:rsidRPr="00FA71DD">
        <w:rPr>
          <w:rFonts w:ascii="Arial" w:hAnsi="Arial" w:cs="Arial"/>
          <w:i/>
          <w:sz w:val="22"/>
          <w:szCs w:val="22"/>
        </w:rPr>
        <w:t>above. Therefore, the designation of your organisation as a Child Protection Organisation (CPO)) is of necessity herby withdrawn.</w:t>
      </w:r>
      <w:r w:rsidR="00FA71DD" w:rsidRPr="00FA71DD">
        <w:rPr>
          <w:rFonts w:ascii="Arial" w:hAnsi="Arial" w:cs="Arial"/>
          <w:i/>
          <w:noProof/>
          <w:sz w:val="22"/>
          <w:szCs w:val="22"/>
          <w:lang w:val="en-ZA" w:eastAsia="en-ZA"/>
        </w:rPr>
        <w:drawing>
          <wp:inline distT="0" distB="0" distL="0" distR="0" wp14:anchorId="28BFE861" wp14:editId="6542A96D">
            <wp:extent cx="54864" cy="3657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211" name="Picture 4211"/>
                    <pic:cNvPicPr/>
                  </pic:nvPicPr>
                  <pic:blipFill>
                    <a:blip r:embed="rId18"/>
                    <a:stretch>
                      <a:fillRect/>
                    </a:stretch>
                  </pic:blipFill>
                  <pic:spPr>
                    <a:xfrm>
                      <a:off x="0" y="0"/>
                      <a:ext cx="54864" cy="36576"/>
                    </a:xfrm>
                    <a:prstGeom prst="rect">
                      <a:avLst/>
                    </a:prstGeom>
                  </pic:spPr>
                </pic:pic>
              </a:graphicData>
            </a:graphic>
          </wp:inline>
        </w:drawing>
      </w:r>
    </w:p>
    <w:p w14:paraId="27C6AC44" w14:textId="71DA2EC7" w:rsidR="00995B3F" w:rsidRPr="0003162D" w:rsidRDefault="00F67663" w:rsidP="00F67663">
      <w:pPr>
        <w:spacing w:after="221" w:line="360" w:lineRule="auto"/>
        <w:ind w:left="2268" w:right="4" w:hanging="850"/>
        <w:jc w:val="both"/>
        <w:rPr>
          <w:rFonts w:ascii="Arial" w:hAnsi="Arial" w:cs="Arial"/>
          <w:i/>
          <w:sz w:val="22"/>
          <w:szCs w:val="22"/>
        </w:rPr>
      </w:pPr>
      <w:r w:rsidRPr="0003162D">
        <w:rPr>
          <w:rFonts w:ascii="Calibri" w:eastAsia="Calibri" w:hAnsi="Calibri" w:cs="Calibri"/>
          <w:color w:val="000000"/>
          <w:u w:color="000000"/>
        </w:rPr>
        <w:t>3.</w:t>
      </w:r>
      <w:r w:rsidRPr="0003162D">
        <w:rPr>
          <w:rFonts w:ascii="Calibri" w:eastAsia="Calibri" w:hAnsi="Calibri" w:cs="Calibri"/>
          <w:color w:val="000000"/>
          <w:u w:color="000000"/>
        </w:rPr>
        <w:tab/>
      </w:r>
      <w:r w:rsidR="00FA71DD" w:rsidRPr="00FA71DD">
        <w:rPr>
          <w:rFonts w:ascii="Arial" w:hAnsi="Arial" w:cs="Arial"/>
          <w:i/>
          <w:sz w:val="22"/>
          <w:szCs w:val="22"/>
        </w:rPr>
        <w:t>Furthermore, the Department has also noted the contents of Paragraph four (4) (ii) (ii) (iv) and (v) of said letter, and expresses its appreciation for the anticipated enacting of the undertakings made therein,</w:t>
      </w:r>
    </w:p>
    <w:p w14:paraId="068EF9F2" w14:textId="61EA3AAF" w:rsidR="00FA71DD" w:rsidRPr="00FA71DD" w:rsidRDefault="00F67663" w:rsidP="00F67663">
      <w:pPr>
        <w:spacing w:after="213" w:line="360" w:lineRule="auto"/>
        <w:ind w:left="2268" w:right="4" w:hanging="850"/>
        <w:jc w:val="both"/>
        <w:rPr>
          <w:rFonts w:ascii="Arial" w:hAnsi="Arial" w:cs="Arial"/>
          <w:i/>
          <w:sz w:val="22"/>
          <w:szCs w:val="22"/>
        </w:rPr>
      </w:pPr>
      <w:r w:rsidRPr="00FA71DD">
        <w:rPr>
          <w:rFonts w:ascii="Calibri" w:eastAsia="Calibri" w:hAnsi="Calibri" w:cs="Calibri"/>
          <w:color w:val="000000"/>
          <w:u w:color="000000"/>
        </w:rPr>
        <w:t>4.</w:t>
      </w:r>
      <w:r w:rsidRPr="00FA71DD">
        <w:rPr>
          <w:rFonts w:ascii="Calibri" w:eastAsia="Calibri" w:hAnsi="Calibri" w:cs="Calibri"/>
          <w:color w:val="000000"/>
          <w:u w:color="000000"/>
        </w:rPr>
        <w:tab/>
      </w:r>
      <w:r w:rsidR="00FA71DD" w:rsidRPr="00FA71DD">
        <w:rPr>
          <w:rFonts w:ascii="Arial" w:hAnsi="Arial" w:cs="Arial"/>
          <w:i/>
          <w:sz w:val="22"/>
          <w:szCs w:val="22"/>
        </w:rPr>
        <w:t>The Department also takes this opportunity to express its gratitude to your Organisation for the services that it has provided during the course of the relationship between the partie</w:t>
      </w:r>
      <w:r w:rsidR="00FA71DD">
        <w:rPr>
          <w:rFonts w:ascii="Arial" w:hAnsi="Arial" w:cs="Arial"/>
          <w:i/>
          <w:sz w:val="22"/>
          <w:szCs w:val="22"/>
        </w:rPr>
        <w:t>s</w:t>
      </w:r>
      <w:r w:rsidR="00FA71DD" w:rsidRPr="00FA71DD">
        <w:rPr>
          <w:rFonts w:ascii="Arial" w:hAnsi="Arial" w:cs="Arial"/>
          <w:i/>
          <w:sz w:val="22"/>
          <w:szCs w:val="22"/>
        </w:rPr>
        <w:t>”</w:t>
      </w:r>
    </w:p>
    <w:p w14:paraId="5EFEDA68" w14:textId="77777777" w:rsidR="008916D0" w:rsidRDefault="008916D0" w:rsidP="004741BE">
      <w:pPr>
        <w:pStyle w:val="ListParagraph"/>
        <w:spacing w:line="360" w:lineRule="auto"/>
        <w:rPr>
          <w:bCs/>
        </w:rPr>
      </w:pPr>
    </w:p>
    <w:p w14:paraId="0A0C08C1" w14:textId="4A3B59A0" w:rsidR="003F0531" w:rsidRDefault="00F67663" w:rsidP="00F67663">
      <w:pPr>
        <w:pStyle w:val="Body"/>
        <w:spacing w:line="360" w:lineRule="auto"/>
        <w:ind w:left="851" w:hanging="851"/>
        <w:jc w:val="both"/>
        <w:rPr>
          <w:bCs/>
          <w:sz w:val="24"/>
          <w:szCs w:val="24"/>
        </w:rPr>
      </w:pPr>
      <w:r>
        <w:rPr>
          <w:bCs/>
          <w:sz w:val="24"/>
          <w:szCs w:val="24"/>
        </w:rPr>
        <w:t>29.</w:t>
      </w:r>
      <w:r>
        <w:rPr>
          <w:bCs/>
          <w:sz w:val="24"/>
          <w:szCs w:val="24"/>
        </w:rPr>
        <w:tab/>
      </w:r>
      <w:r w:rsidR="003F0531">
        <w:rPr>
          <w:bCs/>
          <w:sz w:val="24"/>
          <w:szCs w:val="24"/>
        </w:rPr>
        <w:t>In its terms the withdrawal of the CPO status was predicated solely upon the contents of the letter sent by CMR North’s attorneys on 29 March 2022</w:t>
      </w:r>
      <w:r w:rsidR="001F2B32">
        <w:rPr>
          <w:bCs/>
          <w:sz w:val="24"/>
          <w:szCs w:val="24"/>
        </w:rPr>
        <w:t xml:space="preserve"> notwithstanding that the DSD had been made aware of the fact that the interpretation sought to be attributed to it was incorrect.</w:t>
      </w:r>
    </w:p>
    <w:p w14:paraId="08628DFE" w14:textId="77777777" w:rsidR="00DB4BAE" w:rsidRDefault="00DB4BAE" w:rsidP="004741BE">
      <w:pPr>
        <w:pStyle w:val="ListParagraph"/>
        <w:spacing w:line="360" w:lineRule="auto"/>
        <w:ind w:left="851" w:hanging="851"/>
        <w:rPr>
          <w:bCs/>
        </w:rPr>
      </w:pPr>
    </w:p>
    <w:p w14:paraId="38A761E0" w14:textId="25EE8399" w:rsidR="00DB4BAE" w:rsidRPr="00665EC9" w:rsidRDefault="00F67663" w:rsidP="00F67663">
      <w:pPr>
        <w:pStyle w:val="Body"/>
        <w:spacing w:line="360" w:lineRule="auto"/>
        <w:ind w:left="851" w:hanging="851"/>
        <w:jc w:val="both"/>
        <w:rPr>
          <w:bCs/>
          <w:sz w:val="24"/>
          <w:szCs w:val="24"/>
        </w:rPr>
      </w:pPr>
      <w:r w:rsidRPr="00665EC9">
        <w:rPr>
          <w:bCs/>
          <w:sz w:val="24"/>
          <w:szCs w:val="24"/>
        </w:rPr>
        <w:t>30.</w:t>
      </w:r>
      <w:r w:rsidRPr="00665EC9">
        <w:rPr>
          <w:bCs/>
          <w:sz w:val="24"/>
          <w:szCs w:val="24"/>
        </w:rPr>
        <w:tab/>
      </w:r>
      <w:r w:rsidR="00DB4BAE">
        <w:rPr>
          <w:bCs/>
          <w:sz w:val="24"/>
          <w:szCs w:val="24"/>
        </w:rPr>
        <w:t>From the events between January 2022 and June 2022 as set out above, the following is readily apparent:</w:t>
      </w:r>
    </w:p>
    <w:p w14:paraId="05E5CBAD" w14:textId="77777777" w:rsidR="00CD55DE" w:rsidRDefault="00CD55DE" w:rsidP="00C01927">
      <w:pPr>
        <w:pStyle w:val="Body"/>
        <w:spacing w:line="360" w:lineRule="auto"/>
        <w:jc w:val="both"/>
        <w:rPr>
          <w:b/>
          <w:sz w:val="24"/>
          <w:szCs w:val="24"/>
        </w:rPr>
      </w:pPr>
    </w:p>
    <w:p w14:paraId="1CF71F1E" w14:textId="01654AAD" w:rsidR="004741BE" w:rsidRPr="001F2B32" w:rsidRDefault="00F67663" w:rsidP="00F67663">
      <w:pPr>
        <w:pStyle w:val="Body"/>
        <w:spacing w:line="360" w:lineRule="auto"/>
        <w:ind w:left="1985" w:hanging="1134"/>
        <w:jc w:val="both"/>
        <w:rPr>
          <w:bCs/>
          <w:sz w:val="24"/>
          <w:szCs w:val="24"/>
        </w:rPr>
      </w:pPr>
      <w:r w:rsidRPr="001F2B32">
        <w:rPr>
          <w:bCs/>
          <w:sz w:val="24"/>
          <w:szCs w:val="24"/>
        </w:rPr>
        <w:lastRenderedPageBreak/>
        <w:t>30.1</w:t>
      </w:r>
      <w:r w:rsidRPr="001F2B32">
        <w:rPr>
          <w:bCs/>
          <w:sz w:val="24"/>
          <w:szCs w:val="24"/>
        </w:rPr>
        <w:tab/>
      </w:r>
      <w:r w:rsidR="00DB4BAE">
        <w:rPr>
          <w:bCs/>
          <w:sz w:val="24"/>
          <w:szCs w:val="24"/>
        </w:rPr>
        <w:t xml:space="preserve">The interviews and such investigations as were undertaken on 21 January 2022 were not recorded, </w:t>
      </w:r>
      <w:r w:rsidR="008F79E0">
        <w:rPr>
          <w:bCs/>
          <w:sz w:val="24"/>
          <w:szCs w:val="24"/>
        </w:rPr>
        <w:t xml:space="preserve">but </w:t>
      </w:r>
      <w:r w:rsidR="00DB4BAE">
        <w:rPr>
          <w:bCs/>
          <w:sz w:val="24"/>
          <w:szCs w:val="24"/>
        </w:rPr>
        <w:t>if they were recorded, such recordings or transcripts thereof did not form</w:t>
      </w:r>
      <w:r w:rsidR="008F79E0">
        <w:rPr>
          <w:bCs/>
          <w:sz w:val="24"/>
          <w:szCs w:val="24"/>
        </w:rPr>
        <w:t xml:space="preserve"> any</w:t>
      </w:r>
      <w:r w:rsidR="00DB4BAE">
        <w:rPr>
          <w:bCs/>
          <w:sz w:val="24"/>
          <w:szCs w:val="24"/>
        </w:rPr>
        <w:t xml:space="preserve"> part of the record before </w:t>
      </w:r>
      <w:r w:rsidR="00151A72">
        <w:rPr>
          <w:bCs/>
          <w:sz w:val="24"/>
          <w:szCs w:val="24"/>
        </w:rPr>
        <w:t>the DSD</w:t>
      </w:r>
      <w:r w:rsidR="00DB4BAE">
        <w:rPr>
          <w:bCs/>
          <w:sz w:val="24"/>
          <w:szCs w:val="24"/>
        </w:rPr>
        <w:t xml:space="preserve"> in its consideration of CMR North’s CPO status.</w:t>
      </w:r>
    </w:p>
    <w:p w14:paraId="4E129CA9" w14:textId="3B10D543" w:rsidR="004741BE" w:rsidRDefault="004741BE" w:rsidP="004741BE">
      <w:pPr>
        <w:pStyle w:val="Body"/>
        <w:spacing w:line="360" w:lineRule="auto"/>
        <w:ind w:left="1985" w:hanging="1134"/>
        <w:jc w:val="both"/>
        <w:rPr>
          <w:bCs/>
          <w:sz w:val="24"/>
          <w:szCs w:val="24"/>
        </w:rPr>
      </w:pPr>
    </w:p>
    <w:p w14:paraId="0FD24B54" w14:textId="77777777" w:rsidR="004741BE" w:rsidRDefault="004741BE" w:rsidP="004741BE">
      <w:pPr>
        <w:pStyle w:val="Body"/>
        <w:spacing w:line="360" w:lineRule="auto"/>
        <w:ind w:left="1985" w:hanging="1134"/>
        <w:jc w:val="both"/>
        <w:rPr>
          <w:bCs/>
          <w:sz w:val="24"/>
          <w:szCs w:val="24"/>
        </w:rPr>
      </w:pPr>
    </w:p>
    <w:p w14:paraId="4860D1C9" w14:textId="54E57278" w:rsidR="004741BE" w:rsidRDefault="00F67663" w:rsidP="00F67663">
      <w:pPr>
        <w:pStyle w:val="Body"/>
        <w:spacing w:line="360" w:lineRule="auto"/>
        <w:ind w:left="1985" w:hanging="1134"/>
        <w:jc w:val="both"/>
        <w:rPr>
          <w:bCs/>
          <w:sz w:val="24"/>
          <w:szCs w:val="24"/>
        </w:rPr>
      </w:pPr>
      <w:r>
        <w:rPr>
          <w:bCs/>
          <w:sz w:val="24"/>
          <w:szCs w:val="24"/>
        </w:rPr>
        <w:t>30.2</w:t>
      </w:r>
      <w:r>
        <w:rPr>
          <w:bCs/>
          <w:sz w:val="24"/>
          <w:szCs w:val="24"/>
        </w:rPr>
        <w:tab/>
      </w:r>
      <w:r w:rsidR="00DB4BAE" w:rsidRPr="004741BE">
        <w:rPr>
          <w:bCs/>
          <w:sz w:val="24"/>
          <w:szCs w:val="24"/>
        </w:rPr>
        <w:t>The DQA investigation of 168 out of 2000 files</w:t>
      </w:r>
      <w:r w:rsidR="00C01927" w:rsidRPr="004741BE">
        <w:rPr>
          <w:bCs/>
          <w:sz w:val="24"/>
          <w:szCs w:val="24"/>
        </w:rPr>
        <w:t>, only 8.4%</w:t>
      </w:r>
      <w:r w:rsidR="00B90127" w:rsidRPr="004741BE">
        <w:rPr>
          <w:bCs/>
          <w:sz w:val="24"/>
          <w:szCs w:val="24"/>
        </w:rPr>
        <w:t>,</w:t>
      </w:r>
      <w:r w:rsidR="00C01927" w:rsidRPr="004741BE">
        <w:rPr>
          <w:bCs/>
          <w:sz w:val="24"/>
          <w:szCs w:val="24"/>
        </w:rPr>
        <w:t xml:space="preserve"> resulted in generalized </w:t>
      </w:r>
      <w:r w:rsidR="00151A72" w:rsidRPr="004741BE">
        <w:rPr>
          <w:bCs/>
          <w:sz w:val="24"/>
          <w:szCs w:val="24"/>
        </w:rPr>
        <w:t xml:space="preserve">and wide </w:t>
      </w:r>
      <w:r w:rsidR="00C01927" w:rsidRPr="004741BE">
        <w:rPr>
          <w:bCs/>
          <w:sz w:val="24"/>
          <w:szCs w:val="24"/>
        </w:rPr>
        <w:t>recommendations without any reference to specific files or complaints which would have enabled CMR North to engage and properly respond.</w:t>
      </w:r>
      <w:r w:rsidR="00522A83" w:rsidRPr="004741BE">
        <w:rPr>
          <w:bCs/>
          <w:sz w:val="24"/>
          <w:szCs w:val="24"/>
        </w:rPr>
        <w:t xml:space="preserve"> Furthermore</w:t>
      </w:r>
      <w:r w:rsidR="00031524" w:rsidRPr="004741BE">
        <w:rPr>
          <w:bCs/>
          <w:sz w:val="24"/>
          <w:szCs w:val="24"/>
        </w:rPr>
        <w:t>, the DQA investigation dealt only with certain of the matters prescribed by Regulation 32 but not all.</w:t>
      </w:r>
    </w:p>
    <w:p w14:paraId="455CE09D" w14:textId="77777777" w:rsidR="004741BE" w:rsidRDefault="004741BE" w:rsidP="004741BE">
      <w:pPr>
        <w:pStyle w:val="ListParagraph"/>
        <w:spacing w:line="360" w:lineRule="auto"/>
        <w:ind w:left="1985" w:hanging="1134"/>
        <w:rPr>
          <w:bCs/>
        </w:rPr>
      </w:pPr>
    </w:p>
    <w:p w14:paraId="537E1DF0" w14:textId="43FCD0DC" w:rsidR="004741BE" w:rsidRDefault="00F67663" w:rsidP="00F67663">
      <w:pPr>
        <w:pStyle w:val="Body"/>
        <w:spacing w:line="360" w:lineRule="auto"/>
        <w:ind w:left="1985" w:hanging="1134"/>
        <w:jc w:val="both"/>
        <w:rPr>
          <w:bCs/>
          <w:sz w:val="24"/>
          <w:szCs w:val="24"/>
        </w:rPr>
      </w:pPr>
      <w:r>
        <w:rPr>
          <w:bCs/>
          <w:sz w:val="24"/>
          <w:szCs w:val="24"/>
        </w:rPr>
        <w:t>30.3</w:t>
      </w:r>
      <w:r>
        <w:rPr>
          <w:bCs/>
          <w:sz w:val="24"/>
          <w:szCs w:val="24"/>
        </w:rPr>
        <w:tab/>
      </w:r>
      <w:r w:rsidR="00C01927" w:rsidRPr="004741BE">
        <w:rPr>
          <w:bCs/>
          <w:sz w:val="24"/>
          <w:szCs w:val="24"/>
        </w:rPr>
        <w:t xml:space="preserve">The representations made at the meeting of 13 April 2022 by the DSD representative were not an accurate reflection of the contents of the SAPS letters that had been sent to them or of the findings in the DQA report, which self-evidently only seems to have been </w:t>
      </w:r>
      <w:r w:rsidR="00FA71DD" w:rsidRPr="004741BE">
        <w:rPr>
          <w:bCs/>
          <w:sz w:val="24"/>
          <w:szCs w:val="24"/>
        </w:rPr>
        <w:t>finalized</w:t>
      </w:r>
      <w:r w:rsidR="00C01927" w:rsidRPr="004741BE">
        <w:rPr>
          <w:bCs/>
          <w:sz w:val="24"/>
          <w:szCs w:val="24"/>
        </w:rPr>
        <w:t xml:space="preserve"> </w:t>
      </w:r>
      <w:r w:rsidR="00E4130F" w:rsidRPr="004741BE">
        <w:rPr>
          <w:bCs/>
          <w:sz w:val="24"/>
          <w:szCs w:val="24"/>
        </w:rPr>
        <w:t xml:space="preserve">almost </w:t>
      </w:r>
      <w:r w:rsidR="00C01927" w:rsidRPr="004741BE">
        <w:rPr>
          <w:bCs/>
          <w:sz w:val="24"/>
          <w:szCs w:val="24"/>
        </w:rPr>
        <w:t xml:space="preserve">a month </w:t>
      </w:r>
      <w:r w:rsidR="00E4130F" w:rsidRPr="004741BE">
        <w:rPr>
          <w:bCs/>
          <w:sz w:val="24"/>
          <w:szCs w:val="24"/>
        </w:rPr>
        <w:t>later</w:t>
      </w:r>
      <w:r w:rsidR="00C01927" w:rsidRPr="004741BE">
        <w:rPr>
          <w:bCs/>
          <w:sz w:val="24"/>
          <w:szCs w:val="24"/>
        </w:rPr>
        <w:t xml:space="preserve"> </w:t>
      </w:r>
      <w:r w:rsidR="00E4130F" w:rsidRPr="004741BE">
        <w:rPr>
          <w:bCs/>
          <w:sz w:val="24"/>
          <w:szCs w:val="24"/>
        </w:rPr>
        <w:t xml:space="preserve">on </w:t>
      </w:r>
      <w:r w:rsidR="00C01927" w:rsidRPr="004741BE">
        <w:rPr>
          <w:bCs/>
          <w:sz w:val="24"/>
          <w:szCs w:val="24"/>
        </w:rPr>
        <w:t>9 May 2022.</w:t>
      </w:r>
    </w:p>
    <w:p w14:paraId="284F5635" w14:textId="77777777" w:rsidR="004741BE" w:rsidRDefault="004741BE" w:rsidP="004741BE">
      <w:pPr>
        <w:pStyle w:val="ListParagraph"/>
        <w:spacing w:line="360" w:lineRule="auto"/>
        <w:ind w:left="1985" w:hanging="1134"/>
        <w:rPr>
          <w:bCs/>
        </w:rPr>
      </w:pPr>
    </w:p>
    <w:p w14:paraId="06D59187" w14:textId="2AB02EB6" w:rsidR="004741BE" w:rsidRDefault="00F67663" w:rsidP="00F67663">
      <w:pPr>
        <w:pStyle w:val="Body"/>
        <w:spacing w:line="360" w:lineRule="auto"/>
        <w:ind w:left="1985" w:hanging="1134"/>
        <w:jc w:val="both"/>
        <w:rPr>
          <w:bCs/>
          <w:sz w:val="24"/>
          <w:szCs w:val="24"/>
        </w:rPr>
      </w:pPr>
      <w:r>
        <w:rPr>
          <w:bCs/>
          <w:sz w:val="24"/>
          <w:szCs w:val="24"/>
        </w:rPr>
        <w:t>30.4</w:t>
      </w:r>
      <w:r>
        <w:rPr>
          <w:bCs/>
          <w:sz w:val="24"/>
          <w:szCs w:val="24"/>
        </w:rPr>
        <w:tab/>
      </w:r>
      <w:r w:rsidR="00C01927" w:rsidRPr="004741BE">
        <w:rPr>
          <w:bCs/>
          <w:sz w:val="24"/>
          <w:szCs w:val="24"/>
        </w:rPr>
        <w:t xml:space="preserve">Notwithstanding that CMR North placed in issue the serious unsubstantiated allegations that had been made against it, the DSD persisted in accepting uncritically the veracity of such allegations without affording CMR North any fair or reasonable opportunity to have the allegations fully investigated and considered before the withdrawal of their CPO </w:t>
      </w:r>
      <w:r w:rsidR="00B90127" w:rsidRPr="004741BE">
        <w:rPr>
          <w:bCs/>
          <w:sz w:val="24"/>
          <w:szCs w:val="24"/>
        </w:rPr>
        <w:t>designation</w:t>
      </w:r>
      <w:r w:rsidR="00C01927" w:rsidRPr="004741BE">
        <w:rPr>
          <w:bCs/>
          <w:sz w:val="24"/>
          <w:szCs w:val="24"/>
        </w:rPr>
        <w:t>.</w:t>
      </w:r>
    </w:p>
    <w:p w14:paraId="4A3C9D04" w14:textId="77777777" w:rsidR="004741BE" w:rsidRDefault="004741BE" w:rsidP="004741BE">
      <w:pPr>
        <w:pStyle w:val="ListParagraph"/>
        <w:spacing w:line="360" w:lineRule="auto"/>
        <w:ind w:left="1985" w:hanging="1134"/>
        <w:rPr>
          <w:bCs/>
        </w:rPr>
      </w:pPr>
    </w:p>
    <w:p w14:paraId="021486AE" w14:textId="7E4B52B0" w:rsidR="00C01927" w:rsidRPr="004741BE" w:rsidRDefault="00F67663" w:rsidP="00F67663">
      <w:pPr>
        <w:pStyle w:val="Body"/>
        <w:spacing w:line="360" w:lineRule="auto"/>
        <w:ind w:left="1985" w:hanging="1134"/>
        <w:jc w:val="both"/>
        <w:rPr>
          <w:bCs/>
          <w:sz w:val="24"/>
          <w:szCs w:val="24"/>
        </w:rPr>
      </w:pPr>
      <w:r w:rsidRPr="004741BE">
        <w:rPr>
          <w:bCs/>
          <w:sz w:val="24"/>
          <w:szCs w:val="24"/>
        </w:rPr>
        <w:t>30.5</w:t>
      </w:r>
      <w:r w:rsidRPr="004741BE">
        <w:rPr>
          <w:bCs/>
          <w:sz w:val="24"/>
          <w:szCs w:val="24"/>
        </w:rPr>
        <w:tab/>
      </w:r>
      <w:r w:rsidR="00C01927" w:rsidRPr="004741BE">
        <w:rPr>
          <w:bCs/>
          <w:sz w:val="24"/>
          <w:szCs w:val="24"/>
        </w:rPr>
        <w:t xml:space="preserve">The DSD opportunistically sought to prefer a deliberately self-serving </w:t>
      </w:r>
      <w:r w:rsidR="00E4130F" w:rsidRPr="004741BE">
        <w:rPr>
          <w:bCs/>
          <w:sz w:val="24"/>
          <w:szCs w:val="24"/>
        </w:rPr>
        <w:t xml:space="preserve">and selective </w:t>
      </w:r>
      <w:r w:rsidR="00C01927" w:rsidRPr="004741BE">
        <w:rPr>
          <w:bCs/>
          <w:sz w:val="24"/>
          <w:szCs w:val="24"/>
        </w:rPr>
        <w:t xml:space="preserve">misinterpretation of CMR North’s letter of 29 March 2022 </w:t>
      </w:r>
      <w:r w:rsidR="00B90127" w:rsidRPr="004741BE">
        <w:rPr>
          <w:bCs/>
          <w:sz w:val="24"/>
          <w:szCs w:val="24"/>
        </w:rPr>
        <w:t>to</w:t>
      </w:r>
      <w:r w:rsidR="00C01927" w:rsidRPr="004741BE">
        <w:rPr>
          <w:bCs/>
          <w:sz w:val="24"/>
          <w:szCs w:val="24"/>
        </w:rPr>
        <w:t xml:space="preserve"> provide it with a basis upon which it could withdraw the CPO </w:t>
      </w:r>
      <w:r w:rsidR="00B90127" w:rsidRPr="004741BE">
        <w:rPr>
          <w:bCs/>
          <w:sz w:val="24"/>
          <w:szCs w:val="24"/>
        </w:rPr>
        <w:t>designation</w:t>
      </w:r>
      <w:r w:rsidR="00C01927" w:rsidRPr="004741BE">
        <w:rPr>
          <w:bCs/>
          <w:sz w:val="24"/>
          <w:szCs w:val="24"/>
        </w:rPr>
        <w:t xml:space="preserve">, without having to properly discharge its obligation to investigate the allegations and not simply record and accept them uncritically as </w:t>
      </w:r>
      <w:r w:rsidR="00151A72" w:rsidRPr="004741BE">
        <w:rPr>
          <w:bCs/>
          <w:sz w:val="24"/>
          <w:szCs w:val="24"/>
        </w:rPr>
        <w:t>it</w:t>
      </w:r>
      <w:r w:rsidR="00C01927" w:rsidRPr="004741BE">
        <w:rPr>
          <w:bCs/>
          <w:sz w:val="24"/>
          <w:szCs w:val="24"/>
        </w:rPr>
        <w:t xml:space="preserve"> did.</w:t>
      </w:r>
    </w:p>
    <w:p w14:paraId="20254827" w14:textId="3220B70E" w:rsidR="00151A72" w:rsidRDefault="00151A72" w:rsidP="00151A72">
      <w:pPr>
        <w:pStyle w:val="Body"/>
        <w:spacing w:line="360" w:lineRule="auto"/>
        <w:jc w:val="both"/>
        <w:rPr>
          <w:bCs/>
          <w:sz w:val="24"/>
          <w:szCs w:val="24"/>
        </w:rPr>
      </w:pPr>
    </w:p>
    <w:p w14:paraId="2C1B5FD7" w14:textId="2891D955" w:rsidR="00151A72" w:rsidRDefault="00F67663" w:rsidP="00F67663">
      <w:pPr>
        <w:pStyle w:val="Body"/>
        <w:spacing w:line="360" w:lineRule="auto"/>
        <w:ind w:left="851" w:hanging="851"/>
        <w:jc w:val="both"/>
        <w:rPr>
          <w:bCs/>
          <w:sz w:val="24"/>
          <w:szCs w:val="24"/>
        </w:rPr>
      </w:pPr>
      <w:r>
        <w:rPr>
          <w:bCs/>
          <w:sz w:val="24"/>
          <w:szCs w:val="24"/>
        </w:rPr>
        <w:t>31.</w:t>
      </w:r>
      <w:r>
        <w:rPr>
          <w:bCs/>
          <w:sz w:val="24"/>
          <w:szCs w:val="24"/>
        </w:rPr>
        <w:tab/>
      </w:r>
      <w:r w:rsidR="00151A72">
        <w:rPr>
          <w:bCs/>
          <w:sz w:val="24"/>
          <w:szCs w:val="24"/>
        </w:rPr>
        <w:t>The investigation and presentation of the complaints by the DSD to CMR North was undertaken in an opaque and one-sided manner and in circumstances in which CMR North were not given any opportunity, either in writing or at a hearing, to either admit to, explain, or rebut any of the allegations made against them. The allegations themselves were expressed in general terms which in any event would have made it impossible for them to do so. In such circumstances, it is apparent that the process undertaken was not procedurally fair as required by section 6(2)(c) of PAJA.</w:t>
      </w:r>
    </w:p>
    <w:p w14:paraId="72ABBF9D" w14:textId="77777777" w:rsidR="0054389F" w:rsidRDefault="0054389F" w:rsidP="005D1D30">
      <w:pPr>
        <w:pStyle w:val="Body"/>
        <w:spacing w:line="360" w:lineRule="auto"/>
        <w:ind w:left="851" w:hanging="851"/>
        <w:jc w:val="both"/>
        <w:rPr>
          <w:bCs/>
          <w:sz w:val="24"/>
          <w:szCs w:val="24"/>
        </w:rPr>
      </w:pPr>
    </w:p>
    <w:p w14:paraId="2DAD363D" w14:textId="40B9878C" w:rsidR="0054389F" w:rsidRDefault="00F67663" w:rsidP="00F67663">
      <w:pPr>
        <w:pStyle w:val="Body"/>
        <w:spacing w:line="360" w:lineRule="auto"/>
        <w:ind w:left="851" w:hanging="851"/>
        <w:jc w:val="both"/>
        <w:rPr>
          <w:bCs/>
          <w:sz w:val="24"/>
          <w:szCs w:val="24"/>
        </w:rPr>
      </w:pPr>
      <w:r>
        <w:rPr>
          <w:bCs/>
          <w:sz w:val="24"/>
          <w:szCs w:val="24"/>
        </w:rPr>
        <w:t>32.</w:t>
      </w:r>
      <w:r>
        <w:rPr>
          <w:bCs/>
          <w:sz w:val="24"/>
          <w:szCs w:val="24"/>
        </w:rPr>
        <w:tab/>
      </w:r>
      <w:r w:rsidR="00B87BB1">
        <w:rPr>
          <w:bCs/>
          <w:sz w:val="24"/>
          <w:szCs w:val="24"/>
        </w:rPr>
        <w:t xml:space="preserve">The emails from third parties and the unsubstantiated allegations contained in them were quite clearly considered by the DSD – regard need only be had to the fact that such emails were included in the record relating to the making of the decision. However, it is unclear, having regard to the specific terms in which the withdrawal of the designation was couched whether these played any role in the making of the decision. </w:t>
      </w:r>
    </w:p>
    <w:p w14:paraId="2E72947E" w14:textId="7CB769BB" w:rsidR="00995B3F" w:rsidRDefault="00995B3F" w:rsidP="0054389F">
      <w:pPr>
        <w:pStyle w:val="ListParagraph"/>
        <w:rPr>
          <w:bCs/>
        </w:rPr>
      </w:pPr>
    </w:p>
    <w:p w14:paraId="23602179" w14:textId="77777777" w:rsidR="00995B3F" w:rsidRDefault="00995B3F" w:rsidP="0054389F">
      <w:pPr>
        <w:pStyle w:val="ListParagraph"/>
        <w:rPr>
          <w:bCs/>
        </w:rPr>
      </w:pPr>
    </w:p>
    <w:p w14:paraId="64557C29" w14:textId="473B15A0" w:rsidR="00151A72" w:rsidRDefault="00F67663" w:rsidP="00F67663">
      <w:pPr>
        <w:pStyle w:val="Body"/>
        <w:spacing w:line="360" w:lineRule="auto"/>
        <w:ind w:left="851" w:hanging="851"/>
        <w:jc w:val="both"/>
        <w:rPr>
          <w:bCs/>
          <w:sz w:val="24"/>
          <w:szCs w:val="24"/>
        </w:rPr>
      </w:pPr>
      <w:r>
        <w:rPr>
          <w:bCs/>
          <w:sz w:val="24"/>
          <w:szCs w:val="24"/>
        </w:rPr>
        <w:t>33.</w:t>
      </w:r>
      <w:r>
        <w:rPr>
          <w:bCs/>
          <w:sz w:val="24"/>
          <w:szCs w:val="24"/>
        </w:rPr>
        <w:tab/>
      </w:r>
      <w:r w:rsidR="00B87BB1">
        <w:rPr>
          <w:bCs/>
          <w:sz w:val="24"/>
          <w:szCs w:val="24"/>
        </w:rPr>
        <w:t>Furthermore, these were received after the meeting of 13 April 2022 and the letter of 6 May 2022, both of which evidence a clear intention on the part of the DSD to withdraw the CPO designation. I am not persuaded that the decision was made because of the ‘</w:t>
      </w:r>
      <w:r w:rsidR="00B87BB1" w:rsidRPr="00995B3F">
        <w:rPr>
          <w:bCs/>
          <w:i/>
          <w:iCs/>
          <w:sz w:val="22"/>
          <w:szCs w:val="22"/>
        </w:rPr>
        <w:t>unwarranted dictates of another person or body</w:t>
      </w:r>
      <w:r w:rsidR="00B87BB1" w:rsidRPr="00995B3F">
        <w:rPr>
          <w:bCs/>
          <w:sz w:val="22"/>
          <w:szCs w:val="22"/>
        </w:rPr>
        <w:t xml:space="preserve">’ </w:t>
      </w:r>
      <w:r w:rsidR="00B87BB1">
        <w:rPr>
          <w:bCs/>
          <w:sz w:val="24"/>
          <w:szCs w:val="24"/>
        </w:rPr>
        <w:t xml:space="preserve">as provided for in section 6(2)(e)(iv) of PAJA and so this ground of review </w:t>
      </w:r>
      <w:r w:rsidR="0054389F">
        <w:rPr>
          <w:bCs/>
          <w:sz w:val="24"/>
          <w:szCs w:val="24"/>
        </w:rPr>
        <w:t>fails</w:t>
      </w:r>
      <w:r w:rsidR="00B87BB1">
        <w:rPr>
          <w:bCs/>
          <w:sz w:val="24"/>
          <w:szCs w:val="24"/>
        </w:rPr>
        <w:t>.</w:t>
      </w:r>
    </w:p>
    <w:p w14:paraId="6926991A" w14:textId="77777777" w:rsidR="00F628B4" w:rsidRDefault="00F628B4" w:rsidP="00F628B4">
      <w:pPr>
        <w:pStyle w:val="Body"/>
        <w:spacing w:line="360" w:lineRule="auto"/>
        <w:ind w:left="720"/>
        <w:jc w:val="both"/>
        <w:rPr>
          <w:bCs/>
          <w:sz w:val="24"/>
          <w:szCs w:val="24"/>
        </w:rPr>
      </w:pPr>
    </w:p>
    <w:p w14:paraId="6F8917B4" w14:textId="7201B9A0" w:rsidR="00CD55DE" w:rsidRPr="0054389F" w:rsidRDefault="00F67663" w:rsidP="00F67663">
      <w:pPr>
        <w:pStyle w:val="Body"/>
        <w:spacing w:line="360" w:lineRule="auto"/>
        <w:ind w:left="851" w:hanging="851"/>
        <w:jc w:val="both"/>
        <w:rPr>
          <w:bCs/>
          <w:sz w:val="24"/>
          <w:szCs w:val="24"/>
        </w:rPr>
      </w:pPr>
      <w:r w:rsidRPr="0054389F">
        <w:rPr>
          <w:bCs/>
          <w:sz w:val="24"/>
          <w:szCs w:val="24"/>
        </w:rPr>
        <w:t>34.</w:t>
      </w:r>
      <w:r w:rsidRPr="0054389F">
        <w:rPr>
          <w:bCs/>
          <w:sz w:val="24"/>
          <w:szCs w:val="24"/>
        </w:rPr>
        <w:tab/>
      </w:r>
      <w:r w:rsidR="00F628B4">
        <w:rPr>
          <w:bCs/>
          <w:sz w:val="24"/>
          <w:szCs w:val="24"/>
        </w:rPr>
        <w:t xml:space="preserve">A striking feature of this matter is the way in which the contents of the letters from the SAPS were misrepresented at the meeting of 13 April 2022 and how the letter of 29 March 2022 was utilized as a peg upon which to hang the withdrawal of the CPO designation. For the reasons set out above I am driven to the conclusion that the DSD acted </w:t>
      </w:r>
      <w:r w:rsidR="0054389F">
        <w:rPr>
          <w:bCs/>
          <w:sz w:val="24"/>
          <w:szCs w:val="24"/>
        </w:rPr>
        <w:t xml:space="preserve">with an ‘ulterior purpose’ as provided for in section 6(2)(e)(ii) and </w:t>
      </w:r>
      <w:r w:rsidR="00F628B4">
        <w:rPr>
          <w:bCs/>
          <w:sz w:val="24"/>
          <w:szCs w:val="24"/>
        </w:rPr>
        <w:t xml:space="preserve">in both ‘bad faith’ as provided for in section 6(2)(v) and ‘arbitrarily or capriciously’ as provided for in section 6(2)(vi) of PAJA. </w:t>
      </w:r>
    </w:p>
    <w:p w14:paraId="7E48AEA7" w14:textId="77777777" w:rsidR="00C01927" w:rsidRDefault="00C01927" w:rsidP="005D1D30">
      <w:pPr>
        <w:pStyle w:val="Body"/>
        <w:ind w:left="851" w:hanging="851"/>
        <w:jc w:val="both"/>
        <w:rPr>
          <w:b/>
          <w:sz w:val="24"/>
          <w:szCs w:val="24"/>
        </w:rPr>
      </w:pPr>
    </w:p>
    <w:p w14:paraId="69EACF7E" w14:textId="27BF53E1" w:rsidR="001F2B32" w:rsidRDefault="00F67663" w:rsidP="00F67663">
      <w:pPr>
        <w:pStyle w:val="Body"/>
        <w:spacing w:line="360" w:lineRule="auto"/>
        <w:ind w:left="851" w:hanging="851"/>
        <w:jc w:val="both"/>
        <w:rPr>
          <w:bCs/>
          <w:sz w:val="24"/>
          <w:szCs w:val="24"/>
        </w:rPr>
      </w:pPr>
      <w:r>
        <w:rPr>
          <w:bCs/>
          <w:sz w:val="24"/>
          <w:szCs w:val="24"/>
        </w:rPr>
        <w:lastRenderedPageBreak/>
        <w:t>35.</w:t>
      </w:r>
      <w:r>
        <w:rPr>
          <w:bCs/>
          <w:sz w:val="24"/>
          <w:szCs w:val="24"/>
        </w:rPr>
        <w:tab/>
      </w:r>
      <w:r w:rsidR="0054389F">
        <w:rPr>
          <w:bCs/>
          <w:sz w:val="24"/>
          <w:szCs w:val="24"/>
        </w:rPr>
        <w:t xml:space="preserve">When the argument in the matter had concluded I indicated to the parties that whatever the decision would be, it was incumbent upon the parties to ensure that the serious allegations that had been made were fully and properly investigated. I invited the parties to furnish </w:t>
      </w:r>
      <w:r w:rsidR="003E4DBA">
        <w:rPr>
          <w:bCs/>
          <w:sz w:val="24"/>
          <w:szCs w:val="24"/>
        </w:rPr>
        <w:t>m</w:t>
      </w:r>
      <w:r w:rsidR="0054389F">
        <w:rPr>
          <w:bCs/>
          <w:sz w:val="24"/>
          <w:szCs w:val="24"/>
        </w:rPr>
        <w:t xml:space="preserve">e with proposals </w:t>
      </w:r>
      <w:r w:rsidR="00CB6552">
        <w:rPr>
          <w:bCs/>
          <w:sz w:val="24"/>
          <w:szCs w:val="24"/>
        </w:rPr>
        <w:t>regarding</w:t>
      </w:r>
      <w:r w:rsidR="0054389F">
        <w:rPr>
          <w:bCs/>
          <w:sz w:val="24"/>
          <w:szCs w:val="24"/>
        </w:rPr>
        <w:t xml:space="preserve"> how this could be undertaken in an effective and timeous fashion given their </w:t>
      </w:r>
      <w:r w:rsidR="001F2B32">
        <w:rPr>
          <w:bCs/>
          <w:sz w:val="24"/>
          <w:szCs w:val="24"/>
        </w:rPr>
        <w:t>circumstances</w:t>
      </w:r>
      <w:r w:rsidR="0054389F">
        <w:rPr>
          <w:bCs/>
          <w:sz w:val="24"/>
          <w:szCs w:val="24"/>
        </w:rPr>
        <w:t xml:space="preserve"> and resources. </w:t>
      </w:r>
    </w:p>
    <w:p w14:paraId="70271247" w14:textId="77777777" w:rsidR="001F2B32" w:rsidRDefault="001F2B32" w:rsidP="001F2B32">
      <w:pPr>
        <w:pStyle w:val="ListParagraph"/>
        <w:rPr>
          <w:bCs/>
        </w:rPr>
      </w:pPr>
    </w:p>
    <w:p w14:paraId="41FD529C" w14:textId="201A3065" w:rsidR="00E13DEA" w:rsidRDefault="00F67663" w:rsidP="00F67663">
      <w:pPr>
        <w:pStyle w:val="Body"/>
        <w:spacing w:line="360" w:lineRule="auto"/>
        <w:ind w:left="851" w:hanging="851"/>
        <w:jc w:val="both"/>
        <w:rPr>
          <w:bCs/>
          <w:sz w:val="24"/>
          <w:szCs w:val="24"/>
        </w:rPr>
      </w:pPr>
      <w:r>
        <w:rPr>
          <w:bCs/>
          <w:sz w:val="24"/>
          <w:szCs w:val="24"/>
        </w:rPr>
        <w:t>36.</w:t>
      </w:r>
      <w:r>
        <w:rPr>
          <w:bCs/>
          <w:sz w:val="24"/>
          <w:szCs w:val="24"/>
        </w:rPr>
        <w:tab/>
      </w:r>
      <w:r w:rsidR="0054389F">
        <w:rPr>
          <w:bCs/>
          <w:sz w:val="24"/>
          <w:szCs w:val="24"/>
        </w:rPr>
        <w:t xml:space="preserve">I received from CMR North a comprehensive and well thought out proposal. </w:t>
      </w:r>
      <w:r w:rsidR="00CB6552">
        <w:rPr>
          <w:bCs/>
          <w:sz w:val="24"/>
          <w:szCs w:val="24"/>
        </w:rPr>
        <w:t>Unfortunately,</w:t>
      </w:r>
      <w:r w:rsidR="0054389F">
        <w:rPr>
          <w:bCs/>
          <w:sz w:val="24"/>
          <w:szCs w:val="24"/>
        </w:rPr>
        <w:t xml:space="preserve"> the DSD </w:t>
      </w:r>
      <w:r w:rsidR="00CB6552">
        <w:rPr>
          <w:bCs/>
          <w:sz w:val="24"/>
          <w:szCs w:val="24"/>
        </w:rPr>
        <w:t>refused</w:t>
      </w:r>
      <w:r w:rsidR="0054389F">
        <w:rPr>
          <w:bCs/>
          <w:sz w:val="24"/>
          <w:szCs w:val="24"/>
        </w:rPr>
        <w:t xml:space="preserve"> to make any proposal. I subsequently requested a meeting with the </w:t>
      </w:r>
      <w:r w:rsidR="00CB6552">
        <w:rPr>
          <w:bCs/>
          <w:sz w:val="24"/>
          <w:szCs w:val="24"/>
        </w:rPr>
        <w:t>parties’</w:t>
      </w:r>
      <w:r w:rsidR="0054389F">
        <w:rPr>
          <w:bCs/>
          <w:sz w:val="24"/>
          <w:szCs w:val="24"/>
        </w:rPr>
        <w:t xml:space="preserve"> representatives to obtain clarity on the DSD’s </w:t>
      </w:r>
      <w:r w:rsidR="00CB6552">
        <w:rPr>
          <w:bCs/>
          <w:sz w:val="24"/>
          <w:szCs w:val="24"/>
        </w:rPr>
        <w:t>refusal</w:t>
      </w:r>
      <w:r w:rsidR="0054389F">
        <w:rPr>
          <w:bCs/>
          <w:sz w:val="24"/>
          <w:szCs w:val="24"/>
        </w:rPr>
        <w:t xml:space="preserve"> and was informed that</w:t>
      </w:r>
      <w:r w:rsidR="00CB6552">
        <w:rPr>
          <w:bCs/>
          <w:sz w:val="24"/>
          <w:szCs w:val="24"/>
        </w:rPr>
        <w:t xml:space="preserve"> they did not intend to make any proposal but that they would be referring the matter to the South African Human Rights Commission.</w:t>
      </w:r>
      <w:r w:rsidR="003E4DBA">
        <w:rPr>
          <w:bCs/>
          <w:sz w:val="24"/>
          <w:szCs w:val="24"/>
        </w:rPr>
        <w:t xml:space="preserve"> It is perhaps apposite that the matter be so referred so that besides the complaints made against CMR North, the conduct of the DSD and any other relevant parties may </w:t>
      </w:r>
      <w:r w:rsidR="001F2B32">
        <w:rPr>
          <w:bCs/>
          <w:sz w:val="24"/>
          <w:szCs w:val="24"/>
        </w:rPr>
        <w:t xml:space="preserve">also </w:t>
      </w:r>
      <w:r w:rsidR="003E4DBA">
        <w:rPr>
          <w:bCs/>
          <w:sz w:val="24"/>
          <w:szCs w:val="24"/>
        </w:rPr>
        <w:t>be investigated.</w:t>
      </w:r>
    </w:p>
    <w:p w14:paraId="50A6F45A" w14:textId="2FF8F07F" w:rsidR="00995B3F" w:rsidRPr="004741BE" w:rsidRDefault="00995B3F" w:rsidP="004741BE">
      <w:pPr>
        <w:rPr>
          <w:bCs/>
        </w:rPr>
      </w:pPr>
    </w:p>
    <w:p w14:paraId="7C2EFCC5" w14:textId="77777777" w:rsidR="00995B3F" w:rsidRDefault="00995B3F" w:rsidP="00CB6552">
      <w:pPr>
        <w:pStyle w:val="ListParagraph"/>
        <w:rPr>
          <w:bCs/>
        </w:rPr>
      </w:pPr>
    </w:p>
    <w:p w14:paraId="76A33D13" w14:textId="3E3F5E87" w:rsidR="00CB6552" w:rsidRDefault="00F67663" w:rsidP="00F67663">
      <w:pPr>
        <w:pStyle w:val="Body"/>
        <w:spacing w:line="360" w:lineRule="auto"/>
        <w:ind w:left="851" w:hanging="720"/>
        <w:jc w:val="both"/>
        <w:rPr>
          <w:bCs/>
          <w:sz w:val="24"/>
          <w:szCs w:val="24"/>
        </w:rPr>
      </w:pPr>
      <w:r>
        <w:rPr>
          <w:bCs/>
          <w:sz w:val="24"/>
          <w:szCs w:val="24"/>
        </w:rPr>
        <w:t>37.</w:t>
      </w:r>
      <w:r>
        <w:rPr>
          <w:bCs/>
          <w:sz w:val="24"/>
          <w:szCs w:val="24"/>
        </w:rPr>
        <w:tab/>
      </w:r>
      <w:r w:rsidR="00CB6552">
        <w:rPr>
          <w:bCs/>
          <w:sz w:val="24"/>
          <w:szCs w:val="24"/>
        </w:rPr>
        <w:t xml:space="preserve">In the present matter the costs will follow the result. CMR North argued that I </w:t>
      </w:r>
      <w:r w:rsidR="003E4DBA">
        <w:rPr>
          <w:bCs/>
          <w:sz w:val="24"/>
          <w:szCs w:val="24"/>
        </w:rPr>
        <w:t>should exercise</w:t>
      </w:r>
      <w:r w:rsidR="00CB6552">
        <w:rPr>
          <w:bCs/>
          <w:sz w:val="24"/>
          <w:szCs w:val="24"/>
        </w:rPr>
        <w:t xml:space="preserve"> my discretion and make an award of punitive costs which costs should also include the costs of 2 counsel. Having regard to the </w:t>
      </w:r>
      <w:r w:rsidR="003E4DBA">
        <w:rPr>
          <w:bCs/>
          <w:sz w:val="24"/>
          <w:szCs w:val="24"/>
        </w:rPr>
        <w:t xml:space="preserve">matter as a whole and to the findings </w:t>
      </w:r>
      <w:r w:rsidR="001F2B32">
        <w:rPr>
          <w:bCs/>
          <w:sz w:val="24"/>
          <w:szCs w:val="24"/>
        </w:rPr>
        <w:t>made by me</w:t>
      </w:r>
      <w:r w:rsidR="003E4DBA">
        <w:rPr>
          <w:bCs/>
          <w:sz w:val="24"/>
          <w:szCs w:val="24"/>
        </w:rPr>
        <w:t>, I</w:t>
      </w:r>
      <w:r w:rsidR="00CB6552">
        <w:rPr>
          <w:bCs/>
          <w:sz w:val="24"/>
          <w:szCs w:val="24"/>
        </w:rPr>
        <w:t xml:space="preserve"> am satisfied that the conduct of the DSD </w:t>
      </w:r>
      <w:r w:rsidR="001F2B32">
        <w:rPr>
          <w:bCs/>
          <w:sz w:val="24"/>
          <w:szCs w:val="24"/>
        </w:rPr>
        <w:t xml:space="preserve">falls sufficiently short of that which is expected of it so as to </w:t>
      </w:r>
      <w:r w:rsidR="00CB6552">
        <w:rPr>
          <w:bCs/>
          <w:sz w:val="24"/>
          <w:szCs w:val="24"/>
        </w:rPr>
        <w:t xml:space="preserve">merit an award </w:t>
      </w:r>
      <w:r w:rsidR="001F2B32">
        <w:rPr>
          <w:bCs/>
          <w:sz w:val="24"/>
          <w:szCs w:val="24"/>
        </w:rPr>
        <w:t>of</w:t>
      </w:r>
      <w:r w:rsidR="00CB6552">
        <w:rPr>
          <w:bCs/>
          <w:sz w:val="24"/>
          <w:szCs w:val="24"/>
        </w:rPr>
        <w:t xml:space="preserve"> punitive costs</w:t>
      </w:r>
      <w:r w:rsidR="003E4DBA">
        <w:rPr>
          <w:bCs/>
          <w:sz w:val="24"/>
          <w:szCs w:val="24"/>
        </w:rPr>
        <w:t>.</w:t>
      </w:r>
    </w:p>
    <w:p w14:paraId="7ABE2D2D" w14:textId="77777777" w:rsidR="00995B3F" w:rsidRPr="00DB4BAE" w:rsidRDefault="00995B3F" w:rsidP="005D1D30">
      <w:pPr>
        <w:pStyle w:val="Body"/>
        <w:ind w:left="851" w:hanging="720"/>
        <w:jc w:val="both"/>
        <w:rPr>
          <w:b/>
          <w:sz w:val="24"/>
          <w:szCs w:val="24"/>
        </w:rPr>
      </w:pPr>
    </w:p>
    <w:p w14:paraId="12554AF3" w14:textId="3880BF80" w:rsidR="00995B3F" w:rsidRPr="00995B3F" w:rsidRDefault="00F67663" w:rsidP="00F67663">
      <w:pPr>
        <w:pStyle w:val="Body"/>
        <w:spacing w:line="360" w:lineRule="auto"/>
        <w:ind w:left="851" w:hanging="720"/>
        <w:jc w:val="both"/>
        <w:rPr>
          <w:bCs/>
          <w:sz w:val="24"/>
          <w:szCs w:val="24"/>
        </w:rPr>
      </w:pPr>
      <w:r w:rsidRPr="00995B3F">
        <w:rPr>
          <w:bCs/>
          <w:sz w:val="24"/>
          <w:szCs w:val="24"/>
        </w:rPr>
        <w:t>38.</w:t>
      </w:r>
      <w:r w:rsidRPr="00995B3F">
        <w:rPr>
          <w:bCs/>
          <w:sz w:val="24"/>
          <w:szCs w:val="24"/>
        </w:rPr>
        <w:tab/>
      </w:r>
      <w:r w:rsidR="008F75B5">
        <w:rPr>
          <w:bCs/>
          <w:sz w:val="24"/>
          <w:szCs w:val="24"/>
        </w:rPr>
        <w:t>In the circumstances it is ordered:</w:t>
      </w:r>
    </w:p>
    <w:p w14:paraId="39B5E66A" w14:textId="77777777" w:rsidR="00995B3F" w:rsidRDefault="00995B3F" w:rsidP="00995B3F">
      <w:pPr>
        <w:pStyle w:val="Body"/>
        <w:spacing w:line="360" w:lineRule="auto"/>
        <w:ind w:left="851"/>
        <w:jc w:val="both"/>
        <w:rPr>
          <w:bCs/>
          <w:sz w:val="24"/>
          <w:szCs w:val="24"/>
        </w:rPr>
      </w:pPr>
    </w:p>
    <w:p w14:paraId="0A163BE5" w14:textId="5D8E55DC" w:rsidR="004741BE" w:rsidRDefault="00F67663" w:rsidP="00F67663">
      <w:pPr>
        <w:pStyle w:val="Body"/>
        <w:spacing w:line="360" w:lineRule="auto"/>
        <w:ind w:left="1985" w:hanging="1134"/>
        <w:jc w:val="both"/>
        <w:rPr>
          <w:bCs/>
          <w:sz w:val="24"/>
          <w:szCs w:val="24"/>
        </w:rPr>
      </w:pPr>
      <w:r>
        <w:rPr>
          <w:bCs/>
          <w:sz w:val="24"/>
          <w:szCs w:val="24"/>
        </w:rPr>
        <w:t>37.1</w:t>
      </w:r>
      <w:r>
        <w:rPr>
          <w:bCs/>
          <w:sz w:val="24"/>
          <w:szCs w:val="24"/>
        </w:rPr>
        <w:tab/>
      </w:r>
      <w:r w:rsidR="008F75B5">
        <w:rPr>
          <w:bCs/>
          <w:sz w:val="24"/>
          <w:szCs w:val="24"/>
        </w:rPr>
        <w:t>The decision of the First Respondent</w:t>
      </w:r>
      <w:r w:rsidR="008F79E0">
        <w:rPr>
          <w:bCs/>
          <w:sz w:val="24"/>
          <w:szCs w:val="24"/>
        </w:rPr>
        <w:t xml:space="preserve"> on 6 June 2022</w:t>
      </w:r>
      <w:r w:rsidR="008F75B5">
        <w:rPr>
          <w:bCs/>
          <w:sz w:val="24"/>
          <w:szCs w:val="24"/>
        </w:rPr>
        <w:t xml:space="preserve"> to withdraw the Applicants </w:t>
      </w:r>
      <w:r w:rsidR="008F79E0">
        <w:rPr>
          <w:bCs/>
          <w:sz w:val="24"/>
          <w:szCs w:val="24"/>
        </w:rPr>
        <w:t>designation</w:t>
      </w:r>
      <w:r w:rsidR="008F75B5">
        <w:rPr>
          <w:bCs/>
          <w:sz w:val="24"/>
          <w:szCs w:val="24"/>
        </w:rPr>
        <w:t xml:space="preserve"> as a Child Protection Organisation in terms of the Children’s Act 38 of 2005 is declared to be unlawful.</w:t>
      </w:r>
    </w:p>
    <w:p w14:paraId="5D8C348F" w14:textId="77777777" w:rsidR="004741BE" w:rsidRDefault="004741BE" w:rsidP="004741BE">
      <w:pPr>
        <w:pStyle w:val="Body"/>
        <w:spacing w:line="360" w:lineRule="auto"/>
        <w:ind w:left="1985"/>
        <w:jc w:val="both"/>
        <w:rPr>
          <w:bCs/>
          <w:sz w:val="24"/>
          <w:szCs w:val="24"/>
        </w:rPr>
      </w:pPr>
    </w:p>
    <w:p w14:paraId="0E6AC3BF" w14:textId="6016963C" w:rsidR="004741BE" w:rsidRDefault="00F67663" w:rsidP="00F67663">
      <w:pPr>
        <w:pStyle w:val="Body"/>
        <w:spacing w:line="360" w:lineRule="auto"/>
        <w:ind w:left="1985" w:hanging="1134"/>
        <w:jc w:val="both"/>
        <w:rPr>
          <w:bCs/>
          <w:sz w:val="24"/>
          <w:szCs w:val="24"/>
        </w:rPr>
      </w:pPr>
      <w:r>
        <w:rPr>
          <w:bCs/>
          <w:sz w:val="24"/>
          <w:szCs w:val="24"/>
        </w:rPr>
        <w:t>37.2</w:t>
      </w:r>
      <w:r>
        <w:rPr>
          <w:bCs/>
          <w:sz w:val="24"/>
          <w:szCs w:val="24"/>
        </w:rPr>
        <w:tab/>
      </w:r>
      <w:r w:rsidR="008F75B5" w:rsidRPr="004741BE">
        <w:rPr>
          <w:bCs/>
          <w:sz w:val="24"/>
          <w:szCs w:val="24"/>
        </w:rPr>
        <w:t>The decision of 6 June 2022 is hereby reviewed and set aside.</w:t>
      </w:r>
    </w:p>
    <w:p w14:paraId="536D1ED5" w14:textId="77777777" w:rsidR="004741BE" w:rsidRDefault="004741BE" w:rsidP="004741BE">
      <w:pPr>
        <w:pStyle w:val="Body"/>
        <w:spacing w:line="360" w:lineRule="auto"/>
        <w:jc w:val="both"/>
        <w:rPr>
          <w:bCs/>
          <w:sz w:val="24"/>
          <w:szCs w:val="24"/>
        </w:rPr>
      </w:pPr>
    </w:p>
    <w:p w14:paraId="5DEAA703" w14:textId="3012E637" w:rsidR="004741BE" w:rsidRPr="00CF1CC9" w:rsidRDefault="00F67663" w:rsidP="00F67663">
      <w:pPr>
        <w:pStyle w:val="Body"/>
        <w:spacing w:line="360" w:lineRule="auto"/>
        <w:ind w:left="1985" w:hanging="1134"/>
        <w:jc w:val="both"/>
        <w:rPr>
          <w:bCs/>
          <w:sz w:val="24"/>
          <w:szCs w:val="24"/>
        </w:rPr>
      </w:pPr>
      <w:r w:rsidRPr="00CF1CC9">
        <w:rPr>
          <w:bCs/>
          <w:sz w:val="24"/>
          <w:szCs w:val="24"/>
        </w:rPr>
        <w:lastRenderedPageBreak/>
        <w:t>37.3</w:t>
      </w:r>
      <w:r w:rsidRPr="00CF1CC9">
        <w:rPr>
          <w:bCs/>
          <w:sz w:val="24"/>
          <w:szCs w:val="24"/>
        </w:rPr>
        <w:tab/>
      </w:r>
      <w:r w:rsidR="008F75B5" w:rsidRPr="004741BE">
        <w:rPr>
          <w:bCs/>
          <w:sz w:val="24"/>
          <w:szCs w:val="24"/>
        </w:rPr>
        <w:t>The Applicant’s status as a Child Protection Organization</w:t>
      </w:r>
      <w:r w:rsidR="008F79E0" w:rsidRPr="004741BE">
        <w:rPr>
          <w:bCs/>
          <w:sz w:val="24"/>
          <w:szCs w:val="24"/>
        </w:rPr>
        <w:t>, duly designated in terms of section 107 of the Children’s Act 38 of 2005</w:t>
      </w:r>
      <w:r w:rsidR="008F75B5" w:rsidRPr="004741BE">
        <w:rPr>
          <w:bCs/>
          <w:sz w:val="24"/>
          <w:szCs w:val="24"/>
        </w:rPr>
        <w:t xml:space="preserve"> is hereby reinstated.</w:t>
      </w:r>
    </w:p>
    <w:p w14:paraId="003C0471" w14:textId="198311E2" w:rsidR="004741BE" w:rsidRDefault="004741BE" w:rsidP="004741BE">
      <w:pPr>
        <w:pStyle w:val="Body"/>
        <w:spacing w:line="360" w:lineRule="auto"/>
        <w:jc w:val="both"/>
        <w:rPr>
          <w:bCs/>
          <w:sz w:val="24"/>
          <w:szCs w:val="24"/>
        </w:rPr>
      </w:pPr>
    </w:p>
    <w:p w14:paraId="5451D2BC" w14:textId="77777777" w:rsidR="004741BE" w:rsidRDefault="004741BE" w:rsidP="004741BE">
      <w:pPr>
        <w:pStyle w:val="Body"/>
        <w:spacing w:line="360" w:lineRule="auto"/>
        <w:jc w:val="both"/>
        <w:rPr>
          <w:bCs/>
          <w:sz w:val="24"/>
          <w:szCs w:val="24"/>
        </w:rPr>
      </w:pPr>
    </w:p>
    <w:p w14:paraId="777D3084" w14:textId="784CA996" w:rsidR="004741BE" w:rsidRDefault="00F67663" w:rsidP="00F67663">
      <w:pPr>
        <w:pStyle w:val="Body"/>
        <w:spacing w:line="360" w:lineRule="auto"/>
        <w:ind w:left="1985" w:hanging="1134"/>
        <w:jc w:val="both"/>
        <w:rPr>
          <w:bCs/>
          <w:sz w:val="24"/>
          <w:szCs w:val="24"/>
        </w:rPr>
      </w:pPr>
      <w:r>
        <w:rPr>
          <w:bCs/>
          <w:sz w:val="24"/>
          <w:szCs w:val="24"/>
        </w:rPr>
        <w:t>37.4</w:t>
      </w:r>
      <w:r>
        <w:rPr>
          <w:bCs/>
          <w:sz w:val="24"/>
          <w:szCs w:val="24"/>
        </w:rPr>
        <w:tab/>
      </w:r>
      <w:r w:rsidR="008F75B5" w:rsidRPr="004741BE">
        <w:rPr>
          <w:bCs/>
          <w:sz w:val="24"/>
          <w:szCs w:val="24"/>
        </w:rPr>
        <w:t xml:space="preserve">The first respondent is ordered to pay the applicants’ costs of the application on the scale as between </w:t>
      </w:r>
      <w:r w:rsidR="003E4DBA" w:rsidRPr="004741BE">
        <w:rPr>
          <w:bCs/>
          <w:sz w:val="24"/>
          <w:szCs w:val="24"/>
        </w:rPr>
        <w:t>attorney and client</w:t>
      </w:r>
      <w:r w:rsidR="008F75B5" w:rsidRPr="004741BE">
        <w:rPr>
          <w:bCs/>
          <w:sz w:val="24"/>
          <w:szCs w:val="24"/>
        </w:rPr>
        <w:t xml:space="preserve"> which costs are to include the costs consequent upon the employment of two counsel</w:t>
      </w:r>
      <w:r w:rsidR="00187998" w:rsidRPr="004741BE">
        <w:rPr>
          <w:bCs/>
          <w:sz w:val="24"/>
          <w:szCs w:val="24"/>
        </w:rPr>
        <w:t>.</w:t>
      </w:r>
    </w:p>
    <w:p w14:paraId="4F198924" w14:textId="77777777" w:rsidR="004741BE" w:rsidRDefault="004741BE" w:rsidP="004741BE">
      <w:pPr>
        <w:pStyle w:val="Body"/>
        <w:spacing w:line="360" w:lineRule="auto"/>
        <w:jc w:val="both"/>
        <w:rPr>
          <w:bCs/>
          <w:sz w:val="24"/>
          <w:szCs w:val="24"/>
        </w:rPr>
      </w:pPr>
    </w:p>
    <w:p w14:paraId="56FF213E" w14:textId="184709B8" w:rsidR="003E4DBA" w:rsidRPr="004741BE" w:rsidRDefault="00F67663" w:rsidP="00F67663">
      <w:pPr>
        <w:pStyle w:val="Body"/>
        <w:spacing w:line="360" w:lineRule="auto"/>
        <w:ind w:left="1985" w:hanging="1134"/>
        <w:jc w:val="both"/>
        <w:rPr>
          <w:bCs/>
          <w:sz w:val="24"/>
          <w:szCs w:val="24"/>
        </w:rPr>
      </w:pPr>
      <w:r w:rsidRPr="004741BE">
        <w:rPr>
          <w:bCs/>
          <w:sz w:val="24"/>
          <w:szCs w:val="24"/>
        </w:rPr>
        <w:t>37.5</w:t>
      </w:r>
      <w:r w:rsidRPr="004741BE">
        <w:rPr>
          <w:bCs/>
          <w:sz w:val="24"/>
          <w:szCs w:val="24"/>
        </w:rPr>
        <w:tab/>
      </w:r>
      <w:r w:rsidR="003E4DBA" w:rsidRPr="004741BE">
        <w:rPr>
          <w:bCs/>
          <w:sz w:val="24"/>
          <w:szCs w:val="24"/>
        </w:rPr>
        <w:t>A copy of this judgment is to be sent to the South African Human Rights Commission.</w:t>
      </w:r>
    </w:p>
    <w:p w14:paraId="2B8180C4" w14:textId="3C5F3107" w:rsidR="00E13DEA" w:rsidRPr="00DB4BAE" w:rsidRDefault="00E13DEA" w:rsidP="00187998">
      <w:pPr>
        <w:pStyle w:val="Body"/>
        <w:ind w:left="720"/>
        <w:jc w:val="both"/>
        <w:rPr>
          <w:bCs/>
          <w:sz w:val="24"/>
          <w:szCs w:val="24"/>
        </w:rPr>
      </w:pPr>
    </w:p>
    <w:p w14:paraId="03493A55" w14:textId="77777777" w:rsidR="00E3432B" w:rsidRPr="00DB4BAE" w:rsidRDefault="00E3432B" w:rsidP="00413603">
      <w:pPr>
        <w:pStyle w:val="Body"/>
        <w:ind w:left="720"/>
        <w:jc w:val="right"/>
        <w:rPr>
          <w:rFonts w:cs="Arial"/>
          <w:b/>
          <w:bCs/>
          <w:sz w:val="24"/>
          <w:szCs w:val="24"/>
        </w:rPr>
      </w:pPr>
    </w:p>
    <w:p w14:paraId="2B4F78EA" w14:textId="77777777" w:rsidR="001D6C62" w:rsidRPr="00DB4BAE" w:rsidRDefault="00101D88" w:rsidP="00A50C50">
      <w:pPr>
        <w:pStyle w:val="Body"/>
        <w:ind w:left="720"/>
        <w:jc w:val="right"/>
        <w:rPr>
          <w:rFonts w:cs="Arial"/>
          <w:sz w:val="24"/>
          <w:szCs w:val="24"/>
        </w:rPr>
      </w:pPr>
      <w:r w:rsidRPr="00DB4BAE">
        <w:rPr>
          <w:rFonts w:cs="Arial"/>
          <w:b/>
          <w:bCs/>
          <w:sz w:val="24"/>
          <w:szCs w:val="24"/>
        </w:rPr>
        <w:t>_____________________________</w:t>
      </w:r>
    </w:p>
    <w:p w14:paraId="22DE7F08" w14:textId="77777777" w:rsidR="00101D88" w:rsidRPr="00DB4BAE" w:rsidRDefault="00101D88" w:rsidP="00995B3F">
      <w:pPr>
        <w:pStyle w:val="BodyA"/>
        <w:ind w:left="7920"/>
        <w:jc w:val="right"/>
        <w:rPr>
          <w:rFonts w:ascii="Arial" w:hAnsi="Arial" w:cs="Arial"/>
          <w:b/>
          <w:bCs/>
          <w:sz w:val="24"/>
          <w:szCs w:val="24"/>
        </w:rPr>
      </w:pPr>
      <w:r w:rsidRPr="00DB4BAE">
        <w:rPr>
          <w:rFonts w:ascii="Arial" w:hAnsi="Arial" w:cs="Arial"/>
          <w:b/>
          <w:bCs/>
          <w:sz w:val="24"/>
          <w:szCs w:val="24"/>
        </w:rPr>
        <w:t>A MILLAR</w:t>
      </w:r>
    </w:p>
    <w:p w14:paraId="4CBC0E1A" w14:textId="77777777" w:rsidR="00101D88" w:rsidRPr="00DB4BAE" w:rsidRDefault="00101D88" w:rsidP="00995B3F">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6575DE20" w14:textId="77777777" w:rsidR="00416EA1" w:rsidRPr="00DB4BAE" w:rsidRDefault="00416EA1" w:rsidP="00995B3F">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75D753EE" w14:textId="77777777" w:rsidR="00416EA1" w:rsidRPr="00077E92" w:rsidRDefault="00416EA1" w:rsidP="0008693D">
      <w:pPr>
        <w:pStyle w:val="BodyA"/>
        <w:ind w:left="720"/>
        <w:jc w:val="right"/>
        <w:rPr>
          <w:rFonts w:ascii="Arial" w:eastAsia="Tahoma" w:hAnsi="Arial" w:cs="Arial"/>
          <w:b/>
          <w:bCs/>
        </w:rPr>
      </w:pPr>
    </w:p>
    <w:p w14:paraId="60BBB749" w14:textId="77777777" w:rsidR="00416EA1" w:rsidRDefault="00416EA1" w:rsidP="00385391">
      <w:pPr>
        <w:spacing w:line="480" w:lineRule="auto"/>
        <w:ind w:left="567" w:hanging="567"/>
        <w:jc w:val="both"/>
        <w:rPr>
          <w:rFonts w:ascii="Arial" w:hAnsi="Arial" w:cs="Arial"/>
        </w:rPr>
      </w:pPr>
    </w:p>
    <w:p w14:paraId="1C736608" w14:textId="77777777" w:rsidR="002040D5" w:rsidRPr="00DC2897" w:rsidRDefault="00412E0C" w:rsidP="00385391">
      <w:pPr>
        <w:spacing w:line="480" w:lineRule="auto"/>
        <w:ind w:left="567" w:hanging="567"/>
        <w:jc w:val="both"/>
        <w:rPr>
          <w:rFonts w:ascii="Arial" w:hAnsi="Arial" w:cs="Arial"/>
        </w:rPr>
      </w:pPr>
      <w:r w:rsidRPr="00DC2897">
        <w:rPr>
          <w:rFonts w:ascii="Arial" w:hAnsi="Arial" w:cs="Arial"/>
        </w:rPr>
        <w:t>HEARD ON:</w:t>
      </w:r>
      <w:r w:rsidRPr="00DC2897">
        <w:rPr>
          <w:rFonts w:ascii="Arial" w:hAnsi="Arial" w:cs="Arial"/>
        </w:rPr>
        <w:tab/>
      </w:r>
      <w:r w:rsidRPr="00DC2897">
        <w:rPr>
          <w:rFonts w:ascii="Arial" w:hAnsi="Arial" w:cs="Arial"/>
        </w:rPr>
        <w:tab/>
      </w:r>
      <w:r w:rsidRPr="00DC2897">
        <w:rPr>
          <w:rFonts w:ascii="Arial" w:hAnsi="Arial" w:cs="Arial"/>
        </w:rPr>
        <w:tab/>
      </w:r>
      <w:r w:rsidR="008D34A8" w:rsidRPr="00DC2897">
        <w:rPr>
          <w:rFonts w:ascii="Arial" w:hAnsi="Arial" w:cs="Arial"/>
        </w:rPr>
        <w:tab/>
      </w:r>
      <w:r w:rsidR="008D34A8" w:rsidRPr="00DC2897">
        <w:rPr>
          <w:rFonts w:ascii="Arial" w:hAnsi="Arial" w:cs="Arial"/>
        </w:rPr>
        <w:tab/>
      </w:r>
      <w:r w:rsidR="0027008F" w:rsidRPr="00DC2897">
        <w:rPr>
          <w:rFonts w:ascii="Arial" w:hAnsi="Arial" w:cs="Arial"/>
        </w:rPr>
        <w:tab/>
      </w:r>
      <w:r w:rsidR="00C737CE" w:rsidRPr="00DC2897">
        <w:rPr>
          <w:rFonts w:ascii="Arial" w:hAnsi="Arial" w:cs="Arial"/>
        </w:rPr>
        <w:t>15</w:t>
      </w:r>
      <w:r w:rsidR="00FE7C5E" w:rsidRPr="00DC2897">
        <w:rPr>
          <w:rFonts w:ascii="Arial" w:hAnsi="Arial" w:cs="Arial"/>
        </w:rPr>
        <w:t xml:space="preserve"> SEPTEMBER</w:t>
      </w:r>
      <w:r w:rsidR="00E7487B" w:rsidRPr="00DC2897">
        <w:rPr>
          <w:rFonts w:ascii="Arial" w:hAnsi="Arial" w:cs="Arial"/>
        </w:rPr>
        <w:t xml:space="preserve"> 2022</w:t>
      </w:r>
    </w:p>
    <w:p w14:paraId="121DF3B6" w14:textId="4854A929" w:rsidR="006710DC" w:rsidRPr="00DC2897" w:rsidRDefault="006630FB" w:rsidP="00F113FD">
      <w:pPr>
        <w:spacing w:line="480" w:lineRule="auto"/>
        <w:ind w:left="567" w:hanging="567"/>
        <w:jc w:val="both"/>
        <w:rPr>
          <w:rFonts w:ascii="Arial" w:hAnsi="Arial" w:cs="Arial"/>
        </w:rPr>
      </w:pPr>
      <w:r w:rsidRPr="00DC2897">
        <w:rPr>
          <w:rFonts w:ascii="Arial" w:hAnsi="Arial" w:cs="Arial"/>
        </w:rPr>
        <w:t>J</w:t>
      </w:r>
      <w:r w:rsidR="008D34A8" w:rsidRPr="00DC2897">
        <w:rPr>
          <w:rFonts w:ascii="Arial" w:hAnsi="Arial" w:cs="Arial"/>
        </w:rPr>
        <w:t>UDGMENT DELIVERED ON:</w:t>
      </w:r>
      <w:r w:rsidR="008D34A8" w:rsidRPr="00DC2897">
        <w:rPr>
          <w:rFonts w:ascii="Arial" w:hAnsi="Arial" w:cs="Arial"/>
        </w:rPr>
        <w:tab/>
      </w:r>
      <w:r w:rsidR="008D34A8" w:rsidRPr="00DC2897">
        <w:rPr>
          <w:rFonts w:ascii="Arial" w:hAnsi="Arial" w:cs="Arial"/>
        </w:rPr>
        <w:tab/>
      </w:r>
      <w:r w:rsidR="0027008F" w:rsidRPr="00DC2897">
        <w:rPr>
          <w:rFonts w:ascii="Arial" w:hAnsi="Arial" w:cs="Arial"/>
        </w:rPr>
        <w:tab/>
      </w:r>
      <w:r w:rsidR="003E4DBA">
        <w:rPr>
          <w:rFonts w:ascii="Arial" w:hAnsi="Arial" w:cs="Arial"/>
        </w:rPr>
        <w:t>2</w:t>
      </w:r>
      <w:r w:rsidR="00CF1CC9">
        <w:rPr>
          <w:rFonts w:ascii="Arial" w:hAnsi="Arial" w:cs="Arial"/>
        </w:rPr>
        <w:t>0</w:t>
      </w:r>
      <w:r w:rsidR="003E4DBA">
        <w:rPr>
          <w:rFonts w:ascii="Arial" w:hAnsi="Arial" w:cs="Arial"/>
        </w:rPr>
        <w:t xml:space="preserve"> </w:t>
      </w:r>
      <w:r w:rsidR="00C737CE" w:rsidRPr="00DC2897">
        <w:rPr>
          <w:rFonts w:ascii="Arial" w:hAnsi="Arial" w:cs="Arial"/>
        </w:rPr>
        <w:t xml:space="preserve">OCTOBER </w:t>
      </w:r>
      <w:r w:rsidR="00341E97" w:rsidRPr="00DC2897">
        <w:rPr>
          <w:rFonts w:ascii="Arial" w:hAnsi="Arial" w:cs="Arial"/>
        </w:rPr>
        <w:t xml:space="preserve"> 2022</w:t>
      </w:r>
    </w:p>
    <w:p w14:paraId="221B4671" w14:textId="77777777" w:rsidR="00E3432B" w:rsidRPr="00DC2897" w:rsidRDefault="00E3432B" w:rsidP="006630FB">
      <w:pPr>
        <w:spacing w:line="480" w:lineRule="auto"/>
        <w:ind w:left="567" w:hanging="567"/>
        <w:jc w:val="both"/>
        <w:rPr>
          <w:rFonts w:ascii="Arial" w:hAnsi="Arial" w:cs="Arial"/>
        </w:rPr>
      </w:pPr>
    </w:p>
    <w:p w14:paraId="0B6A0ECF" w14:textId="49F0589B" w:rsidR="00805BF1" w:rsidRPr="00DC2897" w:rsidRDefault="006630FB" w:rsidP="006630FB">
      <w:pPr>
        <w:spacing w:line="480" w:lineRule="auto"/>
        <w:ind w:left="567" w:hanging="567"/>
        <w:jc w:val="both"/>
        <w:rPr>
          <w:rFonts w:ascii="Arial" w:hAnsi="Arial" w:cs="Arial"/>
        </w:rPr>
      </w:pPr>
      <w:r w:rsidRPr="00DC2897">
        <w:rPr>
          <w:rFonts w:ascii="Arial" w:hAnsi="Arial" w:cs="Arial"/>
        </w:rPr>
        <w:t>COUNSEL</w:t>
      </w:r>
      <w:r w:rsidR="000E6633" w:rsidRPr="00DC2897">
        <w:rPr>
          <w:rFonts w:ascii="Arial" w:hAnsi="Arial" w:cs="Arial"/>
        </w:rPr>
        <w:t xml:space="preserve"> FOR THE </w:t>
      </w:r>
      <w:r w:rsidR="000218AC" w:rsidRPr="00DC2897">
        <w:rPr>
          <w:rFonts w:ascii="Arial" w:hAnsi="Arial" w:cs="Arial"/>
        </w:rPr>
        <w:t>APPLICANT</w:t>
      </w:r>
      <w:r w:rsidR="00C82502" w:rsidRPr="00DC2897">
        <w:rPr>
          <w:rFonts w:ascii="Arial" w:hAnsi="Arial" w:cs="Arial"/>
        </w:rPr>
        <w:t>S</w:t>
      </w:r>
      <w:r w:rsidR="00412E0C" w:rsidRPr="00DC2897">
        <w:rPr>
          <w:rFonts w:ascii="Arial" w:hAnsi="Arial" w:cs="Arial"/>
        </w:rPr>
        <w:t>:</w:t>
      </w:r>
      <w:r w:rsidR="00242E76" w:rsidRPr="00DC2897">
        <w:rPr>
          <w:rFonts w:ascii="Arial" w:hAnsi="Arial" w:cs="Arial"/>
        </w:rPr>
        <w:tab/>
      </w:r>
      <w:r w:rsidR="00D77C76" w:rsidRPr="00DC2897">
        <w:rPr>
          <w:rFonts w:ascii="Arial" w:hAnsi="Arial" w:cs="Arial"/>
        </w:rPr>
        <w:tab/>
      </w:r>
      <w:r w:rsidR="00DC2897" w:rsidRPr="00DC2897">
        <w:rPr>
          <w:rFonts w:ascii="Arial" w:hAnsi="Arial" w:cs="Arial"/>
        </w:rPr>
        <w:t xml:space="preserve">ADV. L HAUPT SC </w:t>
      </w:r>
    </w:p>
    <w:p w14:paraId="30CF36EB" w14:textId="252D7DD2" w:rsidR="00805BF1" w:rsidRPr="00DC2897" w:rsidRDefault="00DC2897" w:rsidP="00B278B9">
      <w:pPr>
        <w:spacing w:line="480" w:lineRule="auto"/>
        <w:ind w:left="4320" w:firstLine="720"/>
        <w:jc w:val="both"/>
        <w:rPr>
          <w:rFonts w:ascii="Arial" w:hAnsi="Arial" w:cs="Arial"/>
        </w:rPr>
      </w:pPr>
      <w:r w:rsidRPr="00DC2897">
        <w:rPr>
          <w:rFonts w:ascii="Arial" w:hAnsi="Arial" w:cs="Arial"/>
        </w:rPr>
        <w:t xml:space="preserve">ADV. L VAN DER WESTHUIZEN </w:t>
      </w:r>
    </w:p>
    <w:p w14:paraId="0F02C02A" w14:textId="7BE0BC4C" w:rsidR="00805BF1" w:rsidRPr="00DC2897" w:rsidRDefault="00DC2897" w:rsidP="00805BF1">
      <w:pPr>
        <w:spacing w:line="480" w:lineRule="auto"/>
        <w:ind w:left="567" w:hanging="567"/>
        <w:jc w:val="both"/>
        <w:rPr>
          <w:rFonts w:ascii="Arial" w:hAnsi="Arial" w:cs="Arial"/>
        </w:rPr>
      </w:pPr>
      <w:r w:rsidRPr="00DC2897">
        <w:rPr>
          <w:rFonts w:ascii="Arial" w:hAnsi="Arial" w:cs="Arial"/>
        </w:rPr>
        <w:t>INSTRUCTED BY:</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t xml:space="preserve">F VAN WYK INCORPORATED  </w:t>
      </w:r>
    </w:p>
    <w:p w14:paraId="7792CF71" w14:textId="77A4A6F8" w:rsidR="00805BF1" w:rsidRPr="00DC2897" w:rsidRDefault="00DC2897" w:rsidP="009A1938">
      <w:pPr>
        <w:spacing w:line="480" w:lineRule="auto"/>
        <w:jc w:val="both"/>
        <w:rPr>
          <w:rFonts w:ascii="Arial" w:hAnsi="Arial" w:cs="Arial"/>
        </w:rPr>
      </w:pPr>
      <w:r w:rsidRPr="00DC2897">
        <w:rPr>
          <w:rFonts w:ascii="Arial" w:hAnsi="Arial" w:cs="Arial"/>
        </w:rPr>
        <w:t>REFERENCE:</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t>MS. A JACOBS</w:t>
      </w:r>
    </w:p>
    <w:p w14:paraId="562D0721" w14:textId="77777777" w:rsidR="006630FB" w:rsidRPr="00DC2897" w:rsidRDefault="006630FB" w:rsidP="00E50554">
      <w:pPr>
        <w:spacing w:line="480" w:lineRule="auto"/>
        <w:ind w:left="567" w:hanging="567"/>
        <w:jc w:val="both"/>
        <w:rPr>
          <w:rFonts w:ascii="Arial" w:hAnsi="Arial" w:cs="Arial"/>
        </w:rPr>
      </w:pPr>
      <w:r w:rsidRPr="00DC2897">
        <w:rPr>
          <w:rFonts w:ascii="Arial" w:hAnsi="Arial" w:cs="Arial"/>
        </w:rPr>
        <w:tab/>
      </w:r>
      <w:r w:rsidR="0027008F" w:rsidRPr="00DC2897">
        <w:rPr>
          <w:rFonts w:ascii="Arial" w:hAnsi="Arial" w:cs="Arial"/>
        </w:rPr>
        <w:tab/>
      </w:r>
    </w:p>
    <w:p w14:paraId="1877582E" w14:textId="77777777" w:rsidR="000E6633" w:rsidRPr="00DC2897" w:rsidRDefault="000E6633" w:rsidP="006630FB">
      <w:pPr>
        <w:spacing w:line="480" w:lineRule="auto"/>
        <w:ind w:left="567" w:hanging="567"/>
        <w:jc w:val="both"/>
        <w:rPr>
          <w:rFonts w:ascii="Arial" w:hAnsi="Arial" w:cs="Arial"/>
        </w:rPr>
      </w:pPr>
    </w:p>
    <w:p w14:paraId="53C1AF5C" w14:textId="6CAD284F" w:rsidR="006630FB" w:rsidRPr="00DC2897" w:rsidRDefault="002A6A3F" w:rsidP="009A1938">
      <w:pPr>
        <w:spacing w:line="480" w:lineRule="auto"/>
        <w:ind w:left="567" w:hanging="567"/>
        <w:jc w:val="both"/>
        <w:rPr>
          <w:rFonts w:ascii="Arial" w:hAnsi="Arial" w:cs="Arial"/>
        </w:rPr>
      </w:pPr>
      <w:r w:rsidRPr="00DC2897">
        <w:rPr>
          <w:rFonts w:ascii="Arial" w:hAnsi="Arial" w:cs="Arial"/>
        </w:rPr>
        <w:lastRenderedPageBreak/>
        <w:t xml:space="preserve">COUNSEL FOR </w:t>
      </w:r>
      <w:r w:rsidR="00D77C76" w:rsidRPr="00DC2897">
        <w:rPr>
          <w:rFonts w:ascii="Arial" w:hAnsi="Arial" w:cs="Arial"/>
        </w:rPr>
        <w:t xml:space="preserve">THE </w:t>
      </w:r>
      <w:r w:rsidR="00C82502" w:rsidRPr="00DC2897">
        <w:rPr>
          <w:rFonts w:ascii="Arial" w:hAnsi="Arial" w:cs="Arial"/>
        </w:rPr>
        <w:t>1</w:t>
      </w:r>
      <w:r w:rsidR="00C82502" w:rsidRPr="00DC2897">
        <w:rPr>
          <w:rFonts w:ascii="Arial" w:hAnsi="Arial" w:cs="Arial"/>
          <w:vertAlign w:val="superscript"/>
        </w:rPr>
        <w:t>ST</w:t>
      </w:r>
      <w:r w:rsidR="00C82502" w:rsidRPr="00DC2897">
        <w:rPr>
          <w:rFonts w:ascii="Arial" w:hAnsi="Arial" w:cs="Arial"/>
        </w:rPr>
        <w:t xml:space="preserve"> </w:t>
      </w:r>
      <w:r w:rsidR="000218AC" w:rsidRPr="00DC2897">
        <w:rPr>
          <w:rFonts w:ascii="Arial" w:hAnsi="Arial" w:cs="Arial"/>
        </w:rPr>
        <w:t>RESPONDENT</w:t>
      </w:r>
      <w:r w:rsidR="006630FB" w:rsidRPr="00DC2897">
        <w:rPr>
          <w:rFonts w:ascii="Arial" w:hAnsi="Arial" w:cs="Arial"/>
        </w:rPr>
        <w:t>:</w:t>
      </w:r>
      <w:r w:rsidR="000E07B1" w:rsidRPr="00DC2897">
        <w:rPr>
          <w:rFonts w:ascii="Arial" w:hAnsi="Arial" w:cs="Arial"/>
        </w:rPr>
        <w:tab/>
      </w:r>
      <w:r w:rsidR="009A1938" w:rsidRPr="00DC2897">
        <w:rPr>
          <w:rFonts w:ascii="Arial" w:hAnsi="Arial" w:cs="Arial"/>
        </w:rPr>
        <w:t xml:space="preserve">ADV. </w:t>
      </w:r>
      <w:r w:rsidR="009A1938" w:rsidRPr="00DC2897">
        <w:rPr>
          <w:rFonts w:ascii="Arial" w:hAnsi="Arial" w:cs="Arial"/>
        </w:rPr>
        <w:tab/>
      </w:r>
      <w:r w:rsidR="00805BF1" w:rsidRPr="00DC2897">
        <w:rPr>
          <w:rFonts w:ascii="Arial" w:hAnsi="Arial" w:cs="Arial"/>
        </w:rPr>
        <w:t xml:space="preserve">M BOTMA </w:t>
      </w:r>
    </w:p>
    <w:p w14:paraId="48713164" w14:textId="249B1624" w:rsidR="008465D6" w:rsidRPr="00DC2897" w:rsidRDefault="006630FB" w:rsidP="00E50554">
      <w:pPr>
        <w:spacing w:line="480" w:lineRule="auto"/>
        <w:ind w:left="567" w:hanging="567"/>
        <w:jc w:val="both"/>
        <w:rPr>
          <w:rFonts w:ascii="Arial" w:hAnsi="Arial" w:cs="Arial"/>
        </w:rPr>
      </w:pPr>
      <w:r w:rsidRPr="00DC2897">
        <w:rPr>
          <w:rFonts w:ascii="Arial" w:hAnsi="Arial" w:cs="Arial"/>
        </w:rPr>
        <w:t>INSTRUCTED BY:</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00D77C76" w:rsidRPr="00DC2897">
        <w:rPr>
          <w:rFonts w:ascii="Arial" w:hAnsi="Arial" w:cs="Arial"/>
        </w:rPr>
        <w:tab/>
      </w:r>
      <w:r w:rsidR="009A1938" w:rsidRPr="00DC2897">
        <w:rPr>
          <w:rFonts w:ascii="Arial" w:hAnsi="Arial" w:cs="Arial"/>
        </w:rPr>
        <w:t>THE STATE ATTORNEY, PRETORIA</w:t>
      </w:r>
    </w:p>
    <w:p w14:paraId="3980A26B" w14:textId="7E6D9AA3" w:rsidR="000E6633" w:rsidRPr="00DC2897" w:rsidRDefault="000E6633" w:rsidP="00E50554">
      <w:pPr>
        <w:spacing w:line="480" w:lineRule="auto"/>
        <w:ind w:left="567" w:hanging="567"/>
        <w:jc w:val="both"/>
        <w:rPr>
          <w:rFonts w:ascii="Arial" w:hAnsi="Arial" w:cs="Arial"/>
        </w:rPr>
      </w:pPr>
      <w:r w:rsidRPr="00DC2897">
        <w:rPr>
          <w:rFonts w:ascii="Arial" w:hAnsi="Arial" w:cs="Arial"/>
        </w:rPr>
        <w:t>REFERENCE:</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00242E76" w:rsidRPr="00DC2897">
        <w:rPr>
          <w:rFonts w:ascii="Arial" w:hAnsi="Arial" w:cs="Arial"/>
        </w:rPr>
        <w:tab/>
      </w:r>
      <w:r w:rsidR="002411FD">
        <w:rPr>
          <w:rFonts w:ascii="Arial" w:hAnsi="Arial" w:cs="Arial"/>
        </w:rPr>
        <w:t>MR</w:t>
      </w:r>
      <w:r w:rsidR="003E4DBA">
        <w:rPr>
          <w:rFonts w:ascii="Arial" w:hAnsi="Arial" w:cs="Arial"/>
        </w:rPr>
        <w:t>.</w:t>
      </w:r>
      <w:r w:rsidR="002411FD">
        <w:rPr>
          <w:rFonts w:ascii="Arial" w:hAnsi="Arial" w:cs="Arial"/>
        </w:rPr>
        <w:t xml:space="preserve"> S MODUKANELE</w:t>
      </w:r>
      <w:r w:rsidR="00D77C76" w:rsidRPr="00DC2897">
        <w:rPr>
          <w:rFonts w:ascii="Arial" w:hAnsi="Arial" w:cs="Arial"/>
        </w:rPr>
        <w:tab/>
      </w:r>
    </w:p>
    <w:p w14:paraId="16E3BB97" w14:textId="77777777" w:rsidR="00A56BC1" w:rsidRPr="00DC2897" w:rsidRDefault="00A56BC1" w:rsidP="00CB6F8A">
      <w:pPr>
        <w:spacing w:line="480" w:lineRule="auto"/>
        <w:jc w:val="both"/>
        <w:rPr>
          <w:rFonts w:ascii="Arial" w:hAnsi="Arial"/>
        </w:rPr>
      </w:pPr>
    </w:p>
    <w:p w14:paraId="39A045BB" w14:textId="23C8B993" w:rsidR="00C82502" w:rsidRDefault="00E7487B" w:rsidP="00B278B9">
      <w:pPr>
        <w:spacing w:line="480" w:lineRule="auto"/>
        <w:ind w:left="567" w:hanging="567"/>
        <w:jc w:val="both"/>
        <w:rPr>
          <w:rFonts w:ascii="Arial" w:hAnsi="Arial" w:cs="Arial"/>
        </w:rPr>
      </w:pPr>
      <w:r w:rsidRPr="00DC2897">
        <w:rPr>
          <w:rFonts w:ascii="Arial" w:hAnsi="Arial" w:cs="Arial"/>
        </w:rPr>
        <w:t>COUNSEL FOR THE</w:t>
      </w:r>
      <w:r w:rsidR="00805BF1" w:rsidRPr="00DC2897">
        <w:rPr>
          <w:rFonts w:ascii="Arial" w:hAnsi="Arial" w:cs="Arial"/>
        </w:rPr>
        <w:t xml:space="preserve"> </w:t>
      </w:r>
      <w:r w:rsidR="00805BF1" w:rsidRPr="003E4DBA">
        <w:rPr>
          <w:rFonts w:ascii="Arial" w:hAnsi="Arial" w:cs="Arial"/>
          <w:i/>
          <w:iCs/>
        </w:rPr>
        <w:t>AMIC</w:t>
      </w:r>
      <w:r w:rsidR="003E4DBA" w:rsidRPr="003E4DBA">
        <w:rPr>
          <w:rFonts w:ascii="Arial" w:hAnsi="Arial" w:cs="Arial"/>
          <w:i/>
          <w:iCs/>
        </w:rPr>
        <w:t>I</w:t>
      </w:r>
      <w:r w:rsidR="00805BF1" w:rsidRPr="003E4DBA">
        <w:rPr>
          <w:rFonts w:ascii="Arial" w:hAnsi="Arial" w:cs="Arial"/>
          <w:i/>
          <w:iCs/>
        </w:rPr>
        <w:t xml:space="preserve"> CURIAE</w:t>
      </w:r>
      <w:r w:rsidRPr="00DC2897">
        <w:rPr>
          <w:rFonts w:ascii="Arial" w:hAnsi="Arial" w:cs="Arial"/>
        </w:rPr>
        <w:t>:</w:t>
      </w:r>
      <w:r w:rsidRPr="00DC2897">
        <w:rPr>
          <w:rFonts w:ascii="Arial" w:hAnsi="Arial" w:cs="Arial"/>
        </w:rPr>
        <w:tab/>
      </w:r>
      <w:r w:rsidR="003E4DBA">
        <w:rPr>
          <w:rFonts w:ascii="Arial" w:hAnsi="Arial" w:cs="Arial"/>
        </w:rPr>
        <w:tab/>
      </w:r>
      <w:r w:rsidR="009A1938" w:rsidRPr="00DC2897">
        <w:rPr>
          <w:rFonts w:ascii="Arial" w:hAnsi="Arial" w:cs="Arial"/>
        </w:rPr>
        <w:t>MR.</w:t>
      </w:r>
      <w:r w:rsidR="00805BF1" w:rsidRPr="00DC2897">
        <w:rPr>
          <w:rFonts w:ascii="Arial" w:hAnsi="Arial" w:cs="Arial"/>
        </w:rPr>
        <w:t xml:space="preserve"> J</w:t>
      </w:r>
      <w:r w:rsidRPr="00DC2897">
        <w:rPr>
          <w:rFonts w:ascii="Arial" w:hAnsi="Arial" w:cs="Arial"/>
        </w:rPr>
        <w:t xml:space="preserve"> </w:t>
      </w:r>
      <w:r w:rsidR="00C737CE" w:rsidRPr="00DC2897">
        <w:rPr>
          <w:rFonts w:ascii="Arial" w:hAnsi="Arial" w:cs="Arial"/>
        </w:rPr>
        <w:t>LAZARUS</w:t>
      </w:r>
    </w:p>
    <w:p w14:paraId="43A9FF9E" w14:textId="6A6D5529" w:rsidR="00B278B9" w:rsidRDefault="00B278B9" w:rsidP="00B278B9">
      <w:pPr>
        <w:spacing w:line="480" w:lineRule="auto"/>
        <w:ind w:left="567" w:hanging="567"/>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11FD">
        <w:rPr>
          <w:rFonts w:ascii="Arial" w:hAnsi="Arial" w:cs="Arial"/>
        </w:rPr>
        <w:t>SHAPIRO &amp; LEDWABA ATTORNEYS</w:t>
      </w:r>
    </w:p>
    <w:p w14:paraId="18B374BF" w14:textId="674B7C7F" w:rsidR="00B278B9" w:rsidRPr="00DC2897" w:rsidRDefault="00B278B9" w:rsidP="00B278B9">
      <w:pPr>
        <w:spacing w:line="480" w:lineRule="auto"/>
        <w:ind w:left="567" w:hanging="567"/>
        <w:jc w:val="both"/>
        <w:rPr>
          <w:rFonts w:ascii="Arial" w:hAnsi="Arial" w:cs="Arial"/>
        </w:rPr>
      </w:pPr>
      <w:r>
        <w:rPr>
          <w:rFonts w:ascii="Arial" w:hAnsi="Arial" w:cs="Arial"/>
        </w:rPr>
        <w:t>REFERENCE: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J LAZARUS</w:t>
      </w:r>
    </w:p>
    <w:p w14:paraId="549FE169" w14:textId="77777777" w:rsidR="00E7487B" w:rsidRDefault="00E7487B" w:rsidP="00E7487B">
      <w:pPr>
        <w:spacing w:line="480" w:lineRule="auto"/>
        <w:ind w:left="567" w:hanging="567"/>
        <w:jc w:val="both"/>
        <w:rPr>
          <w:rFonts w:ascii="Arial" w:hAnsi="Arial" w:cs="Arial"/>
        </w:rPr>
      </w:pP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r>
    </w:p>
    <w:p w14:paraId="0F81FAC1" w14:textId="3D183F99" w:rsidR="00FE7C5E" w:rsidRPr="00A50C50" w:rsidRDefault="00FE7C5E" w:rsidP="00995B3F">
      <w:pPr>
        <w:spacing w:line="480" w:lineRule="auto"/>
        <w:jc w:val="both"/>
        <w:rPr>
          <w:rFonts w:ascii="Arial" w:hAnsi="Arial" w:cs="Arial"/>
          <w:sz w:val="22"/>
          <w:szCs w:val="22"/>
        </w:rPr>
      </w:pPr>
    </w:p>
    <w:sectPr w:rsidR="00FE7C5E" w:rsidRPr="00A50C50" w:rsidSect="00A50C50">
      <w:headerReference w:type="even" r:id="rId19"/>
      <w:headerReference w:type="default" r:id="rId20"/>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BB4D" w14:textId="77777777" w:rsidR="003833EA" w:rsidRDefault="003833EA" w:rsidP="008C18AE">
      <w:r>
        <w:separator/>
      </w:r>
    </w:p>
  </w:endnote>
  <w:endnote w:type="continuationSeparator" w:id="0">
    <w:p w14:paraId="2F15928C" w14:textId="77777777" w:rsidR="003833EA" w:rsidRDefault="003833E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4DB03" w14:textId="77777777" w:rsidR="003833EA" w:rsidRDefault="003833EA" w:rsidP="008C18AE">
      <w:r>
        <w:separator/>
      </w:r>
    </w:p>
  </w:footnote>
  <w:footnote w:type="continuationSeparator" w:id="0">
    <w:p w14:paraId="33C5888C" w14:textId="77777777" w:rsidR="003833EA" w:rsidRDefault="003833EA" w:rsidP="008C18AE">
      <w:r>
        <w:continuationSeparator/>
      </w:r>
    </w:p>
  </w:footnote>
  <w:footnote w:id="1">
    <w:p w14:paraId="66B331D0" w14:textId="6CAEAAC2" w:rsidR="007736D9" w:rsidRPr="007736D9" w:rsidRDefault="007736D9" w:rsidP="00B2164A">
      <w:pPr>
        <w:pStyle w:val="FootnoteText"/>
        <w:ind w:left="284" w:hanging="284"/>
        <w:jc w:val="both"/>
        <w:rPr>
          <w:rFonts w:ascii="Arial" w:hAnsi="Arial" w:cs="Arial"/>
          <w:sz w:val="20"/>
          <w:szCs w:val="20"/>
        </w:rPr>
      </w:pPr>
      <w:r w:rsidRPr="007736D9">
        <w:rPr>
          <w:rStyle w:val="FootnoteReference"/>
          <w:rFonts w:ascii="Arial" w:hAnsi="Arial" w:cs="Arial"/>
          <w:sz w:val="20"/>
          <w:szCs w:val="20"/>
        </w:rPr>
        <w:footnoteRef/>
      </w:r>
      <w:r w:rsidRPr="007736D9">
        <w:rPr>
          <w:rFonts w:ascii="Arial" w:hAnsi="Arial" w:cs="Arial"/>
          <w:sz w:val="20"/>
          <w:szCs w:val="20"/>
        </w:rPr>
        <w:t xml:space="preserve"> </w:t>
      </w:r>
      <w:r w:rsidR="00B2164A">
        <w:rPr>
          <w:rFonts w:ascii="Arial" w:hAnsi="Arial" w:cs="Arial"/>
          <w:sz w:val="20"/>
          <w:szCs w:val="20"/>
        </w:rPr>
        <w:tab/>
      </w:r>
      <w:r w:rsidRPr="007736D9">
        <w:rPr>
          <w:rFonts w:ascii="Arial" w:hAnsi="Arial" w:cs="Arial"/>
          <w:sz w:val="20"/>
          <w:szCs w:val="20"/>
        </w:rPr>
        <w:t>Registered as such in terms of the Non-Profit Organizations Act 71 of 1997.</w:t>
      </w:r>
    </w:p>
  </w:footnote>
  <w:footnote w:id="2">
    <w:p w14:paraId="58D68D86" w14:textId="03D9BB35" w:rsidR="00D811BE" w:rsidRPr="006F5D61" w:rsidRDefault="00D811BE" w:rsidP="00B2164A">
      <w:pPr>
        <w:spacing w:after="84"/>
        <w:ind w:left="284" w:hanging="284"/>
        <w:jc w:val="both"/>
        <w:rPr>
          <w:rFonts w:ascii="Arial" w:hAnsi="Arial" w:cs="Arial"/>
          <w:sz w:val="20"/>
          <w:szCs w:val="20"/>
        </w:rPr>
      </w:pPr>
      <w:r w:rsidRPr="006F5D61">
        <w:rPr>
          <w:rStyle w:val="FootnoteReference"/>
          <w:rFonts w:ascii="Arial" w:hAnsi="Arial" w:cs="Arial"/>
          <w:sz w:val="20"/>
          <w:szCs w:val="20"/>
        </w:rPr>
        <w:footnoteRef/>
      </w:r>
      <w:r w:rsidRPr="006F5D61">
        <w:rPr>
          <w:rFonts w:ascii="Arial" w:hAnsi="Arial" w:cs="Arial"/>
          <w:sz w:val="20"/>
          <w:szCs w:val="20"/>
        </w:rPr>
        <w:t xml:space="preserve"> </w:t>
      </w:r>
      <w:r w:rsidR="00B2164A">
        <w:rPr>
          <w:rFonts w:ascii="Arial" w:hAnsi="Arial" w:cs="Arial"/>
          <w:sz w:val="20"/>
          <w:szCs w:val="20"/>
        </w:rPr>
        <w:tab/>
      </w:r>
      <w:r w:rsidRPr="006F5D61">
        <w:rPr>
          <w:rFonts w:ascii="Arial" w:hAnsi="Arial" w:cs="Arial"/>
          <w:sz w:val="20"/>
          <w:szCs w:val="20"/>
        </w:rPr>
        <w:t>Section 107(1) of the Act empowers the director general or provincial head of social development to designate any organization that makes written application for such designation subject to such terms and conditions as may be imposed.</w:t>
      </w:r>
    </w:p>
  </w:footnote>
  <w:footnote w:id="3">
    <w:p w14:paraId="42E0CDAC" w14:textId="1C660C2B" w:rsidR="00D811BE" w:rsidRDefault="00D811BE" w:rsidP="00B2164A">
      <w:pPr>
        <w:pStyle w:val="FootnoteText"/>
        <w:ind w:left="284" w:hanging="284"/>
        <w:jc w:val="both"/>
      </w:pPr>
      <w:r w:rsidRPr="006F5D61">
        <w:rPr>
          <w:rStyle w:val="FootnoteReference"/>
          <w:rFonts w:ascii="Arial" w:hAnsi="Arial" w:cs="Arial"/>
          <w:sz w:val="20"/>
          <w:szCs w:val="20"/>
        </w:rPr>
        <w:footnoteRef/>
      </w:r>
      <w:r w:rsidRPr="006F5D61">
        <w:rPr>
          <w:rFonts w:ascii="Arial" w:hAnsi="Arial" w:cs="Arial"/>
          <w:sz w:val="20"/>
          <w:szCs w:val="20"/>
        </w:rPr>
        <w:t xml:space="preserve"> </w:t>
      </w:r>
      <w:r w:rsidR="00B2164A">
        <w:rPr>
          <w:rFonts w:ascii="Arial" w:hAnsi="Arial" w:cs="Arial"/>
          <w:sz w:val="20"/>
          <w:szCs w:val="20"/>
        </w:rPr>
        <w:tab/>
      </w:r>
      <w:r w:rsidRPr="006F5D61">
        <w:rPr>
          <w:rFonts w:ascii="Arial" w:hAnsi="Arial" w:cs="Arial"/>
          <w:sz w:val="20"/>
          <w:szCs w:val="20"/>
        </w:rPr>
        <w:t xml:space="preserve">Section </w:t>
      </w:r>
      <w:r w:rsidR="006F5D61" w:rsidRPr="006F5D61">
        <w:rPr>
          <w:rFonts w:ascii="Arial" w:hAnsi="Arial" w:cs="Arial"/>
          <w:sz w:val="20"/>
          <w:szCs w:val="20"/>
        </w:rPr>
        <w:t>109 of the Act empowers the director general or provincial head of social development to withdraw the designation</w:t>
      </w:r>
      <w:r w:rsidR="003817D2">
        <w:rPr>
          <w:rFonts w:ascii="Arial" w:hAnsi="Arial" w:cs="Arial"/>
          <w:sz w:val="20"/>
          <w:szCs w:val="20"/>
        </w:rPr>
        <w:t xml:space="preserve"> for inter alia failure to comply with any condition imposed and/or if it is in the best interests of the protection of children. </w:t>
      </w:r>
    </w:p>
  </w:footnote>
  <w:footnote w:id="4">
    <w:p w14:paraId="151EFE04" w14:textId="74236E24" w:rsidR="006B5F83" w:rsidRPr="002935FF" w:rsidRDefault="006B5F83" w:rsidP="00B2164A">
      <w:pPr>
        <w:pStyle w:val="FootnoteText"/>
        <w:ind w:left="284" w:hanging="284"/>
        <w:jc w:val="both"/>
        <w:rPr>
          <w:rFonts w:ascii="Arial" w:hAnsi="Arial" w:cs="Arial"/>
          <w:sz w:val="20"/>
          <w:szCs w:val="20"/>
        </w:rPr>
      </w:pPr>
      <w:r w:rsidRPr="002935FF">
        <w:rPr>
          <w:rStyle w:val="FootnoteReference"/>
          <w:rFonts w:ascii="Arial" w:hAnsi="Arial" w:cs="Arial"/>
          <w:sz w:val="20"/>
          <w:szCs w:val="20"/>
        </w:rPr>
        <w:footnoteRef/>
      </w:r>
      <w:r w:rsidRPr="002935FF">
        <w:rPr>
          <w:rFonts w:ascii="Arial" w:hAnsi="Arial" w:cs="Arial"/>
          <w:sz w:val="20"/>
          <w:szCs w:val="20"/>
        </w:rPr>
        <w:t xml:space="preserve"> </w:t>
      </w:r>
      <w:r w:rsidR="00B2164A">
        <w:rPr>
          <w:rFonts w:ascii="Arial" w:hAnsi="Arial" w:cs="Arial"/>
          <w:sz w:val="20"/>
          <w:szCs w:val="20"/>
        </w:rPr>
        <w:tab/>
      </w:r>
      <w:r w:rsidR="002935FF" w:rsidRPr="002935FF">
        <w:rPr>
          <w:rFonts w:ascii="Arial" w:hAnsi="Arial" w:cs="Arial"/>
          <w:sz w:val="20"/>
          <w:szCs w:val="20"/>
        </w:rPr>
        <w:t>3 of 2000</w:t>
      </w:r>
    </w:p>
  </w:footnote>
  <w:footnote w:id="5">
    <w:p w14:paraId="7078D115" w14:textId="0E454A93" w:rsidR="002935FF" w:rsidRDefault="002935FF" w:rsidP="00B2164A">
      <w:pPr>
        <w:pStyle w:val="FootnoteText"/>
        <w:ind w:left="284" w:hanging="284"/>
        <w:jc w:val="both"/>
      </w:pPr>
      <w:r w:rsidRPr="002935FF">
        <w:rPr>
          <w:rStyle w:val="FootnoteReference"/>
          <w:rFonts w:ascii="Arial" w:hAnsi="Arial" w:cs="Arial"/>
          <w:sz w:val="20"/>
          <w:szCs w:val="20"/>
        </w:rPr>
        <w:footnoteRef/>
      </w:r>
      <w:r w:rsidRPr="002935FF">
        <w:rPr>
          <w:rFonts w:ascii="Arial" w:hAnsi="Arial" w:cs="Arial"/>
          <w:sz w:val="20"/>
          <w:szCs w:val="20"/>
        </w:rPr>
        <w:t xml:space="preserve"> </w:t>
      </w:r>
      <w:r w:rsidR="00B2164A">
        <w:rPr>
          <w:rFonts w:ascii="Arial" w:hAnsi="Arial" w:cs="Arial"/>
          <w:sz w:val="20"/>
          <w:szCs w:val="20"/>
        </w:rPr>
        <w:tab/>
      </w:r>
      <w:r w:rsidRPr="002935FF">
        <w:rPr>
          <w:rFonts w:ascii="Arial" w:hAnsi="Arial" w:cs="Arial"/>
          <w:sz w:val="20"/>
          <w:szCs w:val="20"/>
        </w:rPr>
        <w:t>The purpose for which PAJA was enacted which reads in full – “To give effect to the right to administrative action that is lawful, reasonable and procedurally fair and to the right to written reasons for administrative action as contemplated in section 33 of the Constitution of the Republic of South Africa, 1996 and to provide for matters incidental thereto.”</w:t>
      </w:r>
    </w:p>
  </w:footnote>
  <w:footnote w:id="6">
    <w:p w14:paraId="16744B7A" w14:textId="08B08F1D" w:rsidR="002935FF" w:rsidRPr="00A70EEB" w:rsidRDefault="002935FF" w:rsidP="00B2164A">
      <w:pPr>
        <w:pStyle w:val="FootnoteText"/>
        <w:ind w:left="284" w:hanging="284"/>
        <w:jc w:val="both"/>
        <w:rPr>
          <w:rFonts w:ascii="Arial" w:hAnsi="Arial" w:cs="Arial"/>
          <w:sz w:val="20"/>
          <w:szCs w:val="20"/>
        </w:rPr>
      </w:pPr>
      <w:r w:rsidRPr="00A70EEB">
        <w:rPr>
          <w:rStyle w:val="FootnoteReference"/>
          <w:rFonts w:ascii="Arial" w:hAnsi="Arial" w:cs="Arial"/>
          <w:sz w:val="20"/>
          <w:szCs w:val="20"/>
        </w:rPr>
        <w:footnoteRef/>
      </w:r>
      <w:r w:rsidRPr="00A70EEB">
        <w:rPr>
          <w:rFonts w:ascii="Arial" w:hAnsi="Arial" w:cs="Arial"/>
          <w:sz w:val="20"/>
          <w:szCs w:val="20"/>
        </w:rPr>
        <w:t xml:space="preserve"> </w:t>
      </w:r>
      <w:r w:rsidR="00B2164A">
        <w:rPr>
          <w:rFonts w:ascii="Arial" w:hAnsi="Arial" w:cs="Arial"/>
          <w:sz w:val="20"/>
          <w:szCs w:val="20"/>
        </w:rPr>
        <w:tab/>
      </w:r>
      <w:r w:rsidR="00CE66E2" w:rsidRPr="00A70EEB">
        <w:rPr>
          <w:rFonts w:ascii="Arial" w:hAnsi="Arial" w:cs="Arial"/>
          <w:sz w:val="20"/>
          <w:szCs w:val="20"/>
        </w:rPr>
        <w:t>‘</w:t>
      </w:r>
      <w:r w:rsidR="00B2164A">
        <w:rPr>
          <w:rFonts w:ascii="Arial" w:hAnsi="Arial" w:cs="Arial"/>
          <w:i/>
          <w:iCs/>
          <w:sz w:val="20"/>
          <w:szCs w:val="20"/>
        </w:rPr>
        <w:t>T</w:t>
      </w:r>
      <w:r w:rsidR="00CE66E2" w:rsidRPr="00A70EEB">
        <w:rPr>
          <w:rFonts w:ascii="Arial" w:hAnsi="Arial" w:cs="Arial"/>
          <w:i/>
          <w:iCs/>
          <w:sz w:val="20"/>
          <w:szCs w:val="20"/>
        </w:rPr>
        <w:t>he action was procedurally unfair’</w:t>
      </w:r>
    </w:p>
  </w:footnote>
  <w:footnote w:id="7">
    <w:p w14:paraId="56439CB0" w14:textId="54D82C28" w:rsidR="00B418DF" w:rsidRDefault="00B418DF" w:rsidP="00B2164A">
      <w:pPr>
        <w:pStyle w:val="FootnoteText"/>
        <w:ind w:left="284" w:hanging="284"/>
        <w:jc w:val="both"/>
      </w:pPr>
      <w:r>
        <w:rPr>
          <w:rStyle w:val="FootnoteReference"/>
        </w:rPr>
        <w:footnoteRef/>
      </w:r>
      <w:r>
        <w:t xml:space="preserve"> </w:t>
      </w:r>
      <w:r w:rsidR="00B2164A">
        <w:tab/>
      </w:r>
      <w:r w:rsidR="00B2164A">
        <w:rPr>
          <w:rFonts w:ascii="Arial" w:hAnsi="Arial" w:cs="Arial"/>
          <w:sz w:val="20"/>
          <w:szCs w:val="20"/>
        </w:rPr>
        <w:t>T</w:t>
      </w:r>
      <w:r w:rsidRPr="00B418DF">
        <w:rPr>
          <w:rFonts w:ascii="Arial" w:hAnsi="Arial" w:cs="Arial"/>
          <w:sz w:val="20"/>
          <w:szCs w:val="20"/>
        </w:rPr>
        <w:t>he action was taken for ‘</w:t>
      </w:r>
      <w:r w:rsidRPr="00B418DF">
        <w:rPr>
          <w:rFonts w:ascii="Arial" w:hAnsi="Arial" w:cs="Arial"/>
          <w:i/>
          <w:iCs/>
          <w:sz w:val="20"/>
          <w:szCs w:val="20"/>
        </w:rPr>
        <w:t>an ulterior purpose’</w:t>
      </w:r>
    </w:p>
  </w:footnote>
  <w:footnote w:id="8">
    <w:p w14:paraId="5922AE4C" w14:textId="4AE8E7C4" w:rsidR="00CE66E2" w:rsidRPr="00A70EEB" w:rsidRDefault="00CE66E2" w:rsidP="00B2164A">
      <w:pPr>
        <w:pStyle w:val="FootnoteText"/>
        <w:ind w:left="284" w:hanging="284"/>
        <w:jc w:val="both"/>
        <w:rPr>
          <w:rFonts w:ascii="Arial" w:hAnsi="Arial" w:cs="Arial"/>
          <w:sz w:val="20"/>
          <w:szCs w:val="20"/>
        </w:rPr>
      </w:pPr>
      <w:r w:rsidRPr="00A70EEB">
        <w:rPr>
          <w:rStyle w:val="FootnoteReference"/>
          <w:rFonts w:ascii="Arial" w:hAnsi="Arial" w:cs="Arial"/>
          <w:sz w:val="20"/>
          <w:szCs w:val="20"/>
        </w:rPr>
        <w:footnoteRef/>
      </w:r>
      <w:r w:rsidRPr="00A70EEB">
        <w:rPr>
          <w:rFonts w:ascii="Arial" w:hAnsi="Arial" w:cs="Arial"/>
          <w:sz w:val="20"/>
          <w:szCs w:val="20"/>
        </w:rPr>
        <w:t xml:space="preserve"> </w:t>
      </w:r>
      <w:r w:rsidR="00B2164A">
        <w:rPr>
          <w:rFonts w:ascii="Arial" w:hAnsi="Arial" w:cs="Arial"/>
          <w:sz w:val="20"/>
          <w:szCs w:val="20"/>
        </w:rPr>
        <w:tab/>
        <w:t>T</w:t>
      </w:r>
      <w:r w:rsidR="00A70EEB" w:rsidRPr="00A70EEB">
        <w:rPr>
          <w:rFonts w:ascii="Arial" w:hAnsi="Arial" w:cs="Arial"/>
          <w:sz w:val="20"/>
          <w:szCs w:val="20"/>
        </w:rPr>
        <w:t>he action was taken ‘</w:t>
      </w:r>
      <w:r w:rsidR="00A70EEB" w:rsidRPr="00A70EEB">
        <w:rPr>
          <w:rFonts w:ascii="Arial" w:hAnsi="Arial" w:cs="Arial"/>
          <w:i/>
          <w:iCs/>
          <w:sz w:val="20"/>
          <w:szCs w:val="20"/>
        </w:rPr>
        <w:t>because of the unauthorized or unwarranted dictates of another person or body’</w:t>
      </w:r>
    </w:p>
  </w:footnote>
  <w:footnote w:id="9">
    <w:p w14:paraId="476B4C7C" w14:textId="36244076" w:rsidR="00B87BB1" w:rsidRDefault="00B87BB1" w:rsidP="00B2164A">
      <w:pPr>
        <w:pStyle w:val="FootnoteText"/>
        <w:ind w:left="284" w:hanging="284"/>
        <w:jc w:val="both"/>
      </w:pPr>
      <w:r>
        <w:rPr>
          <w:rStyle w:val="FootnoteReference"/>
        </w:rPr>
        <w:footnoteRef/>
      </w:r>
      <w:r>
        <w:t xml:space="preserve"> </w:t>
      </w:r>
      <w:r w:rsidR="00B2164A">
        <w:tab/>
      </w:r>
      <w:r w:rsidRPr="00B87BB1">
        <w:rPr>
          <w:rFonts w:ascii="Arial" w:hAnsi="Arial" w:cs="Arial"/>
          <w:sz w:val="20"/>
          <w:szCs w:val="20"/>
        </w:rPr>
        <w:t>The action was taken in ‘</w:t>
      </w:r>
      <w:r w:rsidRPr="00B87BB1">
        <w:rPr>
          <w:rFonts w:ascii="Arial" w:hAnsi="Arial" w:cs="Arial"/>
          <w:i/>
          <w:iCs/>
          <w:sz w:val="20"/>
          <w:szCs w:val="20"/>
        </w:rPr>
        <w:t>bad faith’</w:t>
      </w:r>
    </w:p>
  </w:footnote>
  <w:footnote w:id="10">
    <w:p w14:paraId="3106FC85" w14:textId="58D95BF6" w:rsidR="00A70EEB" w:rsidRDefault="00A70EEB" w:rsidP="00B2164A">
      <w:pPr>
        <w:pStyle w:val="FootnoteText"/>
        <w:ind w:left="284" w:hanging="284"/>
        <w:jc w:val="both"/>
      </w:pPr>
      <w:r w:rsidRPr="00A70EEB">
        <w:rPr>
          <w:rStyle w:val="FootnoteReference"/>
          <w:rFonts w:ascii="Arial" w:hAnsi="Arial" w:cs="Arial"/>
          <w:sz w:val="20"/>
          <w:szCs w:val="20"/>
        </w:rPr>
        <w:footnoteRef/>
      </w:r>
      <w:r w:rsidRPr="00A70EEB">
        <w:rPr>
          <w:rFonts w:ascii="Arial" w:hAnsi="Arial" w:cs="Arial"/>
          <w:sz w:val="20"/>
          <w:szCs w:val="20"/>
        </w:rPr>
        <w:t xml:space="preserve"> </w:t>
      </w:r>
      <w:r w:rsidR="00B2164A">
        <w:rPr>
          <w:rFonts w:ascii="Arial" w:hAnsi="Arial" w:cs="Arial"/>
          <w:sz w:val="20"/>
          <w:szCs w:val="20"/>
        </w:rPr>
        <w:tab/>
        <w:t>T</w:t>
      </w:r>
      <w:r w:rsidRPr="00A70EEB">
        <w:rPr>
          <w:rFonts w:ascii="Arial" w:hAnsi="Arial" w:cs="Arial"/>
          <w:sz w:val="20"/>
          <w:szCs w:val="20"/>
        </w:rPr>
        <w:t>he action was taken ‘</w:t>
      </w:r>
      <w:r w:rsidRPr="00A70EEB">
        <w:rPr>
          <w:rFonts w:ascii="Arial" w:hAnsi="Arial" w:cs="Arial"/>
          <w:i/>
          <w:iCs/>
          <w:sz w:val="20"/>
          <w:szCs w:val="20"/>
        </w:rPr>
        <w:t>arbitrarily or capriciously’</w:t>
      </w:r>
    </w:p>
  </w:footnote>
  <w:footnote w:id="11">
    <w:p w14:paraId="52E2855B" w14:textId="01CF9675" w:rsidR="006C5D61" w:rsidRPr="006C5D61" w:rsidRDefault="006C5D61" w:rsidP="00B2164A">
      <w:pPr>
        <w:pStyle w:val="FootnoteText"/>
        <w:ind w:left="284" w:hanging="284"/>
        <w:jc w:val="both"/>
        <w:rPr>
          <w:rFonts w:ascii="Arial" w:hAnsi="Arial" w:cs="Arial"/>
          <w:sz w:val="20"/>
          <w:szCs w:val="20"/>
        </w:rPr>
      </w:pPr>
      <w:r w:rsidRPr="006C5D61">
        <w:rPr>
          <w:rStyle w:val="FootnoteReference"/>
          <w:rFonts w:ascii="Arial" w:hAnsi="Arial" w:cs="Arial"/>
          <w:sz w:val="20"/>
          <w:szCs w:val="20"/>
        </w:rPr>
        <w:footnoteRef/>
      </w:r>
      <w:r w:rsidRPr="006C5D61">
        <w:rPr>
          <w:rFonts w:ascii="Arial" w:hAnsi="Arial" w:cs="Arial"/>
          <w:sz w:val="20"/>
          <w:szCs w:val="20"/>
        </w:rPr>
        <w:t xml:space="preserve"> </w:t>
      </w:r>
      <w:r w:rsidR="00B2164A">
        <w:rPr>
          <w:rFonts w:ascii="Arial" w:hAnsi="Arial" w:cs="Arial"/>
          <w:sz w:val="20"/>
          <w:szCs w:val="20"/>
        </w:rPr>
        <w:tab/>
      </w:r>
      <w:r w:rsidRPr="006C5D61">
        <w:rPr>
          <w:rFonts w:ascii="Arial" w:hAnsi="Arial" w:cs="Arial"/>
          <w:sz w:val="20"/>
          <w:szCs w:val="20"/>
        </w:rPr>
        <w:t>The DQA process is a mandatory requirement imposed on the DSD in terms of section 109(2) of the Act before a CPO designation can be withdrawn.</w:t>
      </w:r>
      <w:r w:rsidR="00522A83">
        <w:rPr>
          <w:rFonts w:ascii="Arial" w:hAnsi="Arial" w:cs="Arial"/>
          <w:sz w:val="20"/>
          <w:szCs w:val="20"/>
        </w:rPr>
        <w:t xml:space="preserve"> The process is set out in Regulation 32 of the Regulations to the Act.</w:t>
      </w:r>
    </w:p>
  </w:footnote>
  <w:footnote w:id="12">
    <w:p w14:paraId="6D9037E0" w14:textId="5F9495EE" w:rsidR="00FF2F54" w:rsidRPr="00901E65" w:rsidRDefault="00031524" w:rsidP="005D1D30">
      <w:pPr>
        <w:ind w:left="284" w:right="65" w:hanging="284"/>
        <w:jc w:val="both"/>
        <w:rPr>
          <w:rFonts w:ascii="Arial" w:hAnsi="Arial" w:cs="Arial"/>
          <w:i/>
          <w:iCs/>
          <w:sz w:val="20"/>
          <w:szCs w:val="20"/>
        </w:rPr>
      </w:pPr>
      <w:r w:rsidRPr="00FF2F54">
        <w:rPr>
          <w:rStyle w:val="FootnoteReference"/>
          <w:rFonts w:ascii="Arial" w:hAnsi="Arial" w:cs="Arial"/>
          <w:sz w:val="20"/>
          <w:szCs w:val="20"/>
        </w:rPr>
        <w:footnoteRef/>
      </w:r>
      <w:r w:rsidRPr="00FF2F54">
        <w:rPr>
          <w:rFonts w:ascii="Arial" w:hAnsi="Arial" w:cs="Arial"/>
          <w:sz w:val="20"/>
          <w:szCs w:val="20"/>
        </w:rPr>
        <w:t xml:space="preserve"> </w:t>
      </w:r>
      <w:r w:rsidR="005D1D30">
        <w:rPr>
          <w:rFonts w:ascii="Arial" w:hAnsi="Arial" w:cs="Arial"/>
          <w:sz w:val="20"/>
          <w:szCs w:val="20"/>
        </w:rPr>
        <w:tab/>
      </w:r>
      <w:r w:rsidRPr="00FF2F54">
        <w:rPr>
          <w:rFonts w:ascii="Arial" w:hAnsi="Arial" w:cs="Arial"/>
          <w:sz w:val="20"/>
          <w:szCs w:val="20"/>
        </w:rPr>
        <w:t>The Regulation provides –</w:t>
      </w:r>
      <w:r>
        <w:t xml:space="preserve"> </w:t>
      </w:r>
      <w:r w:rsidR="00FF2F54" w:rsidRPr="00901E65">
        <w:rPr>
          <w:rFonts w:ascii="Arial" w:hAnsi="Arial" w:cs="Arial"/>
          <w:i/>
          <w:iCs/>
          <w:sz w:val="20"/>
          <w:szCs w:val="20"/>
        </w:rPr>
        <w:t>"32(1) A quality assurance referred to in section 109(2) of the Act must be conducted to evaluate a child protection organisation prior to the withdrawal of the designation as a child protection organisation.</w:t>
      </w:r>
    </w:p>
    <w:p w14:paraId="50BC816A" w14:textId="77777777"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32(2) The quality assurance contemplated in sub regulation (l) must be conducted by the Director-General or by the provincial head of social development and must consist of the assessment of the following:</w:t>
      </w:r>
    </w:p>
    <w:p w14:paraId="6ABD8EDB" w14:textId="2E6FF127"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(a)the business plan and financial statements of the organisation.</w:t>
      </w:r>
    </w:p>
    <w:p w14:paraId="051E4F1D" w14:textId="107D024D"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(b)adherence to the criteria for designation as a child protection organisation and to the national norms and standards for child protection.</w:t>
      </w:r>
    </w:p>
    <w:p w14:paraId="4E4DE5F3" w14:textId="5C7D1357"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(c)implementation of the designated child protection</w:t>
      </w:r>
      <w:r>
        <w:rPr>
          <w:rFonts w:ascii="Arial" w:hAnsi="Arial" w:cs="Arial"/>
          <w:i/>
          <w:iCs/>
          <w:sz w:val="20"/>
          <w:szCs w:val="20"/>
        </w:rPr>
        <w:t xml:space="preserve"> </w:t>
      </w:r>
      <w:r w:rsidRPr="00901E65">
        <w:rPr>
          <w:rFonts w:ascii="Arial" w:hAnsi="Arial" w:cs="Arial"/>
          <w:i/>
          <w:iCs/>
          <w:sz w:val="20"/>
          <w:szCs w:val="20"/>
        </w:rPr>
        <w:t>service</w:t>
      </w:r>
      <w:r>
        <w:rPr>
          <w:rFonts w:ascii="Arial" w:hAnsi="Arial" w:cs="Arial"/>
          <w:i/>
          <w:iCs/>
          <w:sz w:val="20"/>
          <w:szCs w:val="20"/>
        </w:rPr>
        <w:t>/</w:t>
      </w:r>
      <w:r w:rsidRPr="00901E65">
        <w:rPr>
          <w:rFonts w:ascii="Arial" w:hAnsi="Arial" w:cs="Arial"/>
          <w:i/>
          <w:iCs/>
          <w:sz w:val="20"/>
          <w:szCs w:val="20"/>
        </w:rPr>
        <w:t>s;</w:t>
      </w:r>
    </w:p>
    <w:p w14:paraId="1D7B87B3" w14:textId="7655F996"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(d)whether individuals, families, communities, and other organisations are receiving an effective and efficient service and whether they are satisfied with the quality of service so received;</w:t>
      </w:r>
    </w:p>
    <w:p w14:paraId="2711B180" w14:textId="77777777" w:rsidR="00FF2F54" w:rsidRPr="00FF2F54" w:rsidRDefault="00FF2F54" w:rsidP="005D1D30">
      <w:pPr>
        <w:ind w:left="284" w:right="65"/>
        <w:jc w:val="both"/>
        <w:rPr>
          <w:rFonts w:ascii="Arial" w:hAnsi="Arial" w:cs="Arial"/>
          <w:i/>
          <w:iCs/>
          <w:sz w:val="20"/>
          <w:szCs w:val="20"/>
        </w:rPr>
      </w:pPr>
      <w:r w:rsidRPr="00FF2F54">
        <w:rPr>
          <w:rFonts w:ascii="Arial" w:hAnsi="Arial" w:cs="Arial"/>
          <w:i/>
          <w:iCs/>
          <w:sz w:val="20"/>
          <w:szCs w:val="20"/>
        </w:rPr>
        <w:t>(e)monitoring and evaluation framework and the impact of the services received;</w:t>
      </w:r>
    </w:p>
    <w:p w14:paraId="7EBDA778" w14:textId="17832289" w:rsidR="00FF2F54" w:rsidRPr="00901E65" w:rsidRDefault="00FF2F54" w:rsidP="005D1D30">
      <w:pPr>
        <w:ind w:left="284" w:right="65"/>
        <w:jc w:val="both"/>
        <w:rPr>
          <w:rFonts w:ascii="Arial" w:hAnsi="Arial" w:cs="Arial"/>
          <w:i/>
          <w:iCs/>
          <w:sz w:val="20"/>
          <w:szCs w:val="20"/>
        </w:rPr>
      </w:pPr>
      <w:r w:rsidRPr="00901E65">
        <w:rPr>
          <w:rFonts w:ascii="Arial" w:hAnsi="Arial" w:cs="Arial"/>
          <w:i/>
          <w:iCs/>
          <w:sz w:val="20"/>
          <w:szCs w:val="20"/>
        </w:rPr>
        <w:t>(f)compliance and implementation of the appropriate</w:t>
      </w:r>
      <w:r>
        <w:rPr>
          <w:rFonts w:ascii="Arial" w:hAnsi="Arial" w:cs="Arial"/>
          <w:i/>
          <w:iCs/>
          <w:sz w:val="20"/>
          <w:szCs w:val="20"/>
        </w:rPr>
        <w:t xml:space="preserve"> </w:t>
      </w:r>
      <w:r w:rsidRPr="00901E65">
        <w:rPr>
          <w:rFonts w:ascii="Arial" w:hAnsi="Arial" w:cs="Arial"/>
          <w:i/>
          <w:iCs/>
          <w:sz w:val="20"/>
          <w:szCs w:val="20"/>
        </w:rPr>
        <w:t>legislation; and</w:t>
      </w:r>
    </w:p>
    <w:p w14:paraId="030F0F94" w14:textId="6772BED1" w:rsidR="00031524" w:rsidRPr="00FF2F54" w:rsidRDefault="00FF2F54" w:rsidP="005D1D30">
      <w:pPr>
        <w:ind w:left="284" w:right="65"/>
        <w:jc w:val="both"/>
        <w:rPr>
          <w:rFonts w:ascii="Arial" w:hAnsi="Arial" w:cs="Arial"/>
          <w:i/>
          <w:iCs/>
          <w:sz w:val="20"/>
          <w:szCs w:val="20"/>
        </w:rPr>
      </w:pPr>
      <w:r w:rsidRPr="00901E65">
        <w:rPr>
          <w:rFonts w:ascii="Arial" w:hAnsi="Arial" w:cs="Arial"/>
          <w:i/>
          <w:iCs/>
          <w:sz w:val="20"/>
          <w:szCs w:val="20"/>
        </w:rPr>
        <w:t>(g)any service delivery challenges.”</w:t>
      </w:r>
    </w:p>
  </w:footnote>
  <w:footnote w:id="13">
    <w:p w14:paraId="66E85358" w14:textId="6248BB2D" w:rsidR="001402F8" w:rsidRDefault="001402F8" w:rsidP="005D1D30">
      <w:pPr>
        <w:pStyle w:val="FootnoteText"/>
        <w:ind w:left="284" w:hanging="284"/>
        <w:jc w:val="both"/>
      </w:pPr>
      <w:r>
        <w:rPr>
          <w:rStyle w:val="FootnoteReference"/>
        </w:rPr>
        <w:footnoteRef/>
      </w:r>
      <w:r>
        <w:t xml:space="preserve"> </w:t>
      </w:r>
      <w:r w:rsidR="005D1D30">
        <w:tab/>
      </w:r>
      <w:r w:rsidRPr="001402F8">
        <w:rPr>
          <w:rFonts w:ascii="Arial" w:hAnsi="Arial" w:cs="Arial"/>
          <w:bCs/>
          <w:sz w:val="20"/>
          <w:szCs w:val="20"/>
        </w:rPr>
        <w:t>A similar referral of the same allegations had also been made by a Lieutenant Colonel Elizabeth van der Merwe in the Economic Protected Resources: Human Trafficking and Serious Organized Crime Unit on 23 August 2021 but there is nothing in the record to indicate what if anything was done.  Although this referral is reflected as a “complaint”, in the record of decision, it is from the content of its text nothing more than a request to “advise me on the correct person to speak to regarding the following two allegations received”.</w:t>
      </w:r>
    </w:p>
  </w:footnote>
  <w:footnote w:id="14">
    <w:p w14:paraId="13F0CFEF" w14:textId="1B41A6E2" w:rsidR="00522A83" w:rsidRPr="005D1D30" w:rsidRDefault="00522A83" w:rsidP="005D1D30">
      <w:pPr>
        <w:pStyle w:val="FootnoteText"/>
        <w:ind w:left="284" w:hanging="284"/>
        <w:jc w:val="both"/>
        <w:rPr>
          <w:rFonts w:ascii="Arial" w:hAnsi="Arial" w:cs="Arial"/>
          <w:sz w:val="20"/>
          <w:szCs w:val="20"/>
        </w:rPr>
      </w:pPr>
      <w:r w:rsidRPr="005D1D30">
        <w:rPr>
          <w:rStyle w:val="FootnoteReference"/>
          <w:rFonts w:ascii="Arial" w:hAnsi="Arial" w:cs="Arial"/>
          <w:sz w:val="20"/>
          <w:szCs w:val="20"/>
        </w:rPr>
        <w:footnoteRef/>
      </w:r>
      <w:r w:rsidRPr="005D1D30">
        <w:rPr>
          <w:rFonts w:ascii="Arial" w:hAnsi="Arial" w:cs="Arial"/>
          <w:sz w:val="20"/>
          <w:szCs w:val="20"/>
        </w:rPr>
        <w:t xml:space="preserve"> </w:t>
      </w:r>
      <w:r w:rsidR="005D1D30">
        <w:rPr>
          <w:rFonts w:ascii="Arial" w:hAnsi="Arial" w:cs="Arial"/>
          <w:sz w:val="20"/>
          <w:szCs w:val="20"/>
        </w:rPr>
        <w:tab/>
      </w:r>
      <w:r w:rsidRPr="005D1D30">
        <w:rPr>
          <w:rFonts w:ascii="Arial" w:hAnsi="Arial" w:cs="Arial"/>
          <w:sz w:val="20"/>
          <w:szCs w:val="20"/>
        </w:rPr>
        <w:t>WA Raaths v the State (case number A395/2018 in this division of the High 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9AE" w14:textId="194F413B"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32F">
      <w:rPr>
        <w:rStyle w:val="PageNumber"/>
        <w:noProof/>
      </w:rPr>
      <w:t>2</w:t>
    </w:r>
    <w:r>
      <w:rPr>
        <w:rStyle w:val="PageNumber"/>
      </w:rPr>
      <w:fldChar w:fldCharType="end"/>
    </w:r>
  </w:p>
  <w:p w14:paraId="2E30DF93"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7B00" w14:textId="12DD5464"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663">
      <w:rPr>
        <w:rStyle w:val="PageNumber"/>
        <w:noProof/>
      </w:rPr>
      <w:t>18</w:t>
    </w:r>
    <w:r>
      <w:rPr>
        <w:rStyle w:val="PageNumber"/>
      </w:rPr>
      <w:fldChar w:fldCharType="end"/>
    </w:r>
  </w:p>
  <w:p w14:paraId="74E59DBE"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C68CE"/>
    <w:multiLevelType w:val="multilevel"/>
    <w:tmpl w:val="FE0A8E32"/>
    <w:lvl w:ilvl="0">
      <w:start w:val="3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0BBB43E3"/>
    <w:multiLevelType w:val="hybridMultilevel"/>
    <w:tmpl w:val="3EBE7A4C"/>
    <w:lvl w:ilvl="0" w:tplc="4B5A3E6C">
      <w:start w:val="1"/>
      <w:numFmt w:val="bullet"/>
      <w:lvlText w:val="•"/>
      <w:lvlJc w:val="left"/>
      <w:pPr>
        <w:ind w:left="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8726510">
      <w:start w:val="1"/>
      <w:numFmt w:val="bullet"/>
      <w:lvlText w:val="o"/>
      <w:lvlJc w:val="left"/>
      <w:pPr>
        <w:ind w:left="1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1C4354C">
      <w:start w:val="1"/>
      <w:numFmt w:val="bullet"/>
      <w:lvlText w:val="▪"/>
      <w:lvlJc w:val="left"/>
      <w:pPr>
        <w:ind w:left="2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0DE8E68">
      <w:start w:val="1"/>
      <w:numFmt w:val="bullet"/>
      <w:lvlText w:val="•"/>
      <w:lvlJc w:val="left"/>
      <w:pPr>
        <w:ind w:left="28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E105A82">
      <w:start w:val="1"/>
      <w:numFmt w:val="bullet"/>
      <w:lvlText w:val="o"/>
      <w:lvlJc w:val="left"/>
      <w:pPr>
        <w:ind w:left="35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5ACA7FA">
      <w:start w:val="1"/>
      <w:numFmt w:val="bullet"/>
      <w:lvlText w:val="▪"/>
      <w:lvlJc w:val="left"/>
      <w:pPr>
        <w:ind w:left="43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FCA48C4">
      <w:start w:val="1"/>
      <w:numFmt w:val="bullet"/>
      <w:lvlText w:val="•"/>
      <w:lvlJc w:val="left"/>
      <w:pPr>
        <w:ind w:left="50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2C8FBDA">
      <w:start w:val="1"/>
      <w:numFmt w:val="bullet"/>
      <w:lvlText w:val="o"/>
      <w:lvlJc w:val="left"/>
      <w:pPr>
        <w:ind w:left="57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5AEC1BA">
      <w:start w:val="1"/>
      <w:numFmt w:val="bullet"/>
      <w:lvlText w:val="▪"/>
      <w:lvlJc w:val="left"/>
      <w:pPr>
        <w:ind w:left="64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6FD13AB"/>
    <w:multiLevelType w:val="hybridMultilevel"/>
    <w:tmpl w:val="949E057C"/>
    <w:lvl w:ilvl="0" w:tplc="9DD0BF2E">
      <w:start w:val="104"/>
      <w:numFmt w:val="decimal"/>
      <w:lvlText w:val="%1"/>
      <w:lvlJc w:val="left"/>
      <w:pPr>
        <w:ind w:left="412"/>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C6A8B0C4">
      <w:start w:val="1"/>
      <w:numFmt w:val="decimal"/>
      <w:lvlText w:val="(%2)"/>
      <w:lvlJc w:val="left"/>
      <w:pPr>
        <w:ind w:left="1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AC2AF2A">
      <w:start w:val="1"/>
      <w:numFmt w:val="lowerLetter"/>
      <w:lvlText w:val="(%3)"/>
      <w:lvlJc w:val="left"/>
      <w:pPr>
        <w:ind w:left="8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937432FC">
      <w:start w:val="1"/>
      <w:numFmt w:val="lowerRoman"/>
      <w:lvlText w:val="(%4)"/>
      <w:lvlJc w:val="left"/>
      <w:pPr>
        <w:ind w:left="153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6B61E8C">
      <w:start w:val="1"/>
      <w:numFmt w:val="lowerLetter"/>
      <w:lvlText w:val="%5"/>
      <w:lvlJc w:val="left"/>
      <w:pPr>
        <w:ind w:left="22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371480D0">
      <w:start w:val="1"/>
      <w:numFmt w:val="lowerRoman"/>
      <w:lvlText w:val="%6"/>
      <w:lvlJc w:val="left"/>
      <w:pPr>
        <w:ind w:left="29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408466BC">
      <w:start w:val="1"/>
      <w:numFmt w:val="decimal"/>
      <w:lvlText w:val="%7"/>
      <w:lvlJc w:val="left"/>
      <w:pPr>
        <w:ind w:left="36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7BC34D6">
      <w:start w:val="1"/>
      <w:numFmt w:val="lowerLetter"/>
      <w:lvlText w:val="%8"/>
      <w:lvlJc w:val="left"/>
      <w:pPr>
        <w:ind w:left="43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852C6218">
      <w:start w:val="1"/>
      <w:numFmt w:val="lowerRoman"/>
      <w:lvlText w:val="%9"/>
      <w:lvlJc w:val="left"/>
      <w:pPr>
        <w:ind w:left="51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DFA3C2D"/>
    <w:multiLevelType w:val="hybridMultilevel"/>
    <w:tmpl w:val="30F0BD38"/>
    <w:lvl w:ilvl="0" w:tplc="5FB62AB8">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51C5703"/>
    <w:multiLevelType w:val="hybridMultilevel"/>
    <w:tmpl w:val="CBE0D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02209"/>
    <w:multiLevelType w:val="hybridMultilevel"/>
    <w:tmpl w:val="85BE56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642413D"/>
    <w:multiLevelType w:val="hybridMultilevel"/>
    <w:tmpl w:val="267E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D15642"/>
    <w:multiLevelType w:val="multilevel"/>
    <w:tmpl w:val="B82AC488"/>
    <w:lvl w:ilvl="0">
      <w:start w:val="37"/>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215367A"/>
    <w:multiLevelType w:val="multilevel"/>
    <w:tmpl w:val="6E9E04F8"/>
    <w:lvl w:ilvl="0">
      <w:start w:val="1"/>
      <w:numFmt w:val="decimal"/>
      <w:lvlText w:val="%1."/>
      <w:lvlJc w:val="left"/>
      <w:pPr>
        <w:ind w:left="720" w:hanging="360"/>
      </w:pPr>
      <w:rPr>
        <w:rFonts w:hint="default"/>
        <w:sz w:val="24"/>
        <w:szCs w:val="24"/>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D2A66"/>
    <w:multiLevelType w:val="multilevel"/>
    <w:tmpl w:val="6A3C08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810E9"/>
    <w:multiLevelType w:val="hybridMultilevel"/>
    <w:tmpl w:val="82C41B5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206C50"/>
    <w:multiLevelType w:val="hybridMultilevel"/>
    <w:tmpl w:val="F1BC64E2"/>
    <w:lvl w:ilvl="0" w:tplc="B908F660">
      <w:start w:val="1"/>
      <w:numFmt w:val="decimal"/>
      <w:lvlText w:val="%1."/>
      <w:lvlJc w:val="left"/>
      <w:pPr>
        <w:ind w:left="360" w:hanging="360"/>
      </w:pPr>
      <w:rPr>
        <w:rFonts w:hint="default"/>
        <w:b w:val="0"/>
        <w:bCs/>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82F1D16"/>
    <w:multiLevelType w:val="hybridMultilevel"/>
    <w:tmpl w:val="23085508"/>
    <w:lvl w:ilvl="0" w:tplc="6FB01D96">
      <w:start w:val="1"/>
      <w:numFmt w:val="decimal"/>
      <w:lvlText w:val="%1."/>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4A9916">
      <w:start w:val="1"/>
      <w:numFmt w:val="lowerLetter"/>
      <w:lvlText w:val="%2"/>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C9AEE">
      <w:start w:val="1"/>
      <w:numFmt w:val="lowerRoman"/>
      <w:lvlText w:val="%3"/>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D059EC">
      <w:start w:val="1"/>
      <w:numFmt w:val="decimal"/>
      <w:lvlText w:val="%4"/>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CD6B2">
      <w:start w:val="1"/>
      <w:numFmt w:val="lowerLetter"/>
      <w:lvlText w:val="%5"/>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66A42">
      <w:start w:val="1"/>
      <w:numFmt w:val="lowerRoman"/>
      <w:lvlText w:val="%6"/>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03484">
      <w:start w:val="1"/>
      <w:numFmt w:val="decimal"/>
      <w:lvlText w:val="%7"/>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3C75D2">
      <w:start w:val="1"/>
      <w:numFmt w:val="lowerLetter"/>
      <w:lvlText w:val="%8"/>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0640A">
      <w:start w:val="1"/>
      <w:numFmt w:val="lowerRoman"/>
      <w:lvlText w:val="%9"/>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E2EA5"/>
    <w:multiLevelType w:val="hybridMultilevel"/>
    <w:tmpl w:val="C7EA0894"/>
    <w:lvl w:ilvl="0" w:tplc="011A94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A1468"/>
    <w:multiLevelType w:val="hybridMultilevel"/>
    <w:tmpl w:val="1416F2D6"/>
    <w:lvl w:ilvl="0" w:tplc="011838AE">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D7234A"/>
    <w:multiLevelType w:val="hybridMultilevel"/>
    <w:tmpl w:val="EE6C5F2A"/>
    <w:lvl w:ilvl="0" w:tplc="057A5D5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8"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
  </w:num>
  <w:num w:numId="5">
    <w:abstractNumId w:val="6"/>
  </w:num>
  <w:num w:numId="6">
    <w:abstractNumId w:val="21"/>
  </w:num>
  <w:num w:numId="7">
    <w:abstractNumId w:val="29"/>
  </w:num>
  <w:num w:numId="8">
    <w:abstractNumId w:val="28"/>
  </w:num>
  <w:num w:numId="9">
    <w:abstractNumId w:val="5"/>
  </w:num>
  <w:num w:numId="10">
    <w:abstractNumId w:val="8"/>
  </w:num>
  <w:num w:numId="11">
    <w:abstractNumId w:val="13"/>
  </w:num>
  <w:num w:numId="12">
    <w:abstractNumId w:val="3"/>
  </w:num>
  <w:num w:numId="13">
    <w:abstractNumId w:val="17"/>
  </w:num>
  <w:num w:numId="14">
    <w:abstractNumId w:val="20"/>
  </w:num>
  <w:num w:numId="15">
    <w:abstractNumId w:val="12"/>
  </w:num>
  <w:num w:numId="16">
    <w:abstractNumId w:val="27"/>
  </w:num>
  <w:num w:numId="17">
    <w:abstractNumId w:val="22"/>
  </w:num>
  <w:num w:numId="18">
    <w:abstractNumId w:val="10"/>
  </w:num>
  <w:num w:numId="19">
    <w:abstractNumId w:val="24"/>
  </w:num>
  <w:num w:numId="20">
    <w:abstractNumId w:val="14"/>
  </w:num>
  <w:num w:numId="21">
    <w:abstractNumId w:val="11"/>
  </w:num>
  <w:num w:numId="22">
    <w:abstractNumId w:val="15"/>
  </w:num>
  <w:num w:numId="23">
    <w:abstractNumId w:val="4"/>
  </w:num>
  <w:num w:numId="24">
    <w:abstractNumId w:val="7"/>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76E1"/>
    <w:rsid w:val="000104B4"/>
    <w:rsid w:val="000218AC"/>
    <w:rsid w:val="0002295E"/>
    <w:rsid w:val="00022E29"/>
    <w:rsid w:val="0002716E"/>
    <w:rsid w:val="00027CBC"/>
    <w:rsid w:val="00030EDB"/>
    <w:rsid w:val="00031524"/>
    <w:rsid w:val="0003162D"/>
    <w:rsid w:val="00040A97"/>
    <w:rsid w:val="00044032"/>
    <w:rsid w:val="00050078"/>
    <w:rsid w:val="00052547"/>
    <w:rsid w:val="000578D1"/>
    <w:rsid w:val="00060BA3"/>
    <w:rsid w:val="00062CEF"/>
    <w:rsid w:val="0006302B"/>
    <w:rsid w:val="00070EA4"/>
    <w:rsid w:val="000730BB"/>
    <w:rsid w:val="0008376B"/>
    <w:rsid w:val="000838A0"/>
    <w:rsid w:val="0008544C"/>
    <w:rsid w:val="00085E25"/>
    <w:rsid w:val="0008693D"/>
    <w:rsid w:val="000926F4"/>
    <w:rsid w:val="000964D1"/>
    <w:rsid w:val="000971DB"/>
    <w:rsid w:val="000A26D7"/>
    <w:rsid w:val="000A5272"/>
    <w:rsid w:val="000C091F"/>
    <w:rsid w:val="000C0B69"/>
    <w:rsid w:val="000C13AB"/>
    <w:rsid w:val="000C1577"/>
    <w:rsid w:val="000C1D16"/>
    <w:rsid w:val="000C4554"/>
    <w:rsid w:val="000C6FBE"/>
    <w:rsid w:val="000D0136"/>
    <w:rsid w:val="000E07B1"/>
    <w:rsid w:val="000E5109"/>
    <w:rsid w:val="000E5543"/>
    <w:rsid w:val="000E5FB9"/>
    <w:rsid w:val="000E6633"/>
    <w:rsid w:val="000F4966"/>
    <w:rsid w:val="001004D6"/>
    <w:rsid w:val="00101D88"/>
    <w:rsid w:val="001021EE"/>
    <w:rsid w:val="00103EC1"/>
    <w:rsid w:val="00105DEC"/>
    <w:rsid w:val="0010749D"/>
    <w:rsid w:val="00110539"/>
    <w:rsid w:val="00114724"/>
    <w:rsid w:val="00121456"/>
    <w:rsid w:val="0012310D"/>
    <w:rsid w:val="00125FBF"/>
    <w:rsid w:val="00127B1A"/>
    <w:rsid w:val="0013492F"/>
    <w:rsid w:val="001402F8"/>
    <w:rsid w:val="00144EA8"/>
    <w:rsid w:val="00151A72"/>
    <w:rsid w:val="00151F35"/>
    <w:rsid w:val="00155668"/>
    <w:rsid w:val="0016046F"/>
    <w:rsid w:val="00161F55"/>
    <w:rsid w:val="00163683"/>
    <w:rsid w:val="00170D43"/>
    <w:rsid w:val="001721F5"/>
    <w:rsid w:val="001732C8"/>
    <w:rsid w:val="0017465D"/>
    <w:rsid w:val="0018645D"/>
    <w:rsid w:val="00187998"/>
    <w:rsid w:val="00194AFD"/>
    <w:rsid w:val="00194BAE"/>
    <w:rsid w:val="001A21CD"/>
    <w:rsid w:val="001A4DD3"/>
    <w:rsid w:val="001A7F86"/>
    <w:rsid w:val="001B288A"/>
    <w:rsid w:val="001B487B"/>
    <w:rsid w:val="001D6C62"/>
    <w:rsid w:val="001D6F4F"/>
    <w:rsid w:val="001D7244"/>
    <w:rsid w:val="001E0C6A"/>
    <w:rsid w:val="001E6710"/>
    <w:rsid w:val="001E7BDB"/>
    <w:rsid w:val="001F07DD"/>
    <w:rsid w:val="001F2B32"/>
    <w:rsid w:val="001F450A"/>
    <w:rsid w:val="001F4AE5"/>
    <w:rsid w:val="002003EF"/>
    <w:rsid w:val="00201912"/>
    <w:rsid w:val="00201A93"/>
    <w:rsid w:val="002040D5"/>
    <w:rsid w:val="00205098"/>
    <w:rsid w:val="00205D53"/>
    <w:rsid w:val="0020751F"/>
    <w:rsid w:val="0021216F"/>
    <w:rsid w:val="002122DA"/>
    <w:rsid w:val="002129F5"/>
    <w:rsid w:val="00215E00"/>
    <w:rsid w:val="0021667B"/>
    <w:rsid w:val="00217B03"/>
    <w:rsid w:val="0022328F"/>
    <w:rsid w:val="00232BFD"/>
    <w:rsid w:val="00232EA0"/>
    <w:rsid w:val="002332DE"/>
    <w:rsid w:val="00235638"/>
    <w:rsid w:val="002411FD"/>
    <w:rsid w:val="00242E76"/>
    <w:rsid w:val="00244901"/>
    <w:rsid w:val="00254146"/>
    <w:rsid w:val="00255485"/>
    <w:rsid w:val="00264079"/>
    <w:rsid w:val="00265336"/>
    <w:rsid w:val="00267036"/>
    <w:rsid w:val="0027008F"/>
    <w:rsid w:val="00280528"/>
    <w:rsid w:val="00281CA0"/>
    <w:rsid w:val="00283B34"/>
    <w:rsid w:val="00287E6E"/>
    <w:rsid w:val="002914E5"/>
    <w:rsid w:val="00291DE0"/>
    <w:rsid w:val="002935FF"/>
    <w:rsid w:val="0029767F"/>
    <w:rsid w:val="002A51AF"/>
    <w:rsid w:val="002A53F8"/>
    <w:rsid w:val="002A6A3F"/>
    <w:rsid w:val="002B0A35"/>
    <w:rsid w:val="002B16A6"/>
    <w:rsid w:val="002B25CA"/>
    <w:rsid w:val="002B4437"/>
    <w:rsid w:val="002B69B1"/>
    <w:rsid w:val="002C413A"/>
    <w:rsid w:val="002C4D4E"/>
    <w:rsid w:val="002C7527"/>
    <w:rsid w:val="002D4352"/>
    <w:rsid w:val="002D6970"/>
    <w:rsid w:val="002D6A2A"/>
    <w:rsid w:val="002D6BF0"/>
    <w:rsid w:val="002E1F21"/>
    <w:rsid w:val="00307191"/>
    <w:rsid w:val="00313396"/>
    <w:rsid w:val="003155D7"/>
    <w:rsid w:val="00315722"/>
    <w:rsid w:val="00315C11"/>
    <w:rsid w:val="00316515"/>
    <w:rsid w:val="00322298"/>
    <w:rsid w:val="00323F5E"/>
    <w:rsid w:val="00331FDC"/>
    <w:rsid w:val="00333325"/>
    <w:rsid w:val="003348C6"/>
    <w:rsid w:val="00334F20"/>
    <w:rsid w:val="00335D42"/>
    <w:rsid w:val="00341E97"/>
    <w:rsid w:val="00342015"/>
    <w:rsid w:val="00346C05"/>
    <w:rsid w:val="00360697"/>
    <w:rsid w:val="00363165"/>
    <w:rsid w:val="0036390D"/>
    <w:rsid w:val="00371BE5"/>
    <w:rsid w:val="00375DC6"/>
    <w:rsid w:val="00376B87"/>
    <w:rsid w:val="003817D2"/>
    <w:rsid w:val="003833EA"/>
    <w:rsid w:val="00385391"/>
    <w:rsid w:val="00385FBC"/>
    <w:rsid w:val="003A14B0"/>
    <w:rsid w:val="003A20FB"/>
    <w:rsid w:val="003A3574"/>
    <w:rsid w:val="003A5BC8"/>
    <w:rsid w:val="003B6C23"/>
    <w:rsid w:val="003C415E"/>
    <w:rsid w:val="003C432D"/>
    <w:rsid w:val="003C53F6"/>
    <w:rsid w:val="003D5BB2"/>
    <w:rsid w:val="003E4DBA"/>
    <w:rsid w:val="003E6BDA"/>
    <w:rsid w:val="003F0531"/>
    <w:rsid w:val="003F37AE"/>
    <w:rsid w:val="003F404E"/>
    <w:rsid w:val="003F46D7"/>
    <w:rsid w:val="003F6889"/>
    <w:rsid w:val="00405A29"/>
    <w:rsid w:val="00406F88"/>
    <w:rsid w:val="004075F2"/>
    <w:rsid w:val="00412E0C"/>
    <w:rsid w:val="00413603"/>
    <w:rsid w:val="00413E2B"/>
    <w:rsid w:val="00416EA1"/>
    <w:rsid w:val="00417BE7"/>
    <w:rsid w:val="0042184A"/>
    <w:rsid w:val="00422311"/>
    <w:rsid w:val="004247F2"/>
    <w:rsid w:val="00425F53"/>
    <w:rsid w:val="00432B66"/>
    <w:rsid w:val="00435092"/>
    <w:rsid w:val="00440D4B"/>
    <w:rsid w:val="0044117D"/>
    <w:rsid w:val="0044361B"/>
    <w:rsid w:val="00443ADE"/>
    <w:rsid w:val="00444C8B"/>
    <w:rsid w:val="0045149D"/>
    <w:rsid w:val="00452A4C"/>
    <w:rsid w:val="00454072"/>
    <w:rsid w:val="00460F1A"/>
    <w:rsid w:val="00461E12"/>
    <w:rsid w:val="004741BE"/>
    <w:rsid w:val="00475569"/>
    <w:rsid w:val="00475A8E"/>
    <w:rsid w:val="0048191C"/>
    <w:rsid w:val="00482966"/>
    <w:rsid w:val="00482AA7"/>
    <w:rsid w:val="004854D5"/>
    <w:rsid w:val="0049074E"/>
    <w:rsid w:val="0049313B"/>
    <w:rsid w:val="004C680E"/>
    <w:rsid w:val="004C6A1E"/>
    <w:rsid w:val="004D12FE"/>
    <w:rsid w:val="004D3845"/>
    <w:rsid w:val="004D3BF0"/>
    <w:rsid w:val="004E581A"/>
    <w:rsid w:val="004F0167"/>
    <w:rsid w:val="00500DA0"/>
    <w:rsid w:val="005069D9"/>
    <w:rsid w:val="0051359C"/>
    <w:rsid w:val="00514611"/>
    <w:rsid w:val="0051651C"/>
    <w:rsid w:val="00522A83"/>
    <w:rsid w:val="00540198"/>
    <w:rsid w:val="0054389F"/>
    <w:rsid w:val="00547AC7"/>
    <w:rsid w:val="00551B4C"/>
    <w:rsid w:val="0055431B"/>
    <w:rsid w:val="005560EF"/>
    <w:rsid w:val="00564F62"/>
    <w:rsid w:val="0057074A"/>
    <w:rsid w:val="005720E9"/>
    <w:rsid w:val="00587548"/>
    <w:rsid w:val="00587BF3"/>
    <w:rsid w:val="00595099"/>
    <w:rsid w:val="005A26A9"/>
    <w:rsid w:val="005A2F73"/>
    <w:rsid w:val="005B0DB3"/>
    <w:rsid w:val="005B118D"/>
    <w:rsid w:val="005B6266"/>
    <w:rsid w:val="005B649C"/>
    <w:rsid w:val="005B75C1"/>
    <w:rsid w:val="005C62C5"/>
    <w:rsid w:val="005D1D30"/>
    <w:rsid w:val="005D3007"/>
    <w:rsid w:val="005D4790"/>
    <w:rsid w:val="005D5370"/>
    <w:rsid w:val="005E0DE4"/>
    <w:rsid w:val="005E2259"/>
    <w:rsid w:val="005E230C"/>
    <w:rsid w:val="005E34E0"/>
    <w:rsid w:val="005E448E"/>
    <w:rsid w:val="005F206A"/>
    <w:rsid w:val="005F49B3"/>
    <w:rsid w:val="005F653D"/>
    <w:rsid w:val="006036F8"/>
    <w:rsid w:val="0060432F"/>
    <w:rsid w:val="00605316"/>
    <w:rsid w:val="0060642F"/>
    <w:rsid w:val="006077A9"/>
    <w:rsid w:val="00610D0B"/>
    <w:rsid w:val="00613937"/>
    <w:rsid w:val="00613E4D"/>
    <w:rsid w:val="00615A0C"/>
    <w:rsid w:val="0061695E"/>
    <w:rsid w:val="006216B4"/>
    <w:rsid w:val="00625106"/>
    <w:rsid w:val="00632C9A"/>
    <w:rsid w:val="00640A01"/>
    <w:rsid w:val="006430C0"/>
    <w:rsid w:val="00644BB3"/>
    <w:rsid w:val="00645537"/>
    <w:rsid w:val="00646138"/>
    <w:rsid w:val="00650745"/>
    <w:rsid w:val="0065125E"/>
    <w:rsid w:val="00651B9B"/>
    <w:rsid w:val="00653433"/>
    <w:rsid w:val="00655236"/>
    <w:rsid w:val="006630FB"/>
    <w:rsid w:val="00665EC9"/>
    <w:rsid w:val="006710DC"/>
    <w:rsid w:val="00675035"/>
    <w:rsid w:val="00676987"/>
    <w:rsid w:val="00677BC9"/>
    <w:rsid w:val="00683071"/>
    <w:rsid w:val="00685764"/>
    <w:rsid w:val="00686AFF"/>
    <w:rsid w:val="00695349"/>
    <w:rsid w:val="00695533"/>
    <w:rsid w:val="00697DE5"/>
    <w:rsid w:val="006A1AA8"/>
    <w:rsid w:val="006A37E3"/>
    <w:rsid w:val="006A6DDB"/>
    <w:rsid w:val="006A770C"/>
    <w:rsid w:val="006B0014"/>
    <w:rsid w:val="006B3D1D"/>
    <w:rsid w:val="006B5F83"/>
    <w:rsid w:val="006B67ED"/>
    <w:rsid w:val="006C5D61"/>
    <w:rsid w:val="006C705A"/>
    <w:rsid w:val="006C7570"/>
    <w:rsid w:val="006D0714"/>
    <w:rsid w:val="006D0A8D"/>
    <w:rsid w:val="006D3289"/>
    <w:rsid w:val="006E3F20"/>
    <w:rsid w:val="006E4415"/>
    <w:rsid w:val="006E462C"/>
    <w:rsid w:val="006F2787"/>
    <w:rsid w:val="006F40B5"/>
    <w:rsid w:val="006F5D61"/>
    <w:rsid w:val="00706081"/>
    <w:rsid w:val="00707C51"/>
    <w:rsid w:val="00712652"/>
    <w:rsid w:val="00713A5D"/>
    <w:rsid w:val="00720FEF"/>
    <w:rsid w:val="0072221F"/>
    <w:rsid w:val="007240E6"/>
    <w:rsid w:val="0073212D"/>
    <w:rsid w:val="00733746"/>
    <w:rsid w:val="00735EB8"/>
    <w:rsid w:val="00736CDA"/>
    <w:rsid w:val="00737291"/>
    <w:rsid w:val="00742BAE"/>
    <w:rsid w:val="00750CC1"/>
    <w:rsid w:val="00753AD4"/>
    <w:rsid w:val="00755484"/>
    <w:rsid w:val="00760A23"/>
    <w:rsid w:val="00763002"/>
    <w:rsid w:val="00765D3B"/>
    <w:rsid w:val="007679D5"/>
    <w:rsid w:val="007703FA"/>
    <w:rsid w:val="00771E0F"/>
    <w:rsid w:val="007728D2"/>
    <w:rsid w:val="007736D9"/>
    <w:rsid w:val="00775876"/>
    <w:rsid w:val="007848B7"/>
    <w:rsid w:val="00785866"/>
    <w:rsid w:val="00786B1A"/>
    <w:rsid w:val="007875AE"/>
    <w:rsid w:val="0078777C"/>
    <w:rsid w:val="007970E1"/>
    <w:rsid w:val="007A288E"/>
    <w:rsid w:val="007A53BB"/>
    <w:rsid w:val="007B2C1E"/>
    <w:rsid w:val="007B46F6"/>
    <w:rsid w:val="007B5BD6"/>
    <w:rsid w:val="007B63CD"/>
    <w:rsid w:val="007C373C"/>
    <w:rsid w:val="007C7D36"/>
    <w:rsid w:val="007D17B5"/>
    <w:rsid w:val="007D24A3"/>
    <w:rsid w:val="007E14BF"/>
    <w:rsid w:val="007E7B98"/>
    <w:rsid w:val="007F0BBF"/>
    <w:rsid w:val="007F4EBC"/>
    <w:rsid w:val="007F5651"/>
    <w:rsid w:val="007F7FED"/>
    <w:rsid w:val="00805BF1"/>
    <w:rsid w:val="0080634A"/>
    <w:rsid w:val="00806DFA"/>
    <w:rsid w:val="00821962"/>
    <w:rsid w:val="00822511"/>
    <w:rsid w:val="008275A6"/>
    <w:rsid w:val="0083215B"/>
    <w:rsid w:val="0083710F"/>
    <w:rsid w:val="00837200"/>
    <w:rsid w:val="00840547"/>
    <w:rsid w:val="0084332A"/>
    <w:rsid w:val="008465D6"/>
    <w:rsid w:val="00860899"/>
    <w:rsid w:val="00866025"/>
    <w:rsid w:val="0088233C"/>
    <w:rsid w:val="008916D0"/>
    <w:rsid w:val="008A3877"/>
    <w:rsid w:val="008B1922"/>
    <w:rsid w:val="008B1A58"/>
    <w:rsid w:val="008B1B71"/>
    <w:rsid w:val="008B2182"/>
    <w:rsid w:val="008C18AE"/>
    <w:rsid w:val="008C3603"/>
    <w:rsid w:val="008C4597"/>
    <w:rsid w:val="008C45A5"/>
    <w:rsid w:val="008D34A8"/>
    <w:rsid w:val="008D4FD5"/>
    <w:rsid w:val="008D5E05"/>
    <w:rsid w:val="008D79A3"/>
    <w:rsid w:val="008D7C33"/>
    <w:rsid w:val="008E4705"/>
    <w:rsid w:val="008E5BBF"/>
    <w:rsid w:val="008E5E4D"/>
    <w:rsid w:val="008F2EA2"/>
    <w:rsid w:val="008F75B5"/>
    <w:rsid w:val="008F79E0"/>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7E3"/>
    <w:rsid w:val="00944BDE"/>
    <w:rsid w:val="0094618C"/>
    <w:rsid w:val="00950A27"/>
    <w:rsid w:val="00953A5C"/>
    <w:rsid w:val="0095576C"/>
    <w:rsid w:val="009732B6"/>
    <w:rsid w:val="00974554"/>
    <w:rsid w:val="00976D15"/>
    <w:rsid w:val="00977E1A"/>
    <w:rsid w:val="009838D5"/>
    <w:rsid w:val="00987290"/>
    <w:rsid w:val="009950C9"/>
    <w:rsid w:val="00995B3F"/>
    <w:rsid w:val="00996B9B"/>
    <w:rsid w:val="009A0388"/>
    <w:rsid w:val="009A1938"/>
    <w:rsid w:val="009A269B"/>
    <w:rsid w:val="009A33C1"/>
    <w:rsid w:val="009A72B3"/>
    <w:rsid w:val="009A79F1"/>
    <w:rsid w:val="009B099B"/>
    <w:rsid w:val="009B2BC9"/>
    <w:rsid w:val="009B36AA"/>
    <w:rsid w:val="009B4C31"/>
    <w:rsid w:val="009B699E"/>
    <w:rsid w:val="009C098B"/>
    <w:rsid w:val="009C3B83"/>
    <w:rsid w:val="009C6765"/>
    <w:rsid w:val="009D57DB"/>
    <w:rsid w:val="009E1EF1"/>
    <w:rsid w:val="009E4B4F"/>
    <w:rsid w:val="009F22F0"/>
    <w:rsid w:val="009F43A4"/>
    <w:rsid w:val="009F5E83"/>
    <w:rsid w:val="00A01777"/>
    <w:rsid w:val="00A06E43"/>
    <w:rsid w:val="00A07432"/>
    <w:rsid w:val="00A12932"/>
    <w:rsid w:val="00A13793"/>
    <w:rsid w:val="00A156AE"/>
    <w:rsid w:val="00A15E04"/>
    <w:rsid w:val="00A165EA"/>
    <w:rsid w:val="00A22388"/>
    <w:rsid w:val="00A228F5"/>
    <w:rsid w:val="00A24B93"/>
    <w:rsid w:val="00A337E6"/>
    <w:rsid w:val="00A3600A"/>
    <w:rsid w:val="00A43F9C"/>
    <w:rsid w:val="00A4634B"/>
    <w:rsid w:val="00A46C72"/>
    <w:rsid w:val="00A50C50"/>
    <w:rsid w:val="00A52FDF"/>
    <w:rsid w:val="00A54C36"/>
    <w:rsid w:val="00A554C6"/>
    <w:rsid w:val="00A56BC1"/>
    <w:rsid w:val="00A600CF"/>
    <w:rsid w:val="00A61D39"/>
    <w:rsid w:val="00A62353"/>
    <w:rsid w:val="00A63F51"/>
    <w:rsid w:val="00A70EEB"/>
    <w:rsid w:val="00A75EF4"/>
    <w:rsid w:val="00A77551"/>
    <w:rsid w:val="00A9010C"/>
    <w:rsid w:val="00A901C5"/>
    <w:rsid w:val="00A9025B"/>
    <w:rsid w:val="00AA663B"/>
    <w:rsid w:val="00AB0426"/>
    <w:rsid w:val="00AB1510"/>
    <w:rsid w:val="00AB2DE7"/>
    <w:rsid w:val="00AB4CA7"/>
    <w:rsid w:val="00AB636E"/>
    <w:rsid w:val="00AB6798"/>
    <w:rsid w:val="00AC06E7"/>
    <w:rsid w:val="00AD49F8"/>
    <w:rsid w:val="00AE1E5D"/>
    <w:rsid w:val="00AE4E9C"/>
    <w:rsid w:val="00AE50B8"/>
    <w:rsid w:val="00AF1688"/>
    <w:rsid w:val="00AF3194"/>
    <w:rsid w:val="00AF7DAD"/>
    <w:rsid w:val="00B11DEB"/>
    <w:rsid w:val="00B120C9"/>
    <w:rsid w:val="00B20170"/>
    <w:rsid w:val="00B21489"/>
    <w:rsid w:val="00B2164A"/>
    <w:rsid w:val="00B22495"/>
    <w:rsid w:val="00B244B7"/>
    <w:rsid w:val="00B27848"/>
    <w:rsid w:val="00B278B9"/>
    <w:rsid w:val="00B3097A"/>
    <w:rsid w:val="00B3106B"/>
    <w:rsid w:val="00B3254A"/>
    <w:rsid w:val="00B404D0"/>
    <w:rsid w:val="00B40C4C"/>
    <w:rsid w:val="00B418DF"/>
    <w:rsid w:val="00B44F10"/>
    <w:rsid w:val="00B50E11"/>
    <w:rsid w:val="00B648BF"/>
    <w:rsid w:val="00B64D36"/>
    <w:rsid w:val="00B70181"/>
    <w:rsid w:val="00B73443"/>
    <w:rsid w:val="00B8347D"/>
    <w:rsid w:val="00B83F4A"/>
    <w:rsid w:val="00B862D2"/>
    <w:rsid w:val="00B87BB1"/>
    <w:rsid w:val="00B90127"/>
    <w:rsid w:val="00B908DF"/>
    <w:rsid w:val="00B914B6"/>
    <w:rsid w:val="00B92A41"/>
    <w:rsid w:val="00B9551D"/>
    <w:rsid w:val="00B95693"/>
    <w:rsid w:val="00B95E84"/>
    <w:rsid w:val="00BA1F62"/>
    <w:rsid w:val="00BB3F9A"/>
    <w:rsid w:val="00BD2454"/>
    <w:rsid w:val="00BE3E46"/>
    <w:rsid w:val="00BF09B4"/>
    <w:rsid w:val="00BF51A8"/>
    <w:rsid w:val="00C01927"/>
    <w:rsid w:val="00C04C43"/>
    <w:rsid w:val="00C11D38"/>
    <w:rsid w:val="00C33AAD"/>
    <w:rsid w:val="00C340F7"/>
    <w:rsid w:val="00C4185B"/>
    <w:rsid w:val="00C45291"/>
    <w:rsid w:val="00C468B1"/>
    <w:rsid w:val="00C519B2"/>
    <w:rsid w:val="00C52737"/>
    <w:rsid w:val="00C53B19"/>
    <w:rsid w:val="00C5727B"/>
    <w:rsid w:val="00C63FFA"/>
    <w:rsid w:val="00C64B6A"/>
    <w:rsid w:val="00C66F95"/>
    <w:rsid w:val="00C71905"/>
    <w:rsid w:val="00C71B2D"/>
    <w:rsid w:val="00C72A6C"/>
    <w:rsid w:val="00C7361A"/>
    <w:rsid w:val="00C737CE"/>
    <w:rsid w:val="00C7460D"/>
    <w:rsid w:val="00C82502"/>
    <w:rsid w:val="00C8430A"/>
    <w:rsid w:val="00C84D8B"/>
    <w:rsid w:val="00C9262D"/>
    <w:rsid w:val="00CA6C2A"/>
    <w:rsid w:val="00CB2381"/>
    <w:rsid w:val="00CB2439"/>
    <w:rsid w:val="00CB52E7"/>
    <w:rsid w:val="00CB6552"/>
    <w:rsid w:val="00CB6F8A"/>
    <w:rsid w:val="00CC02A7"/>
    <w:rsid w:val="00CC103A"/>
    <w:rsid w:val="00CC3AB3"/>
    <w:rsid w:val="00CD1BDD"/>
    <w:rsid w:val="00CD55DE"/>
    <w:rsid w:val="00CE09E5"/>
    <w:rsid w:val="00CE0CC7"/>
    <w:rsid w:val="00CE30E0"/>
    <w:rsid w:val="00CE3BED"/>
    <w:rsid w:val="00CE50E3"/>
    <w:rsid w:val="00CE66E2"/>
    <w:rsid w:val="00CE6C1E"/>
    <w:rsid w:val="00CE6DC9"/>
    <w:rsid w:val="00CF05BE"/>
    <w:rsid w:val="00CF1B27"/>
    <w:rsid w:val="00CF1CC9"/>
    <w:rsid w:val="00CF7D86"/>
    <w:rsid w:val="00CF7D99"/>
    <w:rsid w:val="00D00B2E"/>
    <w:rsid w:val="00D021EE"/>
    <w:rsid w:val="00D026E5"/>
    <w:rsid w:val="00D0642F"/>
    <w:rsid w:val="00D16320"/>
    <w:rsid w:val="00D2145B"/>
    <w:rsid w:val="00D23AB6"/>
    <w:rsid w:val="00D2698D"/>
    <w:rsid w:val="00D31928"/>
    <w:rsid w:val="00D344C1"/>
    <w:rsid w:val="00D35A2F"/>
    <w:rsid w:val="00D42B06"/>
    <w:rsid w:val="00D523A1"/>
    <w:rsid w:val="00D526DF"/>
    <w:rsid w:val="00D61362"/>
    <w:rsid w:val="00D674DC"/>
    <w:rsid w:val="00D67A04"/>
    <w:rsid w:val="00D73D76"/>
    <w:rsid w:val="00D76857"/>
    <w:rsid w:val="00D77C76"/>
    <w:rsid w:val="00D811BE"/>
    <w:rsid w:val="00D83CC8"/>
    <w:rsid w:val="00D91BA3"/>
    <w:rsid w:val="00D96192"/>
    <w:rsid w:val="00DA44A9"/>
    <w:rsid w:val="00DA7A8D"/>
    <w:rsid w:val="00DB19FF"/>
    <w:rsid w:val="00DB40AE"/>
    <w:rsid w:val="00DB4BAE"/>
    <w:rsid w:val="00DC0738"/>
    <w:rsid w:val="00DC2897"/>
    <w:rsid w:val="00DD0D2F"/>
    <w:rsid w:val="00DD4D3D"/>
    <w:rsid w:val="00DE0282"/>
    <w:rsid w:val="00DE1587"/>
    <w:rsid w:val="00DE39D7"/>
    <w:rsid w:val="00DF0D64"/>
    <w:rsid w:val="00DF1032"/>
    <w:rsid w:val="00DF4D83"/>
    <w:rsid w:val="00E01835"/>
    <w:rsid w:val="00E02EAF"/>
    <w:rsid w:val="00E03204"/>
    <w:rsid w:val="00E03B46"/>
    <w:rsid w:val="00E067A2"/>
    <w:rsid w:val="00E0771B"/>
    <w:rsid w:val="00E077DF"/>
    <w:rsid w:val="00E07A72"/>
    <w:rsid w:val="00E10EE6"/>
    <w:rsid w:val="00E13DEA"/>
    <w:rsid w:val="00E15BCC"/>
    <w:rsid w:val="00E3052B"/>
    <w:rsid w:val="00E31629"/>
    <w:rsid w:val="00E324F2"/>
    <w:rsid w:val="00E3432B"/>
    <w:rsid w:val="00E4130F"/>
    <w:rsid w:val="00E43F8E"/>
    <w:rsid w:val="00E45186"/>
    <w:rsid w:val="00E50554"/>
    <w:rsid w:val="00E507F0"/>
    <w:rsid w:val="00E51144"/>
    <w:rsid w:val="00E52D52"/>
    <w:rsid w:val="00E55848"/>
    <w:rsid w:val="00E63F2E"/>
    <w:rsid w:val="00E65FD4"/>
    <w:rsid w:val="00E7210A"/>
    <w:rsid w:val="00E72A79"/>
    <w:rsid w:val="00E7487B"/>
    <w:rsid w:val="00E802B6"/>
    <w:rsid w:val="00E82E00"/>
    <w:rsid w:val="00E8500B"/>
    <w:rsid w:val="00E8695C"/>
    <w:rsid w:val="00E86AD4"/>
    <w:rsid w:val="00E904E4"/>
    <w:rsid w:val="00E910B4"/>
    <w:rsid w:val="00E932B5"/>
    <w:rsid w:val="00E94C86"/>
    <w:rsid w:val="00E956DA"/>
    <w:rsid w:val="00E95904"/>
    <w:rsid w:val="00E972D3"/>
    <w:rsid w:val="00EA79AD"/>
    <w:rsid w:val="00EB0133"/>
    <w:rsid w:val="00EB239A"/>
    <w:rsid w:val="00EC0B22"/>
    <w:rsid w:val="00EC7C52"/>
    <w:rsid w:val="00ED011F"/>
    <w:rsid w:val="00ED23AA"/>
    <w:rsid w:val="00ED58E4"/>
    <w:rsid w:val="00ED68B8"/>
    <w:rsid w:val="00EE0738"/>
    <w:rsid w:val="00EE0CE1"/>
    <w:rsid w:val="00EE0DBB"/>
    <w:rsid w:val="00EE6A14"/>
    <w:rsid w:val="00EE7699"/>
    <w:rsid w:val="00EE7C9E"/>
    <w:rsid w:val="00EF0C48"/>
    <w:rsid w:val="00EF46E6"/>
    <w:rsid w:val="00EF5F44"/>
    <w:rsid w:val="00EF626F"/>
    <w:rsid w:val="00EF629B"/>
    <w:rsid w:val="00F00B18"/>
    <w:rsid w:val="00F113FD"/>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28B4"/>
    <w:rsid w:val="00F62C95"/>
    <w:rsid w:val="00F63187"/>
    <w:rsid w:val="00F6399E"/>
    <w:rsid w:val="00F64212"/>
    <w:rsid w:val="00F67663"/>
    <w:rsid w:val="00F7026F"/>
    <w:rsid w:val="00F712D4"/>
    <w:rsid w:val="00F71C68"/>
    <w:rsid w:val="00F85632"/>
    <w:rsid w:val="00F87163"/>
    <w:rsid w:val="00F87892"/>
    <w:rsid w:val="00F90936"/>
    <w:rsid w:val="00F93BA4"/>
    <w:rsid w:val="00F94A75"/>
    <w:rsid w:val="00F95B0D"/>
    <w:rsid w:val="00F95B87"/>
    <w:rsid w:val="00F96145"/>
    <w:rsid w:val="00F97E13"/>
    <w:rsid w:val="00FA71DD"/>
    <w:rsid w:val="00FB1A7A"/>
    <w:rsid w:val="00FC01F2"/>
    <w:rsid w:val="00FC0385"/>
    <w:rsid w:val="00FC76E7"/>
    <w:rsid w:val="00FD07EE"/>
    <w:rsid w:val="00FD36CE"/>
    <w:rsid w:val="00FD48A0"/>
    <w:rsid w:val="00FE07D3"/>
    <w:rsid w:val="00FE53D2"/>
    <w:rsid w:val="00FE5F88"/>
    <w:rsid w:val="00FE7C5E"/>
    <w:rsid w:val="00FF07BC"/>
    <w:rsid w:val="00FF1218"/>
    <w:rsid w:val="00FF2F54"/>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A91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customStyle="1" w:styleId="LegalList1">
    <w:name w:val="Legal_List1"/>
    <w:basedOn w:val="Normal"/>
    <w:semiHidden/>
    <w:rsid w:val="0003162D"/>
    <w:pPr>
      <w:suppressAutoHyphens/>
      <w:spacing w:after="360" w:line="480" w:lineRule="auto"/>
      <w:jc w:val="both"/>
      <w:outlineLvl w:val="0"/>
    </w:pPr>
    <w:rPr>
      <w:rFonts w:ascii="Arial" w:eastAsia="Times New Roman" w:hAnsi="Arial" w:cs="Times New Roman"/>
      <w:lang w:val="en-GB" w:eastAsia="en-GB"/>
    </w:rPr>
  </w:style>
  <w:style w:type="paragraph" w:customStyle="1" w:styleId="LegalNormal">
    <w:name w:val="Legal_Normal"/>
    <w:basedOn w:val="Normal"/>
    <w:rsid w:val="0003162D"/>
    <w:pPr>
      <w:suppressAutoHyphens/>
      <w:spacing w:after="360" w:line="480" w:lineRule="auto"/>
      <w:jc w:val="both"/>
    </w:pPr>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12552263">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EA639B-B274-4B8F-8413-99A62E5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Mary Bruce</cp:lastModifiedBy>
  <cp:revision>4</cp:revision>
  <cp:lastPrinted>2022-08-08T06:31:00Z</cp:lastPrinted>
  <dcterms:created xsi:type="dcterms:W3CDTF">2022-10-20T08:45:00Z</dcterms:created>
  <dcterms:modified xsi:type="dcterms:W3CDTF">2022-10-26T10:08:00Z</dcterms:modified>
</cp:coreProperties>
</file>