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B7" w:rsidRPr="006879A7" w:rsidRDefault="00660EB7" w:rsidP="00660EB7">
      <w:pPr>
        <w:keepNext/>
        <w:spacing w:after="120" w:line="36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u w:val="single"/>
          <w:lang w:val="en-GB" w:eastAsia="en-GB"/>
        </w:rPr>
      </w:pPr>
      <w:r w:rsidRPr="006879A7">
        <w:rPr>
          <w:rFonts w:ascii="Arial" w:eastAsia="Times New Roman" w:hAnsi="Arial" w:cs="Times New Roman"/>
          <w:b/>
          <w:caps/>
          <w:noProof/>
          <w:sz w:val="24"/>
          <w:szCs w:val="24"/>
          <w:lang w:eastAsia="en-ZA"/>
        </w:rPr>
        <w:drawing>
          <wp:inline distT="0" distB="0" distL="0" distR="0" wp14:anchorId="7053A31D" wp14:editId="53A591C2">
            <wp:extent cx="1536065" cy="15360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EB7" w:rsidRPr="006879A7" w:rsidRDefault="00660EB7" w:rsidP="00660EB7">
      <w:pPr>
        <w:keepNext/>
        <w:spacing w:after="24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n-GB" w:eastAsia="en-GB"/>
        </w:rPr>
      </w:pPr>
      <w:r w:rsidRPr="006879A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n-GB" w:eastAsia="en-GB"/>
        </w:rPr>
        <w:t>IN THE HIGH COURT OF SOUTH AFRICA</w:t>
      </w:r>
    </w:p>
    <w:p w:rsidR="00660EB7" w:rsidRPr="006879A7" w:rsidRDefault="00660EB7" w:rsidP="00660EB7">
      <w:pPr>
        <w:keepNext/>
        <w:spacing w:after="36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n-GB" w:eastAsia="en-GB"/>
        </w:rPr>
      </w:pPr>
      <w:r w:rsidRPr="006879A7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5B3FE" wp14:editId="4E66DC0F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3683000" cy="163830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B7" w:rsidRPr="0038792A" w:rsidRDefault="00660EB7" w:rsidP="00660EB7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DELETE WHICHEVER IS NOT APPLICABLE</w:t>
                            </w:r>
                          </w:p>
                          <w:p w:rsidR="00660EB7" w:rsidRPr="0038792A" w:rsidRDefault="00660EB7" w:rsidP="00660E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Pr="008C53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660EB7" w:rsidRPr="0038792A" w:rsidRDefault="00660EB7" w:rsidP="00660E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INTEREST TO OTHER JUDGES: </w:t>
                            </w:r>
                            <w:r w:rsidRPr="008C53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660EB7" w:rsidRDefault="00660EB7" w:rsidP="00660E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  <w:r w:rsidR="00B70F1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:rsidR="00660EB7" w:rsidRPr="00760E3A" w:rsidRDefault="00660EB7" w:rsidP="00660EB7">
                            <w:pPr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60EB7" w:rsidRPr="000C3AF7" w:rsidRDefault="00660EB7" w:rsidP="00660EB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Date: </w:t>
                            </w:r>
                            <w:r w:rsidR="00C80925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 xml:space="preserve"> 13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 xml:space="preserve"> September 2022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Signature: _________________</w:t>
                            </w: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        ____________________</w:t>
                            </w: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      SIGNATURE</w:t>
                            </w: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60EB7" w:rsidRPr="009533D5" w:rsidRDefault="00660EB7" w:rsidP="00660EB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0EB7" w:rsidRDefault="00660EB7" w:rsidP="00660EB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0EB7" w:rsidRPr="00B93709" w:rsidRDefault="00660EB7" w:rsidP="00660EB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0EB7" w:rsidRPr="00B93709" w:rsidRDefault="00660EB7" w:rsidP="00660EB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5B3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.45pt;width:290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">
                <v:textbox>
                  <w:txbxContent>
                    <w:p w:rsidR="00660EB7" w:rsidRPr="0038792A" w:rsidRDefault="00660EB7" w:rsidP="00660EB7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DELETE WHICHEVER IS NOT APPLICABLE</w:t>
                      </w:r>
                    </w:p>
                    <w:p w:rsidR="00660EB7" w:rsidRPr="0038792A" w:rsidRDefault="00660EB7" w:rsidP="00660EB7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Pr="008C53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:rsidR="00660EB7" w:rsidRPr="0038792A" w:rsidRDefault="00660EB7" w:rsidP="00660EB7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INTEREST TO OTHER JUDGES: </w:t>
                      </w:r>
                      <w:r w:rsidRPr="008C53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:rsidR="00660EB7" w:rsidRDefault="00660EB7" w:rsidP="00660EB7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  <w:r w:rsidR="00B70F1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YES</w:t>
                      </w:r>
                    </w:p>
                    <w:p w:rsidR="00660EB7" w:rsidRPr="00760E3A" w:rsidRDefault="00660EB7" w:rsidP="00660EB7">
                      <w:pPr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60EB7" w:rsidRPr="000C3AF7" w:rsidRDefault="00660EB7" w:rsidP="00660EB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Date: </w:t>
                      </w:r>
                      <w:r w:rsidR="00C80925"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 xml:space="preserve"> 13</w:t>
                      </w:r>
                      <w:r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 xml:space="preserve"> September</w:t>
                      </w:r>
                      <w:r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 xml:space="preserve"> 2022</w:t>
                      </w:r>
                      <w:r>
                        <w:rPr>
                          <w:rFonts w:ascii="Century Gothic" w:hAnsi="Century Gothic"/>
                        </w:rPr>
                        <w:t xml:space="preserve"> Signature: _________________</w:t>
                      </w: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        ____________________</w:t>
                      </w: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      SIGNATURE</w:t>
                      </w: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60EB7" w:rsidRPr="009533D5" w:rsidRDefault="00660EB7" w:rsidP="00660EB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660EB7" w:rsidRDefault="00660EB7" w:rsidP="00660EB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660EB7" w:rsidRPr="00B93709" w:rsidRDefault="00660EB7" w:rsidP="00660EB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660EB7" w:rsidRPr="00B93709" w:rsidRDefault="00660EB7" w:rsidP="00660EB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79A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n-GB" w:eastAsia="en-GB"/>
        </w:rPr>
        <w:t>GAUTENG DIVISION, prEtoRia</w:t>
      </w:r>
    </w:p>
    <w:p w:rsidR="00660EB7" w:rsidRPr="006879A7" w:rsidRDefault="00660EB7" w:rsidP="00660EB7">
      <w:pPr>
        <w:spacing w:after="36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660EB7" w:rsidRDefault="00660EB7" w:rsidP="00660EB7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0EB7" w:rsidRDefault="00660EB7" w:rsidP="00660EB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B40" w:rsidRPr="007A01D6" w:rsidRDefault="002E4B40" w:rsidP="002E4B4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Case </w:t>
      </w:r>
      <w:r w:rsidR="00617247">
        <w:rPr>
          <w:rFonts w:ascii="Times New Roman" w:eastAsia="Calibri" w:hAnsi="Times New Roman" w:cs="Times New Roman"/>
          <w:sz w:val="28"/>
          <w:szCs w:val="28"/>
        </w:rPr>
        <w:t>Number:  A27/2022</w:t>
      </w:r>
      <w:bookmarkStart w:id="0" w:name="_GoBack"/>
      <w:bookmarkEnd w:id="0"/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B40" w:rsidRPr="007A01D6" w:rsidRDefault="002E4B40" w:rsidP="002E4B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>In the matter between:</w:t>
      </w:r>
    </w:p>
    <w:p w:rsidR="002E4B40" w:rsidRPr="007A01D6" w:rsidRDefault="002E4B40" w:rsidP="002E4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925">
        <w:rPr>
          <w:rFonts w:ascii="Times New Roman" w:hAnsi="Times New Roman" w:cs="Times New Roman"/>
          <w:b/>
          <w:sz w:val="28"/>
          <w:szCs w:val="28"/>
        </w:rPr>
        <w:t>M</w:t>
      </w:r>
      <w:r w:rsidR="00D31D78" w:rsidRPr="00C80925">
        <w:rPr>
          <w:rFonts w:ascii="Times New Roman" w:hAnsi="Times New Roman" w:cs="Times New Roman"/>
          <w:b/>
          <w:sz w:val="28"/>
          <w:szCs w:val="28"/>
        </w:rPr>
        <w:t>AB</w:t>
      </w:r>
      <w:r w:rsidR="00006283" w:rsidRPr="00C80925">
        <w:rPr>
          <w:rFonts w:ascii="Times New Roman" w:hAnsi="Times New Roman" w:cs="Times New Roman"/>
          <w:b/>
          <w:sz w:val="28"/>
          <w:szCs w:val="28"/>
        </w:rPr>
        <w:t xml:space="preserve">UZA; DENNIS </w:t>
      </w:r>
      <w:r w:rsidR="00D31D78" w:rsidRPr="00C80925">
        <w:rPr>
          <w:rFonts w:ascii="Times New Roman" w:hAnsi="Times New Roman" w:cs="Times New Roman"/>
          <w:b/>
          <w:sz w:val="28"/>
          <w:szCs w:val="28"/>
        </w:rPr>
        <w:t>E</w:t>
      </w:r>
      <w:r w:rsidR="00006283" w:rsidRPr="00C80925">
        <w:rPr>
          <w:rFonts w:ascii="Times New Roman" w:hAnsi="Times New Roman" w:cs="Times New Roman"/>
          <w:b/>
          <w:sz w:val="28"/>
          <w:szCs w:val="28"/>
        </w:rPr>
        <w:t>RNEST</w:t>
      </w:r>
      <w:r w:rsidRPr="007A01D6">
        <w:rPr>
          <w:rFonts w:ascii="Times New Roman" w:hAnsi="Times New Roman" w:cs="Times New Roman"/>
          <w:sz w:val="28"/>
          <w:szCs w:val="28"/>
        </w:rPr>
        <w:t xml:space="preserve"> </w:t>
      </w:r>
      <w:r w:rsidRPr="007A0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31D78" w:rsidRPr="007A01D6">
        <w:rPr>
          <w:rFonts w:ascii="Times New Roman" w:hAnsi="Times New Roman" w:cs="Times New Roman"/>
          <w:sz w:val="28"/>
          <w:szCs w:val="28"/>
        </w:rPr>
        <w:t xml:space="preserve">    </w:t>
      </w:r>
      <w:r w:rsidR="00EA08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06283" w:rsidRPr="007A01D6">
        <w:rPr>
          <w:rFonts w:ascii="Times New Roman" w:hAnsi="Times New Roman" w:cs="Times New Roman"/>
          <w:sz w:val="28"/>
          <w:szCs w:val="28"/>
        </w:rPr>
        <w:t>1</w:t>
      </w:r>
      <w:r w:rsidR="00006283" w:rsidRPr="007A01D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06283" w:rsidRPr="007A01D6">
        <w:rPr>
          <w:rFonts w:ascii="Times New Roman" w:hAnsi="Times New Roman" w:cs="Times New Roman"/>
          <w:sz w:val="28"/>
          <w:szCs w:val="28"/>
        </w:rPr>
        <w:t xml:space="preserve"> </w:t>
      </w:r>
      <w:r w:rsidRPr="007A01D6">
        <w:rPr>
          <w:rFonts w:ascii="Times New Roman" w:hAnsi="Times New Roman" w:cs="Times New Roman"/>
          <w:sz w:val="28"/>
          <w:szCs w:val="28"/>
        </w:rPr>
        <w:t>Appellant</w:t>
      </w:r>
    </w:p>
    <w:p w:rsidR="00006283" w:rsidRPr="007A01D6" w:rsidRDefault="00EA082A" w:rsidP="002E4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925">
        <w:rPr>
          <w:rFonts w:ascii="Times New Roman" w:hAnsi="Times New Roman" w:cs="Times New Roman"/>
          <w:b/>
          <w:sz w:val="28"/>
          <w:szCs w:val="28"/>
        </w:rPr>
        <w:t>SITHOLE; FABIANO ARLINDO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6283" w:rsidRPr="007A01D6">
        <w:rPr>
          <w:rFonts w:ascii="Times New Roman" w:hAnsi="Times New Roman" w:cs="Times New Roman"/>
          <w:sz w:val="28"/>
          <w:szCs w:val="28"/>
        </w:rPr>
        <w:t xml:space="preserve"> 2</w:t>
      </w:r>
      <w:r w:rsidR="00006283" w:rsidRPr="007A01D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06283" w:rsidRPr="007A01D6">
        <w:rPr>
          <w:rFonts w:ascii="Times New Roman" w:hAnsi="Times New Roman" w:cs="Times New Roman"/>
          <w:sz w:val="28"/>
          <w:szCs w:val="28"/>
        </w:rPr>
        <w:t xml:space="preserve"> Appellant</w:t>
      </w:r>
    </w:p>
    <w:p w:rsidR="002E4B40" w:rsidRPr="007A01D6" w:rsidRDefault="002E4B40" w:rsidP="002E4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1D6">
        <w:rPr>
          <w:rFonts w:ascii="Times New Roman" w:hAnsi="Times New Roman" w:cs="Times New Roman"/>
          <w:sz w:val="28"/>
          <w:szCs w:val="28"/>
        </w:rPr>
        <w:t>and</w:t>
      </w:r>
    </w:p>
    <w:p w:rsidR="002E4B40" w:rsidRPr="007A01D6" w:rsidRDefault="002E4B40" w:rsidP="002E4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925">
        <w:rPr>
          <w:rFonts w:ascii="Times New Roman" w:hAnsi="Times New Roman" w:cs="Times New Roman"/>
          <w:b/>
          <w:sz w:val="28"/>
          <w:szCs w:val="28"/>
        </w:rPr>
        <w:t xml:space="preserve">THE STATE                                                                           </w:t>
      </w:r>
      <w:r w:rsidR="004A6B42">
        <w:rPr>
          <w:rFonts w:ascii="Times New Roman" w:hAnsi="Times New Roman" w:cs="Times New Roman"/>
          <w:sz w:val="28"/>
          <w:szCs w:val="28"/>
        </w:rPr>
        <w:tab/>
      </w:r>
      <w:r w:rsidRPr="007A01D6">
        <w:rPr>
          <w:rFonts w:ascii="Times New Roman" w:hAnsi="Times New Roman" w:cs="Times New Roman"/>
          <w:sz w:val="28"/>
          <w:szCs w:val="28"/>
        </w:rPr>
        <w:t xml:space="preserve"> Respondent</w:t>
      </w:r>
      <w:r w:rsidRPr="007A0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2E4B40" w:rsidRPr="007A01D6" w:rsidRDefault="002E4B40" w:rsidP="002E4B4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B40" w:rsidRPr="007A01D6" w:rsidRDefault="002E4B40" w:rsidP="002E4B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D6">
        <w:rPr>
          <w:rFonts w:ascii="Times New Roman" w:hAnsi="Times New Roman" w:cs="Times New Roman"/>
          <w:b/>
          <w:sz w:val="28"/>
          <w:szCs w:val="28"/>
        </w:rPr>
        <w:t>JUDGMENT</w:t>
      </w:r>
    </w:p>
    <w:p w:rsidR="002E4B40" w:rsidRPr="00461EC2" w:rsidRDefault="002E4B40" w:rsidP="002E4B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C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0A10C8" w:rsidRPr="00461EC2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2E4B40" w:rsidRPr="00C80925" w:rsidRDefault="00D31D78" w:rsidP="002E4B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925">
        <w:rPr>
          <w:rFonts w:ascii="Times New Roman" w:hAnsi="Times New Roman" w:cs="Times New Roman"/>
          <w:b/>
          <w:sz w:val="28"/>
          <w:szCs w:val="28"/>
          <w:u w:val="single"/>
        </w:rPr>
        <w:t>NYATH</w:t>
      </w:r>
      <w:r w:rsidR="002E4B40" w:rsidRPr="00C80925">
        <w:rPr>
          <w:rFonts w:ascii="Times New Roman" w:hAnsi="Times New Roman" w:cs="Times New Roman"/>
          <w:b/>
          <w:sz w:val="28"/>
          <w:szCs w:val="28"/>
          <w:u w:val="single"/>
        </w:rPr>
        <w:t>I J</w:t>
      </w:r>
    </w:p>
    <w:p w:rsidR="002E4B40" w:rsidRPr="007A01D6" w:rsidRDefault="002E4B40" w:rsidP="002E4B40">
      <w:pPr>
        <w:rPr>
          <w:rFonts w:ascii="Times New Roman" w:hAnsi="Times New Roman" w:cs="Times New Roman"/>
          <w:b/>
          <w:sz w:val="28"/>
          <w:szCs w:val="28"/>
        </w:rPr>
      </w:pPr>
    </w:p>
    <w:p w:rsidR="002E4B40" w:rsidRPr="00121C22" w:rsidRDefault="002E4B40" w:rsidP="002E7B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1D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21C22">
        <w:rPr>
          <w:rFonts w:ascii="Times New Roman" w:hAnsi="Times New Roman" w:cs="Times New Roman"/>
          <w:b/>
          <w:sz w:val="28"/>
          <w:szCs w:val="28"/>
        </w:rPr>
        <w:t>A.</w:t>
      </w:r>
      <w:r w:rsidR="00121C22">
        <w:rPr>
          <w:rFonts w:ascii="Times New Roman" w:hAnsi="Times New Roman" w:cs="Times New Roman"/>
          <w:b/>
          <w:sz w:val="28"/>
          <w:szCs w:val="28"/>
        </w:rPr>
        <w:tab/>
      </w:r>
      <w:r w:rsidR="00121C22" w:rsidRPr="00121C2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21C22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121C22" w:rsidRPr="00121C22">
        <w:rPr>
          <w:rFonts w:ascii="Times New Roman" w:hAnsi="Times New Roman" w:cs="Times New Roman"/>
          <w:b/>
          <w:sz w:val="28"/>
          <w:szCs w:val="28"/>
          <w:u w:val="single"/>
        </w:rPr>
        <w:t>tro</w:t>
      </w:r>
      <w:r w:rsidRPr="00121C22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121C22" w:rsidRPr="00121C22">
        <w:rPr>
          <w:rFonts w:ascii="Times New Roman" w:hAnsi="Times New Roman" w:cs="Times New Roman"/>
          <w:b/>
          <w:sz w:val="28"/>
          <w:szCs w:val="28"/>
          <w:u w:val="single"/>
        </w:rPr>
        <w:t>uction</w:t>
      </w:r>
    </w:p>
    <w:p w:rsidR="002E4B40" w:rsidRDefault="002E4B40" w:rsidP="002E7B2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01D6">
        <w:rPr>
          <w:rFonts w:ascii="Times New Roman" w:hAnsi="Times New Roman" w:cs="Times New Roman"/>
          <w:sz w:val="28"/>
          <w:szCs w:val="28"/>
        </w:rPr>
        <w:t>[1]</w:t>
      </w:r>
      <w:r w:rsidRPr="007A01D6">
        <w:rPr>
          <w:rFonts w:ascii="Times New Roman" w:hAnsi="Times New Roman" w:cs="Times New Roman"/>
          <w:sz w:val="28"/>
          <w:szCs w:val="28"/>
        </w:rPr>
        <w:tab/>
      </w:r>
      <w:r w:rsidR="009C6F0E" w:rsidRPr="007A01D6">
        <w:rPr>
          <w:rFonts w:ascii="Times New Roman" w:hAnsi="Times New Roman" w:cs="Times New Roman"/>
          <w:sz w:val="28"/>
          <w:szCs w:val="28"/>
        </w:rPr>
        <w:t>T</w:t>
      </w:r>
      <w:r w:rsidRPr="007A01D6">
        <w:rPr>
          <w:rFonts w:ascii="Times New Roman" w:hAnsi="Times New Roman" w:cs="Times New Roman"/>
          <w:sz w:val="28"/>
          <w:szCs w:val="28"/>
        </w:rPr>
        <w:t>he appellant</w:t>
      </w:r>
      <w:r w:rsidR="007A01D6" w:rsidRPr="007A01D6">
        <w:rPr>
          <w:rFonts w:ascii="Times New Roman" w:hAnsi="Times New Roman" w:cs="Times New Roman"/>
          <w:sz w:val="28"/>
          <w:szCs w:val="28"/>
        </w:rPr>
        <w:t xml:space="preserve">s were </w:t>
      </w:r>
      <w:r w:rsidR="00461EC2">
        <w:rPr>
          <w:rFonts w:ascii="Times New Roman" w:hAnsi="Times New Roman" w:cs="Times New Roman"/>
          <w:sz w:val="28"/>
          <w:szCs w:val="28"/>
        </w:rPr>
        <w:t>charged in the Gauteng Regional Court in Benoni with the following counts:</w:t>
      </w:r>
    </w:p>
    <w:p w:rsidR="00461EC2" w:rsidRDefault="00461EC2" w:rsidP="00461E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  <w:t>Count 1: Robbery with aggravating circumstances;</w:t>
      </w:r>
    </w:p>
    <w:p w:rsidR="00461EC2" w:rsidRDefault="00461EC2" w:rsidP="003039A0">
      <w:pPr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 xml:space="preserve">Count 2: Contravention of section 3 of the Firearms Control Act, Act 60 of 2000 – Possession of </w:t>
      </w:r>
      <w:r w:rsidR="009B1210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unlicensed firearm</w:t>
      </w:r>
    </w:p>
    <w:p w:rsidR="00461EC2" w:rsidRDefault="00461EC2" w:rsidP="003039A0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 xml:space="preserve">Count 3: Contravention of section 90 of the Firearms Control Act; Act 60 of 2000 - Possession of ammunition.  </w:t>
      </w:r>
    </w:p>
    <w:p w:rsidR="003039A0" w:rsidRDefault="003039A0" w:rsidP="00660EB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ab/>
        <w:t>On the 9</w:t>
      </w:r>
      <w:r w:rsidRPr="003039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2017 both appellants were convicted of all the above counts and sentenced as follows: </w:t>
      </w:r>
    </w:p>
    <w:p w:rsidR="003039A0" w:rsidRDefault="003039A0" w:rsidP="00C346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Count 1: 15 years’ imprisonment.</w:t>
      </w:r>
    </w:p>
    <w:p w:rsidR="003039A0" w:rsidRDefault="003039A0" w:rsidP="00C3469E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 xml:space="preserve">Counts 2 and 3: taken together for purposes of sentencing: </w:t>
      </w:r>
      <w:r w:rsidR="00C3469E">
        <w:rPr>
          <w:rFonts w:ascii="Times New Roman" w:hAnsi="Times New Roman" w:cs="Times New Roman"/>
          <w:sz w:val="28"/>
          <w:szCs w:val="28"/>
        </w:rPr>
        <w:t>5 years’ imprisonment. It was ordered that 2 years’ imprisonment would run concurrently with the sentence in respect of count 1.</w:t>
      </w:r>
    </w:p>
    <w:p w:rsidR="00C3469E" w:rsidRDefault="00C3469E" w:rsidP="00303E1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effective sentence was thus 18 years’ imprisonment.</w:t>
      </w:r>
    </w:p>
    <w:p w:rsidR="00D04170" w:rsidRDefault="00D04170" w:rsidP="00D0417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ab/>
      </w:r>
      <w:r w:rsidRPr="00D04170">
        <w:rPr>
          <w:rFonts w:ascii="Times New Roman" w:hAnsi="Times New Roman" w:cs="Times New Roman"/>
          <w:sz w:val="28"/>
          <w:szCs w:val="28"/>
        </w:rPr>
        <w:t>The Appellants application for leave to appeal against their convictions and resultant sentences was refused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170" w:rsidRDefault="00D04170" w:rsidP="00D0417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ab/>
      </w:r>
      <w:r w:rsidRPr="00D04170">
        <w:rPr>
          <w:rFonts w:ascii="Times New Roman" w:hAnsi="Times New Roman" w:cs="Times New Roman"/>
          <w:sz w:val="28"/>
          <w:szCs w:val="28"/>
        </w:rPr>
        <w:t xml:space="preserve">The Appellant </w:t>
      </w:r>
      <w:r>
        <w:rPr>
          <w:rFonts w:ascii="Times New Roman" w:hAnsi="Times New Roman" w:cs="Times New Roman"/>
          <w:sz w:val="28"/>
          <w:szCs w:val="28"/>
        </w:rPr>
        <w:t>then</w:t>
      </w:r>
      <w:r w:rsidRPr="00D04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04170">
        <w:rPr>
          <w:rFonts w:ascii="Times New Roman" w:hAnsi="Times New Roman" w:cs="Times New Roman"/>
          <w:sz w:val="28"/>
          <w:szCs w:val="28"/>
        </w:rPr>
        <w:t>irected a Petition to the Judge President of the Gauteng High Court,</w:t>
      </w:r>
      <w:r>
        <w:rPr>
          <w:rFonts w:ascii="Times New Roman" w:hAnsi="Times New Roman" w:cs="Times New Roman"/>
          <w:sz w:val="28"/>
          <w:szCs w:val="28"/>
        </w:rPr>
        <w:t xml:space="preserve"> and were</w:t>
      </w:r>
      <w:r w:rsidRPr="00D04170">
        <w:rPr>
          <w:rFonts w:ascii="Times New Roman" w:hAnsi="Times New Roman" w:cs="Times New Roman"/>
          <w:sz w:val="28"/>
          <w:szCs w:val="28"/>
        </w:rPr>
        <w:t xml:space="preserve"> granted leave to appeal against their </w:t>
      </w:r>
      <w:r w:rsidRPr="006E69C8">
        <w:rPr>
          <w:rFonts w:ascii="Times New Roman" w:hAnsi="Times New Roman" w:cs="Times New Roman"/>
          <w:b/>
          <w:sz w:val="28"/>
          <w:szCs w:val="28"/>
          <w:u w:val="single"/>
        </w:rPr>
        <w:t>sentences</w:t>
      </w:r>
      <w:r w:rsidRPr="00D04170">
        <w:rPr>
          <w:rFonts w:ascii="Times New Roman" w:hAnsi="Times New Roman" w:cs="Times New Roman"/>
          <w:sz w:val="28"/>
          <w:szCs w:val="28"/>
        </w:rPr>
        <w:t xml:space="preserve"> on the 06</w:t>
      </w:r>
      <w:r w:rsidRPr="00D041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70">
        <w:rPr>
          <w:rFonts w:ascii="Times New Roman" w:hAnsi="Times New Roman" w:cs="Times New Roman"/>
          <w:sz w:val="28"/>
          <w:szCs w:val="28"/>
        </w:rPr>
        <w:t>December 2021.</w:t>
      </w:r>
      <w:r w:rsidR="00D06E77">
        <w:rPr>
          <w:rFonts w:ascii="Times New Roman" w:hAnsi="Times New Roman" w:cs="Times New Roman"/>
          <w:sz w:val="28"/>
          <w:szCs w:val="28"/>
        </w:rPr>
        <w:t xml:space="preserve"> Their appeal is before this court with the said leave.</w:t>
      </w:r>
    </w:p>
    <w:p w:rsidR="000D6040" w:rsidRDefault="000D6040" w:rsidP="00D0417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ab/>
        <w:t>The appellants were legally represented during their trial.</w:t>
      </w:r>
    </w:p>
    <w:p w:rsidR="00121C22" w:rsidRDefault="00121C22" w:rsidP="00D0417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03E11" w:rsidRDefault="00303E11" w:rsidP="00D0417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21C22" w:rsidRDefault="00121C22" w:rsidP="00D0417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C22">
        <w:rPr>
          <w:rFonts w:ascii="Times New Roman" w:hAnsi="Times New Roman" w:cs="Times New Roman"/>
          <w:b/>
          <w:sz w:val="28"/>
          <w:szCs w:val="28"/>
        </w:rPr>
        <w:lastRenderedPageBreak/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22">
        <w:rPr>
          <w:rFonts w:ascii="Times New Roman" w:hAnsi="Times New Roman" w:cs="Times New Roman"/>
          <w:b/>
          <w:sz w:val="28"/>
          <w:szCs w:val="28"/>
          <w:u w:val="single"/>
        </w:rPr>
        <w:t>Grounds of appeal</w:t>
      </w:r>
    </w:p>
    <w:p w:rsidR="00121C22" w:rsidRDefault="00121C22" w:rsidP="00D0417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ab/>
        <w:t xml:space="preserve">The appellants contended that the trial court had misdirected itself </w:t>
      </w:r>
      <w:r w:rsidRPr="00121C22">
        <w:rPr>
          <w:rFonts w:ascii="Times New Roman" w:hAnsi="Times New Roman" w:cs="Times New Roman"/>
          <w:i/>
          <w:sz w:val="28"/>
          <w:szCs w:val="28"/>
        </w:rPr>
        <w:t>inter alia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1C22" w:rsidRDefault="00121C22" w:rsidP="00960838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ab/>
      </w:r>
      <w:r w:rsidRPr="00121C22">
        <w:rPr>
          <w:rFonts w:ascii="Times New Roman" w:hAnsi="Times New Roman" w:cs="Times New Roman"/>
          <w:sz w:val="28"/>
          <w:szCs w:val="28"/>
        </w:rPr>
        <w:t>By finding that there were no substantial and compelling circumstances to enable the court to deviate from imposing the mini</w:t>
      </w:r>
      <w:r>
        <w:rPr>
          <w:rFonts w:ascii="Times New Roman" w:hAnsi="Times New Roman" w:cs="Times New Roman"/>
          <w:sz w:val="28"/>
          <w:szCs w:val="28"/>
        </w:rPr>
        <w:t>mum sentence as set out in the minimum sentences legislation, namely, The Criminal Law Amendment</w:t>
      </w:r>
      <w:r w:rsidRPr="00121C22">
        <w:rPr>
          <w:rFonts w:ascii="Times New Roman" w:hAnsi="Times New Roman" w:cs="Times New Roman"/>
          <w:sz w:val="28"/>
          <w:szCs w:val="28"/>
        </w:rPr>
        <w:t xml:space="preserve"> Act 10</w:t>
      </w:r>
      <w:r>
        <w:rPr>
          <w:rFonts w:ascii="Times New Roman" w:hAnsi="Times New Roman" w:cs="Times New Roman"/>
          <w:sz w:val="28"/>
          <w:szCs w:val="28"/>
        </w:rPr>
        <w:t>5 of 1997, in respect to Count 1;</w:t>
      </w:r>
    </w:p>
    <w:p w:rsidR="00121C22" w:rsidRDefault="00121C22" w:rsidP="00960838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21C22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ab/>
      </w:r>
      <w:r w:rsidRPr="00121C22">
        <w:rPr>
          <w:rFonts w:ascii="Times New Roman" w:hAnsi="Times New Roman" w:cs="Times New Roman"/>
          <w:sz w:val="28"/>
          <w:szCs w:val="28"/>
        </w:rPr>
        <w:t xml:space="preserve">By imposing a sentence that is shocking and disproportionate to the facts of the case in respect to Count 1; </w:t>
      </w:r>
    </w:p>
    <w:p w:rsidR="00121C22" w:rsidRDefault="00121C22" w:rsidP="0096083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1C22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ab/>
      </w:r>
      <w:r w:rsidRPr="00121C22">
        <w:rPr>
          <w:rFonts w:ascii="Times New Roman" w:hAnsi="Times New Roman" w:cs="Times New Roman"/>
          <w:sz w:val="28"/>
          <w:szCs w:val="28"/>
        </w:rPr>
        <w:t xml:space="preserve">By not considering an alternate form of punishment; </w:t>
      </w:r>
    </w:p>
    <w:p w:rsidR="00121C22" w:rsidRDefault="00121C22" w:rsidP="0096083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1C22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ab/>
      </w:r>
      <w:r w:rsidRPr="00121C22">
        <w:rPr>
          <w:rFonts w:ascii="Times New Roman" w:hAnsi="Times New Roman" w:cs="Times New Roman"/>
          <w:sz w:val="28"/>
          <w:szCs w:val="28"/>
        </w:rPr>
        <w:t xml:space="preserve">By not suspending a portion of the sentence; </w:t>
      </w:r>
    </w:p>
    <w:p w:rsidR="00121C22" w:rsidRDefault="00121C22" w:rsidP="00152D61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21C22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ab/>
      </w:r>
      <w:r w:rsidRPr="00121C22">
        <w:rPr>
          <w:rFonts w:ascii="Times New Roman" w:hAnsi="Times New Roman" w:cs="Times New Roman"/>
          <w:sz w:val="28"/>
          <w:szCs w:val="28"/>
        </w:rPr>
        <w:t>By over-emphasizing the seriousness of the offen</w:t>
      </w:r>
      <w:r>
        <w:rPr>
          <w:rFonts w:ascii="Times New Roman" w:hAnsi="Times New Roman" w:cs="Times New Roman"/>
          <w:sz w:val="28"/>
          <w:szCs w:val="28"/>
        </w:rPr>
        <w:t xml:space="preserve">ce and the interest of the </w:t>
      </w:r>
      <w:r w:rsidRPr="00121C22">
        <w:rPr>
          <w:rFonts w:ascii="Times New Roman" w:hAnsi="Times New Roman" w:cs="Times New Roman"/>
          <w:sz w:val="28"/>
          <w:szCs w:val="28"/>
        </w:rPr>
        <w:t xml:space="preserve">society; </w:t>
      </w:r>
    </w:p>
    <w:p w:rsidR="00121C22" w:rsidRDefault="00121C22" w:rsidP="0096083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ab/>
      </w:r>
      <w:r w:rsidRPr="00121C22">
        <w:rPr>
          <w:rFonts w:ascii="Times New Roman" w:hAnsi="Times New Roman" w:cs="Times New Roman"/>
          <w:sz w:val="28"/>
          <w:szCs w:val="28"/>
        </w:rPr>
        <w:t>By failing to take into account the prospects of rehabilitation;</w:t>
      </w:r>
      <w:r w:rsidR="00960838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960838" w:rsidRDefault="00960838" w:rsidP="00960838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ab/>
        <w:t>That the Court had erred in not finding that there were substantial and compelling circumstances to deviate from the prescribed minimum sentences.</w:t>
      </w:r>
    </w:p>
    <w:p w:rsidR="00C80925" w:rsidRDefault="00C80925" w:rsidP="00C80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25" w:rsidRDefault="00C80925" w:rsidP="00C80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25" w:rsidRDefault="00C80925" w:rsidP="00C80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25" w:rsidRDefault="00C80925" w:rsidP="00C80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25" w:rsidRDefault="00C80925" w:rsidP="00C80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38" w:rsidRPr="00960838" w:rsidRDefault="00960838" w:rsidP="009608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838">
        <w:rPr>
          <w:rFonts w:ascii="Times New Roman" w:hAnsi="Times New Roman" w:cs="Times New Roman"/>
          <w:b/>
          <w:sz w:val="28"/>
          <w:szCs w:val="28"/>
        </w:rPr>
        <w:lastRenderedPageBreak/>
        <w:t>C.</w:t>
      </w:r>
      <w:r w:rsidRPr="00960838">
        <w:rPr>
          <w:rFonts w:ascii="Times New Roman" w:hAnsi="Times New Roman" w:cs="Times New Roman"/>
          <w:b/>
          <w:sz w:val="28"/>
          <w:szCs w:val="28"/>
        </w:rPr>
        <w:tab/>
      </w:r>
      <w:r w:rsidRPr="00960838">
        <w:rPr>
          <w:rFonts w:ascii="Times New Roman" w:hAnsi="Times New Roman" w:cs="Times New Roman"/>
          <w:b/>
          <w:sz w:val="28"/>
          <w:szCs w:val="28"/>
          <w:u w:val="single"/>
        </w:rPr>
        <w:t xml:space="preserve">Legal guidelines to sentencing and applying the </w:t>
      </w:r>
      <w:r w:rsidR="00A20966">
        <w:rPr>
          <w:rFonts w:ascii="Times New Roman" w:hAnsi="Times New Roman" w:cs="Times New Roman"/>
          <w:b/>
          <w:sz w:val="28"/>
          <w:szCs w:val="28"/>
          <w:u w:val="single"/>
        </w:rPr>
        <w:t xml:space="preserve">law to the </w:t>
      </w:r>
      <w:r w:rsidRPr="00960838">
        <w:rPr>
          <w:rFonts w:ascii="Times New Roman" w:hAnsi="Times New Roman" w:cs="Times New Roman"/>
          <w:b/>
          <w:sz w:val="28"/>
          <w:szCs w:val="28"/>
          <w:u w:val="single"/>
        </w:rPr>
        <w:t>facts</w:t>
      </w:r>
    </w:p>
    <w:p w:rsidR="00152D61" w:rsidRDefault="002E4B40" w:rsidP="00152D6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01D6">
        <w:rPr>
          <w:rFonts w:ascii="Times New Roman" w:hAnsi="Times New Roman" w:cs="Times New Roman"/>
          <w:sz w:val="28"/>
          <w:szCs w:val="28"/>
        </w:rPr>
        <w:t>[</w:t>
      </w:r>
      <w:r w:rsidR="00960838">
        <w:rPr>
          <w:rFonts w:ascii="Times New Roman" w:hAnsi="Times New Roman" w:cs="Times New Roman"/>
          <w:sz w:val="28"/>
          <w:szCs w:val="28"/>
        </w:rPr>
        <w:t>7</w:t>
      </w:r>
      <w:r w:rsidRPr="007A01D6">
        <w:rPr>
          <w:rFonts w:ascii="Times New Roman" w:hAnsi="Times New Roman" w:cs="Times New Roman"/>
          <w:sz w:val="28"/>
          <w:szCs w:val="28"/>
        </w:rPr>
        <w:t>]</w:t>
      </w:r>
      <w:r w:rsidRPr="007A01D6">
        <w:rPr>
          <w:rFonts w:ascii="Times New Roman" w:hAnsi="Times New Roman" w:cs="Times New Roman"/>
          <w:sz w:val="28"/>
          <w:szCs w:val="28"/>
        </w:rPr>
        <w:tab/>
      </w:r>
      <w:r w:rsidR="00152D61">
        <w:rPr>
          <w:rFonts w:ascii="Times New Roman" w:hAnsi="Times New Roman" w:cs="Times New Roman"/>
          <w:sz w:val="28"/>
          <w:szCs w:val="28"/>
        </w:rPr>
        <w:t>It is trite law that punishment is pre-eminently a matter for the discretion of the trial court, and that a court of appeal should be careful not to erode that discretion</w:t>
      </w:r>
      <w:r w:rsidR="004B3446">
        <w:rPr>
          <w:rFonts w:ascii="Times New Roman" w:hAnsi="Times New Roman" w:cs="Times New Roman"/>
          <w:sz w:val="28"/>
          <w:szCs w:val="28"/>
        </w:rPr>
        <w:t>.</w:t>
      </w:r>
      <w:r w:rsidR="000B464D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15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79" w:rsidRDefault="00AC7279" w:rsidP="00152D6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ab/>
        <w:t>T</w:t>
      </w:r>
      <w:r w:rsidRPr="00AC7279">
        <w:rPr>
          <w:rFonts w:ascii="Times New Roman" w:hAnsi="Times New Roman" w:cs="Times New Roman"/>
          <w:sz w:val="28"/>
          <w:szCs w:val="28"/>
        </w:rPr>
        <w:t>he sentence</w:t>
      </w:r>
      <w:r>
        <w:rPr>
          <w:rFonts w:ascii="Times New Roman" w:hAnsi="Times New Roman" w:cs="Times New Roman"/>
          <w:sz w:val="28"/>
          <w:szCs w:val="28"/>
        </w:rPr>
        <w:t xml:space="preserve"> imposed</w:t>
      </w:r>
      <w:r w:rsidRPr="00AC7279">
        <w:rPr>
          <w:rFonts w:ascii="Times New Roman" w:hAnsi="Times New Roman" w:cs="Times New Roman"/>
          <w:sz w:val="28"/>
          <w:szCs w:val="28"/>
        </w:rPr>
        <w:t xml:space="preserve"> should only be altered </w:t>
      </w:r>
      <w:r>
        <w:rPr>
          <w:rFonts w:ascii="Times New Roman" w:hAnsi="Times New Roman" w:cs="Times New Roman"/>
          <w:sz w:val="28"/>
          <w:szCs w:val="28"/>
        </w:rPr>
        <w:t>if the discretion has not been “</w:t>
      </w:r>
      <w:r w:rsidRPr="00AC7279">
        <w:rPr>
          <w:rFonts w:ascii="Times New Roman" w:hAnsi="Times New Roman" w:cs="Times New Roman"/>
          <w:sz w:val="28"/>
          <w:szCs w:val="28"/>
        </w:rPr>
        <w:t>judicially and properly exercised.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AC7279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 consideration by the appeal court is </w:t>
      </w:r>
      <w:r w:rsidRPr="00AC7279">
        <w:rPr>
          <w:rFonts w:ascii="Times New Roman" w:hAnsi="Times New Roman" w:cs="Times New Roman"/>
          <w:sz w:val="28"/>
          <w:szCs w:val="28"/>
        </w:rPr>
        <w:t>whether the sentence is vitiated by irregularity or misdirection or is disturbingly inappropriate.</w:t>
      </w:r>
      <w:r w:rsidR="000B464D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0C26F9" w:rsidRDefault="000C26F9" w:rsidP="00152D6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ab/>
      </w:r>
      <w:r w:rsidR="007651ED">
        <w:rPr>
          <w:rFonts w:ascii="Times New Roman" w:hAnsi="Times New Roman" w:cs="Times New Roman"/>
          <w:sz w:val="28"/>
          <w:szCs w:val="28"/>
        </w:rPr>
        <w:t xml:space="preserve">In </w:t>
      </w:r>
      <w:r w:rsidR="007651ED" w:rsidRPr="00C41C1F">
        <w:rPr>
          <w:rFonts w:ascii="Times New Roman" w:hAnsi="Times New Roman" w:cs="Times New Roman"/>
          <w:i/>
          <w:sz w:val="28"/>
          <w:szCs w:val="28"/>
        </w:rPr>
        <w:t>S v Ncheche 2005 (2) SACR 386 (W)</w:t>
      </w:r>
      <w:r w:rsidR="007651ED" w:rsidRPr="007651ED">
        <w:rPr>
          <w:rFonts w:ascii="Times New Roman" w:hAnsi="Times New Roman" w:cs="Times New Roman"/>
          <w:sz w:val="28"/>
          <w:szCs w:val="28"/>
        </w:rPr>
        <w:t xml:space="preserve"> it was re-iterated that a court of appeal</w:t>
      </w:r>
      <w:r w:rsidR="007651ED">
        <w:rPr>
          <w:rFonts w:ascii="Times New Roman" w:hAnsi="Times New Roman" w:cs="Times New Roman"/>
          <w:sz w:val="28"/>
          <w:szCs w:val="28"/>
        </w:rPr>
        <w:t>,</w:t>
      </w:r>
      <w:r w:rsidR="007651ED" w:rsidRPr="007651ED">
        <w:rPr>
          <w:rFonts w:ascii="Times New Roman" w:hAnsi="Times New Roman" w:cs="Times New Roman"/>
          <w:sz w:val="28"/>
          <w:szCs w:val="28"/>
        </w:rPr>
        <w:t xml:space="preserve"> even if it is of the opinion that it would have imposed a lighter sentence, is not free to interfere if it is not convinced that the trial court could not reasonably have passed the sentence that it did</w:t>
      </w:r>
      <w:r w:rsidR="007651ED">
        <w:rPr>
          <w:rFonts w:ascii="Times New Roman" w:hAnsi="Times New Roman" w:cs="Times New Roman"/>
          <w:sz w:val="28"/>
          <w:szCs w:val="28"/>
        </w:rPr>
        <w:t>.</w:t>
      </w:r>
    </w:p>
    <w:p w:rsidR="00E9249B" w:rsidRDefault="00E9249B" w:rsidP="00152D6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[10]</w:t>
      </w:r>
      <w:r>
        <w:rPr>
          <w:rFonts w:ascii="Times New Roman" w:hAnsi="Times New Roman" w:cs="Times New Roman"/>
          <w:sz w:val="28"/>
          <w:szCs w:val="28"/>
        </w:rPr>
        <w:tab/>
        <w:t>The court in deciding on an appropriate sentence, took into account the</w:t>
      </w:r>
      <w:r w:rsidR="00E152EA">
        <w:rPr>
          <w:rFonts w:ascii="Times New Roman" w:hAnsi="Times New Roman" w:cs="Times New Roman"/>
          <w:sz w:val="28"/>
          <w:szCs w:val="28"/>
        </w:rPr>
        <w:t xml:space="preserve"> traditional triad stated in </w:t>
      </w:r>
      <w:r w:rsidR="00E152EA" w:rsidRPr="00E152EA">
        <w:rPr>
          <w:rFonts w:ascii="Times New Roman" w:hAnsi="Times New Roman" w:cs="Times New Roman"/>
          <w:i/>
          <w:sz w:val="28"/>
          <w:szCs w:val="28"/>
        </w:rPr>
        <w:t>S v Zinn 1969 (2) SA 537 (A)</w:t>
      </w:r>
      <w:r w:rsidR="00E1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52EA">
        <w:rPr>
          <w:rFonts w:ascii="Times New Roman" w:hAnsi="Times New Roman" w:cs="Times New Roman"/>
          <w:sz w:val="28"/>
          <w:szCs w:val="28"/>
        </w:rPr>
        <w:t xml:space="preserve">to wit the crime, the offender and the interests of society. </w:t>
      </w:r>
    </w:p>
    <w:p w:rsidR="00E152EA" w:rsidRDefault="00E152EA" w:rsidP="00152D6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ab/>
        <w:t>In this case t</w:t>
      </w:r>
      <w:r w:rsidRPr="00E152EA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court found the </w:t>
      </w:r>
      <w:r w:rsidRPr="00E152EA">
        <w:rPr>
          <w:rFonts w:ascii="Times New Roman" w:hAnsi="Times New Roman" w:cs="Times New Roman"/>
          <w:sz w:val="28"/>
          <w:szCs w:val="28"/>
        </w:rPr>
        <w:t>following</w:t>
      </w:r>
      <w:r>
        <w:rPr>
          <w:rFonts w:ascii="Times New Roman" w:hAnsi="Times New Roman" w:cs="Times New Roman"/>
          <w:sz w:val="28"/>
          <w:szCs w:val="28"/>
        </w:rPr>
        <w:t xml:space="preserve"> to be </w:t>
      </w:r>
      <w:r w:rsidRPr="00E152EA">
        <w:rPr>
          <w:rFonts w:ascii="Times New Roman" w:hAnsi="Times New Roman" w:cs="Times New Roman"/>
          <w:sz w:val="28"/>
          <w:szCs w:val="28"/>
        </w:rPr>
        <w:t xml:space="preserve">aggravating factors in considering a just sentence: </w:t>
      </w:r>
    </w:p>
    <w:p w:rsidR="00E152EA" w:rsidRDefault="00E152EA" w:rsidP="00E152E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152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E152E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prevalence of the offences in its area of jurisdiction; </w:t>
      </w:r>
    </w:p>
    <w:p w:rsidR="00E152EA" w:rsidRDefault="00E152EA" w:rsidP="00E152E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52E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ab/>
      </w:r>
      <w:r w:rsidRPr="00E152EA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 seriousness of the offences of robbery.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52EA" w:rsidRDefault="00E152EA" w:rsidP="00E152E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52E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ab/>
        <w:t>That a</w:t>
      </w:r>
      <w:r w:rsidRPr="00E152EA">
        <w:rPr>
          <w:rFonts w:ascii="Times New Roman" w:hAnsi="Times New Roman" w:cs="Times New Roman"/>
          <w:sz w:val="28"/>
          <w:szCs w:val="28"/>
        </w:rPr>
        <w:t xml:space="preserve"> firearm was used during the commission of the robbery.</w:t>
      </w:r>
    </w:p>
    <w:p w:rsidR="00E152EA" w:rsidRDefault="00E152EA" w:rsidP="00AF2DB6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ab/>
        <w:t>The court a quo found that no substantial and compelling circumstances existed which could oblige it to deviate from imposing the mandatory minimum sentence</w:t>
      </w:r>
      <w:r w:rsidR="00AF2DB6">
        <w:rPr>
          <w:rFonts w:ascii="Times New Roman" w:hAnsi="Times New Roman" w:cs="Times New Roman"/>
          <w:sz w:val="28"/>
          <w:szCs w:val="28"/>
        </w:rPr>
        <w:t xml:space="preserve"> envisaged in the Criminal Law Amendment Act 105 of </w:t>
      </w:r>
      <w:r w:rsidR="00AF2DB6">
        <w:rPr>
          <w:rFonts w:ascii="Times New Roman" w:hAnsi="Times New Roman" w:cs="Times New Roman"/>
          <w:sz w:val="28"/>
          <w:szCs w:val="28"/>
        </w:rPr>
        <w:lastRenderedPageBreak/>
        <w:t xml:space="preserve">1977. This was a correct approach to the injunctions laid down by the Supreme Court of Appeal in </w:t>
      </w:r>
      <w:r w:rsidR="00AF2DB6" w:rsidRPr="00AF2DB6">
        <w:rPr>
          <w:rFonts w:ascii="Times New Roman" w:hAnsi="Times New Roman" w:cs="Times New Roman"/>
          <w:i/>
          <w:sz w:val="28"/>
          <w:szCs w:val="28"/>
        </w:rPr>
        <w:t>S v Matyityi 2011 (1) SACR 40 (SCA)</w:t>
      </w:r>
      <w:r w:rsidR="00AF2DB6">
        <w:rPr>
          <w:rFonts w:ascii="Times New Roman" w:hAnsi="Times New Roman" w:cs="Times New Roman"/>
          <w:i/>
          <w:sz w:val="28"/>
          <w:szCs w:val="28"/>
        </w:rPr>
        <w:t>.</w:t>
      </w:r>
    </w:p>
    <w:p w:rsidR="00AF2DB6" w:rsidRDefault="005B42DD" w:rsidP="00AF2D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[13]</w:t>
      </w:r>
      <w:r>
        <w:rPr>
          <w:rFonts w:ascii="Times New Roman" w:hAnsi="Times New Roman" w:cs="Times New Roman"/>
          <w:sz w:val="28"/>
          <w:szCs w:val="28"/>
        </w:rPr>
        <w:tab/>
        <w:t xml:space="preserve">Despite finding no substantial and compelling circumstances to justify deviating from the prescribed minimum sentence, the court nevertheless tempered the harsh effect of the sentence in Count 2 by ordering two years of the sentence to run concurrently with </w:t>
      </w:r>
      <w:r w:rsidR="00153B1F">
        <w:rPr>
          <w:rFonts w:ascii="Times New Roman" w:hAnsi="Times New Roman" w:cs="Times New Roman"/>
          <w:sz w:val="28"/>
          <w:szCs w:val="28"/>
        </w:rPr>
        <w:t xml:space="preserve">that in </w:t>
      </w:r>
      <w:r>
        <w:rPr>
          <w:rFonts w:ascii="Times New Roman" w:hAnsi="Times New Roman" w:cs="Times New Roman"/>
          <w:sz w:val="28"/>
          <w:szCs w:val="28"/>
        </w:rPr>
        <w:t>Count 1.</w:t>
      </w:r>
      <w:r w:rsidR="00153B1F">
        <w:rPr>
          <w:rFonts w:ascii="Times New Roman" w:hAnsi="Times New Roman" w:cs="Times New Roman"/>
          <w:sz w:val="28"/>
          <w:szCs w:val="28"/>
        </w:rPr>
        <w:t xml:space="preserve"> It bears noting that the firearm used in the robbery was loaded and ready to overcome any resistance.</w:t>
      </w:r>
    </w:p>
    <w:p w:rsidR="00FA7F62" w:rsidRDefault="006E6FE2" w:rsidP="00FA7F6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[14]</w:t>
      </w:r>
      <w:r>
        <w:rPr>
          <w:rFonts w:ascii="Times New Roman" w:hAnsi="Times New Roman" w:cs="Times New Roman"/>
          <w:sz w:val="28"/>
          <w:szCs w:val="28"/>
        </w:rPr>
        <w:tab/>
      </w:r>
      <w:r w:rsidR="00B76373">
        <w:rPr>
          <w:rFonts w:ascii="Times New Roman" w:hAnsi="Times New Roman" w:cs="Times New Roman"/>
          <w:sz w:val="28"/>
          <w:szCs w:val="28"/>
        </w:rPr>
        <w:t>Mr Botha</w:t>
      </w:r>
      <w:r w:rsidR="00FA5E39">
        <w:rPr>
          <w:rFonts w:ascii="Times New Roman" w:hAnsi="Times New Roman" w:cs="Times New Roman"/>
          <w:sz w:val="28"/>
          <w:szCs w:val="28"/>
        </w:rPr>
        <w:t>,</w:t>
      </w:r>
      <w:r w:rsidR="00B76373">
        <w:rPr>
          <w:rFonts w:ascii="Times New Roman" w:hAnsi="Times New Roman" w:cs="Times New Roman"/>
          <w:sz w:val="28"/>
          <w:szCs w:val="28"/>
        </w:rPr>
        <w:t xml:space="preserve"> on behalf of the appellant</w:t>
      </w:r>
      <w:r w:rsidR="00110142">
        <w:rPr>
          <w:rFonts w:ascii="Times New Roman" w:hAnsi="Times New Roman" w:cs="Times New Roman"/>
          <w:sz w:val="28"/>
          <w:szCs w:val="28"/>
        </w:rPr>
        <w:t>,</w:t>
      </w:r>
      <w:r w:rsidR="00B76373">
        <w:rPr>
          <w:rFonts w:ascii="Times New Roman" w:hAnsi="Times New Roman" w:cs="Times New Roman"/>
          <w:sz w:val="28"/>
          <w:szCs w:val="28"/>
        </w:rPr>
        <w:t xml:space="preserve"> contended that the second appellant was not found in possession of a firearm when he was arrested and </w:t>
      </w:r>
      <w:r w:rsidR="00FA7F62">
        <w:rPr>
          <w:rFonts w:ascii="Times New Roman" w:hAnsi="Times New Roman" w:cs="Times New Roman"/>
          <w:sz w:val="28"/>
          <w:szCs w:val="28"/>
        </w:rPr>
        <w:t xml:space="preserve">also </w:t>
      </w:r>
      <w:r w:rsidR="00B76373">
        <w:rPr>
          <w:rFonts w:ascii="Times New Roman" w:hAnsi="Times New Roman" w:cs="Times New Roman"/>
          <w:sz w:val="28"/>
          <w:szCs w:val="28"/>
        </w:rPr>
        <w:t xml:space="preserve">it is the evidence of the complainant that he was only pointed with a firearm by the first appellant </w:t>
      </w:r>
      <w:r w:rsidR="00110142">
        <w:rPr>
          <w:rFonts w:ascii="Times New Roman" w:hAnsi="Times New Roman" w:cs="Times New Roman"/>
          <w:sz w:val="28"/>
          <w:szCs w:val="28"/>
        </w:rPr>
        <w:t>and as</w:t>
      </w:r>
      <w:r w:rsidR="00B76373">
        <w:rPr>
          <w:rFonts w:ascii="Times New Roman" w:hAnsi="Times New Roman" w:cs="Times New Roman"/>
          <w:sz w:val="28"/>
          <w:szCs w:val="28"/>
        </w:rPr>
        <w:t xml:space="preserve"> such the second appellant cannot be held liable and be sentenced in respect of an offence relating to unlawful possession of a firearm and ammunition </w:t>
      </w:r>
      <w:r w:rsidR="00FA7F62">
        <w:rPr>
          <w:rFonts w:ascii="Times New Roman" w:hAnsi="Times New Roman" w:cs="Times New Roman"/>
          <w:sz w:val="28"/>
          <w:szCs w:val="28"/>
        </w:rPr>
        <w:t xml:space="preserve">the same manner as the first appellant </w:t>
      </w:r>
      <w:r w:rsidR="00B76373">
        <w:rPr>
          <w:rFonts w:ascii="Times New Roman" w:hAnsi="Times New Roman" w:cs="Times New Roman"/>
          <w:sz w:val="28"/>
          <w:szCs w:val="28"/>
        </w:rPr>
        <w:t xml:space="preserve">as it was decided in the matter of </w:t>
      </w:r>
      <w:r w:rsidR="00B76373" w:rsidRPr="00B76373">
        <w:rPr>
          <w:rFonts w:ascii="Times New Roman" w:hAnsi="Times New Roman" w:cs="Times New Roman"/>
          <w:i/>
          <w:sz w:val="28"/>
          <w:szCs w:val="28"/>
        </w:rPr>
        <w:t>S v Makhubela, S v Matjeke</w:t>
      </w:r>
      <w:r w:rsidR="006D3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8E1" w:rsidRPr="006D38E1">
        <w:rPr>
          <w:rFonts w:ascii="Times New Roman" w:hAnsi="Times New Roman" w:cs="Times New Roman"/>
          <w:i/>
          <w:sz w:val="28"/>
          <w:szCs w:val="28"/>
        </w:rPr>
        <w:t>2017(2) SACR 665 (CC)</w:t>
      </w:r>
      <w:r w:rsidR="00110142">
        <w:rPr>
          <w:rFonts w:ascii="Times New Roman" w:hAnsi="Times New Roman" w:cs="Times New Roman"/>
          <w:i/>
          <w:sz w:val="28"/>
          <w:szCs w:val="28"/>
        </w:rPr>
        <w:t>.</w:t>
      </w:r>
      <w:r w:rsidR="006D3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142">
        <w:rPr>
          <w:rFonts w:ascii="Times New Roman" w:hAnsi="Times New Roman" w:cs="Times New Roman"/>
          <w:sz w:val="28"/>
          <w:szCs w:val="28"/>
        </w:rPr>
        <w:t>T</w:t>
      </w:r>
      <w:r w:rsidR="00B76373">
        <w:rPr>
          <w:rFonts w:ascii="Times New Roman" w:hAnsi="Times New Roman" w:cs="Times New Roman"/>
          <w:sz w:val="28"/>
          <w:szCs w:val="28"/>
        </w:rPr>
        <w:t xml:space="preserve">he approach adopted by Mr Botha, even though in terms of the law is the correct approach, is problematic </w:t>
      </w:r>
      <w:r w:rsidR="00110142">
        <w:rPr>
          <w:rFonts w:ascii="Times New Roman" w:hAnsi="Times New Roman" w:cs="Times New Roman"/>
          <w:sz w:val="28"/>
          <w:szCs w:val="28"/>
        </w:rPr>
        <w:t>as</w:t>
      </w:r>
      <w:r w:rsidR="00B76373">
        <w:rPr>
          <w:rFonts w:ascii="Times New Roman" w:hAnsi="Times New Roman" w:cs="Times New Roman"/>
          <w:sz w:val="28"/>
          <w:szCs w:val="28"/>
        </w:rPr>
        <w:t xml:space="preserve"> the attack is</w:t>
      </w:r>
      <w:r w:rsidR="00110142">
        <w:rPr>
          <w:rFonts w:ascii="Times New Roman" w:hAnsi="Times New Roman" w:cs="Times New Roman"/>
          <w:sz w:val="28"/>
          <w:szCs w:val="28"/>
        </w:rPr>
        <w:t xml:space="preserve"> mainly directed to conviction. </w:t>
      </w:r>
      <w:r w:rsidR="00B76373">
        <w:rPr>
          <w:rFonts w:ascii="Times New Roman" w:hAnsi="Times New Roman" w:cs="Times New Roman"/>
          <w:sz w:val="28"/>
          <w:szCs w:val="28"/>
        </w:rPr>
        <w:t xml:space="preserve">This court was not seized </w:t>
      </w:r>
      <w:r w:rsidR="00110142">
        <w:rPr>
          <w:rFonts w:ascii="Times New Roman" w:hAnsi="Times New Roman" w:cs="Times New Roman"/>
          <w:sz w:val="28"/>
          <w:szCs w:val="28"/>
        </w:rPr>
        <w:t>with an appeal on conviction</w:t>
      </w:r>
      <w:r w:rsidR="00B76373">
        <w:rPr>
          <w:rFonts w:ascii="Times New Roman" w:hAnsi="Times New Roman" w:cs="Times New Roman"/>
          <w:sz w:val="28"/>
          <w:szCs w:val="28"/>
        </w:rPr>
        <w:t xml:space="preserve">, but on sentence only. I doubt that this court has inherent jurisdiction </w:t>
      </w:r>
      <w:r w:rsidR="00FA7F62">
        <w:rPr>
          <w:rFonts w:ascii="Times New Roman" w:hAnsi="Times New Roman" w:cs="Times New Roman"/>
          <w:sz w:val="28"/>
          <w:szCs w:val="28"/>
        </w:rPr>
        <w:t xml:space="preserve">to deal with </w:t>
      </w:r>
      <w:r w:rsidR="006D38E1">
        <w:rPr>
          <w:rFonts w:ascii="Times New Roman" w:hAnsi="Times New Roman" w:cs="Times New Roman"/>
          <w:sz w:val="28"/>
          <w:szCs w:val="28"/>
        </w:rPr>
        <w:t>an</w:t>
      </w:r>
      <w:r w:rsidR="00FA7F62">
        <w:rPr>
          <w:rFonts w:ascii="Times New Roman" w:hAnsi="Times New Roman" w:cs="Times New Roman"/>
          <w:sz w:val="28"/>
          <w:szCs w:val="28"/>
        </w:rPr>
        <w:t xml:space="preserve"> issue which was not properly placed </w:t>
      </w:r>
      <w:r w:rsidR="00110142">
        <w:rPr>
          <w:rFonts w:ascii="Times New Roman" w:hAnsi="Times New Roman" w:cs="Times New Roman"/>
          <w:sz w:val="28"/>
          <w:szCs w:val="28"/>
        </w:rPr>
        <w:t>before it, but</w:t>
      </w:r>
      <w:r w:rsidR="00FA7F62">
        <w:rPr>
          <w:rFonts w:ascii="Times New Roman" w:hAnsi="Times New Roman" w:cs="Times New Roman"/>
          <w:sz w:val="28"/>
          <w:szCs w:val="28"/>
        </w:rPr>
        <w:t xml:space="preserve"> only arose during argument.</w:t>
      </w:r>
    </w:p>
    <w:p w:rsidR="00FA7F62" w:rsidRPr="00FA7F62" w:rsidRDefault="00FA7F62" w:rsidP="00AF2D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[15]   In </w:t>
      </w:r>
      <w:r w:rsidRPr="00FA7F62">
        <w:rPr>
          <w:rFonts w:ascii="Times New Roman" w:hAnsi="Times New Roman" w:cs="Times New Roman"/>
          <w:i/>
          <w:sz w:val="28"/>
          <w:szCs w:val="28"/>
        </w:rPr>
        <w:t>S v K</w:t>
      </w:r>
      <w:r w:rsidR="006D38E1">
        <w:rPr>
          <w:rFonts w:ascii="Times New Roman" w:hAnsi="Times New Roman" w:cs="Times New Roman"/>
          <w:i/>
          <w:sz w:val="28"/>
          <w:szCs w:val="28"/>
        </w:rPr>
        <w:t>humalo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8E1" w:rsidRPr="003E41D6">
        <w:rPr>
          <w:rFonts w:ascii="Times New Roman" w:hAnsi="Times New Roman" w:cs="Times New Roman"/>
          <w:i/>
          <w:sz w:val="28"/>
          <w:szCs w:val="28"/>
        </w:rPr>
        <w:t>2009 (1) SACR 503 (T)</w:t>
      </w:r>
      <w:r w:rsidR="006D38E1" w:rsidRPr="006D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was stated that the appeal court does not have power to hear a matter that was not properly before the court. Moreover, section 19(a) of the Superior Court A</w:t>
      </w:r>
      <w:r w:rsidR="00110142">
        <w:rPr>
          <w:rFonts w:ascii="Times New Roman" w:hAnsi="Times New Roman" w:cs="Times New Roman"/>
          <w:sz w:val="28"/>
          <w:szCs w:val="28"/>
        </w:rPr>
        <w:t xml:space="preserve">ct 10 of 2013, </w:t>
      </w:r>
      <w:r>
        <w:rPr>
          <w:rFonts w:ascii="Times New Roman" w:hAnsi="Times New Roman" w:cs="Times New Roman"/>
          <w:sz w:val="28"/>
          <w:szCs w:val="28"/>
        </w:rPr>
        <w:t>which deals with the powers of the court on hearing of appeals</w:t>
      </w:r>
      <w:r w:rsidR="001101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provides th</w:t>
      </w:r>
      <w:r w:rsidR="006D38E1">
        <w:rPr>
          <w:rFonts w:ascii="Times New Roman" w:hAnsi="Times New Roman" w:cs="Times New Roman"/>
          <w:sz w:val="28"/>
          <w:szCs w:val="28"/>
        </w:rPr>
        <w:t>at the court can either confirm</w:t>
      </w:r>
      <w:r>
        <w:rPr>
          <w:rFonts w:ascii="Times New Roman" w:hAnsi="Times New Roman" w:cs="Times New Roman"/>
          <w:sz w:val="28"/>
          <w:szCs w:val="28"/>
        </w:rPr>
        <w:t>, amend,</w:t>
      </w:r>
      <w:r w:rsidR="006D38E1">
        <w:rPr>
          <w:rFonts w:ascii="Times New Roman" w:hAnsi="Times New Roman" w:cs="Times New Roman"/>
          <w:sz w:val="28"/>
          <w:szCs w:val="28"/>
        </w:rPr>
        <w:t xml:space="preserve"> or set aside the decision</w:t>
      </w:r>
      <w:r>
        <w:rPr>
          <w:rFonts w:ascii="Times New Roman" w:hAnsi="Times New Roman" w:cs="Times New Roman"/>
          <w:sz w:val="28"/>
          <w:szCs w:val="28"/>
        </w:rPr>
        <w:t xml:space="preserve"> which is the subject </w:t>
      </w:r>
      <w:r>
        <w:rPr>
          <w:rFonts w:ascii="Times New Roman" w:hAnsi="Times New Roman" w:cs="Times New Roman"/>
          <w:sz w:val="28"/>
          <w:szCs w:val="28"/>
        </w:rPr>
        <w:lastRenderedPageBreak/>
        <w:t>matter of the appeal and render any decision which the circumstances may require.</w:t>
      </w:r>
    </w:p>
    <w:p w:rsidR="00FA7F62" w:rsidRDefault="00B76373" w:rsidP="00AF2D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76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F62">
        <w:rPr>
          <w:rFonts w:ascii="Times New Roman" w:hAnsi="Times New Roman" w:cs="Times New Roman"/>
          <w:sz w:val="28"/>
          <w:szCs w:val="28"/>
        </w:rPr>
        <w:t xml:space="preserve">[16]   </w:t>
      </w:r>
      <w:r w:rsidR="00FA7F62" w:rsidRPr="00FA7F62">
        <w:rPr>
          <w:rFonts w:ascii="Times New Roman" w:hAnsi="Times New Roman" w:cs="Times New Roman"/>
          <w:sz w:val="28"/>
          <w:szCs w:val="28"/>
        </w:rPr>
        <w:t>I am therefore satisfied that the sentence meted out in this case is fair and just and there is no need to interfere with the learned magistrate’s exercise of his discretion.</w:t>
      </w:r>
    </w:p>
    <w:p w:rsidR="00324FC8" w:rsidRDefault="00FA7F62" w:rsidP="00AF2D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[17</w:t>
      </w:r>
      <w:r w:rsidR="00324FC8">
        <w:rPr>
          <w:rFonts w:ascii="Times New Roman" w:hAnsi="Times New Roman" w:cs="Times New Roman"/>
          <w:sz w:val="28"/>
          <w:szCs w:val="28"/>
        </w:rPr>
        <w:t>]</w:t>
      </w:r>
      <w:r w:rsidR="00324FC8">
        <w:rPr>
          <w:rFonts w:ascii="Times New Roman" w:hAnsi="Times New Roman" w:cs="Times New Roman"/>
          <w:sz w:val="28"/>
          <w:szCs w:val="28"/>
        </w:rPr>
        <w:tab/>
        <w:t>The appeal against sentence is dismissed.</w:t>
      </w:r>
    </w:p>
    <w:p w:rsidR="00010855" w:rsidRPr="007A01D6" w:rsidRDefault="00010855" w:rsidP="002E4B40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5AE" w:rsidRPr="007A01D6" w:rsidRDefault="00E075AE" w:rsidP="00E075AE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5AE" w:rsidRPr="007A01D6" w:rsidRDefault="00E075AE" w:rsidP="00E075A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b/>
          <w:sz w:val="28"/>
          <w:szCs w:val="28"/>
        </w:rPr>
        <w:t>__________________</w:t>
      </w:r>
    </w:p>
    <w:p w:rsidR="00E075AE" w:rsidRPr="007A01D6" w:rsidRDefault="0055111C" w:rsidP="00E075AE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A01D6">
        <w:rPr>
          <w:rFonts w:ascii="Times New Roman" w:eastAsia="Calibri" w:hAnsi="Times New Roman" w:cs="Times New Roman"/>
          <w:b/>
          <w:sz w:val="28"/>
          <w:szCs w:val="28"/>
        </w:rPr>
        <w:t>J.</w:t>
      </w:r>
      <w:r w:rsidR="00E075AE" w:rsidRPr="007A01D6">
        <w:rPr>
          <w:rFonts w:ascii="Times New Roman" w:eastAsia="Calibri" w:hAnsi="Times New Roman" w:cs="Times New Roman"/>
          <w:b/>
          <w:sz w:val="28"/>
          <w:szCs w:val="28"/>
        </w:rPr>
        <w:t>S. NYATHI</w:t>
      </w:r>
    </w:p>
    <w:p w:rsidR="0055111C" w:rsidRPr="007A01D6" w:rsidRDefault="00E075AE" w:rsidP="00E075AE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A01D6">
        <w:rPr>
          <w:rFonts w:ascii="Times New Roman" w:eastAsia="Calibri" w:hAnsi="Times New Roman" w:cs="Times New Roman"/>
          <w:b/>
          <w:sz w:val="28"/>
          <w:szCs w:val="28"/>
        </w:rPr>
        <w:t>JUDGE OF THE HIGH COURT</w:t>
      </w:r>
    </w:p>
    <w:p w:rsidR="00210216" w:rsidRDefault="00210216" w:rsidP="00E075AE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A01D6">
        <w:rPr>
          <w:rFonts w:ascii="Times New Roman" w:eastAsia="Calibri" w:hAnsi="Times New Roman" w:cs="Times New Roman"/>
          <w:b/>
          <w:sz w:val="28"/>
          <w:szCs w:val="28"/>
        </w:rPr>
        <w:t>GAUTENG DIVISION, PRETORIA</w:t>
      </w:r>
    </w:p>
    <w:p w:rsidR="00324FC8" w:rsidRPr="007A01D6" w:rsidRDefault="00324FC8" w:rsidP="00E075AE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FC8" w:rsidRDefault="00324FC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FC8">
        <w:rPr>
          <w:rFonts w:ascii="Times New Roman" w:eastAsia="Calibri" w:hAnsi="Times New Roman" w:cs="Times New Roman"/>
          <w:sz w:val="28"/>
          <w:szCs w:val="28"/>
        </w:rPr>
        <w:t>I agree,</w:t>
      </w:r>
    </w:p>
    <w:p w:rsidR="00324FC8" w:rsidRDefault="00324FC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34F2" w:rsidRDefault="00EB3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34F2" w:rsidRDefault="00303E1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EB34F2" w:rsidRPr="00EB34F2">
        <w:rPr>
          <w:rFonts w:ascii="Times New Roman" w:eastAsia="Calibri" w:hAnsi="Times New Roman" w:cs="Times New Roman"/>
          <w:b/>
          <w:sz w:val="28"/>
          <w:szCs w:val="28"/>
        </w:rPr>
        <w:t>___________________</w:t>
      </w:r>
    </w:p>
    <w:p w:rsidR="00EB34F2" w:rsidRDefault="00303E1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C80925">
        <w:rPr>
          <w:rFonts w:ascii="Times New Roman" w:eastAsia="Calibri" w:hAnsi="Times New Roman" w:cs="Times New Roman"/>
          <w:b/>
          <w:sz w:val="28"/>
          <w:szCs w:val="28"/>
        </w:rPr>
        <w:t>M.J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0925">
        <w:rPr>
          <w:rFonts w:ascii="Times New Roman" w:eastAsia="Calibri" w:hAnsi="Times New Roman" w:cs="Times New Roman"/>
          <w:b/>
          <w:sz w:val="28"/>
          <w:szCs w:val="28"/>
        </w:rPr>
        <w:t>MOSOPA</w:t>
      </w:r>
    </w:p>
    <w:p w:rsidR="00EB34F2" w:rsidRDefault="00303E1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EB34F2">
        <w:rPr>
          <w:rFonts w:ascii="Times New Roman" w:eastAsia="Calibri" w:hAnsi="Times New Roman" w:cs="Times New Roman"/>
          <w:b/>
          <w:sz w:val="28"/>
          <w:szCs w:val="28"/>
        </w:rPr>
        <w:t>JUDGE OF THE HIGH COURT</w:t>
      </w:r>
    </w:p>
    <w:p w:rsidR="0055111C" w:rsidRPr="007A01D6" w:rsidRDefault="00303E11" w:rsidP="00EB3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B34F2">
        <w:rPr>
          <w:rFonts w:ascii="Times New Roman" w:eastAsia="Calibri" w:hAnsi="Times New Roman" w:cs="Times New Roman"/>
          <w:b/>
          <w:sz w:val="28"/>
          <w:szCs w:val="28"/>
        </w:rPr>
        <w:t>GAUTENG DIVISION, PRETORIA</w:t>
      </w:r>
    </w:p>
    <w:p w:rsidR="0055111C" w:rsidRDefault="0055111C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8E1" w:rsidRDefault="006D38E1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8E1" w:rsidRDefault="006D38E1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8E1" w:rsidRDefault="006D38E1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8E1" w:rsidRPr="007A01D6" w:rsidRDefault="006D38E1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11C" w:rsidRDefault="0055111C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HEARD ON:   </w:t>
      </w:r>
      <w:r w:rsidR="00A7475A" w:rsidRPr="007A01D6">
        <w:rPr>
          <w:rFonts w:ascii="Times New Roman" w:eastAsia="Calibri" w:hAnsi="Times New Roman" w:cs="Times New Roman"/>
          <w:sz w:val="28"/>
          <w:szCs w:val="28"/>
        </w:rPr>
        <w:t>0</w:t>
      </w:r>
      <w:r w:rsidR="00EB34F2">
        <w:rPr>
          <w:rFonts w:ascii="Times New Roman" w:eastAsia="Calibri" w:hAnsi="Times New Roman" w:cs="Times New Roman"/>
          <w:sz w:val="28"/>
          <w:szCs w:val="28"/>
        </w:rPr>
        <w:t>3 August</w:t>
      </w: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 2022</w:t>
      </w:r>
    </w:p>
    <w:p w:rsidR="00C80925" w:rsidRDefault="00C80925" w:rsidP="00B763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DATE OF JUDGMENT:</w:t>
      </w:r>
      <w:r w:rsidR="00B70F11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September 2022</w:t>
      </w:r>
    </w:p>
    <w:p w:rsidR="00B76373" w:rsidRDefault="00B76373" w:rsidP="00B763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373" w:rsidRDefault="00B76373" w:rsidP="00B763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APPEARANCES</w:t>
      </w:r>
    </w:p>
    <w:p w:rsidR="00C80925" w:rsidRDefault="00C80925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 THE APPELLANT:M G BOTHA</w:t>
      </w:r>
    </w:p>
    <w:p w:rsidR="00006283" w:rsidRPr="007A01D6" w:rsidRDefault="00C80925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006283" w:rsidRPr="007A01D6">
        <w:rPr>
          <w:rFonts w:ascii="Times New Roman" w:eastAsia="Calibri" w:hAnsi="Times New Roman" w:cs="Times New Roman"/>
          <w:sz w:val="28"/>
          <w:szCs w:val="28"/>
        </w:rPr>
        <w:t xml:space="preserve">retoria Justice Centre Legal Aid Board </w:t>
      </w:r>
    </w:p>
    <w:p w:rsidR="00006283" w:rsidRPr="007A01D6" w:rsidRDefault="00006283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4th Floor, Lorcano Building </w:t>
      </w:r>
    </w:p>
    <w:p w:rsidR="00006283" w:rsidRPr="007A01D6" w:rsidRDefault="00006283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317 Francis Baard Street </w:t>
      </w:r>
    </w:p>
    <w:p w:rsidR="00006283" w:rsidRPr="007A01D6" w:rsidRDefault="00006283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Pretoria </w:t>
      </w:r>
    </w:p>
    <w:p w:rsidR="00006283" w:rsidRPr="007A01D6" w:rsidRDefault="00006283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Tel. 079 081 0282 </w:t>
      </w:r>
    </w:p>
    <w:p w:rsidR="0055111C" w:rsidRPr="007A01D6" w:rsidRDefault="00006283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e-mail: </w:t>
      </w:r>
      <w:hyperlink r:id="rId9" w:history="1">
        <w:r w:rsidRPr="007A01D6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Martinb@legal-aid.co.za</w:t>
        </w:r>
      </w:hyperlink>
    </w:p>
    <w:p w:rsidR="0055111C" w:rsidRPr="007A01D6" w:rsidRDefault="0055111C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75A" w:rsidRPr="007A01D6" w:rsidRDefault="00A7475A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75A" w:rsidRPr="007A01D6" w:rsidRDefault="00006283" w:rsidP="005511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283" w:rsidRPr="007A01D6" w:rsidRDefault="0055111C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FOR THE RESPONDENT: </w:t>
      </w:r>
      <w:r w:rsidR="00006283" w:rsidRPr="007A01D6">
        <w:rPr>
          <w:rFonts w:ascii="Times New Roman" w:eastAsia="Calibri" w:hAnsi="Times New Roman" w:cs="Times New Roman"/>
          <w:sz w:val="28"/>
          <w:szCs w:val="28"/>
        </w:rPr>
        <w:t xml:space="preserve">Adv. S SCHEEPERS </w:t>
      </w:r>
    </w:p>
    <w:p w:rsidR="00006283" w:rsidRPr="007A01D6" w:rsidRDefault="00006283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084 520 0593 </w:t>
      </w:r>
    </w:p>
    <w:p w:rsidR="00006283" w:rsidRPr="007A01D6" w:rsidRDefault="00006283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012 351 6773 </w:t>
      </w:r>
    </w:p>
    <w:p w:rsidR="00006283" w:rsidRPr="007A01D6" w:rsidRDefault="00006283" w:rsidP="000062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e-mail: </w:t>
      </w:r>
      <w:hyperlink r:id="rId10" w:history="1">
        <w:r w:rsidRPr="007A01D6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sscheepers@npa.gov.za</w:t>
        </w:r>
      </w:hyperlink>
    </w:p>
    <w:p w:rsidR="00A7475A" w:rsidRPr="007A01D6" w:rsidRDefault="0055111C" w:rsidP="0000628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B40" w:rsidRPr="007A01D6" w:rsidRDefault="002E4B40" w:rsidP="002E4B4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D9F" w:rsidRPr="007A01D6" w:rsidRDefault="00255D9F">
      <w:pPr>
        <w:rPr>
          <w:rFonts w:ascii="Times New Roman" w:hAnsi="Times New Roman" w:cs="Times New Roman"/>
          <w:sz w:val="28"/>
          <w:szCs w:val="28"/>
        </w:rPr>
      </w:pPr>
    </w:p>
    <w:sectPr w:rsidR="00255D9F" w:rsidRPr="007A01D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C4" w:rsidRDefault="00196CC4" w:rsidP="00BD0B7B">
      <w:pPr>
        <w:spacing w:after="0" w:line="240" w:lineRule="auto"/>
      </w:pPr>
      <w:r>
        <w:separator/>
      </w:r>
    </w:p>
  </w:endnote>
  <w:endnote w:type="continuationSeparator" w:id="0">
    <w:p w:rsidR="00196CC4" w:rsidRDefault="00196CC4" w:rsidP="00BD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C4" w:rsidRDefault="00196CC4" w:rsidP="00BD0B7B">
      <w:pPr>
        <w:spacing w:after="0" w:line="240" w:lineRule="auto"/>
      </w:pPr>
      <w:r>
        <w:separator/>
      </w:r>
    </w:p>
  </w:footnote>
  <w:footnote w:type="continuationSeparator" w:id="0">
    <w:p w:rsidR="00196CC4" w:rsidRDefault="00196CC4" w:rsidP="00BD0B7B">
      <w:pPr>
        <w:spacing w:after="0" w:line="240" w:lineRule="auto"/>
      </w:pPr>
      <w:r>
        <w:continuationSeparator/>
      </w:r>
    </w:p>
  </w:footnote>
  <w:footnote w:id="1">
    <w:p w:rsidR="000B464D" w:rsidRPr="000B464D" w:rsidRDefault="000B46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 v Rabie 1975 (4) SA 855 (A); S v Pillay 1977 (4) SA 531 (A)</w:t>
      </w:r>
      <w:r w:rsidR="007A7C40">
        <w:rPr>
          <w:lang w:val="en-US"/>
        </w:rPr>
        <w:t>; S v Shapiro 1994 (1) SACR 112 (A) at 119J – 120C.</w:t>
      </w:r>
    </w:p>
  </w:footnote>
  <w:footnote w:id="2">
    <w:p w:rsidR="000B464D" w:rsidRPr="000B464D" w:rsidRDefault="000B46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Rabie </w:t>
      </w:r>
      <w:r w:rsidRPr="000B464D">
        <w:rPr>
          <w:i/>
          <w:lang w:val="en-US"/>
        </w:rPr>
        <w:t>(supra)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24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0901" w:rsidRDefault="003E31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0901" w:rsidRDefault="00196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0"/>
    <w:rsid w:val="00006283"/>
    <w:rsid w:val="00010855"/>
    <w:rsid w:val="00074136"/>
    <w:rsid w:val="000A10C8"/>
    <w:rsid w:val="000B464D"/>
    <w:rsid w:val="000C26F9"/>
    <w:rsid w:val="000D076E"/>
    <w:rsid w:val="000D6040"/>
    <w:rsid w:val="00110142"/>
    <w:rsid w:val="00121C22"/>
    <w:rsid w:val="00152D61"/>
    <w:rsid w:val="00153B1F"/>
    <w:rsid w:val="001769FA"/>
    <w:rsid w:val="00196CC4"/>
    <w:rsid w:val="00210216"/>
    <w:rsid w:val="00224FC5"/>
    <w:rsid w:val="00255D9F"/>
    <w:rsid w:val="002E4B40"/>
    <w:rsid w:val="002E7B23"/>
    <w:rsid w:val="003039A0"/>
    <w:rsid w:val="00303E11"/>
    <w:rsid w:val="00324FC8"/>
    <w:rsid w:val="003E3157"/>
    <w:rsid w:val="003E41D6"/>
    <w:rsid w:val="00461EC2"/>
    <w:rsid w:val="004A6B42"/>
    <w:rsid w:val="004B3446"/>
    <w:rsid w:val="0055111C"/>
    <w:rsid w:val="00587295"/>
    <w:rsid w:val="005A4717"/>
    <w:rsid w:val="005B42DD"/>
    <w:rsid w:val="00617247"/>
    <w:rsid w:val="00641744"/>
    <w:rsid w:val="00660EB7"/>
    <w:rsid w:val="006B2F22"/>
    <w:rsid w:val="006D38E1"/>
    <w:rsid w:val="006E69C8"/>
    <w:rsid w:val="006E6FE2"/>
    <w:rsid w:val="00735357"/>
    <w:rsid w:val="007651ED"/>
    <w:rsid w:val="007A01D6"/>
    <w:rsid w:val="007A7C40"/>
    <w:rsid w:val="007F1DAE"/>
    <w:rsid w:val="00842E54"/>
    <w:rsid w:val="00877BE8"/>
    <w:rsid w:val="008E68F3"/>
    <w:rsid w:val="00911131"/>
    <w:rsid w:val="0091300F"/>
    <w:rsid w:val="00960838"/>
    <w:rsid w:val="009B1210"/>
    <w:rsid w:val="009C6F0E"/>
    <w:rsid w:val="009D56BE"/>
    <w:rsid w:val="00A11705"/>
    <w:rsid w:val="00A20966"/>
    <w:rsid w:val="00A7475A"/>
    <w:rsid w:val="00AC7279"/>
    <w:rsid w:val="00AF2DB6"/>
    <w:rsid w:val="00B70F11"/>
    <w:rsid w:val="00B76373"/>
    <w:rsid w:val="00BA4192"/>
    <w:rsid w:val="00BD0B7B"/>
    <w:rsid w:val="00BD48E7"/>
    <w:rsid w:val="00C00740"/>
    <w:rsid w:val="00C3469E"/>
    <w:rsid w:val="00C41C1F"/>
    <w:rsid w:val="00C80925"/>
    <w:rsid w:val="00CD610D"/>
    <w:rsid w:val="00D04170"/>
    <w:rsid w:val="00D06E77"/>
    <w:rsid w:val="00D26897"/>
    <w:rsid w:val="00D31D78"/>
    <w:rsid w:val="00DF7777"/>
    <w:rsid w:val="00E075AE"/>
    <w:rsid w:val="00E152EA"/>
    <w:rsid w:val="00E9249B"/>
    <w:rsid w:val="00EA082A"/>
    <w:rsid w:val="00EB34F2"/>
    <w:rsid w:val="00EB5505"/>
    <w:rsid w:val="00FA5E39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6EDB9"/>
  <w15:chartTrackingRefBased/>
  <w15:docId w15:val="{4F060D02-0B61-4C88-BC08-F828692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40"/>
  </w:style>
  <w:style w:type="paragraph" w:styleId="FootnoteText">
    <w:name w:val="footnote text"/>
    <w:basedOn w:val="Normal"/>
    <w:link w:val="FootnoteTextChar"/>
    <w:uiPriority w:val="99"/>
    <w:semiHidden/>
    <w:unhideWhenUsed/>
    <w:rsid w:val="00BD0B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B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B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scheepers@np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b@legal-ai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8646-E6AD-440D-B622-1ADB7EC1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Katlego Sebola</cp:lastModifiedBy>
  <cp:revision>7</cp:revision>
  <cp:lastPrinted>2022-05-11T06:45:00Z</cp:lastPrinted>
  <dcterms:created xsi:type="dcterms:W3CDTF">2022-09-12T07:20:00Z</dcterms:created>
  <dcterms:modified xsi:type="dcterms:W3CDTF">2022-09-13T13:18:00Z</dcterms:modified>
</cp:coreProperties>
</file>