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9FE9" w14:textId="77777777" w:rsidR="00B50BA2" w:rsidRDefault="00B50BA2" w:rsidP="00B50BA2">
      <w:pPr>
        <w:spacing w:after="0" w:line="480" w:lineRule="auto"/>
        <w:jc w:val="center"/>
        <w:rPr>
          <w:rFonts w:cs="Arial"/>
          <w:b/>
          <w:sz w:val="24"/>
          <w:szCs w:val="24"/>
        </w:rPr>
      </w:pPr>
      <w:r>
        <w:rPr>
          <w:rFonts w:cs="Arial"/>
          <w:b/>
          <w:noProof/>
          <w:sz w:val="24"/>
          <w:szCs w:val="24"/>
          <w:lang w:eastAsia="en-GB"/>
        </w:rPr>
        <w:drawing>
          <wp:anchor distT="0" distB="0" distL="114300" distR="114300" simplePos="0" relativeHeight="251659264" behindDoc="0" locked="0" layoutInCell="1" allowOverlap="1" wp14:anchorId="0F6BD34D" wp14:editId="3695D816">
            <wp:simplePos x="0" y="0"/>
            <wp:positionH relativeFrom="column">
              <wp:posOffset>2326640</wp:posOffset>
            </wp:positionH>
            <wp:positionV relativeFrom="paragraph">
              <wp:posOffset>-537845</wp:posOffset>
            </wp:positionV>
            <wp:extent cx="1007110" cy="1292225"/>
            <wp:effectExtent l="0" t="0" r="2540" b="317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1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D5DFA" w14:textId="77777777" w:rsidR="00B50BA2" w:rsidRDefault="00B50BA2" w:rsidP="00B50BA2">
      <w:pPr>
        <w:spacing w:after="0" w:line="480" w:lineRule="auto"/>
        <w:jc w:val="center"/>
        <w:rPr>
          <w:rFonts w:cs="Arial"/>
          <w:b/>
          <w:sz w:val="24"/>
          <w:szCs w:val="24"/>
        </w:rPr>
      </w:pPr>
    </w:p>
    <w:p w14:paraId="124AF95E" w14:textId="77777777" w:rsidR="00B50BA2" w:rsidRDefault="00B50BA2" w:rsidP="00B50BA2">
      <w:pPr>
        <w:spacing w:after="0" w:line="360" w:lineRule="auto"/>
        <w:rPr>
          <w:rFonts w:cs="Arial"/>
          <w:b/>
          <w:sz w:val="24"/>
          <w:szCs w:val="24"/>
        </w:rPr>
      </w:pPr>
    </w:p>
    <w:p w14:paraId="614D51CE" w14:textId="77777777" w:rsidR="00B50BA2" w:rsidRDefault="00B50BA2" w:rsidP="00B50BA2">
      <w:pPr>
        <w:spacing w:after="0" w:line="360" w:lineRule="auto"/>
        <w:ind w:left="1440" w:firstLine="720"/>
        <w:rPr>
          <w:rFonts w:cs="Arial"/>
          <w:b/>
          <w:sz w:val="24"/>
          <w:szCs w:val="24"/>
        </w:rPr>
      </w:pPr>
      <w:r>
        <w:rPr>
          <w:rFonts w:cs="Arial"/>
          <w:b/>
          <w:sz w:val="24"/>
          <w:szCs w:val="24"/>
        </w:rPr>
        <w:t>IN THE HIGH COURT OF SOUTH AFRICA</w:t>
      </w:r>
    </w:p>
    <w:p w14:paraId="6E4830B0" w14:textId="77777777" w:rsidR="00B50BA2" w:rsidRDefault="00B50BA2" w:rsidP="00B50BA2">
      <w:pPr>
        <w:spacing w:after="0" w:line="360" w:lineRule="auto"/>
        <w:jc w:val="center"/>
        <w:rPr>
          <w:rFonts w:cs="Arial"/>
          <w:b/>
          <w:sz w:val="24"/>
          <w:szCs w:val="24"/>
        </w:rPr>
      </w:pPr>
      <w:r>
        <w:rPr>
          <w:rFonts w:cs="Arial"/>
          <w:b/>
          <w:sz w:val="24"/>
          <w:szCs w:val="24"/>
        </w:rPr>
        <w:t>(GAUTENG DIVISION, PRETORIA)</w:t>
      </w:r>
    </w:p>
    <w:p w14:paraId="6280BC82" w14:textId="77777777" w:rsidR="00B50BA2" w:rsidRDefault="00B50BA2" w:rsidP="00B50BA2">
      <w:pPr>
        <w:spacing w:after="0" w:line="480" w:lineRule="auto"/>
        <w:jc w:val="center"/>
        <w:rPr>
          <w:rFonts w:cs="Arial"/>
          <w:b/>
          <w:sz w:val="24"/>
          <w:szCs w:val="24"/>
        </w:rPr>
      </w:pPr>
    </w:p>
    <w:p w14:paraId="7FCCA8B4" w14:textId="77777777" w:rsidR="00B50BA2" w:rsidRDefault="00B50BA2" w:rsidP="00B50BA2">
      <w:pPr>
        <w:spacing w:line="480" w:lineRule="auto"/>
        <w:jc w:val="right"/>
        <w:rPr>
          <w:rFonts w:cs="Arial"/>
          <w:sz w:val="24"/>
          <w:szCs w:val="24"/>
        </w:rPr>
      </w:pPr>
      <w:r>
        <w:rPr>
          <w:rFonts w:cs="Arial"/>
          <w:noProof/>
          <w:sz w:val="24"/>
          <w:szCs w:val="24"/>
          <w:lang w:eastAsia="en-GB"/>
        </w:rPr>
        <mc:AlternateContent>
          <mc:Choice Requires="wps">
            <w:drawing>
              <wp:anchor distT="0" distB="0" distL="114300" distR="114300" simplePos="0" relativeHeight="251660288" behindDoc="0" locked="0" layoutInCell="1" allowOverlap="1" wp14:anchorId="2D8F96CA" wp14:editId="78989234">
                <wp:simplePos x="0" y="0"/>
                <wp:positionH relativeFrom="column">
                  <wp:posOffset>-141605</wp:posOffset>
                </wp:positionH>
                <wp:positionV relativeFrom="paragraph">
                  <wp:posOffset>40005</wp:posOffset>
                </wp:positionV>
                <wp:extent cx="3408680" cy="1562100"/>
                <wp:effectExtent l="0" t="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562100"/>
                        </a:xfrm>
                        <a:prstGeom prst="rect">
                          <a:avLst/>
                        </a:prstGeom>
                        <a:solidFill>
                          <a:srgbClr val="FFFFFF"/>
                        </a:solidFill>
                        <a:ln w="9525">
                          <a:solidFill>
                            <a:srgbClr val="000000"/>
                          </a:solidFill>
                          <a:miter lim="800000"/>
                          <a:headEnd/>
                          <a:tailEnd/>
                        </a:ln>
                      </wps:spPr>
                      <wps:txbx>
                        <w:txbxContent>
                          <w:p w14:paraId="3419A407" w14:textId="77777777" w:rsidR="00B50BA2" w:rsidRPr="00913F95" w:rsidRDefault="00B50BA2" w:rsidP="00B50BA2">
                            <w:pPr>
                              <w:jc w:val="center"/>
                              <w:rPr>
                                <w:rFonts w:ascii="Century Gothic" w:hAnsi="Century Gothic"/>
                                <w:b/>
                                <w:sz w:val="20"/>
                                <w:szCs w:val="20"/>
                              </w:rPr>
                            </w:pPr>
                          </w:p>
                          <w:p w14:paraId="56B678F5"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REPORTABLE: YES / NO</w:t>
                            </w:r>
                          </w:p>
                          <w:p w14:paraId="314B35BB"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OF INTEREST TO OTHER JUDGES: YES/NO</w:t>
                            </w:r>
                          </w:p>
                          <w:p w14:paraId="2D5921E6"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 xml:space="preserve">REVISED. </w:t>
                            </w:r>
                          </w:p>
                          <w:p w14:paraId="4F763BA9" w14:textId="77777777" w:rsidR="00B50BA2" w:rsidRPr="0087438D" w:rsidRDefault="00B50BA2" w:rsidP="00B50BA2">
                            <w:pPr>
                              <w:rPr>
                                <w:rFonts w:ascii="Century Gothic" w:hAnsi="Century Gothic"/>
                                <w:b/>
                                <w:sz w:val="18"/>
                                <w:szCs w:val="18"/>
                              </w:rPr>
                            </w:pPr>
                          </w:p>
                          <w:p w14:paraId="05DBAAB3" w14:textId="77777777" w:rsidR="00B50BA2" w:rsidRDefault="00B50BA2" w:rsidP="00B50BA2">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57304282" w14:textId="77777777" w:rsidR="00B50BA2" w:rsidRPr="00A3547E" w:rsidRDefault="00B50BA2" w:rsidP="00B50BA2">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F96CA" id="_x0000_t202" coordsize="21600,21600" o:spt="202" path="m,l,21600r21600,l21600,xe">
                <v:stroke joinstyle="miter"/>
                <v:path gradientshapeok="t" o:connecttype="rect"/>
              </v:shapetype>
              <v:shape id="Text Box 1" o:spid="_x0000_s1026" type="#_x0000_t202" style="position:absolute;left:0;text-align:left;margin-left:-11.15pt;margin-top:3.15pt;width:268.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fFwIAACw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">
                <v:textbox>
                  <w:txbxContent>
                    <w:p w14:paraId="3419A407" w14:textId="77777777" w:rsidR="00B50BA2" w:rsidRPr="00913F95" w:rsidRDefault="00B50BA2" w:rsidP="00B50BA2">
                      <w:pPr>
                        <w:jc w:val="center"/>
                        <w:rPr>
                          <w:rFonts w:ascii="Century Gothic" w:hAnsi="Century Gothic"/>
                          <w:b/>
                          <w:sz w:val="20"/>
                          <w:szCs w:val="20"/>
                        </w:rPr>
                      </w:pPr>
                    </w:p>
                    <w:p w14:paraId="56B678F5"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REPORTABLE: YES / NO</w:t>
                      </w:r>
                    </w:p>
                    <w:p w14:paraId="314B35BB"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OF INTEREST TO OTHER JUDGES: YES/NO</w:t>
                      </w:r>
                    </w:p>
                    <w:p w14:paraId="2D5921E6" w14:textId="77777777" w:rsidR="00B50BA2" w:rsidRPr="0087438D" w:rsidRDefault="00B50BA2" w:rsidP="00B50BA2">
                      <w:pPr>
                        <w:numPr>
                          <w:ilvl w:val="0"/>
                          <w:numId w:val="7"/>
                        </w:numPr>
                        <w:spacing w:after="0" w:line="240" w:lineRule="auto"/>
                        <w:jc w:val="left"/>
                        <w:rPr>
                          <w:rFonts w:ascii="Century Gothic" w:hAnsi="Century Gothic"/>
                          <w:sz w:val="20"/>
                          <w:szCs w:val="20"/>
                        </w:rPr>
                      </w:pPr>
                      <w:r w:rsidRPr="0087438D">
                        <w:rPr>
                          <w:rFonts w:ascii="Century Gothic" w:hAnsi="Century Gothic"/>
                          <w:sz w:val="20"/>
                          <w:szCs w:val="20"/>
                        </w:rPr>
                        <w:t xml:space="preserve">REVISED. </w:t>
                      </w:r>
                    </w:p>
                    <w:p w14:paraId="4F763BA9" w14:textId="77777777" w:rsidR="00B50BA2" w:rsidRPr="0087438D" w:rsidRDefault="00B50BA2" w:rsidP="00B50BA2">
                      <w:pPr>
                        <w:rPr>
                          <w:rFonts w:ascii="Century Gothic" w:hAnsi="Century Gothic"/>
                          <w:b/>
                          <w:sz w:val="18"/>
                          <w:szCs w:val="18"/>
                        </w:rPr>
                      </w:pPr>
                    </w:p>
                    <w:p w14:paraId="05DBAAB3" w14:textId="77777777" w:rsidR="00B50BA2" w:rsidRDefault="00B50BA2" w:rsidP="00B50BA2">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Pr>
                          <w:rFonts w:ascii="Century Gothic" w:hAnsi="Century Gothic"/>
                          <w:b/>
                          <w:sz w:val="18"/>
                          <w:szCs w:val="18"/>
                        </w:rPr>
                        <w:tab/>
                        <w:t>……………………</w:t>
                      </w:r>
                      <w:r w:rsidRPr="0087438D">
                        <w:rPr>
                          <w:rFonts w:ascii="Century Gothic" w:hAnsi="Century Gothic"/>
                          <w:sz w:val="18"/>
                          <w:szCs w:val="18"/>
                        </w:rPr>
                        <w:t xml:space="preserve">  </w:t>
                      </w:r>
                    </w:p>
                    <w:p w14:paraId="57304282" w14:textId="77777777" w:rsidR="00B50BA2" w:rsidRPr="00A3547E" w:rsidRDefault="00B50BA2" w:rsidP="00B50BA2">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v:textbox>
              </v:shape>
            </w:pict>
          </mc:Fallback>
        </mc:AlternateContent>
      </w:r>
    </w:p>
    <w:p w14:paraId="69710DA7" w14:textId="77777777" w:rsidR="00B50BA2" w:rsidRDefault="00B50BA2" w:rsidP="00B50BA2">
      <w:pPr>
        <w:spacing w:line="480" w:lineRule="auto"/>
        <w:jc w:val="right"/>
        <w:rPr>
          <w:rFonts w:cs="Arial"/>
          <w:sz w:val="24"/>
          <w:szCs w:val="24"/>
        </w:rPr>
      </w:pPr>
    </w:p>
    <w:p w14:paraId="3125C112" w14:textId="77777777" w:rsidR="00B50BA2" w:rsidRDefault="00B50BA2" w:rsidP="00B50BA2">
      <w:pPr>
        <w:spacing w:line="480" w:lineRule="auto"/>
        <w:jc w:val="right"/>
        <w:rPr>
          <w:rFonts w:cs="Arial"/>
          <w:sz w:val="24"/>
          <w:szCs w:val="24"/>
        </w:rPr>
      </w:pPr>
    </w:p>
    <w:p w14:paraId="106C9D9E" w14:textId="77777777" w:rsidR="00B50BA2" w:rsidRDefault="00B50BA2" w:rsidP="00B50BA2">
      <w:pPr>
        <w:spacing w:after="0" w:line="240" w:lineRule="auto"/>
        <w:jc w:val="right"/>
        <w:rPr>
          <w:rFonts w:cs="Arial"/>
          <w:b/>
          <w:sz w:val="24"/>
          <w:szCs w:val="24"/>
        </w:rPr>
      </w:pPr>
    </w:p>
    <w:p w14:paraId="31E77437" w14:textId="77777777" w:rsidR="00B50BA2" w:rsidRPr="00601890" w:rsidRDefault="00B50BA2" w:rsidP="00B50BA2">
      <w:pPr>
        <w:spacing w:after="0" w:line="360" w:lineRule="auto"/>
        <w:rPr>
          <w:rFonts w:eastAsia="Times New Roman" w:cs="Arial"/>
          <w:b/>
          <w:bCs/>
          <w:sz w:val="24"/>
          <w:szCs w:val="24"/>
        </w:rPr>
      </w:pPr>
    </w:p>
    <w:p w14:paraId="17623634" w14:textId="77777777" w:rsidR="00B50BA2" w:rsidRDefault="00B50BA2" w:rsidP="00B50BA2">
      <w:pPr>
        <w:widowControl w:val="0"/>
        <w:tabs>
          <w:tab w:val="left" w:pos="-720"/>
        </w:tabs>
        <w:suppressAutoHyphens/>
        <w:spacing w:after="0" w:line="240" w:lineRule="auto"/>
        <w:jc w:val="center"/>
        <w:rPr>
          <w:rFonts w:eastAsia="Times New Roman" w:cs="Arial"/>
          <w:bCs/>
          <w:spacing w:val="-3"/>
          <w:sz w:val="24"/>
          <w:szCs w:val="24"/>
        </w:rPr>
      </w:pPr>
      <w:r w:rsidRPr="00601890">
        <w:rPr>
          <w:rFonts w:eastAsia="Times New Roman" w:cs="Arial"/>
          <w:bCs/>
          <w:spacing w:val="-3"/>
          <w:sz w:val="24"/>
          <w:szCs w:val="24"/>
        </w:rPr>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p>
    <w:p w14:paraId="2DC622A9" w14:textId="23A5F9C0" w:rsidR="00B50BA2" w:rsidRPr="00806BBB" w:rsidRDefault="00B50BA2" w:rsidP="00B50BA2">
      <w:pPr>
        <w:widowControl w:val="0"/>
        <w:tabs>
          <w:tab w:val="left" w:pos="-720"/>
        </w:tabs>
        <w:suppressAutoHyphens/>
        <w:spacing w:after="0" w:line="240" w:lineRule="auto"/>
        <w:jc w:val="center"/>
        <w:rPr>
          <w:rFonts w:eastAsia="Times New Roman" w:cs="Arial"/>
          <w:b/>
          <w:bCs/>
          <w:spacing w:val="-3"/>
          <w:sz w:val="24"/>
          <w:szCs w:val="24"/>
        </w:rPr>
      </w:pP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r>
        <w:rPr>
          <w:rFonts w:eastAsia="Times New Roman" w:cs="Arial"/>
          <w:b/>
          <w:bCs/>
          <w:spacing w:val="-3"/>
          <w:sz w:val="24"/>
          <w:szCs w:val="24"/>
        </w:rPr>
        <w:t xml:space="preserve">                          Case No:18620/</w:t>
      </w:r>
      <w:r w:rsidR="009E54D3">
        <w:rPr>
          <w:rFonts w:eastAsia="Times New Roman" w:cs="Arial"/>
          <w:b/>
          <w:bCs/>
          <w:spacing w:val="-3"/>
          <w:sz w:val="24"/>
          <w:szCs w:val="24"/>
        </w:rPr>
        <w:t>2</w:t>
      </w:r>
      <w:r>
        <w:rPr>
          <w:rFonts w:eastAsia="Times New Roman" w:cs="Arial"/>
          <w:b/>
          <w:bCs/>
          <w:spacing w:val="-3"/>
          <w:sz w:val="24"/>
          <w:szCs w:val="24"/>
        </w:rPr>
        <w:t xml:space="preserve">018 </w:t>
      </w:r>
    </w:p>
    <w:p w14:paraId="252C88F5" w14:textId="77777777" w:rsidR="00B50BA2" w:rsidRPr="00806BBB" w:rsidRDefault="00B50BA2" w:rsidP="00B50BA2">
      <w:pPr>
        <w:widowControl w:val="0"/>
        <w:tabs>
          <w:tab w:val="left" w:pos="-720"/>
        </w:tabs>
        <w:suppressAutoHyphens/>
        <w:spacing w:after="0" w:line="240" w:lineRule="auto"/>
        <w:jc w:val="center"/>
        <w:rPr>
          <w:rFonts w:eastAsia="Times New Roman" w:cs="Arial"/>
          <w:b/>
          <w:bCs/>
          <w:spacing w:val="-3"/>
          <w:sz w:val="24"/>
          <w:szCs w:val="24"/>
        </w:rPr>
      </w:pPr>
      <w:r w:rsidRPr="00F6578C">
        <w:rPr>
          <w:rFonts w:eastAsia="Times New Roman" w:cs="Arial"/>
          <w:bCs/>
          <w:spacing w:val="-3"/>
          <w:sz w:val="24"/>
          <w:szCs w:val="24"/>
        </w:rPr>
        <w:t xml:space="preserve">                                                                    </w:t>
      </w:r>
      <w:r>
        <w:rPr>
          <w:rFonts w:eastAsia="Times New Roman" w:cs="Arial"/>
          <w:bCs/>
          <w:spacing w:val="-3"/>
          <w:sz w:val="24"/>
          <w:szCs w:val="24"/>
        </w:rPr>
        <w:t xml:space="preserve">                      </w:t>
      </w:r>
      <w:r w:rsidRPr="00F6578C">
        <w:rPr>
          <w:rFonts w:eastAsia="Times New Roman" w:cs="Arial"/>
          <w:bCs/>
          <w:spacing w:val="-3"/>
          <w:sz w:val="24"/>
          <w:szCs w:val="24"/>
        </w:rPr>
        <w:t xml:space="preserve">    </w:t>
      </w:r>
      <w:r w:rsidRPr="00806BBB">
        <w:rPr>
          <w:rFonts w:eastAsia="Times New Roman" w:cs="Arial"/>
          <w:b/>
          <w:bCs/>
          <w:spacing w:val="-3"/>
          <w:sz w:val="24"/>
          <w:szCs w:val="24"/>
        </w:rPr>
        <w:t xml:space="preserve">                                          </w:t>
      </w:r>
    </w:p>
    <w:p w14:paraId="388EF77F" w14:textId="77777777" w:rsidR="00B50BA2" w:rsidRPr="006A178A" w:rsidRDefault="00B50BA2" w:rsidP="00B50BA2">
      <w:pPr>
        <w:widowControl w:val="0"/>
        <w:tabs>
          <w:tab w:val="left" w:pos="-720"/>
        </w:tabs>
        <w:suppressAutoHyphens/>
        <w:spacing w:after="0" w:line="240" w:lineRule="auto"/>
        <w:jc w:val="center"/>
        <w:rPr>
          <w:rFonts w:eastAsia="Times New Roman" w:cs="Arial"/>
          <w:b/>
          <w:bCs/>
          <w:spacing w:val="-3"/>
          <w:sz w:val="24"/>
          <w:szCs w:val="24"/>
        </w:rPr>
      </w:pPr>
    </w:p>
    <w:p w14:paraId="5FB98A78" w14:textId="77777777" w:rsidR="00B50BA2" w:rsidRPr="00601890" w:rsidRDefault="00B50BA2" w:rsidP="00B50BA2">
      <w:pPr>
        <w:widowControl w:val="0"/>
        <w:tabs>
          <w:tab w:val="left" w:pos="-720"/>
        </w:tabs>
        <w:suppressAutoHyphens/>
        <w:spacing w:after="0" w:line="240" w:lineRule="auto"/>
        <w:jc w:val="left"/>
        <w:rPr>
          <w:rFonts w:eastAsia="Times New Roman" w:cs="Arial"/>
          <w:bCs/>
          <w:spacing w:val="-3"/>
          <w:sz w:val="24"/>
          <w:szCs w:val="24"/>
        </w:rPr>
      </w:pPr>
      <w:r w:rsidRPr="00601890">
        <w:rPr>
          <w:rFonts w:eastAsia="Times New Roman" w:cs="Arial"/>
          <w:bCs/>
          <w:spacing w:val="-3"/>
          <w:sz w:val="24"/>
          <w:szCs w:val="24"/>
        </w:rPr>
        <w:t>In the matter between:</w:t>
      </w:r>
    </w:p>
    <w:p w14:paraId="6C01F46F" w14:textId="77777777" w:rsidR="00B50BA2" w:rsidRPr="00601890" w:rsidRDefault="00B50BA2" w:rsidP="00B50BA2">
      <w:pPr>
        <w:widowControl w:val="0"/>
        <w:tabs>
          <w:tab w:val="left" w:pos="-720"/>
        </w:tabs>
        <w:suppressAutoHyphens/>
        <w:spacing w:after="0" w:line="240" w:lineRule="auto"/>
        <w:jc w:val="left"/>
        <w:rPr>
          <w:rFonts w:eastAsia="Times New Roman" w:cs="Arial"/>
          <w:bCs/>
          <w:spacing w:val="-3"/>
          <w:sz w:val="24"/>
          <w:szCs w:val="24"/>
        </w:rPr>
      </w:pPr>
    </w:p>
    <w:p w14:paraId="220B342C" w14:textId="77777777" w:rsidR="00B50BA2" w:rsidRPr="00601890" w:rsidRDefault="00B50BA2" w:rsidP="00B50BA2">
      <w:pPr>
        <w:widowControl w:val="0"/>
        <w:tabs>
          <w:tab w:val="left" w:pos="-720"/>
        </w:tabs>
        <w:suppressAutoHyphens/>
        <w:spacing w:after="0" w:line="240" w:lineRule="auto"/>
        <w:jc w:val="left"/>
        <w:rPr>
          <w:rFonts w:eastAsia="Times New Roman" w:cs="Arial"/>
          <w:bCs/>
          <w:spacing w:val="-3"/>
          <w:sz w:val="24"/>
          <w:szCs w:val="24"/>
        </w:rPr>
      </w:pPr>
    </w:p>
    <w:p w14:paraId="3B536CCF" w14:textId="7777777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 xml:space="preserve">APEX COMMODITIES (PTY) LTD                                                                      </w:t>
      </w:r>
      <w:r w:rsidRPr="00B50BA2">
        <w:rPr>
          <w:rFonts w:eastAsia="Times New Roman" w:cs="Arial"/>
          <w:spacing w:val="-3"/>
          <w:sz w:val="24"/>
          <w:szCs w:val="24"/>
        </w:rPr>
        <w:t xml:space="preserve">Applicant      </w:t>
      </w:r>
    </w:p>
    <w:p w14:paraId="3A31F8E1" w14:textId="7777777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p>
    <w:p w14:paraId="276CDDCE" w14:textId="3C12C0D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spacing w:val="-3"/>
          <w:sz w:val="24"/>
          <w:szCs w:val="24"/>
        </w:rPr>
        <w:t xml:space="preserve">and </w:t>
      </w:r>
    </w:p>
    <w:p w14:paraId="2A970294" w14:textId="7777777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p>
    <w:p w14:paraId="54513DCA" w14:textId="164ADBFB"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sidRPr="00B50BA2">
        <w:rPr>
          <w:rFonts w:eastAsia="Times New Roman" w:cs="Arial"/>
          <w:b/>
          <w:bCs/>
          <w:spacing w:val="-3"/>
          <w:sz w:val="24"/>
          <w:szCs w:val="24"/>
        </w:rPr>
        <w:t xml:space="preserve">AGRI TRADING SERVICES (PTY) LTD  </w:t>
      </w:r>
      <w:r>
        <w:rPr>
          <w:rFonts w:eastAsia="Times New Roman" w:cs="Arial"/>
          <w:spacing w:val="-3"/>
          <w:sz w:val="24"/>
          <w:szCs w:val="24"/>
        </w:rPr>
        <w:t xml:space="preserve">                                              First Respondent </w:t>
      </w:r>
    </w:p>
    <w:p w14:paraId="103D8F9F" w14:textId="77777777" w:rsidR="00B50BA2" w:rsidRDefault="00B50BA2" w:rsidP="00B50BA2">
      <w:pPr>
        <w:widowControl w:val="0"/>
        <w:tabs>
          <w:tab w:val="left" w:pos="-720"/>
          <w:tab w:val="right" w:pos="8788"/>
        </w:tabs>
        <w:suppressAutoHyphens/>
        <w:spacing w:after="0" w:line="240" w:lineRule="auto"/>
        <w:jc w:val="left"/>
        <w:rPr>
          <w:rFonts w:eastAsia="Times New Roman" w:cs="Arial"/>
          <w:b/>
          <w:bCs/>
          <w:spacing w:val="-3"/>
          <w:sz w:val="24"/>
          <w:szCs w:val="24"/>
        </w:rPr>
      </w:pPr>
      <w:r>
        <w:rPr>
          <w:rFonts w:eastAsia="Times New Roman" w:cs="Arial"/>
          <w:spacing w:val="-3"/>
          <w:sz w:val="24"/>
          <w:szCs w:val="24"/>
        </w:rPr>
        <w:t>(in final liquidation)</w:t>
      </w:r>
      <w:r>
        <w:rPr>
          <w:rFonts w:eastAsia="Times New Roman" w:cs="Arial"/>
          <w:b/>
          <w:bCs/>
          <w:spacing w:val="-3"/>
          <w:sz w:val="24"/>
          <w:szCs w:val="24"/>
        </w:rPr>
        <w:t xml:space="preserve">       </w:t>
      </w:r>
    </w:p>
    <w:p w14:paraId="467E5125" w14:textId="77777777" w:rsidR="00B50BA2" w:rsidRDefault="00B50BA2" w:rsidP="00B50BA2">
      <w:pPr>
        <w:widowControl w:val="0"/>
        <w:tabs>
          <w:tab w:val="left" w:pos="-720"/>
          <w:tab w:val="right" w:pos="8788"/>
        </w:tabs>
        <w:suppressAutoHyphens/>
        <w:spacing w:after="0" w:line="240" w:lineRule="auto"/>
        <w:jc w:val="left"/>
        <w:rPr>
          <w:rFonts w:eastAsia="Times New Roman" w:cs="Arial"/>
          <w:b/>
          <w:bCs/>
          <w:spacing w:val="-3"/>
          <w:sz w:val="24"/>
          <w:szCs w:val="24"/>
        </w:rPr>
      </w:pPr>
    </w:p>
    <w:p w14:paraId="2173DD85" w14:textId="77777777" w:rsidR="00B50BA2" w:rsidRDefault="00B50BA2" w:rsidP="00B50BA2">
      <w:pPr>
        <w:widowControl w:val="0"/>
        <w:tabs>
          <w:tab w:val="left" w:pos="-7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t xml:space="preserve">JOHANNES ZACHARIAS HUMAN MULLER N.O.                         </w:t>
      </w:r>
      <w:r w:rsidRPr="00B50BA2">
        <w:rPr>
          <w:rFonts w:eastAsia="Times New Roman" w:cs="Arial"/>
          <w:spacing w:val="-3"/>
          <w:sz w:val="24"/>
          <w:szCs w:val="24"/>
        </w:rPr>
        <w:t>Second Respondent</w:t>
      </w:r>
      <w:r>
        <w:rPr>
          <w:rFonts w:eastAsia="Times New Roman" w:cs="Arial"/>
          <w:b/>
          <w:bCs/>
          <w:spacing w:val="-3"/>
          <w:sz w:val="24"/>
          <w:szCs w:val="24"/>
        </w:rPr>
        <w:t xml:space="preserve">       </w:t>
      </w:r>
    </w:p>
    <w:p w14:paraId="02C4B49D" w14:textId="77777777" w:rsidR="00B50BA2" w:rsidRDefault="00B50BA2" w:rsidP="00B50BA2">
      <w:pPr>
        <w:widowControl w:val="0"/>
        <w:tabs>
          <w:tab w:val="left" w:pos="-720"/>
          <w:tab w:val="right" w:pos="8788"/>
        </w:tabs>
        <w:suppressAutoHyphens/>
        <w:spacing w:after="0" w:line="240" w:lineRule="auto"/>
        <w:jc w:val="left"/>
        <w:rPr>
          <w:rFonts w:eastAsia="Times New Roman" w:cs="Arial"/>
          <w:b/>
          <w:bCs/>
          <w:spacing w:val="-3"/>
          <w:sz w:val="24"/>
          <w:szCs w:val="24"/>
        </w:rPr>
      </w:pPr>
    </w:p>
    <w:p w14:paraId="6FFDCB8C" w14:textId="7777777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 xml:space="preserve">GERT LOUWRENS STEYN DE WET N.O.                                          </w:t>
      </w:r>
      <w:r w:rsidRPr="00B50BA2">
        <w:rPr>
          <w:rFonts w:eastAsia="Times New Roman" w:cs="Arial"/>
          <w:spacing w:val="-3"/>
          <w:sz w:val="24"/>
          <w:szCs w:val="24"/>
        </w:rPr>
        <w:t xml:space="preserve">Third Respondent   </w:t>
      </w:r>
    </w:p>
    <w:p w14:paraId="3F2C7ED8" w14:textId="77777777"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p>
    <w:p w14:paraId="22DD3A8D" w14:textId="2FF538AB" w:rsidR="00B50BA2"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sidRPr="00B50BA2">
        <w:rPr>
          <w:rFonts w:eastAsia="Times New Roman" w:cs="Arial"/>
          <w:b/>
          <w:bCs/>
          <w:spacing w:val="-3"/>
          <w:sz w:val="24"/>
          <w:szCs w:val="24"/>
        </w:rPr>
        <w:t xml:space="preserve">HAROON ABDOOL SATAR MOOSA N.O.       </w:t>
      </w:r>
      <w:r>
        <w:rPr>
          <w:rFonts w:eastAsia="Times New Roman" w:cs="Arial"/>
          <w:b/>
          <w:bCs/>
          <w:spacing w:val="-3"/>
          <w:sz w:val="24"/>
          <w:szCs w:val="24"/>
        </w:rPr>
        <w:t xml:space="preserve">      </w:t>
      </w:r>
      <w:r w:rsidR="0011373C">
        <w:rPr>
          <w:rFonts w:eastAsia="Times New Roman" w:cs="Arial"/>
          <w:b/>
          <w:bCs/>
          <w:spacing w:val="-3"/>
          <w:sz w:val="24"/>
          <w:szCs w:val="24"/>
        </w:rPr>
        <w:t xml:space="preserve">                          </w:t>
      </w:r>
      <w:r w:rsidRPr="00B50BA2">
        <w:rPr>
          <w:rFonts w:eastAsia="Times New Roman" w:cs="Arial"/>
          <w:spacing w:val="-3"/>
          <w:sz w:val="24"/>
          <w:szCs w:val="24"/>
        </w:rPr>
        <w:t xml:space="preserve">Fourth Respondent </w:t>
      </w:r>
    </w:p>
    <w:p w14:paraId="6D8BD64E" w14:textId="28A9548A" w:rsidR="0011373C" w:rsidRDefault="0011373C" w:rsidP="00B50BA2">
      <w:pPr>
        <w:widowControl w:val="0"/>
        <w:tabs>
          <w:tab w:val="left" w:pos="-720"/>
          <w:tab w:val="right" w:pos="8788"/>
        </w:tabs>
        <w:suppressAutoHyphens/>
        <w:spacing w:after="0" w:line="240" w:lineRule="auto"/>
        <w:jc w:val="left"/>
        <w:rPr>
          <w:rFonts w:eastAsia="Times New Roman" w:cs="Arial"/>
          <w:spacing w:val="-3"/>
          <w:sz w:val="24"/>
          <w:szCs w:val="24"/>
        </w:rPr>
      </w:pPr>
    </w:p>
    <w:p w14:paraId="031D02AF" w14:textId="0AFCB12B" w:rsidR="0011373C" w:rsidRDefault="0011373C" w:rsidP="00B50BA2">
      <w:pPr>
        <w:widowControl w:val="0"/>
        <w:tabs>
          <w:tab w:val="left" w:pos="-720"/>
          <w:tab w:val="right" w:pos="8788"/>
        </w:tabs>
        <w:suppressAutoHyphens/>
        <w:spacing w:after="0" w:line="240" w:lineRule="auto"/>
        <w:jc w:val="left"/>
        <w:rPr>
          <w:rFonts w:eastAsia="Times New Roman" w:cs="Arial"/>
          <w:spacing w:val="-3"/>
          <w:sz w:val="24"/>
          <w:szCs w:val="24"/>
        </w:rPr>
      </w:pPr>
    </w:p>
    <w:p w14:paraId="1B257DF1" w14:textId="5D0E52A0" w:rsidR="0011373C" w:rsidRDefault="00912E60" w:rsidP="00B50BA2">
      <w:pPr>
        <w:widowControl w:val="0"/>
        <w:tabs>
          <w:tab w:val="left" w:pos="-720"/>
          <w:tab w:val="right" w:pos="8788"/>
        </w:tabs>
        <w:suppressAutoHyphens/>
        <w:spacing w:after="0" w:line="240" w:lineRule="auto"/>
        <w:jc w:val="left"/>
        <w:rPr>
          <w:rFonts w:eastAsia="Times New Roman" w:cs="Arial"/>
          <w:i/>
          <w:iCs/>
          <w:spacing w:val="-3"/>
          <w:sz w:val="24"/>
          <w:szCs w:val="24"/>
        </w:rPr>
      </w:pPr>
      <w:r w:rsidRPr="0011373C">
        <w:rPr>
          <w:rFonts w:eastAsia="Times New Roman" w:cs="Arial"/>
          <w:i/>
          <w:iCs/>
          <w:spacing w:val="-3"/>
          <w:sz w:val="24"/>
          <w:szCs w:val="24"/>
        </w:rPr>
        <w:t>In re</w:t>
      </w:r>
      <w:r w:rsidR="0011373C" w:rsidRPr="0011373C">
        <w:rPr>
          <w:rFonts w:eastAsia="Times New Roman" w:cs="Arial"/>
          <w:i/>
          <w:iCs/>
          <w:spacing w:val="-3"/>
          <w:sz w:val="24"/>
          <w:szCs w:val="24"/>
        </w:rPr>
        <w:t>:</w:t>
      </w:r>
    </w:p>
    <w:p w14:paraId="12512D41" w14:textId="77777777" w:rsidR="0011373C" w:rsidRPr="0011373C" w:rsidRDefault="0011373C" w:rsidP="00B50BA2">
      <w:pPr>
        <w:widowControl w:val="0"/>
        <w:tabs>
          <w:tab w:val="left" w:pos="-720"/>
          <w:tab w:val="right" w:pos="8788"/>
        </w:tabs>
        <w:suppressAutoHyphens/>
        <w:spacing w:after="0" w:line="240" w:lineRule="auto"/>
        <w:jc w:val="left"/>
        <w:rPr>
          <w:rFonts w:eastAsia="Times New Roman" w:cs="Arial"/>
          <w:i/>
          <w:iCs/>
          <w:spacing w:val="-3"/>
          <w:sz w:val="24"/>
          <w:szCs w:val="24"/>
        </w:rPr>
      </w:pPr>
    </w:p>
    <w:p w14:paraId="6E6F1A17" w14:textId="77777777" w:rsidR="0011373C" w:rsidRDefault="0011373C" w:rsidP="0011373C">
      <w:pPr>
        <w:widowControl w:val="0"/>
        <w:tabs>
          <w:tab w:val="left" w:pos="-720"/>
          <w:tab w:val="right" w:pos="8788"/>
        </w:tabs>
        <w:suppressAutoHyphens/>
        <w:spacing w:after="0" w:line="240" w:lineRule="auto"/>
        <w:jc w:val="left"/>
        <w:rPr>
          <w:rFonts w:eastAsia="Times New Roman" w:cs="Arial"/>
          <w:spacing w:val="-3"/>
          <w:sz w:val="24"/>
          <w:szCs w:val="24"/>
        </w:rPr>
      </w:pPr>
    </w:p>
    <w:p w14:paraId="3748CB02" w14:textId="3ABA17AC" w:rsidR="0011373C" w:rsidRDefault="0011373C" w:rsidP="0011373C">
      <w:pPr>
        <w:widowControl w:val="0"/>
        <w:tabs>
          <w:tab w:val="left" w:pos="-720"/>
          <w:tab w:val="right" w:pos="8788"/>
        </w:tabs>
        <w:suppressAutoHyphens/>
        <w:spacing w:after="0" w:line="240" w:lineRule="auto"/>
        <w:jc w:val="left"/>
        <w:rPr>
          <w:rFonts w:eastAsia="Times New Roman" w:cs="Arial"/>
          <w:spacing w:val="-3"/>
          <w:sz w:val="24"/>
          <w:szCs w:val="24"/>
        </w:rPr>
      </w:pPr>
      <w:r w:rsidRPr="00B50BA2">
        <w:rPr>
          <w:rFonts w:eastAsia="Times New Roman" w:cs="Arial"/>
          <w:b/>
          <w:bCs/>
          <w:spacing w:val="-3"/>
          <w:sz w:val="24"/>
          <w:szCs w:val="24"/>
        </w:rPr>
        <w:t xml:space="preserve">AGRI TRADING SERVICES (PTY) LTD  </w:t>
      </w:r>
      <w:r>
        <w:rPr>
          <w:rFonts w:eastAsia="Times New Roman" w:cs="Arial"/>
          <w:spacing w:val="-3"/>
          <w:sz w:val="24"/>
          <w:szCs w:val="24"/>
        </w:rPr>
        <w:t xml:space="preserve">                                              </w:t>
      </w:r>
      <w:r w:rsidR="00265678">
        <w:rPr>
          <w:rFonts w:eastAsia="Times New Roman" w:cs="Arial"/>
          <w:spacing w:val="-3"/>
          <w:sz w:val="24"/>
          <w:szCs w:val="24"/>
        </w:rPr>
        <w:t xml:space="preserve">             Applicant </w:t>
      </w:r>
    </w:p>
    <w:p w14:paraId="7EA0DFDE" w14:textId="102AE42C" w:rsidR="0011373C" w:rsidRDefault="0011373C" w:rsidP="0011373C">
      <w:pPr>
        <w:widowControl w:val="0"/>
        <w:tabs>
          <w:tab w:val="left" w:pos="-720"/>
          <w:tab w:val="right" w:pos="8788"/>
        </w:tabs>
        <w:suppressAutoHyphens/>
        <w:spacing w:after="0" w:line="240" w:lineRule="auto"/>
        <w:jc w:val="left"/>
        <w:rPr>
          <w:rFonts w:eastAsia="Times New Roman" w:cs="Arial"/>
          <w:b/>
          <w:bCs/>
          <w:spacing w:val="-3"/>
          <w:sz w:val="24"/>
          <w:szCs w:val="24"/>
        </w:rPr>
      </w:pPr>
      <w:r>
        <w:rPr>
          <w:rFonts w:eastAsia="Times New Roman" w:cs="Arial"/>
          <w:spacing w:val="-3"/>
          <w:sz w:val="24"/>
          <w:szCs w:val="24"/>
        </w:rPr>
        <w:t>(</w:t>
      </w:r>
      <w:proofErr w:type="gramStart"/>
      <w:r>
        <w:rPr>
          <w:rFonts w:eastAsia="Times New Roman" w:cs="Arial"/>
          <w:spacing w:val="-3"/>
          <w:sz w:val="24"/>
          <w:szCs w:val="24"/>
        </w:rPr>
        <w:t>in</w:t>
      </w:r>
      <w:proofErr w:type="gramEnd"/>
      <w:r>
        <w:rPr>
          <w:rFonts w:eastAsia="Times New Roman" w:cs="Arial"/>
          <w:spacing w:val="-3"/>
          <w:sz w:val="24"/>
          <w:szCs w:val="24"/>
        </w:rPr>
        <w:t xml:space="preserve"> final liquidation)</w:t>
      </w:r>
      <w:r>
        <w:rPr>
          <w:rFonts w:eastAsia="Times New Roman" w:cs="Arial"/>
          <w:b/>
          <w:bCs/>
          <w:spacing w:val="-3"/>
          <w:sz w:val="24"/>
          <w:szCs w:val="24"/>
        </w:rPr>
        <w:t xml:space="preserve">       </w:t>
      </w:r>
    </w:p>
    <w:p w14:paraId="588038C9" w14:textId="4A0F57D4" w:rsidR="00265678" w:rsidRDefault="00265678" w:rsidP="0011373C">
      <w:pPr>
        <w:widowControl w:val="0"/>
        <w:tabs>
          <w:tab w:val="left" w:pos="-720"/>
          <w:tab w:val="right" w:pos="8788"/>
        </w:tabs>
        <w:suppressAutoHyphens/>
        <w:spacing w:after="0" w:line="240" w:lineRule="auto"/>
        <w:jc w:val="left"/>
        <w:rPr>
          <w:rFonts w:eastAsia="Times New Roman" w:cs="Arial"/>
          <w:b/>
          <w:bCs/>
          <w:spacing w:val="-3"/>
          <w:sz w:val="24"/>
          <w:szCs w:val="24"/>
        </w:rPr>
      </w:pPr>
    </w:p>
    <w:p w14:paraId="49A92D91" w14:textId="524C13B3" w:rsidR="00265678" w:rsidRPr="00265678" w:rsidRDefault="00265678" w:rsidP="0011373C">
      <w:pPr>
        <w:widowControl w:val="0"/>
        <w:tabs>
          <w:tab w:val="left" w:pos="-720"/>
          <w:tab w:val="right" w:pos="8788"/>
        </w:tabs>
        <w:suppressAutoHyphens/>
        <w:spacing w:after="0" w:line="240" w:lineRule="auto"/>
        <w:jc w:val="left"/>
        <w:rPr>
          <w:rFonts w:eastAsia="Times New Roman" w:cs="Arial"/>
          <w:spacing w:val="-3"/>
          <w:sz w:val="24"/>
          <w:szCs w:val="24"/>
        </w:rPr>
      </w:pPr>
      <w:r w:rsidRPr="00265678">
        <w:rPr>
          <w:rFonts w:eastAsia="Times New Roman" w:cs="Arial"/>
          <w:spacing w:val="-3"/>
          <w:sz w:val="24"/>
          <w:szCs w:val="24"/>
        </w:rPr>
        <w:t>and</w:t>
      </w:r>
    </w:p>
    <w:p w14:paraId="7CB9472C" w14:textId="77777777" w:rsidR="0011373C" w:rsidRDefault="0011373C" w:rsidP="0011373C">
      <w:pPr>
        <w:widowControl w:val="0"/>
        <w:tabs>
          <w:tab w:val="left" w:pos="-720"/>
          <w:tab w:val="right" w:pos="8788"/>
        </w:tabs>
        <w:suppressAutoHyphens/>
        <w:spacing w:after="0" w:line="240" w:lineRule="auto"/>
        <w:jc w:val="left"/>
        <w:rPr>
          <w:rFonts w:eastAsia="Times New Roman" w:cs="Arial"/>
          <w:b/>
          <w:bCs/>
          <w:spacing w:val="-3"/>
          <w:sz w:val="24"/>
          <w:szCs w:val="24"/>
        </w:rPr>
      </w:pPr>
    </w:p>
    <w:p w14:paraId="6AEC692E" w14:textId="16FB5F5D" w:rsidR="0011373C" w:rsidRDefault="00265678" w:rsidP="0011373C">
      <w:pPr>
        <w:widowControl w:val="0"/>
        <w:tabs>
          <w:tab w:val="left" w:pos="-720"/>
          <w:tab w:val="right" w:pos="8788"/>
        </w:tabs>
        <w:suppressAutoHyphens/>
        <w:spacing w:after="0" w:line="240" w:lineRule="auto"/>
        <w:jc w:val="left"/>
        <w:rPr>
          <w:rFonts w:eastAsia="Times New Roman" w:cs="Arial"/>
          <w:b/>
          <w:bCs/>
          <w:spacing w:val="-3"/>
          <w:sz w:val="24"/>
          <w:szCs w:val="24"/>
        </w:rPr>
      </w:pPr>
      <w:r>
        <w:rPr>
          <w:rFonts w:eastAsia="Times New Roman" w:cs="Arial"/>
          <w:b/>
          <w:bCs/>
          <w:spacing w:val="-3"/>
          <w:sz w:val="24"/>
          <w:szCs w:val="24"/>
        </w:rPr>
        <w:lastRenderedPageBreak/>
        <w:t>APEX COMMODITIES (PTY) LTD</w:t>
      </w:r>
      <w:r w:rsidR="0011373C">
        <w:rPr>
          <w:rFonts w:eastAsia="Times New Roman" w:cs="Arial"/>
          <w:b/>
          <w:bCs/>
          <w:spacing w:val="-3"/>
          <w:sz w:val="24"/>
          <w:szCs w:val="24"/>
        </w:rPr>
        <w:t xml:space="preserve">                   </w:t>
      </w:r>
      <w:r>
        <w:rPr>
          <w:rFonts w:eastAsia="Times New Roman" w:cs="Arial"/>
          <w:b/>
          <w:bCs/>
          <w:spacing w:val="-3"/>
          <w:sz w:val="24"/>
          <w:szCs w:val="24"/>
        </w:rPr>
        <w:t xml:space="preserve">                                      </w:t>
      </w:r>
      <w:r w:rsidRPr="00265678">
        <w:rPr>
          <w:rFonts w:eastAsia="Times New Roman" w:cs="Arial"/>
          <w:spacing w:val="-3"/>
          <w:sz w:val="24"/>
          <w:szCs w:val="24"/>
        </w:rPr>
        <w:t>First</w:t>
      </w:r>
      <w:r w:rsidR="0011373C" w:rsidRPr="00B50BA2">
        <w:rPr>
          <w:rFonts w:eastAsia="Times New Roman" w:cs="Arial"/>
          <w:spacing w:val="-3"/>
          <w:sz w:val="24"/>
          <w:szCs w:val="24"/>
        </w:rPr>
        <w:t xml:space="preserve"> Respondent</w:t>
      </w:r>
      <w:r w:rsidR="0011373C">
        <w:rPr>
          <w:rFonts w:eastAsia="Times New Roman" w:cs="Arial"/>
          <w:b/>
          <w:bCs/>
          <w:spacing w:val="-3"/>
          <w:sz w:val="24"/>
          <w:szCs w:val="24"/>
        </w:rPr>
        <w:t xml:space="preserve">       </w:t>
      </w:r>
    </w:p>
    <w:p w14:paraId="0A8BEFD7" w14:textId="77777777" w:rsidR="0011373C" w:rsidRDefault="0011373C" w:rsidP="0011373C">
      <w:pPr>
        <w:widowControl w:val="0"/>
        <w:tabs>
          <w:tab w:val="left" w:pos="-720"/>
          <w:tab w:val="right" w:pos="8788"/>
        </w:tabs>
        <w:suppressAutoHyphens/>
        <w:spacing w:after="0" w:line="240" w:lineRule="auto"/>
        <w:jc w:val="left"/>
        <w:rPr>
          <w:rFonts w:eastAsia="Times New Roman" w:cs="Arial"/>
          <w:b/>
          <w:bCs/>
          <w:spacing w:val="-3"/>
          <w:sz w:val="24"/>
          <w:szCs w:val="24"/>
        </w:rPr>
      </w:pPr>
    </w:p>
    <w:p w14:paraId="357CD4C3" w14:textId="14833BE2" w:rsidR="0011373C" w:rsidRDefault="00265678" w:rsidP="0011373C">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STEVEN HOCHFELD N.O</w:t>
      </w:r>
      <w:r w:rsidRPr="00265678">
        <w:rPr>
          <w:rFonts w:eastAsia="Times New Roman" w:cs="Arial"/>
          <w:spacing w:val="-3"/>
          <w:sz w:val="24"/>
          <w:szCs w:val="24"/>
        </w:rPr>
        <w:t xml:space="preserve">. </w:t>
      </w:r>
      <w:r w:rsidR="0011373C" w:rsidRPr="00265678">
        <w:rPr>
          <w:rFonts w:eastAsia="Times New Roman" w:cs="Arial"/>
          <w:spacing w:val="-3"/>
          <w:sz w:val="24"/>
          <w:szCs w:val="24"/>
        </w:rPr>
        <w:t xml:space="preserve">                                         </w:t>
      </w:r>
      <w:r>
        <w:rPr>
          <w:rFonts w:eastAsia="Times New Roman" w:cs="Arial"/>
          <w:spacing w:val="-3"/>
          <w:sz w:val="24"/>
          <w:szCs w:val="24"/>
        </w:rPr>
        <w:t xml:space="preserve">                     </w:t>
      </w:r>
      <w:r w:rsidRPr="00265678">
        <w:rPr>
          <w:rFonts w:eastAsia="Times New Roman" w:cs="Arial"/>
          <w:spacing w:val="-3"/>
          <w:sz w:val="24"/>
          <w:szCs w:val="24"/>
        </w:rPr>
        <w:t>Second</w:t>
      </w:r>
      <w:r w:rsidR="0011373C" w:rsidRPr="00B50BA2">
        <w:rPr>
          <w:rFonts w:eastAsia="Times New Roman" w:cs="Arial"/>
          <w:spacing w:val="-3"/>
          <w:sz w:val="24"/>
          <w:szCs w:val="24"/>
        </w:rPr>
        <w:t xml:space="preserve"> Respondent   </w:t>
      </w:r>
    </w:p>
    <w:p w14:paraId="090FA081" w14:textId="20532CC1" w:rsidR="0011373C" w:rsidRDefault="0011373C" w:rsidP="0011373C">
      <w:pPr>
        <w:widowControl w:val="0"/>
        <w:tabs>
          <w:tab w:val="left" w:pos="-720"/>
          <w:tab w:val="right" w:pos="8788"/>
        </w:tabs>
        <w:suppressAutoHyphens/>
        <w:spacing w:after="0" w:line="240" w:lineRule="auto"/>
        <w:jc w:val="left"/>
        <w:rPr>
          <w:rFonts w:eastAsia="Times New Roman" w:cs="Arial"/>
          <w:spacing w:val="-3"/>
          <w:sz w:val="24"/>
          <w:szCs w:val="24"/>
        </w:rPr>
      </w:pPr>
      <w:r w:rsidRPr="00B50BA2">
        <w:rPr>
          <w:rFonts w:eastAsia="Times New Roman" w:cs="Arial"/>
          <w:b/>
          <w:bCs/>
          <w:spacing w:val="-3"/>
          <w:sz w:val="24"/>
          <w:szCs w:val="24"/>
        </w:rPr>
        <w:t xml:space="preserve">      </w:t>
      </w:r>
      <w:r>
        <w:rPr>
          <w:rFonts w:eastAsia="Times New Roman" w:cs="Arial"/>
          <w:b/>
          <w:bCs/>
          <w:spacing w:val="-3"/>
          <w:sz w:val="24"/>
          <w:szCs w:val="24"/>
        </w:rPr>
        <w:t xml:space="preserve">                               </w:t>
      </w:r>
    </w:p>
    <w:p w14:paraId="4F2B1904" w14:textId="0C3ECB6B" w:rsidR="00B50BA2" w:rsidRPr="00352C48"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b/>
          <w:bCs/>
          <w:spacing w:val="-3"/>
          <w:sz w:val="24"/>
          <w:szCs w:val="24"/>
        </w:rPr>
        <w:t xml:space="preserve">                                    </w:t>
      </w:r>
    </w:p>
    <w:p w14:paraId="436B7E40" w14:textId="4F41E284" w:rsidR="00B50BA2" w:rsidRPr="00EF1F8A" w:rsidRDefault="00B50BA2" w:rsidP="00B50BA2">
      <w:pPr>
        <w:widowControl w:val="0"/>
        <w:tabs>
          <w:tab w:val="left" w:pos="-720"/>
          <w:tab w:val="right" w:pos="8788"/>
        </w:tabs>
        <w:suppressAutoHyphens/>
        <w:spacing w:after="0" w:line="240" w:lineRule="auto"/>
        <w:jc w:val="left"/>
        <w:rPr>
          <w:rFonts w:eastAsia="Times New Roman" w:cs="Arial"/>
          <w:spacing w:val="-3"/>
          <w:sz w:val="24"/>
          <w:szCs w:val="24"/>
        </w:rPr>
      </w:pPr>
      <w:r>
        <w:rPr>
          <w:rFonts w:eastAsia="Times New Roman" w:cs="Arial"/>
          <w:bCs/>
          <w:spacing w:val="-3"/>
          <w:sz w:val="24"/>
          <w:szCs w:val="24"/>
        </w:rPr>
        <w:t xml:space="preserve">                                                     </w:t>
      </w:r>
      <w:r>
        <w:rPr>
          <w:rFonts w:eastAsia="Times New Roman" w:cs="Arial"/>
          <w:b/>
          <w:bCs/>
          <w:spacing w:val="-3"/>
          <w:sz w:val="24"/>
          <w:szCs w:val="24"/>
        </w:rPr>
        <w:t xml:space="preserve">                                                     </w:t>
      </w:r>
      <w:r>
        <w:rPr>
          <w:rFonts w:eastAsia="Times New Roman" w:cs="Arial"/>
          <w:bCs/>
          <w:spacing w:val="-3"/>
          <w:sz w:val="24"/>
          <w:szCs w:val="24"/>
        </w:rPr>
        <w:tab/>
        <w:t xml:space="preserve">    </w:t>
      </w:r>
    </w:p>
    <w:p w14:paraId="0DD74840" w14:textId="77777777" w:rsidR="00B50BA2"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16FB816A" w14:textId="5A3CC6ED" w:rsidR="00B50BA2"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Date of Hearing:  </w:t>
      </w:r>
      <w:r w:rsidRPr="00DA44CE">
        <w:rPr>
          <w:rFonts w:eastAsia="Times New Roman" w:cs="Arial"/>
          <w:bCs/>
          <w:spacing w:val="-3"/>
          <w:sz w:val="24"/>
          <w:szCs w:val="24"/>
        </w:rPr>
        <w:t>2</w:t>
      </w:r>
      <w:r w:rsidR="0011373C">
        <w:rPr>
          <w:rFonts w:eastAsia="Times New Roman" w:cs="Arial"/>
          <w:bCs/>
          <w:spacing w:val="-3"/>
          <w:sz w:val="24"/>
          <w:szCs w:val="24"/>
        </w:rPr>
        <w:t>4</w:t>
      </w:r>
      <w:r>
        <w:rPr>
          <w:rFonts w:eastAsia="Times New Roman" w:cs="Arial"/>
          <w:bCs/>
          <w:spacing w:val="-3"/>
          <w:sz w:val="24"/>
          <w:szCs w:val="24"/>
        </w:rPr>
        <w:t xml:space="preserve"> November 2021</w:t>
      </w:r>
    </w:p>
    <w:p w14:paraId="49A081E5" w14:textId="77777777" w:rsidR="00B50BA2"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2DA4057C" w14:textId="158048BD" w:rsidR="00B50BA2" w:rsidRPr="00CB3577"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r>
        <w:rPr>
          <w:rFonts w:eastAsia="Times New Roman" w:cs="Arial"/>
          <w:bCs/>
          <w:spacing w:val="-3"/>
          <w:sz w:val="24"/>
          <w:szCs w:val="24"/>
        </w:rPr>
        <w:t xml:space="preserve">Date of Judgment: </w:t>
      </w:r>
      <w:r>
        <w:rPr>
          <w:rFonts w:eastAsia="Times New Roman" w:cs="Arial"/>
          <w:b/>
          <w:spacing w:val="-3"/>
          <w:sz w:val="24"/>
          <w:szCs w:val="24"/>
        </w:rPr>
        <w:t xml:space="preserve"> </w:t>
      </w:r>
      <w:r w:rsidR="00CB3577" w:rsidRPr="00CB3577">
        <w:rPr>
          <w:rFonts w:eastAsia="Times New Roman" w:cs="Arial"/>
          <w:bCs/>
          <w:spacing w:val="-3"/>
          <w:sz w:val="24"/>
          <w:szCs w:val="24"/>
        </w:rPr>
        <w:t>26 September 2022</w:t>
      </w:r>
    </w:p>
    <w:p w14:paraId="461D7AAF" w14:textId="77777777" w:rsidR="00B50BA2"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73F861AA" w14:textId="77777777" w:rsidR="00B50BA2" w:rsidRDefault="00B50BA2" w:rsidP="00B50B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left"/>
        <w:rPr>
          <w:rFonts w:eastAsia="Times New Roman" w:cs="Arial"/>
          <w:bCs/>
          <w:spacing w:val="-3"/>
          <w:sz w:val="24"/>
          <w:szCs w:val="24"/>
        </w:rPr>
      </w:pPr>
    </w:p>
    <w:p w14:paraId="1AC7ABA6" w14:textId="77777777" w:rsidR="00B50BA2" w:rsidRPr="00601890" w:rsidRDefault="00B50BA2" w:rsidP="00B50BA2">
      <w:pPr>
        <w:widowControl w:val="0"/>
        <w:tabs>
          <w:tab w:val="left" w:pos="-720"/>
        </w:tabs>
        <w:suppressAutoHyphens/>
        <w:spacing w:after="0" w:line="240" w:lineRule="auto"/>
        <w:jc w:val="left"/>
        <w:rPr>
          <w:rFonts w:eastAsia="Times New Roman" w:cs="Arial"/>
          <w:b/>
          <w:bCs/>
          <w:spacing w:val="-3"/>
          <w:sz w:val="24"/>
          <w:szCs w:val="24"/>
        </w:rPr>
      </w:pPr>
    </w:p>
    <w:p w14:paraId="7910C090" w14:textId="77777777" w:rsidR="00B50BA2" w:rsidRPr="00601890" w:rsidRDefault="00B50BA2" w:rsidP="00B50BA2">
      <w:pPr>
        <w:spacing w:after="0" w:line="240" w:lineRule="auto"/>
        <w:jc w:val="left"/>
        <w:rPr>
          <w:rFonts w:eastAsia="Times New Roman" w:cs="Arial"/>
          <w:sz w:val="24"/>
          <w:szCs w:val="24"/>
        </w:rPr>
      </w:pPr>
      <w:r w:rsidRPr="00601890">
        <w:rPr>
          <w:rFonts w:eastAsia="Times New Roman" w:cs="Arial"/>
          <w:sz w:val="24"/>
          <w:szCs w:val="24"/>
        </w:rPr>
        <w:t>_____________________________________________________________</w:t>
      </w:r>
      <w:r>
        <w:rPr>
          <w:rFonts w:eastAsia="Times New Roman" w:cs="Arial"/>
          <w:sz w:val="24"/>
          <w:szCs w:val="24"/>
        </w:rPr>
        <w:t>__</w:t>
      </w:r>
      <w:r w:rsidRPr="00601890">
        <w:rPr>
          <w:rFonts w:eastAsia="Times New Roman" w:cs="Arial"/>
          <w:sz w:val="24"/>
          <w:szCs w:val="24"/>
        </w:rPr>
        <w:t>__</w:t>
      </w:r>
    </w:p>
    <w:p w14:paraId="12B85C89" w14:textId="77777777" w:rsidR="00B50BA2" w:rsidRPr="00601890" w:rsidRDefault="00B50BA2" w:rsidP="00B50BA2">
      <w:pPr>
        <w:tabs>
          <w:tab w:val="center" w:pos="4513"/>
        </w:tabs>
        <w:suppressAutoHyphens/>
        <w:spacing w:after="0" w:line="240" w:lineRule="auto"/>
        <w:jc w:val="center"/>
        <w:rPr>
          <w:rFonts w:eastAsia="Times New Roman" w:cs="Arial"/>
          <w:b/>
          <w:bCs/>
          <w:spacing w:val="-3"/>
          <w:sz w:val="28"/>
          <w:szCs w:val="28"/>
        </w:rPr>
      </w:pPr>
    </w:p>
    <w:p w14:paraId="45C2AFF0" w14:textId="77777777" w:rsidR="00B50BA2" w:rsidRPr="00601890" w:rsidRDefault="00B50BA2" w:rsidP="00B50BA2">
      <w:pPr>
        <w:tabs>
          <w:tab w:val="center" w:pos="4513"/>
        </w:tabs>
        <w:suppressAutoHyphens/>
        <w:spacing w:before="120" w:after="240" w:line="240" w:lineRule="auto"/>
        <w:jc w:val="center"/>
        <w:rPr>
          <w:rFonts w:eastAsia="Times New Roman" w:cs="Arial"/>
          <w:b/>
          <w:bCs/>
          <w:spacing w:val="-3"/>
          <w:sz w:val="24"/>
          <w:szCs w:val="24"/>
        </w:rPr>
      </w:pPr>
      <w:r>
        <w:rPr>
          <w:rFonts w:eastAsia="Times New Roman" w:cs="Arial"/>
          <w:b/>
          <w:bCs/>
          <w:spacing w:val="-3"/>
          <w:sz w:val="24"/>
          <w:szCs w:val="24"/>
        </w:rPr>
        <w:t xml:space="preserve">JUDGMENT </w:t>
      </w:r>
    </w:p>
    <w:p w14:paraId="58E45E8E" w14:textId="77777777" w:rsidR="00B50BA2" w:rsidRPr="00BF13DA" w:rsidRDefault="00B50BA2" w:rsidP="00B50BA2">
      <w:pPr>
        <w:spacing w:after="0" w:line="240" w:lineRule="auto"/>
        <w:rPr>
          <w:rFonts w:eastAsia="Times New Roman" w:cs="Arial"/>
          <w:b/>
          <w:bCs/>
          <w:sz w:val="24"/>
          <w:szCs w:val="24"/>
        </w:rPr>
      </w:pPr>
      <w:r w:rsidRPr="00601890">
        <w:rPr>
          <w:rFonts w:eastAsia="Times New Roman" w:cs="Arial"/>
          <w:sz w:val="24"/>
          <w:szCs w:val="24"/>
        </w:rPr>
        <w:t>_______________________________________________________________</w:t>
      </w:r>
      <w:r>
        <w:rPr>
          <w:rFonts w:eastAsia="Times New Roman" w:cs="Arial"/>
          <w:sz w:val="24"/>
          <w:szCs w:val="24"/>
        </w:rPr>
        <w:t>__</w:t>
      </w:r>
    </w:p>
    <w:p w14:paraId="4C0C5BA8" w14:textId="77777777" w:rsidR="00B50BA2" w:rsidRDefault="00B50BA2" w:rsidP="00B50BA2">
      <w:pPr>
        <w:pStyle w:val="HBNoNumber"/>
        <w:ind w:left="0"/>
        <w:rPr>
          <w:b/>
        </w:rPr>
      </w:pPr>
    </w:p>
    <w:p w14:paraId="11250F5B" w14:textId="77777777" w:rsidR="00B50BA2" w:rsidRDefault="00B50BA2" w:rsidP="00B50BA2">
      <w:pPr>
        <w:pStyle w:val="HBNoNumber"/>
        <w:ind w:left="0"/>
        <w:rPr>
          <w:b/>
        </w:rPr>
      </w:pPr>
      <w:r w:rsidRPr="004B4F30">
        <w:rPr>
          <w:b/>
        </w:rPr>
        <w:t>BARNES A</w:t>
      </w:r>
      <w:r>
        <w:rPr>
          <w:b/>
        </w:rPr>
        <w:t>J</w:t>
      </w:r>
    </w:p>
    <w:p w14:paraId="55CAC8EF" w14:textId="77777777" w:rsidR="00B50BA2" w:rsidRPr="00586C78" w:rsidRDefault="00B50BA2" w:rsidP="00B50BA2">
      <w:pPr>
        <w:pStyle w:val="HBNoNumber"/>
        <w:ind w:left="0"/>
        <w:rPr>
          <w:bCs/>
          <w:u w:val="single"/>
        </w:rPr>
      </w:pPr>
      <w:r w:rsidRPr="00586C78">
        <w:rPr>
          <w:bCs/>
          <w:u w:val="single"/>
        </w:rPr>
        <w:t>Introduction</w:t>
      </w:r>
    </w:p>
    <w:p w14:paraId="500D84F4" w14:textId="1BA06F20" w:rsidR="007379DE" w:rsidRDefault="00B50BA2" w:rsidP="00B50BA2">
      <w:pPr>
        <w:pStyle w:val="HB1"/>
        <w:rPr>
          <w:sz w:val="24"/>
          <w:szCs w:val="24"/>
        </w:rPr>
      </w:pPr>
      <w:r w:rsidRPr="00277912">
        <w:rPr>
          <w:sz w:val="24"/>
          <w:szCs w:val="24"/>
        </w:rPr>
        <w:t>This is an application</w:t>
      </w:r>
      <w:r w:rsidR="007379DE">
        <w:rPr>
          <w:sz w:val="24"/>
          <w:szCs w:val="24"/>
        </w:rPr>
        <w:t xml:space="preserve"> </w:t>
      </w:r>
      <w:r w:rsidR="00075445">
        <w:rPr>
          <w:sz w:val="24"/>
          <w:szCs w:val="24"/>
        </w:rPr>
        <w:t xml:space="preserve">in which the applicant, Apex Commodities (Pty) Ltd </w:t>
      </w:r>
      <w:r w:rsidR="008D027C">
        <w:rPr>
          <w:sz w:val="24"/>
          <w:szCs w:val="24"/>
        </w:rPr>
        <w:t>(</w:t>
      </w:r>
      <w:r w:rsidR="00075445">
        <w:rPr>
          <w:sz w:val="24"/>
          <w:szCs w:val="24"/>
        </w:rPr>
        <w:t>“Apex”)</w:t>
      </w:r>
      <w:r w:rsidR="008D027C">
        <w:rPr>
          <w:sz w:val="24"/>
          <w:szCs w:val="24"/>
        </w:rPr>
        <w:t>,</w:t>
      </w:r>
      <w:r w:rsidR="00075445">
        <w:rPr>
          <w:sz w:val="24"/>
          <w:szCs w:val="24"/>
        </w:rPr>
        <w:t xml:space="preserve"> seeks an order that the first respondent, </w:t>
      </w:r>
      <w:r w:rsidR="00266467">
        <w:rPr>
          <w:sz w:val="24"/>
          <w:szCs w:val="24"/>
        </w:rPr>
        <w:t>Agri Tradin</w:t>
      </w:r>
      <w:r w:rsidR="00912E60">
        <w:rPr>
          <w:sz w:val="24"/>
          <w:szCs w:val="24"/>
        </w:rPr>
        <w:t>g</w:t>
      </w:r>
      <w:r w:rsidR="00266467">
        <w:rPr>
          <w:sz w:val="24"/>
          <w:szCs w:val="24"/>
        </w:rPr>
        <w:t xml:space="preserve"> Services (Pty) Ltd (in final liquidation) (“ATS”)</w:t>
      </w:r>
      <w:r w:rsidR="008C24CF">
        <w:rPr>
          <w:sz w:val="24"/>
          <w:szCs w:val="24"/>
        </w:rPr>
        <w:t>,</w:t>
      </w:r>
      <w:r w:rsidR="00266467">
        <w:rPr>
          <w:sz w:val="24"/>
          <w:szCs w:val="24"/>
        </w:rPr>
        <w:t xml:space="preserve"> be</w:t>
      </w:r>
      <w:r w:rsidR="00F30847">
        <w:rPr>
          <w:sz w:val="24"/>
          <w:szCs w:val="24"/>
        </w:rPr>
        <w:t xml:space="preserve"> ordered to furnish security</w:t>
      </w:r>
      <w:r w:rsidR="00F40E47">
        <w:rPr>
          <w:sz w:val="24"/>
          <w:szCs w:val="24"/>
        </w:rPr>
        <w:t xml:space="preserve"> for costs</w:t>
      </w:r>
      <w:r w:rsidR="00F77ECB">
        <w:rPr>
          <w:sz w:val="24"/>
          <w:szCs w:val="24"/>
        </w:rPr>
        <w:t xml:space="preserve"> </w:t>
      </w:r>
      <w:r w:rsidR="00F40E47">
        <w:rPr>
          <w:sz w:val="24"/>
          <w:szCs w:val="24"/>
        </w:rPr>
        <w:t>i</w:t>
      </w:r>
      <w:r w:rsidR="00F77ECB">
        <w:rPr>
          <w:sz w:val="24"/>
          <w:szCs w:val="24"/>
        </w:rPr>
        <w:t>n the sum of R3</w:t>
      </w:r>
      <w:r w:rsidR="008D027C">
        <w:rPr>
          <w:sz w:val="24"/>
          <w:szCs w:val="24"/>
        </w:rPr>
        <w:t xml:space="preserve"> Million</w:t>
      </w:r>
      <w:r w:rsidR="00C44898">
        <w:rPr>
          <w:sz w:val="24"/>
          <w:szCs w:val="24"/>
        </w:rPr>
        <w:t>, in respect of the main application</w:t>
      </w:r>
      <w:r w:rsidR="00271673">
        <w:rPr>
          <w:sz w:val="24"/>
          <w:szCs w:val="24"/>
        </w:rPr>
        <w:t xml:space="preserve"> instituted by ATS</w:t>
      </w:r>
      <w:r w:rsidR="00C44898">
        <w:rPr>
          <w:sz w:val="24"/>
          <w:szCs w:val="24"/>
        </w:rPr>
        <w:t xml:space="preserve"> described below.</w:t>
      </w:r>
    </w:p>
    <w:p w14:paraId="1260D152" w14:textId="48898CBD" w:rsidR="00F77ECB" w:rsidRDefault="00B54A2D" w:rsidP="00B50BA2">
      <w:pPr>
        <w:pStyle w:val="HB1"/>
        <w:rPr>
          <w:sz w:val="24"/>
          <w:szCs w:val="24"/>
        </w:rPr>
      </w:pPr>
      <w:r>
        <w:rPr>
          <w:sz w:val="24"/>
          <w:szCs w:val="24"/>
        </w:rPr>
        <w:t>In addition</w:t>
      </w:r>
      <w:r w:rsidR="00F40E47">
        <w:rPr>
          <w:sz w:val="24"/>
          <w:szCs w:val="24"/>
        </w:rPr>
        <w:t>,</w:t>
      </w:r>
      <w:r>
        <w:rPr>
          <w:sz w:val="24"/>
          <w:szCs w:val="24"/>
        </w:rPr>
        <w:t xml:space="preserve"> </w:t>
      </w:r>
      <w:r w:rsidR="000B641F">
        <w:rPr>
          <w:sz w:val="24"/>
          <w:szCs w:val="24"/>
        </w:rPr>
        <w:t>Apex</w:t>
      </w:r>
      <w:r>
        <w:rPr>
          <w:sz w:val="24"/>
          <w:szCs w:val="24"/>
        </w:rPr>
        <w:t xml:space="preserve"> seeks an order that </w:t>
      </w:r>
      <w:r w:rsidR="000B641F">
        <w:rPr>
          <w:sz w:val="24"/>
          <w:szCs w:val="24"/>
        </w:rPr>
        <w:t>ATS be required to pay the costs of a joinder application brought by Apex in terms of which the third and fourth respondents, who are joint liquidators of ATS with</w:t>
      </w:r>
      <w:r w:rsidR="00265678">
        <w:rPr>
          <w:sz w:val="24"/>
          <w:szCs w:val="24"/>
        </w:rPr>
        <w:t xml:space="preserve"> the</w:t>
      </w:r>
      <w:r w:rsidR="000B641F">
        <w:rPr>
          <w:sz w:val="24"/>
          <w:szCs w:val="24"/>
        </w:rPr>
        <w:t xml:space="preserve"> </w:t>
      </w:r>
      <w:r w:rsidR="00265678">
        <w:rPr>
          <w:sz w:val="24"/>
          <w:szCs w:val="24"/>
        </w:rPr>
        <w:t>second</w:t>
      </w:r>
      <w:r w:rsidR="000B641F">
        <w:rPr>
          <w:sz w:val="24"/>
          <w:szCs w:val="24"/>
        </w:rPr>
        <w:t xml:space="preserve"> respondent, were joined in th</w:t>
      </w:r>
      <w:r w:rsidR="00C7729A">
        <w:rPr>
          <w:sz w:val="24"/>
          <w:szCs w:val="24"/>
        </w:rPr>
        <w:t xml:space="preserve">is </w:t>
      </w:r>
      <w:r w:rsidR="000B641F">
        <w:rPr>
          <w:sz w:val="24"/>
          <w:szCs w:val="24"/>
        </w:rPr>
        <w:t>application.</w:t>
      </w:r>
    </w:p>
    <w:p w14:paraId="7DB14CC4" w14:textId="74BD0067" w:rsidR="00A35DB0" w:rsidRDefault="00A35DB0" w:rsidP="00B50BA2">
      <w:pPr>
        <w:pStyle w:val="HB1"/>
        <w:rPr>
          <w:sz w:val="24"/>
          <w:szCs w:val="24"/>
        </w:rPr>
      </w:pPr>
      <w:r>
        <w:rPr>
          <w:sz w:val="24"/>
          <w:szCs w:val="24"/>
        </w:rPr>
        <w:t xml:space="preserve">ATS opposes the </w:t>
      </w:r>
      <w:r w:rsidR="00C7729A">
        <w:rPr>
          <w:sz w:val="24"/>
          <w:szCs w:val="24"/>
        </w:rPr>
        <w:t>relief sought by Apex.</w:t>
      </w:r>
    </w:p>
    <w:p w14:paraId="1BBFA5EE" w14:textId="5C452034" w:rsidR="000B641F" w:rsidRPr="00A35DB0" w:rsidRDefault="00A35DB0" w:rsidP="00A35DB0">
      <w:pPr>
        <w:pStyle w:val="HB1"/>
        <w:rPr>
          <w:sz w:val="24"/>
          <w:szCs w:val="24"/>
        </w:rPr>
      </w:pPr>
      <w:r>
        <w:rPr>
          <w:sz w:val="24"/>
          <w:szCs w:val="24"/>
        </w:rPr>
        <w:t>In what follows, I shall set</w:t>
      </w:r>
      <w:r w:rsidR="00D55342">
        <w:rPr>
          <w:sz w:val="24"/>
          <w:szCs w:val="24"/>
        </w:rPr>
        <w:t xml:space="preserve"> out</w:t>
      </w:r>
      <w:r w:rsidR="008D027C">
        <w:rPr>
          <w:sz w:val="24"/>
          <w:szCs w:val="24"/>
        </w:rPr>
        <w:t>, first,</w:t>
      </w:r>
      <w:r>
        <w:rPr>
          <w:sz w:val="24"/>
          <w:szCs w:val="24"/>
        </w:rPr>
        <w:t xml:space="preserve"> </w:t>
      </w:r>
      <w:r w:rsidR="00C44898">
        <w:rPr>
          <w:sz w:val="24"/>
          <w:szCs w:val="24"/>
        </w:rPr>
        <w:t>the facts giving rise to the main application in respect of which security for costs is sought, and</w:t>
      </w:r>
      <w:r w:rsidR="008D027C">
        <w:rPr>
          <w:sz w:val="24"/>
          <w:szCs w:val="24"/>
        </w:rPr>
        <w:t xml:space="preserve"> second,</w:t>
      </w:r>
      <w:r>
        <w:rPr>
          <w:sz w:val="24"/>
          <w:szCs w:val="24"/>
        </w:rPr>
        <w:t xml:space="preserve"> the</w:t>
      </w:r>
      <w:r w:rsidR="008D027C">
        <w:rPr>
          <w:sz w:val="24"/>
          <w:szCs w:val="24"/>
        </w:rPr>
        <w:t xml:space="preserve"> applicable</w:t>
      </w:r>
      <w:r>
        <w:rPr>
          <w:sz w:val="24"/>
          <w:szCs w:val="24"/>
        </w:rPr>
        <w:t xml:space="preserve"> law pertaining to security for costs. Thereafter I shall consider whether Apex has made out a case for an order for security for costs</w:t>
      </w:r>
      <w:r w:rsidR="008D027C">
        <w:rPr>
          <w:sz w:val="24"/>
          <w:szCs w:val="24"/>
        </w:rPr>
        <w:t xml:space="preserve"> against ATS.</w:t>
      </w:r>
      <w:r>
        <w:rPr>
          <w:sz w:val="24"/>
          <w:szCs w:val="24"/>
        </w:rPr>
        <w:t xml:space="preserve"> Finally</w:t>
      </w:r>
      <w:r w:rsidR="00DC2869">
        <w:rPr>
          <w:sz w:val="24"/>
          <w:szCs w:val="24"/>
        </w:rPr>
        <w:t>,</w:t>
      </w:r>
      <w:r>
        <w:rPr>
          <w:sz w:val="24"/>
          <w:szCs w:val="24"/>
        </w:rPr>
        <w:t xml:space="preserve"> I shall consider the question of the costs of the joinder application. </w:t>
      </w:r>
    </w:p>
    <w:p w14:paraId="337110C1" w14:textId="18FCECB6" w:rsidR="004C7777" w:rsidRPr="004C7777" w:rsidRDefault="004C7777" w:rsidP="004C7777">
      <w:pPr>
        <w:pStyle w:val="HB1"/>
        <w:numPr>
          <w:ilvl w:val="0"/>
          <w:numId w:val="0"/>
        </w:numPr>
        <w:rPr>
          <w:sz w:val="24"/>
          <w:szCs w:val="24"/>
          <w:u w:val="single"/>
        </w:rPr>
      </w:pPr>
      <w:r w:rsidRPr="004C7777">
        <w:rPr>
          <w:sz w:val="24"/>
          <w:szCs w:val="24"/>
          <w:u w:val="single"/>
        </w:rPr>
        <w:t xml:space="preserve">The </w:t>
      </w:r>
      <w:r w:rsidR="00C7729A">
        <w:rPr>
          <w:sz w:val="24"/>
          <w:szCs w:val="24"/>
          <w:u w:val="single"/>
        </w:rPr>
        <w:t xml:space="preserve">Main Application </w:t>
      </w:r>
    </w:p>
    <w:p w14:paraId="4433D8B0" w14:textId="616B11ED" w:rsidR="004C7777" w:rsidRDefault="004C7777" w:rsidP="00B50BA2">
      <w:pPr>
        <w:pStyle w:val="HB1"/>
        <w:rPr>
          <w:sz w:val="24"/>
          <w:szCs w:val="24"/>
        </w:rPr>
      </w:pPr>
      <w:r>
        <w:rPr>
          <w:sz w:val="24"/>
          <w:szCs w:val="24"/>
        </w:rPr>
        <w:t>On 1 November 2016, Apex and ATS concluded four</w:t>
      </w:r>
      <w:r w:rsidR="008D027C">
        <w:rPr>
          <w:sz w:val="24"/>
          <w:szCs w:val="24"/>
        </w:rPr>
        <w:t xml:space="preserve"> SAGOS</w:t>
      </w:r>
      <w:r>
        <w:rPr>
          <w:sz w:val="24"/>
          <w:szCs w:val="24"/>
        </w:rPr>
        <w:t xml:space="preserve"> contracts</w:t>
      </w:r>
      <w:r w:rsidR="000F6AA3">
        <w:rPr>
          <w:sz w:val="24"/>
          <w:szCs w:val="24"/>
        </w:rPr>
        <w:t xml:space="preserve"> for the buying and selling of Bulgarian sunflower meal pellets of a specified quality and quantity. </w:t>
      </w:r>
      <w:r w:rsidR="00E157FF">
        <w:rPr>
          <w:sz w:val="24"/>
          <w:szCs w:val="24"/>
        </w:rPr>
        <w:t>During or about March 2017, a</w:t>
      </w:r>
      <w:r w:rsidR="000F6AA3">
        <w:rPr>
          <w:sz w:val="24"/>
          <w:szCs w:val="24"/>
        </w:rPr>
        <w:t xml:space="preserve"> dispute arose between the parties pertaining to these contracts.</w:t>
      </w:r>
    </w:p>
    <w:p w14:paraId="5BD63097" w14:textId="2B9C8979" w:rsidR="000F6AA3" w:rsidRDefault="000F6AA3" w:rsidP="00B50BA2">
      <w:pPr>
        <w:pStyle w:val="HB1"/>
        <w:rPr>
          <w:sz w:val="24"/>
          <w:szCs w:val="24"/>
        </w:rPr>
      </w:pPr>
      <w:r>
        <w:rPr>
          <w:sz w:val="24"/>
          <w:szCs w:val="24"/>
        </w:rPr>
        <w:t>On 6 October 2017, ATS referred the dispute arising from the contracts to arbitration.</w:t>
      </w:r>
    </w:p>
    <w:p w14:paraId="2F52BDCD" w14:textId="62F16326" w:rsidR="000F6AA3" w:rsidRDefault="00461674" w:rsidP="00B50BA2">
      <w:pPr>
        <w:pStyle w:val="HB1"/>
        <w:rPr>
          <w:sz w:val="24"/>
          <w:szCs w:val="24"/>
        </w:rPr>
      </w:pPr>
      <w:r>
        <w:rPr>
          <w:sz w:val="24"/>
          <w:szCs w:val="24"/>
        </w:rPr>
        <w:t xml:space="preserve">Apex took the </w:t>
      </w:r>
      <w:r w:rsidR="00CE3008">
        <w:rPr>
          <w:sz w:val="24"/>
          <w:szCs w:val="24"/>
        </w:rPr>
        <w:t>view</w:t>
      </w:r>
      <w:r>
        <w:rPr>
          <w:sz w:val="24"/>
          <w:szCs w:val="24"/>
        </w:rPr>
        <w:t xml:space="preserve"> that the referral to arbitration was time barred in terms of clauses 16.2.2 and 16.2.3 of the contacts </w:t>
      </w:r>
      <w:r w:rsidR="00D55342">
        <w:rPr>
          <w:sz w:val="24"/>
          <w:szCs w:val="24"/>
        </w:rPr>
        <w:t xml:space="preserve">(“the time barring clauses”) </w:t>
      </w:r>
      <w:r>
        <w:rPr>
          <w:sz w:val="24"/>
          <w:szCs w:val="24"/>
        </w:rPr>
        <w:t xml:space="preserve">and accordingly, on 20 October 2017, gave notice of </w:t>
      </w:r>
      <w:r w:rsidR="002021BE">
        <w:rPr>
          <w:sz w:val="24"/>
          <w:szCs w:val="24"/>
        </w:rPr>
        <w:t>it</w:t>
      </w:r>
      <w:r w:rsidR="00C7729A">
        <w:rPr>
          <w:sz w:val="24"/>
          <w:szCs w:val="24"/>
        </w:rPr>
        <w:t>s</w:t>
      </w:r>
      <w:r w:rsidR="002021BE">
        <w:rPr>
          <w:sz w:val="24"/>
          <w:szCs w:val="24"/>
        </w:rPr>
        <w:t xml:space="preserve"> intention to raise a special plea </w:t>
      </w:r>
      <w:r w:rsidR="00271673">
        <w:rPr>
          <w:sz w:val="24"/>
          <w:szCs w:val="24"/>
        </w:rPr>
        <w:t>to this effect.</w:t>
      </w:r>
    </w:p>
    <w:p w14:paraId="219B4A1B" w14:textId="7732824E" w:rsidR="002021BE" w:rsidRDefault="002021BE" w:rsidP="00B50BA2">
      <w:pPr>
        <w:pStyle w:val="HB1"/>
        <w:rPr>
          <w:sz w:val="24"/>
          <w:szCs w:val="24"/>
        </w:rPr>
      </w:pPr>
      <w:r>
        <w:rPr>
          <w:sz w:val="24"/>
          <w:szCs w:val="24"/>
        </w:rPr>
        <w:t>On 14 March 2018, ATS launched an application</w:t>
      </w:r>
      <w:r w:rsidR="00CE3008">
        <w:rPr>
          <w:sz w:val="24"/>
          <w:szCs w:val="24"/>
        </w:rPr>
        <w:t xml:space="preserve"> in this Court</w:t>
      </w:r>
      <w:r>
        <w:rPr>
          <w:sz w:val="24"/>
          <w:szCs w:val="24"/>
        </w:rPr>
        <w:t xml:space="preserve"> for the extension of the </w:t>
      </w:r>
      <w:r w:rsidR="00D55342">
        <w:rPr>
          <w:sz w:val="24"/>
          <w:szCs w:val="24"/>
        </w:rPr>
        <w:t xml:space="preserve">time periods referred to in the </w:t>
      </w:r>
      <w:r>
        <w:rPr>
          <w:sz w:val="24"/>
          <w:szCs w:val="24"/>
        </w:rPr>
        <w:t xml:space="preserve">time barring clauses </w:t>
      </w:r>
      <w:r w:rsidR="00C7729A">
        <w:rPr>
          <w:sz w:val="24"/>
          <w:szCs w:val="24"/>
        </w:rPr>
        <w:t>in terms of</w:t>
      </w:r>
      <w:r>
        <w:rPr>
          <w:sz w:val="24"/>
          <w:szCs w:val="24"/>
        </w:rPr>
        <w:t xml:space="preserve"> section 8 of the Arbitration Act</w:t>
      </w:r>
      <w:r w:rsidR="002C15BB">
        <w:rPr>
          <w:sz w:val="24"/>
          <w:szCs w:val="24"/>
        </w:rPr>
        <w:t xml:space="preserve"> 45 of 1965 (“the Arbitration Act”). This </w:t>
      </w:r>
      <w:r w:rsidR="00C7729A">
        <w:rPr>
          <w:sz w:val="24"/>
          <w:szCs w:val="24"/>
        </w:rPr>
        <w:t xml:space="preserve">is the main application. </w:t>
      </w:r>
    </w:p>
    <w:p w14:paraId="666B3ADB" w14:textId="33FFCC04" w:rsidR="002021BE" w:rsidRDefault="002021BE" w:rsidP="00B50BA2">
      <w:pPr>
        <w:pStyle w:val="HB1"/>
        <w:rPr>
          <w:sz w:val="24"/>
          <w:szCs w:val="24"/>
        </w:rPr>
      </w:pPr>
      <w:r>
        <w:rPr>
          <w:sz w:val="24"/>
          <w:szCs w:val="24"/>
        </w:rPr>
        <w:t>On 28 November 2019</w:t>
      </w:r>
      <w:r w:rsidR="00C7729A">
        <w:rPr>
          <w:sz w:val="24"/>
          <w:szCs w:val="24"/>
        </w:rPr>
        <w:t xml:space="preserve">, </w:t>
      </w:r>
      <w:r>
        <w:rPr>
          <w:sz w:val="24"/>
          <w:szCs w:val="24"/>
        </w:rPr>
        <w:t>ATS was placed in final liquidation by the Gauteng Local Division of th</w:t>
      </w:r>
      <w:r w:rsidR="00C44898">
        <w:rPr>
          <w:sz w:val="24"/>
          <w:szCs w:val="24"/>
        </w:rPr>
        <w:t>is Court.</w:t>
      </w:r>
    </w:p>
    <w:p w14:paraId="3474C037" w14:textId="0275D1A5" w:rsidR="00F17710" w:rsidRDefault="00896143" w:rsidP="00B50BA2">
      <w:pPr>
        <w:pStyle w:val="HB1"/>
        <w:rPr>
          <w:sz w:val="24"/>
          <w:szCs w:val="24"/>
        </w:rPr>
      </w:pPr>
      <w:r w:rsidRPr="00896143">
        <w:rPr>
          <w:sz w:val="24"/>
          <w:szCs w:val="24"/>
        </w:rPr>
        <w:t>On 12 October 2020, Apex brought this application for security for costs against ATS</w:t>
      </w:r>
      <w:r w:rsidR="00C7729A">
        <w:rPr>
          <w:sz w:val="24"/>
          <w:szCs w:val="24"/>
        </w:rPr>
        <w:t xml:space="preserve"> in respect of the main application. </w:t>
      </w:r>
    </w:p>
    <w:p w14:paraId="2D462307" w14:textId="56E09107" w:rsidR="00F0347B" w:rsidRDefault="00D92554" w:rsidP="00D92554">
      <w:pPr>
        <w:pStyle w:val="HB1"/>
        <w:numPr>
          <w:ilvl w:val="0"/>
          <w:numId w:val="0"/>
        </w:numPr>
        <w:rPr>
          <w:sz w:val="24"/>
          <w:szCs w:val="24"/>
          <w:u w:val="single"/>
        </w:rPr>
      </w:pPr>
      <w:r w:rsidRPr="00D92554">
        <w:rPr>
          <w:sz w:val="24"/>
          <w:szCs w:val="24"/>
          <w:u w:val="single"/>
        </w:rPr>
        <w:t>The Applicable La</w:t>
      </w:r>
      <w:r w:rsidR="00F0347B">
        <w:rPr>
          <w:sz w:val="24"/>
          <w:szCs w:val="24"/>
          <w:u w:val="single"/>
        </w:rPr>
        <w:t>w</w:t>
      </w:r>
    </w:p>
    <w:p w14:paraId="224109AE" w14:textId="495C867D" w:rsidR="00313EA7" w:rsidRDefault="00CD6D97" w:rsidP="00F0347B">
      <w:pPr>
        <w:pStyle w:val="HB1"/>
        <w:rPr>
          <w:sz w:val="24"/>
          <w:szCs w:val="24"/>
        </w:rPr>
      </w:pPr>
      <w:r>
        <w:rPr>
          <w:sz w:val="24"/>
          <w:szCs w:val="24"/>
        </w:rPr>
        <w:t xml:space="preserve">The procedure </w:t>
      </w:r>
      <w:r w:rsidR="00C7729A">
        <w:rPr>
          <w:sz w:val="24"/>
          <w:szCs w:val="24"/>
        </w:rPr>
        <w:t>in terms of which</w:t>
      </w:r>
      <w:r>
        <w:rPr>
          <w:sz w:val="24"/>
          <w:szCs w:val="24"/>
        </w:rPr>
        <w:t xml:space="preserve"> an application for security for costs is made is governed by Uniform Rule 47. It provides:</w:t>
      </w:r>
    </w:p>
    <w:p w14:paraId="5013E113" w14:textId="21D57954" w:rsidR="00CD6D97" w:rsidRDefault="00CD6D97" w:rsidP="00B8034E">
      <w:pPr>
        <w:pStyle w:val="HB1"/>
        <w:numPr>
          <w:ilvl w:val="0"/>
          <w:numId w:val="0"/>
        </w:numPr>
        <w:spacing w:after="240" w:line="240" w:lineRule="auto"/>
        <w:ind w:left="1701"/>
        <w:rPr>
          <w:sz w:val="24"/>
          <w:szCs w:val="24"/>
        </w:rPr>
      </w:pPr>
      <w:r>
        <w:rPr>
          <w:sz w:val="24"/>
          <w:szCs w:val="24"/>
        </w:rPr>
        <w:t>“(1) A party entitled and desiring to demand security shall, as soon as practicable after the commencement of proceedings, deliver a notice setting forth the grounds upon which security is claimed and the amount demanded.</w:t>
      </w:r>
    </w:p>
    <w:p w14:paraId="55C52D73" w14:textId="67BDDD93" w:rsidR="00CD6D97" w:rsidRDefault="00CD6D97" w:rsidP="00B8034E">
      <w:pPr>
        <w:pStyle w:val="HB1"/>
        <w:numPr>
          <w:ilvl w:val="0"/>
          <w:numId w:val="0"/>
        </w:numPr>
        <w:spacing w:after="240" w:line="240" w:lineRule="auto"/>
        <w:ind w:left="1701" w:firstLine="589"/>
        <w:rPr>
          <w:sz w:val="24"/>
          <w:szCs w:val="24"/>
        </w:rPr>
      </w:pPr>
      <w:r>
        <w:rPr>
          <w:sz w:val="24"/>
          <w:szCs w:val="24"/>
        </w:rPr>
        <w:t>…</w:t>
      </w:r>
    </w:p>
    <w:p w14:paraId="17C35D45" w14:textId="480B055A" w:rsidR="00CD6D97" w:rsidRDefault="00CD6D97" w:rsidP="00B8034E">
      <w:pPr>
        <w:pStyle w:val="HB1"/>
        <w:numPr>
          <w:ilvl w:val="0"/>
          <w:numId w:val="0"/>
        </w:numPr>
        <w:spacing w:after="240" w:line="240" w:lineRule="auto"/>
        <w:ind w:left="1701"/>
        <w:rPr>
          <w:sz w:val="24"/>
          <w:szCs w:val="24"/>
        </w:rPr>
      </w:pPr>
      <w:r>
        <w:rPr>
          <w:sz w:val="24"/>
          <w:szCs w:val="24"/>
        </w:rPr>
        <w:t>(4) The court may</w:t>
      </w:r>
      <w:r w:rsidR="009F1DC3">
        <w:rPr>
          <w:sz w:val="24"/>
          <w:szCs w:val="24"/>
        </w:rPr>
        <w:t>, i</w:t>
      </w:r>
      <w:r w:rsidR="00015254">
        <w:rPr>
          <w:sz w:val="24"/>
          <w:szCs w:val="24"/>
        </w:rPr>
        <w:t>f</w:t>
      </w:r>
      <w:r w:rsidR="009F1DC3">
        <w:rPr>
          <w:sz w:val="24"/>
          <w:szCs w:val="24"/>
        </w:rPr>
        <w:t xml:space="preserve"> security be not given within a reasonable time, dismiss any proceedings instituted or strike out any pleadings filed by the party in default, or make such other order as to it may seem meet.”</w:t>
      </w:r>
    </w:p>
    <w:p w14:paraId="69D91A0C" w14:textId="77777777" w:rsidR="00D55342" w:rsidRDefault="00D55342" w:rsidP="00B8034E">
      <w:pPr>
        <w:pStyle w:val="HB1"/>
        <w:numPr>
          <w:ilvl w:val="0"/>
          <w:numId w:val="0"/>
        </w:numPr>
        <w:spacing w:after="240" w:line="240" w:lineRule="auto"/>
        <w:ind w:left="1440"/>
        <w:rPr>
          <w:sz w:val="24"/>
          <w:szCs w:val="24"/>
        </w:rPr>
      </w:pPr>
    </w:p>
    <w:p w14:paraId="2A0CAE62" w14:textId="297FC5E2" w:rsidR="00551454" w:rsidRDefault="00F0347B" w:rsidP="00F0347B">
      <w:pPr>
        <w:pStyle w:val="HB1"/>
        <w:rPr>
          <w:sz w:val="24"/>
          <w:szCs w:val="24"/>
        </w:rPr>
      </w:pPr>
      <w:r>
        <w:rPr>
          <w:sz w:val="24"/>
          <w:szCs w:val="24"/>
        </w:rPr>
        <w:t>The</w:t>
      </w:r>
      <w:r w:rsidR="009F1DC3">
        <w:rPr>
          <w:sz w:val="24"/>
          <w:szCs w:val="24"/>
        </w:rPr>
        <w:t xml:space="preserve"> rule, which deals with the procedure to be followed, applies to all cases </w:t>
      </w:r>
      <w:r w:rsidR="00BF3208">
        <w:rPr>
          <w:sz w:val="24"/>
          <w:szCs w:val="24"/>
        </w:rPr>
        <w:t>in which</w:t>
      </w:r>
      <w:r w:rsidR="009F1DC3">
        <w:rPr>
          <w:sz w:val="24"/>
          <w:szCs w:val="24"/>
        </w:rPr>
        <w:t xml:space="preserve"> security is sought in the High Court. It deals with procedure and not </w:t>
      </w:r>
      <w:r w:rsidR="00551454">
        <w:rPr>
          <w:sz w:val="24"/>
          <w:szCs w:val="24"/>
        </w:rPr>
        <w:t xml:space="preserve">with substantive law. For the substantive </w:t>
      </w:r>
      <w:r w:rsidR="00BF3208">
        <w:rPr>
          <w:sz w:val="24"/>
          <w:szCs w:val="24"/>
        </w:rPr>
        <w:t>law on security for costs regard must be had to the</w:t>
      </w:r>
      <w:r w:rsidR="00551454">
        <w:rPr>
          <w:sz w:val="24"/>
          <w:szCs w:val="24"/>
        </w:rPr>
        <w:t xml:space="preserve"> common law and the relevant statutory provisions</w:t>
      </w:r>
      <w:r w:rsidR="00BF3208">
        <w:rPr>
          <w:sz w:val="24"/>
          <w:szCs w:val="24"/>
        </w:rPr>
        <w:t>.</w:t>
      </w:r>
    </w:p>
    <w:p w14:paraId="496BD849" w14:textId="466D45B6" w:rsidR="00551454" w:rsidRDefault="00551454" w:rsidP="00F0347B">
      <w:pPr>
        <w:pStyle w:val="HB1"/>
        <w:rPr>
          <w:sz w:val="24"/>
          <w:szCs w:val="24"/>
        </w:rPr>
      </w:pPr>
      <w:r>
        <w:rPr>
          <w:sz w:val="24"/>
          <w:szCs w:val="24"/>
        </w:rPr>
        <w:t>The general rule of our</w:t>
      </w:r>
      <w:r w:rsidR="00BF3208">
        <w:rPr>
          <w:sz w:val="24"/>
          <w:szCs w:val="24"/>
        </w:rPr>
        <w:t xml:space="preserve"> common</w:t>
      </w:r>
      <w:r>
        <w:rPr>
          <w:sz w:val="24"/>
          <w:szCs w:val="24"/>
        </w:rPr>
        <w:t xml:space="preserve"> law</w:t>
      </w:r>
      <w:r w:rsidR="00D37C66">
        <w:rPr>
          <w:sz w:val="24"/>
          <w:szCs w:val="24"/>
        </w:rPr>
        <w:t>,</w:t>
      </w:r>
      <w:r>
        <w:rPr>
          <w:sz w:val="24"/>
          <w:szCs w:val="24"/>
        </w:rPr>
        <w:t xml:space="preserve"> as laid down in </w:t>
      </w:r>
      <w:r w:rsidRPr="00BF3208">
        <w:rPr>
          <w:i/>
          <w:iCs/>
          <w:sz w:val="24"/>
          <w:szCs w:val="24"/>
        </w:rPr>
        <w:t>Witham v Venables</w:t>
      </w:r>
      <w:r w:rsidR="00D37C66">
        <w:rPr>
          <w:i/>
          <w:iCs/>
          <w:sz w:val="24"/>
          <w:szCs w:val="24"/>
        </w:rPr>
        <w:t>,</w:t>
      </w:r>
      <w:r w:rsidR="00BF3208" w:rsidRPr="00B8034E">
        <w:rPr>
          <w:rStyle w:val="FootnoteReference"/>
          <w:sz w:val="24"/>
          <w:szCs w:val="24"/>
        </w:rPr>
        <w:footnoteReference w:id="1"/>
      </w:r>
      <w:r>
        <w:rPr>
          <w:sz w:val="24"/>
          <w:szCs w:val="24"/>
        </w:rPr>
        <w:t xml:space="preserve"> is that an </w:t>
      </w:r>
      <w:proofErr w:type="spellStart"/>
      <w:r w:rsidRPr="00BF3208">
        <w:rPr>
          <w:i/>
          <w:iCs/>
          <w:sz w:val="24"/>
          <w:szCs w:val="24"/>
        </w:rPr>
        <w:t>incola</w:t>
      </w:r>
      <w:proofErr w:type="spellEnd"/>
      <w:r w:rsidRPr="00BF3208">
        <w:rPr>
          <w:i/>
          <w:iCs/>
          <w:sz w:val="24"/>
          <w:szCs w:val="24"/>
        </w:rPr>
        <w:t xml:space="preserve"> </w:t>
      </w:r>
      <w:r>
        <w:rPr>
          <w:sz w:val="24"/>
          <w:szCs w:val="24"/>
        </w:rPr>
        <w:t>plaintiff cannot be compelled to furnish security for costs.</w:t>
      </w:r>
    </w:p>
    <w:p w14:paraId="6B8C67E2" w14:textId="0FD523DA" w:rsidR="00BE61F1" w:rsidRDefault="00BF3208" w:rsidP="00F0347B">
      <w:pPr>
        <w:pStyle w:val="HB1"/>
        <w:rPr>
          <w:sz w:val="24"/>
          <w:szCs w:val="24"/>
        </w:rPr>
      </w:pPr>
      <w:r>
        <w:rPr>
          <w:sz w:val="24"/>
          <w:szCs w:val="24"/>
        </w:rPr>
        <w:t xml:space="preserve">However, </w:t>
      </w:r>
      <w:r w:rsidR="000A499A">
        <w:rPr>
          <w:sz w:val="24"/>
          <w:szCs w:val="24"/>
        </w:rPr>
        <w:t>i</w:t>
      </w:r>
      <w:r w:rsidR="00551454">
        <w:rPr>
          <w:sz w:val="24"/>
          <w:szCs w:val="24"/>
        </w:rPr>
        <w:t>n the case of a company,</w:t>
      </w:r>
      <w:r>
        <w:rPr>
          <w:sz w:val="24"/>
          <w:szCs w:val="24"/>
        </w:rPr>
        <w:t xml:space="preserve"> there existed, until recently, an exception to this general rule. </w:t>
      </w:r>
      <w:r w:rsidR="00BE61F1">
        <w:rPr>
          <w:sz w:val="24"/>
          <w:szCs w:val="24"/>
        </w:rPr>
        <w:t>Section 13 of the Companies Act 61 of 1973 provided as follows:</w:t>
      </w:r>
    </w:p>
    <w:p w14:paraId="2F3F4A92" w14:textId="00D3C381" w:rsidR="00551454" w:rsidRDefault="00BE61F1" w:rsidP="00A01AC4">
      <w:pPr>
        <w:pStyle w:val="HB1"/>
        <w:numPr>
          <w:ilvl w:val="0"/>
          <w:numId w:val="0"/>
        </w:numPr>
        <w:spacing w:line="240" w:lineRule="auto"/>
        <w:ind w:left="1701"/>
        <w:rPr>
          <w:sz w:val="24"/>
          <w:szCs w:val="24"/>
        </w:rPr>
      </w:pPr>
      <w:r>
        <w:rPr>
          <w:sz w:val="24"/>
          <w:szCs w:val="24"/>
        </w:rPr>
        <w:t xml:space="preserve">“Where a company or other body corporate is plaintiff in any legal proceedings, the Court may at any stage, if it appears by credible testimony that there is reason to believe that the company or body corporate or if it is being </w:t>
      </w:r>
      <w:r w:rsidR="00BF3208">
        <w:rPr>
          <w:sz w:val="24"/>
          <w:szCs w:val="24"/>
        </w:rPr>
        <w:t>wound</w:t>
      </w:r>
      <w:r>
        <w:rPr>
          <w:sz w:val="24"/>
          <w:szCs w:val="24"/>
        </w:rPr>
        <w:t xml:space="preserve"> up, the liquidator thereof, will be unable to pay the costs of the defendant or respondent if successful in his defence, require sufficient security to be given for those costs and may stay all proceedings till the security is given.” </w:t>
      </w:r>
      <w:r w:rsidR="00551454">
        <w:rPr>
          <w:sz w:val="24"/>
          <w:szCs w:val="24"/>
        </w:rPr>
        <w:t xml:space="preserve"> </w:t>
      </w:r>
    </w:p>
    <w:p w14:paraId="6F801483" w14:textId="77777777" w:rsidR="00D55342" w:rsidRDefault="00D55342" w:rsidP="00B8034E">
      <w:pPr>
        <w:pStyle w:val="HB1"/>
        <w:numPr>
          <w:ilvl w:val="0"/>
          <w:numId w:val="0"/>
        </w:numPr>
        <w:spacing w:after="0" w:line="240" w:lineRule="auto"/>
        <w:ind w:left="1440"/>
        <w:rPr>
          <w:sz w:val="24"/>
          <w:szCs w:val="24"/>
        </w:rPr>
      </w:pPr>
    </w:p>
    <w:p w14:paraId="787D6B1D" w14:textId="3ECDAD24" w:rsidR="00AA198C" w:rsidRDefault="00AA198C" w:rsidP="00F0347B">
      <w:pPr>
        <w:pStyle w:val="HB1"/>
        <w:rPr>
          <w:sz w:val="24"/>
          <w:szCs w:val="24"/>
        </w:rPr>
      </w:pPr>
      <w:r>
        <w:rPr>
          <w:sz w:val="24"/>
          <w:szCs w:val="24"/>
        </w:rPr>
        <w:t>The 1973 Companies Act was repealed and replaced by the Companies Act 71 of 2008</w:t>
      </w:r>
      <w:r w:rsidR="00FE7919">
        <w:rPr>
          <w:sz w:val="24"/>
          <w:szCs w:val="24"/>
        </w:rPr>
        <w:t>. The new Companies Act does not contain a provision equivalent to the old section 13.</w:t>
      </w:r>
    </w:p>
    <w:p w14:paraId="73781A50" w14:textId="20C0D7B8" w:rsidR="001E39B9" w:rsidRDefault="002174C5" w:rsidP="00F0347B">
      <w:pPr>
        <w:pStyle w:val="HB1"/>
        <w:rPr>
          <w:sz w:val="24"/>
          <w:szCs w:val="24"/>
        </w:rPr>
      </w:pPr>
      <w:proofErr w:type="gramStart"/>
      <w:r>
        <w:rPr>
          <w:sz w:val="24"/>
          <w:szCs w:val="24"/>
        </w:rPr>
        <w:t>Following the commencement of the new Companies Act, there</w:t>
      </w:r>
      <w:proofErr w:type="gramEnd"/>
      <w:r>
        <w:rPr>
          <w:sz w:val="24"/>
          <w:szCs w:val="24"/>
        </w:rPr>
        <w:t xml:space="preserve"> were</w:t>
      </w:r>
      <w:r w:rsidR="001E39B9">
        <w:rPr>
          <w:sz w:val="24"/>
          <w:szCs w:val="24"/>
        </w:rPr>
        <w:t xml:space="preserve"> several judgments in which </w:t>
      </w:r>
      <w:r w:rsidR="00757299">
        <w:rPr>
          <w:sz w:val="24"/>
          <w:szCs w:val="24"/>
        </w:rPr>
        <w:t xml:space="preserve">the High Courts had occasion to consider whether, absent a counterpart to section 13 in the new Companies Act, an </w:t>
      </w:r>
      <w:proofErr w:type="spellStart"/>
      <w:r w:rsidR="00757299" w:rsidRPr="00757299">
        <w:rPr>
          <w:i/>
          <w:iCs/>
          <w:sz w:val="24"/>
          <w:szCs w:val="24"/>
        </w:rPr>
        <w:t>incola</w:t>
      </w:r>
      <w:proofErr w:type="spellEnd"/>
      <w:r w:rsidR="00757299">
        <w:rPr>
          <w:sz w:val="24"/>
          <w:szCs w:val="24"/>
        </w:rPr>
        <w:t xml:space="preserve"> company could be ordered to furnish security for costs. Those judgments, or at least some of them, were discordant on the topic.</w:t>
      </w:r>
      <w:r w:rsidR="00757299">
        <w:rPr>
          <w:rStyle w:val="FootnoteReference"/>
          <w:sz w:val="24"/>
          <w:szCs w:val="24"/>
        </w:rPr>
        <w:footnoteReference w:id="2"/>
      </w:r>
      <w:r w:rsidR="00757299">
        <w:rPr>
          <w:sz w:val="24"/>
          <w:szCs w:val="24"/>
        </w:rPr>
        <w:t xml:space="preserve"> </w:t>
      </w:r>
    </w:p>
    <w:p w14:paraId="468114C8" w14:textId="56FFD273" w:rsidR="00F0347B" w:rsidRPr="00E157FF" w:rsidRDefault="00E157FF" w:rsidP="00E157FF">
      <w:pPr>
        <w:pStyle w:val="HB1"/>
        <w:rPr>
          <w:sz w:val="24"/>
          <w:szCs w:val="24"/>
        </w:rPr>
      </w:pPr>
      <w:r>
        <w:rPr>
          <w:sz w:val="24"/>
          <w:szCs w:val="24"/>
        </w:rPr>
        <w:t>In 2015, the Supreme Court of Appeal (“SCA”) handed down judgment in</w:t>
      </w:r>
      <w:r w:rsidR="00F0347B" w:rsidRPr="00E157FF">
        <w:rPr>
          <w:sz w:val="24"/>
          <w:szCs w:val="24"/>
        </w:rPr>
        <w:t xml:space="preserve"> </w:t>
      </w:r>
      <w:r w:rsidR="00F0347B" w:rsidRPr="00E157FF">
        <w:rPr>
          <w:i/>
          <w:iCs/>
          <w:sz w:val="24"/>
          <w:szCs w:val="24"/>
        </w:rPr>
        <w:t>Boost Sports Africa (Pty) Ltd v South African Breweries</w:t>
      </w:r>
      <w:r w:rsidR="000A499A">
        <w:rPr>
          <w:i/>
          <w:iCs/>
          <w:sz w:val="24"/>
          <w:szCs w:val="24"/>
        </w:rPr>
        <w:t xml:space="preserve"> (Pty) Ltd</w:t>
      </w:r>
      <w:r w:rsidR="00F0347B">
        <w:rPr>
          <w:rStyle w:val="FootnoteReference"/>
          <w:i/>
          <w:iCs/>
          <w:sz w:val="24"/>
          <w:szCs w:val="24"/>
        </w:rPr>
        <w:footnoteReference w:id="3"/>
      </w:r>
      <w:r w:rsidR="00F0347B" w:rsidRPr="00E157FF">
        <w:rPr>
          <w:i/>
          <w:iCs/>
          <w:sz w:val="24"/>
          <w:szCs w:val="24"/>
        </w:rPr>
        <w:t xml:space="preserve"> </w:t>
      </w:r>
      <w:r>
        <w:rPr>
          <w:sz w:val="24"/>
          <w:szCs w:val="24"/>
        </w:rPr>
        <w:t>in which it clarified the legal position in respect of security for costs under the new Companies Act. The SCA held as follows:</w:t>
      </w:r>
    </w:p>
    <w:p w14:paraId="610720FC" w14:textId="2F397486" w:rsidR="00F0347B" w:rsidRDefault="00F0347B" w:rsidP="00B8034E">
      <w:pPr>
        <w:pStyle w:val="HB1"/>
        <w:numPr>
          <w:ilvl w:val="0"/>
          <w:numId w:val="0"/>
        </w:numPr>
        <w:spacing w:after="240" w:line="240" w:lineRule="auto"/>
        <w:ind w:left="1701"/>
        <w:rPr>
          <w:sz w:val="24"/>
          <w:szCs w:val="24"/>
        </w:rPr>
      </w:pPr>
      <w:r>
        <w:rPr>
          <w:sz w:val="24"/>
          <w:szCs w:val="24"/>
        </w:rPr>
        <w:t>“</w:t>
      </w:r>
      <w:r w:rsidR="004B505B">
        <w:rPr>
          <w:sz w:val="24"/>
          <w:szCs w:val="24"/>
        </w:rPr>
        <w:t xml:space="preserve">[14] </w:t>
      </w:r>
      <w:r>
        <w:rPr>
          <w:sz w:val="24"/>
          <w:szCs w:val="24"/>
        </w:rPr>
        <w:t xml:space="preserve">The onus is on the party seeking security to persuade a court that security should be ordered. As was the situation under s 13 in the past, a court in the exercise of its discretion will have regard to the nature of the claim; the financial position of the company at the stage of the application for security; and its probable financial position should it lose the action. The distinction to be drawn between the common law and that which prevailed in terms of s 13 is described thus by Brand JA in </w:t>
      </w:r>
      <w:r w:rsidRPr="006C0E83">
        <w:rPr>
          <w:i/>
          <w:iCs/>
          <w:sz w:val="24"/>
          <w:szCs w:val="24"/>
        </w:rPr>
        <w:t>MTN Service Provider (Pty) Ltd v Afro Call (Pty) Ltd</w:t>
      </w:r>
      <w:r>
        <w:rPr>
          <w:sz w:val="24"/>
          <w:szCs w:val="24"/>
        </w:rPr>
        <w:t xml:space="preserve"> 2007 (6) SA 620 (SCA) paras 15 – 16</w:t>
      </w:r>
      <w:r w:rsidR="00AA198C">
        <w:rPr>
          <w:sz w:val="24"/>
          <w:szCs w:val="24"/>
        </w:rPr>
        <w:t>:</w:t>
      </w:r>
      <w:r>
        <w:rPr>
          <w:sz w:val="24"/>
          <w:szCs w:val="24"/>
        </w:rPr>
        <w:t xml:space="preserve"> </w:t>
      </w:r>
    </w:p>
    <w:p w14:paraId="698945B3" w14:textId="0F813832" w:rsidR="00F0347B" w:rsidRDefault="008D4C6E" w:rsidP="00B8034E">
      <w:pPr>
        <w:pStyle w:val="HB1"/>
        <w:numPr>
          <w:ilvl w:val="0"/>
          <w:numId w:val="0"/>
        </w:numPr>
        <w:spacing w:after="240" w:line="240" w:lineRule="auto"/>
        <w:ind w:left="2160"/>
        <w:rPr>
          <w:sz w:val="24"/>
          <w:szCs w:val="24"/>
        </w:rPr>
      </w:pPr>
      <w:r>
        <w:rPr>
          <w:sz w:val="24"/>
          <w:szCs w:val="24"/>
        </w:rPr>
        <w:t>‘</w:t>
      </w:r>
      <w:r w:rsidR="00F0347B">
        <w:rPr>
          <w:sz w:val="24"/>
          <w:szCs w:val="24"/>
        </w:rPr>
        <w:t xml:space="preserve">Against an insolvent natural person, who is an </w:t>
      </w:r>
      <w:proofErr w:type="spellStart"/>
      <w:r w:rsidR="00F0347B" w:rsidRPr="00F0165F">
        <w:rPr>
          <w:i/>
          <w:iCs/>
          <w:sz w:val="24"/>
          <w:szCs w:val="24"/>
        </w:rPr>
        <w:t>incola</w:t>
      </w:r>
      <w:proofErr w:type="spellEnd"/>
      <w:r w:rsidR="00F0347B">
        <w:rPr>
          <w:sz w:val="24"/>
          <w:szCs w:val="24"/>
        </w:rPr>
        <w:t xml:space="preserve">, so it has been held, security will only be granted if his or her action can be found to be reckless </w:t>
      </w:r>
      <w:r w:rsidR="007150D1">
        <w:rPr>
          <w:sz w:val="24"/>
          <w:szCs w:val="24"/>
        </w:rPr>
        <w:t>and</w:t>
      </w:r>
      <w:r w:rsidR="00F0347B">
        <w:rPr>
          <w:sz w:val="24"/>
          <w:szCs w:val="24"/>
        </w:rPr>
        <w:t xml:space="preserve"> vexatious (see </w:t>
      </w:r>
      <w:r w:rsidR="00F0347B" w:rsidRPr="006C0E83">
        <w:rPr>
          <w:i/>
          <w:iCs/>
          <w:sz w:val="24"/>
          <w:szCs w:val="24"/>
        </w:rPr>
        <w:t>Ecker v Dean</w:t>
      </w:r>
      <w:r w:rsidR="00F0347B">
        <w:rPr>
          <w:sz w:val="24"/>
          <w:szCs w:val="24"/>
        </w:rPr>
        <w:t xml:space="preserve"> 1938 AD 102 at 110). The reason for this limitation, so it was explained in </w:t>
      </w:r>
      <w:r w:rsidR="00F0347B" w:rsidRPr="007150D1">
        <w:rPr>
          <w:i/>
          <w:iCs/>
          <w:sz w:val="24"/>
          <w:szCs w:val="24"/>
        </w:rPr>
        <w:t xml:space="preserve">Ecker </w:t>
      </w:r>
      <w:r w:rsidR="00F0347B">
        <w:rPr>
          <w:sz w:val="24"/>
          <w:szCs w:val="24"/>
        </w:rPr>
        <w:t xml:space="preserve">(at 111) is that the court’s power to order security against an </w:t>
      </w:r>
      <w:proofErr w:type="spellStart"/>
      <w:r w:rsidR="00F0347B" w:rsidRPr="007150D1">
        <w:rPr>
          <w:i/>
          <w:iCs/>
          <w:sz w:val="24"/>
          <w:szCs w:val="24"/>
        </w:rPr>
        <w:t>incola</w:t>
      </w:r>
      <w:proofErr w:type="spellEnd"/>
      <w:r w:rsidR="00F0347B" w:rsidRPr="007150D1">
        <w:rPr>
          <w:i/>
          <w:iCs/>
          <w:sz w:val="24"/>
          <w:szCs w:val="24"/>
        </w:rPr>
        <w:t xml:space="preserve"> </w:t>
      </w:r>
      <w:r w:rsidR="00F0347B">
        <w:rPr>
          <w:sz w:val="24"/>
          <w:szCs w:val="24"/>
        </w:rPr>
        <w:t xml:space="preserve">is derived from its inherent jurisdiction to prevent abuse of its own process in certain circumstances. And this jurisdiction, said Solomon JA in </w:t>
      </w:r>
      <w:r w:rsidR="00F0347B" w:rsidRPr="006C0E83">
        <w:rPr>
          <w:i/>
          <w:iCs/>
          <w:sz w:val="24"/>
          <w:szCs w:val="24"/>
        </w:rPr>
        <w:t>Western Assurance Co v Caldwell’s Trustee</w:t>
      </w:r>
      <w:r w:rsidR="00F0347B">
        <w:rPr>
          <w:sz w:val="24"/>
          <w:szCs w:val="24"/>
        </w:rPr>
        <w:t>, 1918 AD 262 at 274, ‘is a power which</w:t>
      </w:r>
      <w:r w:rsidR="00A01AC4">
        <w:rPr>
          <w:sz w:val="24"/>
          <w:szCs w:val="24"/>
        </w:rPr>
        <w:t xml:space="preserve"> … </w:t>
      </w:r>
      <w:r w:rsidR="00F0347B">
        <w:rPr>
          <w:sz w:val="24"/>
          <w:szCs w:val="24"/>
        </w:rPr>
        <w:t xml:space="preserve">ought to be sparingly exercised and only in very exceptional circumstances.’ (See also </w:t>
      </w:r>
      <w:proofErr w:type="spellStart"/>
      <w:proofErr w:type="gramStart"/>
      <w:r w:rsidR="00F0347B">
        <w:rPr>
          <w:sz w:val="24"/>
          <w:szCs w:val="24"/>
        </w:rPr>
        <w:t>eg</w:t>
      </w:r>
      <w:proofErr w:type="spellEnd"/>
      <w:proofErr w:type="gramEnd"/>
      <w:r w:rsidR="00F0347B">
        <w:rPr>
          <w:sz w:val="24"/>
          <w:szCs w:val="24"/>
        </w:rPr>
        <w:t xml:space="preserve"> </w:t>
      </w:r>
      <w:proofErr w:type="spellStart"/>
      <w:r w:rsidR="00F0347B" w:rsidRPr="006C0E83">
        <w:rPr>
          <w:i/>
          <w:iCs/>
          <w:sz w:val="24"/>
          <w:szCs w:val="24"/>
        </w:rPr>
        <w:t>Ramsamy</w:t>
      </w:r>
      <w:proofErr w:type="spellEnd"/>
      <w:r w:rsidR="00F0347B" w:rsidRPr="006C0E83">
        <w:rPr>
          <w:i/>
          <w:iCs/>
          <w:sz w:val="24"/>
          <w:szCs w:val="24"/>
        </w:rPr>
        <w:t xml:space="preserve"> NO v </w:t>
      </w:r>
      <w:proofErr w:type="spellStart"/>
      <w:r w:rsidR="00F0347B" w:rsidRPr="006C0E83">
        <w:rPr>
          <w:i/>
          <w:iCs/>
          <w:sz w:val="24"/>
          <w:szCs w:val="24"/>
        </w:rPr>
        <w:t>Maarman</w:t>
      </w:r>
      <w:proofErr w:type="spellEnd"/>
      <w:r w:rsidR="00F0347B" w:rsidRPr="006C0E83">
        <w:rPr>
          <w:i/>
          <w:iCs/>
          <w:sz w:val="24"/>
          <w:szCs w:val="24"/>
        </w:rPr>
        <w:t xml:space="preserve"> NO</w:t>
      </w:r>
      <w:r w:rsidR="00F0347B">
        <w:rPr>
          <w:sz w:val="24"/>
          <w:szCs w:val="24"/>
        </w:rPr>
        <w:t xml:space="preserve"> 2002 (6) SA 159 (C) 173 F-I)</w:t>
      </w:r>
    </w:p>
    <w:p w14:paraId="5243E248" w14:textId="3594AE23" w:rsidR="00F0347B" w:rsidRDefault="00F0347B" w:rsidP="00B8034E">
      <w:pPr>
        <w:pStyle w:val="HB1"/>
        <w:numPr>
          <w:ilvl w:val="0"/>
          <w:numId w:val="0"/>
        </w:numPr>
        <w:spacing w:after="240" w:line="240" w:lineRule="auto"/>
        <w:ind w:left="2160"/>
        <w:rPr>
          <w:sz w:val="24"/>
          <w:szCs w:val="24"/>
        </w:rPr>
      </w:pPr>
      <w:r>
        <w:rPr>
          <w:sz w:val="24"/>
          <w:szCs w:val="24"/>
        </w:rPr>
        <w:t xml:space="preserve">In the exercise of its discretion under s 13 of the Companies Act, on the other hand, there is no reason why the court should order security only in the exceptional case. On the contrary, as was stated in </w:t>
      </w:r>
      <w:r w:rsidRPr="006C0E83">
        <w:rPr>
          <w:i/>
          <w:iCs/>
          <w:sz w:val="24"/>
          <w:szCs w:val="24"/>
        </w:rPr>
        <w:t>Shepstone &amp; Wylie</w:t>
      </w:r>
      <w:r>
        <w:rPr>
          <w:sz w:val="24"/>
          <w:szCs w:val="24"/>
        </w:rPr>
        <w:t xml:space="preserve"> (supra) at 1045I – J, since the section presents the Court with an unfettered discretion, there is no reason to lean towards either granting or refusing a security order.</w:t>
      </w:r>
      <w:r w:rsidR="008D4C6E">
        <w:rPr>
          <w:sz w:val="24"/>
          <w:szCs w:val="24"/>
        </w:rPr>
        <w:t>’</w:t>
      </w:r>
    </w:p>
    <w:p w14:paraId="114CC079" w14:textId="4A380974" w:rsidR="00F0347B" w:rsidRDefault="008D4C6E" w:rsidP="00B8034E">
      <w:pPr>
        <w:pStyle w:val="HB1"/>
        <w:numPr>
          <w:ilvl w:val="0"/>
          <w:numId w:val="0"/>
        </w:numPr>
        <w:spacing w:after="240" w:line="240" w:lineRule="auto"/>
        <w:ind w:left="1701"/>
        <w:rPr>
          <w:sz w:val="24"/>
          <w:szCs w:val="24"/>
        </w:rPr>
      </w:pPr>
      <w:r>
        <w:rPr>
          <w:sz w:val="24"/>
          <w:szCs w:val="24"/>
          <w:u w:val="single"/>
        </w:rPr>
        <w:t>[15</w:t>
      </w:r>
      <w:proofErr w:type="gramStart"/>
      <w:r>
        <w:rPr>
          <w:sz w:val="24"/>
          <w:szCs w:val="24"/>
          <w:u w:val="single"/>
        </w:rPr>
        <w:t xml:space="preserve">]  </w:t>
      </w:r>
      <w:r w:rsidR="00F0347B" w:rsidRPr="00524B9C">
        <w:rPr>
          <w:sz w:val="24"/>
          <w:szCs w:val="24"/>
          <w:u w:val="single"/>
        </w:rPr>
        <w:t>Accordingly</w:t>
      </w:r>
      <w:proofErr w:type="gramEnd"/>
      <w:r w:rsidR="00F0347B" w:rsidRPr="00524B9C">
        <w:rPr>
          <w:sz w:val="24"/>
          <w:szCs w:val="24"/>
          <w:u w:val="single"/>
        </w:rPr>
        <w:t>, in terms of the common law, mere inability by</w:t>
      </w:r>
      <w:r w:rsidR="00A01AC4">
        <w:rPr>
          <w:sz w:val="24"/>
          <w:szCs w:val="24"/>
          <w:u w:val="single"/>
        </w:rPr>
        <w:t xml:space="preserve"> an</w:t>
      </w:r>
      <w:r w:rsidR="00F0347B" w:rsidRPr="00524B9C">
        <w:rPr>
          <w:sz w:val="24"/>
          <w:szCs w:val="24"/>
          <w:u w:val="single"/>
        </w:rPr>
        <w:t xml:space="preserve"> </w:t>
      </w:r>
      <w:proofErr w:type="spellStart"/>
      <w:r w:rsidR="00F0347B" w:rsidRPr="00BE6698">
        <w:rPr>
          <w:i/>
          <w:iCs/>
          <w:sz w:val="24"/>
          <w:szCs w:val="24"/>
          <w:u w:val="single"/>
        </w:rPr>
        <w:t>incola</w:t>
      </w:r>
      <w:proofErr w:type="spellEnd"/>
      <w:r w:rsidR="00F0347B" w:rsidRPr="00BE6698">
        <w:rPr>
          <w:i/>
          <w:iCs/>
          <w:sz w:val="24"/>
          <w:szCs w:val="24"/>
          <w:u w:val="single"/>
        </w:rPr>
        <w:t xml:space="preserve"> </w:t>
      </w:r>
      <w:r w:rsidR="00F0347B" w:rsidRPr="00524B9C">
        <w:rPr>
          <w:sz w:val="24"/>
          <w:szCs w:val="24"/>
          <w:u w:val="single"/>
        </w:rPr>
        <w:t>to satisfy a potential costs order is insufficient to justify an order for security; something more is required</w:t>
      </w:r>
      <w:r w:rsidR="00F0347B">
        <w:rPr>
          <w:sz w:val="24"/>
          <w:szCs w:val="24"/>
        </w:rPr>
        <w:t xml:space="preserve"> (</w:t>
      </w:r>
      <w:proofErr w:type="spellStart"/>
      <w:r w:rsidR="00F0347B" w:rsidRPr="00524B9C">
        <w:rPr>
          <w:i/>
          <w:iCs/>
          <w:sz w:val="24"/>
          <w:szCs w:val="24"/>
        </w:rPr>
        <w:t>Ramsamy</w:t>
      </w:r>
      <w:proofErr w:type="spellEnd"/>
      <w:r w:rsidR="00F0347B" w:rsidRPr="00524B9C">
        <w:rPr>
          <w:i/>
          <w:iCs/>
          <w:sz w:val="24"/>
          <w:szCs w:val="24"/>
        </w:rPr>
        <w:t xml:space="preserve"> NO and Others v </w:t>
      </w:r>
      <w:proofErr w:type="spellStart"/>
      <w:r w:rsidR="00F0347B" w:rsidRPr="00524B9C">
        <w:rPr>
          <w:i/>
          <w:iCs/>
          <w:sz w:val="24"/>
          <w:szCs w:val="24"/>
        </w:rPr>
        <w:t>Maarman</w:t>
      </w:r>
      <w:proofErr w:type="spellEnd"/>
      <w:r w:rsidR="00F0347B" w:rsidRPr="00524B9C">
        <w:rPr>
          <w:i/>
          <w:iCs/>
          <w:sz w:val="24"/>
          <w:szCs w:val="24"/>
        </w:rPr>
        <w:t xml:space="preserve"> NO and Another</w:t>
      </w:r>
      <w:r w:rsidR="00F0347B">
        <w:rPr>
          <w:sz w:val="24"/>
          <w:szCs w:val="24"/>
        </w:rPr>
        <w:t xml:space="preserve"> 2002 (6) SA 159 (C) at 172 I – J). As Thring J put it (</w:t>
      </w:r>
      <w:proofErr w:type="spellStart"/>
      <w:r w:rsidR="00F0347B" w:rsidRPr="00524B9C">
        <w:rPr>
          <w:i/>
          <w:iCs/>
          <w:sz w:val="24"/>
          <w:szCs w:val="24"/>
        </w:rPr>
        <w:t>Ramsamy</w:t>
      </w:r>
      <w:proofErr w:type="spellEnd"/>
      <w:r w:rsidR="00F0347B" w:rsidRPr="00524B9C">
        <w:rPr>
          <w:i/>
          <w:iCs/>
          <w:sz w:val="24"/>
          <w:szCs w:val="24"/>
        </w:rPr>
        <w:t xml:space="preserve"> NO</w:t>
      </w:r>
      <w:r w:rsidR="00F0347B">
        <w:rPr>
          <w:sz w:val="24"/>
          <w:szCs w:val="24"/>
        </w:rPr>
        <w:t xml:space="preserve"> at 172J – 173A) –</w:t>
      </w:r>
    </w:p>
    <w:p w14:paraId="48808D0A" w14:textId="62CF79A3" w:rsidR="00F0347B" w:rsidRDefault="008D4C6E" w:rsidP="00B8034E">
      <w:pPr>
        <w:pStyle w:val="HB1"/>
        <w:numPr>
          <w:ilvl w:val="0"/>
          <w:numId w:val="0"/>
        </w:numPr>
        <w:spacing w:after="240" w:line="240" w:lineRule="auto"/>
        <w:ind w:left="2160"/>
        <w:rPr>
          <w:sz w:val="24"/>
          <w:szCs w:val="24"/>
        </w:rPr>
      </w:pPr>
      <w:r>
        <w:rPr>
          <w:sz w:val="24"/>
          <w:szCs w:val="24"/>
        </w:rPr>
        <w:t>‘(w)</w:t>
      </w:r>
      <w:r w:rsidR="00F0347B">
        <w:rPr>
          <w:sz w:val="24"/>
          <w:szCs w:val="24"/>
        </w:rPr>
        <w:t xml:space="preserve">hat this something is has been variously described in </w:t>
      </w:r>
      <w:proofErr w:type="gramStart"/>
      <w:r w:rsidR="00F0347B">
        <w:rPr>
          <w:sz w:val="24"/>
          <w:szCs w:val="24"/>
        </w:rPr>
        <w:t>a number of</w:t>
      </w:r>
      <w:proofErr w:type="gramEnd"/>
      <w:r w:rsidR="00F0347B">
        <w:rPr>
          <w:sz w:val="24"/>
          <w:szCs w:val="24"/>
        </w:rPr>
        <w:t xml:space="preserve"> decisions. </w:t>
      </w:r>
      <w:proofErr w:type="gramStart"/>
      <w:r w:rsidR="00F0347B">
        <w:rPr>
          <w:sz w:val="24"/>
          <w:szCs w:val="24"/>
        </w:rPr>
        <w:t>Thus</w:t>
      </w:r>
      <w:proofErr w:type="gramEnd"/>
      <w:r w:rsidR="00F0347B">
        <w:rPr>
          <w:sz w:val="24"/>
          <w:szCs w:val="24"/>
        </w:rPr>
        <w:t xml:space="preserve"> in </w:t>
      </w:r>
      <w:r w:rsidR="00F0347B" w:rsidRPr="00524B9C">
        <w:rPr>
          <w:i/>
          <w:iCs/>
          <w:sz w:val="24"/>
          <w:szCs w:val="24"/>
        </w:rPr>
        <w:t>Ecker v Dean</w:t>
      </w:r>
      <w:r w:rsidR="005946DF">
        <w:rPr>
          <w:sz w:val="24"/>
          <w:szCs w:val="24"/>
        </w:rPr>
        <w:t xml:space="preserve"> </w:t>
      </w:r>
      <w:r w:rsidR="00F0347B">
        <w:rPr>
          <w:sz w:val="24"/>
          <w:szCs w:val="24"/>
        </w:rPr>
        <w:t>…</w:t>
      </w:r>
      <w:r w:rsidR="005946DF">
        <w:rPr>
          <w:sz w:val="24"/>
          <w:szCs w:val="24"/>
        </w:rPr>
        <w:t xml:space="preserve"> </w:t>
      </w:r>
      <w:r w:rsidR="00F0347B">
        <w:rPr>
          <w:sz w:val="24"/>
          <w:szCs w:val="24"/>
        </w:rPr>
        <w:t>it was said</w:t>
      </w:r>
      <w:r w:rsidR="005946DF">
        <w:rPr>
          <w:sz w:val="24"/>
          <w:szCs w:val="24"/>
        </w:rPr>
        <w:t xml:space="preserve"> </w:t>
      </w:r>
      <w:r w:rsidR="00F0347B">
        <w:rPr>
          <w:sz w:val="24"/>
          <w:szCs w:val="24"/>
        </w:rPr>
        <w:t>…</w:t>
      </w:r>
      <w:r w:rsidR="005946DF">
        <w:rPr>
          <w:sz w:val="24"/>
          <w:szCs w:val="24"/>
        </w:rPr>
        <w:t xml:space="preserve"> </w:t>
      </w:r>
      <w:r w:rsidR="00F0347B">
        <w:rPr>
          <w:sz w:val="24"/>
          <w:szCs w:val="24"/>
        </w:rPr>
        <w:t>that the basis of gra</w:t>
      </w:r>
      <w:r w:rsidR="007150D1">
        <w:rPr>
          <w:sz w:val="24"/>
          <w:szCs w:val="24"/>
        </w:rPr>
        <w:t>n</w:t>
      </w:r>
      <w:r w:rsidR="00F0347B">
        <w:rPr>
          <w:sz w:val="24"/>
          <w:szCs w:val="24"/>
        </w:rPr>
        <w:t>ting an order for security was that the action was reckless and vexatious.</w:t>
      </w:r>
      <w:r>
        <w:rPr>
          <w:sz w:val="24"/>
          <w:szCs w:val="24"/>
        </w:rPr>
        <w:t>’</w:t>
      </w:r>
    </w:p>
    <w:p w14:paraId="06AFA37C" w14:textId="4C7A3B87" w:rsidR="00F0347B" w:rsidRDefault="008D4C6E" w:rsidP="00B8034E">
      <w:pPr>
        <w:pStyle w:val="HB1"/>
        <w:numPr>
          <w:ilvl w:val="0"/>
          <w:numId w:val="0"/>
        </w:numPr>
        <w:tabs>
          <w:tab w:val="left" w:pos="1701"/>
        </w:tabs>
        <w:spacing w:after="240" w:line="240" w:lineRule="auto"/>
        <w:ind w:left="851" w:hanging="851"/>
        <w:rPr>
          <w:sz w:val="24"/>
          <w:szCs w:val="24"/>
        </w:rPr>
      </w:pPr>
      <w:r>
        <w:rPr>
          <w:sz w:val="24"/>
          <w:szCs w:val="24"/>
        </w:rPr>
        <w:t xml:space="preserve">                        </w:t>
      </w:r>
      <w:r w:rsidR="00A01AC4">
        <w:rPr>
          <w:sz w:val="24"/>
          <w:szCs w:val="24"/>
        </w:rPr>
        <w:tab/>
        <w:t>…</w:t>
      </w:r>
    </w:p>
    <w:p w14:paraId="12DCA7C1" w14:textId="30A924A2" w:rsidR="008C3612" w:rsidRDefault="008D4C6E" w:rsidP="00B8034E">
      <w:pPr>
        <w:pStyle w:val="HB1"/>
        <w:numPr>
          <w:ilvl w:val="0"/>
          <w:numId w:val="0"/>
        </w:numPr>
        <w:spacing w:after="240" w:line="240" w:lineRule="auto"/>
        <w:ind w:left="1701"/>
        <w:rPr>
          <w:sz w:val="24"/>
          <w:szCs w:val="24"/>
        </w:rPr>
      </w:pPr>
      <w:r>
        <w:rPr>
          <w:sz w:val="24"/>
          <w:szCs w:val="24"/>
        </w:rPr>
        <w:t xml:space="preserve">[16] </w:t>
      </w:r>
      <w:r w:rsidR="00F0347B" w:rsidRPr="008C3612">
        <w:rPr>
          <w:sz w:val="24"/>
          <w:szCs w:val="24"/>
          <w:u w:val="single"/>
        </w:rPr>
        <w:t xml:space="preserve">Absent s 13, there can no longer be any legitimate basis for differentiating between an </w:t>
      </w:r>
      <w:proofErr w:type="spellStart"/>
      <w:r w:rsidR="00F0347B" w:rsidRPr="00BE6698">
        <w:rPr>
          <w:i/>
          <w:iCs/>
          <w:sz w:val="24"/>
          <w:szCs w:val="24"/>
          <w:u w:val="single"/>
        </w:rPr>
        <w:t>incola</w:t>
      </w:r>
      <w:proofErr w:type="spellEnd"/>
      <w:r w:rsidR="00F0347B" w:rsidRPr="008C3612">
        <w:rPr>
          <w:sz w:val="24"/>
          <w:szCs w:val="24"/>
          <w:u w:val="single"/>
        </w:rPr>
        <w:t xml:space="preserve"> company and an </w:t>
      </w:r>
      <w:proofErr w:type="spellStart"/>
      <w:r w:rsidR="00F0347B" w:rsidRPr="00BE6698">
        <w:rPr>
          <w:i/>
          <w:iCs/>
          <w:sz w:val="24"/>
          <w:szCs w:val="24"/>
          <w:u w:val="single"/>
        </w:rPr>
        <w:t>incola</w:t>
      </w:r>
      <w:proofErr w:type="spellEnd"/>
      <w:r w:rsidR="00F0347B" w:rsidRPr="008C3612">
        <w:rPr>
          <w:sz w:val="24"/>
          <w:szCs w:val="24"/>
          <w:u w:val="single"/>
        </w:rPr>
        <w:t xml:space="preserve"> natural person</w:t>
      </w:r>
      <w:r w:rsidR="00F0347B" w:rsidRPr="00B8034E">
        <w:rPr>
          <w:sz w:val="24"/>
          <w:szCs w:val="24"/>
        </w:rPr>
        <w:t>.</w:t>
      </w:r>
      <w:r w:rsidR="00F0347B">
        <w:rPr>
          <w:sz w:val="24"/>
          <w:szCs w:val="24"/>
        </w:rPr>
        <w:t xml:space="preserve"> And as our superior courts have a residual discretion in a matter such as this arising from their inherent power to regulate their own proceedings, it must follow that the former can at common law be compelled to furnish security for costs. </w:t>
      </w:r>
      <w:r w:rsidR="00F0347B" w:rsidRPr="008D4C6E">
        <w:rPr>
          <w:sz w:val="24"/>
          <w:szCs w:val="24"/>
          <w:u w:val="single"/>
        </w:rPr>
        <w:t xml:space="preserve">Accordingly, even though there may be poor prospects of recovering costs, a court, in its discretion, should only order the furnishing of security for such costs by an </w:t>
      </w:r>
      <w:proofErr w:type="spellStart"/>
      <w:r w:rsidR="00F0347B" w:rsidRPr="00BE6698">
        <w:rPr>
          <w:i/>
          <w:iCs/>
          <w:sz w:val="24"/>
          <w:szCs w:val="24"/>
          <w:u w:val="single"/>
        </w:rPr>
        <w:t>incola</w:t>
      </w:r>
      <w:proofErr w:type="spellEnd"/>
      <w:r w:rsidR="00F0347B" w:rsidRPr="00BE6698">
        <w:rPr>
          <w:i/>
          <w:iCs/>
          <w:sz w:val="24"/>
          <w:szCs w:val="24"/>
          <w:u w:val="single"/>
        </w:rPr>
        <w:t xml:space="preserve"> </w:t>
      </w:r>
      <w:r w:rsidR="00F0347B" w:rsidRPr="008D4C6E">
        <w:rPr>
          <w:sz w:val="24"/>
          <w:szCs w:val="24"/>
          <w:u w:val="single"/>
        </w:rPr>
        <w:t>company if it is satisfied that the contemplated main action (or application) is vexatious or reckless or otherwise amounts to an abuse</w:t>
      </w:r>
      <w:r w:rsidR="00F0347B" w:rsidRPr="008D4C6E">
        <w:rPr>
          <w:sz w:val="24"/>
          <w:szCs w:val="24"/>
        </w:rPr>
        <w:t xml:space="preserve">.” </w:t>
      </w:r>
    </w:p>
    <w:p w14:paraId="1B1F8046" w14:textId="2C8DA80F" w:rsidR="00F0347B" w:rsidRDefault="008C3612" w:rsidP="00B8034E">
      <w:pPr>
        <w:pStyle w:val="HB1"/>
        <w:numPr>
          <w:ilvl w:val="0"/>
          <w:numId w:val="0"/>
        </w:numPr>
        <w:spacing w:after="240" w:line="240" w:lineRule="auto"/>
        <w:ind w:left="1701"/>
        <w:rPr>
          <w:sz w:val="24"/>
          <w:szCs w:val="24"/>
        </w:rPr>
      </w:pPr>
      <w:r>
        <w:rPr>
          <w:sz w:val="24"/>
          <w:szCs w:val="24"/>
        </w:rPr>
        <w:t xml:space="preserve">[17] According to Nicholas J in </w:t>
      </w:r>
      <w:r w:rsidRPr="008C3612">
        <w:rPr>
          <w:i/>
          <w:iCs/>
          <w:sz w:val="24"/>
          <w:szCs w:val="24"/>
        </w:rPr>
        <w:t>Fisheries Development Corporation of SA Ltd v Jorgensen and Another; Fisheries Development Corporation of SA Ltd v AWJ Investments (Pty) Ltd and Others</w:t>
      </w:r>
      <w:r>
        <w:rPr>
          <w:sz w:val="24"/>
          <w:szCs w:val="24"/>
        </w:rPr>
        <w:t xml:space="preserve"> 1979 SA 1331 (W) at 1339</w:t>
      </w:r>
      <w:r w:rsidR="007150D1">
        <w:rPr>
          <w:sz w:val="24"/>
          <w:szCs w:val="24"/>
        </w:rPr>
        <w:t xml:space="preserve"> </w:t>
      </w:r>
      <w:r>
        <w:rPr>
          <w:sz w:val="24"/>
          <w:szCs w:val="24"/>
        </w:rPr>
        <w:t xml:space="preserve">E-F: </w:t>
      </w:r>
    </w:p>
    <w:p w14:paraId="3859A911" w14:textId="70317021" w:rsidR="00760965" w:rsidRDefault="008C3612" w:rsidP="00B8034E">
      <w:pPr>
        <w:pStyle w:val="HB1"/>
        <w:numPr>
          <w:ilvl w:val="0"/>
          <w:numId w:val="0"/>
        </w:numPr>
        <w:spacing w:after="240" w:line="240" w:lineRule="auto"/>
        <w:ind w:left="2160"/>
        <w:rPr>
          <w:sz w:val="24"/>
          <w:szCs w:val="24"/>
        </w:rPr>
      </w:pPr>
      <w:r w:rsidRPr="00B8034E">
        <w:rPr>
          <w:sz w:val="24"/>
          <w:szCs w:val="24"/>
        </w:rPr>
        <w:t>‘</w:t>
      </w:r>
      <w:r w:rsidRPr="00CB597E">
        <w:rPr>
          <w:sz w:val="24"/>
          <w:szCs w:val="24"/>
          <w:u w:val="single"/>
        </w:rPr>
        <w:t>In its legal sense vexatious means frivolous, improper: instituted without sufficient ground, to serve solely as an annoyance to the defendant</w:t>
      </w:r>
      <w:r w:rsidR="001E56AB">
        <w:rPr>
          <w:sz w:val="24"/>
          <w:szCs w:val="24"/>
        </w:rPr>
        <w:t xml:space="preserve"> </w:t>
      </w:r>
      <w:r w:rsidR="001E56AB" w:rsidRPr="007150D1">
        <w:rPr>
          <w:i/>
          <w:iCs/>
          <w:sz w:val="24"/>
          <w:szCs w:val="24"/>
        </w:rPr>
        <w:t>(Shorter Oxford</w:t>
      </w:r>
      <w:r w:rsidR="007150D1" w:rsidRPr="007150D1">
        <w:rPr>
          <w:i/>
          <w:iCs/>
          <w:sz w:val="24"/>
          <w:szCs w:val="24"/>
        </w:rPr>
        <w:t xml:space="preserve"> English</w:t>
      </w:r>
      <w:r w:rsidR="001E56AB" w:rsidRPr="007150D1">
        <w:rPr>
          <w:i/>
          <w:iCs/>
          <w:sz w:val="24"/>
          <w:szCs w:val="24"/>
        </w:rPr>
        <w:t xml:space="preserve"> Dictionary)</w:t>
      </w:r>
      <w:r w:rsidR="001E56AB">
        <w:rPr>
          <w:sz w:val="24"/>
          <w:szCs w:val="24"/>
        </w:rPr>
        <w:t>. Vexatious proceedings would also no dou</w:t>
      </w:r>
      <w:r w:rsidR="00760965">
        <w:rPr>
          <w:sz w:val="24"/>
          <w:szCs w:val="24"/>
        </w:rPr>
        <w:t>b</w:t>
      </w:r>
      <w:r w:rsidR="001E56AB">
        <w:rPr>
          <w:sz w:val="24"/>
          <w:szCs w:val="24"/>
        </w:rPr>
        <w:t>t include proceedings</w:t>
      </w:r>
      <w:r w:rsidR="00760965">
        <w:rPr>
          <w:sz w:val="24"/>
          <w:szCs w:val="24"/>
        </w:rPr>
        <w:t xml:space="preserve"> which, although properly instituted, are continue</w:t>
      </w:r>
      <w:r w:rsidR="007150D1">
        <w:rPr>
          <w:sz w:val="24"/>
          <w:szCs w:val="24"/>
        </w:rPr>
        <w:t>d</w:t>
      </w:r>
      <w:r w:rsidR="00760965">
        <w:rPr>
          <w:sz w:val="24"/>
          <w:szCs w:val="24"/>
        </w:rPr>
        <w:t xml:space="preserve"> with for the sole purpose of causing annoyance to the defendant; abuse connotes a </w:t>
      </w:r>
      <w:proofErr w:type="gramStart"/>
      <w:r w:rsidR="00760965">
        <w:rPr>
          <w:sz w:val="24"/>
          <w:szCs w:val="24"/>
        </w:rPr>
        <w:t>mis-use</w:t>
      </w:r>
      <w:proofErr w:type="gramEnd"/>
      <w:r w:rsidR="00760965">
        <w:rPr>
          <w:sz w:val="24"/>
          <w:szCs w:val="24"/>
        </w:rPr>
        <w:t>, an improper use, a use mala fide, a use for an ulterior motive.’</w:t>
      </w:r>
    </w:p>
    <w:p w14:paraId="7FF3B222" w14:textId="07FFE8BD" w:rsidR="00760965" w:rsidRDefault="00760965" w:rsidP="00B8034E">
      <w:pPr>
        <w:pStyle w:val="HB1"/>
        <w:numPr>
          <w:ilvl w:val="0"/>
          <w:numId w:val="0"/>
        </w:numPr>
        <w:spacing w:after="240" w:line="240" w:lineRule="auto"/>
        <w:ind w:left="1701"/>
        <w:rPr>
          <w:sz w:val="24"/>
          <w:szCs w:val="24"/>
        </w:rPr>
      </w:pPr>
      <w:r>
        <w:rPr>
          <w:sz w:val="24"/>
          <w:szCs w:val="24"/>
        </w:rPr>
        <w:t xml:space="preserve">In </w:t>
      </w:r>
      <w:r w:rsidRPr="00760965">
        <w:rPr>
          <w:i/>
          <w:iCs/>
          <w:sz w:val="24"/>
          <w:szCs w:val="24"/>
        </w:rPr>
        <w:t>African Farms and Townships Ltd v Cape Town Municipality</w:t>
      </w:r>
      <w:r>
        <w:rPr>
          <w:sz w:val="24"/>
          <w:szCs w:val="24"/>
        </w:rPr>
        <w:t xml:space="preserve"> 1963 SA 555 (A) at 565D – E Holmes JA observed:</w:t>
      </w:r>
    </w:p>
    <w:p w14:paraId="1CED929C" w14:textId="77777777" w:rsidR="005946DF" w:rsidRDefault="00760965" w:rsidP="00B8034E">
      <w:pPr>
        <w:pStyle w:val="HB1"/>
        <w:numPr>
          <w:ilvl w:val="0"/>
          <w:numId w:val="0"/>
        </w:numPr>
        <w:spacing w:after="240" w:line="240" w:lineRule="auto"/>
        <w:ind w:left="2160"/>
        <w:rPr>
          <w:sz w:val="24"/>
          <w:szCs w:val="24"/>
        </w:rPr>
      </w:pPr>
      <w:r>
        <w:rPr>
          <w:sz w:val="24"/>
          <w:szCs w:val="24"/>
        </w:rPr>
        <w:t>‘</w:t>
      </w:r>
      <w:r w:rsidRPr="00CB597E">
        <w:rPr>
          <w:sz w:val="24"/>
          <w:szCs w:val="24"/>
          <w:u w:val="single"/>
        </w:rPr>
        <w:t>An action is vexatious and an abuse of the process of court i</w:t>
      </w:r>
      <w:r w:rsidRPr="00CB597E">
        <w:rPr>
          <w:i/>
          <w:iCs/>
          <w:sz w:val="24"/>
          <w:szCs w:val="24"/>
          <w:u w:val="single"/>
        </w:rPr>
        <w:t>nter alia</w:t>
      </w:r>
      <w:r w:rsidRPr="00CB597E">
        <w:rPr>
          <w:sz w:val="24"/>
          <w:szCs w:val="24"/>
          <w:u w:val="single"/>
        </w:rPr>
        <w:t xml:space="preserve"> if it is obviously unsustainable. This must appear as a certainty, and not merely on a preponderance of possibility.</w:t>
      </w:r>
      <w:r>
        <w:rPr>
          <w:sz w:val="24"/>
          <w:szCs w:val="24"/>
        </w:rPr>
        <w:t xml:space="preserve">  </w:t>
      </w:r>
      <w:proofErr w:type="spellStart"/>
      <w:r w:rsidRPr="00760965">
        <w:rPr>
          <w:i/>
          <w:iCs/>
          <w:sz w:val="24"/>
          <w:szCs w:val="24"/>
        </w:rPr>
        <w:t>Ravden</w:t>
      </w:r>
      <w:proofErr w:type="spellEnd"/>
      <w:r w:rsidRPr="00760965">
        <w:rPr>
          <w:i/>
          <w:iCs/>
          <w:sz w:val="24"/>
          <w:szCs w:val="24"/>
        </w:rPr>
        <w:t xml:space="preserve"> v </w:t>
      </w:r>
      <w:proofErr w:type="spellStart"/>
      <w:r w:rsidRPr="00760965">
        <w:rPr>
          <w:i/>
          <w:iCs/>
          <w:sz w:val="24"/>
          <w:szCs w:val="24"/>
        </w:rPr>
        <w:t>Beeten</w:t>
      </w:r>
      <w:proofErr w:type="spellEnd"/>
      <w:r>
        <w:rPr>
          <w:sz w:val="24"/>
          <w:szCs w:val="24"/>
        </w:rPr>
        <w:t xml:space="preserve"> 1035 CPD 269 at p 276; Burnham v </w:t>
      </w:r>
      <w:proofErr w:type="spellStart"/>
      <w:r w:rsidR="00A042D9">
        <w:rPr>
          <w:sz w:val="24"/>
          <w:szCs w:val="24"/>
        </w:rPr>
        <w:t>Fakheer</w:t>
      </w:r>
      <w:proofErr w:type="spellEnd"/>
      <w:r w:rsidR="00A042D9">
        <w:rPr>
          <w:sz w:val="24"/>
          <w:szCs w:val="24"/>
        </w:rPr>
        <w:t xml:space="preserve"> 1938 NPD 63</w:t>
      </w:r>
      <w:r w:rsidR="00CB597E">
        <w:rPr>
          <w:sz w:val="24"/>
          <w:szCs w:val="24"/>
        </w:rPr>
        <w:t>.</w:t>
      </w:r>
      <w:r w:rsidR="00A042D9">
        <w:rPr>
          <w:sz w:val="24"/>
          <w:szCs w:val="24"/>
        </w:rPr>
        <w:t>’”</w:t>
      </w:r>
      <w:r w:rsidR="00CB597E">
        <w:rPr>
          <w:sz w:val="24"/>
          <w:szCs w:val="24"/>
        </w:rPr>
        <w:t xml:space="preserve"> </w:t>
      </w:r>
    </w:p>
    <w:p w14:paraId="1CF7F953" w14:textId="496403AB" w:rsidR="008C3612" w:rsidRDefault="00CB597E" w:rsidP="00B8034E">
      <w:pPr>
        <w:pStyle w:val="HB1"/>
        <w:numPr>
          <w:ilvl w:val="0"/>
          <w:numId w:val="0"/>
        </w:numPr>
        <w:spacing w:line="240" w:lineRule="auto"/>
        <w:ind w:left="1701"/>
        <w:rPr>
          <w:sz w:val="24"/>
          <w:szCs w:val="24"/>
        </w:rPr>
      </w:pPr>
      <w:r>
        <w:rPr>
          <w:sz w:val="24"/>
          <w:szCs w:val="24"/>
        </w:rPr>
        <w:t>(Emphasis added)</w:t>
      </w:r>
    </w:p>
    <w:p w14:paraId="61070F22" w14:textId="77777777" w:rsidR="005946DF" w:rsidRPr="008D4C6E" w:rsidRDefault="005946DF" w:rsidP="00B8034E">
      <w:pPr>
        <w:pStyle w:val="HB1"/>
        <w:numPr>
          <w:ilvl w:val="0"/>
          <w:numId w:val="0"/>
        </w:numPr>
        <w:spacing w:after="0" w:line="240" w:lineRule="auto"/>
        <w:ind w:left="2160"/>
        <w:rPr>
          <w:sz w:val="24"/>
          <w:szCs w:val="24"/>
        </w:rPr>
      </w:pPr>
    </w:p>
    <w:p w14:paraId="527B9899" w14:textId="056891BB" w:rsidR="00D0306E" w:rsidRDefault="00D0306E" w:rsidP="00F0347B">
      <w:pPr>
        <w:pStyle w:val="HB1"/>
        <w:rPr>
          <w:sz w:val="24"/>
          <w:szCs w:val="24"/>
        </w:rPr>
      </w:pPr>
      <w:r>
        <w:rPr>
          <w:sz w:val="24"/>
          <w:szCs w:val="24"/>
        </w:rPr>
        <w:t>What is clear from the above is that before a Court may exercise its discretion to order security for costs it must be satisfied not only that the party against whom the order is sought would</w:t>
      </w:r>
      <w:r w:rsidR="00CB597E">
        <w:rPr>
          <w:sz w:val="24"/>
          <w:szCs w:val="24"/>
        </w:rPr>
        <w:t>, if unsuccessful in the main application,</w:t>
      </w:r>
      <w:r>
        <w:rPr>
          <w:sz w:val="24"/>
          <w:szCs w:val="24"/>
        </w:rPr>
        <w:t xml:space="preserve"> be unable to satisfy a</w:t>
      </w:r>
      <w:r w:rsidR="00CB597E">
        <w:rPr>
          <w:sz w:val="24"/>
          <w:szCs w:val="24"/>
        </w:rPr>
        <w:t>n adverse costs order,</w:t>
      </w:r>
      <w:r>
        <w:rPr>
          <w:sz w:val="24"/>
          <w:szCs w:val="24"/>
        </w:rPr>
        <w:t xml:space="preserve"> but also that the main application is vexatious, </w:t>
      </w:r>
      <w:proofErr w:type="gramStart"/>
      <w:r>
        <w:rPr>
          <w:sz w:val="24"/>
          <w:szCs w:val="24"/>
        </w:rPr>
        <w:t>reckless</w:t>
      </w:r>
      <w:proofErr w:type="gramEnd"/>
      <w:r>
        <w:rPr>
          <w:sz w:val="24"/>
          <w:szCs w:val="24"/>
        </w:rPr>
        <w:t xml:space="preserve"> or otherwise amounts to an abuse.</w:t>
      </w:r>
    </w:p>
    <w:p w14:paraId="17AB6A02" w14:textId="2F28D824" w:rsidR="00CB597E" w:rsidRDefault="00CB597E" w:rsidP="00F0347B">
      <w:pPr>
        <w:pStyle w:val="HB1"/>
        <w:rPr>
          <w:sz w:val="24"/>
          <w:szCs w:val="24"/>
        </w:rPr>
      </w:pPr>
      <w:r>
        <w:rPr>
          <w:sz w:val="24"/>
          <w:szCs w:val="24"/>
        </w:rPr>
        <w:t>I will consider each of these legal requirements in turn below.</w:t>
      </w:r>
    </w:p>
    <w:p w14:paraId="7CE2E7A5" w14:textId="3741B576" w:rsidR="003746D2" w:rsidRDefault="00D0306E" w:rsidP="00D0306E">
      <w:pPr>
        <w:pStyle w:val="HB1"/>
        <w:numPr>
          <w:ilvl w:val="0"/>
          <w:numId w:val="0"/>
        </w:numPr>
        <w:rPr>
          <w:sz w:val="24"/>
          <w:szCs w:val="24"/>
          <w:u w:val="single"/>
        </w:rPr>
      </w:pPr>
      <w:r w:rsidRPr="003746D2">
        <w:rPr>
          <w:sz w:val="24"/>
          <w:szCs w:val="24"/>
          <w:u w:val="single"/>
        </w:rPr>
        <w:t>W</w:t>
      </w:r>
      <w:r w:rsidR="00BE6698">
        <w:rPr>
          <w:sz w:val="24"/>
          <w:szCs w:val="24"/>
          <w:u w:val="single"/>
        </w:rPr>
        <w:t>ould ATS be unable to satisfy an adverse costs order?</w:t>
      </w:r>
    </w:p>
    <w:p w14:paraId="443F4915" w14:textId="4C02C785" w:rsidR="003746D2" w:rsidRDefault="006C02D3" w:rsidP="003746D2">
      <w:pPr>
        <w:pStyle w:val="HB1"/>
        <w:rPr>
          <w:sz w:val="24"/>
          <w:szCs w:val="24"/>
        </w:rPr>
      </w:pPr>
      <w:r>
        <w:rPr>
          <w:sz w:val="24"/>
          <w:szCs w:val="24"/>
        </w:rPr>
        <w:t>ATS, in opposing th</w:t>
      </w:r>
      <w:r w:rsidR="00BE6698">
        <w:rPr>
          <w:sz w:val="24"/>
          <w:szCs w:val="24"/>
        </w:rPr>
        <w:t>is</w:t>
      </w:r>
      <w:r>
        <w:rPr>
          <w:sz w:val="24"/>
          <w:szCs w:val="24"/>
        </w:rPr>
        <w:t xml:space="preserve"> application,</w:t>
      </w:r>
      <w:r w:rsidR="009A14E3">
        <w:rPr>
          <w:sz w:val="24"/>
          <w:szCs w:val="24"/>
        </w:rPr>
        <w:t xml:space="preserve"> provided an extract from the estate bank account from which it is evident that</w:t>
      </w:r>
      <w:r w:rsidR="00BE6698">
        <w:rPr>
          <w:sz w:val="24"/>
          <w:szCs w:val="24"/>
        </w:rPr>
        <w:t>,</w:t>
      </w:r>
      <w:r w:rsidR="009A14E3">
        <w:rPr>
          <w:sz w:val="24"/>
          <w:szCs w:val="24"/>
        </w:rPr>
        <w:t xml:space="preserve"> as </w:t>
      </w:r>
      <w:proofErr w:type="gramStart"/>
      <w:r w:rsidR="009A14E3">
        <w:rPr>
          <w:sz w:val="24"/>
          <w:szCs w:val="24"/>
        </w:rPr>
        <w:t>at</w:t>
      </w:r>
      <w:proofErr w:type="gramEnd"/>
      <w:r w:rsidR="009A14E3">
        <w:rPr>
          <w:sz w:val="24"/>
          <w:szCs w:val="24"/>
        </w:rPr>
        <w:t xml:space="preserve"> 13 January 2021</w:t>
      </w:r>
      <w:r w:rsidR="00BE6698">
        <w:rPr>
          <w:sz w:val="24"/>
          <w:szCs w:val="24"/>
        </w:rPr>
        <w:t>,</w:t>
      </w:r>
      <w:r w:rsidR="009A14E3">
        <w:rPr>
          <w:sz w:val="24"/>
          <w:szCs w:val="24"/>
        </w:rPr>
        <w:t xml:space="preserve"> the estate bank account held the amount of R11 167 313.61 to its credit. </w:t>
      </w:r>
    </w:p>
    <w:p w14:paraId="56BE7206" w14:textId="27F38196" w:rsidR="00E97696" w:rsidRDefault="003746D2" w:rsidP="003746D2">
      <w:pPr>
        <w:pStyle w:val="HB1"/>
        <w:rPr>
          <w:sz w:val="24"/>
          <w:szCs w:val="24"/>
        </w:rPr>
      </w:pPr>
      <w:r>
        <w:rPr>
          <w:sz w:val="24"/>
          <w:szCs w:val="24"/>
        </w:rPr>
        <w:t>Apex</w:t>
      </w:r>
      <w:r w:rsidR="00F047E7">
        <w:rPr>
          <w:sz w:val="24"/>
          <w:szCs w:val="24"/>
        </w:rPr>
        <w:t>, however,</w:t>
      </w:r>
      <w:r>
        <w:rPr>
          <w:sz w:val="24"/>
          <w:szCs w:val="24"/>
        </w:rPr>
        <w:t xml:space="preserve"> contends that that </w:t>
      </w:r>
      <w:proofErr w:type="gramStart"/>
      <w:r>
        <w:rPr>
          <w:sz w:val="24"/>
          <w:szCs w:val="24"/>
        </w:rPr>
        <w:t>this pales</w:t>
      </w:r>
      <w:proofErr w:type="gramEnd"/>
      <w:r>
        <w:rPr>
          <w:sz w:val="24"/>
          <w:szCs w:val="24"/>
        </w:rPr>
        <w:t xml:space="preserve"> into insignificance when weighed against the deficiency of assets</w:t>
      </w:r>
      <w:r w:rsidR="00F047E7">
        <w:rPr>
          <w:sz w:val="24"/>
          <w:szCs w:val="24"/>
        </w:rPr>
        <w:t xml:space="preserve"> reflected</w:t>
      </w:r>
      <w:r>
        <w:rPr>
          <w:sz w:val="24"/>
          <w:szCs w:val="24"/>
        </w:rPr>
        <w:t xml:space="preserve"> in</w:t>
      </w:r>
      <w:r w:rsidR="00BE6698">
        <w:rPr>
          <w:sz w:val="24"/>
          <w:szCs w:val="24"/>
        </w:rPr>
        <w:t xml:space="preserve"> the estate’s</w:t>
      </w:r>
      <w:r>
        <w:rPr>
          <w:sz w:val="24"/>
          <w:szCs w:val="24"/>
        </w:rPr>
        <w:t xml:space="preserve"> statement of affairs</w:t>
      </w:r>
      <w:r w:rsidR="00F047E7">
        <w:rPr>
          <w:sz w:val="24"/>
          <w:szCs w:val="24"/>
        </w:rPr>
        <w:t>, which is to the tune of</w:t>
      </w:r>
      <w:r w:rsidR="00B456A8">
        <w:rPr>
          <w:sz w:val="24"/>
          <w:szCs w:val="24"/>
        </w:rPr>
        <w:t xml:space="preserve"> R175 622 422.24. Apex contends further that </w:t>
      </w:r>
      <w:r w:rsidR="006B7C04">
        <w:rPr>
          <w:sz w:val="24"/>
          <w:szCs w:val="24"/>
        </w:rPr>
        <w:t>it will rank as a concurrent creditor,</w:t>
      </w:r>
      <w:r w:rsidR="00BE6698">
        <w:rPr>
          <w:sz w:val="24"/>
          <w:szCs w:val="24"/>
        </w:rPr>
        <w:t xml:space="preserve"> and as such</w:t>
      </w:r>
      <w:r w:rsidR="006B7C04">
        <w:rPr>
          <w:sz w:val="24"/>
          <w:szCs w:val="24"/>
        </w:rPr>
        <w:t xml:space="preserve"> will have no prospect whatsoever to be paid from a deficit </w:t>
      </w:r>
      <w:proofErr w:type="gramStart"/>
      <w:r w:rsidR="006B7C04">
        <w:rPr>
          <w:sz w:val="24"/>
          <w:szCs w:val="24"/>
        </w:rPr>
        <w:t>in excess of</w:t>
      </w:r>
      <w:proofErr w:type="gramEnd"/>
      <w:r w:rsidR="006B7C04">
        <w:rPr>
          <w:sz w:val="24"/>
          <w:szCs w:val="24"/>
        </w:rPr>
        <w:t xml:space="preserve"> </w:t>
      </w:r>
      <w:r w:rsidR="00E97696">
        <w:rPr>
          <w:sz w:val="24"/>
          <w:szCs w:val="24"/>
        </w:rPr>
        <w:t>R164 million.</w:t>
      </w:r>
    </w:p>
    <w:p w14:paraId="3E0F7163" w14:textId="63EF2674" w:rsidR="000245FA" w:rsidRDefault="006C02D3" w:rsidP="003746D2">
      <w:pPr>
        <w:pStyle w:val="HB1"/>
        <w:rPr>
          <w:sz w:val="24"/>
          <w:szCs w:val="24"/>
        </w:rPr>
      </w:pPr>
      <w:r>
        <w:rPr>
          <w:sz w:val="24"/>
          <w:szCs w:val="24"/>
        </w:rPr>
        <w:t xml:space="preserve">ATS, for its part, contends that </w:t>
      </w:r>
      <w:r w:rsidR="00BB47C4">
        <w:rPr>
          <w:sz w:val="24"/>
          <w:szCs w:val="24"/>
        </w:rPr>
        <w:t>since the estate account has</w:t>
      </w:r>
      <w:r w:rsidR="00BE6698">
        <w:rPr>
          <w:sz w:val="24"/>
          <w:szCs w:val="24"/>
        </w:rPr>
        <w:t xml:space="preserve"> funds of</w:t>
      </w:r>
      <w:r w:rsidR="00BB47C4">
        <w:rPr>
          <w:sz w:val="24"/>
          <w:szCs w:val="24"/>
        </w:rPr>
        <w:t xml:space="preserve"> R11 167 313.61 available, </w:t>
      </w:r>
      <w:r w:rsidR="000245FA">
        <w:rPr>
          <w:sz w:val="24"/>
          <w:szCs w:val="24"/>
        </w:rPr>
        <w:t xml:space="preserve">it cannot be regarded as the proverbial “empty shell” against which a presumption can be made that the </w:t>
      </w:r>
      <w:r w:rsidR="000A499A">
        <w:rPr>
          <w:sz w:val="24"/>
          <w:szCs w:val="24"/>
        </w:rPr>
        <w:t>main application</w:t>
      </w:r>
      <w:r w:rsidR="000245FA">
        <w:rPr>
          <w:sz w:val="24"/>
          <w:szCs w:val="24"/>
        </w:rPr>
        <w:t xml:space="preserve"> is vexatious or reckless and that it would </w:t>
      </w:r>
      <w:r w:rsidR="00FB420F">
        <w:rPr>
          <w:sz w:val="24"/>
          <w:szCs w:val="24"/>
        </w:rPr>
        <w:t xml:space="preserve">be </w:t>
      </w:r>
      <w:r w:rsidR="005946DF">
        <w:rPr>
          <w:sz w:val="24"/>
          <w:szCs w:val="24"/>
        </w:rPr>
        <w:t xml:space="preserve">unable </w:t>
      </w:r>
      <w:r w:rsidR="00FB420F">
        <w:rPr>
          <w:sz w:val="24"/>
          <w:szCs w:val="24"/>
        </w:rPr>
        <w:t xml:space="preserve">to satisfy an adverse costs order. </w:t>
      </w:r>
    </w:p>
    <w:p w14:paraId="13BB6618" w14:textId="2B3166C9" w:rsidR="00B456A8" w:rsidRDefault="000245FA" w:rsidP="003746D2">
      <w:pPr>
        <w:pStyle w:val="HB1"/>
        <w:rPr>
          <w:sz w:val="24"/>
          <w:szCs w:val="24"/>
        </w:rPr>
      </w:pPr>
      <w:r>
        <w:rPr>
          <w:sz w:val="24"/>
          <w:szCs w:val="24"/>
        </w:rPr>
        <w:t>ATS contends further</w:t>
      </w:r>
      <w:r w:rsidR="00C54EC7">
        <w:rPr>
          <w:sz w:val="24"/>
          <w:szCs w:val="24"/>
        </w:rPr>
        <w:t xml:space="preserve"> that</w:t>
      </w:r>
      <w:r>
        <w:rPr>
          <w:sz w:val="24"/>
          <w:szCs w:val="24"/>
        </w:rPr>
        <w:t xml:space="preserve"> while all legal costs incurred by Apex up until the liquidation of the company, would be treated as a concurrent claim in its estate, all legal costs incurred </w:t>
      </w:r>
      <w:r w:rsidRPr="00C54EC7">
        <w:rPr>
          <w:sz w:val="24"/>
          <w:szCs w:val="24"/>
          <w:u w:val="single"/>
        </w:rPr>
        <w:t>after</w:t>
      </w:r>
      <w:r>
        <w:rPr>
          <w:sz w:val="24"/>
          <w:szCs w:val="24"/>
        </w:rPr>
        <w:t xml:space="preserve"> the company’s liquidation would be treated as part of the costs of the administration of the liquidated estate and would consequently be payable from the amount currently in </w:t>
      </w:r>
      <w:r w:rsidR="00C54EC7">
        <w:rPr>
          <w:sz w:val="24"/>
          <w:szCs w:val="24"/>
        </w:rPr>
        <w:t>the estate’s</w:t>
      </w:r>
      <w:r>
        <w:rPr>
          <w:sz w:val="24"/>
          <w:szCs w:val="24"/>
        </w:rPr>
        <w:t xml:space="preserve"> bank account, prior to any payment to creditors.</w:t>
      </w:r>
    </w:p>
    <w:p w14:paraId="0E24511F" w14:textId="68A3148B" w:rsidR="00DC4D5A" w:rsidRDefault="000245FA" w:rsidP="003746D2">
      <w:pPr>
        <w:pStyle w:val="HB1"/>
        <w:rPr>
          <w:sz w:val="24"/>
          <w:szCs w:val="24"/>
        </w:rPr>
      </w:pPr>
      <w:r>
        <w:rPr>
          <w:sz w:val="24"/>
          <w:szCs w:val="24"/>
        </w:rPr>
        <w:t>There appears to me to be merit in ATS’s submissions and I am n</w:t>
      </w:r>
      <w:r w:rsidR="00DC4D5A">
        <w:rPr>
          <w:sz w:val="24"/>
          <w:szCs w:val="24"/>
        </w:rPr>
        <w:t>o</w:t>
      </w:r>
      <w:r>
        <w:rPr>
          <w:sz w:val="24"/>
          <w:szCs w:val="24"/>
        </w:rPr>
        <w:t>t convinced that</w:t>
      </w:r>
      <w:r w:rsidR="00DC4D5A">
        <w:rPr>
          <w:sz w:val="24"/>
          <w:szCs w:val="24"/>
        </w:rPr>
        <w:t>, on the evidence before me, it can be concluded that ATS would be unable to satisfy an adverse costs order against it.</w:t>
      </w:r>
    </w:p>
    <w:p w14:paraId="18CE9BD0" w14:textId="52A4E0D3" w:rsidR="00F047E7" w:rsidRDefault="00DC4D5A" w:rsidP="003746D2">
      <w:pPr>
        <w:pStyle w:val="HB1"/>
        <w:rPr>
          <w:sz w:val="24"/>
          <w:szCs w:val="24"/>
        </w:rPr>
      </w:pPr>
      <w:r>
        <w:rPr>
          <w:sz w:val="24"/>
          <w:szCs w:val="24"/>
        </w:rPr>
        <w:t>It is</w:t>
      </w:r>
      <w:r w:rsidR="00F047E7">
        <w:rPr>
          <w:sz w:val="24"/>
          <w:szCs w:val="24"/>
        </w:rPr>
        <w:t>,</w:t>
      </w:r>
      <w:r>
        <w:rPr>
          <w:sz w:val="24"/>
          <w:szCs w:val="24"/>
        </w:rPr>
        <w:t xml:space="preserve"> however</w:t>
      </w:r>
      <w:r w:rsidR="00F047E7">
        <w:rPr>
          <w:sz w:val="24"/>
          <w:szCs w:val="24"/>
        </w:rPr>
        <w:t>,</w:t>
      </w:r>
      <w:r>
        <w:rPr>
          <w:sz w:val="24"/>
          <w:szCs w:val="24"/>
        </w:rPr>
        <w:t xml:space="preserve"> not necessary for me to finally decide this question. This is so because, even if I were to conclude that ATS would be unable to satisfy an adverse costs order against it, Apex is</w:t>
      </w:r>
      <w:r w:rsidR="00E60A07">
        <w:rPr>
          <w:sz w:val="24"/>
          <w:szCs w:val="24"/>
        </w:rPr>
        <w:t>, in my view, unable to establish the next requirement, that is</w:t>
      </w:r>
      <w:r w:rsidR="00D16F90">
        <w:rPr>
          <w:sz w:val="24"/>
          <w:szCs w:val="24"/>
        </w:rPr>
        <w:t>,</w:t>
      </w:r>
      <w:r w:rsidR="00E60A07">
        <w:rPr>
          <w:sz w:val="24"/>
          <w:szCs w:val="24"/>
        </w:rPr>
        <w:t xml:space="preserve"> the requirement that the main application</w:t>
      </w:r>
      <w:r w:rsidR="00F047E7">
        <w:rPr>
          <w:sz w:val="24"/>
          <w:szCs w:val="24"/>
        </w:rPr>
        <w:t xml:space="preserve"> brought by ATS</w:t>
      </w:r>
      <w:r w:rsidR="00E60A07">
        <w:rPr>
          <w:sz w:val="24"/>
          <w:szCs w:val="24"/>
        </w:rPr>
        <w:t xml:space="preserve"> </w:t>
      </w:r>
      <w:r w:rsidR="00141B6B">
        <w:rPr>
          <w:sz w:val="24"/>
          <w:szCs w:val="24"/>
        </w:rPr>
        <w:t>is</w:t>
      </w:r>
      <w:r w:rsidR="00E60A07">
        <w:rPr>
          <w:sz w:val="24"/>
          <w:szCs w:val="24"/>
        </w:rPr>
        <w:t xml:space="preserve"> vexatious, </w:t>
      </w:r>
      <w:proofErr w:type="gramStart"/>
      <w:r w:rsidR="00E60A07">
        <w:rPr>
          <w:sz w:val="24"/>
          <w:szCs w:val="24"/>
        </w:rPr>
        <w:t>reckless</w:t>
      </w:r>
      <w:proofErr w:type="gramEnd"/>
      <w:r w:rsidR="00E60A07">
        <w:rPr>
          <w:sz w:val="24"/>
          <w:szCs w:val="24"/>
        </w:rPr>
        <w:t xml:space="preserve"> or otherwise amount</w:t>
      </w:r>
      <w:r w:rsidR="00141B6B">
        <w:rPr>
          <w:sz w:val="24"/>
          <w:szCs w:val="24"/>
        </w:rPr>
        <w:t>s</w:t>
      </w:r>
      <w:r w:rsidR="00E60A07">
        <w:rPr>
          <w:sz w:val="24"/>
          <w:szCs w:val="24"/>
        </w:rPr>
        <w:t xml:space="preserve"> to an abuse. </w:t>
      </w:r>
    </w:p>
    <w:p w14:paraId="6DE964DB" w14:textId="1F699F9F" w:rsidR="00E60A07" w:rsidRDefault="00E60A07" w:rsidP="003746D2">
      <w:pPr>
        <w:pStyle w:val="HB1"/>
        <w:rPr>
          <w:sz w:val="24"/>
          <w:szCs w:val="24"/>
        </w:rPr>
      </w:pPr>
      <w:r>
        <w:rPr>
          <w:sz w:val="24"/>
          <w:szCs w:val="24"/>
        </w:rPr>
        <w:t xml:space="preserve">It is to </w:t>
      </w:r>
      <w:r w:rsidR="00F047E7">
        <w:rPr>
          <w:sz w:val="24"/>
          <w:szCs w:val="24"/>
        </w:rPr>
        <w:t>a consideration of this requirement that I now turn.</w:t>
      </w:r>
    </w:p>
    <w:p w14:paraId="07317EBE" w14:textId="419034BE" w:rsidR="00E60A07" w:rsidRPr="00E60A07" w:rsidRDefault="000A499A" w:rsidP="00E60A07">
      <w:pPr>
        <w:pStyle w:val="HB1"/>
        <w:numPr>
          <w:ilvl w:val="0"/>
          <w:numId w:val="0"/>
        </w:numPr>
        <w:rPr>
          <w:sz w:val="24"/>
          <w:szCs w:val="24"/>
          <w:u w:val="single"/>
        </w:rPr>
      </w:pPr>
      <w:r>
        <w:rPr>
          <w:sz w:val="24"/>
          <w:szCs w:val="24"/>
          <w:u w:val="single"/>
        </w:rPr>
        <w:t xml:space="preserve">Is the </w:t>
      </w:r>
      <w:r w:rsidR="00E60A07" w:rsidRPr="00E60A07">
        <w:rPr>
          <w:sz w:val="24"/>
          <w:szCs w:val="24"/>
          <w:u w:val="single"/>
        </w:rPr>
        <w:t xml:space="preserve">main application vexatious, </w:t>
      </w:r>
      <w:proofErr w:type="gramStart"/>
      <w:r w:rsidR="00E60A07" w:rsidRPr="00E60A07">
        <w:rPr>
          <w:sz w:val="24"/>
          <w:szCs w:val="24"/>
          <w:u w:val="single"/>
        </w:rPr>
        <w:t>reckless</w:t>
      </w:r>
      <w:proofErr w:type="gramEnd"/>
      <w:r w:rsidR="00E60A07" w:rsidRPr="00E60A07">
        <w:rPr>
          <w:sz w:val="24"/>
          <w:szCs w:val="24"/>
          <w:u w:val="single"/>
        </w:rPr>
        <w:t xml:space="preserve"> or otherwise a</w:t>
      </w:r>
      <w:r>
        <w:rPr>
          <w:sz w:val="24"/>
          <w:szCs w:val="24"/>
          <w:u w:val="single"/>
        </w:rPr>
        <w:t>busive?</w:t>
      </w:r>
    </w:p>
    <w:p w14:paraId="4052E6F6" w14:textId="4F697C6B" w:rsidR="000E38D2" w:rsidRPr="00D16F90" w:rsidRDefault="00D16F90" w:rsidP="00D16F90">
      <w:pPr>
        <w:pStyle w:val="HB1"/>
        <w:rPr>
          <w:sz w:val="24"/>
          <w:szCs w:val="24"/>
        </w:rPr>
      </w:pPr>
      <w:r>
        <w:rPr>
          <w:sz w:val="24"/>
          <w:szCs w:val="24"/>
        </w:rPr>
        <w:t xml:space="preserve">The </w:t>
      </w:r>
      <w:r w:rsidR="000A499A">
        <w:rPr>
          <w:sz w:val="24"/>
          <w:szCs w:val="24"/>
        </w:rPr>
        <w:t>provision of</w:t>
      </w:r>
      <w:r>
        <w:rPr>
          <w:sz w:val="24"/>
          <w:szCs w:val="24"/>
        </w:rPr>
        <w:t xml:space="preserve"> the SAGOS contracts which is central to the main application launched by ATS is clause 16. It provides as follows:</w:t>
      </w:r>
    </w:p>
    <w:p w14:paraId="76ABE3C2" w14:textId="5358019F" w:rsidR="000E38D2" w:rsidRDefault="00CC60BF" w:rsidP="00B8034E">
      <w:pPr>
        <w:pStyle w:val="HB1"/>
        <w:numPr>
          <w:ilvl w:val="0"/>
          <w:numId w:val="0"/>
        </w:numPr>
        <w:spacing w:line="240" w:lineRule="auto"/>
        <w:ind w:left="2552" w:hanging="851"/>
        <w:rPr>
          <w:sz w:val="24"/>
          <w:szCs w:val="24"/>
        </w:rPr>
      </w:pPr>
      <w:r>
        <w:rPr>
          <w:sz w:val="24"/>
          <w:szCs w:val="24"/>
        </w:rPr>
        <w:t>“16</w:t>
      </w:r>
      <w:r>
        <w:rPr>
          <w:sz w:val="24"/>
          <w:szCs w:val="24"/>
        </w:rPr>
        <w:tab/>
      </w:r>
      <w:r w:rsidR="000E38D2">
        <w:rPr>
          <w:sz w:val="24"/>
          <w:szCs w:val="24"/>
        </w:rPr>
        <w:t>Time limits and mandatory procedures for pursuing any claim</w:t>
      </w:r>
    </w:p>
    <w:p w14:paraId="738270BC" w14:textId="7BC5DBBF" w:rsidR="00503AF8" w:rsidRDefault="000E38D2" w:rsidP="00B8034E">
      <w:pPr>
        <w:pStyle w:val="HB1"/>
        <w:numPr>
          <w:ilvl w:val="1"/>
          <w:numId w:val="9"/>
        </w:numPr>
        <w:spacing w:after="240" w:line="240" w:lineRule="auto"/>
        <w:ind w:left="2552" w:hanging="851"/>
        <w:rPr>
          <w:sz w:val="24"/>
          <w:szCs w:val="24"/>
        </w:rPr>
      </w:pPr>
      <w:r>
        <w:rPr>
          <w:sz w:val="24"/>
          <w:szCs w:val="24"/>
        </w:rPr>
        <w:t xml:space="preserve">The parties affirm that it is necessary that any dispute between </w:t>
      </w:r>
      <w:r w:rsidR="00503AF8">
        <w:rPr>
          <w:sz w:val="24"/>
          <w:szCs w:val="24"/>
        </w:rPr>
        <w:t xml:space="preserve">  </w:t>
      </w:r>
      <w:r>
        <w:rPr>
          <w:sz w:val="24"/>
          <w:szCs w:val="24"/>
        </w:rPr>
        <w:t>them should be</w:t>
      </w:r>
      <w:r w:rsidR="00503AF8">
        <w:rPr>
          <w:sz w:val="24"/>
          <w:szCs w:val="24"/>
        </w:rPr>
        <w:t xml:space="preserve"> notified without delay and then pursued promptly. They therefore agree that, unless a party making a claim does so in accordance with time limits specifically relating thereto, as set out elsewhere in this document, or if </w:t>
      </w:r>
      <w:r w:rsidR="00444392">
        <w:rPr>
          <w:sz w:val="24"/>
          <w:szCs w:val="24"/>
        </w:rPr>
        <w:t>n</w:t>
      </w:r>
      <w:r w:rsidR="00503AF8">
        <w:rPr>
          <w:sz w:val="24"/>
          <w:szCs w:val="24"/>
        </w:rPr>
        <w:t>o specific time limits apply, then in accordance with the requirements of clause 16.2, such claim shall be barred and deem to have been waived and abandoned for all purposes whatsoever.</w:t>
      </w:r>
    </w:p>
    <w:p w14:paraId="7CA9B0A5" w14:textId="14EAAC8B" w:rsidR="00503AF8" w:rsidRDefault="00503AF8" w:rsidP="00B8034E">
      <w:pPr>
        <w:pStyle w:val="HB1"/>
        <w:numPr>
          <w:ilvl w:val="1"/>
          <w:numId w:val="9"/>
        </w:numPr>
        <w:spacing w:after="240" w:line="240" w:lineRule="auto"/>
        <w:ind w:left="2552" w:hanging="851"/>
        <w:rPr>
          <w:sz w:val="24"/>
          <w:szCs w:val="24"/>
        </w:rPr>
      </w:pPr>
      <w:r>
        <w:rPr>
          <w:sz w:val="24"/>
          <w:szCs w:val="24"/>
        </w:rPr>
        <w:t>……</w:t>
      </w:r>
    </w:p>
    <w:p w14:paraId="09EA1B0E" w14:textId="0E227F51" w:rsidR="00503AF8" w:rsidRDefault="00503AF8" w:rsidP="00B8034E">
      <w:pPr>
        <w:pStyle w:val="HB1"/>
        <w:numPr>
          <w:ilvl w:val="2"/>
          <w:numId w:val="9"/>
        </w:numPr>
        <w:spacing w:after="240" w:line="240" w:lineRule="auto"/>
        <w:ind w:left="3544" w:hanging="992"/>
        <w:rPr>
          <w:sz w:val="24"/>
          <w:szCs w:val="24"/>
        </w:rPr>
      </w:pPr>
      <w:r>
        <w:rPr>
          <w:sz w:val="24"/>
          <w:szCs w:val="24"/>
        </w:rPr>
        <w:t xml:space="preserve">This clause regulates the time limits for making and pursuing any claim where such time limits are not specifically set out elsewhere in this document. </w:t>
      </w:r>
    </w:p>
    <w:p w14:paraId="5C7AF900" w14:textId="708C2419" w:rsidR="00503AF8" w:rsidRDefault="006271CD" w:rsidP="00B8034E">
      <w:pPr>
        <w:pStyle w:val="HB1"/>
        <w:numPr>
          <w:ilvl w:val="2"/>
          <w:numId w:val="9"/>
        </w:numPr>
        <w:spacing w:after="240" w:line="240" w:lineRule="auto"/>
        <w:ind w:left="3544" w:hanging="992"/>
        <w:rPr>
          <w:sz w:val="24"/>
          <w:szCs w:val="24"/>
        </w:rPr>
      </w:pPr>
      <w:r>
        <w:rPr>
          <w:sz w:val="24"/>
          <w:szCs w:val="24"/>
        </w:rPr>
        <w:t>Any claim for any failure to deliver the commodities in accordance with this contract must, if such failure was not, and would not have been, apparent from a reasonable inspection on delivery be notified in writing</w:t>
      </w:r>
      <w:r w:rsidR="009A51F0">
        <w:rPr>
          <w:sz w:val="24"/>
          <w:szCs w:val="24"/>
        </w:rPr>
        <w:t xml:space="preserve"> to the other party within 28 consecutive days from the last day of the period of delivery and thereafter, if such claim has not been settled, then it must be referred in writing to the AFSA secretariat within 21 consecutive days from the date of such notification to the other party.</w:t>
      </w:r>
    </w:p>
    <w:p w14:paraId="23D4FF88" w14:textId="7980B718" w:rsidR="000E38D2" w:rsidRDefault="009A51F0" w:rsidP="00CC60BF">
      <w:pPr>
        <w:pStyle w:val="HB1"/>
        <w:numPr>
          <w:ilvl w:val="2"/>
          <w:numId w:val="9"/>
        </w:numPr>
        <w:spacing w:after="240" w:line="240" w:lineRule="auto"/>
        <w:ind w:left="3544" w:hanging="992"/>
        <w:rPr>
          <w:sz w:val="24"/>
          <w:szCs w:val="24"/>
        </w:rPr>
      </w:pPr>
      <w:r>
        <w:rPr>
          <w:sz w:val="24"/>
          <w:szCs w:val="24"/>
        </w:rPr>
        <w:t>Any claim for</w:t>
      </w:r>
      <w:r w:rsidR="002F0085">
        <w:rPr>
          <w:sz w:val="24"/>
          <w:szCs w:val="24"/>
        </w:rPr>
        <w:t xml:space="preserve"> any</w:t>
      </w:r>
      <w:r>
        <w:rPr>
          <w:sz w:val="24"/>
          <w:szCs w:val="24"/>
        </w:rPr>
        <w:t xml:space="preserve"> failure to perform in terms of t</w:t>
      </w:r>
      <w:r w:rsidR="002F0085">
        <w:rPr>
          <w:sz w:val="24"/>
          <w:szCs w:val="24"/>
        </w:rPr>
        <w:t>his</w:t>
      </w:r>
      <w:r>
        <w:rPr>
          <w:sz w:val="24"/>
          <w:szCs w:val="24"/>
        </w:rPr>
        <w:t xml:space="preserve"> contract shall be notified</w:t>
      </w:r>
      <w:r w:rsidR="002F0085">
        <w:rPr>
          <w:sz w:val="24"/>
          <w:szCs w:val="24"/>
        </w:rPr>
        <w:t xml:space="preserve"> in writing</w:t>
      </w:r>
      <w:r>
        <w:rPr>
          <w:sz w:val="24"/>
          <w:szCs w:val="24"/>
        </w:rPr>
        <w:t xml:space="preserve"> to the other party within</w:t>
      </w:r>
      <w:r w:rsidR="00430F30">
        <w:rPr>
          <w:sz w:val="24"/>
          <w:szCs w:val="24"/>
        </w:rPr>
        <w:t xml:space="preserve"> 28 consecutive days from the date on which the other party could reasonably have become aware of such failure. Thereafter it must be referred in writing to the AFSA secretariat </w:t>
      </w:r>
      <w:r w:rsidR="00400E55">
        <w:rPr>
          <w:sz w:val="24"/>
          <w:szCs w:val="24"/>
        </w:rPr>
        <w:t>within 21 conse</w:t>
      </w:r>
      <w:r w:rsidR="00EE3033">
        <w:rPr>
          <w:sz w:val="24"/>
          <w:szCs w:val="24"/>
        </w:rPr>
        <w:t>cutive days from the date of such notification to the other party.”</w:t>
      </w:r>
      <w:r w:rsidR="00430F30">
        <w:rPr>
          <w:sz w:val="24"/>
          <w:szCs w:val="24"/>
        </w:rPr>
        <w:t xml:space="preserve"> </w:t>
      </w:r>
    </w:p>
    <w:p w14:paraId="59FD1DF6" w14:textId="68E77DE6" w:rsidR="00CC60BF" w:rsidRDefault="00CC60BF" w:rsidP="00B8034E">
      <w:pPr>
        <w:pStyle w:val="HB1"/>
        <w:numPr>
          <w:ilvl w:val="0"/>
          <w:numId w:val="0"/>
        </w:numPr>
        <w:spacing w:after="0" w:line="240" w:lineRule="auto"/>
        <w:ind w:left="3544"/>
        <w:rPr>
          <w:sz w:val="24"/>
          <w:szCs w:val="24"/>
        </w:rPr>
      </w:pPr>
    </w:p>
    <w:p w14:paraId="13D5BEBE" w14:textId="77777777" w:rsidR="00CC60BF" w:rsidRPr="00EE3033" w:rsidRDefault="00CC60BF" w:rsidP="00B8034E">
      <w:pPr>
        <w:pStyle w:val="HB1"/>
        <w:numPr>
          <w:ilvl w:val="0"/>
          <w:numId w:val="0"/>
        </w:numPr>
        <w:spacing w:after="240" w:line="240" w:lineRule="auto"/>
        <w:ind w:left="3544"/>
        <w:rPr>
          <w:sz w:val="24"/>
          <w:szCs w:val="24"/>
        </w:rPr>
      </w:pPr>
    </w:p>
    <w:p w14:paraId="746C44BD" w14:textId="3D4C4F3C" w:rsidR="00DC4D5A" w:rsidRDefault="00DC4D5A" w:rsidP="003746D2">
      <w:pPr>
        <w:pStyle w:val="HB1"/>
        <w:rPr>
          <w:sz w:val="24"/>
          <w:szCs w:val="24"/>
        </w:rPr>
      </w:pPr>
      <w:r>
        <w:rPr>
          <w:sz w:val="24"/>
          <w:szCs w:val="24"/>
        </w:rPr>
        <w:t xml:space="preserve"> </w:t>
      </w:r>
      <w:r w:rsidR="00EE3033">
        <w:rPr>
          <w:sz w:val="24"/>
          <w:szCs w:val="24"/>
        </w:rPr>
        <w:t xml:space="preserve">It is common cause that ATS did not comply with either the </w:t>
      </w:r>
      <w:proofErr w:type="gramStart"/>
      <w:r w:rsidR="00EE3033">
        <w:rPr>
          <w:sz w:val="24"/>
          <w:szCs w:val="24"/>
        </w:rPr>
        <w:t>28 day</w:t>
      </w:r>
      <w:proofErr w:type="gramEnd"/>
      <w:r w:rsidR="00EE3033">
        <w:rPr>
          <w:sz w:val="24"/>
          <w:szCs w:val="24"/>
        </w:rPr>
        <w:t xml:space="preserve"> period or the 21 day period stipulated in the clauses above. </w:t>
      </w:r>
      <w:r w:rsidR="002F0085">
        <w:rPr>
          <w:sz w:val="24"/>
          <w:szCs w:val="24"/>
        </w:rPr>
        <w:t xml:space="preserve"> As stated above, this gave rise to </w:t>
      </w:r>
      <w:r w:rsidR="00153C64">
        <w:rPr>
          <w:sz w:val="24"/>
          <w:szCs w:val="24"/>
        </w:rPr>
        <w:t>Apex’s special plea</w:t>
      </w:r>
      <w:r w:rsidR="002F0085">
        <w:rPr>
          <w:sz w:val="24"/>
          <w:szCs w:val="24"/>
        </w:rPr>
        <w:t xml:space="preserve"> to the effect that the arbitration was time barred and </w:t>
      </w:r>
      <w:r w:rsidR="00153C64">
        <w:rPr>
          <w:sz w:val="24"/>
          <w:szCs w:val="24"/>
        </w:rPr>
        <w:t xml:space="preserve"> </w:t>
      </w:r>
      <w:r w:rsidR="002F0085">
        <w:rPr>
          <w:sz w:val="24"/>
          <w:szCs w:val="24"/>
        </w:rPr>
        <w:t xml:space="preserve"> to</w:t>
      </w:r>
      <w:r w:rsidR="00153C64">
        <w:rPr>
          <w:sz w:val="24"/>
          <w:szCs w:val="24"/>
        </w:rPr>
        <w:t xml:space="preserve"> ATS</w:t>
      </w:r>
      <w:r w:rsidR="002F0085">
        <w:rPr>
          <w:sz w:val="24"/>
          <w:szCs w:val="24"/>
        </w:rPr>
        <w:t>’s</w:t>
      </w:r>
      <w:r w:rsidR="00153C64">
        <w:rPr>
          <w:sz w:val="24"/>
          <w:szCs w:val="24"/>
        </w:rPr>
        <w:t xml:space="preserve"> application</w:t>
      </w:r>
      <w:r w:rsidR="002F0085">
        <w:rPr>
          <w:sz w:val="24"/>
          <w:szCs w:val="24"/>
        </w:rPr>
        <w:t xml:space="preserve"> in this Court</w:t>
      </w:r>
      <w:r w:rsidR="00153C64">
        <w:rPr>
          <w:sz w:val="24"/>
          <w:szCs w:val="24"/>
        </w:rPr>
        <w:t xml:space="preserve"> to extend the time periods</w:t>
      </w:r>
      <w:r w:rsidR="002F0085">
        <w:rPr>
          <w:sz w:val="24"/>
          <w:szCs w:val="24"/>
        </w:rPr>
        <w:t xml:space="preserve"> stipulated in the contracts</w:t>
      </w:r>
      <w:r w:rsidR="00153C64">
        <w:rPr>
          <w:sz w:val="24"/>
          <w:szCs w:val="24"/>
        </w:rPr>
        <w:t xml:space="preserve"> (“the main application”). </w:t>
      </w:r>
      <w:r w:rsidR="002F0085">
        <w:rPr>
          <w:sz w:val="24"/>
          <w:szCs w:val="24"/>
        </w:rPr>
        <w:t>The main</w:t>
      </w:r>
      <w:r w:rsidR="00153C64">
        <w:rPr>
          <w:sz w:val="24"/>
          <w:szCs w:val="24"/>
        </w:rPr>
        <w:t xml:space="preserve"> application is brought in terms of section 8 of the Arbitration Act which provides as follows: </w:t>
      </w:r>
    </w:p>
    <w:p w14:paraId="4963DABB" w14:textId="36B05DF5" w:rsidR="000245FA" w:rsidRPr="00D049CD" w:rsidRDefault="00D049CD" w:rsidP="00B8034E">
      <w:pPr>
        <w:pStyle w:val="HB1"/>
        <w:numPr>
          <w:ilvl w:val="0"/>
          <w:numId w:val="0"/>
        </w:numPr>
        <w:spacing w:after="240" w:line="240" w:lineRule="auto"/>
        <w:ind w:left="1701"/>
        <w:rPr>
          <w:b/>
          <w:bCs/>
          <w:sz w:val="24"/>
          <w:szCs w:val="24"/>
        </w:rPr>
      </w:pPr>
      <w:r>
        <w:rPr>
          <w:sz w:val="24"/>
          <w:szCs w:val="24"/>
        </w:rPr>
        <w:t>“</w:t>
      </w:r>
      <w:r w:rsidRPr="00D049CD">
        <w:rPr>
          <w:b/>
          <w:bCs/>
          <w:sz w:val="24"/>
          <w:szCs w:val="24"/>
        </w:rPr>
        <w:t>8 Power of court to extend time fixed in arbitration agreement for commencing arbitration proceedings</w:t>
      </w:r>
    </w:p>
    <w:p w14:paraId="08B296E9" w14:textId="72430487" w:rsidR="00CC60BF" w:rsidRDefault="00D049CD" w:rsidP="00CC60BF">
      <w:pPr>
        <w:pStyle w:val="HB1"/>
        <w:numPr>
          <w:ilvl w:val="0"/>
          <w:numId w:val="0"/>
        </w:numPr>
        <w:spacing w:line="240" w:lineRule="auto"/>
        <w:ind w:left="1701"/>
        <w:rPr>
          <w:sz w:val="24"/>
          <w:szCs w:val="24"/>
        </w:rPr>
      </w:pPr>
      <w:r>
        <w:rPr>
          <w:sz w:val="24"/>
          <w:szCs w:val="24"/>
        </w:rPr>
        <w:t>Where an arbitration agreement to refer future disputes to arbitration provides that any claim to which the agreement applies shall be barred unless some step to commence arbitration proceedings is taken within a time fixed by the agreement, and a dispute arises to which the agreement applies, the court, if it is of the opinion that in the circumstances of the case undue hardship would other</w:t>
      </w:r>
      <w:r w:rsidR="00F80807">
        <w:rPr>
          <w:sz w:val="24"/>
          <w:szCs w:val="24"/>
        </w:rPr>
        <w:t xml:space="preserve">wise be caused, may extend the time for such period as it considers proper, whether the time so fixed has expired or not, on such terms and conditions as it may consider just but subject to the provisions of any law limiting the time for  commencing arbitration proceedings.” </w:t>
      </w:r>
    </w:p>
    <w:p w14:paraId="1654977A" w14:textId="152006D3" w:rsidR="00D049CD" w:rsidRDefault="00D049CD" w:rsidP="00B8034E">
      <w:pPr>
        <w:pStyle w:val="HB1"/>
        <w:numPr>
          <w:ilvl w:val="0"/>
          <w:numId w:val="0"/>
        </w:numPr>
        <w:spacing w:after="0" w:line="240" w:lineRule="auto"/>
        <w:ind w:left="1701"/>
        <w:rPr>
          <w:sz w:val="24"/>
          <w:szCs w:val="24"/>
        </w:rPr>
      </w:pPr>
      <w:r>
        <w:rPr>
          <w:sz w:val="24"/>
          <w:szCs w:val="24"/>
        </w:rPr>
        <w:t xml:space="preserve">  </w:t>
      </w:r>
    </w:p>
    <w:p w14:paraId="620FF0A3" w14:textId="1011B219" w:rsidR="0089572A" w:rsidRDefault="00F80807" w:rsidP="003746D2">
      <w:pPr>
        <w:pStyle w:val="HB1"/>
        <w:rPr>
          <w:sz w:val="24"/>
          <w:szCs w:val="24"/>
        </w:rPr>
      </w:pPr>
      <w:r>
        <w:rPr>
          <w:sz w:val="24"/>
          <w:szCs w:val="24"/>
        </w:rPr>
        <w:t>Apex’s argument is that while section 8 of the Arbitration Act affords</w:t>
      </w:r>
      <w:r w:rsidR="0089572A">
        <w:rPr>
          <w:sz w:val="24"/>
          <w:szCs w:val="24"/>
        </w:rPr>
        <w:t xml:space="preserve"> a</w:t>
      </w:r>
      <w:r>
        <w:rPr>
          <w:sz w:val="24"/>
          <w:szCs w:val="24"/>
        </w:rPr>
        <w:t xml:space="preserve"> Court the discretion to extend the second time period referred to above (viz, the </w:t>
      </w:r>
      <w:proofErr w:type="gramStart"/>
      <w:r>
        <w:rPr>
          <w:sz w:val="24"/>
          <w:szCs w:val="24"/>
        </w:rPr>
        <w:t>21 day</w:t>
      </w:r>
      <w:proofErr w:type="gramEnd"/>
      <w:r w:rsidR="0089572A">
        <w:rPr>
          <w:sz w:val="24"/>
          <w:szCs w:val="24"/>
        </w:rPr>
        <w:t xml:space="preserve"> period within which the dispute must be referred to </w:t>
      </w:r>
      <w:r w:rsidR="002F0085">
        <w:rPr>
          <w:sz w:val="24"/>
          <w:szCs w:val="24"/>
        </w:rPr>
        <w:t>arbitration)</w:t>
      </w:r>
      <w:r>
        <w:rPr>
          <w:sz w:val="24"/>
          <w:szCs w:val="24"/>
        </w:rPr>
        <w:t xml:space="preserve"> </w:t>
      </w:r>
      <w:r w:rsidR="0089572A">
        <w:rPr>
          <w:sz w:val="24"/>
          <w:szCs w:val="24"/>
        </w:rPr>
        <w:t>it does not afford a Court the discretion to extend the first time period (viz, the 28 day period within which the dispute must be declared</w:t>
      </w:r>
      <w:r w:rsidR="002F0085">
        <w:rPr>
          <w:sz w:val="24"/>
          <w:szCs w:val="24"/>
        </w:rPr>
        <w:t>).</w:t>
      </w:r>
    </w:p>
    <w:p w14:paraId="57E812F3" w14:textId="2B47AA5E" w:rsidR="0089572A" w:rsidRDefault="0089572A" w:rsidP="003746D2">
      <w:pPr>
        <w:pStyle w:val="HB1"/>
        <w:rPr>
          <w:sz w:val="24"/>
          <w:szCs w:val="24"/>
        </w:rPr>
      </w:pPr>
      <w:r>
        <w:rPr>
          <w:sz w:val="24"/>
          <w:szCs w:val="24"/>
        </w:rPr>
        <w:t>As authority for this proposition, Apex relies on the judgment of</w:t>
      </w:r>
      <w:r w:rsidR="00C7631B">
        <w:rPr>
          <w:sz w:val="24"/>
          <w:szCs w:val="24"/>
        </w:rPr>
        <w:t xml:space="preserve"> </w:t>
      </w:r>
      <w:r w:rsidRPr="0089572A">
        <w:rPr>
          <w:i/>
          <w:iCs/>
          <w:sz w:val="24"/>
          <w:szCs w:val="24"/>
        </w:rPr>
        <w:t>Wilmington (Pty) Ltd v Short &amp; McDonald (Pty) Ltd</w:t>
      </w:r>
      <w:r>
        <w:rPr>
          <w:rStyle w:val="FootnoteReference"/>
          <w:sz w:val="24"/>
          <w:szCs w:val="24"/>
        </w:rPr>
        <w:footnoteReference w:id="4"/>
      </w:r>
      <w:r>
        <w:rPr>
          <w:sz w:val="24"/>
          <w:szCs w:val="24"/>
        </w:rPr>
        <w:t xml:space="preserve"> in which the Court held:</w:t>
      </w:r>
    </w:p>
    <w:p w14:paraId="2A807EE4" w14:textId="11EA10B9" w:rsidR="00C7631B" w:rsidRDefault="0089572A" w:rsidP="00CC60BF">
      <w:pPr>
        <w:pStyle w:val="HB1"/>
        <w:numPr>
          <w:ilvl w:val="0"/>
          <w:numId w:val="0"/>
        </w:numPr>
        <w:spacing w:after="240" w:line="240" w:lineRule="auto"/>
        <w:ind w:left="1701"/>
        <w:rPr>
          <w:sz w:val="24"/>
          <w:szCs w:val="24"/>
        </w:rPr>
      </w:pPr>
      <w:r>
        <w:rPr>
          <w:sz w:val="24"/>
          <w:szCs w:val="24"/>
        </w:rPr>
        <w:t xml:space="preserve">“The creation of a dispute is a condition precedent to the commencement of arbitration proceedings. </w:t>
      </w:r>
      <w:r w:rsidR="003A73CB">
        <w:rPr>
          <w:sz w:val="24"/>
          <w:szCs w:val="24"/>
        </w:rPr>
        <w:t xml:space="preserve">It is not a step which is taken to commence arbitration proceedings. It is only when a dispute </w:t>
      </w:r>
      <w:proofErr w:type="gramStart"/>
      <w:r w:rsidR="003A73CB">
        <w:rPr>
          <w:sz w:val="24"/>
          <w:szCs w:val="24"/>
        </w:rPr>
        <w:t>actually arises</w:t>
      </w:r>
      <w:proofErr w:type="gramEnd"/>
      <w:r w:rsidR="003A73CB">
        <w:rPr>
          <w:sz w:val="24"/>
          <w:szCs w:val="24"/>
        </w:rPr>
        <w:t xml:space="preserve"> between the parties that arbitration proceedings can be commenced and, accordingly, that some step can be taken to commence proceedings.”</w:t>
      </w:r>
      <w:r w:rsidR="003A73CB">
        <w:rPr>
          <w:rStyle w:val="FootnoteReference"/>
          <w:sz w:val="24"/>
          <w:szCs w:val="24"/>
        </w:rPr>
        <w:footnoteReference w:id="5"/>
      </w:r>
    </w:p>
    <w:p w14:paraId="0EA78E0E" w14:textId="77777777" w:rsidR="00CC60BF" w:rsidRDefault="00CC60BF" w:rsidP="00B8034E">
      <w:pPr>
        <w:pStyle w:val="HB1"/>
        <w:numPr>
          <w:ilvl w:val="0"/>
          <w:numId w:val="0"/>
        </w:numPr>
        <w:spacing w:after="240" w:line="240" w:lineRule="auto"/>
        <w:ind w:left="1701"/>
        <w:rPr>
          <w:sz w:val="24"/>
          <w:szCs w:val="24"/>
        </w:rPr>
      </w:pPr>
    </w:p>
    <w:p w14:paraId="7DD369DA" w14:textId="4DFE1A23" w:rsidR="00C7631B" w:rsidRDefault="00C7631B" w:rsidP="00C7631B">
      <w:pPr>
        <w:pStyle w:val="HB1"/>
        <w:rPr>
          <w:sz w:val="24"/>
          <w:szCs w:val="24"/>
        </w:rPr>
      </w:pPr>
      <w:r>
        <w:rPr>
          <w:sz w:val="24"/>
          <w:szCs w:val="24"/>
        </w:rPr>
        <w:t>The Court</w:t>
      </w:r>
      <w:r w:rsidR="002F0085">
        <w:rPr>
          <w:sz w:val="24"/>
          <w:szCs w:val="24"/>
        </w:rPr>
        <w:t xml:space="preserve"> in </w:t>
      </w:r>
      <w:r w:rsidR="002F0085" w:rsidRPr="002C3E11">
        <w:rPr>
          <w:i/>
          <w:iCs/>
          <w:sz w:val="24"/>
          <w:szCs w:val="24"/>
        </w:rPr>
        <w:t>Wilmington</w:t>
      </w:r>
      <w:r>
        <w:rPr>
          <w:sz w:val="24"/>
          <w:szCs w:val="24"/>
        </w:rPr>
        <w:t xml:space="preserve"> held further, with reference to section 8 of the Arbitration Act:</w:t>
      </w:r>
    </w:p>
    <w:p w14:paraId="0DE15BAE" w14:textId="3252E781" w:rsidR="00046E8D" w:rsidRDefault="00C7631B" w:rsidP="00B8034E">
      <w:pPr>
        <w:pStyle w:val="HB1"/>
        <w:numPr>
          <w:ilvl w:val="0"/>
          <w:numId w:val="0"/>
        </w:numPr>
        <w:spacing w:line="240" w:lineRule="auto"/>
        <w:ind w:left="1701"/>
        <w:rPr>
          <w:sz w:val="24"/>
          <w:szCs w:val="24"/>
        </w:rPr>
      </w:pPr>
      <w:r>
        <w:rPr>
          <w:sz w:val="24"/>
          <w:szCs w:val="24"/>
        </w:rPr>
        <w:t>“</w:t>
      </w:r>
      <w:r w:rsidR="00BB4093">
        <w:rPr>
          <w:sz w:val="24"/>
          <w:szCs w:val="24"/>
        </w:rPr>
        <w:t>What s 8 deal</w:t>
      </w:r>
      <w:r w:rsidR="00E9710A">
        <w:rPr>
          <w:sz w:val="24"/>
          <w:szCs w:val="24"/>
        </w:rPr>
        <w:t>s</w:t>
      </w:r>
      <w:r w:rsidR="00BB4093">
        <w:rPr>
          <w:sz w:val="24"/>
          <w:szCs w:val="24"/>
        </w:rPr>
        <w:t xml:space="preserve"> with is a step which must be taken in terms of the agreement to commence arbitration proceedings after a dispute has arisen between the parties</w:t>
      </w:r>
      <w:r w:rsidR="00046E8D">
        <w:rPr>
          <w:sz w:val="24"/>
          <w:szCs w:val="24"/>
        </w:rPr>
        <w:t xml:space="preserve"> and not a step which might be taken before it can be said that a dispute has arisen which in terms of the agreement may form the subject matter of arbitration proceedings.”</w:t>
      </w:r>
    </w:p>
    <w:p w14:paraId="31880446" w14:textId="77777777" w:rsidR="00CC60BF" w:rsidRDefault="00CC60BF" w:rsidP="00B8034E">
      <w:pPr>
        <w:pStyle w:val="HB1"/>
        <w:numPr>
          <w:ilvl w:val="0"/>
          <w:numId w:val="0"/>
        </w:numPr>
        <w:spacing w:after="240" w:line="240" w:lineRule="auto"/>
        <w:ind w:left="1440"/>
        <w:rPr>
          <w:sz w:val="24"/>
          <w:szCs w:val="24"/>
        </w:rPr>
      </w:pPr>
    </w:p>
    <w:p w14:paraId="61435214" w14:textId="29B498C1" w:rsidR="006E1133" w:rsidRDefault="00046E8D" w:rsidP="00046E8D">
      <w:pPr>
        <w:pStyle w:val="HB1"/>
        <w:rPr>
          <w:sz w:val="24"/>
          <w:szCs w:val="24"/>
        </w:rPr>
      </w:pPr>
      <w:r>
        <w:rPr>
          <w:sz w:val="24"/>
          <w:szCs w:val="24"/>
        </w:rPr>
        <w:t>Apex contend</w:t>
      </w:r>
      <w:r w:rsidR="00E9710A">
        <w:rPr>
          <w:sz w:val="24"/>
          <w:szCs w:val="24"/>
        </w:rPr>
        <w:t>s</w:t>
      </w:r>
      <w:r>
        <w:rPr>
          <w:sz w:val="24"/>
          <w:szCs w:val="24"/>
        </w:rPr>
        <w:t xml:space="preserve"> that it</w:t>
      </w:r>
      <w:r w:rsidR="00AF1A91">
        <w:rPr>
          <w:sz w:val="24"/>
          <w:szCs w:val="24"/>
        </w:rPr>
        <w:t xml:space="preserve"> is</w:t>
      </w:r>
      <w:r>
        <w:rPr>
          <w:sz w:val="24"/>
          <w:szCs w:val="24"/>
        </w:rPr>
        <w:t xml:space="preserve"> accordingly clear that section 8 of the Arbitration Act does not afford the Court a discretion to extend the first </w:t>
      </w:r>
      <w:proofErr w:type="gramStart"/>
      <w:r>
        <w:rPr>
          <w:sz w:val="24"/>
          <w:szCs w:val="24"/>
        </w:rPr>
        <w:t>time period</w:t>
      </w:r>
      <w:proofErr w:type="gramEnd"/>
      <w:r>
        <w:rPr>
          <w:sz w:val="24"/>
          <w:szCs w:val="24"/>
        </w:rPr>
        <w:t xml:space="preserve"> in terms of clause 16 of the SAGOS contracts </w:t>
      </w:r>
      <w:r w:rsidR="00E9710A">
        <w:rPr>
          <w:sz w:val="24"/>
          <w:szCs w:val="24"/>
        </w:rPr>
        <w:t>and that ATS’s main application is accordingly</w:t>
      </w:r>
      <w:r w:rsidR="00EB0A6B">
        <w:rPr>
          <w:sz w:val="24"/>
          <w:szCs w:val="24"/>
        </w:rPr>
        <w:t xml:space="preserve"> unsustainable in the sense of being</w:t>
      </w:r>
      <w:r w:rsidR="006E1133">
        <w:rPr>
          <w:sz w:val="24"/>
          <w:szCs w:val="24"/>
        </w:rPr>
        <w:t xml:space="preserve"> vexatious, reckless or otherwise </w:t>
      </w:r>
      <w:r w:rsidR="00D37C66">
        <w:rPr>
          <w:sz w:val="24"/>
          <w:szCs w:val="24"/>
        </w:rPr>
        <w:t>amounting to an</w:t>
      </w:r>
      <w:r w:rsidR="006E1133">
        <w:rPr>
          <w:sz w:val="24"/>
          <w:szCs w:val="24"/>
        </w:rPr>
        <w:t xml:space="preserve"> abuse.</w:t>
      </w:r>
    </w:p>
    <w:p w14:paraId="0CD00702" w14:textId="5B72C84B" w:rsidR="005066B7" w:rsidRDefault="005066B7" w:rsidP="00046E8D">
      <w:pPr>
        <w:pStyle w:val="HB1"/>
        <w:rPr>
          <w:sz w:val="24"/>
          <w:szCs w:val="24"/>
        </w:rPr>
      </w:pPr>
      <w:r>
        <w:rPr>
          <w:sz w:val="24"/>
          <w:szCs w:val="24"/>
        </w:rPr>
        <w:t xml:space="preserve">ATS, for its part, </w:t>
      </w:r>
      <w:r w:rsidR="006D6FEA">
        <w:rPr>
          <w:sz w:val="24"/>
          <w:szCs w:val="24"/>
        </w:rPr>
        <w:t>disputes this. It contends that</w:t>
      </w:r>
      <w:r>
        <w:rPr>
          <w:sz w:val="24"/>
          <w:szCs w:val="24"/>
        </w:rPr>
        <w:t xml:space="preserve"> the notice which it was required to dispatch to Apex within 28 days in terms of clause 16 of the SAGO</w:t>
      </w:r>
      <w:r w:rsidR="006D6FEA">
        <w:rPr>
          <w:sz w:val="24"/>
          <w:szCs w:val="24"/>
        </w:rPr>
        <w:t>S</w:t>
      </w:r>
      <w:r>
        <w:rPr>
          <w:sz w:val="24"/>
          <w:szCs w:val="24"/>
        </w:rPr>
        <w:t xml:space="preserve">   contracts constitute</w:t>
      </w:r>
      <w:r w:rsidR="006D6FEA">
        <w:rPr>
          <w:sz w:val="24"/>
          <w:szCs w:val="24"/>
        </w:rPr>
        <w:t>d</w:t>
      </w:r>
      <w:r>
        <w:rPr>
          <w:sz w:val="24"/>
          <w:szCs w:val="24"/>
        </w:rPr>
        <w:t xml:space="preserve"> “some step” within the meaning of section 8 of the Arbitration Act</w:t>
      </w:r>
      <w:r w:rsidR="006D6FEA">
        <w:rPr>
          <w:sz w:val="24"/>
          <w:szCs w:val="24"/>
        </w:rPr>
        <w:t xml:space="preserve"> and that </w:t>
      </w:r>
      <w:r w:rsidR="0035386B">
        <w:rPr>
          <w:sz w:val="24"/>
          <w:szCs w:val="24"/>
        </w:rPr>
        <w:t>a</w:t>
      </w:r>
      <w:r w:rsidR="006D6FEA">
        <w:rPr>
          <w:sz w:val="24"/>
          <w:szCs w:val="24"/>
        </w:rPr>
        <w:t xml:space="preserve"> Court accordingly has a discretion to extend this </w:t>
      </w:r>
      <w:proofErr w:type="gramStart"/>
      <w:r w:rsidR="006D6FEA">
        <w:rPr>
          <w:sz w:val="24"/>
          <w:szCs w:val="24"/>
        </w:rPr>
        <w:t>time period</w:t>
      </w:r>
      <w:proofErr w:type="gramEnd"/>
      <w:r w:rsidR="006D6FEA">
        <w:rPr>
          <w:sz w:val="24"/>
          <w:szCs w:val="24"/>
        </w:rPr>
        <w:t>.</w:t>
      </w:r>
    </w:p>
    <w:p w14:paraId="45284376" w14:textId="09AC9867" w:rsidR="00046E8D" w:rsidRDefault="005066B7" w:rsidP="00046E8D">
      <w:pPr>
        <w:pStyle w:val="HB1"/>
        <w:rPr>
          <w:sz w:val="24"/>
          <w:szCs w:val="24"/>
        </w:rPr>
      </w:pPr>
      <w:r>
        <w:rPr>
          <w:sz w:val="24"/>
          <w:szCs w:val="24"/>
        </w:rPr>
        <w:t>ATS points out</w:t>
      </w:r>
      <w:r w:rsidR="0035386B">
        <w:rPr>
          <w:sz w:val="24"/>
          <w:szCs w:val="24"/>
        </w:rPr>
        <w:t xml:space="preserve"> further</w:t>
      </w:r>
      <w:r>
        <w:rPr>
          <w:sz w:val="24"/>
          <w:szCs w:val="24"/>
        </w:rPr>
        <w:t xml:space="preserve"> that the </w:t>
      </w:r>
      <w:r w:rsidRPr="00E75DFF">
        <w:rPr>
          <w:i/>
          <w:iCs/>
          <w:sz w:val="24"/>
          <w:szCs w:val="24"/>
        </w:rPr>
        <w:t>Wilmington</w:t>
      </w:r>
      <w:r>
        <w:rPr>
          <w:sz w:val="24"/>
          <w:szCs w:val="24"/>
        </w:rPr>
        <w:t xml:space="preserve"> judgment on which Apex relies was handed down in the pre-constitutional era and that </w:t>
      </w:r>
      <w:r w:rsidR="0035386B">
        <w:rPr>
          <w:sz w:val="24"/>
          <w:szCs w:val="24"/>
        </w:rPr>
        <w:t>questions of interpretation of contract</w:t>
      </w:r>
      <w:r>
        <w:rPr>
          <w:sz w:val="24"/>
          <w:szCs w:val="24"/>
        </w:rPr>
        <w:t xml:space="preserve"> now fall to be dealt with reference to the judgments in </w:t>
      </w:r>
      <w:r w:rsidRPr="00E75DFF">
        <w:rPr>
          <w:i/>
          <w:iCs/>
          <w:sz w:val="24"/>
          <w:szCs w:val="24"/>
        </w:rPr>
        <w:t>Barkhuizen v Napier</w:t>
      </w:r>
      <w:r>
        <w:rPr>
          <w:rStyle w:val="FootnoteReference"/>
          <w:sz w:val="24"/>
          <w:szCs w:val="24"/>
        </w:rPr>
        <w:footnoteReference w:id="6"/>
      </w:r>
      <w:r>
        <w:rPr>
          <w:sz w:val="24"/>
          <w:szCs w:val="24"/>
        </w:rPr>
        <w:t xml:space="preserve"> and </w:t>
      </w:r>
      <w:proofErr w:type="spellStart"/>
      <w:r w:rsidRPr="00E75DFF">
        <w:rPr>
          <w:i/>
          <w:iCs/>
          <w:sz w:val="24"/>
          <w:szCs w:val="24"/>
        </w:rPr>
        <w:t>Beadica</w:t>
      </w:r>
      <w:proofErr w:type="spellEnd"/>
      <w:r w:rsidRPr="00E75DFF">
        <w:rPr>
          <w:i/>
          <w:iCs/>
          <w:sz w:val="24"/>
          <w:szCs w:val="24"/>
        </w:rPr>
        <w:t xml:space="preserve"> 231 CC and Others v Trustees, Oreg</w:t>
      </w:r>
      <w:r w:rsidR="00E75DFF" w:rsidRPr="00E75DFF">
        <w:rPr>
          <w:i/>
          <w:iCs/>
          <w:sz w:val="24"/>
          <w:szCs w:val="24"/>
        </w:rPr>
        <w:t>o</w:t>
      </w:r>
      <w:r w:rsidRPr="00E75DFF">
        <w:rPr>
          <w:i/>
          <w:iCs/>
          <w:sz w:val="24"/>
          <w:szCs w:val="24"/>
        </w:rPr>
        <w:t>n Trust</w:t>
      </w:r>
      <w:r w:rsidR="00E75DFF" w:rsidRPr="00E75DFF">
        <w:rPr>
          <w:i/>
          <w:iCs/>
          <w:sz w:val="24"/>
          <w:szCs w:val="24"/>
        </w:rPr>
        <w:t xml:space="preserve"> and </w:t>
      </w:r>
      <w:r w:rsidR="00E75DFF">
        <w:rPr>
          <w:i/>
          <w:iCs/>
          <w:sz w:val="24"/>
          <w:szCs w:val="24"/>
        </w:rPr>
        <w:t>O</w:t>
      </w:r>
      <w:r w:rsidR="00E75DFF" w:rsidRPr="00E75DFF">
        <w:rPr>
          <w:i/>
          <w:iCs/>
          <w:sz w:val="24"/>
          <w:szCs w:val="24"/>
        </w:rPr>
        <w:t>thers</w:t>
      </w:r>
      <w:r w:rsidR="00E75DFF">
        <w:rPr>
          <w:i/>
          <w:iCs/>
          <w:sz w:val="24"/>
          <w:szCs w:val="24"/>
        </w:rPr>
        <w:t>.</w:t>
      </w:r>
      <w:r w:rsidR="00E75DFF">
        <w:rPr>
          <w:rStyle w:val="FootnoteReference"/>
          <w:i/>
          <w:iCs/>
          <w:sz w:val="24"/>
          <w:szCs w:val="24"/>
        </w:rPr>
        <w:footnoteReference w:id="7"/>
      </w:r>
      <w:r>
        <w:rPr>
          <w:sz w:val="24"/>
          <w:szCs w:val="24"/>
        </w:rPr>
        <w:t xml:space="preserve"> </w:t>
      </w:r>
      <w:r w:rsidR="00E75DFF">
        <w:rPr>
          <w:sz w:val="24"/>
          <w:szCs w:val="24"/>
        </w:rPr>
        <w:t xml:space="preserve"> In </w:t>
      </w:r>
      <w:proofErr w:type="spellStart"/>
      <w:r w:rsidR="00E75DFF" w:rsidRPr="0035386B">
        <w:rPr>
          <w:i/>
          <w:iCs/>
          <w:sz w:val="24"/>
          <w:szCs w:val="24"/>
        </w:rPr>
        <w:t>Beadica</w:t>
      </w:r>
      <w:proofErr w:type="spellEnd"/>
      <w:r w:rsidR="00E75DFF">
        <w:rPr>
          <w:sz w:val="24"/>
          <w:szCs w:val="24"/>
        </w:rPr>
        <w:t xml:space="preserve"> the Constitutional Court confirmed that public policy imports values of fairness, reasonableness and justice and </w:t>
      </w:r>
      <w:r>
        <w:rPr>
          <w:sz w:val="24"/>
          <w:szCs w:val="24"/>
        </w:rPr>
        <w:t xml:space="preserve"> </w:t>
      </w:r>
      <w:r w:rsidR="00E7253C">
        <w:rPr>
          <w:sz w:val="24"/>
          <w:szCs w:val="24"/>
        </w:rPr>
        <w:t>that these values underlie and inform the substantive law of contract.</w:t>
      </w:r>
      <w:r w:rsidR="00E7253C">
        <w:rPr>
          <w:rStyle w:val="FootnoteReference"/>
          <w:sz w:val="24"/>
          <w:szCs w:val="24"/>
        </w:rPr>
        <w:footnoteReference w:id="8"/>
      </w:r>
      <w:r w:rsidR="00CC4636">
        <w:rPr>
          <w:sz w:val="24"/>
          <w:szCs w:val="24"/>
        </w:rPr>
        <w:t xml:space="preserve"> The Constitutional Court confirmed further that where a contractual term, or its enforcement, is so unfair, unreasonable or unjust that it is contrary to public policy, a Court may refuse to enforce it.</w:t>
      </w:r>
      <w:r w:rsidR="00CC4636">
        <w:rPr>
          <w:rStyle w:val="FootnoteReference"/>
          <w:sz w:val="24"/>
          <w:szCs w:val="24"/>
        </w:rPr>
        <w:footnoteReference w:id="9"/>
      </w:r>
      <w:r w:rsidR="00CC4636">
        <w:rPr>
          <w:sz w:val="24"/>
          <w:szCs w:val="24"/>
        </w:rPr>
        <w:t xml:space="preserve"> </w:t>
      </w:r>
    </w:p>
    <w:p w14:paraId="64A2C706" w14:textId="5CBE0C47" w:rsidR="003049E1" w:rsidRDefault="00AD69E6" w:rsidP="00046E8D">
      <w:pPr>
        <w:pStyle w:val="HB1"/>
        <w:rPr>
          <w:sz w:val="24"/>
          <w:szCs w:val="24"/>
        </w:rPr>
      </w:pPr>
      <w:r>
        <w:rPr>
          <w:sz w:val="24"/>
          <w:szCs w:val="24"/>
        </w:rPr>
        <w:t>ATS contends</w:t>
      </w:r>
      <w:r w:rsidR="0035386B">
        <w:rPr>
          <w:sz w:val="24"/>
          <w:szCs w:val="24"/>
        </w:rPr>
        <w:t xml:space="preserve"> further</w:t>
      </w:r>
      <w:r>
        <w:rPr>
          <w:sz w:val="24"/>
          <w:szCs w:val="24"/>
        </w:rPr>
        <w:t xml:space="preserve"> that Apex’s approach is overly simplistic and fails </w:t>
      </w:r>
      <w:r w:rsidR="0035386B">
        <w:rPr>
          <w:sz w:val="24"/>
          <w:szCs w:val="24"/>
        </w:rPr>
        <w:t xml:space="preserve">to take </w:t>
      </w:r>
      <w:r>
        <w:rPr>
          <w:sz w:val="24"/>
          <w:szCs w:val="24"/>
        </w:rPr>
        <w:t xml:space="preserve">account of the judgments in the post Constitutional era which have effectively </w:t>
      </w:r>
      <w:r w:rsidR="003049E1">
        <w:rPr>
          <w:sz w:val="24"/>
          <w:szCs w:val="24"/>
        </w:rPr>
        <w:t xml:space="preserve">held that the pre-constitutional privileging of </w:t>
      </w:r>
      <w:r w:rsidR="003049E1" w:rsidRPr="00537A8E">
        <w:rPr>
          <w:i/>
          <w:iCs/>
          <w:sz w:val="24"/>
          <w:szCs w:val="24"/>
        </w:rPr>
        <w:t xml:space="preserve">pacta sunt </w:t>
      </w:r>
      <w:proofErr w:type="spellStart"/>
      <w:r w:rsidR="003049E1" w:rsidRPr="00537A8E">
        <w:rPr>
          <w:i/>
          <w:iCs/>
          <w:sz w:val="24"/>
          <w:szCs w:val="24"/>
        </w:rPr>
        <w:t>servanda</w:t>
      </w:r>
      <w:proofErr w:type="spellEnd"/>
      <w:r w:rsidR="003049E1">
        <w:rPr>
          <w:sz w:val="24"/>
          <w:szCs w:val="24"/>
        </w:rPr>
        <w:t xml:space="preserve"> is no</w:t>
      </w:r>
      <w:r w:rsidR="00537A8E">
        <w:rPr>
          <w:sz w:val="24"/>
          <w:szCs w:val="24"/>
        </w:rPr>
        <w:t xml:space="preserve"> longer</w:t>
      </w:r>
      <w:r w:rsidR="003049E1">
        <w:rPr>
          <w:sz w:val="24"/>
          <w:szCs w:val="24"/>
        </w:rPr>
        <w:t xml:space="preserve"> appropriate under a constitutional approach to judicial control of enforcement of contracts</w:t>
      </w:r>
      <w:r w:rsidR="0035386B">
        <w:rPr>
          <w:sz w:val="24"/>
          <w:szCs w:val="24"/>
        </w:rPr>
        <w:t>.</w:t>
      </w:r>
    </w:p>
    <w:p w14:paraId="01E9E494" w14:textId="30F84337" w:rsidR="00530256" w:rsidRPr="00FF0FBA" w:rsidRDefault="00530256" w:rsidP="00046E8D">
      <w:pPr>
        <w:pStyle w:val="HB1"/>
        <w:rPr>
          <w:i/>
          <w:iCs/>
          <w:sz w:val="24"/>
          <w:szCs w:val="24"/>
        </w:rPr>
      </w:pPr>
      <w:r>
        <w:rPr>
          <w:sz w:val="24"/>
          <w:szCs w:val="24"/>
        </w:rPr>
        <w:t>It seems to me that the</w:t>
      </w:r>
      <w:r w:rsidR="00A56EE5">
        <w:rPr>
          <w:sz w:val="24"/>
          <w:szCs w:val="24"/>
        </w:rPr>
        <w:t xml:space="preserve"> true</w:t>
      </w:r>
      <w:r>
        <w:rPr>
          <w:sz w:val="24"/>
          <w:szCs w:val="24"/>
        </w:rPr>
        <w:t xml:space="preserve"> issue</w:t>
      </w:r>
      <w:r w:rsidR="00A56EE5">
        <w:rPr>
          <w:sz w:val="24"/>
          <w:szCs w:val="24"/>
        </w:rPr>
        <w:t xml:space="preserve"> may be</w:t>
      </w:r>
      <w:r>
        <w:rPr>
          <w:sz w:val="24"/>
          <w:szCs w:val="24"/>
        </w:rPr>
        <w:t xml:space="preserve"> the proper constitutional interpretation of section 8 of the Arbitration Act (and whether </w:t>
      </w:r>
      <w:r w:rsidRPr="00530256">
        <w:rPr>
          <w:i/>
          <w:iCs/>
          <w:sz w:val="24"/>
          <w:szCs w:val="24"/>
        </w:rPr>
        <w:t>Wilmington</w:t>
      </w:r>
      <w:r>
        <w:rPr>
          <w:i/>
          <w:iCs/>
          <w:sz w:val="24"/>
          <w:szCs w:val="24"/>
        </w:rPr>
        <w:t xml:space="preserve"> </w:t>
      </w:r>
      <w:r w:rsidRPr="00530256">
        <w:rPr>
          <w:sz w:val="24"/>
          <w:szCs w:val="24"/>
        </w:rPr>
        <w:t>f</w:t>
      </w:r>
      <w:r>
        <w:rPr>
          <w:sz w:val="24"/>
          <w:szCs w:val="24"/>
        </w:rPr>
        <w:t>alls to be re-visited in the new constitutional era).</w:t>
      </w:r>
      <w:r w:rsidR="00FF0FBA">
        <w:rPr>
          <w:sz w:val="24"/>
          <w:szCs w:val="24"/>
        </w:rPr>
        <w:t xml:space="preserve"> </w:t>
      </w:r>
      <w:r w:rsidR="00FF0FBA" w:rsidRPr="00F952B9">
        <w:rPr>
          <w:i/>
          <w:iCs/>
          <w:sz w:val="24"/>
          <w:szCs w:val="24"/>
        </w:rPr>
        <w:t>Prima facie,</w:t>
      </w:r>
      <w:r w:rsidR="00FF0FBA">
        <w:rPr>
          <w:sz w:val="24"/>
          <w:szCs w:val="24"/>
        </w:rPr>
        <w:t xml:space="preserve"> this </w:t>
      </w:r>
      <w:r w:rsidR="00F952B9">
        <w:rPr>
          <w:sz w:val="24"/>
          <w:szCs w:val="24"/>
        </w:rPr>
        <w:t>appears</w:t>
      </w:r>
      <w:r w:rsidR="00FF0FBA">
        <w:rPr>
          <w:sz w:val="24"/>
          <w:szCs w:val="24"/>
        </w:rPr>
        <w:t xml:space="preserve"> to be question of whether the </w:t>
      </w:r>
      <w:r w:rsidR="00FF0FBA" w:rsidRPr="00FF0FBA">
        <w:rPr>
          <w:i/>
          <w:iCs/>
          <w:sz w:val="24"/>
          <w:szCs w:val="24"/>
        </w:rPr>
        <w:t>Wilmington</w:t>
      </w:r>
      <w:r w:rsidR="00FF0FBA">
        <w:rPr>
          <w:sz w:val="24"/>
          <w:szCs w:val="24"/>
        </w:rPr>
        <w:t xml:space="preserve"> interpretation may violate the right of access to courts under section 34 of the Constitution, rather than a question of fairness in contracts or </w:t>
      </w:r>
      <w:r w:rsidR="00FF0FBA" w:rsidRPr="00FF0FBA">
        <w:rPr>
          <w:i/>
          <w:iCs/>
          <w:sz w:val="24"/>
          <w:szCs w:val="24"/>
        </w:rPr>
        <w:t xml:space="preserve">pacta sunt </w:t>
      </w:r>
      <w:proofErr w:type="spellStart"/>
      <w:r w:rsidR="00FF0FBA" w:rsidRPr="00FF0FBA">
        <w:rPr>
          <w:i/>
          <w:iCs/>
          <w:sz w:val="24"/>
          <w:szCs w:val="24"/>
        </w:rPr>
        <w:t>servanda</w:t>
      </w:r>
      <w:proofErr w:type="spellEnd"/>
      <w:r w:rsidR="00FF0FBA" w:rsidRPr="00FF0FBA">
        <w:rPr>
          <w:i/>
          <w:iCs/>
          <w:sz w:val="24"/>
          <w:szCs w:val="24"/>
        </w:rPr>
        <w:t>.</w:t>
      </w:r>
    </w:p>
    <w:p w14:paraId="2F7D186F" w14:textId="13AB7520" w:rsidR="00FF0FBA" w:rsidRDefault="00872DE7" w:rsidP="00046E8D">
      <w:pPr>
        <w:pStyle w:val="HB1"/>
        <w:rPr>
          <w:sz w:val="24"/>
          <w:szCs w:val="24"/>
        </w:rPr>
      </w:pPr>
      <w:r>
        <w:rPr>
          <w:sz w:val="24"/>
          <w:szCs w:val="24"/>
        </w:rPr>
        <w:t>In any event,</w:t>
      </w:r>
      <w:r w:rsidR="00FF0FBA">
        <w:rPr>
          <w:sz w:val="24"/>
          <w:szCs w:val="24"/>
        </w:rPr>
        <w:t xml:space="preserve"> I note that in </w:t>
      </w:r>
      <w:r w:rsidR="00FF0FBA" w:rsidRPr="00F952B9">
        <w:rPr>
          <w:i/>
          <w:iCs/>
          <w:sz w:val="24"/>
          <w:szCs w:val="24"/>
        </w:rPr>
        <w:t>Hillary Construction (</w:t>
      </w:r>
      <w:r w:rsidR="00F952B9" w:rsidRPr="00F952B9">
        <w:rPr>
          <w:i/>
          <w:iCs/>
          <w:sz w:val="24"/>
          <w:szCs w:val="24"/>
        </w:rPr>
        <w:t>Pty) Ltd v Roads Agency Limpopo (Pty) Ltd</w:t>
      </w:r>
      <w:r w:rsidR="00F952B9">
        <w:rPr>
          <w:sz w:val="24"/>
          <w:szCs w:val="24"/>
        </w:rPr>
        <w:t>,</w:t>
      </w:r>
      <w:r w:rsidR="00F952B9">
        <w:rPr>
          <w:rStyle w:val="FootnoteReference"/>
          <w:sz w:val="24"/>
          <w:szCs w:val="24"/>
        </w:rPr>
        <w:footnoteReference w:id="10"/>
      </w:r>
      <w:r w:rsidR="00F952B9">
        <w:rPr>
          <w:sz w:val="24"/>
          <w:szCs w:val="24"/>
        </w:rPr>
        <w:t xml:space="preserve"> Prinsloo J, appears to have expressed some doubt as to whether </w:t>
      </w:r>
      <w:r w:rsidR="00F952B9" w:rsidRPr="00872DE7">
        <w:rPr>
          <w:i/>
          <w:iCs/>
          <w:sz w:val="24"/>
          <w:szCs w:val="24"/>
        </w:rPr>
        <w:t>Wilmington</w:t>
      </w:r>
      <w:r w:rsidR="00F952B9">
        <w:rPr>
          <w:sz w:val="24"/>
          <w:szCs w:val="24"/>
        </w:rPr>
        <w:t xml:space="preserve"> was correctly decided (even without reference to constitutional principles).</w:t>
      </w:r>
      <w:r>
        <w:rPr>
          <w:rStyle w:val="FootnoteReference"/>
          <w:sz w:val="24"/>
          <w:szCs w:val="24"/>
        </w:rPr>
        <w:footnoteReference w:id="11"/>
      </w:r>
      <w:r w:rsidR="00F952B9">
        <w:rPr>
          <w:sz w:val="24"/>
          <w:szCs w:val="24"/>
        </w:rPr>
        <w:t xml:space="preserve"> It may be therefore that the constitutional issue does not even arise.</w:t>
      </w:r>
    </w:p>
    <w:p w14:paraId="40E40B1F" w14:textId="3EFBC844" w:rsidR="00AD69E6" w:rsidRPr="0019298B" w:rsidRDefault="00872DE7" w:rsidP="0019298B">
      <w:pPr>
        <w:pStyle w:val="HB1"/>
        <w:rPr>
          <w:i/>
          <w:iCs/>
          <w:sz w:val="24"/>
          <w:szCs w:val="24"/>
        </w:rPr>
      </w:pPr>
      <w:r>
        <w:rPr>
          <w:sz w:val="24"/>
          <w:szCs w:val="24"/>
        </w:rPr>
        <w:t xml:space="preserve">All things </w:t>
      </w:r>
      <w:proofErr w:type="gramStart"/>
      <w:r>
        <w:rPr>
          <w:sz w:val="24"/>
          <w:szCs w:val="24"/>
        </w:rPr>
        <w:t>considered,</w:t>
      </w:r>
      <w:proofErr w:type="gramEnd"/>
      <w:r w:rsidR="00F952B9">
        <w:rPr>
          <w:sz w:val="24"/>
          <w:szCs w:val="24"/>
        </w:rPr>
        <w:t xml:space="preserve"> I am of the</w:t>
      </w:r>
      <w:r w:rsidR="00537A8E">
        <w:rPr>
          <w:sz w:val="24"/>
          <w:szCs w:val="24"/>
        </w:rPr>
        <w:t xml:space="preserve"> view </w:t>
      </w:r>
      <w:r w:rsidR="0019298B">
        <w:rPr>
          <w:sz w:val="24"/>
          <w:szCs w:val="24"/>
        </w:rPr>
        <w:t>ATS’s contentions are not without merit. While the main application may involve complex questions pertaining to the interpretation of section 8 of the Arbitration Act and</w:t>
      </w:r>
      <w:r w:rsidR="00F952B9">
        <w:rPr>
          <w:sz w:val="24"/>
          <w:szCs w:val="24"/>
        </w:rPr>
        <w:t>/or</w:t>
      </w:r>
      <w:r w:rsidR="0019298B">
        <w:rPr>
          <w:sz w:val="24"/>
          <w:szCs w:val="24"/>
        </w:rPr>
        <w:t xml:space="preserve"> section 16 of the SAGOS contracts themselves, given the constitutional </w:t>
      </w:r>
      <w:r w:rsidR="00ED14F0">
        <w:rPr>
          <w:sz w:val="24"/>
          <w:szCs w:val="24"/>
        </w:rPr>
        <w:t>context within which such interpretation must now take place,</w:t>
      </w:r>
      <w:r w:rsidR="00805C22">
        <w:rPr>
          <w:sz w:val="24"/>
          <w:szCs w:val="24"/>
        </w:rPr>
        <w:t xml:space="preserve"> ATS’s arguments may </w:t>
      </w:r>
      <w:r w:rsidR="00F952B9">
        <w:rPr>
          <w:sz w:val="24"/>
          <w:szCs w:val="24"/>
        </w:rPr>
        <w:t>well</w:t>
      </w:r>
      <w:r w:rsidR="00805C22">
        <w:rPr>
          <w:sz w:val="24"/>
          <w:szCs w:val="24"/>
        </w:rPr>
        <w:t xml:space="preserve"> prevail. It cannot therefore be said, in my view,</w:t>
      </w:r>
      <w:r w:rsidR="0019298B">
        <w:rPr>
          <w:sz w:val="24"/>
          <w:szCs w:val="24"/>
        </w:rPr>
        <w:t xml:space="preserve"> that the main application is </w:t>
      </w:r>
      <w:r w:rsidR="00ED14F0">
        <w:rPr>
          <w:sz w:val="24"/>
          <w:szCs w:val="24"/>
        </w:rPr>
        <w:t>unsustainable in the sense of being vexatious or reckless.</w:t>
      </w:r>
      <w:r w:rsidR="005A6100" w:rsidRPr="0019298B">
        <w:rPr>
          <w:sz w:val="24"/>
          <w:szCs w:val="24"/>
        </w:rPr>
        <w:t xml:space="preserve"> It </w:t>
      </w:r>
      <w:r w:rsidR="00ED14F0">
        <w:rPr>
          <w:sz w:val="24"/>
          <w:szCs w:val="24"/>
        </w:rPr>
        <w:t>must be emphasised that</w:t>
      </w:r>
      <w:r w:rsidR="005A6100" w:rsidRPr="0019298B">
        <w:rPr>
          <w:sz w:val="24"/>
          <w:szCs w:val="24"/>
        </w:rPr>
        <w:t xml:space="preserve"> vexatious and reckless in this context mean</w:t>
      </w:r>
      <w:r w:rsidR="00805C22">
        <w:rPr>
          <w:sz w:val="24"/>
          <w:szCs w:val="24"/>
        </w:rPr>
        <w:t>s</w:t>
      </w:r>
      <w:r w:rsidR="005A6100" w:rsidRPr="0019298B">
        <w:rPr>
          <w:sz w:val="24"/>
          <w:szCs w:val="24"/>
        </w:rPr>
        <w:t xml:space="preserve"> </w:t>
      </w:r>
      <w:r w:rsidR="005A6100" w:rsidRPr="0019298B">
        <w:rPr>
          <w:i/>
          <w:iCs/>
          <w:sz w:val="24"/>
          <w:szCs w:val="24"/>
        </w:rPr>
        <w:t>“improper, instituted without sufficient ground, to serve solely as an annoyance to the defendant”</w:t>
      </w:r>
      <w:r w:rsidR="005A6100" w:rsidRPr="0019298B">
        <w:rPr>
          <w:sz w:val="24"/>
          <w:szCs w:val="24"/>
        </w:rPr>
        <w:t xml:space="preserve"> and </w:t>
      </w:r>
      <w:r w:rsidR="005A6100" w:rsidRPr="0019298B">
        <w:rPr>
          <w:i/>
          <w:iCs/>
          <w:sz w:val="24"/>
          <w:szCs w:val="24"/>
        </w:rPr>
        <w:t>“an action [or application] is vexatious and an abuse of the process of the court inter alia if it is obviously unsustainable. This must appear as a certainty, and not merely on a preponderance of probability</w:t>
      </w:r>
      <w:r w:rsidR="00A56EE5">
        <w:rPr>
          <w:i/>
          <w:iCs/>
          <w:sz w:val="24"/>
          <w:szCs w:val="24"/>
        </w:rPr>
        <w:t>.”</w:t>
      </w:r>
      <w:r w:rsidR="00761C4D">
        <w:rPr>
          <w:rStyle w:val="FootnoteReference"/>
          <w:i/>
          <w:iCs/>
          <w:sz w:val="24"/>
          <w:szCs w:val="24"/>
        </w:rPr>
        <w:footnoteReference w:id="12"/>
      </w:r>
      <w:r w:rsidR="005A6100" w:rsidRPr="0019298B">
        <w:rPr>
          <w:i/>
          <w:iCs/>
          <w:sz w:val="24"/>
          <w:szCs w:val="24"/>
        </w:rPr>
        <w:t xml:space="preserve">    </w:t>
      </w:r>
    </w:p>
    <w:p w14:paraId="603CBEBA" w14:textId="6202C070" w:rsidR="00AB1910" w:rsidRPr="00266DA2" w:rsidRDefault="00B80F51" w:rsidP="00046E8D">
      <w:pPr>
        <w:pStyle w:val="HB1"/>
        <w:rPr>
          <w:i/>
          <w:iCs/>
          <w:sz w:val="24"/>
          <w:szCs w:val="24"/>
        </w:rPr>
      </w:pPr>
      <w:r>
        <w:rPr>
          <w:sz w:val="24"/>
          <w:szCs w:val="24"/>
        </w:rPr>
        <w:t>In my view</w:t>
      </w:r>
      <w:r w:rsidR="00A56EE5">
        <w:rPr>
          <w:sz w:val="24"/>
          <w:szCs w:val="24"/>
        </w:rPr>
        <w:t>,</w:t>
      </w:r>
      <w:r>
        <w:rPr>
          <w:sz w:val="24"/>
          <w:szCs w:val="24"/>
        </w:rPr>
        <w:t xml:space="preserve"> the main application </w:t>
      </w:r>
      <w:r w:rsidR="00D63004">
        <w:rPr>
          <w:sz w:val="24"/>
          <w:szCs w:val="24"/>
        </w:rPr>
        <w:t>cannot</w:t>
      </w:r>
      <w:r w:rsidR="00805C22">
        <w:rPr>
          <w:sz w:val="24"/>
          <w:szCs w:val="24"/>
        </w:rPr>
        <w:t xml:space="preserve"> remotely</w:t>
      </w:r>
      <w:r w:rsidR="00D63004">
        <w:rPr>
          <w:sz w:val="24"/>
          <w:szCs w:val="24"/>
        </w:rPr>
        <w:t xml:space="preserve"> be said</w:t>
      </w:r>
      <w:r w:rsidR="00A56EE5">
        <w:rPr>
          <w:sz w:val="24"/>
          <w:szCs w:val="24"/>
        </w:rPr>
        <w:t xml:space="preserve"> to</w:t>
      </w:r>
      <w:r w:rsidR="00D63004">
        <w:rPr>
          <w:sz w:val="24"/>
          <w:szCs w:val="24"/>
        </w:rPr>
        <w:t xml:space="preserve"> </w:t>
      </w:r>
      <w:r w:rsidR="00805C22">
        <w:rPr>
          <w:sz w:val="24"/>
          <w:szCs w:val="24"/>
        </w:rPr>
        <w:t>be</w:t>
      </w:r>
      <w:r w:rsidR="00D63004">
        <w:rPr>
          <w:sz w:val="24"/>
          <w:szCs w:val="24"/>
        </w:rPr>
        <w:t xml:space="preserve"> </w:t>
      </w:r>
      <w:r w:rsidR="00D63004" w:rsidRPr="00805C22">
        <w:rPr>
          <w:i/>
          <w:iCs/>
          <w:sz w:val="24"/>
          <w:szCs w:val="24"/>
        </w:rPr>
        <w:t>“</w:t>
      </w:r>
      <w:r w:rsidR="00805C22" w:rsidRPr="00805C22">
        <w:rPr>
          <w:i/>
          <w:iCs/>
          <w:sz w:val="24"/>
          <w:szCs w:val="24"/>
        </w:rPr>
        <w:t>i</w:t>
      </w:r>
      <w:r w:rsidR="00D63004" w:rsidRPr="00805C22">
        <w:rPr>
          <w:i/>
          <w:iCs/>
          <w:sz w:val="24"/>
          <w:szCs w:val="24"/>
        </w:rPr>
        <w:t>mproper”</w:t>
      </w:r>
      <w:r w:rsidR="00D63004">
        <w:rPr>
          <w:sz w:val="24"/>
          <w:szCs w:val="24"/>
        </w:rPr>
        <w:t xml:space="preserve"> or </w:t>
      </w:r>
      <w:r w:rsidR="00D63004" w:rsidRPr="00B8034E">
        <w:rPr>
          <w:sz w:val="24"/>
          <w:szCs w:val="24"/>
        </w:rPr>
        <w:t>“</w:t>
      </w:r>
      <w:r w:rsidR="00D63004" w:rsidRPr="00805C22">
        <w:rPr>
          <w:i/>
          <w:iCs/>
          <w:sz w:val="24"/>
          <w:szCs w:val="24"/>
        </w:rPr>
        <w:t>obviously unsustainable</w:t>
      </w:r>
      <w:r w:rsidR="00184E61" w:rsidRPr="00B8034E">
        <w:rPr>
          <w:sz w:val="24"/>
          <w:szCs w:val="24"/>
        </w:rPr>
        <w:t>”</w:t>
      </w:r>
      <w:r w:rsidR="002A2CB9">
        <w:rPr>
          <w:sz w:val="24"/>
          <w:szCs w:val="24"/>
        </w:rPr>
        <w:t xml:space="preserve"> in the above sense.</w:t>
      </w:r>
      <w:r w:rsidR="00D63004">
        <w:rPr>
          <w:sz w:val="24"/>
          <w:szCs w:val="24"/>
        </w:rPr>
        <w:t xml:space="preserve"> For this reason alone, Apex’s application for security for costs cannot be granted. </w:t>
      </w:r>
    </w:p>
    <w:p w14:paraId="36E31D19" w14:textId="658D57FC" w:rsidR="00266DA2" w:rsidRPr="00266DA2" w:rsidRDefault="00266DA2" w:rsidP="00046E8D">
      <w:pPr>
        <w:pStyle w:val="HB1"/>
        <w:rPr>
          <w:i/>
          <w:iCs/>
          <w:sz w:val="24"/>
          <w:szCs w:val="24"/>
        </w:rPr>
      </w:pPr>
      <w:r>
        <w:rPr>
          <w:sz w:val="24"/>
          <w:szCs w:val="24"/>
        </w:rPr>
        <w:t>It remains to deal with the question of the costs of the joinder application.</w:t>
      </w:r>
    </w:p>
    <w:p w14:paraId="7A755B26" w14:textId="41B4AFBF" w:rsidR="00266DA2" w:rsidRDefault="00266DA2" w:rsidP="00266DA2">
      <w:pPr>
        <w:pStyle w:val="HB1"/>
        <w:numPr>
          <w:ilvl w:val="0"/>
          <w:numId w:val="0"/>
        </w:numPr>
        <w:rPr>
          <w:sz w:val="24"/>
          <w:szCs w:val="24"/>
          <w:u w:val="single"/>
        </w:rPr>
      </w:pPr>
      <w:r w:rsidRPr="00266DA2">
        <w:rPr>
          <w:sz w:val="24"/>
          <w:szCs w:val="24"/>
          <w:u w:val="single"/>
        </w:rPr>
        <w:t xml:space="preserve">The </w:t>
      </w:r>
      <w:r w:rsidR="006E1208">
        <w:rPr>
          <w:sz w:val="24"/>
          <w:szCs w:val="24"/>
          <w:u w:val="single"/>
        </w:rPr>
        <w:t>c</w:t>
      </w:r>
      <w:r w:rsidRPr="00266DA2">
        <w:rPr>
          <w:sz w:val="24"/>
          <w:szCs w:val="24"/>
          <w:u w:val="single"/>
        </w:rPr>
        <w:t xml:space="preserve">osts of the </w:t>
      </w:r>
      <w:r w:rsidR="006E1208">
        <w:rPr>
          <w:sz w:val="24"/>
          <w:szCs w:val="24"/>
          <w:u w:val="single"/>
        </w:rPr>
        <w:t>j</w:t>
      </w:r>
      <w:r w:rsidRPr="00266DA2">
        <w:rPr>
          <w:sz w:val="24"/>
          <w:szCs w:val="24"/>
          <w:u w:val="single"/>
        </w:rPr>
        <w:t xml:space="preserve">oinder </w:t>
      </w:r>
      <w:r w:rsidR="006E1208">
        <w:rPr>
          <w:sz w:val="24"/>
          <w:szCs w:val="24"/>
          <w:u w:val="single"/>
        </w:rPr>
        <w:t>a</w:t>
      </w:r>
      <w:r w:rsidRPr="00266DA2">
        <w:rPr>
          <w:sz w:val="24"/>
          <w:szCs w:val="24"/>
          <w:u w:val="single"/>
        </w:rPr>
        <w:t xml:space="preserve">pplication </w:t>
      </w:r>
    </w:p>
    <w:p w14:paraId="533A6606" w14:textId="458FA6F8" w:rsidR="003471D2" w:rsidRPr="004A59B0" w:rsidRDefault="00266DA2" w:rsidP="00266DA2">
      <w:pPr>
        <w:pStyle w:val="HB1"/>
        <w:rPr>
          <w:i/>
          <w:iCs/>
          <w:sz w:val="24"/>
          <w:szCs w:val="24"/>
        </w:rPr>
      </w:pPr>
      <w:r>
        <w:rPr>
          <w:sz w:val="24"/>
          <w:szCs w:val="24"/>
        </w:rPr>
        <w:t>Ape</w:t>
      </w:r>
      <w:r w:rsidR="003471D2">
        <w:rPr>
          <w:sz w:val="24"/>
          <w:szCs w:val="24"/>
        </w:rPr>
        <w:t>x</w:t>
      </w:r>
      <w:r w:rsidR="006E1208">
        <w:rPr>
          <w:sz w:val="24"/>
          <w:szCs w:val="24"/>
        </w:rPr>
        <w:t xml:space="preserve"> contends that ATS took the </w:t>
      </w:r>
      <w:r w:rsidR="006E1208" w:rsidRPr="00E82EF1">
        <w:rPr>
          <w:i/>
          <w:iCs/>
          <w:sz w:val="24"/>
          <w:szCs w:val="24"/>
        </w:rPr>
        <w:t>“obviously unsustainable”</w:t>
      </w:r>
      <w:r w:rsidR="006E1208">
        <w:rPr>
          <w:sz w:val="24"/>
          <w:szCs w:val="24"/>
        </w:rPr>
        <w:t xml:space="preserve"> point of non-joinder</w:t>
      </w:r>
      <w:r w:rsidR="003471D2">
        <w:rPr>
          <w:sz w:val="24"/>
          <w:szCs w:val="24"/>
        </w:rPr>
        <w:t xml:space="preserve"> of the first respondent</w:t>
      </w:r>
      <w:r w:rsidR="003257D0">
        <w:rPr>
          <w:sz w:val="24"/>
          <w:szCs w:val="24"/>
        </w:rPr>
        <w:t>’s</w:t>
      </w:r>
      <w:r w:rsidR="003471D2">
        <w:rPr>
          <w:sz w:val="24"/>
          <w:szCs w:val="24"/>
        </w:rPr>
        <w:t xml:space="preserve"> co-liquidators and that this necessitated the </w:t>
      </w:r>
      <w:r w:rsidR="003471D2" w:rsidRPr="00E82EF1">
        <w:rPr>
          <w:i/>
          <w:iCs/>
          <w:sz w:val="24"/>
          <w:szCs w:val="24"/>
        </w:rPr>
        <w:t>“incurrence of wasted costs”</w:t>
      </w:r>
      <w:r w:rsidR="003471D2">
        <w:rPr>
          <w:sz w:val="24"/>
          <w:szCs w:val="24"/>
        </w:rPr>
        <w:t xml:space="preserve"> in the bringing of the joinder application by Apex. Apex seeks</w:t>
      </w:r>
      <w:r w:rsidR="00C75982">
        <w:rPr>
          <w:sz w:val="24"/>
          <w:szCs w:val="24"/>
        </w:rPr>
        <w:t xml:space="preserve"> an order that ATS pay these costs on the opposed scale despite the fact th</w:t>
      </w:r>
      <w:r w:rsidR="004A59B0">
        <w:rPr>
          <w:sz w:val="24"/>
          <w:szCs w:val="24"/>
        </w:rPr>
        <w:t>e joinder application was unopposed.</w:t>
      </w:r>
    </w:p>
    <w:p w14:paraId="78ED6776" w14:textId="1E9D70EA" w:rsidR="004A59B0" w:rsidRPr="00941426" w:rsidRDefault="00941426" w:rsidP="00266DA2">
      <w:pPr>
        <w:pStyle w:val="HB1"/>
        <w:rPr>
          <w:i/>
          <w:iCs/>
          <w:sz w:val="24"/>
          <w:szCs w:val="24"/>
        </w:rPr>
      </w:pPr>
      <w:r>
        <w:rPr>
          <w:sz w:val="24"/>
          <w:szCs w:val="24"/>
        </w:rPr>
        <w:t xml:space="preserve">I fail to understand Apex’s contention that the non-joinder point was </w:t>
      </w:r>
      <w:r w:rsidRPr="000641E3">
        <w:rPr>
          <w:i/>
          <w:iCs/>
          <w:sz w:val="24"/>
          <w:szCs w:val="24"/>
        </w:rPr>
        <w:t xml:space="preserve">“obviously unsustainable.” </w:t>
      </w:r>
      <w:r>
        <w:rPr>
          <w:sz w:val="24"/>
          <w:szCs w:val="24"/>
        </w:rPr>
        <w:t>As ATS</w:t>
      </w:r>
      <w:r w:rsidR="000641E3">
        <w:rPr>
          <w:sz w:val="24"/>
          <w:szCs w:val="24"/>
        </w:rPr>
        <w:t xml:space="preserve"> correctly </w:t>
      </w:r>
      <w:r>
        <w:rPr>
          <w:sz w:val="24"/>
          <w:szCs w:val="24"/>
        </w:rPr>
        <w:t>points out</w:t>
      </w:r>
      <w:r w:rsidR="002A2CB9">
        <w:rPr>
          <w:sz w:val="24"/>
          <w:szCs w:val="24"/>
        </w:rPr>
        <w:t>,</w:t>
      </w:r>
      <w:r>
        <w:rPr>
          <w:sz w:val="24"/>
          <w:szCs w:val="24"/>
        </w:rPr>
        <w:t xml:space="preserve"> Apex was indeed obliged to cite all the liquidators</w:t>
      </w:r>
      <w:r w:rsidR="000641E3">
        <w:rPr>
          <w:sz w:val="24"/>
          <w:szCs w:val="24"/>
        </w:rPr>
        <w:t xml:space="preserve"> in its application. </w:t>
      </w:r>
      <w:r>
        <w:rPr>
          <w:sz w:val="24"/>
          <w:szCs w:val="24"/>
        </w:rPr>
        <w:t>Moreover, Apex brought the joinder application when the point was raised by ATS, which application was not opposed by ATS.</w:t>
      </w:r>
    </w:p>
    <w:p w14:paraId="5FD88BDD" w14:textId="784A9B2D" w:rsidR="00E411A7" w:rsidRPr="00941426" w:rsidRDefault="000641E3" w:rsidP="00941426">
      <w:pPr>
        <w:pStyle w:val="HB1"/>
        <w:rPr>
          <w:i/>
          <w:iCs/>
          <w:sz w:val="24"/>
          <w:szCs w:val="24"/>
        </w:rPr>
      </w:pPr>
      <w:r>
        <w:rPr>
          <w:sz w:val="24"/>
          <w:szCs w:val="24"/>
        </w:rPr>
        <w:t>Given that the joinder application was necessary and unopposed, I am of the view that Apex is not entitled to the costs thereof.</w:t>
      </w:r>
      <w:r w:rsidR="00941426">
        <w:rPr>
          <w:sz w:val="24"/>
          <w:szCs w:val="24"/>
        </w:rPr>
        <w:t xml:space="preserve"> </w:t>
      </w:r>
    </w:p>
    <w:p w14:paraId="50030D55" w14:textId="443E0ECA" w:rsidR="00E411A7" w:rsidRPr="00E411A7" w:rsidRDefault="00E411A7" w:rsidP="00266DA2">
      <w:pPr>
        <w:pStyle w:val="HB1"/>
        <w:rPr>
          <w:i/>
          <w:iCs/>
          <w:sz w:val="24"/>
          <w:szCs w:val="24"/>
        </w:rPr>
      </w:pPr>
      <w:r>
        <w:rPr>
          <w:sz w:val="24"/>
          <w:szCs w:val="24"/>
        </w:rPr>
        <w:t>In the circumstances, I make the following order:</w:t>
      </w:r>
    </w:p>
    <w:p w14:paraId="1BCA3BBE" w14:textId="47C6E664" w:rsidR="00E411A7" w:rsidRDefault="00E411A7" w:rsidP="00E411A7">
      <w:pPr>
        <w:pStyle w:val="HB1"/>
        <w:numPr>
          <w:ilvl w:val="0"/>
          <w:numId w:val="0"/>
        </w:numPr>
        <w:rPr>
          <w:sz w:val="24"/>
          <w:szCs w:val="24"/>
          <w:u w:val="single"/>
        </w:rPr>
      </w:pPr>
      <w:r w:rsidRPr="00E411A7">
        <w:rPr>
          <w:sz w:val="24"/>
          <w:szCs w:val="24"/>
          <w:u w:val="single"/>
        </w:rPr>
        <w:t>Order</w:t>
      </w:r>
    </w:p>
    <w:p w14:paraId="34816DAF" w14:textId="38850DF7" w:rsidR="00E411A7" w:rsidRPr="00B8034E" w:rsidRDefault="00E411A7" w:rsidP="00FD278F">
      <w:pPr>
        <w:pStyle w:val="HB1"/>
        <w:numPr>
          <w:ilvl w:val="0"/>
          <w:numId w:val="10"/>
        </w:numPr>
        <w:ind w:left="1418" w:hanging="851"/>
        <w:rPr>
          <w:i/>
          <w:iCs/>
          <w:sz w:val="24"/>
          <w:szCs w:val="24"/>
        </w:rPr>
      </w:pPr>
      <w:r w:rsidRPr="00E411A7">
        <w:rPr>
          <w:sz w:val="24"/>
          <w:szCs w:val="24"/>
        </w:rPr>
        <w:t>The application for security for cos</w:t>
      </w:r>
      <w:r>
        <w:rPr>
          <w:sz w:val="24"/>
          <w:szCs w:val="24"/>
        </w:rPr>
        <w:t>ts is dismissed with costs.</w:t>
      </w:r>
    </w:p>
    <w:p w14:paraId="63759FEF" w14:textId="29B1CF09" w:rsidR="00FD278F" w:rsidRPr="00B8034E" w:rsidRDefault="00FD278F" w:rsidP="00B8034E">
      <w:pPr>
        <w:pStyle w:val="HB1"/>
        <w:numPr>
          <w:ilvl w:val="0"/>
          <w:numId w:val="10"/>
        </w:numPr>
        <w:ind w:left="1418" w:hanging="851"/>
        <w:rPr>
          <w:sz w:val="24"/>
          <w:szCs w:val="24"/>
        </w:rPr>
      </w:pPr>
      <w:r w:rsidRPr="00B8034E">
        <w:rPr>
          <w:sz w:val="24"/>
          <w:szCs w:val="24"/>
        </w:rPr>
        <w:t xml:space="preserve">The application for an order directing the first respondent </w:t>
      </w:r>
      <w:r w:rsidRPr="00FD278F">
        <w:rPr>
          <w:sz w:val="24"/>
          <w:szCs w:val="24"/>
        </w:rPr>
        <w:t>to pay the costs of the joinder application</w:t>
      </w:r>
      <w:r>
        <w:rPr>
          <w:sz w:val="24"/>
          <w:szCs w:val="24"/>
        </w:rPr>
        <w:t xml:space="preserve"> is dismissed with costs.</w:t>
      </w:r>
    </w:p>
    <w:p w14:paraId="3AC5D5B1" w14:textId="77777777" w:rsidR="000641E3" w:rsidRDefault="00E411A7" w:rsidP="00E411A7">
      <w:pPr>
        <w:pStyle w:val="HB1"/>
        <w:numPr>
          <w:ilvl w:val="0"/>
          <w:numId w:val="0"/>
        </w:numPr>
        <w:ind w:left="851"/>
      </w:pPr>
      <w:r>
        <w:tab/>
      </w:r>
      <w:r>
        <w:tab/>
      </w:r>
      <w:r>
        <w:tab/>
      </w:r>
      <w:r>
        <w:tab/>
        <w:t xml:space="preserve">             </w:t>
      </w:r>
    </w:p>
    <w:p w14:paraId="6AF73757" w14:textId="1CD537AE" w:rsidR="00E411A7" w:rsidRPr="00D53325" w:rsidRDefault="00E411A7" w:rsidP="00B8034E">
      <w:pPr>
        <w:pStyle w:val="HB1"/>
        <w:numPr>
          <w:ilvl w:val="0"/>
          <w:numId w:val="0"/>
        </w:numPr>
        <w:spacing w:after="240"/>
        <w:ind w:left="4451"/>
      </w:pPr>
      <w:r>
        <w:t xml:space="preserve">   </w:t>
      </w:r>
      <w:r w:rsidRPr="00D53325">
        <w:t>__________________________</w:t>
      </w:r>
    </w:p>
    <w:p w14:paraId="2912F154" w14:textId="74B4442F" w:rsidR="00E411A7" w:rsidRPr="00675EB3" w:rsidRDefault="00E411A7" w:rsidP="00E411A7">
      <w:pPr>
        <w:pStyle w:val="HB1"/>
        <w:numPr>
          <w:ilvl w:val="0"/>
          <w:numId w:val="0"/>
        </w:numPr>
        <w:ind w:left="4451" w:firstLine="589"/>
      </w:pPr>
      <w:r w:rsidRPr="00675EB3">
        <w:t>BARNES AJ</w:t>
      </w:r>
    </w:p>
    <w:p w14:paraId="56C0EC92" w14:textId="77777777" w:rsidR="00E411A7" w:rsidRPr="00675EB3" w:rsidRDefault="00E411A7" w:rsidP="00E411A7">
      <w:pPr>
        <w:pStyle w:val="HB1"/>
        <w:numPr>
          <w:ilvl w:val="0"/>
          <w:numId w:val="0"/>
        </w:numPr>
        <w:ind w:left="851" w:hanging="851"/>
      </w:pPr>
      <w:r w:rsidRPr="00675EB3">
        <w:t>Appearances:</w:t>
      </w:r>
    </w:p>
    <w:p w14:paraId="42407AB3" w14:textId="262DC5F3" w:rsidR="00E411A7" w:rsidRPr="00675EB3" w:rsidRDefault="00E411A7" w:rsidP="00E411A7">
      <w:pPr>
        <w:pStyle w:val="HB1"/>
        <w:numPr>
          <w:ilvl w:val="0"/>
          <w:numId w:val="0"/>
        </w:numPr>
        <w:ind w:left="851" w:hanging="851"/>
      </w:pPr>
      <w:r w:rsidRPr="00675EB3">
        <w:t xml:space="preserve">For the </w:t>
      </w:r>
      <w:r w:rsidR="00E82EF1">
        <w:t>Applicant:</w:t>
      </w:r>
      <w:r w:rsidRPr="00675EB3">
        <w:t xml:space="preserve"> </w:t>
      </w:r>
      <w:r w:rsidR="00E82EF1">
        <w:t xml:space="preserve"> </w:t>
      </w:r>
      <w:r w:rsidRPr="00675EB3">
        <w:t>Adv</w:t>
      </w:r>
      <w:r>
        <w:t xml:space="preserve"> </w:t>
      </w:r>
      <w:r w:rsidR="00E82EF1">
        <w:t xml:space="preserve">P </w:t>
      </w:r>
      <w:proofErr w:type="spellStart"/>
      <w:r w:rsidR="00E82EF1">
        <w:t>Sieberhagen</w:t>
      </w:r>
      <w:proofErr w:type="spellEnd"/>
    </w:p>
    <w:p w14:paraId="3EB000D1" w14:textId="1E3B6251" w:rsidR="00E411A7" w:rsidRDefault="00E82EF1" w:rsidP="00E411A7">
      <w:pPr>
        <w:pStyle w:val="HB1"/>
        <w:numPr>
          <w:ilvl w:val="0"/>
          <w:numId w:val="0"/>
        </w:numPr>
        <w:ind w:left="851" w:hanging="851"/>
      </w:pPr>
      <w:r>
        <w:t xml:space="preserve">For the Respondents: Adv A J Wessels </w:t>
      </w:r>
    </w:p>
    <w:p w14:paraId="531B7D02" w14:textId="77777777" w:rsidR="008C2F08" w:rsidRDefault="008C2F08"/>
    <w:sectPr w:rsidR="008C2F08" w:rsidSect="00B3017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7555" w14:textId="77777777" w:rsidR="00206B13" w:rsidRDefault="00206B13" w:rsidP="00B50BA2">
      <w:pPr>
        <w:spacing w:after="0" w:line="240" w:lineRule="auto"/>
      </w:pPr>
      <w:r>
        <w:separator/>
      </w:r>
    </w:p>
  </w:endnote>
  <w:endnote w:type="continuationSeparator" w:id="0">
    <w:p w14:paraId="154CE0BD" w14:textId="77777777" w:rsidR="00206B13" w:rsidRDefault="00206B13" w:rsidP="00B5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E497" w14:textId="77777777" w:rsidR="00206B13" w:rsidRDefault="00206B13" w:rsidP="00B50BA2">
      <w:pPr>
        <w:spacing w:after="0" w:line="240" w:lineRule="auto"/>
      </w:pPr>
      <w:r>
        <w:separator/>
      </w:r>
    </w:p>
  </w:footnote>
  <w:footnote w:type="continuationSeparator" w:id="0">
    <w:p w14:paraId="3E2EE5D0" w14:textId="77777777" w:rsidR="00206B13" w:rsidRDefault="00206B13" w:rsidP="00B50BA2">
      <w:pPr>
        <w:spacing w:after="0" w:line="240" w:lineRule="auto"/>
      </w:pPr>
      <w:r>
        <w:continuationSeparator/>
      </w:r>
    </w:p>
  </w:footnote>
  <w:footnote w:id="1">
    <w:p w14:paraId="619113DB" w14:textId="08C3AA41" w:rsidR="00BF3208" w:rsidRPr="00BF3208" w:rsidRDefault="00BF3208">
      <w:pPr>
        <w:pStyle w:val="FootnoteText"/>
        <w:rPr>
          <w:lang w:val="en-US"/>
        </w:rPr>
      </w:pPr>
      <w:r>
        <w:rPr>
          <w:rStyle w:val="FootnoteReference"/>
        </w:rPr>
        <w:footnoteRef/>
      </w:r>
      <w:r>
        <w:t xml:space="preserve"> </w:t>
      </w:r>
      <w:r>
        <w:rPr>
          <w:lang w:val="en-US"/>
        </w:rPr>
        <w:t xml:space="preserve">(1828) 1 </w:t>
      </w:r>
      <w:proofErr w:type="spellStart"/>
      <w:r>
        <w:rPr>
          <w:lang w:val="en-US"/>
        </w:rPr>
        <w:t>Menz</w:t>
      </w:r>
      <w:proofErr w:type="spellEnd"/>
      <w:r>
        <w:rPr>
          <w:lang w:val="en-US"/>
        </w:rPr>
        <w:t xml:space="preserve"> 291.</w:t>
      </w:r>
    </w:p>
  </w:footnote>
  <w:footnote w:id="2">
    <w:p w14:paraId="7662FC12" w14:textId="5FE5BDC4" w:rsidR="00757299" w:rsidRPr="00757299" w:rsidRDefault="00757299">
      <w:pPr>
        <w:pStyle w:val="FootnoteText"/>
        <w:rPr>
          <w:lang w:val="en-US"/>
        </w:rPr>
      </w:pPr>
      <w:r>
        <w:rPr>
          <w:rStyle w:val="FootnoteReference"/>
        </w:rPr>
        <w:footnoteRef/>
      </w:r>
      <w:r>
        <w:t xml:space="preserve"> </w:t>
      </w:r>
      <w:r>
        <w:rPr>
          <w:lang w:val="en-US"/>
        </w:rPr>
        <w:t xml:space="preserve">See in this regard the judgments cited in footnote 10 in </w:t>
      </w:r>
      <w:r w:rsidRPr="00757299">
        <w:rPr>
          <w:i/>
          <w:iCs/>
          <w:lang w:val="en-US"/>
        </w:rPr>
        <w:t xml:space="preserve">Boost Sports Africa (Pty) Ltd v South African Breweries (Pty) Ltd </w:t>
      </w:r>
      <w:r>
        <w:rPr>
          <w:lang w:val="en-US"/>
        </w:rPr>
        <w:t xml:space="preserve">2015 (5) SA 38 (SCA) </w:t>
      </w:r>
    </w:p>
  </w:footnote>
  <w:footnote w:id="3">
    <w:p w14:paraId="115618DE" w14:textId="2975D438" w:rsidR="00F0347B" w:rsidRPr="00F0347B" w:rsidRDefault="00F0347B">
      <w:pPr>
        <w:pStyle w:val="FootnoteText"/>
        <w:rPr>
          <w:lang w:val="en-US"/>
        </w:rPr>
      </w:pPr>
      <w:r>
        <w:rPr>
          <w:rStyle w:val="FootnoteReference"/>
        </w:rPr>
        <w:footnoteRef/>
      </w:r>
      <w:r>
        <w:t xml:space="preserve"> </w:t>
      </w:r>
      <w:r>
        <w:rPr>
          <w:lang w:val="en-US"/>
        </w:rPr>
        <w:t>2015 (5) SA 38 (SCA)</w:t>
      </w:r>
    </w:p>
  </w:footnote>
  <w:footnote w:id="4">
    <w:p w14:paraId="109434F9" w14:textId="26553232" w:rsidR="0089572A" w:rsidRPr="0089572A" w:rsidRDefault="0089572A">
      <w:pPr>
        <w:pStyle w:val="FootnoteText"/>
        <w:rPr>
          <w:lang w:val="en-US"/>
        </w:rPr>
      </w:pPr>
      <w:r>
        <w:rPr>
          <w:rStyle w:val="FootnoteReference"/>
        </w:rPr>
        <w:footnoteRef/>
      </w:r>
      <w:r>
        <w:t xml:space="preserve"> </w:t>
      </w:r>
      <w:r>
        <w:rPr>
          <w:lang w:val="en-US"/>
        </w:rPr>
        <w:t xml:space="preserve">1966 (4) SA 33 (D &amp; CLD) </w:t>
      </w:r>
    </w:p>
  </w:footnote>
  <w:footnote w:id="5">
    <w:p w14:paraId="58C9B959" w14:textId="4D88B9D0" w:rsidR="003A73CB" w:rsidRPr="003A73CB" w:rsidRDefault="003A73CB">
      <w:pPr>
        <w:pStyle w:val="FootnoteText"/>
        <w:rPr>
          <w:lang w:val="en-US"/>
        </w:rPr>
      </w:pPr>
      <w:r>
        <w:rPr>
          <w:rStyle w:val="FootnoteReference"/>
        </w:rPr>
        <w:footnoteRef/>
      </w:r>
      <w:r>
        <w:t xml:space="preserve"> </w:t>
      </w:r>
      <w:r>
        <w:rPr>
          <w:lang w:val="en-US"/>
        </w:rPr>
        <w:t>At 34D -E</w:t>
      </w:r>
    </w:p>
  </w:footnote>
  <w:footnote w:id="6">
    <w:p w14:paraId="67A6FDB8" w14:textId="6B888580" w:rsidR="005066B7" w:rsidRPr="005066B7" w:rsidRDefault="005066B7">
      <w:pPr>
        <w:pStyle w:val="FootnoteText"/>
        <w:rPr>
          <w:lang w:val="en-US"/>
        </w:rPr>
      </w:pPr>
      <w:r>
        <w:rPr>
          <w:rStyle w:val="FootnoteReference"/>
        </w:rPr>
        <w:footnoteRef/>
      </w:r>
      <w:r>
        <w:t xml:space="preserve"> </w:t>
      </w:r>
      <w:r>
        <w:rPr>
          <w:lang w:val="en-US"/>
        </w:rPr>
        <w:t>2007 (5)</w:t>
      </w:r>
      <w:r w:rsidR="00761C4D">
        <w:rPr>
          <w:lang w:val="en-US"/>
        </w:rPr>
        <w:t xml:space="preserve"> </w:t>
      </w:r>
      <w:r>
        <w:rPr>
          <w:lang w:val="en-US"/>
        </w:rPr>
        <w:t>SA 323 (CC).</w:t>
      </w:r>
    </w:p>
  </w:footnote>
  <w:footnote w:id="7">
    <w:p w14:paraId="0E152107" w14:textId="64641FE4" w:rsidR="00E75DFF" w:rsidRPr="00E75DFF" w:rsidRDefault="00E75DFF">
      <w:pPr>
        <w:pStyle w:val="FootnoteText"/>
        <w:rPr>
          <w:lang w:val="en-US"/>
        </w:rPr>
      </w:pPr>
      <w:r>
        <w:rPr>
          <w:rStyle w:val="FootnoteReference"/>
        </w:rPr>
        <w:footnoteRef/>
      </w:r>
      <w:r>
        <w:t xml:space="preserve"> </w:t>
      </w:r>
      <w:r>
        <w:rPr>
          <w:lang w:val="en-US"/>
        </w:rPr>
        <w:t>2020 (5) 247 (CC)</w:t>
      </w:r>
    </w:p>
  </w:footnote>
  <w:footnote w:id="8">
    <w:p w14:paraId="25B70176" w14:textId="341C1035" w:rsidR="00E7253C" w:rsidRPr="00E7253C" w:rsidRDefault="00E7253C">
      <w:pPr>
        <w:pStyle w:val="FootnoteText"/>
        <w:rPr>
          <w:lang w:val="en-US"/>
        </w:rPr>
      </w:pPr>
      <w:r>
        <w:rPr>
          <w:rStyle w:val="FootnoteReference"/>
        </w:rPr>
        <w:footnoteRef/>
      </w:r>
      <w:r>
        <w:t xml:space="preserve"> </w:t>
      </w:r>
      <w:r>
        <w:rPr>
          <w:lang w:val="en-US"/>
        </w:rPr>
        <w:t xml:space="preserve">At para 73. </w:t>
      </w:r>
    </w:p>
  </w:footnote>
  <w:footnote w:id="9">
    <w:p w14:paraId="311B9753" w14:textId="6B13667C" w:rsidR="00CC4636" w:rsidRPr="00CC4636" w:rsidRDefault="00CC4636">
      <w:pPr>
        <w:pStyle w:val="FootnoteText"/>
        <w:rPr>
          <w:lang w:val="en-US"/>
        </w:rPr>
      </w:pPr>
      <w:r>
        <w:rPr>
          <w:rStyle w:val="FootnoteReference"/>
        </w:rPr>
        <w:footnoteRef/>
      </w:r>
      <w:r>
        <w:t xml:space="preserve"> </w:t>
      </w:r>
      <w:proofErr w:type="spellStart"/>
      <w:r w:rsidRPr="00CC4636">
        <w:rPr>
          <w:i/>
          <w:iCs/>
          <w:lang w:val="en-US"/>
        </w:rPr>
        <w:t>Beadica</w:t>
      </w:r>
      <w:proofErr w:type="spellEnd"/>
      <w:r>
        <w:rPr>
          <w:lang w:val="en-US"/>
        </w:rPr>
        <w:t xml:space="preserve"> at para 79.</w:t>
      </w:r>
    </w:p>
  </w:footnote>
  <w:footnote w:id="10">
    <w:p w14:paraId="2D1FB976" w14:textId="3EC12B6B" w:rsidR="00F952B9" w:rsidRPr="00F952B9" w:rsidRDefault="00F952B9">
      <w:pPr>
        <w:pStyle w:val="FootnoteText"/>
        <w:rPr>
          <w:lang w:val="en-US"/>
        </w:rPr>
      </w:pPr>
      <w:r>
        <w:rPr>
          <w:rStyle w:val="FootnoteReference"/>
        </w:rPr>
        <w:footnoteRef/>
      </w:r>
      <w:r>
        <w:t xml:space="preserve"> </w:t>
      </w:r>
      <w:r w:rsidR="00872DE7">
        <w:t>2011 JDR 0984 (GNP)</w:t>
      </w:r>
    </w:p>
  </w:footnote>
  <w:footnote w:id="11">
    <w:p w14:paraId="33B90A84" w14:textId="3DA1A511" w:rsidR="00872DE7" w:rsidRPr="00872DE7" w:rsidRDefault="00872DE7">
      <w:pPr>
        <w:pStyle w:val="FootnoteText"/>
        <w:rPr>
          <w:lang w:val="en-US"/>
        </w:rPr>
      </w:pPr>
      <w:r>
        <w:rPr>
          <w:rStyle w:val="FootnoteReference"/>
        </w:rPr>
        <w:footnoteRef/>
      </w:r>
      <w:r>
        <w:t xml:space="preserve"> </w:t>
      </w:r>
      <w:r>
        <w:rPr>
          <w:lang w:val="en-US"/>
        </w:rPr>
        <w:t>At paras 112 and 113.</w:t>
      </w:r>
    </w:p>
  </w:footnote>
  <w:footnote w:id="12">
    <w:p w14:paraId="146F75FF" w14:textId="375127AC" w:rsidR="00761C4D" w:rsidRPr="00B8034E" w:rsidRDefault="00761C4D">
      <w:pPr>
        <w:pStyle w:val="FootnoteText"/>
        <w:rPr>
          <w:lang w:val="en-ZA"/>
        </w:rPr>
      </w:pPr>
      <w:r>
        <w:rPr>
          <w:rStyle w:val="FootnoteReference"/>
        </w:rPr>
        <w:footnoteRef/>
      </w:r>
      <w:r>
        <w:t xml:space="preserve"> </w:t>
      </w:r>
      <w:r w:rsidRPr="00B8034E">
        <w:rPr>
          <w:i/>
          <w:iCs/>
        </w:rPr>
        <w:t>Boost Sports Africa</w:t>
      </w:r>
      <w:r>
        <w:t>, cited above, at para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2679"/>
      <w:docPartObj>
        <w:docPartGallery w:val="Page Numbers (Top of Page)"/>
        <w:docPartUnique/>
      </w:docPartObj>
    </w:sdtPr>
    <w:sdtEndPr>
      <w:rPr>
        <w:noProof/>
      </w:rPr>
    </w:sdtEndPr>
    <w:sdtContent>
      <w:p w14:paraId="4928A7C7" w14:textId="77777777" w:rsidR="00290C52" w:rsidRDefault="00931BE4">
        <w:pPr>
          <w:pStyle w:val="Header"/>
          <w:jc w:val="center"/>
        </w:pPr>
        <w:r>
          <w:fldChar w:fldCharType="begin"/>
        </w:r>
        <w:r>
          <w:instrText xml:space="preserve"> PAGE   \* MERGEFORMAT </w:instrText>
        </w:r>
        <w:r>
          <w:fldChar w:fldCharType="separate"/>
        </w:r>
        <w:r>
          <w:rPr>
            <w:noProof/>
          </w:rPr>
          <w:t>37</w:t>
        </w:r>
        <w:r>
          <w:rPr>
            <w:noProof/>
          </w:rPr>
          <w:fldChar w:fldCharType="end"/>
        </w:r>
      </w:p>
    </w:sdtContent>
  </w:sdt>
  <w:p w14:paraId="37B957E2" w14:textId="77777777" w:rsidR="00290C5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C823222"/>
    <w:multiLevelType w:val="multilevel"/>
    <w:tmpl w:val="6812D14C"/>
    <w:lvl w:ilvl="0">
      <w:start w:val="1"/>
      <w:numFmt w:val="decimal"/>
      <w:pStyle w:val="HB1"/>
      <w:isLgl/>
      <w:lvlText w:val="%1."/>
      <w:lvlJc w:val="left"/>
      <w:pPr>
        <w:tabs>
          <w:tab w:val="num" w:pos="851"/>
        </w:tabs>
        <w:ind w:left="851" w:hanging="851"/>
      </w:pPr>
      <w:rPr>
        <w:rFonts w:ascii="Arial" w:hAnsi="Arial" w:cs="Arial" w:hint="default"/>
        <w:b w:val="0"/>
        <w:i w:val="0"/>
        <w:sz w:val="24"/>
        <w:szCs w:val="24"/>
      </w:rPr>
    </w:lvl>
    <w:lvl w:ilvl="1">
      <w:start w:val="1"/>
      <w:numFmt w:val="decimal"/>
      <w:pStyle w:val="HB2"/>
      <w:lvlText w:val="%1.%2"/>
      <w:lvlJc w:val="left"/>
      <w:pPr>
        <w:tabs>
          <w:tab w:val="num" w:pos="851"/>
        </w:tabs>
        <w:ind w:left="851" w:hanging="851"/>
      </w:pPr>
      <w:rPr>
        <w:rFonts w:ascii="Arial" w:hAnsi="Arial" w:cs="Arial" w:hint="default"/>
        <w:b w:val="0"/>
        <w:i w:val="0"/>
        <w:sz w:val="24"/>
        <w:szCs w:val="24"/>
        <w:lang w:val="en-GB"/>
      </w:rPr>
    </w:lvl>
    <w:lvl w:ilvl="2">
      <w:start w:val="1"/>
      <w:numFmt w:val="decimal"/>
      <w:pStyle w:val="HB3"/>
      <w:lvlText w:val="%1.%2.%3"/>
      <w:lvlJc w:val="left"/>
      <w:pPr>
        <w:tabs>
          <w:tab w:val="num" w:pos="1418"/>
        </w:tabs>
        <w:ind w:left="1418" w:hanging="1418"/>
      </w:pPr>
      <w:rPr>
        <w:rFonts w:ascii="Arial" w:hAnsi="Arial" w:cs="Arial" w:hint="default"/>
        <w:sz w:val="25"/>
        <w:szCs w:val="25"/>
        <w:lang w:val="en-ZA"/>
      </w:rPr>
    </w:lvl>
    <w:lvl w:ilvl="3">
      <w:start w:val="1"/>
      <w:numFmt w:val="decimal"/>
      <w:pStyle w:val="HB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2" w15:restartNumberingAfterBreak="0">
    <w:nsid w:val="2EC32EAB"/>
    <w:multiLevelType w:val="multilevel"/>
    <w:tmpl w:val="EA58EBD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i w:val="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0711349"/>
    <w:multiLevelType w:val="multilevel"/>
    <w:tmpl w:val="3C4A405C"/>
    <w:lvl w:ilvl="0">
      <w:start w:val="16"/>
      <w:numFmt w:val="decimal"/>
      <w:lvlText w:val="%1"/>
      <w:lvlJc w:val="left"/>
      <w:pPr>
        <w:ind w:left="1211" w:hanging="360"/>
      </w:pPr>
      <w:rPr>
        <w:rFonts w:hint="default"/>
      </w:rPr>
    </w:lvl>
    <w:lvl w:ilvl="1">
      <w:start w:val="1"/>
      <w:numFmt w:val="decimal"/>
      <w:isLgl/>
      <w:lvlText w:val="%1.%2"/>
      <w:lvlJc w:val="left"/>
      <w:pPr>
        <w:ind w:left="2100" w:hanging="660"/>
      </w:pPr>
      <w:rPr>
        <w:rFonts w:hint="default"/>
      </w:rPr>
    </w:lvl>
    <w:lvl w:ilvl="2">
      <w:start w:val="1"/>
      <w:numFmt w:val="decimal"/>
      <w:isLgl/>
      <w:lvlText w:val="%1.%2.%3"/>
      <w:lvlJc w:val="left"/>
      <w:pPr>
        <w:ind w:left="2749" w:hanging="720"/>
      </w:pPr>
      <w:rPr>
        <w:rFonts w:hint="default"/>
      </w:rPr>
    </w:lvl>
    <w:lvl w:ilvl="3">
      <w:start w:val="1"/>
      <w:numFmt w:val="decimal"/>
      <w:isLgl/>
      <w:lvlText w:val="%1.%2.%3.%4"/>
      <w:lvlJc w:val="left"/>
      <w:pPr>
        <w:ind w:left="3698" w:hanging="108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774" w:hanging="1800"/>
      </w:pPr>
      <w:rPr>
        <w:rFonts w:hint="default"/>
      </w:rPr>
    </w:lvl>
    <w:lvl w:ilvl="8">
      <w:start w:val="1"/>
      <w:numFmt w:val="decimal"/>
      <w:isLgl/>
      <w:lvlText w:val="%1.%2.%3.%4.%5.%6.%7.%8.%9"/>
      <w:lvlJc w:val="left"/>
      <w:pPr>
        <w:ind w:left="7363" w:hanging="1800"/>
      </w:pPr>
      <w:rPr>
        <w:rFonts w:hint="default"/>
      </w:rPr>
    </w:lvl>
  </w:abstractNum>
  <w:abstractNum w:abstractNumId="4" w15:restartNumberingAfterBreak="0">
    <w:nsid w:val="3A1157F2"/>
    <w:multiLevelType w:val="hybridMultilevel"/>
    <w:tmpl w:val="05E44186"/>
    <w:lvl w:ilvl="0" w:tplc="F2DEBFC8">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3FBB3807"/>
    <w:multiLevelType w:val="hybridMultilevel"/>
    <w:tmpl w:val="039E3F42"/>
    <w:lvl w:ilvl="0" w:tplc="75A836F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885919">
    <w:abstractNumId w:val="2"/>
  </w:num>
  <w:num w:numId="2" w16cid:durableId="2026402704">
    <w:abstractNumId w:val="2"/>
  </w:num>
  <w:num w:numId="3" w16cid:durableId="1178886493">
    <w:abstractNumId w:val="2"/>
  </w:num>
  <w:num w:numId="4" w16cid:durableId="1682973050">
    <w:abstractNumId w:val="2"/>
  </w:num>
  <w:num w:numId="5" w16cid:durableId="1942256783">
    <w:abstractNumId w:val="2"/>
  </w:num>
  <w:num w:numId="6" w16cid:durableId="245655935">
    <w:abstractNumId w:val="1"/>
  </w:num>
  <w:num w:numId="7" w16cid:durableId="1793789247">
    <w:abstractNumId w:val="0"/>
  </w:num>
  <w:num w:numId="8" w16cid:durableId="1627544398">
    <w:abstractNumId w:val="4"/>
  </w:num>
  <w:num w:numId="9" w16cid:durableId="1866165980">
    <w:abstractNumId w:val="3"/>
  </w:num>
  <w:num w:numId="10" w16cid:durableId="453792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A2"/>
    <w:rsid w:val="00010048"/>
    <w:rsid w:val="00015254"/>
    <w:rsid w:val="000245FA"/>
    <w:rsid w:val="00040F52"/>
    <w:rsid w:val="00046E8D"/>
    <w:rsid w:val="000641E3"/>
    <w:rsid w:val="00075445"/>
    <w:rsid w:val="000A499A"/>
    <w:rsid w:val="000B641F"/>
    <w:rsid w:val="000E38D2"/>
    <w:rsid w:val="000E60E6"/>
    <w:rsid w:val="000F6AA3"/>
    <w:rsid w:val="00105840"/>
    <w:rsid w:val="0011373C"/>
    <w:rsid w:val="00123AE4"/>
    <w:rsid w:val="001402AE"/>
    <w:rsid w:val="00141B6B"/>
    <w:rsid w:val="00143E28"/>
    <w:rsid w:val="00153C64"/>
    <w:rsid w:val="00157843"/>
    <w:rsid w:val="001629C1"/>
    <w:rsid w:val="001711A6"/>
    <w:rsid w:val="00184E61"/>
    <w:rsid w:val="0019298B"/>
    <w:rsid w:val="0019738B"/>
    <w:rsid w:val="001C5336"/>
    <w:rsid w:val="001E39B9"/>
    <w:rsid w:val="001E56AB"/>
    <w:rsid w:val="002021BE"/>
    <w:rsid w:val="00205A78"/>
    <w:rsid w:val="00206B13"/>
    <w:rsid w:val="002174C5"/>
    <w:rsid w:val="002412FA"/>
    <w:rsid w:val="00265678"/>
    <w:rsid w:val="00266467"/>
    <w:rsid w:val="00266DA2"/>
    <w:rsid w:val="00271673"/>
    <w:rsid w:val="00281158"/>
    <w:rsid w:val="00284789"/>
    <w:rsid w:val="002A2CB9"/>
    <w:rsid w:val="002C15BB"/>
    <w:rsid w:val="002C3E11"/>
    <w:rsid w:val="002F0085"/>
    <w:rsid w:val="003049E1"/>
    <w:rsid w:val="00313EA7"/>
    <w:rsid w:val="003257D0"/>
    <w:rsid w:val="003471D2"/>
    <w:rsid w:val="0035386B"/>
    <w:rsid w:val="003746D2"/>
    <w:rsid w:val="00377A16"/>
    <w:rsid w:val="003A73CB"/>
    <w:rsid w:val="003E18AC"/>
    <w:rsid w:val="003E7FA8"/>
    <w:rsid w:val="00400E55"/>
    <w:rsid w:val="00430F30"/>
    <w:rsid w:val="00444392"/>
    <w:rsid w:val="00461674"/>
    <w:rsid w:val="004A59B0"/>
    <w:rsid w:val="004B505B"/>
    <w:rsid w:val="004C7777"/>
    <w:rsid w:val="004E4D6D"/>
    <w:rsid w:val="00503AF8"/>
    <w:rsid w:val="005066B7"/>
    <w:rsid w:val="00524B9C"/>
    <w:rsid w:val="00530256"/>
    <w:rsid w:val="00537A8E"/>
    <w:rsid w:val="00551454"/>
    <w:rsid w:val="005946DF"/>
    <w:rsid w:val="005A6100"/>
    <w:rsid w:val="005C042D"/>
    <w:rsid w:val="006271CD"/>
    <w:rsid w:val="006278F9"/>
    <w:rsid w:val="006A72A2"/>
    <w:rsid w:val="006B7C04"/>
    <w:rsid w:val="006C02D3"/>
    <w:rsid w:val="006C0E83"/>
    <w:rsid w:val="006D5C7E"/>
    <w:rsid w:val="006D6FEA"/>
    <w:rsid w:val="006E1133"/>
    <w:rsid w:val="006E1208"/>
    <w:rsid w:val="007150D1"/>
    <w:rsid w:val="007223F3"/>
    <w:rsid w:val="00727839"/>
    <w:rsid w:val="007379DE"/>
    <w:rsid w:val="0074650C"/>
    <w:rsid w:val="00757299"/>
    <w:rsid w:val="00760965"/>
    <w:rsid w:val="00761C4D"/>
    <w:rsid w:val="007E2EC4"/>
    <w:rsid w:val="00805C22"/>
    <w:rsid w:val="00814CE3"/>
    <w:rsid w:val="00872DE7"/>
    <w:rsid w:val="0089572A"/>
    <w:rsid w:val="00896143"/>
    <w:rsid w:val="00897D6B"/>
    <w:rsid w:val="008C24CF"/>
    <w:rsid w:val="008C2F08"/>
    <w:rsid w:val="008C3612"/>
    <w:rsid w:val="008D027C"/>
    <w:rsid w:val="008D4C6E"/>
    <w:rsid w:val="00903FC4"/>
    <w:rsid w:val="00912E60"/>
    <w:rsid w:val="00931BE4"/>
    <w:rsid w:val="00941426"/>
    <w:rsid w:val="00946851"/>
    <w:rsid w:val="009A14E3"/>
    <w:rsid w:val="009A51F0"/>
    <w:rsid w:val="009A77AC"/>
    <w:rsid w:val="009E54D3"/>
    <w:rsid w:val="009F1DC3"/>
    <w:rsid w:val="00A01AC4"/>
    <w:rsid w:val="00A042D9"/>
    <w:rsid w:val="00A06C84"/>
    <w:rsid w:val="00A2404D"/>
    <w:rsid w:val="00A35DB0"/>
    <w:rsid w:val="00A56EE5"/>
    <w:rsid w:val="00AA198C"/>
    <w:rsid w:val="00AB1910"/>
    <w:rsid w:val="00AD69E6"/>
    <w:rsid w:val="00AF1A91"/>
    <w:rsid w:val="00B06702"/>
    <w:rsid w:val="00B3582C"/>
    <w:rsid w:val="00B42C48"/>
    <w:rsid w:val="00B44175"/>
    <w:rsid w:val="00B456A8"/>
    <w:rsid w:val="00B464C7"/>
    <w:rsid w:val="00B50BA2"/>
    <w:rsid w:val="00B54A2D"/>
    <w:rsid w:val="00B8034E"/>
    <w:rsid w:val="00B80F51"/>
    <w:rsid w:val="00BB4093"/>
    <w:rsid w:val="00BB47C4"/>
    <w:rsid w:val="00BB5E2D"/>
    <w:rsid w:val="00BE437F"/>
    <w:rsid w:val="00BE61F1"/>
    <w:rsid w:val="00BE6698"/>
    <w:rsid w:val="00BF3208"/>
    <w:rsid w:val="00C13EC0"/>
    <w:rsid w:val="00C36BD1"/>
    <w:rsid w:val="00C44898"/>
    <w:rsid w:val="00C54EC7"/>
    <w:rsid w:val="00C71F90"/>
    <w:rsid w:val="00C75982"/>
    <w:rsid w:val="00C7631B"/>
    <w:rsid w:val="00C7729A"/>
    <w:rsid w:val="00CB25D5"/>
    <w:rsid w:val="00CB3577"/>
    <w:rsid w:val="00CB597E"/>
    <w:rsid w:val="00CC4636"/>
    <w:rsid w:val="00CC60BF"/>
    <w:rsid w:val="00CD6D97"/>
    <w:rsid w:val="00CE3008"/>
    <w:rsid w:val="00CF2486"/>
    <w:rsid w:val="00D0306E"/>
    <w:rsid w:val="00D049CD"/>
    <w:rsid w:val="00D128DB"/>
    <w:rsid w:val="00D16F90"/>
    <w:rsid w:val="00D37C66"/>
    <w:rsid w:val="00D41E84"/>
    <w:rsid w:val="00D55342"/>
    <w:rsid w:val="00D63004"/>
    <w:rsid w:val="00D759FB"/>
    <w:rsid w:val="00D92554"/>
    <w:rsid w:val="00DC13B8"/>
    <w:rsid w:val="00DC2869"/>
    <w:rsid w:val="00DC4D5A"/>
    <w:rsid w:val="00E157FF"/>
    <w:rsid w:val="00E411A7"/>
    <w:rsid w:val="00E60A07"/>
    <w:rsid w:val="00E7253C"/>
    <w:rsid w:val="00E75DFF"/>
    <w:rsid w:val="00E82EF1"/>
    <w:rsid w:val="00E9710A"/>
    <w:rsid w:val="00E974B0"/>
    <w:rsid w:val="00E97696"/>
    <w:rsid w:val="00EB0A6B"/>
    <w:rsid w:val="00EC3174"/>
    <w:rsid w:val="00EC4E21"/>
    <w:rsid w:val="00ED14F0"/>
    <w:rsid w:val="00EE3033"/>
    <w:rsid w:val="00F0165F"/>
    <w:rsid w:val="00F0347B"/>
    <w:rsid w:val="00F047E7"/>
    <w:rsid w:val="00F10B0E"/>
    <w:rsid w:val="00F17710"/>
    <w:rsid w:val="00F30847"/>
    <w:rsid w:val="00F34109"/>
    <w:rsid w:val="00F40E47"/>
    <w:rsid w:val="00F56C3D"/>
    <w:rsid w:val="00F6009F"/>
    <w:rsid w:val="00F67B48"/>
    <w:rsid w:val="00F77ECB"/>
    <w:rsid w:val="00F80807"/>
    <w:rsid w:val="00F952B9"/>
    <w:rsid w:val="00FB420F"/>
    <w:rsid w:val="00FD278F"/>
    <w:rsid w:val="00FE7919"/>
    <w:rsid w:val="00FF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656D"/>
  <w15:chartTrackingRefBased/>
  <w15:docId w15:val="{A234A47A-A132-4B26-AC20-C9B5D1A0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A2"/>
    <w:pPr>
      <w:jc w:val="both"/>
    </w:pPr>
    <w:rPr>
      <w:rFonts w:eastAsia="Calibri" w:cs="Times New Roman"/>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1711A6"/>
    <w:pPr>
      <w:widowControl w:val="0"/>
      <w:numPr>
        <w:numId w:val="5"/>
      </w:numPr>
      <w:spacing w:before="480" w:after="0" w:line="480" w:lineRule="auto"/>
    </w:pPr>
    <w:rPr>
      <w:rFonts w:eastAsia="Times New Roman"/>
      <w:iCs/>
      <w:color w:val="000000"/>
    </w:rPr>
  </w:style>
  <w:style w:type="paragraph" w:customStyle="1" w:styleId="2">
    <w:name w:val="2"/>
    <w:basedOn w:val="1"/>
    <w:qFormat/>
    <w:rsid w:val="001711A6"/>
    <w:pPr>
      <w:numPr>
        <w:ilvl w:val="1"/>
      </w:numPr>
    </w:pPr>
  </w:style>
  <w:style w:type="paragraph" w:customStyle="1" w:styleId="3">
    <w:name w:val="3"/>
    <w:basedOn w:val="2"/>
    <w:qFormat/>
    <w:rsid w:val="001711A6"/>
    <w:pPr>
      <w:numPr>
        <w:ilvl w:val="2"/>
      </w:numPr>
    </w:pPr>
  </w:style>
  <w:style w:type="paragraph" w:customStyle="1" w:styleId="4">
    <w:name w:val="4"/>
    <w:basedOn w:val="Normal"/>
    <w:qFormat/>
    <w:rsid w:val="001711A6"/>
    <w:pPr>
      <w:numPr>
        <w:ilvl w:val="3"/>
        <w:numId w:val="5"/>
      </w:numPr>
      <w:spacing w:before="240" w:after="0" w:line="480" w:lineRule="auto"/>
    </w:pPr>
    <w:rPr>
      <w:rFonts w:eastAsia="Times New Roman"/>
      <w:iCs/>
      <w:color w:val="000000"/>
      <w:szCs w:val="16"/>
      <w:lang w:eastAsia="en-ZA"/>
    </w:rPr>
  </w:style>
  <w:style w:type="paragraph" w:customStyle="1" w:styleId="5">
    <w:name w:val="5"/>
    <w:basedOn w:val="4"/>
    <w:qFormat/>
    <w:rsid w:val="001711A6"/>
    <w:pPr>
      <w:numPr>
        <w:ilvl w:val="4"/>
      </w:numPr>
    </w:pPr>
  </w:style>
  <w:style w:type="paragraph" w:customStyle="1" w:styleId="HB1">
    <w:name w:val="HB1"/>
    <w:basedOn w:val="Normal"/>
    <w:qFormat/>
    <w:rsid w:val="00B50BA2"/>
    <w:pPr>
      <w:widowControl w:val="0"/>
      <w:numPr>
        <w:numId w:val="6"/>
      </w:numPr>
      <w:spacing w:after="600" w:line="480" w:lineRule="auto"/>
      <w:outlineLvl w:val="0"/>
    </w:pPr>
    <w:rPr>
      <w:rFonts w:eastAsia="Times New Roman"/>
      <w:szCs w:val="26"/>
    </w:rPr>
  </w:style>
  <w:style w:type="paragraph" w:customStyle="1" w:styleId="HB2">
    <w:name w:val="HB2"/>
    <w:basedOn w:val="Normal"/>
    <w:qFormat/>
    <w:rsid w:val="00B50BA2"/>
    <w:pPr>
      <w:widowControl w:val="0"/>
      <w:numPr>
        <w:ilvl w:val="1"/>
        <w:numId w:val="6"/>
      </w:numPr>
      <w:tabs>
        <w:tab w:val="clear" w:pos="851"/>
        <w:tab w:val="num" w:pos="1701"/>
      </w:tabs>
      <w:spacing w:after="600" w:line="480" w:lineRule="auto"/>
      <w:ind w:left="1701" w:hanging="1701"/>
      <w:outlineLvl w:val="1"/>
    </w:pPr>
    <w:rPr>
      <w:rFonts w:eastAsia="Times New Roman"/>
      <w:sz w:val="24"/>
      <w:szCs w:val="27"/>
    </w:rPr>
  </w:style>
  <w:style w:type="paragraph" w:customStyle="1" w:styleId="HB3">
    <w:name w:val="HB3"/>
    <w:basedOn w:val="HB2"/>
    <w:qFormat/>
    <w:rsid w:val="00B50BA2"/>
    <w:pPr>
      <w:numPr>
        <w:ilvl w:val="2"/>
      </w:numPr>
      <w:tabs>
        <w:tab w:val="clear" w:pos="1418"/>
        <w:tab w:val="num" w:pos="360"/>
        <w:tab w:val="num" w:pos="2155"/>
        <w:tab w:val="num" w:pos="2552"/>
      </w:tabs>
      <w:ind w:left="2552" w:hanging="2552"/>
      <w:outlineLvl w:val="2"/>
    </w:pPr>
    <w:rPr>
      <w:iCs/>
      <w:lang w:eastAsia="en-ZA"/>
    </w:rPr>
  </w:style>
  <w:style w:type="paragraph" w:customStyle="1" w:styleId="HB4">
    <w:name w:val="HB4"/>
    <w:basedOn w:val="HB3"/>
    <w:qFormat/>
    <w:rsid w:val="00B50BA2"/>
    <w:pPr>
      <w:numPr>
        <w:ilvl w:val="3"/>
      </w:numPr>
      <w:tabs>
        <w:tab w:val="clear" w:pos="1985"/>
        <w:tab w:val="num" w:pos="360"/>
        <w:tab w:val="left" w:pos="3119"/>
      </w:tabs>
      <w:ind w:left="3119" w:hanging="3119"/>
      <w:outlineLvl w:val="3"/>
    </w:pPr>
  </w:style>
  <w:style w:type="paragraph" w:customStyle="1" w:styleId="HBNoNumber">
    <w:name w:val="HBNoNumber"/>
    <w:basedOn w:val="HB2"/>
    <w:qFormat/>
    <w:rsid w:val="00B50BA2"/>
    <w:pPr>
      <w:numPr>
        <w:ilvl w:val="0"/>
        <w:numId w:val="0"/>
      </w:numPr>
      <w:ind w:left="851"/>
    </w:pPr>
    <w:rPr>
      <w:lang w:eastAsia="en-ZA"/>
    </w:rPr>
  </w:style>
  <w:style w:type="paragraph" w:styleId="Header">
    <w:name w:val="header"/>
    <w:basedOn w:val="Normal"/>
    <w:link w:val="HeaderChar"/>
    <w:uiPriority w:val="99"/>
    <w:unhideWhenUsed/>
    <w:rsid w:val="00B50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A2"/>
    <w:rPr>
      <w:rFonts w:eastAsia="Calibri" w:cs="Times New Roman"/>
      <w:sz w:val="25"/>
      <w:szCs w:val="22"/>
    </w:rPr>
  </w:style>
  <w:style w:type="paragraph" w:styleId="FootnoteText">
    <w:name w:val="footnote text"/>
    <w:basedOn w:val="Normal"/>
    <w:link w:val="FootnoteTextChar"/>
    <w:uiPriority w:val="99"/>
    <w:semiHidden/>
    <w:unhideWhenUsed/>
    <w:rsid w:val="00B5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BA2"/>
    <w:rPr>
      <w:rFonts w:eastAsia="Calibri" w:cs="Times New Roman"/>
      <w:sz w:val="20"/>
      <w:szCs w:val="20"/>
    </w:rPr>
  </w:style>
  <w:style w:type="character" w:styleId="FootnoteReference">
    <w:name w:val="footnote reference"/>
    <w:basedOn w:val="DefaultParagraphFont"/>
    <w:uiPriority w:val="99"/>
    <w:semiHidden/>
    <w:unhideWhenUsed/>
    <w:rsid w:val="00B50BA2"/>
    <w:rPr>
      <w:vertAlign w:val="superscript"/>
    </w:rPr>
  </w:style>
  <w:style w:type="paragraph" w:styleId="Revision">
    <w:name w:val="Revision"/>
    <w:hidden/>
    <w:uiPriority w:val="99"/>
    <w:semiHidden/>
    <w:rsid w:val="00912E60"/>
    <w:pPr>
      <w:spacing w:after="0" w:line="240" w:lineRule="auto"/>
    </w:pPr>
    <w:rPr>
      <w:rFonts w:eastAsia="Calibri" w:cs="Times New Roman"/>
      <w:sz w:val="25"/>
      <w:szCs w:val="22"/>
    </w:rPr>
  </w:style>
  <w:style w:type="character" w:styleId="CommentReference">
    <w:name w:val="annotation reference"/>
    <w:basedOn w:val="DefaultParagraphFont"/>
    <w:uiPriority w:val="99"/>
    <w:semiHidden/>
    <w:unhideWhenUsed/>
    <w:rsid w:val="0074650C"/>
    <w:rPr>
      <w:sz w:val="16"/>
      <w:szCs w:val="16"/>
    </w:rPr>
  </w:style>
  <w:style w:type="paragraph" w:styleId="CommentText">
    <w:name w:val="annotation text"/>
    <w:basedOn w:val="Normal"/>
    <w:link w:val="CommentTextChar"/>
    <w:uiPriority w:val="99"/>
    <w:unhideWhenUsed/>
    <w:rsid w:val="0074650C"/>
    <w:pPr>
      <w:spacing w:line="240" w:lineRule="auto"/>
    </w:pPr>
    <w:rPr>
      <w:sz w:val="20"/>
      <w:szCs w:val="20"/>
    </w:rPr>
  </w:style>
  <w:style w:type="character" w:customStyle="1" w:styleId="CommentTextChar">
    <w:name w:val="Comment Text Char"/>
    <w:basedOn w:val="DefaultParagraphFont"/>
    <w:link w:val="CommentText"/>
    <w:uiPriority w:val="99"/>
    <w:rsid w:val="0074650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4650C"/>
    <w:rPr>
      <w:b/>
      <w:bCs/>
    </w:rPr>
  </w:style>
  <w:style w:type="character" w:customStyle="1" w:styleId="CommentSubjectChar">
    <w:name w:val="Comment Subject Char"/>
    <w:basedOn w:val="CommentTextChar"/>
    <w:link w:val="CommentSubject"/>
    <w:uiPriority w:val="99"/>
    <w:semiHidden/>
    <w:rsid w:val="0074650C"/>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13CD-1F15-4B48-8D3B-78C3EFA8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3269</Words>
  <Characters>18636</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    </vt:lpstr>
      <vt:lpstr>    BARNES AJ</vt:lpstr>
      <vt:lpstr>    Introduction</vt:lpstr>
      <vt:lpstr>This is an application in which the applicant, Apex Commodities (Pty) Ltd (“Apex</vt:lpstr>
      <vt:lpstr>In addition, Apex seeks an order that ATS be required to pay the costs of a join</vt:lpstr>
      <vt:lpstr>ATS opposes the relief sought by Apex.</vt:lpstr>
      <vt:lpstr>In what follows, I shall set out, first, the facts giving rise to the main appli</vt:lpstr>
      <vt:lpstr>The Main Application </vt:lpstr>
      <vt:lpstr>On 1 November 2016, Apex and ATS concluded four SAGOS contracts for the buying a</vt:lpstr>
      <vt:lpstr>On 6 October 2017, ATS referred the dispute arising from the contracts to arbitr</vt:lpstr>
      <vt:lpstr>Apex took the view that the referral to arbitration was time barred in terms of </vt:lpstr>
      <vt:lpstr>On 14 March 2018, ATS launched an application in this Court for the extension of</vt:lpstr>
      <vt:lpstr>On 28 November 2019, ATS was placed in final liquidation by the Gauteng Local Di</vt:lpstr>
      <vt:lpstr>On 12 October 2020, Apex brought this application for security for costs against</vt:lpstr>
      <vt:lpstr>The Applicable Law</vt:lpstr>
      <vt:lpstr>The procedure in terms of which an application for security for costs is made is</vt:lpstr>
      <vt:lpstr>“(1) A party entitled and desiring to demand security shall, as soon as practica</vt:lpstr>
      <vt:lpstr>…</vt:lpstr>
      <vt:lpstr>(4) The court may, if security be not given within a reasonable time, dismiss an</vt:lpstr>
      <vt:lpstr/>
      <vt:lpstr>The rule, which deals with the procedure to be followed, applies to all cases in</vt:lpstr>
      <vt:lpstr>The general rule of our common law, as laid down in Witham v Venables,  is that </vt:lpstr>
      <vt:lpstr>However, in the case of a company, there existed, until recently, an exception t</vt:lpstr>
      <vt:lpstr>“Where a company or other body corporate is plaintiff in any legal proceedings, </vt:lpstr>
      <vt:lpstr/>
      <vt:lpstr>The 1973 Companies Act was repealed and replaced by the Companies Act 71 of 2008</vt:lpstr>
      <vt:lpstr>Following the commencement of the new Companies Act, there were several judgment</vt:lpstr>
      <vt:lpstr>In 2015, the Supreme Court of Appeal (“SCA”) handed down judgment in Boost Sport</vt:lpstr>
      <vt:lpstr>“[14] The onus is on the party seeking security to persuade a court that securit</vt:lpstr>
      <vt:lpstr>‘Against an insolvent natural person, who is an incola, so it has been held, sec</vt:lpstr>
      <vt:lpstr>In the exercise of its discretion under s 13 of the Companies Act, on the other </vt:lpstr>
      <vt:lpstr>[15]  Accordingly, in terms of the common law, mere inability by an incola to sa</vt:lpstr>
      <vt:lpstr>‘(w)hat this something is has been variously described in a number of decisions.</vt:lpstr>
      <vt:lpstr>…</vt:lpstr>
      <vt:lpstr>[16] Absent s 13, there can no longer be any legitimate basis for differentiatin</vt:lpstr>
      <vt:lpstr>[17] According to Nicholas J in Fisheries Development Corporation of SA Ltd v Jo</vt:lpstr>
      <vt:lpstr>‘In its legal sense vexatious means frivolous, improper: instituted without suff</vt:lpstr>
      <vt:lpstr>In African Farms and Townships Ltd v Cape Town Municipality 1963 SA 555 (A) at 5</vt:lpstr>
      <vt:lpstr>‘An action is vexatious and an abuse of the process of court inter alia if it is</vt:lpstr>
      <vt:lpstr>(Emphasis added)</vt:lpstr>
      <vt:lpstr/>
      <vt:lpstr>What is clear from the above is that before a Court may exercise its discretion </vt:lpstr>
      <vt:lpstr>I will consider each of these legal requirements in turn below.</vt:lpstr>
      <vt:lpstr>Would ATS be unable to satisfy an adverse costs order?</vt:lpstr>
      <vt:lpstr>ATS, in opposing this application, provided an extract from the estate bank acco</vt:lpstr>
      <vt:lpstr>Apex, however, contends that that this pales into insignificance when weighed ag</vt:lpstr>
      <vt:lpstr>ATS, for its part, contends that since the estate account has funds of R11 167 3</vt:lpstr>
      <vt:lpstr>ATS contends further that while all legal costs incurred by Apex up until the li</vt:lpstr>
      <vt:lpstr>There appears to me to be merit in ATS’s submissions and I am not convinced that</vt:lpstr>
      <vt:lpstr>It is, however, not necessary for me to finally decide this question. This is so</vt:lpstr>
      <vt:lpstr>It is to a consideration of this requirement that I now turn.</vt:lpstr>
      <vt:lpstr>Is the main application vexatious, reckless or otherwise abusive?</vt:lpstr>
      <vt:lpstr>The provision of the SAGOS contracts which is central to the main application la</vt:lpstr>
      <vt:lpstr>“16	Time limits and mandatory procedures for pursuing any claim</vt:lpstr>
      <vt:lpstr>The parties affirm that it is necessary that any dispute between   them should b</vt:lpstr>
      <vt:lpstr>……</vt:lpstr>
      <vt:lpstr>This clause regulates the time limits for making and pursuing any claim where su</vt:lpstr>
      <vt:lpstr>Any claim for any failure to deliver the commodities in accordance with this con</vt:lpstr>
      <vt:lpstr>Any claim for any failure to perform in terms of this contract shall be notified</vt:lpstr>
      <vt:lpstr/>
      <vt:lpstr/>
      <vt:lpstr>It is common cause that ATS did not comply with either the 28 day period or the</vt:lpstr>
      <vt:lpstr>“8 Power of court to extend time fixed in arbitration agreement for commencing a</vt:lpstr>
      <vt:lpstr>Where an arbitration agreement to refer future disputes to arbitration provides </vt:lpstr>
      <vt:lpstr/>
      <vt:lpstr>Apex’s argument is that while section 8 of the Arbitration Act affords a Court t</vt:lpstr>
      <vt:lpstr>As authority for this proposition, Apex relies on the judgment of Wilmington (Pt</vt:lpstr>
      <vt:lpstr>“The creation of a dispute is a condition precedent to the commencement of arbit</vt:lpstr>
      <vt:lpstr/>
      <vt:lpstr>The Court in Wilmington held further, with reference to section 8 of the Arbitra</vt:lpstr>
      <vt:lpstr>“What s 8 deals with is a step which must be taken in terms of the agreement to </vt:lpstr>
      <vt:lpstr/>
      <vt:lpstr>Apex contends that it is accordingly clear that section 8 of the Arbitration Act</vt:lpstr>
      <vt:lpstr>ATS, for its part, disputes this. It contends that the notice which it was requi</vt:lpstr>
      <vt:lpstr>ATS points out further that the Wilmington judgment on which Apex relies was han</vt:lpstr>
      <vt:lpstr>ATS contends further that Apex’s approach is overly simplistic and fails to take</vt:lpstr>
      <vt:lpstr>It seems to me that the issue is really the proper constitutional interpretation</vt:lpstr>
      <vt:lpstr>In any event, I note that in Hillary Construction (Pty) Ltd v Roads Agency Limpo</vt:lpstr>
      <vt:lpstr>All things considered, I am of the view ATS’s contentions are not without merit.</vt:lpstr>
      <vt:lpstr>In my view the main application cannot remotely be said be “improper” or “obviou</vt:lpstr>
      <vt:lpstr>It remains to deal with the question of the costs of the joinder application.</vt:lpstr>
      <vt:lpstr>The costs of the joinder application </vt:lpstr>
      <vt:lpstr>Apex contends that ATS took the “obviously unsustainable” point of non-joinder o</vt:lpstr>
      <vt:lpstr>I fail to understand Apex’s contention that the non-joinder point was “obviously</vt:lpstr>
      <vt:lpstr>Given that the joinder application was necessary and unopposed, I am of the view</vt:lpstr>
      <vt:lpstr>In the circumstances, I make the following order:</vt:lpstr>
      <vt:lpstr>Order</vt:lpstr>
      <vt:lpstr>The application for security for costs is dismissed with costs.</vt:lpstr>
      <vt:lpstr>The application for an order directing the first respondent to pay the costs of </vt:lpstr>
      <vt:lpstr/>
      <vt:lpstr>__________________________</vt:lpstr>
      <vt:lpstr>BARNES AJ</vt:lpstr>
      <vt:lpstr>Appearances:</vt:lpstr>
      <vt:lpstr>For the Applicant:  Adv P Sieberhagen</vt:lpstr>
      <vt:lpstr>For the Respondents: Adv A J Wessels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Barnes SC</dc:creator>
  <cp:keywords/>
  <dc:description/>
  <cp:lastModifiedBy>Heidi Barnes SC</cp:lastModifiedBy>
  <cp:revision>9</cp:revision>
  <cp:lastPrinted>2022-09-26T11:19:00Z</cp:lastPrinted>
  <dcterms:created xsi:type="dcterms:W3CDTF">2022-09-26T10:37:00Z</dcterms:created>
  <dcterms:modified xsi:type="dcterms:W3CDTF">2022-09-26T11:27:00Z</dcterms:modified>
</cp:coreProperties>
</file>