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60AC" w14:textId="77777777" w:rsidR="0080558F" w:rsidRPr="008A6108" w:rsidRDefault="0080558F" w:rsidP="0080558F">
      <w:pPr>
        <w:jc w:val="center"/>
        <w:rPr>
          <w:b/>
          <w:u w:val="none"/>
        </w:rPr>
      </w:pPr>
      <w:bookmarkStart w:id="0" w:name="_GoBack"/>
      <w:bookmarkEnd w:id="0"/>
      <w:r w:rsidRPr="008A6108">
        <w:rPr>
          <w:b/>
          <w:u w:val="none"/>
        </w:rPr>
        <w:t>IN THE HIGH COURT OF SOUTH AFRICA</w:t>
      </w:r>
    </w:p>
    <w:p w14:paraId="158A8C04" w14:textId="77777777" w:rsidR="0080558F" w:rsidRPr="008A6108" w:rsidRDefault="0080558F" w:rsidP="0080558F">
      <w:pPr>
        <w:jc w:val="center"/>
        <w:rPr>
          <w:b/>
          <w:u w:val="none"/>
        </w:rPr>
      </w:pPr>
    </w:p>
    <w:p w14:paraId="7F2A2DA5" w14:textId="77777777" w:rsidR="0080558F" w:rsidRPr="008A6108" w:rsidRDefault="0080558F" w:rsidP="0080558F">
      <w:pPr>
        <w:jc w:val="center"/>
        <w:rPr>
          <w:b/>
          <w:u w:val="none"/>
        </w:rPr>
      </w:pPr>
      <w:r w:rsidRPr="008A6108">
        <w:rPr>
          <w:b/>
          <w:u w:val="none"/>
        </w:rPr>
        <w:t>(GAUTENG DIVISION, PRETORIA)</w:t>
      </w:r>
    </w:p>
    <w:p w14:paraId="10261BFD" w14:textId="77777777" w:rsidR="0080558F" w:rsidRPr="008A6108" w:rsidRDefault="0080558F" w:rsidP="0080558F">
      <w:pPr>
        <w:rPr>
          <w:b/>
          <w:u w:val="none"/>
        </w:rPr>
      </w:pPr>
    </w:p>
    <w:p w14:paraId="210C74EE" w14:textId="77777777" w:rsidR="0080558F" w:rsidRPr="008A6108" w:rsidRDefault="0080558F" w:rsidP="00083BBB">
      <w:pPr>
        <w:jc w:val="center"/>
        <w:rPr>
          <w:b/>
          <w:u w:val="none"/>
        </w:rPr>
      </w:pPr>
      <w:r w:rsidRPr="008A6108">
        <w:rPr>
          <w:b/>
          <w:noProof/>
          <w:u w:val="none"/>
          <w:lang w:eastAsia="en-ZA"/>
        </w:rPr>
        <mc:AlternateContent>
          <mc:Choice Requires="wpc">
            <w:drawing>
              <wp:inline distT="0" distB="0" distL="0" distR="0" wp14:anchorId="6FFA5ECD" wp14:editId="7313E0EC">
                <wp:extent cx="1517650" cy="1619250"/>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57150" y="0"/>
                            <a:ext cx="1460500" cy="1619250"/>
                          </a:xfrm>
                          <a:prstGeom prst="rect">
                            <a:avLst/>
                          </a:prstGeom>
                          <a:noFill/>
                          <a:ln>
                            <a:noFill/>
                          </a:ln>
                        </pic:spPr>
                      </pic:pic>
                    </wpc:wpc>
                  </a:graphicData>
                </a:graphic>
              </wp:inline>
            </w:drawing>
          </mc:Choice>
          <mc:Fallback xmlns:cx1="http://schemas.microsoft.com/office/drawing/2015/9/8/chartex">
            <w:pict>
              <v:group w14:anchorId="02805BB2" id="Canvas 2" o:spid="_x0000_s1026" editas="canvas" style="width:119.5pt;height:127.5pt;mso-position-horizontal-relative:char;mso-position-vertical-relative:line" coordsize="15176,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8Ox6XAgAAgwUAAA4AAABkcnMvZTJvRG9jLnhtbKxUbW/TMBD+jsR/&#10;iPy9jROl7RotHaPZENKACcEPcB2nNYtfZLsvE+K/c+ekHWVIQ4gPSe7FuXvuuTtfXh1Ul+yE89Lo&#10;imRjShKhuWmkXlfk65fb0QVJfGC6YZ3RoiKPwpOrxetXl3tbitxsTNcIl0AQ7cu9rcgmBFumqecb&#10;oZgfGys0OFvjFAugunXaOLaH6KpLc0qn6d64xjrDhfdgrXsnWcT4bSt4+NS2XoSkqwhgC/Ht4nuF&#10;73Rxycq1Y3Yj+QCD/QMKxaSGpKdQNQss2Tr5LJSS3Blv2jDmRqWmbSUXsQaoJqO/VbNkesd8LIYD&#10;O0eAIP3HuKs14tbmVnYdsJFC9BJt+N1DfwQYreQlPANBID3L/3Kj4K+wdYIMQdRfxVDMPWztCLiy&#10;LMiV7GR4jH0HUhCU3t1Lfu96hX/c3btENhWZkkQzBeMGXkyagKERnkPja/xIG2Bey+RM4bIppWJr&#10;QWk+/mbXb2hW02xe34yzfFbnk3mcFsyKiTAt0oX6GYpVJy1yiayiPNQLqV+e7X4easO3SujQD7gT&#10;HZRutN9I60niSqFWAmp075sM1U7qh6jlcQDFIdz5gMlB6kfwe35xTek8fztaTuhyVNDZzeh6XsxG&#10;M3ozK2hxkS2z5Q/8OyvKrRd3hrOutvK4D1nxDPsfx3jYzH6S40YkOxb3DomKgI7fCBFMSBBi9Y5/&#10;hl2FcyAHJwLfoNgCj4MdDp8ckfQnnrEF3kLrV/sPpoGus20wkYxD6xTGAV6TQ0Ums2wCl8DjafGR&#10;Ig6OrJjSCQUXB182zeY5nOtBH0NY58M7YVSCAvANaGMKtoNa+qPHI5jxtE+s7PSZAQpBS6wBUQ8i&#10;FAFSXDqL0tlV8qseTz3dnYufAAAA//8DAFBLAwQUAAYACAAAACEA2mQm1u4AAADOAQAAGQAAAGRy&#10;cy9fcmVscy9lMm9Eb2MueG1sLnJlbHO0kc9OAyEQh+8mvgOZuwu7bRrblK2H1qQHL6Y+AIFZlrr8&#10;CaBp397RXmzSxJPHgZnv98GsNyc/sU/MxcUgoW0EMAw6GheshLfD88MjsFJVMGqKASWcscCmv79b&#10;v+KkKg2V0aXCiBKKhLHWtOK86BG9Kk1MGOhmiNmrSmW2PCn9rizyTogFz78Z0F8x2d5IyHvTATuc&#10;EyX/zY7D4DRuo/7wGOqNCO48ZRNQZYtVgnZm9XMkRNcck30S7VbMxXLXLGfdfNHN6DcuvS/RkMLu&#10;VDEHNQG/7dr+o6tH49TlAS25ov2W4Fdb6L8AAAD//wMAUEsDBBQABgAIAAAAIQApyFe23AAAAAUB&#10;AAAPAAAAZHJzL2Rvd25yZXYueG1sTI9BT8MwDIXvSPyHyEjcWELZxihNJ4QEQnAARiWuWeO1FYlT&#10;Ndla+PUYLnCx/PSs5+8V68k7ccAhdoE0nM8UCKQ62I4aDdXb3dkKREyGrHGBUMMnRliXx0eFyW0Y&#10;6RUPm9QIDqGYGw1tSn0uZaxb9CbOQo/E3i4M3iSWQyPtYEYO905mSi2lNx3xh9b0eNti/bHZew3z&#10;bOdWL/fLp6+Hqhof3+fdpXrutD49mW6uQSSc0t8x/OAzOpTMtA17slE4DVwk/U72sosrllteFgsF&#10;sizkf/ryGwAA//8DAFBLAwQKAAAAAAAAACEA3jVcFvYbAAD2GwAAFQAAAGRycy9tZWRpYS9pbWFn&#10;ZTEuanBlZ//Y/+AAEEpGSUYAAQEBAGAAYAAA/9sAQwAKBwcJBwYKCQgJCwsKDA8ZEA8ODg8eFhcS&#10;GSQgJiUjICMiKC05MCgqNisiIzJEMjY7PUBAQCYwRktFPko5P0A9/9sAQwELCwsPDQ8dEBAdPSkj&#10;KT09PT09PT09PT09PT09PT09PT09PT09PT09PT09PT09PT09PT09PT09PT09PT09PT09/8AAEQgA&#10;0wD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ooAKKKKACiiigAooooAKKKSgBaSiigApaSigBaKSjNABS0maKAFooooAKKKKACiiigAo&#10;oooAKKKKACiiigAooooAKKKSgAooqKa5jt4y8jhV9fX6Um7AS5qKa5igXdK6qPc1UM1xOu5T9nh7&#10;u/3j9B2p1pb25USoPMZv+Wj8k/nWfPfRFW0FN88n/HtbySD+83yj9ab/AKbKxHmwR46hRuIpHeSP&#10;UolZz5Tg4HvUyRrFeMQuPMXJ+orNSct+9h7EE0UkMe+e+mC9yqgVGscLEf6ZdAt0y+M/pVrU/wDk&#10;Hz/7hqK7CnSiX/uDHHfHaoqPlk0uiv1GtUL9hkXlLy4H1INNX7SGIiu4pCOquv8AhVq23fZ49+Q2&#10;0Zqrp6K891MAOZNoOPSrdrx5VuJdR/2m6h/11sSo/iibP6VNFfQTHar4f+63B/Koprh1njghAMjD&#10;cSeiimyw+ZIkdxEsgfo4GCtP2lnowsupe3ZGaWqAhubXmF/OQf8ALOQ8j6N/jU0F7HPleUkX7yOM&#10;MK1U+jJsWqKTdmirELRRRQAUUUUAFFFFABRRRQAUUUUAJmjNITiql1dOrCGDmZ+meij1NJuwLUW5&#10;vfLYRRJ5k7dEz09z6CmQWgMvnTuJphx7J7AVFJG9lATDGzljmWT+I+pqS3kXzAbePMTcs49a5nU9&#10;+0i7di5JGrqQ4BB6g1Rsyba5azboPmi/3fT8KuRzLLGHQ/Ke9ULub/TogieY6cgIfm+h9BTqtK04&#10;7gl0LN5bNMqmNgskbBlJ6ZpodkdZLp4kAGAAf8ab5N3cf66UQqf4I+v51Kmn20Zz5QZv7z/Mf1p8&#10;nNLmQXILi8s7hDG0jMD12An+VMWW1+X93cOF6bkYgVct5FkV8KF2EqRimyTlb2OIEbWUk/0pPX33&#10;6AuxG2pW+wgs8Z/2oyMfpSWBgjQpHcLICxbkjNWbiVYImkboB09aja1guEBkhTJGemCPxqnFuV92&#10;LoRMhhv2nIJR02k46Gp4Z1n3FQdqnGSKhNnLD/x6zuMfwSfMp/qKQXxiIS7j8pjwHHKH8e340ork&#10;euwPUNQkbMcELESyNwR2A61JJZrOi+aSZF+7IvDCmW9u4upJpXDlhhCOy1PLcpEOeT6ClBauU9Bv&#10;ayK8dzJbSLFd4IJwsw4VvY+hq8GqjDI129wkyIYR8o75PekjkaxmWGZi0LHEch6j/ZNVCpdX6CaN&#10;DNLTQaWtyRaKKKACiiigAooooASjNLTWYKM5wKT0Ar3dz5EfyjdIxwi+pqplrBAxVpZHOZpAOlPg&#10;DXUr3fAGNsIPQD1qLzZ7T9zcEEMflm7c9jXLVnbV6eZokaKSJLGHRgykcEVSNq8Ny/luI7dhlwex&#10;9vSkW0aGdWtZNkTH94DyPqPQ0oB1KTkn7Iv/AJFP+FGtRWktULYIy90gjtiYrUceYOrf7v8AjVuC&#10;1it12xrtHf3+vrUwQAYAAA9KGztO3r2rojBLclsa4bYdhw3Ymq9vd+b+7k+WUcEU37YUfZOhU+o6&#10;Gqt7sLiWFxnoa4cTivZrmi9t0XGF9GO837LqTg52v1pk0v8AxM1YcheM1GySToZgQxTHHepfsQM8&#10;WGG1xkjvXm81aomo7Xuje0YvXcW8m+0XKRD7oYZ96uXN0lqnJy3ZR1NZ3lNEskw+UIcKT3pLbEtw&#10;Jp2AxyM1pDFVYzamvek/kkiXBNLsjUtfM8oNMfmbnHp7VMyLIpDDKnqDVJtSDsEt4zI5/KrkO/yx&#10;5pXd329K9ilVjNWi72MGmikYJbIl7UF4s5MJPT/dP9KRDEtrJNbK0m45KnqD6H/CtAgVSuLdopDc&#10;2o+f+NOzj/GicLJ2GmO06HyrRAfvEbm+ppbuWDy1jnIKyHbUct1I9qkloquHOOf4fr9KphHSebMZ&#10;upgoBfIGCewFYzqKnFQivmNK7uy9aSvFL9lmbLKMox/jX/EVdrPe2lkso8nFxGNyn0PpVm1uBcwL&#10;IOCeo9D3FdEH0ZLLFFJS1qSFFFFABRRRQAhqjfs0ipbIcNMcEjsvUmrrGs9N01xczoASv7qP8Ov6&#10;1nUdkVEngkLOVRU8lflBz3qWWJZIyjDKng55qkLBgglgkaCVhyOoJ9xT47ieOOZrpUCxDqv8VYxm&#10;0uWot/uG11iyJoQCmnwEhcZlbPIX0+prRRFjUKoAUDAAqvYwskW+T/WyHc/9BVrFa04JK4mwPAqG&#10;a6igYLK20n2pt1P5cbBWxIQdtZr6iJQiMSqkcnGSawxGLhSfL1HGDZbmuba5XaWz6EDpVWKOQyER&#10;qGCnvVmS0t5EQ/6sv90HvUXlQ2hDSSsGHQIa8+vRqSqKdVKy63saxaStEeqGWdlhzEo4lwOp9qr3&#10;MKwX1tGoJRvlJJPc/pSx3UqJsjBYkklsZJqhfXD7szbzchh5Py8e360TxdJwtBO/p57IcYNs1Joz&#10;Z7QxZ7XP3SMkH3PpUVxHI7GR1CJ2APNEk90YGSZD8y4OVxzSqkNyiq0riUDjeeKmvKliE4JavZPT&#10;/hwjeOrJre5tbZMHIbucVYiv4ZnCIWJPopxUUOnQpjeQxPOBVea7FrdhYQeWwyHjj1HrXRRnWw9N&#10;Oqkl5ENKT90188UY4qlZ3fnFyx4ZsIP6Ver0aVSNWPNF6GTTTM6QfYrnzR/qJSBIOyt2NT29uIHl&#10;YnLSNuzU00SyxMjD5WBBqjFPNHaSRgb54DtIP8Q7H8qmSUXdrYerWhYvLkW0BbG5ycKo6moY2EF8&#10;Np/dXI3D2b/64psdvPJKtxM0eV+6mOF9/rSzwztayF9u+NvMjK+1QpSk3K2g7LY0RS1FBIJYldTk&#10;MARUtdKd1cgKKKKYBRRRQBFcyCKF5D0RSahsIvLsogw+Yjc31PJpuqc2ZT/nowT8zU8kiwQtI5wq&#10;jJrN25ncroSVSvD5s8Fv2Zt7j/ZH/wBfFWoZlniWRDlWGQarRfvNUnc/8s0CD+Zpyd0hLqXFFKel&#10;FI1WIyb+XLsw4MbbDn0PequlwpNe5C4Cc46k/WlvpQJGLjDqTuPTC9Aau6Mm23O1doJ4B+9+NeFT&#10;Xt8W3/X3HU/dplq9hWa1cN/CNwPoRWfo0K3Nok065kJPGMfjitG5O7bEP4+vsKhtP3Yi7I64/EdP&#10;0r1KlKE6ilJXsYKTUS2ECrhQAPYVia2f9PtvZ0/nW7WBrRxfQ/76fzrHH2jSVu6/Muh8Zv47VVur&#10;SKSNjsG4DORxVrtUFyxYpCp5kPPsO9dVSEZxtJXMotplHQsSWxnblyxXJGOB7U7WIVeASNzjjBHB&#10;zUlt+68s9FkyMehB4q1ON0DcA8dDWMqSdFwLUvfuYtlIAwYYEcY3kD19K3Y23orYxkA4rnYTGjhd&#10;pCqcuP7pPb6Gt62LGBC+NxHNceVytzU+xdZa3J+1UZf3OpxyfwzAxt9RyKvVT1EYtDIOsTBx+Br1&#10;JLQxW5bAGKCOOaarZQN2xmo7e6juoy8RyAcdO9PmWgEWm/JHJD3icqPp1H86uVTgGzU5x2dFb+lX&#10;BShtYGLRRRViCikpaAKGpN+9tE/vTA/lVwgEEHkHtVLUR/pNkewl/oaug1krOTKeyAKFAAGAPSqt&#10;iN0l03czEfkKslxuAzyelVtPOPtA9Jmo05o2DoXaRvumikcbkIBxmtWSc/eSFZP3mBLHxluj+ma0&#10;tKYG04yTuO5vU1Rvo5JAysEmVQV3d/xqO0824057aCcxSsfkOOgHUV4WFqcmKkn+J1SV6aNeH52e&#10;Ung8L9KZCnmWCDuBkfXNZzyX8EflvKqgDG4x/rmoLee+ht0jguBcAZwfLyfzrp+v01JRad/Qz9k3&#10;szoIZBJGreorC104vIv99KuaPbX0JmkvpgRKdyxAfcqnrUbSTlwVCxkNgnnijMJ/uE2uqLoLlqHQ&#10;E8fSq9v+8d5j0bhP90VHeRyX2nFLaYwu6ghxzVAvqVtGEaVAFXGfLrprYiNJJtOxlGFy/Ahl05R/&#10;ERkH3zUwlEltuPOVORWFaXF/HCsdtOLgA8Hy8/rVy2jubOCZ7ycM8zZRAOEOO1Z0sVCrFuKf3WKd&#10;NrcprKgmUnB2/dXuR6Gt61LmIGT7zHOPQVg2QYt5saIckNub8s1v26MI8u+8tzmuTLLuUpdCq3Qm&#10;NQXib7OZfVD/ACqeorg/6NL/ALh/lXsS2Zgtxto2+zhbuUB/SpVRUGFAA9hUNjxYwZ/uD+VT5oil&#10;ZCe7KbHGrp/tRH9DV3tVGTnVof8Ark38xV6ph1GwpaSlrQQUUUUAUtSGEhk/uSqf6f1qreRmN5Ha&#10;eUbz8kSHGTV3UUMllKo67SR9RzVSSZEnin8mSV5IwU29q5MQu5pEjtfJ+1RbfNadSdwck7eKtWny&#10;3d2g/vhvwIqEvdzFmEaQqpG7JyxA5xUpIj1KOT+GaMr+I5H9aihaK+fawS1L46UHpSA5pa7jMy9R&#10;iCOsgjb5vvMnb61mQTPA5mVwSVON3Y56V0Fx/qyvI3YXIrm5JJZpLi3ZNs0AKlGXhx2YV4uPoShP&#10;20DopST91nRxSJcxkYDAjDD09qdFDHboEiRUUdgK52K7e33MJQB8sgx144IIqfU9ftYbVTJJs3HA&#10;UDJf6YrppYyFSPM17y/EmdNxd76Gw95Aufnzj0rDvIPtBmfdjeSRlRWfc6vDa6c979keSJF3kRHJ&#10;K9zj2qjb+M/D9/p8lyt5HGI/vJICGH4YryK9bF4yNowsk+hrCMYO7OtsNQtraziilfYUUD5q0Ukj&#10;uI8qQyHuO9cDper2uuWr3NnbkwKxRZJPlD46kZ7Vb0HWIEuxHHcqo3ENEQfn/wB09K7sJjarfs6s&#10;dtwq0oJKSlq9jsUSK2jIjVUQcnHFZN/ctcytEjKArDYe/uaju9RM7yCN1C7VUKTxknmqwZ42eUsC&#10;NwUFV5ftx7UsZinU/dUiacLe9IuWCLMY1w7gZDHoAK3VAVQPT0qnaRtFlHO4kbuOg+lXa78HQVGn&#10;bqzGpLmYVV1FtlhOR1K4H48VbqhfHzGggH8cmSPYc10VGlF3JQSyzW0MawxB+ACScBelQ5v51bZL&#10;DHjj5QTn8atBpJLg42iJeDnqT3qGaPZNGqFow7clfuk+hFc84tu7bsWmOiBOpkE52QgfiT/9ar1U&#10;rH95dXUvqwQfgKu10U/huRLcWiiitBBRRRQA1+RjGc1lw744SiFQ9vIUO84BXqP0rUas+dRHegt/&#10;q7hfLb/e7fpWNVdUVEbNLbRO+6RmkkHKoc0hLz2GRGUlgYMinrgdP0qdbJYIAtvtRx0bHX61XtJt&#10;t2ySSCWR+rIPlUjoK5neElzaX7F6NXNGGVZokkQ5VgCKkJ4rPt2Npdtbn/VyEvF/Vf61fzke1dsZ&#10;XRmzkfFfiqTSrn7NbRjzIwshcn3+7j6U3V7YeKdCi1LSZmjvIlyuw4J9UNcZ4hvvt2qX0+75Wl2q&#10;fYcf0qx4P8QtomoCKdv9EnIV8n7rdmrl9qnNqWx67yxVsFzx+JE2k+IY4nSFLQR3R+V5JpTtbnnd&#10;mtG6t7Z4kt7e5AuDN5v7n97tPf6VX8eeHhazf2rZoDBL/rgOit6/Q1z+l2GrykvpsNwoPV1OwH8e&#10;9c9fAU788ZWPmFi61OTozi5efkdvtSO5SBWhZypIAO3n3XtXHXPw3S5vNQaK7SCBmV1iAyeuSAau&#10;xaR4msFlaKEhpfvyBgzn8a0bXVmisM6hBIl3ANrRleZPT61wKlVw75qM07/eenSxka3uzi1YtNZJ&#10;ZWFpZp5MMHyx4L4wvf8AOmvbQWmqiS4nKQmLyowqbUUem7+tYq2niXUIZlNs5hmOdsoAC/TPSq15&#10;o/iGK1EU8dw8AH3Q+8flWkMI7+9UV3+py1ce3qqbdtmbOoatb6TBHaPDDc26j5RFN82f9qtXwpaf&#10;ZLKbW9RLww7SYYnckRR+vPc1yvhPw82taqBLGwtYDmXIxk9lq78RvEYmlGh2LAQxY+0Fehbsn4V7&#10;OCy+EZWjq+5zwr1aidSei6Im0Tx3Lc+I7u4mQtbzMkcaFseWmcZ+vevTM5x6Gvn7S5MSyDOCV4/O&#10;vctEvRqGjWlyDkvGufr3/WuvER5KrgdtP3qSmaBOBWcj+ZdT3PVIh5ae57/4VNe3DJGI4v8AWyHa&#10;n9T+FQfNEotbR0V41yd3P6Vx1ZpamkUV0vZFlJj2hnxuhl+Ug+xq15s2GmuEWNIgW2g5NQG9tp4Q&#10;tygeQcMqqTg0fZwqxWiFiZW8x9x52Dt/SuWnzX3uW7F7T4zFZpu++3zN9TzVmkUcUteglZWMmLRR&#10;RTEFFFFACGoLuAXFuydG6qfQ9jU+KQrxSavoC0Mp5muYoY3YxgsUmI6gjt7Zq0vl26eVAoz2Vefx&#10;NRXafZ5zcbd0TACZcfk1EtwIMQWsW6Vhlcfdx65rka5Lykab7Csn2qHyJGC3CYYFTyD2NVtQ1U2m&#10;iXs0q7ZreI7lHr2I9jSIGifCK73e8b5O3/6sVPKsV7I4iIWeLjJGQw9D6ilTqX9dv68waszgvD39&#10;nQae5vngeSZslX7Crr2vheQ8rCM9lcgV2FtHZysY5LOCOZfvIYx+Y9RVr7DaH/l1g/79j/CuV5fK&#10;cudVGrnUsW49/vOZTWtPitUtkuI2hRQoVju4/GmnW7MKMXMYUcADoK6n7Ba/8+sH/fsUv2G1H/Lt&#10;D/37FRPKHU+KoyFXhe/Kcl/btovP2pM+xrmNQ8R3M+qR3CFozCcRKR/P616lJp1nLGyPawMrcEFB&#10;WW/g7SnfcI5Vx0AkOBV0crVJ3TvctYmD3RiW/iK3uYEeeQQSMOY34IqZdctB926j/OultdGsLKPZ&#10;DaxAdyy7ifxNTfYbX/n2h/79ispZLFu/MyXiY7JHMxa/ZxbitzEm7qQcZrFfTfCjStI6Ru7ksd0p&#10;OSa7/wCw2v8Az7Qf9+xSfYLTP/HrB/37Fb08BWpK0KrM5VKTesThJ10H7DNb2q2kJkUgMo5z9a0v&#10;AeoquhXEMzYW1l6+x54ro7iGwtoy8lvAB2/djJPoPU1Fb2m4+e8KRqvKQqAMe7e9bUaE6Mm3Nyb7&#10;ilOLjypWHRblc3M4xNJ8saE/dHp9e5pptopJPKnYec3zKyjafzoaa2vgEuEaN8fKH4P1BpI2ltJl&#10;jmQzBz8kg5J9jSk4yeusSddx8KzW0hWRkMKLu8zGDipLBTLvunBDS/dB6qvYf1pszG9uPsy/6pOZ&#10;SP0X/GryjHA6V00oJbbEybHDilpKWtyAooooAKKKKACiiigBjKGBBAIPUVmGMWkgikZhCT+7kHWM&#10;/wB3/CtUimSRLIhR1BVuCKznDmGnYy2V4JDbwlzNMctI3QCr0FvHbQqqgcdSev1qpIGs8Rzktb/w&#10;SjrH7H296SaOd9luHZopfvTZHT0FciSpu9vTy/ruafEKjJqKsXQrsJ8uZTj8RUguJ7TH2hTJEP8A&#10;lqg5/Ef1qK2hFzPJ5g/cxN5ccfbjuatrE0dwdp/clenoaui5tcwnYliuI5k3RuHX1BqQHNZ0yWjy&#10;tgtHIvV4uMfWnqt4gBinjmU9N64P5it1UfUlxL9FUvtN2vDWhPukg/rSm9k/59J8/h/jVe0QrFyg&#10;mqQu7huFs5P+BMBSZvpT1hhX2+Y/4UudPZBYuFwoJYgAdzVJr8ysUtE81u7/AMA/Hv8AhUTxQKxN&#10;1K9w687T0H/ARTxLJLM1sgFuVUMowDkVlKr0uUooVINrNLIwuLlR+C+w9Kksbg3EAZhhwcMv90+l&#10;VWVrC4BUgRTnDE87Wp7RyW12rwBpBL/rFz3/AL1ZKcoy223X6ja0HvFCbjypxuD8xqf1qIK1ti3g&#10;dpJ2PVuRGvqammuC83lWyBpxwXPKx/Wp7a1W3TAJZmOWY9WNWqS5tN+4ri21ulvEETPqSepPqano&#10;xS11JW0IvcKKKKYBRSVXnuZIXCpbvICM5WgCzRRRQAUUUUAFJS0UAMZQwIIyD1Bqi1tLaHNr80fe&#10;Fjx/wE/0rRpD0qXFMadjMilDs/2VgkhOWilGCD61bkLpZucgyKp6etE9rFcD94uSOjdCPxqAxXdv&#10;/q2WeP8AuycMPx71lyWuO6Ytgqx6dGeOV3MT6nrWfC5cWu7fhnZhjrt7VYMsC5S4jmgB52t938xU&#10;sSiS8WaKaJo1XaFXsK5pQk1FLpoWnbUltsOzSRyMYum1vX1qFZpJZ5Y/NMcqn5UPQr61fCgDAGBW&#10;fPFLONrRYlV8pJnAAz61rUi1FKL1RMWiSEm8R3LMoDFAFPTHeqfmyC6jMzkmOXy354IPQ4q3DBLa&#10;SuqJvhkbcMHBU96R7VGil891R5G3ZzjaR0rKUJSiu/Uq6uTSKqzo2B84Knjr3H8qh1AGMw3CqS6N&#10;gqv8QPaokukDrvmNwy9FiTPPrU+by4xsRYE9X+Zvy6CtZWnFrqStGOvGiezP2g7EbqG6n2qJBLco&#10;EiDW9v8A3j99vp6fWp4rFEfzHJlk/vvyfw9Kt4rVU23divZWIYLdLeMJEoVR+tTUtFapW2JYUUUU&#10;wCiiigBKa3XqafTT1/8ArUAOooooAKKKKACiiigAooooASilooAaQMdKryafbSHLQJn1AwatUUnF&#10;PcLso/2XGP8AVyTJ7BzSHTX/AOf26x6bhV+ipdOL6D5mURpin/WXFw/1enJplqpz5IY+rc/zq5RQ&#10;qaQczGLGqDCqFHsMU7FLRVWEJS0UUwCiiigAooooAKKKKACiiigAooooAKKKKACiiigAooooAKKK&#10;KACiiigAooooAKKKKACiiigAooooAKKKKACiiigAooooAKKKKAP/2VBLAQItABQABgAIAAAAIQCK&#10;FT+YDAEAABUCAAATAAAAAAAAAAAAAAAAAAAAAABbQ29udGVudF9UeXBlc10ueG1sUEsBAi0AFAAG&#10;AAgAAAAhADj9If/WAAAAlAEAAAsAAAAAAAAAAAAAAAAAPQEAAF9yZWxzLy5yZWxzUEsBAi0AFAAG&#10;AAgAAAAhAET8Ox6XAgAAgwUAAA4AAAAAAAAAAAAAAAAAPAIAAGRycy9lMm9Eb2MueG1sUEsBAi0A&#10;FAAGAAgAAAAhANpkJtbuAAAAzgEAABkAAAAAAAAAAAAAAAAA/wQAAGRycy9fcmVscy9lMm9Eb2Mu&#10;eG1sLnJlbHNQSwECLQAUAAYACAAAACEAKchXttwAAAAFAQAADwAAAAAAAAAAAAAAAAAkBgAAZHJz&#10;L2Rvd25yZXYueG1sUEsBAi0ACgAAAAAAAAAhAN41XBb2GwAA9hsAABUAAAAAAAAAAAAAAAAALQcA&#10;AGRycy9tZWRpYS9pbWFnZTEuanBlZ1BLBQYAAAAABgAGAH0BAABW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76;height:16192;visibility:visible;mso-wrap-style:square">
                  <v:fill o:detectmouseclick="t"/>
                  <v:path o:connecttype="none"/>
                </v:shape>
                <v:shape id="Picture 6" o:spid="_x0000_s1028" type="#_x0000_t75" alt="Description: Description: cid:image002.jpg@01D019DE.127D2590" style="position:absolute;left:571;width:14605;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r w:rsidRPr="008A6108">
        <w:rPr>
          <w:b/>
          <w:u w:val="none"/>
        </w:rPr>
        <w:tab/>
      </w:r>
      <w:r w:rsidR="00083BBB">
        <w:rPr>
          <w:b/>
          <w:u w:val="none"/>
        </w:rPr>
        <w:t xml:space="preserve">  </w:t>
      </w:r>
    </w:p>
    <w:p w14:paraId="75EE94E4" w14:textId="77777777" w:rsidR="0080558F" w:rsidRPr="008A6108" w:rsidRDefault="0080558F" w:rsidP="0080558F">
      <w:pPr>
        <w:rPr>
          <w:b/>
          <w:u w:val="none"/>
        </w:rPr>
      </w:pPr>
    </w:p>
    <w:p w14:paraId="5CD2E523" w14:textId="77777777" w:rsidR="0080558F" w:rsidRPr="008A6108" w:rsidRDefault="0080558F" w:rsidP="0080558F">
      <w:pPr>
        <w:jc w:val="center"/>
        <w:rPr>
          <w:b/>
          <w:u w:val="none"/>
        </w:rPr>
      </w:pPr>
      <w:r w:rsidRPr="008A6108">
        <w:rPr>
          <w:b/>
          <w:noProof/>
          <w:lang w:eastAsia="en-ZA"/>
        </w:rPr>
        <mc:AlternateContent>
          <mc:Choice Requires="wps">
            <w:drawing>
              <wp:anchor distT="0" distB="0" distL="114300" distR="114300" simplePos="0" relativeHeight="251659264" behindDoc="0" locked="0" layoutInCell="1" allowOverlap="1" wp14:anchorId="5CA8A0B7" wp14:editId="4C2A645F">
                <wp:simplePos x="0" y="0"/>
                <wp:positionH relativeFrom="column">
                  <wp:posOffset>-30480</wp:posOffset>
                </wp:positionH>
                <wp:positionV relativeFrom="paragraph">
                  <wp:posOffset>76200</wp:posOffset>
                </wp:positionV>
                <wp:extent cx="3371850" cy="1356360"/>
                <wp:effectExtent l="0" t="0" r="1905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56360"/>
                        </a:xfrm>
                        <a:prstGeom prst="rect">
                          <a:avLst/>
                        </a:prstGeom>
                        <a:solidFill>
                          <a:srgbClr val="FFFFFF"/>
                        </a:solidFill>
                        <a:ln w="9525">
                          <a:solidFill>
                            <a:srgbClr val="000000"/>
                          </a:solidFill>
                          <a:miter lim="800000"/>
                          <a:headEnd/>
                          <a:tailEnd/>
                        </a:ln>
                      </wps:spPr>
                      <wps:txbx>
                        <w:txbxContent>
                          <w:p w14:paraId="01476E89" w14:textId="77777777" w:rsidR="00DA1A17" w:rsidRPr="00913F95" w:rsidRDefault="00DA1A17" w:rsidP="0080558F">
                            <w:pPr>
                              <w:jc w:val="center"/>
                              <w:rPr>
                                <w:rFonts w:ascii="Century Gothic" w:hAnsi="Century Gothic"/>
                                <w:b/>
                                <w:sz w:val="20"/>
                                <w:szCs w:val="20"/>
                              </w:rPr>
                            </w:pPr>
                          </w:p>
                          <w:p w14:paraId="2C682183" w14:textId="05608911"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REPORTABLE: </w:t>
                            </w:r>
                            <w:r w:rsidR="00DA1A17">
                              <w:rPr>
                                <w:rFonts w:ascii="Century Gothic" w:hAnsi="Century Gothic"/>
                                <w:b/>
                                <w:sz w:val="19"/>
                                <w:szCs w:val="19"/>
                                <w:u w:val="none"/>
                              </w:rPr>
                              <w:t>NO</w:t>
                            </w:r>
                          </w:p>
                          <w:p w14:paraId="31DA6AB8" w14:textId="226B31C1"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OF INTEREST TO OTHER JUDGES: </w:t>
                            </w:r>
                            <w:r w:rsidR="00DA1A17">
                              <w:rPr>
                                <w:rFonts w:ascii="Century Gothic" w:hAnsi="Century Gothic"/>
                                <w:b/>
                                <w:sz w:val="19"/>
                                <w:szCs w:val="19"/>
                                <w:u w:val="none"/>
                              </w:rPr>
                              <w:t>NO</w:t>
                            </w:r>
                          </w:p>
                          <w:p w14:paraId="233CE8CE" w14:textId="79147F79"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(3)</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REVISED. </w:t>
                            </w:r>
                            <w:r w:rsidR="00DA1A17" w:rsidRPr="00DD47F2">
                              <w:rPr>
                                <w:rFonts w:ascii="Century Gothic" w:hAnsi="Century Gothic"/>
                                <w:b/>
                                <w:sz w:val="19"/>
                                <w:szCs w:val="19"/>
                                <w:u w:val="none"/>
                              </w:rPr>
                              <w:t>YES</w:t>
                            </w:r>
                          </w:p>
                          <w:p w14:paraId="72BBDB65" w14:textId="77777777" w:rsidR="00DA1A17" w:rsidRDefault="00DA1A17" w:rsidP="0080558F">
                            <w:pPr>
                              <w:rPr>
                                <w:rFonts w:ascii="Century Gothic" w:hAnsi="Century Gothic"/>
                                <w:b/>
                                <w:sz w:val="19"/>
                                <w:szCs w:val="19"/>
                                <w:u w:val="none"/>
                              </w:rPr>
                            </w:pPr>
                            <w:r w:rsidRPr="00DD47F2">
                              <w:rPr>
                                <w:rFonts w:ascii="Century Gothic" w:hAnsi="Century Gothic"/>
                                <w:b/>
                                <w:sz w:val="19"/>
                                <w:szCs w:val="19"/>
                                <w:u w:val="none"/>
                              </w:rPr>
                              <w:t xml:space="preserve">  </w:t>
                            </w:r>
                          </w:p>
                          <w:p w14:paraId="4C2D0537" w14:textId="683E7057" w:rsidR="00DA1A17" w:rsidRPr="000F3778" w:rsidRDefault="00DA1A17" w:rsidP="0080558F">
                            <w:pPr>
                              <w:rPr>
                                <w:rFonts w:ascii="Century Gothic" w:hAnsi="Century Gothic"/>
                                <w:sz w:val="19"/>
                                <w:szCs w:val="19"/>
                              </w:rPr>
                            </w:pPr>
                            <w:r w:rsidRPr="00DD47F2">
                              <w:rPr>
                                <w:rFonts w:ascii="Century Gothic" w:hAnsi="Century Gothic"/>
                                <w:b/>
                                <w:sz w:val="19"/>
                                <w:szCs w:val="19"/>
                                <w:u w:val="none"/>
                              </w:rPr>
                              <w:t xml:space="preserve">  </w:t>
                            </w:r>
                            <w:r w:rsidR="00204CFE">
                              <w:rPr>
                                <w:rFonts w:ascii="Century Gothic" w:hAnsi="Century Gothic"/>
                                <w:sz w:val="22"/>
                                <w:szCs w:val="19"/>
                              </w:rPr>
                              <w:t>18</w:t>
                            </w:r>
                            <w:r>
                              <w:rPr>
                                <w:rFonts w:ascii="Century Gothic" w:hAnsi="Century Gothic"/>
                                <w:sz w:val="22"/>
                                <w:szCs w:val="19"/>
                              </w:rPr>
                              <w:t xml:space="preserve"> October</w:t>
                            </w:r>
                            <w:r w:rsidRPr="000F7D15">
                              <w:rPr>
                                <w:rFonts w:ascii="Century Gothic" w:hAnsi="Century Gothic"/>
                                <w:sz w:val="22"/>
                                <w:szCs w:val="19"/>
                              </w:rPr>
                              <w:t xml:space="preserve"> 2022</w:t>
                            </w:r>
                            <w:r w:rsidRPr="000F3778">
                              <w:rPr>
                                <w:rFonts w:ascii="Century Gothic" w:hAnsi="Century Gothic"/>
                                <w:b/>
                                <w:sz w:val="22"/>
                                <w:szCs w:val="19"/>
                              </w:rPr>
                              <w:t xml:space="preserve">  </w:t>
                            </w:r>
                            <w:r w:rsidRPr="000F3778">
                              <w:rPr>
                                <w:rFonts w:ascii="Century Gothic" w:hAnsi="Century Gothic"/>
                                <w:b/>
                                <w:sz w:val="19"/>
                                <w:szCs w:val="19"/>
                                <w:u w:val="none"/>
                              </w:rPr>
                              <w:t xml:space="preserve">     </w:t>
                            </w:r>
                            <w:r w:rsidR="00B85B69" w:rsidRPr="00DD47F2">
                              <w:rPr>
                                <w:rFonts w:ascii="Century Gothic" w:hAnsi="Century Gothic"/>
                                <w:i/>
                                <w:noProof/>
                                <w:sz w:val="20"/>
                                <w:szCs w:val="20"/>
                                <w:lang w:eastAsia="en-ZA"/>
                              </w:rPr>
                              <w:drawing>
                                <wp:inline distT="0" distB="0" distL="0" distR="0" wp14:anchorId="56BA1C0E" wp14:editId="39467E92">
                                  <wp:extent cx="1143000" cy="294515"/>
                                  <wp:effectExtent l="0" t="0" r="0" b="0"/>
                                  <wp:docPr id="5" name="Picture 5"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949" cy="324649"/>
                                          </a:xfrm>
                                          <a:prstGeom prst="rect">
                                            <a:avLst/>
                                          </a:prstGeom>
                                          <a:noFill/>
                                          <a:ln>
                                            <a:noFill/>
                                          </a:ln>
                                        </pic:spPr>
                                      </pic:pic>
                                    </a:graphicData>
                                  </a:graphic>
                                </wp:inline>
                              </w:drawing>
                            </w:r>
                          </w:p>
                          <w:p w14:paraId="762DD9E8" w14:textId="77777777" w:rsidR="00DA1A17" w:rsidRPr="00A368AD" w:rsidRDefault="00DA1A17" w:rsidP="0080558F">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A0B7" id="_x0000_t202" coordsize="21600,21600" o:spt="202" path="m,l,21600r21600,l21600,xe">
                <v:stroke joinstyle="miter"/>
                <v:path gradientshapeok="t" o:connecttype="rect"/>
              </v:shapetype>
              <v:shape id="Text Box 5" o:spid="_x0000_s1026" type="#_x0000_t202" style="position:absolute;left:0;text-align:left;margin-left:-2.4pt;margin-top:6pt;width:265.5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VRLQIAAFEEAAAOAAAAZHJzL2Uyb0RvYy54bWysVNuO0zAQfUfiHyy/0zRt0+1GTVdLlyKk&#10;5SLt8gGO4yQWjsfYbpPy9YydbomAJ0QeLI9nfDxzzky2d0OnyElYJ0EXNJ3NKRGaQyV1U9Cvz4c3&#10;G0qcZ7piCrQo6Fk4erd7/Wrbm1wsoAVVCUsQRLu8NwVtvTd5kjjeio65GRih0VmD7ZhH0zZJZVmP&#10;6J1KFvP5OunBVsYCF87h6cPopLuIX9eC+8917YQnqqCYm4+rjWsZ1mS3ZXljmWklv6TB/iGLjkmN&#10;j16hHphn5GjlH1Cd5BYc1H7GoUugriUXsQasJp3/Vs1Ty4yItSA5zlxpcv8Pln86fbFEVqgdJZp1&#10;KNGzGDx5CwPJAju9cTkGPRkM8wMeh8hQqTOPwL85omHfMt2Ie2uhbwWrMLs03EwmV0ccF0DK/iNU&#10;+Aw7eohAQ227AIhkEERHlc5XZUIqHA+Xy5t0k6GLoy9dZuvlOmqXsPzlurHOvxfQkbApqEXpIzw7&#10;PTof0mH5S0hMH5SsDlKpaNim3CtLTgzb5BC/WAFWOQ1TmvQFvc0W2cjA1OemEPP4/Q2ikx77Xcmu&#10;oJtrEMsDb+90FbvRM6nGPaas9IXIwN3Ioh/K4SJMCdUZKbUw9jXOIW5asD8o6bGnC+q+H5kVlKgP&#10;GmW5TVerMATRWGU3CzTs1FNOPUxzhCqop2Tc7v04OEdjZdPiS2MjaLhHKWsZSQ6aj1ld8sa+jdxf&#10;ZiwMxtSOUb/+BLufAAAA//8DAFBLAwQUAAYACAAAACEAHHAWQd8AAAAJAQAADwAAAGRycy9kb3du&#10;cmV2LnhtbEyPwU7DMBBE70j8g7VIXFDrYNpQQpwKIYHoDQqCqxtvkwh7HWI3DX/PcoLj7Kxm3pTr&#10;yTsx4hC7QBou5xkIpDrYjhoNb68PsxWImAxZ4wKhhm+MsK5OT0pT2HCkFxy3qREcQrEwGtqU+kLK&#10;WLfoTZyHHom9fRi8SSyHRtrBHDncO6myLJfedMQNrenxvsX6c3vwGlaLp/Ejbq6e3+t8727SxfX4&#10;+DVofX423d2CSDilv2f4xWd0qJhpFw5ko3AaZgsmT3xXPIn9pcoViJ0GpZY5yKqU/xdUPwAAAP//&#10;AwBQSwECLQAUAAYACAAAACEAtoM4kv4AAADhAQAAEwAAAAAAAAAAAAAAAAAAAAAAW0NvbnRlbnRf&#10;VHlwZXNdLnhtbFBLAQItABQABgAIAAAAIQA4/SH/1gAAAJQBAAALAAAAAAAAAAAAAAAAAC8BAABf&#10;cmVscy8ucmVsc1BLAQItABQABgAIAAAAIQDc7hVRLQIAAFEEAAAOAAAAAAAAAAAAAAAAAC4CAABk&#10;cnMvZTJvRG9jLnhtbFBLAQItABQABgAIAAAAIQAccBZB3wAAAAkBAAAPAAAAAAAAAAAAAAAAAIcE&#10;AABkcnMvZG93bnJldi54bWxQSwUGAAAAAAQABADzAAAAkwUAAAAA&#10;">
                <v:textbox>
                  <w:txbxContent>
                    <w:p w14:paraId="01476E89" w14:textId="77777777" w:rsidR="00DA1A17" w:rsidRPr="00913F95" w:rsidRDefault="00DA1A17" w:rsidP="0080558F">
                      <w:pPr>
                        <w:jc w:val="center"/>
                        <w:rPr>
                          <w:rFonts w:ascii="Century Gothic" w:hAnsi="Century Gothic"/>
                          <w:b/>
                          <w:sz w:val="20"/>
                          <w:szCs w:val="20"/>
                        </w:rPr>
                      </w:pPr>
                    </w:p>
                    <w:p w14:paraId="2C682183" w14:textId="05608911"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REPORTABLE: </w:t>
                      </w:r>
                      <w:r w:rsidR="00DA1A17">
                        <w:rPr>
                          <w:rFonts w:ascii="Century Gothic" w:hAnsi="Century Gothic"/>
                          <w:b/>
                          <w:sz w:val="19"/>
                          <w:szCs w:val="19"/>
                          <w:u w:val="none"/>
                        </w:rPr>
                        <w:t>NO</w:t>
                      </w:r>
                    </w:p>
                    <w:p w14:paraId="31DA6AB8" w14:textId="226B31C1"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OF INTEREST TO OTHER JUDGES: </w:t>
                      </w:r>
                      <w:r w:rsidR="00DA1A17">
                        <w:rPr>
                          <w:rFonts w:ascii="Century Gothic" w:hAnsi="Century Gothic"/>
                          <w:b/>
                          <w:sz w:val="19"/>
                          <w:szCs w:val="19"/>
                          <w:u w:val="none"/>
                        </w:rPr>
                        <w:t>NO</w:t>
                      </w:r>
                    </w:p>
                    <w:p w14:paraId="233CE8CE" w14:textId="79147F79" w:rsidR="00DA1A17" w:rsidRPr="00DD47F2" w:rsidRDefault="00964007" w:rsidP="00964007">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(3)</w:t>
                      </w:r>
                      <w:r w:rsidRPr="00DD47F2">
                        <w:rPr>
                          <w:rFonts w:ascii="Century Gothic" w:hAnsi="Century Gothic"/>
                          <w:sz w:val="19"/>
                          <w:szCs w:val="19"/>
                          <w:u w:val="none"/>
                        </w:rPr>
                        <w:tab/>
                      </w:r>
                      <w:r w:rsidR="00DA1A17" w:rsidRPr="00DD47F2">
                        <w:rPr>
                          <w:rFonts w:ascii="Century Gothic" w:hAnsi="Century Gothic"/>
                          <w:sz w:val="19"/>
                          <w:szCs w:val="19"/>
                          <w:u w:val="none"/>
                        </w:rPr>
                        <w:t xml:space="preserve">REVISED. </w:t>
                      </w:r>
                      <w:r w:rsidR="00DA1A17" w:rsidRPr="00DD47F2">
                        <w:rPr>
                          <w:rFonts w:ascii="Century Gothic" w:hAnsi="Century Gothic"/>
                          <w:b/>
                          <w:sz w:val="19"/>
                          <w:szCs w:val="19"/>
                          <w:u w:val="none"/>
                        </w:rPr>
                        <w:t>YES</w:t>
                      </w:r>
                    </w:p>
                    <w:p w14:paraId="72BBDB65" w14:textId="77777777" w:rsidR="00DA1A17" w:rsidRDefault="00DA1A17" w:rsidP="0080558F">
                      <w:pPr>
                        <w:rPr>
                          <w:rFonts w:ascii="Century Gothic" w:hAnsi="Century Gothic"/>
                          <w:b/>
                          <w:sz w:val="19"/>
                          <w:szCs w:val="19"/>
                          <w:u w:val="none"/>
                        </w:rPr>
                      </w:pPr>
                      <w:r w:rsidRPr="00DD47F2">
                        <w:rPr>
                          <w:rFonts w:ascii="Century Gothic" w:hAnsi="Century Gothic"/>
                          <w:b/>
                          <w:sz w:val="19"/>
                          <w:szCs w:val="19"/>
                          <w:u w:val="none"/>
                        </w:rPr>
                        <w:t xml:space="preserve">  </w:t>
                      </w:r>
                    </w:p>
                    <w:p w14:paraId="4C2D0537" w14:textId="683E7057" w:rsidR="00DA1A17" w:rsidRPr="000F3778" w:rsidRDefault="00DA1A17" w:rsidP="0080558F">
                      <w:pPr>
                        <w:rPr>
                          <w:rFonts w:ascii="Century Gothic" w:hAnsi="Century Gothic"/>
                          <w:sz w:val="19"/>
                          <w:szCs w:val="19"/>
                        </w:rPr>
                      </w:pPr>
                      <w:r w:rsidRPr="00DD47F2">
                        <w:rPr>
                          <w:rFonts w:ascii="Century Gothic" w:hAnsi="Century Gothic"/>
                          <w:b/>
                          <w:sz w:val="19"/>
                          <w:szCs w:val="19"/>
                          <w:u w:val="none"/>
                        </w:rPr>
                        <w:t xml:space="preserve">  </w:t>
                      </w:r>
                      <w:r w:rsidR="00204CFE">
                        <w:rPr>
                          <w:rFonts w:ascii="Century Gothic" w:hAnsi="Century Gothic"/>
                          <w:sz w:val="22"/>
                          <w:szCs w:val="19"/>
                        </w:rPr>
                        <w:t>18</w:t>
                      </w:r>
                      <w:r>
                        <w:rPr>
                          <w:rFonts w:ascii="Century Gothic" w:hAnsi="Century Gothic"/>
                          <w:sz w:val="22"/>
                          <w:szCs w:val="19"/>
                        </w:rPr>
                        <w:t xml:space="preserve"> October</w:t>
                      </w:r>
                      <w:r w:rsidRPr="000F7D15">
                        <w:rPr>
                          <w:rFonts w:ascii="Century Gothic" w:hAnsi="Century Gothic"/>
                          <w:sz w:val="22"/>
                          <w:szCs w:val="19"/>
                        </w:rPr>
                        <w:t xml:space="preserve"> 2022</w:t>
                      </w:r>
                      <w:r w:rsidRPr="000F3778">
                        <w:rPr>
                          <w:rFonts w:ascii="Century Gothic" w:hAnsi="Century Gothic"/>
                          <w:b/>
                          <w:sz w:val="22"/>
                          <w:szCs w:val="19"/>
                        </w:rPr>
                        <w:t xml:space="preserve">  </w:t>
                      </w:r>
                      <w:r w:rsidRPr="000F3778">
                        <w:rPr>
                          <w:rFonts w:ascii="Century Gothic" w:hAnsi="Century Gothic"/>
                          <w:b/>
                          <w:sz w:val="19"/>
                          <w:szCs w:val="19"/>
                          <w:u w:val="none"/>
                        </w:rPr>
                        <w:t xml:space="preserve">     </w:t>
                      </w:r>
                      <w:r w:rsidR="00B85B69" w:rsidRPr="00DD47F2">
                        <w:rPr>
                          <w:rFonts w:ascii="Century Gothic" w:hAnsi="Century Gothic"/>
                          <w:i/>
                          <w:noProof/>
                          <w:sz w:val="20"/>
                          <w:szCs w:val="20"/>
                          <w:lang w:eastAsia="en-ZA"/>
                        </w:rPr>
                        <w:drawing>
                          <wp:inline distT="0" distB="0" distL="0" distR="0" wp14:anchorId="56BA1C0E" wp14:editId="39467E92">
                            <wp:extent cx="1143000" cy="294515"/>
                            <wp:effectExtent l="0" t="0" r="0" b="0"/>
                            <wp:docPr id="5" name="Picture 5"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949" cy="324649"/>
                                    </a:xfrm>
                                    <a:prstGeom prst="rect">
                                      <a:avLst/>
                                    </a:prstGeom>
                                    <a:noFill/>
                                    <a:ln>
                                      <a:noFill/>
                                    </a:ln>
                                  </pic:spPr>
                                </pic:pic>
                              </a:graphicData>
                            </a:graphic>
                          </wp:inline>
                        </w:drawing>
                      </w:r>
                    </w:p>
                    <w:p w14:paraId="762DD9E8" w14:textId="77777777" w:rsidR="00DA1A17" w:rsidRPr="00A368AD" w:rsidRDefault="00DA1A17" w:rsidP="0080558F">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v:textbox>
              </v:shape>
            </w:pict>
          </mc:Fallback>
        </mc:AlternateContent>
      </w:r>
    </w:p>
    <w:p w14:paraId="21AD68BA" w14:textId="77777777" w:rsidR="0080558F" w:rsidRPr="008A6108" w:rsidRDefault="0080558F" w:rsidP="0080558F">
      <w:pPr>
        <w:tabs>
          <w:tab w:val="right" w:pos="8199"/>
        </w:tabs>
        <w:spacing w:line="360" w:lineRule="auto"/>
        <w:rPr>
          <w:u w:val="none"/>
        </w:rPr>
      </w:pPr>
      <w:r w:rsidRPr="008A6108">
        <w:rPr>
          <w:b/>
          <w:u w:val="none"/>
        </w:rPr>
        <w:tab/>
      </w:r>
      <w:r w:rsidRPr="008A6108">
        <w:rPr>
          <w:b/>
          <w:u w:val="none"/>
        </w:rPr>
        <w:tab/>
      </w:r>
      <w:r w:rsidRPr="008A6108">
        <w:rPr>
          <w:b/>
          <w:u w:val="none"/>
        </w:rPr>
        <w:tab/>
      </w:r>
      <w:r w:rsidRPr="008A6108">
        <w:rPr>
          <w:b/>
          <w:u w:val="none"/>
        </w:rPr>
        <w:tab/>
      </w:r>
      <w:r w:rsidRPr="008A6108">
        <w:rPr>
          <w:b/>
          <w:u w:val="none"/>
        </w:rPr>
        <w:tab/>
      </w:r>
    </w:p>
    <w:p w14:paraId="14976876" w14:textId="77777777" w:rsidR="0080558F" w:rsidRPr="008A6108"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0F8F35E3" w14:textId="77777777" w:rsidR="0080558F" w:rsidRPr="008A6108"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8A6108">
        <w:rPr>
          <w:u w:val="none"/>
        </w:rPr>
        <w:t>In the matter between:</w:t>
      </w:r>
    </w:p>
    <w:p w14:paraId="0412EFBA" w14:textId="77777777" w:rsidR="0080558F" w:rsidRPr="00083BBB"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65837721" w14:textId="77777777" w:rsidR="00083BBB" w:rsidRPr="00083BBB" w:rsidRDefault="00083BBB" w:rsidP="00083BBB">
      <w:pPr>
        <w:spacing w:line="360" w:lineRule="auto"/>
        <w:jc w:val="right"/>
        <w:rPr>
          <w:b/>
          <w:u w:val="none"/>
          <w:lang w:eastAsia="en-ZA"/>
        </w:rPr>
      </w:pPr>
      <w:r w:rsidRPr="00083BBB">
        <w:rPr>
          <w:b/>
          <w:u w:val="none"/>
        </w:rPr>
        <w:t xml:space="preserve">                                  CASE NO: 38416/2020</w:t>
      </w:r>
    </w:p>
    <w:p w14:paraId="7F7E0E8B" w14:textId="77777777" w:rsidR="00083BBB" w:rsidRPr="00083BBB" w:rsidRDefault="00083BBB" w:rsidP="00083BBB">
      <w:pPr>
        <w:spacing w:line="360" w:lineRule="auto"/>
        <w:rPr>
          <w:u w:val="none"/>
        </w:rPr>
      </w:pPr>
      <w:r w:rsidRPr="00083BBB">
        <w:rPr>
          <w:u w:val="none"/>
        </w:rPr>
        <w:t>In the matter between:</w:t>
      </w:r>
    </w:p>
    <w:p w14:paraId="2200D75E" w14:textId="77777777" w:rsidR="00083BBB" w:rsidRPr="00083BBB" w:rsidRDefault="00083BBB" w:rsidP="0058440F">
      <w:pPr>
        <w:spacing w:line="480" w:lineRule="auto"/>
        <w:rPr>
          <w:u w:val="none"/>
        </w:rPr>
      </w:pPr>
    </w:p>
    <w:p w14:paraId="15530825"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 xml:space="preserve">GEORGE FREDERICK MARX KOK N.O. </w:t>
      </w:r>
      <w:r w:rsidRPr="00083BBB">
        <w:rPr>
          <w:rFonts w:eastAsia="Calibri"/>
          <w:b/>
          <w:bCs/>
          <w:spacing w:val="-2"/>
          <w:u w:val="none"/>
          <w:lang w:val="en-GB" w:eastAsia="en-US"/>
        </w:rPr>
        <w:tab/>
      </w:r>
      <w:r w:rsidRPr="00083BBB">
        <w:rPr>
          <w:rFonts w:eastAsia="Calibri"/>
          <w:bCs/>
          <w:spacing w:val="-2"/>
          <w:u w:val="none"/>
          <w:lang w:val="en-GB" w:eastAsia="en-US"/>
        </w:rPr>
        <w:t xml:space="preserve">    </w:t>
      </w:r>
      <w:r w:rsidR="009618E7">
        <w:rPr>
          <w:rFonts w:eastAsia="Calibri"/>
          <w:bCs/>
          <w:spacing w:val="-2"/>
          <w:u w:val="none"/>
          <w:lang w:val="en-GB" w:eastAsia="en-US"/>
        </w:rPr>
        <w:t xml:space="preserve">   </w:t>
      </w:r>
      <w:r w:rsidRPr="00083BBB">
        <w:rPr>
          <w:rFonts w:eastAsia="Calibri"/>
          <w:bCs/>
          <w:spacing w:val="-2"/>
          <w:u w:val="none"/>
          <w:lang w:val="en-GB" w:eastAsia="en-US"/>
        </w:rPr>
        <w:t>First Applicant</w:t>
      </w:r>
    </w:p>
    <w:p w14:paraId="2D6C227F"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SARIE MARIA KOK N.O.</w:t>
      </w:r>
      <w:r w:rsidRPr="00083BBB">
        <w:rPr>
          <w:rFonts w:eastAsia="Calibri"/>
          <w:b/>
          <w:bCs/>
          <w:spacing w:val="-2"/>
          <w:u w:val="none"/>
          <w:lang w:val="en-GB" w:eastAsia="en-US"/>
        </w:rPr>
        <w:tab/>
      </w:r>
      <w:r w:rsidRPr="00083BBB">
        <w:rPr>
          <w:rFonts w:eastAsia="Calibri"/>
          <w:bCs/>
          <w:spacing w:val="-2"/>
          <w:u w:val="none"/>
          <w:lang w:val="en-GB" w:eastAsia="en-US"/>
        </w:rPr>
        <w:t>Second Applicant</w:t>
      </w:r>
    </w:p>
    <w:p w14:paraId="28743EAD"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DIMITRIOS ARVANITIS N.O.</w:t>
      </w:r>
      <w:r w:rsidRPr="00083BBB">
        <w:rPr>
          <w:rFonts w:eastAsia="Calibri"/>
          <w:b/>
          <w:bCs/>
          <w:spacing w:val="-2"/>
          <w:u w:val="none"/>
          <w:lang w:val="en-GB" w:eastAsia="en-US"/>
        </w:rPr>
        <w:tab/>
      </w:r>
      <w:r w:rsidRPr="00083BBB">
        <w:rPr>
          <w:rFonts w:eastAsia="Calibri"/>
          <w:bCs/>
          <w:spacing w:val="-2"/>
          <w:u w:val="none"/>
          <w:lang w:val="en-GB" w:eastAsia="en-US"/>
        </w:rPr>
        <w:t>Third Applicant</w:t>
      </w:r>
    </w:p>
    <w:p w14:paraId="0E9532D7" w14:textId="77777777" w:rsidR="00083BBB" w:rsidRPr="00083BBB" w:rsidRDefault="00083BBB" w:rsidP="0058440F">
      <w:pPr>
        <w:tabs>
          <w:tab w:val="right" w:pos="8640"/>
        </w:tabs>
        <w:spacing w:line="480" w:lineRule="auto"/>
        <w:jc w:val="both"/>
        <w:rPr>
          <w:rFonts w:eastAsia="Calibri"/>
          <w:spacing w:val="-2"/>
          <w:u w:val="none"/>
          <w:lang w:val="en-GB" w:eastAsia="en-US"/>
        </w:rPr>
      </w:pPr>
      <w:r w:rsidRPr="00083BBB">
        <w:rPr>
          <w:rFonts w:eastAsia="Calibri"/>
          <w:spacing w:val="-2"/>
          <w:u w:val="none"/>
          <w:lang w:val="en-GB" w:eastAsia="en-US"/>
        </w:rPr>
        <w:t>and</w:t>
      </w:r>
    </w:p>
    <w:p w14:paraId="0CCC1A3B" w14:textId="77777777" w:rsidR="00083BBB" w:rsidRPr="00083BBB" w:rsidRDefault="00083BBB" w:rsidP="0058440F">
      <w:pPr>
        <w:tabs>
          <w:tab w:val="right" w:pos="8640"/>
        </w:tabs>
        <w:spacing w:line="480" w:lineRule="auto"/>
        <w:jc w:val="both"/>
        <w:rPr>
          <w:rFonts w:eastAsia="Calibri"/>
          <w:b/>
          <w:bCs/>
          <w:spacing w:val="-2"/>
          <w:u w:val="none"/>
          <w:lang w:val="en-GB" w:eastAsia="en-US"/>
        </w:rPr>
      </w:pPr>
      <w:r w:rsidRPr="00083BBB">
        <w:rPr>
          <w:rFonts w:eastAsia="Calibri"/>
          <w:b/>
          <w:bCs/>
          <w:spacing w:val="-2"/>
          <w:u w:val="none"/>
          <w:lang w:val="en-GB" w:eastAsia="en-US"/>
        </w:rPr>
        <w:t>B A DEVELOPMENT COMPANY (PTY) LIMITED</w:t>
      </w:r>
    </w:p>
    <w:p w14:paraId="0D16FEC9"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(Previous registered name Wraypex (Pty) Limited)</w:t>
      </w:r>
      <w:r w:rsidRPr="00083BBB">
        <w:rPr>
          <w:rFonts w:eastAsia="Calibri"/>
          <w:b/>
          <w:bCs/>
          <w:spacing w:val="-2"/>
          <w:u w:val="none"/>
          <w:lang w:val="en-GB" w:eastAsia="en-US"/>
        </w:rPr>
        <w:tab/>
      </w:r>
      <w:r w:rsidRPr="00083BBB">
        <w:rPr>
          <w:rFonts w:eastAsia="Calibri"/>
          <w:bCs/>
          <w:spacing w:val="-2"/>
          <w:u w:val="none"/>
          <w:lang w:val="en-GB" w:eastAsia="en-US"/>
        </w:rPr>
        <w:t>First Respondent</w:t>
      </w:r>
    </w:p>
    <w:p w14:paraId="46392515" w14:textId="77777777" w:rsidR="00083BBB" w:rsidRPr="00083BBB" w:rsidRDefault="00083BBB" w:rsidP="009618E7">
      <w:pPr>
        <w:tabs>
          <w:tab w:val="right" w:pos="8931"/>
        </w:tabs>
        <w:spacing w:line="480" w:lineRule="auto"/>
        <w:jc w:val="both"/>
        <w:rPr>
          <w:rFonts w:eastAsia="Calibri"/>
          <w:bCs/>
          <w:spacing w:val="-2"/>
          <w:u w:val="none"/>
          <w:lang w:val="en-GB" w:eastAsia="en-US"/>
        </w:rPr>
      </w:pPr>
      <w:r w:rsidRPr="00083BBB">
        <w:rPr>
          <w:rFonts w:eastAsia="Calibri"/>
          <w:b/>
          <w:bCs/>
          <w:spacing w:val="-2"/>
          <w:u w:val="none"/>
          <w:lang w:val="en-GB" w:eastAsia="en-US"/>
        </w:rPr>
        <w:t>MARIUS VAN TONDER N.O.</w:t>
      </w:r>
      <w:r w:rsidRPr="00083BBB">
        <w:rPr>
          <w:rFonts w:eastAsia="Calibri"/>
          <w:b/>
          <w:bCs/>
          <w:spacing w:val="-2"/>
          <w:u w:val="none"/>
          <w:lang w:val="en-GB" w:eastAsia="en-US"/>
        </w:rPr>
        <w:tab/>
      </w:r>
      <w:r w:rsidRPr="00083BBB">
        <w:rPr>
          <w:rFonts w:eastAsia="Calibri"/>
          <w:bCs/>
          <w:spacing w:val="-2"/>
          <w:u w:val="none"/>
          <w:lang w:val="en-GB" w:eastAsia="en-US"/>
        </w:rPr>
        <w:t>Second Respondent</w:t>
      </w:r>
    </w:p>
    <w:p w14:paraId="19507C16"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ABSA BANK LIMITED</w:t>
      </w:r>
      <w:r w:rsidRPr="00083BBB">
        <w:rPr>
          <w:rFonts w:eastAsia="Calibri"/>
          <w:b/>
          <w:bCs/>
          <w:spacing w:val="-2"/>
          <w:u w:val="none"/>
          <w:lang w:val="en-GB" w:eastAsia="en-US"/>
        </w:rPr>
        <w:tab/>
      </w:r>
      <w:r w:rsidRPr="00083BBB">
        <w:rPr>
          <w:rFonts w:eastAsia="Calibri"/>
          <w:bCs/>
          <w:spacing w:val="-2"/>
          <w:u w:val="none"/>
          <w:lang w:val="en-GB" w:eastAsia="en-US"/>
        </w:rPr>
        <w:t>Third Respondent</w:t>
      </w:r>
    </w:p>
    <w:p w14:paraId="3FB50938" w14:textId="77777777" w:rsidR="00083BBB" w:rsidRPr="00083BBB" w:rsidRDefault="00083BBB" w:rsidP="0058440F">
      <w:pPr>
        <w:tabs>
          <w:tab w:val="right" w:pos="8640"/>
        </w:tabs>
        <w:spacing w:line="480" w:lineRule="auto"/>
        <w:jc w:val="both"/>
        <w:rPr>
          <w:rFonts w:eastAsia="Calibri"/>
          <w:b/>
          <w:bCs/>
          <w:spacing w:val="-2"/>
          <w:u w:val="none"/>
          <w:lang w:val="en-GB" w:eastAsia="en-US"/>
        </w:rPr>
      </w:pPr>
      <w:r w:rsidRPr="00083BBB">
        <w:rPr>
          <w:rFonts w:eastAsia="Calibri"/>
          <w:b/>
          <w:bCs/>
          <w:spacing w:val="-2"/>
          <w:u w:val="none"/>
          <w:lang w:val="en-GB" w:eastAsia="en-US"/>
        </w:rPr>
        <w:t xml:space="preserve">B&amp;J STEENBERG ENGINEERING AND </w:t>
      </w:r>
    </w:p>
    <w:p w14:paraId="1F2F9026" w14:textId="77777777" w:rsidR="00083BBB" w:rsidRPr="00083BBB" w:rsidRDefault="00083BBB" w:rsidP="009618E7">
      <w:pPr>
        <w:tabs>
          <w:tab w:val="right" w:pos="8931"/>
        </w:tabs>
        <w:spacing w:line="480" w:lineRule="auto"/>
        <w:jc w:val="both"/>
        <w:rPr>
          <w:rFonts w:eastAsia="Calibri"/>
          <w:b/>
          <w:bCs/>
          <w:spacing w:val="-2"/>
          <w:u w:val="none"/>
          <w:lang w:val="en-GB" w:eastAsia="en-US"/>
        </w:rPr>
      </w:pPr>
      <w:r w:rsidRPr="00083BBB">
        <w:rPr>
          <w:rFonts w:eastAsia="Calibri"/>
          <w:b/>
          <w:bCs/>
          <w:spacing w:val="-2"/>
          <w:u w:val="none"/>
          <w:lang w:val="en-GB" w:eastAsia="en-US"/>
        </w:rPr>
        <w:t>CONSTRUCTION (PTY) LIMITED</w:t>
      </w:r>
      <w:r w:rsidRPr="00083BBB">
        <w:rPr>
          <w:rFonts w:eastAsia="Calibri"/>
          <w:b/>
          <w:bCs/>
          <w:spacing w:val="-2"/>
          <w:u w:val="none"/>
          <w:lang w:val="en-GB" w:eastAsia="en-US"/>
        </w:rPr>
        <w:tab/>
      </w:r>
      <w:r w:rsidRPr="00083BBB">
        <w:rPr>
          <w:rFonts w:eastAsia="Calibri"/>
          <w:bCs/>
          <w:spacing w:val="-2"/>
          <w:u w:val="none"/>
          <w:lang w:val="en-GB" w:eastAsia="en-US"/>
        </w:rPr>
        <w:t>Fourth Respondent</w:t>
      </w:r>
    </w:p>
    <w:p w14:paraId="7EB9BD5F" w14:textId="77777777" w:rsidR="00083BBB" w:rsidRPr="00083BBB" w:rsidRDefault="00083BBB" w:rsidP="009618E7">
      <w:pPr>
        <w:tabs>
          <w:tab w:val="right" w:pos="8931"/>
        </w:tabs>
        <w:spacing w:line="480" w:lineRule="auto"/>
        <w:jc w:val="both"/>
        <w:rPr>
          <w:rFonts w:eastAsia="Calibri"/>
          <w:bCs/>
          <w:spacing w:val="-2"/>
          <w:u w:val="none"/>
          <w:lang w:val="en-GB" w:eastAsia="en-US"/>
        </w:rPr>
      </w:pPr>
      <w:r w:rsidRPr="00083BBB">
        <w:rPr>
          <w:rFonts w:eastAsia="Calibri"/>
          <w:b/>
          <w:bCs/>
          <w:spacing w:val="-2"/>
          <w:u w:val="none"/>
          <w:lang w:val="en-GB" w:eastAsia="en-US"/>
        </w:rPr>
        <w:t>REGISTRAR OF DEEDS, PRETORIA</w:t>
      </w:r>
      <w:r w:rsidRPr="00083BBB">
        <w:rPr>
          <w:rFonts w:eastAsia="Calibri"/>
          <w:b/>
          <w:bCs/>
          <w:spacing w:val="-2"/>
          <w:u w:val="none"/>
          <w:lang w:val="en-GB" w:eastAsia="en-US"/>
        </w:rPr>
        <w:tab/>
      </w:r>
      <w:r w:rsidRPr="00083BBB">
        <w:rPr>
          <w:rFonts w:eastAsia="Calibri"/>
          <w:bCs/>
          <w:spacing w:val="-2"/>
          <w:u w:val="none"/>
          <w:lang w:val="en-GB" w:eastAsia="en-US"/>
        </w:rPr>
        <w:t>Fifth Respondent</w:t>
      </w:r>
    </w:p>
    <w:p w14:paraId="36A2CEDD" w14:textId="77777777" w:rsidR="0080558F" w:rsidRPr="008A6108" w:rsidRDefault="00083BBB"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Pr>
          <w:b/>
          <w:u w:val="none"/>
        </w:rPr>
        <w:lastRenderedPageBreak/>
        <w:t>___________________________________________________________________</w:t>
      </w:r>
    </w:p>
    <w:p w14:paraId="1EE6B6C0" w14:textId="77777777" w:rsidR="0080558F" w:rsidRPr="008A6108"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sidRPr="008A6108">
        <w:rPr>
          <w:b/>
          <w:u w:val="none"/>
        </w:rPr>
        <w:t>JUDGMENT</w:t>
      </w:r>
      <w:r>
        <w:rPr>
          <w:b/>
          <w:u w:val="none"/>
        </w:rPr>
        <w:t xml:space="preserve"> </w:t>
      </w:r>
    </w:p>
    <w:p w14:paraId="13FD9BA6" w14:textId="77777777" w:rsidR="0080558F" w:rsidRPr="008A6108" w:rsidRDefault="0080558F" w:rsidP="0080558F">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p>
    <w:p w14:paraId="0348F61E" w14:textId="77777777" w:rsidR="0080558F" w:rsidRPr="008A6108"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p>
    <w:p w14:paraId="211682F7" w14:textId="77777777" w:rsidR="0080558F" w:rsidRPr="008A6108" w:rsidRDefault="0080558F" w:rsidP="0080558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8A6108">
        <w:rPr>
          <w:b/>
        </w:rPr>
        <w:t>NEUKIRCHER J</w:t>
      </w:r>
    </w:p>
    <w:p w14:paraId="77AAFBB2" w14:textId="69FF0FF8" w:rsidR="00A427C9" w:rsidRPr="00964007" w:rsidRDefault="00964007" w:rsidP="00964007">
      <w:pPr>
        <w:spacing w:line="480" w:lineRule="auto"/>
        <w:ind w:left="567" w:hanging="567"/>
        <w:jc w:val="both"/>
        <w:rPr>
          <w:u w:val="none"/>
        </w:rPr>
      </w:pPr>
      <w:r w:rsidRPr="005A0C3B">
        <w:rPr>
          <w:u w:val="none"/>
        </w:rPr>
        <w:t>1.</w:t>
      </w:r>
      <w:r w:rsidRPr="005A0C3B">
        <w:rPr>
          <w:u w:val="none"/>
        </w:rPr>
        <w:tab/>
      </w:r>
      <w:r w:rsidR="00A427C9" w:rsidRPr="00964007">
        <w:rPr>
          <w:u w:val="none"/>
        </w:rPr>
        <w:t xml:space="preserve">This is an application that was originally brought by way of urgency, in </w:t>
      </w:r>
      <w:r w:rsidR="006C69A7" w:rsidRPr="00964007">
        <w:rPr>
          <w:u w:val="none"/>
        </w:rPr>
        <w:t>whic</w:t>
      </w:r>
      <w:r w:rsidR="005A0C3B" w:rsidRPr="00964007">
        <w:rPr>
          <w:u w:val="none"/>
        </w:rPr>
        <w:t>h the a</w:t>
      </w:r>
      <w:r w:rsidR="00467124" w:rsidRPr="00964007">
        <w:rPr>
          <w:u w:val="none"/>
        </w:rPr>
        <w:t xml:space="preserve">pplicant (the Trust) seeks </w:t>
      </w:r>
      <w:r w:rsidR="00467124" w:rsidRPr="00964007">
        <w:rPr>
          <w:i/>
          <w:u w:val="none"/>
        </w:rPr>
        <w:t>inter alia</w:t>
      </w:r>
      <w:r w:rsidR="00467124" w:rsidRPr="00964007">
        <w:rPr>
          <w:u w:val="none"/>
        </w:rPr>
        <w:t>, that</w:t>
      </w:r>
      <w:r w:rsidR="00A427C9" w:rsidRPr="00964007">
        <w:rPr>
          <w:u w:val="none"/>
        </w:rPr>
        <w:t xml:space="preserve"> pending the adjudica</w:t>
      </w:r>
      <w:r w:rsidR="006C69A7" w:rsidRPr="00964007">
        <w:rPr>
          <w:u w:val="none"/>
        </w:rPr>
        <w:t>tion</w:t>
      </w:r>
      <w:r w:rsidR="00467124" w:rsidRPr="00964007">
        <w:rPr>
          <w:u w:val="none"/>
        </w:rPr>
        <w:t xml:space="preserve"> of the action</w:t>
      </w:r>
      <w:r w:rsidR="006C69A7" w:rsidRPr="00964007">
        <w:rPr>
          <w:u w:val="none"/>
        </w:rPr>
        <w:t xml:space="preserve"> under case number: 36310/</w:t>
      </w:r>
      <w:r w:rsidR="00A427C9" w:rsidRPr="00964007">
        <w:rPr>
          <w:u w:val="none"/>
        </w:rPr>
        <w:t>20</w:t>
      </w:r>
      <w:r w:rsidR="00467124" w:rsidRPr="00964007">
        <w:rPr>
          <w:u w:val="none"/>
        </w:rPr>
        <w:t xml:space="preserve"> the 1</w:t>
      </w:r>
      <w:r w:rsidR="00467124" w:rsidRPr="00964007">
        <w:rPr>
          <w:u w:val="none"/>
          <w:vertAlign w:val="superscript"/>
        </w:rPr>
        <w:t>st</w:t>
      </w:r>
      <w:r w:rsidR="00467124" w:rsidRPr="00964007">
        <w:rPr>
          <w:u w:val="none"/>
        </w:rPr>
        <w:t xml:space="preserve"> </w:t>
      </w:r>
      <w:r w:rsidR="00A427C9" w:rsidRPr="00964007">
        <w:rPr>
          <w:u w:val="none"/>
        </w:rPr>
        <w:t xml:space="preserve">and </w:t>
      </w:r>
      <w:r w:rsidR="00467124" w:rsidRPr="00964007">
        <w:rPr>
          <w:u w:val="none"/>
        </w:rPr>
        <w:t>2</w:t>
      </w:r>
      <w:r w:rsidR="00467124" w:rsidRPr="00964007">
        <w:rPr>
          <w:u w:val="none"/>
          <w:vertAlign w:val="superscript"/>
        </w:rPr>
        <w:t>nd</w:t>
      </w:r>
      <w:r w:rsidR="00467124" w:rsidRPr="00964007">
        <w:rPr>
          <w:u w:val="none"/>
        </w:rPr>
        <w:t xml:space="preserve"> </w:t>
      </w:r>
      <w:r w:rsidR="005A0C3B" w:rsidRPr="00964007">
        <w:rPr>
          <w:u w:val="none"/>
        </w:rPr>
        <w:t>r</w:t>
      </w:r>
      <w:r w:rsidR="00A427C9" w:rsidRPr="00964007">
        <w:rPr>
          <w:u w:val="none"/>
        </w:rPr>
        <w:t>espondents be interdicted and prohibited from selling and/or transfe</w:t>
      </w:r>
      <w:r w:rsidR="006C69A7" w:rsidRPr="00964007">
        <w:rPr>
          <w:u w:val="none"/>
        </w:rPr>
        <w:t xml:space="preserve">rring the immovable property </w:t>
      </w:r>
      <w:r w:rsidR="00A427C9" w:rsidRPr="00964007">
        <w:rPr>
          <w:u w:val="none"/>
        </w:rPr>
        <w:t>described as Portion 11 (a Portion of Portion 10)</w:t>
      </w:r>
      <w:r w:rsidR="0046422A" w:rsidRPr="00964007">
        <w:rPr>
          <w:u w:val="none"/>
        </w:rPr>
        <w:t xml:space="preserve"> </w:t>
      </w:r>
      <w:r w:rsidR="00A427C9" w:rsidRPr="00964007">
        <w:rPr>
          <w:u w:val="none"/>
        </w:rPr>
        <w:t xml:space="preserve">of the </w:t>
      </w:r>
      <w:r w:rsidR="0046422A" w:rsidRPr="00964007">
        <w:rPr>
          <w:u w:val="none"/>
        </w:rPr>
        <w:t>Farm Lindley</w:t>
      </w:r>
      <w:r w:rsidR="00A427C9" w:rsidRPr="00964007">
        <w:rPr>
          <w:u w:val="none"/>
        </w:rPr>
        <w:t xml:space="preserve"> No 528, Registration Division JQ, Province of Ga</w:t>
      </w:r>
      <w:r w:rsidR="005A0C3B" w:rsidRPr="00964007">
        <w:rPr>
          <w:u w:val="none"/>
        </w:rPr>
        <w:t>uteng, in extent 73,4360 hectares (ha) (“the property”)</w:t>
      </w:r>
      <w:r w:rsidR="00A427C9" w:rsidRPr="00964007">
        <w:rPr>
          <w:u w:val="none"/>
        </w:rPr>
        <w:t xml:space="preserve">, to the </w:t>
      </w:r>
      <w:r w:rsidR="005A0C3B" w:rsidRPr="00964007">
        <w:rPr>
          <w:u w:val="none"/>
        </w:rPr>
        <w:t>4</w:t>
      </w:r>
      <w:r w:rsidR="005A0C3B" w:rsidRPr="00964007">
        <w:rPr>
          <w:u w:val="none"/>
          <w:vertAlign w:val="superscript"/>
        </w:rPr>
        <w:t>th</w:t>
      </w:r>
      <w:r w:rsidR="005A0C3B" w:rsidRPr="00964007">
        <w:rPr>
          <w:u w:val="none"/>
        </w:rPr>
        <w:t xml:space="preserve"> r</w:t>
      </w:r>
      <w:r w:rsidR="00A427C9" w:rsidRPr="00964007">
        <w:rPr>
          <w:u w:val="none"/>
        </w:rPr>
        <w:t>espondent or any</w:t>
      </w:r>
      <w:r w:rsidR="00467124" w:rsidRPr="00964007">
        <w:rPr>
          <w:u w:val="none"/>
        </w:rPr>
        <w:t xml:space="preserve"> third party, and that the 1</w:t>
      </w:r>
      <w:r w:rsidR="00467124" w:rsidRPr="00964007">
        <w:rPr>
          <w:u w:val="none"/>
          <w:vertAlign w:val="superscript"/>
        </w:rPr>
        <w:t>st</w:t>
      </w:r>
      <w:r w:rsidR="00467124" w:rsidRPr="00964007">
        <w:rPr>
          <w:u w:val="none"/>
        </w:rPr>
        <w:t xml:space="preserve"> </w:t>
      </w:r>
      <w:r w:rsidR="0046422A" w:rsidRPr="00964007">
        <w:rPr>
          <w:u w:val="none"/>
        </w:rPr>
        <w:t xml:space="preserve">and </w:t>
      </w:r>
      <w:r w:rsidR="00467124" w:rsidRPr="00964007">
        <w:rPr>
          <w:u w:val="none"/>
        </w:rPr>
        <w:t>2</w:t>
      </w:r>
      <w:r w:rsidR="00467124" w:rsidRPr="00964007">
        <w:rPr>
          <w:u w:val="none"/>
          <w:vertAlign w:val="superscript"/>
        </w:rPr>
        <w:t>nd</w:t>
      </w:r>
      <w:r w:rsidR="00467124" w:rsidRPr="00964007">
        <w:rPr>
          <w:u w:val="none"/>
        </w:rPr>
        <w:t xml:space="preserve"> </w:t>
      </w:r>
      <w:r w:rsidR="005A0C3B" w:rsidRPr="00964007">
        <w:rPr>
          <w:u w:val="none"/>
        </w:rPr>
        <w:t>r</w:t>
      </w:r>
      <w:r w:rsidR="0046422A" w:rsidRPr="00964007">
        <w:rPr>
          <w:u w:val="none"/>
        </w:rPr>
        <w:t>espondents be interdicted and prohibited from in any manne</w:t>
      </w:r>
      <w:r w:rsidR="005A0C3B" w:rsidRPr="00964007">
        <w:rPr>
          <w:u w:val="none"/>
        </w:rPr>
        <w:t>r encumbering the</w:t>
      </w:r>
      <w:r w:rsidR="0046422A" w:rsidRPr="00964007">
        <w:rPr>
          <w:u w:val="none"/>
        </w:rPr>
        <w:t xml:space="preserve"> property.</w:t>
      </w:r>
      <w:r w:rsidR="0046422A" w:rsidRPr="00467124">
        <w:rPr>
          <w:rStyle w:val="FootnoteReference"/>
          <w:u w:val="none"/>
        </w:rPr>
        <w:footnoteReference w:id="1"/>
      </w:r>
    </w:p>
    <w:p w14:paraId="7586D4D2" w14:textId="77777777" w:rsidR="002E259F" w:rsidRDefault="002E259F" w:rsidP="00D06413">
      <w:pPr>
        <w:pStyle w:val="ListParagraph"/>
        <w:spacing w:line="480" w:lineRule="auto"/>
        <w:ind w:left="709"/>
        <w:jc w:val="both"/>
        <w:rPr>
          <w:u w:val="none"/>
        </w:rPr>
      </w:pPr>
    </w:p>
    <w:p w14:paraId="509F718D" w14:textId="5D3F7A55" w:rsidR="002E259F" w:rsidRPr="00964007" w:rsidRDefault="00964007" w:rsidP="00964007">
      <w:pPr>
        <w:spacing w:line="480" w:lineRule="auto"/>
        <w:ind w:left="567" w:hanging="567"/>
        <w:jc w:val="both"/>
        <w:rPr>
          <w:u w:val="none"/>
        </w:rPr>
      </w:pPr>
      <w:r w:rsidRPr="005A0C3B">
        <w:rPr>
          <w:u w:val="none"/>
        </w:rPr>
        <w:t>2.</w:t>
      </w:r>
      <w:r w:rsidRPr="005A0C3B">
        <w:rPr>
          <w:u w:val="none"/>
        </w:rPr>
        <w:tab/>
      </w:r>
      <w:r w:rsidR="00BA1A33" w:rsidRPr="00964007">
        <w:rPr>
          <w:u w:val="none"/>
        </w:rPr>
        <w:t>The application is opposed by the 1</w:t>
      </w:r>
      <w:r w:rsidR="00BA1A33" w:rsidRPr="00964007">
        <w:rPr>
          <w:u w:val="none"/>
          <w:vertAlign w:val="superscript"/>
        </w:rPr>
        <w:t>st</w:t>
      </w:r>
      <w:r w:rsidR="00BA1A33" w:rsidRPr="00964007">
        <w:rPr>
          <w:u w:val="none"/>
        </w:rPr>
        <w:t xml:space="preserve"> Respondent </w:t>
      </w:r>
      <w:r w:rsidR="00467124" w:rsidRPr="00964007">
        <w:rPr>
          <w:u w:val="none"/>
        </w:rPr>
        <w:t>(</w:t>
      </w:r>
      <w:r w:rsidR="00BA1A33" w:rsidRPr="00964007">
        <w:rPr>
          <w:u w:val="none"/>
        </w:rPr>
        <w:t>Wraypex</w:t>
      </w:r>
      <w:r w:rsidR="00467124" w:rsidRPr="00964007">
        <w:rPr>
          <w:u w:val="none"/>
        </w:rPr>
        <w:t>)</w:t>
      </w:r>
      <w:r w:rsidR="00BA1A33" w:rsidRPr="00964007">
        <w:rPr>
          <w:u w:val="none"/>
        </w:rPr>
        <w:t xml:space="preserve"> which is presently in business rescue</w:t>
      </w:r>
      <w:r w:rsidR="00467124">
        <w:rPr>
          <w:rStyle w:val="FootnoteReference"/>
          <w:u w:val="none"/>
        </w:rPr>
        <w:footnoteReference w:id="2"/>
      </w:r>
      <w:r w:rsidR="00BA1A33" w:rsidRPr="00964007">
        <w:rPr>
          <w:u w:val="none"/>
        </w:rPr>
        <w:t>, as well as by the 2</w:t>
      </w:r>
      <w:r w:rsidR="00BA1A33" w:rsidRPr="00964007">
        <w:rPr>
          <w:u w:val="none"/>
          <w:vertAlign w:val="superscript"/>
        </w:rPr>
        <w:t>nd</w:t>
      </w:r>
      <w:r w:rsidR="00BA1A33" w:rsidRPr="00964007">
        <w:rPr>
          <w:u w:val="none"/>
        </w:rPr>
        <w:t xml:space="preserve"> Respondent who is </w:t>
      </w:r>
      <w:r w:rsidR="0043781A" w:rsidRPr="00964007">
        <w:rPr>
          <w:u w:val="none"/>
        </w:rPr>
        <w:t>its appointed</w:t>
      </w:r>
      <w:r w:rsidR="00BA1A33" w:rsidRPr="00964007">
        <w:rPr>
          <w:u w:val="none"/>
        </w:rPr>
        <w:t xml:space="preserve"> Business Rescue Practitioner (BRP) and the 3</w:t>
      </w:r>
      <w:r w:rsidR="00BA1A33" w:rsidRPr="00964007">
        <w:rPr>
          <w:u w:val="none"/>
          <w:vertAlign w:val="superscript"/>
        </w:rPr>
        <w:t>rd</w:t>
      </w:r>
      <w:r w:rsidR="004F3513" w:rsidRPr="00964007">
        <w:rPr>
          <w:u w:val="none"/>
        </w:rPr>
        <w:t xml:space="preserve"> Respondent (ABSA</w:t>
      </w:r>
      <w:r w:rsidR="00BA1A33" w:rsidRPr="00964007">
        <w:rPr>
          <w:u w:val="none"/>
        </w:rPr>
        <w:t xml:space="preserve">) who </w:t>
      </w:r>
      <w:r w:rsidR="005A0C3B" w:rsidRPr="00964007">
        <w:rPr>
          <w:u w:val="none"/>
        </w:rPr>
        <w:t xml:space="preserve">hold 2 bonds over the </w:t>
      </w:r>
      <w:r w:rsidR="00BA1A33" w:rsidRPr="00964007">
        <w:rPr>
          <w:u w:val="none"/>
        </w:rPr>
        <w:t>property.</w:t>
      </w:r>
    </w:p>
    <w:p w14:paraId="0FD41268" w14:textId="77777777" w:rsidR="002E259F" w:rsidRDefault="002E259F" w:rsidP="00D06413">
      <w:pPr>
        <w:pStyle w:val="ListParagraph"/>
        <w:spacing w:line="480" w:lineRule="auto"/>
        <w:ind w:left="709"/>
        <w:jc w:val="both"/>
        <w:rPr>
          <w:u w:val="none"/>
        </w:rPr>
      </w:pPr>
    </w:p>
    <w:p w14:paraId="55D2CDA3" w14:textId="6E7A1101" w:rsidR="002E259F" w:rsidRPr="00964007" w:rsidRDefault="00964007" w:rsidP="00964007">
      <w:pPr>
        <w:spacing w:line="480" w:lineRule="auto"/>
        <w:ind w:left="567" w:hanging="567"/>
        <w:jc w:val="both"/>
        <w:rPr>
          <w:u w:val="none"/>
        </w:rPr>
      </w:pPr>
      <w:r>
        <w:rPr>
          <w:u w:val="none"/>
        </w:rPr>
        <w:t>3.</w:t>
      </w:r>
      <w:r>
        <w:rPr>
          <w:u w:val="none"/>
        </w:rPr>
        <w:tab/>
      </w:r>
      <w:r w:rsidR="00E60F23" w:rsidRPr="00964007">
        <w:rPr>
          <w:u w:val="none"/>
        </w:rPr>
        <w:t xml:space="preserve">The parties agreed to certain interim relief following the launch </w:t>
      </w:r>
      <w:r w:rsidR="0043781A" w:rsidRPr="00964007">
        <w:rPr>
          <w:u w:val="none"/>
        </w:rPr>
        <w:t>of the</w:t>
      </w:r>
      <w:r w:rsidR="00E60F23" w:rsidRPr="00964007">
        <w:rPr>
          <w:u w:val="none"/>
        </w:rPr>
        <w:t xml:space="preserve"> urgent application pending the finalisation of the merits. That order has remained extant pending this judgment.</w:t>
      </w:r>
    </w:p>
    <w:p w14:paraId="05A8AE17" w14:textId="77777777" w:rsidR="005A0C3B" w:rsidRPr="005A0C3B" w:rsidRDefault="005A0C3B" w:rsidP="005A0C3B">
      <w:pPr>
        <w:pStyle w:val="ListParagraph"/>
        <w:rPr>
          <w:u w:val="none"/>
        </w:rPr>
      </w:pPr>
    </w:p>
    <w:p w14:paraId="2308D809" w14:textId="77777777" w:rsidR="005A0C3B" w:rsidRPr="005A0C3B" w:rsidRDefault="005A0C3B" w:rsidP="005A0C3B">
      <w:pPr>
        <w:pStyle w:val="ListParagraph"/>
        <w:spacing w:line="480" w:lineRule="auto"/>
        <w:jc w:val="both"/>
        <w:rPr>
          <w:u w:val="none"/>
        </w:rPr>
      </w:pPr>
    </w:p>
    <w:p w14:paraId="1327C65A" w14:textId="77777777" w:rsidR="009424E2" w:rsidRPr="009424E2" w:rsidRDefault="009424E2" w:rsidP="00D06413">
      <w:pPr>
        <w:spacing w:line="480" w:lineRule="auto"/>
        <w:jc w:val="both"/>
        <w:rPr>
          <w:b/>
        </w:rPr>
      </w:pPr>
      <w:r w:rsidRPr="009424E2">
        <w:rPr>
          <w:b/>
        </w:rPr>
        <w:lastRenderedPageBreak/>
        <w:t>THE ISSUE</w:t>
      </w:r>
    </w:p>
    <w:p w14:paraId="77F11FE4" w14:textId="7D159443" w:rsidR="002E259F" w:rsidRPr="00964007" w:rsidRDefault="00964007" w:rsidP="00964007">
      <w:pPr>
        <w:spacing w:line="480" w:lineRule="auto"/>
        <w:ind w:left="567" w:hanging="567"/>
        <w:jc w:val="both"/>
        <w:rPr>
          <w:u w:val="none"/>
        </w:rPr>
      </w:pPr>
      <w:r>
        <w:rPr>
          <w:u w:val="none"/>
        </w:rPr>
        <w:t>4.</w:t>
      </w:r>
      <w:r>
        <w:rPr>
          <w:u w:val="none"/>
        </w:rPr>
        <w:tab/>
      </w:r>
      <w:r w:rsidR="009424E2" w:rsidRPr="00964007">
        <w:rPr>
          <w:u w:val="none"/>
        </w:rPr>
        <w:t>The nub of the issue is whether</w:t>
      </w:r>
      <w:r w:rsidR="0043781A" w:rsidRPr="00964007">
        <w:rPr>
          <w:u w:val="none"/>
        </w:rPr>
        <w:t>,</w:t>
      </w:r>
      <w:r w:rsidR="009424E2" w:rsidRPr="00964007">
        <w:rPr>
          <w:u w:val="none"/>
        </w:rPr>
        <w:t xml:space="preserve"> if the respondents are correct and the </w:t>
      </w:r>
      <w:r w:rsidR="005A0C3B" w:rsidRPr="00964007">
        <w:rPr>
          <w:u w:val="none"/>
        </w:rPr>
        <w:t xml:space="preserve">Trust </w:t>
      </w:r>
      <w:r w:rsidR="009424E2" w:rsidRPr="00964007">
        <w:rPr>
          <w:u w:val="none"/>
        </w:rPr>
        <w:t xml:space="preserve">has no </w:t>
      </w:r>
      <w:r w:rsidR="0043781A" w:rsidRPr="00964007">
        <w:rPr>
          <w:u w:val="none"/>
        </w:rPr>
        <w:t>existing</w:t>
      </w:r>
      <w:r w:rsidR="009424E2" w:rsidRPr="00964007">
        <w:rPr>
          <w:u w:val="none"/>
        </w:rPr>
        <w:t xml:space="preserve"> right </w:t>
      </w:r>
      <w:r w:rsidR="00AC28CE" w:rsidRPr="00964007">
        <w:rPr>
          <w:u w:val="none"/>
        </w:rPr>
        <w:t>in the property</w:t>
      </w:r>
      <w:r w:rsidR="0043781A" w:rsidRPr="00964007">
        <w:rPr>
          <w:u w:val="none"/>
        </w:rPr>
        <w:t>,</w:t>
      </w:r>
      <w:r w:rsidR="00AC28CE" w:rsidRPr="00964007">
        <w:rPr>
          <w:u w:val="none"/>
        </w:rPr>
        <w:t xml:space="preserve"> an interdict can be granted to preserve it for purposes of the pending action</w:t>
      </w:r>
      <w:r w:rsidR="00911AFC" w:rsidRPr="00964007">
        <w:rPr>
          <w:u w:val="none"/>
        </w:rPr>
        <w:t>.</w:t>
      </w:r>
    </w:p>
    <w:p w14:paraId="78616CAE" w14:textId="77777777" w:rsidR="0043781A" w:rsidRDefault="0043781A" w:rsidP="00D06413">
      <w:pPr>
        <w:spacing w:line="480" w:lineRule="auto"/>
        <w:jc w:val="both"/>
        <w:rPr>
          <w:u w:val="none"/>
        </w:rPr>
      </w:pPr>
    </w:p>
    <w:p w14:paraId="118E47DF" w14:textId="77777777" w:rsidR="00911AFC" w:rsidRPr="00911AFC" w:rsidRDefault="00911AFC" w:rsidP="00D06413">
      <w:pPr>
        <w:spacing w:line="480" w:lineRule="auto"/>
        <w:jc w:val="both"/>
        <w:rPr>
          <w:b/>
        </w:rPr>
      </w:pPr>
      <w:r w:rsidRPr="00911AFC">
        <w:rPr>
          <w:b/>
        </w:rPr>
        <w:t>THE FACTS</w:t>
      </w:r>
    </w:p>
    <w:p w14:paraId="1A67F0AF" w14:textId="27BB4DDA" w:rsidR="002E259F" w:rsidRPr="00964007" w:rsidRDefault="00964007" w:rsidP="00964007">
      <w:pPr>
        <w:spacing w:line="480" w:lineRule="auto"/>
        <w:ind w:left="567" w:hanging="567"/>
        <w:jc w:val="both"/>
        <w:rPr>
          <w:u w:val="none"/>
        </w:rPr>
      </w:pPr>
      <w:r w:rsidRPr="005A0C3B">
        <w:rPr>
          <w:u w:val="none"/>
        </w:rPr>
        <w:t>5.</w:t>
      </w:r>
      <w:r w:rsidRPr="005A0C3B">
        <w:rPr>
          <w:u w:val="none"/>
        </w:rPr>
        <w:tab/>
      </w:r>
      <w:r w:rsidR="00911AFC" w:rsidRPr="00964007">
        <w:rPr>
          <w:u w:val="none"/>
        </w:rPr>
        <w:t>The Trust was the registered owner of the property descri</w:t>
      </w:r>
      <w:r w:rsidR="0043781A" w:rsidRPr="00964007">
        <w:rPr>
          <w:u w:val="none"/>
        </w:rPr>
        <w:t xml:space="preserve">bed in Title Deed T49037/95 as </w:t>
      </w:r>
      <w:r w:rsidR="00911AFC" w:rsidRPr="00964007">
        <w:rPr>
          <w:u w:val="none"/>
        </w:rPr>
        <w:t>Portion 11 (a Portion of Portion 10) of the Farm Lindley No 528, Registration Division JQ, Province of Gau</w:t>
      </w:r>
      <w:r w:rsidR="005A0C3B" w:rsidRPr="00964007">
        <w:rPr>
          <w:u w:val="none"/>
        </w:rPr>
        <w:t>teng, measuring 73,4360 ha</w:t>
      </w:r>
      <w:r w:rsidR="00911AFC" w:rsidRPr="00964007">
        <w:rPr>
          <w:u w:val="none"/>
        </w:rPr>
        <w:t>.</w:t>
      </w:r>
    </w:p>
    <w:p w14:paraId="208925AB" w14:textId="77777777" w:rsidR="002E259F" w:rsidRDefault="002E259F" w:rsidP="00D06413">
      <w:pPr>
        <w:pStyle w:val="ListParagraph"/>
        <w:spacing w:line="480" w:lineRule="auto"/>
        <w:ind w:left="709"/>
        <w:jc w:val="both"/>
        <w:rPr>
          <w:u w:val="none"/>
        </w:rPr>
      </w:pPr>
    </w:p>
    <w:p w14:paraId="4876DE86" w14:textId="7DB11604" w:rsidR="00D06413" w:rsidRPr="00964007" w:rsidRDefault="00964007" w:rsidP="00964007">
      <w:pPr>
        <w:spacing w:line="480" w:lineRule="auto"/>
        <w:ind w:left="567" w:hanging="567"/>
        <w:jc w:val="both"/>
        <w:rPr>
          <w:u w:val="none"/>
        </w:rPr>
      </w:pPr>
      <w:r w:rsidRPr="005A0C3B">
        <w:rPr>
          <w:u w:val="none"/>
        </w:rPr>
        <w:t>6.</w:t>
      </w:r>
      <w:r w:rsidRPr="005A0C3B">
        <w:rPr>
          <w:u w:val="none"/>
        </w:rPr>
        <w:tab/>
      </w:r>
      <w:r w:rsidR="00D06413" w:rsidRPr="00964007">
        <w:rPr>
          <w:u w:val="none"/>
        </w:rPr>
        <w:t>On 29 January 2007 the Trust and Wraypex entered into a Written Deed of Sale in terms of which the property sold was described as:</w:t>
      </w:r>
    </w:p>
    <w:p w14:paraId="13438683" w14:textId="77777777" w:rsidR="002E259F" w:rsidRPr="00091161" w:rsidRDefault="00D06413" w:rsidP="00204CFE">
      <w:pPr>
        <w:spacing w:line="480" w:lineRule="auto"/>
        <w:ind w:left="567"/>
        <w:jc w:val="both"/>
        <w:rPr>
          <w:i/>
          <w:u w:val="none"/>
        </w:rPr>
      </w:pPr>
      <w:r w:rsidRPr="00091161">
        <w:rPr>
          <w:i/>
          <w:u w:val="none"/>
        </w:rPr>
        <w:t>“Approximately 33 hectares of Portion 147 of the Farm Lindley No 528</w:t>
      </w:r>
      <w:r w:rsidR="00091161" w:rsidRPr="00091161">
        <w:rPr>
          <w:i/>
          <w:u w:val="none"/>
        </w:rPr>
        <w:t xml:space="preserve"> JQ registered under title deed number: T49337/1995 in extant of 82,5286 hectares per the subdivision diagram to be annexed hereto as Annexure “</w:t>
      </w:r>
      <w:r w:rsidR="0011624A" w:rsidRPr="00091161">
        <w:rPr>
          <w:i/>
          <w:u w:val="none"/>
        </w:rPr>
        <w:t>A” …</w:t>
      </w:r>
      <w:r w:rsidR="00091161" w:rsidRPr="00091161">
        <w:rPr>
          <w:i/>
          <w:u w:val="none"/>
        </w:rPr>
        <w:t>”</w:t>
      </w:r>
    </w:p>
    <w:p w14:paraId="208BFC2D" w14:textId="77777777" w:rsidR="0043781A" w:rsidRDefault="0043781A" w:rsidP="0043781A">
      <w:pPr>
        <w:spacing w:line="480" w:lineRule="auto"/>
        <w:jc w:val="both"/>
        <w:rPr>
          <w:u w:val="none"/>
        </w:rPr>
      </w:pPr>
    </w:p>
    <w:p w14:paraId="355600BF" w14:textId="33425F4F" w:rsidR="002E259F" w:rsidRPr="00964007" w:rsidRDefault="00964007" w:rsidP="00964007">
      <w:pPr>
        <w:spacing w:line="480" w:lineRule="auto"/>
        <w:ind w:left="567" w:hanging="567"/>
        <w:jc w:val="both"/>
        <w:rPr>
          <w:u w:val="none"/>
        </w:rPr>
      </w:pPr>
      <w:r w:rsidRPr="005A0C3B">
        <w:rPr>
          <w:u w:val="none"/>
        </w:rPr>
        <w:t>7.</w:t>
      </w:r>
      <w:r w:rsidRPr="005A0C3B">
        <w:rPr>
          <w:u w:val="none"/>
        </w:rPr>
        <w:tab/>
      </w:r>
      <w:r w:rsidR="00091161" w:rsidRPr="00964007">
        <w:rPr>
          <w:u w:val="none"/>
        </w:rPr>
        <w:t xml:space="preserve">The purchase price of the above 33 hectares was R3,2 million and the Deed of Sale also made provision that: </w:t>
      </w:r>
    </w:p>
    <w:p w14:paraId="3F677448" w14:textId="5767D453" w:rsidR="002E259F" w:rsidRPr="00964007" w:rsidRDefault="00964007" w:rsidP="00964007">
      <w:pPr>
        <w:spacing w:line="480" w:lineRule="auto"/>
        <w:ind w:left="1418" w:hanging="851"/>
        <w:jc w:val="both"/>
        <w:rPr>
          <w:u w:val="none"/>
        </w:rPr>
      </w:pPr>
      <w:r>
        <w:rPr>
          <w:u w:val="none"/>
        </w:rPr>
        <w:t>7.1</w:t>
      </w:r>
      <w:r>
        <w:rPr>
          <w:u w:val="none"/>
        </w:rPr>
        <w:tab/>
      </w:r>
      <w:r w:rsidR="00091161" w:rsidRPr="00964007">
        <w:rPr>
          <w:u w:val="none"/>
        </w:rPr>
        <w:t>the property “</w:t>
      </w:r>
      <w:r w:rsidR="00091161" w:rsidRPr="00964007">
        <w:rPr>
          <w:i/>
          <w:u w:val="none"/>
        </w:rPr>
        <w:t>shall be sub-divided as is agreed between the parties to give the Purchaser the portion of the property as indicated on Annexure ‘A’ hereto</w:t>
      </w:r>
      <w:r w:rsidR="00091161" w:rsidRPr="00964007">
        <w:rPr>
          <w:u w:val="none"/>
        </w:rPr>
        <w:t xml:space="preserve">”; </w:t>
      </w:r>
      <w:r w:rsidR="00293368" w:rsidRPr="00964007">
        <w:rPr>
          <w:u w:val="none"/>
        </w:rPr>
        <w:t>and</w:t>
      </w:r>
    </w:p>
    <w:p w14:paraId="7EE4C046" w14:textId="00C79D54" w:rsidR="00293368" w:rsidRPr="00964007" w:rsidRDefault="00964007" w:rsidP="00964007">
      <w:pPr>
        <w:spacing w:line="480" w:lineRule="auto"/>
        <w:ind w:left="1418" w:hanging="851"/>
        <w:jc w:val="both"/>
        <w:rPr>
          <w:u w:val="none"/>
        </w:rPr>
      </w:pPr>
      <w:r>
        <w:rPr>
          <w:u w:val="none"/>
        </w:rPr>
        <w:t>7.2</w:t>
      </w:r>
      <w:r>
        <w:rPr>
          <w:u w:val="none"/>
        </w:rPr>
        <w:tab/>
      </w:r>
      <w:r w:rsidR="00293368" w:rsidRPr="00964007">
        <w:rPr>
          <w:u w:val="none"/>
        </w:rPr>
        <w:t>the deed of sale was subject to the sub-division of the property;</w:t>
      </w:r>
    </w:p>
    <w:p w14:paraId="28B140A2" w14:textId="363E2391" w:rsidR="00293368" w:rsidRPr="00964007" w:rsidRDefault="00964007" w:rsidP="00964007">
      <w:pPr>
        <w:spacing w:line="480" w:lineRule="auto"/>
        <w:ind w:left="1418" w:hanging="851"/>
        <w:jc w:val="both"/>
        <w:rPr>
          <w:u w:val="none"/>
        </w:rPr>
      </w:pPr>
      <w:r>
        <w:rPr>
          <w:u w:val="none"/>
        </w:rPr>
        <w:t>7.3</w:t>
      </w:r>
      <w:r>
        <w:rPr>
          <w:u w:val="none"/>
        </w:rPr>
        <w:tab/>
      </w:r>
      <w:r w:rsidR="00293368" w:rsidRPr="00964007">
        <w:rPr>
          <w:u w:val="none"/>
        </w:rPr>
        <w:t>the property would be transferred “</w:t>
      </w:r>
      <w:r w:rsidR="00293368" w:rsidRPr="00964007">
        <w:rPr>
          <w:i/>
          <w:u w:val="none"/>
        </w:rPr>
        <w:t>as soon as possible after the subdivision of the property is complete</w:t>
      </w:r>
      <w:r w:rsidR="00293368" w:rsidRPr="00964007">
        <w:rPr>
          <w:u w:val="none"/>
        </w:rPr>
        <w:t>”.</w:t>
      </w:r>
    </w:p>
    <w:p w14:paraId="33093C6D" w14:textId="77777777" w:rsidR="0025717F" w:rsidRDefault="0025717F" w:rsidP="0025717F">
      <w:pPr>
        <w:pStyle w:val="ListParagraph"/>
        <w:spacing w:line="480" w:lineRule="auto"/>
        <w:ind w:left="1418"/>
        <w:jc w:val="both"/>
        <w:rPr>
          <w:u w:val="none"/>
        </w:rPr>
      </w:pPr>
    </w:p>
    <w:p w14:paraId="045FF692" w14:textId="2E867ABA" w:rsidR="002E259F" w:rsidRPr="00964007" w:rsidRDefault="00964007" w:rsidP="00964007">
      <w:pPr>
        <w:spacing w:line="480" w:lineRule="auto"/>
        <w:ind w:left="709" w:hanging="709"/>
        <w:jc w:val="both"/>
        <w:rPr>
          <w:u w:val="none"/>
        </w:rPr>
      </w:pPr>
      <w:r>
        <w:rPr>
          <w:u w:val="none"/>
        </w:rPr>
        <w:lastRenderedPageBreak/>
        <w:t>8.</w:t>
      </w:r>
      <w:r>
        <w:rPr>
          <w:u w:val="none"/>
        </w:rPr>
        <w:tab/>
      </w:r>
      <w:r w:rsidR="0025717F" w:rsidRPr="00964007">
        <w:rPr>
          <w:u w:val="none"/>
        </w:rPr>
        <w:t>It bears mentioning that there was no Annexure ‘A’ attached to the agreement.</w:t>
      </w:r>
    </w:p>
    <w:p w14:paraId="7082F1C3" w14:textId="77777777" w:rsidR="002E259F" w:rsidRDefault="002E259F" w:rsidP="00D06413">
      <w:pPr>
        <w:pStyle w:val="ListParagraph"/>
        <w:spacing w:line="480" w:lineRule="auto"/>
        <w:ind w:left="709"/>
        <w:jc w:val="both"/>
        <w:rPr>
          <w:u w:val="none"/>
        </w:rPr>
      </w:pPr>
    </w:p>
    <w:p w14:paraId="6A81C4EA" w14:textId="16671286" w:rsidR="002E259F" w:rsidRPr="00964007" w:rsidRDefault="00964007" w:rsidP="00964007">
      <w:pPr>
        <w:spacing w:line="480" w:lineRule="auto"/>
        <w:ind w:left="709" w:hanging="709"/>
        <w:jc w:val="both"/>
        <w:rPr>
          <w:u w:val="none"/>
        </w:rPr>
      </w:pPr>
      <w:r>
        <w:rPr>
          <w:u w:val="none"/>
        </w:rPr>
        <w:t>9.</w:t>
      </w:r>
      <w:r>
        <w:rPr>
          <w:u w:val="none"/>
        </w:rPr>
        <w:tab/>
      </w:r>
      <w:r w:rsidR="0043781A" w:rsidRPr="00964007">
        <w:rPr>
          <w:u w:val="none"/>
        </w:rPr>
        <w:t>As the property</w:t>
      </w:r>
      <w:r w:rsidR="009012B7" w:rsidRPr="00964007">
        <w:rPr>
          <w:u w:val="none"/>
        </w:rPr>
        <w:t xml:space="preserve"> </w:t>
      </w:r>
      <w:r w:rsidR="005A0C3B" w:rsidRPr="00964007">
        <w:rPr>
          <w:u w:val="none"/>
        </w:rPr>
        <w:t xml:space="preserve">is </w:t>
      </w:r>
      <w:r w:rsidR="009012B7" w:rsidRPr="00964007">
        <w:rPr>
          <w:u w:val="none"/>
        </w:rPr>
        <w:t xml:space="preserve">subject to both the Alienation of Land Act 68 of 1981 </w:t>
      </w:r>
      <w:r w:rsidR="0043781A" w:rsidRPr="00964007">
        <w:rPr>
          <w:u w:val="none"/>
        </w:rPr>
        <w:t xml:space="preserve">(ALA) </w:t>
      </w:r>
      <w:r w:rsidR="009012B7" w:rsidRPr="00964007">
        <w:rPr>
          <w:u w:val="none"/>
        </w:rPr>
        <w:t>and the Subdivision</w:t>
      </w:r>
      <w:r w:rsidR="0043781A" w:rsidRPr="00964007">
        <w:rPr>
          <w:u w:val="none"/>
        </w:rPr>
        <w:t xml:space="preserve"> of Land Act 70 of 1970 (SLA</w:t>
      </w:r>
      <w:r w:rsidR="009012B7" w:rsidRPr="00964007">
        <w:rPr>
          <w:u w:val="none"/>
        </w:rPr>
        <w:t>)</w:t>
      </w:r>
      <w:r w:rsidR="00C45D47" w:rsidRPr="00964007">
        <w:rPr>
          <w:u w:val="none"/>
        </w:rPr>
        <w:t xml:space="preserve"> it became apparent when attemp</w:t>
      </w:r>
      <w:r w:rsidR="005A0C3B" w:rsidRPr="00964007">
        <w:rPr>
          <w:u w:val="none"/>
        </w:rPr>
        <w:t>ting to register the 33 ha</w:t>
      </w:r>
      <w:r w:rsidR="00C45D47" w:rsidRPr="00964007">
        <w:rPr>
          <w:u w:val="none"/>
        </w:rPr>
        <w:t xml:space="preserve"> into Wraypex</w:t>
      </w:r>
      <w:r w:rsidR="0043781A" w:rsidRPr="00964007">
        <w:rPr>
          <w:u w:val="none"/>
        </w:rPr>
        <w:t>’s</w:t>
      </w:r>
      <w:r w:rsidR="00C45D47" w:rsidRPr="00964007">
        <w:rPr>
          <w:u w:val="none"/>
        </w:rPr>
        <w:t xml:space="preserve"> name, that this could not be achieved as: </w:t>
      </w:r>
    </w:p>
    <w:p w14:paraId="0F6C479C" w14:textId="1E623B7A" w:rsidR="00C45D47" w:rsidRPr="00964007" w:rsidRDefault="00964007" w:rsidP="00964007">
      <w:pPr>
        <w:spacing w:line="480" w:lineRule="auto"/>
        <w:ind w:left="1429" w:hanging="720"/>
        <w:jc w:val="both"/>
        <w:rPr>
          <w:u w:val="none"/>
        </w:rPr>
      </w:pPr>
      <w:r>
        <w:rPr>
          <w:u w:val="none"/>
        </w:rPr>
        <w:t>9.1</w:t>
      </w:r>
      <w:r>
        <w:rPr>
          <w:u w:val="none"/>
        </w:rPr>
        <w:tab/>
      </w:r>
      <w:r w:rsidR="0043781A" w:rsidRPr="00964007">
        <w:rPr>
          <w:u w:val="none"/>
        </w:rPr>
        <w:t>the property description</w:t>
      </w:r>
      <w:r w:rsidR="00603D0C" w:rsidRPr="00964007">
        <w:rPr>
          <w:u w:val="none"/>
        </w:rPr>
        <w:t xml:space="preserve"> in the Deed of Sale was incorrect; and</w:t>
      </w:r>
    </w:p>
    <w:p w14:paraId="4803F627" w14:textId="0D5B9BC1" w:rsidR="00603D0C" w:rsidRPr="00964007" w:rsidRDefault="00964007" w:rsidP="00964007">
      <w:pPr>
        <w:spacing w:line="480" w:lineRule="auto"/>
        <w:ind w:left="1429" w:hanging="720"/>
        <w:jc w:val="both"/>
        <w:rPr>
          <w:u w:val="none"/>
        </w:rPr>
      </w:pPr>
      <w:r w:rsidRPr="00C45D47">
        <w:rPr>
          <w:u w:val="none"/>
        </w:rPr>
        <w:t>9.2</w:t>
      </w:r>
      <w:r w:rsidRPr="00C45D47">
        <w:rPr>
          <w:u w:val="none"/>
        </w:rPr>
        <w:tab/>
      </w:r>
      <w:r w:rsidR="00A05EC8" w:rsidRPr="00964007">
        <w:rPr>
          <w:u w:val="none"/>
        </w:rPr>
        <w:t xml:space="preserve">subdivision had </w:t>
      </w:r>
      <w:r w:rsidR="0043781A" w:rsidRPr="00964007">
        <w:rPr>
          <w:u w:val="none"/>
        </w:rPr>
        <w:t xml:space="preserve">not </w:t>
      </w:r>
      <w:r w:rsidR="00A05EC8" w:rsidRPr="00964007">
        <w:rPr>
          <w:u w:val="none"/>
        </w:rPr>
        <w:t>taken place.</w:t>
      </w:r>
    </w:p>
    <w:p w14:paraId="5B06FEC6" w14:textId="77777777" w:rsidR="002E259F" w:rsidRDefault="002E259F" w:rsidP="00D06413">
      <w:pPr>
        <w:pStyle w:val="ListParagraph"/>
        <w:spacing w:line="480" w:lineRule="auto"/>
        <w:ind w:left="709"/>
        <w:jc w:val="both"/>
        <w:rPr>
          <w:u w:val="none"/>
        </w:rPr>
      </w:pPr>
    </w:p>
    <w:p w14:paraId="3668CC25" w14:textId="1AD2EC4F" w:rsidR="002E259F" w:rsidRPr="00964007" w:rsidRDefault="00964007" w:rsidP="00964007">
      <w:pPr>
        <w:spacing w:line="480" w:lineRule="auto"/>
        <w:ind w:left="709" w:hanging="709"/>
        <w:jc w:val="both"/>
        <w:rPr>
          <w:u w:val="none"/>
        </w:rPr>
      </w:pPr>
      <w:r>
        <w:rPr>
          <w:u w:val="none"/>
        </w:rPr>
        <w:t>10.</w:t>
      </w:r>
      <w:r>
        <w:rPr>
          <w:u w:val="none"/>
        </w:rPr>
        <w:tab/>
      </w:r>
      <w:r w:rsidR="0043781A" w:rsidRPr="00964007">
        <w:rPr>
          <w:u w:val="none"/>
        </w:rPr>
        <w:t xml:space="preserve">As a result, </w:t>
      </w:r>
      <w:r w:rsidR="00221B1D" w:rsidRPr="00964007">
        <w:rPr>
          <w:u w:val="none"/>
        </w:rPr>
        <w:t xml:space="preserve">the parties then concluded </w:t>
      </w:r>
      <w:r w:rsidR="0074058A" w:rsidRPr="00964007">
        <w:rPr>
          <w:u w:val="none"/>
        </w:rPr>
        <w:t>an A</w:t>
      </w:r>
      <w:r w:rsidR="00181AF8" w:rsidRPr="00964007">
        <w:rPr>
          <w:u w:val="none"/>
        </w:rPr>
        <w:t xml:space="preserve">ddendum to </w:t>
      </w:r>
      <w:r w:rsidR="0043781A" w:rsidRPr="00964007">
        <w:rPr>
          <w:u w:val="none"/>
        </w:rPr>
        <w:t>the Deed of Sale (the addendum)</w:t>
      </w:r>
      <w:r w:rsidR="005A0C3B" w:rsidRPr="00964007">
        <w:rPr>
          <w:u w:val="none"/>
        </w:rPr>
        <w:t xml:space="preserve"> on 2 September 2008</w:t>
      </w:r>
      <w:r w:rsidR="0074058A" w:rsidRPr="00964007">
        <w:rPr>
          <w:u w:val="none"/>
        </w:rPr>
        <w:t xml:space="preserve"> </w:t>
      </w:r>
      <w:r w:rsidR="0043781A" w:rsidRPr="00964007">
        <w:rPr>
          <w:u w:val="none"/>
        </w:rPr>
        <w:t xml:space="preserve">in an attempt to cure these issues. </w:t>
      </w:r>
      <w:r w:rsidR="0074058A" w:rsidRPr="00964007">
        <w:rPr>
          <w:u w:val="none"/>
        </w:rPr>
        <w:t>According to the A</w:t>
      </w:r>
      <w:r w:rsidR="00181AF8" w:rsidRPr="00964007">
        <w:rPr>
          <w:u w:val="none"/>
        </w:rPr>
        <w:t>ddendum:</w:t>
      </w:r>
    </w:p>
    <w:p w14:paraId="6D6C7597" w14:textId="77777777" w:rsidR="00181AF8" w:rsidRPr="00A063D4" w:rsidRDefault="00CF445A" w:rsidP="00181AF8">
      <w:pPr>
        <w:pStyle w:val="ListParagraph"/>
        <w:spacing w:line="480" w:lineRule="auto"/>
        <w:ind w:left="709"/>
        <w:jc w:val="both"/>
        <w:rPr>
          <w:i/>
          <w:u w:val="none"/>
        </w:rPr>
      </w:pPr>
      <w:r w:rsidRPr="00A063D4">
        <w:rPr>
          <w:i/>
          <w:u w:val="none"/>
        </w:rPr>
        <w:t>“The parties as set out above, entered into a sales agreement on 29 JANUARY 2007 at FOURWAYS (“the Agreement”).</w:t>
      </w:r>
    </w:p>
    <w:p w14:paraId="74E80D00" w14:textId="77777777" w:rsidR="00CF445A" w:rsidRPr="00A063D4" w:rsidRDefault="00CF445A" w:rsidP="00181AF8">
      <w:pPr>
        <w:pStyle w:val="ListParagraph"/>
        <w:spacing w:line="480" w:lineRule="auto"/>
        <w:ind w:left="709"/>
        <w:jc w:val="both"/>
        <w:rPr>
          <w:i/>
          <w:u w:val="none"/>
        </w:rPr>
      </w:pPr>
      <w:r w:rsidRPr="00A063D4">
        <w:rPr>
          <w:i/>
          <w:u w:val="none"/>
        </w:rPr>
        <w:t>WHEREAS the purchaser purchased the property described above on the Standard terms and conditions as set out in the Agreement,</w:t>
      </w:r>
    </w:p>
    <w:p w14:paraId="0547AF9E" w14:textId="77777777" w:rsidR="00CF445A" w:rsidRPr="00A063D4" w:rsidRDefault="00CF445A" w:rsidP="00181AF8">
      <w:pPr>
        <w:pStyle w:val="ListParagraph"/>
        <w:spacing w:line="480" w:lineRule="auto"/>
        <w:ind w:left="709"/>
        <w:jc w:val="both"/>
        <w:rPr>
          <w:i/>
          <w:u w:val="none"/>
        </w:rPr>
      </w:pPr>
      <w:r w:rsidRPr="00A063D4">
        <w:rPr>
          <w:i/>
          <w:u w:val="none"/>
        </w:rPr>
        <w:t>AND WHEREAS Portion 147 of the Farm Lindley No 528 does not exist due to the property not having been Consolidated, it is now mutually agreed that the property description will be amended to read as PORTION 11 (a portion of Portion 10) OF THE FARM LINDLEY NO 528.</w:t>
      </w:r>
    </w:p>
    <w:p w14:paraId="2A28E231" w14:textId="77777777" w:rsidR="00F75855" w:rsidRPr="00A063D4" w:rsidRDefault="00A063D4" w:rsidP="00181AF8">
      <w:pPr>
        <w:pStyle w:val="ListParagraph"/>
        <w:spacing w:line="480" w:lineRule="auto"/>
        <w:ind w:left="709"/>
        <w:jc w:val="both"/>
        <w:rPr>
          <w:i/>
          <w:u w:val="none"/>
        </w:rPr>
      </w:pPr>
      <w:r w:rsidRPr="00A063D4">
        <w:rPr>
          <w:i/>
          <w:u w:val="none"/>
        </w:rPr>
        <w:t>FURTHERMORE</w:t>
      </w:r>
      <w:r w:rsidR="00F75855" w:rsidRPr="00A063D4">
        <w:rPr>
          <w:i/>
          <w:u w:val="none"/>
        </w:rPr>
        <w:t xml:space="preserve"> the parties agree that clause 4 and clause 8.1 be deleted in its entirety to ensure that the Agreement is non suspensive in regard to the sub-division, and agree to the substitution of clause 4 with the following</w:t>
      </w:r>
      <w:r w:rsidR="00FF2180" w:rsidRPr="00A063D4">
        <w:rPr>
          <w:i/>
          <w:u w:val="none"/>
        </w:rPr>
        <w:t>:</w:t>
      </w:r>
    </w:p>
    <w:p w14:paraId="7D7A4890" w14:textId="77777777" w:rsidR="00FF2180" w:rsidRPr="00A063D4" w:rsidRDefault="00FF2180" w:rsidP="00181AF8">
      <w:pPr>
        <w:pStyle w:val="ListParagraph"/>
        <w:spacing w:line="480" w:lineRule="auto"/>
        <w:ind w:left="709"/>
        <w:jc w:val="both"/>
        <w:rPr>
          <w:i/>
          <w:u w:val="none"/>
        </w:rPr>
      </w:pPr>
      <w:r w:rsidRPr="00A063D4">
        <w:rPr>
          <w:i/>
          <w:u w:val="none"/>
        </w:rPr>
        <w:lastRenderedPageBreak/>
        <w:t>The Purchaser agrees and undertakes to transfer A PTN OF PTN 11 OF THE FARM LINDLEY NO 528 bac</w:t>
      </w:r>
      <w:r w:rsidR="00E630A3" w:rsidRPr="00A063D4">
        <w:rPr>
          <w:i/>
          <w:u w:val="none"/>
        </w:rPr>
        <w:t>k to the Seller after date of transfer and upon finalisation of the Sub-Divisional Diagrams.</w:t>
      </w:r>
    </w:p>
    <w:p w14:paraId="573EC98D" w14:textId="77777777" w:rsidR="00E630A3" w:rsidRPr="00A063D4" w:rsidRDefault="00E630A3" w:rsidP="00181AF8">
      <w:pPr>
        <w:pStyle w:val="ListParagraph"/>
        <w:spacing w:line="480" w:lineRule="auto"/>
        <w:ind w:left="709"/>
        <w:jc w:val="both"/>
        <w:rPr>
          <w:i/>
          <w:u w:val="none"/>
        </w:rPr>
      </w:pPr>
      <w:r w:rsidRPr="00A063D4">
        <w:rPr>
          <w:i/>
          <w:u w:val="none"/>
        </w:rPr>
        <w:t>The parties record and agree that they will remain bound by the remainder of the terms and conditions of the agreement save only for the amendments dealt with above.”</w:t>
      </w:r>
    </w:p>
    <w:p w14:paraId="1EC70F33" w14:textId="77777777" w:rsidR="002E259F" w:rsidRDefault="002E259F" w:rsidP="00D06413">
      <w:pPr>
        <w:pStyle w:val="ListParagraph"/>
        <w:spacing w:line="480" w:lineRule="auto"/>
        <w:ind w:left="709"/>
        <w:jc w:val="both"/>
        <w:rPr>
          <w:u w:val="none"/>
        </w:rPr>
      </w:pPr>
    </w:p>
    <w:p w14:paraId="559EDD5C" w14:textId="685939AC" w:rsidR="002E259F" w:rsidRPr="00964007" w:rsidRDefault="00964007" w:rsidP="00964007">
      <w:pPr>
        <w:spacing w:line="480" w:lineRule="auto"/>
        <w:ind w:left="709" w:hanging="709"/>
        <w:jc w:val="both"/>
        <w:rPr>
          <w:u w:val="none"/>
        </w:rPr>
      </w:pPr>
      <w:r>
        <w:rPr>
          <w:u w:val="none"/>
        </w:rPr>
        <w:t>11.</w:t>
      </w:r>
      <w:r>
        <w:rPr>
          <w:u w:val="none"/>
        </w:rPr>
        <w:tab/>
      </w:r>
      <w:r w:rsidR="0043781A" w:rsidRPr="00964007">
        <w:rPr>
          <w:u w:val="none"/>
        </w:rPr>
        <w:t>But</w:t>
      </w:r>
      <w:r w:rsidR="00A063D4" w:rsidRPr="00964007">
        <w:rPr>
          <w:u w:val="none"/>
        </w:rPr>
        <w:t xml:space="preserve"> </w:t>
      </w:r>
      <w:r w:rsidR="004758A1" w:rsidRPr="00964007">
        <w:rPr>
          <w:u w:val="none"/>
        </w:rPr>
        <w:t>Wraypex was busy with Blair Atho</w:t>
      </w:r>
      <w:r w:rsidR="00A063D4" w:rsidRPr="00964007">
        <w:rPr>
          <w:u w:val="none"/>
        </w:rPr>
        <w:t>l Gol</w:t>
      </w:r>
      <w:r w:rsidR="0043781A" w:rsidRPr="00964007">
        <w:rPr>
          <w:u w:val="none"/>
        </w:rPr>
        <w:t>f</w:t>
      </w:r>
      <w:r w:rsidR="00A063D4" w:rsidRPr="00964007">
        <w:rPr>
          <w:u w:val="none"/>
        </w:rPr>
        <w:t xml:space="preserve"> Estate Development and</w:t>
      </w:r>
      <w:r w:rsidR="0043781A" w:rsidRPr="00964007">
        <w:rPr>
          <w:u w:val="none"/>
        </w:rPr>
        <w:t xml:space="preserve"> it could therefore not wait for the subdivision process to be completed - it urgently</w:t>
      </w:r>
      <w:r w:rsidR="00A063D4" w:rsidRPr="00964007">
        <w:rPr>
          <w:u w:val="none"/>
        </w:rPr>
        <w:t xml:space="preserve"> required immediate transfer of the property for </w:t>
      </w:r>
      <w:r w:rsidR="0074058A" w:rsidRPr="00964007">
        <w:rPr>
          <w:u w:val="none"/>
        </w:rPr>
        <w:t>this development</w:t>
      </w:r>
      <w:r w:rsidR="0043781A" w:rsidRPr="00964007">
        <w:rPr>
          <w:u w:val="none"/>
        </w:rPr>
        <w:t>. It thus proposed to the Trust</w:t>
      </w:r>
      <w:r w:rsidR="00A063D4" w:rsidRPr="00964007">
        <w:rPr>
          <w:u w:val="none"/>
        </w:rPr>
        <w:t xml:space="preserve"> that the entire immovable property be transferred to </w:t>
      </w:r>
      <w:r w:rsidR="0074058A" w:rsidRPr="00964007">
        <w:rPr>
          <w:u w:val="none"/>
        </w:rPr>
        <w:t>it and that the 40,4360 ha</w:t>
      </w:r>
      <w:r w:rsidR="00A063D4" w:rsidRPr="00964007">
        <w:rPr>
          <w:u w:val="none"/>
        </w:rPr>
        <w:t xml:space="preserve"> would be transferred back to the Trust once the subdivision was completed.</w:t>
      </w:r>
    </w:p>
    <w:p w14:paraId="4A9EF75A" w14:textId="77777777" w:rsidR="002E259F" w:rsidRDefault="002E259F" w:rsidP="00D06413">
      <w:pPr>
        <w:pStyle w:val="ListParagraph"/>
        <w:spacing w:line="480" w:lineRule="auto"/>
        <w:ind w:left="709"/>
        <w:jc w:val="both"/>
        <w:rPr>
          <w:u w:val="none"/>
        </w:rPr>
      </w:pPr>
    </w:p>
    <w:p w14:paraId="4F8404DF" w14:textId="77777777" w:rsidR="00E57F0C" w:rsidRDefault="00E57F0C" w:rsidP="00D06413">
      <w:pPr>
        <w:pStyle w:val="ListParagraph"/>
        <w:spacing w:line="480" w:lineRule="auto"/>
        <w:ind w:left="709"/>
        <w:jc w:val="both"/>
        <w:rPr>
          <w:u w:val="none"/>
        </w:rPr>
      </w:pPr>
    </w:p>
    <w:p w14:paraId="16BBBC4D" w14:textId="77777777" w:rsidR="00E57F0C" w:rsidRDefault="00E57F0C" w:rsidP="00D06413">
      <w:pPr>
        <w:pStyle w:val="ListParagraph"/>
        <w:spacing w:line="480" w:lineRule="auto"/>
        <w:ind w:left="709"/>
        <w:jc w:val="both"/>
        <w:rPr>
          <w:u w:val="none"/>
        </w:rPr>
      </w:pPr>
    </w:p>
    <w:p w14:paraId="3B338EEB" w14:textId="24ECF1C2" w:rsidR="002E259F" w:rsidRPr="00964007" w:rsidRDefault="00964007" w:rsidP="00964007">
      <w:pPr>
        <w:spacing w:line="480" w:lineRule="auto"/>
        <w:ind w:left="709" w:hanging="709"/>
        <w:jc w:val="both"/>
        <w:rPr>
          <w:u w:val="none"/>
        </w:rPr>
      </w:pPr>
      <w:r>
        <w:rPr>
          <w:u w:val="none"/>
        </w:rPr>
        <w:lastRenderedPageBreak/>
        <w:t>12.</w:t>
      </w:r>
      <w:r>
        <w:rPr>
          <w:u w:val="none"/>
        </w:rPr>
        <w:tab/>
      </w:r>
      <w:r w:rsidR="00057195" w:rsidRPr="00E57F0C">
        <w:rPr>
          <w:noProof/>
          <w:lang w:eastAsia="en-ZA"/>
        </w:rPr>
        <w:drawing>
          <wp:anchor distT="0" distB="0" distL="114300" distR="114300" simplePos="0" relativeHeight="251660288" behindDoc="0" locked="0" layoutInCell="1" allowOverlap="1" wp14:anchorId="32757B75" wp14:editId="5A53DF12">
            <wp:simplePos x="0" y="0"/>
            <wp:positionH relativeFrom="column">
              <wp:posOffset>-53340</wp:posOffset>
            </wp:positionH>
            <wp:positionV relativeFrom="paragraph">
              <wp:posOffset>350520</wp:posOffset>
            </wp:positionV>
            <wp:extent cx="5913120" cy="6438900"/>
            <wp:effectExtent l="3810" t="0" r="0" b="0"/>
            <wp:wrapSquare wrapText="bothSides"/>
            <wp:docPr id="2" name="Picture 2" descr="C:\Users\NNair\Downloads\Web capture_5-10-2022_81911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air\Downloads\Web capture_5-10-2022_81911_.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913120" cy="6438900"/>
                    </a:xfrm>
                    <a:prstGeom prst="rect">
                      <a:avLst/>
                    </a:prstGeom>
                    <a:noFill/>
                    <a:ln>
                      <a:noFill/>
                    </a:ln>
                  </pic:spPr>
                </pic:pic>
              </a:graphicData>
            </a:graphic>
            <wp14:sizeRelH relativeFrom="margin">
              <wp14:pctWidth>0</wp14:pctWidth>
            </wp14:sizeRelH>
          </wp:anchor>
        </w:drawing>
      </w:r>
      <w:r w:rsidR="009811C3" w:rsidRPr="00964007">
        <w:rPr>
          <w:u w:val="none"/>
        </w:rPr>
        <w:t>The subdivision is depicted below:</w:t>
      </w:r>
    </w:p>
    <w:p w14:paraId="4B3F1118" w14:textId="126FAF6A" w:rsidR="002C3452" w:rsidRDefault="002C3452" w:rsidP="002C3452">
      <w:pPr>
        <w:pStyle w:val="ListParagraph"/>
        <w:spacing w:line="480" w:lineRule="auto"/>
        <w:ind w:left="709"/>
        <w:jc w:val="both"/>
        <w:rPr>
          <w:u w:val="none"/>
        </w:rPr>
      </w:pPr>
    </w:p>
    <w:p w14:paraId="731B748B" w14:textId="77777777" w:rsidR="002C3452" w:rsidRPr="002C3452" w:rsidRDefault="002C3452" w:rsidP="002C3452">
      <w:pPr>
        <w:pStyle w:val="ListParagraph"/>
        <w:rPr>
          <w:u w:val="none"/>
        </w:rPr>
      </w:pPr>
    </w:p>
    <w:p w14:paraId="1BA69130" w14:textId="055E7648" w:rsidR="002E259F" w:rsidRPr="00964007" w:rsidRDefault="00964007" w:rsidP="00964007">
      <w:pPr>
        <w:spacing w:line="480" w:lineRule="auto"/>
        <w:ind w:left="709" w:hanging="709"/>
        <w:jc w:val="both"/>
        <w:rPr>
          <w:u w:val="none"/>
        </w:rPr>
      </w:pPr>
      <w:r w:rsidRPr="002C3452">
        <w:rPr>
          <w:u w:val="none"/>
        </w:rPr>
        <w:t>13.</w:t>
      </w:r>
      <w:r w:rsidRPr="002C3452">
        <w:rPr>
          <w:u w:val="none"/>
        </w:rPr>
        <w:tab/>
      </w:r>
      <w:r w:rsidR="0074058A" w:rsidRPr="00964007">
        <w:rPr>
          <w:u w:val="none"/>
        </w:rPr>
        <w:t xml:space="preserve">The above diagram shows </w:t>
      </w:r>
      <w:r w:rsidR="00446F22" w:rsidRPr="00964007">
        <w:rPr>
          <w:u w:val="none"/>
        </w:rPr>
        <w:t>that t</w:t>
      </w:r>
      <w:r w:rsidR="00E57F0C" w:rsidRPr="00964007">
        <w:rPr>
          <w:u w:val="none"/>
        </w:rPr>
        <w:t xml:space="preserve">he property is divided into 2 portions by the R512 </w:t>
      </w:r>
      <w:r w:rsidR="00446F22" w:rsidRPr="00964007">
        <w:rPr>
          <w:u w:val="none"/>
        </w:rPr>
        <w:t>(</w:t>
      </w:r>
      <w:r w:rsidR="00E57F0C" w:rsidRPr="00964007">
        <w:rPr>
          <w:u w:val="none"/>
        </w:rPr>
        <w:t>or K29</w:t>
      </w:r>
      <w:r w:rsidR="00446F22" w:rsidRPr="00964007">
        <w:rPr>
          <w:u w:val="none"/>
        </w:rPr>
        <w:t>)</w:t>
      </w:r>
      <w:r w:rsidR="00E57F0C" w:rsidRPr="00964007">
        <w:rPr>
          <w:u w:val="none"/>
        </w:rPr>
        <w:t xml:space="preserve"> which is a Provincial tar road</w:t>
      </w:r>
      <w:r w:rsidR="00583D8C" w:rsidRPr="00964007">
        <w:rPr>
          <w:u w:val="none"/>
        </w:rPr>
        <w:t xml:space="preserve"> </w:t>
      </w:r>
      <w:r w:rsidR="00446F22" w:rsidRPr="00964007">
        <w:rPr>
          <w:u w:val="none"/>
        </w:rPr>
        <w:t xml:space="preserve">commonly known as </w:t>
      </w:r>
      <w:r w:rsidR="00583D8C" w:rsidRPr="00964007">
        <w:rPr>
          <w:u w:val="none"/>
        </w:rPr>
        <w:t>the Pelinda</w:t>
      </w:r>
      <w:r w:rsidR="009C4F98" w:rsidRPr="00964007">
        <w:rPr>
          <w:u w:val="none"/>
        </w:rPr>
        <w:t>ba</w:t>
      </w:r>
      <w:r w:rsidR="00583D8C" w:rsidRPr="00964007">
        <w:rPr>
          <w:u w:val="none"/>
        </w:rPr>
        <w:t xml:space="preserve">/Lanseria/Malibongwe Road. The portion to the east of the R512 is </w:t>
      </w:r>
      <w:r w:rsidR="009C4F98" w:rsidRPr="00964007">
        <w:rPr>
          <w:u w:val="none"/>
        </w:rPr>
        <w:t xml:space="preserve">± </w:t>
      </w:r>
      <w:r w:rsidR="0074058A" w:rsidRPr="00964007">
        <w:rPr>
          <w:u w:val="none"/>
        </w:rPr>
        <w:t>33 ha</w:t>
      </w:r>
      <w:r w:rsidR="00583D8C" w:rsidRPr="00964007">
        <w:rPr>
          <w:u w:val="none"/>
        </w:rPr>
        <w:t>, and to the west is ± 40 h</w:t>
      </w:r>
      <w:r w:rsidR="0074058A" w:rsidRPr="00964007">
        <w:rPr>
          <w:u w:val="none"/>
        </w:rPr>
        <w:t>a</w:t>
      </w:r>
      <w:r w:rsidR="00583D8C" w:rsidRPr="00964007">
        <w:rPr>
          <w:u w:val="none"/>
        </w:rPr>
        <w:t>. Thus</w:t>
      </w:r>
      <w:r w:rsidR="003A4395" w:rsidRPr="00964007">
        <w:rPr>
          <w:u w:val="none"/>
        </w:rPr>
        <w:t>,</w:t>
      </w:r>
      <w:r w:rsidR="00583D8C" w:rsidRPr="00964007">
        <w:rPr>
          <w:u w:val="none"/>
        </w:rPr>
        <w:t xml:space="preserve"> say</w:t>
      </w:r>
      <w:r w:rsidR="00446F22" w:rsidRPr="00964007">
        <w:rPr>
          <w:u w:val="none"/>
        </w:rPr>
        <w:t>s the Trust</w:t>
      </w:r>
      <w:r w:rsidR="00583D8C" w:rsidRPr="00964007">
        <w:rPr>
          <w:u w:val="none"/>
        </w:rPr>
        <w:t xml:space="preserve">, the intention was that </w:t>
      </w:r>
      <w:r w:rsidR="0074058A" w:rsidRPr="00964007">
        <w:rPr>
          <w:u w:val="none"/>
        </w:rPr>
        <w:t>Wraypex would purchase the 33 ha</w:t>
      </w:r>
      <w:r w:rsidR="00583D8C" w:rsidRPr="00964007">
        <w:rPr>
          <w:u w:val="none"/>
        </w:rPr>
        <w:t xml:space="preserve"> to </w:t>
      </w:r>
      <w:r w:rsidR="003A4395" w:rsidRPr="00964007">
        <w:rPr>
          <w:u w:val="none"/>
        </w:rPr>
        <w:t xml:space="preserve">the </w:t>
      </w:r>
      <w:r w:rsidR="00583D8C" w:rsidRPr="00964007">
        <w:rPr>
          <w:u w:val="none"/>
        </w:rPr>
        <w:t xml:space="preserve">east of the R512 for R3,2 million and </w:t>
      </w:r>
      <w:r w:rsidR="00583D8C" w:rsidRPr="00964007">
        <w:rPr>
          <w:u w:val="none"/>
        </w:rPr>
        <w:lastRenderedPageBreak/>
        <w:t>the</w:t>
      </w:r>
      <w:r w:rsidR="0074058A" w:rsidRPr="00964007">
        <w:rPr>
          <w:u w:val="none"/>
        </w:rPr>
        <w:t xml:space="preserve"> 40 ha</w:t>
      </w:r>
      <w:r w:rsidR="00583D8C" w:rsidRPr="00964007">
        <w:rPr>
          <w:u w:val="none"/>
        </w:rPr>
        <w:t xml:space="preserve"> to the west of the R512 would remain that of the Trust and be transferred back once the subdivision had been completed.</w:t>
      </w:r>
    </w:p>
    <w:p w14:paraId="601CA1A6" w14:textId="77777777" w:rsidR="005D1321" w:rsidRPr="005D1321" w:rsidRDefault="005D1321" w:rsidP="005D1321">
      <w:pPr>
        <w:spacing w:line="480" w:lineRule="auto"/>
        <w:jc w:val="both"/>
        <w:rPr>
          <w:u w:val="none"/>
        </w:rPr>
      </w:pPr>
    </w:p>
    <w:p w14:paraId="45723485" w14:textId="1AEC2CDF" w:rsidR="002E259F" w:rsidRPr="00964007" w:rsidRDefault="00964007" w:rsidP="00964007">
      <w:pPr>
        <w:spacing w:line="480" w:lineRule="auto"/>
        <w:ind w:left="709" w:hanging="709"/>
        <w:jc w:val="both"/>
        <w:rPr>
          <w:u w:val="none"/>
        </w:rPr>
      </w:pPr>
      <w:r>
        <w:rPr>
          <w:u w:val="none"/>
        </w:rPr>
        <w:t>14.</w:t>
      </w:r>
      <w:r>
        <w:rPr>
          <w:u w:val="none"/>
        </w:rPr>
        <w:tab/>
      </w:r>
      <w:r w:rsidR="005D1321" w:rsidRPr="00964007">
        <w:rPr>
          <w:u w:val="none"/>
        </w:rPr>
        <w:t xml:space="preserve">According to the </w:t>
      </w:r>
      <w:r w:rsidR="00446F22" w:rsidRPr="00964007">
        <w:rPr>
          <w:u w:val="none"/>
        </w:rPr>
        <w:t>Trust</w:t>
      </w:r>
      <w:r w:rsidR="005D1321" w:rsidRPr="00964007">
        <w:rPr>
          <w:u w:val="none"/>
        </w:rPr>
        <w:t>, the</w:t>
      </w:r>
      <w:r w:rsidR="0074058A" w:rsidRPr="00964007">
        <w:rPr>
          <w:u w:val="none"/>
        </w:rPr>
        <w:t xml:space="preserve"> market value of the 40 ha</w:t>
      </w:r>
      <w:r w:rsidR="005D1321" w:rsidRPr="00964007">
        <w:rPr>
          <w:u w:val="none"/>
        </w:rPr>
        <w:t xml:space="preserve"> is R14 720 000.</w:t>
      </w:r>
    </w:p>
    <w:p w14:paraId="4955BCA4" w14:textId="77777777" w:rsidR="002E259F" w:rsidRDefault="002E259F" w:rsidP="00D06413">
      <w:pPr>
        <w:pStyle w:val="ListParagraph"/>
        <w:spacing w:line="480" w:lineRule="auto"/>
        <w:ind w:left="709"/>
        <w:jc w:val="both"/>
        <w:rPr>
          <w:u w:val="none"/>
        </w:rPr>
      </w:pPr>
    </w:p>
    <w:p w14:paraId="7932AFC0" w14:textId="6FEC2716" w:rsidR="002E259F" w:rsidRPr="00964007" w:rsidRDefault="00964007" w:rsidP="00964007">
      <w:pPr>
        <w:spacing w:line="480" w:lineRule="auto"/>
        <w:ind w:left="709" w:hanging="709"/>
        <w:jc w:val="both"/>
        <w:rPr>
          <w:u w:val="none"/>
        </w:rPr>
      </w:pPr>
      <w:r>
        <w:rPr>
          <w:u w:val="none"/>
        </w:rPr>
        <w:t>15.</w:t>
      </w:r>
      <w:r>
        <w:rPr>
          <w:u w:val="none"/>
        </w:rPr>
        <w:tab/>
      </w:r>
      <w:r w:rsidR="005D1321" w:rsidRPr="00964007">
        <w:rPr>
          <w:u w:val="none"/>
        </w:rPr>
        <w:t xml:space="preserve">On 18 November 2008 the entirety of the 73,4360 </w:t>
      </w:r>
      <w:r w:rsidR="0074058A" w:rsidRPr="00964007">
        <w:rPr>
          <w:u w:val="none"/>
        </w:rPr>
        <w:t>ha</w:t>
      </w:r>
      <w:r w:rsidR="005D1321" w:rsidRPr="00964007">
        <w:rPr>
          <w:u w:val="none"/>
        </w:rPr>
        <w:t xml:space="preserve"> of the property was transferred to Wraypex under Tile Deed T103164/2008 and ABSA Bank registered a mortgage bond over the property in the amount of R3,2 million (plus an additional amount of R640 000) as security for ABSA’s</w:t>
      </w:r>
      <w:r w:rsidR="003A2228" w:rsidRPr="00964007">
        <w:rPr>
          <w:u w:val="none"/>
        </w:rPr>
        <w:t xml:space="preserve"> loan to Wraypex for the purchase</w:t>
      </w:r>
      <w:r w:rsidR="005D1321" w:rsidRPr="00964007">
        <w:rPr>
          <w:u w:val="none"/>
        </w:rPr>
        <w:t xml:space="preserve"> of the property. </w:t>
      </w:r>
    </w:p>
    <w:p w14:paraId="288D403A" w14:textId="77777777" w:rsidR="00CC5119" w:rsidRPr="00CC5119" w:rsidRDefault="00CC5119" w:rsidP="00D06413">
      <w:pPr>
        <w:pStyle w:val="ListParagraph"/>
        <w:jc w:val="both"/>
        <w:rPr>
          <w:u w:val="none"/>
        </w:rPr>
      </w:pPr>
    </w:p>
    <w:p w14:paraId="4DE5C510" w14:textId="4F8CEEA7" w:rsidR="00CC5119" w:rsidRPr="00964007" w:rsidRDefault="00964007" w:rsidP="00964007">
      <w:pPr>
        <w:spacing w:line="480" w:lineRule="auto"/>
        <w:ind w:left="709" w:hanging="709"/>
        <w:jc w:val="both"/>
        <w:rPr>
          <w:u w:val="none"/>
        </w:rPr>
      </w:pPr>
      <w:r>
        <w:rPr>
          <w:u w:val="none"/>
        </w:rPr>
        <w:t>16.</w:t>
      </w:r>
      <w:r>
        <w:rPr>
          <w:u w:val="none"/>
        </w:rPr>
        <w:tab/>
      </w:r>
      <w:r w:rsidR="00084E26" w:rsidRPr="00964007">
        <w:rPr>
          <w:u w:val="none"/>
        </w:rPr>
        <w:t>There seems to be, on the following uncontentious facts placed on record by the parties in their affidavit</w:t>
      </w:r>
      <w:r w:rsidR="00D85AE3" w:rsidRPr="00964007">
        <w:rPr>
          <w:u w:val="none"/>
        </w:rPr>
        <w:t>s</w:t>
      </w:r>
      <w:r w:rsidR="00084E26" w:rsidRPr="00964007">
        <w:rPr>
          <w:u w:val="none"/>
        </w:rPr>
        <w:t>, no issue taken with the fact that the Trust and Wraypex intended to execute their agreement that Wraypex would tran</w:t>
      </w:r>
      <w:r w:rsidR="0074058A" w:rsidRPr="00964007">
        <w:rPr>
          <w:u w:val="none"/>
        </w:rPr>
        <w:t xml:space="preserve">sfer </w:t>
      </w:r>
      <w:r w:rsidR="00E44580" w:rsidRPr="00964007">
        <w:rPr>
          <w:u w:val="none"/>
        </w:rPr>
        <w:t xml:space="preserve">the </w:t>
      </w:r>
      <w:r w:rsidR="0074058A" w:rsidRPr="00964007">
        <w:rPr>
          <w:u w:val="none"/>
        </w:rPr>
        <w:t>40 ha</w:t>
      </w:r>
      <w:r w:rsidR="00084E26" w:rsidRPr="00964007">
        <w:rPr>
          <w:u w:val="none"/>
        </w:rPr>
        <w:t xml:space="preserve"> back to the Trust upon completion of the subdivision. This is seen from the following:</w:t>
      </w:r>
    </w:p>
    <w:p w14:paraId="02C5E868" w14:textId="06D19454" w:rsidR="00CC5119" w:rsidRPr="00964007" w:rsidRDefault="00964007" w:rsidP="00964007">
      <w:pPr>
        <w:spacing w:line="480" w:lineRule="auto"/>
        <w:ind w:left="1418" w:hanging="698"/>
        <w:jc w:val="both"/>
        <w:rPr>
          <w:u w:val="none"/>
        </w:rPr>
      </w:pPr>
      <w:r>
        <w:rPr>
          <w:u w:val="none"/>
        </w:rPr>
        <w:t>16.1</w:t>
      </w:r>
      <w:r>
        <w:rPr>
          <w:u w:val="none"/>
        </w:rPr>
        <w:tab/>
      </w:r>
      <w:r w:rsidR="00630D7F" w:rsidRPr="00964007">
        <w:rPr>
          <w:u w:val="none"/>
        </w:rPr>
        <w:t>in early 2009 the Trust obtained a quotation for the subdivision of the property from Van Brakel Prof</w:t>
      </w:r>
      <w:r w:rsidR="00446F22" w:rsidRPr="00964007">
        <w:rPr>
          <w:u w:val="none"/>
        </w:rPr>
        <w:t>essional Planning and Property S</w:t>
      </w:r>
      <w:r w:rsidR="00630D7F" w:rsidRPr="00964007">
        <w:rPr>
          <w:u w:val="none"/>
        </w:rPr>
        <w:t>ervice</w:t>
      </w:r>
      <w:r w:rsidR="00446F22" w:rsidRPr="00964007">
        <w:rPr>
          <w:u w:val="none"/>
        </w:rPr>
        <w:t xml:space="preserve"> (Van Brakel)</w:t>
      </w:r>
      <w:r w:rsidR="00630D7F" w:rsidRPr="00964007">
        <w:rPr>
          <w:u w:val="none"/>
        </w:rPr>
        <w:t>, who was instructed by Wraypex</w:t>
      </w:r>
      <w:r w:rsidR="00630D7F">
        <w:rPr>
          <w:rStyle w:val="FootnoteReference"/>
          <w:u w:val="none"/>
        </w:rPr>
        <w:footnoteReference w:id="3"/>
      </w:r>
      <w:r w:rsidR="006E5FD5" w:rsidRPr="00964007">
        <w:rPr>
          <w:u w:val="none"/>
        </w:rPr>
        <w:t xml:space="preserve"> to commence with the subdivision in January 2009;</w:t>
      </w:r>
    </w:p>
    <w:p w14:paraId="7D719F57" w14:textId="2A78029D" w:rsidR="006E5FD5" w:rsidRPr="00964007" w:rsidRDefault="00964007" w:rsidP="00964007">
      <w:pPr>
        <w:spacing w:line="480" w:lineRule="auto"/>
        <w:ind w:left="1418" w:hanging="698"/>
        <w:jc w:val="both"/>
        <w:rPr>
          <w:u w:val="none"/>
        </w:rPr>
      </w:pPr>
      <w:r>
        <w:rPr>
          <w:u w:val="none"/>
        </w:rPr>
        <w:t>16.2</w:t>
      </w:r>
      <w:r>
        <w:rPr>
          <w:u w:val="none"/>
        </w:rPr>
        <w:tab/>
      </w:r>
      <w:r w:rsidR="006E5FD5" w:rsidRPr="00964007">
        <w:rPr>
          <w:u w:val="none"/>
        </w:rPr>
        <w:t>the proposed subdivision diagram was prepared by February 2010 and Wraypex provided a power of attorney to proceed with the subdivision on 18 March 2010;</w:t>
      </w:r>
    </w:p>
    <w:p w14:paraId="0AFACA57" w14:textId="484D02D4" w:rsidR="006E5FD5" w:rsidRPr="00964007" w:rsidRDefault="00964007" w:rsidP="00964007">
      <w:pPr>
        <w:spacing w:line="480" w:lineRule="auto"/>
        <w:ind w:left="1418" w:hanging="698"/>
        <w:jc w:val="both"/>
        <w:rPr>
          <w:u w:val="none"/>
        </w:rPr>
      </w:pPr>
      <w:r>
        <w:rPr>
          <w:u w:val="none"/>
        </w:rPr>
        <w:lastRenderedPageBreak/>
        <w:t>16.3</w:t>
      </w:r>
      <w:r>
        <w:rPr>
          <w:u w:val="none"/>
        </w:rPr>
        <w:tab/>
      </w:r>
      <w:r w:rsidR="006E5FD5" w:rsidRPr="00964007">
        <w:rPr>
          <w:u w:val="none"/>
        </w:rPr>
        <w:t xml:space="preserve">on 6 May 2010 </w:t>
      </w:r>
      <w:r w:rsidR="0074058A" w:rsidRPr="00964007">
        <w:rPr>
          <w:u w:val="none"/>
        </w:rPr>
        <w:t>ABSA</w:t>
      </w:r>
      <w:r w:rsidR="006E5FD5" w:rsidRPr="00964007">
        <w:rPr>
          <w:u w:val="none"/>
        </w:rPr>
        <w:t xml:space="preserve"> provided</w:t>
      </w:r>
      <w:r w:rsidR="0074058A" w:rsidRPr="00964007">
        <w:rPr>
          <w:u w:val="none"/>
        </w:rPr>
        <w:t xml:space="preserve"> Van Brakel with</w:t>
      </w:r>
      <w:r w:rsidR="006E5FD5" w:rsidRPr="00964007">
        <w:rPr>
          <w:u w:val="none"/>
        </w:rPr>
        <w:t xml:space="preserve"> a written consent for the subdivisi</w:t>
      </w:r>
      <w:r w:rsidR="0074058A" w:rsidRPr="00964007">
        <w:rPr>
          <w:u w:val="none"/>
        </w:rPr>
        <w:t>on of the property</w:t>
      </w:r>
      <w:r w:rsidR="006E5FD5" w:rsidRPr="00964007">
        <w:rPr>
          <w:u w:val="none"/>
        </w:rPr>
        <w:t>;</w:t>
      </w:r>
    </w:p>
    <w:p w14:paraId="52312E37" w14:textId="22B1C97F" w:rsidR="006E5FD5" w:rsidRPr="00964007" w:rsidRDefault="00964007" w:rsidP="00964007">
      <w:pPr>
        <w:spacing w:line="480" w:lineRule="auto"/>
        <w:ind w:left="1418" w:hanging="698"/>
        <w:jc w:val="both"/>
        <w:rPr>
          <w:u w:val="none"/>
        </w:rPr>
      </w:pPr>
      <w:r>
        <w:rPr>
          <w:u w:val="none"/>
        </w:rPr>
        <w:t>16.4</w:t>
      </w:r>
      <w:r>
        <w:rPr>
          <w:u w:val="none"/>
        </w:rPr>
        <w:tab/>
      </w:r>
      <w:r w:rsidR="006E5FD5" w:rsidRPr="00964007">
        <w:rPr>
          <w:u w:val="none"/>
        </w:rPr>
        <w:t>on 2</w:t>
      </w:r>
      <w:r w:rsidR="002D3757" w:rsidRPr="00964007">
        <w:rPr>
          <w:u w:val="none"/>
        </w:rPr>
        <w:t>4 August 2010 the Minister of Agriculture, Forestry</w:t>
      </w:r>
      <w:r w:rsidR="00492D0C" w:rsidRPr="00964007">
        <w:rPr>
          <w:u w:val="none"/>
        </w:rPr>
        <w:t xml:space="preserve"> and Fisheries (the Minister) gave consent to the subdivision of the property in terms of Section 4(2) of the </w:t>
      </w:r>
      <w:r w:rsidR="00446F22" w:rsidRPr="00964007">
        <w:rPr>
          <w:u w:val="none"/>
        </w:rPr>
        <w:t>SLA</w:t>
      </w:r>
      <w:r w:rsidR="00492D0C">
        <w:rPr>
          <w:rStyle w:val="FootnoteReference"/>
          <w:u w:val="none"/>
        </w:rPr>
        <w:footnoteReference w:id="4"/>
      </w:r>
      <w:r w:rsidR="004B5527" w:rsidRPr="00964007">
        <w:rPr>
          <w:u w:val="none"/>
        </w:rPr>
        <w:t xml:space="preserve"> by consent number 45448. Paragraph 3.3 of the consent states:</w:t>
      </w:r>
    </w:p>
    <w:p w14:paraId="43C6E02D" w14:textId="77777777" w:rsidR="004B5527" w:rsidRPr="004B5527" w:rsidRDefault="004B5527" w:rsidP="004B5527">
      <w:pPr>
        <w:pStyle w:val="ListParagraph"/>
        <w:spacing w:line="480" w:lineRule="auto"/>
        <w:ind w:left="1080" w:firstLine="338"/>
        <w:jc w:val="both"/>
        <w:rPr>
          <w:i/>
          <w:u w:val="none"/>
        </w:rPr>
      </w:pPr>
      <w:r w:rsidRPr="004B5527">
        <w:rPr>
          <w:i/>
          <w:u w:val="none"/>
        </w:rPr>
        <w:t>“3.3</w:t>
      </w:r>
      <w:r w:rsidRPr="004B5527">
        <w:rPr>
          <w:i/>
          <w:u w:val="none"/>
        </w:rPr>
        <w:tab/>
        <w:t>Thus Consent is valid for 5 years from date of this Consent.”</w:t>
      </w:r>
    </w:p>
    <w:p w14:paraId="3F930347" w14:textId="23B78C73" w:rsidR="004B5527" w:rsidRPr="00964007" w:rsidRDefault="00964007" w:rsidP="00964007">
      <w:pPr>
        <w:spacing w:line="480" w:lineRule="auto"/>
        <w:ind w:left="1418" w:hanging="698"/>
        <w:jc w:val="both"/>
        <w:rPr>
          <w:u w:val="none"/>
        </w:rPr>
      </w:pPr>
      <w:r>
        <w:rPr>
          <w:u w:val="none"/>
        </w:rPr>
        <w:t>16.5</w:t>
      </w:r>
      <w:r>
        <w:rPr>
          <w:u w:val="none"/>
        </w:rPr>
        <w:tab/>
      </w:r>
      <w:r w:rsidR="00D13662" w:rsidRPr="00964007">
        <w:rPr>
          <w:u w:val="none"/>
        </w:rPr>
        <w:t>o</w:t>
      </w:r>
      <w:r w:rsidR="004B5527" w:rsidRPr="00964007">
        <w:rPr>
          <w:u w:val="none"/>
        </w:rPr>
        <w:t xml:space="preserve">n 19 October 2010 ABSA Bank then registered a further mortgage bond </w:t>
      </w:r>
      <w:r w:rsidR="00446F22" w:rsidRPr="00964007">
        <w:rPr>
          <w:u w:val="none"/>
        </w:rPr>
        <w:t xml:space="preserve">over the property </w:t>
      </w:r>
      <w:r w:rsidR="004B5527" w:rsidRPr="00964007">
        <w:rPr>
          <w:u w:val="none"/>
        </w:rPr>
        <w:t>for the amount of R17,8 million, plus an additional amount of R3,56 million;</w:t>
      </w:r>
      <w:r w:rsidR="004B5527">
        <w:rPr>
          <w:rStyle w:val="FootnoteReference"/>
          <w:u w:val="none"/>
        </w:rPr>
        <w:footnoteReference w:id="5"/>
      </w:r>
    </w:p>
    <w:p w14:paraId="05F187F9" w14:textId="67DC6B53" w:rsidR="00435BBE" w:rsidRPr="00964007" w:rsidRDefault="00964007" w:rsidP="00964007">
      <w:pPr>
        <w:spacing w:line="480" w:lineRule="auto"/>
        <w:ind w:left="1418" w:hanging="698"/>
        <w:jc w:val="both"/>
        <w:rPr>
          <w:u w:val="none"/>
        </w:rPr>
      </w:pPr>
      <w:r>
        <w:rPr>
          <w:u w:val="none"/>
        </w:rPr>
        <w:t>16.6</w:t>
      </w:r>
      <w:r>
        <w:rPr>
          <w:u w:val="none"/>
        </w:rPr>
        <w:tab/>
      </w:r>
      <w:r w:rsidR="006912F1" w:rsidRPr="00964007">
        <w:rPr>
          <w:u w:val="none"/>
        </w:rPr>
        <w:t>d</w:t>
      </w:r>
      <w:r w:rsidR="00D13662" w:rsidRPr="00964007">
        <w:rPr>
          <w:u w:val="none"/>
        </w:rPr>
        <w:t xml:space="preserve">uring </w:t>
      </w:r>
      <w:r w:rsidR="006912F1" w:rsidRPr="00964007">
        <w:rPr>
          <w:u w:val="none"/>
        </w:rPr>
        <w:t>March 2011, PDNA Consulting Engineers</w:t>
      </w:r>
      <w:r w:rsidR="00446F22" w:rsidRPr="00964007">
        <w:rPr>
          <w:u w:val="none"/>
        </w:rPr>
        <w:t xml:space="preserve"> (PDNA)</w:t>
      </w:r>
      <w:r w:rsidR="006912F1" w:rsidRPr="00964007">
        <w:rPr>
          <w:u w:val="none"/>
        </w:rPr>
        <w:t xml:space="preserve"> was instructed to attend to the Section 7 Traffic Report and in May 2011 the land surveyor was appointed to attend</w:t>
      </w:r>
      <w:r w:rsidR="00B1029D" w:rsidRPr="00964007">
        <w:rPr>
          <w:u w:val="none"/>
        </w:rPr>
        <w:t xml:space="preserve"> to the sub-divisional diagram</w:t>
      </w:r>
      <w:r w:rsidR="00435BBE" w:rsidRPr="00964007">
        <w:rPr>
          <w:u w:val="none"/>
        </w:rPr>
        <w:t>;</w:t>
      </w:r>
    </w:p>
    <w:p w14:paraId="1DFA1262" w14:textId="54E77B1E" w:rsidR="004B5527" w:rsidRPr="00964007" w:rsidRDefault="00964007" w:rsidP="00964007">
      <w:pPr>
        <w:spacing w:line="480" w:lineRule="auto"/>
        <w:ind w:left="1418" w:hanging="698"/>
        <w:jc w:val="both"/>
        <w:rPr>
          <w:u w:val="none"/>
        </w:rPr>
      </w:pPr>
      <w:r w:rsidRPr="00435BBE">
        <w:rPr>
          <w:u w:val="none"/>
        </w:rPr>
        <w:t>16.7</w:t>
      </w:r>
      <w:r w:rsidRPr="00435BBE">
        <w:rPr>
          <w:u w:val="none"/>
        </w:rPr>
        <w:tab/>
      </w:r>
      <w:r w:rsidR="00435BBE" w:rsidRPr="00964007">
        <w:rPr>
          <w:u w:val="none"/>
        </w:rPr>
        <w:t>on 4 May 2011</w:t>
      </w:r>
      <w:r w:rsidR="00820929" w:rsidRPr="00964007">
        <w:rPr>
          <w:u w:val="none"/>
        </w:rPr>
        <w:t xml:space="preserve"> </w:t>
      </w:r>
      <w:r w:rsidR="00435BBE" w:rsidRPr="00964007">
        <w:rPr>
          <w:u w:val="none"/>
        </w:rPr>
        <w:t>Van Brakel received the approval for the sub-</w:t>
      </w:r>
      <w:r w:rsidR="00D85AE3" w:rsidRPr="00964007">
        <w:rPr>
          <w:u w:val="none"/>
        </w:rPr>
        <w:t>d</w:t>
      </w:r>
      <w:r w:rsidR="00435BBE" w:rsidRPr="00964007">
        <w:rPr>
          <w:u w:val="none"/>
        </w:rPr>
        <w:t xml:space="preserve">ivision from Mogale City Local Municipality </w:t>
      </w:r>
      <w:r w:rsidR="00446F22" w:rsidRPr="00964007">
        <w:rPr>
          <w:u w:val="none"/>
        </w:rPr>
        <w:t xml:space="preserve">(Mogale City) </w:t>
      </w:r>
      <w:r w:rsidR="00435BBE" w:rsidRPr="00964007">
        <w:rPr>
          <w:u w:val="none"/>
        </w:rPr>
        <w:t>– this, was conditional and subject to certain conditions being met.</w:t>
      </w:r>
      <w:r w:rsidR="00B1029D" w:rsidRPr="00964007">
        <w:rPr>
          <w:u w:val="none"/>
        </w:rPr>
        <w:t xml:space="preserve"> </w:t>
      </w:r>
    </w:p>
    <w:p w14:paraId="1D9FF28D" w14:textId="77777777" w:rsidR="00630D7F" w:rsidRPr="00630D7F" w:rsidRDefault="00630D7F" w:rsidP="00630D7F">
      <w:pPr>
        <w:jc w:val="both"/>
        <w:rPr>
          <w:u w:val="none"/>
        </w:rPr>
      </w:pPr>
    </w:p>
    <w:p w14:paraId="1C28C080" w14:textId="1D16DF05" w:rsidR="00CC5119" w:rsidRPr="00964007" w:rsidRDefault="00964007" w:rsidP="00964007">
      <w:pPr>
        <w:spacing w:line="480" w:lineRule="auto"/>
        <w:ind w:left="709" w:hanging="709"/>
        <w:jc w:val="both"/>
        <w:rPr>
          <w:u w:val="none"/>
        </w:rPr>
      </w:pPr>
      <w:r>
        <w:rPr>
          <w:u w:val="none"/>
        </w:rPr>
        <w:t>17.</w:t>
      </w:r>
      <w:r>
        <w:rPr>
          <w:u w:val="none"/>
        </w:rPr>
        <w:tab/>
      </w:r>
      <w:r w:rsidR="00435BBE" w:rsidRPr="00964007">
        <w:rPr>
          <w:u w:val="none"/>
        </w:rPr>
        <w:t>It was here that the sub-division met with several stumbling blocks:</w:t>
      </w:r>
    </w:p>
    <w:p w14:paraId="626DA798" w14:textId="77777777" w:rsidR="00435BBE" w:rsidRDefault="00435BBE" w:rsidP="003E5926">
      <w:pPr>
        <w:pStyle w:val="ListParagraph"/>
        <w:spacing w:line="480" w:lineRule="auto"/>
        <w:ind w:left="1440" w:hanging="731"/>
        <w:jc w:val="both"/>
        <w:rPr>
          <w:u w:val="none"/>
        </w:rPr>
      </w:pPr>
      <w:r>
        <w:rPr>
          <w:u w:val="none"/>
        </w:rPr>
        <w:lastRenderedPageBreak/>
        <w:t>17.1</w:t>
      </w:r>
      <w:r>
        <w:rPr>
          <w:u w:val="none"/>
        </w:rPr>
        <w:tab/>
        <w:t xml:space="preserve">the initial consolidation map had to be withdrawn before the </w:t>
      </w:r>
      <w:r w:rsidR="00544A71">
        <w:rPr>
          <w:u w:val="none"/>
        </w:rPr>
        <w:t>storm water</w:t>
      </w:r>
      <w:r>
        <w:rPr>
          <w:u w:val="none"/>
        </w:rPr>
        <w:t xml:space="preserve"> fluid line</w:t>
      </w:r>
      <w:r>
        <w:rPr>
          <w:rStyle w:val="FootnoteReference"/>
          <w:u w:val="none"/>
        </w:rPr>
        <w:footnoteReference w:id="6"/>
      </w:r>
      <w:r w:rsidR="003E5926">
        <w:rPr>
          <w:u w:val="none"/>
        </w:rPr>
        <w:t xml:space="preserve"> could be attended to – this was done on 31 August 2011;</w:t>
      </w:r>
    </w:p>
    <w:p w14:paraId="23C35BCB" w14:textId="77777777" w:rsidR="003E5926" w:rsidRDefault="003E5926" w:rsidP="003E5926">
      <w:pPr>
        <w:pStyle w:val="ListParagraph"/>
        <w:spacing w:line="480" w:lineRule="auto"/>
        <w:ind w:left="1440" w:hanging="731"/>
        <w:jc w:val="both"/>
        <w:rPr>
          <w:u w:val="none"/>
        </w:rPr>
      </w:pPr>
      <w:r>
        <w:rPr>
          <w:u w:val="none"/>
        </w:rPr>
        <w:t>17.2</w:t>
      </w:r>
      <w:r>
        <w:rPr>
          <w:u w:val="none"/>
        </w:rPr>
        <w:tab/>
        <w:t>the land surveyor provided the Trust with a proposed sub-divisional diagram in July 2011</w:t>
      </w:r>
      <w:r>
        <w:rPr>
          <w:rStyle w:val="FootnoteReference"/>
          <w:u w:val="none"/>
        </w:rPr>
        <w:footnoteReference w:id="7"/>
      </w:r>
      <w:r w:rsidR="004117D3">
        <w:rPr>
          <w:u w:val="none"/>
        </w:rPr>
        <w:t>. The sub-division diagram was approved on 5 September 2011;</w:t>
      </w:r>
    </w:p>
    <w:p w14:paraId="18A551F7" w14:textId="4D9970DF" w:rsidR="004117D3" w:rsidRDefault="004117D3" w:rsidP="003E5926">
      <w:pPr>
        <w:pStyle w:val="ListParagraph"/>
        <w:spacing w:line="480" w:lineRule="auto"/>
        <w:ind w:left="1440" w:hanging="731"/>
        <w:jc w:val="both"/>
        <w:rPr>
          <w:u w:val="none"/>
        </w:rPr>
      </w:pPr>
      <w:r>
        <w:rPr>
          <w:u w:val="none"/>
        </w:rPr>
        <w:t>17.3</w:t>
      </w:r>
      <w:r>
        <w:rPr>
          <w:u w:val="none"/>
        </w:rPr>
        <w:tab/>
        <w:t xml:space="preserve">however, the </w:t>
      </w:r>
      <w:r w:rsidR="00E57696">
        <w:rPr>
          <w:u w:val="none"/>
        </w:rPr>
        <w:t xml:space="preserve">Section </w:t>
      </w:r>
      <w:r>
        <w:rPr>
          <w:u w:val="none"/>
        </w:rPr>
        <w:t xml:space="preserve">7 Traffic Assessment Report had yet to receive approval and it was only on 29 August 2012 that the Department </w:t>
      </w:r>
      <w:r w:rsidR="00FB0C5D">
        <w:rPr>
          <w:u w:val="none"/>
        </w:rPr>
        <w:t xml:space="preserve">of Roads and Transport: Gauteng Provincial Government (the Department) notified PDNA that the report had been referred to BKS Engineers </w:t>
      </w:r>
      <w:r w:rsidR="004E0E93">
        <w:rPr>
          <w:u w:val="none"/>
        </w:rPr>
        <w:t>“</w:t>
      </w:r>
      <w:r w:rsidR="00FB0C5D" w:rsidRPr="00E57696">
        <w:rPr>
          <w:i/>
          <w:u w:val="none"/>
        </w:rPr>
        <w:t>for their technical input on access arrangements</w:t>
      </w:r>
      <w:r w:rsidR="00FB0C5D">
        <w:rPr>
          <w:u w:val="none"/>
        </w:rPr>
        <w:t xml:space="preserve">” </w:t>
      </w:r>
      <w:r w:rsidR="004E0E93">
        <w:rPr>
          <w:u w:val="none"/>
        </w:rPr>
        <w:t>and on 20 September 2012 they informed PDNA that they were referring the applications to the South African National Roads Agency Ltd (SANRAL) for comment;</w:t>
      </w:r>
    </w:p>
    <w:p w14:paraId="194634B1" w14:textId="017BFD38" w:rsidR="004E0E93" w:rsidRPr="00435BBE" w:rsidRDefault="004E0E93" w:rsidP="003E5926">
      <w:pPr>
        <w:pStyle w:val="ListParagraph"/>
        <w:spacing w:line="480" w:lineRule="auto"/>
        <w:ind w:left="1440" w:hanging="731"/>
        <w:jc w:val="both"/>
        <w:rPr>
          <w:u w:val="none"/>
        </w:rPr>
      </w:pPr>
      <w:r>
        <w:rPr>
          <w:u w:val="none"/>
        </w:rPr>
        <w:t>17.4</w:t>
      </w:r>
      <w:r>
        <w:rPr>
          <w:u w:val="none"/>
        </w:rPr>
        <w:tab/>
        <w:t>two more years passed without feedback from the Department. Eventually Van Brakel instructed Chris Brooker to proceed with the 1:50 stormwater floodlines, which was received in March 2014, and Mariteng Consulting Engineers was appointed in 2015 to assist with the sub-division and with obtaining the necessary Department</w:t>
      </w:r>
      <w:r w:rsidR="00E57696">
        <w:rPr>
          <w:u w:val="none"/>
        </w:rPr>
        <w:t>al</w:t>
      </w:r>
      <w:r>
        <w:rPr>
          <w:u w:val="none"/>
        </w:rPr>
        <w:t xml:space="preserve"> consent.</w:t>
      </w:r>
    </w:p>
    <w:p w14:paraId="35603A7A" w14:textId="77777777" w:rsidR="00CC5119" w:rsidRPr="00CC5119" w:rsidRDefault="00CC5119" w:rsidP="00D06413">
      <w:pPr>
        <w:pStyle w:val="ListParagraph"/>
        <w:jc w:val="both"/>
        <w:rPr>
          <w:u w:val="none"/>
        </w:rPr>
      </w:pPr>
    </w:p>
    <w:p w14:paraId="47B01B6F" w14:textId="4B801EC1" w:rsidR="00CC5119" w:rsidRPr="00964007" w:rsidRDefault="00964007" w:rsidP="00964007">
      <w:pPr>
        <w:spacing w:line="480" w:lineRule="auto"/>
        <w:ind w:left="709" w:hanging="709"/>
        <w:jc w:val="both"/>
        <w:rPr>
          <w:u w:val="none"/>
        </w:rPr>
      </w:pPr>
      <w:r>
        <w:rPr>
          <w:u w:val="none"/>
        </w:rPr>
        <w:t>18.</w:t>
      </w:r>
      <w:r>
        <w:rPr>
          <w:u w:val="none"/>
        </w:rPr>
        <w:tab/>
      </w:r>
      <w:r w:rsidR="009321A2" w:rsidRPr="00964007">
        <w:rPr>
          <w:u w:val="none"/>
        </w:rPr>
        <w:t>Eventually, on 25 September 2016 the Department provided conditional consent to t</w:t>
      </w:r>
      <w:r w:rsidR="00AB3EEA" w:rsidRPr="00964007">
        <w:rPr>
          <w:u w:val="none"/>
        </w:rPr>
        <w:t>he sub-division application. The conditions related to</w:t>
      </w:r>
      <w:r w:rsidR="00BA2F7D" w:rsidRPr="00964007">
        <w:rPr>
          <w:u w:val="none"/>
        </w:rPr>
        <w:t xml:space="preserve"> </w:t>
      </w:r>
      <w:r w:rsidR="00BA2F7D" w:rsidRPr="00964007">
        <w:rPr>
          <w:i/>
          <w:u w:val="none"/>
        </w:rPr>
        <w:t>inter alia</w:t>
      </w:r>
      <w:r w:rsidR="00AB3EEA" w:rsidRPr="00964007">
        <w:rPr>
          <w:u w:val="none"/>
        </w:rPr>
        <w:t xml:space="preserve"> (a) the determination of road reserve boundaries, plans and declarations, (b) building restrictions, (c) access points/roads and barriers, (d) indemnification of the Premier-in-Executi</w:t>
      </w:r>
      <w:r w:rsidR="00BA2F7D" w:rsidRPr="00964007">
        <w:rPr>
          <w:u w:val="none"/>
        </w:rPr>
        <w:t>ve Council against claims, (e) r</w:t>
      </w:r>
      <w:r w:rsidR="00AB3EEA" w:rsidRPr="00964007">
        <w:rPr>
          <w:u w:val="none"/>
        </w:rPr>
        <w:t xml:space="preserve">emote adjacent service </w:t>
      </w:r>
      <w:r w:rsidR="00AB3EEA" w:rsidRPr="00964007">
        <w:rPr>
          <w:u w:val="none"/>
        </w:rPr>
        <w:lastRenderedPageBreak/>
        <w:t>roads so that the land owner has access to the access roads; (f) acou</w:t>
      </w:r>
      <w:r w:rsidR="00BA2F7D" w:rsidRPr="00964007">
        <w:rPr>
          <w:u w:val="none"/>
        </w:rPr>
        <w:t>stic noise attenuation barriers and</w:t>
      </w:r>
      <w:r w:rsidR="00AB3EEA" w:rsidRPr="00964007">
        <w:rPr>
          <w:u w:val="none"/>
        </w:rPr>
        <w:t xml:space="preserve"> (g) construction of storm water draina</w:t>
      </w:r>
      <w:r w:rsidR="00BA2F7D" w:rsidRPr="00964007">
        <w:rPr>
          <w:u w:val="none"/>
        </w:rPr>
        <w:t>ge within the roads barriers</w:t>
      </w:r>
      <w:r w:rsidR="00AB3EEA" w:rsidRPr="00964007">
        <w:rPr>
          <w:u w:val="none"/>
        </w:rPr>
        <w:t>.</w:t>
      </w:r>
    </w:p>
    <w:p w14:paraId="4A19453E" w14:textId="77777777" w:rsidR="00CC5119" w:rsidRPr="00CC5119" w:rsidRDefault="00CC5119" w:rsidP="00D06413">
      <w:pPr>
        <w:pStyle w:val="ListParagraph"/>
        <w:jc w:val="both"/>
        <w:rPr>
          <w:u w:val="none"/>
        </w:rPr>
      </w:pPr>
    </w:p>
    <w:p w14:paraId="46824625" w14:textId="31E0AA81" w:rsidR="00CC5119" w:rsidRPr="00964007" w:rsidRDefault="00964007" w:rsidP="00964007">
      <w:pPr>
        <w:spacing w:line="480" w:lineRule="auto"/>
        <w:ind w:left="709" w:hanging="709"/>
        <w:jc w:val="both"/>
        <w:rPr>
          <w:u w:val="none"/>
        </w:rPr>
      </w:pPr>
      <w:r>
        <w:rPr>
          <w:u w:val="none"/>
        </w:rPr>
        <w:t>19.</w:t>
      </w:r>
      <w:r>
        <w:rPr>
          <w:u w:val="none"/>
        </w:rPr>
        <w:tab/>
      </w:r>
      <w:r w:rsidR="001223F3" w:rsidRPr="00964007">
        <w:rPr>
          <w:u w:val="none"/>
        </w:rPr>
        <w:t>Paragraph 12 of the Conditional Consent provides the following:</w:t>
      </w:r>
    </w:p>
    <w:p w14:paraId="0EC9E57E" w14:textId="77777777" w:rsidR="00CC5119" w:rsidRPr="00BC3B7E" w:rsidRDefault="001223F3" w:rsidP="00BC3B7E">
      <w:pPr>
        <w:pStyle w:val="ListParagraph"/>
        <w:spacing w:line="480" w:lineRule="auto"/>
        <w:jc w:val="both"/>
        <w:rPr>
          <w:i/>
          <w:u w:val="none"/>
        </w:rPr>
      </w:pPr>
      <w:r w:rsidRPr="00BC3B7E">
        <w:rPr>
          <w:i/>
          <w:u w:val="none"/>
        </w:rPr>
        <w:t>“The applicant shall lodge, in</w:t>
      </w:r>
      <w:r w:rsidR="00BC3B7E" w:rsidRPr="00BC3B7E">
        <w:rPr>
          <w:i/>
          <w:u w:val="none"/>
        </w:rPr>
        <w:t xml:space="preserve"> </w:t>
      </w:r>
      <w:r w:rsidRPr="00BC3B7E">
        <w:rPr>
          <w:i/>
          <w:u w:val="none"/>
        </w:rPr>
        <w:t>writing, an acceptance of all the above conditions together with revised layout plan portraying the conditions of the Department of Roads and Transport, within six months from date of this letter. Non-compliance of this condition will result in the above permission being rescinded, and the applicant will have to reapply.”</w:t>
      </w:r>
    </w:p>
    <w:p w14:paraId="7275C366" w14:textId="77777777" w:rsidR="00BC3B7E" w:rsidRPr="00CC5119" w:rsidRDefault="00BC3B7E" w:rsidP="00D06413">
      <w:pPr>
        <w:pStyle w:val="ListParagraph"/>
        <w:jc w:val="both"/>
        <w:rPr>
          <w:u w:val="none"/>
        </w:rPr>
      </w:pPr>
    </w:p>
    <w:p w14:paraId="2AD61BD6" w14:textId="321F8417" w:rsidR="00CC5119" w:rsidRPr="00964007" w:rsidRDefault="00964007" w:rsidP="00964007">
      <w:pPr>
        <w:spacing w:line="480" w:lineRule="auto"/>
        <w:ind w:left="709" w:hanging="709"/>
        <w:jc w:val="both"/>
        <w:rPr>
          <w:u w:val="none"/>
        </w:rPr>
      </w:pPr>
      <w:r>
        <w:rPr>
          <w:u w:val="none"/>
        </w:rPr>
        <w:t>20.</w:t>
      </w:r>
      <w:r>
        <w:rPr>
          <w:u w:val="none"/>
        </w:rPr>
        <w:tab/>
      </w:r>
      <w:r w:rsidR="00585C90" w:rsidRPr="00964007">
        <w:rPr>
          <w:u w:val="none"/>
        </w:rPr>
        <w:t>The conditions were attended to and consent was received from all, including Eskom, for a s25 clearance by October 2017 and</w:t>
      </w:r>
      <w:r w:rsidR="00585C90">
        <w:rPr>
          <w:rStyle w:val="FootnoteReference"/>
          <w:u w:val="none"/>
        </w:rPr>
        <w:footnoteReference w:id="8"/>
      </w:r>
      <w:r w:rsidR="002F1ADE" w:rsidRPr="00964007">
        <w:rPr>
          <w:u w:val="none"/>
        </w:rPr>
        <w:t xml:space="preserve"> on 24 October 2017 the Section 25</w:t>
      </w:r>
      <w:r w:rsidR="002F1ADE">
        <w:rPr>
          <w:rStyle w:val="FootnoteReference"/>
          <w:u w:val="none"/>
        </w:rPr>
        <w:footnoteReference w:id="9"/>
      </w:r>
      <w:r w:rsidR="00AE3B41" w:rsidRPr="00964007">
        <w:rPr>
          <w:u w:val="none"/>
        </w:rPr>
        <w:t xml:space="preserve"> application was submitted.</w:t>
      </w:r>
    </w:p>
    <w:p w14:paraId="72F6BD47" w14:textId="77777777" w:rsidR="00CC5119" w:rsidRPr="00CC5119" w:rsidRDefault="00CC5119" w:rsidP="00D06413">
      <w:pPr>
        <w:pStyle w:val="ListParagraph"/>
        <w:jc w:val="both"/>
        <w:rPr>
          <w:u w:val="none"/>
        </w:rPr>
      </w:pPr>
    </w:p>
    <w:p w14:paraId="7EC83324" w14:textId="3ED30888" w:rsidR="00CC5119" w:rsidRPr="00964007" w:rsidRDefault="00964007" w:rsidP="00964007">
      <w:pPr>
        <w:spacing w:line="480" w:lineRule="auto"/>
        <w:ind w:left="709" w:hanging="709"/>
        <w:jc w:val="both"/>
        <w:rPr>
          <w:u w:val="none"/>
        </w:rPr>
      </w:pPr>
      <w:r>
        <w:rPr>
          <w:u w:val="none"/>
        </w:rPr>
        <w:t>21.</w:t>
      </w:r>
      <w:r>
        <w:rPr>
          <w:u w:val="none"/>
        </w:rPr>
        <w:tab/>
      </w:r>
      <w:r w:rsidR="00977A0C" w:rsidRPr="00964007">
        <w:rPr>
          <w:u w:val="none"/>
        </w:rPr>
        <w:t>On 6 December 2018, the Trust received the Mogale City consent to sub-divide the property. The consent states:</w:t>
      </w:r>
    </w:p>
    <w:p w14:paraId="12534FA1" w14:textId="77777777" w:rsidR="00977A0C" w:rsidRPr="00D320B3" w:rsidRDefault="00977A0C" w:rsidP="00977A0C">
      <w:pPr>
        <w:pStyle w:val="ListParagraph"/>
        <w:spacing w:line="480" w:lineRule="auto"/>
        <w:ind w:left="709"/>
        <w:jc w:val="both"/>
        <w:rPr>
          <w:i/>
          <w:u w:val="none"/>
        </w:rPr>
      </w:pPr>
      <w:r w:rsidRPr="00D320B3">
        <w:rPr>
          <w:i/>
          <w:u w:val="none"/>
        </w:rPr>
        <w:t>“This is to confirm that the application for subdivision of Portion 11 of the farm Lindley 528 JQ was approved by the Mogale City Local Municipality on 04 May 2011 in terms of Ordinance 20 of the Division of Land Ordinance, 1986.</w:t>
      </w:r>
    </w:p>
    <w:p w14:paraId="21229248" w14:textId="77777777" w:rsidR="00977A0C" w:rsidRPr="00D320B3" w:rsidRDefault="00977A0C" w:rsidP="00977A0C">
      <w:pPr>
        <w:pStyle w:val="ListParagraph"/>
        <w:spacing w:line="480" w:lineRule="auto"/>
        <w:ind w:left="709"/>
        <w:jc w:val="both"/>
        <w:rPr>
          <w:i/>
          <w:u w:val="none"/>
        </w:rPr>
      </w:pPr>
      <w:r w:rsidRPr="00D320B3">
        <w:rPr>
          <w:i/>
          <w:u w:val="none"/>
        </w:rPr>
        <w:t>This was prior to our promulgation of Mogale City Local Municipality’s Spatial Planning and Landuse Management by-laws 2018.</w:t>
      </w:r>
    </w:p>
    <w:p w14:paraId="46528FE0" w14:textId="77777777" w:rsidR="00977A0C" w:rsidRPr="00D320B3" w:rsidRDefault="00977A0C" w:rsidP="00977A0C">
      <w:pPr>
        <w:pStyle w:val="ListParagraph"/>
        <w:spacing w:line="480" w:lineRule="auto"/>
        <w:ind w:left="709"/>
        <w:jc w:val="both"/>
        <w:rPr>
          <w:i/>
          <w:u w:val="none"/>
        </w:rPr>
      </w:pPr>
      <w:r w:rsidRPr="00D320B3">
        <w:rPr>
          <w:i/>
          <w:u w:val="none"/>
        </w:rPr>
        <w:t>The Mogale City Local Municipality has no objections to the registration.</w:t>
      </w:r>
    </w:p>
    <w:p w14:paraId="6866554C" w14:textId="77777777" w:rsidR="00CC5119" w:rsidRPr="00CC5119" w:rsidRDefault="00CC5119" w:rsidP="00D06413">
      <w:pPr>
        <w:pStyle w:val="ListParagraph"/>
        <w:jc w:val="both"/>
        <w:rPr>
          <w:u w:val="none"/>
        </w:rPr>
      </w:pPr>
    </w:p>
    <w:p w14:paraId="38E3250B" w14:textId="099B8646" w:rsidR="00CC5119" w:rsidRPr="00964007" w:rsidRDefault="00964007" w:rsidP="00964007">
      <w:pPr>
        <w:spacing w:line="480" w:lineRule="auto"/>
        <w:ind w:left="709" w:hanging="709"/>
        <w:jc w:val="both"/>
        <w:rPr>
          <w:u w:val="none"/>
        </w:rPr>
      </w:pPr>
      <w:r>
        <w:rPr>
          <w:u w:val="none"/>
        </w:rPr>
        <w:t>22.</w:t>
      </w:r>
      <w:r>
        <w:rPr>
          <w:u w:val="none"/>
        </w:rPr>
        <w:tab/>
      </w:r>
      <w:r w:rsidR="00D320B3" w:rsidRPr="00964007">
        <w:rPr>
          <w:u w:val="none"/>
        </w:rPr>
        <w:t>The consent was accompanied by a certificate which reads:</w:t>
      </w:r>
    </w:p>
    <w:p w14:paraId="7D10E811" w14:textId="77777777" w:rsidR="00D320B3" w:rsidRPr="00826C4B" w:rsidRDefault="00D320B3" w:rsidP="00D320B3">
      <w:pPr>
        <w:pStyle w:val="ListParagraph"/>
        <w:spacing w:line="480" w:lineRule="auto"/>
        <w:ind w:left="709"/>
        <w:jc w:val="both"/>
        <w:rPr>
          <w:i/>
          <w:u w:val="none"/>
        </w:rPr>
      </w:pPr>
      <w:r w:rsidRPr="00826C4B">
        <w:rPr>
          <w:i/>
          <w:u w:val="none"/>
        </w:rPr>
        <w:lastRenderedPageBreak/>
        <w:t xml:space="preserve">“CERTIFICATE </w:t>
      </w:r>
      <w:r w:rsidR="008C2923" w:rsidRPr="00826C4B">
        <w:rPr>
          <w:i/>
          <w:u w:val="none"/>
        </w:rPr>
        <w:t>WITH REGARD TO APPLICATION IN TERMS OF SECTION 6(1) OF THE DIVISION OF LAND ORDINANCE, 1986</w:t>
      </w:r>
    </w:p>
    <w:p w14:paraId="0CA3C28C" w14:textId="77777777" w:rsidR="008C2923" w:rsidRPr="00826C4B" w:rsidRDefault="008C2923" w:rsidP="00D320B3">
      <w:pPr>
        <w:pStyle w:val="ListParagraph"/>
        <w:spacing w:line="480" w:lineRule="auto"/>
        <w:ind w:left="709"/>
        <w:jc w:val="both"/>
        <w:rPr>
          <w:i/>
          <w:u w:val="none"/>
        </w:rPr>
      </w:pPr>
      <w:r w:rsidRPr="00826C4B">
        <w:rPr>
          <w:i/>
          <w:u w:val="none"/>
        </w:rPr>
        <w:t xml:space="preserve">It is hereby certified that the Mogale City Local Municipality has in terms of </w:t>
      </w:r>
      <w:r w:rsidR="00826C4B" w:rsidRPr="00826C4B">
        <w:rPr>
          <w:i/>
          <w:u w:val="none"/>
        </w:rPr>
        <w:t>Section</w:t>
      </w:r>
      <w:r w:rsidRPr="00826C4B">
        <w:rPr>
          <w:i/>
          <w:u w:val="none"/>
        </w:rPr>
        <w:t xml:space="preserve"> 18(1) of the Division of Land Ordinance</w:t>
      </w:r>
      <w:r w:rsidR="003F24F6">
        <w:rPr>
          <w:i/>
          <w:u w:val="none"/>
        </w:rPr>
        <w:t>, 1986 (Ordinance 20 of 1986) approved the Section 11(2) of the said ordinance have been adhered to.</w:t>
      </w:r>
      <w:r w:rsidR="00826C4B">
        <w:rPr>
          <w:i/>
          <w:u w:val="none"/>
        </w:rPr>
        <w:t>”</w:t>
      </w:r>
    </w:p>
    <w:p w14:paraId="016B3DC5" w14:textId="77777777" w:rsidR="00CC5119" w:rsidRPr="00CC5119" w:rsidRDefault="00CC5119" w:rsidP="00D06413">
      <w:pPr>
        <w:pStyle w:val="ListParagraph"/>
        <w:jc w:val="both"/>
        <w:rPr>
          <w:u w:val="none"/>
        </w:rPr>
      </w:pPr>
    </w:p>
    <w:p w14:paraId="0A2D57EE" w14:textId="2C3C0FBC" w:rsidR="00CC5119" w:rsidRPr="00964007" w:rsidRDefault="00964007" w:rsidP="00964007">
      <w:pPr>
        <w:spacing w:line="480" w:lineRule="auto"/>
        <w:ind w:left="709" w:hanging="709"/>
        <w:jc w:val="both"/>
        <w:rPr>
          <w:u w:val="none"/>
        </w:rPr>
      </w:pPr>
      <w:r>
        <w:rPr>
          <w:u w:val="none"/>
        </w:rPr>
        <w:t>23.</w:t>
      </w:r>
      <w:r>
        <w:rPr>
          <w:u w:val="none"/>
        </w:rPr>
        <w:tab/>
      </w:r>
      <w:r w:rsidR="003F24F6" w:rsidRPr="00964007">
        <w:rPr>
          <w:u w:val="none"/>
        </w:rPr>
        <w:t>The</w:t>
      </w:r>
      <w:r w:rsidR="008225EC" w:rsidRPr="00964007">
        <w:rPr>
          <w:u w:val="none"/>
        </w:rPr>
        <w:t xml:space="preserve"> proverbial </w:t>
      </w:r>
      <w:r w:rsidR="00CD2CBD" w:rsidRPr="00964007">
        <w:rPr>
          <w:u w:val="none"/>
        </w:rPr>
        <w:t>fly landed</w:t>
      </w:r>
      <w:r w:rsidR="009C4E91" w:rsidRPr="00964007">
        <w:rPr>
          <w:u w:val="none"/>
        </w:rPr>
        <w:t xml:space="preserve"> in</w:t>
      </w:r>
      <w:r w:rsidR="008225EC" w:rsidRPr="00964007">
        <w:rPr>
          <w:u w:val="none"/>
        </w:rPr>
        <w:t xml:space="preserve"> the </w:t>
      </w:r>
      <w:r w:rsidR="003F24F6" w:rsidRPr="00964007">
        <w:rPr>
          <w:u w:val="none"/>
        </w:rPr>
        <w:t xml:space="preserve">ointment when Wrapex was </w:t>
      </w:r>
      <w:r w:rsidR="00BE7738" w:rsidRPr="00964007">
        <w:rPr>
          <w:u w:val="none"/>
        </w:rPr>
        <w:t>placed</w:t>
      </w:r>
      <w:r w:rsidR="003F24F6" w:rsidRPr="00964007">
        <w:rPr>
          <w:u w:val="none"/>
        </w:rPr>
        <w:t xml:space="preserve"> in business rescue</w:t>
      </w:r>
      <w:r w:rsidR="009E00CF" w:rsidRPr="00964007">
        <w:rPr>
          <w:u w:val="none"/>
        </w:rPr>
        <w:t xml:space="preserve"> on 12 July 2016 and the 2</w:t>
      </w:r>
      <w:r w:rsidR="009E00CF" w:rsidRPr="00964007">
        <w:rPr>
          <w:u w:val="none"/>
          <w:vertAlign w:val="superscript"/>
        </w:rPr>
        <w:t>nd</w:t>
      </w:r>
      <w:r w:rsidR="009E00CF" w:rsidRPr="00964007">
        <w:rPr>
          <w:u w:val="none"/>
        </w:rPr>
        <w:t xml:space="preserve"> respondent appointed as BRP. This effectively halted the registration of the ap</w:t>
      </w:r>
      <w:r w:rsidR="00E57696" w:rsidRPr="00964007">
        <w:rPr>
          <w:u w:val="none"/>
        </w:rPr>
        <w:t>proved sub-division. The BRP’s B</w:t>
      </w:r>
      <w:r w:rsidR="009E00CF" w:rsidRPr="00964007">
        <w:rPr>
          <w:u w:val="none"/>
        </w:rPr>
        <w:t xml:space="preserve">usiness </w:t>
      </w:r>
      <w:r w:rsidR="00E57696" w:rsidRPr="00964007">
        <w:rPr>
          <w:u w:val="none"/>
        </w:rPr>
        <w:t>R</w:t>
      </w:r>
      <w:r w:rsidR="009E00CF" w:rsidRPr="00964007">
        <w:rPr>
          <w:u w:val="none"/>
        </w:rPr>
        <w:t xml:space="preserve">escue </w:t>
      </w:r>
      <w:r w:rsidR="00E57696" w:rsidRPr="00964007">
        <w:rPr>
          <w:u w:val="none"/>
        </w:rPr>
        <w:t>P</w:t>
      </w:r>
      <w:r w:rsidR="009E00CF" w:rsidRPr="00964007">
        <w:rPr>
          <w:u w:val="none"/>
        </w:rPr>
        <w:t>lan was adopted by creditors on 13 July 2017. Importantly, ABSA bank was admitted as a secured creditor in the amount of R48 662 878 and R2 113</w:t>
      </w:r>
      <w:r w:rsidR="004F3513" w:rsidRPr="00964007">
        <w:rPr>
          <w:u w:val="none"/>
        </w:rPr>
        <w:t> 510. Both the BRP and ABSA</w:t>
      </w:r>
      <w:r w:rsidR="009E00CF" w:rsidRPr="00964007">
        <w:rPr>
          <w:u w:val="none"/>
        </w:rPr>
        <w:t xml:space="preserve"> were aware of the pending sub-division of the property as is clear from the correspondence:</w:t>
      </w:r>
    </w:p>
    <w:p w14:paraId="08930322" w14:textId="67B3965B" w:rsidR="009E00CF" w:rsidRDefault="009E00CF" w:rsidP="007D6B68">
      <w:pPr>
        <w:pStyle w:val="ListParagraph"/>
        <w:spacing w:line="480" w:lineRule="auto"/>
        <w:ind w:left="1440" w:hanging="731"/>
        <w:jc w:val="both"/>
        <w:rPr>
          <w:u w:val="none"/>
        </w:rPr>
      </w:pPr>
      <w:r>
        <w:rPr>
          <w:u w:val="none"/>
        </w:rPr>
        <w:t>23.1</w:t>
      </w:r>
      <w:r>
        <w:rPr>
          <w:u w:val="none"/>
        </w:rPr>
        <w:tab/>
        <w:t xml:space="preserve">on 4 July 2017 an email from Pieter Prinsloo (of the </w:t>
      </w:r>
      <w:r w:rsidR="00E57696">
        <w:rPr>
          <w:u w:val="none"/>
        </w:rPr>
        <w:t>Trust</w:t>
      </w:r>
      <w:r>
        <w:rPr>
          <w:u w:val="none"/>
        </w:rPr>
        <w:t>)</w:t>
      </w:r>
      <w:r w:rsidR="006C69A7">
        <w:rPr>
          <w:u w:val="none"/>
        </w:rPr>
        <w:t xml:space="preserve"> </w:t>
      </w:r>
      <w:r>
        <w:rPr>
          <w:u w:val="none"/>
        </w:rPr>
        <w:t xml:space="preserve">to Robby Wray (Wraypex) </w:t>
      </w:r>
      <w:r w:rsidR="007D6B68">
        <w:rPr>
          <w:u w:val="none"/>
        </w:rPr>
        <w:t xml:space="preserve">reads: </w:t>
      </w:r>
    </w:p>
    <w:p w14:paraId="0AEBDAC7" w14:textId="77777777" w:rsidR="007D6B68" w:rsidRPr="007D6B68" w:rsidRDefault="007D6B68" w:rsidP="007D6B68">
      <w:pPr>
        <w:pStyle w:val="ListParagraph"/>
        <w:spacing w:line="480" w:lineRule="auto"/>
        <w:ind w:left="1440" w:hanging="731"/>
        <w:jc w:val="both"/>
        <w:rPr>
          <w:i/>
          <w:u w:val="none"/>
        </w:rPr>
      </w:pPr>
      <w:r>
        <w:rPr>
          <w:u w:val="none"/>
        </w:rPr>
        <w:tab/>
      </w:r>
      <w:r w:rsidRPr="007D6B68">
        <w:rPr>
          <w:i/>
          <w:u w:val="none"/>
        </w:rPr>
        <w:t>“Unfortunately the sub-division has not been finalised but we hope that it will happen soon. We are awaiting Section 25 clearance according to Theuns van Brakel.</w:t>
      </w:r>
    </w:p>
    <w:p w14:paraId="1534AE98" w14:textId="77777777" w:rsidR="007D6B68" w:rsidRPr="007D6B68" w:rsidRDefault="007D6B68" w:rsidP="007D6B68">
      <w:pPr>
        <w:pStyle w:val="ListParagraph"/>
        <w:spacing w:line="480" w:lineRule="auto"/>
        <w:ind w:left="1440" w:hanging="731"/>
        <w:jc w:val="both"/>
        <w:rPr>
          <w:i/>
          <w:u w:val="none"/>
        </w:rPr>
      </w:pPr>
      <w:r w:rsidRPr="007D6B68">
        <w:rPr>
          <w:i/>
          <w:u w:val="none"/>
        </w:rPr>
        <w:tab/>
        <w:t>We will appreciate if to receive a letter from the appointed Business Rescue Practitioner (Marius van Tonder if we remember correctly) acknowledging the attached agreement.</w:t>
      </w:r>
    </w:p>
    <w:p w14:paraId="211AB215" w14:textId="767B1799" w:rsidR="007D6B68" w:rsidRPr="007D6B68" w:rsidRDefault="004F7C40" w:rsidP="007D6B68">
      <w:pPr>
        <w:pStyle w:val="ListParagraph"/>
        <w:spacing w:line="480" w:lineRule="auto"/>
        <w:ind w:left="1440"/>
        <w:jc w:val="both"/>
        <w:rPr>
          <w:i/>
          <w:u w:val="none"/>
        </w:rPr>
      </w:pPr>
      <w:r>
        <w:rPr>
          <w:i/>
          <w:u w:val="none"/>
        </w:rPr>
        <w:t>Please inform us if you</w:t>
      </w:r>
      <w:r w:rsidR="007D6B68" w:rsidRPr="007D6B68">
        <w:rPr>
          <w:i/>
          <w:u w:val="none"/>
        </w:rPr>
        <w:t xml:space="preserve"> require any other information from us or whether we should contact the Practitioner directly.”</w:t>
      </w:r>
    </w:p>
    <w:p w14:paraId="182E9BF2" w14:textId="77777777" w:rsidR="00CC5119" w:rsidRDefault="007D6B68" w:rsidP="007D6B68">
      <w:pPr>
        <w:pStyle w:val="ListParagraph"/>
        <w:spacing w:line="480" w:lineRule="auto"/>
        <w:jc w:val="both"/>
        <w:rPr>
          <w:u w:val="none"/>
        </w:rPr>
      </w:pPr>
      <w:r>
        <w:rPr>
          <w:u w:val="none"/>
        </w:rPr>
        <w:t>23.2</w:t>
      </w:r>
      <w:r>
        <w:rPr>
          <w:u w:val="none"/>
        </w:rPr>
        <w:tab/>
        <w:t>on 20 October 2017 the BRP responded as follows:</w:t>
      </w:r>
    </w:p>
    <w:p w14:paraId="4F21599C" w14:textId="77777777" w:rsidR="007D6B68" w:rsidRPr="007D6B68" w:rsidRDefault="007D6B68" w:rsidP="007D6B68">
      <w:pPr>
        <w:pStyle w:val="ListParagraph"/>
        <w:spacing w:line="480" w:lineRule="auto"/>
        <w:jc w:val="both"/>
        <w:rPr>
          <w:i/>
          <w:u w:val="none"/>
        </w:rPr>
      </w:pPr>
      <w:r>
        <w:rPr>
          <w:u w:val="none"/>
        </w:rPr>
        <w:tab/>
      </w:r>
      <w:r w:rsidRPr="007D6B68">
        <w:rPr>
          <w:i/>
          <w:u w:val="none"/>
        </w:rPr>
        <w:t>“Aangehegte kontrak en onderstaande verwys:</w:t>
      </w:r>
    </w:p>
    <w:p w14:paraId="4D778AD4" w14:textId="77777777" w:rsidR="007D6B68" w:rsidRPr="007D6B68" w:rsidRDefault="007D6B68" w:rsidP="007D6B68">
      <w:pPr>
        <w:pStyle w:val="ListParagraph"/>
        <w:spacing w:line="480" w:lineRule="auto"/>
        <w:ind w:left="1440"/>
        <w:jc w:val="both"/>
        <w:rPr>
          <w:i/>
          <w:u w:val="none"/>
        </w:rPr>
      </w:pPr>
      <w:r w:rsidRPr="007D6B68">
        <w:rPr>
          <w:i/>
          <w:u w:val="none"/>
        </w:rPr>
        <w:lastRenderedPageBreak/>
        <w:t>Ek verneem van Michael Lenz dat julle gesels het oor die aangeleentheid.</w:t>
      </w:r>
    </w:p>
    <w:p w14:paraId="7E15BE61" w14:textId="5B2BF6EE" w:rsidR="007D6B68" w:rsidRPr="007D6B68" w:rsidRDefault="007D6B68" w:rsidP="007D6B68">
      <w:pPr>
        <w:pStyle w:val="ListParagraph"/>
        <w:spacing w:line="480" w:lineRule="auto"/>
        <w:ind w:firstLine="720"/>
        <w:jc w:val="both"/>
        <w:rPr>
          <w:i/>
          <w:u w:val="none"/>
        </w:rPr>
      </w:pPr>
      <w:r w:rsidRPr="007D6B68">
        <w:rPr>
          <w:i/>
          <w:u w:val="none"/>
        </w:rPr>
        <w:t>Ek s</w:t>
      </w:r>
      <w:r w:rsidR="00E57696">
        <w:rPr>
          <w:i/>
          <w:u w:val="none"/>
        </w:rPr>
        <w:t>t</w:t>
      </w:r>
      <w:r w:rsidRPr="007D6B68">
        <w:rPr>
          <w:i/>
          <w:u w:val="none"/>
        </w:rPr>
        <w:t>el voor ons ontmoet en bespreek al die moontlike opsies.</w:t>
      </w:r>
    </w:p>
    <w:p w14:paraId="23358780" w14:textId="5AF06DD3" w:rsidR="007D6B68" w:rsidRPr="007D6B68" w:rsidRDefault="007D6B68" w:rsidP="007D6B68">
      <w:pPr>
        <w:pStyle w:val="ListParagraph"/>
        <w:spacing w:line="480" w:lineRule="auto"/>
        <w:ind w:firstLine="720"/>
        <w:jc w:val="both"/>
        <w:rPr>
          <w:i/>
          <w:u w:val="none"/>
        </w:rPr>
      </w:pPr>
      <w:r w:rsidRPr="007D6B68">
        <w:rPr>
          <w:i/>
          <w:u w:val="none"/>
        </w:rPr>
        <w:t>Soos jy weet het ABSA n verband oor die grond en wil dit verkoop.</w:t>
      </w:r>
    </w:p>
    <w:p w14:paraId="579C0181" w14:textId="77777777" w:rsidR="007D6B68" w:rsidRPr="007D6B68" w:rsidRDefault="007D6B68" w:rsidP="007D6B68">
      <w:pPr>
        <w:pStyle w:val="ListParagraph"/>
        <w:spacing w:line="480" w:lineRule="auto"/>
        <w:ind w:firstLine="720"/>
        <w:jc w:val="both"/>
        <w:rPr>
          <w:i/>
          <w:u w:val="none"/>
        </w:rPr>
      </w:pPr>
      <w:r w:rsidRPr="007D6B68">
        <w:rPr>
          <w:i/>
          <w:u w:val="none"/>
        </w:rPr>
        <w:t>ABSA is bewus van die situasie rondom die onderverdeling.</w:t>
      </w:r>
    </w:p>
    <w:p w14:paraId="16F2A10F" w14:textId="77777777" w:rsidR="007D6B68" w:rsidRDefault="007D6B68" w:rsidP="007D6B68">
      <w:pPr>
        <w:pStyle w:val="ListParagraph"/>
        <w:spacing w:line="480" w:lineRule="auto"/>
        <w:ind w:firstLine="720"/>
        <w:jc w:val="both"/>
        <w:rPr>
          <w:i/>
          <w:u w:val="none"/>
        </w:rPr>
      </w:pPr>
      <w:r w:rsidRPr="007D6B68">
        <w:rPr>
          <w:i/>
          <w:u w:val="none"/>
        </w:rPr>
        <w:t>Laat weet waneer en waar ons kan ontmoet.”</w:t>
      </w:r>
    </w:p>
    <w:p w14:paraId="75198534" w14:textId="77777777" w:rsidR="00F22AC2" w:rsidRPr="007D6B68" w:rsidRDefault="00F22AC2" w:rsidP="007D6B68">
      <w:pPr>
        <w:pStyle w:val="ListParagraph"/>
        <w:spacing w:line="480" w:lineRule="auto"/>
        <w:ind w:firstLine="720"/>
        <w:jc w:val="both"/>
        <w:rPr>
          <w:i/>
          <w:u w:val="none"/>
        </w:rPr>
      </w:pPr>
    </w:p>
    <w:p w14:paraId="6F18040A" w14:textId="11E28AE9" w:rsidR="00CC5119" w:rsidRPr="00964007" w:rsidRDefault="00964007" w:rsidP="00964007">
      <w:pPr>
        <w:spacing w:line="480" w:lineRule="auto"/>
        <w:ind w:left="709" w:hanging="709"/>
        <w:jc w:val="both"/>
        <w:rPr>
          <w:u w:val="none"/>
        </w:rPr>
      </w:pPr>
      <w:r>
        <w:rPr>
          <w:u w:val="none"/>
        </w:rPr>
        <w:t>24.</w:t>
      </w:r>
      <w:r>
        <w:rPr>
          <w:u w:val="none"/>
        </w:rPr>
        <w:tab/>
      </w:r>
      <w:r w:rsidR="004F3513" w:rsidRPr="00964007">
        <w:rPr>
          <w:u w:val="none"/>
        </w:rPr>
        <w:t>As is apparent, ABSA</w:t>
      </w:r>
      <w:r w:rsidR="00F56A8B" w:rsidRPr="00964007">
        <w:rPr>
          <w:u w:val="none"/>
        </w:rPr>
        <w:t xml:space="preserve"> wanted to sell the property and on 23 November 2017 (with knowledge </w:t>
      </w:r>
      <w:r w:rsidR="00F22AC2" w:rsidRPr="00964007">
        <w:rPr>
          <w:u w:val="none"/>
        </w:rPr>
        <w:t>of the Trust) an auction was held. The offer of R5 million was rejec</w:t>
      </w:r>
      <w:r w:rsidR="004F3513" w:rsidRPr="00964007">
        <w:rPr>
          <w:u w:val="none"/>
        </w:rPr>
        <w:t>ted by both the Trust and ABSA</w:t>
      </w:r>
      <w:r w:rsidR="00F22AC2" w:rsidRPr="00964007">
        <w:rPr>
          <w:u w:val="none"/>
        </w:rPr>
        <w:t>. An email from Prinsloo dated 23 November 2017 states:</w:t>
      </w:r>
    </w:p>
    <w:p w14:paraId="075FE00F" w14:textId="77777777" w:rsidR="00F22AC2" w:rsidRPr="00F22AC2" w:rsidRDefault="00F22AC2" w:rsidP="004F3513">
      <w:pPr>
        <w:pStyle w:val="ListParagraph"/>
        <w:spacing w:line="480" w:lineRule="auto"/>
        <w:ind w:left="1429" w:firstLine="11"/>
        <w:jc w:val="both"/>
        <w:rPr>
          <w:i/>
          <w:u w:val="none"/>
        </w:rPr>
      </w:pPr>
      <w:r w:rsidRPr="00F22AC2">
        <w:rPr>
          <w:i/>
          <w:u w:val="none"/>
        </w:rPr>
        <w:t>“Ek verwys na ons gesprek gister.</w:t>
      </w:r>
    </w:p>
    <w:p w14:paraId="04234CA3" w14:textId="77777777" w:rsidR="00F22AC2" w:rsidRPr="00F22AC2" w:rsidRDefault="00F22AC2" w:rsidP="004F3513">
      <w:pPr>
        <w:pStyle w:val="ListParagraph"/>
        <w:spacing w:line="480" w:lineRule="auto"/>
        <w:ind w:left="1429" w:firstLine="11"/>
        <w:jc w:val="both"/>
        <w:rPr>
          <w:i/>
          <w:u w:val="none"/>
        </w:rPr>
      </w:pPr>
      <w:r w:rsidRPr="00F22AC2">
        <w:rPr>
          <w:i/>
          <w:u w:val="none"/>
        </w:rPr>
        <w:t>’n Aanbod van R5 miljoen is vir bovermelde eiendom op die veiling gemaak wat ’n waarde van ongeveer R67 000 per hektaar gee.</w:t>
      </w:r>
    </w:p>
    <w:p w14:paraId="593FAAA2" w14:textId="77777777" w:rsidR="00F22AC2" w:rsidRPr="00F22AC2" w:rsidRDefault="00F22AC2" w:rsidP="004F3513">
      <w:pPr>
        <w:pStyle w:val="ListParagraph"/>
        <w:spacing w:line="480" w:lineRule="auto"/>
        <w:ind w:left="1429"/>
        <w:jc w:val="both"/>
        <w:rPr>
          <w:i/>
          <w:u w:val="none"/>
        </w:rPr>
      </w:pPr>
      <w:r w:rsidRPr="00F22AC2">
        <w:rPr>
          <w:i/>
          <w:u w:val="none"/>
        </w:rPr>
        <w:t>Dit beteken dat Absa ongeveer R2 200 000 sal kry vir die 33 hektaar en ons ongeveer R2 680 000 vir 40 hektaar.</w:t>
      </w:r>
    </w:p>
    <w:p w14:paraId="7A81E323" w14:textId="77777777" w:rsidR="00F22AC2" w:rsidRPr="00F22AC2" w:rsidRDefault="00F22AC2" w:rsidP="004F3513">
      <w:pPr>
        <w:pStyle w:val="ListParagraph"/>
        <w:spacing w:line="480" w:lineRule="auto"/>
        <w:ind w:left="1418" w:firstLine="11"/>
        <w:jc w:val="both"/>
        <w:rPr>
          <w:i/>
          <w:u w:val="none"/>
        </w:rPr>
      </w:pPr>
      <w:r w:rsidRPr="00F22AC2">
        <w:rPr>
          <w:i/>
          <w:u w:val="none"/>
        </w:rPr>
        <w:t>Ons is nie bereid om die R67 000 per hektaar to aanvaar nie.</w:t>
      </w:r>
    </w:p>
    <w:p w14:paraId="63F3B132" w14:textId="77777777" w:rsidR="00F22AC2" w:rsidRPr="00F22AC2" w:rsidRDefault="00F22AC2" w:rsidP="00F22AC2">
      <w:pPr>
        <w:pStyle w:val="ListParagraph"/>
        <w:spacing w:line="480" w:lineRule="auto"/>
        <w:ind w:left="709"/>
        <w:jc w:val="both"/>
        <w:rPr>
          <w:i/>
          <w:u w:val="none"/>
        </w:rPr>
      </w:pPr>
    </w:p>
    <w:p w14:paraId="16E1B231" w14:textId="57E18114" w:rsidR="00F22AC2" w:rsidRPr="00F22AC2" w:rsidRDefault="00F22AC2" w:rsidP="004F3513">
      <w:pPr>
        <w:pStyle w:val="ListParagraph"/>
        <w:spacing w:line="480" w:lineRule="auto"/>
        <w:ind w:left="1418"/>
        <w:jc w:val="both"/>
        <w:rPr>
          <w:i/>
          <w:u w:val="none"/>
        </w:rPr>
      </w:pPr>
      <w:r w:rsidRPr="00F22AC2">
        <w:rPr>
          <w:i/>
          <w:u w:val="none"/>
        </w:rPr>
        <w:t>Ons is wel bereid om die 33 hektaar te koop vir R3 000 000 en benodig ’n verband van Absa. Die totale eiendom kan dan as sekuriteit dien.</w:t>
      </w:r>
    </w:p>
    <w:p w14:paraId="6B7DD245" w14:textId="77777777" w:rsidR="00CC5119" w:rsidRPr="00F22AC2" w:rsidRDefault="00F22AC2" w:rsidP="004F3513">
      <w:pPr>
        <w:pStyle w:val="ListParagraph"/>
        <w:spacing w:line="480" w:lineRule="auto"/>
        <w:ind w:left="1418"/>
        <w:jc w:val="both"/>
        <w:rPr>
          <w:i/>
          <w:u w:val="none"/>
        </w:rPr>
      </w:pPr>
      <w:r w:rsidRPr="00F22AC2">
        <w:rPr>
          <w:i/>
          <w:u w:val="none"/>
        </w:rPr>
        <w:t>Ons het ook ander eiendomme en besigheid wat ons kan bespreek indien hierdie vir julle ’n opsie is.</w:t>
      </w:r>
    </w:p>
    <w:p w14:paraId="54F8A46A" w14:textId="77777777" w:rsidR="00F22AC2" w:rsidRPr="00F22AC2" w:rsidRDefault="00F22AC2" w:rsidP="00F22AC2">
      <w:pPr>
        <w:pStyle w:val="ListParagraph"/>
        <w:spacing w:line="480" w:lineRule="auto"/>
        <w:ind w:left="709"/>
        <w:jc w:val="both"/>
        <w:rPr>
          <w:i/>
          <w:u w:val="none"/>
        </w:rPr>
      </w:pPr>
    </w:p>
    <w:p w14:paraId="61C86061" w14:textId="77777777" w:rsidR="00F22AC2" w:rsidRDefault="00F22AC2" w:rsidP="004F3513">
      <w:pPr>
        <w:pStyle w:val="ListParagraph"/>
        <w:spacing w:line="480" w:lineRule="auto"/>
        <w:ind w:left="1407" w:firstLine="11"/>
        <w:jc w:val="both"/>
        <w:rPr>
          <w:i/>
          <w:u w:val="none"/>
        </w:rPr>
      </w:pPr>
      <w:r w:rsidRPr="00F22AC2">
        <w:rPr>
          <w:i/>
          <w:u w:val="none"/>
        </w:rPr>
        <w:t>Ons verneem mettertyd van jou.”</w:t>
      </w:r>
    </w:p>
    <w:p w14:paraId="5F265C54" w14:textId="77777777" w:rsidR="002A41A1" w:rsidRPr="00F22AC2" w:rsidRDefault="002A41A1" w:rsidP="00F22AC2">
      <w:pPr>
        <w:pStyle w:val="ListParagraph"/>
        <w:spacing w:line="480" w:lineRule="auto"/>
        <w:ind w:left="709"/>
        <w:jc w:val="both"/>
        <w:rPr>
          <w:i/>
          <w:u w:val="none"/>
        </w:rPr>
      </w:pPr>
    </w:p>
    <w:p w14:paraId="5DB0DC5A" w14:textId="0516DAE4" w:rsidR="00CC5119" w:rsidRPr="00964007" w:rsidRDefault="00964007" w:rsidP="00964007">
      <w:pPr>
        <w:spacing w:line="480" w:lineRule="auto"/>
        <w:ind w:left="709" w:hanging="709"/>
        <w:jc w:val="both"/>
        <w:rPr>
          <w:u w:val="none"/>
        </w:rPr>
      </w:pPr>
      <w:r>
        <w:rPr>
          <w:u w:val="none"/>
        </w:rPr>
        <w:lastRenderedPageBreak/>
        <w:t>25.</w:t>
      </w:r>
      <w:r>
        <w:rPr>
          <w:u w:val="none"/>
        </w:rPr>
        <w:tab/>
      </w:r>
      <w:r w:rsidR="00F2433D" w:rsidRPr="00964007">
        <w:rPr>
          <w:u w:val="none"/>
        </w:rPr>
        <w:t xml:space="preserve">But a month prior, on 31 October 2017 Van Brakel had informed the Trust that the subdivision had been approved, that the s25 application had been </w:t>
      </w:r>
      <w:r w:rsidR="00A23B01" w:rsidRPr="00964007">
        <w:rPr>
          <w:u w:val="none"/>
        </w:rPr>
        <w:t>submitted and would take</w:t>
      </w:r>
      <w:r w:rsidR="00186AC4" w:rsidRPr="00964007">
        <w:rPr>
          <w:u w:val="none"/>
        </w:rPr>
        <w:t xml:space="preserve"> Mogale City</w:t>
      </w:r>
      <w:r w:rsidR="00A23B01" w:rsidRPr="00964007">
        <w:rPr>
          <w:u w:val="none"/>
        </w:rPr>
        <w:t xml:space="preserve"> 3-4 months to approve. The Trust then dema</w:t>
      </w:r>
      <w:r w:rsidR="004F3513" w:rsidRPr="00964007">
        <w:rPr>
          <w:u w:val="none"/>
        </w:rPr>
        <w:t>nded transfer of the 40 ha</w:t>
      </w:r>
      <w:r w:rsidR="00A23B01" w:rsidRPr="00964007">
        <w:rPr>
          <w:u w:val="none"/>
        </w:rPr>
        <w:t xml:space="preserve"> which was met by the</w:t>
      </w:r>
      <w:r w:rsidR="004F3513" w:rsidRPr="00964007">
        <w:rPr>
          <w:u w:val="none"/>
        </w:rPr>
        <w:t xml:space="preserve"> following letter from ABSA</w:t>
      </w:r>
      <w:r w:rsidR="00A23B01" w:rsidRPr="00964007">
        <w:rPr>
          <w:u w:val="none"/>
        </w:rPr>
        <w:t xml:space="preserve"> on 8 May 2018.</w:t>
      </w:r>
    </w:p>
    <w:p w14:paraId="650260BA" w14:textId="77777777" w:rsidR="00A23B01" w:rsidRPr="005D1103" w:rsidRDefault="00A23B01" w:rsidP="004F3513">
      <w:pPr>
        <w:pStyle w:val="ListParagraph"/>
        <w:spacing w:line="480" w:lineRule="auto"/>
        <w:ind w:left="1429" w:firstLine="11"/>
        <w:jc w:val="both"/>
        <w:rPr>
          <w:i/>
          <w:u w:val="none"/>
        </w:rPr>
      </w:pPr>
      <w:r w:rsidRPr="005D1103">
        <w:rPr>
          <w:i/>
          <w:u w:val="none"/>
        </w:rPr>
        <w:t>“</w:t>
      </w:r>
      <w:r w:rsidR="009D2607" w:rsidRPr="005D1103">
        <w:rPr>
          <w:i/>
          <w:u w:val="none"/>
        </w:rPr>
        <w:t>Your electronic mail dated 25 April refers.</w:t>
      </w:r>
    </w:p>
    <w:p w14:paraId="2745BF53" w14:textId="77777777" w:rsidR="009D2607" w:rsidRPr="005D1103" w:rsidRDefault="009D2607" w:rsidP="004F3513">
      <w:pPr>
        <w:pStyle w:val="ListParagraph"/>
        <w:spacing w:line="480" w:lineRule="auto"/>
        <w:ind w:left="1429"/>
        <w:jc w:val="both"/>
        <w:rPr>
          <w:i/>
          <w:u w:val="none"/>
        </w:rPr>
      </w:pPr>
      <w:r w:rsidRPr="005D1103">
        <w:rPr>
          <w:i/>
          <w:u w:val="none"/>
        </w:rPr>
        <w:t xml:space="preserve">We confirm that we have </w:t>
      </w:r>
      <w:r w:rsidR="005D1103" w:rsidRPr="005D1103">
        <w:rPr>
          <w:i/>
          <w:u w:val="none"/>
        </w:rPr>
        <w:t>solicited</w:t>
      </w:r>
      <w:r w:rsidRPr="005D1103">
        <w:rPr>
          <w:i/>
          <w:u w:val="none"/>
        </w:rPr>
        <w:t xml:space="preserve"> legal opinion in respect of Portion 11 and more specifically the contract entered into between GFM Kok Family Trust (“the Trust”) and Wraypex </w:t>
      </w:r>
      <w:r w:rsidR="000A6530" w:rsidRPr="005D1103">
        <w:rPr>
          <w:i/>
          <w:u w:val="none"/>
        </w:rPr>
        <w:t>and the potential transfer of a portion of portion 11 back to the Trust.</w:t>
      </w:r>
    </w:p>
    <w:p w14:paraId="39C9A161" w14:textId="77777777" w:rsidR="004F7025" w:rsidRPr="005D1103" w:rsidRDefault="000A6530" w:rsidP="004F3513">
      <w:pPr>
        <w:pStyle w:val="ListParagraph"/>
        <w:spacing w:line="480" w:lineRule="auto"/>
        <w:ind w:left="1047" w:firstLine="382"/>
        <w:jc w:val="both"/>
        <w:rPr>
          <w:i/>
          <w:u w:val="none"/>
        </w:rPr>
      </w:pPr>
      <w:r w:rsidRPr="005D1103">
        <w:rPr>
          <w:i/>
          <w:u w:val="none"/>
        </w:rPr>
        <w:t xml:space="preserve">We are </w:t>
      </w:r>
      <w:r w:rsidR="005D1103">
        <w:rPr>
          <w:i/>
          <w:u w:val="none"/>
        </w:rPr>
        <w:t xml:space="preserve">of </w:t>
      </w:r>
      <w:r w:rsidRPr="005D1103">
        <w:rPr>
          <w:i/>
          <w:u w:val="none"/>
        </w:rPr>
        <w:t>the view (as supported by the legal opinion) that:</w:t>
      </w:r>
    </w:p>
    <w:p w14:paraId="0740D1FF" w14:textId="16E8C2AD" w:rsidR="000A6530" w:rsidRPr="005D1103" w:rsidRDefault="004F7025" w:rsidP="004F3513">
      <w:pPr>
        <w:pStyle w:val="ListParagraph"/>
        <w:spacing w:line="480" w:lineRule="auto"/>
        <w:ind w:left="2160" w:hanging="731"/>
        <w:jc w:val="both"/>
        <w:rPr>
          <w:i/>
          <w:u w:val="none"/>
        </w:rPr>
      </w:pPr>
      <w:r w:rsidRPr="005D1103">
        <w:rPr>
          <w:i/>
          <w:u w:val="none"/>
        </w:rPr>
        <w:t>1.</w:t>
      </w:r>
      <w:r w:rsidRPr="005D1103">
        <w:rPr>
          <w:i/>
          <w:u w:val="none"/>
        </w:rPr>
        <w:tab/>
      </w:r>
      <w:r w:rsidR="000A6530" w:rsidRPr="005D1103">
        <w:rPr>
          <w:i/>
          <w:u w:val="none"/>
        </w:rPr>
        <w:t>the deed of sale in respect a portion 11 of the Farm Lindley is void;</w:t>
      </w:r>
    </w:p>
    <w:p w14:paraId="5CC4C940" w14:textId="288BB0BB" w:rsidR="000A6530" w:rsidRPr="00964007" w:rsidRDefault="00964007" w:rsidP="00964007">
      <w:pPr>
        <w:spacing w:line="480" w:lineRule="auto"/>
        <w:ind w:left="1789" w:hanging="360"/>
        <w:jc w:val="both"/>
        <w:rPr>
          <w:i/>
          <w:u w:val="none"/>
        </w:rPr>
      </w:pPr>
      <w:r w:rsidRPr="005D1103">
        <w:rPr>
          <w:i/>
          <w:u w:val="none"/>
        </w:rPr>
        <w:t>2.</w:t>
      </w:r>
      <w:r w:rsidRPr="005D1103">
        <w:rPr>
          <w:i/>
          <w:u w:val="none"/>
        </w:rPr>
        <w:tab/>
      </w:r>
      <w:r w:rsidR="000A6530" w:rsidRPr="00964007">
        <w:rPr>
          <w:i/>
          <w:u w:val="none"/>
        </w:rPr>
        <w:t xml:space="preserve">in the absence of compliance of set 3e(i) of the Subdivision of Agricultural </w:t>
      </w:r>
      <w:r w:rsidR="006C69A7" w:rsidRPr="00964007">
        <w:rPr>
          <w:i/>
          <w:u w:val="none"/>
        </w:rPr>
        <w:t>L</w:t>
      </w:r>
      <w:r w:rsidR="000A6530" w:rsidRPr="00964007">
        <w:rPr>
          <w:i/>
          <w:u w:val="none"/>
        </w:rPr>
        <w:t>and Act 70 of 1970, which is a pre-requisite for subdividing and/or transfer of agricultural land, the sale of the portion is void;</w:t>
      </w:r>
    </w:p>
    <w:p w14:paraId="04697D23" w14:textId="1BADC050" w:rsidR="00214118" w:rsidRPr="00964007" w:rsidRDefault="00964007" w:rsidP="00964007">
      <w:pPr>
        <w:spacing w:line="480" w:lineRule="auto"/>
        <w:ind w:left="1789" w:hanging="360"/>
        <w:jc w:val="both"/>
        <w:rPr>
          <w:i/>
          <w:u w:val="none"/>
        </w:rPr>
      </w:pPr>
      <w:r w:rsidRPr="005D1103">
        <w:rPr>
          <w:i/>
          <w:u w:val="none"/>
        </w:rPr>
        <w:t>3.</w:t>
      </w:r>
      <w:r w:rsidRPr="005D1103">
        <w:rPr>
          <w:i/>
          <w:u w:val="none"/>
        </w:rPr>
        <w:tab/>
      </w:r>
      <w:r w:rsidR="00214118" w:rsidRPr="00964007">
        <w:rPr>
          <w:i/>
          <w:u w:val="none"/>
        </w:rPr>
        <w:t>In the event that it is found that the ministerial</w:t>
      </w:r>
      <w:r w:rsidR="004F3513" w:rsidRPr="00964007">
        <w:rPr>
          <w:i/>
          <w:u w:val="none"/>
        </w:rPr>
        <w:t xml:space="preserve"> consent has been obtained i.t.o</w:t>
      </w:r>
      <w:r w:rsidR="00214118" w:rsidRPr="00964007">
        <w:rPr>
          <w:i/>
          <w:u w:val="none"/>
        </w:rPr>
        <w:t xml:space="preserve"> sect 3 (e)</w:t>
      </w:r>
      <w:r w:rsidR="005D2295" w:rsidRPr="00964007">
        <w:rPr>
          <w:i/>
          <w:u w:val="none"/>
        </w:rPr>
        <w:t>(i), the sale is void as the property to be transferred has neither been properly defined nor the location thereof;</w:t>
      </w:r>
    </w:p>
    <w:p w14:paraId="5DF255DF" w14:textId="70805DA1" w:rsidR="005D2295" w:rsidRPr="00964007" w:rsidRDefault="00964007" w:rsidP="00964007">
      <w:pPr>
        <w:spacing w:line="480" w:lineRule="auto"/>
        <w:ind w:left="1789" w:hanging="360"/>
        <w:jc w:val="both"/>
        <w:rPr>
          <w:i/>
          <w:u w:val="none"/>
        </w:rPr>
      </w:pPr>
      <w:r w:rsidRPr="005D1103">
        <w:rPr>
          <w:i/>
          <w:u w:val="none"/>
        </w:rPr>
        <w:t>4.</w:t>
      </w:r>
      <w:r w:rsidRPr="005D1103">
        <w:rPr>
          <w:i/>
          <w:u w:val="none"/>
        </w:rPr>
        <w:tab/>
      </w:r>
      <w:r w:rsidR="005D2295" w:rsidRPr="00964007">
        <w:rPr>
          <w:i/>
          <w:u w:val="none"/>
        </w:rPr>
        <w:t>the contract cannot be rectified ex-post facto;</w:t>
      </w:r>
    </w:p>
    <w:p w14:paraId="34D521A8" w14:textId="6A336E1B" w:rsidR="004F7025" w:rsidRPr="00964007" w:rsidRDefault="00964007" w:rsidP="00964007">
      <w:pPr>
        <w:spacing w:line="480" w:lineRule="auto"/>
        <w:ind w:left="1789" w:hanging="360"/>
        <w:jc w:val="both"/>
        <w:rPr>
          <w:i/>
          <w:u w:val="none"/>
        </w:rPr>
      </w:pPr>
      <w:r w:rsidRPr="005D1103">
        <w:rPr>
          <w:i/>
          <w:u w:val="none"/>
        </w:rPr>
        <w:t>5.</w:t>
      </w:r>
      <w:r w:rsidRPr="005D1103">
        <w:rPr>
          <w:i/>
          <w:u w:val="none"/>
        </w:rPr>
        <w:tab/>
      </w:r>
      <w:r w:rsidR="005D2295" w:rsidRPr="00964007">
        <w:rPr>
          <w:i/>
          <w:u w:val="none"/>
        </w:rPr>
        <w:t>there is no legal impediment registered against the bond to prevent Absa from either selling the property or in terms of which Absa and/or Wraypex is obliged to transfer</w:t>
      </w:r>
      <w:r w:rsidR="004F7025" w:rsidRPr="00964007">
        <w:rPr>
          <w:i/>
          <w:u w:val="none"/>
        </w:rPr>
        <w:t xml:space="preserve"> a portion thereof to the Trust;</w:t>
      </w:r>
    </w:p>
    <w:p w14:paraId="6F78F51B" w14:textId="2C0D4DD2" w:rsidR="004F7025" w:rsidRPr="00964007" w:rsidRDefault="00964007" w:rsidP="00964007">
      <w:pPr>
        <w:spacing w:line="480" w:lineRule="auto"/>
        <w:ind w:left="1789" w:hanging="360"/>
        <w:jc w:val="both"/>
        <w:rPr>
          <w:i/>
          <w:u w:val="none"/>
        </w:rPr>
      </w:pPr>
      <w:r w:rsidRPr="005D1103">
        <w:rPr>
          <w:i/>
          <w:u w:val="none"/>
        </w:rPr>
        <w:lastRenderedPageBreak/>
        <w:t>6.</w:t>
      </w:r>
      <w:r w:rsidRPr="005D1103">
        <w:rPr>
          <w:i/>
          <w:u w:val="none"/>
        </w:rPr>
        <w:tab/>
      </w:r>
      <w:r w:rsidR="004F7025" w:rsidRPr="00964007">
        <w:rPr>
          <w:i/>
          <w:u w:val="none"/>
        </w:rPr>
        <w:t>Absa as legal bond holder of the property and as such is entitled to realise the property;</w:t>
      </w:r>
    </w:p>
    <w:p w14:paraId="0E600D2A" w14:textId="7A985BFA" w:rsidR="004F7025" w:rsidRPr="00964007" w:rsidRDefault="00964007" w:rsidP="00964007">
      <w:pPr>
        <w:spacing w:line="480" w:lineRule="auto"/>
        <w:ind w:left="1789" w:hanging="360"/>
        <w:jc w:val="both"/>
        <w:rPr>
          <w:i/>
          <w:u w:val="none"/>
        </w:rPr>
      </w:pPr>
      <w:r w:rsidRPr="005D1103">
        <w:rPr>
          <w:i/>
          <w:u w:val="none"/>
        </w:rPr>
        <w:t>7.</w:t>
      </w:r>
      <w:r w:rsidRPr="005D1103">
        <w:rPr>
          <w:i/>
          <w:u w:val="none"/>
        </w:rPr>
        <w:tab/>
      </w:r>
      <w:r w:rsidR="004F7025" w:rsidRPr="00964007">
        <w:rPr>
          <w:i/>
          <w:u w:val="none"/>
        </w:rPr>
        <w:t>Absa is further not liable of any costs incurred by the Trust in respect of any subdivision of the property or any other related costs incurred by the Trust;</w:t>
      </w:r>
    </w:p>
    <w:p w14:paraId="15E5BD95" w14:textId="1AD733A9" w:rsidR="004F7025" w:rsidRPr="00964007" w:rsidRDefault="00964007" w:rsidP="00964007">
      <w:pPr>
        <w:spacing w:line="480" w:lineRule="auto"/>
        <w:ind w:left="1789" w:hanging="360"/>
        <w:jc w:val="both"/>
        <w:rPr>
          <w:i/>
          <w:u w:val="none"/>
        </w:rPr>
      </w:pPr>
      <w:r w:rsidRPr="005D1103">
        <w:rPr>
          <w:i/>
          <w:u w:val="none"/>
        </w:rPr>
        <w:t>8.</w:t>
      </w:r>
      <w:r w:rsidRPr="005D1103">
        <w:rPr>
          <w:i/>
          <w:u w:val="none"/>
        </w:rPr>
        <w:tab/>
      </w:r>
      <w:r w:rsidR="004F7025" w:rsidRPr="00964007">
        <w:rPr>
          <w:i/>
          <w:u w:val="none"/>
        </w:rPr>
        <w:t>the claim by the Trust against Wraypex has been extinguished by prescription;</w:t>
      </w:r>
    </w:p>
    <w:p w14:paraId="29A6AEE2" w14:textId="5C71906A" w:rsidR="005D2295" w:rsidRPr="00964007" w:rsidRDefault="00964007" w:rsidP="00964007">
      <w:pPr>
        <w:spacing w:line="480" w:lineRule="auto"/>
        <w:ind w:left="1789" w:hanging="360"/>
        <w:jc w:val="both"/>
        <w:rPr>
          <w:i/>
          <w:u w:val="none"/>
        </w:rPr>
      </w:pPr>
      <w:r w:rsidRPr="005D1103">
        <w:rPr>
          <w:i/>
          <w:u w:val="none"/>
        </w:rPr>
        <w:t>9.</w:t>
      </w:r>
      <w:r w:rsidRPr="005D1103">
        <w:rPr>
          <w:i/>
          <w:u w:val="none"/>
        </w:rPr>
        <w:tab/>
      </w:r>
      <w:r w:rsidR="004F7025" w:rsidRPr="00964007">
        <w:rPr>
          <w:i/>
          <w:u w:val="none"/>
        </w:rPr>
        <w:t>in the event that the Trust is found to have a claim, such claim is to be instituted against Wraypex and to be considered by the Practitioner.”</w:t>
      </w:r>
    </w:p>
    <w:p w14:paraId="7A8FDEF4" w14:textId="77777777" w:rsidR="00CC5119" w:rsidRPr="00CC5119" w:rsidRDefault="00CC5119" w:rsidP="00D06413">
      <w:pPr>
        <w:pStyle w:val="ListParagraph"/>
        <w:jc w:val="both"/>
        <w:rPr>
          <w:u w:val="none"/>
        </w:rPr>
      </w:pPr>
    </w:p>
    <w:p w14:paraId="7C692216" w14:textId="56A5ECFF" w:rsidR="00CC5119" w:rsidRPr="00964007" w:rsidRDefault="00964007" w:rsidP="00964007">
      <w:pPr>
        <w:spacing w:line="480" w:lineRule="auto"/>
        <w:ind w:left="709" w:hanging="709"/>
        <w:jc w:val="both"/>
        <w:rPr>
          <w:u w:val="none"/>
        </w:rPr>
      </w:pPr>
      <w:r>
        <w:rPr>
          <w:u w:val="none"/>
        </w:rPr>
        <w:t>26.</w:t>
      </w:r>
      <w:r>
        <w:rPr>
          <w:u w:val="none"/>
        </w:rPr>
        <w:tab/>
      </w:r>
      <w:r w:rsidR="003C6F64" w:rsidRPr="00964007">
        <w:rPr>
          <w:u w:val="none"/>
        </w:rPr>
        <w:t xml:space="preserve">On 31 May 2018 the parties held a meeting and resolved to suspend all legal proceedings until end September 2018 to enable them to secure a purchaser for the property </w:t>
      </w:r>
      <w:r w:rsidR="003C6F64" w:rsidRPr="00964007">
        <w:rPr>
          <w:i/>
          <w:u w:val="none"/>
        </w:rPr>
        <w:t>“in an attempt to maximise value which in turn will enable parties to negotiate a commercial solution in regards of the current impasse pertaining to ownership and sale of the property, or part there off (sic)”</w:t>
      </w:r>
      <w:r w:rsidR="003C6F64" w:rsidRPr="00964007">
        <w:rPr>
          <w:u w:val="none"/>
        </w:rPr>
        <w:t xml:space="preserve"> and that, in the event that their endeavours were unsuccessful </w:t>
      </w:r>
      <w:r w:rsidR="003C6F64" w:rsidRPr="00964007">
        <w:rPr>
          <w:i/>
          <w:u w:val="none"/>
        </w:rPr>
        <w:t>“no party shall be bound by the discussions held on 31 May 2018 and in the position pre the meeting and the ‘(i)n principal agreement’ shall remain unchanged.”</w:t>
      </w:r>
    </w:p>
    <w:p w14:paraId="684D921D" w14:textId="77777777" w:rsidR="00CC5119" w:rsidRPr="00CC5119" w:rsidRDefault="00CC5119" w:rsidP="00D06413">
      <w:pPr>
        <w:pStyle w:val="ListParagraph"/>
        <w:jc w:val="both"/>
        <w:rPr>
          <w:u w:val="none"/>
        </w:rPr>
      </w:pPr>
    </w:p>
    <w:p w14:paraId="02EB4093" w14:textId="0B634F2E" w:rsidR="00CC5119" w:rsidRPr="00964007" w:rsidRDefault="00964007" w:rsidP="00964007">
      <w:pPr>
        <w:spacing w:line="480" w:lineRule="auto"/>
        <w:ind w:left="709" w:hanging="709"/>
        <w:jc w:val="both"/>
        <w:rPr>
          <w:u w:val="none"/>
        </w:rPr>
      </w:pPr>
      <w:r>
        <w:rPr>
          <w:u w:val="none"/>
        </w:rPr>
        <w:t>27.</w:t>
      </w:r>
      <w:r>
        <w:rPr>
          <w:u w:val="none"/>
        </w:rPr>
        <w:tab/>
      </w:r>
      <w:r w:rsidR="00DB4752" w:rsidRPr="00964007">
        <w:rPr>
          <w:u w:val="none"/>
        </w:rPr>
        <w:t>Over the following 2 years</w:t>
      </w:r>
      <w:r w:rsidR="00186AC4" w:rsidRPr="00964007">
        <w:rPr>
          <w:u w:val="none"/>
        </w:rPr>
        <w:t>,</w:t>
      </w:r>
      <w:r w:rsidR="00DB4752" w:rsidRPr="00964007">
        <w:rPr>
          <w:u w:val="none"/>
        </w:rPr>
        <w:t xml:space="preserve"> various meetings were held by the parties in an attempt to bring about an amicable and commercially viable resolution to their impasse. This however ended when on 3 June 2020 the BRP i</w:t>
      </w:r>
      <w:r w:rsidR="004F3513" w:rsidRPr="00964007">
        <w:rPr>
          <w:u w:val="none"/>
        </w:rPr>
        <w:t>nformed the Trust that ABSA</w:t>
      </w:r>
      <w:r w:rsidR="00DB4752" w:rsidRPr="00964007">
        <w:rPr>
          <w:u w:val="none"/>
        </w:rPr>
        <w:t xml:space="preserve"> had instructed him to accept an offer of R7 million </w:t>
      </w:r>
      <w:r w:rsidR="00186AC4" w:rsidRPr="00964007">
        <w:rPr>
          <w:u w:val="none"/>
        </w:rPr>
        <w:t xml:space="preserve">to purchase the entirety of the property and that he had accepted the offer. The Trust objected </w:t>
      </w:r>
      <w:r w:rsidR="00DB4752" w:rsidRPr="00964007">
        <w:rPr>
          <w:u w:val="none"/>
        </w:rPr>
        <w:t xml:space="preserve">and demanded that the sale be postponed until the matter was resolved to the </w:t>
      </w:r>
      <w:r w:rsidR="00DB4752" w:rsidRPr="00964007">
        <w:rPr>
          <w:u w:val="none"/>
        </w:rPr>
        <w:lastRenderedPageBreak/>
        <w:t>satisfaction of the Trust</w:t>
      </w:r>
      <w:r w:rsidR="00186AC4" w:rsidRPr="00964007">
        <w:rPr>
          <w:u w:val="none"/>
        </w:rPr>
        <w:t>,</w:t>
      </w:r>
      <w:r w:rsidR="00DB4752" w:rsidRPr="00964007">
        <w:rPr>
          <w:u w:val="none"/>
        </w:rPr>
        <w:t xml:space="preserve"> or the Court sanctions the sale, failing which the Trust would approach the Court </w:t>
      </w:r>
      <w:r w:rsidR="00A82770" w:rsidRPr="00964007">
        <w:rPr>
          <w:u w:val="none"/>
        </w:rPr>
        <w:t>for relief.</w:t>
      </w:r>
    </w:p>
    <w:p w14:paraId="1618F94F" w14:textId="77777777" w:rsidR="00CC5119" w:rsidRPr="00CC5119" w:rsidRDefault="00CC5119" w:rsidP="00D06413">
      <w:pPr>
        <w:pStyle w:val="ListParagraph"/>
        <w:jc w:val="both"/>
        <w:rPr>
          <w:u w:val="none"/>
        </w:rPr>
      </w:pPr>
    </w:p>
    <w:p w14:paraId="5720FE21" w14:textId="52B22084" w:rsidR="00CC5119" w:rsidRPr="00964007" w:rsidRDefault="00964007" w:rsidP="00964007">
      <w:pPr>
        <w:spacing w:line="480" w:lineRule="auto"/>
        <w:ind w:left="709" w:hanging="709"/>
        <w:jc w:val="both"/>
        <w:rPr>
          <w:u w:val="none"/>
        </w:rPr>
      </w:pPr>
      <w:r>
        <w:rPr>
          <w:u w:val="none"/>
        </w:rPr>
        <w:t>28.</w:t>
      </w:r>
      <w:r>
        <w:rPr>
          <w:u w:val="none"/>
        </w:rPr>
        <w:tab/>
      </w:r>
      <w:r w:rsidR="00A82770" w:rsidRPr="00964007">
        <w:rPr>
          <w:u w:val="none"/>
        </w:rPr>
        <w:t>On 24 July 2020, the Trust was informed that the sale would proceed, that the Deed of Sale and Addendum were void, that the Ministerial consent was void for want of compliance with section 3(e)(i) of the</w:t>
      </w:r>
      <w:r w:rsidR="00186AC4" w:rsidRPr="00964007">
        <w:rPr>
          <w:u w:val="none"/>
        </w:rPr>
        <w:t xml:space="preserve"> SLA</w:t>
      </w:r>
      <w:r w:rsidR="00A82770" w:rsidRPr="00964007">
        <w:rPr>
          <w:u w:val="none"/>
        </w:rPr>
        <w:t xml:space="preserve"> but that, in any event, the Ministerial consent had expired in August 2015 a year before Wraypex went into business rescue. On 24 July 2020 the BRP also informed the Trust t</w:t>
      </w:r>
      <w:r w:rsidR="004F3513" w:rsidRPr="00964007">
        <w:rPr>
          <w:u w:val="none"/>
        </w:rPr>
        <w:t>hat without the consent of ABSA</w:t>
      </w:r>
      <w:r w:rsidR="00A82770" w:rsidRPr="00964007">
        <w:rPr>
          <w:u w:val="none"/>
        </w:rPr>
        <w:t xml:space="preserve">, as holder of the mortgage bond, and given advice that he had received, he was not in a position to transfer any portion of the property to the Trust.  </w:t>
      </w:r>
    </w:p>
    <w:p w14:paraId="27C20BD6" w14:textId="77777777" w:rsidR="00CC5119" w:rsidRPr="00CC5119" w:rsidRDefault="00CC5119" w:rsidP="00D06413">
      <w:pPr>
        <w:pStyle w:val="ListParagraph"/>
        <w:jc w:val="both"/>
        <w:rPr>
          <w:u w:val="none"/>
        </w:rPr>
      </w:pPr>
    </w:p>
    <w:p w14:paraId="5A4CCE08" w14:textId="2D38F63C" w:rsidR="00CC5119" w:rsidRPr="00964007" w:rsidRDefault="00964007" w:rsidP="00964007">
      <w:pPr>
        <w:spacing w:line="480" w:lineRule="auto"/>
        <w:ind w:left="709" w:hanging="709"/>
        <w:jc w:val="both"/>
        <w:rPr>
          <w:u w:val="none"/>
        </w:rPr>
      </w:pPr>
      <w:r>
        <w:rPr>
          <w:u w:val="none"/>
        </w:rPr>
        <w:t>29.</w:t>
      </w:r>
      <w:r>
        <w:rPr>
          <w:u w:val="none"/>
        </w:rPr>
        <w:tab/>
      </w:r>
      <w:r w:rsidR="00C33B4B" w:rsidRPr="00964007">
        <w:rPr>
          <w:u w:val="none"/>
        </w:rPr>
        <w:t>I</w:t>
      </w:r>
      <w:r w:rsidR="004F3513" w:rsidRPr="00964007">
        <w:rPr>
          <w:u w:val="none"/>
        </w:rPr>
        <w:t xml:space="preserve">n a letter to the BRP and ABSA </w:t>
      </w:r>
      <w:r w:rsidR="00C33B4B" w:rsidRPr="00964007">
        <w:rPr>
          <w:u w:val="none"/>
        </w:rPr>
        <w:t>dated</w:t>
      </w:r>
      <w:r w:rsidR="00186AC4" w:rsidRPr="00964007">
        <w:rPr>
          <w:u w:val="none"/>
        </w:rPr>
        <w:t xml:space="preserve"> 5 August 2020, the Trust informed</w:t>
      </w:r>
      <w:r w:rsidR="00C33B4B" w:rsidRPr="00964007">
        <w:rPr>
          <w:u w:val="none"/>
        </w:rPr>
        <w:t xml:space="preserve"> them that their decision to continue with the sale constitutes a repudiation of the agreement, which the Trust accepts and therefore cancels the agreement. The Trust then demanded restitution</w:t>
      </w:r>
      <w:r w:rsidR="005D1103" w:rsidRPr="00964007">
        <w:rPr>
          <w:u w:val="none"/>
        </w:rPr>
        <w:t xml:space="preserve"> </w:t>
      </w:r>
      <w:r w:rsidR="00186AC4" w:rsidRPr="00964007">
        <w:rPr>
          <w:u w:val="none"/>
        </w:rPr>
        <w:t xml:space="preserve">i.e that </w:t>
      </w:r>
      <w:r w:rsidR="005D1103" w:rsidRPr="00964007">
        <w:rPr>
          <w:u w:val="none"/>
        </w:rPr>
        <w:t>the property be</w:t>
      </w:r>
      <w:r w:rsidR="00C33B4B" w:rsidRPr="00964007">
        <w:rPr>
          <w:u w:val="none"/>
        </w:rPr>
        <w:t xml:space="preserve"> </w:t>
      </w:r>
      <w:r w:rsidR="00186AC4" w:rsidRPr="00964007">
        <w:rPr>
          <w:u w:val="none"/>
        </w:rPr>
        <w:t>re</w:t>
      </w:r>
      <w:r w:rsidR="00C33B4B" w:rsidRPr="00964007">
        <w:rPr>
          <w:u w:val="none"/>
        </w:rPr>
        <w:t xml:space="preserve">transferred </w:t>
      </w:r>
      <w:r w:rsidR="00186AC4" w:rsidRPr="00964007">
        <w:rPr>
          <w:u w:val="none"/>
        </w:rPr>
        <w:t xml:space="preserve">to </w:t>
      </w:r>
      <w:r w:rsidR="00C33B4B" w:rsidRPr="00964007">
        <w:rPr>
          <w:u w:val="none"/>
        </w:rPr>
        <w:t>the Trust against payment o</w:t>
      </w:r>
      <w:r w:rsidR="0019295D" w:rsidRPr="00964007">
        <w:rPr>
          <w:u w:val="none"/>
        </w:rPr>
        <w:t>f the R3,2 million and interest.</w:t>
      </w:r>
    </w:p>
    <w:p w14:paraId="4F88F913" w14:textId="77777777" w:rsidR="00CC5119" w:rsidRPr="00CC5119" w:rsidRDefault="00CC5119" w:rsidP="00D06413">
      <w:pPr>
        <w:pStyle w:val="ListParagraph"/>
        <w:jc w:val="both"/>
        <w:rPr>
          <w:u w:val="none"/>
        </w:rPr>
      </w:pPr>
    </w:p>
    <w:p w14:paraId="54C82485" w14:textId="6A933710" w:rsidR="00CC5119" w:rsidRPr="00964007" w:rsidRDefault="00964007" w:rsidP="00964007">
      <w:pPr>
        <w:spacing w:line="480" w:lineRule="auto"/>
        <w:ind w:left="709" w:hanging="709"/>
        <w:jc w:val="both"/>
        <w:rPr>
          <w:u w:val="none"/>
        </w:rPr>
      </w:pPr>
      <w:r>
        <w:rPr>
          <w:u w:val="none"/>
        </w:rPr>
        <w:t>30.</w:t>
      </w:r>
      <w:r>
        <w:rPr>
          <w:u w:val="none"/>
        </w:rPr>
        <w:tab/>
      </w:r>
      <w:r w:rsidR="00F37C88" w:rsidRPr="00964007">
        <w:rPr>
          <w:u w:val="none"/>
        </w:rPr>
        <w:t xml:space="preserve">On 6 August 2020 </w:t>
      </w:r>
      <w:r w:rsidR="00186AC4" w:rsidRPr="00964007">
        <w:rPr>
          <w:u w:val="none"/>
        </w:rPr>
        <w:t xml:space="preserve">the Trust issued out </w:t>
      </w:r>
      <w:r w:rsidR="00F37C88" w:rsidRPr="00964007">
        <w:rPr>
          <w:u w:val="none"/>
        </w:rPr>
        <w:t>summons in the action between the parties under case number 36310/2020.</w:t>
      </w:r>
      <w:r w:rsidR="00F37C88">
        <w:rPr>
          <w:rStyle w:val="FootnoteReference"/>
          <w:u w:val="none"/>
        </w:rPr>
        <w:footnoteReference w:id="10"/>
      </w:r>
      <w:r w:rsidR="0086241C" w:rsidRPr="00964007">
        <w:rPr>
          <w:u w:val="none"/>
        </w:rPr>
        <w:t xml:space="preserve"> That action is still pending.</w:t>
      </w:r>
    </w:p>
    <w:p w14:paraId="1D2DDB42" w14:textId="77777777" w:rsidR="00CC5119" w:rsidRPr="00CC5119" w:rsidRDefault="00CC5119" w:rsidP="00D06413">
      <w:pPr>
        <w:pStyle w:val="ListParagraph"/>
        <w:jc w:val="both"/>
        <w:rPr>
          <w:u w:val="none"/>
        </w:rPr>
      </w:pPr>
    </w:p>
    <w:p w14:paraId="03413DC2" w14:textId="4B0A3FA6" w:rsidR="00CC5119" w:rsidRPr="00964007" w:rsidRDefault="00964007" w:rsidP="00964007">
      <w:pPr>
        <w:spacing w:line="480" w:lineRule="auto"/>
        <w:ind w:left="709" w:hanging="709"/>
        <w:jc w:val="both"/>
        <w:rPr>
          <w:u w:val="none"/>
        </w:rPr>
      </w:pPr>
      <w:r>
        <w:rPr>
          <w:u w:val="none"/>
        </w:rPr>
        <w:t>31.</w:t>
      </w:r>
      <w:r>
        <w:rPr>
          <w:u w:val="none"/>
        </w:rPr>
        <w:tab/>
      </w:r>
      <w:r w:rsidR="0086241C" w:rsidRPr="00964007">
        <w:rPr>
          <w:u w:val="none"/>
        </w:rPr>
        <w:t>On 13 August 2020 the present application was launched.</w:t>
      </w:r>
    </w:p>
    <w:p w14:paraId="78EAF997" w14:textId="3CE31904" w:rsidR="00CC5119" w:rsidRDefault="00CC5119" w:rsidP="00186AC4">
      <w:pPr>
        <w:spacing w:line="480" w:lineRule="auto"/>
        <w:jc w:val="both"/>
        <w:rPr>
          <w:u w:val="none"/>
        </w:rPr>
      </w:pPr>
    </w:p>
    <w:p w14:paraId="6F4371E3" w14:textId="18CE619E" w:rsidR="004F3513" w:rsidRDefault="004F3513" w:rsidP="00186AC4">
      <w:pPr>
        <w:spacing w:line="480" w:lineRule="auto"/>
        <w:jc w:val="both"/>
        <w:rPr>
          <w:u w:val="none"/>
        </w:rPr>
      </w:pPr>
    </w:p>
    <w:p w14:paraId="4083B0C2" w14:textId="77777777" w:rsidR="004F3513" w:rsidRDefault="004F3513" w:rsidP="00186AC4">
      <w:pPr>
        <w:spacing w:line="480" w:lineRule="auto"/>
        <w:jc w:val="both"/>
        <w:rPr>
          <w:u w:val="none"/>
        </w:rPr>
      </w:pPr>
    </w:p>
    <w:p w14:paraId="697605F3" w14:textId="77777777" w:rsidR="0086241C" w:rsidRPr="0086241C" w:rsidRDefault="0086241C" w:rsidP="00186AC4">
      <w:pPr>
        <w:spacing w:line="480" w:lineRule="auto"/>
        <w:jc w:val="both"/>
        <w:rPr>
          <w:b/>
        </w:rPr>
      </w:pPr>
      <w:r w:rsidRPr="0086241C">
        <w:rPr>
          <w:b/>
        </w:rPr>
        <w:lastRenderedPageBreak/>
        <w:t>THE RELIEF</w:t>
      </w:r>
    </w:p>
    <w:p w14:paraId="6FCF2200" w14:textId="07EC56AA" w:rsidR="00CC5119" w:rsidRPr="00964007" w:rsidRDefault="00964007" w:rsidP="00964007">
      <w:pPr>
        <w:spacing w:line="480" w:lineRule="auto"/>
        <w:ind w:left="709" w:hanging="709"/>
        <w:jc w:val="both"/>
        <w:rPr>
          <w:u w:val="none"/>
        </w:rPr>
      </w:pPr>
      <w:r>
        <w:rPr>
          <w:u w:val="none"/>
        </w:rPr>
        <w:t>32.</w:t>
      </w:r>
      <w:r>
        <w:rPr>
          <w:u w:val="none"/>
        </w:rPr>
        <w:tab/>
      </w:r>
      <w:r w:rsidR="0086241C" w:rsidRPr="00964007">
        <w:rPr>
          <w:u w:val="none"/>
        </w:rPr>
        <w:t>It is common</w:t>
      </w:r>
      <w:r w:rsidR="009766C3" w:rsidRPr="00964007">
        <w:rPr>
          <w:u w:val="none"/>
        </w:rPr>
        <w:t xml:space="preserve"> cause that the relief sought is</w:t>
      </w:r>
      <w:r w:rsidR="0086241C" w:rsidRPr="00964007">
        <w:rPr>
          <w:u w:val="none"/>
        </w:rPr>
        <w:t xml:space="preserve"> interim in nature and that the Trust is obliged to satisfy the court that it has met the following requirements:</w:t>
      </w:r>
    </w:p>
    <w:p w14:paraId="78585B53" w14:textId="77777777" w:rsidR="00CC5119" w:rsidRDefault="0086241C" w:rsidP="0086241C">
      <w:pPr>
        <w:pStyle w:val="ListParagraph"/>
        <w:spacing w:line="480" w:lineRule="auto"/>
        <w:jc w:val="both"/>
        <w:rPr>
          <w:u w:val="none"/>
        </w:rPr>
      </w:pPr>
      <w:r>
        <w:rPr>
          <w:u w:val="none"/>
        </w:rPr>
        <w:t>32.1</w:t>
      </w:r>
      <w:r>
        <w:rPr>
          <w:u w:val="none"/>
        </w:rPr>
        <w:tab/>
        <w:t>a p</w:t>
      </w:r>
      <w:r w:rsidR="006F3282">
        <w:rPr>
          <w:u w:val="none"/>
        </w:rPr>
        <w:t>rima facie</w:t>
      </w:r>
      <w:r>
        <w:rPr>
          <w:u w:val="none"/>
        </w:rPr>
        <w:t xml:space="preserve"> right, even though open to some doubt.</w:t>
      </w:r>
    </w:p>
    <w:p w14:paraId="70B46CC5" w14:textId="77777777" w:rsidR="0086241C" w:rsidRDefault="0086241C" w:rsidP="0086241C">
      <w:pPr>
        <w:pStyle w:val="ListParagraph"/>
        <w:spacing w:line="480" w:lineRule="auto"/>
        <w:ind w:left="1440" w:hanging="720"/>
        <w:jc w:val="both"/>
        <w:rPr>
          <w:u w:val="none"/>
        </w:rPr>
      </w:pPr>
      <w:r>
        <w:rPr>
          <w:u w:val="none"/>
        </w:rPr>
        <w:t>32.2</w:t>
      </w:r>
      <w:r>
        <w:rPr>
          <w:u w:val="none"/>
        </w:rPr>
        <w:tab/>
        <w:t>that there is a well-grounded apprehension of irreparable harm to the applicant if the interim relief is not granted and it ultimately succeeds in establishing the right;</w:t>
      </w:r>
    </w:p>
    <w:p w14:paraId="54BDB7E1" w14:textId="77777777" w:rsidR="0086241C" w:rsidRDefault="0086241C" w:rsidP="0086241C">
      <w:pPr>
        <w:pStyle w:val="ListParagraph"/>
        <w:spacing w:line="480" w:lineRule="auto"/>
        <w:jc w:val="both"/>
        <w:rPr>
          <w:u w:val="none"/>
        </w:rPr>
      </w:pPr>
      <w:r>
        <w:rPr>
          <w:u w:val="none"/>
        </w:rPr>
        <w:t>32.3</w:t>
      </w:r>
      <w:r>
        <w:rPr>
          <w:u w:val="none"/>
        </w:rPr>
        <w:tab/>
        <w:t xml:space="preserve">the balance of convenience favours the granting of interim relief; and </w:t>
      </w:r>
    </w:p>
    <w:p w14:paraId="0D440563" w14:textId="34F1FD7D" w:rsidR="0086241C" w:rsidRDefault="0086241C" w:rsidP="0086241C">
      <w:pPr>
        <w:pStyle w:val="ListParagraph"/>
        <w:spacing w:line="480" w:lineRule="auto"/>
        <w:jc w:val="both"/>
        <w:rPr>
          <w:u w:val="none"/>
        </w:rPr>
      </w:pPr>
      <w:r>
        <w:rPr>
          <w:u w:val="none"/>
        </w:rPr>
        <w:t>32.4</w:t>
      </w:r>
      <w:r>
        <w:rPr>
          <w:u w:val="none"/>
        </w:rPr>
        <w:tab/>
        <w:t xml:space="preserve">the </w:t>
      </w:r>
      <w:r w:rsidR="004F3513">
        <w:rPr>
          <w:u w:val="none"/>
        </w:rPr>
        <w:t xml:space="preserve">Trust </w:t>
      </w:r>
      <w:r>
        <w:rPr>
          <w:u w:val="none"/>
        </w:rPr>
        <w:t>has no other satisfactory remedy.</w:t>
      </w:r>
      <w:r>
        <w:rPr>
          <w:rStyle w:val="FootnoteReference"/>
          <w:u w:val="none"/>
        </w:rPr>
        <w:footnoteReference w:id="11"/>
      </w:r>
    </w:p>
    <w:p w14:paraId="058F67DB" w14:textId="00A5CCE8" w:rsidR="0060341C" w:rsidRDefault="0060341C" w:rsidP="00186AC4">
      <w:pPr>
        <w:spacing w:line="480" w:lineRule="auto"/>
        <w:jc w:val="both"/>
        <w:rPr>
          <w:u w:val="none"/>
        </w:rPr>
      </w:pPr>
    </w:p>
    <w:p w14:paraId="1A290931" w14:textId="4ABE34B7" w:rsidR="00186AC4" w:rsidRPr="00964007" w:rsidRDefault="00964007" w:rsidP="00964007">
      <w:pPr>
        <w:spacing w:line="480" w:lineRule="auto"/>
        <w:ind w:left="709" w:hanging="709"/>
        <w:jc w:val="both"/>
        <w:rPr>
          <w:u w:val="none"/>
          <w:lang w:val="en-US"/>
        </w:rPr>
      </w:pPr>
      <w:r w:rsidRPr="00666302">
        <w:rPr>
          <w:u w:val="none"/>
          <w:lang w:val="en-US"/>
        </w:rPr>
        <w:t>33.</w:t>
      </w:r>
      <w:r w:rsidRPr="00666302">
        <w:rPr>
          <w:u w:val="none"/>
          <w:lang w:val="en-US"/>
        </w:rPr>
        <w:tab/>
      </w:r>
      <w:r w:rsidR="00186AC4" w:rsidRPr="00964007">
        <w:rPr>
          <w:u w:val="none"/>
        </w:rPr>
        <w:tab/>
        <w:t xml:space="preserve">In </w:t>
      </w:r>
      <w:r w:rsidR="00186AC4" w:rsidRPr="00964007">
        <w:rPr>
          <w:b/>
          <w:u w:val="none"/>
          <w:lang w:val="en-US"/>
        </w:rPr>
        <w:t>Antares International Ltd and Another v Louw Coetzee and Malan Inc and Another</w:t>
      </w:r>
      <w:r w:rsidR="00186AC4">
        <w:rPr>
          <w:rStyle w:val="FootnoteReference"/>
          <w:u w:val="none"/>
          <w:lang w:val="en-US"/>
        </w:rPr>
        <w:footnoteReference w:id="12"/>
      </w:r>
      <w:r w:rsidR="00606B6B" w:rsidRPr="00964007">
        <w:rPr>
          <w:u w:val="none"/>
          <w:lang w:val="en-US"/>
        </w:rPr>
        <w:t xml:space="preserve"> it was held that</w:t>
      </w:r>
      <w:r w:rsidR="00186AC4" w:rsidRPr="00964007">
        <w:rPr>
          <w:u w:val="none"/>
          <w:lang w:val="en-US"/>
        </w:rPr>
        <w:t xml:space="preserve"> a party could apply for a interdict if it could make out a </w:t>
      </w:r>
      <w:r w:rsidR="00186AC4" w:rsidRPr="00964007">
        <w:rPr>
          <w:i/>
          <w:u w:val="none"/>
          <w:lang w:val="en-US"/>
        </w:rPr>
        <w:t>prima facie</w:t>
      </w:r>
      <w:r w:rsidR="00186AC4" w:rsidRPr="00964007">
        <w:rPr>
          <w:u w:val="none"/>
          <w:lang w:val="en-US"/>
        </w:rPr>
        <w:t xml:space="preserve"> case that it would receive relief in the future from which a right in property would flow.</w:t>
      </w:r>
    </w:p>
    <w:p w14:paraId="73B2A058" w14:textId="77777777" w:rsidR="00186AC4" w:rsidRPr="00186AC4" w:rsidRDefault="00186AC4" w:rsidP="00186AC4">
      <w:pPr>
        <w:spacing w:line="480" w:lineRule="auto"/>
        <w:jc w:val="both"/>
        <w:rPr>
          <w:u w:val="none"/>
        </w:rPr>
      </w:pPr>
    </w:p>
    <w:p w14:paraId="698FFB92" w14:textId="4145C783" w:rsidR="00CC5119" w:rsidRPr="00964007" w:rsidRDefault="00964007" w:rsidP="00964007">
      <w:pPr>
        <w:spacing w:line="480" w:lineRule="auto"/>
        <w:ind w:left="709" w:hanging="709"/>
        <w:jc w:val="both"/>
        <w:rPr>
          <w:u w:val="none"/>
        </w:rPr>
      </w:pPr>
      <w:r>
        <w:rPr>
          <w:u w:val="none"/>
        </w:rPr>
        <w:t>34.</w:t>
      </w:r>
      <w:r>
        <w:rPr>
          <w:u w:val="none"/>
        </w:rPr>
        <w:tab/>
      </w:r>
      <w:r w:rsidR="00186AC4" w:rsidRPr="00964007">
        <w:rPr>
          <w:u w:val="none"/>
        </w:rPr>
        <w:t>There are 3</w:t>
      </w:r>
      <w:r w:rsidR="0060341C" w:rsidRPr="00964007">
        <w:rPr>
          <w:u w:val="none"/>
        </w:rPr>
        <w:t xml:space="preserve"> important factors which specifically weigh in this case:</w:t>
      </w:r>
    </w:p>
    <w:p w14:paraId="53B30706" w14:textId="69CF029E" w:rsidR="0060341C" w:rsidRDefault="005E4DDE" w:rsidP="00163DDF">
      <w:pPr>
        <w:spacing w:line="480" w:lineRule="auto"/>
        <w:ind w:left="1440" w:hanging="720"/>
        <w:jc w:val="both"/>
        <w:rPr>
          <w:u w:val="none"/>
        </w:rPr>
      </w:pPr>
      <w:r>
        <w:rPr>
          <w:u w:val="none"/>
        </w:rPr>
        <w:t>34</w:t>
      </w:r>
      <w:r w:rsidR="0060341C">
        <w:rPr>
          <w:u w:val="none"/>
        </w:rPr>
        <w:t>.1</w:t>
      </w:r>
      <w:r w:rsidR="0060341C">
        <w:rPr>
          <w:u w:val="none"/>
        </w:rPr>
        <w:tab/>
        <w:t xml:space="preserve">the first is that these considerations </w:t>
      </w:r>
      <w:r w:rsidR="0060341C" w:rsidRPr="00186AC4">
        <w:rPr>
          <w:i/>
          <w:u w:val="none"/>
        </w:rPr>
        <w:t xml:space="preserve">“are not </w:t>
      </w:r>
      <w:r w:rsidR="0023108F" w:rsidRPr="00186AC4">
        <w:rPr>
          <w:i/>
          <w:u w:val="none"/>
        </w:rPr>
        <w:t>individually</w:t>
      </w:r>
      <w:r w:rsidR="0060341C" w:rsidRPr="00186AC4">
        <w:rPr>
          <w:i/>
          <w:u w:val="none"/>
        </w:rPr>
        <w:t xml:space="preserve"> decisive, but are int</w:t>
      </w:r>
      <w:r w:rsidR="0023108F" w:rsidRPr="00186AC4">
        <w:rPr>
          <w:i/>
          <w:u w:val="none"/>
        </w:rPr>
        <w:t>errelated: for example, the stro</w:t>
      </w:r>
      <w:r w:rsidR="0060341C" w:rsidRPr="00186AC4">
        <w:rPr>
          <w:i/>
          <w:u w:val="none"/>
        </w:rPr>
        <w:t xml:space="preserve">nger the applicant’s prospects of success the less his need to rely on prejudice to himself. Conversely, the more the </w:t>
      </w:r>
      <w:r w:rsidR="00663E75" w:rsidRPr="00186AC4">
        <w:rPr>
          <w:i/>
          <w:u w:val="none"/>
        </w:rPr>
        <w:t>element of</w:t>
      </w:r>
      <w:r w:rsidR="0023108F" w:rsidRPr="00186AC4">
        <w:rPr>
          <w:i/>
          <w:u w:val="none"/>
        </w:rPr>
        <w:t xml:space="preserve"> “some doubt”, the greater the need for </w:t>
      </w:r>
      <w:r w:rsidR="00663E75" w:rsidRPr="00186AC4">
        <w:rPr>
          <w:i/>
          <w:u w:val="none"/>
        </w:rPr>
        <w:t xml:space="preserve">other factors to favour him. The Court considers the affidavits as a whole, and the interrelation of the foregoing considerations, according to the facts and probabilities: See </w:t>
      </w:r>
      <w:r w:rsidR="00663E75" w:rsidRPr="00186AC4">
        <w:rPr>
          <w:b/>
          <w:i/>
          <w:u w:val="none"/>
        </w:rPr>
        <w:t>Olympic Passenger Service (Pty) Ltd v Ramlagan</w:t>
      </w:r>
      <w:r w:rsidR="00663E75" w:rsidRPr="00186AC4">
        <w:rPr>
          <w:i/>
          <w:u w:val="none"/>
        </w:rPr>
        <w:t xml:space="preserve"> </w:t>
      </w:r>
      <w:r w:rsidR="00663E75" w:rsidRPr="00186AC4">
        <w:rPr>
          <w:i/>
          <w:u w:val="none"/>
        </w:rPr>
        <w:lastRenderedPageBreak/>
        <w:t>1957 (2) SA 382 (D) at 383 D-G.</w:t>
      </w:r>
      <w:r w:rsidR="00DA6809" w:rsidRPr="00186AC4">
        <w:rPr>
          <w:i/>
          <w:u w:val="none"/>
        </w:rPr>
        <w:t xml:space="preserve"> viewed in that light, the reference to a right which, ‘though plaintiff established is open to some doubt’ is apt, flexible and practical, and needs no further elaboration</w:t>
      </w:r>
      <w:r w:rsidR="00DA6809">
        <w:rPr>
          <w:u w:val="none"/>
        </w:rPr>
        <w:t>.”</w:t>
      </w:r>
      <w:r w:rsidR="00DA6809">
        <w:rPr>
          <w:rStyle w:val="FootnoteReference"/>
          <w:u w:val="none"/>
        </w:rPr>
        <w:footnoteReference w:id="13"/>
      </w:r>
    </w:p>
    <w:p w14:paraId="16215C1B" w14:textId="58CEFE03" w:rsidR="00163DDF" w:rsidRDefault="005E4DDE" w:rsidP="00163DDF">
      <w:pPr>
        <w:spacing w:line="480" w:lineRule="auto"/>
        <w:ind w:left="1440" w:hanging="720"/>
        <w:jc w:val="both"/>
        <w:rPr>
          <w:u w:val="none"/>
        </w:rPr>
      </w:pPr>
      <w:r>
        <w:rPr>
          <w:u w:val="none"/>
        </w:rPr>
        <w:t>34</w:t>
      </w:r>
      <w:r w:rsidR="00163DDF" w:rsidRPr="00B74C28">
        <w:rPr>
          <w:u w:val="none"/>
        </w:rPr>
        <w:t>.2</w:t>
      </w:r>
      <w:r w:rsidR="00163DDF" w:rsidRPr="00B74C28">
        <w:rPr>
          <w:u w:val="none"/>
        </w:rPr>
        <w:tab/>
        <w:t xml:space="preserve">and in </w:t>
      </w:r>
      <w:r w:rsidR="00163DDF" w:rsidRPr="00B74C28">
        <w:rPr>
          <w:b/>
          <w:u w:val="none"/>
        </w:rPr>
        <w:t>Ferreira v Levin NO and others</w:t>
      </w:r>
      <w:r w:rsidR="00163DDF" w:rsidRPr="00B74C28">
        <w:rPr>
          <w:u w:val="none"/>
        </w:rPr>
        <w:t xml:space="preserve">; </w:t>
      </w:r>
      <w:r w:rsidR="00163DDF" w:rsidRPr="00B74C28">
        <w:rPr>
          <w:b/>
          <w:u w:val="none"/>
        </w:rPr>
        <w:t>Vryenhoek and others v Powell NO and others</w:t>
      </w:r>
      <w:r w:rsidR="00163DDF" w:rsidRPr="00B74C28">
        <w:rPr>
          <w:rStyle w:val="FootnoteReference"/>
          <w:u w:val="none"/>
        </w:rPr>
        <w:footnoteReference w:id="14"/>
      </w:r>
      <w:r w:rsidR="00DB09DE" w:rsidRPr="00B74C28">
        <w:rPr>
          <w:u w:val="none"/>
        </w:rPr>
        <w:t>, Heher J</w:t>
      </w:r>
      <w:r w:rsidR="001A4DBF" w:rsidRPr="00B74C28">
        <w:rPr>
          <w:u w:val="none"/>
        </w:rPr>
        <w:t xml:space="preserve"> said:</w:t>
      </w:r>
      <w:r w:rsidR="001A4DBF">
        <w:rPr>
          <w:u w:val="none"/>
        </w:rPr>
        <w:t xml:space="preserve"> </w:t>
      </w:r>
    </w:p>
    <w:p w14:paraId="18D73301" w14:textId="77777777" w:rsidR="009766C3" w:rsidRPr="009766C3" w:rsidRDefault="001069F2" w:rsidP="004F3513">
      <w:pPr>
        <w:spacing w:line="480" w:lineRule="auto"/>
        <w:ind w:left="1440"/>
        <w:jc w:val="both"/>
        <w:rPr>
          <w:i/>
          <w:color w:val="000000"/>
          <w:u w:val="none"/>
          <w:lang w:eastAsia="en-ZA"/>
        </w:rPr>
      </w:pPr>
      <w:r w:rsidRPr="001069F2">
        <w:rPr>
          <w:i/>
          <w:color w:val="000000"/>
          <w:u w:val="none"/>
          <w:lang w:eastAsia="en-ZA"/>
        </w:rPr>
        <w:t>“</w:t>
      </w:r>
      <w:r w:rsidR="009766C3" w:rsidRPr="009766C3">
        <w:rPr>
          <w:i/>
          <w:color w:val="000000"/>
          <w:u w:val="none"/>
          <w:lang w:eastAsia="en-ZA"/>
        </w:rPr>
        <w:t>The quoted extract forms part of the </w:t>
      </w:r>
      <w:r w:rsidR="009766C3" w:rsidRPr="009766C3">
        <w:rPr>
          <w:i/>
          <w:iCs/>
          <w:color w:val="000000"/>
          <w:u w:val="none"/>
          <w:lang w:eastAsia="en-ZA"/>
        </w:rPr>
        <w:t>ratio decidendi</w:t>
      </w:r>
      <w:r w:rsidR="009766C3" w:rsidRPr="009766C3">
        <w:rPr>
          <w:i/>
          <w:color w:val="000000"/>
          <w:u w:val="none"/>
          <w:lang w:eastAsia="en-ZA"/>
        </w:rPr>
        <w:t>. There is no reference in the judgment to </w:t>
      </w:r>
      <w:r w:rsidR="009766C3" w:rsidRPr="009766C3">
        <w:rPr>
          <w:i/>
          <w:iCs/>
          <w:color w:val="000000"/>
          <w:u w:val="none"/>
          <w:lang w:eastAsia="en-ZA"/>
        </w:rPr>
        <w:t>Webster v Mitchell (supra</w:t>
      </w:r>
      <w:r w:rsidR="009766C3" w:rsidRPr="009766C3">
        <w:rPr>
          <w:i/>
          <w:color w:val="000000"/>
          <w:u w:val="none"/>
          <w:lang w:eastAsia="en-ZA"/>
        </w:rPr>
        <w:t>) or </w:t>
      </w:r>
      <w:r w:rsidR="009766C3" w:rsidRPr="009766C3">
        <w:rPr>
          <w:i/>
          <w:iCs/>
          <w:color w:val="000000"/>
          <w:u w:val="none"/>
          <w:lang w:eastAsia="en-ZA"/>
        </w:rPr>
        <w:t>Gool v Minister of Justice (supra</w:t>
      </w:r>
      <w:r w:rsidR="009766C3" w:rsidRPr="009766C3">
        <w:rPr>
          <w:i/>
          <w:color w:val="000000"/>
          <w:u w:val="none"/>
          <w:lang w:eastAsia="en-ZA"/>
        </w:rPr>
        <w:t>). The judgment was concurred in by Ogilvie-Thompson CJ (who had delivered the judgment in </w:t>
      </w:r>
      <w:r w:rsidR="009766C3" w:rsidRPr="009766C3">
        <w:rPr>
          <w:i/>
          <w:iCs/>
          <w:color w:val="000000"/>
          <w:u w:val="none"/>
          <w:lang w:eastAsia="en-ZA"/>
        </w:rPr>
        <w:t>Gool's</w:t>
      </w:r>
      <w:r w:rsidR="009766C3" w:rsidRPr="009766C3">
        <w:rPr>
          <w:i/>
          <w:color w:val="000000"/>
          <w:u w:val="none"/>
          <w:lang w:eastAsia="en-ZA"/>
        </w:rPr>
        <w:t> case), Wessels JA, Jansen JA and Muller JA. I think it is fair to say that,</w:t>
      </w:r>
      <w:r w:rsidRPr="001069F2">
        <w:rPr>
          <w:i/>
          <w:color w:val="000000"/>
          <w:u w:val="none"/>
          <w:lang w:eastAsia="en-ZA"/>
        </w:rPr>
        <w:t xml:space="preserve"> read with its approval of the </w:t>
      </w:r>
      <w:r w:rsidR="009766C3" w:rsidRPr="009766C3">
        <w:rPr>
          <w:i/>
          <w:color w:val="000000"/>
          <w:u w:val="none"/>
          <w:lang w:eastAsia="en-ZA"/>
        </w:rPr>
        <w:t>Olympic Passenger Service case </w:t>
      </w:r>
      <w:r w:rsidR="009766C3" w:rsidRPr="009766C3">
        <w:rPr>
          <w:i/>
          <w:iCs/>
          <w:color w:val="000000"/>
          <w:u w:val="none"/>
          <w:lang w:eastAsia="en-ZA"/>
        </w:rPr>
        <w:t>supra</w:t>
      </w:r>
      <w:r w:rsidR="009766C3" w:rsidRPr="009766C3">
        <w:rPr>
          <w:i/>
          <w:color w:val="000000"/>
          <w:u w:val="none"/>
          <w:lang w:eastAsia="en-ZA"/>
        </w:rPr>
        <w:t>, it authoritatively established the following:</w:t>
      </w:r>
    </w:p>
    <w:p w14:paraId="12CC73E0" w14:textId="77777777" w:rsidR="009766C3" w:rsidRPr="009766C3" w:rsidRDefault="009766C3" w:rsidP="004F3513">
      <w:pPr>
        <w:spacing w:line="480" w:lineRule="auto"/>
        <w:ind w:left="1440"/>
        <w:jc w:val="both"/>
        <w:rPr>
          <w:i/>
          <w:color w:val="000000"/>
          <w:u w:val="none"/>
          <w:lang w:eastAsia="en-ZA"/>
        </w:rPr>
      </w:pPr>
      <w:r w:rsidRPr="009766C3">
        <w:rPr>
          <w:i/>
          <w:color w:val="000000"/>
          <w:u w:val="none"/>
          <w:lang w:eastAsia="en-ZA"/>
        </w:rPr>
        <w:t>1. A </w:t>
      </w:r>
      <w:r w:rsidRPr="009766C3">
        <w:rPr>
          <w:i/>
          <w:iCs/>
          <w:color w:val="000000"/>
          <w:u w:val="none"/>
          <w:lang w:eastAsia="en-ZA"/>
        </w:rPr>
        <w:t>prima facie</w:t>
      </w:r>
      <w:r w:rsidRPr="009766C3">
        <w:rPr>
          <w:i/>
          <w:color w:val="000000"/>
          <w:u w:val="none"/>
          <w:lang w:eastAsia="en-ZA"/>
        </w:rPr>
        <w:t xml:space="preserve"> right though open to some doubt exists when there is a prospect of success in the claim for the principal relief albeit that such prospect may be assessed as </w:t>
      </w:r>
      <w:r w:rsidR="001069F2" w:rsidRPr="001069F2">
        <w:rPr>
          <w:i/>
          <w:color w:val="000000"/>
          <w:u w:val="none"/>
          <w:lang w:eastAsia="en-ZA"/>
        </w:rPr>
        <w:t>weak by the Judge hearing the i</w:t>
      </w:r>
      <w:r w:rsidRPr="009766C3">
        <w:rPr>
          <w:i/>
          <w:color w:val="000000"/>
          <w:u w:val="none"/>
          <w:lang w:eastAsia="en-ZA"/>
        </w:rPr>
        <w:t>nterim application.</w:t>
      </w:r>
    </w:p>
    <w:p w14:paraId="488608EE" w14:textId="77777777" w:rsidR="009766C3" w:rsidRPr="009766C3" w:rsidRDefault="009766C3" w:rsidP="004F3513">
      <w:pPr>
        <w:spacing w:line="480" w:lineRule="auto"/>
        <w:ind w:left="1440"/>
        <w:jc w:val="both"/>
        <w:rPr>
          <w:i/>
          <w:color w:val="000000"/>
          <w:u w:val="none"/>
          <w:lang w:eastAsia="en-ZA"/>
        </w:rPr>
      </w:pPr>
      <w:r w:rsidRPr="009766C3">
        <w:rPr>
          <w:i/>
          <w:color w:val="000000"/>
          <w:u w:val="none"/>
          <w:lang w:eastAsia="en-ZA"/>
        </w:rPr>
        <w:t>2. Provided that there is a prospect of success, there is no further threshold which must be crossed before proceeding to a consideration of the other elements of an interim interdict.</w:t>
      </w:r>
    </w:p>
    <w:p w14:paraId="591160E9" w14:textId="77777777" w:rsidR="009766C3" w:rsidRPr="009766C3" w:rsidRDefault="009766C3" w:rsidP="004F3513">
      <w:pPr>
        <w:spacing w:line="480" w:lineRule="auto"/>
        <w:ind w:firstLine="720"/>
        <w:jc w:val="both"/>
        <w:rPr>
          <w:i/>
          <w:color w:val="000000"/>
          <w:u w:val="none"/>
          <w:lang w:eastAsia="en-ZA"/>
        </w:rPr>
      </w:pPr>
      <w:r w:rsidRPr="009766C3">
        <w:rPr>
          <w:i/>
          <w:color w:val="000000"/>
          <w:u w:val="none"/>
          <w:lang w:eastAsia="en-ZA"/>
        </w:rPr>
        <w:t> </w:t>
      </w:r>
      <w:r w:rsidR="001069F2" w:rsidRPr="001069F2">
        <w:rPr>
          <w:i/>
          <w:color w:val="000000"/>
          <w:u w:val="none"/>
          <w:lang w:eastAsia="en-ZA"/>
        </w:rPr>
        <w:tab/>
      </w:r>
      <w:r w:rsidRPr="009766C3">
        <w:rPr>
          <w:i/>
          <w:color w:val="000000"/>
          <w:u w:val="none"/>
          <w:lang w:eastAsia="en-ZA"/>
        </w:rPr>
        <w:t>3. The strength of one element may make up for the frailty of another.</w:t>
      </w:r>
    </w:p>
    <w:p w14:paraId="0ABFAB4E" w14:textId="77777777" w:rsidR="009766C3" w:rsidRPr="00B74C28" w:rsidRDefault="009766C3" w:rsidP="004F3513">
      <w:pPr>
        <w:spacing w:line="480" w:lineRule="auto"/>
        <w:ind w:left="1440"/>
        <w:jc w:val="both"/>
        <w:rPr>
          <w:i/>
          <w:color w:val="000000"/>
          <w:u w:val="none"/>
          <w:lang w:eastAsia="en-ZA"/>
        </w:rPr>
      </w:pPr>
      <w:r w:rsidRPr="009766C3">
        <w:rPr>
          <w:i/>
          <w:color w:val="000000"/>
          <w:u w:val="none"/>
          <w:lang w:eastAsia="en-ZA"/>
        </w:rPr>
        <w:t>4. The process of measuring each element requires a holistic approach to the affidavits in the case, examini</w:t>
      </w:r>
      <w:r w:rsidR="001069F2" w:rsidRPr="001069F2">
        <w:rPr>
          <w:i/>
          <w:color w:val="000000"/>
          <w:u w:val="none"/>
          <w:lang w:eastAsia="en-ZA"/>
        </w:rPr>
        <w:t xml:space="preserve">ng and balancing the facts </w:t>
      </w:r>
      <w:r w:rsidR="001069F2" w:rsidRPr="001069F2">
        <w:rPr>
          <w:i/>
          <w:color w:val="000000"/>
          <w:u w:val="none"/>
          <w:lang w:eastAsia="en-ZA"/>
        </w:rPr>
        <w:lastRenderedPageBreak/>
        <w:t>and </w:t>
      </w:r>
      <w:r w:rsidRPr="009766C3">
        <w:rPr>
          <w:i/>
          <w:color w:val="000000"/>
          <w:u w:val="none"/>
          <w:lang w:eastAsia="en-ZA"/>
        </w:rPr>
        <w:t>coming to such conclusion as one may as to the probabilities where disputes exist.</w:t>
      </w:r>
      <w:r w:rsidR="001069F2" w:rsidRPr="001069F2">
        <w:rPr>
          <w:i/>
          <w:color w:val="000000"/>
          <w:u w:val="none"/>
          <w:lang w:eastAsia="en-ZA"/>
        </w:rPr>
        <w:t>”</w:t>
      </w:r>
    </w:p>
    <w:p w14:paraId="761B8EF2" w14:textId="0B480A69" w:rsidR="001A4DBF" w:rsidRDefault="005E4DDE" w:rsidP="00163DDF">
      <w:pPr>
        <w:spacing w:line="480" w:lineRule="auto"/>
        <w:ind w:left="1440" w:hanging="720"/>
        <w:jc w:val="both"/>
        <w:rPr>
          <w:u w:val="none"/>
        </w:rPr>
      </w:pPr>
      <w:r>
        <w:rPr>
          <w:u w:val="none"/>
        </w:rPr>
        <w:t>34</w:t>
      </w:r>
      <w:r w:rsidR="001A4DBF">
        <w:rPr>
          <w:u w:val="none"/>
        </w:rPr>
        <w:t>.3</w:t>
      </w:r>
      <w:r w:rsidR="001A4DBF">
        <w:rPr>
          <w:u w:val="none"/>
        </w:rPr>
        <w:tab/>
      </w:r>
      <w:r w:rsidR="00307AA2">
        <w:rPr>
          <w:u w:val="none"/>
        </w:rPr>
        <w:t xml:space="preserve">the second is that, where the applicant establishes a clear right (as </w:t>
      </w:r>
      <w:r w:rsidR="007D0B51">
        <w:rPr>
          <w:u w:val="none"/>
        </w:rPr>
        <w:t>opposed to a prima facie right)</w:t>
      </w:r>
      <w:r w:rsidR="00307AA2">
        <w:rPr>
          <w:u w:val="none"/>
        </w:rPr>
        <w:t>, it is unnecessary to establish irreparable harm</w:t>
      </w:r>
      <w:r w:rsidR="00307AA2">
        <w:rPr>
          <w:rStyle w:val="FootnoteReference"/>
          <w:u w:val="none"/>
        </w:rPr>
        <w:footnoteReference w:id="15"/>
      </w:r>
      <w:r w:rsidR="001D4428">
        <w:rPr>
          <w:u w:val="none"/>
        </w:rPr>
        <w:t xml:space="preserve">; and </w:t>
      </w:r>
    </w:p>
    <w:p w14:paraId="1A47E249" w14:textId="6A6BAA34" w:rsidR="001D4428" w:rsidRDefault="001D4428" w:rsidP="00163DDF">
      <w:pPr>
        <w:spacing w:line="480" w:lineRule="auto"/>
        <w:ind w:left="1440" w:hanging="720"/>
        <w:jc w:val="both"/>
        <w:rPr>
          <w:u w:val="none"/>
        </w:rPr>
      </w:pPr>
      <w:r>
        <w:rPr>
          <w:u w:val="none"/>
        </w:rPr>
        <w:t>3</w:t>
      </w:r>
      <w:r w:rsidR="005E4DDE">
        <w:rPr>
          <w:u w:val="none"/>
        </w:rPr>
        <w:t>4</w:t>
      </w:r>
      <w:r>
        <w:rPr>
          <w:u w:val="none"/>
        </w:rPr>
        <w:t>.4</w:t>
      </w:r>
      <w:r>
        <w:rPr>
          <w:u w:val="none"/>
        </w:rPr>
        <w:tab/>
        <w:t xml:space="preserve">the last </w:t>
      </w:r>
      <w:r w:rsidR="00277DDC">
        <w:rPr>
          <w:u w:val="none"/>
        </w:rPr>
        <w:t xml:space="preserve">is </w:t>
      </w:r>
      <w:r>
        <w:rPr>
          <w:u w:val="none"/>
        </w:rPr>
        <w:t>that</w:t>
      </w:r>
      <w:r w:rsidR="00277DDC">
        <w:rPr>
          <w:u w:val="none"/>
        </w:rPr>
        <w:t>:</w:t>
      </w:r>
    </w:p>
    <w:p w14:paraId="52C0D479" w14:textId="77777777" w:rsidR="001D4428" w:rsidRPr="00266052" w:rsidRDefault="001D4428" w:rsidP="001D4428">
      <w:pPr>
        <w:spacing w:line="480" w:lineRule="auto"/>
        <w:ind w:left="1440"/>
        <w:jc w:val="both"/>
        <w:rPr>
          <w:i/>
          <w:u w:val="none"/>
        </w:rPr>
      </w:pPr>
      <w:r w:rsidRPr="00266052">
        <w:rPr>
          <w:i/>
          <w:u w:val="none"/>
        </w:rPr>
        <w:t>“The proper manner of approach I consider is to take the facts as set out by the applicant, together with any facts set out by the respondent which the applicant cannot dispute, and to consider whether, having regard to the inherent probabilities, the applicant could on these facts obtain final relief at trial. The facts set up in contradiction by the respondent should then be considered. If serious doubt is thrown on the case of the applicant he could not succeed in obtaining temp</w:t>
      </w:r>
      <w:r w:rsidR="007D0B51" w:rsidRPr="00266052">
        <w:rPr>
          <w:i/>
          <w:u w:val="none"/>
        </w:rPr>
        <w:t>orary relief, for his right, prima facie</w:t>
      </w:r>
      <w:r w:rsidRPr="00266052">
        <w:rPr>
          <w:i/>
          <w:u w:val="none"/>
        </w:rPr>
        <w:t xml:space="preserve"> established, may only be open to “some doubt”. But if there is a mere contradiction, or unconvincing explanation, the matter should be left to trial and the right be protected in the meanwhile, subject of course to the respective prejudice in the grant or refusal of interim relief.”</w:t>
      </w:r>
      <w:r w:rsidRPr="00266052">
        <w:rPr>
          <w:rStyle w:val="FootnoteReference"/>
          <w:i/>
          <w:u w:val="none"/>
        </w:rPr>
        <w:footnoteReference w:id="16"/>
      </w:r>
    </w:p>
    <w:p w14:paraId="4AA40A83" w14:textId="77777777" w:rsidR="00CC5119" w:rsidRPr="00CC5119" w:rsidRDefault="00CC5119" w:rsidP="00D06413">
      <w:pPr>
        <w:pStyle w:val="ListParagraph"/>
        <w:jc w:val="both"/>
        <w:rPr>
          <w:u w:val="none"/>
        </w:rPr>
      </w:pPr>
    </w:p>
    <w:p w14:paraId="1234144A" w14:textId="79774A9A" w:rsidR="00CC5119" w:rsidRPr="00964007" w:rsidRDefault="00964007" w:rsidP="00964007">
      <w:pPr>
        <w:spacing w:line="480" w:lineRule="auto"/>
        <w:ind w:left="709" w:hanging="709"/>
        <w:jc w:val="both"/>
        <w:rPr>
          <w:u w:val="none"/>
        </w:rPr>
      </w:pPr>
      <w:r>
        <w:rPr>
          <w:u w:val="none"/>
        </w:rPr>
        <w:t>35.</w:t>
      </w:r>
      <w:r>
        <w:rPr>
          <w:u w:val="none"/>
        </w:rPr>
        <w:tab/>
      </w:r>
      <w:r w:rsidR="00A93C94" w:rsidRPr="00964007">
        <w:rPr>
          <w:u w:val="none"/>
        </w:rPr>
        <w:t xml:space="preserve">Bearing this in mind, and bearing in mind that the facts are undisputed, the question is: what </w:t>
      </w:r>
      <w:r w:rsidR="00AB43B1" w:rsidRPr="00964007">
        <w:rPr>
          <w:u w:val="none"/>
        </w:rPr>
        <w:t>arguments</w:t>
      </w:r>
      <w:r w:rsidR="00A93C94" w:rsidRPr="00964007">
        <w:rPr>
          <w:u w:val="none"/>
        </w:rPr>
        <w:t xml:space="preserve"> have the resp</w:t>
      </w:r>
      <w:r w:rsidR="00277DDC" w:rsidRPr="00964007">
        <w:rPr>
          <w:u w:val="none"/>
        </w:rPr>
        <w:t xml:space="preserve">ondents put up in </w:t>
      </w:r>
      <w:r w:rsidR="00CA27B8" w:rsidRPr="00964007">
        <w:rPr>
          <w:u w:val="none"/>
        </w:rPr>
        <w:t>opposition</w:t>
      </w:r>
      <w:r w:rsidR="00277DDC" w:rsidRPr="00964007">
        <w:rPr>
          <w:u w:val="none"/>
        </w:rPr>
        <w:t>?</w:t>
      </w:r>
    </w:p>
    <w:p w14:paraId="72FB2668" w14:textId="77777777" w:rsidR="007F645F" w:rsidRDefault="007F645F" w:rsidP="007F645F">
      <w:pPr>
        <w:jc w:val="both"/>
        <w:rPr>
          <w:u w:val="none"/>
        </w:rPr>
      </w:pPr>
    </w:p>
    <w:p w14:paraId="342B9F40" w14:textId="77777777" w:rsidR="00AB43B1" w:rsidRDefault="00AB43B1" w:rsidP="007F645F">
      <w:pPr>
        <w:jc w:val="both"/>
        <w:rPr>
          <w:b/>
        </w:rPr>
      </w:pPr>
    </w:p>
    <w:p w14:paraId="1C433343" w14:textId="77777777" w:rsidR="00AB43B1" w:rsidRDefault="00AB43B1" w:rsidP="007F645F">
      <w:pPr>
        <w:jc w:val="both"/>
        <w:rPr>
          <w:b/>
        </w:rPr>
      </w:pPr>
    </w:p>
    <w:p w14:paraId="0ABC9183" w14:textId="77777777" w:rsidR="00AB43B1" w:rsidRDefault="00AB43B1" w:rsidP="007F645F">
      <w:pPr>
        <w:jc w:val="both"/>
        <w:rPr>
          <w:b/>
        </w:rPr>
      </w:pPr>
    </w:p>
    <w:p w14:paraId="2AF575A7" w14:textId="77777777" w:rsidR="00AB43B1" w:rsidRDefault="00AB43B1" w:rsidP="007F645F">
      <w:pPr>
        <w:jc w:val="both"/>
        <w:rPr>
          <w:b/>
        </w:rPr>
      </w:pPr>
    </w:p>
    <w:p w14:paraId="3C8EE423" w14:textId="77777777" w:rsidR="00AB43B1" w:rsidRDefault="00AB43B1" w:rsidP="007F645F">
      <w:pPr>
        <w:jc w:val="both"/>
        <w:rPr>
          <w:b/>
        </w:rPr>
      </w:pPr>
    </w:p>
    <w:p w14:paraId="27FD6795" w14:textId="07D975F5" w:rsidR="007F645F" w:rsidRDefault="007F645F" w:rsidP="007F645F">
      <w:pPr>
        <w:jc w:val="both"/>
        <w:rPr>
          <w:b/>
        </w:rPr>
      </w:pPr>
      <w:r w:rsidRPr="00266052">
        <w:rPr>
          <w:b/>
        </w:rPr>
        <w:t>THE DEFENCE</w:t>
      </w:r>
    </w:p>
    <w:p w14:paraId="3F7B8616" w14:textId="77777777" w:rsidR="00266052" w:rsidRPr="00266052" w:rsidRDefault="00266052" w:rsidP="007F645F">
      <w:pPr>
        <w:jc w:val="both"/>
        <w:rPr>
          <w:b/>
        </w:rPr>
      </w:pPr>
    </w:p>
    <w:p w14:paraId="00D3D45C" w14:textId="22F095C4" w:rsidR="00CC5119" w:rsidRPr="00964007" w:rsidRDefault="00964007" w:rsidP="00964007">
      <w:pPr>
        <w:spacing w:line="480" w:lineRule="auto"/>
        <w:ind w:left="709" w:hanging="709"/>
        <w:jc w:val="both"/>
        <w:rPr>
          <w:u w:val="none"/>
        </w:rPr>
      </w:pPr>
      <w:r>
        <w:rPr>
          <w:u w:val="none"/>
        </w:rPr>
        <w:t>36.</w:t>
      </w:r>
      <w:r>
        <w:rPr>
          <w:u w:val="none"/>
        </w:rPr>
        <w:tab/>
      </w:r>
      <w:r w:rsidR="007F645F" w:rsidRPr="00964007">
        <w:rPr>
          <w:u w:val="none"/>
        </w:rPr>
        <w:t>The defences</w:t>
      </w:r>
      <w:r w:rsidR="00CA27B8" w:rsidRPr="00964007">
        <w:rPr>
          <w:u w:val="none"/>
        </w:rPr>
        <w:t xml:space="preserve"> raised by the BRP and ABSA</w:t>
      </w:r>
      <w:r w:rsidR="007F645F" w:rsidRPr="00964007">
        <w:rPr>
          <w:u w:val="none"/>
        </w:rPr>
        <w:t xml:space="preserve"> are all in the same vein apart from one issue. I will deal with all the defence</w:t>
      </w:r>
      <w:r w:rsidR="00CA27B8" w:rsidRPr="00964007">
        <w:rPr>
          <w:u w:val="none"/>
        </w:rPr>
        <w:t>s</w:t>
      </w:r>
      <w:r w:rsidR="007F645F" w:rsidRPr="00964007">
        <w:rPr>
          <w:u w:val="none"/>
        </w:rPr>
        <w:t xml:space="preserve"> below, but it is important that the BRP’s view is that, as the </w:t>
      </w:r>
      <w:r w:rsidR="00CA27B8" w:rsidRPr="00964007">
        <w:rPr>
          <w:u w:val="none"/>
        </w:rPr>
        <w:t>B</w:t>
      </w:r>
      <w:r w:rsidR="007F645F" w:rsidRPr="00964007">
        <w:rPr>
          <w:u w:val="none"/>
        </w:rPr>
        <w:t>usiness</w:t>
      </w:r>
      <w:r w:rsidR="00CA27B8" w:rsidRPr="00964007">
        <w:rPr>
          <w:u w:val="none"/>
        </w:rPr>
        <w:t xml:space="preserve"> Rescue P</w:t>
      </w:r>
      <w:r w:rsidR="007F645F" w:rsidRPr="00964007">
        <w:rPr>
          <w:u w:val="none"/>
        </w:rPr>
        <w:t>lan was adopted on 13 July 2017 and ABSA is a secured creditor and recognised as one, the BRP owes it a “</w:t>
      </w:r>
      <w:r w:rsidR="007F645F" w:rsidRPr="00964007">
        <w:rPr>
          <w:i/>
          <w:u w:val="none"/>
        </w:rPr>
        <w:t>multitude of obligations</w:t>
      </w:r>
      <w:r w:rsidR="007F645F" w:rsidRPr="00964007">
        <w:rPr>
          <w:u w:val="none"/>
        </w:rPr>
        <w:t>”</w:t>
      </w:r>
      <w:r w:rsidR="007F645F">
        <w:rPr>
          <w:rStyle w:val="FootnoteReference"/>
          <w:u w:val="none"/>
        </w:rPr>
        <w:footnoteReference w:id="17"/>
      </w:r>
      <w:r w:rsidR="009A77EC" w:rsidRPr="00964007">
        <w:rPr>
          <w:u w:val="none"/>
        </w:rPr>
        <w:t>. The BRP’s defence is that its opposition is informed by its obligations and fiduciary duty towards the recognised creditors of</w:t>
      </w:r>
      <w:r w:rsidR="00CA27B8" w:rsidRPr="00964007">
        <w:rPr>
          <w:u w:val="none"/>
        </w:rPr>
        <w:t xml:space="preserve"> Wraypex which include ABSA</w:t>
      </w:r>
      <w:r w:rsidR="009A77EC" w:rsidRPr="00964007">
        <w:rPr>
          <w:u w:val="none"/>
        </w:rPr>
        <w:t>.</w:t>
      </w:r>
    </w:p>
    <w:p w14:paraId="59868325" w14:textId="77777777" w:rsidR="00CC5119" w:rsidRPr="00CC5119" w:rsidRDefault="00CC5119" w:rsidP="00D06413">
      <w:pPr>
        <w:pStyle w:val="ListParagraph"/>
        <w:jc w:val="both"/>
        <w:rPr>
          <w:u w:val="none"/>
        </w:rPr>
      </w:pPr>
    </w:p>
    <w:p w14:paraId="1862055A" w14:textId="45BB152A" w:rsidR="00CC5119" w:rsidRPr="00964007" w:rsidRDefault="00964007" w:rsidP="00964007">
      <w:pPr>
        <w:spacing w:line="480" w:lineRule="auto"/>
        <w:ind w:left="709" w:hanging="709"/>
        <w:jc w:val="both"/>
        <w:rPr>
          <w:u w:val="none"/>
        </w:rPr>
      </w:pPr>
      <w:r w:rsidRPr="001D5639">
        <w:rPr>
          <w:u w:val="none"/>
        </w:rPr>
        <w:t>37.</w:t>
      </w:r>
      <w:r w:rsidRPr="001D5639">
        <w:rPr>
          <w:u w:val="none"/>
        </w:rPr>
        <w:tab/>
      </w:r>
      <w:r w:rsidR="009A77EC" w:rsidRPr="00964007">
        <w:rPr>
          <w:u w:val="none"/>
        </w:rPr>
        <w:t xml:space="preserve">It must be borne in mind that the Trust did not submit a claim as a creditor, whether contingent or </w:t>
      </w:r>
      <w:r w:rsidR="00F81248" w:rsidRPr="00964007">
        <w:rPr>
          <w:u w:val="none"/>
        </w:rPr>
        <w:t xml:space="preserve">otherwise and therefore the BRP’s view is </w:t>
      </w:r>
      <w:r w:rsidR="009A77EC" w:rsidRPr="00964007">
        <w:rPr>
          <w:u w:val="none"/>
        </w:rPr>
        <w:t>that the Trust is not an “</w:t>
      </w:r>
      <w:r w:rsidR="009A77EC" w:rsidRPr="00964007">
        <w:rPr>
          <w:i/>
          <w:u w:val="none"/>
        </w:rPr>
        <w:t>affected person</w:t>
      </w:r>
      <w:r w:rsidR="009A77EC" w:rsidRPr="00964007">
        <w:rPr>
          <w:u w:val="none"/>
        </w:rPr>
        <w:t xml:space="preserve">” as defined </w:t>
      </w:r>
      <w:r w:rsidR="0011217B" w:rsidRPr="00964007">
        <w:rPr>
          <w:u w:val="none"/>
        </w:rPr>
        <w:t>in Section 218 of the Companies Act</w:t>
      </w:r>
      <w:r w:rsidR="00CA27B8" w:rsidRPr="00964007">
        <w:rPr>
          <w:u w:val="none"/>
        </w:rPr>
        <w:t xml:space="preserve"> No </w:t>
      </w:r>
      <w:r w:rsidR="00F81248" w:rsidRPr="00964007">
        <w:rPr>
          <w:u w:val="none"/>
        </w:rPr>
        <w:t>71 of 2008.</w:t>
      </w:r>
      <w:r w:rsidR="00F81248">
        <w:rPr>
          <w:rStyle w:val="FootnoteReference"/>
          <w:u w:val="none"/>
        </w:rPr>
        <w:footnoteReference w:id="18"/>
      </w:r>
    </w:p>
    <w:p w14:paraId="037403A6" w14:textId="77777777" w:rsidR="00266052" w:rsidRPr="00266052" w:rsidRDefault="00266052" w:rsidP="00266052">
      <w:pPr>
        <w:pStyle w:val="ListParagraph"/>
        <w:rPr>
          <w:u w:val="none"/>
        </w:rPr>
      </w:pPr>
    </w:p>
    <w:p w14:paraId="0DB3FAA8" w14:textId="77777777" w:rsidR="00CC5119" w:rsidRPr="00B554C5" w:rsidRDefault="00CC5119" w:rsidP="00D06413">
      <w:pPr>
        <w:jc w:val="both"/>
        <w:rPr>
          <w:u w:val="none"/>
        </w:rPr>
      </w:pPr>
    </w:p>
    <w:p w14:paraId="4CA3AAA4" w14:textId="49DAF177" w:rsidR="00CC5119" w:rsidRPr="00964007" w:rsidRDefault="00964007" w:rsidP="00964007">
      <w:pPr>
        <w:spacing w:line="480" w:lineRule="auto"/>
        <w:ind w:left="709" w:hanging="709"/>
        <w:jc w:val="both"/>
        <w:rPr>
          <w:u w:val="none"/>
        </w:rPr>
      </w:pPr>
      <w:r>
        <w:rPr>
          <w:u w:val="none"/>
        </w:rPr>
        <w:t>38.</w:t>
      </w:r>
      <w:r>
        <w:rPr>
          <w:u w:val="none"/>
        </w:rPr>
        <w:tab/>
      </w:r>
      <w:r w:rsidR="00114FE3" w:rsidRPr="00964007">
        <w:rPr>
          <w:u w:val="none"/>
        </w:rPr>
        <w:t>The BRP’s position is that, although the Trust maintains that he should merely have remained neutral and abided the decision, he could not do so because of the fiduciary duties and obligations owed to the creditors of Wraypex. This is of a</w:t>
      </w:r>
      <w:r w:rsidR="00673DCC" w:rsidRPr="00964007">
        <w:rPr>
          <w:u w:val="none"/>
        </w:rPr>
        <w:t xml:space="preserve"> </w:t>
      </w:r>
      <w:r w:rsidR="00114FE3" w:rsidRPr="00964007">
        <w:rPr>
          <w:u w:val="none"/>
        </w:rPr>
        <w:t>particular relevance as Section 140(1)(d) (11) of the Companies Act states:</w:t>
      </w:r>
    </w:p>
    <w:p w14:paraId="5B42406C" w14:textId="77777777" w:rsidR="00114FE3" w:rsidRPr="00DA1A17" w:rsidRDefault="00114FE3" w:rsidP="00DA1A17">
      <w:pPr>
        <w:pStyle w:val="ListParagraph"/>
        <w:spacing w:line="360" w:lineRule="auto"/>
        <w:ind w:left="1440" w:hanging="720"/>
        <w:jc w:val="both"/>
        <w:rPr>
          <w:i/>
          <w:u w:val="none"/>
        </w:rPr>
      </w:pPr>
      <w:r w:rsidRPr="00DA1A17">
        <w:rPr>
          <w:i/>
          <w:u w:val="none"/>
        </w:rPr>
        <w:t>“</w:t>
      </w:r>
      <w:r w:rsidR="00835DE1" w:rsidRPr="00DA1A17">
        <w:rPr>
          <w:i/>
          <w:u w:val="none"/>
        </w:rPr>
        <w:t>(1)</w:t>
      </w:r>
      <w:r w:rsidR="00835DE1" w:rsidRPr="00DA1A17">
        <w:rPr>
          <w:i/>
          <w:u w:val="none"/>
        </w:rPr>
        <w:tab/>
      </w:r>
      <w:r w:rsidRPr="00DA1A17">
        <w:rPr>
          <w:i/>
          <w:u w:val="none"/>
        </w:rPr>
        <w:t>During a company’s business rescue proceedings, the practitioner, in</w:t>
      </w:r>
      <w:r w:rsidR="00835DE1" w:rsidRPr="00DA1A17">
        <w:rPr>
          <w:i/>
          <w:u w:val="none"/>
        </w:rPr>
        <w:t xml:space="preserve"> addition to any other powers and duties set out in this Chapter – </w:t>
      </w:r>
    </w:p>
    <w:p w14:paraId="17AE62DA" w14:textId="77777777" w:rsidR="00835DE1" w:rsidRPr="00DA1A17" w:rsidRDefault="00835DE1" w:rsidP="00DA1A17">
      <w:pPr>
        <w:pStyle w:val="ListParagraph"/>
        <w:spacing w:line="360" w:lineRule="auto"/>
        <w:ind w:left="1440" w:hanging="720"/>
        <w:jc w:val="both"/>
        <w:rPr>
          <w:i/>
          <w:u w:val="none"/>
        </w:rPr>
      </w:pPr>
      <w:r w:rsidRPr="00DA1A17">
        <w:rPr>
          <w:i/>
          <w:u w:val="none"/>
        </w:rPr>
        <w:tab/>
        <w:t>(a)…</w:t>
      </w:r>
    </w:p>
    <w:p w14:paraId="18130317" w14:textId="77777777" w:rsidR="00835DE1" w:rsidRPr="00DA1A17" w:rsidRDefault="00835DE1" w:rsidP="00DA1A17">
      <w:pPr>
        <w:pStyle w:val="ListParagraph"/>
        <w:spacing w:line="360" w:lineRule="auto"/>
        <w:ind w:left="1440" w:hanging="720"/>
        <w:jc w:val="both"/>
        <w:rPr>
          <w:i/>
          <w:u w:val="none"/>
        </w:rPr>
      </w:pPr>
      <w:r w:rsidRPr="00DA1A17">
        <w:rPr>
          <w:i/>
          <w:u w:val="none"/>
        </w:rPr>
        <w:tab/>
        <w:t>(b)…</w:t>
      </w:r>
    </w:p>
    <w:p w14:paraId="2C6A3E2E" w14:textId="77777777" w:rsidR="00835DE1" w:rsidRPr="00DA1A17" w:rsidRDefault="00835DE1" w:rsidP="00DA1A17">
      <w:pPr>
        <w:pStyle w:val="ListParagraph"/>
        <w:spacing w:line="360" w:lineRule="auto"/>
        <w:ind w:left="1440" w:hanging="720"/>
        <w:jc w:val="both"/>
        <w:rPr>
          <w:i/>
          <w:u w:val="none"/>
        </w:rPr>
      </w:pPr>
      <w:r w:rsidRPr="00DA1A17">
        <w:rPr>
          <w:i/>
          <w:u w:val="none"/>
        </w:rPr>
        <w:lastRenderedPageBreak/>
        <w:tab/>
        <w:t>(c)…</w:t>
      </w:r>
    </w:p>
    <w:p w14:paraId="02E046BA" w14:textId="77777777" w:rsidR="00835DE1" w:rsidRPr="00DA1A17" w:rsidRDefault="00835DE1" w:rsidP="00DA1A17">
      <w:pPr>
        <w:pStyle w:val="ListParagraph"/>
        <w:spacing w:line="360" w:lineRule="auto"/>
        <w:ind w:left="1440" w:hanging="720"/>
        <w:jc w:val="both"/>
        <w:rPr>
          <w:i/>
          <w:u w:val="none"/>
        </w:rPr>
      </w:pPr>
      <w:r w:rsidRPr="00DA1A17">
        <w:rPr>
          <w:i/>
          <w:u w:val="none"/>
        </w:rPr>
        <w:tab/>
        <w:t>(d)</w:t>
      </w:r>
      <w:r w:rsidRPr="00DA1A17">
        <w:rPr>
          <w:i/>
          <w:u w:val="none"/>
        </w:rPr>
        <w:tab/>
        <w:t>is responsible to –</w:t>
      </w:r>
    </w:p>
    <w:p w14:paraId="71060324" w14:textId="77777777" w:rsidR="00835DE1" w:rsidRPr="00DA1A17" w:rsidRDefault="00835DE1" w:rsidP="00DA1A17">
      <w:pPr>
        <w:pStyle w:val="ListParagraph"/>
        <w:spacing w:line="360" w:lineRule="auto"/>
        <w:ind w:left="1440" w:hanging="720"/>
        <w:jc w:val="both"/>
        <w:rPr>
          <w:i/>
          <w:u w:val="none"/>
        </w:rPr>
      </w:pPr>
      <w:r w:rsidRPr="00DA1A17">
        <w:rPr>
          <w:i/>
          <w:u w:val="none"/>
        </w:rPr>
        <w:tab/>
      </w:r>
      <w:r w:rsidRPr="00DA1A17">
        <w:rPr>
          <w:i/>
          <w:u w:val="none"/>
        </w:rPr>
        <w:tab/>
        <w:t>(i)</w:t>
      </w:r>
      <w:r w:rsidRPr="00DA1A17">
        <w:rPr>
          <w:i/>
          <w:u w:val="none"/>
        </w:rPr>
        <w:tab/>
        <w:t>…</w:t>
      </w:r>
    </w:p>
    <w:p w14:paraId="0EB3776A" w14:textId="77777777" w:rsidR="00835DE1" w:rsidRPr="00DA1A17" w:rsidRDefault="00835DE1" w:rsidP="00DA1A17">
      <w:pPr>
        <w:pStyle w:val="ListParagraph"/>
        <w:spacing w:line="360" w:lineRule="auto"/>
        <w:ind w:left="2880" w:hanging="720"/>
        <w:jc w:val="both"/>
        <w:rPr>
          <w:i/>
          <w:u w:val="none"/>
        </w:rPr>
      </w:pPr>
      <w:r w:rsidRPr="00DA1A17">
        <w:rPr>
          <w:i/>
          <w:u w:val="none"/>
        </w:rPr>
        <w:t>(ii)</w:t>
      </w:r>
      <w:r w:rsidRPr="00DA1A17">
        <w:rPr>
          <w:i/>
          <w:u w:val="none"/>
        </w:rPr>
        <w:tab/>
        <w:t>implement any business rescue plan that has been adopted with Part D of this Chapter.”</w:t>
      </w:r>
    </w:p>
    <w:p w14:paraId="08CEBEAF" w14:textId="2E122662" w:rsidR="00CC5119" w:rsidRPr="00CC5119" w:rsidRDefault="00835DE1" w:rsidP="00DA1A17">
      <w:pPr>
        <w:pStyle w:val="ListParagraph"/>
        <w:spacing w:line="480" w:lineRule="auto"/>
        <w:ind w:left="1440" w:hanging="720"/>
        <w:jc w:val="both"/>
        <w:rPr>
          <w:u w:val="none"/>
        </w:rPr>
      </w:pPr>
      <w:r>
        <w:rPr>
          <w:u w:val="none"/>
        </w:rPr>
        <w:tab/>
      </w:r>
      <w:r>
        <w:rPr>
          <w:u w:val="none"/>
        </w:rPr>
        <w:tab/>
      </w:r>
    </w:p>
    <w:p w14:paraId="7E75F226" w14:textId="381DF910" w:rsidR="00CC5119" w:rsidRPr="00964007" w:rsidRDefault="00964007" w:rsidP="00964007">
      <w:pPr>
        <w:spacing w:line="480" w:lineRule="auto"/>
        <w:ind w:left="709" w:hanging="709"/>
        <w:jc w:val="both"/>
        <w:rPr>
          <w:u w:val="none"/>
        </w:rPr>
      </w:pPr>
      <w:r>
        <w:rPr>
          <w:u w:val="none"/>
        </w:rPr>
        <w:t>39.</w:t>
      </w:r>
      <w:r>
        <w:rPr>
          <w:u w:val="none"/>
        </w:rPr>
        <w:tab/>
      </w:r>
      <w:r w:rsidR="00673DCC" w:rsidRPr="00964007">
        <w:rPr>
          <w:u w:val="none"/>
        </w:rPr>
        <w:t xml:space="preserve">The </w:t>
      </w:r>
      <w:r w:rsidR="00DA1A17" w:rsidRPr="00964007">
        <w:rPr>
          <w:u w:val="none"/>
        </w:rPr>
        <w:t>B</w:t>
      </w:r>
      <w:r w:rsidR="00673DCC" w:rsidRPr="00964007">
        <w:rPr>
          <w:u w:val="none"/>
        </w:rPr>
        <w:t xml:space="preserve">usiness </w:t>
      </w:r>
      <w:r w:rsidR="00DA1A17" w:rsidRPr="00964007">
        <w:rPr>
          <w:u w:val="none"/>
        </w:rPr>
        <w:t>R</w:t>
      </w:r>
      <w:r w:rsidR="00673DCC" w:rsidRPr="00964007">
        <w:rPr>
          <w:u w:val="none"/>
        </w:rPr>
        <w:t xml:space="preserve">escue </w:t>
      </w:r>
      <w:r w:rsidR="00DA1A17" w:rsidRPr="00964007">
        <w:rPr>
          <w:u w:val="none"/>
        </w:rPr>
        <w:t>P</w:t>
      </w:r>
      <w:r w:rsidR="00673DCC" w:rsidRPr="00964007">
        <w:rPr>
          <w:u w:val="none"/>
        </w:rPr>
        <w:t xml:space="preserve">lan provides </w:t>
      </w:r>
      <w:r w:rsidR="00CA27B8" w:rsidRPr="00964007">
        <w:rPr>
          <w:u w:val="none"/>
        </w:rPr>
        <w:t>that the property:</w:t>
      </w:r>
    </w:p>
    <w:p w14:paraId="1A787AF9" w14:textId="76E1546F" w:rsidR="005E4DDE" w:rsidRPr="00964007" w:rsidRDefault="00964007" w:rsidP="00964007">
      <w:pPr>
        <w:spacing w:line="480" w:lineRule="auto"/>
        <w:ind w:left="1418" w:hanging="709"/>
        <w:jc w:val="both"/>
        <w:rPr>
          <w:u w:val="none"/>
        </w:rPr>
      </w:pPr>
      <w:r>
        <w:rPr>
          <w:u w:val="none"/>
        </w:rPr>
        <w:t>39.1</w:t>
      </w:r>
      <w:r>
        <w:rPr>
          <w:u w:val="none"/>
        </w:rPr>
        <w:tab/>
      </w:r>
      <w:r w:rsidR="003900A4" w:rsidRPr="00964007">
        <w:rPr>
          <w:u w:val="none"/>
        </w:rPr>
        <w:t>is an investment property asset owned by the 1</w:t>
      </w:r>
      <w:r w:rsidR="003900A4" w:rsidRPr="00964007">
        <w:rPr>
          <w:u w:val="none"/>
          <w:vertAlign w:val="superscript"/>
        </w:rPr>
        <w:t>st</w:t>
      </w:r>
      <w:r w:rsidR="003900A4" w:rsidRPr="00964007">
        <w:rPr>
          <w:u w:val="none"/>
        </w:rPr>
        <w:t xml:space="preserve"> respondent;</w:t>
      </w:r>
    </w:p>
    <w:p w14:paraId="260106C8" w14:textId="2538F158" w:rsidR="005E4DDE" w:rsidRPr="00964007" w:rsidRDefault="00964007" w:rsidP="00964007">
      <w:pPr>
        <w:spacing w:line="480" w:lineRule="auto"/>
        <w:ind w:left="1418" w:hanging="709"/>
        <w:jc w:val="both"/>
        <w:rPr>
          <w:u w:val="none"/>
        </w:rPr>
      </w:pPr>
      <w:r>
        <w:rPr>
          <w:u w:val="none"/>
        </w:rPr>
        <w:t>39.2</w:t>
      </w:r>
      <w:r>
        <w:rPr>
          <w:u w:val="none"/>
        </w:rPr>
        <w:tab/>
      </w:r>
      <w:r w:rsidR="003900A4" w:rsidRPr="00964007">
        <w:rPr>
          <w:u w:val="none"/>
        </w:rPr>
        <w:t>that ABSA holds security by way of a first and second mortgage bond;</w:t>
      </w:r>
    </w:p>
    <w:p w14:paraId="5EBD9576" w14:textId="31A95C03" w:rsidR="005E4DDE" w:rsidRPr="00964007" w:rsidRDefault="00964007" w:rsidP="00964007">
      <w:pPr>
        <w:spacing w:line="480" w:lineRule="auto"/>
        <w:ind w:left="1418" w:hanging="709"/>
        <w:jc w:val="both"/>
        <w:rPr>
          <w:u w:val="none"/>
        </w:rPr>
      </w:pPr>
      <w:r>
        <w:rPr>
          <w:u w:val="none"/>
        </w:rPr>
        <w:t>39.3</w:t>
      </w:r>
      <w:r>
        <w:rPr>
          <w:u w:val="none"/>
        </w:rPr>
        <w:tab/>
      </w:r>
      <w:r w:rsidR="003900A4" w:rsidRPr="00964007">
        <w:rPr>
          <w:u w:val="none"/>
        </w:rPr>
        <w:t>included in proposal 1 is the sale of 8 properties encumbered to ABSA in the open market at the best attainable prices;</w:t>
      </w:r>
    </w:p>
    <w:p w14:paraId="60D12EB7" w14:textId="132D0BD4" w:rsidR="005E4DDE" w:rsidRPr="00964007" w:rsidRDefault="00964007" w:rsidP="00964007">
      <w:pPr>
        <w:spacing w:line="480" w:lineRule="auto"/>
        <w:ind w:left="1418" w:hanging="709"/>
        <w:jc w:val="both"/>
        <w:rPr>
          <w:u w:val="none"/>
        </w:rPr>
      </w:pPr>
      <w:r>
        <w:rPr>
          <w:u w:val="none"/>
        </w:rPr>
        <w:t>39.4</w:t>
      </w:r>
      <w:r>
        <w:rPr>
          <w:u w:val="none"/>
        </w:rPr>
        <w:tab/>
      </w:r>
      <w:r w:rsidR="003900A4" w:rsidRPr="00964007">
        <w:rPr>
          <w:u w:val="none"/>
        </w:rPr>
        <w:t>that the ABSA encumbered properties are to be sold in the open market at the best attainable prices as soon as market conditions allow therefor after the approval of the plan;</w:t>
      </w:r>
    </w:p>
    <w:p w14:paraId="76E7EB56" w14:textId="084969F3" w:rsidR="005E4DDE" w:rsidRPr="00964007" w:rsidRDefault="00964007" w:rsidP="00964007">
      <w:pPr>
        <w:spacing w:line="480" w:lineRule="auto"/>
        <w:ind w:left="1418" w:hanging="709"/>
        <w:jc w:val="both"/>
        <w:rPr>
          <w:u w:val="none"/>
        </w:rPr>
      </w:pPr>
      <w:r>
        <w:rPr>
          <w:u w:val="none"/>
        </w:rPr>
        <w:t>39.5</w:t>
      </w:r>
      <w:r>
        <w:rPr>
          <w:u w:val="none"/>
        </w:rPr>
        <w:tab/>
      </w:r>
      <w:r w:rsidR="003900A4" w:rsidRPr="00964007">
        <w:rPr>
          <w:u w:val="none"/>
        </w:rPr>
        <w:t>that the assets encumbered by ABSA were independently valuated by both the BRP and ABSA after which ABSA provided the BRP with reserve prices at which the individual assets may</w:t>
      </w:r>
      <w:r w:rsidR="00CA27B8" w:rsidRPr="00964007">
        <w:rPr>
          <w:u w:val="none"/>
        </w:rPr>
        <w:t xml:space="preserve"> </w:t>
      </w:r>
      <w:r w:rsidR="003900A4" w:rsidRPr="00964007">
        <w:rPr>
          <w:u w:val="none"/>
        </w:rPr>
        <w:t>be disposed of. The assets will be sold in the ordinary course of business at amounts equal to or exceeding the reserve prices;</w:t>
      </w:r>
    </w:p>
    <w:p w14:paraId="0980AAB4" w14:textId="58C471A3" w:rsidR="005E4DDE" w:rsidRPr="00964007" w:rsidRDefault="00964007" w:rsidP="00964007">
      <w:pPr>
        <w:spacing w:line="480" w:lineRule="auto"/>
        <w:ind w:left="1418" w:hanging="709"/>
        <w:jc w:val="both"/>
        <w:rPr>
          <w:u w:val="none"/>
        </w:rPr>
      </w:pPr>
      <w:r>
        <w:rPr>
          <w:u w:val="none"/>
        </w:rPr>
        <w:t>39.6</w:t>
      </w:r>
      <w:r>
        <w:rPr>
          <w:u w:val="none"/>
        </w:rPr>
        <w:tab/>
      </w:r>
      <w:r w:rsidR="003900A4" w:rsidRPr="00964007">
        <w:rPr>
          <w:u w:val="none"/>
        </w:rPr>
        <w:t>that this specific property was recorded as an investment property available to be sold to pay the creditors of the 1</w:t>
      </w:r>
      <w:r w:rsidR="003900A4" w:rsidRPr="00964007">
        <w:rPr>
          <w:u w:val="none"/>
          <w:vertAlign w:val="superscript"/>
        </w:rPr>
        <w:t>st</w:t>
      </w:r>
      <w:r w:rsidR="003900A4" w:rsidRPr="00964007">
        <w:rPr>
          <w:u w:val="none"/>
        </w:rPr>
        <w:t xml:space="preserve"> respondent; and </w:t>
      </w:r>
    </w:p>
    <w:p w14:paraId="472E96B6" w14:textId="28449B6B" w:rsidR="003900A4" w:rsidRPr="00964007" w:rsidRDefault="00964007" w:rsidP="00964007">
      <w:pPr>
        <w:spacing w:line="480" w:lineRule="auto"/>
        <w:ind w:left="1418" w:hanging="709"/>
        <w:jc w:val="both"/>
        <w:rPr>
          <w:u w:val="none"/>
        </w:rPr>
      </w:pPr>
      <w:r w:rsidRPr="005E4DDE">
        <w:rPr>
          <w:u w:val="none"/>
        </w:rPr>
        <w:t>39.7</w:t>
      </w:r>
      <w:r w:rsidRPr="005E4DDE">
        <w:rPr>
          <w:u w:val="none"/>
        </w:rPr>
        <w:tab/>
      </w:r>
      <w:r w:rsidR="003900A4" w:rsidRPr="00964007">
        <w:rPr>
          <w:u w:val="none"/>
        </w:rPr>
        <w:t xml:space="preserve">that the proposals envisage the sale of the assets </w:t>
      </w:r>
      <w:r w:rsidR="005F2330" w:rsidRPr="00964007">
        <w:rPr>
          <w:u w:val="none"/>
        </w:rPr>
        <w:t>encumbered</w:t>
      </w:r>
      <w:r w:rsidR="003900A4" w:rsidRPr="00964007">
        <w:rPr>
          <w:u w:val="none"/>
        </w:rPr>
        <w:t xml:space="preserve"> to ABSA in the ordinary course of business at prices agreed to by the bondholder and or subject to confirmation by the bondholder.</w:t>
      </w:r>
    </w:p>
    <w:p w14:paraId="61588E72" w14:textId="77777777" w:rsidR="00CC5119" w:rsidRPr="00CC5119" w:rsidRDefault="00CC5119" w:rsidP="00D06413">
      <w:pPr>
        <w:pStyle w:val="ListParagraph"/>
        <w:jc w:val="both"/>
        <w:rPr>
          <w:u w:val="none"/>
        </w:rPr>
      </w:pPr>
    </w:p>
    <w:p w14:paraId="1D5D8C73" w14:textId="6B358071" w:rsidR="00CC5119" w:rsidRPr="00964007" w:rsidRDefault="00964007" w:rsidP="00964007">
      <w:pPr>
        <w:spacing w:line="480" w:lineRule="auto"/>
        <w:ind w:left="709" w:hanging="709"/>
        <w:jc w:val="both"/>
        <w:rPr>
          <w:u w:val="none"/>
        </w:rPr>
      </w:pPr>
      <w:r w:rsidRPr="0018554D">
        <w:rPr>
          <w:u w:val="none"/>
        </w:rPr>
        <w:lastRenderedPageBreak/>
        <w:t>40.</w:t>
      </w:r>
      <w:r w:rsidRPr="0018554D">
        <w:rPr>
          <w:u w:val="none"/>
        </w:rPr>
        <w:tab/>
      </w:r>
      <w:r w:rsidR="003900A4" w:rsidRPr="00964007">
        <w:rPr>
          <w:u w:val="none"/>
        </w:rPr>
        <w:t>Th</w:t>
      </w:r>
      <w:r w:rsidR="00DA1A17" w:rsidRPr="00964007">
        <w:rPr>
          <w:u w:val="none"/>
        </w:rPr>
        <w:t>u</w:t>
      </w:r>
      <w:r w:rsidR="00CA27B8" w:rsidRPr="00964007">
        <w:rPr>
          <w:u w:val="none"/>
        </w:rPr>
        <w:t>s, says the BRP, he</w:t>
      </w:r>
      <w:r w:rsidR="003900A4" w:rsidRPr="00964007">
        <w:rPr>
          <w:u w:val="none"/>
        </w:rPr>
        <w:t xml:space="preserve"> could not remain supine in the face of litigation more especially when, instead of observing the costs relief sought in the Notice of Motion</w:t>
      </w:r>
      <w:r w:rsidR="003900A4">
        <w:rPr>
          <w:rStyle w:val="FootnoteReference"/>
          <w:u w:val="none"/>
        </w:rPr>
        <w:footnoteReference w:id="19"/>
      </w:r>
      <w:r w:rsidR="00402792" w:rsidRPr="00964007">
        <w:rPr>
          <w:u w:val="none"/>
        </w:rPr>
        <w:t>, the Trust stat</w:t>
      </w:r>
      <w:r w:rsidR="00DA1A17" w:rsidRPr="00964007">
        <w:rPr>
          <w:u w:val="none"/>
        </w:rPr>
        <w:t>e</w:t>
      </w:r>
      <w:r w:rsidR="00402792" w:rsidRPr="00964007">
        <w:rPr>
          <w:u w:val="none"/>
        </w:rPr>
        <w:t>s:</w:t>
      </w:r>
    </w:p>
    <w:p w14:paraId="28E1D3DF" w14:textId="77777777" w:rsidR="00402792" w:rsidRPr="005F2330" w:rsidRDefault="00402792" w:rsidP="00402792">
      <w:pPr>
        <w:spacing w:line="480" w:lineRule="auto"/>
        <w:ind w:left="1080" w:hanging="360"/>
        <w:jc w:val="both"/>
        <w:rPr>
          <w:i/>
          <w:u w:val="none"/>
        </w:rPr>
      </w:pPr>
      <w:r w:rsidRPr="005F2330">
        <w:rPr>
          <w:i/>
          <w:u w:val="none"/>
        </w:rPr>
        <w:t>“4.6</w:t>
      </w:r>
      <w:r w:rsidRPr="005F2330">
        <w:rPr>
          <w:i/>
          <w:u w:val="none"/>
        </w:rPr>
        <w:tab/>
        <w:t>No costs order is sought against the Third, Fourth and/or Fifth respondents, save in the event that any such Respondents opposes this application, and in which event a cost order will be sought against such a Respondent jointly and severally with the First and Second Respondents”</w:t>
      </w:r>
    </w:p>
    <w:p w14:paraId="7A89DF69" w14:textId="77777777" w:rsidR="00CC5119" w:rsidRPr="00CC5119" w:rsidRDefault="00CC5119" w:rsidP="00D06413">
      <w:pPr>
        <w:pStyle w:val="ListParagraph"/>
        <w:jc w:val="both"/>
        <w:rPr>
          <w:u w:val="none"/>
        </w:rPr>
      </w:pPr>
    </w:p>
    <w:p w14:paraId="164CB157" w14:textId="0E784ADC" w:rsidR="00CC5119" w:rsidRPr="00964007" w:rsidRDefault="00964007" w:rsidP="00964007">
      <w:pPr>
        <w:spacing w:line="480" w:lineRule="auto"/>
        <w:ind w:left="709" w:hanging="709"/>
        <w:jc w:val="both"/>
        <w:rPr>
          <w:u w:val="none"/>
        </w:rPr>
      </w:pPr>
      <w:r>
        <w:rPr>
          <w:u w:val="none"/>
        </w:rPr>
        <w:t>41.</w:t>
      </w:r>
      <w:r>
        <w:rPr>
          <w:u w:val="none"/>
        </w:rPr>
        <w:tab/>
      </w:r>
      <w:r w:rsidR="001F77E3" w:rsidRPr="00964007">
        <w:rPr>
          <w:u w:val="none"/>
        </w:rPr>
        <w:t xml:space="preserve">The BRP has interpreted this to mean that the Trust was, despite prayer 3, seeking a costs order </w:t>
      </w:r>
      <w:r w:rsidR="00DA1A17" w:rsidRPr="00964007">
        <w:rPr>
          <w:u w:val="none"/>
        </w:rPr>
        <w:t xml:space="preserve">against him, </w:t>
      </w:r>
      <w:r w:rsidR="001F77E3" w:rsidRPr="00964007">
        <w:rPr>
          <w:u w:val="none"/>
        </w:rPr>
        <w:t xml:space="preserve">and therefore he was obliged to enter the fray. What this argument loses sight of is paragraph </w:t>
      </w:r>
      <w:r w:rsidR="00C20AFC" w:rsidRPr="00964007">
        <w:rPr>
          <w:u w:val="none"/>
        </w:rPr>
        <w:t xml:space="preserve">14 of the </w:t>
      </w:r>
      <w:r w:rsidR="00DA1A17" w:rsidRPr="00964007">
        <w:rPr>
          <w:u w:val="none"/>
        </w:rPr>
        <w:t>founding affidavit</w:t>
      </w:r>
      <w:r w:rsidR="00C20AFC" w:rsidRPr="00964007">
        <w:rPr>
          <w:u w:val="none"/>
        </w:rPr>
        <w:t xml:space="preserve"> which states:</w:t>
      </w:r>
    </w:p>
    <w:p w14:paraId="173C0331" w14:textId="77777777" w:rsidR="00C20AFC" w:rsidRDefault="00C20AFC" w:rsidP="00C20AFC">
      <w:pPr>
        <w:pStyle w:val="ListParagraph"/>
        <w:spacing w:line="480" w:lineRule="auto"/>
        <w:ind w:left="709"/>
        <w:jc w:val="both"/>
        <w:rPr>
          <w:i/>
        </w:rPr>
      </w:pPr>
      <w:r w:rsidRPr="00C20AFC">
        <w:rPr>
          <w:i/>
          <w:u w:val="none"/>
        </w:rPr>
        <w:t xml:space="preserve">“I respectfully submit that a proper case has been made out for the granting of an interim interdict against the First and Second Respondent, </w:t>
      </w:r>
      <w:r w:rsidRPr="00C20AFC">
        <w:rPr>
          <w:i/>
        </w:rPr>
        <w:t>as set out in the Notice of Motion</w:t>
      </w:r>
      <w:r w:rsidRPr="00C20AFC">
        <w:rPr>
          <w:i/>
          <w:u w:val="none"/>
        </w:rPr>
        <w:t xml:space="preserve">, and I respectfully request the Honourable Court </w:t>
      </w:r>
      <w:r w:rsidRPr="00C20AFC">
        <w:rPr>
          <w:i/>
        </w:rPr>
        <w:t>to grant the relief as sought in the Notice of Motion.”</w:t>
      </w:r>
    </w:p>
    <w:p w14:paraId="74532532" w14:textId="77777777" w:rsidR="00C20AFC" w:rsidRPr="00C20AFC" w:rsidRDefault="00C20AFC" w:rsidP="00C20AFC">
      <w:pPr>
        <w:pStyle w:val="ListParagraph"/>
        <w:spacing w:line="480" w:lineRule="auto"/>
        <w:ind w:left="709"/>
        <w:jc w:val="both"/>
        <w:rPr>
          <w:u w:val="none"/>
        </w:rPr>
      </w:pPr>
      <w:r w:rsidRPr="00C20AFC">
        <w:rPr>
          <w:u w:val="none"/>
        </w:rPr>
        <w:t>(my emphasis)</w:t>
      </w:r>
    </w:p>
    <w:p w14:paraId="34C6EA6C" w14:textId="77777777" w:rsidR="00CC5119" w:rsidRPr="00CC5119" w:rsidRDefault="00CC5119" w:rsidP="00D06413">
      <w:pPr>
        <w:pStyle w:val="ListParagraph"/>
        <w:jc w:val="both"/>
        <w:rPr>
          <w:u w:val="none"/>
        </w:rPr>
      </w:pPr>
    </w:p>
    <w:p w14:paraId="4E1C036E" w14:textId="6F76EDC9" w:rsidR="00CC5119" w:rsidRPr="00964007" w:rsidRDefault="00964007" w:rsidP="00964007">
      <w:pPr>
        <w:spacing w:line="480" w:lineRule="auto"/>
        <w:ind w:left="709" w:hanging="709"/>
        <w:jc w:val="both"/>
        <w:rPr>
          <w:u w:val="none"/>
        </w:rPr>
      </w:pPr>
      <w:r>
        <w:rPr>
          <w:u w:val="none"/>
        </w:rPr>
        <w:t>42.</w:t>
      </w:r>
      <w:r>
        <w:rPr>
          <w:u w:val="none"/>
        </w:rPr>
        <w:tab/>
      </w:r>
      <w:r w:rsidR="00C20AFC" w:rsidRPr="00964007">
        <w:rPr>
          <w:u w:val="none"/>
        </w:rPr>
        <w:t>So too in the Replying Affidavit appears the following in paragraph 29</w:t>
      </w:r>
    </w:p>
    <w:p w14:paraId="23BC76C4" w14:textId="77777777" w:rsidR="00C20AFC" w:rsidRPr="00465B0C" w:rsidRDefault="00C20AFC" w:rsidP="00C20AFC">
      <w:pPr>
        <w:pStyle w:val="ListParagraph"/>
        <w:spacing w:line="480" w:lineRule="auto"/>
        <w:ind w:left="709"/>
        <w:jc w:val="both"/>
        <w:rPr>
          <w:i/>
        </w:rPr>
      </w:pPr>
      <w:r w:rsidRPr="00465B0C">
        <w:rPr>
          <w:i/>
          <w:u w:val="none"/>
        </w:rPr>
        <w:t>“In light of the aforesaid I respectfully request the Honourable Court to grant the</w:t>
      </w:r>
      <w:r w:rsidRPr="00465B0C">
        <w:rPr>
          <w:i/>
        </w:rPr>
        <w:t xml:space="preserve"> relief as set out in the Notice of Motion.”</w:t>
      </w:r>
    </w:p>
    <w:p w14:paraId="102514F3" w14:textId="77777777" w:rsidR="00C20AFC" w:rsidRPr="00BD724B" w:rsidRDefault="00C20AFC" w:rsidP="00BD724B">
      <w:pPr>
        <w:pStyle w:val="ListParagraph"/>
        <w:spacing w:line="480" w:lineRule="auto"/>
        <w:ind w:left="709"/>
        <w:jc w:val="both"/>
        <w:rPr>
          <w:u w:val="none"/>
        </w:rPr>
      </w:pPr>
      <w:r w:rsidRPr="00C20AFC">
        <w:rPr>
          <w:u w:val="none"/>
        </w:rPr>
        <w:t>(my emphasis)</w:t>
      </w:r>
    </w:p>
    <w:p w14:paraId="79A15649" w14:textId="77777777" w:rsidR="00CC5119" w:rsidRPr="00CC5119" w:rsidRDefault="00CC5119" w:rsidP="00D06413">
      <w:pPr>
        <w:pStyle w:val="ListParagraph"/>
        <w:jc w:val="both"/>
        <w:rPr>
          <w:u w:val="none"/>
        </w:rPr>
      </w:pPr>
    </w:p>
    <w:p w14:paraId="469F8136" w14:textId="2353434D" w:rsidR="003A62F9" w:rsidRPr="00964007" w:rsidRDefault="00964007" w:rsidP="00964007">
      <w:pPr>
        <w:spacing w:line="480" w:lineRule="auto"/>
        <w:ind w:left="709" w:hanging="709"/>
        <w:jc w:val="both"/>
        <w:rPr>
          <w:u w:val="none"/>
        </w:rPr>
      </w:pPr>
      <w:r>
        <w:rPr>
          <w:u w:val="none"/>
        </w:rPr>
        <w:lastRenderedPageBreak/>
        <w:t>43.</w:t>
      </w:r>
      <w:r>
        <w:rPr>
          <w:u w:val="none"/>
        </w:rPr>
        <w:tab/>
      </w:r>
      <w:r w:rsidR="00634F87" w:rsidRPr="00964007">
        <w:rPr>
          <w:u w:val="none"/>
        </w:rPr>
        <w:t xml:space="preserve">This the argument by the BRP that he was obliged </w:t>
      </w:r>
      <w:r w:rsidR="00DA1A17" w:rsidRPr="00964007">
        <w:rPr>
          <w:u w:val="none"/>
        </w:rPr>
        <w:t>t</w:t>
      </w:r>
      <w:r w:rsidR="00634F87" w:rsidRPr="00964007">
        <w:rPr>
          <w:u w:val="none"/>
        </w:rPr>
        <w:t>o enter the fray to avert the impending doom of a costs order being sought against Waypex and him</w:t>
      </w:r>
      <w:r w:rsidR="00DF0F56" w:rsidRPr="00964007">
        <w:rPr>
          <w:u w:val="none"/>
        </w:rPr>
        <w:t xml:space="preserve"> is based on an incorrect interpretation of the relief sought</w:t>
      </w:r>
      <w:r w:rsidR="00634F87" w:rsidRPr="00964007">
        <w:rPr>
          <w:u w:val="none"/>
        </w:rPr>
        <w:t>.</w:t>
      </w:r>
      <w:r w:rsidR="00DF0F56" w:rsidRPr="00964007">
        <w:rPr>
          <w:u w:val="none"/>
        </w:rPr>
        <w:t xml:space="preserve"> </w:t>
      </w:r>
    </w:p>
    <w:p w14:paraId="26C6EB35" w14:textId="77777777" w:rsidR="00CA27B8" w:rsidRPr="00CA27B8" w:rsidRDefault="00CA27B8" w:rsidP="00CA27B8">
      <w:pPr>
        <w:pStyle w:val="ListParagraph"/>
        <w:spacing w:line="480" w:lineRule="auto"/>
        <w:ind w:left="709"/>
        <w:jc w:val="both"/>
        <w:rPr>
          <w:u w:val="none"/>
        </w:rPr>
      </w:pPr>
    </w:p>
    <w:p w14:paraId="702CDD37" w14:textId="77777777" w:rsidR="003A62F9" w:rsidRPr="00BD724B" w:rsidRDefault="003A62F9" w:rsidP="003A62F9">
      <w:pPr>
        <w:spacing w:line="480" w:lineRule="auto"/>
        <w:jc w:val="both"/>
        <w:rPr>
          <w:b/>
        </w:rPr>
      </w:pPr>
      <w:r w:rsidRPr="00BD724B">
        <w:rPr>
          <w:b/>
        </w:rPr>
        <w:t>ABSA BANK</w:t>
      </w:r>
    </w:p>
    <w:p w14:paraId="042F76B4" w14:textId="36965085" w:rsidR="00634F87" w:rsidRPr="00964007" w:rsidRDefault="00964007" w:rsidP="00964007">
      <w:pPr>
        <w:spacing w:line="480" w:lineRule="auto"/>
        <w:ind w:left="709" w:hanging="709"/>
        <w:jc w:val="both"/>
        <w:rPr>
          <w:u w:val="none"/>
        </w:rPr>
      </w:pPr>
      <w:r>
        <w:rPr>
          <w:u w:val="none"/>
        </w:rPr>
        <w:t>44.</w:t>
      </w:r>
      <w:r>
        <w:rPr>
          <w:u w:val="none"/>
        </w:rPr>
        <w:tab/>
      </w:r>
      <w:r w:rsidR="003A62F9" w:rsidRPr="00964007">
        <w:rPr>
          <w:u w:val="none"/>
        </w:rPr>
        <w:t>ABSA’s arguments, with which the BRP seems to have aligned himself, are the following:</w:t>
      </w:r>
    </w:p>
    <w:p w14:paraId="5E36D6E8" w14:textId="3F09705B" w:rsidR="009B2615" w:rsidRPr="00964007" w:rsidRDefault="00964007" w:rsidP="00964007">
      <w:pPr>
        <w:spacing w:line="480" w:lineRule="auto"/>
        <w:ind w:left="1418" w:hanging="709"/>
        <w:jc w:val="both"/>
        <w:rPr>
          <w:u w:val="none"/>
        </w:rPr>
      </w:pPr>
      <w:r>
        <w:rPr>
          <w:u w:val="none"/>
        </w:rPr>
        <w:t>44.1</w:t>
      </w:r>
      <w:r>
        <w:rPr>
          <w:u w:val="none"/>
        </w:rPr>
        <w:tab/>
      </w:r>
      <w:r w:rsidR="00DF0F56" w:rsidRPr="00964007">
        <w:rPr>
          <w:u w:val="none"/>
        </w:rPr>
        <w:t>t</w:t>
      </w:r>
      <w:r w:rsidR="00F16796" w:rsidRPr="00964007">
        <w:rPr>
          <w:u w:val="none"/>
        </w:rPr>
        <w:t>he Trust’s claim for retransfer of the property</w:t>
      </w:r>
      <w:r w:rsidR="00CA27B8" w:rsidRPr="00964007">
        <w:rPr>
          <w:u w:val="none"/>
        </w:rPr>
        <w:t>, that</w:t>
      </w:r>
      <w:r w:rsidR="00F16796" w:rsidRPr="00964007">
        <w:rPr>
          <w:u w:val="none"/>
        </w:rPr>
        <w:t xml:space="preserve"> </w:t>
      </w:r>
      <w:r w:rsidR="00CA27B8" w:rsidRPr="00964007">
        <w:rPr>
          <w:u w:val="none"/>
        </w:rPr>
        <w:t>is premised on the c</w:t>
      </w:r>
      <w:r w:rsidR="00F16796" w:rsidRPr="00964007">
        <w:rPr>
          <w:u w:val="none"/>
        </w:rPr>
        <w:t>ancellation of the sale and addendum agreements</w:t>
      </w:r>
      <w:r w:rsidR="00CA27B8" w:rsidRPr="00964007">
        <w:rPr>
          <w:u w:val="none"/>
        </w:rPr>
        <w:t>,</w:t>
      </w:r>
      <w:r w:rsidR="00F16796" w:rsidRPr="00964007">
        <w:rPr>
          <w:u w:val="none"/>
        </w:rPr>
        <w:t xml:space="preserve"> is not competent in the context of the abstract theory of transfer of ownership in immovable property which prevails in our law</w:t>
      </w:r>
      <w:r w:rsidR="00DF0F56">
        <w:rPr>
          <w:rStyle w:val="FootnoteReference"/>
          <w:u w:val="none"/>
        </w:rPr>
        <w:footnoteReference w:id="20"/>
      </w:r>
      <w:r w:rsidR="00DF0F56" w:rsidRPr="00964007">
        <w:rPr>
          <w:u w:val="none"/>
        </w:rPr>
        <w:t>;</w:t>
      </w:r>
    </w:p>
    <w:p w14:paraId="5D9218FD" w14:textId="6428FD59" w:rsidR="009B2615" w:rsidRPr="00964007" w:rsidRDefault="00964007" w:rsidP="00964007">
      <w:pPr>
        <w:spacing w:line="480" w:lineRule="auto"/>
        <w:ind w:left="1418" w:hanging="709"/>
        <w:jc w:val="both"/>
        <w:rPr>
          <w:u w:val="none"/>
        </w:rPr>
      </w:pPr>
      <w:r>
        <w:rPr>
          <w:u w:val="none"/>
        </w:rPr>
        <w:t>44.2</w:t>
      </w:r>
      <w:r>
        <w:rPr>
          <w:u w:val="none"/>
        </w:rPr>
        <w:tab/>
      </w:r>
      <w:r w:rsidR="00DF0F56" w:rsidRPr="00964007">
        <w:rPr>
          <w:u w:val="none"/>
        </w:rPr>
        <w:t>ca</w:t>
      </w:r>
      <w:r w:rsidR="00F16796" w:rsidRPr="00964007">
        <w:rPr>
          <w:u w:val="none"/>
        </w:rPr>
        <w:t xml:space="preserve">ncellation of the sale agreement is bad in law as the Trust’s claim for transfer of an undefined portion of the property is unenforceable for want of compliance with section 21 of </w:t>
      </w:r>
      <w:r w:rsidR="00DF0F56" w:rsidRPr="00964007">
        <w:rPr>
          <w:u w:val="none"/>
        </w:rPr>
        <w:t>ALA and the</w:t>
      </w:r>
      <w:r w:rsidR="00F16796" w:rsidRPr="00964007">
        <w:rPr>
          <w:u w:val="none"/>
        </w:rPr>
        <w:t xml:space="preserve"> cla</w:t>
      </w:r>
      <w:r w:rsidR="00DF0F56" w:rsidRPr="00964007">
        <w:rPr>
          <w:u w:val="none"/>
        </w:rPr>
        <w:t>im had in any event prescribed;</w:t>
      </w:r>
    </w:p>
    <w:p w14:paraId="7567295C" w14:textId="3C8AEB2F" w:rsidR="009B2615" w:rsidRPr="00964007" w:rsidRDefault="00964007" w:rsidP="00964007">
      <w:pPr>
        <w:spacing w:line="480" w:lineRule="auto"/>
        <w:ind w:left="1418" w:hanging="709"/>
        <w:jc w:val="both"/>
        <w:rPr>
          <w:u w:val="none"/>
        </w:rPr>
      </w:pPr>
      <w:r>
        <w:rPr>
          <w:u w:val="none"/>
        </w:rPr>
        <w:t>44.3</w:t>
      </w:r>
      <w:r>
        <w:rPr>
          <w:u w:val="none"/>
        </w:rPr>
        <w:tab/>
      </w:r>
      <w:r w:rsidR="00DF0F56" w:rsidRPr="00964007">
        <w:rPr>
          <w:u w:val="none"/>
        </w:rPr>
        <w:t>ABSA</w:t>
      </w:r>
      <w:r w:rsidR="00DD1AF3" w:rsidRPr="00964007">
        <w:rPr>
          <w:u w:val="none"/>
        </w:rPr>
        <w:t xml:space="preserve"> a</w:t>
      </w:r>
      <w:r w:rsidR="00F16796" w:rsidRPr="00964007">
        <w:rPr>
          <w:u w:val="none"/>
        </w:rPr>
        <w:t>cquired a real right in the property when its mortgage bonds were registered. Transfe</w:t>
      </w:r>
      <w:r w:rsidR="00DD1AF3" w:rsidRPr="00964007">
        <w:rPr>
          <w:u w:val="none"/>
        </w:rPr>
        <w:t>r of the property, also to the Trust, therefore</w:t>
      </w:r>
      <w:r w:rsidR="00F16796" w:rsidRPr="00964007">
        <w:rPr>
          <w:u w:val="none"/>
        </w:rPr>
        <w:t xml:space="preserve"> requires cancellation of the mortgage bonds</w:t>
      </w:r>
      <w:r w:rsidR="00CA27B8">
        <w:rPr>
          <w:rStyle w:val="FootnoteReference"/>
          <w:u w:val="none"/>
        </w:rPr>
        <w:footnoteReference w:id="21"/>
      </w:r>
      <w:r w:rsidR="00DD1AF3" w:rsidRPr="00964007">
        <w:rPr>
          <w:u w:val="none"/>
        </w:rPr>
        <w:t xml:space="preserve">. This in turn requires Absa’s </w:t>
      </w:r>
      <w:r w:rsidR="00F16796" w:rsidRPr="00964007">
        <w:rPr>
          <w:u w:val="none"/>
        </w:rPr>
        <w:t xml:space="preserve">consent. </w:t>
      </w:r>
      <w:r w:rsidR="00BD724B" w:rsidRPr="00964007">
        <w:rPr>
          <w:u w:val="none"/>
        </w:rPr>
        <w:t>Naturally</w:t>
      </w:r>
      <w:r w:rsidR="00DD1AF3" w:rsidRPr="00964007">
        <w:rPr>
          <w:u w:val="none"/>
        </w:rPr>
        <w:t>, Absa will not give such consent unless it is satisfied with the amount tendered in respect of the indebtedne</w:t>
      </w:r>
      <w:r w:rsidR="00DF0F56" w:rsidRPr="00964007">
        <w:rPr>
          <w:u w:val="none"/>
        </w:rPr>
        <w:t>ss secured by the mortgage bond;</w:t>
      </w:r>
    </w:p>
    <w:p w14:paraId="60F8D017" w14:textId="1EBF70F6" w:rsidR="00F16796" w:rsidRPr="00964007" w:rsidRDefault="00964007" w:rsidP="00964007">
      <w:pPr>
        <w:spacing w:line="480" w:lineRule="auto"/>
        <w:ind w:left="1418" w:hanging="709"/>
        <w:jc w:val="both"/>
        <w:rPr>
          <w:u w:val="none"/>
        </w:rPr>
      </w:pPr>
      <w:r w:rsidRPr="009B2615">
        <w:rPr>
          <w:u w:val="none"/>
        </w:rPr>
        <w:t>44.4</w:t>
      </w:r>
      <w:r w:rsidRPr="009B2615">
        <w:rPr>
          <w:u w:val="none"/>
        </w:rPr>
        <w:tab/>
      </w:r>
      <w:r w:rsidR="00DF0F56" w:rsidRPr="00964007">
        <w:rPr>
          <w:u w:val="none"/>
        </w:rPr>
        <w:t>t</w:t>
      </w:r>
      <w:r w:rsidR="00DD1AF3" w:rsidRPr="00964007">
        <w:rPr>
          <w:u w:val="none"/>
        </w:rPr>
        <w:t xml:space="preserve">he </w:t>
      </w:r>
      <w:r w:rsidR="00DF0F56" w:rsidRPr="00964007">
        <w:rPr>
          <w:u w:val="none"/>
        </w:rPr>
        <w:t>T</w:t>
      </w:r>
      <w:r w:rsidR="00DD1AF3" w:rsidRPr="00964007">
        <w:rPr>
          <w:u w:val="none"/>
        </w:rPr>
        <w:t xml:space="preserve">rust is estopped from replying on any state of affairs other than that which was expressed by it in the power of attorney given by it for transfer </w:t>
      </w:r>
      <w:r w:rsidR="00DD1AF3" w:rsidRPr="00964007">
        <w:rPr>
          <w:u w:val="none"/>
        </w:rPr>
        <w:lastRenderedPageBreak/>
        <w:t xml:space="preserve">of the property to Wraypex. In the power of attorney, and the deed of transfer, the Trust renounced all title and interest and to the property and transferred the entire property free of any encumbrances to Wraypex. </w:t>
      </w:r>
      <w:r w:rsidR="002E5CB3" w:rsidRPr="00964007">
        <w:rPr>
          <w:u w:val="none"/>
        </w:rPr>
        <w:t xml:space="preserve">The transaction was </w:t>
      </w:r>
      <w:r w:rsidR="00DF0F56" w:rsidRPr="00964007">
        <w:rPr>
          <w:u w:val="none"/>
        </w:rPr>
        <w:t xml:space="preserve">then </w:t>
      </w:r>
      <w:r w:rsidR="002E5CB3" w:rsidRPr="00964007">
        <w:rPr>
          <w:u w:val="none"/>
        </w:rPr>
        <w:t>registered as such in the Deeds Office</w:t>
      </w:r>
      <w:r w:rsidR="00DF0F56" w:rsidRPr="00964007">
        <w:rPr>
          <w:u w:val="none"/>
        </w:rPr>
        <w:t xml:space="preserve"> and a</w:t>
      </w:r>
      <w:r w:rsidR="002E5CB3" w:rsidRPr="00964007">
        <w:rPr>
          <w:u w:val="none"/>
        </w:rPr>
        <w:t xml:space="preserve">cting on this representation, </w:t>
      </w:r>
      <w:r w:rsidR="00DF0F56" w:rsidRPr="00964007">
        <w:rPr>
          <w:u w:val="none"/>
        </w:rPr>
        <w:t>ABSA</w:t>
      </w:r>
      <w:r w:rsidR="002E5CB3" w:rsidRPr="00964007">
        <w:rPr>
          <w:u w:val="none"/>
        </w:rPr>
        <w:t xml:space="preserve"> advanced loans to Wraypex secured by the mortgage bonds over the property.</w:t>
      </w:r>
    </w:p>
    <w:p w14:paraId="4453F778" w14:textId="77777777" w:rsidR="00F16796" w:rsidRDefault="00F16796" w:rsidP="00FA5BA4">
      <w:pPr>
        <w:pStyle w:val="ListParagraph"/>
        <w:spacing w:line="480" w:lineRule="auto"/>
        <w:ind w:left="1418"/>
        <w:jc w:val="both"/>
        <w:rPr>
          <w:u w:val="none"/>
        </w:rPr>
      </w:pPr>
    </w:p>
    <w:p w14:paraId="64498CC2" w14:textId="77777777" w:rsidR="00F16796" w:rsidRPr="00BD724B" w:rsidRDefault="00FA5BA4" w:rsidP="00FA5BA4">
      <w:pPr>
        <w:spacing w:line="480" w:lineRule="auto"/>
        <w:jc w:val="both"/>
        <w:rPr>
          <w:b/>
        </w:rPr>
      </w:pPr>
      <w:r w:rsidRPr="00BD724B">
        <w:rPr>
          <w:b/>
        </w:rPr>
        <w:t>THE RETRANSFER IS NOT COMPETENT</w:t>
      </w:r>
    </w:p>
    <w:p w14:paraId="74A9EA55" w14:textId="7F90F549" w:rsidR="00634F87" w:rsidRPr="00964007" w:rsidRDefault="00964007" w:rsidP="00964007">
      <w:pPr>
        <w:spacing w:line="480" w:lineRule="auto"/>
        <w:ind w:left="709" w:hanging="709"/>
        <w:jc w:val="both"/>
        <w:rPr>
          <w:u w:val="none"/>
        </w:rPr>
      </w:pPr>
      <w:r w:rsidRPr="008B374D">
        <w:rPr>
          <w:u w:val="none"/>
        </w:rPr>
        <w:t>45.</w:t>
      </w:r>
      <w:r w:rsidRPr="008B374D">
        <w:rPr>
          <w:u w:val="none"/>
        </w:rPr>
        <w:tab/>
      </w:r>
      <w:r w:rsidR="00FA5BA4" w:rsidRPr="00964007">
        <w:rPr>
          <w:u w:val="none"/>
        </w:rPr>
        <w:t>ABSA argues that the “real agreement” between the parties is to be found at paragraph 7.11 of the Founding Affidavit which states:</w:t>
      </w:r>
    </w:p>
    <w:p w14:paraId="358FA262" w14:textId="64DD7463" w:rsidR="00FA5BA4" w:rsidRDefault="00FA5BA4" w:rsidP="006374C3">
      <w:pPr>
        <w:pStyle w:val="ListParagraph"/>
        <w:spacing w:line="360" w:lineRule="auto"/>
        <w:ind w:left="2160" w:hanging="720"/>
        <w:jc w:val="both"/>
        <w:rPr>
          <w:i/>
          <w:u w:val="none"/>
        </w:rPr>
      </w:pPr>
      <w:r w:rsidRPr="00FA5BA4">
        <w:rPr>
          <w:i/>
          <w:u w:val="none"/>
        </w:rPr>
        <w:t>“7.11</w:t>
      </w:r>
      <w:r w:rsidRPr="00FA5BA4">
        <w:rPr>
          <w:i/>
          <w:u w:val="none"/>
        </w:rPr>
        <w:tab/>
        <w:t>At the same time the First Applicant was approached by Mr Wray, who requested that the suspensive condition in the agreement, namely that the immovable property be sub-divided before transfer of the 33 Hectares of the immovable property takes place, be deleted and replaced by an addendum to the agreement that the whole immovable property be transferred into the name of the First Respondent and that the remaini</w:t>
      </w:r>
      <w:r w:rsidR="006534B4">
        <w:rPr>
          <w:i/>
          <w:u w:val="none"/>
        </w:rPr>
        <w:t>ng part of the immovable property</w:t>
      </w:r>
      <w:r w:rsidRPr="00FA5BA4">
        <w:rPr>
          <w:i/>
          <w:u w:val="none"/>
        </w:rPr>
        <w:t>, approximately 40 Hectares, will be transferred back to the Kok Trust after finalisation of the sub-division of the immovable property.”</w:t>
      </w:r>
    </w:p>
    <w:p w14:paraId="62556BD5" w14:textId="77777777" w:rsidR="002954B5" w:rsidRDefault="002954B5" w:rsidP="00333E3C">
      <w:pPr>
        <w:pStyle w:val="ListParagraph"/>
        <w:spacing w:line="480" w:lineRule="auto"/>
        <w:ind w:left="709"/>
        <w:jc w:val="both"/>
        <w:rPr>
          <w:i/>
          <w:u w:val="none"/>
        </w:rPr>
      </w:pPr>
    </w:p>
    <w:p w14:paraId="0216A93E" w14:textId="0B3EA095" w:rsidR="002954B5" w:rsidRPr="00964007" w:rsidRDefault="00964007" w:rsidP="00964007">
      <w:pPr>
        <w:spacing w:line="480" w:lineRule="auto"/>
        <w:ind w:left="709" w:hanging="709"/>
        <w:jc w:val="both"/>
        <w:rPr>
          <w:u w:val="none"/>
        </w:rPr>
      </w:pPr>
      <w:r w:rsidRPr="006374C3">
        <w:rPr>
          <w:u w:val="none"/>
        </w:rPr>
        <w:t>46.</w:t>
      </w:r>
      <w:r w:rsidRPr="006374C3">
        <w:rPr>
          <w:u w:val="none"/>
        </w:rPr>
        <w:tab/>
      </w:r>
      <w:r w:rsidR="00501931" w:rsidRPr="00964007">
        <w:rPr>
          <w:u w:val="none"/>
        </w:rPr>
        <w:t xml:space="preserve">The parties’ </w:t>
      </w:r>
      <w:r w:rsidR="002954B5" w:rsidRPr="00964007">
        <w:rPr>
          <w:u w:val="none"/>
        </w:rPr>
        <w:t xml:space="preserve">intention was given effect to by a Power of Attorney that then passed full title of the </w:t>
      </w:r>
      <w:r w:rsidR="00501931" w:rsidRPr="00964007">
        <w:rPr>
          <w:u w:val="none"/>
        </w:rPr>
        <w:t>entirety of the 73,4360 ha</w:t>
      </w:r>
      <w:r w:rsidR="002954B5" w:rsidRPr="00964007">
        <w:rPr>
          <w:u w:val="none"/>
        </w:rPr>
        <w:t xml:space="preserve"> of the property to Wr</w:t>
      </w:r>
      <w:r w:rsidR="00501931" w:rsidRPr="00964007">
        <w:rPr>
          <w:u w:val="none"/>
        </w:rPr>
        <w:t>aypex, which (of course) is</w:t>
      </w:r>
      <w:r w:rsidR="002954B5" w:rsidRPr="00964007">
        <w:rPr>
          <w:u w:val="none"/>
        </w:rPr>
        <w:t xml:space="preserve"> reflected in the Deed of Transfer. The latter then specifically provides that the Trust renounces “</w:t>
      </w:r>
      <w:r w:rsidR="002954B5" w:rsidRPr="00964007">
        <w:rPr>
          <w:i/>
          <w:u w:val="none"/>
        </w:rPr>
        <w:t>all rights and title to Wraypex</w:t>
      </w:r>
      <w:r w:rsidR="00397617" w:rsidRPr="00964007">
        <w:rPr>
          <w:u w:val="none"/>
        </w:rPr>
        <w:t>”</w:t>
      </w:r>
      <w:r w:rsidR="00501931" w:rsidRPr="00964007">
        <w:rPr>
          <w:u w:val="none"/>
        </w:rPr>
        <w:t xml:space="preserve"> and</w:t>
      </w:r>
      <w:r w:rsidR="006374C3" w:rsidRPr="00964007">
        <w:rPr>
          <w:u w:val="none"/>
        </w:rPr>
        <w:t xml:space="preserve"> </w:t>
      </w:r>
      <w:r w:rsidR="00501931" w:rsidRPr="00964007">
        <w:rPr>
          <w:u w:val="none"/>
        </w:rPr>
        <w:t>”</w:t>
      </w:r>
      <w:r w:rsidR="002954B5" w:rsidRPr="00964007">
        <w:rPr>
          <w:i/>
          <w:u w:val="none"/>
        </w:rPr>
        <w:t>did in consequence also acknowledged them to be entirely dispossessed of, and disentitled to the same</w:t>
      </w:r>
      <w:r w:rsidR="002954B5" w:rsidRPr="00964007">
        <w:rPr>
          <w:u w:val="none"/>
        </w:rPr>
        <w:t>…”.</w:t>
      </w:r>
    </w:p>
    <w:p w14:paraId="3A67615A" w14:textId="77777777" w:rsidR="002954B5" w:rsidRPr="002954B5" w:rsidRDefault="002954B5" w:rsidP="00333E3C">
      <w:pPr>
        <w:pStyle w:val="ListParagraph"/>
        <w:spacing w:line="480" w:lineRule="auto"/>
        <w:ind w:left="709"/>
        <w:jc w:val="both"/>
        <w:rPr>
          <w:u w:val="none"/>
        </w:rPr>
      </w:pPr>
    </w:p>
    <w:p w14:paraId="2B0E8B85" w14:textId="365733A3" w:rsidR="00634F87" w:rsidRPr="00964007" w:rsidRDefault="00964007" w:rsidP="00964007">
      <w:pPr>
        <w:spacing w:line="480" w:lineRule="auto"/>
        <w:ind w:left="709" w:hanging="709"/>
        <w:jc w:val="both"/>
        <w:rPr>
          <w:u w:val="none"/>
        </w:rPr>
      </w:pPr>
      <w:r>
        <w:rPr>
          <w:u w:val="none"/>
        </w:rPr>
        <w:lastRenderedPageBreak/>
        <w:t>47.</w:t>
      </w:r>
      <w:r>
        <w:rPr>
          <w:u w:val="none"/>
        </w:rPr>
        <w:tab/>
      </w:r>
      <w:r w:rsidR="002954B5" w:rsidRPr="00964007">
        <w:rPr>
          <w:u w:val="none"/>
        </w:rPr>
        <w:t>ABSA argues that this is the real agreement between the parties</w:t>
      </w:r>
      <w:r w:rsidR="00E711B1" w:rsidRPr="00964007">
        <w:rPr>
          <w:u w:val="none"/>
        </w:rPr>
        <w:t>,</w:t>
      </w:r>
      <w:r w:rsidR="002954B5" w:rsidRPr="00964007">
        <w:rPr>
          <w:u w:val="none"/>
        </w:rPr>
        <w:t xml:space="preserve"> not the least of which is borne out by the fact that it was legally impo</w:t>
      </w:r>
      <w:r w:rsidR="00BD724B" w:rsidRPr="00964007">
        <w:rPr>
          <w:u w:val="none"/>
        </w:rPr>
        <w:t>ssible for the Trust to pass and</w:t>
      </w:r>
      <w:r w:rsidR="002954B5" w:rsidRPr="00964007">
        <w:rPr>
          <w:u w:val="none"/>
        </w:rPr>
        <w:t xml:space="preserve"> transfer an undivided por</w:t>
      </w:r>
      <w:r w:rsidR="00BD724B" w:rsidRPr="00964007">
        <w:rPr>
          <w:u w:val="none"/>
        </w:rPr>
        <w:t xml:space="preserve">tion of the property to Wraypex </w:t>
      </w:r>
      <w:r w:rsidR="002954B5" w:rsidRPr="00964007">
        <w:rPr>
          <w:u w:val="none"/>
        </w:rPr>
        <w:t xml:space="preserve">- it concedes that the intention was that Wraypex would then subdivide the property and, </w:t>
      </w:r>
      <w:r w:rsidR="00E711B1" w:rsidRPr="00964007">
        <w:rPr>
          <w:u w:val="none"/>
        </w:rPr>
        <w:t>a stated, the correspondence clearly shows a</w:t>
      </w:r>
      <w:r w:rsidR="002954B5" w:rsidRPr="00964007">
        <w:rPr>
          <w:u w:val="none"/>
        </w:rPr>
        <w:t>n intention to</w:t>
      </w:r>
      <w:r w:rsidR="006374C3" w:rsidRPr="00964007">
        <w:rPr>
          <w:u w:val="none"/>
        </w:rPr>
        <w:t xml:space="preserve"> transfer the 40 ha</w:t>
      </w:r>
      <w:r w:rsidR="002954B5" w:rsidRPr="00964007">
        <w:rPr>
          <w:u w:val="none"/>
        </w:rPr>
        <w:t xml:space="preserve"> back to the Trust – this was all disrupted by Wraypex being placed in business rescue.</w:t>
      </w:r>
    </w:p>
    <w:p w14:paraId="13D3455E" w14:textId="77777777" w:rsidR="00E711B1" w:rsidRDefault="00E711B1" w:rsidP="00E711B1">
      <w:pPr>
        <w:pStyle w:val="ListParagraph"/>
        <w:spacing w:line="480" w:lineRule="auto"/>
        <w:ind w:left="709"/>
        <w:jc w:val="both"/>
        <w:rPr>
          <w:u w:val="none"/>
        </w:rPr>
      </w:pPr>
    </w:p>
    <w:p w14:paraId="680B4548" w14:textId="50263737" w:rsidR="00634F87" w:rsidRPr="00964007" w:rsidRDefault="00964007" w:rsidP="00964007">
      <w:pPr>
        <w:spacing w:line="480" w:lineRule="auto"/>
        <w:ind w:left="709" w:hanging="709"/>
        <w:jc w:val="both"/>
        <w:rPr>
          <w:u w:val="none"/>
        </w:rPr>
      </w:pPr>
      <w:r>
        <w:rPr>
          <w:u w:val="none"/>
        </w:rPr>
        <w:t>48.</w:t>
      </w:r>
      <w:r>
        <w:rPr>
          <w:u w:val="none"/>
        </w:rPr>
        <w:tab/>
      </w:r>
      <w:r w:rsidR="002954B5" w:rsidRPr="00964007">
        <w:rPr>
          <w:u w:val="none"/>
        </w:rPr>
        <w:t>This notwithstanding, ABSA argues that it is not competent for the Trust to cancel the agreement as the agreement is unconditional and has been executed – Wraypex paid the R3,2 million purchase price and the transfer was effected</w:t>
      </w:r>
      <w:r w:rsidR="00E711B1" w:rsidRPr="00964007">
        <w:rPr>
          <w:u w:val="none"/>
        </w:rPr>
        <w:t>. T</w:t>
      </w:r>
      <w:r w:rsidR="002954B5" w:rsidRPr="00964007">
        <w:rPr>
          <w:u w:val="none"/>
        </w:rPr>
        <w:t>her</w:t>
      </w:r>
      <w:r w:rsidR="00E711B1" w:rsidRPr="00964007">
        <w:rPr>
          <w:u w:val="none"/>
        </w:rPr>
        <w:t>efore, the real agreement cannot</w:t>
      </w:r>
      <w:r w:rsidR="006374C3" w:rsidRPr="00964007">
        <w:rPr>
          <w:u w:val="none"/>
        </w:rPr>
        <w:t xml:space="preserve"> and has not</w:t>
      </w:r>
      <w:r w:rsidR="002954B5" w:rsidRPr="00964007">
        <w:rPr>
          <w:u w:val="none"/>
        </w:rPr>
        <w:t xml:space="preserve"> been cancelled. The agreement is, in any event, valid.</w:t>
      </w:r>
    </w:p>
    <w:p w14:paraId="71AA6DED" w14:textId="77777777" w:rsidR="00E711B1" w:rsidRPr="00E711B1" w:rsidRDefault="00E711B1" w:rsidP="00E711B1">
      <w:pPr>
        <w:pStyle w:val="ListParagraph"/>
        <w:rPr>
          <w:u w:val="none"/>
        </w:rPr>
      </w:pPr>
    </w:p>
    <w:p w14:paraId="259C7B1E" w14:textId="79DCA7BA" w:rsidR="00E711B1" w:rsidRPr="00964007" w:rsidRDefault="00964007" w:rsidP="00964007">
      <w:pPr>
        <w:spacing w:line="480" w:lineRule="auto"/>
        <w:ind w:left="709" w:hanging="709"/>
        <w:jc w:val="both"/>
        <w:rPr>
          <w:u w:val="none"/>
        </w:rPr>
      </w:pPr>
      <w:r>
        <w:rPr>
          <w:u w:val="none"/>
        </w:rPr>
        <w:t>49.</w:t>
      </w:r>
      <w:r>
        <w:rPr>
          <w:u w:val="none"/>
        </w:rPr>
        <w:tab/>
      </w:r>
      <w:r w:rsidR="00E711B1" w:rsidRPr="00964007">
        <w:rPr>
          <w:u w:val="none"/>
        </w:rPr>
        <w:t xml:space="preserve">This is all premised on the argument that the abstract theory – as opposed to the causal theory – of transfer has been adopted as part of our law. According to the former, the validity of transfer of ownership is not dependent on the validity of the underlying transaction. In </w:t>
      </w:r>
      <w:r w:rsidR="00E711B1" w:rsidRPr="00964007">
        <w:rPr>
          <w:b/>
          <w:u w:val="none"/>
        </w:rPr>
        <w:t>Nuance Investments (Pty) Ltd v Maghilda Investments (Pty) Ltd and Others</w:t>
      </w:r>
      <w:r w:rsidR="00E711B1" w:rsidRPr="00A33307">
        <w:rPr>
          <w:rStyle w:val="FootnoteReference"/>
          <w:u w:val="none"/>
        </w:rPr>
        <w:footnoteReference w:id="22"/>
      </w:r>
      <w:r w:rsidR="00A33307" w:rsidRPr="00964007">
        <w:rPr>
          <w:b/>
          <w:u w:val="none"/>
        </w:rPr>
        <w:t xml:space="preserve"> </w:t>
      </w:r>
      <w:r w:rsidR="00E84644" w:rsidRPr="00964007">
        <w:rPr>
          <w:b/>
          <w:u w:val="none"/>
        </w:rPr>
        <w:t xml:space="preserve">(Nuance) </w:t>
      </w:r>
      <w:r w:rsidR="00A33307" w:rsidRPr="00964007">
        <w:rPr>
          <w:u w:val="none"/>
        </w:rPr>
        <w:t>any doubt on this issue was laid to rest</w:t>
      </w:r>
      <w:r w:rsidR="00A33307">
        <w:rPr>
          <w:rStyle w:val="FootnoteReference"/>
          <w:u w:val="none"/>
        </w:rPr>
        <w:footnoteReference w:id="23"/>
      </w:r>
      <w:r w:rsidR="00A33307" w:rsidRPr="00964007">
        <w:rPr>
          <w:u w:val="none"/>
        </w:rPr>
        <w:t xml:space="preserve">, and the requirements for the passing of ownership were </w:t>
      </w:r>
      <w:r w:rsidR="006374C3" w:rsidRPr="00964007">
        <w:rPr>
          <w:u w:val="none"/>
        </w:rPr>
        <w:t>stated thus:</w:t>
      </w:r>
    </w:p>
    <w:p w14:paraId="7DBB3FB0" w14:textId="711CDFC9" w:rsidR="00A33307" w:rsidRPr="00A33307" w:rsidRDefault="00A33307" w:rsidP="006374C3">
      <w:pPr>
        <w:pStyle w:val="ListParagraph"/>
        <w:spacing w:line="360" w:lineRule="auto"/>
        <w:ind w:left="1440"/>
        <w:jc w:val="both"/>
        <w:rPr>
          <w:i/>
          <w:u w:val="none"/>
        </w:rPr>
      </w:pPr>
      <w:r>
        <w:rPr>
          <w:i/>
          <w:u w:val="none"/>
        </w:rPr>
        <w:t>“[22]</w:t>
      </w:r>
      <w:r>
        <w:rPr>
          <w:i/>
          <w:u w:val="none"/>
        </w:rPr>
        <w:tab/>
        <w:t xml:space="preserve">In accordance with the abstract theory the requirements for the passing of ownership are twofold, namely the delivery which in the case of immovable property, is effected by registration of transfer in the deeds office – coupled with a so-called real agreement or “saaklike </w:t>
      </w:r>
      <w:r>
        <w:rPr>
          <w:i/>
          <w:u w:val="none"/>
        </w:rPr>
        <w:lastRenderedPageBreak/>
        <w:t>ooreenkoms”. The essential elements of the real agreement are an intention on the part of the transferor to transfer ownership and the intention of the transferee to become owner of the property… Broadly stated, the principles applicable to agreements in general also apply to real agreements. Although the abstract theory does not require a valid underlying contract, eg sale, ownership will not pass – despite registration of transfer – if there is a defect in the real agreement.”</w:t>
      </w:r>
    </w:p>
    <w:p w14:paraId="136DBE70" w14:textId="77777777" w:rsidR="002954B5" w:rsidRDefault="002954B5" w:rsidP="00333E3C">
      <w:pPr>
        <w:pStyle w:val="ListParagraph"/>
        <w:spacing w:line="480" w:lineRule="auto"/>
        <w:ind w:left="709"/>
        <w:jc w:val="both"/>
        <w:rPr>
          <w:u w:val="none"/>
        </w:rPr>
      </w:pPr>
    </w:p>
    <w:p w14:paraId="742F9C03" w14:textId="5E6F1904" w:rsidR="00634F87" w:rsidRPr="00964007" w:rsidRDefault="00964007" w:rsidP="00964007">
      <w:pPr>
        <w:spacing w:line="480" w:lineRule="auto"/>
        <w:ind w:left="709" w:hanging="709"/>
        <w:jc w:val="both"/>
        <w:rPr>
          <w:u w:val="none"/>
        </w:rPr>
      </w:pPr>
      <w:r>
        <w:rPr>
          <w:u w:val="none"/>
        </w:rPr>
        <w:t>50.</w:t>
      </w:r>
      <w:r>
        <w:rPr>
          <w:u w:val="none"/>
        </w:rPr>
        <w:tab/>
      </w:r>
      <w:r w:rsidR="007768AA" w:rsidRPr="00964007">
        <w:rPr>
          <w:u w:val="none"/>
        </w:rPr>
        <w:t>ABSA then argues that</w:t>
      </w:r>
      <w:r w:rsidR="00A33307" w:rsidRPr="00964007">
        <w:rPr>
          <w:u w:val="none"/>
        </w:rPr>
        <w:t>,</w:t>
      </w:r>
      <w:r w:rsidR="007768AA" w:rsidRPr="00964007">
        <w:rPr>
          <w:u w:val="none"/>
        </w:rPr>
        <w:t xml:space="preserve"> absent a claim for rectification, the matter must be adjudicated on the documents presently before court.</w:t>
      </w:r>
      <w:r w:rsidR="007768AA">
        <w:rPr>
          <w:rStyle w:val="FootnoteReference"/>
          <w:u w:val="none"/>
        </w:rPr>
        <w:footnoteReference w:id="24"/>
      </w:r>
    </w:p>
    <w:p w14:paraId="61810A4F" w14:textId="77777777" w:rsidR="00634F87" w:rsidRDefault="00634F87" w:rsidP="00333E3C">
      <w:pPr>
        <w:pStyle w:val="ListParagraph"/>
        <w:spacing w:line="480" w:lineRule="auto"/>
        <w:ind w:left="709"/>
        <w:jc w:val="both"/>
        <w:rPr>
          <w:u w:val="none"/>
        </w:rPr>
      </w:pPr>
    </w:p>
    <w:p w14:paraId="2E757635" w14:textId="73EB173B" w:rsidR="00634F87" w:rsidRPr="00964007" w:rsidRDefault="00964007" w:rsidP="00964007">
      <w:pPr>
        <w:spacing w:line="480" w:lineRule="auto"/>
        <w:ind w:left="709" w:hanging="709"/>
        <w:jc w:val="both"/>
        <w:rPr>
          <w:u w:val="none"/>
        </w:rPr>
      </w:pPr>
      <w:r>
        <w:rPr>
          <w:u w:val="none"/>
        </w:rPr>
        <w:t>51.</w:t>
      </w:r>
      <w:r>
        <w:rPr>
          <w:u w:val="none"/>
        </w:rPr>
        <w:tab/>
      </w:r>
      <w:r w:rsidR="00891F0C" w:rsidRPr="00964007">
        <w:rPr>
          <w:u w:val="none"/>
        </w:rPr>
        <w:t>But, in my view, this argument does not defeat the Trust’s claim</w:t>
      </w:r>
      <w:r w:rsidR="006374C3" w:rsidRPr="00964007">
        <w:rPr>
          <w:u w:val="none"/>
        </w:rPr>
        <w:t xml:space="preserve"> for two reasons. Fi</w:t>
      </w:r>
      <w:r w:rsidR="00A33307" w:rsidRPr="00964007">
        <w:rPr>
          <w:u w:val="none"/>
        </w:rPr>
        <w:t>rstly</w:t>
      </w:r>
      <w:r w:rsidR="006374C3" w:rsidRPr="00964007">
        <w:rPr>
          <w:u w:val="none"/>
        </w:rPr>
        <w:t>,</w:t>
      </w:r>
      <w:r w:rsidR="00891F0C" w:rsidRPr="00964007">
        <w:rPr>
          <w:u w:val="none"/>
        </w:rPr>
        <w:t xml:space="preserve"> the Addendum clearly evidences the following:</w:t>
      </w:r>
    </w:p>
    <w:p w14:paraId="6B448C3E" w14:textId="659157E7" w:rsidR="00891F0C" w:rsidRPr="00891F0C" w:rsidRDefault="00891F0C" w:rsidP="006374C3">
      <w:pPr>
        <w:spacing w:line="360" w:lineRule="auto"/>
        <w:ind w:left="1440"/>
        <w:jc w:val="both"/>
        <w:rPr>
          <w:i/>
          <w:u w:val="none"/>
        </w:rPr>
      </w:pPr>
      <w:r w:rsidRPr="00891F0C">
        <w:rPr>
          <w:i/>
          <w:u w:val="none"/>
        </w:rPr>
        <w:t>“The Purchaser agrees and undertakes to transfer A PORTION OF PORTION 11 OF THE FARM LINDLEY NO 528back to the Seller after date of transfer and upon finalisation of the Sub-Divisional Diagrams</w:t>
      </w:r>
    </w:p>
    <w:p w14:paraId="3FC5212E" w14:textId="77777777" w:rsidR="00891F0C" w:rsidRPr="00891F0C" w:rsidRDefault="00891F0C" w:rsidP="006374C3">
      <w:pPr>
        <w:spacing w:line="360" w:lineRule="auto"/>
        <w:ind w:left="1440"/>
        <w:jc w:val="both"/>
        <w:rPr>
          <w:i/>
          <w:u w:val="none"/>
        </w:rPr>
      </w:pPr>
      <w:r w:rsidRPr="00891F0C">
        <w:rPr>
          <w:i/>
          <w:u w:val="none"/>
        </w:rPr>
        <w:t>The parties record and agree that they will remain bound by the remainder of the terms and conditions of the amendments save only for the amendments dealt with above”</w:t>
      </w:r>
    </w:p>
    <w:p w14:paraId="0896C8E4" w14:textId="77777777" w:rsidR="00891F0C" w:rsidRPr="00891F0C" w:rsidRDefault="00891F0C" w:rsidP="00333E3C">
      <w:pPr>
        <w:spacing w:line="480" w:lineRule="auto"/>
        <w:ind w:left="709"/>
        <w:jc w:val="both"/>
        <w:rPr>
          <w:u w:val="none"/>
        </w:rPr>
      </w:pPr>
      <w:r>
        <w:rPr>
          <w:u w:val="none"/>
        </w:rPr>
        <w:t>And one of the suspensive conditions in the agreement is the sub-division of the property.</w:t>
      </w:r>
    </w:p>
    <w:p w14:paraId="1BA58AE1" w14:textId="77777777" w:rsidR="00634F87" w:rsidRDefault="00634F87" w:rsidP="00333E3C">
      <w:pPr>
        <w:pStyle w:val="ListParagraph"/>
        <w:spacing w:line="480" w:lineRule="auto"/>
        <w:ind w:left="709"/>
        <w:jc w:val="both"/>
        <w:rPr>
          <w:u w:val="none"/>
        </w:rPr>
      </w:pPr>
    </w:p>
    <w:p w14:paraId="38CD881F" w14:textId="52E59E23" w:rsidR="00634F87" w:rsidRPr="00964007" w:rsidRDefault="00964007" w:rsidP="00964007">
      <w:pPr>
        <w:spacing w:line="480" w:lineRule="auto"/>
        <w:ind w:left="709" w:hanging="709"/>
        <w:jc w:val="both"/>
        <w:rPr>
          <w:u w:val="none"/>
        </w:rPr>
      </w:pPr>
      <w:r>
        <w:rPr>
          <w:u w:val="none"/>
        </w:rPr>
        <w:t>52.</w:t>
      </w:r>
      <w:r>
        <w:rPr>
          <w:u w:val="none"/>
        </w:rPr>
        <w:tab/>
      </w:r>
      <w:r w:rsidR="004B7190" w:rsidRPr="00964007">
        <w:rPr>
          <w:u w:val="none"/>
        </w:rPr>
        <w:t xml:space="preserve">Thus </w:t>
      </w:r>
      <w:r w:rsidR="00D56F95" w:rsidRPr="00964007">
        <w:rPr>
          <w:u w:val="none"/>
        </w:rPr>
        <w:t>it</w:t>
      </w:r>
      <w:r w:rsidR="004B7190" w:rsidRPr="00964007">
        <w:rPr>
          <w:u w:val="none"/>
        </w:rPr>
        <w:t xml:space="preserve"> may well be so that the Trust may decide to apply to rectify the agreement in the pending action which would put pay to this portion of ABSA’s argument and would</w:t>
      </w:r>
      <w:r w:rsidR="006374C3" w:rsidRPr="00964007">
        <w:rPr>
          <w:u w:val="none"/>
        </w:rPr>
        <w:t>,</w:t>
      </w:r>
      <w:r w:rsidR="004B7190" w:rsidRPr="00964007">
        <w:rPr>
          <w:u w:val="none"/>
        </w:rPr>
        <w:t xml:space="preserve"> as stated in </w:t>
      </w:r>
      <w:r w:rsidR="004B7190" w:rsidRPr="00964007">
        <w:rPr>
          <w:b/>
          <w:u w:val="none"/>
        </w:rPr>
        <w:t>Anslares International supra</w:t>
      </w:r>
      <w:r w:rsidR="004B7190" w:rsidRPr="006374C3">
        <w:rPr>
          <w:rStyle w:val="FootnoteReference"/>
          <w:b/>
          <w:u w:val="none"/>
        </w:rPr>
        <w:footnoteReference w:id="25"/>
      </w:r>
      <w:r w:rsidR="006374C3" w:rsidRPr="00964007">
        <w:rPr>
          <w:b/>
          <w:u w:val="none"/>
        </w:rPr>
        <w:t>,</w:t>
      </w:r>
      <w:r w:rsidR="004B7190" w:rsidRPr="00964007">
        <w:rPr>
          <w:u w:val="none"/>
        </w:rPr>
        <w:t xml:space="preserve"> provide it with the requisite </w:t>
      </w:r>
      <w:r w:rsidR="00E84644" w:rsidRPr="00964007">
        <w:rPr>
          <w:i/>
          <w:u w:val="none"/>
        </w:rPr>
        <w:t>prima facie</w:t>
      </w:r>
      <w:r w:rsidR="004B7190" w:rsidRPr="00964007">
        <w:rPr>
          <w:u w:val="none"/>
        </w:rPr>
        <w:t xml:space="preserve"> right even if open to some doubt.</w:t>
      </w:r>
    </w:p>
    <w:p w14:paraId="6BFAAE89" w14:textId="77777777" w:rsidR="00E84644" w:rsidRDefault="00E84644" w:rsidP="00E84644">
      <w:pPr>
        <w:pStyle w:val="ListParagraph"/>
        <w:spacing w:line="480" w:lineRule="auto"/>
        <w:ind w:left="709"/>
        <w:jc w:val="both"/>
        <w:rPr>
          <w:u w:val="none"/>
        </w:rPr>
      </w:pPr>
    </w:p>
    <w:p w14:paraId="6038B21E" w14:textId="7921F04C" w:rsidR="00E84644" w:rsidRPr="00964007" w:rsidRDefault="00964007" w:rsidP="00964007">
      <w:pPr>
        <w:spacing w:line="480" w:lineRule="auto"/>
        <w:ind w:left="709" w:hanging="709"/>
        <w:jc w:val="both"/>
        <w:rPr>
          <w:u w:val="none"/>
        </w:rPr>
      </w:pPr>
      <w:r>
        <w:rPr>
          <w:u w:val="none"/>
        </w:rPr>
        <w:t>53.</w:t>
      </w:r>
      <w:r>
        <w:rPr>
          <w:u w:val="none"/>
        </w:rPr>
        <w:tab/>
      </w:r>
      <w:r w:rsidR="00E84644" w:rsidRPr="00964007">
        <w:rPr>
          <w:u w:val="none"/>
        </w:rPr>
        <w:t xml:space="preserve">Secondly, it was never the intention of the parties that ownership of the entire 73, 4360 ha would pass to Wrapex – this </w:t>
      </w:r>
      <w:r w:rsidR="006374C3" w:rsidRPr="00964007">
        <w:rPr>
          <w:u w:val="none"/>
        </w:rPr>
        <w:t>is</w:t>
      </w:r>
      <w:r w:rsidR="00E84644" w:rsidRPr="00964007">
        <w:rPr>
          <w:u w:val="none"/>
        </w:rPr>
        <w:t xml:space="preserve"> according to the documents before me</w:t>
      </w:r>
      <w:r w:rsidR="006374C3" w:rsidRPr="00964007">
        <w:rPr>
          <w:u w:val="none"/>
        </w:rPr>
        <w:t xml:space="preserve"> at the very least</w:t>
      </w:r>
      <w:r w:rsidR="00E84644" w:rsidRPr="00964007">
        <w:rPr>
          <w:u w:val="none"/>
        </w:rPr>
        <w:t>. This being so, evidence at trial may well demonstrate a “</w:t>
      </w:r>
      <w:r w:rsidR="00E84644" w:rsidRPr="00964007">
        <w:rPr>
          <w:i/>
          <w:u w:val="none"/>
        </w:rPr>
        <w:t>defect in the real agreement”.</w:t>
      </w:r>
    </w:p>
    <w:p w14:paraId="3FEBD172" w14:textId="77777777" w:rsidR="00634F87" w:rsidRDefault="00634F87" w:rsidP="00333E3C">
      <w:pPr>
        <w:pStyle w:val="ListParagraph"/>
        <w:spacing w:line="480" w:lineRule="auto"/>
        <w:ind w:left="709"/>
        <w:jc w:val="both"/>
        <w:rPr>
          <w:u w:val="none"/>
        </w:rPr>
      </w:pPr>
    </w:p>
    <w:p w14:paraId="54CEE77E" w14:textId="77777777" w:rsidR="00634F87" w:rsidRPr="00D56F95" w:rsidRDefault="00D56F95" w:rsidP="00333E3C">
      <w:pPr>
        <w:spacing w:line="480" w:lineRule="auto"/>
        <w:jc w:val="both"/>
        <w:rPr>
          <w:b/>
          <w:u w:val="none"/>
        </w:rPr>
      </w:pPr>
      <w:r w:rsidRPr="00D56F95">
        <w:rPr>
          <w:b/>
          <w:u w:val="none"/>
        </w:rPr>
        <w:t>THE CANCELLATION IS BAD IN LAW</w:t>
      </w:r>
    </w:p>
    <w:p w14:paraId="2093A7E3" w14:textId="6839FEF3" w:rsidR="00634F87" w:rsidRPr="00964007" w:rsidRDefault="00964007" w:rsidP="00964007">
      <w:pPr>
        <w:spacing w:line="480" w:lineRule="auto"/>
        <w:ind w:left="709" w:hanging="709"/>
        <w:jc w:val="both"/>
        <w:rPr>
          <w:u w:val="none"/>
        </w:rPr>
      </w:pPr>
      <w:r>
        <w:rPr>
          <w:u w:val="none"/>
        </w:rPr>
        <w:t>54.</w:t>
      </w:r>
      <w:r>
        <w:rPr>
          <w:u w:val="none"/>
        </w:rPr>
        <w:tab/>
      </w:r>
      <w:r w:rsidR="00D56F95" w:rsidRPr="00964007">
        <w:rPr>
          <w:u w:val="none"/>
        </w:rPr>
        <w:t xml:space="preserve">ABSA argues that any agreement to re-register the </w:t>
      </w:r>
      <w:r w:rsidR="00AE72B4" w:rsidRPr="00964007">
        <w:rPr>
          <w:u w:val="none"/>
        </w:rPr>
        <w:t>land falls fo</w:t>
      </w:r>
      <w:r w:rsidR="00E84644" w:rsidRPr="00964007">
        <w:rPr>
          <w:u w:val="none"/>
        </w:rPr>
        <w:t>ul of Section 3(e)(i) of the SLA.</w:t>
      </w:r>
      <w:r w:rsidR="00AE72B4" w:rsidRPr="00964007">
        <w:rPr>
          <w:u w:val="none"/>
        </w:rPr>
        <w:t xml:space="preserve"> Section 3(e)(i) provides:</w:t>
      </w:r>
    </w:p>
    <w:p w14:paraId="5B9C8482" w14:textId="77777777" w:rsidR="00AE72B4" w:rsidRPr="00AE72B4" w:rsidRDefault="00AE72B4" w:rsidP="006374C3">
      <w:pPr>
        <w:pStyle w:val="ListParagraph"/>
        <w:spacing w:line="360" w:lineRule="auto"/>
        <w:ind w:left="1429" w:firstLine="11"/>
        <w:jc w:val="both"/>
        <w:rPr>
          <w:i/>
          <w:u w:val="none"/>
        </w:rPr>
      </w:pPr>
      <w:r w:rsidRPr="00AE72B4">
        <w:rPr>
          <w:i/>
          <w:u w:val="none"/>
        </w:rPr>
        <w:t>“Subject to the provisions of section 2 -</w:t>
      </w:r>
    </w:p>
    <w:p w14:paraId="1E944F49" w14:textId="77777777" w:rsidR="00441CE2" w:rsidRDefault="00FE676D" w:rsidP="006374C3">
      <w:pPr>
        <w:spacing w:line="360" w:lineRule="auto"/>
        <w:ind w:left="1440" w:hanging="11"/>
        <w:jc w:val="both"/>
        <w:rPr>
          <w:i/>
          <w:u w:val="none"/>
        </w:rPr>
      </w:pPr>
      <w:r>
        <w:rPr>
          <w:i/>
          <w:u w:val="none"/>
        </w:rPr>
        <w:t>(e) (i)</w:t>
      </w:r>
      <w:r>
        <w:rPr>
          <w:i/>
          <w:u w:val="none"/>
        </w:rPr>
        <w:tab/>
      </w:r>
      <w:r w:rsidR="00AE72B4" w:rsidRPr="00AE72B4">
        <w:rPr>
          <w:i/>
          <w:u w:val="none"/>
        </w:rPr>
        <w:t>no portion of agricultural land, whether surveyed or not, and whether there is any building thereon or not, shall be sold or advertised for sale, except for the purposes of a mine as defined in section 1 of the Mines and Works Act, 1956 (Act 27 of 1956</w:t>
      </w:r>
      <w:r w:rsidR="00AE72B4">
        <w:rPr>
          <w:i/>
          <w:u w:val="none"/>
        </w:rPr>
        <w:t>; …”</w:t>
      </w:r>
    </w:p>
    <w:p w14:paraId="3AB2781D" w14:textId="77777777" w:rsidR="00AE72B4" w:rsidRPr="00AE72B4" w:rsidRDefault="00AE72B4" w:rsidP="00333E3C">
      <w:pPr>
        <w:ind w:left="709"/>
        <w:jc w:val="both"/>
        <w:rPr>
          <w:i/>
          <w:u w:val="none"/>
        </w:rPr>
      </w:pPr>
    </w:p>
    <w:p w14:paraId="6BB6CD25" w14:textId="072E5E1B" w:rsidR="00441CE2" w:rsidRPr="00964007" w:rsidRDefault="00964007" w:rsidP="00964007">
      <w:pPr>
        <w:spacing w:line="480" w:lineRule="auto"/>
        <w:ind w:left="709" w:hanging="709"/>
        <w:jc w:val="both"/>
        <w:rPr>
          <w:u w:val="none"/>
        </w:rPr>
      </w:pPr>
      <w:r w:rsidRPr="002B3E8F">
        <w:rPr>
          <w:u w:val="none"/>
        </w:rPr>
        <w:t>55.</w:t>
      </w:r>
      <w:r w:rsidRPr="002B3E8F">
        <w:rPr>
          <w:u w:val="none"/>
        </w:rPr>
        <w:tab/>
      </w:r>
      <w:r w:rsidR="00C62F7A" w:rsidRPr="00964007">
        <w:rPr>
          <w:u w:val="none"/>
        </w:rPr>
        <w:t>It argues that, absent a further agreement between the Trust and Wraypex after the subdivision</w:t>
      </w:r>
      <w:r w:rsidR="00E84644" w:rsidRPr="00964007">
        <w:rPr>
          <w:u w:val="none"/>
        </w:rPr>
        <w:t>,</w:t>
      </w:r>
      <w:r w:rsidR="00C62F7A" w:rsidRPr="00964007">
        <w:rPr>
          <w:u w:val="none"/>
        </w:rPr>
        <w:t xml:space="preserve"> the claim for retransfer offends Section 3(e)(i). This is because the claim for retransfer amounts to an alienation </w:t>
      </w:r>
      <w:r w:rsidR="00E84644" w:rsidRPr="00964007">
        <w:rPr>
          <w:u w:val="none"/>
        </w:rPr>
        <w:t>as Wraypex will alienate the 40 ha</w:t>
      </w:r>
      <w:r w:rsidR="00C62F7A" w:rsidRPr="00964007">
        <w:rPr>
          <w:u w:val="none"/>
        </w:rPr>
        <w:t xml:space="preserve"> for no consideration which also falls foul of Section 2(1) of the </w:t>
      </w:r>
      <w:r w:rsidR="00E84644" w:rsidRPr="00964007">
        <w:rPr>
          <w:u w:val="none"/>
        </w:rPr>
        <w:t>ALA</w:t>
      </w:r>
      <w:r w:rsidR="00C62F7A" w:rsidRPr="00964007">
        <w:rPr>
          <w:u w:val="none"/>
        </w:rPr>
        <w:t xml:space="preserve"> which states:</w:t>
      </w:r>
    </w:p>
    <w:p w14:paraId="5EE8F1C3" w14:textId="77777777" w:rsidR="00C62F7A" w:rsidRPr="00397617" w:rsidRDefault="00C62F7A" w:rsidP="006374C3">
      <w:pPr>
        <w:shd w:val="clear" w:color="auto" w:fill="FFFFFF"/>
        <w:spacing w:line="360" w:lineRule="auto"/>
        <w:ind w:left="1200" w:firstLine="240"/>
        <w:jc w:val="both"/>
        <w:rPr>
          <w:b/>
          <w:i/>
          <w:color w:val="242121"/>
          <w:u w:val="none"/>
          <w:lang w:eastAsia="en-ZA"/>
        </w:rPr>
      </w:pPr>
      <w:r w:rsidRPr="002B3E8F">
        <w:rPr>
          <w:i/>
          <w:u w:val="none"/>
        </w:rPr>
        <w:t>“</w:t>
      </w:r>
      <w:r w:rsidRPr="00397617">
        <w:rPr>
          <w:b/>
          <w:i/>
          <w:u w:val="none"/>
        </w:rPr>
        <w:t xml:space="preserve">2 </w:t>
      </w:r>
      <w:r w:rsidRPr="00397617">
        <w:rPr>
          <w:b/>
          <w:bCs/>
          <w:i/>
          <w:color w:val="242121"/>
          <w:u w:val="none"/>
          <w:lang w:eastAsia="en-ZA"/>
        </w:rPr>
        <w:t>Formalities in respect of alienation of land</w:t>
      </w:r>
    </w:p>
    <w:p w14:paraId="298FA048" w14:textId="77777777" w:rsidR="00C62F7A" w:rsidRPr="00C62F7A" w:rsidRDefault="00C62F7A" w:rsidP="006374C3">
      <w:pPr>
        <w:shd w:val="clear" w:color="auto" w:fill="FFFFFF"/>
        <w:spacing w:line="360" w:lineRule="auto"/>
        <w:ind w:left="1440"/>
        <w:jc w:val="both"/>
        <w:rPr>
          <w:i/>
          <w:color w:val="242121"/>
          <w:u w:val="none"/>
          <w:lang w:eastAsia="en-ZA"/>
        </w:rPr>
      </w:pPr>
      <w:r w:rsidRPr="002B3E8F">
        <w:rPr>
          <w:i/>
          <w:color w:val="242121"/>
          <w:u w:val="none"/>
          <w:lang w:eastAsia="en-ZA"/>
        </w:rPr>
        <w:t>(1)</w:t>
      </w:r>
      <w:r w:rsidRPr="002B3E8F">
        <w:rPr>
          <w:i/>
          <w:color w:val="242121"/>
          <w:u w:val="none"/>
          <w:lang w:eastAsia="en-ZA"/>
        </w:rPr>
        <w:tab/>
      </w:r>
      <w:r w:rsidRPr="00C62F7A">
        <w:rPr>
          <w:i/>
          <w:color w:val="242121"/>
          <w:u w:val="none"/>
          <w:lang w:eastAsia="en-ZA"/>
        </w:rPr>
        <w:t>No alienation of land after the commencement of this section shall, subject to the provisions of section 28, be of any force or effect unless it is contained in a deed of alienation signed by the parties thereto or by their agents acting on their written authority.</w:t>
      </w:r>
    </w:p>
    <w:p w14:paraId="0604A6DA" w14:textId="77777777" w:rsidR="00C62F7A" w:rsidRPr="00C62F7A" w:rsidRDefault="00C62F7A" w:rsidP="006374C3">
      <w:pPr>
        <w:shd w:val="clear" w:color="auto" w:fill="FFFFFF"/>
        <w:spacing w:line="360" w:lineRule="auto"/>
        <w:ind w:left="1440"/>
        <w:jc w:val="both"/>
        <w:rPr>
          <w:i/>
          <w:color w:val="242121"/>
          <w:u w:val="none"/>
          <w:lang w:eastAsia="en-ZA"/>
        </w:rPr>
      </w:pPr>
      <w:r w:rsidRPr="00C62F7A">
        <w:rPr>
          <w:i/>
          <w:color w:val="242121"/>
          <w:u w:val="none"/>
          <w:lang w:eastAsia="en-ZA"/>
        </w:rPr>
        <w:t xml:space="preserve">(2) </w:t>
      </w:r>
      <w:r w:rsidRPr="002B3E8F">
        <w:rPr>
          <w:i/>
          <w:color w:val="242121"/>
          <w:u w:val="none"/>
          <w:lang w:eastAsia="en-ZA"/>
        </w:rPr>
        <w:tab/>
      </w:r>
      <w:r w:rsidRPr="00C62F7A">
        <w:rPr>
          <w:i/>
          <w:color w:val="242121"/>
          <w:u w:val="none"/>
          <w:lang w:eastAsia="en-ZA"/>
        </w:rPr>
        <w:t>The provisions of subsection (1) relating to signature by the agent of a party acting on the written authority of the party, shall not derogate from the provisions of any law relating to the making of a contract in writing by a person professing to act as agent or trustee for a company not yet formed, incorporated or registered.</w:t>
      </w:r>
    </w:p>
    <w:p w14:paraId="7B81B19D" w14:textId="77777777" w:rsidR="00C62F7A" w:rsidRPr="00D85202" w:rsidRDefault="00C62F7A" w:rsidP="006374C3">
      <w:pPr>
        <w:shd w:val="clear" w:color="auto" w:fill="FFFFFF"/>
        <w:spacing w:line="360" w:lineRule="auto"/>
        <w:ind w:left="1440"/>
        <w:jc w:val="both"/>
        <w:rPr>
          <w:i/>
          <w:color w:val="242121"/>
          <w:u w:val="none"/>
          <w:lang w:eastAsia="en-ZA"/>
        </w:rPr>
      </w:pPr>
      <w:r w:rsidRPr="00C62F7A">
        <w:rPr>
          <w:i/>
          <w:color w:val="242121"/>
          <w:u w:val="none"/>
          <w:lang w:eastAsia="en-ZA"/>
        </w:rPr>
        <w:t xml:space="preserve">(2A) </w:t>
      </w:r>
      <w:r w:rsidRPr="002B3E8F">
        <w:rPr>
          <w:i/>
          <w:color w:val="242121"/>
          <w:u w:val="none"/>
          <w:lang w:eastAsia="en-ZA"/>
        </w:rPr>
        <w:tab/>
      </w:r>
      <w:r w:rsidRPr="00C62F7A">
        <w:rPr>
          <w:i/>
          <w:color w:val="242121"/>
          <w:u w:val="none"/>
          <w:lang w:eastAsia="en-ZA"/>
        </w:rPr>
        <w:t>The deed of alienation shall contain the right of a purchaser or prospective purchaser to revoke the offer or terminate the deed of alienation in terms of section 29A</w:t>
      </w:r>
      <w:r w:rsidRPr="002B3E8F">
        <w:rPr>
          <w:i/>
          <w:color w:val="242121"/>
          <w:u w:val="none"/>
          <w:lang w:eastAsia="en-ZA"/>
        </w:rPr>
        <w:t>.”</w:t>
      </w:r>
    </w:p>
    <w:p w14:paraId="3987CB9F" w14:textId="77777777" w:rsidR="00441CE2" w:rsidRPr="00441CE2" w:rsidRDefault="00441CE2" w:rsidP="00333E3C">
      <w:pPr>
        <w:pStyle w:val="ListParagraph"/>
        <w:jc w:val="both"/>
        <w:rPr>
          <w:u w:val="none"/>
        </w:rPr>
      </w:pPr>
    </w:p>
    <w:p w14:paraId="299B68B5" w14:textId="3C5E2D67" w:rsidR="00441CE2" w:rsidRPr="00964007" w:rsidRDefault="00964007" w:rsidP="00964007">
      <w:pPr>
        <w:spacing w:line="480" w:lineRule="auto"/>
        <w:ind w:left="709" w:hanging="709"/>
        <w:jc w:val="both"/>
        <w:rPr>
          <w:u w:val="none"/>
        </w:rPr>
      </w:pPr>
      <w:r>
        <w:rPr>
          <w:u w:val="none"/>
        </w:rPr>
        <w:t>56.</w:t>
      </w:r>
      <w:r>
        <w:rPr>
          <w:u w:val="none"/>
        </w:rPr>
        <w:tab/>
      </w:r>
      <w:r w:rsidR="00D85202" w:rsidRPr="00964007">
        <w:rPr>
          <w:u w:val="none"/>
        </w:rPr>
        <w:t>But in considering this issue, it is important to consider the definition of the word “alienate” in ALA, which is:</w:t>
      </w:r>
    </w:p>
    <w:p w14:paraId="4A0CA858" w14:textId="77777777" w:rsidR="00441CE2" w:rsidRPr="00D85202" w:rsidRDefault="00D85202" w:rsidP="006374C3">
      <w:pPr>
        <w:pStyle w:val="ListParagraph"/>
        <w:spacing w:line="360" w:lineRule="auto"/>
        <w:jc w:val="both"/>
        <w:rPr>
          <w:i/>
          <w:color w:val="242121"/>
          <w:u w:val="none"/>
          <w:shd w:val="clear" w:color="auto" w:fill="FFFFFF"/>
        </w:rPr>
      </w:pPr>
      <w:r w:rsidRPr="00D85202">
        <w:rPr>
          <w:b/>
          <w:bCs/>
          <w:i/>
          <w:color w:val="242121"/>
          <w:u w:val="none"/>
          <w:shd w:val="clear" w:color="auto" w:fill="FFFFFF"/>
        </w:rPr>
        <w:t>“alienate”</w:t>
      </w:r>
      <w:r w:rsidRPr="00D85202">
        <w:rPr>
          <w:i/>
          <w:color w:val="242121"/>
          <w:u w:val="none"/>
          <w:shd w:val="clear" w:color="auto" w:fill="FFFFFF"/>
        </w:rPr>
        <w:t>, in relation to land, means sell, exchange or donate, irrespective of whether such sale, exchange or donation is subject to a suspensive or resolutive condition, and “alienation” has a corresponding meaning;”</w:t>
      </w:r>
    </w:p>
    <w:p w14:paraId="30681C48" w14:textId="1745CE98" w:rsidR="00892B8E" w:rsidRPr="00441CE2" w:rsidRDefault="00892B8E" w:rsidP="00333E3C">
      <w:pPr>
        <w:pStyle w:val="ListParagraph"/>
        <w:jc w:val="both"/>
        <w:rPr>
          <w:u w:val="none"/>
        </w:rPr>
      </w:pPr>
    </w:p>
    <w:p w14:paraId="227C6011" w14:textId="3D5B6E9F" w:rsidR="00441CE2" w:rsidRPr="00964007" w:rsidRDefault="00964007" w:rsidP="00964007">
      <w:pPr>
        <w:spacing w:line="480" w:lineRule="auto"/>
        <w:ind w:left="709" w:hanging="709"/>
        <w:jc w:val="both"/>
        <w:rPr>
          <w:u w:val="none"/>
        </w:rPr>
      </w:pPr>
      <w:r>
        <w:rPr>
          <w:u w:val="none"/>
        </w:rPr>
        <w:t>57.</w:t>
      </w:r>
      <w:r>
        <w:rPr>
          <w:u w:val="none"/>
        </w:rPr>
        <w:tab/>
      </w:r>
      <w:r w:rsidR="00A77BFC" w:rsidRPr="00964007">
        <w:rPr>
          <w:u w:val="none"/>
        </w:rPr>
        <w:t>What this argument loses sight of is 3 issues:</w:t>
      </w:r>
    </w:p>
    <w:p w14:paraId="187E2F3D" w14:textId="2FE9D12A" w:rsidR="00A77BFC" w:rsidRDefault="00A77BFC" w:rsidP="00333E3C">
      <w:pPr>
        <w:pStyle w:val="ListParagraph"/>
        <w:spacing w:line="480" w:lineRule="auto"/>
        <w:ind w:left="1440" w:hanging="731"/>
        <w:jc w:val="both"/>
        <w:rPr>
          <w:u w:val="none"/>
        </w:rPr>
      </w:pPr>
      <w:r>
        <w:rPr>
          <w:u w:val="none"/>
        </w:rPr>
        <w:t>5</w:t>
      </w:r>
      <w:r w:rsidR="00892B8E">
        <w:rPr>
          <w:u w:val="none"/>
        </w:rPr>
        <w:t>7</w:t>
      </w:r>
      <w:r>
        <w:rPr>
          <w:u w:val="none"/>
        </w:rPr>
        <w:t>.1</w:t>
      </w:r>
      <w:r>
        <w:rPr>
          <w:u w:val="none"/>
        </w:rPr>
        <w:tab/>
        <w:t>firstly, if the Trust were indeed to amend its claim to include one of rectification, that may well put an end to this argument;</w:t>
      </w:r>
    </w:p>
    <w:p w14:paraId="3BE70071" w14:textId="720304CC" w:rsidR="00A77BFC" w:rsidRDefault="006374C3" w:rsidP="00333E3C">
      <w:pPr>
        <w:pStyle w:val="ListParagraph"/>
        <w:spacing w:line="480" w:lineRule="auto"/>
        <w:ind w:left="1440" w:hanging="731"/>
        <w:jc w:val="both"/>
        <w:rPr>
          <w:u w:val="none"/>
        </w:rPr>
      </w:pPr>
      <w:r>
        <w:rPr>
          <w:u w:val="none"/>
        </w:rPr>
        <w:t>5</w:t>
      </w:r>
      <w:r w:rsidR="00892B8E">
        <w:rPr>
          <w:u w:val="none"/>
        </w:rPr>
        <w:t>7</w:t>
      </w:r>
      <w:r w:rsidR="00A77BFC">
        <w:rPr>
          <w:u w:val="none"/>
        </w:rPr>
        <w:t>.2</w:t>
      </w:r>
      <w:r w:rsidR="00A77BFC">
        <w:rPr>
          <w:u w:val="none"/>
        </w:rPr>
        <w:tab/>
        <w:t>secondly, the agreement clearly encompasses the purchase consideration of 33 hectares and not 73 hectares of land and the retransfer of the 40 hectares appears to be a material term of that agreement and was understood to be so at signature of both the agreement and the addendum;</w:t>
      </w:r>
    </w:p>
    <w:p w14:paraId="2808BB41" w14:textId="072063CA" w:rsidR="00A77BFC" w:rsidRPr="00964007" w:rsidRDefault="00964007" w:rsidP="00964007">
      <w:pPr>
        <w:tabs>
          <w:tab w:val="left" w:pos="1418"/>
        </w:tabs>
        <w:spacing w:line="480" w:lineRule="auto"/>
        <w:ind w:left="814" w:hanging="105"/>
        <w:jc w:val="both"/>
        <w:rPr>
          <w:u w:val="none"/>
        </w:rPr>
      </w:pPr>
      <w:r w:rsidRPr="006374C3">
        <w:rPr>
          <w:u w:val="none"/>
        </w:rPr>
        <w:t>57.3</w:t>
      </w:r>
      <w:r w:rsidRPr="006374C3">
        <w:rPr>
          <w:u w:val="none"/>
        </w:rPr>
        <w:tab/>
      </w:r>
      <w:r w:rsidR="00A77BFC" w:rsidRPr="00964007">
        <w:rPr>
          <w:u w:val="none"/>
        </w:rPr>
        <w:t>section 28 of the ALA provides:</w:t>
      </w:r>
    </w:p>
    <w:p w14:paraId="72047C09" w14:textId="77777777" w:rsidR="00A77BFC" w:rsidRPr="00A77BFC" w:rsidRDefault="00A77BFC" w:rsidP="006374C3">
      <w:pPr>
        <w:shd w:val="clear" w:color="auto" w:fill="FFFFFF"/>
        <w:spacing w:line="360" w:lineRule="auto"/>
        <w:ind w:left="2160" w:hanging="731"/>
        <w:jc w:val="both"/>
        <w:rPr>
          <w:i/>
          <w:color w:val="242121"/>
          <w:u w:val="none"/>
          <w:lang w:eastAsia="en-ZA"/>
        </w:rPr>
      </w:pPr>
      <w:r w:rsidRPr="00FA4F1C">
        <w:rPr>
          <w:i/>
          <w:u w:val="none"/>
        </w:rPr>
        <w:t>“</w:t>
      </w:r>
      <w:r w:rsidRPr="00A77BFC">
        <w:rPr>
          <w:i/>
          <w:color w:val="242121"/>
          <w:u w:val="none"/>
          <w:lang w:eastAsia="en-ZA"/>
        </w:rPr>
        <w:t xml:space="preserve">(1) </w:t>
      </w:r>
      <w:r w:rsidRPr="00FA4F1C">
        <w:rPr>
          <w:i/>
          <w:color w:val="242121"/>
          <w:u w:val="none"/>
          <w:lang w:eastAsia="en-ZA"/>
        </w:rPr>
        <w:tab/>
      </w:r>
      <w:r w:rsidRPr="00A77BFC">
        <w:rPr>
          <w:i/>
          <w:color w:val="242121"/>
          <w:u w:val="none"/>
          <w:lang w:eastAsia="en-ZA"/>
        </w:rPr>
        <w:t>Subject to the provisions of subsection (2), any person who has performed partially or in full in terms of an alienation of land which is of no force or effect in terms of section 2(1), or a contract which has been declared void in terms of the provisions of section 24(1)(c), or has been cancelled under this Act, is entitled to recover from the other party that which he has performed under the alienation or contract, and—</w:t>
      </w:r>
    </w:p>
    <w:p w14:paraId="311753CA" w14:textId="77777777" w:rsidR="00A77BFC" w:rsidRPr="00A77BFC" w:rsidRDefault="00A77BFC" w:rsidP="006374C3">
      <w:pPr>
        <w:shd w:val="clear" w:color="auto" w:fill="FFFFFF"/>
        <w:spacing w:line="360" w:lineRule="auto"/>
        <w:ind w:left="1440" w:firstLine="720"/>
        <w:jc w:val="both"/>
        <w:rPr>
          <w:i/>
          <w:color w:val="242121"/>
          <w:u w:val="none"/>
          <w:lang w:eastAsia="en-ZA"/>
        </w:rPr>
      </w:pPr>
      <w:r w:rsidRPr="00A77BFC">
        <w:rPr>
          <w:i/>
          <w:color w:val="242121"/>
          <w:u w:val="none"/>
          <w:lang w:eastAsia="en-ZA"/>
        </w:rPr>
        <w:t>(a) the alienee may in addition recover from the alienator—</w:t>
      </w:r>
    </w:p>
    <w:p w14:paraId="66F64339" w14:textId="77777777" w:rsidR="00A77BFC" w:rsidRPr="00A77BFC" w:rsidRDefault="00A77BFC" w:rsidP="006374C3">
      <w:pPr>
        <w:shd w:val="clear" w:color="auto" w:fill="FFFFFF"/>
        <w:spacing w:line="360" w:lineRule="auto"/>
        <w:ind w:left="3600" w:hanging="720"/>
        <w:jc w:val="both"/>
        <w:rPr>
          <w:i/>
          <w:color w:val="242121"/>
          <w:u w:val="none"/>
          <w:lang w:eastAsia="en-ZA"/>
        </w:rPr>
      </w:pPr>
      <w:r w:rsidRPr="00A77BFC">
        <w:rPr>
          <w:i/>
          <w:color w:val="242121"/>
          <w:u w:val="none"/>
          <w:lang w:eastAsia="en-ZA"/>
        </w:rPr>
        <w:t xml:space="preserve">(i) </w:t>
      </w:r>
      <w:r w:rsidRPr="00FA4F1C">
        <w:rPr>
          <w:i/>
          <w:color w:val="242121"/>
          <w:u w:val="none"/>
          <w:lang w:eastAsia="en-ZA"/>
        </w:rPr>
        <w:tab/>
      </w:r>
      <w:r w:rsidRPr="00A77BFC">
        <w:rPr>
          <w:i/>
          <w:color w:val="242121"/>
          <w:u w:val="none"/>
          <w:lang w:eastAsia="en-ZA"/>
        </w:rPr>
        <w:t>interest at the prescribed rate on any payment that he made in terms of the deed of alienation or contract from the date of the payment to the date of recovery;</w:t>
      </w:r>
    </w:p>
    <w:p w14:paraId="107DCF8E" w14:textId="77777777" w:rsidR="00A77BFC" w:rsidRPr="00A77BFC" w:rsidRDefault="00A77BFC" w:rsidP="006374C3">
      <w:pPr>
        <w:shd w:val="clear" w:color="auto" w:fill="FFFFFF"/>
        <w:spacing w:line="360" w:lineRule="auto"/>
        <w:ind w:left="2160" w:firstLine="720"/>
        <w:jc w:val="both"/>
        <w:rPr>
          <w:i/>
          <w:color w:val="242121"/>
          <w:u w:val="none"/>
          <w:lang w:eastAsia="en-ZA"/>
        </w:rPr>
      </w:pPr>
      <w:r w:rsidRPr="00A77BFC">
        <w:rPr>
          <w:i/>
          <w:color w:val="242121"/>
          <w:u w:val="none"/>
          <w:lang w:eastAsia="en-ZA"/>
        </w:rPr>
        <w:t xml:space="preserve">(ii) </w:t>
      </w:r>
      <w:r w:rsidRPr="00FA4F1C">
        <w:rPr>
          <w:i/>
          <w:color w:val="242121"/>
          <w:u w:val="none"/>
          <w:lang w:eastAsia="en-ZA"/>
        </w:rPr>
        <w:tab/>
      </w:r>
      <w:r w:rsidRPr="00A77BFC">
        <w:rPr>
          <w:i/>
          <w:color w:val="242121"/>
          <w:u w:val="none"/>
          <w:lang w:eastAsia="en-ZA"/>
        </w:rPr>
        <w:t>a reasonable compensation for—</w:t>
      </w:r>
    </w:p>
    <w:p w14:paraId="45903900" w14:textId="77777777" w:rsidR="00A77BFC" w:rsidRPr="00A77BFC" w:rsidRDefault="00A77BFC" w:rsidP="006374C3">
      <w:pPr>
        <w:shd w:val="clear" w:color="auto" w:fill="FFFFFF"/>
        <w:spacing w:line="360" w:lineRule="auto"/>
        <w:ind w:left="3600"/>
        <w:jc w:val="both"/>
        <w:rPr>
          <w:i/>
          <w:color w:val="242121"/>
          <w:u w:val="none"/>
          <w:lang w:eastAsia="en-ZA"/>
        </w:rPr>
      </w:pPr>
      <w:r w:rsidRPr="00A77BFC">
        <w:rPr>
          <w:i/>
          <w:color w:val="242121"/>
          <w:u w:val="none"/>
          <w:lang w:eastAsia="en-ZA"/>
        </w:rPr>
        <w:t>(aa) necessary expenditure he has incurred, with or without the authority of the owner or alienator of the land, in regard to the preservation of the land or any improvement thereon; or</w:t>
      </w:r>
    </w:p>
    <w:p w14:paraId="48E79A9A" w14:textId="77777777" w:rsidR="00A77BFC" w:rsidRPr="00A77BFC" w:rsidRDefault="00A77BFC" w:rsidP="006374C3">
      <w:pPr>
        <w:shd w:val="clear" w:color="auto" w:fill="FFFFFF"/>
        <w:spacing w:line="360" w:lineRule="auto"/>
        <w:ind w:left="3600"/>
        <w:jc w:val="both"/>
        <w:rPr>
          <w:i/>
          <w:color w:val="242121"/>
          <w:u w:val="none"/>
          <w:lang w:eastAsia="en-ZA"/>
        </w:rPr>
      </w:pPr>
      <w:r w:rsidRPr="00A77BFC">
        <w:rPr>
          <w:i/>
          <w:color w:val="242121"/>
          <w:u w:val="none"/>
          <w:lang w:eastAsia="en-ZA"/>
        </w:rPr>
        <w:t>(bb) any improvement which enhances the market value of the land and was effected by him on the land with the express or implied consent of the said owner or alienator; and</w:t>
      </w:r>
    </w:p>
    <w:p w14:paraId="7822EB78" w14:textId="77777777" w:rsidR="00A77BFC" w:rsidRPr="00A77BFC" w:rsidRDefault="00A77BFC" w:rsidP="006374C3">
      <w:pPr>
        <w:shd w:val="clear" w:color="auto" w:fill="FFFFFF"/>
        <w:spacing w:line="360" w:lineRule="auto"/>
        <w:ind w:left="1440" w:firstLine="720"/>
        <w:jc w:val="both"/>
        <w:rPr>
          <w:i/>
          <w:color w:val="242121"/>
          <w:u w:val="none"/>
          <w:lang w:eastAsia="en-ZA"/>
        </w:rPr>
      </w:pPr>
      <w:r w:rsidRPr="00A77BFC">
        <w:rPr>
          <w:i/>
          <w:color w:val="242121"/>
          <w:u w:val="none"/>
          <w:lang w:eastAsia="en-ZA"/>
        </w:rPr>
        <w:t>(b) the alienator may in addition recover from the alienee—</w:t>
      </w:r>
    </w:p>
    <w:p w14:paraId="6EB05F84" w14:textId="77777777" w:rsidR="00A77BFC" w:rsidRPr="00A77BFC" w:rsidRDefault="00A77BFC" w:rsidP="006374C3">
      <w:pPr>
        <w:shd w:val="clear" w:color="auto" w:fill="FFFFFF"/>
        <w:spacing w:line="360" w:lineRule="auto"/>
        <w:ind w:left="3600" w:hanging="720"/>
        <w:jc w:val="both"/>
        <w:rPr>
          <w:i/>
          <w:color w:val="242121"/>
          <w:u w:val="none"/>
          <w:lang w:eastAsia="en-ZA"/>
        </w:rPr>
      </w:pPr>
      <w:r w:rsidRPr="00A77BFC">
        <w:rPr>
          <w:i/>
          <w:color w:val="242121"/>
          <w:u w:val="none"/>
          <w:lang w:eastAsia="en-ZA"/>
        </w:rPr>
        <w:t xml:space="preserve">(i) </w:t>
      </w:r>
      <w:r w:rsidR="00C47130" w:rsidRPr="00FA4F1C">
        <w:rPr>
          <w:i/>
          <w:color w:val="242121"/>
          <w:u w:val="none"/>
          <w:lang w:eastAsia="en-ZA"/>
        </w:rPr>
        <w:tab/>
      </w:r>
      <w:r w:rsidRPr="00A77BFC">
        <w:rPr>
          <w:i/>
          <w:color w:val="242121"/>
          <w:u w:val="none"/>
          <w:lang w:eastAsia="en-ZA"/>
        </w:rPr>
        <w:t>a reasonable compensation for the occupation, use or enjoyment the alienee may have had of the land;</w:t>
      </w:r>
    </w:p>
    <w:p w14:paraId="7F4D2DC8" w14:textId="77777777" w:rsidR="00A77BFC" w:rsidRPr="00A77BFC" w:rsidRDefault="00A77BFC" w:rsidP="006374C3">
      <w:pPr>
        <w:shd w:val="clear" w:color="auto" w:fill="FFFFFF"/>
        <w:spacing w:line="360" w:lineRule="auto"/>
        <w:ind w:left="3600" w:hanging="720"/>
        <w:jc w:val="both"/>
        <w:rPr>
          <w:i/>
          <w:color w:val="242121"/>
          <w:u w:val="none"/>
          <w:lang w:eastAsia="en-ZA"/>
        </w:rPr>
      </w:pPr>
      <w:r w:rsidRPr="00A77BFC">
        <w:rPr>
          <w:i/>
          <w:color w:val="242121"/>
          <w:u w:val="none"/>
          <w:lang w:eastAsia="en-ZA"/>
        </w:rPr>
        <w:t xml:space="preserve">(ii) </w:t>
      </w:r>
      <w:r w:rsidR="00C47130" w:rsidRPr="00FA4F1C">
        <w:rPr>
          <w:i/>
          <w:color w:val="242121"/>
          <w:u w:val="none"/>
          <w:lang w:eastAsia="en-ZA"/>
        </w:rPr>
        <w:tab/>
      </w:r>
      <w:r w:rsidRPr="00A77BFC">
        <w:rPr>
          <w:i/>
          <w:color w:val="242121"/>
          <w:u w:val="none"/>
          <w:lang w:eastAsia="en-ZA"/>
        </w:rPr>
        <w:t>compensation for any damage caused intentionally or negligently to the land by the alienee or any person for the actions of whom the alienee may be liable.</w:t>
      </w:r>
    </w:p>
    <w:p w14:paraId="4EE241F9" w14:textId="77777777" w:rsidR="00A77BFC" w:rsidRPr="00A77BFC" w:rsidRDefault="00C47130" w:rsidP="006374C3">
      <w:pPr>
        <w:shd w:val="clear" w:color="auto" w:fill="FFFFFF"/>
        <w:spacing w:line="360" w:lineRule="auto"/>
        <w:ind w:left="2160" w:hanging="731"/>
        <w:jc w:val="both"/>
        <w:rPr>
          <w:i/>
          <w:color w:val="242121"/>
          <w:u w:val="none"/>
          <w:lang w:eastAsia="en-ZA"/>
        </w:rPr>
      </w:pPr>
      <w:r w:rsidRPr="00FA4F1C">
        <w:rPr>
          <w:i/>
          <w:color w:val="242121"/>
          <w:u w:val="none"/>
          <w:lang w:eastAsia="en-ZA"/>
        </w:rPr>
        <w:t>(2)</w:t>
      </w:r>
      <w:r w:rsidRPr="00FA4F1C">
        <w:rPr>
          <w:i/>
          <w:color w:val="242121"/>
          <w:u w:val="none"/>
          <w:lang w:eastAsia="en-ZA"/>
        </w:rPr>
        <w:tab/>
      </w:r>
      <w:r w:rsidR="00A77BFC" w:rsidRPr="00A77BFC">
        <w:rPr>
          <w:i/>
          <w:color w:val="242121"/>
          <w:u w:val="none"/>
          <w:lang w:eastAsia="en-ZA"/>
        </w:rPr>
        <w:t>Any alienation which does not comply with the provisions of section 2(1) shall in all respects be valid </w:t>
      </w:r>
      <w:r w:rsidR="00A77BFC" w:rsidRPr="00A77BFC">
        <w:rPr>
          <w:i/>
          <w:iCs/>
          <w:color w:val="242121"/>
          <w:u w:val="none"/>
          <w:lang w:eastAsia="en-ZA"/>
        </w:rPr>
        <w:t>ab initio</w:t>
      </w:r>
      <w:r w:rsidR="00A77BFC" w:rsidRPr="00A77BFC">
        <w:rPr>
          <w:i/>
          <w:color w:val="242121"/>
          <w:u w:val="none"/>
          <w:lang w:eastAsia="en-ZA"/>
        </w:rPr>
        <w:t> if the alienee had performed in full in terms of the deed of alienation or contract and the land in question has been transferred to the alienee.</w:t>
      </w:r>
      <w:r w:rsidRPr="00FA4F1C">
        <w:rPr>
          <w:i/>
          <w:color w:val="242121"/>
          <w:u w:val="none"/>
          <w:lang w:eastAsia="en-ZA"/>
        </w:rPr>
        <w:t>”</w:t>
      </w:r>
    </w:p>
    <w:p w14:paraId="5909D216" w14:textId="2984440D" w:rsidR="00A77BFC" w:rsidRDefault="006374C3" w:rsidP="00333E3C">
      <w:pPr>
        <w:pStyle w:val="ListParagraph"/>
        <w:spacing w:line="480" w:lineRule="auto"/>
        <w:ind w:left="1440" w:hanging="731"/>
        <w:jc w:val="both"/>
        <w:rPr>
          <w:u w:val="none"/>
        </w:rPr>
      </w:pPr>
      <w:r>
        <w:rPr>
          <w:u w:val="none"/>
        </w:rPr>
        <w:t>5</w:t>
      </w:r>
      <w:r w:rsidR="00892B8E">
        <w:rPr>
          <w:u w:val="none"/>
        </w:rPr>
        <w:t>7</w:t>
      </w:r>
      <w:r w:rsidR="002F699A">
        <w:rPr>
          <w:u w:val="none"/>
        </w:rPr>
        <w:t>.4</w:t>
      </w:r>
      <w:r w:rsidR="002F699A">
        <w:rPr>
          <w:u w:val="none"/>
        </w:rPr>
        <w:tab/>
        <w:t xml:space="preserve">thus section 28(1) </w:t>
      </w:r>
      <w:r w:rsidR="00E84644">
        <w:rPr>
          <w:u w:val="none"/>
        </w:rPr>
        <w:t xml:space="preserve">of the ALA </w:t>
      </w:r>
      <w:r w:rsidR="002F699A">
        <w:rPr>
          <w:u w:val="none"/>
        </w:rPr>
        <w:t>specifically provides that the Trust would be entitled to recover that which it has performed under the alienation contract in the following circumstances:</w:t>
      </w:r>
    </w:p>
    <w:p w14:paraId="68CD6DA8" w14:textId="63B0D1D5" w:rsidR="002F699A" w:rsidRDefault="002F699A" w:rsidP="00333E3C">
      <w:pPr>
        <w:pStyle w:val="ListParagraph"/>
        <w:spacing w:line="480" w:lineRule="auto"/>
        <w:ind w:left="1440" w:hanging="731"/>
        <w:jc w:val="both"/>
        <w:rPr>
          <w:u w:val="none"/>
        </w:rPr>
      </w:pPr>
      <w:r>
        <w:rPr>
          <w:u w:val="none"/>
        </w:rPr>
        <w:tab/>
        <w:t>5</w:t>
      </w:r>
      <w:r w:rsidR="00892B8E">
        <w:rPr>
          <w:u w:val="none"/>
        </w:rPr>
        <w:t>7</w:t>
      </w:r>
      <w:r>
        <w:rPr>
          <w:u w:val="none"/>
        </w:rPr>
        <w:t>.4.1</w:t>
      </w:r>
      <w:r>
        <w:rPr>
          <w:u w:val="none"/>
        </w:rPr>
        <w:tab/>
      </w:r>
      <w:r>
        <w:rPr>
          <w:u w:val="none"/>
        </w:rPr>
        <w:tab/>
        <w:t>if the alienation of land has been cancelled; or</w:t>
      </w:r>
    </w:p>
    <w:p w14:paraId="2BF4B3CE" w14:textId="0F2675C6" w:rsidR="002F699A" w:rsidRDefault="00892B8E" w:rsidP="00333E3C">
      <w:pPr>
        <w:pStyle w:val="ListParagraph"/>
        <w:spacing w:line="480" w:lineRule="auto"/>
        <w:ind w:left="2880" w:hanging="1440"/>
        <w:jc w:val="both"/>
        <w:rPr>
          <w:u w:val="none"/>
        </w:rPr>
      </w:pPr>
      <w:r>
        <w:rPr>
          <w:u w:val="none"/>
        </w:rPr>
        <w:t>57</w:t>
      </w:r>
      <w:r w:rsidR="002F699A">
        <w:rPr>
          <w:u w:val="none"/>
        </w:rPr>
        <w:t>.4.2</w:t>
      </w:r>
      <w:r w:rsidR="002F699A">
        <w:rPr>
          <w:u w:val="none"/>
        </w:rPr>
        <w:tab/>
        <w:t>if the alienation of land is of no force or effect</w:t>
      </w:r>
      <w:r w:rsidR="00E84644">
        <w:rPr>
          <w:u w:val="none"/>
        </w:rPr>
        <w:t xml:space="preserve"> in terms of Section 2(1)</w:t>
      </w:r>
      <w:r w:rsidR="00CB27D4">
        <w:rPr>
          <w:u w:val="none"/>
        </w:rPr>
        <w:t>.</w:t>
      </w:r>
    </w:p>
    <w:p w14:paraId="65A29D48" w14:textId="77777777" w:rsidR="002F699A" w:rsidRPr="00CB27D4" w:rsidRDefault="002F699A" w:rsidP="00333E3C">
      <w:pPr>
        <w:spacing w:line="480" w:lineRule="auto"/>
        <w:jc w:val="both"/>
        <w:rPr>
          <w:u w:val="none"/>
        </w:rPr>
      </w:pPr>
    </w:p>
    <w:p w14:paraId="2A78BCE2" w14:textId="77777777" w:rsidR="00441CE2" w:rsidRPr="00441CE2" w:rsidRDefault="00441CE2" w:rsidP="00333E3C">
      <w:pPr>
        <w:pStyle w:val="ListParagraph"/>
        <w:jc w:val="both"/>
        <w:rPr>
          <w:u w:val="none"/>
        </w:rPr>
      </w:pPr>
    </w:p>
    <w:p w14:paraId="74F2E8E3" w14:textId="338DF66F" w:rsidR="00441CE2" w:rsidRPr="00964007" w:rsidRDefault="00964007" w:rsidP="00964007">
      <w:pPr>
        <w:spacing w:line="480" w:lineRule="auto"/>
        <w:ind w:left="709" w:hanging="709"/>
        <w:jc w:val="both"/>
        <w:rPr>
          <w:u w:val="none"/>
        </w:rPr>
      </w:pPr>
      <w:r>
        <w:rPr>
          <w:u w:val="none"/>
        </w:rPr>
        <w:t>58.</w:t>
      </w:r>
      <w:r>
        <w:rPr>
          <w:u w:val="none"/>
        </w:rPr>
        <w:tab/>
      </w:r>
      <w:r w:rsidR="00CB27D4" w:rsidRPr="00964007">
        <w:rPr>
          <w:u w:val="none"/>
        </w:rPr>
        <w:t xml:space="preserve">Bearing in mind that Wraypex has not performed under its obligations to re-transfer the 40 </w:t>
      </w:r>
      <w:r w:rsidR="00CB7C07" w:rsidRPr="00964007">
        <w:rPr>
          <w:u w:val="none"/>
        </w:rPr>
        <w:t>ha</w:t>
      </w:r>
      <w:r w:rsidR="00CB27D4" w:rsidRPr="00964007">
        <w:rPr>
          <w:u w:val="none"/>
        </w:rPr>
        <w:t xml:space="preserve"> to the Trust, the latter argues that there has been no “full performance” as required in section 28(2) which would render the agreement void </w:t>
      </w:r>
      <w:r w:rsidR="00CB27D4" w:rsidRPr="00964007">
        <w:rPr>
          <w:i/>
          <w:u w:val="none"/>
        </w:rPr>
        <w:t>ab initio</w:t>
      </w:r>
      <w:r w:rsidR="00CB27D4" w:rsidRPr="00964007">
        <w:rPr>
          <w:u w:val="none"/>
        </w:rPr>
        <w:t>. In any event, section 25 of ALA simply confirms the common law position that if a contract is void restitution must follow</w:t>
      </w:r>
      <w:r w:rsidR="00CB27D4">
        <w:rPr>
          <w:rStyle w:val="FootnoteReference"/>
          <w:u w:val="none"/>
        </w:rPr>
        <w:footnoteReference w:id="26"/>
      </w:r>
      <w:r w:rsidR="003849BA" w:rsidRPr="00964007">
        <w:rPr>
          <w:u w:val="none"/>
        </w:rPr>
        <w:t>.</w:t>
      </w:r>
      <w:r w:rsidR="00E84644" w:rsidRPr="00964007">
        <w:rPr>
          <w:u w:val="none"/>
        </w:rPr>
        <w:t xml:space="preserve"> The fact that restitution is indeed possible is confirmed by </w:t>
      </w:r>
      <w:r w:rsidR="00E84644" w:rsidRPr="00964007">
        <w:rPr>
          <w:b/>
          <w:u w:val="none"/>
        </w:rPr>
        <w:t>Nuance</w:t>
      </w:r>
      <w:r w:rsidR="00E84644" w:rsidRPr="00964007">
        <w:rPr>
          <w:u w:val="none"/>
        </w:rPr>
        <w:t xml:space="preserve"> (supra) where the court ordered re-transfer against payment of monetary consideration.</w:t>
      </w:r>
    </w:p>
    <w:p w14:paraId="25DD54E9" w14:textId="77777777" w:rsidR="00441CE2" w:rsidRPr="00441CE2" w:rsidRDefault="00441CE2" w:rsidP="00333E3C">
      <w:pPr>
        <w:pStyle w:val="ListParagraph"/>
        <w:jc w:val="both"/>
        <w:rPr>
          <w:u w:val="none"/>
        </w:rPr>
      </w:pPr>
    </w:p>
    <w:p w14:paraId="0600C348" w14:textId="06F324FB" w:rsidR="00CB7C07" w:rsidRPr="00964007" w:rsidRDefault="00964007" w:rsidP="00964007">
      <w:pPr>
        <w:spacing w:line="480" w:lineRule="auto"/>
        <w:ind w:left="709" w:hanging="709"/>
        <w:jc w:val="both"/>
        <w:rPr>
          <w:u w:val="none"/>
        </w:rPr>
      </w:pPr>
      <w:r>
        <w:rPr>
          <w:u w:val="none"/>
        </w:rPr>
        <w:t>59.</w:t>
      </w:r>
      <w:r>
        <w:rPr>
          <w:u w:val="none"/>
        </w:rPr>
        <w:tab/>
      </w:r>
      <w:r w:rsidR="003849BA" w:rsidRPr="00964007">
        <w:rPr>
          <w:u w:val="none"/>
        </w:rPr>
        <w:t>ABSA then argues that the agreement is void due to the lack of Ministerial consent</w:t>
      </w:r>
      <w:r w:rsidR="00E84644">
        <w:rPr>
          <w:rStyle w:val="FootnoteReference"/>
          <w:u w:val="none"/>
        </w:rPr>
        <w:footnoteReference w:id="27"/>
      </w:r>
      <w:r w:rsidR="003849BA" w:rsidRPr="00964007">
        <w:rPr>
          <w:u w:val="none"/>
        </w:rPr>
        <w:t xml:space="preserve"> as required</w:t>
      </w:r>
      <w:r w:rsidR="00957FF0" w:rsidRPr="00964007">
        <w:rPr>
          <w:u w:val="none"/>
        </w:rPr>
        <w:t xml:space="preserve"> in terms of </w:t>
      </w:r>
      <w:r w:rsidR="0022053D" w:rsidRPr="00964007">
        <w:rPr>
          <w:u w:val="none"/>
        </w:rPr>
        <w:t>section 3</w:t>
      </w:r>
      <w:r w:rsidR="00E84644" w:rsidRPr="00964007">
        <w:rPr>
          <w:u w:val="none"/>
        </w:rPr>
        <w:t>(e)(i) of the SLA</w:t>
      </w:r>
      <w:r w:rsidR="00CB7C07" w:rsidRPr="00964007">
        <w:rPr>
          <w:u w:val="none"/>
        </w:rPr>
        <w:t>, The Trust argues that</w:t>
      </w:r>
      <w:r w:rsidR="00E84644" w:rsidRPr="00964007">
        <w:rPr>
          <w:u w:val="none"/>
        </w:rPr>
        <w:t xml:space="preserve"> as the 40 ha</w:t>
      </w:r>
      <w:r w:rsidR="00957FF0" w:rsidRPr="00964007">
        <w:rPr>
          <w:u w:val="none"/>
        </w:rPr>
        <w:t xml:space="preserve"> is not subject to a sale, </w:t>
      </w:r>
      <w:r w:rsidR="0022053D" w:rsidRPr="00964007">
        <w:rPr>
          <w:u w:val="none"/>
        </w:rPr>
        <w:t>section 3</w:t>
      </w:r>
      <w:r w:rsidR="00957FF0" w:rsidRPr="00964007">
        <w:rPr>
          <w:u w:val="none"/>
        </w:rPr>
        <w:t>(e)(i</w:t>
      </w:r>
      <w:r w:rsidR="0022053D" w:rsidRPr="00964007">
        <w:rPr>
          <w:u w:val="none"/>
        </w:rPr>
        <w:t xml:space="preserve">) does not apply. </w:t>
      </w:r>
    </w:p>
    <w:p w14:paraId="08F5D1E4" w14:textId="77777777" w:rsidR="00CB7C07" w:rsidRPr="00CB7C07" w:rsidRDefault="00CB7C07" w:rsidP="00CB7C07">
      <w:pPr>
        <w:pStyle w:val="ListParagraph"/>
        <w:rPr>
          <w:u w:val="none"/>
        </w:rPr>
      </w:pPr>
    </w:p>
    <w:p w14:paraId="19551A65" w14:textId="6F34BE4E" w:rsidR="0022053D" w:rsidRPr="00964007" w:rsidRDefault="00964007" w:rsidP="00964007">
      <w:pPr>
        <w:spacing w:line="480" w:lineRule="auto"/>
        <w:ind w:left="709" w:hanging="709"/>
        <w:jc w:val="both"/>
        <w:rPr>
          <w:u w:val="none"/>
        </w:rPr>
      </w:pPr>
      <w:r w:rsidRPr="00CB7C07">
        <w:rPr>
          <w:u w:val="none"/>
        </w:rPr>
        <w:t>60.</w:t>
      </w:r>
      <w:r w:rsidRPr="00CB7C07">
        <w:rPr>
          <w:u w:val="none"/>
        </w:rPr>
        <w:tab/>
      </w:r>
      <w:r w:rsidR="006C356A" w:rsidRPr="00964007">
        <w:rPr>
          <w:u w:val="none"/>
        </w:rPr>
        <w:t>ABSA argues that, given that the Ministerial consent was only valid for a period of 5 years, the Trusts claim (such as it may be), prescribed on 4 September 2014. The Trust denies this and argues that</w:t>
      </w:r>
      <w:r w:rsidR="0022053D" w:rsidRPr="00964007">
        <w:rPr>
          <w:u w:val="none"/>
        </w:rPr>
        <w:t xml:space="preserve"> </w:t>
      </w:r>
      <w:r w:rsidR="008B4DE1" w:rsidRPr="00964007">
        <w:rPr>
          <w:u w:val="none"/>
        </w:rPr>
        <w:t xml:space="preserve">this is a dispute that is raised in the pending action and in respect of which </w:t>
      </w:r>
      <w:r w:rsidR="0022053D" w:rsidRPr="00964007">
        <w:rPr>
          <w:u w:val="none"/>
        </w:rPr>
        <w:t xml:space="preserve">oral evidence and expert evidence will be necessary. </w:t>
      </w:r>
      <w:r w:rsidR="008B4DE1" w:rsidRPr="00964007">
        <w:rPr>
          <w:u w:val="none"/>
        </w:rPr>
        <w:t>It states”</w:t>
      </w:r>
    </w:p>
    <w:p w14:paraId="2C4448C9" w14:textId="74350637" w:rsidR="008B4DE1" w:rsidRDefault="00F320C5" w:rsidP="008B4DE1">
      <w:pPr>
        <w:spacing w:line="480" w:lineRule="auto"/>
        <w:ind w:firstLine="709"/>
        <w:jc w:val="both"/>
        <w:rPr>
          <w:i/>
          <w:u w:val="none"/>
        </w:rPr>
      </w:pPr>
      <w:r>
        <w:rPr>
          <w:i/>
          <w:u w:val="none"/>
        </w:rPr>
        <w:t>“100.</w:t>
      </w:r>
      <w:r>
        <w:rPr>
          <w:i/>
          <w:u w:val="none"/>
        </w:rPr>
        <w:tab/>
      </w:r>
      <w:r w:rsidR="0022053D" w:rsidRPr="008B4DE1">
        <w:rPr>
          <w:i/>
          <w:u w:val="none"/>
        </w:rPr>
        <w:t xml:space="preserve">It must firstly be noted that the relief claimed by the Kok Trust is premised </w:t>
      </w:r>
    </w:p>
    <w:p w14:paraId="70E248D7" w14:textId="1F5573B2" w:rsidR="0022053D" w:rsidRPr="008B4DE1" w:rsidRDefault="0022053D" w:rsidP="008B4DE1">
      <w:pPr>
        <w:spacing w:line="480" w:lineRule="auto"/>
        <w:ind w:left="1429"/>
        <w:jc w:val="both"/>
        <w:rPr>
          <w:i/>
          <w:u w:val="none"/>
        </w:rPr>
      </w:pPr>
      <w:r w:rsidRPr="008B4DE1">
        <w:rPr>
          <w:i/>
          <w:u w:val="none"/>
        </w:rPr>
        <w:t>on the acceptance of the repudiation of the sale agreement and amendment agreement. Upon such acceptance the right to claim restitution arises, and such a right has a prescription period of 3 years in terms of the Prescription Act. The repudiation by the First Respondent was accepted by the Kok Trust on 5 August 2020, and the action was issued on 6 August 2020. In such circumstances it is respectfully submitted that no issue of prescription can arise.</w:t>
      </w:r>
    </w:p>
    <w:p w14:paraId="637CF4FE" w14:textId="1C5ACCD8" w:rsidR="008B4DE1" w:rsidRDefault="008B4DE1" w:rsidP="008B4DE1">
      <w:pPr>
        <w:spacing w:line="480" w:lineRule="auto"/>
        <w:ind w:left="709"/>
        <w:jc w:val="both"/>
        <w:rPr>
          <w:i/>
          <w:u w:val="none"/>
        </w:rPr>
      </w:pPr>
      <w:r>
        <w:rPr>
          <w:i/>
          <w:u w:val="none"/>
        </w:rPr>
        <w:t>101.</w:t>
      </w:r>
      <w:r w:rsidR="00F320C5">
        <w:rPr>
          <w:i/>
          <w:u w:val="none"/>
        </w:rPr>
        <w:tab/>
      </w:r>
      <w:r w:rsidR="0022053D" w:rsidRPr="008B4DE1">
        <w:rPr>
          <w:i/>
          <w:u w:val="none"/>
        </w:rPr>
        <w:t>The Respondents contends that as the Surveyor-General approved</w:t>
      </w:r>
      <w:r>
        <w:rPr>
          <w:i/>
          <w:u w:val="none"/>
        </w:rPr>
        <w:t xml:space="preserve"> t</w:t>
      </w:r>
      <w:r w:rsidR="0022053D" w:rsidRPr="008B4DE1">
        <w:rPr>
          <w:i/>
          <w:u w:val="none"/>
        </w:rPr>
        <w:t xml:space="preserve">he </w:t>
      </w:r>
    </w:p>
    <w:p w14:paraId="34114A21" w14:textId="23E0006C" w:rsidR="0022053D" w:rsidRPr="008B4DE1" w:rsidRDefault="0022053D" w:rsidP="00F320C5">
      <w:pPr>
        <w:spacing w:line="480" w:lineRule="auto"/>
        <w:ind w:left="1440"/>
        <w:jc w:val="both"/>
        <w:rPr>
          <w:i/>
          <w:u w:val="none"/>
        </w:rPr>
      </w:pPr>
      <w:r w:rsidRPr="008B4DE1">
        <w:rPr>
          <w:i/>
          <w:u w:val="none"/>
        </w:rPr>
        <w:t>subdivision diagram on 5 September 2011, any claim for transfer of the approximately 40 Hectares</w:t>
      </w:r>
      <w:r w:rsidR="00C70FD7" w:rsidRPr="008B4DE1">
        <w:rPr>
          <w:i/>
          <w:u w:val="none"/>
        </w:rPr>
        <w:t xml:space="preserve"> arose on such a date, and as such prescription was completed on 4 September 2014.</w:t>
      </w:r>
    </w:p>
    <w:p w14:paraId="1655AEBB" w14:textId="6B58EFFF" w:rsidR="00C70FD7" w:rsidRPr="00964007" w:rsidRDefault="00964007" w:rsidP="00964007">
      <w:pPr>
        <w:spacing w:line="480" w:lineRule="auto"/>
        <w:ind w:left="1418" w:hanging="709"/>
        <w:jc w:val="both"/>
        <w:rPr>
          <w:i/>
          <w:u w:val="none"/>
        </w:rPr>
      </w:pPr>
      <w:r w:rsidRPr="008B4DE1">
        <w:rPr>
          <w:i/>
          <w:u w:val="none"/>
        </w:rPr>
        <w:t>102.</w:t>
      </w:r>
      <w:r w:rsidRPr="008B4DE1">
        <w:rPr>
          <w:i/>
          <w:u w:val="none"/>
        </w:rPr>
        <w:tab/>
      </w:r>
      <w:r w:rsidR="000E5E4C" w:rsidRPr="00964007">
        <w:rPr>
          <w:i/>
          <w:u w:val="none"/>
        </w:rPr>
        <w:t>The Kok Trust contends that the right to claim transfer of the approximately 40 Hectares at the earliest possible date o</w:t>
      </w:r>
      <w:r w:rsidR="00BD724B" w:rsidRPr="00964007">
        <w:rPr>
          <w:i/>
          <w:u w:val="none"/>
        </w:rPr>
        <w:t>nly v</w:t>
      </w:r>
      <w:r w:rsidR="000E5E4C" w:rsidRPr="00964007">
        <w:rPr>
          <w:i/>
          <w:u w:val="none"/>
        </w:rPr>
        <w:t>ested on 6 December 2018 when the Mogale City granted its consent to the subdivision. The date advanced by Kok Trust is confirmed by the expert evidence of Mr Schalk Botes, a qualified Town Planner.</w:t>
      </w:r>
    </w:p>
    <w:p w14:paraId="701CEE22" w14:textId="179D239B" w:rsidR="000E5E4C" w:rsidRPr="00964007" w:rsidRDefault="00964007" w:rsidP="00964007">
      <w:pPr>
        <w:spacing w:line="480" w:lineRule="auto"/>
        <w:ind w:left="1418" w:hanging="709"/>
        <w:jc w:val="both"/>
        <w:rPr>
          <w:i/>
          <w:u w:val="none"/>
        </w:rPr>
      </w:pPr>
      <w:r w:rsidRPr="008B4DE1">
        <w:rPr>
          <w:i/>
          <w:u w:val="none"/>
        </w:rPr>
        <w:t>103.</w:t>
      </w:r>
      <w:r w:rsidRPr="008B4DE1">
        <w:rPr>
          <w:i/>
          <w:u w:val="none"/>
        </w:rPr>
        <w:tab/>
      </w:r>
      <w:r w:rsidR="000E5E4C" w:rsidRPr="00964007">
        <w:rPr>
          <w:i/>
          <w:u w:val="none"/>
        </w:rPr>
        <w:t xml:space="preserve"> It is respectfully submitted that the question of prescription could only arise once transfer of the approximately 40 Hectares became possible.</w:t>
      </w:r>
    </w:p>
    <w:p w14:paraId="20E88304" w14:textId="463685D3" w:rsidR="000E5E4C" w:rsidRPr="00964007" w:rsidRDefault="00964007" w:rsidP="00964007">
      <w:pPr>
        <w:spacing w:line="480" w:lineRule="auto"/>
        <w:ind w:left="1418" w:hanging="709"/>
        <w:jc w:val="both"/>
        <w:rPr>
          <w:i/>
          <w:u w:val="none"/>
        </w:rPr>
      </w:pPr>
      <w:r w:rsidRPr="000E5E4C">
        <w:rPr>
          <w:i/>
          <w:u w:val="none"/>
        </w:rPr>
        <w:t>104.</w:t>
      </w:r>
      <w:r w:rsidRPr="000E5E4C">
        <w:rPr>
          <w:i/>
          <w:u w:val="none"/>
        </w:rPr>
        <w:tab/>
      </w:r>
      <w:r w:rsidR="000E5E4C" w:rsidRPr="00964007">
        <w:rPr>
          <w:i/>
          <w:u w:val="none"/>
        </w:rPr>
        <w:t>The Third Responden</w:t>
      </w:r>
      <w:r w:rsidR="00B3661D" w:rsidRPr="00964007">
        <w:rPr>
          <w:i/>
          <w:u w:val="none"/>
        </w:rPr>
        <w:t>t</w:t>
      </w:r>
      <w:r w:rsidR="000E5E4C" w:rsidRPr="00964007">
        <w:rPr>
          <w:i/>
          <w:u w:val="none"/>
        </w:rPr>
        <w:t xml:space="preserve"> also relies in its prescription defense thereon that the sale agreement and </w:t>
      </w:r>
      <w:r w:rsidR="00B3661D" w:rsidRPr="00964007">
        <w:rPr>
          <w:i/>
          <w:u w:val="none"/>
        </w:rPr>
        <w:t>a</w:t>
      </w:r>
      <w:r w:rsidR="000E5E4C" w:rsidRPr="00964007">
        <w:rPr>
          <w:i/>
          <w:u w:val="none"/>
        </w:rPr>
        <w:t>mendment is void, and that any claim by the Kok Trust for transfer of the imm</w:t>
      </w:r>
      <w:r w:rsidR="00BD724B" w:rsidRPr="00964007">
        <w:rPr>
          <w:i/>
          <w:u w:val="none"/>
        </w:rPr>
        <w:t>ovable property wou</w:t>
      </w:r>
      <w:r w:rsidR="000E5E4C" w:rsidRPr="00964007">
        <w:rPr>
          <w:i/>
          <w:u w:val="none"/>
        </w:rPr>
        <w:t xml:space="preserve">ld have prescribed three years after the conclusion of the agreement. This contention, with respect, was </w:t>
      </w:r>
      <w:r w:rsidR="00BD724B" w:rsidRPr="00964007">
        <w:rPr>
          <w:i/>
          <w:u w:val="none"/>
        </w:rPr>
        <w:t>rejected</w:t>
      </w:r>
      <w:r w:rsidR="000E5E4C" w:rsidRPr="00964007">
        <w:rPr>
          <w:i/>
          <w:u w:val="none"/>
        </w:rPr>
        <w:t xml:space="preserve"> in Nuance. In the Nuance-matter, dealing with the sale of land where ministerial consent was required but not obtained in terms of the SALA and where it was alleged </w:t>
      </w:r>
      <w:r w:rsidR="00B3661D" w:rsidRPr="00964007">
        <w:rPr>
          <w:i/>
          <w:u w:val="none"/>
        </w:rPr>
        <w:t xml:space="preserve">that the land description fell </w:t>
      </w:r>
      <w:r w:rsidR="000E5E4C" w:rsidRPr="00964007">
        <w:rPr>
          <w:i/>
          <w:u w:val="none"/>
        </w:rPr>
        <w:t>foul of section (1) of the ALA, the Court found that the period of prescription could only begin to run once the aspect of voidness was raised in circumstances where all the parties were under the impression that the agreements were valid.</w:t>
      </w:r>
    </w:p>
    <w:p w14:paraId="437F1F0A" w14:textId="0575159C" w:rsidR="000E5E4C" w:rsidRPr="00964007" w:rsidRDefault="00964007" w:rsidP="00964007">
      <w:pPr>
        <w:spacing w:line="480" w:lineRule="auto"/>
        <w:ind w:left="1418" w:hanging="708"/>
        <w:jc w:val="both"/>
        <w:rPr>
          <w:i/>
          <w:u w:val="none"/>
        </w:rPr>
      </w:pPr>
      <w:r w:rsidRPr="008B4DE1">
        <w:rPr>
          <w:i/>
          <w:u w:val="none"/>
        </w:rPr>
        <w:t>105.</w:t>
      </w:r>
      <w:r w:rsidRPr="008B4DE1">
        <w:rPr>
          <w:i/>
          <w:u w:val="none"/>
        </w:rPr>
        <w:tab/>
      </w:r>
      <w:r w:rsidR="000E5E4C" w:rsidRPr="00964007">
        <w:rPr>
          <w:i/>
          <w:u w:val="none"/>
        </w:rPr>
        <w:t>In this current matter the alleged voidness of the sale agreement and the amendment agreement was, in the best possible scenario for the Respondents, at the earliest raised on 8 May 2018 when the Third Respondent denied that there existed any valid reason for the transfer of the approximately 40 Hectares to the Kok Trust without any reference to the ALA or SALA. Summons was issued on 6 August 2020, well within the three-year period of prescription.”</w:t>
      </w:r>
    </w:p>
    <w:p w14:paraId="7ED69400" w14:textId="77777777" w:rsidR="00C06928" w:rsidRPr="000E5E4C" w:rsidRDefault="00C06928" w:rsidP="00333E3C">
      <w:pPr>
        <w:pStyle w:val="ListParagraph"/>
        <w:spacing w:line="480" w:lineRule="auto"/>
        <w:ind w:left="1177"/>
        <w:jc w:val="both"/>
        <w:rPr>
          <w:i/>
          <w:u w:val="none"/>
        </w:rPr>
      </w:pPr>
    </w:p>
    <w:p w14:paraId="08F8CE3F" w14:textId="169A879A" w:rsidR="00C06928" w:rsidRPr="00964007" w:rsidRDefault="00964007" w:rsidP="00964007">
      <w:pPr>
        <w:spacing w:line="480" w:lineRule="auto"/>
        <w:ind w:left="709" w:hanging="709"/>
        <w:jc w:val="both"/>
        <w:rPr>
          <w:u w:val="none"/>
        </w:rPr>
      </w:pPr>
      <w:r>
        <w:rPr>
          <w:u w:val="none"/>
        </w:rPr>
        <w:t>61.</w:t>
      </w:r>
      <w:r>
        <w:rPr>
          <w:u w:val="none"/>
        </w:rPr>
        <w:tab/>
      </w:r>
      <w:r w:rsidR="00C06928" w:rsidRPr="00964007">
        <w:rPr>
          <w:u w:val="none"/>
        </w:rPr>
        <w:t>In any event, Ministerial consent for the subdivision was obtained on 24 August 2010. Whilst it is indeed so that this was valid for 5 years, the Trust states that it sought an extension of that period. Furthermore, the various steps taken to subdivide the property were the following:</w:t>
      </w:r>
    </w:p>
    <w:p w14:paraId="4C0CFF4F" w14:textId="290EBA56" w:rsidR="00C06928" w:rsidRDefault="00CB7C07" w:rsidP="00333E3C">
      <w:pPr>
        <w:pStyle w:val="ListParagraph"/>
        <w:spacing w:line="480" w:lineRule="auto"/>
        <w:ind w:left="1440" w:hanging="731"/>
        <w:jc w:val="both"/>
        <w:rPr>
          <w:u w:val="none"/>
        </w:rPr>
      </w:pPr>
      <w:r>
        <w:rPr>
          <w:u w:val="none"/>
        </w:rPr>
        <w:t>6</w:t>
      </w:r>
      <w:r w:rsidR="00295F50">
        <w:rPr>
          <w:u w:val="none"/>
        </w:rPr>
        <w:t>1</w:t>
      </w:r>
      <w:r w:rsidR="008B4DE1">
        <w:rPr>
          <w:u w:val="none"/>
        </w:rPr>
        <w:t>.1</w:t>
      </w:r>
      <w:r w:rsidR="008B4DE1">
        <w:rPr>
          <w:u w:val="none"/>
        </w:rPr>
        <w:tab/>
        <w:t>the section 4(2) the SLA</w:t>
      </w:r>
      <w:r w:rsidR="00C06928">
        <w:rPr>
          <w:u w:val="none"/>
        </w:rPr>
        <w:t xml:space="preserve"> consent (no 45448) from the then Minister of Agriculture, Forestry and Fisheries was obtained on 24 August 2010;</w:t>
      </w:r>
    </w:p>
    <w:p w14:paraId="29AB4AEC" w14:textId="319DF89A" w:rsidR="00C06928" w:rsidRDefault="00CB7C07" w:rsidP="00333E3C">
      <w:pPr>
        <w:pStyle w:val="ListParagraph"/>
        <w:spacing w:line="480" w:lineRule="auto"/>
        <w:ind w:left="709"/>
        <w:jc w:val="both"/>
        <w:rPr>
          <w:u w:val="none"/>
        </w:rPr>
      </w:pPr>
      <w:r>
        <w:rPr>
          <w:u w:val="none"/>
        </w:rPr>
        <w:t>6</w:t>
      </w:r>
      <w:r w:rsidR="00295F50">
        <w:rPr>
          <w:u w:val="none"/>
        </w:rPr>
        <w:t>1</w:t>
      </w:r>
      <w:r w:rsidR="00C06928">
        <w:rPr>
          <w:u w:val="none"/>
        </w:rPr>
        <w:t>.2</w:t>
      </w:r>
      <w:r w:rsidR="00C06928">
        <w:rPr>
          <w:u w:val="none"/>
        </w:rPr>
        <w:tab/>
        <w:t>the Surveyor-General approved the subdivision on 5 September 2011;</w:t>
      </w:r>
    </w:p>
    <w:p w14:paraId="2B6615AE" w14:textId="6B2E559D" w:rsidR="00C06928" w:rsidRDefault="00CB7C07" w:rsidP="00333E3C">
      <w:pPr>
        <w:pStyle w:val="ListParagraph"/>
        <w:spacing w:line="480" w:lineRule="auto"/>
        <w:ind w:left="709"/>
        <w:jc w:val="both"/>
        <w:rPr>
          <w:u w:val="none"/>
        </w:rPr>
      </w:pPr>
      <w:r>
        <w:rPr>
          <w:u w:val="none"/>
        </w:rPr>
        <w:t>6</w:t>
      </w:r>
      <w:r w:rsidR="00295F50">
        <w:rPr>
          <w:u w:val="none"/>
        </w:rPr>
        <w:t>1</w:t>
      </w:r>
      <w:r w:rsidR="00C06928">
        <w:rPr>
          <w:u w:val="none"/>
        </w:rPr>
        <w:t>.3</w:t>
      </w:r>
      <w:r w:rsidR="00C06928">
        <w:rPr>
          <w:u w:val="none"/>
        </w:rPr>
        <w:tab/>
        <w:t>the Mogale City consent was received on 6 December 2018.</w:t>
      </w:r>
    </w:p>
    <w:p w14:paraId="065A74CE" w14:textId="77777777" w:rsidR="00C06928" w:rsidRDefault="00C06928" w:rsidP="00333E3C">
      <w:pPr>
        <w:pStyle w:val="ListParagraph"/>
        <w:spacing w:line="480" w:lineRule="auto"/>
        <w:ind w:left="709"/>
        <w:jc w:val="both"/>
        <w:rPr>
          <w:u w:val="none"/>
        </w:rPr>
      </w:pPr>
    </w:p>
    <w:p w14:paraId="443A4880" w14:textId="6815063B" w:rsidR="00CB7C07" w:rsidRPr="00964007" w:rsidRDefault="00964007" w:rsidP="00964007">
      <w:pPr>
        <w:spacing w:line="480" w:lineRule="auto"/>
        <w:ind w:left="709" w:hanging="709"/>
        <w:jc w:val="both"/>
        <w:rPr>
          <w:u w:val="none"/>
        </w:rPr>
      </w:pPr>
      <w:r>
        <w:rPr>
          <w:u w:val="none"/>
        </w:rPr>
        <w:t>62.</w:t>
      </w:r>
      <w:r>
        <w:rPr>
          <w:u w:val="none"/>
        </w:rPr>
        <w:tab/>
      </w:r>
      <w:r w:rsidR="00C06928" w:rsidRPr="00964007">
        <w:rPr>
          <w:u w:val="none"/>
        </w:rPr>
        <w:t xml:space="preserve">Whilst the respondents state that the prescription set in on 4 September 2014, the Trust argues that at best, the period of prescription only </w:t>
      </w:r>
      <w:r w:rsidR="008B4DE1" w:rsidRPr="00964007">
        <w:rPr>
          <w:u w:val="none"/>
        </w:rPr>
        <w:t>commenced</w:t>
      </w:r>
      <w:r w:rsidR="00C06928" w:rsidRPr="00964007">
        <w:rPr>
          <w:u w:val="none"/>
        </w:rPr>
        <w:t xml:space="preserve"> once Mogale City provided their consent on 6 December 2018 and that the summons interrupted prescription as the papers were served on all parties by 26 August 2020.</w:t>
      </w:r>
    </w:p>
    <w:p w14:paraId="2137EBD1" w14:textId="77777777" w:rsidR="00CB7C07" w:rsidRDefault="00CB7C07" w:rsidP="00CB7C07">
      <w:pPr>
        <w:pStyle w:val="ListParagraph"/>
        <w:spacing w:line="480" w:lineRule="auto"/>
        <w:ind w:left="709"/>
        <w:jc w:val="both"/>
        <w:rPr>
          <w:u w:val="none"/>
        </w:rPr>
      </w:pPr>
    </w:p>
    <w:p w14:paraId="49F08B46" w14:textId="30295E39" w:rsidR="008B4DE1" w:rsidRPr="00964007" w:rsidRDefault="00964007" w:rsidP="00964007">
      <w:pPr>
        <w:spacing w:line="360" w:lineRule="auto"/>
        <w:ind w:left="709" w:hanging="709"/>
        <w:jc w:val="both"/>
        <w:rPr>
          <w:u w:val="none"/>
        </w:rPr>
      </w:pPr>
      <w:r w:rsidRPr="00CB7C07">
        <w:rPr>
          <w:u w:val="none"/>
        </w:rPr>
        <w:t>63.</w:t>
      </w:r>
      <w:r w:rsidRPr="00CB7C07">
        <w:rPr>
          <w:u w:val="none"/>
        </w:rPr>
        <w:tab/>
      </w:r>
      <w:r w:rsidR="00CB7C07" w:rsidRPr="00964007">
        <w:rPr>
          <w:u w:val="none"/>
        </w:rPr>
        <w:t>“</w:t>
      </w:r>
      <w:r w:rsidR="008B4DE1" w:rsidRPr="00964007">
        <w:rPr>
          <w:i/>
          <w:u w:val="none"/>
        </w:rPr>
        <w:t>[19]</w:t>
      </w:r>
      <w:r w:rsidR="008B4DE1" w:rsidRPr="00964007">
        <w:rPr>
          <w:i/>
          <w:u w:val="none"/>
        </w:rPr>
        <w:tab/>
        <w:t xml:space="preserve">The next question is whether Nuance could, by the exercise of reasonable care, have known that the ministerial consent had not been obtained before the agreements were signed. Reasonable care for the purposes of s 12(3) of the Prescription Act is not measured by the objective standard of the hypothetical reasonable or prudent person but by the more subjective standard of a reasonable person with the creditor’s characteristics. (See M M Loubser Extinctive Prescription (1996) at 105-106.) Mr Sandler confirmed that all the parties believed that the agreement was binding at the time it was signed. There was no evidence that subsequent to this, there was anything or any incident that should have warned Nuance that ministerial consent for the sale had not been obtained. It is to my mind inconceivable that Nuance, and its team of experts, would proceed and focus on the future implementation of a development for which they had expended R60 million with knowledge or deemed knowledge that it may not have been above board. The queries sent by Nuance and Plan Practice to the Department, concerning the subdivision of the land suggest to me that they were careful and wished to ensure that the project was above board. </w:t>
      </w:r>
    </w:p>
    <w:p w14:paraId="2C1BDB24" w14:textId="77777777" w:rsidR="008B4DE1" w:rsidRPr="008B4DE1" w:rsidRDefault="008B4DE1" w:rsidP="00CB7C07">
      <w:pPr>
        <w:pStyle w:val="ListParagraph"/>
        <w:spacing w:line="360" w:lineRule="auto"/>
        <w:ind w:left="0"/>
        <w:jc w:val="both"/>
        <w:rPr>
          <w:i/>
          <w:u w:val="none"/>
        </w:rPr>
      </w:pPr>
    </w:p>
    <w:p w14:paraId="43B2BE55" w14:textId="19E787BD" w:rsidR="008B4DE1" w:rsidRPr="008B4DE1" w:rsidRDefault="008B4DE1" w:rsidP="00CB7C07">
      <w:pPr>
        <w:spacing w:line="360" w:lineRule="auto"/>
        <w:ind w:left="709"/>
        <w:jc w:val="both"/>
        <w:rPr>
          <w:i/>
          <w:u w:val="none"/>
        </w:rPr>
      </w:pPr>
      <w:r w:rsidRPr="008B4DE1">
        <w:rPr>
          <w:i/>
          <w:u w:val="none"/>
        </w:rPr>
        <w:t>[20]</w:t>
      </w:r>
      <w:r w:rsidRPr="008B4DE1">
        <w:rPr>
          <w:i/>
          <w:u w:val="none"/>
        </w:rPr>
        <w:tab/>
        <w:t>It must thus be concluded that there was also no deemed knowledge on their part. Consequently the only probable conclusion is that the first time that the lack of the ministerial consent came to their knowledge was around 23 June 2009, when their attorney conveyed this to Maghilda and San</w:t>
      </w:r>
      <w:r w:rsidR="00CB7C07">
        <w:rPr>
          <w:i/>
          <w:u w:val="none"/>
        </w:rPr>
        <w:t>jont’s attorneys.</w:t>
      </w:r>
      <w:r w:rsidRPr="008B4DE1">
        <w:rPr>
          <w:i/>
          <w:u w:val="none"/>
        </w:rPr>
        <w:t>“</w:t>
      </w:r>
      <w:r>
        <w:rPr>
          <w:rStyle w:val="FootnoteReference"/>
          <w:i/>
          <w:u w:val="none"/>
        </w:rPr>
        <w:footnoteReference w:id="28"/>
      </w:r>
    </w:p>
    <w:p w14:paraId="55CFF63A" w14:textId="77777777" w:rsidR="008B4DE1" w:rsidRDefault="008B4DE1" w:rsidP="008B4DE1">
      <w:pPr>
        <w:pStyle w:val="ListParagraph"/>
        <w:spacing w:line="480" w:lineRule="auto"/>
        <w:ind w:left="709"/>
        <w:jc w:val="both"/>
        <w:rPr>
          <w:u w:val="none"/>
        </w:rPr>
      </w:pPr>
    </w:p>
    <w:p w14:paraId="0E2D9586" w14:textId="4CA759FF" w:rsidR="00C06928" w:rsidRPr="00964007" w:rsidRDefault="00964007" w:rsidP="00964007">
      <w:pPr>
        <w:spacing w:line="480" w:lineRule="auto"/>
        <w:ind w:left="709" w:hanging="709"/>
        <w:jc w:val="both"/>
        <w:rPr>
          <w:u w:val="none"/>
        </w:rPr>
      </w:pPr>
      <w:r>
        <w:rPr>
          <w:u w:val="none"/>
        </w:rPr>
        <w:t>64.</w:t>
      </w:r>
      <w:r>
        <w:rPr>
          <w:u w:val="none"/>
        </w:rPr>
        <w:tab/>
      </w:r>
      <w:r w:rsidR="00C06928" w:rsidRPr="00964007">
        <w:rPr>
          <w:u w:val="none"/>
        </w:rPr>
        <w:t>In my view, the issue of prescription requires evidence not the least of which would involve whether Van Brakel applied for and received the extension as alleged in paragraph 11.3 of the Replying Affidavit to the 3</w:t>
      </w:r>
      <w:r w:rsidR="00C06928" w:rsidRPr="00964007">
        <w:rPr>
          <w:u w:val="none"/>
          <w:vertAlign w:val="superscript"/>
        </w:rPr>
        <w:t>rd</w:t>
      </w:r>
      <w:r w:rsidR="00C06928" w:rsidRPr="00964007">
        <w:rPr>
          <w:u w:val="none"/>
        </w:rPr>
        <w:t xml:space="preserve"> respondent</w:t>
      </w:r>
      <w:r w:rsidR="008B4DE1" w:rsidRPr="00964007">
        <w:rPr>
          <w:u w:val="none"/>
        </w:rPr>
        <w:t>’s</w:t>
      </w:r>
      <w:r w:rsidR="00C06928" w:rsidRPr="00964007">
        <w:rPr>
          <w:u w:val="none"/>
        </w:rPr>
        <w:t xml:space="preserve"> answering affidavit</w:t>
      </w:r>
      <w:r w:rsidR="00C06928">
        <w:rPr>
          <w:rStyle w:val="FootnoteReference"/>
          <w:u w:val="none"/>
        </w:rPr>
        <w:footnoteReference w:id="29"/>
      </w:r>
      <w:r w:rsidR="00EA51AC" w:rsidRPr="00964007">
        <w:rPr>
          <w:u w:val="none"/>
        </w:rPr>
        <w:t>.</w:t>
      </w:r>
      <w:r w:rsidR="008B4DE1" w:rsidRPr="00964007">
        <w:rPr>
          <w:u w:val="none"/>
        </w:rPr>
        <w:t xml:space="preserve"> The affidavit of Schalk Botes</w:t>
      </w:r>
      <w:r w:rsidR="008B4DE1">
        <w:rPr>
          <w:rStyle w:val="FootnoteReference"/>
          <w:u w:val="none"/>
        </w:rPr>
        <w:footnoteReference w:id="30"/>
      </w:r>
      <w:r w:rsidR="00D271DA" w:rsidRPr="00964007">
        <w:rPr>
          <w:u w:val="none"/>
        </w:rPr>
        <w:t xml:space="preserve"> also speaks to this issue as he sets out the requirements for the sub-division of the property and the methodology employed for this. In his opinion, the methodology employed by the Trust was correct and the consent of Mogale City was the one final requirement to enable the finalisation of the sub-division and transfer of the sub-divided properties.</w:t>
      </w:r>
    </w:p>
    <w:p w14:paraId="1A1E08E3" w14:textId="77777777" w:rsidR="00D271DA" w:rsidRDefault="00D271DA" w:rsidP="00D271DA">
      <w:pPr>
        <w:pStyle w:val="ListParagraph"/>
        <w:spacing w:line="480" w:lineRule="auto"/>
        <w:ind w:left="709"/>
        <w:jc w:val="both"/>
        <w:rPr>
          <w:u w:val="none"/>
        </w:rPr>
      </w:pPr>
    </w:p>
    <w:p w14:paraId="4E09E455" w14:textId="48E36B42" w:rsidR="00D271DA" w:rsidRPr="00964007" w:rsidRDefault="00964007" w:rsidP="00964007">
      <w:pPr>
        <w:spacing w:line="480" w:lineRule="auto"/>
        <w:ind w:left="709" w:hanging="709"/>
        <w:jc w:val="both"/>
        <w:rPr>
          <w:u w:val="none"/>
        </w:rPr>
      </w:pPr>
      <w:r>
        <w:rPr>
          <w:u w:val="none"/>
        </w:rPr>
        <w:t>65.</w:t>
      </w:r>
      <w:r>
        <w:rPr>
          <w:u w:val="none"/>
        </w:rPr>
        <w:tab/>
      </w:r>
      <w:r w:rsidR="00D271DA" w:rsidRPr="00964007">
        <w:rPr>
          <w:u w:val="none"/>
        </w:rPr>
        <w:t>All of the</w:t>
      </w:r>
      <w:r w:rsidR="00CB7C07" w:rsidRPr="00964007">
        <w:rPr>
          <w:u w:val="none"/>
        </w:rPr>
        <w:t>se</w:t>
      </w:r>
      <w:r w:rsidR="00D271DA" w:rsidRPr="00964007">
        <w:rPr>
          <w:u w:val="none"/>
        </w:rPr>
        <w:t xml:space="preserve"> issues are tied to the question of when the Trust knew or could by the exercise of reasonable care have acquired knowledge of the facts of the alleged invalidity of the sale agreement.</w:t>
      </w:r>
      <w:r w:rsidR="00D271DA">
        <w:rPr>
          <w:rStyle w:val="FootnoteReference"/>
          <w:u w:val="none"/>
        </w:rPr>
        <w:footnoteReference w:id="31"/>
      </w:r>
      <w:r w:rsidR="00420966" w:rsidRPr="00964007">
        <w:rPr>
          <w:u w:val="none"/>
        </w:rPr>
        <w:t xml:space="preserve"> </w:t>
      </w:r>
      <w:r w:rsidR="00E208A7" w:rsidRPr="00964007">
        <w:rPr>
          <w:u w:val="none"/>
        </w:rPr>
        <w:t xml:space="preserve">Importantly, in </w:t>
      </w:r>
      <w:r w:rsidR="00E208A7" w:rsidRPr="00964007">
        <w:rPr>
          <w:b/>
          <w:u w:val="none"/>
        </w:rPr>
        <w:t>Nuance</w:t>
      </w:r>
      <w:r w:rsidR="00E208A7" w:rsidRPr="00964007">
        <w:rPr>
          <w:u w:val="none"/>
        </w:rPr>
        <w:t>, all these issues were properly ventilated by way of action proceedings and evidence – something which I am of the view is vital in obtaining a true and unvarnished picture.</w:t>
      </w:r>
    </w:p>
    <w:p w14:paraId="05CDFEF7" w14:textId="77777777" w:rsidR="00EA51AC" w:rsidRPr="00EA51AC" w:rsidRDefault="00EA51AC" w:rsidP="00333E3C">
      <w:pPr>
        <w:spacing w:line="480" w:lineRule="auto"/>
        <w:jc w:val="both"/>
        <w:rPr>
          <w:u w:val="none"/>
        </w:rPr>
      </w:pPr>
    </w:p>
    <w:p w14:paraId="4ABAEF92" w14:textId="5558353D" w:rsidR="00C06928" w:rsidRPr="00964007" w:rsidRDefault="00964007" w:rsidP="00964007">
      <w:pPr>
        <w:spacing w:line="480" w:lineRule="auto"/>
        <w:ind w:left="709" w:hanging="709"/>
        <w:jc w:val="both"/>
        <w:rPr>
          <w:u w:val="none"/>
        </w:rPr>
      </w:pPr>
      <w:r>
        <w:rPr>
          <w:u w:val="none"/>
        </w:rPr>
        <w:t>66.</w:t>
      </w:r>
      <w:r>
        <w:rPr>
          <w:u w:val="none"/>
        </w:rPr>
        <w:tab/>
      </w:r>
      <w:r w:rsidR="00EA51AC" w:rsidRPr="00964007">
        <w:rPr>
          <w:u w:val="none"/>
        </w:rPr>
        <w:t xml:space="preserve">Given this, </w:t>
      </w:r>
      <w:r w:rsidR="00E208A7" w:rsidRPr="00964007">
        <w:rPr>
          <w:u w:val="none"/>
        </w:rPr>
        <w:t xml:space="preserve">on these papers, </w:t>
      </w:r>
      <w:r w:rsidR="00EA51AC" w:rsidRPr="00964007">
        <w:rPr>
          <w:u w:val="none"/>
        </w:rPr>
        <w:t>I cannot</w:t>
      </w:r>
      <w:r w:rsidR="007E6CD6" w:rsidRPr="00964007">
        <w:rPr>
          <w:u w:val="none"/>
        </w:rPr>
        <w:t>, on these papers,</w:t>
      </w:r>
      <w:r w:rsidR="00EA51AC" w:rsidRPr="00964007">
        <w:rPr>
          <w:u w:val="none"/>
        </w:rPr>
        <w:t xml:space="preserve"> find that the Trust’s claim has prescribed.</w:t>
      </w:r>
    </w:p>
    <w:p w14:paraId="00858378" w14:textId="77777777" w:rsidR="00EA51AC" w:rsidRPr="00EA51AC" w:rsidRDefault="00EA51AC" w:rsidP="00D271DA">
      <w:pPr>
        <w:spacing w:line="480" w:lineRule="auto"/>
        <w:jc w:val="both"/>
        <w:rPr>
          <w:u w:val="none"/>
        </w:rPr>
      </w:pPr>
    </w:p>
    <w:p w14:paraId="1D113464" w14:textId="23F707D8" w:rsidR="00C06928" w:rsidRPr="00964007" w:rsidRDefault="00964007" w:rsidP="00964007">
      <w:pPr>
        <w:spacing w:line="480" w:lineRule="auto"/>
        <w:ind w:left="709" w:hanging="709"/>
        <w:jc w:val="both"/>
        <w:rPr>
          <w:u w:val="none"/>
        </w:rPr>
      </w:pPr>
      <w:r>
        <w:rPr>
          <w:u w:val="none"/>
        </w:rPr>
        <w:t>67.</w:t>
      </w:r>
      <w:r>
        <w:rPr>
          <w:u w:val="none"/>
        </w:rPr>
        <w:tab/>
      </w:r>
      <w:r w:rsidR="00EA51AC" w:rsidRPr="00964007">
        <w:rPr>
          <w:u w:val="none"/>
        </w:rPr>
        <w:t>I am therefore of the view that t</w:t>
      </w:r>
      <w:r w:rsidR="00DE5BC5" w:rsidRPr="00964007">
        <w:rPr>
          <w:u w:val="none"/>
        </w:rPr>
        <w:t xml:space="preserve">he Trust has demonstrated a </w:t>
      </w:r>
      <w:r w:rsidR="00DE5BC5" w:rsidRPr="00964007">
        <w:rPr>
          <w:i/>
          <w:u w:val="none"/>
        </w:rPr>
        <w:t>prima facie</w:t>
      </w:r>
      <w:r w:rsidR="00DE5BC5" w:rsidRPr="00964007">
        <w:rPr>
          <w:u w:val="none"/>
        </w:rPr>
        <w:t xml:space="preserve"> </w:t>
      </w:r>
      <w:r w:rsidR="00EA51AC" w:rsidRPr="00964007">
        <w:rPr>
          <w:u w:val="none"/>
        </w:rPr>
        <w:t>case even if open to some doubt.</w:t>
      </w:r>
    </w:p>
    <w:p w14:paraId="381390BC" w14:textId="77777777" w:rsidR="00EA51AC" w:rsidRPr="00EA51AC" w:rsidRDefault="00EA51AC" w:rsidP="00333E3C">
      <w:pPr>
        <w:pStyle w:val="ListParagraph"/>
        <w:jc w:val="both"/>
        <w:rPr>
          <w:u w:val="none"/>
        </w:rPr>
      </w:pPr>
    </w:p>
    <w:p w14:paraId="61A4484F" w14:textId="77777777" w:rsidR="00EA51AC" w:rsidRDefault="00EA51AC" w:rsidP="00333E3C">
      <w:pPr>
        <w:jc w:val="both"/>
        <w:rPr>
          <w:u w:val="none"/>
        </w:rPr>
      </w:pPr>
    </w:p>
    <w:p w14:paraId="7676F648" w14:textId="77777777" w:rsidR="00BC09D2" w:rsidRPr="00D45E8E" w:rsidRDefault="00BC09D2" w:rsidP="00333E3C">
      <w:pPr>
        <w:spacing w:line="480" w:lineRule="auto"/>
        <w:jc w:val="both"/>
        <w:rPr>
          <w:b/>
        </w:rPr>
      </w:pPr>
      <w:r w:rsidRPr="00D45E8E">
        <w:rPr>
          <w:b/>
        </w:rPr>
        <w:t>ESTOPPEL</w:t>
      </w:r>
    </w:p>
    <w:p w14:paraId="0EC486AB" w14:textId="61B26517" w:rsidR="00C06928" w:rsidRPr="00964007" w:rsidRDefault="00964007" w:rsidP="00964007">
      <w:pPr>
        <w:spacing w:line="480" w:lineRule="auto"/>
        <w:ind w:left="709" w:hanging="709"/>
        <w:jc w:val="both"/>
        <w:rPr>
          <w:u w:val="none"/>
        </w:rPr>
      </w:pPr>
      <w:r w:rsidRPr="00E208A7">
        <w:rPr>
          <w:u w:val="none"/>
        </w:rPr>
        <w:t>68.</w:t>
      </w:r>
      <w:r w:rsidRPr="00E208A7">
        <w:rPr>
          <w:u w:val="none"/>
        </w:rPr>
        <w:tab/>
      </w:r>
      <w:r w:rsidR="00BC09D2" w:rsidRPr="00964007">
        <w:rPr>
          <w:u w:val="none"/>
        </w:rPr>
        <w:t xml:space="preserve">To the knowledge of the Trust, the deeds registry reflected Wraypex as unconditional owner of the property since it took transfer of ownership in November 2008. The Trust now contends that it has, nonetheless, retained some right in the property which trumps the real right of </w:t>
      </w:r>
      <w:r w:rsidR="00E208A7" w:rsidRPr="00964007">
        <w:rPr>
          <w:u w:val="none"/>
        </w:rPr>
        <w:t>ABSA</w:t>
      </w:r>
      <w:r w:rsidR="00BC09D2" w:rsidRPr="00964007">
        <w:rPr>
          <w:u w:val="none"/>
        </w:rPr>
        <w:t xml:space="preserve">, who took a mortgage bond over the property. </w:t>
      </w:r>
      <w:r w:rsidR="00E208A7" w:rsidRPr="00964007">
        <w:rPr>
          <w:u w:val="none"/>
        </w:rPr>
        <w:t>ABSA</w:t>
      </w:r>
      <w:r w:rsidR="00BC09D2" w:rsidRPr="00964007">
        <w:rPr>
          <w:u w:val="none"/>
        </w:rPr>
        <w:t xml:space="preserve"> says it did so on the strength of the Trust’s representation to the public at large, through the records in the deeds office, that it had no such right.</w:t>
      </w:r>
      <w:r w:rsidR="00E208A7" w:rsidRPr="00964007">
        <w:rPr>
          <w:u w:val="none"/>
        </w:rPr>
        <w:t xml:space="preserve"> It argues that, b</w:t>
      </w:r>
      <w:r w:rsidR="00BC09D2" w:rsidRPr="00964007">
        <w:rPr>
          <w:u w:val="none"/>
        </w:rPr>
        <w:t xml:space="preserve">y knowingly leaving the Registrar of Deeds to reflect the incorrect position as to ownership, the Trust, by omission, represented to the world in general, and to </w:t>
      </w:r>
      <w:r w:rsidR="00E208A7" w:rsidRPr="00964007">
        <w:rPr>
          <w:u w:val="none"/>
        </w:rPr>
        <w:t>ABSA</w:t>
      </w:r>
      <w:r w:rsidR="00BC09D2" w:rsidRPr="00964007">
        <w:rPr>
          <w:u w:val="none"/>
        </w:rPr>
        <w:t xml:space="preserve"> in particular, that Wraypex ownership in the property was unconditional.</w:t>
      </w:r>
    </w:p>
    <w:p w14:paraId="246F04BF" w14:textId="77777777" w:rsidR="00BC09D2" w:rsidRPr="00BC09D2" w:rsidRDefault="00BC09D2" w:rsidP="00333E3C">
      <w:pPr>
        <w:spacing w:line="480" w:lineRule="auto"/>
        <w:jc w:val="both"/>
        <w:rPr>
          <w:u w:val="none"/>
        </w:rPr>
      </w:pPr>
    </w:p>
    <w:p w14:paraId="5215D6D2" w14:textId="7364C032" w:rsidR="00C06928" w:rsidRPr="00964007" w:rsidRDefault="00964007" w:rsidP="00964007">
      <w:pPr>
        <w:spacing w:line="480" w:lineRule="auto"/>
        <w:ind w:left="709" w:hanging="709"/>
        <w:jc w:val="both"/>
        <w:rPr>
          <w:u w:val="none"/>
        </w:rPr>
      </w:pPr>
      <w:r>
        <w:rPr>
          <w:u w:val="none"/>
        </w:rPr>
        <w:t>69.</w:t>
      </w:r>
      <w:r>
        <w:rPr>
          <w:u w:val="none"/>
        </w:rPr>
        <w:tab/>
      </w:r>
      <w:r w:rsidR="00CB7C07" w:rsidRPr="00964007">
        <w:rPr>
          <w:u w:val="none"/>
        </w:rPr>
        <w:t>Thus, says ABSA,</w:t>
      </w:r>
      <w:r w:rsidR="00BC09D2" w:rsidRPr="00964007">
        <w:rPr>
          <w:u w:val="none"/>
        </w:rPr>
        <w:t xml:space="preserve"> the Trust stands to be estopped from claiming to be entitled to either</w:t>
      </w:r>
      <w:r w:rsidR="00E208A7" w:rsidRPr="00964007">
        <w:rPr>
          <w:u w:val="none"/>
        </w:rPr>
        <w:t>:</w:t>
      </w:r>
    </w:p>
    <w:p w14:paraId="2ADF226A" w14:textId="5CF5E25F" w:rsidR="00BC09D2" w:rsidRDefault="00BC09D2" w:rsidP="00333E3C">
      <w:pPr>
        <w:spacing w:line="480" w:lineRule="auto"/>
        <w:ind w:left="709"/>
        <w:jc w:val="both"/>
        <w:rPr>
          <w:u w:val="none"/>
        </w:rPr>
      </w:pPr>
      <w:r>
        <w:rPr>
          <w:u w:val="none"/>
        </w:rPr>
        <w:t>6</w:t>
      </w:r>
      <w:r w:rsidR="001A522D">
        <w:rPr>
          <w:u w:val="none"/>
        </w:rPr>
        <w:t>9</w:t>
      </w:r>
      <w:r>
        <w:rPr>
          <w:u w:val="none"/>
        </w:rPr>
        <w:t>.1</w:t>
      </w:r>
      <w:r>
        <w:rPr>
          <w:u w:val="none"/>
        </w:rPr>
        <w:tab/>
        <w:t>claim transfer of a portion of the property; or</w:t>
      </w:r>
    </w:p>
    <w:p w14:paraId="4D37F41B" w14:textId="25D97DCE" w:rsidR="00EA10E5" w:rsidRDefault="00BC09D2" w:rsidP="00333E3C">
      <w:pPr>
        <w:spacing w:line="480" w:lineRule="auto"/>
        <w:ind w:left="1440" w:hanging="731"/>
        <w:jc w:val="both"/>
        <w:rPr>
          <w:u w:val="none"/>
        </w:rPr>
      </w:pPr>
      <w:r>
        <w:rPr>
          <w:u w:val="none"/>
        </w:rPr>
        <w:t>6</w:t>
      </w:r>
      <w:r w:rsidR="001A522D">
        <w:rPr>
          <w:u w:val="none"/>
        </w:rPr>
        <w:t>9</w:t>
      </w:r>
      <w:r>
        <w:rPr>
          <w:u w:val="none"/>
        </w:rPr>
        <w:t>.2</w:t>
      </w:r>
      <w:r>
        <w:rPr>
          <w:u w:val="none"/>
        </w:rPr>
        <w:tab/>
        <w:t>claim cancellation of the sale agreement on the basis of an alleged right to claim transfer of a portion of the property.</w:t>
      </w:r>
    </w:p>
    <w:p w14:paraId="769C811A" w14:textId="77777777" w:rsidR="00EA10E5" w:rsidRPr="00BC09D2" w:rsidRDefault="00EA10E5" w:rsidP="00333E3C">
      <w:pPr>
        <w:spacing w:line="480" w:lineRule="auto"/>
        <w:ind w:left="1440" w:hanging="731"/>
        <w:jc w:val="both"/>
        <w:rPr>
          <w:u w:val="none"/>
        </w:rPr>
      </w:pPr>
    </w:p>
    <w:p w14:paraId="6D11C5B8" w14:textId="480DD6B1" w:rsidR="00C06928" w:rsidRPr="00964007" w:rsidRDefault="00964007" w:rsidP="00964007">
      <w:pPr>
        <w:spacing w:line="480" w:lineRule="auto"/>
        <w:ind w:left="709" w:hanging="709"/>
        <w:jc w:val="both"/>
        <w:rPr>
          <w:u w:val="none"/>
        </w:rPr>
      </w:pPr>
      <w:r>
        <w:rPr>
          <w:u w:val="none"/>
        </w:rPr>
        <w:t>70.</w:t>
      </w:r>
      <w:r>
        <w:rPr>
          <w:u w:val="none"/>
        </w:rPr>
        <w:tab/>
      </w:r>
      <w:r w:rsidR="00EA10E5" w:rsidRPr="00964007">
        <w:rPr>
          <w:u w:val="none"/>
        </w:rPr>
        <w:t xml:space="preserve">The Trust claims that </w:t>
      </w:r>
      <w:r w:rsidR="00E208A7" w:rsidRPr="00964007">
        <w:rPr>
          <w:u w:val="none"/>
        </w:rPr>
        <w:t xml:space="preserve">ABSA </w:t>
      </w:r>
      <w:r w:rsidR="00EA10E5" w:rsidRPr="00964007">
        <w:rPr>
          <w:u w:val="none"/>
        </w:rPr>
        <w:t>had full knowledge of the agreement and the addendum agreement. An assertion which is simply denied by ABSA.</w:t>
      </w:r>
    </w:p>
    <w:p w14:paraId="5DDB06AC" w14:textId="77777777" w:rsidR="008E7792" w:rsidRDefault="008E7792" w:rsidP="00333E3C">
      <w:pPr>
        <w:pStyle w:val="ListParagraph"/>
        <w:spacing w:line="480" w:lineRule="auto"/>
        <w:ind w:left="709"/>
        <w:jc w:val="both"/>
        <w:rPr>
          <w:u w:val="none"/>
        </w:rPr>
      </w:pPr>
    </w:p>
    <w:p w14:paraId="369BE4CE" w14:textId="3C9244D3" w:rsidR="00C06928" w:rsidRPr="00964007" w:rsidRDefault="00964007" w:rsidP="00964007">
      <w:pPr>
        <w:spacing w:line="480" w:lineRule="auto"/>
        <w:ind w:left="709" w:hanging="709"/>
        <w:jc w:val="both"/>
        <w:rPr>
          <w:u w:val="none"/>
        </w:rPr>
      </w:pPr>
      <w:r>
        <w:rPr>
          <w:u w:val="none"/>
        </w:rPr>
        <w:t>71.</w:t>
      </w:r>
      <w:r>
        <w:rPr>
          <w:u w:val="none"/>
        </w:rPr>
        <w:tab/>
      </w:r>
      <w:r w:rsidR="00CB7C07" w:rsidRPr="00964007">
        <w:rPr>
          <w:u w:val="none"/>
        </w:rPr>
        <w:t>B</w:t>
      </w:r>
      <w:r w:rsidR="008E7792" w:rsidRPr="00964007">
        <w:rPr>
          <w:u w:val="none"/>
        </w:rPr>
        <w:t xml:space="preserve">ut </w:t>
      </w:r>
      <w:r w:rsidR="00CB7C07" w:rsidRPr="00964007">
        <w:rPr>
          <w:u w:val="none"/>
        </w:rPr>
        <w:t xml:space="preserve">ABSA has not </w:t>
      </w:r>
      <w:r w:rsidR="008E7792" w:rsidRPr="00964007">
        <w:rPr>
          <w:u w:val="none"/>
        </w:rPr>
        <w:t>expla</w:t>
      </w:r>
      <w:r w:rsidR="00CB7C07" w:rsidRPr="00964007">
        <w:rPr>
          <w:u w:val="none"/>
        </w:rPr>
        <w:t>i</w:t>
      </w:r>
      <w:r w:rsidR="008E7792" w:rsidRPr="00964007">
        <w:rPr>
          <w:u w:val="none"/>
        </w:rPr>
        <w:t>n</w:t>
      </w:r>
      <w:r w:rsidR="00CB7C07" w:rsidRPr="00964007">
        <w:rPr>
          <w:u w:val="none"/>
        </w:rPr>
        <w:t>ed</w:t>
      </w:r>
      <w:r w:rsidR="008E7792" w:rsidRPr="00964007">
        <w:rPr>
          <w:u w:val="none"/>
        </w:rPr>
        <w:t xml:space="preserve"> the basis upon which it passed a R3,2 </w:t>
      </w:r>
      <w:r w:rsidR="00E208A7" w:rsidRPr="00964007">
        <w:rPr>
          <w:u w:val="none"/>
        </w:rPr>
        <w:t xml:space="preserve">million bond over the </w:t>
      </w:r>
      <w:r w:rsidR="008E7792" w:rsidRPr="00964007">
        <w:rPr>
          <w:u w:val="none"/>
        </w:rPr>
        <w:t xml:space="preserve">property. On its own version that </w:t>
      </w:r>
      <w:r w:rsidR="008E7792" w:rsidRPr="00964007">
        <w:rPr>
          <w:i/>
          <w:u w:val="none"/>
        </w:rPr>
        <w:t>causa</w:t>
      </w:r>
      <w:r w:rsidR="008E7792" w:rsidRPr="00964007">
        <w:rPr>
          <w:u w:val="none"/>
        </w:rPr>
        <w:t xml:space="preserve"> would have had to have been a Deed of Sale and as the Addendum clearly incorporates the terms of the Deed of Sale</w:t>
      </w:r>
      <w:r w:rsidR="00E208A7" w:rsidRPr="00964007">
        <w:rPr>
          <w:u w:val="none"/>
        </w:rPr>
        <w:t>,</w:t>
      </w:r>
      <w:r w:rsidR="008E7792" w:rsidRPr="00964007">
        <w:rPr>
          <w:u w:val="none"/>
        </w:rPr>
        <w:t xml:space="preserve"> it is puzzling that it assets </w:t>
      </w:r>
      <w:r w:rsidR="00A23C8B" w:rsidRPr="00964007">
        <w:rPr>
          <w:u w:val="none"/>
        </w:rPr>
        <w:t>a</w:t>
      </w:r>
      <w:r w:rsidR="008E7792" w:rsidRPr="00964007">
        <w:rPr>
          <w:u w:val="none"/>
        </w:rPr>
        <w:t xml:space="preserve"> lack of knowledge</w:t>
      </w:r>
      <w:r w:rsidR="00A23C8B" w:rsidRPr="00964007">
        <w:rPr>
          <w:u w:val="none"/>
        </w:rPr>
        <w:t xml:space="preserve"> of its terms</w:t>
      </w:r>
      <w:r w:rsidR="008E7792" w:rsidRPr="00964007">
        <w:rPr>
          <w:u w:val="none"/>
        </w:rPr>
        <w:t>. Clearly this is al</w:t>
      </w:r>
      <w:r w:rsidR="00A23C8B" w:rsidRPr="00964007">
        <w:rPr>
          <w:u w:val="none"/>
        </w:rPr>
        <w:t>so not so given the very clear events</w:t>
      </w:r>
      <w:r w:rsidR="008E7792" w:rsidRPr="00964007">
        <w:rPr>
          <w:u w:val="none"/>
        </w:rPr>
        <w:t xml:space="preserve"> until the letter of 8 May 2018</w:t>
      </w:r>
      <w:r w:rsidR="008E7792">
        <w:rPr>
          <w:rStyle w:val="FootnoteReference"/>
          <w:u w:val="none"/>
        </w:rPr>
        <w:footnoteReference w:id="32"/>
      </w:r>
      <w:r w:rsidR="008E7792" w:rsidRPr="00964007">
        <w:rPr>
          <w:u w:val="none"/>
        </w:rPr>
        <w:t>.</w:t>
      </w:r>
    </w:p>
    <w:p w14:paraId="15A57108" w14:textId="77777777" w:rsidR="00C06928" w:rsidRDefault="00C06928" w:rsidP="00333E3C">
      <w:pPr>
        <w:pStyle w:val="ListParagraph"/>
        <w:spacing w:line="480" w:lineRule="auto"/>
        <w:ind w:left="709"/>
        <w:jc w:val="both"/>
        <w:rPr>
          <w:u w:val="none"/>
        </w:rPr>
      </w:pPr>
    </w:p>
    <w:p w14:paraId="06EDEA3F" w14:textId="2A680D09" w:rsidR="008E7792" w:rsidRPr="00964007" w:rsidRDefault="00964007" w:rsidP="00964007">
      <w:pPr>
        <w:spacing w:line="480" w:lineRule="auto"/>
        <w:ind w:left="709" w:hanging="709"/>
        <w:jc w:val="both"/>
        <w:rPr>
          <w:u w:val="none"/>
        </w:rPr>
      </w:pPr>
      <w:r>
        <w:rPr>
          <w:u w:val="none"/>
        </w:rPr>
        <w:t>72.</w:t>
      </w:r>
      <w:r>
        <w:rPr>
          <w:u w:val="none"/>
        </w:rPr>
        <w:tab/>
      </w:r>
      <w:r w:rsidR="008E7792" w:rsidRPr="00964007">
        <w:rPr>
          <w:u w:val="none"/>
        </w:rPr>
        <w:t>It has been stated that the essence of the doctrine of estoppel by representation is that a person is precluded or estopped form denying the truth of a representation previously made by her or him to another person if the latter, believing in the truth of the representation, acted thereon to her or his detriment</w:t>
      </w:r>
      <w:r w:rsidR="008E7792">
        <w:rPr>
          <w:rStyle w:val="FootnoteReference"/>
          <w:u w:val="none"/>
        </w:rPr>
        <w:footnoteReference w:id="33"/>
      </w:r>
      <w:r w:rsidR="00D80609" w:rsidRPr="00964007">
        <w:rPr>
          <w:u w:val="none"/>
        </w:rPr>
        <w:t>. The party relaying on esto</w:t>
      </w:r>
      <w:r w:rsidR="00A23C8B" w:rsidRPr="00964007">
        <w:rPr>
          <w:u w:val="none"/>
        </w:rPr>
        <w:t xml:space="preserve">ppel must plead it and prove its </w:t>
      </w:r>
      <w:r w:rsidR="00D80609" w:rsidRPr="00964007">
        <w:rPr>
          <w:u w:val="none"/>
        </w:rPr>
        <w:t>essentials</w:t>
      </w:r>
      <w:r w:rsidR="00D80609">
        <w:rPr>
          <w:rStyle w:val="FootnoteReference"/>
          <w:u w:val="none"/>
        </w:rPr>
        <w:footnoteReference w:id="34"/>
      </w:r>
      <w:r w:rsidR="005D107C" w:rsidRPr="00964007">
        <w:rPr>
          <w:u w:val="none"/>
        </w:rPr>
        <w:t>.</w:t>
      </w:r>
    </w:p>
    <w:p w14:paraId="7040180C" w14:textId="77777777" w:rsidR="008E7792" w:rsidRDefault="008E7792" w:rsidP="00333E3C">
      <w:pPr>
        <w:pStyle w:val="ListParagraph"/>
        <w:spacing w:line="480" w:lineRule="auto"/>
        <w:ind w:left="709"/>
        <w:jc w:val="both"/>
        <w:rPr>
          <w:u w:val="none"/>
        </w:rPr>
      </w:pPr>
    </w:p>
    <w:p w14:paraId="65E78828" w14:textId="4B7C02B9" w:rsidR="008E7792" w:rsidRPr="00964007" w:rsidRDefault="00964007" w:rsidP="00964007">
      <w:pPr>
        <w:spacing w:line="480" w:lineRule="auto"/>
        <w:ind w:left="709" w:hanging="709"/>
        <w:jc w:val="both"/>
        <w:rPr>
          <w:u w:val="none"/>
        </w:rPr>
      </w:pPr>
      <w:r>
        <w:rPr>
          <w:u w:val="none"/>
        </w:rPr>
        <w:t>73.</w:t>
      </w:r>
      <w:r>
        <w:rPr>
          <w:u w:val="none"/>
        </w:rPr>
        <w:tab/>
      </w:r>
      <w:r w:rsidR="005D107C" w:rsidRPr="00964007">
        <w:rPr>
          <w:u w:val="none"/>
        </w:rPr>
        <w:t xml:space="preserve">ABSA says that in the transferring the entirety of the property to Wraypex </w:t>
      </w:r>
      <w:r w:rsidR="00A23C8B" w:rsidRPr="00964007">
        <w:rPr>
          <w:u w:val="none"/>
        </w:rPr>
        <w:t>t</w:t>
      </w:r>
      <w:r w:rsidR="005D107C" w:rsidRPr="00964007">
        <w:rPr>
          <w:u w:val="none"/>
        </w:rPr>
        <w:t>he Trust represented that the transfer was unconditional. But that is clearly incorrect and</w:t>
      </w:r>
      <w:r w:rsidR="00A23C8B" w:rsidRPr="00964007">
        <w:rPr>
          <w:u w:val="none"/>
        </w:rPr>
        <w:t>,</w:t>
      </w:r>
      <w:r w:rsidR="005D107C" w:rsidRPr="00964007">
        <w:rPr>
          <w:u w:val="none"/>
        </w:rPr>
        <w:t xml:space="preserve"> </w:t>
      </w:r>
      <w:r w:rsidR="00A23C8B" w:rsidRPr="00964007">
        <w:rPr>
          <w:u w:val="none"/>
        </w:rPr>
        <w:t xml:space="preserve">at least </w:t>
      </w:r>
      <w:r w:rsidR="00A23C8B" w:rsidRPr="00964007">
        <w:rPr>
          <w:i/>
          <w:u w:val="none"/>
        </w:rPr>
        <w:t>pri</w:t>
      </w:r>
      <w:r w:rsidR="00CB7C07" w:rsidRPr="00964007">
        <w:rPr>
          <w:i/>
          <w:u w:val="none"/>
        </w:rPr>
        <w:t>m</w:t>
      </w:r>
      <w:r w:rsidR="00A23C8B" w:rsidRPr="00964007">
        <w:rPr>
          <w:i/>
          <w:u w:val="none"/>
        </w:rPr>
        <w:t>a facie</w:t>
      </w:r>
      <w:r w:rsidR="00A23C8B" w:rsidRPr="00964007">
        <w:rPr>
          <w:u w:val="none"/>
        </w:rPr>
        <w:t>, it appears that ABSA was at all times aware of the agre</w:t>
      </w:r>
      <w:r w:rsidR="00CB7C07" w:rsidRPr="00964007">
        <w:rPr>
          <w:u w:val="none"/>
        </w:rPr>
        <w:t>e</w:t>
      </w:r>
      <w:r w:rsidR="00A23C8B" w:rsidRPr="00964007">
        <w:rPr>
          <w:u w:val="none"/>
        </w:rPr>
        <w:t>ments as it lent Wrayp</w:t>
      </w:r>
      <w:r w:rsidR="00CB7C07" w:rsidRPr="00964007">
        <w:rPr>
          <w:u w:val="none"/>
        </w:rPr>
        <w:t>ex the funds to purchase the pr</w:t>
      </w:r>
      <w:r w:rsidR="00A23C8B" w:rsidRPr="00964007">
        <w:rPr>
          <w:u w:val="none"/>
        </w:rPr>
        <w:t xml:space="preserve">operty from the Trust in the first place </w:t>
      </w:r>
      <w:r w:rsidR="005D107C" w:rsidRPr="00964007">
        <w:rPr>
          <w:u w:val="none"/>
        </w:rPr>
        <w:t xml:space="preserve">– it </w:t>
      </w:r>
      <w:r w:rsidR="00271AC2" w:rsidRPr="00964007">
        <w:rPr>
          <w:u w:val="none"/>
        </w:rPr>
        <w:t xml:space="preserve">is Wraypex </w:t>
      </w:r>
      <w:r w:rsidR="005D107C" w:rsidRPr="00964007">
        <w:rPr>
          <w:u w:val="none"/>
        </w:rPr>
        <w:t xml:space="preserve">as it was the entity that made any alleged representation. The fact is as stated, that evidence is required to show upon what documents ABSA </w:t>
      </w:r>
      <w:r w:rsidR="00271AC2" w:rsidRPr="00964007">
        <w:rPr>
          <w:u w:val="none"/>
        </w:rPr>
        <w:t>consented</w:t>
      </w:r>
      <w:r w:rsidR="005D107C" w:rsidRPr="00964007">
        <w:rPr>
          <w:u w:val="none"/>
        </w:rPr>
        <w:t xml:space="preserve"> to loan </w:t>
      </w:r>
      <w:r w:rsidR="00A23C8B" w:rsidRPr="00964007">
        <w:rPr>
          <w:u w:val="none"/>
        </w:rPr>
        <w:t xml:space="preserve">Wraypex </w:t>
      </w:r>
      <w:r w:rsidR="005D107C" w:rsidRPr="00964007">
        <w:rPr>
          <w:u w:val="none"/>
        </w:rPr>
        <w:t>the R3,2</w:t>
      </w:r>
      <w:r w:rsidR="00271AC2" w:rsidRPr="00964007">
        <w:rPr>
          <w:u w:val="none"/>
        </w:rPr>
        <w:t xml:space="preserve"> million purchase price.</w:t>
      </w:r>
    </w:p>
    <w:p w14:paraId="7E5F53D9" w14:textId="77777777" w:rsidR="008E7792" w:rsidRDefault="008E7792" w:rsidP="00333E3C">
      <w:pPr>
        <w:pStyle w:val="ListParagraph"/>
        <w:spacing w:line="480" w:lineRule="auto"/>
        <w:ind w:left="709"/>
        <w:jc w:val="both"/>
        <w:rPr>
          <w:u w:val="none"/>
        </w:rPr>
      </w:pPr>
    </w:p>
    <w:p w14:paraId="2A20AC8F" w14:textId="200935CB" w:rsidR="00271AC2" w:rsidRPr="00964007" w:rsidRDefault="00964007" w:rsidP="00964007">
      <w:pPr>
        <w:spacing w:line="480" w:lineRule="auto"/>
        <w:ind w:left="709" w:hanging="709"/>
        <w:jc w:val="both"/>
        <w:rPr>
          <w:u w:val="none"/>
        </w:rPr>
      </w:pPr>
      <w:r>
        <w:rPr>
          <w:u w:val="none"/>
        </w:rPr>
        <w:t>74.</w:t>
      </w:r>
      <w:r>
        <w:rPr>
          <w:u w:val="none"/>
        </w:rPr>
        <w:tab/>
      </w:r>
      <w:r w:rsidR="00271AC2" w:rsidRPr="00964007">
        <w:rPr>
          <w:u w:val="none"/>
        </w:rPr>
        <w:t>Thus, on these papers, this defence cannot succeed.</w:t>
      </w:r>
    </w:p>
    <w:p w14:paraId="4288C630" w14:textId="77777777" w:rsidR="00271AC2" w:rsidRPr="00271AC2" w:rsidRDefault="00271AC2" w:rsidP="00333E3C">
      <w:pPr>
        <w:pStyle w:val="ListParagraph"/>
        <w:jc w:val="both"/>
        <w:rPr>
          <w:u w:val="none"/>
        </w:rPr>
      </w:pPr>
    </w:p>
    <w:p w14:paraId="1427E9EB" w14:textId="6D39312C" w:rsidR="00271AC2" w:rsidRPr="00D45E8E" w:rsidRDefault="00271AC2" w:rsidP="00333E3C">
      <w:pPr>
        <w:spacing w:line="480" w:lineRule="auto"/>
        <w:jc w:val="both"/>
        <w:rPr>
          <w:b/>
        </w:rPr>
      </w:pPr>
      <w:r w:rsidRPr="00A23C8B">
        <w:rPr>
          <w:b/>
        </w:rPr>
        <w:t>BALANCE OF CONV</w:t>
      </w:r>
      <w:r w:rsidR="00A23C8B" w:rsidRPr="00A23C8B">
        <w:rPr>
          <w:b/>
        </w:rPr>
        <w:t>ENIENCE</w:t>
      </w:r>
      <w:r w:rsidRPr="00D45E8E">
        <w:rPr>
          <w:b/>
        </w:rPr>
        <w:t xml:space="preserve"> AND IRREPARABLE HARM</w:t>
      </w:r>
    </w:p>
    <w:p w14:paraId="5A45A4FA" w14:textId="5F1A1194" w:rsidR="00271AC2" w:rsidRPr="00964007" w:rsidRDefault="00964007" w:rsidP="00964007">
      <w:pPr>
        <w:spacing w:line="480" w:lineRule="auto"/>
        <w:ind w:left="709" w:hanging="709"/>
        <w:jc w:val="both"/>
        <w:rPr>
          <w:u w:val="none"/>
        </w:rPr>
      </w:pPr>
      <w:r>
        <w:rPr>
          <w:u w:val="none"/>
        </w:rPr>
        <w:t>75.</w:t>
      </w:r>
      <w:r>
        <w:rPr>
          <w:u w:val="none"/>
        </w:rPr>
        <w:tab/>
      </w:r>
      <w:r w:rsidR="00271AC2" w:rsidRPr="00964007">
        <w:rPr>
          <w:u w:val="none"/>
        </w:rPr>
        <w:t xml:space="preserve">I am of the view that, in this matter, these elements are intertwined. The evidence is clear: Wraypex is not possessed of </w:t>
      </w:r>
      <w:r w:rsidR="00D45E8E" w:rsidRPr="00964007">
        <w:rPr>
          <w:u w:val="none"/>
        </w:rPr>
        <w:t>sufficient</w:t>
      </w:r>
      <w:r w:rsidR="00271AC2" w:rsidRPr="00964007">
        <w:rPr>
          <w:u w:val="none"/>
        </w:rPr>
        <w:t xml:space="preserve"> assets to </w:t>
      </w:r>
      <w:r w:rsidR="00A23C8B" w:rsidRPr="00964007">
        <w:rPr>
          <w:u w:val="none"/>
        </w:rPr>
        <w:t xml:space="preserve">satisfy </w:t>
      </w:r>
      <w:r w:rsidR="00271AC2" w:rsidRPr="00964007">
        <w:rPr>
          <w:u w:val="none"/>
        </w:rPr>
        <w:t>any claim that the Trust has were it to claim payment in lieu of the retransfer</w:t>
      </w:r>
      <w:r w:rsidR="00A83C0F" w:rsidRPr="00964007">
        <w:rPr>
          <w:u w:val="none"/>
        </w:rPr>
        <w:t xml:space="preserve"> of the 40 ha</w:t>
      </w:r>
      <w:r w:rsidR="00271AC2" w:rsidRPr="00964007">
        <w:rPr>
          <w:u w:val="none"/>
        </w:rPr>
        <w:t>. This is made clear by the fact that ABSA</w:t>
      </w:r>
      <w:r w:rsidR="00A23C8B" w:rsidRPr="00964007">
        <w:rPr>
          <w:u w:val="none"/>
        </w:rPr>
        <w:t xml:space="preserve"> is</w:t>
      </w:r>
      <w:r w:rsidR="00271AC2" w:rsidRPr="00964007">
        <w:rPr>
          <w:u w:val="none"/>
        </w:rPr>
        <w:t xml:space="preserve"> willing to settle for an offer of R7 million in compensation for mortgage bonds of over R21 million passed over the property</w:t>
      </w:r>
      <w:r w:rsidR="00840F06" w:rsidRPr="00964007">
        <w:rPr>
          <w:u w:val="none"/>
        </w:rPr>
        <w:t>.</w:t>
      </w:r>
    </w:p>
    <w:p w14:paraId="3CD6E509" w14:textId="77777777" w:rsidR="00271AC2" w:rsidRDefault="00271AC2" w:rsidP="00333E3C">
      <w:pPr>
        <w:pStyle w:val="ListParagraph"/>
        <w:spacing w:line="480" w:lineRule="auto"/>
        <w:ind w:left="709"/>
        <w:jc w:val="both"/>
        <w:rPr>
          <w:u w:val="none"/>
        </w:rPr>
      </w:pPr>
    </w:p>
    <w:p w14:paraId="1B1D586C" w14:textId="3D1A7FD4" w:rsidR="00271AC2" w:rsidRPr="00964007" w:rsidRDefault="00964007" w:rsidP="00964007">
      <w:pPr>
        <w:spacing w:line="480" w:lineRule="auto"/>
        <w:ind w:left="709" w:hanging="709"/>
        <w:jc w:val="both"/>
        <w:rPr>
          <w:u w:val="none"/>
        </w:rPr>
      </w:pPr>
      <w:r>
        <w:rPr>
          <w:u w:val="none"/>
        </w:rPr>
        <w:t>76.</w:t>
      </w:r>
      <w:r>
        <w:rPr>
          <w:u w:val="none"/>
        </w:rPr>
        <w:tab/>
      </w:r>
      <w:r w:rsidR="00840F06" w:rsidRPr="00964007">
        <w:rPr>
          <w:u w:val="none"/>
        </w:rPr>
        <w:t>Whilst ABSA will remain a secured creditor and be entitled to sell the property i</w:t>
      </w:r>
      <w:r w:rsidR="008F04F4" w:rsidRPr="00964007">
        <w:rPr>
          <w:u w:val="none"/>
        </w:rPr>
        <w:t>f</w:t>
      </w:r>
      <w:r w:rsidR="00840F06" w:rsidRPr="00964007">
        <w:rPr>
          <w:u w:val="none"/>
        </w:rPr>
        <w:t xml:space="preserve"> ultimately</w:t>
      </w:r>
      <w:r w:rsidR="008F04F4" w:rsidRPr="00964007">
        <w:rPr>
          <w:u w:val="none"/>
        </w:rPr>
        <w:t xml:space="preserve"> successful, the Trust will be</w:t>
      </w:r>
      <w:r w:rsidR="00A83C0F" w:rsidRPr="00964007">
        <w:rPr>
          <w:u w:val="none"/>
        </w:rPr>
        <w:t xml:space="preserve"> left with an irrecoverable clai</w:t>
      </w:r>
      <w:r w:rsidR="008F04F4" w:rsidRPr="00964007">
        <w:rPr>
          <w:u w:val="none"/>
        </w:rPr>
        <w:t xml:space="preserve">m if the property is transferred </w:t>
      </w:r>
      <w:r w:rsidR="00A83C0F" w:rsidRPr="00964007">
        <w:rPr>
          <w:u w:val="none"/>
        </w:rPr>
        <w:t>to the 4</w:t>
      </w:r>
      <w:r w:rsidR="00A83C0F" w:rsidRPr="00964007">
        <w:rPr>
          <w:u w:val="none"/>
          <w:vertAlign w:val="superscript"/>
        </w:rPr>
        <w:t>th</w:t>
      </w:r>
      <w:r w:rsidR="00A83C0F" w:rsidRPr="00964007">
        <w:rPr>
          <w:u w:val="none"/>
        </w:rPr>
        <w:t xml:space="preserve"> respondent </w:t>
      </w:r>
      <w:r w:rsidR="008F04F4" w:rsidRPr="00964007">
        <w:rPr>
          <w:u w:val="none"/>
        </w:rPr>
        <w:t>before the action is finalised.</w:t>
      </w:r>
      <w:r w:rsidR="008F04F4">
        <w:rPr>
          <w:rStyle w:val="FootnoteReference"/>
          <w:u w:val="none"/>
        </w:rPr>
        <w:footnoteReference w:id="35"/>
      </w:r>
    </w:p>
    <w:p w14:paraId="4FD5EC05" w14:textId="77777777" w:rsidR="00840F06" w:rsidRDefault="00840F06" w:rsidP="00333E3C">
      <w:pPr>
        <w:pStyle w:val="ListParagraph"/>
        <w:jc w:val="both"/>
        <w:rPr>
          <w:u w:val="none"/>
        </w:rPr>
      </w:pPr>
    </w:p>
    <w:p w14:paraId="5CCC4BEA" w14:textId="77777777" w:rsidR="008F04F4" w:rsidRDefault="008F04F4" w:rsidP="00333E3C">
      <w:pPr>
        <w:jc w:val="both"/>
        <w:rPr>
          <w:b/>
        </w:rPr>
      </w:pPr>
      <w:r w:rsidRPr="00D45E8E">
        <w:rPr>
          <w:b/>
        </w:rPr>
        <w:t>NO OTHER REMEDY</w:t>
      </w:r>
    </w:p>
    <w:p w14:paraId="24893084" w14:textId="77777777" w:rsidR="00D45E8E" w:rsidRPr="00D45E8E" w:rsidRDefault="00D45E8E" w:rsidP="00333E3C">
      <w:pPr>
        <w:jc w:val="both"/>
        <w:rPr>
          <w:b/>
        </w:rPr>
      </w:pPr>
    </w:p>
    <w:p w14:paraId="15CD6D86" w14:textId="05941C5E" w:rsidR="008F04F4" w:rsidRPr="00964007" w:rsidRDefault="00964007" w:rsidP="00964007">
      <w:pPr>
        <w:spacing w:line="480" w:lineRule="auto"/>
        <w:ind w:left="709" w:hanging="709"/>
        <w:jc w:val="both"/>
        <w:rPr>
          <w:u w:val="none"/>
        </w:rPr>
      </w:pPr>
      <w:r>
        <w:rPr>
          <w:u w:val="none"/>
        </w:rPr>
        <w:t>77.</w:t>
      </w:r>
      <w:r>
        <w:rPr>
          <w:u w:val="none"/>
        </w:rPr>
        <w:tab/>
      </w:r>
      <w:r w:rsidR="00A23C8B" w:rsidRPr="00964007">
        <w:rPr>
          <w:u w:val="none"/>
        </w:rPr>
        <w:t>In my view, given the above, t</w:t>
      </w:r>
      <w:r w:rsidR="008F04F4" w:rsidRPr="00964007">
        <w:rPr>
          <w:u w:val="none"/>
        </w:rPr>
        <w:t>he Trust has no other satisfactory</w:t>
      </w:r>
      <w:r w:rsidR="008F04F4">
        <w:rPr>
          <w:rStyle w:val="FootnoteReference"/>
          <w:u w:val="none"/>
        </w:rPr>
        <w:footnoteReference w:id="36"/>
      </w:r>
      <w:r w:rsidR="00A23C8B" w:rsidRPr="00964007">
        <w:rPr>
          <w:u w:val="none"/>
        </w:rPr>
        <w:t xml:space="preserve"> remedy available to it.</w:t>
      </w:r>
    </w:p>
    <w:p w14:paraId="6AF04DB0" w14:textId="77777777" w:rsidR="00A23C8B" w:rsidRPr="00A23C8B" w:rsidRDefault="00A23C8B" w:rsidP="00A23C8B">
      <w:pPr>
        <w:pStyle w:val="ListParagraph"/>
        <w:spacing w:line="480" w:lineRule="auto"/>
        <w:ind w:left="709"/>
        <w:jc w:val="both"/>
        <w:rPr>
          <w:u w:val="none"/>
        </w:rPr>
      </w:pPr>
    </w:p>
    <w:p w14:paraId="04EF76E3" w14:textId="2B84EE3B" w:rsidR="00840F06" w:rsidRDefault="00884861" w:rsidP="00333E3C">
      <w:pPr>
        <w:spacing w:line="480" w:lineRule="auto"/>
        <w:jc w:val="both"/>
        <w:rPr>
          <w:b/>
        </w:rPr>
      </w:pPr>
      <w:r>
        <w:rPr>
          <w:b/>
        </w:rPr>
        <w:t>CONCLUSION</w:t>
      </w:r>
    </w:p>
    <w:p w14:paraId="25B40DF3" w14:textId="45B7577A" w:rsidR="00884861" w:rsidRPr="00964007" w:rsidRDefault="00964007" w:rsidP="00964007">
      <w:pPr>
        <w:spacing w:line="480" w:lineRule="auto"/>
        <w:ind w:left="709" w:hanging="709"/>
        <w:jc w:val="both"/>
        <w:rPr>
          <w:u w:val="none"/>
        </w:rPr>
      </w:pPr>
      <w:r w:rsidRPr="00A83C0F">
        <w:rPr>
          <w:u w:val="none"/>
        </w:rPr>
        <w:t>78.</w:t>
      </w:r>
      <w:r w:rsidRPr="00A83C0F">
        <w:rPr>
          <w:u w:val="none"/>
        </w:rPr>
        <w:tab/>
      </w:r>
      <w:r w:rsidR="00A83C0F" w:rsidRPr="00964007">
        <w:rPr>
          <w:u w:val="none"/>
        </w:rPr>
        <w:t>Given all the above, the T</w:t>
      </w:r>
      <w:r w:rsidR="00884861" w:rsidRPr="00964007">
        <w:rPr>
          <w:u w:val="none"/>
        </w:rPr>
        <w:t>rust must succeed and an interim interdict must be granted pending finalisation of the instituted action.</w:t>
      </w:r>
    </w:p>
    <w:p w14:paraId="5D3AE63E" w14:textId="76C66D07" w:rsidR="00884861" w:rsidRDefault="00884861" w:rsidP="00333E3C">
      <w:pPr>
        <w:spacing w:line="480" w:lineRule="auto"/>
        <w:jc w:val="both"/>
        <w:rPr>
          <w:u w:val="none"/>
        </w:rPr>
      </w:pPr>
    </w:p>
    <w:p w14:paraId="35519EA1" w14:textId="6EF2ED3A" w:rsidR="00884861" w:rsidRPr="00884861" w:rsidRDefault="00884861" w:rsidP="00333E3C">
      <w:pPr>
        <w:spacing w:line="480" w:lineRule="auto"/>
        <w:jc w:val="both"/>
        <w:rPr>
          <w:b/>
        </w:rPr>
      </w:pPr>
      <w:r>
        <w:rPr>
          <w:b/>
        </w:rPr>
        <w:t>COSTS</w:t>
      </w:r>
    </w:p>
    <w:p w14:paraId="71B0A7B2" w14:textId="5C343B32" w:rsidR="00840F06" w:rsidRPr="00964007" w:rsidRDefault="00964007" w:rsidP="00964007">
      <w:pPr>
        <w:spacing w:line="480" w:lineRule="auto"/>
        <w:ind w:left="709" w:hanging="709"/>
        <w:jc w:val="both"/>
        <w:rPr>
          <w:u w:val="none"/>
        </w:rPr>
      </w:pPr>
      <w:r>
        <w:rPr>
          <w:u w:val="none"/>
        </w:rPr>
        <w:t>79.</w:t>
      </w:r>
      <w:r>
        <w:rPr>
          <w:u w:val="none"/>
        </w:rPr>
        <w:tab/>
      </w:r>
      <w:r w:rsidR="008F04F4" w:rsidRPr="00964007">
        <w:rPr>
          <w:u w:val="none"/>
        </w:rPr>
        <w:t>I agree with Mr Horn that, alt</w:t>
      </w:r>
      <w:r w:rsidR="00884861" w:rsidRPr="00964007">
        <w:rPr>
          <w:u w:val="none"/>
        </w:rPr>
        <w:t>hough at this stage unsuccessful</w:t>
      </w:r>
      <w:r w:rsidR="008F04F4" w:rsidRPr="00964007">
        <w:rPr>
          <w:u w:val="none"/>
        </w:rPr>
        <w:t xml:space="preserve"> ABSA’s opposition is not frivolous. In my view it would be appropriate to make the same costs order </w:t>
      </w:r>
      <w:r w:rsidR="00884861" w:rsidRPr="00964007">
        <w:rPr>
          <w:u w:val="none"/>
        </w:rPr>
        <w:t>in respect of it</w:t>
      </w:r>
      <w:r w:rsidR="008F04F4" w:rsidRPr="00964007">
        <w:rPr>
          <w:u w:val="none"/>
        </w:rPr>
        <w:t xml:space="preserve"> as that sought</w:t>
      </w:r>
      <w:r w:rsidR="00884861" w:rsidRPr="00964007">
        <w:rPr>
          <w:u w:val="none"/>
        </w:rPr>
        <w:t xml:space="preserve"> by the Trust</w:t>
      </w:r>
      <w:r w:rsidR="008F04F4" w:rsidRPr="00964007">
        <w:rPr>
          <w:u w:val="none"/>
        </w:rPr>
        <w:t xml:space="preserve"> against 1</w:t>
      </w:r>
      <w:r w:rsidR="008F04F4" w:rsidRPr="00964007">
        <w:rPr>
          <w:u w:val="none"/>
          <w:vertAlign w:val="superscript"/>
        </w:rPr>
        <w:t>st</w:t>
      </w:r>
      <w:r w:rsidR="008F04F4" w:rsidRPr="00964007">
        <w:rPr>
          <w:u w:val="none"/>
        </w:rPr>
        <w:t xml:space="preserve"> and 2</w:t>
      </w:r>
      <w:r w:rsidR="008F04F4" w:rsidRPr="00964007">
        <w:rPr>
          <w:u w:val="none"/>
          <w:vertAlign w:val="superscript"/>
        </w:rPr>
        <w:t>nd</w:t>
      </w:r>
      <w:r w:rsidR="00884861" w:rsidRPr="00964007">
        <w:rPr>
          <w:u w:val="none"/>
        </w:rPr>
        <w:t xml:space="preserve"> respondents</w:t>
      </w:r>
      <w:r w:rsidR="008F04F4" w:rsidRPr="00964007">
        <w:rPr>
          <w:u w:val="none"/>
        </w:rPr>
        <w:t>.</w:t>
      </w:r>
    </w:p>
    <w:p w14:paraId="211E5193" w14:textId="77777777" w:rsidR="00840F06" w:rsidRPr="00840F06" w:rsidRDefault="00840F06" w:rsidP="00333E3C">
      <w:pPr>
        <w:pStyle w:val="ListParagraph"/>
        <w:jc w:val="both"/>
        <w:rPr>
          <w:u w:val="none"/>
        </w:rPr>
      </w:pPr>
    </w:p>
    <w:p w14:paraId="232C3C43" w14:textId="281D8A5D" w:rsidR="00840F06" w:rsidRPr="00964007" w:rsidRDefault="00964007" w:rsidP="00964007">
      <w:pPr>
        <w:spacing w:line="480" w:lineRule="auto"/>
        <w:ind w:left="709" w:hanging="709"/>
        <w:jc w:val="both"/>
        <w:rPr>
          <w:u w:val="none"/>
        </w:rPr>
      </w:pPr>
      <w:r>
        <w:rPr>
          <w:u w:val="none"/>
        </w:rPr>
        <w:t>80.</w:t>
      </w:r>
      <w:r>
        <w:rPr>
          <w:u w:val="none"/>
        </w:rPr>
        <w:tab/>
      </w:r>
      <w:r w:rsidR="008F04F4" w:rsidRPr="00964007">
        <w:rPr>
          <w:u w:val="none"/>
        </w:rPr>
        <w:t xml:space="preserve">I am also mindful of the position of the BRP’s in placing relevant information before this </w:t>
      </w:r>
      <w:r w:rsidR="00B069B8" w:rsidRPr="00964007">
        <w:rPr>
          <w:u w:val="none"/>
        </w:rPr>
        <w:t>court.</w:t>
      </w:r>
    </w:p>
    <w:p w14:paraId="7310913B" w14:textId="77777777" w:rsidR="008F04F4" w:rsidRPr="008F04F4" w:rsidRDefault="008F04F4" w:rsidP="00333E3C">
      <w:pPr>
        <w:pStyle w:val="ListParagraph"/>
        <w:jc w:val="both"/>
        <w:rPr>
          <w:u w:val="none"/>
        </w:rPr>
      </w:pPr>
    </w:p>
    <w:p w14:paraId="5DA07BCB" w14:textId="77777777" w:rsidR="008F04F4" w:rsidRPr="00D45E8E" w:rsidRDefault="008F04F4" w:rsidP="00333E3C">
      <w:pPr>
        <w:spacing w:line="480" w:lineRule="auto"/>
        <w:jc w:val="both"/>
        <w:rPr>
          <w:b/>
        </w:rPr>
      </w:pPr>
      <w:r w:rsidRPr="00D45E8E">
        <w:rPr>
          <w:b/>
        </w:rPr>
        <w:t>ORDER</w:t>
      </w:r>
    </w:p>
    <w:p w14:paraId="70BA0238" w14:textId="77777777" w:rsidR="00840F06" w:rsidRDefault="008F04F4" w:rsidP="00333E3C">
      <w:pPr>
        <w:jc w:val="both"/>
        <w:rPr>
          <w:u w:val="none"/>
        </w:rPr>
      </w:pPr>
      <w:r>
        <w:rPr>
          <w:u w:val="none"/>
        </w:rPr>
        <w:t>The order I therefore grant is the following:</w:t>
      </w:r>
    </w:p>
    <w:p w14:paraId="2AF418A1" w14:textId="77777777" w:rsidR="00D45E8E" w:rsidRDefault="00D45E8E" w:rsidP="00333E3C">
      <w:pPr>
        <w:jc w:val="both"/>
        <w:rPr>
          <w:u w:val="none"/>
        </w:rPr>
      </w:pPr>
    </w:p>
    <w:p w14:paraId="71619CBF" w14:textId="77777777" w:rsidR="00D45E8E" w:rsidRPr="008F04F4" w:rsidRDefault="00D45E8E" w:rsidP="00333E3C">
      <w:pPr>
        <w:jc w:val="both"/>
        <w:rPr>
          <w:u w:val="none"/>
        </w:rPr>
      </w:pPr>
    </w:p>
    <w:p w14:paraId="1DA67478" w14:textId="77777777" w:rsidR="00D45E8E" w:rsidRPr="00D45E8E" w:rsidRDefault="00D45E8E" w:rsidP="00D45E8E">
      <w:pPr>
        <w:spacing w:line="480" w:lineRule="auto"/>
        <w:jc w:val="both"/>
        <w:rPr>
          <w:u w:val="none"/>
        </w:rPr>
      </w:pPr>
    </w:p>
    <w:p w14:paraId="15CEDC97" w14:textId="72256F44" w:rsidR="008F04F4" w:rsidRPr="00964007" w:rsidRDefault="00964007" w:rsidP="00964007">
      <w:pPr>
        <w:spacing w:line="480" w:lineRule="auto"/>
        <w:ind w:left="360" w:hanging="360"/>
        <w:jc w:val="both"/>
        <w:rPr>
          <w:u w:val="none"/>
        </w:rPr>
      </w:pPr>
      <w:r>
        <w:rPr>
          <w:u w:val="none"/>
        </w:rPr>
        <w:t>1.</w:t>
      </w:r>
      <w:r>
        <w:rPr>
          <w:u w:val="none"/>
        </w:rPr>
        <w:tab/>
      </w:r>
      <w:r w:rsidR="008F04F4" w:rsidRPr="00964007">
        <w:rPr>
          <w:u w:val="none"/>
        </w:rPr>
        <w:t>That pending the adjudication of the pending action under case number: 36310/20 in this H</w:t>
      </w:r>
      <w:r w:rsidR="00A83C0F" w:rsidRPr="00964007">
        <w:rPr>
          <w:u w:val="none"/>
        </w:rPr>
        <w:t xml:space="preserve">onourable Court, </w:t>
      </w:r>
      <w:r w:rsidR="008F04F4" w:rsidRPr="00964007">
        <w:rPr>
          <w:u w:val="none"/>
        </w:rPr>
        <w:t>the</w:t>
      </w:r>
      <w:r w:rsidR="00A83C0F" w:rsidRPr="00964007">
        <w:rPr>
          <w:u w:val="none"/>
        </w:rPr>
        <w:t xml:space="preserve"> First and Second Respondents are</w:t>
      </w:r>
      <w:r w:rsidR="008F04F4" w:rsidRPr="00964007">
        <w:rPr>
          <w:u w:val="none"/>
        </w:rPr>
        <w:t xml:space="preserve"> interdicted and prohibited from selling and/or transferring the immovable property described as Portion 11 (a Portion of Portion 10) of the Farm Lindley No 528, Registration Division JQ, Province of Gauteng, in extent 73,4360 hectares, to the Fourth Respondent or any other third party, and that the First and Second Respondents be interdicted and prohibited from in any manner encumbering the said immovable property.</w:t>
      </w:r>
    </w:p>
    <w:p w14:paraId="3BF13AC9" w14:textId="77777777" w:rsidR="00D45E8E" w:rsidRPr="00D45E8E" w:rsidRDefault="00D45E8E" w:rsidP="00D45E8E">
      <w:pPr>
        <w:spacing w:line="480" w:lineRule="auto"/>
        <w:jc w:val="both"/>
        <w:rPr>
          <w:u w:val="none"/>
        </w:rPr>
      </w:pPr>
    </w:p>
    <w:p w14:paraId="43FB1B00" w14:textId="3AC2E760" w:rsidR="002E259F" w:rsidRPr="00964007" w:rsidRDefault="00964007" w:rsidP="00964007">
      <w:pPr>
        <w:spacing w:line="480" w:lineRule="auto"/>
        <w:ind w:left="360" w:hanging="360"/>
        <w:jc w:val="both"/>
        <w:rPr>
          <w:u w:val="none"/>
        </w:rPr>
      </w:pPr>
      <w:r w:rsidRPr="00E43629">
        <w:rPr>
          <w:u w:val="none"/>
        </w:rPr>
        <w:t>2.</w:t>
      </w:r>
      <w:r w:rsidRPr="00E43629">
        <w:rPr>
          <w:u w:val="none"/>
        </w:rPr>
        <w:tab/>
      </w:r>
      <w:r w:rsidR="00593F1F" w:rsidRPr="00964007">
        <w:rPr>
          <w:u w:val="none"/>
        </w:rPr>
        <w:t>The costs of this application are reserved for the determination in the pending action under case number 36310/20</w:t>
      </w:r>
      <w:r w:rsidR="008C566E" w:rsidRPr="00964007">
        <w:rPr>
          <w:u w:val="none"/>
        </w:rPr>
        <w:t>.</w:t>
      </w:r>
    </w:p>
    <w:p w14:paraId="1347A240" w14:textId="5ADC16F2" w:rsidR="00BE2611" w:rsidRPr="00A96C8B" w:rsidRDefault="00B85B69" w:rsidP="00B85B6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20" w:hanging="720"/>
        <w:jc w:val="right"/>
        <w:rPr>
          <w:u w:val="none"/>
        </w:rPr>
      </w:pPr>
      <w:r w:rsidRPr="00B85B69">
        <w:rPr>
          <w:rFonts w:ascii="Century Gothic" w:hAnsi="Century Gothic"/>
          <w:i/>
          <w:noProof/>
          <w:sz w:val="20"/>
          <w:szCs w:val="20"/>
          <w:u w:val="none"/>
          <w:lang w:eastAsia="en-ZA"/>
        </w:rPr>
        <w:drawing>
          <wp:inline distT="0" distB="0" distL="0" distR="0" wp14:anchorId="48692498" wp14:editId="364346F1">
            <wp:extent cx="1715229" cy="441960"/>
            <wp:effectExtent l="0" t="0" r="0" b="0"/>
            <wp:docPr id="4" name="Picture 4"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7596" cy="504410"/>
                    </a:xfrm>
                    <a:prstGeom prst="rect">
                      <a:avLst/>
                    </a:prstGeom>
                    <a:noFill/>
                    <a:ln>
                      <a:noFill/>
                    </a:ln>
                  </pic:spPr>
                </pic:pic>
              </a:graphicData>
            </a:graphic>
          </wp:inline>
        </w:drawing>
      </w:r>
    </w:p>
    <w:p w14:paraId="3E281D29" w14:textId="77777777" w:rsidR="00BE2611" w:rsidRPr="008A6108" w:rsidRDefault="00BE2611" w:rsidP="00BE261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right"/>
        <w:rPr>
          <w:u w:val="none"/>
        </w:rPr>
      </w:pPr>
      <w:r>
        <w:rPr>
          <w:u w:val="none"/>
        </w:rPr>
        <w:t>________________________</w:t>
      </w:r>
    </w:p>
    <w:p w14:paraId="23F3724E" w14:textId="77777777" w:rsidR="00BE2611" w:rsidRPr="008A6108" w:rsidRDefault="00BE2611" w:rsidP="00BE261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b/>
          <w:u w:val="none"/>
          <w:lang w:val="en-GB"/>
        </w:rPr>
      </w:pPr>
      <w:r w:rsidRPr="008A6108">
        <w:rPr>
          <w:b/>
          <w:u w:val="none"/>
          <w:lang w:val="en-GB"/>
        </w:rPr>
        <w:t>B NEUKIRCHER</w:t>
      </w:r>
    </w:p>
    <w:p w14:paraId="4D74EDF5" w14:textId="77777777" w:rsidR="00BE2611" w:rsidRPr="008A6108" w:rsidRDefault="00BE2611" w:rsidP="00BE261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b/>
          <w:u w:val="none"/>
          <w:lang w:val="en-GB"/>
        </w:rPr>
      </w:pPr>
      <w:r w:rsidRPr="008A6108">
        <w:rPr>
          <w:b/>
          <w:u w:val="none"/>
          <w:lang w:val="en-GB"/>
        </w:rPr>
        <w:t>JUDGE OF THE HIGH COURT</w:t>
      </w:r>
    </w:p>
    <w:p w14:paraId="19D99EC2" w14:textId="3DAA2819" w:rsidR="00BE2611" w:rsidRPr="008A6108" w:rsidRDefault="00BE2611" w:rsidP="00BE261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lang w:val="en-GB"/>
        </w:rPr>
      </w:pPr>
      <w:r w:rsidRPr="008A6108">
        <w:rPr>
          <w:u w:val="none"/>
          <w:lang w:val="en-GB"/>
        </w:rPr>
        <w:t xml:space="preserve">Delivered:  This judgment was prepared and authored by the Judges whose names are reflected and is handed down electronically by circulation to the Parties/their legal representatives by email and by uploading it to the electronic file of this matter on CaseLines.  The date for hand-down is deemed to </w:t>
      </w:r>
      <w:r w:rsidRPr="0078726B">
        <w:rPr>
          <w:u w:val="none"/>
          <w:lang w:val="en-GB"/>
        </w:rPr>
        <w:t xml:space="preserve">be </w:t>
      </w:r>
      <w:r w:rsidR="0078726B" w:rsidRPr="0078726B">
        <w:rPr>
          <w:u w:val="none"/>
          <w:lang w:val="en-GB"/>
        </w:rPr>
        <w:t>18</w:t>
      </w:r>
      <w:r w:rsidR="00B815DC" w:rsidRPr="0078726B">
        <w:rPr>
          <w:u w:val="none"/>
          <w:lang w:val="en-GB"/>
        </w:rPr>
        <w:t xml:space="preserve"> October</w:t>
      </w:r>
      <w:r w:rsidRPr="0078726B">
        <w:rPr>
          <w:u w:val="none"/>
          <w:lang w:val="en-GB"/>
        </w:rPr>
        <w:t xml:space="preserve"> 2022.</w:t>
      </w:r>
    </w:p>
    <w:p w14:paraId="4CAC2848" w14:textId="77777777" w:rsidR="00BE2611" w:rsidRDefault="00BE2611" w:rsidP="00BE2611">
      <w:pPr>
        <w:widowControl w:val="0"/>
        <w:autoSpaceDE w:val="0"/>
        <w:autoSpaceDN w:val="0"/>
        <w:adjustRightInd w:val="0"/>
        <w:jc w:val="both"/>
        <w:rPr>
          <w:u w:val="none"/>
        </w:rPr>
      </w:pPr>
    </w:p>
    <w:p w14:paraId="74732143" w14:textId="77777777" w:rsidR="00E43629" w:rsidRDefault="00E43629" w:rsidP="00A83C0F">
      <w:pPr>
        <w:widowControl w:val="0"/>
        <w:autoSpaceDE w:val="0"/>
        <w:autoSpaceDN w:val="0"/>
        <w:adjustRightInd w:val="0"/>
        <w:jc w:val="both"/>
        <w:rPr>
          <w:sz w:val="22"/>
        </w:rPr>
      </w:pPr>
    </w:p>
    <w:p w14:paraId="1907EED0" w14:textId="36159147" w:rsidR="00BE2611" w:rsidRPr="00E43629" w:rsidRDefault="00BE2611" w:rsidP="00A83C0F">
      <w:pPr>
        <w:widowControl w:val="0"/>
        <w:autoSpaceDE w:val="0"/>
        <w:autoSpaceDN w:val="0"/>
        <w:adjustRightInd w:val="0"/>
        <w:jc w:val="both"/>
        <w:rPr>
          <w:sz w:val="22"/>
        </w:rPr>
      </w:pPr>
      <w:r w:rsidRPr="00E43629">
        <w:rPr>
          <w:sz w:val="22"/>
        </w:rPr>
        <w:t>Appearances:</w:t>
      </w:r>
    </w:p>
    <w:p w14:paraId="60615D6E" w14:textId="77777777" w:rsidR="00BE2611" w:rsidRPr="00E43629" w:rsidRDefault="00BE2611" w:rsidP="00A83C0F">
      <w:pPr>
        <w:widowControl w:val="0"/>
        <w:autoSpaceDE w:val="0"/>
        <w:autoSpaceDN w:val="0"/>
        <w:adjustRightInd w:val="0"/>
        <w:jc w:val="both"/>
        <w:rPr>
          <w:sz w:val="22"/>
          <w:u w:val="none"/>
        </w:rPr>
      </w:pPr>
    </w:p>
    <w:p w14:paraId="414D077B" w14:textId="725EB5D8" w:rsidR="00BE2611" w:rsidRPr="00E43629" w:rsidRDefault="00BE2611" w:rsidP="00E43629">
      <w:pPr>
        <w:widowControl w:val="0"/>
        <w:autoSpaceDE w:val="0"/>
        <w:autoSpaceDN w:val="0"/>
        <w:adjustRightInd w:val="0"/>
        <w:jc w:val="both"/>
        <w:rPr>
          <w:sz w:val="22"/>
          <w:u w:val="none"/>
        </w:rPr>
      </w:pPr>
      <w:r w:rsidRPr="00E43629">
        <w:rPr>
          <w:sz w:val="22"/>
          <w:u w:val="none"/>
        </w:rPr>
        <w:t xml:space="preserve">For the </w:t>
      </w:r>
      <w:r w:rsidR="00CA0C09" w:rsidRPr="00E43629">
        <w:rPr>
          <w:sz w:val="22"/>
          <w:u w:val="none"/>
        </w:rPr>
        <w:t>Applicants</w:t>
      </w:r>
      <w:r w:rsidRPr="00E43629">
        <w:rPr>
          <w:sz w:val="22"/>
          <w:u w:val="none"/>
        </w:rPr>
        <w:tab/>
      </w:r>
      <w:r w:rsidRPr="00E43629">
        <w:rPr>
          <w:sz w:val="22"/>
          <w:u w:val="none"/>
        </w:rPr>
        <w:tab/>
      </w:r>
      <w:r w:rsidRPr="00E43629">
        <w:rPr>
          <w:sz w:val="22"/>
          <w:u w:val="none"/>
        </w:rPr>
        <w:tab/>
        <w:t xml:space="preserve">: </w:t>
      </w:r>
      <w:r w:rsidR="00AE20DD" w:rsidRPr="00E43629">
        <w:rPr>
          <w:sz w:val="22"/>
          <w:u w:val="none"/>
        </w:rPr>
        <w:t>Adv NC Hartman</w:t>
      </w:r>
      <w:r w:rsidRPr="00E43629">
        <w:rPr>
          <w:sz w:val="22"/>
          <w:u w:val="none"/>
        </w:rPr>
        <w:tab/>
        <w:t xml:space="preserve">  </w:t>
      </w:r>
      <w:r w:rsidRPr="00E43629">
        <w:rPr>
          <w:sz w:val="22"/>
          <w:u w:val="none"/>
        </w:rPr>
        <w:tab/>
      </w:r>
    </w:p>
    <w:p w14:paraId="759FFB30" w14:textId="4D506921" w:rsidR="00BE2611" w:rsidRPr="00E43629" w:rsidRDefault="00BE2611" w:rsidP="00E43629">
      <w:pPr>
        <w:widowControl w:val="0"/>
        <w:autoSpaceDE w:val="0"/>
        <w:autoSpaceDN w:val="0"/>
        <w:adjustRightInd w:val="0"/>
        <w:rPr>
          <w:sz w:val="22"/>
          <w:u w:val="none"/>
        </w:rPr>
      </w:pPr>
      <w:r w:rsidRPr="00E43629">
        <w:rPr>
          <w:sz w:val="22"/>
          <w:u w:val="none"/>
        </w:rPr>
        <w:t>Instructed by</w:t>
      </w:r>
      <w:r w:rsidRPr="00E43629">
        <w:rPr>
          <w:sz w:val="22"/>
          <w:u w:val="none"/>
        </w:rPr>
        <w:tab/>
      </w:r>
      <w:r w:rsidRPr="00E43629">
        <w:rPr>
          <w:sz w:val="22"/>
          <w:u w:val="none"/>
        </w:rPr>
        <w:tab/>
      </w:r>
      <w:r w:rsidRPr="00E43629">
        <w:rPr>
          <w:sz w:val="22"/>
          <w:u w:val="none"/>
        </w:rPr>
        <w:tab/>
      </w:r>
      <w:r w:rsidRPr="00E43629">
        <w:rPr>
          <w:sz w:val="22"/>
          <w:u w:val="none"/>
        </w:rPr>
        <w:tab/>
        <w:t xml:space="preserve">: </w:t>
      </w:r>
      <w:r w:rsidR="00CA0C09" w:rsidRPr="00E43629">
        <w:rPr>
          <w:sz w:val="22"/>
          <w:u w:val="none"/>
        </w:rPr>
        <w:t>WJ Moolman Attorneys</w:t>
      </w:r>
    </w:p>
    <w:p w14:paraId="15744CC9" w14:textId="77777777" w:rsidR="00DA7117" w:rsidRPr="00E43629" w:rsidRDefault="00DA7117" w:rsidP="00E43629">
      <w:pPr>
        <w:widowControl w:val="0"/>
        <w:autoSpaceDE w:val="0"/>
        <w:autoSpaceDN w:val="0"/>
        <w:adjustRightInd w:val="0"/>
        <w:jc w:val="both"/>
        <w:rPr>
          <w:sz w:val="22"/>
          <w:u w:val="none"/>
        </w:rPr>
      </w:pPr>
    </w:p>
    <w:p w14:paraId="410BA45B" w14:textId="6FFF5A0E" w:rsidR="00CA0C09" w:rsidRPr="00E43629" w:rsidRDefault="00CA0C09" w:rsidP="00E43629">
      <w:pPr>
        <w:widowControl w:val="0"/>
        <w:autoSpaceDE w:val="0"/>
        <w:autoSpaceDN w:val="0"/>
        <w:adjustRightInd w:val="0"/>
        <w:jc w:val="both"/>
        <w:rPr>
          <w:sz w:val="22"/>
          <w:u w:val="none"/>
        </w:rPr>
      </w:pPr>
      <w:r w:rsidRPr="00E43629">
        <w:rPr>
          <w:sz w:val="22"/>
          <w:u w:val="none"/>
        </w:rPr>
        <w:t xml:space="preserve">For </w:t>
      </w:r>
      <w:r w:rsidR="00DA7117" w:rsidRPr="00E43629">
        <w:rPr>
          <w:sz w:val="22"/>
          <w:u w:val="none"/>
        </w:rPr>
        <w:t xml:space="preserve">the </w:t>
      </w:r>
      <w:r w:rsidRPr="00E43629">
        <w:rPr>
          <w:sz w:val="22"/>
          <w:u w:val="none"/>
        </w:rPr>
        <w:t>1</w:t>
      </w:r>
      <w:r w:rsidRPr="00E43629">
        <w:rPr>
          <w:sz w:val="22"/>
          <w:u w:val="none"/>
          <w:vertAlign w:val="superscript"/>
        </w:rPr>
        <w:t>st</w:t>
      </w:r>
      <w:r w:rsidRPr="00E43629">
        <w:rPr>
          <w:sz w:val="22"/>
          <w:u w:val="none"/>
        </w:rPr>
        <w:t xml:space="preserve"> &amp; 2</w:t>
      </w:r>
      <w:r w:rsidRPr="00E43629">
        <w:rPr>
          <w:sz w:val="22"/>
          <w:u w:val="none"/>
          <w:vertAlign w:val="superscript"/>
        </w:rPr>
        <w:t>nd</w:t>
      </w:r>
      <w:r w:rsidRPr="00E43629">
        <w:rPr>
          <w:sz w:val="22"/>
          <w:u w:val="none"/>
        </w:rPr>
        <w:t xml:space="preserve"> Respondents</w:t>
      </w:r>
      <w:r w:rsidR="00DA7117" w:rsidRPr="00E43629">
        <w:rPr>
          <w:sz w:val="22"/>
          <w:u w:val="none"/>
        </w:rPr>
        <w:tab/>
      </w:r>
      <w:r w:rsidR="00BE2611" w:rsidRPr="00E43629">
        <w:rPr>
          <w:sz w:val="22"/>
          <w:u w:val="none"/>
        </w:rPr>
        <w:t xml:space="preserve">: </w:t>
      </w:r>
      <w:r w:rsidR="00AE20DD" w:rsidRPr="00E43629">
        <w:rPr>
          <w:sz w:val="22"/>
          <w:u w:val="none"/>
        </w:rPr>
        <w:t>Adv WJ Bezuidenhout</w:t>
      </w:r>
    </w:p>
    <w:p w14:paraId="76AD0CD9" w14:textId="77777777" w:rsidR="00BE2611" w:rsidRPr="00E43629" w:rsidRDefault="00BE2611" w:rsidP="00E43629">
      <w:pPr>
        <w:widowControl w:val="0"/>
        <w:autoSpaceDE w:val="0"/>
        <w:autoSpaceDN w:val="0"/>
        <w:adjustRightInd w:val="0"/>
        <w:jc w:val="both"/>
        <w:rPr>
          <w:sz w:val="22"/>
          <w:u w:val="none"/>
        </w:rPr>
      </w:pPr>
      <w:r w:rsidRPr="00E43629">
        <w:rPr>
          <w:sz w:val="22"/>
          <w:u w:val="none"/>
        </w:rPr>
        <w:t>Instructed by</w:t>
      </w:r>
      <w:r w:rsidRPr="00E43629">
        <w:rPr>
          <w:sz w:val="22"/>
          <w:u w:val="none"/>
        </w:rPr>
        <w:tab/>
      </w:r>
      <w:r w:rsidRPr="00E43629">
        <w:rPr>
          <w:sz w:val="22"/>
          <w:u w:val="none"/>
        </w:rPr>
        <w:tab/>
      </w:r>
      <w:r w:rsidRPr="00E43629">
        <w:rPr>
          <w:sz w:val="22"/>
          <w:u w:val="none"/>
        </w:rPr>
        <w:tab/>
      </w:r>
      <w:r w:rsidRPr="00E43629">
        <w:rPr>
          <w:sz w:val="22"/>
          <w:u w:val="none"/>
        </w:rPr>
        <w:tab/>
        <w:t xml:space="preserve">: </w:t>
      </w:r>
      <w:r w:rsidR="00DA7117" w:rsidRPr="00E43629">
        <w:rPr>
          <w:sz w:val="22"/>
          <w:u w:val="none"/>
        </w:rPr>
        <w:t>JF Van</w:t>
      </w:r>
      <w:r w:rsidR="00CA0C09" w:rsidRPr="00E43629">
        <w:rPr>
          <w:sz w:val="22"/>
          <w:u w:val="none"/>
        </w:rPr>
        <w:t xml:space="preserve"> Deventer Inc</w:t>
      </w:r>
    </w:p>
    <w:p w14:paraId="1FF0495E" w14:textId="76CE920B" w:rsidR="00DA7117" w:rsidRPr="00E43629" w:rsidRDefault="00DA7117" w:rsidP="00E43629">
      <w:pPr>
        <w:widowControl w:val="0"/>
        <w:autoSpaceDE w:val="0"/>
        <w:autoSpaceDN w:val="0"/>
        <w:adjustRightInd w:val="0"/>
        <w:jc w:val="both"/>
        <w:rPr>
          <w:sz w:val="22"/>
          <w:u w:val="none"/>
        </w:rPr>
      </w:pPr>
    </w:p>
    <w:p w14:paraId="5F3E368B" w14:textId="66EA9F54" w:rsidR="00CA0C09" w:rsidRPr="00E43629" w:rsidRDefault="00CA0C09" w:rsidP="00E43629">
      <w:pPr>
        <w:widowControl w:val="0"/>
        <w:autoSpaceDE w:val="0"/>
        <w:autoSpaceDN w:val="0"/>
        <w:adjustRightInd w:val="0"/>
        <w:jc w:val="both"/>
        <w:rPr>
          <w:sz w:val="22"/>
          <w:u w:val="none"/>
        </w:rPr>
      </w:pPr>
      <w:r w:rsidRPr="00E43629">
        <w:rPr>
          <w:sz w:val="22"/>
          <w:u w:val="none"/>
        </w:rPr>
        <w:t>For the 3</w:t>
      </w:r>
      <w:r w:rsidRPr="00E43629">
        <w:rPr>
          <w:sz w:val="22"/>
          <w:u w:val="none"/>
          <w:vertAlign w:val="superscript"/>
        </w:rPr>
        <w:t>rd</w:t>
      </w:r>
      <w:r w:rsidRPr="00E43629">
        <w:rPr>
          <w:sz w:val="22"/>
          <w:u w:val="none"/>
        </w:rPr>
        <w:t xml:space="preserve"> Respondent</w:t>
      </w:r>
      <w:r w:rsidRPr="00E43629">
        <w:rPr>
          <w:sz w:val="22"/>
          <w:u w:val="none"/>
        </w:rPr>
        <w:tab/>
      </w:r>
      <w:r w:rsidRPr="00E43629">
        <w:rPr>
          <w:sz w:val="22"/>
          <w:u w:val="none"/>
        </w:rPr>
        <w:tab/>
        <w:t xml:space="preserve">: </w:t>
      </w:r>
      <w:r w:rsidR="00AE20DD" w:rsidRPr="00E43629">
        <w:rPr>
          <w:sz w:val="22"/>
          <w:u w:val="none"/>
        </w:rPr>
        <w:t>Adv NJ Horn</w:t>
      </w:r>
    </w:p>
    <w:p w14:paraId="70BF64FC" w14:textId="77777777" w:rsidR="00CA0C09" w:rsidRPr="00E43629" w:rsidRDefault="00CA0C09" w:rsidP="00E43629">
      <w:pPr>
        <w:widowControl w:val="0"/>
        <w:autoSpaceDE w:val="0"/>
        <w:autoSpaceDN w:val="0"/>
        <w:adjustRightInd w:val="0"/>
        <w:jc w:val="both"/>
        <w:rPr>
          <w:sz w:val="22"/>
          <w:u w:val="none"/>
        </w:rPr>
      </w:pPr>
      <w:r w:rsidRPr="00E43629">
        <w:rPr>
          <w:sz w:val="22"/>
          <w:u w:val="none"/>
        </w:rPr>
        <w:t>Instructed by</w:t>
      </w:r>
      <w:r w:rsidRPr="00E43629">
        <w:rPr>
          <w:sz w:val="22"/>
          <w:u w:val="none"/>
        </w:rPr>
        <w:tab/>
      </w:r>
      <w:r w:rsidRPr="00E43629">
        <w:rPr>
          <w:sz w:val="22"/>
          <w:u w:val="none"/>
        </w:rPr>
        <w:tab/>
      </w:r>
      <w:r w:rsidRPr="00E43629">
        <w:rPr>
          <w:sz w:val="22"/>
          <w:u w:val="none"/>
        </w:rPr>
        <w:tab/>
      </w:r>
      <w:r w:rsidRPr="00E43629">
        <w:rPr>
          <w:sz w:val="22"/>
          <w:u w:val="none"/>
        </w:rPr>
        <w:tab/>
        <w:t>: Tim Du Toit &amp; Company Inc</w:t>
      </w:r>
    </w:p>
    <w:p w14:paraId="720B107F" w14:textId="4C0B9468" w:rsidR="00DA7117" w:rsidRPr="00E43629" w:rsidRDefault="00DA7117" w:rsidP="00E43629">
      <w:pPr>
        <w:widowControl w:val="0"/>
        <w:autoSpaceDE w:val="0"/>
        <w:autoSpaceDN w:val="0"/>
        <w:adjustRightInd w:val="0"/>
        <w:jc w:val="both"/>
        <w:rPr>
          <w:sz w:val="22"/>
          <w:u w:val="none"/>
        </w:rPr>
      </w:pPr>
    </w:p>
    <w:p w14:paraId="5CF64D25" w14:textId="426CDCE6" w:rsidR="00BE2611" w:rsidRPr="00E43629" w:rsidRDefault="00BE2611" w:rsidP="00E43629">
      <w:pPr>
        <w:widowControl w:val="0"/>
        <w:autoSpaceDE w:val="0"/>
        <w:autoSpaceDN w:val="0"/>
        <w:adjustRightInd w:val="0"/>
        <w:jc w:val="both"/>
        <w:rPr>
          <w:sz w:val="22"/>
          <w:u w:val="none"/>
        </w:rPr>
      </w:pPr>
      <w:r w:rsidRPr="00E43629">
        <w:rPr>
          <w:sz w:val="22"/>
          <w:u w:val="none"/>
        </w:rPr>
        <w:t xml:space="preserve">Heard on      </w:t>
      </w:r>
      <w:r w:rsidRPr="00E43629">
        <w:rPr>
          <w:sz w:val="22"/>
          <w:u w:val="none"/>
        </w:rPr>
        <w:tab/>
      </w:r>
      <w:r w:rsidRPr="00E43629">
        <w:rPr>
          <w:sz w:val="22"/>
          <w:u w:val="none"/>
        </w:rPr>
        <w:tab/>
      </w:r>
      <w:r w:rsidRPr="00E43629">
        <w:rPr>
          <w:sz w:val="22"/>
          <w:u w:val="none"/>
        </w:rPr>
        <w:tab/>
      </w:r>
      <w:r w:rsidRPr="00E43629">
        <w:rPr>
          <w:sz w:val="22"/>
          <w:u w:val="none"/>
        </w:rPr>
        <w:tab/>
        <w:t xml:space="preserve">: </w:t>
      </w:r>
      <w:r w:rsidR="00CA0C09" w:rsidRPr="00E43629">
        <w:rPr>
          <w:sz w:val="22"/>
          <w:u w:val="none"/>
        </w:rPr>
        <w:t>25 April 2022</w:t>
      </w:r>
    </w:p>
    <w:sectPr w:rsidR="00BE2611" w:rsidRPr="00E4362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A62B" w14:textId="77777777" w:rsidR="000D4E37" w:rsidRDefault="000D4E37" w:rsidP="00F46F07">
      <w:r>
        <w:separator/>
      </w:r>
    </w:p>
  </w:endnote>
  <w:endnote w:type="continuationSeparator" w:id="0">
    <w:p w14:paraId="21B3F8C7" w14:textId="77777777" w:rsidR="000D4E37" w:rsidRDefault="000D4E37" w:rsidP="00F4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F5FE" w14:textId="77777777" w:rsidR="000D4E37" w:rsidRPr="00F46F07" w:rsidRDefault="000D4E37" w:rsidP="00F46F07">
      <w:pPr>
        <w:rPr>
          <w:u w:val="none"/>
          <w:lang w:val="en-US"/>
        </w:rPr>
      </w:pPr>
      <w:r w:rsidRPr="00F46F07">
        <w:rPr>
          <w:u w:val="none"/>
        </w:rPr>
        <w:separator/>
      </w:r>
    </w:p>
  </w:footnote>
  <w:footnote w:type="continuationSeparator" w:id="0">
    <w:p w14:paraId="0C9E0394" w14:textId="77777777" w:rsidR="000D4E37" w:rsidRDefault="000D4E37" w:rsidP="00F46F07">
      <w:r>
        <w:continuationSeparator/>
      </w:r>
    </w:p>
  </w:footnote>
  <w:footnote w:id="1">
    <w:p w14:paraId="36834982"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Known henceforth as “the property”</w:t>
      </w:r>
    </w:p>
  </w:footnote>
  <w:footnote w:id="2">
    <w:p w14:paraId="65A7C4EF" w14:textId="4824A9C4" w:rsidR="00DA1A17" w:rsidRPr="0043781A" w:rsidRDefault="00DA1A17" w:rsidP="00467124">
      <w:pPr>
        <w:pStyle w:val="FootnoteText"/>
        <w:jc w:val="both"/>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Wraypex is now known as BA Development Company (Pty) Ltd, but will be re</w:t>
      </w:r>
      <w:r w:rsidR="005A0C3B">
        <w:rPr>
          <w:rFonts w:asciiTheme="minorHAnsi" w:hAnsiTheme="minorHAnsi" w:cstheme="minorHAnsi"/>
          <w:u w:val="none"/>
          <w:lang w:val="en-US"/>
        </w:rPr>
        <w:t>ferred to as Wraypex in this judg</w:t>
      </w:r>
      <w:r w:rsidRPr="0043781A">
        <w:rPr>
          <w:rFonts w:asciiTheme="minorHAnsi" w:hAnsiTheme="minorHAnsi" w:cstheme="minorHAnsi"/>
          <w:u w:val="none"/>
          <w:lang w:val="en-US"/>
        </w:rPr>
        <w:t>ment</w:t>
      </w:r>
    </w:p>
  </w:footnote>
  <w:footnote w:id="3">
    <w:p w14:paraId="20BBAC0F" w14:textId="3F34914C"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Who would be liable for the subdivision costs in terms </w:t>
      </w:r>
      <w:r w:rsidR="005D59F9">
        <w:rPr>
          <w:rFonts w:asciiTheme="minorHAnsi" w:hAnsiTheme="minorHAnsi" w:cstheme="minorHAnsi"/>
          <w:u w:val="none"/>
          <w:lang w:val="en-US"/>
        </w:rPr>
        <w:t>of clause 4 of the Deed of Sale</w:t>
      </w:r>
    </w:p>
  </w:footnote>
  <w:footnote w:id="4">
    <w:p w14:paraId="5AC46CD3" w14:textId="16D7C4E6" w:rsidR="00DA1A17" w:rsidRPr="0043781A" w:rsidRDefault="00DA1A17" w:rsidP="0074058A">
      <w:pPr>
        <w:tabs>
          <w:tab w:val="left" w:pos="0"/>
        </w:tabs>
        <w:ind w:left="567" w:hanging="567"/>
        <w:jc w:val="both"/>
        <w:rPr>
          <w:rFonts w:asciiTheme="minorHAnsi" w:hAnsiTheme="minorHAnsi" w:cstheme="minorHAnsi"/>
          <w:color w:val="000000" w:themeColor="text1"/>
          <w:sz w:val="20"/>
          <w:szCs w:val="20"/>
          <w:u w:val="none"/>
        </w:rPr>
      </w:pPr>
      <w:r w:rsidRPr="0043781A">
        <w:rPr>
          <w:rStyle w:val="FootnoteReference"/>
          <w:rFonts w:asciiTheme="minorHAnsi" w:hAnsiTheme="minorHAnsi" w:cstheme="minorHAnsi"/>
          <w:sz w:val="20"/>
          <w:szCs w:val="20"/>
          <w:u w:val="none"/>
        </w:rPr>
        <w:footnoteRef/>
      </w:r>
      <w:r w:rsidRPr="0043781A">
        <w:rPr>
          <w:rFonts w:asciiTheme="minorHAnsi" w:hAnsiTheme="minorHAnsi" w:cstheme="minorHAnsi"/>
          <w:sz w:val="20"/>
          <w:szCs w:val="20"/>
          <w:u w:val="none"/>
        </w:rPr>
        <w:t xml:space="preserve"> </w:t>
      </w:r>
      <w:r w:rsidR="0074058A">
        <w:rPr>
          <w:rFonts w:asciiTheme="minorHAnsi" w:hAnsiTheme="minorHAnsi" w:cstheme="minorHAnsi"/>
          <w:sz w:val="20"/>
          <w:szCs w:val="20"/>
          <w:u w:val="none"/>
          <w:lang w:val="en-US"/>
        </w:rPr>
        <w:t>Section 4 (2) of the SLA</w:t>
      </w:r>
      <w:r w:rsidRPr="0043781A">
        <w:rPr>
          <w:rFonts w:asciiTheme="minorHAnsi" w:hAnsiTheme="minorHAnsi" w:cstheme="minorHAnsi"/>
          <w:sz w:val="20"/>
          <w:szCs w:val="20"/>
          <w:u w:val="none"/>
          <w:lang w:val="en-US"/>
        </w:rPr>
        <w:t xml:space="preserve"> states:</w:t>
      </w:r>
      <w:r w:rsidRPr="0043781A">
        <w:rPr>
          <w:rFonts w:asciiTheme="minorHAnsi" w:hAnsiTheme="minorHAnsi" w:cstheme="minorHAnsi"/>
          <w:color w:val="000000" w:themeColor="text1"/>
          <w:sz w:val="20"/>
          <w:szCs w:val="20"/>
          <w:u w:val="none"/>
        </w:rPr>
        <w:tab/>
      </w:r>
      <w:r w:rsidRPr="0043781A">
        <w:rPr>
          <w:rFonts w:asciiTheme="minorHAnsi" w:hAnsiTheme="minorHAnsi" w:cstheme="minorHAnsi"/>
          <w:color w:val="000000" w:themeColor="text1"/>
          <w:sz w:val="20"/>
          <w:szCs w:val="20"/>
          <w:u w:val="none"/>
        </w:rPr>
        <w:tab/>
      </w:r>
    </w:p>
    <w:p w14:paraId="3C8FCF64" w14:textId="77777777" w:rsidR="00DA1A17" w:rsidRPr="0043781A" w:rsidRDefault="00DA1A17" w:rsidP="0074058A">
      <w:pPr>
        <w:tabs>
          <w:tab w:val="left" w:pos="0"/>
        </w:tabs>
        <w:ind w:left="567" w:hanging="567"/>
        <w:jc w:val="both"/>
        <w:rPr>
          <w:rFonts w:asciiTheme="minorHAnsi" w:hAnsiTheme="minorHAnsi" w:cstheme="minorHAnsi"/>
          <w:color w:val="000000" w:themeColor="text1"/>
          <w:sz w:val="20"/>
          <w:szCs w:val="20"/>
          <w:u w:val="none"/>
        </w:rPr>
      </w:pPr>
      <w:r w:rsidRPr="0043781A">
        <w:rPr>
          <w:rFonts w:asciiTheme="minorHAnsi" w:hAnsiTheme="minorHAnsi" w:cstheme="minorHAnsi"/>
          <w:color w:val="000000" w:themeColor="text1"/>
          <w:sz w:val="20"/>
          <w:szCs w:val="20"/>
          <w:u w:val="none"/>
        </w:rPr>
        <w:tab/>
        <w:t>The Minister may in his discretion refuse or—</w:t>
      </w:r>
    </w:p>
    <w:p w14:paraId="74140904" w14:textId="77777777" w:rsidR="00DA1A17" w:rsidRPr="0043781A" w:rsidRDefault="00DA1A17" w:rsidP="0074058A">
      <w:pPr>
        <w:tabs>
          <w:tab w:val="left" w:pos="567"/>
        </w:tabs>
        <w:ind w:left="1134" w:hanging="567"/>
        <w:jc w:val="both"/>
        <w:rPr>
          <w:rFonts w:asciiTheme="minorHAnsi" w:hAnsiTheme="minorHAnsi" w:cstheme="minorHAnsi"/>
          <w:color w:val="000000" w:themeColor="text1"/>
          <w:sz w:val="20"/>
          <w:szCs w:val="20"/>
          <w:u w:val="none"/>
        </w:rPr>
      </w:pPr>
      <w:r w:rsidRPr="0043781A">
        <w:rPr>
          <w:rFonts w:asciiTheme="minorHAnsi" w:hAnsiTheme="minorHAnsi" w:cstheme="minorHAnsi"/>
          <w:color w:val="000000" w:themeColor="text1"/>
          <w:sz w:val="20"/>
          <w:szCs w:val="20"/>
          <w:u w:val="none"/>
        </w:rPr>
        <w:t>(a)</w:t>
      </w:r>
      <w:r w:rsidRPr="0043781A">
        <w:rPr>
          <w:rFonts w:asciiTheme="minorHAnsi" w:hAnsiTheme="minorHAnsi" w:cstheme="minorHAnsi"/>
          <w:color w:val="000000" w:themeColor="text1"/>
          <w:sz w:val="20"/>
          <w:szCs w:val="20"/>
          <w:u w:val="none"/>
        </w:rPr>
        <w:tab/>
        <w:t>on such conditions, including conditions as to the purpose for or manner in which the land in question may be used, as he deems fit, grant any such application;</w:t>
      </w:r>
    </w:p>
    <w:p w14:paraId="3FAAC88D" w14:textId="77777777" w:rsidR="00DA1A17" w:rsidRPr="0043781A" w:rsidRDefault="00DA1A17" w:rsidP="0074058A">
      <w:pPr>
        <w:tabs>
          <w:tab w:val="left" w:pos="567"/>
        </w:tabs>
        <w:ind w:left="1134" w:hanging="567"/>
        <w:jc w:val="both"/>
        <w:rPr>
          <w:rFonts w:asciiTheme="minorHAnsi" w:hAnsiTheme="minorHAnsi" w:cstheme="minorHAnsi"/>
          <w:i/>
          <w:color w:val="000000" w:themeColor="text1"/>
          <w:sz w:val="20"/>
          <w:szCs w:val="20"/>
          <w:u w:val="none"/>
        </w:rPr>
      </w:pPr>
      <w:r w:rsidRPr="0043781A">
        <w:rPr>
          <w:rFonts w:asciiTheme="minorHAnsi" w:hAnsiTheme="minorHAnsi" w:cstheme="minorHAnsi"/>
          <w:color w:val="000000" w:themeColor="text1"/>
          <w:sz w:val="20"/>
          <w:szCs w:val="20"/>
          <w:u w:val="none"/>
        </w:rPr>
        <w:t>(b)</w:t>
      </w:r>
      <w:r w:rsidRPr="0043781A">
        <w:rPr>
          <w:rFonts w:asciiTheme="minorHAnsi" w:hAnsiTheme="minorHAnsi" w:cstheme="minorHAnsi"/>
          <w:color w:val="000000" w:themeColor="text1"/>
          <w:sz w:val="20"/>
          <w:szCs w:val="20"/>
          <w:u w:val="none"/>
        </w:rPr>
        <w:tab/>
        <w:t xml:space="preserve">if he is satisfied that the land in question is not to be used for agricultural purposes and after consultation with the Administrator of the province in which such land is situated, on such conditions as such Administrator may determine in regard to the purpose for or manner in which such land may be used, grant any such application. </w:t>
      </w:r>
      <w:r w:rsidRPr="0043781A">
        <w:rPr>
          <w:rFonts w:asciiTheme="minorHAnsi" w:hAnsiTheme="minorHAnsi" w:cstheme="minorHAnsi"/>
          <w:i/>
          <w:color w:val="000000" w:themeColor="text1"/>
          <w:sz w:val="20"/>
          <w:szCs w:val="20"/>
          <w:u w:val="none"/>
        </w:rPr>
        <w:t xml:space="preserve"> </w:t>
      </w:r>
    </w:p>
  </w:footnote>
  <w:footnote w:id="5">
    <w:p w14:paraId="15DCAADB" w14:textId="77777777" w:rsidR="00DA1A17" w:rsidRPr="0043781A" w:rsidRDefault="00DA1A17" w:rsidP="0074058A">
      <w:pPr>
        <w:pStyle w:val="FootnoteText"/>
        <w:jc w:val="both"/>
        <w:rPr>
          <w:rFonts w:asciiTheme="minorHAnsi" w:hAnsiTheme="minorHAnsi" w:cstheme="minorHAnsi"/>
          <w: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According to Wraypex: </w:t>
      </w:r>
      <w:r w:rsidRPr="0043781A">
        <w:rPr>
          <w:rFonts w:asciiTheme="minorHAnsi" w:hAnsiTheme="minorHAnsi" w:cstheme="minorHAnsi"/>
          <w:i/>
          <w:u w:val="none"/>
          <w:lang w:val="en-US"/>
        </w:rPr>
        <w:t>“I interpose to mention that the property is adjacent to the Blair Athol Golf Estate and that the Wraypex obtained finance from various financial institutions, including Standard Bank and Absa for the finance of the Blair Athol Golf Estate. The security herein forms part of the security registered in the name of Absa is part of the security granted by Wraypex to Absa for its facilities.”</w:t>
      </w:r>
    </w:p>
    <w:p w14:paraId="4D936109" w14:textId="69D422B5" w:rsidR="00DA1A17" w:rsidRPr="0043781A" w:rsidRDefault="00DA1A17" w:rsidP="0074058A">
      <w:pPr>
        <w:pStyle w:val="FootnoteText"/>
        <w:jc w:val="both"/>
        <w:rPr>
          <w:u w:val="none"/>
          <w:lang w:val="en-US"/>
        </w:rPr>
      </w:pPr>
      <w:r w:rsidRPr="0043781A">
        <w:rPr>
          <w:rFonts w:asciiTheme="minorHAnsi" w:hAnsiTheme="minorHAnsi" w:cstheme="minorHAnsi"/>
          <w:u w:val="none"/>
          <w:lang w:val="en-US"/>
        </w:rPr>
        <w:t xml:space="preserve">This the impression is created that the additional security was provided in </w:t>
      </w:r>
      <w:r>
        <w:rPr>
          <w:rFonts w:asciiTheme="minorHAnsi" w:hAnsiTheme="minorHAnsi" w:cstheme="minorHAnsi"/>
          <w:u w:val="none"/>
          <w:lang w:val="en-US"/>
        </w:rPr>
        <w:t xml:space="preserve">respect </w:t>
      </w:r>
      <w:r w:rsidRPr="0043781A">
        <w:rPr>
          <w:rFonts w:asciiTheme="minorHAnsi" w:hAnsiTheme="minorHAnsi" w:cstheme="minorHAnsi"/>
          <w:u w:val="none"/>
          <w:lang w:val="en-US"/>
        </w:rPr>
        <w:t>of the entirety of the Blair Athol Golf Estate development.</w:t>
      </w:r>
    </w:p>
  </w:footnote>
  <w:footnote w:id="6">
    <w:p w14:paraId="29FE6911"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Part of the conditions of Mogale City Local Municipality </w:t>
      </w:r>
    </w:p>
  </w:footnote>
  <w:footnote w:id="7">
    <w:p w14:paraId="20118001"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This proposed that the portion of the property to the east of the R512 would be known as Portion 168 (a Portion of Portion 11) of the Farm Lindley, 528, JQ, in extent of 32,6248 hectares and the portion to the west of the R512 would be known as the Remainder of Portion 11 of the Farm Lindley, 528. JQ in extent 40,8112 hectares.</w:t>
      </w:r>
    </w:p>
  </w:footnote>
  <w:footnote w:id="8">
    <w:p w14:paraId="5A685D22" w14:textId="77777777" w:rsidR="00DA1A17" w:rsidRPr="0043781A" w:rsidRDefault="00DA1A17">
      <w:pPr>
        <w:pStyle w:val="FootnoteText"/>
        <w:rPr>
          <w:rFonts w:asciiTheme="minorHAnsi" w:hAnsiTheme="minorHAnsi" w:cstheme="minorHAnsi"/>
          <w:u w:val="none"/>
          <w:lang w:val="en-US"/>
        </w:rPr>
      </w:pPr>
      <w:r w:rsidRPr="0043781A">
        <w:rPr>
          <w:rStyle w:val="FootnoteReference"/>
          <w:u w:val="none"/>
        </w:rPr>
        <w:footnoteRef/>
      </w:r>
      <w:r w:rsidRPr="0043781A">
        <w:rPr>
          <w:u w:val="none"/>
        </w:rPr>
        <w:t xml:space="preserve"> </w:t>
      </w:r>
      <w:r w:rsidRPr="0043781A">
        <w:rPr>
          <w:rFonts w:asciiTheme="minorHAnsi" w:hAnsiTheme="minorHAnsi" w:cstheme="minorHAnsi"/>
          <w:u w:val="none"/>
          <w:lang w:val="en-US"/>
        </w:rPr>
        <w:t xml:space="preserve">Mogale City also gave an extension of its consent on 16 March 2017 </w:t>
      </w:r>
    </w:p>
  </w:footnote>
  <w:footnote w:id="9">
    <w:p w14:paraId="70C9D916" w14:textId="43419AE0" w:rsidR="00DA1A17" w:rsidRPr="0043781A" w:rsidRDefault="00DA1A17">
      <w:pPr>
        <w:pStyle w:val="FootnoteText"/>
        <w:rPr>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00C9048A">
        <w:rPr>
          <w:rFonts w:asciiTheme="minorHAnsi" w:hAnsiTheme="minorHAnsi" w:cstheme="minorHAnsi"/>
          <w:u w:val="none"/>
          <w:lang w:val="en-US"/>
        </w:rPr>
        <w:t>This is section 25 of the Division of Land Ordinance 30 of 1986</w:t>
      </w:r>
    </w:p>
  </w:footnote>
  <w:footnote w:id="10">
    <w:p w14:paraId="0A9A04E0"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It was served as follows: on Wraypex and the BRP on 7 September 2020; on ABSA Bank on 19 August 2020; on the potential purchaser on 26 August 2020 and on the Registrar of Deeds on 17 August 2020. It is opposed by Wraypex, the BRP and ABSA Bank.</w:t>
      </w:r>
    </w:p>
  </w:footnote>
  <w:footnote w:id="11">
    <w:p w14:paraId="51B9BDCC"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Setlogelo v Setlogelo 1914 AD 221 at 227</w:t>
      </w:r>
    </w:p>
  </w:footnote>
  <w:footnote w:id="12">
    <w:p w14:paraId="335267CE" w14:textId="77777777" w:rsidR="00DA1A17" w:rsidRPr="0043781A" w:rsidRDefault="00DA1A17" w:rsidP="00186AC4">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2014 (1) SA 172 (WCC)</w:t>
      </w:r>
      <w:r>
        <w:rPr>
          <w:rFonts w:asciiTheme="minorHAnsi" w:hAnsiTheme="minorHAnsi" w:cstheme="minorHAnsi"/>
          <w:u w:val="none"/>
          <w:lang w:val="en-US"/>
        </w:rPr>
        <w:t xml:space="preserve"> at para 45</w:t>
      </w:r>
    </w:p>
  </w:footnote>
  <w:footnote w:id="13">
    <w:p w14:paraId="5DB30C55"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Eriksen Motors (Welkom) Ltd v Protea Motors, Warrenton and Another 1973 (3) SA 685 (A) at 691 C-G </w:t>
      </w:r>
    </w:p>
  </w:footnote>
  <w:footnote w:id="14">
    <w:p w14:paraId="38ECEED3"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1995 (2) SA 813 (W) at 832 H – 833 B</w:t>
      </w:r>
    </w:p>
  </w:footnote>
  <w:footnote w:id="15">
    <w:p w14:paraId="7492D53D" w14:textId="77777777" w:rsidR="00DA1A17" w:rsidRPr="0043781A" w:rsidRDefault="00DA1A17" w:rsidP="00C94535">
      <w:pPr>
        <w:pStyle w:val="FootnoteText"/>
        <w:tabs>
          <w:tab w:val="left" w:pos="284"/>
        </w:tabs>
        <w:ind w:left="142" w:hanging="142"/>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Setlogelo supra; LF Boshoff Investments (Pty) Ltd v Cape Town Municipality; Cape Town Municipality v LF   Boshoff Investments (Pty) Ltd 1969 (2) SA 256 (C) at 267 C-D</w:t>
      </w:r>
    </w:p>
  </w:footnote>
  <w:footnote w:id="16">
    <w:p w14:paraId="400B7507"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Per Viljoen AJ in Rizla International BV and Another v L Suzman Distributors (Pty) Ltd 1996/2) SA 527 (C) at 530 D –F quoting Webster v Mitchell 1948 (1) SA 1186 (W) at 1189 </w:t>
      </w:r>
    </w:p>
  </w:footnote>
  <w:footnote w:id="17">
    <w:p w14:paraId="12956EBA" w14:textId="77777777" w:rsidR="00DA1A17" w:rsidRPr="0043781A" w:rsidRDefault="00DA1A17">
      <w:pPr>
        <w:pStyle w:val="FootnoteText"/>
        <w:rPr>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Which he says includes those set out in Section 76,77,78,140 and 141 of the Companies Act 71/2008</w:t>
      </w:r>
    </w:p>
  </w:footnote>
  <w:footnote w:id="18">
    <w:p w14:paraId="754B4DB3" w14:textId="77777777" w:rsidR="00DA1A17" w:rsidRPr="00F81248" w:rsidRDefault="00DA1A17" w:rsidP="00F81248">
      <w:pPr>
        <w:jc w:val="both"/>
        <w:rPr>
          <w:rFonts w:asciiTheme="minorHAnsi" w:hAnsiTheme="minorHAnsi"/>
          <w:i/>
          <w:sz w:val="20"/>
          <w:szCs w:val="20"/>
          <w:u w:val="none"/>
        </w:rPr>
      </w:pPr>
      <w:r w:rsidRPr="00F81248">
        <w:rPr>
          <w:rStyle w:val="FootnoteReference"/>
          <w:rFonts w:asciiTheme="minorHAnsi" w:hAnsiTheme="minorHAnsi"/>
          <w:sz w:val="20"/>
          <w:szCs w:val="20"/>
          <w:u w:val="none"/>
        </w:rPr>
        <w:footnoteRef/>
      </w:r>
      <w:r w:rsidRPr="00F81248">
        <w:rPr>
          <w:rFonts w:asciiTheme="minorHAnsi" w:hAnsiTheme="minorHAnsi"/>
          <w:sz w:val="20"/>
          <w:szCs w:val="20"/>
          <w:u w:val="none"/>
        </w:rPr>
        <w:t xml:space="preserve"> </w:t>
      </w:r>
      <w:r w:rsidRPr="00F81248">
        <w:rPr>
          <w:rFonts w:asciiTheme="minorHAnsi" w:hAnsiTheme="minorHAnsi"/>
          <w:i/>
          <w:sz w:val="20"/>
          <w:szCs w:val="20"/>
          <w:u w:val="none"/>
        </w:rPr>
        <w:t xml:space="preserve">(a) </w:t>
      </w:r>
      <w:r w:rsidRPr="00F81248">
        <w:rPr>
          <w:rFonts w:asciiTheme="minorHAnsi" w:hAnsiTheme="minorHAnsi"/>
          <w:i/>
          <w:sz w:val="20"/>
          <w:szCs w:val="20"/>
          <w:u w:val="none"/>
        </w:rPr>
        <w:tab/>
        <w:t xml:space="preserve">‘‘affected person’’, in relation to a company, means— </w:t>
      </w:r>
    </w:p>
    <w:p w14:paraId="64F0CCD4" w14:textId="77777777" w:rsidR="00DA1A17" w:rsidRPr="00F81248" w:rsidRDefault="00DA1A17" w:rsidP="00F81248">
      <w:pPr>
        <w:pStyle w:val="ListParagraph"/>
        <w:ind w:left="1429" w:firstLine="11"/>
        <w:jc w:val="both"/>
        <w:rPr>
          <w:rFonts w:asciiTheme="minorHAnsi" w:hAnsiTheme="minorHAnsi"/>
          <w:i/>
          <w:sz w:val="20"/>
          <w:szCs w:val="20"/>
          <w:u w:val="none"/>
        </w:rPr>
      </w:pPr>
      <w:r w:rsidRPr="00F81248">
        <w:rPr>
          <w:rFonts w:asciiTheme="minorHAnsi" w:hAnsiTheme="minorHAnsi"/>
          <w:i/>
          <w:sz w:val="20"/>
          <w:szCs w:val="20"/>
          <w:u w:val="none"/>
        </w:rPr>
        <w:t xml:space="preserve">(i) </w:t>
      </w:r>
      <w:r w:rsidRPr="00F81248">
        <w:rPr>
          <w:rFonts w:asciiTheme="minorHAnsi" w:hAnsiTheme="minorHAnsi"/>
          <w:i/>
          <w:sz w:val="20"/>
          <w:szCs w:val="20"/>
          <w:u w:val="none"/>
        </w:rPr>
        <w:tab/>
        <w:t xml:space="preserve">a shareholder or creditor of the company; </w:t>
      </w:r>
    </w:p>
    <w:p w14:paraId="04EEC426" w14:textId="77777777" w:rsidR="00DA1A17" w:rsidRPr="00F81248" w:rsidRDefault="00DA1A17" w:rsidP="00F81248">
      <w:pPr>
        <w:pStyle w:val="ListParagraph"/>
        <w:ind w:left="2160" w:hanging="731"/>
        <w:jc w:val="both"/>
        <w:rPr>
          <w:rFonts w:asciiTheme="minorHAnsi" w:hAnsiTheme="minorHAnsi"/>
          <w:i/>
          <w:sz w:val="20"/>
          <w:szCs w:val="20"/>
          <w:u w:val="none"/>
        </w:rPr>
      </w:pPr>
      <w:r w:rsidRPr="00F81248">
        <w:rPr>
          <w:rFonts w:asciiTheme="minorHAnsi" w:hAnsiTheme="minorHAnsi"/>
          <w:i/>
          <w:sz w:val="20"/>
          <w:szCs w:val="20"/>
          <w:u w:val="none"/>
        </w:rPr>
        <w:t xml:space="preserve">(ii) </w:t>
      </w:r>
      <w:r w:rsidRPr="00F81248">
        <w:rPr>
          <w:rFonts w:asciiTheme="minorHAnsi" w:hAnsiTheme="minorHAnsi"/>
          <w:i/>
          <w:sz w:val="20"/>
          <w:szCs w:val="20"/>
          <w:u w:val="none"/>
        </w:rPr>
        <w:tab/>
        <w:t xml:space="preserve">any registered trade union representing employees of the company; and </w:t>
      </w:r>
    </w:p>
    <w:p w14:paraId="56E7A531" w14:textId="77777777" w:rsidR="00DA1A17" w:rsidRPr="00F81248" w:rsidRDefault="00DA1A17" w:rsidP="00F81248">
      <w:pPr>
        <w:pStyle w:val="ListParagraph"/>
        <w:ind w:left="2160" w:hanging="742"/>
        <w:jc w:val="both"/>
        <w:rPr>
          <w:rFonts w:asciiTheme="minorHAnsi" w:hAnsiTheme="minorHAnsi"/>
          <w:i/>
          <w:sz w:val="20"/>
          <w:szCs w:val="20"/>
          <w:u w:val="none"/>
        </w:rPr>
      </w:pPr>
      <w:r w:rsidRPr="00F81248">
        <w:rPr>
          <w:rFonts w:asciiTheme="minorHAnsi" w:hAnsiTheme="minorHAnsi"/>
          <w:i/>
          <w:sz w:val="20"/>
          <w:szCs w:val="20"/>
          <w:u w:val="none"/>
        </w:rPr>
        <w:t xml:space="preserve">(iii) </w:t>
      </w:r>
      <w:r w:rsidRPr="00F81248">
        <w:rPr>
          <w:rFonts w:asciiTheme="minorHAnsi" w:hAnsiTheme="minorHAnsi"/>
          <w:i/>
          <w:sz w:val="20"/>
          <w:szCs w:val="20"/>
          <w:u w:val="none"/>
        </w:rPr>
        <w:tab/>
        <w:t>if any of the employees of the company are not represented by a registered trade union, each of those employees or their respective representatives;”</w:t>
      </w:r>
    </w:p>
    <w:p w14:paraId="5820988B" w14:textId="1F94A771" w:rsidR="00DA1A17" w:rsidRPr="00F81248" w:rsidRDefault="00DA1A17">
      <w:pPr>
        <w:pStyle w:val="FootnoteText"/>
        <w:rPr>
          <w:lang w:val="en-US"/>
        </w:rPr>
      </w:pPr>
    </w:p>
  </w:footnote>
  <w:footnote w:id="19">
    <w:p w14:paraId="09C59F9A"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That the costs be reserved for determination in the pending action under case number 36310/2020, unless the 1</w:t>
      </w:r>
      <w:r w:rsidRPr="0043781A">
        <w:rPr>
          <w:rFonts w:asciiTheme="minorHAnsi" w:hAnsiTheme="minorHAnsi" w:cstheme="minorHAnsi"/>
          <w:u w:val="none"/>
          <w:vertAlign w:val="superscript"/>
          <w:lang w:val="en-US"/>
        </w:rPr>
        <w:t>st</w:t>
      </w:r>
      <w:r w:rsidRPr="0043781A">
        <w:rPr>
          <w:rFonts w:asciiTheme="minorHAnsi" w:hAnsiTheme="minorHAnsi" w:cstheme="minorHAnsi"/>
          <w:u w:val="none"/>
          <w:lang w:val="en-US"/>
        </w:rPr>
        <w:t xml:space="preserve"> and 2</w:t>
      </w:r>
      <w:r w:rsidRPr="0043781A">
        <w:rPr>
          <w:rFonts w:asciiTheme="minorHAnsi" w:hAnsiTheme="minorHAnsi" w:cstheme="minorHAnsi"/>
          <w:u w:val="none"/>
          <w:vertAlign w:val="superscript"/>
          <w:lang w:val="en-US"/>
        </w:rPr>
        <w:t>nd</w:t>
      </w:r>
      <w:r w:rsidRPr="0043781A">
        <w:rPr>
          <w:rFonts w:asciiTheme="minorHAnsi" w:hAnsiTheme="minorHAnsi" w:cstheme="minorHAnsi"/>
          <w:u w:val="none"/>
          <w:lang w:val="en-US"/>
        </w:rPr>
        <w:t xml:space="preserve"> respondents oppose the application. (Prayer 3 of the Notice of Motion)</w:t>
      </w:r>
    </w:p>
  </w:footnote>
  <w:footnote w:id="20">
    <w:p w14:paraId="2735A3DC" w14:textId="62A9CBC4" w:rsidR="00DF0F56" w:rsidRPr="00DF0F56" w:rsidRDefault="00DF0F56">
      <w:pPr>
        <w:pStyle w:val="FootnoteText"/>
        <w:rPr>
          <w:rFonts w:asciiTheme="minorHAnsi" w:hAnsiTheme="minorHAnsi"/>
          <w:u w:val="none"/>
          <w:lang w:val="en-US"/>
        </w:rPr>
      </w:pPr>
      <w:r w:rsidRPr="00DF0F56">
        <w:rPr>
          <w:rStyle w:val="FootnoteReference"/>
          <w:rFonts w:asciiTheme="minorHAnsi" w:hAnsiTheme="minorHAnsi"/>
          <w:u w:val="none"/>
        </w:rPr>
        <w:footnoteRef/>
      </w:r>
      <w:r w:rsidRPr="00DF0F56">
        <w:rPr>
          <w:rFonts w:asciiTheme="minorHAnsi" w:hAnsiTheme="minorHAnsi"/>
          <w:u w:val="none"/>
        </w:rPr>
        <w:t xml:space="preserve"> </w:t>
      </w:r>
      <w:r w:rsidRPr="00DF0F56">
        <w:rPr>
          <w:rFonts w:asciiTheme="minorHAnsi" w:hAnsiTheme="minorHAnsi"/>
          <w:u w:val="none"/>
          <w:lang w:val="en-US"/>
        </w:rPr>
        <w:t>Legator McKenna Inc and Others v Shea and Others 2010 (1) SA 35 (SCA at par 20</w:t>
      </w:r>
    </w:p>
  </w:footnote>
  <w:footnote w:id="21">
    <w:p w14:paraId="5684B464" w14:textId="74EA8AA5" w:rsidR="00CA27B8" w:rsidRPr="00CA27B8" w:rsidRDefault="00CA27B8">
      <w:pPr>
        <w:pStyle w:val="FootnoteText"/>
        <w:rPr>
          <w:rFonts w:asciiTheme="minorHAnsi" w:hAnsiTheme="minorHAnsi" w:cstheme="minorHAnsi"/>
          <w:u w:val="none"/>
          <w:lang w:val="en-US"/>
        </w:rPr>
      </w:pPr>
      <w:r w:rsidRPr="00CA27B8">
        <w:rPr>
          <w:rStyle w:val="FootnoteReference"/>
          <w:rFonts w:asciiTheme="minorHAnsi" w:hAnsiTheme="minorHAnsi" w:cstheme="minorHAnsi"/>
          <w:u w:val="none"/>
        </w:rPr>
        <w:footnoteRef/>
      </w:r>
      <w:r w:rsidRPr="00CA27B8">
        <w:rPr>
          <w:rFonts w:asciiTheme="minorHAnsi" w:hAnsiTheme="minorHAnsi" w:cstheme="minorHAnsi"/>
          <w:u w:val="none"/>
        </w:rPr>
        <w:t xml:space="preserve"> </w:t>
      </w:r>
      <w:r w:rsidRPr="00CA27B8">
        <w:rPr>
          <w:rFonts w:asciiTheme="minorHAnsi" w:hAnsiTheme="minorHAnsi" w:cstheme="minorHAnsi"/>
          <w:u w:val="none"/>
          <w:lang w:val="en-US"/>
        </w:rPr>
        <w:t xml:space="preserve">Based on the appellant’s unsuccessful argument on the </w:t>
      </w:r>
      <w:r>
        <w:rPr>
          <w:rFonts w:asciiTheme="minorHAnsi" w:hAnsiTheme="minorHAnsi" w:cstheme="minorHAnsi"/>
          <w:u w:val="none"/>
          <w:lang w:val="en-US"/>
        </w:rPr>
        <w:t>specific facts in</w:t>
      </w:r>
      <w:r w:rsidRPr="00CA27B8">
        <w:rPr>
          <w:rFonts w:asciiTheme="minorHAnsi" w:hAnsiTheme="minorHAnsi" w:cstheme="minorHAnsi"/>
          <w:u w:val="none"/>
          <w:lang w:val="en-US"/>
        </w:rPr>
        <w:t xml:space="preserve"> ABSA Bank Limited v Moore and Another 2017 (1) SA 255 (CC)</w:t>
      </w:r>
    </w:p>
  </w:footnote>
  <w:footnote w:id="22">
    <w:p w14:paraId="5C31BA10" w14:textId="4721A017" w:rsidR="00E711B1" w:rsidRPr="00E711B1" w:rsidRDefault="00E711B1">
      <w:pPr>
        <w:pStyle w:val="FootnoteText"/>
        <w:rPr>
          <w:rFonts w:asciiTheme="minorHAnsi" w:hAnsiTheme="minorHAnsi" w:cstheme="minorHAnsi"/>
          <w:u w:val="none"/>
          <w:lang w:val="en-US"/>
        </w:rPr>
      </w:pPr>
      <w:r w:rsidRPr="00E711B1">
        <w:rPr>
          <w:rStyle w:val="FootnoteReference"/>
          <w:rFonts w:asciiTheme="minorHAnsi" w:hAnsiTheme="minorHAnsi" w:cstheme="minorHAnsi"/>
          <w:u w:val="none"/>
        </w:rPr>
        <w:footnoteRef/>
      </w:r>
      <w:r w:rsidRPr="00E711B1">
        <w:rPr>
          <w:rFonts w:asciiTheme="minorHAnsi" w:hAnsiTheme="minorHAnsi" w:cstheme="minorHAnsi"/>
          <w:u w:val="none"/>
        </w:rPr>
        <w:t xml:space="preserve"> </w:t>
      </w:r>
      <w:r w:rsidRPr="00E711B1">
        <w:rPr>
          <w:rFonts w:asciiTheme="minorHAnsi" w:hAnsiTheme="minorHAnsi" w:cstheme="minorHAnsi"/>
          <w:u w:val="none"/>
          <w:lang w:val="en-US"/>
        </w:rPr>
        <w:t>[2017 1 All SA 401 (SCA)</w:t>
      </w:r>
    </w:p>
  </w:footnote>
  <w:footnote w:id="23">
    <w:p w14:paraId="50A2B3B8" w14:textId="128632AC" w:rsidR="00A33307" w:rsidRPr="00A33307" w:rsidRDefault="00A33307">
      <w:pPr>
        <w:pStyle w:val="FootnoteText"/>
        <w:rPr>
          <w:rFonts w:asciiTheme="minorHAnsi" w:hAnsiTheme="minorHAnsi" w:cstheme="minorHAnsi"/>
          <w:u w:val="none"/>
          <w:lang w:val="en-US"/>
        </w:rPr>
      </w:pPr>
      <w:r w:rsidRPr="00A33307">
        <w:rPr>
          <w:rStyle w:val="FootnoteReference"/>
          <w:rFonts w:asciiTheme="minorHAnsi" w:hAnsiTheme="minorHAnsi" w:cstheme="minorHAnsi"/>
          <w:u w:val="none"/>
        </w:rPr>
        <w:footnoteRef/>
      </w:r>
      <w:r w:rsidRPr="00A33307">
        <w:rPr>
          <w:rFonts w:asciiTheme="minorHAnsi" w:hAnsiTheme="minorHAnsi" w:cstheme="minorHAnsi"/>
          <w:u w:val="none"/>
        </w:rPr>
        <w:t xml:space="preserve"> </w:t>
      </w:r>
      <w:r w:rsidRPr="00A33307">
        <w:rPr>
          <w:rFonts w:asciiTheme="minorHAnsi" w:hAnsiTheme="minorHAnsi" w:cstheme="minorHAnsi"/>
          <w:u w:val="none"/>
          <w:lang w:val="en-US"/>
        </w:rPr>
        <w:t>At para 21</w:t>
      </w:r>
    </w:p>
  </w:footnote>
  <w:footnote w:id="24">
    <w:p w14:paraId="7D889C1A" w14:textId="77777777" w:rsidR="00DA1A17" w:rsidRPr="0043781A" w:rsidRDefault="00DA1A17" w:rsidP="00E711B1">
      <w:pPr>
        <w:pStyle w:val="FootnoteText"/>
        <w:jc w:val="both"/>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Legator McKenna Inc and Others v Shea and Others 2010 (1 SA 35 (SCA) which states that South Africa has an abstract and not a causal system of transfer in which the intention to give and receive ownership and a valid delivery evidence the transfer of ownership. The contract is just the causa, and ownership can still pass even if the contract is invalid (paragraphs 20 -22)</w:t>
      </w:r>
    </w:p>
  </w:footnote>
  <w:footnote w:id="25">
    <w:p w14:paraId="7CD98462"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Paragraph 2 supra</w:t>
      </w:r>
    </w:p>
  </w:footnote>
  <w:footnote w:id="26">
    <w:p w14:paraId="3FB89604" w14:textId="77777777" w:rsidR="00DA1A17" w:rsidRPr="0043781A" w:rsidRDefault="00DA1A17">
      <w:pPr>
        <w:pStyle w:val="FootnoteText"/>
        <w:rPr>
          <w:rFonts w:asciiTheme="minorHAnsi" w:hAnsiTheme="minorHAnsi" w:cstheme="minorHAns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National Credit Regulator v Opperman 2013 (2) SA 1 (CC) at paragraph 18, 76 and 103</w:t>
      </w:r>
    </w:p>
  </w:footnote>
  <w:footnote w:id="27">
    <w:p w14:paraId="47114866" w14:textId="6AF9A207" w:rsidR="00E84644" w:rsidRPr="00E84644" w:rsidRDefault="00E84644">
      <w:pPr>
        <w:pStyle w:val="FootnoteText"/>
        <w:rPr>
          <w:u w:val="none"/>
          <w:lang w:val="en-US"/>
        </w:rPr>
      </w:pPr>
      <w:r w:rsidRPr="00E84644">
        <w:rPr>
          <w:rStyle w:val="FootnoteReference"/>
          <w:u w:val="none"/>
        </w:rPr>
        <w:footnoteRef/>
      </w:r>
      <w:r w:rsidRPr="00E84644">
        <w:rPr>
          <w:u w:val="none"/>
        </w:rPr>
        <w:t xml:space="preserve"> </w:t>
      </w:r>
      <w:r w:rsidRPr="00E84644">
        <w:rPr>
          <w:u w:val="none"/>
          <w:lang w:val="en-US"/>
        </w:rPr>
        <w:t>Geue and Another v Van Der Lith and Another [2003] 4 All SA 553 (SCA)</w:t>
      </w:r>
    </w:p>
  </w:footnote>
  <w:footnote w:id="28">
    <w:p w14:paraId="6F0DA309" w14:textId="6D30403F" w:rsidR="008B4DE1" w:rsidRPr="008B4DE1" w:rsidRDefault="008B4DE1">
      <w:pPr>
        <w:pStyle w:val="FootnoteText"/>
        <w:rPr>
          <w:rFonts w:asciiTheme="minorHAnsi" w:hAnsiTheme="minorHAnsi" w:cstheme="minorHAnsi"/>
          <w:u w:val="none"/>
          <w:lang w:val="en-US"/>
        </w:rPr>
      </w:pPr>
      <w:r w:rsidRPr="008B4DE1">
        <w:rPr>
          <w:rStyle w:val="FootnoteReference"/>
          <w:rFonts w:asciiTheme="minorHAnsi" w:hAnsiTheme="minorHAnsi" w:cstheme="minorHAnsi"/>
          <w:u w:val="none"/>
        </w:rPr>
        <w:footnoteRef/>
      </w:r>
      <w:r w:rsidRPr="008B4DE1">
        <w:rPr>
          <w:rFonts w:asciiTheme="minorHAnsi" w:hAnsiTheme="minorHAnsi" w:cstheme="minorHAnsi"/>
          <w:u w:val="none"/>
        </w:rPr>
        <w:t xml:space="preserve"> </w:t>
      </w:r>
      <w:r w:rsidRPr="008B4DE1">
        <w:rPr>
          <w:rFonts w:asciiTheme="minorHAnsi" w:hAnsiTheme="minorHAnsi" w:cstheme="minorHAnsi"/>
          <w:u w:val="none"/>
          <w:lang w:val="en-US"/>
        </w:rPr>
        <w:t>Nuance supra</w:t>
      </w:r>
    </w:p>
  </w:footnote>
  <w:footnote w:id="29">
    <w:p w14:paraId="275FFF61" w14:textId="27505F7E" w:rsidR="00DA1A17" w:rsidRPr="00D271DA" w:rsidRDefault="00DA1A17">
      <w:pPr>
        <w:pStyle w:val="FootnoteText"/>
        <w:rPr>
          <w:rFonts w:asciiTheme="minorHAnsi" w:hAnsiTheme="minorHAnsi" w:cstheme="minorHAnsi"/>
          <w:i/>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As stated in the answering affidavit of the Kok Trust</w:t>
      </w:r>
      <w:r w:rsidR="00D271DA">
        <w:rPr>
          <w:rFonts w:asciiTheme="minorHAnsi" w:hAnsiTheme="minorHAnsi" w:cstheme="minorHAnsi"/>
          <w:u w:val="none"/>
        </w:rPr>
        <w:t>:</w:t>
      </w:r>
      <w:r w:rsidRPr="0043781A">
        <w:rPr>
          <w:rFonts w:asciiTheme="minorHAnsi" w:hAnsiTheme="minorHAnsi" w:cstheme="minorHAnsi"/>
          <w:u w:val="none"/>
        </w:rPr>
        <w:t xml:space="preserve"> </w:t>
      </w:r>
      <w:r w:rsidR="00D271DA">
        <w:rPr>
          <w:rFonts w:asciiTheme="minorHAnsi" w:hAnsiTheme="minorHAnsi" w:cstheme="minorHAnsi"/>
          <w:u w:val="none"/>
        </w:rPr>
        <w:t>“…</w:t>
      </w:r>
      <w:r w:rsidRPr="00D271DA">
        <w:rPr>
          <w:rFonts w:asciiTheme="minorHAnsi" w:hAnsiTheme="minorHAnsi" w:cstheme="minorHAnsi"/>
          <w:i/>
          <w:u w:val="none"/>
        </w:rPr>
        <w:t>having been made aware of the 5-year period by the Second Respondent, I instructed Mr van Brakel to apply for such extension.</w:t>
      </w:r>
      <w:r w:rsidR="00D271DA">
        <w:rPr>
          <w:rFonts w:asciiTheme="minorHAnsi" w:hAnsiTheme="minorHAnsi" w:cstheme="minorHAnsi"/>
          <w:i/>
          <w:u w:val="none"/>
        </w:rPr>
        <w:t>”</w:t>
      </w:r>
    </w:p>
  </w:footnote>
  <w:footnote w:id="30">
    <w:p w14:paraId="0A72435C" w14:textId="17C4F43F" w:rsidR="008B4DE1" w:rsidRPr="008B4DE1" w:rsidRDefault="008B4DE1">
      <w:pPr>
        <w:pStyle w:val="FootnoteText"/>
        <w:rPr>
          <w:lang w:val="en-US"/>
        </w:rPr>
      </w:pPr>
      <w:r>
        <w:rPr>
          <w:rStyle w:val="FootnoteReference"/>
        </w:rPr>
        <w:footnoteRef/>
      </w:r>
      <w:r>
        <w:t xml:space="preserve"> </w:t>
      </w:r>
      <w:r>
        <w:rPr>
          <w:lang w:val="en-US"/>
        </w:rPr>
        <w:t>Attached to the replying affidavit</w:t>
      </w:r>
    </w:p>
  </w:footnote>
  <w:footnote w:id="31">
    <w:p w14:paraId="2AB986C7" w14:textId="22D09C63" w:rsidR="00D271DA" w:rsidRPr="00D271DA" w:rsidRDefault="00D271DA">
      <w:pPr>
        <w:pStyle w:val="FootnoteText"/>
        <w:rPr>
          <w:rFonts w:asciiTheme="minorHAnsi" w:hAnsiTheme="minorHAnsi" w:cstheme="minorHAnsi"/>
          <w:u w:val="none"/>
          <w:lang w:val="en-US"/>
        </w:rPr>
      </w:pPr>
      <w:r w:rsidRPr="00D271DA">
        <w:rPr>
          <w:rStyle w:val="FootnoteReference"/>
          <w:rFonts w:asciiTheme="minorHAnsi" w:hAnsiTheme="minorHAnsi" w:cstheme="minorHAnsi"/>
          <w:u w:val="none"/>
        </w:rPr>
        <w:footnoteRef/>
      </w:r>
      <w:r w:rsidRPr="00D271DA">
        <w:rPr>
          <w:rFonts w:asciiTheme="minorHAnsi" w:hAnsiTheme="minorHAnsi" w:cstheme="minorHAnsi"/>
          <w:u w:val="none"/>
        </w:rPr>
        <w:t xml:space="preserve"> </w:t>
      </w:r>
      <w:r w:rsidRPr="00D271DA">
        <w:rPr>
          <w:rFonts w:asciiTheme="minorHAnsi" w:hAnsiTheme="minorHAnsi" w:cstheme="minorHAnsi"/>
          <w:u w:val="none"/>
          <w:lang w:val="en-US"/>
        </w:rPr>
        <w:t>Nuance supra</w:t>
      </w:r>
    </w:p>
  </w:footnote>
  <w:footnote w:id="32">
    <w:p w14:paraId="28D5039B" w14:textId="77777777" w:rsidR="00DA1A17" w:rsidRPr="0043781A" w:rsidRDefault="00DA1A17">
      <w:pPr>
        <w:pStyle w:val="FootnoteText"/>
        <w:rPr>
          <w:rFonts w:asciiTheme="minorHAnsi" w:hAnsiTheme="minorHAnsi"/>
          <w:u w:val="none"/>
          <w:lang w:val="en-US"/>
        </w:rPr>
      </w:pPr>
      <w:r w:rsidRPr="0043781A">
        <w:rPr>
          <w:rStyle w:val="FootnoteReference"/>
          <w:rFonts w:asciiTheme="minorHAnsi" w:hAnsiTheme="minorHAnsi"/>
          <w:u w:val="none"/>
        </w:rPr>
        <w:footnoteRef/>
      </w:r>
      <w:r w:rsidRPr="0043781A">
        <w:rPr>
          <w:rFonts w:asciiTheme="minorHAnsi" w:hAnsiTheme="minorHAnsi"/>
          <w:u w:val="none"/>
        </w:rPr>
        <w:t xml:space="preserve"> </w:t>
      </w:r>
      <w:r w:rsidRPr="0043781A">
        <w:rPr>
          <w:rFonts w:asciiTheme="minorHAnsi" w:hAnsiTheme="minorHAnsi"/>
          <w:u w:val="none"/>
          <w:lang w:val="en-US"/>
        </w:rPr>
        <w:t>Paragraph 25 supra</w:t>
      </w:r>
    </w:p>
  </w:footnote>
  <w:footnote w:id="33">
    <w:p w14:paraId="0EF82335" w14:textId="77777777" w:rsidR="00DA1A17" w:rsidRPr="0043781A" w:rsidRDefault="00DA1A17">
      <w:pPr>
        <w:pStyle w:val="FootnoteText"/>
        <w:rPr>
          <w:rFonts w:asciiTheme="minorHAnsi" w:hAnsiTheme="minorHAnsi"/>
          <w:u w:val="none"/>
          <w:lang w:val="en-US"/>
        </w:rPr>
      </w:pPr>
      <w:r w:rsidRPr="0043781A">
        <w:rPr>
          <w:rStyle w:val="FootnoteReference"/>
          <w:rFonts w:asciiTheme="minorHAnsi" w:hAnsiTheme="minorHAnsi"/>
          <w:u w:val="none"/>
        </w:rPr>
        <w:footnoteRef/>
      </w:r>
      <w:r w:rsidRPr="0043781A">
        <w:rPr>
          <w:rFonts w:asciiTheme="minorHAnsi" w:hAnsiTheme="minorHAnsi"/>
          <w:u w:val="none"/>
        </w:rPr>
        <w:t xml:space="preserve"> </w:t>
      </w:r>
      <w:r w:rsidRPr="0043781A">
        <w:rPr>
          <w:rFonts w:asciiTheme="minorHAnsi" w:hAnsiTheme="minorHAnsi"/>
          <w:u w:val="none"/>
          <w:lang w:val="en-US"/>
        </w:rPr>
        <w:t>Amler’s Precedents of Pleadings: 7</w:t>
      </w:r>
      <w:r w:rsidRPr="0043781A">
        <w:rPr>
          <w:rFonts w:asciiTheme="minorHAnsi" w:hAnsiTheme="minorHAnsi"/>
          <w:u w:val="none"/>
          <w:vertAlign w:val="superscript"/>
          <w:lang w:val="en-US"/>
        </w:rPr>
        <w:t>th</w:t>
      </w:r>
      <w:r w:rsidRPr="0043781A">
        <w:rPr>
          <w:rFonts w:asciiTheme="minorHAnsi" w:hAnsiTheme="minorHAnsi"/>
          <w:u w:val="none"/>
          <w:lang w:val="en-US"/>
        </w:rPr>
        <w:t xml:space="preserve"> Edition: page 195</w:t>
      </w:r>
    </w:p>
  </w:footnote>
  <w:footnote w:id="34">
    <w:p w14:paraId="606B702F" w14:textId="291D10C4" w:rsidR="00DA1A17" w:rsidRPr="0043781A" w:rsidRDefault="00DA1A17">
      <w:pPr>
        <w:pStyle w:val="FootnoteText"/>
        <w:rPr>
          <w:u w:val="none"/>
          <w:lang w:val="en-US"/>
        </w:rPr>
      </w:pPr>
      <w:r w:rsidRPr="0043781A">
        <w:rPr>
          <w:rStyle w:val="FootnoteReference"/>
          <w:rFonts w:asciiTheme="minorHAnsi" w:hAnsiTheme="minorHAnsi"/>
          <w:u w:val="none"/>
        </w:rPr>
        <w:footnoteRef/>
      </w:r>
      <w:r w:rsidRPr="0043781A">
        <w:rPr>
          <w:rFonts w:asciiTheme="minorHAnsi" w:hAnsiTheme="minorHAnsi"/>
          <w:u w:val="none"/>
        </w:rPr>
        <w:t xml:space="preserve"> </w:t>
      </w:r>
      <w:r w:rsidRPr="0043781A">
        <w:rPr>
          <w:rFonts w:asciiTheme="minorHAnsi" w:hAnsiTheme="minorHAnsi"/>
          <w:u w:val="none"/>
          <w:lang w:val="en-US"/>
        </w:rPr>
        <w:t xml:space="preserve">Blackie Swart Argitekte v Van Heerden 1986 (1) SA 249 </w:t>
      </w:r>
      <w:r w:rsidR="00A23C8B">
        <w:rPr>
          <w:rFonts w:asciiTheme="minorHAnsi" w:hAnsiTheme="minorHAnsi"/>
          <w:u w:val="none"/>
          <w:lang w:val="en-US"/>
        </w:rPr>
        <w:t xml:space="preserve">(A) </w:t>
      </w:r>
      <w:r w:rsidRPr="0043781A">
        <w:rPr>
          <w:rFonts w:asciiTheme="minorHAnsi" w:hAnsiTheme="minorHAnsi"/>
          <w:u w:val="none"/>
          <w:lang w:val="en-US"/>
        </w:rPr>
        <w:t>at 260. ABSA Bank Ltd v IW Blumb</w:t>
      </w:r>
      <w:r w:rsidR="007E6CD6">
        <w:rPr>
          <w:rFonts w:asciiTheme="minorHAnsi" w:hAnsiTheme="minorHAnsi"/>
          <w:u w:val="none"/>
          <w:lang w:val="en-US"/>
        </w:rPr>
        <w:t>e</w:t>
      </w:r>
      <w:r w:rsidRPr="0043781A">
        <w:rPr>
          <w:rFonts w:asciiTheme="minorHAnsi" w:hAnsiTheme="minorHAnsi"/>
          <w:u w:val="none"/>
          <w:lang w:val="en-US"/>
        </w:rPr>
        <w:t>rg and Wilkinson 1993 (3) SA 669 (SCA)</w:t>
      </w:r>
    </w:p>
  </w:footnote>
  <w:footnote w:id="35">
    <w:p w14:paraId="7D748DD8" w14:textId="77777777" w:rsidR="00DA1A17" w:rsidRPr="0043781A" w:rsidRDefault="00DA1A17" w:rsidP="00884861">
      <w:pPr>
        <w:pStyle w:val="FootnoteText"/>
        <w:jc w:val="both"/>
        <w:rPr>
          <w:u w:val="none"/>
          <w:lang w:val="en-US"/>
        </w:rPr>
      </w:pPr>
      <w:r w:rsidRPr="0043781A">
        <w:rPr>
          <w:rStyle w:val="FootnoteReference"/>
          <w:rFonts w:asciiTheme="minorHAnsi" w:hAnsiTheme="minorHAnsi" w:cstheme="minorHAnsi"/>
          <w:u w:val="none"/>
        </w:rPr>
        <w:footnoteRef/>
      </w:r>
      <w:r w:rsidRPr="0043781A">
        <w:rPr>
          <w:rFonts w:asciiTheme="minorHAnsi" w:hAnsiTheme="minorHAnsi" w:cstheme="minorHAnsi"/>
          <w:u w:val="none"/>
        </w:rPr>
        <w:t xml:space="preserve"> </w:t>
      </w:r>
      <w:r w:rsidRPr="0043781A">
        <w:rPr>
          <w:rFonts w:asciiTheme="minorHAnsi" w:hAnsiTheme="minorHAnsi" w:cstheme="minorHAnsi"/>
          <w:u w:val="none"/>
          <w:lang w:val="en-US"/>
        </w:rPr>
        <w:t xml:space="preserve">The Business Rescue Plan makes it clear that concurrent creditors will at best, receive R0,04c if their claim is successful – the </w:t>
      </w:r>
      <w:r w:rsidRPr="0043781A">
        <w:rPr>
          <w:rFonts w:asciiTheme="minorHAnsi" w:hAnsiTheme="minorHAnsi" w:cstheme="minorHAnsi"/>
          <w:u w:val="none"/>
        </w:rPr>
        <w:t>Trust is not a concurrent creditor</w:t>
      </w:r>
    </w:p>
  </w:footnote>
  <w:footnote w:id="36">
    <w:p w14:paraId="7B72A59B" w14:textId="6CE3259A" w:rsidR="00DA1A17" w:rsidRPr="00884861" w:rsidRDefault="00DA1A17">
      <w:pPr>
        <w:pStyle w:val="FootnoteText"/>
        <w:rPr>
          <w:rFonts w:asciiTheme="minorHAnsi" w:hAnsiTheme="minorHAnsi" w:cstheme="minorHAnsi"/>
          <w:u w:val="none"/>
          <w:lang w:val="en-US"/>
        </w:rPr>
      </w:pPr>
      <w:r w:rsidRPr="00884861">
        <w:rPr>
          <w:rStyle w:val="FootnoteReference"/>
          <w:rFonts w:asciiTheme="minorHAnsi" w:hAnsiTheme="minorHAnsi" w:cstheme="minorHAnsi"/>
          <w:u w:val="none"/>
        </w:rPr>
        <w:footnoteRef/>
      </w:r>
      <w:r w:rsidRPr="00884861">
        <w:rPr>
          <w:rFonts w:asciiTheme="minorHAnsi" w:hAnsiTheme="minorHAnsi" w:cstheme="minorHAnsi"/>
          <w:u w:val="none"/>
        </w:rPr>
        <w:t xml:space="preserve"> </w:t>
      </w:r>
      <w:r w:rsidRPr="00884861">
        <w:rPr>
          <w:rFonts w:asciiTheme="minorHAnsi" w:hAnsiTheme="minorHAnsi" w:cstheme="minorHAnsi"/>
          <w:u w:val="none"/>
          <w:lang w:val="en-US"/>
        </w:rPr>
        <w:t>Webster v Mitchell</w:t>
      </w:r>
      <w:r w:rsidR="00884861" w:rsidRPr="00884861">
        <w:rPr>
          <w:rFonts w:asciiTheme="minorHAnsi" w:hAnsiTheme="minorHAnsi" w:cstheme="minorHAnsi"/>
          <w:u w:val="none"/>
          <w:lang w:val="en-US"/>
        </w:rPr>
        <w:t xml:space="preserve"> 1948 (1) SA 1186 (W)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92591"/>
      <w:docPartObj>
        <w:docPartGallery w:val="Page Numbers (Top of Page)"/>
        <w:docPartUnique/>
      </w:docPartObj>
    </w:sdtPr>
    <w:sdtEndPr>
      <w:rPr>
        <w:noProof/>
      </w:rPr>
    </w:sdtEndPr>
    <w:sdtContent>
      <w:p w14:paraId="0E4E44D1" w14:textId="3E367088" w:rsidR="00DA1A17" w:rsidRDefault="00DA1A17">
        <w:pPr>
          <w:pStyle w:val="Header"/>
          <w:jc w:val="right"/>
        </w:pPr>
        <w:r>
          <w:fldChar w:fldCharType="begin"/>
        </w:r>
        <w:r>
          <w:instrText xml:space="preserve"> PAGE   \* MERGEFORMAT </w:instrText>
        </w:r>
        <w:r>
          <w:fldChar w:fldCharType="separate"/>
        </w:r>
        <w:r w:rsidR="00964007">
          <w:rPr>
            <w:noProof/>
          </w:rPr>
          <w:t>24</w:t>
        </w:r>
        <w:r>
          <w:rPr>
            <w:noProof/>
          </w:rPr>
          <w:fldChar w:fldCharType="end"/>
        </w:r>
      </w:p>
    </w:sdtContent>
  </w:sdt>
  <w:p w14:paraId="6BB2CDC8" w14:textId="77777777" w:rsidR="00DA1A17" w:rsidRDefault="00DA1A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AFE"/>
    <w:multiLevelType w:val="hybridMultilevel"/>
    <w:tmpl w:val="BC9AF674"/>
    <w:lvl w:ilvl="0" w:tplc="50CC2622">
      <w:start w:val="1"/>
      <w:numFmt w:val="decimal"/>
      <w:lvlText w:val="16.%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B492322"/>
    <w:multiLevelType w:val="hybridMultilevel"/>
    <w:tmpl w:val="1220A2BA"/>
    <w:lvl w:ilvl="0" w:tplc="50CC2622">
      <w:start w:val="1"/>
      <w:numFmt w:val="decimal"/>
      <w:lvlText w:val="16.%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 w15:restartNumberingAfterBreak="0">
    <w:nsid w:val="0EEA5898"/>
    <w:multiLevelType w:val="hybridMultilevel"/>
    <w:tmpl w:val="1812C59A"/>
    <w:lvl w:ilvl="0" w:tplc="C55277C4">
      <w:start w:val="1"/>
      <w:numFmt w:val="decimal"/>
      <w:lvlText w:val="38.%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3224EC"/>
    <w:multiLevelType w:val="hybridMultilevel"/>
    <w:tmpl w:val="73DAE4A2"/>
    <w:lvl w:ilvl="0" w:tplc="2EE0A13C">
      <w:start w:val="1"/>
      <w:numFmt w:val="decimal"/>
      <w:lvlText w:val="43.%1"/>
      <w:lvlJc w:val="left"/>
      <w:pPr>
        <w:ind w:left="178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962569"/>
    <w:multiLevelType w:val="hybridMultilevel"/>
    <w:tmpl w:val="AC6A1400"/>
    <w:lvl w:ilvl="0" w:tplc="E3804D72">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F37BC9"/>
    <w:multiLevelType w:val="hybridMultilevel"/>
    <w:tmpl w:val="4BAC8790"/>
    <w:lvl w:ilvl="0" w:tplc="50CC2622">
      <w:start w:val="1"/>
      <w:numFmt w:val="decimal"/>
      <w:lvlText w:val="16.%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8C4492"/>
    <w:multiLevelType w:val="hybridMultilevel"/>
    <w:tmpl w:val="41A25942"/>
    <w:lvl w:ilvl="0" w:tplc="E73EE17E">
      <w:start w:val="100"/>
      <w:numFmt w:val="decimal"/>
      <w:lvlText w:val="%1."/>
      <w:lvlJc w:val="left"/>
      <w:pPr>
        <w:ind w:left="1177" w:hanging="46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195059E"/>
    <w:multiLevelType w:val="hybridMultilevel"/>
    <w:tmpl w:val="F7B8DD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5AB3F7D"/>
    <w:multiLevelType w:val="hybridMultilevel"/>
    <w:tmpl w:val="A566AB40"/>
    <w:lvl w:ilvl="0" w:tplc="110A0496">
      <w:start w:val="2"/>
      <w:numFmt w:val="decimal"/>
      <w:lvlText w:val="38.%1"/>
      <w:lvlJc w:val="left"/>
      <w:pPr>
        <w:ind w:left="213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DF1C6A"/>
    <w:multiLevelType w:val="multilevel"/>
    <w:tmpl w:val="3D26648C"/>
    <w:lvl w:ilvl="0">
      <w:start w:val="1"/>
      <w:numFmt w:val="decimal"/>
      <w:lvlText w:val="%1."/>
      <w:lvlJc w:val="left"/>
      <w:pPr>
        <w:ind w:left="360" w:hanging="360"/>
      </w:pPr>
      <w:rPr>
        <w:rFonts w:hint="default"/>
      </w:rPr>
    </w:lvl>
    <w:lvl w:ilvl="1">
      <w:start w:val="3"/>
      <w:numFmt w:val="decimal"/>
      <w:isLgl/>
      <w:lvlText w:val="%1.%2"/>
      <w:lvlJc w:val="left"/>
      <w:pPr>
        <w:ind w:left="814" w:hanging="46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92" w:hanging="1800"/>
      </w:pPr>
      <w:rPr>
        <w:rFonts w:hint="default"/>
      </w:rPr>
    </w:lvl>
  </w:abstractNum>
  <w:abstractNum w:abstractNumId="11" w15:restartNumberingAfterBreak="0">
    <w:nsid w:val="2A2807C5"/>
    <w:multiLevelType w:val="multilevel"/>
    <w:tmpl w:val="75BC3738"/>
    <w:lvl w:ilvl="0">
      <w:start w:val="44"/>
      <w:numFmt w:val="decimal"/>
      <w:lvlText w:val="%1"/>
      <w:lvlJc w:val="left"/>
      <w:pPr>
        <w:ind w:left="468" w:hanging="468"/>
      </w:pPr>
      <w:rPr>
        <w:rFonts w:hint="default"/>
      </w:rPr>
    </w:lvl>
    <w:lvl w:ilvl="1">
      <w:start w:val="1"/>
      <w:numFmt w:val="decimal"/>
      <w:lvlText w:val="%1.%2"/>
      <w:lvlJc w:val="left"/>
      <w:pPr>
        <w:ind w:left="1178" w:hanging="468"/>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2A3B4183"/>
    <w:multiLevelType w:val="hybridMultilevel"/>
    <w:tmpl w:val="F75ABB70"/>
    <w:lvl w:ilvl="0" w:tplc="2B581A40">
      <w:start w:val="17"/>
      <w:numFmt w:val="decimal"/>
      <w:lvlText w:val="16.%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B93547"/>
    <w:multiLevelType w:val="multilevel"/>
    <w:tmpl w:val="501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FE5703"/>
    <w:multiLevelType w:val="hybridMultilevel"/>
    <w:tmpl w:val="CC1E17AC"/>
    <w:lvl w:ilvl="0" w:tplc="D416E612">
      <w:start w:val="1"/>
      <w:numFmt w:val="decimal"/>
      <w:lvlText w:val="7.%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15:restartNumberingAfterBreak="0">
    <w:nsid w:val="33377013"/>
    <w:multiLevelType w:val="multilevel"/>
    <w:tmpl w:val="AE6AA660"/>
    <w:lvl w:ilvl="0">
      <w:start w:val="39"/>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02E5642"/>
    <w:multiLevelType w:val="hybridMultilevel"/>
    <w:tmpl w:val="EB304482"/>
    <w:lvl w:ilvl="0" w:tplc="B7E20812">
      <w:start w:val="2"/>
      <w:numFmt w:val="decimal"/>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7" w15:restartNumberingAfterBreak="0">
    <w:nsid w:val="467D7873"/>
    <w:multiLevelType w:val="hybridMultilevel"/>
    <w:tmpl w:val="6456C85C"/>
    <w:lvl w:ilvl="0" w:tplc="E3804D7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A616EE"/>
    <w:multiLevelType w:val="hybridMultilevel"/>
    <w:tmpl w:val="C45C7718"/>
    <w:lvl w:ilvl="0" w:tplc="0240CAF6">
      <w:start w:val="102"/>
      <w:numFmt w:val="decimal"/>
      <w:lvlText w:val="%1."/>
      <w:lvlJc w:val="left"/>
      <w:pPr>
        <w:ind w:left="1175" w:hanging="465"/>
      </w:pPr>
      <w:rPr>
        <w:rFonts w:hint="default"/>
      </w:r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69CA2561"/>
    <w:multiLevelType w:val="hybridMultilevel"/>
    <w:tmpl w:val="8432010A"/>
    <w:lvl w:ilvl="0" w:tplc="DEE242A4">
      <w:start w:val="1"/>
      <w:numFmt w:val="decimal"/>
      <w:lvlText w:val="9.%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6B782B4F"/>
    <w:multiLevelType w:val="multilevel"/>
    <w:tmpl w:val="423E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F2D59"/>
    <w:multiLevelType w:val="hybridMultilevel"/>
    <w:tmpl w:val="FCDAC1B6"/>
    <w:lvl w:ilvl="0" w:tplc="EF7C1488">
      <w:start w:val="1"/>
      <w:numFmt w:val="decimal"/>
      <w:lvlText w:val="16.%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2B01B7F"/>
    <w:multiLevelType w:val="hybridMultilevel"/>
    <w:tmpl w:val="B3043CF8"/>
    <w:lvl w:ilvl="0" w:tplc="89C499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7DEA3B5B"/>
    <w:multiLevelType w:val="multilevel"/>
    <w:tmpl w:val="A364E106"/>
    <w:lvl w:ilvl="0">
      <w:start w:val="53"/>
      <w:numFmt w:val="decimal"/>
      <w:lvlText w:val="%1"/>
      <w:lvlJc w:val="left"/>
      <w:pPr>
        <w:ind w:left="468" w:hanging="46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9"/>
  </w:num>
  <w:num w:numId="5">
    <w:abstractNumId w:val="6"/>
  </w:num>
  <w:num w:numId="6">
    <w:abstractNumId w:val="0"/>
  </w:num>
  <w:num w:numId="7">
    <w:abstractNumId w:val="21"/>
  </w:num>
  <w:num w:numId="8">
    <w:abstractNumId w:val="2"/>
  </w:num>
  <w:num w:numId="9">
    <w:abstractNumId w:val="12"/>
  </w:num>
  <w:num w:numId="10">
    <w:abstractNumId w:val="16"/>
  </w:num>
  <w:num w:numId="11">
    <w:abstractNumId w:val="9"/>
  </w:num>
  <w:num w:numId="12">
    <w:abstractNumId w:val="3"/>
  </w:num>
  <w:num w:numId="13">
    <w:abstractNumId w:val="4"/>
  </w:num>
  <w:num w:numId="14">
    <w:abstractNumId w:val="20"/>
    <w:lvlOverride w:ilvl="0">
      <w:startOverride w:val="2"/>
    </w:lvlOverride>
  </w:num>
  <w:num w:numId="15">
    <w:abstractNumId w:val="13"/>
    <w:lvlOverride w:ilvl="0">
      <w:startOverride w:val="28"/>
    </w:lvlOverride>
  </w:num>
  <w:num w:numId="16">
    <w:abstractNumId w:val="23"/>
  </w:num>
  <w:num w:numId="17">
    <w:abstractNumId w:val="7"/>
  </w:num>
  <w:num w:numId="18">
    <w:abstractNumId w:val="17"/>
  </w:num>
  <w:num w:numId="19">
    <w:abstractNumId w:val="8"/>
  </w:num>
  <w:num w:numId="20">
    <w:abstractNumId w:val="18"/>
  </w:num>
  <w:num w:numId="21">
    <w:abstractNumId w:val="22"/>
  </w:num>
  <w:num w:numId="22">
    <w:abstractNumId w:val="10"/>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0C"/>
    <w:rsid w:val="00000B64"/>
    <w:rsid w:val="00057195"/>
    <w:rsid w:val="00073854"/>
    <w:rsid w:val="00083BBB"/>
    <w:rsid w:val="00084E26"/>
    <w:rsid w:val="00091161"/>
    <w:rsid w:val="000A6530"/>
    <w:rsid w:val="000D4E37"/>
    <w:rsid w:val="000E5E4C"/>
    <w:rsid w:val="000F7D15"/>
    <w:rsid w:val="00101A3E"/>
    <w:rsid w:val="001069F2"/>
    <w:rsid w:val="0011217B"/>
    <w:rsid w:val="00114FE3"/>
    <w:rsid w:val="0011624A"/>
    <w:rsid w:val="001223F3"/>
    <w:rsid w:val="00124E53"/>
    <w:rsid w:val="00163DDF"/>
    <w:rsid w:val="0018196B"/>
    <w:rsid w:val="00181AF8"/>
    <w:rsid w:val="0018554D"/>
    <w:rsid w:val="00185CA1"/>
    <w:rsid w:val="00186AC4"/>
    <w:rsid w:val="0019295D"/>
    <w:rsid w:val="001A4DBF"/>
    <w:rsid w:val="001A522D"/>
    <w:rsid w:val="001B7C6F"/>
    <w:rsid w:val="001C2ED6"/>
    <w:rsid w:val="001D4428"/>
    <w:rsid w:val="001D5639"/>
    <w:rsid w:val="001D7115"/>
    <w:rsid w:val="001F4099"/>
    <w:rsid w:val="001F77E3"/>
    <w:rsid w:val="00204CFE"/>
    <w:rsid w:val="00214118"/>
    <w:rsid w:val="0022053D"/>
    <w:rsid w:val="00221B1D"/>
    <w:rsid w:val="0023108F"/>
    <w:rsid w:val="0025717F"/>
    <w:rsid w:val="00266052"/>
    <w:rsid w:val="00271AC2"/>
    <w:rsid w:val="00277DDC"/>
    <w:rsid w:val="002812C7"/>
    <w:rsid w:val="00281B9C"/>
    <w:rsid w:val="00293368"/>
    <w:rsid w:val="002954B5"/>
    <w:rsid w:val="00295F50"/>
    <w:rsid w:val="002A41A1"/>
    <w:rsid w:val="002B1EC3"/>
    <w:rsid w:val="002B3E8F"/>
    <w:rsid w:val="002C3452"/>
    <w:rsid w:val="002D3757"/>
    <w:rsid w:val="002E259F"/>
    <w:rsid w:val="002E5CB3"/>
    <w:rsid w:val="002F1ADE"/>
    <w:rsid w:val="002F2862"/>
    <w:rsid w:val="002F5D60"/>
    <w:rsid w:val="002F699A"/>
    <w:rsid w:val="00307AA2"/>
    <w:rsid w:val="00333E3C"/>
    <w:rsid w:val="00374F20"/>
    <w:rsid w:val="003849BA"/>
    <w:rsid w:val="003900A4"/>
    <w:rsid w:val="00397617"/>
    <w:rsid w:val="003A2228"/>
    <w:rsid w:val="003A4395"/>
    <w:rsid w:val="003A62F9"/>
    <w:rsid w:val="003C6F64"/>
    <w:rsid w:val="003D12C9"/>
    <w:rsid w:val="003E4256"/>
    <w:rsid w:val="003E5926"/>
    <w:rsid w:val="003F1C8C"/>
    <w:rsid w:val="003F24F6"/>
    <w:rsid w:val="00402792"/>
    <w:rsid w:val="004117D3"/>
    <w:rsid w:val="00420966"/>
    <w:rsid w:val="00435BBE"/>
    <w:rsid w:val="0043781A"/>
    <w:rsid w:val="00441CE2"/>
    <w:rsid w:val="004427EF"/>
    <w:rsid w:val="004446B3"/>
    <w:rsid w:val="00446F22"/>
    <w:rsid w:val="00455632"/>
    <w:rsid w:val="0046422A"/>
    <w:rsid w:val="00465B0C"/>
    <w:rsid w:val="004670CA"/>
    <w:rsid w:val="00467124"/>
    <w:rsid w:val="004758A1"/>
    <w:rsid w:val="0047659A"/>
    <w:rsid w:val="00492D0C"/>
    <w:rsid w:val="004932C0"/>
    <w:rsid w:val="004A06B3"/>
    <w:rsid w:val="004B5527"/>
    <w:rsid w:val="004B7190"/>
    <w:rsid w:val="004E0E93"/>
    <w:rsid w:val="004F3405"/>
    <w:rsid w:val="004F3513"/>
    <w:rsid w:val="004F7025"/>
    <w:rsid w:val="004F7C40"/>
    <w:rsid w:val="00501931"/>
    <w:rsid w:val="00523FB1"/>
    <w:rsid w:val="00544A71"/>
    <w:rsid w:val="0056433A"/>
    <w:rsid w:val="00583D8C"/>
    <w:rsid w:val="0058440F"/>
    <w:rsid w:val="00585C90"/>
    <w:rsid w:val="00593F1F"/>
    <w:rsid w:val="005A0C3B"/>
    <w:rsid w:val="005C4307"/>
    <w:rsid w:val="005D107C"/>
    <w:rsid w:val="005D1103"/>
    <w:rsid w:val="005D1321"/>
    <w:rsid w:val="005D2295"/>
    <w:rsid w:val="005D59F9"/>
    <w:rsid w:val="005E4DDE"/>
    <w:rsid w:val="005F2330"/>
    <w:rsid w:val="005F2AFC"/>
    <w:rsid w:val="00602CF5"/>
    <w:rsid w:val="0060341C"/>
    <w:rsid w:val="006036C6"/>
    <w:rsid w:val="00603D0C"/>
    <w:rsid w:val="00606B6B"/>
    <w:rsid w:val="0061556F"/>
    <w:rsid w:val="00615A11"/>
    <w:rsid w:val="00630D7F"/>
    <w:rsid w:val="00634F87"/>
    <w:rsid w:val="006374C3"/>
    <w:rsid w:val="006534B4"/>
    <w:rsid w:val="00663E75"/>
    <w:rsid w:val="00664A35"/>
    <w:rsid w:val="00666302"/>
    <w:rsid w:val="00673DCC"/>
    <w:rsid w:val="006912F1"/>
    <w:rsid w:val="006C356A"/>
    <w:rsid w:val="006C69A7"/>
    <w:rsid w:val="006E5FD5"/>
    <w:rsid w:val="006F3282"/>
    <w:rsid w:val="00705514"/>
    <w:rsid w:val="00717D96"/>
    <w:rsid w:val="0074058A"/>
    <w:rsid w:val="00754494"/>
    <w:rsid w:val="007768AA"/>
    <w:rsid w:val="0078726B"/>
    <w:rsid w:val="007A2222"/>
    <w:rsid w:val="007D0B51"/>
    <w:rsid w:val="007D6B68"/>
    <w:rsid w:val="007E6CD6"/>
    <w:rsid w:val="007F645F"/>
    <w:rsid w:val="0080558F"/>
    <w:rsid w:val="00820929"/>
    <w:rsid w:val="008225EC"/>
    <w:rsid w:val="00826C4B"/>
    <w:rsid w:val="00835DE1"/>
    <w:rsid w:val="00840F06"/>
    <w:rsid w:val="0086241C"/>
    <w:rsid w:val="00884861"/>
    <w:rsid w:val="00891F0C"/>
    <w:rsid w:val="00892B8E"/>
    <w:rsid w:val="00896314"/>
    <w:rsid w:val="008B374D"/>
    <w:rsid w:val="008B4DE1"/>
    <w:rsid w:val="008C2923"/>
    <w:rsid w:val="008C566E"/>
    <w:rsid w:val="008C719E"/>
    <w:rsid w:val="008E7792"/>
    <w:rsid w:val="008F04F4"/>
    <w:rsid w:val="009012B7"/>
    <w:rsid w:val="00911AFC"/>
    <w:rsid w:val="009321A2"/>
    <w:rsid w:val="009424E2"/>
    <w:rsid w:val="0095755B"/>
    <w:rsid w:val="00957FF0"/>
    <w:rsid w:val="009618E7"/>
    <w:rsid w:val="00964007"/>
    <w:rsid w:val="009766C3"/>
    <w:rsid w:val="00977A0C"/>
    <w:rsid w:val="009811C3"/>
    <w:rsid w:val="009823EA"/>
    <w:rsid w:val="009A77EC"/>
    <w:rsid w:val="009B2615"/>
    <w:rsid w:val="009C4E91"/>
    <w:rsid w:val="009C4F98"/>
    <w:rsid w:val="009D22EA"/>
    <w:rsid w:val="009D2607"/>
    <w:rsid w:val="009D57E0"/>
    <w:rsid w:val="009E00CF"/>
    <w:rsid w:val="00A04DBA"/>
    <w:rsid w:val="00A05EC8"/>
    <w:rsid w:val="00A063D4"/>
    <w:rsid w:val="00A23B01"/>
    <w:rsid w:val="00A23C8B"/>
    <w:rsid w:val="00A33307"/>
    <w:rsid w:val="00A427C9"/>
    <w:rsid w:val="00A711C1"/>
    <w:rsid w:val="00A77BFC"/>
    <w:rsid w:val="00A82770"/>
    <w:rsid w:val="00A83C0F"/>
    <w:rsid w:val="00A93C94"/>
    <w:rsid w:val="00AB3EEA"/>
    <w:rsid w:val="00AB43B1"/>
    <w:rsid w:val="00AC28CE"/>
    <w:rsid w:val="00AE20DD"/>
    <w:rsid w:val="00AE3B41"/>
    <w:rsid w:val="00AE72B4"/>
    <w:rsid w:val="00B0154B"/>
    <w:rsid w:val="00B069B8"/>
    <w:rsid w:val="00B1029D"/>
    <w:rsid w:val="00B3661D"/>
    <w:rsid w:val="00B4611F"/>
    <w:rsid w:val="00B554C5"/>
    <w:rsid w:val="00B74C28"/>
    <w:rsid w:val="00B815DC"/>
    <w:rsid w:val="00B85B69"/>
    <w:rsid w:val="00B9667C"/>
    <w:rsid w:val="00BA1A33"/>
    <w:rsid w:val="00BA2F7D"/>
    <w:rsid w:val="00BA7D68"/>
    <w:rsid w:val="00BB02B6"/>
    <w:rsid w:val="00BC09D2"/>
    <w:rsid w:val="00BC3B7E"/>
    <w:rsid w:val="00BD724B"/>
    <w:rsid w:val="00BE2611"/>
    <w:rsid w:val="00BE7738"/>
    <w:rsid w:val="00C06928"/>
    <w:rsid w:val="00C20AFC"/>
    <w:rsid w:val="00C33B4B"/>
    <w:rsid w:val="00C45D47"/>
    <w:rsid w:val="00C47130"/>
    <w:rsid w:val="00C4726A"/>
    <w:rsid w:val="00C50406"/>
    <w:rsid w:val="00C62F7A"/>
    <w:rsid w:val="00C70FD7"/>
    <w:rsid w:val="00C9048A"/>
    <w:rsid w:val="00C94535"/>
    <w:rsid w:val="00CA0C09"/>
    <w:rsid w:val="00CA27B8"/>
    <w:rsid w:val="00CB27D4"/>
    <w:rsid w:val="00CB7C07"/>
    <w:rsid w:val="00CC5119"/>
    <w:rsid w:val="00CD2CBD"/>
    <w:rsid w:val="00CF445A"/>
    <w:rsid w:val="00D06413"/>
    <w:rsid w:val="00D13662"/>
    <w:rsid w:val="00D271DA"/>
    <w:rsid w:val="00D320B3"/>
    <w:rsid w:val="00D45E8E"/>
    <w:rsid w:val="00D547A4"/>
    <w:rsid w:val="00D56F95"/>
    <w:rsid w:val="00D75A0C"/>
    <w:rsid w:val="00D77A5B"/>
    <w:rsid w:val="00D80609"/>
    <w:rsid w:val="00D85202"/>
    <w:rsid w:val="00D85AE3"/>
    <w:rsid w:val="00D95FB6"/>
    <w:rsid w:val="00DA1A17"/>
    <w:rsid w:val="00DA6809"/>
    <w:rsid w:val="00DA7117"/>
    <w:rsid w:val="00DB09DE"/>
    <w:rsid w:val="00DB4752"/>
    <w:rsid w:val="00DC05DE"/>
    <w:rsid w:val="00DD1AF3"/>
    <w:rsid w:val="00DE30CE"/>
    <w:rsid w:val="00DE5BC5"/>
    <w:rsid w:val="00DF0F56"/>
    <w:rsid w:val="00E208A7"/>
    <w:rsid w:val="00E43629"/>
    <w:rsid w:val="00E44580"/>
    <w:rsid w:val="00E500EC"/>
    <w:rsid w:val="00E57696"/>
    <w:rsid w:val="00E57F0C"/>
    <w:rsid w:val="00E60F23"/>
    <w:rsid w:val="00E630A3"/>
    <w:rsid w:val="00E711B1"/>
    <w:rsid w:val="00E71BE4"/>
    <w:rsid w:val="00E84644"/>
    <w:rsid w:val="00EA10E5"/>
    <w:rsid w:val="00EA51AC"/>
    <w:rsid w:val="00EB6BD2"/>
    <w:rsid w:val="00ED0AEB"/>
    <w:rsid w:val="00EE5871"/>
    <w:rsid w:val="00F16796"/>
    <w:rsid w:val="00F22AC2"/>
    <w:rsid w:val="00F2433D"/>
    <w:rsid w:val="00F320C5"/>
    <w:rsid w:val="00F362D7"/>
    <w:rsid w:val="00F37C88"/>
    <w:rsid w:val="00F46F07"/>
    <w:rsid w:val="00F56A8B"/>
    <w:rsid w:val="00F75855"/>
    <w:rsid w:val="00F81248"/>
    <w:rsid w:val="00FA4F1C"/>
    <w:rsid w:val="00FA5BA4"/>
    <w:rsid w:val="00FB0C5D"/>
    <w:rsid w:val="00FB2E6B"/>
    <w:rsid w:val="00FB3A76"/>
    <w:rsid w:val="00FD1872"/>
    <w:rsid w:val="00FE676D"/>
    <w:rsid w:val="00FF2180"/>
    <w:rsid w:val="00FF7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D940"/>
  <w15:chartTrackingRefBased/>
  <w15:docId w15:val="{2D1A4654-09AE-4406-B98D-0227A5FB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8F"/>
    <w:pPr>
      <w:spacing w:after="0" w:line="240" w:lineRule="auto"/>
    </w:pPr>
    <w:rPr>
      <w:rFonts w:ascii="Arial" w:eastAsia="Times New Roman" w:hAnsi="Arial"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9F"/>
    <w:pPr>
      <w:ind w:left="720"/>
      <w:contextualSpacing/>
    </w:pPr>
  </w:style>
  <w:style w:type="paragraph" w:styleId="FootnoteText">
    <w:name w:val="footnote text"/>
    <w:basedOn w:val="Normal"/>
    <w:link w:val="FootnoteTextChar"/>
    <w:uiPriority w:val="99"/>
    <w:unhideWhenUsed/>
    <w:rsid w:val="00F46F07"/>
    <w:rPr>
      <w:sz w:val="20"/>
      <w:szCs w:val="20"/>
    </w:rPr>
  </w:style>
  <w:style w:type="character" w:customStyle="1" w:styleId="FootnoteTextChar">
    <w:name w:val="Footnote Text Char"/>
    <w:basedOn w:val="DefaultParagraphFont"/>
    <w:link w:val="FootnoteText"/>
    <w:uiPriority w:val="99"/>
    <w:rsid w:val="00F46F07"/>
    <w:rPr>
      <w:rFonts w:ascii="Arial" w:eastAsia="Times New Roman" w:hAnsi="Arial" w:cs="Arial"/>
      <w:sz w:val="20"/>
      <w:szCs w:val="20"/>
      <w:u w:val="single"/>
      <w:lang w:eastAsia="en-GB"/>
    </w:rPr>
  </w:style>
  <w:style w:type="character" w:styleId="FootnoteReference">
    <w:name w:val="footnote reference"/>
    <w:basedOn w:val="DefaultParagraphFont"/>
    <w:uiPriority w:val="99"/>
    <w:semiHidden/>
    <w:unhideWhenUsed/>
    <w:rsid w:val="00F46F07"/>
    <w:rPr>
      <w:vertAlign w:val="superscript"/>
    </w:rPr>
  </w:style>
  <w:style w:type="paragraph" w:styleId="NormalWeb">
    <w:name w:val="Normal (Web)"/>
    <w:basedOn w:val="Normal"/>
    <w:uiPriority w:val="99"/>
    <w:semiHidden/>
    <w:unhideWhenUsed/>
    <w:rsid w:val="00C62F7A"/>
    <w:pPr>
      <w:spacing w:before="100" w:beforeAutospacing="1" w:after="100" w:afterAutospacing="1"/>
    </w:pPr>
    <w:rPr>
      <w:rFonts w:ascii="Times New Roman" w:hAnsi="Times New Roman" w:cs="Times New Roman"/>
      <w:u w:val="none"/>
      <w:lang w:eastAsia="en-ZA"/>
    </w:rPr>
  </w:style>
  <w:style w:type="character" w:customStyle="1" w:styleId="mc">
    <w:name w:val="mc"/>
    <w:basedOn w:val="DefaultParagraphFont"/>
    <w:rsid w:val="009766C3"/>
  </w:style>
  <w:style w:type="paragraph" w:styleId="Header">
    <w:name w:val="header"/>
    <w:basedOn w:val="Normal"/>
    <w:link w:val="HeaderChar"/>
    <w:uiPriority w:val="99"/>
    <w:unhideWhenUsed/>
    <w:rsid w:val="0043781A"/>
    <w:pPr>
      <w:tabs>
        <w:tab w:val="center" w:pos="4680"/>
        <w:tab w:val="right" w:pos="9360"/>
      </w:tabs>
    </w:pPr>
  </w:style>
  <w:style w:type="character" w:customStyle="1" w:styleId="HeaderChar">
    <w:name w:val="Header Char"/>
    <w:basedOn w:val="DefaultParagraphFont"/>
    <w:link w:val="Header"/>
    <w:uiPriority w:val="99"/>
    <w:rsid w:val="0043781A"/>
    <w:rPr>
      <w:rFonts w:ascii="Arial" w:eastAsia="Times New Roman" w:hAnsi="Arial" w:cs="Arial"/>
      <w:sz w:val="24"/>
      <w:szCs w:val="24"/>
      <w:u w:val="single"/>
      <w:lang w:eastAsia="en-GB"/>
    </w:rPr>
  </w:style>
  <w:style w:type="paragraph" w:styleId="Footer">
    <w:name w:val="footer"/>
    <w:basedOn w:val="Normal"/>
    <w:link w:val="FooterChar"/>
    <w:uiPriority w:val="99"/>
    <w:unhideWhenUsed/>
    <w:rsid w:val="0043781A"/>
    <w:pPr>
      <w:tabs>
        <w:tab w:val="center" w:pos="4680"/>
        <w:tab w:val="right" w:pos="9360"/>
      </w:tabs>
    </w:pPr>
  </w:style>
  <w:style w:type="character" w:customStyle="1" w:styleId="FooterChar">
    <w:name w:val="Footer Char"/>
    <w:basedOn w:val="DefaultParagraphFont"/>
    <w:link w:val="Footer"/>
    <w:uiPriority w:val="99"/>
    <w:rsid w:val="0043781A"/>
    <w:rPr>
      <w:rFonts w:ascii="Arial" w:eastAsia="Times New Roman" w:hAnsi="Arial" w:cs="Arial"/>
      <w:sz w:val="24"/>
      <w:szCs w:val="24"/>
      <w:u w:val="single"/>
      <w:lang w:eastAsia="en-GB"/>
    </w:rPr>
  </w:style>
  <w:style w:type="character" w:styleId="CommentReference">
    <w:name w:val="annotation reference"/>
    <w:basedOn w:val="DefaultParagraphFont"/>
    <w:uiPriority w:val="99"/>
    <w:semiHidden/>
    <w:unhideWhenUsed/>
    <w:rsid w:val="00374F20"/>
    <w:rPr>
      <w:sz w:val="16"/>
      <w:szCs w:val="16"/>
    </w:rPr>
  </w:style>
  <w:style w:type="paragraph" w:styleId="CommentText">
    <w:name w:val="annotation text"/>
    <w:basedOn w:val="Normal"/>
    <w:link w:val="CommentTextChar"/>
    <w:uiPriority w:val="99"/>
    <w:semiHidden/>
    <w:unhideWhenUsed/>
    <w:rsid w:val="00374F20"/>
    <w:rPr>
      <w:sz w:val="20"/>
      <w:szCs w:val="20"/>
    </w:rPr>
  </w:style>
  <w:style w:type="character" w:customStyle="1" w:styleId="CommentTextChar">
    <w:name w:val="Comment Text Char"/>
    <w:basedOn w:val="DefaultParagraphFont"/>
    <w:link w:val="CommentText"/>
    <w:uiPriority w:val="99"/>
    <w:semiHidden/>
    <w:rsid w:val="00374F20"/>
    <w:rPr>
      <w:rFonts w:ascii="Arial" w:eastAsia="Times New Roman" w:hAnsi="Arial" w:cs="Arial"/>
      <w:sz w:val="20"/>
      <w:szCs w:val="20"/>
      <w:u w:val="single"/>
      <w:lang w:eastAsia="en-GB"/>
    </w:rPr>
  </w:style>
  <w:style w:type="paragraph" w:styleId="CommentSubject">
    <w:name w:val="annotation subject"/>
    <w:basedOn w:val="CommentText"/>
    <w:next w:val="CommentText"/>
    <w:link w:val="CommentSubjectChar"/>
    <w:uiPriority w:val="99"/>
    <w:semiHidden/>
    <w:unhideWhenUsed/>
    <w:rsid w:val="00374F20"/>
    <w:rPr>
      <w:b/>
      <w:bCs/>
    </w:rPr>
  </w:style>
  <w:style w:type="character" w:customStyle="1" w:styleId="CommentSubjectChar">
    <w:name w:val="Comment Subject Char"/>
    <w:basedOn w:val="CommentTextChar"/>
    <w:link w:val="CommentSubject"/>
    <w:uiPriority w:val="99"/>
    <w:semiHidden/>
    <w:rsid w:val="00374F20"/>
    <w:rPr>
      <w:rFonts w:ascii="Arial" w:eastAsia="Times New Roman" w:hAnsi="Arial" w:cs="Arial"/>
      <w:b/>
      <w:bCs/>
      <w:sz w:val="20"/>
      <w:szCs w:val="20"/>
      <w:u w:val="single"/>
      <w:lang w:eastAsia="en-GB"/>
    </w:rPr>
  </w:style>
  <w:style w:type="paragraph" w:styleId="BalloonText">
    <w:name w:val="Balloon Text"/>
    <w:basedOn w:val="Normal"/>
    <w:link w:val="BalloonTextChar"/>
    <w:uiPriority w:val="99"/>
    <w:semiHidden/>
    <w:unhideWhenUsed/>
    <w:rsid w:val="00374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20"/>
    <w:rPr>
      <w:rFonts w:ascii="Segoe UI" w:eastAsia="Times New Roman" w:hAnsi="Segoe UI" w:cs="Segoe UI"/>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118">
      <w:bodyDiv w:val="1"/>
      <w:marLeft w:val="0"/>
      <w:marRight w:val="0"/>
      <w:marTop w:val="0"/>
      <w:marBottom w:val="0"/>
      <w:divBdr>
        <w:top w:val="none" w:sz="0" w:space="0" w:color="auto"/>
        <w:left w:val="none" w:sz="0" w:space="0" w:color="auto"/>
        <w:bottom w:val="none" w:sz="0" w:space="0" w:color="auto"/>
        <w:right w:val="none" w:sz="0" w:space="0" w:color="auto"/>
      </w:divBdr>
    </w:div>
    <w:div w:id="493375664">
      <w:bodyDiv w:val="1"/>
      <w:marLeft w:val="0"/>
      <w:marRight w:val="0"/>
      <w:marTop w:val="0"/>
      <w:marBottom w:val="0"/>
      <w:divBdr>
        <w:top w:val="none" w:sz="0" w:space="0" w:color="auto"/>
        <w:left w:val="none" w:sz="0" w:space="0" w:color="auto"/>
        <w:bottom w:val="none" w:sz="0" w:space="0" w:color="auto"/>
        <w:right w:val="none" w:sz="0" w:space="0" w:color="auto"/>
      </w:divBdr>
      <w:divsChild>
        <w:div w:id="697507457">
          <w:marLeft w:val="0"/>
          <w:marRight w:val="0"/>
          <w:marTop w:val="120"/>
          <w:marBottom w:val="0"/>
          <w:divBdr>
            <w:top w:val="none" w:sz="0" w:space="0" w:color="auto"/>
            <w:left w:val="none" w:sz="0" w:space="0" w:color="auto"/>
            <w:bottom w:val="none" w:sz="0" w:space="0" w:color="auto"/>
            <w:right w:val="none" w:sz="0" w:space="0" w:color="auto"/>
          </w:divBdr>
        </w:div>
        <w:div w:id="1374111084">
          <w:marLeft w:val="567"/>
          <w:marRight w:val="0"/>
          <w:marTop w:val="60"/>
          <w:marBottom w:val="0"/>
          <w:divBdr>
            <w:top w:val="none" w:sz="0" w:space="0" w:color="auto"/>
            <w:left w:val="none" w:sz="0" w:space="0" w:color="auto"/>
            <w:bottom w:val="none" w:sz="0" w:space="0" w:color="auto"/>
            <w:right w:val="none" w:sz="0" w:space="0" w:color="auto"/>
          </w:divBdr>
        </w:div>
        <w:div w:id="1560365946">
          <w:marLeft w:val="0"/>
          <w:marRight w:val="0"/>
          <w:marTop w:val="240"/>
          <w:marBottom w:val="24"/>
          <w:divBdr>
            <w:top w:val="single" w:sz="8" w:space="2" w:color="808080"/>
            <w:left w:val="none" w:sz="0" w:space="0" w:color="auto"/>
            <w:bottom w:val="none" w:sz="0" w:space="0" w:color="auto"/>
            <w:right w:val="none" w:sz="0" w:space="0" w:color="auto"/>
          </w:divBdr>
        </w:div>
        <w:div w:id="736050515">
          <w:marLeft w:val="0"/>
          <w:marRight w:val="0"/>
          <w:marTop w:val="120"/>
          <w:marBottom w:val="0"/>
          <w:divBdr>
            <w:top w:val="none" w:sz="0" w:space="0" w:color="auto"/>
            <w:left w:val="none" w:sz="0" w:space="0" w:color="auto"/>
            <w:bottom w:val="none" w:sz="0" w:space="0" w:color="auto"/>
            <w:right w:val="none" w:sz="0" w:space="0" w:color="auto"/>
          </w:divBdr>
        </w:div>
        <w:div w:id="651057286">
          <w:marLeft w:val="567"/>
          <w:marRight w:val="0"/>
          <w:marTop w:val="60"/>
          <w:marBottom w:val="0"/>
          <w:divBdr>
            <w:top w:val="none" w:sz="0" w:space="0" w:color="auto"/>
            <w:left w:val="none" w:sz="0" w:space="0" w:color="auto"/>
            <w:bottom w:val="none" w:sz="0" w:space="0" w:color="auto"/>
            <w:right w:val="none" w:sz="0" w:space="0" w:color="auto"/>
          </w:divBdr>
        </w:div>
        <w:div w:id="1006516603">
          <w:marLeft w:val="567"/>
          <w:marRight w:val="0"/>
          <w:marTop w:val="60"/>
          <w:marBottom w:val="0"/>
          <w:divBdr>
            <w:top w:val="none" w:sz="0" w:space="0" w:color="auto"/>
            <w:left w:val="none" w:sz="0" w:space="0" w:color="auto"/>
            <w:bottom w:val="none" w:sz="0" w:space="0" w:color="auto"/>
            <w:right w:val="none" w:sz="0" w:space="0" w:color="auto"/>
          </w:divBdr>
        </w:div>
        <w:div w:id="874535689">
          <w:marLeft w:val="567"/>
          <w:marRight w:val="0"/>
          <w:marTop w:val="60"/>
          <w:marBottom w:val="0"/>
          <w:divBdr>
            <w:top w:val="none" w:sz="0" w:space="0" w:color="auto"/>
            <w:left w:val="none" w:sz="0" w:space="0" w:color="auto"/>
            <w:bottom w:val="none" w:sz="0" w:space="0" w:color="auto"/>
            <w:right w:val="none" w:sz="0" w:space="0" w:color="auto"/>
          </w:divBdr>
        </w:div>
      </w:divsChild>
    </w:div>
    <w:div w:id="1010836447">
      <w:bodyDiv w:val="1"/>
      <w:marLeft w:val="0"/>
      <w:marRight w:val="0"/>
      <w:marTop w:val="0"/>
      <w:marBottom w:val="0"/>
      <w:divBdr>
        <w:top w:val="none" w:sz="0" w:space="0" w:color="auto"/>
        <w:left w:val="none" w:sz="0" w:space="0" w:color="auto"/>
        <w:bottom w:val="none" w:sz="0" w:space="0" w:color="auto"/>
        <w:right w:val="none" w:sz="0" w:space="0" w:color="auto"/>
      </w:divBdr>
    </w:div>
    <w:div w:id="19967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B4D3-4F6E-412B-9B85-A0817756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Nair</dc:creator>
  <cp:keywords/>
  <dc:description/>
  <cp:lastModifiedBy>Mary Bruce</cp:lastModifiedBy>
  <cp:revision>4</cp:revision>
  <cp:lastPrinted>2022-10-18T12:28:00Z</cp:lastPrinted>
  <dcterms:created xsi:type="dcterms:W3CDTF">2022-10-18T12:28:00Z</dcterms:created>
  <dcterms:modified xsi:type="dcterms:W3CDTF">2022-11-01T13:23:00Z</dcterms:modified>
</cp:coreProperties>
</file>