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16ACC" w14:textId="77777777" w:rsidR="00306832" w:rsidRDefault="00306832" w:rsidP="00B50E11">
      <w:pPr>
        <w:pStyle w:val="Body"/>
        <w:jc w:val="center"/>
      </w:pPr>
    </w:p>
    <w:p w14:paraId="30F3DDD8" w14:textId="77777777" w:rsidR="00306832" w:rsidRDefault="00306832" w:rsidP="00306832">
      <w:pPr>
        <w:rPr>
          <w:color w:val="FF0000"/>
          <w:u w:val="single"/>
        </w:rPr>
      </w:pPr>
      <w:r>
        <w:rPr>
          <w:rFonts w:ascii="Arial" w:hAnsi="Arial" w:cs="Arial"/>
          <w:color w:val="FF0000"/>
        </w:rPr>
        <w:t>Editorial note: Certain information has been redacted from this judgment in compliance with the law.</w:t>
      </w:r>
    </w:p>
    <w:p w14:paraId="70490F59" w14:textId="2AEB4ACD" w:rsidR="00B50E11" w:rsidRDefault="00B50E11" w:rsidP="00B50E11">
      <w:pPr>
        <w:pStyle w:val="Body"/>
        <w:jc w:val="center"/>
      </w:pPr>
      <w:r>
        <w:rPr>
          <w:noProof/>
          <w:lang w:val="en-ZA" w:eastAsia="en-ZA"/>
        </w:rPr>
        <w:drawing>
          <wp:inline distT="0" distB="0" distL="0" distR="0" wp14:anchorId="087D65E7" wp14:editId="4DBB13B4">
            <wp:extent cx="1494941" cy="1543744"/>
            <wp:effectExtent l="0" t="0" r="3810" b="571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502380" cy="1551426"/>
                    </a:xfrm>
                    <a:prstGeom prst="rect">
                      <a:avLst/>
                    </a:prstGeom>
                    <a:ln w="12700" cap="flat">
                      <a:noFill/>
                      <a:miter lim="400000"/>
                    </a:ln>
                    <a:effectLst/>
                  </pic:spPr>
                </pic:pic>
              </a:graphicData>
            </a:graphic>
          </wp:inline>
        </w:drawing>
      </w:r>
    </w:p>
    <w:p w14:paraId="3DDECB7C" w14:textId="77777777"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27311B28" w14:textId="77777777" w:rsidR="00C519B2" w:rsidRPr="00341E97" w:rsidRDefault="00B50E11" w:rsidP="00341E97">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3D531F40" w14:textId="77777777" w:rsidTr="00341E97">
        <w:trPr>
          <w:trHeight w:val="2205"/>
        </w:trPr>
        <w:tc>
          <w:tcPr>
            <w:tcW w:w="3998" w:type="dxa"/>
          </w:tcPr>
          <w:p w14:paraId="21EB8F78"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64EBC270"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CE6C1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438F2658"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341E97">
              <w:rPr>
                <w:rFonts w:ascii="Arial Unicode MS" w:eastAsia="Arial Unicode MS" w:hAnsi="Arial Unicode MS" w:cs="Arial Unicode MS"/>
                <w:sz w:val="16"/>
                <w:szCs w:val="16"/>
              </w:rPr>
              <w:t xml:space="preserve"> </w:t>
            </w:r>
            <w:r w:rsidRPr="0010749D">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0749D">
              <w:rPr>
                <w:rFonts w:ascii="Arial Unicode MS" w:eastAsia="Arial Unicode MS" w:hAnsi="Arial Unicode MS" w:cs="Arial Unicode MS"/>
                <w:b/>
                <w:bCs/>
                <w:sz w:val="16"/>
                <w:szCs w:val="16"/>
              </w:rPr>
              <w:t>NO</w:t>
            </w:r>
          </w:p>
          <w:p w14:paraId="65BEC7C5"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341E9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10749D" w:rsidRPr="0010749D">
              <w:rPr>
                <w:rFonts w:ascii="Arial Unicode MS" w:eastAsia="Arial Unicode MS" w:hAnsi="Arial Unicode MS" w:cs="Arial Unicode MS"/>
                <w:b/>
                <w:bCs/>
                <w:sz w:val="16"/>
                <w:szCs w:val="16"/>
              </w:rPr>
              <w:t xml:space="preserve"> NO</w:t>
            </w:r>
          </w:p>
          <w:p w14:paraId="6302CD8C" w14:textId="2A499E63"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996B9B">
              <w:rPr>
                <w:rFonts w:ascii="Arial" w:eastAsia="Arial Unicode MS" w:hAnsi="Arial" w:cs="Arial"/>
                <w:b/>
                <w:bCs/>
                <w:sz w:val="20"/>
                <w:szCs w:val="20"/>
              </w:rPr>
              <w:t>:</w:t>
            </w:r>
            <w:r w:rsidR="00341E97" w:rsidRPr="00996B9B">
              <w:rPr>
                <w:rFonts w:ascii="Arial" w:eastAsia="Arial Unicode MS" w:hAnsi="Arial" w:cs="Arial"/>
                <w:b/>
                <w:bCs/>
                <w:sz w:val="20"/>
                <w:szCs w:val="20"/>
              </w:rPr>
              <w:t xml:space="preserve">   </w:t>
            </w:r>
            <w:r w:rsidR="00DC1DFA">
              <w:rPr>
                <w:rFonts w:ascii="Arial" w:eastAsia="Arial Unicode MS" w:hAnsi="Arial" w:cs="Arial"/>
                <w:b/>
                <w:bCs/>
                <w:sz w:val="20"/>
                <w:szCs w:val="20"/>
              </w:rPr>
              <w:t>26</w:t>
            </w:r>
            <w:r w:rsidR="00B418DF">
              <w:rPr>
                <w:rFonts w:ascii="Arial" w:eastAsia="Arial Unicode MS" w:hAnsi="Arial" w:cs="Arial"/>
                <w:b/>
                <w:bCs/>
                <w:sz w:val="20"/>
                <w:szCs w:val="20"/>
              </w:rPr>
              <w:t xml:space="preserve"> </w:t>
            </w:r>
            <w:r w:rsidR="00C737CE">
              <w:rPr>
                <w:rFonts w:ascii="Arial" w:eastAsia="Arial Unicode MS" w:hAnsi="Arial" w:cs="Arial"/>
                <w:b/>
                <w:bCs/>
                <w:sz w:val="20"/>
                <w:szCs w:val="20"/>
              </w:rPr>
              <w:t xml:space="preserve">October </w:t>
            </w:r>
            <w:r w:rsidR="0010749D" w:rsidRPr="00996B9B">
              <w:rPr>
                <w:rFonts w:ascii="Arial" w:eastAsia="Arial Unicode MS" w:hAnsi="Arial" w:cs="Arial"/>
                <w:b/>
                <w:bCs/>
                <w:sz w:val="20"/>
                <w:szCs w:val="20"/>
              </w:rPr>
              <w:t xml:space="preserve"> 2022</w:t>
            </w:r>
            <w:r>
              <w:rPr>
                <w:rFonts w:ascii="Arial Unicode MS" w:eastAsia="Arial Unicode MS" w:hAnsi="Arial Unicode MS" w:cs="Arial Unicode MS"/>
                <w:sz w:val="16"/>
                <w:szCs w:val="16"/>
              </w:rPr>
              <w:br/>
            </w:r>
          </w:p>
          <w:p w14:paraId="7D944CCC" w14:textId="7777777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1D7244" w:rsidRPr="00665EC9" w14:paraId="18AC2B4F" w14:textId="77777777" w:rsidTr="001D7244">
        <w:trPr>
          <w:trHeight w:val="1045"/>
        </w:trPr>
        <w:tc>
          <w:tcPr>
            <w:tcW w:w="9629" w:type="dxa"/>
          </w:tcPr>
          <w:p w14:paraId="22ABABFE" w14:textId="203F4688" w:rsidR="00757AAB" w:rsidRPr="00665EC9" w:rsidRDefault="00C737CE" w:rsidP="00757A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bCs/>
                <w:sz w:val="22"/>
                <w:szCs w:val="22"/>
              </w:rPr>
            </w:pP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sz w:val="22"/>
                <w:szCs w:val="22"/>
              </w:rPr>
              <w:t xml:space="preserve">CASE NO: </w:t>
            </w:r>
            <w:r w:rsidR="00482385">
              <w:rPr>
                <w:rFonts w:ascii="Arial" w:hAnsi="Arial" w:cs="Arial"/>
                <w:b/>
                <w:bCs/>
                <w:sz w:val="22"/>
                <w:szCs w:val="22"/>
              </w:rPr>
              <w:t>A</w:t>
            </w:r>
            <w:r w:rsidR="00E56F02">
              <w:rPr>
                <w:rFonts w:ascii="Arial" w:hAnsi="Arial" w:cs="Arial"/>
                <w:b/>
                <w:bCs/>
                <w:sz w:val="22"/>
                <w:szCs w:val="22"/>
              </w:rPr>
              <w:t>160/2019</w:t>
            </w:r>
          </w:p>
          <w:p w14:paraId="47856D87" w14:textId="6C71AACE" w:rsidR="00757AAB" w:rsidRDefault="00C737CE" w:rsidP="00757A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665EC9">
              <w:rPr>
                <w:rFonts w:ascii="Arial" w:hAnsi="Arial" w:cs="Arial"/>
                <w:sz w:val="22"/>
                <w:szCs w:val="22"/>
              </w:rPr>
              <w:t>In the app</w:t>
            </w:r>
            <w:r w:rsidR="00482385">
              <w:rPr>
                <w:rFonts w:ascii="Arial" w:hAnsi="Arial" w:cs="Arial"/>
                <w:sz w:val="22"/>
                <w:szCs w:val="22"/>
              </w:rPr>
              <w:t>eal</w:t>
            </w:r>
            <w:r w:rsidRPr="00665EC9">
              <w:rPr>
                <w:rFonts w:ascii="Arial" w:hAnsi="Arial" w:cs="Arial"/>
                <w:sz w:val="22"/>
                <w:szCs w:val="22"/>
              </w:rPr>
              <w:t xml:space="preserve">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3418"/>
            </w:tblGrid>
            <w:tr w:rsidR="00B2164A" w14:paraId="0A76B359" w14:textId="77777777" w:rsidTr="00B2164A">
              <w:tc>
                <w:tcPr>
                  <w:tcW w:w="5985" w:type="dxa"/>
                </w:tcPr>
                <w:p w14:paraId="5BAE4E7E" w14:textId="4782B63D" w:rsidR="00B2164A" w:rsidRPr="00306832" w:rsidRDefault="00BA4A8D" w:rsidP="008E6AD1">
                  <w:pPr>
                    <w:spacing w:before="120" w:after="120" w:line="276" w:lineRule="auto"/>
                    <w:jc w:val="both"/>
                    <w:rPr>
                      <w:rFonts w:ascii="Arial" w:hAnsi="Arial" w:cs="Arial"/>
                      <w:bCs/>
                      <w:sz w:val="24"/>
                      <w:szCs w:val="24"/>
                    </w:rPr>
                  </w:pPr>
                  <w:r>
                    <w:rPr>
                      <w:rFonts w:ascii="Arial" w:hAnsi="Arial" w:cs="Arial"/>
                      <w:b/>
                      <w:bCs/>
                      <w:sz w:val="24"/>
                      <w:szCs w:val="24"/>
                    </w:rPr>
                    <w:t>M</w:t>
                  </w:r>
                  <w:r w:rsidR="008E6AD1">
                    <w:rPr>
                      <w:rFonts w:ascii="Arial" w:hAnsi="Arial" w:cs="Arial"/>
                      <w:b/>
                      <w:bCs/>
                      <w:sz w:val="24"/>
                      <w:szCs w:val="24"/>
                    </w:rPr>
                    <w:t>[…], M[…]</w:t>
                  </w:r>
                  <w:r w:rsidR="006676A5">
                    <w:rPr>
                      <w:rFonts w:ascii="Arial" w:hAnsi="Arial" w:cs="Arial"/>
                      <w:b/>
                      <w:bCs/>
                      <w:sz w:val="24"/>
                      <w:szCs w:val="24"/>
                    </w:rPr>
                    <w:t xml:space="preserve"> </w:t>
                  </w:r>
                  <w:r w:rsidR="006676A5" w:rsidRPr="006676A5">
                    <w:rPr>
                      <w:rFonts w:ascii="Arial" w:hAnsi="Arial" w:cs="Arial"/>
                      <w:b/>
                      <w:bCs/>
                      <w:i/>
                      <w:iCs/>
                      <w:sz w:val="24"/>
                      <w:szCs w:val="24"/>
                    </w:rPr>
                    <w:t>N</w:t>
                  </w:r>
                  <w:r w:rsidRPr="00BA4A8D">
                    <w:rPr>
                      <w:rFonts w:ascii="Arial" w:hAnsi="Arial" w:cs="Arial"/>
                      <w:b/>
                      <w:bCs/>
                      <w:i/>
                      <w:iCs/>
                      <w:sz w:val="24"/>
                      <w:szCs w:val="24"/>
                    </w:rPr>
                    <w:t>.O</w:t>
                  </w:r>
                  <w:r w:rsidR="00306832">
                    <w:rPr>
                      <w:rFonts w:ascii="Arial" w:hAnsi="Arial" w:cs="Arial"/>
                      <w:b/>
                      <w:bCs/>
                      <w:i/>
                      <w:iCs/>
                      <w:sz w:val="24"/>
                      <w:szCs w:val="24"/>
                    </w:rPr>
                    <w:t xml:space="preserve"> </w:t>
                  </w:r>
                  <w:r w:rsidR="00306832">
                    <w:rPr>
                      <w:rFonts w:ascii="Arial" w:hAnsi="Arial" w:cs="Arial"/>
                      <w:bCs/>
                      <w:iCs/>
                      <w:sz w:val="24"/>
                      <w:szCs w:val="24"/>
                    </w:rPr>
                    <w:t xml:space="preserve">      </w:t>
                  </w:r>
                  <w:r w:rsidR="008E6AD1">
                    <w:rPr>
                      <w:rFonts w:ascii="Arial" w:hAnsi="Arial" w:cs="Arial"/>
                      <w:bCs/>
                      <w:iCs/>
                      <w:sz w:val="24"/>
                      <w:szCs w:val="24"/>
                    </w:rPr>
                    <w:t xml:space="preserve">                                                    </w:t>
                  </w:r>
                  <w:r w:rsidR="00306832">
                    <w:rPr>
                      <w:rFonts w:ascii="Arial" w:hAnsi="Arial" w:cs="Arial"/>
                      <w:sz w:val="22"/>
                      <w:szCs w:val="22"/>
                    </w:rPr>
                    <w:t>Appellant</w:t>
                  </w:r>
                </w:p>
              </w:tc>
              <w:tc>
                <w:tcPr>
                  <w:tcW w:w="3418" w:type="dxa"/>
                </w:tcPr>
                <w:p w14:paraId="49061C41" w14:textId="093E0944" w:rsidR="00B2164A" w:rsidRDefault="00B2164A" w:rsidP="00306832">
                  <w:pPr>
                    <w:spacing w:before="120" w:after="120" w:line="276" w:lineRule="auto"/>
                    <w:rPr>
                      <w:rFonts w:ascii="Arial" w:hAnsi="Arial" w:cs="Arial"/>
                      <w:sz w:val="22"/>
                      <w:szCs w:val="22"/>
                    </w:rPr>
                  </w:pPr>
                </w:p>
              </w:tc>
            </w:tr>
            <w:tr w:rsidR="00B2164A" w14:paraId="16B65146" w14:textId="77777777" w:rsidTr="00B2164A">
              <w:tc>
                <w:tcPr>
                  <w:tcW w:w="5985" w:type="dxa"/>
                </w:tcPr>
                <w:p w14:paraId="06CB069F" w14:textId="42F01D03" w:rsidR="00B2164A" w:rsidRPr="00B2164A" w:rsidRDefault="00757AAB" w:rsidP="00757AAB">
                  <w:pPr>
                    <w:spacing w:before="120" w:after="120" w:line="276" w:lineRule="auto"/>
                    <w:jc w:val="both"/>
                    <w:rPr>
                      <w:rFonts w:ascii="Arial" w:hAnsi="Arial" w:cs="Arial"/>
                      <w:b/>
                      <w:bCs/>
                      <w:sz w:val="24"/>
                      <w:szCs w:val="24"/>
                    </w:rPr>
                  </w:pPr>
                  <w:r>
                    <w:rPr>
                      <w:rFonts w:ascii="Arial" w:hAnsi="Arial" w:cs="Arial"/>
                      <w:b/>
                      <w:bCs/>
                      <w:sz w:val="24"/>
                      <w:szCs w:val="24"/>
                    </w:rPr>
                    <w:t>A</w:t>
                  </w:r>
                  <w:r w:rsidR="00B2164A" w:rsidRPr="00B2164A">
                    <w:rPr>
                      <w:rFonts w:ascii="Arial" w:hAnsi="Arial" w:cs="Arial"/>
                      <w:b/>
                      <w:bCs/>
                      <w:sz w:val="24"/>
                      <w:szCs w:val="24"/>
                    </w:rPr>
                    <w:t>nd</w:t>
                  </w:r>
                </w:p>
              </w:tc>
              <w:tc>
                <w:tcPr>
                  <w:tcW w:w="3418" w:type="dxa"/>
                </w:tcPr>
                <w:p w14:paraId="35C9B876" w14:textId="77777777" w:rsidR="00B2164A" w:rsidRDefault="00B2164A" w:rsidP="00757AAB">
                  <w:pPr>
                    <w:spacing w:before="120" w:after="120" w:line="276" w:lineRule="auto"/>
                    <w:jc w:val="right"/>
                    <w:rPr>
                      <w:rFonts w:ascii="Arial" w:hAnsi="Arial" w:cs="Arial"/>
                      <w:sz w:val="22"/>
                      <w:szCs w:val="22"/>
                    </w:rPr>
                  </w:pPr>
                </w:p>
              </w:tc>
            </w:tr>
            <w:tr w:rsidR="00B2164A" w14:paraId="4D10FD71" w14:textId="77777777" w:rsidTr="00B2164A">
              <w:tc>
                <w:tcPr>
                  <w:tcW w:w="5985" w:type="dxa"/>
                </w:tcPr>
                <w:p w14:paraId="6B58AC11" w14:textId="243FF6F3" w:rsidR="00B2164A" w:rsidRPr="00B2164A" w:rsidRDefault="00482385" w:rsidP="008E6AD1">
                  <w:pPr>
                    <w:spacing w:before="120" w:after="120" w:line="276" w:lineRule="auto"/>
                    <w:jc w:val="both"/>
                    <w:rPr>
                      <w:rFonts w:ascii="Arial" w:hAnsi="Arial" w:cs="Arial"/>
                      <w:b/>
                      <w:bCs/>
                      <w:sz w:val="24"/>
                      <w:szCs w:val="24"/>
                    </w:rPr>
                  </w:pPr>
                  <w:r>
                    <w:rPr>
                      <w:rFonts w:ascii="Arial" w:hAnsi="Arial" w:cs="Arial"/>
                      <w:b/>
                      <w:bCs/>
                      <w:sz w:val="24"/>
                      <w:szCs w:val="24"/>
                    </w:rPr>
                    <w:t>L</w:t>
                  </w:r>
                  <w:r w:rsidR="008E6AD1">
                    <w:rPr>
                      <w:rFonts w:ascii="Arial" w:hAnsi="Arial" w:cs="Arial"/>
                      <w:b/>
                      <w:bCs/>
                      <w:sz w:val="24"/>
                      <w:szCs w:val="24"/>
                    </w:rPr>
                    <w:t>[…]</w:t>
                  </w:r>
                  <w:r w:rsidR="00BA4A8D">
                    <w:rPr>
                      <w:rFonts w:ascii="Arial" w:hAnsi="Arial" w:cs="Arial"/>
                      <w:b/>
                      <w:bCs/>
                      <w:sz w:val="24"/>
                      <w:szCs w:val="24"/>
                    </w:rPr>
                    <w:t>, N</w:t>
                  </w:r>
                  <w:r w:rsidR="008E6AD1">
                    <w:rPr>
                      <w:rFonts w:ascii="Arial" w:hAnsi="Arial" w:cs="Arial"/>
                      <w:b/>
                      <w:bCs/>
                      <w:sz w:val="24"/>
                      <w:szCs w:val="24"/>
                    </w:rPr>
                    <w:t>[…]</w:t>
                  </w:r>
                </w:p>
              </w:tc>
              <w:tc>
                <w:tcPr>
                  <w:tcW w:w="3418" w:type="dxa"/>
                </w:tcPr>
                <w:p w14:paraId="43CDE683" w14:textId="6F3ADB11" w:rsidR="00B2164A" w:rsidRDefault="00B2164A" w:rsidP="00757AAB">
                  <w:pPr>
                    <w:spacing w:before="120" w:after="120" w:line="276" w:lineRule="auto"/>
                    <w:jc w:val="right"/>
                    <w:rPr>
                      <w:rFonts w:ascii="Arial" w:hAnsi="Arial" w:cs="Arial"/>
                      <w:sz w:val="22"/>
                      <w:szCs w:val="22"/>
                    </w:rPr>
                  </w:pPr>
                  <w:r>
                    <w:rPr>
                      <w:rFonts w:ascii="Arial" w:hAnsi="Arial" w:cs="Arial"/>
                      <w:sz w:val="22"/>
                      <w:szCs w:val="22"/>
                    </w:rPr>
                    <w:t>Respondent</w:t>
                  </w:r>
                </w:p>
              </w:tc>
            </w:tr>
          </w:tbl>
          <w:p w14:paraId="52C6AEDA" w14:textId="77777777" w:rsidR="00385E64" w:rsidRPr="00665EC9" w:rsidRDefault="00385E64" w:rsidP="00757A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rsidRPr="00665EC9" w14:paraId="1A0E73F1" w14:textId="77777777" w:rsidTr="00044032">
              <w:tc>
                <w:tcPr>
                  <w:tcW w:w="1790" w:type="dxa"/>
                </w:tcPr>
                <w:p w14:paraId="3FED8F38" w14:textId="77777777" w:rsidR="001D7244" w:rsidRPr="005D1D30" w:rsidRDefault="001D7244" w:rsidP="00757A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14:paraId="179C20A0" w14:textId="246355F5" w:rsidR="001D7244" w:rsidRPr="005D1D30" w:rsidRDefault="00482385" w:rsidP="00757AAB">
                  <w:pPr>
                    <w:tabs>
                      <w:tab w:val="left" w:pos="1417"/>
                    </w:tabs>
                    <w:spacing w:after="120" w:line="276" w:lineRule="auto"/>
                    <w:ind w:left="2268" w:hanging="2268"/>
                    <w:rPr>
                      <w:rFonts w:ascii="Arial" w:eastAsia="Times New Roman" w:hAnsi="Arial" w:cs="Arial"/>
                      <w:color w:val="000000"/>
                      <w:sz w:val="24"/>
                      <w:szCs w:val="24"/>
                    </w:rPr>
                  </w:pPr>
                  <w:proofErr w:type="spellStart"/>
                  <w:r>
                    <w:rPr>
                      <w:rFonts w:ascii="Arial" w:eastAsia="Times New Roman" w:hAnsi="Arial" w:cs="Arial"/>
                      <w:color w:val="000000"/>
                      <w:sz w:val="24"/>
                      <w:szCs w:val="24"/>
                      <w:lang w:val="en-ZA"/>
                    </w:rPr>
                    <w:t>Kubushi</w:t>
                  </w:r>
                  <w:proofErr w:type="spellEnd"/>
                  <w:r>
                    <w:rPr>
                      <w:rFonts w:ascii="Arial" w:eastAsia="Times New Roman" w:hAnsi="Arial" w:cs="Arial"/>
                      <w:color w:val="000000"/>
                      <w:sz w:val="24"/>
                      <w:szCs w:val="24"/>
                      <w:lang w:val="en-ZA"/>
                    </w:rPr>
                    <w:t xml:space="preserve"> &amp; </w:t>
                  </w:r>
                  <w:r w:rsidR="001D7244" w:rsidRPr="005D1D30">
                    <w:rPr>
                      <w:rFonts w:ascii="Arial" w:eastAsia="Times New Roman" w:hAnsi="Arial" w:cs="Arial"/>
                      <w:color w:val="000000"/>
                      <w:sz w:val="24"/>
                      <w:szCs w:val="24"/>
                      <w:lang w:val="en-ZA"/>
                    </w:rPr>
                    <w:t>Millar J</w:t>
                  </w:r>
                  <w:r>
                    <w:rPr>
                      <w:rFonts w:ascii="Arial" w:eastAsia="Times New Roman" w:hAnsi="Arial" w:cs="Arial"/>
                      <w:color w:val="000000"/>
                      <w:sz w:val="24"/>
                      <w:szCs w:val="24"/>
                      <w:lang w:val="en-ZA"/>
                    </w:rPr>
                    <w:t>J</w:t>
                  </w:r>
                </w:p>
                <w:p w14:paraId="5B9C6653" w14:textId="77777777" w:rsidR="001D7244" w:rsidRPr="005D1D30" w:rsidRDefault="001D7244" w:rsidP="00757A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1D7244" w:rsidRPr="00665EC9" w14:paraId="228B23B4" w14:textId="77777777" w:rsidTr="00044032">
              <w:tc>
                <w:tcPr>
                  <w:tcW w:w="1790" w:type="dxa"/>
                </w:tcPr>
                <w:p w14:paraId="3782ACB5" w14:textId="5BB21356" w:rsidR="001D7244" w:rsidRPr="005D1D30" w:rsidRDefault="001D7244" w:rsidP="00757A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14:paraId="2B287286" w14:textId="6D0C85F3" w:rsidR="001D7244" w:rsidRPr="005D1D30" w:rsidRDefault="00482385" w:rsidP="00757AAB">
                  <w:pP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w:t>
                  </w:r>
                  <w:r w:rsidR="00486AD1">
                    <w:rPr>
                      <w:rFonts w:ascii="Arial" w:eastAsia="Times New Roman" w:hAnsi="Arial" w:cs="Arial"/>
                      <w:color w:val="000000"/>
                      <w:sz w:val="24"/>
                      <w:szCs w:val="24"/>
                      <w:lang w:val="en-ZA"/>
                    </w:rPr>
                    <w:t>5</w:t>
                  </w:r>
                  <w:r>
                    <w:rPr>
                      <w:rFonts w:ascii="Arial" w:eastAsia="Times New Roman" w:hAnsi="Arial" w:cs="Arial"/>
                      <w:color w:val="000000"/>
                      <w:sz w:val="24"/>
                      <w:szCs w:val="24"/>
                      <w:lang w:val="en-ZA"/>
                    </w:rPr>
                    <w:t xml:space="preserve"> October</w:t>
                  </w:r>
                  <w:r w:rsidR="00E7487B" w:rsidRPr="005D1D30">
                    <w:rPr>
                      <w:rFonts w:ascii="Arial" w:eastAsia="Times New Roman" w:hAnsi="Arial" w:cs="Arial"/>
                      <w:color w:val="000000"/>
                      <w:sz w:val="24"/>
                      <w:szCs w:val="24"/>
                      <w:lang w:val="en-ZA"/>
                    </w:rPr>
                    <w:t xml:space="preserve"> </w:t>
                  </w:r>
                  <w:r w:rsidR="001D7244" w:rsidRPr="005D1D30">
                    <w:rPr>
                      <w:rFonts w:ascii="Arial" w:eastAsia="Times New Roman" w:hAnsi="Arial" w:cs="Arial"/>
                      <w:color w:val="000000"/>
                      <w:sz w:val="24"/>
                      <w:szCs w:val="24"/>
                      <w:lang w:val="en-ZA"/>
                    </w:rPr>
                    <w:t xml:space="preserve">2022 </w:t>
                  </w:r>
                </w:p>
                <w:p w14:paraId="49BE3F31" w14:textId="77777777" w:rsidR="001D7244" w:rsidRPr="005D1D30" w:rsidRDefault="001D7244" w:rsidP="00757A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1D7244" w:rsidRPr="00665EC9" w14:paraId="43F73DC2" w14:textId="77777777" w:rsidTr="00044032">
              <w:tc>
                <w:tcPr>
                  <w:tcW w:w="1790" w:type="dxa"/>
                </w:tcPr>
                <w:p w14:paraId="4EE56F41" w14:textId="77777777" w:rsidR="001D7244" w:rsidRPr="005D1D30" w:rsidRDefault="001D7244" w:rsidP="00757A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14:paraId="751BBB8E" w14:textId="2B2ED017" w:rsidR="001D7244" w:rsidRPr="00385E64" w:rsidRDefault="00486AD1" w:rsidP="00757AAB">
                  <w:pP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26</w:t>
                  </w:r>
                  <w:r w:rsidR="009A1938" w:rsidRPr="005D1D30">
                    <w:rPr>
                      <w:rFonts w:ascii="Arial" w:eastAsia="Times New Roman" w:hAnsi="Arial" w:cs="Arial"/>
                      <w:color w:val="000000"/>
                      <w:sz w:val="24"/>
                      <w:szCs w:val="24"/>
                      <w:lang w:val="en-ZA"/>
                    </w:rPr>
                    <w:t xml:space="preserve"> October</w:t>
                  </w:r>
                  <w:r w:rsidR="001D7244" w:rsidRPr="005D1D30">
                    <w:rPr>
                      <w:rFonts w:ascii="Arial" w:eastAsia="Times New Roman" w:hAnsi="Arial" w:cs="Arial"/>
                      <w:color w:val="000000"/>
                      <w:sz w:val="24"/>
                      <w:szCs w:val="24"/>
                      <w:lang w:val="en-ZA"/>
                    </w:rPr>
                    <w:t xml:space="preserve"> 2022 - This judgment was handed down electronically by circulation to the parties' representatives by email, by being uploaded to the </w:t>
                  </w:r>
                  <w:proofErr w:type="spellStart"/>
                  <w:r w:rsidR="001D7244" w:rsidRPr="005D1D30">
                    <w:rPr>
                      <w:rFonts w:ascii="Arial" w:eastAsia="Times New Roman" w:hAnsi="Arial" w:cs="Arial"/>
                      <w:i/>
                      <w:iCs/>
                      <w:color w:val="000000"/>
                      <w:sz w:val="24"/>
                      <w:szCs w:val="24"/>
                      <w:lang w:val="en-ZA"/>
                    </w:rPr>
                    <w:t>CaseLines</w:t>
                  </w:r>
                  <w:proofErr w:type="spellEnd"/>
                  <w:r w:rsidR="001D7244" w:rsidRPr="005D1D30">
                    <w:rPr>
                      <w:rFonts w:ascii="Arial" w:eastAsia="Times New Roman" w:hAnsi="Arial" w:cs="Arial"/>
                      <w:color w:val="000000"/>
                      <w:sz w:val="24"/>
                      <w:szCs w:val="24"/>
                      <w:lang w:val="en-ZA"/>
                    </w:rPr>
                    <w:t xml:space="preserve"> system of the GD and by release to SAFLII. The date and time for hand-down is deemed to be </w:t>
                  </w:r>
                  <w:r w:rsidR="00A554C6" w:rsidRPr="005D1D30">
                    <w:rPr>
                      <w:rFonts w:ascii="Arial" w:eastAsia="Times New Roman" w:hAnsi="Arial" w:cs="Arial"/>
                      <w:color w:val="000000"/>
                      <w:sz w:val="24"/>
                      <w:szCs w:val="24"/>
                      <w:lang w:val="en-ZA"/>
                    </w:rPr>
                    <w:t>1</w:t>
                  </w:r>
                  <w:r w:rsidR="00F0614B">
                    <w:rPr>
                      <w:rFonts w:ascii="Arial" w:eastAsia="Times New Roman" w:hAnsi="Arial" w:cs="Arial"/>
                      <w:color w:val="000000"/>
                      <w:sz w:val="24"/>
                      <w:szCs w:val="24"/>
                      <w:lang w:val="en-ZA"/>
                    </w:rPr>
                    <w:t>0</w:t>
                  </w:r>
                  <w:r w:rsidR="001D7244" w:rsidRPr="005D1D30">
                    <w:rPr>
                      <w:rFonts w:ascii="Arial" w:eastAsia="Times New Roman" w:hAnsi="Arial" w:cs="Arial"/>
                      <w:color w:val="000000"/>
                      <w:sz w:val="24"/>
                      <w:szCs w:val="24"/>
                      <w:lang w:val="en-ZA"/>
                    </w:rPr>
                    <w:t>H</w:t>
                  </w:r>
                  <w:r w:rsidR="00A554C6" w:rsidRPr="005D1D30">
                    <w:rPr>
                      <w:rFonts w:ascii="Arial" w:eastAsia="Times New Roman" w:hAnsi="Arial" w:cs="Arial"/>
                      <w:color w:val="000000"/>
                      <w:sz w:val="24"/>
                      <w:szCs w:val="24"/>
                      <w:lang w:val="en-ZA"/>
                    </w:rPr>
                    <w:t>0</w:t>
                  </w:r>
                  <w:r w:rsidR="00110539" w:rsidRPr="005D1D30">
                    <w:rPr>
                      <w:rFonts w:ascii="Arial" w:eastAsia="Times New Roman" w:hAnsi="Arial" w:cs="Arial"/>
                      <w:color w:val="000000"/>
                      <w:sz w:val="24"/>
                      <w:szCs w:val="24"/>
                      <w:lang w:val="en-ZA"/>
                    </w:rPr>
                    <w:t>0</w:t>
                  </w:r>
                  <w:r w:rsidR="001D7244" w:rsidRPr="005D1D30">
                    <w:rPr>
                      <w:rFonts w:ascii="Arial" w:eastAsia="Times New Roman" w:hAnsi="Arial" w:cs="Arial"/>
                      <w:color w:val="000000"/>
                      <w:sz w:val="24"/>
                      <w:szCs w:val="24"/>
                      <w:lang w:val="en-ZA"/>
                    </w:rPr>
                    <w:t xml:space="preserve"> on</w:t>
                  </w:r>
                  <w:r w:rsidR="009A1938" w:rsidRPr="005D1D30">
                    <w:rPr>
                      <w:rFonts w:ascii="Arial" w:eastAsia="Times New Roman" w:hAnsi="Arial" w:cs="Arial"/>
                      <w:color w:val="000000"/>
                      <w:sz w:val="24"/>
                      <w:szCs w:val="24"/>
                      <w:lang w:val="en-ZA"/>
                    </w:rPr>
                    <w:t xml:space="preserve"> </w:t>
                  </w:r>
                  <w:r>
                    <w:rPr>
                      <w:rFonts w:ascii="Arial" w:eastAsia="Times New Roman" w:hAnsi="Arial" w:cs="Arial"/>
                      <w:color w:val="000000"/>
                      <w:sz w:val="24"/>
                      <w:szCs w:val="24"/>
                      <w:lang w:val="en-ZA"/>
                    </w:rPr>
                    <w:t>26</w:t>
                  </w:r>
                  <w:r w:rsidR="009A1938" w:rsidRPr="005D1D30">
                    <w:rPr>
                      <w:rFonts w:ascii="Arial" w:eastAsia="Times New Roman" w:hAnsi="Arial" w:cs="Arial"/>
                      <w:color w:val="000000"/>
                      <w:sz w:val="24"/>
                      <w:szCs w:val="24"/>
                      <w:lang w:val="en-ZA"/>
                    </w:rPr>
                    <w:t xml:space="preserve"> October 2022</w:t>
                  </w:r>
                  <w:r w:rsidR="001D7244" w:rsidRPr="005D1D30">
                    <w:rPr>
                      <w:rFonts w:ascii="Arial" w:eastAsia="Times New Roman" w:hAnsi="Arial" w:cs="Arial"/>
                      <w:color w:val="000000"/>
                      <w:sz w:val="24"/>
                      <w:szCs w:val="24"/>
                      <w:lang w:val="en-ZA"/>
                    </w:rPr>
                    <w:t>.</w:t>
                  </w:r>
                </w:p>
              </w:tc>
            </w:tr>
          </w:tbl>
          <w:p w14:paraId="7F090906" w14:textId="77777777" w:rsidR="001D7244" w:rsidRPr="00665EC9" w:rsidRDefault="001D7244" w:rsidP="00757A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43E3A6DE" w14:textId="77777777" w:rsidR="00F0614B" w:rsidRDefault="00F0614B" w:rsidP="00385E64">
      <w:pPr>
        <w:spacing w:after="240" w:line="360" w:lineRule="auto"/>
        <w:jc w:val="both"/>
        <w:rPr>
          <w:rFonts w:ascii="Arial" w:hAnsi="Arial" w:cs="Arial"/>
          <w:b/>
          <w:bCs/>
          <w:lang w:val="en-ZA"/>
        </w:rPr>
      </w:pPr>
    </w:p>
    <w:p w14:paraId="4658C8FA" w14:textId="77777777" w:rsidR="00757AAB" w:rsidRDefault="00757AAB" w:rsidP="0003162D">
      <w:pPr>
        <w:spacing w:after="240" w:line="360" w:lineRule="auto"/>
        <w:ind w:left="142"/>
        <w:jc w:val="both"/>
        <w:rPr>
          <w:rFonts w:ascii="Arial" w:hAnsi="Arial" w:cs="Arial"/>
          <w:b/>
          <w:bCs/>
          <w:lang w:val="en-ZA"/>
        </w:rPr>
      </w:pPr>
    </w:p>
    <w:p w14:paraId="2B730B58" w14:textId="0C0BD390" w:rsidR="0003162D" w:rsidRDefault="00DE768D" w:rsidP="0003162D">
      <w:pPr>
        <w:spacing w:after="240" w:line="360" w:lineRule="auto"/>
        <w:ind w:left="142"/>
        <w:jc w:val="both"/>
        <w:rPr>
          <w:rFonts w:ascii="Arial" w:hAnsi="Arial" w:cs="Arial"/>
          <w:lang w:val="en-ZA"/>
        </w:rPr>
      </w:pPr>
      <w:r>
        <w:rPr>
          <w:rFonts w:ascii="Arial" w:hAnsi="Arial" w:cs="Arial"/>
          <w:b/>
          <w:bCs/>
          <w:lang w:val="en-ZA"/>
        </w:rPr>
        <w:t>SUMMARY</w:t>
      </w:r>
      <w:r w:rsidR="0003162D" w:rsidRPr="00651605">
        <w:rPr>
          <w:rFonts w:ascii="Arial" w:hAnsi="Arial" w:cs="Arial"/>
          <w:b/>
          <w:bCs/>
          <w:lang w:val="en-ZA"/>
        </w:rPr>
        <w:t>:</w:t>
      </w:r>
      <w:r w:rsidR="00486AD1">
        <w:rPr>
          <w:rFonts w:ascii="Arial" w:hAnsi="Arial" w:cs="Arial"/>
          <w:b/>
          <w:bCs/>
          <w:lang w:val="en-ZA"/>
        </w:rPr>
        <w:tab/>
      </w:r>
      <w:r w:rsidR="00486AD1">
        <w:rPr>
          <w:rFonts w:ascii="Arial" w:hAnsi="Arial" w:cs="Arial"/>
          <w:lang w:val="en-ZA"/>
        </w:rPr>
        <w:t>Appeal against the d</w:t>
      </w:r>
      <w:r w:rsidR="00E56F02">
        <w:rPr>
          <w:rFonts w:ascii="Arial" w:hAnsi="Arial" w:cs="Arial"/>
          <w:lang w:val="en-ZA"/>
        </w:rPr>
        <w:t>ismissal of a claim for forfeiture in terms of section 9(1) of the Divorce Act 70 of 1979 – parties marrie</w:t>
      </w:r>
      <w:r w:rsidR="00757AAB">
        <w:rPr>
          <w:rFonts w:ascii="Arial" w:hAnsi="Arial" w:cs="Arial"/>
          <w:lang w:val="en-ZA"/>
        </w:rPr>
        <w:t xml:space="preserve">d in community of property – </w:t>
      </w:r>
      <w:proofErr w:type="gramStart"/>
      <w:r w:rsidR="00757AAB">
        <w:rPr>
          <w:rFonts w:ascii="Arial" w:hAnsi="Arial" w:cs="Arial"/>
          <w:lang w:val="en-ZA"/>
        </w:rPr>
        <w:t xml:space="preserve">15 </w:t>
      </w:r>
      <w:r w:rsidR="00E56F02">
        <w:rPr>
          <w:rFonts w:ascii="Arial" w:hAnsi="Arial" w:cs="Arial"/>
          <w:lang w:val="en-ZA"/>
        </w:rPr>
        <w:t>year</w:t>
      </w:r>
      <w:proofErr w:type="gramEnd"/>
      <w:r w:rsidR="00E56F02">
        <w:rPr>
          <w:rFonts w:ascii="Arial" w:hAnsi="Arial" w:cs="Arial"/>
          <w:lang w:val="en-ZA"/>
        </w:rPr>
        <w:t xml:space="preserve"> marriage – onus on party claiming forfeiture to establish entitlement on a balance of probabilities – evidence led at trial did not establish pleaded grounds for forfeiture or substantial misconduct of respondent – appeal dismissed with costs.</w:t>
      </w:r>
    </w:p>
    <w:p w14:paraId="019C4739" w14:textId="77777777" w:rsidR="00385E64" w:rsidRPr="00486AD1" w:rsidRDefault="00385E64" w:rsidP="0003162D">
      <w:pPr>
        <w:spacing w:after="240" w:line="360" w:lineRule="auto"/>
        <w:ind w:left="142"/>
        <w:jc w:val="both"/>
        <w:rPr>
          <w:rFonts w:ascii="Arial" w:hAnsi="Arial" w:cs="Arial"/>
        </w:rPr>
      </w:pPr>
    </w:p>
    <w:p w14:paraId="77870908" w14:textId="77777777" w:rsidR="0003162D" w:rsidRPr="0003162D" w:rsidRDefault="0003162D" w:rsidP="0003162D">
      <w:pPr>
        <w:pStyle w:val="LegalTramLines"/>
        <w:spacing w:after="240"/>
        <w:rPr>
          <w:b w:val="0"/>
          <w:bCs/>
          <w:sz w:val="28"/>
          <w:szCs w:val="28"/>
        </w:rPr>
      </w:pPr>
      <w:r w:rsidRPr="0003162D">
        <w:rPr>
          <w:b w:val="0"/>
          <w:bCs/>
          <w:sz w:val="28"/>
          <w:szCs w:val="28"/>
        </w:rPr>
        <w:t>ORDER</w:t>
      </w:r>
    </w:p>
    <w:p w14:paraId="32E806BC" w14:textId="77777777" w:rsidR="00385E64" w:rsidRDefault="00385E64" w:rsidP="0003162D">
      <w:pPr>
        <w:pStyle w:val="Body"/>
        <w:spacing w:line="360" w:lineRule="auto"/>
        <w:jc w:val="both"/>
        <w:rPr>
          <w:bCs/>
          <w:sz w:val="24"/>
          <w:szCs w:val="24"/>
        </w:rPr>
      </w:pPr>
    </w:p>
    <w:p w14:paraId="38E26F0C" w14:textId="6364F3C0" w:rsidR="0003162D" w:rsidRDefault="00322BBE" w:rsidP="0003162D">
      <w:pPr>
        <w:pStyle w:val="Body"/>
        <w:spacing w:line="360" w:lineRule="auto"/>
        <w:jc w:val="both"/>
        <w:rPr>
          <w:bCs/>
          <w:sz w:val="24"/>
          <w:szCs w:val="24"/>
        </w:rPr>
      </w:pPr>
      <w:r>
        <w:rPr>
          <w:bCs/>
          <w:sz w:val="24"/>
          <w:szCs w:val="24"/>
        </w:rPr>
        <w:t xml:space="preserve">On Appeal from the Regional Division of Gauteng held at Pretoria, (The Learned Magistrate </w:t>
      </w:r>
      <w:proofErr w:type="spellStart"/>
      <w:r>
        <w:rPr>
          <w:bCs/>
          <w:sz w:val="24"/>
          <w:szCs w:val="24"/>
        </w:rPr>
        <w:t>Bekker</w:t>
      </w:r>
      <w:proofErr w:type="spellEnd"/>
      <w:r>
        <w:rPr>
          <w:bCs/>
          <w:sz w:val="24"/>
          <w:szCs w:val="24"/>
        </w:rPr>
        <w:t xml:space="preserve"> sitting as Court of First Instance)</w:t>
      </w:r>
    </w:p>
    <w:p w14:paraId="11FAEF11" w14:textId="77777777" w:rsidR="00322BBE" w:rsidRDefault="00322BBE" w:rsidP="0003162D">
      <w:pPr>
        <w:pStyle w:val="Body"/>
        <w:spacing w:line="360" w:lineRule="auto"/>
        <w:jc w:val="both"/>
        <w:rPr>
          <w:bCs/>
          <w:sz w:val="24"/>
          <w:szCs w:val="24"/>
        </w:rPr>
      </w:pPr>
    </w:p>
    <w:p w14:paraId="104F632B" w14:textId="5ED3984B" w:rsidR="0003162D" w:rsidRDefault="0003162D" w:rsidP="0003162D">
      <w:pPr>
        <w:pStyle w:val="Body"/>
        <w:spacing w:line="360" w:lineRule="auto"/>
        <w:jc w:val="both"/>
        <w:rPr>
          <w:bCs/>
          <w:sz w:val="24"/>
          <w:szCs w:val="24"/>
        </w:rPr>
      </w:pPr>
      <w:r>
        <w:rPr>
          <w:bCs/>
          <w:sz w:val="24"/>
          <w:szCs w:val="24"/>
        </w:rPr>
        <w:t xml:space="preserve">It is </w:t>
      </w:r>
      <w:r w:rsidR="00385E64">
        <w:rPr>
          <w:bCs/>
          <w:sz w:val="24"/>
          <w:szCs w:val="24"/>
        </w:rPr>
        <w:t>ordered: -</w:t>
      </w:r>
    </w:p>
    <w:p w14:paraId="10CC12CD" w14:textId="77777777" w:rsidR="0003162D" w:rsidRDefault="0003162D" w:rsidP="0003162D">
      <w:pPr>
        <w:pStyle w:val="Body"/>
        <w:spacing w:line="360" w:lineRule="auto"/>
        <w:jc w:val="both"/>
        <w:rPr>
          <w:bCs/>
          <w:sz w:val="24"/>
          <w:szCs w:val="24"/>
        </w:rPr>
      </w:pPr>
    </w:p>
    <w:p w14:paraId="484D0188" w14:textId="3FC36C45" w:rsidR="00486AD1" w:rsidRDefault="00306832" w:rsidP="00306832">
      <w:pPr>
        <w:pStyle w:val="Body"/>
        <w:spacing w:line="360" w:lineRule="auto"/>
        <w:ind w:left="720" w:hanging="720"/>
        <w:jc w:val="both"/>
        <w:rPr>
          <w:bCs/>
          <w:sz w:val="24"/>
          <w:szCs w:val="24"/>
        </w:rPr>
      </w:pPr>
      <w:r>
        <w:rPr>
          <w:bCs/>
          <w:sz w:val="24"/>
          <w:szCs w:val="24"/>
        </w:rPr>
        <w:t>1.</w:t>
      </w:r>
      <w:r>
        <w:rPr>
          <w:bCs/>
          <w:sz w:val="24"/>
          <w:szCs w:val="24"/>
        </w:rPr>
        <w:tab/>
      </w:r>
      <w:r w:rsidR="00486AD1">
        <w:rPr>
          <w:bCs/>
          <w:sz w:val="24"/>
          <w:szCs w:val="24"/>
        </w:rPr>
        <w:t xml:space="preserve">The executor in the estate of the late </w:t>
      </w:r>
      <w:proofErr w:type="gramStart"/>
      <w:r w:rsidR="00486AD1">
        <w:rPr>
          <w:bCs/>
          <w:sz w:val="24"/>
          <w:szCs w:val="24"/>
        </w:rPr>
        <w:t>M</w:t>
      </w:r>
      <w:r w:rsidR="00EB30B8">
        <w:rPr>
          <w:bCs/>
          <w:sz w:val="24"/>
          <w:szCs w:val="24"/>
        </w:rPr>
        <w:t>[</w:t>
      </w:r>
      <w:proofErr w:type="gramEnd"/>
      <w:r w:rsidR="00EB30B8">
        <w:rPr>
          <w:bCs/>
          <w:sz w:val="24"/>
          <w:szCs w:val="24"/>
        </w:rPr>
        <w:t>…]</w:t>
      </w:r>
      <w:r w:rsidR="00486AD1">
        <w:rPr>
          <w:bCs/>
          <w:sz w:val="24"/>
          <w:szCs w:val="24"/>
        </w:rPr>
        <w:t xml:space="preserve"> M</w:t>
      </w:r>
      <w:r w:rsidR="008E6AD1">
        <w:rPr>
          <w:bCs/>
          <w:sz w:val="24"/>
          <w:szCs w:val="24"/>
        </w:rPr>
        <w:t>[…]</w:t>
      </w:r>
      <w:r w:rsidR="00486AD1">
        <w:rPr>
          <w:bCs/>
          <w:sz w:val="24"/>
          <w:szCs w:val="24"/>
        </w:rPr>
        <w:t xml:space="preserve"> is substituted as appellant.</w:t>
      </w:r>
    </w:p>
    <w:p w14:paraId="1C18B3B3" w14:textId="77777777" w:rsidR="00385E64" w:rsidRDefault="00385E64" w:rsidP="00385E64">
      <w:pPr>
        <w:pStyle w:val="Body"/>
        <w:spacing w:line="360" w:lineRule="auto"/>
        <w:ind w:left="720"/>
        <w:jc w:val="both"/>
        <w:rPr>
          <w:bCs/>
          <w:sz w:val="24"/>
          <w:szCs w:val="24"/>
        </w:rPr>
      </w:pPr>
    </w:p>
    <w:p w14:paraId="4D409B2B" w14:textId="28316B23" w:rsidR="00486AD1" w:rsidRDefault="00306832" w:rsidP="00306832">
      <w:pPr>
        <w:pStyle w:val="Body"/>
        <w:spacing w:line="360" w:lineRule="auto"/>
        <w:ind w:left="720" w:hanging="720"/>
        <w:jc w:val="both"/>
        <w:rPr>
          <w:bCs/>
          <w:sz w:val="24"/>
          <w:szCs w:val="24"/>
        </w:rPr>
      </w:pPr>
      <w:r>
        <w:rPr>
          <w:bCs/>
          <w:sz w:val="24"/>
          <w:szCs w:val="24"/>
        </w:rPr>
        <w:t>2.</w:t>
      </w:r>
      <w:r>
        <w:rPr>
          <w:bCs/>
          <w:sz w:val="24"/>
          <w:szCs w:val="24"/>
        </w:rPr>
        <w:tab/>
      </w:r>
      <w:r w:rsidR="00486AD1">
        <w:rPr>
          <w:bCs/>
          <w:sz w:val="24"/>
          <w:szCs w:val="24"/>
        </w:rPr>
        <w:t>The application for the reinstatement of the appeal is granted.</w:t>
      </w:r>
    </w:p>
    <w:p w14:paraId="2E83E431" w14:textId="77777777" w:rsidR="00385E64" w:rsidRDefault="00385E64" w:rsidP="00385E64">
      <w:pPr>
        <w:pStyle w:val="Body"/>
        <w:spacing w:line="360" w:lineRule="auto"/>
        <w:jc w:val="both"/>
        <w:rPr>
          <w:bCs/>
          <w:sz w:val="24"/>
          <w:szCs w:val="24"/>
        </w:rPr>
      </w:pPr>
    </w:p>
    <w:p w14:paraId="428D9584" w14:textId="5FC1C863" w:rsidR="00486AD1" w:rsidRDefault="00306832" w:rsidP="00306832">
      <w:pPr>
        <w:pStyle w:val="Body"/>
        <w:spacing w:line="360" w:lineRule="auto"/>
        <w:ind w:left="720" w:hanging="720"/>
        <w:jc w:val="both"/>
        <w:rPr>
          <w:bCs/>
          <w:sz w:val="24"/>
          <w:szCs w:val="24"/>
        </w:rPr>
      </w:pPr>
      <w:r>
        <w:rPr>
          <w:bCs/>
          <w:sz w:val="24"/>
          <w:szCs w:val="24"/>
        </w:rPr>
        <w:t>3.</w:t>
      </w:r>
      <w:r>
        <w:rPr>
          <w:bCs/>
          <w:sz w:val="24"/>
          <w:szCs w:val="24"/>
        </w:rPr>
        <w:tab/>
      </w:r>
      <w:r w:rsidR="00486AD1">
        <w:rPr>
          <w:bCs/>
          <w:sz w:val="24"/>
          <w:szCs w:val="24"/>
        </w:rPr>
        <w:t>The appeal is dismissed with costs.</w:t>
      </w:r>
    </w:p>
    <w:p w14:paraId="4BD575AF" w14:textId="4A7A138E" w:rsidR="0003162D" w:rsidRDefault="0003162D" w:rsidP="00486AD1">
      <w:pPr>
        <w:pStyle w:val="Body"/>
        <w:spacing w:line="360" w:lineRule="auto"/>
        <w:jc w:val="both"/>
        <w:rPr>
          <w:bCs/>
          <w:sz w:val="24"/>
          <w:szCs w:val="24"/>
        </w:rPr>
      </w:pPr>
    </w:p>
    <w:p w14:paraId="2006408E" w14:textId="70D43F8F" w:rsidR="00B50E11" w:rsidRDefault="00B50E11" w:rsidP="00B50E11">
      <w:pPr>
        <w:pStyle w:val="Body"/>
        <w:spacing w:line="360" w:lineRule="auto"/>
        <w:jc w:val="both"/>
        <w:rPr>
          <w:rFonts w:eastAsia="Tahoma" w:cs="Arial"/>
          <w:b/>
          <w:bCs/>
          <w:sz w:val="24"/>
          <w:szCs w:val="24"/>
        </w:rPr>
      </w:pPr>
    </w:p>
    <w:p w14:paraId="3BA195C7" w14:textId="222A5077" w:rsidR="00757AAB" w:rsidRDefault="00757AAB" w:rsidP="00B50E11">
      <w:pPr>
        <w:pStyle w:val="Body"/>
        <w:spacing w:line="360" w:lineRule="auto"/>
        <w:jc w:val="both"/>
        <w:rPr>
          <w:rFonts w:eastAsia="Tahoma" w:cs="Arial"/>
          <w:b/>
          <w:bCs/>
          <w:sz w:val="24"/>
          <w:szCs w:val="24"/>
        </w:rPr>
      </w:pPr>
    </w:p>
    <w:p w14:paraId="489A32E4" w14:textId="77777777" w:rsidR="00385E64" w:rsidRPr="00665EC9" w:rsidRDefault="00385E64"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665EC9" w14:paraId="578FF0BE" w14:textId="77777777" w:rsidTr="00F25A36">
        <w:tc>
          <w:tcPr>
            <w:tcW w:w="9350" w:type="dxa"/>
          </w:tcPr>
          <w:p w14:paraId="2AE74CAC" w14:textId="77777777" w:rsidR="00650745" w:rsidRPr="00665EC9"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06752819" w14:textId="77777777" w:rsidR="00B50E11" w:rsidRPr="00665EC9"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03162D">
              <w:rPr>
                <w:rFonts w:eastAsia="Tahoma" w:cs="Arial"/>
                <w:b/>
                <w:bCs/>
                <w:sz w:val="28"/>
                <w:szCs w:val="22"/>
                <w:lang w:val="de-DE"/>
              </w:rPr>
              <w:t>JUDGMENT</w:t>
            </w:r>
          </w:p>
        </w:tc>
      </w:tr>
    </w:tbl>
    <w:p w14:paraId="48138290" w14:textId="77777777" w:rsidR="00C519B2" w:rsidRPr="00665EC9" w:rsidRDefault="00C519B2" w:rsidP="00665EC9">
      <w:pPr>
        <w:pStyle w:val="Body"/>
        <w:spacing w:line="360" w:lineRule="auto"/>
        <w:jc w:val="both"/>
        <w:rPr>
          <w:rFonts w:cs="Arial"/>
          <w:b/>
          <w:sz w:val="24"/>
          <w:szCs w:val="24"/>
        </w:rPr>
      </w:pPr>
    </w:p>
    <w:p w14:paraId="7E87D26D" w14:textId="0A573484" w:rsidR="00385E64" w:rsidRDefault="00B50E11" w:rsidP="005D1D30">
      <w:pPr>
        <w:pStyle w:val="Body"/>
        <w:spacing w:line="360" w:lineRule="auto"/>
        <w:jc w:val="both"/>
        <w:rPr>
          <w:rFonts w:cs="Arial"/>
          <w:bCs/>
          <w:sz w:val="24"/>
          <w:szCs w:val="24"/>
        </w:rPr>
      </w:pPr>
      <w:r w:rsidRPr="00665EC9">
        <w:rPr>
          <w:rFonts w:cs="Arial"/>
          <w:b/>
          <w:sz w:val="24"/>
          <w:szCs w:val="24"/>
          <w:u w:val="single"/>
        </w:rPr>
        <w:t>MILLAR</w:t>
      </w:r>
      <w:r w:rsidR="004075F2" w:rsidRPr="00665EC9">
        <w:rPr>
          <w:rFonts w:cs="Arial"/>
          <w:b/>
          <w:sz w:val="24"/>
          <w:szCs w:val="24"/>
          <w:u w:val="single"/>
        </w:rPr>
        <w:t xml:space="preserve"> </w:t>
      </w:r>
      <w:r w:rsidRPr="00665EC9">
        <w:rPr>
          <w:rFonts w:cs="Arial"/>
          <w:b/>
          <w:sz w:val="24"/>
          <w:szCs w:val="24"/>
          <w:u w:val="single"/>
        </w:rPr>
        <w:t>J</w:t>
      </w:r>
    </w:p>
    <w:p w14:paraId="18B5748A" w14:textId="77777777" w:rsidR="00385E64" w:rsidRPr="00665EC9" w:rsidRDefault="00385E64" w:rsidP="005D1D30">
      <w:pPr>
        <w:pStyle w:val="Body"/>
        <w:spacing w:line="360" w:lineRule="auto"/>
        <w:jc w:val="both"/>
        <w:rPr>
          <w:rFonts w:cs="Arial"/>
          <w:bCs/>
          <w:sz w:val="24"/>
          <w:szCs w:val="24"/>
        </w:rPr>
      </w:pPr>
    </w:p>
    <w:p w14:paraId="6A537614" w14:textId="225137FD" w:rsidR="00722ED8" w:rsidRPr="00722ED8" w:rsidRDefault="00306832" w:rsidP="00306832">
      <w:pPr>
        <w:pStyle w:val="Body"/>
        <w:spacing w:line="360" w:lineRule="auto"/>
        <w:ind w:left="851" w:hanging="851"/>
        <w:jc w:val="both"/>
        <w:rPr>
          <w:bCs/>
          <w:sz w:val="24"/>
          <w:szCs w:val="24"/>
        </w:rPr>
      </w:pPr>
      <w:r w:rsidRPr="00722ED8">
        <w:rPr>
          <w:bCs/>
          <w:sz w:val="24"/>
          <w:szCs w:val="24"/>
        </w:rPr>
        <w:lastRenderedPageBreak/>
        <w:t>1.</w:t>
      </w:r>
      <w:r w:rsidRPr="00722ED8">
        <w:rPr>
          <w:bCs/>
          <w:sz w:val="24"/>
          <w:szCs w:val="24"/>
        </w:rPr>
        <w:tab/>
      </w:r>
      <w:r w:rsidR="00722ED8">
        <w:rPr>
          <w:rFonts w:cs="Arial"/>
          <w:bCs/>
          <w:sz w:val="24"/>
          <w:szCs w:val="24"/>
        </w:rPr>
        <w:t xml:space="preserve">This is an appeal against a decision of the Learned Magistrate </w:t>
      </w:r>
      <w:proofErr w:type="spellStart"/>
      <w:r w:rsidR="00722ED8">
        <w:rPr>
          <w:rFonts w:cs="Arial"/>
          <w:bCs/>
          <w:sz w:val="24"/>
          <w:szCs w:val="24"/>
        </w:rPr>
        <w:t>Bekker</w:t>
      </w:r>
      <w:proofErr w:type="spellEnd"/>
      <w:r w:rsidR="00722ED8">
        <w:rPr>
          <w:rFonts w:cs="Arial"/>
          <w:bCs/>
          <w:sz w:val="24"/>
          <w:szCs w:val="24"/>
        </w:rPr>
        <w:t xml:space="preserve"> in the Regional Court of Pretoria </w:t>
      </w:r>
      <w:r w:rsidR="00757AAB">
        <w:rPr>
          <w:rFonts w:cs="Arial"/>
          <w:bCs/>
          <w:sz w:val="24"/>
          <w:szCs w:val="24"/>
        </w:rPr>
        <w:t>on 2 August 2019</w:t>
      </w:r>
      <w:r w:rsidR="00722ED8">
        <w:rPr>
          <w:rFonts w:cs="Arial"/>
          <w:bCs/>
          <w:sz w:val="24"/>
          <w:szCs w:val="24"/>
        </w:rPr>
        <w:t xml:space="preserve"> dismiss</w:t>
      </w:r>
      <w:r w:rsidR="00757AAB">
        <w:rPr>
          <w:rFonts w:cs="Arial"/>
          <w:bCs/>
          <w:sz w:val="24"/>
          <w:szCs w:val="24"/>
        </w:rPr>
        <w:t>ing</w:t>
      </w:r>
      <w:r w:rsidR="00722ED8">
        <w:rPr>
          <w:rFonts w:cs="Arial"/>
          <w:bCs/>
          <w:sz w:val="24"/>
          <w:szCs w:val="24"/>
        </w:rPr>
        <w:t xml:space="preserve"> a claim by the </w:t>
      </w:r>
      <w:r w:rsidR="00586449">
        <w:rPr>
          <w:rFonts w:cs="Arial"/>
          <w:bCs/>
          <w:sz w:val="24"/>
          <w:szCs w:val="24"/>
        </w:rPr>
        <w:t>L</w:t>
      </w:r>
      <w:r w:rsidR="00722ED8">
        <w:rPr>
          <w:rFonts w:cs="Arial"/>
          <w:bCs/>
          <w:sz w:val="24"/>
          <w:szCs w:val="24"/>
        </w:rPr>
        <w:t xml:space="preserve">ate Ms. </w:t>
      </w:r>
      <w:proofErr w:type="gramStart"/>
      <w:r w:rsidR="00586449">
        <w:rPr>
          <w:rFonts w:cs="Arial"/>
          <w:bCs/>
          <w:sz w:val="24"/>
          <w:szCs w:val="24"/>
        </w:rPr>
        <w:t>L</w:t>
      </w:r>
      <w:r w:rsidR="005713CC">
        <w:rPr>
          <w:bCs/>
          <w:sz w:val="24"/>
          <w:szCs w:val="24"/>
        </w:rPr>
        <w:t>[</w:t>
      </w:r>
      <w:proofErr w:type="gramEnd"/>
      <w:r w:rsidR="005713CC">
        <w:rPr>
          <w:bCs/>
          <w:sz w:val="24"/>
          <w:szCs w:val="24"/>
        </w:rPr>
        <w:t>…]</w:t>
      </w:r>
      <w:r w:rsidR="00722ED8">
        <w:rPr>
          <w:rFonts w:cs="Arial"/>
          <w:bCs/>
          <w:sz w:val="24"/>
          <w:szCs w:val="24"/>
        </w:rPr>
        <w:t xml:space="preserve"> (‘the deceased’) for the forfeiture of the benefits of a marriage in community of property between herself and the respondent.</w:t>
      </w:r>
    </w:p>
    <w:p w14:paraId="14357050" w14:textId="77777777" w:rsidR="00722ED8" w:rsidRPr="00722ED8" w:rsidRDefault="00722ED8" w:rsidP="00722ED8">
      <w:pPr>
        <w:pStyle w:val="Body"/>
        <w:spacing w:line="360" w:lineRule="auto"/>
        <w:ind w:left="851"/>
        <w:jc w:val="both"/>
        <w:rPr>
          <w:bCs/>
          <w:sz w:val="24"/>
          <w:szCs w:val="24"/>
        </w:rPr>
      </w:pPr>
    </w:p>
    <w:p w14:paraId="255FA6DA" w14:textId="1CE71CAB" w:rsidR="005D1D30" w:rsidRPr="00586449" w:rsidRDefault="00306832" w:rsidP="00306832">
      <w:pPr>
        <w:pStyle w:val="Body"/>
        <w:spacing w:line="360" w:lineRule="auto"/>
        <w:ind w:left="851" w:hanging="851"/>
        <w:jc w:val="both"/>
        <w:rPr>
          <w:bCs/>
          <w:sz w:val="24"/>
          <w:szCs w:val="24"/>
        </w:rPr>
      </w:pPr>
      <w:r w:rsidRPr="00586449">
        <w:rPr>
          <w:bCs/>
          <w:sz w:val="24"/>
          <w:szCs w:val="24"/>
        </w:rPr>
        <w:t>2.</w:t>
      </w:r>
      <w:r w:rsidRPr="00586449">
        <w:rPr>
          <w:bCs/>
          <w:sz w:val="24"/>
          <w:szCs w:val="24"/>
        </w:rPr>
        <w:tab/>
      </w:r>
      <w:r w:rsidR="00722ED8">
        <w:rPr>
          <w:rFonts w:cs="Arial"/>
          <w:bCs/>
          <w:sz w:val="24"/>
          <w:szCs w:val="24"/>
        </w:rPr>
        <w:t>The claim arose out of the breakdown of a marriage between the deceased and the respondent. The parties, both of whom were mature</w:t>
      </w:r>
      <w:r w:rsidR="00C21915">
        <w:rPr>
          <w:rStyle w:val="FootnoteReference"/>
          <w:rFonts w:cs="Arial"/>
          <w:bCs/>
          <w:sz w:val="24"/>
          <w:szCs w:val="24"/>
        </w:rPr>
        <w:footnoteReference w:id="1"/>
      </w:r>
      <w:r w:rsidR="00722ED8">
        <w:rPr>
          <w:rFonts w:cs="Arial"/>
          <w:bCs/>
          <w:sz w:val="24"/>
          <w:szCs w:val="24"/>
        </w:rPr>
        <w:t xml:space="preserve"> and had children from prior relationships, had initially </w:t>
      </w:r>
      <w:r w:rsidR="00586449">
        <w:rPr>
          <w:rFonts w:cs="Arial"/>
          <w:bCs/>
          <w:sz w:val="24"/>
          <w:szCs w:val="24"/>
        </w:rPr>
        <w:t>entered</w:t>
      </w:r>
      <w:r w:rsidR="00722ED8">
        <w:rPr>
          <w:rFonts w:cs="Arial"/>
          <w:bCs/>
          <w:sz w:val="24"/>
          <w:szCs w:val="24"/>
        </w:rPr>
        <w:t xml:space="preserve"> a marriage in community of property during 2000. This marriage had failed, and they were divorced during 2003. On 30 March 2004, they had again married each other, once again in community of property.</w:t>
      </w:r>
      <w:r w:rsidR="00F11C6C">
        <w:rPr>
          <w:rFonts w:cs="Arial"/>
          <w:bCs/>
          <w:sz w:val="24"/>
          <w:szCs w:val="24"/>
        </w:rPr>
        <w:t xml:space="preserve"> This marriage endured until during 2017</w:t>
      </w:r>
      <w:r w:rsidR="006676A5">
        <w:rPr>
          <w:rFonts w:cs="Arial"/>
          <w:bCs/>
          <w:sz w:val="24"/>
          <w:szCs w:val="24"/>
        </w:rPr>
        <w:t xml:space="preserve"> when</w:t>
      </w:r>
      <w:r w:rsidR="00F11C6C">
        <w:rPr>
          <w:rFonts w:cs="Arial"/>
          <w:bCs/>
          <w:sz w:val="24"/>
          <w:szCs w:val="24"/>
        </w:rPr>
        <w:t xml:space="preserve"> the respondent left the common </w:t>
      </w:r>
      <w:r w:rsidR="006676A5">
        <w:rPr>
          <w:rFonts w:cs="Arial"/>
          <w:bCs/>
          <w:sz w:val="24"/>
          <w:szCs w:val="24"/>
        </w:rPr>
        <w:t>home. He instituted</w:t>
      </w:r>
      <w:r w:rsidR="00F11C6C">
        <w:rPr>
          <w:rFonts w:cs="Arial"/>
          <w:bCs/>
          <w:sz w:val="24"/>
          <w:szCs w:val="24"/>
        </w:rPr>
        <w:t xml:space="preserve"> divorce proceedings on</w:t>
      </w:r>
      <w:r w:rsidR="00586449">
        <w:rPr>
          <w:rFonts w:cs="Arial"/>
          <w:bCs/>
          <w:sz w:val="24"/>
          <w:szCs w:val="24"/>
        </w:rPr>
        <w:t xml:space="preserve"> 3 July 2018.</w:t>
      </w:r>
    </w:p>
    <w:p w14:paraId="484E1F73" w14:textId="77777777" w:rsidR="00586449" w:rsidRDefault="00586449" w:rsidP="00586449">
      <w:pPr>
        <w:pStyle w:val="ListParagraph"/>
        <w:rPr>
          <w:bCs/>
        </w:rPr>
      </w:pPr>
    </w:p>
    <w:p w14:paraId="559B77C2" w14:textId="47A4EB63" w:rsidR="00586449" w:rsidRDefault="00306832" w:rsidP="00306832">
      <w:pPr>
        <w:pStyle w:val="Body"/>
        <w:spacing w:line="360" w:lineRule="auto"/>
        <w:ind w:left="851" w:hanging="851"/>
        <w:jc w:val="both"/>
        <w:rPr>
          <w:bCs/>
          <w:sz w:val="24"/>
          <w:szCs w:val="24"/>
        </w:rPr>
      </w:pPr>
      <w:r>
        <w:rPr>
          <w:bCs/>
          <w:sz w:val="24"/>
          <w:szCs w:val="24"/>
        </w:rPr>
        <w:t>3.</w:t>
      </w:r>
      <w:r>
        <w:rPr>
          <w:bCs/>
          <w:sz w:val="24"/>
          <w:szCs w:val="24"/>
        </w:rPr>
        <w:tab/>
      </w:r>
      <w:r w:rsidR="00586449">
        <w:rPr>
          <w:bCs/>
          <w:sz w:val="24"/>
          <w:szCs w:val="24"/>
        </w:rPr>
        <w:t>It was not in issue between the parties that a divorce should be granted when the matter came to trial in 2019 – the crisp issue to be decided was whether the respondent should forfeit any of the benefits of the marriage.</w:t>
      </w:r>
    </w:p>
    <w:p w14:paraId="72A667EC" w14:textId="77777777" w:rsidR="00586449" w:rsidRDefault="00586449" w:rsidP="00586449">
      <w:pPr>
        <w:pStyle w:val="ListParagraph"/>
        <w:rPr>
          <w:bCs/>
        </w:rPr>
      </w:pPr>
    </w:p>
    <w:p w14:paraId="1CF91A58" w14:textId="26E55970" w:rsidR="00385E64" w:rsidRDefault="00306832" w:rsidP="00306832">
      <w:pPr>
        <w:pStyle w:val="Body"/>
        <w:spacing w:line="360" w:lineRule="auto"/>
        <w:ind w:left="851" w:hanging="851"/>
        <w:jc w:val="both"/>
        <w:rPr>
          <w:bCs/>
          <w:sz w:val="24"/>
          <w:szCs w:val="24"/>
        </w:rPr>
      </w:pPr>
      <w:r>
        <w:rPr>
          <w:bCs/>
          <w:sz w:val="24"/>
          <w:szCs w:val="24"/>
        </w:rPr>
        <w:t>4.</w:t>
      </w:r>
      <w:r>
        <w:rPr>
          <w:bCs/>
          <w:sz w:val="24"/>
          <w:szCs w:val="24"/>
        </w:rPr>
        <w:tab/>
      </w:r>
      <w:r w:rsidR="00586449">
        <w:rPr>
          <w:bCs/>
          <w:sz w:val="24"/>
          <w:szCs w:val="24"/>
        </w:rPr>
        <w:t xml:space="preserve">Before dealing with this issue, it is apposite to mention that the prosecution of the present appeal has not been without challenge. The appeal despite being noted timeously on 4 September 2019 was thereafter not </w:t>
      </w:r>
      <w:r w:rsidR="001E15D1">
        <w:rPr>
          <w:bCs/>
          <w:sz w:val="24"/>
          <w:szCs w:val="24"/>
        </w:rPr>
        <w:t>timeously prosecuted</w:t>
      </w:r>
      <w:r w:rsidR="00034FA3">
        <w:rPr>
          <w:bCs/>
          <w:sz w:val="24"/>
          <w:szCs w:val="24"/>
        </w:rPr>
        <w:t xml:space="preserve"> within </w:t>
      </w:r>
    </w:p>
    <w:p w14:paraId="3BD8439B" w14:textId="3699DE31" w:rsidR="00586449" w:rsidRDefault="00034FA3" w:rsidP="00757AAB">
      <w:pPr>
        <w:pStyle w:val="Body"/>
        <w:spacing w:line="360" w:lineRule="auto"/>
        <w:ind w:left="851"/>
        <w:jc w:val="both"/>
        <w:rPr>
          <w:bCs/>
          <w:sz w:val="24"/>
          <w:szCs w:val="24"/>
        </w:rPr>
      </w:pPr>
      <w:r>
        <w:rPr>
          <w:bCs/>
          <w:sz w:val="24"/>
          <w:szCs w:val="24"/>
        </w:rPr>
        <w:t xml:space="preserve">the </w:t>
      </w:r>
      <w:r w:rsidR="001E15D1">
        <w:rPr>
          <w:bCs/>
          <w:sz w:val="24"/>
          <w:szCs w:val="24"/>
        </w:rPr>
        <w:t>60-day</w:t>
      </w:r>
      <w:r>
        <w:rPr>
          <w:bCs/>
          <w:sz w:val="24"/>
          <w:szCs w:val="24"/>
        </w:rPr>
        <w:t xml:space="preserve"> period prescribed by Rule 50(1)</w:t>
      </w:r>
      <w:r>
        <w:rPr>
          <w:rStyle w:val="FootnoteReference"/>
          <w:bCs/>
          <w:sz w:val="24"/>
          <w:szCs w:val="24"/>
        </w:rPr>
        <w:footnoteReference w:id="2"/>
      </w:r>
      <w:r>
        <w:rPr>
          <w:bCs/>
          <w:sz w:val="24"/>
          <w:szCs w:val="24"/>
        </w:rPr>
        <w:t xml:space="preserve"> of the Uniform Rules of Court and so it was argued, by the respondent, the appeal had lapsed. Thereafter on 14 June 2021, the deceased passed away.</w:t>
      </w:r>
    </w:p>
    <w:p w14:paraId="1EADA33A" w14:textId="77777777" w:rsidR="00385E64" w:rsidRDefault="00385E64" w:rsidP="00034FA3">
      <w:pPr>
        <w:pStyle w:val="ListParagraph"/>
        <w:rPr>
          <w:bCs/>
        </w:rPr>
      </w:pPr>
    </w:p>
    <w:p w14:paraId="1F67921E" w14:textId="352350F3" w:rsidR="00034FA3" w:rsidRDefault="00306832" w:rsidP="00306832">
      <w:pPr>
        <w:pStyle w:val="Body"/>
        <w:spacing w:line="360" w:lineRule="auto"/>
        <w:ind w:left="851" w:hanging="851"/>
        <w:jc w:val="both"/>
        <w:rPr>
          <w:bCs/>
          <w:sz w:val="24"/>
          <w:szCs w:val="24"/>
        </w:rPr>
      </w:pPr>
      <w:r>
        <w:rPr>
          <w:bCs/>
          <w:sz w:val="24"/>
          <w:szCs w:val="24"/>
        </w:rPr>
        <w:t>5.</w:t>
      </w:r>
      <w:r>
        <w:rPr>
          <w:bCs/>
          <w:sz w:val="24"/>
          <w:szCs w:val="24"/>
        </w:rPr>
        <w:tab/>
      </w:r>
      <w:r w:rsidR="00034FA3">
        <w:rPr>
          <w:bCs/>
          <w:sz w:val="24"/>
          <w:szCs w:val="24"/>
        </w:rPr>
        <w:t xml:space="preserve">The appeal was first set down for hearing on 5 October 2021 but was removed from the roll on that day with the appellant to pay the wasted costs. </w:t>
      </w:r>
      <w:r w:rsidR="001E15D1">
        <w:rPr>
          <w:bCs/>
          <w:sz w:val="24"/>
          <w:szCs w:val="24"/>
        </w:rPr>
        <w:t>This</w:t>
      </w:r>
      <w:r w:rsidR="00034FA3">
        <w:rPr>
          <w:bCs/>
          <w:sz w:val="24"/>
          <w:szCs w:val="24"/>
        </w:rPr>
        <w:t xml:space="preserve"> had</w:t>
      </w:r>
      <w:r w:rsidR="001E15D1">
        <w:rPr>
          <w:bCs/>
          <w:sz w:val="24"/>
          <w:szCs w:val="24"/>
        </w:rPr>
        <w:t>, presumably, been</w:t>
      </w:r>
      <w:r w:rsidR="00034FA3">
        <w:rPr>
          <w:bCs/>
          <w:sz w:val="24"/>
          <w:szCs w:val="24"/>
        </w:rPr>
        <w:t xml:space="preserve"> occasioned </w:t>
      </w:r>
      <w:r w:rsidR="009470FD">
        <w:rPr>
          <w:bCs/>
          <w:sz w:val="24"/>
          <w:szCs w:val="24"/>
        </w:rPr>
        <w:t>because of</w:t>
      </w:r>
      <w:r w:rsidR="00034FA3">
        <w:rPr>
          <w:bCs/>
          <w:sz w:val="24"/>
          <w:szCs w:val="24"/>
        </w:rPr>
        <w:t xml:space="preserve"> the failure to apply for condonation for </w:t>
      </w:r>
      <w:r w:rsidR="00034FA3">
        <w:rPr>
          <w:bCs/>
          <w:sz w:val="24"/>
          <w:szCs w:val="24"/>
        </w:rPr>
        <w:lastRenderedPageBreak/>
        <w:t>the failure to timeously prosecute the appeal</w:t>
      </w:r>
      <w:r w:rsidR="001E15D1">
        <w:rPr>
          <w:bCs/>
          <w:sz w:val="24"/>
          <w:szCs w:val="24"/>
        </w:rPr>
        <w:t xml:space="preserve"> together with a change of attorneys on the part of the appellant.</w:t>
      </w:r>
      <w:r w:rsidR="00034FA3">
        <w:rPr>
          <w:bCs/>
          <w:sz w:val="24"/>
          <w:szCs w:val="24"/>
        </w:rPr>
        <w:t xml:space="preserve"> Thereafter on 23 October 202</w:t>
      </w:r>
      <w:r w:rsidR="00757AAB">
        <w:rPr>
          <w:bCs/>
          <w:sz w:val="24"/>
          <w:szCs w:val="24"/>
        </w:rPr>
        <w:t>1</w:t>
      </w:r>
      <w:r w:rsidR="00B23D28">
        <w:rPr>
          <w:bCs/>
          <w:sz w:val="24"/>
          <w:szCs w:val="24"/>
        </w:rPr>
        <w:t>,</w:t>
      </w:r>
      <w:r w:rsidR="00034FA3">
        <w:rPr>
          <w:bCs/>
          <w:sz w:val="24"/>
          <w:szCs w:val="24"/>
        </w:rPr>
        <w:t xml:space="preserve"> an application for condonation was brought</w:t>
      </w:r>
      <w:r w:rsidR="001E15D1">
        <w:rPr>
          <w:bCs/>
          <w:sz w:val="24"/>
          <w:szCs w:val="24"/>
        </w:rPr>
        <w:t>, an answering affidavit filed and a replying affidavit on 16 November 2021.</w:t>
      </w:r>
    </w:p>
    <w:p w14:paraId="42C89943" w14:textId="2C1992DB" w:rsidR="001E15D1" w:rsidRDefault="001E15D1" w:rsidP="001E15D1">
      <w:pPr>
        <w:pStyle w:val="ListParagraph"/>
        <w:rPr>
          <w:bCs/>
        </w:rPr>
      </w:pPr>
    </w:p>
    <w:p w14:paraId="6A97208C" w14:textId="596C91D4" w:rsidR="001E15D1" w:rsidRDefault="00306832" w:rsidP="00306832">
      <w:pPr>
        <w:pStyle w:val="Body"/>
        <w:spacing w:line="360" w:lineRule="auto"/>
        <w:ind w:left="851" w:hanging="851"/>
        <w:jc w:val="both"/>
        <w:rPr>
          <w:bCs/>
          <w:sz w:val="24"/>
          <w:szCs w:val="24"/>
        </w:rPr>
      </w:pPr>
      <w:r>
        <w:rPr>
          <w:bCs/>
          <w:sz w:val="24"/>
          <w:szCs w:val="24"/>
        </w:rPr>
        <w:t>6.</w:t>
      </w:r>
      <w:r>
        <w:rPr>
          <w:bCs/>
          <w:sz w:val="24"/>
          <w:szCs w:val="24"/>
        </w:rPr>
        <w:tab/>
      </w:r>
      <w:r w:rsidR="001E15D1">
        <w:rPr>
          <w:bCs/>
          <w:sz w:val="24"/>
          <w:szCs w:val="24"/>
        </w:rPr>
        <w:t>The appeal was again enrolled for hearing on 12 April 2022 and was again removed from the roll. This is now the third time that this appeal is before the court.</w:t>
      </w:r>
    </w:p>
    <w:p w14:paraId="07E6D56A" w14:textId="77777777" w:rsidR="001E15D1" w:rsidRDefault="001E15D1" w:rsidP="001E15D1">
      <w:pPr>
        <w:pStyle w:val="ListParagraph"/>
        <w:rPr>
          <w:bCs/>
        </w:rPr>
      </w:pPr>
    </w:p>
    <w:p w14:paraId="7D890995" w14:textId="5FCD135C" w:rsidR="00E4603C" w:rsidRPr="00757AAB" w:rsidRDefault="00306832" w:rsidP="00306832">
      <w:pPr>
        <w:pStyle w:val="Body"/>
        <w:spacing w:line="360" w:lineRule="auto"/>
        <w:ind w:left="851" w:hanging="851"/>
        <w:jc w:val="both"/>
        <w:rPr>
          <w:bCs/>
          <w:sz w:val="24"/>
          <w:szCs w:val="24"/>
        </w:rPr>
      </w:pPr>
      <w:r w:rsidRPr="00757AAB">
        <w:rPr>
          <w:bCs/>
          <w:sz w:val="24"/>
          <w:szCs w:val="24"/>
        </w:rPr>
        <w:t>7.</w:t>
      </w:r>
      <w:r w:rsidRPr="00757AAB">
        <w:rPr>
          <w:bCs/>
          <w:sz w:val="24"/>
          <w:szCs w:val="24"/>
        </w:rPr>
        <w:tab/>
      </w:r>
      <w:r w:rsidR="001E15D1">
        <w:rPr>
          <w:bCs/>
          <w:sz w:val="24"/>
          <w:szCs w:val="24"/>
        </w:rPr>
        <w:t xml:space="preserve">The application for condonation does not deal in any substantive way for the delay in the timeous prosecution of the appeal. This is not surprising given that the deceased had passed away and the attorney representing her had withdrawn and been replaced by a new attorney shortly before the first hearing on 5 October 2021. The </w:t>
      </w:r>
      <w:proofErr w:type="spellStart"/>
      <w:r w:rsidR="001E15D1">
        <w:rPr>
          <w:bCs/>
          <w:sz w:val="24"/>
          <w:szCs w:val="24"/>
        </w:rPr>
        <w:t>highwater</w:t>
      </w:r>
      <w:proofErr w:type="spellEnd"/>
      <w:r w:rsidR="001E15D1">
        <w:rPr>
          <w:bCs/>
          <w:sz w:val="24"/>
          <w:szCs w:val="24"/>
        </w:rPr>
        <w:t xml:space="preserve"> mark is the </w:t>
      </w:r>
      <w:r w:rsidR="00E4603C">
        <w:rPr>
          <w:bCs/>
          <w:sz w:val="24"/>
          <w:szCs w:val="24"/>
        </w:rPr>
        <w:t>assertion</w:t>
      </w:r>
      <w:r w:rsidR="001E15D1">
        <w:rPr>
          <w:bCs/>
          <w:sz w:val="24"/>
          <w:szCs w:val="24"/>
        </w:rPr>
        <w:t xml:space="preserve"> that the deceased’s attorney had somehow </w:t>
      </w:r>
      <w:r w:rsidR="00F4146B">
        <w:rPr>
          <w:bCs/>
          <w:sz w:val="24"/>
          <w:szCs w:val="24"/>
        </w:rPr>
        <w:t xml:space="preserve">failed to act on </w:t>
      </w:r>
      <w:r w:rsidR="00E4603C">
        <w:rPr>
          <w:bCs/>
          <w:sz w:val="24"/>
          <w:szCs w:val="24"/>
        </w:rPr>
        <w:t xml:space="preserve">the </w:t>
      </w:r>
      <w:r w:rsidR="00F4146B">
        <w:rPr>
          <w:bCs/>
          <w:sz w:val="24"/>
          <w:szCs w:val="24"/>
        </w:rPr>
        <w:t>instructions</w:t>
      </w:r>
      <w:r w:rsidR="00E4603C">
        <w:rPr>
          <w:bCs/>
          <w:sz w:val="24"/>
          <w:szCs w:val="24"/>
        </w:rPr>
        <w:t xml:space="preserve"> of the deceased</w:t>
      </w:r>
      <w:r w:rsidR="00F4146B">
        <w:rPr>
          <w:bCs/>
          <w:sz w:val="24"/>
          <w:szCs w:val="24"/>
        </w:rPr>
        <w:t xml:space="preserve"> and that a complaint had been made to the Legal Practice Council.</w:t>
      </w:r>
      <w:r w:rsidR="00E4603C">
        <w:rPr>
          <w:bCs/>
          <w:sz w:val="24"/>
          <w:szCs w:val="24"/>
        </w:rPr>
        <w:t xml:space="preserve"> The application also had annexed to it a copy of the engagement letter for the appellant</w:t>
      </w:r>
      <w:r w:rsidR="00B23D28">
        <w:rPr>
          <w:bCs/>
          <w:sz w:val="24"/>
          <w:szCs w:val="24"/>
        </w:rPr>
        <w:t>’</w:t>
      </w:r>
      <w:r w:rsidR="00E4603C">
        <w:rPr>
          <w:bCs/>
          <w:sz w:val="24"/>
          <w:szCs w:val="24"/>
        </w:rPr>
        <w:t>s new and current attorney of record on 9 July 2021. The application fails to deal at all with the delay between 9 July 2021 and 23 October 2021 when the application was brought.</w:t>
      </w:r>
    </w:p>
    <w:p w14:paraId="23E13836" w14:textId="30B0D9E6" w:rsidR="00385E64" w:rsidRPr="00757AAB" w:rsidRDefault="00385E64" w:rsidP="00757AAB">
      <w:pPr>
        <w:rPr>
          <w:bCs/>
        </w:rPr>
      </w:pPr>
    </w:p>
    <w:p w14:paraId="54B28524" w14:textId="179F92BD" w:rsidR="00385E64" w:rsidRDefault="00306832" w:rsidP="00306832">
      <w:pPr>
        <w:pStyle w:val="Body"/>
        <w:spacing w:line="360" w:lineRule="auto"/>
        <w:ind w:left="851" w:hanging="851"/>
        <w:jc w:val="both"/>
        <w:rPr>
          <w:bCs/>
          <w:sz w:val="24"/>
          <w:szCs w:val="24"/>
        </w:rPr>
      </w:pPr>
      <w:r>
        <w:rPr>
          <w:bCs/>
          <w:sz w:val="24"/>
          <w:szCs w:val="24"/>
        </w:rPr>
        <w:t>8.</w:t>
      </w:r>
      <w:r>
        <w:rPr>
          <w:bCs/>
          <w:sz w:val="24"/>
          <w:szCs w:val="24"/>
        </w:rPr>
        <w:tab/>
      </w:r>
      <w:r w:rsidR="00245211">
        <w:rPr>
          <w:bCs/>
          <w:sz w:val="24"/>
          <w:szCs w:val="24"/>
        </w:rPr>
        <w:t xml:space="preserve">Besides the failure to prosecute the appeal, the court on 5 October 2021 questioned the </w:t>
      </w:r>
      <w:r w:rsidR="00245211" w:rsidRPr="00B23D28">
        <w:rPr>
          <w:bCs/>
          <w:i/>
          <w:iCs/>
          <w:sz w:val="24"/>
          <w:szCs w:val="24"/>
        </w:rPr>
        <w:t xml:space="preserve">locus </w:t>
      </w:r>
      <w:proofErr w:type="spellStart"/>
      <w:r w:rsidR="00245211" w:rsidRPr="00B23D28">
        <w:rPr>
          <w:bCs/>
          <w:i/>
          <w:iCs/>
          <w:sz w:val="24"/>
          <w:szCs w:val="24"/>
        </w:rPr>
        <w:t>standi</w:t>
      </w:r>
      <w:proofErr w:type="spellEnd"/>
      <w:r w:rsidR="00245211">
        <w:rPr>
          <w:bCs/>
          <w:sz w:val="24"/>
          <w:szCs w:val="24"/>
        </w:rPr>
        <w:t xml:space="preserve"> of the appellant. Prior to this and indeed subsequently, the appellant has never formally substituted himself for the deceased in the proceedings as provided for in rule 15(3)</w:t>
      </w:r>
      <w:r w:rsidR="00245211">
        <w:rPr>
          <w:rStyle w:val="FootnoteReference"/>
          <w:bCs/>
          <w:sz w:val="24"/>
          <w:szCs w:val="24"/>
        </w:rPr>
        <w:footnoteReference w:id="3"/>
      </w:r>
      <w:r w:rsidR="00245211">
        <w:rPr>
          <w:bCs/>
          <w:sz w:val="24"/>
          <w:szCs w:val="24"/>
        </w:rPr>
        <w:t xml:space="preserve"> of the Uniform Rules </w:t>
      </w:r>
    </w:p>
    <w:p w14:paraId="7A1E755A" w14:textId="3DE09DB4" w:rsidR="00E4603C" w:rsidRDefault="00245211" w:rsidP="00385E64">
      <w:pPr>
        <w:pStyle w:val="Body"/>
        <w:spacing w:line="360" w:lineRule="auto"/>
        <w:ind w:left="851"/>
        <w:jc w:val="both"/>
        <w:rPr>
          <w:bCs/>
          <w:sz w:val="24"/>
          <w:szCs w:val="24"/>
        </w:rPr>
      </w:pPr>
      <w:r>
        <w:rPr>
          <w:bCs/>
          <w:sz w:val="24"/>
          <w:szCs w:val="24"/>
        </w:rPr>
        <w:t>of Court. The appellant</w:t>
      </w:r>
      <w:r w:rsidR="00757AAB">
        <w:rPr>
          <w:bCs/>
          <w:sz w:val="24"/>
          <w:szCs w:val="24"/>
        </w:rPr>
        <w:t>, it</w:t>
      </w:r>
      <w:r>
        <w:rPr>
          <w:bCs/>
          <w:sz w:val="24"/>
          <w:szCs w:val="24"/>
        </w:rPr>
        <w:t xml:space="preserve"> would appear</w:t>
      </w:r>
      <w:r w:rsidR="00757AAB">
        <w:rPr>
          <w:bCs/>
          <w:sz w:val="24"/>
          <w:szCs w:val="24"/>
        </w:rPr>
        <w:t>,</w:t>
      </w:r>
      <w:r>
        <w:rPr>
          <w:bCs/>
          <w:sz w:val="24"/>
          <w:szCs w:val="24"/>
        </w:rPr>
        <w:t xml:space="preserve"> to</w:t>
      </w:r>
      <w:r w:rsidR="00757AAB">
        <w:rPr>
          <w:bCs/>
          <w:sz w:val="24"/>
          <w:szCs w:val="24"/>
        </w:rPr>
        <w:t>o</w:t>
      </w:r>
      <w:r>
        <w:rPr>
          <w:bCs/>
          <w:sz w:val="24"/>
          <w:szCs w:val="24"/>
        </w:rPr>
        <w:t xml:space="preserve">k the view that the uploading on the </w:t>
      </w:r>
      <w:proofErr w:type="spellStart"/>
      <w:r>
        <w:rPr>
          <w:bCs/>
          <w:sz w:val="24"/>
          <w:szCs w:val="24"/>
        </w:rPr>
        <w:t>caselines</w:t>
      </w:r>
      <w:proofErr w:type="spellEnd"/>
      <w:r>
        <w:rPr>
          <w:bCs/>
          <w:sz w:val="24"/>
          <w:szCs w:val="24"/>
        </w:rPr>
        <w:t xml:space="preserve"> filing system of a copy of the letters of executorship appointing him on 24 June 2021 is</w:t>
      </w:r>
      <w:r w:rsidR="00B23D28">
        <w:rPr>
          <w:bCs/>
          <w:sz w:val="24"/>
          <w:szCs w:val="24"/>
        </w:rPr>
        <w:t>,</w:t>
      </w:r>
      <w:r>
        <w:rPr>
          <w:bCs/>
          <w:sz w:val="24"/>
          <w:szCs w:val="24"/>
        </w:rPr>
        <w:t xml:space="preserve"> in itself sufficient to effect his substitution for the deceased.</w:t>
      </w:r>
    </w:p>
    <w:p w14:paraId="7A185A9A" w14:textId="77777777" w:rsidR="00245211" w:rsidRDefault="00245211" w:rsidP="00245211">
      <w:pPr>
        <w:pStyle w:val="ListParagraph"/>
        <w:rPr>
          <w:bCs/>
        </w:rPr>
      </w:pPr>
    </w:p>
    <w:p w14:paraId="3FC8169D" w14:textId="0334B20F" w:rsidR="00245211" w:rsidRDefault="00306832" w:rsidP="00306832">
      <w:pPr>
        <w:pStyle w:val="Body"/>
        <w:spacing w:line="360" w:lineRule="auto"/>
        <w:ind w:left="851" w:hanging="851"/>
        <w:jc w:val="both"/>
        <w:rPr>
          <w:bCs/>
          <w:sz w:val="24"/>
          <w:szCs w:val="24"/>
        </w:rPr>
      </w:pPr>
      <w:r>
        <w:rPr>
          <w:bCs/>
          <w:sz w:val="24"/>
          <w:szCs w:val="24"/>
        </w:rPr>
        <w:lastRenderedPageBreak/>
        <w:t>9.</w:t>
      </w:r>
      <w:r>
        <w:rPr>
          <w:bCs/>
          <w:sz w:val="24"/>
          <w:szCs w:val="24"/>
        </w:rPr>
        <w:tab/>
      </w:r>
      <w:r w:rsidR="00C21915">
        <w:rPr>
          <w:bCs/>
          <w:sz w:val="24"/>
          <w:szCs w:val="24"/>
        </w:rPr>
        <w:t xml:space="preserve">With the passing of the deceased and the termination of the mandate of the attorney appointed by her, there is no prospect of this court ever being furnished with a proper explanation as to the reasons for the failure to prosecute the appeal timeously. </w:t>
      </w:r>
      <w:r w:rsidR="00B23D28">
        <w:rPr>
          <w:bCs/>
          <w:sz w:val="24"/>
          <w:szCs w:val="24"/>
        </w:rPr>
        <w:t xml:space="preserve"> </w:t>
      </w:r>
      <w:r w:rsidR="00C21915">
        <w:rPr>
          <w:bCs/>
          <w:sz w:val="24"/>
          <w:szCs w:val="24"/>
        </w:rPr>
        <w:t xml:space="preserve">Notwithstanding that the award </w:t>
      </w:r>
      <w:r w:rsidR="00EE1E18">
        <w:rPr>
          <w:bCs/>
          <w:sz w:val="24"/>
          <w:szCs w:val="24"/>
        </w:rPr>
        <w:t>of an</w:t>
      </w:r>
      <w:r w:rsidR="00C21915">
        <w:rPr>
          <w:bCs/>
          <w:sz w:val="24"/>
          <w:szCs w:val="24"/>
        </w:rPr>
        <w:t xml:space="preserve"> order for costs against the estate of the deceased and two </w:t>
      </w:r>
      <w:r w:rsidR="00DC1DFA">
        <w:rPr>
          <w:bCs/>
          <w:sz w:val="24"/>
          <w:szCs w:val="24"/>
        </w:rPr>
        <w:t>unsuccessful</w:t>
      </w:r>
      <w:r w:rsidR="00C21915">
        <w:rPr>
          <w:bCs/>
          <w:sz w:val="24"/>
          <w:szCs w:val="24"/>
        </w:rPr>
        <w:t xml:space="preserve"> attempts to have this appeal heard, the appellant persists.</w:t>
      </w:r>
    </w:p>
    <w:p w14:paraId="34FD6B40" w14:textId="77777777" w:rsidR="00C21915" w:rsidRDefault="00C21915" w:rsidP="00C21915">
      <w:pPr>
        <w:pStyle w:val="ListParagraph"/>
        <w:rPr>
          <w:bCs/>
        </w:rPr>
      </w:pPr>
    </w:p>
    <w:p w14:paraId="114591F7" w14:textId="75601C90" w:rsidR="00C21915" w:rsidRDefault="00306832" w:rsidP="00306832">
      <w:pPr>
        <w:pStyle w:val="Body"/>
        <w:spacing w:line="360" w:lineRule="auto"/>
        <w:ind w:left="851" w:hanging="851"/>
        <w:jc w:val="both"/>
        <w:rPr>
          <w:bCs/>
          <w:sz w:val="24"/>
          <w:szCs w:val="24"/>
        </w:rPr>
      </w:pPr>
      <w:r>
        <w:rPr>
          <w:bCs/>
          <w:sz w:val="24"/>
          <w:szCs w:val="24"/>
        </w:rPr>
        <w:t>10.</w:t>
      </w:r>
      <w:r>
        <w:rPr>
          <w:bCs/>
          <w:sz w:val="24"/>
          <w:szCs w:val="24"/>
        </w:rPr>
        <w:tab/>
      </w:r>
      <w:r w:rsidR="00C21915">
        <w:rPr>
          <w:bCs/>
          <w:sz w:val="24"/>
          <w:szCs w:val="24"/>
        </w:rPr>
        <w:t>The issue that arises in this appeal has consequences for not only the appellant and the respondent but also for the heirs of the deceased and it is for this reason that I am of the view that, notwithstanding the shortcomings in the application for condonation and disregard of the rules when it comes to the appellant</w:t>
      </w:r>
      <w:r w:rsidR="00B23D28">
        <w:rPr>
          <w:bCs/>
          <w:sz w:val="24"/>
          <w:szCs w:val="24"/>
        </w:rPr>
        <w:t>’</w:t>
      </w:r>
      <w:r w:rsidR="00C21915">
        <w:rPr>
          <w:bCs/>
          <w:sz w:val="24"/>
          <w:szCs w:val="24"/>
        </w:rPr>
        <w:t>s substitution, that it is in the interests of justice that the</w:t>
      </w:r>
      <w:r w:rsidR="00227290">
        <w:rPr>
          <w:bCs/>
          <w:sz w:val="24"/>
          <w:szCs w:val="24"/>
        </w:rPr>
        <w:t xml:space="preserve"> appellant be substituted for the deceased and the </w:t>
      </w:r>
      <w:r w:rsidR="00C21915">
        <w:rPr>
          <w:bCs/>
          <w:sz w:val="24"/>
          <w:szCs w:val="24"/>
        </w:rPr>
        <w:t>merits of the appeal be heard and decided.</w:t>
      </w:r>
    </w:p>
    <w:p w14:paraId="1608A20E" w14:textId="77777777" w:rsidR="009470FD" w:rsidRDefault="009470FD" w:rsidP="009470FD">
      <w:pPr>
        <w:pStyle w:val="ListParagraph"/>
        <w:rPr>
          <w:bCs/>
        </w:rPr>
      </w:pPr>
    </w:p>
    <w:p w14:paraId="632EFB92" w14:textId="3C005F98" w:rsidR="00757AAB" w:rsidRPr="00757AAB" w:rsidRDefault="00306832" w:rsidP="00306832">
      <w:pPr>
        <w:pStyle w:val="Body"/>
        <w:spacing w:line="360" w:lineRule="auto"/>
        <w:ind w:left="851" w:hanging="851"/>
        <w:jc w:val="both"/>
        <w:rPr>
          <w:bCs/>
          <w:sz w:val="24"/>
          <w:szCs w:val="24"/>
        </w:rPr>
      </w:pPr>
      <w:r w:rsidRPr="00757AAB">
        <w:rPr>
          <w:bCs/>
          <w:sz w:val="24"/>
          <w:szCs w:val="24"/>
        </w:rPr>
        <w:t>11.</w:t>
      </w:r>
      <w:r w:rsidRPr="00757AAB">
        <w:rPr>
          <w:bCs/>
          <w:sz w:val="24"/>
          <w:szCs w:val="24"/>
        </w:rPr>
        <w:tab/>
      </w:r>
      <w:r w:rsidR="001977B8">
        <w:rPr>
          <w:bCs/>
          <w:sz w:val="24"/>
          <w:szCs w:val="24"/>
        </w:rPr>
        <w:t xml:space="preserve">Turning now to the issue on appeal – was the Learned Magistrate </w:t>
      </w:r>
      <w:r w:rsidR="001977B8" w:rsidRPr="001977B8">
        <w:rPr>
          <w:bCs/>
          <w:i/>
          <w:iCs/>
          <w:sz w:val="24"/>
          <w:szCs w:val="24"/>
        </w:rPr>
        <w:t>a quo</w:t>
      </w:r>
      <w:r w:rsidR="00385E64">
        <w:rPr>
          <w:bCs/>
          <w:i/>
          <w:iCs/>
          <w:sz w:val="24"/>
          <w:szCs w:val="24"/>
        </w:rPr>
        <w:t>,</w:t>
      </w:r>
      <w:r w:rsidR="001977B8">
        <w:rPr>
          <w:bCs/>
          <w:sz w:val="24"/>
          <w:szCs w:val="24"/>
        </w:rPr>
        <w:t xml:space="preserve"> correct when after hearing the evidence of both the deceased and the respondent, he dismissed her claim that the respondent </w:t>
      </w:r>
      <w:r w:rsidR="00AF2B8C">
        <w:rPr>
          <w:bCs/>
          <w:sz w:val="24"/>
          <w:szCs w:val="24"/>
        </w:rPr>
        <w:t>forfeits</w:t>
      </w:r>
      <w:r w:rsidR="001977B8">
        <w:rPr>
          <w:bCs/>
          <w:sz w:val="24"/>
          <w:szCs w:val="24"/>
        </w:rPr>
        <w:t xml:space="preserve"> the benefits of the marriage?</w:t>
      </w:r>
    </w:p>
    <w:p w14:paraId="003DF09A" w14:textId="77777777" w:rsidR="00757AAB" w:rsidRPr="00757AAB" w:rsidRDefault="00757AAB" w:rsidP="00757AAB">
      <w:pPr>
        <w:pStyle w:val="Body"/>
        <w:spacing w:line="360" w:lineRule="auto"/>
        <w:ind w:left="851"/>
        <w:jc w:val="both"/>
        <w:rPr>
          <w:bCs/>
          <w:sz w:val="24"/>
          <w:szCs w:val="24"/>
        </w:rPr>
      </w:pPr>
    </w:p>
    <w:p w14:paraId="4B0EC613" w14:textId="21A1171C" w:rsidR="00385E64" w:rsidRPr="00385E64" w:rsidRDefault="00306832" w:rsidP="00306832">
      <w:pPr>
        <w:pStyle w:val="Body"/>
        <w:spacing w:line="360" w:lineRule="auto"/>
        <w:ind w:left="851" w:hanging="851"/>
        <w:jc w:val="both"/>
        <w:rPr>
          <w:bCs/>
          <w:i/>
          <w:iCs/>
          <w:sz w:val="22"/>
          <w:szCs w:val="22"/>
        </w:rPr>
      </w:pPr>
      <w:r w:rsidRPr="00385E64">
        <w:rPr>
          <w:bCs/>
          <w:sz w:val="24"/>
          <w:szCs w:val="24"/>
        </w:rPr>
        <w:t>12.</w:t>
      </w:r>
      <w:r w:rsidRPr="00385E64">
        <w:rPr>
          <w:bCs/>
          <w:sz w:val="24"/>
          <w:szCs w:val="24"/>
        </w:rPr>
        <w:tab/>
      </w:r>
      <w:r w:rsidR="001977B8" w:rsidRPr="00385E64">
        <w:rPr>
          <w:bCs/>
          <w:sz w:val="24"/>
          <w:szCs w:val="24"/>
        </w:rPr>
        <w:t>The consequence, generally of a marriage i</w:t>
      </w:r>
      <w:r w:rsidR="00757AAB">
        <w:rPr>
          <w:bCs/>
          <w:sz w:val="24"/>
          <w:szCs w:val="24"/>
        </w:rPr>
        <w:t>n community of property is that</w:t>
      </w:r>
      <w:r w:rsidR="00B23D28">
        <w:rPr>
          <w:bCs/>
          <w:sz w:val="24"/>
          <w:szCs w:val="24"/>
        </w:rPr>
        <w:t>:</w:t>
      </w:r>
    </w:p>
    <w:p w14:paraId="53168175" w14:textId="77777777" w:rsidR="00385E64" w:rsidRDefault="00385E64" w:rsidP="00385E64">
      <w:pPr>
        <w:pStyle w:val="Body"/>
        <w:spacing w:line="360" w:lineRule="auto"/>
        <w:ind w:left="851"/>
        <w:jc w:val="both"/>
        <w:rPr>
          <w:bCs/>
          <w:sz w:val="24"/>
          <w:szCs w:val="24"/>
        </w:rPr>
      </w:pPr>
    </w:p>
    <w:p w14:paraId="389E6137" w14:textId="10D1938F" w:rsidR="002B7C39" w:rsidRPr="007D0B20" w:rsidRDefault="007D0B20" w:rsidP="005F0528">
      <w:pPr>
        <w:pStyle w:val="Body"/>
        <w:spacing w:line="360" w:lineRule="auto"/>
        <w:ind w:left="2160"/>
        <w:jc w:val="both"/>
        <w:rPr>
          <w:bCs/>
          <w:i/>
          <w:iCs/>
          <w:sz w:val="22"/>
          <w:szCs w:val="22"/>
        </w:rPr>
      </w:pPr>
      <w:r w:rsidRPr="007D0B20">
        <w:rPr>
          <w:bCs/>
          <w:i/>
          <w:iCs/>
          <w:sz w:val="22"/>
          <w:szCs w:val="22"/>
        </w:rPr>
        <w:t>“</w:t>
      </w:r>
      <w:r w:rsidR="002B7C39" w:rsidRPr="007D0B20">
        <w:rPr>
          <w:bCs/>
          <w:i/>
          <w:iCs/>
          <w:sz w:val="22"/>
          <w:szCs w:val="22"/>
        </w:rPr>
        <w:t>When couples marry in community of property, they share everything.  Everything they have when they marry, and everything they acquire during the marriage, automatically falls into their joint estate.</w:t>
      </w:r>
    </w:p>
    <w:p w14:paraId="54F7654C" w14:textId="77777777" w:rsidR="002B7C39" w:rsidRPr="007D0B20" w:rsidRDefault="002B7C39" w:rsidP="005F0528">
      <w:pPr>
        <w:pStyle w:val="Body"/>
        <w:spacing w:line="360" w:lineRule="auto"/>
        <w:ind w:left="2160"/>
        <w:jc w:val="both"/>
        <w:rPr>
          <w:bCs/>
          <w:i/>
          <w:iCs/>
          <w:sz w:val="22"/>
          <w:szCs w:val="22"/>
        </w:rPr>
      </w:pPr>
    </w:p>
    <w:p w14:paraId="1432DF28" w14:textId="68EDF012" w:rsidR="002B7C39" w:rsidRDefault="002B7C39" w:rsidP="005F0528">
      <w:pPr>
        <w:pStyle w:val="Body"/>
        <w:spacing w:line="360" w:lineRule="auto"/>
        <w:ind w:left="2160"/>
        <w:jc w:val="both"/>
        <w:rPr>
          <w:bCs/>
          <w:sz w:val="24"/>
          <w:szCs w:val="24"/>
        </w:rPr>
      </w:pPr>
      <w:r w:rsidRPr="007D0B20">
        <w:rPr>
          <w:bCs/>
          <w:i/>
          <w:iCs/>
          <w:sz w:val="22"/>
          <w:szCs w:val="22"/>
        </w:rPr>
        <w:t xml:space="preserve">In this context, the word “estate” means everything a person owns as well as everything he or she owes – in other words, all their assets and all their debts.  An ‘asset’ is anything of monetary value: for </w:t>
      </w:r>
      <w:r w:rsidR="001977B8" w:rsidRPr="007D0B20">
        <w:rPr>
          <w:bCs/>
          <w:i/>
          <w:iCs/>
          <w:sz w:val="22"/>
          <w:szCs w:val="22"/>
        </w:rPr>
        <w:t>example,</w:t>
      </w:r>
      <w:r w:rsidRPr="007D0B20">
        <w:rPr>
          <w:bCs/>
          <w:i/>
          <w:iCs/>
          <w:sz w:val="22"/>
          <w:szCs w:val="22"/>
        </w:rPr>
        <w:t xml:space="preserve"> money, shares in a company, accrued pension interests, and physical things like cars, books, clothes, houses, farms, parrots, </w:t>
      </w:r>
      <w:proofErr w:type="spellStart"/>
      <w:r w:rsidRPr="007D0B20">
        <w:rPr>
          <w:bCs/>
          <w:i/>
          <w:iCs/>
          <w:sz w:val="22"/>
          <w:szCs w:val="22"/>
        </w:rPr>
        <w:t>jewellery</w:t>
      </w:r>
      <w:proofErr w:type="spellEnd"/>
      <w:r w:rsidRPr="007D0B20">
        <w:rPr>
          <w:bCs/>
          <w:i/>
          <w:iCs/>
          <w:sz w:val="22"/>
          <w:szCs w:val="22"/>
        </w:rPr>
        <w:t xml:space="preserve"> and so on”</w:t>
      </w:r>
      <w:r>
        <w:rPr>
          <w:bCs/>
          <w:sz w:val="24"/>
          <w:szCs w:val="24"/>
        </w:rPr>
        <w:t xml:space="preserve"> </w:t>
      </w:r>
      <w:r w:rsidRPr="00E56F02">
        <w:rPr>
          <w:bCs/>
          <w:sz w:val="22"/>
          <w:szCs w:val="22"/>
        </w:rPr>
        <w:t>(footnotes omitted)</w:t>
      </w:r>
      <w:r w:rsidRPr="00E56F02">
        <w:rPr>
          <w:rStyle w:val="FootnoteReference"/>
          <w:bCs/>
          <w:sz w:val="22"/>
          <w:szCs w:val="22"/>
        </w:rPr>
        <w:footnoteReference w:id="4"/>
      </w:r>
    </w:p>
    <w:p w14:paraId="0159909A" w14:textId="77777777" w:rsidR="002B7C39" w:rsidRDefault="002B7C39" w:rsidP="002B7C39">
      <w:pPr>
        <w:pStyle w:val="Body"/>
        <w:spacing w:line="360" w:lineRule="auto"/>
        <w:ind w:left="851"/>
        <w:jc w:val="both"/>
        <w:rPr>
          <w:bCs/>
          <w:sz w:val="24"/>
          <w:szCs w:val="24"/>
        </w:rPr>
      </w:pPr>
    </w:p>
    <w:p w14:paraId="43FF0E72" w14:textId="77777777" w:rsidR="002B7C39" w:rsidRDefault="002B7C39" w:rsidP="002B7C39">
      <w:pPr>
        <w:pStyle w:val="Body"/>
        <w:spacing w:line="360" w:lineRule="auto"/>
        <w:ind w:left="851"/>
        <w:jc w:val="both"/>
        <w:rPr>
          <w:bCs/>
          <w:sz w:val="24"/>
          <w:szCs w:val="24"/>
        </w:rPr>
      </w:pPr>
      <w:r>
        <w:rPr>
          <w:bCs/>
          <w:sz w:val="24"/>
          <w:szCs w:val="24"/>
        </w:rPr>
        <w:lastRenderedPageBreak/>
        <w:t>And</w:t>
      </w:r>
    </w:p>
    <w:p w14:paraId="08FCE0CE" w14:textId="77777777" w:rsidR="002B7C39" w:rsidRDefault="002B7C39" w:rsidP="002B7C39">
      <w:pPr>
        <w:pStyle w:val="Body"/>
        <w:spacing w:line="360" w:lineRule="auto"/>
        <w:ind w:left="851"/>
        <w:jc w:val="both"/>
        <w:rPr>
          <w:bCs/>
          <w:sz w:val="24"/>
          <w:szCs w:val="24"/>
        </w:rPr>
      </w:pPr>
    </w:p>
    <w:p w14:paraId="54B14DF9" w14:textId="7419E9FF" w:rsidR="002B7C39" w:rsidRPr="001977B8" w:rsidRDefault="007D0B20" w:rsidP="005F0528">
      <w:pPr>
        <w:pStyle w:val="Body"/>
        <w:spacing w:line="360" w:lineRule="auto"/>
        <w:ind w:left="2160"/>
        <w:jc w:val="both"/>
        <w:rPr>
          <w:bCs/>
          <w:sz w:val="22"/>
          <w:szCs w:val="22"/>
        </w:rPr>
      </w:pPr>
      <w:r w:rsidRPr="007D0B20">
        <w:rPr>
          <w:bCs/>
          <w:i/>
          <w:iCs/>
          <w:sz w:val="22"/>
          <w:szCs w:val="22"/>
        </w:rPr>
        <w:t>“It is important to note that all this happens automatically by operation of law the moment the couple marries.  They do not need to sign any documents or re-register any of the property</w:t>
      </w:r>
      <w:r w:rsidR="00F03352">
        <w:rPr>
          <w:bCs/>
          <w:i/>
          <w:iCs/>
          <w:sz w:val="22"/>
          <w:szCs w:val="22"/>
        </w:rPr>
        <w:t>”</w:t>
      </w:r>
      <w:r w:rsidR="002B7C39" w:rsidRPr="007D0B20">
        <w:rPr>
          <w:bCs/>
          <w:i/>
          <w:iCs/>
          <w:sz w:val="22"/>
          <w:szCs w:val="22"/>
        </w:rPr>
        <w:t>.</w:t>
      </w:r>
      <w:r w:rsidR="001977B8">
        <w:rPr>
          <w:rStyle w:val="FootnoteReference"/>
          <w:bCs/>
          <w:i/>
          <w:iCs/>
          <w:sz w:val="22"/>
          <w:szCs w:val="22"/>
        </w:rPr>
        <w:footnoteReference w:id="5"/>
      </w:r>
    </w:p>
    <w:p w14:paraId="72AF5180" w14:textId="77777777" w:rsidR="002B7C39" w:rsidRDefault="002B7C39" w:rsidP="007D0B20">
      <w:pPr>
        <w:pStyle w:val="Body"/>
        <w:spacing w:line="360" w:lineRule="auto"/>
        <w:jc w:val="both"/>
        <w:rPr>
          <w:bCs/>
          <w:sz w:val="24"/>
          <w:szCs w:val="24"/>
        </w:rPr>
      </w:pPr>
    </w:p>
    <w:p w14:paraId="32B7C4B9" w14:textId="5D0B9D5E" w:rsidR="00753083" w:rsidRDefault="00306832" w:rsidP="00306832">
      <w:pPr>
        <w:pStyle w:val="Body"/>
        <w:spacing w:line="360" w:lineRule="auto"/>
        <w:ind w:left="851" w:hanging="851"/>
        <w:jc w:val="both"/>
        <w:rPr>
          <w:bCs/>
          <w:sz w:val="24"/>
          <w:szCs w:val="24"/>
        </w:rPr>
      </w:pPr>
      <w:r>
        <w:rPr>
          <w:bCs/>
          <w:sz w:val="24"/>
          <w:szCs w:val="24"/>
        </w:rPr>
        <w:t>13.</w:t>
      </w:r>
      <w:r>
        <w:rPr>
          <w:bCs/>
          <w:sz w:val="24"/>
          <w:szCs w:val="24"/>
        </w:rPr>
        <w:tab/>
      </w:r>
      <w:r w:rsidR="00F03352">
        <w:rPr>
          <w:bCs/>
          <w:sz w:val="24"/>
          <w:szCs w:val="24"/>
        </w:rPr>
        <w:t>In</w:t>
      </w:r>
      <w:r w:rsidR="00911E49">
        <w:rPr>
          <w:bCs/>
          <w:sz w:val="24"/>
          <w:szCs w:val="24"/>
        </w:rPr>
        <w:t xml:space="preserve"> the present matter, neither the breakdown nor the desire of the parties to end the marriage and be divorced was in issue. </w:t>
      </w:r>
      <w:r w:rsidR="00B23D28">
        <w:rPr>
          <w:bCs/>
          <w:sz w:val="24"/>
          <w:szCs w:val="24"/>
        </w:rPr>
        <w:t xml:space="preserve"> </w:t>
      </w:r>
      <w:r w:rsidR="00911E49">
        <w:rPr>
          <w:bCs/>
          <w:sz w:val="24"/>
          <w:szCs w:val="24"/>
        </w:rPr>
        <w:t xml:space="preserve">In issue was </w:t>
      </w:r>
      <w:r w:rsidR="00753083">
        <w:rPr>
          <w:bCs/>
          <w:sz w:val="24"/>
          <w:szCs w:val="24"/>
        </w:rPr>
        <w:t>whether</w:t>
      </w:r>
      <w:r w:rsidR="00911E49">
        <w:rPr>
          <w:bCs/>
          <w:sz w:val="24"/>
          <w:szCs w:val="24"/>
        </w:rPr>
        <w:t xml:space="preserve"> the court should grant an order in </w:t>
      </w:r>
      <w:proofErr w:type="spellStart"/>
      <w:r w:rsidR="00911E49">
        <w:rPr>
          <w:bCs/>
          <w:sz w:val="24"/>
          <w:szCs w:val="24"/>
        </w:rPr>
        <w:t>favour</w:t>
      </w:r>
      <w:proofErr w:type="spellEnd"/>
      <w:r w:rsidR="00911E49">
        <w:rPr>
          <w:bCs/>
          <w:sz w:val="24"/>
          <w:szCs w:val="24"/>
        </w:rPr>
        <w:t xml:space="preserve"> of the deceased for the respondent to forfeit the benefits of the marriage. </w:t>
      </w:r>
      <w:r w:rsidR="00B23D28">
        <w:rPr>
          <w:bCs/>
          <w:sz w:val="24"/>
          <w:szCs w:val="24"/>
        </w:rPr>
        <w:t xml:space="preserve"> </w:t>
      </w:r>
      <w:r w:rsidR="00AF2B8C">
        <w:rPr>
          <w:bCs/>
          <w:sz w:val="24"/>
          <w:szCs w:val="24"/>
        </w:rPr>
        <w:t>In this regard it is the deceased who bore the onus of establishing her entitlement to a forfeiture order.</w:t>
      </w:r>
    </w:p>
    <w:p w14:paraId="77372A06" w14:textId="77777777" w:rsidR="005F0528" w:rsidRDefault="005F0528" w:rsidP="003E45D9">
      <w:pPr>
        <w:pStyle w:val="Body"/>
        <w:spacing w:line="360" w:lineRule="auto"/>
        <w:ind w:left="851"/>
        <w:jc w:val="both"/>
        <w:rPr>
          <w:bCs/>
          <w:sz w:val="24"/>
          <w:szCs w:val="24"/>
        </w:rPr>
      </w:pPr>
    </w:p>
    <w:p w14:paraId="26A72B7E" w14:textId="66FB9838" w:rsidR="005F0528" w:rsidRDefault="00306832" w:rsidP="00306832">
      <w:pPr>
        <w:pStyle w:val="Body"/>
        <w:spacing w:line="360" w:lineRule="auto"/>
        <w:ind w:left="851" w:hanging="851"/>
        <w:jc w:val="both"/>
        <w:rPr>
          <w:bCs/>
          <w:sz w:val="24"/>
          <w:szCs w:val="24"/>
        </w:rPr>
      </w:pPr>
      <w:r>
        <w:rPr>
          <w:bCs/>
          <w:sz w:val="24"/>
          <w:szCs w:val="24"/>
        </w:rPr>
        <w:t>14.</w:t>
      </w:r>
      <w:r>
        <w:rPr>
          <w:bCs/>
          <w:sz w:val="24"/>
          <w:szCs w:val="24"/>
        </w:rPr>
        <w:tab/>
      </w:r>
      <w:r w:rsidR="00911E49">
        <w:rPr>
          <w:bCs/>
          <w:sz w:val="24"/>
          <w:szCs w:val="24"/>
        </w:rPr>
        <w:t>In</w:t>
      </w:r>
      <w:r w:rsidR="00F03352">
        <w:rPr>
          <w:bCs/>
          <w:sz w:val="24"/>
          <w:szCs w:val="24"/>
        </w:rPr>
        <w:t xml:space="preserve"> terms of section 9(1)</w:t>
      </w:r>
      <w:r w:rsidR="00EE1E18">
        <w:rPr>
          <w:rStyle w:val="FootnoteReference"/>
          <w:bCs/>
          <w:sz w:val="24"/>
          <w:szCs w:val="24"/>
        </w:rPr>
        <w:footnoteReference w:id="6"/>
      </w:r>
      <w:r w:rsidR="00F03352">
        <w:rPr>
          <w:bCs/>
          <w:sz w:val="24"/>
          <w:szCs w:val="24"/>
        </w:rPr>
        <w:t xml:space="preserve"> of the Divorce Act</w:t>
      </w:r>
      <w:r w:rsidR="00EE1E18">
        <w:rPr>
          <w:bCs/>
          <w:sz w:val="24"/>
          <w:szCs w:val="24"/>
        </w:rPr>
        <w:t xml:space="preserve"> 70 of 1979</w:t>
      </w:r>
      <w:r w:rsidR="00F03352">
        <w:rPr>
          <w:bCs/>
          <w:sz w:val="24"/>
          <w:szCs w:val="24"/>
        </w:rPr>
        <w:t xml:space="preserve"> </w:t>
      </w:r>
      <w:r w:rsidR="002F7A56">
        <w:rPr>
          <w:bCs/>
          <w:sz w:val="24"/>
          <w:szCs w:val="24"/>
        </w:rPr>
        <w:t xml:space="preserve">the court has a discretion whether to grant or refuse a full or partial forfeiture of patrimonial benefits. This </w:t>
      </w:r>
    </w:p>
    <w:p w14:paraId="00E39BF5" w14:textId="6BCEF53B" w:rsidR="00F03352" w:rsidRDefault="002F7A56" w:rsidP="00757AAB">
      <w:pPr>
        <w:pStyle w:val="Body"/>
        <w:spacing w:line="360" w:lineRule="auto"/>
        <w:ind w:left="851"/>
        <w:jc w:val="both"/>
        <w:rPr>
          <w:bCs/>
          <w:sz w:val="24"/>
          <w:szCs w:val="24"/>
        </w:rPr>
      </w:pPr>
      <w:r>
        <w:rPr>
          <w:bCs/>
          <w:sz w:val="24"/>
          <w:szCs w:val="24"/>
        </w:rPr>
        <w:t>discretion is to be exercised judicially. T</w:t>
      </w:r>
      <w:r w:rsidR="00F03352">
        <w:rPr>
          <w:bCs/>
          <w:sz w:val="24"/>
          <w:szCs w:val="24"/>
        </w:rPr>
        <w:t xml:space="preserve">hree factors should be considered before a complete or partial forfeiture of benefits is to be ordered.  The first is the duration of the marriage, the second the circumstances which lead to the breakdown of the marriage and thirdly </w:t>
      </w:r>
      <w:r w:rsidR="00911E49">
        <w:rPr>
          <w:bCs/>
          <w:sz w:val="24"/>
          <w:szCs w:val="24"/>
        </w:rPr>
        <w:t>whether</w:t>
      </w:r>
      <w:r w:rsidR="00F03352">
        <w:rPr>
          <w:bCs/>
          <w:sz w:val="24"/>
          <w:szCs w:val="24"/>
        </w:rPr>
        <w:t xml:space="preserve"> there was any substantial misconduct by either of the spouses.  These represent the sole factors that are to be considered in deciding </w:t>
      </w:r>
      <w:r w:rsidR="00D06CF7">
        <w:rPr>
          <w:bCs/>
          <w:sz w:val="24"/>
          <w:szCs w:val="24"/>
        </w:rPr>
        <w:t>whether there ought to be forfeiture or not</w:t>
      </w:r>
      <w:r w:rsidR="00D06CF7">
        <w:rPr>
          <w:rStyle w:val="FootnoteReference"/>
          <w:bCs/>
          <w:sz w:val="24"/>
          <w:szCs w:val="24"/>
        </w:rPr>
        <w:footnoteReference w:id="7"/>
      </w:r>
      <w:r w:rsidR="002150FF">
        <w:rPr>
          <w:bCs/>
          <w:sz w:val="24"/>
          <w:szCs w:val="24"/>
        </w:rPr>
        <w:t xml:space="preserve"> - if these factors are present then the enquiry moves to whether </w:t>
      </w:r>
      <w:r>
        <w:rPr>
          <w:bCs/>
          <w:sz w:val="24"/>
          <w:szCs w:val="24"/>
        </w:rPr>
        <w:t>the failure</w:t>
      </w:r>
      <w:r w:rsidR="002150FF">
        <w:rPr>
          <w:bCs/>
          <w:sz w:val="24"/>
          <w:szCs w:val="24"/>
        </w:rPr>
        <w:t xml:space="preserve"> to grant a forfeiture will result in an ‘undue benefit’.</w:t>
      </w:r>
      <w:r w:rsidR="00AF2B8C">
        <w:rPr>
          <w:bCs/>
          <w:sz w:val="24"/>
          <w:szCs w:val="24"/>
        </w:rPr>
        <w:t xml:space="preserve"> </w:t>
      </w:r>
    </w:p>
    <w:p w14:paraId="3A2DA3D5" w14:textId="77777777" w:rsidR="00385E64" w:rsidRDefault="00385E64" w:rsidP="00F03352">
      <w:pPr>
        <w:pStyle w:val="Body"/>
        <w:spacing w:line="360" w:lineRule="auto"/>
        <w:jc w:val="both"/>
        <w:rPr>
          <w:bCs/>
          <w:sz w:val="24"/>
          <w:szCs w:val="24"/>
        </w:rPr>
      </w:pPr>
    </w:p>
    <w:p w14:paraId="2ED7C669" w14:textId="5BA1BDCF" w:rsidR="00617F5D" w:rsidRDefault="00306832" w:rsidP="00306832">
      <w:pPr>
        <w:pStyle w:val="Body"/>
        <w:spacing w:line="360" w:lineRule="auto"/>
        <w:ind w:left="851" w:hanging="851"/>
        <w:jc w:val="both"/>
        <w:rPr>
          <w:bCs/>
          <w:sz w:val="24"/>
          <w:szCs w:val="24"/>
        </w:rPr>
      </w:pPr>
      <w:r>
        <w:rPr>
          <w:bCs/>
          <w:sz w:val="24"/>
          <w:szCs w:val="24"/>
        </w:rPr>
        <w:t>15.</w:t>
      </w:r>
      <w:r>
        <w:rPr>
          <w:bCs/>
          <w:sz w:val="24"/>
          <w:szCs w:val="24"/>
        </w:rPr>
        <w:tab/>
      </w:r>
      <w:r w:rsidR="00617F5D">
        <w:rPr>
          <w:bCs/>
          <w:sz w:val="24"/>
          <w:szCs w:val="24"/>
        </w:rPr>
        <w:t>The duration of the marriage between the parties was 15 years</w:t>
      </w:r>
      <w:r w:rsidR="00B16C52">
        <w:rPr>
          <w:rStyle w:val="FootnoteReference"/>
          <w:bCs/>
          <w:sz w:val="24"/>
          <w:szCs w:val="24"/>
        </w:rPr>
        <w:footnoteReference w:id="8"/>
      </w:r>
      <w:r w:rsidR="00617F5D">
        <w:rPr>
          <w:bCs/>
          <w:sz w:val="24"/>
          <w:szCs w:val="24"/>
        </w:rPr>
        <w:t xml:space="preserve">. Both parties were </w:t>
      </w:r>
      <w:r w:rsidR="00617F5D" w:rsidRPr="00AF2B8C">
        <w:rPr>
          <w:bCs/>
          <w:sz w:val="24"/>
          <w:szCs w:val="24"/>
        </w:rPr>
        <w:t xml:space="preserve">mature when they married. In 2014 when the respondent turned </w:t>
      </w:r>
      <w:r w:rsidR="0086352B" w:rsidRPr="00AF2B8C">
        <w:rPr>
          <w:bCs/>
          <w:sz w:val="24"/>
          <w:szCs w:val="24"/>
        </w:rPr>
        <w:t>67,</w:t>
      </w:r>
      <w:r w:rsidR="00617F5D" w:rsidRPr="00AF2B8C">
        <w:rPr>
          <w:bCs/>
          <w:sz w:val="24"/>
          <w:szCs w:val="24"/>
        </w:rPr>
        <w:t xml:space="preserve"> he </w:t>
      </w:r>
      <w:r w:rsidR="00617F5D" w:rsidRPr="00AF2B8C">
        <w:rPr>
          <w:bCs/>
          <w:sz w:val="24"/>
          <w:szCs w:val="24"/>
        </w:rPr>
        <w:lastRenderedPageBreak/>
        <w:t xml:space="preserve">retired. The </w:t>
      </w:r>
      <w:r w:rsidR="0086352B" w:rsidRPr="00AF2B8C">
        <w:rPr>
          <w:bCs/>
          <w:sz w:val="24"/>
          <w:szCs w:val="24"/>
        </w:rPr>
        <w:t xml:space="preserve">relevant </w:t>
      </w:r>
      <w:r w:rsidR="00617F5D" w:rsidRPr="00AF2B8C">
        <w:rPr>
          <w:bCs/>
          <w:sz w:val="24"/>
          <w:szCs w:val="24"/>
        </w:rPr>
        <w:t xml:space="preserve">circumstances pleaded by the deceased </w:t>
      </w:r>
      <w:r w:rsidR="0086352B" w:rsidRPr="00AF2B8C">
        <w:rPr>
          <w:bCs/>
          <w:sz w:val="24"/>
          <w:szCs w:val="24"/>
        </w:rPr>
        <w:t xml:space="preserve">in claiming forfeiture, </w:t>
      </w:r>
      <w:r w:rsidR="00617F5D" w:rsidRPr="00AF2B8C">
        <w:rPr>
          <w:bCs/>
          <w:sz w:val="24"/>
          <w:szCs w:val="24"/>
        </w:rPr>
        <w:t>which were said to have led to the breakdown of the marriage included that the respondent had deserted the deceased when he left the common home in 2017</w:t>
      </w:r>
      <w:r w:rsidR="00FF1D69" w:rsidRPr="00AF2B8C">
        <w:rPr>
          <w:bCs/>
          <w:sz w:val="24"/>
          <w:szCs w:val="24"/>
        </w:rPr>
        <w:t xml:space="preserve">, </w:t>
      </w:r>
      <w:r w:rsidR="00FF1D69" w:rsidRPr="00AF2B8C">
        <w:rPr>
          <w:rFonts w:cs="Arial"/>
          <w:sz w:val="24"/>
          <w:szCs w:val="24"/>
        </w:rPr>
        <w:t>t</w:t>
      </w:r>
      <w:r w:rsidR="00AF2B8C" w:rsidRPr="00AF2B8C">
        <w:rPr>
          <w:rFonts w:cs="Arial"/>
          <w:sz w:val="24"/>
          <w:szCs w:val="24"/>
        </w:rPr>
        <w:t>hat</w:t>
      </w:r>
      <w:r w:rsidR="00FF1D69" w:rsidRPr="00AF2B8C">
        <w:rPr>
          <w:rFonts w:cs="Arial"/>
          <w:sz w:val="24"/>
          <w:szCs w:val="24"/>
        </w:rPr>
        <w:t xml:space="preserve"> the respondent had not been intimate with her since 2006 and that as a result of emotional and financial abuse perpetrated by him, she had been plunged into both debt and a state of depression </w:t>
      </w:r>
      <w:r w:rsidR="00617F5D" w:rsidRPr="00AF2B8C">
        <w:rPr>
          <w:bCs/>
          <w:sz w:val="24"/>
          <w:szCs w:val="24"/>
        </w:rPr>
        <w:t>and further tha</w:t>
      </w:r>
      <w:r w:rsidR="0086352B" w:rsidRPr="00AF2B8C">
        <w:rPr>
          <w:bCs/>
          <w:sz w:val="24"/>
          <w:szCs w:val="24"/>
        </w:rPr>
        <w:t>t he</w:t>
      </w:r>
      <w:r w:rsidR="00617F5D" w:rsidRPr="00AF2B8C">
        <w:rPr>
          <w:bCs/>
          <w:sz w:val="24"/>
          <w:szCs w:val="24"/>
        </w:rPr>
        <w:t xml:space="preserve"> had </w:t>
      </w:r>
      <w:r w:rsidR="0086352B" w:rsidRPr="00AF2B8C">
        <w:rPr>
          <w:bCs/>
          <w:sz w:val="24"/>
          <w:szCs w:val="24"/>
        </w:rPr>
        <w:t>during</w:t>
      </w:r>
      <w:r w:rsidR="00617F5D" w:rsidRPr="00AF2B8C">
        <w:rPr>
          <w:bCs/>
          <w:sz w:val="24"/>
          <w:szCs w:val="24"/>
        </w:rPr>
        <w:t xml:space="preserve"> the marriage failed to </w:t>
      </w:r>
      <w:r w:rsidR="0086352B" w:rsidRPr="00AF2B8C">
        <w:rPr>
          <w:bCs/>
          <w:sz w:val="24"/>
          <w:szCs w:val="24"/>
        </w:rPr>
        <w:t>‘meaningfully’ contribute to the household expenses and debts leaving the deceased to shoulder this burden alone. Additionally, it was pleaded that when the respondent retired, he had failed to share his pension payout with the deceased.</w:t>
      </w:r>
      <w:r w:rsidR="0086352B">
        <w:rPr>
          <w:bCs/>
          <w:sz w:val="24"/>
          <w:szCs w:val="24"/>
        </w:rPr>
        <w:t xml:space="preserve"> </w:t>
      </w:r>
    </w:p>
    <w:p w14:paraId="26E3887B" w14:textId="77777777" w:rsidR="00617F5D" w:rsidRDefault="00617F5D" w:rsidP="00617F5D">
      <w:pPr>
        <w:pStyle w:val="ListParagraph"/>
        <w:rPr>
          <w:bCs/>
        </w:rPr>
      </w:pPr>
    </w:p>
    <w:p w14:paraId="77F6F066" w14:textId="7A2E41DD" w:rsidR="005F0528" w:rsidRPr="00FF69C4" w:rsidRDefault="00306832" w:rsidP="00306832">
      <w:pPr>
        <w:pStyle w:val="Body"/>
        <w:spacing w:line="360" w:lineRule="auto"/>
        <w:ind w:left="851" w:hanging="851"/>
        <w:jc w:val="both"/>
        <w:rPr>
          <w:bCs/>
          <w:sz w:val="24"/>
          <w:szCs w:val="24"/>
        </w:rPr>
      </w:pPr>
      <w:r w:rsidRPr="00FF69C4">
        <w:rPr>
          <w:bCs/>
          <w:sz w:val="24"/>
          <w:szCs w:val="24"/>
        </w:rPr>
        <w:t>16.</w:t>
      </w:r>
      <w:r w:rsidRPr="00FF69C4">
        <w:rPr>
          <w:bCs/>
          <w:sz w:val="24"/>
          <w:szCs w:val="24"/>
        </w:rPr>
        <w:tab/>
      </w:r>
      <w:r w:rsidR="00FF1D69">
        <w:rPr>
          <w:bCs/>
          <w:sz w:val="24"/>
          <w:szCs w:val="24"/>
        </w:rPr>
        <w:t xml:space="preserve">The deceased testified at length during the trial about specific assets purchased by her and various financial transactions </w:t>
      </w:r>
      <w:r w:rsidR="00AF2B8C">
        <w:rPr>
          <w:bCs/>
          <w:sz w:val="24"/>
          <w:szCs w:val="24"/>
        </w:rPr>
        <w:t>entered</w:t>
      </w:r>
      <w:r w:rsidR="00FF1D69">
        <w:rPr>
          <w:bCs/>
          <w:sz w:val="24"/>
          <w:szCs w:val="24"/>
        </w:rPr>
        <w:t xml:space="preserve"> </w:t>
      </w:r>
      <w:r w:rsidR="00AF2B8C">
        <w:rPr>
          <w:bCs/>
          <w:sz w:val="24"/>
          <w:szCs w:val="24"/>
        </w:rPr>
        <w:t>during</w:t>
      </w:r>
      <w:r w:rsidR="00FF1D69">
        <w:rPr>
          <w:bCs/>
          <w:sz w:val="24"/>
          <w:szCs w:val="24"/>
        </w:rPr>
        <w:t xml:space="preserve"> the marriage. The respondent similarly for his part testified about contributions made by him to both the joint estate and to the support of the deceased.</w:t>
      </w:r>
      <w:r w:rsidR="00E56F02">
        <w:rPr>
          <w:bCs/>
          <w:sz w:val="24"/>
          <w:szCs w:val="24"/>
        </w:rPr>
        <w:t xml:space="preserve"> </w:t>
      </w:r>
    </w:p>
    <w:p w14:paraId="28A6D110" w14:textId="2A2EF42B" w:rsidR="00DC1DFA" w:rsidRPr="00FF69C4" w:rsidRDefault="00DC1DFA" w:rsidP="00FF69C4">
      <w:pPr>
        <w:rPr>
          <w:bCs/>
        </w:rPr>
      </w:pPr>
    </w:p>
    <w:p w14:paraId="2254C218" w14:textId="4FDD5C64" w:rsidR="00DC1DFA" w:rsidRPr="005F0528" w:rsidRDefault="00306832" w:rsidP="00306832">
      <w:pPr>
        <w:pStyle w:val="Body"/>
        <w:spacing w:line="360" w:lineRule="auto"/>
        <w:ind w:left="851" w:hanging="851"/>
        <w:jc w:val="both"/>
        <w:rPr>
          <w:bCs/>
          <w:sz w:val="24"/>
          <w:szCs w:val="24"/>
        </w:rPr>
      </w:pPr>
      <w:r w:rsidRPr="005F0528">
        <w:rPr>
          <w:bCs/>
          <w:sz w:val="24"/>
          <w:szCs w:val="24"/>
        </w:rPr>
        <w:t>17.</w:t>
      </w:r>
      <w:r w:rsidRPr="005F0528">
        <w:rPr>
          <w:bCs/>
          <w:sz w:val="24"/>
          <w:szCs w:val="24"/>
        </w:rPr>
        <w:tab/>
      </w:r>
      <w:r w:rsidR="00DC1DFA">
        <w:rPr>
          <w:bCs/>
          <w:sz w:val="24"/>
          <w:szCs w:val="24"/>
        </w:rPr>
        <w:t>Pertinently the evidence in the main centered on the deceased’s acquisition before the second marriage of an immovable property which was subject to a mortgage bond, and which was thereafter re-mortgaged so that a vehicle could be purchased for the respondent to use. This had led, so the deceased testified, to increased stress upon her which had resulted in her suffering from depression. This all occurred some 10 years before the divorce proceedings were instituted. The deceased also testified about the acquisition of a second property</w:t>
      </w:r>
      <w:r w:rsidR="006676A5">
        <w:rPr>
          <w:bCs/>
          <w:sz w:val="24"/>
          <w:szCs w:val="24"/>
        </w:rPr>
        <w:t xml:space="preserve"> </w:t>
      </w:r>
      <w:r w:rsidR="00DC1DFA">
        <w:rPr>
          <w:bCs/>
          <w:sz w:val="24"/>
          <w:szCs w:val="24"/>
        </w:rPr>
        <w:t xml:space="preserve">which was also subject to a mortgage bond and to her financial stress relating to both this property as well as debts for furniture. The </w:t>
      </w:r>
      <w:r w:rsidR="002F7A56">
        <w:rPr>
          <w:bCs/>
          <w:sz w:val="24"/>
          <w:szCs w:val="24"/>
        </w:rPr>
        <w:t>respondents’</w:t>
      </w:r>
      <w:r w:rsidR="00DC1DFA">
        <w:rPr>
          <w:bCs/>
          <w:sz w:val="24"/>
          <w:szCs w:val="24"/>
        </w:rPr>
        <w:t xml:space="preserve"> evidence that he had </w:t>
      </w:r>
      <w:r w:rsidR="00DC1DFA" w:rsidRPr="005F0528">
        <w:rPr>
          <w:bCs/>
          <w:sz w:val="24"/>
          <w:szCs w:val="24"/>
        </w:rPr>
        <w:t>paid off the debt relating to the furniture and had also contributed to the Polokwane property from the proceeds of his pension payout was not disputed.</w:t>
      </w:r>
      <w:r w:rsidR="006676A5">
        <w:rPr>
          <w:bCs/>
          <w:sz w:val="24"/>
          <w:szCs w:val="24"/>
        </w:rPr>
        <w:t xml:space="preserve"> It was also a matter of some contention that the respondent had purchased a motor vehicle after having left the common home without the consent of the deceased.</w:t>
      </w:r>
    </w:p>
    <w:p w14:paraId="55110F82" w14:textId="77777777" w:rsidR="00FF1D69" w:rsidRDefault="00FF1D69" w:rsidP="00FF1D69">
      <w:pPr>
        <w:pStyle w:val="ListParagraph"/>
        <w:rPr>
          <w:bCs/>
        </w:rPr>
      </w:pPr>
    </w:p>
    <w:p w14:paraId="39BA5C19" w14:textId="6D617BF5" w:rsidR="00753083" w:rsidRDefault="00306832" w:rsidP="00306832">
      <w:pPr>
        <w:pStyle w:val="Body"/>
        <w:spacing w:line="360" w:lineRule="auto"/>
        <w:ind w:left="851" w:hanging="851"/>
        <w:jc w:val="both"/>
        <w:rPr>
          <w:bCs/>
          <w:sz w:val="24"/>
          <w:szCs w:val="24"/>
        </w:rPr>
      </w:pPr>
      <w:r>
        <w:rPr>
          <w:bCs/>
          <w:sz w:val="24"/>
          <w:szCs w:val="24"/>
        </w:rPr>
        <w:t>18.</w:t>
      </w:r>
      <w:r>
        <w:rPr>
          <w:bCs/>
          <w:sz w:val="24"/>
          <w:szCs w:val="24"/>
        </w:rPr>
        <w:tab/>
      </w:r>
      <w:r w:rsidR="00FF1D69">
        <w:rPr>
          <w:bCs/>
          <w:sz w:val="24"/>
          <w:szCs w:val="24"/>
        </w:rPr>
        <w:t xml:space="preserve">It </w:t>
      </w:r>
      <w:r w:rsidR="00753083">
        <w:rPr>
          <w:bCs/>
          <w:sz w:val="24"/>
          <w:szCs w:val="24"/>
        </w:rPr>
        <w:t xml:space="preserve">is not necessary to </w:t>
      </w:r>
      <w:r w:rsidR="002F7A56">
        <w:rPr>
          <w:bCs/>
          <w:sz w:val="24"/>
          <w:szCs w:val="24"/>
        </w:rPr>
        <w:t>traverse the</w:t>
      </w:r>
      <w:r w:rsidR="00753083">
        <w:rPr>
          <w:bCs/>
          <w:sz w:val="24"/>
          <w:szCs w:val="24"/>
        </w:rPr>
        <w:t xml:space="preserve"> evidence led by both the deceased and the respondent</w:t>
      </w:r>
      <w:r w:rsidR="002F7A56">
        <w:rPr>
          <w:bCs/>
          <w:sz w:val="24"/>
          <w:szCs w:val="24"/>
        </w:rPr>
        <w:t xml:space="preserve"> in any further detail</w:t>
      </w:r>
      <w:r w:rsidR="00753083">
        <w:rPr>
          <w:bCs/>
          <w:sz w:val="24"/>
          <w:szCs w:val="24"/>
        </w:rPr>
        <w:t xml:space="preserve">. The court </w:t>
      </w:r>
      <w:r w:rsidR="00753083" w:rsidRPr="002150FF">
        <w:rPr>
          <w:bCs/>
          <w:i/>
          <w:iCs/>
          <w:sz w:val="24"/>
          <w:szCs w:val="24"/>
        </w:rPr>
        <w:t>a quo</w:t>
      </w:r>
      <w:r w:rsidR="00753083">
        <w:rPr>
          <w:bCs/>
          <w:sz w:val="24"/>
          <w:szCs w:val="24"/>
        </w:rPr>
        <w:t xml:space="preserve"> dealt with this </w:t>
      </w:r>
      <w:r w:rsidR="00FF1D69">
        <w:rPr>
          <w:bCs/>
          <w:sz w:val="24"/>
          <w:szCs w:val="24"/>
        </w:rPr>
        <w:t>at length</w:t>
      </w:r>
      <w:r w:rsidR="00753083">
        <w:rPr>
          <w:bCs/>
          <w:sz w:val="24"/>
          <w:szCs w:val="24"/>
        </w:rPr>
        <w:t xml:space="preserve"> in its </w:t>
      </w:r>
      <w:r w:rsidR="00753083">
        <w:rPr>
          <w:bCs/>
          <w:sz w:val="24"/>
          <w:szCs w:val="24"/>
        </w:rPr>
        <w:lastRenderedPageBreak/>
        <w:t>judgment</w:t>
      </w:r>
      <w:r w:rsidR="00FF1D69">
        <w:rPr>
          <w:bCs/>
          <w:sz w:val="24"/>
          <w:szCs w:val="24"/>
        </w:rPr>
        <w:t xml:space="preserve"> and concluded</w:t>
      </w:r>
      <w:r w:rsidR="002F7A56">
        <w:rPr>
          <w:bCs/>
          <w:sz w:val="24"/>
          <w:szCs w:val="24"/>
        </w:rPr>
        <w:t xml:space="preserve"> in the exercise of its discretion</w:t>
      </w:r>
      <w:r w:rsidR="00FF1D69">
        <w:rPr>
          <w:bCs/>
          <w:sz w:val="24"/>
          <w:szCs w:val="24"/>
        </w:rPr>
        <w:t xml:space="preserve">, correctly in my view, that </w:t>
      </w:r>
      <w:r w:rsidR="002F7A56">
        <w:rPr>
          <w:bCs/>
          <w:sz w:val="24"/>
          <w:szCs w:val="24"/>
        </w:rPr>
        <w:t xml:space="preserve">notwithstanding the length of the marriage, </w:t>
      </w:r>
      <w:r w:rsidR="00FF1D69">
        <w:rPr>
          <w:bCs/>
          <w:sz w:val="24"/>
          <w:szCs w:val="24"/>
        </w:rPr>
        <w:t xml:space="preserve">the deceased had failed on a conspectus of the evidence to </w:t>
      </w:r>
      <w:r w:rsidR="002150FF">
        <w:rPr>
          <w:bCs/>
          <w:sz w:val="24"/>
          <w:szCs w:val="24"/>
        </w:rPr>
        <w:t xml:space="preserve">discharge the onus upon her to </w:t>
      </w:r>
      <w:r w:rsidR="00FF1D69">
        <w:rPr>
          <w:bCs/>
          <w:sz w:val="24"/>
          <w:szCs w:val="24"/>
        </w:rPr>
        <w:t xml:space="preserve">show that the respondent had either ‘meaningfully’ failed to contribute to the household expenses or debts or that he had emotionally or </w:t>
      </w:r>
      <w:r w:rsidR="00AF2B8C">
        <w:rPr>
          <w:bCs/>
          <w:sz w:val="24"/>
          <w:szCs w:val="24"/>
        </w:rPr>
        <w:t xml:space="preserve">financially abused her as alleged. </w:t>
      </w:r>
    </w:p>
    <w:p w14:paraId="3D6C0E5D" w14:textId="77777777" w:rsidR="00753083" w:rsidRDefault="00753083" w:rsidP="00753083">
      <w:pPr>
        <w:pStyle w:val="ListParagraph"/>
        <w:rPr>
          <w:bCs/>
        </w:rPr>
      </w:pPr>
    </w:p>
    <w:p w14:paraId="5397D125" w14:textId="5F983621" w:rsidR="00AF2B8C" w:rsidRDefault="00306832" w:rsidP="00306832">
      <w:pPr>
        <w:pStyle w:val="Body"/>
        <w:spacing w:line="360" w:lineRule="auto"/>
        <w:ind w:left="851" w:hanging="851"/>
        <w:jc w:val="both"/>
        <w:rPr>
          <w:bCs/>
          <w:sz w:val="24"/>
          <w:szCs w:val="24"/>
        </w:rPr>
      </w:pPr>
      <w:r>
        <w:rPr>
          <w:bCs/>
          <w:sz w:val="24"/>
          <w:szCs w:val="24"/>
        </w:rPr>
        <w:t>19.</w:t>
      </w:r>
      <w:r>
        <w:rPr>
          <w:bCs/>
          <w:sz w:val="24"/>
          <w:szCs w:val="24"/>
        </w:rPr>
        <w:tab/>
      </w:r>
      <w:r w:rsidR="00AF2B8C">
        <w:rPr>
          <w:bCs/>
          <w:sz w:val="24"/>
          <w:szCs w:val="24"/>
        </w:rPr>
        <w:t xml:space="preserve">Once the deceased and the respondent were married for the second time in community of property, the entirety of their estates were pooled into a joint estate – irrespective of where or when they had acquired the specific assets. None of the assets in their respective estates was alleged to have been </w:t>
      </w:r>
      <w:r w:rsidR="00490ACF">
        <w:rPr>
          <w:bCs/>
          <w:sz w:val="24"/>
          <w:szCs w:val="24"/>
        </w:rPr>
        <w:t>excluded from</w:t>
      </w:r>
      <w:r w:rsidR="00AF2B8C">
        <w:rPr>
          <w:bCs/>
          <w:sz w:val="24"/>
          <w:szCs w:val="24"/>
        </w:rPr>
        <w:t xml:space="preserve"> the joint estate.</w:t>
      </w:r>
      <w:r w:rsidR="00AF2B8C">
        <w:rPr>
          <w:rStyle w:val="FootnoteReference"/>
          <w:bCs/>
          <w:sz w:val="24"/>
          <w:szCs w:val="24"/>
        </w:rPr>
        <w:footnoteReference w:id="9"/>
      </w:r>
      <w:r w:rsidR="000F6438">
        <w:rPr>
          <w:bCs/>
          <w:sz w:val="24"/>
          <w:szCs w:val="24"/>
        </w:rPr>
        <w:t xml:space="preserve"> The evidence in the present matter established that both the deceased and the respondent worked and enjoyed the benefit of assets acquired by the joint estate. </w:t>
      </w:r>
      <w:r w:rsidR="006676A5">
        <w:rPr>
          <w:bCs/>
          <w:sz w:val="24"/>
          <w:szCs w:val="24"/>
        </w:rPr>
        <w:t xml:space="preserve">This included the motor vehicle purchased by the respondent before the divorce. </w:t>
      </w:r>
      <w:r w:rsidR="000F6438">
        <w:rPr>
          <w:bCs/>
          <w:sz w:val="24"/>
          <w:szCs w:val="24"/>
        </w:rPr>
        <w:t>They also shared the expenses.</w:t>
      </w:r>
    </w:p>
    <w:p w14:paraId="0881E1ED" w14:textId="5F13C119" w:rsidR="005F0528" w:rsidRPr="00FF69C4" w:rsidRDefault="005F0528" w:rsidP="00FF69C4">
      <w:pPr>
        <w:rPr>
          <w:bCs/>
        </w:rPr>
      </w:pPr>
    </w:p>
    <w:p w14:paraId="3B8B73EF" w14:textId="39968C7C" w:rsidR="00490ACF" w:rsidRDefault="00306832" w:rsidP="00306832">
      <w:pPr>
        <w:pStyle w:val="Body"/>
        <w:spacing w:line="360" w:lineRule="auto"/>
        <w:ind w:left="851" w:hanging="851"/>
        <w:jc w:val="both"/>
        <w:rPr>
          <w:bCs/>
          <w:sz w:val="24"/>
          <w:szCs w:val="24"/>
        </w:rPr>
      </w:pPr>
      <w:r>
        <w:rPr>
          <w:bCs/>
          <w:sz w:val="24"/>
          <w:szCs w:val="24"/>
        </w:rPr>
        <w:t>20.</w:t>
      </w:r>
      <w:r>
        <w:rPr>
          <w:bCs/>
          <w:sz w:val="24"/>
          <w:szCs w:val="24"/>
        </w:rPr>
        <w:tab/>
      </w:r>
      <w:r w:rsidR="00490ACF">
        <w:rPr>
          <w:bCs/>
          <w:sz w:val="24"/>
          <w:szCs w:val="24"/>
        </w:rPr>
        <w:t xml:space="preserve">The relationship between spouses, while having legal consequences is also profoundly personal. </w:t>
      </w:r>
      <w:r w:rsidR="002F7A56">
        <w:rPr>
          <w:bCs/>
          <w:sz w:val="24"/>
          <w:szCs w:val="24"/>
        </w:rPr>
        <w:t>Sp</w:t>
      </w:r>
      <w:r w:rsidR="00490ACF">
        <w:rPr>
          <w:bCs/>
          <w:sz w:val="24"/>
          <w:szCs w:val="24"/>
        </w:rPr>
        <w:t xml:space="preserve">ouses choose to live their lives together in a manner that best suits them – there is self-evidently no </w:t>
      </w:r>
      <w:r w:rsidR="00C11E1C">
        <w:rPr>
          <w:bCs/>
          <w:sz w:val="24"/>
          <w:szCs w:val="24"/>
        </w:rPr>
        <w:t>‘</w:t>
      </w:r>
      <w:r w:rsidR="00490ACF">
        <w:rPr>
          <w:bCs/>
          <w:sz w:val="24"/>
          <w:szCs w:val="24"/>
        </w:rPr>
        <w:t>one-size fits all</w:t>
      </w:r>
      <w:r w:rsidR="00C11E1C">
        <w:rPr>
          <w:bCs/>
          <w:sz w:val="24"/>
          <w:szCs w:val="24"/>
        </w:rPr>
        <w:t>’</w:t>
      </w:r>
      <w:r w:rsidR="00490ACF">
        <w:rPr>
          <w:bCs/>
          <w:sz w:val="24"/>
          <w:szCs w:val="24"/>
        </w:rPr>
        <w:t xml:space="preserve"> way for people to order their affairs and relationship when they choose to marry.</w:t>
      </w:r>
      <w:r w:rsidR="002150FF">
        <w:rPr>
          <w:bCs/>
          <w:sz w:val="24"/>
          <w:szCs w:val="24"/>
        </w:rPr>
        <w:t xml:space="preserve"> </w:t>
      </w:r>
    </w:p>
    <w:p w14:paraId="6FEB66A5" w14:textId="77777777" w:rsidR="00490ACF" w:rsidRDefault="00490ACF" w:rsidP="00490ACF">
      <w:pPr>
        <w:pStyle w:val="ListParagraph"/>
        <w:rPr>
          <w:bCs/>
        </w:rPr>
      </w:pPr>
    </w:p>
    <w:p w14:paraId="1AC1FD1E" w14:textId="077F4C16" w:rsidR="00490ACF" w:rsidRDefault="00306832" w:rsidP="00306832">
      <w:pPr>
        <w:pStyle w:val="Body"/>
        <w:spacing w:line="360" w:lineRule="auto"/>
        <w:ind w:left="851" w:hanging="851"/>
        <w:jc w:val="both"/>
        <w:rPr>
          <w:bCs/>
          <w:sz w:val="24"/>
          <w:szCs w:val="24"/>
        </w:rPr>
      </w:pPr>
      <w:r>
        <w:rPr>
          <w:bCs/>
          <w:sz w:val="24"/>
          <w:szCs w:val="24"/>
        </w:rPr>
        <w:t>21.</w:t>
      </w:r>
      <w:r>
        <w:rPr>
          <w:bCs/>
          <w:sz w:val="24"/>
          <w:szCs w:val="24"/>
        </w:rPr>
        <w:tab/>
      </w:r>
      <w:r w:rsidR="00490ACF">
        <w:rPr>
          <w:bCs/>
          <w:sz w:val="24"/>
          <w:szCs w:val="24"/>
        </w:rPr>
        <w:t xml:space="preserve">It was observed in </w:t>
      </w:r>
      <w:proofErr w:type="spellStart"/>
      <w:r w:rsidR="00490ACF">
        <w:rPr>
          <w:bCs/>
          <w:sz w:val="24"/>
          <w:szCs w:val="24"/>
        </w:rPr>
        <w:t>Kritzinger</w:t>
      </w:r>
      <w:proofErr w:type="spellEnd"/>
      <w:r w:rsidR="00490ACF">
        <w:rPr>
          <w:bCs/>
          <w:sz w:val="24"/>
          <w:szCs w:val="24"/>
        </w:rPr>
        <w:t xml:space="preserve"> v </w:t>
      </w:r>
      <w:proofErr w:type="spellStart"/>
      <w:r w:rsidR="00490ACF">
        <w:rPr>
          <w:bCs/>
          <w:sz w:val="24"/>
          <w:szCs w:val="24"/>
        </w:rPr>
        <w:t>Kritzinger</w:t>
      </w:r>
      <w:proofErr w:type="spellEnd"/>
      <w:r w:rsidR="00490ACF">
        <w:rPr>
          <w:rStyle w:val="FootnoteReference"/>
          <w:bCs/>
          <w:sz w:val="24"/>
          <w:szCs w:val="24"/>
        </w:rPr>
        <w:footnoteReference w:id="10"/>
      </w:r>
      <w:r w:rsidR="00490ACF">
        <w:rPr>
          <w:bCs/>
          <w:sz w:val="24"/>
          <w:szCs w:val="24"/>
        </w:rPr>
        <w:t xml:space="preserve"> that:</w:t>
      </w:r>
    </w:p>
    <w:p w14:paraId="1F1815E8" w14:textId="7A0D2CFC" w:rsidR="00490ACF" w:rsidRDefault="00490ACF" w:rsidP="00490ACF">
      <w:pPr>
        <w:pStyle w:val="ListParagraph"/>
        <w:rPr>
          <w:bCs/>
        </w:rPr>
      </w:pPr>
    </w:p>
    <w:p w14:paraId="6683B93A" w14:textId="511EA409" w:rsidR="00490ACF" w:rsidRPr="00490ACF" w:rsidRDefault="00490ACF" w:rsidP="00C11E1C">
      <w:pPr>
        <w:pStyle w:val="ListParagraph"/>
        <w:spacing w:line="360" w:lineRule="auto"/>
        <w:ind w:left="2160"/>
        <w:jc w:val="both"/>
        <w:rPr>
          <w:rFonts w:ascii="Arial" w:hAnsi="Arial" w:cs="Arial"/>
          <w:bCs/>
          <w:i/>
          <w:iCs/>
          <w:sz w:val="22"/>
          <w:szCs w:val="22"/>
        </w:rPr>
      </w:pPr>
      <w:r w:rsidRPr="00490ACF">
        <w:rPr>
          <w:rFonts w:ascii="Arial" w:hAnsi="Arial" w:cs="Arial"/>
          <w:bCs/>
          <w:i/>
          <w:iCs/>
          <w:sz w:val="22"/>
          <w:szCs w:val="22"/>
        </w:rPr>
        <w:t>“Human experience suggests that generally speaking where there is a breakdown of a marriage the conduct of both parties most probably always contribute to it.”</w:t>
      </w:r>
    </w:p>
    <w:p w14:paraId="6C89128E" w14:textId="6199B5EA" w:rsidR="00385E64" w:rsidRPr="005F0528" w:rsidRDefault="00385E64" w:rsidP="005F0528">
      <w:pPr>
        <w:rPr>
          <w:bCs/>
        </w:rPr>
      </w:pPr>
    </w:p>
    <w:p w14:paraId="60E4B43D" w14:textId="77777777" w:rsidR="00385E64" w:rsidRDefault="00385E64" w:rsidP="00490ACF">
      <w:pPr>
        <w:pStyle w:val="ListParagraph"/>
        <w:ind w:left="851"/>
        <w:rPr>
          <w:bCs/>
        </w:rPr>
      </w:pPr>
    </w:p>
    <w:p w14:paraId="589B2D21" w14:textId="75924573" w:rsidR="000F6438" w:rsidRPr="00385E64" w:rsidRDefault="00306832" w:rsidP="00306832">
      <w:pPr>
        <w:pStyle w:val="Body"/>
        <w:spacing w:line="360" w:lineRule="auto"/>
        <w:ind w:left="851" w:hanging="851"/>
        <w:jc w:val="both"/>
        <w:rPr>
          <w:bCs/>
          <w:sz w:val="24"/>
          <w:szCs w:val="24"/>
        </w:rPr>
      </w:pPr>
      <w:r w:rsidRPr="00385E64">
        <w:rPr>
          <w:bCs/>
          <w:sz w:val="24"/>
          <w:szCs w:val="24"/>
        </w:rPr>
        <w:t>22.</w:t>
      </w:r>
      <w:r w:rsidRPr="00385E64">
        <w:rPr>
          <w:bCs/>
          <w:sz w:val="24"/>
          <w:szCs w:val="24"/>
        </w:rPr>
        <w:tab/>
      </w:r>
      <w:r w:rsidR="000F6438" w:rsidRPr="00385E64">
        <w:rPr>
          <w:bCs/>
          <w:sz w:val="24"/>
          <w:szCs w:val="24"/>
        </w:rPr>
        <w:t>There was, besides what has been alluded to above, no other allegations or evidence relating to the circumstances which led to the breakdown of the marriage. Furthermore, there was no evidence of substantial misconduct</w:t>
      </w:r>
      <w:r w:rsidR="00176115">
        <w:rPr>
          <w:rStyle w:val="FootnoteReference"/>
          <w:bCs/>
          <w:sz w:val="24"/>
          <w:szCs w:val="24"/>
        </w:rPr>
        <w:footnoteReference w:id="11"/>
      </w:r>
      <w:r w:rsidR="000F6438" w:rsidRPr="00385E64">
        <w:rPr>
          <w:bCs/>
          <w:sz w:val="24"/>
          <w:szCs w:val="24"/>
        </w:rPr>
        <w:t xml:space="preserve"> on the part of the respondent – the high watermark being that he had deserted the </w:t>
      </w:r>
      <w:r w:rsidR="000F6438" w:rsidRPr="00385E64">
        <w:rPr>
          <w:bCs/>
          <w:sz w:val="24"/>
          <w:szCs w:val="24"/>
        </w:rPr>
        <w:lastRenderedPageBreak/>
        <w:t>common home. The allegations relating to alleged emotional and financial abuse were simply not established on the evidence</w:t>
      </w:r>
      <w:r w:rsidR="002F7A56" w:rsidRPr="00385E64">
        <w:rPr>
          <w:bCs/>
          <w:sz w:val="24"/>
          <w:szCs w:val="24"/>
        </w:rPr>
        <w:t>.</w:t>
      </w:r>
    </w:p>
    <w:p w14:paraId="6CBDBF1D" w14:textId="77777777" w:rsidR="00176115" w:rsidRDefault="00176115" w:rsidP="00176115">
      <w:pPr>
        <w:pStyle w:val="Body"/>
        <w:spacing w:line="360" w:lineRule="auto"/>
        <w:ind w:left="851"/>
        <w:jc w:val="both"/>
        <w:rPr>
          <w:bCs/>
          <w:sz w:val="24"/>
          <w:szCs w:val="24"/>
        </w:rPr>
      </w:pPr>
    </w:p>
    <w:p w14:paraId="032742E1" w14:textId="7B4DDFDE" w:rsidR="00176115" w:rsidRDefault="00306832" w:rsidP="00306832">
      <w:pPr>
        <w:pStyle w:val="Body"/>
        <w:spacing w:line="360" w:lineRule="auto"/>
        <w:ind w:left="851" w:hanging="851"/>
        <w:jc w:val="both"/>
        <w:rPr>
          <w:bCs/>
          <w:sz w:val="24"/>
          <w:szCs w:val="24"/>
        </w:rPr>
      </w:pPr>
      <w:r>
        <w:rPr>
          <w:bCs/>
          <w:sz w:val="24"/>
          <w:szCs w:val="24"/>
        </w:rPr>
        <w:t>23.</w:t>
      </w:r>
      <w:r>
        <w:rPr>
          <w:bCs/>
          <w:sz w:val="24"/>
          <w:szCs w:val="24"/>
        </w:rPr>
        <w:tab/>
      </w:r>
      <w:r w:rsidR="000F6438">
        <w:rPr>
          <w:bCs/>
          <w:sz w:val="24"/>
          <w:szCs w:val="24"/>
        </w:rPr>
        <w:t xml:space="preserve">Having found that the deceased failed to meet </w:t>
      </w:r>
      <w:r w:rsidR="00176115">
        <w:rPr>
          <w:bCs/>
          <w:sz w:val="24"/>
          <w:szCs w:val="24"/>
        </w:rPr>
        <w:t>any of the 3</w:t>
      </w:r>
      <w:r w:rsidR="000F6438">
        <w:rPr>
          <w:bCs/>
          <w:sz w:val="24"/>
          <w:szCs w:val="24"/>
        </w:rPr>
        <w:t xml:space="preserve"> requirements set out in section 9(1) of the Divorce Act, the question of </w:t>
      </w:r>
      <w:r w:rsidR="00176115">
        <w:rPr>
          <w:bCs/>
          <w:sz w:val="24"/>
          <w:szCs w:val="24"/>
        </w:rPr>
        <w:t>whether</w:t>
      </w:r>
      <w:r w:rsidR="000F6438">
        <w:rPr>
          <w:bCs/>
          <w:sz w:val="24"/>
          <w:szCs w:val="24"/>
        </w:rPr>
        <w:t xml:space="preserve"> the respondent would be unduly benefitted</w:t>
      </w:r>
      <w:r w:rsidR="00B16C52">
        <w:rPr>
          <w:rStyle w:val="FootnoteReference"/>
          <w:bCs/>
          <w:sz w:val="24"/>
          <w:szCs w:val="24"/>
        </w:rPr>
        <w:footnoteReference w:id="12"/>
      </w:r>
      <w:r w:rsidR="000F6438">
        <w:rPr>
          <w:bCs/>
          <w:sz w:val="24"/>
          <w:szCs w:val="24"/>
        </w:rPr>
        <w:t xml:space="preserve"> does not arise. </w:t>
      </w:r>
    </w:p>
    <w:p w14:paraId="143D6E35" w14:textId="77777777" w:rsidR="00176115" w:rsidRDefault="00176115" w:rsidP="00176115">
      <w:pPr>
        <w:pStyle w:val="ListParagraph"/>
        <w:rPr>
          <w:bCs/>
        </w:rPr>
      </w:pPr>
    </w:p>
    <w:p w14:paraId="457C9CE1" w14:textId="3A6B2071" w:rsidR="000F6438" w:rsidRDefault="00306832" w:rsidP="00306832">
      <w:pPr>
        <w:pStyle w:val="Body"/>
        <w:spacing w:line="360" w:lineRule="auto"/>
        <w:ind w:left="851" w:hanging="851"/>
        <w:jc w:val="both"/>
        <w:rPr>
          <w:bCs/>
          <w:sz w:val="24"/>
          <w:szCs w:val="24"/>
        </w:rPr>
      </w:pPr>
      <w:r>
        <w:rPr>
          <w:bCs/>
          <w:sz w:val="24"/>
          <w:szCs w:val="24"/>
        </w:rPr>
        <w:t>24.</w:t>
      </w:r>
      <w:r>
        <w:rPr>
          <w:bCs/>
          <w:sz w:val="24"/>
          <w:szCs w:val="24"/>
        </w:rPr>
        <w:tab/>
      </w:r>
      <w:r w:rsidR="000F6438">
        <w:rPr>
          <w:bCs/>
          <w:sz w:val="24"/>
          <w:szCs w:val="24"/>
        </w:rPr>
        <w:t xml:space="preserve">It is perhaps apposite to mention that even if the deceased had met the 3 requirements, there was no evidence led which established any ‘undue benefit’ that would have been received by the respondent. </w:t>
      </w:r>
      <w:r w:rsidR="00C11E1C">
        <w:rPr>
          <w:bCs/>
          <w:sz w:val="24"/>
          <w:szCs w:val="24"/>
        </w:rPr>
        <w:t xml:space="preserve"> </w:t>
      </w:r>
      <w:r w:rsidR="000F6438">
        <w:rPr>
          <w:bCs/>
          <w:sz w:val="24"/>
          <w:szCs w:val="24"/>
        </w:rPr>
        <w:t>He was entitled as a matter of law to</w:t>
      </w:r>
      <w:r w:rsidR="00176115">
        <w:rPr>
          <w:bCs/>
          <w:sz w:val="24"/>
          <w:szCs w:val="24"/>
        </w:rPr>
        <w:t xml:space="preserve"> what he had contributed to the joint estate at the very least and any order of forfeiture would only have served to affect his right to his half share of the joint estate insofar as it may have exceeded his contribution.</w:t>
      </w:r>
    </w:p>
    <w:p w14:paraId="01B5BE64" w14:textId="452E9B4D" w:rsidR="00C11E1C" w:rsidRDefault="00C11E1C" w:rsidP="00FF69C4">
      <w:pPr>
        <w:pStyle w:val="Body"/>
        <w:spacing w:line="360" w:lineRule="auto"/>
        <w:jc w:val="both"/>
        <w:rPr>
          <w:bCs/>
          <w:sz w:val="24"/>
          <w:szCs w:val="24"/>
        </w:rPr>
      </w:pPr>
    </w:p>
    <w:p w14:paraId="13C21EC2" w14:textId="5B1E7493" w:rsidR="005F0528" w:rsidRPr="00FF69C4" w:rsidRDefault="00306832" w:rsidP="00306832">
      <w:pPr>
        <w:pStyle w:val="Body"/>
        <w:spacing w:line="360" w:lineRule="auto"/>
        <w:ind w:left="851" w:hanging="851"/>
        <w:jc w:val="both"/>
        <w:rPr>
          <w:bCs/>
          <w:sz w:val="24"/>
          <w:szCs w:val="24"/>
        </w:rPr>
      </w:pPr>
      <w:r w:rsidRPr="00FF69C4">
        <w:rPr>
          <w:bCs/>
          <w:sz w:val="24"/>
          <w:szCs w:val="24"/>
        </w:rPr>
        <w:t>25.</w:t>
      </w:r>
      <w:r w:rsidRPr="00FF69C4">
        <w:rPr>
          <w:bCs/>
          <w:sz w:val="24"/>
          <w:szCs w:val="24"/>
        </w:rPr>
        <w:tab/>
      </w:r>
      <w:r w:rsidR="005B3584">
        <w:rPr>
          <w:bCs/>
          <w:sz w:val="24"/>
          <w:szCs w:val="24"/>
        </w:rPr>
        <w:t>In the circumstances, I propose the following order:</w:t>
      </w:r>
    </w:p>
    <w:p w14:paraId="2407C53B" w14:textId="77777777" w:rsidR="005B3584" w:rsidRDefault="005B3584" w:rsidP="005B3584">
      <w:pPr>
        <w:pStyle w:val="ListParagraph"/>
        <w:rPr>
          <w:bCs/>
        </w:rPr>
      </w:pPr>
    </w:p>
    <w:p w14:paraId="196693DA" w14:textId="75B8BA8C" w:rsidR="005B3584" w:rsidRDefault="005B3584" w:rsidP="00385E64">
      <w:pPr>
        <w:pStyle w:val="Body"/>
        <w:spacing w:line="360" w:lineRule="auto"/>
        <w:ind w:left="1701" w:hanging="850"/>
        <w:jc w:val="both"/>
        <w:rPr>
          <w:bCs/>
          <w:sz w:val="24"/>
          <w:szCs w:val="24"/>
        </w:rPr>
      </w:pPr>
      <w:r>
        <w:rPr>
          <w:bCs/>
          <w:sz w:val="24"/>
          <w:szCs w:val="24"/>
        </w:rPr>
        <w:t>2</w:t>
      </w:r>
      <w:r w:rsidR="00385E64">
        <w:rPr>
          <w:bCs/>
          <w:sz w:val="24"/>
          <w:szCs w:val="24"/>
        </w:rPr>
        <w:t>5</w:t>
      </w:r>
      <w:r>
        <w:rPr>
          <w:bCs/>
          <w:sz w:val="24"/>
          <w:szCs w:val="24"/>
        </w:rPr>
        <w:t>.1</w:t>
      </w:r>
      <w:r>
        <w:rPr>
          <w:bCs/>
          <w:sz w:val="24"/>
          <w:szCs w:val="24"/>
        </w:rPr>
        <w:tab/>
        <w:t xml:space="preserve">The executor in the estate of the late </w:t>
      </w:r>
      <w:r w:rsidR="00486AD1">
        <w:rPr>
          <w:bCs/>
          <w:sz w:val="24"/>
          <w:szCs w:val="24"/>
        </w:rPr>
        <w:t>M</w:t>
      </w:r>
      <w:r w:rsidR="005713CC">
        <w:rPr>
          <w:bCs/>
          <w:sz w:val="24"/>
          <w:szCs w:val="24"/>
        </w:rPr>
        <w:t>[…]</w:t>
      </w:r>
      <w:r w:rsidR="00486AD1">
        <w:rPr>
          <w:bCs/>
          <w:sz w:val="24"/>
          <w:szCs w:val="24"/>
        </w:rPr>
        <w:t xml:space="preserve"> M</w:t>
      </w:r>
      <w:r w:rsidR="005713CC">
        <w:rPr>
          <w:bCs/>
          <w:sz w:val="24"/>
          <w:szCs w:val="24"/>
        </w:rPr>
        <w:t>[…]</w:t>
      </w:r>
      <w:bookmarkStart w:id="0" w:name="_GoBack"/>
      <w:bookmarkEnd w:id="0"/>
      <w:r>
        <w:rPr>
          <w:bCs/>
          <w:sz w:val="24"/>
          <w:szCs w:val="24"/>
        </w:rPr>
        <w:t xml:space="preserve"> is substituted as appellant.</w:t>
      </w:r>
    </w:p>
    <w:p w14:paraId="7DB17E5A" w14:textId="77777777" w:rsidR="00385E64" w:rsidRDefault="00385E64" w:rsidP="00385E64">
      <w:pPr>
        <w:pStyle w:val="Body"/>
        <w:spacing w:line="360" w:lineRule="auto"/>
        <w:ind w:left="1701" w:hanging="850"/>
        <w:jc w:val="both"/>
        <w:rPr>
          <w:bCs/>
          <w:sz w:val="24"/>
          <w:szCs w:val="24"/>
        </w:rPr>
      </w:pPr>
    </w:p>
    <w:p w14:paraId="043C9AB5" w14:textId="1D49308B" w:rsidR="005B3584" w:rsidRDefault="005B3584" w:rsidP="00385E64">
      <w:pPr>
        <w:pStyle w:val="Body"/>
        <w:spacing w:line="360" w:lineRule="auto"/>
        <w:ind w:left="1701" w:hanging="850"/>
        <w:jc w:val="both"/>
        <w:rPr>
          <w:bCs/>
          <w:sz w:val="24"/>
          <w:szCs w:val="24"/>
        </w:rPr>
      </w:pPr>
      <w:r>
        <w:rPr>
          <w:bCs/>
          <w:sz w:val="24"/>
          <w:szCs w:val="24"/>
        </w:rPr>
        <w:t>2</w:t>
      </w:r>
      <w:r w:rsidR="00385E64">
        <w:rPr>
          <w:bCs/>
          <w:sz w:val="24"/>
          <w:szCs w:val="24"/>
        </w:rPr>
        <w:t>5</w:t>
      </w:r>
      <w:r>
        <w:rPr>
          <w:bCs/>
          <w:sz w:val="24"/>
          <w:szCs w:val="24"/>
        </w:rPr>
        <w:t>.2</w:t>
      </w:r>
      <w:r>
        <w:rPr>
          <w:bCs/>
          <w:sz w:val="24"/>
          <w:szCs w:val="24"/>
        </w:rPr>
        <w:tab/>
        <w:t>The application for the reinstatement of the appeal is granted.</w:t>
      </w:r>
    </w:p>
    <w:p w14:paraId="1BD80310" w14:textId="77777777" w:rsidR="00385E64" w:rsidRDefault="00385E64" w:rsidP="00385E64">
      <w:pPr>
        <w:pStyle w:val="Body"/>
        <w:spacing w:line="360" w:lineRule="auto"/>
        <w:ind w:left="1701" w:hanging="850"/>
        <w:jc w:val="both"/>
        <w:rPr>
          <w:bCs/>
          <w:sz w:val="24"/>
          <w:szCs w:val="24"/>
        </w:rPr>
      </w:pPr>
    </w:p>
    <w:p w14:paraId="7940A046" w14:textId="1689CB92" w:rsidR="005B3584" w:rsidRDefault="005B3584" w:rsidP="00385E64">
      <w:pPr>
        <w:pStyle w:val="Body"/>
        <w:spacing w:line="360" w:lineRule="auto"/>
        <w:ind w:left="1701" w:hanging="850"/>
        <w:jc w:val="both"/>
        <w:rPr>
          <w:bCs/>
          <w:sz w:val="24"/>
          <w:szCs w:val="24"/>
        </w:rPr>
      </w:pPr>
      <w:r>
        <w:rPr>
          <w:bCs/>
          <w:sz w:val="24"/>
          <w:szCs w:val="24"/>
        </w:rPr>
        <w:t>2</w:t>
      </w:r>
      <w:r w:rsidR="00385E64">
        <w:rPr>
          <w:bCs/>
          <w:sz w:val="24"/>
          <w:szCs w:val="24"/>
        </w:rPr>
        <w:t>5</w:t>
      </w:r>
      <w:r>
        <w:rPr>
          <w:bCs/>
          <w:sz w:val="24"/>
          <w:szCs w:val="24"/>
        </w:rPr>
        <w:t>.3</w:t>
      </w:r>
      <w:r>
        <w:rPr>
          <w:bCs/>
          <w:sz w:val="24"/>
          <w:szCs w:val="24"/>
        </w:rPr>
        <w:tab/>
        <w:t>The appeal is dismissed with costs.</w:t>
      </w:r>
    </w:p>
    <w:p w14:paraId="4BDD9273" w14:textId="72280499" w:rsidR="00F0614B" w:rsidRDefault="00F0614B" w:rsidP="005F0528">
      <w:pPr>
        <w:pStyle w:val="Body"/>
        <w:rPr>
          <w:rFonts w:cs="Arial"/>
          <w:b/>
          <w:bCs/>
          <w:sz w:val="24"/>
          <w:szCs w:val="24"/>
        </w:rPr>
      </w:pPr>
    </w:p>
    <w:p w14:paraId="04455BA5" w14:textId="77777777" w:rsidR="00FF69C4" w:rsidRDefault="00FF69C4" w:rsidP="005F0528">
      <w:pPr>
        <w:pStyle w:val="Body"/>
        <w:rPr>
          <w:rFonts w:cs="Arial"/>
          <w:b/>
          <w:bCs/>
          <w:sz w:val="24"/>
          <w:szCs w:val="24"/>
        </w:rPr>
      </w:pPr>
    </w:p>
    <w:p w14:paraId="2B4F78EA" w14:textId="22BD1BBB" w:rsidR="001D6C62" w:rsidRPr="00DB4BAE" w:rsidRDefault="00101D88" w:rsidP="00A50C50">
      <w:pPr>
        <w:pStyle w:val="Body"/>
        <w:ind w:left="720"/>
        <w:jc w:val="right"/>
        <w:rPr>
          <w:rFonts w:cs="Arial"/>
          <w:sz w:val="24"/>
          <w:szCs w:val="24"/>
        </w:rPr>
      </w:pPr>
      <w:r w:rsidRPr="00DB4BAE">
        <w:rPr>
          <w:rFonts w:cs="Arial"/>
          <w:b/>
          <w:bCs/>
          <w:sz w:val="24"/>
          <w:szCs w:val="24"/>
        </w:rPr>
        <w:t>_____________________________</w:t>
      </w:r>
    </w:p>
    <w:p w14:paraId="22DE7F08" w14:textId="77777777" w:rsidR="00101D88" w:rsidRPr="00DB4BAE" w:rsidRDefault="00101D88" w:rsidP="00995B3F">
      <w:pPr>
        <w:pStyle w:val="BodyA"/>
        <w:ind w:left="7920"/>
        <w:jc w:val="right"/>
        <w:rPr>
          <w:rFonts w:ascii="Arial" w:hAnsi="Arial" w:cs="Arial"/>
          <w:b/>
          <w:bCs/>
          <w:sz w:val="24"/>
          <w:szCs w:val="24"/>
        </w:rPr>
      </w:pPr>
      <w:r w:rsidRPr="00DB4BAE">
        <w:rPr>
          <w:rFonts w:ascii="Arial" w:hAnsi="Arial" w:cs="Arial"/>
          <w:b/>
          <w:bCs/>
          <w:sz w:val="24"/>
          <w:szCs w:val="24"/>
        </w:rPr>
        <w:t>A MILLAR</w:t>
      </w:r>
    </w:p>
    <w:p w14:paraId="4CBC0E1A" w14:textId="77777777" w:rsidR="00101D88" w:rsidRPr="00DB4BAE" w:rsidRDefault="00101D88" w:rsidP="00995B3F">
      <w:pPr>
        <w:pStyle w:val="BodyA"/>
        <w:spacing w:before="120"/>
        <w:ind w:left="720"/>
        <w:jc w:val="right"/>
        <w:rPr>
          <w:rFonts w:ascii="Arial" w:hAnsi="Arial" w:cs="Arial"/>
          <w:b/>
          <w:bCs/>
          <w:sz w:val="24"/>
          <w:szCs w:val="24"/>
        </w:rPr>
      </w:pPr>
      <w:r w:rsidRPr="00DB4BAE">
        <w:rPr>
          <w:rFonts w:ascii="Arial" w:hAnsi="Arial" w:cs="Arial"/>
          <w:b/>
          <w:bCs/>
          <w:sz w:val="24"/>
          <w:szCs w:val="24"/>
        </w:rPr>
        <w:t xml:space="preserve"> JUDGE OF THE HIGH COURT</w:t>
      </w:r>
    </w:p>
    <w:p w14:paraId="6575DE20" w14:textId="77777777" w:rsidR="00416EA1" w:rsidRPr="00DB4BAE" w:rsidRDefault="00416EA1" w:rsidP="00995B3F">
      <w:pPr>
        <w:spacing w:before="120"/>
        <w:ind w:left="720"/>
        <w:jc w:val="right"/>
        <w:rPr>
          <w:rFonts w:ascii="Arial" w:eastAsia="Arial Unicode MS" w:hAnsi="Arial" w:cs="Arial"/>
          <w:b/>
        </w:rPr>
      </w:pPr>
      <w:r w:rsidRPr="00DB4BAE">
        <w:rPr>
          <w:rFonts w:ascii="Arial" w:eastAsia="Arial Unicode MS" w:hAnsi="Arial" w:cs="Arial"/>
          <w:b/>
        </w:rPr>
        <w:t>GAUTENG DIVISION, PRETORIA</w:t>
      </w:r>
    </w:p>
    <w:p w14:paraId="75D753EE" w14:textId="77777777" w:rsidR="00416EA1" w:rsidRPr="00077E92" w:rsidRDefault="00416EA1" w:rsidP="0008693D">
      <w:pPr>
        <w:pStyle w:val="BodyA"/>
        <w:ind w:left="720"/>
        <w:jc w:val="right"/>
        <w:rPr>
          <w:rFonts w:ascii="Arial" w:eastAsia="Tahoma" w:hAnsi="Arial" w:cs="Arial"/>
          <w:b/>
          <w:bCs/>
        </w:rPr>
      </w:pPr>
    </w:p>
    <w:p w14:paraId="494EE907" w14:textId="77777777" w:rsidR="00F0614B" w:rsidRDefault="00F0614B" w:rsidP="00385391">
      <w:pPr>
        <w:spacing w:line="480" w:lineRule="auto"/>
        <w:ind w:left="567" w:hanging="567"/>
        <w:jc w:val="both"/>
        <w:rPr>
          <w:rFonts w:ascii="Arial" w:hAnsi="Arial" w:cs="Arial"/>
        </w:rPr>
      </w:pPr>
    </w:p>
    <w:p w14:paraId="52EFF51A" w14:textId="77777777" w:rsidR="00FF69C4" w:rsidRDefault="00FF69C4" w:rsidP="00385391">
      <w:pPr>
        <w:spacing w:line="480" w:lineRule="auto"/>
        <w:ind w:left="567" w:hanging="567"/>
        <w:jc w:val="both"/>
        <w:rPr>
          <w:rFonts w:ascii="Arial" w:hAnsi="Arial" w:cs="Arial"/>
          <w:b/>
          <w:bCs/>
        </w:rPr>
      </w:pPr>
    </w:p>
    <w:p w14:paraId="2A39FE43" w14:textId="4EA60A8F" w:rsidR="00F0614B" w:rsidRDefault="00F0614B" w:rsidP="00385391">
      <w:pPr>
        <w:spacing w:line="480" w:lineRule="auto"/>
        <w:ind w:left="567" w:hanging="567"/>
        <w:jc w:val="both"/>
        <w:rPr>
          <w:rFonts w:ascii="Arial" w:hAnsi="Arial" w:cs="Arial"/>
          <w:b/>
          <w:bCs/>
        </w:rPr>
      </w:pPr>
      <w:r w:rsidRPr="00F0614B">
        <w:rPr>
          <w:rFonts w:ascii="Arial" w:hAnsi="Arial" w:cs="Arial"/>
          <w:b/>
          <w:bCs/>
        </w:rPr>
        <w:t>I AGREE AND IT IS SO ORDERED</w:t>
      </w:r>
    </w:p>
    <w:p w14:paraId="1603BE2A" w14:textId="4CB235EC" w:rsidR="00FF69C4" w:rsidRDefault="00FF69C4" w:rsidP="00385391">
      <w:pPr>
        <w:spacing w:line="480" w:lineRule="auto"/>
        <w:ind w:left="567" w:hanging="567"/>
        <w:jc w:val="both"/>
        <w:rPr>
          <w:rFonts w:ascii="Arial" w:hAnsi="Arial" w:cs="Arial"/>
          <w:b/>
          <w:bCs/>
        </w:rPr>
      </w:pPr>
    </w:p>
    <w:p w14:paraId="6BCB8C47" w14:textId="77777777" w:rsidR="00FF69C4" w:rsidRPr="00F0614B" w:rsidRDefault="00FF69C4" w:rsidP="00385391">
      <w:pPr>
        <w:spacing w:line="480" w:lineRule="auto"/>
        <w:ind w:left="567" w:hanging="567"/>
        <w:jc w:val="both"/>
        <w:rPr>
          <w:rFonts w:ascii="Arial" w:hAnsi="Arial" w:cs="Arial"/>
          <w:b/>
          <w:bCs/>
        </w:rPr>
      </w:pPr>
    </w:p>
    <w:p w14:paraId="63E2D3B9" w14:textId="21533F84" w:rsidR="00F0614B" w:rsidRPr="00DB4BAE" w:rsidRDefault="00F0614B" w:rsidP="00F0614B">
      <w:pPr>
        <w:pStyle w:val="Body"/>
        <w:ind w:left="720"/>
        <w:jc w:val="right"/>
        <w:rPr>
          <w:rFonts w:cs="Arial"/>
          <w:sz w:val="24"/>
          <w:szCs w:val="24"/>
        </w:rPr>
      </w:pPr>
      <w:r>
        <w:rPr>
          <w:rFonts w:cs="Arial"/>
        </w:rPr>
        <w:tab/>
      </w:r>
      <w:r>
        <w:rPr>
          <w:rFonts w:cs="Arial"/>
        </w:rPr>
        <w:tab/>
      </w:r>
      <w:r>
        <w:rPr>
          <w:rFonts w:cs="Arial"/>
        </w:rPr>
        <w:tab/>
      </w:r>
      <w:r>
        <w:rPr>
          <w:rFonts w:cs="Arial"/>
        </w:rPr>
        <w:tab/>
      </w:r>
      <w:r>
        <w:rPr>
          <w:rFonts w:cs="Arial"/>
        </w:rPr>
        <w:tab/>
      </w:r>
      <w:r>
        <w:rPr>
          <w:rFonts w:cs="Arial"/>
        </w:rPr>
        <w:tab/>
      </w:r>
      <w:r w:rsidRPr="00DB4BAE">
        <w:rPr>
          <w:rFonts w:cs="Arial"/>
          <w:b/>
          <w:bCs/>
          <w:sz w:val="24"/>
          <w:szCs w:val="24"/>
        </w:rPr>
        <w:t>_____________________________</w:t>
      </w:r>
    </w:p>
    <w:p w14:paraId="0FE15E51" w14:textId="1CEF4913" w:rsidR="00F0614B" w:rsidRPr="00DB4BAE" w:rsidRDefault="00FF69C4" w:rsidP="00FF69C4">
      <w:pPr>
        <w:pStyle w:val="BodyA"/>
        <w:ind w:left="6480" w:firstLine="720"/>
        <w:rPr>
          <w:rFonts w:ascii="Arial" w:hAnsi="Arial" w:cs="Arial"/>
          <w:b/>
          <w:bCs/>
          <w:sz w:val="24"/>
          <w:szCs w:val="24"/>
        </w:rPr>
      </w:pPr>
      <w:r>
        <w:rPr>
          <w:rFonts w:ascii="Arial" w:hAnsi="Arial" w:cs="Arial"/>
          <w:b/>
          <w:bCs/>
          <w:sz w:val="24"/>
          <w:szCs w:val="24"/>
        </w:rPr>
        <w:t xml:space="preserve">        E </w:t>
      </w:r>
      <w:r w:rsidR="00F0614B">
        <w:rPr>
          <w:rFonts w:ascii="Arial" w:hAnsi="Arial" w:cs="Arial"/>
          <w:b/>
          <w:bCs/>
          <w:sz w:val="24"/>
          <w:szCs w:val="24"/>
        </w:rPr>
        <w:t>M KUBUSHI</w:t>
      </w:r>
    </w:p>
    <w:p w14:paraId="53EBF170" w14:textId="77777777" w:rsidR="00F0614B" w:rsidRPr="00DB4BAE" w:rsidRDefault="00F0614B" w:rsidP="00F0614B">
      <w:pPr>
        <w:pStyle w:val="BodyA"/>
        <w:spacing w:before="120"/>
        <w:ind w:left="720"/>
        <w:jc w:val="right"/>
        <w:rPr>
          <w:rFonts w:ascii="Arial" w:hAnsi="Arial" w:cs="Arial"/>
          <w:b/>
          <w:bCs/>
          <w:sz w:val="24"/>
          <w:szCs w:val="24"/>
        </w:rPr>
      </w:pPr>
      <w:r w:rsidRPr="00DB4BAE">
        <w:rPr>
          <w:rFonts w:ascii="Arial" w:hAnsi="Arial" w:cs="Arial"/>
          <w:b/>
          <w:bCs/>
          <w:sz w:val="24"/>
          <w:szCs w:val="24"/>
        </w:rPr>
        <w:t xml:space="preserve"> JUDGE OF THE HIGH COURT</w:t>
      </w:r>
    </w:p>
    <w:p w14:paraId="1D9A2F61" w14:textId="77777777" w:rsidR="00F0614B" w:rsidRPr="00DB4BAE" w:rsidRDefault="00F0614B" w:rsidP="00F0614B">
      <w:pPr>
        <w:spacing w:before="120"/>
        <w:ind w:left="720"/>
        <w:jc w:val="right"/>
        <w:rPr>
          <w:rFonts w:ascii="Arial" w:eastAsia="Arial Unicode MS" w:hAnsi="Arial" w:cs="Arial"/>
          <w:b/>
        </w:rPr>
      </w:pPr>
      <w:r w:rsidRPr="00DB4BAE">
        <w:rPr>
          <w:rFonts w:ascii="Arial" w:eastAsia="Arial Unicode MS" w:hAnsi="Arial" w:cs="Arial"/>
          <w:b/>
        </w:rPr>
        <w:t>GAUTENG DIVISION, PRETORIA</w:t>
      </w:r>
    </w:p>
    <w:p w14:paraId="4E660354" w14:textId="0ABD5474" w:rsidR="00F0614B" w:rsidRDefault="00F0614B" w:rsidP="00385E64">
      <w:pPr>
        <w:spacing w:line="480" w:lineRule="auto"/>
        <w:ind w:left="567" w:hanging="567"/>
        <w:jc w:val="both"/>
        <w:rPr>
          <w:rFonts w:ascii="Arial" w:hAnsi="Arial" w:cs="Arial"/>
        </w:rPr>
      </w:pPr>
      <w:r>
        <w:rPr>
          <w:rFonts w:ascii="Arial" w:hAnsi="Arial" w:cs="Arial"/>
        </w:rPr>
        <w:tab/>
      </w:r>
      <w:r>
        <w:rPr>
          <w:rFonts w:ascii="Arial" w:hAnsi="Arial" w:cs="Arial"/>
        </w:rPr>
        <w:tab/>
      </w:r>
    </w:p>
    <w:p w14:paraId="2B28C5CE" w14:textId="77777777" w:rsidR="005F0528" w:rsidRDefault="005F0528" w:rsidP="00385391">
      <w:pPr>
        <w:spacing w:line="480" w:lineRule="auto"/>
        <w:ind w:left="567" w:hanging="567"/>
        <w:jc w:val="both"/>
        <w:rPr>
          <w:rFonts w:ascii="Arial" w:hAnsi="Arial" w:cs="Arial"/>
        </w:rPr>
      </w:pPr>
    </w:p>
    <w:p w14:paraId="1C736608" w14:textId="6EF79555" w:rsidR="002040D5" w:rsidRPr="00DC2897" w:rsidRDefault="00412E0C" w:rsidP="00385391">
      <w:pPr>
        <w:spacing w:line="480" w:lineRule="auto"/>
        <w:ind w:left="567" w:hanging="567"/>
        <w:jc w:val="both"/>
        <w:rPr>
          <w:rFonts w:ascii="Arial" w:hAnsi="Arial" w:cs="Arial"/>
        </w:rPr>
      </w:pPr>
      <w:r w:rsidRPr="00DC2897">
        <w:rPr>
          <w:rFonts w:ascii="Arial" w:hAnsi="Arial" w:cs="Arial"/>
        </w:rPr>
        <w:t>HEARD ON:</w:t>
      </w:r>
      <w:r w:rsidRPr="00DC2897">
        <w:rPr>
          <w:rFonts w:ascii="Arial" w:hAnsi="Arial" w:cs="Arial"/>
        </w:rPr>
        <w:tab/>
      </w:r>
      <w:r w:rsidRPr="00DC2897">
        <w:rPr>
          <w:rFonts w:ascii="Arial" w:hAnsi="Arial" w:cs="Arial"/>
        </w:rPr>
        <w:tab/>
      </w:r>
      <w:r w:rsidRPr="00DC2897">
        <w:rPr>
          <w:rFonts w:ascii="Arial" w:hAnsi="Arial" w:cs="Arial"/>
        </w:rPr>
        <w:tab/>
      </w:r>
      <w:r w:rsidR="008D34A8" w:rsidRPr="00DC2897">
        <w:rPr>
          <w:rFonts w:ascii="Arial" w:hAnsi="Arial" w:cs="Arial"/>
        </w:rPr>
        <w:tab/>
      </w:r>
      <w:r w:rsidR="008D34A8" w:rsidRPr="00DC2897">
        <w:rPr>
          <w:rFonts w:ascii="Arial" w:hAnsi="Arial" w:cs="Arial"/>
        </w:rPr>
        <w:tab/>
      </w:r>
      <w:r w:rsidR="0027008F" w:rsidRPr="00DC2897">
        <w:rPr>
          <w:rFonts w:ascii="Arial" w:hAnsi="Arial" w:cs="Arial"/>
        </w:rPr>
        <w:tab/>
      </w:r>
      <w:r w:rsidR="00F0614B">
        <w:rPr>
          <w:rFonts w:ascii="Arial" w:hAnsi="Arial" w:cs="Arial"/>
        </w:rPr>
        <w:t>25 OCTOBER</w:t>
      </w:r>
      <w:r w:rsidR="00E7487B" w:rsidRPr="00DC2897">
        <w:rPr>
          <w:rFonts w:ascii="Arial" w:hAnsi="Arial" w:cs="Arial"/>
        </w:rPr>
        <w:t xml:space="preserve"> 2022</w:t>
      </w:r>
    </w:p>
    <w:p w14:paraId="221B4671" w14:textId="5DC410AD" w:rsidR="00E3432B" w:rsidRDefault="006630FB" w:rsidP="00385E64">
      <w:pPr>
        <w:spacing w:line="480" w:lineRule="auto"/>
        <w:ind w:left="567" w:hanging="567"/>
        <w:jc w:val="both"/>
        <w:rPr>
          <w:rFonts w:ascii="Arial" w:hAnsi="Arial" w:cs="Arial"/>
        </w:rPr>
      </w:pPr>
      <w:r w:rsidRPr="00DC2897">
        <w:rPr>
          <w:rFonts w:ascii="Arial" w:hAnsi="Arial" w:cs="Arial"/>
        </w:rPr>
        <w:t>J</w:t>
      </w:r>
      <w:r w:rsidR="008D34A8" w:rsidRPr="00DC2897">
        <w:rPr>
          <w:rFonts w:ascii="Arial" w:hAnsi="Arial" w:cs="Arial"/>
        </w:rPr>
        <w:t>UDGMENT DELIVERED ON:</w:t>
      </w:r>
      <w:r w:rsidR="008D34A8" w:rsidRPr="00DC2897">
        <w:rPr>
          <w:rFonts w:ascii="Arial" w:hAnsi="Arial" w:cs="Arial"/>
        </w:rPr>
        <w:tab/>
      </w:r>
      <w:r w:rsidR="008D34A8" w:rsidRPr="00DC2897">
        <w:rPr>
          <w:rFonts w:ascii="Arial" w:hAnsi="Arial" w:cs="Arial"/>
        </w:rPr>
        <w:tab/>
      </w:r>
      <w:r w:rsidR="0027008F" w:rsidRPr="00DC2897">
        <w:rPr>
          <w:rFonts w:ascii="Arial" w:hAnsi="Arial" w:cs="Arial"/>
        </w:rPr>
        <w:tab/>
      </w:r>
      <w:r w:rsidR="00486AD1">
        <w:rPr>
          <w:rFonts w:ascii="Arial" w:hAnsi="Arial" w:cs="Arial"/>
        </w:rPr>
        <w:t>26</w:t>
      </w:r>
      <w:r w:rsidR="003E4DBA">
        <w:rPr>
          <w:rFonts w:ascii="Arial" w:hAnsi="Arial" w:cs="Arial"/>
        </w:rPr>
        <w:t xml:space="preserve"> </w:t>
      </w:r>
      <w:r w:rsidR="00C737CE" w:rsidRPr="00DC2897">
        <w:rPr>
          <w:rFonts w:ascii="Arial" w:hAnsi="Arial" w:cs="Arial"/>
        </w:rPr>
        <w:t xml:space="preserve">OCTOBER </w:t>
      </w:r>
      <w:r w:rsidR="00341E97" w:rsidRPr="00DC2897">
        <w:rPr>
          <w:rFonts w:ascii="Arial" w:hAnsi="Arial" w:cs="Arial"/>
        </w:rPr>
        <w:t xml:space="preserve"> 2022</w:t>
      </w:r>
    </w:p>
    <w:p w14:paraId="45C0A66C" w14:textId="77777777" w:rsidR="00385E64" w:rsidRPr="00DC2897" w:rsidRDefault="00385E64" w:rsidP="00385E64">
      <w:pPr>
        <w:spacing w:line="480" w:lineRule="auto"/>
        <w:ind w:left="567" w:hanging="567"/>
        <w:jc w:val="both"/>
        <w:rPr>
          <w:rFonts w:ascii="Arial" w:hAnsi="Arial" w:cs="Arial"/>
        </w:rPr>
      </w:pPr>
    </w:p>
    <w:p w14:paraId="0B6A0ECF" w14:textId="24555F1F" w:rsidR="00805BF1" w:rsidRPr="00DC2897" w:rsidRDefault="006630FB" w:rsidP="006630FB">
      <w:pPr>
        <w:spacing w:line="480" w:lineRule="auto"/>
        <w:ind w:left="567" w:hanging="567"/>
        <w:jc w:val="both"/>
        <w:rPr>
          <w:rFonts w:ascii="Arial" w:hAnsi="Arial" w:cs="Arial"/>
        </w:rPr>
      </w:pPr>
      <w:r w:rsidRPr="00DC2897">
        <w:rPr>
          <w:rFonts w:ascii="Arial" w:hAnsi="Arial" w:cs="Arial"/>
        </w:rPr>
        <w:t>COUNSEL</w:t>
      </w:r>
      <w:r w:rsidR="000E6633" w:rsidRPr="00DC2897">
        <w:rPr>
          <w:rFonts w:ascii="Arial" w:hAnsi="Arial" w:cs="Arial"/>
        </w:rPr>
        <w:t xml:space="preserve"> FOR THE </w:t>
      </w:r>
      <w:r w:rsidR="000218AC" w:rsidRPr="00DC2897">
        <w:rPr>
          <w:rFonts w:ascii="Arial" w:hAnsi="Arial" w:cs="Arial"/>
        </w:rPr>
        <w:t>APP</w:t>
      </w:r>
      <w:r w:rsidR="00F0614B">
        <w:rPr>
          <w:rFonts w:ascii="Arial" w:hAnsi="Arial" w:cs="Arial"/>
        </w:rPr>
        <w:t>ELLANT</w:t>
      </w:r>
      <w:r w:rsidR="00412E0C" w:rsidRPr="00DC2897">
        <w:rPr>
          <w:rFonts w:ascii="Arial" w:hAnsi="Arial" w:cs="Arial"/>
        </w:rPr>
        <w:t>:</w:t>
      </w:r>
      <w:r w:rsidR="00242E76" w:rsidRPr="00DC2897">
        <w:rPr>
          <w:rFonts w:ascii="Arial" w:hAnsi="Arial" w:cs="Arial"/>
        </w:rPr>
        <w:tab/>
      </w:r>
      <w:r w:rsidR="00D77C76" w:rsidRPr="00DC2897">
        <w:rPr>
          <w:rFonts w:ascii="Arial" w:hAnsi="Arial" w:cs="Arial"/>
        </w:rPr>
        <w:tab/>
      </w:r>
      <w:r w:rsidR="00DC2897" w:rsidRPr="00DC2897">
        <w:rPr>
          <w:rFonts w:ascii="Arial" w:hAnsi="Arial" w:cs="Arial"/>
        </w:rPr>
        <w:t xml:space="preserve">ADV. </w:t>
      </w:r>
      <w:r w:rsidR="00F0614B">
        <w:rPr>
          <w:rFonts w:ascii="Arial" w:hAnsi="Arial" w:cs="Arial"/>
        </w:rPr>
        <w:t>K SHOLE</w:t>
      </w:r>
      <w:r w:rsidR="00DC2897" w:rsidRPr="00DC2897">
        <w:rPr>
          <w:rFonts w:ascii="Arial" w:hAnsi="Arial" w:cs="Arial"/>
        </w:rPr>
        <w:t xml:space="preserve"> </w:t>
      </w:r>
    </w:p>
    <w:p w14:paraId="0F02C02A" w14:textId="0B207E54" w:rsidR="00805BF1" w:rsidRPr="00DC2897" w:rsidRDefault="00DC2897" w:rsidP="00805BF1">
      <w:pPr>
        <w:spacing w:line="480" w:lineRule="auto"/>
        <w:ind w:left="567" w:hanging="567"/>
        <w:jc w:val="both"/>
        <w:rPr>
          <w:rFonts w:ascii="Arial" w:hAnsi="Arial" w:cs="Arial"/>
        </w:rPr>
      </w:pPr>
      <w:r w:rsidRPr="00DC2897">
        <w:rPr>
          <w:rFonts w:ascii="Arial" w:hAnsi="Arial" w:cs="Arial"/>
        </w:rPr>
        <w:t>INSTRUCTED BY:</w:t>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00F0614B">
        <w:rPr>
          <w:rFonts w:ascii="Arial" w:hAnsi="Arial" w:cs="Arial"/>
        </w:rPr>
        <w:t>TH NDOU ATTORNEYS</w:t>
      </w:r>
    </w:p>
    <w:p w14:paraId="7792CF71" w14:textId="7401FBA9" w:rsidR="00805BF1" w:rsidRPr="00DC2897" w:rsidRDefault="00DC2897" w:rsidP="009A1938">
      <w:pPr>
        <w:spacing w:line="480" w:lineRule="auto"/>
        <w:jc w:val="both"/>
        <w:rPr>
          <w:rFonts w:ascii="Arial" w:hAnsi="Arial" w:cs="Arial"/>
        </w:rPr>
      </w:pPr>
      <w:r w:rsidRPr="00DC2897">
        <w:rPr>
          <w:rFonts w:ascii="Arial" w:hAnsi="Arial" w:cs="Arial"/>
        </w:rPr>
        <w:t>REFERENCE:</w:t>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00486AD1">
        <w:rPr>
          <w:rFonts w:ascii="Arial" w:hAnsi="Arial" w:cs="Arial"/>
        </w:rPr>
        <w:t>MR. H NDOU</w:t>
      </w:r>
    </w:p>
    <w:p w14:paraId="53C1AF5C" w14:textId="122D29C1" w:rsidR="006630FB" w:rsidRPr="00F0614B" w:rsidRDefault="002A6A3F" w:rsidP="00FF69C4">
      <w:pPr>
        <w:spacing w:line="480" w:lineRule="auto"/>
        <w:jc w:val="both"/>
        <w:rPr>
          <w:rFonts w:ascii="Arial" w:hAnsi="Arial" w:cs="Arial"/>
        </w:rPr>
      </w:pPr>
      <w:r w:rsidRPr="00F0614B">
        <w:rPr>
          <w:rFonts w:ascii="Arial" w:hAnsi="Arial" w:cs="Arial"/>
        </w:rPr>
        <w:t xml:space="preserve">COUNSEL FOR </w:t>
      </w:r>
      <w:r w:rsidR="00F0614B" w:rsidRPr="00F0614B">
        <w:rPr>
          <w:rFonts w:ascii="Arial" w:hAnsi="Arial" w:cs="Arial"/>
        </w:rPr>
        <w:t>THE RESPONDENT</w:t>
      </w:r>
      <w:r w:rsidR="006630FB" w:rsidRPr="00F0614B">
        <w:rPr>
          <w:rFonts w:ascii="Arial" w:hAnsi="Arial" w:cs="Arial"/>
        </w:rPr>
        <w:t>:</w:t>
      </w:r>
      <w:r w:rsidR="000E07B1" w:rsidRPr="00F0614B">
        <w:rPr>
          <w:rFonts w:ascii="Arial" w:hAnsi="Arial" w:cs="Arial"/>
        </w:rPr>
        <w:tab/>
      </w:r>
      <w:r w:rsidR="00F0614B" w:rsidRPr="00F0614B">
        <w:rPr>
          <w:rFonts w:ascii="Arial" w:hAnsi="Arial" w:cs="Arial"/>
        </w:rPr>
        <w:tab/>
      </w:r>
      <w:r w:rsidR="009A1938" w:rsidRPr="00F0614B">
        <w:rPr>
          <w:rFonts w:ascii="Arial" w:hAnsi="Arial" w:cs="Arial"/>
        </w:rPr>
        <w:t xml:space="preserve">ADV. </w:t>
      </w:r>
      <w:r w:rsidR="00F0614B" w:rsidRPr="00F0614B">
        <w:rPr>
          <w:rFonts w:ascii="Arial" w:hAnsi="Arial" w:cs="Arial"/>
        </w:rPr>
        <w:t>M RAKGOALE</w:t>
      </w:r>
      <w:r w:rsidR="00805BF1" w:rsidRPr="00F0614B">
        <w:rPr>
          <w:rFonts w:ascii="Arial" w:hAnsi="Arial" w:cs="Arial"/>
        </w:rPr>
        <w:t xml:space="preserve"> </w:t>
      </w:r>
    </w:p>
    <w:p w14:paraId="48713164" w14:textId="5B1132DF" w:rsidR="008465D6" w:rsidRPr="00F0614B" w:rsidRDefault="006630FB" w:rsidP="00F0614B">
      <w:pPr>
        <w:pStyle w:val="NoSpacing"/>
        <w:ind w:right="-630"/>
        <w:rPr>
          <w:rFonts w:ascii="Arial" w:hAnsi="Arial" w:cs="Arial"/>
        </w:rPr>
      </w:pPr>
      <w:r w:rsidRPr="00F0614B">
        <w:rPr>
          <w:rFonts w:ascii="Arial" w:hAnsi="Arial" w:cs="Arial"/>
        </w:rPr>
        <w:t>INSTRUCTED BY:</w:t>
      </w:r>
      <w:r w:rsidRPr="00F0614B">
        <w:rPr>
          <w:rFonts w:ascii="Arial" w:hAnsi="Arial" w:cs="Arial"/>
        </w:rPr>
        <w:tab/>
      </w:r>
      <w:r w:rsidRPr="00F0614B">
        <w:rPr>
          <w:rFonts w:ascii="Arial" w:hAnsi="Arial" w:cs="Arial"/>
        </w:rPr>
        <w:tab/>
      </w:r>
      <w:r w:rsidRPr="00F0614B">
        <w:rPr>
          <w:rFonts w:ascii="Arial" w:hAnsi="Arial" w:cs="Arial"/>
        </w:rPr>
        <w:tab/>
      </w:r>
      <w:r w:rsidRPr="00F0614B">
        <w:rPr>
          <w:rFonts w:ascii="Arial" w:hAnsi="Arial" w:cs="Arial"/>
        </w:rPr>
        <w:tab/>
      </w:r>
      <w:r w:rsidR="00D77C76" w:rsidRPr="00F0614B">
        <w:rPr>
          <w:rFonts w:ascii="Arial" w:hAnsi="Arial" w:cs="Arial"/>
        </w:rPr>
        <w:tab/>
      </w:r>
      <w:r w:rsidR="00F0614B" w:rsidRPr="00F0614B">
        <w:rPr>
          <w:rFonts w:ascii="Arial" w:hAnsi="Arial" w:cs="Arial"/>
        </w:rPr>
        <w:t>MATHABATHA LEKOLOANE ATTORNEYS</w:t>
      </w:r>
    </w:p>
    <w:p w14:paraId="0D92ED27" w14:textId="77777777" w:rsidR="00FF69C4" w:rsidRDefault="00FF69C4" w:rsidP="00FF69C4">
      <w:pPr>
        <w:spacing w:line="480" w:lineRule="auto"/>
        <w:jc w:val="both"/>
        <w:rPr>
          <w:rFonts w:ascii="Arial" w:hAnsi="Arial" w:cs="Arial"/>
        </w:rPr>
      </w:pPr>
    </w:p>
    <w:p w14:paraId="0F81FAC1" w14:textId="1461F8D0" w:rsidR="00FE7C5E" w:rsidRPr="00385E64" w:rsidRDefault="000E6633" w:rsidP="00FF69C4">
      <w:pPr>
        <w:spacing w:line="480" w:lineRule="auto"/>
        <w:jc w:val="both"/>
        <w:rPr>
          <w:rFonts w:ascii="Arial" w:hAnsi="Arial" w:cs="Arial"/>
        </w:rPr>
      </w:pPr>
      <w:r w:rsidRPr="00F0614B">
        <w:rPr>
          <w:rFonts w:ascii="Arial" w:hAnsi="Arial" w:cs="Arial"/>
        </w:rPr>
        <w:t>REFERENCE:</w:t>
      </w:r>
      <w:r w:rsidRPr="00F0614B">
        <w:rPr>
          <w:rFonts w:ascii="Arial" w:hAnsi="Arial" w:cs="Arial"/>
        </w:rPr>
        <w:tab/>
      </w:r>
      <w:r w:rsidRPr="00F0614B">
        <w:rPr>
          <w:rFonts w:ascii="Arial" w:hAnsi="Arial" w:cs="Arial"/>
        </w:rPr>
        <w:tab/>
      </w:r>
      <w:r w:rsidRPr="00F0614B">
        <w:rPr>
          <w:rFonts w:ascii="Arial" w:hAnsi="Arial" w:cs="Arial"/>
        </w:rPr>
        <w:tab/>
      </w:r>
      <w:r w:rsidRPr="00F0614B">
        <w:rPr>
          <w:rFonts w:ascii="Arial" w:hAnsi="Arial" w:cs="Arial"/>
        </w:rPr>
        <w:tab/>
      </w:r>
      <w:r w:rsidR="00242E76" w:rsidRPr="00F0614B">
        <w:rPr>
          <w:rFonts w:ascii="Arial" w:hAnsi="Arial" w:cs="Arial"/>
        </w:rPr>
        <w:tab/>
      </w:r>
      <w:r w:rsidR="00486AD1">
        <w:rPr>
          <w:rFonts w:ascii="Arial" w:hAnsi="Arial" w:cs="Arial"/>
        </w:rPr>
        <w:t>MR. L MATHABATHA</w:t>
      </w:r>
      <w:r w:rsidR="00D77C76" w:rsidRPr="00F0614B">
        <w:rPr>
          <w:rFonts w:ascii="Arial" w:hAnsi="Arial" w:cs="Arial"/>
        </w:rPr>
        <w:tab/>
      </w:r>
      <w:r w:rsidR="00E7487B" w:rsidRPr="00242E76">
        <w:rPr>
          <w:rFonts w:ascii="Arial" w:hAnsi="Arial" w:cs="Arial"/>
          <w:sz w:val="22"/>
          <w:szCs w:val="22"/>
        </w:rPr>
        <w:tab/>
      </w:r>
      <w:r w:rsidR="00E7487B" w:rsidRPr="00242E76">
        <w:rPr>
          <w:rFonts w:ascii="Arial" w:hAnsi="Arial" w:cs="Arial"/>
          <w:sz w:val="22"/>
          <w:szCs w:val="22"/>
        </w:rPr>
        <w:tab/>
      </w:r>
      <w:r w:rsidR="00E7487B" w:rsidRPr="00242E76">
        <w:rPr>
          <w:rFonts w:ascii="Arial" w:hAnsi="Arial" w:cs="Arial"/>
          <w:sz w:val="22"/>
          <w:szCs w:val="22"/>
        </w:rPr>
        <w:tab/>
      </w:r>
      <w:r w:rsidR="00E7487B">
        <w:rPr>
          <w:rFonts w:ascii="Arial" w:hAnsi="Arial" w:cs="Arial"/>
          <w:sz w:val="22"/>
          <w:szCs w:val="22"/>
        </w:rPr>
        <w:tab/>
      </w:r>
      <w:r w:rsidR="00E7487B">
        <w:rPr>
          <w:rFonts w:ascii="Arial" w:hAnsi="Arial" w:cs="Arial"/>
          <w:sz w:val="22"/>
          <w:szCs w:val="22"/>
        </w:rPr>
        <w:tab/>
      </w:r>
    </w:p>
    <w:sectPr w:rsidR="00FE7C5E" w:rsidRPr="00385E64" w:rsidSect="00A50C50">
      <w:headerReference w:type="even" r:id="rId9"/>
      <w:headerReference w:type="default" r:id="rId10"/>
      <w:pgSz w:w="12240" w:h="15840"/>
      <w:pgMar w:top="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3AE1" w14:textId="77777777" w:rsidR="00E5099A" w:rsidRDefault="00E5099A" w:rsidP="008C18AE">
      <w:r>
        <w:separator/>
      </w:r>
    </w:p>
  </w:endnote>
  <w:endnote w:type="continuationSeparator" w:id="0">
    <w:p w14:paraId="36AC8879" w14:textId="77777777" w:rsidR="00E5099A" w:rsidRDefault="00E5099A"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386F" w14:textId="77777777" w:rsidR="00E5099A" w:rsidRDefault="00E5099A" w:rsidP="008C18AE">
      <w:r>
        <w:separator/>
      </w:r>
    </w:p>
  </w:footnote>
  <w:footnote w:type="continuationSeparator" w:id="0">
    <w:p w14:paraId="60D9897B" w14:textId="77777777" w:rsidR="00E5099A" w:rsidRDefault="00E5099A" w:rsidP="008C18AE">
      <w:r>
        <w:continuationSeparator/>
      </w:r>
    </w:p>
  </w:footnote>
  <w:footnote w:id="1">
    <w:p w14:paraId="7ADF5BF4" w14:textId="4E8653BD" w:rsidR="00C21915" w:rsidRPr="00DE7609" w:rsidRDefault="00C21915" w:rsidP="00385E64">
      <w:pPr>
        <w:pStyle w:val="FootnoteText"/>
        <w:ind w:left="284" w:hanging="284"/>
        <w:jc w:val="both"/>
        <w:rPr>
          <w:rFonts w:ascii="Arial" w:hAnsi="Arial" w:cs="Arial"/>
          <w:sz w:val="20"/>
          <w:szCs w:val="20"/>
        </w:rPr>
      </w:pPr>
      <w:r w:rsidRPr="00DE7609">
        <w:rPr>
          <w:rStyle w:val="FootnoteReference"/>
          <w:rFonts w:ascii="Arial" w:hAnsi="Arial" w:cs="Arial"/>
          <w:sz w:val="20"/>
          <w:szCs w:val="20"/>
        </w:rPr>
        <w:footnoteRef/>
      </w:r>
      <w:r w:rsidRPr="00DE7609">
        <w:rPr>
          <w:rFonts w:ascii="Arial" w:hAnsi="Arial" w:cs="Arial"/>
          <w:sz w:val="20"/>
          <w:szCs w:val="20"/>
        </w:rPr>
        <w:t xml:space="preserve"> </w:t>
      </w:r>
      <w:r w:rsidR="00385E64">
        <w:rPr>
          <w:rFonts w:ascii="Arial" w:hAnsi="Arial" w:cs="Arial"/>
          <w:sz w:val="20"/>
          <w:szCs w:val="20"/>
        </w:rPr>
        <w:tab/>
      </w:r>
      <w:r w:rsidRPr="00DE7609">
        <w:rPr>
          <w:rFonts w:ascii="Arial" w:hAnsi="Arial" w:cs="Arial"/>
          <w:sz w:val="20"/>
          <w:szCs w:val="20"/>
        </w:rPr>
        <w:t xml:space="preserve">The respondent was born on 28 March 1949 – he was 51 at the time of the first marriage and 55 at the time of the second marriage. He was </w:t>
      </w:r>
      <w:r w:rsidR="009470FD" w:rsidRPr="00DE7609">
        <w:rPr>
          <w:rFonts w:ascii="Arial" w:hAnsi="Arial" w:cs="Arial"/>
          <w:sz w:val="20"/>
          <w:szCs w:val="20"/>
        </w:rPr>
        <w:t>68 at the time he instituted the divorce proceedings. The deceased was born on 14 April 1960 - she was 40 at the time of the first marriage and 44 at the time of the second marriage. She was 57 when the divorce proceedings were insti</w:t>
      </w:r>
      <w:r w:rsidR="00DE7609" w:rsidRPr="00DE7609">
        <w:rPr>
          <w:rFonts w:ascii="Arial" w:hAnsi="Arial" w:cs="Arial"/>
          <w:sz w:val="20"/>
          <w:szCs w:val="20"/>
        </w:rPr>
        <w:t>t</w:t>
      </w:r>
      <w:r w:rsidR="009470FD" w:rsidRPr="00DE7609">
        <w:rPr>
          <w:rFonts w:ascii="Arial" w:hAnsi="Arial" w:cs="Arial"/>
          <w:sz w:val="20"/>
          <w:szCs w:val="20"/>
        </w:rPr>
        <w:t>uted.</w:t>
      </w:r>
    </w:p>
  </w:footnote>
  <w:footnote w:id="2">
    <w:p w14:paraId="1033A201" w14:textId="124764D0" w:rsidR="00EE1E18" w:rsidRPr="00EE1E18" w:rsidRDefault="00034FA3" w:rsidP="00385E64">
      <w:pPr>
        <w:spacing w:after="24" w:line="247" w:lineRule="auto"/>
        <w:ind w:left="284" w:right="11" w:hanging="284"/>
        <w:jc w:val="both"/>
        <w:rPr>
          <w:rFonts w:ascii="Arial" w:hAnsi="Arial" w:cs="Arial"/>
          <w:sz w:val="20"/>
          <w:szCs w:val="20"/>
        </w:rPr>
      </w:pPr>
      <w:r w:rsidRPr="00EE1E18">
        <w:rPr>
          <w:rStyle w:val="FootnoteReference"/>
          <w:rFonts w:ascii="Arial" w:hAnsi="Arial" w:cs="Arial"/>
          <w:sz w:val="20"/>
          <w:szCs w:val="20"/>
        </w:rPr>
        <w:footnoteRef/>
      </w:r>
      <w:r w:rsidRPr="00EE1E18">
        <w:rPr>
          <w:rFonts w:ascii="Arial" w:hAnsi="Arial" w:cs="Arial"/>
          <w:sz w:val="20"/>
          <w:szCs w:val="20"/>
        </w:rPr>
        <w:t xml:space="preserve"> </w:t>
      </w:r>
      <w:r w:rsidR="00385E64">
        <w:rPr>
          <w:rFonts w:ascii="Arial" w:hAnsi="Arial" w:cs="Arial"/>
          <w:sz w:val="20"/>
          <w:szCs w:val="20"/>
        </w:rPr>
        <w:tab/>
      </w:r>
      <w:r w:rsidR="00EE1E18" w:rsidRPr="00EE1E18">
        <w:rPr>
          <w:rFonts w:ascii="Arial" w:hAnsi="Arial" w:cs="Arial"/>
          <w:sz w:val="20"/>
          <w:szCs w:val="20"/>
        </w:rPr>
        <w:t>The rule provides that:”</w:t>
      </w:r>
      <w:r w:rsidR="00EE1E18" w:rsidRPr="00EE1E18">
        <w:rPr>
          <w:rFonts w:ascii="Arial" w:eastAsia="Verdana" w:hAnsi="Arial" w:cs="Arial"/>
          <w:i/>
          <w:iCs/>
          <w:sz w:val="20"/>
          <w:szCs w:val="20"/>
        </w:rPr>
        <w:t xml:space="preserve"> An appeal to the court against the decision of a magistrate in a civil matter shall be prosecuted within 60 days after the noting of such appeal, and unless so prosecuted it shall be deemed to have lapsed.”</w:t>
      </w:r>
    </w:p>
    <w:p w14:paraId="73352D08" w14:textId="27DAB1E5" w:rsidR="00034FA3" w:rsidRDefault="00034FA3">
      <w:pPr>
        <w:pStyle w:val="FootnoteText"/>
      </w:pPr>
    </w:p>
  </w:footnote>
  <w:footnote w:id="3">
    <w:p w14:paraId="267A1BE3" w14:textId="065B9C00" w:rsidR="00EE1E18" w:rsidRPr="00EE1E18" w:rsidRDefault="00245211" w:rsidP="00385E64">
      <w:pPr>
        <w:spacing w:after="38" w:line="236" w:lineRule="auto"/>
        <w:ind w:left="284" w:right="262" w:hanging="284"/>
        <w:jc w:val="both"/>
        <w:rPr>
          <w:rFonts w:ascii="Arial" w:hAnsi="Arial" w:cs="Arial"/>
          <w:sz w:val="20"/>
          <w:szCs w:val="20"/>
        </w:rPr>
      </w:pPr>
      <w:r w:rsidRPr="00EE1E18">
        <w:rPr>
          <w:rStyle w:val="FootnoteReference"/>
          <w:rFonts w:ascii="Arial" w:hAnsi="Arial" w:cs="Arial"/>
          <w:sz w:val="20"/>
          <w:szCs w:val="20"/>
        </w:rPr>
        <w:footnoteRef/>
      </w:r>
      <w:r w:rsidRPr="00EE1E18">
        <w:rPr>
          <w:rFonts w:ascii="Arial" w:hAnsi="Arial" w:cs="Arial"/>
          <w:sz w:val="20"/>
          <w:szCs w:val="20"/>
        </w:rPr>
        <w:t xml:space="preserve"> </w:t>
      </w:r>
      <w:r w:rsidR="00385E64">
        <w:rPr>
          <w:rFonts w:ascii="Arial" w:hAnsi="Arial" w:cs="Arial"/>
          <w:sz w:val="20"/>
          <w:szCs w:val="20"/>
        </w:rPr>
        <w:tab/>
      </w:r>
      <w:r w:rsidR="00EE1E18" w:rsidRPr="00EE1E18">
        <w:rPr>
          <w:rFonts w:ascii="Arial" w:hAnsi="Arial" w:cs="Arial"/>
          <w:sz w:val="20"/>
          <w:szCs w:val="20"/>
        </w:rPr>
        <w:t>The rule provides that:”</w:t>
      </w:r>
      <w:r w:rsidR="00EE1E18" w:rsidRPr="00EE1E18">
        <w:rPr>
          <w:rFonts w:ascii="Arial" w:eastAsia="Verdana" w:hAnsi="Arial" w:cs="Arial"/>
          <w:sz w:val="20"/>
          <w:szCs w:val="20"/>
        </w:rPr>
        <w:t xml:space="preserve"> </w:t>
      </w:r>
      <w:r w:rsidR="00EE1E18" w:rsidRPr="00EE1E18">
        <w:rPr>
          <w:rFonts w:ascii="Arial" w:eastAsia="Verdana" w:hAnsi="Arial" w:cs="Arial"/>
          <w:i/>
          <w:iCs/>
          <w:sz w:val="20"/>
          <w:szCs w:val="20"/>
        </w:rPr>
        <w:t>Whenever a party to any proceedings dies or ceases to be capable of acting as such, his executor, curator, trustee or similar legal representative, may by notice to all other parties and to the registrar intimate that he desires in his capacity as such thereby to be substituted for such party, and unless the court otherwise orders, he shall thereafter for all purposes be deemed to have been so substituted.”</w:t>
      </w:r>
    </w:p>
    <w:p w14:paraId="66514EC4" w14:textId="358C8EBC" w:rsidR="00245211" w:rsidRDefault="00245211">
      <w:pPr>
        <w:pStyle w:val="FootnoteText"/>
      </w:pPr>
    </w:p>
  </w:footnote>
  <w:footnote w:id="4">
    <w:p w14:paraId="6087AF96" w14:textId="384D2805" w:rsidR="002B7C39" w:rsidRPr="001977B8" w:rsidRDefault="002B7C39" w:rsidP="00385E64">
      <w:pPr>
        <w:pStyle w:val="FootnoteText"/>
        <w:ind w:left="284" w:hanging="284"/>
        <w:jc w:val="both"/>
        <w:rPr>
          <w:rFonts w:ascii="Arial" w:hAnsi="Arial" w:cs="Arial"/>
          <w:sz w:val="20"/>
          <w:szCs w:val="20"/>
        </w:rPr>
      </w:pPr>
      <w:r w:rsidRPr="001977B8">
        <w:rPr>
          <w:rStyle w:val="FootnoteReference"/>
          <w:rFonts w:ascii="Arial" w:hAnsi="Arial" w:cs="Arial"/>
          <w:sz w:val="20"/>
          <w:szCs w:val="20"/>
        </w:rPr>
        <w:footnoteRef/>
      </w:r>
      <w:r w:rsidRPr="001977B8">
        <w:rPr>
          <w:rFonts w:ascii="Arial" w:hAnsi="Arial" w:cs="Arial"/>
          <w:sz w:val="20"/>
          <w:szCs w:val="20"/>
        </w:rPr>
        <w:t xml:space="preserve"> </w:t>
      </w:r>
      <w:r w:rsidR="00385E64">
        <w:rPr>
          <w:rFonts w:ascii="Arial" w:hAnsi="Arial" w:cs="Arial"/>
          <w:sz w:val="20"/>
          <w:szCs w:val="20"/>
        </w:rPr>
        <w:tab/>
      </w:r>
      <w:proofErr w:type="spellStart"/>
      <w:r w:rsidR="001977B8" w:rsidRPr="001977B8">
        <w:rPr>
          <w:rFonts w:ascii="Arial" w:hAnsi="Arial" w:cs="Arial"/>
          <w:color w:val="000000"/>
          <w:sz w:val="20"/>
          <w:szCs w:val="20"/>
        </w:rPr>
        <w:t>Barrat</w:t>
      </w:r>
      <w:proofErr w:type="spellEnd"/>
      <w:r w:rsidR="001977B8" w:rsidRPr="001977B8">
        <w:rPr>
          <w:rFonts w:ascii="Arial" w:hAnsi="Arial" w:cs="Arial"/>
          <w:color w:val="000000"/>
          <w:sz w:val="20"/>
          <w:szCs w:val="20"/>
        </w:rPr>
        <w:t xml:space="preserve">, A. Domingo, W. </w:t>
      </w:r>
      <w:proofErr w:type="spellStart"/>
      <w:r w:rsidR="001977B8" w:rsidRPr="001977B8">
        <w:rPr>
          <w:rFonts w:ascii="Arial" w:hAnsi="Arial" w:cs="Arial"/>
          <w:color w:val="000000"/>
          <w:sz w:val="20"/>
          <w:szCs w:val="20"/>
        </w:rPr>
        <w:t>Amien</w:t>
      </w:r>
      <w:proofErr w:type="spellEnd"/>
      <w:r w:rsidR="001977B8" w:rsidRPr="001977B8">
        <w:rPr>
          <w:rFonts w:ascii="Arial" w:hAnsi="Arial" w:cs="Arial"/>
          <w:color w:val="000000"/>
          <w:sz w:val="20"/>
          <w:szCs w:val="20"/>
        </w:rPr>
        <w:t>, W.</w:t>
      </w:r>
      <w:r w:rsidR="001977B8">
        <w:rPr>
          <w:rFonts w:ascii="Arial" w:hAnsi="Arial" w:cs="Arial"/>
          <w:color w:val="000000"/>
          <w:sz w:val="20"/>
          <w:szCs w:val="20"/>
        </w:rPr>
        <w:t xml:space="preserve"> </w:t>
      </w:r>
      <w:r w:rsidR="001977B8" w:rsidRPr="001977B8">
        <w:rPr>
          <w:rFonts w:ascii="Arial" w:hAnsi="Arial" w:cs="Arial"/>
          <w:color w:val="000000"/>
          <w:sz w:val="20"/>
          <w:szCs w:val="20"/>
        </w:rPr>
        <w:t xml:space="preserve">Denson, R. Mahler-Coetzee, JD. Olivier, M. Osman, F. </w:t>
      </w:r>
      <w:proofErr w:type="spellStart"/>
      <w:r w:rsidR="001977B8" w:rsidRPr="001977B8">
        <w:rPr>
          <w:rFonts w:ascii="Arial" w:hAnsi="Arial" w:cs="Arial"/>
          <w:color w:val="000000"/>
          <w:sz w:val="20"/>
          <w:szCs w:val="20"/>
        </w:rPr>
        <w:t>Schoeman</w:t>
      </w:r>
      <w:proofErr w:type="spellEnd"/>
      <w:r w:rsidR="001977B8" w:rsidRPr="001977B8">
        <w:rPr>
          <w:rFonts w:ascii="Arial" w:hAnsi="Arial" w:cs="Arial"/>
          <w:color w:val="000000"/>
          <w:sz w:val="20"/>
          <w:szCs w:val="20"/>
        </w:rPr>
        <w:t xml:space="preserve"> &amp; H. Singh, PP.</w:t>
      </w:r>
      <w:r w:rsidR="001977B8" w:rsidRPr="001977B8">
        <w:rPr>
          <w:rStyle w:val="apple-converted-space"/>
          <w:rFonts w:ascii="Arial" w:hAnsi="Arial" w:cs="Arial"/>
          <w:color w:val="000000"/>
          <w:sz w:val="20"/>
          <w:szCs w:val="20"/>
        </w:rPr>
        <w:t> </w:t>
      </w:r>
      <w:r w:rsidR="001977B8" w:rsidRPr="001977B8">
        <w:rPr>
          <w:rFonts w:ascii="Arial" w:hAnsi="Arial" w:cs="Arial"/>
          <w:i/>
          <w:iCs/>
          <w:color w:val="000000"/>
          <w:sz w:val="20"/>
          <w:szCs w:val="20"/>
        </w:rPr>
        <w:t>Law of Persons and the Family</w:t>
      </w:r>
      <w:r w:rsidR="001977B8" w:rsidRPr="001977B8">
        <w:rPr>
          <w:rStyle w:val="apple-converted-space"/>
          <w:rFonts w:ascii="Arial" w:hAnsi="Arial" w:cs="Arial"/>
          <w:i/>
          <w:iCs/>
          <w:color w:val="000000"/>
          <w:sz w:val="20"/>
          <w:szCs w:val="20"/>
        </w:rPr>
        <w:t> </w:t>
      </w:r>
      <w:r w:rsidR="001977B8" w:rsidRPr="001977B8">
        <w:rPr>
          <w:rFonts w:ascii="Arial" w:hAnsi="Arial" w:cs="Arial"/>
          <w:color w:val="000000"/>
          <w:sz w:val="20"/>
          <w:szCs w:val="20"/>
        </w:rPr>
        <w:t>2</w:t>
      </w:r>
      <w:r w:rsidR="001977B8" w:rsidRPr="001977B8">
        <w:rPr>
          <w:rFonts w:ascii="Arial" w:hAnsi="Arial" w:cs="Arial"/>
          <w:color w:val="000000"/>
          <w:sz w:val="20"/>
          <w:szCs w:val="20"/>
          <w:vertAlign w:val="superscript"/>
        </w:rPr>
        <w:t>nd</w:t>
      </w:r>
      <w:r w:rsidR="001977B8" w:rsidRPr="001977B8">
        <w:rPr>
          <w:rStyle w:val="apple-converted-space"/>
          <w:rFonts w:ascii="Arial" w:hAnsi="Arial" w:cs="Arial"/>
          <w:color w:val="000000"/>
          <w:sz w:val="20"/>
          <w:szCs w:val="20"/>
        </w:rPr>
        <w:t> </w:t>
      </w:r>
      <w:proofErr w:type="spellStart"/>
      <w:r w:rsidR="001977B8" w:rsidRPr="001977B8">
        <w:rPr>
          <w:rFonts w:ascii="Arial" w:hAnsi="Arial" w:cs="Arial"/>
          <w:color w:val="000000"/>
          <w:sz w:val="20"/>
          <w:szCs w:val="20"/>
        </w:rPr>
        <w:t>ed</w:t>
      </w:r>
      <w:proofErr w:type="spellEnd"/>
      <w:r w:rsidR="001977B8" w:rsidRPr="001977B8">
        <w:rPr>
          <w:rFonts w:ascii="Arial" w:hAnsi="Arial" w:cs="Arial"/>
          <w:color w:val="000000"/>
          <w:sz w:val="20"/>
          <w:szCs w:val="20"/>
        </w:rPr>
        <w:t xml:space="preserve"> (2019) Pearson: Cape Town, </w:t>
      </w:r>
      <w:proofErr w:type="spellStart"/>
      <w:r w:rsidR="007D0B20" w:rsidRPr="001977B8">
        <w:rPr>
          <w:rFonts w:ascii="Arial" w:hAnsi="Arial" w:cs="Arial"/>
          <w:sz w:val="20"/>
          <w:szCs w:val="20"/>
        </w:rPr>
        <w:t>Pg</w:t>
      </w:r>
      <w:proofErr w:type="spellEnd"/>
      <w:r w:rsidR="007D0B20" w:rsidRPr="001977B8">
        <w:rPr>
          <w:rFonts w:ascii="Arial" w:hAnsi="Arial" w:cs="Arial"/>
          <w:sz w:val="20"/>
          <w:szCs w:val="20"/>
        </w:rPr>
        <w:t xml:space="preserve"> 284</w:t>
      </w:r>
    </w:p>
  </w:footnote>
  <w:footnote w:id="5">
    <w:p w14:paraId="2132BFAB" w14:textId="1833E445" w:rsidR="001977B8" w:rsidRPr="001977B8" w:rsidRDefault="001977B8" w:rsidP="00385E64">
      <w:pPr>
        <w:pStyle w:val="FootnoteText"/>
        <w:ind w:left="284" w:hanging="284"/>
        <w:jc w:val="both"/>
        <w:rPr>
          <w:rFonts w:ascii="Arial" w:hAnsi="Arial" w:cs="Arial"/>
          <w:sz w:val="20"/>
          <w:szCs w:val="20"/>
        </w:rPr>
      </w:pPr>
      <w:r w:rsidRPr="001977B8">
        <w:rPr>
          <w:rStyle w:val="FootnoteReference"/>
          <w:rFonts w:ascii="Arial" w:hAnsi="Arial" w:cs="Arial"/>
          <w:sz w:val="20"/>
          <w:szCs w:val="20"/>
        </w:rPr>
        <w:footnoteRef/>
      </w:r>
      <w:r w:rsidRPr="001977B8">
        <w:rPr>
          <w:rFonts w:ascii="Arial" w:hAnsi="Arial" w:cs="Arial"/>
          <w:i/>
          <w:iCs/>
          <w:sz w:val="20"/>
          <w:szCs w:val="20"/>
        </w:rPr>
        <w:t xml:space="preserve"> </w:t>
      </w:r>
      <w:r w:rsidR="00385E64">
        <w:rPr>
          <w:rFonts w:ascii="Arial" w:hAnsi="Arial" w:cs="Arial"/>
          <w:i/>
          <w:iCs/>
          <w:sz w:val="20"/>
          <w:szCs w:val="20"/>
        </w:rPr>
        <w:tab/>
      </w:r>
      <w:r w:rsidRPr="001977B8">
        <w:rPr>
          <w:rFonts w:ascii="Arial" w:hAnsi="Arial" w:cs="Arial"/>
          <w:i/>
          <w:iCs/>
          <w:sz w:val="20"/>
          <w:szCs w:val="20"/>
        </w:rPr>
        <w:t>Ibid</w:t>
      </w:r>
      <w:r w:rsidRPr="001977B8">
        <w:rPr>
          <w:rFonts w:ascii="Arial" w:hAnsi="Arial" w:cs="Arial"/>
          <w:sz w:val="20"/>
          <w:szCs w:val="20"/>
        </w:rPr>
        <w:t xml:space="preserve"> page 285</w:t>
      </w:r>
    </w:p>
  </w:footnote>
  <w:footnote w:id="6">
    <w:p w14:paraId="4F70C7B1" w14:textId="41755797" w:rsidR="00EE1E18" w:rsidRPr="00EE1E18" w:rsidRDefault="00EE1E18" w:rsidP="00385E64">
      <w:pPr>
        <w:spacing w:after="85"/>
        <w:ind w:left="284" w:right="2" w:hanging="284"/>
        <w:jc w:val="both"/>
        <w:rPr>
          <w:rFonts w:ascii="Arial" w:hAnsi="Arial" w:cs="Arial"/>
          <w:sz w:val="20"/>
          <w:szCs w:val="20"/>
        </w:rPr>
      </w:pPr>
      <w:r w:rsidRPr="00EE1E18">
        <w:rPr>
          <w:rStyle w:val="FootnoteReference"/>
          <w:rFonts w:ascii="Arial" w:hAnsi="Arial" w:cs="Arial"/>
          <w:sz w:val="20"/>
          <w:szCs w:val="20"/>
        </w:rPr>
        <w:footnoteRef/>
      </w:r>
      <w:r w:rsidR="00385E64">
        <w:rPr>
          <w:rFonts w:ascii="Arial" w:hAnsi="Arial" w:cs="Arial"/>
          <w:sz w:val="20"/>
          <w:szCs w:val="20"/>
        </w:rPr>
        <w:t xml:space="preserve">   </w:t>
      </w:r>
      <w:r>
        <w:rPr>
          <w:rFonts w:ascii="Arial" w:hAnsi="Arial" w:cs="Arial"/>
          <w:sz w:val="20"/>
          <w:szCs w:val="20"/>
        </w:rPr>
        <w:t>The section provides that:</w:t>
      </w:r>
      <w:r w:rsidRPr="00EE1E18">
        <w:rPr>
          <w:rFonts w:ascii="Arial" w:hAnsi="Arial" w:cs="Arial"/>
          <w:sz w:val="20"/>
          <w:szCs w:val="20"/>
        </w:rPr>
        <w:t xml:space="preserve"> “</w:t>
      </w:r>
      <w:r w:rsidRPr="00EE1E18">
        <w:rPr>
          <w:rFonts w:ascii="Arial" w:hAnsi="Arial" w:cs="Arial"/>
          <w:i/>
          <w:iCs/>
          <w:sz w:val="20"/>
          <w:szCs w:val="20"/>
        </w:rPr>
        <w:t xml:space="preserve">When a decree of divorce is granted on the ground of the irretrievable breakdown of a marriage the court may make an order that the patrimonial benefits of the marriage be forfeited by one party in </w:t>
      </w:r>
      <w:proofErr w:type="spellStart"/>
      <w:r w:rsidRPr="00EE1E18">
        <w:rPr>
          <w:rFonts w:ascii="Arial" w:hAnsi="Arial" w:cs="Arial"/>
          <w:i/>
          <w:iCs/>
          <w:sz w:val="20"/>
          <w:szCs w:val="20"/>
        </w:rPr>
        <w:t>favour</w:t>
      </w:r>
      <w:proofErr w:type="spellEnd"/>
      <w:r w:rsidRPr="00EE1E18">
        <w:rPr>
          <w:rFonts w:ascii="Arial" w:hAnsi="Arial" w:cs="Arial"/>
          <w:i/>
          <w:iCs/>
          <w:sz w:val="20"/>
          <w:szCs w:val="20"/>
        </w:rPr>
        <w:t xml:space="preserve">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w:t>
      </w:r>
    </w:p>
  </w:footnote>
  <w:footnote w:id="7">
    <w:p w14:paraId="79B07931" w14:textId="4DAE23DB" w:rsidR="00D06CF7" w:rsidRPr="0086352B" w:rsidRDefault="00D06CF7" w:rsidP="00385E64">
      <w:pPr>
        <w:pStyle w:val="FootnoteText"/>
        <w:ind w:left="284" w:hanging="284"/>
        <w:jc w:val="both"/>
        <w:rPr>
          <w:rFonts w:ascii="Arial" w:hAnsi="Arial" w:cs="Arial"/>
          <w:sz w:val="20"/>
          <w:szCs w:val="20"/>
        </w:rPr>
      </w:pPr>
      <w:r w:rsidRPr="0086352B">
        <w:rPr>
          <w:rStyle w:val="FootnoteReference"/>
          <w:rFonts w:ascii="Arial" w:hAnsi="Arial" w:cs="Arial"/>
          <w:sz w:val="20"/>
          <w:szCs w:val="20"/>
        </w:rPr>
        <w:footnoteRef/>
      </w:r>
      <w:r w:rsidRPr="0086352B">
        <w:rPr>
          <w:rFonts w:ascii="Arial" w:hAnsi="Arial" w:cs="Arial"/>
          <w:sz w:val="20"/>
          <w:szCs w:val="20"/>
        </w:rPr>
        <w:t xml:space="preserve"> </w:t>
      </w:r>
      <w:r w:rsidR="00385E64">
        <w:rPr>
          <w:rFonts w:ascii="Arial" w:hAnsi="Arial" w:cs="Arial"/>
          <w:sz w:val="20"/>
          <w:szCs w:val="20"/>
        </w:rPr>
        <w:tab/>
      </w:r>
      <w:r w:rsidRPr="0086352B">
        <w:rPr>
          <w:rFonts w:ascii="Arial" w:hAnsi="Arial" w:cs="Arial"/>
          <w:sz w:val="20"/>
          <w:szCs w:val="20"/>
        </w:rPr>
        <w:t>See Botha v Botha 2006 (4) SA 144 (SCA) at para 8</w:t>
      </w:r>
    </w:p>
  </w:footnote>
  <w:footnote w:id="8">
    <w:p w14:paraId="4A46126E" w14:textId="03F307FC" w:rsidR="00B16C52" w:rsidRPr="00B16C52" w:rsidRDefault="00B16C52" w:rsidP="00385E64">
      <w:pPr>
        <w:pStyle w:val="FootnoteText"/>
        <w:ind w:left="284" w:hanging="284"/>
        <w:jc w:val="both"/>
        <w:rPr>
          <w:rFonts w:ascii="Arial" w:hAnsi="Arial" w:cs="Arial"/>
          <w:sz w:val="20"/>
          <w:szCs w:val="20"/>
        </w:rPr>
      </w:pPr>
      <w:r w:rsidRPr="00B16C52">
        <w:rPr>
          <w:rStyle w:val="FootnoteReference"/>
          <w:rFonts w:ascii="Arial" w:hAnsi="Arial" w:cs="Arial"/>
          <w:sz w:val="20"/>
          <w:szCs w:val="20"/>
        </w:rPr>
        <w:footnoteRef/>
      </w:r>
      <w:r w:rsidRPr="00B16C52">
        <w:rPr>
          <w:rFonts w:ascii="Arial" w:hAnsi="Arial" w:cs="Arial"/>
          <w:sz w:val="20"/>
          <w:szCs w:val="20"/>
        </w:rPr>
        <w:t xml:space="preserve"> </w:t>
      </w:r>
      <w:r w:rsidR="00385E64">
        <w:rPr>
          <w:rFonts w:ascii="Arial" w:hAnsi="Arial" w:cs="Arial"/>
          <w:sz w:val="20"/>
          <w:szCs w:val="20"/>
        </w:rPr>
        <w:tab/>
      </w:r>
      <w:r w:rsidRPr="00B16C52">
        <w:rPr>
          <w:rFonts w:ascii="Arial" w:hAnsi="Arial" w:cs="Arial"/>
          <w:sz w:val="20"/>
          <w:szCs w:val="20"/>
        </w:rPr>
        <w:t>See KT v MR 2017 (1) SA 97 (GP) in which it was held that the duration of the marriage is a fault neutral factor which plays a role in considering proportionality – the longer the marriage the more likely the benefit is due and conversely the shorter the marriage the more likely it is not.</w:t>
      </w:r>
    </w:p>
  </w:footnote>
  <w:footnote w:id="9">
    <w:p w14:paraId="615DEDEC" w14:textId="571BA8E7" w:rsidR="00AF2B8C" w:rsidRPr="00490ACF" w:rsidRDefault="00AF2B8C" w:rsidP="00385E64">
      <w:pPr>
        <w:pStyle w:val="FootnoteText"/>
        <w:ind w:left="284" w:hanging="284"/>
        <w:jc w:val="both"/>
        <w:rPr>
          <w:rFonts w:ascii="Arial" w:hAnsi="Arial" w:cs="Arial"/>
          <w:sz w:val="20"/>
          <w:szCs w:val="20"/>
        </w:rPr>
      </w:pPr>
      <w:r w:rsidRPr="00490ACF">
        <w:rPr>
          <w:rStyle w:val="FootnoteReference"/>
          <w:rFonts w:ascii="Arial" w:hAnsi="Arial" w:cs="Arial"/>
          <w:sz w:val="20"/>
          <w:szCs w:val="20"/>
        </w:rPr>
        <w:footnoteRef/>
      </w:r>
      <w:r w:rsidRPr="00490ACF">
        <w:rPr>
          <w:rFonts w:ascii="Arial" w:hAnsi="Arial" w:cs="Arial"/>
          <w:sz w:val="20"/>
          <w:szCs w:val="20"/>
        </w:rPr>
        <w:t xml:space="preserve"> </w:t>
      </w:r>
      <w:r w:rsidR="00385E64">
        <w:rPr>
          <w:rFonts w:ascii="Arial" w:hAnsi="Arial" w:cs="Arial"/>
          <w:sz w:val="20"/>
          <w:szCs w:val="20"/>
        </w:rPr>
        <w:tab/>
      </w:r>
      <w:r w:rsidRPr="00490ACF">
        <w:rPr>
          <w:rFonts w:ascii="Arial" w:hAnsi="Arial" w:cs="Arial"/>
          <w:sz w:val="20"/>
          <w:szCs w:val="20"/>
        </w:rPr>
        <w:t xml:space="preserve">For </w:t>
      </w:r>
      <w:r w:rsidR="00490ACF" w:rsidRPr="00490ACF">
        <w:rPr>
          <w:rFonts w:ascii="Arial" w:hAnsi="Arial" w:cs="Arial"/>
          <w:sz w:val="20"/>
          <w:szCs w:val="20"/>
        </w:rPr>
        <w:t>example,</w:t>
      </w:r>
      <w:r w:rsidRPr="00490ACF">
        <w:rPr>
          <w:rFonts w:ascii="Arial" w:hAnsi="Arial" w:cs="Arial"/>
          <w:sz w:val="20"/>
          <w:szCs w:val="20"/>
        </w:rPr>
        <w:t xml:space="preserve"> a testamentary disposition specifically excluded from becoming part of any </w:t>
      </w:r>
      <w:r w:rsidR="00490ACF" w:rsidRPr="00490ACF">
        <w:rPr>
          <w:rFonts w:ascii="Arial" w:hAnsi="Arial" w:cs="Arial"/>
          <w:sz w:val="20"/>
          <w:szCs w:val="20"/>
        </w:rPr>
        <w:t>joint estate or liquidated damages for personal or reputational injury which would by operation of law be excluded.</w:t>
      </w:r>
    </w:p>
  </w:footnote>
  <w:footnote w:id="10">
    <w:p w14:paraId="16506F42" w14:textId="5B2B9AF4" w:rsidR="00490ACF" w:rsidRPr="00176115" w:rsidRDefault="00490ACF" w:rsidP="00385E64">
      <w:pPr>
        <w:pStyle w:val="FootnoteText"/>
        <w:ind w:left="284" w:hanging="284"/>
        <w:jc w:val="both"/>
        <w:rPr>
          <w:rFonts w:ascii="Arial" w:hAnsi="Arial" w:cs="Arial"/>
          <w:sz w:val="20"/>
          <w:szCs w:val="20"/>
        </w:rPr>
      </w:pPr>
      <w:r w:rsidRPr="00176115">
        <w:rPr>
          <w:rStyle w:val="FootnoteReference"/>
          <w:rFonts w:ascii="Arial" w:hAnsi="Arial" w:cs="Arial"/>
          <w:sz w:val="20"/>
          <w:szCs w:val="20"/>
        </w:rPr>
        <w:footnoteRef/>
      </w:r>
      <w:r w:rsidRPr="00176115">
        <w:rPr>
          <w:rFonts w:ascii="Arial" w:hAnsi="Arial" w:cs="Arial"/>
          <w:sz w:val="20"/>
          <w:szCs w:val="20"/>
        </w:rPr>
        <w:t xml:space="preserve"> </w:t>
      </w:r>
      <w:r w:rsidR="00385E64">
        <w:rPr>
          <w:rFonts w:ascii="Arial" w:hAnsi="Arial" w:cs="Arial"/>
          <w:sz w:val="20"/>
          <w:szCs w:val="20"/>
        </w:rPr>
        <w:tab/>
      </w:r>
      <w:r w:rsidRPr="00176115">
        <w:rPr>
          <w:rFonts w:ascii="Arial" w:hAnsi="Arial" w:cs="Arial"/>
          <w:sz w:val="20"/>
          <w:szCs w:val="20"/>
        </w:rPr>
        <w:t>1989(1) SA 67 (A) at</w:t>
      </w:r>
      <w:r w:rsidR="002150FF" w:rsidRPr="00176115">
        <w:rPr>
          <w:rFonts w:ascii="Arial" w:hAnsi="Arial" w:cs="Arial"/>
          <w:sz w:val="20"/>
          <w:szCs w:val="20"/>
        </w:rPr>
        <w:t xml:space="preserve"> 82I-J</w:t>
      </w:r>
    </w:p>
  </w:footnote>
  <w:footnote w:id="11">
    <w:p w14:paraId="2374FD22" w14:textId="48FA49FD" w:rsidR="00176115" w:rsidRDefault="00176115" w:rsidP="00385E64">
      <w:pPr>
        <w:pStyle w:val="FootnoteText"/>
        <w:ind w:left="284" w:hanging="284"/>
        <w:jc w:val="both"/>
      </w:pPr>
      <w:r w:rsidRPr="00176115">
        <w:rPr>
          <w:rStyle w:val="FootnoteReference"/>
          <w:rFonts w:ascii="Arial" w:hAnsi="Arial" w:cs="Arial"/>
          <w:sz w:val="20"/>
          <w:szCs w:val="20"/>
        </w:rPr>
        <w:footnoteRef/>
      </w:r>
      <w:r w:rsidRPr="00176115">
        <w:rPr>
          <w:rFonts w:ascii="Arial" w:hAnsi="Arial" w:cs="Arial"/>
          <w:sz w:val="20"/>
          <w:szCs w:val="20"/>
        </w:rPr>
        <w:t xml:space="preserve"> </w:t>
      </w:r>
      <w:r w:rsidR="00385E64">
        <w:rPr>
          <w:rFonts w:ascii="Arial" w:hAnsi="Arial" w:cs="Arial"/>
          <w:sz w:val="20"/>
          <w:szCs w:val="20"/>
        </w:rPr>
        <w:tab/>
      </w:r>
      <w:proofErr w:type="spellStart"/>
      <w:r w:rsidRPr="00176115">
        <w:rPr>
          <w:rFonts w:ascii="Arial" w:hAnsi="Arial" w:cs="Arial"/>
          <w:sz w:val="20"/>
          <w:szCs w:val="20"/>
        </w:rPr>
        <w:t>Wijker</w:t>
      </w:r>
      <w:proofErr w:type="spellEnd"/>
      <w:r w:rsidRPr="00176115">
        <w:rPr>
          <w:rFonts w:ascii="Arial" w:hAnsi="Arial" w:cs="Arial"/>
          <w:sz w:val="20"/>
          <w:szCs w:val="20"/>
        </w:rPr>
        <w:t xml:space="preserve"> v </w:t>
      </w:r>
      <w:proofErr w:type="spellStart"/>
      <w:r w:rsidRPr="00176115">
        <w:rPr>
          <w:rFonts w:ascii="Arial" w:hAnsi="Arial" w:cs="Arial"/>
          <w:sz w:val="20"/>
          <w:szCs w:val="20"/>
        </w:rPr>
        <w:t>Wijker</w:t>
      </w:r>
      <w:proofErr w:type="spellEnd"/>
      <w:r w:rsidRPr="00176115">
        <w:rPr>
          <w:rFonts w:ascii="Arial" w:hAnsi="Arial" w:cs="Arial"/>
          <w:sz w:val="20"/>
          <w:szCs w:val="20"/>
        </w:rPr>
        <w:t xml:space="preserve"> 1993 (4) SA 720 (A) at 730B-C</w:t>
      </w:r>
      <w:r w:rsidR="0055296F">
        <w:rPr>
          <w:rFonts w:ascii="Arial" w:hAnsi="Arial" w:cs="Arial"/>
          <w:sz w:val="20"/>
          <w:szCs w:val="20"/>
        </w:rPr>
        <w:t>; Singh v Singh 1983 (1) 781 (C)</w:t>
      </w:r>
    </w:p>
  </w:footnote>
  <w:footnote w:id="12">
    <w:p w14:paraId="0686E6DF" w14:textId="44F54C32" w:rsidR="00B16C52" w:rsidRPr="00B16C52" w:rsidRDefault="00B16C52" w:rsidP="00385E64">
      <w:pPr>
        <w:pStyle w:val="FootnoteText"/>
        <w:ind w:left="284" w:hanging="284"/>
        <w:jc w:val="both"/>
        <w:rPr>
          <w:rFonts w:ascii="Arial" w:hAnsi="Arial" w:cs="Arial"/>
          <w:sz w:val="20"/>
          <w:szCs w:val="20"/>
        </w:rPr>
      </w:pPr>
      <w:r w:rsidRPr="00B16C52">
        <w:rPr>
          <w:rStyle w:val="FootnoteReference"/>
          <w:rFonts w:ascii="Arial" w:hAnsi="Arial" w:cs="Arial"/>
          <w:sz w:val="20"/>
          <w:szCs w:val="20"/>
        </w:rPr>
        <w:footnoteRef/>
      </w:r>
      <w:r w:rsidRPr="00B16C52">
        <w:rPr>
          <w:rFonts w:ascii="Arial" w:hAnsi="Arial" w:cs="Arial"/>
          <w:sz w:val="20"/>
          <w:szCs w:val="20"/>
        </w:rPr>
        <w:t xml:space="preserve"> </w:t>
      </w:r>
      <w:r w:rsidR="00385E64">
        <w:rPr>
          <w:rFonts w:ascii="Arial" w:hAnsi="Arial" w:cs="Arial"/>
          <w:sz w:val="20"/>
          <w:szCs w:val="20"/>
        </w:rPr>
        <w:tab/>
      </w:r>
      <w:r w:rsidRPr="00B16C52">
        <w:rPr>
          <w:rFonts w:ascii="Arial" w:hAnsi="Arial" w:cs="Arial"/>
          <w:sz w:val="20"/>
          <w:szCs w:val="20"/>
        </w:rPr>
        <w:t xml:space="preserve">Such ‘undue benefit’ must be proved – see </w:t>
      </w:r>
      <w:proofErr w:type="spellStart"/>
      <w:r w:rsidRPr="00B16C52">
        <w:rPr>
          <w:rFonts w:ascii="Arial" w:hAnsi="Arial" w:cs="Arial"/>
          <w:sz w:val="20"/>
          <w:szCs w:val="20"/>
        </w:rPr>
        <w:t>Matyila</w:t>
      </w:r>
      <w:proofErr w:type="spellEnd"/>
      <w:r w:rsidRPr="00B16C52">
        <w:rPr>
          <w:rFonts w:ascii="Arial" w:hAnsi="Arial" w:cs="Arial"/>
          <w:sz w:val="20"/>
          <w:szCs w:val="20"/>
        </w:rPr>
        <w:t xml:space="preserve"> v </w:t>
      </w:r>
      <w:proofErr w:type="spellStart"/>
      <w:r w:rsidRPr="00B16C52">
        <w:rPr>
          <w:rFonts w:ascii="Arial" w:hAnsi="Arial" w:cs="Arial"/>
          <w:sz w:val="20"/>
          <w:szCs w:val="20"/>
        </w:rPr>
        <w:t>Matyila</w:t>
      </w:r>
      <w:proofErr w:type="spellEnd"/>
      <w:r w:rsidRPr="00B16C52">
        <w:rPr>
          <w:rFonts w:ascii="Arial" w:hAnsi="Arial" w:cs="Arial"/>
          <w:sz w:val="20"/>
          <w:szCs w:val="20"/>
        </w:rPr>
        <w:t xml:space="preserve"> 1987 (3) SA 230 (W)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9AE" w14:textId="194F413B"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32F">
      <w:rPr>
        <w:rStyle w:val="PageNumber"/>
        <w:noProof/>
      </w:rPr>
      <w:t>2</w:t>
    </w:r>
    <w:r>
      <w:rPr>
        <w:rStyle w:val="PageNumber"/>
      </w:rPr>
      <w:fldChar w:fldCharType="end"/>
    </w:r>
  </w:p>
  <w:p w14:paraId="2E30DF93"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7B00" w14:textId="27128705"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3CC">
      <w:rPr>
        <w:rStyle w:val="PageNumber"/>
        <w:noProof/>
      </w:rPr>
      <w:t>10</w:t>
    </w:r>
    <w:r>
      <w:rPr>
        <w:rStyle w:val="PageNumber"/>
      </w:rPr>
      <w:fldChar w:fldCharType="end"/>
    </w:r>
  </w:p>
  <w:p w14:paraId="74E59DBE"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C68CE"/>
    <w:multiLevelType w:val="multilevel"/>
    <w:tmpl w:val="FE0A8E32"/>
    <w:lvl w:ilvl="0">
      <w:start w:val="3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0BBB43E3"/>
    <w:multiLevelType w:val="hybridMultilevel"/>
    <w:tmpl w:val="3EBE7A4C"/>
    <w:lvl w:ilvl="0" w:tplc="4B5A3E6C">
      <w:start w:val="1"/>
      <w:numFmt w:val="bullet"/>
      <w:lvlText w:val="•"/>
      <w:lvlJc w:val="left"/>
      <w:pPr>
        <w:ind w:left="6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8726510">
      <w:start w:val="1"/>
      <w:numFmt w:val="bullet"/>
      <w:lvlText w:val="o"/>
      <w:lvlJc w:val="left"/>
      <w:pPr>
        <w:ind w:left="14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1C4354C">
      <w:start w:val="1"/>
      <w:numFmt w:val="bullet"/>
      <w:lvlText w:val="▪"/>
      <w:lvlJc w:val="left"/>
      <w:pPr>
        <w:ind w:left="21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0DE8E68">
      <w:start w:val="1"/>
      <w:numFmt w:val="bullet"/>
      <w:lvlText w:val="•"/>
      <w:lvlJc w:val="left"/>
      <w:pPr>
        <w:ind w:left="28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E105A82">
      <w:start w:val="1"/>
      <w:numFmt w:val="bullet"/>
      <w:lvlText w:val="o"/>
      <w:lvlJc w:val="left"/>
      <w:pPr>
        <w:ind w:left="35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5ACA7FA">
      <w:start w:val="1"/>
      <w:numFmt w:val="bullet"/>
      <w:lvlText w:val="▪"/>
      <w:lvlJc w:val="left"/>
      <w:pPr>
        <w:ind w:left="43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FCA48C4">
      <w:start w:val="1"/>
      <w:numFmt w:val="bullet"/>
      <w:lvlText w:val="•"/>
      <w:lvlJc w:val="left"/>
      <w:pPr>
        <w:ind w:left="50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2C8FBDA">
      <w:start w:val="1"/>
      <w:numFmt w:val="bullet"/>
      <w:lvlText w:val="o"/>
      <w:lvlJc w:val="left"/>
      <w:pPr>
        <w:ind w:left="57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5AEC1BA">
      <w:start w:val="1"/>
      <w:numFmt w:val="bullet"/>
      <w:lvlText w:val="▪"/>
      <w:lvlJc w:val="left"/>
      <w:pPr>
        <w:ind w:left="64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6FD13AB"/>
    <w:multiLevelType w:val="hybridMultilevel"/>
    <w:tmpl w:val="949E057C"/>
    <w:lvl w:ilvl="0" w:tplc="9DD0BF2E">
      <w:start w:val="104"/>
      <w:numFmt w:val="decimal"/>
      <w:lvlText w:val="%1"/>
      <w:lvlJc w:val="left"/>
      <w:pPr>
        <w:ind w:left="412"/>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C6A8B0C4">
      <w:start w:val="1"/>
      <w:numFmt w:val="decimal"/>
      <w:lvlText w:val="(%2)"/>
      <w:lvlJc w:val="left"/>
      <w:pPr>
        <w:ind w:left="11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FAC2AF2A">
      <w:start w:val="1"/>
      <w:numFmt w:val="lowerLetter"/>
      <w:lvlText w:val="(%3)"/>
      <w:lvlJc w:val="left"/>
      <w:pPr>
        <w:ind w:left="84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937432FC">
      <w:start w:val="1"/>
      <w:numFmt w:val="lowerRoman"/>
      <w:lvlText w:val="(%4)"/>
      <w:lvlJc w:val="left"/>
      <w:pPr>
        <w:ind w:left="153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46B61E8C">
      <w:start w:val="1"/>
      <w:numFmt w:val="lowerLetter"/>
      <w:lvlText w:val="%5"/>
      <w:lvlJc w:val="left"/>
      <w:pPr>
        <w:ind w:left="22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371480D0">
      <w:start w:val="1"/>
      <w:numFmt w:val="lowerRoman"/>
      <w:lvlText w:val="%6"/>
      <w:lvlJc w:val="left"/>
      <w:pPr>
        <w:ind w:left="29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408466BC">
      <w:start w:val="1"/>
      <w:numFmt w:val="decimal"/>
      <w:lvlText w:val="%7"/>
      <w:lvlJc w:val="left"/>
      <w:pPr>
        <w:ind w:left="36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C7BC34D6">
      <w:start w:val="1"/>
      <w:numFmt w:val="lowerLetter"/>
      <w:lvlText w:val="%8"/>
      <w:lvlJc w:val="left"/>
      <w:pPr>
        <w:ind w:left="43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852C6218">
      <w:start w:val="1"/>
      <w:numFmt w:val="lowerRoman"/>
      <w:lvlText w:val="%9"/>
      <w:lvlJc w:val="left"/>
      <w:pPr>
        <w:ind w:left="51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DFA3C2D"/>
    <w:multiLevelType w:val="hybridMultilevel"/>
    <w:tmpl w:val="30F0BD38"/>
    <w:lvl w:ilvl="0" w:tplc="5FB62AB8">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EF55845"/>
    <w:multiLevelType w:val="hybridMultilevel"/>
    <w:tmpl w:val="42CC02D4"/>
    <w:lvl w:ilvl="0" w:tplc="DB5ACB88">
      <w:start w:val="1"/>
      <w:numFmt w:val="decimal"/>
      <w:lvlText w:val="(%1)"/>
      <w:lvlJc w:val="left"/>
      <w:pPr>
        <w:ind w:left="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1" w:tplc="991EB282">
      <w:start w:val="2"/>
      <w:numFmt w:val="lowerLetter"/>
      <w:lvlText w:val="(%2)"/>
      <w:lvlJc w:val="left"/>
      <w:pPr>
        <w:ind w:left="213"/>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2" w:tplc="B5867100">
      <w:start w:val="1"/>
      <w:numFmt w:val="lowerRoman"/>
      <w:lvlText w:val="%3"/>
      <w:lvlJc w:val="left"/>
      <w:pPr>
        <w:ind w:left="1507"/>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3" w:tplc="A0B0E6EC">
      <w:start w:val="1"/>
      <w:numFmt w:val="decimal"/>
      <w:lvlText w:val="%4"/>
      <w:lvlJc w:val="left"/>
      <w:pPr>
        <w:ind w:left="2227"/>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4" w:tplc="738E98D4">
      <w:start w:val="1"/>
      <w:numFmt w:val="lowerLetter"/>
      <w:lvlText w:val="%5"/>
      <w:lvlJc w:val="left"/>
      <w:pPr>
        <w:ind w:left="2947"/>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5" w:tplc="71344744">
      <w:start w:val="1"/>
      <w:numFmt w:val="lowerRoman"/>
      <w:lvlText w:val="%6"/>
      <w:lvlJc w:val="left"/>
      <w:pPr>
        <w:ind w:left="3667"/>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6" w:tplc="7BCE0B04">
      <w:start w:val="1"/>
      <w:numFmt w:val="decimal"/>
      <w:lvlText w:val="%7"/>
      <w:lvlJc w:val="left"/>
      <w:pPr>
        <w:ind w:left="4387"/>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7" w:tplc="E2986860">
      <w:start w:val="1"/>
      <w:numFmt w:val="lowerLetter"/>
      <w:lvlText w:val="%8"/>
      <w:lvlJc w:val="left"/>
      <w:pPr>
        <w:ind w:left="5107"/>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lvl w:ilvl="8" w:tplc="BFD4ACFA">
      <w:start w:val="1"/>
      <w:numFmt w:val="lowerRoman"/>
      <w:lvlText w:val="%9"/>
      <w:lvlJc w:val="left"/>
      <w:pPr>
        <w:ind w:left="5827"/>
      </w:pPr>
      <w:rPr>
        <w:rFonts w:ascii="Verdana" w:eastAsia="Verdana" w:hAnsi="Verdana" w:cs="Verdana"/>
        <w:b w:val="0"/>
        <w:i/>
        <w:iCs/>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251C5703"/>
    <w:multiLevelType w:val="hybridMultilevel"/>
    <w:tmpl w:val="CBE0D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E02209"/>
    <w:multiLevelType w:val="hybridMultilevel"/>
    <w:tmpl w:val="85BE56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642413D"/>
    <w:multiLevelType w:val="hybridMultilevel"/>
    <w:tmpl w:val="267EF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15642"/>
    <w:multiLevelType w:val="multilevel"/>
    <w:tmpl w:val="B82AC488"/>
    <w:lvl w:ilvl="0">
      <w:start w:val="37"/>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6AD282C"/>
    <w:multiLevelType w:val="hybridMultilevel"/>
    <w:tmpl w:val="D3983044"/>
    <w:lvl w:ilvl="0" w:tplc="02E68D62">
      <w:start w:val="1"/>
      <w:numFmt w:val="decimal"/>
      <w:lvlText w:val="(%1)"/>
      <w:lvlJc w:val="left"/>
      <w:pPr>
        <w:ind w:left="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6B283520">
      <w:start w:val="1"/>
      <w:numFmt w:val="lowerLetter"/>
      <w:lvlText w:val="%2"/>
      <w:lvlJc w:val="left"/>
      <w:pPr>
        <w:ind w:left="129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812CED86">
      <w:start w:val="1"/>
      <w:numFmt w:val="lowerRoman"/>
      <w:lvlText w:val="%3"/>
      <w:lvlJc w:val="left"/>
      <w:pPr>
        <w:ind w:left="201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F2AC491C">
      <w:start w:val="1"/>
      <w:numFmt w:val="decimal"/>
      <w:lvlText w:val="%4"/>
      <w:lvlJc w:val="left"/>
      <w:pPr>
        <w:ind w:left="273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059C6ABE">
      <w:start w:val="1"/>
      <w:numFmt w:val="lowerLetter"/>
      <w:lvlText w:val="%5"/>
      <w:lvlJc w:val="left"/>
      <w:pPr>
        <w:ind w:left="345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8340D85A">
      <w:start w:val="1"/>
      <w:numFmt w:val="lowerRoman"/>
      <w:lvlText w:val="%6"/>
      <w:lvlJc w:val="left"/>
      <w:pPr>
        <w:ind w:left="417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855A504E">
      <w:start w:val="1"/>
      <w:numFmt w:val="decimal"/>
      <w:lvlText w:val="%7"/>
      <w:lvlJc w:val="left"/>
      <w:pPr>
        <w:ind w:left="489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1D3A9BC0">
      <w:start w:val="1"/>
      <w:numFmt w:val="lowerLetter"/>
      <w:lvlText w:val="%8"/>
      <w:lvlJc w:val="left"/>
      <w:pPr>
        <w:ind w:left="561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A6325ECA">
      <w:start w:val="1"/>
      <w:numFmt w:val="lowerRoman"/>
      <w:lvlText w:val="%9"/>
      <w:lvlJc w:val="left"/>
      <w:pPr>
        <w:ind w:left="633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4B315B5E"/>
    <w:multiLevelType w:val="hybridMultilevel"/>
    <w:tmpl w:val="FDE832E0"/>
    <w:lvl w:ilvl="0" w:tplc="3B1C16E0">
      <w:start w:val="1"/>
      <w:numFmt w:val="decimal"/>
      <w:lvlText w:val="(%1)"/>
      <w:lvlJc w:val="left"/>
      <w:pPr>
        <w:ind w:left="232"/>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1" w:tplc="F95860CC">
      <w:start w:val="1"/>
      <w:numFmt w:val="lowerLetter"/>
      <w:lvlText w:val="%2"/>
      <w:lvlJc w:val="left"/>
      <w:pPr>
        <w:ind w:left="154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2" w:tplc="CC64B316">
      <w:start w:val="1"/>
      <w:numFmt w:val="lowerRoman"/>
      <w:lvlText w:val="%3"/>
      <w:lvlJc w:val="left"/>
      <w:pPr>
        <w:ind w:left="226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3" w:tplc="C3B6D548">
      <w:start w:val="1"/>
      <w:numFmt w:val="decimal"/>
      <w:lvlText w:val="%4"/>
      <w:lvlJc w:val="left"/>
      <w:pPr>
        <w:ind w:left="29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4" w:tplc="EAE4B14E">
      <w:start w:val="1"/>
      <w:numFmt w:val="lowerLetter"/>
      <w:lvlText w:val="%5"/>
      <w:lvlJc w:val="left"/>
      <w:pPr>
        <w:ind w:left="37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5" w:tplc="7F66094E">
      <w:start w:val="1"/>
      <w:numFmt w:val="lowerRoman"/>
      <w:lvlText w:val="%6"/>
      <w:lvlJc w:val="left"/>
      <w:pPr>
        <w:ind w:left="44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6" w:tplc="738C354C">
      <w:start w:val="1"/>
      <w:numFmt w:val="decimal"/>
      <w:lvlText w:val="%7"/>
      <w:lvlJc w:val="left"/>
      <w:pPr>
        <w:ind w:left="514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7" w:tplc="049E917C">
      <w:start w:val="1"/>
      <w:numFmt w:val="lowerLetter"/>
      <w:lvlText w:val="%8"/>
      <w:lvlJc w:val="left"/>
      <w:pPr>
        <w:ind w:left="586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8" w:tplc="CA326730">
      <w:start w:val="1"/>
      <w:numFmt w:val="lowerRoman"/>
      <w:lvlText w:val="%9"/>
      <w:lvlJc w:val="left"/>
      <w:pPr>
        <w:ind w:left="65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abstractNum>
  <w:abstractNum w:abstractNumId="20" w15:restartNumberingAfterBreak="0">
    <w:nsid w:val="5215367A"/>
    <w:multiLevelType w:val="multilevel"/>
    <w:tmpl w:val="6E9E04F8"/>
    <w:lvl w:ilvl="0">
      <w:start w:val="1"/>
      <w:numFmt w:val="decimal"/>
      <w:lvlText w:val="%1."/>
      <w:lvlJc w:val="left"/>
      <w:pPr>
        <w:ind w:left="720" w:hanging="360"/>
      </w:pPr>
      <w:rPr>
        <w:rFonts w:hint="default"/>
        <w:sz w:val="24"/>
        <w:szCs w:val="24"/>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A66"/>
    <w:multiLevelType w:val="multilevel"/>
    <w:tmpl w:val="6A3C082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F810E9"/>
    <w:multiLevelType w:val="hybridMultilevel"/>
    <w:tmpl w:val="82C41B5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0206C50"/>
    <w:multiLevelType w:val="hybridMultilevel"/>
    <w:tmpl w:val="F1BC64E2"/>
    <w:lvl w:ilvl="0" w:tplc="B908F660">
      <w:start w:val="1"/>
      <w:numFmt w:val="decimal"/>
      <w:lvlText w:val="%1."/>
      <w:lvlJc w:val="left"/>
      <w:pPr>
        <w:ind w:left="360" w:hanging="360"/>
      </w:pPr>
      <w:rPr>
        <w:rFonts w:hint="default"/>
        <w:b w:val="0"/>
        <w:bCs/>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82F1D16"/>
    <w:multiLevelType w:val="hybridMultilevel"/>
    <w:tmpl w:val="23085508"/>
    <w:lvl w:ilvl="0" w:tplc="6FB01D96">
      <w:start w:val="1"/>
      <w:numFmt w:val="decimal"/>
      <w:lvlText w:val="%1."/>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4A9916">
      <w:start w:val="1"/>
      <w:numFmt w:val="lowerLetter"/>
      <w:lvlText w:val="%2"/>
      <w:lvlJc w:val="left"/>
      <w:pPr>
        <w:ind w:left="1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1C9AEE">
      <w:start w:val="1"/>
      <w:numFmt w:val="lowerRoman"/>
      <w:lvlText w:val="%3"/>
      <w:lvlJc w:val="left"/>
      <w:pPr>
        <w:ind w:left="2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D059EC">
      <w:start w:val="1"/>
      <w:numFmt w:val="decimal"/>
      <w:lvlText w:val="%4"/>
      <w:lvlJc w:val="left"/>
      <w:pPr>
        <w:ind w:left="2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CD6B2">
      <w:start w:val="1"/>
      <w:numFmt w:val="lowerLetter"/>
      <w:lvlText w:val="%5"/>
      <w:lvlJc w:val="left"/>
      <w:pPr>
        <w:ind w:left="3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66A42">
      <w:start w:val="1"/>
      <w:numFmt w:val="lowerRoman"/>
      <w:lvlText w:val="%6"/>
      <w:lvlJc w:val="left"/>
      <w:pPr>
        <w:ind w:left="4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403484">
      <w:start w:val="1"/>
      <w:numFmt w:val="decimal"/>
      <w:lvlText w:val="%7"/>
      <w:lvlJc w:val="left"/>
      <w:pPr>
        <w:ind w:left="5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3C75D2">
      <w:start w:val="1"/>
      <w:numFmt w:val="lowerLetter"/>
      <w:lvlText w:val="%8"/>
      <w:lvlJc w:val="left"/>
      <w:pPr>
        <w:ind w:left="5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0640A">
      <w:start w:val="1"/>
      <w:numFmt w:val="lowerRoman"/>
      <w:lvlText w:val="%9"/>
      <w:lvlJc w:val="left"/>
      <w:pPr>
        <w:ind w:left="6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3E2EA5"/>
    <w:multiLevelType w:val="hybridMultilevel"/>
    <w:tmpl w:val="C7EA0894"/>
    <w:lvl w:ilvl="0" w:tplc="011A94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A1468"/>
    <w:multiLevelType w:val="hybridMultilevel"/>
    <w:tmpl w:val="1416F2D6"/>
    <w:lvl w:ilvl="0" w:tplc="011838AE">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77D90C12"/>
    <w:multiLevelType w:val="hybridMultilevel"/>
    <w:tmpl w:val="EEEEAFDA"/>
    <w:lvl w:ilvl="0" w:tplc="AA4EF4F8">
      <w:start w:val="1"/>
      <w:numFmt w:val="decimal"/>
      <w:lvlText w:val="%1."/>
      <w:lvlJc w:val="left"/>
      <w:pPr>
        <w:ind w:left="360" w:hanging="360"/>
      </w:pPr>
      <w:rPr>
        <w:rFonts w:hint="default"/>
        <w:b w:val="0"/>
        <w:bCs/>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D7234A"/>
    <w:multiLevelType w:val="hybridMultilevel"/>
    <w:tmpl w:val="EE6C5F2A"/>
    <w:lvl w:ilvl="0" w:tplc="057A5D54">
      <w:start w:val="1"/>
      <w:numFmt w:val="lowerLetter"/>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1"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0"/>
  </w:num>
  <w:num w:numId="4">
    <w:abstractNumId w:val="1"/>
  </w:num>
  <w:num w:numId="5">
    <w:abstractNumId w:val="6"/>
  </w:num>
  <w:num w:numId="6">
    <w:abstractNumId w:val="24"/>
  </w:num>
  <w:num w:numId="7">
    <w:abstractNumId w:val="32"/>
  </w:num>
  <w:num w:numId="8">
    <w:abstractNumId w:val="31"/>
  </w:num>
  <w:num w:numId="9">
    <w:abstractNumId w:val="5"/>
  </w:num>
  <w:num w:numId="10">
    <w:abstractNumId w:val="8"/>
  </w:num>
  <w:num w:numId="11">
    <w:abstractNumId w:val="14"/>
  </w:num>
  <w:num w:numId="12">
    <w:abstractNumId w:val="3"/>
  </w:num>
  <w:num w:numId="13">
    <w:abstractNumId w:val="20"/>
  </w:num>
  <w:num w:numId="14">
    <w:abstractNumId w:val="23"/>
  </w:num>
  <w:num w:numId="15">
    <w:abstractNumId w:val="13"/>
  </w:num>
  <w:num w:numId="16">
    <w:abstractNumId w:val="30"/>
  </w:num>
  <w:num w:numId="17">
    <w:abstractNumId w:val="25"/>
  </w:num>
  <w:num w:numId="18">
    <w:abstractNumId w:val="10"/>
  </w:num>
  <w:num w:numId="19">
    <w:abstractNumId w:val="27"/>
  </w:num>
  <w:num w:numId="20">
    <w:abstractNumId w:val="15"/>
  </w:num>
  <w:num w:numId="21">
    <w:abstractNumId w:val="12"/>
  </w:num>
  <w:num w:numId="22">
    <w:abstractNumId w:val="16"/>
  </w:num>
  <w:num w:numId="23">
    <w:abstractNumId w:val="4"/>
  </w:num>
  <w:num w:numId="24">
    <w:abstractNumId w:val="7"/>
  </w:num>
  <w:num w:numId="25">
    <w:abstractNumId w:val="2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2"/>
  </w:num>
  <w:num w:numId="29">
    <w:abstractNumId w:val="2"/>
  </w:num>
  <w:num w:numId="30">
    <w:abstractNumId w:val="17"/>
  </w:num>
  <w:num w:numId="31">
    <w:abstractNumId w:val="18"/>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076E1"/>
    <w:rsid w:val="000104B4"/>
    <w:rsid w:val="000218AC"/>
    <w:rsid w:val="0002295E"/>
    <w:rsid w:val="00022E29"/>
    <w:rsid w:val="0002716E"/>
    <w:rsid w:val="00027CBC"/>
    <w:rsid w:val="00030EDB"/>
    <w:rsid w:val="00031524"/>
    <w:rsid w:val="0003162D"/>
    <w:rsid w:val="00034FA3"/>
    <w:rsid w:val="00040A97"/>
    <w:rsid w:val="00044032"/>
    <w:rsid w:val="00050078"/>
    <w:rsid w:val="00052547"/>
    <w:rsid w:val="000578D1"/>
    <w:rsid w:val="00060BA3"/>
    <w:rsid w:val="00062CEF"/>
    <w:rsid w:val="0006302B"/>
    <w:rsid w:val="00070EA4"/>
    <w:rsid w:val="000730BB"/>
    <w:rsid w:val="0008376B"/>
    <w:rsid w:val="000838A0"/>
    <w:rsid w:val="0008544C"/>
    <w:rsid w:val="00085E25"/>
    <w:rsid w:val="0008693D"/>
    <w:rsid w:val="000926F4"/>
    <w:rsid w:val="000964D1"/>
    <w:rsid w:val="000971DB"/>
    <w:rsid w:val="000A26D7"/>
    <w:rsid w:val="000A5272"/>
    <w:rsid w:val="000C091F"/>
    <w:rsid w:val="000C0B69"/>
    <w:rsid w:val="000C13AB"/>
    <w:rsid w:val="000C1577"/>
    <w:rsid w:val="000C1D16"/>
    <w:rsid w:val="000C4554"/>
    <w:rsid w:val="000C6FBE"/>
    <w:rsid w:val="000D0136"/>
    <w:rsid w:val="000E07B1"/>
    <w:rsid w:val="000E5109"/>
    <w:rsid w:val="000E5543"/>
    <w:rsid w:val="000E5FB9"/>
    <w:rsid w:val="000E6633"/>
    <w:rsid w:val="000F4966"/>
    <w:rsid w:val="000F6438"/>
    <w:rsid w:val="001004D6"/>
    <w:rsid w:val="00101D88"/>
    <w:rsid w:val="001021EE"/>
    <w:rsid w:val="00103EC1"/>
    <w:rsid w:val="0010749D"/>
    <w:rsid w:val="00110539"/>
    <w:rsid w:val="00114724"/>
    <w:rsid w:val="00121456"/>
    <w:rsid w:val="0012310D"/>
    <w:rsid w:val="00125FBF"/>
    <w:rsid w:val="00127B1A"/>
    <w:rsid w:val="0013492F"/>
    <w:rsid w:val="001402F8"/>
    <w:rsid w:val="00144EA8"/>
    <w:rsid w:val="00151A72"/>
    <w:rsid w:val="00151F35"/>
    <w:rsid w:val="00155668"/>
    <w:rsid w:val="0016046F"/>
    <w:rsid w:val="00161F55"/>
    <w:rsid w:val="00163683"/>
    <w:rsid w:val="00170D43"/>
    <w:rsid w:val="001721F5"/>
    <w:rsid w:val="001732C8"/>
    <w:rsid w:val="0017465D"/>
    <w:rsid w:val="00176115"/>
    <w:rsid w:val="0018645D"/>
    <w:rsid w:val="00187998"/>
    <w:rsid w:val="00194AFD"/>
    <w:rsid w:val="00194BAE"/>
    <w:rsid w:val="001977B8"/>
    <w:rsid w:val="001A21CD"/>
    <w:rsid w:val="001A4DD3"/>
    <w:rsid w:val="001A7F86"/>
    <w:rsid w:val="001B288A"/>
    <w:rsid w:val="001B487B"/>
    <w:rsid w:val="001D6C62"/>
    <w:rsid w:val="001D6F4F"/>
    <w:rsid w:val="001D7244"/>
    <w:rsid w:val="001E15D1"/>
    <w:rsid w:val="001E4F24"/>
    <w:rsid w:val="001E6710"/>
    <w:rsid w:val="001E7BDB"/>
    <w:rsid w:val="001F07DD"/>
    <w:rsid w:val="001F450A"/>
    <w:rsid w:val="001F4AE5"/>
    <w:rsid w:val="002003EF"/>
    <w:rsid w:val="00201912"/>
    <w:rsid w:val="00201A93"/>
    <w:rsid w:val="002040D5"/>
    <w:rsid w:val="00205098"/>
    <w:rsid w:val="00205D53"/>
    <w:rsid w:val="0020751F"/>
    <w:rsid w:val="0021216F"/>
    <w:rsid w:val="002122DA"/>
    <w:rsid w:val="002129F5"/>
    <w:rsid w:val="002150FF"/>
    <w:rsid w:val="00215E00"/>
    <w:rsid w:val="0021667B"/>
    <w:rsid w:val="00217B03"/>
    <w:rsid w:val="00222805"/>
    <w:rsid w:val="0022328F"/>
    <w:rsid w:val="00227290"/>
    <w:rsid w:val="00232BFD"/>
    <w:rsid w:val="00232EA0"/>
    <w:rsid w:val="002332DE"/>
    <w:rsid w:val="00235638"/>
    <w:rsid w:val="002411FD"/>
    <w:rsid w:val="00242E76"/>
    <w:rsid w:val="00244901"/>
    <w:rsid w:val="00245211"/>
    <w:rsid w:val="00247334"/>
    <w:rsid w:val="00254146"/>
    <w:rsid w:val="00255485"/>
    <w:rsid w:val="00264079"/>
    <w:rsid w:val="00265336"/>
    <w:rsid w:val="00267036"/>
    <w:rsid w:val="0027008F"/>
    <w:rsid w:val="00280528"/>
    <w:rsid w:val="00281CA0"/>
    <w:rsid w:val="00283B34"/>
    <w:rsid w:val="0028433B"/>
    <w:rsid w:val="00287E6E"/>
    <w:rsid w:val="002914E5"/>
    <w:rsid w:val="00291DE0"/>
    <w:rsid w:val="002935FF"/>
    <w:rsid w:val="0029767F"/>
    <w:rsid w:val="002A51AF"/>
    <w:rsid w:val="002A53F8"/>
    <w:rsid w:val="002A6A3F"/>
    <w:rsid w:val="002B0A35"/>
    <w:rsid w:val="002B16A6"/>
    <w:rsid w:val="002B25CA"/>
    <w:rsid w:val="002B4437"/>
    <w:rsid w:val="002B69B1"/>
    <w:rsid w:val="002B7C39"/>
    <w:rsid w:val="002C413A"/>
    <w:rsid w:val="002C4D4E"/>
    <w:rsid w:val="002C7527"/>
    <w:rsid w:val="002D4352"/>
    <w:rsid w:val="002D6970"/>
    <w:rsid w:val="002D6A2A"/>
    <w:rsid w:val="002D6BF0"/>
    <w:rsid w:val="002E1F21"/>
    <w:rsid w:val="002F7A56"/>
    <w:rsid w:val="00306832"/>
    <w:rsid w:val="00307191"/>
    <w:rsid w:val="00313396"/>
    <w:rsid w:val="003155D7"/>
    <w:rsid w:val="00315722"/>
    <w:rsid w:val="00315C11"/>
    <w:rsid w:val="00316515"/>
    <w:rsid w:val="00322298"/>
    <w:rsid w:val="00322BBE"/>
    <w:rsid w:val="00323F5E"/>
    <w:rsid w:val="00331FDC"/>
    <w:rsid w:val="00333325"/>
    <w:rsid w:val="003348C6"/>
    <w:rsid w:val="00334F20"/>
    <w:rsid w:val="00335D42"/>
    <w:rsid w:val="00341E97"/>
    <w:rsid w:val="00342015"/>
    <w:rsid w:val="00346C05"/>
    <w:rsid w:val="00360697"/>
    <w:rsid w:val="00363165"/>
    <w:rsid w:val="0036390D"/>
    <w:rsid w:val="00371BE5"/>
    <w:rsid w:val="00375DC6"/>
    <w:rsid w:val="00376B87"/>
    <w:rsid w:val="003817D2"/>
    <w:rsid w:val="00385391"/>
    <w:rsid w:val="00385E64"/>
    <w:rsid w:val="00385FBC"/>
    <w:rsid w:val="003A14B0"/>
    <w:rsid w:val="003A20FB"/>
    <w:rsid w:val="003A3574"/>
    <w:rsid w:val="003A5BC8"/>
    <w:rsid w:val="003B6C23"/>
    <w:rsid w:val="003C415E"/>
    <w:rsid w:val="003C432D"/>
    <w:rsid w:val="003C53F6"/>
    <w:rsid w:val="003D5BB2"/>
    <w:rsid w:val="003E45D9"/>
    <w:rsid w:val="003E4DBA"/>
    <w:rsid w:val="003E6119"/>
    <w:rsid w:val="003E6BDA"/>
    <w:rsid w:val="003F0531"/>
    <w:rsid w:val="003F37AE"/>
    <w:rsid w:val="003F404E"/>
    <w:rsid w:val="003F46D7"/>
    <w:rsid w:val="003F6889"/>
    <w:rsid w:val="00405A29"/>
    <w:rsid w:val="00406F88"/>
    <w:rsid w:val="004075F2"/>
    <w:rsid w:val="00412E0C"/>
    <w:rsid w:val="00413603"/>
    <w:rsid w:val="00413E2B"/>
    <w:rsid w:val="00416EA1"/>
    <w:rsid w:val="00417BE7"/>
    <w:rsid w:val="0042184A"/>
    <w:rsid w:val="00422311"/>
    <w:rsid w:val="004247F2"/>
    <w:rsid w:val="00425F53"/>
    <w:rsid w:val="00432B66"/>
    <w:rsid w:val="00435092"/>
    <w:rsid w:val="00440D4B"/>
    <w:rsid w:val="0044117D"/>
    <w:rsid w:val="0044361B"/>
    <w:rsid w:val="00443ADE"/>
    <w:rsid w:val="00444C8B"/>
    <w:rsid w:val="0045149D"/>
    <w:rsid w:val="00452A4C"/>
    <w:rsid w:val="00454072"/>
    <w:rsid w:val="00460F1A"/>
    <w:rsid w:val="00461E12"/>
    <w:rsid w:val="004741BE"/>
    <w:rsid w:val="00475569"/>
    <w:rsid w:val="00475A8E"/>
    <w:rsid w:val="0048191C"/>
    <w:rsid w:val="00482385"/>
    <w:rsid w:val="00482966"/>
    <w:rsid w:val="00482AA7"/>
    <w:rsid w:val="004854D5"/>
    <w:rsid w:val="00486AD1"/>
    <w:rsid w:val="0049074E"/>
    <w:rsid w:val="00490ACF"/>
    <w:rsid w:val="0049313B"/>
    <w:rsid w:val="004A46F3"/>
    <w:rsid w:val="004C680E"/>
    <w:rsid w:val="004C6A1E"/>
    <w:rsid w:val="004D12FE"/>
    <w:rsid w:val="004D3845"/>
    <w:rsid w:val="004D3BF0"/>
    <w:rsid w:val="004E581A"/>
    <w:rsid w:val="004F0167"/>
    <w:rsid w:val="00500DA0"/>
    <w:rsid w:val="005069D9"/>
    <w:rsid w:val="0051359C"/>
    <w:rsid w:val="00514611"/>
    <w:rsid w:val="0051651C"/>
    <w:rsid w:val="0052200A"/>
    <w:rsid w:val="00522A83"/>
    <w:rsid w:val="00540198"/>
    <w:rsid w:val="0054389F"/>
    <w:rsid w:val="00547AC7"/>
    <w:rsid w:val="00551B4C"/>
    <w:rsid w:val="0055296F"/>
    <w:rsid w:val="0055431B"/>
    <w:rsid w:val="005560EF"/>
    <w:rsid w:val="00564F62"/>
    <w:rsid w:val="0057074A"/>
    <w:rsid w:val="005713CC"/>
    <w:rsid w:val="005720E9"/>
    <w:rsid w:val="00573222"/>
    <w:rsid w:val="00586449"/>
    <w:rsid w:val="00587548"/>
    <w:rsid w:val="00587BF3"/>
    <w:rsid w:val="00587C32"/>
    <w:rsid w:val="00595099"/>
    <w:rsid w:val="005A26A9"/>
    <w:rsid w:val="005A2F73"/>
    <w:rsid w:val="005B0DB3"/>
    <w:rsid w:val="005B118D"/>
    <w:rsid w:val="005B3584"/>
    <w:rsid w:val="005B6266"/>
    <w:rsid w:val="005B649C"/>
    <w:rsid w:val="005B75C1"/>
    <w:rsid w:val="005C62C5"/>
    <w:rsid w:val="005D1D30"/>
    <w:rsid w:val="005D3007"/>
    <w:rsid w:val="005D4790"/>
    <w:rsid w:val="005D5370"/>
    <w:rsid w:val="005E0DE4"/>
    <w:rsid w:val="005E2259"/>
    <w:rsid w:val="005E230C"/>
    <w:rsid w:val="005E34E0"/>
    <w:rsid w:val="005E448E"/>
    <w:rsid w:val="005F0528"/>
    <w:rsid w:val="005F206A"/>
    <w:rsid w:val="005F49B3"/>
    <w:rsid w:val="005F653D"/>
    <w:rsid w:val="006036F8"/>
    <w:rsid w:val="0060432F"/>
    <w:rsid w:val="00605316"/>
    <w:rsid w:val="0060642F"/>
    <w:rsid w:val="006077A9"/>
    <w:rsid w:val="00610D0B"/>
    <w:rsid w:val="00613937"/>
    <w:rsid w:val="00613E4D"/>
    <w:rsid w:val="00615A0C"/>
    <w:rsid w:val="0061695E"/>
    <w:rsid w:val="00617F5D"/>
    <w:rsid w:val="006216B4"/>
    <w:rsid w:val="00625106"/>
    <w:rsid w:val="00632C9A"/>
    <w:rsid w:val="00640A01"/>
    <w:rsid w:val="006430C0"/>
    <w:rsid w:val="00644BB3"/>
    <w:rsid w:val="00646138"/>
    <w:rsid w:val="00650745"/>
    <w:rsid w:val="0065125E"/>
    <w:rsid w:val="00651B9B"/>
    <w:rsid w:val="00653433"/>
    <w:rsid w:val="00655236"/>
    <w:rsid w:val="006630FB"/>
    <w:rsid w:val="00665EC9"/>
    <w:rsid w:val="006676A5"/>
    <w:rsid w:val="006710DC"/>
    <w:rsid w:val="00675035"/>
    <w:rsid w:val="00676987"/>
    <w:rsid w:val="00677BC9"/>
    <w:rsid w:val="00683071"/>
    <w:rsid w:val="00685764"/>
    <w:rsid w:val="00686AFF"/>
    <w:rsid w:val="00695349"/>
    <w:rsid w:val="00695533"/>
    <w:rsid w:val="00697DE5"/>
    <w:rsid w:val="006A1AA8"/>
    <w:rsid w:val="006A37E3"/>
    <w:rsid w:val="006A6DDB"/>
    <w:rsid w:val="006A770C"/>
    <w:rsid w:val="006B0014"/>
    <w:rsid w:val="006B3D1D"/>
    <w:rsid w:val="006B5F83"/>
    <w:rsid w:val="006B67ED"/>
    <w:rsid w:val="006C5D61"/>
    <w:rsid w:val="006C705A"/>
    <w:rsid w:val="006C7570"/>
    <w:rsid w:val="006D0714"/>
    <w:rsid w:val="006D0A8D"/>
    <w:rsid w:val="006D3289"/>
    <w:rsid w:val="006E4415"/>
    <w:rsid w:val="006E462C"/>
    <w:rsid w:val="006F2787"/>
    <w:rsid w:val="006F40B5"/>
    <w:rsid w:val="006F5D61"/>
    <w:rsid w:val="00706081"/>
    <w:rsid w:val="00707C51"/>
    <w:rsid w:val="00712652"/>
    <w:rsid w:val="00713A5D"/>
    <w:rsid w:val="00720FEF"/>
    <w:rsid w:val="0072221F"/>
    <w:rsid w:val="00722ED8"/>
    <w:rsid w:val="007240E6"/>
    <w:rsid w:val="0073212D"/>
    <w:rsid w:val="00733746"/>
    <w:rsid w:val="00735EB8"/>
    <w:rsid w:val="00736CDA"/>
    <w:rsid w:val="00737291"/>
    <w:rsid w:val="00742BAE"/>
    <w:rsid w:val="00750CC1"/>
    <w:rsid w:val="007513AB"/>
    <w:rsid w:val="00753083"/>
    <w:rsid w:val="00753AD4"/>
    <w:rsid w:val="00755484"/>
    <w:rsid w:val="00757AAB"/>
    <w:rsid w:val="00760A23"/>
    <w:rsid w:val="00763002"/>
    <w:rsid w:val="00765D3B"/>
    <w:rsid w:val="007679D5"/>
    <w:rsid w:val="007703FA"/>
    <w:rsid w:val="00771E0F"/>
    <w:rsid w:val="007728D2"/>
    <w:rsid w:val="007736D9"/>
    <w:rsid w:val="00775876"/>
    <w:rsid w:val="007848B7"/>
    <w:rsid w:val="00785866"/>
    <w:rsid w:val="00786B1A"/>
    <w:rsid w:val="007875AE"/>
    <w:rsid w:val="0078777C"/>
    <w:rsid w:val="007970E1"/>
    <w:rsid w:val="007A288E"/>
    <w:rsid w:val="007A53BB"/>
    <w:rsid w:val="007B2C1E"/>
    <w:rsid w:val="007B46F6"/>
    <w:rsid w:val="007B5BD6"/>
    <w:rsid w:val="007B63CD"/>
    <w:rsid w:val="007C373C"/>
    <w:rsid w:val="007C7D36"/>
    <w:rsid w:val="007D0B20"/>
    <w:rsid w:val="007D17B5"/>
    <w:rsid w:val="007D24A3"/>
    <w:rsid w:val="007E14BF"/>
    <w:rsid w:val="007E7B98"/>
    <w:rsid w:val="007F0BBF"/>
    <w:rsid w:val="007F4EBC"/>
    <w:rsid w:val="007F5651"/>
    <w:rsid w:val="007F7FED"/>
    <w:rsid w:val="00805BF1"/>
    <w:rsid w:val="0080634A"/>
    <w:rsid w:val="00806DFA"/>
    <w:rsid w:val="00821962"/>
    <w:rsid w:val="00822511"/>
    <w:rsid w:val="008275A6"/>
    <w:rsid w:val="0083215B"/>
    <w:rsid w:val="0083710F"/>
    <w:rsid w:val="00837200"/>
    <w:rsid w:val="00840547"/>
    <w:rsid w:val="0084332A"/>
    <w:rsid w:val="008465D6"/>
    <w:rsid w:val="00860899"/>
    <w:rsid w:val="0086352B"/>
    <w:rsid w:val="00866025"/>
    <w:rsid w:val="0088233C"/>
    <w:rsid w:val="008916D0"/>
    <w:rsid w:val="008A0326"/>
    <w:rsid w:val="008A3877"/>
    <w:rsid w:val="008B1922"/>
    <w:rsid w:val="008B1A58"/>
    <w:rsid w:val="008B1B71"/>
    <w:rsid w:val="008B2182"/>
    <w:rsid w:val="008C18AE"/>
    <w:rsid w:val="008C3603"/>
    <w:rsid w:val="008C4597"/>
    <w:rsid w:val="008C45A5"/>
    <w:rsid w:val="008D34A8"/>
    <w:rsid w:val="008D4FD5"/>
    <w:rsid w:val="008D79A3"/>
    <w:rsid w:val="008D7C33"/>
    <w:rsid w:val="008E4705"/>
    <w:rsid w:val="008E5BBF"/>
    <w:rsid w:val="008E5E4D"/>
    <w:rsid w:val="008E6AD1"/>
    <w:rsid w:val="008F2EA2"/>
    <w:rsid w:val="008F75B5"/>
    <w:rsid w:val="008F79E0"/>
    <w:rsid w:val="009007B6"/>
    <w:rsid w:val="00901159"/>
    <w:rsid w:val="009026AA"/>
    <w:rsid w:val="00911000"/>
    <w:rsid w:val="00911E49"/>
    <w:rsid w:val="00911F9D"/>
    <w:rsid w:val="009155B3"/>
    <w:rsid w:val="00916812"/>
    <w:rsid w:val="00916FDE"/>
    <w:rsid w:val="009227A6"/>
    <w:rsid w:val="00923678"/>
    <w:rsid w:val="00926EAA"/>
    <w:rsid w:val="0093492C"/>
    <w:rsid w:val="0093762E"/>
    <w:rsid w:val="00940B57"/>
    <w:rsid w:val="00941562"/>
    <w:rsid w:val="009447E3"/>
    <w:rsid w:val="00944BDE"/>
    <w:rsid w:val="0094618C"/>
    <w:rsid w:val="009470FD"/>
    <w:rsid w:val="00950A27"/>
    <w:rsid w:val="00953A5C"/>
    <w:rsid w:val="0095576C"/>
    <w:rsid w:val="00960ADE"/>
    <w:rsid w:val="009732B6"/>
    <w:rsid w:val="00974554"/>
    <w:rsid w:val="00976D15"/>
    <w:rsid w:val="00977E1A"/>
    <w:rsid w:val="009838D5"/>
    <w:rsid w:val="00987290"/>
    <w:rsid w:val="009950C9"/>
    <w:rsid w:val="00995B3F"/>
    <w:rsid w:val="00996B9B"/>
    <w:rsid w:val="009A0388"/>
    <w:rsid w:val="009A1938"/>
    <w:rsid w:val="009A269B"/>
    <w:rsid w:val="009A33C1"/>
    <w:rsid w:val="009A72B3"/>
    <w:rsid w:val="009A79F1"/>
    <w:rsid w:val="009B099B"/>
    <w:rsid w:val="009B2BC9"/>
    <w:rsid w:val="009B36AA"/>
    <w:rsid w:val="009B4C31"/>
    <w:rsid w:val="009B699E"/>
    <w:rsid w:val="009C098B"/>
    <w:rsid w:val="009C3B83"/>
    <w:rsid w:val="009C6765"/>
    <w:rsid w:val="009D57DB"/>
    <w:rsid w:val="009E1EF1"/>
    <w:rsid w:val="009E21B7"/>
    <w:rsid w:val="009E4B4F"/>
    <w:rsid w:val="009F22F0"/>
    <w:rsid w:val="009F43A4"/>
    <w:rsid w:val="009F5E83"/>
    <w:rsid w:val="00A01777"/>
    <w:rsid w:val="00A06E43"/>
    <w:rsid w:val="00A07432"/>
    <w:rsid w:val="00A12932"/>
    <w:rsid w:val="00A13793"/>
    <w:rsid w:val="00A156AE"/>
    <w:rsid w:val="00A15E04"/>
    <w:rsid w:val="00A165EA"/>
    <w:rsid w:val="00A22388"/>
    <w:rsid w:val="00A228F5"/>
    <w:rsid w:val="00A24B93"/>
    <w:rsid w:val="00A337E6"/>
    <w:rsid w:val="00A3600A"/>
    <w:rsid w:val="00A43F9C"/>
    <w:rsid w:val="00A4634B"/>
    <w:rsid w:val="00A46C72"/>
    <w:rsid w:val="00A50C50"/>
    <w:rsid w:val="00A52FDF"/>
    <w:rsid w:val="00A54C36"/>
    <w:rsid w:val="00A554C6"/>
    <w:rsid w:val="00A56BC1"/>
    <w:rsid w:val="00A600CF"/>
    <w:rsid w:val="00A61D39"/>
    <w:rsid w:val="00A62353"/>
    <w:rsid w:val="00A63F51"/>
    <w:rsid w:val="00A70EEB"/>
    <w:rsid w:val="00A75EF4"/>
    <w:rsid w:val="00A77551"/>
    <w:rsid w:val="00A9010C"/>
    <w:rsid w:val="00A901C5"/>
    <w:rsid w:val="00A9025B"/>
    <w:rsid w:val="00AA663B"/>
    <w:rsid w:val="00AB0426"/>
    <w:rsid w:val="00AB1510"/>
    <w:rsid w:val="00AB2DE7"/>
    <w:rsid w:val="00AB4CA7"/>
    <w:rsid w:val="00AB636E"/>
    <w:rsid w:val="00AB6798"/>
    <w:rsid w:val="00AD49F8"/>
    <w:rsid w:val="00AE1E5D"/>
    <w:rsid w:val="00AE4E9C"/>
    <w:rsid w:val="00AE50B8"/>
    <w:rsid w:val="00AF1688"/>
    <w:rsid w:val="00AF2B8C"/>
    <w:rsid w:val="00AF3194"/>
    <w:rsid w:val="00AF7DAD"/>
    <w:rsid w:val="00B11DEB"/>
    <w:rsid w:val="00B120C9"/>
    <w:rsid w:val="00B16C52"/>
    <w:rsid w:val="00B20170"/>
    <w:rsid w:val="00B21489"/>
    <w:rsid w:val="00B2164A"/>
    <w:rsid w:val="00B22495"/>
    <w:rsid w:val="00B23D28"/>
    <w:rsid w:val="00B244B7"/>
    <w:rsid w:val="00B27848"/>
    <w:rsid w:val="00B278B9"/>
    <w:rsid w:val="00B3097A"/>
    <w:rsid w:val="00B3106B"/>
    <w:rsid w:val="00B3254A"/>
    <w:rsid w:val="00B404D0"/>
    <w:rsid w:val="00B40C4C"/>
    <w:rsid w:val="00B418DF"/>
    <w:rsid w:val="00B44F10"/>
    <w:rsid w:val="00B50E11"/>
    <w:rsid w:val="00B648BF"/>
    <w:rsid w:val="00B64D36"/>
    <w:rsid w:val="00B70181"/>
    <w:rsid w:val="00B73443"/>
    <w:rsid w:val="00B8347D"/>
    <w:rsid w:val="00B83F4A"/>
    <w:rsid w:val="00B862D2"/>
    <w:rsid w:val="00B87BB1"/>
    <w:rsid w:val="00B90127"/>
    <w:rsid w:val="00B908DF"/>
    <w:rsid w:val="00B914B6"/>
    <w:rsid w:val="00B92A41"/>
    <w:rsid w:val="00B9551D"/>
    <w:rsid w:val="00B95693"/>
    <w:rsid w:val="00B95E84"/>
    <w:rsid w:val="00BA16F1"/>
    <w:rsid w:val="00BA1F62"/>
    <w:rsid w:val="00BA4A8D"/>
    <w:rsid w:val="00BB3F9A"/>
    <w:rsid w:val="00BD2454"/>
    <w:rsid w:val="00BE3E46"/>
    <w:rsid w:val="00BF09B4"/>
    <w:rsid w:val="00BF51A8"/>
    <w:rsid w:val="00C01927"/>
    <w:rsid w:val="00C04C43"/>
    <w:rsid w:val="00C11D38"/>
    <w:rsid w:val="00C11E1C"/>
    <w:rsid w:val="00C21915"/>
    <w:rsid w:val="00C33AAD"/>
    <w:rsid w:val="00C340F7"/>
    <w:rsid w:val="00C4185B"/>
    <w:rsid w:val="00C45291"/>
    <w:rsid w:val="00C468B1"/>
    <w:rsid w:val="00C519B2"/>
    <w:rsid w:val="00C52737"/>
    <w:rsid w:val="00C53B19"/>
    <w:rsid w:val="00C5727B"/>
    <w:rsid w:val="00C63FFA"/>
    <w:rsid w:val="00C64B6A"/>
    <w:rsid w:val="00C66F95"/>
    <w:rsid w:val="00C71905"/>
    <w:rsid w:val="00C71B2D"/>
    <w:rsid w:val="00C72A6C"/>
    <w:rsid w:val="00C7361A"/>
    <w:rsid w:val="00C737CE"/>
    <w:rsid w:val="00C7460D"/>
    <w:rsid w:val="00C82502"/>
    <w:rsid w:val="00C8430A"/>
    <w:rsid w:val="00C84D8B"/>
    <w:rsid w:val="00C9262D"/>
    <w:rsid w:val="00CA6C2A"/>
    <w:rsid w:val="00CB2381"/>
    <w:rsid w:val="00CB2439"/>
    <w:rsid w:val="00CB52E7"/>
    <w:rsid w:val="00CB6552"/>
    <w:rsid w:val="00CB6F8A"/>
    <w:rsid w:val="00CC02A7"/>
    <w:rsid w:val="00CC103A"/>
    <w:rsid w:val="00CC3AB3"/>
    <w:rsid w:val="00CD1BDD"/>
    <w:rsid w:val="00CD55DE"/>
    <w:rsid w:val="00CE09E5"/>
    <w:rsid w:val="00CE0CC7"/>
    <w:rsid w:val="00CE30E0"/>
    <w:rsid w:val="00CE3BED"/>
    <w:rsid w:val="00CE50E3"/>
    <w:rsid w:val="00CE66E2"/>
    <w:rsid w:val="00CE6C1E"/>
    <w:rsid w:val="00CE6DC9"/>
    <w:rsid w:val="00CF05BE"/>
    <w:rsid w:val="00CF1B27"/>
    <w:rsid w:val="00CF7D86"/>
    <w:rsid w:val="00CF7D99"/>
    <w:rsid w:val="00D00B2E"/>
    <w:rsid w:val="00D021EE"/>
    <w:rsid w:val="00D026E5"/>
    <w:rsid w:val="00D0642F"/>
    <w:rsid w:val="00D06CF7"/>
    <w:rsid w:val="00D16320"/>
    <w:rsid w:val="00D2145B"/>
    <w:rsid w:val="00D23AB6"/>
    <w:rsid w:val="00D2698D"/>
    <w:rsid w:val="00D31928"/>
    <w:rsid w:val="00D344C1"/>
    <w:rsid w:val="00D35A2F"/>
    <w:rsid w:val="00D42B06"/>
    <w:rsid w:val="00D462E0"/>
    <w:rsid w:val="00D523A1"/>
    <w:rsid w:val="00D526DF"/>
    <w:rsid w:val="00D61362"/>
    <w:rsid w:val="00D674DC"/>
    <w:rsid w:val="00D67A04"/>
    <w:rsid w:val="00D73D76"/>
    <w:rsid w:val="00D76857"/>
    <w:rsid w:val="00D77C76"/>
    <w:rsid w:val="00D811BE"/>
    <w:rsid w:val="00D83CC8"/>
    <w:rsid w:val="00D91BA3"/>
    <w:rsid w:val="00D96192"/>
    <w:rsid w:val="00DA44A9"/>
    <w:rsid w:val="00DA7A8D"/>
    <w:rsid w:val="00DB19FF"/>
    <w:rsid w:val="00DB40AE"/>
    <w:rsid w:val="00DB4BAE"/>
    <w:rsid w:val="00DC0738"/>
    <w:rsid w:val="00DC1DFA"/>
    <w:rsid w:val="00DC2897"/>
    <w:rsid w:val="00DD0D2F"/>
    <w:rsid w:val="00DD4D3D"/>
    <w:rsid w:val="00DE0282"/>
    <w:rsid w:val="00DE1587"/>
    <w:rsid w:val="00DE39D7"/>
    <w:rsid w:val="00DE7609"/>
    <w:rsid w:val="00DE768D"/>
    <w:rsid w:val="00DF0D64"/>
    <w:rsid w:val="00DF1032"/>
    <w:rsid w:val="00DF4D83"/>
    <w:rsid w:val="00E01835"/>
    <w:rsid w:val="00E02EAF"/>
    <w:rsid w:val="00E03204"/>
    <w:rsid w:val="00E03B46"/>
    <w:rsid w:val="00E067A2"/>
    <w:rsid w:val="00E0771B"/>
    <w:rsid w:val="00E077DF"/>
    <w:rsid w:val="00E07A72"/>
    <w:rsid w:val="00E10EE6"/>
    <w:rsid w:val="00E13DEA"/>
    <w:rsid w:val="00E15BCC"/>
    <w:rsid w:val="00E3052B"/>
    <w:rsid w:val="00E31629"/>
    <w:rsid w:val="00E324F2"/>
    <w:rsid w:val="00E3432B"/>
    <w:rsid w:val="00E4130F"/>
    <w:rsid w:val="00E43F8E"/>
    <w:rsid w:val="00E45186"/>
    <w:rsid w:val="00E4603C"/>
    <w:rsid w:val="00E50554"/>
    <w:rsid w:val="00E507F0"/>
    <w:rsid w:val="00E5099A"/>
    <w:rsid w:val="00E51144"/>
    <w:rsid w:val="00E52D52"/>
    <w:rsid w:val="00E55848"/>
    <w:rsid w:val="00E56F02"/>
    <w:rsid w:val="00E63F2E"/>
    <w:rsid w:val="00E65FD4"/>
    <w:rsid w:val="00E7210A"/>
    <w:rsid w:val="00E72A79"/>
    <w:rsid w:val="00E7487B"/>
    <w:rsid w:val="00E802B6"/>
    <w:rsid w:val="00E82E00"/>
    <w:rsid w:val="00E8500B"/>
    <w:rsid w:val="00E8695C"/>
    <w:rsid w:val="00E86AD4"/>
    <w:rsid w:val="00E904E4"/>
    <w:rsid w:val="00E910B4"/>
    <w:rsid w:val="00E932B5"/>
    <w:rsid w:val="00E94C86"/>
    <w:rsid w:val="00E956DA"/>
    <w:rsid w:val="00E95904"/>
    <w:rsid w:val="00E972D3"/>
    <w:rsid w:val="00EA79AD"/>
    <w:rsid w:val="00EB0133"/>
    <w:rsid w:val="00EB239A"/>
    <w:rsid w:val="00EB30B8"/>
    <w:rsid w:val="00EC0B22"/>
    <w:rsid w:val="00EC7C52"/>
    <w:rsid w:val="00ED011F"/>
    <w:rsid w:val="00ED23AA"/>
    <w:rsid w:val="00ED58E4"/>
    <w:rsid w:val="00ED68B8"/>
    <w:rsid w:val="00EE0738"/>
    <w:rsid w:val="00EE0CE1"/>
    <w:rsid w:val="00EE0DBB"/>
    <w:rsid w:val="00EE1E18"/>
    <w:rsid w:val="00EE6A14"/>
    <w:rsid w:val="00EE7699"/>
    <w:rsid w:val="00EE7C9E"/>
    <w:rsid w:val="00EF0C48"/>
    <w:rsid w:val="00EF46E6"/>
    <w:rsid w:val="00EF5F44"/>
    <w:rsid w:val="00EF626F"/>
    <w:rsid w:val="00EF629B"/>
    <w:rsid w:val="00F00B18"/>
    <w:rsid w:val="00F03352"/>
    <w:rsid w:val="00F0614B"/>
    <w:rsid w:val="00F113FD"/>
    <w:rsid w:val="00F11C6C"/>
    <w:rsid w:val="00F12440"/>
    <w:rsid w:val="00F142DB"/>
    <w:rsid w:val="00F16056"/>
    <w:rsid w:val="00F21520"/>
    <w:rsid w:val="00F25D67"/>
    <w:rsid w:val="00F26354"/>
    <w:rsid w:val="00F3578B"/>
    <w:rsid w:val="00F4146B"/>
    <w:rsid w:val="00F43A15"/>
    <w:rsid w:val="00F43C52"/>
    <w:rsid w:val="00F44185"/>
    <w:rsid w:val="00F471C4"/>
    <w:rsid w:val="00F53553"/>
    <w:rsid w:val="00F5420B"/>
    <w:rsid w:val="00F55C9B"/>
    <w:rsid w:val="00F56324"/>
    <w:rsid w:val="00F57032"/>
    <w:rsid w:val="00F628B4"/>
    <w:rsid w:val="00F62C95"/>
    <w:rsid w:val="00F63187"/>
    <w:rsid w:val="00F6399E"/>
    <w:rsid w:val="00F64212"/>
    <w:rsid w:val="00F7026F"/>
    <w:rsid w:val="00F712D4"/>
    <w:rsid w:val="00F71C68"/>
    <w:rsid w:val="00F85632"/>
    <w:rsid w:val="00F87163"/>
    <w:rsid w:val="00F87892"/>
    <w:rsid w:val="00F90936"/>
    <w:rsid w:val="00F93BA4"/>
    <w:rsid w:val="00F94A75"/>
    <w:rsid w:val="00F95B0D"/>
    <w:rsid w:val="00F95B87"/>
    <w:rsid w:val="00F96145"/>
    <w:rsid w:val="00F97E13"/>
    <w:rsid w:val="00FA71DD"/>
    <w:rsid w:val="00FB1A7A"/>
    <w:rsid w:val="00FC01F2"/>
    <w:rsid w:val="00FC0385"/>
    <w:rsid w:val="00FC76E7"/>
    <w:rsid w:val="00FD07EE"/>
    <w:rsid w:val="00FD36CE"/>
    <w:rsid w:val="00FD48A0"/>
    <w:rsid w:val="00FE07D3"/>
    <w:rsid w:val="00FE53D2"/>
    <w:rsid w:val="00FE5F88"/>
    <w:rsid w:val="00FE7C5E"/>
    <w:rsid w:val="00FF07BC"/>
    <w:rsid w:val="00FF1218"/>
    <w:rsid w:val="00FF1D69"/>
    <w:rsid w:val="00FF2F54"/>
    <w:rsid w:val="00FF68C6"/>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A91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customStyle="1" w:styleId="LegalList1">
    <w:name w:val="Legal_List1"/>
    <w:basedOn w:val="Normal"/>
    <w:semiHidden/>
    <w:rsid w:val="0003162D"/>
    <w:pPr>
      <w:suppressAutoHyphens/>
      <w:spacing w:after="360" w:line="480" w:lineRule="auto"/>
      <w:jc w:val="both"/>
      <w:outlineLvl w:val="0"/>
    </w:pPr>
    <w:rPr>
      <w:rFonts w:ascii="Arial" w:eastAsia="Times New Roman" w:hAnsi="Arial" w:cs="Times New Roman"/>
      <w:lang w:val="en-GB" w:eastAsia="en-GB"/>
    </w:rPr>
  </w:style>
  <w:style w:type="paragraph" w:customStyle="1" w:styleId="LegalNormal">
    <w:name w:val="Legal_Normal"/>
    <w:basedOn w:val="Normal"/>
    <w:rsid w:val="0003162D"/>
    <w:pPr>
      <w:suppressAutoHyphens/>
      <w:spacing w:after="360" w:line="480" w:lineRule="auto"/>
      <w:jc w:val="both"/>
    </w:pPr>
    <w:rPr>
      <w:rFonts w:ascii="Arial" w:eastAsia="Times New Roman" w:hAnsi="Arial" w:cs="Times New Roman"/>
      <w:lang w:val="en-GB" w:eastAsia="en-GB"/>
    </w:rPr>
  </w:style>
  <w:style w:type="paragraph" w:styleId="NoSpacing">
    <w:name w:val="No Spacing"/>
    <w:uiPriority w:val="1"/>
    <w:qFormat/>
    <w:rsid w:val="00F0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12552263">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232958242">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E82C2-1385-4D67-B927-C2118ACE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Mary Bruce</cp:lastModifiedBy>
  <cp:revision>6</cp:revision>
  <cp:lastPrinted>2022-10-25T10:42:00Z</cp:lastPrinted>
  <dcterms:created xsi:type="dcterms:W3CDTF">2022-10-25T10:44:00Z</dcterms:created>
  <dcterms:modified xsi:type="dcterms:W3CDTF">2022-11-02T12:11:00Z</dcterms:modified>
</cp:coreProperties>
</file>