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DC" w:rsidRDefault="006C41DC" w:rsidP="006C41DC">
      <w:pPr>
        <w:rPr>
          <w:rFonts w:ascii="Courier New" w:hAnsi="Courier New" w:cs="Courier New"/>
          <w:color w:val="FF0000"/>
          <w:lang w:eastAsia="en-ZA"/>
        </w:rPr>
      </w:pPr>
      <w:r>
        <w:rPr>
          <w:color w:val="FF0000"/>
        </w:rPr>
        <w:t>Editorial note: Certain information has been redacted from this judgment in compliance with the law.</w:t>
      </w:r>
    </w:p>
    <w:p w:rsidR="006C41DC" w:rsidRDefault="006C41DC" w:rsidP="006C41DC">
      <w:pPr>
        <w:rPr>
          <w:b/>
          <w:u w:val="none"/>
        </w:rPr>
      </w:pPr>
    </w:p>
    <w:p w:rsidR="006C41DC" w:rsidRDefault="006C41DC" w:rsidP="006C41DC">
      <w:pPr>
        <w:rPr>
          <w:b/>
          <w:u w:val="none"/>
        </w:rPr>
      </w:pPr>
    </w:p>
    <w:p w:rsidR="001C2DA1" w:rsidRPr="008A6108" w:rsidRDefault="001C2DA1" w:rsidP="008E31AE">
      <w:pPr>
        <w:jc w:val="center"/>
        <w:rPr>
          <w:b/>
          <w:u w:val="none"/>
        </w:rPr>
      </w:pPr>
      <w:r w:rsidRPr="008A6108">
        <w:rPr>
          <w:b/>
          <w:u w:val="none"/>
        </w:rPr>
        <w:t xml:space="preserve">IN THE HIGH COURT OF </w:t>
      </w:r>
      <w:r w:rsidR="00371B79" w:rsidRPr="008A6108">
        <w:rPr>
          <w:b/>
          <w:u w:val="none"/>
        </w:rPr>
        <w:t>SOUTH AFRICA</w:t>
      </w:r>
    </w:p>
    <w:p w:rsidR="008037EC" w:rsidRPr="008A6108" w:rsidRDefault="008037EC" w:rsidP="0084067A">
      <w:pPr>
        <w:jc w:val="center"/>
        <w:rPr>
          <w:b/>
          <w:u w:val="none"/>
        </w:rPr>
      </w:pPr>
    </w:p>
    <w:p w:rsidR="001C2DA1" w:rsidRPr="008A6108" w:rsidRDefault="001C2DA1" w:rsidP="0084067A">
      <w:pPr>
        <w:jc w:val="center"/>
        <w:rPr>
          <w:b/>
          <w:u w:val="none"/>
        </w:rPr>
      </w:pPr>
      <w:r w:rsidRPr="008A6108">
        <w:rPr>
          <w:b/>
          <w:u w:val="none"/>
        </w:rPr>
        <w:t>(</w:t>
      </w:r>
      <w:r w:rsidR="00371B79" w:rsidRPr="008A6108">
        <w:rPr>
          <w:b/>
          <w:u w:val="none"/>
        </w:rPr>
        <w:t>GAUTENG DIVISION, PRETORIA</w:t>
      </w:r>
      <w:r w:rsidRPr="008A6108">
        <w:rPr>
          <w:b/>
          <w:u w:val="none"/>
        </w:rPr>
        <w:t>)</w:t>
      </w:r>
    </w:p>
    <w:p w:rsidR="002F4398" w:rsidRPr="008A6108" w:rsidRDefault="002F4398" w:rsidP="00D3790A">
      <w:pPr>
        <w:rPr>
          <w:b/>
          <w:u w:val="none"/>
        </w:rPr>
      </w:pPr>
    </w:p>
    <w:p w:rsidR="002F4398" w:rsidRPr="008A6108" w:rsidRDefault="00694469" w:rsidP="0084067A">
      <w:pPr>
        <w:jc w:val="center"/>
        <w:rPr>
          <w:b/>
          <w:u w:val="none"/>
        </w:rPr>
      </w:pPr>
      <w:r w:rsidRPr="008A6108">
        <w:rPr>
          <w:b/>
          <w:noProof/>
          <w:u w:val="none"/>
          <w:lang w:eastAsia="en-ZA"/>
        </w:rPr>
        <mc:AlternateContent>
          <mc:Choice Requires="wpc">
            <w:drawing>
              <wp:inline distT="0" distB="0" distL="0" distR="0" wp14:anchorId="12D072DE" wp14:editId="61D35B61">
                <wp:extent cx="1517650" cy="1619250"/>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57150" y="0"/>
                            <a:ext cx="1460500" cy="1619250"/>
                          </a:xfrm>
                          <a:prstGeom prst="rect">
                            <a:avLst/>
                          </a:prstGeom>
                          <a:noFill/>
                          <a:ln>
                            <a:noFill/>
                          </a:ln>
                        </pic:spPr>
                      </pic:pic>
                    </wpc:wpc>
                  </a:graphicData>
                </a:graphic>
              </wp:inline>
            </w:drawing>
          </mc:Choice>
          <mc:Fallback xmlns:cx1="http://schemas.microsoft.com/office/drawing/2015/9/8/chartex">
            <w:pict>
              <v:group w14:anchorId="66B9F409" id="Canvas 2" o:spid="_x0000_s1026" editas="canvas" style="width:119.5pt;height:127.5pt;mso-position-horizontal-relative:char;mso-position-vertical-relative:line" coordsize="15176,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176;height:16192;visibility:visible;mso-wrap-style:square">
                  <v:fill o:detectmouseclick="t"/>
                  <v:path o:connecttype="none"/>
                </v:shape>
                <v:shape id="Picture 6" o:spid="_x0000_s1028" type="#_x0000_t75" alt="Description: Description: cid:image002.jpg@01D019DE.127D2590" style="position:absolute;left:571;width:14605;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1B6FE4" w:rsidRPr="008A6108" w:rsidRDefault="007C20F4" w:rsidP="00955B2A">
      <w:pPr>
        <w:tabs>
          <w:tab w:val="right" w:pos="8199"/>
        </w:tabs>
        <w:spacing w:line="360" w:lineRule="auto"/>
        <w:jc w:val="right"/>
        <w:rPr>
          <w:b/>
          <w:u w:val="none"/>
        </w:rPr>
      </w:pPr>
      <w:r w:rsidRPr="008A6108">
        <w:rPr>
          <w:b/>
          <w:u w:val="none"/>
        </w:rPr>
        <w:tab/>
      </w:r>
      <w:r w:rsidR="00436243">
        <w:rPr>
          <w:b/>
          <w:u w:val="none"/>
        </w:rPr>
        <w:t xml:space="preserve">     </w:t>
      </w:r>
      <w:r w:rsidRPr="008A6108">
        <w:rPr>
          <w:b/>
          <w:u w:val="none"/>
        </w:rPr>
        <w:t xml:space="preserve">Case number: </w:t>
      </w:r>
      <w:r w:rsidR="000B7F2E">
        <w:rPr>
          <w:b/>
          <w:u w:val="none"/>
        </w:rPr>
        <w:t>23807/2018</w:t>
      </w:r>
    </w:p>
    <w:p w:rsidR="00052F10" w:rsidRPr="008A6108" w:rsidRDefault="00052F10" w:rsidP="008037EC">
      <w:pPr>
        <w:rPr>
          <w:b/>
          <w:u w:val="none"/>
        </w:rPr>
      </w:pPr>
    </w:p>
    <w:p w:rsidR="00052F10" w:rsidRPr="008A6108" w:rsidRDefault="0097211A" w:rsidP="0084067A">
      <w:pPr>
        <w:jc w:val="center"/>
        <w:rPr>
          <w:b/>
          <w:u w:val="none"/>
        </w:rPr>
      </w:pPr>
      <w:r w:rsidRPr="008A6108">
        <w:rPr>
          <w:b/>
          <w:noProof/>
          <w:lang w:eastAsia="en-ZA"/>
        </w:rPr>
        <mc:AlternateContent>
          <mc:Choice Requires="wps">
            <w:drawing>
              <wp:anchor distT="0" distB="0" distL="114300" distR="114300" simplePos="0" relativeHeight="251659264" behindDoc="0" locked="0" layoutInCell="1" allowOverlap="1" wp14:anchorId="04236D3C" wp14:editId="5E223837">
                <wp:simplePos x="0" y="0"/>
                <wp:positionH relativeFrom="column">
                  <wp:posOffset>-30480</wp:posOffset>
                </wp:positionH>
                <wp:positionV relativeFrom="paragraph">
                  <wp:posOffset>76200</wp:posOffset>
                </wp:positionV>
                <wp:extent cx="3371850" cy="1356360"/>
                <wp:effectExtent l="0" t="0" r="1905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56360"/>
                        </a:xfrm>
                        <a:prstGeom prst="rect">
                          <a:avLst/>
                        </a:prstGeom>
                        <a:solidFill>
                          <a:srgbClr val="FFFFFF"/>
                        </a:solidFill>
                        <a:ln w="9525">
                          <a:solidFill>
                            <a:srgbClr val="000000"/>
                          </a:solidFill>
                          <a:miter lim="800000"/>
                          <a:headEnd/>
                          <a:tailEnd/>
                        </a:ln>
                      </wps:spPr>
                      <wps:txbx>
                        <w:txbxContent>
                          <w:p w:rsidR="006C41DC" w:rsidRPr="00913F95" w:rsidRDefault="006C41DC" w:rsidP="00D3790A">
                            <w:pPr>
                              <w:jc w:val="center"/>
                              <w:rPr>
                                <w:rFonts w:ascii="Century Gothic" w:hAnsi="Century Gothic"/>
                                <w:b/>
                                <w:sz w:val="20"/>
                                <w:szCs w:val="20"/>
                              </w:rPr>
                            </w:pPr>
                          </w:p>
                          <w:p w:rsidR="006C41DC" w:rsidRPr="00DD47F2" w:rsidRDefault="006C41DC" w:rsidP="00C03185">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(1)</w:t>
                            </w:r>
                            <w:r w:rsidRPr="00DD47F2">
                              <w:rPr>
                                <w:rFonts w:ascii="Century Gothic" w:hAnsi="Century Gothic"/>
                                <w:sz w:val="19"/>
                                <w:szCs w:val="19"/>
                                <w:u w:val="none"/>
                              </w:rPr>
                              <w:tab/>
                              <w:t xml:space="preserve">REPORTABLE: </w:t>
                            </w:r>
                            <w:r>
                              <w:rPr>
                                <w:rFonts w:ascii="Century Gothic" w:hAnsi="Century Gothic"/>
                                <w:b/>
                                <w:sz w:val="19"/>
                                <w:szCs w:val="19"/>
                                <w:u w:val="none"/>
                              </w:rPr>
                              <w:t>NO</w:t>
                            </w:r>
                          </w:p>
                          <w:p w:rsidR="006C41DC" w:rsidRPr="00DD47F2" w:rsidRDefault="006C41DC" w:rsidP="00C03185">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(2)</w:t>
                            </w:r>
                            <w:r w:rsidRPr="00DD47F2">
                              <w:rPr>
                                <w:rFonts w:ascii="Century Gothic" w:hAnsi="Century Gothic"/>
                                <w:sz w:val="19"/>
                                <w:szCs w:val="19"/>
                                <w:u w:val="none"/>
                              </w:rPr>
                              <w:tab/>
                              <w:t xml:space="preserve">OF INTEREST TO OTHER JUDGES: </w:t>
                            </w:r>
                            <w:r>
                              <w:rPr>
                                <w:rFonts w:ascii="Century Gothic" w:hAnsi="Century Gothic"/>
                                <w:b/>
                                <w:sz w:val="19"/>
                                <w:szCs w:val="19"/>
                                <w:u w:val="none"/>
                              </w:rPr>
                              <w:t>NO</w:t>
                            </w:r>
                          </w:p>
                          <w:p w:rsidR="006C41DC" w:rsidRPr="00DD47F2" w:rsidRDefault="006C41DC" w:rsidP="00C03185">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(3)</w:t>
                            </w:r>
                            <w:r w:rsidRPr="00DD47F2">
                              <w:rPr>
                                <w:rFonts w:ascii="Century Gothic" w:hAnsi="Century Gothic"/>
                                <w:sz w:val="19"/>
                                <w:szCs w:val="19"/>
                                <w:u w:val="none"/>
                              </w:rPr>
                              <w:tab/>
                              <w:t xml:space="preserve">REVISED. </w:t>
                            </w:r>
                            <w:r w:rsidRPr="00DD47F2">
                              <w:rPr>
                                <w:rFonts w:ascii="Century Gothic" w:hAnsi="Century Gothic"/>
                                <w:b/>
                                <w:sz w:val="19"/>
                                <w:szCs w:val="19"/>
                                <w:u w:val="none"/>
                              </w:rPr>
                              <w:t>YES</w:t>
                            </w:r>
                          </w:p>
                          <w:p w:rsidR="006C41DC" w:rsidRPr="00337DD2" w:rsidRDefault="006C41DC" w:rsidP="000F3778">
                            <w:pPr>
                              <w:rPr>
                                <w:rFonts w:ascii="Century Gothic" w:hAnsi="Century Gothic"/>
                                <w:b/>
                                <w:sz w:val="19"/>
                                <w:szCs w:val="19"/>
                                <w:u w:val="none"/>
                              </w:rPr>
                            </w:pPr>
                            <w:r w:rsidRPr="00DD47F2">
                              <w:rPr>
                                <w:rFonts w:ascii="Century Gothic" w:hAnsi="Century Gothic"/>
                                <w:b/>
                                <w:sz w:val="19"/>
                                <w:szCs w:val="19"/>
                                <w:u w:val="none"/>
                              </w:rPr>
                              <w:t xml:space="preserve">  </w:t>
                            </w:r>
                            <w:r>
                              <w:rPr>
                                <w:rFonts w:ascii="Century Gothic" w:hAnsi="Century Gothic"/>
                                <w:b/>
                                <w:sz w:val="22"/>
                                <w:szCs w:val="19"/>
                              </w:rPr>
                              <w:t>17</w:t>
                            </w:r>
                            <w:r w:rsidRPr="00337DD2">
                              <w:rPr>
                                <w:rFonts w:ascii="Century Gothic" w:hAnsi="Century Gothic"/>
                                <w:b/>
                                <w:sz w:val="22"/>
                                <w:szCs w:val="19"/>
                              </w:rPr>
                              <w:t xml:space="preserve"> October 2022  </w:t>
                            </w:r>
                            <w:r w:rsidRPr="00337DD2">
                              <w:rPr>
                                <w:rFonts w:ascii="Century Gothic" w:hAnsi="Century Gothic"/>
                                <w:b/>
                                <w:sz w:val="19"/>
                                <w:szCs w:val="19"/>
                                <w:u w:val="none"/>
                              </w:rPr>
                              <w:t xml:space="preserve">     </w:t>
                            </w:r>
                            <w:r w:rsidRPr="00DD47F2">
                              <w:rPr>
                                <w:rFonts w:ascii="Century Gothic" w:hAnsi="Century Gothic"/>
                                <w:i/>
                                <w:noProof/>
                                <w:sz w:val="20"/>
                                <w:szCs w:val="20"/>
                                <w:lang w:eastAsia="en-ZA"/>
                              </w:rPr>
                              <w:drawing>
                                <wp:inline distT="0" distB="0" distL="0" distR="0" wp14:anchorId="694142E9" wp14:editId="07B0C4EE">
                                  <wp:extent cx="1421962" cy="366395"/>
                                  <wp:effectExtent l="0" t="0" r="6985" b="0"/>
                                  <wp:docPr id="4" name="Picture 4" descr="C:\Users\Brenda\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Pictures\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7506" cy="385860"/>
                                          </a:xfrm>
                                          <a:prstGeom prst="rect">
                                            <a:avLst/>
                                          </a:prstGeom>
                                          <a:noFill/>
                                          <a:ln>
                                            <a:noFill/>
                                          </a:ln>
                                        </pic:spPr>
                                      </pic:pic>
                                    </a:graphicData>
                                  </a:graphic>
                                </wp:inline>
                              </w:drawing>
                            </w:r>
                          </w:p>
                          <w:p w:rsidR="006C41DC" w:rsidRPr="00A368AD" w:rsidRDefault="006C41DC" w:rsidP="00A368AD">
                            <w:pPr>
                              <w:rPr>
                                <w:rFonts w:ascii="Century Gothic" w:hAnsi="Century Gothic"/>
                                <w:sz w:val="19"/>
                                <w:szCs w:val="19"/>
                                <w:u w:val="none"/>
                              </w:rPr>
                            </w:pPr>
                            <w:r w:rsidRPr="00DD47F2">
                              <w:rPr>
                                <w:rFonts w:ascii="Century Gothic" w:hAnsi="Century Gothic"/>
                                <w:sz w:val="19"/>
                                <w:szCs w:val="19"/>
                                <w:u w:val="none"/>
                              </w:rPr>
                              <w:t xml:space="preserve">  DATE</w:t>
                            </w:r>
                            <w:r w:rsidRPr="00DD47F2">
                              <w:rPr>
                                <w:rFonts w:ascii="Century Gothic" w:hAnsi="Century Gothic"/>
                                <w:sz w:val="19"/>
                                <w:szCs w:val="19"/>
                                <w:u w:val="none"/>
                              </w:rPr>
                              <w:tab/>
                            </w:r>
                            <w:r w:rsidRPr="00DD47F2">
                              <w:rPr>
                                <w:rFonts w:ascii="Century Gothic" w:hAnsi="Century Gothic"/>
                                <w:sz w:val="19"/>
                                <w:szCs w:val="19"/>
                                <w:u w:val="none"/>
                              </w:rPr>
                              <w:tab/>
                              <w:t xml:space="preserve">        </w:t>
                            </w:r>
                            <w:r>
                              <w:rPr>
                                <w:rFonts w:ascii="Century Gothic" w:hAnsi="Century Gothic"/>
                                <w:sz w:val="19"/>
                                <w:szCs w:val="19"/>
                                <w:u w:val="none"/>
                              </w:rPr>
                              <w:t xml:space="preserve">          </w:t>
                            </w:r>
                            <w:r w:rsidRPr="00DD47F2">
                              <w:rPr>
                                <w:rFonts w:ascii="Century Gothic" w:hAnsi="Century Gothic"/>
                                <w:sz w:val="19"/>
                                <w:szCs w:val="19"/>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6D3C" id="_x0000_t202" coordsize="21600,21600" o:spt="202" path="m,l,21600r21600,l21600,xe">
                <v:stroke joinstyle="miter"/>
                <v:path gradientshapeok="t" o:connecttype="rect"/>
              </v:shapetype>
              <v:shape id="Text Box 5" o:spid="_x0000_s1026" type="#_x0000_t202" style="position:absolute;left:0;text-align:left;margin-left:-2.4pt;margin-top:6pt;width:265.5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">
                <v:textbox>
                  <w:txbxContent>
                    <w:p w:rsidR="006C41DC" w:rsidRPr="00913F95" w:rsidRDefault="006C41DC" w:rsidP="00D3790A">
                      <w:pPr>
                        <w:jc w:val="center"/>
                        <w:rPr>
                          <w:rFonts w:ascii="Century Gothic" w:hAnsi="Century Gothic"/>
                          <w:b/>
                          <w:sz w:val="20"/>
                          <w:szCs w:val="20"/>
                        </w:rPr>
                      </w:pPr>
                    </w:p>
                    <w:p w:rsidR="006C41DC" w:rsidRPr="00DD47F2" w:rsidRDefault="006C41DC" w:rsidP="00C03185">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(1)</w:t>
                      </w:r>
                      <w:r w:rsidRPr="00DD47F2">
                        <w:rPr>
                          <w:rFonts w:ascii="Century Gothic" w:hAnsi="Century Gothic"/>
                          <w:sz w:val="19"/>
                          <w:szCs w:val="19"/>
                          <w:u w:val="none"/>
                        </w:rPr>
                        <w:tab/>
                        <w:t xml:space="preserve">REPORTABLE: </w:t>
                      </w:r>
                      <w:r>
                        <w:rPr>
                          <w:rFonts w:ascii="Century Gothic" w:hAnsi="Century Gothic"/>
                          <w:b/>
                          <w:sz w:val="19"/>
                          <w:szCs w:val="19"/>
                          <w:u w:val="none"/>
                        </w:rPr>
                        <w:t>NO</w:t>
                      </w:r>
                    </w:p>
                    <w:p w:rsidR="006C41DC" w:rsidRPr="00DD47F2" w:rsidRDefault="006C41DC" w:rsidP="00C03185">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(2)</w:t>
                      </w:r>
                      <w:r w:rsidRPr="00DD47F2">
                        <w:rPr>
                          <w:rFonts w:ascii="Century Gothic" w:hAnsi="Century Gothic"/>
                          <w:sz w:val="19"/>
                          <w:szCs w:val="19"/>
                          <w:u w:val="none"/>
                        </w:rPr>
                        <w:tab/>
                        <w:t xml:space="preserve">OF INTEREST TO OTHER JUDGES: </w:t>
                      </w:r>
                      <w:r>
                        <w:rPr>
                          <w:rFonts w:ascii="Century Gothic" w:hAnsi="Century Gothic"/>
                          <w:b/>
                          <w:sz w:val="19"/>
                          <w:szCs w:val="19"/>
                          <w:u w:val="none"/>
                        </w:rPr>
                        <w:t>NO</w:t>
                      </w:r>
                    </w:p>
                    <w:p w:rsidR="006C41DC" w:rsidRPr="00DD47F2" w:rsidRDefault="006C41DC" w:rsidP="00C03185">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(3)</w:t>
                      </w:r>
                      <w:r w:rsidRPr="00DD47F2">
                        <w:rPr>
                          <w:rFonts w:ascii="Century Gothic" w:hAnsi="Century Gothic"/>
                          <w:sz w:val="19"/>
                          <w:szCs w:val="19"/>
                          <w:u w:val="none"/>
                        </w:rPr>
                        <w:tab/>
                        <w:t xml:space="preserve">REVISED. </w:t>
                      </w:r>
                      <w:r w:rsidRPr="00DD47F2">
                        <w:rPr>
                          <w:rFonts w:ascii="Century Gothic" w:hAnsi="Century Gothic"/>
                          <w:b/>
                          <w:sz w:val="19"/>
                          <w:szCs w:val="19"/>
                          <w:u w:val="none"/>
                        </w:rPr>
                        <w:t>YES</w:t>
                      </w:r>
                    </w:p>
                    <w:p w:rsidR="006C41DC" w:rsidRPr="00337DD2" w:rsidRDefault="006C41DC" w:rsidP="000F3778">
                      <w:pPr>
                        <w:rPr>
                          <w:rFonts w:ascii="Century Gothic" w:hAnsi="Century Gothic"/>
                          <w:b/>
                          <w:sz w:val="19"/>
                          <w:szCs w:val="19"/>
                          <w:u w:val="none"/>
                        </w:rPr>
                      </w:pPr>
                      <w:r w:rsidRPr="00DD47F2">
                        <w:rPr>
                          <w:rFonts w:ascii="Century Gothic" w:hAnsi="Century Gothic"/>
                          <w:b/>
                          <w:sz w:val="19"/>
                          <w:szCs w:val="19"/>
                          <w:u w:val="none"/>
                        </w:rPr>
                        <w:t xml:space="preserve">  </w:t>
                      </w:r>
                      <w:r>
                        <w:rPr>
                          <w:rFonts w:ascii="Century Gothic" w:hAnsi="Century Gothic"/>
                          <w:b/>
                          <w:sz w:val="22"/>
                          <w:szCs w:val="19"/>
                        </w:rPr>
                        <w:t>17</w:t>
                      </w:r>
                      <w:r w:rsidRPr="00337DD2">
                        <w:rPr>
                          <w:rFonts w:ascii="Century Gothic" w:hAnsi="Century Gothic"/>
                          <w:b/>
                          <w:sz w:val="22"/>
                          <w:szCs w:val="19"/>
                        </w:rPr>
                        <w:t xml:space="preserve"> October 2022  </w:t>
                      </w:r>
                      <w:r w:rsidRPr="00337DD2">
                        <w:rPr>
                          <w:rFonts w:ascii="Century Gothic" w:hAnsi="Century Gothic"/>
                          <w:b/>
                          <w:sz w:val="19"/>
                          <w:szCs w:val="19"/>
                          <w:u w:val="none"/>
                        </w:rPr>
                        <w:t xml:space="preserve">     </w:t>
                      </w:r>
                      <w:r w:rsidRPr="00DD47F2">
                        <w:rPr>
                          <w:rFonts w:ascii="Century Gothic" w:hAnsi="Century Gothic"/>
                          <w:i/>
                          <w:noProof/>
                          <w:sz w:val="20"/>
                          <w:szCs w:val="20"/>
                          <w:lang w:eastAsia="en-ZA"/>
                        </w:rPr>
                        <w:drawing>
                          <wp:inline distT="0" distB="0" distL="0" distR="0" wp14:anchorId="694142E9" wp14:editId="07B0C4EE">
                            <wp:extent cx="1421962" cy="366395"/>
                            <wp:effectExtent l="0" t="0" r="6985" b="0"/>
                            <wp:docPr id="4" name="Picture 4" descr="C:\Users\Brenda\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Pictures\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506" cy="385860"/>
                                    </a:xfrm>
                                    <a:prstGeom prst="rect">
                                      <a:avLst/>
                                    </a:prstGeom>
                                    <a:noFill/>
                                    <a:ln>
                                      <a:noFill/>
                                    </a:ln>
                                  </pic:spPr>
                                </pic:pic>
                              </a:graphicData>
                            </a:graphic>
                          </wp:inline>
                        </w:drawing>
                      </w:r>
                    </w:p>
                    <w:p w:rsidR="006C41DC" w:rsidRPr="00A368AD" w:rsidRDefault="006C41DC" w:rsidP="00A368AD">
                      <w:pPr>
                        <w:rPr>
                          <w:rFonts w:ascii="Century Gothic" w:hAnsi="Century Gothic"/>
                          <w:sz w:val="19"/>
                          <w:szCs w:val="19"/>
                          <w:u w:val="none"/>
                        </w:rPr>
                      </w:pPr>
                      <w:r w:rsidRPr="00DD47F2">
                        <w:rPr>
                          <w:rFonts w:ascii="Century Gothic" w:hAnsi="Century Gothic"/>
                          <w:sz w:val="19"/>
                          <w:szCs w:val="19"/>
                          <w:u w:val="none"/>
                        </w:rPr>
                        <w:t xml:space="preserve">  DATE</w:t>
                      </w:r>
                      <w:r w:rsidRPr="00DD47F2">
                        <w:rPr>
                          <w:rFonts w:ascii="Century Gothic" w:hAnsi="Century Gothic"/>
                          <w:sz w:val="19"/>
                          <w:szCs w:val="19"/>
                          <w:u w:val="none"/>
                        </w:rPr>
                        <w:tab/>
                      </w:r>
                      <w:r w:rsidRPr="00DD47F2">
                        <w:rPr>
                          <w:rFonts w:ascii="Century Gothic" w:hAnsi="Century Gothic"/>
                          <w:sz w:val="19"/>
                          <w:szCs w:val="19"/>
                          <w:u w:val="none"/>
                        </w:rPr>
                        <w:tab/>
                        <w:t xml:space="preserve">        </w:t>
                      </w:r>
                      <w:r>
                        <w:rPr>
                          <w:rFonts w:ascii="Century Gothic" w:hAnsi="Century Gothic"/>
                          <w:sz w:val="19"/>
                          <w:szCs w:val="19"/>
                          <w:u w:val="none"/>
                        </w:rPr>
                        <w:t xml:space="preserve">          </w:t>
                      </w:r>
                      <w:r w:rsidRPr="00DD47F2">
                        <w:rPr>
                          <w:rFonts w:ascii="Century Gothic" w:hAnsi="Century Gothic"/>
                          <w:sz w:val="19"/>
                          <w:szCs w:val="19"/>
                          <w:u w:val="none"/>
                        </w:rPr>
                        <w:t>SIGNATURE</w:t>
                      </w:r>
                    </w:p>
                  </w:txbxContent>
                </v:textbox>
              </v:shape>
            </w:pict>
          </mc:Fallback>
        </mc:AlternateContent>
      </w:r>
    </w:p>
    <w:p w:rsidR="007C20F4" w:rsidRPr="008A6108" w:rsidRDefault="00AE0757" w:rsidP="007C20F4">
      <w:pPr>
        <w:tabs>
          <w:tab w:val="right" w:pos="8199"/>
        </w:tabs>
        <w:spacing w:line="360" w:lineRule="auto"/>
        <w:rPr>
          <w:u w:val="none"/>
        </w:rPr>
      </w:pPr>
      <w:r w:rsidRPr="008A6108">
        <w:rPr>
          <w:b/>
          <w:u w:val="none"/>
        </w:rPr>
        <w:tab/>
      </w:r>
      <w:r w:rsidRPr="008A6108">
        <w:rPr>
          <w:b/>
          <w:u w:val="none"/>
        </w:rPr>
        <w:tab/>
      </w:r>
      <w:r w:rsidRPr="008A6108">
        <w:rPr>
          <w:b/>
          <w:u w:val="none"/>
        </w:rPr>
        <w:tab/>
      </w:r>
      <w:r w:rsidRPr="008A6108">
        <w:rPr>
          <w:b/>
          <w:u w:val="none"/>
        </w:rPr>
        <w:tab/>
      </w:r>
      <w:r w:rsidRPr="008A6108">
        <w:rPr>
          <w:b/>
          <w:u w:val="none"/>
        </w:rPr>
        <w:tab/>
      </w:r>
    </w:p>
    <w:p w:rsidR="0097211A" w:rsidRPr="008A6108" w:rsidRDefault="0097211A"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7C20F4" w:rsidRPr="008A6108" w:rsidRDefault="007C20F4"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8A6108">
        <w:rPr>
          <w:u w:val="none"/>
        </w:rPr>
        <w:t>In the matter between:</w:t>
      </w:r>
    </w:p>
    <w:p w:rsidR="00482701" w:rsidRPr="008A6108" w:rsidRDefault="00482701"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0B7F2E" w:rsidRDefault="000B7F2E"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STATUSFIN FINANCIAL SERVICES (PTY) LTD</w:t>
      </w:r>
      <w:r w:rsidR="00436243">
        <w:rPr>
          <w:b/>
          <w:u w:val="none"/>
        </w:rPr>
        <w:t xml:space="preserve"> </w:t>
      </w:r>
      <w:r w:rsidR="00436243">
        <w:rPr>
          <w:u w:val="none"/>
        </w:rPr>
        <w:t xml:space="preserve">                                             Plaintiff</w:t>
      </w:r>
    </w:p>
    <w:p w:rsidR="00482701" w:rsidRPr="008A6108" w:rsidRDefault="000B7F2E"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(REG NO: 1999/019726/07)</w:t>
      </w:r>
      <w:r w:rsidR="00EA3204" w:rsidRPr="008A6108">
        <w:rPr>
          <w:b/>
          <w:u w:val="none"/>
        </w:rPr>
        <w:tab/>
      </w:r>
      <w:r w:rsidR="00EA3204" w:rsidRPr="008A6108">
        <w:rPr>
          <w:b/>
          <w:u w:val="none"/>
        </w:rPr>
        <w:tab/>
      </w:r>
      <w:r w:rsidR="00EA3204" w:rsidRPr="008A6108">
        <w:rPr>
          <w:b/>
          <w:u w:val="none"/>
        </w:rPr>
        <w:tab/>
      </w:r>
      <w:r w:rsidR="00EA3204" w:rsidRPr="008A6108">
        <w:rPr>
          <w:b/>
          <w:u w:val="none"/>
        </w:rPr>
        <w:tab/>
      </w:r>
      <w:r w:rsidR="00EA3204" w:rsidRPr="008A6108">
        <w:rPr>
          <w:b/>
          <w:u w:val="none"/>
        </w:rPr>
        <w:tab/>
      </w:r>
      <w:r w:rsidR="00EA3204" w:rsidRPr="008A6108">
        <w:rPr>
          <w:b/>
          <w:u w:val="none"/>
        </w:rPr>
        <w:tab/>
      </w:r>
      <w:r w:rsidR="00EA3204" w:rsidRPr="008A6108">
        <w:rPr>
          <w:b/>
          <w:u w:val="none"/>
        </w:rPr>
        <w:tab/>
      </w:r>
    </w:p>
    <w:p w:rsidR="00482701" w:rsidRPr="008A6108" w:rsidRDefault="00482701"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482701" w:rsidRPr="008A6108" w:rsidRDefault="009E7178"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8A6108">
        <w:rPr>
          <w:u w:val="none"/>
        </w:rPr>
        <w:t>a</w:t>
      </w:r>
      <w:r w:rsidR="00482701" w:rsidRPr="008A6108">
        <w:rPr>
          <w:u w:val="none"/>
        </w:rPr>
        <w:t>nd</w:t>
      </w:r>
    </w:p>
    <w:p w:rsidR="00482701" w:rsidRPr="008A6108" w:rsidRDefault="00482701"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0B7F2E" w:rsidRDefault="000B7F2E" w:rsidP="00436243">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Pr>
          <w:b/>
          <w:u w:val="none"/>
        </w:rPr>
        <w:t>JOHANNA HELENA JOESINA CARSTENS</w:t>
      </w:r>
      <w:r w:rsidR="0059547C" w:rsidRPr="008A6108">
        <w:rPr>
          <w:b/>
          <w:u w:val="none"/>
        </w:rPr>
        <w:tab/>
      </w:r>
      <w:r w:rsidR="00436243">
        <w:rPr>
          <w:b/>
          <w:u w:val="none"/>
        </w:rPr>
        <w:t xml:space="preserve">                        </w:t>
      </w:r>
      <w:r w:rsidR="00436243" w:rsidRPr="00436243">
        <w:rPr>
          <w:u w:val="none"/>
        </w:rPr>
        <w:t xml:space="preserve">First </w:t>
      </w:r>
      <w:r w:rsidR="00436243" w:rsidRPr="008A6108">
        <w:rPr>
          <w:u w:val="none"/>
        </w:rPr>
        <w:t>Defendant</w:t>
      </w:r>
    </w:p>
    <w:p w:rsidR="00482701" w:rsidRDefault="000B7F2E" w:rsidP="0057573B">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b/>
          <w:u w:val="none"/>
        </w:rPr>
        <w:t xml:space="preserve">(ID NO: </w:t>
      </w:r>
      <w:r w:rsidR="006C41DC">
        <w:rPr>
          <w:b/>
          <w:u w:val="none"/>
        </w:rPr>
        <w:t>[…]</w:t>
      </w:r>
      <w:r>
        <w:rPr>
          <w:b/>
          <w:u w:val="none"/>
        </w:rPr>
        <w:t>)</w:t>
      </w:r>
      <w:r w:rsidR="0059547C" w:rsidRPr="008A6108">
        <w:rPr>
          <w:b/>
          <w:u w:val="none"/>
        </w:rPr>
        <w:tab/>
      </w:r>
      <w:r w:rsidR="0059547C" w:rsidRPr="008A6108">
        <w:rPr>
          <w:b/>
          <w:u w:val="none"/>
        </w:rPr>
        <w:tab/>
      </w:r>
      <w:r w:rsidR="0059547C" w:rsidRPr="008A6108">
        <w:rPr>
          <w:b/>
          <w:u w:val="none"/>
        </w:rPr>
        <w:tab/>
      </w:r>
      <w:r w:rsidR="0059547C" w:rsidRPr="008A6108">
        <w:rPr>
          <w:b/>
          <w:u w:val="none"/>
        </w:rPr>
        <w:tab/>
      </w:r>
      <w:r w:rsidR="0059547C" w:rsidRPr="008A6108">
        <w:rPr>
          <w:b/>
          <w:u w:val="none"/>
        </w:rPr>
        <w:tab/>
      </w:r>
    </w:p>
    <w:p w:rsidR="00436243" w:rsidRDefault="00436243" w:rsidP="0057573B">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0B7F2E" w:rsidRPr="00436243" w:rsidRDefault="000B7F2E" w:rsidP="0057573B">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436243">
        <w:rPr>
          <w:b/>
          <w:u w:val="none"/>
        </w:rPr>
        <w:t>PHILIPPUS LODEWIKUS BADENHORST N.O</w:t>
      </w:r>
      <w:r w:rsidR="00436243">
        <w:rPr>
          <w:b/>
          <w:u w:val="none"/>
        </w:rPr>
        <w:t xml:space="preserve">                        </w:t>
      </w:r>
      <w:r w:rsidR="00436243">
        <w:rPr>
          <w:u w:val="none"/>
        </w:rPr>
        <w:t>Second Defendant</w:t>
      </w:r>
    </w:p>
    <w:p w:rsidR="000B7F2E" w:rsidRPr="008A6108" w:rsidRDefault="000B7F2E" w:rsidP="0057573B">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436243">
        <w:rPr>
          <w:b/>
          <w:u w:val="none"/>
        </w:rPr>
        <w:t xml:space="preserve">ID NO: </w:t>
      </w:r>
      <w:r w:rsidR="006C41DC">
        <w:rPr>
          <w:b/>
          <w:u w:val="none"/>
        </w:rPr>
        <w:t>[…]</w:t>
      </w:r>
      <w:r w:rsidRPr="00436243">
        <w:rPr>
          <w:b/>
          <w:u w:val="none"/>
        </w:rPr>
        <w:t xml:space="preserve">) </w:t>
      </w:r>
    </w:p>
    <w:p w:rsidR="00482701" w:rsidRPr="008A6108" w:rsidRDefault="00482701"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p>
    <w:p w:rsidR="00306A1E" w:rsidRPr="008A6108" w:rsidRDefault="00306A1E" w:rsidP="00306A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r w:rsidRPr="008A6108">
        <w:rPr>
          <w:b/>
          <w:u w:val="none"/>
        </w:rPr>
        <w:t>JUDGMENT</w:t>
      </w:r>
      <w:r w:rsidR="00A531C6">
        <w:rPr>
          <w:b/>
          <w:u w:val="none"/>
        </w:rPr>
        <w:t xml:space="preserve"> </w:t>
      </w:r>
    </w:p>
    <w:p w:rsidR="00306A1E" w:rsidRPr="008A6108" w:rsidRDefault="00306A1E" w:rsidP="0057573B">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p>
    <w:p w:rsidR="00306A1E" w:rsidRPr="008A6108" w:rsidRDefault="00306A1E"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p>
    <w:p w:rsidR="00850DBE" w:rsidRPr="008A6108" w:rsidRDefault="001972D2" w:rsidP="001972D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8A6108">
        <w:rPr>
          <w:b/>
        </w:rPr>
        <w:t>NEUKIRCHER J</w:t>
      </w:r>
    </w:p>
    <w:p w:rsidR="001972D2" w:rsidRPr="008A6108" w:rsidRDefault="001972D2" w:rsidP="001972D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rsidR="00770485"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w:t>
      </w:r>
      <w:r>
        <w:rPr>
          <w:rFonts w:hAnsi="Arial Unicode MS"/>
          <w:u w:val="none"/>
        </w:rPr>
        <w:tab/>
      </w:r>
      <w:r w:rsidR="008E31AE" w:rsidRPr="00C03185">
        <w:rPr>
          <w:u w:val="none"/>
        </w:rPr>
        <w:t>In this matter the 1</w:t>
      </w:r>
      <w:r w:rsidR="008E31AE" w:rsidRPr="00C03185">
        <w:rPr>
          <w:u w:val="none"/>
          <w:vertAlign w:val="superscript"/>
        </w:rPr>
        <w:t>st</w:t>
      </w:r>
      <w:r w:rsidR="008E31AE" w:rsidRPr="00C03185">
        <w:rPr>
          <w:u w:val="none"/>
        </w:rPr>
        <w:t xml:space="preserve"> and 2</w:t>
      </w:r>
      <w:r w:rsidR="008E31AE" w:rsidRPr="00C03185">
        <w:rPr>
          <w:u w:val="none"/>
          <w:vertAlign w:val="superscript"/>
        </w:rPr>
        <w:t>nd</w:t>
      </w:r>
      <w:r w:rsidR="008E31AE" w:rsidRPr="00C03185">
        <w:rPr>
          <w:u w:val="none"/>
        </w:rPr>
        <w:t xml:space="preserve"> defendants bound themselves as surety and co-principal debtors for the fulfilment of the obligations of one David Richard Martin </w:t>
      </w:r>
      <w:proofErr w:type="spellStart"/>
      <w:r w:rsidR="008E31AE" w:rsidRPr="00C03185">
        <w:rPr>
          <w:u w:val="none"/>
        </w:rPr>
        <w:t>Carstens</w:t>
      </w:r>
      <w:proofErr w:type="spellEnd"/>
      <w:r w:rsidR="008E31AE" w:rsidRPr="00C03185">
        <w:rPr>
          <w:u w:val="none"/>
        </w:rPr>
        <w:t xml:space="preserve"> (the insolvent) towards the plaintiff. The insolvent was finally sequestrated by order of this court on 25 September 2014. The </w:t>
      </w:r>
      <w:r w:rsidR="00232FA6" w:rsidRPr="00C03185">
        <w:rPr>
          <w:u w:val="none"/>
        </w:rPr>
        <w:t>2</w:t>
      </w:r>
      <w:r w:rsidR="00232FA6" w:rsidRPr="00C03185">
        <w:rPr>
          <w:u w:val="none"/>
          <w:vertAlign w:val="superscript"/>
        </w:rPr>
        <w:t>nd</w:t>
      </w:r>
      <w:r w:rsidR="00232FA6" w:rsidRPr="00C03185">
        <w:rPr>
          <w:u w:val="none"/>
        </w:rPr>
        <w:t xml:space="preserve"> defendant </w:t>
      </w:r>
      <w:r w:rsidR="00F74EA3" w:rsidRPr="00C03185">
        <w:rPr>
          <w:u w:val="none"/>
        </w:rPr>
        <w:t xml:space="preserve">is the executor of the deceased estate of the second surety who </w:t>
      </w:r>
      <w:r w:rsidR="00232FA6" w:rsidRPr="00C03185">
        <w:rPr>
          <w:u w:val="none"/>
        </w:rPr>
        <w:t>passed away on 25 September 2018</w:t>
      </w:r>
      <w:r w:rsidR="008E31AE" w:rsidRPr="00C03185">
        <w:rPr>
          <w:u w:val="none"/>
        </w:rPr>
        <w:t>.</w:t>
      </w:r>
      <w:r w:rsidR="00095214" w:rsidRPr="00C03185">
        <w:rPr>
          <w:u w:val="none"/>
        </w:rPr>
        <w:t xml:space="preserve"> In order to avoid any confusion, in this judgment the second surety is referred to as the 2</w:t>
      </w:r>
      <w:r w:rsidR="00095214" w:rsidRPr="00C03185">
        <w:rPr>
          <w:u w:val="none"/>
          <w:vertAlign w:val="superscript"/>
        </w:rPr>
        <w:t>nd</w:t>
      </w:r>
      <w:r w:rsidR="00095214" w:rsidRPr="00C03185">
        <w:rPr>
          <w:u w:val="none"/>
        </w:rPr>
        <w:t xml:space="preserve"> defendant. </w:t>
      </w:r>
      <w:r w:rsidR="008E31AE" w:rsidRPr="00C03185">
        <w:rPr>
          <w:u w:val="none"/>
        </w:rPr>
        <w:t>The plaintiff seeks judgment against the defendants for payment of R27 776 142-76 plus simple i</w:t>
      </w:r>
      <w:r w:rsidR="00232FA6" w:rsidRPr="00C03185">
        <w:rPr>
          <w:u w:val="none"/>
        </w:rPr>
        <w:t>nterest and costs, as well as</w:t>
      </w:r>
      <w:r w:rsidR="008E31AE" w:rsidRPr="00C03185">
        <w:rPr>
          <w:u w:val="none"/>
        </w:rPr>
        <w:t xml:space="preserve"> execution against the immovable properties </w:t>
      </w:r>
      <w:r w:rsidR="00F74EA3" w:rsidRPr="00C03185">
        <w:rPr>
          <w:u w:val="none"/>
        </w:rPr>
        <w:t>put up</w:t>
      </w:r>
      <w:r w:rsidR="008E31AE" w:rsidRPr="00C03185">
        <w:rPr>
          <w:u w:val="none"/>
        </w:rPr>
        <w:t xml:space="preserve"> by the defendant</w:t>
      </w:r>
      <w:r w:rsidR="00F74EA3" w:rsidRPr="00C03185">
        <w:rPr>
          <w:u w:val="none"/>
        </w:rPr>
        <w:t>s</w:t>
      </w:r>
      <w:r w:rsidR="008E31AE" w:rsidRPr="00C03185">
        <w:rPr>
          <w:u w:val="none"/>
        </w:rPr>
        <w:t xml:space="preserve"> as security for the principal debt. </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6574E9" w:rsidRPr="006574E9" w:rsidRDefault="006574E9" w:rsidP="006574E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b/>
          <w:u w:val="none"/>
        </w:rPr>
      </w:pPr>
      <w:r w:rsidRPr="006574E9">
        <w:rPr>
          <w:b/>
          <w:u w:val="none"/>
        </w:rPr>
        <w:t>THE DEFENCE</w:t>
      </w: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w:t>
      </w:r>
      <w:r>
        <w:rPr>
          <w:rFonts w:hAnsi="Arial Unicode MS"/>
          <w:u w:val="none"/>
        </w:rPr>
        <w:tab/>
      </w:r>
      <w:r w:rsidR="006574E9" w:rsidRPr="00C03185">
        <w:rPr>
          <w:u w:val="none"/>
        </w:rPr>
        <w:t>The facts in this matter</w:t>
      </w:r>
      <w:r w:rsidR="0066107E" w:rsidRPr="00C03185">
        <w:rPr>
          <w:u w:val="none"/>
        </w:rPr>
        <w:t>, and the sequence of events, are common cause. On the pleadings, the following defences are raised:</w:t>
      </w: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29" w:hanging="720"/>
        <w:jc w:val="both"/>
        <w:rPr>
          <w:u w:val="none"/>
        </w:rPr>
      </w:pPr>
      <w:r>
        <w:rPr>
          <w:u w:val="none"/>
        </w:rPr>
        <w:t>2.1</w:t>
      </w:r>
      <w:r>
        <w:rPr>
          <w:u w:val="none"/>
        </w:rPr>
        <w:tab/>
      </w:r>
      <w:r w:rsidR="00D315B2" w:rsidRPr="00C03185">
        <w:rPr>
          <w:u w:val="none"/>
        </w:rPr>
        <w:t>t</w:t>
      </w:r>
      <w:r w:rsidR="0066107E" w:rsidRPr="00C03185">
        <w:rPr>
          <w:u w:val="none"/>
        </w:rPr>
        <w:t>hat this court has no jurisdiction to hear this matter as the parties and the cause of action are all</w:t>
      </w:r>
      <w:r w:rsidR="00D315B2" w:rsidRPr="00C03185">
        <w:rPr>
          <w:u w:val="none"/>
        </w:rPr>
        <w:t xml:space="preserve"> within the jurisdiction of the North-West Province;</w:t>
      </w:r>
    </w:p>
    <w:p w:rsidR="00D315B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29" w:hanging="720"/>
        <w:jc w:val="both"/>
        <w:rPr>
          <w:u w:val="none"/>
        </w:rPr>
      </w:pPr>
      <w:r>
        <w:rPr>
          <w:u w:val="none"/>
        </w:rPr>
        <w:t>2.2</w:t>
      </w:r>
      <w:r>
        <w:rPr>
          <w:u w:val="none"/>
        </w:rPr>
        <w:tab/>
      </w:r>
      <w:r w:rsidR="00D315B2" w:rsidRPr="00C03185">
        <w:rPr>
          <w:u w:val="none"/>
        </w:rPr>
        <w:t>whether the insolvent actually is in breach of the main agreement;</w:t>
      </w:r>
    </w:p>
    <w:p w:rsidR="00D315B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29" w:hanging="720"/>
        <w:jc w:val="both"/>
        <w:rPr>
          <w:u w:val="none"/>
        </w:rPr>
      </w:pPr>
      <w:r>
        <w:rPr>
          <w:u w:val="none"/>
        </w:rPr>
        <w:t>2.3</w:t>
      </w:r>
      <w:r>
        <w:rPr>
          <w:u w:val="none"/>
        </w:rPr>
        <w:tab/>
      </w:r>
      <w:r w:rsidR="00800B77" w:rsidRPr="00C03185">
        <w:rPr>
          <w:u w:val="none"/>
        </w:rPr>
        <w:t xml:space="preserve">that </w:t>
      </w:r>
      <w:r w:rsidR="00EB547C" w:rsidRPr="00C03185">
        <w:rPr>
          <w:u w:val="none"/>
        </w:rPr>
        <w:t>the A</w:t>
      </w:r>
      <w:r w:rsidR="003070C0" w:rsidRPr="00C03185">
        <w:rPr>
          <w:u w:val="none"/>
        </w:rPr>
        <w:t>cknowledgement of Debt (</w:t>
      </w:r>
      <w:proofErr w:type="spellStart"/>
      <w:r w:rsidR="003070C0" w:rsidRPr="00C03185">
        <w:rPr>
          <w:u w:val="none"/>
        </w:rPr>
        <w:t>AoD</w:t>
      </w:r>
      <w:proofErr w:type="spellEnd"/>
      <w:r w:rsidR="003070C0" w:rsidRPr="00C03185">
        <w:rPr>
          <w:u w:val="none"/>
        </w:rPr>
        <w:t xml:space="preserve">) </w:t>
      </w:r>
      <w:r w:rsidR="00EB547C" w:rsidRPr="00C03185">
        <w:rPr>
          <w:u w:val="none"/>
        </w:rPr>
        <w:t xml:space="preserve">and Consolidation </w:t>
      </w:r>
      <w:r w:rsidR="00943264" w:rsidRPr="00C03185">
        <w:rPr>
          <w:u w:val="none"/>
        </w:rPr>
        <w:t xml:space="preserve">Agreement </w:t>
      </w:r>
      <w:r w:rsidR="00AE45D4" w:rsidRPr="00C03185">
        <w:rPr>
          <w:u w:val="none"/>
        </w:rPr>
        <w:t xml:space="preserve">that forms </w:t>
      </w:r>
      <w:r w:rsidR="00943264" w:rsidRPr="00C03185">
        <w:rPr>
          <w:u w:val="none"/>
        </w:rPr>
        <w:t>the basi</w:t>
      </w:r>
      <w:r w:rsidR="00472143" w:rsidRPr="00C03185">
        <w:rPr>
          <w:u w:val="none"/>
        </w:rPr>
        <w:t>s of the principal debt is</w:t>
      </w:r>
      <w:r w:rsidR="00943264" w:rsidRPr="00C03185">
        <w:rPr>
          <w:u w:val="none"/>
        </w:rPr>
        <w:t xml:space="preserve"> void </w:t>
      </w:r>
      <w:r w:rsidR="00943264" w:rsidRPr="00C03185">
        <w:rPr>
          <w:i/>
          <w:u w:val="none"/>
        </w:rPr>
        <w:t>ab in</w:t>
      </w:r>
      <w:r w:rsidR="00D279F2" w:rsidRPr="00C03185">
        <w:rPr>
          <w:i/>
          <w:u w:val="none"/>
        </w:rPr>
        <w:t>i</w:t>
      </w:r>
      <w:r w:rsidR="00943264" w:rsidRPr="00C03185">
        <w:rPr>
          <w:i/>
          <w:u w:val="none"/>
        </w:rPr>
        <w:t>tio</w:t>
      </w:r>
      <w:r w:rsidR="00943264" w:rsidRPr="00C03185">
        <w:rPr>
          <w:u w:val="none"/>
        </w:rPr>
        <w:t xml:space="preserve"> as the (alleged) suspensive conditions have not been </w:t>
      </w:r>
      <w:r w:rsidR="00943264" w:rsidRPr="00C03185">
        <w:rPr>
          <w:u w:val="none"/>
        </w:rPr>
        <w:lastRenderedPageBreak/>
        <w:t>fulfilled;</w:t>
      </w:r>
    </w:p>
    <w:p w:rsidR="00943264"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29" w:hanging="720"/>
        <w:jc w:val="both"/>
        <w:rPr>
          <w:u w:val="none"/>
        </w:rPr>
      </w:pPr>
      <w:r>
        <w:rPr>
          <w:u w:val="none"/>
        </w:rPr>
        <w:t>2.4</w:t>
      </w:r>
      <w:r>
        <w:rPr>
          <w:u w:val="none"/>
        </w:rPr>
        <w:tab/>
      </w:r>
      <w:r w:rsidR="00943264" w:rsidRPr="00C03185">
        <w:rPr>
          <w:u w:val="none"/>
        </w:rPr>
        <w:t xml:space="preserve">that the </w:t>
      </w:r>
      <w:proofErr w:type="spellStart"/>
      <w:r w:rsidR="00943264" w:rsidRPr="00C03185">
        <w:rPr>
          <w:u w:val="none"/>
        </w:rPr>
        <w:t>AoD</w:t>
      </w:r>
      <w:proofErr w:type="spellEnd"/>
      <w:r w:rsidR="00943264" w:rsidRPr="00C03185">
        <w:rPr>
          <w:u w:val="none"/>
        </w:rPr>
        <w:t xml:space="preserve"> and Consolidation Agreement falls foul of Regulation</w:t>
      </w:r>
      <w:r w:rsidR="00800B77" w:rsidRPr="00C03185">
        <w:rPr>
          <w:u w:val="none"/>
        </w:rPr>
        <w:t>s</w:t>
      </w:r>
      <w:r w:rsidR="00943264" w:rsidRPr="00C03185">
        <w:rPr>
          <w:u w:val="none"/>
        </w:rPr>
        <w:t xml:space="preserve"> 29 and 31 of the National Credit Act 34 of 2005</w:t>
      </w:r>
      <w:r w:rsidR="00943264">
        <w:rPr>
          <w:rStyle w:val="FootnoteReference"/>
          <w:u w:val="none"/>
        </w:rPr>
        <w:footnoteReference w:id="1"/>
      </w:r>
      <w:r w:rsidR="00943264" w:rsidRPr="00C03185">
        <w:rPr>
          <w:u w:val="none"/>
        </w:rPr>
        <w:t>;</w:t>
      </w:r>
    </w:p>
    <w:p w:rsidR="00943264" w:rsidRPr="00C03185" w:rsidRDefault="00C03185" w:rsidP="00C03185">
      <w:pPr>
        <w:widowControl w:val="0"/>
        <w:tabs>
          <w:tab w:val="left" w:pos="-1099"/>
          <w:tab w:val="left" w:pos="-720"/>
          <w:tab w:val="left" w:pos="0"/>
          <w:tab w:val="left" w:pos="1418"/>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29" w:hanging="720"/>
        <w:jc w:val="both"/>
        <w:rPr>
          <w:u w:val="none"/>
        </w:rPr>
      </w:pPr>
      <w:r>
        <w:rPr>
          <w:u w:val="none"/>
        </w:rPr>
        <w:t>2.5</w:t>
      </w:r>
      <w:r>
        <w:rPr>
          <w:u w:val="none"/>
        </w:rPr>
        <w:tab/>
      </w:r>
      <w:r w:rsidR="00AE45D4" w:rsidRPr="00C03185">
        <w:rPr>
          <w:u w:val="none"/>
        </w:rPr>
        <w:t xml:space="preserve">that </w:t>
      </w:r>
      <w:r w:rsidR="00C37E6C" w:rsidRPr="00C03185">
        <w:rPr>
          <w:u w:val="none"/>
        </w:rPr>
        <w:t>whilst 1</w:t>
      </w:r>
      <w:r w:rsidR="00C37E6C" w:rsidRPr="00C03185">
        <w:rPr>
          <w:u w:val="none"/>
          <w:vertAlign w:val="superscript"/>
        </w:rPr>
        <w:t>st</w:t>
      </w:r>
      <w:r w:rsidR="00C37E6C" w:rsidRPr="00C03185">
        <w:rPr>
          <w:u w:val="none"/>
        </w:rPr>
        <w:t xml:space="preserve"> defendant admits signing the suretyship, she alleges she did not know what she was signing and in addition even if the suretyship is enforceable, that she acted to her prejudice </w:t>
      </w:r>
      <w:r w:rsidR="00623167" w:rsidRPr="00C03185">
        <w:rPr>
          <w:u w:val="none"/>
        </w:rPr>
        <w:t xml:space="preserve">and has been released from </w:t>
      </w:r>
      <w:r w:rsidR="00FA63C9" w:rsidRPr="00C03185">
        <w:rPr>
          <w:u w:val="none"/>
        </w:rPr>
        <w:t>the suretyship.</w:t>
      </w:r>
    </w:p>
    <w:p w:rsidR="00623167" w:rsidRDefault="00623167" w:rsidP="00623167">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2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w:t>
      </w:r>
      <w:r>
        <w:rPr>
          <w:rFonts w:hAnsi="Arial Unicode MS"/>
          <w:u w:val="none"/>
        </w:rPr>
        <w:tab/>
      </w:r>
      <w:r w:rsidR="00DC2BD0" w:rsidRPr="00C03185">
        <w:rPr>
          <w:u w:val="none"/>
        </w:rPr>
        <w:t>In their practice note, handed up at the commencement of this trial, the defendants confirmed that these defences were extant apart</w:t>
      </w:r>
      <w:r w:rsidR="00276C9B" w:rsidRPr="00C03185">
        <w:rPr>
          <w:u w:val="none"/>
        </w:rPr>
        <w:t xml:space="preserve"> from one – they abandoned the s</w:t>
      </w:r>
      <w:r w:rsidR="00DC2BD0" w:rsidRPr="00C03185">
        <w:rPr>
          <w:u w:val="none"/>
        </w:rPr>
        <w:t xml:space="preserve">pecial </w:t>
      </w:r>
      <w:r w:rsidR="00276C9B" w:rsidRPr="00C03185">
        <w:rPr>
          <w:u w:val="none"/>
        </w:rPr>
        <w:t>p</w:t>
      </w:r>
      <w:r w:rsidR="00DC2BD0" w:rsidRPr="00C03185">
        <w:rPr>
          <w:u w:val="none"/>
        </w:rPr>
        <w:t xml:space="preserve">lea of jurisdiction. </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w:t>
      </w:r>
      <w:r>
        <w:rPr>
          <w:rFonts w:hAnsi="Arial Unicode MS"/>
          <w:u w:val="none"/>
        </w:rPr>
        <w:tab/>
      </w:r>
      <w:r w:rsidR="00276C9B" w:rsidRPr="00C03185">
        <w:rPr>
          <w:u w:val="none"/>
        </w:rPr>
        <w:t>In closing argument,</w:t>
      </w:r>
      <w:r w:rsidR="00EE3EA2" w:rsidRPr="00C03185">
        <w:rPr>
          <w:u w:val="none"/>
        </w:rPr>
        <w:t xml:space="preserve"> I was informed that</w:t>
      </w:r>
      <w:r w:rsidR="00CA0722" w:rsidRPr="00C03185">
        <w:rPr>
          <w:u w:val="none"/>
        </w:rPr>
        <w:t xml:space="preserve"> the defences raised in regards of the National Credit Act were </w:t>
      </w:r>
      <w:r w:rsidR="00792EC0" w:rsidRPr="00C03185">
        <w:rPr>
          <w:u w:val="none"/>
        </w:rPr>
        <w:t xml:space="preserve">also </w:t>
      </w:r>
      <w:r w:rsidR="00CA0722" w:rsidRPr="00C03185">
        <w:rPr>
          <w:u w:val="none"/>
        </w:rPr>
        <w:t>abandoned and that</w:t>
      </w:r>
      <w:r w:rsidR="00792EC0" w:rsidRPr="00C03185">
        <w:rPr>
          <w:u w:val="none"/>
        </w:rPr>
        <w:t>,</w:t>
      </w:r>
      <w:r w:rsidR="00CA0722" w:rsidRPr="00C03185">
        <w:rPr>
          <w:u w:val="none"/>
        </w:rPr>
        <w:t xml:space="preserve"> </w:t>
      </w:r>
      <w:r w:rsidR="00EE3EA2" w:rsidRPr="00C03185">
        <w:rPr>
          <w:u w:val="none"/>
        </w:rPr>
        <w:t xml:space="preserve">whilst the defendants do not abandon any of their </w:t>
      </w:r>
      <w:r w:rsidR="00276C9B" w:rsidRPr="00C03185">
        <w:rPr>
          <w:u w:val="none"/>
        </w:rPr>
        <w:t xml:space="preserve">other </w:t>
      </w:r>
      <w:r w:rsidR="00EE3EA2" w:rsidRPr="00C03185">
        <w:rPr>
          <w:u w:val="none"/>
        </w:rPr>
        <w:t xml:space="preserve">defences, they would focus only in argument on the issue of whether the </w:t>
      </w:r>
      <w:proofErr w:type="spellStart"/>
      <w:r w:rsidR="00EE3EA2" w:rsidRPr="00C03185">
        <w:rPr>
          <w:u w:val="none"/>
        </w:rPr>
        <w:t>AoD</w:t>
      </w:r>
      <w:proofErr w:type="spellEnd"/>
      <w:r w:rsidR="00EE3EA2" w:rsidRPr="00C03185">
        <w:rPr>
          <w:u w:val="none"/>
        </w:rPr>
        <w:t xml:space="preserve"> and Consolidation Agreement was </w:t>
      </w:r>
      <w:r w:rsidR="00EE3EA2" w:rsidRPr="00C03185">
        <w:rPr>
          <w:i/>
          <w:u w:val="none"/>
        </w:rPr>
        <w:t>ab initio</w:t>
      </w:r>
      <w:r w:rsidR="00EE3EA2" w:rsidRPr="00C03185">
        <w:rPr>
          <w:u w:val="none"/>
        </w:rPr>
        <w:t xml:space="preserve"> void.</w:t>
      </w:r>
      <w:r w:rsidR="00CA0722" w:rsidRPr="00C03185">
        <w:rPr>
          <w:u w:val="none"/>
        </w:rPr>
        <w:t xml:space="preserve"> </w:t>
      </w:r>
    </w:p>
    <w:p w:rsidR="00440182" w:rsidRDefault="00440182" w:rsidP="0026495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26495A" w:rsidRPr="0026495A" w:rsidRDefault="0026495A" w:rsidP="0026495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b/>
          <w:u w:val="none"/>
        </w:rPr>
      </w:pPr>
      <w:r w:rsidRPr="0026495A">
        <w:rPr>
          <w:b/>
          <w:u w:val="none"/>
        </w:rPr>
        <w:t>HOUSEKEEPING</w:t>
      </w: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[5]</w:t>
      </w:r>
      <w:r>
        <w:rPr>
          <w:rFonts w:hAnsi="Arial Unicode MS"/>
          <w:u w:val="none"/>
        </w:rPr>
        <w:tab/>
      </w:r>
      <w:r w:rsidR="0026495A" w:rsidRPr="00C03185">
        <w:rPr>
          <w:u w:val="none"/>
        </w:rPr>
        <w:t>Whilst the summons seeks judgment in the amount of R 27 776 142-</w:t>
      </w:r>
      <w:r w:rsidR="00BE0A85" w:rsidRPr="00C03185">
        <w:rPr>
          <w:u w:val="none"/>
        </w:rPr>
        <w:t>76, at conclusion of trial an amended</w:t>
      </w:r>
      <w:r w:rsidR="0026495A" w:rsidRPr="00C03185">
        <w:rPr>
          <w:u w:val="none"/>
        </w:rPr>
        <w:t xml:space="preserve"> amount of R22 556 651-19 was sought. This </w:t>
      </w:r>
      <w:r w:rsidR="00276C9B" w:rsidRPr="00C03185">
        <w:rPr>
          <w:u w:val="none"/>
        </w:rPr>
        <w:t>was because</w:t>
      </w:r>
      <w:r w:rsidR="004A686E" w:rsidRPr="00C03185">
        <w:rPr>
          <w:u w:val="none"/>
        </w:rPr>
        <w:t xml:space="preserve"> the original quantum had included interest that had been compounded </w:t>
      </w:r>
      <w:r w:rsidR="00F565C6" w:rsidRPr="00C03185">
        <w:rPr>
          <w:u w:val="none"/>
        </w:rPr>
        <w:t>and capitalised monthly</w:t>
      </w:r>
      <w:r w:rsidR="00276C9B" w:rsidRPr="00C03185">
        <w:rPr>
          <w:u w:val="none"/>
        </w:rPr>
        <w:t>. However, once</w:t>
      </w:r>
      <w:r w:rsidR="00BE0A85" w:rsidRPr="00C03185">
        <w:rPr>
          <w:u w:val="none"/>
        </w:rPr>
        <w:t xml:space="preserve"> the insolvent had been</w:t>
      </w:r>
      <w:r w:rsidR="00F565C6" w:rsidRPr="00C03185">
        <w:rPr>
          <w:u w:val="none"/>
        </w:rPr>
        <w:t xml:space="preserve"> sequestrated only simple interest could be charged </w:t>
      </w:r>
      <w:r w:rsidR="00F565C6" w:rsidRPr="00C03185">
        <w:rPr>
          <w:u w:val="none"/>
        </w:rPr>
        <w:lastRenderedPageBreak/>
        <w:t xml:space="preserve">on the debt and thus the </w:t>
      </w:r>
      <w:r w:rsidR="00575221" w:rsidRPr="00C03185">
        <w:rPr>
          <w:u w:val="none"/>
        </w:rPr>
        <w:t>cl</w:t>
      </w:r>
      <w:r w:rsidR="00BE0A85" w:rsidRPr="00C03185">
        <w:rPr>
          <w:u w:val="none"/>
        </w:rPr>
        <w:t>aim was recalculated and the amended</w:t>
      </w:r>
      <w:r w:rsidR="00575221" w:rsidRPr="00C03185">
        <w:rPr>
          <w:u w:val="none"/>
        </w:rPr>
        <w:t xml:space="preserve"> amount  provided</w:t>
      </w:r>
      <w:r w:rsidR="00575221">
        <w:rPr>
          <w:rStyle w:val="FootnoteReference"/>
          <w:u w:val="none"/>
        </w:rPr>
        <w:footnoteReference w:id="2"/>
      </w:r>
      <w:r w:rsidR="00AA2E1E" w:rsidRPr="00C03185">
        <w:rPr>
          <w:u w:val="none"/>
        </w:rPr>
        <w:t>.</w:t>
      </w:r>
      <w:r w:rsidR="00F565C6" w:rsidRPr="00C03185">
        <w:rPr>
          <w:u w:val="none"/>
        </w:rPr>
        <w:t xml:space="preserve"> </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[6]</w:t>
      </w:r>
      <w:r>
        <w:rPr>
          <w:rFonts w:hAnsi="Arial Unicode MS"/>
          <w:u w:val="none"/>
        </w:rPr>
        <w:tab/>
      </w:r>
      <w:r w:rsidR="00AA2E1E" w:rsidRPr="00C03185">
        <w:rPr>
          <w:u w:val="none"/>
        </w:rPr>
        <w:t xml:space="preserve">The parties were </w:t>
      </w:r>
      <w:r w:rsidR="00AA2E1E" w:rsidRPr="00C03185">
        <w:rPr>
          <w:i/>
          <w:u w:val="none"/>
        </w:rPr>
        <w:t>ad litem</w:t>
      </w:r>
      <w:r w:rsidR="00AA2E1E" w:rsidRPr="00C03185">
        <w:rPr>
          <w:u w:val="none"/>
        </w:rPr>
        <w:t xml:space="preserve"> that as execution is sought against immovable properties which are not the primary residence of either defendant, Rule 46A is not applicable.</w:t>
      </w:r>
      <w:r w:rsidR="00AA2E1E">
        <w:rPr>
          <w:rStyle w:val="FootnoteReference"/>
          <w:u w:val="none"/>
        </w:rPr>
        <w:footnoteReference w:id="3"/>
      </w:r>
    </w:p>
    <w:p w:rsidR="000A704C" w:rsidRDefault="000A704C" w:rsidP="000A704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0A704C" w:rsidRPr="000A704C" w:rsidRDefault="000A704C" w:rsidP="000A704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b/>
          <w:u w:val="none"/>
        </w:rPr>
      </w:pPr>
      <w:r w:rsidRPr="000A704C">
        <w:rPr>
          <w:b/>
          <w:u w:val="none"/>
        </w:rPr>
        <w:t>THE FACTS</w:t>
      </w:r>
    </w:p>
    <w:p w:rsidR="00671133"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[7]</w:t>
      </w:r>
      <w:r>
        <w:rPr>
          <w:rFonts w:hAnsi="Arial Unicode MS"/>
          <w:u w:val="none"/>
        </w:rPr>
        <w:tab/>
      </w:r>
      <w:r w:rsidR="00B146BF" w:rsidRPr="00C03185">
        <w:rPr>
          <w:u w:val="none"/>
        </w:rPr>
        <w:t>As stated, most of the facts of this matter</w:t>
      </w:r>
      <w:r w:rsidR="000A704C" w:rsidRPr="00C03185">
        <w:rPr>
          <w:u w:val="none"/>
        </w:rPr>
        <w:t xml:space="preserve"> were common cause. They appear from the papers, as amplifi</w:t>
      </w:r>
      <w:r w:rsidR="00B146BF" w:rsidRPr="00C03185">
        <w:rPr>
          <w:u w:val="none"/>
        </w:rPr>
        <w:t xml:space="preserve">ed by the evidence of plaintiff’s </w:t>
      </w:r>
      <w:r w:rsidR="000A704C" w:rsidRPr="00C03185">
        <w:rPr>
          <w:u w:val="none"/>
        </w:rPr>
        <w:t>witnesses</w:t>
      </w:r>
      <w:r w:rsidR="00B146BF" w:rsidRPr="00C03185">
        <w:rPr>
          <w:u w:val="none"/>
        </w:rPr>
        <w:t>.</w:t>
      </w:r>
    </w:p>
    <w:p w:rsidR="00671133"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18" w:hanging="709"/>
        <w:jc w:val="both"/>
        <w:rPr>
          <w:u w:val="none"/>
        </w:rPr>
      </w:pPr>
      <w:r>
        <w:rPr>
          <w:u w:val="none"/>
        </w:rPr>
        <w:t>7.1</w:t>
      </w:r>
      <w:r>
        <w:rPr>
          <w:u w:val="none"/>
        </w:rPr>
        <w:tab/>
      </w:r>
      <w:r w:rsidR="003F69C5" w:rsidRPr="00C03185">
        <w:rPr>
          <w:u w:val="none"/>
        </w:rPr>
        <w:t>The plaintiff called the following witnesses:</w:t>
      </w:r>
    </w:p>
    <w:p w:rsidR="003F69C5" w:rsidRDefault="003F69C5" w:rsidP="005503B5">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160" w:hanging="742"/>
        <w:jc w:val="both"/>
        <w:rPr>
          <w:u w:val="none"/>
        </w:rPr>
      </w:pPr>
      <w:r>
        <w:rPr>
          <w:u w:val="none"/>
        </w:rPr>
        <w:t>7.1.1</w:t>
      </w:r>
      <w:r>
        <w:rPr>
          <w:u w:val="none"/>
        </w:rPr>
        <w:tab/>
        <w:t xml:space="preserve">Ms Lynette Douglas who was employed as the Legal Adviser in the group of companies of which </w:t>
      </w:r>
      <w:r w:rsidR="005503B5">
        <w:rPr>
          <w:u w:val="none"/>
        </w:rPr>
        <w:t>plaintiff is part. She drafted almost all of the relevant documents;</w:t>
      </w:r>
    </w:p>
    <w:p w:rsidR="005503B5" w:rsidRDefault="005503B5" w:rsidP="005503B5">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160" w:hanging="742"/>
        <w:jc w:val="both"/>
        <w:rPr>
          <w:u w:val="none"/>
        </w:rPr>
      </w:pPr>
      <w:r>
        <w:rPr>
          <w:u w:val="none"/>
        </w:rPr>
        <w:t>7.1.2</w:t>
      </w:r>
      <w:r>
        <w:rPr>
          <w:u w:val="none"/>
        </w:rPr>
        <w:tab/>
        <w:t xml:space="preserve">Mr Francois </w:t>
      </w:r>
      <w:proofErr w:type="spellStart"/>
      <w:r>
        <w:rPr>
          <w:u w:val="none"/>
        </w:rPr>
        <w:t>DuRand</w:t>
      </w:r>
      <w:proofErr w:type="spellEnd"/>
      <w:r>
        <w:rPr>
          <w:u w:val="none"/>
        </w:rPr>
        <w:t xml:space="preserve"> who was the Head of Legal Services in 2012 and in who’s presence the 2</w:t>
      </w:r>
      <w:r w:rsidRPr="005503B5">
        <w:rPr>
          <w:u w:val="none"/>
          <w:vertAlign w:val="superscript"/>
        </w:rPr>
        <w:t>nd</w:t>
      </w:r>
      <w:r>
        <w:rPr>
          <w:u w:val="none"/>
        </w:rPr>
        <w:t xml:space="preserve"> defendant signed a suretyship and a consent to register a mortgage bond on 29 O</w:t>
      </w:r>
      <w:r w:rsidR="00792F51">
        <w:rPr>
          <w:u w:val="none"/>
        </w:rPr>
        <w:t>ctober 2012. He also witnessed the 1</w:t>
      </w:r>
      <w:r w:rsidR="00792F51" w:rsidRPr="00792F51">
        <w:rPr>
          <w:u w:val="none"/>
          <w:vertAlign w:val="superscript"/>
        </w:rPr>
        <w:t>st</w:t>
      </w:r>
      <w:r w:rsidR="00276C9B">
        <w:rPr>
          <w:u w:val="none"/>
        </w:rPr>
        <w:t xml:space="preserve"> defendant’s </w:t>
      </w:r>
      <w:r w:rsidR="00792F51">
        <w:rPr>
          <w:u w:val="none"/>
        </w:rPr>
        <w:t>signature on a consent to register a mortgage bond on 29 October 2012;</w:t>
      </w:r>
    </w:p>
    <w:p w:rsidR="005503B5" w:rsidRDefault="00792F51" w:rsidP="003E6E96">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160" w:hanging="742"/>
        <w:jc w:val="both"/>
        <w:rPr>
          <w:u w:val="none"/>
        </w:rPr>
      </w:pPr>
      <w:r>
        <w:rPr>
          <w:u w:val="none"/>
        </w:rPr>
        <w:t>7.1.3</w:t>
      </w:r>
      <w:r>
        <w:rPr>
          <w:u w:val="none"/>
        </w:rPr>
        <w:tab/>
      </w:r>
      <w:r w:rsidR="003E6E96">
        <w:rPr>
          <w:u w:val="none"/>
        </w:rPr>
        <w:t xml:space="preserve">Mr Johan </w:t>
      </w:r>
      <w:proofErr w:type="spellStart"/>
      <w:r w:rsidR="003E6E96">
        <w:rPr>
          <w:u w:val="none"/>
        </w:rPr>
        <w:t>Fourie</w:t>
      </w:r>
      <w:proofErr w:type="spellEnd"/>
      <w:r w:rsidR="003E6E96">
        <w:rPr>
          <w:u w:val="none"/>
        </w:rPr>
        <w:t xml:space="preserve"> who was a credit manager at plaintiff in 2012 and who’s evidence mirrored that of Mr </w:t>
      </w:r>
      <w:proofErr w:type="spellStart"/>
      <w:r w:rsidR="003E6E96">
        <w:rPr>
          <w:u w:val="none"/>
        </w:rPr>
        <w:t>DuRand</w:t>
      </w:r>
      <w:proofErr w:type="spellEnd"/>
      <w:r w:rsidR="003E6E96">
        <w:rPr>
          <w:u w:val="none"/>
        </w:rPr>
        <w:t xml:space="preserve"> as </w:t>
      </w:r>
      <w:r w:rsidR="003E6E96">
        <w:rPr>
          <w:u w:val="none"/>
        </w:rPr>
        <w:lastRenderedPageBreak/>
        <w:t>they went together to the 1</w:t>
      </w:r>
      <w:r w:rsidR="003E6E96" w:rsidRPr="003E6E96">
        <w:rPr>
          <w:u w:val="none"/>
          <w:vertAlign w:val="superscript"/>
        </w:rPr>
        <w:t>st</w:t>
      </w:r>
      <w:r w:rsidR="003E6E96">
        <w:rPr>
          <w:u w:val="none"/>
        </w:rPr>
        <w:t xml:space="preserve"> defendant’s farm and residence to obtain both defendants</w:t>
      </w:r>
      <w:r w:rsidR="00276C9B">
        <w:rPr>
          <w:u w:val="none"/>
        </w:rPr>
        <w:t>’ signatures on</w:t>
      </w:r>
      <w:r w:rsidR="003E6E96">
        <w:rPr>
          <w:u w:val="none"/>
        </w:rPr>
        <w:t xml:space="preserve"> the suretyships and consents to register mortgage bonds over the </w:t>
      </w:r>
      <w:r w:rsidR="00276C9B">
        <w:rPr>
          <w:u w:val="none"/>
        </w:rPr>
        <w:t>defendants’</w:t>
      </w:r>
      <w:r w:rsidR="00554E72">
        <w:rPr>
          <w:u w:val="none"/>
        </w:rPr>
        <w:t xml:space="preserve"> immovable proper</w:t>
      </w:r>
      <w:r w:rsidR="003E6E96">
        <w:rPr>
          <w:u w:val="none"/>
        </w:rPr>
        <w:t>ties;</w:t>
      </w:r>
    </w:p>
    <w:p w:rsidR="00440182" w:rsidRDefault="003E6E96" w:rsidP="005704A2">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160" w:hanging="742"/>
        <w:jc w:val="both"/>
        <w:rPr>
          <w:u w:val="none"/>
        </w:rPr>
      </w:pPr>
      <w:r>
        <w:rPr>
          <w:u w:val="none"/>
        </w:rPr>
        <w:t>7.1.4</w:t>
      </w:r>
      <w:r>
        <w:rPr>
          <w:u w:val="none"/>
        </w:rPr>
        <w:tab/>
      </w:r>
      <w:r w:rsidR="005704A2">
        <w:rPr>
          <w:u w:val="none"/>
        </w:rPr>
        <w:t xml:space="preserve">Mrs Petro Erasmus who was plaintiff’s financial </w:t>
      </w:r>
      <w:r w:rsidR="00276C9B">
        <w:rPr>
          <w:u w:val="none"/>
        </w:rPr>
        <w:t xml:space="preserve">manager </w:t>
      </w:r>
      <w:r w:rsidR="00275BC0" w:rsidRPr="005704A2">
        <w:rPr>
          <w:u w:val="none"/>
        </w:rPr>
        <w:t>at the time and who witnessed the 1</w:t>
      </w:r>
      <w:r w:rsidR="00275BC0" w:rsidRPr="005704A2">
        <w:rPr>
          <w:u w:val="none"/>
          <w:vertAlign w:val="superscript"/>
        </w:rPr>
        <w:t>st</w:t>
      </w:r>
      <w:r w:rsidR="00275BC0" w:rsidRPr="005704A2">
        <w:rPr>
          <w:u w:val="none"/>
        </w:rPr>
        <w:t xml:space="preserve"> defendant signing the suretyship and who handwrote the 1</w:t>
      </w:r>
      <w:r w:rsidR="00275BC0" w:rsidRPr="005704A2">
        <w:rPr>
          <w:u w:val="none"/>
          <w:vertAlign w:val="superscript"/>
        </w:rPr>
        <w:t>st</w:t>
      </w:r>
      <w:r w:rsidR="00275BC0" w:rsidRPr="005704A2">
        <w:rPr>
          <w:u w:val="none"/>
        </w:rPr>
        <w:t xml:space="preserve"> defendant</w:t>
      </w:r>
      <w:r w:rsidR="00276C9B">
        <w:rPr>
          <w:u w:val="none"/>
        </w:rPr>
        <w:t>’s</w:t>
      </w:r>
      <w:r w:rsidR="00275BC0" w:rsidRPr="005704A2">
        <w:rPr>
          <w:u w:val="none"/>
        </w:rPr>
        <w:t xml:space="preserve"> consent for the registration of a mortgage bond over her farm Sweet Home; and</w:t>
      </w:r>
    </w:p>
    <w:p w:rsidR="005704A2" w:rsidRDefault="005704A2" w:rsidP="005704A2">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160" w:hanging="742"/>
        <w:jc w:val="both"/>
        <w:rPr>
          <w:u w:val="none"/>
        </w:rPr>
      </w:pPr>
      <w:r>
        <w:rPr>
          <w:u w:val="none"/>
        </w:rPr>
        <w:t>7.1.5</w:t>
      </w:r>
      <w:r>
        <w:rPr>
          <w:u w:val="none"/>
        </w:rPr>
        <w:tab/>
        <w:t xml:space="preserve">Mr Kobus </w:t>
      </w:r>
      <w:proofErr w:type="spellStart"/>
      <w:r>
        <w:rPr>
          <w:u w:val="none"/>
        </w:rPr>
        <w:t>Viljoen</w:t>
      </w:r>
      <w:proofErr w:type="spellEnd"/>
      <w:r>
        <w:rPr>
          <w:u w:val="none"/>
        </w:rPr>
        <w:t xml:space="preserve"> who, on 11 March 2012 went to visit the insolvent </w:t>
      </w:r>
      <w:r w:rsidR="003B45FC">
        <w:rPr>
          <w:u w:val="none"/>
        </w:rPr>
        <w:t xml:space="preserve">at his farm in </w:t>
      </w:r>
      <w:proofErr w:type="spellStart"/>
      <w:r w:rsidR="003B45FC">
        <w:rPr>
          <w:u w:val="none"/>
        </w:rPr>
        <w:t>Ventersdorp</w:t>
      </w:r>
      <w:proofErr w:type="spellEnd"/>
      <w:r w:rsidR="003B45FC">
        <w:rPr>
          <w:u w:val="none"/>
        </w:rPr>
        <w:t xml:space="preserve"> to verify the assets </w:t>
      </w:r>
      <w:r w:rsidR="00276C9B">
        <w:rPr>
          <w:u w:val="none"/>
        </w:rPr>
        <w:t>over which plaintiff held a</w:t>
      </w:r>
      <w:r w:rsidR="003B45FC">
        <w:rPr>
          <w:u w:val="none"/>
        </w:rPr>
        <w:t xml:space="preserve"> Notarial Bond. It was he who raised the alarm at the time that most of these valuable assets had disappeared.</w:t>
      </w:r>
    </w:p>
    <w:p w:rsidR="003B45FC" w:rsidRPr="003B45FC" w:rsidRDefault="00276C9B" w:rsidP="003B45F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18" w:hanging="709"/>
        <w:jc w:val="both"/>
        <w:rPr>
          <w:u w:val="none"/>
        </w:rPr>
      </w:pPr>
      <w:r>
        <w:rPr>
          <w:u w:val="none"/>
        </w:rPr>
        <w:t>7.2</w:t>
      </w:r>
      <w:r>
        <w:rPr>
          <w:u w:val="none"/>
        </w:rPr>
        <w:tab/>
        <w:t>T</w:t>
      </w:r>
      <w:r w:rsidR="003B45FC">
        <w:rPr>
          <w:u w:val="none"/>
        </w:rPr>
        <w:t>he defendant elected not to call any witnesses and to close their case.</w:t>
      </w:r>
      <w:r w:rsidR="003B45FC">
        <w:rPr>
          <w:u w:val="none"/>
        </w:rPr>
        <w:tab/>
      </w:r>
    </w:p>
    <w:p w:rsidR="00276C9B" w:rsidRDefault="00276C9B" w:rsidP="00276C9B">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[8]</w:t>
      </w:r>
      <w:r>
        <w:rPr>
          <w:rFonts w:hAnsi="Arial Unicode MS"/>
          <w:u w:val="none"/>
        </w:rPr>
        <w:tab/>
      </w:r>
      <w:r w:rsidR="008C0E3B" w:rsidRPr="00C03185">
        <w:rPr>
          <w:u w:val="none"/>
        </w:rPr>
        <w:t xml:space="preserve">The plaintiff specialises in the granting of credit to farmers to enable the latter to establish </w:t>
      </w:r>
      <w:r w:rsidR="00A55FD4" w:rsidRPr="00C03185">
        <w:rPr>
          <w:u w:val="none"/>
        </w:rPr>
        <w:t>cro</w:t>
      </w:r>
      <w:r w:rsidR="008C0E3B" w:rsidRPr="00C03185">
        <w:rPr>
          <w:u w:val="none"/>
        </w:rPr>
        <w:t>ps. In pursuance of this objective</w:t>
      </w:r>
      <w:r w:rsidR="00276C9B" w:rsidRPr="00C03185">
        <w:rPr>
          <w:u w:val="none"/>
        </w:rPr>
        <w:t>,</w:t>
      </w:r>
      <w:r w:rsidR="008C0E3B" w:rsidRPr="00C03185">
        <w:rPr>
          <w:u w:val="none"/>
        </w:rPr>
        <w:t xml:space="preserve"> and between 2011 and 2013, the plaintiff granted credit to t</w:t>
      </w:r>
      <w:r w:rsidR="00A82BFF" w:rsidRPr="00C03185">
        <w:rPr>
          <w:u w:val="none"/>
        </w:rPr>
        <w:t>he insolvent, the history of which appears clearly from the particulars of claim.</w:t>
      </w:r>
      <w:r w:rsidR="00B146BF" w:rsidRPr="00C03185">
        <w:rPr>
          <w:u w:val="none"/>
        </w:rPr>
        <w:t xml:space="preserve"> It is important to note that at no stage was any evidence put before court that any monies advanced to the insolvent, in terms of any of the agreements, was not paid. In fact, the contrary is apparent.</w:t>
      </w:r>
    </w:p>
    <w:p w:rsidR="00440182" w:rsidRDefault="00440182" w:rsidP="00A82BF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276C9B" w:rsidRDefault="00276C9B" w:rsidP="00A82BF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A82BFF" w:rsidRPr="00A82BFF" w:rsidRDefault="00A82BFF" w:rsidP="00A82BF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b/>
          <w:u w:val="none"/>
        </w:rPr>
      </w:pPr>
      <w:r w:rsidRPr="00A82BFF">
        <w:rPr>
          <w:b/>
          <w:u w:val="none"/>
        </w:rPr>
        <w:t>THE AGREEMENTS</w:t>
      </w: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[9]</w:t>
      </w:r>
      <w:r>
        <w:rPr>
          <w:rFonts w:hAnsi="Arial Unicode MS"/>
          <w:u w:val="none"/>
        </w:rPr>
        <w:tab/>
      </w:r>
      <w:r w:rsidR="00A55FD4" w:rsidRPr="00C03185">
        <w:rPr>
          <w:u w:val="none"/>
        </w:rPr>
        <w:t>In November 2011 the plaintiff granted a credit facility to the insolvent to establish crops of sunflower</w:t>
      </w:r>
      <w:r w:rsidR="00A55FD4">
        <w:rPr>
          <w:rStyle w:val="FootnoteReference"/>
          <w:u w:val="none"/>
        </w:rPr>
        <w:footnoteReference w:id="4"/>
      </w:r>
      <w:r w:rsidR="00066B0E" w:rsidRPr="00C03185">
        <w:rPr>
          <w:u w:val="none"/>
        </w:rPr>
        <w:t>, yellow maize</w:t>
      </w:r>
      <w:r w:rsidR="00066B0E">
        <w:rPr>
          <w:rStyle w:val="FootnoteReference"/>
          <w:u w:val="none"/>
        </w:rPr>
        <w:footnoteReference w:id="5"/>
      </w:r>
      <w:r w:rsidR="00066B0E" w:rsidRPr="00C03185">
        <w:rPr>
          <w:u w:val="none"/>
        </w:rPr>
        <w:t>and white maize</w:t>
      </w:r>
      <w:r w:rsidR="00066B0E">
        <w:rPr>
          <w:rStyle w:val="FootnoteReference"/>
          <w:u w:val="none"/>
        </w:rPr>
        <w:footnoteReference w:id="6"/>
      </w:r>
      <w:r w:rsidR="001848DA" w:rsidRPr="00C03185">
        <w:rPr>
          <w:u w:val="none"/>
        </w:rPr>
        <w:t>. The facility in question is called a “Productio</w:t>
      </w:r>
      <w:r w:rsidR="00BE0A85" w:rsidRPr="00C03185">
        <w:rPr>
          <w:u w:val="none"/>
        </w:rPr>
        <w:t>n Credit Account” (PCA) and</w:t>
      </w:r>
      <w:r w:rsidR="001848DA" w:rsidRPr="00C03185">
        <w:rPr>
          <w:u w:val="none"/>
        </w:rPr>
        <w:t xml:space="preserve"> consists of an application in writing by the insolvent and a quotation </w:t>
      </w:r>
      <w:r w:rsidR="000C66A8" w:rsidRPr="00C03185">
        <w:rPr>
          <w:u w:val="none"/>
        </w:rPr>
        <w:t>in regards to</w:t>
      </w:r>
      <w:r w:rsidR="00073F28" w:rsidRPr="00C03185">
        <w:rPr>
          <w:u w:val="none"/>
        </w:rPr>
        <w:t xml:space="preserve"> the application by plaintiff to him. The quotation </w:t>
      </w:r>
      <w:r w:rsidR="00D6280E" w:rsidRPr="00C03185">
        <w:rPr>
          <w:u w:val="none"/>
        </w:rPr>
        <w:t xml:space="preserve">sets out the terms on which each </w:t>
      </w:r>
      <w:r w:rsidR="007B0F67" w:rsidRPr="00C03185">
        <w:rPr>
          <w:u w:val="none"/>
        </w:rPr>
        <w:t>facility will</w:t>
      </w:r>
      <w:r w:rsidR="00D6280E" w:rsidRPr="00C03185">
        <w:rPr>
          <w:u w:val="none"/>
        </w:rPr>
        <w:t xml:space="preserve"> be granted and features, for example, the principal-debt (or total amount</w:t>
      </w:r>
      <w:r w:rsidR="007B0F67" w:rsidRPr="00C03185">
        <w:rPr>
          <w:u w:val="none"/>
        </w:rPr>
        <w:t xml:space="preserve"> of the facility</w:t>
      </w:r>
      <w:r w:rsidR="00D6280E" w:rsidRPr="00C03185">
        <w:rPr>
          <w:u w:val="none"/>
        </w:rPr>
        <w:t>)</w:t>
      </w:r>
      <w:r w:rsidR="007B0F67" w:rsidRPr="00C03185">
        <w:rPr>
          <w:u w:val="none"/>
        </w:rPr>
        <w:t xml:space="preserve">, </w:t>
      </w:r>
      <w:r w:rsidR="00FA1057" w:rsidRPr="00C03185">
        <w:rPr>
          <w:u w:val="none"/>
        </w:rPr>
        <w:t>how the principal debt is c</w:t>
      </w:r>
      <w:r w:rsidR="000C66A8" w:rsidRPr="00C03185">
        <w:rPr>
          <w:u w:val="none"/>
        </w:rPr>
        <w:t>alculated</w:t>
      </w:r>
      <w:r w:rsidR="00FA1057">
        <w:rPr>
          <w:rStyle w:val="FootnoteReference"/>
          <w:u w:val="none"/>
        </w:rPr>
        <w:footnoteReference w:id="7"/>
      </w:r>
      <w:r w:rsidR="00C61B88" w:rsidRPr="00C03185">
        <w:rPr>
          <w:u w:val="none"/>
        </w:rPr>
        <w:t>, the fees charge</w:t>
      </w:r>
      <w:r w:rsidR="000C66A8" w:rsidRPr="00C03185">
        <w:rPr>
          <w:u w:val="none"/>
        </w:rPr>
        <w:t>d</w:t>
      </w:r>
      <w:r w:rsidR="00C61B88" w:rsidRPr="00C03185">
        <w:rPr>
          <w:u w:val="none"/>
        </w:rPr>
        <w:t xml:space="preserve">, the applicable interest rate and </w:t>
      </w:r>
      <w:r w:rsidR="000C66A8" w:rsidRPr="00C03185">
        <w:rPr>
          <w:u w:val="none"/>
        </w:rPr>
        <w:t>the date by which</w:t>
      </w:r>
      <w:r w:rsidR="00C61B88" w:rsidRPr="00C03185">
        <w:rPr>
          <w:u w:val="none"/>
        </w:rPr>
        <w:t xml:space="preserve"> the facility was to be repaid. It is signed by the insolvent and officials of plaintiff and is </w:t>
      </w:r>
      <w:r w:rsidR="00276C9B" w:rsidRPr="00C03185">
        <w:rPr>
          <w:u w:val="none"/>
        </w:rPr>
        <w:t>henceforth referred to as “the 1</w:t>
      </w:r>
      <w:r w:rsidR="00276C9B" w:rsidRPr="00C03185">
        <w:rPr>
          <w:u w:val="none"/>
          <w:vertAlign w:val="superscript"/>
        </w:rPr>
        <w:t>st</w:t>
      </w:r>
      <w:r w:rsidR="00276C9B" w:rsidRPr="00C03185">
        <w:rPr>
          <w:u w:val="none"/>
        </w:rPr>
        <w:t xml:space="preserve"> </w:t>
      </w:r>
      <w:r w:rsidR="00C61B88" w:rsidRPr="00C03185">
        <w:rPr>
          <w:u w:val="none"/>
        </w:rPr>
        <w:t>agreement”.</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[10]</w:t>
      </w:r>
      <w:r>
        <w:rPr>
          <w:rFonts w:hAnsi="Arial Unicode MS"/>
          <w:u w:val="none"/>
        </w:rPr>
        <w:tab/>
      </w:r>
      <w:r w:rsidR="00974071" w:rsidRPr="00C03185">
        <w:rPr>
          <w:u w:val="none"/>
        </w:rPr>
        <w:t>In regards of</w:t>
      </w:r>
      <w:r w:rsidR="001E45E1" w:rsidRPr="00C03185">
        <w:rPr>
          <w:u w:val="none"/>
        </w:rPr>
        <w:t xml:space="preserve"> the facilities set out in paragraph 9 supra, the insolvent was to repay the total debt in one payment of R10 930 671-75</w:t>
      </w:r>
      <w:r w:rsidR="00276C9B" w:rsidRPr="00C03185">
        <w:rPr>
          <w:u w:val="none"/>
        </w:rPr>
        <w:t xml:space="preserve"> on 31 July 2012</w:t>
      </w:r>
      <w:r w:rsidR="001E45E1" w:rsidRPr="00C03185">
        <w:rPr>
          <w:u w:val="none"/>
        </w:rPr>
        <w:t xml:space="preserve">. However, he failed to do so. </w:t>
      </w:r>
    </w:p>
    <w:p w:rsidR="003D3AB0" w:rsidRPr="003D3AB0" w:rsidRDefault="003D3AB0" w:rsidP="003D3AB0">
      <w:pPr>
        <w:pStyle w:val="ListParagrap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[11]</w:t>
      </w:r>
      <w:r>
        <w:rPr>
          <w:rFonts w:hAnsi="Arial Unicode MS"/>
          <w:u w:val="none"/>
        </w:rPr>
        <w:tab/>
      </w:r>
      <w:r w:rsidR="0060354D" w:rsidRPr="00C03185">
        <w:rPr>
          <w:u w:val="none"/>
        </w:rPr>
        <w:t xml:space="preserve">As </w:t>
      </w:r>
      <w:r w:rsidR="003D3AB0" w:rsidRPr="00C03185">
        <w:rPr>
          <w:u w:val="none"/>
        </w:rPr>
        <w:t>a farmer only has a short window within which to</w:t>
      </w:r>
      <w:r w:rsidR="0060354D" w:rsidRPr="00C03185">
        <w:rPr>
          <w:u w:val="none"/>
        </w:rPr>
        <w:t xml:space="preserve"> establish his crops, th</w:t>
      </w:r>
      <w:r w:rsidR="003D3AB0" w:rsidRPr="00C03185">
        <w:rPr>
          <w:u w:val="none"/>
        </w:rPr>
        <w:t xml:space="preserve">e insolvent applied for further production credit </w:t>
      </w:r>
      <w:r w:rsidR="0060354D" w:rsidRPr="00C03185">
        <w:rPr>
          <w:u w:val="none"/>
        </w:rPr>
        <w:t xml:space="preserve">in </w:t>
      </w:r>
      <w:r w:rsidR="00D279F2" w:rsidRPr="00C03185">
        <w:rPr>
          <w:u w:val="none"/>
        </w:rPr>
        <w:t>September</w:t>
      </w:r>
      <w:r w:rsidR="0060354D" w:rsidRPr="00C03185">
        <w:rPr>
          <w:u w:val="none"/>
        </w:rPr>
        <w:t xml:space="preserve"> 2012</w:t>
      </w:r>
      <w:r w:rsidR="003D3AB0" w:rsidRPr="00C03185">
        <w:rPr>
          <w:u w:val="none"/>
        </w:rPr>
        <w:t xml:space="preserve"> – this facility</w:t>
      </w:r>
      <w:r w:rsidR="0060354D" w:rsidRPr="00C03185">
        <w:rPr>
          <w:u w:val="none"/>
        </w:rPr>
        <w:t xml:space="preserve"> was refused by plaintiff because </w:t>
      </w:r>
      <w:r w:rsidR="003D3AB0" w:rsidRPr="00C03185">
        <w:rPr>
          <w:u w:val="none"/>
        </w:rPr>
        <w:t xml:space="preserve">the insolvent could not provide </w:t>
      </w:r>
      <w:r w:rsidR="0060354D" w:rsidRPr="00C03185">
        <w:rPr>
          <w:u w:val="none"/>
        </w:rPr>
        <w:t xml:space="preserve">sufficient security. However, on 22 October 2012 a meeting was held at plaintiff’s office </w:t>
      </w:r>
      <w:r w:rsidR="001945F0" w:rsidRPr="00C03185">
        <w:rPr>
          <w:u w:val="none"/>
        </w:rPr>
        <w:t xml:space="preserve">in Brits between Ms Douglas and </w:t>
      </w:r>
      <w:r w:rsidR="00FD3FD6" w:rsidRPr="00C03185">
        <w:rPr>
          <w:u w:val="none"/>
        </w:rPr>
        <w:t xml:space="preserve">the insolvent </w:t>
      </w:r>
      <w:r w:rsidR="00FD3FD6" w:rsidRPr="00C03185">
        <w:rPr>
          <w:u w:val="none"/>
        </w:rPr>
        <w:lastRenderedPageBreak/>
        <w:t xml:space="preserve">which resulted in him </w:t>
      </w:r>
      <w:r w:rsidR="001945F0" w:rsidRPr="00C03185">
        <w:rPr>
          <w:u w:val="none"/>
        </w:rPr>
        <w:t>signing a Written Acknowledgement of Debt and Consolidation Agreement (the 2</w:t>
      </w:r>
      <w:r w:rsidR="001945F0" w:rsidRPr="00C03185">
        <w:rPr>
          <w:u w:val="none"/>
          <w:vertAlign w:val="superscript"/>
        </w:rPr>
        <w:t>nd</w:t>
      </w:r>
      <w:r w:rsidR="001945F0" w:rsidRPr="00C03185">
        <w:rPr>
          <w:u w:val="none"/>
        </w:rPr>
        <w:t xml:space="preserve"> Agreement)</w:t>
      </w:r>
      <w:r w:rsidR="00FD3FD6">
        <w:rPr>
          <w:rStyle w:val="FootnoteReference"/>
          <w:u w:val="none"/>
        </w:rPr>
        <w:footnoteReference w:id="8"/>
      </w:r>
      <w:r w:rsidR="001945F0" w:rsidRPr="00C03185">
        <w:rPr>
          <w:u w:val="none"/>
        </w:rPr>
        <w:t>.</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[12]</w:t>
      </w:r>
      <w:r>
        <w:rPr>
          <w:rFonts w:hAnsi="Arial Unicode MS"/>
          <w:u w:val="none"/>
        </w:rPr>
        <w:tab/>
      </w:r>
      <w:r w:rsidR="00B7510D" w:rsidRPr="00C03185">
        <w:rPr>
          <w:u w:val="none"/>
        </w:rPr>
        <w:t>In the 2</w:t>
      </w:r>
      <w:r w:rsidR="00B7510D" w:rsidRPr="00C03185">
        <w:rPr>
          <w:u w:val="none"/>
          <w:vertAlign w:val="superscript"/>
        </w:rPr>
        <w:t>nd</w:t>
      </w:r>
      <w:r w:rsidR="00B7510D" w:rsidRPr="00C03185">
        <w:rPr>
          <w:u w:val="none"/>
        </w:rPr>
        <w:t xml:space="preserve"> agreement:</w:t>
      </w:r>
    </w:p>
    <w:p w:rsidR="00B7510D"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18" w:hanging="708"/>
        <w:jc w:val="both"/>
        <w:rPr>
          <w:u w:val="none"/>
        </w:rPr>
      </w:pPr>
      <w:r>
        <w:rPr>
          <w:u w:val="none"/>
        </w:rPr>
        <w:t>12.1</w:t>
      </w:r>
      <w:r>
        <w:rPr>
          <w:u w:val="none"/>
        </w:rPr>
        <w:tab/>
      </w:r>
      <w:r w:rsidR="008C14AB" w:rsidRPr="00C03185">
        <w:rPr>
          <w:u w:val="none"/>
        </w:rPr>
        <w:t>t</w:t>
      </w:r>
      <w:r w:rsidR="009D0BE7" w:rsidRPr="00C03185">
        <w:rPr>
          <w:u w:val="none"/>
        </w:rPr>
        <w:t>he insolvent acknowledged hi</w:t>
      </w:r>
      <w:r w:rsidR="00B7510D" w:rsidRPr="00C03185">
        <w:rPr>
          <w:u w:val="none"/>
        </w:rPr>
        <w:t>s indebtedness in the amount of R12 640 052-18 arising from the 1</w:t>
      </w:r>
      <w:r w:rsidR="00B7510D" w:rsidRPr="00C03185">
        <w:rPr>
          <w:u w:val="none"/>
          <w:vertAlign w:val="superscript"/>
        </w:rPr>
        <w:t>st</w:t>
      </w:r>
      <w:r w:rsidR="00B7510D" w:rsidRPr="00C03185">
        <w:rPr>
          <w:u w:val="none"/>
        </w:rPr>
        <w:t xml:space="preserve"> agreement. He also acknowledged the interest of prime plus 6% per annum</w:t>
      </w:r>
      <w:r w:rsidR="007A67A1">
        <w:rPr>
          <w:rStyle w:val="FootnoteReference"/>
          <w:u w:val="none"/>
        </w:rPr>
        <w:footnoteReference w:id="9"/>
      </w:r>
      <w:r w:rsidR="00CB20E1" w:rsidRPr="00C03185">
        <w:rPr>
          <w:u w:val="none"/>
        </w:rPr>
        <w:t xml:space="preserve"> from 23 October 2020 and account costs;</w:t>
      </w:r>
    </w:p>
    <w:p w:rsidR="00CB20E1"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18" w:hanging="708"/>
        <w:jc w:val="both"/>
        <w:rPr>
          <w:u w:val="none"/>
        </w:rPr>
      </w:pPr>
      <w:r>
        <w:rPr>
          <w:u w:val="none"/>
        </w:rPr>
        <w:t>12.2</w:t>
      </w:r>
      <w:r>
        <w:rPr>
          <w:u w:val="none"/>
        </w:rPr>
        <w:tab/>
      </w:r>
      <w:r w:rsidR="008C14AB" w:rsidRPr="00C03185">
        <w:rPr>
          <w:u w:val="none"/>
        </w:rPr>
        <w:t>t</w:t>
      </w:r>
      <w:r w:rsidR="00131756" w:rsidRPr="00C03185">
        <w:rPr>
          <w:u w:val="none"/>
        </w:rPr>
        <w:t xml:space="preserve">he parties agreed that the plaintiff </w:t>
      </w:r>
      <w:r w:rsidR="00DF6657" w:rsidRPr="00C03185">
        <w:rPr>
          <w:u w:val="none"/>
        </w:rPr>
        <w:t>would give the insolvent an extension of time within which to pay the debt set out in 12.1</w:t>
      </w:r>
      <w:r w:rsidR="00767512" w:rsidRPr="00C03185">
        <w:rPr>
          <w:u w:val="none"/>
        </w:rPr>
        <w:t xml:space="preserve"> </w:t>
      </w:r>
      <w:r w:rsidR="00DF6657" w:rsidRPr="00C03185">
        <w:rPr>
          <w:u w:val="none"/>
        </w:rPr>
        <w:t>subject to</w:t>
      </w:r>
      <w:r w:rsidR="00DF6657">
        <w:rPr>
          <w:rStyle w:val="FootnoteReference"/>
          <w:u w:val="none"/>
        </w:rPr>
        <w:footnoteReference w:id="10"/>
      </w:r>
      <w:r w:rsidR="00767512" w:rsidRPr="00C03185">
        <w:rPr>
          <w:u w:val="none"/>
        </w:rPr>
        <w:t xml:space="preserve"> the following:</w:t>
      </w:r>
    </w:p>
    <w:p w:rsidR="00767512" w:rsidRDefault="00767512" w:rsidP="00767512">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28" w:hanging="1110"/>
        <w:jc w:val="both"/>
        <w:rPr>
          <w:u w:val="none"/>
        </w:rPr>
      </w:pPr>
      <w:r>
        <w:rPr>
          <w:u w:val="none"/>
        </w:rPr>
        <w:t>12.2.1</w:t>
      </w:r>
      <w:r>
        <w:rPr>
          <w:u w:val="none"/>
        </w:rPr>
        <w:tab/>
        <w:t>the plaintiff would lend an amount of R26,</w:t>
      </w:r>
      <w:r w:rsidR="00635B94">
        <w:rPr>
          <w:u w:val="none"/>
        </w:rPr>
        <w:t xml:space="preserve"> </w:t>
      </w:r>
      <w:r>
        <w:rPr>
          <w:u w:val="none"/>
        </w:rPr>
        <w:t>5 million to the insolvent which was equal to:</w:t>
      </w:r>
    </w:p>
    <w:p w:rsidR="008B5C52"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977" w:hanging="425"/>
        <w:jc w:val="both"/>
        <w:rPr>
          <w:u w:val="none"/>
        </w:rPr>
      </w:pPr>
      <w:r>
        <w:rPr>
          <w:u w:val="none"/>
        </w:rPr>
        <w:t>a)</w:t>
      </w:r>
      <w:r>
        <w:rPr>
          <w:u w:val="none"/>
        </w:rPr>
        <w:tab/>
      </w:r>
      <w:r w:rsidR="00635B94" w:rsidRPr="00C03185">
        <w:rPr>
          <w:u w:val="none"/>
        </w:rPr>
        <w:t xml:space="preserve">the insolvent’s </w:t>
      </w:r>
      <w:r w:rsidR="002D450F" w:rsidRPr="00C03185">
        <w:rPr>
          <w:u w:val="none"/>
        </w:rPr>
        <w:t xml:space="preserve">exiting </w:t>
      </w:r>
      <w:r w:rsidR="00635B94" w:rsidRPr="00C03185">
        <w:rPr>
          <w:u w:val="none"/>
        </w:rPr>
        <w:t>debt to ABSA Bank of ± R10,8 million</w:t>
      </w:r>
      <w:r w:rsidR="008B5C52" w:rsidRPr="00C03185">
        <w:rPr>
          <w:u w:val="none"/>
        </w:rPr>
        <w:t>;</w:t>
      </w:r>
    </w:p>
    <w:p w:rsidR="00635B94"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977" w:hanging="425"/>
        <w:jc w:val="both"/>
        <w:rPr>
          <w:u w:val="none"/>
        </w:rPr>
      </w:pPr>
      <w:r>
        <w:rPr>
          <w:u w:val="none"/>
        </w:rPr>
        <w:t>b)</w:t>
      </w:r>
      <w:r>
        <w:rPr>
          <w:u w:val="none"/>
        </w:rPr>
        <w:tab/>
      </w:r>
      <w:r w:rsidR="00635B94" w:rsidRPr="00C03185">
        <w:rPr>
          <w:u w:val="none"/>
        </w:rPr>
        <w:t xml:space="preserve">the insolvent’s </w:t>
      </w:r>
      <w:r w:rsidR="002D450F" w:rsidRPr="00C03185">
        <w:rPr>
          <w:u w:val="none"/>
        </w:rPr>
        <w:t xml:space="preserve">existing </w:t>
      </w:r>
      <w:r w:rsidR="00635B94" w:rsidRPr="00C03185">
        <w:rPr>
          <w:u w:val="none"/>
        </w:rPr>
        <w:t xml:space="preserve">debt to </w:t>
      </w:r>
      <w:proofErr w:type="spellStart"/>
      <w:r w:rsidR="00635B94" w:rsidRPr="00C03185">
        <w:rPr>
          <w:u w:val="none"/>
        </w:rPr>
        <w:t>Fincrop</w:t>
      </w:r>
      <w:proofErr w:type="spellEnd"/>
      <w:r w:rsidR="00635B94" w:rsidRPr="00C03185">
        <w:rPr>
          <w:u w:val="none"/>
        </w:rPr>
        <w:t xml:space="preserve"> of ± R2,1 million</w:t>
      </w:r>
      <w:r w:rsidR="00635B94" w:rsidRPr="00C03185">
        <w:rPr>
          <w:u w:val="none"/>
        </w:rPr>
        <w:tab/>
      </w:r>
    </w:p>
    <w:p w:rsidR="009D0BE7"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977" w:hanging="425"/>
        <w:jc w:val="both"/>
        <w:rPr>
          <w:u w:val="none"/>
        </w:rPr>
      </w:pPr>
      <w:r>
        <w:rPr>
          <w:u w:val="none"/>
        </w:rPr>
        <w:t>c)</w:t>
      </w:r>
      <w:r>
        <w:rPr>
          <w:u w:val="none"/>
        </w:rPr>
        <w:tab/>
      </w:r>
      <w:r w:rsidR="008B5C52" w:rsidRPr="00C03185">
        <w:rPr>
          <w:u w:val="none"/>
        </w:rPr>
        <w:t xml:space="preserve">the debt set out in paragraph 12.1 supra </w:t>
      </w:r>
    </w:p>
    <w:p w:rsidR="008B5C52" w:rsidRPr="002D450F" w:rsidRDefault="00276C9B" w:rsidP="002D450F">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40"/>
        <w:jc w:val="both"/>
        <w:rPr>
          <w:u w:val="none"/>
        </w:rPr>
      </w:pPr>
      <w:r>
        <w:rPr>
          <w:u w:val="none"/>
        </w:rPr>
        <w:tab/>
      </w:r>
      <w:r w:rsidR="003D756B" w:rsidRPr="00276C9B">
        <w:rPr>
          <w:u w:val="none"/>
        </w:rPr>
        <w:t>and these would be known as “the consolidated debt”</w:t>
      </w:r>
      <w:r w:rsidR="006C5A91" w:rsidRPr="00276C9B">
        <w:rPr>
          <w:u w:val="none"/>
        </w:rPr>
        <w:t>.</w:t>
      </w:r>
      <w:r w:rsidR="002D450F">
        <w:rPr>
          <w:rStyle w:val="FootnoteReference"/>
          <w:u w:val="none"/>
        </w:rPr>
        <w:footnoteReference w:id="11"/>
      </w:r>
    </w:p>
    <w:p w:rsidR="006C5A91" w:rsidRDefault="006C5A91" w:rsidP="006969C4">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52" w:hanging="2552"/>
        <w:jc w:val="both"/>
        <w:rPr>
          <w:u w:val="none"/>
        </w:rPr>
      </w:pPr>
      <w:r>
        <w:rPr>
          <w:u w:val="none"/>
        </w:rPr>
        <w:tab/>
        <w:t>12.2.2</w:t>
      </w:r>
      <w:r>
        <w:rPr>
          <w:u w:val="none"/>
        </w:rPr>
        <w:tab/>
        <w:t xml:space="preserve">plaintiff would procure the following security for the </w:t>
      </w:r>
      <w:r>
        <w:rPr>
          <w:u w:val="none"/>
        </w:rPr>
        <w:lastRenderedPageBreak/>
        <w:t xml:space="preserve">consolidated </w:t>
      </w:r>
      <w:r w:rsidR="008A7FEE">
        <w:rPr>
          <w:u w:val="none"/>
        </w:rPr>
        <w:t>debt:</w:t>
      </w:r>
    </w:p>
    <w:p w:rsidR="00C24B05"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28"/>
        <w:jc w:val="both"/>
        <w:rPr>
          <w:u w:val="none"/>
        </w:rPr>
      </w:pPr>
      <w:r>
        <w:rPr>
          <w:u w:val="none"/>
        </w:rPr>
        <w:t>a)</w:t>
      </w:r>
      <w:r>
        <w:rPr>
          <w:u w:val="none"/>
        </w:rPr>
        <w:tab/>
      </w:r>
      <w:r w:rsidR="00050210" w:rsidRPr="00C03185">
        <w:rPr>
          <w:u w:val="none"/>
        </w:rPr>
        <w:t>a</w:t>
      </w:r>
      <w:r w:rsidR="008A7FEE" w:rsidRPr="00C03185">
        <w:rPr>
          <w:u w:val="none"/>
        </w:rPr>
        <w:t xml:space="preserve"> first mortgage bond in the amount of R1 800 000.00 over the </w:t>
      </w:r>
      <w:r w:rsidR="00776BE2" w:rsidRPr="00C03185">
        <w:rPr>
          <w:u w:val="none"/>
        </w:rPr>
        <w:t xml:space="preserve">Remaining Extent of Portion </w:t>
      </w:r>
      <w:r w:rsidR="00DD26C6">
        <w:rPr>
          <w:u w:val="none"/>
        </w:rPr>
        <w:t>[…]</w:t>
      </w:r>
      <w:r w:rsidR="00776BE2" w:rsidRPr="00C03185">
        <w:rPr>
          <w:u w:val="none"/>
        </w:rPr>
        <w:t xml:space="preserve"> of the farm </w:t>
      </w:r>
      <w:proofErr w:type="gramStart"/>
      <w:r w:rsidR="00776BE2" w:rsidRPr="00C03185">
        <w:rPr>
          <w:u w:val="none"/>
        </w:rPr>
        <w:t>C</w:t>
      </w:r>
      <w:r w:rsidR="00DD26C6">
        <w:rPr>
          <w:u w:val="none"/>
        </w:rPr>
        <w:t>[</w:t>
      </w:r>
      <w:proofErr w:type="gramEnd"/>
      <w:r w:rsidR="00DD26C6">
        <w:rPr>
          <w:u w:val="none"/>
        </w:rPr>
        <w:t>…]</w:t>
      </w:r>
      <w:r w:rsidR="00776BE2" w:rsidRPr="00C03185">
        <w:rPr>
          <w:u w:val="none"/>
        </w:rPr>
        <w:t xml:space="preserve">, registration division IP, Province of North West, in extent 144,8349 hectares and held by deed of transfer </w:t>
      </w:r>
      <w:r w:rsidR="00DD26C6">
        <w:rPr>
          <w:u w:val="none"/>
        </w:rPr>
        <w:t>[…]</w:t>
      </w:r>
      <w:r w:rsidR="00776BE2" w:rsidRPr="00C03185">
        <w:rPr>
          <w:u w:val="none"/>
        </w:rPr>
        <w:t>;</w:t>
      </w:r>
    </w:p>
    <w:p w:rsidR="00776BE2"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b)</w:t>
      </w:r>
      <w:r>
        <w:rPr>
          <w:u w:val="none"/>
        </w:rPr>
        <w:tab/>
      </w:r>
      <w:r w:rsidR="00756625" w:rsidRPr="00C03185">
        <w:rPr>
          <w:u w:val="none"/>
        </w:rPr>
        <w:t xml:space="preserve">a first mortgage bond in the amount of R400 000.00 over the farm </w:t>
      </w:r>
      <w:proofErr w:type="gramStart"/>
      <w:r w:rsidR="00756625" w:rsidRPr="00C03185">
        <w:rPr>
          <w:u w:val="none"/>
        </w:rPr>
        <w:t>V</w:t>
      </w:r>
      <w:r w:rsidR="00DD26C6">
        <w:rPr>
          <w:u w:val="none"/>
        </w:rPr>
        <w:t>[</w:t>
      </w:r>
      <w:proofErr w:type="gramEnd"/>
      <w:r w:rsidR="00DD26C6">
        <w:rPr>
          <w:u w:val="none"/>
        </w:rPr>
        <w:t>…]</w:t>
      </w:r>
      <w:r w:rsidR="00756625" w:rsidRPr="00C03185">
        <w:rPr>
          <w:u w:val="none"/>
        </w:rPr>
        <w:t xml:space="preserve">, registration division IP, Province of North West, in extent 40,9531 hectares and held by deed of transfer </w:t>
      </w:r>
      <w:r w:rsidR="00DD26C6">
        <w:rPr>
          <w:u w:val="none"/>
        </w:rPr>
        <w:t>[…]</w:t>
      </w:r>
      <w:r w:rsidR="00756625" w:rsidRPr="00C03185">
        <w:rPr>
          <w:u w:val="none"/>
        </w:rPr>
        <w:t>;</w:t>
      </w:r>
    </w:p>
    <w:p w:rsidR="00830004"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c)</w:t>
      </w:r>
      <w:r>
        <w:rPr>
          <w:u w:val="none"/>
        </w:rPr>
        <w:tab/>
      </w:r>
      <w:r w:rsidR="00830004" w:rsidRPr="00C03185">
        <w:rPr>
          <w:u w:val="none"/>
        </w:rPr>
        <w:t xml:space="preserve">a first mortgage bond in the amount of R2 200 000.00 over Erf </w:t>
      </w:r>
      <w:r w:rsidR="00DD26C6">
        <w:rPr>
          <w:u w:val="none"/>
        </w:rPr>
        <w:t>[…]</w:t>
      </w:r>
      <w:r w:rsidR="00830004" w:rsidRPr="00C03185">
        <w:rPr>
          <w:u w:val="none"/>
        </w:rPr>
        <w:t xml:space="preserve">, </w:t>
      </w:r>
      <w:proofErr w:type="gramStart"/>
      <w:r w:rsidR="00830004" w:rsidRPr="00C03185">
        <w:rPr>
          <w:u w:val="none"/>
        </w:rPr>
        <w:t>M</w:t>
      </w:r>
      <w:r w:rsidR="00DD26C6">
        <w:rPr>
          <w:u w:val="none"/>
        </w:rPr>
        <w:t>[</w:t>
      </w:r>
      <w:proofErr w:type="gramEnd"/>
      <w:r w:rsidR="00DD26C6">
        <w:rPr>
          <w:u w:val="none"/>
        </w:rPr>
        <w:t>…]</w:t>
      </w:r>
      <w:r w:rsidR="00830004" w:rsidRPr="00C03185">
        <w:rPr>
          <w:u w:val="none"/>
        </w:rPr>
        <w:t>, registration division JR, Province of Gauteng in extent 504m²</w:t>
      </w:r>
      <w:r w:rsidR="0026214A" w:rsidRPr="00C03185">
        <w:rPr>
          <w:u w:val="none"/>
        </w:rPr>
        <w:t xml:space="preserve"> and held by deed of transfer T12</w:t>
      </w:r>
      <w:r w:rsidR="00DD26C6">
        <w:rPr>
          <w:u w:val="none"/>
        </w:rPr>
        <w:t>[…]</w:t>
      </w:r>
      <w:r w:rsidR="0026214A" w:rsidRPr="00C03185">
        <w:rPr>
          <w:u w:val="none"/>
        </w:rPr>
        <w:t>;</w:t>
      </w:r>
    </w:p>
    <w:p w:rsidR="00F15375"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d)</w:t>
      </w:r>
      <w:r>
        <w:rPr>
          <w:u w:val="none"/>
        </w:rPr>
        <w:tab/>
      </w:r>
      <w:r w:rsidR="00F15375" w:rsidRPr="00C03185">
        <w:rPr>
          <w:u w:val="none"/>
        </w:rPr>
        <w:t xml:space="preserve">a first mortgage bond in the amount of R10 400 000.00 over the Remaining Extent of Portion </w:t>
      </w:r>
      <w:r w:rsidR="00954086">
        <w:rPr>
          <w:u w:val="none"/>
        </w:rPr>
        <w:t>[…]</w:t>
      </w:r>
      <w:r w:rsidR="00F15375" w:rsidRPr="00C03185">
        <w:rPr>
          <w:u w:val="none"/>
        </w:rPr>
        <w:t xml:space="preserve"> of the farm </w:t>
      </w:r>
      <w:proofErr w:type="gramStart"/>
      <w:r w:rsidR="00F15375" w:rsidRPr="00C03185">
        <w:rPr>
          <w:u w:val="none"/>
        </w:rPr>
        <w:t>S</w:t>
      </w:r>
      <w:r w:rsidR="00954086">
        <w:rPr>
          <w:u w:val="none"/>
        </w:rPr>
        <w:t>[</w:t>
      </w:r>
      <w:proofErr w:type="gramEnd"/>
      <w:r w:rsidR="00954086">
        <w:rPr>
          <w:u w:val="none"/>
        </w:rPr>
        <w:t>…]</w:t>
      </w:r>
      <w:r w:rsidR="00F15375" w:rsidRPr="00C03185">
        <w:rPr>
          <w:u w:val="none"/>
        </w:rPr>
        <w:t xml:space="preserve">, registration division IP, Province North West, in extent 694,9800 hectares </w:t>
      </w:r>
      <w:r w:rsidR="006D750F" w:rsidRPr="00C03185">
        <w:rPr>
          <w:u w:val="none"/>
        </w:rPr>
        <w:t xml:space="preserve">and held by deed of transfer </w:t>
      </w:r>
      <w:r w:rsidR="00954086">
        <w:rPr>
          <w:u w:val="none"/>
        </w:rPr>
        <w:t>[…]</w:t>
      </w:r>
      <w:r w:rsidR="006D750F" w:rsidRPr="00C03185">
        <w:rPr>
          <w:u w:val="none"/>
        </w:rPr>
        <w:t xml:space="preserve">; </w:t>
      </w:r>
    </w:p>
    <w:p w:rsidR="00E727FE"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e)</w:t>
      </w:r>
      <w:r>
        <w:rPr>
          <w:u w:val="none"/>
        </w:rPr>
        <w:tab/>
      </w:r>
      <w:r w:rsidR="00E727FE" w:rsidRPr="00C03185">
        <w:rPr>
          <w:u w:val="none"/>
        </w:rPr>
        <w:t>a special and general notarial bond in the amount of R5 million over Mr Carsten’s movables;</w:t>
      </w:r>
    </w:p>
    <w:p w:rsidR="00E727FE"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f)</w:t>
      </w:r>
      <w:r>
        <w:rPr>
          <w:u w:val="none"/>
        </w:rPr>
        <w:tab/>
      </w:r>
      <w:r w:rsidR="00C55833" w:rsidRPr="00C03185">
        <w:rPr>
          <w:u w:val="none"/>
        </w:rPr>
        <w:t>the 1</w:t>
      </w:r>
      <w:r w:rsidR="00C55833" w:rsidRPr="00C03185">
        <w:rPr>
          <w:u w:val="none"/>
          <w:vertAlign w:val="superscript"/>
        </w:rPr>
        <w:t>st</w:t>
      </w:r>
      <w:r w:rsidR="00C55833" w:rsidRPr="00C03185">
        <w:rPr>
          <w:u w:val="none"/>
        </w:rPr>
        <w:t xml:space="preserve"> </w:t>
      </w:r>
      <w:r w:rsidR="00276C9B" w:rsidRPr="00C03185">
        <w:rPr>
          <w:u w:val="none"/>
        </w:rPr>
        <w:t>defendant</w:t>
      </w:r>
      <w:r w:rsidR="00C55833" w:rsidRPr="00C03185">
        <w:rPr>
          <w:u w:val="none"/>
        </w:rPr>
        <w:t xml:space="preserve"> would agree (as </w:t>
      </w:r>
      <w:r w:rsidR="00D35F68" w:rsidRPr="00C03185">
        <w:rPr>
          <w:u w:val="none"/>
        </w:rPr>
        <w:t xml:space="preserve">existing </w:t>
      </w:r>
      <w:r w:rsidR="00C55833" w:rsidRPr="00C03185">
        <w:rPr>
          <w:u w:val="none"/>
        </w:rPr>
        <w:t xml:space="preserve">surety) to register a first mortgage bond in the amount </w:t>
      </w:r>
      <w:r w:rsidR="001716B2" w:rsidRPr="00C03185">
        <w:rPr>
          <w:u w:val="none"/>
        </w:rPr>
        <w:t xml:space="preserve">of R6 400 000.00 over Remaining portion of Portion </w:t>
      </w:r>
      <w:r w:rsidR="00954086">
        <w:rPr>
          <w:u w:val="none"/>
        </w:rPr>
        <w:t>[…]</w:t>
      </w:r>
      <w:r w:rsidR="001716B2" w:rsidRPr="00C03185">
        <w:rPr>
          <w:u w:val="none"/>
        </w:rPr>
        <w:t xml:space="preserve"> of the farm </w:t>
      </w:r>
      <w:proofErr w:type="gramStart"/>
      <w:r w:rsidR="001716B2" w:rsidRPr="00C03185">
        <w:rPr>
          <w:u w:val="none"/>
        </w:rPr>
        <w:t>S</w:t>
      </w:r>
      <w:r w:rsidR="00954086">
        <w:rPr>
          <w:u w:val="none"/>
        </w:rPr>
        <w:t>[</w:t>
      </w:r>
      <w:proofErr w:type="gramEnd"/>
      <w:r w:rsidR="00954086">
        <w:rPr>
          <w:u w:val="none"/>
        </w:rPr>
        <w:t>…]</w:t>
      </w:r>
      <w:r w:rsidR="001716B2" w:rsidRPr="00C03185">
        <w:rPr>
          <w:u w:val="none"/>
        </w:rPr>
        <w:t xml:space="preserve">, registration division IP, </w:t>
      </w:r>
      <w:r w:rsidR="001716B2" w:rsidRPr="00C03185">
        <w:rPr>
          <w:u w:val="none"/>
        </w:rPr>
        <w:lastRenderedPageBreak/>
        <w:t xml:space="preserve">Province North West, in extent 489,0026 hectares and held by deed of transfer </w:t>
      </w:r>
      <w:r w:rsidR="00954086">
        <w:rPr>
          <w:u w:val="none"/>
        </w:rPr>
        <w:t>[…]</w:t>
      </w:r>
      <w:r w:rsidR="001716B2" w:rsidRPr="00C03185">
        <w:rPr>
          <w:u w:val="none"/>
        </w:rPr>
        <w:t>;</w:t>
      </w:r>
    </w:p>
    <w:p w:rsidR="00C930CA"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g)</w:t>
      </w:r>
      <w:r>
        <w:rPr>
          <w:u w:val="none"/>
        </w:rPr>
        <w:tab/>
      </w:r>
      <w:r w:rsidR="00C930CA" w:rsidRPr="00C03185">
        <w:rPr>
          <w:u w:val="none"/>
        </w:rPr>
        <w:t>the 2</w:t>
      </w:r>
      <w:r w:rsidR="00C930CA" w:rsidRPr="00C03185">
        <w:rPr>
          <w:u w:val="none"/>
          <w:vertAlign w:val="superscript"/>
        </w:rPr>
        <w:t>nd</w:t>
      </w:r>
      <w:r w:rsidR="00C930CA" w:rsidRPr="00C03185">
        <w:rPr>
          <w:u w:val="none"/>
        </w:rPr>
        <w:t xml:space="preserve"> defendant </w:t>
      </w:r>
      <w:r w:rsidR="00C362A6" w:rsidRPr="00C03185">
        <w:rPr>
          <w:u w:val="none"/>
        </w:rPr>
        <w:t>would:</w:t>
      </w:r>
    </w:p>
    <w:p w:rsidR="00C362A6"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3196" w:hanging="77"/>
        <w:jc w:val="both"/>
        <w:rPr>
          <w:u w:val="none"/>
        </w:rPr>
      </w:pPr>
      <w:r>
        <w:rPr>
          <w:u w:val="none"/>
        </w:rPr>
        <w:t>(</w:t>
      </w:r>
      <w:proofErr w:type="spellStart"/>
      <w:r>
        <w:rPr>
          <w:u w:val="none"/>
        </w:rPr>
        <w:t>i</w:t>
      </w:r>
      <w:proofErr w:type="spellEnd"/>
      <w:r>
        <w:rPr>
          <w:u w:val="none"/>
        </w:rPr>
        <w:t>)</w:t>
      </w:r>
      <w:r>
        <w:rPr>
          <w:u w:val="none"/>
        </w:rPr>
        <w:tab/>
      </w:r>
      <w:r w:rsidR="00222A70" w:rsidRPr="00C03185">
        <w:rPr>
          <w:u w:val="none"/>
        </w:rPr>
        <w:t xml:space="preserve">bind </w:t>
      </w:r>
      <w:r w:rsidR="00DA17A0" w:rsidRPr="00C03185">
        <w:rPr>
          <w:u w:val="none"/>
        </w:rPr>
        <w:t>herself as a surety and co-pri</w:t>
      </w:r>
      <w:r w:rsidR="00B157CB" w:rsidRPr="00C03185">
        <w:rPr>
          <w:u w:val="none"/>
        </w:rPr>
        <w:t>ncipal debtor in favour of the p</w:t>
      </w:r>
      <w:r w:rsidR="00DA17A0" w:rsidRPr="00C03185">
        <w:rPr>
          <w:u w:val="none"/>
        </w:rPr>
        <w:t>la</w:t>
      </w:r>
      <w:r w:rsidR="00276C9B" w:rsidRPr="00C03185">
        <w:rPr>
          <w:u w:val="none"/>
        </w:rPr>
        <w:t xml:space="preserve">intiff for an unlimited amount </w:t>
      </w:r>
      <w:r w:rsidR="00DA17A0" w:rsidRPr="00C03185">
        <w:rPr>
          <w:u w:val="none"/>
        </w:rPr>
        <w:t xml:space="preserve">for </w:t>
      </w:r>
      <w:r w:rsidR="00DD2802" w:rsidRPr="00C03185">
        <w:rPr>
          <w:u w:val="none"/>
        </w:rPr>
        <w:t>the insolvent’s</w:t>
      </w:r>
      <w:r w:rsidR="00DA17A0" w:rsidRPr="00C03185">
        <w:rPr>
          <w:u w:val="none"/>
        </w:rPr>
        <w:t xml:space="preserve"> debts </w:t>
      </w:r>
      <w:r w:rsidR="005F667E" w:rsidRPr="00C03185">
        <w:rPr>
          <w:u w:val="none"/>
        </w:rPr>
        <w:t>before</w:t>
      </w:r>
      <w:r w:rsidR="00DA17A0" w:rsidRPr="00C03185">
        <w:rPr>
          <w:u w:val="none"/>
        </w:rPr>
        <w:t xml:space="preserve"> 29 October 2012; and </w:t>
      </w:r>
    </w:p>
    <w:p w:rsidR="004817E1"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3196" w:hanging="77"/>
        <w:jc w:val="both"/>
        <w:rPr>
          <w:u w:val="none"/>
        </w:rPr>
      </w:pPr>
      <w:r>
        <w:rPr>
          <w:u w:val="none"/>
        </w:rPr>
        <w:t>(ii)</w:t>
      </w:r>
      <w:r>
        <w:rPr>
          <w:u w:val="none"/>
        </w:rPr>
        <w:tab/>
      </w:r>
      <w:r w:rsidR="004817E1" w:rsidRPr="00C03185">
        <w:rPr>
          <w:u w:val="none"/>
        </w:rPr>
        <w:t xml:space="preserve">consent to the registration of a first mortgage bond in the amount of R8 million over the Remaining portion of the farm </w:t>
      </w:r>
      <w:proofErr w:type="gramStart"/>
      <w:r w:rsidR="004817E1" w:rsidRPr="00C03185">
        <w:rPr>
          <w:u w:val="none"/>
        </w:rPr>
        <w:t>K</w:t>
      </w:r>
      <w:r w:rsidR="00954086">
        <w:rPr>
          <w:u w:val="none"/>
        </w:rPr>
        <w:t>[</w:t>
      </w:r>
      <w:proofErr w:type="gramEnd"/>
      <w:r w:rsidR="00954086">
        <w:rPr>
          <w:u w:val="none"/>
        </w:rPr>
        <w:t>…]</w:t>
      </w:r>
      <w:r w:rsidR="004817E1" w:rsidRPr="00C03185">
        <w:rPr>
          <w:u w:val="none"/>
        </w:rPr>
        <w:t xml:space="preserve">, Registration Division IP, Province of North West, in extent 736,5247 hectares and Portion </w:t>
      </w:r>
      <w:r w:rsidR="00954086">
        <w:rPr>
          <w:u w:val="none"/>
        </w:rPr>
        <w:t>[…]</w:t>
      </w:r>
      <w:r w:rsidR="004817E1" w:rsidRPr="00C03185">
        <w:rPr>
          <w:u w:val="none"/>
        </w:rPr>
        <w:t xml:space="preserve"> of the farm V</w:t>
      </w:r>
      <w:r w:rsidR="00954086">
        <w:rPr>
          <w:u w:val="none"/>
        </w:rPr>
        <w:t>[…]</w:t>
      </w:r>
      <w:r w:rsidR="004817E1" w:rsidRPr="00C03185">
        <w:rPr>
          <w:u w:val="none"/>
        </w:rPr>
        <w:t xml:space="preserve">, Registration </w:t>
      </w:r>
      <w:r w:rsidR="003D5409" w:rsidRPr="00C03185">
        <w:rPr>
          <w:u w:val="none"/>
        </w:rPr>
        <w:t>Division IP</w:t>
      </w:r>
      <w:r w:rsidR="004817E1" w:rsidRPr="00C03185">
        <w:rPr>
          <w:u w:val="none"/>
        </w:rPr>
        <w:t xml:space="preserve">, Province of North </w:t>
      </w:r>
      <w:r w:rsidR="000171A7" w:rsidRPr="00C03185">
        <w:rPr>
          <w:u w:val="none"/>
        </w:rPr>
        <w:t>West,</w:t>
      </w:r>
      <w:r w:rsidR="004817E1" w:rsidRPr="00C03185">
        <w:rPr>
          <w:u w:val="none"/>
        </w:rPr>
        <w:t xml:space="preserve"> in extent 3 0776 hectares held by Deed of Transfer </w:t>
      </w:r>
      <w:r w:rsidR="006616FE">
        <w:rPr>
          <w:u w:val="none"/>
        </w:rPr>
        <w:t>[…]</w:t>
      </w:r>
      <w:r w:rsidR="004817E1" w:rsidRPr="00C03185">
        <w:rPr>
          <w:u w:val="none"/>
        </w:rPr>
        <w:t xml:space="preserve">and </w:t>
      </w:r>
      <w:r w:rsidR="006616FE">
        <w:rPr>
          <w:u w:val="none"/>
        </w:rPr>
        <w:t>[…]</w:t>
      </w:r>
      <w:r w:rsidR="004817E1" w:rsidRPr="00C03185">
        <w:rPr>
          <w:u w:val="none"/>
        </w:rPr>
        <w:t xml:space="preserve">; </w:t>
      </w:r>
    </w:p>
    <w:p w:rsidR="00C930CA" w:rsidRPr="00C03185" w:rsidRDefault="00C03185" w:rsidP="00C03185">
      <w:pPr>
        <w:widowControl w:val="0"/>
        <w:tabs>
          <w:tab w:val="left" w:pos="-1099"/>
          <w:tab w:val="left" w:pos="-720"/>
          <w:tab w:val="left" w:pos="0"/>
          <w:tab w:val="left" w:pos="1450"/>
          <w:tab w:val="left" w:pos="2552"/>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880" w:hanging="360"/>
        <w:jc w:val="both"/>
        <w:rPr>
          <w:u w:val="none"/>
        </w:rPr>
      </w:pPr>
      <w:r>
        <w:rPr>
          <w:u w:val="none"/>
        </w:rPr>
        <w:t>h)</w:t>
      </w:r>
      <w:r>
        <w:rPr>
          <w:u w:val="none"/>
        </w:rPr>
        <w:tab/>
      </w:r>
      <w:proofErr w:type="spellStart"/>
      <w:r w:rsidR="003D5409" w:rsidRPr="00C03185">
        <w:rPr>
          <w:u w:val="none"/>
        </w:rPr>
        <w:t>Wolwepan</w:t>
      </w:r>
      <w:proofErr w:type="spellEnd"/>
      <w:r w:rsidR="003D5409" w:rsidRPr="00C03185">
        <w:rPr>
          <w:u w:val="none"/>
        </w:rPr>
        <w:t xml:space="preserve"> Feedlot must bind itself as a surety and co-principal debtor in favour of the </w:t>
      </w:r>
      <w:r w:rsidR="008770D5" w:rsidRPr="00C03185">
        <w:rPr>
          <w:u w:val="none"/>
        </w:rPr>
        <w:t>p</w:t>
      </w:r>
      <w:r w:rsidR="003D5409" w:rsidRPr="00C03185">
        <w:rPr>
          <w:u w:val="none"/>
        </w:rPr>
        <w:t>laintiff for the payment of the debts of the insolvent</w:t>
      </w:r>
      <w:r w:rsidR="00EC1248" w:rsidRPr="00C03185">
        <w:rPr>
          <w:u w:val="none"/>
        </w:rPr>
        <w:t>, before the close of business on 29 October 2012</w:t>
      </w:r>
      <w:r w:rsidR="003D5409" w:rsidRPr="00C03185">
        <w:rPr>
          <w:u w:val="none"/>
        </w:rPr>
        <w:t>;</w:t>
      </w:r>
    </w:p>
    <w:p w:rsidR="00440182" w:rsidRDefault="004A63C4" w:rsidP="009F19B4">
      <w:pPr>
        <w:widowControl w:val="0"/>
        <w:tabs>
          <w:tab w:val="left" w:pos="-1099"/>
          <w:tab w:val="left" w:pos="-720"/>
          <w:tab w:val="left" w:pos="0"/>
          <w:tab w:val="left" w:pos="1450"/>
          <w:tab w:val="left" w:pos="2528"/>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52" w:hanging="2552"/>
        <w:jc w:val="both"/>
        <w:rPr>
          <w:u w:val="none"/>
        </w:rPr>
      </w:pPr>
      <w:r>
        <w:rPr>
          <w:u w:val="none"/>
        </w:rPr>
        <w:tab/>
        <w:t>12.2.3</w:t>
      </w:r>
      <w:r>
        <w:rPr>
          <w:u w:val="none"/>
        </w:rPr>
        <w:tab/>
      </w:r>
      <w:r w:rsidR="008C14AB">
        <w:rPr>
          <w:u w:val="none"/>
        </w:rPr>
        <w:t>t</w:t>
      </w:r>
      <w:r w:rsidR="00EC1248">
        <w:rPr>
          <w:u w:val="none"/>
        </w:rPr>
        <w:t>he insolvent must</w:t>
      </w:r>
      <w:r w:rsidR="006969C4">
        <w:rPr>
          <w:u w:val="none"/>
        </w:rPr>
        <w:t xml:space="preserve"> sign a </w:t>
      </w:r>
      <w:r w:rsidR="008C14AB">
        <w:rPr>
          <w:u w:val="none"/>
        </w:rPr>
        <w:t>Term Loan A</w:t>
      </w:r>
      <w:r w:rsidR="006969C4">
        <w:rPr>
          <w:u w:val="none"/>
        </w:rPr>
        <w:t xml:space="preserve">greement </w:t>
      </w:r>
      <w:r w:rsidR="008C14AB">
        <w:rPr>
          <w:u w:val="none"/>
        </w:rPr>
        <w:t xml:space="preserve">(TLA) </w:t>
      </w:r>
      <w:r w:rsidR="006969C4">
        <w:rPr>
          <w:u w:val="none"/>
        </w:rPr>
        <w:t xml:space="preserve">for the payment of the consolidated debt in the amount of R26 500 000.00 plus interest at a rate of the prime interest rate plus 1%, calculated daily and capitalised monthly, in a term loan of annual payments of approximately R4 200 000.00, repayable over a period </w:t>
      </w:r>
      <w:r w:rsidR="006969C4">
        <w:rPr>
          <w:u w:val="none"/>
        </w:rPr>
        <w:lastRenderedPageBreak/>
        <w:t>of 10 years</w:t>
      </w:r>
      <w:r w:rsidR="00EC1248">
        <w:rPr>
          <w:u w:val="none"/>
        </w:rPr>
        <w:t>, before the close of business on 29 October 2012</w:t>
      </w:r>
      <w:r w:rsidR="006969C4">
        <w:rPr>
          <w:u w:val="none"/>
        </w:rPr>
        <w:t xml:space="preserve">. </w:t>
      </w:r>
    </w:p>
    <w:p w:rsidR="00C07C61" w:rsidRPr="009F19B4" w:rsidRDefault="00C07C61" w:rsidP="009F19B4">
      <w:pPr>
        <w:widowControl w:val="0"/>
        <w:tabs>
          <w:tab w:val="left" w:pos="-1099"/>
          <w:tab w:val="left" w:pos="-720"/>
          <w:tab w:val="left" w:pos="0"/>
          <w:tab w:val="left" w:pos="1450"/>
          <w:tab w:val="left" w:pos="2528"/>
          <w:tab w:val="left" w:pos="2977"/>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52" w:hanging="2552"/>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[13]</w:t>
      </w:r>
      <w:r>
        <w:rPr>
          <w:rFonts w:hAnsi="Arial Unicode MS"/>
          <w:u w:val="none"/>
        </w:rPr>
        <w:tab/>
      </w:r>
      <w:r w:rsidR="009F19B4" w:rsidRPr="00C03185">
        <w:rPr>
          <w:u w:val="none"/>
        </w:rPr>
        <w:t xml:space="preserve">The insolvent signed a document tilted </w:t>
      </w:r>
      <w:r w:rsidR="00DD2802" w:rsidRPr="00C03185">
        <w:rPr>
          <w:u w:val="none"/>
        </w:rPr>
        <w:t>“</w:t>
      </w:r>
      <w:r w:rsidR="00994A8E" w:rsidRPr="00C03185">
        <w:rPr>
          <w:u w:val="none"/>
        </w:rPr>
        <w:t>Application for Loan Agreement – (Individual)</w:t>
      </w:r>
      <w:r w:rsidR="00DD2802" w:rsidRPr="00C03185">
        <w:rPr>
          <w:u w:val="none"/>
        </w:rPr>
        <w:t>”</w:t>
      </w:r>
      <w:r w:rsidR="00994A8E" w:rsidRPr="00C03185">
        <w:rPr>
          <w:u w:val="none"/>
        </w:rPr>
        <w:t xml:space="preserve"> on 29 October 2012</w:t>
      </w:r>
      <w:r w:rsidR="00510DCE" w:rsidRPr="00C03185">
        <w:rPr>
          <w:u w:val="none"/>
        </w:rPr>
        <w:t>. It was witnessed by Ms Erasmus. The application contains the terms and conditions of the loan agreement which the insolvent also signed on the same date.</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[14]</w:t>
      </w:r>
      <w:r>
        <w:rPr>
          <w:rFonts w:hAnsi="Arial Unicode MS"/>
          <w:u w:val="none"/>
        </w:rPr>
        <w:tab/>
      </w:r>
      <w:r w:rsidR="001B5D62" w:rsidRPr="00C03185">
        <w:rPr>
          <w:u w:val="none"/>
        </w:rPr>
        <w:t>The plaintiff then sent a “Quotation – Application for Loan Agreement”</w:t>
      </w:r>
      <w:r w:rsidR="00440C1D" w:rsidRPr="00C03185">
        <w:rPr>
          <w:u w:val="none"/>
        </w:rPr>
        <w:t xml:space="preserve"> to the insolvent. This was signed by him on 10 December 2012. The insolvent</w:t>
      </w:r>
      <w:r w:rsidR="00DD2802" w:rsidRPr="00C03185">
        <w:rPr>
          <w:u w:val="none"/>
        </w:rPr>
        <w:t>’s</w:t>
      </w:r>
      <w:r w:rsidR="00440C1D" w:rsidRPr="00C03185">
        <w:rPr>
          <w:u w:val="none"/>
        </w:rPr>
        <w:t xml:space="preserve"> signature was </w:t>
      </w:r>
      <w:r w:rsidR="00EC1248" w:rsidRPr="00C03185">
        <w:rPr>
          <w:u w:val="none"/>
        </w:rPr>
        <w:t xml:space="preserve">again </w:t>
      </w:r>
      <w:r w:rsidR="00440C1D" w:rsidRPr="00C03185">
        <w:rPr>
          <w:u w:val="none"/>
        </w:rPr>
        <w:t>witnessed by Ms Erasmus. As with the 1</w:t>
      </w:r>
      <w:r w:rsidR="00440C1D" w:rsidRPr="00C03185">
        <w:rPr>
          <w:u w:val="none"/>
          <w:vertAlign w:val="superscript"/>
        </w:rPr>
        <w:t>st</w:t>
      </w:r>
      <w:r w:rsidR="00440C1D" w:rsidRPr="00C03185">
        <w:rPr>
          <w:u w:val="none"/>
        </w:rPr>
        <w:t xml:space="preserve"> agreement, the “Quotation” sets out the amount of the loan</w:t>
      </w:r>
      <w:r w:rsidR="00422D92">
        <w:rPr>
          <w:rStyle w:val="FootnoteReference"/>
          <w:u w:val="none"/>
        </w:rPr>
        <w:footnoteReference w:id="12"/>
      </w:r>
      <w:r w:rsidR="00EC1248" w:rsidRPr="00C03185">
        <w:rPr>
          <w:u w:val="none"/>
        </w:rPr>
        <w:t xml:space="preserve"> plus interest and</w:t>
      </w:r>
      <w:r w:rsidR="00D60CF4" w:rsidRPr="00C03185">
        <w:rPr>
          <w:u w:val="none"/>
        </w:rPr>
        <w:t xml:space="preserve"> other costs, bringing the total loan value to R41 511</w:t>
      </w:r>
      <w:r w:rsidR="00EC1248" w:rsidRPr="00C03185">
        <w:rPr>
          <w:u w:val="none"/>
        </w:rPr>
        <w:t> </w:t>
      </w:r>
      <w:r w:rsidR="00D60CF4" w:rsidRPr="00C03185">
        <w:rPr>
          <w:u w:val="none"/>
        </w:rPr>
        <w:t>257-</w:t>
      </w:r>
      <w:r w:rsidR="00EC1248" w:rsidRPr="00C03185">
        <w:rPr>
          <w:u w:val="none"/>
        </w:rPr>
        <w:t>3</w:t>
      </w:r>
      <w:r w:rsidR="00D60CF4" w:rsidRPr="00C03185">
        <w:rPr>
          <w:u w:val="none"/>
        </w:rPr>
        <w:t xml:space="preserve">5. The interest rate </w:t>
      </w:r>
      <w:r w:rsidR="00380676" w:rsidRPr="00C03185">
        <w:rPr>
          <w:u w:val="none"/>
        </w:rPr>
        <w:t>is recorded as prime plus 1%</w:t>
      </w:r>
      <w:r w:rsidR="00380676">
        <w:rPr>
          <w:rStyle w:val="FootnoteReference"/>
          <w:u w:val="none"/>
        </w:rPr>
        <w:footnoteReference w:id="13"/>
      </w:r>
      <w:r w:rsidR="0040095A" w:rsidRPr="00C03185">
        <w:rPr>
          <w:u w:val="none"/>
        </w:rPr>
        <w:t xml:space="preserve"> and the instalments of R4 151 219-60 commenc</w:t>
      </w:r>
      <w:r w:rsidR="00EC1248" w:rsidRPr="00C03185">
        <w:rPr>
          <w:u w:val="none"/>
        </w:rPr>
        <w:t>ed on 31 August 2013 and ended</w:t>
      </w:r>
      <w:r w:rsidR="0040095A" w:rsidRPr="00C03185">
        <w:rPr>
          <w:u w:val="none"/>
        </w:rPr>
        <w:t xml:space="preserve"> on 31 August 2022.</w:t>
      </w:r>
      <w:r w:rsidR="002F296A" w:rsidRPr="00C03185">
        <w:rPr>
          <w:u w:val="none"/>
        </w:rPr>
        <w:t xml:space="preserve"> </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[15]</w:t>
      </w:r>
      <w:r>
        <w:rPr>
          <w:rFonts w:hAnsi="Arial Unicode MS"/>
          <w:u w:val="none"/>
        </w:rPr>
        <w:tab/>
      </w:r>
      <w:r w:rsidR="002F296A" w:rsidRPr="00C03185">
        <w:rPr>
          <w:u w:val="none"/>
        </w:rPr>
        <w:t>According to Ms Douglas’ evidence, it was only once the insolvent had signed this quota</w:t>
      </w:r>
      <w:r w:rsidR="003D4C80" w:rsidRPr="00C03185">
        <w:rPr>
          <w:u w:val="none"/>
        </w:rPr>
        <w:t xml:space="preserve">tion on 10 December 2012 that the </w:t>
      </w:r>
      <w:r w:rsidR="002F296A" w:rsidRPr="00C03185">
        <w:rPr>
          <w:u w:val="none"/>
        </w:rPr>
        <w:t>agreement came into existence.</w:t>
      </w:r>
      <w:r w:rsidR="003D4C80" w:rsidRPr="00C03185">
        <w:rPr>
          <w:u w:val="none"/>
        </w:rPr>
        <w:t xml:space="preserve"> In fact, it appears that this is the case in respect of all the agreements – they have legal effect upon signature of the quotation.</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[16]</w:t>
      </w:r>
      <w:r>
        <w:rPr>
          <w:rFonts w:hAnsi="Arial Unicode MS"/>
          <w:u w:val="none"/>
        </w:rPr>
        <w:tab/>
      </w:r>
      <w:r w:rsidR="00081D02" w:rsidRPr="00C03185">
        <w:rPr>
          <w:u w:val="none"/>
        </w:rPr>
        <w:t xml:space="preserve">Then, on 10 December 2012 the insolvent applied for credit to establish </w:t>
      </w:r>
      <w:r w:rsidR="00081D02" w:rsidRPr="00C03185">
        <w:rPr>
          <w:u w:val="none"/>
        </w:rPr>
        <w:lastRenderedPageBreak/>
        <w:t>a white maize crop</w:t>
      </w:r>
      <w:r w:rsidR="00081D02">
        <w:rPr>
          <w:rStyle w:val="FootnoteReference"/>
          <w:u w:val="none"/>
        </w:rPr>
        <w:footnoteReference w:id="14"/>
      </w:r>
      <w:r w:rsidR="003352F1" w:rsidRPr="00C03185">
        <w:rPr>
          <w:u w:val="none"/>
        </w:rPr>
        <w:t xml:space="preserve"> and a sunflower crop</w:t>
      </w:r>
      <w:r w:rsidR="003352F1">
        <w:rPr>
          <w:rStyle w:val="FootnoteReference"/>
          <w:u w:val="none"/>
        </w:rPr>
        <w:footnoteReference w:id="15"/>
      </w:r>
      <w:r w:rsidR="00150ABF" w:rsidRPr="00C03185">
        <w:rPr>
          <w:u w:val="none"/>
        </w:rPr>
        <w:t>. Whilst the application was approved by plaintiff on 17 January 201</w:t>
      </w:r>
      <w:r w:rsidR="00DE71F8" w:rsidRPr="00C03185">
        <w:rPr>
          <w:u w:val="none"/>
        </w:rPr>
        <w:t xml:space="preserve">3, the quotations were </w:t>
      </w:r>
      <w:r w:rsidR="00C634B4" w:rsidRPr="00C03185">
        <w:rPr>
          <w:u w:val="none"/>
        </w:rPr>
        <w:t>signed on 17 July 2013. The amount was</w:t>
      </w:r>
      <w:r w:rsidR="00150ABF" w:rsidRPr="00C03185">
        <w:rPr>
          <w:u w:val="none"/>
        </w:rPr>
        <w:t xml:space="preserve"> repayable on 31 July 201</w:t>
      </w:r>
      <w:r w:rsidR="00EC1248" w:rsidRPr="00C03185">
        <w:rPr>
          <w:u w:val="none"/>
        </w:rPr>
        <w:t>3</w:t>
      </w:r>
      <w:r w:rsidR="00150ABF" w:rsidRPr="00C03185">
        <w:rPr>
          <w:u w:val="none"/>
        </w:rPr>
        <w:t xml:space="preserve"> (the 3</w:t>
      </w:r>
      <w:r w:rsidR="00150ABF" w:rsidRPr="00C03185">
        <w:rPr>
          <w:u w:val="none"/>
          <w:vertAlign w:val="superscript"/>
        </w:rPr>
        <w:t>rd</w:t>
      </w:r>
      <w:r w:rsidR="00150ABF" w:rsidRPr="00C03185">
        <w:rPr>
          <w:u w:val="none"/>
        </w:rPr>
        <w:t xml:space="preserve"> agreement).</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[17]</w:t>
      </w:r>
      <w:r>
        <w:rPr>
          <w:rFonts w:hAnsi="Arial Unicode MS"/>
          <w:u w:val="none"/>
        </w:rPr>
        <w:tab/>
      </w:r>
      <w:r w:rsidR="00954272" w:rsidRPr="00C03185">
        <w:rPr>
          <w:u w:val="none"/>
        </w:rPr>
        <w:t>Then, on 25 March 2013 the insolvent again applied to plaintiff for a production loan to establish a sunflower crop</w:t>
      </w:r>
      <w:r w:rsidR="00954272">
        <w:rPr>
          <w:rStyle w:val="FootnoteReference"/>
          <w:u w:val="none"/>
        </w:rPr>
        <w:footnoteReference w:id="16"/>
      </w:r>
      <w:r w:rsidR="00B434CE" w:rsidRPr="00C03185">
        <w:rPr>
          <w:u w:val="none"/>
        </w:rPr>
        <w:t>and a white maize crop</w:t>
      </w:r>
      <w:r w:rsidR="00B434CE">
        <w:rPr>
          <w:rStyle w:val="FootnoteReference"/>
          <w:u w:val="none"/>
        </w:rPr>
        <w:footnoteReference w:id="17"/>
      </w:r>
      <w:r w:rsidR="0043389A" w:rsidRPr="00C03185">
        <w:rPr>
          <w:u w:val="none"/>
        </w:rPr>
        <w:t>. On 28 March 2013 the loan was approved and was repayable on 31 July 2013. It is common cause that the agreement was concluded and the funding made available (the 4</w:t>
      </w:r>
      <w:r w:rsidR="0043389A" w:rsidRPr="00C03185">
        <w:rPr>
          <w:u w:val="none"/>
          <w:vertAlign w:val="superscript"/>
        </w:rPr>
        <w:t>th</w:t>
      </w:r>
      <w:r w:rsidR="0043389A" w:rsidRPr="00C03185">
        <w:rPr>
          <w:u w:val="none"/>
        </w:rPr>
        <w:t xml:space="preserve"> agreement).</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[18]</w:t>
      </w:r>
      <w:r>
        <w:rPr>
          <w:rFonts w:hAnsi="Arial Unicode MS"/>
          <w:u w:val="none"/>
        </w:rPr>
        <w:tab/>
      </w:r>
      <w:r w:rsidR="00784703" w:rsidRPr="00C03185">
        <w:rPr>
          <w:u w:val="none"/>
        </w:rPr>
        <w:t>The 5</w:t>
      </w:r>
      <w:r w:rsidR="00784703" w:rsidRPr="00C03185">
        <w:rPr>
          <w:u w:val="none"/>
          <w:vertAlign w:val="superscript"/>
        </w:rPr>
        <w:t>th</w:t>
      </w:r>
      <w:r w:rsidR="00784703" w:rsidRPr="00C03185">
        <w:rPr>
          <w:u w:val="none"/>
        </w:rPr>
        <w:t xml:space="preserve"> agreement was concluded on 3 September 2013 when the insolvent signed a written application to procure an extension of time within which to repay his outstanding indebtedness to plaintiff. According to that document the loans immediately payable amounted to R2 279 956-68 and those “payable later” to R38 288 241-47</w:t>
      </w:r>
      <w:r w:rsidR="00784703">
        <w:rPr>
          <w:rStyle w:val="FootnoteReference"/>
          <w:u w:val="none"/>
        </w:rPr>
        <w:footnoteReference w:id="18"/>
      </w:r>
      <w:r w:rsidR="008845E3" w:rsidRPr="00C03185">
        <w:rPr>
          <w:u w:val="none"/>
        </w:rPr>
        <w:t xml:space="preserve">. According to this, an extension was sought until 31 July 2014 to pay the amount. Importantly, in this application for extension, the </w:t>
      </w:r>
      <w:r w:rsidR="009F0D69" w:rsidRPr="00C03185">
        <w:rPr>
          <w:u w:val="none"/>
        </w:rPr>
        <w:t>insolvent</w:t>
      </w:r>
      <w:r w:rsidR="008845E3" w:rsidRPr="00C03185">
        <w:rPr>
          <w:u w:val="none"/>
        </w:rPr>
        <w:t xml:space="preserve"> admitted that these amounts were “</w:t>
      </w:r>
      <w:r w:rsidR="008845E3" w:rsidRPr="00C03185">
        <w:rPr>
          <w:i/>
          <w:u w:val="none"/>
        </w:rPr>
        <w:t>truly and legally owed</w:t>
      </w:r>
      <w:r w:rsidR="008845E3" w:rsidRPr="00C03185">
        <w:rPr>
          <w:u w:val="none"/>
        </w:rPr>
        <w:t>” at date of application being 3 September 2013. According to the plaintiff</w:t>
      </w:r>
      <w:r w:rsidR="009F1265" w:rsidRPr="00C03185">
        <w:rPr>
          <w:u w:val="none"/>
        </w:rPr>
        <w:t>,</w:t>
      </w:r>
      <w:r w:rsidR="008845E3" w:rsidRPr="00C03185">
        <w:rPr>
          <w:u w:val="none"/>
        </w:rPr>
        <w:t xml:space="preserve"> the extension was granted and arrangements were made that the insolvent would sign the quotation on 11 March </w:t>
      </w:r>
      <w:r w:rsidR="004F10DF" w:rsidRPr="00C03185">
        <w:rPr>
          <w:u w:val="none"/>
        </w:rPr>
        <w:t>2014.</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[19]</w:t>
      </w:r>
      <w:r>
        <w:rPr>
          <w:rFonts w:hAnsi="Arial Unicode MS"/>
          <w:u w:val="none"/>
        </w:rPr>
        <w:tab/>
      </w:r>
      <w:r w:rsidR="004F10DF" w:rsidRPr="00C03185">
        <w:rPr>
          <w:u w:val="none"/>
        </w:rPr>
        <w:t xml:space="preserve">However, when </w:t>
      </w:r>
      <w:r w:rsidR="00B533A5" w:rsidRPr="00C03185">
        <w:rPr>
          <w:u w:val="none"/>
        </w:rPr>
        <w:t xml:space="preserve">Mr </w:t>
      </w:r>
      <w:proofErr w:type="spellStart"/>
      <w:r w:rsidR="00B533A5" w:rsidRPr="00C03185">
        <w:rPr>
          <w:u w:val="none"/>
        </w:rPr>
        <w:t>Viljoen</w:t>
      </w:r>
      <w:proofErr w:type="spellEnd"/>
      <w:r w:rsidR="009F1265" w:rsidRPr="00C03185">
        <w:rPr>
          <w:u w:val="none"/>
        </w:rPr>
        <w:t xml:space="preserve"> and Mr </w:t>
      </w:r>
      <w:proofErr w:type="spellStart"/>
      <w:r w:rsidR="009F1265" w:rsidRPr="00C03185">
        <w:rPr>
          <w:u w:val="none"/>
        </w:rPr>
        <w:t>Prinsloo</w:t>
      </w:r>
      <w:proofErr w:type="spellEnd"/>
      <w:r w:rsidR="004F10DF" w:rsidRPr="00C03185">
        <w:rPr>
          <w:u w:val="none"/>
        </w:rPr>
        <w:t xml:space="preserve"> went to the</w:t>
      </w:r>
      <w:r w:rsidR="00B533A5" w:rsidRPr="00C03185">
        <w:rPr>
          <w:u w:val="none"/>
        </w:rPr>
        <w:t xml:space="preserve"> insolvent’s farm to obtain his </w:t>
      </w:r>
      <w:r w:rsidR="004F10DF" w:rsidRPr="00C03185">
        <w:rPr>
          <w:u w:val="none"/>
        </w:rPr>
        <w:t>signature</w:t>
      </w:r>
      <w:r w:rsidR="00B533A5" w:rsidRPr="00C03185">
        <w:rPr>
          <w:u w:val="none"/>
        </w:rPr>
        <w:t>, a chain of events was</w:t>
      </w:r>
      <w:r w:rsidR="004F10DF" w:rsidRPr="00C03185">
        <w:rPr>
          <w:u w:val="none"/>
        </w:rPr>
        <w:t xml:space="preserve"> set in motion that culminated in </w:t>
      </w:r>
      <w:proofErr w:type="spellStart"/>
      <w:r w:rsidR="004F10DF" w:rsidRPr="00C03185">
        <w:rPr>
          <w:u w:val="none"/>
        </w:rPr>
        <w:t>Wepener</w:t>
      </w:r>
      <w:proofErr w:type="spellEnd"/>
      <w:r w:rsidR="004F10DF" w:rsidRPr="00C03185">
        <w:rPr>
          <w:u w:val="none"/>
        </w:rPr>
        <w:t xml:space="preserve"> J granting a final order of sequestration against him on 25 September 2014. </w:t>
      </w:r>
    </w:p>
    <w:p w:rsidR="00440182" w:rsidRDefault="00440182" w:rsidP="008E31AE">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[20]</w:t>
      </w:r>
      <w:r>
        <w:rPr>
          <w:rFonts w:hAnsi="Arial Unicode MS"/>
          <w:u w:val="none"/>
        </w:rPr>
        <w:tab/>
      </w:r>
      <w:r w:rsidR="00372666" w:rsidRPr="00C03185">
        <w:rPr>
          <w:u w:val="none"/>
        </w:rPr>
        <w:t xml:space="preserve">In a nutshell, on 11 March 2014 Mr Kobus </w:t>
      </w:r>
      <w:proofErr w:type="spellStart"/>
      <w:r w:rsidR="00372666" w:rsidRPr="00C03185">
        <w:rPr>
          <w:u w:val="none"/>
        </w:rPr>
        <w:t>Viljoen</w:t>
      </w:r>
      <w:proofErr w:type="spellEnd"/>
      <w:r w:rsidR="00372666" w:rsidRPr="00C03185">
        <w:rPr>
          <w:u w:val="none"/>
        </w:rPr>
        <w:t xml:space="preserve"> and Mr </w:t>
      </w:r>
      <w:proofErr w:type="spellStart"/>
      <w:r w:rsidR="00372666" w:rsidRPr="00C03185">
        <w:rPr>
          <w:u w:val="none"/>
        </w:rPr>
        <w:t>Prinsloo</w:t>
      </w:r>
      <w:proofErr w:type="spellEnd"/>
      <w:r w:rsidR="00372666" w:rsidRPr="00C03185">
        <w:rPr>
          <w:u w:val="none"/>
        </w:rPr>
        <w:t xml:space="preserve"> went to the insolvent</w:t>
      </w:r>
      <w:r w:rsidR="000C07D3" w:rsidRPr="00C03185">
        <w:rPr>
          <w:u w:val="none"/>
        </w:rPr>
        <w:t>’</w:t>
      </w:r>
      <w:r w:rsidR="00372666" w:rsidRPr="00C03185">
        <w:rPr>
          <w:u w:val="none"/>
        </w:rPr>
        <w:t xml:space="preserve">s farm to verify the assets that plaintiff </w:t>
      </w:r>
      <w:r w:rsidR="000C07D3" w:rsidRPr="00C03185">
        <w:rPr>
          <w:u w:val="none"/>
        </w:rPr>
        <w:t>held under its notarial bond. They</w:t>
      </w:r>
      <w:r w:rsidR="00372666" w:rsidRPr="00C03185">
        <w:rPr>
          <w:u w:val="none"/>
        </w:rPr>
        <w:t xml:space="preserve"> did so firstly as plaintiff required this for purposes of </w:t>
      </w:r>
      <w:r w:rsidR="000C07D3" w:rsidRPr="00C03185">
        <w:rPr>
          <w:u w:val="none"/>
        </w:rPr>
        <w:t xml:space="preserve">finalisation of </w:t>
      </w:r>
      <w:r w:rsidR="00372666" w:rsidRPr="00C03185">
        <w:rPr>
          <w:u w:val="none"/>
        </w:rPr>
        <w:t>the 5</w:t>
      </w:r>
      <w:r w:rsidR="00372666" w:rsidRPr="00C03185">
        <w:rPr>
          <w:u w:val="none"/>
          <w:vertAlign w:val="superscript"/>
        </w:rPr>
        <w:t>th</w:t>
      </w:r>
      <w:r w:rsidR="000C07D3" w:rsidRPr="00C03185">
        <w:rPr>
          <w:u w:val="none"/>
        </w:rPr>
        <w:t xml:space="preserve"> agreement</w:t>
      </w:r>
      <w:r w:rsidR="008E34D7" w:rsidRPr="00C03185">
        <w:rPr>
          <w:u w:val="none"/>
        </w:rPr>
        <w:t>,</w:t>
      </w:r>
      <w:r w:rsidR="000C07D3" w:rsidRPr="00C03185">
        <w:rPr>
          <w:u w:val="none"/>
        </w:rPr>
        <w:t xml:space="preserve"> and secondly</w:t>
      </w:r>
      <w:r w:rsidR="00372666" w:rsidRPr="00C03185">
        <w:rPr>
          <w:u w:val="none"/>
        </w:rPr>
        <w:t xml:space="preserve"> to obtain the signature of the insolven</w:t>
      </w:r>
      <w:r w:rsidR="000C07D3" w:rsidRPr="00C03185">
        <w:rPr>
          <w:u w:val="none"/>
        </w:rPr>
        <w:t xml:space="preserve">t on the quotation </w:t>
      </w:r>
      <w:r w:rsidR="009F1265" w:rsidRPr="00C03185">
        <w:rPr>
          <w:u w:val="none"/>
        </w:rPr>
        <w:t>in respect of</w:t>
      </w:r>
      <w:r w:rsidR="00173C89" w:rsidRPr="00C03185">
        <w:rPr>
          <w:u w:val="none"/>
        </w:rPr>
        <w:t xml:space="preserve"> </w:t>
      </w:r>
      <w:r w:rsidR="00372666" w:rsidRPr="00C03185">
        <w:rPr>
          <w:u w:val="none"/>
        </w:rPr>
        <w:t>the 5</w:t>
      </w:r>
      <w:r w:rsidR="00372666" w:rsidRPr="00C03185">
        <w:rPr>
          <w:u w:val="none"/>
          <w:vertAlign w:val="superscript"/>
        </w:rPr>
        <w:t>th</w:t>
      </w:r>
      <w:r w:rsidR="00372666" w:rsidRPr="00C03185">
        <w:rPr>
          <w:u w:val="none"/>
        </w:rPr>
        <w:t xml:space="preserve"> agreement.</w:t>
      </w:r>
    </w:p>
    <w:p w:rsidR="004F10DF" w:rsidRPr="004F10DF" w:rsidRDefault="004F10DF" w:rsidP="004F10D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[21]</w:t>
      </w:r>
      <w:r>
        <w:rPr>
          <w:rFonts w:hAnsi="Arial Unicode MS"/>
          <w:u w:val="none"/>
        </w:rPr>
        <w:tab/>
      </w:r>
      <w:r w:rsidR="00AD3E9B" w:rsidRPr="00C03185">
        <w:rPr>
          <w:u w:val="none"/>
        </w:rPr>
        <w:t>The uncontested evidence during this trial</w:t>
      </w:r>
      <w:r w:rsidR="00AD3E9B">
        <w:rPr>
          <w:rStyle w:val="FootnoteReference"/>
          <w:u w:val="none"/>
        </w:rPr>
        <w:footnoteReference w:id="19"/>
      </w:r>
      <w:r w:rsidR="00A4431B" w:rsidRPr="00C03185">
        <w:rPr>
          <w:u w:val="none"/>
        </w:rPr>
        <w:t xml:space="preserve"> was that they arrived at the insolvent</w:t>
      </w:r>
      <w:r w:rsidR="00AC7984" w:rsidRPr="00C03185">
        <w:rPr>
          <w:u w:val="none"/>
        </w:rPr>
        <w:t>’</w:t>
      </w:r>
      <w:r w:rsidR="00A4431B" w:rsidRPr="00C03185">
        <w:rPr>
          <w:u w:val="none"/>
        </w:rPr>
        <w:t>s farm at ± 10h30. Their superficial investigation revealed that many of the farm implements</w:t>
      </w:r>
      <w:r w:rsidR="00380598" w:rsidRPr="00C03185">
        <w:rPr>
          <w:u w:val="none"/>
        </w:rPr>
        <w:t xml:space="preserve"> held under the notarial bond</w:t>
      </w:r>
      <w:r w:rsidR="00A4431B" w:rsidRPr="00C03185">
        <w:rPr>
          <w:u w:val="none"/>
        </w:rPr>
        <w:t xml:space="preserve"> were missing</w:t>
      </w:r>
      <w:r w:rsidR="00380598" w:rsidRPr="00C03185">
        <w:rPr>
          <w:u w:val="none"/>
        </w:rPr>
        <w:t>,</w:t>
      </w:r>
      <w:r w:rsidR="008E34D7" w:rsidRPr="00C03185">
        <w:rPr>
          <w:u w:val="none"/>
        </w:rPr>
        <w:t xml:space="preserve"> and that although they had</w:t>
      </w:r>
      <w:r w:rsidR="00925E53" w:rsidRPr="00C03185">
        <w:rPr>
          <w:u w:val="none"/>
        </w:rPr>
        <w:t xml:space="preserve"> been told that no harvest had been planted, </w:t>
      </w:r>
      <w:r w:rsidR="008E34D7" w:rsidRPr="00C03185">
        <w:rPr>
          <w:u w:val="none"/>
        </w:rPr>
        <w:t xml:space="preserve">they saw that </w:t>
      </w:r>
      <w:r w:rsidR="00925E53" w:rsidRPr="00C03185">
        <w:rPr>
          <w:u w:val="none"/>
        </w:rPr>
        <w:t>50 – 60 hectares were</w:t>
      </w:r>
      <w:r w:rsidR="005C35D9" w:rsidRPr="00C03185">
        <w:rPr>
          <w:u w:val="none"/>
        </w:rPr>
        <w:t xml:space="preserve"> </w:t>
      </w:r>
      <w:r w:rsidR="00925E53" w:rsidRPr="00C03185">
        <w:rPr>
          <w:u w:val="none"/>
        </w:rPr>
        <w:t>under crop. They were told by the insolvent</w:t>
      </w:r>
      <w:r w:rsidR="00C07C61" w:rsidRPr="00C03185">
        <w:rPr>
          <w:u w:val="none"/>
        </w:rPr>
        <w:t>’s</w:t>
      </w:r>
      <w:r w:rsidR="00925E53" w:rsidRPr="00C03185">
        <w:rPr>
          <w:u w:val="none"/>
        </w:rPr>
        <w:t xml:space="preserve"> father that the </w:t>
      </w:r>
      <w:r w:rsidR="00AC7984" w:rsidRPr="00C03185">
        <w:rPr>
          <w:u w:val="none"/>
        </w:rPr>
        <w:t xml:space="preserve">insolvent </w:t>
      </w:r>
      <w:r w:rsidR="00925E53" w:rsidRPr="00C03185">
        <w:rPr>
          <w:u w:val="none"/>
        </w:rPr>
        <w:t>had sold assets as “</w:t>
      </w:r>
      <w:r w:rsidR="00AC7984" w:rsidRPr="00C03185">
        <w:rPr>
          <w:i/>
          <w:u w:val="none"/>
        </w:rPr>
        <w:t>he had</w:t>
      </w:r>
      <w:r w:rsidR="00925E53" w:rsidRPr="00C03185">
        <w:rPr>
          <w:i/>
          <w:u w:val="none"/>
        </w:rPr>
        <w:t xml:space="preserve"> had no choice</w:t>
      </w:r>
      <w:r w:rsidR="00925E53" w:rsidRPr="00C03185">
        <w:rPr>
          <w:u w:val="none"/>
        </w:rPr>
        <w:t xml:space="preserve">”. A further inspection of the lands </w:t>
      </w:r>
      <w:r w:rsidR="00586B95" w:rsidRPr="00C03185">
        <w:rPr>
          <w:u w:val="none"/>
        </w:rPr>
        <w:t xml:space="preserve">later revealed that many crops had been damaged by cattle that had breached cut fences and the standing crop had been harvested and sold in stealth. </w:t>
      </w:r>
      <w:r w:rsidR="00380598" w:rsidRPr="00C03185">
        <w:rPr>
          <w:u w:val="none"/>
        </w:rPr>
        <w:t>Upon investigation, a</w:t>
      </w:r>
      <w:r w:rsidR="00586B95" w:rsidRPr="00C03185">
        <w:rPr>
          <w:u w:val="none"/>
        </w:rPr>
        <w:t xml:space="preserve">ssets were discovered hidden in fields and </w:t>
      </w:r>
      <w:r w:rsidR="00AC7984" w:rsidRPr="00C03185">
        <w:rPr>
          <w:u w:val="none"/>
        </w:rPr>
        <w:t xml:space="preserve">at </w:t>
      </w:r>
      <w:r w:rsidR="00586B95" w:rsidRPr="00C03185">
        <w:rPr>
          <w:u w:val="none"/>
        </w:rPr>
        <w:t>an</w:t>
      </w:r>
      <w:r w:rsidR="00C07C61" w:rsidRPr="00C03185">
        <w:rPr>
          <w:u w:val="none"/>
        </w:rPr>
        <w:t xml:space="preserve"> adjacent farm and</w:t>
      </w:r>
      <w:r w:rsidR="00AC7984" w:rsidRPr="00C03185">
        <w:rPr>
          <w:u w:val="none"/>
        </w:rPr>
        <w:t xml:space="preserve"> most had been</w:t>
      </w:r>
      <w:r w:rsidR="00C07C61" w:rsidRPr="00C03185">
        <w:rPr>
          <w:u w:val="none"/>
        </w:rPr>
        <w:t xml:space="preserve"> sold</w:t>
      </w:r>
      <w:r w:rsidR="00586B95" w:rsidRPr="00C03185">
        <w:rPr>
          <w:u w:val="none"/>
        </w:rPr>
        <w:t xml:space="preserve"> off for a fraction of their value.</w:t>
      </w:r>
    </w:p>
    <w:p w:rsidR="00586B95" w:rsidRPr="00586B95" w:rsidRDefault="00586B95" w:rsidP="00586B9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lastRenderedPageBreak/>
        <w:t>[22]</w:t>
      </w:r>
      <w:r>
        <w:rPr>
          <w:rFonts w:hAnsi="Arial Unicode MS"/>
          <w:u w:val="none"/>
        </w:rPr>
        <w:tab/>
      </w:r>
      <w:r w:rsidR="00AC7984" w:rsidRPr="00C03185">
        <w:rPr>
          <w:u w:val="none"/>
        </w:rPr>
        <w:t>The evidence by Ms Douglas was that, as a result of this,</w:t>
      </w:r>
      <w:r w:rsidR="007E0453" w:rsidRPr="00C03185">
        <w:rPr>
          <w:u w:val="none"/>
        </w:rPr>
        <w:t xml:space="preserve"> the plaintiff had to bring several proceedings </w:t>
      </w:r>
      <w:r w:rsidR="00AC7984" w:rsidRPr="00C03185">
        <w:rPr>
          <w:u w:val="none"/>
        </w:rPr>
        <w:t>– for example:</w:t>
      </w:r>
      <w:r w:rsidR="007E0453" w:rsidRPr="00C03185">
        <w:rPr>
          <w:u w:val="none"/>
        </w:rPr>
        <w:t xml:space="preserve"> to perfect the </w:t>
      </w:r>
      <w:r w:rsidR="00CC43BE" w:rsidRPr="00C03185">
        <w:rPr>
          <w:u w:val="none"/>
        </w:rPr>
        <w:t xml:space="preserve">notarial bond to interdict the sale of implements and to sequestrate the insolvent. The application to sequestrate the defendants was unsuccessful before </w:t>
      </w:r>
      <w:proofErr w:type="spellStart"/>
      <w:r w:rsidR="00CC43BE" w:rsidRPr="00C03185">
        <w:rPr>
          <w:u w:val="none"/>
        </w:rPr>
        <w:t>Rabie</w:t>
      </w:r>
      <w:proofErr w:type="spellEnd"/>
      <w:r w:rsidR="00CC43BE" w:rsidRPr="00C03185">
        <w:rPr>
          <w:u w:val="none"/>
        </w:rPr>
        <w:t xml:space="preserve"> J</w:t>
      </w:r>
      <w:r w:rsidR="00AC7984" w:rsidRPr="00C03185">
        <w:rPr>
          <w:u w:val="none"/>
        </w:rPr>
        <w:t xml:space="preserve"> and</w:t>
      </w:r>
      <w:r w:rsidR="00606997" w:rsidRPr="00C03185">
        <w:rPr>
          <w:u w:val="none"/>
        </w:rPr>
        <w:t xml:space="preserve"> was dismissed on 15 October 2015 due to the defences raised therein which wer</w:t>
      </w:r>
      <w:r w:rsidR="00AC7984" w:rsidRPr="00C03185">
        <w:rPr>
          <w:u w:val="none"/>
        </w:rPr>
        <w:t>e also raised in this trial. That</w:t>
      </w:r>
      <w:r w:rsidR="00606997" w:rsidRPr="00C03185">
        <w:rPr>
          <w:u w:val="none"/>
        </w:rPr>
        <w:t xml:space="preserve"> court found that there was a genuine dispute of fact which meant that one version could not be preferre</w:t>
      </w:r>
      <w:r w:rsidR="00AC7984" w:rsidRPr="00C03185">
        <w:rPr>
          <w:u w:val="none"/>
        </w:rPr>
        <w:t xml:space="preserve">d above the other on the papers – this </w:t>
      </w:r>
      <w:r w:rsidR="004815E5" w:rsidRPr="00C03185">
        <w:rPr>
          <w:u w:val="none"/>
        </w:rPr>
        <w:t>appears to be the reason</w:t>
      </w:r>
      <w:r w:rsidR="00AC7984" w:rsidRPr="00C03185">
        <w:rPr>
          <w:u w:val="none"/>
        </w:rPr>
        <w:t xml:space="preserve"> that the applications were dismissed.</w:t>
      </w:r>
    </w:p>
    <w:p w:rsidR="0020096A" w:rsidRPr="0020096A" w:rsidRDefault="0020096A" w:rsidP="0020096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u w:val="none"/>
        </w:rPr>
      </w:pPr>
    </w:p>
    <w:p w:rsidR="0044018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[23]</w:t>
      </w:r>
      <w:r>
        <w:rPr>
          <w:rFonts w:hAnsi="Arial Unicode MS"/>
          <w:u w:val="none"/>
        </w:rPr>
        <w:tab/>
      </w:r>
      <w:r w:rsidR="0020096A" w:rsidRPr="00C03185">
        <w:rPr>
          <w:u w:val="none"/>
        </w:rPr>
        <w:t xml:space="preserve">The evidence of Ms Douglas is also that the plaintiff had proven a claim in the insolvent estate and had received a dividend of R20 109 451-91 and was liable to pay a contribution of R25 826-32. On 19 May 2017 the plaintiff received a further dividend of R5 583 625-59. She confirmed that the </w:t>
      </w:r>
      <w:r w:rsidR="004815E5" w:rsidRPr="00C03185">
        <w:rPr>
          <w:u w:val="none"/>
        </w:rPr>
        <w:t xml:space="preserve">original </w:t>
      </w:r>
      <w:r w:rsidR="0020096A" w:rsidRPr="00C03185">
        <w:rPr>
          <w:u w:val="none"/>
        </w:rPr>
        <w:t>Certificate of Balance was provided under her hand</w:t>
      </w:r>
      <w:r w:rsidR="00AC7984" w:rsidRPr="00C03185">
        <w:rPr>
          <w:u w:val="none"/>
        </w:rPr>
        <w:t>, as was the updated Certificate of Balance</w:t>
      </w:r>
      <w:r w:rsidR="0020096A" w:rsidRPr="00C03185">
        <w:rPr>
          <w:u w:val="none"/>
        </w:rPr>
        <w:t xml:space="preserve">. </w:t>
      </w:r>
    </w:p>
    <w:p w:rsidR="004F10DF" w:rsidRDefault="004F10DF" w:rsidP="0020096A">
      <w:pPr>
        <w:rPr>
          <w:u w:val="none"/>
        </w:rPr>
      </w:pPr>
    </w:p>
    <w:p w:rsidR="0020096A" w:rsidRDefault="0020096A" w:rsidP="0020096A">
      <w:pPr>
        <w:rPr>
          <w:b/>
          <w:u w:val="none"/>
        </w:rPr>
      </w:pPr>
      <w:r w:rsidRPr="0020096A">
        <w:rPr>
          <w:b/>
          <w:u w:val="none"/>
        </w:rPr>
        <w:t>THE SURETYSHIPS</w:t>
      </w:r>
    </w:p>
    <w:p w:rsidR="0020096A" w:rsidRPr="0020096A" w:rsidRDefault="0020096A" w:rsidP="0020096A">
      <w:pPr>
        <w:rPr>
          <w:b/>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[24]</w:t>
      </w:r>
      <w:r>
        <w:rPr>
          <w:rFonts w:hAnsi="Arial Unicode MS"/>
          <w:u w:val="none"/>
        </w:rPr>
        <w:tab/>
      </w:r>
      <w:r w:rsidR="006D2C6D" w:rsidRPr="00C03185">
        <w:rPr>
          <w:u w:val="none"/>
        </w:rPr>
        <w:t>On 4 March 2018 summons was issued out against the defendants. As stated, they are sued as the sureties for the debts of the insolvent pursuant to the first 4 agreements. The plaintiff</w:t>
      </w:r>
      <w:r w:rsidR="00AC7984" w:rsidRPr="00C03185">
        <w:rPr>
          <w:u w:val="none"/>
        </w:rPr>
        <w:t>’</w:t>
      </w:r>
      <w:r w:rsidR="006D2C6D" w:rsidRPr="00C03185">
        <w:rPr>
          <w:u w:val="none"/>
        </w:rPr>
        <w:t xml:space="preserve">s evidence in regard of these suretyships was given by Douglas, Erasmus, </w:t>
      </w:r>
      <w:proofErr w:type="spellStart"/>
      <w:r w:rsidR="006D2C6D" w:rsidRPr="00C03185">
        <w:rPr>
          <w:u w:val="none"/>
        </w:rPr>
        <w:t>DuRand</w:t>
      </w:r>
      <w:proofErr w:type="spellEnd"/>
      <w:r w:rsidR="006D2C6D" w:rsidRPr="00C03185">
        <w:rPr>
          <w:u w:val="none"/>
        </w:rPr>
        <w:t xml:space="preserve"> and </w:t>
      </w:r>
      <w:proofErr w:type="spellStart"/>
      <w:r w:rsidR="006D2C6D" w:rsidRPr="00C03185">
        <w:rPr>
          <w:u w:val="none"/>
        </w:rPr>
        <w:t>F</w:t>
      </w:r>
      <w:r w:rsidR="00063842" w:rsidRPr="00C03185">
        <w:rPr>
          <w:u w:val="none"/>
        </w:rPr>
        <w:t>ourie</w:t>
      </w:r>
      <w:proofErr w:type="spellEnd"/>
      <w:r w:rsidR="00063842" w:rsidRPr="00C03185">
        <w:rPr>
          <w:u w:val="none"/>
        </w:rPr>
        <w:t xml:space="preserve">. All 4 witnesses impressed </w:t>
      </w:r>
      <w:r w:rsidR="00EF0524" w:rsidRPr="00C03185">
        <w:rPr>
          <w:u w:val="none"/>
        </w:rPr>
        <w:t xml:space="preserve">me: they were clear in their answers, they did not prevaricate and where they could not remember events they said so. 10 years having passed, it is hardly surprising that the </w:t>
      </w:r>
      <w:r w:rsidR="00EF0524" w:rsidRPr="00C03185">
        <w:rPr>
          <w:i/>
          <w:u w:val="none"/>
        </w:rPr>
        <w:t>minutiae</w:t>
      </w:r>
      <w:r w:rsidR="00EF0524" w:rsidRPr="00C03185">
        <w:rPr>
          <w:u w:val="none"/>
        </w:rPr>
        <w:t xml:space="preserve"> of </w:t>
      </w:r>
      <w:r w:rsidR="00EF0524" w:rsidRPr="00C03185">
        <w:rPr>
          <w:u w:val="none"/>
        </w:rPr>
        <w:lastRenderedPageBreak/>
        <w:t>details</w:t>
      </w:r>
      <w:r w:rsidR="00380598">
        <w:rPr>
          <w:rStyle w:val="FootnoteReference"/>
          <w:u w:val="none"/>
        </w:rPr>
        <w:footnoteReference w:id="20"/>
      </w:r>
      <w:r w:rsidR="00EF0524" w:rsidRPr="00C03185">
        <w:rPr>
          <w:u w:val="none"/>
        </w:rPr>
        <w:t xml:space="preserve"> could not be recalled</w:t>
      </w:r>
      <w:r w:rsidR="00EF0524">
        <w:rPr>
          <w:rStyle w:val="FootnoteReference"/>
          <w:u w:val="none"/>
        </w:rPr>
        <w:footnoteReference w:id="21"/>
      </w:r>
      <w:r w:rsidR="00A54E0F" w:rsidRPr="00C03185">
        <w:rPr>
          <w:u w:val="none"/>
        </w:rPr>
        <w:t>.</w:t>
      </w:r>
    </w:p>
    <w:p w:rsidR="004F10DF" w:rsidRPr="004F10DF" w:rsidRDefault="004F10DF" w:rsidP="004F10DF">
      <w:pPr>
        <w:pStyle w:val="ListParagraph"/>
        <w:rPr>
          <w:u w:val="none"/>
        </w:rPr>
      </w:pPr>
    </w:p>
    <w:p w:rsidR="00A54E0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sidRPr="00A54E0F">
        <w:rPr>
          <w:rFonts w:hAnsi="Arial Unicode MS"/>
          <w:u w:val="none"/>
        </w:rPr>
        <w:t>[25]</w:t>
      </w:r>
      <w:r w:rsidRPr="00A54E0F">
        <w:rPr>
          <w:rFonts w:hAnsi="Arial Unicode MS"/>
          <w:u w:val="none"/>
        </w:rPr>
        <w:tab/>
      </w:r>
      <w:r w:rsidR="00A54E0F" w:rsidRPr="00C03185">
        <w:rPr>
          <w:u w:val="none"/>
        </w:rPr>
        <w:t>The sequence of the events</w:t>
      </w:r>
      <w:r w:rsidR="00AC7984" w:rsidRPr="00C03185">
        <w:rPr>
          <w:u w:val="none"/>
        </w:rPr>
        <w:t xml:space="preserve"> regarding the signing of the two suretyships</w:t>
      </w:r>
      <w:r w:rsidR="00A54E0F" w:rsidRPr="00C03185">
        <w:rPr>
          <w:u w:val="none"/>
        </w:rPr>
        <w:t xml:space="preserve"> is the following:</w:t>
      </w:r>
    </w:p>
    <w:p w:rsidR="004F10DF" w:rsidRDefault="00A54E0F" w:rsidP="00D34D18">
      <w:pPr>
        <w:pStyle w:val="ListParagraph"/>
        <w:spacing w:line="360" w:lineRule="auto"/>
        <w:jc w:val="both"/>
      </w:pPr>
      <w:r w:rsidRPr="00A54E0F">
        <w:t>The 1</w:t>
      </w:r>
      <w:r w:rsidRPr="00A54E0F">
        <w:rPr>
          <w:vertAlign w:val="superscript"/>
        </w:rPr>
        <w:t>st</w:t>
      </w:r>
      <w:r w:rsidRPr="00A54E0F">
        <w:t xml:space="preserve"> defendant</w:t>
      </w:r>
    </w:p>
    <w:p w:rsidR="00A54E0F" w:rsidRPr="00C03185" w:rsidRDefault="00C03185" w:rsidP="00C03185">
      <w:pPr>
        <w:spacing w:line="480" w:lineRule="auto"/>
        <w:ind w:left="1440" w:hanging="731"/>
        <w:jc w:val="both"/>
        <w:rPr>
          <w:u w:val="none"/>
        </w:rPr>
      </w:pPr>
      <w:r>
        <w:rPr>
          <w:u w:val="none"/>
        </w:rPr>
        <w:t>25.1</w:t>
      </w:r>
      <w:r>
        <w:rPr>
          <w:u w:val="none"/>
        </w:rPr>
        <w:tab/>
      </w:r>
      <w:r w:rsidR="00380598" w:rsidRPr="00C03185">
        <w:rPr>
          <w:u w:val="none"/>
        </w:rPr>
        <w:t>The 1</w:t>
      </w:r>
      <w:r w:rsidR="00380598" w:rsidRPr="00C03185">
        <w:rPr>
          <w:u w:val="none"/>
          <w:vertAlign w:val="superscript"/>
        </w:rPr>
        <w:t>st</w:t>
      </w:r>
      <w:r w:rsidR="00380598" w:rsidRPr="00C03185">
        <w:rPr>
          <w:u w:val="none"/>
        </w:rPr>
        <w:t xml:space="preserve"> defendant does not dispute that she signed a Deed of Surety in favour of the plaintiff and for the debts of the insolvent. </w:t>
      </w:r>
      <w:r w:rsidR="00686432" w:rsidRPr="00C03185">
        <w:rPr>
          <w:u w:val="none"/>
        </w:rPr>
        <w:t>on 27 September 2012</w:t>
      </w:r>
      <w:r w:rsidR="00380598" w:rsidRPr="00C03185">
        <w:rPr>
          <w:u w:val="none"/>
        </w:rPr>
        <w:t xml:space="preserve">. </w:t>
      </w:r>
      <w:r w:rsidR="00686432" w:rsidRPr="00C03185">
        <w:rPr>
          <w:u w:val="none"/>
        </w:rPr>
        <w:t xml:space="preserve">Mrs </w:t>
      </w:r>
      <w:r w:rsidR="00937C2E" w:rsidRPr="00C03185">
        <w:rPr>
          <w:u w:val="none"/>
        </w:rPr>
        <w:t>s evidence was that she</w:t>
      </w:r>
      <w:r w:rsidR="00686432" w:rsidRPr="00C03185">
        <w:rPr>
          <w:u w:val="none"/>
        </w:rPr>
        <w:t xml:space="preserve"> took her the Deed of Surety to sign and is a witness to her signature;</w:t>
      </w:r>
    </w:p>
    <w:p w:rsidR="00DE31FC" w:rsidRPr="00686432" w:rsidRDefault="00DE31FC" w:rsidP="00DE31FC">
      <w:pPr>
        <w:pStyle w:val="ListParagraph"/>
        <w:spacing w:line="360" w:lineRule="auto"/>
        <w:ind w:left="1440"/>
        <w:jc w:val="both"/>
        <w:rPr>
          <w:u w:val="none"/>
        </w:rPr>
      </w:pPr>
    </w:p>
    <w:p w:rsidR="00A54E0F" w:rsidRPr="00C03185" w:rsidRDefault="00C03185" w:rsidP="00C03185">
      <w:pPr>
        <w:spacing w:line="480" w:lineRule="auto"/>
        <w:ind w:left="1440" w:hanging="731"/>
        <w:jc w:val="both"/>
        <w:rPr>
          <w:u w:val="none"/>
        </w:rPr>
      </w:pPr>
      <w:r>
        <w:rPr>
          <w:u w:val="none"/>
        </w:rPr>
        <w:t>25.2</w:t>
      </w:r>
      <w:r>
        <w:rPr>
          <w:u w:val="none"/>
        </w:rPr>
        <w:tab/>
      </w:r>
      <w:r w:rsidR="001530D5" w:rsidRPr="00C03185">
        <w:rPr>
          <w:u w:val="none"/>
        </w:rPr>
        <w:t>paragraphs 6 and 7 of the suretyship read as follows:</w:t>
      </w:r>
    </w:p>
    <w:p w:rsidR="00374BA6" w:rsidRPr="00EC28FC" w:rsidRDefault="00374BA6" w:rsidP="00E65FCC">
      <w:pPr>
        <w:pStyle w:val="ListParagraph"/>
        <w:spacing w:line="480" w:lineRule="auto"/>
        <w:ind w:left="2160" w:hanging="720"/>
        <w:jc w:val="both"/>
        <w:rPr>
          <w:i/>
          <w:u w:val="none"/>
        </w:rPr>
      </w:pPr>
      <w:r w:rsidRPr="00EC28FC">
        <w:rPr>
          <w:i/>
          <w:u w:val="none"/>
        </w:rPr>
        <w:t>“6.</w:t>
      </w:r>
      <w:r w:rsidRPr="00EC28FC">
        <w:rPr>
          <w:i/>
          <w:u w:val="none"/>
        </w:rPr>
        <w:tab/>
        <w:t>The amount of the Surety/</w:t>
      </w:r>
      <w:proofErr w:type="spellStart"/>
      <w:r w:rsidRPr="00EC28FC">
        <w:rPr>
          <w:i/>
          <w:u w:val="none"/>
        </w:rPr>
        <w:t>ies’</w:t>
      </w:r>
      <w:proofErr w:type="spellEnd"/>
      <w:r w:rsidRPr="00EC28FC">
        <w:rPr>
          <w:i/>
          <w:u w:val="none"/>
        </w:rPr>
        <w:t xml:space="preserve"> obligations to STATUSFIN (including interest and costs) shall at any time be determined and proved by means of a certificate signed by any director, manager and legal advisor of STATUSFIN. It shall not be necessary prove the appointment of the person signing the certificate on behalf of STATUSFIN and the certificate shall be binding and shall be prima facie evidence of the amount of the Surety/</w:t>
      </w:r>
      <w:proofErr w:type="spellStart"/>
      <w:r w:rsidRPr="00EC28FC">
        <w:rPr>
          <w:i/>
          <w:u w:val="none"/>
        </w:rPr>
        <w:t>ies’</w:t>
      </w:r>
      <w:proofErr w:type="spellEnd"/>
      <w:r w:rsidRPr="00EC28FC">
        <w:rPr>
          <w:i/>
          <w:u w:val="none"/>
        </w:rPr>
        <w:t xml:space="preserve"> obligations to STATUSFIN and it shall be valid and of force as a liquid document in any competent court for the purpose of obtaining judgement against the Surety/</w:t>
      </w:r>
      <w:proofErr w:type="spellStart"/>
      <w:r w:rsidRPr="00EC28FC">
        <w:rPr>
          <w:i/>
          <w:u w:val="none"/>
        </w:rPr>
        <w:t>ies</w:t>
      </w:r>
      <w:proofErr w:type="spellEnd"/>
      <w:r w:rsidRPr="00EC28FC">
        <w:rPr>
          <w:i/>
          <w:u w:val="none"/>
        </w:rPr>
        <w:t>.</w:t>
      </w:r>
    </w:p>
    <w:p w:rsidR="00036B25" w:rsidRDefault="00036B25" w:rsidP="00E65FCC">
      <w:pPr>
        <w:pStyle w:val="ListParagraph"/>
        <w:spacing w:line="480" w:lineRule="auto"/>
        <w:ind w:left="2160" w:hanging="720"/>
        <w:jc w:val="both"/>
        <w:rPr>
          <w:i/>
          <w:u w:val="none"/>
        </w:rPr>
      </w:pPr>
      <w:r w:rsidRPr="00EC28FC">
        <w:rPr>
          <w:i/>
          <w:u w:val="none"/>
        </w:rPr>
        <w:lastRenderedPageBreak/>
        <w:t>7.</w:t>
      </w:r>
      <w:r w:rsidRPr="00EC28FC">
        <w:rPr>
          <w:i/>
          <w:u w:val="none"/>
        </w:rPr>
        <w:tab/>
        <w:t>The Surety/</w:t>
      </w:r>
      <w:proofErr w:type="spellStart"/>
      <w:r w:rsidRPr="00EC28FC">
        <w:rPr>
          <w:i/>
          <w:u w:val="none"/>
        </w:rPr>
        <w:t>ies</w:t>
      </w:r>
      <w:proofErr w:type="spellEnd"/>
      <w:r w:rsidRPr="00EC28FC">
        <w:rPr>
          <w:i/>
          <w:u w:val="none"/>
        </w:rPr>
        <w:t>- admit and agree that all admissions of liability, made by the Principal Debtor, shall be binding on the Surety/</w:t>
      </w:r>
      <w:proofErr w:type="spellStart"/>
      <w:r w:rsidRPr="00EC28FC">
        <w:rPr>
          <w:i/>
          <w:u w:val="none"/>
        </w:rPr>
        <w:t>ies</w:t>
      </w:r>
      <w:proofErr w:type="spellEnd"/>
      <w:r w:rsidRPr="00EC28FC">
        <w:rPr>
          <w:i/>
          <w:u w:val="none"/>
        </w:rPr>
        <w:t xml:space="preserve"> as if the Surety/</w:t>
      </w:r>
      <w:proofErr w:type="spellStart"/>
      <w:r w:rsidRPr="00EC28FC">
        <w:rPr>
          <w:i/>
          <w:u w:val="none"/>
        </w:rPr>
        <w:t>ies</w:t>
      </w:r>
      <w:proofErr w:type="spellEnd"/>
      <w:r w:rsidRPr="00EC28FC">
        <w:rPr>
          <w:i/>
          <w:u w:val="none"/>
        </w:rPr>
        <w:t xml:space="preserve"> expressly consented thereto.”</w:t>
      </w:r>
      <w:r w:rsidR="00AC7984">
        <w:rPr>
          <w:i/>
          <w:u w:val="none"/>
        </w:rPr>
        <w:t>;</w:t>
      </w:r>
    </w:p>
    <w:p w:rsidR="00DE31FC" w:rsidRPr="00EC28FC" w:rsidRDefault="00DE31FC" w:rsidP="00D34D18">
      <w:pPr>
        <w:pStyle w:val="ListParagraph"/>
        <w:spacing w:line="360" w:lineRule="auto"/>
        <w:ind w:left="2160" w:hanging="720"/>
        <w:jc w:val="both"/>
        <w:rPr>
          <w:i/>
          <w:u w:val="none"/>
        </w:rPr>
      </w:pPr>
    </w:p>
    <w:p w:rsidR="00EC28FC" w:rsidRPr="00C03185" w:rsidRDefault="00C03185" w:rsidP="00C03185">
      <w:pPr>
        <w:spacing w:line="480" w:lineRule="auto"/>
        <w:ind w:left="1440" w:hanging="731"/>
        <w:jc w:val="both"/>
        <w:rPr>
          <w:u w:val="none"/>
        </w:rPr>
      </w:pPr>
      <w:r>
        <w:rPr>
          <w:u w:val="none"/>
        </w:rPr>
        <w:t>25.3</w:t>
      </w:r>
      <w:r>
        <w:rPr>
          <w:u w:val="none"/>
        </w:rPr>
        <w:tab/>
      </w:r>
      <w:r w:rsidR="00EC28FC" w:rsidRPr="00C03185">
        <w:rPr>
          <w:u w:val="none"/>
        </w:rPr>
        <w:t>on the same date, Erasmus penned a handwritten document which 1</w:t>
      </w:r>
      <w:r w:rsidR="00EC28FC" w:rsidRPr="00C03185">
        <w:rPr>
          <w:u w:val="none"/>
          <w:vertAlign w:val="superscript"/>
        </w:rPr>
        <w:t>st</w:t>
      </w:r>
      <w:r w:rsidR="00EC28FC" w:rsidRPr="00C03185">
        <w:rPr>
          <w:u w:val="none"/>
        </w:rPr>
        <w:t xml:space="preserve"> defendant also signed in her presence, which reads as follows:</w:t>
      </w:r>
    </w:p>
    <w:p w:rsidR="00EC28FC" w:rsidRPr="00F55998" w:rsidRDefault="00EC28FC" w:rsidP="00E65FCC">
      <w:pPr>
        <w:pStyle w:val="ListParagraph"/>
        <w:spacing w:line="480" w:lineRule="auto"/>
        <w:ind w:left="1440"/>
        <w:jc w:val="both"/>
        <w:rPr>
          <w:i/>
          <w:u w:val="none"/>
        </w:rPr>
      </w:pPr>
      <w:r w:rsidRPr="00F55998">
        <w:rPr>
          <w:i/>
          <w:u w:val="none"/>
        </w:rPr>
        <w:t>“27 September 2012</w:t>
      </w:r>
    </w:p>
    <w:p w:rsidR="00EC28FC" w:rsidRPr="00F55998" w:rsidRDefault="00EC28FC" w:rsidP="00E65FCC">
      <w:pPr>
        <w:pStyle w:val="ListParagraph"/>
        <w:spacing w:line="480" w:lineRule="auto"/>
        <w:ind w:left="1440"/>
        <w:jc w:val="both"/>
        <w:rPr>
          <w:i/>
          <w:u w:val="none"/>
        </w:rPr>
      </w:pPr>
      <w:r w:rsidRPr="00F55998">
        <w:rPr>
          <w:i/>
          <w:u w:val="none"/>
        </w:rPr>
        <w:t xml:space="preserve">Die </w:t>
      </w:r>
      <w:proofErr w:type="spellStart"/>
      <w:r w:rsidRPr="00F55998">
        <w:rPr>
          <w:i/>
          <w:u w:val="none"/>
        </w:rPr>
        <w:t>Risiko</w:t>
      </w:r>
      <w:proofErr w:type="spellEnd"/>
      <w:r w:rsidRPr="00F55998">
        <w:rPr>
          <w:i/>
          <w:u w:val="none"/>
        </w:rPr>
        <w:t xml:space="preserve"> </w:t>
      </w:r>
      <w:proofErr w:type="spellStart"/>
      <w:r w:rsidRPr="00F55998">
        <w:rPr>
          <w:i/>
          <w:u w:val="none"/>
        </w:rPr>
        <w:t>Bestuurder</w:t>
      </w:r>
      <w:proofErr w:type="spellEnd"/>
    </w:p>
    <w:p w:rsidR="00EC28FC" w:rsidRPr="00F55998" w:rsidRDefault="00EC28FC" w:rsidP="00E65FCC">
      <w:pPr>
        <w:pStyle w:val="ListParagraph"/>
        <w:spacing w:line="480" w:lineRule="auto"/>
        <w:ind w:left="1440"/>
        <w:jc w:val="both"/>
        <w:rPr>
          <w:i/>
          <w:u w:val="none"/>
        </w:rPr>
      </w:pPr>
      <w:proofErr w:type="spellStart"/>
      <w:r w:rsidRPr="00F55998">
        <w:rPr>
          <w:i/>
          <w:u w:val="none"/>
        </w:rPr>
        <w:t>Geagte</w:t>
      </w:r>
      <w:proofErr w:type="spellEnd"/>
      <w:r w:rsidRPr="00F55998">
        <w:rPr>
          <w:i/>
          <w:u w:val="none"/>
        </w:rPr>
        <w:t xml:space="preserve"> </w:t>
      </w:r>
      <w:proofErr w:type="spellStart"/>
      <w:r w:rsidRPr="00F55998">
        <w:rPr>
          <w:i/>
          <w:u w:val="none"/>
        </w:rPr>
        <w:t>Meneer</w:t>
      </w:r>
      <w:proofErr w:type="spellEnd"/>
    </w:p>
    <w:p w:rsidR="00A54E0F" w:rsidRPr="00F55998" w:rsidRDefault="00EC28FC" w:rsidP="00E65FCC">
      <w:pPr>
        <w:pStyle w:val="ListParagraph"/>
        <w:spacing w:line="480" w:lineRule="auto"/>
        <w:ind w:left="1440"/>
        <w:jc w:val="both"/>
        <w:rPr>
          <w:i/>
          <w:u w:val="none"/>
        </w:rPr>
      </w:pPr>
      <w:proofErr w:type="spellStart"/>
      <w:r w:rsidRPr="00F55998">
        <w:rPr>
          <w:i/>
          <w:u w:val="none"/>
        </w:rPr>
        <w:t>Hiermee</w:t>
      </w:r>
      <w:proofErr w:type="spellEnd"/>
      <w:r w:rsidRPr="00F55998">
        <w:rPr>
          <w:i/>
          <w:u w:val="none"/>
        </w:rPr>
        <w:t xml:space="preserve"> </w:t>
      </w:r>
      <w:proofErr w:type="spellStart"/>
      <w:r w:rsidRPr="00F55998">
        <w:rPr>
          <w:i/>
          <w:u w:val="none"/>
        </w:rPr>
        <w:t>verleen</w:t>
      </w:r>
      <w:proofErr w:type="spellEnd"/>
      <w:r w:rsidRPr="00F55998">
        <w:rPr>
          <w:i/>
          <w:u w:val="none"/>
        </w:rPr>
        <w:t xml:space="preserve"> </w:t>
      </w:r>
      <w:proofErr w:type="spellStart"/>
      <w:r w:rsidRPr="00F55998">
        <w:rPr>
          <w:i/>
          <w:u w:val="none"/>
        </w:rPr>
        <w:t>ek</w:t>
      </w:r>
      <w:proofErr w:type="spellEnd"/>
      <w:r w:rsidRPr="00F55998">
        <w:rPr>
          <w:i/>
          <w:u w:val="none"/>
        </w:rPr>
        <w:t xml:space="preserve"> die </w:t>
      </w:r>
      <w:proofErr w:type="spellStart"/>
      <w:r w:rsidRPr="00F55998">
        <w:rPr>
          <w:i/>
          <w:u w:val="none"/>
        </w:rPr>
        <w:t>ondergetekende</w:t>
      </w:r>
      <w:proofErr w:type="spellEnd"/>
      <w:r w:rsidRPr="00F55998">
        <w:rPr>
          <w:i/>
          <w:u w:val="none"/>
        </w:rPr>
        <w:t xml:space="preserve"> Johanna  Helena </w:t>
      </w:r>
      <w:proofErr w:type="spellStart"/>
      <w:r w:rsidRPr="00F55998">
        <w:rPr>
          <w:i/>
          <w:u w:val="none"/>
        </w:rPr>
        <w:t>Joesina</w:t>
      </w:r>
      <w:proofErr w:type="spellEnd"/>
      <w:r w:rsidRPr="00F55998">
        <w:rPr>
          <w:i/>
          <w:u w:val="none"/>
        </w:rPr>
        <w:t xml:space="preserve"> </w:t>
      </w:r>
      <w:proofErr w:type="spellStart"/>
      <w:r w:rsidRPr="00F55998">
        <w:rPr>
          <w:i/>
          <w:u w:val="none"/>
        </w:rPr>
        <w:t>Carstens</w:t>
      </w:r>
      <w:proofErr w:type="spellEnd"/>
      <w:r w:rsidRPr="00F55998">
        <w:rPr>
          <w:rStyle w:val="FootnoteReference"/>
          <w:i/>
          <w:u w:val="none"/>
        </w:rPr>
        <w:footnoteReference w:id="22"/>
      </w:r>
      <w:r w:rsidR="00A377A6" w:rsidRPr="00F55998">
        <w:rPr>
          <w:i/>
          <w:u w:val="none"/>
        </w:rPr>
        <w:t xml:space="preserve">, </w:t>
      </w:r>
      <w:proofErr w:type="spellStart"/>
      <w:r w:rsidR="00A377A6" w:rsidRPr="00F55998">
        <w:rPr>
          <w:i/>
          <w:u w:val="none"/>
        </w:rPr>
        <w:t>toestemming</w:t>
      </w:r>
      <w:proofErr w:type="spellEnd"/>
      <w:r w:rsidR="00A377A6" w:rsidRPr="00F55998">
        <w:rPr>
          <w:i/>
          <w:u w:val="none"/>
        </w:rPr>
        <w:t xml:space="preserve"> </w:t>
      </w:r>
      <w:proofErr w:type="spellStart"/>
      <w:r w:rsidR="00A377A6" w:rsidRPr="00F55998">
        <w:rPr>
          <w:i/>
          <w:u w:val="none"/>
        </w:rPr>
        <w:t>dat</w:t>
      </w:r>
      <w:proofErr w:type="spellEnd"/>
      <w:r w:rsidR="00A377A6" w:rsidRPr="00F55998">
        <w:rPr>
          <w:i/>
          <w:u w:val="none"/>
        </w:rPr>
        <w:t xml:space="preserve"> </w:t>
      </w:r>
      <w:r w:rsidR="00AC3346" w:rsidRPr="00F55998">
        <w:rPr>
          <w:i/>
          <w:u w:val="none"/>
        </w:rPr>
        <w:t xml:space="preserve">’n </w:t>
      </w:r>
      <w:proofErr w:type="spellStart"/>
      <w:r w:rsidR="00AC3346" w:rsidRPr="00F55998">
        <w:rPr>
          <w:i/>
          <w:u w:val="none"/>
        </w:rPr>
        <w:t>verband</w:t>
      </w:r>
      <w:proofErr w:type="spellEnd"/>
      <w:r w:rsidR="00AC3346" w:rsidRPr="00F55998">
        <w:rPr>
          <w:i/>
          <w:u w:val="none"/>
        </w:rPr>
        <w:t xml:space="preserve"> op my </w:t>
      </w:r>
      <w:proofErr w:type="spellStart"/>
      <w:r w:rsidR="00AC3346" w:rsidRPr="00F55998">
        <w:rPr>
          <w:i/>
          <w:u w:val="none"/>
        </w:rPr>
        <w:t>eiendom</w:t>
      </w:r>
      <w:proofErr w:type="spellEnd"/>
      <w:r w:rsidR="00AC3346" w:rsidRPr="00F55998">
        <w:rPr>
          <w:i/>
          <w:u w:val="none"/>
        </w:rPr>
        <w:t xml:space="preserve">, </w:t>
      </w:r>
      <w:proofErr w:type="spellStart"/>
      <w:r w:rsidR="00AC3346" w:rsidRPr="00F55998">
        <w:rPr>
          <w:i/>
          <w:u w:val="none"/>
        </w:rPr>
        <w:t>nl</w:t>
      </w:r>
      <w:proofErr w:type="spellEnd"/>
      <w:r w:rsidR="00AC3346" w:rsidRPr="00F55998">
        <w:rPr>
          <w:i/>
          <w:u w:val="none"/>
        </w:rPr>
        <w:t xml:space="preserve"> </w:t>
      </w:r>
      <w:proofErr w:type="spellStart"/>
      <w:r w:rsidR="00AC3346" w:rsidRPr="00F55998">
        <w:rPr>
          <w:i/>
          <w:u w:val="none"/>
        </w:rPr>
        <w:t>Sweethome</w:t>
      </w:r>
      <w:proofErr w:type="spellEnd"/>
      <w:r w:rsidR="00AC3346" w:rsidRPr="00F55998">
        <w:rPr>
          <w:i/>
          <w:u w:val="none"/>
        </w:rPr>
        <w:t xml:space="preserve">, </w:t>
      </w:r>
      <w:proofErr w:type="spellStart"/>
      <w:r w:rsidR="00AC3346" w:rsidRPr="00F55998">
        <w:rPr>
          <w:i/>
          <w:u w:val="none"/>
        </w:rPr>
        <w:t>geregistreer</w:t>
      </w:r>
      <w:proofErr w:type="spellEnd"/>
      <w:r w:rsidR="00AC3346" w:rsidRPr="00F55998">
        <w:rPr>
          <w:i/>
          <w:u w:val="none"/>
        </w:rPr>
        <w:t xml:space="preserve"> mag word </w:t>
      </w:r>
      <w:r w:rsidR="00BB11ED" w:rsidRPr="00F55998">
        <w:rPr>
          <w:i/>
          <w:u w:val="none"/>
        </w:rPr>
        <w:t xml:space="preserve">vie </w:t>
      </w:r>
      <w:proofErr w:type="spellStart"/>
      <w:r w:rsidR="00BB11ED" w:rsidRPr="00F55998">
        <w:rPr>
          <w:i/>
          <w:u w:val="none"/>
        </w:rPr>
        <w:t>sekuriteit</w:t>
      </w:r>
      <w:proofErr w:type="spellEnd"/>
      <w:r w:rsidR="00BB11ED" w:rsidRPr="00F55998">
        <w:rPr>
          <w:i/>
          <w:u w:val="none"/>
        </w:rPr>
        <w:t xml:space="preserve"> op my </w:t>
      </w:r>
      <w:proofErr w:type="spellStart"/>
      <w:r w:rsidR="00BB11ED" w:rsidRPr="00F55998">
        <w:rPr>
          <w:i/>
          <w:u w:val="none"/>
        </w:rPr>
        <w:t>seun</w:t>
      </w:r>
      <w:proofErr w:type="spellEnd"/>
      <w:r w:rsidR="00BB11ED" w:rsidRPr="00F55998">
        <w:rPr>
          <w:i/>
          <w:u w:val="none"/>
        </w:rPr>
        <w:t xml:space="preserve"> DRM </w:t>
      </w:r>
      <w:proofErr w:type="spellStart"/>
      <w:r w:rsidR="00BB11ED" w:rsidRPr="00F55998">
        <w:rPr>
          <w:i/>
          <w:u w:val="none"/>
        </w:rPr>
        <w:t>Carstens</w:t>
      </w:r>
      <w:proofErr w:type="spellEnd"/>
      <w:r w:rsidR="00BB11ED" w:rsidRPr="00F55998">
        <w:rPr>
          <w:i/>
          <w:u w:val="none"/>
        </w:rPr>
        <w:t xml:space="preserve">, se </w:t>
      </w:r>
      <w:proofErr w:type="spellStart"/>
      <w:r w:rsidR="00BB11ED" w:rsidRPr="00F55998">
        <w:rPr>
          <w:i/>
          <w:u w:val="none"/>
        </w:rPr>
        <w:t>lening</w:t>
      </w:r>
      <w:proofErr w:type="spellEnd"/>
      <w:r w:rsidR="00BB11ED" w:rsidRPr="00F55998">
        <w:rPr>
          <w:i/>
          <w:u w:val="none"/>
        </w:rPr>
        <w:t xml:space="preserve"> by </w:t>
      </w:r>
      <w:proofErr w:type="spellStart"/>
      <w:r w:rsidR="00BB11ED" w:rsidRPr="00F55998">
        <w:rPr>
          <w:i/>
          <w:u w:val="none"/>
        </w:rPr>
        <w:t>StatusFin</w:t>
      </w:r>
      <w:proofErr w:type="spellEnd"/>
      <w:r w:rsidR="00BB11ED" w:rsidRPr="00F55998">
        <w:rPr>
          <w:i/>
          <w:u w:val="none"/>
        </w:rPr>
        <w:t xml:space="preserve"> </w:t>
      </w:r>
      <w:proofErr w:type="spellStart"/>
      <w:r w:rsidR="00BB11ED" w:rsidRPr="00F55998">
        <w:rPr>
          <w:i/>
          <w:u w:val="none"/>
        </w:rPr>
        <w:t>Finansi</w:t>
      </w:r>
      <w:r w:rsidR="00342AAB" w:rsidRPr="00F55998">
        <w:rPr>
          <w:i/>
          <w:u w:val="none"/>
        </w:rPr>
        <w:t>e</w:t>
      </w:r>
      <w:r w:rsidR="00F55998" w:rsidRPr="00F55998">
        <w:rPr>
          <w:i/>
          <w:u w:val="none"/>
        </w:rPr>
        <w:t>le</w:t>
      </w:r>
      <w:proofErr w:type="spellEnd"/>
      <w:r w:rsidR="00F55998" w:rsidRPr="00F55998">
        <w:rPr>
          <w:i/>
          <w:u w:val="none"/>
        </w:rPr>
        <w:t xml:space="preserve"> </w:t>
      </w:r>
      <w:proofErr w:type="spellStart"/>
      <w:r w:rsidR="00F55998" w:rsidRPr="00F55998">
        <w:rPr>
          <w:i/>
          <w:u w:val="none"/>
        </w:rPr>
        <w:t>Dienste</w:t>
      </w:r>
      <w:proofErr w:type="spellEnd"/>
      <w:r w:rsidR="00F55998" w:rsidRPr="00F55998">
        <w:rPr>
          <w:i/>
          <w:u w:val="none"/>
        </w:rPr>
        <w:t>.</w:t>
      </w:r>
    </w:p>
    <w:p w:rsidR="00F55998" w:rsidRPr="00F55998" w:rsidRDefault="00F55998" w:rsidP="00E65FCC">
      <w:pPr>
        <w:pStyle w:val="ListParagraph"/>
        <w:spacing w:line="480" w:lineRule="auto"/>
        <w:ind w:left="1440"/>
        <w:jc w:val="both"/>
        <w:rPr>
          <w:i/>
          <w:u w:val="none"/>
        </w:rPr>
      </w:pPr>
      <w:proofErr w:type="spellStart"/>
      <w:r w:rsidRPr="00F55998">
        <w:rPr>
          <w:i/>
          <w:u w:val="none"/>
        </w:rPr>
        <w:t>Dankie</w:t>
      </w:r>
      <w:proofErr w:type="spellEnd"/>
      <w:r w:rsidRPr="00F55998">
        <w:rPr>
          <w:i/>
          <w:u w:val="none"/>
        </w:rPr>
        <w:t xml:space="preserve"> </w:t>
      </w:r>
      <w:proofErr w:type="spellStart"/>
      <w:r w:rsidRPr="00F55998">
        <w:rPr>
          <w:i/>
          <w:u w:val="none"/>
        </w:rPr>
        <w:t>byvoorbaat</w:t>
      </w:r>
      <w:proofErr w:type="spellEnd"/>
    </w:p>
    <w:p w:rsidR="00F55998" w:rsidRPr="00F55998" w:rsidRDefault="00F55998" w:rsidP="00E65FCC">
      <w:pPr>
        <w:pStyle w:val="ListParagraph"/>
        <w:spacing w:line="480" w:lineRule="auto"/>
        <w:ind w:left="1440"/>
        <w:jc w:val="both"/>
        <w:rPr>
          <w:i/>
          <w:u w:val="none"/>
        </w:rPr>
      </w:pPr>
      <w:r w:rsidRPr="00F55998">
        <w:rPr>
          <w:i/>
          <w:u w:val="none"/>
        </w:rPr>
        <w:t xml:space="preserve">JHJ </w:t>
      </w:r>
      <w:proofErr w:type="spellStart"/>
      <w:r w:rsidRPr="00F55998">
        <w:rPr>
          <w:i/>
          <w:u w:val="none"/>
        </w:rPr>
        <w:t>Carstens</w:t>
      </w:r>
      <w:proofErr w:type="spellEnd"/>
      <w:r w:rsidRPr="00F55998">
        <w:rPr>
          <w:i/>
          <w:u w:val="none"/>
        </w:rPr>
        <w:t xml:space="preserve"> </w:t>
      </w:r>
    </w:p>
    <w:p w:rsidR="00F55998" w:rsidRDefault="00F55998" w:rsidP="00E65FCC">
      <w:pPr>
        <w:pStyle w:val="ListParagraph"/>
        <w:spacing w:line="480" w:lineRule="auto"/>
        <w:ind w:left="1440"/>
        <w:jc w:val="both"/>
        <w:rPr>
          <w:i/>
          <w:u w:val="none"/>
        </w:rPr>
      </w:pPr>
      <w:r w:rsidRPr="00F55998">
        <w:rPr>
          <w:i/>
          <w:u w:val="none"/>
        </w:rPr>
        <w:t xml:space="preserve">ID: </w:t>
      </w:r>
      <w:r w:rsidR="00CE039A">
        <w:rPr>
          <w:i/>
          <w:u w:val="none"/>
        </w:rPr>
        <w:t>[…]</w:t>
      </w:r>
      <w:r w:rsidRPr="00F55998">
        <w:rPr>
          <w:i/>
          <w:u w:val="none"/>
        </w:rPr>
        <w:t>”</w:t>
      </w:r>
    </w:p>
    <w:p w:rsidR="00DE31FC" w:rsidRPr="00F55998" w:rsidRDefault="00DE31FC" w:rsidP="00D34D18">
      <w:pPr>
        <w:pStyle w:val="ListParagraph"/>
        <w:spacing w:line="360" w:lineRule="auto"/>
        <w:ind w:left="1440"/>
        <w:jc w:val="both"/>
        <w:rPr>
          <w:i/>
          <w:u w:val="none"/>
        </w:rPr>
      </w:pPr>
    </w:p>
    <w:p w:rsidR="00A54E0F" w:rsidRPr="00C03185" w:rsidRDefault="00C03185" w:rsidP="00C03185">
      <w:pPr>
        <w:spacing w:line="480" w:lineRule="auto"/>
        <w:ind w:left="1440" w:hanging="731"/>
        <w:jc w:val="both"/>
        <w:rPr>
          <w:u w:val="none"/>
        </w:rPr>
      </w:pPr>
      <w:r>
        <w:rPr>
          <w:u w:val="none"/>
        </w:rPr>
        <w:t>25.4</w:t>
      </w:r>
      <w:r>
        <w:rPr>
          <w:u w:val="none"/>
        </w:rPr>
        <w:tab/>
      </w:r>
      <w:r w:rsidR="00F55998" w:rsidRPr="00C03185">
        <w:rPr>
          <w:u w:val="none"/>
        </w:rPr>
        <w:t xml:space="preserve">on 29 October 2012 </w:t>
      </w:r>
      <w:proofErr w:type="spellStart"/>
      <w:r w:rsidR="00F55998" w:rsidRPr="00C03185">
        <w:rPr>
          <w:u w:val="none"/>
        </w:rPr>
        <w:t>DuRand</w:t>
      </w:r>
      <w:proofErr w:type="spellEnd"/>
      <w:r w:rsidR="00F55998" w:rsidRPr="00C03185">
        <w:rPr>
          <w:u w:val="none"/>
        </w:rPr>
        <w:t xml:space="preserve"> an</w:t>
      </w:r>
      <w:r w:rsidR="00937C2E" w:rsidRPr="00C03185">
        <w:rPr>
          <w:u w:val="none"/>
        </w:rPr>
        <w:t xml:space="preserve">d </w:t>
      </w:r>
      <w:proofErr w:type="spellStart"/>
      <w:r w:rsidR="00937C2E" w:rsidRPr="00C03185">
        <w:rPr>
          <w:u w:val="none"/>
        </w:rPr>
        <w:t>Fourie</w:t>
      </w:r>
      <w:proofErr w:type="spellEnd"/>
      <w:r w:rsidR="00937C2E" w:rsidRPr="00C03185">
        <w:rPr>
          <w:u w:val="none"/>
        </w:rPr>
        <w:t xml:space="preserve"> went to the farm </w:t>
      </w:r>
      <w:proofErr w:type="gramStart"/>
      <w:r w:rsidR="00937C2E" w:rsidRPr="00C03185">
        <w:rPr>
          <w:u w:val="none"/>
        </w:rPr>
        <w:t>S</w:t>
      </w:r>
      <w:r w:rsidR="00147799">
        <w:rPr>
          <w:u w:val="none"/>
        </w:rPr>
        <w:t>[</w:t>
      </w:r>
      <w:proofErr w:type="gramEnd"/>
      <w:r w:rsidR="00147799">
        <w:rPr>
          <w:u w:val="none"/>
        </w:rPr>
        <w:t>…]</w:t>
      </w:r>
      <w:r w:rsidR="00F55998" w:rsidRPr="00C03185">
        <w:rPr>
          <w:u w:val="none"/>
        </w:rPr>
        <w:t xml:space="preserve">in </w:t>
      </w:r>
      <w:proofErr w:type="spellStart"/>
      <w:r w:rsidR="00F55998" w:rsidRPr="00C03185">
        <w:rPr>
          <w:u w:val="none"/>
        </w:rPr>
        <w:t>Ventersdorp</w:t>
      </w:r>
      <w:proofErr w:type="spellEnd"/>
      <w:r w:rsidR="00F55998" w:rsidRPr="00C03185">
        <w:rPr>
          <w:u w:val="none"/>
        </w:rPr>
        <w:t xml:space="preserve"> in order to obtain a suretyship from the 2</w:t>
      </w:r>
      <w:r w:rsidR="00F55998" w:rsidRPr="00C03185">
        <w:rPr>
          <w:u w:val="none"/>
          <w:vertAlign w:val="superscript"/>
        </w:rPr>
        <w:t>nd</w:t>
      </w:r>
      <w:r w:rsidR="00F55998" w:rsidRPr="00C03185">
        <w:rPr>
          <w:u w:val="none"/>
        </w:rPr>
        <w:t xml:space="preserve"> defendant in fav</w:t>
      </w:r>
      <w:r w:rsidR="006024EE" w:rsidRPr="00C03185">
        <w:rPr>
          <w:u w:val="none"/>
        </w:rPr>
        <w:t>our of plaintiff and in regard to</w:t>
      </w:r>
      <w:r w:rsidR="00F55998" w:rsidRPr="00C03185">
        <w:rPr>
          <w:u w:val="none"/>
        </w:rPr>
        <w:t xml:space="preserve"> the insolvent</w:t>
      </w:r>
      <w:r w:rsidR="006024EE" w:rsidRPr="00C03185">
        <w:rPr>
          <w:u w:val="none"/>
        </w:rPr>
        <w:t>’s</w:t>
      </w:r>
      <w:r w:rsidR="00F55998" w:rsidRPr="00C03185">
        <w:rPr>
          <w:u w:val="none"/>
        </w:rPr>
        <w:t xml:space="preserve"> </w:t>
      </w:r>
      <w:r w:rsidR="00F55998" w:rsidRPr="00C03185">
        <w:rPr>
          <w:u w:val="none"/>
        </w:rPr>
        <w:lastRenderedPageBreak/>
        <w:t>debts</w:t>
      </w:r>
      <w:r w:rsidR="005A0240" w:rsidRPr="00C03185">
        <w:rPr>
          <w:u w:val="none"/>
        </w:rPr>
        <w:t>. It contains the same clauses as that set out in paragraph 25.2 (supra</w:t>
      </w:r>
      <w:r w:rsidR="006024EE" w:rsidRPr="00C03185">
        <w:rPr>
          <w:u w:val="none"/>
        </w:rPr>
        <w:t>)</w:t>
      </w:r>
      <w:r w:rsidR="006024EE">
        <w:rPr>
          <w:rStyle w:val="FootnoteReference"/>
          <w:u w:val="none"/>
        </w:rPr>
        <w:footnoteReference w:id="23"/>
      </w:r>
      <w:r w:rsidR="005A0240" w:rsidRPr="00C03185">
        <w:rPr>
          <w:u w:val="none"/>
        </w:rPr>
        <w:t xml:space="preserve">; </w:t>
      </w:r>
    </w:p>
    <w:p w:rsidR="00DE31FC" w:rsidRPr="00686432" w:rsidRDefault="00DE31FC" w:rsidP="00DE31FC">
      <w:pPr>
        <w:pStyle w:val="ListParagraph"/>
        <w:spacing w:line="360" w:lineRule="auto"/>
        <w:ind w:left="1440"/>
        <w:jc w:val="both"/>
        <w:rPr>
          <w:u w:val="none"/>
        </w:rPr>
      </w:pPr>
    </w:p>
    <w:p w:rsidR="00A54E0F" w:rsidRPr="00C03185" w:rsidRDefault="00C03185" w:rsidP="00C03185">
      <w:pPr>
        <w:spacing w:line="480" w:lineRule="auto"/>
        <w:ind w:left="1440" w:hanging="731"/>
        <w:jc w:val="both"/>
        <w:rPr>
          <w:u w:val="none"/>
        </w:rPr>
      </w:pPr>
      <w:r>
        <w:rPr>
          <w:u w:val="none"/>
        </w:rPr>
        <w:t>25.5</w:t>
      </w:r>
      <w:r>
        <w:rPr>
          <w:u w:val="none"/>
        </w:rPr>
        <w:tab/>
      </w:r>
      <w:r w:rsidR="005A0240" w:rsidRPr="00C03185">
        <w:rPr>
          <w:u w:val="none"/>
        </w:rPr>
        <w:t xml:space="preserve">on 29 October 2012 and in front of </w:t>
      </w:r>
      <w:proofErr w:type="spellStart"/>
      <w:r w:rsidR="005A0240" w:rsidRPr="00C03185">
        <w:rPr>
          <w:u w:val="none"/>
        </w:rPr>
        <w:t>DuRant</w:t>
      </w:r>
      <w:proofErr w:type="spellEnd"/>
      <w:r w:rsidR="005A0240" w:rsidRPr="00C03185">
        <w:rPr>
          <w:u w:val="none"/>
        </w:rPr>
        <w:t xml:space="preserve"> and </w:t>
      </w:r>
      <w:proofErr w:type="spellStart"/>
      <w:r w:rsidR="005A0240" w:rsidRPr="00C03185">
        <w:rPr>
          <w:u w:val="none"/>
        </w:rPr>
        <w:t>Fourie</w:t>
      </w:r>
      <w:proofErr w:type="spellEnd"/>
      <w:r w:rsidR="005A0240" w:rsidRPr="00C03185">
        <w:rPr>
          <w:u w:val="none"/>
        </w:rPr>
        <w:t>, and as witnessed by them on the document, the 1</w:t>
      </w:r>
      <w:r w:rsidR="005A0240" w:rsidRPr="00C03185">
        <w:rPr>
          <w:u w:val="none"/>
          <w:vertAlign w:val="superscript"/>
        </w:rPr>
        <w:t>st</w:t>
      </w:r>
      <w:r w:rsidR="005A0240" w:rsidRPr="00C03185">
        <w:rPr>
          <w:u w:val="none"/>
        </w:rPr>
        <w:t xml:space="preserve"> defendant signed a “</w:t>
      </w:r>
      <w:proofErr w:type="spellStart"/>
      <w:r w:rsidR="005A0240" w:rsidRPr="00C03185">
        <w:rPr>
          <w:u w:val="none"/>
        </w:rPr>
        <w:t>Toestemming</w:t>
      </w:r>
      <w:proofErr w:type="spellEnd"/>
      <w:r w:rsidR="005A0240" w:rsidRPr="00C03185">
        <w:rPr>
          <w:u w:val="none"/>
        </w:rPr>
        <w:t xml:space="preserve"> tot </w:t>
      </w:r>
      <w:proofErr w:type="spellStart"/>
      <w:r w:rsidR="005A0240" w:rsidRPr="00C03185">
        <w:rPr>
          <w:u w:val="none"/>
        </w:rPr>
        <w:t>Registrasie</w:t>
      </w:r>
      <w:proofErr w:type="spellEnd"/>
      <w:r w:rsidR="005A0240" w:rsidRPr="00C03185">
        <w:rPr>
          <w:u w:val="none"/>
        </w:rPr>
        <w:t xml:space="preserve"> van </w:t>
      </w:r>
      <w:proofErr w:type="spellStart"/>
      <w:r w:rsidR="005A0240" w:rsidRPr="00C03185">
        <w:rPr>
          <w:u w:val="none"/>
        </w:rPr>
        <w:t>Verband</w:t>
      </w:r>
      <w:proofErr w:type="spellEnd"/>
      <w:r w:rsidR="005A0240" w:rsidRPr="00C03185">
        <w:rPr>
          <w:u w:val="none"/>
        </w:rPr>
        <w:t>”. That document reads as follows:</w:t>
      </w:r>
    </w:p>
    <w:p w:rsidR="005A0240" w:rsidRPr="00784641" w:rsidRDefault="00784641" w:rsidP="00E65FCC">
      <w:pPr>
        <w:pStyle w:val="ListParagraph"/>
        <w:spacing w:line="480" w:lineRule="auto"/>
        <w:ind w:left="1440"/>
        <w:jc w:val="both"/>
        <w:rPr>
          <w:i/>
          <w:u w:val="none"/>
        </w:rPr>
      </w:pPr>
      <w:proofErr w:type="gramStart"/>
      <w:r w:rsidRPr="00784641">
        <w:rPr>
          <w:i/>
          <w:u w:val="none"/>
        </w:rPr>
        <w:t xml:space="preserve">“ </w:t>
      </w:r>
      <w:proofErr w:type="spellStart"/>
      <w:r w:rsidRPr="00784641">
        <w:rPr>
          <w:i/>
          <w:u w:val="none"/>
        </w:rPr>
        <w:t>Ek</w:t>
      </w:r>
      <w:proofErr w:type="spellEnd"/>
      <w:proofErr w:type="gramEnd"/>
      <w:r w:rsidRPr="00784641">
        <w:rPr>
          <w:i/>
          <w:u w:val="none"/>
        </w:rPr>
        <w:t xml:space="preserve">, die </w:t>
      </w:r>
      <w:proofErr w:type="spellStart"/>
      <w:r w:rsidRPr="00784641">
        <w:rPr>
          <w:i/>
          <w:u w:val="none"/>
        </w:rPr>
        <w:t>ondergetekende</w:t>
      </w:r>
      <w:proofErr w:type="spellEnd"/>
      <w:r w:rsidRPr="00784641">
        <w:rPr>
          <w:i/>
          <w:u w:val="none"/>
        </w:rPr>
        <w:t>,</w:t>
      </w:r>
    </w:p>
    <w:p w:rsidR="00784641" w:rsidRPr="00784641" w:rsidRDefault="00784641" w:rsidP="00E65FCC">
      <w:pPr>
        <w:pStyle w:val="ListParagraph"/>
        <w:spacing w:line="480" w:lineRule="auto"/>
        <w:ind w:left="1440"/>
        <w:jc w:val="both"/>
        <w:rPr>
          <w:i/>
          <w:u w:val="none"/>
        </w:rPr>
      </w:pPr>
      <w:r w:rsidRPr="00784641">
        <w:rPr>
          <w:i/>
          <w:u w:val="none"/>
        </w:rPr>
        <w:t>JOHANNA HELENA JOESINA CARSTENS</w:t>
      </w:r>
    </w:p>
    <w:p w:rsidR="00784641" w:rsidRPr="00784641" w:rsidRDefault="00784641" w:rsidP="00E65FCC">
      <w:pPr>
        <w:pStyle w:val="ListParagraph"/>
        <w:spacing w:line="480" w:lineRule="auto"/>
        <w:ind w:left="1440"/>
        <w:jc w:val="both"/>
        <w:rPr>
          <w:i/>
          <w:u w:val="none"/>
        </w:rPr>
      </w:pPr>
      <w:r w:rsidRPr="00784641">
        <w:rPr>
          <w:i/>
          <w:u w:val="none"/>
        </w:rPr>
        <w:t xml:space="preserve">Met </w:t>
      </w:r>
      <w:proofErr w:type="spellStart"/>
      <w:r w:rsidRPr="00784641">
        <w:rPr>
          <w:i/>
          <w:u w:val="none"/>
        </w:rPr>
        <w:t>identiteitsnommer</w:t>
      </w:r>
      <w:proofErr w:type="spellEnd"/>
      <w:r w:rsidRPr="00784641">
        <w:rPr>
          <w:i/>
          <w:u w:val="none"/>
        </w:rPr>
        <w:t xml:space="preserve"> </w:t>
      </w:r>
      <w:r w:rsidR="00CE039A">
        <w:rPr>
          <w:i/>
          <w:u w:val="none"/>
        </w:rPr>
        <w:t>[…]</w:t>
      </w:r>
      <w:r w:rsidRPr="00784641">
        <w:rPr>
          <w:i/>
          <w:u w:val="none"/>
        </w:rPr>
        <w:t>,</w:t>
      </w:r>
    </w:p>
    <w:p w:rsidR="00784641" w:rsidRPr="00784641" w:rsidRDefault="00784641" w:rsidP="00E65FCC">
      <w:pPr>
        <w:pStyle w:val="ListParagraph"/>
        <w:spacing w:line="480" w:lineRule="auto"/>
        <w:ind w:left="1440"/>
        <w:jc w:val="both"/>
        <w:rPr>
          <w:i/>
          <w:u w:val="none"/>
        </w:rPr>
      </w:pPr>
      <w:r w:rsidRPr="00784641">
        <w:rPr>
          <w:i/>
          <w:u w:val="none"/>
        </w:rPr>
        <w:t xml:space="preserve">stem </w:t>
      </w:r>
      <w:proofErr w:type="spellStart"/>
      <w:r w:rsidRPr="00784641">
        <w:rPr>
          <w:i/>
          <w:u w:val="none"/>
        </w:rPr>
        <w:t>hiermee</w:t>
      </w:r>
      <w:proofErr w:type="spellEnd"/>
      <w:r w:rsidRPr="00784641">
        <w:rPr>
          <w:i/>
          <w:u w:val="none"/>
        </w:rPr>
        <w:t xml:space="preserve"> toe tot </w:t>
      </w:r>
      <w:proofErr w:type="spellStart"/>
      <w:r w:rsidRPr="00784641">
        <w:rPr>
          <w:i/>
          <w:u w:val="none"/>
        </w:rPr>
        <w:t>registrasie</w:t>
      </w:r>
      <w:proofErr w:type="spellEnd"/>
      <w:r w:rsidRPr="00784641">
        <w:rPr>
          <w:i/>
          <w:u w:val="none"/>
        </w:rPr>
        <w:t xml:space="preserve"> van ’n </w:t>
      </w:r>
      <w:proofErr w:type="spellStart"/>
      <w:r w:rsidRPr="00784641">
        <w:rPr>
          <w:i/>
          <w:u w:val="none"/>
        </w:rPr>
        <w:t>eerste</w:t>
      </w:r>
      <w:proofErr w:type="spellEnd"/>
      <w:r w:rsidRPr="00784641">
        <w:rPr>
          <w:i/>
          <w:u w:val="none"/>
        </w:rPr>
        <w:t xml:space="preserve"> </w:t>
      </w:r>
      <w:proofErr w:type="spellStart"/>
      <w:r w:rsidRPr="00784641">
        <w:rPr>
          <w:i/>
          <w:u w:val="none"/>
        </w:rPr>
        <w:t>verband</w:t>
      </w:r>
      <w:proofErr w:type="spellEnd"/>
      <w:r w:rsidRPr="00784641">
        <w:rPr>
          <w:i/>
          <w:u w:val="none"/>
        </w:rPr>
        <w:t xml:space="preserve"> in die </w:t>
      </w:r>
      <w:proofErr w:type="spellStart"/>
      <w:r w:rsidRPr="00784641">
        <w:rPr>
          <w:i/>
          <w:u w:val="none"/>
        </w:rPr>
        <w:t>bedrag</w:t>
      </w:r>
      <w:proofErr w:type="spellEnd"/>
      <w:r w:rsidRPr="00784641">
        <w:rPr>
          <w:i/>
          <w:u w:val="none"/>
        </w:rPr>
        <w:t xml:space="preserve"> van R6 400 000.00 ten </w:t>
      </w:r>
      <w:proofErr w:type="spellStart"/>
      <w:r w:rsidRPr="00784641">
        <w:rPr>
          <w:i/>
          <w:u w:val="none"/>
        </w:rPr>
        <w:t>gunste</w:t>
      </w:r>
      <w:proofErr w:type="spellEnd"/>
      <w:r w:rsidRPr="00784641">
        <w:rPr>
          <w:i/>
          <w:u w:val="none"/>
        </w:rPr>
        <w:t xml:space="preserve"> van </w:t>
      </w:r>
      <w:proofErr w:type="spellStart"/>
      <w:r w:rsidRPr="00784641">
        <w:rPr>
          <w:i/>
          <w:u w:val="none"/>
        </w:rPr>
        <w:t>Statusfin</w:t>
      </w:r>
      <w:proofErr w:type="spellEnd"/>
      <w:r w:rsidRPr="00784641">
        <w:rPr>
          <w:i/>
          <w:u w:val="none"/>
        </w:rPr>
        <w:t xml:space="preserve"> </w:t>
      </w:r>
      <w:proofErr w:type="spellStart"/>
      <w:r w:rsidRPr="00784641">
        <w:rPr>
          <w:i/>
          <w:u w:val="none"/>
        </w:rPr>
        <w:t>Finansiele</w:t>
      </w:r>
      <w:proofErr w:type="spellEnd"/>
      <w:r w:rsidRPr="00784641">
        <w:rPr>
          <w:i/>
          <w:u w:val="none"/>
        </w:rPr>
        <w:t xml:space="preserve"> </w:t>
      </w:r>
      <w:proofErr w:type="spellStart"/>
      <w:r w:rsidRPr="00784641">
        <w:rPr>
          <w:i/>
          <w:u w:val="none"/>
        </w:rPr>
        <w:t>Dienste</w:t>
      </w:r>
      <w:proofErr w:type="spellEnd"/>
      <w:r w:rsidRPr="00784641">
        <w:rPr>
          <w:i/>
          <w:u w:val="none"/>
        </w:rPr>
        <w:t xml:space="preserve"> (</w:t>
      </w:r>
      <w:proofErr w:type="spellStart"/>
      <w:r w:rsidRPr="00784641">
        <w:rPr>
          <w:i/>
          <w:u w:val="none"/>
        </w:rPr>
        <w:t>Edms</w:t>
      </w:r>
      <w:proofErr w:type="spellEnd"/>
      <w:r w:rsidRPr="00784641">
        <w:rPr>
          <w:i/>
          <w:u w:val="none"/>
        </w:rPr>
        <w:t xml:space="preserve">) </w:t>
      </w:r>
      <w:proofErr w:type="spellStart"/>
      <w:r w:rsidRPr="00784641">
        <w:rPr>
          <w:i/>
          <w:u w:val="none"/>
        </w:rPr>
        <w:t>Bpk</w:t>
      </w:r>
      <w:proofErr w:type="spellEnd"/>
      <w:r w:rsidRPr="00784641">
        <w:rPr>
          <w:i/>
          <w:u w:val="none"/>
        </w:rPr>
        <w:t xml:space="preserve">, </w:t>
      </w:r>
      <w:proofErr w:type="spellStart"/>
      <w:r w:rsidRPr="00784641">
        <w:rPr>
          <w:i/>
          <w:u w:val="none"/>
        </w:rPr>
        <w:t>oor</w:t>
      </w:r>
      <w:proofErr w:type="spellEnd"/>
      <w:r w:rsidRPr="00784641">
        <w:rPr>
          <w:i/>
          <w:u w:val="none"/>
        </w:rPr>
        <w:t xml:space="preserve"> </w:t>
      </w:r>
      <w:proofErr w:type="spellStart"/>
      <w:r w:rsidRPr="00784641">
        <w:rPr>
          <w:i/>
          <w:u w:val="none"/>
        </w:rPr>
        <w:t>Resterende</w:t>
      </w:r>
      <w:proofErr w:type="spellEnd"/>
      <w:r w:rsidRPr="00784641">
        <w:rPr>
          <w:i/>
          <w:u w:val="none"/>
        </w:rPr>
        <w:t xml:space="preserve"> </w:t>
      </w:r>
      <w:proofErr w:type="spellStart"/>
      <w:r w:rsidRPr="00784641">
        <w:rPr>
          <w:i/>
          <w:u w:val="none"/>
        </w:rPr>
        <w:t>Gedeelte</w:t>
      </w:r>
      <w:proofErr w:type="spellEnd"/>
      <w:r w:rsidRPr="00784641">
        <w:rPr>
          <w:i/>
          <w:u w:val="none"/>
        </w:rPr>
        <w:t xml:space="preserve"> </w:t>
      </w:r>
      <w:r w:rsidR="00147799">
        <w:rPr>
          <w:u w:val="none"/>
        </w:rPr>
        <w:t>[…]</w:t>
      </w:r>
      <w:r w:rsidRPr="00784641">
        <w:rPr>
          <w:i/>
          <w:u w:val="none"/>
        </w:rPr>
        <w:t xml:space="preserve"> van die </w:t>
      </w:r>
      <w:proofErr w:type="spellStart"/>
      <w:r w:rsidRPr="00784641">
        <w:rPr>
          <w:i/>
          <w:u w:val="none"/>
        </w:rPr>
        <w:t>Plaas</w:t>
      </w:r>
      <w:proofErr w:type="spellEnd"/>
      <w:r w:rsidRPr="00784641">
        <w:rPr>
          <w:i/>
          <w:u w:val="none"/>
        </w:rPr>
        <w:t xml:space="preserve"> </w:t>
      </w:r>
      <w:proofErr w:type="gramStart"/>
      <w:r w:rsidRPr="00784641">
        <w:rPr>
          <w:i/>
          <w:u w:val="none"/>
        </w:rPr>
        <w:t>S</w:t>
      </w:r>
      <w:r w:rsidR="00147799">
        <w:rPr>
          <w:u w:val="none"/>
        </w:rPr>
        <w:t>[</w:t>
      </w:r>
      <w:proofErr w:type="gramEnd"/>
      <w:r w:rsidR="00147799">
        <w:rPr>
          <w:u w:val="none"/>
        </w:rPr>
        <w:t>…]</w:t>
      </w:r>
      <w:r w:rsidRPr="00784641">
        <w:rPr>
          <w:i/>
          <w:u w:val="none"/>
        </w:rPr>
        <w:t xml:space="preserve">, </w:t>
      </w:r>
      <w:proofErr w:type="spellStart"/>
      <w:r w:rsidRPr="00784641">
        <w:rPr>
          <w:i/>
          <w:u w:val="none"/>
        </w:rPr>
        <w:t>Registrasie</w:t>
      </w:r>
      <w:proofErr w:type="spellEnd"/>
      <w:r w:rsidRPr="00784641">
        <w:rPr>
          <w:i/>
          <w:u w:val="none"/>
        </w:rPr>
        <w:t xml:space="preserve"> </w:t>
      </w:r>
      <w:proofErr w:type="spellStart"/>
      <w:r w:rsidRPr="00784641">
        <w:rPr>
          <w:i/>
          <w:u w:val="none"/>
        </w:rPr>
        <w:t>Afdeling</w:t>
      </w:r>
      <w:proofErr w:type="spellEnd"/>
      <w:r w:rsidRPr="00784641">
        <w:rPr>
          <w:i/>
          <w:u w:val="none"/>
        </w:rPr>
        <w:t xml:space="preserve"> I.P., </w:t>
      </w:r>
      <w:proofErr w:type="spellStart"/>
      <w:r w:rsidRPr="00784641">
        <w:rPr>
          <w:i/>
          <w:u w:val="none"/>
        </w:rPr>
        <w:t>Provinsie</w:t>
      </w:r>
      <w:proofErr w:type="spellEnd"/>
      <w:r w:rsidRPr="00784641">
        <w:rPr>
          <w:i/>
          <w:u w:val="none"/>
        </w:rPr>
        <w:t xml:space="preserve"> </w:t>
      </w:r>
      <w:proofErr w:type="spellStart"/>
      <w:r w:rsidRPr="00784641">
        <w:rPr>
          <w:i/>
          <w:u w:val="none"/>
        </w:rPr>
        <w:t>Noordwes</w:t>
      </w:r>
      <w:proofErr w:type="spellEnd"/>
      <w:r w:rsidRPr="00784641">
        <w:rPr>
          <w:i/>
          <w:u w:val="none"/>
        </w:rPr>
        <w:t xml:space="preserve">, </w:t>
      </w:r>
      <w:proofErr w:type="spellStart"/>
      <w:r w:rsidRPr="00784641">
        <w:rPr>
          <w:i/>
          <w:u w:val="none"/>
        </w:rPr>
        <w:t>groot</w:t>
      </w:r>
      <w:proofErr w:type="spellEnd"/>
      <w:r w:rsidRPr="00784641">
        <w:rPr>
          <w:i/>
          <w:u w:val="none"/>
        </w:rPr>
        <w:t xml:space="preserve"> 489,0026ha, </w:t>
      </w:r>
      <w:proofErr w:type="spellStart"/>
      <w:r w:rsidRPr="00784641">
        <w:rPr>
          <w:i/>
          <w:u w:val="none"/>
        </w:rPr>
        <w:t>gehou</w:t>
      </w:r>
      <w:proofErr w:type="spellEnd"/>
      <w:r w:rsidRPr="00784641">
        <w:rPr>
          <w:i/>
          <w:u w:val="none"/>
        </w:rPr>
        <w:t xml:space="preserve"> </w:t>
      </w:r>
      <w:proofErr w:type="spellStart"/>
      <w:r w:rsidRPr="00784641">
        <w:rPr>
          <w:i/>
          <w:u w:val="none"/>
        </w:rPr>
        <w:t>kragtens</w:t>
      </w:r>
      <w:proofErr w:type="spellEnd"/>
      <w:r w:rsidRPr="00784641">
        <w:rPr>
          <w:i/>
          <w:u w:val="none"/>
        </w:rPr>
        <w:t xml:space="preserve"> </w:t>
      </w:r>
      <w:proofErr w:type="spellStart"/>
      <w:r w:rsidRPr="00784641">
        <w:rPr>
          <w:i/>
          <w:u w:val="none"/>
        </w:rPr>
        <w:t>akte</w:t>
      </w:r>
      <w:proofErr w:type="spellEnd"/>
      <w:r w:rsidRPr="00784641">
        <w:rPr>
          <w:i/>
          <w:u w:val="none"/>
        </w:rPr>
        <w:t xml:space="preserve"> van transport </w:t>
      </w:r>
      <w:r w:rsidR="00147799">
        <w:rPr>
          <w:u w:val="none"/>
        </w:rPr>
        <w:t>[…]</w:t>
      </w:r>
      <w:r w:rsidRPr="00784641">
        <w:rPr>
          <w:i/>
          <w:u w:val="none"/>
        </w:rPr>
        <w:t>,</w:t>
      </w:r>
    </w:p>
    <w:p w:rsidR="00784641" w:rsidRDefault="00784641" w:rsidP="00E65FCC">
      <w:pPr>
        <w:pStyle w:val="ListParagraph"/>
        <w:spacing w:line="480" w:lineRule="auto"/>
        <w:ind w:left="1440"/>
        <w:jc w:val="both"/>
        <w:rPr>
          <w:i/>
          <w:u w:val="none"/>
        </w:rPr>
      </w:pPr>
      <w:r w:rsidRPr="00784641">
        <w:rPr>
          <w:i/>
          <w:u w:val="none"/>
        </w:rPr>
        <w:t xml:space="preserve">as </w:t>
      </w:r>
      <w:proofErr w:type="spellStart"/>
      <w:r w:rsidRPr="00784641">
        <w:rPr>
          <w:i/>
          <w:u w:val="none"/>
        </w:rPr>
        <w:t>sekuriteit</w:t>
      </w:r>
      <w:proofErr w:type="spellEnd"/>
      <w:r w:rsidRPr="00784641">
        <w:rPr>
          <w:i/>
          <w:u w:val="none"/>
        </w:rPr>
        <w:t xml:space="preserve"> </w:t>
      </w:r>
      <w:proofErr w:type="spellStart"/>
      <w:r w:rsidRPr="00784641">
        <w:rPr>
          <w:i/>
          <w:u w:val="none"/>
        </w:rPr>
        <w:t>vir</w:t>
      </w:r>
      <w:proofErr w:type="spellEnd"/>
      <w:r w:rsidRPr="00784641">
        <w:rPr>
          <w:i/>
          <w:u w:val="none"/>
        </w:rPr>
        <w:t xml:space="preserve"> </w:t>
      </w:r>
      <w:proofErr w:type="spellStart"/>
      <w:r w:rsidRPr="00784641">
        <w:rPr>
          <w:i/>
          <w:u w:val="none"/>
        </w:rPr>
        <w:t>enige</w:t>
      </w:r>
      <w:proofErr w:type="spellEnd"/>
      <w:r w:rsidRPr="00784641">
        <w:rPr>
          <w:i/>
          <w:u w:val="none"/>
        </w:rPr>
        <w:t xml:space="preserve"> </w:t>
      </w:r>
      <w:proofErr w:type="spellStart"/>
      <w:r w:rsidRPr="00784641">
        <w:rPr>
          <w:i/>
          <w:u w:val="none"/>
        </w:rPr>
        <w:t>en</w:t>
      </w:r>
      <w:proofErr w:type="spellEnd"/>
      <w:r w:rsidRPr="00784641">
        <w:rPr>
          <w:i/>
          <w:u w:val="none"/>
        </w:rPr>
        <w:t xml:space="preserve"> </w:t>
      </w:r>
      <w:proofErr w:type="spellStart"/>
      <w:r w:rsidRPr="00784641">
        <w:rPr>
          <w:i/>
          <w:u w:val="none"/>
        </w:rPr>
        <w:t>alle</w:t>
      </w:r>
      <w:proofErr w:type="spellEnd"/>
      <w:r w:rsidRPr="00784641">
        <w:rPr>
          <w:i/>
          <w:u w:val="none"/>
        </w:rPr>
        <w:t xml:space="preserve"> </w:t>
      </w:r>
      <w:proofErr w:type="spellStart"/>
      <w:r w:rsidRPr="00784641">
        <w:rPr>
          <w:i/>
          <w:u w:val="none"/>
        </w:rPr>
        <w:t>huidige</w:t>
      </w:r>
      <w:proofErr w:type="spellEnd"/>
      <w:r w:rsidRPr="00784641">
        <w:rPr>
          <w:i/>
          <w:u w:val="none"/>
        </w:rPr>
        <w:t xml:space="preserve"> </w:t>
      </w:r>
      <w:proofErr w:type="spellStart"/>
      <w:r w:rsidRPr="00784641">
        <w:rPr>
          <w:i/>
          <w:u w:val="none"/>
        </w:rPr>
        <w:t>en</w:t>
      </w:r>
      <w:proofErr w:type="spellEnd"/>
      <w:r w:rsidRPr="00784641">
        <w:rPr>
          <w:i/>
          <w:u w:val="none"/>
        </w:rPr>
        <w:t xml:space="preserve"> </w:t>
      </w:r>
      <w:proofErr w:type="spellStart"/>
      <w:r w:rsidRPr="00784641">
        <w:rPr>
          <w:i/>
          <w:u w:val="none"/>
        </w:rPr>
        <w:t>toekomstige</w:t>
      </w:r>
      <w:proofErr w:type="spellEnd"/>
      <w:r w:rsidRPr="00784641">
        <w:rPr>
          <w:i/>
          <w:u w:val="none"/>
        </w:rPr>
        <w:t xml:space="preserve"> </w:t>
      </w:r>
      <w:proofErr w:type="spellStart"/>
      <w:r w:rsidRPr="00784641">
        <w:rPr>
          <w:i/>
          <w:u w:val="none"/>
        </w:rPr>
        <w:t>verskuldigheid</w:t>
      </w:r>
      <w:proofErr w:type="spellEnd"/>
      <w:r w:rsidRPr="00784641">
        <w:rPr>
          <w:i/>
          <w:u w:val="none"/>
        </w:rPr>
        <w:t xml:space="preserve"> </w:t>
      </w:r>
      <w:proofErr w:type="spellStart"/>
      <w:r w:rsidRPr="00784641">
        <w:rPr>
          <w:i/>
          <w:u w:val="none"/>
        </w:rPr>
        <w:t>teenoor</w:t>
      </w:r>
      <w:proofErr w:type="spellEnd"/>
      <w:r w:rsidRPr="00784641">
        <w:rPr>
          <w:i/>
          <w:u w:val="none"/>
        </w:rPr>
        <w:t xml:space="preserve"> </w:t>
      </w:r>
      <w:proofErr w:type="spellStart"/>
      <w:r w:rsidRPr="00784641">
        <w:rPr>
          <w:i/>
          <w:u w:val="none"/>
        </w:rPr>
        <w:t>Statusfin</w:t>
      </w:r>
      <w:proofErr w:type="spellEnd"/>
      <w:r w:rsidRPr="00784641">
        <w:rPr>
          <w:i/>
          <w:u w:val="none"/>
        </w:rPr>
        <w:t xml:space="preserve"> van DAVID RICHARD MARTIN CARSTENS met </w:t>
      </w:r>
      <w:proofErr w:type="spellStart"/>
      <w:r w:rsidRPr="00784641">
        <w:rPr>
          <w:i/>
          <w:u w:val="none"/>
        </w:rPr>
        <w:t>identiteitsnommer</w:t>
      </w:r>
      <w:proofErr w:type="spellEnd"/>
      <w:r w:rsidRPr="00784641">
        <w:rPr>
          <w:i/>
          <w:u w:val="none"/>
        </w:rPr>
        <w:t xml:space="preserve"> </w:t>
      </w:r>
      <w:r w:rsidR="00CE039A">
        <w:rPr>
          <w:i/>
          <w:u w:val="none"/>
        </w:rPr>
        <w:t>[…]</w:t>
      </w:r>
      <w:r w:rsidRPr="00784641">
        <w:rPr>
          <w:i/>
          <w:u w:val="none"/>
        </w:rPr>
        <w:t>.”</w:t>
      </w:r>
    </w:p>
    <w:p w:rsidR="00DE31FC" w:rsidRPr="00784641" w:rsidRDefault="00DE31FC" w:rsidP="00D34D18">
      <w:pPr>
        <w:pStyle w:val="ListParagraph"/>
        <w:spacing w:line="360" w:lineRule="auto"/>
        <w:ind w:left="1440"/>
        <w:jc w:val="both"/>
        <w:rPr>
          <w:i/>
          <w:u w:val="none"/>
        </w:rPr>
      </w:pPr>
    </w:p>
    <w:p w:rsidR="00A54E0F" w:rsidRPr="00C03185" w:rsidRDefault="00C03185" w:rsidP="00C03185">
      <w:pPr>
        <w:spacing w:line="480" w:lineRule="auto"/>
        <w:ind w:left="1440" w:hanging="731"/>
        <w:jc w:val="both"/>
        <w:rPr>
          <w:u w:val="none"/>
        </w:rPr>
      </w:pPr>
      <w:r>
        <w:rPr>
          <w:u w:val="none"/>
        </w:rPr>
        <w:t>25.6</w:t>
      </w:r>
      <w:r>
        <w:rPr>
          <w:u w:val="none"/>
        </w:rPr>
        <w:tab/>
      </w:r>
      <w:r w:rsidR="00944368" w:rsidRPr="00C03185">
        <w:rPr>
          <w:u w:val="none"/>
        </w:rPr>
        <w:t>The mortgage bond over the 1</w:t>
      </w:r>
      <w:r w:rsidR="00944368" w:rsidRPr="00C03185">
        <w:rPr>
          <w:u w:val="none"/>
          <w:vertAlign w:val="superscript"/>
        </w:rPr>
        <w:t>st</w:t>
      </w:r>
      <w:r w:rsidR="00944368" w:rsidRPr="00C03185">
        <w:rPr>
          <w:u w:val="none"/>
        </w:rPr>
        <w:t xml:space="preserve"> </w:t>
      </w:r>
      <w:r w:rsidR="000E1821" w:rsidRPr="00C03185">
        <w:rPr>
          <w:u w:val="none"/>
        </w:rPr>
        <w:t>defendant’s</w:t>
      </w:r>
      <w:r w:rsidR="00944368" w:rsidRPr="00C03185">
        <w:rPr>
          <w:u w:val="none"/>
        </w:rPr>
        <w:t xml:space="preserve"> property was</w:t>
      </w:r>
      <w:r w:rsidR="006024EE" w:rsidRPr="00C03185">
        <w:rPr>
          <w:u w:val="none"/>
        </w:rPr>
        <w:t xml:space="preserve"> registered in the Deeds Office. There is a </w:t>
      </w:r>
      <w:r w:rsidR="00944368" w:rsidRPr="00C03185">
        <w:rPr>
          <w:u w:val="none"/>
        </w:rPr>
        <w:t>Power of Attorney signed by 1</w:t>
      </w:r>
      <w:r w:rsidR="00944368" w:rsidRPr="00C03185">
        <w:rPr>
          <w:u w:val="none"/>
          <w:vertAlign w:val="superscript"/>
        </w:rPr>
        <w:t>st</w:t>
      </w:r>
      <w:r w:rsidR="00944368" w:rsidRPr="00C03185">
        <w:rPr>
          <w:u w:val="none"/>
        </w:rPr>
        <w:t xml:space="preserve"> defendant on 9 November 2016 in which she specifically gives the </w:t>
      </w:r>
      <w:r w:rsidR="00BB650D" w:rsidRPr="00C03185">
        <w:rPr>
          <w:u w:val="none"/>
        </w:rPr>
        <w:t>plaintiff</w:t>
      </w:r>
      <w:r w:rsidR="006024EE" w:rsidRPr="00C03185">
        <w:rPr>
          <w:u w:val="none"/>
        </w:rPr>
        <w:t>’s</w:t>
      </w:r>
      <w:r w:rsidR="00BB650D" w:rsidRPr="00C03185">
        <w:rPr>
          <w:u w:val="none"/>
        </w:rPr>
        <w:t xml:space="preserve"> attorneys authority to pass </w:t>
      </w:r>
      <w:r w:rsidR="000E1821" w:rsidRPr="00C03185">
        <w:rPr>
          <w:u w:val="none"/>
        </w:rPr>
        <w:t xml:space="preserve">the </w:t>
      </w:r>
      <w:r w:rsidR="000E1821" w:rsidRPr="00C03185">
        <w:rPr>
          <w:u w:val="none"/>
        </w:rPr>
        <w:lastRenderedPageBreak/>
        <w:t>security over her property in favour of the plaintiff. The power of attorney was witn</w:t>
      </w:r>
      <w:r w:rsidR="007E236E" w:rsidRPr="00C03185">
        <w:rPr>
          <w:u w:val="none"/>
        </w:rPr>
        <w:t xml:space="preserve">essed by, </w:t>
      </w:r>
      <w:r w:rsidR="007E236E" w:rsidRPr="00C03185">
        <w:rPr>
          <w:i/>
          <w:u w:val="none"/>
        </w:rPr>
        <w:t>inter alia</w:t>
      </w:r>
      <w:r w:rsidR="007E236E" w:rsidRPr="00C03185">
        <w:rPr>
          <w:u w:val="none"/>
        </w:rPr>
        <w:t>, Erasmus;</w:t>
      </w:r>
    </w:p>
    <w:p w:rsidR="006024EE" w:rsidRPr="00686432" w:rsidRDefault="006024EE" w:rsidP="006024EE">
      <w:pPr>
        <w:pStyle w:val="ListParagraph"/>
        <w:spacing w:line="360" w:lineRule="auto"/>
        <w:ind w:left="1440"/>
        <w:jc w:val="both"/>
        <w:rPr>
          <w:u w:val="none"/>
        </w:rPr>
      </w:pPr>
    </w:p>
    <w:p w:rsidR="00A54E0F" w:rsidRPr="00C03185" w:rsidRDefault="00C03185" w:rsidP="00C03185">
      <w:pPr>
        <w:spacing w:line="480" w:lineRule="auto"/>
        <w:ind w:left="1440" w:hanging="731"/>
        <w:jc w:val="both"/>
        <w:rPr>
          <w:u w:val="none"/>
        </w:rPr>
      </w:pPr>
      <w:r>
        <w:rPr>
          <w:u w:val="none"/>
        </w:rPr>
        <w:t>25.7</w:t>
      </w:r>
      <w:r>
        <w:rPr>
          <w:u w:val="none"/>
        </w:rPr>
        <w:tab/>
      </w:r>
      <w:r w:rsidR="00C30AD5" w:rsidRPr="00C03185">
        <w:rPr>
          <w:u w:val="none"/>
        </w:rPr>
        <w:t xml:space="preserve">it was Erasmus’ evidence, as it was that of </w:t>
      </w:r>
      <w:proofErr w:type="spellStart"/>
      <w:r w:rsidR="00C30AD5" w:rsidRPr="00C03185">
        <w:rPr>
          <w:u w:val="none"/>
        </w:rPr>
        <w:t>DuRand</w:t>
      </w:r>
      <w:proofErr w:type="spellEnd"/>
      <w:r w:rsidR="00C30AD5" w:rsidRPr="00C03185">
        <w:rPr>
          <w:u w:val="none"/>
        </w:rPr>
        <w:t xml:space="preserve"> and </w:t>
      </w:r>
      <w:proofErr w:type="spellStart"/>
      <w:r w:rsidR="00C30AD5" w:rsidRPr="00C03185">
        <w:rPr>
          <w:u w:val="none"/>
        </w:rPr>
        <w:t>Fourie</w:t>
      </w:r>
      <w:proofErr w:type="spellEnd"/>
      <w:r w:rsidR="00C30AD5" w:rsidRPr="00C03185">
        <w:rPr>
          <w:u w:val="none"/>
        </w:rPr>
        <w:t>, that the 1</w:t>
      </w:r>
      <w:r w:rsidR="00C30AD5" w:rsidRPr="00C03185">
        <w:rPr>
          <w:u w:val="none"/>
          <w:vertAlign w:val="superscript"/>
        </w:rPr>
        <w:t>st</w:t>
      </w:r>
      <w:r w:rsidR="00C30AD5" w:rsidRPr="00C03185">
        <w:rPr>
          <w:u w:val="none"/>
        </w:rPr>
        <w:t xml:space="preserve"> defendant signed the documents in front of them and</w:t>
      </w:r>
      <w:r w:rsidR="00874310" w:rsidRPr="00C03185">
        <w:rPr>
          <w:u w:val="none"/>
        </w:rPr>
        <w:t xml:space="preserve"> they witnessed them </w:t>
      </w:r>
      <w:proofErr w:type="spellStart"/>
      <w:r w:rsidR="00874310" w:rsidRPr="00C03185">
        <w:rPr>
          <w:i/>
          <w:u w:val="none"/>
        </w:rPr>
        <w:t>pari</w:t>
      </w:r>
      <w:proofErr w:type="spellEnd"/>
      <w:r w:rsidR="00874310" w:rsidRPr="00C03185">
        <w:rPr>
          <w:i/>
          <w:u w:val="none"/>
        </w:rPr>
        <w:t xml:space="preserve"> </w:t>
      </w:r>
      <w:proofErr w:type="spellStart"/>
      <w:r w:rsidR="00874310" w:rsidRPr="00C03185">
        <w:rPr>
          <w:i/>
          <w:u w:val="none"/>
        </w:rPr>
        <w:t>passu</w:t>
      </w:r>
      <w:proofErr w:type="spellEnd"/>
      <w:r w:rsidR="00874310" w:rsidRPr="00C03185">
        <w:rPr>
          <w:u w:val="none"/>
        </w:rPr>
        <w:t>. Although Erasmus stated that she did not have a specific recollection of these signings, she was adamant that all signatures were al</w:t>
      </w:r>
      <w:r w:rsidR="0055164C" w:rsidRPr="00C03185">
        <w:rPr>
          <w:u w:val="none"/>
        </w:rPr>
        <w:t xml:space="preserve">ways appended at the same time </w:t>
      </w:r>
      <w:r w:rsidR="006024EE" w:rsidRPr="00C03185">
        <w:rPr>
          <w:u w:val="none"/>
        </w:rPr>
        <w:t xml:space="preserve">- </w:t>
      </w:r>
      <w:r w:rsidR="0055164C" w:rsidRPr="00C03185">
        <w:rPr>
          <w:u w:val="none"/>
        </w:rPr>
        <w:t>there was no evidence to suggest otherwise.</w:t>
      </w:r>
    </w:p>
    <w:p w:rsidR="0055164C" w:rsidRDefault="0055164C" w:rsidP="00D34D18">
      <w:pPr>
        <w:spacing w:line="360" w:lineRule="auto"/>
        <w:ind w:left="709"/>
        <w:jc w:val="both"/>
        <w:rPr>
          <w:u w:val="none"/>
        </w:rPr>
      </w:pPr>
    </w:p>
    <w:p w:rsidR="0055164C" w:rsidRPr="0055164C" w:rsidRDefault="004A04F9" w:rsidP="00D34D18">
      <w:pPr>
        <w:spacing w:line="360" w:lineRule="auto"/>
        <w:ind w:left="709"/>
        <w:jc w:val="both"/>
      </w:pPr>
      <w:r>
        <w:t>The 2</w:t>
      </w:r>
      <w:r w:rsidRPr="004A04F9">
        <w:rPr>
          <w:vertAlign w:val="superscript"/>
        </w:rPr>
        <w:t>nd</w:t>
      </w:r>
      <w:r>
        <w:t xml:space="preserve"> </w:t>
      </w:r>
      <w:r w:rsidR="0055164C" w:rsidRPr="0055164C">
        <w:t>defendant</w:t>
      </w:r>
    </w:p>
    <w:p w:rsidR="00A54E0F" w:rsidRPr="00DE31FC" w:rsidRDefault="00C03185" w:rsidP="00C03185">
      <w:pPr>
        <w:spacing w:line="480" w:lineRule="auto"/>
        <w:ind w:left="1440" w:hanging="731"/>
        <w:jc w:val="both"/>
      </w:pPr>
      <w:r w:rsidRPr="00DE31FC">
        <w:rPr>
          <w:u w:val="none"/>
        </w:rPr>
        <w:t>25.8</w:t>
      </w:r>
      <w:r w:rsidRPr="00DE31FC">
        <w:rPr>
          <w:u w:val="none"/>
        </w:rPr>
        <w:tab/>
      </w:r>
      <w:r w:rsidR="006024EE" w:rsidRPr="00C03185">
        <w:rPr>
          <w:u w:val="none"/>
        </w:rPr>
        <w:t>I</w:t>
      </w:r>
      <w:r w:rsidR="0055164C" w:rsidRPr="00C03185">
        <w:rPr>
          <w:u w:val="none"/>
        </w:rPr>
        <w:t xml:space="preserve">t was both </w:t>
      </w:r>
      <w:proofErr w:type="spellStart"/>
      <w:r w:rsidR="0055164C" w:rsidRPr="00C03185">
        <w:rPr>
          <w:u w:val="none"/>
        </w:rPr>
        <w:t>DuRand’s</w:t>
      </w:r>
      <w:proofErr w:type="spellEnd"/>
      <w:r w:rsidR="0055164C" w:rsidRPr="00C03185">
        <w:rPr>
          <w:u w:val="none"/>
        </w:rPr>
        <w:t xml:space="preserve"> and </w:t>
      </w:r>
      <w:proofErr w:type="spellStart"/>
      <w:r w:rsidR="0055164C" w:rsidRPr="00C03185">
        <w:rPr>
          <w:u w:val="none"/>
        </w:rPr>
        <w:t>Fourie’s</w:t>
      </w:r>
      <w:proofErr w:type="spellEnd"/>
      <w:r w:rsidR="0055164C" w:rsidRPr="00C03185">
        <w:rPr>
          <w:u w:val="none"/>
        </w:rPr>
        <w:t xml:space="preserve"> evidence that the 2</w:t>
      </w:r>
      <w:r w:rsidR="0055164C" w:rsidRPr="00C03185">
        <w:rPr>
          <w:u w:val="none"/>
          <w:vertAlign w:val="superscript"/>
        </w:rPr>
        <w:t>nd</w:t>
      </w:r>
      <w:r w:rsidR="0055164C" w:rsidRPr="00C03185">
        <w:rPr>
          <w:u w:val="none"/>
        </w:rPr>
        <w:t xml:space="preserve"> defendant signed the suretyship and permission to register the </w:t>
      </w:r>
      <w:r w:rsidR="006619B3" w:rsidRPr="00C03185">
        <w:rPr>
          <w:u w:val="none"/>
        </w:rPr>
        <w:t xml:space="preserve">mortgage bonds </w:t>
      </w:r>
      <w:r w:rsidR="0055164C" w:rsidRPr="00C03185">
        <w:rPr>
          <w:u w:val="none"/>
        </w:rPr>
        <w:t>in the 1</w:t>
      </w:r>
      <w:r w:rsidR="0055164C" w:rsidRPr="00C03185">
        <w:rPr>
          <w:u w:val="none"/>
          <w:vertAlign w:val="superscript"/>
        </w:rPr>
        <w:t>st</w:t>
      </w:r>
      <w:r w:rsidR="0055164C" w:rsidRPr="00C03185">
        <w:rPr>
          <w:u w:val="none"/>
        </w:rPr>
        <w:t xml:space="preserve"> defendants house, in the dining room</w:t>
      </w:r>
      <w:r w:rsidR="004A04F9" w:rsidRPr="00C03185">
        <w:rPr>
          <w:u w:val="none"/>
        </w:rPr>
        <w:t xml:space="preserve"> and </w:t>
      </w:r>
      <w:r w:rsidR="0055164C" w:rsidRPr="00C03185">
        <w:rPr>
          <w:u w:val="none"/>
        </w:rPr>
        <w:t>with them as witnesses on 29 October 2012;</w:t>
      </w:r>
    </w:p>
    <w:p w:rsidR="00DE31FC" w:rsidRPr="0055164C" w:rsidRDefault="00DE31FC" w:rsidP="00DE31FC">
      <w:pPr>
        <w:pStyle w:val="ListParagraph"/>
        <w:spacing w:line="360" w:lineRule="auto"/>
        <w:ind w:left="1440"/>
        <w:jc w:val="both"/>
      </w:pPr>
    </w:p>
    <w:p w:rsidR="0055164C" w:rsidRPr="00DE31FC" w:rsidRDefault="00C03185" w:rsidP="00C03185">
      <w:pPr>
        <w:spacing w:line="480" w:lineRule="auto"/>
        <w:ind w:left="1440" w:hanging="731"/>
        <w:jc w:val="both"/>
      </w:pPr>
      <w:r w:rsidRPr="00DE31FC">
        <w:rPr>
          <w:u w:val="none"/>
        </w:rPr>
        <w:t>25.9</w:t>
      </w:r>
      <w:r w:rsidRPr="00DE31FC">
        <w:rPr>
          <w:u w:val="none"/>
        </w:rPr>
        <w:tab/>
      </w:r>
      <w:r w:rsidR="0055164C" w:rsidRPr="00C03185">
        <w:rPr>
          <w:u w:val="none"/>
        </w:rPr>
        <w:t xml:space="preserve">the Deed of Suretyship has a mistake </w:t>
      </w:r>
      <w:r w:rsidR="006024EE" w:rsidRPr="00C03185">
        <w:rPr>
          <w:u w:val="none"/>
        </w:rPr>
        <w:t xml:space="preserve">with regard </w:t>
      </w:r>
      <w:r w:rsidR="0055164C" w:rsidRPr="00C03185">
        <w:rPr>
          <w:u w:val="none"/>
        </w:rPr>
        <w:t>to the spelling of the 2</w:t>
      </w:r>
      <w:r w:rsidR="0055164C" w:rsidRPr="00C03185">
        <w:rPr>
          <w:u w:val="none"/>
          <w:vertAlign w:val="superscript"/>
        </w:rPr>
        <w:t>nd</w:t>
      </w:r>
      <w:r w:rsidR="0055164C" w:rsidRPr="00C03185">
        <w:rPr>
          <w:u w:val="none"/>
        </w:rPr>
        <w:t xml:space="preserve"> </w:t>
      </w:r>
      <w:r w:rsidR="00B335EF" w:rsidRPr="00C03185">
        <w:rPr>
          <w:u w:val="none"/>
        </w:rPr>
        <w:t>defendant’s</w:t>
      </w:r>
      <w:r w:rsidR="0055164C" w:rsidRPr="00C03185">
        <w:rPr>
          <w:u w:val="none"/>
        </w:rPr>
        <w:t xml:space="preserve"> names: they are written</w:t>
      </w:r>
      <w:r w:rsidR="00EE104E" w:rsidRPr="00C03185">
        <w:rPr>
          <w:u w:val="none"/>
        </w:rPr>
        <w:t xml:space="preserve"> as</w:t>
      </w:r>
      <w:r w:rsidR="0055164C" w:rsidRPr="00C03185">
        <w:rPr>
          <w:u w:val="none"/>
        </w:rPr>
        <w:t xml:space="preserve"> “</w:t>
      </w:r>
      <w:r w:rsidR="0055164C" w:rsidRPr="00C03185">
        <w:rPr>
          <w:i/>
          <w:u w:val="none"/>
        </w:rPr>
        <w:t xml:space="preserve">Johanna </w:t>
      </w:r>
      <w:proofErr w:type="spellStart"/>
      <w:r w:rsidR="0055164C" w:rsidRPr="00C03185">
        <w:rPr>
          <w:i/>
          <w:u w:val="none"/>
        </w:rPr>
        <w:t>Jousiena</w:t>
      </w:r>
      <w:proofErr w:type="spellEnd"/>
      <w:r w:rsidR="0055164C" w:rsidRPr="00C03185">
        <w:rPr>
          <w:i/>
          <w:u w:val="none"/>
        </w:rPr>
        <w:t xml:space="preserve"> Helena </w:t>
      </w:r>
      <w:proofErr w:type="spellStart"/>
      <w:r w:rsidR="0055164C" w:rsidRPr="00C03185">
        <w:rPr>
          <w:i/>
          <w:u w:val="none"/>
        </w:rPr>
        <w:t>Ras</w:t>
      </w:r>
      <w:proofErr w:type="spellEnd"/>
      <w:r w:rsidR="0055164C" w:rsidRPr="00C03185">
        <w:rPr>
          <w:i/>
          <w:u w:val="none"/>
        </w:rPr>
        <w:t xml:space="preserve"> van Antwerp</w:t>
      </w:r>
      <w:r w:rsidR="0055164C" w:rsidRPr="00C03185">
        <w:rPr>
          <w:u w:val="none"/>
        </w:rPr>
        <w:t>” instead of “</w:t>
      </w:r>
      <w:r w:rsidR="0055164C" w:rsidRPr="00C03185">
        <w:rPr>
          <w:i/>
          <w:u w:val="none"/>
        </w:rPr>
        <w:t xml:space="preserve">Johanna Helena </w:t>
      </w:r>
      <w:proofErr w:type="spellStart"/>
      <w:r w:rsidR="0055164C" w:rsidRPr="00C03185">
        <w:rPr>
          <w:i/>
          <w:u w:val="none"/>
        </w:rPr>
        <w:t>Joesina</w:t>
      </w:r>
      <w:proofErr w:type="spellEnd"/>
      <w:r w:rsidR="0055164C" w:rsidRPr="00C03185">
        <w:rPr>
          <w:i/>
          <w:u w:val="none"/>
        </w:rPr>
        <w:t xml:space="preserve"> </w:t>
      </w:r>
      <w:proofErr w:type="spellStart"/>
      <w:r w:rsidR="0055164C" w:rsidRPr="00C03185">
        <w:rPr>
          <w:i/>
          <w:u w:val="none"/>
        </w:rPr>
        <w:t>Ras</w:t>
      </w:r>
      <w:proofErr w:type="spellEnd"/>
      <w:r w:rsidR="0055164C" w:rsidRPr="00C03185">
        <w:rPr>
          <w:i/>
          <w:u w:val="none"/>
        </w:rPr>
        <w:t xml:space="preserve"> van Antwerp</w:t>
      </w:r>
      <w:r w:rsidR="0055164C" w:rsidRPr="00C03185">
        <w:rPr>
          <w:u w:val="none"/>
        </w:rPr>
        <w:t xml:space="preserve">”. According to </w:t>
      </w:r>
      <w:proofErr w:type="spellStart"/>
      <w:r w:rsidR="007E236E" w:rsidRPr="00C03185">
        <w:rPr>
          <w:u w:val="none"/>
        </w:rPr>
        <w:t>DuRand</w:t>
      </w:r>
      <w:proofErr w:type="spellEnd"/>
      <w:r w:rsidR="007E236E" w:rsidRPr="00C03185">
        <w:rPr>
          <w:u w:val="none"/>
        </w:rPr>
        <w:t xml:space="preserve"> and </w:t>
      </w:r>
      <w:proofErr w:type="spellStart"/>
      <w:r w:rsidR="007E236E" w:rsidRPr="00C03185">
        <w:rPr>
          <w:u w:val="none"/>
        </w:rPr>
        <w:t>Fourie</w:t>
      </w:r>
      <w:proofErr w:type="spellEnd"/>
      <w:r w:rsidR="0055164C" w:rsidRPr="00C03185">
        <w:rPr>
          <w:u w:val="none"/>
        </w:rPr>
        <w:t>, the 2</w:t>
      </w:r>
      <w:r w:rsidR="0055164C" w:rsidRPr="00C03185">
        <w:rPr>
          <w:u w:val="none"/>
          <w:vertAlign w:val="superscript"/>
        </w:rPr>
        <w:t>nd</w:t>
      </w:r>
      <w:r w:rsidR="0055164C" w:rsidRPr="00C03185">
        <w:rPr>
          <w:u w:val="none"/>
        </w:rPr>
        <w:t xml:space="preserve"> defendant herself completed her name on the suretyship on 29 October 2012</w:t>
      </w:r>
      <w:r w:rsidR="007E236E" w:rsidRPr="00C03185">
        <w:rPr>
          <w:u w:val="none"/>
        </w:rPr>
        <w:t xml:space="preserve"> and thus any mistake evinced by the document was that made by the 2</w:t>
      </w:r>
      <w:r w:rsidR="007E236E" w:rsidRPr="00C03185">
        <w:rPr>
          <w:u w:val="none"/>
          <w:vertAlign w:val="superscript"/>
        </w:rPr>
        <w:t>nd</w:t>
      </w:r>
      <w:r w:rsidR="007E236E" w:rsidRPr="00C03185">
        <w:rPr>
          <w:u w:val="none"/>
        </w:rPr>
        <w:t xml:space="preserve"> defendant herself;</w:t>
      </w:r>
    </w:p>
    <w:p w:rsidR="00DE31FC" w:rsidRPr="00B335EF" w:rsidRDefault="00DE31FC" w:rsidP="00DE31FC">
      <w:pPr>
        <w:spacing w:line="360" w:lineRule="auto"/>
        <w:jc w:val="both"/>
      </w:pPr>
    </w:p>
    <w:p w:rsidR="00DE31FC" w:rsidRPr="00DE31FC" w:rsidRDefault="00C03185" w:rsidP="00C03185">
      <w:pPr>
        <w:spacing w:line="480" w:lineRule="auto"/>
        <w:ind w:left="1440" w:hanging="731"/>
        <w:jc w:val="both"/>
      </w:pPr>
      <w:r w:rsidRPr="00DE31FC">
        <w:rPr>
          <w:u w:val="none"/>
        </w:rPr>
        <w:t>25.10</w:t>
      </w:r>
      <w:r w:rsidRPr="00DE31FC">
        <w:rPr>
          <w:u w:val="none"/>
        </w:rPr>
        <w:tab/>
      </w:r>
      <w:r w:rsidR="00FE1A7E" w:rsidRPr="00C03185">
        <w:rPr>
          <w:u w:val="none"/>
        </w:rPr>
        <w:t xml:space="preserve">the power of attorney as regards </w:t>
      </w:r>
      <w:r w:rsidR="00B335EF" w:rsidRPr="00C03185">
        <w:rPr>
          <w:u w:val="none"/>
        </w:rPr>
        <w:t>the Mortgage Bond was signed by the 2</w:t>
      </w:r>
      <w:r w:rsidR="00B335EF" w:rsidRPr="00C03185">
        <w:rPr>
          <w:u w:val="none"/>
          <w:vertAlign w:val="superscript"/>
        </w:rPr>
        <w:t>nd</w:t>
      </w:r>
      <w:r w:rsidR="00B335EF" w:rsidRPr="00C03185">
        <w:rPr>
          <w:u w:val="none"/>
        </w:rPr>
        <w:t xml:space="preserve"> defendant on 9 November 2012 in front of Erasmus – although she doesn’t specifically recall the event, she testified </w:t>
      </w:r>
      <w:r w:rsidR="00B335EF" w:rsidRPr="00C03185">
        <w:rPr>
          <w:u w:val="none"/>
        </w:rPr>
        <w:lastRenderedPageBreak/>
        <w:t>that she would not app</w:t>
      </w:r>
      <w:r w:rsidR="00235F54" w:rsidRPr="00C03185">
        <w:rPr>
          <w:u w:val="none"/>
        </w:rPr>
        <w:t xml:space="preserve">end her signature as a witness </w:t>
      </w:r>
      <w:r w:rsidR="00B335EF" w:rsidRPr="00C03185">
        <w:rPr>
          <w:u w:val="none"/>
        </w:rPr>
        <w:t>if the document wasn’t signed in her presence</w:t>
      </w:r>
      <w:r w:rsidR="00FE1A7E" w:rsidRPr="00C03185">
        <w:rPr>
          <w:u w:val="none"/>
        </w:rPr>
        <w:t>;</w:t>
      </w:r>
    </w:p>
    <w:p w:rsidR="00B335EF" w:rsidRPr="005D55FE" w:rsidRDefault="00B335EF" w:rsidP="00DE31FC">
      <w:pPr>
        <w:spacing w:line="360" w:lineRule="auto"/>
        <w:jc w:val="both"/>
      </w:pPr>
      <w:r w:rsidRPr="00DE31FC">
        <w:rPr>
          <w:u w:val="none"/>
        </w:rPr>
        <w:t xml:space="preserve">  </w:t>
      </w:r>
    </w:p>
    <w:p w:rsidR="005D55FE" w:rsidRDefault="00C03185" w:rsidP="00C03185">
      <w:pPr>
        <w:spacing w:line="480" w:lineRule="auto"/>
        <w:ind w:left="1440" w:hanging="731"/>
        <w:jc w:val="both"/>
      </w:pPr>
      <w:r>
        <w:rPr>
          <w:u w:val="none"/>
        </w:rPr>
        <w:t>25.11</w:t>
      </w:r>
      <w:r>
        <w:rPr>
          <w:u w:val="none"/>
        </w:rPr>
        <w:tab/>
      </w:r>
      <w:r w:rsidR="005D55FE" w:rsidRPr="00C03185">
        <w:rPr>
          <w:u w:val="none"/>
        </w:rPr>
        <w:t xml:space="preserve">no evidence </w:t>
      </w:r>
      <w:r w:rsidR="00EF3116" w:rsidRPr="00C03185">
        <w:rPr>
          <w:u w:val="none"/>
        </w:rPr>
        <w:t>was presented to the contrary</w:t>
      </w:r>
      <w:r w:rsidR="004A04F9" w:rsidRPr="00C03185">
        <w:rPr>
          <w:u w:val="none"/>
        </w:rPr>
        <w:t>,</w:t>
      </w:r>
      <w:r w:rsidR="00EF3116" w:rsidRPr="00C03185">
        <w:rPr>
          <w:u w:val="none"/>
        </w:rPr>
        <w:t xml:space="preserve"> save that the defendants attempted to introduce cross-examination on the manner in the 2</w:t>
      </w:r>
      <w:r w:rsidR="00EF3116" w:rsidRPr="00C03185">
        <w:rPr>
          <w:u w:val="none"/>
          <w:vertAlign w:val="superscript"/>
        </w:rPr>
        <w:t>nd</w:t>
      </w:r>
      <w:r w:rsidR="00EF3116" w:rsidRPr="00C03185">
        <w:rPr>
          <w:u w:val="none"/>
        </w:rPr>
        <w:t xml:space="preserve"> defendant’s handwriting was expressed on each of the 3 documents she signed. In effect, counsel attempted to cross-examine on the manner in which the letter “w” was written on the documents. I upheld an objection on this issue as no handwriting expert had been employed by the defendants in terms of Rule 36(a) and these </w:t>
      </w:r>
      <w:r w:rsidR="00EF3116" w:rsidRPr="00C03185">
        <w:rPr>
          <w:i/>
          <w:u w:val="none"/>
        </w:rPr>
        <w:t>minutiae</w:t>
      </w:r>
      <w:r w:rsidR="00EF3116" w:rsidRPr="00C03185">
        <w:rPr>
          <w:u w:val="none"/>
        </w:rPr>
        <w:t xml:space="preserve"> </w:t>
      </w:r>
      <w:r w:rsidR="00A63C09" w:rsidRPr="00C03185">
        <w:rPr>
          <w:u w:val="none"/>
        </w:rPr>
        <w:t>fall, in my view, within the purview of an expert</w:t>
      </w:r>
      <w:r w:rsidR="005F344E">
        <w:rPr>
          <w:rStyle w:val="FootnoteReference"/>
          <w:u w:val="none"/>
        </w:rPr>
        <w:footnoteReference w:id="24"/>
      </w:r>
      <w:r w:rsidR="00FE1A7E" w:rsidRPr="00C03185">
        <w:rPr>
          <w:u w:val="none"/>
        </w:rPr>
        <w:t>.</w:t>
      </w:r>
    </w:p>
    <w:p w:rsidR="00A54E0F" w:rsidRDefault="00A54E0F" w:rsidP="00D34D18">
      <w:pPr>
        <w:pStyle w:val="ListParagraph"/>
        <w:jc w:val="both"/>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[26]</w:t>
      </w:r>
      <w:r>
        <w:rPr>
          <w:rFonts w:hAnsi="Arial Unicode MS"/>
          <w:u w:val="none"/>
        </w:rPr>
        <w:tab/>
      </w:r>
      <w:r w:rsidR="00976B90" w:rsidRPr="00C03185">
        <w:rPr>
          <w:u w:val="none"/>
        </w:rPr>
        <w:t xml:space="preserve">Given that </w:t>
      </w:r>
      <w:proofErr w:type="spellStart"/>
      <w:r w:rsidR="00976B90" w:rsidRPr="00C03185">
        <w:rPr>
          <w:u w:val="none"/>
        </w:rPr>
        <w:t>DuRand</w:t>
      </w:r>
      <w:proofErr w:type="spellEnd"/>
      <w:r w:rsidR="00976B90" w:rsidRPr="00C03185">
        <w:rPr>
          <w:u w:val="none"/>
        </w:rPr>
        <w:t xml:space="preserve">, </w:t>
      </w:r>
      <w:proofErr w:type="spellStart"/>
      <w:r w:rsidR="00976B90" w:rsidRPr="00C03185">
        <w:rPr>
          <w:u w:val="none"/>
        </w:rPr>
        <w:t>Fourie</w:t>
      </w:r>
      <w:proofErr w:type="spellEnd"/>
      <w:r w:rsidR="00976B90" w:rsidRPr="00C03185">
        <w:rPr>
          <w:u w:val="none"/>
        </w:rPr>
        <w:t xml:space="preserve"> and Erasmus witnessed the 1</w:t>
      </w:r>
      <w:r w:rsidR="00976B90" w:rsidRPr="00C03185">
        <w:rPr>
          <w:u w:val="none"/>
          <w:vertAlign w:val="superscript"/>
        </w:rPr>
        <w:t>st</w:t>
      </w:r>
      <w:r w:rsidR="00976B90" w:rsidRPr="00C03185">
        <w:rPr>
          <w:u w:val="none"/>
        </w:rPr>
        <w:t xml:space="preserve"> and 2</w:t>
      </w:r>
      <w:r w:rsidR="00976B90" w:rsidRPr="00C03185">
        <w:rPr>
          <w:u w:val="none"/>
          <w:vertAlign w:val="superscript"/>
        </w:rPr>
        <w:t>nd</w:t>
      </w:r>
      <w:r w:rsidR="00976B90" w:rsidRPr="00C03185">
        <w:rPr>
          <w:u w:val="none"/>
        </w:rPr>
        <w:t xml:space="preserve"> defendants</w:t>
      </w:r>
      <w:r w:rsidR="009F0D69" w:rsidRPr="00C03185">
        <w:rPr>
          <w:u w:val="none"/>
        </w:rPr>
        <w:t xml:space="preserve"> </w:t>
      </w:r>
      <w:r w:rsidR="00976B90" w:rsidRPr="00C03185">
        <w:rPr>
          <w:u w:val="none"/>
        </w:rPr>
        <w:t>signing not only their respective suretyships, but also the permission</w:t>
      </w:r>
      <w:r w:rsidR="005F344E" w:rsidRPr="00C03185">
        <w:rPr>
          <w:u w:val="none"/>
        </w:rPr>
        <w:t>s</w:t>
      </w:r>
      <w:r w:rsidR="00976B90" w:rsidRPr="00C03185">
        <w:rPr>
          <w:u w:val="none"/>
        </w:rPr>
        <w:t xml:space="preserve"> to register a bond and the powers of attorney</w:t>
      </w:r>
      <w:r w:rsidR="00FE1A7E" w:rsidRPr="00C03185">
        <w:rPr>
          <w:u w:val="none"/>
        </w:rPr>
        <w:t>,</w:t>
      </w:r>
      <w:r w:rsidR="009F0D69" w:rsidRPr="00C03185">
        <w:rPr>
          <w:u w:val="none"/>
        </w:rPr>
        <w:t xml:space="preserve"> </w:t>
      </w:r>
      <w:r w:rsidR="00976B90" w:rsidRPr="00C03185">
        <w:rPr>
          <w:u w:val="none"/>
        </w:rPr>
        <w:t>it is difficult to imagine how the</w:t>
      </w:r>
      <w:r w:rsidR="009F0D69" w:rsidRPr="00C03185">
        <w:rPr>
          <w:u w:val="none"/>
        </w:rPr>
        <w:t xml:space="preserve"> </w:t>
      </w:r>
      <w:r w:rsidR="00976B90" w:rsidRPr="00C03185">
        <w:rPr>
          <w:u w:val="none"/>
        </w:rPr>
        <w:t>defences raised in respect thereof can stand: had it simply been the issue of the suretyships</w:t>
      </w:r>
      <w:r w:rsidR="005F344E" w:rsidRPr="00C03185">
        <w:rPr>
          <w:u w:val="none"/>
        </w:rPr>
        <w:t>,</w:t>
      </w:r>
      <w:r w:rsidR="00976B90" w:rsidRPr="00C03185">
        <w:rPr>
          <w:u w:val="none"/>
        </w:rPr>
        <w:t xml:space="preserve"> one may have perhaps lent a modicum of credence</w:t>
      </w:r>
      <w:r w:rsidR="009F0D69" w:rsidRPr="00C03185">
        <w:rPr>
          <w:u w:val="none"/>
        </w:rPr>
        <w:t xml:space="preserve"> </w:t>
      </w:r>
      <w:r w:rsidR="00976B90" w:rsidRPr="00C03185">
        <w:rPr>
          <w:u w:val="none"/>
        </w:rPr>
        <w:t xml:space="preserve">to the defence, but on 9 November 2012, both then sign their respective powers </w:t>
      </w:r>
      <w:r w:rsidR="005D24AC" w:rsidRPr="00C03185">
        <w:rPr>
          <w:u w:val="none"/>
        </w:rPr>
        <w:t>of attorney and bond documents which are the final process required to register plaintiff</w:t>
      </w:r>
      <w:r w:rsidR="00FE1A7E" w:rsidRPr="00C03185">
        <w:rPr>
          <w:u w:val="none"/>
        </w:rPr>
        <w:t>’s</w:t>
      </w:r>
      <w:r w:rsidR="005D24AC" w:rsidRPr="00C03185">
        <w:rPr>
          <w:u w:val="none"/>
        </w:rPr>
        <w:t xml:space="preserve"> security. Why they would do this if they hadn’t agreed to flies in the face of all logic. The fact that 1</w:t>
      </w:r>
      <w:r w:rsidR="005D24AC" w:rsidRPr="00C03185">
        <w:rPr>
          <w:u w:val="none"/>
          <w:vertAlign w:val="superscript"/>
        </w:rPr>
        <w:t>st</w:t>
      </w:r>
      <w:r w:rsidR="005D24AC" w:rsidRPr="00C03185">
        <w:rPr>
          <w:u w:val="none"/>
        </w:rPr>
        <w:t xml:space="preserve"> defendant did not give evidence to refute plaintiff</w:t>
      </w:r>
      <w:r w:rsidR="00FE1A7E" w:rsidRPr="00C03185">
        <w:rPr>
          <w:u w:val="none"/>
        </w:rPr>
        <w:t>’s</w:t>
      </w:r>
      <w:r w:rsidR="005D24AC" w:rsidRPr="00C03185">
        <w:rPr>
          <w:u w:val="none"/>
        </w:rPr>
        <w:t xml:space="preserve"> evidence and to confirm that it was not 2</w:t>
      </w:r>
      <w:r w:rsidR="005D24AC" w:rsidRPr="00C03185">
        <w:rPr>
          <w:u w:val="none"/>
          <w:vertAlign w:val="superscript"/>
        </w:rPr>
        <w:t>nd</w:t>
      </w:r>
      <w:r w:rsidR="005D24AC" w:rsidRPr="00C03185">
        <w:rPr>
          <w:u w:val="none"/>
        </w:rPr>
        <w:t xml:space="preserve"> defendant’s signature on the documents is very telling under the circumstances and, in this case, the negative </w:t>
      </w:r>
      <w:r w:rsidR="005D24AC" w:rsidRPr="00C03185">
        <w:rPr>
          <w:u w:val="none"/>
        </w:rPr>
        <w:lastRenderedPageBreak/>
        <w:t>in</w:t>
      </w:r>
      <w:r w:rsidR="00F91E0D" w:rsidRPr="00C03185">
        <w:rPr>
          <w:u w:val="none"/>
        </w:rPr>
        <w:t>ference that results must apply</w:t>
      </w:r>
      <w:r w:rsidR="005D24AC">
        <w:rPr>
          <w:rStyle w:val="FootnoteReference"/>
          <w:u w:val="none"/>
        </w:rPr>
        <w:footnoteReference w:id="25"/>
      </w:r>
      <w:r w:rsidR="00F91E0D" w:rsidRPr="00C03185">
        <w:rPr>
          <w:u w:val="none"/>
        </w:rPr>
        <w:t xml:space="preserve"> as the 1</w:t>
      </w:r>
      <w:r w:rsidR="00F91E0D" w:rsidRPr="00C03185">
        <w:rPr>
          <w:u w:val="none"/>
          <w:vertAlign w:val="superscript"/>
        </w:rPr>
        <w:t>st</w:t>
      </w:r>
      <w:r w:rsidR="00F91E0D" w:rsidRPr="00C03185">
        <w:rPr>
          <w:u w:val="none"/>
        </w:rPr>
        <w:t xml:space="preserve"> and 2</w:t>
      </w:r>
      <w:r w:rsidR="00F91E0D" w:rsidRPr="00C03185">
        <w:rPr>
          <w:u w:val="none"/>
          <w:vertAlign w:val="superscript"/>
        </w:rPr>
        <w:t>nd</w:t>
      </w:r>
      <w:r w:rsidR="00F91E0D" w:rsidRPr="00C03185">
        <w:rPr>
          <w:u w:val="none"/>
        </w:rPr>
        <w:t xml:space="preserve"> defendants denial of the validity of their suretyships was a central issue to</w:t>
      </w:r>
      <w:r w:rsidR="00C02FDA" w:rsidRPr="00C03185">
        <w:rPr>
          <w:u w:val="none"/>
        </w:rPr>
        <w:t xml:space="preserve"> </w:t>
      </w:r>
      <w:r w:rsidR="00F91E0D" w:rsidRPr="00C03185">
        <w:rPr>
          <w:u w:val="none"/>
        </w:rPr>
        <w:t>the case</w:t>
      </w:r>
      <w:r w:rsidR="005F344E" w:rsidRPr="00C03185">
        <w:rPr>
          <w:u w:val="none"/>
        </w:rPr>
        <w:t xml:space="preserve"> on the pleadings</w:t>
      </w:r>
      <w:r w:rsidR="00F91E0D" w:rsidRPr="00C03185">
        <w:rPr>
          <w:u w:val="none"/>
        </w:rPr>
        <w:t xml:space="preserve"> and called for a rebuttal</w:t>
      </w:r>
      <w:r w:rsidR="00C02FDA" w:rsidRPr="00C03185">
        <w:rPr>
          <w:u w:val="none"/>
        </w:rPr>
        <w:t>.</w:t>
      </w:r>
    </w:p>
    <w:p w:rsidR="004F10DF" w:rsidRPr="004F10DF" w:rsidRDefault="004F10DF" w:rsidP="004F10DF">
      <w:pPr>
        <w:pStyle w:val="ListParagraph"/>
        <w:rPr>
          <w:u w:val="none"/>
        </w:rPr>
      </w:pPr>
    </w:p>
    <w:p w:rsidR="00570018"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sidRPr="00E747F8">
        <w:rPr>
          <w:rFonts w:hAnsi="Arial Unicode MS"/>
          <w:u w:val="none"/>
        </w:rPr>
        <w:t>[27]</w:t>
      </w:r>
      <w:r w:rsidRPr="00E747F8">
        <w:rPr>
          <w:rFonts w:hAnsi="Arial Unicode MS"/>
          <w:u w:val="none"/>
        </w:rPr>
        <w:tab/>
      </w:r>
      <w:r w:rsidR="00570018" w:rsidRPr="00C03185">
        <w:rPr>
          <w:u w:val="none"/>
        </w:rPr>
        <w:t xml:space="preserve">The defendants closing argument focused solely on the fact that that the TLA was void </w:t>
      </w:r>
      <w:r w:rsidR="00570018" w:rsidRPr="00C03185">
        <w:rPr>
          <w:i/>
          <w:u w:val="none"/>
        </w:rPr>
        <w:t>ab initio</w:t>
      </w:r>
      <w:r w:rsidR="00570018" w:rsidRPr="00C03185">
        <w:rPr>
          <w:u w:val="none"/>
        </w:rPr>
        <w:t xml:space="preserve">. This, they argue, is because the </w:t>
      </w:r>
      <w:proofErr w:type="spellStart"/>
      <w:r w:rsidR="00570018" w:rsidRPr="00C03185">
        <w:rPr>
          <w:u w:val="none"/>
        </w:rPr>
        <w:t>AoD</w:t>
      </w:r>
      <w:proofErr w:type="spellEnd"/>
      <w:r w:rsidR="00570018" w:rsidRPr="00C03185">
        <w:rPr>
          <w:u w:val="none"/>
        </w:rPr>
        <w:t xml:space="preserve"> and Consolidation Agreement is void as 2 crucial suspensive conditions were not complied with:</w:t>
      </w:r>
    </w:p>
    <w:p w:rsidR="008954B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18" w:hanging="708"/>
        <w:jc w:val="both"/>
        <w:rPr>
          <w:u w:val="none"/>
        </w:rPr>
      </w:pPr>
      <w:r w:rsidRPr="00947379">
        <w:rPr>
          <w:u w:val="none"/>
        </w:rPr>
        <w:t>a)</w:t>
      </w:r>
      <w:r w:rsidRPr="00947379">
        <w:rPr>
          <w:u w:val="none"/>
        </w:rPr>
        <w:tab/>
      </w:r>
      <w:r w:rsidR="00E747F8" w:rsidRPr="00C03185">
        <w:rPr>
          <w:u w:val="none"/>
        </w:rPr>
        <w:t xml:space="preserve">that </w:t>
      </w:r>
      <w:proofErr w:type="spellStart"/>
      <w:r w:rsidR="00E747F8" w:rsidRPr="00C03185">
        <w:rPr>
          <w:u w:val="none"/>
        </w:rPr>
        <w:t>Wolwepan</w:t>
      </w:r>
      <w:proofErr w:type="spellEnd"/>
      <w:r w:rsidR="00E747F8" w:rsidRPr="00C03185">
        <w:rPr>
          <w:u w:val="none"/>
        </w:rPr>
        <w:t xml:space="preserve"> Feedlot</w:t>
      </w:r>
      <w:r w:rsidR="00E747F8">
        <w:rPr>
          <w:rStyle w:val="FootnoteReference"/>
          <w:u w:val="none"/>
        </w:rPr>
        <w:footnoteReference w:id="26"/>
      </w:r>
      <w:r w:rsidR="00E747F8" w:rsidRPr="00C03185">
        <w:rPr>
          <w:u w:val="none"/>
        </w:rPr>
        <w:t xml:space="preserve"> </w:t>
      </w:r>
      <w:r w:rsidR="00947379" w:rsidRPr="00C03185">
        <w:rPr>
          <w:u w:val="none"/>
        </w:rPr>
        <w:t>had not bound itself as surety and co-principal debtor in favour of plaintiff by 29 October 2012 – or at all; and</w:t>
      </w:r>
    </w:p>
    <w:p w:rsidR="008954B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18" w:hanging="709"/>
        <w:jc w:val="both"/>
        <w:rPr>
          <w:u w:val="none"/>
        </w:rPr>
      </w:pPr>
      <w:r w:rsidRPr="00947379">
        <w:rPr>
          <w:u w:val="none"/>
        </w:rPr>
        <w:t>b)</w:t>
      </w:r>
      <w:r w:rsidRPr="00947379">
        <w:rPr>
          <w:u w:val="none"/>
        </w:rPr>
        <w:tab/>
      </w:r>
      <w:r w:rsidR="00947379" w:rsidRPr="00C03185">
        <w:rPr>
          <w:u w:val="none"/>
        </w:rPr>
        <w:t>the insolvent also failed to undersign the TLA by 29 October 201</w:t>
      </w:r>
      <w:r w:rsidR="005B690F" w:rsidRPr="00C03185">
        <w:rPr>
          <w:u w:val="none"/>
        </w:rPr>
        <w:t>2, it being common cause that he</w:t>
      </w:r>
      <w:r w:rsidR="006619B3" w:rsidRPr="00C03185">
        <w:rPr>
          <w:u w:val="none"/>
        </w:rPr>
        <w:t xml:space="preserve"> </w:t>
      </w:r>
      <w:r w:rsidR="00947379" w:rsidRPr="00C03185">
        <w:rPr>
          <w:u w:val="none"/>
        </w:rPr>
        <w:t>signed</w:t>
      </w:r>
      <w:r w:rsidR="006619B3" w:rsidRPr="00C03185">
        <w:rPr>
          <w:u w:val="none"/>
        </w:rPr>
        <w:t xml:space="preserve"> only</w:t>
      </w:r>
      <w:r w:rsidR="00947379" w:rsidRPr="00C03185">
        <w:rPr>
          <w:u w:val="none"/>
        </w:rPr>
        <w:t xml:space="preserve"> the application form on 29 October 2012 and the quotation on 10 December 2012.</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[28]</w:t>
      </w:r>
      <w:r>
        <w:rPr>
          <w:rFonts w:hAnsi="Arial Unicode MS"/>
          <w:u w:val="none"/>
        </w:rPr>
        <w:tab/>
      </w:r>
      <w:r w:rsidR="005A24EC" w:rsidRPr="00C03185">
        <w:rPr>
          <w:u w:val="none"/>
        </w:rPr>
        <w:t xml:space="preserve">Thus, argue defendants, although the plaintiff paid the R26,5 million consolidated </w:t>
      </w:r>
      <w:proofErr w:type="gramStart"/>
      <w:r w:rsidR="005A24EC" w:rsidRPr="00C03185">
        <w:rPr>
          <w:u w:val="none"/>
        </w:rPr>
        <w:t>debt</w:t>
      </w:r>
      <w:proofErr w:type="gramEnd"/>
      <w:r w:rsidR="005A24EC" w:rsidRPr="00C03185">
        <w:rPr>
          <w:u w:val="none"/>
        </w:rPr>
        <w:t>, the only valid liability for which the defendants stood surety was the remaining production credit debt</w:t>
      </w:r>
      <w:r w:rsidR="005F344E" w:rsidRPr="00C03185">
        <w:rPr>
          <w:u w:val="none"/>
        </w:rPr>
        <w:t xml:space="preserve"> in the amount of R4 483 666-71. This they say</w:t>
      </w:r>
      <w:r w:rsidR="005A24EC" w:rsidRPr="00C03185">
        <w:rPr>
          <w:u w:val="none"/>
        </w:rPr>
        <w:t xml:space="preserve"> was extinguish</w:t>
      </w:r>
      <w:r w:rsidR="00E16756" w:rsidRPr="00C03185">
        <w:rPr>
          <w:u w:val="none"/>
        </w:rPr>
        <w:t>ed</w:t>
      </w:r>
      <w:r w:rsidR="005F344E" w:rsidRPr="00C03185">
        <w:rPr>
          <w:u w:val="none"/>
        </w:rPr>
        <w:t xml:space="preserve"> through,</w:t>
      </w:r>
      <w:r w:rsidR="005A24EC" w:rsidRPr="00C03185">
        <w:rPr>
          <w:u w:val="none"/>
        </w:rPr>
        <w:t xml:space="preserve"> </w:t>
      </w:r>
      <w:r w:rsidR="005A24EC" w:rsidRPr="00C03185">
        <w:rPr>
          <w:i/>
          <w:u w:val="none"/>
        </w:rPr>
        <w:t>inter alia</w:t>
      </w:r>
      <w:r w:rsidR="005A24EC" w:rsidRPr="00C03185">
        <w:rPr>
          <w:u w:val="none"/>
        </w:rPr>
        <w:t>, insurance payments exceeding R6,5 million and thus the defendants have no liability towards the plaintiff at all.</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[29]</w:t>
      </w:r>
      <w:r>
        <w:rPr>
          <w:rFonts w:hAnsi="Arial Unicode MS"/>
          <w:u w:val="none"/>
        </w:rPr>
        <w:tab/>
      </w:r>
      <w:r w:rsidR="00DC6330" w:rsidRPr="00C03185">
        <w:rPr>
          <w:u w:val="none"/>
        </w:rPr>
        <w:t>The defendants’ argument is developed on two main threads:</w:t>
      </w:r>
    </w:p>
    <w:p w:rsidR="00DC6330" w:rsidRPr="00DC6330" w:rsidRDefault="00B27BD9" w:rsidP="00DC6330">
      <w:pPr>
        <w:widowControl w:val="0"/>
        <w:tabs>
          <w:tab w:val="left" w:pos="-1099"/>
          <w:tab w:val="left" w:pos="-720"/>
          <w:tab w:val="left" w:pos="709"/>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firstLine="709"/>
        <w:jc w:val="both"/>
      </w:pPr>
      <w:r>
        <w:t xml:space="preserve">Re </w:t>
      </w:r>
      <w:proofErr w:type="spellStart"/>
      <w:r>
        <w:t>Wolwepa</w:t>
      </w:r>
      <w:r w:rsidR="00DC6330" w:rsidRPr="00DC6330">
        <w:t>n</w:t>
      </w:r>
      <w:proofErr w:type="spellEnd"/>
    </w:p>
    <w:p w:rsidR="004F10DF" w:rsidRPr="00C03185" w:rsidRDefault="00C03185" w:rsidP="00C03185">
      <w:pPr>
        <w:spacing w:line="480" w:lineRule="auto"/>
        <w:ind w:left="1440" w:hanging="731"/>
        <w:jc w:val="both"/>
        <w:rPr>
          <w:u w:val="none"/>
        </w:rPr>
      </w:pPr>
      <w:r>
        <w:rPr>
          <w:u w:val="none"/>
        </w:rPr>
        <w:lastRenderedPageBreak/>
        <w:t>29.1</w:t>
      </w:r>
      <w:r>
        <w:rPr>
          <w:u w:val="none"/>
        </w:rPr>
        <w:tab/>
      </w:r>
      <w:r w:rsidR="00FB33A6" w:rsidRPr="00C03185">
        <w:rPr>
          <w:u w:val="none"/>
        </w:rPr>
        <w:t>on this issue the argument is that the plaintiff’s main witness, Ms Douglas</w:t>
      </w:r>
      <w:r w:rsidR="005F344E" w:rsidRPr="00C03185">
        <w:rPr>
          <w:u w:val="none"/>
        </w:rPr>
        <w:t>,</w:t>
      </w:r>
      <w:r w:rsidR="00FB33A6" w:rsidRPr="00C03185">
        <w:rPr>
          <w:u w:val="none"/>
        </w:rPr>
        <w:t xml:space="preserve"> never gave any evidence to the effect either generally o</w:t>
      </w:r>
      <w:r w:rsidR="00B27BD9" w:rsidRPr="00C03185">
        <w:rPr>
          <w:u w:val="none"/>
        </w:rPr>
        <w:t xml:space="preserve">r specifically, that the </w:t>
      </w:r>
      <w:proofErr w:type="spellStart"/>
      <w:r w:rsidR="00B27BD9" w:rsidRPr="00C03185">
        <w:rPr>
          <w:u w:val="none"/>
        </w:rPr>
        <w:t>Wolwepa</w:t>
      </w:r>
      <w:r w:rsidR="00FB33A6" w:rsidRPr="00C03185">
        <w:rPr>
          <w:u w:val="none"/>
        </w:rPr>
        <w:t>n</w:t>
      </w:r>
      <w:proofErr w:type="spellEnd"/>
      <w:r w:rsidR="00FB33A6" w:rsidRPr="00C03185">
        <w:rPr>
          <w:u w:val="none"/>
        </w:rPr>
        <w:t xml:space="preserve"> suretyship had </w:t>
      </w:r>
      <w:r w:rsidR="00A46ED8" w:rsidRPr="00C03185">
        <w:rPr>
          <w:u w:val="none"/>
        </w:rPr>
        <w:t>been signed by 29 October 2022;</w:t>
      </w:r>
    </w:p>
    <w:p w:rsidR="00A46ED8" w:rsidRPr="00C03185" w:rsidRDefault="00C03185" w:rsidP="00C03185">
      <w:pPr>
        <w:spacing w:line="480" w:lineRule="auto"/>
        <w:ind w:left="1440" w:hanging="731"/>
        <w:jc w:val="both"/>
        <w:rPr>
          <w:u w:val="none"/>
        </w:rPr>
      </w:pPr>
      <w:r>
        <w:rPr>
          <w:u w:val="none"/>
        </w:rPr>
        <w:t>29.2</w:t>
      </w:r>
      <w:r>
        <w:rPr>
          <w:u w:val="none"/>
        </w:rPr>
        <w:tab/>
      </w:r>
      <w:r w:rsidR="00FB33A6" w:rsidRPr="00C03185">
        <w:rPr>
          <w:u w:val="none"/>
        </w:rPr>
        <w:t xml:space="preserve">the argument was that her confirmation </w:t>
      </w:r>
      <w:r w:rsidR="005F344E" w:rsidRPr="00C03185">
        <w:rPr>
          <w:u w:val="none"/>
        </w:rPr>
        <w:t>a</w:t>
      </w:r>
      <w:r w:rsidR="00F56F1F" w:rsidRPr="00C03185">
        <w:rPr>
          <w:u w:val="none"/>
        </w:rPr>
        <w:t>s</w:t>
      </w:r>
      <w:r w:rsidR="005F344E" w:rsidRPr="00C03185">
        <w:rPr>
          <w:u w:val="none"/>
        </w:rPr>
        <w:t xml:space="preserve"> regards the fulfilment of the conditions </w:t>
      </w:r>
      <w:r w:rsidR="00FB33A6" w:rsidRPr="00C03185">
        <w:rPr>
          <w:u w:val="none"/>
        </w:rPr>
        <w:t>was specifically limited to the fulfilment of the conditions set out in par</w:t>
      </w:r>
      <w:r w:rsidR="005F344E" w:rsidRPr="00C03185">
        <w:rPr>
          <w:u w:val="none"/>
        </w:rPr>
        <w:t>agraphs 12.2.2 (a) to (g) supra.</w:t>
      </w:r>
    </w:p>
    <w:p w:rsidR="005F344E" w:rsidRPr="005F344E" w:rsidRDefault="005F344E" w:rsidP="005F344E">
      <w:pPr>
        <w:pStyle w:val="ListParagraph"/>
        <w:spacing w:line="480" w:lineRule="auto"/>
        <w:ind w:left="1440"/>
        <w:jc w:val="both"/>
        <w:rPr>
          <w:u w:val="none"/>
        </w:rPr>
      </w:pPr>
    </w:p>
    <w:p w:rsidR="00FB33A6" w:rsidRPr="001C623A" w:rsidRDefault="001C623A" w:rsidP="001C623A">
      <w:pPr>
        <w:spacing w:line="480" w:lineRule="auto"/>
        <w:ind w:left="709"/>
      </w:pPr>
      <w:r w:rsidRPr="001C623A">
        <w:t>Re the TLA</w:t>
      </w:r>
    </w:p>
    <w:p w:rsidR="00FB33A6" w:rsidRPr="00C03185" w:rsidRDefault="00C03185" w:rsidP="00C03185">
      <w:pPr>
        <w:spacing w:line="480" w:lineRule="auto"/>
        <w:ind w:left="1440" w:hanging="731"/>
        <w:jc w:val="both"/>
        <w:rPr>
          <w:u w:val="none"/>
        </w:rPr>
      </w:pPr>
      <w:r>
        <w:rPr>
          <w:u w:val="none"/>
        </w:rPr>
        <w:t>29.3</w:t>
      </w:r>
      <w:r>
        <w:rPr>
          <w:u w:val="none"/>
        </w:rPr>
        <w:tab/>
      </w:r>
      <w:r w:rsidR="001C623A" w:rsidRPr="00C03185">
        <w:rPr>
          <w:u w:val="none"/>
        </w:rPr>
        <w:t xml:space="preserve">even so, say defendants, Ms Douglas’ evidence was </w:t>
      </w:r>
      <w:r w:rsidR="00A46ED8" w:rsidRPr="00C03185">
        <w:rPr>
          <w:u w:val="none"/>
        </w:rPr>
        <w:t xml:space="preserve">that the insolvent had to sign </w:t>
      </w:r>
      <w:r w:rsidR="001C623A" w:rsidRPr="00C03185">
        <w:rPr>
          <w:u w:val="none"/>
        </w:rPr>
        <w:t xml:space="preserve">the agreement by 29 October 2012. But this did not happen – instead the evidence was that the insolvent </w:t>
      </w:r>
      <w:r w:rsidR="00B1357D" w:rsidRPr="00C03185">
        <w:rPr>
          <w:u w:val="none"/>
        </w:rPr>
        <w:t xml:space="preserve">only </w:t>
      </w:r>
      <w:r w:rsidR="001C623A" w:rsidRPr="00C03185">
        <w:rPr>
          <w:u w:val="none"/>
        </w:rPr>
        <w:t>signed an application for credit on 29 October 2012 in regards of which the plaintiff only gave a quotation on 10 December 2012 which was signed by the insolvent on that date</w:t>
      </w:r>
      <w:r w:rsidR="00BA2687" w:rsidRPr="00C03185">
        <w:rPr>
          <w:u w:val="none"/>
        </w:rPr>
        <w:t xml:space="preserve">. It was thus only on 10 December 2012 that an agreement came into </w:t>
      </w:r>
      <w:r w:rsidR="00A46ED8" w:rsidRPr="00C03185">
        <w:rPr>
          <w:u w:val="none"/>
        </w:rPr>
        <w:t>existence</w:t>
      </w:r>
      <w:r w:rsidR="00BA2687">
        <w:rPr>
          <w:rStyle w:val="FootnoteReference"/>
          <w:u w:val="none"/>
        </w:rPr>
        <w:footnoteReference w:id="27"/>
      </w:r>
      <w:r w:rsidR="00A46ED8" w:rsidRPr="00C03185">
        <w:rPr>
          <w:u w:val="none"/>
        </w:rPr>
        <w:t>;</w:t>
      </w:r>
    </w:p>
    <w:p w:rsidR="00FB33A6" w:rsidRPr="00C03185" w:rsidRDefault="00C03185" w:rsidP="00C03185">
      <w:pPr>
        <w:spacing w:line="480" w:lineRule="auto"/>
        <w:ind w:left="1440" w:hanging="731"/>
        <w:jc w:val="both"/>
        <w:rPr>
          <w:u w:val="none"/>
        </w:rPr>
      </w:pPr>
      <w:r>
        <w:rPr>
          <w:u w:val="none"/>
        </w:rPr>
        <w:t>29.4</w:t>
      </w:r>
      <w:r>
        <w:rPr>
          <w:u w:val="none"/>
        </w:rPr>
        <w:tab/>
      </w:r>
      <w:r w:rsidR="00B55DCA" w:rsidRPr="00C03185">
        <w:rPr>
          <w:u w:val="none"/>
        </w:rPr>
        <w:t>this being so, the condition set out in paragraph 27(b) supra was not fulfilled by 29 October 2012 and the TLA was voi</w:t>
      </w:r>
      <w:r w:rsidR="009F0D69" w:rsidRPr="00C03185">
        <w:rPr>
          <w:u w:val="none"/>
        </w:rPr>
        <w:t>d</w:t>
      </w:r>
      <w:r w:rsidR="00B55DCA" w:rsidRPr="00C03185">
        <w:rPr>
          <w:u w:val="none"/>
        </w:rPr>
        <w:t xml:space="preserve"> </w:t>
      </w:r>
      <w:r w:rsidR="00B55DCA" w:rsidRPr="00C03185">
        <w:rPr>
          <w:i/>
          <w:u w:val="none"/>
        </w:rPr>
        <w:t>a</w:t>
      </w:r>
      <w:r w:rsidR="009F0D69" w:rsidRPr="00C03185">
        <w:rPr>
          <w:i/>
          <w:u w:val="none"/>
        </w:rPr>
        <w:t>b</w:t>
      </w:r>
      <w:r w:rsidR="00B55DCA" w:rsidRPr="00C03185">
        <w:rPr>
          <w:i/>
          <w:u w:val="none"/>
        </w:rPr>
        <w:t xml:space="preserve"> initio</w:t>
      </w:r>
      <w:r w:rsidR="00B55DCA" w:rsidRPr="00C03185">
        <w:rPr>
          <w:u w:val="none"/>
        </w:rPr>
        <w:t>.</w:t>
      </w:r>
    </w:p>
    <w:p w:rsidR="00A46ED8" w:rsidRDefault="00A46ED8" w:rsidP="00A46ED8">
      <w:pPr>
        <w:pStyle w:val="ListParagraph"/>
        <w:spacing w:line="480" w:lineRule="auto"/>
        <w:ind w:left="1440"/>
        <w:jc w:val="both"/>
        <w:rPr>
          <w:u w:val="none"/>
        </w:rPr>
      </w:pPr>
    </w:p>
    <w:p w:rsidR="00E065C9" w:rsidRPr="00E065C9" w:rsidRDefault="00A46ED8" w:rsidP="00E065C9">
      <w:pPr>
        <w:spacing w:line="480" w:lineRule="auto"/>
        <w:rPr>
          <w:b/>
          <w:u w:val="none"/>
        </w:rPr>
      </w:pPr>
      <w:r>
        <w:rPr>
          <w:b/>
          <w:u w:val="none"/>
        </w:rPr>
        <w:t xml:space="preserve">THE </w:t>
      </w:r>
      <w:r w:rsidR="00B27BD9">
        <w:rPr>
          <w:b/>
          <w:u w:val="none"/>
        </w:rPr>
        <w:t>WOLWEPA</w:t>
      </w:r>
      <w:r w:rsidR="00E065C9" w:rsidRPr="00E065C9">
        <w:rPr>
          <w:b/>
          <w:u w:val="none"/>
        </w:rPr>
        <w:t>N</w:t>
      </w:r>
      <w:r>
        <w:rPr>
          <w:b/>
          <w:u w:val="none"/>
        </w:rPr>
        <w:t xml:space="preserve"> ARGUMENT</w:t>
      </w: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[30]</w:t>
      </w:r>
      <w:r>
        <w:rPr>
          <w:rFonts w:hAnsi="Arial Unicode MS"/>
          <w:u w:val="none"/>
        </w:rPr>
        <w:tab/>
      </w:r>
      <w:r w:rsidR="00E20607" w:rsidRPr="00C03185">
        <w:rPr>
          <w:u w:val="none"/>
        </w:rPr>
        <w:t>The defendants</w:t>
      </w:r>
      <w:r w:rsidR="00A46ED8" w:rsidRPr="00C03185">
        <w:rPr>
          <w:u w:val="none"/>
        </w:rPr>
        <w:t>’</w:t>
      </w:r>
      <w:r w:rsidR="00E20607" w:rsidRPr="00C03185">
        <w:rPr>
          <w:u w:val="none"/>
        </w:rPr>
        <w:t xml:space="preserve"> argument is that the text of the 2</w:t>
      </w:r>
      <w:r w:rsidR="00E20607" w:rsidRPr="00C03185">
        <w:rPr>
          <w:u w:val="none"/>
          <w:vertAlign w:val="superscript"/>
        </w:rPr>
        <w:t>nd</w:t>
      </w:r>
      <w:r w:rsidR="00E20607" w:rsidRPr="00C03185">
        <w:rPr>
          <w:u w:val="none"/>
        </w:rPr>
        <w:t xml:space="preserve"> agreement is explicit to the extent that the only reasonable conclusion is tha</w:t>
      </w:r>
      <w:r w:rsidR="00706C76" w:rsidRPr="00C03185">
        <w:rPr>
          <w:u w:val="none"/>
        </w:rPr>
        <w:t>t</w:t>
      </w:r>
      <w:r w:rsidR="00E20607" w:rsidRPr="00C03185">
        <w:rPr>
          <w:u w:val="none"/>
        </w:rPr>
        <w:t xml:space="preserve"> the prov</w:t>
      </w:r>
      <w:r w:rsidR="00B27BD9" w:rsidRPr="00C03185">
        <w:rPr>
          <w:u w:val="none"/>
        </w:rPr>
        <w:t xml:space="preserve">ision of a suretyship by </w:t>
      </w:r>
      <w:proofErr w:type="spellStart"/>
      <w:r w:rsidR="00B27BD9" w:rsidRPr="00C03185">
        <w:rPr>
          <w:u w:val="none"/>
        </w:rPr>
        <w:t>Wolwepa</w:t>
      </w:r>
      <w:r w:rsidR="00E20607" w:rsidRPr="00C03185">
        <w:rPr>
          <w:u w:val="none"/>
        </w:rPr>
        <w:t>n</w:t>
      </w:r>
      <w:proofErr w:type="spellEnd"/>
      <w:r w:rsidR="00E20607" w:rsidRPr="00C03185">
        <w:rPr>
          <w:u w:val="none"/>
        </w:rPr>
        <w:t xml:space="preserve"> is a </w:t>
      </w:r>
      <w:r w:rsidR="00706C76" w:rsidRPr="00C03185">
        <w:rPr>
          <w:u w:val="none"/>
        </w:rPr>
        <w:t xml:space="preserve">suspensive condition. This they </w:t>
      </w:r>
      <w:r w:rsidR="00E20607" w:rsidRPr="00C03185">
        <w:rPr>
          <w:u w:val="none"/>
        </w:rPr>
        <w:t xml:space="preserve">say is </w:t>
      </w:r>
      <w:r w:rsidR="00E20607" w:rsidRPr="00C03185">
        <w:rPr>
          <w:u w:val="none"/>
        </w:rPr>
        <w:lastRenderedPageBreak/>
        <w:t>clear from the heading of clause 2 and the wording of paragraph 2.1 which reads:</w:t>
      </w:r>
    </w:p>
    <w:p w:rsidR="00E20607" w:rsidRPr="00E20607" w:rsidRDefault="00E20607" w:rsidP="00E20607">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i/>
          <w:u w:val="none"/>
        </w:rPr>
      </w:pPr>
      <w:r w:rsidRPr="00E20607">
        <w:rPr>
          <w:i/>
          <w:u w:val="none"/>
        </w:rPr>
        <w:t>“2.</w:t>
      </w:r>
      <w:r w:rsidRPr="00E20607">
        <w:rPr>
          <w:i/>
          <w:u w:val="none"/>
        </w:rPr>
        <w:tab/>
        <w:t>VOORWAARDES VAN AFBETALINGS – OOREENKOMS</w:t>
      </w:r>
    </w:p>
    <w:p w:rsidR="00E20607" w:rsidRPr="00E20607" w:rsidRDefault="00E20607" w:rsidP="00E20607">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160" w:hanging="1451"/>
        <w:jc w:val="both"/>
        <w:rPr>
          <w:i/>
          <w:u w:val="none"/>
        </w:rPr>
      </w:pPr>
      <w:r w:rsidRPr="00E20607">
        <w:rPr>
          <w:i/>
          <w:u w:val="none"/>
        </w:rPr>
        <w:tab/>
        <w:t>2.1</w:t>
      </w:r>
      <w:r w:rsidRPr="00E20607">
        <w:rPr>
          <w:i/>
          <w:u w:val="none"/>
        </w:rPr>
        <w:tab/>
        <w:t xml:space="preserve">Die </w:t>
      </w:r>
      <w:proofErr w:type="spellStart"/>
      <w:r w:rsidRPr="00E20607">
        <w:rPr>
          <w:i/>
          <w:u w:val="none"/>
        </w:rPr>
        <w:t>partye</w:t>
      </w:r>
      <w:proofErr w:type="spellEnd"/>
      <w:r w:rsidRPr="00E20607">
        <w:rPr>
          <w:i/>
          <w:u w:val="none"/>
        </w:rPr>
        <w:t xml:space="preserve"> </w:t>
      </w:r>
      <w:proofErr w:type="spellStart"/>
      <w:r w:rsidRPr="00E20607">
        <w:rPr>
          <w:i/>
          <w:u w:val="none"/>
        </w:rPr>
        <w:t>kom</w:t>
      </w:r>
      <w:proofErr w:type="spellEnd"/>
      <w:r w:rsidRPr="00E20607">
        <w:rPr>
          <w:i/>
          <w:u w:val="none"/>
        </w:rPr>
        <w:t xml:space="preserve"> </w:t>
      </w:r>
      <w:proofErr w:type="spellStart"/>
      <w:r w:rsidRPr="00E20607">
        <w:rPr>
          <w:i/>
          <w:u w:val="none"/>
        </w:rPr>
        <w:t>ooreen</w:t>
      </w:r>
      <w:proofErr w:type="spellEnd"/>
      <w:r w:rsidRPr="00E20607">
        <w:rPr>
          <w:i/>
          <w:u w:val="none"/>
        </w:rPr>
        <w:t xml:space="preserve"> </w:t>
      </w:r>
      <w:proofErr w:type="spellStart"/>
      <w:r w:rsidRPr="00E20607">
        <w:rPr>
          <w:i/>
          <w:u w:val="none"/>
        </w:rPr>
        <w:t>dat</w:t>
      </w:r>
      <w:proofErr w:type="spellEnd"/>
      <w:r w:rsidRPr="00E20607">
        <w:rPr>
          <w:i/>
          <w:u w:val="none"/>
        </w:rPr>
        <w:t xml:space="preserve"> </w:t>
      </w:r>
      <w:proofErr w:type="spellStart"/>
      <w:r w:rsidRPr="00E20607">
        <w:rPr>
          <w:i/>
          <w:u w:val="none"/>
        </w:rPr>
        <w:t>Statusfin</w:t>
      </w:r>
      <w:proofErr w:type="spellEnd"/>
      <w:r w:rsidRPr="00E20607">
        <w:rPr>
          <w:i/>
          <w:u w:val="none"/>
        </w:rPr>
        <w:t xml:space="preserve"> </w:t>
      </w:r>
      <w:proofErr w:type="spellStart"/>
      <w:r w:rsidRPr="00E20607">
        <w:rPr>
          <w:i/>
          <w:u w:val="none"/>
        </w:rPr>
        <w:t>aan</w:t>
      </w:r>
      <w:proofErr w:type="spellEnd"/>
      <w:r w:rsidRPr="00E20607">
        <w:rPr>
          <w:i/>
          <w:u w:val="none"/>
        </w:rPr>
        <w:t xml:space="preserve"> die </w:t>
      </w:r>
      <w:proofErr w:type="spellStart"/>
      <w:r w:rsidRPr="00E20607">
        <w:rPr>
          <w:i/>
          <w:u w:val="none"/>
        </w:rPr>
        <w:t>skuldenaar</w:t>
      </w:r>
      <w:proofErr w:type="spellEnd"/>
      <w:r w:rsidRPr="00E20607">
        <w:rPr>
          <w:i/>
          <w:u w:val="none"/>
        </w:rPr>
        <w:t xml:space="preserve"> </w:t>
      </w:r>
      <w:proofErr w:type="spellStart"/>
      <w:r w:rsidRPr="00E20607">
        <w:rPr>
          <w:i/>
          <w:u w:val="none"/>
        </w:rPr>
        <w:t>uitsel</w:t>
      </w:r>
      <w:proofErr w:type="spellEnd"/>
      <w:r w:rsidRPr="00E20607">
        <w:rPr>
          <w:i/>
          <w:u w:val="none"/>
        </w:rPr>
        <w:t xml:space="preserve"> </w:t>
      </w:r>
      <w:proofErr w:type="spellStart"/>
      <w:r w:rsidRPr="00E20607">
        <w:rPr>
          <w:i/>
          <w:u w:val="none"/>
        </w:rPr>
        <w:t>verlen</w:t>
      </w:r>
      <w:proofErr w:type="spellEnd"/>
      <w:r w:rsidRPr="00E20607">
        <w:rPr>
          <w:i/>
          <w:u w:val="none"/>
        </w:rPr>
        <w:t xml:space="preserve"> </w:t>
      </w:r>
      <w:proofErr w:type="spellStart"/>
      <w:r w:rsidRPr="00E20607">
        <w:rPr>
          <w:i/>
          <w:u w:val="none"/>
        </w:rPr>
        <w:t>vir</w:t>
      </w:r>
      <w:proofErr w:type="spellEnd"/>
      <w:r w:rsidRPr="00E20607">
        <w:rPr>
          <w:i/>
          <w:u w:val="none"/>
        </w:rPr>
        <w:t xml:space="preserve"> </w:t>
      </w:r>
      <w:proofErr w:type="spellStart"/>
      <w:r w:rsidRPr="00E20607">
        <w:rPr>
          <w:i/>
          <w:u w:val="none"/>
        </w:rPr>
        <w:t>betaling</w:t>
      </w:r>
      <w:proofErr w:type="spellEnd"/>
      <w:r w:rsidRPr="00E20607">
        <w:rPr>
          <w:i/>
          <w:u w:val="none"/>
        </w:rPr>
        <w:t xml:space="preserve"> v/d </w:t>
      </w:r>
      <w:proofErr w:type="spellStart"/>
      <w:r w:rsidRPr="00E20607">
        <w:rPr>
          <w:i/>
          <w:u w:val="none"/>
        </w:rPr>
        <w:t>Statusfin</w:t>
      </w:r>
      <w:proofErr w:type="spellEnd"/>
      <w:r w:rsidRPr="00E20607">
        <w:rPr>
          <w:i/>
          <w:u w:val="none"/>
        </w:rPr>
        <w:t xml:space="preserve"> </w:t>
      </w:r>
      <w:proofErr w:type="spellStart"/>
      <w:r w:rsidRPr="00E20607">
        <w:rPr>
          <w:i/>
          <w:u w:val="none"/>
        </w:rPr>
        <w:t>Skuld</w:t>
      </w:r>
      <w:proofErr w:type="spellEnd"/>
      <w:r w:rsidRPr="00E20607">
        <w:rPr>
          <w:i/>
          <w:u w:val="none"/>
        </w:rPr>
        <w:t xml:space="preserve"> </w:t>
      </w:r>
      <w:proofErr w:type="spellStart"/>
      <w:r w:rsidRPr="00E20607">
        <w:rPr>
          <w:i/>
          <w:u w:val="none"/>
        </w:rPr>
        <w:t>onderhewig</w:t>
      </w:r>
      <w:proofErr w:type="spellEnd"/>
      <w:r w:rsidRPr="00E20607">
        <w:rPr>
          <w:i/>
          <w:u w:val="none"/>
        </w:rPr>
        <w:t xml:space="preserve"> </w:t>
      </w:r>
      <w:proofErr w:type="spellStart"/>
      <w:r w:rsidRPr="00E20607">
        <w:rPr>
          <w:i/>
          <w:u w:val="none"/>
        </w:rPr>
        <w:t>aan</w:t>
      </w:r>
      <w:proofErr w:type="spellEnd"/>
      <w:r w:rsidRPr="00E20607">
        <w:rPr>
          <w:i/>
          <w:u w:val="none"/>
        </w:rPr>
        <w:t xml:space="preserve"> die </w:t>
      </w:r>
      <w:proofErr w:type="spellStart"/>
      <w:r w:rsidRPr="00E20607">
        <w:rPr>
          <w:i/>
          <w:u w:val="none"/>
        </w:rPr>
        <w:t>voorwaardes</w:t>
      </w:r>
      <w:proofErr w:type="spellEnd"/>
      <w:r w:rsidRPr="00E20607">
        <w:rPr>
          <w:i/>
          <w:u w:val="none"/>
        </w:rPr>
        <w:t xml:space="preserve"> </w:t>
      </w:r>
      <w:proofErr w:type="spellStart"/>
      <w:r w:rsidRPr="00E20607">
        <w:rPr>
          <w:i/>
          <w:u w:val="none"/>
        </w:rPr>
        <w:t>soos</w:t>
      </w:r>
      <w:proofErr w:type="spellEnd"/>
      <w:r w:rsidRPr="00E20607">
        <w:rPr>
          <w:i/>
          <w:u w:val="none"/>
        </w:rPr>
        <w:t xml:space="preserve"> </w:t>
      </w:r>
      <w:proofErr w:type="spellStart"/>
      <w:r w:rsidRPr="00E20607">
        <w:rPr>
          <w:i/>
          <w:u w:val="none"/>
        </w:rPr>
        <w:t>hieronder</w:t>
      </w:r>
      <w:proofErr w:type="spellEnd"/>
      <w:r w:rsidRPr="00E20607">
        <w:rPr>
          <w:i/>
          <w:u w:val="none"/>
        </w:rPr>
        <w:t xml:space="preserve"> </w:t>
      </w:r>
      <w:proofErr w:type="spellStart"/>
      <w:r w:rsidRPr="00E20607">
        <w:rPr>
          <w:i/>
          <w:u w:val="none"/>
        </w:rPr>
        <w:t>uiteengesit</w:t>
      </w:r>
      <w:proofErr w:type="spellEnd"/>
      <w:r w:rsidRPr="00E20607">
        <w:rPr>
          <w:i/>
          <w:u w:val="none"/>
        </w:rPr>
        <w:t>…”</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[31]</w:t>
      </w:r>
      <w:r>
        <w:rPr>
          <w:rFonts w:hAnsi="Arial Unicode MS"/>
          <w:u w:val="none"/>
        </w:rPr>
        <w:tab/>
      </w:r>
      <w:r w:rsidR="00A45DDE" w:rsidRPr="00C03185">
        <w:rPr>
          <w:b/>
          <w:u w:val="none"/>
        </w:rPr>
        <w:t xml:space="preserve">Sentinel Mining Industry Retirement Fund and Another </w:t>
      </w:r>
      <w:r w:rsidR="00DA1149" w:rsidRPr="00C03185">
        <w:rPr>
          <w:b/>
          <w:u w:val="none"/>
        </w:rPr>
        <w:t xml:space="preserve">v </w:t>
      </w:r>
      <w:proofErr w:type="spellStart"/>
      <w:r w:rsidR="00DA1149" w:rsidRPr="00C03185">
        <w:rPr>
          <w:b/>
          <w:u w:val="none"/>
        </w:rPr>
        <w:t>Waz</w:t>
      </w:r>
      <w:proofErr w:type="spellEnd"/>
      <w:r w:rsidR="00DA1149" w:rsidRPr="00C03185">
        <w:rPr>
          <w:b/>
          <w:u w:val="none"/>
        </w:rPr>
        <w:t xml:space="preserve"> Props (Pty) Ltd and Another</w:t>
      </w:r>
      <w:r w:rsidR="00DA1149">
        <w:rPr>
          <w:rStyle w:val="FootnoteReference"/>
          <w:u w:val="none"/>
        </w:rPr>
        <w:footnoteReference w:id="28"/>
      </w:r>
      <w:r w:rsidR="00DA1149" w:rsidRPr="00C03185">
        <w:rPr>
          <w:b/>
          <w:u w:val="none"/>
        </w:rPr>
        <w:t xml:space="preserve"> </w:t>
      </w:r>
      <w:r w:rsidR="00DA1149" w:rsidRPr="00C03185">
        <w:rPr>
          <w:u w:val="none"/>
        </w:rPr>
        <w:t>sets out the principles upon which headings in a contract can be utilised in interpreting the contract:</w:t>
      </w:r>
    </w:p>
    <w:p w:rsidR="00DA1149" w:rsidRPr="00DA1149" w:rsidRDefault="00DA1149" w:rsidP="00DA1149">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i/>
          <w:u w:val="none"/>
        </w:rPr>
      </w:pPr>
      <w:r w:rsidRPr="00DA1149">
        <w:rPr>
          <w:i/>
          <w:u w:val="none"/>
        </w:rPr>
        <w:t>“[10] … In the absence of express provision to the contrary, headings in contracts can be taken into account in interpreting the contract. It seems to me more common sense that where a heading conflicts with the body of the contract, it must be the body of the contract which prevails because the parties’ intention is more likely to appear from the provisions they have spelt out than from an abbreviation they have chosen to identify the effect of those provisions; but that where the heading and the detailed provisions can be read together, that should be done…”</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[32]</w:t>
      </w:r>
      <w:r>
        <w:rPr>
          <w:rFonts w:hAnsi="Arial Unicode MS"/>
          <w:u w:val="none"/>
        </w:rPr>
        <w:tab/>
      </w:r>
      <w:r w:rsidR="003A685A" w:rsidRPr="00C03185">
        <w:rPr>
          <w:u w:val="none"/>
        </w:rPr>
        <w:t xml:space="preserve">According to the defendants, the conclusion of the documents set out in paragraph 2.1.2 </w:t>
      </w:r>
      <w:r w:rsidR="0079168D" w:rsidRPr="00C03185">
        <w:rPr>
          <w:u w:val="none"/>
        </w:rPr>
        <w:t xml:space="preserve">supra </w:t>
      </w:r>
      <w:r w:rsidR="003A685A" w:rsidRPr="00C03185">
        <w:rPr>
          <w:u w:val="none"/>
        </w:rPr>
        <w:t xml:space="preserve">constitute </w:t>
      </w:r>
      <w:proofErr w:type="spellStart"/>
      <w:r w:rsidR="003A685A" w:rsidRPr="00C03185">
        <w:rPr>
          <w:i/>
          <w:u w:val="none"/>
        </w:rPr>
        <w:t>conditiones</w:t>
      </w:r>
      <w:proofErr w:type="spellEnd"/>
      <w:r w:rsidR="003A685A" w:rsidRPr="00C03185">
        <w:rPr>
          <w:i/>
          <w:u w:val="none"/>
        </w:rPr>
        <w:t xml:space="preserve"> </w:t>
      </w:r>
      <w:proofErr w:type="spellStart"/>
      <w:r w:rsidR="003A685A" w:rsidRPr="00C03185">
        <w:rPr>
          <w:i/>
          <w:u w:val="none"/>
        </w:rPr>
        <w:t>causalis</w:t>
      </w:r>
      <w:proofErr w:type="spellEnd"/>
      <w:r w:rsidR="003A685A" w:rsidRPr="00C03185">
        <w:rPr>
          <w:u w:val="none"/>
        </w:rPr>
        <w:t xml:space="preserve"> and are “</w:t>
      </w:r>
      <w:r w:rsidR="003A685A" w:rsidRPr="00C03185">
        <w:rPr>
          <w:i/>
          <w:u w:val="none"/>
        </w:rPr>
        <w:t>patent suspensive, conditions</w:t>
      </w:r>
      <w:r w:rsidR="003A685A" w:rsidRPr="00C03185">
        <w:rPr>
          <w:u w:val="none"/>
        </w:rPr>
        <w:t xml:space="preserve">”. </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[33]</w:t>
      </w:r>
      <w:r>
        <w:rPr>
          <w:rFonts w:hAnsi="Arial Unicode MS"/>
          <w:u w:val="none"/>
        </w:rPr>
        <w:tab/>
      </w:r>
      <w:r w:rsidR="00787363" w:rsidRPr="00C03185">
        <w:rPr>
          <w:u w:val="none"/>
        </w:rPr>
        <w:t xml:space="preserve">In my view what the above argument loses sight of is the following: as </w:t>
      </w:r>
      <w:r w:rsidR="00787363" w:rsidRPr="00C03185">
        <w:rPr>
          <w:u w:val="none"/>
        </w:rPr>
        <w:lastRenderedPageBreak/>
        <w:t xml:space="preserve">regards </w:t>
      </w:r>
      <w:proofErr w:type="spellStart"/>
      <w:r w:rsidR="00787363" w:rsidRPr="00C03185">
        <w:rPr>
          <w:u w:val="none"/>
        </w:rPr>
        <w:t>Wolwep</w:t>
      </w:r>
      <w:r w:rsidR="00B27BD9" w:rsidRPr="00C03185">
        <w:rPr>
          <w:u w:val="none"/>
        </w:rPr>
        <w:t>a</w:t>
      </w:r>
      <w:r w:rsidR="00787363" w:rsidRPr="00C03185">
        <w:rPr>
          <w:u w:val="none"/>
        </w:rPr>
        <w:t>n</w:t>
      </w:r>
      <w:proofErr w:type="spellEnd"/>
      <w:r w:rsidR="00787363" w:rsidRPr="00C03185">
        <w:rPr>
          <w:u w:val="none"/>
        </w:rPr>
        <w:t xml:space="preserve">, Ms Douglas was asked whether </w:t>
      </w:r>
      <w:r w:rsidR="009F0D69" w:rsidRPr="00C03185">
        <w:rPr>
          <w:u w:val="none"/>
        </w:rPr>
        <w:t xml:space="preserve">the conditions set out in the </w:t>
      </w:r>
      <w:r w:rsidR="00F91F0B" w:rsidRPr="00C03185">
        <w:rPr>
          <w:u w:val="none"/>
        </w:rPr>
        <w:t>2</w:t>
      </w:r>
      <w:r w:rsidR="00F91F0B" w:rsidRPr="00C03185">
        <w:rPr>
          <w:u w:val="none"/>
          <w:vertAlign w:val="superscript"/>
        </w:rPr>
        <w:t>nd</w:t>
      </w:r>
      <w:r w:rsidR="00F91F0B" w:rsidRPr="00C03185">
        <w:rPr>
          <w:u w:val="none"/>
        </w:rPr>
        <w:t xml:space="preserve"> Agreement </w:t>
      </w:r>
      <w:r w:rsidR="00C5292C" w:rsidRPr="00C03185">
        <w:rPr>
          <w:u w:val="none"/>
        </w:rPr>
        <w:t xml:space="preserve">had been fulfilled – her response was “yes”. It is my view that that pertained not to just 12.2.2 (a) – (g) </w:t>
      </w:r>
      <w:r w:rsidR="00F91F0B" w:rsidRPr="00C03185">
        <w:rPr>
          <w:u w:val="none"/>
        </w:rPr>
        <w:t xml:space="preserve">supra, </w:t>
      </w:r>
      <w:r w:rsidR="00C5292C" w:rsidRPr="00C03185">
        <w:rPr>
          <w:u w:val="none"/>
        </w:rPr>
        <w:t xml:space="preserve">but to </w:t>
      </w:r>
      <w:r w:rsidR="00C5292C" w:rsidRPr="00C5292C">
        <w:t>all</w:t>
      </w:r>
      <w:r w:rsidR="00C5292C" w:rsidRPr="00C03185">
        <w:rPr>
          <w:u w:val="none"/>
        </w:rPr>
        <w:t xml:space="preserve"> the conditions listed. If there was any uncertainty as to whether that include</w:t>
      </w:r>
      <w:r w:rsidR="00B27BD9" w:rsidRPr="00C03185">
        <w:rPr>
          <w:u w:val="none"/>
        </w:rPr>
        <w:t xml:space="preserve">d </w:t>
      </w:r>
      <w:proofErr w:type="spellStart"/>
      <w:r w:rsidR="00B27BD9" w:rsidRPr="00C03185">
        <w:rPr>
          <w:u w:val="none"/>
        </w:rPr>
        <w:t>Wolwepa</w:t>
      </w:r>
      <w:r w:rsidR="00C5292C" w:rsidRPr="00C03185">
        <w:rPr>
          <w:u w:val="none"/>
        </w:rPr>
        <w:t>n</w:t>
      </w:r>
      <w:proofErr w:type="spellEnd"/>
      <w:r w:rsidR="00C5292C" w:rsidRPr="00C03185">
        <w:rPr>
          <w:u w:val="none"/>
        </w:rPr>
        <w:t xml:space="preserve">, it was Mr van </w:t>
      </w:r>
      <w:proofErr w:type="spellStart"/>
      <w:r w:rsidR="00C5292C" w:rsidRPr="00C03185">
        <w:rPr>
          <w:u w:val="none"/>
        </w:rPr>
        <w:t>Nieuwenhuizen’s</w:t>
      </w:r>
      <w:proofErr w:type="spellEnd"/>
      <w:r w:rsidR="00C5292C" w:rsidRPr="00C03185">
        <w:rPr>
          <w:u w:val="none"/>
        </w:rPr>
        <w:t xml:space="preserve"> obligation to specifically raise and clarify this in cross-</w:t>
      </w:r>
      <w:r w:rsidR="00B103BE" w:rsidRPr="00C03185">
        <w:rPr>
          <w:u w:val="none"/>
        </w:rPr>
        <w:t>examination -</w:t>
      </w:r>
      <w:r w:rsidR="00C5292C" w:rsidRPr="00C03185">
        <w:rPr>
          <w:u w:val="none"/>
        </w:rPr>
        <w:t xml:space="preserve"> he did not. </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[34]</w:t>
      </w:r>
      <w:r>
        <w:rPr>
          <w:rFonts w:hAnsi="Arial Unicode MS"/>
          <w:u w:val="none"/>
        </w:rPr>
        <w:tab/>
      </w:r>
      <w:r w:rsidR="00B103BE" w:rsidRPr="00C03185">
        <w:rPr>
          <w:u w:val="none"/>
        </w:rPr>
        <w:t xml:space="preserve">In </w:t>
      </w:r>
      <w:proofErr w:type="spellStart"/>
      <w:r w:rsidR="00B103BE" w:rsidRPr="00C03185">
        <w:rPr>
          <w:b/>
          <w:u w:val="none"/>
        </w:rPr>
        <w:t>Caroll</w:t>
      </w:r>
      <w:proofErr w:type="spellEnd"/>
      <w:r w:rsidR="00B103BE" w:rsidRPr="00C03185">
        <w:rPr>
          <w:b/>
          <w:u w:val="none"/>
        </w:rPr>
        <w:t xml:space="preserve"> v </w:t>
      </w:r>
      <w:proofErr w:type="spellStart"/>
      <w:r w:rsidR="00B103BE" w:rsidRPr="00C03185">
        <w:rPr>
          <w:b/>
          <w:u w:val="none"/>
        </w:rPr>
        <w:t>Caroll</w:t>
      </w:r>
      <w:proofErr w:type="spellEnd"/>
      <w:r w:rsidR="00B103BE" w:rsidRPr="00014C5D">
        <w:rPr>
          <w:rStyle w:val="FootnoteReference"/>
          <w:u w:val="none"/>
        </w:rPr>
        <w:footnoteReference w:id="29"/>
      </w:r>
      <w:r w:rsidR="00014C5D" w:rsidRPr="00C03185">
        <w:rPr>
          <w:b/>
          <w:u w:val="none"/>
        </w:rPr>
        <w:t xml:space="preserve"> </w:t>
      </w:r>
      <w:r w:rsidR="00014C5D" w:rsidRPr="00C03185">
        <w:rPr>
          <w:u w:val="none"/>
        </w:rPr>
        <w:t>it was stated that the nature and purpose of</w:t>
      </w:r>
      <w:r w:rsidR="00014C5D" w:rsidRPr="00C03185">
        <w:rPr>
          <w:b/>
          <w:u w:val="none"/>
        </w:rPr>
        <w:t xml:space="preserve"> </w:t>
      </w:r>
      <w:r w:rsidR="00014C5D" w:rsidRPr="00C03185">
        <w:rPr>
          <w:u w:val="none"/>
        </w:rPr>
        <w:t>cross-examination is to elicit facts favourable to the cross-examiner</w:t>
      </w:r>
      <w:r w:rsidR="00F91F0B" w:rsidRPr="00C03185">
        <w:rPr>
          <w:u w:val="none"/>
        </w:rPr>
        <w:t>’</w:t>
      </w:r>
      <w:r w:rsidR="00014C5D" w:rsidRPr="00C03185">
        <w:rPr>
          <w:u w:val="none"/>
        </w:rPr>
        <w:t>s case and to challenge the truth or accuracy of the witness’s version of the disputed events.</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[35]</w:t>
      </w:r>
      <w:r>
        <w:rPr>
          <w:rFonts w:hAnsi="Arial Unicode MS"/>
          <w:u w:val="none"/>
        </w:rPr>
        <w:tab/>
      </w:r>
      <w:r w:rsidR="00014C5D" w:rsidRPr="00C03185">
        <w:rPr>
          <w:u w:val="none"/>
        </w:rPr>
        <w:t xml:space="preserve">In </w:t>
      </w:r>
      <w:r w:rsidR="00014C5D" w:rsidRPr="00C03185">
        <w:rPr>
          <w:b/>
          <w:u w:val="none"/>
        </w:rPr>
        <w:t>President of the Republic of South Africa v South African Rugby and Football Union</w:t>
      </w:r>
      <w:r w:rsidR="00014C5D">
        <w:rPr>
          <w:rStyle w:val="FootnoteReference"/>
          <w:u w:val="none"/>
        </w:rPr>
        <w:footnoteReference w:id="30"/>
      </w:r>
      <w:r w:rsidR="00014C5D" w:rsidRPr="00C03185">
        <w:rPr>
          <w:u w:val="none"/>
        </w:rPr>
        <w:t xml:space="preserve"> it was explained thus:</w:t>
      </w:r>
    </w:p>
    <w:p w:rsidR="00181D85" w:rsidRPr="00181D85" w:rsidRDefault="00181D85" w:rsidP="00181D85">
      <w:pPr>
        <w:pStyle w:val="Level1"/>
        <w:spacing w:line="360" w:lineRule="auto"/>
        <w:ind w:left="1440" w:hanging="720"/>
        <w:rPr>
          <w:rFonts w:ascii="Arial" w:hAnsi="Arial" w:cs="Arial"/>
          <w:i/>
          <w:lang w:val="en-GB"/>
        </w:rPr>
      </w:pPr>
      <w:r w:rsidRPr="00181D85">
        <w:rPr>
          <w:rFonts w:ascii="Arial" w:hAnsi="Arial" w:cs="Arial"/>
          <w:i/>
          <w:lang w:val="en-GB"/>
        </w:rPr>
        <w:t>“[61]</w:t>
      </w:r>
      <w:r w:rsidRPr="00181D85">
        <w:rPr>
          <w:rFonts w:ascii="Arial" w:hAnsi="Arial" w:cs="Arial"/>
          <w:i/>
          <w:lang w:val="en-GB"/>
        </w:rPr>
        <w:tab/>
        <w:t xml:space="preserve">The institution of cross-examination not only constitutes a </w:t>
      </w:r>
      <w:proofErr w:type="gramStart"/>
      <w:r w:rsidRPr="00181D85">
        <w:rPr>
          <w:rFonts w:ascii="Arial" w:hAnsi="Arial" w:cs="Arial"/>
          <w:i/>
          <w:lang w:val="en-GB"/>
        </w:rPr>
        <w:t>right,</w:t>
      </w:r>
      <w:proofErr w:type="gramEnd"/>
      <w:r w:rsidRPr="00181D85">
        <w:rPr>
          <w:rFonts w:ascii="Arial" w:hAnsi="Arial" w:cs="Arial"/>
          <w:i/>
          <w:lang w:val="en-GB"/>
        </w:rPr>
        <w:t xml:space="preserve"> it also imposes certain obligations.  As a general rule it is essential, when it is intended to suggest that a witness is not speaking the truth on a particular point, to direct the witness’s attention to the fact by questions put in cross-examination showing that the imputation is intended to be made and to afford the witness an opportunity, while still in the witness box, of giving any explanation open to the witness and of defending his or her character.  If a point in dispute is left unchallenged in cross-examination, the party calling the witness is entitled to assume that the unchallenged witness’s testimony is accepted as correct.  This rule was enunciated by the House of Lords in </w:t>
      </w:r>
      <w:r w:rsidRPr="00181D85">
        <w:rPr>
          <w:rFonts w:ascii="Arial" w:hAnsi="Arial" w:cs="Arial"/>
          <w:i/>
          <w:iCs/>
          <w:lang w:val="en-GB"/>
        </w:rPr>
        <w:t>Browne v Dunn</w:t>
      </w:r>
      <w:r w:rsidRPr="00181D85">
        <w:rPr>
          <w:rFonts w:ascii="Arial" w:hAnsi="Arial" w:cs="Arial"/>
          <w:i/>
          <w:lang w:val="en-GB"/>
        </w:rPr>
        <w:t xml:space="preserve"> and has been adopted and consistently followed by our courts.</w:t>
      </w:r>
    </w:p>
    <w:p w:rsidR="00181D85" w:rsidRPr="00181D85" w:rsidRDefault="00181D85" w:rsidP="00181D85">
      <w:pPr>
        <w:pStyle w:val="Level1"/>
        <w:numPr>
          <w:ilvl w:val="12"/>
          <w:numId w:val="0"/>
        </w:numPr>
        <w:spacing w:line="360" w:lineRule="auto"/>
        <w:rPr>
          <w:rFonts w:ascii="Arial" w:hAnsi="Arial" w:cs="Arial"/>
          <w:i/>
          <w:lang w:val="en-GB"/>
        </w:rPr>
      </w:pPr>
    </w:p>
    <w:p w:rsidR="00181D85" w:rsidRPr="00181D85" w:rsidRDefault="00181D85" w:rsidP="00181D85">
      <w:pPr>
        <w:pStyle w:val="Level1"/>
        <w:spacing w:line="360" w:lineRule="auto"/>
        <w:ind w:left="1440" w:hanging="720"/>
        <w:rPr>
          <w:rFonts w:ascii="Arial" w:hAnsi="Arial" w:cs="Arial"/>
          <w:i/>
          <w:lang w:val="en-GB"/>
        </w:rPr>
      </w:pPr>
      <w:r w:rsidRPr="00181D85">
        <w:rPr>
          <w:rFonts w:ascii="Arial" w:hAnsi="Arial" w:cs="Arial"/>
          <w:i/>
          <w:lang w:val="en-GB"/>
        </w:rPr>
        <w:t>[62]</w:t>
      </w:r>
      <w:r w:rsidRPr="00181D85">
        <w:rPr>
          <w:rFonts w:ascii="Arial" w:hAnsi="Arial" w:cs="Arial"/>
          <w:i/>
          <w:lang w:val="en-GB"/>
        </w:rPr>
        <w:tab/>
        <w:t xml:space="preserve">The rule in </w:t>
      </w:r>
      <w:r w:rsidRPr="00181D85">
        <w:rPr>
          <w:rFonts w:ascii="Arial" w:hAnsi="Arial" w:cs="Arial"/>
          <w:i/>
          <w:iCs/>
          <w:lang w:val="en-GB"/>
        </w:rPr>
        <w:t xml:space="preserve">Browne v </w:t>
      </w:r>
      <w:r w:rsidR="009F0D69" w:rsidRPr="00181D85">
        <w:rPr>
          <w:rFonts w:ascii="Arial" w:hAnsi="Arial" w:cs="Arial"/>
          <w:i/>
          <w:iCs/>
          <w:lang w:val="en-GB"/>
        </w:rPr>
        <w:t xml:space="preserve">Dunn </w:t>
      </w:r>
      <w:r w:rsidR="009F0D69" w:rsidRPr="00181D85">
        <w:rPr>
          <w:rFonts w:ascii="Arial" w:hAnsi="Arial" w:cs="Arial"/>
          <w:i/>
          <w:lang w:val="en-GB"/>
        </w:rPr>
        <w:t>is</w:t>
      </w:r>
      <w:r w:rsidRPr="00181D85">
        <w:rPr>
          <w:rFonts w:ascii="Arial" w:hAnsi="Arial" w:cs="Arial"/>
          <w:i/>
          <w:lang w:val="en-GB"/>
        </w:rPr>
        <w:t xml:space="preserve"> not merely one of professional practice but “is essential to fair play and fair dealing with witnesses”.  It is still current in England and has been adopted and followed in substantially the same form in the Commonwealth jurisdictions.</w:t>
      </w:r>
    </w:p>
    <w:p w:rsidR="00181D85" w:rsidRPr="00181D85" w:rsidRDefault="00181D85" w:rsidP="00181D85">
      <w:pPr>
        <w:pStyle w:val="Level1"/>
        <w:numPr>
          <w:ilvl w:val="12"/>
          <w:numId w:val="0"/>
        </w:numPr>
        <w:spacing w:line="360" w:lineRule="auto"/>
        <w:rPr>
          <w:rFonts w:ascii="Arial" w:hAnsi="Arial" w:cs="Arial"/>
          <w:i/>
          <w:lang w:val="en-GB"/>
        </w:rPr>
      </w:pPr>
    </w:p>
    <w:p w:rsidR="00181D85" w:rsidRPr="00181D85" w:rsidRDefault="00181D85" w:rsidP="00181D85">
      <w:pPr>
        <w:pStyle w:val="Level1"/>
        <w:spacing w:line="360" w:lineRule="auto"/>
        <w:ind w:left="1440" w:hanging="720"/>
        <w:rPr>
          <w:rFonts w:ascii="Arial" w:hAnsi="Arial" w:cs="Arial"/>
          <w:i/>
          <w:lang w:val="en-GB"/>
        </w:rPr>
      </w:pPr>
      <w:r w:rsidRPr="00181D85">
        <w:rPr>
          <w:rFonts w:ascii="Arial" w:hAnsi="Arial" w:cs="Arial"/>
          <w:i/>
          <w:lang w:val="en-GB"/>
        </w:rPr>
        <w:t>[63]</w:t>
      </w:r>
      <w:r w:rsidRPr="00181D85">
        <w:rPr>
          <w:rFonts w:ascii="Arial" w:hAnsi="Arial" w:cs="Arial"/>
          <w:i/>
          <w:lang w:val="en-GB"/>
        </w:rPr>
        <w:tab/>
        <w:t xml:space="preserve">The precise nature of the imputation should be made clear to the witness so that it can be met and destroyed, particularly where the imputation relies upon inferences to be drawn from other evidence in the proceedings.  It should be made clear not only that the evidence </w:t>
      </w:r>
      <w:r w:rsidRPr="00181D85">
        <w:rPr>
          <w:rFonts w:ascii="Arial" w:hAnsi="Arial" w:cs="Arial"/>
          <w:i/>
          <w:iCs/>
          <w:lang w:val="en-GB"/>
        </w:rPr>
        <w:t>is</w:t>
      </w:r>
      <w:r w:rsidRPr="00181D85">
        <w:rPr>
          <w:rFonts w:ascii="Arial" w:hAnsi="Arial" w:cs="Arial"/>
          <w:i/>
          <w:lang w:val="en-GB"/>
        </w:rPr>
        <w:t xml:space="preserve"> to be challenged but also </w:t>
      </w:r>
      <w:r w:rsidRPr="00181D85">
        <w:rPr>
          <w:rFonts w:ascii="Arial" w:hAnsi="Arial" w:cs="Arial"/>
          <w:i/>
          <w:iCs/>
          <w:lang w:val="en-GB"/>
        </w:rPr>
        <w:t>how</w:t>
      </w:r>
      <w:r w:rsidRPr="00181D85">
        <w:rPr>
          <w:rFonts w:ascii="Arial" w:hAnsi="Arial" w:cs="Arial"/>
          <w:i/>
          <w:lang w:val="en-GB"/>
        </w:rPr>
        <w:t xml:space="preserve"> it is to be challenged.  This is so because the witness must be given an opportunity to deny the challenge, to call corroborative evidence, to qualify the evidence given by the witness or others and to explain contradictions on which reliance is to be placed.</w:t>
      </w:r>
    </w:p>
    <w:p w:rsidR="00181D85" w:rsidRPr="00181D85" w:rsidRDefault="00181D85" w:rsidP="00181D85">
      <w:pPr>
        <w:pStyle w:val="Level1"/>
        <w:spacing w:line="360" w:lineRule="auto"/>
        <w:rPr>
          <w:rFonts w:ascii="Arial" w:hAnsi="Arial" w:cs="Arial"/>
          <w:i/>
          <w:lang w:val="en-GB"/>
        </w:rPr>
      </w:pPr>
    </w:p>
    <w:p w:rsidR="00181D85" w:rsidRPr="00181D85" w:rsidRDefault="00181D85" w:rsidP="00181D85">
      <w:pPr>
        <w:pStyle w:val="Level1"/>
        <w:spacing w:line="360" w:lineRule="auto"/>
        <w:ind w:left="1440" w:hanging="720"/>
        <w:rPr>
          <w:rFonts w:ascii="Arial" w:hAnsi="Arial" w:cs="Arial"/>
          <w:i/>
          <w:lang w:val="en-GB"/>
        </w:rPr>
      </w:pPr>
      <w:r w:rsidRPr="00181D85">
        <w:rPr>
          <w:rFonts w:ascii="Arial" w:hAnsi="Arial" w:cs="Arial"/>
          <w:i/>
          <w:lang w:val="en-GB"/>
        </w:rPr>
        <w:t>[64]</w:t>
      </w:r>
      <w:r w:rsidRPr="00181D85">
        <w:rPr>
          <w:rFonts w:ascii="Arial" w:hAnsi="Arial" w:cs="Arial"/>
          <w:i/>
          <w:lang w:val="en-GB"/>
        </w:rPr>
        <w:tab/>
        <w:t>The rule is of course not an inflexible one.  Where it is quite clear that prior notice has been given to the witness that his or her honesty is being impeached or such intention is otherwise manifest, it is not necessary to cross-examine on the point, or where “a story told by a witness may have been of so incredible and romancing a nature that the most effective cross-examination would be to ask him to leave the box.”</w:t>
      </w:r>
    </w:p>
    <w:p w:rsidR="00181D85" w:rsidRPr="00181D85" w:rsidRDefault="00181D85" w:rsidP="00181D85">
      <w:pPr>
        <w:pStyle w:val="Level1"/>
        <w:spacing w:line="360" w:lineRule="auto"/>
        <w:rPr>
          <w:rFonts w:ascii="Arial" w:hAnsi="Arial" w:cs="Arial"/>
          <w:i/>
          <w:lang w:val="en-GB"/>
        </w:rPr>
      </w:pPr>
    </w:p>
    <w:p w:rsidR="00181D85" w:rsidRPr="00EA7E85" w:rsidRDefault="00181D85" w:rsidP="00EA7E85">
      <w:pPr>
        <w:pStyle w:val="Level1"/>
        <w:spacing w:line="360" w:lineRule="auto"/>
        <w:ind w:left="1440" w:hanging="731"/>
        <w:rPr>
          <w:rFonts w:ascii="Arial" w:hAnsi="Arial" w:cs="Arial"/>
          <w:i/>
          <w:lang w:val="en-GB"/>
        </w:rPr>
      </w:pPr>
      <w:r w:rsidRPr="00181D85">
        <w:rPr>
          <w:rFonts w:ascii="Arial" w:hAnsi="Arial" w:cs="Arial"/>
          <w:i/>
          <w:lang w:val="en-GB"/>
        </w:rPr>
        <w:t>[65]</w:t>
      </w:r>
      <w:r w:rsidRPr="00181D85">
        <w:rPr>
          <w:rFonts w:ascii="Arial" w:hAnsi="Arial" w:cs="Arial"/>
          <w:i/>
          <w:lang w:val="en-GB"/>
        </w:rPr>
        <w:tab/>
        <w:t>These rules relating to the duty to cross-examine must obviously not be applied in a mechanical way, but always with due regard to all the facts and circumstances of each case.  But their object must not be lost sight of.  Its proper observance is owed to pauper and prince alike…”</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[36]</w:t>
      </w:r>
      <w:r>
        <w:rPr>
          <w:rFonts w:hAnsi="Arial Unicode MS"/>
          <w:u w:val="none"/>
        </w:rPr>
        <w:tab/>
      </w:r>
      <w:r w:rsidR="00EA7E85" w:rsidRPr="00C03185">
        <w:rPr>
          <w:u w:val="none"/>
        </w:rPr>
        <w:t>In my view, the defendants failed to follow this rule. What is left is that Ms Douglas’ evidence that the conditions</w:t>
      </w:r>
      <w:r w:rsidR="00B72BF5" w:rsidRPr="00C03185">
        <w:rPr>
          <w:u w:val="none"/>
        </w:rPr>
        <w:t xml:space="preserve"> (such as they were)</w:t>
      </w:r>
      <w:r w:rsidR="00EA7E85" w:rsidRPr="00C03185">
        <w:rPr>
          <w:u w:val="none"/>
        </w:rPr>
        <w:t xml:space="preserve"> had been </w:t>
      </w:r>
      <w:r w:rsidR="00B72BF5" w:rsidRPr="00C03185">
        <w:rPr>
          <w:u w:val="none"/>
        </w:rPr>
        <w:lastRenderedPageBreak/>
        <w:t>fulfilled</w:t>
      </w:r>
      <w:r w:rsidR="00EA7E85" w:rsidRPr="00C03185">
        <w:rPr>
          <w:u w:val="none"/>
        </w:rPr>
        <w:t xml:space="preserve"> stands and the</w:t>
      </w:r>
      <w:r w:rsidR="00B1357D" w:rsidRPr="00C03185">
        <w:rPr>
          <w:u w:val="none"/>
        </w:rPr>
        <w:t>re is no evidence before me that the</w:t>
      </w:r>
      <w:r w:rsidR="00EA7E85" w:rsidRPr="00C03185">
        <w:rPr>
          <w:u w:val="none"/>
        </w:rPr>
        <w:t xml:space="preserve"> 2</w:t>
      </w:r>
      <w:r w:rsidR="00EA7E85" w:rsidRPr="00C03185">
        <w:rPr>
          <w:u w:val="none"/>
          <w:vertAlign w:val="superscript"/>
        </w:rPr>
        <w:t>nd</w:t>
      </w:r>
      <w:r w:rsidR="00B1357D" w:rsidRPr="00C03185">
        <w:rPr>
          <w:u w:val="none"/>
        </w:rPr>
        <w:t xml:space="preserve"> agreement is void for want of compliance.</w:t>
      </w:r>
    </w:p>
    <w:p w:rsidR="00B1357D" w:rsidRPr="00B1357D" w:rsidRDefault="00B1357D" w:rsidP="00B1357D">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[37]</w:t>
      </w:r>
      <w:r>
        <w:rPr>
          <w:rFonts w:hAnsi="Arial Unicode MS"/>
          <w:u w:val="none"/>
        </w:rPr>
        <w:tab/>
      </w:r>
      <w:r w:rsidR="00E272D4" w:rsidRPr="00C03185">
        <w:rPr>
          <w:u w:val="none"/>
        </w:rPr>
        <w:t>The plaintiff argues that, in any event</w:t>
      </w:r>
      <w:r w:rsidR="00B1357D" w:rsidRPr="00C03185">
        <w:rPr>
          <w:u w:val="none"/>
        </w:rPr>
        <w:t>,</w:t>
      </w:r>
      <w:r w:rsidR="00E272D4" w:rsidRPr="00C03185">
        <w:rPr>
          <w:u w:val="none"/>
        </w:rPr>
        <w:t xml:space="preserve"> the conditions set out are simply terms of the 2</w:t>
      </w:r>
      <w:r w:rsidR="00E272D4" w:rsidRPr="00C03185">
        <w:rPr>
          <w:u w:val="none"/>
          <w:vertAlign w:val="superscript"/>
        </w:rPr>
        <w:t>nd</w:t>
      </w:r>
      <w:r w:rsidR="00E272D4" w:rsidRPr="00C03185">
        <w:rPr>
          <w:u w:val="none"/>
        </w:rPr>
        <w:t xml:space="preserve"> agreement – they are neither </w:t>
      </w:r>
      <w:proofErr w:type="spellStart"/>
      <w:r w:rsidR="00E272D4" w:rsidRPr="00C03185">
        <w:rPr>
          <w:u w:val="none"/>
        </w:rPr>
        <w:t>resolutive</w:t>
      </w:r>
      <w:proofErr w:type="spellEnd"/>
      <w:r w:rsidR="00E272D4" w:rsidRPr="00C03185">
        <w:rPr>
          <w:u w:val="none"/>
        </w:rPr>
        <w:t xml:space="preserve"> nor suspensive. </w:t>
      </w:r>
      <w:r w:rsidR="00B1357D" w:rsidRPr="00C03185">
        <w:rPr>
          <w:u w:val="none"/>
        </w:rPr>
        <w:t>Furthermore</w:t>
      </w:r>
      <w:r w:rsidR="00E272D4" w:rsidRPr="00C03185">
        <w:rPr>
          <w:u w:val="none"/>
        </w:rPr>
        <w:t>, the parties</w:t>
      </w:r>
      <w:r w:rsidR="00B72BF5" w:rsidRPr="00C03185">
        <w:rPr>
          <w:u w:val="none"/>
        </w:rPr>
        <w:t>’</w:t>
      </w:r>
      <w:r w:rsidR="00E272D4" w:rsidRPr="00C03185">
        <w:rPr>
          <w:u w:val="none"/>
        </w:rPr>
        <w:t xml:space="preserve"> conduct subsequent to the conclusion of the agreement is a clear indication that they regarded the </w:t>
      </w:r>
      <w:r w:rsidR="00412EC8" w:rsidRPr="00C03185">
        <w:rPr>
          <w:u w:val="none"/>
        </w:rPr>
        <w:t>2</w:t>
      </w:r>
      <w:r w:rsidR="00412EC8" w:rsidRPr="00C03185">
        <w:rPr>
          <w:u w:val="none"/>
          <w:vertAlign w:val="superscript"/>
        </w:rPr>
        <w:t>nd</w:t>
      </w:r>
      <w:r w:rsidR="00412EC8" w:rsidRPr="00C03185">
        <w:rPr>
          <w:u w:val="none"/>
        </w:rPr>
        <w:t xml:space="preserve"> </w:t>
      </w:r>
      <w:r w:rsidR="00E272D4" w:rsidRPr="00C03185">
        <w:rPr>
          <w:u w:val="none"/>
        </w:rPr>
        <w:t>agreement as binding and enforceable</w:t>
      </w:r>
      <w:r w:rsidR="00E272D4">
        <w:rPr>
          <w:rStyle w:val="FootnoteReference"/>
          <w:u w:val="none"/>
        </w:rPr>
        <w:footnoteReference w:id="31"/>
      </w:r>
      <w:r w:rsidR="003E1F68" w:rsidRPr="00C03185">
        <w:rPr>
          <w:u w:val="none"/>
        </w:rPr>
        <w:t xml:space="preserve"> - I agree.</w:t>
      </w:r>
    </w:p>
    <w:p w:rsidR="00412EC8" w:rsidRPr="00412EC8" w:rsidRDefault="00412EC8" w:rsidP="00412EC8">
      <w:pPr>
        <w:pStyle w:val="ListParagraph"/>
        <w:rPr>
          <w:u w:val="none"/>
        </w:rPr>
      </w:pPr>
    </w:p>
    <w:p w:rsidR="00412EC8" w:rsidRPr="00412EC8" w:rsidRDefault="00412EC8" w:rsidP="00412EC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b/>
          <w:u w:val="none"/>
        </w:rPr>
      </w:pPr>
      <w:r>
        <w:rPr>
          <w:b/>
          <w:u w:val="none"/>
        </w:rPr>
        <w:t xml:space="preserve">THE VOID </w:t>
      </w:r>
      <w:r>
        <w:rPr>
          <w:b/>
          <w:i/>
          <w:u w:val="none"/>
        </w:rPr>
        <w:t>AB INITIO</w:t>
      </w:r>
      <w:r>
        <w:rPr>
          <w:b/>
          <w:u w:val="none"/>
        </w:rPr>
        <w:t xml:space="preserve"> ARGUMENT</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[38]</w:t>
      </w:r>
      <w:r>
        <w:rPr>
          <w:rFonts w:hAnsi="Arial Unicode MS"/>
          <w:u w:val="none"/>
        </w:rPr>
        <w:tab/>
      </w:r>
      <w:r w:rsidR="003E1F68" w:rsidRPr="00C03185">
        <w:rPr>
          <w:u w:val="none"/>
        </w:rPr>
        <w:t>As regards the fact that “the agreement”</w:t>
      </w:r>
      <w:r w:rsidR="003E1F68">
        <w:rPr>
          <w:rStyle w:val="FootnoteReference"/>
          <w:u w:val="none"/>
        </w:rPr>
        <w:footnoteReference w:id="32"/>
      </w:r>
      <w:r w:rsidR="003E1F68" w:rsidRPr="00C03185">
        <w:rPr>
          <w:u w:val="none"/>
        </w:rPr>
        <w:t xml:space="preserve"> had to be signed by the insolvent by 29 October 2012, the defendants argument is that Ms Douglas’ evidence was </w:t>
      </w:r>
      <w:r w:rsidR="004F6FCF" w:rsidRPr="00C03185">
        <w:rPr>
          <w:u w:val="none"/>
        </w:rPr>
        <w:t xml:space="preserve">that a credit agreement between plaintiff and the insolvent only came into being once the latter signed the quotation. </w:t>
      </w:r>
      <w:r w:rsidR="00025378" w:rsidRPr="00C03185">
        <w:rPr>
          <w:u w:val="none"/>
        </w:rPr>
        <w:t>According to the documentation, that did not occur.</w:t>
      </w:r>
    </w:p>
    <w:p w:rsidR="00025378" w:rsidRPr="00025378" w:rsidRDefault="00025378" w:rsidP="00025378">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[39]</w:t>
      </w:r>
      <w:r>
        <w:rPr>
          <w:rFonts w:hAnsi="Arial Unicode MS"/>
          <w:u w:val="none"/>
        </w:rPr>
        <w:tab/>
      </w:r>
      <w:r w:rsidR="00724759" w:rsidRPr="00C03185">
        <w:rPr>
          <w:u w:val="none"/>
        </w:rPr>
        <w:t xml:space="preserve">Plaintiff referred me to the fact that in the sequestration proceedings brought by plaintiff against the insolvent under case number 26088/2014, </w:t>
      </w:r>
      <w:proofErr w:type="spellStart"/>
      <w:r w:rsidR="00724759" w:rsidRPr="00C03185">
        <w:rPr>
          <w:u w:val="none"/>
        </w:rPr>
        <w:t>Wepener</w:t>
      </w:r>
      <w:proofErr w:type="spellEnd"/>
      <w:r w:rsidR="00724759" w:rsidRPr="00C03185">
        <w:rPr>
          <w:u w:val="none"/>
        </w:rPr>
        <w:t xml:space="preserve"> J stated:</w:t>
      </w:r>
    </w:p>
    <w:p w:rsidR="00724759" w:rsidRPr="00365399" w:rsidRDefault="00B1357D" w:rsidP="00D40FE1">
      <w:pPr>
        <w:widowControl w:val="0"/>
        <w:tabs>
          <w:tab w:val="left" w:pos="-1099"/>
          <w:tab w:val="left" w:pos="-720"/>
          <w:tab w:val="left" w:pos="709"/>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40" w:hanging="731"/>
        <w:jc w:val="both"/>
        <w:rPr>
          <w:i/>
          <w:u w:val="none"/>
        </w:rPr>
      </w:pPr>
      <w:r>
        <w:rPr>
          <w:i/>
          <w:u w:val="none"/>
        </w:rPr>
        <w:t>“[7]</w:t>
      </w:r>
      <w:r>
        <w:rPr>
          <w:i/>
          <w:u w:val="none"/>
        </w:rPr>
        <w:tab/>
        <w:t>It</w:t>
      </w:r>
      <w:r w:rsidR="00724759" w:rsidRPr="00365399">
        <w:rPr>
          <w:i/>
          <w:u w:val="none"/>
        </w:rPr>
        <w:t xml:space="preserve"> was common cause and the respondent so accepted that save for the defence that the applicant had granted credit to the respondent recklessly</w:t>
      </w:r>
      <w:r>
        <w:rPr>
          <w:i/>
          <w:u w:val="none"/>
        </w:rPr>
        <w:t>,</w:t>
      </w:r>
      <w:r w:rsidR="00724759" w:rsidRPr="00365399">
        <w:rPr>
          <w:i/>
          <w:u w:val="none"/>
        </w:rPr>
        <w:t xml:space="preserve"> the applicant complied with all other requirements for an order for the respondent’s sequestration</w:t>
      </w:r>
      <w:r w:rsidR="00D40FE1" w:rsidRPr="00365399">
        <w:rPr>
          <w:i/>
          <w:u w:val="none"/>
        </w:rPr>
        <w:t xml:space="preserve">. The </w:t>
      </w:r>
      <w:r w:rsidR="00D40FE1" w:rsidRPr="00365399">
        <w:rPr>
          <w:i/>
          <w:u w:val="none"/>
        </w:rPr>
        <w:lastRenderedPageBreak/>
        <w:t>indebtedness and the fact that the respondent</w:t>
      </w:r>
      <w:r>
        <w:rPr>
          <w:i/>
          <w:u w:val="none"/>
        </w:rPr>
        <w:t xml:space="preserve"> is insolvent if the applicant</w:t>
      </w:r>
      <w:r w:rsidR="00D40FE1" w:rsidRPr="00365399">
        <w:rPr>
          <w:i/>
          <w:u w:val="none"/>
        </w:rPr>
        <w:t xml:space="preserve"> has an enforceable claim are common cause. The former denials of those issues have been abandoned.”</w:t>
      </w:r>
    </w:p>
    <w:p w:rsidR="004F10DF" w:rsidRPr="004F10DF" w:rsidRDefault="004F10DF" w:rsidP="004F10DF">
      <w:pPr>
        <w:pStyle w:val="ListParagraph"/>
        <w:rPr>
          <w:u w:val="none"/>
        </w:rPr>
      </w:pPr>
    </w:p>
    <w:p w:rsidR="001D4F5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[40]</w:t>
      </w:r>
      <w:r>
        <w:rPr>
          <w:rFonts w:hAnsi="Arial Unicode MS"/>
          <w:u w:val="none"/>
        </w:rPr>
        <w:tab/>
      </w:r>
      <w:r w:rsidR="001D4F5F" w:rsidRPr="00C03185">
        <w:rPr>
          <w:u w:val="none"/>
        </w:rPr>
        <w:t>Whilst this is important, even more so is the preceding paragraph of that judgment which states:</w:t>
      </w:r>
    </w:p>
    <w:p w:rsidR="001D4F5F" w:rsidRPr="00025378" w:rsidRDefault="001D4F5F" w:rsidP="00544058">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40" w:hanging="731"/>
        <w:jc w:val="both"/>
        <w:rPr>
          <w:u w:val="none"/>
        </w:rPr>
      </w:pPr>
      <w:r w:rsidRPr="00544058">
        <w:rPr>
          <w:i/>
          <w:u w:val="none"/>
        </w:rPr>
        <w:t>“[6]</w:t>
      </w:r>
      <w:r w:rsidRPr="00544058">
        <w:rPr>
          <w:i/>
          <w:u w:val="none"/>
        </w:rPr>
        <w:tab/>
        <w:t xml:space="preserve">I need not further dwell upon all the facts leading up to the credit being granted to the respondent or his particular breaches of the agreement </w:t>
      </w:r>
      <w:r w:rsidRPr="00025378">
        <w:rPr>
          <w:i/>
        </w:rPr>
        <w:t>as the respondent’s counsel advised that the respondent relies only on the ‘technical’ defence</w:t>
      </w:r>
      <w:r w:rsidR="00B060FB" w:rsidRPr="00025378">
        <w:rPr>
          <w:i/>
        </w:rPr>
        <w:t>,</w:t>
      </w:r>
      <w:r w:rsidRPr="00025378">
        <w:rPr>
          <w:i/>
        </w:rPr>
        <w:t xml:space="preserve"> namely that the applicant acted recklessly when it granted </w:t>
      </w:r>
      <w:r w:rsidR="004D0602" w:rsidRPr="00025378">
        <w:rPr>
          <w:i/>
        </w:rPr>
        <w:t>t</w:t>
      </w:r>
      <w:r w:rsidRPr="00025378">
        <w:rPr>
          <w:i/>
        </w:rPr>
        <w:t xml:space="preserve">he respondent the credit </w:t>
      </w:r>
      <w:r w:rsidRPr="00544058">
        <w:rPr>
          <w:i/>
          <w:u w:val="none"/>
        </w:rPr>
        <w:t xml:space="preserve">with the result that the agreement is enforceable pursuant to the provisions </w:t>
      </w:r>
      <w:r w:rsidR="00B1357D">
        <w:rPr>
          <w:i/>
          <w:u w:val="none"/>
        </w:rPr>
        <w:t>of the NC</w:t>
      </w:r>
      <w:r w:rsidR="00544058" w:rsidRPr="00544058">
        <w:rPr>
          <w:i/>
          <w:u w:val="none"/>
        </w:rPr>
        <w:t>A.</w:t>
      </w:r>
      <w:r w:rsidR="00B060FB">
        <w:rPr>
          <w:i/>
          <w:u w:val="none"/>
        </w:rPr>
        <w:t xml:space="preserve"> (sic)</w:t>
      </w:r>
      <w:r w:rsidR="00544058" w:rsidRPr="00544058">
        <w:rPr>
          <w:i/>
          <w:u w:val="none"/>
        </w:rPr>
        <w:t xml:space="preserve"> This, in turn,</w:t>
      </w:r>
      <w:r w:rsidR="00B1357D">
        <w:rPr>
          <w:i/>
          <w:u w:val="none"/>
        </w:rPr>
        <w:t xml:space="preserve"> would result in the applicant</w:t>
      </w:r>
      <w:r w:rsidR="00544058" w:rsidRPr="00544058">
        <w:rPr>
          <w:i/>
          <w:u w:val="none"/>
        </w:rPr>
        <w:t xml:space="preserve"> not having locus </w:t>
      </w:r>
      <w:proofErr w:type="spellStart"/>
      <w:r w:rsidR="00544058" w:rsidRPr="00544058">
        <w:rPr>
          <w:i/>
          <w:u w:val="none"/>
        </w:rPr>
        <w:t>standi</w:t>
      </w:r>
      <w:proofErr w:type="spellEnd"/>
      <w:r w:rsidR="00544058" w:rsidRPr="00544058">
        <w:rPr>
          <w:i/>
          <w:u w:val="none"/>
        </w:rPr>
        <w:t xml:space="preserve"> as a creditor as it has no enforceable debt against the respondent.”</w:t>
      </w:r>
      <w:r w:rsidR="00025378">
        <w:rPr>
          <w:u w:val="none"/>
        </w:rPr>
        <w:t xml:space="preserve"> (my emphasis)</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[41]</w:t>
      </w:r>
      <w:r>
        <w:rPr>
          <w:rFonts w:hAnsi="Arial Unicode MS"/>
          <w:u w:val="none"/>
        </w:rPr>
        <w:tab/>
      </w:r>
      <w:r w:rsidR="00D5429B" w:rsidRPr="00C03185">
        <w:rPr>
          <w:u w:val="none"/>
        </w:rPr>
        <w:t xml:space="preserve">Mr van </w:t>
      </w:r>
      <w:proofErr w:type="spellStart"/>
      <w:r w:rsidR="00D5429B" w:rsidRPr="00C03185">
        <w:rPr>
          <w:u w:val="none"/>
        </w:rPr>
        <w:t>Nieuwenhuizen</w:t>
      </w:r>
      <w:proofErr w:type="spellEnd"/>
      <w:r w:rsidR="00D5429B" w:rsidRPr="00C03185">
        <w:rPr>
          <w:u w:val="none"/>
        </w:rPr>
        <w:t xml:space="preserve"> argued that this court is not bound by the decisions of Bam J and </w:t>
      </w:r>
      <w:proofErr w:type="spellStart"/>
      <w:r w:rsidR="00D5429B" w:rsidRPr="00C03185">
        <w:rPr>
          <w:u w:val="none"/>
        </w:rPr>
        <w:t>Wepener</w:t>
      </w:r>
      <w:proofErr w:type="spellEnd"/>
      <w:r w:rsidR="00D5429B" w:rsidRPr="00C03185">
        <w:rPr>
          <w:u w:val="none"/>
        </w:rPr>
        <w:t xml:space="preserve"> J </w:t>
      </w:r>
      <w:r w:rsidR="00B060FB" w:rsidRPr="00C03185">
        <w:rPr>
          <w:u w:val="none"/>
        </w:rPr>
        <w:t xml:space="preserve">when </w:t>
      </w:r>
      <w:r w:rsidR="00D5429B" w:rsidRPr="00C03185">
        <w:rPr>
          <w:u w:val="none"/>
        </w:rPr>
        <w:t xml:space="preserve">granting the provisional and final sequestration of the insolvent per the rule espoused in </w:t>
      </w:r>
      <w:proofErr w:type="spellStart"/>
      <w:r w:rsidR="00D5429B" w:rsidRPr="00C03185">
        <w:rPr>
          <w:b/>
          <w:u w:val="none"/>
        </w:rPr>
        <w:t>Hollington</w:t>
      </w:r>
      <w:proofErr w:type="spellEnd"/>
      <w:r w:rsidR="00D5429B" w:rsidRPr="00C03185">
        <w:rPr>
          <w:b/>
          <w:u w:val="none"/>
        </w:rPr>
        <w:t xml:space="preserve"> v F </w:t>
      </w:r>
      <w:proofErr w:type="spellStart"/>
      <w:r w:rsidR="00D5429B" w:rsidRPr="00C03185">
        <w:rPr>
          <w:b/>
          <w:u w:val="none"/>
        </w:rPr>
        <w:t>Hewthorn</w:t>
      </w:r>
      <w:proofErr w:type="spellEnd"/>
      <w:r w:rsidR="00D5429B" w:rsidRPr="00C03185">
        <w:rPr>
          <w:b/>
          <w:u w:val="none"/>
        </w:rPr>
        <w:t xml:space="preserve"> &amp; Co Ltd</w:t>
      </w:r>
      <w:r w:rsidR="00D5429B">
        <w:rPr>
          <w:rStyle w:val="FootnoteReference"/>
          <w:u w:val="none"/>
        </w:rPr>
        <w:footnoteReference w:id="33"/>
      </w:r>
      <w:r w:rsidR="002933F2" w:rsidRPr="00C03185">
        <w:rPr>
          <w:u w:val="none"/>
        </w:rPr>
        <w:t xml:space="preserve"> where it was stated that a </w:t>
      </w:r>
      <w:r w:rsidR="00A3732B" w:rsidRPr="00C03185">
        <w:rPr>
          <w:u w:val="none"/>
        </w:rPr>
        <w:t>criminal conviction may not be used as evidence in a subsequent civil trial of the fact that the accused had indeed committed the crime of which he was convicted. He referred t</w:t>
      </w:r>
      <w:r w:rsidR="00DF1F04" w:rsidRPr="00C03185">
        <w:rPr>
          <w:u w:val="none"/>
        </w:rPr>
        <w:t>o</w:t>
      </w:r>
      <w:r w:rsidR="00A3732B" w:rsidRPr="00C03185">
        <w:rPr>
          <w:u w:val="none"/>
        </w:rPr>
        <w:t xml:space="preserve"> the case of </w:t>
      </w:r>
      <w:r w:rsidR="00A3732B" w:rsidRPr="00C03185">
        <w:rPr>
          <w:b/>
          <w:u w:val="none"/>
        </w:rPr>
        <w:t>Graham v Park Mews Body Corp &amp; Another</w:t>
      </w:r>
      <w:r w:rsidR="00A3732B">
        <w:rPr>
          <w:rStyle w:val="FootnoteReference"/>
          <w:u w:val="none"/>
        </w:rPr>
        <w:footnoteReference w:id="34"/>
      </w:r>
      <w:r w:rsidR="00DF1F04" w:rsidRPr="00C03185">
        <w:rPr>
          <w:u w:val="none"/>
        </w:rPr>
        <w:t xml:space="preserve"> where Henley J</w:t>
      </w:r>
      <w:r w:rsidR="00713AED" w:rsidRPr="00C03185">
        <w:rPr>
          <w:u w:val="none"/>
        </w:rPr>
        <w:t xml:space="preserve"> stated:</w:t>
      </w:r>
    </w:p>
    <w:p w:rsidR="00713AED" w:rsidRPr="00BB3013" w:rsidRDefault="00713AED" w:rsidP="00E65FCC">
      <w:pPr>
        <w:pStyle w:val="western"/>
        <w:shd w:val="clear" w:color="auto" w:fill="FFFFFF"/>
        <w:spacing w:before="144" w:beforeAutospacing="0" w:after="288" w:afterAutospacing="0" w:line="360" w:lineRule="auto"/>
        <w:ind w:left="1440" w:hanging="731"/>
        <w:jc w:val="both"/>
        <w:rPr>
          <w:rFonts w:ascii="Arial" w:hAnsi="Arial" w:cs="Arial"/>
          <w:i/>
        </w:rPr>
      </w:pPr>
      <w:r w:rsidRPr="00BB3013">
        <w:rPr>
          <w:rFonts w:ascii="Arial" w:hAnsi="Arial" w:cs="Arial"/>
          <w:i/>
        </w:rPr>
        <w:lastRenderedPageBreak/>
        <w:t>“[5</w:t>
      </w:r>
      <w:r w:rsidR="005C723C" w:rsidRPr="00BB3013">
        <w:rPr>
          <w:rFonts w:ascii="Arial" w:hAnsi="Arial" w:cs="Arial"/>
          <w:i/>
        </w:rPr>
        <w:t>8</w:t>
      </w:r>
      <w:r w:rsidRPr="00BB3013">
        <w:rPr>
          <w:rFonts w:ascii="Arial" w:hAnsi="Arial" w:cs="Arial"/>
          <w:i/>
        </w:rPr>
        <w:t xml:space="preserve">] </w:t>
      </w:r>
      <w:r w:rsidR="005C723C" w:rsidRPr="00BB3013">
        <w:rPr>
          <w:rFonts w:ascii="Arial" w:hAnsi="Arial" w:cs="Arial"/>
          <w:i/>
        </w:rPr>
        <w:tab/>
        <w:t>I</w:t>
      </w:r>
      <w:r w:rsidRPr="00BB3013">
        <w:rPr>
          <w:rFonts w:ascii="Arial" w:hAnsi="Arial" w:cs="Arial"/>
          <w:i/>
        </w:rPr>
        <w:t>n these proceedings, the applicant, after having been successful in the arbitration proceedings, relied on the findings of the arbitrator and the evidence used in those proceedings, without presenting the evidence independently as a foundation upon which to build his case.</w:t>
      </w:r>
      <w:r w:rsidR="006C76E1" w:rsidRPr="00BB3013">
        <w:rPr>
          <w:rFonts w:ascii="Arial" w:hAnsi="Arial" w:cs="Arial"/>
          <w:i/>
        </w:rPr>
        <w:t xml:space="preserve"> </w:t>
      </w:r>
      <w:r w:rsidRPr="00BB3013">
        <w:rPr>
          <w:rFonts w:ascii="Arial" w:hAnsi="Arial" w:cs="Arial"/>
          <w:i/>
        </w:rPr>
        <w:t>The opinions of the experts who testified in the arbitration proceedings, especially that of Mr Mitchell, as reflected in his report, that “In the opinion of the building Consultant this building does not appear to be well maintained nor frequently maintained”, is inadmissible as evidence.</w:t>
      </w:r>
    </w:p>
    <w:p w:rsidR="00713AED" w:rsidRPr="00BB3013" w:rsidRDefault="00713AED" w:rsidP="00E65FCC">
      <w:pPr>
        <w:pStyle w:val="western"/>
        <w:shd w:val="clear" w:color="auto" w:fill="FFFFFF"/>
        <w:spacing w:before="144" w:beforeAutospacing="0" w:after="288" w:afterAutospacing="0" w:line="360" w:lineRule="auto"/>
        <w:ind w:left="1440" w:hanging="731"/>
        <w:jc w:val="both"/>
        <w:rPr>
          <w:rFonts w:ascii="Arial" w:hAnsi="Arial" w:cs="Arial"/>
          <w:i/>
        </w:rPr>
      </w:pPr>
      <w:r w:rsidRPr="00BB3013">
        <w:rPr>
          <w:rFonts w:ascii="Arial" w:hAnsi="Arial" w:cs="Arial"/>
          <w:i/>
        </w:rPr>
        <w:t xml:space="preserve">[59] </w:t>
      </w:r>
      <w:r w:rsidR="005C723C" w:rsidRPr="00BB3013">
        <w:rPr>
          <w:rFonts w:ascii="Arial" w:hAnsi="Arial" w:cs="Arial"/>
          <w:i/>
        </w:rPr>
        <w:tab/>
      </w:r>
      <w:r w:rsidRPr="00BB3013">
        <w:rPr>
          <w:rFonts w:ascii="Arial" w:hAnsi="Arial" w:cs="Arial"/>
          <w:i/>
        </w:rPr>
        <w:t>The rule laid down in </w:t>
      </w:r>
      <w:proofErr w:type="spellStart"/>
      <w:r w:rsidRPr="00BB3013">
        <w:rPr>
          <w:rFonts w:ascii="Arial" w:hAnsi="Arial" w:cs="Arial"/>
          <w:bCs/>
          <w:i/>
        </w:rPr>
        <w:t>Hollington</w:t>
      </w:r>
      <w:proofErr w:type="spellEnd"/>
      <w:r w:rsidRPr="00BB3013">
        <w:rPr>
          <w:rFonts w:ascii="Arial" w:hAnsi="Arial" w:cs="Arial"/>
          <w:bCs/>
          <w:i/>
        </w:rPr>
        <w:t xml:space="preserve"> v F </w:t>
      </w:r>
      <w:proofErr w:type="spellStart"/>
      <w:r w:rsidRPr="00BB3013">
        <w:rPr>
          <w:rFonts w:ascii="Arial" w:hAnsi="Arial" w:cs="Arial"/>
          <w:bCs/>
          <w:i/>
        </w:rPr>
        <w:t>Hewthorn</w:t>
      </w:r>
      <w:proofErr w:type="spellEnd"/>
      <w:r w:rsidRPr="00BB3013">
        <w:rPr>
          <w:rFonts w:ascii="Arial" w:hAnsi="Arial" w:cs="Arial"/>
          <w:bCs/>
          <w:i/>
        </w:rPr>
        <w:t xml:space="preserve"> (Pty) Ltd </w:t>
      </w:r>
      <w:r w:rsidR="005C723C" w:rsidRPr="00BB3013">
        <w:rPr>
          <w:rFonts w:ascii="Arial" w:hAnsi="Arial" w:cs="Arial"/>
          <w:bCs/>
          <w:i/>
        </w:rPr>
        <w:t>(</w:t>
      </w:r>
      <w:hyperlink r:id="rId14" w:tooltip="View LawCiteRecord" w:history="1">
        <w:r w:rsidRPr="00BB3013">
          <w:rPr>
            <w:rStyle w:val="Hyperlink"/>
            <w:rFonts w:ascii="Arial" w:hAnsi="Arial" w:cs="Arial"/>
            <w:bCs/>
            <w:i/>
            <w:color w:val="auto"/>
            <w:u w:val="none"/>
          </w:rPr>
          <w:t xml:space="preserve">[1943], 2 </w:t>
        </w:r>
        <w:r w:rsidR="005C723C" w:rsidRPr="00BB3013">
          <w:rPr>
            <w:rStyle w:val="Hyperlink"/>
            <w:rFonts w:ascii="Arial" w:hAnsi="Arial" w:cs="Arial"/>
            <w:bCs/>
            <w:i/>
            <w:color w:val="auto"/>
            <w:u w:val="none"/>
          </w:rPr>
          <w:t>All</w:t>
        </w:r>
        <w:r w:rsidRPr="00BB3013">
          <w:rPr>
            <w:rStyle w:val="Hyperlink"/>
            <w:rFonts w:ascii="Arial" w:hAnsi="Arial" w:cs="Arial"/>
            <w:bCs/>
            <w:i/>
            <w:color w:val="auto"/>
            <w:u w:val="none"/>
          </w:rPr>
          <w:t xml:space="preserve"> ER 35</w:t>
        </w:r>
      </w:hyperlink>
      <w:r w:rsidR="005C723C" w:rsidRPr="00BB3013">
        <w:rPr>
          <w:rFonts w:ascii="Arial" w:hAnsi="Arial" w:cs="Arial"/>
          <w:i/>
        </w:rPr>
        <w:t>)</w:t>
      </w:r>
      <w:r w:rsidRPr="00BB3013">
        <w:rPr>
          <w:rFonts w:ascii="Arial" w:hAnsi="Arial" w:cs="Arial"/>
          <w:i/>
        </w:rPr>
        <w:t> provides that the conviction of an accused in a criminal court cannot be used as evidence in a subsequent civil trial of the fact that the accused had indeed committed the crime of which he was convicted. Schmidt at 21-3 Law of Evidence states that</w:t>
      </w:r>
      <w:r w:rsidR="005C723C" w:rsidRPr="00BB3013">
        <w:rPr>
          <w:rFonts w:ascii="Arial" w:hAnsi="Arial" w:cs="Arial"/>
          <w:i/>
        </w:rPr>
        <w:t xml:space="preserve"> ‘</w:t>
      </w:r>
      <w:proofErr w:type="spellStart"/>
      <w:r w:rsidRPr="00BB3013">
        <w:rPr>
          <w:rFonts w:ascii="Arial" w:hAnsi="Arial" w:cs="Arial"/>
          <w:i/>
        </w:rPr>
        <w:t>Hollington</w:t>
      </w:r>
      <w:proofErr w:type="spellEnd"/>
      <w:r w:rsidRPr="00BB3013">
        <w:rPr>
          <w:rFonts w:ascii="Arial" w:hAnsi="Arial" w:cs="Arial"/>
          <w:i/>
        </w:rPr>
        <w:t xml:space="preserve"> is therefore authority for the view that a finding in a criminal case cannot in a subsequent civil case serve as evidence of a fact that the crimin</w:t>
      </w:r>
      <w:r w:rsidR="005C723C" w:rsidRPr="00BB3013">
        <w:rPr>
          <w:rFonts w:ascii="Arial" w:hAnsi="Arial" w:cs="Arial"/>
          <w:i/>
        </w:rPr>
        <w:t>al had considered to be proved.’</w:t>
      </w:r>
    </w:p>
    <w:p w:rsidR="00713AED" w:rsidRPr="00BB3013" w:rsidRDefault="00713AED" w:rsidP="00E65FCC">
      <w:pPr>
        <w:pStyle w:val="western"/>
        <w:shd w:val="clear" w:color="auto" w:fill="FFFFFF"/>
        <w:spacing w:before="144" w:beforeAutospacing="0" w:after="288" w:afterAutospacing="0" w:line="360" w:lineRule="auto"/>
        <w:ind w:left="1440" w:hanging="731"/>
        <w:jc w:val="both"/>
        <w:rPr>
          <w:rFonts w:ascii="Arial" w:hAnsi="Arial" w:cs="Arial"/>
          <w:i/>
        </w:rPr>
      </w:pPr>
      <w:r w:rsidRPr="00BB3013">
        <w:rPr>
          <w:rFonts w:ascii="Arial" w:hAnsi="Arial" w:cs="Arial"/>
          <w:i/>
        </w:rPr>
        <w:t xml:space="preserve">[60] </w:t>
      </w:r>
      <w:r w:rsidR="005C723C" w:rsidRPr="00BB3013">
        <w:rPr>
          <w:rFonts w:ascii="Arial" w:hAnsi="Arial" w:cs="Arial"/>
          <w:i/>
        </w:rPr>
        <w:tab/>
      </w:r>
      <w:r w:rsidRPr="00BB3013">
        <w:rPr>
          <w:rFonts w:ascii="Arial" w:hAnsi="Arial" w:cs="Arial"/>
          <w:i/>
        </w:rPr>
        <w:t>I am of the view that such rule is applicable in the present matter, even though the previous proceedings were not a criminal trial, but arbitration proceedings.</w:t>
      </w:r>
      <w:r w:rsidR="005C723C" w:rsidRPr="00BB3013">
        <w:rPr>
          <w:rFonts w:ascii="Arial" w:hAnsi="Arial" w:cs="Arial"/>
          <w:i/>
        </w:rPr>
        <w:t xml:space="preserve"> </w:t>
      </w:r>
      <w:r w:rsidRPr="00BB3013">
        <w:rPr>
          <w:rFonts w:ascii="Arial" w:hAnsi="Arial" w:cs="Arial"/>
          <w:i/>
        </w:rPr>
        <w:t>There seems to be a general rule that findings of another tribunal cannot be used to prove a fact in a subsequent tribunal. I also see no logical reason why the application of this rule cannot be extended to the findings, orders and awards of other tribunals, so as to exclude the opinion of triers of fact in these proceedings in civil or criminal matters.</w:t>
      </w:r>
      <w:r w:rsidR="00B060FB">
        <w:rPr>
          <w:rFonts w:ascii="Arial" w:hAnsi="Arial" w:cs="Arial"/>
          <w:i/>
        </w:rPr>
        <w:t>”</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[42]</w:t>
      </w:r>
      <w:r>
        <w:rPr>
          <w:rFonts w:hAnsi="Arial Unicode MS"/>
          <w:u w:val="none"/>
        </w:rPr>
        <w:tab/>
      </w:r>
      <w:r w:rsidR="000A04F8" w:rsidRPr="00C03185">
        <w:rPr>
          <w:u w:val="none"/>
        </w:rPr>
        <w:t>But whilst</w:t>
      </w:r>
      <w:r w:rsidR="00543426" w:rsidRPr="00C03185">
        <w:rPr>
          <w:u w:val="none"/>
        </w:rPr>
        <w:t xml:space="preserve"> this may be so, we are not</w:t>
      </w:r>
      <w:r w:rsidR="000A04F8" w:rsidRPr="00C03185">
        <w:rPr>
          <w:u w:val="none"/>
        </w:rPr>
        <w:t xml:space="preserve"> dealing</w:t>
      </w:r>
      <w:r w:rsidR="00543426" w:rsidRPr="00C03185">
        <w:rPr>
          <w:u w:val="none"/>
        </w:rPr>
        <w:t xml:space="preserve"> only</w:t>
      </w:r>
      <w:r w:rsidR="000A04F8" w:rsidRPr="00C03185">
        <w:rPr>
          <w:u w:val="none"/>
        </w:rPr>
        <w:t xml:space="preserve"> with the findings of the court, there are also the affidavits of the insolvent </w:t>
      </w:r>
      <w:r w:rsidR="00612783" w:rsidRPr="00C03185">
        <w:rPr>
          <w:u w:val="none"/>
        </w:rPr>
        <w:t xml:space="preserve">that </w:t>
      </w:r>
      <w:r w:rsidR="000A04F8" w:rsidRPr="00C03185">
        <w:rPr>
          <w:u w:val="none"/>
        </w:rPr>
        <w:t>have been put up – and nowhere in these has the underlying causa for the sequestration proceedings (</w:t>
      </w:r>
      <w:proofErr w:type="spellStart"/>
      <w:r w:rsidR="000A04F8" w:rsidRPr="00C03185">
        <w:rPr>
          <w:u w:val="none"/>
        </w:rPr>
        <w:t>ie</w:t>
      </w:r>
      <w:proofErr w:type="spellEnd"/>
      <w:r w:rsidR="000A04F8" w:rsidRPr="00C03185">
        <w:rPr>
          <w:u w:val="none"/>
        </w:rPr>
        <w:t xml:space="preserve"> the various agreements) been disputed. </w:t>
      </w:r>
      <w:r w:rsidR="000A04F8" w:rsidRPr="00C03185">
        <w:rPr>
          <w:u w:val="none"/>
        </w:rPr>
        <w:lastRenderedPageBreak/>
        <w:t xml:space="preserve">The only dispute was whether the credit </w:t>
      </w:r>
      <w:r w:rsidR="00E771BE" w:rsidRPr="00C03185">
        <w:rPr>
          <w:u w:val="none"/>
        </w:rPr>
        <w:t xml:space="preserve">advanced constituted </w:t>
      </w:r>
      <w:r w:rsidR="000A04F8" w:rsidRPr="00C03185">
        <w:rPr>
          <w:u w:val="none"/>
        </w:rPr>
        <w:t>reckless lending for purposes of the NCA.</w:t>
      </w:r>
    </w:p>
    <w:p w:rsidR="004F10DF" w:rsidRPr="004F10DF" w:rsidRDefault="004F10DF" w:rsidP="004F10DF">
      <w:pPr>
        <w:pStyle w:val="ListParagraph"/>
        <w:rPr>
          <w:u w:val="none"/>
        </w:rPr>
      </w:pPr>
    </w:p>
    <w:p w:rsidR="009E258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sidRPr="00C55266">
        <w:rPr>
          <w:rFonts w:hAnsi="Arial Unicode MS"/>
          <w:u w:val="none"/>
        </w:rPr>
        <w:t>[43]</w:t>
      </w:r>
      <w:r w:rsidRPr="00C55266">
        <w:rPr>
          <w:rFonts w:hAnsi="Arial Unicode MS"/>
          <w:u w:val="none"/>
        </w:rPr>
        <w:tab/>
      </w:r>
      <w:r w:rsidR="004F1B9D" w:rsidRPr="00C03185">
        <w:rPr>
          <w:u w:val="none"/>
        </w:rPr>
        <w:t>This being so</w:t>
      </w:r>
      <w:r w:rsidR="00543426" w:rsidRPr="00C03185">
        <w:rPr>
          <w:u w:val="none"/>
        </w:rPr>
        <w:t>,</w:t>
      </w:r>
      <w:r w:rsidR="004F1B9D" w:rsidRPr="00C03185">
        <w:rPr>
          <w:u w:val="none"/>
        </w:rPr>
        <w:t xml:space="preserve"> argues Mr van der Merwe, it ill-behoves the defendants to challenge an agreement to which they were not a party</w:t>
      </w:r>
      <w:r w:rsidR="00530CA1">
        <w:rPr>
          <w:rStyle w:val="FootnoteReference"/>
          <w:u w:val="none"/>
        </w:rPr>
        <w:footnoteReference w:id="35"/>
      </w:r>
      <w:r w:rsidR="00FB7F52" w:rsidRPr="00C03185">
        <w:rPr>
          <w:u w:val="none"/>
        </w:rPr>
        <w:t xml:space="preserve"> and </w:t>
      </w:r>
      <w:r w:rsidR="00E771BE" w:rsidRPr="00C03185">
        <w:rPr>
          <w:u w:val="none"/>
        </w:rPr>
        <w:t xml:space="preserve">has relied on </w:t>
      </w:r>
      <w:r w:rsidR="00FB7F52" w:rsidRPr="00C03185">
        <w:rPr>
          <w:b/>
          <w:u w:val="none"/>
        </w:rPr>
        <w:t xml:space="preserve">Land </w:t>
      </w:r>
      <w:r w:rsidR="009E258F" w:rsidRPr="00C03185">
        <w:rPr>
          <w:b/>
          <w:u w:val="none"/>
        </w:rPr>
        <w:t>Agricultural</w:t>
      </w:r>
      <w:r w:rsidR="00FB7F52" w:rsidRPr="00C03185">
        <w:rPr>
          <w:b/>
          <w:u w:val="none"/>
        </w:rPr>
        <w:t xml:space="preserve"> Development Bank of South Africa v Du Plessis NO and Others</w:t>
      </w:r>
      <w:r w:rsidR="00FB7F52">
        <w:rPr>
          <w:rStyle w:val="FootnoteReference"/>
          <w:u w:val="none"/>
        </w:rPr>
        <w:footnoteReference w:id="36"/>
      </w:r>
      <w:r w:rsidR="009E258F" w:rsidRPr="00C03185">
        <w:rPr>
          <w:u w:val="none"/>
        </w:rPr>
        <w:t xml:space="preserve"> where </w:t>
      </w:r>
      <w:proofErr w:type="spellStart"/>
      <w:r w:rsidR="009E258F" w:rsidRPr="00C03185">
        <w:rPr>
          <w:u w:val="none"/>
        </w:rPr>
        <w:t>Daffue</w:t>
      </w:r>
      <w:proofErr w:type="spellEnd"/>
      <w:r w:rsidR="009E258F" w:rsidRPr="00C03185">
        <w:rPr>
          <w:u w:val="none"/>
        </w:rPr>
        <w:t xml:space="preserve"> J stated:</w:t>
      </w:r>
    </w:p>
    <w:p w:rsidR="007121DA" w:rsidRPr="00933848" w:rsidRDefault="007121DA" w:rsidP="00E65FCC">
      <w:pPr>
        <w:pStyle w:val="NormalWeb"/>
        <w:shd w:val="clear" w:color="auto" w:fill="FFFFFF"/>
        <w:spacing w:before="144" w:beforeAutospacing="0" w:after="0" w:afterAutospacing="0" w:line="360" w:lineRule="auto"/>
        <w:ind w:left="1440" w:hanging="720"/>
        <w:jc w:val="both"/>
        <w:rPr>
          <w:rFonts w:ascii="Arial" w:hAnsi="Arial" w:cs="Arial"/>
          <w:i/>
          <w:color w:val="242121"/>
        </w:rPr>
      </w:pPr>
      <w:r w:rsidRPr="00933848">
        <w:rPr>
          <w:rFonts w:ascii="Arial" w:hAnsi="Arial" w:cs="Arial"/>
          <w:i/>
          <w:color w:val="242121"/>
        </w:rPr>
        <w:t>“[42]</w:t>
      </w:r>
      <w:r w:rsidRPr="00933848">
        <w:rPr>
          <w:rFonts w:ascii="Arial" w:hAnsi="Arial" w:cs="Arial"/>
          <w:i/>
          <w:color w:val="242121"/>
        </w:rPr>
        <w:tab/>
        <w:t>The general rule is that if two parties entered into a contract and if there is or was non-compliance with its terms, it is only the contracting parties who can challenge the validity of the agreement.  In </w:t>
      </w:r>
      <w:r w:rsidRPr="00933848">
        <w:rPr>
          <w:rFonts w:ascii="Arial" w:hAnsi="Arial" w:cs="Arial"/>
          <w:i/>
          <w:iCs/>
          <w:color w:val="242121"/>
        </w:rPr>
        <w:t xml:space="preserve">Hillock and Another v </w:t>
      </w:r>
      <w:proofErr w:type="spellStart"/>
      <w:r w:rsidRPr="00933848">
        <w:rPr>
          <w:rFonts w:ascii="Arial" w:hAnsi="Arial" w:cs="Arial"/>
          <w:i/>
          <w:iCs/>
          <w:color w:val="242121"/>
        </w:rPr>
        <w:t>Hilshage</w:t>
      </w:r>
      <w:proofErr w:type="spellEnd"/>
      <w:r w:rsidRPr="00933848">
        <w:rPr>
          <w:rFonts w:ascii="Arial" w:hAnsi="Arial" w:cs="Arial"/>
          <w:i/>
          <w:iCs/>
          <w:color w:val="242121"/>
        </w:rPr>
        <w:t xml:space="preserve"> Investments (Pty) Ltd</w:t>
      </w:r>
      <w:r w:rsidR="00C55266" w:rsidRPr="00933848">
        <w:rPr>
          <w:rFonts w:ascii="Arial" w:hAnsi="Arial" w:cs="Arial"/>
          <w:i/>
          <w:color w:val="242121"/>
        </w:rPr>
        <w:t xml:space="preserve"> </w:t>
      </w:r>
      <w:r w:rsidRPr="00933848">
        <w:rPr>
          <w:rFonts w:ascii="Arial" w:hAnsi="Arial" w:cs="Arial"/>
          <w:i/>
          <w:color w:val="242121"/>
        </w:rPr>
        <w:t>the following was held: “In my judgment this argument has no merit… A third party, such as National Exposition in the present case, cannot seek to rely on the provisions in question, unless it has become a party to the agreement, for example by assignment.” </w:t>
      </w:r>
    </w:p>
    <w:p w:rsidR="007121DA" w:rsidRPr="00933848" w:rsidRDefault="007121DA" w:rsidP="00E65FCC">
      <w:pPr>
        <w:pStyle w:val="NormalWeb"/>
        <w:shd w:val="clear" w:color="auto" w:fill="FFFFFF"/>
        <w:spacing w:before="144" w:beforeAutospacing="0" w:after="0" w:afterAutospacing="0" w:line="360" w:lineRule="auto"/>
        <w:ind w:left="1440" w:hanging="731"/>
        <w:jc w:val="both"/>
        <w:rPr>
          <w:rFonts w:ascii="Arial" w:hAnsi="Arial" w:cs="Arial"/>
          <w:i/>
          <w:color w:val="242121"/>
        </w:rPr>
      </w:pPr>
      <w:r w:rsidRPr="00933848">
        <w:rPr>
          <w:rFonts w:ascii="Arial" w:hAnsi="Arial" w:cs="Arial"/>
          <w:i/>
          <w:color w:val="242121"/>
        </w:rPr>
        <w:t xml:space="preserve">[43] </w:t>
      </w:r>
      <w:r w:rsidRPr="00933848">
        <w:rPr>
          <w:rFonts w:ascii="Arial" w:hAnsi="Arial" w:cs="Arial"/>
          <w:i/>
          <w:color w:val="242121"/>
        </w:rPr>
        <w:tab/>
        <w:t>In the last decade of the previous century four well-known banks and building societies merged into Absa Bank Ltd and in order to achieve a proper merger, agreements were entered into to transfer rights, title and interest in and to the claims against their debtors and their assets to Absa which transfers were subject to consent by the authorities.  Absa became embroiled in litigation and one of its debtors disputed its </w:t>
      </w:r>
      <w:r w:rsidRPr="00933848">
        <w:rPr>
          <w:rFonts w:ascii="Arial" w:hAnsi="Arial" w:cs="Arial"/>
          <w:i/>
          <w:iCs/>
          <w:color w:val="242121"/>
        </w:rPr>
        <w:t xml:space="preserve">locus </w:t>
      </w:r>
      <w:proofErr w:type="spellStart"/>
      <w:r w:rsidRPr="00933848">
        <w:rPr>
          <w:rFonts w:ascii="Arial" w:hAnsi="Arial" w:cs="Arial"/>
          <w:i/>
          <w:iCs/>
          <w:color w:val="242121"/>
        </w:rPr>
        <w:t>standi</w:t>
      </w:r>
      <w:proofErr w:type="spellEnd"/>
      <w:r w:rsidRPr="00933848">
        <w:rPr>
          <w:rFonts w:ascii="Arial" w:hAnsi="Arial" w:cs="Arial"/>
          <w:i/>
          <w:color w:val="242121"/>
        </w:rPr>
        <w:t xml:space="preserve">.  It appeared from the evidence tendered at the trial that there </w:t>
      </w:r>
      <w:proofErr w:type="gramStart"/>
      <w:r w:rsidRPr="00933848">
        <w:rPr>
          <w:rFonts w:ascii="Arial" w:hAnsi="Arial" w:cs="Arial"/>
          <w:i/>
          <w:color w:val="242121"/>
        </w:rPr>
        <w:t>were</w:t>
      </w:r>
      <w:proofErr w:type="gramEnd"/>
      <w:r w:rsidRPr="00933848">
        <w:rPr>
          <w:rFonts w:ascii="Arial" w:hAnsi="Arial" w:cs="Arial"/>
          <w:i/>
          <w:color w:val="242121"/>
        </w:rPr>
        <w:t xml:space="preserve"> indeed non-compliance with certain terms and conditions, but the court had no hesitation to reject the argument of the close corporation debtor that it was entitled to tell the parties to the contracts who the actual owner of the underlying assets were.  Lombard J held as follows: “</w:t>
      </w:r>
      <w:proofErr w:type="spellStart"/>
      <w:r w:rsidRPr="00933848">
        <w:rPr>
          <w:rFonts w:ascii="Arial" w:hAnsi="Arial" w:cs="Arial"/>
          <w:i/>
          <w:color w:val="242121"/>
        </w:rPr>
        <w:t>Dit</w:t>
      </w:r>
      <w:proofErr w:type="spellEnd"/>
      <w:r w:rsidRPr="00933848">
        <w:rPr>
          <w:rFonts w:ascii="Arial" w:hAnsi="Arial" w:cs="Arial"/>
          <w:i/>
          <w:color w:val="242121"/>
        </w:rPr>
        <w:t xml:space="preserve"> is </w:t>
      </w:r>
      <w:proofErr w:type="spellStart"/>
      <w:r w:rsidRPr="00933848">
        <w:rPr>
          <w:rFonts w:ascii="Arial" w:hAnsi="Arial" w:cs="Arial"/>
          <w:i/>
          <w:color w:val="242121"/>
        </w:rPr>
        <w:t>myns</w:t>
      </w:r>
      <w:proofErr w:type="spellEnd"/>
      <w:r w:rsidRPr="00933848">
        <w:rPr>
          <w:rFonts w:ascii="Arial" w:hAnsi="Arial" w:cs="Arial"/>
          <w:i/>
          <w:color w:val="242121"/>
        </w:rPr>
        <w:t xml:space="preserve"> </w:t>
      </w:r>
      <w:proofErr w:type="spellStart"/>
      <w:r w:rsidRPr="00933848">
        <w:rPr>
          <w:rFonts w:ascii="Arial" w:hAnsi="Arial" w:cs="Arial"/>
          <w:i/>
          <w:color w:val="242121"/>
        </w:rPr>
        <w:t>insiens</w:t>
      </w:r>
      <w:proofErr w:type="spellEnd"/>
      <w:r w:rsidRPr="00933848">
        <w:rPr>
          <w:rFonts w:ascii="Arial" w:hAnsi="Arial" w:cs="Arial"/>
          <w:i/>
          <w:color w:val="242121"/>
        </w:rPr>
        <w:t xml:space="preserve"> ‘n </w:t>
      </w:r>
      <w:proofErr w:type="spellStart"/>
      <w:r w:rsidRPr="00933848">
        <w:rPr>
          <w:rFonts w:ascii="Arial" w:hAnsi="Arial" w:cs="Arial"/>
          <w:i/>
          <w:color w:val="242121"/>
        </w:rPr>
        <w:t>onbegonne</w:t>
      </w:r>
      <w:proofErr w:type="spellEnd"/>
      <w:r w:rsidRPr="00933848">
        <w:rPr>
          <w:rFonts w:ascii="Arial" w:hAnsi="Arial" w:cs="Arial"/>
          <w:i/>
          <w:color w:val="242121"/>
        </w:rPr>
        <w:t xml:space="preserve"> </w:t>
      </w:r>
      <w:proofErr w:type="spellStart"/>
      <w:r w:rsidRPr="00933848">
        <w:rPr>
          <w:rFonts w:ascii="Arial" w:hAnsi="Arial" w:cs="Arial"/>
          <w:i/>
          <w:color w:val="242121"/>
        </w:rPr>
        <w:t>taak</w:t>
      </w:r>
      <w:proofErr w:type="spellEnd"/>
      <w:r w:rsidRPr="00933848">
        <w:rPr>
          <w:rFonts w:ascii="Arial" w:hAnsi="Arial" w:cs="Arial"/>
          <w:i/>
          <w:color w:val="242121"/>
        </w:rPr>
        <w:t xml:space="preserve"> </w:t>
      </w:r>
      <w:proofErr w:type="spellStart"/>
      <w:r w:rsidRPr="00933848">
        <w:rPr>
          <w:rFonts w:ascii="Arial" w:hAnsi="Arial" w:cs="Arial"/>
          <w:i/>
          <w:color w:val="242121"/>
        </w:rPr>
        <w:t>vir</w:t>
      </w:r>
      <w:proofErr w:type="spellEnd"/>
      <w:r w:rsidRPr="00933848">
        <w:rPr>
          <w:rFonts w:ascii="Arial" w:hAnsi="Arial" w:cs="Arial"/>
          <w:i/>
          <w:color w:val="242121"/>
        </w:rPr>
        <w:t xml:space="preserve"> </w:t>
      </w:r>
      <w:proofErr w:type="spellStart"/>
      <w:r w:rsidRPr="00933848">
        <w:rPr>
          <w:rFonts w:ascii="Arial" w:hAnsi="Arial" w:cs="Arial"/>
          <w:i/>
          <w:color w:val="242121"/>
        </w:rPr>
        <w:lastRenderedPageBreak/>
        <w:t>verweerders</w:t>
      </w:r>
      <w:proofErr w:type="spellEnd"/>
      <w:r w:rsidRPr="00933848">
        <w:rPr>
          <w:rFonts w:ascii="Arial" w:hAnsi="Arial" w:cs="Arial"/>
          <w:i/>
          <w:color w:val="242121"/>
        </w:rPr>
        <w:t xml:space="preserve"> as </w:t>
      </w:r>
      <w:proofErr w:type="spellStart"/>
      <w:r w:rsidRPr="00933848">
        <w:rPr>
          <w:rFonts w:ascii="Arial" w:hAnsi="Arial" w:cs="Arial"/>
          <w:i/>
          <w:color w:val="242121"/>
        </w:rPr>
        <w:t>derdes</w:t>
      </w:r>
      <w:proofErr w:type="spellEnd"/>
      <w:r w:rsidRPr="00933848">
        <w:rPr>
          <w:rFonts w:ascii="Arial" w:hAnsi="Arial" w:cs="Arial"/>
          <w:i/>
          <w:color w:val="242121"/>
        </w:rPr>
        <w:t xml:space="preserve"> om </w:t>
      </w:r>
      <w:proofErr w:type="spellStart"/>
      <w:r w:rsidRPr="00933848">
        <w:rPr>
          <w:rFonts w:ascii="Arial" w:hAnsi="Arial" w:cs="Arial"/>
          <w:i/>
          <w:color w:val="242121"/>
        </w:rPr>
        <w:t>nou</w:t>
      </w:r>
      <w:proofErr w:type="spellEnd"/>
      <w:r w:rsidRPr="00933848">
        <w:rPr>
          <w:rFonts w:ascii="Arial" w:hAnsi="Arial" w:cs="Arial"/>
          <w:i/>
          <w:color w:val="242121"/>
        </w:rPr>
        <w:t xml:space="preserve"> </w:t>
      </w:r>
      <w:proofErr w:type="spellStart"/>
      <w:r w:rsidRPr="00933848">
        <w:rPr>
          <w:rFonts w:ascii="Arial" w:hAnsi="Arial" w:cs="Arial"/>
          <w:i/>
          <w:color w:val="242121"/>
        </w:rPr>
        <w:t>te</w:t>
      </w:r>
      <w:proofErr w:type="spellEnd"/>
      <w:r w:rsidRPr="00933848">
        <w:rPr>
          <w:rFonts w:ascii="Arial" w:hAnsi="Arial" w:cs="Arial"/>
          <w:i/>
          <w:color w:val="242121"/>
        </w:rPr>
        <w:t xml:space="preserve"> </w:t>
      </w:r>
      <w:proofErr w:type="spellStart"/>
      <w:r w:rsidRPr="00933848">
        <w:rPr>
          <w:rFonts w:ascii="Arial" w:hAnsi="Arial" w:cs="Arial"/>
          <w:i/>
          <w:color w:val="242121"/>
        </w:rPr>
        <w:t>poog</w:t>
      </w:r>
      <w:proofErr w:type="spellEnd"/>
      <w:r w:rsidRPr="00933848">
        <w:rPr>
          <w:rFonts w:ascii="Arial" w:hAnsi="Arial" w:cs="Arial"/>
          <w:i/>
          <w:color w:val="242121"/>
        </w:rPr>
        <w:t xml:space="preserve"> om die </w:t>
      </w:r>
      <w:proofErr w:type="spellStart"/>
      <w:r w:rsidRPr="00933848">
        <w:rPr>
          <w:rFonts w:ascii="Arial" w:hAnsi="Arial" w:cs="Arial"/>
          <w:i/>
          <w:color w:val="242121"/>
        </w:rPr>
        <w:t>ooreenkoms</w:t>
      </w:r>
      <w:proofErr w:type="spellEnd"/>
      <w:r w:rsidRPr="00933848">
        <w:rPr>
          <w:rFonts w:ascii="Arial" w:hAnsi="Arial" w:cs="Arial"/>
          <w:i/>
          <w:color w:val="242121"/>
        </w:rPr>
        <w:t xml:space="preserve"> </w:t>
      </w:r>
      <w:proofErr w:type="spellStart"/>
      <w:r w:rsidRPr="00933848">
        <w:rPr>
          <w:rFonts w:ascii="Arial" w:hAnsi="Arial" w:cs="Arial"/>
          <w:i/>
          <w:color w:val="242121"/>
        </w:rPr>
        <w:t>waaraan</w:t>
      </w:r>
      <w:proofErr w:type="spellEnd"/>
      <w:r w:rsidRPr="00933848">
        <w:rPr>
          <w:rFonts w:ascii="Arial" w:hAnsi="Arial" w:cs="Arial"/>
          <w:i/>
          <w:color w:val="242121"/>
        </w:rPr>
        <w:t xml:space="preserve"> die </w:t>
      </w:r>
      <w:proofErr w:type="spellStart"/>
      <w:r w:rsidRPr="00933848">
        <w:rPr>
          <w:rFonts w:ascii="Arial" w:hAnsi="Arial" w:cs="Arial"/>
          <w:i/>
          <w:color w:val="242121"/>
        </w:rPr>
        <w:t>partye</w:t>
      </w:r>
      <w:proofErr w:type="spellEnd"/>
      <w:r w:rsidRPr="00933848">
        <w:rPr>
          <w:rFonts w:ascii="Arial" w:hAnsi="Arial" w:cs="Arial"/>
          <w:i/>
          <w:color w:val="242121"/>
        </w:rPr>
        <w:t xml:space="preserve"> </w:t>
      </w:r>
      <w:proofErr w:type="spellStart"/>
      <w:r w:rsidRPr="00933848">
        <w:rPr>
          <w:rFonts w:ascii="Arial" w:hAnsi="Arial" w:cs="Arial"/>
          <w:i/>
          <w:color w:val="242121"/>
        </w:rPr>
        <w:t>daartoe</w:t>
      </w:r>
      <w:proofErr w:type="spellEnd"/>
      <w:r w:rsidRPr="00933848">
        <w:rPr>
          <w:rFonts w:ascii="Arial" w:hAnsi="Arial" w:cs="Arial"/>
          <w:i/>
          <w:color w:val="242121"/>
        </w:rPr>
        <w:t xml:space="preserve"> ten </w:t>
      </w:r>
      <w:proofErr w:type="spellStart"/>
      <w:r w:rsidRPr="00933848">
        <w:rPr>
          <w:rFonts w:ascii="Arial" w:hAnsi="Arial" w:cs="Arial"/>
          <w:i/>
          <w:color w:val="242121"/>
        </w:rPr>
        <w:t>volle</w:t>
      </w:r>
      <w:proofErr w:type="spellEnd"/>
      <w:r w:rsidRPr="00933848">
        <w:rPr>
          <w:rFonts w:ascii="Arial" w:hAnsi="Arial" w:cs="Arial"/>
          <w:i/>
          <w:color w:val="242121"/>
        </w:rPr>
        <w:t xml:space="preserve"> </w:t>
      </w:r>
      <w:proofErr w:type="spellStart"/>
      <w:r w:rsidRPr="00933848">
        <w:rPr>
          <w:rFonts w:ascii="Arial" w:hAnsi="Arial" w:cs="Arial"/>
          <w:i/>
          <w:color w:val="242121"/>
        </w:rPr>
        <w:t>uiting</w:t>
      </w:r>
      <w:proofErr w:type="spellEnd"/>
      <w:r w:rsidRPr="00933848">
        <w:rPr>
          <w:rFonts w:ascii="Arial" w:hAnsi="Arial" w:cs="Arial"/>
          <w:i/>
          <w:color w:val="242121"/>
        </w:rPr>
        <w:t xml:space="preserve"> </w:t>
      </w:r>
      <w:proofErr w:type="spellStart"/>
      <w:r w:rsidRPr="00933848">
        <w:rPr>
          <w:rFonts w:ascii="Arial" w:hAnsi="Arial" w:cs="Arial"/>
          <w:i/>
          <w:color w:val="242121"/>
        </w:rPr>
        <w:t>gegee</w:t>
      </w:r>
      <w:proofErr w:type="spellEnd"/>
      <w:r w:rsidRPr="00933848">
        <w:rPr>
          <w:rFonts w:ascii="Arial" w:hAnsi="Arial" w:cs="Arial"/>
          <w:i/>
          <w:color w:val="242121"/>
        </w:rPr>
        <w:t xml:space="preserve"> </w:t>
      </w:r>
      <w:proofErr w:type="spellStart"/>
      <w:r w:rsidRPr="00933848">
        <w:rPr>
          <w:rFonts w:ascii="Arial" w:hAnsi="Arial" w:cs="Arial"/>
          <w:i/>
          <w:color w:val="242121"/>
        </w:rPr>
        <w:t>en</w:t>
      </w:r>
      <w:proofErr w:type="spellEnd"/>
      <w:r w:rsidRPr="00933848">
        <w:rPr>
          <w:rFonts w:ascii="Arial" w:hAnsi="Arial" w:cs="Arial"/>
          <w:i/>
          <w:color w:val="242121"/>
        </w:rPr>
        <w:t xml:space="preserve"> </w:t>
      </w:r>
      <w:proofErr w:type="spellStart"/>
      <w:r w:rsidRPr="00933848">
        <w:rPr>
          <w:rFonts w:ascii="Arial" w:hAnsi="Arial" w:cs="Arial"/>
          <w:i/>
          <w:color w:val="242121"/>
        </w:rPr>
        <w:t>oor</w:t>
      </w:r>
      <w:proofErr w:type="spellEnd"/>
      <w:r w:rsidRPr="00933848">
        <w:rPr>
          <w:rFonts w:ascii="Arial" w:hAnsi="Arial" w:cs="Arial"/>
          <w:i/>
          <w:color w:val="242121"/>
        </w:rPr>
        <w:t xml:space="preserve"> </w:t>
      </w:r>
      <w:proofErr w:type="spellStart"/>
      <w:r w:rsidRPr="00933848">
        <w:rPr>
          <w:rFonts w:ascii="Arial" w:hAnsi="Arial" w:cs="Arial"/>
          <w:i/>
          <w:color w:val="242121"/>
        </w:rPr>
        <w:t>en</w:t>
      </w:r>
      <w:proofErr w:type="spellEnd"/>
      <w:r w:rsidRPr="00933848">
        <w:rPr>
          <w:rFonts w:ascii="Arial" w:hAnsi="Arial" w:cs="Arial"/>
          <w:i/>
          <w:color w:val="242121"/>
        </w:rPr>
        <w:t xml:space="preserve"> </w:t>
      </w:r>
      <w:proofErr w:type="spellStart"/>
      <w:r w:rsidRPr="00933848">
        <w:rPr>
          <w:rFonts w:ascii="Arial" w:hAnsi="Arial" w:cs="Arial"/>
          <w:i/>
          <w:color w:val="242121"/>
        </w:rPr>
        <w:t>weer</w:t>
      </w:r>
      <w:proofErr w:type="spellEnd"/>
      <w:r w:rsidRPr="00933848">
        <w:rPr>
          <w:rFonts w:ascii="Arial" w:hAnsi="Arial" w:cs="Arial"/>
          <w:i/>
          <w:color w:val="242121"/>
        </w:rPr>
        <w:t xml:space="preserve"> </w:t>
      </w:r>
      <w:proofErr w:type="spellStart"/>
      <w:r w:rsidRPr="00933848">
        <w:rPr>
          <w:rFonts w:ascii="Arial" w:hAnsi="Arial" w:cs="Arial"/>
          <w:i/>
          <w:color w:val="242121"/>
        </w:rPr>
        <w:t>presteer</w:t>
      </w:r>
      <w:proofErr w:type="spellEnd"/>
      <w:r w:rsidRPr="00933848">
        <w:rPr>
          <w:rFonts w:ascii="Arial" w:hAnsi="Arial" w:cs="Arial"/>
          <w:i/>
          <w:color w:val="242121"/>
        </w:rPr>
        <w:t xml:space="preserve"> het </w:t>
      </w:r>
      <w:proofErr w:type="spellStart"/>
      <w:r w:rsidRPr="00933848">
        <w:rPr>
          <w:rFonts w:ascii="Arial" w:hAnsi="Arial" w:cs="Arial"/>
          <w:i/>
          <w:color w:val="242121"/>
        </w:rPr>
        <w:t>te</w:t>
      </w:r>
      <w:proofErr w:type="spellEnd"/>
      <w:r w:rsidRPr="00933848">
        <w:rPr>
          <w:rFonts w:ascii="Arial" w:hAnsi="Arial" w:cs="Arial"/>
          <w:i/>
          <w:color w:val="242121"/>
        </w:rPr>
        <w:t xml:space="preserve"> </w:t>
      </w:r>
      <w:proofErr w:type="spellStart"/>
      <w:r w:rsidRPr="00933848">
        <w:rPr>
          <w:rFonts w:ascii="Arial" w:hAnsi="Arial" w:cs="Arial"/>
          <w:i/>
          <w:color w:val="242121"/>
        </w:rPr>
        <w:t>laat</w:t>
      </w:r>
      <w:proofErr w:type="spellEnd"/>
      <w:r w:rsidRPr="00933848">
        <w:rPr>
          <w:rFonts w:ascii="Arial" w:hAnsi="Arial" w:cs="Arial"/>
          <w:i/>
          <w:color w:val="242121"/>
        </w:rPr>
        <w:t xml:space="preserve"> </w:t>
      </w:r>
      <w:proofErr w:type="spellStart"/>
      <w:r w:rsidRPr="00933848">
        <w:rPr>
          <w:rFonts w:ascii="Arial" w:hAnsi="Arial" w:cs="Arial"/>
          <w:i/>
          <w:color w:val="242121"/>
        </w:rPr>
        <w:t>ongeldig</w:t>
      </w:r>
      <w:proofErr w:type="spellEnd"/>
      <w:r w:rsidRPr="00933848">
        <w:rPr>
          <w:rFonts w:ascii="Arial" w:hAnsi="Arial" w:cs="Arial"/>
          <w:i/>
          <w:color w:val="242121"/>
        </w:rPr>
        <w:t xml:space="preserve"> </w:t>
      </w:r>
      <w:proofErr w:type="spellStart"/>
      <w:r w:rsidRPr="00933848">
        <w:rPr>
          <w:rFonts w:ascii="Arial" w:hAnsi="Arial" w:cs="Arial"/>
          <w:i/>
          <w:color w:val="242121"/>
        </w:rPr>
        <w:t>verklaar</w:t>
      </w:r>
      <w:proofErr w:type="spellEnd"/>
      <w:r w:rsidRPr="00933848">
        <w:rPr>
          <w:rFonts w:ascii="Arial" w:hAnsi="Arial" w:cs="Arial"/>
          <w:i/>
          <w:color w:val="242121"/>
        </w:rPr>
        <w:t>.”</w:t>
      </w:r>
      <w:r w:rsidR="00C55266" w:rsidRPr="00933848">
        <w:rPr>
          <w:rStyle w:val="FootnoteReference"/>
          <w:rFonts w:ascii="Arial" w:hAnsi="Arial" w:cs="Arial"/>
          <w:i/>
          <w:color w:val="242121"/>
        </w:rPr>
        <w:footnoteReference w:id="37"/>
      </w:r>
      <w:r w:rsidR="00933848">
        <w:rPr>
          <w:rFonts w:ascii="Arial" w:hAnsi="Arial" w:cs="Arial"/>
          <w:i/>
          <w:color w:val="242121"/>
        </w:rPr>
        <w:t>”</w:t>
      </w:r>
    </w:p>
    <w:p w:rsidR="009E258F" w:rsidRDefault="009E258F" w:rsidP="009E258F">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8F0412"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sidRPr="009859C5">
        <w:rPr>
          <w:rFonts w:hAnsi="Arial Unicode MS"/>
          <w:u w:val="none"/>
        </w:rPr>
        <w:t>[44]</w:t>
      </w:r>
      <w:r w:rsidRPr="009859C5">
        <w:rPr>
          <w:rFonts w:hAnsi="Arial Unicode MS"/>
          <w:u w:val="none"/>
        </w:rPr>
        <w:tab/>
      </w:r>
      <w:r w:rsidR="00B41AE8" w:rsidRPr="00C03185">
        <w:rPr>
          <w:u w:val="none"/>
        </w:rPr>
        <w:t xml:space="preserve">Whilst it is without question so that every suretyship is conditional upon the existence of a valid principal </w:t>
      </w:r>
      <w:r w:rsidR="006675D4" w:rsidRPr="00C03185">
        <w:rPr>
          <w:u w:val="none"/>
        </w:rPr>
        <w:t>obligation</w:t>
      </w:r>
      <w:r w:rsidR="00B41AE8">
        <w:rPr>
          <w:rStyle w:val="FootnoteReference"/>
          <w:u w:val="none"/>
        </w:rPr>
        <w:footnoteReference w:id="38"/>
      </w:r>
      <w:r w:rsidR="006675D4" w:rsidRPr="00C03185">
        <w:rPr>
          <w:u w:val="none"/>
        </w:rPr>
        <w:t xml:space="preserve"> and a surety is entitled to raise any defence which the principal debtor can raise</w:t>
      </w:r>
      <w:r w:rsidR="006675D4">
        <w:rPr>
          <w:rStyle w:val="FootnoteReference"/>
          <w:u w:val="none"/>
        </w:rPr>
        <w:footnoteReference w:id="39"/>
      </w:r>
      <w:r w:rsidR="00B61DE2" w:rsidRPr="00C03185">
        <w:rPr>
          <w:u w:val="none"/>
        </w:rPr>
        <w:t>, in my view a surety is bound by a debtor’s admissions of liability</w:t>
      </w:r>
      <w:r w:rsidR="00B61DE2">
        <w:rPr>
          <w:rStyle w:val="FootnoteReference"/>
          <w:u w:val="none"/>
        </w:rPr>
        <w:footnoteReference w:id="40"/>
      </w:r>
      <w:r w:rsidR="008F0412" w:rsidRPr="00C03185">
        <w:rPr>
          <w:u w:val="none"/>
        </w:rPr>
        <w:t xml:space="preserve"> which</w:t>
      </w:r>
      <w:r w:rsidR="009859C5" w:rsidRPr="00C03185">
        <w:rPr>
          <w:u w:val="none"/>
        </w:rPr>
        <w:t>, in this instance, appear fro</w:t>
      </w:r>
      <w:r w:rsidR="008F0412" w:rsidRPr="00C03185">
        <w:rPr>
          <w:u w:val="none"/>
        </w:rPr>
        <w:t xml:space="preserve">m </w:t>
      </w:r>
      <w:r w:rsidR="009859C5" w:rsidRPr="00C03185">
        <w:rPr>
          <w:u w:val="none"/>
        </w:rPr>
        <w:t>an</w:t>
      </w:r>
      <w:r w:rsidR="008F0412" w:rsidRPr="00C03185">
        <w:rPr>
          <w:u w:val="none"/>
        </w:rPr>
        <w:t xml:space="preserve"> extract of his answering affidavit in his sequestration proceedings:</w:t>
      </w:r>
    </w:p>
    <w:p w:rsidR="008F0412" w:rsidRPr="00F91BD1" w:rsidRDefault="000C78DA" w:rsidP="000C78DA">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40" w:hanging="731"/>
        <w:jc w:val="both"/>
        <w:rPr>
          <w:i/>
          <w:u w:val="none"/>
        </w:rPr>
      </w:pPr>
      <w:r w:rsidRPr="00F91BD1">
        <w:rPr>
          <w:i/>
          <w:u w:val="none"/>
        </w:rPr>
        <w:t>“16.1</w:t>
      </w:r>
      <w:r w:rsidRPr="00F91BD1">
        <w:rPr>
          <w:i/>
          <w:u w:val="none"/>
        </w:rPr>
        <w:tab/>
        <w:t>Regarding the contents of these paragraphs, I admit the following:</w:t>
      </w:r>
    </w:p>
    <w:p w:rsidR="000C78DA" w:rsidRPr="00F91BD1" w:rsidRDefault="000C78DA" w:rsidP="000C78DA">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28" w:hanging="1819"/>
        <w:jc w:val="both"/>
        <w:rPr>
          <w:i/>
          <w:u w:val="none"/>
        </w:rPr>
      </w:pPr>
      <w:r w:rsidRPr="00F91BD1">
        <w:rPr>
          <w:i/>
          <w:u w:val="none"/>
        </w:rPr>
        <w:tab/>
        <w:t>16.1.1</w:t>
      </w:r>
      <w:r w:rsidRPr="00F91BD1">
        <w:rPr>
          <w:i/>
          <w:u w:val="none"/>
        </w:rPr>
        <w:tab/>
        <w:t xml:space="preserve">That it was agreed that the Applicant would assist me further in order to discharge debts owed by me to ABSA Bank Limited and to </w:t>
      </w:r>
      <w:proofErr w:type="spellStart"/>
      <w:r w:rsidRPr="00F91BD1">
        <w:rPr>
          <w:i/>
          <w:u w:val="none"/>
        </w:rPr>
        <w:t>Fincrop</w:t>
      </w:r>
      <w:proofErr w:type="spellEnd"/>
      <w:r w:rsidRPr="00F91BD1">
        <w:rPr>
          <w:i/>
          <w:u w:val="none"/>
        </w:rPr>
        <w:t>;</w:t>
      </w:r>
    </w:p>
    <w:p w:rsidR="00B65FD5" w:rsidRPr="00F91BD1" w:rsidRDefault="000C78DA" w:rsidP="00B65FD5">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28" w:hanging="1819"/>
        <w:jc w:val="both"/>
        <w:rPr>
          <w:i/>
          <w:u w:val="none"/>
        </w:rPr>
      </w:pPr>
      <w:r w:rsidRPr="00F91BD1">
        <w:rPr>
          <w:i/>
          <w:u w:val="none"/>
        </w:rPr>
        <w:tab/>
        <w:t>16.1.2</w:t>
      </w:r>
      <w:r w:rsidRPr="00F91BD1">
        <w:rPr>
          <w:i/>
          <w:u w:val="none"/>
        </w:rPr>
        <w:tab/>
        <w:t xml:space="preserve">That the Applicant and I signed the </w:t>
      </w:r>
      <w:r w:rsidR="00B65FD5" w:rsidRPr="00F91BD1">
        <w:rPr>
          <w:i/>
          <w:u w:val="none"/>
        </w:rPr>
        <w:t>“SKULDERKENNING EN KONSOLIDASIE OOREENKOMS” ON 25 October 2012 and that a copy thereof is annexed to the Applicant’s founding affidavit as annexure “B”;</w:t>
      </w:r>
    </w:p>
    <w:p w:rsidR="00B65FD5" w:rsidRPr="00F91BD1" w:rsidRDefault="00B65FD5" w:rsidP="00B65FD5">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28" w:hanging="1110"/>
        <w:jc w:val="both"/>
        <w:rPr>
          <w:i/>
          <w:u w:val="none"/>
        </w:rPr>
      </w:pPr>
      <w:r w:rsidRPr="00F91BD1">
        <w:rPr>
          <w:i/>
          <w:u w:val="none"/>
        </w:rPr>
        <w:t>16.1.3</w:t>
      </w:r>
      <w:r w:rsidRPr="00F91BD1">
        <w:rPr>
          <w:i/>
          <w:u w:val="none"/>
        </w:rPr>
        <w:tab/>
      </w:r>
      <w:r w:rsidR="00F91BD1" w:rsidRPr="00F91BD1">
        <w:rPr>
          <w:i/>
          <w:u w:val="none"/>
        </w:rPr>
        <w:t xml:space="preserve">That the Applicant provided me with necessary funding in order to settle my indebtedness to ABSA Bank </w:t>
      </w:r>
      <w:r w:rsidR="00F91BD1" w:rsidRPr="00F91BD1">
        <w:rPr>
          <w:i/>
          <w:u w:val="none"/>
        </w:rPr>
        <w:lastRenderedPageBreak/>
        <w:t xml:space="preserve">Limited and to </w:t>
      </w:r>
      <w:proofErr w:type="spellStart"/>
      <w:r w:rsidR="00F91BD1" w:rsidRPr="00F91BD1">
        <w:rPr>
          <w:i/>
          <w:u w:val="none"/>
        </w:rPr>
        <w:t>Fincrop</w:t>
      </w:r>
      <w:proofErr w:type="spellEnd"/>
      <w:r w:rsidR="00F91BD1" w:rsidRPr="00F91BD1">
        <w:rPr>
          <w:i/>
          <w:u w:val="none"/>
        </w:rPr>
        <w:t>;</w:t>
      </w:r>
    </w:p>
    <w:p w:rsidR="00B65FD5" w:rsidRPr="00F91BD1" w:rsidRDefault="00B65FD5" w:rsidP="00F91BD1">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2528" w:hanging="1110"/>
        <w:jc w:val="both"/>
        <w:rPr>
          <w:i/>
          <w:u w:val="none"/>
        </w:rPr>
      </w:pPr>
      <w:r w:rsidRPr="00F91BD1">
        <w:rPr>
          <w:i/>
          <w:u w:val="none"/>
        </w:rPr>
        <w:t>16.1.4</w:t>
      </w:r>
      <w:r w:rsidRPr="00F91BD1">
        <w:rPr>
          <w:i/>
          <w:u w:val="none"/>
        </w:rPr>
        <w:tab/>
      </w:r>
      <w:r w:rsidR="00F91BD1" w:rsidRPr="00F91BD1">
        <w:rPr>
          <w:i/>
          <w:u w:val="none"/>
        </w:rPr>
        <w:t>That the Applicant correctly sets out certain terms and conditions of annexure “B” to its founding affidavit in paragraph 18 (together with sub-paragraphs of its founding affidavit.”</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[45]</w:t>
      </w:r>
      <w:r>
        <w:rPr>
          <w:rFonts w:hAnsi="Arial Unicode MS"/>
          <w:u w:val="none"/>
        </w:rPr>
        <w:tab/>
      </w:r>
      <w:r w:rsidR="00346F30" w:rsidRPr="00C03185">
        <w:rPr>
          <w:u w:val="none"/>
        </w:rPr>
        <w:t>In any event, paragraph 7 of</w:t>
      </w:r>
      <w:r w:rsidR="00531C9C" w:rsidRPr="00C03185">
        <w:rPr>
          <w:u w:val="none"/>
        </w:rPr>
        <w:t xml:space="preserve"> the</w:t>
      </w:r>
      <w:r w:rsidR="00456733" w:rsidRPr="00C03185">
        <w:rPr>
          <w:u w:val="none"/>
        </w:rPr>
        <w:t xml:space="preserve"> defendants’ </w:t>
      </w:r>
      <w:r w:rsidR="00531C9C" w:rsidRPr="00C03185">
        <w:rPr>
          <w:u w:val="none"/>
        </w:rPr>
        <w:t>suretyship</w:t>
      </w:r>
      <w:r w:rsidR="00456733" w:rsidRPr="00C03185">
        <w:rPr>
          <w:u w:val="none"/>
        </w:rPr>
        <w:t>s</w:t>
      </w:r>
      <w:r w:rsidR="00531C9C" w:rsidRPr="00C03185">
        <w:rPr>
          <w:u w:val="none"/>
        </w:rPr>
        <w:t xml:space="preserve"> </w:t>
      </w:r>
      <w:r w:rsidR="0097414B" w:rsidRPr="00C03185">
        <w:rPr>
          <w:u w:val="none"/>
        </w:rPr>
        <w:t>contain the following clause:</w:t>
      </w:r>
    </w:p>
    <w:p w:rsidR="0097414B" w:rsidRPr="00A61C71" w:rsidRDefault="0097414B" w:rsidP="00A61C71">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1440" w:hanging="731"/>
        <w:jc w:val="both"/>
        <w:rPr>
          <w:i/>
          <w:u w:val="none"/>
        </w:rPr>
      </w:pPr>
      <w:r w:rsidRPr="00A61C71">
        <w:rPr>
          <w:i/>
          <w:u w:val="none"/>
        </w:rPr>
        <w:t>“7</w:t>
      </w:r>
      <w:r w:rsidRPr="00A61C71">
        <w:rPr>
          <w:i/>
          <w:u w:val="none"/>
        </w:rPr>
        <w:tab/>
        <w:t>The Su</w:t>
      </w:r>
      <w:r w:rsidR="00A61C71" w:rsidRPr="00A61C71">
        <w:rPr>
          <w:i/>
          <w:u w:val="none"/>
        </w:rPr>
        <w:t>r</w:t>
      </w:r>
      <w:r w:rsidRPr="00A61C71">
        <w:rPr>
          <w:i/>
          <w:u w:val="none"/>
        </w:rPr>
        <w:t>ety/</w:t>
      </w:r>
      <w:proofErr w:type="spellStart"/>
      <w:r w:rsidRPr="00A61C71">
        <w:rPr>
          <w:i/>
          <w:u w:val="none"/>
        </w:rPr>
        <w:t>ies</w:t>
      </w:r>
      <w:proofErr w:type="spellEnd"/>
      <w:r w:rsidRPr="00A61C71">
        <w:rPr>
          <w:i/>
          <w:u w:val="none"/>
        </w:rPr>
        <w:t xml:space="preserve"> admit and agree that all admissions of liability made by </w:t>
      </w:r>
      <w:r w:rsidR="00A61C71" w:rsidRPr="00A61C71">
        <w:rPr>
          <w:i/>
          <w:u w:val="none"/>
        </w:rPr>
        <w:t>Principal Debtor shall be binding on the Surety/</w:t>
      </w:r>
      <w:proofErr w:type="spellStart"/>
      <w:r w:rsidR="00A61C71" w:rsidRPr="00A61C71">
        <w:rPr>
          <w:i/>
          <w:u w:val="none"/>
        </w:rPr>
        <w:t>ies</w:t>
      </w:r>
      <w:proofErr w:type="spellEnd"/>
      <w:r w:rsidR="00A61C71" w:rsidRPr="00A61C71">
        <w:rPr>
          <w:i/>
          <w:u w:val="none"/>
        </w:rPr>
        <w:t xml:space="preserve"> as if the Surety/</w:t>
      </w:r>
      <w:proofErr w:type="spellStart"/>
      <w:r w:rsidR="00A61C71" w:rsidRPr="00A61C71">
        <w:rPr>
          <w:i/>
          <w:u w:val="none"/>
        </w:rPr>
        <w:t>ies</w:t>
      </w:r>
      <w:proofErr w:type="spellEnd"/>
      <w:r w:rsidR="00A61C71" w:rsidRPr="00A61C71">
        <w:rPr>
          <w:i/>
          <w:u w:val="none"/>
        </w:rPr>
        <w:t xml:space="preserve"> expressly consented thereto”</w:t>
      </w:r>
    </w:p>
    <w:p w:rsidR="004F10DF" w:rsidRPr="004F10DF" w:rsidRDefault="004F10DF" w:rsidP="004F10DF">
      <w:pPr>
        <w:pStyle w:val="ListParagraph"/>
        <w:rPr>
          <w:u w:val="none"/>
        </w:rPr>
      </w:pPr>
    </w:p>
    <w:p w:rsidR="004F10DF"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[46]</w:t>
      </w:r>
      <w:r>
        <w:rPr>
          <w:rFonts w:hAnsi="Arial Unicode MS"/>
          <w:u w:val="none"/>
        </w:rPr>
        <w:tab/>
      </w:r>
      <w:r w:rsidR="00EB67FB" w:rsidRPr="00C03185">
        <w:rPr>
          <w:u w:val="none"/>
        </w:rPr>
        <w:t xml:space="preserve">In </w:t>
      </w:r>
      <w:r w:rsidR="00EB67FB" w:rsidRPr="00C03185">
        <w:rPr>
          <w:b/>
          <w:u w:val="none"/>
        </w:rPr>
        <w:t>Two Sixty Four Investments (Pty) Ltd v Trust Bank</w:t>
      </w:r>
      <w:r w:rsidR="00EB67FB">
        <w:rPr>
          <w:rStyle w:val="FootnoteReference"/>
          <w:u w:val="none"/>
        </w:rPr>
        <w:footnoteReference w:id="41"/>
      </w:r>
      <w:r w:rsidR="00EB67FB" w:rsidRPr="00C03185">
        <w:rPr>
          <w:u w:val="none"/>
        </w:rPr>
        <w:t xml:space="preserve"> </w:t>
      </w:r>
      <w:proofErr w:type="spellStart"/>
      <w:r w:rsidR="001E4A4E" w:rsidRPr="00C03185">
        <w:rPr>
          <w:u w:val="none"/>
        </w:rPr>
        <w:t>Leveson</w:t>
      </w:r>
      <w:proofErr w:type="spellEnd"/>
      <w:r w:rsidR="001E4A4E" w:rsidRPr="00C03185">
        <w:rPr>
          <w:u w:val="none"/>
        </w:rPr>
        <w:t xml:space="preserve"> J stated:</w:t>
      </w:r>
    </w:p>
    <w:p w:rsidR="001E4A4E" w:rsidRPr="00AB6D9E" w:rsidRDefault="001E4A4E" w:rsidP="00E65FCC">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709"/>
        <w:jc w:val="both"/>
        <w:rPr>
          <w:i/>
          <w:u w:val="none"/>
        </w:rPr>
      </w:pPr>
      <w:r w:rsidRPr="00AB6D9E">
        <w:rPr>
          <w:i/>
          <w:u w:val="none"/>
        </w:rPr>
        <w:t xml:space="preserve">“Lastly, on this aspect, clause 9 of the deed of suretyship provides that the surety is bound by all admissions of liability made by the principal debtor. It seems to me that the acceptance of the </w:t>
      </w:r>
      <w:r w:rsidRPr="009859C5">
        <w:rPr>
          <w:i/>
          <w:u w:val="none"/>
        </w:rPr>
        <w:t xml:space="preserve">respondents </w:t>
      </w:r>
      <w:proofErr w:type="gramStart"/>
      <w:r w:rsidRPr="009859C5">
        <w:rPr>
          <w:i/>
          <w:u w:val="none"/>
        </w:rPr>
        <w:t>claim</w:t>
      </w:r>
      <w:proofErr w:type="gramEnd"/>
      <w:r w:rsidRPr="009859C5">
        <w:rPr>
          <w:i/>
          <w:u w:val="none"/>
        </w:rPr>
        <w:t>,</w:t>
      </w:r>
      <w:r w:rsidRPr="00AB6D9E">
        <w:rPr>
          <w:i/>
          <w:u w:val="none"/>
        </w:rPr>
        <w:t xml:space="preserve"> not merely by the liquidators but by </w:t>
      </w:r>
      <w:r w:rsidR="00422D38" w:rsidRPr="00AB6D9E">
        <w:rPr>
          <w:i/>
          <w:u w:val="none"/>
        </w:rPr>
        <w:t>creditors in</w:t>
      </w:r>
      <w:r w:rsidRPr="00AB6D9E">
        <w:rPr>
          <w:i/>
          <w:u w:val="none"/>
        </w:rPr>
        <w:t xml:space="preserve"> the second creditor’s meeting of the insolvent </w:t>
      </w:r>
      <w:r w:rsidR="00422D38" w:rsidRPr="00AB6D9E">
        <w:rPr>
          <w:i/>
          <w:u w:val="none"/>
        </w:rPr>
        <w:t>company acting</w:t>
      </w:r>
      <w:r w:rsidRPr="00AB6D9E">
        <w:rPr>
          <w:i/>
          <w:u w:val="none"/>
        </w:rPr>
        <w:t xml:space="preserve"> as the organ of the company in a like sense to that used by Gower in his well-known text on Modern Company Law of the board of directors of the </w:t>
      </w:r>
      <w:r w:rsidR="00AB6D9E" w:rsidRPr="00AB6D9E">
        <w:rPr>
          <w:i/>
          <w:u w:val="none"/>
        </w:rPr>
        <w:t>members in general meeting as the organ of the company is such an admission. The applicant would be bound thereby.”</w:t>
      </w:r>
    </w:p>
    <w:p w:rsidR="00531C9C" w:rsidRPr="00531C9C" w:rsidRDefault="00531C9C" w:rsidP="00531C9C">
      <w:pPr>
        <w:pStyle w:val="ListParagraph"/>
        <w:rPr>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[47]</w:t>
      </w:r>
      <w:r>
        <w:rPr>
          <w:rFonts w:hAnsi="Arial Unicode MS"/>
          <w:u w:val="none"/>
        </w:rPr>
        <w:tab/>
      </w:r>
      <w:r w:rsidR="00AB6D9E" w:rsidRPr="00C03185">
        <w:rPr>
          <w:u w:val="none"/>
        </w:rPr>
        <w:t xml:space="preserve">Whilst in the present case the insolvent is a person and not a company, the same principle applies – the undisputed evidence of Ms Douglas was that the plaintiff </w:t>
      </w:r>
      <w:r w:rsidR="00011A45" w:rsidRPr="00C03185">
        <w:rPr>
          <w:u w:val="none"/>
        </w:rPr>
        <w:t>submitted a</w:t>
      </w:r>
      <w:r w:rsidR="00AB6D9E" w:rsidRPr="00C03185">
        <w:rPr>
          <w:u w:val="none"/>
        </w:rPr>
        <w:t xml:space="preserve"> claim in the insolvent estate</w:t>
      </w:r>
      <w:r w:rsidR="00011A45" w:rsidRPr="00C03185">
        <w:rPr>
          <w:u w:val="none"/>
        </w:rPr>
        <w:t xml:space="preserve"> at the creditors meeting </w:t>
      </w:r>
      <w:r w:rsidR="009859C5" w:rsidRPr="00C03185">
        <w:rPr>
          <w:u w:val="none"/>
        </w:rPr>
        <w:t xml:space="preserve">and </w:t>
      </w:r>
      <w:r w:rsidR="00011A45" w:rsidRPr="00C03185">
        <w:rPr>
          <w:u w:val="none"/>
        </w:rPr>
        <w:t xml:space="preserve">was paid out 2 separate amounts – the first was </w:t>
      </w:r>
      <w:r w:rsidR="00011A45" w:rsidRPr="00C03185">
        <w:rPr>
          <w:u w:val="none"/>
        </w:rPr>
        <w:lastRenderedPageBreak/>
        <w:t>R20 109 451-91 and the second was R5 583 625-59.</w:t>
      </w:r>
    </w:p>
    <w:p w:rsidR="00531C9C" w:rsidRPr="00531C9C" w:rsidRDefault="00531C9C" w:rsidP="00531C9C">
      <w:pPr>
        <w:pStyle w:val="ListParagraph"/>
        <w:rPr>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[48]</w:t>
      </w:r>
      <w:r>
        <w:rPr>
          <w:rFonts w:hAnsi="Arial Unicode MS"/>
          <w:u w:val="none"/>
        </w:rPr>
        <w:tab/>
      </w:r>
      <w:r w:rsidR="00752ACA" w:rsidRPr="00C03185">
        <w:rPr>
          <w:u w:val="none"/>
        </w:rPr>
        <w:t>Bearing in mind that a sequestration of a debtor’s estate</w:t>
      </w:r>
      <w:r w:rsidR="002D6074" w:rsidRPr="00C03185">
        <w:rPr>
          <w:u w:val="none"/>
        </w:rPr>
        <w:t xml:space="preserve"> results in a </w:t>
      </w:r>
      <w:proofErr w:type="spellStart"/>
      <w:r w:rsidR="002D6074" w:rsidRPr="00C03185">
        <w:rPr>
          <w:i/>
          <w:u w:val="none"/>
        </w:rPr>
        <w:t>concursus</w:t>
      </w:r>
      <w:proofErr w:type="spellEnd"/>
      <w:r w:rsidR="002D6074" w:rsidRPr="00C03185">
        <w:rPr>
          <w:i/>
          <w:u w:val="none"/>
        </w:rPr>
        <w:t xml:space="preserve"> </w:t>
      </w:r>
      <w:proofErr w:type="spellStart"/>
      <w:r w:rsidR="002D6074" w:rsidRPr="00C03185">
        <w:rPr>
          <w:i/>
          <w:u w:val="none"/>
        </w:rPr>
        <w:t>creditorum</w:t>
      </w:r>
      <w:proofErr w:type="spellEnd"/>
      <w:r w:rsidR="002D6074" w:rsidRPr="00C03185">
        <w:rPr>
          <w:u w:val="none"/>
        </w:rPr>
        <w:t xml:space="preserve">, that the insolvent is divested of his estate </w:t>
      </w:r>
      <w:r w:rsidR="00251137" w:rsidRPr="00C03185">
        <w:rPr>
          <w:u w:val="none"/>
        </w:rPr>
        <w:t>which</w:t>
      </w:r>
      <w:r w:rsidR="002D6074" w:rsidRPr="00C03185">
        <w:rPr>
          <w:u w:val="none"/>
        </w:rPr>
        <w:t xml:space="preserve"> is then vested in the trustee</w:t>
      </w:r>
      <w:r w:rsidR="002D6074">
        <w:rPr>
          <w:rStyle w:val="FootnoteReference"/>
          <w:u w:val="none"/>
        </w:rPr>
        <w:footnoteReference w:id="42"/>
      </w:r>
      <w:r w:rsidR="00DF3222" w:rsidRPr="00C03185">
        <w:rPr>
          <w:u w:val="none"/>
        </w:rPr>
        <w:t xml:space="preserve"> and that any creditors rights to enforce a claim against the debtor i</w:t>
      </w:r>
      <w:r w:rsidR="00612783" w:rsidRPr="00C03185">
        <w:rPr>
          <w:u w:val="none"/>
        </w:rPr>
        <w:t>s</w:t>
      </w:r>
      <w:r w:rsidR="00DF3222" w:rsidRPr="00C03185">
        <w:rPr>
          <w:u w:val="none"/>
        </w:rPr>
        <w:t xml:space="preserve"> now </w:t>
      </w:r>
      <w:r w:rsidR="00422D38" w:rsidRPr="00C03185">
        <w:rPr>
          <w:u w:val="none"/>
        </w:rPr>
        <w:t>solely by way of proving one a</w:t>
      </w:r>
      <w:r w:rsidR="00DF3222" w:rsidRPr="00C03185">
        <w:rPr>
          <w:u w:val="none"/>
        </w:rPr>
        <w:t xml:space="preserve">gainst the insolvent estate, the principle set out in </w:t>
      </w:r>
      <w:r w:rsidR="00DF3222" w:rsidRPr="00C03185">
        <w:rPr>
          <w:b/>
          <w:u w:val="none"/>
        </w:rPr>
        <w:t>Two Sixty Four I</w:t>
      </w:r>
      <w:r w:rsidR="004C78F0" w:rsidRPr="00C03185">
        <w:rPr>
          <w:b/>
          <w:u w:val="none"/>
        </w:rPr>
        <w:t>nvestments</w:t>
      </w:r>
      <w:r w:rsidR="004C78F0" w:rsidRPr="00C03185">
        <w:rPr>
          <w:u w:val="none"/>
        </w:rPr>
        <w:t xml:space="preserve"> still applies. </w:t>
      </w:r>
    </w:p>
    <w:p w:rsidR="00531C9C" w:rsidRPr="00531C9C" w:rsidRDefault="00531C9C" w:rsidP="00531C9C">
      <w:pPr>
        <w:pStyle w:val="ListParagraph"/>
        <w:rPr>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[49]</w:t>
      </w:r>
      <w:r>
        <w:rPr>
          <w:rFonts w:hAnsi="Arial Unicode MS"/>
          <w:u w:val="none"/>
        </w:rPr>
        <w:tab/>
      </w:r>
      <w:r w:rsidR="00546767" w:rsidRPr="00C03185">
        <w:rPr>
          <w:u w:val="none"/>
        </w:rPr>
        <w:t>This being so, the defendants are bound by these actions and this defence is not available to them.</w:t>
      </w:r>
    </w:p>
    <w:p w:rsidR="00531C9C" w:rsidRPr="00531C9C" w:rsidRDefault="00531C9C" w:rsidP="00531C9C">
      <w:pPr>
        <w:pStyle w:val="ListParagraph"/>
        <w:rPr>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[50]</w:t>
      </w:r>
      <w:r>
        <w:rPr>
          <w:rFonts w:hAnsi="Arial Unicode MS"/>
          <w:u w:val="none"/>
        </w:rPr>
        <w:tab/>
      </w:r>
      <w:r w:rsidR="00546767" w:rsidRPr="00C03185">
        <w:rPr>
          <w:u w:val="none"/>
        </w:rPr>
        <w:t xml:space="preserve">Mr van der Merwe has submitted that the defence is, in any event, not </w:t>
      </w:r>
      <w:r w:rsidR="00546767" w:rsidRPr="00C03185">
        <w:rPr>
          <w:u w:val="none"/>
        </w:rPr>
        <w:lastRenderedPageBreak/>
        <w:t xml:space="preserve">available to the defendants based on the principle set out </w:t>
      </w:r>
      <w:r w:rsidR="00CD7011" w:rsidRPr="00C03185">
        <w:rPr>
          <w:u w:val="none"/>
        </w:rPr>
        <w:t xml:space="preserve">in </w:t>
      </w:r>
      <w:r w:rsidR="00546767" w:rsidRPr="00C03185">
        <w:rPr>
          <w:b/>
          <w:u w:val="none"/>
        </w:rPr>
        <w:t>Nedcor</w:t>
      </w:r>
      <w:r w:rsidR="00546767" w:rsidRPr="00C03185">
        <w:rPr>
          <w:u w:val="none"/>
        </w:rPr>
        <w:t xml:space="preserve"> (supra)</w:t>
      </w:r>
      <w:r w:rsidR="00E65FCC">
        <w:rPr>
          <w:rStyle w:val="FootnoteReference"/>
          <w:u w:val="none"/>
        </w:rPr>
        <w:footnoteReference w:id="43"/>
      </w:r>
      <w:r w:rsidR="00546767" w:rsidRPr="00C03185">
        <w:rPr>
          <w:u w:val="none"/>
        </w:rPr>
        <w:t xml:space="preserve"> and </w:t>
      </w:r>
      <w:proofErr w:type="spellStart"/>
      <w:r w:rsidR="00546767" w:rsidRPr="00C03185">
        <w:rPr>
          <w:b/>
          <w:u w:val="none"/>
          <w:lang w:val="en-US"/>
        </w:rPr>
        <w:t>Unica</w:t>
      </w:r>
      <w:proofErr w:type="spellEnd"/>
      <w:r w:rsidR="00546767" w:rsidRPr="00C03185">
        <w:rPr>
          <w:b/>
          <w:u w:val="none"/>
          <w:lang w:val="en-US"/>
        </w:rPr>
        <w:t xml:space="preserve"> Iron and Steel (Pty) Ltd and Another v </w:t>
      </w:r>
      <w:proofErr w:type="spellStart"/>
      <w:r w:rsidR="00546767" w:rsidRPr="00C03185">
        <w:rPr>
          <w:b/>
          <w:u w:val="none"/>
          <w:lang w:val="en-US"/>
        </w:rPr>
        <w:t>Mirchandani</w:t>
      </w:r>
      <w:proofErr w:type="spellEnd"/>
      <w:r w:rsidR="00546767" w:rsidRPr="00546767">
        <w:rPr>
          <w:rStyle w:val="FootnoteReference"/>
          <w:u w:val="none"/>
          <w:lang w:val="en-US"/>
        </w:rPr>
        <w:footnoteReference w:id="44"/>
      </w:r>
      <w:r w:rsidR="00546767" w:rsidRPr="00C03185">
        <w:rPr>
          <w:u w:val="none"/>
          <w:lang w:val="en-US"/>
        </w:rPr>
        <w:t xml:space="preserve"> on the basis that, irrespective of the actual words used in the 2</w:t>
      </w:r>
      <w:r w:rsidR="00546767" w:rsidRPr="00C03185">
        <w:rPr>
          <w:u w:val="none"/>
          <w:vertAlign w:val="superscript"/>
          <w:lang w:val="en-US"/>
        </w:rPr>
        <w:t>nd</w:t>
      </w:r>
      <w:r w:rsidR="00546767" w:rsidRPr="00C03185">
        <w:rPr>
          <w:u w:val="none"/>
          <w:lang w:val="en-US"/>
        </w:rPr>
        <w:t xml:space="preserve"> agreement</w:t>
      </w:r>
      <w:r w:rsidR="009859C5" w:rsidRPr="00C03185">
        <w:rPr>
          <w:u w:val="none"/>
          <w:lang w:val="en-US"/>
        </w:rPr>
        <w:t>,</w:t>
      </w:r>
      <w:r w:rsidR="00546767" w:rsidRPr="00C03185">
        <w:rPr>
          <w:u w:val="none"/>
          <w:lang w:val="en-US"/>
        </w:rPr>
        <w:t xml:space="preserve"> the plaintiff and the insolvent proceeded to impl</w:t>
      </w:r>
      <w:r w:rsidR="00CC5381" w:rsidRPr="00C03185">
        <w:rPr>
          <w:u w:val="none"/>
          <w:lang w:val="en-US"/>
        </w:rPr>
        <w:t>ement its terms and all their co</w:t>
      </w:r>
      <w:r w:rsidR="00546767" w:rsidRPr="00C03185">
        <w:rPr>
          <w:u w:val="none"/>
          <w:lang w:val="en-US"/>
        </w:rPr>
        <w:t xml:space="preserve">nduct demonstrated unequivocally that they regarded the agreement as binding upon them. Given all that has been said </w:t>
      </w:r>
      <w:r w:rsidR="00546767" w:rsidRPr="00C03185">
        <w:rPr>
          <w:i/>
          <w:u w:val="none"/>
          <w:lang w:val="en-US"/>
        </w:rPr>
        <w:t>supra</w:t>
      </w:r>
      <w:r w:rsidR="00546767" w:rsidRPr="00C03185">
        <w:rPr>
          <w:u w:val="none"/>
          <w:lang w:val="en-US"/>
        </w:rPr>
        <w:t>, it is not necessary for me to consider this in any further depth other than to state</w:t>
      </w:r>
      <w:r w:rsidR="005879D2" w:rsidRPr="00C03185">
        <w:rPr>
          <w:u w:val="none"/>
          <w:lang w:val="en-US"/>
        </w:rPr>
        <w:t xml:space="preserve"> that it is clear from the conduct of plaintiff and the insolvent that it is indeed so that their intention was to be so bound</w:t>
      </w:r>
      <w:r w:rsidR="00456733" w:rsidRPr="00C03185">
        <w:rPr>
          <w:u w:val="none"/>
          <w:lang w:val="en-US"/>
        </w:rPr>
        <w:t xml:space="preserve"> and that they considered themselves so bound</w:t>
      </w:r>
      <w:r w:rsidR="005879D2" w:rsidRPr="00C03185">
        <w:rPr>
          <w:u w:val="none"/>
          <w:lang w:val="en-US"/>
        </w:rPr>
        <w:t>.</w:t>
      </w:r>
    </w:p>
    <w:p w:rsidR="00531C9C" w:rsidRPr="00531C9C" w:rsidRDefault="00531C9C" w:rsidP="00531C9C">
      <w:pPr>
        <w:pStyle w:val="ListParagraph"/>
        <w:rPr>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[51]</w:t>
      </w:r>
      <w:r>
        <w:rPr>
          <w:rFonts w:hAnsi="Arial Unicode MS"/>
          <w:u w:val="none"/>
        </w:rPr>
        <w:tab/>
      </w:r>
      <w:r w:rsidR="005879D2" w:rsidRPr="00C03185">
        <w:rPr>
          <w:u w:val="none"/>
        </w:rPr>
        <w:t>This being so</w:t>
      </w:r>
      <w:r w:rsidR="00456733" w:rsidRPr="00C03185">
        <w:rPr>
          <w:u w:val="none"/>
        </w:rPr>
        <w:t>,</w:t>
      </w:r>
      <w:r w:rsidR="005879D2" w:rsidRPr="00C03185">
        <w:rPr>
          <w:u w:val="none"/>
        </w:rPr>
        <w:t xml:space="preserve"> the defence that the </w:t>
      </w:r>
      <w:proofErr w:type="spellStart"/>
      <w:r w:rsidR="005879D2" w:rsidRPr="00C03185">
        <w:rPr>
          <w:u w:val="none"/>
        </w:rPr>
        <w:t>AoD</w:t>
      </w:r>
      <w:proofErr w:type="spellEnd"/>
      <w:r w:rsidR="005879D2" w:rsidRPr="00C03185">
        <w:rPr>
          <w:u w:val="none"/>
        </w:rPr>
        <w:t xml:space="preserve"> and Consolidation Agreement is void </w:t>
      </w:r>
      <w:r w:rsidR="005879D2" w:rsidRPr="00C03185">
        <w:rPr>
          <w:i/>
          <w:u w:val="none"/>
        </w:rPr>
        <w:t>ab initio</w:t>
      </w:r>
      <w:r w:rsidR="005879D2" w:rsidRPr="00C03185">
        <w:rPr>
          <w:u w:val="none"/>
        </w:rPr>
        <w:t xml:space="preserve"> is dismissed.</w:t>
      </w:r>
    </w:p>
    <w:p w:rsidR="009859C5" w:rsidRPr="009859C5" w:rsidRDefault="009859C5" w:rsidP="009859C5">
      <w:pPr>
        <w:pStyle w:val="ListParagraph"/>
        <w:rPr>
          <w:u w:val="none"/>
        </w:rPr>
      </w:pPr>
    </w:p>
    <w:p w:rsidR="009859C5" w:rsidRPr="009859C5" w:rsidRDefault="009859C5" w:rsidP="009859C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b/>
          <w:u w:val="none"/>
        </w:rPr>
      </w:pPr>
      <w:r>
        <w:rPr>
          <w:b/>
          <w:u w:val="none"/>
        </w:rPr>
        <w:t>THE CERTIFICATE OF BALANCE</w:t>
      </w:r>
    </w:p>
    <w:p w:rsidR="00531C9C" w:rsidRPr="00531C9C" w:rsidRDefault="00531C9C" w:rsidP="00531C9C">
      <w:pPr>
        <w:pStyle w:val="ListParagraph"/>
        <w:rPr>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[52]</w:t>
      </w:r>
      <w:r>
        <w:rPr>
          <w:rFonts w:hAnsi="Arial Unicode MS"/>
          <w:u w:val="none"/>
        </w:rPr>
        <w:tab/>
      </w:r>
      <w:r w:rsidR="00502A5E" w:rsidRPr="00C03185">
        <w:rPr>
          <w:u w:val="none"/>
        </w:rPr>
        <w:t>Given the dismissal of this defence, there was no defence mounted against the Certificate of Balance</w:t>
      </w:r>
      <w:r w:rsidR="00502A5E">
        <w:rPr>
          <w:rStyle w:val="FootnoteReference"/>
          <w:u w:val="none"/>
        </w:rPr>
        <w:footnoteReference w:id="45"/>
      </w:r>
      <w:r w:rsidR="00502A5E" w:rsidRPr="00C03185">
        <w:rPr>
          <w:u w:val="none"/>
        </w:rPr>
        <w:t xml:space="preserve"> </w:t>
      </w:r>
      <w:r w:rsidR="00600BC6" w:rsidRPr="00C03185">
        <w:rPr>
          <w:u w:val="none"/>
        </w:rPr>
        <w:t>produced by the plaintiff. This took into account the amounts owing by the insolvent in regard of all the agreements, deducted amounts recovered from the insolvent estate and amended the compound interest to simple interest. The result is that the initial capital claim of R27 776 142-76 was reduced to R22 556 651-19 which is to defendants</w:t>
      </w:r>
      <w:r w:rsidR="00EF2383" w:rsidRPr="00C03185">
        <w:rPr>
          <w:u w:val="none"/>
        </w:rPr>
        <w:t>’</w:t>
      </w:r>
      <w:r w:rsidR="00600BC6" w:rsidRPr="00C03185">
        <w:rPr>
          <w:u w:val="none"/>
        </w:rPr>
        <w:t xml:space="preserve"> benefit.</w:t>
      </w:r>
    </w:p>
    <w:p w:rsidR="002D7F65" w:rsidRPr="002D7F65" w:rsidRDefault="002D7F65" w:rsidP="002D7F65">
      <w:pPr>
        <w:pStyle w:val="ListParagraph"/>
        <w:rPr>
          <w:u w:val="none"/>
        </w:rPr>
      </w:pPr>
    </w:p>
    <w:p w:rsidR="00FE7B81" w:rsidRDefault="00FE7B81" w:rsidP="00364BEB">
      <w:pPr>
        <w:rPr>
          <w:b/>
          <w:u w:val="none"/>
        </w:rPr>
      </w:pPr>
    </w:p>
    <w:p w:rsidR="00337DD2" w:rsidRDefault="00337DD2" w:rsidP="00364BEB">
      <w:pPr>
        <w:rPr>
          <w:b/>
          <w:u w:val="none"/>
        </w:rPr>
      </w:pPr>
    </w:p>
    <w:p w:rsidR="00531C9C" w:rsidRDefault="00364BEB" w:rsidP="00364BEB">
      <w:pPr>
        <w:rPr>
          <w:b/>
          <w:u w:val="none"/>
        </w:rPr>
      </w:pPr>
      <w:r w:rsidRPr="00364BEB">
        <w:rPr>
          <w:b/>
          <w:u w:val="none"/>
        </w:rPr>
        <w:lastRenderedPageBreak/>
        <w:t>THE OTHER DEFENCES</w:t>
      </w:r>
    </w:p>
    <w:p w:rsidR="00FE7B81" w:rsidRPr="00364BEB" w:rsidRDefault="00FE7B81" w:rsidP="00364BEB">
      <w:pPr>
        <w:rPr>
          <w:b/>
          <w:u w:val="none"/>
        </w:rPr>
      </w:pPr>
    </w:p>
    <w:p w:rsidR="00531C9C"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[53]</w:t>
      </w:r>
      <w:r>
        <w:rPr>
          <w:rFonts w:hAnsi="Arial Unicode MS"/>
          <w:u w:val="none"/>
        </w:rPr>
        <w:tab/>
      </w:r>
      <w:r w:rsidR="00FE7B81" w:rsidRPr="00C03185">
        <w:rPr>
          <w:u w:val="none"/>
        </w:rPr>
        <w:t xml:space="preserve">The submission by defendants was that, whilst they were not abandoning any of the defences raised in the pleadings, they were not </w:t>
      </w:r>
      <w:r w:rsidR="009859C5" w:rsidRPr="00C03185">
        <w:rPr>
          <w:u w:val="none"/>
        </w:rPr>
        <w:t>arguing</w:t>
      </w:r>
      <w:r w:rsidR="00FE7B81" w:rsidRPr="00C03185">
        <w:rPr>
          <w:u w:val="none"/>
        </w:rPr>
        <w:t xml:space="preserve"> them. But this is, quite frankly, a </w:t>
      </w:r>
      <w:r w:rsidR="00FE7B81" w:rsidRPr="00C03185">
        <w:rPr>
          <w:i/>
          <w:u w:val="none"/>
        </w:rPr>
        <w:t>non sequitur</w:t>
      </w:r>
      <w:r w:rsidR="00337DD2" w:rsidRPr="00C03185">
        <w:rPr>
          <w:u w:val="none"/>
        </w:rPr>
        <w:t xml:space="preserve"> - </w:t>
      </w:r>
      <w:r w:rsidR="00FE7B81" w:rsidRPr="00C03185">
        <w:rPr>
          <w:u w:val="none"/>
        </w:rPr>
        <w:t xml:space="preserve">by not arguing these issues it is clear that defendants are not relying on any of these defences. This is simply underscored by the fact that </w:t>
      </w:r>
      <w:r w:rsidR="00337DD2" w:rsidRPr="00C03185">
        <w:rPr>
          <w:u w:val="none"/>
        </w:rPr>
        <w:t>they closed their cases without tendering any evidence.</w:t>
      </w:r>
    </w:p>
    <w:p w:rsidR="009859C5" w:rsidRDefault="009859C5" w:rsidP="009859C5">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u w:val="none"/>
        </w:rPr>
      </w:pPr>
    </w:p>
    <w:p w:rsidR="00531C9C" w:rsidRDefault="009859C5" w:rsidP="00FE7B81">
      <w:pPr>
        <w:rPr>
          <w:b/>
          <w:u w:val="none"/>
        </w:rPr>
      </w:pPr>
      <w:r>
        <w:rPr>
          <w:b/>
          <w:u w:val="none"/>
        </w:rPr>
        <w:t>ORDER</w:t>
      </w:r>
    </w:p>
    <w:p w:rsidR="00FE7B81" w:rsidRPr="00FE7B81" w:rsidRDefault="00FE7B81" w:rsidP="00FE7B81">
      <w:pPr>
        <w:rPr>
          <w:b/>
          <w:u w:val="none"/>
        </w:rPr>
      </w:pPr>
    </w:p>
    <w:p w:rsidR="009859C5" w:rsidRPr="00C03185" w:rsidRDefault="00C03185" w:rsidP="00C03185">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hanging="709"/>
        <w:jc w:val="both"/>
        <w:rPr>
          <w:u w:val="none"/>
        </w:rPr>
      </w:pPr>
      <w:r>
        <w:rPr>
          <w:rFonts w:hAnsi="Arial Unicode MS"/>
          <w:u w:val="none"/>
        </w:rPr>
        <w:t>[54]</w:t>
      </w:r>
      <w:r>
        <w:rPr>
          <w:rFonts w:hAnsi="Arial Unicode MS"/>
          <w:u w:val="none"/>
        </w:rPr>
        <w:tab/>
      </w:r>
      <w:r w:rsidR="00FE7B81" w:rsidRPr="00C03185">
        <w:rPr>
          <w:u w:val="none"/>
        </w:rPr>
        <w:t>In my view, the plaintiff has succeeded in proving its claim and judgment is therefore granted</w:t>
      </w:r>
      <w:r w:rsidR="009859C5" w:rsidRPr="00C03185">
        <w:rPr>
          <w:u w:val="none"/>
        </w:rPr>
        <w:t xml:space="preserve"> as follows:</w:t>
      </w:r>
    </w:p>
    <w:p w:rsidR="00531C9C" w:rsidRPr="009859C5" w:rsidRDefault="009859C5" w:rsidP="009859C5">
      <w:pPr>
        <w:pStyle w:val="ListParagraph"/>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09"/>
        <w:jc w:val="both"/>
        <w:rPr>
          <w:b/>
        </w:rPr>
      </w:pPr>
      <w:r>
        <w:rPr>
          <w:b/>
        </w:rPr>
        <w:t>A</w:t>
      </w:r>
      <w:r w:rsidRPr="009859C5">
        <w:rPr>
          <w:b/>
        </w:rPr>
        <w:t>s</w:t>
      </w:r>
      <w:r w:rsidR="00FE7B81" w:rsidRPr="009859C5">
        <w:rPr>
          <w:b/>
        </w:rPr>
        <w:t xml:space="preserve"> against</w:t>
      </w:r>
      <w:r w:rsidR="008F5BCF" w:rsidRPr="009859C5">
        <w:rPr>
          <w:b/>
        </w:rPr>
        <w:t xml:space="preserve"> the </w:t>
      </w:r>
      <w:r>
        <w:rPr>
          <w:b/>
        </w:rPr>
        <w:t>First and Second Defendants</w:t>
      </w:r>
      <w:r w:rsidR="008F5BCF" w:rsidRPr="009859C5">
        <w:rPr>
          <w:b/>
        </w:rPr>
        <w:t xml:space="preserve"> jointly and severally the one paying the other to be absolved for:</w:t>
      </w:r>
    </w:p>
    <w:p w:rsidR="003C447B" w:rsidRPr="00C03185" w:rsidRDefault="00C03185" w:rsidP="00C03185">
      <w:pPr>
        <w:tabs>
          <w:tab w:val="left" w:pos="-720"/>
        </w:tabs>
        <w:suppressAutoHyphens/>
        <w:spacing w:line="480" w:lineRule="atLeast"/>
        <w:ind w:left="1418" w:hanging="709"/>
        <w:jc w:val="both"/>
        <w:rPr>
          <w:spacing w:val="-3"/>
          <w:u w:val="none"/>
        </w:rPr>
      </w:pPr>
      <w:r w:rsidRPr="003C447B">
        <w:rPr>
          <w:spacing w:val="-3"/>
          <w:u w:val="none"/>
        </w:rPr>
        <w:t>1.</w:t>
      </w:r>
      <w:r w:rsidRPr="003C447B">
        <w:rPr>
          <w:spacing w:val="-3"/>
          <w:u w:val="none"/>
        </w:rPr>
        <w:tab/>
      </w:r>
      <w:r w:rsidR="003C447B" w:rsidRPr="00C03185">
        <w:rPr>
          <w:spacing w:val="-3"/>
          <w:u w:val="none"/>
        </w:rPr>
        <w:t xml:space="preserve">Payment of the capital amount of </w:t>
      </w:r>
      <w:r w:rsidR="003C447B" w:rsidRPr="00C03185">
        <w:rPr>
          <w:b/>
          <w:spacing w:val="-3"/>
          <w:u w:val="none"/>
        </w:rPr>
        <w:t>R22 556 651.19</w:t>
      </w:r>
      <w:r w:rsidR="009859C5" w:rsidRPr="00C03185">
        <w:rPr>
          <w:spacing w:val="-3"/>
          <w:u w:val="none"/>
        </w:rPr>
        <w:t>.</w:t>
      </w:r>
    </w:p>
    <w:p w:rsidR="003C447B" w:rsidRPr="00C03185" w:rsidRDefault="00C03185" w:rsidP="00C03185">
      <w:pPr>
        <w:tabs>
          <w:tab w:val="left" w:pos="-720"/>
        </w:tabs>
        <w:suppressAutoHyphens/>
        <w:spacing w:line="480" w:lineRule="atLeast"/>
        <w:ind w:left="1418" w:hanging="709"/>
        <w:jc w:val="both"/>
        <w:rPr>
          <w:spacing w:val="-3"/>
          <w:u w:val="none"/>
        </w:rPr>
      </w:pPr>
      <w:r w:rsidRPr="003C447B">
        <w:rPr>
          <w:spacing w:val="-3"/>
          <w:u w:val="none"/>
        </w:rPr>
        <w:t>2.</w:t>
      </w:r>
      <w:r w:rsidRPr="003C447B">
        <w:rPr>
          <w:spacing w:val="-3"/>
          <w:u w:val="none"/>
        </w:rPr>
        <w:tab/>
      </w:r>
      <w:r w:rsidR="003C447B" w:rsidRPr="00C03185">
        <w:rPr>
          <w:spacing w:val="-3"/>
          <w:u w:val="none"/>
        </w:rPr>
        <w:t>Payment of simple interest on the aforesaid amount, at the rate of prime plus 6% calculated from 20 May 2017 to date of final pa</w:t>
      </w:r>
      <w:r w:rsidR="009859C5" w:rsidRPr="00C03185">
        <w:rPr>
          <w:spacing w:val="-3"/>
          <w:u w:val="none"/>
        </w:rPr>
        <w:t>yment.</w:t>
      </w:r>
    </w:p>
    <w:p w:rsidR="00CD7011" w:rsidRDefault="00CD7011" w:rsidP="003D0620">
      <w:pPr>
        <w:tabs>
          <w:tab w:val="left" w:pos="-720"/>
        </w:tabs>
        <w:suppressAutoHyphens/>
        <w:spacing w:line="480" w:lineRule="atLeast"/>
        <w:jc w:val="both"/>
        <w:rPr>
          <w:b/>
          <w:spacing w:val="-3"/>
        </w:rPr>
      </w:pPr>
    </w:p>
    <w:p w:rsidR="003D0620" w:rsidRPr="009859C5" w:rsidRDefault="009859C5" w:rsidP="003D0620">
      <w:pPr>
        <w:tabs>
          <w:tab w:val="left" w:pos="-720"/>
        </w:tabs>
        <w:suppressAutoHyphens/>
        <w:spacing w:line="480" w:lineRule="atLeast"/>
        <w:jc w:val="both"/>
        <w:rPr>
          <w:b/>
          <w:spacing w:val="-3"/>
        </w:rPr>
      </w:pPr>
      <w:r w:rsidRPr="009859C5">
        <w:rPr>
          <w:spacing w:val="-3"/>
          <w:u w:val="none"/>
        </w:rPr>
        <w:tab/>
      </w:r>
      <w:r w:rsidRPr="009859C5">
        <w:rPr>
          <w:b/>
          <w:spacing w:val="-3"/>
        </w:rPr>
        <w:t xml:space="preserve">As </w:t>
      </w:r>
      <w:r>
        <w:rPr>
          <w:b/>
          <w:spacing w:val="-3"/>
        </w:rPr>
        <w:t>against the First D</w:t>
      </w:r>
      <w:r w:rsidRPr="009859C5">
        <w:rPr>
          <w:b/>
          <w:spacing w:val="-3"/>
        </w:rPr>
        <w:t>efendant:</w:t>
      </w:r>
    </w:p>
    <w:p w:rsidR="003D0620" w:rsidRPr="00C03185" w:rsidRDefault="00C03185" w:rsidP="00C03185">
      <w:pPr>
        <w:tabs>
          <w:tab w:val="left" w:pos="-720"/>
        </w:tabs>
        <w:suppressAutoHyphens/>
        <w:spacing w:line="480" w:lineRule="atLeast"/>
        <w:ind w:left="1418" w:hanging="709"/>
        <w:jc w:val="both"/>
        <w:rPr>
          <w:spacing w:val="-3"/>
          <w:u w:val="none"/>
        </w:rPr>
      </w:pPr>
      <w:r w:rsidRPr="003D0620">
        <w:rPr>
          <w:spacing w:val="-3"/>
          <w:u w:val="none"/>
        </w:rPr>
        <w:t>3.</w:t>
      </w:r>
      <w:r w:rsidRPr="003D0620">
        <w:rPr>
          <w:spacing w:val="-3"/>
          <w:u w:val="none"/>
        </w:rPr>
        <w:tab/>
      </w:r>
      <w:r w:rsidR="003D0620" w:rsidRPr="00C03185">
        <w:rPr>
          <w:spacing w:val="-3"/>
          <w:u w:val="none"/>
        </w:rPr>
        <w:t>That the immovable property of the First Defendant, namely:</w:t>
      </w:r>
    </w:p>
    <w:p w:rsidR="003D0620" w:rsidRPr="00C03185" w:rsidRDefault="00C03185" w:rsidP="00C03185">
      <w:pPr>
        <w:tabs>
          <w:tab w:val="left" w:pos="-720"/>
        </w:tabs>
        <w:suppressAutoHyphens/>
        <w:spacing w:line="480" w:lineRule="atLeast"/>
        <w:ind w:left="2127" w:hanging="709"/>
        <w:jc w:val="both"/>
        <w:rPr>
          <w:spacing w:val="-3"/>
          <w:u w:val="none"/>
        </w:rPr>
      </w:pPr>
      <w:r w:rsidRPr="003D0620">
        <w:rPr>
          <w:spacing w:val="-3"/>
          <w:u w:val="none"/>
        </w:rPr>
        <w:t>3.1</w:t>
      </w:r>
      <w:r w:rsidRPr="003D0620">
        <w:rPr>
          <w:spacing w:val="-3"/>
          <w:u w:val="none"/>
        </w:rPr>
        <w:tab/>
      </w:r>
      <w:r w:rsidR="003D0620" w:rsidRPr="00C03185">
        <w:rPr>
          <w:spacing w:val="-3"/>
          <w:u w:val="none"/>
        </w:rPr>
        <w:t xml:space="preserve">Remaining Extent of Portion </w:t>
      </w:r>
      <w:r w:rsidR="00F32C74">
        <w:rPr>
          <w:u w:val="none"/>
        </w:rPr>
        <w:t>[…]</w:t>
      </w:r>
      <w:r w:rsidR="003D0620" w:rsidRPr="00C03185">
        <w:rPr>
          <w:spacing w:val="-3"/>
          <w:u w:val="none"/>
        </w:rPr>
        <w:t xml:space="preserve"> of the Farm </w:t>
      </w:r>
      <w:proofErr w:type="gramStart"/>
      <w:r w:rsidR="003D0620" w:rsidRPr="00C03185">
        <w:rPr>
          <w:spacing w:val="-3"/>
          <w:u w:val="none"/>
        </w:rPr>
        <w:t>S</w:t>
      </w:r>
      <w:r w:rsidR="00F32C74">
        <w:rPr>
          <w:u w:val="none"/>
        </w:rPr>
        <w:t>[</w:t>
      </w:r>
      <w:proofErr w:type="gramEnd"/>
      <w:r w:rsidR="00F32C74">
        <w:rPr>
          <w:u w:val="none"/>
        </w:rPr>
        <w:t>…]</w:t>
      </w:r>
      <w:r w:rsidR="003D0620" w:rsidRPr="00C03185">
        <w:rPr>
          <w:spacing w:val="-3"/>
          <w:u w:val="none"/>
        </w:rPr>
        <w:t>;</w:t>
      </w:r>
    </w:p>
    <w:p w:rsidR="003D0620" w:rsidRPr="003D0620" w:rsidRDefault="003D0620" w:rsidP="003D0620">
      <w:pPr>
        <w:tabs>
          <w:tab w:val="left" w:pos="-720"/>
        </w:tabs>
        <w:suppressAutoHyphens/>
        <w:spacing w:line="480" w:lineRule="atLeast"/>
        <w:ind w:left="1440"/>
        <w:jc w:val="both"/>
        <w:rPr>
          <w:spacing w:val="-3"/>
          <w:u w:val="none"/>
        </w:rPr>
      </w:pPr>
      <w:r>
        <w:rPr>
          <w:spacing w:val="-3"/>
          <w:u w:val="none"/>
        </w:rPr>
        <w:tab/>
      </w:r>
      <w:r w:rsidRPr="003D0620">
        <w:rPr>
          <w:spacing w:val="-3"/>
          <w:u w:val="none"/>
        </w:rPr>
        <w:t xml:space="preserve">Registration Division I.P., North West Province; </w:t>
      </w:r>
    </w:p>
    <w:p w:rsidR="003D0620" w:rsidRPr="003D0620" w:rsidRDefault="003D0620" w:rsidP="003D0620">
      <w:pPr>
        <w:tabs>
          <w:tab w:val="left" w:pos="-720"/>
        </w:tabs>
        <w:suppressAutoHyphens/>
        <w:spacing w:line="480" w:lineRule="atLeast"/>
        <w:ind w:left="1440"/>
        <w:jc w:val="both"/>
        <w:rPr>
          <w:spacing w:val="-3"/>
          <w:u w:val="none"/>
        </w:rPr>
      </w:pPr>
      <w:r>
        <w:rPr>
          <w:spacing w:val="-3"/>
          <w:u w:val="none"/>
        </w:rPr>
        <w:tab/>
      </w:r>
      <w:r w:rsidRPr="003D0620">
        <w:rPr>
          <w:spacing w:val="-3"/>
          <w:u w:val="none"/>
        </w:rPr>
        <w:t xml:space="preserve">In extent 489,0026 hectares; </w:t>
      </w:r>
    </w:p>
    <w:p w:rsidR="003D0620" w:rsidRPr="003D0620" w:rsidRDefault="003D0620" w:rsidP="003D0620">
      <w:pPr>
        <w:tabs>
          <w:tab w:val="left" w:pos="-720"/>
        </w:tabs>
        <w:suppressAutoHyphens/>
        <w:spacing w:line="480" w:lineRule="atLeast"/>
        <w:ind w:left="1440"/>
        <w:jc w:val="both"/>
        <w:rPr>
          <w:spacing w:val="-3"/>
          <w:u w:val="none"/>
        </w:rPr>
      </w:pPr>
      <w:r>
        <w:rPr>
          <w:spacing w:val="-3"/>
          <w:u w:val="none"/>
        </w:rPr>
        <w:tab/>
      </w:r>
      <w:r w:rsidRPr="003D0620">
        <w:rPr>
          <w:spacing w:val="-3"/>
          <w:u w:val="none"/>
        </w:rPr>
        <w:t xml:space="preserve">and held by deed of transfer </w:t>
      </w:r>
      <w:r w:rsidR="009C7ED0">
        <w:rPr>
          <w:u w:val="none"/>
        </w:rPr>
        <w:t>[…]</w:t>
      </w:r>
    </w:p>
    <w:p w:rsidR="003D0620" w:rsidRPr="003D0620" w:rsidRDefault="003D0620" w:rsidP="003D0620">
      <w:pPr>
        <w:tabs>
          <w:tab w:val="left" w:pos="-720"/>
        </w:tabs>
        <w:suppressAutoHyphens/>
        <w:spacing w:line="480" w:lineRule="atLeast"/>
        <w:ind w:left="1440"/>
        <w:jc w:val="both"/>
        <w:rPr>
          <w:spacing w:val="-3"/>
          <w:u w:val="none"/>
        </w:rPr>
      </w:pPr>
    </w:p>
    <w:p w:rsidR="003D0620" w:rsidRPr="00A96C8B" w:rsidRDefault="00A96C8B" w:rsidP="003D0620">
      <w:pPr>
        <w:tabs>
          <w:tab w:val="left" w:pos="-720"/>
        </w:tabs>
        <w:suppressAutoHyphens/>
        <w:spacing w:line="480" w:lineRule="atLeast"/>
        <w:ind w:left="1440"/>
        <w:jc w:val="both"/>
        <w:rPr>
          <w:spacing w:val="-3"/>
          <w:u w:val="none"/>
        </w:rPr>
      </w:pPr>
      <w:r w:rsidRPr="00A96C8B">
        <w:rPr>
          <w:spacing w:val="-3"/>
          <w:u w:val="none"/>
        </w:rPr>
        <w:tab/>
      </w:r>
      <w:r w:rsidR="003D0620" w:rsidRPr="00A96C8B">
        <w:rPr>
          <w:spacing w:val="-3"/>
          <w:u w:val="none"/>
        </w:rPr>
        <w:t>b</w:t>
      </w:r>
      <w:r w:rsidR="009859C5">
        <w:rPr>
          <w:spacing w:val="-3"/>
          <w:u w:val="none"/>
        </w:rPr>
        <w:t xml:space="preserve">e declared </w:t>
      </w:r>
      <w:proofErr w:type="gramStart"/>
      <w:r w:rsidR="009859C5">
        <w:rPr>
          <w:spacing w:val="-3"/>
          <w:u w:val="none"/>
        </w:rPr>
        <w:t>specially</w:t>
      </w:r>
      <w:proofErr w:type="gramEnd"/>
      <w:r w:rsidR="009859C5">
        <w:rPr>
          <w:spacing w:val="-3"/>
          <w:u w:val="none"/>
        </w:rPr>
        <w:t xml:space="preserve"> executable.</w:t>
      </w:r>
    </w:p>
    <w:p w:rsidR="003D0620" w:rsidRPr="00A96C8B" w:rsidRDefault="003D0620" w:rsidP="003D0620">
      <w:pPr>
        <w:tabs>
          <w:tab w:val="left" w:pos="-720"/>
        </w:tabs>
        <w:suppressAutoHyphens/>
        <w:spacing w:line="480" w:lineRule="atLeast"/>
        <w:ind w:left="720"/>
        <w:jc w:val="both"/>
        <w:rPr>
          <w:spacing w:val="-3"/>
          <w:u w:val="none"/>
        </w:rPr>
      </w:pPr>
    </w:p>
    <w:p w:rsidR="003D0620" w:rsidRPr="00C03185" w:rsidRDefault="00C03185" w:rsidP="00C03185">
      <w:pPr>
        <w:tabs>
          <w:tab w:val="left" w:pos="-720"/>
        </w:tabs>
        <w:suppressAutoHyphens/>
        <w:spacing w:line="480" w:lineRule="atLeast"/>
        <w:ind w:left="1418" w:hanging="709"/>
        <w:jc w:val="both"/>
        <w:rPr>
          <w:spacing w:val="-3"/>
          <w:u w:val="none"/>
        </w:rPr>
      </w:pPr>
      <w:r w:rsidRPr="00A96C8B">
        <w:rPr>
          <w:spacing w:val="-3"/>
          <w:u w:val="none"/>
        </w:rPr>
        <w:lastRenderedPageBreak/>
        <w:t>4.</w:t>
      </w:r>
      <w:r w:rsidRPr="00A96C8B">
        <w:rPr>
          <w:spacing w:val="-3"/>
          <w:u w:val="none"/>
        </w:rPr>
        <w:tab/>
      </w:r>
      <w:r w:rsidR="003D0620" w:rsidRPr="00C03185">
        <w:rPr>
          <w:spacing w:val="-3"/>
          <w:u w:val="none"/>
        </w:rPr>
        <w:t>Costs of suit and an attorney and client scale, as agreed in terms of clause 5 of the d</w:t>
      </w:r>
      <w:r w:rsidR="009859C5" w:rsidRPr="00C03185">
        <w:rPr>
          <w:spacing w:val="-3"/>
          <w:u w:val="none"/>
        </w:rPr>
        <w:t>eeds of suretyship, to be taxed.</w:t>
      </w:r>
    </w:p>
    <w:p w:rsidR="003D0620" w:rsidRDefault="003D0620" w:rsidP="003D0620">
      <w:pPr>
        <w:pStyle w:val="ListParagraph"/>
        <w:rPr>
          <w:spacing w:val="-3"/>
        </w:rPr>
      </w:pPr>
    </w:p>
    <w:p w:rsidR="003D0620" w:rsidRDefault="003D0620" w:rsidP="003D0620">
      <w:pPr>
        <w:tabs>
          <w:tab w:val="left" w:pos="-720"/>
        </w:tabs>
        <w:suppressAutoHyphens/>
        <w:spacing w:line="480" w:lineRule="atLeast"/>
        <w:jc w:val="both"/>
        <w:rPr>
          <w:spacing w:val="-3"/>
        </w:rPr>
      </w:pPr>
    </w:p>
    <w:p w:rsidR="003D0620" w:rsidRPr="00CD7011" w:rsidRDefault="009859C5" w:rsidP="003D0620">
      <w:pPr>
        <w:tabs>
          <w:tab w:val="left" w:pos="-720"/>
        </w:tabs>
        <w:suppressAutoHyphens/>
        <w:spacing w:line="480" w:lineRule="atLeast"/>
        <w:jc w:val="both"/>
        <w:rPr>
          <w:b/>
          <w:spacing w:val="-3"/>
        </w:rPr>
      </w:pPr>
      <w:r w:rsidRPr="009859C5">
        <w:rPr>
          <w:spacing w:val="-3"/>
          <w:u w:val="none"/>
        </w:rPr>
        <w:tab/>
      </w:r>
      <w:r>
        <w:rPr>
          <w:b/>
          <w:spacing w:val="-3"/>
        </w:rPr>
        <w:t xml:space="preserve">As against the </w:t>
      </w:r>
      <w:r w:rsidR="000B46B8">
        <w:rPr>
          <w:b/>
          <w:spacing w:val="-3"/>
        </w:rPr>
        <w:t>S</w:t>
      </w:r>
      <w:r>
        <w:rPr>
          <w:b/>
          <w:spacing w:val="-3"/>
        </w:rPr>
        <w:t xml:space="preserve">econd </w:t>
      </w:r>
      <w:r w:rsidR="000B46B8">
        <w:rPr>
          <w:b/>
          <w:spacing w:val="-3"/>
        </w:rPr>
        <w:t>D</w:t>
      </w:r>
      <w:r>
        <w:rPr>
          <w:b/>
          <w:spacing w:val="-3"/>
        </w:rPr>
        <w:t>efendant:</w:t>
      </w:r>
    </w:p>
    <w:p w:rsidR="003D0620" w:rsidRPr="00C03185" w:rsidRDefault="00C03185" w:rsidP="00C03185">
      <w:pPr>
        <w:tabs>
          <w:tab w:val="left" w:pos="-720"/>
        </w:tabs>
        <w:suppressAutoHyphens/>
        <w:spacing w:line="480" w:lineRule="atLeast"/>
        <w:ind w:left="1418" w:hanging="709"/>
        <w:jc w:val="both"/>
        <w:rPr>
          <w:spacing w:val="-3"/>
          <w:u w:val="none"/>
        </w:rPr>
      </w:pPr>
      <w:r w:rsidRPr="00A96C8B">
        <w:rPr>
          <w:spacing w:val="-3"/>
          <w:u w:val="none"/>
        </w:rPr>
        <w:t>5.</w:t>
      </w:r>
      <w:r w:rsidRPr="00A96C8B">
        <w:rPr>
          <w:spacing w:val="-3"/>
          <w:u w:val="none"/>
        </w:rPr>
        <w:tab/>
      </w:r>
      <w:r w:rsidR="003D0620" w:rsidRPr="00C03185">
        <w:rPr>
          <w:spacing w:val="-3"/>
          <w:u w:val="none"/>
        </w:rPr>
        <w:t xml:space="preserve">That the immovable properties of the Second Defendant, namely: </w:t>
      </w:r>
    </w:p>
    <w:p w:rsidR="003D0620" w:rsidRPr="00A96C8B" w:rsidRDefault="00A96C8B" w:rsidP="00A96C8B">
      <w:pPr>
        <w:tabs>
          <w:tab w:val="left" w:pos="-720"/>
        </w:tabs>
        <w:suppressAutoHyphens/>
        <w:spacing w:line="480" w:lineRule="atLeast"/>
        <w:jc w:val="both"/>
        <w:rPr>
          <w:spacing w:val="-3"/>
          <w:u w:val="none"/>
        </w:rPr>
      </w:pPr>
      <w:r>
        <w:rPr>
          <w:spacing w:val="-3"/>
          <w:u w:val="none"/>
        </w:rPr>
        <w:tab/>
      </w:r>
      <w:r>
        <w:rPr>
          <w:spacing w:val="-3"/>
          <w:u w:val="none"/>
        </w:rPr>
        <w:tab/>
        <w:t>5.1</w:t>
      </w:r>
      <w:r>
        <w:rPr>
          <w:spacing w:val="-3"/>
          <w:u w:val="none"/>
        </w:rPr>
        <w:tab/>
      </w:r>
      <w:r w:rsidR="003D0620" w:rsidRPr="00A96C8B">
        <w:rPr>
          <w:spacing w:val="-3"/>
          <w:u w:val="none"/>
        </w:rPr>
        <w:t xml:space="preserve">Remaining Extent of the Farm </w:t>
      </w:r>
      <w:proofErr w:type="gramStart"/>
      <w:r w:rsidR="003D0620" w:rsidRPr="00A96C8B">
        <w:rPr>
          <w:spacing w:val="-3"/>
          <w:u w:val="none"/>
        </w:rPr>
        <w:t>K</w:t>
      </w:r>
      <w:r w:rsidR="009C7ED0">
        <w:rPr>
          <w:u w:val="none"/>
        </w:rPr>
        <w:t>[</w:t>
      </w:r>
      <w:proofErr w:type="gramEnd"/>
      <w:r w:rsidR="009C7ED0">
        <w:rPr>
          <w:u w:val="none"/>
        </w:rPr>
        <w:t>…]</w:t>
      </w:r>
      <w:r w:rsidR="003D0620" w:rsidRPr="00A96C8B">
        <w:rPr>
          <w:spacing w:val="-3"/>
          <w:u w:val="none"/>
        </w:rPr>
        <w:t xml:space="preserve">; </w:t>
      </w:r>
    </w:p>
    <w:p w:rsidR="003D0620" w:rsidRPr="00A96C8B" w:rsidRDefault="00A96C8B" w:rsidP="003D0620">
      <w:pPr>
        <w:tabs>
          <w:tab w:val="left" w:pos="-720"/>
        </w:tabs>
        <w:suppressAutoHyphens/>
        <w:spacing w:line="480" w:lineRule="atLeast"/>
        <w:ind w:left="1440"/>
        <w:jc w:val="both"/>
        <w:rPr>
          <w:spacing w:val="-3"/>
          <w:u w:val="none"/>
        </w:rPr>
      </w:pPr>
      <w:r>
        <w:rPr>
          <w:spacing w:val="-3"/>
          <w:u w:val="none"/>
        </w:rPr>
        <w:tab/>
      </w:r>
      <w:r w:rsidR="003D0620" w:rsidRPr="00A96C8B">
        <w:rPr>
          <w:spacing w:val="-3"/>
          <w:u w:val="none"/>
        </w:rPr>
        <w:t>Registration Division I.P., North West Province;</w:t>
      </w:r>
    </w:p>
    <w:p w:rsidR="003D0620" w:rsidRPr="00A96C8B" w:rsidRDefault="00A96C8B" w:rsidP="003D0620">
      <w:pPr>
        <w:tabs>
          <w:tab w:val="left" w:pos="-720"/>
        </w:tabs>
        <w:suppressAutoHyphens/>
        <w:spacing w:line="480" w:lineRule="atLeast"/>
        <w:ind w:left="1440"/>
        <w:jc w:val="both"/>
        <w:rPr>
          <w:spacing w:val="-3"/>
          <w:u w:val="none"/>
        </w:rPr>
      </w:pPr>
      <w:r>
        <w:rPr>
          <w:spacing w:val="-3"/>
          <w:u w:val="none"/>
        </w:rPr>
        <w:tab/>
      </w:r>
      <w:r w:rsidR="003D0620" w:rsidRPr="00A96C8B">
        <w:rPr>
          <w:spacing w:val="-3"/>
          <w:u w:val="none"/>
        </w:rPr>
        <w:t>In extent 736,5247 hectares; and</w:t>
      </w:r>
    </w:p>
    <w:p w:rsidR="003D0620" w:rsidRPr="00A96C8B" w:rsidRDefault="00A96C8B" w:rsidP="00A96C8B">
      <w:pPr>
        <w:tabs>
          <w:tab w:val="left" w:pos="-720"/>
        </w:tabs>
        <w:suppressAutoHyphens/>
        <w:spacing w:line="480" w:lineRule="atLeast"/>
        <w:jc w:val="both"/>
        <w:rPr>
          <w:spacing w:val="-3"/>
          <w:u w:val="none"/>
        </w:rPr>
      </w:pPr>
      <w:r>
        <w:rPr>
          <w:spacing w:val="-3"/>
          <w:u w:val="none"/>
        </w:rPr>
        <w:tab/>
      </w:r>
      <w:r>
        <w:rPr>
          <w:spacing w:val="-3"/>
          <w:u w:val="none"/>
        </w:rPr>
        <w:tab/>
        <w:t>5.2</w:t>
      </w:r>
      <w:r>
        <w:rPr>
          <w:spacing w:val="-3"/>
          <w:u w:val="none"/>
        </w:rPr>
        <w:tab/>
      </w:r>
      <w:r w:rsidR="003D0620" w:rsidRPr="00A96C8B">
        <w:rPr>
          <w:spacing w:val="-3"/>
          <w:u w:val="none"/>
        </w:rPr>
        <w:t xml:space="preserve">Portion </w:t>
      </w:r>
      <w:r w:rsidR="009C7ED0">
        <w:rPr>
          <w:u w:val="none"/>
        </w:rPr>
        <w:t>[…]</w:t>
      </w:r>
      <w:r w:rsidR="009C7ED0">
        <w:rPr>
          <w:u w:val="none"/>
        </w:rPr>
        <w:t xml:space="preserve"> </w:t>
      </w:r>
      <w:r w:rsidR="003D0620" w:rsidRPr="00A96C8B">
        <w:rPr>
          <w:spacing w:val="-3"/>
          <w:u w:val="none"/>
        </w:rPr>
        <w:t xml:space="preserve">of the Farm </w:t>
      </w:r>
      <w:proofErr w:type="gramStart"/>
      <w:r w:rsidR="003D0620" w:rsidRPr="00A96C8B">
        <w:rPr>
          <w:spacing w:val="-3"/>
          <w:u w:val="none"/>
        </w:rPr>
        <w:t>V</w:t>
      </w:r>
      <w:r w:rsidR="009C7ED0">
        <w:rPr>
          <w:u w:val="none"/>
        </w:rPr>
        <w:t>[</w:t>
      </w:r>
      <w:proofErr w:type="gramEnd"/>
      <w:r w:rsidR="009C7ED0">
        <w:rPr>
          <w:u w:val="none"/>
        </w:rPr>
        <w:t>…]</w:t>
      </w:r>
      <w:r w:rsidR="003D0620" w:rsidRPr="00A96C8B">
        <w:rPr>
          <w:spacing w:val="-3"/>
          <w:u w:val="none"/>
        </w:rPr>
        <w:t>;</w:t>
      </w:r>
    </w:p>
    <w:p w:rsidR="003D0620" w:rsidRPr="00A96C8B" w:rsidRDefault="00A96C8B" w:rsidP="003D0620">
      <w:pPr>
        <w:tabs>
          <w:tab w:val="left" w:pos="-720"/>
        </w:tabs>
        <w:suppressAutoHyphens/>
        <w:spacing w:line="480" w:lineRule="atLeast"/>
        <w:ind w:left="1440"/>
        <w:jc w:val="both"/>
        <w:rPr>
          <w:spacing w:val="-3"/>
          <w:u w:val="none"/>
        </w:rPr>
      </w:pPr>
      <w:r>
        <w:rPr>
          <w:spacing w:val="-3"/>
          <w:u w:val="none"/>
        </w:rPr>
        <w:tab/>
      </w:r>
      <w:r w:rsidR="003D0620" w:rsidRPr="00A96C8B">
        <w:rPr>
          <w:spacing w:val="-3"/>
          <w:u w:val="none"/>
        </w:rPr>
        <w:t>Registration Division I.P., North West Province;</w:t>
      </w:r>
    </w:p>
    <w:p w:rsidR="003D0620" w:rsidRPr="00A96C8B" w:rsidRDefault="00A96C8B" w:rsidP="003D0620">
      <w:pPr>
        <w:tabs>
          <w:tab w:val="left" w:pos="-720"/>
        </w:tabs>
        <w:suppressAutoHyphens/>
        <w:spacing w:line="480" w:lineRule="atLeast"/>
        <w:ind w:left="1440"/>
        <w:jc w:val="both"/>
        <w:rPr>
          <w:spacing w:val="-3"/>
          <w:u w:val="none"/>
        </w:rPr>
      </w:pPr>
      <w:r>
        <w:rPr>
          <w:spacing w:val="-3"/>
          <w:u w:val="none"/>
        </w:rPr>
        <w:tab/>
      </w:r>
      <w:r w:rsidR="003D0620" w:rsidRPr="00A96C8B">
        <w:rPr>
          <w:spacing w:val="-3"/>
          <w:u w:val="none"/>
        </w:rPr>
        <w:t>In extent 3,0776 hectares;</w:t>
      </w:r>
    </w:p>
    <w:p w:rsidR="003D0620" w:rsidRPr="00A96C8B" w:rsidRDefault="00A96C8B" w:rsidP="003D0620">
      <w:pPr>
        <w:tabs>
          <w:tab w:val="left" w:pos="-720"/>
        </w:tabs>
        <w:suppressAutoHyphens/>
        <w:spacing w:line="480" w:lineRule="atLeast"/>
        <w:ind w:left="1440"/>
        <w:jc w:val="both"/>
        <w:rPr>
          <w:spacing w:val="-3"/>
          <w:u w:val="none"/>
        </w:rPr>
      </w:pPr>
      <w:r>
        <w:rPr>
          <w:spacing w:val="-3"/>
          <w:u w:val="none"/>
        </w:rPr>
        <w:tab/>
      </w:r>
      <w:r w:rsidR="003D0620" w:rsidRPr="00A96C8B">
        <w:rPr>
          <w:spacing w:val="-3"/>
          <w:u w:val="none"/>
        </w:rPr>
        <w:t xml:space="preserve">Both properties held by deed of transfer </w:t>
      </w:r>
      <w:r w:rsidR="009C7ED0">
        <w:rPr>
          <w:u w:val="none"/>
        </w:rPr>
        <w:t>[…]</w:t>
      </w:r>
      <w:bookmarkStart w:id="0" w:name="_GoBack"/>
      <w:bookmarkEnd w:id="0"/>
    </w:p>
    <w:p w:rsidR="003D0620" w:rsidRPr="00A96C8B" w:rsidRDefault="00A96C8B" w:rsidP="003D0620">
      <w:pPr>
        <w:tabs>
          <w:tab w:val="left" w:pos="-720"/>
        </w:tabs>
        <w:suppressAutoHyphens/>
        <w:spacing w:line="480" w:lineRule="atLeast"/>
        <w:ind w:left="1440"/>
        <w:jc w:val="both"/>
        <w:rPr>
          <w:spacing w:val="-3"/>
          <w:u w:val="none"/>
        </w:rPr>
      </w:pPr>
      <w:r>
        <w:rPr>
          <w:spacing w:val="-3"/>
          <w:u w:val="none"/>
        </w:rPr>
        <w:tab/>
      </w:r>
      <w:r w:rsidR="003D0620" w:rsidRPr="00A96C8B">
        <w:rPr>
          <w:spacing w:val="-3"/>
          <w:u w:val="none"/>
        </w:rPr>
        <w:t>And subject to the conditions therein contained.</w:t>
      </w:r>
    </w:p>
    <w:p w:rsidR="003D0620" w:rsidRPr="00A96C8B" w:rsidRDefault="003D0620" w:rsidP="003D0620">
      <w:pPr>
        <w:tabs>
          <w:tab w:val="left" w:pos="-720"/>
        </w:tabs>
        <w:suppressAutoHyphens/>
        <w:spacing w:line="480" w:lineRule="atLeast"/>
        <w:jc w:val="both"/>
        <w:rPr>
          <w:spacing w:val="-3"/>
          <w:u w:val="none"/>
        </w:rPr>
      </w:pPr>
      <w:r w:rsidRPr="00A96C8B">
        <w:rPr>
          <w:spacing w:val="-3"/>
          <w:u w:val="none"/>
        </w:rPr>
        <w:tab/>
      </w:r>
      <w:r w:rsidRPr="00A96C8B">
        <w:rPr>
          <w:spacing w:val="-3"/>
          <w:u w:val="none"/>
        </w:rPr>
        <w:tab/>
      </w:r>
    </w:p>
    <w:p w:rsidR="003D0620" w:rsidRPr="00A96C8B" w:rsidRDefault="003D0620" w:rsidP="003D0620">
      <w:pPr>
        <w:tabs>
          <w:tab w:val="left" w:pos="-720"/>
        </w:tabs>
        <w:suppressAutoHyphens/>
        <w:spacing w:line="480" w:lineRule="atLeast"/>
        <w:jc w:val="both"/>
        <w:rPr>
          <w:spacing w:val="-3"/>
          <w:u w:val="none"/>
        </w:rPr>
      </w:pPr>
      <w:r w:rsidRPr="00A96C8B">
        <w:rPr>
          <w:spacing w:val="-3"/>
          <w:u w:val="none"/>
        </w:rPr>
        <w:tab/>
      </w:r>
      <w:r w:rsidRPr="00A96C8B">
        <w:rPr>
          <w:spacing w:val="-3"/>
          <w:u w:val="none"/>
        </w:rPr>
        <w:tab/>
      </w:r>
      <w:r w:rsidR="00A96C8B">
        <w:rPr>
          <w:spacing w:val="-3"/>
          <w:u w:val="none"/>
        </w:rPr>
        <w:tab/>
      </w:r>
      <w:r w:rsidRPr="00A96C8B">
        <w:rPr>
          <w:spacing w:val="-3"/>
          <w:u w:val="none"/>
        </w:rPr>
        <w:t xml:space="preserve">be declared </w:t>
      </w:r>
      <w:proofErr w:type="gramStart"/>
      <w:r w:rsidRPr="00A96C8B">
        <w:rPr>
          <w:spacing w:val="-3"/>
          <w:u w:val="none"/>
        </w:rPr>
        <w:t>specially</w:t>
      </w:r>
      <w:proofErr w:type="gramEnd"/>
      <w:r w:rsidRPr="00A96C8B">
        <w:rPr>
          <w:spacing w:val="-3"/>
          <w:u w:val="none"/>
        </w:rPr>
        <w:t xml:space="preserve"> executable.</w:t>
      </w:r>
    </w:p>
    <w:p w:rsidR="003D0620" w:rsidRPr="00A96C8B" w:rsidRDefault="003D0620" w:rsidP="003D0620">
      <w:pPr>
        <w:tabs>
          <w:tab w:val="left" w:pos="-720"/>
        </w:tabs>
        <w:suppressAutoHyphens/>
        <w:spacing w:line="480" w:lineRule="atLeast"/>
        <w:jc w:val="both"/>
        <w:rPr>
          <w:spacing w:val="-3"/>
          <w:u w:val="none"/>
        </w:rPr>
      </w:pPr>
    </w:p>
    <w:p w:rsidR="003C447B" w:rsidRPr="00C03185" w:rsidRDefault="00C03185" w:rsidP="00C03185">
      <w:pPr>
        <w:tabs>
          <w:tab w:val="left" w:pos="-720"/>
        </w:tabs>
        <w:suppressAutoHyphens/>
        <w:spacing w:line="480" w:lineRule="atLeast"/>
        <w:ind w:left="1418" w:hanging="709"/>
        <w:jc w:val="both"/>
        <w:rPr>
          <w:spacing w:val="-3"/>
          <w:u w:val="none"/>
        </w:rPr>
      </w:pPr>
      <w:r w:rsidRPr="00A96C8B">
        <w:rPr>
          <w:spacing w:val="-3"/>
          <w:u w:val="none"/>
        </w:rPr>
        <w:t>6.</w:t>
      </w:r>
      <w:r w:rsidRPr="00A96C8B">
        <w:rPr>
          <w:spacing w:val="-3"/>
          <w:u w:val="none"/>
        </w:rPr>
        <w:tab/>
      </w:r>
      <w:r w:rsidR="003D0620" w:rsidRPr="00C03185">
        <w:rPr>
          <w:spacing w:val="-3"/>
          <w:u w:val="none"/>
        </w:rPr>
        <w:t>Costs of suit and an attorney and client scale, as agreed in terms of clause 5 of the d</w:t>
      </w:r>
      <w:r w:rsidR="000B46B8" w:rsidRPr="00C03185">
        <w:rPr>
          <w:spacing w:val="-3"/>
          <w:u w:val="none"/>
        </w:rPr>
        <w:t>eeds of suretyship, to be taxed.</w:t>
      </w:r>
    </w:p>
    <w:p w:rsidR="00531C9C" w:rsidRPr="00A96C8B" w:rsidRDefault="00531C9C" w:rsidP="00531C9C">
      <w:pPr>
        <w:pStyle w:val="ListParagraph"/>
        <w:rPr>
          <w:u w:val="none"/>
        </w:rPr>
      </w:pPr>
    </w:p>
    <w:p w:rsidR="003A306E" w:rsidRPr="00A96C8B" w:rsidRDefault="003A306E" w:rsidP="005023E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20" w:hanging="720"/>
        <w:jc w:val="both"/>
        <w:rPr>
          <w:u w:val="none"/>
        </w:rPr>
      </w:pPr>
    </w:p>
    <w:p w:rsidR="003A306E" w:rsidRPr="00A96C8B" w:rsidRDefault="00337DD2" w:rsidP="00337DD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left="720" w:hanging="720"/>
        <w:jc w:val="right"/>
        <w:rPr>
          <w:u w:val="none"/>
        </w:rPr>
      </w:pPr>
      <w:r w:rsidRPr="00337DD2">
        <w:rPr>
          <w:rFonts w:ascii="Century Gothic" w:hAnsi="Century Gothic"/>
          <w:i/>
          <w:noProof/>
          <w:sz w:val="20"/>
          <w:szCs w:val="20"/>
          <w:u w:val="none"/>
          <w:lang w:eastAsia="en-ZA"/>
        </w:rPr>
        <w:drawing>
          <wp:inline distT="0" distB="0" distL="0" distR="0" wp14:anchorId="694142E9" wp14:editId="07B0C4EE">
            <wp:extent cx="1850390" cy="476787"/>
            <wp:effectExtent l="0" t="0" r="0" b="0"/>
            <wp:docPr id="2" name="Picture 2" descr="C:\Users\Brenda\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Pictures\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5230" cy="508954"/>
                    </a:xfrm>
                    <a:prstGeom prst="rect">
                      <a:avLst/>
                    </a:prstGeom>
                    <a:noFill/>
                    <a:ln>
                      <a:noFill/>
                    </a:ln>
                  </pic:spPr>
                </pic:pic>
              </a:graphicData>
            </a:graphic>
          </wp:inline>
        </w:drawing>
      </w:r>
    </w:p>
    <w:p w:rsidR="00762B25" w:rsidRPr="008A6108" w:rsidRDefault="003A306E" w:rsidP="003A306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jc w:val="right"/>
        <w:rPr>
          <w:u w:val="none"/>
        </w:rPr>
      </w:pPr>
      <w:r>
        <w:rPr>
          <w:u w:val="none"/>
        </w:rPr>
        <w:t>________________________</w:t>
      </w:r>
    </w:p>
    <w:p w:rsidR="00EE603F" w:rsidRPr="008A6108" w:rsidRDefault="00EE603F" w:rsidP="003A306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b/>
          <w:u w:val="none"/>
          <w:lang w:val="en-GB"/>
        </w:rPr>
      </w:pPr>
      <w:r w:rsidRPr="008A6108">
        <w:rPr>
          <w:b/>
          <w:u w:val="none"/>
          <w:lang w:val="en-GB"/>
        </w:rPr>
        <w:t>B NEUKIRCHER</w:t>
      </w:r>
    </w:p>
    <w:p w:rsidR="00EE603F" w:rsidRPr="008A6108" w:rsidRDefault="00EE603F"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b/>
          <w:u w:val="none"/>
          <w:lang w:val="en-GB"/>
        </w:rPr>
      </w:pPr>
      <w:r w:rsidRPr="008A6108">
        <w:rPr>
          <w:b/>
          <w:u w:val="none"/>
          <w:lang w:val="en-GB"/>
        </w:rPr>
        <w:t>JUDGE OF THE HIGH COURT</w:t>
      </w:r>
    </w:p>
    <w:p w:rsidR="00EE603F" w:rsidRPr="008A6108" w:rsidRDefault="00EE603F" w:rsidP="005757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lang w:val="en-GB"/>
        </w:rPr>
      </w:pPr>
      <w:r w:rsidRPr="008A6108">
        <w:rPr>
          <w:u w:val="none"/>
          <w:lang w:val="en-GB"/>
        </w:rPr>
        <w:t>Delivered:  This judgment was prepared and authored by the Judge</w:t>
      </w:r>
      <w:r w:rsidR="001972D2" w:rsidRPr="008A6108">
        <w:rPr>
          <w:u w:val="none"/>
          <w:lang w:val="en-GB"/>
        </w:rPr>
        <w:t>s</w:t>
      </w:r>
      <w:r w:rsidRPr="008A6108">
        <w:rPr>
          <w:u w:val="none"/>
          <w:lang w:val="en-GB"/>
        </w:rPr>
        <w:t xml:space="preserve"> whose name</w:t>
      </w:r>
      <w:r w:rsidR="001972D2" w:rsidRPr="008A6108">
        <w:rPr>
          <w:u w:val="none"/>
          <w:lang w:val="en-GB"/>
        </w:rPr>
        <w:t>s</w:t>
      </w:r>
      <w:r w:rsidRPr="008A6108">
        <w:rPr>
          <w:u w:val="none"/>
          <w:lang w:val="en-GB"/>
        </w:rPr>
        <w:t xml:space="preserve"> </w:t>
      </w:r>
      <w:r w:rsidR="001972D2" w:rsidRPr="008A6108">
        <w:rPr>
          <w:u w:val="none"/>
          <w:lang w:val="en-GB"/>
        </w:rPr>
        <w:t xml:space="preserve">are </w:t>
      </w:r>
      <w:r w:rsidRPr="008A6108">
        <w:rPr>
          <w:u w:val="none"/>
          <w:lang w:val="en-GB"/>
        </w:rPr>
        <w:t xml:space="preserve">reflected and is handed down electronically by circulation to the Parties/their legal representatives by email and by uploading it to the electronic file of this matter on </w:t>
      </w:r>
      <w:proofErr w:type="spellStart"/>
      <w:r w:rsidRPr="008A6108">
        <w:rPr>
          <w:u w:val="none"/>
          <w:lang w:val="en-GB"/>
        </w:rPr>
        <w:t>CaseLines</w:t>
      </w:r>
      <w:proofErr w:type="spellEnd"/>
      <w:r w:rsidRPr="008A6108">
        <w:rPr>
          <w:u w:val="none"/>
          <w:lang w:val="en-GB"/>
        </w:rPr>
        <w:t xml:space="preserve">.  The date for hand-down is </w:t>
      </w:r>
      <w:r w:rsidRPr="00337DD2">
        <w:rPr>
          <w:u w:val="none"/>
          <w:lang w:val="en-GB"/>
        </w:rPr>
        <w:t xml:space="preserve">deemed to be </w:t>
      </w:r>
      <w:r w:rsidR="00337DD2" w:rsidRPr="00337DD2">
        <w:rPr>
          <w:u w:val="none"/>
          <w:lang w:val="en-GB"/>
        </w:rPr>
        <w:t>17</w:t>
      </w:r>
      <w:r w:rsidR="000B46B8" w:rsidRPr="00337DD2">
        <w:rPr>
          <w:u w:val="none"/>
          <w:lang w:val="en-GB"/>
        </w:rPr>
        <w:t xml:space="preserve"> October</w:t>
      </w:r>
      <w:r w:rsidR="003A306E" w:rsidRPr="00337DD2">
        <w:rPr>
          <w:u w:val="none"/>
          <w:lang w:val="en-GB"/>
        </w:rPr>
        <w:t xml:space="preserve"> 2022.</w:t>
      </w:r>
    </w:p>
    <w:p w:rsidR="001A45FD" w:rsidRDefault="001A45FD" w:rsidP="0057573B">
      <w:pPr>
        <w:widowControl w:val="0"/>
        <w:autoSpaceDE w:val="0"/>
        <w:autoSpaceDN w:val="0"/>
        <w:adjustRightInd w:val="0"/>
        <w:jc w:val="both"/>
        <w:rPr>
          <w:u w:val="none"/>
        </w:rPr>
      </w:pPr>
    </w:p>
    <w:p w:rsidR="003A306E" w:rsidRDefault="003A306E" w:rsidP="0057573B">
      <w:pPr>
        <w:widowControl w:val="0"/>
        <w:autoSpaceDE w:val="0"/>
        <w:autoSpaceDN w:val="0"/>
        <w:adjustRightInd w:val="0"/>
        <w:jc w:val="both"/>
        <w:rPr>
          <w:u w:val="none"/>
        </w:rPr>
      </w:pPr>
    </w:p>
    <w:p w:rsidR="00E71085" w:rsidRPr="00E65FCC" w:rsidRDefault="00E71085" w:rsidP="000B46B8">
      <w:pPr>
        <w:widowControl w:val="0"/>
        <w:autoSpaceDE w:val="0"/>
        <w:autoSpaceDN w:val="0"/>
        <w:adjustRightInd w:val="0"/>
        <w:jc w:val="both"/>
      </w:pPr>
      <w:r w:rsidRPr="00E65FCC">
        <w:t>Appearances:</w:t>
      </w:r>
    </w:p>
    <w:p w:rsidR="003A306E" w:rsidRPr="00E65FCC" w:rsidRDefault="003A306E" w:rsidP="000B46B8">
      <w:pPr>
        <w:widowControl w:val="0"/>
        <w:autoSpaceDE w:val="0"/>
        <w:autoSpaceDN w:val="0"/>
        <w:adjustRightInd w:val="0"/>
        <w:jc w:val="both"/>
      </w:pPr>
    </w:p>
    <w:p w:rsidR="00EE603F" w:rsidRPr="003A306E" w:rsidRDefault="001972D2" w:rsidP="000B46B8">
      <w:pPr>
        <w:widowControl w:val="0"/>
        <w:autoSpaceDE w:val="0"/>
        <w:autoSpaceDN w:val="0"/>
        <w:adjustRightInd w:val="0"/>
        <w:jc w:val="both"/>
        <w:rPr>
          <w:u w:val="none"/>
        </w:rPr>
      </w:pPr>
      <w:r w:rsidRPr="003A306E">
        <w:rPr>
          <w:u w:val="none"/>
        </w:rPr>
        <w:t xml:space="preserve">For the </w:t>
      </w:r>
      <w:r w:rsidR="0053594F" w:rsidRPr="003A306E">
        <w:rPr>
          <w:u w:val="none"/>
        </w:rPr>
        <w:t>Plaintiff</w:t>
      </w:r>
      <w:r w:rsidR="00EE603F" w:rsidRPr="003A306E">
        <w:rPr>
          <w:u w:val="none"/>
        </w:rPr>
        <w:tab/>
      </w:r>
      <w:r w:rsidR="00EE603F" w:rsidRPr="003A306E">
        <w:rPr>
          <w:u w:val="none"/>
        </w:rPr>
        <w:tab/>
      </w:r>
      <w:r w:rsidR="00EE603F" w:rsidRPr="003A306E">
        <w:rPr>
          <w:u w:val="none"/>
        </w:rPr>
        <w:tab/>
        <w:t xml:space="preserve">: </w:t>
      </w:r>
      <w:proofErr w:type="spellStart"/>
      <w:r w:rsidR="00EE603F" w:rsidRPr="003A306E">
        <w:rPr>
          <w:u w:val="none"/>
        </w:rPr>
        <w:t>Adv</w:t>
      </w:r>
      <w:proofErr w:type="spellEnd"/>
      <w:r w:rsidR="00EE603F" w:rsidRPr="003A306E">
        <w:rPr>
          <w:u w:val="none"/>
        </w:rPr>
        <w:t xml:space="preserve"> </w:t>
      </w:r>
      <w:r w:rsidR="00D441B6">
        <w:rPr>
          <w:u w:val="none"/>
        </w:rPr>
        <w:t>MP van der Merwe</w:t>
      </w:r>
      <w:r w:rsidRPr="003A306E">
        <w:rPr>
          <w:u w:val="none"/>
        </w:rPr>
        <w:t xml:space="preserve"> SC</w:t>
      </w:r>
    </w:p>
    <w:p w:rsidR="0053594F" w:rsidRPr="003A306E" w:rsidRDefault="0053594F" w:rsidP="000B46B8">
      <w:pPr>
        <w:widowControl w:val="0"/>
        <w:autoSpaceDE w:val="0"/>
        <w:autoSpaceDN w:val="0"/>
        <w:adjustRightInd w:val="0"/>
        <w:jc w:val="both"/>
        <w:rPr>
          <w:u w:val="none"/>
        </w:rPr>
      </w:pPr>
      <w:r w:rsidRPr="003A306E">
        <w:rPr>
          <w:u w:val="none"/>
        </w:rPr>
        <w:tab/>
      </w:r>
      <w:r w:rsidRPr="003A306E">
        <w:rPr>
          <w:u w:val="none"/>
        </w:rPr>
        <w:tab/>
      </w:r>
      <w:r w:rsidRPr="003A306E">
        <w:rPr>
          <w:u w:val="none"/>
        </w:rPr>
        <w:tab/>
      </w:r>
      <w:r w:rsidRPr="003A306E">
        <w:rPr>
          <w:u w:val="none"/>
        </w:rPr>
        <w:tab/>
      </w:r>
      <w:r w:rsidRPr="003A306E">
        <w:rPr>
          <w:u w:val="none"/>
        </w:rPr>
        <w:tab/>
        <w:t xml:space="preserve">  </w:t>
      </w:r>
      <w:r w:rsidRPr="003A306E">
        <w:rPr>
          <w:u w:val="none"/>
        </w:rPr>
        <w:tab/>
      </w:r>
    </w:p>
    <w:p w:rsidR="0053594F" w:rsidRPr="003A306E" w:rsidRDefault="00EE603F" w:rsidP="000B46B8">
      <w:pPr>
        <w:widowControl w:val="0"/>
        <w:autoSpaceDE w:val="0"/>
        <w:autoSpaceDN w:val="0"/>
        <w:adjustRightInd w:val="0"/>
        <w:rPr>
          <w:u w:val="none"/>
        </w:rPr>
      </w:pPr>
      <w:r w:rsidRPr="003A306E">
        <w:rPr>
          <w:u w:val="none"/>
        </w:rPr>
        <w:t>Instructed by</w:t>
      </w:r>
      <w:r w:rsidRPr="003A306E">
        <w:rPr>
          <w:u w:val="none"/>
        </w:rPr>
        <w:tab/>
      </w:r>
      <w:r w:rsidRPr="003A306E">
        <w:rPr>
          <w:u w:val="none"/>
        </w:rPr>
        <w:tab/>
      </w:r>
      <w:r w:rsidRPr="003A306E">
        <w:rPr>
          <w:u w:val="none"/>
        </w:rPr>
        <w:tab/>
      </w:r>
      <w:r w:rsidRPr="003A306E">
        <w:rPr>
          <w:u w:val="none"/>
        </w:rPr>
        <w:tab/>
        <w:t xml:space="preserve">: </w:t>
      </w:r>
      <w:r w:rsidR="00D441B6">
        <w:rPr>
          <w:u w:val="none"/>
        </w:rPr>
        <w:t xml:space="preserve">AP </w:t>
      </w:r>
      <w:proofErr w:type="spellStart"/>
      <w:r w:rsidR="00D441B6">
        <w:rPr>
          <w:u w:val="none"/>
        </w:rPr>
        <w:t>Grov</w:t>
      </w:r>
      <w:r w:rsidR="00045693">
        <w:rPr>
          <w:u w:val="none"/>
        </w:rPr>
        <w:t>é</w:t>
      </w:r>
      <w:proofErr w:type="spellEnd"/>
      <w:r w:rsidR="000E2331">
        <w:rPr>
          <w:u w:val="none"/>
        </w:rPr>
        <w:t xml:space="preserve"> – Tim du </w:t>
      </w:r>
      <w:proofErr w:type="spellStart"/>
      <w:r w:rsidR="000E2331">
        <w:rPr>
          <w:u w:val="none"/>
        </w:rPr>
        <w:t>Toit</w:t>
      </w:r>
      <w:proofErr w:type="spellEnd"/>
      <w:r w:rsidR="000E2331">
        <w:rPr>
          <w:u w:val="none"/>
        </w:rPr>
        <w:t xml:space="preserve"> &amp; Co</w:t>
      </w:r>
    </w:p>
    <w:p w:rsidR="00A250A4" w:rsidRPr="003A306E" w:rsidRDefault="00A250A4" w:rsidP="000B46B8">
      <w:pPr>
        <w:widowControl w:val="0"/>
        <w:autoSpaceDE w:val="0"/>
        <w:autoSpaceDN w:val="0"/>
        <w:adjustRightInd w:val="0"/>
        <w:jc w:val="both"/>
        <w:rPr>
          <w:u w:val="none"/>
        </w:rPr>
      </w:pPr>
    </w:p>
    <w:p w:rsidR="0053594F" w:rsidRDefault="001972D2" w:rsidP="000B46B8">
      <w:pPr>
        <w:widowControl w:val="0"/>
        <w:autoSpaceDE w:val="0"/>
        <w:autoSpaceDN w:val="0"/>
        <w:adjustRightInd w:val="0"/>
        <w:jc w:val="both"/>
        <w:rPr>
          <w:u w:val="none"/>
        </w:rPr>
      </w:pPr>
      <w:r w:rsidRPr="003A306E">
        <w:rPr>
          <w:u w:val="none"/>
        </w:rPr>
        <w:t xml:space="preserve">For the </w:t>
      </w:r>
      <w:r w:rsidR="0053594F" w:rsidRPr="003A306E">
        <w:rPr>
          <w:u w:val="none"/>
        </w:rPr>
        <w:t>Defendant</w:t>
      </w:r>
      <w:r w:rsidR="000E2331">
        <w:rPr>
          <w:u w:val="none"/>
        </w:rPr>
        <w:t>s</w:t>
      </w:r>
      <w:r w:rsidR="0053594F" w:rsidRPr="003A306E">
        <w:rPr>
          <w:u w:val="none"/>
        </w:rPr>
        <w:tab/>
      </w:r>
      <w:r w:rsidR="00EE603F" w:rsidRPr="003A306E">
        <w:rPr>
          <w:u w:val="none"/>
        </w:rPr>
        <w:tab/>
      </w:r>
      <w:r w:rsidR="00EE603F" w:rsidRPr="003A306E">
        <w:rPr>
          <w:u w:val="none"/>
        </w:rPr>
        <w:tab/>
        <w:t xml:space="preserve">: </w:t>
      </w:r>
      <w:proofErr w:type="spellStart"/>
      <w:r w:rsidR="000E2331">
        <w:rPr>
          <w:u w:val="none"/>
        </w:rPr>
        <w:t>Adv</w:t>
      </w:r>
      <w:proofErr w:type="spellEnd"/>
      <w:r w:rsidR="000E2331">
        <w:rPr>
          <w:u w:val="none"/>
        </w:rPr>
        <w:t xml:space="preserve"> H van </w:t>
      </w:r>
      <w:proofErr w:type="spellStart"/>
      <w:r w:rsidR="000E2331">
        <w:rPr>
          <w:u w:val="none"/>
        </w:rPr>
        <w:t>Nieuwenhuizen</w:t>
      </w:r>
      <w:proofErr w:type="spellEnd"/>
    </w:p>
    <w:p w:rsidR="000E2331" w:rsidRPr="003A306E" w:rsidRDefault="000E2331" w:rsidP="000B46B8">
      <w:pPr>
        <w:widowControl w:val="0"/>
        <w:autoSpaceDE w:val="0"/>
        <w:autoSpaceDN w:val="0"/>
        <w:adjustRightInd w:val="0"/>
        <w:jc w:val="both"/>
        <w:rPr>
          <w:u w:val="none"/>
        </w:rPr>
      </w:pPr>
    </w:p>
    <w:p w:rsidR="00EE603F" w:rsidRPr="003A306E" w:rsidRDefault="001972D2" w:rsidP="000B46B8">
      <w:pPr>
        <w:widowControl w:val="0"/>
        <w:autoSpaceDE w:val="0"/>
        <w:autoSpaceDN w:val="0"/>
        <w:adjustRightInd w:val="0"/>
        <w:jc w:val="both"/>
        <w:rPr>
          <w:u w:val="none"/>
        </w:rPr>
      </w:pPr>
      <w:r w:rsidRPr="003A306E">
        <w:rPr>
          <w:u w:val="none"/>
        </w:rPr>
        <w:t>Instructed by</w:t>
      </w:r>
      <w:r w:rsidR="00EE603F" w:rsidRPr="003A306E">
        <w:rPr>
          <w:u w:val="none"/>
        </w:rPr>
        <w:tab/>
      </w:r>
      <w:r w:rsidR="00EE603F" w:rsidRPr="003A306E">
        <w:rPr>
          <w:u w:val="none"/>
        </w:rPr>
        <w:tab/>
      </w:r>
      <w:r w:rsidR="00EE603F" w:rsidRPr="003A306E">
        <w:rPr>
          <w:u w:val="none"/>
        </w:rPr>
        <w:tab/>
      </w:r>
      <w:r w:rsidR="001A45FD" w:rsidRPr="003A306E">
        <w:rPr>
          <w:u w:val="none"/>
        </w:rPr>
        <w:tab/>
      </w:r>
      <w:r w:rsidR="00EE603F" w:rsidRPr="003A306E">
        <w:rPr>
          <w:u w:val="none"/>
        </w:rPr>
        <w:t>:</w:t>
      </w:r>
      <w:r w:rsidR="001A45FD" w:rsidRPr="003A306E">
        <w:rPr>
          <w:u w:val="none"/>
        </w:rPr>
        <w:t xml:space="preserve"> </w:t>
      </w:r>
      <w:r w:rsidR="000B46B8">
        <w:rPr>
          <w:u w:val="none"/>
        </w:rPr>
        <w:t>Bosman &amp; Bosman Attorneys</w:t>
      </w:r>
    </w:p>
    <w:p w:rsidR="00680A9A" w:rsidRPr="003A306E" w:rsidRDefault="00680A9A" w:rsidP="000B46B8">
      <w:pPr>
        <w:widowControl w:val="0"/>
        <w:autoSpaceDE w:val="0"/>
        <w:autoSpaceDN w:val="0"/>
        <w:adjustRightInd w:val="0"/>
        <w:jc w:val="both"/>
        <w:rPr>
          <w:u w:val="none"/>
        </w:rPr>
      </w:pPr>
    </w:p>
    <w:p w:rsidR="00770485" w:rsidRPr="003A306E" w:rsidRDefault="00C93C68" w:rsidP="000B46B8">
      <w:pPr>
        <w:widowControl w:val="0"/>
        <w:autoSpaceDE w:val="0"/>
        <w:autoSpaceDN w:val="0"/>
        <w:adjustRightInd w:val="0"/>
        <w:jc w:val="both"/>
        <w:rPr>
          <w:u w:val="none"/>
        </w:rPr>
      </w:pPr>
      <w:r w:rsidRPr="003A306E">
        <w:rPr>
          <w:u w:val="none"/>
        </w:rPr>
        <w:t>H</w:t>
      </w:r>
      <w:r w:rsidR="0053594F" w:rsidRPr="003A306E">
        <w:rPr>
          <w:u w:val="none"/>
        </w:rPr>
        <w:t xml:space="preserve">eard on      </w:t>
      </w:r>
      <w:r w:rsidR="0053594F" w:rsidRPr="003A306E">
        <w:rPr>
          <w:u w:val="none"/>
        </w:rPr>
        <w:tab/>
      </w:r>
      <w:r w:rsidR="0053594F" w:rsidRPr="003A306E">
        <w:rPr>
          <w:u w:val="none"/>
        </w:rPr>
        <w:tab/>
      </w:r>
      <w:r w:rsidR="0053594F" w:rsidRPr="003A306E">
        <w:rPr>
          <w:u w:val="none"/>
        </w:rPr>
        <w:tab/>
      </w:r>
      <w:r w:rsidRPr="003A306E">
        <w:rPr>
          <w:u w:val="none"/>
        </w:rPr>
        <w:tab/>
      </w:r>
      <w:r w:rsidR="0053594F" w:rsidRPr="003A306E">
        <w:rPr>
          <w:u w:val="none"/>
        </w:rPr>
        <w:t xml:space="preserve">: </w:t>
      </w:r>
      <w:r w:rsidR="009577F1">
        <w:rPr>
          <w:u w:val="none"/>
        </w:rPr>
        <w:t xml:space="preserve">6 to 9 September </w:t>
      </w:r>
      <w:r w:rsidRPr="003A306E">
        <w:rPr>
          <w:u w:val="none"/>
        </w:rPr>
        <w:t>2022</w:t>
      </w:r>
    </w:p>
    <w:sectPr w:rsidR="00770485" w:rsidRPr="003A306E" w:rsidSect="00F43516">
      <w:headerReference w:type="default" r:id="rId16"/>
      <w:pgSz w:w="11906" w:h="16838"/>
      <w:pgMar w:top="1440" w:right="1841"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5E" w:rsidRDefault="006E3B5E" w:rsidP="00BA7B3F">
      <w:r>
        <w:separator/>
      </w:r>
    </w:p>
  </w:endnote>
  <w:endnote w:type="continuationSeparator" w:id="0">
    <w:p w:rsidR="006E3B5E" w:rsidRDefault="006E3B5E" w:rsidP="00B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5E" w:rsidRPr="003E6730" w:rsidRDefault="006E3B5E">
      <w:pPr>
        <w:rPr>
          <w:u w:val="none"/>
          <w:lang w:val="en-US"/>
        </w:rPr>
      </w:pPr>
      <w:r w:rsidRPr="003E6730">
        <w:rPr>
          <w:u w:val="none"/>
          <w:lang w:val="en-US"/>
        </w:rPr>
        <w:t>______________________________________</w:t>
      </w:r>
    </w:p>
  </w:footnote>
  <w:footnote w:type="continuationSeparator" w:id="0">
    <w:p w:rsidR="006E3B5E" w:rsidRDefault="006E3B5E" w:rsidP="00BA7B3F">
      <w:r>
        <w:continuationSeparator/>
      </w:r>
    </w:p>
  </w:footnote>
  <w:footnote w:id="1">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This was abandoned in Defendant’s closing heads of argument</w:t>
      </w:r>
    </w:p>
  </w:footnote>
  <w:footnote w:id="2">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proofErr w:type="spellStart"/>
      <w:r w:rsidRPr="00E65FCC">
        <w:rPr>
          <w:rFonts w:asciiTheme="minorHAnsi" w:hAnsiTheme="minorHAnsi" w:cstheme="minorHAnsi"/>
          <w:u w:val="none"/>
          <w:lang w:val="en-US"/>
        </w:rPr>
        <w:t>Rossouw</w:t>
      </w:r>
      <w:proofErr w:type="spellEnd"/>
      <w:r w:rsidRPr="00E65FCC">
        <w:rPr>
          <w:rFonts w:asciiTheme="minorHAnsi" w:hAnsiTheme="minorHAnsi" w:cstheme="minorHAnsi"/>
          <w:u w:val="none"/>
          <w:lang w:val="en-US"/>
        </w:rPr>
        <w:t xml:space="preserve"> v FirstRand Bank 2010 (6) SA 439 (SCA)</w:t>
      </w:r>
    </w:p>
  </w:footnote>
  <w:footnote w:id="3">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ABSA Bank v </w:t>
      </w:r>
      <w:proofErr w:type="spellStart"/>
      <w:r w:rsidRPr="00E65FCC">
        <w:rPr>
          <w:rFonts w:asciiTheme="minorHAnsi" w:hAnsiTheme="minorHAnsi" w:cstheme="minorHAnsi"/>
          <w:u w:val="none"/>
          <w:lang w:val="en-US"/>
        </w:rPr>
        <w:t>Molcebe</w:t>
      </w:r>
      <w:proofErr w:type="spellEnd"/>
      <w:r w:rsidRPr="00E65FCC">
        <w:rPr>
          <w:rFonts w:asciiTheme="minorHAnsi" w:hAnsiTheme="minorHAnsi" w:cstheme="minorHAnsi"/>
          <w:u w:val="none"/>
          <w:lang w:val="en-US"/>
        </w:rPr>
        <w:t xml:space="preserve"> &amp; related cases 2018 (6) SA 492 (GJ); Standard Bank of South Africa (Pty) Ltd v Hendricks &amp; Another &amp; related cases 2019 (2) SA 620 (WCC)</w:t>
      </w:r>
    </w:p>
  </w:footnote>
  <w:footnote w:id="4">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facility was for R831 600</w:t>
      </w:r>
    </w:p>
  </w:footnote>
  <w:footnote w:id="5">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facility was for R902 272</w:t>
      </w:r>
    </w:p>
  </w:footnote>
  <w:footnote w:id="6">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facility was for R9 733 472</w:t>
      </w:r>
    </w:p>
  </w:footnote>
  <w:footnote w:id="7">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For example, the facility for the white maize crop consisted of: seed (R1 429 951-83), fertilizer (R2 854 364-69), sprays (R863 108-65), fuel (R2 349 916-05), crop insurance (R751 973-14, repairs (R313 322-14), wages (R662 538-64), “</w:t>
      </w:r>
      <w:proofErr w:type="spellStart"/>
      <w:r w:rsidRPr="00E65FCC">
        <w:rPr>
          <w:rFonts w:asciiTheme="minorHAnsi" w:hAnsiTheme="minorHAnsi" w:cstheme="minorHAnsi"/>
          <w:u w:val="none"/>
          <w:lang w:val="en-US"/>
        </w:rPr>
        <w:t>verkansing</w:t>
      </w:r>
      <w:proofErr w:type="spellEnd"/>
      <w:r w:rsidRPr="00E65FCC">
        <w:rPr>
          <w:rFonts w:asciiTheme="minorHAnsi" w:hAnsiTheme="minorHAnsi" w:cstheme="minorHAnsi"/>
          <w:u w:val="none"/>
          <w:lang w:val="en-US"/>
        </w:rPr>
        <w:t>” (R104 026-48) &amp; “other” (R404 270-38)</w:t>
      </w:r>
    </w:p>
  </w:footnote>
  <w:footnote w:id="8">
    <w:p w:rsidR="006C41DC" w:rsidRPr="00E65FCC" w:rsidRDefault="006C41DC" w:rsidP="00E65FCC">
      <w:pPr>
        <w:pStyle w:val="FootnoteText"/>
        <w:jc w:val="both"/>
        <w:rPr>
          <w:rFonts w:asciiTheme="minorHAnsi" w:hAnsiTheme="minorHAnsi" w:cstheme="minorHAnsi"/>
          <w:u w:val="none"/>
          <w:lang w:val="en-GB"/>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GB"/>
        </w:rPr>
        <w:t xml:space="preserve">Interchangeably also referred to as “the </w:t>
      </w:r>
      <w:proofErr w:type="spellStart"/>
      <w:r w:rsidRPr="00E65FCC">
        <w:rPr>
          <w:rFonts w:asciiTheme="minorHAnsi" w:hAnsiTheme="minorHAnsi" w:cstheme="minorHAnsi"/>
          <w:u w:val="none"/>
          <w:lang w:val="en-GB"/>
        </w:rPr>
        <w:t>AoD</w:t>
      </w:r>
      <w:proofErr w:type="spellEnd"/>
      <w:r w:rsidRPr="00E65FCC">
        <w:rPr>
          <w:rFonts w:asciiTheme="minorHAnsi" w:hAnsiTheme="minorHAnsi" w:cstheme="minorHAnsi"/>
          <w:u w:val="none"/>
          <w:lang w:val="en-GB"/>
        </w:rPr>
        <w:t xml:space="preserve"> and Consolidation Agreement”</w:t>
      </w:r>
    </w:p>
  </w:footnote>
  <w:footnote w:id="9">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This clause reads </w:t>
      </w:r>
      <w:r w:rsidRPr="00E65FCC">
        <w:rPr>
          <w:rFonts w:asciiTheme="minorHAnsi" w:hAnsiTheme="minorHAnsi" w:cstheme="minorHAnsi"/>
          <w:i/>
          <w:u w:val="none"/>
          <w:lang w:val="en-US"/>
        </w:rPr>
        <w:t>“Base interest rate on conclusion of agreement (prime interest + 2,50%). In the event of default, interest shall be charged at a higher rate equal to prime interest rate + 6%. The interest rate varies according to the fluctuation in the prime interest rate.”</w:t>
      </w:r>
    </w:p>
  </w:footnote>
  <w:footnote w:id="10">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2</w:t>
      </w:r>
      <w:r w:rsidRPr="00E65FCC">
        <w:rPr>
          <w:rFonts w:asciiTheme="minorHAnsi" w:hAnsiTheme="minorHAnsi" w:cstheme="minorHAnsi"/>
          <w:u w:val="none"/>
          <w:vertAlign w:val="superscript"/>
          <w:lang w:val="en-US"/>
        </w:rPr>
        <w:t>nd</w:t>
      </w:r>
      <w:r w:rsidRPr="00E65FCC">
        <w:rPr>
          <w:rFonts w:asciiTheme="minorHAnsi" w:hAnsiTheme="minorHAnsi" w:cstheme="minorHAnsi"/>
          <w:u w:val="none"/>
          <w:lang w:val="en-US"/>
        </w:rPr>
        <w:t xml:space="preserve"> agreement uses the following specific wording </w:t>
      </w:r>
      <w:r w:rsidRPr="00E65FCC">
        <w:rPr>
          <w:rFonts w:asciiTheme="minorHAnsi" w:hAnsiTheme="minorHAnsi" w:cstheme="minorHAnsi"/>
          <w:i/>
          <w:u w:val="none"/>
          <w:lang w:val="en-US"/>
        </w:rPr>
        <w:t xml:space="preserve">“… </w:t>
      </w:r>
      <w:proofErr w:type="spellStart"/>
      <w:r w:rsidRPr="00E65FCC">
        <w:rPr>
          <w:rFonts w:asciiTheme="minorHAnsi" w:hAnsiTheme="minorHAnsi" w:cstheme="minorHAnsi"/>
          <w:i/>
          <w:u w:val="none"/>
          <w:lang w:val="en-US"/>
        </w:rPr>
        <w:t>onderhewig</w:t>
      </w:r>
      <w:proofErr w:type="spellEnd"/>
      <w:r w:rsidRPr="00E65FCC">
        <w:rPr>
          <w:rFonts w:asciiTheme="minorHAnsi" w:hAnsiTheme="minorHAnsi" w:cstheme="minorHAnsi"/>
          <w:i/>
          <w:u w:val="none"/>
          <w:lang w:val="en-US"/>
        </w:rPr>
        <w:t xml:space="preserve"> </w:t>
      </w:r>
      <w:proofErr w:type="spellStart"/>
      <w:r w:rsidRPr="00E65FCC">
        <w:rPr>
          <w:rFonts w:asciiTheme="minorHAnsi" w:hAnsiTheme="minorHAnsi" w:cstheme="minorHAnsi"/>
          <w:i/>
          <w:u w:val="none"/>
          <w:lang w:val="en-US"/>
        </w:rPr>
        <w:t>aan</w:t>
      </w:r>
      <w:proofErr w:type="spellEnd"/>
      <w:r w:rsidRPr="00E65FCC">
        <w:rPr>
          <w:rFonts w:asciiTheme="minorHAnsi" w:hAnsiTheme="minorHAnsi" w:cstheme="minorHAnsi"/>
          <w:i/>
          <w:u w:val="none"/>
          <w:lang w:val="en-US"/>
        </w:rPr>
        <w:t xml:space="preserve"> die </w:t>
      </w:r>
      <w:proofErr w:type="spellStart"/>
      <w:r w:rsidRPr="00E65FCC">
        <w:rPr>
          <w:rFonts w:asciiTheme="minorHAnsi" w:hAnsiTheme="minorHAnsi" w:cstheme="minorHAnsi"/>
          <w:i/>
          <w:u w:val="none"/>
          <w:lang w:val="en-US"/>
        </w:rPr>
        <w:t>voorwaardes</w:t>
      </w:r>
      <w:proofErr w:type="spellEnd"/>
      <w:r w:rsidRPr="00E65FCC">
        <w:rPr>
          <w:rFonts w:asciiTheme="minorHAnsi" w:hAnsiTheme="minorHAnsi" w:cstheme="minorHAnsi"/>
          <w:i/>
          <w:u w:val="none"/>
          <w:lang w:val="en-US"/>
        </w:rPr>
        <w:t xml:space="preserve"> </w:t>
      </w:r>
      <w:proofErr w:type="spellStart"/>
      <w:r w:rsidRPr="00E65FCC">
        <w:rPr>
          <w:rFonts w:asciiTheme="minorHAnsi" w:hAnsiTheme="minorHAnsi" w:cstheme="minorHAnsi"/>
          <w:i/>
          <w:u w:val="none"/>
          <w:lang w:val="en-US"/>
        </w:rPr>
        <w:t>soos</w:t>
      </w:r>
      <w:proofErr w:type="spellEnd"/>
      <w:r w:rsidRPr="00E65FCC">
        <w:rPr>
          <w:rFonts w:asciiTheme="minorHAnsi" w:hAnsiTheme="minorHAnsi" w:cstheme="minorHAnsi"/>
          <w:i/>
          <w:u w:val="none"/>
          <w:lang w:val="en-US"/>
        </w:rPr>
        <w:t xml:space="preserve"> </w:t>
      </w:r>
      <w:proofErr w:type="spellStart"/>
      <w:r w:rsidRPr="00E65FCC">
        <w:rPr>
          <w:rFonts w:asciiTheme="minorHAnsi" w:hAnsiTheme="minorHAnsi" w:cstheme="minorHAnsi"/>
          <w:i/>
          <w:u w:val="none"/>
          <w:lang w:val="en-US"/>
        </w:rPr>
        <w:t>hierander</w:t>
      </w:r>
      <w:proofErr w:type="spellEnd"/>
      <w:r w:rsidRPr="00E65FCC">
        <w:rPr>
          <w:rFonts w:asciiTheme="minorHAnsi" w:hAnsiTheme="minorHAnsi" w:cstheme="minorHAnsi"/>
          <w:i/>
          <w:u w:val="none"/>
          <w:lang w:val="en-US"/>
        </w:rPr>
        <w:t xml:space="preserve"> </w:t>
      </w:r>
      <w:proofErr w:type="spellStart"/>
      <w:proofErr w:type="gramStart"/>
      <w:r w:rsidRPr="00E65FCC">
        <w:rPr>
          <w:rFonts w:asciiTheme="minorHAnsi" w:hAnsiTheme="minorHAnsi" w:cstheme="minorHAnsi"/>
          <w:i/>
          <w:u w:val="none"/>
          <w:lang w:val="en-US"/>
        </w:rPr>
        <w:t>uiteengesit</w:t>
      </w:r>
      <w:proofErr w:type="spellEnd"/>
      <w:r w:rsidRPr="00E65FCC">
        <w:rPr>
          <w:rFonts w:asciiTheme="minorHAnsi" w:hAnsiTheme="minorHAnsi" w:cstheme="minorHAnsi"/>
          <w:i/>
          <w:u w:val="none"/>
          <w:lang w:val="en-US"/>
        </w:rPr>
        <w:t>:…</w:t>
      </w:r>
      <w:proofErr w:type="gramEnd"/>
      <w:r w:rsidRPr="00E65FCC">
        <w:rPr>
          <w:rFonts w:asciiTheme="minorHAnsi" w:hAnsiTheme="minorHAnsi" w:cstheme="minorHAnsi"/>
          <w:i/>
          <w:u w:val="none"/>
          <w:lang w:val="en-US"/>
        </w:rPr>
        <w:t>”</w:t>
      </w:r>
    </w:p>
  </w:footnote>
  <w:footnote w:id="11">
    <w:p w:rsidR="006C41DC" w:rsidRPr="002D450F" w:rsidRDefault="006C41DC" w:rsidP="002D450F">
      <w:pPr>
        <w:pStyle w:val="FootnoteText"/>
        <w:jc w:val="both"/>
        <w:rPr>
          <w:rFonts w:asciiTheme="minorHAnsi" w:hAnsiTheme="minorHAnsi" w:cstheme="minorHAnsi"/>
          <w:lang w:val="en-US"/>
        </w:rPr>
      </w:pPr>
      <w:r w:rsidRPr="002D450F">
        <w:rPr>
          <w:rStyle w:val="FootnoteReference"/>
          <w:rFonts w:asciiTheme="minorHAnsi" w:hAnsiTheme="minorHAnsi" w:cstheme="minorHAnsi"/>
          <w:u w:val="none"/>
        </w:rPr>
        <w:footnoteRef/>
      </w:r>
      <w:r w:rsidRPr="002D450F">
        <w:rPr>
          <w:rFonts w:asciiTheme="minorHAnsi" w:hAnsiTheme="minorHAnsi" w:cstheme="minorHAnsi"/>
          <w:u w:val="none"/>
        </w:rPr>
        <w:t xml:space="preserve"> The </w:t>
      </w:r>
      <w:r w:rsidRPr="002D450F">
        <w:rPr>
          <w:rFonts w:asciiTheme="minorHAnsi" w:hAnsiTheme="minorHAnsi" w:cstheme="minorHAnsi"/>
          <w:i/>
          <w:u w:val="none"/>
        </w:rPr>
        <w:t>ratio</w:t>
      </w:r>
      <w:r w:rsidRPr="002D450F">
        <w:rPr>
          <w:rFonts w:asciiTheme="minorHAnsi" w:hAnsiTheme="minorHAnsi" w:cstheme="minorHAnsi"/>
          <w:u w:val="none"/>
        </w:rPr>
        <w:t xml:space="preserve"> behind the consolidated debt was that the facility of R26,5 million would not only extend the repayment of the existing debt between the plaintiff and the insolvent, but the insolvent’s outstanding debt to ABSA Bank and </w:t>
      </w:r>
      <w:proofErr w:type="spellStart"/>
      <w:r w:rsidRPr="002D450F">
        <w:rPr>
          <w:rFonts w:asciiTheme="minorHAnsi" w:hAnsiTheme="minorHAnsi" w:cstheme="minorHAnsi"/>
          <w:u w:val="none"/>
        </w:rPr>
        <w:t>Fincrop</w:t>
      </w:r>
      <w:proofErr w:type="spellEnd"/>
      <w:r w:rsidRPr="002D450F">
        <w:rPr>
          <w:rFonts w:asciiTheme="minorHAnsi" w:hAnsiTheme="minorHAnsi" w:cstheme="minorHAnsi"/>
          <w:u w:val="none"/>
        </w:rPr>
        <w:t xml:space="preserve"> would be paid taken over by the plaintiff who would pay out those two creditors and the insolvent would be indebted only to the plaintiff</w:t>
      </w:r>
    </w:p>
  </w:footnote>
  <w:footnote w:id="12">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Which is recorded as R26 million and not R26,5 million </w:t>
      </w:r>
    </w:p>
  </w:footnote>
  <w:footnote w:id="13">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And if the insolvent is in default, it is again prime plus 6%</w:t>
      </w:r>
    </w:p>
  </w:footnote>
  <w:footnote w:id="14">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amount was for the amount was for R1 617 000-00</w:t>
      </w:r>
    </w:p>
  </w:footnote>
  <w:footnote w:id="15">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The amount was for the amount was for R1 290 891-60 </w:t>
      </w:r>
    </w:p>
  </w:footnote>
  <w:footnote w:id="16">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amount was for the amount was for R1 249 586-00</w:t>
      </w:r>
    </w:p>
  </w:footnote>
  <w:footnote w:id="17">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amount was for the amount was for R228 884-00</w:t>
      </w:r>
      <w:r w:rsidRPr="00E65FCC">
        <w:rPr>
          <w:rFonts w:asciiTheme="minorHAnsi" w:hAnsiTheme="minorHAnsi" w:cstheme="minorHAnsi"/>
          <w:lang w:val="en-US"/>
        </w:rPr>
        <w:t xml:space="preserve"> </w:t>
      </w:r>
    </w:p>
  </w:footnote>
  <w:footnote w:id="18">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This amount being recorded in regards of the Term Loan Agreement </w:t>
      </w:r>
      <w:proofErr w:type="spellStart"/>
      <w:r w:rsidRPr="00E65FCC">
        <w:rPr>
          <w:rFonts w:asciiTheme="minorHAnsi" w:hAnsiTheme="minorHAnsi" w:cstheme="minorHAnsi"/>
          <w:u w:val="none"/>
          <w:lang w:val="en-US"/>
        </w:rPr>
        <w:t>ie</w:t>
      </w:r>
      <w:proofErr w:type="spellEnd"/>
      <w:r w:rsidRPr="00E65FCC">
        <w:rPr>
          <w:rFonts w:asciiTheme="minorHAnsi" w:hAnsiTheme="minorHAnsi" w:cstheme="minorHAnsi"/>
          <w:u w:val="none"/>
          <w:lang w:val="en-US"/>
        </w:rPr>
        <w:t xml:space="preserve"> the 2</w:t>
      </w:r>
      <w:r w:rsidRPr="00E65FCC">
        <w:rPr>
          <w:rFonts w:asciiTheme="minorHAnsi" w:hAnsiTheme="minorHAnsi" w:cstheme="minorHAnsi"/>
          <w:u w:val="none"/>
          <w:vertAlign w:val="superscript"/>
          <w:lang w:val="en-US"/>
        </w:rPr>
        <w:t>nd</w:t>
      </w:r>
      <w:r w:rsidRPr="00E65FCC">
        <w:rPr>
          <w:rFonts w:asciiTheme="minorHAnsi" w:hAnsiTheme="minorHAnsi" w:cstheme="minorHAnsi"/>
          <w:u w:val="none"/>
          <w:lang w:val="en-US"/>
        </w:rPr>
        <w:t xml:space="preserve"> agreement</w:t>
      </w:r>
    </w:p>
  </w:footnote>
  <w:footnote w:id="19">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proofErr w:type="spellStart"/>
      <w:r w:rsidRPr="00E65FCC">
        <w:rPr>
          <w:rFonts w:asciiTheme="minorHAnsi" w:hAnsiTheme="minorHAnsi" w:cstheme="minorHAnsi"/>
          <w:u w:val="none"/>
          <w:lang w:val="en-US"/>
        </w:rPr>
        <w:t>Mr</w:t>
      </w:r>
      <w:proofErr w:type="spellEnd"/>
      <w:r w:rsidRPr="00E65FCC">
        <w:rPr>
          <w:rFonts w:asciiTheme="minorHAnsi" w:hAnsiTheme="minorHAnsi" w:cstheme="minorHAnsi"/>
          <w:u w:val="none"/>
          <w:lang w:val="en-US"/>
        </w:rPr>
        <w:t xml:space="preserve"> </w:t>
      </w:r>
      <w:proofErr w:type="spellStart"/>
      <w:r w:rsidRPr="00E65FCC">
        <w:rPr>
          <w:rFonts w:asciiTheme="minorHAnsi" w:hAnsiTheme="minorHAnsi" w:cstheme="minorHAnsi"/>
          <w:u w:val="none"/>
          <w:lang w:val="en-US"/>
        </w:rPr>
        <w:t>Viljoen</w:t>
      </w:r>
      <w:proofErr w:type="spellEnd"/>
      <w:r w:rsidRPr="00E65FCC">
        <w:rPr>
          <w:rFonts w:asciiTheme="minorHAnsi" w:hAnsiTheme="minorHAnsi" w:cstheme="minorHAnsi"/>
          <w:u w:val="none"/>
          <w:lang w:val="en-US"/>
        </w:rPr>
        <w:t xml:space="preserve"> was not cross-examined at all and his evidence was not placed in dispute.</w:t>
      </w:r>
    </w:p>
  </w:footnote>
  <w:footnote w:id="20">
    <w:p w:rsidR="006C41DC" w:rsidRPr="00380598" w:rsidRDefault="006C41DC" w:rsidP="00380598">
      <w:pPr>
        <w:pStyle w:val="FootnoteText"/>
        <w:jc w:val="both"/>
        <w:rPr>
          <w:rFonts w:asciiTheme="minorHAnsi" w:hAnsiTheme="minorHAnsi" w:cstheme="minorHAnsi"/>
          <w:u w:val="none"/>
          <w:lang w:val="en-US"/>
        </w:rPr>
      </w:pPr>
      <w:r w:rsidRPr="00380598">
        <w:rPr>
          <w:rStyle w:val="FootnoteReference"/>
          <w:rFonts w:asciiTheme="minorHAnsi" w:hAnsiTheme="minorHAnsi" w:cstheme="minorHAnsi"/>
          <w:u w:val="none"/>
        </w:rPr>
        <w:footnoteRef/>
      </w:r>
      <w:r w:rsidRPr="00380598">
        <w:rPr>
          <w:rFonts w:asciiTheme="minorHAnsi" w:hAnsiTheme="minorHAnsi" w:cstheme="minorHAnsi"/>
          <w:u w:val="none"/>
        </w:rPr>
        <w:t xml:space="preserve"> </w:t>
      </w:r>
      <w:r w:rsidRPr="00380598">
        <w:rPr>
          <w:rFonts w:asciiTheme="minorHAnsi" w:hAnsiTheme="minorHAnsi" w:cstheme="minorHAnsi"/>
          <w:u w:val="none"/>
          <w:lang w:val="en-US"/>
        </w:rPr>
        <w:t>For example, whether the table they sat at was round or hexagonal or oblong,</w:t>
      </w:r>
      <w:r>
        <w:rPr>
          <w:rFonts w:asciiTheme="minorHAnsi" w:hAnsiTheme="minorHAnsi" w:cstheme="minorHAnsi"/>
          <w:u w:val="none"/>
          <w:lang w:val="en-US"/>
        </w:rPr>
        <w:t xml:space="preserve"> how many chairs were at the table,</w:t>
      </w:r>
      <w:r w:rsidRPr="00380598">
        <w:rPr>
          <w:rFonts w:asciiTheme="minorHAnsi" w:hAnsiTheme="minorHAnsi" w:cstheme="minorHAnsi"/>
          <w:u w:val="none"/>
          <w:lang w:val="en-US"/>
        </w:rPr>
        <w:t xml:space="preserve"> the detail of the decorations in the room</w:t>
      </w:r>
      <w:r>
        <w:rPr>
          <w:rFonts w:asciiTheme="minorHAnsi" w:hAnsiTheme="minorHAnsi" w:cstheme="minorHAnsi"/>
          <w:u w:val="none"/>
          <w:lang w:val="en-US"/>
        </w:rPr>
        <w:t xml:space="preserve"> – to name but three</w:t>
      </w:r>
    </w:p>
  </w:footnote>
  <w:footnote w:id="21">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proofErr w:type="spellStart"/>
      <w:r w:rsidRPr="00E65FCC">
        <w:rPr>
          <w:rFonts w:asciiTheme="minorHAnsi" w:hAnsiTheme="minorHAnsi" w:cstheme="minorHAnsi"/>
          <w:u w:val="none"/>
          <w:lang w:val="en-US"/>
        </w:rPr>
        <w:t>Khumalo</w:t>
      </w:r>
      <w:proofErr w:type="spellEnd"/>
      <w:r w:rsidRPr="00E65FCC">
        <w:rPr>
          <w:rFonts w:asciiTheme="minorHAnsi" w:hAnsiTheme="minorHAnsi" w:cstheme="minorHAnsi"/>
          <w:u w:val="none"/>
          <w:lang w:val="en-US"/>
        </w:rPr>
        <w:t xml:space="preserve"> v MEC for Education: </w:t>
      </w:r>
      <w:proofErr w:type="spellStart"/>
      <w:r w:rsidRPr="00E65FCC">
        <w:rPr>
          <w:rFonts w:asciiTheme="minorHAnsi" w:hAnsiTheme="minorHAnsi" w:cstheme="minorHAnsi"/>
          <w:u w:val="none"/>
          <w:lang w:val="en-US"/>
        </w:rPr>
        <w:t>KwaZulu</w:t>
      </w:r>
      <w:proofErr w:type="spellEnd"/>
      <w:r w:rsidRPr="00E65FCC">
        <w:rPr>
          <w:rFonts w:asciiTheme="minorHAnsi" w:hAnsiTheme="minorHAnsi" w:cstheme="minorHAnsi"/>
          <w:u w:val="none"/>
          <w:lang w:val="en-US"/>
        </w:rPr>
        <w:t xml:space="preserve"> Natal 2014 (3) BCLR 333 (CC) at par 48 </w:t>
      </w:r>
    </w:p>
  </w:footnote>
  <w:footnote w:id="22">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name “</w:t>
      </w:r>
      <w:proofErr w:type="spellStart"/>
      <w:r w:rsidRPr="00E65FCC">
        <w:rPr>
          <w:rFonts w:asciiTheme="minorHAnsi" w:hAnsiTheme="minorHAnsi" w:cstheme="minorHAnsi"/>
          <w:u w:val="none"/>
          <w:lang w:val="en-US"/>
        </w:rPr>
        <w:t>Joesina</w:t>
      </w:r>
      <w:proofErr w:type="spellEnd"/>
      <w:r w:rsidRPr="00E65FCC">
        <w:rPr>
          <w:rFonts w:asciiTheme="minorHAnsi" w:hAnsiTheme="minorHAnsi" w:cstheme="minorHAnsi"/>
          <w:u w:val="none"/>
          <w:lang w:val="en-US"/>
        </w:rPr>
        <w:t>” was incorrectly spelled “</w:t>
      </w:r>
      <w:proofErr w:type="spellStart"/>
      <w:r w:rsidRPr="00E65FCC">
        <w:rPr>
          <w:rFonts w:asciiTheme="minorHAnsi" w:hAnsiTheme="minorHAnsi" w:cstheme="minorHAnsi"/>
          <w:u w:val="none"/>
          <w:lang w:val="en-US"/>
        </w:rPr>
        <w:t>Josina</w:t>
      </w:r>
      <w:proofErr w:type="spellEnd"/>
      <w:r w:rsidRPr="00E65FCC">
        <w:rPr>
          <w:rFonts w:asciiTheme="minorHAnsi" w:hAnsiTheme="minorHAnsi" w:cstheme="minorHAnsi"/>
          <w:u w:val="none"/>
          <w:lang w:val="en-US"/>
        </w:rPr>
        <w:t xml:space="preserve">” and </w:t>
      </w:r>
      <w:proofErr w:type="spellStart"/>
      <w:r w:rsidRPr="00E65FCC">
        <w:rPr>
          <w:rFonts w:asciiTheme="minorHAnsi" w:hAnsiTheme="minorHAnsi" w:cstheme="minorHAnsi"/>
          <w:u w:val="none"/>
          <w:lang w:val="en-US"/>
        </w:rPr>
        <w:t>Ms</w:t>
      </w:r>
      <w:proofErr w:type="spellEnd"/>
      <w:r w:rsidRPr="00E65FCC">
        <w:rPr>
          <w:rFonts w:asciiTheme="minorHAnsi" w:hAnsiTheme="minorHAnsi" w:cstheme="minorHAnsi"/>
          <w:u w:val="none"/>
          <w:lang w:val="en-US"/>
        </w:rPr>
        <w:t xml:space="preserve"> Erasmus’ evidence was that the 1</w:t>
      </w:r>
      <w:r w:rsidRPr="00E65FCC">
        <w:rPr>
          <w:rFonts w:asciiTheme="minorHAnsi" w:hAnsiTheme="minorHAnsi" w:cstheme="minorHAnsi"/>
          <w:u w:val="none"/>
          <w:vertAlign w:val="superscript"/>
          <w:lang w:val="en-US"/>
        </w:rPr>
        <w:t>st</w:t>
      </w:r>
      <w:r w:rsidRPr="00E65FCC">
        <w:rPr>
          <w:rFonts w:asciiTheme="minorHAnsi" w:hAnsiTheme="minorHAnsi" w:cstheme="minorHAnsi"/>
          <w:u w:val="none"/>
          <w:lang w:val="en-US"/>
        </w:rPr>
        <w:t xml:space="preserve"> defendant checked the document and corrected the spelling of her name</w:t>
      </w:r>
    </w:p>
  </w:footnote>
  <w:footnote w:id="23">
    <w:p w:rsidR="006C41DC" w:rsidRPr="00E65FCC" w:rsidRDefault="006C41DC" w:rsidP="00E65FCC">
      <w:pPr>
        <w:pStyle w:val="FootnoteText"/>
        <w:jc w:val="both"/>
        <w:rPr>
          <w:rFonts w:asciiTheme="minorHAnsi" w:hAnsiTheme="minorHAnsi" w:cstheme="minorHAnsi"/>
          <w:u w:val="none"/>
          <w:lang w:val="en-GB"/>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Which are to be found at paragraphs 1 and 7 of the suretyships</w:t>
      </w:r>
    </w:p>
  </w:footnote>
  <w:footnote w:id="24">
    <w:p w:rsidR="006C41DC" w:rsidRPr="00E65FCC" w:rsidRDefault="006C41DC" w:rsidP="00E65FCC">
      <w:pPr>
        <w:pStyle w:val="FootnoteText"/>
        <w:jc w:val="both"/>
        <w:rPr>
          <w:rFonts w:asciiTheme="minorHAnsi" w:hAnsiTheme="minorHAnsi" w:cstheme="minorHAnsi"/>
          <w:u w:val="none"/>
          <w:lang w:val="en-GB"/>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GB"/>
        </w:rPr>
        <w:t>No argument on this issue was presented in closing argument</w:t>
      </w:r>
    </w:p>
  </w:footnote>
  <w:footnote w:id="25">
    <w:p w:rsidR="006C41DC" w:rsidRPr="00E65FCC" w:rsidRDefault="006C41DC" w:rsidP="00E65FCC">
      <w:pPr>
        <w:pStyle w:val="FootnoteText"/>
        <w:jc w:val="both"/>
        <w:rPr>
          <w:rFonts w:asciiTheme="minorHAnsi" w:hAnsiTheme="minorHAnsi" w:cstheme="minorHAnsi"/>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proofErr w:type="spellStart"/>
      <w:r w:rsidRPr="00E65FCC">
        <w:rPr>
          <w:rFonts w:asciiTheme="minorHAnsi" w:hAnsiTheme="minorHAnsi" w:cstheme="minorHAnsi"/>
          <w:u w:val="none"/>
        </w:rPr>
        <w:t>Pexmart</w:t>
      </w:r>
      <w:proofErr w:type="spellEnd"/>
      <w:r w:rsidRPr="00E65FCC">
        <w:rPr>
          <w:rFonts w:asciiTheme="minorHAnsi" w:hAnsiTheme="minorHAnsi" w:cstheme="minorHAnsi"/>
          <w:u w:val="none"/>
        </w:rPr>
        <w:t xml:space="preserve"> CC and Others </w:t>
      </w:r>
      <w:proofErr w:type="gramStart"/>
      <w:r w:rsidRPr="00E65FCC">
        <w:rPr>
          <w:rFonts w:asciiTheme="minorHAnsi" w:hAnsiTheme="minorHAnsi" w:cstheme="minorHAnsi"/>
          <w:u w:val="none"/>
        </w:rPr>
        <w:t>v</w:t>
      </w:r>
      <w:proofErr w:type="gramEnd"/>
      <w:r w:rsidRPr="00E65FCC">
        <w:rPr>
          <w:rFonts w:asciiTheme="minorHAnsi" w:hAnsiTheme="minorHAnsi" w:cstheme="minorHAnsi"/>
          <w:u w:val="none"/>
        </w:rPr>
        <w:t xml:space="preserve"> Home Construction (Pty) Ltd and Another 2019 (3) SA 117 (SCA)</w:t>
      </w:r>
    </w:p>
  </w:footnote>
  <w:footnote w:id="26">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See paragraph 12.2.2 at page 8 supra</w:t>
      </w:r>
    </w:p>
  </w:footnote>
  <w:footnote w:id="27">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The agreement consisting of the application of 29 October 2012 and the quotation of 10 December 2012</w:t>
      </w:r>
    </w:p>
  </w:footnote>
  <w:footnote w:id="28">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2013 (3) SA 132 (SCA) at paragraph 10</w:t>
      </w:r>
    </w:p>
  </w:footnote>
  <w:footnote w:id="29">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1947 (4) SA 37 (D) </w:t>
      </w:r>
    </w:p>
  </w:footnote>
  <w:footnote w:id="30">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2000 (1) SA 1 (CC) at paragraph 61 – 65</w:t>
      </w:r>
      <w:r w:rsidRPr="00E65FCC">
        <w:rPr>
          <w:rFonts w:asciiTheme="minorHAnsi" w:hAnsiTheme="minorHAnsi" w:cstheme="minorHAnsi"/>
          <w:lang w:val="en-US"/>
        </w:rPr>
        <w:t xml:space="preserve"> </w:t>
      </w:r>
    </w:p>
  </w:footnote>
  <w:footnote w:id="31">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proofErr w:type="spellStart"/>
      <w:r w:rsidRPr="00E65FCC">
        <w:rPr>
          <w:rFonts w:asciiTheme="minorHAnsi" w:hAnsiTheme="minorHAnsi" w:cstheme="minorHAnsi"/>
          <w:u w:val="none"/>
          <w:lang w:val="en-US"/>
        </w:rPr>
        <w:t>Unica</w:t>
      </w:r>
      <w:proofErr w:type="spellEnd"/>
      <w:r w:rsidRPr="00E65FCC">
        <w:rPr>
          <w:rFonts w:asciiTheme="minorHAnsi" w:hAnsiTheme="minorHAnsi" w:cstheme="minorHAnsi"/>
          <w:u w:val="none"/>
          <w:lang w:val="en-US"/>
        </w:rPr>
        <w:t xml:space="preserve"> Iron and Steel (Pty) Ltd and Another v </w:t>
      </w:r>
      <w:proofErr w:type="spellStart"/>
      <w:r w:rsidRPr="00E65FCC">
        <w:rPr>
          <w:rFonts w:asciiTheme="minorHAnsi" w:hAnsiTheme="minorHAnsi" w:cstheme="minorHAnsi"/>
          <w:u w:val="none"/>
          <w:lang w:val="en-US"/>
        </w:rPr>
        <w:t>Mirchandani</w:t>
      </w:r>
      <w:proofErr w:type="spellEnd"/>
      <w:r w:rsidRPr="00E65FCC">
        <w:rPr>
          <w:rFonts w:asciiTheme="minorHAnsi" w:hAnsiTheme="minorHAnsi" w:cstheme="minorHAnsi"/>
          <w:u w:val="none"/>
          <w:lang w:val="en-US"/>
        </w:rPr>
        <w:t xml:space="preserve"> 2016 (2) SA 307 (SCA) at paragraphs 21- 26</w:t>
      </w:r>
    </w:p>
  </w:footnote>
  <w:footnote w:id="32">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See paragraph 29.3 supra</w:t>
      </w:r>
    </w:p>
  </w:footnote>
  <w:footnote w:id="33">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[1943] 2 All ER 35</w:t>
      </w:r>
    </w:p>
  </w:footnote>
  <w:footnote w:id="34">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2012 (1) SA 355 (WCC) at paragraph 59 – 65 </w:t>
      </w:r>
    </w:p>
  </w:footnote>
  <w:footnote w:id="35">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Nedcor Investment Bank Ltd v </w:t>
      </w:r>
      <w:proofErr w:type="spellStart"/>
      <w:r w:rsidRPr="00E65FCC">
        <w:rPr>
          <w:rFonts w:asciiTheme="minorHAnsi" w:hAnsiTheme="minorHAnsi" w:cstheme="minorHAnsi"/>
          <w:u w:val="none"/>
          <w:lang w:val="en-US"/>
        </w:rPr>
        <w:t>Visser</w:t>
      </w:r>
      <w:proofErr w:type="spellEnd"/>
      <w:r w:rsidRPr="00E65FCC">
        <w:rPr>
          <w:rFonts w:asciiTheme="minorHAnsi" w:hAnsiTheme="minorHAnsi" w:cstheme="minorHAnsi"/>
          <w:u w:val="none"/>
          <w:lang w:val="en-US"/>
        </w:rPr>
        <w:t xml:space="preserve"> No and Others 2002 (4) SA 588 (TPD) at 594 D-E</w:t>
      </w:r>
    </w:p>
  </w:footnote>
  <w:footnote w:id="36">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(5559/2019) [2020] ZAFSHC 136 (10/8/2020)</w:t>
      </w:r>
    </w:p>
  </w:footnote>
  <w:footnote w:id="37">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shd w:val="clear" w:color="auto" w:fill="FFFFFF"/>
        </w:rPr>
        <w:t>ABSA Bank Ltd v CL Von Abo Farm (CC) </w:t>
      </w:r>
      <w:hyperlink r:id="rId1" w:tooltip="View LawCiteRecord" w:history="1">
        <w:r w:rsidRPr="00E65FCC">
          <w:rPr>
            <w:rStyle w:val="Hyperlink"/>
            <w:rFonts w:asciiTheme="minorHAnsi" w:hAnsiTheme="minorHAnsi" w:cstheme="minorHAnsi"/>
            <w:bCs/>
            <w:color w:val="auto"/>
            <w:u w:val="none"/>
            <w:shd w:val="clear" w:color="auto" w:fill="FFFFFF"/>
          </w:rPr>
          <w:t>1999 (3) SA 262</w:t>
        </w:r>
      </w:hyperlink>
      <w:r w:rsidRPr="00E65FCC">
        <w:rPr>
          <w:rFonts w:asciiTheme="minorHAnsi" w:hAnsiTheme="minorHAnsi" w:cstheme="minorHAnsi"/>
          <w:u w:val="none"/>
          <w:shd w:val="clear" w:color="auto" w:fill="FFFFFF"/>
        </w:rPr>
        <w:t xml:space="preserve"> O at 274D as well as Nedcor Investment Bank Ltd v </w:t>
      </w:r>
      <w:proofErr w:type="spellStart"/>
      <w:r w:rsidRPr="00E65FCC">
        <w:rPr>
          <w:rFonts w:asciiTheme="minorHAnsi" w:hAnsiTheme="minorHAnsi" w:cstheme="minorHAnsi"/>
          <w:u w:val="none"/>
          <w:shd w:val="clear" w:color="auto" w:fill="FFFFFF"/>
        </w:rPr>
        <w:t>Visser</w:t>
      </w:r>
      <w:proofErr w:type="spellEnd"/>
      <w:r w:rsidRPr="00E65FCC">
        <w:rPr>
          <w:rFonts w:asciiTheme="minorHAnsi" w:hAnsiTheme="minorHAnsi" w:cstheme="minorHAnsi"/>
          <w:u w:val="none"/>
          <w:shd w:val="clear" w:color="auto" w:fill="FFFFFF"/>
        </w:rPr>
        <w:t xml:space="preserve"> N.O. &amp; Others </w:t>
      </w:r>
      <w:hyperlink r:id="rId2" w:tooltip="View LawCiteRecord" w:history="1">
        <w:r w:rsidRPr="00E65FCC">
          <w:rPr>
            <w:rStyle w:val="Hyperlink"/>
            <w:rFonts w:asciiTheme="minorHAnsi" w:hAnsiTheme="minorHAnsi" w:cstheme="minorHAnsi"/>
            <w:bCs/>
            <w:color w:val="auto"/>
            <w:u w:val="none"/>
            <w:shd w:val="clear" w:color="auto" w:fill="FFFFFF"/>
          </w:rPr>
          <w:t>2002 (4) SA 588</w:t>
        </w:r>
      </w:hyperlink>
      <w:r w:rsidRPr="00E65FCC">
        <w:rPr>
          <w:rFonts w:asciiTheme="minorHAnsi" w:hAnsiTheme="minorHAnsi" w:cstheme="minorHAnsi"/>
          <w:u w:val="none"/>
          <w:shd w:val="clear" w:color="auto" w:fill="FFFFFF"/>
        </w:rPr>
        <w:t> T.</w:t>
      </w:r>
    </w:p>
  </w:footnote>
  <w:footnote w:id="38">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African Life Property Holdings </w:t>
      </w:r>
      <w:proofErr w:type="gramStart"/>
      <w:r w:rsidRPr="00E65FCC">
        <w:rPr>
          <w:rFonts w:asciiTheme="minorHAnsi" w:hAnsiTheme="minorHAnsi" w:cstheme="minorHAnsi"/>
          <w:u w:val="none"/>
          <w:lang w:val="en-US"/>
        </w:rPr>
        <w:t>v</w:t>
      </w:r>
      <w:proofErr w:type="gramEnd"/>
      <w:r w:rsidRPr="00E65FCC">
        <w:rPr>
          <w:rFonts w:asciiTheme="minorHAnsi" w:hAnsiTheme="minorHAnsi" w:cstheme="minorHAnsi"/>
          <w:u w:val="none"/>
          <w:lang w:val="en-US"/>
        </w:rPr>
        <w:t xml:space="preserve"> Score Food Holding 1995 (2) SA 230 (A) at 238F</w:t>
      </w:r>
    </w:p>
  </w:footnote>
  <w:footnote w:id="39">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 xml:space="preserve">Ideal Finance Corporation v </w:t>
      </w:r>
      <w:proofErr w:type="spellStart"/>
      <w:r w:rsidRPr="00E65FCC">
        <w:rPr>
          <w:rFonts w:asciiTheme="minorHAnsi" w:hAnsiTheme="minorHAnsi" w:cstheme="minorHAnsi"/>
          <w:u w:val="none"/>
          <w:lang w:val="en-US"/>
        </w:rPr>
        <w:t>Coetzer</w:t>
      </w:r>
      <w:proofErr w:type="spellEnd"/>
      <w:r w:rsidRPr="00E65FCC">
        <w:rPr>
          <w:rFonts w:asciiTheme="minorHAnsi" w:hAnsiTheme="minorHAnsi" w:cstheme="minorHAnsi"/>
          <w:u w:val="none"/>
          <w:lang w:val="en-US"/>
        </w:rPr>
        <w:t xml:space="preserve"> 1970 (3) SA 1 (A); Linden Duplex (Pty) Ltd v </w:t>
      </w:r>
      <w:proofErr w:type="spellStart"/>
      <w:r w:rsidRPr="00E65FCC">
        <w:rPr>
          <w:rStyle w:val="Emphasis"/>
          <w:rFonts w:asciiTheme="minorHAnsi" w:hAnsiTheme="minorHAnsi" w:cstheme="minorHAnsi"/>
          <w:bCs/>
          <w:i w:val="0"/>
          <w:iCs w:val="0"/>
          <w:u w:val="none"/>
          <w:shd w:val="clear" w:color="auto" w:fill="FFFFFF"/>
        </w:rPr>
        <w:t>Harrowsmith</w:t>
      </w:r>
      <w:proofErr w:type="spellEnd"/>
      <w:r w:rsidRPr="00E65FCC">
        <w:rPr>
          <w:rFonts w:asciiTheme="minorHAnsi" w:hAnsiTheme="minorHAnsi" w:cstheme="minorHAnsi"/>
          <w:u w:val="none"/>
          <w:shd w:val="clear" w:color="auto" w:fill="FFFFFF"/>
        </w:rPr>
        <w:t xml:space="preserve"> 1978 </w:t>
      </w:r>
      <w:r w:rsidRPr="00E65FCC">
        <w:rPr>
          <w:rFonts w:asciiTheme="minorHAnsi" w:hAnsiTheme="minorHAnsi" w:cstheme="minorHAnsi"/>
          <w:color w:val="4D5156"/>
          <w:u w:val="none"/>
          <w:shd w:val="clear" w:color="auto" w:fill="FFFFFF"/>
        </w:rPr>
        <w:t>(1) SA 371 (W) at 373 A.</w:t>
      </w:r>
    </w:p>
  </w:footnote>
  <w:footnote w:id="40">
    <w:p w:rsidR="006C41DC" w:rsidRPr="00E65FCC" w:rsidRDefault="006C41DC" w:rsidP="00E65FCC">
      <w:pPr>
        <w:pStyle w:val="FootnoteText"/>
        <w:jc w:val="both"/>
        <w:rPr>
          <w:rFonts w:asciiTheme="minorHAnsi" w:hAnsiTheme="minorHAnsi" w:cstheme="minorHAnsi"/>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Standard Bank of SA Ltd v Wilkinson 1993 (3) SA 822 (C)</w:t>
      </w:r>
    </w:p>
  </w:footnote>
  <w:footnote w:id="41">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1993 (3) SA 384 (W) at 387 H-I</w:t>
      </w:r>
    </w:p>
  </w:footnote>
  <w:footnote w:id="42">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Section 20 and 45 of the Insolvency Act 24 of 1936</w:t>
      </w:r>
    </w:p>
    <w:p w:rsidR="006C41DC" w:rsidRPr="00E65FCC" w:rsidRDefault="006C41DC" w:rsidP="00E65FCC">
      <w:pPr>
        <w:pStyle w:val="Heading1"/>
        <w:spacing w:before="0"/>
        <w:jc w:val="both"/>
        <w:rPr>
          <w:rFonts w:asciiTheme="minorHAnsi" w:hAnsiTheme="minorHAnsi" w:cstheme="minorHAnsi"/>
          <w:color w:val="auto"/>
          <w:sz w:val="20"/>
          <w:szCs w:val="20"/>
          <w:u w:val="none"/>
          <w:lang w:eastAsia="en-ZA"/>
        </w:rPr>
      </w:pPr>
      <w:r w:rsidRPr="00E65FCC">
        <w:rPr>
          <w:rFonts w:asciiTheme="minorHAnsi" w:hAnsiTheme="minorHAnsi" w:cstheme="minorHAnsi"/>
          <w:color w:val="auto"/>
          <w:sz w:val="20"/>
          <w:szCs w:val="20"/>
          <w:u w:val="none"/>
        </w:rPr>
        <w:t>20 (1) The effect of the sequestration of the estate of an </w:t>
      </w:r>
      <w:r w:rsidRPr="00E65FCC">
        <w:rPr>
          <w:rStyle w:val="mctextpopup"/>
          <w:rFonts w:asciiTheme="minorHAnsi" w:hAnsiTheme="minorHAnsi" w:cstheme="minorHAnsi"/>
          <w:bCs/>
          <w:color w:val="auto"/>
          <w:sz w:val="20"/>
          <w:szCs w:val="20"/>
          <w:u w:val="none"/>
        </w:rPr>
        <w:t>insolvent</w:t>
      </w:r>
      <w:r w:rsidRPr="00E65FCC">
        <w:rPr>
          <w:rFonts w:asciiTheme="minorHAnsi" w:hAnsiTheme="minorHAnsi" w:cstheme="minorHAnsi"/>
          <w:color w:val="auto"/>
          <w:sz w:val="20"/>
          <w:szCs w:val="20"/>
          <w:u w:val="none"/>
        </w:rPr>
        <w:t> shall be-</w:t>
      </w:r>
    </w:p>
    <w:p w:rsidR="006C41DC" w:rsidRPr="00E65FCC" w:rsidRDefault="006C41DC" w:rsidP="00E65FCC">
      <w:pPr>
        <w:pStyle w:val="NormalWeb"/>
        <w:spacing w:before="0" w:beforeAutospacing="0" w:after="0" w:afterAutospacing="0"/>
        <w:jc w:val="both"/>
        <w:rPr>
          <w:rFonts w:asciiTheme="minorHAnsi" w:hAnsiTheme="minorHAnsi" w:cstheme="minorHAnsi"/>
          <w:sz w:val="20"/>
          <w:szCs w:val="20"/>
        </w:rPr>
      </w:pPr>
      <w:r w:rsidRPr="00E65FCC">
        <w:rPr>
          <w:rFonts w:asciiTheme="minorHAnsi" w:hAnsiTheme="minorHAnsi" w:cstheme="minorHAnsi"/>
          <w:sz w:val="20"/>
          <w:szCs w:val="20"/>
        </w:rPr>
        <w:t>(a) to divest the insolvent of his estate and to vest it in the </w:t>
      </w:r>
      <w:r w:rsidRPr="00E65FCC">
        <w:rPr>
          <w:rStyle w:val="mctextpopup"/>
          <w:rFonts w:asciiTheme="minorHAnsi" w:hAnsiTheme="minorHAnsi" w:cstheme="minorHAnsi"/>
          <w:bCs/>
          <w:sz w:val="20"/>
          <w:szCs w:val="20"/>
        </w:rPr>
        <w:t>Master</w:t>
      </w:r>
      <w:r w:rsidRPr="00E65FCC">
        <w:rPr>
          <w:rFonts w:asciiTheme="minorHAnsi" w:hAnsiTheme="minorHAnsi" w:cstheme="minorHAnsi"/>
          <w:sz w:val="20"/>
          <w:szCs w:val="20"/>
        </w:rPr>
        <w:t> until a </w:t>
      </w:r>
      <w:r w:rsidRPr="00E65FCC">
        <w:rPr>
          <w:rStyle w:val="mctextpopup"/>
          <w:rFonts w:asciiTheme="minorHAnsi" w:hAnsiTheme="minorHAnsi" w:cstheme="minorHAnsi"/>
          <w:bCs/>
          <w:sz w:val="20"/>
          <w:szCs w:val="20"/>
        </w:rPr>
        <w:t>trustee</w:t>
      </w:r>
      <w:r w:rsidRPr="00E65FCC">
        <w:rPr>
          <w:rFonts w:asciiTheme="minorHAnsi" w:hAnsiTheme="minorHAnsi" w:cstheme="minorHAnsi"/>
          <w:sz w:val="20"/>
          <w:szCs w:val="20"/>
        </w:rPr>
        <w:t> has been appointed, and, upon the appointment of a trustee, to vest the estate in him;</w:t>
      </w:r>
    </w:p>
    <w:p w:rsidR="006C41DC" w:rsidRPr="00E65FCC" w:rsidRDefault="006C41DC" w:rsidP="00E65FCC">
      <w:pPr>
        <w:pStyle w:val="NormalWeb"/>
        <w:spacing w:before="0" w:beforeAutospacing="0" w:after="0" w:afterAutospacing="0"/>
        <w:jc w:val="both"/>
        <w:rPr>
          <w:rFonts w:asciiTheme="minorHAnsi" w:hAnsiTheme="minorHAnsi" w:cstheme="minorHAnsi"/>
          <w:sz w:val="20"/>
          <w:szCs w:val="20"/>
        </w:rPr>
      </w:pPr>
      <w:r w:rsidRPr="00E65FCC">
        <w:rPr>
          <w:rFonts w:asciiTheme="minorHAnsi" w:hAnsiTheme="minorHAnsi" w:cstheme="minorHAnsi"/>
          <w:sz w:val="20"/>
          <w:szCs w:val="20"/>
        </w:rPr>
        <w:t>(b) to stay, until the appointment of a trustee, any civil proceedings instituted by or against the insolvent save such proceedings as may, in terms of section twenty-three, be instituted by the insolvent for his own benefit or be instituted against the insolvent: Provided that if any claim which formed the subject of legal proceedings against the insolvent which were so stayed, has been proved and admitted against the insolvent's estate in terms of section forty-four or seventy-eight, the claimant may also prove against the estate a claim for his taxed costs, incurred in connection with those proceedings before the sequestration of the insolvent's estate;</w:t>
      </w:r>
    </w:p>
    <w:p w:rsidR="006C41DC" w:rsidRPr="00E65FCC" w:rsidRDefault="006C41DC" w:rsidP="00E65FCC">
      <w:pPr>
        <w:pStyle w:val="NormalWeb"/>
        <w:spacing w:before="0" w:beforeAutospacing="0" w:after="0" w:afterAutospacing="0"/>
        <w:jc w:val="both"/>
        <w:rPr>
          <w:rFonts w:asciiTheme="minorHAnsi" w:hAnsiTheme="minorHAnsi" w:cstheme="minorHAnsi"/>
          <w:sz w:val="20"/>
          <w:szCs w:val="20"/>
        </w:rPr>
      </w:pPr>
      <w:r w:rsidRPr="00E65FCC">
        <w:rPr>
          <w:rFonts w:asciiTheme="minorHAnsi" w:hAnsiTheme="minorHAnsi" w:cstheme="minorHAnsi"/>
          <w:sz w:val="20"/>
          <w:szCs w:val="20"/>
        </w:rPr>
        <w:t>(c) as soon as any </w:t>
      </w:r>
      <w:r w:rsidRPr="00E65FCC">
        <w:rPr>
          <w:rStyle w:val="mctextpopup"/>
          <w:rFonts w:asciiTheme="minorHAnsi" w:hAnsiTheme="minorHAnsi" w:cstheme="minorHAnsi"/>
          <w:bCs/>
          <w:sz w:val="20"/>
          <w:szCs w:val="20"/>
        </w:rPr>
        <w:t>sheriff</w:t>
      </w:r>
      <w:r w:rsidRPr="00E65FCC">
        <w:rPr>
          <w:rFonts w:asciiTheme="minorHAnsi" w:hAnsiTheme="minorHAnsi" w:cstheme="minorHAnsi"/>
          <w:sz w:val="20"/>
          <w:szCs w:val="20"/>
        </w:rPr>
        <w:t> or </w:t>
      </w:r>
      <w:r w:rsidRPr="00E65FCC">
        <w:rPr>
          <w:rStyle w:val="mctextpopup"/>
          <w:rFonts w:asciiTheme="minorHAnsi" w:hAnsiTheme="minorHAnsi" w:cstheme="minorHAnsi"/>
          <w:bCs/>
          <w:sz w:val="20"/>
          <w:szCs w:val="20"/>
        </w:rPr>
        <w:t>messenger</w:t>
      </w:r>
      <w:r w:rsidRPr="00E65FCC">
        <w:rPr>
          <w:rFonts w:asciiTheme="minorHAnsi" w:hAnsiTheme="minorHAnsi" w:cstheme="minorHAnsi"/>
          <w:sz w:val="20"/>
          <w:szCs w:val="20"/>
        </w:rPr>
        <w:t>, whose duty it is to execute any judgment given against an insolvent, becomes aware of the sequestration of the insolvent's estate, to stay that execution, unless the court otherwise directs;</w:t>
      </w:r>
    </w:p>
    <w:p w:rsidR="006C41DC" w:rsidRPr="00E65FCC" w:rsidRDefault="006C41DC" w:rsidP="00E65FCC">
      <w:pPr>
        <w:pStyle w:val="NormalWeb"/>
        <w:spacing w:before="0" w:beforeAutospacing="0" w:after="0" w:afterAutospacing="0"/>
        <w:jc w:val="both"/>
        <w:rPr>
          <w:rFonts w:asciiTheme="minorHAnsi" w:hAnsiTheme="minorHAnsi" w:cstheme="minorHAnsi"/>
          <w:sz w:val="20"/>
          <w:szCs w:val="20"/>
        </w:rPr>
      </w:pPr>
      <w:r w:rsidRPr="00E65FCC">
        <w:rPr>
          <w:rFonts w:asciiTheme="minorHAnsi" w:hAnsiTheme="minorHAnsi" w:cstheme="minorHAnsi"/>
          <w:sz w:val="20"/>
          <w:szCs w:val="20"/>
        </w:rPr>
        <w:t>(d) to empower the insolvent, if in prison for debt, to apply to the court for his release, after notice to the creditor at whose suit he is so imprisoned, and to empower the court to order his release, on such conditions as it may think fit to impose.</w:t>
      </w:r>
    </w:p>
    <w:p w:rsidR="006C41DC" w:rsidRPr="00E65FCC" w:rsidRDefault="006C41DC" w:rsidP="00E65FCC">
      <w:pPr>
        <w:pStyle w:val="Heading1"/>
        <w:spacing w:before="0"/>
        <w:jc w:val="both"/>
        <w:rPr>
          <w:rFonts w:asciiTheme="minorHAnsi" w:hAnsiTheme="minorHAnsi" w:cstheme="minorHAnsi"/>
          <w:color w:val="auto"/>
          <w:sz w:val="20"/>
          <w:szCs w:val="20"/>
          <w:u w:val="none"/>
          <w:lang w:eastAsia="en-ZA"/>
        </w:rPr>
      </w:pPr>
      <w:r w:rsidRPr="00E65FCC">
        <w:rPr>
          <w:rFonts w:asciiTheme="minorHAnsi" w:hAnsiTheme="minorHAnsi" w:cstheme="minorHAnsi"/>
          <w:color w:val="auto"/>
          <w:sz w:val="20"/>
          <w:szCs w:val="20"/>
          <w:u w:val="none"/>
        </w:rPr>
        <w:t>45(1) After a meeting of creditors the officer who presided thereat shall deliver to the </w:t>
      </w:r>
      <w:r w:rsidRPr="00E65FCC">
        <w:rPr>
          <w:rStyle w:val="mctextpopup"/>
          <w:rFonts w:asciiTheme="minorHAnsi" w:hAnsiTheme="minorHAnsi" w:cstheme="minorHAnsi"/>
          <w:bCs/>
          <w:color w:val="auto"/>
          <w:sz w:val="20"/>
          <w:szCs w:val="20"/>
          <w:u w:val="none"/>
        </w:rPr>
        <w:t>trustee</w:t>
      </w:r>
      <w:r w:rsidRPr="00E65FCC">
        <w:rPr>
          <w:rFonts w:asciiTheme="minorHAnsi" w:hAnsiTheme="minorHAnsi" w:cstheme="minorHAnsi"/>
          <w:color w:val="auto"/>
          <w:sz w:val="20"/>
          <w:szCs w:val="20"/>
          <w:u w:val="none"/>
        </w:rPr>
        <w:t> every claim proved against the </w:t>
      </w:r>
      <w:r w:rsidRPr="00E65FCC">
        <w:rPr>
          <w:rStyle w:val="mctextpopup"/>
          <w:rFonts w:asciiTheme="minorHAnsi" w:hAnsiTheme="minorHAnsi" w:cstheme="minorHAnsi"/>
          <w:bCs/>
          <w:color w:val="auto"/>
          <w:sz w:val="20"/>
          <w:szCs w:val="20"/>
          <w:u w:val="none"/>
        </w:rPr>
        <w:t>insolvent estate</w:t>
      </w:r>
      <w:r w:rsidRPr="00E65FCC">
        <w:rPr>
          <w:rFonts w:asciiTheme="minorHAnsi" w:hAnsiTheme="minorHAnsi" w:cstheme="minorHAnsi"/>
          <w:color w:val="auto"/>
          <w:sz w:val="20"/>
          <w:szCs w:val="20"/>
          <w:u w:val="none"/>
        </w:rPr>
        <w:t> at that meeting and every document submitted in support of the claim.</w:t>
      </w:r>
    </w:p>
    <w:p w:rsidR="006C41DC" w:rsidRPr="00E65FCC" w:rsidRDefault="006C41DC" w:rsidP="00E65FCC">
      <w:pPr>
        <w:pStyle w:val="NormalWeb"/>
        <w:spacing w:before="0" w:beforeAutospacing="0" w:after="0" w:afterAutospacing="0"/>
        <w:jc w:val="both"/>
        <w:rPr>
          <w:rFonts w:asciiTheme="minorHAnsi" w:hAnsiTheme="minorHAnsi" w:cstheme="minorHAnsi"/>
          <w:sz w:val="20"/>
          <w:szCs w:val="20"/>
        </w:rPr>
      </w:pPr>
      <w:r w:rsidRPr="00E65FCC">
        <w:rPr>
          <w:rFonts w:asciiTheme="minorHAnsi" w:hAnsiTheme="minorHAnsi" w:cstheme="minorHAnsi"/>
          <w:sz w:val="20"/>
          <w:szCs w:val="20"/>
        </w:rPr>
        <w:t>(2) The trustee shall examine all available books and documents relating to the insolvent estate for the purpose of ascertaining whether the estate in fact owes the claimant the amount claimed.</w:t>
      </w:r>
    </w:p>
    <w:p w:rsidR="006C41DC" w:rsidRPr="00E65FCC" w:rsidRDefault="006C41DC" w:rsidP="00E65FCC">
      <w:pPr>
        <w:pStyle w:val="NormalWeb"/>
        <w:spacing w:before="0" w:beforeAutospacing="0" w:after="0" w:afterAutospacing="0"/>
        <w:jc w:val="both"/>
        <w:rPr>
          <w:rFonts w:asciiTheme="minorHAnsi" w:hAnsiTheme="minorHAnsi" w:cstheme="minorHAnsi"/>
          <w:sz w:val="20"/>
          <w:szCs w:val="20"/>
        </w:rPr>
      </w:pPr>
      <w:r w:rsidRPr="00E65FCC">
        <w:rPr>
          <w:rFonts w:asciiTheme="minorHAnsi" w:hAnsiTheme="minorHAnsi" w:cstheme="minorHAnsi"/>
          <w:sz w:val="20"/>
          <w:szCs w:val="20"/>
        </w:rPr>
        <w:t>(3) If the trustee disputes a claim after it has been proved against the estate at a meeting of creditors, he shall report the fact in writing to the </w:t>
      </w:r>
      <w:r w:rsidRPr="00E65FCC">
        <w:rPr>
          <w:rStyle w:val="mctextpopup"/>
          <w:rFonts w:asciiTheme="minorHAnsi" w:hAnsiTheme="minorHAnsi" w:cstheme="minorHAnsi"/>
          <w:bCs/>
          <w:sz w:val="20"/>
          <w:szCs w:val="20"/>
        </w:rPr>
        <w:t>Master</w:t>
      </w:r>
      <w:r w:rsidRPr="00E65FCC">
        <w:rPr>
          <w:rFonts w:asciiTheme="minorHAnsi" w:hAnsiTheme="minorHAnsi" w:cstheme="minorHAnsi"/>
          <w:sz w:val="20"/>
          <w:szCs w:val="20"/>
        </w:rPr>
        <w:t> and shall state in his report his reasons for disputing the claim. Thereupon the Master may confirm the claim, or he may, after having afforded the claimant an opportunity to substantiate his claim, reduce or disallow the claim, and if he has done so, he shall forthwith notify the claimant in writing: Provided that such reduction or disallowance shall not debar the claimant from establishing his claim by an action at law, but subject to the provisions of section seventy-five.</w:t>
      </w:r>
    </w:p>
    <w:p w:rsidR="006C41DC" w:rsidRPr="00E65FCC" w:rsidRDefault="006C41DC" w:rsidP="00E65FCC">
      <w:pPr>
        <w:pStyle w:val="FootnoteText"/>
        <w:jc w:val="both"/>
        <w:rPr>
          <w:rFonts w:asciiTheme="minorHAnsi" w:hAnsiTheme="minorHAnsi" w:cstheme="minorHAnsi"/>
          <w:lang w:val="en-US"/>
        </w:rPr>
      </w:pPr>
    </w:p>
  </w:footnote>
  <w:footnote w:id="43">
    <w:p w:rsidR="006C41DC" w:rsidRPr="00E65FCC" w:rsidRDefault="006C41DC" w:rsidP="00E65FCC">
      <w:pPr>
        <w:pStyle w:val="FootnoteText"/>
        <w:jc w:val="both"/>
        <w:rPr>
          <w:rFonts w:asciiTheme="minorHAnsi" w:hAnsiTheme="minorHAnsi" w:cstheme="minorHAnsi"/>
          <w:u w:val="none"/>
          <w:lang w:val="en-GB"/>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GB"/>
        </w:rPr>
        <w:t>At footnote 34</w:t>
      </w:r>
    </w:p>
  </w:footnote>
  <w:footnote w:id="44">
    <w:p w:rsidR="006C41DC" w:rsidRPr="00E65FCC" w:rsidRDefault="006C41DC" w:rsidP="00E65FCC">
      <w:pPr>
        <w:pStyle w:val="FootnoteText"/>
        <w:jc w:val="both"/>
        <w:rPr>
          <w:rFonts w:asciiTheme="minorHAnsi" w:hAnsiTheme="minorHAnsi" w:cstheme="minorHAnsi"/>
          <w:u w:val="none"/>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r w:rsidRPr="00E65FCC">
        <w:rPr>
          <w:rFonts w:asciiTheme="minorHAnsi" w:hAnsiTheme="minorHAnsi" w:cstheme="minorHAnsi"/>
          <w:u w:val="none"/>
          <w:lang w:val="en-US"/>
        </w:rPr>
        <w:t>2016 (2) SA 307 (SCA)</w:t>
      </w:r>
    </w:p>
  </w:footnote>
  <w:footnote w:id="45">
    <w:p w:rsidR="006C41DC" w:rsidRPr="00502A5E" w:rsidRDefault="006C41DC" w:rsidP="00E65FCC">
      <w:pPr>
        <w:pStyle w:val="FootnoteText"/>
        <w:jc w:val="both"/>
        <w:rPr>
          <w:lang w:val="en-US"/>
        </w:rPr>
      </w:pPr>
      <w:r w:rsidRPr="00E65FCC">
        <w:rPr>
          <w:rStyle w:val="FootnoteReference"/>
          <w:rFonts w:asciiTheme="minorHAnsi" w:hAnsiTheme="minorHAnsi" w:cstheme="minorHAnsi"/>
          <w:u w:val="none"/>
        </w:rPr>
        <w:footnoteRef/>
      </w:r>
      <w:r w:rsidRPr="00E65FCC">
        <w:rPr>
          <w:rFonts w:asciiTheme="minorHAnsi" w:hAnsiTheme="minorHAnsi" w:cstheme="minorHAnsi"/>
          <w:u w:val="none"/>
        </w:rPr>
        <w:t xml:space="preserve"> </w:t>
      </w:r>
      <w:proofErr w:type="spellStart"/>
      <w:r w:rsidRPr="00E65FCC">
        <w:rPr>
          <w:rFonts w:asciiTheme="minorHAnsi" w:hAnsiTheme="minorHAnsi" w:cstheme="minorHAnsi"/>
          <w:u w:val="none"/>
          <w:lang w:val="en-US"/>
        </w:rPr>
        <w:t>Rossouw</w:t>
      </w:r>
      <w:proofErr w:type="spellEnd"/>
      <w:r w:rsidRPr="00E65FCC">
        <w:rPr>
          <w:rFonts w:asciiTheme="minorHAnsi" w:hAnsiTheme="minorHAnsi" w:cstheme="minorHAnsi"/>
          <w:u w:val="none"/>
          <w:lang w:val="en-US"/>
        </w:rPr>
        <w:t xml:space="preserve"> v FirstRand Bank 2010 (6) SA 439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56124"/>
      <w:docPartObj>
        <w:docPartGallery w:val="Page Numbers (Top of Page)"/>
        <w:docPartUnique/>
      </w:docPartObj>
    </w:sdtPr>
    <w:sdtEndPr>
      <w:rPr>
        <w:noProof/>
        <w:u w:val="none"/>
      </w:rPr>
    </w:sdtEndPr>
    <w:sdtContent>
      <w:p w:rsidR="006C41DC" w:rsidRPr="00F12ECF" w:rsidRDefault="006C41DC">
        <w:pPr>
          <w:pStyle w:val="Header"/>
          <w:jc w:val="right"/>
          <w:rPr>
            <w:u w:val="none"/>
          </w:rPr>
        </w:pPr>
        <w:r w:rsidRPr="00F12ECF">
          <w:rPr>
            <w:u w:val="none"/>
          </w:rPr>
          <w:fldChar w:fldCharType="begin"/>
        </w:r>
        <w:r w:rsidRPr="00F12ECF">
          <w:rPr>
            <w:u w:val="none"/>
          </w:rPr>
          <w:instrText xml:space="preserve"> PAGE   \* MERGEFORMAT </w:instrText>
        </w:r>
        <w:r w:rsidRPr="00F12ECF">
          <w:rPr>
            <w:u w:val="none"/>
          </w:rPr>
          <w:fldChar w:fldCharType="separate"/>
        </w:r>
        <w:r w:rsidR="009C7ED0">
          <w:rPr>
            <w:noProof/>
            <w:u w:val="none"/>
          </w:rPr>
          <w:t>34</w:t>
        </w:r>
        <w:r w:rsidRPr="00F12ECF">
          <w:rPr>
            <w:noProof/>
            <w:u w:val="none"/>
          </w:rPr>
          <w:fldChar w:fldCharType="end"/>
        </w:r>
      </w:p>
    </w:sdtContent>
  </w:sdt>
  <w:p w:rsidR="006C41DC" w:rsidRDefault="006C41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D78"/>
    <w:multiLevelType w:val="hybridMultilevel"/>
    <w:tmpl w:val="5D1C6850"/>
    <w:lvl w:ilvl="0" w:tplc="1C090017">
      <w:start w:val="1"/>
      <w:numFmt w:val="lowerLetter"/>
      <w:lvlText w:val="%1)"/>
      <w:lvlJc w:val="left"/>
      <w:pPr>
        <w:ind w:left="3276" w:hanging="360"/>
      </w:pPr>
    </w:lvl>
    <w:lvl w:ilvl="1" w:tplc="1C090017">
      <w:start w:val="1"/>
      <w:numFmt w:val="lowerLetter"/>
      <w:lvlText w:val="%2)"/>
      <w:lvlJc w:val="left"/>
      <w:pPr>
        <w:ind w:left="3996" w:hanging="360"/>
      </w:pPr>
    </w:lvl>
    <w:lvl w:ilvl="2" w:tplc="54CA35EC">
      <w:start w:val="1"/>
      <w:numFmt w:val="decimal"/>
      <w:lvlText w:val="%3."/>
      <w:lvlJc w:val="left"/>
      <w:pPr>
        <w:ind w:left="4896" w:hanging="360"/>
      </w:pPr>
      <w:rPr>
        <w:rFonts w:hint="default"/>
      </w:rPr>
    </w:lvl>
    <w:lvl w:ilvl="3" w:tplc="1C09000F" w:tentative="1">
      <w:start w:val="1"/>
      <w:numFmt w:val="decimal"/>
      <w:lvlText w:val="%4."/>
      <w:lvlJc w:val="left"/>
      <w:pPr>
        <w:ind w:left="5436" w:hanging="360"/>
      </w:pPr>
    </w:lvl>
    <w:lvl w:ilvl="4" w:tplc="1C090019" w:tentative="1">
      <w:start w:val="1"/>
      <w:numFmt w:val="lowerLetter"/>
      <w:lvlText w:val="%5."/>
      <w:lvlJc w:val="left"/>
      <w:pPr>
        <w:ind w:left="6156" w:hanging="360"/>
      </w:pPr>
    </w:lvl>
    <w:lvl w:ilvl="5" w:tplc="1C09001B" w:tentative="1">
      <w:start w:val="1"/>
      <w:numFmt w:val="lowerRoman"/>
      <w:lvlText w:val="%6."/>
      <w:lvlJc w:val="right"/>
      <w:pPr>
        <w:ind w:left="6876" w:hanging="180"/>
      </w:pPr>
    </w:lvl>
    <w:lvl w:ilvl="6" w:tplc="1C09000F" w:tentative="1">
      <w:start w:val="1"/>
      <w:numFmt w:val="decimal"/>
      <w:lvlText w:val="%7."/>
      <w:lvlJc w:val="left"/>
      <w:pPr>
        <w:ind w:left="7596" w:hanging="360"/>
      </w:pPr>
    </w:lvl>
    <w:lvl w:ilvl="7" w:tplc="1C090019" w:tentative="1">
      <w:start w:val="1"/>
      <w:numFmt w:val="lowerLetter"/>
      <w:lvlText w:val="%8."/>
      <w:lvlJc w:val="left"/>
      <w:pPr>
        <w:ind w:left="8316" w:hanging="360"/>
      </w:pPr>
    </w:lvl>
    <w:lvl w:ilvl="8" w:tplc="1C09001B" w:tentative="1">
      <w:start w:val="1"/>
      <w:numFmt w:val="lowerRoman"/>
      <w:lvlText w:val="%9."/>
      <w:lvlJc w:val="right"/>
      <w:pPr>
        <w:ind w:left="9036"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BFA2750"/>
    <w:multiLevelType w:val="hybridMultilevel"/>
    <w:tmpl w:val="DE4E0C0A"/>
    <w:lvl w:ilvl="0" w:tplc="937A1564">
      <w:start w:val="1"/>
      <w:numFmt w:val="decimal"/>
      <w:lvlText w:val="2.%1"/>
      <w:lvlJc w:val="left"/>
      <w:pPr>
        <w:ind w:left="142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243FB4"/>
    <w:multiLevelType w:val="hybridMultilevel"/>
    <w:tmpl w:val="44B66CBE"/>
    <w:lvl w:ilvl="0" w:tplc="773E0DE2">
      <w:start w:val="1"/>
      <w:numFmt w:val="decimal"/>
      <w:lvlText w:val="25.%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5324994"/>
    <w:multiLevelType w:val="hybridMultilevel"/>
    <w:tmpl w:val="0C10010E"/>
    <w:lvl w:ilvl="0" w:tplc="35AC7DCA">
      <w:start w:val="1"/>
      <w:numFmt w:val="lowerLetter"/>
      <w:lvlText w:val="%1)"/>
      <w:lvlJc w:val="left"/>
      <w:pPr>
        <w:ind w:left="107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432C5E"/>
    <w:multiLevelType w:val="multilevel"/>
    <w:tmpl w:val="84567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A5FC2"/>
    <w:multiLevelType w:val="multilevel"/>
    <w:tmpl w:val="A266B49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211026A6"/>
    <w:multiLevelType w:val="hybridMultilevel"/>
    <w:tmpl w:val="4CC46D98"/>
    <w:lvl w:ilvl="0" w:tplc="FCC80E20">
      <w:start w:val="1"/>
      <w:numFmt w:val="decimal"/>
      <w:lvlText w:val="12.%1"/>
      <w:lvlJc w:val="left"/>
      <w:pPr>
        <w:ind w:left="1070" w:hanging="360"/>
      </w:pPr>
      <w:rPr>
        <w:rFonts w:hint="default"/>
      </w:rPr>
    </w:lvl>
    <w:lvl w:ilvl="1" w:tplc="E01AC436">
      <w:start w:val="1"/>
      <w:numFmt w:val="lowerLetter"/>
      <w:lvlText w:val="%2)"/>
      <w:lvlJc w:val="left"/>
      <w:pPr>
        <w:ind w:left="1500" w:hanging="4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13277C"/>
    <w:multiLevelType w:val="hybridMultilevel"/>
    <w:tmpl w:val="91168C9A"/>
    <w:lvl w:ilvl="0" w:tplc="E01AC436">
      <w:start w:val="1"/>
      <w:numFmt w:val="lowerLetter"/>
      <w:lvlText w:val="%1)"/>
      <w:lvlJc w:val="left"/>
      <w:pPr>
        <w:ind w:left="2880" w:hanging="360"/>
      </w:pPr>
      <w:rPr>
        <w:rFonts w:hint="default"/>
      </w:rPr>
    </w:lvl>
    <w:lvl w:ilvl="1" w:tplc="1C090019" w:tentative="1">
      <w:start w:val="1"/>
      <w:numFmt w:val="lowerLetter"/>
      <w:lvlText w:val="%2."/>
      <w:lvlJc w:val="left"/>
      <w:pPr>
        <w:ind w:left="5442" w:hanging="360"/>
      </w:pPr>
    </w:lvl>
    <w:lvl w:ilvl="2" w:tplc="1C09001B" w:tentative="1">
      <w:start w:val="1"/>
      <w:numFmt w:val="lowerRoman"/>
      <w:lvlText w:val="%3."/>
      <w:lvlJc w:val="right"/>
      <w:pPr>
        <w:ind w:left="6162" w:hanging="180"/>
      </w:pPr>
    </w:lvl>
    <w:lvl w:ilvl="3" w:tplc="1C09000F" w:tentative="1">
      <w:start w:val="1"/>
      <w:numFmt w:val="decimal"/>
      <w:lvlText w:val="%4."/>
      <w:lvlJc w:val="left"/>
      <w:pPr>
        <w:ind w:left="6882" w:hanging="360"/>
      </w:pPr>
    </w:lvl>
    <w:lvl w:ilvl="4" w:tplc="1C090019" w:tentative="1">
      <w:start w:val="1"/>
      <w:numFmt w:val="lowerLetter"/>
      <w:lvlText w:val="%5."/>
      <w:lvlJc w:val="left"/>
      <w:pPr>
        <w:ind w:left="7602" w:hanging="360"/>
      </w:pPr>
    </w:lvl>
    <w:lvl w:ilvl="5" w:tplc="1C09001B" w:tentative="1">
      <w:start w:val="1"/>
      <w:numFmt w:val="lowerRoman"/>
      <w:lvlText w:val="%6."/>
      <w:lvlJc w:val="right"/>
      <w:pPr>
        <w:ind w:left="8322" w:hanging="180"/>
      </w:pPr>
    </w:lvl>
    <w:lvl w:ilvl="6" w:tplc="1C09000F" w:tentative="1">
      <w:start w:val="1"/>
      <w:numFmt w:val="decimal"/>
      <w:lvlText w:val="%7."/>
      <w:lvlJc w:val="left"/>
      <w:pPr>
        <w:ind w:left="9042" w:hanging="360"/>
      </w:pPr>
    </w:lvl>
    <w:lvl w:ilvl="7" w:tplc="1C090019" w:tentative="1">
      <w:start w:val="1"/>
      <w:numFmt w:val="lowerLetter"/>
      <w:lvlText w:val="%8."/>
      <w:lvlJc w:val="left"/>
      <w:pPr>
        <w:ind w:left="9762" w:hanging="360"/>
      </w:pPr>
    </w:lvl>
    <w:lvl w:ilvl="8" w:tplc="1C09001B" w:tentative="1">
      <w:start w:val="1"/>
      <w:numFmt w:val="lowerRoman"/>
      <w:lvlText w:val="%9."/>
      <w:lvlJc w:val="right"/>
      <w:pPr>
        <w:ind w:left="10482" w:hanging="180"/>
      </w:pPr>
    </w:lvl>
  </w:abstractNum>
  <w:abstractNum w:abstractNumId="9" w15:restartNumberingAfterBreak="0">
    <w:nsid w:val="33306DFD"/>
    <w:multiLevelType w:val="hybridMultilevel"/>
    <w:tmpl w:val="8CFC0686"/>
    <w:lvl w:ilvl="0" w:tplc="7E68FF36">
      <w:start w:val="1"/>
      <w:numFmt w:val="decimal"/>
      <w:lvlText w:val="29.%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B594AC9"/>
    <w:multiLevelType w:val="hybridMultilevel"/>
    <w:tmpl w:val="95429C2E"/>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3F85B14"/>
    <w:multiLevelType w:val="hybridMultilevel"/>
    <w:tmpl w:val="C6C883CA"/>
    <w:lvl w:ilvl="0" w:tplc="D416E612">
      <w:start w:val="1"/>
      <w:numFmt w:val="decimal"/>
      <w:lvlText w:val="7.%1"/>
      <w:lvlJc w:val="left"/>
      <w:pPr>
        <w:ind w:left="1070" w:hanging="360"/>
      </w:pPr>
      <w:rPr>
        <w:rFonts w:hint="default"/>
      </w:rPr>
    </w:lvl>
    <w:lvl w:ilvl="1" w:tplc="1C090019" w:tentative="1">
      <w:start w:val="1"/>
      <w:numFmt w:val="lowerLetter"/>
      <w:lvlText w:val="%2."/>
      <w:lvlJc w:val="left"/>
      <w:pPr>
        <w:ind w:left="731" w:hanging="360"/>
      </w:pPr>
    </w:lvl>
    <w:lvl w:ilvl="2" w:tplc="1C09001B" w:tentative="1">
      <w:start w:val="1"/>
      <w:numFmt w:val="lowerRoman"/>
      <w:lvlText w:val="%3."/>
      <w:lvlJc w:val="right"/>
      <w:pPr>
        <w:ind w:left="1451" w:hanging="180"/>
      </w:pPr>
    </w:lvl>
    <w:lvl w:ilvl="3" w:tplc="1C09000F" w:tentative="1">
      <w:start w:val="1"/>
      <w:numFmt w:val="decimal"/>
      <w:lvlText w:val="%4."/>
      <w:lvlJc w:val="left"/>
      <w:pPr>
        <w:ind w:left="2171" w:hanging="360"/>
      </w:pPr>
    </w:lvl>
    <w:lvl w:ilvl="4" w:tplc="1C090019" w:tentative="1">
      <w:start w:val="1"/>
      <w:numFmt w:val="lowerLetter"/>
      <w:lvlText w:val="%5."/>
      <w:lvlJc w:val="left"/>
      <w:pPr>
        <w:ind w:left="2891" w:hanging="360"/>
      </w:pPr>
    </w:lvl>
    <w:lvl w:ilvl="5" w:tplc="1C09001B" w:tentative="1">
      <w:start w:val="1"/>
      <w:numFmt w:val="lowerRoman"/>
      <w:lvlText w:val="%6."/>
      <w:lvlJc w:val="right"/>
      <w:pPr>
        <w:ind w:left="3611" w:hanging="180"/>
      </w:pPr>
    </w:lvl>
    <w:lvl w:ilvl="6" w:tplc="1C09000F" w:tentative="1">
      <w:start w:val="1"/>
      <w:numFmt w:val="decimal"/>
      <w:lvlText w:val="%7."/>
      <w:lvlJc w:val="left"/>
      <w:pPr>
        <w:ind w:left="4331" w:hanging="360"/>
      </w:pPr>
    </w:lvl>
    <w:lvl w:ilvl="7" w:tplc="1C090019" w:tentative="1">
      <w:start w:val="1"/>
      <w:numFmt w:val="lowerLetter"/>
      <w:lvlText w:val="%8."/>
      <w:lvlJc w:val="left"/>
      <w:pPr>
        <w:ind w:left="5051" w:hanging="360"/>
      </w:pPr>
    </w:lvl>
    <w:lvl w:ilvl="8" w:tplc="1C09001B" w:tentative="1">
      <w:start w:val="1"/>
      <w:numFmt w:val="lowerRoman"/>
      <w:lvlText w:val="%9."/>
      <w:lvlJc w:val="right"/>
      <w:pPr>
        <w:ind w:left="5771" w:hanging="180"/>
      </w:pPr>
    </w:lvl>
  </w:abstractNum>
  <w:abstractNum w:abstractNumId="12" w15:restartNumberingAfterBreak="0">
    <w:nsid w:val="64E20CD5"/>
    <w:multiLevelType w:val="hybridMultilevel"/>
    <w:tmpl w:val="B0D8BF2A"/>
    <w:lvl w:ilvl="0" w:tplc="01C40B94">
      <w:start w:val="1"/>
      <w:numFmt w:val="lowerRoman"/>
      <w:lvlText w:val="(%1)"/>
      <w:lvlJc w:val="right"/>
      <w:pPr>
        <w:ind w:left="3196" w:hanging="360"/>
      </w:pPr>
      <w:rPr>
        <w:rFonts w:hint="default"/>
      </w:rPr>
    </w:lvl>
    <w:lvl w:ilvl="1" w:tplc="1C090019" w:tentative="1">
      <w:start w:val="1"/>
      <w:numFmt w:val="lowerLetter"/>
      <w:lvlText w:val="%2."/>
      <w:lvlJc w:val="left"/>
      <w:pPr>
        <w:ind w:left="3916" w:hanging="360"/>
      </w:pPr>
    </w:lvl>
    <w:lvl w:ilvl="2" w:tplc="1C09001B" w:tentative="1">
      <w:start w:val="1"/>
      <w:numFmt w:val="lowerRoman"/>
      <w:lvlText w:val="%3."/>
      <w:lvlJc w:val="right"/>
      <w:pPr>
        <w:ind w:left="4636" w:hanging="180"/>
      </w:pPr>
    </w:lvl>
    <w:lvl w:ilvl="3" w:tplc="1C09000F" w:tentative="1">
      <w:start w:val="1"/>
      <w:numFmt w:val="decimal"/>
      <w:lvlText w:val="%4."/>
      <w:lvlJc w:val="left"/>
      <w:pPr>
        <w:ind w:left="5356" w:hanging="360"/>
      </w:pPr>
    </w:lvl>
    <w:lvl w:ilvl="4" w:tplc="1C090019" w:tentative="1">
      <w:start w:val="1"/>
      <w:numFmt w:val="lowerLetter"/>
      <w:lvlText w:val="%5."/>
      <w:lvlJc w:val="left"/>
      <w:pPr>
        <w:ind w:left="6076" w:hanging="360"/>
      </w:pPr>
    </w:lvl>
    <w:lvl w:ilvl="5" w:tplc="1C09001B" w:tentative="1">
      <w:start w:val="1"/>
      <w:numFmt w:val="lowerRoman"/>
      <w:lvlText w:val="%6."/>
      <w:lvlJc w:val="right"/>
      <w:pPr>
        <w:ind w:left="6796" w:hanging="180"/>
      </w:pPr>
    </w:lvl>
    <w:lvl w:ilvl="6" w:tplc="1C09000F" w:tentative="1">
      <w:start w:val="1"/>
      <w:numFmt w:val="decimal"/>
      <w:lvlText w:val="%7."/>
      <w:lvlJc w:val="left"/>
      <w:pPr>
        <w:ind w:left="7516" w:hanging="360"/>
      </w:pPr>
    </w:lvl>
    <w:lvl w:ilvl="7" w:tplc="1C090019" w:tentative="1">
      <w:start w:val="1"/>
      <w:numFmt w:val="lowerLetter"/>
      <w:lvlText w:val="%8."/>
      <w:lvlJc w:val="left"/>
      <w:pPr>
        <w:ind w:left="8236" w:hanging="360"/>
      </w:pPr>
    </w:lvl>
    <w:lvl w:ilvl="8" w:tplc="1C09001B" w:tentative="1">
      <w:start w:val="1"/>
      <w:numFmt w:val="lowerRoman"/>
      <w:lvlText w:val="%9."/>
      <w:lvlJc w:val="right"/>
      <w:pPr>
        <w:ind w:left="8956" w:hanging="180"/>
      </w:pPr>
    </w:lvl>
  </w:abstractNum>
  <w:abstractNum w:abstractNumId="13" w15:restartNumberingAfterBreak="0">
    <w:nsid w:val="737235B6"/>
    <w:multiLevelType w:val="multilevel"/>
    <w:tmpl w:val="7C24DA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BDE37E1"/>
    <w:multiLevelType w:val="hybridMultilevel"/>
    <w:tmpl w:val="0090CC42"/>
    <w:lvl w:ilvl="0" w:tplc="9F10D790">
      <w:start w:val="1"/>
      <w:numFmt w:val="decimal"/>
      <w:lvlText w:val="27.%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7FDE3658"/>
    <w:multiLevelType w:val="hybridMultilevel"/>
    <w:tmpl w:val="FC588408"/>
    <w:lvl w:ilvl="0" w:tplc="773E0DE2">
      <w:start w:val="1"/>
      <w:numFmt w:val="decimal"/>
      <w:lvlText w:val="25.%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7"/>
  </w:num>
  <w:num w:numId="6">
    <w:abstractNumId w:val="0"/>
  </w:num>
  <w:num w:numId="7">
    <w:abstractNumId w:val="8"/>
  </w:num>
  <w:num w:numId="8">
    <w:abstractNumId w:val="12"/>
  </w:num>
  <w:num w:numId="9">
    <w:abstractNumId w:val="15"/>
  </w:num>
  <w:num w:numId="10">
    <w:abstractNumId w:val="3"/>
  </w:num>
  <w:num w:numId="11">
    <w:abstractNumId w:val="4"/>
  </w:num>
  <w:num w:numId="12">
    <w:abstractNumId w:val="14"/>
  </w:num>
  <w:num w:numId="13">
    <w:abstractNumId w:val="9"/>
  </w:num>
  <w:num w:numId="14">
    <w:abstractNumId w:val="13"/>
  </w:num>
  <w:num w:numId="15">
    <w:abstractNumId w:val="5"/>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98"/>
    <w:rsid w:val="00000FE5"/>
    <w:rsid w:val="000012EE"/>
    <w:rsid w:val="0000344F"/>
    <w:rsid w:val="000041D7"/>
    <w:rsid w:val="00004F65"/>
    <w:rsid w:val="000052D9"/>
    <w:rsid w:val="00010C00"/>
    <w:rsid w:val="00011A45"/>
    <w:rsid w:val="00011EF8"/>
    <w:rsid w:val="00012406"/>
    <w:rsid w:val="0001374B"/>
    <w:rsid w:val="00013AED"/>
    <w:rsid w:val="00013E20"/>
    <w:rsid w:val="00014789"/>
    <w:rsid w:val="000149CB"/>
    <w:rsid w:val="00014B11"/>
    <w:rsid w:val="00014C5D"/>
    <w:rsid w:val="00014EC7"/>
    <w:rsid w:val="000161FD"/>
    <w:rsid w:val="0001702C"/>
    <w:rsid w:val="000171A7"/>
    <w:rsid w:val="000211ED"/>
    <w:rsid w:val="00021812"/>
    <w:rsid w:val="00022462"/>
    <w:rsid w:val="00025378"/>
    <w:rsid w:val="000255CC"/>
    <w:rsid w:val="00030963"/>
    <w:rsid w:val="00032FE7"/>
    <w:rsid w:val="00035A79"/>
    <w:rsid w:val="00036B25"/>
    <w:rsid w:val="00037E83"/>
    <w:rsid w:val="00041FC7"/>
    <w:rsid w:val="00043116"/>
    <w:rsid w:val="00043302"/>
    <w:rsid w:val="0004375D"/>
    <w:rsid w:val="00043D02"/>
    <w:rsid w:val="000444AF"/>
    <w:rsid w:val="000455EA"/>
    <w:rsid w:val="00045693"/>
    <w:rsid w:val="00047817"/>
    <w:rsid w:val="00047B58"/>
    <w:rsid w:val="00050210"/>
    <w:rsid w:val="00051361"/>
    <w:rsid w:val="00052296"/>
    <w:rsid w:val="0005291E"/>
    <w:rsid w:val="00052973"/>
    <w:rsid w:val="00052D61"/>
    <w:rsid w:val="00052F10"/>
    <w:rsid w:val="000531FF"/>
    <w:rsid w:val="00053534"/>
    <w:rsid w:val="00055CD8"/>
    <w:rsid w:val="00056580"/>
    <w:rsid w:val="00057BC2"/>
    <w:rsid w:val="000612F5"/>
    <w:rsid w:val="00062888"/>
    <w:rsid w:val="00063513"/>
    <w:rsid w:val="00063842"/>
    <w:rsid w:val="00063A9E"/>
    <w:rsid w:val="000643BA"/>
    <w:rsid w:val="000657F5"/>
    <w:rsid w:val="00066B0E"/>
    <w:rsid w:val="00071347"/>
    <w:rsid w:val="0007237C"/>
    <w:rsid w:val="00072D01"/>
    <w:rsid w:val="00073F28"/>
    <w:rsid w:val="00075700"/>
    <w:rsid w:val="00076B19"/>
    <w:rsid w:val="00077462"/>
    <w:rsid w:val="00080018"/>
    <w:rsid w:val="0008069B"/>
    <w:rsid w:val="00081D02"/>
    <w:rsid w:val="00082288"/>
    <w:rsid w:val="00082C5F"/>
    <w:rsid w:val="00082DAB"/>
    <w:rsid w:val="00084232"/>
    <w:rsid w:val="000854E8"/>
    <w:rsid w:val="000909DF"/>
    <w:rsid w:val="00090E21"/>
    <w:rsid w:val="00095039"/>
    <w:rsid w:val="00095214"/>
    <w:rsid w:val="00095934"/>
    <w:rsid w:val="00095D38"/>
    <w:rsid w:val="000A04F8"/>
    <w:rsid w:val="000A124A"/>
    <w:rsid w:val="000A1427"/>
    <w:rsid w:val="000A1855"/>
    <w:rsid w:val="000A4A12"/>
    <w:rsid w:val="000A5059"/>
    <w:rsid w:val="000A56E9"/>
    <w:rsid w:val="000A613E"/>
    <w:rsid w:val="000A6D11"/>
    <w:rsid w:val="000A704C"/>
    <w:rsid w:val="000B0A73"/>
    <w:rsid w:val="000B0CA5"/>
    <w:rsid w:val="000B291A"/>
    <w:rsid w:val="000B370E"/>
    <w:rsid w:val="000B3AC7"/>
    <w:rsid w:val="000B46B8"/>
    <w:rsid w:val="000B4C4F"/>
    <w:rsid w:val="000B7C85"/>
    <w:rsid w:val="000B7F2E"/>
    <w:rsid w:val="000C0422"/>
    <w:rsid w:val="000C07D3"/>
    <w:rsid w:val="000C0AB4"/>
    <w:rsid w:val="000C0ADC"/>
    <w:rsid w:val="000C153A"/>
    <w:rsid w:val="000C5CA7"/>
    <w:rsid w:val="000C66A8"/>
    <w:rsid w:val="000C6905"/>
    <w:rsid w:val="000C690A"/>
    <w:rsid w:val="000C6B8C"/>
    <w:rsid w:val="000C78DA"/>
    <w:rsid w:val="000C7EF2"/>
    <w:rsid w:val="000D367A"/>
    <w:rsid w:val="000D4B4D"/>
    <w:rsid w:val="000D5866"/>
    <w:rsid w:val="000D64B0"/>
    <w:rsid w:val="000D6A47"/>
    <w:rsid w:val="000E08E1"/>
    <w:rsid w:val="000E13B0"/>
    <w:rsid w:val="000E1821"/>
    <w:rsid w:val="000E2331"/>
    <w:rsid w:val="000E2879"/>
    <w:rsid w:val="000E3D3E"/>
    <w:rsid w:val="000E5112"/>
    <w:rsid w:val="000E57BE"/>
    <w:rsid w:val="000E64B7"/>
    <w:rsid w:val="000E681E"/>
    <w:rsid w:val="000E7058"/>
    <w:rsid w:val="000F1480"/>
    <w:rsid w:val="000F2671"/>
    <w:rsid w:val="000F3778"/>
    <w:rsid w:val="000F38DE"/>
    <w:rsid w:val="00100A30"/>
    <w:rsid w:val="00101901"/>
    <w:rsid w:val="00106C0E"/>
    <w:rsid w:val="001074D6"/>
    <w:rsid w:val="0011019A"/>
    <w:rsid w:val="00110340"/>
    <w:rsid w:val="0011098B"/>
    <w:rsid w:val="001127A7"/>
    <w:rsid w:val="001132B9"/>
    <w:rsid w:val="00115680"/>
    <w:rsid w:val="00116AA7"/>
    <w:rsid w:val="00122426"/>
    <w:rsid w:val="00124024"/>
    <w:rsid w:val="0012424E"/>
    <w:rsid w:val="00124CCE"/>
    <w:rsid w:val="00125367"/>
    <w:rsid w:val="00125451"/>
    <w:rsid w:val="00125C7A"/>
    <w:rsid w:val="00131756"/>
    <w:rsid w:val="00131EB4"/>
    <w:rsid w:val="00132F91"/>
    <w:rsid w:val="00133ACD"/>
    <w:rsid w:val="001345E7"/>
    <w:rsid w:val="00135550"/>
    <w:rsid w:val="00136B15"/>
    <w:rsid w:val="00136B2F"/>
    <w:rsid w:val="00140E14"/>
    <w:rsid w:val="00143EB3"/>
    <w:rsid w:val="001454B1"/>
    <w:rsid w:val="00146070"/>
    <w:rsid w:val="00147799"/>
    <w:rsid w:val="00147D65"/>
    <w:rsid w:val="00147E01"/>
    <w:rsid w:val="00150ABF"/>
    <w:rsid w:val="00151F37"/>
    <w:rsid w:val="0015259D"/>
    <w:rsid w:val="001530D5"/>
    <w:rsid w:val="00153DE4"/>
    <w:rsid w:val="001547B1"/>
    <w:rsid w:val="00154BF1"/>
    <w:rsid w:val="00155647"/>
    <w:rsid w:val="0016184B"/>
    <w:rsid w:val="0016540B"/>
    <w:rsid w:val="0016636F"/>
    <w:rsid w:val="0017062D"/>
    <w:rsid w:val="00170924"/>
    <w:rsid w:val="001710AD"/>
    <w:rsid w:val="001716B2"/>
    <w:rsid w:val="00171CE1"/>
    <w:rsid w:val="00172FB8"/>
    <w:rsid w:val="00173C89"/>
    <w:rsid w:val="00174AB9"/>
    <w:rsid w:val="00177D10"/>
    <w:rsid w:val="00177D3E"/>
    <w:rsid w:val="00181391"/>
    <w:rsid w:val="001816D2"/>
    <w:rsid w:val="00181D85"/>
    <w:rsid w:val="00181EAA"/>
    <w:rsid w:val="00182251"/>
    <w:rsid w:val="001824F7"/>
    <w:rsid w:val="001825B1"/>
    <w:rsid w:val="001829F3"/>
    <w:rsid w:val="00182EED"/>
    <w:rsid w:val="001848DA"/>
    <w:rsid w:val="00184915"/>
    <w:rsid w:val="0018731E"/>
    <w:rsid w:val="00187667"/>
    <w:rsid w:val="0019283F"/>
    <w:rsid w:val="00193571"/>
    <w:rsid w:val="001945F0"/>
    <w:rsid w:val="00194B51"/>
    <w:rsid w:val="001968E8"/>
    <w:rsid w:val="001972D2"/>
    <w:rsid w:val="001A1BA4"/>
    <w:rsid w:val="001A35E9"/>
    <w:rsid w:val="001A3AC8"/>
    <w:rsid w:val="001A3E58"/>
    <w:rsid w:val="001A45FD"/>
    <w:rsid w:val="001A4700"/>
    <w:rsid w:val="001A492C"/>
    <w:rsid w:val="001A521F"/>
    <w:rsid w:val="001A5986"/>
    <w:rsid w:val="001B198F"/>
    <w:rsid w:val="001B1BC7"/>
    <w:rsid w:val="001B2C0F"/>
    <w:rsid w:val="001B3AD3"/>
    <w:rsid w:val="001B51F4"/>
    <w:rsid w:val="001B59AE"/>
    <w:rsid w:val="001B5D62"/>
    <w:rsid w:val="001B6FE4"/>
    <w:rsid w:val="001C13DA"/>
    <w:rsid w:val="001C2DA1"/>
    <w:rsid w:val="001C33A8"/>
    <w:rsid w:val="001C405F"/>
    <w:rsid w:val="001C45D9"/>
    <w:rsid w:val="001C5B52"/>
    <w:rsid w:val="001C623A"/>
    <w:rsid w:val="001C633E"/>
    <w:rsid w:val="001C65A6"/>
    <w:rsid w:val="001C69F0"/>
    <w:rsid w:val="001D0235"/>
    <w:rsid w:val="001D0A18"/>
    <w:rsid w:val="001D2275"/>
    <w:rsid w:val="001D2EC5"/>
    <w:rsid w:val="001D319D"/>
    <w:rsid w:val="001D3713"/>
    <w:rsid w:val="001D42B2"/>
    <w:rsid w:val="001D48E4"/>
    <w:rsid w:val="001D4C92"/>
    <w:rsid w:val="001D4F5F"/>
    <w:rsid w:val="001D5BE0"/>
    <w:rsid w:val="001E0684"/>
    <w:rsid w:val="001E0DE4"/>
    <w:rsid w:val="001E22FD"/>
    <w:rsid w:val="001E2B26"/>
    <w:rsid w:val="001E2ED7"/>
    <w:rsid w:val="001E3C8B"/>
    <w:rsid w:val="001E45E1"/>
    <w:rsid w:val="001E4751"/>
    <w:rsid w:val="001E4A4E"/>
    <w:rsid w:val="001E4A7B"/>
    <w:rsid w:val="001E586D"/>
    <w:rsid w:val="001E5C67"/>
    <w:rsid w:val="001E6EE5"/>
    <w:rsid w:val="001E738F"/>
    <w:rsid w:val="001F24B3"/>
    <w:rsid w:val="001F2671"/>
    <w:rsid w:val="001F2850"/>
    <w:rsid w:val="001F31C8"/>
    <w:rsid w:val="001F5A2B"/>
    <w:rsid w:val="001F662A"/>
    <w:rsid w:val="001F6A27"/>
    <w:rsid w:val="001F7056"/>
    <w:rsid w:val="001F731A"/>
    <w:rsid w:val="001F766A"/>
    <w:rsid w:val="0020096A"/>
    <w:rsid w:val="00201AF2"/>
    <w:rsid w:val="00204926"/>
    <w:rsid w:val="00205B06"/>
    <w:rsid w:val="00211EEF"/>
    <w:rsid w:val="00212C2E"/>
    <w:rsid w:val="00213F6B"/>
    <w:rsid w:val="00214F1D"/>
    <w:rsid w:val="002151AC"/>
    <w:rsid w:val="002154CE"/>
    <w:rsid w:val="002158A0"/>
    <w:rsid w:val="0021709F"/>
    <w:rsid w:val="002173B2"/>
    <w:rsid w:val="00217CF0"/>
    <w:rsid w:val="00220735"/>
    <w:rsid w:val="00221D68"/>
    <w:rsid w:val="00222A70"/>
    <w:rsid w:val="00223425"/>
    <w:rsid w:val="0022500D"/>
    <w:rsid w:val="00226E10"/>
    <w:rsid w:val="002301B2"/>
    <w:rsid w:val="00230B2D"/>
    <w:rsid w:val="00232F4A"/>
    <w:rsid w:val="00232FA6"/>
    <w:rsid w:val="0023306D"/>
    <w:rsid w:val="00235687"/>
    <w:rsid w:val="00235F54"/>
    <w:rsid w:val="00236EDA"/>
    <w:rsid w:val="00237D3E"/>
    <w:rsid w:val="0024591F"/>
    <w:rsid w:val="00245FB7"/>
    <w:rsid w:val="00251137"/>
    <w:rsid w:val="00251889"/>
    <w:rsid w:val="00251D38"/>
    <w:rsid w:val="00251DCE"/>
    <w:rsid w:val="00255013"/>
    <w:rsid w:val="00255ED3"/>
    <w:rsid w:val="002560AE"/>
    <w:rsid w:val="00256A1B"/>
    <w:rsid w:val="0026094E"/>
    <w:rsid w:val="00261E27"/>
    <w:rsid w:val="00261FA7"/>
    <w:rsid w:val="002620BD"/>
    <w:rsid w:val="0026214A"/>
    <w:rsid w:val="00263591"/>
    <w:rsid w:val="0026411F"/>
    <w:rsid w:val="0026495A"/>
    <w:rsid w:val="00264A0F"/>
    <w:rsid w:val="00264A57"/>
    <w:rsid w:val="002654E6"/>
    <w:rsid w:val="00265F21"/>
    <w:rsid w:val="00266249"/>
    <w:rsid w:val="00266894"/>
    <w:rsid w:val="002675D3"/>
    <w:rsid w:val="00267AFD"/>
    <w:rsid w:val="00267E59"/>
    <w:rsid w:val="002701E0"/>
    <w:rsid w:val="00270A07"/>
    <w:rsid w:val="0027110C"/>
    <w:rsid w:val="00272A12"/>
    <w:rsid w:val="0027359E"/>
    <w:rsid w:val="00273A8C"/>
    <w:rsid w:val="00273E8F"/>
    <w:rsid w:val="00274ED2"/>
    <w:rsid w:val="00275BC0"/>
    <w:rsid w:val="00276640"/>
    <w:rsid w:val="00276C9B"/>
    <w:rsid w:val="002772C5"/>
    <w:rsid w:val="0027762C"/>
    <w:rsid w:val="00277A0E"/>
    <w:rsid w:val="00277B86"/>
    <w:rsid w:val="00280090"/>
    <w:rsid w:val="002807FF"/>
    <w:rsid w:val="00281930"/>
    <w:rsid w:val="00283084"/>
    <w:rsid w:val="00283B66"/>
    <w:rsid w:val="002849BE"/>
    <w:rsid w:val="00284BB7"/>
    <w:rsid w:val="002867A9"/>
    <w:rsid w:val="00291707"/>
    <w:rsid w:val="00292C01"/>
    <w:rsid w:val="00292E0B"/>
    <w:rsid w:val="00292E1D"/>
    <w:rsid w:val="002933F2"/>
    <w:rsid w:val="00293CA2"/>
    <w:rsid w:val="002953D1"/>
    <w:rsid w:val="00296734"/>
    <w:rsid w:val="00296A25"/>
    <w:rsid w:val="00296D2E"/>
    <w:rsid w:val="002976F0"/>
    <w:rsid w:val="002A0121"/>
    <w:rsid w:val="002A06EE"/>
    <w:rsid w:val="002A1D4C"/>
    <w:rsid w:val="002A1FAF"/>
    <w:rsid w:val="002A20BA"/>
    <w:rsid w:val="002A20E3"/>
    <w:rsid w:val="002A2C28"/>
    <w:rsid w:val="002B0B99"/>
    <w:rsid w:val="002B38BA"/>
    <w:rsid w:val="002B3F7B"/>
    <w:rsid w:val="002B462B"/>
    <w:rsid w:val="002B4A13"/>
    <w:rsid w:val="002B799F"/>
    <w:rsid w:val="002B7BA9"/>
    <w:rsid w:val="002C1291"/>
    <w:rsid w:val="002C33BF"/>
    <w:rsid w:val="002C4F5A"/>
    <w:rsid w:val="002C61DF"/>
    <w:rsid w:val="002C6F24"/>
    <w:rsid w:val="002D25AA"/>
    <w:rsid w:val="002D342D"/>
    <w:rsid w:val="002D4045"/>
    <w:rsid w:val="002D450F"/>
    <w:rsid w:val="002D4514"/>
    <w:rsid w:val="002D49C9"/>
    <w:rsid w:val="002D4E1F"/>
    <w:rsid w:val="002D6074"/>
    <w:rsid w:val="002D6E87"/>
    <w:rsid w:val="002D7F65"/>
    <w:rsid w:val="002E2894"/>
    <w:rsid w:val="002E3412"/>
    <w:rsid w:val="002E3A7E"/>
    <w:rsid w:val="002E72DB"/>
    <w:rsid w:val="002F02E9"/>
    <w:rsid w:val="002F296A"/>
    <w:rsid w:val="002F4398"/>
    <w:rsid w:val="002F447F"/>
    <w:rsid w:val="002F5147"/>
    <w:rsid w:val="002F5220"/>
    <w:rsid w:val="00301B38"/>
    <w:rsid w:val="00301EB9"/>
    <w:rsid w:val="003026D7"/>
    <w:rsid w:val="00304B7A"/>
    <w:rsid w:val="00304C0E"/>
    <w:rsid w:val="00304D35"/>
    <w:rsid w:val="00305105"/>
    <w:rsid w:val="00306977"/>
    <w:rsid w:val="00306A1E"/>
    <w:rsid w:val="003070C0"/>
    <w:rsid w:val="00307629"/>
    <w:rsid w:val="00307716"/>
    <w:rsid w:val="0031134D"/>
    <w:rsid w:val="0031135B"/>
    <w:rsid w:val="0031298B"/>
    <w:rsid w:val="00313AB8"/>
    <w:rsid w:val="003146F1"/>
    <w:rsid w:val="00315892"/>
    <w:rsid w:val="00317E92"/>
    <w:rsid w:val="00321543"/>
    <w:rsid w:val="0032358E"/>
    <w:rsid w:val="00324B54"/>
    <w:rsid w:val="0032502D"/>
    <w:rsid w:val="003302C0"/>
    <w:rsid w:val="0033068F"/>
    <w:rsid w:val="00330B77"/>
    <w:rsid w:val="00330BFF"/>
    <w:rsid w:val="00330F64"/>
    <w:rsid w:val="003310E5"/>
    <w:rsid w:val="00331F67"/>
    <w:rsid w:val="00332D59"/>
    <w:rsid w:val="0033337E"/>
    <w:rsid w:val="00333557"/>
    <w:rsid w:val="003352F1"/>
    <w:rsid w:val="0033586C"/>
    <w:rsid w:val="003372F8"/>
    <w:rsid w:val="00337DD2"/>
    <w:rsid w:val="00341FA5"/>
    <w:rsid w:val="00342AAB"/>
    <w:rsid w:val="003451BA"/>
    <w:rsid w:val="003453FD"/>
    <w:rsid w:val="00346410"/>
    <w:rsid w:val="00346C5F"/>
    <w:rsid w:val="00346F30"/>
    <w:rsid w:val="00353093"/>
    <w:rsid w:val="00353FB9"/>
    <w:rsid w:val="003543A9"/>
    <w:rsid w:val="00357317"/>
    <w:rsid w:val="00357550"/>
    <w:rsid w:val="003627FC"/>
    <w:rsid w:val="00362E4A"/>
    <w:rsid w:val="0036468D"/>
    <w:rsid w:val="00364BEB"/>
    <w:rsid w:val="00365399"/>
    <w:rsid w:val="003662D5"/>
    <w:rsid w:val="003667CA"/>
    <w:rsid w:val="00367B5B"/>
    <w:rsid w:val="003715EA"/>
    <w:rsid w:val="00371B79"/>
    <w:rsid w:val="00372047"/>
    <w:rsid w:val="003723BF"/>
    <w:rsid w:val="00372666"/>
    <w:rsid w:val="0037431F"/>
    <w:rsid w:val="00374BA6"/>
    <w:rsid w:val="00374EAD"/>
    <w:rsid w:val="00375FAB"/>
    <w:rsid w:val="00380598"/>
    <w:rsid w:val="00380676"/>
    <w:rsid w:val="00380A87"/>
    <w:rsid w:val="003837F4"/>
    <w:rsid w:val="00383941"/>
    <w:rsid w:val="003861CF"/>
    <w:rsid w:val="00387183"/>
    <w:rsid w:val="00387591"/>
    <w:rsid w:val="003904D1"/>
    <w:rsid w:val="0039061F"/>
    <w:rsid w:val="00390EA5"/>
    <w:rsid w:val="0039297E"/>
    <w:rsid w:val="00392DD2"/>
    <w:rsid w:val="00395101"/>
    <w:rsid w:val="0039662C"/>
    <w:rsid w:val="003A13E9"/>
    <w:rsid w:val="003A306E"/>
    <w:rsid w:val="003A3B9C"/>
    <w:rsid w:val="003A5A8C"/>
    <w:rsid w:val="003A685A"/>
    <w:rsid w:val="003B1A79"/>
    <w:rsid w:val="003B1B97"/>
    <w:rsid w:val="003B20DB"/>
    <w:rsid w:val="003B45FC"/>
    <w:rsid w:val="003B550A"/>
    <w:rsid w:val="003B57B3"/>
    <w:rsid w:val="003B6017"/>
    <w:rsid w:val="003B7F06"/>
    <w:rsid w:val="003C0B0E"/>
    <w:rsid w:val="003C275F"/>
    <w:rsid w:val="003C31D4"/>
    <w:rsid w:val="003C3B70"/>
    <w:rsid w:val="003C447B"/>
    <w:rsid w:val="003C5462"/>
    <w:rsid w:val="003C5AAB"/>
    <w:rsid w:val="003C6389"/>
    <w:rsid w:val="003C69D9"/>
    <w:rsid w:val="003C6CA8"/>
    <w:rsid w:val="003C7BBF"/>
    <w:rsid w:val="003D0620"/>
    <w:rsid w:val="003D3AB0"/>
    <w:rsid w:val="003D3B99"/>
    <w:rsid w:val="003D4C80"/>
    <w:rsid w:val="003D50B1"/>
    <w:rsid w:val="003D5409"/>
    <w:rsid w:val="003D54FD"/>
    <w:rsid w:val="003D587F"/>
    <w:rsid w:val="003D5899"/>
    <w:rsid w:val="003D6C59"/>
    <w:rsid w:val="003D756B"/>
    <w:rsid w:val="003E1228"/>
    <w:rsid w:val="003E1D72"/>
    <w:rsid w:val="003E1F68"/>
    <w:rsid w:val="003E2094"/>
    <w:rsid w:val="003E23D4"/>
    <w:rsid w:val="003E4F47"/>
    <w:rsid w:val="003E5AA6"/>
    <w:rsid w:val="003E6730"/>
    <w:rsid w:val="003E6E96"/>
    <w:rsid w:val="003E7A35"/>
    <w:rsid w:val="003F20D1"/>
    <w:rsid w:val="003F35C1"/>
    <w:rsid w:val="003F3BBB"/>
    <w:rsid w:val="003F41F4"/>
    <w:rsid w:val="003F6004"/>
    <w:rsid w:val="003F69C5"/>
    <w:rsid w:val="003F7F12"/>
    <w:rsid w:val="0040095A"/>
    <w:rsid w:val="00400BF6"/>
    <w:rsid w:val="00401168"/>
    <w:rsid w:val="004014DB"/>
    <w:rsid w:val="00401C8C"/>
    <w:rsid w:val="004021A9"/>
    <w:rsid w:val="004021CA"/>
    <w:rsid w:val="00402609"/>
    <w:rsid w:val="00405AC6"/>
    <w:rsid w:val="00411C0C"/>
    <w:rsid w:val="00412EC8"/>
    <w:rsid w:val="004148C8"/>
    <w:rsid w:val="004152EC"/>
    <w:rsid w:val="00415537"/>
    <w:rsid w:val="00417F03"/>
    <w:rsid w:val="00421057"/>
    <w:rsid w:val="00422953"/>
    <w:rsid w:val="00422D38"/>
    <w:rsid w:val="00422D92"/>
    <w:rsid w:val="00423710"/>
    <w:rsid w:val="00423920"/>
    <w:rsid w:val="00426510"/>
    <w:rsid w:val="0043066C"/>
    <w:rsid w:val="0043225F"/>
    <w:rsid w:val="004328D2"/>
    <w:rsid w:val="0043290B"/>
    <w:rsid w:val="0043389A"/>
    <w:rsid w:val="004339CB"/>
    <w:rsid w:val="00434E61"/>
    <w:rsid w:val="00436243"/>
    <w:rsid w:val="0043724E"/>
    <w:rsid w:val="00440182"/>
    <w:rsid w:val="00440C1D"/>
    <w:rsid w:val="0044253F"/>
    <w:rsid w:val="004425BA"/>
    <w:rsid w:val="00443509"/>
    <w:rsid w:val="004459CB"/>
    <w:rsid w:val="0044733A"/>
    <w:rsid w:val="00450952"/>
    <w:rsid w:val="004535A9"/>
    <w:rsid w:val="00454BAC"/>
    <w:rsid w:val="0045617C"/>
    <w:rsid w:val="00456733"/>
    <w:rsid w:val="00457E97"/>
    <w:rsid w:val="0046139D"/>
    <w:rsid w:val="00461735"/>
    <w:rsid w:val="00462413"/>
    <w:rsid w:val="00462B29"/>
    <w:rsid w:val="004643C2"/>
    <w:rsid w:val="004651AF"/>
    <w:rsid w:val="00465E15"/>
    <w:rsid w:val="0046715F"/>
    <w:rsid w:val="00467977"/>
    <w:rsid w:val="00470FB3"/>
    <w:rsid w:val="0047100D"/>
    <w:rsid w:val="0047167F"/>
    <w:rsid w:val="00471765"/>
    <w:rsid w:val="00471A4D"/>
    <w:rsid w:val="00471E6C"/>
    <w:rsid w:val="00472143"/>
    <w:rsid w:val="00472DC5"/>
    <w:rsid w:val="004743C4"/>
    <w:rsid w:val="00475019"/>
    <w:rsid w:val="00476605"/>
    <w:rsid w:val="0048075A"/>
    <w:rsid w:val="00481206"/>
    <w:rsid w:val="004815E5"/>
    <w:rsid w:val="004817E1"/>
    <w:rsid w:val="00481968"/>
    <w:rsid w:val="00482701"/>
    <w:rsid w:val="00482F9B"/>
    <w:rsid w:val="00484824"/>
    <w:rsid w:val="0048512E"/>
    <w:rsid w:val="00490743"/>
    <w:rsid w:val="00491FDF"/>
    <w:rsid w:val="00493727"/>
    <w:rsid w:val="0049440D"/>
    <w:rsid w:val="00496C6B"/>
    <w:rsid w:val="004A02DC"/>
    <w:rsid w:val="004A04F9"/>
    <w:rsid w:val="004A0A1C"/>
    <w:rsid w:val="004A16B3"/>
    <w:rsid w:val="004A3D79"/>
    <w:rsid w:val="004A41C0"/>
    <w:rsid w:val="004A428B"/>
    <w:rsid w:val="004A53A5"/>
    <w:rsid w:val="004A5917"/>
    <w:rsid w:val="004A63C4"/>
    <w:rsid w:val="004A686E"/>
    <w:rsid w:val="004B2361"/>
    <w:rsid w:val="004B2E73"/>
    <w:rsid w:val="004B30F2"/>
    <w:rsid w:val="004B38F9"/>
    <w:rsid w:val="004B6EA6"/>
    <w:rsid w:val="004B7248"/>
    <w:rsid w:val="004C1469"/>
    <w:rsid w:val="004C19DF"/>
    <w:rsid w:val="004C3829"/>
    <w:rsid w:val="004C4630"/>
    <w:rsid w:val="004C50AF"/>
    <w:rsid w:val="004C5AD1"/>
    <w:rsid w:val="004C6093"/>
    <w:rsid w:val="004C78F0"/>
    <w:rsid w:val="004D002B"/>
    <w:rsid w:val="004D0602"/>
    <w:rsid w:val="004D0C44"/>
    <w:rsid w:val="004D0D1B"/>
    <w:rsid w:val="004D1395"/>
    <w:rsid w:val="004D47BC"/>
    <w:rsid w:val="004D4AAC"/>
    <w:rsid w:val="004D5543"/>
    <w:rsid w:val="004D79CA"/>
    <w:rsid w:val="004E22DD"/>
    <w:rsid w:val="004E24B9"/>
    <w:rsid w:val="004E26BD"/>
    <w:rsid w:val="004E36B9"/>
    <w:rsid w:val="004E552B"/>
    <w:rsid w:val="004E5573"/>
    <w:rsid w:val="004E5A13"/>
    <w:rsid w:val="004E5EE4"/>
    <w:rsid w:val="004E7116"/>
    <w:rsid w:val="004F10DF"/>
    <w:rsid w:val="004F1B9D"/>
    <w:rsid w:val="004F1E38"/>
    <w:rsid w:val="004F3F18"/>
    <w:rsid w:val="004F4009"/>
    <w:rsid w:val="004F42EB"/>
    <w:rsid w:val="004F46CA"/>
    <w:rsid w:val="004F4A4D"/>
    <w:rsid w:val="004F6FCF"/>
    <w:rsid w:val="00500515"/>
    <w:rsid w:val="005010C5"/>
    <w:rsid w:val="005023EB"/>
    <w:rsid w:val="005025B6"/>
    <w:rsid w:val="00502A5E"/>
    <w:rsid w:val="0050361A"/>
    <w:rsid w:val="0050477A"/>
    <w:rsid w:val="0050540B"/>
    <w:rsid w:val="00506729"/>
    <w:rsid w:val="005068A7"/>
    <w:rsid w:val="0051048D"/>
    <w:rsid w:val="00510A67"/>
    <w:rsid w:val="00510DCE"/>
    <w:rsid w:val="00510EDF"/>
    <w:rsid w:val="00511A33"/>
    <w:rsid w:val="00512C02"/>
    <w:rsid w:val="00512C3D"/>
    <w:rsid w:val="0051333F"/>
    <w:rsid w:val="00513ADC"/>
    <w:rsid w:val="00514C6A"/>
    <w:rsid w:val="005150F5"/>
    <w:rsid w:val="0051516A"/>
    <w:rsid w:val="005155BC"/>
    <w:rsid w:val="00515C37"/>
    <w:rsid w:val="005175F2"/>
    <w:rsid w:val="00521CE2"/>
    <w:rsid w:val="005224BA"/>
    <w:rsid w:val="00522B82"/>
    <w:rsid w:val="005230AF"/>
    <w:rsid w:val="005235BF"/>
    <w:rsid w:val="00524B55"/>
    <w:rsid w:val="00526254"/>
    <w:rsid w:val="00526BAC"/>
    <w:rsid w:val="005276B2"/>
    <w:rsid w:val="005309A7"/>
    <w:rsid w:val="00530CA1"/>
    <w:rsid w:val="0053181A"/>
    <w:rsid w:val="00531C9C"/>
    <w:rsid w:val="005325E0"/>
    <w:rsid w:val="005329A9"/>
    <w:rsid w:val="00533E02"/>
    <w:rsid w:val="005346D3"/>
    <w:rsid w:val="005352BE"/>
    <w:rsid w:val="0053594F"/>
    <w:rsid w:val="00535C0F"/>
    <w:rsid w:val="00535FBE"/>
    <w:rsid w:val="005360B4"/>
    <w:rsid w:val="0053631C"/>
    <w:rsid w:val="005408ED"/>
    <w:rsid w:val="0054105C"/>
    <w:rsid w:val="00541244"/>
    <w:rsid w:val="00541291"/>
    <w:rsid w:val="00541C72"/>
    <w:rsid w:val="00543426"/>
    <w:rsid w:val="00544058"/>
    <w:rsid w:val="00546437"/>
    <w:rsid w:val="00546767"/>
    <w:rsid w:val="00546A64"/>
    <w:rsid w:val="00547F82"/>
    <w:rsid w:val="005503B5"/>
    <w:rsid w:val="0055164C"/>
    <w:rsid w:val="005529D3"/>
    <w:rsid w:val="00554E72"/>
    <w:rsid w:val="0055689D"/>
    <w:rsid w:val="00556A6D"/>
    <w:rsid w:val="00557576"/>
    <w:rsid w:val="00557B2D"/>
    <w:rsid w:val="00557D48"/>
    <w:rsid w:val="005601DE"/>
    <w:rsid w:val="0056128F"/>
    <w:rsid w:val="005630D4"/>
    <w:rsid w:val="00565A56"/>
    <w:rsid w:val="00565BF6"/>
    <w:rsid w:val="005668FA"/>
    <w:rsid w:val="00566E2D"/>
    <w:rsid w:val="00567497"/>
    <w:rsid w:val="00570018"/>
    <w:rsid w:val="005704A2"/>
    <w:rsid w:val="00570EF9"/>
    <w:rsid w:val="00574B67"/>
    <w:rsid w:val="00575221"/>
    <w:rsid w:val="005752AE"/>
    <w:rsid w:val="0057573B"/>
    <w:rsid w:val="00577207"/>
    <w:rsid w:val="00580DD1"/>
    <w:rsid w:val="005822E5"/>
    <w:rsid w:val="0058231A"/>
    <w:rsid w:val="005827A4"/>
    <w:rsid w:val="00582E23"/>
    <w:rsid w:val="00582E67"/>
    <w:rsid w:val="0058346E"/>
    <w:rsid w:val="005855EC"/>
    <w:rsid w:val="00585BC7"/>
    <w:rsid w:val="00586B95"/>
    <w:rsid w:val="005879D2"/>
    <w:rsid w:val="0059045C"/>
    <w:rsid w:val="00591BF0"/>
    <w:rsid w:val="00592B3E"/>
    <w:rsid w:val="005934E3"/>
    <w:rsid w:val="005935FA"/>
    <w:rsid w:val="00593B25"/>
    <w:rsid w:val="0059404C"/>
    <w:rsid w:val="005940CE"/>
    <w:rsid w:val="0059547C"/>
    <w:rsid w:val="005956E9"/>
    <w:rsid w:val="00597595"/>
    <w:rsid w:val="005A0240"/>
    <w:rsid w:val="005A0554"/>
    <w:rsid w:val="005A0EAD"/>
    <w:rsid w:val="005A24EC"/>
    <w:rsid w:val="005A271C"/>
    <w:rsid w:val="005A2760"/>
    <w:rsid w:val="005A64BD"/>
    <w:rsid w:val="005B19AD"/>
    <w:rsid w:val="005B2241"/>
    <w:rsid w:val="005B58EF"/>
    <w:rsid w:val="005B690F"/>
    <w:rsid w:val="005B6963"/>
    <w:rsid w:val="005B7423"/>
    <w:rsid w:val="005B7EF7"/>
    <w:rsid w:val="005C0273"/>
    <w:rsid w:val="005C1CF5"/>
    <w:rsid w:val="005C318F"/>
    <w:rsid w:val="005C32E7"/>
    <w:rsid w:val="005C34AF"/>
    <w:rsid w:val="005C35D9"/>
    <w:rsid w:val="005C445A"/>
    <w:rsid w:val="005C4CB8"/>
    <w:rsid w:val="005C5C47"/>
    <w:rsid w:val="005C6C7C"/>
    <w:rsid w:val="005C723C"/>
    <w:rsid w:val="005D24AC"/>
    <w:rsid w:val="005D4718"/>
    <w:rsid w:val="005D55FE"/>
    <w:rsid w:val="005D5CAD"/>
    <w:rsid w:val="005D7ACC"/>
    <w:rsid w:val="005E24DC"/>
    <w:rsid w:val="005E3D31"/>
    <w:rsid w:val="005F0792"/>
    <w:rsid w:val="005F108A"/>
    <w:rsid w:val="005F117A"/>
    <w:rsid w:val="005F1D17"/>
    <w:rsid w:val="005F222B"/>
    <w:rsid w:val="005F344E"/>
    <w:rsid w:val="005F667E"/>
    <w:rsid w:val="005F66C9"/>
    <w:rsid w:val="005F6713"/>
    <w:rsid w:val="005F6870"/>
    <w:rsid w:val="005F7F9B"/>
    <w:rsid w:val="00600BC6"/>
    <w:rsid w:val="006024EE"/>
    <w:rsid w:val="0060354D"/>
    <w:rsid w:val="006035E7"/>
    <w:rsid w:val="00604097"/>
    <w:rsid w:val="00604DED"/>
    <w:rsid w:val="00604E69"/>
    <w:rsid w:val="00606997"/>
    <w:rsid w:val="00606B47"/>
    <w:rsid w:val="00611F6E"/>
    <w:rsid w:val="00612783"/>
    <w:rsid w:val="00613D18"/>
    <w:rsid w:val="00614803"/>
    <w:rsid w:val="0061571A"/>
    <w:rsid w:val="006160C7"/>
    <w:rsid w:val="0061655B"/>
    <w:rsid w:val="006165BB"/>
    <w:rsid w:val="00617300"/>
    <w:rsid w:val="0061738F"/>
    <w:rsid w:val="00617BEA"/>
    <w:rsid w:val="006222B1"/>
    <w:rsid w:val="00622B15"/>
    <w:rsid w:val="00623167"/>
    <w:rsid w:val="00624845"/>
    <w:rsid w:val="006264E3"/>
    <w:rsid w:val="00630149"/>
    <w:rsid w:val="0063242C"/>
    <w:rsid w:val="006336DC"/>
    <w:rsid w:val="00633AB3"/>
    <w:rsid w:val="006343FD"/>
    <w:rsid w:val="00634F22"/>
    <w:rsid w:val="00635B94"/>
    <w:rsid w:val="00637AF2"/>
    <w:rsid w:val="00640D1B"/>
    <w:rsid w:val="00642842"/>
    <w:rsid w:val="006429BC"/>
    <w:rsid w:val="00643654"/>
    <w:rsid w:val="006444CB"/>
    <w:rsid w:val="0064709F"/>
    <w:rsid w:val="006530EB"/>
    <w:rsid w:val="0065425A"/>
    <w:rsid w:val="0065488F"/>
    <w:rsid w:val="0065563E"/>
    <w:rsid w:val="006558A3"/>
    <w:rsid w:val="006563BF"/>
    <w:rsid w:val="006574E9"/>
    <w:rsid w:val="0066107E"/>
    <w:rsid w:val="006616FE"/>
    <w:rsid w:val="006619B3"/>
    <w:rsid w:val="006639C2"/>
    <w:rsid w:val="00663A40"/>
    <w:rsid w:val="00663E7F"/>
    <w:rsid w:val="006655EF"/>
    <w:rsid w:val="00666255"/>
    <w:rsid w:val="006662B2"/>
    <w:rsid w:val="006667B8"/>
    <w:rsid w:val="006675D4"/>
    <w:rsid w:val="0067096B"/>
    <w:rsid w:val="006709B2"/>
    <w:rsid w:val="00670BF8"/>
    <w:rsid w:val="00671133"/>
    <w:rsid w:val="00673631"/>
    <w:rsid w:val="00674A38"/>
    <w:rsid w:val="00675332"/>
    <w:rsid w:val="0067539B"/>
    <w:rsid w:val="00675830"/>
    <w:rsid w:val="00676B0F"/>
    <w:rsid w:val="00680548"/>
    <w:rsid w:val="00680A9A"/>
    <w:rsid w:val="00680FF0"/>
    <w:rsid w:val="00684A80"/>
    <w:rsid w:val="00685324"/>
    <w:rsid w:val="00686432"/>
    <w:rsid w:val="00687FAF"/>
    <w:rsid w:val="00690138"/>
    <w:rsid w:val="0069119F"/>
    <w:rsid w:val="00692834"/>
    <w:rsid w:val="006930F8"/>
    <w:rsid w:val="00694469"/>
    <w:rsid w:val="006969C4"/>
    <w:rsid w:val="006A38C5"/>
    <w:rsid w:val="006A4A15"/>
    <w:rsid w:val="006A5E9F"/>
    <w:rsid w:val="006A674D"/>
    <w:rsid w:val="006A7D0D"/>
    <w:rsid w:val="006B0007"/>
    <w:rsid w:val="006B0E4E"/>
    <w:rsid w:val="006B1E3A"/>
    <w:rsid w:val="006B1EB7"/>
    <w:rsid w:val="006B28F9"/>
    <w:rsid w:val="006B6C3C"/>
    <w:rsid w:val="006C0CA6"/>
    <w:rsid w:val="006C127B"/>
    <w:rsid w:val="006C1401"/>
    <w:rsid w:val="006C1CCD"/>
    <w:rsid w:val="006C38B1"/>
    <w:rsid w:val="006C41DC"/>
    <w:rsid w:val="006C45D9"/>
    <w:rsid w:val="006C5A91"/>
    <w:rsid w:val="006C76E1"/>
    <w:rsid w:val="006D116B"/>
    <w:rsid w:val="006D1BD3"/>
    <w:rsid w:val="006D22B0"/>
    <w:rsid w:val="006D2C6D"/>
    <w:rsid w:val="006D2DF7"/>
    <w:rsid w:val="006D3540"/>
    <w:rsid w:val="006D3A44"/>
    <w:rsid w:val="006D4CB9"/>
    <w:rsid w:val="006D5473"/>
    <w:rsid w:val="006D55A4"/>
    <w:rsid w:val="006D5AFE"/>
    <w:rsid w:val="006D5E0E"/>
    <w:rsid w:val="006D750F"/>
    <w:rsid w:val="006E3B5E"/>
    <w:rsid w:val="006E3F24"/>
    <w:rsid w:val="006E44FA"/>
    <w:rsid w:val="006E48D0"/>
    <w:rsid w:val="006E7C0B"/>
    <w:rsid w:val="006F178D"/>
    <w:rsid w:val="006F4719"/>
    <w:rsid w:val="006F5D9F"/>
    <w:rsid w:val="006F6C53"/>
    <w:rsid w:val="00701836"/>
    <w:rsid w:val="00702348"/>
    <w:rsid w:val="007026C1"/>
    <w:rsid w:val="00706C76"/>
    <w:rsid w:val="00710BA1"/>
    <w:rsid w:val="00711F5B"/>
    <w:rsid w:val="007121DA"/>
    <w:rsid w:val="007132E4"/>
    <w:rsid w:val="00713AED"/>
    <w:rsid w:val="00714392"/>
    <w:rsid w:val="007143C5"/>
    <w:rsid w:val="00714503"/>
    <w:rsid w:val="00715DC4"/>
    <w:rsid w:val="00716718"/>
    <w:rsid w:val="00717026"/>
    <w:rsid w:val="00717919"/>
    <w:rsid w:val="007213CE"/>
    <w:rsid w:val="007214FB"/>
    <w:rsid w:val="00722307"/>
    <w:rsid w:val="00722864"/>
    <w:rsid w:val="00722D4B"/>
    <w:rsid w:val="007232D8"/>
    <w:rsid w:val="0072356C"/>
    <w:rsid w:val="00723FA2"/>
    <w:rsid w:val="00724759"/>
    <w:rsid w:val="007247A2"/>
    <w:rsid w:val="00727779"/>
    <w:rsid w:val="00727B79"/>
    <w:rsid w:val="00732C5B"/>
    <w:rsid w:val="00732F62"/>
    <w:rsid w:val="007343AE"/>
    <w:rsid w:val="00735E39"/>
    <w:rsid w:val="0073729B"/>
    <w:rsid w:val="00737654"/>
    <w:rsid w:val="0074081F"/>
    <w:rsid w:val="0074360D"/>
    <w:rsid w:val="00743C1B"/>
    <w:rsid w:val="00750EA0"/>
    <w:rsid w:val="00751878"/>
    <w:rsid w:val="00752ACA"/>
    <w:rsid w:val="00754688"/>
    <w:rsid w:val="007547DA"/>
    <w:rsid w:val="007557CC"/>
    <w:rsid w:val="00756625"/>
    <w:rsid w:val="007610F3"/>
    <w:rsid w:val="00761D9E"/>
    <w:rsid w:val="00762AC7"/>
    <w:rsid w:val="00762B25"/>
    <w:rsid w:val="00762B65"/>
    <w:rsid w:val="0076307F"/>
    <w:rsid w:val="00763B18"/>
    <w:rsid w:val="007652F3"/>
    <w:rsid w:val="00767512"/>
    <w:rsid w:val="00767716"/>
    <w:rsid w:val="00767807"/>
    <w:rsid w:val="00770485"/>
    <w:rsid w:val="00771896"/>
    <w:rsid w:val="00773FC3"/>
    <w:rsid w:val="00774892"/>
    <w:rsid w:val="00775D68"/>
    <w:rsid w:val="007769EF"/>
    <w:rsid w:val="00776BE2"/>
    <w:rsid w:val="00776EA8"/>
    <w:rsid w:val="007770D6"/>
    <w:rsid w:val="00777591"/>
    <w:rsid w:val="0078073D"/>
    <w:rsid w:val="007816F6"/>
    <w:rsid w:val="00781881"/>
    <w:rsid w:val="007823A4"/>
    <w:rsid w:val="00784264"/>
    <w:rsid w:val="00784641"/>
    <w:rsid w:val="00784703"/>
    <w:rsid w:val="00784BF0"/>
    <w:rsid w:val="00787363"/>
    <w:rsid w:val="00787CB6"/>
    <w:rsid w:val="007914A2"/>
    <w:rsid w:val="0079168D"/>
    <w:rsid w:val="00792EC0"/>
    <w:rsid w:val="00792F51"/>
    <w:rsid w:val="00793590"/>
    <w:rsid w:val="00794F0E"/>
    <w:rsid w:val="00795D70"/>
    <w:rsid w:val="00795F67"/>
    <w:rsid w:val="007960E4"/>
    <w:rsid w:val="00796593"/>
    <w:rsid w:val="00796DD0"/>
    <w:rsid w:val="00796E75"/>
    <w:rsid w:val="007A13E7"/>
    <w:rsid w:val="007A2542"/>
    <w:rsid w:val="007A397A"/>
    <w:rsid w:val="007A4158"/>
    <w:rsid w:val="007A67A1"/>
    <w:rsid w:val="007A70F2"/>
    <w:rsid w:val="007B07F5"/>
    <w:rsid w:val="007B0F67"/>
    <w:rsid w:val="007B1902"/>
    <w:rsid w:val="007B4ACC"/>
    <w:rsid w:val="007B5938"/>
    <w:rsid w:val="007B6296"/>
    <w:rsid w:val="007B671F"/>
    <w:rsid w:val="007B7EA2"/>
    <w:rsid w:val="007C025C"/>
    <w:rsid w:val="007C0B7E"/>
    <w:rsid w:val="007C20F4"/>
    <w:rsid w:val="007C3117"/>
    <w:rsid w:val="007C4DF3"/>
    <w:rsid w:val="007C69C4"/>
    <w:rsid w:val="007C7D88"/>
    <w:rsid w:val="007D05A7"/>
    <w:rsid w:val="007D3D14"/>
    <w:rsid w:val="007D4D20"/>
    <w:rsid w:val="007D6358"/>
    <w:rsid w:val="007D657D"/>
    <w:rsid w:val="007D75FE"/>
    <w:rsid w:val="007E044A"/>
    <w:rsid w:val="007E0453"/>
    <w:rsid w:val="007E1833"/>
    <w:rsid w:val="007E1A41"/>
    <w:rsid w:val="007E236E"/>
    <w:rsid w:val="007E2762"/>
    <w:rsid w:val="007E4339"/>
    <w:rsid w:val="007E5558"/>
    <w:rsid w:val="007E70DB"/>
    <w:rsid w:val="007E736A"/>
    <w:rsid w:val="007E73C5"/>
    <w:rsid w:val="007F0074"/>
    <w:rsid w:val="007F0CED"/>
    <w:rsid w:val="007F10D6"/>
    <w:rsid w:val="007F2245"/>
    <w:rsid w:val="007F265B"/>
    <w:rsid w:val="007F32EE"/>
    <w:rsid w:val="007F35DD"/>
    <w:rsid w:val="007F47F2"/>
    <w:rsid w:val="00800B77"/>
    <w:rsid w:val="00802072"/>
    <w:rsid w:val="00802710"/>
    <w:rsid w:val="00803181"/>
    <w:rsid w:val="008037EC"/>
    <w:rsid w:val="00804793"/>
    <w:rsid w:val="00805234"/>
    <w:rsid w:val="00805971"/>
    <w:rsid w:val="008060DD"/>
    <w:rsid w:val="00806491"/>
    <w:rsid w:val="00811263"/>
    <w:rsid w:val="00812611"/>
    <w:rsid w:val="00812BF3"/>
    <w:rsid w:val="008131AA"/>
    <w:rsid w:val="00813612"/>
    <w:rsid w:val="008142D8"/>
    <w:rsid w:val="00814D9B"/>
    <w:rsid w:val="008155B2"/>
    <w:rsid w:val="00815BE4"/>
    <w:rsid w:val="0081626E"/>
    <w:rsid w:val="00816EFF"/>
    <w:rsid w:val="00817A07"/>
    <w:rsid w:val="00817C0F"/>
    <w:rsid w:val="00821470"/>
    <w:rsid w:val="00822B86"/>
    <w:rsid w:val="0082339A"/>
    <w:rsid w:val="008241B9"/>
    <w:rsid w:val="00824770"/>
    <w:rsid w:val="0082520E"/>
    <w:rsid w:val="0082584E"/>
    <w:rsid w:val="00826091"/>
    <w:rsid w:val="008268AF"/>
    <w:rsid w:val="008268C9"/>
    <w:rsid w:val="00827B78"/>
    <w:rsid w:val="00830004"/>
    <w:rsid w:val="00831A0E"/>
    <w:rsid w:val="00832433"/>
    <w:rsid w:val="00833A96"/>
    <w:rsid w:val="00833F05"/>
    <w:rsid w:val="00834402"/>
    <w:rsid w:val="00834A21"/>
    <w:rsid w:val="008360C6"/>
    <w:rsid w:val="0084067A"/>
    <w:rsid w:val="0084259D"/>
    <w:rsid w:val="00842714"/>
    <w:rsid w:val="00842F8F"/>
    <w:rsid w:val="008467D9"/>
    <w:rsid w:val="008501FB"/>
    <w:rsid w:val="00850DBE"/>
    <w:rsid w:val="008512F2"/>
    <w:rsid w:val="00852CFA"/>
    <w:rsid w:val="00854135"/>
    <w:rsid w:val="0085450F"/>
    <w:rsid w:val="00856925"/>
    <w:rsid w:val="008571E4"/>
    <w:rsid w:val="008604C7"/>
    <w:rsid w:val="00863C58"/>
    <w:rsid w:val="008645DE"/>
    <w:rsid w:val="00864AE0"/>
    <w:rsid w:val="00865165"/>
    <w:rsid w:val="008656FD"/>
    <w:rsid w:val="00866DD5"/>
    <w:rsid w:val="0087031E"/>
    <w:rsid w:val="008716C1"/>
    <w:rsid w:val="00871B23"/>
    <w:rsid w:val="00871E62"/>
    <w:rsid w:val="008727A8"/>
    <w:rsid w:val="008728B6"/>
    <w:rsid w:val="008729D8"/>
    <w:rsid w:val="008731F6"/>
    <w:rsid w:val="00874310"/>
    <w:rsid w:val="00876495"/>
    <w:rsid w:val="008770D5"/>
    <w:rsid w:val="0087717F"/>
    <w:rsid w:val="0088127A"/>
    <w:rsid w:val="008845E3"/>
    <w:rsid w:val="008875A4"/>
    <w:rsid w:val="00887E8A"/>
    <w:rsid w:val="0089217C"/>
    <w:rsid w:val="00892B08"/>
    <w:rsid w:val="00892B30"/>
    <w:rsid w:val="00892D0A"/>
    <w:rsid w:val="00893FB6"/>
    <w:rsid w:val="008954B2"/>
    <w:rsid w:val="00897BA8"/>
    <w:rsid w:val="008A13BD"/>
    <w:rsid w:val="008A1D3E"/>
    <w:rsid w:val="008A309D"/>
    <w:rsid w:val="008A39F2"/>
    <w:rsid w:val="008A3FD6"/>
    <w:rsid w:val="008A435B"/>
    <w:rsid w:val="008A5459"/>
    <w:rsid w:val="008A6108"/>
    <w:rsid w:val="008A69EC"/>
    <w:rsid w:val="008A73B2"/>
    <w:rsid w:val="008A7FEE"/>
    <w:rsid w:val="008B0703"/>
    <w:rsid w:val="008B0B42"/>
    <w:rsid w:val="008B0FF6"/>
    <w:rsid w:val="008B1854"/>
    <w:rsid w:val="008B3C9D"/>
    <w:rsid w:val="008B432C"/>
    <w:rsid w:val="008B45B1"/>
    <w:rsid w:val="008B4931"/>
    <w:rsid w:val="008B50C0"/>
    <w:rsid w:val="008B5615"/>
    <w:rsid w:val="008B56BA"/>
    <w:rsid w:val="008B5C52"/>
    <w:rsid w:val="008B6175"/>
    <w:rsid w:val="008B6A31"/>
    <w:rsid w:val="008B6A4B"/>
    <w:rsid w:val="008C05EC"/>
    <w:rsid w:val="008C0A76"/>
    <w:rsid w:val="008C0E3B"/>
    <w:rsid w:val="008C14AB"/>
    <w:rsid w:val="008C3991"/>
    <w:rsid w:val="008C5EAF"/>
    <w:rsid w:val="008C6663"/>
    <w:rsid w:val="008D17AE"/>
    <w:rsid w:val="008D2311"/>
    <w:rsid w:val="008D241A"/>
    <w:rsid w:val="008D257B"/>
    <w:rsid w:val="008D332C"/>
    <w:rsid w:val="008D5DD8"/>
    <w:rsid w:val="008D658C"/>
    <w:rsid w:val="008E0E83"/>
    <w:rsid w:val="008E2028"/>
    <w:rsid w:val="008E2F7D"/>
    <w:rsid w:val="008E31AE"/>
    <w:rsid w:val="008E34D7"/>
    <w:rsid w:val="008E3F62"/>
    <w:rsid w:val="008E4312"/>
    <w:rsid w:val="008E627E"/>
    <w:rsid w:val="008E6C43"/>
    <w:rsid w:val="008F0412"/>
    <w:rsid w:val="008F55BA"/>
    <w:rsid w:val="008F5BCF"/>
    <w:rsid w:val="008F7797"/>
    <w:rsid w:val="00900EA9"/>
    <w:rsid w:val="00902957"/>
    <w:rsid w:val="00903272"/>
    <w:rsid w:val="0090515A"/>
    <w:rsid w:val="00910001"/>
    <w:rsid w:val="009103FD"/>
    <w:rsid w:val="00910DE6"/>
    <w:rsid w:val="00911423"/>
    <w:rsid w:val="00913659"/>
    <w:rsid w:val="00913DDB"/>
    <w:rsid w:val="0091451E"/>
    <w:rsid w:val="00916F11"/>
    <w:rsid w:val="009175F8"/>
    <w:rsid w:val="00917A0C"/>
    <w:rsid w:val="009204B1"/>
    <w:rsid w:val="009209E1"/>
    <w:rsid w:val="00924775"/>
    <w:rsid w:val="009253DD"/>
    <w:rsid w:val="009256BF"/>
    <w:rsid w:val="00925E53"/>
    <w:rsid w:val="00927D69"/>
    <w:rsid w:val="00930759"/>
    <w:rsid w:val="009317CA"/>
    <w:rsid w:val="00931FCB"/>
    <w:rsid w:val="00933157"/>
    <w:rsid w:val="00933848"/>
    <w:rsid w:val="00933C21"/>
    <w:rsid w:val="00934942"/>
    <w:rsid w:val="00934FB1"/>
    <w:rsid w:val="00935225"/>
    <w:rsid w:val="0093663C"/>
    <w:rsid w:val="00937C2E"/>
    <w:rsid w:val="009402C5"/>
    <w:rsid w:val="00940F74"/>
    <w:rsid w:val="0094171F"/>
    <w:rsid w:val="00941A1E"/>
    <w:rsid w:val="009425AB"/>
    <w:rsid w:val="00942829"/>
    <w:rsid w:val="00942C6D"/>
    <w:rsid w:val="00943264"/>
    <w:rsid w:val="009442A0"/>
    <w:rsid w:val="00944368"/>
    <w:rsid w:val="00947379"/>
    <w:rsid w:val="009502A6"/>
    <w:rsid w:val="00954086"/>
    <w:rsid w:val="00954272"/>
    <w:rsid w:val="0095455E"/>
    <w:rsid w:val="009559DA"/>
    <w:rsid w:val="00955B2A"/>
    <w:rsid w:val="00955D8E"/>
    <w:rsid w:val="009577F1"/>
    <w:rsid w:val="00957B9B"/>
    <w:rsid w:val="009618E0"/>
    <w:rsid w:val="00961C94"/>
    <w:rsid w:val="009627D3"/>
    <w:rsid w:val="0096325D"/>
    <w:rsid w:val="009657ED"/>
    <w:rsid w:val="00966D5B"/>
    <w:rsid w:val="00967FCD"/>
    <w:rsid w:val="0097211A"/>
    <w:rsid w:val="0097242A"/>
    <w:rsid w:val="00972793"/>
    <w:rsid w:val="00974071"/>
    <w:rsid w:val="0097414B"/>
    <w:rsid w:val="00976B90"/>
    <w:rsid w:val="0097797E"/>
    <w:rsid w:val="00981B5C"/>
    <w:rsid w:val="009830B2"/>
    <w:rsid w:val="00985621"/>
    <w:rsid w:val="0098586E"/>
    <w:rsid w:val="009859C5"/>
    <w:rsid w:val="0099035A"/>
    <w:rsid w:val="009904CD"/>
    <w:rsid w:val="0099075E"/>
    <w:rsid w:val="009917BD"/>
    <w:rsid w:val="00991DEE"/>
    <w:rsid w:val="0099454D"/>
    <w:rsid w:val="00994559"/>
    <w:rsid w:val="00994A8E"/>
    <w:rsid w:val="009955FB"/>
    <w:rsid w:val="00995BA5"/>
    <w:rsid w:val="00995DB7"/>
    <w:rsid w:val="00996C9B"/>
    <w:rsid w:val="00997C55"/>
    <w:rsid w:val="009A1293"/>
    <w:rsid w:val="009A13F1"/>
    <w:rsid w:val="009A177E"/>
    <w:rsid w:val="009A17C6"/>
    <w:rsid w:val="009A2D3E"/>
    <w:rsid w:val="009A5368"/>
    <w:rsid w:val="009A54B0"/>
    <w:rsid w:val="009A6D6E"/>
    <w:rsid w:val="009A78E3"/>
    <w:rsid w:val="009B019B"/>
    <w:rsid w:val="009B1117"/>
    <w:rsid w:val="009B1749"/>
    <w:rsid w:val="009B1830"/>
    <w:rsid w:val="009B1CD6"/>
    <w:rsid w:val="009B371B"/>
    <w:rsid w:val="009B4A65"/>
    <w:rsid w:val="009B58B5"/>
    <w:rsid w:val="009B7843"/>
    <w:rsid w:val="009B7C4D"/>
    <w:rsid w:val="009C243F"/>
    <w:rsid w:val="009C59AB"/>
    <w:rsid w:val="009C68FF"/>
    <w:rsid w:val="009C6CCC"/>
    <w:rsid w:val="009C7ED0"/>
    <w:rsid w:val="009D02E5"/>
    <w:rsid w:val="009D0BE7"/>
    <w:rsid w:val="009D1955"/>
    <w:rsid w:val="009D2459"/>
    <w:rsid w:val="009D2E68"/>
    <w:rsid w:val="009D3E6C"/>
    <w:rsid w:val="009D4A08"/>
    <w:rsid w:val="009D6681"/>
    <w:rsid w:val="009D714E"/>
    <w:rsid w:val="009E02FA"/>
    <w:rsid w:val="009E17C4"/>
    <w:rsid w:val="009E258F"/>
    <w:rsid w:val="009E43AE"/>
    <w:rsid w:val="009E7178"/>
    <w:rsid w:val="009E7726"/>
    <w:rsid w:val="009F07B8"/>
    <w:rsid w:val="009F0D69"/>
    <w:rsid w:val="009F1265"/>
    <w:rsid w:val="009F19B4"/>
    <w:rsid w:val="009F1F3D"/>
    <w:rsid w:val="009F2564"/>
    <w:rsid w:val="009F25C1"/>
    <w:rsid w:val="009F3EFC"/>
    <w:rsid w:val="009F4489"/>
    <w:rsid w:val="009F46B1"/>
    <w:rsid w:val="009F5B4F"/>
    <w:rsid w:val="00A008AB"/>
    <w:rsid w:val="00A02A8F"/>
    <w:rsid w:val="00A03511"/>
    <w:rsid w:val="00A04332"/>
    <w:rsid w:val="00A04700"/>
    <w:rsid w:val="00A04CA9"/>
    <w:rsid w:val="00A06923"/>
    <w:rsid w:val="00A10112"/>
    <w:rsid w:val="00A11598"/>
    <w:rsid w:val="00A15381"/>
    <w:rsid w:val="00A20C31"/>
    <w:rsid w:val="00A20D5F"/>
    <w:rsid w:val="00A224AC"/>
    <w:rsid w:val="00A23518"/>
    <w:rsid w:val="00A23A3A"/>
    <w:rsid w:val="00A250A4"/>
    <w:rsid w:val="00A26D9F"/>
    <w:rsid w:val="00A271B8"/>
    <w:rsid w:val="00A27330"/>
    <w:rsid w:val="00A2741C"/>
    <w:rsid w:val="00A308CD"/>
    <w:rsid w:val="00A32ED0"/>
    <w:rsid w:val="00A3368E"/>
    <w:rsid w:val="00A33F0A"/>
    <w:rsid w:val="00A35107"/>
    <w:rsid w:val="00A368AD"/>
    <w:rsid w:val="00A3697E"/>
    <w:rsid w:val="00A3732B"/>
    <w:rsid w:val="00A377A6"/>
    <w:rsid w:val="00A377B6"/>
    <w:rsid w:val="00A37E49"/>
    <w:rsid w:val="00A409C7"/>
    <w:rsid w:val="00A4393E"/>
    <w:rsid w:val="00A4431B"/>
    <w:rsid w:val="00A45DDE"/>
    <w:rsid w:val="00A466BC"/>
    <w:rsid w:val="00A46ED8"/>
    <w:rsid w:val="00A47C3E"/>
    <w:rsid w:val="00A47DDF"/>
    <w:rsid w:val="00A50786"/>
    <w:rsid w:val="00A5094F"/>
    <w:rsid w:val="00A51ABA"/>
    <w:rsid w:val="00A531C6"/>
    <w:rsid w:val="00A53264"/>
    <w:rsid w:val="00A5491D"/>
    <w:rsid w:val="00A54E0F"/>
    <w:rsid w:val="00A55FD4"/>
    <w:rsid w:val="00A56FD4"/>
    <w:rsid w:val="00A57187"/>
    <w:rsid w:val="00A6138B"/>
    <w:rsid w:val="00A617B8"/>
    <w:rsid w:val="00A61C71"/>
    <w:rsid w:val="00A625DE"/>
    <w:rsid w:val="00A62706"/>
    <w:rsid w:val="00A63630"/>
    <w:rsid w:val="00A63C09"/>
    <w:rsid w:val="00A6483E"/>
    <w:rsid w:val="00A65269"/>
    <w:rsid w:val="00A658EE"/>
    <w:rsid w:val="00A65B96"/>
    <w:rsid w:val="00A65C5D"/>
    <w:rsid w:val="00A67088"/>
    <w:rsid w:val="00A67A9E"/>
    <w:rsid w:val="00A72621"/>
    <w:rsid w:val="00A73C01"/>
    <w:rsid w:val="00A74BB7"/>
    <w:rsid w:val="00A7552D"/>
    <w:rsid w:val="00A75E18"/>
    <w:rsid w:val="00A80910"/>
    <w:rsid w:val="00A81424"/>
    <w:rsid w:val="00A82BFF"/>
    <w:rsid w:val="00A83B54"/>
    <w:rsid w:val="00A83FF6"/>
    <w:rsid w:val="00A850BB"/>
    <w:rsid w:val="00A87F79"/>
    <w:rsid w:val="00A9033D"/>
    <w:rsid w:val="00A9038D"/>
    <w:rsid w:val="00A928DE"/>
    <w:rsid w:val="00A9294E"/>
    <w:rsid w:val="00A941DD"/>
    <w:rsid w:val="00A956D8"/>
    <w:rsid w:val="00A96C8B"/>
    <w:rsid w:val="00A97409"/>
    <w:rsid w:val="00A97C4A"/>
    <w:rsid w:val="00A97FB6"/>
    <w:rsid w:val="00AA1A12"/>
    <w:rsid w:val="00AA1B9D"/>
    <w:rsid w:val="00AA2E1E"/>
    <w:rsid w:val="00AA308C"/>
    <w:rsid w:val="00AA41B0"/>
    <w:rsid w:val="00AA4292"/>
    <w:rsid w:val="00AA4E63"/>
    <w:rsid w:val="00AA624A"/>
    <w:rsid w:val="00AA7542"/>
    <w:rsid w:val="00AB1094"/>
    <w:rsid w:val="00AB4287"/>
    <w:rsid w:val="00AB4FA2"/>
    <w:rsid w:val="00AB64CE"/>
    <w:rsid w:val="00AB6D9E"/>
    <w:rsid w:val="00AC0890"/>
    <w:rsid w:val="00AC1935"/>
    <w:rsid w:val="00AC2AF4"/>
    <w:rsid w:val="00AC3346"/>
    <w:rsid w:val="00AC4565"/>
    <w:rsid w:val="00AC5A6C"/>
    <w:rsid w:val="00AC6BB3"/>
    <w:rsid w:val="00AC7984"/>
    <w:rsid w:val="00AC7DBD"/>
    <w:rsid w:val="00AD117D"/>
    <w:rsid w:val="00AD22EC"/>
    <w:rsid w:val="00AD28CC"/>
    <w:rsid w:val="00AD34D4"/>
    <w:rsid w:val="00AD3E9B"/>
    <w:rsid w:val="00AD4120"/>
    <w:rsid w:val="00AD798C"/>
    <w:rsid w:val="00AD7CA5"/>
    <w:rsid w:val="00AE0757"/>
    <w:rsid w:val="00AE0A01"/>
    <w:rsid w:val="00AE134E"/>
    <w:rsid w:val="00AE1B96"/>
    <w:rsid w:val="00AE2D97"/>
    <w:rsid w:val="00AE3034"/>
    <w:rsid w:val="00AE3B0D"/>
    <w:rsid w:val="00AE4357"/>
    <w:rsid w:val="00AE45D4"/>
    <w:rsid w:val="00AE525E"/>
    <w:rsid w:val="00AE5B6A"/>
    <w:rsid w:val="00AE760B"/>
    <w:rsid w:val="00AE78BA"/>
    <w:rsid w:val="00AE7F9A"/>
    <w:rsid w:val="00AF18A0"/>
    <w:rsid w:val="00AF1B8A"/>
    <w:rsid w:val="00AF2FE9"/>
    <w:rsid w:val="00AF38DB"/>
    <w:rsid w:val="00AF6BC9"/>
    <w:rsid w:val="00B01BED"/>
    <w:rsid w:val="00B026BE"/>
    <w:rsid w:val="00B03AEF"/>
    <w:rsid w:val="00B05C48"/>
    <w:rsid w:val="00B05CA8"/>
    <w:rsid w:val="00B060FB"/>
    <w:rsid w:val="00B07C9C"/>
    <w:rsid w:val="00B103BE"/>
    <w:rsid w:val="00B12D14"/>
    <w:rsid w:val="00B13281"/>
    <w:rsid w:val="00B1357D"/>
    <w:rsid w:val="00B140FC"/>
    <w:rsid w:val="00B146BF"/>
    <w:rsid w:val="00B157CB"/>
    <w:rsid w:val="00B15E45"/>
    <w:rsid w:val="00B172EE"/>
    <w:rsid w:val="00B206DA"/>
    <w:rsid w:val="00B208C1"/>
    <w:rsid w:val="00B2225A"/>
    <w:rsid w:val="00B2286C"/>
    <w:rsid w:val="00B24A98"/>
    <w:rsid w:val="00B262C5"/>
    <w:rsid w:val="00B27B1F"/>
    <w:rsid w:val="00B27BD9"/>
    <w:rsid w:val="00B31623"/>
    <w:rsid w:val="00B31855"/>
    <w:rsid w:val="00B335EF"/>
    <w:rsid w:val="00B3397F"/>
    <w:rsid w:val="00B34400"/>
    <w:rsid w:val="00B34B08"/>
    <w:rsid w:val="00B41AE8"/>
    <w:rsid w:val="00B422FE"/>
    <w:rsid w:val="00B42833"/>
    <w:rsid w:val="00B434CE"/>
    <w:rsid w:val="00B520D5"/>
    <w:rsid w:val="00B533A5"/>
    <w:rsid w:val="00B53C93"/>
    <w:rsid w:val="00B53CE4"/>
    <w:rsid w:val="00B5437C"/>
    <w:rsid w:val="00B55DCA"/>
    <w:rsid w:val="00B60C83"/>
    <w:rsid w:val="00B60EAA"/>
    <w:rsid w:val="00B611D1"/>
    <w:rsid w:val="00B615D6"/>
    <w:rsid w:val="00B61B59"/>
    <w:rsid w:val="00B61DE2"/>
    <w:rsid w:val="00B62404"/>
    <w:rsid w:val="00B636C2"/>
    <w:rsid w:val="00B638C8"/>
    <w:rsid w:val="00B63C8A"/>
    <w:rsid w:val="00B64313"/>
    <w:rsid w:val="00B644D4"/>
    <w:rsid w:val="00B64A71"/>
    <w:rsid w:val="00B655A8"/>
    <w:rsid w:val="00B658C2"/>
    <w:rsid w:val="00B65FD5"/>
    <w:rsid w:val="00B716BB"/>
    <w:rsid w:val="00B726DB"/>
    <w:rsid w:val="00B72BF5"/>
    <w:rsid w:val="00B7510D"/>
    <w:rsid w:val="00B76CA9"/>
    <w:rsid w:val="00B828E8"/>
    <w:rsid w:val="00B82CED"/>
    <w:rsid w:val="00B82CF9"/>
    <w:rsid w:val="00B87E6D"/>
    <w:rsid w:val="00B907EB"/>
    <w:rsid w:val="00B919F3"/>
    <w:rsid w:val="00B93B11"/>
    <w:rsid w:val="00B96098"/>
    <w:rsid w:val="00B96E75"/>
    <w:rsid w:val="00BA1ADB"/>
    <w:rsid w:val="00BA1EE8"/>
    <w:rsid w:val="00BA2687"/>
    <w:rsid w:val="00BA5B93"/>
    <w:rsid w:val="00BA72F4"/>
    <w:rsid w:val="00BA74C2"/>
    <w:rsid w:val="00BA7B3F"/>
    <w:rsid w:val="00BB0E6C"/>
    <w:rsid w:val="00BB11ED"/>
    <w:rsid w:val="00BB3013"/>
    <w:rsid w:val="00BB316D"/>
    <w:rsid w:val="00BB650D"/>
    <w:rsid w:val="00BB74EC"/>
    <w:rsid w:val="00BB7F07"/>
    <w:rsid w:val="00BC21F1"/>
    <w:rsid w:val="00BC2283"/>
    <w:rsid w:val="00BC27B6"/>
    <w:rsid w:val="00BC2DEB"/>
    <w:rsid w:val="00BC3C9D"/>
    <w:rsid w:val="00BD00E8"/>
    <w:rsid w:val="00BD0720"/>
    <w:rsid w:val="00BE0A85"/>
    <w:rsid w:val="00BE2EC2"/>
    <w:rsid w:val="00BE3922"/>
    <w:rsid w:val="00BE40FD"/>
    <w:rsid w:val="00BE4B82"/>
    <w:rsid w:val="00BE6A48"/>
    <w:rsid w:val="00BE72ED"/>
    <w:rsid w:val="00BF34CE"/>
    <w:rsid w:val="00BF3A7C"/>
    <w:rsid w:val="00BF511A"/>
    <w:rsid w:val="00BF65C4"/>
    <w:rsid w:val="00C02622"/>
    <w:rsid w:val="00C02FDA"/>
    <w:rsid w:val="00C03185"/>
    <w:rsid w:val="00C044B0"/>
    <w:rsid w:val="00C057E4"/>
    <w:rsid w:val="00C05E9F"/>
    <w:rsid w:val="00C0619C"/>
    <w:rsid w:val="00C064AB"/>
    <w:rsid w:val="00C06D8B"/>
    <w:rsid w:val="00C074CD"/>
    <w:rsid w:val="00C07765"/>
    <w:rsid w:val="00C07C61"/>
    <w:rsid w:val="00C100E5"/>
    <w:rsid w:val="00C10204"/>
    <w:rsid w:val="00C1077F"/>
    <w:rsid w:val="00C1168D"/>
    <w:rsid w:val="00C12449"/>
    <w:rsid w:val="00C12477"/>
    <w:rsid w:val="00C138B0"/>
    <w:rsid w:val="00C13E8C"/>
    <w:rsid w:val="00C13F51"/>
    <w:rsid w:val="00C14708"/>
    <w:rsid w:val="00C151FD"/>
    <w:rsid w:val="00C161BB"/>
    <w:rsid w:val="00C17D42"/>
    <w:rsid w:val="00C222E9"/>
    <w:rsid w:val="00C229C9"/>
    <w:rsid w:val="00C22E6B"/>
    <w:rsid w:val="00C24B05"/>
    <w:rsid w:val="00C30AD5"/>
    <w:rsid w:val="00C32E11"/>
    <w:rsid w:val="00C342A7"/>
    <w:rsid w:val="00C355C3"/>
    <w:rsid w:val="00C362A6"/>
    <w:rsid w:val="00C37E6C"/>
    <w:rsid w:val="00C40291"/>
    <w:rsid w:val="00C41890"/>
    <w:rsid w:val="00C42307"/>
    <w:rsid w:val="00C43149"/>
    <w:rsid w:val="00C439CB"/>
    <w:rsid w:val="00C44631"/>
    <w:rsid w:val="00C45058"/>
    <w:rsid w:val="00C4514D"/>
    <w:rsid w:val="00C4537C"/>
    <w:rsid w:val="00C455D9"/>
    <w:rsid w:val="00C461F0"/>
    <w:rsid w:val="00C46FCB"/>
    <w:rsid w:val="00C503F8"/>
    <w:rsid w:val="00C5063A"/>
    <w:rsid w:val="00C510B9"/>
    <w:rsid w:val="00C51829"/>
    <w:rsid w:val="00C5292C"/>
    <w:rsid w:val="00C52C17"/>
    <w:rsid w:val="00C53950"/>
    <w:rsid w:val="00C53AE5"/>
    <w:rsid w:val="00C550EF"/>
    <w:rsid w:val="00C55266"/>
    <w:rsid w:val="00C55833"/>
    <w:rsid w:val="00C56554"/>
    <w:rsid w:val="00C56741"/>
    <w:rsid w:val="00C570DE"/>
    <w:rsid w:val="00C5768D"/>
    <w:rsid w:val="00C57996"/>
    <w:rsid w:val="00C60843"/>
    <w:rsid w:val="00C611A8"/>
    <w:rsid w:val="00C6167E"/>
    <w:rsid w:val="00C61B88"/>
    <w:rsid w:val="00C62859"/>
    <w:rsid w:val="00C63234"/>
    <w:rsid w:val="00C634B4"/>
    <w:rsid w:val="00C652FD"/>
    <w:rsid w:val="00C656E7"/>
    <w:rsid w:val="00C71132"/>
    <w:rsid w:val="00C71E29"/>
    <w:rsid w:val="00C73F5A"/>
    <w:rsid w:val="00C74443"/>
    <w:rsid w:val="00C77A34"/>
    <w:rsid w:val="00C81400"/>
    <w:rsid w:val="00C826FB"/>
    <w:rsid w:val="00C82773"/>
    <w:rsid w:val="00C83B3D"/>
    <w:rsid w:val="00C84BA1"/>
    <w:rsid w:val="00C85797"/>
    <w:rsid w:val="00C870AB"/>
    <w:rsid w:val="00C90942"/>
    <w:rsid w:val="00C90B89"/>
    <w:rsid w:val="00C91C2E"/>
    <w:rsid w:val="00C9307B"/>
    <w:rsid w:val="00C930CA"/>
    <w:rsid w:val="00C93C68"/>
    <w:rsid w:val="00C95AC8"/>
    <w:rsid w:val="00C960D4"/>
    <w:rsid w:val="00C97235"/>
    <w:rsid w:val="00CA0722"/>
    <w:rsid w:val="00CA0B85"/>
    <w:rsid w:val="00CA66E3"/>
    <w:rsid w:val="00CA75CF"/>
    <w:rsid w:val="00CB04D7"/>
    <w:rsid w:val="00CB178D"/>
    <w:rsid w:val="00CB20E1"/>
    <w:rsid w:val="00CB59EB"/>
    <w:rsid w:val="00CB5CF9"/>
    <w:rsid w:val="00CC05AD"/>
    <w:rsid w:val="00CC0732"/>
    <w:rsid w:val="00CC2815"/>
    <w:rsid w:val="00CC43BE"/>
    <w:rsid w:val="00CC5381"/>
    <w:rsid w:val="00CC6623"/>
    <w:rsid w:val="00CD1593"/>
    <w:rsid w:val="00CD22E3"/>
    <w:rsid w:val="00CD440D"/>
    <w:rsid w:val="00CD6C53"/>
    <w:rsid w:val="00CD6EF8"/>
    <w:rsid w:val="00CD7011"/>
    <w:rsid w:val="00CD76AC"/>
    <w:rsid w:val="00CD7979"/>
    <w:rsid w:val="00CE039A"/>
    <w:rsid w:val="00CE0FCA"/>
    <w:rsid w:val="00CE25A0"/>
    <w:rsid w:val="00CE2F99"/>
    <w:rsid w:val="00CE32DB"/>
    <w:rsid w:val="00CE50AC"/>
    <w:rsid w:val="00CE6A16"/>
    <w:rsid w:val="00CE75ED"/>
    <w:rsid w:val="00CF02F2"/>
    <w:rsid w:val="00CF2A4C"/>
    <w:rsid w:val="00CF6174"/>
    <w:rsid w:val="00CF6636"/>
    <w:rsid w:val="00D0004A"/>
    <w:rsid w:val="00D00912"/>
    <w:rsid w:val="00D01552"/>
    <w:rsid w:val="00D01C34"/>
    <w:rsid w:val="00D01FC8"/>
    <w:rsid w:val="00D02969"/>
    <w:rsid w:val="00D05E9F"/>
    <w:rsid w:val="00D064BF"/>
    <w:rsid w:val="00D06697"/>
    <w:rsid w:val="00D068F9"/>
    <w:rsid w:val="00D07904"/>
    <w:rsid w:val="00D07F21"/>
    <w:rsid w:val="00D11A37"/>
    <w:rsid w:val="00D12B50"/>
    <w:rsid w:val="00D13241"/>
    <w:rsid w:val="00D156D5"/>
    <w:rsid w:val="00D15854"/>
    <w:rsid w:val="00D160C0"/>
    <w:rsid w:val="00D1666C"/>
    <w:rsid w:val="00D1688D"/>
    <w:rsid w:val="00D21C49"/>
    <w:rsid w:val="00D228CE"/>
    <w:rsid w:val="00D22A77"/>
    <w:rsid w:val="00D22FB2"/>
    <w:rsid w:val="00D23574"/>
    <w:rsid w:val="00D24172"/>
    <w:rsid w:val="00D2618F"/>
    <w:rsid w:val="00D279F2"/>
    <w:rsid w:val="00D3050E"/>
    <w:rsid w:val="00D315B2"/>
    <w:rsid w:val="00D320DB"/>
    <w:rsid w:val="00D326DE"/>
    <w:rsid w:val="00D33684"/>
    <w:rsid w:val="00D34D18"/>
    <w:rsid w:val="00D35F68"/>
    <w:rsid w:val="00D3790A"/>
    <w:rsid w:val="00D40FE1"/>
    <w:rsid w:val="00D410E2"/>
    <w:rsid w:val="00D4184D"/>
    <w:rsid w:val="00D41EAF"/>
    <w:rsid w:val="00D43581"/>
    <w:rsid w:val="00D440A3"/>
    <w:rsid w:val="00D441B6"/>
    <w:rsid w:val="00D44A95"/>
    <w:rsid w:val="00D4534E"/>
    <w:rsid w:val="00D45959"/>
    <w:rsid w:val="00D45BB1"/>
    <w:rsid w:val="00D46B52"/>
    <w:rsid w:val="00D501FC"/>
    <w:rsid w:val="00D5022E"/>
    <w:rsid w:val="00D512C8"/>
    <w:rsid w:val="00D51322"/>
    <w:rsid w:val="00D515FF"/>
    <w:rsid w:val="00D519D1"/>
    <w:rsid w:val="00D52EB8"/>
    <w:rsid w:val="00D5429B"/>
    <w:rsid w:val="00D54D5C"/>
    <w:rsid w:val="00D55277"/>
    <w:rsid w:val="00D55371"/>
    <w:rsid w:val="00D5661B"/>
    <w:rsid w:val="00D60CF4"/>
    <w:rsid w:val="00D610F8"/>
    <w:rsid w:val="00D617CC"/>
    <w:rsid w:val="00D6280E"/>
    <w:rsid w:val="00D6596A"/>
    <w:rsid w:val="00D65C10"/>
    <w:rsid w:val="00D71BDF"/>
    <w:rsid w:val="00D71D91"/>
    <w:rsid w:val="00D72425"/>
    <w:rsid w:val="00D7367A"/>
    <w:rsid w:val="00D73A8E"/>
    <w:rsid w:val="00D7583B"/>
    <w:rsid w:val="00D75D18"/>
    <w:rsid w:val="00D76D11"/>
    <w:rsid w:val="00D76DF9"/>
    <w:rsid w:val="00D776A1"/>
    <w:rsid w:val="00D80BDF"/>
    <w:rsid w:val="00D819D7"/>
    <w:rsid w:val="00D81B7B"/>
    <w:rsid w:val="00D83638"/>
    <w:rsid w:val="00D84395"/>
    <w:rsid w:val="00D84B96"/>
    <w:rsid w:val="00D84C93"/>
    <w:rsid w:val="00D85879"/>
    <w:rsid w:val="00D86439"/>
    <w:rsid w:val="00D86480"/>
    <w:rsid w:val="00D9004B"/>
    <w:rsid w:val="00D9248E"/>
    <w:rsid w:val="00D92A99"/>
    <w:rsid w:val="00D93715"/>
    <w:rsid w:val="00D93B34"/>
    <w:rsid w:val="00D94DA3"/>
    <w:rsid w:val="00D94DA9"/>
    <w:rsid w:val="00D95CA6"/>
    <w:rsid w:val="00D962AD"/>
    <w:rsid w:val="00D96C38"/>
    <w:rsid w:val="00D97E74"/>
    <w:rsid w:val="00DA1149"/>
    <w:rsid w:val="00DA17A0"/>
    <w:rsid w:val="00DA2470"/>
    <w:rsid w:val="00DA4377"/>
    <w:rsid w:val="00DA49A8"/>
    <w:rsid w:val="00DA4E65"/>
    <w:rsid w:val="00DA564D"/>
    <w:rsid w:val="00DA5D17"/>
    <w:rsid w:val="00DA63AC"/>
    <w:rsid w:val="00DA7C0E"/>
    <w:rsid w:val="00DB2B43"/>
    <w:rsid w:val="00DB3C37"/>
    <w:rsid w:val="00DB3E9A"/>
    <w:rsid w:val="00DB5150"/>
    <w:rsid w:val="00DB5C46"/>
    <w:rsid w:val="00DB6302"/>
    <w:rsid w:val="00DB718C"/>
    <w:rsid w:val="00DB764F"/>
    <w:rsid w:val="00DC0C32"/>
    <w:rsid w:val="00DC1C19"/>
    <w:rsid w:val="00DC2BC3"/>
    <w:rsid w:val="00DC2BD0"/>
    <w:rsid w:val="00DC3982"/>
    <w:rsid w:val="00DC5780"/>
    <w:rsid w:val="00DC6330"/>
    <w:rsid w:val="00DC66DD"/>
    <w:rsid w:val="00DC704C"/>
    <w:rsid w:val="00DD0659"/>
    <w:rsid w:val="00DD1C3B"/>
    <w:rsid w:val="00DD26C6"/>
    <w:rsid w:val="00DD2802"/>
    <w:rsid w:val="00DD287D"/>
    <w:rsid w:val="00DD333A"/>
    <w:rsid w:val="00DD47F2"/>
    <w:rsid w:val="00DD4DFB"/>
    <w:rsid w:val="00DE3015"/>
    <w:rsid w:val="00DE31FC"/>
    <w:rsid w:val="00DE4CCC"/>
    <w:rsid w:val="00DE60AE"/>
    <w:rsid w:val="00DE6B09"/>
    <w:rsid w:val="00DE71F8"/>
    <w:rsid w:val="00DF0002"/>
    <w:rsid w:val="00DF11B0"/>
    <w:rsid w:val="00DF1D24"/>
    <w:rsid w:val="00DF1F04"/>
    <w:rsid w:val="00DF3222"/>
    <w:rsid w:val="00DF570B"/>
    <w:rsid w:val="00DF57C9"/>
    <w:rsid w:val="00DF6008"/>
    <w:rsid w:val="00DF6657"/>
    <w:rsid w:val="00DF7AA4"/>
    <w:rsid w:val="00E00AC7"/>
    <w:rsid w:val="00E020A6"/>
    <w:rsid w:val="00E04110"/>
    <w:rsid w:val="00E049A0"/>
    <w:rsid w:val="00E056E8"/>
    <w:rsid w:val="00E065C9"/>
    <w:rsid w:val="00E07309"/>
    <w:rsid w:val="00E1114F"/>
    <w:rsid w:val="00E111FE"/>
    <w:rsid w:val="00E15E95"/>
    <w:rsid w:val="00E16418"/>
    <w:rsid w:val="00E164D1"/>
    <w:rsid w:val="00E16756"/>
    <w:rsid w:val="00E20607"/>
    <w:rsid w:val="00E24EE0"/>
    <w:rsid w:val="00E272D4"/>
    <w:rsid w:val="00E27E27"/>
    <w:rsid w:val="00E3095B"/>
    <w:rsid w:val="00E31DF4"/>
    <w:rsid w:val="00E32B29"/>
    <w:rsid w:val="00E32B78"/>
    <w:rsid w:val="00E34046"/>
    <w:rsid w:val="00E34C43"/>
    <w:rsid w:val="00E361F0"/>
    <w:rsid w:val="00E37FD2"/>
    <w:rsid w:val="00E42172"/>
    <w:rsid w:val="00E426E1"/>
    <w:rsid w:val="00E44789"/>
    <w:rsid w:val="00E46C50"/>
    <w:rsid w:val="00E47A8C"/>
    <w:rsid w:val="00E50390"/>
    <w:rsid w:val="00E51062"/>
    <w:rsid w:val="00E51087"/>
    <w:rsid w:val="00E51E0C"/>
    <w:rsid w:val="00E520D0"/>
    <w:rsid w:val="00E52815"/>
    <w:rsid w:val="00E52EF1"/>
    <w:rsid w:val="00E53722"/>
    <w:rsid w:val="00E5403B"/>
    <w:rsid w:val="00E541F3"/>
    <w:rsid w:val="00E54D1A"/>
    <w:rsid w:val="00E54D2B"/>
    <w:rsid w:val="00E563B3"/>
    <w:rsid w:val="00E5743C"/>
    <w:rsid w:val="00E57E04"/>
    <w:rsid w:val="00E57F3C"/>
    <w:rsid w:val="00E60272"/>
    <w:rsid w:val="00E61327"/>
    <w:rsid w:val="00E65EAE"/>
    <w:rsid w:val="00E65FCC"/>
    <w:rsid w:val="00E674B9"/>
    <w:rsid w:val="00E71085"/>
    <w:rsid w:val="00E71A49"/>
    <w:rsid w:val="00E71DBA"/>
    <w:rsid w:val="00E727FE"/>
    <w:rsid w:val="00E732BB"/>
    <w:rsid w:val="00E73B00"/>
    <w:rsid w:val="00E73D09"/>
    <w:rsid w:val="00E747F8"/>
    <w:rsid w:val="00E74CF5"/>
    <w:rsid w:val="00E771BE"/>
    <w:rsid w:val="00E777B7"/>
    <w:rsid w:val="00E805E7"/>
    <w:rsid w:val="00E81C13"/>
    <w:rsid w:val="00E82950"/>
    <w:rsid w:val="00E84628"/>
    <w:rsid w:val="00E862F3"/>
    <w:rsid w:val="00E90002"/>
    <w:rsid w:val="00E926A9"/>
    <w:rsid w:val="00E92B1C"/>
    <w:rsid w:val="00E93A42"/>
    <w:rsid w:val="00EA0D1D"/>
    <w:rsid w:val="00EA104B"/>
    <w:rsid w:val="00EA183D"/>
    <w:rsid w:val="00EA1882"/>
    <w:rsid w:val="00EA3190"/>
    <w:rsid w:val="00EA3204"/>
    <w:rsid w:val="00EA3922"/>
    <w:rsid w:val="00EA3C9E"/>
    <w:rsid w:val="00EA46B8"/>
    <w:rsid w:val="00EA4DB5"/>
    <w:rsid w:val="00EA53AD"/>
    <w:rsid w:val="00EA7836"/>
    <w:rsid w:val="00EA7E85"/>
    <w:rsid w:val="00EB0047"/>
    <w:rsid w:val="00EB013F"/>
    <w:rsid w:val="00EB08A8"/>
    <w:rsid w:val="00EB0F1D"/>
    <w:rsid w:val="00EB0FC7"/>
    <w:rsid w:val="00EB1483"/>
    <w:rsid w:val="00EB1D70"/>
    <w:rsid w:val="00EB1EF7"/>
    <w:rsid w:val="00EB2DC7"/>
    <w:rsid w:val="00EB3ACB"/>
    <w:rsid w:val="00EB3ECA"/>
    <w:rsid w:val="00EB50D0"/>
    <w:rsid w:val="00EB547C"/>
    <w:rsid w:val="00EB5F68"/>
    <w:rsid w:val="00EB658D"/>
    <w:rsid w:val="00EB67FB"/>
    <w:rsid w:val="00EB71F5"/>
    <w:rsid w:val="00EB7ED0"/>
    <w:rsid w:val="00EC033F"/>
    <w:rsid w:val="00EC11D5"/>
    <w:rsid w:val="00EC1248"/>
    <w:rsid w:val="00EC1CAA"/>
    <w:rsid w:val="00EC28FC"/>
    <w:rsid w:val="00EC3445"/>
    <w:rsid w:val="00EC423D"/>
    <w:rsid w:val="00EC5C00"/>
    <w:rsid w:val="00EC64A7"/>
    <w:rsid w:val="00EC6D21"/>
    <w:rsid w:val="00ED2BD5"/>
    <w:rsid w:val="00ED3D78"/>
    <w:rsid w:val="00ED68DC"/>
    <w:rsid w:val="00ED6920"/>
    <w:rsid w:val="00ED69A7"/>
    <w:rsid w:val="00ED7796"/>
    <w:rsid w:val="00ED7D0F"/>
    <w:rsid w:val="00EE104E"/>
    <w:rsid w:val="00EE1E46"/>
    <w:rsid w:val="00EE2143"/>
    <w:rsid w:val="00EE3EA2"/>
    <w:rsid w:val="00EE603F"/>
    <w:rsid w:val="00EE6BFA"/>
    <w:rsid w:val="00EF0524"/>
    <w:rsid w:val="00EF0B24"/>
    <w:rsid w:val="00EF1892"/>
    <w:rsid w:val="00EF2383"/>
    <w:rsid w:val="00EF2E23"/>
    <w:rsid w:val="00EF3116"/>
    <w:rsid w:val="00EF5C96"/>
    <w:rsid w:val="00EF7F37"/>
    <w:rsid w:val="00F01ED9"/>
    <w:rsid w:val="00F022DF"/>
    <w:rsid w:val="00F07428"/>
    <w:rsid w:val="00F0778D"/>
    <w:rsid w:val="00F1189C"/>
    <w:rsid w:val="00F12ECF"/>
    <w:rsid w:val="00F13C8D"/>
    <w:rsid w:val="00F15375"/>
    <w:rsid w:val="00F17154"/>
    <w:rsid w:val="00F200AA"/>
    <w:rsid w:val="00F20B22"/>
    <w:rsid w:val="00F270EB"/>
    <w:rsid w:val="00F27699"/>
    <w:rsid w:val="00F27FCD"/>
    <w:rsid w:val="00F3186E"/>
    <w:rsid w:val="00F32C74"/>
    <w:rsid w:val="00F33029"/>
    <w:rsid w:val="00F3419B"/>
    <w:rsid w:val="00F348E3"/>
    <w:rsid w:val="00F36404"/>
    <w:rsid w:val="00F37A79"/>
    <w:rsid w:val="00F37ECB"/>
    <w:rsid w:val="00F40577"/>
    <w:rsid w:val="00F40B63"/>
    <w:rsid w:val="00F42FB8"/>
    <w:rsid w:val="00F43516"/>
    <w:rsid w:val="00F4453A"/>
    <w:rsid w:val="00F45DA6"/>
    <w:rsid w:val="00F46515"/>
    <w:rsid w:val="00F50B31"/>
    <w:rsid w:val="00F51443"/>
    <w:rsid w:val="00F514B5"/>
    <w:rsid w:val="00F548E5"/>
    <w:rsid w:val="00F55149"/>
    <w:rsid w:val="00F55998"/>
    <w:rsid w:val="00F55A67"/>
    <w:rsid w:val="00F565C6"/>
    <w:rsid w:val="00F56F1F"/>
    <w:rsid w:val="00F57B63"/>
    <w:rsid w:val="00F57B9A"/>
    <w:rsid w:val="00F57FC0"/>
    <w:rsid w:val="00F60F01"/>
    <w:rsid w:val="00F619D0"/>
    <w:rsid w:val="00F6258F"/>
    <w:rsid w:val="00F64BB2"/>
    <w:rsid w:val="00F67848"/>
    <w:rsid w:val="00F72062"/>
    <w:rsid w:val="00F72DEE"/>
    <w:rsid w:val="00F745A8"/>
    <w:rsid w:val="00F74EA3"/>
    <w:rsid w:val="00F75929"/>
    <w:rsid w:val="00F765B6"/>
    <w:rsid w:val="00F76CBB"/>
    <w:rsid w:val="00F806F2"/>
    <w:rsid w:val="00F81D7B"/>
    <w:rsid w:val="00F82740"/>
    <w:rsid w:val="00F855B0"/>
    <w:rsid w:val="00F86411"/>
    <w:rsid w:val="00F87C56"/>
    <w:rsid w:val="00F87E74"/>
    <w:rsid w:val="00F91BD1"/>
    <w:rsid w:val="00F91E0D"/>
    <w:rsid w:val="00F91F0B"/>
    <w:rsid w:val="00F92645"/>
    <w:rsid w:val="00F92D03"/>
    <w:rsid w:val="00F931CD"/>
    <w:rsid w:val="00F94A82"/>
    <w:rsid w:val="00F9743C"/>
    <w:rsid w:val="00F97664"/>
    <w:rsid w:val="00FA0022"/>
    <w:rsid w:val="00FA1057"/>
    <w:rsid w:val="00FA2632"/>
    <w:rsid w:val="00FA5E0B"/>
    <w:rsid w:val="00FA63C9"/>
    <w:rsid w:val="00FA77FD"/>
    <w:rsid w:val="00FA7D81"/>
    <w:rsid w:val="00FB06A7"/>
    <w:rsid w:val="00FB0D08"/>
    <w:rsid w:val="00FB21ED"/>
    <w:rsid w:val="00FB24B9"/>
    <w:rsid w:val="00FB33A6"/>
    <w:rsid w:val="00FB5994"/>
    <w:rsid w:val="00FB7788"/>
    <w:rsid w:val="00FB7F52"/>
    <w:rsid w:val="00FC02D1"/>
    <w:rsid w:val="00FC04EF"/>
    <w:rsid w:val="00FC1495"/>
    <w:rsid w:val="00FC1EFD"/>
    <w:rsid w:val="00FC2233"/>
    <w:rsid w:val="00FC2642"/>
    <w:rsid w:val="00FD264F"/>
    <w:rsid w:val="00FD2B91"/>
    <w:rsid w:val="00FD38F1"/>
    <w:rsid w:val="00FD3C75"/>
    <w:rsid w:val="00FD3E39"/>
    <w:rsid w:val="00FD3FD6"/>
    <w:rsid w:val="00FD522F"/>
    <w:rsid w:val="00FD52CD"/>
    <w:rsid w:val="00FD6782"/>
    <w:rsid w:val="00FD7B2D"/>
    <w:rsid w:val="00FE1A7E"/>
    <w:rsid w:val="00FE3554"/>
    <w:rsid w:val="00FE3BA6"/>
    <w:rsid w:val="00FE59DE"/>
    <w:rsid w:val="00FE7B81"/>
    <w:rsid w:val="00FF09D2"/>
    <w:rsid w:val="00FF25F4"/>
    <w:rsid w:val="00FF594F"/>
    <w:rsid w:val="00FF7472"/>
    <w:rsid w:val="00FF7B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5CC1"/>
  <w15:docId w15:val="{83B50726-EC1B-4EA2-9086-C910FCAA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4"/>
    <w:rPr>
      <w:rFonts w:ascii="Arial" w:hAnsi="Arial" w:cs="Arial"/>
      <w:sz w:val="24"/>
      <w:szCs w:val="24"/>
      <w:u w:val="single"/>
      <w:lang w:val="en-ZA" w:eastAsia="en-GB"/>
    </w:rPr>
  </w:style>
  <w:style w:type="paragraph" w:styleId="Heading1">
    <w:name w:val="heading 1"/>
    <w:basedOn w:val="Normal"/>
    <w:next w:val="Normal"/>
    <w:link w:val="Heading1Char"/>
    <w:qFormat/>
    <w:rsid w:val="000E70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A69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A3"/>
    <w:pPr>
      <w:ind w:left="720"/>
      <w:contextualSpacing/>
    </w:pPr>
  </w:style>
  <w:style w:type="paragraph" w:styleId="BalloonText">
    <w:name w:val="Balloon Text"/>
    <w:basedOn w:val="Normal"/>
    <w:link w:val="BalloonTextChar"/>
    <w:rsid w:val="005B7423"/>
    <w:rPr>
      <w:rFonts w:ascii="Tahoma" w:hAnsi="Tahoma" w:cs="Tahoma"/>
      <w:sz w:val="16"/>
      <w:szCs w:val="16"/>
    </w:rPr>
  </w:style>
  <w:style w:type="character" w:customStyle="1" w:styleId="BalloonTextChar">
    <w:name w:val="Balloon Text Char"/>
    <w:basedOn w:val="DefaultParagraphFont"/>
    <w:link w:val="BalloonText"/>
    <w:rsid w:val="005B7423"/>
    <w:rPr>
      <w:rFonts w:ascii="Tahoma" w:hAnsi="Tahoma" w:cs="Tahoma"/>
      <w:sz w:val="16"/>
      <w:szCs w:val="16"/>
      <w:u w:val="single"/>
      <w:lang w:val="en-GB" w:eastAsia="en-GB"/>
    </w:rPr>
  </w:style>
  <w:style w:type="paragraph" w:styleId="Header">
    <w:name w:val="header"/>
    <w:basedOn w:val="Normal"/>
    <w:link w:val="HeaderChar"/>
    <w:uiPriority w:val="99"/>
    <w:rsid w:val="00BA7B3F"/>
    <w:pPr>
      <w:tabs>
        <w:tab w:val="center" w:pos="4513"/>
        <w:tab w:val="right" w:pos="9026"/>
      </w:tabs>
    </w:pPr>
  </w:style>
  <w:style w:type="character" w:customStyle="1" w:styleId="HeaderChar">
    <w:name w:val="Header Char"/>
    <w:basedOn w:val="DefaultParagraphFont"/>
    <w:link w:val="Header"/>
    <w:uiPriority w:val="99"/>
    <w:rsid w:val="00BA7B3F"/>
    <w:rPr>
      <w:rFonts w:ascii="Arial" w:hAnsi="Arial" w:cs="Arial"/>
      <w:sz w:val="24"/>
      <w:szCs w:val="24"/>
      <w:u w:val="single"/>
      <w:lang w:val="en-GB" w:eastAsia="en-GB"/>
    </w:rPr>
  </w:style>
  <w:style w:type="paragraph" w:styleId="Footer">
    <w:name w:val="footer"/>
    <w:basedOn w:val="Normal"/>
    <w:link w:val="FooterChar"/>
    <w:rsid w:val="00BA7B3F"/>
    <w:pPr>
      <w:tabs>
        <w:tab w:val="center" w:pos="4513"/>
        <w:tab w:val="right" w:pos="9026"/>
      </w:tabs>
    </w:pPr>
  </w:style>
  <w:style w:type="character" w:customStyle="1" w:styleId="FooterChar">
    <w:name w:val="Footer Char"/>
    <w:basedOn w:val="DefaultParagraphFont"/>
    <w:link w:val="Footer"/>
    <w:rsid w:val="00BA7B3F"/>
    <w:rPr>
      <w:rFonts w:ascii="Arial" w:hAnsi="Arial" w:cs="Arial"/>
      <w:sz w:val="24"/>
      <w:szCs w:val="24"/>
      <w:u w:val="single"/>
      <w:lang w:val="en-GB" w:eastAsia="en-GB"/>
    </w:rPr>
  </w:style>
  <w:style w:type="paragraph" w:customStyle="1" w:styleId="lg-annotation">
    <w:name w:val="lg-annotation"/>
    <w:basedOn w:val="Normal"/>
    <w:rsid w:val="00DB6302"/>
    <w:pPr>
      <w:spacing w:before="40"/>
      <w:ind w:left="567" w:right="567"/>
      <w:jc w:val="center"/>
    </w:pPr>
    <w:rPr>
      <w:rFonts w:ascii="Verdana" w:hAnsi="Verdana" w:cs="Times New Roman"/>
      <w:color w:val="000000"/>
      <w:sz w:val="16"/>
      <w:szCs w:val="16"/>
      <w:u w:val="none"/>
      <w:lang w:val="en-US" w:eastAsia="en-US"/>
    </w:rPr>
  </w:style>
  <w:style w:type="paragraph" w:customStyle="1" w:styleId="lg-section">
    <w:name w:val="lg-section"/>
    <w:basedOn w:val="Normal"/>
    <w:rsid w:val="00DB6302"/>
    <w:pPr>
      <w:spacing w:before="300"/>
      <w:ind w:firstLine="403"/>
      <w:jc w:val="both"/>
    </w:pPr>
    <w:rPr>
      <w:rFonts w:ascii="Verdana" w:hAnsi="Verdana" w:cs="Times New Roman"/>
      <w:color w:val="000000"/>
      <w:sz w:val="18"/>
      <w:szCs w:val="18"/>
      <w:u w:val="none"/>
      <w:lang w:val="en-US" w:eastAsia="en-US"/>
    </w:rPr>
  </w:style>
  <w:style w:type="paragraph" w:customStyle="1" w:styleId="ws-link">
    <w:name w:val="ws-link"/>
    <w:basedOn w:val="Normal"/>
    <w:rsid w:val="00DB6302"/>
    <w:pPr>
      <w:jc w:val="center"/>
    </w:pPr>
    <w:rPr>
      <w:rFonts w:ascii="Verdana" w:hAnsi="Verdana" w:cs="Times New Roman"/>
      <w:color w:val="000000"/>
      <w:sz w:val="18"/>
      <w:szCs w:val="18"/>
      <w:u w:val="none"/>
      <w:lang w:val="en-US" w:eastAsia="en-US"/>
    </w:rPr>
  </w:style>
  <w:style w:type="paragraph" w:customStyle="1" w:styleId="lg-para3">
    <w:name w:val="lg-para3"/>
    <w:basedOn w:val="Normal"/>
    <w:rsid w:val="00DB6302"/>
    <w:pPr>
      <w:spacing w:before="120"/>
      <w:ind w:firstLine="601"/>
      <w:jc w:val="both"/>
    </w:pPr>
    <w:rPr>
      <w:rFonts w:ascii="Verdana" w:hAnsi="Verdana" w:cs="Times New Roman"/>
      <w:color w:val="000000"/>
      <w:sz w:val="18"/>
      <w:szCs w:val="18"/>
      <w:u w:val="none"/>
      <w:lang w:val="en-US" w:eastAsia="en-US"/>
    </w:rPr>
  </w:style>
  <w:style w:type="paragraph" w:styleId="FootnoteText">
    <w:name w:val="footnote text"/>
    <w:basedOn w:val="Normal"/>
    <w:link w:val="FootnoteTextChar"/>
    <w:semiHidden/>
    <w:unhideWhenUsed/>
    <w:rsid w:val="00510EDF"/>
    <w:rPr>
      <w:sz w:val="20"/>
      <w:szCs w:val="20"/>
    </w:rPr>
  </w:style>
  <w:style w:type="character" w:customStyle="1" w:styleId="FootnoteTextChar">
    <w:name w:val="Footnote Text Char"/>
    <w:basedOn w:val="DefaultParagraphFont"/>
    <w:link w:val="FootnoteText"/>
    <w:semiHidden/>
    <w:rsid w:val="00510EDF"/>
    <w:rPr>
      <w:rFonts w:ascii="Arial" w:hAnsi="Arial" w:cs="Arial"/>
      <w:u w:val="single"/>
      <w:lang w:val="en-GB" w:eastAsia="en-GB"/>
    </w:rPr>
  </w:style>
  <w:style w:type="character" w:styleId="FootnoteReference">
    <w:name w:val="footnote reference"/>
    <w:basedOn w:val="DefaultParagraphFont"/>
    <w:semiHidden/>
    <w:unhideWhenUsed/>
    <w:rsid w:val="00510EDF"/>
    <w:rPr>
      <w:vertAlign w:val="superscript"/>
    </w:rPr>
  </w:style>
  <w:style w:type="character" w:styleId="Hyperlink">
    <w:name w:val="Hyperlink"/>
    <w:basedOn w:val="DefaultParagraphFont"/>
    <w:unhideWhenUsed/>
    <w:rsid w:val="00CE0FCA"/>
    <w:rPr>
      <w:color w:val="0000FF" w:themeColor="hyperlink"/>
      <w:u w:val="single"/>
    </w:rPr>
  </w:style>
  <w:style w:type="character" w:styleId="CommentReference">
    <w:name w:val="annotation reference"/>
    <w:basedOn w:val="DefaultParagraphFont"/>
    <w:semiHidden/>
    <w:unhideWhenUsed/>
    <w:rsid w:val="00C461F0"/>
    <w:rPr>
      <w:sz w:val="16"/>
      <w:szCs w:val="16"/>
    </w:rPr>
  </w:style>
  <w:style w:type="paragraph" w:styleId="CommentText">
    <w:name w:val="annotation text"/>
    <w:basedOn w:val="Normal"/>
    <w:link w:val="CommentTextChar"/>
    <w:semiHidden/>
    <w:unhideWhenUsed/>
    <w:rsid w:val="00C461F0"/>
    <w:rPr>
      <w:sz w:val="20"/>
      <w:szCs w:val="20"/>
    </w:rPr>
  </w:style>
  <w:style w:type="character" w:customStyle="1" w:styleId="CommentTextChar">
    <w:name w:val="Comment Text Char"/>
    <w:basedOn w:val="DefaultParagraphFont"/>
    <w:link w:val="CommentText"/>
    <w:semiHidden/>
    <w:rsid w:val="00C461F0"/>
    <w:rPr>
      <w:rFonts w:ascii="Arial" w:hAnsi="Arial" w:cs="Arial"/>
      <w:u w:val="single"/>
      <w:lang w:val="en-GB" w:eastAsia="en-GB"/>
    </w:rPr>
  </w:style>
  <w:style w:type="paragraph" w:styleId="CommentSubject">
    <w:name w:val="annotation subject"/>
    <w:basedOn w:val="CommentText"/>
    <w:next w:val="CommentText"/>
    <w:link w:val="CommentSubjectChar"/>
    <w:semiHidden/>
    <w:unhideWhenUsed/>
    <w:rsid w:val="00C461F0"/>
    <w:rPr>
      <w:b/>
      <w:bCs/>
    </w:rPr>
  </w:style>
  <w:style w:type="character" w:customStyle="1" w:styleId="CommentSubjectChar">
    <w:name w:val="Comment Subject Char"/>
    <w:basedOn w:val="CommentTextChar"/>
    <w:link w:val="CommentSubject"/>
    <w:semiHidden/>
    <w:rsid w:val="00C461F0"/>
    <w:rPr>
      <w:rFonts w:ascii="Arial" w:hAnsi="Arial" w:cs="Arial"/>
      <w:b/>
      <w:bCs/>
      <w:u w:val="single"/>
      <w:lang w:val="en-GB" w:eastAsia="en-GB"/>
    </w:rPr>
  </w:style>
  <w:style w:type="character" w:styleId="PlaceholderText">
    <w:name w:val="Placeholder Text"/>
    <w:basedOn w:val="DefaultParagraphFont"/>
    <w:uiPriority w:val="99"/>
    <w:semiHidden/>
    <w:rsid w:val="003C5AAB"/>
    <w:rPr>
      <w:color w:val="808080"/>
    </w:rPr>
  </w:style>
  <w:style w:type="character" w:customStyle="1" w:styleId="Heading2Char">
    <w:name w:val="Heading 2 Char"/>
    <w:basedOn w:val="DefaultParagraphFont"/>
    <w:link w:val="Heading2"/>
    <w:semiHidden/>
    <w:rsid w:val="008A69EC"/>
    <w:rPr>
      <w:rFonts w:asciiTheme="majorHAnsi" w:eastAsiaTheme="majorEastAsia" w:hAnsiTheme="majorHAnsi" w:cstheme="majorBidi"/>
      <w:color w:val="365F91" w:themeColor="accent1" w:themeShade="BF"/>
      <w:sz w:val="26"/>
      <w:szCs w:val="26"/>
      <w:u w:val="single"/>
      <w:lang w:val="en-ZA" w:eastAsia="en-GB"/>
    </w:rPr>
  </w:style>
  <w:style w:type="paragraph" w:customStyle="1" w:styleId="Body">
    <w:name w:val="Body"/>
    <w:rsid w:val="00D83638"/>
    <w:rPr>
      <w:rFonts w:ascii="Helvetica Neue" w:eastAsia="Arial Unicode MS" w:hAnsi="Helvetica Neue" w:cs="Arial Unicode MS"/>
      <w:color w:val="000000"/>
      <w:sz w:val="22"/>
      <w:szCs w:val="22"/>
      <w:lang w:eastAsia="en-ZA"/>
      <w14:textOutline w14:w="0" w14:cap="flat" w14:cmpd="sng" w14:algn="ctr">
        <w14:noFill/>
        <w14:prstDash w14:val="solid"/>
        <w14:bevel/>
      </w14:textOutline>
    </w:rPr>
  </w:style>
  <w:style w:type="table" w:styleId="TableGrid">
    <w:name w:val="Table Grid"/>
    <w:basedOn w:val="TableNormal"/>
    <w:rsid w:val="0053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181D85"/>
    <w:pPr>
      <w:widowControl w:val="0"/>
      <w:autoSpaceDE w:val="0"/>
      <w:autoSpaceDN w:val="0"/>
      <w:adjustRightInd w:val="0"/>
      <w:jc w:val="both"/>
    </w:pPr>
    <w:rPr>
      <w:rFonts w:eastAsiaTheme="minorEastAsia"/>
      <w:sz w:val="24"/>
      <w:szCs w:val="24"/>
      <w:lang w:eastAsia="en-ZA"/>
    </w:rPr>
  </w:style>
  <w:style w:type="paragraph" w:customStyle="1" w:styleId="western">
    <w:name w:val="western"/>
    <w:basedOn w:val="Normal"/>
    <w:rsid w:val="00713AED"/>
    <w:pPr>
      <w:spacing w:before="100" w:beforeAutospacing="1" w:after="100" w:afterAutospacing="1"/>
    </w:pPr>
    <w:rPr>
      <w:rFonts w:ascii="Times New Roman" w:hAnsi="Times New Roman" w:cs="Times New Roman"/>
      <w:u w:val="none"/>
      <w:lang w:eastAsia="en-ZA"/>
    </w:rPr>
  </w:style>
  <w:style w:type="paragraph" w:styleId="NormalWeb">
    <w:name w:val="Normal (Web)"/>
    <w:basedOn w:val="Normal"/>
    <w:uiPriority w:val="99"/>
    <w:semiHidden/>
    <w:unhideWhenUsed/>
    <w:rsid w:val="007121DA"/>
    <w:pPr>
      <w:spacing w:before="100" w:beforeAutospacing="1" w:after="100" w:afterAutospacing="1"/>
    </w:pPr>
    <w:rPr>
      <w:rFonts w:ascii="Times New Roman" w:hAnsi="Times New Roman" w:cs="Times New Roman"/>
      <w:u w:val="none"/>
      <w:lang w:eastAsia="en-ZA"/>
    </w:rPr>
  </w:style>
  <w:style w:type="character" w:styleId="Emphasis">
    <w:name w:val="Emphasis"/>
    <w:basedOn w:val="DefaultParagraphFont"/>
    <w:uiPriority w:val="20"/>
    <w:qFormat/>
    <w:rsid w:val="006675D4"/>
    <w:rPr>
      <w:i/>
      <w:iCs/>
    </w:rPr>
  </w:style>
  <w:style w:type="character" w:customStyle="1" w:styleId="Heading1Char">
    <w:name w:val="Heading 1 Char"/>
    <w:basedOn w:val="DefaultParagraphFont"/>
    <w:link w:val="Heading1"/>
    <w:rsid w:val="000E7058"/>
    <w:rPr>
      <w:rFonts w:asciiTheme="majorHAnsi" w:eastAsiaTheme="majorEastAsia" w:hAnsiTheme="majorHAnsi" w:cstheme="majorBidi"/>
      <w:color w:val="365F91" w:themeColor="accent1" w:themeShade="BF"/>
      <w:sz w:val="32"/>
      <w:szCs w:val="32"/>
      <w:u w:val="single"/>
      <w:lang w:val="en-ZA" w:eastAsia="en-GB"/>
    </w:rPr>
  </w:style>
  <w:style w:type="character" w:customStyle="1" w:styleId="mctextpopup">
    <w:name w:val="mctextpopup"/>
    <w:basedOn w:val="DefaultParagraphFont"/>
    <w:rsid w:val="000E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996">
      <w:bodyDiv w:val="1"/>
      <w:marLeft w:val="0"/>
      <w:marRight w:val="0"/>
      <w:marTop w:val="0"/>
      <w:marBottom w:val="0"/>
      <w:divBdr>
        <w:top w:val="none" w:sz="0" w:space="0" w:color="auto"/>
        <w:left w:val="none" w:sz="0" w:space="0" w:color="auto"/>
        <w:bottom w:val="none" w:sz="0" w:space="0" w:color="auto"/>
        <w:right w:val="none" w:sz="0" w:space="0" w:color="auto"/>
      </w:divBdr>
    </w:div>
    <w:div w:id="200748834">
      <w:bodyDiv w:val="1"/>
      <w:marLeft w:val="0"/>
      <w:marRight w:val="0"/>
      <w:marTop w:val="0"/>
      <w:marBottom w:val="0"/>
      <w:divBdr>
        <w:top w:val="none" w:sz="0" w:space="0" w:color="auto"/>
        <w:left w:val="none" w:sz="0" w:space="0" w:color="auto"/>
        <w:bottom w:val="none" w:sz="0" w:space="0" w:color="auto"/>
        <w:right w:val="none" w:sz="0" w:space="0" w:color="auto"/>
      </w:divBdr>
    </w:div>
    <w:div w:id="211431527">
      <w:bodyDiv w:val="1"/>
      <w:marLeft w:val="0"/>
      <w:marRight w:val="0"/>
      <w:marTop w:val="0"/>
      <w:marBottom w:val="0"/>
      <w:divBdr>
        <w:top w:val="none" w:sz="0" w:space="0" w:color="auto"/>
        <w:left w:val="none" w:sz="0" w:space="0" w:color="auto"/>
        <w:bottom w:val="none" w:sz="0" w:space="0" w:color="auto"/>
        <w:right w:val="none" w:sz="0" w:space="0" w:color="auto"/>
      </w:divBdr>
      <w:divsChild>
        <w:div w:id="97722120">
          <w:marLeft w:val="1134"/>
          <w:marRight w:val="0"/>
          <w:marTop w:val="60"/>
          <w:marBottom w:val="0"/>
          <w:divBdr>
            <w:top w:val="none" w:sz="0" w:space="0" w:color="auto"/>
            <w:left w:val="none" w:sz="0" w:space="0" w:color="auto"/>
            <w:bottom w:val="none" w:sz="0" w:space="0" w:color="auto"/>
            <w:right w:val="none" w:sz="0" w:space="0" w:color="auto"/>
          </w:divBdr>
        </w:div>
        <w:div w:id="213662608">
          <w:marLeft w:val="0"/>
          <w:marRight w:val="0"/>
          <w:marTop w:val="240"/>
          <w:marBottom w:val="0"/>
          <w:divBdr>
            <w:top w:val="none" w:sz="0" w:space="0" w:color="auto"/>
            <w:left w:val="none" w:sz="0" w:space="0" w:color="auto"/>
            <w:bottom w:val="none" w:sz="0" w:space="0" w:color="auto"/>
            <w:right w:val="none" w:sz="0" w:space="0" w:color="auto"/>
          </w:divBdr>
        </w:div>
        <w:div w:id="242490331">
          <w:marLeft w:val="1134"/>
          <w:marRight w:val="0"/>
          <w:marTop w:val="60"/>
          <w:marBottom w:val="0"/>
          <w:divBdr>
            <w:top w:val="none" w:sz="0" w:space="0" w:color="auto"/>
            <w:left w:val="none" w:sz="0" w:space="0" w:color="auto"/>
            <w:bottom w:val="none" w:sz="0" w:space="0" w:color="auto"/>
            <w:right w:val="none" w:sz="0" w:space="0" w:color="auto"/>
          </w:divBdr>
        </w:div>
        <w:div w:id="576938466">
          <w:marLeft w:val="1134"/>
          <w:marRight w:val="0"/>
          <w:marTop w:val="60"/>
          <w:marBottom w:val="0"/>
          <w:divBdr>
            <w:top w:val="none" w:sz="0" w:space="0" w:color="auto"/>
            <w:left w:val="none" w:sz="0" w:space="0" w:color="auto"/>
            <w:bottom w:val="none" w:sz="0" w:space="0" w:color="auto"/>
            <w:right w:val="none" w:sz="0" w:space="0" w:color="auto"/>
          </w:divBdr>
        </w:div>
        <w:div w:id="675230824">
          <w:marLeft w:val="1134"/>
          <w:marRight w:val="0"/>
          <w:marTop w:val="60"/>
          <w:marBottom w:val="0"/>
          <w:divBdr>
            <w:top w:val="none" w:sz="0" w:space="0" w:color="auto"/>
            <w:left w:val="none" w:sz="0" w:space="0" w:color="auto"/>
            <w:bottom w:val="none" w:sz="0" w:space="0" w:color="auto"/>
            <w:right w:val="none" w:sz="0" w:space="0" w:color="auto"/>
          </w:divBdr>
        </w:div>
        <w:div w:id="725107613">
          <w:marLeft w:val="1871"/>
          <w:marRight w:val="0"/>
          <w:marTop w:val="60"/>
          <w:marBottom w:val="0"/>
          <w:divBdr>
            <w:top w:val="none" w:sz="0" w:space="0" w:color="auto"/>
            <w:left w:val="none" w:sz="0" w:space="0" w:color="auto"/>
            <w:bottom w:val="none" w:sz="0" w:space="0" w:color="auto"/>
            <w:right w:val="none" w:sz="0" w:space="0" w:color="auto"/>
          </w:divBdr>
        </w:div>
        <w:div w:id="732430781">
          <w:marLeft w:val="0"/>
          <w:marRight w:val="0"/>
          <w:marTop w:val="60"/>
          <w:marBottom w:val="0"/>
          <w:divBdr>
            <w:top w:val="none" w:sz="0" w:space="0" w:color="auto"/>
            <w:left w:val="none" w:sz="0" w:space="0" w:color="auto"/>
            <w:bottom w:val="none" w:sz="0" w:space="0" w:color="auto"/>
            <w:right w:val="none" w:sz="0" w:space="0" w:color="auto"/>
          </w:divBdr>
        </w:div>
        <w:div w:id="859439819">
          <w:marLeft w:val="1134"/>
          <w:marRight w:val="0"/>
          <w:marTop w:val="60"/>
          <w:marBottom w:val="0"/>
          <w:divBdr>
            <w:top w:val="none" w:sz="0" w:space="0" w:color="auto"/>
            <w:left w:val="none" w:sz="0" w:space="0" w:color="auto"/>
            <w:bottom w:val="none" w:sz="0" w:space="0" w:color="auto"/>
            <w:right w:val="none" w:sz="0" w:space="0" w:color="auto"/>
          </w:divBdr>
        </w:div>
        <w:div w:id="909584536">
          <w:marLeft w:val="1134"/>
          <w:marRight w:val="0"/>
          <w:marTop w:val="60"/>
          <w:marBottom w:val="0"/>
          <w:divBdr>
            <w:top w:val="none" w:sz="0" w:space="0" w:color="auto"/>
            <w:left w:val="none" w:sz="0" w:space="0" w:color="auto"/>
            <w:bottom w:val="none" w:sz="0" w:space="0" w:color="auto"/>
            <w:right w:val="none" w:sz="0" w:space="0" w:color="auto"/>
          </w:divBdr>
        </w:div>
        <w:div w:id="921795121">
          <w:marLeft w:val="1871"/>
          <w:marRight w:val="0"/>
          <w:marTop w:val="60"/>
          <w:marBottom w:val="0"/>
          <w:divBdr>
            <w:top w:val="none" w:sz="0" w:space="0" w:color="auto"/>
            <w:left w:val="none" w:sz="0" w:space="0" w:color="auto"/>
            <w:bottom w:val="none" w:sz="0" w:space="0" w:color="auto"/>
            <w:right w:val="none" w:sz="0" w:space="0" w:color="auto"/>
          </w:divBdr>
        </w:div>
        <w:div w:id="934748404">
          <w:marLeft w:val="1871"/>
          <w:marRight w:val="0"/>
          <w:marTop w:val="60"/>
          <w:marBottom w:val="0"/>
          <w:divBdr>
            <w:top w:val="none" w:sz="0" w:space="0" w:color="auto"/>
            <w:left w:val="none" w:sz="0" w:space="0" w:color="auto"/>
            <w:bottom w:val="none" w:sz="0" w:space="0" w:color="auto"/>
            <w:right w:val="none" w:sz="0" w:space="0" w:color="auto"/>
          </w:divBdr>
        </w:div>
        <w:div w:id="982852955">
          <w:marLeft w:val="1871"/>
          <w:marRight w:val="0"/>
          <w:marTop w:val="60"/>
          <w:marBottom w:val="0"/>
          <w:divBdr>
            <w:top w:val="none" w:sz="0" w:space="0" w:color="auto"/>
            <w:left w:val="none" w:sz="0" w:space="0" w:color="auto"/>
            <w:bottom w:val="none" w:sz="0" w:space="0" w:color="auto"/>
            <w:right w:val="none" w:sz="0" w:space="0" w:color="auto"/>
          </w:divBdr>
        </w:div>
        <w:div w:id="1039085117">
          <w:marLeft w:val="1134"/>
          <w:marRight w:val="0"/>
          <w:marTop w:val="60"/>
          <w:marBottom w:val="0"/>
          <w:divBdr>
            <w:top w:val="none" w:sz="0" w:space="0" w:color="auto"/>
            <w:left w:val="none" w:sz="0" w:space="0" w:color="auto"/>
            <w:bottom w:val="none" w:sz="0" w:space="0" w:color="auto"/>
            <w:right w:val="none" w:sz="0" w:space="0" w:color="auto"/>
          </w:divBdr>
        </w:div>
        <w:div w:id="1075204941">
          <w:marLeft w:val="1871"/>
          <w:marRight w:val="0"/>
          <w:marTop w:val="60"/>
          <w:marBottom w:val="0"/>
          <w:divBdr>
            <w:top w:val="none" w:sz="0" w:space="0" w:color="auto"/>
            <w:left w:val="none" w:sz="0" w:space="0" w:color="auto"/>
            <w:bottom w:val="none" w:sz="0" w:space="0" w:color="auto"/>
            <w:right w:val="none" w:sz="0" w:space="0" w:color="auto"/>
          </w:divBdr>
        </w:div>
        <w:div w:id="1093934129">
          <w:marLeft w:val="1871"/>
          <w:marRight w:val="0"/>
          <w:marTop w:val="60"/>
          <w:marBottom w:val="0"/>
          <w:divBdr>
            <w:top w:val="none" w:sz="0" w:space="0" w:color="auto"/>
            <w:left w:val="none" w:sz="0" w:space="0" w:color="auto"/>
            <w:bottom w:val="none" w:sz="0" w:space="0" w:color="auto"/>
            <w:right w:val="none" w:sz="0" w:space="0" w:color="auto"/>
          </w:divBdr>
        </w:div>
        <w:div w:id="1440180643">
          <w:marLeft w:val="1871"/>
          <w:marRight w:val="0"/>
          <w:marTop w:val="60"/>
          <w:marBottom w:val="0"/>
          <w:divBdr>
            <w:top w:val="none" w:sz="0" w:space="0" w:color="auto"/>
            <w:left w:val="none" w:sz="0" w:space="0" w:color="auto"/>
            <w:bottom w:val="none" w:sz="0" w:space="0" w:color="auto"/>
            <w:right w:val="none" w:sz="0" w:space="0" w:color="auto"/>
          </w:divBdr>
        </w:div>
        <w:div w:id="1610163983">
          <w:marLeft w:val="1134"/>
          <w:marRight w:val="0"/>
          <w:marTop w:val="60"/>
          <w:marBottom w:val="0"/>
          <w:divBdr>
            <w:top w:val="none" w:sz="0" w:space="0" w:color="auto"/>
            <w:left w:val="none" w:sz="0" w:space="0" w:color="auto"/>
            <w:bottom w:val="none" w:sz="0" w:space="0" w:color="auto"/>
            <w:right w:val="none" w:sz="0" w:space="0" w:color="auto"/>
          </w:divBdr>
        </w:div>
        <w:div w:id="1769542722">
          <w:marLeft w:val="1134"/>
          <w:marRight w:val="0"/>
          <w:marTop w:val="60"/>
          <w:marBottom w:val="0"/>
          <w:divBdr>
            <w:top w:val="none" w:sz="0" w:space="0" w:color="auto"/>
            <w:left w:val="none" w:sz="0" w:space="0" w:color="auto"/>
            <w:bottom w:val="none" w:sz="0" w:space="0" w:color="auto"/>
            <w:right w:val="none" w:sz="0" w:space="0" w:color="auto"/>
          </w:divBdr>
        </w:div>
        <w:div w:id="1830707592">
          <w:marLeft w:val="1871"/>
          <w:marRight w:val="0"/>
          <w:marTop w:val="60"/>
          <w:marBottom w:val="0"/>
          <w:divBdr>
            <w:top w:val="none" w:sz="0" w:space="0" w:color="auto"/>
            <w:left w:val="none" w:sz="0" w:space="0" w:color="auto"/>
            <w:bottom w:val="none" w:sz="0" w:space="0" w:color="auto"/>
            <w:right w:val="none" w:sz="0" w:space="0" w:color="auto"/>
          </w:divBdr>
        </w:div>
        <w:div w:id="1889680259">
          <w:marLeft w:val="1871"/>
          <w:marRight w:val="0"/>
          <w:marTop w:val="60"/>
          <w:marBottom w:val="0"/>
          <w:divBdr>
            <w:top w:val="none" w:sz="0" w:space="0" w:color="auto"/>
            <w:left w:val="none" w:sz="0" w:space="0" w:color="auto"/>
            <w:bottom w:val="none" w:sz="0" w:space="0" w:color="auto"/>
            <w:right w:val="none" w:sz="0" w:space="0" w:color="auto"/>
          </w:divBdr>
        </w:div>
        <w:div w:id="2011904488">
          <w:marLeft w:val="1134"/>
          <w:marRight w:val="0"/>
          <w:marTop w:val="60"/>
          <w:marBottom w:val="0"/>
          <w:divBdr>
            <w:top w:val="none" w:sz="0" w:space="0" w:color="auto"/>
            <w:left w:val="none" w:sz="0" w:space="0" w:color="auto"/>
            <w:bottom w:val="none" w:sz="0" w:space="0" w:color="auto"/>
            <w:right w:val="none" w:sz="0" w:space="0" w:color="auto"/>
          </w:divBdr>
        </w:div>
      </w:divsChild>
    </w:div>
    <w:div w:id="479880961">
      <w:bodyDiv w:val="1"/>
      <w:marLeft w:val="0"/>
      <w:marRight w:val="0"/>
      <w:marTop w:val="0"/>
      <w:marBottom w:val="0"/>
      <w:divBdr>
        <w:top w:val="none" w:sz="0" w:space="0" w:color="auto"/>
        <w:left w:val="none" w:sz="0" w:space="0" w:color="auto"/>
        <w:bottom w:val="none" w:sz="0" w:space="0" w:color="auto"/>
        <w:right w:val="none" w:sz="0" w:space="0" w:color="auto"/>
      </w:divBdr>
    </w:div>
    <w:div w:id="482352138">
      <w:bodyDiv w:val="1"/>
      <w:marLeft w:val="0"/>
      <w:marRight w:val="0"/>
      <w:marTop w:val="0"/>
      <w:marBottom w:val="0"/>
      <w:divBdr>
        <w:top w:val="none" w:sz="0" w:space="0" w:color="auto"/>
        <w:left w:val="none" w:sz="0" w:space="0" w:color="auto"/>
        <w:bottom w:val="none" w:sz="0" w:space="0" w:color="auto"/>
        <w:right w:val="none" w:sz="0" w:space="0" w:color="auto"/>
      </w:divBdr>
    </w:div>
    <w:div w:id="865100133">
      <w:bodyDiv w:val="1"/>
      <w:marLeft w:val="0"/>
      <w:marRight w:val="0"/>
      <w:marTop w:val="0"/>
      <w:marBottom w:val="0"/>
      <w:divBdr>
        <w:top w:val="none" w:sz="0" w:space="0" w:color="auto"/>
        <w:left w:val="none" w:sz="0" w:space="0" w:color="auto"/>
        <w:bottom w:val="none" w:sz="0" w:space="0" w:color="auto"/>
        <w:right w:val="none" w:sz="0" w:space="0" w:color="auto"/>
      </w:divBdr>
    </w:div>
    <w:div w:id="1297373963">
      <w:bodyDiv w:val="1"/>
      <w:marLeft w:val="0"/>
      <w:marRight w:val="0"/>
      <w:marTop w:val="0"/>
      <w:marBottom w:val="0"/>
      <w:divBdr>
        <w:top w:val="none" w:sz="0" w:space="0" w:color="auto"/>
        <w:left w:val="none" w:sz="0" w:space="0" w:color="auto"/>
        <w:bottom w:val="none" w:sz="0" w:space="0" w:color="auto"/>
        <w:right w:val="none" w:sz="0" w:space="0" w:color="auto"/>
      </w:divBdr>
      <w:divsChild>
        <w:div w:id="581643713">
          <w:marLeft w:val="0"/>
          <w:marRight w:val="0"/>
          <w:marTop w:val="120"/>
          <w:marBottom w:val="0"/>
          <w:divBdr>
            <w:top w:val="none" w:sz="0" w:space="0" w:color="auto"/>
            <w:left w:val="none" w:sz="0" w:space="0" w:color="auto"/>
            <w:bottom w:val="none" w:sz="0" w:space="0" w:color="auto"/>
            <w:right w:val="none" w:sz="0" w:space="0" w:color="auto"/>
          </w:divBdr>
        </w:div>
        <w:div w:id="1712146496">
          <w:marLeft w:val="567"/>
          <w:marRight w:val="0"/>
          <w:marTop w:val="120"/>
          <w:marBottom w:val="0"/>
          <w:divBdr>
            <w:top w:val="none" w:sz="0" w:space="0" w:color="auto"/>
            <w:left w:val="none" w:sz="0" w:space="0" w:color="auto"/>
            <w:bottom w:val="none" w:sz="0" w:space="0" w:color="auto"/>
            <w:right w:val="none" w:sz="0" w:space="0" w:color="auto"/>
          </w:divBdr>
        </w:div>
      </w:divsChild>
    </w:div>
    <w:div w:id="1362898981">
      <w:bodyDiv w:val="1"/>
      <w:marLeft w:val="0"/>
      <w:marRight w:val="0"/>
      <w:marTop w:val="0"/>
      <w:marBottom w:val="0"/>
      <w:divBdr>
        <w:top w:val="none" w:sz="0" w:space="0" w:color="auto"/>
        <w:left w:val="none" w:sz="0" w:space="0" w:color="auto"/>
        <w:bottom w:val="none" w:sz="0" w:space="0" w:color="auto"/>
        <w:right w:val="none" w:sz="0" w:space="0" w:color="auto"/>
      </w:divBdr>
      <w:divsChild>
        <w:div w:id="170178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538898">
      <w:bodyDiv w:val="1"/>
      <w:marLeft w:val="0"/>
      <w:marRight w:val="0"/>
      <w:marTop w:val="0"/>
      <w:marBottom w:val="0"/>
      <w:divBdr>
        <w:top w:val="none" w:sz="0" w:space="0" w:color="auto"/>
        <w:left w:val="none" w:sz="0" w:space="0" w:color="auto"/>
        <w:bottom w:val="none" w:sz="0" w:space="0" w:color="auto"/>
        <w:right w:val="none" w:sz="0" w:space="0" w:color="auto"/>
      </w:divBdr>
    </w:div>
    <w:div w:id="1567497020">
      <w:bodyDiv w:val="1"/>
      <w:marLeft w:val="0"/>
      <w:marRight w:val="0"/>
      <w:marTop w:val="0"/>
      <w:marBottom w:val="0"/>
      <w:divBdr>
        <w:top w:val="none" w:sz="0" w:space="0" w:color="auto"/>
        <w:left w:val="none" w:sz="0" w:space="0" w:color="auto"/>
        <w:bottom w:val="none" w:sz="0" w:space="0" w:color="auto"/>
        <w:right w:val="none" w:sz="0" w:space="0" w:color="auto"/>
      </w:divBdr>
    </w:div>
    <w:div w:id="2004628463">
      <w:bodyDiv w:val="1"/>
      <w:marLeft w:val="0"/>
      <w:marRight w:val="0"/>
      <w:marTop w:val="0"/>
      <w:marBottom w:val="0"/>
      <w:divBdr>
        <w:top w:val="none" w:sz="0" w:space="0" w:color="auto"/>
        <w:left w:val="none" w:sz="0" w:space="0" w:color="auto"/>
        <w:bottom w:val="none" w:sz="0" w:space="0" w:color="auto"/>
        <w:right w:val="none" w:sz="0" w:space="0" w:color="auto"/>
      </w:divBdr>
    </w:div>
    <w:div w:id="2020547003">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 w:id="2067798842">
      <w:bodyDiv w:val="1"/>
      <w:marLeft w:val="0"/>
      <w:marRight w:val="0"/>
      <w:marTop w:val="0"/>
      <w:marBottom w:val="0"/>
      <w:divBdr>
        <w:top w:val="none" w:sz="0" w:space="0" w:color="auto"/>
        <w:left w:val="none" w:sz="0" w:space="0" w:color="auto"/>
        <w:bottom w:val="none" w:sz="0" w:space="0" w:color="auto"/>
        <w:right w:val="none" w:sz="0" w:space="0" w:color="auto"/>
      </w:divBdr>
      <w:divsChild>
        <w:div w:id="196241209">
          <w:marLeft w:val="0"/>
          <w:marRight w:val="0"/>
          <w:marTop w:val="240"/>
          <w:marBottom w:val="24"/>
          <w:divBdr>
            <w:top w:val="single" w:sz="8" w:space="2" w:color="808080"/>
            <w:left w:val="none" w:sz="0" w:space="0" w:color="auto"/>
            <w:bottom w:val="none" w:sz="0" w:space="0" w:color="auto"/>
            <w:right w:val="none" w:sz="0" w:space="0" w:color="auto"/>
          </w:divBdr>
        </w:div>
        <w:div w:id="568468864">
          <w:marLeft w:val="0"/>
          <w:marRight w:val="0"/>
          <w:marTop w:val="120"/>
          <w:marBottom w:val="0"/>
          <w:divBdr>
            <w:top w:val="none" w:sz="0" w:space="0" w:color="auto"/>
            <w:left w:val="none" w:sz="0" w:space="0" w:color="auto"/>
            <w:bottom w:val="none" w:sz="0" w:space="0" w:color="auto"/>
            <w:right w:val="none" w:sz="0" w:space="0" w:color="auto"/>
          </w:divBdr>
        </w:div>
        <w:div w:id="812211843">
          <w:marLeft w:val="1293"/>
          <w:marRight w:val="0"/>
          <w:marTop w:val="120"/>
          <w:marBottom w:val="0"/>
          <w:divBdr>
            <w:top w:val="none" w:sz="0" w:space="0" w:color="auto"/>
            <w:left w:val="none" w:sz="0" w:space="0" w:color="auto"/>
            <w:bottom w:val="none" w:sz="0" w:space="0" w:color="auto"/>
            <w:right w:val="none" w:sz="0" w:space="0" w:color="auto"/>
          </w:divBdr>
        </w:div>
        <w:div w:id="962462475">
          <w:marLeft w:val="0"/>
          <w:marRight w:val="0"/>
          <w:marTop w:val="120"/>
          <w:marBottom w:val="0"/>
          <w:divBdr>
            <w:top w:val="none" w:sz="0" w:space="0" w:color="auto"/>
            <w:left w:val="none" w:sz="0" w:space="0" w:color="auto"/>
            <w:bottom w:val="none" w:sz="0" w:space="0" w:color="auto"/>
            <w:right w:val="none" w:sz="0" w:space="0" w:color="auto"/>
          </w:divBdr>
        </w:div>
        <w:div w:id="1021393421">
          <w:marLeft w:val="1293"/>
          <w:marRight w:val="0"/>
          <w:marTop w:val="120"/>
          <w:marBottom w:val="0"/>
          <w:divBdr>
            <w:top w:val="none" w:sz="0" w:space="0" w:color="auto"/>
            <w:left w:val="none" w:sz="0" w:space="0" w:color="auto"/>
            <w:bottom w:val="none" w:sz="0" w:space="0" w:color="auto"/>
            <w:right w:val="none" w:sz="0" w:space="0" w:color="auto"/>
          </w:divBdr>
        </w:div>
        <w:div w:id="1140853172">
          <w:marLeft w:val="0"/>
          <w:marRight w:val="0"/>
          <w:marTop w:val="120"/>
          <w:marBottom w:val="0"/>
          <w:divBdr>
            <w:top w:val="none" w:sz="0" w:space="0" w:color="auto"/>
            <w:left w:val="none" w:sz="0" w:space="0" w:color="auto"/>
            <w:bottom w:val="none" w:sz="0" w:space="0" w:color="auto"/>
            <w:right w:val="none" w:sz="0" w:space="0" w:color="auto"/>
          </w:divBdr>
        </w:div>
        <w:div w:id="1348211760">
          <w:marLeft w:val="0"/>
          <w:marRight w:val="0"/>
          <w:marTop w:val="120"/>
          <w:marBottom w:val="0"/>
          <w:divBdr>
            <w:top w:val="none" w:sz="0" w:space="0" w:color="auto"/>
            <w:left w:val="none" w:sz="0" w:space="0" w:color="auto"/>
            <w:bottom w:val="none" w:sz="0" w:space="0" w:color="auto"/>
            <w:right w:val="none" w:sz="0" w:space="0" w:color="auto"/>
          </w:divBdr>
        </w:div>
        <w:div w:id="2089108645">
          <w:marLeft w:val="1293"/>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hyperlink" Target="http://www.saflii.org/cgi-bin/LawCite?cit=%5b1943%5d%202%20ALL%20ER%203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za/cgi-bin/LawCite?cit=2002%20%284%29%20SA%20588" TargetMode="External"/><Relationship Id="rId1" Type="http://schemas.openxmlformats.org/officeDocument/2006/relationships/hyperlink" Target="http://www.saflii.org.za/cgi-bin/LawCite?cit=1999%20%283%29%20SA%20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545DB48-C992-46E8-B7AA-D8987B5F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subject/>
  <dc:creator>tmaponya</dc:creator>
  <cp:keywords/>
  <dc:description/>
  <cp:lastModifiedBy>Mary Bruce</cp:lastModifiedBy>
  <cp:revision>8</cp:revision>
  <cp:lastPrinted>2022-09-27T15:26:00Z</cp:lastPrinted>
  <dcterms:created xsi:type="dcterms:W3CDTF">2022-10-17T09:19:00Z</dcterms:created>
  <dcterms:modified xsi:type="dcterms:W3CDTF">2022-11-09T10:41:00Z</dcterms:modified>
</cp:coreProperties>
</file>