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A1AAB" w14:textId="77777777" w:rsidR="00AE3EF2" w:rsidRPr="00116EAD" w:rsidRDefault="00AE3EF2" w:rsidP="00116EAD">
      <w:pPr>
        <w:spacing w:before="10" w:line="360" w:lineRule="auto"/>
        <w:rPr>
          <w:rFonts w:ascii="Arial" w:hAnsi="Arial" w:cs="Arial"/>
          <w:sz w:val="24"/>
          <w:szCs w:val="24"/>
        </w:rPr>
      </w:pPr>
      <w:bookmarkStart w:id="0" w:name="_GoBack"/>
      <w:bookmarkEnd w:id="0"/>
    </w:p>
    <w:p w14:paraId="30B6875D" w14:textId="77777777" w:rsidR="008249B8" w:rsidRPr="008249B8" w:rsidRDefault="008249B8" w:rsidP="008249B8">
      <w:pPr>
        <w:widowControl w:val="0"/>
        <w:autoSpaceDE w:val="0"/>
        <w:autoSpaceDN w:val="0"/>
        <w:spacing w:before="11" w:line="360" w:lineRule="auto"/>
        <w:jc w:val="center"/>
        <w:rPr>
          <w:rFonts w:ascii="Arial" w:eastAsia="Arial" w:hAnsi="Arial" w:cs="Arial"/>
          <w:sz w:val="24"/>
          <w:szCs w:val="24"/>
        </w:rPr>
      </w:pPr>
      <w:r w:rsidRPr="008249B8">
        <w:rPr>
          <w:rFonts w:ascii="Arial" w:eastAsia="Calibri" w:hAnsi="Arial" w:cs="Arial"/>
          <w:noProof/>
          <w:color w:val="1F497D"/>
          <w:sz w:val="24"/>
          <w:szCs w:val="24"/>
          <w:lang w:val="en-ZA" w:eastAsia="en-ZA"/>
        </w:rPr>
        <w:drawing>
          <wp:inline distT="0" distB="0" distL="0" distR="0" wp14:anchorId="10B95549" wp14:editId="310988F8">
            <wp:extent cx="14859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a:ln>
                      <a:noFill/>
                    </a:ln>
                  </pic:spPr>
                </pic:pic>
              </a:graphicData>
            </a:graphic>
          </wp:inline>
        </w:drawing>
      </w:r>
    </w:p>
    <w:p w14:paraId="1EB5C384" w14:textId="77777777" w:rsidR="005D4876" w:rsidRDefault="008249B8" w:rsidP="005D4876">
      <w:pPr>
        <w:widowControl w:val="0"/>
        <w:autoSpaceDE w:val="0"/>
        <w:autoSpaceDN w:val="0"/>
        <w:spacing w:before="92" w:line="360" w:lineRule="auto"/>
        <w:ind w:right="61"/>
        <w:jc w:val="center"/>
        <w:outlineLvl w:val="1"/>
        <w:rPr>
          <w:rFonts w:ascii="Arial" w:eastAsia="Arial" w:hAnsi="Arial" w:cs="Arial"/>
          <w:b/>
          <w:bCs/>
          <w:sz w:val="24"/>
          <w:szCs w:val="24"/>
        </w:rPr>
      </w:pPr>
      <w:bookmarkStart w:id="1" w:name="06:_Heads_of_Argument,_Practice_Note_&amp;_L"/>
      <w:bookmarkStart w:id="2" w:name="3:_PHETO_-_MBSA_SECOND_RESPONDENT'S_HEAD"/>
      <w:bookmarkEnd w:id="1"/>
      <w:bookmarkEnd w:id="2"/>
      <w:r w:rsidRPr="008249B8">
        <w:rPr>
          <w:rFonts w:ascii="Arial" w:eastAsia="Arial" w:hAnsi="Arial" w:cs="Arial"/>
          <w:b/>
          <w:bCs/>
          <w:sz w:val="24"/>
          <w:szCs w:val="24"/>
        </w:rPr>
        <w:t>IN THE HIGH COURT OF SOUTH AFRICA</w:t>
      </w:r>
    </w:p>
    <w:p w14:paraId="6573B980" w14:textId="73C92BA8" w:rsidR="008249B8" w:rsidRPr="008249B8" w:rsidRDefault="008249B8" w:rsidP="005D4876">
      <w:pPr>
        <w:widowControl w:val="0"/>
        <w:autoSpaceDE w:val="0"/>
        <w:autoSpaceDN w:val="0"/>
        <w:spacing w:before="92" w:line="360" w:lineRule="auto"/>
        <w:ind w:right="61"/>
        <w:jc w:val="center"/>
        <w:outlineLvl w:val="1"/>
        <w:rPr>
          <w:rFonts w:ascii="Arial" w:eastAsia="Arial" w:hAnsi="Arial" w:cs="Arial"/>
          <w:b/>
          <w:bCs/>
          <w:sz w:val="24"/>
          <w:szCs w:val="24"/>
        </w:rPr>
      </w:pPr>
      <w:r w:rsidRPr="008249B8">
        <w:rPr>
          <w:rFonts w:ascii="Arial" w:eastAsia="Arial" w:hAnsi="Arial" w:cs="Arial"/>
          <w:b/>
          <w:bCs/>
          <w:sz w:val="24"/>
          <w:szCs w:val="24"/>
        </w:rPr>
        <w:t>GAUTENG</w:t>
      </w:r>
      <w:r w:rsidRPr="008249B8">
        <w:rPr>
          <w:rFonts w:ascii="Arial" w:eastAsia="Arial" w:hAnsi="Arial" w:cs="Arial"/>
          <w:b/>
          <w:bCs/>
          <w:spacing w:val="-1"/>
          <w:sz w:val="24"/>
          <w:szCs w:val="24"/>
        </w:rPr>
        <w:t xml:space="preserve"> </w:t>
      </w:r>
      <w:r w:rsidRPr="008249B8">
        <w:rPr>
          <w:rFonts w:ascii="Arial" w:eastAsia="Arial" w:hAnsi="Arial" w:cs="Arial"/>
          <w:b/>
          <w:bCs/>
          <w:sz w:val="24"/>
          <w:szCs w:val="24"/>
        </w:rPr>
        <w:t>DIVISION,</w:t>
      </w:r>
      <w:r w:rsidRPr="008249B8">
        <w:rPr>
          <w:rFonts w:ascii="Arial" w:eastAsia="Arial" w:hAnsi="Arial" w:cs="Arial"/>
          <w:b/>
          <w:bCs/>
          <w:spacing w:val="-3"/>
          <w:sz w:val="24"/>
          <w:szCs w:val="24"/>
        </w:rPr>
        <w:t xml:space="preserve"> </w:t>
      </w:r>
      <w:r w:rsidRPr="008249B8">
        <w:rPr>
          <w:rFonts w:ascii="Arial" w:eastAsia="Arial" w:hAnsi="Arial" w:cs="Arial"/>
          <w:b/>
          <w:bCs/>
          <w:sz w:val="24"/>
          <w:szCs w:val="24"/>
        </w:rPr>
        <w:t>PRETORIA</w:t>
      </w:r>
    </w:p>
    <w:p w14:paraId="23A03E9D" w14:textId="77777777" w:rsidR="008249B8" w:rsidRPr="008249B8" w:rsidRDefault="008249B8" w:rsidP="008249B8">
      <w:pPr>
        <w:widowControl w:val="0"/>
        <w:autoSpaceDE w:val="0"/>
        <w:autoSpaceDN w:val="0"/>
        <w:spacing w:line="360" w:lineRule="auto"/>
        <w:ind w:right="559"/>
        <w:jc w:val="right"/>
        <w:rPr>
          <w:rFonts w:ascii="Arial" w:eastAsia="Arial" w:hAnsi="Arial" w:cs="Arial"/>
          <w:b/>
          <w:sz w:val="24"/>
          <w:szCs w:val="24"/>
        </w:rPr>
      </w:pPr>
    </w:p>
    <w:p w14:paraId="558EE214" w14:textId="6F16292A" w:rsidR="008249B8" w:rsidRPr="008249B8" w:rsidRDefault="008249B8" w:rsidP="008249B8">
      <w:pPr>
        <w:widowControl w:val="0"/>
        <w:autoSpaceDE w:val="0"/>
        <w:autoSpaceDN w:val="0"/>
        <w:spacing w:line="360" w:lineRule="auto"/>
        <w:ind w:right="559"/>
        <w:jc w:val="right"/>
        <w:rPr>
          <w:rFonts w:ascii="Arial" w:eastAsia="Arial" w:hAnsi="Arial" w:cs="Arial"/>
          <w:b/>
          <w:sz w:val="24"/>
          <w:szCs w:val="24"/>
        </w:rPr>
      </w:pPr>
      <w:r w:rsidRPr="008249B8">
        <w:rPr>
          <w:rFonts w:ascii="Arial" w:eastAsia="Arial" w:hAnsi="Arial" w:cs="Arial"/>
          <w:b/>
          <w:sz w:val="24"/>
          <w:szCs w:val="24"/>
        </w:rPr>
        <w:t>Case</w:t>
      </w:r>
      <w:r w:rsidRPr="008249B8">
        <w:rPr>
          <w:rFonts w:ascii="Arial" w:eastAsia="Arial" w:hAnsi="Arial" w:cs="Arial"/>
          <w:b/>
          <w:spacing w:val="2"/>
          <w:sz w:val="24"/>
          <w:szCs w:val="24"/>
        </w:rPr>
        <w:t xml:space="preserve"> </w:t>
      </w:r>
      <w:r w:rsidRPr="008249B8">
        <w:rPr>
          <w:rFonts w:ascii="Arial" w:eastAsia="Arial" w:hAnsi="Arial" w:cs="Arial"/>
          <w:b/>
          <w:sz w:val="24"/>
          <w:szCs w:val="24"/>
        </w:rPr>
        <w:t>Number:</w:t>
      </w:r>
      <w:r w:rsidRPr="008249B8">
        <w:rPr>
          <w:rFonts w:ascii="Arial" w:eastAsia="Arial" w:hAnsi="Arial" w:cs="Arial"/>
          <w:b/>
          <w:spacing w:val="-6"/>
          <w:sz w:val="24"/>
          <w:szCs w:val="24"/>
        </w:rPr>
        <w:t xml:space="preserve"> </w:t>
      </w:r>
      <w:r w:rsidR="00DB106A">
        <w:rPr>
          <w:rFonts w:ascii="Arial" w:eastAsia="Arial" w:hAnsi="Arial" w:cs="Arial"/>
          <w:b/>
          <w:sz w:val="24"/>
          <w:szCs w:val="24"/>
        </w:rPr>
        <w:t>19260/2021</w:t>
      </w:r>
    </w:p>
    <w:p w14:paraId="6583F952" w14:textId="77777777" w:rsidR="008249B8" w:rsidRPr="008249B8" w:rsidRDefault="008249B8" w:rsidP="008249B8">
      <w:pPr>
        <w:widowControl w:val="0"/>
        <w:autoSpaceDE w:val="0"/>
        <w:autoSpaceDN w:val="0"/>
        <w:spacing w:line="360" w:lineRule="auto"/>
        <w:rPr>
          <w:rFonts w:ascii="Arial" w:eastAsia="Arial" w:hAnsi="Arial" w:cs="Arial"/>
          <w:b/>
          <w:sz w:val="24"/>
          <w:szCs w:val="24"/>
        </w:rPr>
      </w:pPr>
      <w:r w:rsidRPr="008249B8">
        <w:rPr>
          <w:rFonts w:ascii="Arial" w:eastAsia="Calibri" w:hAnsi="Arial" w:cs="Arial"/>
          <w:noProof/>
          <w:sz w:val="24"/>
          <w:szCs w:val="24"/>
          <w:lang w:val="en-ZA" w:eastAsia="en-ZA"/>
        </w:rPr>
        <mc:AlternateContent>
          <mc:Choice Requires="wps">
            <w:drawing>
              <wp:anchor distT="0" distB="0" distL="114300" distR="114300" simplePos="0" relativeHeight="251661312" behindDoc="0" locked="0" layoutInCell="1" allowOverlap="1" wp14:anchorId="55D85574" wp14:editId="6753284B">
                <wp:simplePos x="0" y="0"/>
                <wp:positionH relativeFrom="margin">
                  <wp:posOffset>450850</wp:posOffset>
                </wp:positionH>
                <wp:positionV relativeFrom="paragraph">
                  <wp:posOffset>255905</wp:posOffset>
                </wp:positionV>
                <wp:extent cx="3291840" cy="1098550"/>
                <wp:effectExtent l="0" t="0" r="228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98550"/>
                        </a:xfrm>
                        <a:prstGeom prst="rect">
                          <a:avLst/>
                        </a:prstGeom>
                        <a:solidFill>
                          <a:srgbClr val="FFFFFF"/>
                        </a:solidFill>
                        <a:ln w="9525">
                          <a:solidFill>
                            <a:srgbClr val="000000"/>
                          </a:solidFill>
                          <a:miter lim="800000"/>
                          <a:headEnd/>
                          <a:tailEnd/>
                        </a:ln>
                      </wps:spPr>
                      <wps:txbx>
                        <w:txbxContent>
                          <w:p w14:paraId="795EEE75" w14:textId="77777777" w:rsidR="008249B8" w:rsidRPr="004120A8" w:rsidRDefault="008249B8" w:rsidP="008249B8">
                            <w:pPr>
                              <w:jc w:val="center"/>
                              <w:rPr>
                                <w:rFonts w:ascii="Century Gothic" w:hAnsi="Century Gothic"/>
                                <w:b/>
                                <w:sz w:val="2"/>
                                <w:szCs w:val="18"/>
                              </w:rPr>
                            </w:pPr>
                          </w:p>
                          <w:p w14:paraId="49EEEF58" w14:textId="77777777" w:rsidR="008249B8" w:rsidRPr="004120A8" w:rsidRDefault="008249B8" w:rsidP="008249B8">
                            <w:pPr>
                              <w:numPr>
                                <w:ilvl w:val="0"/>
                                <w:numId w:val="9"/>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6E60F216" w14:textId="77777777" w:rsidR="008249B8" w:rsidRPr="004120A8" w:rsidRDefault="008249B8" w:rsidP="008249B8">
                            <w:pPr>
                              <w:numPr>
                                <w:ilvl w:val="0"/>
                                <w:numId w:val="9"/>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8341E25" w14:textId="77777777" w:rsidR="008249B8" w:rsidRPr="004120A8" w:rsidRDefault="008249B8" w:rsidP="008249B8">
                            <w:pPr>
                              <w:numPr>
                                <w:ilvl w:val="0"/>
                                <w:numId w:val="9"/>
                              </w:numPr>
                              <w:rPr>
                                <w:rFonts w:ascii="Century Gothic" w:hAnsi="Century Gothic"/>
                                <w:sz w:val="18"/>
                                <w:szCs w:val="18"/>
                              </w:rPr>
                            </w:pPr>
                            <w:r w:rsidRPr="004120A8">
                              <w:rPr>
                                <w:rFonts w:ascii="Century Gothic" w:hAnsi="Century Gothic"/>
                                <w:sz w:val="18"/>
                                <w:szCs w:val="18"/>
                              </w:rPr>
                              <w:t xml:space="preserve">REVISED. </w:t>
                            </w:r>
                          </w:p>
                          <w:p w14:paraId="22753780" w14:textId="77777777" w:rsidR="008249B8" w:rsidRPr="004120A8" w:rsidRDefault="008249B8" w:rsidP="008249B8">
                            <w:pPr>
                              <w:rPr>
                                <w:rFonts w:ascii="Century Gothic" w:hAnsi="Century Gothic"/>
                                <w:b/>
                                <w:sz w:val="18"/>
                                <w:szCs w:val="18"/>
                              </w:rPr>
                            </w:pPr>
                          </w:p>
                          <w:p w14:paraId="05DEFCF9" w14:textId="77777777" w:rsidR="008249B8" w:rsidRPr="004120A8" w:rsidRDefault="008249B8" w:rsidP="008249B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69B9D45" w14:textId="77777777" w:rsidR="008249B8" w:rsidRPr="004120A8" w:rsidRDefault="008249B8" w:rsidP="008249B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2AED3E7A" w14:textId="77777777" w:rsidR="008249B8" w:rsidRPr="004120A8" w:rsidRDefault="008249B8" w:rsidP="008249B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D85574" id="_x0000_t202" coordsize="21600,21600" o:spt="202" path="m,l,21600r21600,l21600,xe">
                <v:stroke joinstyle="miter"/>
                <v:path gradientshapeok="t" o:connecttype="rect"/>
              </v:shapetype>
              <v:shape id="Text Box 2" o:spid="_x0000_s1026" type="#_x0000_t202" style="position:absolute;margin-left:35.5pt;margin-top:20.15pt;width:259.2pt;height:8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">
                <v:textbox>
                  <w:txbxContent>
                    <w:p w14:paraId="795EEE75" w14:textId="77777777" w:rsidR="008249B8" w:rsidRPr="004120A8" w:rsidRDefault="008249B8" w:rsidP="008249B8">
                      <w:pPr>
                        <w:jc w:val="center"/>
                        <w:rPr>
                          <w:rFonts w:ascii="Century Gothic" w:hAnsi="Century Gothic"/>
                          <w:b/>
                          <w:sz w:val="2"/>
                          <w:szCs w:val="18"/>
                        </w:rPr>
                      </w:pPr>
                    </w:p>
                    <w:p w14:paraId="49EEEF58" w14:textId="77777777" w:rsidR="008249B8" w:rsidRPr="004120A8" w:rsidRDefault="008249B8" w:rsidP="008249B8">
                      <w:pPr>
                        <w:numPr>
                          <w:ilvl w:val="0"/>
                          <w:numId w:val="9"/>
                        </w:numPr>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6E60F216" w14:textId="77777777" w:rsidR="008249B8" w:rsidRPr="004120A8" w:rsidRDefault="008249B8" w:rsidP="008249B8">
                      <w:pPr>
                        <w:numPr>
                          <w:ilvl w:val="0"/>
                          <w:numId w:val="9"/>
                        </w:numPr>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8341E25" w14:textId="77777777" w:rsidR="008249B8" w:rsidRPr="004120A8" w:rsidRDefault="008249B8" w:rsidP="008249B8">
                      <w:pPr>
                        <w:numPr>
                          <w:ilvl w:val="0"/>
                          <w:numId w:val="9"/>
                        </w:numPr>
                        <w:rPr>
                          <w:rFonts w:ascii="Century Gothic" w:hAnsi="Century Gothic"/>
                          <w:sz w:val="18"/>
                          <w:szCs w:val="18"/>
                        </w:rPr>
                      </w:pPr>
                      <w:r w:rsidRPr="004120A8">
                        <w:rPr>
                          <w:rFonts w:ascii="Century Gothic" w:hAnsi="Century Gothic"/>
                          <w:sz w:val="18"/>
                          <w:szCs w:val="18"/>
                        </w:rPr>
                        <w:t xml:space="preserve">REVISED. </w:t>
                      </w:r>
                    </w:p>
                    <w:p w14:paraId="22753780" w14:textId="77777777" w:rsidR="008249B8" w:rsidRPr="004120A8" w:rsidRDefault="008249B8" w:rsidP="008249B8">
                      <w:pPr>
                        <w:rPr>
                          <w:rFonts w:ascii="Century Gothic" w:hAnsi="Century Gothic"/>
                          <w:b/>
                          <w:sz w:val="18"/>
                          <w:szCs w:val="18"/>
                        </w:rPr>
                      </w:pPr>
                    </w:p>
                    <w:p w14:paraId="05DEFCF9" w14:textId="77777777" w:rsidR="008249B8" w:rsidRPr="004120A8" w:rsidRDefault="008249B8" w:rsidP="008249B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569B9D45" w14:textId="77777777" w:rsidR="008249B8" w:rsidRPr="004120A8" w:rsidRDefault="008249B8" w:rsidP="008249B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2AED3E7A" w14:textId="77777777" w:rsidR="008249B8" w:rsidRPr="004120A8" w:rsidRDefault="008249B8" w:rsidP="008249B8">
                      <w:pPr>
                        <w:rPr>
                          <w:rFonts w:ascii="Century Gothic" w:hAnsi="Century Gothic"/>
                          <w:b/>
                          <w:sz w:val="2"/>
                          <w:szCs w:val="18"/>
                        </w:rPr>
                      </w:pPr>
                    </w:p>
                  </w:txbxContent>
                </v:textbox>
                <w10:wrap anchorx="margin"/>
              </v:shape>
            </w:pict>
          </mc:Fallback>
        </mc:AlternateContent>
      </w:r>
    </w:p>
    <w:p w14:paraId="1300B9C0" w14:textId="77777777" w:rsidR="008249B8" w:rsidRPr="008249B8" w:rsidRDefault="008249B8" w:rsidP="008249B8">
      <w:pPr>
        <w:widowControl w:val="0"/>
        <w:autoSpaceDE w:val="0"/>
        <w:autoSpaceDN w:val="0"/>
        <w:spacing w:line="360" w:lineRule="auto"/>
        <w:rPr>
          <w:rFonts w:ascii="Arial" w:eastAsia="Arial" w:hAnsi="Arial" w:cs="Arial"/>
          <w:b/>
          <w:sz w:val="24"/>
          <w:szCs w:val="24"/>
        </w:rPr>
      </w:pPr>
    </w:p>
    <w:p w14:paraId="1DE2B100" w14:textId="77777777" w:rsidR="008249B8" w:rsidRPr="008249B8" w:rsidRDefault="008249B8" w:rsidP="008249B8">
      <w:pPr>
        <w:widowControl w:val="0"/>
        <w:autoSpaceDE w:val="0"/>
        <w:autoSpaceDN w:val="0"/>
        <w:spacing w:before="158" w:line="360" w:lineRule="auto"/>
        <w:ind w:left="826"/>
        <w:rPr>
          <w:rFonts w:ascii="Arial" w:eastAsia="Arial" w:hAnsi="Arial" w:cs="Arial"/>
          <w:sz w:val="24"/>
          <w:szCs w:val="24"/>
        </w:rPr>
      </w:pPr>
    </w:p>
    <w:p w14:paraId="1CAD13F6" w14:textId="77777777" w:rsidR="008249B8" w:rsidRPr="008249B8" w:rsidRDefault="008249B8" w:rsidP="008249B8">
      <w:pPr>
        <w:widowControl w:val="0"/>
        <w:autoSpaceDE w:val="0"/>
        <w:autoSpaceDN w:val="0"/>
        <w:spacing w:before="158" w:line="360" w:lineRule="auto"/>
        <w:ind w:left="826"/>
        <w:rPr>
          <w:rFonts w:ascii="Arial" w:eastAsia="Arial" w:hAnsi="Arial" w:cs="Arial"/>
          <w:sz w:val="24"/>
          <w:szCs w:val="24"/>
        </w:rPr>
      </w:pPr>
    </w:p>
    <w:p w14:paraId="36E3785E" w14:textId="77777777" w:rsidR="008249B8" w:rsidRPr="008249B8" w:rsidRDefault="008249B8" w:rsidP="008249B8">
      <w:pPr>
        <w:widowControl w:val="0"/>
        <w:autoSpaceDE w:val="0"/>
        <w:autoSpaceDN w:val="0"/>
        <w:spacing w:before="158" w:line="360" w:lineRule="auto"/>
        <w:ind w:left="826"/>
        <w:rPr>
          <w:rFonts w:ascii="Arial" w:eastAsia="Arial" w:hAnsi="Arial" w:cs="Arial"/>
          <w:sz w:val="24"/>
          <w:szCs w:val="24"/>
        </w:rPr>
      </w:pPr>
    </w:p>
    <w:p w14:paraId="4F8D8A3C" w14:textId="77777777" w:rsidR="008249B8" w:rsidRPr="008249B8" w:rsidRDefault="008249B8" w:rsidP="005D4876">
      <w:pPr>
        <w:widowControl w:val="0"/>
        <w:autoSpaceDE w:val="0"/>
        <w:autoSpaceDN w:val="0"/>
        <w:spacing w:before="158" w:line="360" w:lineRule="auto"/>
        <w:ind w:right="-3071"/>
        <w:rPr>
          <w:rFonts w:ascii="Arial" w:eastAsia="Arial" w:hAnsi="Arial" w:cs="Arial"/>
          <w:sz w:val="24"/>
          <w:szCs w:val="24"/>
        </w:rPr>
      </w:pPr>
      <w:r w:rsidRPr="008249B8">
        <w:rPr>
          <w:rFonts w:ascii="Arial" w:eastAsia="Arial" w:hAnsi="Arial" w:cs="Arial"/>
          <w:sz w:val="24"/>
          <w:szCs w:val="24"/>
        </w:rPr>
        <w:t>In the</w:t>
      </w:r>
      <w:r w:rsidRPr="008249B8">
        <w:rPr>
          <w:rFonts w:ascii="Arial" w:eastAsia="Arial" w:hAnsi="Arial" w:cs="Arial"/>
          <w:spacing w:val="-3"/>
          <w:sz w:val="24"/>
          <w:szCs w:val="24"/>
        </w:rPr>
        <w:t xml:space="preserve"> </w:t>
      </w:r>
      <w:r w:rsidRPr="008249B8">
        <w:rPr>
          <w:rFonts w:ascii="Arial" w:eastAsia="Arial" w:hAnsi="Arial" w:cs="Arial"/>
          <w:sz w:val="24"/>
          <w:szCs w:val="24"/>
        </w:rPr>
        <w:t>matter</w:t>
      </w:r>
      <w:r w:rsidRPr="008249B8">
        <w:rPr>
          <w:rFonts w:ascii="Arial" w:eastAsia="Arial" w:hAnsi="Arial" w:cs="Arial"/>
          <w:spacing w:val="-2"/>
          <w:sz w:val="24"/>
          <w:szCs w:val="24"/>
        </w:rPr>
        <w:t xml:space="preserve"> </w:t>
      </w:r>
      <w:r w:rsidRPr="008249B8">
        <w:rPr>
          <w:rFonts w:ascii="Arial" w:eastAsia="Arial" w:hAnsi="Arial" w:cs="Arial"/>
          <w:sz w:val="24"/>
          <w:szCs w:val="24"/>
        </w:rPr>
        <w:t>between:</w:t>
      </w:r>
    </w:p>
    <w:p w14:paraId="03FD02B5" w14:textId="77777777" w:rsidR="008249B8" w:rsidRPr="008249B8" w:rsidRDefault="008249B8" w:rsidP="005D4876">
      <w:pPr>
        <w:widowControl w:val="0"/>
        <w:autoSpaceDE w:val="0"/>
        <w:autoSpaceDN w:val="0"/>
        <w:spacing w:line="360" w:lineRule="auto"/>
        <w:ind w:right="-3071"/>
        <w:rPr>
          <w:rFonts w:ascii="Arial" w:eastAsia="Arial" w:hAnsi="Arial" w:cs="Arial"/>
          <w:sz w:val="24"/>
          <w:szCs w:val="24"/>
        </w:rPr>
      </w:pPr>
    </w:p>
    <w:p w14:paraId="045FABA5" w14:textId="3D05F10B" w:rsidR="005D4876" w:rsidRDefault="00DB106A" w:rsidP="005D4876">
      <w:pPr>
        <w:widowControl w:val="0"/>
        <w:autoSpaceDE w:val="0"/>
        <w:autoSpaceDN w:val="0"/>
        <w:spacing w:line="360" w:lineRule="auto"/>
        <w:ind w:right="61"/>
        <w:outlineLvl w:val="1"/>
        <w:rPr>
          <w:rFonts w:ascii="Arial" w:eastAsia="Arial" w:hAnsi="Arial" w:cs="Arial"/>
          <w:bCs/>
          <w:sz w:val="24"/>
          <w:szCs w:val="24"/>
        </w:rPr>
      </w:pPr>
      <w:r>
        <w:rPr>
          <w:rFonts w:ascii="Arial" w:eastAsia="Arial" w:hAnsi="Arial" w:cs="Arial"/>
          <w:b/>
          <w:bCs/>
          <w:sz w:val="24"/>
          <w:szCs w:val="24"/>
        </w:rPr>
        <w:t>MYSTICAL ICE TRADING 50 CC</w:t>
      </w:r>
      <w:r>
        <w:rPr>
          <w:rFonts w:ascii="Arial" w:eastAsia="Arial" w:hAnsi="Arial" w:cs="Arial"/>
          <w:b/>
          <w:bCs/>
          <w:sz w:val="24"/>
          <w:szCs w:val="24"/>
        </w:rPr>
        <w:tab/>
      </w:r>
      <w:r w:rsidR="00B156CC">
        <w:rPr>
          <w:rFonts w:ascii="Arial" w:eastAsia="Arial" w:hAnsi="Arial" w:cs="Arial"/>
          <w:b/>
          <w:bCs/>
          <w:sz w:val="24"/>
          <w:szCs w:val="24"/>
        </w:rPr>
        <w:tab/>
      </w:r>
      <w:r w:rsidR="00B156CC">
        <w:rPr>
          <w:rFonts w:ascii="Arial" w:eastAsia="Arial" w:hAnsi="Arial" w:cs="Arial"/>
          <w:b/>
          <w:bCs/>
          <w:sz w:val="24"/>
          <w:szCs w:val="24"/>
        </w:rPr>
        <w:tab/>
      </w:r>
      <w:r w:rsidR="005D4876">
        <w:rPr>
          <w:rFonts w:ascii="Arial" w:eastAsia="Arial" w:hAnsi="Arial" w:cs="Arial"/>
          <w:b/>
          <w:bCs/>
          <w:sz w:val="24"/>
          <w:szCs w:val="24"/>
        </w:rPr>
        <w:tab/>
      </w:r>
      <w:r w:rsidR="005D4876">
        <w:rPr>
          <w:rFonts w:ascii="Arial" w:eastAsia="Arial" w:hAnsi="Arial" w:cs="Arial"/>
          <w:b/>
          <w:bCs/>
          <w:sz w:val="24"/>
          <w:szCs w:val="24"/>
        </w:rPr>
        <w:tab/>
        <w:t xml:space="preserve">         </w:t>
      </w:r>
      <w:r w:rsidR="00D55EAD">
        <w:rPr>
          <w:rFonts w:ascii="Arial" w:eastAsia="Arial" w:hAnsi="Arial" w:cs="Arial"/>
          <w:b/>
          <w:bCs/>
          <w:sz w:val="24"/>
          <w:szCs w:val="24"/>
        </w:rPr>
        <w:t xml:space="preserve">   </w:t>
      </w:r>
      <w:r>
        <w:rPr>
          <w:rFonts w:ascii="Arial" w:eastAsia="Arial" w:hAnsi="Arial" w:cs="Arial"/>
          <w:b/>
          <w:bCs/>
          <w:sz w:val="24"/>
          <w:szCs w:val="24"/>
        </w:rPr>
        <w:t xml:space="preserve">  </w:t>
      </w:r>
      <w:r w:rsidR="00D55EAD">
        <w:rPr>
          <w:rFonts w:ascii="Arial" w:eastAsia="Arial" w:hAnsi="Arial" w:cs="Arial"/>
          <w:b/>
          <w:bCs/>
          <w:sz w:val="24"/>
          <w:szCs w:val="24"/>
        </w:rPr>
        <w:t xml:space="preserve"> </w:t>
      </w:r>
      <w:r w:rsidR="005D4876" w:rsidRPr="005D4876">
        <w:rPr>
          <w:rFonts w:ascii="Arial" w:eastAsia="Arial" w:hAnsi="Arial" w:cs="Arial"/>
          <w:bCs/>
          <w:sz w:val="24"/>
          <w:szCs w:val="24"/>
        </w:rPr>
        <w:t xml:space="preserve">Applicant </w:t>
      </w:r>
    </w:p>
    <w:p w14:paraId="32B88EDA" w14:textId="35C5DC44" w:rsidR="00DB106A" w:rsidRDefault="00DB106A" w:rsidP="00DB106A">
      <w:pPr>
        <w:widowControl w:val="0"/>
        <w:autoSpaceDE w:val="0"/>
        <w:autoSpaceDN w:val="0"/>
        <w:spacing w:line="360" w:lineRule="auto"/>
        <w:ind w:right="61"/>
        <w:jc w:val="right"/>
        <w:outlineLvl w:val="1"/>
        <w:rPr>
          <w:rFonts w:ascii="Arial" w:eastAsia="Arial" w:hAnsi="Arial" w:cs="Arial"/>
          <w:bCs/>
          <w:sz w:val="24"/>
          <w:szCs w:val="24"/>
        </w:rPr>
      </w:pPr>
      <w:r>
        <w:rPr>
          <w:rFonts w:ascii="Arial" w:eastAsia="Arial" w:hAnsi="Arial" w:cs="Arial"/>
          <w:bCs/>
          <w:sz w:val="24"/>
          <w:szCs w:val="24"/>
        </w:rPr>
        <w:t>(Respondent in the application</w:t>
      </w:r>
    </w:p>
    <w:p w14:paraId="029FFAE4" w14:textId="3200F708" w:rsidR="00DB106A" w:rsidRPr="005D4876" w:rsidRDefault="00DB106A" w:rsidP="00DB106A">
      <w:pPr>
        <w:widowControl w:val="0"/>
        <w:autoSpaceDE w:val="0"/>
        <w:autoSpaceDN w:val="0"/>
        <w:spacing w:line="360" w:lineRule="auto"/>
        <w:ind w:right="61"/>
        <w:jc w:val="right"/>
        <w:outlineLvl w:val="1"/>
        <w:rPr>
          <w:rFonts w:ascii="Arial" w:eastAsia="Arial" w:hAnsi="Arial" w:cs="Arial"/>
          <w:bCs/>
          <w:sz w:val="24"/>
          <w:szCs w:val="24"/>
        </w:rPr>
      </w:pPr>
      <w:r>
        <w:rPr>
          <w:rFonts w:ascii="Arial" w:eastAsia="Arial" w:hAnsi="Arial" w:cs="Arial"/>
          <w:bCs/>
          <w:sz w:val="24"/>
          <w:szCs w:val="24"/>
        </w:rPr>
        <w:t>for leave to appeal)</w:t>
      </w:r>
    </w:p>
    <w:p w14:paraId="6BC2B826" w14:textId="441510A0" w:rsidR="005D4876" w:rsidRDefault="00DB106A" w:rsidP="00DB106A">
      <w:pPr>
        <w:widowControl w:val="0"/>
        <w:autoSpaceDE w:val="0"/>
        <w:autoSpaceDN w:val="0"/>
        <w:spacing w:line="360" w:lineRule="auto"/>
        <w:ind w:right="-3071"/>
        <w:jc w:val="right"/>
        <w:outlineLvl w:val="1"/>
        <w:rPr>
          <w:rFonts w:ascii="Arial" w:eastAsia="Arial" w:hAnsi="Arial" w:cs="Arial"/>
          <w:b/>
          <w:bCs/>
          <w:sz w:val="24"/>
          <w:szCs w:val="24"/>
        </w:rPr>
      </w:pPr>
      <w:r>
        <w:rPr>
          <w:rFonts w:ascii="Arial" w:eastAsia="Arial" w:hAnsi="Arial" w:cs="Arial"/>
          <w:b/>
          <w:bCs/>
          <w:sz w:val="24"/>
          <w:szCs w:val="24"/>
        </w:rPr>
        <w:t>.</w:t>
      </w:r>
    </w:p>
    <w:p w14:paraId="1E026497" w14:textId="5F7D7A1E" w:rsidR="008249B8" w:rsidRPr="008249B8" w:rsidRDefault="008249B8" w:rsidP="005D4876">
      <w:pPr>
        <w:widowControl w:val="0"/>
        <w:autoSpaceDE w:val="0"/>
        <w:autoSpaceDN w:val="0"/>
        <w:spacing w:line="360" w:lineRule="auto"/>
        <w:ind w:right="-3071"/>
        <w:outlineLvl w:val="1"/>
        <w:rPr>
          <w:rFonts w:ascii="Arial" w:eastAsia="Arial" w:hAnsi="Arial" w:cs="Arial"/>
          <w:sz w:val="24"/>
          <w:szCs w:val="24"/>
        </w:rPr>
      </w:pPr>
      <w:r w:rsidRPr="008249B8">
        <w:rPr>
          <w:rFonts w:ascii="Arial" w:eastAsia="Arial" w:hAnsi="Arial" w:cs="Arial"/>
          <w:sz w:val="24"/>
          <w:szCs w:val="24"/>
        </w:rPr>
        <w:t>and</w:t>
      </w:r>
    </w:p>
    <w:p w14:paraId="5CD9B75A" w14:textId="77777777" w:rsidR="008249B8" w:rsidRPr="008249B8" w:rsidRDefault="008249B8" w:rsidP="008249B8">
      <w:pPr>
        <w:widowControl w:val="0"/>
        <w:autoSpaceDE w:val="0"/>
        <w:autoSpaceDN w:val="0"/>
        <w:spacing w:before="9" w:line="360" w:lineRule="auto"/>
        <w:rPr>
          <w:rFonts w:ascii="Arial" w:eastAsia="Arial" w:hAnsi="Arial" w:cs="Arial"/>
          <w:sz w:val="24"/>
          <w:szCs w:val="24"/>
        </w:rPr>
      </w:pPr>
    </w:p>
    <w:p w14:paraId="275BEC9F" w14:textId="772BB50B" w:rsidR="008249B8" w:rsidRDefault="00DB106A" w:rsidP="008249B8">
      <w:pPr>
        <w:widowControl w:val="0"/>
        <w:autoSpaceDE w:val="0"/>
        <w:autoSpaceDN w:val="0"/>
        <w:spacing w:line="360" w:lineRule="auto"/>
        <w:outlineLvl w:val="1"/>
        <w:rPr>
          <w:rFonts w:ascii="Arial" w:eastAsia="Arial" w:hAnsi="Arial" w:cs="Arial"/>
          <w:bCs/>
          <w:sz w:val="24"/>
          <w:szCs w:val="24"/>
        </w:rPr>
      </w:pPr>
      <w:r>
        <w:rPr>
          <w:rFonts w:ascii="Arial" w:eastAsia="Arial" w:hAnsi="Arial" w:cs="Arial"/>
          <w:b/>
          <w:bCs/>
          <w:sz w:val="24"/>
          <w:szCs w:val="24"/>
        </w:rPr>
        <w:t>RIETFONTEIN VIEW ESTATE (PTY) LTD</w:t>
      </w:r>
      <w:r w:rsidR="00890B50">
        <w:rPr>
          <w:rFonts w:ascii="Arial" w:eastAsia="Arial" w:hAnsi="Arial" w:cs="Arial"/>
          <w:b/>
          <w:bCs/>
          <w:sz w:val="24"/>
          <w:szCs w:val="24"/>
        </w:rPr>
        <w:tab/>
      </w:r>
      <w:r w:rsidR="005D4876">
        <w:rPr>
          <w:rFonts w:ascii="Arial" w:eastAsia="Arial" w:hAnsi="Arial" w:cs="Arial"/>
          <w:b/>
          <w:bCs/>
          <w:sz w:val="24"/>
          <w:szCs w:val="24"/>
        </w:rPr>
        <w:t xml:space="preserve">                    </w:t>
      </w:r>
      <w:r w:rsidR="00B156CC">
        <w:rPr>
          <w:rFonts w:ascii="Arial" w:eastAsia="Arial" w:hAnsi="Arial" w:cs="Arial"/>
          <w:b/>
          <w:bCs/>
          <w:sz w:val="24"/>
          <w:szCs w:val="24"/>
        </w:rPr>
        <w:tab/>
      </w:r>
      <w:r w:rsidR="00B156CC">
        <w:rPr>
          <w:rFonts w:ascii="Arial" w:eastAsia="Arial" w:hAnsi="Arial" w:cs="Arial"/>
          <w:b/>
          <w:bCs/>
          <w:sz w:val="24"/>
          <w:szCs w:val="24"/>
        </w:rPr>
        <w:tab/>
        <w:t xml:space="preserve"> </w:t>
      </w:r>
      <w:r>
        <w:rPr>
          <w:rFonts w:ascii="Arial" w:eastAsia="Arial" w:hAnsi="Arial" w:cs="Arial"/>
          <w:b/>
          <w:bCs/>
          <w:sz w:val="24"/>
          <w:szCs w:val="24"/>
        </w:rPr>
        <w:tab/>
      </w:r>
      <w:r w:rsidR="005D4876" w:rsidRPr="005D4876">
        <w:rPr>
          <w:rFonts w:ascii="Arial" w:eastAsia="Arial" w:hAnsi="Arial" w:cs="Arial"/>
          <w:bCs/>
          <w:sz w:val="24"/>
          <w:szCs w:val="24"/>
        </w:rPr>
        <w:t>Respondent</w:t>
      </w:r>
    </w:p>
    <w:p w14:paraId="6467EE13" w14:textId="0FE49789" w:rsidR="00B156CC" w:rsidRPr="00B156CC" w:rsidRDefault="00DB106A" w:rsidP="00DB106A">
      <w:pPr>
        <w:widowControl w:val="0"/>
        <w:autoSpaceDE w:val="0"/>
        <w:autoSpaceDN w:val="0"/>
        <w:spacing w:line="360" w:lineRule="auto"/>
        <w:jc w:val="right"/>
        <w:rPr>
          <w:rFonts w:ascii="Arial" w:eastAsia="Arial" w:hAnsi="Arial" w:cs="Arial"/>
          <w:sz w:val="24"/>
          <w:szCs w:val="24"/>
        </w:rPr>
      </w:pPr>
      <w:r>
        <w:rPr>
          <w:rFonts w:ascii="Arial" w:eastAsia="Arial" w:hAnsi="Arial" w:cs="Arial"/>
          <w:b/>
          <w:sz w:val="24"/>
          <w:szCs w:val="24"/>
        </w:rPr>
        <w:t>(Registration No: 2018/329172/07)</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rPr>
        <w:t>(Applicant in the application for leave to appeal)</w:t>
      </w:r>
    </w:p>
    <w:p w14:paraId="7B422633" w14:textId="77777777" w:rsidR="008249B8" w:rsidRPr="008249B8" w:rsidRDefault="008249B8" w:rsidP="008249B8">
      <w:pPr>
        <w:widowControl w:val="0"/>
        <w:autoSpaceDE w:val="0"/>
        <w:autoSpaceDN w:val="0"/>
        <w:spacing w:line="360" w:lineRule="auto"/>
        <w:ind w:left="-28"/>
        <w:rPr>
          <w:rFonts w:ascii="Arial" w:eastAsia="Arial" w:hAnsi="Arial" w:cs="Arial"/>
          <w:sz w:val="24"/>
          <w:szCs w:val="24"/>
        </w:rPr>
      </w:pPr>
      <w:r w:rsidRPr="008249B8">
        <w:rPr>
          <w:rFonts w:ascii="Arial" w:eastAsia="Arial" w:hAnsi="Arial" w:cs="Arial"/>
          <w:noProof/>
          <w:sz w:val="24"/>
          <w:szCs w:val="24"/>
          <w:lang w:val="en-ZA" w:eastAsia="en-ZA"/>
        </w:rPr>
        <mc:AlternateContent>
          <mc:Choice Requires="wpg">
            <w:drawing>
              <wp:inline distT="0" distB="0" distL="0" distR="0" wp14:anchorId="7C3DA753" wp14:editId="64491270">
                <wp:extent cx="5850890"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6350"/>
                          <a:chOff x="0" y="0"/>
                          <a:chExt cx="9214" cy="10"/>
                        </a:xfrm>
                      </wpg:grpSpPr>
                      <wps:wsp>
                        <wps:cNvPr id="11" name="Freeform 7"/>
                        <wps:cNvSpPr>
                          <a:spLocks/>
                        </wps:cNvSpPr>
                        <wps:spPr bwMode="auto">
                          <a:xfrm>
                            <a:off x="0" y="0"/>
                            <a:ext cx="9214" cy="10"/>
                          </a:xfrm>
                          <a:custGeom>
                            <a:avLst/>
                            <a:gdLst>
                              <a:gd name="T0" fmla="*/ 9213 w 9214"/>
                              <a:gd name="T1" fmla="*/ 0 h 10"/>
                              <a:gd name="T2" fmla="*/ 6668 w 9214"/>
                              <a:gd name="T3" fmla="*/ 0 h 10"/>
                              <a:gd name="T4" fmla="*/ 0 w 9214"/>
                              <a:gd name="T5" fmla="*/ 0 h 10"/>
                              <a:gd name="T6" fmla="*/ 0 w 9214"/>
                              <a:gd name="T7" fmla="*/ 10 h 10"/>
                              <a:gd name="T8" fmla="*/ 6668 w 9214"/>
                              <a:gd name="T9" fmla="*/ 10 h 10"/>
                              <a:gd name="T10" fmla="*/ 9213 w 9214"/>
                              <a:gd name="T11" fmla="*/ 10 h 10"/>
                              <a:gd name="T12" fmla="*/ 9213 w 9214"/>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9214" h="10">
                                <a:moveTo>
                                  <a:pt x="9213" y="0"/>
                                </a:moveTo>
                                <a:lnTo>
                                  <a:pt x="6668" y="0"/>
                                </a:lnTo>
                                <a:lnTo>
                                  <a:pt x="0" y="0"/>
                                </a:lnTo>
                                <a:lnTo>
                                  <a:pt x="0" y="10"/>
                                </a:lnTo>
                                <a:lnTo>
                                  <a:pt x="6668" y="10"/>
                                </a:lnTo>
                                <a:lnTo>
                                  <a:pt x="9213" y="10"/>
                                </a:lnTo>
                                <a:lnTo>
                                  <a:pt x="9213" y="0"/>
                                </a:lnTo>
                                <a:close/>
                              </a:path>
                            </a:pathLst>
                          </a:cu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9AB0C2A" id="Group 10" o:spid="_x0000_s1026" style="width:460.7pt;height:.5pt;mso-position-horizontal-relative:char;mso-position-vertical-relative:line" coordsize="92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">
                <v:shape id="Freeform 7" o:spid="_x0000_s1027" style="position:absolute;width:9214;height:10;visibility:visible;mso-wrap-style:square;v-text-anchor:top" coordsize="92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" path="m9213,l6668,,,,,10r6668,l9213,10r,-10xe" fillcolor="black" stroked="f">
                  <v:path arrowok="t" o:connecttype="custom" o:connectlocs="9213,0;6668,0;0,0;0,10;6668,10;9213,10;9213,0" o:connectangles="0,0,0,0,0,0,0"/>
                </v:shape>
                <w10:anchorlock/>
              </v:group>
            </w:pict>
          </mc:Fallback>
        </mc:AlternateContent>
      </w:r>
    </w:p>
    <w:p w14:paraId="6779A180" w14:textId="3DC99DCE" w:rsidR="005D4876" w:rsidRDefault="005D4876" w:rsidP="005D4876">
      <w:pPr>
        <w:widowControl w:val="0"/>
        <w:autoSpaceDE w:val="0"/>
        <w:autoSpaceDN w:val="0"/>
        <w:spacing w:before="92" w:line="360" w:lineRule="auto"/>
        <w:ind w:left="-42" w:right="46" w:firstLine="14"/>
        <w:jc w:val="center"/>
        <w:outlineLvl w:val="1"/>
        <w:rPr>
          <w:rFonts w:ascii="Arial" w:eastAsia="Arial" w:hAnsi="Arial" w:cs="Arial"/>
          <w:b/>
          <w:bCs/>
          <w:sz w:val="24"/>
          <w:szCs w:val="24"/>
        </w:rPr>
      </w:pPr>
      <w:r>
        <w:rPr>
          <w:rFonts w:ascii="Arial" w:eastAsia="Arial" w:hAnsi="Arial" w:cs="Arial"/>
          <w:b/>
          <w:bCs/>
          <w:sz w:val="24"/>
          <w:szCs w:val="24"/>
        </w:rPr>
        <w:t>JUDGMENT</w:t>
      </w:r>
      <w:r w:rsidR="002E1F22">
        <w:rPr>
          <w:rFonts w:ascii="Arial" w:eastAsia="Arial" w:hAnsi="Arial" w:cs="Arial"/>
          <w:b/>
          <w:bCs/>
          <w:sz w:val="24"/>
          <w:szCs w:val="24"/>
        </w:rPr>
        <w:t>: APPLICATION FOR LEAVE TO APPEAL</w:t>
      </w:r>
    </w:p>
    <w:p w14:paraId="754F6C19" w14:textId="74A7601C" w:rsidR="008249B8" w:rsidRPr="008249B8" w:rsidRDefault="008249B8" w:rsidP="005D4876">
      <w:pPr>
        <w:widowControl w:val="0"/>
        <w:autoSpaceDE w:val="0"/>
        <w:autoSpaceDN w:val="0"/>
        <w:spacing w:before="92" w:line="360" w:lineRule="auto"/>
        <w:ind w:left="-42" w:right="46" w:firstLine="14"/>
        <w:jc w:val="center"/>
        <w:outlineLvl w:val="1"/>
        <w:rPr>
          <w:rFonts w:ascii="Arial" w:eastAsia="Arial" w:hAnsi="Arial" w:cs="Arial"/>
          <w:sz w:val="24"/>
          <w:szCs w:val="24"/>
        </w:rPr>
      </w:pPr>
      <w:r w:rsidRPr="008249B8">
        <w:rPr>
          <w:rFonts w:ascii="Arial" w:eastAsia="Arial" w:hAnsi="Arial" w:cs="Arial"/>
          <w:noProof/>
          <w:sz w:val="24"/>
          <w:szCs w:val="24"/>
          <w:lang w:val="en-ZA" w:eastAsia="en-ZA"/>
        </w:rPr>
        <mc:AlternateContent>
          <mc:Choice Requires="wpg">
            <w:drawing>
              <wp:inline distT="0" distB="0" distL="0" distR="0" wp14:anchorId="6255331E" wp14:editId="7996FD55">
                <wp:extent cx="585978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s:wsp>
                        <wps:cNvPr id="9" name="Rectangle 5"/>
                        <wps:cNvSpPr>
                          <a:spLocks noChangeArrowheads="1"/>
                        </wps:cNvSpPr>
                        <wps:spPr bwMode="auto">
                          <a:xfrm>
                            <a:off x="0" y="0"/>
                            <a:ext cx="9228" cy="10"/>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74556B"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">
                <v:rect id="Rectangle 5" o:spid="_x0000_s1027" style="position:absolute;width:92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3B3238C9" w14:textId="77777777" w:rsidR="008249B8" w:rsidRPr="008249B8" w:rsidRDefault="008249B8" w:rsidP="008249B8">
      <w:pPr>
        <w:widowControl w:val="0"/>
        <w:autoSpaceDE w:val="0"/>
        <w:autoSpaceDN w:val="0"/>
        <w:spacing w:line="360" w:lineRule="auto"/>
        <w:rPr>
          <w:rFonts w:ascii="Arial" w:eastAsia="Arial" w:hAnsi="Arial" w:cs="Arial"/>
          <w:b/>
          <w:sz w:val="24"/>
          <w:szCs w:val="24"/>
        </w:rPr>
      </w:pPr>
      <w:r w:rsidRPr="008249B8">
        <w:rPr>
          <w:rFonts w:ascii="Arial" w:eastAsia="Arial" w:hAnsi="Arial" w:cs="Arial"/>
          <w:b/>
          <w:sz w:val="24"/>
          <w:szCs w:val="24"/>
        </w:rPr>
        <w:t>AC BASSON, J</w:t>
      </w:r>
    </w:p>
    <w:p w14:paraId="08B28DBC" w14:textId="172DE4E2" w:rsidR="008249B8" w:rsidRDefault="008249B8" w:rsidP="00D55EAD">
      <w:pPr>
        <w:spacing w:line="360" w:lineRule="auto"/>
        <w:ind w:right="2424"/>
        <w:rPr>
          <w:rFonts w:ascii="Arial" w:hAnsi="Arial" w:cs="Arial"/>
          <w:sz w:val="24"/>
          <w:szCs w:val="24"/>
        </w:rPr>
      </w:pPr>
    </w:p>
    <w:p w14:paraId="56B26B59" w14:textId="779FCD07" w:rsidR="00D55EAD" w:rsidRPr="00D55EAD" w:rsidRDefault="00AF6C61" w:rsidP="00D55EAD">
      <w:pPr>
        <w:spacing w:line="360" w:lineRule="auto"/>
        <w:ind w:right="2424"/>
        <w:rPr>
          <w:rFonts w:ascii="Arial" w:hAnsi="Arial" w:cs="Arial"/>
          <w:sz w:val="24"/>
          <w:szCs w:val="24"/>
          <w:u w:val="single"/>
        </w:rPr>
      </w:pPr>
      <w:r>
        <w:rPr>
          <w:rFonts w:ascii="Arial" w:hAnsi="Arial" w:cs="Arial"/>
          <w:sz w:val="24"/>
          <w:szCs w:val="24"/>
          <w:u w:val="single"/>
        </w:rPr>
        <w:lastRenderedPageBreak/>
        <w:t>Introduction</w:t>
      </w:r>
    </w:p>
    <w:p w14:paraId="3397773D" w14:textId="1FC7B2DA" w:rsidR="00DB106A" w:rsidRDefault="00890B50" w:rsidP="00AF6C61">
      <w:pPr>
        <w:spacing w:line="360" w:lineRule="auto"/>
        <w:ind w:right="75"/>
        <w:jc w:val="both"/>
        <w:rPr>
          <w:rFonts w:ascii="Arial" w:hAnsi="Arial" w:cs="Arial"/>
          <w:sz w:val="24"/>
          <w:szCs w:val="24"/>
        </w:rPr>
      </w:pPr>
      <w:r>
        <w:rPr>
          <w:rFonts w:ascii="Arial" w:hAnsi="Arial" w:cs="Arial"/>
          <w:sz w:val="24"/>
          <w:szCs w:val="24"/>
        </w:rPr>
        <w:t>[1]</w:t>
      </w:r>
      <w:r>
        <w:rPr>
          <w:rFonts w:ascii="Arial" w:hAnsi="Arial" w:cs="Arial"/>
          <w:sz w:val="24"/>
          <w:szCs w:val="24"/>
        </w:rPr>
        <w:tab/>
      </w:r>
      <w:r w:rsidR="00DB106A">
        <w:rPr>
          <w:rFonts w:ascii="Arial" w:hAnsi="Arial" w:cs="Arial"/>
          <w:sz w:val="24"/>
          <w:szCs w:val="24"/>
        </w:rPr>
        <w:t>The respondent applies for leave to appeal the judgment handed down on 2 February 2022</w:t>
      </w:r>
      <w:r w:rsidR="00997A8C">
        <w:rPr>
          <w:rFonts w:ascii="Arial" w:hAnsi="Arial" w:cs="Arial"/>
          <w:sz w:val="24"/>
          <w:szCs w:val="24"/>
        </w:rPr>
        <w:t>.</w:t>
      </w:r>
      <w:r w:rsidR="00DB106A">
        <w:rPr>
          <w:rFonts w:ascii="Arial" w:hAnsi="Arial" w:cs="Arial"/>
          <w:sz w:val="24"/>
          <w:szCs w:val="24"/>
        </w:rPr>
        <w:t xml:space="preserve"> I will refer to the parties as they were before the court in the application for default judgment.</w:t>
      </w:r>
      <w:r w:rsidR="00AF6C61">
        <w:rPr>
          <w:rFonts w:ascii="Arial" w:hAnsi="Arial" w:cs="Arial"/>
          <w:sz w:val="24"/>
          <w:szCs w:val="24"/>
        </w:rPr>
        <w:t xml:space="preserve"> </w:t>
      </w:r>
      <w:r w:rsidR="00DB106A">
        <w:rPr>
          <w:rFonts w:ascii="Arial" w:hAnsi="Arial" w:cs="Arial"/>
          <w:sz w:val="24"/>
          <w:szCs w:val="24"/>
        </w:rPr>
        <w:t>The application is for leave to appeal to the Full Bench of this Division, alternatively the Supreme Court of Appeal.</w:t>
      </w:r>
    </w:p>
    <w:p w14:paraId="52187718" w14:textId="77777777" w:rsidR="00DB106A" w:rsidRDefault="00DB106A" w:rsidP="00DB106A">
      <w:pPr>
        <w:pStyle w:val="ListParagraph"/>
        <w:spacing w:line="360" w:lineRule="auto"/>
        <w:ind w:left="0" w:right="75"/>
        <w:jc w:val="both"/>
        <w:rPr>
          <w:rFonts w:ascii="Arial" w:hAnsi="Arial" w:cs="Arial"/>
          <w:sz w:val="24"/>
          <w:szCs w:val="24"/>
        </w:rPr>
      </w:pPr>
    </w:p>
    <w:p w14:paraId="2AFF8500" w14:textId="77777777" w:rsidR="00AF6C61" w:rsidRPr="000C416B" w:rsidRDefault="00AF6C61" w:rsidP="00AF6C61">
      <w:pPr>
        <w:spacing w:line="360" w:lineRule="auto"/>
        <w:ind w:right="75"/>
        <w:contextualSpacing/>
        <w:jc w:val="both"/>
        <w:rPr>
          <w:rFonts w:ascii="Arial" w:hAnsi="Arial" w:cs="Arial"/>
          <w:sz w:val="24"/>
          <w:szCs w:val="24"/>
          <w:u w:val="single"/>
        </w:rPr>
      </w:pPr>
      <w:r w:rsidRPr="000C416B">
        <w:rPr>
          <w:rFonts w:ascii="Arial" w:hAnsi="Arial" w:cs="Arial"/>
          <w:sz w:val="24"/>
          <w:szCs w:val="24"/>
          <w:u w:val="single"/>
        </w:rPr>
        <w:t>Application for leave to appeal: Test</w:t>
      </w:r>
    </w:p>
    <w:p w14:paraId="279E1F74" w14:textId="77777777" w:rsidR="00AF6C61" w:rsidRPr="000C416B" w:rsidRDefault="00AF6C61" w:rsidP="00AF6C61">
      <w:pPr>
        <w:numPr>
          <w:ilvl w:val="0"/>
          <w:numId w:val="24"/>
        </w:numPr>
        <w:spacing w:line="360" w:lineRule="auto"/>
        <w:ind w:right="75"/>
        <w:contextualSpacing/>
        <w:jc w:val="both"/>
        <w:rPr>
          <w:rFonts w:ascii="Arial" w:hAnsi="Arial" w:cs="Arial"/>
          <w:sz w:val="24"/>
          <w:szCs w:val="24"/>
        </w:rPr>
      </w:pPr>
      <w:r w:rsidRPr="000C416B">
        <w:rPr>
          <w:rFonts w:ascii="Arial" w:eastAsia="Verdana" w:hAnsi="Arial" w:cs="Arial"/>
          <w:sz w:val="24"/>
          <w:szCs w:val="24"/>
        </w:rPr>
        <w:t>Section 17 of the Superior Courts Act</w:t>
      </w:r>
      <w:r w:rsidRPr="000C416B">
        <w:rPr>
          <w:rFonts w:ascii="Arial" w:eastAsia="Verdana" w:hAnsi="Arial" w:cs="Arial"/>
          <w:sz w:val="24"/>
          <w:szCs w:val="24"/>
          <w:vertAlign w:val="superscript"/>
        </w:rPr>
        <w:footnoteReference w:id="1"/>
      </w:r>
      <w:r w:rsidRPr="000C416B">
        <w:rPr>
          <w:rFonts w:ascii="Arial" w:eastAsia="Verdana" w:hAnsi="Arial" w:cs="Arial"/>
          <w:sz w:val="24"/>
          <w:szCs w:val="24"/>
        </w:rPr>
        <w:t xml:space="preserve">, deals </w:t>
      </w:r>
      <w:r w:rsidRPr="000C416B">
        <w:rPr>
          <w:rFonts w:ascii="Arial" w:eastAsia="Verdana" w:hAnsi="Arial" w:cs="Arial"/>
          <w:i/>
          <w:sz w:val="24"/>
          <w:szCs w:val="24"/>
        </w:rPr>
        <w:t xml:space="preserve">inter alia </w:t>
      </w:r>
      <w:r w:rsidRPr="000C416B">
        <w:rPr>
          <w:rFonts w:ascii="Arial" w:eastAsia="Verdana" w:hAnsi="Arial" w:cs="Arial"/>
          <w:sz w:val="24"/>
          <w:szCs w:val="24"/>
        </w:rPr>
        <w:t>with applications for leave to appeal, and section 17(1) states as follows:</w:t>
      </w:r>
    </w:p>
    <w:p w14:paraId="78295F6F" w14:textId="77777777" w:rsidR="00AF6C61" w:rsidRPr="000C416B" w:rsidRDefault="00AF6C61" w:rsidP="00AF6C61">
      <w:pPr>
        <w:ind w:firstLine="142"/>
        <w:rPr>
          <w:rFonts w:ascii="Arial" w:hAnsi="Arial" w:cs="Arial"/>
          <w:sz w:val="24"/>
          <w:szCs w:val="24"/>
        </w:rPr>
      </w:pPr>
    </w:p>
    <w:p w14:paraId="663F0B4D" w14:textId="77777777" w:rsidR="00AF6C61" w:rsidRPr="000C416B" w:rsidRDefault="00AF6C61" w:rsidP="00AF6C61">
      <w:pPr>
        <w:spacing w:line="360" w:lineRule="auto"/>
        <w:ind w:left="709" w:right="83"/>
        <w:jc w:val="both"/>
        <w:rPr>
          <w:rFonts w:ascii="Arial" w:eastAsia="Verdana" w:hAnsi="Arial" w:cs="Arial"/>
          <w:sz w:val="24"/>
          <w:szCs w:val="24"/>
        </w:rPr>
      </w:pPr>
      <w:r w:rsidRPr="000C416B">
        <w:rPr>
          <w:rFonts w:ascii="Arial" w:eastAsia="Verdana" w:hAnsi="Arial" w:cs="Arial"/>
          <w:sz w:val="24"/>
          <w:szCs w:val="24"/>
        </w:rPr>
        <w:t>“</w:t>
      </w:r>
      <w:r w:rsidRPr="000C416B">
        <w:rPr>
          <w:rFonts w:ascii="Arial" w:eastAsia="Verdana" w:hAnsi="Arial" w:cs="Arial"/>
          <w:i/>
          <w:sz w:val="24"/>
          <w:szCs w:val="24"/>
        </w:rPr>
        <w:t>(1)    Leave to appeal may only be given where the judge or judges concerned are of the opinion that:</w:t>
      </w:r>
    </w:p>
    <w:p w14:paraId="1BA16B0E" w14:textId="77777777" w:rsidR="00AF6C61" w:rsidRPr="000C416B" w:rsidRDefault="00AF6C61" w:rsidP="00AF6C61">
      <w:pPr>
        <w:tabs>
          <w:tab w:val="left" w:pos="1843"/>
        </w:tabs>
        <w:spacing w:line="360" w:lineRule="auto"/>
        <w:ind w:left="709" w:right="79"/>
        <w:jc w:val="both"/>
        <w:rPr>
          <w:rFonts w:ascii="Arial" w:eastAsia="Verdana" w:hAnsi="Arial" w:cs="Arial"/>
          <w:sz w:val="24"/>
          <w:szCs w:val="24"/>
        </w:rPr>
      </w:pPr>
      <w:r w:rsidRPr="000C416B">
        <w:rPr>
          <w:rFonts w:ascii="Arial" w:eastAsia="Verdana" w:hAnsi="Arial" w:cs="Arial"/>
          <w:i/>
          <w:sz w:val="24"/>
          <w:szCs w:val="24"/>
        </w:rPr>
        <w:t xml:space="preserve">(a)(i)      </w:t>
      </w:r>
      <w:r>
        <w:rPr>
          <w:rFonts w:ascii="Arial" w:eastAsia="Verdana" w:hAnsi="Arial" w:cs="Arial"/>
          <w:i/>
          <w:sz w:val="24"/>
          <w:szCs w:val="24"/>
        </w:rPr>
        <w:tab/>
        <w:t>the</w:t>
      </w:r>
      <w:r w:rsidRPr="000C416B">
        <w:rPr>
          <w:rFonts w:ascii="Arial" w:eastAsia="Verdana" w:hAnsi="Arial" w:cs="Arial"/>
          <w:i/>
          <w:sz w:val="24"/>
          <w:szCs w:val="24"/>
        </w:rPr>
        <w:t xml:space="preserve"> appeal would have a reasonable prospect of success; or</w:t>
      </w:r>
    </w:p>
    <w:p w14:paraId="1A94C903" w14:textId="77777777" w:rsidR="00AF6C61" w:rsidRPr="000C416B" w:rsidRDefault="00AF6C61" w:rsidP="00AF6C61">
      <w:pPr>
        <w:spacing w:line="360" w:lineRule="auto"/>
        <w:ind w:left="709" w:right="75"/>
        <w:jc w:val="both"/>
        <w:rPr>
          <w:rFonts w:ascii="Arial" w:eastAsia="Verdana" w:hAnsi="Arial" w:cs="Arial"/>
          <w:sz w:val="24"/>
          <w:szCs w:val="24"/>
        </w:rPr>
      </w:pPr>
      <w:r w:rsidRPr="000C416B">
        <w:rPr>
          <w:rFonts w:ascii="Arial" w:eastAsia="Verdana" w:hAnsi="Arial" w:cs="Arial"/>
          <w:i/>
          <w:sz w:val="24"/>
          <w:szCs w:val="24"/>
        </w:rPr>
        <w:t>(ii)         there is some other compelling reason why</w:t>
      </w:r>
      <w:r>
        <w:rPr>
          <w:rFonts w:ascii="Arial" w:eastAsia="Verdana" w:hAnsi="Arial" w:cs="Arial"/>
          <w:i/>
          <w:sz w:val="24"/>
          <w:szCs w:val="24"/>
        </w:rPr>
        <w:t xml:space="preserve"> the appeal </w:t>
      </w:r>
      <w:r w:rsidRPr="000C416B">
        <w:rPr>
          <w:rFonts w:ascii="Arial" w:eastAsia="Verdana" w:hAnsi="Arial" w:cs="Arial"/>
          <w:i/>
          <w:sz w:val="24"/>
          <w:szCs w:val="24"/>
        </w:rPr>
        <w:t>s</w:t>
      </w:r>
      <w:r>
        <w:rPr>
          <w:rFonts w:ascii="Arial" w:eastAsia="Verdana" w:hAnsi="Arial" w:cs="Arial"/>
          <w:i/>
          <w:sz w:val="24"/>
          <w:szCs w:val="24"/>
        </w:rPr>
        <w:t xml:space="preserve">hould </w:t>
      </w:r>
      <w:r w:rsidRPr="000C416B">
        <w:rPr>
          <w:rFonts w:ascii="Arial" w:eastAsia="Verdana" w:hAnsi="Arial" w:cs="Arial"/>
          <w:i/>
          <w:sz w:val="24"/>
          <w:szCs w:val="24"/>
        </w:rPr>
        <w:t>be    heard, including conflicting judgments on the matter under consideration;”</w:t>
      </w:r>
    </w:p>
    <w:p w14:paraId="58F03228" w14:textId="77777777" w:rsidR="00AF6C61" w:rsidRPr="000C416B" w:rsidRDefault="00AF6C61" w:rsidP="00AF6C61">
      <w:pPr>
        <w:spacing w:line="360" w:lineRule="auto"/>
        <w:rPr>
          <w:rFonts w:ascii="Arial" w:hAnsi="Arial" w:cs="Arial"/>
          <w:sz w:val="24"/>
          <w:szCs w:val="24"/>
        </w:rPr>
      </w:pPr>
    </w:p>
    <w:p w14:paraId="11C11FF8" w14:textId="255185E2" w:rsidR="00AF6C61" w:rsidRPr="000C416B" w:rsidRDefault="00AF6C61" w:rsidP="00AF6C61">
      <w:pPr>
        <w:numPr>
          <w:ilvl w:val="0"/>
          <w:numId w:val="24"/>
        </w:numPr>
        <w:spacing w:line="360" w:lineRule="auto"/>
        <w:contextualSpacing/>
        <w:jc w:val="both"/>
        <w:rPr>
          <w:rFonts w:ascii="Arial" w:hAnsi="Arial" w:cs="Arial"/>
          <w:sz w:val="24"/>
          <w:szCs w:val="24"/>
          <w:u w:val="single"/>
        </w:rPr>
      </w:pPr>
      <w:r w:rsidRPr="000C416B">
        <w:rPr>
          <w:rFonts w:ascii="Arial" w:eastAsia="Verdana" w:hAnsi="Arial" w:cs="Arial"/>
          <w:sz w:val="24"/>
          <w:szCs w:val="24"/>
        </w:rPr>
        <w:t>The criterion of “</w:t>
      </w:r>
      <w:r w:rsidRPr="000C416B">
        <w:rPr>
          <w:rFonts w:ascii="Arial" w:eastAsia="Verdana" w:hAnsi="Arial" w:cs="Arial"/>
          <w:i/>
          <w:sz w:val="24"/>
          <w:szCs w:val="24"/>
        </w:rPr>
        <w:t>a reasonable prospect of success</w:t>
      </w:r>
      <w:r w:rsidRPr="000C416B">
        <w:rPr>
          <w:rFonts w:ascii="Arial" w:eastAsia="Verdana" w:hAnsi="Arial" w:cs="Arial"/>
          <w:sz w:val="24"/>
          <w:szCs w:val="24"/>
        </w:rPr>
        <w:t xml:space="preserve">” as is stated in section 17(1)(a)(i) of the Superior Courts Act, have been interpreted as requiring that a </w:t>
      </w:r>
      <w:r>
        <w:rPr>
          <w:rFonts w:ascii="Arial" w:eastAsia="Verdana" w:hAnsi="Arial" w:cs="Arial"/>
          <w:sz w:val="24"/>
          <w:szCs w:val="24"/>
        </w:rPr>
        <w:t>C</w:t>
      </w:r>
      <w:r w:rsidRPr="000C416B">
        <w:rPr>
          <w:rFonts w:ascii="Arial" w:eastAsia="Verdana" w:hAnsi="Arial" w:cs="Arial"/>
          <w:sz w:val="24"/>
          <w:szCs w:val="24"/>
        </w:rPr>
        <w:t xml:space="preserve">ourt considering an application for leave to appeal must consider whether another </w:t>
      </w:r>
      <w:r>
        <w:rPr>
          <w:rFonts w:ascii="Arial" w:eastAsia="Verdana" w:hAnsi="Arial" w:cs="Arial"/>
          <w:sz w:val="24"/>
          <w:szCs w:val="24"/>
        </w:rPr>
        <w:t>C</w:t>
      </w:r>
      <w:r w:rsidRPr="000C416B">
        <w:rPr>
          <w:rFonts w:ascii="Arial" w:eastAsia="Verdana" w:hAnsi="Arial" w:cs="Arial"/>
          <w:sz w:val="24"/>
          <w:szCs w:val="24"/>
        </w:rPr>
        <w:t>ourt “</w:t>
      </w:r>
      <w:r w:rsidRPr="000C416B">
        <w:rPr>
          <w:rFonts w:ascii="Arial" w:eastAsia="Verdana" w:hAnsi="Arial" w:cs="Arial"/>
          <w:i/>
          <w:sz w:val="24"/>
          <w:szCs w:val="24"/>
        </w:rPr>
        <w:t>would</w:t>
      </w:r>
      <w:r w:rsidRPr="000C416B">
        <w:rPr>
          <w:rFonts w:ascii="Arial" w:eastAsia="Verdana" w:hAnsi="Arial" w:cs="Arial"/>
          <w:sz w:val="24"/>
          <w:szCs w:val="24"/>
        </w:rPr>
        <w:t>” (not “</w:t>
      </w:r>
      <w:r w:rsidRPr="000C416B">
        <w:rPr>
          <w:rFonts w:ascii="Arial" w:eastAsia="Verdana" w:hAnsi="Arial" w:cs="Arial"/>
          <w:i/>
          <w:sz w:val="24"/>
          <w:szCs w:val="24"/>
        </w:rPr>
        <w:t>might</w:t>
      </w:r>
      <w:r w:rsidRPr="000C416B">
        <w:rPr>
          <w:rFonts w:ascii="Arial" w:eastAsia="Verdana" w:hAnsi="Arial" w:cs="Arial"/>
          <w:sz w:val="24"/>
          <w:szCs w:val="24"/>
        </w:rPr>
        <w:t xml:space="preserve">”) come to a different conclusion. In the matter of the </w:t>
      </w:r>
      <w:r w:rsidRPr="000C416B">
        <w:rPr>
          <w:rFonts w:ascii="Arial" w:eastAsia="Verdana" w:hAnsi="Arial" w:cs="Arial"/>
          <w:i/>
          <w:sz w:val="24"/>
          <w:szCs w:val="24"/>
        </w:rPr>
        <w:t>Mont</w:t>
      </w:r>
      <w:r w:rsidRPr="000C416B">
        <w:rPr>
          <w:rFonts w:ascii="Arial" w:eastAsia="Verdana" w:hAnsi="Arial" w:cs="Arial"/>
          <w:bCs/>
          <w:i/>
          <w:sz w:val="24"/>
          <w:szCs w:val="24"/>
        </w:rPr>
        <w:t xml:space="preserve"> Chev</w:t>
      </w:r>
      <w:r>
        <w:rPr>
          <w:rFonts w:ascii="Arial" w:eastAsia="Verdana" w:hAnsi="Arial" w:cs="Arial"/>
          <w:bCs/>
          <w:i/>
          <w:sz w:val="24"/>
          <w:szCs w:val="24"/>
        </w:rPr>
        <w:t xml:space="preserve">aux </w:t>
      </w:r>
      <w:r w:rsidR="00E84E7C">
        <w:rPr>
          <w:rFonts w:ascii="Arial" w:eastAsia="Verdana" w:hAnsi="Arial" w:cs="Arial"/>
          <w:bCs/>
          <w:i/>
          <w:sz w:val="24"/>
          <w:szCs w:val="24"/>
        </w:rPr>
        <w:t>Trust v</w:t>
      </w:r>
      <w:r>
        <w:rPr>
          <w:rFonts w:ascii="Arial" w:eastAsia="Verdana" w:hAnsi="Arial" w:cs="Arial"/>
          <w:bCs/>
          <w:i/>
          <w:sz w:val="24"/>
          <w:szCs w:val="24"/>
        </w:rPr>
        <w:t xml:space="preserve"> Goosen and 18</w:t>
      </w:r>
      <w:r w:rsidRPr="000C416B">
        <w:rPr>
          <w:rFonts w:ascii="Arial" w:eastAsia="Verdana" w:hAnsi="Arial" w:cs="Arial"/>
          <w:bCs/>
          <w:i/>
          <w:sz w:val="24"/>
          <w:szCs w:val="24"/>
        </w:rPr>
        <w:t xml:space="preserve"> Others</w:t>
      </w:r>
      <w:r w:rsidRPr="000C416B">
        <w:rPr>
          <w:rFonts w:ascii="Arial" w:eastAsia="Verdana" w:hAnsi="Arial" w:cs="Arial"/>
          <w:bCs/>
          <w:i/>
          <w:sz w:val="24"/>
          <w:szCs w:val="24"/>
          <w:vertAlign w:val="superscript"/>
        </w:rPr>
        <w:footnoteReference w:id="2"/>
      </w:r>
      <w:r w:rsidRPr="000C416B">
        <w:rPr>
          <w:rFonts w:ascii="Arial" w:eastAsia="Verdana" w:hAnsi="Arial" w:cs="Arial"/>
          <w:sz w:val="24"/>
          <w:szCs w:val="24"/>
        </w:rPr>
        <w:t>, Bertelsman J, explained what the threshold is for granting leave to appeal as follows:</w:t>
      </w:r>
    </w:p>
    <w:p w14:paraId="38F4351A" w14:textId="77777777" w:rsidR="00AF6C61" w:rsidRPr="000C416B" w:rsidRDefault="00AF6C61" w:rsidP="00AF6C61">
      <w:pPr>
        <w:spacing w:before="3" w:line="360" w:lineRule="auto"/>
        <w:ind w:firstLine="142"/>
        <w:rPr>
          <w:rFonts w:ascii="Arial" w:hAnsi="Arial" w:cs="Arial"/>
          <w:sz w:val="24"/>
          <w:szCs w:val="24"/>
        </w:rPr>
      </w:pPr>
    </w:p>
    <w:p w14:paraId="0BA5EF47" w14:textId="77777777" w:rsidR="00AF6C61" w:rsidRPr="000C416B" w:rsidRDefault="00AF6C61" w:rsidP="00AF6C61">
      <w:pPr>
        <w:spacing w:line="360" w:lineRule="auto"/>
        <w:ind w:left="720" w:firstLine="2"/>
        <w:jc w:val="both"/>
        <w:rPr>
          <w:rFonts w:ascii="Arial" w:hAnsi="Arial" w:cs="Arial"/>
          <w:sz w:val="24"/>
          <w:szCs w:val="24"/>
        </w:rPr>
      </w:pPr>
      <w:r w:rsidRPr="000C416B">
        <w:rPr>
          <w:rFonts w:ascii="Arial" w:eastAsia="Verdana" w:hAnsi="Arial" w:cs="Arial"/>
          <w:sz w:val="24"/>
          <w:szCs w:val="24"/>
        </w:rPr>
        <w:t>“</w:t>
      </w:r>
      <w:r w:rsidRPr="000C416B">
        <w:rPr>
          <w:rFonts w:ascii="Arial" w:eastAsia="Verdana" w:hAnsi="Arial" w:cs="Arial"/>
          <w:i/>
          <w:sz w:val="24"/>
          <w:szCs w:val="24"/>
        </w:rPr>
        <w:t>[6]    It is clear that the threshold for granting leave to appeal against a judgment of a High Court has been raised in the new Act.  The former test whether leave to appeal should be granted was  a  reasonable  prospect  that  another  court  might come   to   a   different   conclusion:   see   Van   Heerden v Cronwright and Others 1985 (2) SA 342 (T) at 343H.   The use of the word ‘would’ in the new statute indicates a measure of certainty that another court will differ from the court whose judgment is sought to be appealed against.”</w:t>
      </w:r>
      <w:r w:rsidRPr="000C416B">
        <w:rPr>
          <w:rFonts w:ascii="Arial" w:hAnsi="Arial" w:cs="Arial"/>
          <w:sz w:val="24"/>
          <w:szCs w:val="24"/>
        </w:rPr>
        <w:t xml:space="preserve"> </w:t>
      </w:r>
    </w:p>
    <w:p w14:paraId="4399232B" w14:textId="77777777" w:rsidR="00510428" w:rsidRPr="00510428" w:rsidRDefault="00510428" w:rsidP="00510428">
      <w:pPr>
        <w:pStyle w:val="ListParagraph"/>
        <w:spacing w:line="360" w:lineRule="auto"/>
        <w:rPr>
          <w:rFonts w:ascii="Arial" w:hAnsi="Arial" w:cs="Arial"/>
          <w:sz w:val="24"/>
          <w:szCs w:val="24"/>
        </w:rPr>
      </w:pPr>
    </w:p>
    <w:p w14:paraId="5E88DD28" w14:textId="6746A390" w:rsidR="00510428" w:rsidRDefault="00510428" w:rsidP="008E7C28">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lastRenderedPageBreak/>
        <w:t>The respondent submitted that there exists no sound, or rational basis upon which to conclude that the respondent has any reasonable prospects or a realistic chance of success on appeal.</w:t>
      </w:r>
    </w:p>
    <w:p w14:paraId="56831685" w14:textId="1BFDB0C5" w:rsidR="00510428" w:rsidRDefault="00510428" w:rsidP="00510428">
      <w:pPr>
        <w:pStyle w:val="ListParagraph"/>
        <w:spacing w:line="360" w:lineRule="auto"/>
        <w:ind w:left="0" w:right="75"/>
        <w:jc w:val="both"/>
        <w:rPr>
          <w:rFonts w:ascii="Arial" w:hAnsi="Arial" w:cs="Arial"/>
          <w:sz w:val="24"/>
          <w:szCs w:val="24"/>
        </w:rPr>
      </w:pPr>
    </w:p>
    <w:p w14:paraId="6E7326CB" w14:textId="5C44BFEE" w:rsidR="00510428" w:rsidRPr="00510428" w:rsidRDefault="00AF6C61" w:rsidP="00510428">
      <w:pPr>
        <w:pStyle w:val="ListParagraph"/>
        <w:spacing w:line="360" w:lineRule="auto"/>
        <w:ind w:left="0" w:right="75"/>
        <w:jc w:val="both"/>
        <w:rPr>
          <w:rFonts w:ascii="Arial" w:hAnsi="Arial" w:cs="Arial"/>
          <w:sz w:val="24"/>
          <w:szCs w:val="24"/>
          <w:u w:val="single"/>
        </w:rPr>
      </w:pPr>
      <w:r>
        <w:rPr>
          <w:rFonts w:ascii="Arial" w:hAnsi="Arial" w:cs="Arial"/>
          <w:sz w:val="24"/>
          <w:szCs w:val="24"/>
          <w:u w:val="single"/>
        </w:rPr>
        <w:t>This appeal</w:t>
      </w:r>
    </w:p>
    <w:p w14:paraId="5324F43E" w14:textId="6AF3EE30" w:rsidR="00510428" w:rsidRDefault="00510428" w:rsidP="008E7C28">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It is clear that this entire application hinges on the incorrect understanding by the respondent of the applicant’s cause of action.</w:t>
      </w:r>
    </w:p>
    <w:p w14:paraId="2B058B18" w14:textId="39F4AE3F" w:rsidR="008D2941" w:rsidRDefault="008D2941" w:rsidP="008D2941">
      <w:pPr>
        <w:pStyle w:val="ListParagraph"/>
        <w:spacing w:line="360" w:lineRule="auto"/>
        <w:ind w:left="0" w:right="75"/>
        <w:jc w:val="both"/>
        <w:rPr>
          <w:rFonts w:ascii="Arial" w:hAnsi="Arial" w:cs="Arial"/>
          <w:sz w:val="24"/>
          <w:szCs w:val="24"/>
        </w:rPr>
      </w:pPr>
    </w:p>
    <w:p w14:paraId="3A1222C2" w14:textId="77777777" w:rsidR="00AF6C61" w:rsidRPr="008D2941" w:rsidRDefault="00AF6C61" w:rsidP="00AF6C61">
      <w:pPr>
        <w:spacing w:line="360" w:lineRule="auto"/>
        <w:jc w:val="both"/>
        <w:rPr>
          <w:rFonts w:ascii="Arial" w:hAnsi="Arial" w:cs="Arial"/>
          <w:sz w:val="24"/>
          <w:szCs w:val="24"/>
          <w:u w:val="single"/>
        </w:rPr>
      </w:pPr>
      <w:r>
        <w:rPr>
          <w:rFonts w:ascii="Arial" w:hAnsi="Arial" w:cs="Arial"/>
          <w:sz w:val="24"/>
          <w:szCs w:val="24"/>
          <w:u w:val="single"/>
        </w:rPr>
        <w:t>The court’s refusal to grant condonation for the late delivery of the rescission application</w:t>
      </w:r>
    </w:p>
    <w:p w14:paraId="5E36A58D" w14:textId="0E1CA2CE" w:rsidR="00510428" w:rsidRPr="00AF6C61" w:rsidRDefault="00AF6C61" w:rsidP="00AF6C61">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This court refused condonation for the late delivery of the rescission application. </w:t>
      </w:r>
      <w:r w:rsidR="008D2941" w:rsidRPr="00AF6C61">
        <w:rPr>
          <w:rFonts w:ascii="Arial" w:hAnsi="Arial" w:cs="Arial"/>
          <w:sz w:val="24"/>
          <w:szCs w:val="24"/>
        </w:rPr>
        <w:t xml:space="preserve">The respondent is </w:t>
      </w:r>
      <w:r>
        <w:rPr>
          <w:rFonts w:ascii="Arial" w:hAnsi="Arial" w:cs="Arial"/>
          <w:sz w:val="24"/>
          <w:szCs w:val="24"/>
        </w:rPr>
        <w:t xml:space="preserve">however </w:t>
      </w:r>
      <w:r w:rsidR="008D2941" w:rsidRPr="00AF6C61">
        <w:rPr>
          <w:rFonts w:ascii="Arial" w:hAnsi="Arial" w:cs="Arial"/>
          <w:sz w:val="24"/>
          <w:szCs w:val="24"/>
        </w:rPr>
        <w:t xml:space="preserve">silent on the issue of condonation, which it had to apply for regarding the late delivery of the application for rescission.  The respondent also advances no reasons </w:t>
      </w:r>
      <w:r w:rsidRPr="00AF6C61">
        <w:rPr>
          <w:rFonts w:ascii="Arial" w:hAnsi="Arial" w:cs="Arial"/>
          <w:sz w:val="24"/>
          <w:szCs w:val="24"/>
        </w:rPr>
        <w:t>a</w:t>
      </w:r>
      <w:r>
        <w:rPr>
          <w:rFonts w:ascii="Arial" w:hAnsi="Arial" w:cs="Arial"/>
          <w:sz w:val="24"/>
          <w:szCs w:val="24"/>
        </w:rPr>
        <w:t>s</w:t>
      </w:r>
      <w:r w:rsidRPr="00AF6C61">
        <w:rPr>
          <w:rFonts w:ascii="Arial" w:hAnsi="Arial" w:cs="Arial"/>
          <w:sz w:val="24"/>
          <w:szCs w:val="24"/>
        </w:rPr>
        <w:t xml:space="preserve"> to </w:t>
      </w:r>
      <w:r w:rsidR="008D2941" w:rsidRPr="00AF6C61">
        <w:rPr>
          <w:rFonts w:ascii="Arial" w:hAnsi="Arial" w:cs="Arial"/>
          <w:sz w:val="24"/>
          <w:szCs w:val="24"/>
        </w:rPr>
        <w:t xml:space="preserve">why another court </w:t>
      </w:r>
      <w:r w:rsidR="008D2941" w:rsidRPr="00AF6C61">
        <w:rPr>
          <w:rFonts w:ascii="Arial" w:hAnsi="Arial" w:cs="Arial"/>
          <w:i/>
          <w:iCs/>
          <w:sz w:val="24"/>
          <w:szCs w:val="24"/>
        </w:rPr>
        <w:t xml:space="preserve">would </w:t>
      </w:r>
      <w:r w:rsidR="008D2941" w:rsidRPr="00AF6C61">
        <w:rPr>
          <w:rFonts w:ascii="Arial" w:hAnsi="Arial" w:cs="Arial"/>
          <w:sz w:val="24"/>
          <w:szCs w:val="24"/>
        </w:rPr>
        <w:t>conclude differently on the issue of condonation for the late filing of the rescission application.</w:t>
      </w:r>
    </w:p>
    <w:p w14:paraId="6C7E741E" w14:textId="254FFE1E" w:rsidR="008D2941" w:rsidRDefault="008D2941" w:rsidP="008D2941">
      <w:pPr>
        <w:rPr>
          <w:rFonts w:ascii="Arial" w:hAnsi="Arial" w:cs="Arial"/>
          <w:sz w:val="24"/>
          <w:szCs w:val="24"/>
        </w:rPr>
      </w:pPr>
    </w:p>
    <w:p w14:paraId="1A4C4D78" w14:textId="413BA84A" w:rsidR="00795F4B" w:rsidRDefault="00AF6C61" w:rsidP="007E3C6C">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The principles applicable to applications for condonation </w:t>
      </w:r>
      <w:r w:rsidR="00997A8C">
        <w:rPr>
          <w:rFonts w:ascii="Arial" w:hAnsi="Arial" w:cs="Arial"/>
          <w:sz w:val="24"/>
          <w:szCs w:val="24"/>
        </w:rPr>
        <w:t>are</w:t>
      </w:r>
      <w:r w:rsidR="007E3C6C">
        <w:rPr>
          <w:rFonts w:ascii="Arial" w:hAnsi="Arial" w:cs="Arial"/>
          <w:sz w:val="24"/>
          <w:szCs w:val="24"/>
        </w:rPr>
        <w:t xml:space="preserve"> fully dealt with in the judgment and need no repetition.</w:t>
      </w:r>
      <w:r w:rsidR="007E3C6C">
        <w:rPr>
          <w:rStyle w:val="FootnoteReference"/>
          <w:rFonts w:ascii="Arial" w:hAnsi="Arial" w:cs="Arial"/>
          <w:sz w:val="24"/>
          <w:szCs w:val="24"/>
        </w:rPr>
        <w:footnoteReference w:id="3"/>
      </w:r>
    </w:p>
    <w:p w14:paraId="7E7586E6" w14:textId="77777777" w:rsidR="007E3C6C" w:rsidRDefault="007E3C6C" w:rsidP="007E3C6C">
      <w:pPr>
        <w:pStyle w:val="ListParagraph"/>
        <w:spacing w:line="360" w:lineRule="auto"/>
        <w:ind w:left="0" w:right="75"/>
        <w:jc w:val="both"/>
        <w:rPr>
          <w:rFonts w:ascii="Arial" w:hAnsi="Arial" w:cs="Arial"/>
          <w:sz w:val="24"/>
          <w:szCs w:val="24"/>
        </w:rPr>
      </w:pPr>
    </w:p>
    <w:p w14:paraId="55EF07D4" w14:textId="30FF10C9" w:rsidR="00795F4B" w:rsidRDefault="00795F4B" w:rsidP="008D2941">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In the judgment it </w:t>
      </w:r>
      <w:r w:rsidR="00997A8C">
        <w:rPr>
          <w:rFonts w:ascii="Arial" w:hAnsi="Arial" w:cs="Arial"/>
          <w:sz w:val="24"/>
          <w:szCs w:val="24"/>
        </w:rPr>
        <w:t>i</w:t>
      </w:r>
      <w:r>
        <w:rPr>
          <w:rFonts w:ascii="Arial" w:hAnsi="Arial" w:cs="Arial"/>
          <w:sz w:val="24"/>
          <w:szCs w:val="24"/>
        </w:rPr>
        <w:t xml:space="preserve">s pointed out that the respondent was made aware of the judgment when the sheriff attempted to execute the warrant of execution as far back as 7 January 2021.  The warrant was </w:t>
      </w:r>
      <w:r w:rsidRPr="007E3C6C">
        <w:rPr>
          <w:rFonts w:ascii="Arial" w:hAnsi="Arial" w:cs="Arial"/>
          <w:i/>
          <w:iCs/>
          <w:sz w:val="24"/>
          <w:szCs w:val="24"/>
        </w:rPr>
        <w:t>personally</w:t>
      </w:r>
      <w:r>
        <w:rPr>
          <w:rFonts w:ascii="Arial" w:hAnsi="Arial" w:cs="Arial"/>
          <w:sz w:val="24"/>
          <w:szCs w:val="24"/>
        </w:rPr>
        <w:t xml:space="preserve"> served on </w:t>
      </w:r>
      <w:r w:rsidR="007E3C6C">
        <w:rPr>
          <w:rFonts w:ascii="Arial" w:hAnsi="Arial" w:cs="Arial"/>
          <w:sz w:val="24"/>
          <w:szCs w:val="24"/>
        </w:rPr>
        <w:t>Mr.</w:t>
      </w:r>
      <w:r>
        <w:rPr>
          <w:rFonts w:ascii="Arial" w:hAnsi="Arial" w:cs="Arial"/>
          <w:sz w:val="24"/>
          <w:szCs w:val="24"/>
        </w:rPr>
        <w:t xml:space="preserve"> Malunga</w:t>
      </w:r>
      <w:r w:rsidR="007E3C6C">
        <w:rPr>
          <w:rFonts w:ascii="Arial" w:hAnsi="Arial" w:cs="Arial"/>
          <w:sz w:val="24"/>
          <w:szCs w:val="24"/>
        </w:rPr>
        <w:t xml:space="preserve"> (</w:t>
      </w:r>
      <w:r>
        <w:rPr>
          <w:rFonts w:ascii="Arial" w:hAnsi="Arial" w:cs="Arial"/>
          <w:sz w:val="24"/>
          <w:szCs w:val="24"/>
        </w:rPr>
        <w:t>the deponent to the founding affidavit in the application for rescission</w:t>
      </w:r>
      <w:r w:rsidR="007E3C6C">
        <w:rPr>
          <w:rFonts w:ascii="Arial" w:hAnsi="Arial" w:cs="Arial"/>
          <w:sz w:val="24"/>
          <w:szCs w:val="24"/>
        </w:rPr>
        <w:t>)</w:t>
      </w:r>
      <w:r>
        <w:rPr>
          <w:rFonts w:ascii="Arial" w:hAnsi="Arial" w:cs="Arial"/>
          <w:sz w:val="24"/>
          <w:szCs w:val="24"/>
        </w:rPr>
        <w:t xml:space="preserve">.  No reasonable explanation was tendered </w:t>
      </w:r>
      <w:r w:rsidR="007E3C6C">
        <w:rPr>
          <w:rFonts w:ascii="Arial" w:hAnsi="Arial" w:cs="Arial"/>
          <w:sz w:val="24"/>
          <w:szCs w:val="24"/>
        </w:rPr>
        <w:t xml:space="preserve">as to </w:t>
      </w:r>
      <w:r>
        <w:rPr>
          <w:rFonts w:ascii="Arial" w:hAnsi="Arial" w:cs="Arial"/>
          <w:sz w:val="24"/>
          <w:szCs w:val="24"/>
        </w:rPr>
        <w:t xml:space="preserve">why the respondent did nothing for a period of approximately 8 months </w:t>
      </w:r>
      <w:r w:rsidR="007E3C6C">
        <w:rPr>
          <w:rFonts w:ascii="Arial" w:hAnsi="Arial" w:cs="Arial"/>
          <w:sz w:val="24"/>
          <w:szCs w:val="24"/>
        </w:rPr>
        <w:t xml:space="preserve">after he </w:t>
      </w:r>
      <w:r>
        <w:rPr>
          <w:rFonts w:ascii="Arial" w:hAnsi="Arial" w:cs="Arial"/>
          <w:sz w:val="24"/>
          <w:szCs w:val="24"/>
        </w:rPr>
        <w:t xml:space="preserve">became aware of the writ of execution up until such time </w:t>
      </w:r>
      <w:r w:rsidR="00997A8C">
        <w:rPr>
          <w:rFonts w:ascii="Arial" w:hAnsi="Arial" w:cs="Arial"/>
          <w:sz w:val="24"/>
          <w:szCs w:val="24"/>
        </w:rPr>
        <w:t>when</w:t>
      </w:r>
      <w:r>
        <w:rPr>
          <w:rFonts w:ascii="Arial" w:hAnsi="Arial" w:cs="Arial"/>
          <w:sz w:val="24"/>
          <w:szCs w:val="24"/>
        </w:rPr>
        <w:t xml:space="preserve"> he instituted the rescission application.</w:t>
      </w:r>
    </w:p>
    <w:p w14:paraId="041CB6FF" w14:textId="77777777" w:rsidR="00795F4B" w:rsidRDefault="00795F4B" w:rsidP="00795F4B">
      <w:pPr>
        <w:pStyle w:val="ListParagraph"/>
        <w:spacing w:line="360" w:lineRule="auto"/>
        <w:ind w:left="0" w:right="75"/>
        <w:jc w:val="both"/>
        <w:rPr>
          <w:rFonts w:ascii="Arial" w:hAnsi="Arial" w:cs="Arial"/>
          <w:sz w:val="24"/>
          <w:szCs w:val="24"/>
        </w:rPr>
      </w:pPr>
    </w:p>
    <w:p w14:paraId="6BECF935" w14:textId="39CD8D13" w:rsidR="00795F4B" w:rsidRDefault="00795F4B" w:rsidP="008D2941">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The respondent’s explanation for the late delivery of the rescission application is flimsy and fails to cover the entire period of the delay and is also far from reasonable.</w:t>
      </w:r>
    </w:p>
    <w:p w14:paraId="198977EC" w14:textId="77777777" w:rsidR="008D21B8" w:rsidRPr="008D21B8" w:rsidRDefault="008D21B8" w:rsidP="008D21B8">
      <w:pPr>
        <w:pStyle w:val="ListParagraph"/>
        <w:rPr>
          <w:rFonts w:ascii="Arial" w:hAnsi="Arial" w:cs="Arial"/>
          <w:sz w:val="24"/>
          <w:szCs w:val="24"/>
        </w:rPr>
      </w:pPr>
    </w:p>
    <w:p w14:paraId="66817055" w14:textId="461D1BCC" w:rsidR="00C07F62" w:rsidRDefault="008D21B8" w:rsidP="00E84E7C">
      <w:pPr>
        <w:pStyle w:val="ListParagraph"/>
        <w:numPr>
          <w:ilvl w:val="0"/>
          <w:numId w:val="24"/>
        </w:numPr>
        <w:spacing w:line="360" w:lineRule="auto"/>
        <w:ind w:right="75"/>
        <w:jc w:val="both"/>
        <w:rPr>
          <w:rFonts w:ascii="Arial" w:hAnsi="Arial" w:cs="Arial"/>
          <w:sz w:val="24"/>
          <w:szCs w:val="24"/>
        </w:rPr>
      </w:pPr>
      <w:r w:rsidRPr="007E3C6C">
        <w:rPr>
          <w:rFonts w:ascii="Arial" w:hAnsi="Arial" w:cs="Arial"/>
          <w:sz w:val="24"/>
          <w:szCs w:val="24"/>
        </w:rPr>
        <w:t>In light of the aforegoing</w:t>
      </w:r>
      <w:r w:rsidR="00E84E7C">
        <w:rPr>
          <w:rFonts w:ascii="Arial" w:hAnsi="Arial" w:cs="Arial"/>
          <w:sz w:val="24"/>
          <w:szCs w:val="24"/>
        </w:rPr>
        <w:t xml:space="preserve">, I am not persuaded that </w:t>
      </w:r>
      <w:r w:rsidRPr="007E3C6C">
        <w:rPr>
          <w:rFonts w:ascii="Arial" w:hAnsi="Arial" w:cs="Arial"/>
          <w:sz w:val="24"/>
          <w:szCs w:val="24"/>
        </w:rPr>
        <w:t xml:space="preserve">another court </w:t>
      </w:r>
      <w:r w:rsidRPr="007E3C6C">
        <w:rPr>
          <w:rFonts w:ascii="Arial" w:hAnsi="Arial" w:cs="Arial"/>
          <w:i/>
          <w:iCs/>
          <w:sz w:val="24"/>
          <w:szCs w:val="24"/>
        </w:rPr>
        <w:t xml:space="preserve">would </w:t>
      </w:r>
      <w:r w:rsidRPr="007E3C6C">
        <w:rPr>
          <w:rFonts w:ascii="Arial" w:hAnsi="Arial" w:cs="Arial"/>
          <w:sz w:val="24"/>
          <w:szCs w:val="24"/>
        </w:rPr>
        <w:t xml:space="preserve">conclude differently on the issue of condonation. </w:t>
      </w:r>
    </w:p>
    <w:p w14:paraId="65C03E8B" w14:textId="77777777" w:rsidR="00E84E7C" w:rsidRDefault="00E84E7C" w:rsidP="00E84E7C">
      <w:pPr>
        <w:pStyle w:val="ListParagraph"/>
        <w:spacing w:line="360" w:lineRule="auto"/>
        <w:ind w:left="0" w:right="75"/>
        <w:jc w:val="both"/>
        <w:rPr>
          <w:rFonts w:ascii="Arial" w:hAnsi="Arial" w:cs="Arial"/>
          <w:sz w:val="24"/>
          <w:szCs w:val="24"/>
        </w:rPr>
      </w:pPr>
    </w:p>
    <w:p w14:paraId="537C3556" w14:textId="4A04FCA2" w:rsidR="00C07F62" w:rsidRPr="00C07F62" w:rsidRDefault="00C07F62" w:rsidP="00C07F62">
      <w:pPr>
        <w:spacing w:line="360" w:lineRule="auto"/>
        <w:rPr>
          <w:rFonts w:ascii="Arial" w:hAnsi="Arial" w:cs="Arial"/>
          <w:sz w:val="24"/>
          <w:szCs w:val="24"/>
          <w:u w:val="single"/>
        </w:rPr>
      </w:pPr>
      <w:r>
        <w:rPr>
          <w:rFonts w:ascii="Arial" w:hAnsi="Arial" w:cs="Arial"/>
          <w:sz w:val="24"/>
          <w:szCs w:val="24"/>
          <w:u w:val="single"/>
        </w:rPr>
        <w:t xml:space="preserve">The respondent’s failure to disclose a </w:t>
      </w:r>
      <w:r w:rsidRPr="00C07F62">
        <w:rPr>
          <w:rFonts w:ascii="Arial" w:hAnsi="Arial" w:cs="Arial"/>
          <w:i/>
          <w:sz w:val="24"/>
          <w:szCs w:val="24"/>
          <w:u w:val="single"/>
        </w:rPr>
        <w:t>bona fide</w:t>
      </w:r>
      <w:r>
        <w:rPr>
          <w:rFonts w:ascii="Arial" w:hAnsi="Arial" w:cs="Arial"/>
          <w:sz w:val="24"/>
          <w:szCs w:val="24"/>
          <w:u w:val="single"/>
        </w:rPr>
        <w:t xml:space="preserve"> defence to the applicant’s claim</w:t>
      </w:r>
    </w:p>
    <w:p w14:paraId="0D0A7D9C" w14:textId="77779F65" w:rsidR="00C07F62" w:rsidRDefault="00203425"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lastRenderedPageBreak/>
        <w:t xml:space="preserve">This issue </w:t>
      </w:r>
      <w:r w:rsidR="00997A8C">
        <w:rPr>
          <w:rFonts w:ascii="Arial" w:hAnsi="Arial" w:cs="Arial"/>
          <w:sz w:val="24"/>
          <w:szCs w:val="24"/>
        </w:rPr>
        <w:t>is</w:t>
      </w:r>
      <w:r>
        <w:rPr>
          <w:rFonts w:ascii="Arial" w:hAnsi="Arial" w:cs="Arial"/>
          <w:sz w:val="24"/>
          <w:szCs w:val="24"/>
        </w:rPr>
        <w:t xml:space="preserve"> fully dealt with in the judgment. To restate: </w:t>
      </w:r>
      <w:r w:rsidR="00C07F62">
        <w:rPr>
          <w:rFonts w:ascii="Arial" w:hAnsi="Arial" w:cs="Arial"/>
          <w:sz w:val="24"/>
          <w:szCs w:val="24"/>
        </w:rPr>
        <w:t xml:space="preserve">The </w:t>
      </w:r>
      <w:r>
        <w:rPr>
          <w:rFonts w:ascii="Arial" w:hAnsi="Arial" w:cs="Arial"/>
          <w:sz w:val="24"/>
          <w:szCs w:val="24"/>
        </w:rPr>
        <w:t>sale of property agreement (“</w:t>
      </w:r>
      <w:r w:rsidRPr="00203425">
        <w:rPr>
          <w:rFonts w:ascii="Arial" w:hAnsi="Arial" w:cs="Arial"/>
          <w:i/>
          <w:iCs/>
          <w:sz w:val="24"/>
          <w:szCs w:val="24"/>
        </w:rPr>
        <w:t>the agreement</w:t>
      </w:r>
      <w:r>
        <w:rPr>
          <w:rFonts w:ascii="Arial" w:hAnsi="Arial" w:cs="Arial"/>
          <w:sz w:val="24"/>
          <w:szCs w:val="24"/>
        </w:rPr>
        <w:t xml:space="preserve">”) </w:t>
      </w:r>
      <w:r w:rsidR="00C07F62">
        <w:rPr>
          <w:rFonts w:ascii="Arial" w:hAnsi="Arial" w:cs="Arial"/>
          <w:sz w:val="24"/>
          <w:szCs w:val="24"/>
        </w:rPr>
        <w:t>entered into between the parties constitute</w:t>
      </w:r>
      <w:r w:rsidR="00997A8C">
        <w:rPr>
          <w:rFonts w:ascii="Arial" w:hAnsi="Arial" w:cs="Arial"/>
          <w:sz w:val="24"/>
          <w:szCs w:val="24"/>
        </w:rPr>
        <w:t>s</w:t>
      </w:r>
      <w:r w:rsidR="00C07F62">
        <w:rPr>
          <w:rFonts w:ascii="Arial" w:hAnsi="Arial" w:cs="Arial"/>
          <w:sz w:val="24"/>
          <w:szCs w:val="24"/>
        </w:rPr>
        <w:t xml:space="preserve"> a binding agreement</w:t>
      </w:r>
      <w:r w:rsidR="00997A8C">
        <w:rPr>
          <w:rFonts w:ascii="Arial" w:hAnsi="Arial" w:cs="Arial"/>
          <w:sz w:val="24"/>
          <w:szCs w:val="24"/>
        </w:rPr>
        <w:t>.</w:t>
      </w:r>
      <w:r>
        <w:rPr>
          <w:rFonts w:ascii="Arial" w:hAnsi="Arial" w:cs="Arial"/>
          <w:sz w:val="24"/>
          <w:szCs w:val="24"/>
        </w:rPr>
        <w:t xml:space="preserve"> The</w:t>
      </w:r>
      <w:r w:rsidR="00C07F62">
        <w:rPr>
          <w:rFonts w:ascii="Arial" w:hAnsi="Arial" w:cs="Arial"/>
          <w:sz w:val="24"/>
          <w:szCs w:val="24"/>
        </w:rPr>
        <w:t xml:space="preserve"> terms and conditions </w:t>
      </w:r>
      <w:r>
        <w:rPr>
          <w:rFonts w:ascii="Arial" w:hAnsi="Arial" w:cs="Arial"/>
          <w:sz w:val="24"/>
          <w:szCs w:val="24"/>
        </w:rPr>
        <w:t xml:space="preserve">contained in the agreement are </w:t>
      </w:r>
      <w:r w:rsidR="00C07F62" w:rsidRPr="009023CD">
        <w:rPr>
          <w:rFonts w:ascii="Arial" w:hAnsi="Arial" w:cs="Arial"/>
          <w:i/>
          <w:sz w:val="24"/>
          <w:szCs w:val="24"/>
        </w:rPr>
        <w:t>not</w:t>
      </w:r>
      <w:r w:rsidR="00C07F62">
        <w:rPr>
          <w:rFonts w:ascii="Arial" w:hAnsi="Arial" w:cs="Arial"/>
          <w:sz w:val="24"/>
          <w:szCs w:val="24"/>
        </w:rPr>
        <w:t xml:space="preserve"> ambiguous and </w:t>
      </w:r>
      <w:r>
        <w:rPr>
          <w:rFonts w:ascii="Arial" w:hAnsi="Arial" w:cs="Arial"/>
          <w:sz w:val="24"/>
          <w:szCs w:val="24"/>
        </w:rPr>
        <w:t xml:space="preserve">the parties have </w:t>
      </w:r>
      <w:r w:rsidR="00C07F62">
        <w:rPr>
          <w:rFonts w:ascii="Arial" w:hAnsi="Arial" w:cs="Arial"/>
          <w:sz w:val="24"/>
          <w:szCs w:val="24"/>
        </w:rPr>
        <w:t>expressly reached consensus</w:t>
      </w:r>
      <w:r>
        <w:rPr>
          <w:rFonts w:ascii="Arial" w:hAnsi="Arial" w:cs="Arial"/>
          <w:sz w:val="24"/>
          <w:szCs w:val="24"/>
        </w:rPr>
        <w:t xml:space="preserve"> in respect thereof</w:t>
      </w:r>
      <w:r w:rsidR="00C07F62">
        <w:rPr>
          <w:rFonts w:ascii="Arial" w:hAnsi="Arial" w:cs="Arial"/>
          <w:sz w:val="24"/>
          <w:szCs w:val="24"/>
        </w:rPr>
        <w:t xml:space="preserve">.  The common law principle of </w:t>
      </w:r>
      <w:r w:rsidR="00C07F62">
        <w:rPr>
          <w:rFonts w:ascii="Arial" w:hAnsi="Arial" w:cs="Arial"/>
          <w:i/>
          <w:sz w:val="24"/>
          <w:szCs w:val="24"/>
        </w:rPr>
        <w:t>pacta sunt servanda</w:t>
      </w:r>
      <w:r w:rsidR="00C07F62">
        <w:rPr>
          <w:rFonts w:ascii="Arial" w:hAnsi="Arial" w:cs="Arial"/>
          <w:sz w:val="24"/>
          <w:szCs w:val="24"/>
        </w:rPr>
        <w:t xml:space="preserve"> is an established principle of our common law which, in lay terms, means that agreements must be honoured by the parties.</w:t>
      </w:r>
    </w:p>
    <w:p w14:paraId="1B546A5C" w14:textId="77777777" w:rsidR="00C07F62" w:rsidRDefault="00C07F62" w:rsidP="00C07F62">
      <w:pPr>
        <w:pStyle w:val="ListParagraph"/>
        <w:spacing w:line="360" w:lineRule="auto"/>
        <w:ind w:left="0" w:right="75"/>
        <w:jc w:val="both"/>
        <w:rPr>
          <w:rFonts w:ascii="Arial" w:hAnsi="Arial" w:cs="Arial"/>
          <w:sz w:val="24"/>
          <w:szCs w:val="24"/>
        </w:rPr>
      </w:pPr>
    </w:p>
    <w:p w14:paraId="22C40C66" w14:textId="1348189B" w:rsidR="00C07F62" w:rsidRDefault="00C07F62"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The applicant’s claim and cause of action are premised upon the respondent’s non-compliance with the terms and conditions of the </w:t>
      </w:r>
      <w:r w:rsidR="00203425">
        <w:rPr>
          <w:rFonts w:ascii="Arial" w:hAnsi="Arial" w:cs="Arial"/>
          <w:sz w:val="24"/>
          <w:szCs w:val="24"/>
        </w:rPr>
        <w:t>a</w:t>
      </w:r>
      <w:r>
        <w:rPr>
          <w:rFonts w:ascii="Arial" w:hAnsi="Arial" w:cs="Arial"/>
          <w:sz w:val="24"/>
          <w:szCs w:val="24"/>
        </w:rPr>
        <w:t>greement.</w:t>
      </w:r>
    </w:p>
    <w:p w14:paraId="4964706F" w14:textId="77777777" w:rsidR="00C07F62" w:rsidRDefault="00C07F62" w:rsidP="00C07F62">
      <w:pPr>
        <w:pStyle w:val="ListParagraph"/>
        <w:spacing w:line="360" w:lineRule="auto"/>
        <w:ind w:left="0" w:right="75"/>
        <w:jc w:val="both"/>
        <w:rPr>
          <w:rFonts w:ascii="Arial" w:hAnsi="Arial" w:cs="Arial"/>
          <w:sz w:val="24"/>
          <w:szCs w:val="24"/>
        </w:rPr>
      </w:pPr>
    </w:p>
    <w:p w14:paraId="41D02500" w14:textId="0550769A" w:rsidR="00C07F62" w:rsidRDefault="00C07F62"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It is common cause between the parties that the respondent failed to pay the full purchase price in respect of </w:t>
      </w:r>
      <w:r w:rsidR="00203425">
        <w:rPr>
          <w:rFonts w:ascii="Arial" w:hAnsi="Arial" w:cs="Arial"/>
          <w:sz w:val="24"/>
          <w:szCs w:val="24"/>
        </w:rPr>
        <w:t xml:space="preserve">certain units </w:t>
      </w:r>
      <w:r>
        <w:rPr>
          <w:rFonts w:ascii="Arial" w:hAnsi="Arial" w:cs="Arial"/>
          <w:sz w:val="24"/>
          <w:szCs w:val="24"/>
        </w:rPr>
        <w:t>purchased by the respondent as recorded in clause 3.1 of the agreement.</w:t>
      </w:r>
    </w:p>
    <w:p w14:paraId="7DC11318" w14:textId="77777777" w:rsidR="00C07F62" w:rsidRPr="00C07F62" w:rsidRDefault="00C07F62" w:rsidP="00C07F62">
      <w:pPr>
        <w:pStyle w:val="ListParagraph"/>
        <w:rPr>
          <w:rFonts w:ascii="Arial" w:hAnsi="Arial" w:cs="Arial"/>
          <w:sz w:val="24"/>
          <w:szCs w:val="24"/>
        </w:rPr>
      </w:pPr>
    </w:p>
    <w:p w14:paraId="424C21FF" w14:textId="706F899B" w:rsidR="00C07F62" w:rsidRDefault="00203425"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 xml:space="preserve">As a result of the respondent’s </w:t>
      </w:r>
      <w:r w:rsidR="00C07F62">
        <w:rPr>
          <w:rFonts w:ascii="Arial" w:hAnsi="Arial" w:cs="Arial"/>
          <w:sz w:val="24"/>
          <w:szCs w:val="24"/>
        </w:rPr>
        <w:t xml:space="preserve">failure to adhere to the terms of the agreement and its consequent material breach, the </w:t>
      </w:r>
      <w:r w:rsidR="00E84E7C">
        <w:rPr>
          <w:rFonts w:ascii="Arial" w:hAnsi="Arial" w:cs="Arial"/>
          <w:sz w:val="24"/>
          <w:szCs w:val="24"/>
        </w:rPr>
        <w:t>applicant</w:t>
      </w:r>
      <w:r w:rsidR="00997A8C">
        <w:rPr>
          <w:rFonts w:ascii="Arial" w:hAnsi="Arial" w:cs="Arial"/>
          <w:sz w:val="24"/>
          <w:szCs w:val="24"/>
        </w:rPr>
        <w:t xml:space="preserve"> </w:t>
      </w:r>
      <w:r w:rsidR="00E84E7C">
        <w:rPr>
          <w:rFonts w:ascii="Arial" w:hAnsi="Arial" w:cs="Arial"/>
          <w:sz w:val="24"/>
          <w:szCs w:val="24"/>
        </w:rPr>
        <w:t>initiated</w:t>
      </w:r>
      <w:r w:rsidR="00C07F62">
        <w:rPr>
          <w:rFonts w:ascii="Arial" w:hAnsi="Arial" w:cs="Arial"/>
          <w:sz w:val="24"/>
          <w:szCs w:val="24"/>
        </w:rPr>
        <w:t xml:space="preserve"> action proceedings and obtained judgment by default in the sum of R999 095.28 constituting the </w:t>
      </w:r>
      <w:r w:rsidR="00C07F62" w:rsidRPr="00203425">
        <w:rPr>
          <w:rFonts w:ascii="Arial" w:hAnsi="Arial" w:cs="Arial"/>
          <w:i/>
          <w:iCs/>
          <w:sz w:val="24"/>
          <w:szCs w:val="24"/>
        </w:rPr>
        <w:t>outstanding balance</w:t>
      </w:r>
      <w:r w:rsidR="00C07F62">
        <w:rPr>
          <w:rFonts w:ascii="Arial" w:hAnsi="Arial" w:cs="Arial"/>
          <w:sz w:val="24"/>
          <w:szCs w:val="24"/>
        </w:rPr>
        <w:t xml:space="preserve"> of the amount due towards the </w:t>
      </w:r>
      <w:r w:rsidR="00C07F62" w:rsidRPr="00203425">
        <w:rPr>
          <w:rFonts w:ascii="Arial" w:hAnsi="Arial" w:cs="Arial"/>
          <w:i/>
          <w:iCs/>
          <w:sz w:val="24"/>
          <w:szCs w:val="24"/>
        </w:rPr>
        <w:t>full purchase price</w:t>
      </w:r>
      <w:r w:rsidR="00C07F62">
        <w:rPr>
          <w:rFonts w:ascii="Arial" w:hAnsi="Arial" w:cs="Arial"/>
          <w:sz w:val="24"/>
          <w:szCs w:val="24"/>
        </w:rPr>
        <w:t xml:space="preserve"> as recorded in the agreement and reflected in the statement of account delivered to the respondent.</w:t>
      </w:r>
      <w:r w:rsidR="009023CD">
        <w:rPr>
          <w:rFonts w:ascii="Arial" w:hAnsi="Arial" w:cs="Arial"/>
          <w:sz w:val="24"/>
          <w:szCs w:val="24"/>
        </w:rPr>
        <w:t xml:space="preserve">  The VAT amount of the property transaction is R880 </w:t>
      </w:r>
      <w:r w:rsidR="00997A8C">
        <w:rPr>
          <w:rFonts w:ascii="Arial" w:hAnsi="Arial" w:cs="Arial"/>
          <w:sz w:val="24"/>
          <w:szCs w:val="24"/>
        </w:rPr>
        <w:t>434.89 and</w:t>
      </w:r>
      <w:r w:rsidR="009023CD">
        <w:rPr>
          <w:rFonts w:ascii="Arial" w:hAnsi="Arial" w:cs="Arial"/>
          <w:sz w:val="24"/>
          <w:szCs w:val="24"/>
        </w:rPr>
        <w:t xml:space="preserve"> is less than the total amount claimed in respect of the </w:t>
      </w:r>
      <w:r w:rsidR="009023CD" w:rsidRPr="00203425">
        <w:rPr>
          <w:rFonts w:ascii="Arial" w:hAnsi="Arial" w:cs="Arial"/>
          <w:i/>
          <w:iCs/>
          <w:sz w:val="24"/>
          <w:szCs w:val="24"/>
        </w:rPr>
        <w:t>outstanding purchase price</w:t>
      </w:r>
      <w:r w:rsidR="009023CD">
        <w:rPr>
          <w:rFonts w:ascii="Arial" w:hAnsi="Arial" w:cs="Arial"/>
          <w:sz w:val="24"/>
          <w:szCs w:val="24"/>
        </w:rPr>
        <w:t xml:space="preserve"> and other costs.  It is clear that it is </w:t>
      </w:r>
      <w:r w:rsidR="009023CD">
        <w:rPr>
          <w:rFonts w:ascii="Arial" w:hAnsi="Arial" w:cs="Arial"/>
          <w:i/>
          <w:sz w:val="24"/>
          <w:szCs w:val="24"/>
        </w:rPr>
        <w:t>not</w:t>
      </w:r>
      <w:r w:rsidR="009023CD">
        <w:rPr>
          <w:rFonts w:ascii="Arial" w:hAnsi="Arial" w:cs="Arial"/>
          <w:sz w:val="24"/>
          <w:szCs w:val="24"/>
        </w:rPr>
        <w:t xml:space="preserve"> the VAT which </w:t>
      </w:r>
      <w:r>
        <w:rPr>
          <w:rFonts w:ascii="Arial" w:hAnsi="Arial" w:cs="Arial"/>
          <w:sz w:val="24"/>
          <w:szCs w:val="24"/>
        </w:rPr>
        <w:t>i</w:t>
      </w:r>
      <w:r w:rsidR="009023CD">
        <w:rPr>
          <w:rFonts w:ascii="Arial" w:hAnsi="Arial" w:cs="Arial"/>
          <w:sz w:val="24"/>
          <w:szCs w:val="24"/>
        </w:rPr>
        <w:t>s claimed in the summons and for which default judgment was granted.</w:t>
      </w:r>
    </w:p>
    <w:p w14:paraId="12CD6A62" w14:textId="77777777" w:rsidR="009023CD" w:rsidRPr="009023CD" w:rsidRDefault="009023CD" w:rsidP="009023CD">
      <w:pPr>
        <w:pStyle w:val="ListParagraph"/>
        <w:rPr>
          <w:rFonts w:ascii="Arial" w:hAnsi="Arial" w:cs="Arial"/>
          <w:sz w:val="24"/>
          <w:szCs w:val="24"/>
        </w:rPr>
      </w:pPr>
    </w:p>
    <w:p w14:paraId="233DBECC" w14:textId="0AFFA4F3" w:rsidR="009023CD" w:rsidRDefault="009023CD"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Despite having admitted to receiving the summons in the action, and receiving two warrants of execution from the sheriff, the respondent, did nothing until the application to declare the immovable properties executable was served.</w:t>
      </w:r>
    </w:p>
    <w:p w14:paraId="049AC2FF" w14:textId="77777777" w:rsidR="009023CD" w:rsidRPr="009023CD" w:rsidRDefault="009023CD" w:rsidP="009023CD">
      <w:pPr>
        <w:pStyle w:val="ListParagraph"/>
        <w:rPr>
          <w:rFonts w:ascii="Arial" w:hAnsi="Arial" w:cs="Arial"/>
          <w:sz w:val="24"/>
          <w:szCs w:val="24"/>
        </w:rPr>
      </w:pPr>
    </w:p>
    <w:p w14:paraId="60966482" w14:textId="6FF10B18" w:rsidR="009023CD" w:rsidRDefault="009023CD"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The applicant was therefore entitled to claim specific performance, and judgment by default was correctly granted.</w:t>
      </w:r>
    </w:p>
    <w:p w14:paraId="75FFA0DB" w14:textId="77777777" w:rsidR="009023CD" w:rsidRPr="009023CD" w:rsidRDefault="009023CD" w:rsidP="009023CD">
      <w:pPr>
        <w:pStyle w:val="ListParagraph"/>
        <w:rPr>
          <w:rFonts w:ascii="Arial" w:hAnsi="Arial" w:cs="Arial"/>
          <w:sz w:val="24"/>
          <w:szCs w:val="24"/>
        </w:rPr>
      </w:pPr>
    </w:p>
    <w:p w14:paraId="5DE90CF8" w14:textId="6392E849" w:rsidR="009023CD" w:rsidRPr="00203425" w:rsidRDefault="009023CD" w:rsidP="00BF6207">
      <w:pPr>
        <w:pStyle w:val="ListParagraph"/>
        <w:numPr>
          <w:ilvl w:val="0"/>
          <w:numId w:val="24"/>
        </w:numPr>
        <w:spacing w:line="360" w:lineRule="auto"/>
        <w:ind w:right="75"/>
        <w:jc w:val="both"/>
        <w:rPr>
          <w:rFonts w:ascii="Arial" w:hAnsi="Arial" w:cs="Arial"/>
          <w:sz w:val="24"/>
          <w:szCs w:val="24"/>
        </w:rPr>
      </w:pPr>
      <w:r w:rsidRPr="00203425">
        <w:rPr>
          <w:rFonts w:ascii="Arial" w:hAnsi="Arial" w:cs="Arial"/>
          <w:sz w:val="24"/>
          <w:szCs w:val="24"/>
        </w:rPr>
        <w:t xml:space="preserve">I am not persuaded that the respondent discloses a </w:t>
      </w:r>
      <w:r w:rsidRPr="00203425">
        <w:rPr>
          <w:rFonts w:ascii="Arial" w:hAnsi="Arial" w:cs="Arial"/>
          <w:i/>
          <w:sz w:val="24"/>
          <w:szCs w:val="24"/>
        </w:rPr>
        <w:t>bona fide</w:t>
      </w:r>
      <w:r w:rsidRPr="00203425">
        <w:rPr>
          <w:rFonts w:ascii="Arial" w:hAnsi="Arial" w:cs="Arial"/>
          <w:sz w:val="24"/>
          <w:szCs w:val="24"/>
        </w:rPr>
        <w:t xml:space="preserve"> defence, and I am not persuaded that another court </w:t>
      </w:r>
      <w:r w:rsidRPr="00997A8C">
        <w:rPr>
          <w:rFonts w:ascii="Arial" w:hAnsi="Arial" w:cs="Arial"/>
          <w:i/>
          <w:iCs/>
          <w:sz w:val="24"/>
          <w:szCs w:val="24"/>
        </w:rPr>
        <w:t>would</w:t>
      </w:r>
      <w:r w:rsidRPr="00203425">
        <w:rPr>
          <w:rFonts w:ascii="Arial" w:hAnsi="Arial" w:cs="Arial"/>
          <w:sz w:val="24"/>
          <w:szCs w:val="24"/>
        </w:rPr>
        <w:t xml:space="preserve"> come to a different conclusion:  The respondent manifestly misconstrues the applicant’s cause of action</w:t>
      </w:r>
      <w:r w:rsidR="00203425" w:rsidRPr="00203425">
        <w:rPr>
          <w:rFonts w:ascii="Arial" w:hAnsi="Arial" w:cs="Arial"/>
          <w:sz w:val="24"/>
          <w:szCs w:val="24"/>
        </w:rPr>
        <w:t xml:space="preserve">: </w:t>
      </w:r>
      <w:r w:rsidRPr="00203425">
        <w:rPr>
          <w:rFonts w:ascii="Arial" w:hAnsi="Arial" w:cs="Arial"/>
          <w:sz w:val="24"/>
          <w:szCs w:val="24"/>
        </w:rPr>
        <w:t>Firstly, the respondent relies on a misplaced perception that the applicant issued a summons for the payment of VAT in terms of the sale of property agreement.</w:t>
      </w:r>
      <w:r w:rsidR="00203425" w:rsidRPr="00203425">
        <w:rPr>
          <w:rFonts w:ascii="Arial" w:hAnsi="Arial" w:cs="Arial"/>
          <w:sz w:val="24"/>
          <w:szCs w:val="24"/>
        </w:rPr>
        <w:t xml:space="preserve"> </w:t>
      </w:r>
      <w:r w:rsidRPr="00203425">
        <w:rPr>
          <w:rFonts w:ascii="Arial" w:hAnsi="Arial" w:cs="Arial"/>
          <w:sz w:val="24"/>
          <w:szCs w:val="24"/>
        </w:rPr>
        <w:t xml:space="preserve">Secondly, the respondent alleges that the </w:t>
      </w:r>
      <w:r w:rsidRPr="00203425">
        <w:rPr>
          <w:rFonts w:ascii="Arial" w:hAnsi="Arial" w:cs="Arial"/>
          <w:sz w:val="24"/>
          <w:szCs w:val="24"/>
        </w:rPr>
        <w:lastRenderedPageBreak/>
        <w:t>applicant contravened section 20 of the Value-Added Tax Act</w:t>
      </w:r>
      <w:r>
        <w:rPr>
          <w:rStyle w:val="FootnoteReference"/>
          <w:rFonts w:ascii="Arial" w:hAnsi="Arial" w:cs="Arial"/>
          <w:sz w:val="24"/>
          <w:szCs w:val="24"/>
        </w:rPr>
        <w:footnoteReference w:id="4"/>
      </w:r>
      <w:r w:rsidRPr="00203425">
        <w:rPr>
          <w:rFonts w:ascii="Arial" w:hAnsi="Arial" w:cs="Arial"/>
          <w:sz w:val="24"/>
          <w:szCs w:val="24"/>
        </w:rPr>
        <w:t xml:space="preserve">  in that a tax invoice was purportedly not issued within 21 days of the date on which the transaction was concluded.</w:t>
      </w:r>
    </w:p>
    <w:p w14:paraId="7337D5B2" w14:textId="77777777" w:rsidR="009023CD" w:rsidRPr="009023CD" w:rsidRDefault="009023CD" w:rsidP="009023CD">
      <w:pPr>
        <w:pStyle w:val="ListParagraph"/>
        <w:rPr>
          <w:rFonts w:ascii="Arial" w:hAnsi="Arial" w:cs="Arial"/>
          <w:sz w:val="24"/>
          <w:szCs w:val="24"/>
        </w:rPr>
      </w:pPr>
    </w:p>
    <w:p w14:paraId="169AA5D6" w14:textId="21B5CEE9" w:rsidR="005E614D" w:rsidRPr="00E84E7C" w:rsidRDefault="009023CD" w:rsidP="00A3063F">
      <w:pPr>
        <w:pStyle w:val="ListParagraph"/>
        <w:numPr>
          <w:ilvl w:val="0"/>
          <w:numId w:val="24"/>
        </w:numPr>
        <w:spacing w:line="360" w:lineRule="auto"/>
        <w:ind w:right="75"/>
        <w:jc w:val="both"/>
        <w:rPr>
          <w:rFonts w:ascii="Arial" w:hAnsi="Arial" w:cs="Arial"/>
          <w:sz w:val="24"/>
          <w:szCs w:val="24"/>
        </w:rPr>
      </w:pPr>
      <w:r w:rsidRPr="00E84E7C">
        <w:rPr>
          <w:rFonts w:ascii="Arial" w:hAnsi="Arial" w:cs="Arial"/>
          <w:sz w:val="24"/>
          <w:szCs w:val="24"/>
        </w:rPr>
        <w:t xml:space="preserve">These submissions </w:t>
      </w:r>
      <w:r w:rsidR="006A0726">
        <w:rPr>
          <w:rFonts w:ascii="Arial" w:hAnsi="Arial" w:cs="Arial"/>
          <w:sz w:val="24"/>
          <w:szCs w:val="24"/>
        </w:rPr>
        <w:t>are</w:t>
      </w:r>
      <w:r w:rsidRPr="00E84E7C">
        <w:rPr>
          <w:rFonts w:ascii="Arial" w:hAnsi="Arial" w:cs="Arial"/>
          <w:sz w:val="24"/>
          <w:szCs w:val="24"/>
        </w:rPr>
        <w:t xml:space="preserve"> dealt with </w:t>
      </w:r>
      <w:r w:rsidR="006A0726">
        <w:rPr>
          <w:rFonts w:ascii="Arial" w:hAnsi="Arial" w:cs="Arial"/>
          <w:sz w:val="24"/>
          <w:szCs w:val="24"/>
        </w:rPr>
        <w:t xml:space="preserve">in the judgment </w:t>
      </w:r>
      <w:r w:rsidR="00203425" w:rsidRPr="00E84E7C">
        <w:rPr>
          <w:rFonts w:ascii="Arial" w:hAnsi="Arial" w:cs="Arial"/>
          <w:sz w:val="24"/>
          <w:szCs w:val="24"/>
        </w:rPr>
        <w:t>and need not be repeated</w:t>
      </w:r>
      <w:r w:rsidRPr="00E84E7C">
        <w:rPr>
          <w:rFonts w:ascii="Arial" w:hAnsi="Arial" w:cs="Arial"/>
          <w:sz w:val="24"/>
          <w:szCs w:val="24"/>
        </w:rPr>
        <w:t xml:space="preserve">.  </w:t>
      </w:r>
      <w:r w:rsidR="00203425" w:rsidRPr="00E84E7C">
        <w:rPr>
          <w:rFonts w:ascii="Arial" w:hAnsi="Arial" w:cs="Arial"/>
          <w:sz w:val="24"/>
          <w:szCs w:val="24"/>
        </w:rPr>
        <w:t>Suffi</w:t>
      </w:r>
      <w:r w:rsidR="00E84E7C" w:rsidRPr="00E84E7C">
        <w:rPr>
          <w:rFonts w:ascii="Arial" w:hAnsi="Arial" w:cs="Arial"/>
          <w:sz w:val="24"/>
          <w:szCs w:val="24"/>
        </w:rPr>
        <w:t xml:space="preserve">ce to point out that I am not persuaded that another court </w:t>
      </w:r>
      <w:r w:rsidR="00E84E7C" w:rsidRPr="006A0726">
        <w:rPr>
          <w:rFonts w:ascii="Arial" w:hAnsi="Arial" w:cs="Arial"/>
          <w:i/>
          <w:iCs/>
          <w:sz w:val="24"/>
          <w:szCs w:val="24"/>
        </w:rPr>
        <w:t>would</w:t>
      </w:r>
      <w:r w:rsidR="00E84E7C" w:rsidRPr="00E84E7C">
        <w:rPr>
          <w:rFonts w:ascii="Arial" w:hAnsi="Arial" w:cs="Arial"/>
          <w:sz w:val="24"/>
          <w:szCs w:val="24"/>
        </w:rPr>
        <w:t xml:space="preserve"> come to another conclusion. T</w:t>
      </w:r>
      <w:r w:rsidR="005E614D" w:rsidRPr="00E84E7C">
        <w:rPr>
          <w:rFonts w:ascii="Arial" w:hAnsi="Arial" w:cs="Arial"/>
          <w:sz w:val="24"/>
          <w:szCs w:val="24"/>
        </w:rPr>
        <w:t>he s</w:t>
      </w:r>
      <w:r w:rsidRPr="00E84E7C">
        <w:rPr>
          <w:rFonts w:ascii="Arial" w:hAnsi="Arial" w:cs="Arial"/>
          <w:sz w:val="24"/>
          <w:szCs w:val="24"/>
        </w:rPr>
        <w:t xml:space="preserve">ale of </w:t>
      </w:r>
      <w:r w:rsidR="005E614D" w:rsidRPr="00E84E7C">
        <w:rPr>
          <w:rFonts w:ascii="Arial" w:hAnsi="Arial" w:cs="Arial"/>
          <w:sz w:val="24"/>
          <w:szCs w:val="24"/>
        </w:rPr>
        <w:t>p</w:t>
      </w:r>
      <w:r w:rsidRPr="00E84E7C">
        <w:rPr>
          <w:rFonts w:ascii="Arial" w:hAnsi="Arial" w:cs="Arial"/>
          <w:sz w:val="24"/>
          <w:szCs w:val="24"/>
        </w:rPr>
        <w:t xml:space="preserve">roperty </w:t>
      </w:r>
      <w:r w:rsidR="005E614D" w:rsidRPr="00E84E7C">
        <w:rPr>
          <w:rFonts w:ascii="Arial" w:hAnsi="Arial" w:cs="Arial"/>
          <w:sz w:val="24"/>
          <w:szCs w:val="24"/>
        </w:rPr>
        <w:t>a</w:t>
      </w:r>
      <w:r w:rsidRPr="00E84E7C">
        <w:rPr>
          <w:rFonts w:ascii="Arial" w:hAnsi="Arial" w:cs="Arial"/>
          <w:sz w:val="24"/>
          <w:szCs w:val="24"/>
        </w:rPr>
        <w:t xml:space="preserve">greement specifically records that </w:t>
      </w:r>
      <w:r w:rsidR="00E84E7C" w:rsidRPr="00E84E7C">
        <w:rPr>
          <w:rFonts w:ascii="Arial" w:hAnsi="Arial" w:cs="Arial"/>
          <w:sz w:val="24"/>
          <w:szCs w:val="24"/>
        </w:rPr>
        <w:t>Mr.</w:t>
      </w:r>
      <w:r w:rsidRPr="00E84E7C">
        <w:rPr>
          <w:rFonts w:ascii="Arial" w:hAnsi="Arial" w:cs="Arial"/>
          <w:sz w:val="24"/>
          <w:szCs w:val="24"/>
        </w:rPr>
        <w:t xml:space="preserve"> Malunga is representing a company to be formed under the name of Rietfontein View Estate (Pty) Ltd (the respondent) who would be the purchaser in terms of the agreement.  The fact that the VAT invoice was provided to the respondent prior to it being incorporated is accordingly not irregular.</w:t>
      </w:r>
      <w:r w:rsidR="00E84E7C" w:rsidRPr="00E84E7C">
        <w:rPr>
          <w:rFonts w:ascii="Arial" w:hAnsi="Arial" w:cs="Arial"/>
          <w:sz w:val="24"/>
          <w:szCs w:val="24"/>
        </w:rPr>
        <w:t xml:space="preserve"> But more importantly, </w:t>
      </w:r>
      <w:r w:rsidR="005E614D" w:rsidRPr="00E84E7C">
        <w:rPr>
          <w:rFonts w:ascii="Arial" w:hAnsi="Arial" w:cs="Arial"/>
          <w:sz w:val="24"/>
          <w:szCs w:val="24"/>
        </w:rPr>
        <w:t xml:space="preserve">clause 3.1 of the agreement records </w:t>
      </w:r>
      <w:r w:rsidR="00E84E7C">
        <w:rPr>
          <w:rFonts w:ascii="Arial" w:hAnsi="Arial" w:cs="Arial"/>
          <w:sz w:val="24"/>
          <w:szCs w:val="24"/>
        </w:rPr>
        <w:t xml:space="preserve">expressly </w:t>
      </w:r>
      <w:r w:rsidR="005E614D" w:rsidRPr="00E84E7C">
        <w:rPr>
          <w:rFonts w:ascii="Arial" w:hAnsi="Arial" w:cs="Arial"/>
          <w:sz w:val="24"/>
          <w:szCs w:val="24"/>
        </w:rPr>
        <w:t xml:space="preserve">that the purchase price is </w:t>
      </w:r>
      <w:r w:rsidR="005E614D" w:rsidRPr="00E84E7C">
        <w:rPr>
          <w:rFonts w:ascii="Arial" w:hAnsi="Arial" w:cs="Arial"/>
          <w:i/>
          <w:iCs/>
          <w:sz w:val="24"/>
          <w:szCs w:val="24"/>
        </w:rPr>
        <w:t>VAT inclusive</w:t>
      </w:r>
      <w:r w:rsidR="005E614D" w:rsidRPr="00E84E7C">
        <w:rPr>
          <w:rFonts w:ascii="Arial" w:hAnsi="Arial" w:cs="Arial"/>
          <w:sz w:val="24"/>
          <w:szCs w:val="24"/>
        </w:rPr>
        <w:t>.</w:t>
      </w:r>
    </w:p>
    <w:p w14:paraId="45D8B59E" w14:textId="77777777" w:rsidR="005E614D" w:rsidRPr="005E614D" w:rsidRDefault="005E614D" w:rsidP="005E614D">
      <w:pPr>
        <w:pStyle w:val="ListParagraph"/>
        <w:rPr>
          <w:rFonts w:ascii="Arial" w:hAnsi="Arial" w:cs="Arial"/>
          <w:sz w:val="24"/>
          <w:szCs w:val="24"/>
        </w:rPr>
      </w:pPr>
    </w:p>
    <w:p w14:paraId="6FA847BC" w14:textId="383875F6" w:rsidR="009023CD" w:rsidRDefault="005E614D"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Nowhere in the respondent’s founding or answering affidavit is it alleged that payment of the entire purchase price (including VAT) was made as agreed in the sale of property agreement</w:t>
      </w:r>
      <w:r w:rsidR="006A0726">
        <w:rPr>
          <w:rFonts w:ascii="Arial" w:hAnsi="Arial" w:cs="Arial"/>
          <w:sz w:val="24"/>
          <w:szCs w:val="24"/>
        </w:rPr>
        <w:t>.</w:t>
      </w:r>
      <w:r>
        <w:rPr>
          <w:rFonts w:ascii="Arial" w:hAnsi="Arial" w:cs="Arial"/>
          <w:sz w:val="24"/>
          <w:szCs w:val="24"/>
        </w:rPr>
        <w:t xml:space="preserve"> </w:t>
      </w:r>
      <w:r w:rsidR="006A0726">
        <w:rPr>
          <w:rFonts w:ascii="Arial" w:hAnsi="Arial" w:cs="Arial"/>
          <w:sz w:val="24"/>
          <w:szCs w:val="24"/>
        </w:rPr>
        <w:t>I</w:t>
      </w:r>
      <w:r>
        <w:rPr>
          <w:rFonts w:ascii="Arial" w:hAnsi="Arial" w:cs="Arial"/>
          <w:sz w:val="24"/>
          <w:szCs w:val="24"/>
        </w:rPr>
        <w:t>n fact it is conceded that the full purchase price was not paid.</w:t>
      </w:r>
      <w:r w:rsidR="009023CD">
        <w:rPr>
          <w:rFonts w:ascii="Arial" w:hAnsi="Arial" w:cs="Arial"/>
          <w:sz w:val="24"/>
          <w:szCs w:val="24"/>
        </w:rPr>
        <w:t xml:space="preserve"> </w:t>
      </w:r>
    </w:p>
    <w:p w14:paraId="110D1237" w14:textId="77777777" w:rsidR="005E614D" w:rsidRPr="005E614D" w:rsidRDefault="005E614D" w:rsidP="005E614D">
      <w:pPr>
        <w:pStyle w:val="ListParagraph"/>
        <w:rPr>
          <w:rFonts w:ascii="Arial" w:hAnsi="Arial" w:cs="Arial"/>
          <w:sz w:val="24"/>
          <w:szCs w:val="24"/>
        </w:rPr>
      </w:pPr>
    </w:p>
    <w:p w14:paraId="55900498" w14:textId="18812498" w:rsidR="005E614D" w:rsidRDefault="005E614D" w:rsidP="00C07F62">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Under the circumstances, I am not persuaded that the respondent has reasonable prospects of success on appeal.</w:t>
      </w:r>
    </w:p>
    <w:p w14:paraId="798C77F1" w14:textId="593924EB" w:rsidR="005E614D" w:rsidRDefault="005E614D" w:rsidP="005E614D">
      <w:pPr>
        <w:rPr>
          <w:rFonts w:ascii="Arial" w:hAnsi="Arial" w:cs="Arial"/>
          <w:sz w:val="24"/>
          <w:szCs w:val="24"/>
        </w:rPr>
      </w:pPr>
    </w:p>
    <w:p w14:paraId="004A2178" w14:textId="2EDEBDEE" w:rsidR="005E614D" w:rsidRPr="005E614D" w:rsidRDefault="005E614D" w:rsidP="005E614D">
      <w:pPr>
        <w:spacing w:line="360" w:lineRule="auto"/>
        <w:rPr>
          <w:rFonts w:ascii="Arial" w:hAnsi="Arial" w:cs="Arial"/>
          <w:sz w:val="24"/>
          <w:szCs w:val="24"/>
          <w:u w:val="single"/>
        </w:rPr>
      </w:pPr>
      <w:r>
        <w:rPr>
          <w:rFonts w:ascii="Arial" w:hAnsi="Arial" w:cs="Arial"/>
          <w:sz w:val="24"/>
          <w:szCs w:val="24"/>
          <w:u w:val="single"/>
        </w:rPr>
        <w:t>Order</w:t>
      </w:r>
    </w:p>
    <w:p w14:paraId="2D658F98" w14:textId="6AB0CFAE" w:rsidR="005E614D" w:rsidRPr="00EB2563" w:rsidRDefault="005E614D" w:rsidP="005E614D">
      <w:pPr>
        <w:pStyle w:val="ListParagraph"/>
        <w:numPr>
          <w:ilvl w:val="0"/>
          <w:numId w:val="24"/>
        </w:numPr>
        <w:spacing w:line="360" w:lineRule="auto"/>
        <w:ind w:right="75"/>
        <w:jc w:val="both"/>
        <w:rPr>
          <w:rFonts w:ascii="Arial" w:hAnsi="Arial" w:cs="Arial"/>
          <w:sz w:val="24"/>
          <w:szCs w:val="24"/>
        </w:rPr>
      </w:pPr>
      <w:r>
        <w:rPr>
          <w:rFonts w:ascii="Arial" w:hAnsi="Arial" w:cs="Arial"/>
          <w:sz w:val="24"/>
          <w:szCs w:val="24"/>
        </w:rPr>
        <w:t>The application for leave to appeal is dismissed with costs.</w:t>
      </w:r>
    </w:p>
    <w:p w14:paraId="6B17E717" w14:textId="5D4F2D47" w:rsidR="00DD29DD" w:rsidRPr="00DD29DD" w:rsidRDefault="00DD29DD" w:rsidP="00DD29DD">
      <w:pPr>
        <w:pStyle w:val="ListParagraph"/>
        <w:spacing w:line="360" w:lineRule="auto"/>
        <w:ind w:right="75"/>
        <w:jc w:val="both"/>
        <w:rPr>
          <w:rFonts w:ascii="Arial" w:hAnsi="Arial" w:cs="Arial"/>
          <w:sz w:val="24"/>
          <w:szCs w:val="24"/>
        </w:rPr>
      </w:pPr>
    </w:p>
    <w:p w14:paraId="4F202C05" w14:textId="77777777" w:rsidR="0011509A" w:rsidRDefault="0011509A" w:rsidP="0011509A">
      <w:pPr>
        <w:spacing w:line="360" w:lineRule="auto"/>
        <w:rPr>
          <w:rFonts w:ascii="Arial" w:hAnsi="Arial" w:cs="Arial"/>
          <w:sz w:val="24"/>
          <w:szCs w:val="24"/>
        </w:rPr>
      </w:pPr>
    </w:p>
    <w:p w14:paraId="62B6CC61" w14:textId="19CB9269" w:rsidR="0057185E" w:rsidRDefault="0057185E" w:rsidP="00116EAD">
      <w:pPr>
        <w:spacing w:line="360" w:lineRule="auto"/>
        <w:rPr>
          <w:rFonts w:ascii="Arial" w:hAnsi="Arial" w:cs="Arial"/>
          <w:sz w:val="24"/>
          <w:szCs w:val="24"/>
        </w:rPr>
      </w:pPr>
    </w:p>
    <w:p w14:paraId="31BC9293" w14:textId="77777777" w:rsidR="0057185E" w:rsidRDefault="0057185E" w:rsidP="00116EAD">
      <w:pPr>
        <w:spacing w:line="360" w:lineRule="auto"/>
        <w:rPr>
          <w:rFonts w:ascii="Arial" w:hAnsi="Arial" w:cs="Arial"/>
          <w:sz w:val="24"/>
          <w:szCs w:val="24"/>
        </w:rPr>
      </w:pPr>
    </w:p>
    <w:p w14:paraId="3A54173F" w14:textId="77777777" w:rsidR="008249B8" w:rsidRPr="008249B8" w:rsidRDefault="008249B8" w:rsidP="008249B8">
      <w:pPr>
        <w:widowControl w:val="0"/>
        <w:autoSpaceDE w:val="0"/>
        <w:autoSpaceDN w:val="0"/>
        <w:spacing w:line="360" w:lineRule="auto"/>
        <w:ind w:left="1440"/>
        <w:jc w:val="right"/>
        <w:rPr>
          <w:rFonts w:ascii="Arial" w:eastAsia="Arial" w:hAnsi="Arial" w:cs="Arial"/>
          <w:sz w:val="22"/>
          <w:szCs w:val="22"/>
        </w:rPr>
      </w:pPr>
      <w:r w:rsidRPr="008249B8">
        <w:rPr>
          <w:rFonts w:ascii="Arial" w:eastAsia="Arial" w:hAnsi="Arial" w:cs="Arial"/>
          <w:color w:val="000000"/>
          <w:sz w:val="22"/>
          <w:szCs w:val="22"/>
        </w:rPr>
        <w:t>________</w:t>
      </w:r>
      <w:r w:rsidRPr="008249B8">
        <w:rPr>
          <w:rFonts w:ascii="Arial" w:eastAsia="Arial" w:hAnsi="Arial" w:cs="Arial"/>
          <w:sz w:val="22"/>
          <w:szCs w:val="22"/>
        </w:rPr>
        <w:t>________________________</w:t>
      </w:r>
    </w:p>
    <w:p w14:paraId="470CAE1E" w14:textId="77777777" w:rsidR="008249B8" w:rsidRPr="008249B8" w:rsidRDefault="008249B8" w:rsidP="008249B8">
      <w:pPr>
        <w:widowControl w:val="0"/>
        <w:autoSpaceDE w:val="0"/>
        <w:autoSpaceDN w:val="0"/>
        <w:spacing w:line="360" w:lineRule="auto"/>
        <w:jc w:val="right"/>
        <w:rPr>
          <w:rFonts w:ascii="Arial" w:eastAsia="Arial" w:hAnsi="Arial" w:cs="Arial"/>
          <w:sz w:val="22"/>
          <w:szCs w:val="22"/>
        </w:rPr>
      </w:pPr>
      <w:r w:rsidRPr="008249B8">
        <w:rPr>
          <w:rFonts w:ascii="Arial" w:eastAsia="Arial" w:hAnsi="Arial" w:cs="Arial"/>
          <w:sz w:val="22"/>
          <w:szCs w:val="22"/>
        </w:rPr>
        <w:t xml:space="preserve"> </w:t>
      </w:r>
      <w:r w:rsidRPr="008249B8">
        <w:rPr>
          <w:rFonts w:ascii="Arial" w:eastAsia="Arial" w:hAnsi="Arial" w:cs="Arial"/>
          <w:sz w:val="22"/>
          <w:szCs w:val="22"/>
        </w:rPr>
        <w:tab/>
      </w:r>
      <w:r w:rsidRPr="008249B8">
        <w:rPr>
          <w:rFonts w:ascii="Arial" w:eastAsia="Arial" w:hAnsi="Arial" w:cs="Arial"/>
          <w:sz w:val="22"/>
          <w:szCs w:val="22"/>
        </w:rPr>
        <w:tab/>
      </w:r>
      <w:r w:rsidRPr="008249B8">
        <w:rPr>
          <w:rFonts w:ascii="Arial" w:eastAsia="Arial" w:hAnsi="Arial" w:cs="Arial"/>
          <w:sz w:val="22"/>
          <w:szCs w:val="22"/>
        </w:rPr>
        <w:tab/>
      </w:r>
      <w:r w:rsidRPr="008249B8">
        <w:rPr>
          <w:rFonts w:ascii="Arial" w:eastAsia="Arial" w:hAnsi="Arial" w:cs="Arial"/>
          <w:b/>
          <w:sz w:val="22"/>
          <w:szCs w:val="22"/>
        </w:rPr>
        <w:t>A.C. BASSON</w:t>
      </w:r>
    </w:p>
    <w:p w14:paraId="4C8093C2" w14:textId="77777777" w:rsidR="008249B8" w:rsidRPr="008249B8" w:rsidRDefault="008249B8" w:rsidP="008249B8">
      <w:pPr>
        <w:widowControl w:val="0"/>
        <w:autoSpaceDE w:val="0"/>
        <w:autoSpaceDN w:val="0"/>
        <w:spacing w:line="360" w:lineRule="auto"/>
        <w:jc w:val="right"/>
        <w:rPr>
          <w:rFonts w:ascii="Arial" w:eastAsia="Arial" w:hAnsi="Arial" w:cs="Arial"/>
          <w:b/>
          <w:sz w:val="22"/>
          <w:szCs w:val="22"/>
        </w:rPr>
      </w:pPr>
      <w:r w:rsidRPr="008249B8">
        <w:rPr>
          <w:rFonts w:ascii="Arial" w:eastAsia="Arial" w:hAnsi="Arial" w:cs="Arial"/>
          <w:b/>
          <w:sz w:val="22"/>
          <w:szCs w:val="22"/>
        </w:rPr>
        <w:t>JUDGE OF THE HIGH COURT</w:t>
      </w:r>
    </w:p>
    <w:p w14:paraId="7BB151AA" w14:textId="77777777" w:rsidR="008249B8" w:rsidRPr="008249B8" w:rsidRDefault="008249B8" w:rsidP="008249B8">
      <w:pPr>
        <w:widowControl w:val="0"/>
        <w:autoSpaceDE w:val="0"/>
        <w:autoSpaceDN w:val="0"/>
        <w:spacing w:line="360" w:lineRule="auto"/>
        <w:jc w:val="right"/>
        <w:rPr>
          <w:rFonts w:ascii="Arial" w:eastAsia="Arial" w:hAnsi="Arial" w:cs="Arial"/>
          <w:b/>
          <w:sz w:val="22"/>
          <w:szCs w:val="22"/>
        </w:rPr>
      </w:pPr>
      <w:r w:rsidRPr="008249B8">
        <w:rPr>
          <w:rFonts w:ascii="Arial" w:eastAsia="Arial" w:hAnsi="Arial" w:cs="Arial"/>
          <w:b/>
          <w:sz w:val="22"/>
          <w:szCs w:val="22"/>
        </w:rPr>
        <w:t>GAUTENG DIVISION OF THE HIGH COURT, PRETORIA</w:t>
      </w:r>
    </w:p>
    <w:p w14:paraId="5C96DEF1" w14:textId="40BC4387" w:rsidR="008249B8" w:rsidRDefault="008249B8" w:rsidP="008249B8">
      <w:pPr>
        <w:widowControl w:val="0"/>
        <w:autoSpaceDE w:val="0"/>
        <w:autoSpaceDN w:val="0"/>
        <w:spacing w:line="360" w:lineRule="auto"/>
        <w:jc w:val="both"/>
        <w:rPr>
          <w:rFonts w:ascii="Arial" w:eastAsia="Arial" w:hAnsi="Arial" w:cs="Arial"/>
          <w:color w:val="000000"/>
          <w:sz w:val="24"/>
          <w:szCs w:val="24"/>
        </w:rPr>
      </w:pPr>
    </w:p>
    <w:p w14:paraId="117763F1" w14:textId="77777777" w:rsidR="00FE5D5C" w:rsidRPr="008249B8" w:rsidRDefault="00FE5D5C" w:rsidP="008249B8">
      <w:pPr>
        <w:widowControl w:val="0"/>
        <w:autoSpaceDE w:val="0"/>
        <w:autoSpaceDN w:val="0"/>
        <w:spacing w:line="360" w:lineRule="auto"/>
        <w:jc w:val="both"/>
        <w:rPr>
          <w:rFonts w:ascii="Arial" w:eastAsia="Arial" w:hAnsi="Arial" w:cs="Arial"/>
          <w:color w:val="000000"/>
          <w:sz w:val="24"/>
          <w:szCs w:val="24"/>
        </w:rPr>
      </w:pPr>
    </w:p>
    <w:p w14:paraId="22F3AAE1" w14:textId="4C160965" w:rsidR="008249B8" w:rsidRPr="008249B8" w:rsidRDefault="008249B8" w:rsidP="008249B8">
      <w:pPr>
        <w:widowControl w:val="0"/>
        <w:autoSpaceDE w:val="0"/>
        <w:autoSpaceDN w:val="0"/>
        <w:spacing w:line="360" w:lineRule="auto"/>
        <w:jc w:val="both"/>
        <w:rPr>
          <w:rFonts w:ascii="Arial" w:eastAsia="Arial" w:hAnsi="Arial" w:cs="Arial"/>
          <w:sz w:val="24"/>
          <w:szCs w:val="24"/>
        </w:rPr>
      </w:pPr>
      <w:r w:rsidRPr="008249B8">
        <w:rPr>
          <w:rFonts w:ascii="Arial" w:eastAsia="Arial" w:hAnsi="Arial" w:cs="Arial"/>
          <w:color w:val="000000"/>
          <w:sz w:val="24"/>
          <w:szCs w:val="24"/>
        </w:rPr>
        <w:t xml:space="preserve">Delivered:  This judgment was prepared and authored by the Judge whose name is reflected and is handed down electronically by circulation to the Parties/their legal </w:t>
      </w:r>
      <w:r w:rsidRPr="008249B8">
        <w:rPr>
          <w:rFonts w:ascii="Arial" w:eastAsia="Arial" w:hAnsi="Arial" w:cs="Arial"/>
          <w:color w:val="000000"/>
          <w:sz w:val="24"/>
          <w:szCs w:val="24"/>
        </w:rPr>
        <w:lastRenderedPageBreak/>
        <w:t xml:space="preserve">representatives by email and by uploading it to the electronic file of this matter on CaseLines.  The date for hand-down is deemed to be </w:t>
      </w:r>
      <w:r w:rsidR="00E84E7C">
        <w:rPr>
          <w:rFonts w:ascii="Arial" w:eastAsia="Arial" w:hAnsi="Arial" w:cs="Arial"/>
          <w:color w:val="000000"/>
          <w:sz w:val="24"/>
          <w:szCs w:val="24"/>
        </w:rPr>
        <w:t xml:space="preserve">12 May </w:t>
      </w:r>
      <w:r w:rsidRPr="008249B8">
        <w:rPr>
          <w:rFonts w:ascii="Arial" w:eastAsia="Arial" w:hAnsi="Arial" w:cs="Arial"/>
          <w:color w:val="000000"/>
          <w:sz w:val="24"/>
          <w:szCs w:val="24"/>
        </w:rPr>
        <w:t>2022.</w:t>
      </w:r>
    </w:p>
    <w:p w14:paraId="78EF3FB8" w14:textId="589CE26B" w:rsidR="008249B8" w:rsidRDefault="008249B8" w:rsidP="008249B8">
      <w:pPr>
        <w:widowControl w:val="0"/>
        <w:autoSpaceDE w:val="0"/>
        <w:autoSpaceDN w:val="0"/>
        <w:spacing w:line="360" w:lineRule="auto"/>
        <w:rPr>
          <w:rFonts w:ascii="Arial" w:eastAsia="Arial" w:hAnsi="Arial" w:cs="Arial"/>
          <w:sz w:val="24"/>
          <w:szCs w:val="24"/>
        </w:rPr>
      </w:pPr>
    </w:p>
    <w:p w14:paraId="0092E70B" w14:textId="77777777" w:rsidR="005E614D" w:rsidRDefault="005E614D" w:rsidP="008249B8">
      <w:pPr>
        <w:widowControl w:val="0"/>
        <w:autoSpaceDE w:val="0"/>
        <w:autoSpaceDN w:val="0"/>
        <w:spacing w:line="360" w:lineRule="auto"/>
        <w:rPr>
          <w:rFonts w:ascii="Arial" w:eastAsia="Arial" w:hAnsi="Arial" w:cs="Arial"/>
          <w:sz w:val="24"/>
          <w:szCs w:val="24"/>
          <w:u w:val="single"/>
        </w:rPr>
      </w:pPr>
    </w:p>
    <w:p w14:paraId="4F2621E2" w14:textId="77777777" w:rsidR="005E614D" w:rsidRDefault="005E614D" w:rsidP="008249B8">
      <w:pPr>
        <w:widowControl w:val="0"/>
        <w:autoSpaceDE w:val="0"/>
        <w:autoSpaceDN w:val="0"/>
        <w:spacing w:line="360" w:lineRule="auto"/>
        <w:rPr>
          <w:rFonts w:ascii="Arial" w:eastAsia="Arial" w:hAnsi="Arial" w:cs="Arial"/>
          <w:sz w:val="24"/>
          <w:szCs w:val="24"/>
          <w:u w:val="single"/>
        </w:rPr>
      </w:pPr>
    </w:p>
    <w:p w14:paraId="0D6C68B6" w14:textId="1EB63544" w:rsidR="008249B8" w:rsidRPr="008249B8" w:rsidRDefault="008249B8" w:rsidP="008249B8">
      <w:pPr>
        <w:widowControl w:val="0"/>
        <w:autoSpaceDE w:val="0"/>
        <w:autoSpaceDN w:val="0"/>
        <w:spacing w:line="360" w:lineRule="auto"/>
        <w:rPr>
          <w:rFonts w:ascii="Arial" w:eastAsia="Arial" w:hAnsi="Arial" w:cs="Arial"/>
          <w:sz w:val="24"/>
          <w:szCs w:val="24"/>
          <w:u w:val="single"/>
        </w:rPr>
      </w:pPr>
      <w:r w:rsidRPr="008249B8">
        <w:rPr>
          <w:rFonts w:ascii="Arial" w:eastAsia="Arial" w:hAnsi="Arial" w:cs="Arial"/>
          <w:sz w:val="24"/>
          <w:szCs w:val="24"/>
          <w:u w:val="single"/>
        </w:rPr>
        <w:t>Appearances</w:t>
      </w:r>
    </w:p>
    <w:p w14:paraId="12F9D321" w14:textId="77777777" w:rsidR="008249B8" w:rsidRPr="008249B8" w:rsidRDefault="008249B8" w:rsidP="008249B8">
      <w:pPr>
        <w:widowControl w:val="0"/>
        <w:autoSpaceDE w:val="0"/>
        <w:autoSpaceDN w:val="0"/>
        <w:spacing w:line="360" w:lineRule="auto"/>
        <w:rPr>
          <w:rFonts w:ascii="Arial" w:eastAsia="Arial" w:hAnsi="Arial" w:cs="Arial"/>
          <w:sz w:val="24"/>
          <w:szCs w:val="24"/>
          <w:u w:val="single"/>
        </w:rPr>
      </w:pPr>
    </w:p>
    <w:p w14:paraId="152557A2" w14:textId="09FB2ADD" w:rsidR="008249B8" w:rsidRPr="008249B8" w:rsidRDefault="008249B8" w:rsidP="008249B8">
      <w:pPr>
        <w:widowControl w:val="0"/>
        <w:autoSpaceDE w:val="0"/>
        <w:autoSpaceDN w:val="0"/>
        <w:spacing w:line="360" w:lineRule="auto"/>
        <w:rPr>
          <w:rFonts w:ascii="Arial" w:eastAsia="Arial" w:hAnsi="Arial" w:cs="Arial"/>
          <w:sz w:val="24"/>
          <w:szCs w:val="24"/>
          <w:u w:val="single"/>
        </w:rPr>
      </w:pPr>
      <w:r w:rsidRPr="008249B8">
        <w:rPr>
          <w:rFonts w:ascii="Arial" w:eastAsia="Arial" w:hAnsi="Arial" w:cs="Arial"/>
          <w:sz w:val="24"/>
          <w:szCs w:val="24"/>
          <w:u w:val="single"/>
        </w:rPr>
        <w:t>For the</w:t>
      </w:r>
      <w:r w:rsidR="004461AF">
        <w:rPr>
          <w:rFonts w:ascii="Arial" w:eastAsia="Arial" w:hAnsi="Arial" w:cs="Arial"/>
          <w:sz w:val="24"/>
          <w:szCs w:val="24"/>
          <w:u w:val="single"/>
        </w:rPr>
        <w:t xml:space="preserve"> </w:t>
      </w:r>
      <w:r w:rsidRPr="008249B8">
        <w:rPr>
          <w:rFonts w:ascii="Arial" w:eastAsia="Arial" w:hAnsi="Arial" w:cs="Arial"/>
          <w:sz w:val="24"/>
          <w:szCs w:val="24"/>
          <w:u w:val="single"/>
        </w:rPr>
        <w:t>applicant</w:t>
      </w:r>
    </w:p>
    <w:p w14:paraId="549F8FA2" w14:textId="3FB09AB9" w:rsidR="008249B8" w:rsidRPr="008249B8" w:rsidRDefault="008249B8" w:rsidP="008249B8">
      <w:pPr>
        <w:widowControl w:val="0"/>
        <w:autoSpaceDE w:val="0"/>
        <w:autoSpaceDN w:val="0"/>
        <w:spacing w:line="360" w:lineRule="auto"/>
        <w:rPr>
          <w:rFonts w:ascii="Arial" w:eastAsia="Arial" w:hAnsi="Arial" w:cs="Arial"/>
          <w:sz w:val="24"/>
          <w:szCs w:val="24"/>
        </w:rPr>
      </w:pPr>
      <w:r w:rsidRPr="008249B8">
        <w:rPr>
          <w:rFonts w:ascii="Arial" w:eastAsia="Arial" w:hAnsi="Arial" w:cs="Arial"/>
          <w:sz w:val="24"/>
          <w:szCs w:val="24"/>
        </w:rPr>
        <w:t xml:space="preserve">Adv </w:t>
      </w:r>
      <w:r w:rsidR="00A54D3B">
        <w:rPr>
          <w:rFonts w:ascii="Arial" w:eastAsia="Arial" w:hAnsi="Arial" w:cs="Arial"/>
          <w:sz w:val="24"/>
          <w:szCs w:val="24"/>
        </w:rPr>
        <w:t xml:space="preserve">L </w:t>
      </w:r>
      <w:r w:rsidR="005E614D">
        <w:rPr>
          <w:rFonts w:ascii="Arial" w:eastAsia="Arial" w:hAnsi="Arial" w:cs="Arial"/>
          <w:sz w:val="24"/>
          <w:szCs w:val="24"/>
        </w:rPr>
        <w:t>Kotze</w:t>
      </w:r>
    </w:p>
    <w:p w14:paraId="08561305" w14:textId="5024A219" w:rsidR="008249B8" w:rsidRPr="008249B8" w:rsidRDefault="008249B8" w:rsidP="008249B8">
      <w:pPr>
        <w:widowControl w:val="0"/>
        <w:autoSpaceDE w:val="0"/>
        <w:autoSpaceDN w:val="0"/>
        <w:spacing w:line="360" w:lineRule="auto"/>
        <w:rPr>
          <w:rFonts w:ascii="Arial" w:eastAsia="Arial" w:hAnsi="Arial" w:cs="Arial"/>
          <w:sz w:val="24"/>
          <w:szCs w:val="24"/>
        </w:rPr>
      </w:pPr>
      <w:r w:rsidRPr="008249B8">
        <w:rPr>
          <w:rFonts w:ascii="Arial" w:eastAsia="Arial" w:hAnsi="Arial" w:cs="Arial"/>
          <w:sz w:val="24"/>
          <w:szCs w:val="24"/>
        </w:rPr>
        <w:t xml:space="preserve">Instructed by </w:t>
      </w:r>
      <w:r w:rsidR="001C143B">
        <w:rPr>
          <w:rFonts w:ascii="Arial" w:eastAsia="Arial" w:hAnsi="Arial" w:cs="Arial"/>
          <w:sz w:val="24"/>
          <w:szCs w:val="24"/>
        </w:rPr>
        <w:t>Snyman de Jager</w:t>
      </w:r>
      <w:r w:rsidR="004461AF">
        <w:rPr>
          <w:rFonts w:ascii="Arial" w:eastAsia="Arial" w:hAnsi="Arial" w:cs="Arial"/>
          <w:sz w:val="24"/>
          <w:szCs w:val="24"/>
        </w:rPr>
        <w:t xml:space="preserve"> Attorneys</w:t>
      </w:r>
      <w:r w:rsidR="009F52E6">
        <w:rPr>
          <w:rFonts w:ascii="Arial" w:eastAsia="Arial" w:hAnsi="Arial" w:cs="Arial"/>
          <w:sz w:val="24"/>
          <w:szCs w:val="24"/>
        </w:rPr>
        <w:t xml:space="preserve"> </w:t>
      </w:r>
    </w:p>
    <w:p w14:paraId="69246022" w14:textId="77777777" w:rsidR="008249B8" w:rsidRPr="008249B8" w:rsidRDefault="008249B8" w:rsidP="008249B8">
      <w:pPr>
        <w:widowControl w:val="0"/>
        <w:autoSpaceDE w:val="0"/>
        <w:autoSpaceDN w:val="0"/>
        <w:spacing w:line="360" w:lineRule="auto"/>
        <w:rPr>
          <w:rFonts w:ascii="Arial" w:eastAsia="Arial" w:hAnsi="Arial" w:cs="Arial"/>
          <w:sz w:val="24"/>
          <w:szCs w:val="24"/>
          <w:u w:val="single"/>
        </w:rPr>
      </w:pPr>
    </w:p>
    <w:p w14:paraId="3388F6D5" w14:textId="4BDA3E00" w:rsidR="008249B8" w:rsidRPr="008249B8" w:rsidRDefault="008249B8" w:rsidP="008249B8">
      <w:pPr>
        <w:widowControl w:val="0"/>
        <w:autoSpaceDE w:val="0"/>
        <w:autoSpaceDN w:val="0"/>
        <w:spacing w:line="360" w:lineRule="auto"/>
        <w:rPr>
          <w:rFonts w:ascii="Arial" w:eastAsia="Arial" w:hAnsi="Arial" w:cs="Arial"/>
          <w:sz w:val="24"/>
          <w:szCs w:val="24"/>
          <w:u w:val="single"/>
        </w:rPr>
      </w:pPr>
      <w:r w:rsidRPr="008249B8">
        <w:rPr>
          <w:rFonts w:ascii="Arial" w:eastAsia="Arial" w:hAnsi="Arial" w:cs="Arial"/>
          <w:sz w:val="24"/>
          <w:szCs w:val="24"/>
          <w:u w:val="single"/>
        </w:rPr>
        <w:t>For the</w:t>
      </w:r>
      <w:r w:rsidR="00A54D3B">
        <w:rPr>
          <w:rFonts w:ascii="Arial" w:eastAsia="Arial" w:hAnsi="Arial" w:cs="Arial"/>
          <w:sz w:val="24"/>
          <w:szCs w:val="24"/>
          <w:u w:val="single"/>
        </w:rPr>
        <w:t xml:space="preserve"> </w:t>
      </w:r>
      <w:r w:rsidRPr="008249B8">
        <w:rPr>
          <w:rFonts w:ascii="Arial" w:eastAsia="Arial" w:hAnsi="Arial" w:cs="Arial"/>
          <w:sz w:val="24"/>
          <w:szCs w:val="24"/>
          <w:u w:val="single"/>
        </w:rPr>
        <w:t>respondent</w:t>
      </w:r>
    </w:p>
    <w:p w14:paraId="3B7F06E2" w14:textId="67E3E029" w:rsidR="008249B8" w:rsidRPr="008249B8" w:rsidRDefault="009F52E6" w:rsidP="008249B8">
      <w:pPr>
        <w:widowControl w:val="0"/>
        <w:autoSpaceDE w:val="0"/>
        <w:autoSpaceDN w:val="0"/>
        <w:spacing w:before="1" w:line="360" w:lineRule="auto"/>
        <w:outlineLvl w:val="1"/>
        <w:rPr>
          <w:rFonts w:ascii="Arial" w:eastAsia="Arial" w:hAnsi="Arial" w:cs="Arial"/>
          <w:bCs/>
          <w:sz w:val="24"/>
          <w:szCs w:val="24"/>
        </w:rPr>
      </w:pPr>
      <w:r>
        <w:rPr>
          <w:rFonts w:ascii="Arial" w:eastAsia="Arial" w:hAnsi="Arial" w:cs="Arial"/>
          <w:sz w:val="24"/>
          <w:szCs w:val="24"/>
        </w:rPr>
        <w:t xml:space="preserve">Adv </w:t>
      </w:r>
      <w:r w:rsidR="001C143B">
        <w:rPr>
          <w:rFonts w:ascii="Arial" w:eastAsia="Arial" w:hAnsi="Arial" w:cs="Arial"/>
          <w:sz w:val="24"/>
          <w:szCs w:val="24"/>
        </w:rPr>
        <w:t>ME Manala</w:t>
      </w:r>
    </w:p>
    <w:p w14:paraId="467FBFCC" w14:textId="2C1B61A8" w:rsidR="003B32FC" w:rsidRDefault="004461AF" w:rsidP="00116EAD">
      <w:pPr>
        <w:spacing w:line="360" w:lineRule="auto"/>
        <w:rPr>
          <w:rFonts w:ascii="Arial" w:hAnsi="Arial" w:cs="Arial"/>
          <w:sz w:val="24"/>
          <w:szCs w:val="24"/>
        </w:rPr>
      </w:pPr>
      <w:r>
        <w:rPr>
          <w:rFonts w:ascii="Arial" w:hAnsi="Arial" w:cs="Arial"/>
          <w:sz w:val="24"/>
          <w:szCs w:val="24"/>
        </w:rPr>
        <w:t xml:space="preserve">Instructed by </w:t>
      </w:r>
      <w:r w:rsidR="001C143B">
        <w:rPr>
          <w:rFonts w:ascii="Arial" w:hAnsi="Arial" w:cs="Arial"/>
          <w:sz w:val="24"/>
          <w:szCs w:val="24"/>
        </w:rPr>
        <w:t>Lamola Attorneys</w:t>
      </w:r>
    </w:p>
    <w:p w14:paraId="151DE97D" w14:textId="77777777" w:rsidR="003B32FC" w:rsidRPr="00116EAD" w:rsidRDefault="003B32FC" w:rsidP="00116EAD">
      <w:pPr>
        <w:spacing w:line="360" w:lineRule="auto"/>
        <w:rPr>
          <w:rFonts w:ascii="Arial" w:hAnsi="Arial" w:cs="Arial"/>
          <w:sz w:val="24"/>
          <w:szCs w:val="24"/>
        </w:rPr>
      </w:pPr>
    </w:p>
    <w:sectPr w:rsidR="003B32FC" w:rsidRPr="00116EAD">
      <w:footerReference w:type="default" r:id="rId9"/>
      <w:pgSz w:w="11920" w:h="16840"/>
      <w:pgMar w:top="1380" w:right="1320" w:bottom="280" w:left="1340" w:header="0" w:footer="1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CCB0" w14:textId="77777777" w:rsidR="001F0547" w:rsidRDefault="001F0547">
      <w:r>
        <w:separator/>
      </w:r>
    </w:p>
  </w:endnote>
  <w:endnote w:type="continuationSeparator" w:id="0">
    <w:p w14:paraId="2B4AB48F" w14:textId="77777777" w:rsidR="001F0547" w:rsidRDefault="001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B56A" w14:textId="77777777" w:rsidR="00AE3EF2" w:rsidRDefault="001F0547">
    <w:pPr>
      <w:spacing w:line="200" w:lineRule="exact"/>
    </w:pPr>
    <w:r>
      <w:pict w14:anchorId="11224DE2">
        <v:shapetype id="_x0000_t202" coordsize="21600,21600" o:spt="202" path="m,l,21600r21600,l21600,xe">
          <v:stroke joinstyle="miter"/>
          <v:path gradientshapeok="t" o:connecttype="rect"/>
        </v:shapetype>
        <v:shape id="_x0000_s2049" type="#_x0000_t202" style="position:absolute;margin-left:510.15pt;margin-top:768.2pt;width:15.2pt;height:13.05pt;z-index:-251658752;mso-position-horizontal-relative:page;mso-position-vertical-relative:page" filled="f" stroked="f">
          <v:textbox inset="0,0,0,0">
            <w:txbxContent>
              <w:p w14:paraId="256FF422" w14:textId="4B86DBD1" w:rsidR="00AE3EF2" w:rsidRDefault="00AE3EF2">
                <w:pPr>
                  <w:spacing w:line="240" w:lineRule="exact"/>
                  <w:ind w:left="40"/>
                  <w:rPr>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7AE8" w14:textId="77777777" w:rsidR="001F0547" w:rsidRDefault="001F0547">
      <w:r>
        <w:separator/>
      </w:r>
    </w:p>
  </w:footnote>
  <w:footnote w:type="continuationSeparator" w:id="0">
    <w:p w14:paraId="425935EF" w14:textId="77777777" w:rsidR="001F0547" w:rsidRDefault="001F0547">
      <w:r>
        <w:continuationSeparator/>
      </w:r>
    </w:p>
  </w:footnote>
  <w:footnote w:id="1">
    <w:p w14:paraId="77D93F8C" w14:textId="77777777" w:rsidR="00AF6C61" w:rsidRPr="005B3DBA" w:rsidRDefault="00AF6C61" w:rsidP="00AF6C61">
      <w:pPr>
        <w:pStyle w:val="FootnoteText"/>
        <w:rPr>
          <w:rFonts w:ascii="Arial" w:hAnsi="Arial" w:cs="Arial"/>
        </w:rPr>
      </w:pPr>
      <w:r w:rsidRPr="005B3DBA">
        <w:rPr>
          <w:rStyle w:val="FootnoteReference"/>
          <w:rFonts w:ascii="Arial" w:hAnsi="Arial" w:cs="Arial"/>
        </w:rPr>
        <w:footnoteRef/>
      </w:r>
      <w:r w:rsidRPr="005B3DBA">
        <w:rPr>
          <w:rFonts w:ascii="Arial" w:hAnsi="Arial" w:cs="Arial"/>
        </w:rPr>
        <w:t xml:space="preserve"> Act </w:t>
      </w:r>
      <w:r w:rsidRPr="005B3DBA">
        <w:rPr>
          <w:rFonts w:ascii="Arial" w:eastAsia="Verdana" w:hAnsi="Arial" w:cs="Arial"/>
        </w:rPr>
        <w:t>10 of 2013.</w:t>
      </w:r>
    </w:p>
  </w:footnote>
  <w:footnote w:id="2">
    <w:p w14:paraId="6467C602" w14:textId="77777777" w:rsidR="00AF6C61" w:rsidRPr="00832202" w:rsidRDefault="00AF6C61" w:rsidP="00AF6C61">
      <w:pPr>
        <w:pStyle w:val="FootnoteText"/>
        <w:rPr>
          <w:rFonts w:ascii="Arial" w:hAnsi="Arial" w:cs="Arial"/>
        </w:rPr>
      </w:pPr>
      <w:r w:rsidRPr="00832202">
        <w:rPr>
          <w:rStyle w:val="FootnoteReference"/>
          <w:rFonts w:ascii="Arial" w:hAnsi="Arial" w:cs="Arial"/>
        </w:rPr>
        <w:footnoteRef/>
      </w:r>
      <w:r w:rsidRPr="00832202">
        <w:rPr>
          <w:rFonts w:ascii="Arial" w:hAnsi="Arial" w:cs="Arial"/>
        </w:rPr>
        <w:t xml:space="preserve"> 2014 JBR 2325 (LCC)</w:t>
      </w:r>
      <w:r>
        <w:rPr>
          <w:rFonts w:ascii="Arial" w:hAnsi="Arial" w:cs="Arial"/>
        </w:rPr>
        <w:t>.</w:t>
      </w:r>
    </w:p>
  </w:footnote>
  <w:footnote w:id="3">
    <w:p w14:paraId="0F8A6B2B" w14:textId="7DBBF047" w:rsidR="007E3C6C" w:rsidRPr="007E3C6C" w:rsidRDefault="007E3C6C">
      <w:pPr>
        <w:pStyle w:val="FootnoteText"/>
        <w:rPr>
          <w:lang w:val="en-US"/>
        </w:rPr>
      </w:pPr>
      <w:r>
        <w:rPr>
          <w:rStyle w:val="FootnoteReference"/>
        </w:rPr>
        <w:footnoteRef/>
      </w:r>
      <w:r>
        <w:t xml:space="preserve"> </w:t>
      </w:r>
      <w:r>
        <w:rPr>
          <w:lang w:val="en-US"/>
        </w:rPr>
        <w:t>See paras [13] and [14].</w:t>
      </w:r>
    </w:p>
  </w:footnote>
  <w:footnote w:id="4">
    <w:p w14:paraId="6B30982E" w14:textId="63FCF34F" w:rsidR="009023CD" w:rsidRPr="009023CD" w:rsidRDefault="009023CD">
      <w:pPr>
        <w:pStyle w:val="FootnoteText"/>
        <w:rPr>
          <w:lang w:val="en-US"/>
        </w:rPr>
      </w:pPr>
      <w:r>
        <w:rPr>
          <w:rStyle w:val="FootnoteReference"/>
        </w:rPr>
        <w:footnoteRef/>
      </w:r>
      <w:r>
        <w:t xml:space="preserve"> </w:t>
      </w:r>
      <w:r>
        <w:rPr>
          <w:lang w:val="en-US"/>
        </w:rPr>
        <w:t>Act 89 of 1991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826"/>
    <w:multiLevelType w:val="hybridMultilevel"/>
    <w:tmpl w:val="7EC0F338"/>
    <w:lvl w:ilvl="0" w:tplc="5D4234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4D54FD"/>
    <w:multiLevelType w:val="hybridMultilevel"/>
    <w:tmpl w:val="AF7E0206"/>
    <w:lvl w:ilvl="0" w:tplc="3388766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08524D"/>
    <w:multiLevelType w:val="hybridMultilevel"/>
    <w:tmpl w:val="DB32C2F8"/>
    <w:lvl w:ilvl="0" w:tplc="3E50ED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450C4C"/>
    <w:multiLevelType w:val="hybridMultilevel"/>
    <w:tmpl w:val="EC287918"/>
    <w:lvl w:ilvl="0" w:tplc="E44E176A">
      <w:start w:val="1"/>
      <w:numFmt w:val="decimal"/>
      <w:lvlText w:val="[%1]"/>
      <w:lvlJc w:val="left"/>
      <w:pPr>
        <w:ind w:left="820" w:hanging="360"/>
      </w:pPr>
      <w:rPr>
        <w:rFonts w:hint="default"/>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5" w15:restartNumberingAfterBreak="0">
    <w:nsid w:val="1158142C"/>
    <w:multiLevelType w:val="hybridMultilevel"/>
    <w:tmpl w:val="E77E5DBC"/>
    <w:lvl w:ilvl="0" w:tplc="6FCC3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645722"/>
    <w:multiLevelType w:val="hybridMultilevel"/>
    <w:tmpl w:val="4FA253EE"/>
    <w:lvl w:ilvl="0" w:tplc="8A1E049E">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580" w:hanging="360"/>
      </w:pPr>
    </w:lvl>
    <w:lvl w:ilvl="2" w:tplc="1C09001B" w:tentative="1">
      <w:start w:val="1"/>
      <w:numFmt w:val="lowerRoman"/>
      <w:lvlText w:val="%3."/>
      <w:lvlJc w:val="right"/>
      <w:pPr>
        <w:ind w:left="2300" w:hanging="180"/>
      </w:pPr>
    </w:lvl>
    <w:lvl w:ilvl="3" w:tplc="1C09000F" w:tentative="1">
      <w:start w:val="1"/>
      <w:numFmt w:val="decimal"/>
      <w:lvlText w:val="%4."/>
      <w:lvlJc w:val="left"/>
      <w:pPr>
        <w:ind w:left="3020" w:hanging="360"/>
      </w:pPr>
    </w:lvl>
    <w:lvl w:ilvl="4" w:tplc="1C090019" w:tentative="1">
      <w:start w:val="1"/>
      <w:numFmt w:val="lowerLetter"/>
      <w:lvlText w:val="%5."/>
      <w:lvlJc w:val="left"/>
      <w:pPr>
        <w:ind w:left="3740" w:hanging="360"/>
      </w:pPr>
    </w:lvl>
    <w:lvl w:ilvl="5" w:tplc="1C09001B" w:tentative="1">
      <w:start w:val="1"/>
      <w:numFmt w:val="lowerRoman"/>
      <w:lvlText w:val="%6."/>
      <w:lvlJc w:val="right"/>
      <w:pPr>
        <w:ind w:left="4460" w:hanging="180"/>
      </w:pPr>
    </w:lvl>
    <w:lvl w:ilvl="6" w:tplc="1C09000F" w:tentative="1">
      <w:start w:val="1"/>
      <w:numFmt w:val="decimal"/>
      <w:lvlText w:val="%7."/>
      <w:lvlJc w:val="left"/>
      <w:pPr>
        <w:ind w:left="5180" w:hanging="360"/>
      </w:pPr>
    </w:lvl>
    <w:lvl w:ilvl="7" w:tplc="1C090019" w:tentative="1">
      <w:start w:val="1"/>
      <w:numFmt w:val="lowerLetter"/>
      <w:lvlText w:val="%8."/>
      <w:lvlJc w:val="left"/>
      <w:pPr>
        <w:ind w:left="5900" w:hanging="360"/>
      </w:pPr>
    </w:lvl>
    <w:lvl w:ilvl="8" w:tplc="1C09001B" w:tentative="1">
      <w:start w:val="1"/>
      <w:numFmt w:val="lowerRoman"/>
      <w:lvlText w:val="%9."/>
      <w:lvlJc w:val="right"/>
      <w:pPr>
        <w:ind w:left="6620" w:hanging="180"/>
      </w:pPr>
    </w:lvl>
  </w:abstractNum>
  <w:abstractNum w:abstractNumId="7" w15:restartNumberingAfterBreak="0">
    <w:nsid w:val="177D5A83"/>
    <w:multiLevelType w:val="hybridMultilevel"/>
    <w:tmpl w:val="22021310"/>
    <w:lvl w:ilvl="0" w:tplc="D46026BE">
      <w:start w:val="1"/>
      <w:numFmt w:val="decimal"/>
      <w:lvlText w:val="%1"/>
      <w:lvlJc w:val="left"/>
      <w:pPr>
        <w:ind w:left="119" w:hanging="111"/>
      </w:pPr>
      <w:rPr>
        <w:rFonts w:ascii="Calibri" w:eastAsia="Calibri" w:hAnsi="Calibri" w:cs="Calibri" w:hint="default"/>
        <w:w w:val="99"/>
        <w:position w:val="7"/>
        <w:sz w:val="13"/>
        <w:szCs w:val="13"/>
        <w:lang w:val="en-US" w:eastAsia="en-US" w:bidi="ar-SA"/>
      </w:rPr>
    </w:lvl>
    <w:lvl w:ilvl="1" w:tplc="A8205BBE">
      <w:numFmt w:val="bullet"/>
      <w:lvlText w:val="•"/>
      <w:lvlJc w:val="left"/>
      <w:pPr>
        <w:ind w:left="1078" w:hanging="111"/>
      </w:pPr>
      <w:rPr>
        <w:rFonts w:hint="default"/>
        <w:lang w:val="en-US" w:eastAsia="en-US" w:bidi="ar-SA"/>
      </w:rPr>
    </w:lvl>
    <w:lvl w:ilvl="2" w:tplc="EF30A4CE">
      <w:numFmt w:val="bullet"/>
      <w:lvlText w:val="•"/>
      <w:lvlJc w:val="left"/>
      <w:pPr>
        <w:ind w:left="2036" w:hanging="111"/>
      </w:pPr>
      <w:rPr>
        <w:rFonts w:hint="default"/>
        <w:lang w:val="en-US" w:eastAsia="en-US" w:bidi="ar-SA"/>
      </w:rPr>
    </w:lvl>
    <w:lvl w:ilvl="3" w:tplc="19D8B9B2">
      <w:numFmt w:val="bullet"/>
      <w:lvlText w:val="•"/>
      <w:lvlJc w:val="left"/>
      <w:pPr>
        <w:ind w:left="2994" w:hanging="111"/>
      </w:pPr>
      <w:rPr>
        <w:rFonts w:hint="default"/>
        <w:lang w:val="en-US" w:eastAsia="en-US" w:bidi="ar-SA"/>
      </w:rPr>
    </w:lvl>
    <w:lvl w:ilvl="4" w:tplc="7132FC76">
      <w:numFmt w:val="bullet"/>
      <w:lvlText w:val="•"/>
      <w:lvlJc w:val="left"/>
      <w:pPr>
        <w:ind w:left="3952" w:hanging="111"/>
      </w:pPr>
      <w:rPr>
        <w:rFonts w:hint="default"/>
        <w:lang w:val="en-US" w:eastAsia="en-US" w:bidi="ar-SA"/>
      </w:rPr>
    </w:lvl>
    <w:lvl w:ilvl="5" w:tplc="E8DA9692">
      <w:numFmt w:val="bullet"/>
      <w:lvlText w:val="•"/>
      <w:lvlJc w:val="left"/>
      <w:pPr>
        <w:ind w:left="4910" w:hanging="111"/>
      </w:pPr>
      <w:rPr>
        <w:rFonts w:hint="default"/>
        <w:lang w:val="en-US" w:eastAsia="en-US" w:bidi="ar-SA"/>
      </w:rPr>
    </w:lvl>
    <w:lvl w:ilvl="6" w:tplc="F58CC764">
      <w:numFmt w:val="bullet"/>
      <w:lvlText w:val="•"/>
      <w:lvlJc w:val="left"/>
      <w:pPr>
        <w:ind w:left="5868" w:hanging="111"/>
      </w:pPr>
      <w:rPr>
        <w:rFonts w:hint="default"/>
        <w:lang w:val="en-US" w:eastAsia="en-US" w:bidi="ar-SA"/>
      </w:rPr>
    </w:lvl>
    <w:lvl w:ilvl="7" w:tplc="C7C6762E">
      <w:numFmt w:val="bullet"/>
      <w:lvlText w:val="•"/>
      <w:lvlJc w:val="left"/>
      <w:pPr>
        <w:ind w:left="6826" w:hanging="111"/>
      </w:pPr>
      <w:rPr>
        <w:rFonts w:hint="default"/>
        <w:lang w:val="en-US" w:eastAsia="en-US" w:bidi="ar-SA"/>
      </w:rPr>
    </w:lvl>
    <w:lvl w:ilvl="8" w:tplc="63E4BE54">
      <w:numFmt w:val="bullet"/>
      <w:lvlText w:val="•"/>
      <w:lvlJc w:val="left"/>
      <w:pPr>
        <w:ind w:left="7784" w:hanging="111"/>
      </w:pPr>
      <w:rPr>
        <w:rFonts w:hint="default"/>
        <w:lang w:val="en-US" w:eastAsia="en-US" w:bidi="ar-SA"/>
      </w:rPr>
    </w:lvl>
  </w:abstractNum>
  <w:abstractNum w:abstractNumId="8" w15:restartNumberingAfterBreak="0">
    <w:nsid w:val="18ED7173"/>
    <w:multiLevelType w:val="hybridMultilevel"/>
    <w:tmpl w:val="397A6720"/>
    <w:lvl w:ilvl="0" w:tplc="DC9291CA">
      <w:start w:val="1"/>
      <w:numFmt w:val="decimal"/>
      <w:lvlText w:val="[%1]"/>
      <w:lvlJc w:val="left"/>
      <w:pPr>
        <w:tabs>
          <w:tab w:val="num" w:pos="0"/>
        </w:tabs>
        <w:ind w:left="0" w:firstLine="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20C0A"/>
    <w:multiLevelType w:val="hybridMultilevel"/>
    <w:tmpl w:val="9252C988"/>
    <w:lvl w:ilvl="0" w:tplc="AE8CCAA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24B14CA6"/>
    <w:multiLevelType w:val="hybridMultilevel"/>
    <w:tmpl w:val="AFA84022"/>
    <w:lvl w:ilvl="0" w:tplc="A884510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1E6B69"/>
    <w:multiLevelType w:val="hybridMultilevel"/>
    <w:tmpl w:val="D64EEDB8"/>
    <w:lvl w:ilvl="0" w:tplc="E44E176A">
      <w:start w:val="1"/>
      <w:numFmt w:val="decimal"/>
      <w:lvlText w:val="[%1]"/>
      <w:lvlJc w:val="left"/>
      <w:pPr>
        <w:ind w:left="820" w:hanging="360"/>
      </w:pPr>
      <w:rPr>
        <w:rFonts w:hint="default"/>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2" w15:restartNumberingAfterBreak="0">
    <w:nsid w:val="2D037EA4"/>
    <w:multiLevelType w:val="hybridMultilevel"/>
    <w:tmpl w:val="411422E0"/>
    <w:lvl w:ilvl="0" w:tplc="E44E176A">
      <w:start w:val="1"/>
      <w:numFmt w:val="decimal"/>
      <w:lvlText w:val="[%1]"/>
      <w:lvlJc w:val="left"/>
      <w:pPr>
        <w:ind w:left="820" w:hanging="360"/>
      </w:pPr>
      <w:rPr>
        <w:rFonts w:hint="default"/>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3" w15:restartNumberingAfterBreak="0">
    <w:nsid w:val="323B4C1F"/>
    <w:multiLevelType w:val="hybridMultilevel"/>
    <w:tmpl w:val="0D1E8B6E"/>
    <w:lvl w:ilvl="0" w:tplc="2EF240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2C732A4"/>
    <w:multiLevelType w:val="hybridMultilevel"/>
    <w:tmpl w:val="DD688724"/>
    <w:lvl w:ilvl="0" w:tplc="6FCC3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045CB1"/>
    <w:multiLevelType w:val="hybridMultilevel"/>
    <w:tmpl w:val="1C5660DA"/>
    <w:lvl w:ilvl="0" w:tplc="7CCC3F8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D9D39D7"/>
    <w:multiLevelType w:val="hybridMultilevel"/>
    <w:tmpl w:val="DFE00EA0"/>
    <w:lvl w:ilvl="0" w:tplc="CA7CAB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1171D6C"/>
    <w:multiLevelType w:val="hybridMultilevel"/>
    <w:tmpl w:val="BCB61716"/>
    <w:lvl w:ilvl="0" w:tplc="C8226BD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9415AFC"/>
    <w:multiLevelType w:val="multilevel"/>
    <w:tmpl w:val="6AA81BCE"/>
    <w:lvl w:ilvl="0">
      <w:start w:val="1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15493D"/>
    <w:multiLevelType w:val="multilevel"/>
    <w:tmpl w:val="E62CA7C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64D17D0B"/>
    <w:multiLevelType w:val="hybridMultilevel"/>
    <w:tmpl w:val="164CB8B0"/>
    <w:lvl w:ilvl="0" w:tplc="1A545886">
      <w:start w:val="2"/>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2C3E21"/>
    <w:multiLevelType w:val="hybridMultilevel"/>
    <w:tmpl w:val="655619EC"/>
    <w:lvl w:ilvl="0" w:tplc="E44E176A">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22" w15:restartNumberingAfterBreak="0">
    <w:nsid w:val="73776F05"/>
    <w:multiLevelType w:val="hybridMultilevel"/>
    <w:tmpl w:val="F552E04A"/>
    <w:lvl w:ilvl="0" w:tplc="4E0A44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7350385"/>
    <w:multiLevelType w:val="hybridMultilevel"/>
    <w:tmpl w:val="8C9CE77A"/>
    <w:lvl w:ilvl="0" w:tplc="2592B06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9E0E40"/>
    <w:multiLevelType w:val="hybridMultilevel"/>
    <w:tmpl w:val="601A4B5A"/>
    <w:lvl w:ilvl="0" w:tplc="5316D24C">
      <w:start w:val="1"/>
      <w:numFmt w:val="lowerLetter"/>
      <w:lvlText w:val="(%1)"/>
      <w:lvlJc w:val="left"/>
      <w:pPr>
        <w:ind w:left="1820" w:hanging="3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9"/>
  </w:num>
  <w:num w:numId="2">
    <w:abstractNumId w:val="6"/>
  </w:num>
  <w:num w:numId="3">
    <w:abstractNumId w:val="8"/>
  </w:num>
  <w:num w:numId="4">
    <w:abstractNumId w:val="11"/>
  </w:num>
  <w:num w:numId="5">
    <w:abstractNumId w:val="12"/>
  </w:num>
  <w:num w:numId="6">
    <w:abstractNumId w:val="21"/>
  </w:num>
  <w:num w:numId="7">
    <w:abstractNumId w:val="4"/>
  </w:num>
  <w:num w:numId="8">
    <w:abstractNumId w:val="7"/>
  </w:num>
  <w:num w:numId="9">
    <w:abstractNumId w:val="3"/>
  </w:num>
  <w:num w:numId="10">
    <w:abstractNumId w:val="10"/>
  </w:num>
  <w:num w:numId="11">
    <w:abstractNumId w:val="23"/>
  </w:num>
  <w:num w:numId="12">
    <w:abstractNumId w:val="16"/>
  </w:num>
  <w:num w:numId="13">
    <w:abstractNumId w:val="24"/>
  </w:num>
  <w:num w:numId="14">
    <w:abstractNumId w:val="15"/>
  </w:num>
  <w:num w:numId="15">
    <w:abstractNumId w:val="17"/>
  </w:num>
  <w:num w:numId="16">
    <w:abstractNumId w:val="13"/>
  </w:num>
  <w:num w:numId="17">
    <w:abstractNumId w:val="18"/>
  </w:num>
  <w:num w:numId="18">
    <w:abstractNumId w:val="9"/>
  </w:num>
  <w:num w:numId="19">
    <w:abstractNumId w:val="0"/>
  </w:num>
  <w:num w:numId="20">
    <w:abstractNumId w:val="2"/>
  </w:num>
  <w:num w:numId="21">
    <w:abstractNumId w:val="22"/>
  </w:num>
  <w:num w:numId="22">
    <w:abstractNumId w:val="1"/>
  </w:num>
  <w:num w:numId="23">
    <w:abstractNumId w:val="1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F2"/>
    <w:rsid w:val="0000452B"/>
    <w:rsid w:val="00057A2A"/>
    <w:rsid w:val="00062737"/>
    <w:rsid w:val="00063959"/>
    <w:rsid w:val="00105098"/>
    <w:rsid w:val="0011509A"/>
    <w:rsid w:val="00116EAD"/>
    <w:rsid w:val="00146B17"/>
    <w:rsid w:val="001561E4"/>
    <w:rsid w:val="00173CCB"/>
    <w:rsid w:val="00177ED7"/>
    <w:rsid w:val="0018616E"/>
    <w:rsid w:val="001A29C9"/>
    <w:rsid w:val="001C143B"/>
    <w:rsid w:val="001E0E68"/>
    <w:rsid w:val="001F0547"/>
    <w:rsid w:val="00203425"/>
    <w:rsid w:val="00247AF6"/>
    <w:rsid w:val="00273229"/>
    <w:rsid w:val="0028166C"/>
    <w:rsid w:val="0029253C"/>
    <w:rsid w:val="00292551"/>
    <w:rsid w:val="002E1F22"/>
    <w:rsid w:val="00333913"/>
    <w:rsid w:val="003513E6"/>
    <w:rsid w:val="003B32FC"/>
    <w:rsid w:val="003C2A51"/>
    <w:rsid w:val="003D1D79"/>
    <w:rsid w:val="00401640"/>
    <w:rsid w:val="004339BD"/>
    <w:rsid w:val="004461AF"/>
    <w:rsid w:val="00453B2B"/>
    <w:rsid w:val="00472758"/>
    <w:rsid w:val="004901ED"/>
    <w:rsid w:val="004B1AE8"/>
    <w:rsid w:val="004C1244"/>
    <w:rsid w:val="004D2D10"/>
    <w:rsid w:val="004E0581"/>
    <w:rsid w:val="0050298D"/>
    <w:rsid w:val="00510428"/>
    <w:rsid w:val="00513877"/>
    <w:rsid w:val="0053059B"/>
    <w:rsid w:val="00530DAE"/>
    <w:rsid w:val="00545690"/>
    <w:rsid w:val="0057185E"/>
    <w:rsid w:val="005802D1"/>
    <w:rsid w:val="005D4876"/>
    <w:rsid w:val="005E614D"/>
    <w:rsid w:val="005E64F2"/>
    <w:rsid w:val="005F373B"/>
    <w:rsid w:val="00604C4B"/>
    <w:rsid w:val="00640E9D"/>
    <w:rsid w:val="00643B5B"/>
    <w:rsid w:val="006512CB"/>
    <w:rsid w:val="006618E7"/>
    <w:rsid w:val="00663EA1"/>
    <w:rsid w:val="00664838"/>
    <w:rsid w:val="006727F3"/>
    <w:rsid w:val="0068286A"/>
    <w:rsid w:val="00683A64"/>
    <w:rsid w:val="00695BBD"/>
    <w:rsid w:val="006A0726"/>
    <w:rsid w:val="006E0BEE"/>
    <w:rsid w:val="00704588"/>
    <w:rsid w:val="00795F4B"/>
    <w:rsid w:val="007E3C6C"/>
    <w:rsid w:val="0081652E"/>
    <w:rsid w:val="008249B8"/>
    <w:rsid w:val="00833C24"/>
    <w:rsid w:val="008543AC"/>
    <w:rsid w:val="008866FE"/>
    <w:rsid w:val="00890B50"/>
    <w:rsid w:val="00894C07"/>
    <w:rsid w:val="008D21B8"/>
    <w:rsid w:val="008D2941"/>
    <w:rsid w:val="008E65DD"/>
    <w:rsid w:val="008E7C28"/>
    <w:rsid w:val="008F180E"/>
    <w:rsid w:val="008F4545"/>
    <w:rsid w:val="009023CD"/>
    <w:rsid w:val="0097160E"/>
    <w:rsid w:val="009722C4"/>
    <w:rsid w:val="00983842"/>
    <w:rsid w:val="00997A8C"/>
    <w:rsid w:val="009D7C7A"/>
    <w:rsid w:val="009F52E6"/>
    <w:rsid w:val="00A111AD"/>
    <w:rsid w:val="00A13FED"/>
    <w:rsid w:val="00A506A7"/>
    <w:rsid w:val="00A54D3B"/>
    <w:rsid w:val="00A57360"/>
    <w:rsid w:val="00A71981"/>
    <w:rsid w:val="00AA3D8F"/>
    <w:rsid w:val="00AE3EF2"/>
    <w:rsid w:val="00AE56CA"/>
    <w:rsid w:val="00AF6C61"/>
    <w:rsid w:val="00B016A9"/>
    <w:rsid w:val="00B156CC"/>
    <w:rsid w:val="00B37CC1"/>
    <w:rsid w:val="00B969E4"/>
    <w:rsid w:val="00BA47CC"/>
    <w:rsid w:val="00BA68BE"/>
    <w:rsid w:val="00BB7C9D"/>
    <w:rsid w:val="00BC72C2"/>
    <w:rsid w:val="00BF1CFF"/>
    <w:rsid w:val="00C07BB2"/>
    <w:rsid w:val="00C07F62"/>
    <w:rsid w:val="00C17A6E"/>
    <w:rsid w:val="00C64997"/>
    <w:rsid w:val="00D32336"/>
    <w:rsid w:val="00D5224F"/>
    <w:rsid w:val="00D55EAD"/>
    <w:rsid w:val="00DB106A"/>
    <w:rsid w:val="00DD29DD"/>
    <w:rsid w:val="00E57377"/>
    <w:rsid w:val="00E84E7C"/>
    <w:rsid w:val="00E946B1"/>
    <w:rsid w:val="00EB2563"/>
    <w:rsid w:val="00EB4713"/>
    <w:rsid w:val="00EB768F"/>
    <w:rsid w:val="00EF2AE3"/>
    <w:rsid w:val="00F036F9"/>
    <w:rsid w:val="00F3252F"/>
    <w:rsid w:val="00F67374"/>
    <w:rsid w:val="00F75D89"/>
    <w:rsid w:val="00F87189"/>
    <w:rsid w:val="00FA5036"/>
    <w:rsid w:val="00FE5959"/>
    <w:rsid w:val="00FE5D5C"/>
    <w:rsid w:val="00FF2D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4D2E8"/>
  <w15:docId w15:val="{C64E9EC2-55E2-486B-9EC1-C376C767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05098"/>
    <w:pPr>
      <w:ind w:left="720"/>
      <w:contextualSpacing/>
    </w:pPr>
  </w:style>
  <w:style w:type="paragraph" w:styleId="FootnoteText">
    <w:name w:val="footnote text"/>
    <w:basedOn w:val="Normal"/>
    <w:link w:val="FootnoteTextChar"/>
    <w:uiPriority w:val="99"/>
    <w:unhideWhenUsed/>
    <w:rsid w:val="00640E9D"/>
    <w:rPr>
      <w:rFonts w:asciiTheme="minorHAnsi" w:eastAsiaTheme="minorHAnsi" w:hAnsiTheme="minorHAnsi" w:cstheme="minorBidi"/>
      <w:lang w:val="en-ZA"/>
    </w:rPr>
  </w:style>
  <w:style w:type="character" w:customStyle="1" w:styleId="FootnoteTextChar">
    <w:name w:val="Footnote Text Char"/>
    <w:basedOn w:val="DefaultParagraphFont"/>
    <w:link w:val="FootnoteText"/>
    <w:uiPriority w:val="99"/>
    <w:rsid w:val="00640E9D"/>
    <w:rPr>
      <w:rFonts w:asciiTheme="minorHAnsi" w:eastAsiaTheme="minorHAnsi" w:hAnsiTheme="minorHAnsi" w:cstheme="minorBidi"/>
      <w:lang w:val="en-ZA"/>
    </w:rPr>
  </w:style>
  <w:style w:type="character" w:styleId="FootnoteReference">
    <w:name w:val="footnote reference"/>
    <w:uiPriority w:val="99"/>
    <w:rsid w:val="00640E9D"/>
    <w:rPr>
      <w:vertAlign w:val="superscript"/>
    </w:rPr>
  </w:style>
  <w:style w:type="paragraph" w:styleId="BodyText">
    <w:name w:val="Body Text"/>
    <w:basedOn w:val="Normal"/>
    <w:link w:val="BodyTextChar"/>
    <w:uiPriority w:val="99"/>
    <w:semiHidden/>
    <w:unhideWhenUsed/>
    <w:rsid w:val="008249B8"/>
    <w:pPr>
      <w:spacing w:after="120"/>
    </w:pPr>
  </w:style>
  <w:style w:type="character" w:customStyle="1" w:styleId="BodyTextChar">
    <w:name w:val="Body Text Char"/>
    <w:basedOn w:val="DefaultParagraphFont"/>
    <w:link w:val="BodyText"/>
    <w:uiPriority w:val="99"/>
    <w:semiHidden/>
    <w:rsid w:val="008249B8"/>
  </w:style>
  <w:style w:type="paragraph" w:styleId="Header">
    <w:name w:val="header"/>
    <w:basedOn w:val="Normal"/>
    <w:link w:val="HeaderChar"/>
    <w:uiPriority w:val="99"/>
    <w:unhideWhenUsed/>
    <w:rsid w:val="008249B8"/>
    <w:pPr>
      <w:widowControl w:val="0"/>
      <w:tabs>
        <w:tab w:val="center" w:pos="4513"/>
        <w:tab w:val="right" w:pos="9026"/>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8249B8"/>
    <w:rPr>
      <w:rFonts w:ascii="Arial" w:eastAsia="Arial" w:hAnsi="Arial" w:cs="Arial"/>
      <w:sz w:val="22"/>
      <w:szCs w:val="22"/>
    </w:rPr>
  </w:style>
  <w:style w:type="paragraph" w:styleId="BalloonText">
    <w:name w:val="Balloon Text"/>
    <w:basedOn w:val="Normal"/>
    <w:link w:val="BalloonTextChar"/>
    <w:uiPriority w:val="99"/>
    <w:semiHidden/>
    <w:unhideWhenUsed/>
    <w:rsid w:val="00351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6"/>
    <w:rPr>
      <w:rFonts w:ascii="Segoe UI" w:hAnsi="Segoe UI" w:cs="Segoe UI"/>
      <w:sz w:val="18"/>
      <w:szCs w:val="18"/>
    </w:rPr>
  </w:style>
  <w:style w:type="paragraph" w:styleId="Footer">
    <w:name w:val="footer"/>
    <w:basedOn w:val="Normal"/>
    <w:link w:val="FooterChar"/>
    <w:uiPriority w:val="99"/>
    <w:unhideWhenUsed/>
    <w:rsid w:val="00FE5D5C"/>
    <w:pPr>
      <w:tabs>
        <w:tab w:val="center" w:pos="4513"/>
        <w:tab w:val="right" w:pos="9026"/>
      </w:tabs>
    </w:pPr>
  </w:style>
  <w:style w:type="character" w:customStyle="1" w:styleId="FooterChar">
    <w:name w:val="Footer Char"/>
    <w:basedOn w:val="DefaultParagraphFont"/>
    <w:link w:val="Footer"/>
    <w:uiPriority w:val="99"/>
    <w:rsid w:val="00F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1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A292-16E3-4487-A021-67D0AAC2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Harris</dc:creator>
  <cp:lastModifiedBy>Adelle Harris</cp:lastModifiedBy>
  <cp:revision>2</cp:revision>
  <cp:lastPrinted>2022-05-12T08:55:00Z</cp:lastPrinted>
  <dcterms:created xsi:type="dcterms:W3CDTF">2022-05-12T11:40:00Z</dcterms:created>
  <dcterms:modified xsi:type="dcterms:W3CDTF">2022-05-12T11:40:00Z</dcterms:modified>
</cp:coreProperties>
</file>