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73E" w:rsidRDefault="002C473E" w:rsidP="002C473E">
      <w:pPr>
        <w:spacing w:line="360" w:lineRule="auto"/>
        <w:jc w:val="center"/>
        <w:rPr>
          <w:rFonts w:ascii="Raavi" w:eastAsia="Calibri" w:hAnsi="Raavi" w:cs="Raavi"/>
          <w:b/>
          <w:sz w:val="28"/>
          <w:szCs w:val="28"/>
          <w:u w:val="single"/>
        </w:rPr>
      </w:pPr>
      <w:r>
        <w:rPr>
          <w:noProof/>
          <w:lang w:eastAsia="en-ZA"/>
        </w:rPr>
        <w:drawing>
          <wp:inline distT="0" distB="0" distL="0" distR="0" wp14:anchorId="42CA03A6" wp14:editId="5AFAC215">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2C473E" w:rsidRPr="00D14312" w:rsidRDefault="002C473E" w:rsidP="002C473E">
      <w:pPr>
        <w:spacing w:line="360" w:lineRule="auto"/>
        <w:jc w:val="center"/>
        <w:rPr>
          <w:rFonts w:ascii="Arial" w:eastAsia="Calibri" w:hAnsi="Arial" w:cs="Arial"/>
          <w:b/>
          <w:sz w:val="28"/>
          <w:szCs w:val="28"/>
          <w:u w:val="single"/>
        </w:rPr>
      </w:pPr>
      <w:r w:rsidRPr="00D14312">
        <w:rPr>
          <w:rFonts w:ascii="Arial" w:eastAsia="Calibri" w:hAnsi="Arial" w:cs="Arial"/>
          <w:b/>
          <w:sz w:val="28"/>
          <w:szCs w:val="28"/>
          <w:u w:val="single"/>
        </w:rPr>
        <w:t>IN THE HIGH COURT OF SOUTH AFRICA</w:t>
      </w:r>
    </w:p>
    <w:p w:rsidR="002C473E" w:rsidRPr="00D14312" w:rsidRDefault="002C473E" w:rsidP="002C473E">
      <w:pPr>
        <w:spacing w:line="360" w:lineRule="auto"/>
        <w:jc w:val="center"/>
        <w:rPr>
          <w:rFonts w:ascii="Arial" w:eastAsia="Calibri" w:hAnsi="Arial" w:cs="Arial"/>
          <w:b/>
          <w:sz w:val="28"/>
          <w:szCs w:val="28"/>
        </w:rPr>
      </w:pPr>
      <w:r w:rsidRPr="00D14312">
        <w:rPr>
          <w:rFonts w:ascii="Arial" w:eastAsia="Calibri" w:hAnsi="Arial" w:cs="Arial"/>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2C473E" w:rsidRPr="00D14312" w:rsidTr="006E5078">
        <w:tc>
          <w:tcPr>
            <w:tcW w:w="4428" w:type="dxa"/>
          </w:tcPr>
          <w:p w:rsidR="002C473E" w:rsidRPr="00D14312" w:rsidRDefault="002C473E" w:rsidP="006E5078">
            <w:pPr>
              <w:spacing w:line="240" w:lineRule="auto"/>
              <w:rPr>
                <w:rFonts w:ascii="Arial" w:eastAsia="Calibri" w:hAnsi="Arial" w:cs="Arial"/>
                <w:b/>
                <w:sz w:val="18"/>
                <w:szCs w:val="18"/>
              </w:rPr>
            </w:pPr>
            <w:r w:rsidRPr="00D14312">
              <w:rPr>
                <w:rFonts w:ascii="Arial" w:eastAsia="Calibri" w:hAnsi="Arial" w:cs="Arial"/>
                <w:b/>
                <w:sz w:val="18"/>
                <w:szCs w:val="18"/>
              </w:rPr>
              <w:t>DELETE WHICHEVER IS NOT APPLICABLE</w:t>
            </w:r>
          </w:p>
          <w:p w:rsidR="002C473E" w:rsidRPr="00D14312" w:rsidRDefault="002C473E" w:rsidP="006E5078">
            <w:pPr>
              <w:spacing w:line="240" w:lineRule="auto"/>
              <w:rPr>
                <w:rFonts w:ascii="Arial" w:eastAsia="Calibri" w:hAnsi="Arial" w:cs="Arial"/>
                <w:b/>
                <w:sz w:val="18"/>
                <w:szCs w:val="18"/>
              </w:rPr>
            </w:pPr>
            <w:r>
              <w:rPr>
                <w:rFonts w:ascii="Arial" w:eastAsia="Calibri" w:hAnsi="Arial" w:cs="Arial"/>
                <w:b/>
                <w:sz w:val="18"/>
                <w:szCs w:val="18"/>
              </w:rPr>
              <w:t xml:space="preserve">(1) REPORTABLE:  YES </w:t>
            </w:r>
          </w:p>
          <w:p w:rsidR="002C473E" w:rsidRPr="00D14312" w:rsidRDefault="002C473E" w:rsidP="006E5078">
            <w:pPr>
              <w:spacing w:line="240" w:lineRule="auto"/>
              <w:rPr>
                <w:rFonts w:ascii="Arial" w:eastAsia="Calibri" w:hAnsi="Arial" w:cs="Arial"/>
                <w:b/>
                <w:sz w:val="18"/>
                <w:szCs w:val="18"/>
              </w:rPr>
            </w:pPr>
            <w:r w:rsidRPr="00D14312">
              <w:rPr>
                <w:rFonts w:ascii="Arial" w:eastAsia="Calibri" w:hAnsi="Arial" w:cs="Arial"/>
                <w:b/>
                <w:sz w:val="18"/>
                <w:szCs w:val="18"/>
              </w:rPr>
              <w:t>(2) OF INTE</w:t>
            </w:r>
            <w:r>
              <w:rPr>
                <w:rFonts w:ascii="Arial" w:eastAsia="Calibri" w:hAnsi="Arial" w:cs="Arial"/>
                <w:b/>
                <w:sz w:val="18"/>
                <w:szCs w:val="18"/>
              </w:rPr>
              <w:t xml:space="preserve">REST TO OTHER JUDGES:  YES </w:t>
            </w:r>
          </w:p>
          <w:p w:rsidR="002C473E" w:rsidRPr="00D14312" w:rsidRDefault="002C473E" w:rsidP="006E5078">
            <w:pPr>
              <w:spacing w:line="240" w:lineRule="auto"/>
              <w:rPr>
                <w:rFonts w:ascii="Arial" w:eastAsia="Calibri" w:hAnsi="Arial" w:cs="Arial"/>
                <w:b/>
                <w:sz w:val="18"/>
                <w:szCs w:val="18"/>
              </w:rPr>
            </w:pPr>
            <w:r w:rsidRPr="00D14312">
              <w:rPr>
                <w:rFonts w:ascii="Arial" w:eastAsia="Calibri" w:hAnsi="Arial" w:cs="Arial"/>
                <w:b/>
                <w:sz w:val="18"/>
                <w:szCs w:val="18"/>
              </w:rPr>
              <w:t>(3) REVISED.</w:t>
            </w:r>
          </w:p>
          <w:p w:rsidR="002C473E" w:rsidRPr="00D14312" w:rsidRDefault="002C473E" w:rsidP="006E5078">
            <w:pPr>
              <w:spacing w:line="240" w:lineRule="auto"/>
              <w:rPr>
                <w:rFonts w:ascii="Arial" w:eastAsia="Calibri" w:hAnsi="Arial" w:cs="Arial"/>
                <w:b/>
                <w:sz w:val="18"/>
                <w:szCs w:val="18"/>
              </w:rPr>
            </w:pPr>
          </w:p>
          <w:p w:rsidR="002C473E" w:rsidRPr="00D14312" w:rsidRDefault="002C473E" w:rsidP="006E5078">
            <w:pPr>
              <w:spacing w:line="240" w:lineRule="auto"/>
              <w:rPr>
                <w:rFonts w:ascii="Arial" w:eastAsia="Calibri" w:hAnsi="Arial" w:cs="Arial"/>
                <w:b/>
                <w:sz w:val="18"/>
                <w:szCs w:val="18"/>
                <w:u w:val="single"/>
              </w:rPr>
            </w:pPr>
            <w:r w:rsidRPr="00D14312">
              <w:rPr>
                <w:rFonts w:ascii="Arial" w:eastAsia="Calibri" w:hAnsi="Arial" w:cs="Arial"/>
                <w:b/>
                <w:sz w:val="18"/>
                <w:szCs w:val="18"/>
                <w:u w:val="single"/>
              </w:rPr>
              <w:t>DATE</w:t>
            </w:r>
            <w:r w:rsidRPr="00D14312">
              <w:rPr>
                <w:rFonts w:ascii="Arial" w:eastAsia="Calibri" w:hAnsi="Arial" w:cs="Arial"/>
                <w:b/>
                <w:sz w:val="18"/>
                <w:szCs w:val="18"/>
              </w:rPr>
              <w:t xml:space="preserve">                                            </w:t>
            </w:r>
            <w:r w:rsidRPr="00D14312">
              <w:rPr>
                <w:rFonts w:ascii="Arial" w:eastAsia="Calibri" w:hAnsi="Arial" w:cs="Arial"/>
                <w:b/>
                <w:sz w:val="18"/>
                <w:szCs w:val="18"/>
                <w:u w:val="single"/>
              </w:rPr>
              <w:t>SIGNATURE</w:t>
            </w:r>
          </w:p>
        </w:tc>
      </w:tr>
    </w:tbl>
    <w:p w:rsidR="002C473E" w:rsidRPr="00D14312" w:rsidRDefault="002C473E" w:rsidP="002C473E">
      <w:pPr>
        <w:spacing w:line="360" w:lineRule="auto"/>
        <w:jc w:val="right"/>
        <w:rPr>
          <w:rFonts w:ascii="Arial" w:eastAsia="Calibri" w:hAnsi="Arial" w:cs="Arial"/>
          <w:sz w:val="28"/>
          <w:szCs w:val="28"/>
        </w:rPr>
      </w:pPr>
      <w:r>
        <w:rPr>
          <w:rFonts w:ascii="Arial" w:eastAsia="Calibri" w:hAnsi="Arial" w:cs="Arial"/>
          <w:sz w:val="28"/>
          <w:szCs w:val="28"/>
        </w:rPr>
        <w:t>Case Number:  76000/2019</w:t>
      </w:r>
      <w:r w:rsidRPr="00D14312">
        <w:rPr>
          <w:rFonts w:ascii="Arial" w:eastAsia="Calibri" w:hAnsi="Arial" w:cs="Arial"/>
          <w:sz w:val="28"/>
          <w:szCs w:val="28"/>
        </w:rPr>
        <w:t xml:space="preserve"> </w:t>
      </w:r>
    </w:p>
    <w:p w:rsidR="002C473E" w:rsidRDefault="002C473E" w:rsidP="002C473E">
      <w:pPr>
        <w:spacing w:line="360" w:lineRule="auto"/>
        <w:jc w:val="both"/>
        <w:rPr>
          <w:rFonts w:ascii="Arial" w:eastAsia="Calibri" w:hAnsi="Arial" w:cs="Arial"/>
          <w:sz w:val="28"/>
          <w:szCs w:val="28"/>
        </w:rPr>
      </w:pPr>
      <w:r w:rsidRPr="00D14312">
        <w:rPr>
          <w:rFonts w:ascii="Arial" w:eastAsia="Calibri" w:hAnsi="Arial" w:cs="Arial"/>
          <w:sz w:val="28"/>
          <w:szCs w:val="28"/>
        </w:rPr>
        <w:t>In the matter between:</w:t>
      </w:r>
    </w:p>
    <w:p w:rsidR="002C473E" w:rsidRDefault="002C473E" w:rsidP="002C473E">
      <w:pPr>
        <w:spacing w:line="360" w:lineRule="auto"/>
        <w:rPr>
          <w:rFonts w:ascii="Arial" w:hAnsi="Arial" w:cs="Arial"/>
          <w:b/>
          <w:sz w:val="28"/>
          <w:szCs w:val="28"/>
        </w:rPr>
      </w:pPr>
      <w:r>
        <w:rPr>
          <w:rFonts w:ascii="Arial" w:hAnsi="Arial" w:cs="Arial"/>
          <w:b/>
          <w:sz w:val="28"/>
          <w:szCs w:val="28"/>
        </w:rPr>
        <w:t xml:space="preserve">BROAD-BASED BLACK ECONOMIC </w:t>
      </w:r>
    </w:p>
    <w:p w:rsidR="002C473E" w:rsidRPr="004D68E2" w:rsidRDefault="002C473E" w:rsidP="002C473E">
      <w:pPr>
        <w:spacing w:line="360" w:lineRule="auto"/>
        <w:rPr>
          <w:rFonts w:ascii="Arial" w:hAnsi="Arial" w:cs="Arial"/>
          <w:sz w:val="28"/>
          <w:szCs w:val="28"/>
        </w:rPr>
      </w:pPr>
      <w:r>
        <w:rPr>
          <w:rFonts w:ascii="Arial" w:hAnsi="Arial" w:cs="Arial"/>
          <w:b/>
          <w:sz w:val="28"/>
          <w:szCs w:val="28"/>
        </w:rPr>
        <w:t xml:space="preserve">EMPOWERMENT COMMISSION                                               </w:t>
      </w:r>
      <w:r>
        <w:rPr>
          <w:rFonts w:ascii="Arial" w:hAnsi="Arial" w:cs="Arial"/>
          <w:sz w:val="28"/>
          <w:szCs w:val="28"/>
        </w:rPr>
        <w:t>Applicant</w:t>
      </w:r>
    </w:p>
    <w:p w:rsidR="002C473E" w:rsidRDefault="002C473E" w:rsidP="002C473E">
      <w:pPr>
        <w:spacing w:line="360" w:lineRule="auto"/>
        <w:jc w:val="both"/>
        <w:rPr>
          <w:rFonts w:ascii="Arial" w:eastAsia="Calibri" w:hAnsi="Arial" w:cs="Arial"/>
          <w:sz w:val="28"/>
          <w:szCs w:val="28"/>
        </w:rPr>
      </w:pPr>
    </w:p>
    <w:p w:rsidR="002C473E" w:rsidRDefault="002C473E" w:rsidP="002C473E">
      <w:pPr>
        <w:spacing w:line="360" w:lineRule="auto"/>
        <w:jc w:val="both"/>
        <w:rPr>
          <w:rFonts w:ascii="Arial" w:eastAsia="Calibri" w:hAnsi="Arial" w:cs="Arial"/>
          <w:sz w:val="28"/>
          <w:szCs w:val="28"/>
        </w:rPr>
      </w:pPr>
      <w:r>
        <w:rPr>
          <w:rFonts w:ascii="Arial" w:eastAsia="Calibri" w:hAnsi="Arial" w:cs="Arial"/>
          <w:sz w:val="28"/>
          <w:szCs w:val="28"/>
        </w:rPr>
        <w:t>and</w:t>
      </w:r>
    </w:p>
    <w:p w:rsidR="002C473E" w:rsidRPr="00D14312" w:rsidRDefault="002C473E" w:rsidP="002C473E">
      <w:pPr>
        <w:spacing w:line="360" w:lineRule="auto"/>
        <w:jc w:val="both"/>
        <w:rPr>
          <w:rFonts w:ascii="Arial" w:eastAsia="Calibri" w:hAnsi="Arial" w:cs="Arial"/>
          <w:sz w:val="28"/>
          <w:szCs w:val="28"/>
        </w:rPr>
      </w:pPr>
    </w:p>
    <w:p w:rsidR="002C473E" w:rsidRDefault="002C473E" w:rsidP="002C473E">
      <w:pPr>
        <w:spacing w:line="360" w:lineRule="auto"/>
        <w:rPr>
          <w:rFonts w:ascii="Arial" w:hAnsi="Arial" w:cs="Arial"/>
          <w:b/>
          <w:sz w:val="28"/>
          <w:szCs w:val="28"/>
        </w:rPr>
      </w:pPr>
      <w:r>
        <w:rPr>
          <w:rFonts w:ascii="Arial" w:hAnsi="Arial" w:cs="Arial"/>
          <w:b/>
          <w:sz w:val="28"/>
          <w:szCs w:val="28"/>
        </w:rPr>
        <w:t xml:space="preserve">CARGO CARRIERS PROPRIETARY LIMITED                     </w:t>
      </w:r>
      <w:r>
        <w:rPr>
          <w:rFonts w:ascii="Arial" w:hAnsi="Arial" w:cs="Arial"/>
          <w:sz w:val="28"/>
          <w:szCs w:val="28"/>
        </w:rPr>
        <w:t>Respondent</w:t>
      </w:r>
      <w:r w:rsidRPr="00D14312">
        <w:rPr>
          <w:rFonts w:ascii="Arial" w:hAnsi="Arial" w:cs="Arial"/>
          <w:b/>
          <w:sz w:val="28"/>
          <w:szCs w:val="28"/>
        </w:rPr>
        <w:t xml:space="preserve">      </w:t>
      </w:r>
    </w:p>
    <w:p w:rsidR="002C473E" w:rsidRDefault="002C473E" w:rsidP="002C473E">
      <w:pPr>
        <w:spacing w:line="360" w:lineRule="auto"/>
        <w:rPr>
          <w:rFonts w:ascii="Arial" w:hAnsi="Arial" w:cs="Arial"/>
          <w:b/>
          <w:sz w:val="28"/>
          <w:szCs w:val="28"/>
        </w:rPr>
      </w:pPr>
    </w:p>
    <w:p w:rsidR="002C473E" w:rsidRPr="00D14312" w:rsidRDefault="002C473E" w:rsidP="002C473E">
      <w:pPr>
        <w:pBdr>
          <w:top w:val="single" w:sz="12" w:space="1" w:color="auto"/>
          <w:bottom w:val="single" w:sz="12" w:space="1" w:color="auto"/>
        </w:pBdr>
        <w:spacing w:line="240" w:lineRule="auto"/>
        <w:jc w:val="center"/>
        <w:rPr>
          <w:rFonts w:ascii="Arial" w:hAnsi="Arial" w:cs="Arial"/>
          <w:b/>
          <w:sz w:val="28"/>
          <w:szCs w:val="28"/>
        </w:rPr>
      </w:pPr>
    </w:p>
    <w:p w:rsidR="002C473E" w:rsidRPr="00D14312" w:rsidRDefault="002C473E" w:rsidP="002C473E">
      <w:pPr>
        <w:pBdr>
          <w:top w:val="single" w:sz="12" w:space="1" w:color="auto"/>
          <w:bottom w:val="single" w:sz="12" w:space="1" w:color="auto"/>
        </w:pBdr>
        <w:spacing w:line="240" w:lineRule="auto"/>
        <w:jc w:val="center"/>
        <w:rPr>
          <w:rFonts w:ascii="Arial" w:hAnsi="Arial" w:cs="Arial"/>
          <w:b/>
          <w:sz w:val="28"/>
          <w:szCs w:val="28"/>
        </w:rPr>
      </w:pPr>
      <w:r w:rsidRPr="00D14312">
        <w:rPr>
          <w:rFonts w:ascii="Arial" w:hAnsi="Arial" w:cs="Arial"/>
          <w:b/>
          <w:sz w:val="28"/>
          <w:szCs w:val="28"/>
        </w:rPr>
        <w:t>JUDGMENT</w:t>
      </w:r>
    </w:p>
    <w:p w:rsidR="002C473E" w:rsidRPr="00D14312" w:rsidRDefault="002C473E" w:rsidP="002C473E">
      <w:pPr>
        <w:pBdr>
          <w:top w:val="single" w:sz="12" w:space="1" w:color="auto"/>
          <w:bottom w:val="single" w:sz="12" w:space="1" w:color="auto"/>
        </w:pBdr>
        <w:spacing w:line="240" w:lineRule="auto"/>
        <w:jc w:val="center"/>
        <w:rPr>
          <w:rFonts w:ascii="Arial" w:hAnsi="Arial" w:cs="Arial"/>
          <w:b/>
          <w:sz w:val="28"/>
          <w:szCs w:val="28"/>
        </w:rPr>
      </w:pPr>
    </w:p>
    <w:p w:rsidR="002C473E" w:rsidRPr="00D14312" w:rsidRDefault="002C473E" w:rsidP="002C473E">
      <w:pPr>
        <w:spacing w:line="360" w:lineRule="auto"/>
        <w:jc w:val="both"/>
        <w:rPr>
          <w:rFonts w:ascii="Arial" w:hAnsi="Arial" w:cs="Arial"/>
          <w:b/>
          <w:sz w:val="28"/>
          <w:szCs w:val="28"/>
        </w:rPr>
      </w:pPr>
    </w:p>
    <w:p w:rsidR="002C473E" w:rsidRPr="00D14312" w:rsidRDefault="002C473E" w:rsidP="002C473E">
      <w:pPr>
        <w:rPr>
          <w:rFonts w:ascii="Arial" w:hAnsi="Arial" w:cs="Arial"/>
          <w:b/>
          <w:sz w:val="28"/>
          <w:szCs w:val="28"/>
        </w:rPr>
      </w:pPr>
      <w:r w:rsidRPr="00D14312">
        <w:rPr>
          <w:rFonts w:ascii="Arial" w:hAnsi="Arial" w:cs="Arial"/>
          <w:b/>
          <w:sz w:val="28"/>
          <w:szCs w:val="28"/>
        </w:rPr>
        <w:t>POTTERILL J</w:t>
      </w:r>
    </w:p>
    <w:p w:rsidR="002C473E" w:rsidRPr="00D14312" w:rsidRDefault="002C473E" w:rsidP="002C473E">
      <w:pPr>
        <w:rPr>
          <w:rFonts w:ascii="Arial" w:hAnsi="Arial" w:cs="Arial"/>
          <w:b/>
          <w:sz w:val="28"/>
          <w:szCs w:val="28"/>
        </w:rPr>
      </w:pPr>
    </w:p>
    <w:p w:rsidR="002C473E" w:rsidRDefault="002C473E" w:rsidP="002C473E">
      <w:pPr>
        <w:spacing w:after="160" w:line="360" w:lineRule="auto"/>
        <w:ind w:left="720" w:hanging="720"/>
        <w:jc w:val="both"/>
        <w:rPr>
          <w:rFonts w:ascii="Arial" w:hAnsi="Arial" w:cs="Arial"/>
          <w:sz w:val="24"/>
          <w:szCs w:val="24"/>
        </w:rPr>
      </w:pPr>
      <w:r w:rsidRPr="007B016C">
        <w:rPr>
          <w:rFonts w:ascii="Arial" w:hAnsi="Arial" w:cs="Arial"/>
          <w:sz w:val="24"/>
          <w:szCs w:val="24"/>
        </w:rPr>
        <w:t>[1]</w:t>
      </w:r>
      <w:r w:rsidRPr="007B016C">
        <w:rPr>
          <w:rFonts w:ascii="Arial" w:hAnsi="Arial" w:cs="Arial"/>
          <w:sz w:val="24"/>
          <w:szCs w:val="24"/>
        </w:rPr>
        <w:tab/>
      </w:r>
      <w:r>
        <w:rPr>
          <w:rFonts w:ascii="Arial" w:hAnsi="Arial" w:cs="Arial"/>
          <w:sz w:val="24"/>
          <w:szCs w:val="24"/>
        </w:rPr>
        <w:t>The applicant is seeking leave to appeal the judgment handed down on 28 January 2022.  Leave is sought</w:t>
      </w:r>
      <w:r w:rsidR="00F52EF3">
        <w:rPr>
          <w:rFonts w:ascii="Arial" w:hAnsi="Arial" w:cs="Arial"/>
          <w:sz w:val="24"/>
          <w:szCs w:val="24"/>
        </w:rPr>
        <w:t xml:space="preserve"> to the Supreme Court of Appeal alternatively the Full Court.</w:t>
      </w:r>
    </w:p>
    <w:p w:rsidR="002C473E" w:rsidRDefault="002C473E" w:rsidP="002C473E">
      <w:pPr>
        <w:spacing w:after="160" w:line="360" w:lineRule="auto"/>
        <w:ind w:left="720" w:hanging="720"/>
        <w:jc w:val="both"/>
        <w:rPr>
          <w:rFonts w:ascii="Arial" w:hAnsi="Arial" w:cs="Arial"/>
          <w:sz w:val="24"/>
          <w:szCs w:val="24"/>
        </w:rPr>
      </w:pPr>
    </w:p>
    <w:p w:rsidR="002C473E" w:rsidRDefault="002C473E" w:rsidP="002C473E">
      <w:pPr>
        <w:spacing w:after="16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application for leave to appeal is heard on 17 May 202</w:t>
      </w:r>
      <w:r w:rsidR="00F52EF3">
        <w:rPr>
          <w:rFonts w:ascii="Arial" w:hAnsi="Arial" w:cs="Arial"/>
          <w:sz w:val="24"/>
          <w:szCs w:val="24"/>
        </w:rPr>
        <w:t>2, three and a half months after judgment was handed down</w:t>
      </w:r>
      <w:r>
        <w:rPr>
          <w:rFonts w:ascii="Arial" w:hAnsi="Arial" w:cs="Arial"/>
          <w:sz w:val="24"/>
          <w:szCs w:val="24"/>
        </w:rPr>
        <w:t>, which is regrettable.  This was brought about by myself contracting Covid-19 a week before my long leave started.  I requested the Deputy Judge-President to allocate the leave to appeal to another Judge for hearing</w:t>
      </w:r>
      <w:r w:rsidR="00F52EF3">
        <w:rPr>
          <w:rFonts w:ascii="Arial" w:hAnsi="Arial" w:cs="Arial"/>
          <w:sz w:val="24"/>
          <w:szCs w:val="24"/>
        </w:rPr>
        <w:t xml:space="preserve"> [in terms of s17(3)</w:t>
      </w:r>
      <w:r>
        <w:rPr>
          <w:rFonts w:ascii="Arial" w:hAnsi="Arial" w:cs="Arial"/>
          <w:sz w:val="24"/>
          <w:szCs w:val="24"/>
        </w:rPr>
        <w:t>, but the Deputy Judge-President reverted it back to me.  Ther</w:t>
      </w:r>
      <w:r w:rsidR="00F52EF3">
        <w:rPr>
          <w:rFonts w:ascii="Arial" w:hAnsi="Arial" w:cs="Arial"/>
          <w:sz w:val="24"/>
          <w:szCs w:val="24"/>
        </w:rPr>
        <w:t>eafter senior counsels’</w:t>
      </w:r>
      <w:r>
        <w:rPr>
          <w:rFonts w:ascii="Arial" w:hAnsi="Arial" w:cs="Arial"/>
          <w:sz w:val="24"/>
          <w:szCs w:val="24"/>
        </w:rPr>
        <w:t xml:space="preserve"> availability was a problem, hence the matter only being heard today.</w:t>
      </w:r>
    </w:p>
    <w:p w:rsidR="002C473E" w:rsidRDefault="002C473E" w:rsidP="002C473E">
      <w:pPr>
        <w:spacing w:after="160" w:line="360" w:lineRule="auto"/>
        <w:jc w:val="both"/>
        <w:rPr>
          <w:rFonts w:ascii="Arial" w:hAnsi="Arial" w:cs="Arial"/>
          <w:sz w:val="24"/>
          <w:szCs w:val="24"/>
        </w:rPr>
      </w:pPr>
    </w:p>
    <w:p w:rsidR="002C473E" w:rsidRDefault="002C473E" w:rsidP="002C473E">
      <w:pPr>
        <w:spacing w:after="16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This court was urged to grant leave to the Supreme Court of Appeal, because s</w:t>
      </w:r>
      <w:r w:rsidR="00C229D6">
        <w:rPr>
          <w:rFonts w:ascii="Arial" w:hAnsi="Arial" w:cs="Arial"/>
          <w:sz w:val="24"/>
          <w:szCs w:val="24"/>
        </w:rPr>
        <w:t>imilar matters are presenting</w:t>
      </w:r>
      <w:r>
        <w:rPr>
          <w:rFonts w:ascii="Arial" w:hAnsi="Arial" w:cs="Arial"/>
          <w:sz w:val="24"/>
          <w:szCs w:val="24"/>
        </w:rPr>
        <w:t xml:space="preserve"> and the Supreme Court of Appeal needed to pronounce on im</w:t>
      </w:r>
      <w:r w:rsidR="00C229D6">
        <w:rPr>
          <w:rFonts w:ascii="Arial" w:hAnsi="Arial" w:cs="Arial"/>
          <w:sz w:val="24"/>
          <w:szCs w:val="24"/>
        </w:rPr>
        <w:t xml:space="preserve">portant principles in these </w:t>
      </w:r>
      <w:proofErr w:type="gramStart"/>
      <w:r w:rsidR="00C229D6">
        <w:rPr>
          <w:rFonts w:ascii="Arial" w:hAnsi="Arial" w:cs="Arial"/>
          <w:sz w:val="24"/>
          <w:szCs w:val="24"/>
        </w:rPr>
        <w:t>matters.</w:t>
      </w:r>
      <w:r>
        <w:rPr>
          <w:rFonts w:ascii="Arial" w:hAnsi="Arial" w:cs="Arial"/>
          <w:sz w:val="24"/>
          <w:szCs w:val="24"/>
        </w:rPr>
        <w:t>.</w:t>
      </w:r>
      <w:proofErr w:type="gramEnd"/>
      <w:r>
        <w:rPr>
          <w:rFonts w:ascii="Arial" w:hAnsi="Arial" w:cs="Arial"/>
          <w:sz w:val="24"/>
          <w:szCs w:val="24"/>
        </w:rPr>
        <w:t xml:space="preserve"> </w:t>
      </w:r>
    </w:p>
    <w:p w:rsidR="00C229D6" w:rsidRDefault="00C229D6" w:rsidP="002C473E">
      <w:pPr>
        <w:spacing w:after="160" w:line="360" w:lineRule="auto"/>
        <w:ind w:left="720" w:hanging="720"/>
        <w:jc w:val="both"/>
        <w:rPr>
          <w:rFonts w:ascii="Arial" w:hAnsi="Arial" w:cs="Arial"/>
          <w:sz w:val="24"/>
          <w:szCs w:val="24"/>
        </w:rPr>
      </w:pPr>
    </w:p>
    <w:p w:rsidR="00C229D6" w:rsidRDefault="00C229D6" w:rsidP="002C473E">
      <w:pPr>
        <w:spacing w:after="16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The crux of the application was that I erred on three principles of law.</w:t>
      </w:r>
    </w:p>
    <w:p w:rsidR="00C229D6" w:rsidRDefault="00C229D6" w:rsidP="002C473E">
      <w:pPr>
        <w:spacing w:after="160" w:line="360" w:lineRule="auto"/>
        <w:ind w:left="720" w:hanging="720"/>
        <w:jc w:val="both"/>
        <w:rPr>
          <w:rFonts w:ascii="Arial" w:hAnsi="Arial" w:cs="Arial"/>
          <w:sz w:val="24"/>
          <w:szCs w:val="24"/>
        </w:rPr>
      </w:pPr>
    </w:p>
    <w:p w:rsidR="00E330DB" w:rsidRPr="00C32C20" w:rsidRDefault="005C0ED9" w:rsidP="00C32C20">
      <w:pPr>
        <w:spacing w:after="160" w:line="360" w:lineRule="auto"/>
        <w:ind w:left="720"/>
        <w:jc w:val="both"/>
        <w:rPr>
          <w:rFonts w:ascii="Arial" w:hAnsi="Arial" w:cs="Arial"/>
          <w:i/>
          <w:sz w:val="24"/>
          <w:szCs w:val="24"/>
        </w:rPr>
      </w:pPr>
      <w:r>
        <w:rPr>
          <w:rFonts w:ascii="Arial" w:hAnsi="Arial" w:cs="Arial"/>
          <w:sz w:val="24"/>
          <w:szCs w:val="24"/>
        </w:rPr>
        <w:t xml:space="preserve">The first ground of appeal was that I should not have applied the </w:t>
      </w:r>
      <w:proofErr w:type="spellStart"/>
      <w:r>
        <w:rPr>
          <w:rFonts w:ascii="Arial" w:hAnsi="Arial" w:cs="Arial"/>
          <w:i/>
          <w:sz w:val="24"/>
          <w:szCs w:val="24"/>
        </w:rPr>
        <w:t>Plascon</w:t>
      </w:r>
      <w:proofErr w:type="spellEnd"/>
      <w:r>
        <w:rPr>
          <w:rFonts w:ascii="Arial" w:hAnsi="Arial" w:cs="Arial"/>
          <w:i/>
          <w:sz w:val="24"/>
          <w:szCs w:val="24"/>
        </w:rPr>
        <w:t>-Evans</w:t>
      </w:r>
      <w:r>
        <w:rPr>
          <w:rStyle w:val="FootnoteReference"/>
          <w:rFonts w:ascii="Arial" w:hAnsi="Arial" w:cs="Arial"/>
          <w:i/>
          <w:sz w:val="24"/>
          <w:szCs w:val="24"/>
        </w:rPr>
        <w:footnoteReference w:id="1"/>
      </w:r>
      <w:r>
        <w:rPr>
          <w:rFonts w:ascii="Arial" w:hAnsi="Arial" w:cs="Arial"/>
          <w:i/>
          <w:sz w:val="24"/>
          <w:szCs w:val="24"/>
        </w:rPr>
        <w:t xml:space="preserve"> </w:t>
      </w:r>
      <w:r>
        <w:rPr>
          <w:rFonts w:ascii="Arial" w:hAnsi="Arial" w:cs="Arial"/>
          <w:sz w:val="24"/>
          <w:szCs w:val="24"/>
        </w:rPr>
        <w:t>principle to this matter.</w:t>
      </w:r>
      <w:r>
        <w:rPr>
          <w:rStyle w:val="FootnoteReference"/>
          <w:rFonts w:ascii="Arial" w:hAnsi="Arial" w:cs="Arial"/>
          <w:sz w:val="24"/>
          <w:szCs w:val="24"/>
        </w:rPr>
        <w:footnoteReference w:id="2"/>
      </w:r>
      <w:r w:rsidR="00C32C20">
        <w:rPr>
          <w:rFonts w:ascii="Arial" w:hAnsi="Arial" w:cs="Arial"/>
          <w:i/>
          <w:sz w:val="24"/>
          <w:szCs w:val="24"/>
        </w:rPr>
        <w:t xml:space="preserve">  </w:t>
      </w:r>
      <w:r w:rsidR="00E330DB">
        <w:rPr>
          <w:rFonts w:ascii="Arial" w:hAnsi="Arial" w:cs="Arial"/>
          <w:sz w:val="24"/>
          <w:szCs w:val="24"/>
        </w:rPr>
        <w:t xml:space="preserve">This argument is simply bad in </w:t>
      </w:r>
      <w:r w:rsidR="00C229D6">
        <w:rPr>
          <w:rFonts w:ascii="Arial" w:hAnsi="Arial" w:cs="Arial"/>
          <w:sz w:val="24"/>
          <w:szCs w:val="24"/>
        </w:rPr>
        <w:t xml:space="preserve">law; where on </w:t>
      </w:r>
      <w:r w:rsidR="00C229D6">
        <w:rPr>
          <w:rFonts w:ascii="Arial" w:hAnsi="Arial" w:cs="Arial"/>
          <w:sz w:val="24"/>
          <w:szCs w:val="24"/>
        </w:rPr>
        <w:lastRenderedPageBreak/>
        <w:t>application</w:t>
      </w:r>
      <w:r w:rsidR="00E330DB">
        <w:rPr>
          <w:rFonts w:ascii="Arial" w:hAnsi="Arial" w:cs="Arial"/>
          <w:sz w:val="24"/>
          <w:szCs w:val="24"/>
        </w:rPr>
        <w:t xml:space="preserve"> a final order is sought</w:t>
      </w:r>
      <w:r w:rsidR="00C229D6">
        <w:rPr>
          <w:rFonts w:ascii="Arial" w:hAnsi="Arial" w:cs="Arial"/>
          <w:sz w:val="24"/>
          <w:szCs w:val="24"/>
        </w:rPr>
        <w:t>, where there is a dispute of fact,</w:t>
      </w:r>
      <w:r w:rsidR="00E330DB">
        <w:rPr>
          <w:rFonts w:ascii="Arial" w:hAnsi="Arial" w:cs="Arial"/>
          <w:sz w:val="24"/>
          <w:szCs w:val="24"/>
        </w:rPr>
        <w:t xml:space="preserve"> this is the only principle on which to decide whether the applicant came to the correct finding</w:t>
      </w:r>
      <w:r w:rsidR="00C229D6">
        <w:rPr>
          <w:rFonts w:ascii="Arial" w:hAnsi="Arial" w:cs="Arial"/>
          <w:sz w:val="24"/>
          <w:szCs w:val="24"/>
        </w:rPr>
        <w:t>s.</w:t>
      </w:r>
      <w:r w:rsidR="00E330DB">
        <w:rPr>
          <w:rFonts w:ascii="Arial" w:hAnsi="Arial" w:cs="Arial"/>
          <w:sz w:val="24"/>
          <w:szCs w:val="24"/>
        </w:rPr>
        <w:t xml:space="preserve">  The dispute</w:t>
      </w:r>
      <w:r w:rsidR="00AF0D10">
        <w:rPr>
          <w:rFonts w:ascii="Arial" w:hAnsi="Arial" w:cs="Arial"/>
          <w:sz w:val="24"/>
          <w:szCs w:val="24"/>
        </w:rPr>
        <w:t>s of fact</w:t>
      </w:r>
      <w:r w:rsidR="00C229D6">
        <w:rPr>
          <w:rFonts w:ascii="Arial" w:hAnsi="Arial" w:cs="Arial"/>
          <w:sz w:val="24"/>
          <w:szCs w:val="24"/>
        </w:rPr>
        <w:t xml:space="preserve"> were numerous and are unnecessary to repeat</w:t>
      </w:r>
      <w:r w:rsidR="00E330DB">
        <w:rPr>
          <w:rFonts w:ascii="Arial" w:hAnsi="Arial" w:cs="Arial"/>
          <w:sz w:val="24"/>
          <w:szCs w:val="24"/>
        </w:rPr>
        <w:t xml:space="preserve"> as they are crystallised in the judgment.  But, just to mention two</w:t>
      </w:r>
      <w:r w:rsidR="00B963DD">
        <w:rPr>
          <w:rFonts w:ascii="Arial" w:hAnsi="Arial" w:cs="Arial"/>
          <w:sz w:val="24"/>
          <w:szCs w:val="24"/>
        </w:rPr>
        <w:t xml:space="preserve"> relevant and important disputes of fact;</w:t>
      </w:r>
      <w:r w:rsidR="00E330DB">
        <w:rPr>
          <w:rFonts w:ascii="Arial" w:hAnsi="Arial" w:cs="Arial"/>
          <w:sz w:val="24"/>
          <w:szCs w:val="24"/>
        </w:rPr>
        <w:t xml:space="preserve"> did the complainants derive an eco</w:t>
      </w:r>
      <w:r w:rsidR="00B963DD">
        <w:rPr>
          <w:rFonts w:ascii="Arial" w:hAnsi="Arial" w:cs="Arial"/>
          <w:sz w:val="24"/>
          <w:szCs w:val="24"/>
        </w:rPr>
        <w:t xml:space="preserve">nomic benefit from the ODI’s; did the respondent </w:t>
      </w:r>
      <w:r w:rsidR="0071029B">
        <w:rPr>
          <w:rFonts w:ascii="Arial" w:hAnsi="Arial" w:cs="Arial"/>
          <w:sz w:val="24"/>
          <w:szCs w:val="24"/>
        </w:rPr>
        <w:t>front the complainants?  I find it inconceivable</w:t>
      </w:r>
      <w:r w:rsidR="00AF0D10">
        <w:rPr>
          <w:rFonts w:ascii="Arial" w:hAnsi="Arial" w:cs="Arial"/>
          <w:sz w:val="24"/>
          <w:szCs w:val="24"/>
        </w:rPr>
        <w:t xml:space="preserve"> </w:t>
      </w:r>
      <w:r w:rsidR="00E330DB">
        <w:rPr>
          <w:rFonts w:ascii="Arial" w:hAnsi="Arial" w:cs="Arial"/>
          <w:sz w:val="24"/>
          <w:szCs w:val="24"/>
        </w:rPr>
        <w:t xml:space="preserve">that the applicant can now as a ground </w:t>
      </w:r>
      <w:r w:rsidR="0071029B">
        <w:rPr>
          <w:rFonts w:ascii="Arial" w:hAnsi="Arial" w:cs="Arial"/>
          <w:sz w:val="24"/>
          <w:szCs w:val="24"/>
        </w:rPr>
        <w:t>of appeal set out that there were</w:t>
      </w:r>
      <w:r w:rsidR="00E330DB">
        <w:rPr>
          <w:rFonts w:ascii="Arial" w:hAnsi="Arial" w:cs="Arial"/>
          <w:sz w:val="24"/>
          <w:szCs w:val="24"/>
        </w:rPr>
        <w:t xml:space="preserve"> no factual dispute</w:t>
      </w:r>
      <w:r w:rsidR="0071029B">
        <w:rPr>
          <w:rFonts w:ascii="Arial" w:hAnsi="Arial" w:cs="Arial"/>
          <w:sz w:val="24"/>
          <w:szCs w:val="24"/>
        </w:rPr>
        <w:t xml:space="preserve">s.  No court would </w:t>
      </w:r>
      <w:r w:rsidR="00E330DB">
        <w:rPr>
          <w:rFonts w:ascii="Arial" w:hAnsi="Arial" w:cs="Arial"/>
          <w:sz w:val="24"/>
          <w:szCs w:val="24"/>
        </w:rPr>
        <w:t xml:space="preserve">use any other principle than the </w:t>
      </w:r>
      <w:proofErr w:type="spellStart"/>
      <w:r w:rsidR="00E330DB">
        <w:rPr>
          <w:rFonts w:ascii="Arial" w:hAnsi="Arial" w:cs="Arial"/>
          <w:i/>
          <w:sz w:val="24"/>
          <w:szCs w:val="24"/>
        </w:rPr>
        <w:t>Plascon</w:t>
      </w:r>
      <w:proofErr w:type="spellEnd"/>
      <w:r w:rsidR="00E330DB">
        <w:rPr>
          <w:rFonts w:ascii="Arial" w:hAnsi="Arial" w:cs="Arial"/>
          <w:i/>
          <w:sz w:val="24"/>
          <w:szCs w:val="24"/>
        </w:rPr>
        <w:t xml:space="preserve">-Evans </w:t>
      </w:r>
      <w:r w:rsidR="00E330DB">
        <w:rPr>
          <w:rFonts w:ascii="Arial" w:hAnsi="Arial" w:cs="Arial"/>
          <w:sz w:val="24"/>
          <w:szCs w:val="24"/>
        </w:rPr>
        <w:t>principle.</w:t>
      </w:r>
    </w:p>
    <w:p w:rsidR="00E330DB" w:rsidRDefault="00E330DB" w:rsidP="002C473E">
      <w:pPr>
        <w:spacing w:after="160" w:line="360" w:lineRule="auto"/>
        <w:ind w:left="720" w:hanging="720"/>
        <w:jc w:val="both"/>
        <w:rPr>
          <w:rFonts w:ascii="Arial" w:hAnsi="Arial" w:cs="Arial"/>
          <w:sz w:val="24"/>
          <w:szCs w:val="24"/>
        </w:rPr>
      </w:pPr>
    </w:p>
    <w:p w:rsidR="00E330DB" w:rsidRPr="00E330DB" w:rsidRDefault="00C32C20" w:rsidP="002C473E">
      <w:pPr>
        <w:spacing w:after="160" w:line="360" w:lineRule="auto"/>
        <w:ind w:left="720" w:hanging="720"/>
        <w:jc w:val="both"/>
        <w:rPr>
          <w:rFonts w:ascii="Arial" w:hAnsi="Arial" w:cs="Arial"/>
          <w:sz w:val="24"/>
          <w:szCs w:val="24"/>
        </w:rPr>
      </w:pPr>
      <w:r>
        <w:rPr>
          <w:rFonts w:ascii="Arial" w:hAnsi="Arial" w:cs="Arial"/>
          <w:sz w:val="24"/>
          <w:szCs w:val="24"/>
        </w:rPr>
        <w:t>[5</w:t>
      </w:r>
      <w:r w:rsidR="00E330DB">
        <w:rPr>
          <w:rFonts w:ascii="Arial" w:hAnsi="Arial" w:cs="Arial"/>
          <w:sz w:val="24"/>
          <w:szCs w:val="24"/>
        </w:rPr>
        <w:t>]</w:t>
      </w:r>
      <w:r w:rsidR="00E330DB">
        <w:rPr>
          <w:rFonts w:ascii="Arial" w:hAnsi="Arial" w:cs="Arial"/>
          <w:sz w:val="24"/>
          <w:szCs w:val="24"/>
        </w:rPr>
        <w:tab/>
        <w:t>The s</w:t>
      </w:r>
      <w:r w:rsidR="007A4FAB">
        <w:rPr>
          <w:rFonts w:ascii="Arial" w:hAnsi="Arial" w:cs="Arial"/>
          <w:sz w:val="24"/>
          <w:szCs w:val="24"/>
        </w:rPr>
        <w:t>econd ground of appeal in law</w:t>
      </w:r>
      <w:r w:rsidR="00E330DB">
        <w:rPr>
          <w:rFonts w:ascii="Arial" w:hAnsi="Arial" w:cs="Arial"/>
          <w:sz w:val="24"/>
          <w:szCs w:val="24"/>
        </w:rPr>
        <w:t>,</w:t>
      </w:r>
      <w:r w:rsidR="007A4FAB">
        <w:rPr>
          <w:rFonts w:ascii="Arial" w:hAnsi="Arial" w:cs="Arial"/>
          <w:sz w:val="24"/>
          <w:szCs w:val="24"/>
        </w:rPr>
        <w:t xml:space="preserve"> as</w:t>
      </w:r>
      <w:r w:rsidR="00E330DB">
        <w:rPr>
          <w:rFonts w:ascii="Arial" w:hAnsi="Arial" w:cs="Arial"/>
          <w:sz w:val="24"/>
          <w:szCs w:val="24"/>
        </w:rPr>
        <w:t xml:space="preserve"> coined by the applicant, is that the court incorrectly found that the </w:t>
      </w:r>
      <w:proofErr w:type="spellStart"/>
      <w:r w:rsidR="00E330DB">
        <w:rPr>
          <w:rFonts w:ascii="Arial" w:hAnsi="Arial" w:cs="Arial"/>
          <w:i/>
          <w:sz w:val="24"/>
          <w:szCs w:val="24"/>
        </w:rPr>
        <w:t>Swissborough</w:t>
      </w:r>
      <w:proofErr w:type="spellEnd"/>
      <w:r w:rsidR="00180C1D">
        <w:rPr>
          <w:rStyle w:val="FootnoteReference"/>
          <w:rFonts w:ascii="Arial" w:hAnsi="Arial" w:cs="Arial"/>
          <w:i/>
          <w:sz w:val="24"/>
          <w:szCs w:val="24"/>
        </w:rPr>
        <w:footnoteReference w:id="3"/>
      </w:r>
      <w:r w:rsidR="00E330DB">
        <w:rPr>
          <w:rFonts w:ascii="Arial" w:hAnsi="Arial" w:cs="Arial"/>
          <w:i/>
          <w:sz w:val="24"/>
          <w:szCs w:val="24"/>
        </w:rPr>
        <w:t xml:space="preserve"> </w:t>
      </w:r>
      <w:r w:rsidR="00E330DB">
        <w:rPr>
          <w:rFonts w:ascii="Arial" w:hAnsi="Arial" w:cs="Arial"/>
          <w:sz w:val="24"/>
          <w:szCs w:val="24"/>
        </w:rPr>
        <w:t xml:space="preserve">matter is applicable in a review:  i.e. it can simply </w:t>
      </w:r>
      <w:r w:rsidR="00182511">
        <w:rPr>
          <w:rFonts w:ascii="Arial" w:hAnsi="Arial" w:cs="Arial"/>
          <w:sz w:val="24"/>
          <w:szCs w:val="24"/>
        </w:rPr>
        <w:t>attach the UBAC report (the record) without referencing in the affidavit what passages and findings it relied on when it made its findings against the respondent.  But, that is the law as it stands.  I know of no other law to be applied to reviews and the applicant does not inform me what law I should have applied</w:t>
      </w:r>
      <w:r w:rsidR="007A4FAB">
        <w:rPr>
          <w:rFonts w:ascii="Arial" w:hAnsi="Arial" w:cs="Arial"/>
          <w:sz w:val="24"/>
          <w:szCs w:val="24"/>
        </w:rPr>
        <w:t xml:space="preserve">.  There is no niche law for </w:t>
      </w:r>
      <w:r w:rsidR="00182511">
        <w:rPr>
          <w:rFonts w:ascii="Arial" w:hAnsi="Arial" w:cs="Arial"/>
          <w:sz w:val="24"/>
          <w:szCs w:val="24"/>
        </w:rPr>
        <w:t>state</w:t>
      </w:r>
      <w:r w:rsidR="007A4FAB">
        <w:rPr>
          <w:rFonts w:ascii="Arial" w:hAnsi="Arial" w:cs="Arial"/>
          <w:sz w:val="24"/>
          <w:szCs w:val="24"/>
        </w:rPr>
        <w:t xml:space="preserve"> organs;</w:t>
      </w:r>
      <w:r w:rsidR="00182511">
        <w:rPr>
          <w:rFonts w:ascii="Arial" w:hAnsi="Arial" w:cs="Arial"/>
          <w:sz w:val="24"/>
          <w:szCs w:val="24"/>
        </w:rPr>
        <w:t xml:space="preserve"> i.e. because the complainants are vulnerable therefore the law can be ignored.</w:t>
      </w:r>
      <w:r w:rsidR="007D2764">
        <w:rPr>
          <w:rFonts w:ascii="Arial" w:hAnsi="Arial" w:cs="Arial"/>
          <w:sz w:val="24"/>
          <w:szCs w:val="24"/>
        </w:rPr>
        <w:t xml:space="preserve"> There are no reasonable prospects of success on this ground.</w:t>
      </w:r>
    </w:p>
    <w:p w:rsidR="00E330DB" w:rsidRDefault="00E330DB" w:rsidP="002C473E">
      <w:pPr>
        <w:spacing w:after="160" w:line="360" w:lineRule="auto"/>
        <w:ind w:left="720" w:hanging="720"/>
        <w:jc w:val="both"/>
        <w:rPr>
          <w:rFonts w:ascii="Arial" w:hAnsi="Arial" w:cs="Arial"/>
          <w:sz w:val="24"/>
          <w:szCs w:val="24"/>
        </w:rPr>
      </w:pPr>
    </w:p>
    <w:p w:rsidR="00E330DB" w:rsidRDefault="00E330DB" w:rsidP="002C473E">
      <w:pPr>
        <w:spacing w:after="160" w:line="360" w:lineRule="auto"/>
        <w:ind w:left="720" w:hanging="720"/>
        <w:jc w:val="both"/>
        <w:rPr>
          <w:rFonts w:ascii="Arial" w:hAnsi="Arial" w:cs="Arial"/>
          <w:sz w:val="24"/>
          <w:szCs w:val="24"/>
        </w:rPr>
      </w:pPr>
      <w:r>
        <w:rPr>
          <w:rFonts w:ascii="Arial" w:hAnsi="Arial" w:cs="Arial"/>
          <w:sz w:val="24"/>
          <w:szCs w:val="24"/>
        </w:rPr>
        <w:t>[6]</w:t>
      </w:r>
      <w:r w:rsidR="00182511">
        <w:rPr>
          <w:rFonts w:ascii="Arial" w:hAnsi="Arial" w:cs="Arial"/>
          <w:sz w:val="24"/>
          <w:szCs w:val="24"/>
        </w:rPr>
        <w:tab/>
        <w:t>The third ground was that the new evidence of training</w:t>
      </w:r>
      <w:r w:rsidR="00C85BBE">
        <w:rPr>
          <w:rFonts w:ascii="Arial" w:hAnsi="Arial" w:cs="Arial"/>
          <w:sz w:val="24"/>
          <w:szCs w:val="24"/>
        </w:rPr>
        <w:t xml:space="preserve"> in the replying affidavit</w:t>
      </w:r>
      <w:r w:rsidR="00182511">
        <w:rPr>
          <w:rFonts w:ascii="Arial" w:hAnsi="Arial" w:cs="Arial"/>
          <w:sz w:val="24"/>
          <w:szCs w:val="24"/>
        </w:rPr>
        <w:t xml:space="preserve"> was wrongly admit</w:t>
      </w:r>
      <w:r w:rsidR="00C85BBE">
        <w:rPr>
          <w:rFonts w:ascii="Arial" w:hAnsi="Arial" w:cs="Arial"/>
          <w:sz w:val="24"/>
          <w:szCs w:val="24"/>
        </w:rPr>
        <w:t>ted.</w:t>
      </w:r>
      <w:r w:rsidR="00182511">
        <w:rPr>
          <w:rFonts w:ascii="Arial" w:hAnsi="Arial" w:cs="Arial"/>
          <w:sz w:val="24"/>
          <w:szCs w:val="24"/>
        </w:rPr>
        <w:t xml:space="preserve"> The judgment clearly sets out what was contained in the affidavits.  The applicant baldly denied that there was training.  Cargo Carriers evidenced the training.  There was never a contention by counsel for the applica</w:t>
      </w:r>
      <w:r w:rsidR="00C85BBE">
        <w:rPr>
          <w:rFonts w:ascii="Arial" w:hAnsi="Arial" w:cs="Arial"/>
          <w:sz w:val="24"/>
          <w:szCs w:val="24"/>
        </w:rPr>
        <w:t>nt that the training was new evidence.</w:t>
      </w:r>
      <w:r w:rsidR="00182511">
        <w:rPr>
          <w:rFonts w:ascii="Arial" w:hAnsi="Arial" w:cs="Arial"/>
          <w:sz w:val="24"/>
          <w:szCs w:val="24"/>
        </w:rPr>
        <w:t xml:space="preserve">  I am sure at the hearing he would have done so</w:t>
      </w:r>
      <w:r w:rsidR="00C85BBE">
        <w:rPr>
          <w:rFonts w:ascii="Arial" w:hAnsi="Arial" w:cs="Arial"/>
          <w:sz w:val="24"/>
          <w:szCs w:val="24"/>
        </w:rPr>
        <w:t>,</w:t>
      </w:r>
      <w:r w:rsidR="00182511">
        <w:rPr>
          <w:rFonts w:ascii="Arial" w:hAnsi="Arial" w:cs="Arial"/>
          <w:sz w:val="24"/>
          <w:szCs w:val="24"/>
        </w:rPr>
        <w:t xml:space="preserve"> if indeed it was the situation.  He also did not revert to the UBAC report to sustain his argument that there was no proof of the training before the respondent.  On the </w:t>
      </w:r>
      <w:proofErr w:type="spellStart"/>
      <w:r w:rsidR="00182511">
        <w:rPr>
          <w:rFonts w:ascii="Arial" w:hAnsi="Arial" w:cs="Arial"/>
          <w:i/>
          <w:sz w:val="24"/>
          <w:szCs w:val="24"/>
        </w:rPr>
        <w:t>Plascon</w:t>
      </w:r>
      <w:proofErr w:type="spellEnd"/>
      <w:r w:rsidR="00182511">
        <w:rPr>
          <w:rFonts w:ascii="Arial" w:hAnsi="Arial" w:cs="Arial"/>
          <w:i/>
          <w:sz w:val="24"/>
          <w:szCs w:val="24"/>
        </w:rPr>
        <w:t xml:space="preserve">-Evans </w:t>
      </w:r>
      <w:r w:rsidR="00182511">
        <w:rPr>
          <w:rFonts w:ascii="Arial" w:hAnsi="Arial" w:cs="Arial"/>
          <w:sz w:val="24"/>
          <w:szCs w:val="24"/>
        </w:rPr>
        <w:t xml:space="preserve">principle this dispute of fact was correctly decided. </w:t>
      </w:r>
    </w:p>
    <w:p w:rsidR="00182511" w:rsidRDefault="00182511" w:rsidP="002C473E">
      <w:pPr>
        <w:spacing w:after="160" w:line="360" w:lineRule="auto"/>
        <w:ind w:left="720" w:hanging="720"/>
        <w:jc w:val="both"/>
        <w:rPr>
          <w:rFonts w:ascii="Arial" w:hAnsi="Arial" w:cs="Arial"/>
          <w:sz w:val="24"/>
          <w:szCs w:val="24"/>
        </w:rPr>
      </w:pPr>
    </w:p>
    <w:p w:rsidR="00182511" w:rsidRDefault="00182511" w:rsidP="002C473E">
      <w:pPr>
        <w:spacing w:after="16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C85BBE">
        <w:rPr>
          <w:rFonts w:ascii="Arial" w:hAnsi="Arial" w:cs="Arial"/>
          <w:sz w:val="24"/>
          <w:szCs w:val="24"/>
        </w:rPr>
        <w:t>On the</w:t>
      </w:r>
      <w:r w:rsidR="0027182D">
        <w:rPr>
          <w:rFonts w:ascii="Arial" w:hAnsi="Arial" w:cs="Arial"/>
          <w:sz w:val="24"/>
          <w:szCs w:val="24"/>
        </w:rPr>
        <w:t xml:space="preserve"> facts, there was</w:t>
      </w:r>
      <w:r>
        <w:rPr>
          <w:rFonts w:ascii="Arial" w:hAnsi="Arial" w:cs="Arial"/>
          <w:sz w:val="24"/>
          <w:szCs w:val="24"/>
        </w:rPr>
        <w:t xml:space="preserve"> no evidence from the applicant that ther</w:t>
      </w:r>
      <w:r w:rsidR="0027182D">
        <w:rPr>
          <w:rFonts w:ascii="Arial" w:hAnsi="Arial" w:cs="Arial"/>
          <w:sz w:val="24"/>
          <w:szCs w:val="24"/>
        </w:rPr>
        <w:t>e was a condition</w:t>
      </w:r>
      <w:r w:rsidR="00C85BBE">
        <w:rPr>
          <w:rFonts w:ascii="Arial" w:hAnsi="Arial" w:cs="Arial"/>
          <w:sz w:val="24"/>
          <w:szCs w:val="24"/>
        </w:rPr>
        <w:t xml:space="preserve"> from </w:t>
      </w:r>
      <w:proofErr w:type="spellStart"/>
      <w:r w:rsidR="00C85BBE">
        <w:rPr>
          <w:rFonts w:ascii="Arial" w:hAnsi="Arial" w:cs="Arial"/>
          <w:sz w:val="24"/>
          <w:szCs w:val="24"/>
        </w:rPr>
        <w:t>Afrisam</w:t>
      </w:r>
      <w:proofErr w:type="spellEnd"/>
      <w:r w:rsidR="00C85BBE">
        <w:rPr>
          <w:rFonts w:ascii="Arial" w:hAnsi="Arial" w:cs="Arial"/>
          <w:sz w:val="24"/>
          <w:szCs w:val="24"/>
        </w:rPr>
        <w:t xml:space="preserve"> that ODI’s were</w:t>
      </w:r>
      <w:r>
        <w:rPr>
          <w:rFonts w:ascii="Arial" w:hAnsi="Arial" w:cs="Arial"/>
          <w:sz w:val="24"/>
          <w:szCs w:val="24"/>
        </w:rPr>
        <w:t xml:space="preserve"> a r</w:t>
      </w:r>
      <w:r w:rsidR="0027182D">
        <w:rPr>
          <w:rFonts w:ascii="Arial" w:hAnsi="Arial" w:cs="Arial"/>
          <w:sz w:val="24"/>
          <w:szCs w:val="24"/>
        </w:rPr>
        <w:t>equirement, and no other court w</w:t>
      </w:r>
      <w:r>
        <w:rPr>
          <w:rFonts w:ascii="Arial" w:hAnsi="Arial" w:cs="Arial"/>
          <w:sz w:val="24"/>
          <w:szCs w:val="24"/>
        </w:rPr>
        <w:t>ould on the papers find same.</w:t>
      </w:r>
    </w:p>
    <w:p w:rsidR="00182511" w:rsidRDefault="00182511" w:rsidP="002C473E">
      <w:pPr>
        <w:spacing w:after="160" w:line="360" w:lineRule="auto"/>
        <w:ind w:left="720" w:hanging="720"/>
        <w:jc w:val="both"/>
        <w:rPr>
          <w:rFonts w:ascii="Arial" w:hAnsi="Arial" w:cs="Arial"/>
          <w:sz w:val="24"/>
          <w:szCs w:val="24"/>
        </w:rPr>
      </w:pPr>
    </w:p>
    <w:p w:rsidR="00182511" w:rsidRPr="00182511" w:rsidRDefault="00182511" w:rsidP="002C473E">
      <w:pPr>
        <w:spacing w:after="16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As for the ground of appeal pertaining to the benefit Cargo Carriers received, there was no evidence in the applicant’s affidavit setting out any benefit</w:t>
      </w:r>
      <w:r w:rsidR="00C60E84">
        <w:rPr>
          <w:rFonts w:ascii="Arial" w:hAnsi="Arial" w:cs="Arial"/>
          <w:sz w:val="24"/>
          <w:szCs w:val="24"/>
        </w:rPr>
        <w:t>,</w:t>
      </w:r>
      <w:r>
        <w:rPr>
          <w:rFonts w:ascii="Arial" w:hAnsi="Arial" w:cs="Arial"/>
          <w:sz w:val="24"/>
          <w:szCs w:val="24"/>
        </w:rPr>
        <w:t xml:space="preserve"> but for a general remark that benefit is somewhere in the UBAC report.  On the other hand, Cargo Carriers provided this court with the necessary proof of their BBBEE status.  In applying the </w:t>
      </w:r>
      <w:proofErr w:type="spellStart"/>
      <w:r>
        <w:rPr>
          <w:rFonts w:ascii="Arial" w:hAnsi="Arial" w:cs="Arial"/>
          <w:i/>
          <w:sz w:val="24"/>
          <w:szCs w:val="24"/>
        </w:rPr>
        <w:t>Plascon</w:t>
      </w:r>
      <w:proofErr w:type="spellEnd"/>
      <w:r>
        <w:rPr>
          <w:rFonts w:ascii="Arial" w:hAnsi="Arial" w:cs="Arial"/>
          <w:i/>
          <w:sz w:val="24"/>
          <w:szCs w:val="24"/>
        </w:rPr>
        <w:t xml:space="preserve">-Evans </w:t>
      </w:r>
      <w:r>
        <w:rPr>
          <w:rFonts w:ascii="Arial" w:hAnsi="Arial" w:cs="Arial"/>
          <w:sz w:val="24"/>
          <w:szCs w:val="24"/>
        </w:rPr>
        <w:t>principle no court could come to another conclusion.</w:t>
      </w:r>
    </w:p>
    <w:p w:rsidR="00182511" w:rsidRDefault="00182511" w:rsidP="002C473E">
      <w:pPr>
        <w:spacing w:after="160" w:line="360" w:lineRule="auto"/>
        <w:ind w:left="720" w:hanging="720"/>
        <w:jc w:val="both"/>
        <w:rPr>
          <w:rFonts w:ascii="Arial" w:hAnsi="Arial" w:cs="Arial"/>
          <w:sz w:val="24"/>
          <w:szCs w:val="24"/>
        </w:rPr>
      </w:pPr>
    </w:p>
    <w:p w:rsidR="00182511" w:rsidRDefault="00182511" w:rsidP="002C473E">
      <w:pPr>
        <w:spacing w:after="16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No other court could find that the non-adherence to a contract is to be ignored, especially if this is why the ODI failed.  The applicant taking a one-sided analysis hereof is to be frowned upon and no court could find otherwise.</w:t>
      </w:r>
    </w:p>
    <w:p w:rsidR="00182511" w:rsidRDefault="00182511" w:rsidP="002C473E">
      <w:pPr>
        <w:spacing w:after="160" w:line="360" w:lineRule="auto"/>
        <w:ind w:left="720" w:hanging="720"/>
        <w:jc w:val="both"/>
        <w:rPr>
          <w:rFonts w:ascii="Arial" w:hAnsi="Arial" w:cs="Arial"/>
          <w:sz w:val="24"/>
          <w:szCs w:val="24"/>
        </w:rPr>
      </w:pPr>
    </w:p>
    <w:p w:rsidR="00182511" w:rsidRDefault="00182511" w:rsidP="002C473E">
      <w:pPr>
        <w:spacing w:after="16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The applicant simply did not demonstrate how the jurisdictional fact</w:t>
      </w:r>
      <w:r w:rsidR="00C60E84">
        <w:rPr>
          <w:rFonts w:ascii="Arial" w:hAnsi="Arial" w:cs="Arial"/>
          <w:sz w:val="24"/>
          <w:szCs w:val="24"/>
        </w:rPr>
        <w:t xml:space="preserve">s of fronting was established; </w:t>
      </w:r>
      <w:r>
        <w:rPr>
          <w:rFonts w:ascii="Arial" w:hAnsi="Arial" w:cs="Arial"/>
          <w:sz w:val="24"/>
          <w:szCs w:val="24"/>
        </w:rPr>
        <w:t>there was simply no evidence put up by the applicant.</w:t>
      </w:r>
    </w:p>
    <w:p w:rsidR="00414CC3" w:rsidRDefault="00414CC3" w:rsidP="002C473E">
      <w:pPr>
        <w:spacing w:after="160" w:line="360" w:lineRule="auto"/>
        <w:ind w:left="720" w:hanging="720"/>
        <w:jc w:val="both"/>
        <w:rPr>
          <w:rFonts w:ascii="Arial" w:hAnsi="Arial" w:cs="Arial"/>
          <w:sz w:val="24"/>
          <w:szCs w:val="24"/>
        </w:rPr>
      </w:pPr>
    </w:p>
    <w:p w:rsidR="00414CC3" w:rsidRDefault="00414CC3" w:rsidP="002C473E">
      <w:pPr>
        <w:spacing w:after="16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Counsel for the applicant argued this matter on a level of atmosphere, requesting this court to ignore the body of law that exists.  A court cannot ignore the law and “rescue” a litigant by ignoring the law</w:t>
      </w:r>
      <w:r w:rsidR="00C60E84">
        <w:rPr>
          <w:rFonts w:ascii="Arial" w:hAnsi="Arial" w:cs="Arial"/>
          <w:sz w:val="24"/>
          <w:szCs w:val="24"/>
        </w:rPr>
        <w:t>. The law needs not to be developed as there</w:t>
      </w:r>
      <w:r>
        <w:rPr>
          <w:rFonts w:ascii="Arial" w:hAnsi="Arial" w:cs="Arial"/>
          <w:sz w:val="24"/>
          <w:szCs w:val="24"/>
        </w:rPr>
        <w:t xml:space="preserve"> is no hindrance to the applicant in fulfilling its statutory duty by adhering to the body of</w:t>
      </w:r>
      <w:r w:rsidR="00C60E84">
        <w:rPr>
          <w:rFonts w:ascii="Arial" w:hAnsi="Arial" w:cs="Arial"/>
          <w:sz w:val="24"/>
          <w:szCs w:val="24"/>
        </w:rPr>
        <w:t xml:space="preserve"> existing</w:t>
      </w:r>
      <w:r>
        <w:rPr>
          <w:rFonts w:ascii="Arial" w:hAnsi="Arial" w:cs="Arial"/>
          <w:sz w:val="24"/>
          <w:szCs w:val="24"/>
        </w:rPr>
        <w:t xml:space="preserve"> law.</w:t>
      </w:r>
    </w:p>
    <w:p w:rsidR="00414CC3" w:rsidRDefault="00414CC3" w:rsidP="002C473E">
      <w:pPr>
        <w:spacing w:after="160" w:line="360" w:lineRule="auto"/>
        <w:ind w:left="720" w:hanging="720"/>
        <w:jc w:val="both"/>
        <w:rPr>
          <w:rFonts w:ascii="Arial" w:hAnsi="Arial" w:cs="Arial"/>
          <w:sz w:val="24"/>
          <w:szCs w:val="24"/>
        </w:rPr>
      </w:pPr>
    </w:p>
    <w:p w:rsidR="00414CC3" w:rsidRDefault="00414CC3" w:rsidP="002C473E">
      <w:pPr>
        <w:spacing w:after="16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There are no prospects</w:t>
      </w:r>
      <w:r w:rsidR="00C60E84">
        <w:rPr>
          <w:rFonts w:ascii="Arial" w:hAnsi="Arial" w:cs="Arial"/>
          <w:sz w:val="24"/>
          <w:szCs w:val="24"/>
        </w:rPr>
        <w:t xml:space="preserve"> of success that another court w</w:t>
      </w:r>
      <w:r>
        <w:rPr>
          <w:rFonts w:ascii="Arial" w:hAnsi="Arial" w:cs="Arial"/>
          <w:sz w:val="24"/>
          <w:szCs w:val="24"/>
        </w:rPr>
        <w:t>ould come to another conclusion.</w:t>
      </w:r>
    </w:p>
    <w:p w:rsidR="00414CC3" w:rsidRDefault="00414CC3" w:rsidP="002C473E">
      <w:pPr>
        <w:spacing w:after="160" w:line="360" w:lineRule="auto"/>
        <w:ind w:left="720" w:hanging="720"/>
        <w:jc w:val="both"/>
        <w:rPr>
          <w:rFonts w:ascii="Arial" w:hAnsi="Arial" w:cs="Arial"/>
          <w:sz w:val="24"/>
          <w:szCs w:val="24"/>
        </w:rPr>
      </w:pPr>
    </w:p>
    <w:p w:rsidR="00414CC3" w:rsidRDefault="00414CC3" w:rsidP="002C473E">
      <w:pPr>
        <w:spacing w:after="16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I accordingly make the following order:</w:t>
      </w:r>
    </w:p>
    <w:p w:rsidR="00414CC3" w:rsidRDefault="00414CC3" w:rsidP="002C473E">
      <w:pPr>
        <w:spacing w:after="160" w:line="360" w:lineRule="auto"/>
        <w:ind w:left="720" w:hanging="720"/>
        <w:jc w:val="both"/>
        <w:rPr>
          <w:rFonts w:ascii="Arial" w:hAnsi="Arial" w:cs="Arial"/>
          <w:sz w:val="24"/>
          <w:szCs w:val="24"/>
        </w:rPr>
      </w:pPr>
    </w:p>
    <w:p w:rsidR="00414CC3" w:rsidRDefault="00414CC3" w:rsidP="002C473E">
      <w:pPr>
        <w:spacing w:after="160" w:line="360" w:lineRule="auto"/>
        <w:ind w:left="720" w:hanging="720"/>
        <w:jc w:val="both"/>
        <w:rPr>
          <w:rFonts w:ascii="Arial" w:hAnsi="Arial" w:cs="Arial"/>
          <w:sz w:val="24"/>
          <w:szCs w:val="24"/>
        </w:rPr>
      </w:pPr>
      <w:r>
        <w:rPr>
          <w:rFonts w:ascii="Arial" w:hAnsi="Arial" w:cs="Arial"/>
          <w:sz w:val="24"/>
          <w:szCs w:val="24"/>
        </w:rPr>
        <w:tab/>
        <w:t>The application is dismissed with costs, including the costs of two counsel.</w:t>
      </w:r>
    </w:p>
    <w:p w:rsidR="00414CC3" w:rsidRPr="00E330DB" w:rsidRDefault="00414CC3" w:rsidP="002C473E">
      <w:pPr>
        <w:spacing w:after="160" w:line="360" w:lineRule="auto"/>
        <w:ind w:left="720" w:hanging="720"/>
        <w:jc w:val="both"/>
        <w:rPr>
          <w:rFonts w:ascii="Arial" w:hAnsi="Arial" w:cs="Arial"/>
          <w:sz w:val="24"/>
          <w:szCs w:val="24"/>
        </w:rPr>
      </w:pPr>
    </w:p>
    <w:p w:rsidR="00E330DB" w:rsidRPr="00E330DB" w:rsidRDefault="00E330DB" w:rsidP="002C473E">
      <w:pPr>
        <w:spacing w:after="160" w:line="360" w:lineRule="auto"/>
        <w:ind w:left="720" w:hanging="720"/>
        <w:jc w:val="both"/>
        <w:rPr>
          <w:rFonts w:ascii="Arial" w:eastAsia="Calibri" w:hAnsi="Arial" w:cs="Arial"/>
          <w:b/>
          <w:i/>
          <w:sz w:val="24"/>
          <w:szCs w:val="24"/>
        </w:rPr>
      </w:pPr>
    </w:p>
    <w:p w:rsidR="002C473E" w:rsidRPr="00D14312" w:rsidRDefault="002C473E" w:rsidP="002C473E">
      <w:pPr>
        <w:spacing w:line="240" w:lineRule="auto"/>
        <w:jc w:val="right"/>
        <w:rPr>
          <w:rFonts w:ascii="Arial" w:eastAsia="Calibri" w:hAnsi="Arial" w:cs="Arial"/>
          <w:b/>
          <w:sz w:val="24"/>
          <w:szCs w:val="24"/>
        </w:rPr>
      </w:pPr>
    </w:p>
    <w:p w:rsidR="002C473E" w:rsidRPr="00D14312" w:rsidRDefault="002C473E" w:rsidP="002C473E">
      <w:pPr>
        <w:spacing w:line="240" w:lineRule="auto"/>
        <w:jc w:val="right"/>
        <w:rPr>
          <w:rFonts w:ascii="Arial" w:eastAsia="Calibri" w:hAnsi="Arial" w:cs="Arial"/>
        </w:rPr>
      </w:pPr>
      <w:r w:rsidRPr="00D14312">
        <w:rPr>
          <w:rFonts w:ascii="Arial" w:eastAsia="Calibri" w:hAnsi="Arial" w:cs="Arial"/>
          <w:b/>
          <w:sz w:val="24"/>
          <w:szCs w:val="24"/>
        </w:rPr>
        <w:t>__________________</w:t>
      </w:r>
    </w:p>
    <w:p w:rsidR="002C473E" w:rsidRPr="00D14312" w:rsidRDefault="002C473E" w:rsidP="002C473E">
      <w:pPr>
        <w:spacing w:line="240" w:lineRule="auto"/>
        <w:jc w:val="right"/>
        <w:rPr>
          <w:rFonts w:ascii="Arial" w:eastAsia="Calibri" w:hAnsi="Arial" w:cs="Arial"/>
          <w:b/>
          <w:sz w:val="24"/>
          <w:szCs w:val="24"/>
        </w:rPr>
      </w:pPr>
      <w:r w:rsidRPr="00D14312">
        <w:rPr>
          <w:rFonts w:ascii="Arial" w:eastAsia="Calibri" w:hAnsi="Arial" w:cs="Arial"/>
          <w:b/>
          <w:sz w:val="24"/>
          <w:szCs w:val="24"/>
        </w:rPr>
        <w:t>S. POTTERILL</w:t>
      </w:r>
    </w:p>
    <w:p w:rsidR="002C473E" w:rsidRDefault="002C473E" w:rsidP="002C473E">
      <w:pPr>
        <w:spacing w:line="240" w:lineRule="auto"/>
        <w:jc w:val="right"/>
        <w:rPr>
          <w:rFonts w:ascii="Arial" w:eastAsia="Calibri" w:hAnsi="Arial" w:cs="Arial"/>
          <w:b/>
          <w:sz w:val="24"/>
          <w:szCs w:val="24"/>
        </w:rPr>
      </w:pPr>
      <w:r w:rsidRPr="00D14312">
        <w:rPr>
          <w:rFonts w:ascii="Arial" w:eastAsia="Calibri" w:hAnsi="Arial" w:cs="Arial"/>
          <w:b/>
          <w:sz w:val="24"/>
          <w:szCs w:val="24"/>
        </w:rPr>
        <w:t>JUDGE OF THE HIGH COURT</w:t>
      </w:r>
    </w:p>
    <w:p w:rsidR="002C473E" w:rsidRDefault="002C473E" w:rsidP="002C473E">
      <w:pPr>
        <w:spacing w:after="160" w:line="259" w:lineRule="auto"/>
        <w:rPr>
          <w:rFonts w:ascii="Arial" w:eastAsia="Calibri" w:hAnsi="Arial" w:cs="Arial"/>
          <w:b/>
          <w:sz w:val="24"/>
          <w:szCs w:val="24"/>
        </w:rPr>
      </w:pPr>
      <w:r>
        <w:rPr>
          <w:rFonts w:ascii="Arial" w:eastAsia="Calibri" w:hAnsi="Arial" w:cs="Arial"/>
          <w:b/>
          <w:sz w:val="24"/>
          <w:szCs w:val="24"/>
        </w:rPr>
        <w:br w:type="page"/>
      </w:r>
    </w:p>
    <w:p w:rsidR="002C473E" w:rsidRPr="0017032E" w:rsidRDefault="002C473E" w:rsidP="002C473E">
      <w:pPr>
        <w:spacing w:after="160" w:line="360" w:lineRule="auto"/>
        <w:jc w:val="both"/>
        <w:rPr>
          <w:rFonts w:ascii="Arial" w:eastAsia="Calibri" w:hAnsi="Arial" w:cs="Arial"/>
          <w:sz w:val="24"/>
          <w:szCs w:val="24"/>
        </w:rPr>
      </w:pPr>
      <w:r>
        <w:rPr>
          <w:rFonts w:ascii="Arial" w:eastAsia="Calibri" w:hAnsi="Arial" w:cs="Arial"/>
          <w:sz w:val="24"/>
          <w:szCs w:val="24"/>
        </w:rPr>
        <w:lastRenderedPageBreak/>
        <w:t>CASE NUMBER:  76000/2019</w:t>
      </w:r>
    </w:p>
    <w:p w:rsidR="002C473E" w:rsidRPr="0017032E" w:rsidRDefault="002C473E" w:rsidP="002C473E">
      <w:pPr>
        <w:spacing w:after="160" w:line="360" w:lineRule="auto"/>
        <w:jc w:val="both"/>
        <w:rPr>
          <w:rFonts w:ascii="Arial" w:eastAsia="Calibri" w:hAnsi="Arial" w:cs="Arial"/>
          <w:sz w:val="24"/>
          <w:szCs w:val="24"/>
        </w:rPr>
      </w:pPr>
    </w:p>
    <w:p w:rsidR="002C473E" w:rsidRDefault="002C473E" w:rsidP="002C473E">
      <w:pPr>
        <w:spacing w:after="160" w:line="360" w:lineRule="auto"/>
        <w:jc w:val="both"/>
        <w:rPr>
          <w:rFonts w:ascii="Arial" w:eastAsia="Calibri" w:hAnsi="Arial" w:cs="Arial"/>
          <w:sz w:val="24"/>
          <w:szCs w:val="24"/>
        </w:rPr>
      </w:pPr>
      <w:r w:rsidRPr="0017032E">
        <w:rPr>
          <w:rFonts w:ascii="Arial" w:eastAsia="Calibri" w:hAnsi="Arial" w:cs="Arial"/>
          <w:sz w:val="24"/>
          <w:szCs w:val="24"/>
        </w:rPr>
        <w:t xml:space="preserve">HEARD ON:  </w:t>
      </w:r>
      <w:r w:rsidR="00414CC3">
        <w:rPr>
          <w:rFonts w:ascii="Arial" w:eastAsia="Calibri" w:hAnsi="Arial" w:cs="Arial"/>
          <w:sz w:val="24"/>
          <w:szCs w:val="24"/>
        </w:rPr>
        <w:t>17 May 2022</w:t>
      </w:r>
    </w:p>
    <w:p w:rsidR="00414CC3" w:rsidRPr="0017032E" w:rsidRDefault="00414CC3" w:rsidP="002C473E">
      <w:pPr>
        <w:spacing w:after="160" w:line="360" w:lineRule="auto"/>
        <w:jc w:val="both"/>
        <w:rPr>
          <w:rFonts w:ascii="Arial" w:eastAsia="Calibri" w:hAnsi="Arial" w:cs="Arial"/>
          <w:sz w:val="24"/>
          <w:szCs w:val="24"/>
        </w:rPr>
      </w:pPr>
    </w:p>
    <w:p w:rsidR="00414CC3" w:rsidRDefault="00414CC3" w:rsidP="00414CC3">
      <w:pPr>
        <w:spacing w:after="160" w:line="360" w:lineRule="auto"/>
        <w:jc w:val="both"/>
        <w:rPr>
          <w:rFonts w:ascii="Arial" w:eastAsia="Calibri" w:hAnsi="Arial" w:cs="Arial"/>
          <w:sz w:val="24"/>
          <w:szCs w:val="24"/>
        </w:rPr>
      </w:pPr>
      <w:r>
        <w:rPr>
          <w:rFonts w:ascii="Arial" w:eastAsia="Calibri" w:hAnsi="Arial" w:cs="Arial"/>
          <w:sz w:val="24"/>
          <w:szCs w:val="24"/>
        </w:rPr>
        <w:t>FOR THE APPLICANT:  ADV. R. BEDHESI SC</w:t>
      </w:r>
    </w:p>
    <w:p w:rsidR="00414CC3" w:rsidRPr="0017032E" w:rsidRDefault="00414CC3" w:rsidP="00414CC3">
      <w:pPr>
        <w:spacing w:after="160" w:line="360" w:lineRule="auto"/>
        <w:jc w:val="both"/>
        <w:rPr>
          <w:rFonts w:ascii="Arial" w:eastAsia="Calibri" w:hAnsi="Arial" w:cs="Arial"/>
          <w:sz w:val="24"/>
          <w:szCs w:val="24"/>
        </w:rPr>
      </w:pPr>
      <w:r>
        <w:rPr>
          <w:rFonts w:ascii="Arial" w:eastAsia="Calibri" w:hAnsi="Arial" w:cs="Arial"/>
          <w:sz w:val="24"/>
          <w:szCs w:val="24"/>
        </w:rPr>
        <w:t xml:space="preserve">                                        ADV. L. BEDHESI</w:t>
      </w:r>
    </w:p>
    <w:p w:rsidR="00414CC3" w:rsidRPr="0017032E" w:rsidRDefault="00414CC3" w:rsidP="00414CC3">
      <w:pPr>
        <w:spacing w:after="160" w:line="240" w:lineRule="auto"/>
        <w:rPr>
          <w:rFonts w:ascii="Arial" w:hAnsi="Arial" w:cs="Arial"/>
          <w:sz w:val="24"/>
          <w:szCs w:val="24"/>
        </w:rPr>
      </w:pPr>
      <w:r>
        <w:rPr>
          <w:rFonts w:ascii="Arial" w:eastAsia="Calibri" w:hAnsi="Arial" w:cs="Arial"/>
          <w:sz w:val="24"/>
          <w:szCs w:val="24"/>
        </w:rPr>
        <w:t>INSTRUCTED BY:  State Attorney, Pretoria</w:t>
      </w:r>
    </w:p>
    <w:p w:rsidR="002C473E" w:rsidRDefault="002C473E" w:rsidP="002C473E">
      <w:pPr>
        <w:spacing w:after="160" w:line="360" w:lineRule="auto"/>
        <w:jc w:val="both"/>
        <w:rPr>
          <w:rFonts w:ascii="Arial" w:eastAsia="Calibri" w:hAnsi="Arial" w:cs="Arial"/>
          <w:sz w:val="24"/>
          <w:szCs w:val="24"/>
        </w:rPr>
      </w:pPr>
    </w:p>
    <w:p w:rsidR="002C473E" w:rsidRDefault="002C473E" w:rsidP="002C473E">
      <w:pPr>
        <w:spacing w:after="160" w:line="360" w:lineRule="auto"/>
        <w:jc w:val="both"/>
        <w:rPr>
          <w:rFonts w:ascii="Arial" w:eastAsia="Calibri" w:hAnsi="Arial" w:cs="Arial"/>
          <w:sz w:val="24"/>
          <w:szCs w:val="24"/>
        </w:rPr>
      </w:pPr>
      <w:r w:rsidRPr="0017032E">
        <w:rPr>
          <w:rFonts w:ascii="Arial" w:eastAsia="Calibri" w:hAnsi="Arial" w:cs="Arial"/>
          <w:sz w:val="24"/>
          <w:szCs w:val="24"/>
        </w:rPr>
        <w:t xml:space="preserve">FOR </w:t>
      </w:r>
      <w:r w:rsidR="00414CC3">
        <w:rPr>
          <w:rFonts w:ascii="Arial" w:eastAsia="Calibri" w:hAnsi="Arial" w:cs="Arial"/>
          <w:sz w:val="24"/>
          <w:szCs w:val="24"/>
        </w:rPr>
        <w:t>THE RESPONDENT</w:t>
      </w:r>
      <w:r w:rsidRPr="0017032E">
        <w:rPr>
          <w:rFonts w:ascii="Arial" w:eastAsia="Calibri" w:hAnsi="Arial" w:cs="Arial"/>
          <w:sz w:val="24"/>
          <w:szCs w:val="24"/>
        </w:rPr>
        <w:t>:</w:t>
      </w:r>
      <w:r>
        <w:rPr>
          <w:rFonts w:ascii="Arial" w:eastAsia="Calibri" w:hAnsi="Arial" w:cs="Arial"/>
          <w:sz w:val="24"/>
          <w:szCs w:val="24"/>
        </w:rPr>
        <w:t xml:space="preserve">  ADV. J. BABAMIA SC</w:t>
      </w:r>
    </w:p>
    <w:p w:rsidR="002C473E" w:rsidRPr="0017032E" w:rsidRDefault="002C473E" w:rsidP="002C473E">
      <w:pPr>
        <w:spacing w:after="160" w:line="360" w:lineRule="auto"/>
        <w:jc w:val="both"/>
        <w:rPr>
          <w:rFonts w:ascii="Arial" w:eastAsia="Calibri" w:hAnsi="Arial" w:cs="Arial"/>
          <w:sz w:val="24"/>
          <w:szCs w:val="24"/>
        </w:rPr>
      </w:pPr>
      <w:r>
        <w:rPr>
          <w:rFonts w:ascii="Arial" w:eastAsia="Calibri" w:hAnsi="Arial" w:cs="Arial"/>
          <w:sz w:val="24"/>
          <w:szCs w:val="24"/>
        </w:rPr>
        <w:t xml:space="preserve">                                        </w:t>
      </w:r>
      <w:r w:rsidR="00414CC3">
        <w:rPr>
          <w:rFonts w:ascii="Arial" w:eastAsia="Calibri" w:hAnsi="Arial" w:cs="Arial"/>
          <w:sz w:val="24"/>
          <w:szCs w:val="24"/>
        </w:rPr>
        <w:t xml:space="preserve">    </w:t>
      </w:r>
      <w:r>
        <w:rPr>
          <w:rFonts w:ascii="Arial" w:eastAsia="Calibri" w:hAnsi="Arial" w:cs="Arial"/>
          <w:sz w:val="24"/>
          <w:szCs w:val="24"/>
        </w:rPr>
        <w:t>ADV. H. MUTENGA</w:t>
      </w:r>
    </w:p>
    <w:p w:rsidR="002C473E" w:rsidRPr="0017032E" w:rsidRDefault="002C473E" w:rsidP="002C473E">
      <w:pPr>
        <w:spacing w:after="160"/>
        <w:rPr>
          <w:rFonts w:ascii="Arial" w:hAnsi="Arial" w:cs="Arial"/>
          <w:sz w:val="24"/>
          <w:szCs w:val="24"/>
        </w:rPr>
      </w:pPr>
      <w:r w:rsidRPr="0017032E">
        <w:rPr>
          <w:rFonts w:ascii="Arial" w:eastAsia="Calibri" w:hAnsi="Arial" w:cs="Arial"/>
          <w:sz w:val="24"/>
          <w:szCs w:val="24"/>
        </w:rPr>
        <w:t xml:space="preserve">INSTRUCTED BY:  </w:t>
      </w:r>
      <w:proofErr w:type="spellStart"/>
      <w:r>
        <w:rPr>
          <w:rFonts w:ascii="Arial" w:eastAsia="Calibri" w:hAnsi="Arial" w:cs="Arial"/>
          <w:sz w:val="24"/>
          <w:szCs w:val="24"/>
        </w:rPr>
        <w:t>Werksmans</w:t>
      </w:r>
      <w:proofErr w:type="spellEnd"/>
      <w:r>
        <w:rPr>
          <w:rFonts w:ascii="Arial" w:eastAsia="Calibri" w:hAnsi="Arial" w:cs="Arial"/>
          <w:sz w:val="24"/>
          <w:szCs w:val="24"/>
        </w:rPr>
        <w:t xml:space="preserve"> Attorneys</w:t>
      </w:r>
    </w:p>
    <w:p w:rsidR="002C473E" w:rsidRPr="0017032E" w:rsidRDefault="002C473E" w:rsidP="002C473E">
      <w:pPr>
        <w:spacing w:after="160" w:line="360" w:lineRule="auto"/>
        <w:jc w:val="both"/>
        <w:rPr>
          <w:rFonts w:ascii="Arial" w:eastAsia="Calibri" w:hAnsi="Arial" w:cs="Arial"/>
          <w:sz w:val="24"/>
          <w:szCs w:val="24"/>
        </w:rPr>
      </w:pPr>
    </w:p>
    <w:p w:rsidR="002C473E" w:rsidRPr="0017032E" w:rsidRDefault="002C473E" w:rsidP="002C473E">
      <w:pPr>
        <w:spacing w:after="160" w:line="360" w:lineRule="auto"/>
        <w:jc w:val="both"/>
        <w:rPr>
          <w:rFonts w:ascii="Arial" w:hAnsi="Arial" w:cs="Arial"/>
        </w:rPr>
      </w:pPr>
      <w:r w:rsidRPr="0017032E">
        <w:rPr>
          <w:rFonts w:ascii="Arial" w:eastAsia="Calibri" w:hAnsi="Arial" w:cs="Arial"/>
          <w:sz w:val="24"/>
          <w:szCs w:val="24"/>
        </w:rPr>
        <w:t xml:space="preserve">DATE OF JUDGMENT:   </w:t>
      </w:r>
      <w:r w:rsidR="002B4E9A">
        <w:rPr>
          <w:rFonts w:ascii="Arial" w:eastAsia="Calibri" w:hAnsi="Arial" w:cs="Arial"/>
          <w:sz w:val="24"/>
          <w:szCs w:val="24"/>
        </w:rPr>
        <w:t>18 May 2022</w:t>
      </w:r>
      <w:bookmarkStart w:id="0" w:name="_GoBack"/>
      <w:bookmarkEnd w:id="0"/>
    </w:p>
    <w:p w:rsidR="002C473E" w:rsidRPr="00D14312" w:rsidRDefault="002C473E" w:rsidP="002C473E">
      <w:pPr>
        <w:spacing w:line="240" w:lineRule="auto"/>
        <w:jc w:val="right"/>
        <w:rPr>
          <w:rFonts w:ascii="Arial" w:eastAsia="Calibri" w:hAnsi="Arial" w:cs="Arial"/>
          <w:b/>
          <w:sz w:val="24"/>
          <w:szCs w:val="24"/>
        </w:rPr>
      </w:pPr>
    </w:p>
    <w:p w:rsidR="002C473E" w:rsidRPr="00D14312" w:rsidRDefault="002C473E" w:rsidP="002C473E">
      <w:pPr>
        <w:spacing w:line="240" w:lineRule="auto"/>
        <w:rPr>
          <w:rFonts w:ascii="Arial" w:eastAsia="Calibri" w:hAnsi="Arial" w:cs="Arial"/>
          <w:sz w:val="24"/>
          <w:szCs w:val="24"/>
        </w:rPr>
      </w:pPr>
    </w:p>
    <w:p w:rsidR="002C473E" w:rsidRPr="00D14312" w:rsidRDefault="002C473E" w:rsidP="002C473E">
      <w:pPr>
        <w:rPr>
          <w:rFonts w:ascii="Arial" w:hAnsi="Arial" w:cs="Arial"/>
          <w:b/>
          <w:sz w:val="28"/>
          <w:szCs w:val="28"/>
        </w:rPr>
      </w:pPr>
    </w:p>
    <w:p w:rsidR="002C473E" w:rsidRDefault="002C473E" w:rsidP="002C473E"/>
    <w:p w:rsidR="002C473E" w:rsidRDefault="002C473E" w:rsidP="002C473E"/>
    <w:p w:rsidR="002C473E" w:rsidRDefault="002C473E" w:rsidP="002C473E"/>
    <w:p w:rsidR="008C007B" w:rsidRDefault="008C007B"/>
    <w:sectPr w:rsidR="008C007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C6" w:rsidRDefault="00FF72C6" w:rsidP="002C473E">
      <w:pPr>
        <w:spacing w:after="0" w:line="240" w:lineRule="auto"/>
      </w:pPr>
      <w:r>
        <w:separator/>
      </w:r>
    </w:p>
  </w:endnote>
  <w:endnote w:type="continuationSeparator" w:id="0">
    <w:p w:rsidR="00FF72C6" w:rsidRDefault="00FF72C6" w:rsidP="002C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C6" w:rsidRDefault="00FF72C6" w:rsidP="002C473E">
      <w:pPr>
        <w:spacing w:after="0" w:line="240" w:lineRule="auto"/>
      </w:pPr>
      <w:r>
        <w:separator/>
      </w:r>
    </w:p>
  </w:footnote>
  <w:footnote w:type="continuationSeparator" w:id="0">
    <w:p w:rsidR="00FF72C6" w:rsidRDefault="00FF72C6" w:rsidP="002C473E">
      <w:pPr>
        <w:spacing w:after="0" w:line="240" w:lineRule="auto"/>
      </w:pPr>
      <w:r>
        <w:continuationSeparator/>
      </w:r>
    </w:p>
  </w:footnote>
  <w:footnote w:id="1">
    <w:p w:rsidR="005C0ED9" w:rsidRPr="005C0ED9" w:rsidRDefault="005C0ED9">
      <w:pPr>
        <w:pStyle w:val="FootnoteText"/>
        <w:rPr>
          <w:lang w:val="en-GB"/>
        </w:rPr>
      </w:pPr>
      <w:r>
        <w:rPr>
          <w:rStyle w:val="FootnoteReference"/>
        </w:rPr>
        <w:footnoteRef/>
      </w:r>
      <w:r>
        <w:t xml:space="preserve"> </w:t>
      </w:r>
      <w:proofErr w:type="spellStart"/>
      <w:r>
        <w:rPr>
          <w:i/>
          <w:lang w:val="en-GB"/>
        </w:rPr>
        <w:t>Plascon</w:t>
      </w:r>
      <w:proofErr w:type="spellEnd"/>
      <w:r>
        <w:rPr>
          <w:i/>
          <w:lang w:val="en-GB"/>
        </w:rPr>
        <w:t xml:space="preserve">-Evans Paints (Pty) Ltd v Van </w:t>
      </w:r>
      <w:proofErr w:type="spellStart"/>
      <w:r>
        <w:rPr>
          <w:i/>
          <w:lang w:val="en-GB"/>
        </w:rPr>
        <w:t>Riebeeck</w:t>
      </w:r>
      <w:proofErr w:type="spellEnd"/>
      <w:r>
        <w:rPr>
          <w:i/>
          <w:lang w:val="en-GB"/>
        </w:rPr>
        <w:t xml:space="preserve"> Paints Ltd </w:t>
      </w:r>
      <w:r>
        <w:rPr>
          <w:lang w:val="en-GB"/>
        </w:rPr>
        <w:t>1984 (3) SA 623 (A</w:t>
      </w:r>
      <w:proofErr w:type="gramStart"/>
      <w:r>
        <w:rPr>
          <w:lang w:val="en-GB"/>
        </w:rPr>
        <w:t xml:space="preserve">);  </w:t>
      </w:r>
      <w:r>
        <w:rPr>
          <w:i/>
          <w:lang w:val="en-GB"/>
        </w:rPr>
        <w:t>Director</w:t>
      </w:r>
      <w:proofErr w:type="gramEnd"/>
      <w:r>
        <w:rPr>
          <w:i/>
          <w:lang w:val="en-GB"/>
        </w:rPr>
        <w:t xml:space="preserve"> of Public Prosecutions v Zuma </w:t>
      </w:r>
      <w:r>
        <w:rPr>
          <w:lang w:val="en-GB"/>
        </w:rPr>
        <w:t xml:space="preserve">2009 (2) SA 277 (SCA);  </w:t>
      </w:r>
      <w:r>
        <w:rPr>
          <w:i/>
          <w:lang w:val="en-GB"/>
        </w:rPr>
        <w:t xml:space="preserve">Wightman t/a JW Construction v </w:t>
      </w:r>
      <w:proofErr w:type="spellStart"/>
      <w:r>
        <w:rPr>
          <w:i/>
          <w:lang w:val="en-GB"/>
        </w:rPr>
        <w:t>Headfour</w:t>
      </w:r>
      <w:proofErr w:type="spellEnd"/>
      <w:r>
        <w:rPr>
          <w:i/>
          <w:lang w:val="en-GB"/>
        </w:rPr>
        <w:t xml:space="preserve"> (Pty) Ltd and Another </w:t>
      </w:r>
      <w:r>
        <w:rPr>
          <w:lang w:val="en-GB"/>
        </w:rPr>
        <w:t>2008 (3) SA 371 (SCA) at 375D-F</w:t>
      </w:r>
    </w:p>
  </w:footnote>
  <w:footnote w:id="2">
    <w:p w:rsidR="005C0ED9" w:rsidRPr="005C0ED9" w:rsidRDefault="005C0ED9" w:rsidP="005C0ED9">
      <w:pPr>
        <w:pStyle w:val="FootnoteText"/>
        <w:jc w:val="both"/>
        <w:rPr>
          <w:i/>
          <w:lang w:val="en-GB"/>
        </w:rPr>
      </w:pPr>
      <w:r>
        <w:rPr>
          <w:rStyle w:val="FootnoteReference"/>
        </w:rPr>
        <w:footnoteRef/>
      </w:r>
      <w:r>
        <w:t xml:space="preserve"> </w:t>
      </w:r>
      <w:r>
        <w:rPr>
          <w:lang w:val="en-GB"/>
        </w:rPr>
        <w:t xml:space="preserve">The </w:t>
      </w:r>
      <w:proofErr w:type="spellStart"/>
      <w:r>
        <w:rPr>
          <w:i/>
          <w:lang w:val="en-GB"/>
        </w:rPr>
        <w:t>Plascon</w:t>
      </w:r>
      <w:proofErr w:type="spellEnd"/>
      <w:r>
        <w:rPr>
          <w:i/>
          <w:lang w:val="en-GB"/>
        </w:rPr>
        <w:t xml:space="preserve">-Evans </w:t>
      </w:r>
      <w:r>
        <w:rPr>
          <w:lang w:val="en-GB"/>
        </w:rPr>
        <w:t>principle</w:t>
      </w:r>
      <w:proofErr w:type="gramStart"/>
      <w:r>
        <w:rPr>
          <w:lang w:val="en-GB"/>
        </w:rPr>
        <w:t xml:space="preserve">:  </w:t>
      </w:r>
      <w:r>
        <w:rPr>
          <w:i/>
          <w:lang w:val="en-GB"/>
        </w:rPr>
        <w:t>“</w:t>
      </w:r>
      <w:proofErr w:type="gramEnd"/>
      <w:r>
        <w:rPr>
          <w:i/>
          <w:lang w:val="en-GB"/>
        </w:rPr>
        <w:t>It seems to me, however, that this formulation of the general rule and particularly the second sentence thereof, requires some clarification and, perhaps, qualification.  It is correct that, where in proceedings on notice of motion disputes of fact have arisen on affidavits, a final order, whether it be an interdict or some other form of relief, may be granted if those facts averred in the applicant’s affidavits which have been admitted by the respondent, together with the facts alleged by the respondent, justify such an order.”</w:t>
      </w:r>
    </w:p>
  </w:footnote>
  <w:footnote w:id="3">
    <w:p w:rsidR="00180C1D" w:rsidRPr="00180C1D" w:rsidRDefault="00180C1D">
      <w:pPr>
        <w:pStyle w:val="FootnoteText"/>
        <w:rPr>
          <w:lang w:val="en-GB"/>
        </w:rPr>
      </w:pPr>
      <w:r>
        <w:rPr>
          <w:rStyle w:val="FootnoteReference"/>
        </w:rPr>
        <w:footnoteRef/>
      </w:r>
      <w:r>
        <w:t xml:space="preserve"> </w:t>
      </w:r>
      <w:proofErr w:type="spellStart"/>
      <w:r>
        <w:rPr>
          <w:i/>
          <w:lang w:val="en-GB"/>
        </w:rPr>
        <w:t>Swissborough</w:t>
      </w:r>
      <w:proofErr w:type="spellEnd"/>
      <w:r>
        <w:rPr>
          <w:i/>
          <w:lang w:val="en-GB"/>
        </w:rPr>
        <w:t xml:space="preserve"> Diamond Mines (Pty) Ltd and Others </w:t>
      </w:r>
      <w:proofErr w:type="gramStart"/>
      <w:r>
        <w:rPr>
          <w:i/>
          <w:lang w:val="en-GB"/>
        </w:rPr>
        <w:t>v</w:t>
      </w:r>
      <w:proofErr w:type="gramEnd"/>
      <w:r>
        <w:rPr>
          <w:i/>
          <w:lang w:val="en-GB"/>
        </w:rPr>
        <w:t xml:space="preserve"> Government of the Republic of South Africa and Others </w:t>
      </w:r>
      <w:r>
        <w:rPr>
          <w:lang w:val="en-GB"/>
        </w:rPr>
        <w:t>1999 (2) SA 279 (T)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040901" w:rsidRDefault="00F83207">
        <w:pPr>
          <w:pStyle w:val="Header"/>
          <w:jc w:val="center"/>
        </w:pPr>
        <w:r>
          <w:fldChar w:fldCharType="begin"/>
        </w:r>
        <w:r>
          <w:instrText xml:space="preserve"> PAGE   \* MERGEFORMAT </w:instrText>
        </w:r>
        <w:r>
          <w:fldChar w:fldCharType="separate"/>
        </w:r>
        <w:r w:rsidR="002B4E9A">
          <w:rPr>
            <w:noProof/>
          </w:rPr>
          <w:t>6</w:t>
        </w:r>
        <w:r>
          <w:rPr>
            <w:noProof/>
          </w:rPr>
          <w:fldChar w:fldCharType="end"/>
        </w:r>
      </w:p>
    </w:sdtContent>
  </w:sdt>
  <w:p w:rsidR="00040901" w:rsidRDefault="00FF72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107"/>
    <w:multiLevelType w:val="hybridMultilevel"/>
    <w:tmpl w:val="130E5640"/>
    <w:lvl w:ilvl="0" w:tplc="63DC835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C294305"/>
    <w:multiLevelType w:val="hybridMultilevel"/>
    <w:tmpl w:val="46D01748"/>
    <w:lvl w:ilvl="0" w:tplc="F9C493BE">
      <w:start w:val="9"/>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2B7C67A7"/>
    <w:multiLevelType w:val="hybridMultilevel"/>
    <w:tmpl w:val="DA06D76A"/>
    <w:lvl w:ilvl="0" w:tplc="3B84BB0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3E"/>
    <w:rsid w:val="000C20FA"/>
    <w:rsid w:val="00180C1D"/>
    <w:rsid w:val="00182511"/>
    <w:rsid w:val="0027182D"/>
    <w:rsid w:val="002B4E9A"/>
    <w:rsid w:val="002C473E"/>
    <w:rsid w:val="002D2F5B"/>
    <w:rsid w:val="00414CC3"/>
    <w:rsid w:val="0049692B"/>
    <w:rsid w:val="005C0ED9"/>
    <w:rsid w:val="005C2F29"/>
    <w:rsid w:val="006B1EA7"/>
    <w:rsid w:val="0071029B"/>
    <w:rsid w:val="007A4FAB"/>
    <w:rsid w:val="007D2764"/>
    <w:rsid w:val="008C007B"/>
    <w:rsid w:val="00AF0D10"/>
    <w:rsid w:val="00AF3AAD"/>
    <w:rsid w:val="00B963DD"/>
    <w:rsid w:val="00C229D6"/>
    <w:rsid w:val="00C32C20"/>
    <w:rsid w:val="00C60E84"/>
    <w:rsid w:val="00C85BBE"/>
    <w:rsid w:val="00E330DB"/>
    <w:rsid w:val="00F52EF3"/>
    <w:rsid w:val="00F83207"/>
    <w:rsid w:val="00FF72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24ED"/>
  <w15:chartTrackingRefBased/>
  <w15:docId w15:val="{DD48135E-9C10-4454-9E74-EA1486DF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7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73E"/>
  </w:style>
  <w:style w:type="paragraph" w:styleId="FootnoteText">
    <w:name w:val="footnote text"/>
    <w:basedOn w:val="Normal"/>
    <w:link w:val="FootnoteTextChar"/>
    <w:uiPriority w:val="99"/>
    <w:semiHidden/>
    <w:unhideWhenUsed/>
    <w:rsid w:val="002C4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73E"/>
    <w:rPr>
      <w:sz w:val="20"/>
      <w:szCs w:val="20"/>
    </w:rPr>
  </w:style>
  <w:style w:type="character" w:styleId="FootnoteReference">
    <w:name w:val="footnote reference"/>
    <w:basedOn w:val="DefaultParagraphFont"/>
    <w:uiPriority w:val="99"/>
    <w:semiHidden/>
    <w:unhideWhenUsed/>
    <w:rsid w:val="002C473E"/>
    <w:rPr>
      <w:vertAlign w:val="superscript"/>
    </w:rPr>
  </w:style>
  <w:style w:type="paragraph" w:styleId="ListParagraph">
    <w:name w:val="List Paragraph"/>
    <w:basedOn w:val="Normal"/>
    <w:uiPriority w:val="34"/>
    <w:qFormat/>
    <w:rsid w:val="002C473E"/>
    <w:pPr>
      <w:ind w:left="720"/>
      <w:contextualSpacing/>
    </w:pPr>
  </w:style>
  <w:style w:type="paragraph" w:styleId="BalloonText">
    <w:name w:val="Balloon Text"/>
    <w:basedOn w:val="Normal"/>
    <w:link w:val="BalloonTextChar"/>
    <w:uiPriority w:val="99"/>
    <w:semiHidden/>
    <w:unhideWhenUsed/>
    <w:rsid w:val="005C0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954AA-42C8-4E25-92C4-D25C2876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Jonah Hefer</cp:lastModifiedBy>
  <cp:revision>2</cp:revision>
  <cp:lastPrinted>2022-05-18T09:28:00Z</cp:lastPrinted>
  <dcterms:created xsi:type="dcterms:W3CDTF">2022-05-18T10:50:00Z</dcterms:created>
  <dcterms:modified xsi:type="dcterms:W3CDTF">2022-05-18T10:50:00Z</dcterms:modified>
</cp:coreProperties>
</file>