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C2" w:rsidRPr="00C352C2" w:rsidRDefault="00C352C2" w:rsidP="00C352C2">
      <w:pPr>
        <w:spacing w:after="0" w:line="240" w:lineRule="auto"/>
        <w:jc w:val="center"/>
        <w:rPr>
          <w:rFonts w:ascii="Arial" w:hAnsi="Arial" w:cs="Arial"/>
          <w:b/>
          <w:sz w:val="20"/>
          <w:szCs w:val="20"/>
        </w:rPr>
      </w:pPr>
      <w:r w:rsidRPr="00C352C2">
        <w:rPr>
          <w:rFonts w:ascii="Arial" w:hAnsi="Arial" w:cs="Arial"/>
          <w:noProof/>
          <w:sz w:val="20"/>
          <w:szCs w:val="20"/>
          <w:lang w:val="en-US"/>
        </w:rPr>
        <w:drawing>
          <wp:anchor distT="0" distB="0" distL="114300" distR="114300" simplePos="0" relativeHeight="251660288" behindDoc="0" locked="0" layoutInCell="1" allowOverlap="1" wp14:anchorId="2CE28FD4" wp14:editId="0AB482DF">
            <wp:simplePos x="0" y="0"/>
            <wp:positionH relativeFrom="margin">
              <wp:align>center</wp:align>
            </wp:positionH>
            <wp:positionV relativeFrom="paragraph">
              <wp:posOffset>-352425</wp:posOffset>
            </wp:positionV>
            <wp:extent cx="1162050" cy="1190019"/>
            <wp:effectExtent l="0" t="0" r="0" b="0"/>
            <wp:wrapNone/>
            <wp:docPr id="1" name="Picture 6" descr="Description: Description: cid:image002.jpg@01D019DE.127D2590"/>
            <wp:cNvGraphicFramePr/>
            <a:graphic xmlns:a="http://schemas.openxmlformats.org/drawingml/2006/main">
              <a:graphicData uri="http://schemas.openxmlformats.org/drawingml/2006/picture">
                <pic:pic xmlns:pic="http://schemas.openxmlformats.org/drawingml/2006/picture">
                  <pic:nvPicPr>
                    <pic:cNvPr id="1"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90019"/>
                    </a:xfrm>
                    <a:prstGeom prst="rect">
                      <a:avLst/>
                    </a:prstGeom>
                    <a:noFill/>
                    <a:ln>
                      <a:noFill/>
                    </a:ln>
                  </pic:spPr>
                </pic:pic>
              </a:graphicData>
            </a:graphic>
          </wp:anchor>
        </w:drawing>
      </w:r>
    </w:p>
    <w:p w:rsidR="00C352C2" w:rsidRPr="00C352C2" w:rsidRDefault="00C352C2" w:rsidP="00C352C2">
      <w:pPr>
        <w:spacing w:after="0" w:line="240" w:lineRule="auto"/>
        <w:jc w:val="center"/>
        <w:rPr>
          <w:rFonts w:ascii="Arial" w:hAnsi="Arial" w:cs="Arial"/>
          <w:b/>
          <w:sz w:val="20"/>
          <w:szCs w:val="20"/>
        </w:rPr>
      </w:pPr>
    </w:p>
    <w:p w:rsidR="00C352C2" w:rsidRPr="00C352C2" w:rsidRDefault="00C352C2" w:rsidP="00C352C2">
      <w:pPr>
        <w:spacing w:after="0" w:line="240" w:lineRule="auto"/>
        <w:jc w:val="center"/>
        <w:rPr>
          <w:rFonts w:ascii="Segoe UI" w:hAnsi="Segoe UI" w:cs="Segoe UI"/>
          <w:b/>
          <w:sz w:val="20"/>
          <w:szCs w:val="20"/>
        </w:rPr>
      </w:pPr>
    </w:p>
    <w:p w:rsidR="00C352C2" w:rsidRPr="00C352C2" w:rsidRDefault="00C352C2" w:rsidP="00C352C2">
      <w:pPr>
        <w:spacing w:after="0" w:line="240" w:lineRule="auto"/>
        <w:jc w:val="center"/>
        <w:rPr>
          <w:rFonts w:ascii="Segoe UI" w:hAnsi="Segoe UI" w:cs="Segoe UI"/>
          <w:b/>
          <w:sz w:val="20"/>
          <w:szCs w:val="20"/>
        </w:rPr>
      </w:pPr>
    </w:p>
    <w:p w:rsidR="00C352C2" w:rsidRPr="00C352C2" w:rsidRDefault="00C352C2" w:rsidP="00C352C2">
      <w:pPr>
        <w:spacing w:after="0" w:line="240" w:lineRule="auto"/>
        <w:jc w:val="center"/>
        <w:rPr>
          <w:rFonts w:ascii="Segoe UI" w:hAnsi="Segoe UI" w:cs="Segoe UI"/>
          <w:b/>
          <w:sz w:val="20"/>
          <w:szCs w:val="20"/>
        </w:rPr>
      </w:pPr>
    </w:p>
    <w:p w:rsidR="00C352C2" w:rsidRPr="00C352C2" w:rsidRDefault="00C352C2" w:rsidP="00C352C2">
      <w:pPr>
        <w:spacing w:after="0" w:line="240" w:lineRule="auto"/>
        <w:rPr>
          <w:rFonts w:ascii="Segoe UI" w:eastAsia="Times New Roman" w:hAnsi="Segoe UI" w:cs="Segoe UI"/>
          <w:b/>
          <w:sz w:val="20"/>
          <w:szCs w:val="20"/>
          <w:lang w:eastAsia="en-GB"/>
        </w:rPr>
      </w:pPr>
    </w:p>
    <w:p w:rsidR="00C352C2" w:rsidRPr="00C352C2" w:rsidRDefault="00C352C2" w:rsidP="00C352C2">
      <w:pPr>
        <w:spacing w:after="0" w:line="240" w:lineRule="auto"/>
        <w:jc w:val="center"/>
        <w:rPr>
          <w:rFonts w:ascii="Segoe UI" w:eastAsia="Times New Roman" w:hAnsi="Segoe UI" w:cs="Segoe UI"/>
          <w:b/>
          <w:sz w:val="24"/>
          <w:szCs w:val="24"/>
          <w:lang w:eastAsia="en-GB"/>
        </w:rPr>
      </w:pPr>
      <w:r w:rsidRPr="00C352C2">
        <w:rPr>
          <w:rFonts w:ascii="Segoe UI" w:eastAsia="Times New Roman" w:hAnsi="Segoe UI" w:cs="Segoe UI"/>
          <w:b/>
          <w:sz w:val="24"/>
          <w:szCs w:val="24"/>
          <w:lang w:eastAsia="en-GB"/>
        </w:rPr>
        <w:t>IN THE HIGH COURT OF SOUTH AFRICA</w:t>
      </w:r>
    </w:p>
    <w:p w:rsidR="00C352C2" w:rsidRPr="00C352C2" w:rsidRDefault="00C352C2" w:rsidP="00C352C2">
      <w:pPr>
        <w:spacing w:after="0" w:line="240" w:lineRule="auto"/>
        <w:jc w:val="center"/>
        <w:rPr>
          <w:rFonts w:ascii="Segoe UI" w:eastAsia="Times New Roman" w:hAnsi="Segoe UI" w:cs="Segoe UI"/>
          <w:b/>
          <w:sz w:val="24"/>
          <w:szCs w:val="24"/>
          <w:lang w:eastAsia="en-GB"/>
        </w:rPr>
      </w:pPr>
    </w:p>
    <w:p w:rsidR="00C352C2" w:rsidRPr="00C352C2" w:rsidRDefault="00C352C2" w:rsidP="00C352C2">
      <w:pPr>
        <w:spacing w:after="0" w:line="240" w:lineRule="auto"/>
        <w:jc w:val="center"/>
        <w:rPr>
          <w:rFonts w:ascii="Segoe UI" w:eastAsia="Times New Roman" w:hAnsi="Segoe UI" w:cs="Segoe UI"/>
          <w:b/>
          <w:sz w:val="24"/>
          <w:szCs w:val="24"/>
          <w:lang w:eastAsia="en-GB"/>
        </w:rPr>
      </w:pPr>
      <w:r w:rsidRPr="00C352C2">
        <w:rPr>
          <w:rFonts w:ascii="Segoe UI" w:eastAsia="Times New Roman" w:hAnsi="Segoe UI" w:cs="Segoe UI"/>
          <w:b/>
          <w:sz w:val="24"/>
          <w:szCs w:val="24"/>
          <w:lang w:eastAsia="en-GB"/>
        </w:rPr>
        <w:t>(GAUTENG DIVISION, PRETORIA)</w:t>
      </w:r>
    </w:p>
    <w:p w:rsidR="00C352C2" w:rsidRPr="00C352C2" w:rsidRDefault="00C352C2" w:rsidP="00C352C2">
      <w:pPr>
        <w:spacing w:after="0" w:line="240" w:lineRule="auto"/>
        <w:rPr>
          <w:rFonts w:ascii="Segoe UI" w:eastAsia="Times New Roman" w:hAnsi="Segoe UI" w:cs="Segoe UI"/>
          <w:b/>
          <w:sz w:val="24"/>
          <w:szCs w:val="24"/>
          <w:lang w:eastAsia="en-GB"/>
        </w:rPr>
      </w:pPr>
    </w:p>
    <w:p w:rsidR="00C352C2" w:rsidRPr="00C352C2" w:rsidRDefault="00C352C2" w:rsidP="00C352C2">
      <w:pPr>
        <w:spacing w:before="100" w:beforeAutospacing="1" w:after="100" w:afterAutospacing="1" w:line="360" w:lineRule="auto"/>
        <w:jc w:val="right"/>
        <w:rPr>
          <w:rFonts w:ascii="Segoe UI" w:eastAsia="Calibri" w:hAnsi="Segoe UI" w:cs="Segoe UI"/>
          <w:sz w:val="24"/>
          <w:szCs w:val="24"/>
          <w:lang w:eastAsia="en-ZA"/>
        </w:rPr>
      </w:pPr>
      <w:r w:rsidRPr="00C352C2">
        <w:rPr>
          <w:rFonts w:ascii="Segoe UI" w:eastAsia="Calibri" w:hAnsi="Segoe UI" w:cs="Segoe UI"/>
          <w:b/>
          <w:sz w:val="24"/>
          <w:szCs w:val="24"/>
          <w:lang w:eastAsia="en-ZA"/>
        </w:rPr>
        <w:t>Case Number</w:t>
      </w:r>
      <w:r w:rsidRPr="00C352C2">
        <w:rPr>
          <w:rFonts w:ascii="Segoe UI" w:eastAsia="Calibri" w:hAnsi="Segoe UI" w:cs="Segoe UI"/>
          <w:sz w:val="24"/>
          <w:szCs w:val="24"/>
          <w:lang w:eastAsia="en-ZA"/>
        </w:rPr>
        <w:t xml:space="preserve">: </w:t>
      </w:r>
      <w:r w:rsidRPr="00C352C2">
        <w:rPr>
          <w:rFonts w:ascii="Segoe UI" w:eastAsia="Calibri" w:hAnsi="Segoe UI" w:cs="Segoe UI"/>
          <w:noProof/>
          <w:sz w:val="24"/>
          <w:szCs w:val="24"/>
          <w:lang w:val="en-US"/>
        </w:rPr>
        <mc:AlternateContent>
          <mc:Choice Requires="wps">
            <w:drawing>
              <wp:anchor distT="0" distB="0" distL="114300" distR="114300" simplePos="0" relativeHeight="251659264" behindDoc="0" locked="0" layoutInCell="1" allowOverlap="1" wp14:anchorId="4A0D6A18" wp14:editId="7FAC06B0">
                <wp:simplePos x="0" y="0"/>
                <wp:positionH relativeFrom="column">
                  <wp:posOffset>0</wp:posOffset>
                </wp:positionH>
                <wp:positionV relativeFrom="paragraph">
                  <wp:posOffset>343115</wp:posOffset>
                </wp:positionV>
                <wp:extent cx="3314700" cy="1266825"/>
                <wp:effectExtent l="0" t="0" r="19050" b="285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C352C2" w:rsidRPr="004120A8" w:rsidRDefault="00C352C2" w:rsidP="00C352C2">
                            <w:pPr>
                              <w:jc w:val="center"/>
                              <w:rPr>
                                <w:rFonts w:ascii="Century Gothic" w:hAnsi="Century Gothic"/>
                                <w:b/>
                                <w:sz w:val="2"/>
                                <w:szCs w:val="18"/>
                              </w:rPr>
                            </w:pPr>
                          </w:p>
                          <w:p w:rsidR="00C352C2" w:rsidRPr="004120A8" w:rsidRDefault="00472E6D" w:rsidP="00472E6D">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C352C2">
                              <w:rPr>
                                <w:rFonts w:ascii="Century Gothic" w:hAnsi="Century Gothic"/>
                                <w:sz w:val="18"/>
                                <w:szCs w:val="18"/>
                              </w:rPr>
                              <w:t xml:space="preserve">REPORTABLE: </w:t>
                            </w:r>
                            <w:r w:rsidR="00C352C2" w:rsidRPr="004120A8">
                              <w:rPr>
                                <w:rFonts w:ascii="Century Gothic" w:hAnsi="Century Gothic"/>
                                <w:sz w:val="18"/>
                                <w:szCs w:val="18"/>
                              </w:rPr>
                              <w:t>NO</w:t>
                            </w:r>
                          </w:p>
                          <w:p w:rsidR="00C352C2" w:rsidRPr="00373B5A" w:rsidRDefault="00472E6D" w:rsidP="00472E6D">
                            <w:pPr>
                              <w:tabs>
                                <w:tab w:val="left" w:pos="900"/>
                              </w:tabs>
                              <w:spacing w:after="0" w:line="240" w:lineRule="auto"/>
                              <w:ind w:left="900" w:hanging="720"/>
                              <w:rPr>
                                <w:rFonts w:ascii="Century Gothic" w:hAnsi="Century Gothic"/>
                                <w:sz w:val="18"/>
                                <w:szCs w:val="18"/>
                              </w:rPr>
                            </w:pPr>
                            <w:r w:rsidRPr="00373B5A">
                              <w:rPr>
                                <w:rFonts w:ascii="Century Gothic" w:hAnsi="Century Gothic"/>
                                <w:sz w:val="18"/>
                                <w:szCs w:val="18"/>
                              </w:rPr>
                              <w:t>(2)</w:t>
                            </w:r>
                            <w:r w:rsidRPr="00373B5A">
                              <w:rPr>
                                <w:rFonts w:ascii="Century Gothic" w:hAnsi="Century Gothic"/>
                                <w:sz w:val="18"/>
                                <w:szCs w:val="18"/>
                              </w:rPr>
                              <w:tab/>
                            </w:r>
                            <w:r w:rsidR="00C352C2" w:rsidRPr="004120A8">
                              <w:rPr>
                                <w:rFonts w:ascii="Century Gothic" w:hAnsi="Century Gothic"/>
                                <w:sz w:val="18"/>
                                <w:szCs w:val="18"/>
                              </w:rPr>
                              <w:t>O</w:t>
                            </w:r>
                            <w:r w:rsidR="00C352C2">
                              <w:rPr>
                                <w:rFonts w:ascii="Century Gothic" w:hAnsi="Century Gothic"/>
                                <w:sz w:val="18"/>
                                <w:szCs w:val="18"/>
                              </w:rPr>
                              <w:t xml:space="preserve">F INTEREST TO OTHER JUDGES: </w:t>
                            </w:r>
                            <w:r w:rsidR="00C352C2" w:rsidRPr="004120A8">
                              <w:rPr>
                                <w:rFonts w:ascii="Century Gothic" w:hAnsi="Century Gothic"/>
                                <w:sz w:val="18"/>
                                <w:szCs w:val="18"/>
                              </w:rPr>
                              <w:t>NO</w:t>
                            </w:r>
                          </w:p>
                          <w:p w:rsidR="00C352C2" w:rsidRPr="004120A8" w:rsidRDefault="00C352C2" w:rsidP="00C352C2">
                            <w:pPr>
                              <w:rPr>
                                <w:rFonts w:ascii="Century Gothic" w:hAnsi="Century Gothic"/>
                                <w:b/>
                                <w:sz w:val="18"/>
                                <w:szCs w:val="18"/>
                              </w:rPr>
                            </w:pPr>
                          </w:p>
                          <w:p w:rsidR="00C352C2" w:rsidRPr="004120A8" w:rsidRDefault="00C352C2" w:rsidP="00C352C2">
                            <w:pPr>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w:t>
                            </w:r>
                          </w:p>
                          <w:p w:rsidR="00C352C2" w:rsidRPr="004120A8" w:rsidRDefault="00C352C2" w:rsidP="00C352C2">
                            <w:pPr>
                              <w:rPr>
                                <w:rFonts w:ascii="Century Gothic" w:hAnsi="Century Gothic"/>
                                <w:b/>
                                <w:sz w:val="18"/>
                                <w:szCs w:val="18"/>
                              </w:rPr>
                            </w:pPr>
                            <w:r>
                              <w:rPr>
                                <w:rFonts w:ascii="Century Gothic" w:hAnsi="Century Gothic"/>
                                <w:b/>
                                <w:sz w:val="18"/>
                                <w:szCs w:val="18"/>
                              </w:rPr>
                              <w:t xml:space="preserve"> E.M. KUBUSHI</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r w:rsidR="00E7062F">
                              <w:rPr>
                                <w:rFonts w:ascii="Century Gothic" w:hAnsi="Century Gothic"/>
                                <w:b/>
                                <w:sz w:val="18"/>
                                <w:szCs w:val="18"/>
                              </w:rPr>
                              <w:t>:  10</w:t>
                            </w:r>
                            <w:r>
                              <w:rPr>
                                <w:rFonts w:ascii="Century Gothic" w:hAnsi="Century Gothic"/>
                                <w:b/>
                                <w:sz w:val="18"/>
                                <w:szCs w:val="18"/>
                              </w:rPr>
                              <w:t xml:space="preserve"> MAY 2022 </w:t>
                            </w:r>
                          </w:p>
                          <w:p w:rsidR="00C352C2" w:rsidRPr="004120A8" w:rsidRDefault="00C352C2" w:rsidP="00C352C2">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D6A18" id="_x0000_t202" coordsize="21600,21600" o:spt="202" path="m,l,21600r21600,l21600,xe">
                <v:stroke joinstyle="miter"/>
                <v:path gradientshapeok="t" o:connecttype="rect"/>
              </v:shapetype>
              <v:shape id="Text Box 1" o:spid="_x0000_s1026" type="#_x0000_t202" style="position:absolute;left:0;text-align:left;margin-left:0;margin-top:27pt;width:261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">
                <v:textbox>
                  <w:txbxContent>
                    <w:p w:rsidR="00C352C2" w:rsidRPr="004120A8" w:rsidRDefault="00C352C2" w:rsidP="00C352C2">
                      <w:pPr>
                        <w:jc w:val="center"/>
                        <w:rPr>
                          <w:rFonts w:ascii="Century Gothic" w:hAnsi="Century Gothic"/>
                          <w:b/>
                          <w:sz w:val="2"/>
                          <w:szCs w:val="18"/>
                        </w:rPr>
                      </w:pPr>
                    </w:p>
                    <w:p w:rsidR="00C352C2" w:rsidRPr="004120A8" w:rsidRDefault="00472E6D" w:rsidP="00472E6D">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C352C2">
                        <w:rPr>
                          <w:rFonts w:ascii="Century Gothic" w:hAnsi="Century Gothic"/>
                          <w:sz w:val="18"/>
                          <w:szCs w:val="18"/>
                        </w:rPr>
                        <w:t xml:space="preserve">REPORTABLE: </w:t>
                      </w:r>
                      <w:r w:rsidR="00C352C2" w:rsidRPr="004120A8">
                        <w:rPr>
                          <w:rFonts w:ascii="Century Gothic" w:hAnsi="Century Gothic"/>
                          <w:sz w:val="18"/>
                          <w:szCs w:val="18"/>
                        </w:rPr>
                        <w:t>NO</w:t>
                      </w:r>
                    </w:p>
                    <w:p w:rsidR="00C352C2" w:rsidRPr="00373B5A" w:rsidRDefault="00472E6D" w:rsidP="00472E6D">
                      <w:pPr>
                        <w:tabs>
                          <w:tab w:val="left" w:pos="900"/>
                        </w:tabs>
                        <w:spacing w:after="0" w:line="240" w:lineRule="auto"/>
                        <w:ind w:left="900" w:hanging="720"/>
                        <w:rPr>
                          <w:rFonts w:ascii="Century Gothic" w:hAnsi="Century Gothic"/>
                          <w:sz w:val="18"/>
                          <w:szCs w:val="18"/>
                        </w:rPr>
                      </w:pPr>
                      <w:r w:rsidRPr="00373B5A">
                        <w:rPr>
                          <w:rFonts w:ascii="Century Gothic" w:hAnsi="Century Gothic"/>
                          <w:sz w:val="18"/>
                          <w:szCs w:val="18"/>
                        </w:rPr>
                        <w:t>(2)</w:t>
                      </w:r>
                      <w:r w:rsidRPr="00373B5A">
                        <w:rPr>
                          <w:rFonts w:ascii="Century Gothic" w:hAnsi="Century Gothic"/>
                          <w:sz w:val="18"/>
                          <w:szCs w:val="18"/>
                        </w:rPr>
                        <w:tab/>
                      </w:r>
                      <w:r w:rsidR="00C352C2" w:rsidRPr="004120A8">
                        <w:rPr>
                          <w:rFonts w:ascii="Century Gothic" w:hAnsi="Century Gothic"/>
                          <w:sz w:val="18"/>
                          <w:szCs w:val="18"/>
                        </w:rPr>
                        <w:t>O</w:t>
                      </w:r>
                      <w:r w:rsidR="00C352C2">
                        <w:rPr>
                          <w:rFonts w:ascii="Century Gothic" w:hAnsi="Century Gothic"/>
                          <w:sz w:val="18"/>
                          <w:szCs w:val="18"/>
                        </w:rPr>
                        <w:t xml:space="preserve">F INTEREST TO OTHER JUDGES: </w:t>
                      </w:r>
                      <w:r w:rsidR="00C352C2" w:rsidRPr="004120A8">
                        <w:rPr>
                          <w:rFonts w:ascii="Century Gothic" w:hAnsi="Century Gothic"/>
                          <w:sz w:val="18"/>
                          <w:szCs w:val="18"/>
                        </w:rPr>
                        <w:t>NO</w:t>
                      </w:r>
                    </w:p>
                    <w:p w:rsidR="00C352C2" w:rsidRPr="004120A8" w:rsidRDefault="00C352C2" w:rsidP="00C352C2">
                      <w:pPr>
                        <w:rPr>
                          <w:rFonts w:ascii="Century Gothic" w:hAnsi="Century Gothic"/>
                          <w:b/>
                          <w:sz w:val="18"/>
                          <w:szCs w:val="18"/>
                        </w:rPr>
                      </w:pPr>
                    </w:p>
                    <w:p w:rsidR="00C352C2" w:rsidRPr="004120A8" w:rsidRDefault="00C352C2" w:rsidP="00C352C2">
                      <w:pPr>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w:t>
                      </w:r>
                    </w:p>
                    <w:p w:rsidR="00C352C2" w:rsidRPr="004120A8" w:rsidRDefault="00C352C2" w:rsidP="00C352C2">
                      <w:pPr>
                        <w:rPr>
                          <w:rFonts w:ascii="Century Gothic" w:hAnsi="Century Gothic"/>
                          <w:b/>
                          <w:sz w:val="18"/>
                          <w:szCs w:val="18"/>
                        </w:rPr>
                      </w:pPr>
                      <w:r>
                        <w:rPr>
                          <w:rFonts w:ascii="Century Gothic" w:hAnsi="Century Gothic"/>
                          <w:b/>
                          <w:sz w:val="18"/>
                          <w:szCs w:val="18"/>
                        </w:rPr>
                        <w:t xml:space="preserve"> E.M. KUBUSHI</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r w:rsidR="00E7062F">
                        <w:rPr>
                          <w:rFonts w:ascii="Century Gothic" w:hAnsi="Century Gothic"/>
                          <w:b/>
                          <w:sz w:val="18"/>
                          <w:szCs w:val="18"/>
                        </w:rPr>
                        <w:t>:  10</w:t>
                      </w:r>
                      <w:r>
                        <w:rPr>
                          <w:rFonts w:ascii="Century Gothic" w:hAnsi="Century Gothic"/>
                          <w:b/>
                          <w:sz w:val="18"/>
                          <w:szCs w:val="18"/>
                        </w:rPr>
                        <w:t xml:space="preserve"> MAY 2022 </w:t>
                      </w:r>
                    </w:p>
                    <w:p w:rsidR="00C352C2" w:rsidRPr="004120A8" w:rsidRDefault="00C352C2" w:rsidP="00C352C2">
                      <w:pPr>
                        <w:rPr>
                          <w:rFonts w:ascii="Century Gothic" w:hAnsi="Century Gothic"/>
                          <w:b/>
                          <w:sz w:val="2"/>
                          <w:szCs w:val="18"/>
                        </w:rPr>
                      </w:pPr>
                    </w:p>
                  </w:txbxContent>
                </v:textbox>
              </v:shape>
            </w:pict>
          </mc:Fallback>
        </mc:AlternateContent>
      </w:r>
      <w:r>
        <w:rPr>
          <w:rFonts w:ascii="Segoe UI" w:eastAsia="Calibri" w:hAnsi="Segoe UI" w:cs="Segoe UI"/>
          <w:sz w:val="24"/>
          <w:szCs w:val="24"/>
          <w:lang w:eastAsia="en-ZA"/>
        </w:rPr>
        <w:t>23467/2022</w:t>
      </w:r>
    </w:p>
    <w:p w:rsidR="00C352C2" w:rsidRPr="00C352C2" w:rsidRDefault="00C352C2" w:rsidP="00C352C2">
      <w:pPr>
        <w:spacing w:before="100" w:beforeAutospacing="1" w:after="100" w:afterAutospacing="1" w:line="360" w:lineRule="auto"/>
        <w:jc w:val="center"/>
        <w:rPr>
          <w:rFonts w:ascii="Segoe UI" w:eastAsia="Times New Roman" w:hAnsi="Segoe UI" w:cs="Segoe UI"/>
          <w:color w:val="000000"/>
          <w:sz w:val="20"/>
          <w:szCs w:val="20"/>
          <w:lang w:eastAsia="en-ZA"/>
        </w:rPr>
      </w:pPr>
    </w:p>
    <w:p w:rsidR="00C352C2" w:rsidRPr="00C352C2" w:rsidRDefault="00C352C2" w:rsidP="00C352C2">
      <w:pPr>
        <w:spacing w:after="200" w:line="480" w:lineRule="auto"/>
        <w:ind w:left="5760"/>
        <w:jc w:val="both"/>
        <w:rPr>
          <w:rFonts w:ascii="Segoe UI" w:eastAsia="Calibri" w:hAnsi="Segoe UI" w:cs="Segoe UI"/>
          <w:b/>
          <w:sz w:val="20"/>
          <w:szCs w:val="20"/>
        </w:rPr>
      </w:pPr>
    </w:p>
    <w:p w:rsidR="00C352C2" w:rsidRPr="00C352C2" w:rsidRDefault="00C352C2" w:rsidP="00C352C2">
      <w:pPr>
        <w:widowControl w:val="0"/>
        <w:autoSpaceDE w:val="0"/>
        <w:autoSpaceDN w:val="0"/>
        <w:adjustRightInd w:val="0"/>
        <w:spacing w:after="0" w:line="276" w:lineRule="auto"/>
        <w:jc w:val="both"/>
        <w:rPr>
          <w:rFonts w:ascii="Segoe UI" w:eastAsia="Times New Roman" w:hAnsi="Segoe UI" w:cs="Segoe UI"/>
          <w:sz w:val="20"/>
          <w:szCs w:val="20"/>
          <w:u w:val="single"/>
          <w:lang w:eastAsia="en-GB"/>
        </w:rPr>
      </w:pPr>
    </w:p>
    <w:p w:rsidR="00C352C2" w:rsidRPr="00C352C2" w:rsidRDefault="00C352C2" w:rsidP="00C352C2">
      <w:pPr>
        <w:widowControl w:val="0"/>
        <w:autoSpaceDE w:val="0"/>
        <w:autoSpaceDN w:val="0"/>
        <w:adjustRightInd w:val="0"/>
        <w:spacing w:after="0" w:line="276" w:lineRule="auto"/>
        <w:jc w:val="both"/>
        <w:rPr>
          <w:rFonts w:ascii="Arial" w:eastAsia="Calibri" w:hAnsi="Arial" w:cs="Arial"/>
          <w:color w:val="1B1919"/>
          <w:sz w:val="24"/>
          <w:szCs w:val="24"/>
        </w:rPr>
      </w:pPr>
      <w:r w:rsidRPr="00C352C2">
        <w:rPr>
          <w:rFonts w:ascii="Arial" w:eastAsia="Calibri" w:hAnsi="Arial" w:cs="Arial"/>
          <w:color w:val="1B1919"/>
          <w:sz w:val="24"/>
          <w:szCs w:val="24"/>
        </w:rPr>
        <w:t>In the matter between:</w:t>
      </w:r>
    </w:p>
    <w:p w:rsidR="00C352C2" w:rsidRPr="00C352C2" w:rsidRDefault="00C352C2" w:rsidP="00C352C2">
      <w:pPr>
        <w:widowControl w:val="0"/>
        <w:tabs>
          <w:tab w:val="left" w:pos="6521"/>
        </w:tabs>
        <w:autoSpaceDE w:val="0"/>
        <w:autoSpaceDN w:val="0"/>
        <w:adjustRightInd w:val="0"/>
        <w:spacing w:after="0" w:line="276" w:lineRule="auto"/>
        <w:jc w:val="both"/>
        <w:rPr>
          <w:rFonts w:ascii="Arial" w:hAnsi="Arial" w:cs="Arial"/>
          <w:b/>
          <w:color w:val="000000"/>
          <w:sz w:val="24"/>
          <w:szCs w:val="24"/>
        </w:rPr>
      </w:pPr>
    </w:p>
    <w:p w:rsidR="00C352C2" w:rsidRDefault="00C352C2" w:rsidP="00C352C2">
      <w:pPr>
        <w:widowControl w:val="0"/>
        <w:tabs>
          <w:tab w:val="left" w:pos="6521"/>
        </w:tabs>
        <w:autoSpaceDE w:val="0"/>
        <w:autoSpaceDN w:val="0"/>
        <w:adjustRightInd w:val="0"/>
        <w:spacing w:after="0" w:line="276" w:lineRule="auto"/>
        <w:jc w:val="both"/>
        <w:rPr>
          <w:rFonts w:ascii="Arial" w:hAnsi="Arial" w:cs="Arial"/>
          <w:b/>
          <w:color w:val="000000"/>
          <w:sz w:val="24"/>
          <w:szCs w:val="24"/>
        </w:rPr>
      </w:pPr>
      <w:r w:rsidRPr="00C352C2">
        <w:rPr>
          <w:rFonts w:ascii="Arial" w:hAnsi="Arial" w:cs="Arial"/>
          <w:b/>
          <w:color w:val="000000"/>
          <w:sz w:val="24"/>
          <w:szCs w:val="24"/>
        </w:rPr>
        <w:t>DEVCO AUCTIONEERS &amp; SALES (PTY) LTD</w:t>
      </w:r>
      <w:r w:rsidRPr="00C352C2">
        <w:rPr>
          <w:rFonts w:ascii="Arial" w:hAnsi="Arial" w:cs="Arial"/>
          <w:b/>
          <w:color w:val="000000"/>
          <w:sz w:val="24"/>
          <w:szCs w:val="24"/>
        </w:rPr>
        <w:tab/>
        <w:t>1</w:t>
      </w:r>
      <w:r w:rsidR="00996E2E" w:rsidRPr="00C352C2">
        <w:rPr>
          <w:rFonts w:ascii="Arial" w:hAnsi="Arial" w:cs="Arial"/>
          <w:b/>
          <w:color w:val="000000"/>
          <w:sz w:val="24"/>
          <w:szCs w:val="24"/>
          <w:vertAlign w:val="superscript"/>
        </w:rPr>
        <w:t>st</w:t>
      </w:r>
      <w:r w:rsidR="00996E2E" w:rsidRPr="00C352C2">
        <w:rPr>
          <w:rFonts w:ascii="Arial" w:hAnsi="Arial" w:cs="Arial"/>
          <w:b/>
          <w:color w:val="000000"/>
          <w:sz w:val="24"/>
          <w:szCs w:val="24"/>
        </w:rPr>
        <w:t xml:space="preserve"> APPLICANT</w:t>
      </w:r>
    </w:p>
    <w:p w:rsidR="00996E2E" w:rsidRPr="00C352C2" w:rsidRDefault="00996E2E" w:rsidP="00C352C2">
      <w:pPr>
        <w:widowControl w:val="0"/>
        <w:tabs>
          <w:tab w:val="left" w:pos="6521"/>
        </w:tabs>
        <w:autoSpaceDE w:val="0"/>
        <w:autoSpaceDN w:val="0"/>
        <w:adjustRightInd w:val="0"/>
        <w:spacing w:after="0" w:line="276" w:lineRule="auto"/>
        <w:jc w:val="both"/>
        <w:rPr>
          <w:rFonts w:ascii="Arial" w:hAnsi="Arial" w:cs="Arial"/>
          <w:b/>
          <w:color w:val="000000"/>
          <w:sz w:val="24"/>
          <w:szCs w:val="24"/>
        </w:rPr>
      </w:pPr>
    </w:p>
    <w:p w:rsidR="00C352C2" w:rsidRPr="00C352C2" w:rsidRDefault="00161620" w:rsidP="00C352C2">
      <w:pPr>
        <w:widowControl w:val="0"/>
        <w:tabs>
          <w:tab w:val="left" w:pos="6521"/>
        </w:tabs>
        <w:autoSpaceDE w:val="0"/>
        <w:autoSpaceDN w:val="0"/>
        <w:adjustRightInd w:val="0"/>
        <w:spacing w:after="0" w:line="276" w:lineRule="auto"/>
        <w:jc w:val="both"/>
        <w:rPr>
          <w:rFonts w:ascii="Arial" w:hAnsi="Arial" w:cs="Arial"/>
          <w:b/>
          <w:color w:val="000000"/>
          <w:sz w:val="24"/>
          <w:szCs w:val="24"/>
        </w:rPr>
      </w:pPr>
      <w:r>
        <w:rPr>
          <w:rFonts w:ascii="Arial" w:hAnsi="Arial" w:cs="Arial"/>
          <w:b/>
          <w:color w:val="000000"/>
          <w:sz w:val="24"/>
          <w:szCs w:val="24"/>
        </w:rPr>
        <w:t>WIEHANN FORMWORK</w:t>
      </w:r>
      <w:r w:rsidR="00C352C2" w:rsidRPr="00C352C2">
        <w:rPr>
          <w:rFonts w:ascii="Arial" w:hAnsi="Arial" w:cs="Arial"/>
          <w:b/>
          <w:color w:val="000000"/>
          <w:sz w:val="24"/>
          <w:szCs w:val="24"/>
        </w:rPr>
        <w:t>S &amp; HIRE (PTY)LTD</w:t>
      </w:r>
      <w:r w:rsidR="00C352C2" w:rsidRPr="00C352C2">
        <w:rPr>
          <w:rFonts w:ascii="Arial" w:hAnsi="Arial" w:cs="Arial"/>
          <w:b/>
          <w:color w:val="000000"/>
          <w:sz w:val="24"/>
          <w:szCs w:val="24"/>
        </w:rPr>
        <w:tab/>
        <w:t>2</w:t>
      </w:r>
      <w:r w:rsidR="00C352C2" w:rsidRPr="00C352C2">
        <w:rPr>
          <w:rFonts w:ascii="Arial" w:hAnsi="Arial" w:cs="Arial"/>
          <w:b/>
          <w:color w:val="000000"/>
          <w:sz w:val="24"/>
          <w:szCs w:val="24"/>
          <w:vertAlign w:val="superscript"/>
        </w:rPr>
        <w:t>nd</w:t>
      </w:r>
      <w:r w:rsidR="00C352C2" w:rsidRPr="00C352C2">
        <w:rPr>
          <w:rFonts w:ascii="Arial" w:hAnsi="Arial" w:cs="Arial"/>
          <w:b/>
          <w:color w:val="000000"/>
          <w:sz w:val="24"/>
          <w:szCs w:val="24"/>
        </w:rPr>
        <w:t xml:space="preserve"> APPLICANT</w:t>
      </w:r>
    </w:p>
    <w:p w:rsidR="00C352C2" w:rsidRPr="00C352C2" w:rsidRDefault="00C352C2" w:rsidP="00C352C2">
      <w:pPr>
        <w:widowControl w:val="0"/>
        <w:tabs>
          <w:tab w:val="left" w:pos="6521"/>
        </w:tabs>
        <w:autoSpaceDE w:val="0"/>
        <w:autoSpaceDN w:val="0"/>
        <w:adjustRightInd w:val="0"/>
        <w:spacing w:after="0" w:line="276" w:lineRule="auto"/>
        <w:jc w:val="both"/>
        <w:rPr>
          <w:rFonts w:ascii="Arial" w:eastAsia="Calibri" w:hAnsi="Arial" w:cs="Arial"/>
          <w:color w:val="1B1919"/>
          <w:sz w:val="24"/>
          <w:szCs w:val="24"/>
        </w:rPr>
      </w:pPr>
    </w:p>
    <w:p w:rsidR="00C352C2" w:rsidRPr="00C352C2" w:rsidRDefault="00C352C2" w:rsidP="00C352C2">
      <w:pPr>
        <w:widowControl w:val="0"/>
        <w:tabs>
          <w:tab w:val="left" w:pos="6521"/>
        </w:tabs>
        <w:autoSpaceDE w:val="0"/>
        <w:autoSpaceDN w:val="0"/>
        <w:adjustRightInd w:val="0"/>
        <w:spacing w:after="0" w:line="276" w:lineRule="auto"/>
        <w:jc w:val="both"/>
        <w:rPr>
          <w:rFonts w:ascii="Arial" w:eastAsia="Calibri" w:hAnsi="Arial" w:cs="Arial"/>
          <w:color w:val="1B1919"/>
          <w:sz w:val="24"/>
          <w:szCs w:val="24"/>
        </w:rPr>
      </w:pPr>
      <w:r w:rsidRPr="00C352C2">
        <w:rPr>
          <w:rFonts w:ascii="Arial" w:eastAsia="Calibri" w:hAnsi="Arial" w:cs="Arial"/>
          <w:color w:val="1B1919"/>
          <w:sz w:val="24"/>
          <w:szCs w:val="24"/>
        </w:rPr>
        <w:t>and</w:t>
      </w:r>
    </w:p>
    <w:p w:rsidR="00C352C2" w:rsidRPr="00C352C2" w:rsidRDefault="00C352C2" w:rsidP="00C352C2">
      <w:pPr>
        <w:widowControl w:val="0"/>
        <w:tabs>
          <w:tab w:val="left" w:pos="6521"/>
        </w:tabs>
        <w:autoSpaceDE w:val="0"/>
        <w:autoSpaceDN w:val="0"/>
        <w:adjustRightInd w:val="0"/>
        <w:spacing w:after="0" w:line="276" w:lineRule="auto"/>
        <w:jc w:val="both"/>
        <w:rPr>
          <w:rFonts w:ascii="Arial" w:eastAsia="Calibri" w:hAnsi="Arial" w:cs="Arial"/>
          <w:b/>
          <w:color w:val="1B1919"/>
          <w:sz w:val="24"/>
          <w:szCs w:val="24"/>
        </w:rPr>
      </w:pPr>
    </w:p>
    <w:p w:rsidR="00C352C2" w:rsidRPr="00C352C2" w:rsidRDefault="00C352C2" w:rsidP="00C352C2">
      <w:pPr>
        <w:widowControl w:val="0"/>
        <w:tabs>
          <w:tab w:val="left" w:pos="6521"/>
        </w:tabs>
        <w:autoSpaceDE w:val="0"/>
        <w:autoSpaceDN w:val="0"/>
        <w:adjustRightInd w:val="0"/>
        <w:spacing w:after="0" w:line="276" w:lineRule="auto"/>
        <w:jc w:val="both"/>
        <w:rPr>
          <w:rFonts w:ascii="Arial" w:eastAsia="Calibri" w:hAnsi="Arial" w:cs="Arial"/>
          <w:b/>
          <w:color w:val="1B1919"/>
          <w:sz w:val="24"/>
          <w:szCs w:val="24"/>
        </w:rPr>
      </w:pPr>
      <w:r w:rsidRPr="00C352C2">
        <w:rPr>
          <w:rFonts w:ascii="Arial" w:eastAsia="Calibri" w:hAnsi="Arial" w:cs="Arial"/>
          <w:b/>
          <w:color w:val="1B1919"/>
          <w:sz w:val="24"/>
          <w:szCs w:val="24"/>
        </w:rPr>
        <w:t>EJ NAUDE                                                                                    1</w:t>
      </w:r>
      <w:r w:rsidRPr="00C352C2">
        <w:rPr>
          <w:rFonts w:ascii="Arial" w:eastAsia="Calibri" w:hAnsi="Arial" w:cs="Arial"/>
          <w:b/>
          <w:color w:val="1B1919"/>
          <w:sz w:val="24"/>
          <w:szCs w:val="24"/>
          <w:vertAlign w:val="superscript"/>
        </w:rPr>
        <w:t>st</w:t>
      </w:r>
      <w:r w:rsidRPr="00C352C2">
        <w:rPr>
          <w:rFonts w:ascii="Arial" w:eastAsia="Calibri" w:hAnsi="Arial" w:cs="Arial"/>
          <w:b/>
          <w:color w:val="1B1919"/>
          <w:sz w:val="24"/>
          <w:szCs w:val="24"/>
        </w:rPr>
        <w:t xml:space="preserve"> RESPONDENT</w:t>
      </w:r>
    </w:p>
    <w:p w:rsidR="00C352C2" w:rsidRPr="00C352C2" w:rsidRDefault="00C352C2" w:rsidP="00C352C2">
      <w:pPr>
        <w:widowControl w:val="0"/>
        <w:tabs>
          <w:tab w:val="left" w:pos="6521"/>
        </w:tabs>
        <w:autoSpaceDE w:val="0"/>
        <w:autoSpaceDN w:val="0"/>
        <w:adjustRightInd w:val="0"/>
        <w:spacing w:after="0" w:line="276" w:lineRule="auto"/>
        <w:jc w:val="both"/>
        <w:rPr>
          <w:rFonts w:ascii="Arial" w:eastAsia="Calibri" w:hAnsi="Arial" w:cs="Arial"/>
          <w:color w:val="1B1919"/>
          <w:sz w:val="24"/>
          <w:szCs w:val="24"/>
        </w:rPr>
      </w:pPr>
      <w:r w:rsidRPr="00C352C2">
        <w:rPr>
          <w:rFonts w:ascii="Arial" w:eastAsia="Calibri" w:hAnsi="Arial" w:cs="Arial"/>
          <w:color w:val="1B1919"/>
          <w:sz w:val="24"/>
          <w:szCs w:val="24"/>
        </w:rPr>
        <w:t>(In his capacity as appointed business rescue</w:t>
      </w:r>
    </w:p>
    <w:p w:rsidR="00C352C2" w:rsidRDefault="00C352C2" w:rsidP="00C352C2">
      <w:pPr>
        <w:widowControl w:val="0"/>
        <w:tabs>
          <w:tab w:val="left" w:pos="6521"/>
        </w:tabs>
        <w:autoSpaceDE w:val="0"/>
        <w:autoSpaceDN w:val="0"/>
        <w:adjustRightInd w:val="0"/>
        <w:spacing w:after="0" w:line="276" w:lineRule="auto"/>
        <w:jc w:val="both"/>
        <w:rPr>
          <w:rFonts w:ascii="Arial" w:eastAsia="Calibri" w:hAnsi="Arial" w:cs="Arial"/>
          <w:color w:val="1B1919"/>
          <w:sz w:val="24"/>
          <w:szCs w:val="24"/>
        </w:rPr>
      </w:pPr>
      <w:r w:rsidRPr="00C352C2">
        <w:rPr>
          <w:rFonts w:ascii="Arial" w:eastAsia="Calibri" w:hAnsi="Arial" w:cs="Arial"/>
          <w:color w:val="1B1919"/>
          <w:sz w:val="24"/>
          <w:szCs w:val="24"/>
        </w:rPr>
        <w:t>Practitioner of GD Irons Construction (Pty) ltd)</w:t>
      </w:r>
    </w:p>
    <w:p w:rsidR="00996E2E" w:rsidRPr="00C352C2" w:rsidRDefault="00996E2E" w:rsidP="00C352C2">
      <w:pPr>
        <w:widowControl w:val="0"/>
        <w:tabs>
          <w:tab w:val="left" w:pos="6521"/>
        </w:tabs>
        <w:autoSpaceDE w:val="0"/>
        <w:autoSpaceDN w:val="0"/>
        <w:adjustRightInd w:val="0"/>
        <w:spacing w:after="0" w:line="276" w:lineRule="auto"/>
        <w:jc w:val="both"/>
        <w:rPr>
          <w:rFonts w:ascii="Arial" w:eastAsia="Calibri" w:hAnsi="Arial" w:cs="Arial"/>
          <w:b/>
          <w:color w:val="1B1919"/>
          <w:sz w:val="24"/>
          <w:szCs w:val="24"/>
        </w:rPr>
      </w:pPr>
    </w:p>
    <w:p w:rsidR="00C352C2" w:rsidRDefault="00C352C2" w:rsidP="00C352C2">
      <w:pPr>
        <w:widowControl w:val="0"/>
        <w:tabs>
          <w:tab w:val="left" w:pos="6521"/>
        </w:tabs>
        <w:autoSpaceDE w:val="0"/>
        <w:autoSpaceDN w:val="0"/>
        <w:adjustRightInd w:val="0"/>
        <w:spacing w:after="0" w:line="276" w:lineRule="auto"/>
        <w:jc w:val="both"/>
        <w:rPr>
          <w:rFonts w:ascii="Arial" w:eastAsia="Calibri" w:hAnsi="Arial" w:cs="Arial"/>
          <w:b/>
          <w:color w:val="1B1919"/>
          <w:sz w:val="24"/>
          <w:szCs w:val="24"/>
        </w:rPr>
      </w:pPr>
      <w:r w:rsidRPr="00C352C2">
        <w:rPr>
          <w:rFonts w:ascii="Arial" w:eastAsia="Calibri" w:hAnsi="Arial" w:cs="Arial"/>
          <w:b/>
          <w:color w:val="1B1919"/>
          <w:sz w:val="24"/>
          <w:szCs w:val="24"/>
        </w:rPr>
        <w:t xml:space="preserve">GD IRONS CONSTRUCTION (PTY) LTD     </w:t>
      </w:r>
      <w:r w:rsidR="003838EA">
        <w:rPr>
          <w:rFonts w:ascii="Arial" w:eastAsia="Calibri" w:hAnsi="Arial" w:cs="Arial"/>
          <w:b/>
          <w:color w:val="1B1919"/>
          <w:sz w:val="24"/>
          <w:szCs w:val="24"/>
        </w:rPr>
        <w:t xml:space="preserve">                            </w:t>
      </w:r>
      <w:r w:rsidRPr="00C352C2">
        <w:rPr>
          <w:rFonts w:ascii="Arial" w:eastAsia="Calibri" w:hAnsi="Arial" w:cs="Arial"/>
          <w:b/>
          <w:color w:val="1B1919"/>
          <w:sz w:val="24"/>
          <w:szCs w:val="24"/>
        </w:rPr>
        <w:t xml:space="preserve"> 2</w:t>
      </w:r>
      <w:r w:rsidRPr="00C352C2">
        <w:rPr>
          <w:rFonts w:ascii="Arial" w:eastAsia="Calibri" w:hAnsi="Arial" w:cs="Arial"/>
          <w:b/>
          <w:color w:val="1B1919"/>
          <w:sz w:val="24"/>
          <w:szCs w:val="24"/>
          <w:vertAlign w:val="superscript"/>
        </w:rPr>
        <w:t>nd</w:t>
      </w:r>
      <w:r w:rsidRPr="00C352C2">
        <w:rPr>
          <w:rFonts w:ascii="Arial" w:eastAsia="Calibri" w:hAnsi="Arial" w:cs="Arial"/>
          <w:b/>
          <w:color w:val="1B1919"/>
          <w:sz w:val="24"/>
          <w:szCs w:val="24"/>
        </w:rPr>
        <w:t xml:space="preserve"> RESPONDENT</w:t>
      </w:r>
    </w:p>
    <w:p w:rsidR="00996E2E" w:rsidRPr="00C352C2" w:rsidRDefault="00996E2E" w:rsidP="00C352C2">
      <w:pPr>
        <w:widowControl w:val="0"/>
        <w:tabs>
          <w:tab w:val="left" w:pos="6521"/>
        </w:tabs>
        <w:autoSpaceDE w:val="0"/>
        <w:autoSpaceDN w:val="0"/>
        <w:adjustRightInd w:val="0"/>
        <w:spacing w:after="0" w:line="276" w:lineRule="auto"/>
        <w:jc w:val="both"/>
        <w:rPr>
          <w:rFonts w:ascii="Arial" w:eastAsia="Calibri" w:hAnsi="Arial" w:cs="Arial"/>
          <w:b/>
          <w:color w:val="1B1919"/>
          <w:sz w:val="24"/>
          <w:szCs w:val="24"/>
        </w:rPr>
      </w:pPr>
    </w:p>
    <w:p w:rsidR="00C352C2" w:rsidRPr="00C352C2" w:rsidRDefault="00C352C2" w:rsidP="00C352C2">
      <w:pPr>
        <w:widowControl w:val="0"/>
        <w:tabs>
          <w:tab w:val="left" w:pos="6521"/>
        </w:tabs>
        <w:autoSpaceDE w:val="0"/>
        <w:autoSpaceDN w:val="0"/>
        <w:adjustRightInd w:val="0"/>
        <w:spacing w:after="0" w:line="276" w:lineRule="auto"/>
        <w:jc w:val="both"/>
        <w:rPr>
          <w:rFonts w:ascii="Arial" w:eastAsia="Calibri" w:hAnsi="Arial" w:cs="Arial"/>
          <w:b/>
          <w:bCs/>
          <w:color w:val="1B1919"/>
          <w:sz w:val="24"/>
          <w:szCs w:val="24"/>
        </w:rPr>
      </w:pPr>
      <w:r w:rsidRPr="00C352C2">
        <w:rPr>
          <w:rFonts w:ascii="Arial" w:eastAsia="Calibri" w:hAnsi="Arial" w:cs="Arial"/>
          <w:b/>
          <w:color w:val="1B1919"/>
          <w:sz w:val="24"/>
          <w:szCs w:val="24"/>
        </w:rPr>
        <w:t>GUARDRISK INSURANCE COMPANY LIMITED                    3</w:t>
      </w:r>
      <w:r w:rsidRPr="00C352C2">
        <w:rPr>
          <w:rFonts w:ascii="Arial" w:eastAsia="Calibri" w:hAnsi="Arial" w:cs="Arial"/>
          <w:b/>
          <w:color w:val="1B1919"/>
          <w:sz w:val="24"/>
          <w:szCs w:val="24"/>
          <w:vertAlign w:val="superscript"/>
        </w:rPr>
        <w:t>rd</w:t>
      </w:r>
      <w:r w:rsidRPr="00C352C2">
        <w:rPr>
          <w:rFonts w:ascii="Arial" w:eastAsia="Calibri" w:hAnsi="Arial" w:cs="Arial"/>
          <w:b/>
          <w:color w:val="1B1919"/>
          <w:sz w:val="24"/>
          <w:szCs w:val="24"/>
        </w:rPr>
        <w:t xml:space="preserve"> RESPONDENT         </w:t>
      </w:r>
    </w:p>
    <w:p w:rsidR="00C352C2" w:rsidRPr="00C352C2" w:rsidRDefault="00C352C2" w:rsidP="00C352C2">
      <w:pPr>
        <w:widowControl w:val="0"/>
        <w:pBdr>
          <w:top w:val="single" w:sz="12" w:space="1" w:color="auto"/>
          <w:bottom w:val="single" w:sz="12" w:space="1" w:color="auto"/>
        </w:pBdr>
        <w:tabs>
          <w:tab w:val="left" w:pos="1934"/>
        </w:tabs>
        <w:autoSpaceDE w:val="0"/>
        <w:autoSpaceDN w:val="0"/>
        <w:adjustRightInd w:val="0"/>
        <w:spacing w:after="0" w:line="276" w:lineRule="auto"/>
        <w:rPr>
          <w:rFonts w:ascii="Arial" w:eastAsia="Calibri" w:hAnsi="Arial" w:cs="Arial"/>
          <w:b/>
          <w:color w:val="1B1919"/>
          <w:sz w:val="20"/>
          <w:szCs w:val="20"/>
        </w:rPr>
      </w:pPr>
      <w:r w:rsidRPr="00C352C2">
        <w:rPr>
          <w:rFonts w:ascii="Arial" w:eastAsia="Calibri" w:hAnsi="Arial" w:cs="Arial"/>
          <w:b/>
          <w:color w:val="1B1919"/>
          <w:sz w:val="20"/>
          <w:szCs w:val="20"/>
        </w:rPr>
        <w:tab/>
      </w:r>
    </w:p>
    <w:p w:rsidR="00C352C2" w:rsidRPr="00C352C2" w:rsidRDefault="00C352C2" w:rsidP="00C352C2">
      <w:pPr>
        <w:widowControl w:val="0"/>
        <w:pBdr>
          <w:top w:val="single" w:sz="12" w:space="1" w:color="auto"/>
          <w:bottom w:val="single" w:sz="12" w:space="1" w:color="auto"/>
        </w:pBdr>
        <w:autoSpaceDE w:val="0"/>
        <w:autoSpaceDN w:val="0"/>
        <w:adjustRightInd w:val="0"/>
        <w:spacing w:after="0" w:line="240" w:lineRule="auto"/>
        <w:jc w:val="center"/>
        <w:rPr>
          <w:rFonts w:ascii="Arial" w:eastAsia="Calibri" w:hAnsi="Arial" w:cs="Arial"/>
          <w:b/>
          <w:color w:val="1B1919"/>
          <w:sz w:val="24"/>
          <w:szCs w:val="24"/>
        </w:rPr>
      </w:pPr>
      <w:r w:rsidRPr="00C352C2">
        <w:rPr>
          <w:rFonts w:ascii="Arial" w:eastAsia="Calibri" w:hAnsi="Arial" w:cs="Arial"/>
          <w:b/>
          <w:color w:val="1B1919"/>
          <w:sz w:val="24"/>
          <w:szCs w:val="24"/>
        </w:rPr>
        <w:t>JUDGMENT</w:t>
      </w:r>
    </w:p>
    <w:p w:rsidR="00996E2E" w:rsidRDefault="00C352C2" w:rsidP="00C352C2">
      <w:pPr>
        <w:spacing w:line="480" w:lineRule="auto"/>
        <w:jc w:val="both"/>
        <w:rPr>
          <w:rFonts w:ascii="Arial" w:hAnsi="Arial" w:cs="Arial"/>
          <w:b/>
          <w:color w:val="000000"/>
          <w:sz w:val="24"/>
          <w:szCs w:val="24"/>
        </w:rPr>
      </w:pPr>
      <w:r w:rsidRPr="00C352C2">
        <w:rPr>
          <w:rFonts w:ascii="Arial" w:hAnsi="Arial" w:cs="Arial"/>
          <w:b/>
          <w:color w:val="000000"/>
          <w:sz w:val="24"/>
          <w:szCs w:val="24"/>
        </w:rPr>
        <w:t>KUBUSHI J</w:t>
      </w:r>
    </w:p>
    <w:p w:rsidR="00C352C2" w:rsidRPr="006C12E9" w:rsidRDefault="003838EA" w:rsidP="006C12E9">
      <w:pPr>
        <w:spacing w:line="480" w:lineRule="auto"/>
        <w:jc w:val="both"/>
        <w:rPr>
          <w:rFonts w:ascii="Arial" w:hAnsi="Arial" w:cs="Arial"/>
          <w:b/>
          <w:color w:val="000000"/>
          <w:sz w:val="24"/>
          <w:szCs w:val="24"/>
        </w:rPr>
      </w:pPr>
      <w:r>
        <w:rPr>
          <w:rFonts w:ascii="Arial" w:hAnsi="Arial" w:cs="Arial"/>
          <w:b/>
          <w:sz w:val="20"/>
          <w:szCs w:val="20"/>
        </w:rPr>
        <w:t xml:space="preserve">Delivered: </w:t>
      </w:r>
      <w:r w:rsidR="00C352C2" w:rsidRPr="00C352C2">
        <w:rPr>
          <w:rFonts w:ascii="Arial" w:hAnsi="Arial" w:cs="Arial"/>
          <w:sz w:val="20"/>
          <w:szCs w:val="20"/>
        </w:rPr>
        <w:t xml:space="preserve">This judgment was handed down electronically by circulation to the parties’ legal representatives by e-mail. The date and time for hand-down is deemed to be 10h00 on </w:t>
      </w:r>
      <w:r w:rsidR="00E7062F">
        <w:rPr>
          <w:rFonts w:ascii="Arial" w:hAnsi="Arial" w:cs="Arial"/>
          <w:sz w:val="20"/>
          <w:szCs w:val="20"/>
        </w:rPr>
        <w:t>10</w:t>
      </w:r>
      <w:r w:rsidR="00C352C2">
        <w:rPr>
          <w:rFonts w:ascii="Arial" w:hAnsi="Arial" w:cs="Arial"/>
          <w:sz w:val="20"/>
          <w:szCs w:val="20"/>
        </w:rPr>
        <w:t xml:space="preserve"> May 2022</w:t>
      </w:r>
      <w:r w:rsidR="00C352C2" w:rsidRPr="00C352C2">
        <w:rPr>
          <w:rFonts w:ascii="Arial" w:hAnsi="Arial" w:cs="Arial"/>
          <w:sz w:val="20"/>
          <w:szCs w:val="20"/>
        </w:rPr>
        <w:t>.</w:t>
      </w:r>
    </w:p>
    <w:p w:rsidR="001660DB" w:rsidRDefault="003838EA" w:rsidP="009209AB">
      <w:pPr>
        <w:spacing w:before="240" w:line="360" w:lineRule="auto"/>
        <w:jc w:val="both"/>
        <w:rPr>
          <w:rFonts w:ascii="Arial" w:hAnsi="Arial" w:cs="Arial"/>
          <w:sz w:val="24"/>
          <w:szCs w:val="24"/>
        </w:rPr>
      </w:pPr>
      <w:r>
        <w:rPr>
          <w:rFonts w:ascii="Arial" w:hAnsi="Arial" w:cs="Arial"/>
          <w:sz w:val="24"/>
          <w:szCs w:val="24"/>
        </w:rPr>
        <w:lastRenderedPageBreak/>
        <w:t>[1</w:t>
      </w:r>
      <w:bookmarkStart w:id="0" w:name="_GoBack"/>
      <w:bookmarkEnd w:id="0"/>
      <w:r>
        <w:rPr>
          <w:rFonts w:ascii="Arial" w:hAnsi="Arial" w:cs="Arial"/>
          <w:sz w:val="24"/>
          <w:szCs w:val="24"/>
        </w:rPr>
        <w:t>]</w:t>
      </w:r>
      <w:r>
        <w:rPr>
          <w:rFonts w:ascii="Arial" w:hAnsi="Arial" w:cs="Arial"/>
          <w:sz w:val="24"/>
          <w:szCs w:val="24"/>
        </w:rPr>
        <w:tab/>
      </w:r>
      <w:r w:rsidR="001660DB">
        <w:rPr>
          <w:rFonts w:ascii="Arial" w:hAnsi="Arial" w:cs="Arial"/>
          <w:sz w:val="24"/>
          <w:szCs w:val="24"/>
        </w:rPr>
        <w:t xml:space="preserve">On 30 April 2022 the first and second applicants </w:t>
      </w:r>
      <w:r w:rsidR="009E31B8">
        <w:rPr>
          <w:rFonts w:ascii="Arial" w:hAnsi="Arial" w:cs="Arial"/>
          <w:sz w:val="24"/>
          <w:szCs w:val="24"/>
        </w:rPr>
        <w:t xml:space="preserve">approached </w:t>
      </w:r>
      <w:r w:rsidR="001660DB">
        <w:rPr>
          <w:rFonts w:ascii="Arial" w:hAnsi="Arial" w:cs="Arial"/>
          <w:sz w:val="24"/>
          <w:szCs w:val="24"/>
        </w:rPr>
        <w:t xml:space="preserve">this </w:t>
      </w:r>
      <w:r w:rsidR="009E31B8">
        <w:rPr>
          <w:rFonts w:ascii="Arial" w:hAnsi="Arial" w:cs="Arial"/>
          <w:sz w:val="24"/>
          <w:szCs w:val="24"/>
        </w:rPr>
        <w:t>court</w:t>
      </w:r>
      <w:r w:rsidR="008B7F89">
        <w:rPr>
          <w:rFonts w:ascii="Arial" w:hAnsi="Arial" w:cs="Arial"/>
          <w:sz w:val="24"/>
          <w:szCs w:val="24"/>
        </w:rPr>
        <w:t>,</w:t>
      </w:r>
      <w:r w:rsidR="009E31B8">
        <w:rPr>
          <w:rFonts w:ascii="Arial" w:hAnsi="Arial" w:cs="Arial"/>
          <w:sz w:val="24"/>
          <w:szCs w:val="24"/>
        </w:rPr>
        <w:t xml:space="preserve"> on an urgent basis</w:t>
      </w:r>
      <w:r w:rsidR="008B7F89">
        <w:rPr>
          <w:rFonts w:ascii="Arial" w:hAnsi="Arial" w:cs="Arial"/>
          <w:sz w:val="24"/>
          <w:szCs w:val="24"/>
        </w:rPr>
        <w:t>,</w:t>
      </w:r>
      <w:r w:rsidR="009E31B8">
        <w:rPr>
          <w:rFonts w:ascii="Arial" w:hAnsi="Arial" w:cs="Arial"/>
          <w:sz w:val="24"/>
          <w:szCs w:val="24"/>
        </w:rPr>
        <w:t xml:space="preserve"> seeking an interdict</w:t>
      </w:r>
      <w:r w:rsidR="001660DB">
        <w:rPr>
          <w:rFonts w:ascii="Arial" w:hAnsi="Arial" w:cs="Arial"/>
          <w:sz w:val="24"/>
          <w:szCs w:val="24"/>
        </w:rPr>
        <w:t xml:space="preserve">ory </w:t>
      </w:r>
      <w:r w:rsidR="009E31B8">
        <w:rPr>
          <w:rFonts w:ascii="Arial" w:hAnsi="Arial" w:cs="Arial"/>
          <w:sz w:val="24"/>
          <w:szCs w:val="24"/>
        </w:rPr>
        <w:t>order against the fir</w:t>
      </w:r>
      <w:r w:rsidR="008B7F89">
        <w:rPr>
          <w:rFonts w:ascii="Arial" w:hAnsi="Arial" w:cs="Arial"/>
          <w:sz w:val="24"/>
          <w:szCs w:val="24"/>
        </w:rPr>
        <w:t>st and second respondent</w:t>
      </w:r>
      <w:r w:rsidR="00CB7E62">
        <w:rPr>
          <w:rFonts w:ascii="Arial" w:hAnsi="Arial" w:cs="Arial"/>
          <w:sz w:val="24"/>
          <w:szCs w:val="24"/>
        </w:rPr>
        <w:t>s</w:t>
      </w:r>
      <w:r w:rsidR="009E31B8">
        <w:rPr>
          <w:rFonts w:ascii="Arial" w:hAnsi="Arial" w:cs="Arial"/>
          <w:sz w:val="24"/>
          <w:szCs w:val="24"/>
        </w:rPr>
        <w:t xml:space="preserve"> </w:t>
      </w:r>
      <w:r w:rsidR="008B7F89">
        <w:rPr>
          <w:rFonts w:ascii="Arial" w:hAnsi="Arial" w:cs="Arial"/>
          <w:sz w:val="24"/>
          <w:szCs w:val="24"/>
        </w:rPr>
        <w:t>(“the main application”).</w:t>
      </w:r>
      <w:r w:rsidR="001B737F">
        <w:rPr>
          <w:rFonts w:ascii="Arial" w:hAnsi="Arial" w:cs="Arial"/>
          <w:sz w:val="24"/>
          <w:szCs w:val="24"/>
        </w:rPr>
        <w:t xml:space="preserve"> </w:t>
      </w:r>
    </w:p>
    <w:p w:rsidR="008B7F89" w:rsidRDefault="003838EA" w:rsidP="007748A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748A6" w:rsidRPr="007748A6">
        <w:rPr>
          <w:rFonts w:ascii="Arial" w:hAnsi="Arial" w:cs="Arial"/>
          <w:sz w:val="24"/>
          <w:szCs w:val="24"/>
        </w:rPr>
        <w:t xml:space="preserve">The </w:t>
      </w:r>
      <w:r w:rsidR="008B7F89">
        <w:rPr>
          <w:rFonts w:ascii="Arial" w:hAnsi="Arial" w:cs="Arial"/>
          <w:sz w:val="24"/>
          <w:szCs w:val="24"/>
        </w:rPr>
        <w:t xml:space="preserve">court granted the said </w:t>
      </w:r>
      <w:r w:rsidR="007748A6" w:rsidRPr="007748A6">
        <w:rPr>
          <w:rFonts w:ascii="Arial" w:hAnsi="Arial" w:cs="Arial"/>
          <w:sz w:val="24"/>
          <w:szCs w:val="24"/>
        </w:rPr>
        <w:t>interdict</w:t>
      </w:r>
      <w:r w:rsidR="008B7F89">
        <w:rPr>
          <w:rFonts w:ascii="Arial" w:hAnsi="Arial" w:cs="Arial"/>
          <w:sz w:val="24"/>
          <w:szCs w:val="24"/>
        </w:rPr>
        <w:t>ory order which</w:t>
      </w:r>
      <w:r w:rsidR="007748A6" w:rsidRPr="007748A6">
        <w:rPr>
          <w:rFonts w:ascii="Arial" w:hAnsi="Arial" w:cs="Arial"/>
          <w:sz w:val="24"/>
          <w:szCs w:val="24"/>
        </w:rPr>
        <w:t xml:space="preserve"> prohibit</w:t>
      </w:r>
      <w:r w:rsidR="008B7F89">
        <w:rPr>
          <w:rFonts w:ascii="Arial" w:hAnsi="Arial" w:cs="Arial"/>
          <w:sz w:val="24"/>
          <w:szCs w:val="24"/>
        </w:rPr>
        <w:t>ed the</w:t>
      </w:r>
      <w:r w:rsidR="007748A6" w:rsidRPr="007748A6">
        <w:rPr>
          <w:rFonts w:ascii="Arial" w:hAnsi="Arial" w:cs="Arial"/>
          <w:sz w:val="24"/>
          <w:szCs w:val="24"/>
        </w:rPr>
        <w:t xml:space="preserve"> first and seco</w:t>
      </w:r>
      <w:r w:rsidR="007748A6">
        <w:rPr>
          <w:rFonts w:ascii="Arial" w:hAnsi="Arial" w:cs="Arial"/>
          <w:sz w:val="24"/>
          <w:szCs w:val="24"/>
        </w:rPr>
        <w:t xml:space="preserve">nd respondents </w:t>
      </w:r>
      <w:r w:rsidR="007748A6" w:rsidRPr="007748A6">
        <w:rPr>
          <w:rFonts w:ascii="Arial" w:hAnsi="Arial" w:cs="Arial"/>
          <w:sz w:val="24"/>
          <w:szCs w:val="24"/>
        </w:rPr>
        <w:t>from removing any movable propert</w:t>
      </w:r>
      <w:r w:rsidR="007748A6">
        <w:rPr>
          <w:rFonts w:ascii="Arial" w:hAnsi="Arial" w:cs="Arial"/>
          <w:sz w:val="24"/>
          <w:szCs w:val="24"/>
        </w:rPr>
        <w:t>y listed in an invoice</w:t>
      </w:r>
      <w:r w:rsidR="007748A6" w:rsidRPr="007748A6">
        <w:rPr>
          <w:rFonts w:ascii="Arial" w:hAnsi="Arial" w:cs="Arial"/>
          <w:sz w:val="24"/>
          <w:szCs w:val="24"/>
        </w:rPr>
        <w:t xml:space="preserve"> attached to the order as annexure “A”. </w:t>
      </w:r>
      <w:r w:rsidR="008B7F89">
        <w:rPr>
          <w:rFonts w:ascii="Arial" w:hAnsi="Arial" w:cs="Arial"/>
          <w:sz w:val="24"/>
          <w:szCs w:val="24"/>
        </w:rPr>
        <w:t>The f</w:t>
      </w:r>
      <w:r w:rsidR="007748A6" w:rsidRPr="007748A6">
        <w:rPr>
          <w:rFonts w:ascii="Arial" w:hAnsi="Arial" w:cs="Arial"/>
          <w:sz w:val="24"/>
          <w:szCs w:val="24"/>
        </w:rPr>
        <w:t>irst and second respondents were also interdicted and restrained from interfering with and/or obstructing the applicant</w:t>
      </w:r>
      <w:r w:rsidR="007748A6">
        <w:rPr>
          <w:rFonts w:ascii="Arial" w:hAnsi="Arial" w:cs="Arial"/>
          <w:sz w:val="24"/>
          <w:szCs w:val="24"/>
        </w:rPr>
        <w:t>s</w:t>
      </w:r>
      <w:r w:rsidR="007748A6" w:rsidRPr="007748A6">
        <w:rPr>
          <w:rFonts w:ascii="Arial" w:hAnsi="Arial" w:cs="Arial"/>
          <w:sz w:val="24"/>
          <w:szCs w:val="24"/>
        </w:rPr>
        <w:t xml:space="preserve"> accessing the properties referred to in the order, in an attempt to collect the movable property listed in the said Annexure “A”. </w:t>
      </w:r>
      <w:r w:rsidR="008B7F89" w:rsidRPr="007748A6">
        <w:rPr>
          <w:rFonts w:ascii="Arial" w:hAnsi="Arial" w:cs="Arial"/>
          <w:sz w:val="24"/>
          <w:szCs w:val="24"/>
        </w:rPr>
        <w:t>The order was to operate as an interim interdict with the return date of</w:t>
      </w:r>
      <w:r w:rsidR="008B7F89">
        <w:rPr>
          <w:rFonts w:ascii="Arial" w:hAnsi="Arial" w:cs="Arial"/>
          <w:sz w:val="24"/>
          <w:szCs w:val="24"/>
        </w:rPr>
        <w:t xml:space="preserve"> </w:t>
      </w:r>
      <w:r w:rsidR="008B7F89" w:rsidRPr="007748A6">
        <w:rPr>
          <w:rFonts w:ascii="Arial" w:hAnsi="Arial" w:cs="Arial"/>
          <w:sz w:val="24"/>
          <w:szCs w:val="24"/>
        </w:rPr>
        <w:t>19 July 2022. The order was</w:t>
      </w:r>
      <w:r w:rsidR="008B7F89">
        <w:rPr>
          <w:rFonts w:ascii="Arial" w:hAnsi="Arial" w:cs="Arial"/>
          <w:sz w:val="24"/>
          <w:szCs w:val="24"/>
        </w:rPr>
        <w:t>,</w:t>
      </w:r>
      <w:r w:rsidR="008B7F89" w:rsidRPr="007748A6">
        <w:rPr>
          <w:rFonts w:ascii="Arial" w:hAnsi="Arial" w:cs="Arial"/>
          <w:sz w:val="24"/>
          <w:szCs w:val="24"/>
        </w:rPr>
        <w:t xml:space="preserve"> therefore</w:t>
      </w:r>
      <w:r w:rsidR="008B7F89">
        <w:rPr>
          <w:rFonts w:ascii="Arial" w:hAnsi="Arial" w:cs="Arial"/>
          <w:sz w:val="24"/>
          <w:szCs w:val="24"/>
        </w:rPr>
        <w:t>,</w:t>
      </w:r>
      <w:r w:rsidR="008B7F89" w:rsidRPr="007748A6">
        <w:rPr>
          <w:rFonts w:ascii="Arial" w:hAnsi="Arial" w:cs="Arial"/>
          <w:sz w:val="24"/>
          <w:szCs w:val="24"/>
        </w:rPr>
        <w:t xml:space="preserve"> in essence a rule </w:t>
      </w:r>
      <w:r w:rsidR="008B7F89" w:rsidRPr="009E31B8">
        <w:rPr>
          <w:rFonts w:ascii="Arial" w:hAnsi="Arial" w:cs="Arial"/>
          <w:i/>
          <w:sz w:val="24"/>
          <w:szCs w:val="24"/>
        </w:rPr>
        <w:t>nisi</w:t>
      </w:r>
      <w:r w:rsidR="008B7F89" w:rsidRPr="007748A6">
        <w:rPr>
          <w:rFonts w:ascii="Arial" w:hAnsi="Arial" w:cs="Arial"/>
          <w:sz w:val="24"/>
          <w:szCs w:val="24"/>
        </w:rPr>
        <w:t xml:space="preserve">. </w:t>
      </w:r>
    </w:p>
    <w:p w:rsidR="00D95FF1" w:rsidRDefault="003838EA" w:rsidP="007748A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B7F89" w:rsidRPr="007748A6">
        <w:rPr>
          <w:rFonts w:ascii="Arial" w:hAnsi="Arial" w:cs="Arial"/>
          <w:sz w:val="24"/>
          <w:szCs w:val="24"/>
        </w:rPr>
        <w:t xml:space="preserve">The </w:t>
      </w:r>
      <w:r w:rsidR="008B7F89">
        <w:rPr>
          <w:rFonts w:ascii="Arial" w:hAnsi="Arial" w:cs="Arial"/>
          <w:sz w:val="24"/>
          <w:szCs w:val="24"/>
        </w:rPr>
        <w:t xml:space="preserve">first </w:t>
      </w:r>
      <w:r w:rsidR="00CB7E62">
        <w:rPr>
          <w:rFonts w:ascii="Arial" w:hAnsi="Arial" w:cs="Arial"/>
          <w:sz w:val="24"/>
          <w:szCs w:val="24"/>
        </w:rPr>
        <w:t xml:space="preserve">and second </w:t>
      </w:r>
      <w:r w:rsidR="008B7F89">
        <w:rPr>
          <w:rFonts w:ascii="Arial" w:hAnsi="Arial" w:cs="Arial"/>
          <w:sz w:val="24"/>
          <w:szCs w:val="24"/>
        </w:rPr>
        <w:t>respondent</w:t>
      </w:r>
      <w:r w:rsidR="00CB7E62">
        <w:rPr>
          <w:rFonts w:ascii="Arial" w:hAnsi="Arial" w:cs="Arial"/>
          <w:sz w:val="24"/>
          <w:szCs w:val="24"/>
        </w:rPr>
        <w:t>s</w:t>
      </w:r>
      <w:r w:rsidR="008B7F89">
        <w:rPr>
          <w:rFonts w:ascii="Arial" w:hAnsi="Arial" w:cs="Arial"/>
          <w:sz w:val="24"/>
          <w:szCs w:val="24"/>
        </w:rPr>
        <w:t xml:space="preserve"> (as applicant</w:t>
      </w:r>
      <w:r w:rsidR="00CB7E62">
        <w:rPr>
          <w:rFonts w:ascii="Arial" w:hAnsi="Arial" w:cs="Arial"/>
          <w:sz w:val="24"/>
          <w:szCs w:val="24"/>
        </w:rPr>
        <w:t>s</w:t>
      </w:r>
      <w:r w:rsidR="008B7F89">
        <w:rPr>
          <w:rFonts w:ascii="Arial" w:hAnsi="Arial" w:cs="Arial"/>
          <w:sz w:val="24"/>
          <w:szCs w:val="24"/>
        </w:rPr>
        <w:t xml:space="preserve">) </w:t>
      </w:r>
      <w:r w:rsidR="00CB7E62">
        <w:rPr>
          <w:rFonts w:ascii="Arial" w:hAnsi="Arial" w:cs="Arial"/>
          <w:sz w:val="24"/>
          <w:szCs w:val="24"/>
        </w:rPr>
        <w:t>are</w:t>
      </w:r>
      <w:r w:rsidR="008B7F89">
        <w:rPr>
          <w:rFonts w:ascii="Arial" w:hAnsi="Arial" w:cs="Arial"/>
          <w:sz w:val="24"/>
          <w:szCs w:val="24"/>
        </w:rPr>
        <w:t xml:space="preserve"> now before this court having anticipated the </w:t>
      </w:r>
      <w:r w:rsidR="008B7F89" w:rsidRPr="007748A6">
        <w:rPr>
          <w:rFonts w:ascii="Arial" w:hAnsi="Arial" w:cs="Arial"/>
          <w:sz w:val="24"/>
          <w:szCs w:val="24"/>
        </w:rPr>
        <w:t xml:space="preserve">rule </w:t>
      </w:r>
      <w:r w:rsidR="008B7F89" w:rsidRPr="009E31B8">
        <w:rPr>
          <w:rFonts w:ascii="Arial" w:hAnsi="Arial" w:cs="Arial"/>
          <w:i/>
          <w:sz w:val="24"/>
          <w:szCs w:val="24"/>
        </w:rPr>
        <w:t>nisi</w:t>
      </w:r>
      <w:r w:rsidR="008B7F89" w:rsidRPr="007748A6">
        <w:rPr>
          <w:rFonts w:ascii="Arial" w:hAnsi="Arial" w:cs="Arial"/>
          <w:sz w:val="24"/>
          <w:szCs w:val="24"/>
        </w:rPr>
        <w:t xml:space="preserve"> </w:t>
      </w:r>
      <w:r w:rsidR="008B7F89">
        <w:rPr>
          <w:rFonts w:ascii="Arial" w:hAnsi="Arial" w:cs="Arial"/>
          <w:sz w:val="24"/>
          <w:szCs w:val="24"/>
        </w:rPr>
        <w:t>and</w:t>
      </w:r>
      <w:r w:rsidR="008B7F89" w:rsidRPr="007748A6">
        <w:rPr>
          <w:rFonts w:ascii="Arial" w:hAnsi="Arial" w:cs="Arial"/>
          <w:sz w:val="24"/>
          <w:szCs w:val="24"/>
        </w:rPr>
        <w:t xml:space="preserve"> enrolled </w:t>
      </w:r>
      <w:r w:rsidR="008B7F89">
        <w:rPr>
          <w:rFonts w:ascii="Arial" w:hAnsi="Arial" w:cs="Arial"/>
          <w:sz w:val="24"/>
          <w:szCs w:val="24"/>
        </w:rPr>
        <w:t xml:space="preserve">the matter </w:t>
      </w:r>
      <w:r w:rsidR="008B7F89" w:rsidRPr="007748A6">
        <w:rPr>
          <w:rFonts w:ascii="Arial" w:hAnsi="Arial" w:cs="Arial"/>
          <w:sz w:val="24"/>
          <w:szCs w:val="24"/>
        </w:rPr>
        <w:t>for hearing in the urgent court on 5 May 2022</w:t>
      </w:r>
      <w:r w:rsidR="008B7F89">
        <w:rPr>
          <w:rFonts w:ascii="Arial" w:hAnsi="Arial" w:cs="Arial"/>
          <w:sz w:val="24"/>
          <w:szCs w:val="24"/>
        </w:rPr>
        <w:t xml:space="preserve"> for the reconsideration of the </w:t>
      </w:r>
      <w:r w:rsidR="003015BD">
        <w:rPr>
          <w:rFonts w:ascii="Arial" w:hAnsi="Arial" w:cs="Arial"/>
          <w:sz w:val="24"/>
          <w:szCs w:val="24"/>
        </w:rPr>
        <w:t>order granted on 30 April 2022.</w:t>
      </w:r>
    </w:p>
    <w:p w:rsidR="00F64717" w:rsidRDefault="003838EA" w:rsidP="007748A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64717">
        <w:rPr>
          <w:rFonts w:ascii="Arial" w:hAnsi="Arial" w:cs="Arial"/>
          <w:sz w:val="24"/>
          <w:szCs w:val="24"/>
        </w:rPr>
        <w:t xml:space="preserve">Appearing </w:t>
      </w:r>
      <w:r w:rsidR="006C12E9">
        <w:rPr>
          <w:rFonts w:ascii="Arial" w:hAnsi="Arial" w:cs="Arial"/>
          <w:sz w:val="24"/>
          <w:szCs w:val="24"/>
        </w:rPr>
        <w:t>in this court</w:t>
      </w:r>
      <w:r w:rsidR="00F64717">
        <w:rPr>
          <w:rFonts w:ascii="Arial" w:hAnsi="Arial" w:cs="Arial"/>
          <w:sz w:val="24"/>
          <w:szCs w:val="24"/>
        </w:rPr>
        <w:t xml:space="preserve"> is Mr Basson, counsel for the first and second applicants; Mr Du Plessis (SC), counsel for the first and second respondents and Mr Van der Merwe, counsel for the third respondent.</w:t>
      </w:r>
    </w:p>
    <w:p w:rsidR="002C1158" w:rsidRDefault="003838EA" w:rsidP="007748A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6A1F29">
        <w:rPr>
          <w:rFonts w:ascii="Arial" w:hAnsi="Arial" w:cs="Arial"/>
          <w:sz w:val="24"/>
          <w:szCs w:val="24"/>
        </w:rPr>
        <w:t>The relief sough</w:t>
      </w:r>
      <w:r w:rsidR="004E106C">
        <w:rPr>
          <w:rFonts w:ascii="Arial" w:hAnsi="Arial" w:cs="Arial"/>
          <w:sz w:val="24"/>
          <w:szCs w:val="24"/>
        </w:rPr>
        <w:t xml:space="preserve">t by the </w:t>
      </w:r>
      <w:r w:rsidR="006A1F29">
        <w:rPr>
          <w:rFonts w:ascii="Arial" w:hAnsi="Arial" w:cs="Arial"/>
          <w:sz w:val="24"/>
          <w:szCs w:val="24"/>
        </w:rPr>
        <w:t xml:space="preserve">first </w:t>
      </w:r>
      <w:r w:rsidR="004E106C">
        <w:rPr>
          <w:rFonts w:ascii="Arial" w:hAnsi="Arial" w:cs="Arial"/>
          <w:sz w:val="24"/>
          <w:szCs w:val="24"/>
        </w:rPr>
        <w:t xml:space="preserve">and second </w:t>
      </w:r>
      <w:r w:rsidR="006A1F29">
        <w:rPr>
          <w:rFonts w:ascii="Arial" w:hAnsi="Arial" w:cs="Arial"/>
          <w:sz w:val="24"/>
          <w:szCs w:val="24"/>
        </w:rPr>
        <w:t>respondent</w:t>
      </w:r>
      <w:r w:rsidR="00F64717">
        <w:rPr>
          <w:rFonts w:ascii="Arial" w:hAnsi="Arial" w:cs="Arial"/>
          <w:sz w:val="24"/>
          <w:szCs w:val="24"/>
        </w:rPr>
        <w:t>s</w:t>
      </w:r>
      <w:r w:rsidR="004E106C">
        <w:rPr>
          <w:rFonts w:ascii="Arial" w:hAnsi="Arial" w:cs="Arial"/>
          <w:sz w:val="24"/>
          <w:szCs w:val="24"/>
        </w:rPr>
        <w:t>,</w:t>
      </w:r>
      <w:r w:rsidR="006A1F29">
        <w:rPr>
          <w:rFonts w:ascii="Arial" w:hAnsi="Arial" w:cs="Arial"/>
          <w:sz w:val="24"/>
          <w:szCs w:val="24"/>
        </w:rPr>
        <w:t xml:space="preserve"> is set out </w:t>
      </w:r>
      <w:r w:rsidR="004E106C">
        <w:rPr>
          <w:rFonts w:ascii="Arial" w:hAnsi="Arial" w:cs="Arial"/>
          <w:sz w:val="24"/>
          <w:szCs w:val="24"/>
        </w:rPr>
        <w:t>in the</w:t>
      </w:r>
      <w:r w:rsidR="006A1F29">
        <w:rPr>
          <w:rFonts w:ascii="Arial" w:hAnsi="Arial" w:cs="Arial"/>
          <w:sz w:val="24"/>
          <w:szCs w:val="24"/>
        </w:rPr>
        <w:t xml:space="preserve"> follow</w:t>
      </w:r>
      <w:r w:rsidR="004E106C">
        <w:rPr>
          <w:rFonts w:ascii="Arial" w:hAnsi="Arial" w:cs="Arial"/>
          <w:sz w:val="24"/>
          <w:szCs w:val="24"/>
        </w:rPr>
        <w:t>ing terms</w:t>
      </w:r>
      <w:r w:rsidR="006A1F29">
        <w:rPr>
          <w:rFonts w:ascii="Arial" w:hAnsi="Arial" w:cs="Arial"/>
          <w:sz w:val="24"/>
          <w:szCs w:val="24"/>
        </w:rPr>
        <w:t>:</w:t>
      </w:r>
    </w:p>
    <w:p w:rsidR="006A1F29" w:rsidRDefault="006A1F29" w:rsidP="004E106C">
      <w:pPr>
        <w:spacing w:line="360" w:lineRule="auto"/>
        <w:ind w:firstLine="720"/>
        <w:jc w:val="center"/>
        <w:rPr>
          <w:rFonts w:ascii="Arial" w:hAnsi="Arial" w:cs="Arial"/>
          <w:b/>
          <w:sz w:val="24"/>
          <w:szCs w:val="24"/>
        </w:rPr>
      </w:pPr>
      <w:r>
        <w:rPr>
          <w:rFonts w:ascii="Arial" w:hAnsi="Arial" w:cs="Arial"/>
          <w:sz w:val="24"/>
          <w:szCs w:val="24"/>
        </w:rPr>
        <w:t>“</w:t>
      </w:r>
      <w:r w:rsidR="004E106C">
        <w:rPr>
          <w:rFonts w:ascii="Arial" w:hAnsi="Arial" w:cs="Arial"/>
          <w:b/>
          <w:sz w:val="24"/>
          <w:szCs w:val="24"/>
        </w:rPr>
        <w:t xml:space="preserve">NOTICE IN TERMS OF RULE 6(12)(C) AND NOTICE OF ANTICIPATION OF THE RULE </w:t>
      </w:r>
      <w:r w:rsidR="004E106C" w:rsidRPr="00CB7E62">
        <w:rPr>
          <w:rFonts w:ascii="Arial" w:hAnsi="Arial" w:cs="Arial"/>
          <w:b/>
          <w:i/>
          <w:sz w:val="24"/>
          <w:szCs w:val="24"/>
        </w:rPr>
        <w:t>NISI</w:t>
      </w:r>
    </w:p>
    <w:p w:rsidR="004E106C" w:rsidRDefault="004E106C" w:rsidP="004E106C">
      <w:pPr>
        <w:spacing w:line="360" w:lineRule="auto"/>
        <w:ind w:left="720"/>
        <w:jc w:val="both"/>
        <w:rPr>
          <w:rFonts w:ascii="Arial" w:hAnsi="Arial" w:cs="Arial"/>
          <w:b/>
          <w:sz w:val="24"/>
          <w:szCs w:val="24"/>
        </w:rPr>
      </w:pPr>
      <w:r>
        <w:rPr>
          <w:rFonts w:ascii="Arial" w:hAnsi="Arial" w:cs="Arial"/>
          <w:b/>
          <w:sz w:val="24"/>
          <w:szCs w:val="24"/>
        </w:rPr>
        <w:t>PLEASE TAKE NOTICE</w:t>
      </w:r>
      <w:r w:rsidR="003015BD">
        <w:rPr>
          <w:rFonts w:ascii="Arial" w:hAnsi="Arial" w:cs="Arial"/>
          <w:sz w:val="24"/>
          <w:szCs w:val="24"/>
        </w:rPr>
        <w:t xml:space="preserve"> that First and S</w:t>
      </w:r>
      <w:r>
        <w:rPr>
          <w:rFonts w:ascii="Arial" w:hAnsi="Arial" w:cs="Arial"/>
          <w:sz w:val="24"/>
          <w:szCs w:val="24"/>
        </w:rPr>
        <w:t xml:space="preserve">econd respondents in this matter apply for </w:t>
      </w:r>
      <w:r w:rsidR="003015BD">
        <w:rPr>
          <w:rFonts w:ascii="Arial" w:hAnsi="Arial" w:cs="Arial"/>
          <w:sz w:val="24"/>
          <w:szCs w:val="24"/>
        </w:rPr>
        <w:t xml:space="preserve">the application to be </w:t>
      </w:r>
      <w:r>
        <w:rPr>
          <w:rFonts w:ascii="Arial" w:hAnsi="Arial" w:cs="Arial"/>
          <w:sz w:val="24"/>
          <w:szCs w:val="24"/>
        </w:rPr>
        <w:t>reconsider</w:t>
      </w:r>
      <w:r w:rsidR="003015BD">
        <w:rPr>
          <w:rFonts w:ascii="Arial" w:hAnsi="Arial" w:cs="Arial"/>
          <w:sz w:val="24"/>
          <w:szCs w:val="24"/>
        </w:rPr>
        <w:t xml:space="preserve">ed </w:t>
      </w:r>
      <w:r>
        <w:rPr>
          <w:rFonts w:ascii="Arial" w:hAnsi="Arial" w:cs="Arial"/>
          <w:sz w:val="24"/>
          <w:szCs w:val="24"/>
        </w:rPr>
        <w:t xml:space="preserve">in terms of rule 6(12)(c) of the rules of the above Honourable Court, after the rule </w:t>
      </w:r>
      <w:r w:rsidRPr="003015BD">
        <w:rPr>
          <w:rFonts w:ascii="Arial" w:hAnsi="Arial" w:cs="Arial"/>
          <w:i/>
          <w:sz w:val="24"/>
          <w:szCs w:val="24"/>
        </w:rPr>
        <w:t>nisi</w:t>
      </w:r>
      <w:r>
        <w:rPr>
          <w:rFonts w:ascii="Arial" w:hAnsi="Arial" w:cs="Arial"/>
          <w:sz w:val="24"/>
          <w:szCs w:val="24"/>
        </w:rPr>
        <w:t xml:space="preserve"> in this matter was granted in the absence of the </w:t>
      </w:r>
      <w:r w:rsidR="003015BD">
        <w:rPr>
          <w:rFonts w:ascii="Arial" w:hAnsi="Arial" w:cs="Arial"/>
          <w:sz w:val="24"/>
          <w:szCs w:val="24"/>
        </w:rPr>
        <w:t>First and S</w:t>
      </w:r>
      <w:r>
        <w:rPr>
          <w:rFonts w:ascii="Arial" w:hAnsi="Arial" w:cs="Arial"/>
          <w:sz w:val="24"/>
          <w:szCs w:val="24"/>
        </w:rPr>
        <w:t>econd respondent</w:t>
      </w:r>
      <w:r w:rsidR="003015BD">
        <w:rPr>
          <w:rFonts w:ascii="Arial" w:hAnsi="Arial" w:cs="Arial"/>
          <w:sz w:val="24"/>
          <w:szCs w:val="24"/>
        </w:rPr>
        <w:t>s, and that F</w:t>
      </w:r>
      <w:r>
        <w:rPr>
          <w:rFonts w:ascii="Arial" w:hAnsi="Arial" w:cs="Arial"/>
          <w:sz w:val="24"/>
          <w:szCs w:val="24"/>
        </w:rPr>
        <w:t xml:space="preserve">irst and </w:t>
      </w:r>
      <w:r w:rsidR="003015BD">
        <w:rPr>
          <w:rFonts w:ascii="Arial" w:hAnsi="Arial" w:cs="Arial"/>
          <w:sz w:val="24"/>
          <w:szCs w:val="24"/>
        </w:rPr>
        <w:t>S</w:t>
      </w:r>
      <w:r>
        <w:rPr>
          <w:rFonts w:ascii="Arial" w:hAnsi="Arial" w:cs="Arial"/>
          <w:sz w:val="24"/>
          <w:szCs w:val="24"/>
        </w:rPr>
        <w:t xml:space="preserve">econd respondents also give notice of anticipation of the return date of the rule </w:t>
      </w:r>
      <w:r w:rsidRPr="003015BD">
        <w:rPr>
          <w:rFonts w:ascii="Arial" w:hAnsi="Arial" w:cs="Arial"/>
          <w:i/>
          <w:sz w:val="24"/>
          <w:szCs w:val="24"/>
        </w:rPr>
        <w:t>nisi</w:t>
      </w:r>
      <w:r>
        <w:rPr>
          <w:rFonts w:ascii="Arial" w:hAnsi="Arial" w:cs="Arial"/>
          <w:sz w:val="24"/>
          <w:szCs w:val="24"/>
        </w:rPr>
        <w:t xml:space="preserve">, to </w:t>
      </w:r>
      <w:r>
        <w:rPr>
          <w:rFonts w:ascii="Arial" w:hAnsi="Arial" w:cs="Arial"/>
          <w:b/>
          <w:sz w:val="24"/>
          <w:szCs w:val="24"/>
        </w:rPr>
        <w:t xml:space="preserve">Thursday, </w:t>
      </w:r>
      <w:r>
        <w:rPr>
          <w:rFonts w:ascii="Arial" w:hAnsi="Arial" w:cs="Arial"/>
          <w:sz w:val="24"/>
          <w:szCs w:val="24"/>
        </w:rPr>
        <w:t xml:space="preserve">the </w:t>
      </w:r>
      <w:r>
        <w:rPr>
          <w:rFonts w:ascii="Arial" w:hAnsi="Arial" w:cs="Arial"/>
          <w:b/>
          <w:sz w:val="24"/>
          <w:szCs w:val="24"/>
        </w:rPr>
        <w:t>5</w:t>
      </w:r>
      <w:r w:rsidRPr="004E106C">
        <w:rPr>
          <w:rFonts w:ascii="Arial" w:hAnsi="Arial" w:cs="Arial"/>
          <w:b/>
          <w:sz w:val="24"/>
          <w:szCs w:val="24"/>
          <w:vertAlign w:val="superscript"/>
        </w:rPr>
        <w:t>th</w:t>
      </w:r>
      <w:r>
        <w:rPr>
          <w:rFonts w:ascii="Arial" w:hAnsi="Arial" w:cs="Arial"/>
          <w:b/>
          <w:sz w:val="24"/>
          <w:szCs w:val="24"/>
        </w:rPr>
        <w:t xml:space="preserve"> </w:t>
      </w:r>
      <w:r>
        <w:rPr>
          <w:rFonts w:ascii="Arial" w:hAnsi="Arial" w:cs="Arial"/>
          <w:sz w:val="24"/>
          <w:szCs w:val="24"/>
        </w:rPr>
        <w:t xml:space="preserve">of </w:t>
      </w:r>
      <w:r>
        <w:rPr>
          <w:rFonts w:ascii="Arial" w:hAnsi="Arial" w:cs="Arial"/>
          <w:b/>
          <w:sz w:val="24"/>
          <w:szCs w:val="24"/>
        </w:rPr>
        <w:t xml:space="preserve">May 2022 </w:t>
      </w:r>
      <w:r>
        <w:rPr>
          <w:rFonts w:ascii="Arial" w:hAnsi="Arial" w:cs="Arial"/>
          <w:sz w:val="24"/>
          <w:szCs w:val="24"/>
        </w:rPr>
        <w:t xml:space="preserve">at </w:t>
      </w:r>
      <w:r>
        <w:rPr>
          <w:rFonts w:ascii="Arial" w:hAnsi="Arial" w:cs="Arial"/>
          <w:b/>
          <w:sz w:val="24"/>
          <w:szCs w:val="24"/>
        </w:rPr>
        <w:t>14h00.</w:t>
      </w:r>
    </w:p>
    <w:p w:rsidR="003015BD" w:rsidRDefault="004E106C" w:rsidP="004E106C">
      <w:pPr>
        <w:spacing w:line="360" w:lineRule="auto"/>
        <w:ind w:left="720"/>
        <w:jc w:val="both"/>
        <w:rPr>
          <w:rFonts w:ascii="Arial" w:hAnsi="Arial" w:cs="Arial"/>
          <w:sz w:val="24"/>
          <w:szCs w:val="24"/>
        </w:rPr>
      </w:pPr>
      <w:r>
        <w:rPr>
          <w:rFonts w:ascii="Arial" w:hAnsi="Arial" w:cs="Arial"/>
          <w:sz w:val="24"/>
          <w:szCs w:val="24"/>
        </w:rPr>
        <w:lastRenderedPageBreak/>
        <w:t xml:space="preserve">An order will also be sought for the return of any assets that have been removed by applicants. A draft order in this regard will </w:t>
      </w:r>
      <w:r w:rsidR="003015BD">
        <w:rPr>
          <w:rFonts w:ascii="Arial" w:hAnsi="Arial" w:cs="Arial"/>
          <w:sz w:val="24"/>
          <w:szCs w:val="24"/>
        </w:rPr>
        <w:t>be presented to the court.</w:t>
      </w:r>
    </w:p>
    <w:p w:rsidR="003015BD" w:rsidRDefault="003015BD" w:rsidP="004E106C">
      <w:pPr>
        <w:spacing w:line="360" w:lineRule="auto"/>
        <w:ind w:left="720"/>
        <w:jc w:val="both"/>
        <w:rPr>
          <w:rFonts w:ascii="Arial" w:hAnsi="Arial" w:cs="Arial"/>
          <w:sz w:val="24"/>
          <w:szCs w:val="24"/>
        </w:rPr>
      </w:pPr>
      <w:r>
        <w:rPr>
          <w:rFonts w:ascii="Arial" w:hAnsi="Arial" w:cs="Arial"/>
          <w:b/>
          <w:sz w:val="24"/>
          <w:szCs w:val="24"/>
        </w:rPr>
        <w:t xml:space="preserve">PLEASE TAKE NOTICE </w:t>
      </w:r>
      <w:r>
        <w:rPr>
          <w:rFonts w:ascii="Arial" w:hAnsi="Arial" w:cs="Arial"/>
          <w:sz w:val="24"/>
          <w:szCs w:val="24"/>
        </w:rPr>
        <w:t>that the answering affidavit of (?) filed in answer to the application of the applicants will be used in support of this application.</w:t>
      </w:r>
    </w:p>
    <w:p w:rsidR="00810F86" w:rsidRPr="006C12E9" w:rsidRDefault="003015BD" w:rsidP="006C12E9">
      <w:pPr>
        <w:spacing w:line="360" w:lineRule="auto"/>
        <w:ind w:left="720"/>
        <w:jc w:val="both"/>
        <w:rPr>
          <w:rFonts w:ascii="Arial" w:hAnsi="Arial" w:cs="Arial"/>
          <w:b/>
          <w:sz w:val="24"/>
          <w:szCs w:val="24"/>
        </w:rPr>
      </w:pPr>
      <w:r>
        <w:rPr>
          <w:rFonts w:ascii="Arial" w:hAnsi="Arial" w:cs="Arial"/>
          <w:b/>
          <w:sz w:val="24"/>
          <w:szCs w:val="24"/>
        </w:rPr>
        <w:t xml:space="preserve">KINDLY </w:t>
      </w:r>
      <w:r>
        <w:rPr>
          <w:rFonts w:ascii="Arial" w:hAnsi="Arial" w:cs="Arial"/>
          <w:sz w:val="24"/>
          <w:szCs w:val="24"/>
        </w:rPr>
        <w:t xml:space="preserve">enrol this application to be heard on an opposed urgent basis in the urgent court on </w:t>
      </w:r>
      <w:r>
        <w:rPr>
          <w:rFonts w:ascii="Arial" w:hAnsi="Arial" w:cs="Arial"/>
          <w:b/>
          <w:sz w:val="24"/>
          <w:szCs w:val="24"/>
        </w:rPr>
        <w:t>5 May 2022</w:t>
      </w:r>
      <w:r>
        <w:rPr>
          <w:rFonts w:ascii="Arial" w:hAnsi="Arial" w:cs="Arial"/>
          <w:sz w:val="24"/>
          <w:szCs w:val="24"/>
        </w:rPr>
        <w:t>”</w:t>
      </w:r>
      <w:r w:rsidR="004E106C">
        <w:rPr>
          <w:rFonts w:ascii="Arial" w:hAnsi="Arial" w:cs="Arial"/>
          <w:sz w:val="24"/>
          <w:szCs w:val="24"/>
        </w:rPr>
        <w:t xml:space="preserve"> </w:t>
      </w:r>
      <w:r w:rsidR="004E106C">
        <w:rPr>
          <w:rFonts w:ascii="Arial" w:hAnsi="Arial" w:cs="Arial"/>
          <w:b/>
          <w:sz w:val="24"/>
          <w:szCs w:val="24"/>
        </w:rPr>
        <w:tab/>
      </w:r>
    </w:p>
    <w:p w:rsidR="0056589A" w:rsidRDefault="003838EA" w:rsidP="006C0E4F">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56589A">
        <w:rPr>
          <w:rFonts w:ascii="Arial" w:hAnsi="Arial" w:cs="Arial"/>
          <w:sz w:val="24"/>
          <w:szCs w:val="24"/>
        </w:rPr>
        <w:t xml:space="preserve">Two main questions that ought to be determined is whether the provisions of Uniform Rules 8 and 6 (12) (c) find application in the circumstances of this case. That is, whether the return date </w:t>
      </w:r>
      <w:r w:rsidR="00CB7E62">
        <w:rPr>
          <w:rFonts w:ascii="Arial" w:hAnsi="Arial" w:cs="Arial"/>
          <w:sz w:val="24"/>
          <w:szCs w:val="24"/>
        </w:rPr>
        <w:t xml:space="preserve">of the rule </w:t>
      </w:r>
      <w:r w:rsidR="00CB7E62" w:rsidRPr="00CB7E62">
        <w:rPr>
          <w:rFonts w:ascii="Arial" w:hAnsi="Arial" w:cs="Arial"/>
          <w:i/>
          <w:sz w:val="24"/>
          <w:szCs w:val="24"/>
        </w:rPr>
        <w:t>nisi</w:t>
      </w:r>
      <w:r w:rsidR="00CB7E62">
        <w:rPr>
          <w:rFonts w:ascii="Arial" w:hAnsi="Arial" w:cs="Arial"/>
          <w:sz w:val="24"/>
          <w:szCs w:val="24"/>
        </w:rPr>
        <w:t xml:space="preserve"> </w:t>
      </w:r>
      <w:r w:rsidR="0056589A">
        <w:rPr>
          <w:rFonts w:ascii="Arial" w:hAnsi="Arial" w:cs="Arial"/>
          <w:sz w:val="24"/>
          <w:szCs w:val="24"/>
        </w:rPr>
        <w:t xml:space="preserve">can be anticipated and whether the order </w:t>
      </w:r>
      <w:r w:rsidR="00CB7E62">
        <w:rPr>
          <w:rFonts w:ascii="Arial" w:hAnsi="Arial" w:cs="Arial"/>
          <w:sz w:val="24"/>
          <w:szCs w:val="24"/>
        </w:rPr>
        <w:t xml:space="preserve">granted </w:t>
      </w:r>
      <w:r w:rsidR="0056589A">
        <w:rPr>
          <w:rFonts w:ascii="Arial" w:hAnsi="Arial" w:cs="Arial"/>
          <w:sz w:val="24"/>
          <w:szCs w:val="24"/>
        </w:rPr>
        <w:t>can be reconsidered by this court.</w:t>
      </w:r>
    </w:p>
    <w:p w:rsidR="009C5EDB" w:rsidRDefault="003838EA" w:rsidP="009C5EDB">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9C5EDB">
        <w:rPr>
          <w:rFonts w:ascii="Arial" w:hAnsi="Arial" w:cs="Arial"/>
          <w:sz w:val="24"/>
          <w:szCs w:val="24"/>
        </w:rPr>
        <w:t xml:space="preserve">It </w:t>
      </w:r>
      <w:r w:rsidR="00CB7E62">
        <w:rPr>
          <w:rFonts w:ascii="Arial" w:hAnsi="Arial" w:cs="Arial"/>
          <w:sz w:val="24"/>
          <w:szCs w:val="24"/>
        </w:rPr>
        <w:t xml:space="preserve">is </w:t>
      </w:r>
      <w:r w:rsidR="006C12E9">
        <w:rPr>
          <w:rFonts w:ascii="Arial" w:hAnsi="Arial" w:cs="Arial"/>
          <w:sz w:val="24"/>
          <w:szCs w:val="24"/>
        </w:rPr>
        <w:t>th</w:t>
      </w:r>
      <w:r w:rsidR="009C5EDB">
        <w:rPr>
          <w:rFonts w:ascii="Arial" w:hAnsi="Arial" w:cs="Arial"/>
          <w:sz w:val="24"/>
          <w:szCs w:val="24"/>
        </w:rPr>
        <w:t xml:space="preserve">is </w:t>
      </w:r>
      <w:r w:rsidR="006C12E9">
        <w:rPr>
          <w:rFonts w:ascii="Arial" w:hAnsi="Arial" w:cs="Arial"/>
          <w:sz w:val="24"/>
          <w:szCs w:val="24"/>
        </w:rPr>
        <w:t>court’s</w:t>
      </w:r>
      <w:r w:rsidR="009C5EDB">
        <w:rPr>
          <w:rFonts w:ascii="Arial" w:hAnsi="Arial" w:cs="Arial"/>
          <w:sz w:val="24"/>
          <w:szCs w:val="24"/>
        </w:rPr>
        <w:t xml:space="preserve"> view that in the order of things</w:t>
      </w:r>
      <w:r w:rsidR="00CB7E62">
        <w:rPr>
          <w:rFonts w:ascii="Arial" w:hAnsi="Arial" w:cs="Arial"/>
          <w:sz w:val="24"/>
          <w:szCs w:val="24"/>
        </w:rPr>
        <w:t>,</w:t>
      </w:r>
      <w:r w:rsidR="009C5EDB">
        <w:rPr>
          <w:rFonts w:ascii="Arial" w:hAnsi="Arial" w:cs="Arial"/>
          <w:sz w:val="24"/>
          <w:szCs w:val="24"/>
        </w:rPr>
        <w:t xml:space="preserve"> the anticipation application </w:t>
      </w:r>
      <w:r w:rsidR="006C12E9">
        <w:rPr>
          <w:rFonts w:ascii="Arial" w:hAnsi="Arial" w:cs="Arial"/>
          <w:sz w:val="24"/>
          <w:szCs w:val="24"/>
        </w:rPr>
        <w:t xml:space="preserve">ought to be considered before </w:t>
      </w:r>
      <w:r w:rsidR="009C5EDB">
        <w:rPr>
          <w:rFonts w:ascii="Arial" w:hAnsi="Arial" w:cs="Arial"/>
          <w:sz w:val="24"/>
          <w:szCs w:val="24"/>
        </w:rPr>
        <w:t>the reconsideration application.</w:t>
      </w:r>
    </w:p>
    <w:p w:rsidR="00897E21" w:rsidRDefault="003838EA" w:rsidP="006C0E4F">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2C1158">
        <w:rPr>
          <w:rFonts w:ascii="Arial" w:hAnsi="Arial" w:cs="Arial"/>
          <w:sz w:val="24"/>
          <w:szCs w:val="24"/>
        </w:rPr>
        <w:t xml:space="preserve">The first </w:t>
      </w:r>
      <w:r w:rsidR="009C5EDB">
        <w:rPr>
          <w:rFonts w:ascii="Arial" w:hAnsi="Arial" w:cs="Arial"/>
          <w:sz w:val="24"/>
          <w:szCs w:val="24"/>
        </w:rPr>
        <w:t xml:space="preserve">and second </w:t>
      </w:r>
      <w:r w:rsidR="002C1158">
        <w:rPr>
          <w:rFonts w:ascii="Arial" w:hAnsi="Arial" w:cs="Arial"/>
          <w:sz w:val="24"/>
          <w:szCs w:val="24"/>
        </w:rPr>
        <w:t>respondents</w:t>
      </w:r>
      <w:r w:rsidR="009C5EDB">
        <w:rPr>
          <w:rFonts w:ascii="Arial" w:hAnsi="Arial" w:cs="Arial"/>
          <w:sz w:val="24"/>
          <w:szCs w:val="24"/>
        </w:rPr>
        <w:t>’</w:t>
      </w:r>
      <w:r w:rsidR="002C1158">
        <w:rPr>
          <w:rFonts w:ascii="Arial" w:hAnsi="Arial" w:cs="Arial"/>
          <w:sz w:val="24"/>
          <w:szCs w:val="24"/>
        </w:rPr>
        <w:t xml:space="preserve"> case in the relief </w:t>
      </w:r>
      <w:r w:rsidR="009C5EDB">
        <w:rPr>
          <w:rFonts w:ascii="Arial" w:hAnsi="Arial" w:cs="Arial"/>
          <w:sz w:val="24"/>
          <w:szCs w:val="24"/>
        </w:rPr>
        <w:t>t</w:t>
      </w:r>
      <w:r w:rsidR="002C1158">
        <w:rPr>
          <w:rFonts w:ascii="Arial" w:hAnsi="Arial" w:cs="Arial"/>
          <w:sz w:val="24"/>
          <w:szCs w:val="24"/>
        </w:rPr>
        <w:t>he</w:t>
      </w:r>
      <w:r w:rsidR="009C5EDB">
        <w:rPr>
          <w:rFonts w:ascii="Arial" w:hAnsi="Arial" w:cs="Arial"/>
          <w:sz w:val="24"/>
          <w:szCs w:val="24"/>
        </w:rPr>
        <w:t>y</w:t>
      </w:r>
      <w:r w:rsidR="002C1158">
        <w:rPr>
          <w:rFonts w:ascii="Arial" w:hAnsi="Arial" w:cs="Arial"/>
          <w:sz w:val="24"/>
          <w:szCs w:val="24"/>
        </w:rPr>
        <w:t xml:space="preserve"> seek </w:t>
      </w:r>
      <w:r w:rsidR="002D4952">
        <w:rPr>
          <w:rFonts w:ascii="Arial" w:hAnsi="Arial" w:cs="Arial"/>
          <w:sz w:val="24"/>
          <w:szCs w:val="24"/>
        </w:rPr>
        <w:t>for</w:t>
      </w:r>
      <w:r w:rsidR="002C1158">
        <w:rPr>
          <w:rFonts w:ascii="Arial" w:hAnsi="Arial" w:cs="Arial"/>
          <w:sz w:val="24"/>
          <w:szCs w:val="24"/>
        </w:rPr>
        <w:t xml:space="preserve"> the anticipation of the </w:t>
      </w:r>
      <w:r w:rsidR="00CB7E62">
        <w:rPr>
          <w:rFonts w:ascii="Arial" w:hAnsi="Arial" w:cs="Arial"/>
          <w:sz w:val="24"/>
          <w:szCs w:val="24"/>
        </w:rPr>
        <w:t xml:space="preserve">rule </w:t>
      </w:r>
      <w:r w:rsidR="00CB7E62" w:rsidRPr="00CB7E62">
        <w:rPr>
          <w:rFonts w:ascii="Arial" w:hAnsi="Arial" w:cs="Arial"/>
          <w:i/>
          <w:sz w:val="24"/>
          <w:szCs w:val="24"/>
        </w:rPr>
        <w:t>nisi</w:t>
      </w:r>
      <w:r w:rsidR="002C1158">
        <w:rPr>
          <w:rFonts w:ascii="Arial" w:hAnsi="Arial" w:cs="Arial"/>
          <w:sz w:val="24"/>
          <w:szCs w:val="24"/>
        </w:rPr>
        <w:t xml:space="preserve"> is couched as fo</w:t>
      </w:r>
      <w:r w:rsidR="009C5EDB">
        <w:rPr>
          <w:rFonts w:ascii="Arial" w:hAnsi="Arial" w:cs="Arial"/>
          <w:sz w:val="24"/>
          <w:szCs w:val="24"/>
        </w:rPr>
        <w:t>llows in their affidavit</w:t>
      </w:r>
      <w:r w:rsidR="002C1158">
        <w:rPr>
          <w:rFonts w:ascii="Arial" w:hAnsi="Arial" w:cs="Arial"/>
          <w:sz w:val="24"/>
          <w:szCs w:val="24"/>
        </w:rPr>
        <w:t>:</w:t>
      </w:r>
    </w:p>
    <w:p w:rsidR="002C1158" w:rsidRDefault="002C1158" w:rsidP="002C1158">
      <w:pPr>
        <w:spacing w:line="360" w:lineRule="auto"/>
        <w:ind w:left="144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first respondent herewith seeks to anticipate the rule </w:t>
      </w:r>
      <w:r w:rsidRPr="002C1158">
        <w:rPr>
          <w:rFonts w:ascii="Arial" w:hAnsi="Arial" w:cs="Arial"/>
          <w:i/>
          <w:sz w:val="24"/>
          <w:szCs w:val="24"/>
        </w:rPr>
        <w:t>nisi</w:t>
      </w:r>
      <w:r>
        <w:rPr>
          <w:rFonts w:ascii="Arial" w:hAnsi="Arial" w:cs="Arial"/>
          <w:sz w:val="24"/>
          <w:szCs w:val="24"/>
        </w:rPr>
        <w:t xml:space="preserve"> order granted on 30 April 2022 under case number 23467/22 – attached hereto for ease of reference as annexure “A”.</w:t>
      </w:r>
    </w:p>
    <w:p w:rsidR="002C1158" w:rsidRDefault="002C1158" w:rsidP="002C1158">
      <w:pPr>
        <w:spacing w:line="360" w:lineRule="auto"/>
        <w:ind w:left="1440" w:hanging="72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As appears from the </w:t>
      </w:r>
      <w:r w:rsidR="009C5EDB">
        <w:rPr>
          <w:rFonts w:ascii="Arial" w:hAnsi="Arial" w:cs="Arial"/>
          <w:sz w:val="24"/>
          <w:szCs w:val="24"/>
        </w:rPr>
        <w:t xml:space="preserve">answering affidavit that has been filed in this matter, the first and second respondents are entitled at this point in time to </w:t>
      </w:r>
      <w:r w:rsidR="00C35286">
        <w:rPr>
          <w:rFonts w:ascii="Arial" w:hAnsi="Arial" w:cs="Arial"/>
          <w:sz w:val="24"/>
          <w:szCs w:val="24"/>
        </w:rPr>
        <w:t xml:space="preserve">be in </w:t>
      </w:r>
      <w:r w:rsidR="009C5EDB">
        <w:rPr>
          <w:rFonts w:ascii="Arial" w:hAnsi="Arial" w:cs="Arial"/>
          <w:sz w:val="24"/>
          <w:szCs w:val="24"/>
        </w:rPr>
        <w:t>possession and control of the movable property, because of the fact that the agreement between second respondent and Guardrisk has been suspended in terms of section 136(2) of the Companies Act, and because of a moratorium against any legal proceedings or enforcement actions against the second respondent in terms of section 133(1) of the Companies Act.</w:t>
      </w:r>
      <w:r w:rsidR="00B4007F">
        <w:rPr>
          <w:rFonts w:ascii="Arial" w:hAnsi="Arial" w:cs="Arial"/>
          <w:sz w:val="24"/>
          <w:szCs w:val="24"/>
        </w:rPr>
        <w:t xml:space="preserve"> The second respondent is the common </w:t>
      </w:r>
      <w:r w:rsidR="00B4007F">
        <w:rPr>
          <w:rFonts w:ascii="Arial" w:hAnsi="Arial" w:cs="Arial"/>
          <w:sz w:val="24"/>
          <w:szCs w:val="24"/>
        </w:rPr>
        <w:lastRenderedPageBreak/>
        <w:t>law owner of movable property, and the assets therefore have to be returned to the second respondent. The second respondent requires the assets for purposes of continuing with a construction contract, in the process of being rescued. If the assets cannot be used by the second respondent for purposes of this project, the second respondent will have to be liquidated, and a huge number of jobs will have to be lost.</w:t>
      </w:r>
    </w:p>
    <w:p w:rsidR="00B4007F" w:rsidRDefault="00B4007F" w:rsidP="002C1158">
      <w:pPr>
        <w:spacing w:line="360" w:lineRule="auto"/>
        <w:ind w:left="144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2D4952">
        <w:rPr>
          <w:rFonts w:ascii="Arial" w:hAnsi="Arial" w:cs="Arial"/>
          <w:sz w:val="24"/>
          <w:szCs w:val="24"/>
        </w:rPr>
        <w:t>The applicants have begun on 3 M</w:t>
      </w:r>
      <w:r>
        <w:rPr>
          <w:rFonts w:ascii="Arial" w:hAnsi="Arial" w:cs="Arial"/>
          <w:sz w:val="24"/>
          <w:szCs w:val="24"/>
        </w:rPr>
        <w:t xml:space="preserve">ay 2022 to remove the movable property from the above properties, and it is therefore urgent that the applicants be stopped from removing the movable property from the properties where they are, so as to enable the second respondent to take possession of the movable property for use at its construction site in Middleburg. </w:t>
      </w:r>
    </w:p>
    <w:p w:rsidR="002C1158" w:rsidRDefault="00B4007F" w:rsidP="006C12E9">
      <w:pPr>
        <w:spacing w:line="360" w:lineRule="auto"/>
        <w:ind w:left="1440" w:hanging="720"/>
        <w:jc w:val="both"/>
        <w:rPr>
          <w:rFonts w:ascii="Arial" w:hAnsi="Arial" w:cs="Arial"/>
          <w:sz w:val="24"/>
          <w:szCs w:val="24"/>
        </w:rPr>
      </w:pPr>
      <w:r>
        <w:rPr>
          <w:rFonts w:ascii="Arial" w:hAnsi="Arial" w:cs="Arial"/>
          <w:sz w:val="24"/>
          <w:szCs w:val="24"/>
        </w:rPr>
        <w:t>7.</w:t>
      </w:r>
      <w:r>
        <w:rPr>
          <w:rFonts w:ascii="Arial" w:hAnsi="Arial" w:cs="Arial"/>
          <w:sz w:val="24"/>
          <w:szCs w:val="24"/>
        </w:rPr>
        <w:tab/>
        <w:t>It is for this reason that the anticipation of the return day is sought”</w:t>
      </w:r>
    </w:p>
    <w:p w:rsidR="00901EDC" w:rsidRDefault="003838EA" w:rsidP="007748A6">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A03620">
        <w:rPr>
          <w:rFonts w:ascii="Arial" w:hAnsi="Arial" w:cs="Arial"/>
          <w:sz w:val="24"/>
          <w:szCs w:val="24"/>
        </w:rPr>
        <w:t xml:space="preserve">In terms of Uniform Rule </w:t>
      </w:r>
      <w:r w:rsidR="00901EDC">
        <w:rPr>
          <w:rFonts w:ascii="Arial" w:hAnsi="Arial" w:cs="Arial"/>
          <w:sz w:val="24"/>
          <w:szCs w:val="24"/>
        </w:rPr>
        <w:t xml:space="preserve">8 any person against whom an order is granted </w:t>
      </w:r>
      <w:r w:rsidR="00901EDC" w:rsidRPr="0056589A">
        <w:rPr>
          <w:rFonts w:ascii="Arial" w:hAnsi="Arial" w:cs="Arial"/>
          <w:i/>
          <w:sz w:val="24"/>
          <w:szCs w:val="24"/>
        </w:rPr>
        <w:t>ex</w:t>
      </w:r>
      <w:r w:rsidR="00901EDC">
        <w:rPr>
          <w:rFonts w:ascii="Arial" w:hAnsi="Arial" w:cs="Arial"/>
          <w:sz w:val="24"/>
          <w:szCs w:val="24"/>
        </w:rPr>
        <w:t xml:space="preserve"> </w:t>
      </w:r>
      <w:r w:rsidR="00901EDC" w:rsidRPr="0056589A">
        <w:rPr>
          <w:rFonts w:ascii="Arial" w:hAnsi="Arial" w:cs="Arial"/>
          <w:i/>
          <w:sz w:val="24"/>
          <w:szCs w:val="24"/>
        </w:rPr>
        <w:t>parte</w:t>
      </w:r>
      <w:r w:rsidR="00901EDC">
        <w:rPr>
          <w:rFonts w:ascii="Arial" w:hAnsi="Arial" w:cs="Arial"/>
          <w:sz w:val="24"/>
          <w:szCs w:val="24"/>
        </w:rPr>
        <w:t xml:space="preserve"> may anticipate the return day upon delivery of not less than twenty-four hours’ notice.</w:t>
      </w:r>
      <w:r w:rsidR="00D8508D">
        <w:rPr>
          <w:rFonts w:ascii="Arial" w:hAnsi="Arial" w:cs="Arial"/>
          <w:sz w:val="24"/>
          <w:szCs w:val="24"/>
        </w:rPr>
        <w:t xml:space="preserve"> The provisions of this sub-rule are said to apply only where an order has been granted against a person </w:t>
      </w:r>
      <w:r w:rsidR="00D8508D" w:rsidRPr="00D8508D">
        <w:rPr>
          <w:rFonts w:ascii="Arial" w:hAnsi="Arial" w:cs="Arial"/>
          <w:i/>
          <w:sz w:val="24"/>
          <w:szCs w:val="24"/>
        </w:rPr>
        <w:t>ex parte</w:t>
      </w:r>
      <w:r w:rsidR="00D8508D">
        <w:rPr>
          <w:rFonts w:ascii="Arial" w:hAnsi="Arial" w:cs="Arial"/>
          <w:sz w:val="24"/>
          <w:szCs w:val="24"/>
        </w:rPr>
        <w:t xml:space="preserve"> and where a return day has been fixed. The sub-rule is said to come to the aid of a person who has been taken by surprise by an order granted </w:t>
      </w:r>
      <w:r w:rsidR="00D8508D" w:rsidRPr="00D8508D">
        <w:rPr>
          <w:rFonts w:ascii="Arial" w:hAnsi="Arial" w:cs="Arial"/>
          <w:i/>
          <w:sz w:val="24"/>
          <w:szCs w:val="24"/>
        </w:rPr>
        <w:t>ex parte</w:t>
      </w:r>
      <w:r w:rsidR="00D8508D">
        <w:rPr>
          <w:rFonts w:ascii="Arial" w:hAnsi="Arial" w:cs="Arial"/>
          <w:sz w:val="24"/>
          <w:szCs w:val="24"/>
        </w:rPr>
        <w:t>.</w:t>
      </w:r>
      <w:r w:rsidR="00D8508D">
        <w:rPr>
          <w:rStyle w:val="FootnoteReference"/>
          <w:rFonts w:ascii="Arial" w:hAnsi="Arial" w:cs="Arial"/>
          <w:sz w:val="24"/>
          <w:szCs w:val="24"/>
        </w:rPr>
        <w:footnoteReference w:id="1"/>
      </w:r>
    </w:p>
    <w:p w:rsidR="00C35286" w:rsidRDefault="003838EA" w:rsidP="007748A6">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C35286">
        <w:rPr>
          <w:rFonts w:ascii="Arial" w:hAnsi="Arial" w:cs="Arial"/>
          <w:sz w:val="24"/>
          <w:szCs w:val="24"/>
        </w:rPr>
        <w:t xml:space="preserve">Nowhere in the affidavit </w:t>
      </w:r>
      <w:r w:rsidR="00CB7E62">
        <w:rPr>
          <w:rFonts w:ascii="Arial" w:hAnsi="Arial" w:cs="Arial"/>
          <w:sz w:val="24"/>
          <w:szCs w:val="24"/>
        </w:rPr>
        <w:t xml:space="preserve">of the anticipation application </w:t>
      </w:r>
      <w:r w:rsidR="00C35286">
        <w:rPr>
          <w:rFonts w:ascii="Arial" w:hAnsi="Arial" w:cs="Arial"/>
          <w:sz w:val="24"/>
          <w:szCs w:val="24"/>
        </w:rPr>
        <w:t xml:space="preserve">is it contended by the first and second respondents that the application was granted </w:t>
      </w:r>
      <w:r w:rsidR="00C35286" w:rsidRPr="009F00E0">
        <w:rPr>
          <w:rFonts w:ascii="Arial" w:hAnsi="Arial" w:cs="Arial"/>
          <w:i/>
          <w:sz w:val="24"/>
          <w:szCs w:val="24"/>
        </w:rPr>
        <w:t>ex parte</w:t>
      </w:r>
      <w:r w:rsidR="00C35286">
        <w:rPr>
          <w:rFonts w:ascii="Arial" w:hAnsi="Arial" w:cs="Arial"/>
          <w:sz w:val="24"/>
          <w:szCs w:val="24"/>
        </w:rPr>
        <w:t xml:space="preserve">. From the reading of their case referred to above, it is evident that </w:t>
      </w:r>
      <w:r w:rsidR="009F00E0">
        <w:rPr>
          <w:rFonts w:ascii="Arial" w:hAnsi="Arial" w:cs="Arial"/>
          <w:sz w:val="24"/>
          <w:szCs w:val="24"/>
        </w:rPr>
        <w:t>the</w:t>
      </w:r>
      <w:r w:rsidR="00C35286">
        <w:rPr>
          <w:rFonts w:ascii="Arial" w:hAnsi="Arial" w:cs="Arial"/>
          <w:sz w:val="24"/>
          <w:szCs w:val="24"/>
        </w:rPr>
        <w:t xml:space="preserve"> grounds </w:t>
      </w:r>
      <w:r w:rsidR="006C12E9">
        <w:rPr>
          <w:rFonts w:ascii="Arial" w:hAnsi="Arial" w:cs="Arial"/>
          <w:sz w:val="24"/>
          <w:szCs w:val="24"/>
        </w:rPr>
        <w:t xml:space="preserve">and/or circumstances </w:t>
      </w:r>
      <w:r w:rsidR="00C35286">
        <w:rPr>
          <w:rFonts w:ascii="Arial" w:hAnsi="Arial" w:cs="Arial"/>
          <w:sz w:val="24"/>
          <w:szCs w:val="24"/>
        </w:rPr>
        <w:t xml:space="preserve">provided </w:t>
      </w:r>
      <w:r w:rsidR="009F00E0">
        <w:rPr>
          <w:rFonts w:ascii="Arial" w:hAnsi="Arial" w:cs="Arial"/>
          <w:sz w:val="24"/>
          <w:szCs w:val="24"/>
        </w:rPr>
        <w:t>by the first and second respondents in</w:t>
      </w:r>
      <w:r w:rsidR="00C35286">
        <w:rPr>
          <w:rFonts w:ascii="Arial" w:hAnsi="Arial" w:cs="Arial"/>
          <w:sz w:val="24"/>
          <w:szCs w:val="24"/>
        </w:rPr>
        <w:t xml:space="preserve"> </w:t>
      </w:r>
      <w:r w:rsidR="006C12E9">
        <w:rPr>
          <w:rFonts w:ascii="Arial" w:hAnsi="Arial" w:cs="Arial"/>
          <w:sz w:val="24"/>
          <w:szCs w:val="24"/>
        </w:rPr>
        <w:t xml:space="preserve">support of </w:t>
      </w:r>
      <w:r w:rsidR="00C35286">
        <w:rPr>
          <w:rFonts w:ascii="Arial" w:hAnsi="Arial" w:cs="Arial"/>
          <w:sz w:val="24"/>
          <w:szCs w:val="24"/>
        </w:rPr>
        <w:t>the anticipation application</w:t>
      </w:r>
      <w:r w:rsidR="00CB7E62">
        <w:rPr>
          <w:rFonts w:ascii="Arial" w:hAnsi="Arial" w:cs="Arial"/>
          <w:sz w:val="24"/>
          <w:szCs w:val="24"/>
        </w:rPr>
        <w:t>, before this court,</w:t>
      </w:r>
      <w:r w:rsidR="00C35286">
        <w:rPr>
          <w:rFonts w:ascii="Arial" w:hAnsi="Arial" w:cs="Arial"/>
          <w:sz w:val="24"/>
          <w:szCs w:val="24"/>
        </w:rPr>
        <w:t xml:space="preserve"> do not </w:t>
      </w:r>
      <w:r w:rsidR="009F00E0">
        <w:rPr>
          <w:rFonts w:ascii="Arial" w:hAnsi="Arial" w:cs="Arial"/>
          <w:sz w:val="24"/>
          <w:szCs w:val="24"/>
        </w:rPr>
        <w:t>meet the requirements of Uniform Rule 6(8)</w:t>
      </w:r>
      <w:r w:rsidR="00C35286">
        <w:rPr>
          <w:rFonts w:ascii="Arial" w:hAnsi="Arial" w:cs="Arial"/>
          <w:sz w:val="24"/>
          <w:szCs w:val="24"/>
        </w:rPr>
        <w:t xml:space="preserve">. </w:t>
      </w:r>
    </w:p>
    <w:p w:rsidR="0056589A" w:rsidRDefault="003838EA" w:rsidP="007748A6">
      <w:pPr>
        <w:spacing w:line="360" w:lineRule="auto"/>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9F00E0">
        <w:rPr>
          <w:rFonts w:ascii="Arial" w:hAnsi="Arial" w:cs="Arial"/>
          <w:sz w:val="24"/>
          <w:szCs w:val="24"/>
        </w:rPr>
        <w:t xml:space="preserve">In an attempt to bolster the first and second respondents’ case that Uniform Rule 6(8) was applicable in this matter, their counsel </w:t>
      </w:r>
      <w:r w:rsidR="0056589A">
        <w:rPr>
          <w:rFonts w:ascii="Arial" w:hAnsi="Arial" w:cs="Arial"/>
          <w:sz w:val="24"/>
          <w:szCs w:val="24"/>
        </w:rPr>
        <w:t xml:space="preserve">contended that the order in the main application was granted </w:t>
      </w:r>
      <w:r w:rsidR="0056589A" w:rsidRPr="0056589A">
        <w:rPr>
          <w:rFonts w:ascii="Arial" w:hAnsi="Arial" w:cs="Arial"/>
          <w:i/>
          <w:sz w:val="24"/>
          <w:szCs w:val="24"/>
        </w:rPr>
        <w:t>ex parte</w:t>
      </w:r>
      <w:r w:rsidR="0056589A">
        <w:rPr>
          <w:rFonts w:ascii="Arial" w:hAnsi="Arial" w:cs="Arial"/>
          <w:sz w:val="24"/>
          <w:szCs w:val="24"/>
        </w:rPr>
        <w:t xml:space="preserve"> on the basis that it was not properly served on the first </w:t>
      </w:r>
      <w:r w:rsidR="006C12E9">
        <w:rPr>
          <w:rFonts w:ascii="Arial" w:hAnsi="Arial" w:cs="Arial"/>
          <w:sz w:val="24"/>
          <w:szCs w:val="24"/>
        </w:rPr>
        <w:t xml:space="preserve">and second </w:t>
      </w:r>
      <w:r w:rsidR="0056589A">
        <w:rPr>
          <w:rFonts w:ascii="Arial" w:hAnsi="Arial" w:cs="Arial"/>
          <w:sz w:val="24"/>
          <w:szCs w:val="24"/>
        </w:rPr>
        <w:t>respondent</w:t>
      </w:r>
      <w:r w:rsidR="006C12E9">
        <w:rPr>
          <w:rFonts w:ascii="Arial" w:hAnsi="Arial" w:cs="Arial"/>
          <w:sz w:val="24"/>
          <w:szCs w:val="24"/>
        </w:rPr>
        <w:t>s</w:t>
      </w:r>
      <w:r w:rsidR="0056589A">
        <w:rPr>
          <w:rFonts w:ascii="Arial" w:hAnsi="Arial" w:cs="Arial"/>
          <w:sz w:val="24"/>
          <w:szCs w:val="24"/>
        </w:rPr>
        <w:t xml:space="preserve">, that is, the first </w:t>
      </w:r>
      <w:r w:rsidR="00AB397A">
        <w:rPr>
          <w:rFonts w:ascii="Arial" w:hAnsi="Arial" w:cs="Arial"/>
          <w:sz w:val="24"/>
          <w:szCs w:val="24"/>
        </w:rPr>
        <w:t xml:space="preserve">and second </w:t>
      </w:r>
      <w:r w:rsidR="0056589A">
        <w:rPr>
          <w:rFonts w:ascii="Arial" w:hAnsi="Arial" w:cs="Arial"/>
          <w:sz w:val="24"/>
          <w:szCs w:val="24"/>
        </w:rPr>
        <w:t>respondent</w:t>
      </w:r>
      <w:r w:rsidR="00AB397A">
        <w:rPr>
          <w:rFonts w:ascii="Arial" w:hAnsi="Arial" w:cs="Arial"/>
          <w:sz w:val="24"/>
          <w:szCs w:val="24"/>
        </w:rPr>
        <w:t>s</w:t>
      </w:r>
      <w:r w:rsidR="0056589A">
        <w:rPr>
          <w:rFonts w:ascii="Arial" w:hAnsi="Arial" w:cs="Arial"/>
          <w:sz w:val="24"/>
          <w:szCs w:val="24"/>
        </w:rPr>
        <w:t xml:space="preserve"> w</w:t>
      </w:r>
      <w:r w:rsidR="00AB397A">
        <w:rPr>
          <w:rFonts w:ascii="Arial" w:hAnsi="Arial" w:cs="Arial"/>
          <w:sz w:val="24"/>
          <w:szCs w:val="24"/>
        </w:rPr>
        <w:t>ere</w:t>
      </w:r>
      <w:r w:rsidR="0056589A">
        <w:rPr>
          <w:rFonts w:ascii="Arial" w:hAnsi="Arial" w:cs="Arial"/>
          <w:sz w:val="24"/>
          <w:szCs w:val="24"/>
        </w:rPr>
        <w:t xml:space="preserve"> not notified about the application before it was heard.</w:t>
      </w:r>
    </w:p>
    <w:p w:rsidR="00AB397A" w:rsidRDefault="003838EA" w:rsidP="007748A6">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CF6B47">
        <w:rPr>
          <w:rFonts w:ascii="Arial" w:hAnsi="Arial" w:cs="Arial"/>
          <w:sz w:val="24"/>
          <w:szCs w:val="24"/>
        </w:rPr>
        <w:t xml:space="preserve">In this </w:t>
      </w:r>
      <w:r w:rsidR="009F00E0">
        <w:rPr>
          <w:rFonts w:ascii="Arial" w:hAnsi="Arial" w:cs="Arial"/>
          <w:sz w:val="24"/>
          <w:szCs w:val="24"/>
        </w:rPr>
        <w:t>regard</w:t>
      </w:r>
      <w:r w:rsidR="00CF6B47">
        <w:rPr>
          <w:rFonts w:ascii="Arial" w:hAnsi="Arial" w:cs="Arial"/>
          <w:sz w:val="24"/>
          <w:szCs w:val="24"/>
        </w:rPr>
        <w:t xml:space="preserve">, counsel </w:t>
      </w:r>
      <w:r w:rsidR="009F00E0">
        <w:rPr>
          <w:rFonts w:ascii="Arial" w:hAnsi="Arial" w:cs="Arial"/>
          <w:sz w:val="24"/>
          <w:szCs w:val="24"/>
        </w:rPr>
        <w:t xml:space="preserve">sought to </w:t>
      </w:r>
      <w:r w:rsidR="00CF6B47">
        <w:rPr>
          <w:rFonts w:ascii="Arial" w:hAnsi="Arial" w:cs="Arial"/>
          <w:sz w:val="24"/>
          <w:szCs w:val="24"/>
        </w:rPr>
        <w:t>rel</w:t>
      </w:r>
      <w:r w:rsidR="009F00E0">
        <w:rPr>
          <w:rFonts w:ascii="Arial" w:hAnsi="Arial" w:cs="Arial"/>
          <w:sz w:val="24"/>
          <w:szCs w:val="24"/>
        </w:rPr>
        <w:t>y</w:t>
      </w:r>
      <w:r w:rsidR="00CF6B47">
        <w:rPr>
          <w:rFonts w:ascii="Arial" w:hAnsi="Arial" w:cs="Arial"/>
          <w:sz w:val="24"/>
          <w:szCs w:val="24"/>
        </w:rPr>
        <w:t xml:space="preserve"> on the content</w:t>
      </w:r>
      <w:r w:rsidR="009F00E0">
        <w:rPr>
          <w:rFonts w:ascii="Arial" w:hAnsi="Arial" w:cs="Arial"/>
          <w:sz w:val="24"/>
          <w:szCs w:val="24"/>
        </w:rPr>
        <w:t>s</w:t>
      </w:r>
      <w:r w:rsidR="00CF6B47">
        <w:rPr>
          <w:rFonts w:ascii="Arial" w:hAnsi="Arial" w:cs="Arial"/>
          <w:sz w:val="24"/>
          <w:szCs w:val="24"/>
        </w:rPr>
        <w:t xml:space="preserve"> of the answering affidavit which is attached to the reconsideration application and appears to have been set down for hearing on 3 May 2022. Of </w:t>
      </w:r>
      <w:r w:rsidR="00E343B5">
        <w:rPr>
          <w:rFonts w:ascii="Arial" w:hAnsi="Arial" w:cs="Arial"/>
          <w:sz w:val="24"/>
          <w:szCs w:val="24"/>
        </w:rPr>
        <w:t>concern</w:t>
      </w:r>
      <w:r w:rsidR="00CF6B47">
        <w:rPr>
          <w:rFonts w:ascii="Arial" w:hAnsi="Arial" w:cs="Arial"/>
          <w:sz w:val="24"/>
          <w:szCs w:val="24"/>
        </w:rPr>
        <w:t xml:space="preserve"> is that the relief sought in this reconsideration application</w:t>
      </w:r>
      <w:r w:rsidR="00AB397A">
        <w:rPr>
          <w:rFonts w:ascii="Arial" w:hAnsi="Arial" w:cs="Arial"/>
          <w:sz w:val="24"/>
          <w:szCs w:val="24"/>
        </w:rPr>
        <w:t>, save for the date of hearing,</w:t>
      </w:r>
      <w:r w:rsidR="00CF6B47">
        <w:rPr>
          <w:rFonts w:ascii="Arial" w:hAnsi="Arial" w:cs="Arial"/>
          <w:sz w:val="24"/>
          <w:szCs w:val="24"/>
        </w:rPr>
        <w:t xml:space="preserve"> </w:t>
      </w:r>
      <w:r w:rsidR="009F00E0">
        <w:rPr>
          <w:rFonts w:ascii="Arial" w:hAnsi="Arial" w:cs="Arial"/>
          <w:sz w:val="24"/>
          <w:szCs w:val="24"/>
        </w:rPr>
        <w:t>i</w:t>
      </w:r>
      <w:r w:rsidR="00CF6B47">
        <w:rPr>
          <w:rFonts w:ascii="Arial" w:hAnsi="Arial" w:cs="Arial"/>
          <w:sz w:val="24"/>
          <w:szCs w:val="24"/>
        </w:rPr>
        <w:t>s</w:t>
      </w:r>
      <w:r w:rsidR="009F00E0">
        <w:rPr>
          <w:rFonts w:ascii="Arial" w:hAnsi="Arial" w:cs="Arial"/>
          <w:sz w:val="24"/>
          <w:szCs w:val="24"/>
        </w:rPr>
        <w:t xml:space="preserve"> </w:t>
      </w:r>
      <w:r w:rsidR="00CF6B47">
        <w:rPr>
          <w:rFonts w:ascii="Arial" w:hAnsi="Arial" w:cs="Arial"/>
          <w:sz w:val="24"/>
          <w:szCs w:val="24"/>
        </w:rPr>
        <w:t>s</w:t>
      </w:r>
      <w:r w:rsidR="009F00E0">
        <w:rPr>
          <w:rFonts w:ascii="Arial" w:hAnsi="Arial" w:cs="Arial"/>
          <w:sz w:val="24"/>
          <w:szCs w:val="24"/>
        </w:rPr>
        <w:t>imilar</w:t>
      </w:r>
      <w:r w:rsidR="00CF6B47">
        <w:rPr>
          <w:rFonts w:ascii="Arial" w:hAnsi="Arial" w:cs="Arial"/>
          <w:sz w:val="24"/>
          <w:szCs w:val="24"/>
        </w:rPr>
        <w:t xml:space="preserve"> to th</w:t>
      </w:r>
      <w:r w:rsidR="009F00E0">
        <w:rPr>
          <w:rFonts w:ascii="Arial" w:hAnsi="Arial" w:cs="Arial"/>
          <w:sz w:val="24"/>
          <w:szCs w:val="24"/>
        </w:rPr>
        <w:t xml:space="preserve">at </w:t>
      </w:r>
      <w:r w:rsidR="00CF6B47">
        <w:rPr>
          <w:rFonts w:ascii="Arial" w:hAnsi="Arial" w:cs="Arial"/>
          <w:sz w:val="24"/>
          <w:szCs w:val="24"/>
        </w:rPr>
        <w:t xml:space="preserve">sought </w:t>
      </w:r>
      <w:r w:rsidR="009F00E0">
        <w:rPr>
          <w:rFonts w:ascii="Arial" w:hAnsi="Arial" w:cs="Arial"/>
          <w:sz w:val="24"/>
          <w:szCs w:val="24"/>
        </w:rPr>
        <w:t xml:space="preserve">by the first and second respondents </w:t>
      </w:r>
      <w:r w:rsidR="00CF6B47">
        <w:rPr>
          <w:rFonts w:ascii="Arial" w:hAnsi="Arial" w:cs="Arial"/>
          <w:sz w:val="24"/>
          <w:szCs w:val="24"/>
        </w:rPr>
        <w:t xml:space="preserve">in the anticipation application. </w:t>
      </w:r>
      <w:r w:rsidR="00AB397A">
        <w:rPr>
          <w:rFonts w:ascii="Arial" w:hAnsi="Arial" w:cs="Arial"/>
          <w:sz w:val="24"/>
          <w:szCs w:val="24"/>
        </w:rPr>
        <w:t xml:space="preserve">Both applications are in terms of section 6(12)(c), both seek the reconsideration of the order granted on 30 April 2022 both also seek the anticipation of the </w:t>
      </w:r>
      <w:r w:rsidR="00336CB1">
        <w:rPr>
          <w:rFonts w:ascii="Arial" w:hAnsi="Arial" w:cs="Arial"/>
          <w:sz w:val="24"/>
          <w:szCs w:val="24"/>
        </w:rPr>
        <w:t xml:space="preserve">rule </w:t>
      </w:r>
      <w:r w:rsidR="00336CB1" w:rsidRPr="00336CB1">
        <w:rPr>
          <w:rFonts w:ascii="Arial" w:hAnsi="Arial" w:cs="Arial"/>
          <w:i/>
          <w:sz w:val="24"/>
          <w:szCs w:val="24"/>
        </w:rPr>
        <w:t>nisi</w:t>
      </w:r>
      <w:r w:rsidR="00336CB1">
        <w:rPr>
          <w:rFonts w:ascii="Arial" w:hAnsi="Arial" w:cs="Arial"/>
          <w:sz w:val="24"/>
          <w:szCs w:val="24"/>
        </w:rPr>
        <w:t xml:space="preserve"> of 30 April 2022</w:t>
      </w:r>
      <w:r w:rsidR="00AB397A">
        <w:rPr>
          <w:rFonts w:ascii="Arial" w:hAnsi="Arial" w:cs="Arial"/>
          <w:sz w:val="24"/>
          <w:szCs w:val="24"/>
        </w:rPr>
        <w:t>.</w:t>
      </w:r>
    </w:p>
    <w:p w:rsidR="00CF6B47" w:rsidRDefault="003838EA" w:rsidP="007748A6">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F6B47">
        <w:rPr>
          <w:rFonts w:ascii="Arial" w:hAnsi="Arial" w:cs="Arial"/>
          <w:sz w:val="24"/>
          <w:szCs w:val="24"/>
        </w:rPr>
        <w:t>The deponent in the anticipation applica</w:t>
      </w:r>
      <w:r w:rsidR="00E343B5">
        <w:rPr>
          <w:rFonts w:ascii="Arial" w:hAnsi="Arial" w:cs="Arial"/>
          <w:sz w:val="24"/>
          <w:szCs w:val="24"/>
        </w:rPr>
        <w:t xml:space="preserve">tion in some parts </w:t>
      </w:r>
      <w:r w:rsidR="00CF6B47">
        <w:rPr>
          <w:rFonts w:ascii="Arial" w:hAnsi="Arial" w:cs="Arial"/>
          <w:sz w:val="24"/>
          <w:szCs w:val="24"/>
        </w:rPr>
        <w:t>refer</w:t>
      </w:r>
      <w:r w:rsidR="00E343B5">
        <w:rPr>
          <w:rFonts w:ascii="Arial" w:hAnsi="Arial" w:cs="Arial"/>
          <w:sz w:val="24"/>
          <w:szCs w:val="24"/>
        </w:rPr>
        <w:t>s</w:t>
      </w:r>
      <w:r w:rsidR="00CF6B47">
        <w:rPr>
          <w:rFonts w:ascii="Arial" w:hAnsi="Arial" w:cs="Arial"/>
          <w:sz w:val="24"/>
          <w:szCs w:val="24"/>
        </w:rPr>
        <w:t xml:space="preserve"> to the evidence in the reconsideration application.</w:t>
      </w:r>
      <w:r w:rsidR="00E343B5">
        <w:rPr>
          <w:rFonts w:ascii="Arial" w:hAnsi="Arial" w:cs="Arial"/>
          <w:sz w:val="24"/>
          <w:szCs w:val="24"/>
        </w:rPr>
        <w:t xml:space="preserve"> But, </w:t>
      </w:r>
      <w:r w:rsidR="004F3B3E">
        <w:rPr>
          <w:rFonts w:ascii="Arial" w:hAnsi="Arial" w:cs="Arial"/>
          <w:sz w:val="24"/>
          <w:szCs w:val="24"/>
        </w:rPr>
        <w:t xml:space="preserve">it is not clear how the two affidavits </w:t>
      </w:r>
      <w:r w:rsidR="00AB397A">
        <w:rPr>
          <w:rFonts w:ascii="Arial" w:hAnsi="Arial" w:cs="Arial"/>
          <w:sz w:val="24"/>
          <w:szCs w:val="24"/>
        </w:rPr>
        <w:t xml:space="preserve">in the respective applications </w:t>
      </w:r>
      <w:r w:rsidR="004F3B3E">
        <w:rPr>
          <w:rFonts w:ascii="Arial" w:hAnsi="Arial" w:cs="Arial"/>
          <w:sz w:val="24"/>
          <w:szCs w:val="24"/>
        </w:rPr>
        <w:t xml:space="preserve">support each other. Besides, even </w:t>
      </w:r>
      <w:r w:rsidR="00E343B5">
        <w:rPr>
          <w:rFonts w:ascii="Arial" w:hAnsi="Arial" w:cs="Arial"/>
          <w:sz w:val="24"/>
          <w:szCs w:val="24"/>
        </w:rPr>
        <w:t>the evidence referred to</w:t>
      </w:r>
      <w:r w:rsidR="00336CB1">
        <w:rPr>
          <w:rFonts w:ascii="Arial" w:hAnsi="Arial" w:cs="Arial"/>
          <w:sz w:val="24"/>
          <w:szCs w:val="24"/>
        </w:rPr>
        <w:t>,</w:t>
      </w:r>
      <w:r w:rsidR="00E343B5">
        <w:rPr>
          <w:rFonts w:ascii="Arial" w:hAnsi="Arial" w:cs="Arial"/>
          <w:sz w:val="24"/>
          <w:szCs w:val="24"/>
        </w:rPr>
        <w:t xml:space="preserve"> does not assist the first and second respondents in their case to have the </w:t>
      </w:r>
      <w:r w:rsidR="00336CB1">
        <w:rPr>
          <w:rFonts w:ascii="Arial" w:hAnsi="Arial" w:cs="Arial"/>
          <w:sz w:val="24"/>
          <w:szCs w:val="24"/>
        </w:rPr>
        <w:t xml:space="preserve">rule </w:t>
      </w:r>
      <w:r w:rsidR="00336CB1" w:rsidRPr="00336CB1">
        <w:rPr>
          <w:rFonts w:ascii="Arial" w:hAnsi="Arial" w:cs="Arial"/>
          <w:i/>
          <w:sz w:val="24"/>
          <w:szCs w:val="24"/>
        </w:rPr>
        <w:t>nisi</w:t>
      </w:r>
      <w:r w:rsidR="00E343B5">
        <w:rPr>
          <w:rFonts w:ascii="Arial" w:hAnsi="Arial" w:cs="Arial"/>
          <w:sz w:val="24"/>
          <w:szCs w:val="24"/>
        </w:rPr>
        <w:t xml:space="preserve"> anticipated by this court</w:t>
      </w:r>
      <w:r w:rsidR="004F3B3E">
        <w:rPr>
          <w:rFonts w:ascii="Arial" w:hAnsi="Arial" w:cs="Arial"/>
          <w:sz w:val="24"/>
          <w:szCs w:val="24"/>
        </w:rPr>
        <w:t xml:space="preserve"> because that evidence does not satisfy the requirements in Uniform Rule 6(8) that th</w:t>
      </w:r>
      <w:r w:rsidR="006C12E9">
        <w:rPr>
          <w:rFonts w:ascii="Arial" w:hAnsi="Arial" w:cs="Arial"/>
          <w:sz w:val="24"/>
          <w:szCs w:val="24"/>
        </w:rPr>
        <w:t>at</w:t>
      </w:r>
      <w:r w:rsidR="004F3B3E">
        <w:rPr>
          <w:rFonts w:ascii="Arial" w:hAnsi="Arial" w:cs="Arial"/>
          <w:sz w:val="24"/>
          <w:szCs w:val="24"/>
        </w:rPr>
        <w:t xml:space="preserve"> application was granted </w:t>
      </w:r>
      <w:r w:rsidR="004F3B3E" w:rsidRPr="004F3B3E">
        <w:rPr>
          <w:rFonts w:ascii="Arial" w:hAnsi="Arial" w:cs="Arial"/>
          <w:i/>
          <w:sz w:val="24"/>
          <w:szCs w:val="24"/>
        </w:rPr>
        <w:t>ex parte</w:t>
      </w:r>
      <w:r w:rsidR="00E343B5">
        <w:rPr>
          <w:rFonts w:ascii="Arial" w:hAnsi="Arial" w:cs="Arial"/>
          <w:sz w:val="24"/>
          <w:szCs w:val="24"/>
        </w:rPr>
        <w:t>.</w:t>
      </w:r>
    </w:p>
    <w:p w:rsidR="003838EA" w:rsidRDefault="003838EA" w:rsidP="007748A6">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C12E9">
        <w:rPr>
          <w:rFonts w:ascii="Arial" w:hAnsi="Arial" w:cs="Arial"/>
          <w:sz w:val="24"/>
          <w:szCs w:val="24"/>
        </w:rPr>
        <w:t xml:space="preserve">This court </w:t>
      </w:r>
      <w:r w:rsidR="00CF6B47">
        <w:rPr>
          <w:rFonts w:ascii="Arial" w:hAnsi="Arial" w:cs="Arial"/>
          <w:sz w:val="24"/>
          <w:szCs w:val="24"/>
        </w:rPr>
        <w:t>was further informed during argument that the reconsideration applicatio</w:t>
      </w:r>
      <w:r w:rsidR="004F3B3E">
        <w:rPr>
          <w:rFonts w:ascii="Arial" w:hAnsi="Arial" w:cs="Arial"/>
          <w:sz w:val="24"/>
          <w:szCs w:val="24"/>
        </w:rPr>
        <w:t>n served before Khumalo J on 3 M</w:t>
      </w:r>
      <w:r w:rsidR="00CF6B47">
        <w:rPr>
          <w:rFonts w:ascii="Arial" w:hAnsi="Arial" w:cs="Arial"/>
          <w:sz w:val="24"/>
          <w:szCs w:val="24"/>
        </w:rPr>
        <w:t>ay 2022 and was struck from the roll due to lack of urgency. There is, however, a dispute as to what was actually argued and sought as a relief before Khumalo J. The first and second applicants</w:t>
      </w:r>
      <w:r w:rsidR="00AB397A">
        <w:rPr>
          <w:rFonts w:ascii="Arial" w:hAnsi="Arial" w:cs="Arial"/>
          <w:sz w:val="24"/>
          <w:szCs w:val="24"/>
        </w:rPr>
        <w:t xml:space="preserve"> and the third respondent’s</w:t>
      </w:r>
      <w:r w:rsidR="00CF6B47">
        <w:rPr>
          <w:rFonts w:ascii="Arial" w:hAnsi="Arial" w:cs="Arial"/>
          <w:sz w:val="24"/>
          <w:szCs w:val="24"/>
        </w:rPr>
        <w:t xml:space="preserve"> counsel’s proposition being that the reconsideration application was heard and struck from the roll whilst the first and second respondents’</w:t>
      </w:r>
      <w:r w:rsidR="00F64717">
        <w:rPr>
          <w:rFonts w:ascii="Arial" w:hAnsi="Arial" w:cs="Arial"/>
          <w:sz w:val="24"/>
          <w:szCs w:val="24"/>
        </w:rPr>
        <w:t xml:space="preserve"> counsel argued that</w:t>
      </w:r>
      <w:r w:rsidR="00CF6B47">
        <w:rPr>
          <w:rFonts w:ascii="Arial" w:hAnsi="Arial" w:cs="Arial"/>
          <w:sz w:val="24"/>
          <w:szCs w:val="24"/>
        </w:rPr>
        <w:t xml:space="preserve"> </w:t>
      </w:r>
      <w:r w:rsidR="002D4952">
        <w:rPr>
          <w:rFonts w:ascii="Arial" w:hAnsi="Arial" w:cs="Arial"/>
          <w:sz w:val="24"/>
          <w:szCs w:val="24"/>
        </w:rPr>
        <w:t>only an interdictory order to stop the first and second applicants from removing the movable assets from the premises</w:t>
      </w:r>
      <w:r w:rsidR="00F64717">
        <w:rPr>
          <w:rFonts w:ascii="Arial" w:hAnsi="Arial" w:cs="Arial"/>
          <w:sz w:val="24"/>
          <w:szCs w:val="24"/>
        </w:rPr>
        <w:t>, was sought</w:t>
      </w:r>
      <w:r w:rsidR="002D4952">
        <w:rPr>
          <w:rFonts w:ascii="Arial" w:hAnsi="Arial" w:cs="Arial"/>
          <w:sz w:val="24"/>
          <w:szCs w:val="24"/>
        </w:rPr>
        <w:t xml:space="preserve">. None of the parties provided me with a transcript of the record as proof of what transpired before Khumalo J. </w:t>
      </w:r>
      <w:r w:rsidR="00CF6B47">
        <w:rPr>
          <w:rFonts w:ascii="Arial" w:hAnsi="Arial" w:cs="Arial"/>
          <w:sz w:val="24"/>
          <w:szCs w:val="24"/>
        </w:rPr>
        <w:t xml:space="preserve"> </w:t>
      </w:r>
    </w:p>
    <w:p w:rsidR="004153CD" w:rsidRDefault="003838EA" w:rsidP="007748A6">
      <w:pPr>
        <w:spacing w:line="36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E343B5">
        <w:rPr>
          <w:rFonts w:ascii="Arial" w:hAnsi="Arial" w:cs="Arial"/>
          <w:sz w:val="24"/>
          <w:szCs w:val="24"/>
        </w:rPr>
        <w:t xml:space="preserve">Be as it may, </w:t>
      </w:r>
      <w:r w:rsidR="004153CD">
        <w:rPr>
          <w:rFonts w:ascii="Arial" w:hAnsi="Arial" w:cs="Arial"/>
          <w:sz w:val="24"/>
          <w:szCs w:val="24"/>
        </w:rPr>
        <w:t xml:space="preserve">this court, </w:t>
      </w:r>
      <w:r w:rsidR="00E343B5">
        <w:rPr>
          <w:rFonts w:ascii="Arial" w:hAnsi="Arial" w:cs="Arial"/>
          <w:sz w:val="24"/>
          <w:szCs w:val="24"/>
        </w:rPr>
        <w:t xml:space="preserve">on this point alone, </w:t>
      </w:r>
      <w:r w:rsidR="004153CD">
        <w:rPr>
          <w:rFonts w:ascii="Arial" w:hAnsi="Arial" w:cs="Arial"/>
          <w:sz w:val="24"/>
          <w:szCs w:val="24"/>
        </w:rPr>
        <w:t xml:space="preserve">has </w:t>
      </w:r>
      <w:r w:rsidR="00E343B5">
        <w:rPr>
          <w:rFonts w:ascii="Arial" w:hAnsi="Arial" w:cs="Arial"/>
          <w:sz w:val="24"/>
          <w:szCs w:val="24"/>
        </w:rPr>
        <w:t xml:space="preserve">to conclude that the application must fail. The relief sought in terms of Uniform Rule 6(8) is in the circumstances of this matter incompetent, and the application </w:t>
      </w:r>
      <w:r w:rsidR="00C91D8A">
        <w:rPr>
          <w:rFonts w:ascii="Arial" w:hAnsi="Arial" w:cs="Arial"/>
          <w:sz w:val="24"/>
          <w:szCs w:val="24"/>
        </w:rPr>
        <w:t>falls to</w:t>
      </w:r>
      <w:r w:rsidR="00E343B5">
        <w:rPr>
          <w:rFonts w:ascii="Arial" w:hAnsi="Arial" w:cs="Arial"/>
          <w:sz w:val="24"/>
          <w:szCs w:val="24"/>
        </w:rPr>
        <w:t xml:space="preserve"> be dismissed.</w:t>
      </w:r>
    </w:p>
    <w:p w:rsidR="00C91D8A" w:rsidRDefault="00C91D8A" w:rsidP="007748A6">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Even though this court would have been inclined to grant the anticipation application, it would still not have granted the reconsideration application as that application is not before it. Like it was said earlier, the relief the first and second respondents seek in the application before this court is for both the reconsideration of the order and the anticipation of the rule </w:t>
      </w:r>
      <w:r w:rsidRPr="00B558C1">
        <w:rPr>
          <w:rFonts w:ascii="Arial" w:hAnsi="Arial" w:cs="Arial"/>
          <w:i/>
          <w:sz w:val="24"/>
          <w:szCs w:val="24"/>
        </w:rPr>
        <w:t>nisi</w:t>
      </w:r>
      <w:r>
        <w:rPr>
          <w:rFonts w:ascii="Arial" w:hAnsi="Arial" w:cs="Arial"/>
          <w:sz w:val="24"/>
          <w:szCs w:val="24"/>
        </w:rPr>
        <w:t xml:space="preserve"> that were granted on 30 April 2022. However, the affidavit attached to the application that is before this court pertains only to the anticipation of the rule </w:t>
      </w:r>
      <w:r w:rsidRPr="00B558C1">
        <w:rPr>
          <w:rFonts w:ascii="Arial" w:hAnsi="Arial" w:cs="Arial"/>
          <w:i/>
          <w:sz w:val="24"/>
          <w:szCs w:val="24"/>
        </w:rPr>
        <w:t>nisi</w:t>
      </w:r>
      <w:r>
        <w:rPr>
          <w:rFonts w:ascii="Arial" w:hAnsi="Arial" w:cs="Arial"/>
          <w:sz w:val="24"/>
          <w:szCs w:val="24"/>
        </w:rPr>
        <w:t>. The affidavit and evidence that pertains to the reconsideration of the order is attached to the notice of motion that was allegedly heard by Khumalo J on 3 May 2022. The affidavit that is before this court does not incorporate the evidence that is in the affidavit pertaining to the reconsideration application. As it was stated earlier, the affidavit before this court refers in some parts to the affidavit in the reconsideration application but does not explain on what basis that evidence is referred to, even then, the evidence that is referred to, does not have any</w:t>
      </w:r>
      <w:r w:rsidR="003A1EAC">
        <w:rPr>
          <w:rFonts w:ascii="Arial" w:hAnsi="Arial" w:cs="Arial"/>
          <w:sz w:val="24"/>
          <w:szCs w:val="24"/>
        </w:rPr>
        <w:t xml:space="preserve"> bearing whatsoever on </w:t>
      </w:r>
      <w:r>
        <w:rPr>
          <w:rFonts w:ascii="Arial" w:hAnsi="Arial" w:cs="Arial"/>
          <w:sz w:val="24"/>
          <w:szCs w:val="24"/>
        </w:rPr>
        <w:t xml:space="preserve">the anticipation of the rule </w:t>
      </w:r>
      <w:r w:rsidRPr="00B558C1">
        <w:rPr>
          <w:rFonts w:ascii="Arial" w:hAnsi="Arial" w:cs="Arial"/>
          <w:i/>
          <w:sz w:val="24"/>
          <w:szCs w:val="24"/>
        </w:rPr>
        <w:t>nisi</w:t>
      </w:r>
      <w:r>
        <w:rPr>
          <w:rFonts w:ascii="Arial" w:hAnsi="Arial" w:cs="Arial"/>
          <w:sz w:val="24"/>
          <w:szCs w:val="24"/>
        </w:rPr>
        <w:t>. As such, this court does not have to consider that evidence. There is thus no evidence before this court in support of the reconsideration application.</w:t>
      </w:r>
    </w:p>
    <w:p w:rsidR="003838EA" w:rsidRDefault="003838EA" w:rsidP="007748A6">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E343B5">
        <w:rPr>
          <w:rFonts w:ascii="Arial" w:hAnsi="Arial" w:cs="Arial"/>
          <w:sz w:val="24"/>
          <w:szCs w:val="24"/>
        </w:rPr>
        <w:t xml:space="preserve">The first </w:t>
      </w:r>
      <w:r w:rsidR="001B737F">
        <w:rPr>
          <w:rFonts w:ascii="Arial" w:hAnsi="Arial" w:cs="Arial"/>
          <w:sz w:val="24"/>
          <w:szCs w:val="24"/>
        </w:rPr>
        <w:t xml:space="preserve">and second </w:t>
      </w:r>
      <w:r w:rsidR="00E343B5">
        <w:rPr>
          <w:rFonts w:ascii="Arial" w:hAnsi="Arial" w:cs="Arial"/>
          <w:sz w:val="24"/>
          <w:szCs w:val="24"/>
        </w:rPr>
        <w:t>applicants</w:t>
      </w:r>
      <w:r w:rsidR="001B737F">
        <w:rPr>
          <w:rFonts w:ascii="Arial" w:hAnsi="Arial" w:cs="Arial"/>
          <w:sz w:val="24"/>
          <w:szCs w:val="24"/>
        </w:rPr>
        <w:t>’</w:t>
      </w:r>
      <w:r w:rsidR="00E343B5">
        <w:rPr>
          <w:rFonts w:ascii="Arial" w:hAnsi="Arial" w:cs="Arial"/>
          <w:sz w:val="24"/>
          <w:szCs w:val="24"/>
        </w:rPr>
        <w:t xml:space="preserve"> counsel applied for a</w:t>
      </w:r>
      <w:r w:rsidR="004F3B3E">
        <w:rPr>
          <w:rFonts w:ascii="Arial" w:hAnsi="Arial" w:cs="Arial"/>
          <w:sz w:val="24"/>
          <w:szCs w:val="24"/>
        </w:rPr>
        <w:t xml:space="preserve"> punitive cost </w:t>
      </w:r>
      <w:r w:rsidR="00E343B5">
        <w:rPr>
          <w:rFonts w:ascii="Arial" w:hAnsi="Arial" w:cs="Arial"/>
          <w:sz w:val="24"/>
          <w:szCs w:val="24"/>
        </w:rPr>
        <w:t>order</w:t>
      </w:r>
      <w:r w:rsidR="004F3B3E">
        <w:rPr>
          <w:rFonts w:ascii="Arial" w:hAnsi="Arial" w:cs="Arial"/>
          <w:sz w:val="24"/>
          <w:szCs w:val="24"/>
        </w:rPr>
        <w:t xml:space="preserve"> against the first respondent personally raising various grounds for such application. I am however not of the view that the circumstances of this case calls for </w:t>
      </w:r>
      <w:r w:rsidR="001B737F">
        <w:rPr>
          <w:rFonts w:ascii="Arial" w:hAnsi="Arial" w:cs="Arial"/>
          <w:sz w:val="24"/>
          <w:szCs w:val="24"/>
        </w:rPr>
        <w:t xml:space="preserve">a </w:t>
      </w:r>
      <w:r w:rsidR="004F3B3E">
        <w:rPr>
          <w:rFonts w:ascii="Arial" w:hAnsi="Arial" w:cs="Arial"/>
          <w:sz w:val="24"/>
          <w:szCs w:val="24"/>
        </w:rPr>
        <w:t xml:space="preserve">cost </w:t>
      </w:r>
      <w:r w:rsidR="001B737F">
        <w:rPr>
          <w:rFonts w:ascii="Arial" w:hAnsi="Arial" w:cs="Arial"/>
          <w:sz w:val="24"/>
          <w:szCs w:val="24"/>
        </w:rPr>
        <w:t xml:space="preserve">order to be awarded </w:t>
      </w:r>
      <w:r w:rsidR="004F3B3E">
        <w:rPr>
          <w:rFonts w:ascii="Arial" w:hAnsi="Arial" w:cs="Arial"/>
          <w:sz w:val="24"/>
          <w:szCs w:val="24"/>
        </w:rPr>
        <w:t>against the first respondent personally. As argued by his counsel, the first respondent is obligated in terms of the Companies Act to protect the second respondent.</w:t>
      </w:r>
    </w:p>
    <w:p w:rsidR="00E343B5" w:rsidRDefault="003838EA" w:rsidP="007748A6">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E343B5">
        <w:rPr>
          <w:rFonts w:ascii="Arial" w:hAnsi="Arial" w:cs="Arial"/>
          <w:sz w:val="24"/>
          <w:szCs w:val="24"/>
        </w:rPr>
        <w:t xml:space="preserve"> </w:t>
      </w:r>
      <w:r w:rsidR="00C91D8A">
        <w:rPr>
          <w:rFonts w:ascii="Arial" w:hAnsi="Arial" w:cs="Arial"/>
          <w:sz w:val="24"/>
          <w:szCs w:val="24"/>
        </w:rPr>
        <w:t>In the circumstances</w:t>
      </w:r>
      <w:r w:rsidR="00F64717">
        <w:rPr>
          <w:rFonts w:ascii="Arial" w:hAnsi="Arial" w:cs="Arial"/>
          <w:sz w:val="24"/>
          <w:szCs w:val="24"/>
        </w:rPr>
        <w:t xml:space="preserve"> the following order</w:t>
      </w:r>
      <w:r w:rsidR="00C91D8A">
        <w:rPr>
          <w:rFonts w:ascii="Arial" w:hAnsi="Arial" w:cs="Arial"/>
          <w:sz w:val="24"/>
          <w:szCs w:val="24"/>
        </w:rPr>
        <w:t xml:space="preserve"> is made</w:t>
      </w:r>
      <w:r>
        <w:rPr>
          <w:rFonts w:ascii="Arial" w:hAnsi="Arial" w:cs="Arial"/>
          <w:sz w:val="24"/>
          <w:szCs w:val="24"/>
        </w:rPr>
        <w:t>:</w:t>
      </w:r>
    </w:p>
    <w:p w:rsidR="003838EA" w:rsidRPr="00472E6D" w:rsidRDefault="00472E6D" w:rsidP="00472E6D">
      <w:pPr>
        <w:spacing w:line="360" w:lineRule="auto"/>
        <w:ind w:left="720" w:hanging="36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F64717" w:rsidRPr="00472E6D">
        <w:rPr>
          <w:rFonts w:ascii="Arial" w:hAnsi="Arial" w:cs="Arial"/>
          <w:sz w:val="24"/>
          <w:szCs w:val="24"/>
        </w:rPr>
        <w:t>The anticipation application and the reconsideration application are dismissed.</w:t>
      </w:r>
    </w:p>
    <w:p w:rsidR="00F64717" w:rsidRPr="00472E6D" w:rsidRDefault="00472E6D" w:rsidP="00472E6D">
      <w:pPr>
        <w:spacing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F64717" w:rsidRPr="00472E6D">
        <w:rPr>
          <w:rFonts w:ascii="Arial" w:hAnsi="Arial" w:cs="Arial"/>
          <w:sz w:val="24"/>
          <w:szCs w:val="24"/>
        </w:rPr>
        <w:t>The first and second respondent</w:t>
      </w:r>
      <w:r w:rsidR="00AB397A" w:rsidRPr="00472E6D">
        <w:rPr>
          <w:rFonts w:ascii="Arial" w:hAnsi="Arial" w:cs="Arial"/>
          <w:sz w:val="24"/>
          <w:szCs w:val="24"/>
        </w:rPr>
        <w:t>s</w:t>
      </w:r>
      <w:r w:rsidR="00F64717" w:rsidRPr="00472E6D">
        <w:rPr>
          <w:rFonts w:ascii="Arial" w:hAnsi="Arial" w:cs="Arial"/>
          <w:sz w:val="24"/>
          <w:szCs w:val="24"/>
        </w:rPr>
        <w:t xml:space="preserve"> are ordered to pay</w:t>
      </w:r>
      <w:r w:rsidR="00C91D8A" w:rsidRPr="00472E6D">
        <w:rPr>
          <w:rFonts w:ascii="Arial" w:hAnsi="Arial" w:cs="Arial"/>
          <w:sz w:val="24"/>
          <w:szCs w:val="24"/>
        </w:rPr>
        <w:t>, jointly and severally,</w:t>
      </w:r>
      <w:r w:rsidR="00F64717" w:rsidRPr="00472E6D">
        <w:rPr>
          <w:rFonts w:ascii="Arial" w:hAnsi="Arial" w:cs="Arial"/>
          <w:sz w:val="24"/>
          <w:szCs w:val="24"/>
        </w:rPr>
        <w:t xml:space="preserve"> the costs of </w:t>
      </w:r>
      <w:r w:rsidR="00AB397A" w:rsidRPr="00472E6D">
        <w:rPr>
          <w:rFonts w:ascii="Arial" w:hAnsi="Arial" w:cs="Arial"/>
          <w:sz w:val="24"/>
          <w:szCs w:val="24"/>
        </w:rPr>
        <w:t xml:space="preserve">the first and second applicants and the third respondent in </w:t>
      </w:r>
      <w:r w:rsidR="00F64717" w:rsidRPr="00472E6D">
        <w:rPr>
          <w:rFonts w:ascii="Arial" w:hAnsi="Arial" w:cs="Arial"/>
          <w:sz w:val="24"/>
          <w:szCs w:val="24"/>
        </w:rPr>
        <w:t>both applications.</w:t>
      </w:r>
    </w:p>
    <w:p w:rsidR="00AD2A16" w:rsidRDefault="00AD2A16" w:rsidP="00AD2A16">
      <w:pPr>
        <w:pStyle w:val="ListParagraph"/>
        <w:spacing w:line="360" w:lineRule="auto"/>
        <w:jc w:val="both"/>
        <w:rPr>
          <w:rFonts w:ascii="Arial" w:hAnsi="Arial" w:cs="Arial"/>
          <w:sz w:val="24"/>
          <w:szCs w:val="24"/>
        </w:rPr>
      </w:pPr>
    </w:p>
    <w:p w:rsidR="000D5FE6" w:rsidRDefault="000D5FE6" w:rsidP="00AD2A16">
      <w:pPr>
        <w:pStyle w:val="ListParagraph"/>
        <w:spacing w:line="360" w:lineRule="auto"/>
        <w:jc w:val="both"/>
        <w:rPr>
          <w:rFonts w:ascii="Arial" w:hAnsi="Arial" w:cs="Arial"/>
          <w:sz w:val="24"/>
          <w:szCs w:val="24"/>
        </w:rPr>
      </w:pPr>
    </w:p>
    <w:p w:rsidR="000D5FE6" w:rsidRDefault="000D5FE6" w:rsidP="00AD2A16">
      <w:pPr>
        <w:pStyle w:val="ListParagraph"/>
        <w:spacing w:line="360" w:lineRule="auto"/>
        <w:jc w:val="both"/>
        <w:rPr>
          <w:rFonts w:ascii="Arial" w:hAnsi="Arial" w:cs="Arial"/>
          <w:sz w:val="24"/>
          <w:szCs w:val="24"/>
        </w:rPr>
      </w:pPr>
    </w:p>
    <w:p w:rsidR="00AD2A16" w:rsidRPr="00C11435" w:rsidRDefault="00AD2A16" w:rsidP="00AD2A16">
      <w:pPr>
        <w:jc w:val="right"/>
        <w:rPr>
          <w:rFonts w:ascii="Segoe UI" w:hAnsi="Segoe UI" w:cs="Segoe UI"/>
          <w:sz w:val="24"/>
          <w:szCs w:val="24"/>
        </w:rPr>
      </w:pPr>
      <w:r w:rsidRPr="00C11435">
        <w:rPr>
          <w:rFonts w:ascii="Segoe UI" w:hAnsi="Segoe UI" w:cs="Segoe UI"/>
          <w:sz w:val="24"/>
          <w:szCs w:val="24"/>
        </w:rPr>
        <w:t xml:space="preserve">_________________________________  </w:t>
      </w:r>
    </w:p>
    <w:p w:rsidR="00AD2A16" w:rsidRPr="00C11435" w:rsidRDefault="00AD2A16" w:rsidP="00AD2A16">
      <w:pPr>
        <w:jc w:val="right"/>
        <w:rPr>
          <w:rFonts w:ascii="Segoe UI" w:hAnsi="Segoe UI" w:cs="Segoe UI"/>
          <w:b/>
          <w:sz w:val="24"/>
          <w:szCs w:val="24"/>
        </w:rPr>
      </w:pPr>
      <w:r w:rsidRPr="00C11435">
        <w:rPr>
          <w:rFonts w:ascii="Segoe UI" w:hAnsi="Segoe UI" w:cs="Segoe UI"/>
          <w:sz w:val="24"/>
          <w:szCs w:val="24"/>
        </w:rPr>
        <w:tab/>
      </w:r>
      <w:r w:rsidRPr="00C11435">
        <w:rPr>
          <w:rFonts w:ascii="Segoe UI" w:hAnsi="Segoe UI" w:cs="Segoe UI"/>
          <w:sz w:val="24"/>
          <w:szCs w:val="24"/>
        </w:rPr>
        <w:tab/>
      </w:r>
      <w:r w:rsidRPr="00C11435">
        <w:rPr>
          <w:rFonts w:ascii="Segoe UI" w:hAnsi="Segoe UI" w:cs="Segoe UI"/>
          <w:sz w:val="24"/>
          <w:szCs w:val="24"/>
        </w:rPr>
        <w:tab/>
      </w:r>
      <w:r w:rsidRPr="00C11435">
        <w:rPr>
          <w:rFonts w:ascii="Segoe UI" w:hAnsi="Segoe UI" w:cs="Segoe UI"/>
          <w:sz w:val="24"/>
          <w:szCs w:val="24"/>
        </w:rPr>
        <w:tab/>
      </w:r>
      <w:r w:rsidRPr="00C11435">
        <w:rPr>
          <w:rFonts w:ascii="Segoe UI" w:hAnsi="Segoe UI" w:cs="Segoe UI"/>
          <w:sz w:val="24"/>
          <w:szCs w:val="24"/>
        </w:rPr>
        <w:tab/>
        <w:t xml:space="preserve"> </w:t>
      </w:r>
      <w:r w:rsidRPr="00C11435">
        <w:rPr>
          <w:rFonts w:ascii="Segoe UI" w:hAnsi="Segoe UI" w:cs="Segoe UI"/>
          <w:sz w:val="24"/>
          <w:szCs w:val="24"/>
        </w:rPr>
        <w:tab/>
        <w:t xml:space="preserve">             </w:t>
      </w:r>
      <w:r w:rsidRPr="00C11435">
        <w:rPr>
          <w:rFonts w:ascii="Segoe UI" w:hAnsi="Segoe UI" w:cs="Segoe UI"/>
          <w:b/>
          <w:sz w:val="24"/>
          <w:szCs w:val="24"/>
        </w:rPr>
        <w:t>E.M KUBUSHI</w:t>
      </w:r>
    </w:p>
    <w:p w:rsidR="00AD2A16" w:rsidRPr="00C11435" w:rsidRDefault="00AD2A16" w:rsidP="00AD2A16">
      <w:pPr>
        <w:jc w:val="right"/>
        <w:rPr>
          <w:rFonts w:ascii="Segoe UI" w:hAnsi="Segoe UI" w:cs="Segoe UI"/>
          <w:b/>
          <w:sz w:val="24"/>
          <w:szCs w:val="24"/>
        </w:rPr>
      </w:pPr>
      <w:r w:rsidRPr="00C11435">
        <w:rPr>
          <w:rFonts w:ascii="Segoe UI" w:hAnsi="Segoe UI" w:cs="Segoe UI"/>
          <w:b/>
          <w:sz w:val="24"/>
          <w:szCs w:val="24"/>
        </w:rPr>
        <w:tab/>
      </w:r>
      <w:r w:rsidRPr="00C11435">
        <w:rPr>
          <w:rFonts w:ascii="Segoe UI" w:hAnsi="Segoe UI" w:cs="Segoe UI"/>
          <w:b/>
          <w:sz w:val="24"/>
          <w:szCs w:val="24"/>
        </w:rPr>
        <w:tab/>
      </w:r>
      <w:r w:rsidRPr="00C11435">
        <w:rPr>
          <w:rFonts w:ascii="Segoe UI" w:hAnsi="Segoe UI" w:cs="Segoe UI"/>
          <w:b/>
          <w:sz w:val="24"/>
          <w:szCs w:val="24"/>
        </w:rPr>
        <w:tab/>
      </w:r>
      <w:r w:rsidRPr="00C11435">
        <w:rPr>
          <w:rFonts w:ascii="Segoe UI" w:hAnsi="Segoe UI" w:cs="Segoe UI"/>
          <w:b/>
          <w:sz w:val="24"/>
          <w:szCs w:val="24"/>
        </w:rPr>
        <w:tab/>
      </w:r>
      <w:r w:rsidRPr="00C11435">
        <w:rPr>
          <w:rFonts w:ascii="Segoe UI" w:hAnsi="Segoe UI" w:cs="Segoe UI"/>
          <w:b/>
          <w:sz w:val="24"/>
          <w:szCs w:val="24"/>
        </w:rPr>
        <w:tab/>
        <w:t xml:space="preserve"> </w:t>
      </w:r>
      <w:r w:rsidRPr="00C11435">
        <w:rPr>
          <w:rFonts w:ascii="Segoe UI" w:hAnsi="Segoe UI" w:cs="Segoe UI"/>
          <w:b/>
          <w:sz w:val="24"/>
          <w:szCs w:val="24"/>
        </w:rPr>
        <w:tab/>
        <w:t xml:space="preserve">        JUDGE OF THE HIGH COURT</w:t>
      </w:r>
    </w:p>
    <w:p w:rsidR="00AD2A16" w:rsidRPr="00C11435" w:rsidRDefault="00AD2A16" w:rsidP="00AD2A16">
      <w:pPr>
        <w:jc w:val="right"/>
        <w:rPr>
          <w:rFonts w:ascii="Segoe UI" w:hAnsi="Segoe UI" w:cs="Segoe UI"/>
          <w:b/>
          <w:sz w:val="24"/>
          <w:szCs w:val="24"/>
        </w:rPr>
      </w:pPr>
      <w:r w:rsidRPr="00C11435">
        <w:rPr>
          <w:rFonts w:ascii="Segoe UI" w:hAnsi="Segoe UI" w:cs="Segoe UI"/>
          <w:b/>
          <w:sz w:val="24"/>
          <w:szCs w:val="24"/>
        </w:rPr>
        <w:t>GAUTENG DIVISION, PRETORIA</w:t>
      </w:r>
    </w:p>
    <w:p w:rsidR="000D5FE6" w:rsidRDefault="000D5FE6" w:rsidP="00AD2A16">
      <w:pPr>
        <w:rPr>
          <w:rFonts w:ascii="Arial" w:hAnsi="Arial" w:cs="Arial"/>
          <w:sz w:val="24"/>
          <w:szCs w:val="24"/>
          <w:u w:val="single"/>
        </w:rPr>
      </w:pPr>
    </w:p>
    <w:p w:rsidR="000D5FE6" w:rsidRDefault="000D5FE6" w:rsidP="00AD2A16">
      <w:pPr>
        <w:rPr>
          <w:rFonts w:ascii="Arial" w:hAnsi="Arial" w:cs="Arial"/>
          <w:sz w:val="24"/>
          <w:szCs w:val="24"/>
          <w:u w:val="single"/>
        </w:rPr>
      </w:pPr>
    </w:p>
    <w:p w:rsidR="00AD2A16" w:rsidRDefault="00583F78" w:rsidP="00AD2A16">
      <w:pPr>
        <w:rPr>
          <w:rFonts w:ascii="Arial" w:hAnsi="Arial" w:cs="Arial"/>
          <w:sz w:val="24"/>
          <w:szCs w:val="24"/>
        </w:rPr>
      </w:pPr>
      <w:r w:rsidRPr="00AD2A16">
        <w:rPr>
          <w:rFonts w:ascii="Arial" w:hAnsi="Arial" w:cs="Arial"/>
          <w:sz w:val="24"/>
          <w:szCs w:val="24"/>
          <w:u w:val="single"/>
        </w:rPr>
        <w:t>APPEARANCE</w:t>
      </w:r>
      <w:r w:rsidRPr="00AD2A16">
        <w:rPr>
          <w:rFonts w:ascii="Arial" w:hAnsi="Arial" w:cs="Arial"/>
          <w:sz w:val="24"/>
          <w:szCs w:val="24"/>
        </w:rPr>
        <w:t>:</w:t>
      </w:r>
    </w:p>
    <w:p w:rsidR="000D5FE6" w:rsidRDefault="000D5FE6" w:rsidP="00AD2A16">
      <w:pPr>
        <w:rPr>
          <w:rFonts w:ascii="Arial" w:hAnsi="Arial" w:cs="Arial"/>
          <w:sz w:val="24"/>
          <w:szCs w:val="24"/>
        </w:rPr>
      </w:pPr>
      <w:r>
        <w:rPr>
          <w:rFonts w:ascii="Arial" w:hAnsi="Arial" w:cs="Arial"/>
          <w:sz w:val="24"/>
          <w:szCs w:val="24"/>
        </w:rPr>
        <w:t xml:space="preserve">FIRST &amp; SECOND </w:t>
      </w:r>
      <w:r w:rsidR="00AD2A16" w:rsidRPr="00AD2A16">
        <w:rPr>
          <w:rFonts w:ascii="Arial" w:hAnsi="Arial" w:cs="Arial"/>
          <w:sz w:val="24"/>
          <w:szCs w:val="24"/>
        </w:rPr>
        <w:t>APPLICANT</w:t>
      </w:r>
      <w:r>
        <w:rPr>
          <w:rFonts w:ascii="Arial" w:hAnsi="Arial" w:cs="Arial"/>
          <w:sz w:val="24"/>
          <w:szCs w:val="24"/>
        </w:rPr>
        <w:t>S</w:t>
      </w:r>
      <w:r w:rsidR="00AD2A16" w:rsidRPr="00AD2A16">
        <w:rPr>
          <w:rFonts w:ascii="Arial" w:hAnsi="Arial" w:cs="Arial"/>
          <w:sz w:val="24"/>
          <w:szCs w:val="24"/>
        </w:rPr>
        <w:t xml:space="preserve"> COUNSEL</w:t>
      </w:r>
      <w:r>
        <w:rPr>
          <w:rFonts w:ascii="Arial" w:hAnsi="Arial" w:cs="Arial"/>
          <w:sz w:val="24"/>
          <w:szCs w:val="24"/>
        </w:rPr>
        <w:t>:</w:t>
      </w:r>
      <w:r>
        <w:rPr>
          <w:rFonts w:ascii="Arial" w:hAnsi="Arial" w:cs="Arial"/>
          <w:sz w:val="24"/>
          <w:szCs w:val="24"/>
        </w:rPr>
        <w:tab/>
      </w:r>
      <w:r>
        <w:rPr>
          <w:rFonts w:ascii="Arial" w:hAnsi="Arial" w:cs="Arial"/>
          <w:sz w:val="24"/>
          <w:szCs w:val="24"/>
        </w:rPr>
        <w:tab/>
      </w:r>
      <w:r w:rsidR="00583F78">
        <w:rPr>
          <w:rFonts w:ascii="Arial" w:hAnsi="Arial" w:cs="Arial"/>
          <w:sz w:val="24"/>
          <w:szCs w:val="24"/>
        </w:rPr>
        <w:t>ADV BASSON</w:t>
      </w:r>
      <w:r w:rsidR="00583F78">
        <w:rPr>
          <w:rFonts w:ascii="Arial" w:hAnsi="Arial" w:cs="Arial"/>
          <w:sz w:val="24"/>
          <w:szCs w:val="24"/>
        </w:rPr>
        <w:tab/>
      </w:r>
    </w:p>
    <w:p w:rsidR="000D5FE6" w:rsidRDefault="000D5FE6" w:rsidP="00AD2A16">
      <w:pPr>
        <w:rPr>
          <w:rFonts w:ascii="Segoe UI" w:hAnsi="Segoe UI" w:cs="Segoe UI"/>
          <w:sz w:val="24"/>
          <w:szCs w:val="24"/>
        </w:rPr>
      </w:pPr>
      <w:r w:rsidRPr="00C11435">
        <w:rPr>
          <w:rFonts w:ascii="Segoe UI" w:hAnsi="Segoe UI" w:cs="Segoe UI"/>
          <w:sz w:val="24"/>
          <w:szCs w:val="24"/>
        </w:rPr>
        <w:t>APPLICANT’S ATTORNEYS</w:t>
      </w:r>
      <w:r>
        <w:rPr>
          <w:rFonts w:ascii="Segoe UI" w:hAnsi="Segoe UI" w:cs="Segoe UI"/>
          <w:sz w:val="24"/>
          <w:szCs w:val="24"/>
        </w:rPr>
        <w:t>:</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GERHARD WAGENAAR ATTORNEYS</w:t>
      </w:r>
    </w:p>
    <w:p w:rsidR="000D5FE6" w:rsidRDefault="000D5FE6" w:rsidP="00AD2A16">
      <w:pPr>
        <w:rPr>
          <w:rFonts w:ascii="Arial" w:hAnsi="Arial" w:cs="Arial"/>
          <w:sz w:val="24"/>
          <w:szCs w:val="24"/>
        </w:rPr>
      </w:pPr>
    </w:p>
    <w:p w:rsidR="00AD2A16" w:rsidRDefault="000D5FE6" w:rsidP="00AD2A16">
      <w:pPr>
        <w:rPr>
          <w:rFonts w:ascii="Arial" w:hAnsi="Arial" w:cs="Arial"/>
          <w:sz w:val="24"/>
          <w:szCs w:val="24"/>
        </w:rPr>
      </w:pPr>
      <w:r>
        <w:rPr>
          <w:rFonts w:ascii="Arial" w:hAnsi="Arial" w:cs="Arial"/>
          <w:sz w:val="24"/>
          <w:szCs w:val="24"/>
        </w:rPr>
        <w:t>FIRST AND SECOND REPONDENTS COUNSEL</w:t>
      </w:r>
      <w:r w:rsidR="00583F78">
        <w:rPr>
          <w:rFonts w:ascii="Arial" w:hAnsi="Arial" w:cs="Arial"/>
          <w:sz w:val="24"/>
          <w:szCs w:val="24"/>
        </w:rPr>
        <w:t>:</w:t>
      </w:r>
      <w:r>
        <w:rPr>
          <w:rFonts w:ascii="Arial" w:hAnsi="Arial" w:cs="Arial"/>
          <w:sz w:val="24"/>
          <w:szCs w:val="24"/>
        </w:rPr>
        <w:tab/>
      </w:r>
      <w:r w:rsidR="00583F78">
        <w:rPr>
          <w:rFonts w:ascii="Arial" w:hAnsi="Arial" w:cs="Arial"/>
          <w:sz w:val="24"/>
          <w:szCs w:val="24"/>
        </w:rPr>
        <w:t>ADV DU PLESSIS(SC)</w:t>
      </w:r>
      <w:r w:rsidR="00583F78">
        <w:rPr>
          <w:rFonts w:ascii="Arial" w:hAnsi="Arial" w:cs="Arial"/>
          <w:sz w:val="24"/>
          <w:szCs w:val="24"/>
        </w:rPr>
        <w:tab/>
      </w:r>
    </w:p>
    <w:p w:rsidR="000D5FE6" w:rsidRDefault="00583F78" w:rsidP="00583F78">
      <w:pPr>
        <w:rPr>
          <w:rFonts w:ascii="Arial" w:hAnsi="Arial" w:cs="Arial"/>
          <w:sz w:val="24"/>
          <w:szCs w:val="24"/>
        </w:rPr>
      </w:pPr>
      <w:r>
        <w:rPr>
          <w:rFonts w:ascii="Arial" w:hAnsi="Arial" w:cs="Arial"/>
          <w:sz w:val="24"/>
          <w:szCs w:val="24"/>
        </w:rPr>
        <w:t>FIRST AND SECOND REPONDENTS’ ATTORNEYS:</w:t>
      </w:r>
      <w:r>
        <w:rPr>
          <w:rFonts w:ascii="Arial" w:hAnsi="Arial" w:cs="Arial"/>
          <w:sz w:val="24"/>
          <w:szCs w:val="24"/>
        </w:rPr>
        <w:tab/>
        <w:t xml:space="preserve"> THE STATE ATTORNEY</w:t>
      </w:r>
    </w:p>
    <w:p w:rsidR="00583F78" w:rsidRDefault="00583F78" w:rsidP="00583F78">
      <w:pPr>
        <w:rPr>
          <w:rFonts w:ascii="Arial" w:hAnsi="Arial" w:cs="Arial"/>
          <w:sz w:val="24"/>
          <w:szCs w:val="24"/>
        </w:rPr>
      </w:pPr>
    </w:p>
    <w:p w:rsidR="000D5FE6" w:rsidRDefault="00583F78" w:rsidP="00AD2A16">
      <w:pPr>
        <w:rPr>
          <w:rFonts w:ascii="Arial" w:hAnsi="Arial" w:cs="Arial"/>
          <w:sz w:val="24"/>
          <w:szCs w:val="24"/>
        </w:rPr>
      </w:pPr>
      <w:r>
        <w:rPr>
          <w:rFonts w:ascii="Arial" w:hAnsi="Arial" w:cs="Arial"/>
          <w:sz w:val="24"/>
          <w:szCs w:val="24"/>
        </w:rPr>
        <w:t>THIRD RESPONDENT COUNSEL:</w:t>
      </w:r>
      <w:r>
        <w:rPr>
          <w:rFonts w:ascii="Arial" w:hAnsi="Arial" w:cs="Arial"/>
          <w:sz w:val="24"/>
          <w:szCs w:val="24"/>
        </w:rPr>
        <w:tab/>
        <w:t>ADV VAN DER MERWE</w:t>
      </w:r>
    </w:p>
    <w:p w:rsidR="00583F78" w:rsidRPr="00AD2A16" w:rsidRDefault="00583F78" w:rsidP="00583F78">
      <w:pPr>
        <w:rPr>
          <w:rFonts w:ascii="Arial" w:hAnsi="Arial" w:cs="Arial"/>
          <w:b/>
          <w:sz w:val="24"/>
          <w:szCs w:val="24"/>
        </w:rPr>
      </w:pPr>
      <w:r>
        <w:rPr>
          <w:rFonts w:ascii="Arial" w:hAnsi="Arial" w:cs="Arial"/>
          <w:sz w:val="24"/>
          <w:szCs w:val="24"/>
        </w:rPr>
        <w:t>THIRD RESPONDENT:</w:t>
      </w:r>
      <w:r>
        <w:rPr>
          <w:rFonts w:ascii="Arial" w:hAnsi="Arial" w:cs="Arial"/>
          <w:sz w:val="24"/>
          <w:szCs w:val="24"/>
        </w:rPr>
        <w:tab/>
      </w:r>
      <w:r>
        <w:rPr>
          <w:rFonts w:ascii="Arial" w:hAnsi="Arial" w:cs="Arial"/>
          <w:sz w:val="24"/>
          <w:szCs w:val="24"/>
        </w:rPr>
        <w:tab/>
      </w:r>
      <w:r>
        <w:rPr>
          <w:rFonts w:ascii="Arial" w:hAnsi="Arial" w:cs="Arial"/>
          <w:sz w:val="24"/>
          <w:szCs w:val="24"/>
        </w:rPr>
        <w:tab/>
        <w:t>A KOCK &amp; ASSOCIATES INC.</w:t>
      </w:r>
    </w:p>
    <w:p w:rsidR="00AD2A16" w:rsidRPr="003838EA" w:rsidRDefault="00AD2A16" w:rsidP="00AD2A16">
      <w:pPr>
        <w:pStyle w:val="ListParagraph"/>
        <w:spacing w:line="360" w:lineRule="auto"/>
        <w:jc w:val="both"/>
        <w:rPr>
          <w:rFonts w:ascii="Arial" w:hAnsi="Arial" w:cs="Arial"/>
          <w:sz w:val="24"/>
          <w:szCs w:val="24"/>
        </w:rPr>
      </w:pPr>
    </w:p>
    <w:sectPr w:rsidR="00AD2A16" w:rsidRPr="003838EA" w:rsidSect="0016555B">
      <w:footerReference w:type="default" r:id="rId10"/>
      <w:footerReference w:type="first" r:id="rId11"/>
      <w:pgSz w:w="11906" w:h="16838"/>
      <w:pgMar w:top="1985" w:right="1814" w:bottom="1985"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88" w:rsidRDefault="00210688" w:rsidP="006A1140">
      <w:pPr>
        <w:spacing w:after="0" w:line="240" w:lineRule="auto"/>
      </w:pPr>
      <w:r>
        <w:separator/>
      </w:r>
    </w:p>
  </w:endnote>
  <w:endnote w:type="continuationSeparator" w:id="0">
    <w:p w:rsidR="00210688" w:rsidRDefault="00210688" w:rsidP="006A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134828"/>
      <w:docPartObj>
        <w:docPartGallery w:val="Page Numbers (Bottom of Page)"/>
        <w:docPartUnique/>
      </w:docPartObj>
    </w:sdtPr>
    <w:sdtEndPr>
      <w:rPr>
        <w:color w:val="7F7F7F" w:themeColor="background1" w:themeShade="7F"/>
        <w:spacing w:val="60"/>
      </w:rPr>
    </w:sdtEndPr>
    <w:sdtContent>
      <w:p w:rsidR="00E7062F" w:rsidRDefault="00E7062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72E6D" w:rsidRPr="00472E6D">
          <w:rPr>
            <w:b/>
            <w:bCs/>
            <w:noProof/>
          </w:rPr>
          <w:t>2</w:t>
        </w:r>
        <w:r>
          <w:rPr>
            <w:b/>
            <w:bCs/>
            <w:noProof/>
          </w:rPr>
          <w:fldChar w:fldCharType="end"/>
        </w:r>
        <w:r>
          <w:rPr>
            <w:b/>
            <w:bCs/>
          </w:rPr>
          <w:t xml:space="preserve"> | </w:t>
        </w:r>
        <w:r>
          <w:rPr>
            <w:color w:val="7F7F7F" w:themeColor="background1" w:themeShade="7F"/>
            <w:spacing w:val="60"/>
          </w:rPr>
          <w:t>Page</w:t>
        </w:r>
      </w:p>
    </w:sdtContent>
  </w:sdt>
  <w:p w:rsidR="00E7062F" w:rsidRDefault="00E70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784851"/>
      <w:docPartObj>
        <w:docPartGallery w:val="Page Numbers (Bottom of Page)"/>
        <w:docPartUnique/>
      </w:docPartObj>
    </w:sdtPr>
    <w:sdtEndPr>
      <w:rPr>
        <w:color w:val="7F7F7F" w:themeColor="background1" w:themeShade="7F"/>
        <w:spacing w:val="60"/>
      </w:rPr>
    </w:sdtEndPr>
    <w:sdtContent>
      <w:p w:rsidR="00E7062F" w:rsidRDefault="00E7062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72E6D" w:rsidRPr="00472E6D">
          <w:rPr>
            <w:b/>
            <w:bCs/>
            <w:noProof/>
          </w:rPr>
          <w:t>1</w:t>
        </w:r>
        <w:r>
          <w:rPr>
            <w:b/>
            <w:bCs/>
            <w:noProof/>
          </w:rPr>
          <w:fldChar w:fldCharType="end"/>
        </w:r>
        <w:r>
          <w:rPr>
            <w:b/>
            <w:bCs/>
          </w:rPr>
          <w:t xml:space="preserve"> | </w:t>
        </w:r>
        <w:r>
          <w:rPr>
            <w:color w:val="7F7F7F" w:themeColor="background1" w:themeShade="7F"/>
            <w:spacing w:val="60"/>
          </w:rPr>
          <w:t>Page</w:t>
        </w:r>
      </w:p>
    </w:sdtContent>
  </w:sdt>
  <w:p w:rsidR="00C4682C" w:rsidRDefault="00C4682C" w:rsidP="003A1EAC">
    <w:pPr>
      <w:pStyle w:val="Footer"/>
      <w:tabs>
        <w:tab w:val="clear" w:pos="4513"/>
        <w:tab w:val="clear" w:pos="9026"/>
        <w:tab w:val="left" w:pos="54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88" w:rsidRDefault="00210688" w:rsidP="006A1140">
      <w:pPr>
        <w:spacing w:after="0" w:line="240" w:lineRule="auto"/>
      </w:pPr>
      <w:r>
        <w:separator/>
      </w:r>
    </w:p>
  </w:footnote>
  <w:footnote w:type="continuationSeparator" w:id="0">
    <w:p w:rsidR="00210688" w:rsidRDefault="00210688" w:rsidP="006A1140">
      <w:pPr>
        <w:spacing w:after="0" w:line="240" w:lineRule="auto"/>
      </w:pPr>
      <w:r>
        <w:continuationSeparator/>
      </w:r>
    </w:p>
  </w:footnote>
  <w:footnote w:id="1">
    <w:p w:rsidR="00D8508D" w:rsidRDefault="00D8508D">
      <w:pPr>
        <w:pStyle w:val="FootnoteText"/>
      </w:pPr>
      <w:r>
        <w:rPr>
          <w:rStyle w:val="FootnoteReference"/>
        </w:rPr>
        <w:footnoteRef/>
      </w:r>
      <w:r>
        <w:t xml:space="preserve"> See Erasmus: Superior Court Practice 2</w:t>
      </w:r>
      <w:r w:rsidRPr="00D8508D">
        <w:rPr>
          <w:vertAlign w:val="superscript"/>
        </w:rPr>
        <w:t>nd</w:t>
      </w:r>
      <w:r>
        <w:t xml:space="preserve"> edition Volume 2 pD1-81 and the cases quoted thereat.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2FBF787F"/>
    <w:multiLevelType w:val="hybridMultilevel"/>
    <w:tmpl w:val="9A461C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F1"/>
    <w:rsid w:val="000D5FE6"/>
    <w:rsid w:val="00123056"/>
    <w:rsid w:val="00161620"/>
    <w:rsid w:val="0016555B"/>
    <w:rsid w:val="001660DB"/>
    <w:rsid w:val="001B737F"/>
    <w:rsid w:val="001D3830"/>
    <w:rsid w:val="00210688"/>
    <w:rsid w:val="0026783D"/>
    <w:rsid w:val="002C1158"/>
    <w:rsid w:val="002D4952"/>
    <w:rsid w:val="002E7050"/>
    <w:rsid w:val="003015BD"/>
    <w:rsid w:val="00336CB1"/>
    <w:rsid w:val="003811CA"/>
    <w:rsid w:val="003838EA"/>
    <w:rsid w:val="003A1339"/>
    <w:rsid w:val="003A1EAC"/>
    <w:rsid w:val="004153CD"/>
    <w:rsid w:val="00472E6D"/>
    <w:rsid w:val="004750F9"/>
    <w:rsid w:val="00481D13"/>
    <w:rsid w:val="004E106C"/>
    <w:rsid w:val="004F3B3E"/>
    <w:rsid w:val="004F5BDD"/>
    <w:rsid w:val="0056589A"/>
    <w:rsid w:val="00583F78"/>
    <w:rsid w:val="00610007"/>
    <w:rsid w:val="006A1140"/>
    <w:rsid w:val="006A1F29"/>
    <w:rsid w:val="006C0E4F"/>
    <w:rsid w:val="006C12E9"/>
    <w:rsid w:val="007748A6"/>
    <w:rsid w:val="00810F86"/>
    <w:rsid w:val="0084133F"/>
    <w:rsid w:val="00897E21"/>
    <w:rsid w:val="008B7F89"/>
    <w:rsid w:val="00901EDC"/>
    <w:rsid w:val="009209AB"/>
    <w:rsid w:val="00996E2E"/>
    <w:rsid w:val="009C5EDB"/>
    <w:rsid w:val="009E31B8"/>
    <w:rsid w:val="009F00E0"/>
    <w:rsid w:val="00A03620"/>
    <w:rsid w:val="00AB397A"/>
    <w:rsid w:val="00AD158D"/>
    <w:rsid w:val="00AD2A16"/>
    <w:rsid w:val="00AE39DF"/>
    <w:rsid w:val="00B4007F"/>
    <w:rsid w:val="00BD105D"/>
    <w:rsid w:val="00C35286"/>
    <w:rsid w:val="00C352C2"/>
    <w:rsid w:val="00C4682C"/>
    <w:rsid w:val="00C91D8A"/>
    <w:rsid w:val="00CB7E62"/>
    <w:rsid w:val="00CD4D78"/>
    <w:rsid w:val="00CF6B47"/>
    <w:rsid w:val="00D242F2"/>
    <w:rsid w:val="00D7676D"/>
    <w:rsid w:val="00D8508D"/>
    <w:rsid w:val="00D95FF1"/>
    <w:rsid w:val="00E343B5"/>
    <w:rsid w:val="00E7062F"/>
    <w:rsid w:val="00EC0D8A"/>
    <w:rsid w:val="00ED0A3B"/>
    <w:rsid w:val="00F647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CB27E0-DF9C-4BA9-B28A-F7B27118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11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140"/>
    <w:rPr>
      <w:sz w:val="20"/>
      <w:szCs w:val="20"/>
    </w:rPr>
  </w:style>
  <w:style w:type="character" w:styleId="FootnoteReference">
    <w:name w:val="footnote reference"/>
    <w:basedOn w:val="DefaultParagraphFont"/>
    <w:uiPriority w:val="99"/>
    <w:semiHidden/>
    <w:unhideWhenUsed/>
    <w:rsid w:val="006A1140"/>
    <w:rPr>
      <w:vertAlign w:val="superscript"/>
    </w:rPr>
  </w:style>
  <w:style w:type="paragraph" w:styleId="BalloonText">
    <w:name w:val="Balloon Text"/>
    <w:basedOn w:val="Normal"/>
    <w:link w:val="BalloonTextChar"/>
    <w:uiPriority w:val="99"/>
    <w:semiHidden/>
    <w:unhideWhenUsed/>
    <w:rsid w:val="00920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9AB"/>
    <w:rPr>
      <w:rFonts w:ascii="Segoe UI" w:hAnsi="Segoe UI" w:cs="Segoe UI"/>
      <w:sz w:val="18"/>
      <w:szCs w:val="18"/>
    </w:rPr>
  </w:style>
  <w:style w:type="paragraph" w:styleId="ListParagraph">
    <w:name w:val="List Paragraph"/>
    <w:basedOn w:val="Normal"/>
    <w:uiPriority w:val="34"/>
    <w:qFormat/>
    <w:rsid w:val="003838EA"/>
    <w:pPr>
      <w:ind w:left="720"/>
      <w:contextualSpacing/>
    </w:pPr>
  </w:style>
  <w:style w:type="paragraph" w:styleId="Header">
    <w:name w:val="header"/>
    <w:basedOn w:val="Normal"/>
    <w:link w:val="HeaderChar"/>
    <w:uiPriority w:val="99"/>
    <w:unhideWhenUsed/>
    <w:rsid w:val="00C46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82C"/>
  </w:style>
  <w:style w:type="paragraph" w:styleId="Footer">
    <w:name w:val="footer"/>
    <w:basedOn w:val="Normal"/>
    <w:link w:val="FooterChar"/>
    <w:uiPriority w:val="99"/>
    <w:unhideWhenUsed/>
    <w:rsid w:val="00C46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AA04-C30E-40D6-997E-3F828149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Mokone</cp:lastModifiedBy>
  <cp:revision>3</cp:revision>
  <cp:lastPrinted>2022-05-09T15:31:00Z</cp:lastPrinted>
  <dcterms:created xsi:type="dcterms:W3CDTF">2022-05-20T08:52:00Z</dcterms:created>
  <dcterms:modified xsi:type="dcterms:W3CDTF">2022-05-20T08:53:00Z</dcterms:modified>
</cp:coreProperties>
</file>