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A14" w:rsidRPr="003C28F1" w:rsidRDefault="00B84A14" w:rsidP="00B84A14">
      <w:pPr>
        <w:pStyle w:val="LegalNormal"/>
        <w:spacing w:after="0" w:line="360" w:lineRule="auto"/>
        <w:jc w:val="center"/>
        <w:rPr>
          <w:rFonts w:ascii="Bookman Old Style" w:hAnsi="Bookman Old Style"/>
        </w:rPr>
      </w:pPr>
      <w:r w:rsidRPr="003C28F1">
        <w:rPr>
          <w:rFonts w:ascii="Bookman Old Style" w:hAnsi="Bookman Old Style"/>
          <w:noProof/>
          <w:color w:val="1F497D"/>
          <w:lang w:val="en-ZA" w:eastAsia="en-ZA"/>
        </w:rPr>
        <w:drawing>
          <wp:inline distT="0" distB="0" distL="0" distR="0" wp14:anchorId="1E6628BE" wp14:editId="5035B53F">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B84A14" w:rsidRPr="003C28F1" w:rsidRDefault="00B84A14" w:rsidP="00B84A14">
      <w:pPr>
        <w:pStyle w:val="LegalTitle"/>
        <w:spacing w:after="0" w:line="360" w:lineRule="auto"/>
        <w:rPr>
          <w:rFonts w:ascii="Bookman Old Style" w:hAnsi="Bookman Old Style"/>
          <w:u w:val="single"/>
        </w:rPr>
      </w:pPr>
      <w:r w:rsidRPr="003C28F1">
        <w:rPr>
          <w:rFonts w:ascii="Bookman Old Style" w:hAnsi="Bookman Old Style"/>
          <w:u w:val="single"/>
        </w:rPr>
        <w:t>IN THE HIGH COURT of south africa</w:t>
      </w:r>
    </w:p>
    <w:p w:rsidR="00B84A14" w:rsidRDefault="00B84A14" w:rsidP="00B84A14">
      <w:pPr>
        <w:pStyle w:val="LegalTitle"/>
        <w:spacing w:after="0" w:line="360" w:lineRule="auto"/>
        <w:rPr>
          <w:rFonts w:ascii="Bookman Old Style" w:hAnsi="Bookman Old Style"/>
          <w:u w:val="single"/>
        </w:rPr>
      </w:pPr>
      <w:r w:rsidRPr="003C28F1">
        <w:rPr>
          <w:rFonts w:ascii="Bookman Old Style" w:hAnsi="Bookman Old Style"/>
          <w:u w:val="single"/>
        </w:rPr>
        <w:t>GAUTENG DIVISION, PRETORIA</w:t>
      </w:r>
    </w:p>
    <w:p w:rsidR="00B84A14" w:rsidRPr="003C28F1" w:rsidRDefault="00B84A14" w:rsidP="00B84A14">
      <w:pPr>
        <w:pStyle w:val="LegalAnnexure"/>
        <w:spacing w:after="960" w:line="360" w:lineRule="auto"/>
        <w:jc w:val="center"/>
        <w:rPr>
          <w:rFonts w:ascii="Bookman Old Style" w:hAnsi="Bookman Old Style"/>
          <w:u w:val="single"/>
        </w:rPr>
      </w:pPr>
      <w:r w:rsidRPr="003C28F1">
        <w:rPr>
          <w:rFonts w:ascii="Bookman Old Style" w:hAnsi="Bookman Old Style"/>
          <w:noProof/>
          <w:lang w:val="en-ZA" w:eastAsia="en-ZA"/>
        </w:rPr>
        <mc:AlternateContent>
          <mc:Choice Requires="wps">
            <w:drawing>
              <wp:anchor distT="0" distB="0" distL="114300" distR="114300" simplePos="0" relativeHeight="251659264" behindDoc="0" locked="0" layoutInCell="1" allowOverlap="1" wp14:anchorId="377722E1" wp14:editId="7081E847">
                <wp:simplePos x="0" y="0"/>
                <wp:positionH relativeFrom="column">
                  <wp:posOffset>-45720</wp:posOffset>
                </wp:positionH>
                <wp:positionV relativeFrom="paragraph">
                  <wp:posOffset>36830</wp:posOffset>
                </wp:positionV>
                <wp:extent cx="3368040" cy="1325880"/>
                <wp:effectExtent l="0" t="0" r="2286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1325880"/>
                        </a:xfrm>
                        <a:prstGeom prst="rect">
                          <a:avLst/>
                        </a:prstGeom>
                        <a:solidFill>
                          <a:srgbClr val="FFFFFF"/>
                        </a:solidFill>
                        <a:ln w="9525">
                          <a:solidFill>
                            <a:srgbClr val="000000"/>
                          </a:solidFill>
                          <a:miter lim="800000"/>
                          <a:headEnd/>
                          <a:tailEnd/>
                        </a:ln>
                      </wps:spPr>
                      <wps:txbx>
                        <w:txbxContent>
                          <w:p w:rsidR="00B84A14" w:rsidRPr="009F50D6" w:rsidRDefault="00B84A14" w:rsidP="00B84A14">
                            <w:pPr>
                              <w:numPr>
                                <w:ilvl w:val="0"/>
                                <w:numId w:val="1"/>
                              </w:numPr>
                              <w:spacing w:after="0" w:line="240" w:lineRule="auto"/>
                              <w:rPr>
                                <w:rFonts w:ascii="Century Gothic" w:hAnsi="Century Gothic"/>
                                <w:sz w:val="18"/>
                                <w:szCs w:val="18"/>
                              </w:rPr>
                            </w:pPr>
                            <w:r w:rsidRPr="009F50D6">
                              <w:rPr>
                                <w:rFonts w:ascii="Century Gothic" w:hAnsi="Century Gothic"/>
                                <w:caps/>
                                <w:sz w:val="18"/>
                                <w:szCs w:val="18"/>
                              </w:rPr>
                              <w:t xml:space="preserve">REPORTABLE: </w:t>
                            </w:r>
                            <w:r w:rsidRPr="009F50D6">
                              <w:rPr>
                                <w:rFonts w:ascii="Century Gothic" w:hAnsi="Century Gothic"/>
                                <w:b/>
                                <w:caps/>
                                <w:sz w:val="18"/>
                                <w:szCs w:val="18"/>
                              </w:rPr>
                              <w:t>NO</w:t>
                            </w:r>
                          </w:p>
                          <w:p w:rsidR="00B84A14" w:rsidRPr="009F50D6" w:rsidRDefault="00B84A14" w:rsidP="00B84A14">
                            <w:pPr>
                              <w:numPr>
                                <w:ilvl w:val="0"/>
                                <w:numId w:val="1"/>
                              </w:numPr>
                              <w:spacing w:after="0" w:line="240" w:lineRule="auto"/>
                              <w:rPr>
                                <w:rFonts w:ascii="Century Gothic" w:hAnsi="Century Gothic"/>
                                <w:sz w:val="18"/>
                                <w:szCs w:val="18"/>
                              </w:rPr>
                            </w:pPr>
                            <w:r w:rsidRPr="009F50D6">
                              <w:rPr>
                                <w:rFonts w:ascii="Century Gothic" w:hAnsi="Century Gothic"/>
                                <w:sz w:val="18"/>
                                <w:szCs w:val="18"/>
                              </w:rPr>
                              <w:t xml:space="preserve">OF INTEREST TO OTHER JUDGES: </w:t>
                            </w:r>
                            <w:r w:rsidRPr="009F50D6">
                              <w:rPr>
                                <w:rFonts w:ascii="Century Gothic" w:hAnsi="Century Gothic"/>
                                <w:b/>
                                <w:sz w:val="18"/>
                                <w:szCs w:val="18"/>
                              </w:rPr>
                              <w:t>NO</w:t>
                            </w:r>
                          </w:p>
                          <w:p w:rsidR="00B84A14" w:rsidRPr="009F50D6" w:rsidRDefault="00B84A14" w:rsidP="00B84A14">
                            <w:pPr>
                              <w:numPr>
                                <w:ilvl w:val="0"/>
                                <w:numId w:val="1"/>
                              </w:numPr>
                              <w:spacing w:after="120" w:line="240" w:lineRule="auto"/>
                              <w:ind w:left="901"/>
                              <w:rPr>
                                <w:rFonts w:ascii="Century Gothic" w:hAnsi="Century Gothic"/>
                                <w:sz w:val="18"/>
                                <w:szCs w:val="18"/>
                              </w:rPr>
                            </w:pPr>
                            <w:r w:rsidRPr="009F50D6">
                              <w:rPr>
                                <w:rFonts w:ascii="Century Gothic" w:hAnsi="Century Gothic"/>
                                <w:sz w:val="18"/>
                                <w:szCs w:val="18"/>
                              </w:rPr>
                              <w:t xml:space="preserve">REVISED: </w:t>
                            </w:r>
                          </w:p>
                          <w:p w:rsidR="00B84A14" w:rsidRPr="00380512" w:rsidRDefault="00B84A14" w:rsidP="00B84A14">
                            <w:pPr>
                              <w:spacing w:after="120"/>
                              <w:rPr>
                                <w:rFonts w:ascii="Century Gothic" w:hAnsi="Century Gothic"/>
                                <w:sz w:val="18"/>
                                <w:szCs w:val="18"/>
                              </w:rPr>
                            </w:pPr>
                          </w:p>
                          <w:p w:rsidR="00B84A14" w:rsidRPr="00917C8F" w:rsidRDefault="00B84A14" w:rsidP="00B84A14">
                            <w:pPr>
                              <w:rPr>
                                <w:rFonts w:ascii="Century Gothic" w:hAnsi="Century Gothic"/>
                                <w:sz w:val="18"/>
                                <w:szCs w:val="18"/>
                                <w:u w:val="single"/>
                              </w:rPr>
                            </w:pPr>
                            <w:r>
                              <w:rPr>
                                <w:rFonts w:ascii="Century Gothic" w:hAnsi="Century Gothic"/>
                                <w:sz w:val="18"/>
                                <w:szCs w:val="18"/>
                              </w:rPr>
                              <w:t>Date:</w:t>
                            </w:r>
                            <w:r>
                              <w:rPr>
                                <w:rFonts w:ascii="Century Gothic" w:hAnsi="Century Gothic"/>
                                <w:b/>
                                <w:i/>
                                <w:sz w:val="18"/>
                                <w:szCs w:val="18"/>
                              </w:rPr>
                              <w:t xml:space="preserve"> </w:t>
                            </w:r>
                            <w:r w:rsidR="005260A0" w:rsidRPr="005260A0">
                              <w:rPr>
                                <w:rFonts w:ascii="Century Gothic" w:hAnsi="Century Gothic"/>
                                <w:b/>
                                <w:sz w:val="18"/>
                                <w:szCs w:val="18"/>
                              </w:rPr>
                              <w:t>4</w:t>
                            </w:r>
                            <w:r>
                              <w:rPr>
                                <w:rFonts w:ascii="Century Gothic" w:hAnsi="Century Gothic"/>
                                <w:b/>
                                <w:sz w:val="18"/>
                                <w:szCs w:val="18"/>
                              </w:rPr>
                              <w:t xml:space="preserve"> MAY</w:t>
                            </w:r>
                            <w:r w:rsidRPr="0070795E">
                              <w:rPr>
                                <w:rFonts w:ascii="Century Gothic" w:hAnsi="Century Gothic"/>
                                <w:b/>
                                <w:sz w:val="18"/>
                                <w:szCs w:val="18"/>
                              </w:rPr>
                              <w:t xml:space="preserve"> 2022</w:t>
                            </w:r>
                            <w:r>
                              <w:rPr>
                                <w:rFonts w:ascii="Century Gothic" w:hAnsi="Century Gothic"/>
                                <w:sz w:val="18"/>
                                <w:szCs w:val="18"/>
                              </w:rPr>
                              <w:t xml:space="preserve">   </w:t>
                            </w:r>
                            <w:r w:rsidRPr="00380512">
                              <w:rPr>
                                <w:rFonts w:ascii="Century Gothic" w:hAnsi="Century Gothic"/>
                                <w:sz w:val="18"/>
                                <w:szCs w:val="18"/>
                              </w:rPr>
                              <w:t xml:space="preserve">Signature: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722E1" id="_x0000_t202" coordsize="21600,21600" o:spt="202" path="m,l,21600r21600,l21600,xe">
                <v:stroke joinstyle="miter"/>
                <v:path gradientshapeok="t" o:connecttype="rect"/>
              </v:shapetype>
              <v:shape id="Text Box 2" o:spid="_x0000_s1026" type="#_x0000_t202" style="position:absolute;left:0;text-align:left;margin-left:-3.6pt;margin-top:2.9pt;width:265.2pt;height:10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vDKwIAAFEEAAAOAAAAZHJzL2Uyb0RvYy54bWysVNtu2zAMfR+wfxD0vthxki414hRdugwD&#10;ugvQ7gNkWY6FSaImKbGzry8lp1nQbS/D/CCIInVEnkN6dTNoRQ7CeQmmotNJTokwHBppdhX99rh9&#10;s6TEB2YapsCIih6Fpzfr169WvS1FAR2oRjiCIMaXva1oF4Its8zzTmjmJ2CFQWcLTrOApttljWM9&#10;omuVFXl+lfXgGuuAC+/x9G500nXCb1vBw5e29SIQVVHMLaTVpbWOa7ZesXLnmO0kP6XB/iELzaTB&#10;R89QdywwsnfyNygtuQMPbZhw0Bm0reQi1YDVTPMX1Tx0zIpUC5Lj7Zkm//9g+efDV0dkU9GCEsM0&#10;SvQohkDewUCKyE5vfYlBDxbDwoDHqHKq1Nt74N89MbDpmNmJW+eg7wRrMLtpvJldXB1xfASp+0/Q&#10;4DNsHyABDa3TkTokgyA6qnQ8KxNT4Xg4m10t8zm6OPqms2KxXCbtMlY+X7fOhw8CNImbijqUPsGz&#10;w70PMR1WPofE1zwo2WylUslwu3qjHDkwbJNt+lIFL8KUIX1FrxfFYmTgrxB5+v4EoWXAfldSV3R5&#10;DmJl5O29aVI3BibVuMeUlTkRGbkbWQxDPZyEqaE5IqUOxr7GOcRNB+4nJT32dEX9jz1zghL10aAs&#10;19N55DAkY754W6DhLj31pYcZjlAVDZSM200YB2dvndx1+NLYCAZuUcpWJpKj5mNWp7yxbxP3pxmL&#10;g3Fpp6hff4L1EwAAAP//AwBQSwMEFAAGAAgAAAAhAP5INdPfAAAACAEAAA8AAABkcnMvZG93bnJl&#10;di54bWxMj8FOwzAQRO9I/IO1SFxQ6zRt0xLiVAgJBDcoVbm68TaJiNfBdtPw9ywnOI5mNPOm2Iy2&#10;EwP60DpSMJsmIJAqZ1qqFezeHydrECFqMrpzhAq+McCmvLwodG7cmd5w2MZacAmFXCtoYuxzKUPV&#10;oNVh6nok9o7OWx1Z+loar89cbjuZJkkmrW6JFxrd40OD1ef2ZBWsF8/DR3iZv+6r7NjdxpvV8PTl&#10;lbq+Gu/vQEQc418YfvEZHUpmOrgTmSA6BZNVykkFSz7A9jKdsz4oSGeLDGRZyP8Hyh8AAAD//wMA&#10;UEsBAi0AFAAGAAgAAAAhALaDOJL+AAAA4QEAABMAAAAAAAAAAAAAAAAAAAAAAFtDb250ZW50X1R5&#10;cGVzXS54bWxQSwECLQAUAAYACAAAACEAOP0h/9YAAACUAQAACwAAAAAAAAAAAAAAAAAvAQAAX3Jl&#10;bHMvLnJlbHNQSwECLQAUAAYACAAAACEA0Bf7wysCAABRBAAADgAAAAAAAAAAAAAAAAAuAgAAZHJz&#10;L2Uyb0RvYy54bWxQSwECLQAUAAYACAAAACEA/kg1098AAAAIAQAADwAAAAAAAAAAAAAAAACFBAAA&#10;ZHJzL2Rvd25yZXYueG1sUEsFBgAAAAAEAAQA8wAAAJEFAAAAAA==&#10;">
                <v:textbox>
                  <w:txbxContent>
                    <w:p w:rsidR="00B84A14" w:rsidRPr="009F50D6" w:rsidRDefault="00B84A14" w:rsidP="00B84A14">
                      <w:pPr>
                        <w:numPr>
                          <w:ilvl w:val="0"/>
                          <w:numId w:val="1"/>
                        </w:numPr>
                        <w:spacing w:after="0" w:line="240" w:lineRule="auto"/>
                        <w:rPr>
                          <w:rFonts w:ascii="Century Gothic" w:hAnsi="Century Gothic"/>
                          <w:sz w:val="18"/>
                          <w:szCs w:val="18"/>
                        </w:rPr>
                      </w:pPr>
                      <w:r w:rsidRPr="009F50D6">
                        <w:rPr>
                          <w:rFonts w:ascii="Century Gothic" w:hAnsi="Century Gothic"/>
                          <w:caps/>
                          <w:sz w:val="18"/>
                          <w:szCs w:val="18"/>
                        </w:rPr>
                        <w:t xml:space="preserve">REPORTABLE: </w:t>
                      </w:r>
                      <w:r w:rsidRPr="009F50D6">
                        <w:rPr>
                          <w:rFonts w:ascii="Century Gothic" w:hAnsi="Century Gothic"/>
                          <w:b/>
                          <w:caps/>
                          <w:sz w:val="18"/>
                          <w:szCs w:val="18"/>
                        </w:rPr>
                        <w:t>NO</w:t>
                      </w:r>
                    </w:p>
                    <w:p w:rsidR="00B84A14" w:rsidRPr="009F50D6" w:rsidRDefault="00B84A14" w:rsidP="00B84A14">
                      <w:pPr>
                        <w:numPr>
                          <w:ilvl w:val="0"/>
                          <w:numId w:val="1"/>
                        </w:numPr>
                        <w:spacing w:after="0" w:line="240" w:lineRule="auto"/>
                        <w:rPr>
                          <w:rFonts w:ascii="Century Gothic" w:hAnsi="Century Gothic"/>
                          <w:sz w:val="18"/>
                          <w:szCs w:val="18"/>
                        </w:rPr>
                      </w:pPr>
                      <w:r w:rsidRPr="009F50D6">
                        <w:rPr>
                          <w:rFonts w:ascii="Century Gothic" w:hAnsi="Century Gothic"/>
                          <w:sz w:val="18"/>
                          <w:szCs w:val="18"/>
                        </w:rPr>
                        <w:t xml:space="preserve">OF INTEREST TO OTHER JUDGES: </w:t>
                      </w:r>
                      <w:r w:rsidRPr="009F50D6">
                        <w:rPr>
                          <w:rFonts w:ascii="Century Gothic" w:hAnsi="Century Gothic"/>
                          <w:b/>
                          <w:sz w:val="18"/>
                          <w:szCs w:val="18"/>
                        </w:rPr>
                        <w:t>NO</w:t>
                      </w:r>
                    </w:p>
                    <w:p w:rsidR="00B84A14" w:rsidRPr="009F50D6" w:rsidRDefault="00B84A14" w:rsidP="00B84A14">
                      <w:pPr>
                        <w:numPr>
                          <w:ilvl w:val="0"/>
                          <w:numId w:val="1"/>
                        </w:numPr>
                        <w:spacing w:after="120" w:line="240" w:lineRule="auto"/>
                        <w:ind w:left="901"/>
                        <w:rPr>
                          <w:rFonts w:ascii="Century Gothic" w:hAnsi="Century Gothic"/>
                          <w:sz w:val="18"/>
                          <w:szCs w:val="18"/>
                        </w:rPr>
                      </w:pPr>
                      <w:r w:rsidRPr="009F50D6">
                        <w:rPr>
                          <w:rFonts w:ascii="Century Gothic" w:hAnsi="Century Gothic"/>
                          <w:sz w:val="18"/>
                          <w:szCs w:val="18"/>
                        </w:rPr>
                        <w:t xml:space="preserve">REVISED: </w:t>
                      </w:r>
                    </w:p>
                    <w:p w:rsidR="00B84A14" w:rsidRPr="00380512" w:rsidRDefault="00B84A14" w:rsidP="00B84A14">
                      <w:pPr>
                        <w:spacing w:after="120"/>
                        <w:rPr>
                          <w:rFonts w:ascii="Century Gothic" w:hAnsi="Century Gothic"/>
                          <w:sz w:val="18"/>
                          <w:szCs w:val="18"/>
                        </w:rPr>
                      </w:pPr>
                    </w:p>
                    <w:p w:rsidR="00B84A14" w:rsidRPr="00917C8F" w:rsidRDefault="00B84A14" w:rsidP="00B84A14">
                      <w:pPr>
                        <w:rPr>
                          <w:rFonts w:ascii="Century Gothic" w:hAnsi="Century Gothic"/>
                          <w:sz w:val="18"/>
                          <w:szCs w:val="18"/>
                          <w:u w:val="single"/>
                        </w:rPr>
                      </w:pPr>
                      <w:r>
                        <w:rPr>
                          <w:rFonts w:ascii="Century Gothic" w:hAnsi="Century Gothic"/>
                          <w:sz w:val="18"/>
                          <w:szCs w:val="18"/>
                        </w:rPr>
                        <w:t>Date:</w:t>
                      </w:r>
                      <w:r>
                        <w:rPr>
                          <w:rFonts w:ascii="Century Gothic" w:hAnsi="Century Gothic"/>
                          <w:b/>
                          <w:i/>
                          <w:sz w:val="18"/>
                          <w:szCs w:val="18"/>
                        </w:rPr>
                        <w:t xml:space="preserve"> </w:t>
                      </w:r>
                      <w:r w:rsidR="005260A0" w:rsidRPr="005260A0">
                        <w:rPr>
                          <w:rFonts w:ascii="Century Gothic" w:hAnsi="Century Gothic"/>
                          <w:b/>
                          <w:sz w:val="18"/>
                          <w:szCs w:val="18"/>
                        </w:rPr>
                        <w:t>4</w:t>
                      </w:r>
                      <w:r>
                        <w:rPr>
                          <w:rFonts w:ascii="Century Gothic" w:hAnsi="Century Gothic"/>
                          <w:b/>
                          <w:sz w:val="18"/>
                          <w:szCs w:val="18"/>
                        </w:rPr>
                        <w:t xml:space="preserve"> MAY</w:t>
                      </w:r>
                      <w:r w:rsidRPr="0070795E">
                        <w:rPr>
                          <w:rFonts w:ascii="Century Gothic" w:hAnsi="Century Gothic"/>
                          <w:b/>
                          <w:sz w:val="18"/>
                          <w:szCs w:val="18"/>
                        </w:rPr>
                        <w:t xml:space="preserve"> 2022</w:t>
                      </w:r>
                      <w:r>
                        <w:rPr>
                          <w:rFonts w:ascii="Century Gothic" w:hAnsi="Century Gothic"/>
                          <w:sz w:val="18"/>
                          <w:szCs w:val="18"/>
                        </w:rPr>
                        <w:t xml:space="preserve">   </w:t>
                      </w:r>
                      <w:r w:rsidRPr="00380512">
                        <w:rPr>
                          <w:rFonts w:ascii="Century Gothic" w:hAnsi="Century Gothic"/>
                          <w:sz w:val="18"/>
                          <w:szCs w:val="18"/>
                        </w:rPr>
                        <w:t xml:space="preserve">Signature: </w:t>
                      </w:r>
                    </w:p>
                  </w:txbxContent>
                </v:textbox>
              </v:shape>
            </w:pict>
          </mc:Fallback>
        </mc:AlternateContent>
      </w:r>
    </w:p>
    <w:p w:rsidR="00B84A14" w:rsidRPr="003C28F1" w:rsidRDefault="00B84A14" w:rsidP="00B84A14">
      <w:pPr>
        <w:pStyle w:val="LegalAnnexure"/>
        <w:spacing w:after="0" w:line="360" w:lineRule="auto"/>
        <w:rPr>
          <w:rFonts w:ascii="Bookman Old Style" w:hAnsi="Bookman Old Style"/>
        </w:rPr>
      </w:pPr>
      <w:r w:rsidRPr="003C28F1">
        <w:rPr>
          <w:rFonts w:ascii="Bookman Old Style" w:hAnsi="Bookman Old Style"/>
          <w:u w:val="single"/>
        </w:rPr>
        <w:t xml:space="preserve"> </w:t>
      </w:r>
    </w:p>
    <w:p w:rsidR="00B84A14" w:rsidRPr="003C28F1" w:rsidRDefault="00B84A14" w:rsidP="00B84A14">
      <w:pPr>
        <w:pStyle w:val="LegalAnnexure"/>
        <w:spacing w:after="0" w:line="360" w:lineRule="auto"/>
        <w:rPr>
          <w:rFonts w:ascii="Bookman Old Style" w:hAnsi="Bookman Old Style"/>
          <w:u w:val="single"/>
        </w:rPr>
      </w:pPr>
    </w:p>
    <w:p w:rsidR="00B84A14" w:rsidRPr="003C28F1" w:rsidRDefault="00B84A14" w:rsidP="00B84A14">
      <w:pPr>
        <w:pStyle w:val="LegalAnnexure"/>
        <w:spacing w:after="0" w:line="360" w:lineRule="auto"/>
        <w:rPr>
          <w:rFonts w:ascii="Bookman Old Style" w:hAnsi="Bookman Old Style"/>
          <w:u w:val="single"/>
        </w:rPr>
      </w:pPr>
      <w:r>
        <w:rPr>
          <w:rFonts w:ascii="Bookman Old Style" w:hAnsi="Bookman Old Style"/>
          <w:u w:val="single"/>
        </w:rPr>
        <w:t>CASE NO: 43422/20</w:t>
      </w:r>
    </w:p>
    <w:p w:rsidR="00B84A14" w:rsidRPr="003C28F1" w:rsidRDefault="00B84A14" w:rsidP="00B84A14">
      <w:pPr>
        <w:pStyle w:val="LegalNormal"/>
        <w:spacing w:after="0" w:line="360" w:lineRule="auto"/>
        <w:jc w:val="right"/>
        <w:rPr>
          <w:rFonts w:ascii="Bookman Old Style" w:hAnsi="Bookman Old Style"/>
        </w:rPr>
      </w:pPr>
    </w:p>
    <w:p w:rsidR="00B84A14" w:rsidRDefault="00B84A14" w:rsidP="00B84A14">
      <w:pPr>
        <w:pStyle w:val="LegalNormal"/>
        <w:spacing w:after="240" w:line="360" w:lineRule="auto"/>
        <w:rPr>
          <w:rFonts w:ascii="Bookman Old Style" w:hAnsi="Bookman Old Style"/>
        </w:rPr>
      </w:pPr>
      <w:r w:rsidRPr="003C28F1">
        <w:rPr>
          <w:rFonts w:ascii="Bookman Old Style" w:hAnsi="Bookman Old Style"/>
        </w:rPr>
        <w:t>In the matter between:</w:t>
      </w:r>
    </w:p>
    <w:p w:rsidR="00B84A14" w:rsidRDefault="00B84A14" w:rsidP="00B84A14">
      <w:pPr>
        <w:pStyle w:val="LegalNormal"/>
        <w:spacing w:after="240" w:line="360" w:lineRule="auto"/>
        <w:rPr>
          <w:rFonts w:ascii="Bookman Old Style" w:hAnsi="Bookman Old Style"/>
        </w:rPr>
      </w:pPr>
      <w:r>
        <w:rPr>
          <w:rFonts w:ascii="Bookman Old Style" w:hAnsi="Bookman Old Style"/>
          <w:b/>
        </w:rPr>
        <w:t>K MALAO INC</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rPr>
        <w:t>First Applicant</w:t>
      </w:r>
    </w:p>
    <w:p w:rsidR="00B84A14" w:rsidRDefault="00B84A14" w:rsidP="00B84A14">
      <w:pPr>
        <w:pStyle w:val="LegalNormal"/>
        <w:spacing w:after="240" w:line="360" w:lineRule="auto"/>
        <w:rPr>
          <w:rFonts w:ascii="Bookman Old Style" w:hAnsi="Bookman Old Style"/>
        </w:rPr>
      </w:pPr>
      <w:r>
        <w:rPr>
          <w:rFonts w:ascii="Bookman Old Style" w:hAnsi="Bookman Old Style"/>
          <w:b/>
        </w:rPr>
        <w:t>KOTSOKOANE ATTORNEYS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Second Applicant</w:t>
      </w:r>
    </w:p>
    <w:p w:rsidR="00B84A14" w:rsidRDefault="00B84A14" w:rsidP="00B84A14">
      <w:pPr>
        <w:pStyle w:val="LegalNormal"/>
        <w:spacing w:after="240" w:line="360" w:lineRule="auto"/>
        <w:rPr>
          <w:rFonts w:ascii="Bookman Old Style" w:hAnsi="Bookman Old Style"/>
        </w:rPr>
      </w:pPr>
      <w:r>
        <w:rPr>
          <w:rFonts w:ascii="Bookman Old Style" w:hAnsi="Bookman Old Style"/>
          <w:b/>
        </w:rPr>
        <w:t>SENNE INC</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Third Applicant</w:t>
      </w:r>
    </w:p>
    <w:p w:rsidR="00B84A14" w:rsidRDefault="00B84A14" w:rsidP="00B84A14">
      <w:pPr>
        <w:pStyle w:val="LegalNormal"/>
        <w:spacing w:after="240" w:line="360" w:lineRule="auto"/>
        <w:rPr>
          <w:rFonts w:ascii="Bookman Old Style" w:hAnsi="Bookman Old Style"/>
        </w:rPr>
      </w:pPr>
      <w:r>
        <w:rPr>
          <w:rFonts w:ascii="Bookman Old Style" w:hAnsi="Bookman Old Style"/>
          <w:b/>
        </w:rPr>
        <w:t>MABUSE ATTORNEYS</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 xml:space="preserve">      </w:t>
      </w:r>
      <w:r>
        <w:rPr>
          <w:rFonts w:ascii="Bookman Old Style" w:hAnsi="Bookman Old Style"/>
        </w:rPr>
        <w:t>Fourth Applicant</w:t>
      </w:r>
    </w:p>
    <w:p w:rsidR="00B84A14" w:rsidRDefault="00B84A14" w:rsidP="00B84A14">
      <w:pPr>
        <w:pStyle w:val="LegalNormal"/>
        <w:spacing w:after="240" w:line="360" w:lineRule="auto"/>
        <w:rPr>
          <w:rFonts w:ascii="Bookman Old Style" w:hAnsi="Bookman Old Style"/>
        </w:rPr>
      </w:pPr>
      <w:r>
        <w:rPr>
          <w:rFonts w:ascii="Bookman Old Style" w:hAnsi="Bookman Old Style"/>
          <w:b/>
        </w:rPr>
        <w:t>MATUVHATSHINDI ATTORNEYS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Fifth Applicant</w:t>
      </w:r>
    </w:p>
    <w:p w:rsidR="00B84A14" w:rsidRDefault="00B84A14" w:rsidP="00B84A14">
      <w:pPr>
        <w:pStyle w:val="LegalNormal"/>
        <w:spacing w:after="240" w:line="360" w:lineRule="auto"/>
        <w:rPr>
          <w:rFonts w:ascii="Bookman Old Style" w:hAnsi="Bookman Old Style"/>
        </w:rPr>
      </w:pPr>
      <w:r>
        <w:rPr>
          <w:rFonts w:ascii="Bookman Old Style" w:hAnsi="Bookman Old Style"/>
          <w:b/>
        </w:rPr>
        <w:t>NDOU INC</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Sixth Applicant</w:t>
      </w:r>
    </w:p>
    <w:p w:rsidR="00B84A14" w:rsidRDefault="00B84A14" w:rsidP="00B84A14">
      <w:pPr>
        <w:pStyle w:val="LegalNormal"/>
        <w:spacing w:after="240" w:line="360" w:lineRule="auto"/>
        <w:rPr>
          <w:rFonts w:ascii="Bookman Old Style" w:hAnsi="Bookman Old Style"/>
        </w:rPr>
      </w:pPr>
      <w:r>
        <w:rPr>
          <w:rFonts w:ascii="Bookman Old Style" w:hAnsi="Bookman Old Style"/>
        </w:rPr>
        <w:t>and</w:t>
      </w:r>
    </w:p>
    <w:p w:rsidR="00B84A14" w:rsidRDefault="00B84A14" w:rsidP="00B84A14">
      <w:pPr>
        <w:pStyle w:val="LegalNormal"/>
        <w:spacing w:after="240" w:line="360" w:lineRule="auto"/>
        <w:rPr>
          <w:rFonts w:ascii="Bookman Old Style" w:hAnsi="Bookman Old Style"/>
        </w:rPr>
      </w:pPr>
      <w:r>
        <w:rPr>
          <w:rFonts w:ascii="Bookman Old Style" w:hAnsi="Bookman Old Style"/>
          <w:b/>
        </w:rPr>
        <w:t>THE MINISTER OF TRANSPORT</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First Respondent</w:t>
      </w:r>
    </w:p>
    <w:p w:rsidR="00B84A14" w:rsidRDefault="00B84A14" w:rsidP="00B84A14">
      <w:pPr>
        <w:pStyle w:val="LegalNormal"/>
        <w:spacing w:after="240" w:line="360" w:lineRule="auto"/>
        <w:rPr>
          <w:rFonts w:ascii="Bookman Old Style" w:hAnsi="Bookman Old Style"/>
          <w:b/>
        </w:rPr>
      </w:pPr>
      <w:r>
        <w:rPr>
          <w:rFonts w:ascii="Bookman Old Style" w:hAnsi="Bookman Old Style"/>
          <w:b/>
        </w:rPr>
        <w:t>THE CHAIRPERSON OF THE BOARD: ROAD</w:t>
      </w:r>
    </w:p>
    <w:p w:rsidR="00B84A14" w:rsidRDefault="00B84A14" w:rsidP="00B84A14">
      <w:pPr>
        <w:pStyle w:val="LegalNormal"/>
        <w:spacing w:after="240" w:line="360" w:lineRule="auto"/>
        <w:rPr>
          <w:rFonts w:ascii="Bookman Old Style" w:hAnsi="Bookman Old Style"/>
        </w:rPr>
      </w:pPr>
      <w:r>
        <w:rPr>
          <w:rFonts w:ascii="Bookman Old Style" w:hAnsi="Bookman Old Style"/>
          <w:b/>
        </w:rPr>
        <w:t>ACCIDENT FUND</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Second Respondent</w:t>
      </w:r>
    </w:p>
    <w:p w:rsidR="00B84A14" w:rsidRDefault="00B84A14" w:rsidP="00B84A14">
      <w:pPr>
        <w:pStyle w:val="LegalNormal"/>
        <w:spacing w:after="240" w:line="360" w:lineRule="auto"/>
        <w:rPr>
          <w:rFonts w:ascii="Bookman Old Style" w:hAnsi="Bookman Old Style"/>
        </w:rPr>
      </w:pPr>
      <w:r>
        <w:rPr>
          <w:rFonts w:ascii="Bookman Old Style" w:hAnsi="Bookman Old Style"/>
          <w:b/>
        </w:rPr>
        <w:lastRenderedPageBreak/>
        <w:t>THE ROAD ACCIDENT FUND</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Third Respondent</w:t>
      </w:r>
    </w:p>
    <w:p w:rsidR="00B84A14" w:rsidRDefault="00B84A14" w:rsidP="00B84A14">
      <w:pPr>
        <w:pStyle w:val="LegalNormal"/>
        <w:spacing w:after="240" w:line="360" w:lineRule="auto"/>
        <w:rPr>
          <w:rFonts w:ascii="Bookman Old Style" w:hAnsi="Bookman Old Style"/>
        </w:rPr>
      </w:pPr>
      <w:r>
        <w:rPr>
          <w:rFonts w:ascii="Bookman Old Style" w:hAnsi="Bookman Old Style"/>
          <w:b/>
        </w:rPr>
        <w:t>MR COLLINS LETSOALO</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Fourth Respondent</w:t>
      </w:r>
    </w:p>
    <w:p w:rsidR="00B84A14" w:rsidRDefault="00B84A14" w:rsidP="00B84A14">
      <w:pPr>
        <w:pStyle w:val="LegalNormal"/>
        <w:spacing w:after="240" w:line="360" w:lineRule="auto"/>
        <w:rPr>
          <w:rFonts w:ascii="Bookman Old Style" w:hAnsi="Bookman Old Style"/>
        </w:rPr>
      </w:pPr>
      <w:r>
        <w:rPr>
          <w:rFonts w:ascii="Bookman Old Style" w:hAnsi="Bookman Old Style"/>
        </w:rPr>
        <w:t>___________________________________________________________________________</w:t>
      </w:r>
    </w:p>
    <w:p w:rsidR="00B84A14" w:rsidRDefault="00B84A14" w:rsidP="00B84A14">
      <w:pPr>
        <w:spacing w:after="0" w:line="480" w:lineRule="auto"/>
        <w:jc w:val="both"/>
        <w:rPr>
          <w:rFonts w:ascii="Bookman Old Style" w:hAnsi="Bookman Old Style"/>
          <w:b/>
          <w:sz w:val="24"/>
          <w:szCs w:val="24"/>
        </w:rPr>
      </w:pPr>
      <w:r>
        <w:rPr>
          <w:rFonts w:ascii="Bookman Old Style" w:hAnsi="Bookman Old Style"/>
          <w:b/>
          <w:sz w:val="24"/>
          <w:szCs w:val="24"/>
          <w:u w:val="single"/>
        </w:rPr>
        <w:t>NEUKIRCHER J</w:t>
      </w:r>
      <w:r>
        <w:rPr>
          <w:rFonts w:ascii="Bookman Old Style" w:hAnsi="Bookman Old Style"/>
          <w:b/>
          <w:sz w:val="24"/>
          <w:szCs w:val="24"/>
        </w:rPr>
        <w:t>:</w:t>
      </w:r>
    </w:p>
    <w:p w:rsidR="00206941" w:rsidRDefault="00B67DDE" w:rsidP="00B67DDE">
      <w:pPr>
        <w:spacing w:after="0" w:line="480" w:lineRule="auto"/>
        <w:jc w:val="both"/>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t>This is an application for leave to appeal the</w:t>
      </w:r>
      <w:r w:rsidR="00330F21">
        <w:rPr>
          <w:rFonts w:ascii="Bookman Old Style" w:hAnsi="Bookman Old Style"/>
          <w:sz w:val="24"/>
          <w:szCs w:val="24"/>
        </w:rPr>
        <w:t xml:space="preserve"> judgment and order handed down,</w:t>
      </w:r>
      <w:r>
        <w:rPr>
          <w:rFonts w:ascii="Bookman Old Style" w:hAnsi="Bookman Old Style"/>
          <w:sz w:val="24"/>
          <w:szCs w:val="24"/>
        </w:rPr>
        <w:t xml:space="preserve"> electronically, on 31 March 2022. The applicants in the main application are seeking leave to appeal the order dismissing their application with costs </w:t>
      </w:r>
      <w:r w:rsidR="00665C4B">
        <w:rPr>
          <w:rFonts w:ascii="Bookman Old Style" w:hAnsi="Bookman Old Style"/>
          <w:sz w:val="24"/>
          <w:szCs w:val="24"/>
        </w:rPr>
        <w:t xml:space="preserve">including the costs </w:t>
      </w:r>
      <w:r>
        <w:rPr>
          <w:rFonts w:ascii="Bookman Old Style" w:hAnsi="Bookman Old Style"/>
          <w:sz w:val="24"/>
          <w:szCs w:val="24"/>
        </w:rPr>
        <w:t>of two counsel.</w:t>
      </w:r>
      <w:r w:rsidR="00173DB6">
        <w:rPr>
          <w:rFonts w:ascii="Bookman Old Style" w:hAnsi="Bookman Old Style"/>
          <w:sz w:val="24"/>
          <w:szCs w:val="24"/>
        </w:rPr>
        <w:t xml:space="preserve"> By agreement, the application was decided on the papers and the parties were all given the opportunity to file heads of argument, which they did.</w:t>
      </w:r>
    </w:p>
    <w:p w:rsidR="00B84A14" w:rsidRDefault="00B84A14" w:rsidP="00B67DDE">
      <w:pPr>
        <w:spacing w:after="0" w:line="480" w:lineRule="auto"/>
        <w:jc w:val="both"/>
        <w:rPr>
          <w:rFonts w:ascii="Bookman Old Style" w:hAnsi="Bookman Old Style"/>
          <w:sz w:val="24"/>
          <w:szCs w:val="24"/>
        </w:rPr>
      </w:pPr>
    </w:p>
    <w:p w:rsidR="001B47BD" w:rsidRDefault="00B67DDE" w:rsidP="001B47BD">
      <w:pPr>
        <w:spacing w:after="0" w:line="480" w:lineRule="auto"/>
        <w:jc w:val="both"/>
        <w:rPr>
          <w:rFonts w:ascii="Bookman Old Style" w:hAnsi="Bookman Old Style"/>
          <w:sz w:val="24"/>
          <w:szCs w:val="24"/>
        </w:rPr>
      </w:pPr>
      <w:r>
        <w:rPr>
          <w:rFonts w:ascii="Bookman Old Style" w:hAnsi="Bookman Old Style"/>
          <w:sz w:val="24"/>
          <w:szCs w:val="24"/>
        </w:rPr>
        <w:t>2]</w:t>
      </w:r>
      <w:r>
        <w:rPr>
          <w:rFonts w:ascii="Bookman Old Style" w:hAnsi="Bookman Old Style"/>
          <w:sz w:val="24"/>
          <w:szCs w:val="24"/>
        </w:rPr>
        <w:tab/>
        <w:t>The application is</w:t>
      </w:r>
      <w:r w:rsidR="001B47BD">
        <w:rPr>
          <w:rFonts w:ascii="Bookman Old Style" w:hAnsi="Bookman Old Style"/>
          <w:sz w:val="24"/>
          <w:szCs w:val="24"/>
        </w:rPr>
        <w:t xml:space="preserve">, </w:t>
      </w:r>
      <w:r w:rsidR="00141577">
        <w:rPr>
          <w:rFonts w:ascii="Bookman Old Style" w:hAnsi="Bookman Old Style"/>
          <w:sz w:val="24"/>
          <w:szCs w:val="24"/>
        </w:rPr>
        <w:t>briefly stated</w:t>
      </w:r>
      <w:r w:rsidR="001B47BD">
        <w:rPr>
          <w:rFonts w:ascii="Bookman Old Style" w:hAnsi="Bookman Old Style"/>
          <w:sz w:val="24"/>
          <w:szCs w:val="24"/>
        </w:rPr>
        <w:t>,</w:t>
      </w:r>
      <w:r>
        <w:rPr>
          <w:rFonts w:ascii="Bookman Old Style" w:hAnsi="Bookman Old Style"/>
          <w:sz w:val="24"/>
          <w:szCs w:val="24"/>
        </w:rPr>
        <w:t xml:space="preserve"> based on the grounds </w:t>
      </w:r>
      <w:r w:rsidR="001B47BD">
        <w:rPr>
          <w:rFonts w:ascii="Bookman Old Style" w:hAnsi="Bookman Old Style"/>
          <w:sz w:val="24"/>
          <w:szCs w:val="24"/>
        </w:rPr>
        <w:t>set out in the Applicat</w:t>
      </w:r>
      <w:r w:rsidR="00E30002">
        <w:rPr>
          <w:rFonts w:ascii="Bookman Old Style" w:hAnsi="Bookman Old Style"/>
          <w:sz w:val="24"/>
          <w:szCs w:val="24"/>
        </w:rPr>
        <w:t>ion for Leave to Appeal, which</w:t>
      </w:r>
      <w:r w:rsidR="001B47BD">
        <w:rPr>
          <w:rFonts w:ascii="Bookman Old Style" w:hAnsi="Bookman Old Style"/>
          <w:sz w:val="24"/>
          <w:szCs w:val="24"/>
        </w:rPr>
        <w:t xml:space="preserve"> in essence state that the court erred in the approach that was taken in the determination of the applicants’ locus </w:t>
      </w:r>
      <w:proofErr w:type="spellStart"/>
      <w:r w:rsidR="001B47BD">
        <w:rPr>
          <w:rFonts w:ascii="Bookman Old Style" w:hAnsi="Bookman Old Style"/>
          <w:sz w:val="24"/>
          <w:szCs w:val="24"/>
        </w:rPr>
        <w:t>standi</w:t>
      </w:r>
      <w:proofErr w:type="spellEnd"/>
      <w:r w:rsidR="001B47BD">
        <w:rPr>
          <w:rFonts w:ascii="Bookman Old Style" w:hAnsi="Bookman Old Style"/>
          <w:sz w:val="24"/>
          <w:szCs w:val="24"/>
        </w:rPr>
        <w:t xml:space="preserve"> in the matter, more especially given the fact that the application raises constitutional issues and concerns rights entrenched in the Bill of Rights. The applicants complain that the appointment of Letsoalo threatens their section 22 constitutional rights and that, on a broad approach</w:t>
      </w:r>
      <w:r w:rsidR="001B47BD">
        <w:rPr>
          <w:rStyle w:val="FootnoteReference"/>
          <w:rFonts w:ascii="Bookman Old Style" w:hAnsi="Bookman Old Style"/>
          <w:sz w:val="24"/>
          <w:szCs w:val="24"/>
        </w:rPr>
        <w:footnoteReference w:id="1"/>
      </w:r>
      <w:r w:rsidR="001B47BD">
        <w:rPr>
          <w:rFonts w:ascii="Bookman Old Style" w:hAnsi="Bookman Old Style"/>
          <w:sz w:val="24"/>
          <w:szCs w:val="24"/>
        </w:rPr>
        <w:t xml:space="preserve"> to standing under section 38 of the Constitution, the applicants had locus </w:t>
      </w:r>
      <w:proofErr w:type="spellStart"/>
      <w:r w:rsidR="001B47BD">
        <w:rPr>
          <w:rFonts w:ascii="Bookman Old Style" w:hAnsi="Bookman Old Style"/>
          <w:sz w:val="24"/>
          <w:szCs w:val="24"/>
        </w:rPr>
        <w:t>standi</w:t>
      </w:r>
      <w:proofErr w:type="spellEnd"/>
      <w:r w:rsidR="001B47BD">
        <w:rPr>
          <w:rFonts w:ascii="Bookman Old Style" w:hAnsi="Bookman Old Style"/>
          <w:sz w:val="24"/>
          <w:szCs w:val="24"/>
        </w:rPr>
        <w:t xml:space="preserve"> to challenge the appointment of Letsoalo as CEO of the RAF. The last ground is that the matter is one of broad public importance. The applicants state that the appeal has reasonable prospects of success and another court would arrive at a different conclusion.</w:t>
      </w:r>
    </w:p>
    <w:p w:rsidR="001B47BD" w:rsidRDefault="001B47BD" w:rsidP="001B47BD">
      <w:pPr>
        <w:spacing w:after="0" w:line="480" w:lineRule="auto"/>
        <w:jc w:val="both"/>
        <w:rPr>
          <w:rFonts w:ascii="Bookman Old Style" w:hAnsi="Bookman Old Style"/>
          <w:sz w:val="24"/>
          <w:szCs w:val="24"/>
        </w:rPr>
      </w:pPr>
    </w:p>
    <w:p w:rsidR="00E30002" w:rsidRDefault="00E30002" w:rsidP="00E30002">
      <w:pPr>
        <w:spacing w:after="0" w:line="480" w:lineRule="auto"/>
        <w:jc w:val="both"/>
        <w:rPr>
          <w:rFonts w:ascii="Bookman Old Style" w:hAnsi="Bookman Old Style"/>
          <w:sz w:val="24"/>
          <w:szCs w:val="24"/>
        </w:rPr>
      </w:pPr>
      <w:r>
        <w:rPr>
          <w:rFonts w:ascii="Bookman Old Style" w:hAnsi="Bookman Old Style"/>
          <w:sz w:val="24"/>
          <w:szCs w:val="24"/>
        </w:rPr>
        <w:t>3]</w:t>
      </w:r>
      <w:r>
        <w:rPr>
          <w:rFonts w:ascii="Bookman Old Style" w:hAnsi="Bookman Old Style"/>
          <w:sz w:val="24"/>
          <w:szCs w:val="24"/>
        </w:rPr>
        <w:tab/>
        <w:t>Over and above the provisions of s17(a)(i) of the Superior Courts Act</w:t>
      </w:r>
      <w:r>
        <w:rPr>
          <w:rStyle w:val="FootnoteReference"/>
          <w:rFonts w:ascii="Bookman Old Style" w:hAnsi="Bookman Old Style"/>
          <w:sz w:val="24"/>
          <w:szCs w:val="24"/>
        </w:rPr>
        <w:footnoteReference w:id="2"/>
      </w:r>
      <w:r>
        <w:rPr>
          <w:rFonts w:ascii="Bookman Old Style" w:hAnsi="Bookman Old Style"/>
          <w:sz w:val="24"/>
          <w:szCs w:val="24"/>
        </w:rPr>
        <w:t xml:space="preserve">, the applicants also appear to reply on the provisions of s17(a)(ii) which makes provision for the grant of leave to appeal where </w:t>
      </w:r>
      <w:r>
        <w:rPr>
          <w:rFonts w:ascii="Bookman Old Style" w:hAnsi="Bookman Old Style"/>
          <w:i/>
          <w:sz w:val="24"/>
          <w:szCs w:val="24"/>
        </w:rPr>
        <w:t>“there is some other compelling reason why the appeal should be heard</w:t>
      </w:r>
      <w:r>
        <w:rPr>
          <w:rFonts w:ascii="Bookman Old Style" w:hAnsi="Bookman Old Style"/>
          <w:sz w:val="24"/>
          <w:szCs w:val="24"/>
        </w:rPr>
        <w:t>” . This argument is based on the submission that the matter raises matters of sufficient public interest to require a hearing by a court of appeal.</w:t>
      </w:r>
    </w:p>
    <w:p w:rsidR="00E30002" w:rsidRDefault="00E30002" w:rsidP="001B47BD">
      <w:pPr>
        <w:spacing w:after="0" w:line="480" w:lineRule="auto"/>
        <w:jc w:val="both"/>
        <w:rPr>
          <w:rFonts w:ascii="Bookman Old Style" w:hAnsi="Bookman Old Style"/>
          <w:sz w:val="24"/>
          <w:szCs w:val="24"/>
        </w:rPr>
      </w:pPr>
    </w:p>
    <w:p w:rsidR="001B47BD" w:rsidRDefault="00E30002" w:rsidP="001B47BD">
      <w:pPr>
        <w:spacing w:after="0" w:line="480" w:lineRule="auto"/>
        <w:jc w:val="both"/>
        <w:rPr>
          <w:rFonts w:ascii="Bookman Old Style" w:hAnsi="Bookman Old Style"/>
          <w:b/>
          <w:sz w:val="24"/>
          <w:szCs w:val="24"/>
        </w:rPr>
      </w:pPr>
      <w:r>
        <w:rPr>
          <w:rFonts w:ascii="Bookman Old Style" w:hAnsi="Bookman Old Style"/>
          <w:sz w:val="24"/>
          <w:szCs w:val="24"/>
        </w:rPr>
        <w:t>4</w:t>
      </w:r>
      <w:r w:rsidR="001B47BD">
        <w:rPr>
          <w:rFonts w:ascii="Bookman Old Style" w:hAnsi="Bookman Old Style"/>
          <w:sz w:val="24"/>
          <w:szCs w:val="24"/>
        </w:rPr>
        <w:t>]</w:t>
      </w:r>
      <w:r w:rsidR="001B47BD">
        <w:rPr>
          <w:rFonts w:ascii="Bookman Old Style" w:hAnsi="Bookman Old Style"/>
          <w:sz w:val="24"/>
          <w:szCs w:val="24"/>
        </w:rPr>
        <w:tab/>
      </w:r>
      <w:r w:rsidR="009557E5">
        <w:rPr>
          <w:rFonts w:ascii="Bookman Old Style" w:hAnsi="Bookman Old Style"/>
          <w:sz w:val="24"/>
          <w:szCs w:val="24"/>
        </w:rPr>
        <w:t xml:space="preserve">It is now trite that in considering an application for leave to appeal, a higher threshold needs to be met before leave will be granted. As stated in </w:t>
      </w:r>
      <w:r w:rsidR="009557E5">
        <w:rPr>
          <w:rFonts w:ascii="Bookman Old Style" w:hAnsi="Bookman Old Style"/>
          <w:b/>
          <w:sz w:val="24"/>
          <w:szCs w:val="24"/>
        </w:rPr>
        <w:t xml:space="preserve">Fair-Trade Independent Tobacco </w:t>
      </w:r>
      <w:proofErr w:type="spellStart"/>
      <w:r w:rsidR="009557E5">
        <w:rPr>
          <w:rFonts w:ascii="Bookman Old Style" w:hAnsi="Bookman Old Style"/>
          <w:b/>
          <w:sz w:val="24"/>
          <w:szCs w:val="24"/>
        </w:rPr>
        <w:t>Assoc</w:t>
      </w:r>
      <w:proofErr w:type="spellEnd"/>
      <w:r w:rsidR="009557E5">
        <w:rPr>
          <w:rFonts w:ascii="Bookman Old Style" w:hAnsi="Bookman Old Style"/>
          <w:b/>
          <w:sz w:val="24"/>
          <w:szCs w:val="24"/>
        </w:rPr>
        <w:t xml:space="preserve"> v President of the Republic fo</w:t>
      </w:r>
      <w:r w:rsidR="00834961">
        <w:rPr>
          <w:rFonts w:ascii="Bookman Old Style" w:hAnsi="Bookman Old Style"/>
          <w:b/>
          <w:sz w:val="24"/>
          <w:szCs w:val="24"/>
        </w:rPr>
        <w:t>r</w:t>
      </w:r>
      <w:r w:rsidR="009557E5">
        <w:rPr>
          <w:rFonts w:ascii="Bookman Old Style" w:hAnsi="Bookman Old Style"/>
          <w:b/>
          <w:sz w:val="24"/>
          <w:szCs w:val="24"/>
        </w:rPr>
        <w:t xml:space="preserve"> South Africa and another</w:t>
      </w:r>
      <w:r w:rsidR="009557E5" w:rsidRPr="00834961">
        <w:rPr>
          <w:rStyle w:val="FootnoteReference"/>
          <w:rFonts w:ascii="Bookman Old Style" w:hAnsi="Bookman Old Style"/>
          <w:sz w:val="24"/>
          <w:szCs w:val="24"/>
        </w:rPr>
        <w:footnoteReference w:id="3"/>
      </w:r>
    </w:p>
    <w:p w:rsidR="00834961" w:rsidRDefault="00834961" w:rsidP="001B47BD">
      <w:pPr>
        <w:spacing w:after="0" w:line="480" w:lineRule="auto"/>
        <w:jc w:val="both"/>
        <w:rPr>
          <w:rFonts w:ascii="Bookman Old Style" w:hAnsi="Bookman Old Style"/>
          <w:sz w:val="24"/>
          <w:szCs w:val="24"/>
        </w:rPr>
      </w:pPr>
      <w:r>
        <w:rPr>
          <w:rFonts w:ascii="Bookman Old Style" w:hAnsi="Bookman Old Style"/>
          <w:i/>
          <w:sz w:val="24"/>
          <w:szCs w:val="24"/>
        </w:rPr>
        <w:t>“…There must exist more than just a mere possibility that another court, the SCA in this instance, will, not might, find differently on both the facts and the law.”</w:t>
      </w:r>
    </w:p>
    <w:p w:rsidR="0097576C" w:rsidRDefault="0097576C" w:rsidP="001B47BD">
      <w:pPr>
        <w:spacing w:after="0" w:line="480" w:lineRule="auto"/>
        <w:jc w:val="both"/>
        <w:rPr>
          <w:rFonts w:ascii="Bookman Old Style" w:hAnsi="Bookman Old Style"/>
          <w:sz w:val="24"/>
          <w:szCs w:val="24"/>
        </w:rPr>
      </w:pPr>
    </w:p>
    <w:p w:rsidR="00B26E6D" w:rsidRPr="00815D72" w:rsidRDefault="00480642" w:rsidP="001B47BD">
      <w:pPr>
        <w:spacing w:after="0" w:line="480" w:lineRule="auto"/>
        <w:jc w:val="both"/>
        <w:rPr>
          <w:rFonts w:ascii="Bookman Old Style" w:hAnsi="Bookman Old Style"/>
          <w:sz w:val="24"/>
          <w:szCs w:val="24"/>
        </w:rPr>
      </w:pPr>
      <w:r w:rsidRPr="00B26E6D">
        <w:rPr>
          <w:rFonts w:ascii="Bookman Old Style" w:hAnsi="Bookman Old Style"/>
          <w:sz w:val="24"/>
          <w:szCs w:val="24"/>
        </w:rPr>
        <w:t>5]</w:t>
      </w:r>
      <w:r w:rsidRPr="00B26E6D">
        <w:rPr>
          <w:rFonts w:ascii="Bookman Old Style" w:hAnsi="Bookman Old Style"/>
          <w:sz w:val="24"/>
          <w:szCs w:val="24"/>
        </w:rPr>
        <w:tab/>
      </w:r>
      <w:r w:rsidR="00B26E6D" w:rsidRPr="00B26E6D">
        <w:rPr>
          <w:rFonts w:ascii="Bookman Old Style" w:hAnsi="Bookman Old Style"/>
          <w:sz w:val="24"/>
          <w:szCs w:val="24"/>
        </w:rPr>
        <w:t xml:space="preserve">The applicants base much of their argument on the Constitutional Court judgment of </w:t>
      </w:r>
      <w:r w:rsidR="00B26E6D" w:rsidRPr="00B26E6D">
        <w:rPr>
          <w:rFonts w:ascii="Bookman Old Style" w:hAnsi="Bookman Old Style"/>
          <w:b/>
          <w:sz w:val="24"/>
          <w:szCs w:val="24"/>
        </w:rPr>
        <w:t>Kruger v President of the RSA</w:t>
      </w:r>
      <w:r w:rsidR="00B26E6D" w:rsidRPr="00B26E6D">
        <w:rPr>
          <w:rStyle w:val="FootnoteReference"/>
          <w:rFonts w:ascii="Bookman Old Style" w:hAnsi="Bookman Old Style"/>
          <w:sz w:val="24"/>
          <w:szCs w:val="24"/>
        </w:rPr>
        <w:footnoteReference w:id="4"/>
      </w:r>
      <w:r w:rsidR="00B26E6D" w:rsidRPr="00B26E6D">
        <w:rPr>
          <w:rFonts w:ascii="Bookman Old Style" w:hAnsi="Bookman Old Style"/>
          <w:sz w:val="24"/>
          <w:szCs w:val="24"/>
        </w:rPr>
        <w:t>, in which the standing of a personal injury attorney to challenge the constitutionality of certain proclamations was recognised. But what the applicants ignore is the factual matrix</w:t>
      </w:r>
      <w:r w:rsidR="00FA528A">
        <w:rPr>
          <w:rFonts w:ascii="Bookman Old Style" w:hAnsi="Bookman Old Style"/>
          <w:sz w:val="24"/>
          <w:szCs w:val="24"/>
        </w:rPr>
        <w:t xml:space="preserve"> of that matter</w:t>
      </w:r>
      <w:r w:rsidR="00B26E6D" w:rsidRPr="00B26E6D">
        <w:rPr>
          <w:rFonts w:ascii="Bookman Old Style" w:hAnsi="Bookman Old Style"/>
          <w:sz w:val="24"/>
          <w:szCs w:val="24"/>
        </w:rPr>
        <w:t xml:space="preserve">. </w:t>
      </w:r>
      <w:r w:rsidR="00FA528A">
        <w:rPr>
          <w:rFonts w:ascii="Bookman Old Style" w:hAnsi="Bookman Old Style"/>
          <w:sz w:val="24"/>
          <w:szCs w:val="24"/>
        </w:rPr>
        <w:t>There</w:t>
      </w:r>
      <w:r w:rsidR="00B26E6D" w:rsidRPr="00B26E6D">
        <w:rPr>
          <w:rFonts w:ascii="Bookman Old Style" w:hAnsi="Bookman Old Style"/>
          <w:sz w:val="24"/>
          <w:szCs w:val="24"/>
        </w:rPr>
        <w:t xml:space="preserve">, the </w:t>
      </w:r>
      <w:r w:rsidR="00FA528A">
        <w:rPr>
          <w:rFonts w:ascii="Bookman Old Style" w:hAnsi="Bookman Old Style"/>
          <w:sz w:val="24"/>
          <w:szCs w:val="24"/>
        </w:rPr>
        <w:t xml:space="preserve">issue was the </w:t>
      </w:r>
      <w:r w:rsidR="00B26E6D" w:rsidRPr="00B26E6D">
        <w:rPr>
          <w:rFonts w:ascii="Bookman Old Style" w:hAnsi="Bookman Old Style"/>
          <w:sz w:val="24"/>
          <w:szCs w:val="24"/>
        </w:rPr>
        <w:t>constitutional validity of the two Proclamations</w:t>
      </w:r>
      <w:r w:rsidR="00B26E6D">
        <w:rPr>
          <w:rStyle w:val="FootnoteReference"/>
          <w:rFonts w:ascii="Bookman Old Style" w:hAnsi="Bookman Old Style"/>
          <w:sz w:val="24"/>
          <w:szCs w:val="24"/>
        </w:rPr>
        <w:footnoteReference w:id="5"/>
      </w:r>
      <w:r w:rsidR="00B26E6D" w:rsidRPr="00B26E6D">
        <w:rPr>
          <w:rFonts w:ascii="Bookman Old Style" w:hAnsi="Bookman Old Style"/>
          <w:sz w:val="24"/>
          <w:szCs w:val="24"/>
        </w:rPr>
        <w:t xml:space="preserve">, both of which were issued by the President with the </w:t>
      </w:r>
      <w:r w:rsidR="00B26E6D" w:rsidRPr="00B26E6D">
        <w:rPr>
          <w:rFonts w:ascii="Bookman Old Style" w:hAnsi="Bookman Old Style"/>
          <w:sz w:val="24"/>
          <w:szCs w:val="24"/>
        </w:rPr>
        <w:lastRenderedPageBreak/>
        <w:t>intention of bringing into operation certain sections of the</w:t>
      </w:r>
      <w:r w:rsidR="004C4D4D">
        <w:rPr>
          <w:rFonts w:ascii="Bookman Old Style" w:hAnsi="Bookman Old Style"/>
          <w:sz w:val="24"/>
          <w:szCs w:val="24"/>
        </w:rPr>
        <w:t xml:space="preserve"> Road Accident Fund</w:t>
      </w:r>
      <w:r w:rsidR="00B26E6D" w:rsidRPr="00B26E6D">
        <w:rPr>
          <w:rFonts w:ascii="Bookman Old Style" w:hAnsi="Bookman Old Style"/>
          <w:sz w:val="24"/>
          <w:szCs w:val="24"/>
        </w:rPr>
        <w:t xml:space="preserve"> Amendment Act</w:t>
      </w:r>
      <w:r w:rsidR="00815D72">
        <w:rPr>
          <w:rFonts w:ascii="Bookman Old Style" w:hAnsi="Bookman Old Style"/>
          <w:sz w:val="24"/>
          <w:szCs w:val="24"/>
        </w:rPr>
        <w:t xml:space="preserve"> no 19 of 2005,</w:t>
      </w:r>
      <w:r w:rsidR="00B26E6D" w:rsidRPr="00B26E6D">
        <w:rPr>
          <w:rFonts w:ascii="Bookman Old Style" w:hAnsi="Bookman Old Style"/>
          <w:sz w:val="24"/>
          <w:szCs w:val="24"/>
        </w:rPr>
        <w:t xml:space="preserve"> </w:t>
      </w:r>
      <w:r w:rsidR="00FA528A">
        <w:rPr>
          <w:rFonts w:ascii="Bookman Old Style" w:hAnsi="Bookman Old Style"/>
          <w:sz w:val="24"/>
          <w:szCs w:val="24"/>
        </w:rPr>
        <w:t xml:space="preserve">and </w:t>
      </w:r>
      <w:r w:rsidR="00B26E6D" w:rsidRPr="00B26E6D">
        <w:rPr>
          <w:rFonts w:ascii="Bookman Old Style" w:hAnsi="Bookman Old Style"/>
          <w:sz w:val="24"/>
          <w:szCs w:val="24"/>
        </w:rPr>
        <w:t>which would result in the amendment of a number of sections of the Principal Act.</w:t>
      </w:r>
      <w:r w:rsidR="00B26E6D" w:rsidRPr="00B26E6D">
        <w:rPr>
          <w:rFonts w:ascii="Bookman Old Style" w:hAnsi="Bookman Old Style"/>
          <w:i/>
          <w:sz w:val="24"/>
          <w:szCs w:val="24"/>
        </w:rPr>
        <w:t xml:space="preserve"> </w:t>
      </w:r>
      <w:r w:rsidR="00815D72">
        <w:rPr>
          <w:rFonts w:ascii="Bookman Old Style" w:hAnsi="Bookman Old Style"/>
          <w:sz w:val="24"/>
          <w:szCs w:val="24"/>
        </w:rPr>
        <w:t>The issue was the following:</w:t>
      </w:r>
    </w:p>
    <w:p w:rsidR="00B26E6D" w:rsidRDefault="00B26E6D" w:rsidP="001B47BD">
      <w:pPr>
        <w:spacing w:after="0" w:line="480" w:lineRule="auto"/>
        <w:jc w:val="both"/>
        <w:rPr>
          <w:rFonts w:ascii="Bookman Old Style" w:hAnsi="Bookman Old Style"/>
          <w:i/>
          <w:sz w:val="24"/>
          <w:szCs w:val="24"/>
        </w:rPr>
      </w:pPr>
      <w:r>
        <w:rPr>
          <w:rFonts w:ascii="Bookman Old Style" w:hAnsi="Bookman Old Style"/>
          <w:i/>
          <w:sz w:val="24"/>
          <w:szCs w:val="24"/>
        </w:rPr>
        <w:t>“</w:t>
      </w:r>
      <w:r w:rsidRPr="00B26E6D">
        <w:rPr>
          <w:rFonts w:ascii="Bookman Old Style" w:hAnsi="Bookman Old Style"/>
          <w:i/>
          <w:sz w:val="24"/>
          <w:szCs w:val="24"/>
        </w:rPr>
        <w:t xml:space="preserve">[53] First, it would not be possible to determine what injuries entitle a third party to claim compensation for general damages, for the following reasons: </w:t>
      </w:r>
    </w:p>
    <w:p w:rsidR="00B26E6D" w:rsidRDefault="00B26E6D" w:rsidP="001B47BD">
      <w:pPr>
        <w:spacing w:after="0" w:line="480" w:lineRule="auto"/>
        <w:jc w:val="both"/>
        <w:rPr>
          <w:rFonts w:ascii="Bookman Old Style" w:hAnsi="Bookman Old Style"/>
          <w:i/>
          <w:sz w:val="24"/>
          <w:szCs w:val="24"/>
        </w:rPr>
      </w:pPr>
      <w:r w:rsidRPr="00B26E6D">
        <w:rPr>
          <w:rFonts w:ascii="Bookman Old Style" w:hAnsi="Bookman Old Style"/>
          <w:i/>
          <w:sz w:val="24"/>
          <w:szCs w:val="24"/>
        </w:rPr>
        <w:t xml:space="preserve">(a) section 6 of the Amendment Act substitutes section 17 of the Principal Act. Section 17(1) as amended provides that the obligation of the Fund to compensate a third party for non-pecuniary loss shall be limited to compensation for a “serious injury”; </w:t>
      </w:r>
    </w:p>
    <w:p w:rsidR="00B26E6D" w:rsidRDefault="00B26E6D" w:rsidP="001B47BD">
      <w:pPr>
        <w:spacing w:after="0" w:line="480" w:lineRule="auto"/>
        <w:jc w:val="both"/>
        <w:rPr>
          <w:rFonts w:ascii="Bookman Old Style" w:hAnsi="Bookman Old Style"/>
          <w:i/>
          <w:sz w:val="24"/>
          <w:szCs w:val="24"/>
        </w:rPr>
      </w:pPr>
      <w:r w:rsidRPr="00B26E6D">
        <w:rPr>
          <w:rFonts w:ascii="Bookman Old Style" w:hAnsi="Bookman Old Style"/>
          <w:i/>
          <w:sz w:val="24"/>
          <w:szCs w:val="24"/>
        </w:rPr>
        <w:t xml:space="preserve">(b) section 11 of the Amendment Act substitutes section 26 of the Principal Act. It authorises the Minister to make regulations regarding “injuries which, for the purposes of section 17, are not regarded as serious injuries”; and </w:t>
      </w:r>
    </w:p>
    <w:p w:rsidR="00B26E6D" w:rsidRDefault="00B26E6D" w:rsidP="001B47BD">
      <w:pPr>
        <w:spacing w:after="0" w:line="480" w:lineRule="auto"/>
        <w:jc w:val="both"/>
        <w:rPr>
          <w:rFonts w:ascii="Bookman Old Style" w:hAnsi="Bookman Old Style"/>
          <w:i/>
          <w:sz w:val="24"/>
          <w:szCs w:val="24"/>
        </w:rPr>
      </w:pPr>
      <w:r w:rsidRPr="00B26E6D">
        <w:rPr>
          <w:rFonts w:ascii="Bookman Old Style" w:hAnsi="Bookman Old Style"/>
          <w:i/>
          <w:sz w:val="24"/>
          <w:szCs w:val="24"/>
        </w:rPr>
        <w:t xml:space="preserve"> (c) regulations have not been made determining what constitutes a “serious injury”. </w:t>
      </w:r>
    </w:p>
    <w:p w:rsidR="00B26E6D" w:rsidRDefault="00B26E6D" w:rsidP="001B47BD">
      <w:pPr>
        <w:spacing w:after="0" w:line="480" w:lineRule="auto"/>
        <w:jc w:val="both"/>
        <w:rPr>
          <w:rFonts w:ascii="Bookman Old Style" w:hAnsi="Bookman Old Style"/>
          <w:i/>
          <w:sz w:val="24"/>
          <w:szCs w:val="24"/>
        </w:rPr>
      </w:pPr>
      <w:r w:rsidRPr="00546F1C">
        <w:rPr>
          <w:rFonts w:ascii="Bookman Old Style" w:hAnsi="Bookman Old Style"/>
          <w:i/>
          <w:sz w:val="24"/>
          <w:szCs w:val="24"/>
          <w:u w:val="single"/>
        </w:rPr>
        <w:t>The result is that it is impossible for an attorney to advise a client as to whether he or she may claim compensation for non-pecuniary loss as a consequence of injuries suffered in an accident</w:t>
      </w:r>
      <w:r w:rsidRPr="00B26E6D">
        <w:rPr>
          <w:rFonts w:ascii="Bookman Old Style" w:hAnsi="Bookman Old Style"/>
          <w:i/>
          <w:sz w:val="24"/>
          <w:szCs w:val="24"/>
        </w:rPr>
        <w:t xml:space="preserve">. </w:t>
      </w:r>
    </w:p>
    <w:p w:rsidR="00B26E6D" w:rsidRDefault="00B26E6D" w:rsidP="001B47BD">
      <w:pPr>
        <w:spacing w:after="0" w:line="480" w:lineRule="auto"/>
        <w:jc w:val="both"/>
        <w:rPr>
          <w:rFonts w:ascii="Bookman Old Style" w:hAnsi="Bookman Old Style"/>
          <w:i/>
          <w:sz w:val="24"/>
          <w:szCs w:val="24"/>
        </w:rPr>
      </w:pPr>
      <w:r w:rsidRPr="00B26E6D">
        <w:rPr>
          <w:rFonts w:ascii="Bookman Old Style" w:hAnsi="Bookman Old Style"/>
          <w:i/>
          <w:sz w:val="24"/>
          <w:szCs w:val="24"/>
        </w:rPr>
        <w:t xml:space="preserve">[54] Second, it is not possible to determine at what rate the medical expenses will be reimbursed by the Fund: </w:t>
      </w:r>
    </w:p>
    <w:p w:rsidR="00B26E6D" w:rsidRDefault="00B26E6D" w:rsidP="001B47BD">
      <w:pPr>
        <w:spacing w:after="0" w:line="480" w:lineRule="auto"/>
        <w:jc w:val="both"/>
        <w:rPr>
          <w:rFonts w:ascii="Bookman Old Style" w:hAnsi="Bookman Old Style"/>
          <w:i/>
          <w:sz w:val="24"/>
          <w:szCs w:val="24"/>
        </w:rPr>
      </w:pPr>
      <w:r w:rsidRPr="00B26E6D">
        <w:rPr>
          <w:rFonts w:ascii="Bookman Old Style" w:hAnsi="Bookman Old Style"/>
          <w:i/>
          <w:sz w:val="24"/>
          <w:szCs w:val="24"/>
        </w:rPr>
        <w:t xml:space="preserve">(a) section 6 of the Amendment Act introduces section 17(4B) into the Principal Act. This provides that the liability of the Fund for medical expenses shall be limited to a tariff prescribed by legislation and regulation. </w:t>
      </w:r>
    </w:p>
    <w:p w:rsidR="00B26E6D" w:rsidRDefault="00B26E6D" w:rsidP="001B47BD">
      <w:pPr>
        <w:spacing w:after="0" w:line="480" w:lineRule="auto"/>
        <w:jc w:val="both"/>
        <w:rPr>
          <w:rFonts w:ascii="Bookman Old Style" w:hAnsi="Bookman Old Style"/>
          <w:i/>
          <w:sz w:val="24"/>
          <w:szCs w:val="24"/>
        </w:rPr>
      </w:pPr>
      <w:r w:rsidRPr="00B26E6D">
        <w:rPr>
          <w:rFonts w:ascii="Bookman Old Style" w:hAnsi="Bookman Old Style"/>
          <w:i/>
          <w:sz w:val="24"/>
          <w:szCs w:val="24"/>
        </w:rPr>
        <w:lastRenderedPageBreak/>
        <w:t xml:space="preserve">(b) no such tariff has been prescribed. </w:t>
      </w:r>
    </w:p>
    <w:p w:rsidR="00B26E6D" w:rsidRPr="00B26E6D" w:rsidRDefault="00B26E6D" w:rsidP="001B47BD">
      <w:pPr>
        <w:spacing w:after="0" w:line="480" w:lineRule="auto"/>
        <w:jc w:val="both"/>
        <w:rPr>
          <w:rFonts w:ascii="Bookman Old Style" w:hAnsi="Bookman Old Style"/>
          <w:i/>
          <w:sz w:val="24"/>
          <w:szCs w:val="24"/>
        </w:rPr>
      </w:pPr>
      <w:r w:rsidRPr="00546F1C">
        <w:rPr>
          <w:rFonts w:ascii="Bookman Old Style" w:hAnsi="Bookman Old Style"/>
          <w:i/>
          <w:sz w:val="24"/>
          <w:szCs w:val="24"/>
          <w:u w:val="single"/>
        </w:rPr>
        <w:t>The result is that it is impossible for an attorney to advise a client as to what medical expenses he or she may claim from the Fund.</w:t>
      </w:r>
      <w:r w:rsidRPr="00B26E6D">
        <w:rPr>
          <w:rFonts w:ascii="Bookman Old Style" w:hAnsi="Bookman Old Style"/>
          <w:i/>
          <w:sz w:val="24"/>
          <w:szCs w:val="24"/>
        </w:rPr>
        <w:t xml:space="preserve"> It may even be tha</w:t>
      </w:r>
      <w:r>
        <w:rPr>
          <w:rFonts w:ascii="Bookman Old Style" w:hAnsi="Bookman Old Style"/>
          <w:i/>
          <w:sz w:val="24"/>
          <w:szCs w:val="24"/>
        </w:rPr>
        <w:t>t no expenses may be claimed…”</w:t>
      </w:r>
    </w:p>
    <w:p w:rsidR="00834961" w:rsidRDefault="00834961" w:rsidP="001B47BD">
      <w:pPr>
        <w:spacing w:after="0" w:line="480" w:lineRule="auto"/>
        <w:jc w:val="both"/>
        <w:rPr>
          <w:rFonts w:ascii="Bookman Old Style" w:hAnsi="Bookman Old Style"/>
          <w:sz w:val="24"/>
          <w:szCs w:val="24"/>
        </w:rPr>
      </w:pPr>
    </w:p>
    <w:p w:rsidR="00546F1C" w:rsidRDefault="00546F1C" w:rsidP="001B47BD">
      <w:pPr>
        <w:spacing w:after="0" w:line="480" w:lineRule="auto"/>
        <w:jc w:val="both"/>
        <w:rPr>
          <w:rFonts w:ascii="Bookman Old Style" w:hAnsi="Bookman Old Style"/>
          <w:sz w:val="24"/>
          <w:szCs w:val="24"/>
        </w:rPr>
      </w:pPr>
      <w:r>
        <w:rPr>
          <w:rFonts w:ascii="Bookman Old Style" w:hAnsi="Bookman Old Style"/>
          <w:sz w:val="24"/>
          <w:szCs w:val="24"/>
        </w:rPr>
        <w:t>6]</w:t>
      </w:r>
      <w:r>
        <w:rPr>
          <w:rFonts w:ascii="Bookman Old Style" w:hAnsi="Bookman Old Style"/>
          <w:sz w:val="24"/>
          <w:szCs w:val="24"/>
        </w:rPr>
        <w:tab/>
      </w:r>
      <w:r w:rsidR="008F77EF">
        <w:rPr>
          <w:rFonts w:ascii="Bookman Old Style" w:hAnsi="Bookman Old Style"/>
          <w:sz w:val="24"/>
          <w:szCs w:val="24"/>
        </w:rPr>
        <w:t>G</w:t>
      </w:r>
      <w:r>
        <w:rPr>
          <w:rFonts w:ascii="Bookman Old Style" w:hAnsi="Bookman Old Style"/>
          <w:sz w:val="24"/>
          <w:szCs w:val="24"/>
        </w:rPr>
        <w:t>iven the underlined portions</w:t>
      </w:r>
      <w:r>
        <w:rPr>
          <w:rStyle w:val="FootnoteReference"/>
          <w:rFonts w:ascii="Bookman Old Style" w:hAnsi="Bookman Old Style"/>
          <w:sz w:val="24"/>
          <w:szCs w:val="24"/>
        </w:rPr>
        <w:footnoteReference w:id="6"/>
      </w:r>
      <w:r>
        <w:rPr>
          <w:rFonts w:ascii="Bookman Old Style" w:hAnsi="Bookman Old Style"/>
          <w:sz w:val="24"/>
          <w:szCs w:val="24"/>
        </w:rPr>
        <w:t xml:space="preserve"> supra, it is not surprising that the attorney was found to have sufficient </w:t>
      </w:r>
      <w:r w:rsidRPr="00546F1C">
        <w:rPr>
          <w:rFonts w:ascii="Bookman Old Style" w:hAnsi="Bookman Old Style"/>
          <w:i/>
          <w:sz w:val="24"/>
          <w:szCs w:val="24"/>
        </w:rPr>
        <w:t xml:space="preserve">locus </w:t>
      </w:r>
      <w:proofErr w:type="spellStart"/>
      <w:r w:rsidRPr="00546F1C">
        <w:rPr>
          <w:rFonts w:ascii="Bookman Old Style" w:hAnsi="Bookman Old Style"/>
          <w:i/>
          <w:sz w:val="24"/>
          <w:szCs w:val="24"/>
        </w:rPr>
        <w:t>standi</w:t>
      </w:r>
      <w:proofErr w:type="spellEnd"/>
      <w:r>
        <w:rPr>
          <w:rFonts w:ascii="Bookman Old Style" w:hAnsi="Bookman Old Style"/>
          <w:sz w:val="24"/>
          <w:szCs w:val="24"/>
        </w:rPr>
        <w:t xml:space="preserve"> in that ma</w:t>
      </w:r>
      <w:r w:rsidR="00BE540C">
        <w:rPr>
          <w:rFonts w:ascii="Bookman Old Style" w:hAnsi="Bookman Old Style"/>
          <w:sz w:val="24"/>
          <w:szCs w:val="24"/>
        </w:rPr>
        <w:t>tter</w:t>
      </w:r>
      <w:r w:rsidR="008F77EF">
        <w:rPr>
          <w:rFonts w:ascii="Bookman Old Style" w:hAnsi="Bookman Old Style"/>
          <w:sz w:val="24"/>
          <w:szCs w:val="24"/>
        </w:rPr>
        <w:t>,</w:t>
      </w:r>
      <w:r w:rsidR="00BE540C">
        <w:rPr>
          <w:rFonts w:ascii="Bookman Old Style" w:hAnsi="Bookman Old Style"/>
          <w:sz w:val="24"/>
          <w:szCs w:val="24"/>
        </w:rPr>
        <w:t xml:space="preserve"> as the provision of legal advice to a client</w:t>
      </w:r>
      <w:r w:rsidR="002A0530">
        <w:rPr>
          <w:rFonts w:ascii="Bookman Old Style" w:hAnsi="Bookman Old Style"/>
          <w:sz w:val="24"/>
          <w:szCs w:val="24"/>
        </w:rPr>
        <w:t xml:space="preserve"> on whether they have a claim </w:t>
      </w:r>
      <w:r w:rsidR="00FA528A">
        <w:rPr>
          <w:rFonts w:ascii="Bookman Old Style" w:hAnsi="Bookman Old Style"/>
          <w:sz w:val="24"/>
          <w:szCs w:val="24"/>
        </w:rPr>
        <w:t>at all,</w:t>
      </w:r>
      <w:r w:rsidR="00BE540C">
        <w:rPr>
          <w:rFonts w:ascii="Bookman Old Style" w:hAnsi="Bookman Old Style"/>
          <w:sz w:val="24"/>
          <w:szCs w:val="24"/>
        </w:rPr>
        <w:t xml:space="preserve"> is </w:t>
      </w:r>
      <w:r w:rsidR="002A0530">
        <w:rPr>
          <w:rFonts w:ascii="Bookman Old Style" w:hAnsi="Bookman Old Style"/>
          <w:sz w:val="24"/>
          <w:szCs w:val="24"/>
        </w:rPr>
        <w:t xml:space="preserve">fundamental to </w:t>
      </w:r>
      <w:r w:rsidR="00BE540C">
        <w:rPr>
          <w:rFonts w:ascii="Bookman Old Style" w:hAnsi="Bookman Old Style"/>
          <w:sz w:val="24"/>
          <w:szCs w:val="24"/>
        </w:rPr>
        <w:t>the attorney-client relationship.</w:t>
      </w:r>
      <w:r>
        <w:rPr>
          <w:rFonts w:ascii="Bookman Old Style" w:hAnsi="Bookman Old Style"/>
          <w:sz w:val="24"/>
          <w:szCs w:val="24"/>
        </w:rPr>
        <w:t xml:space="preserve"> There is no such impediment in this natter and there is no indication that the applicants are unable to discharge any of their duties. In this, the </w:t>
      </w:r>
      <w:r>
        <w:rPr>
          <w:rFonts w:ascii="Bookman Old Style" w:hAnsi="Bookman Old Style"/>
          <w:i/>
          <w:sz w:val="24"/>
          <w:szCs w:val="24"/>
        </w:rPr>
        <w:t>caveat</w:t>
      </w:r>
      <w:r>
        <w:rPr>
          <w:rFonts w:ascii="Bookman Old Style" w:hAnsi="Bookman Old Style"/>
          <w:sz w:val="24"/>
          <w:szCs w:val="24"/>
        </w:rPr>
        <w:t xml:space="preserve"> in the </w:t>
      </w:r>
      <w:r>
        <w:rPr>
          <w:rFonts w:ascii="Bookman Old Style" w:hAnsi="Bookman Old Style"/>
          <w:b/>
          <w:sz w:val="24"/>
          <w:szCs w:val="24"/>
        </w:rPr>
        <w:t>Kruger</w:t>
      </w:r>
      <w:r>
        <w:rPr>
          <w:rFonts w:ascii="Bookman Old Style" w:hAnsi="Bookman Old Style"/>
          <w:sz w:val="24"/>
          <w:szCs w:val="24"/>
        </w:rPr>
        <w:t xml:space="preserve"> matter must be borne in mind:</w:t>
      </w:r>
    </w:p>
    <w:p w:rsidR="00546F1C" w:rsidRDefault="00546F1C" w:rsidP="001B47BD">
      <w:pPr>
        <w:spacing w:after="0" w:line="480" w:lineRule="auto"/>
        <w:jc w:val="both"/>
        <w:rPr>
          <w:rFonts w:ascii="Bookman Old Style" w:hAnsi="Bookman Old Style"/>
          <w:i/>
          <w:sz w:val="24"/>
          <w:szCs w:val="24"/>
        </w:rPr>
      </w:pPr>
      <w:r>
        <w:rPr>
          <w:rFonts w:ascii="Bookman Old Style" w:hAnsi="Bookman Old Style"/>
          <w:i/>
          <w:sz w:val="24"/>
          <w:szCs w:val="24"/>
        </w:rPr>
        <w:t>“</w:t>
      </w:r>
      <w:r w:rsidR="00BD65F6">
        <w:rPr>
          <w:rFonts w:ascii="Bookman Old Style" w:hAnsi="Bookman Old Style"/>
          <w:i/>
          <w:sz w:val="24"/>
          <w:szCs w:val="24"/>
        </w:rPr>
        <w:t>Legal practitioners must not assume that they will be allowed to bring applications to this Court for a declaration of invalidity based purely on financial self-interest or in circumstances where they cannot show that it will be in the administration of justice that they do so.”</w:t>
      </w:r>
    </w:p>
    <w:p w:rsidR="00BD65F6" w:rsidRDefault="00BD65F6" w:rsidP="001B47BD">
      <w:pPr>
        <w:spacing w:after="0" w:line="480" w:lineRule="auto"/>
        <w:jc w:val="both"/>
        <w:rPr>
          <w:rFonts w:ascii="Bookman Old Style" w:hAnsi="Bookman Old Style"/>
          <w:sz w:val="24"/>
          <w:szCs w:val="24"/>
        </w:rPr>
      </w:pPr>
    </w:p>
    <w:p w:rsidR="00BD65F6" w:rsidRDefault="00BD65F6" w:rsidP="001B47BD">
      <w:pPr>
        <w:spacing w:after="0" w:line="480" w:lineRule="auto"/>
        <w:jc w:val="both"/>
        <w:rPr>
          <w:rFonts w:ascii="Bookman Old Style" w:hAnsi="Bookman Old Style"/>
          <w:sz w:val="24"/>
          <w:szCs w:val="24"/>
        </w:rPr>
      </w:pPr>
      <w:r>
        <w:rPr>
          <w:rFonts w:ascii="Bookman Old Style" w:hAnsi="Bookman Old Style"/>
          <w:sz w:val="24"/>
          <w:szCs w:val="24"/>
        </w:rPr>
        <w:t>7]</w:t>
      </w:r>
      <w:r>
        <w:rPr>
          <w:rFonts w:ascii="Bookman Old Style" w:hAnsi="Bookman Old Style"/>
          <w:sz w:val="24"/>
          <w:szCs w:val="24"/>
        </w:rPr>
        <w:tab/>
      </w:r>
      <w:r w:rsidR="009E0EAF">
        <w:rPr>
          <w:rFonts w:ascii="Bookman Old Style" w:hAnsi="Bookman Old Style"/>
          <w:sz w:val="24"/>
          <w:szCs w:val="24"/>
        </w:rPr>
        <w:t xml:space="preserve">I am also of the view that the matter of </w:t>
      </w:r>
      <w:r w:rsidR="009E0EAF">
        <w:rPr>
          <w:rFonts w:ascii="Bookman Old Style" w:hAnsi="Bookman Old Style"/>
          <w:b/>
          <w:sz w:val="24"/>
          <w:szCs w:val="24"/>
        </w:rPr>
        <w:t xml:space="preserve">Director General of the Department of Home Affairs v De </w:t>
      </w:r>
      <w:proofErr w:type="spellStart"/>
      <w:r w:rsidR="009E0EAF">
        <w:rPr>
          <w:rFonts w:ascii="Bookman Old Style" w:hAnsi="Bookman Old Style"/>
          <w:b/>
          <w:sz w:val="24"/>
          <w:szCs w:val="24"/>
        </w:rPr>
        <w:t>Saude</w:t>
      </w:r>
      <w:proofErr w:type="spellEnd"/>
      <w:r w:rsidR="009E0EAF">
        <w:rPr>
          <w:rFonts w:ascii="Bookman Old Style" w:hAnsi="Bookman Old Style"/>
          <w:b/>
          <w:sz w:val="24"/>
          <w:szCs w:val="24"/>
        </w:rPr>
        <w:t xml:space="preserve"> Attorneys and Another</w:t>
      </w:r>
      <w:r w:rsidR="009E0EAF" w:rsidRPr="009E0EAF">
        <w:rPr>
          <w:rStyle w:val="FootnoteReference"/>
          <w:rFonts w:ascii="Bookman Old Style" w:hAnsi="Bookman Old Style"/>
          <w:sz w:val="24"/>
          <w:szCs w:val="24"/>
        </w:rPr>
        <w:footnoteReference w:id="7"/>
      </w:r>
      <w:r w:rsidR="009E0EAF">
        <w:rPr>
          <w:rFonts w:ascii="Bookman Old Style" w:hAnsi="Bookman Old Style"/>
          <w:b/>
          <w:sz w:val="24"/>
          <w:szCs w:val="24"/>
        </w:rPr>
        <w:t xml:space="preserve"> </w:t>
      </w:r>
      <w:r w:rsidR="009E0EAF">
        <w:rPr>
          <w:rFonts w:ascii="Bookman Old Style" w:hAnsi="Bookman Old Style"/>
          <w:sz w:val="24"/>
          <w:szCs w:val="24"/>
        </w:rPr>
        <w:t xml:space="preserve">does not assist the applicants on the facts of that matter, where the applicants were indeed hamstrung by the lack of co-operation and systemic failures within the Department to process their clients’ visa applications, sometimes leading to delays of over 7 years.  In the matter to hand, the complaint is one based </w:t>
      </w:r>
      <w:r w:rsidR="009E0EAF">
        <w:rPr>
          <w:rFonts w:ascii="Bookman Old Style" w:hAnsi="Bookman Old Style"/>
          <w:sz w:val="24"/>
          <w:szCs w:val="24"/>
        </w:rPr>
        <w:lastRenderedPageBreak/>
        <w:t xml:space="preserve">on their own section 22, and their clients’ section 34, constitutional rights. It is not necessary for me to repeat the reasons I found that these are not sufficient to found the applicants’ locus </w:t>
      </w:r>
      <w:proofErr w:type="spellStart"/>
      <w:r w:rsidR="009E0EAF">
        <w:rPr>
          <w:rFonts w:ascii="Bookman Old Style" w:hAnsi="Bookman Old Style"/>
          <w:sz w:val="24"/>
          <w:szCs w:val="24"/>
        </w:rPr>
        <w:t>standi</w:t>
      </w:r>
      <w:proofErr w:type="spellEnd"/>
      <w:r w:rsidR="009E0EAF">
        <w:rPr>
          <w:rFonts w:ascii="Bookman Old Style" w:hAnsi="Bookman Old Style"/>
          <w:sz w:val="24"/>
          <w:szCs w:val="24"/>
        </w:rPr>
        <w:t xml:space="preserve"> – I refer to the judgment of 31 March 2022 in this regard.</w:t>
      </w:r>
    </w:p>
    <w:p w:rsidR="009E0EAF" w:rsidRDefault="009E0EAF" w:rsidP="001B47BD">
      <w:pPr>
        <w:spacing w:after="0" w:line="480" w:lineRule="auto"/>
        <w:jc w:val="both"/>
        <w:rPr>
          <w:rFonts w:ascii="Bookman Old Style" w:hAnsi="Bookman Old Style"/>
          <w:sz w:val="24"/>
          <w:szCs w:val="24"/>
        </w:rPr>
      </w:pPr>
    </w:p>
    <w:p w:rsidR="009E0EAF" w:rsidRPr="00B3262F" w:rsidRDefault="009E0EAF" w:rsidP="001B47BD">
      <w:pPr>
        <w:spacing w:after="0" w:line="480" w:lineRule="auto"/>
        <w:jc w:val="both"/>
        <w:rPr>
          <w:rFonts w:ascii="Bookman Old Style" w:hAnsi="Bookman Old Style"/>
          <w:sz w:val="24"/>
          <w:szCs w:val="24"/>
        </w:rPr>
      </w:pPr>
      <w:r>
        <w:rPr>
          <w:rFonts w:ascii="Bookman Old Style" w:hAnsi="Bookman Old Style"/>
          <w:sz w:val="24"/>
          <w:szCs w:val="24"/>
        </w:rPr>
        <w:t>8]</w:t>
      </w:r>
      <w:r>
        <w:rPr>
          <w:rFonts w:ascii="Bookman Old Style" w:hAnsi="Bookman Old Style"/>
          <w:sz w:val="24"/>
          <w:szCs w:val="24"/>
        </w:rPr>
        <w:tab/>
        <w:t xml:space="preserve">Similarly, and as stated in the main judgment, the fact that the applicants’ are entitled to fees for their services does not cloak them with sufficient </w:t>
      </w:r>
      <w:r>
        <w:rPr>
          <w:rFonts w:ascii="Bookman Old Style" w:hAnsi="Bookman Old Style"/>
          <w:i/>
          <w:sz w:val="24"/>
          <w:szCs w:val="24"/>
        </w:rPr>
        <w:t xml:space="preserve">locus </w:t>
      </w:r>
      <w:proofErr w:type="spellStart"/>
      <w:r>
        <w:rPr>
          <w:rFonts w:ascii="Bookman Old Style" w:hAnsi="Bookman Old Style"/>
          <w:i/>
          <w:sz w:val="24"/>
          <w:szCs w:val="24"/>
        </w:rPr>
        <w:t>standi</w:t>
      </w:r>
      <w:proofErr w:type="spellEnd"/>
      <w:r>
        <w:rPr>
          <w:rStyle w:val="FootnoteReference"/>
          <w:rFonts w:ascii="Bookman Old Style" w:hAnsi="Bookman Old Style"/>
          <w:i/>
          <w:sz w:val="24"/>
          <w:szCs w:val="24"/>
        </w:rPr>
        <w:footnoteReference w:id="8"/>
      </w:r>
      <w:r w:rsidR="004A4875">
        <w:rPr>
          <w:rFonts w:ascii="Bookman Old Style" w:hAnsi="Bookman Old Style"/>
          <w:sz w:val="24"/>
          <w:szCs w:val="24"/>
        </w:rPr>
        <w:t xml:space="preserve">. </w:t>
      </w:r>
      <w:r w:rsidR="00B3262F">
        <w:rPr>
          <w:rFonts w:ascii="Bookman Old Style" w:hAnsi="Bookman Old Style"/>
          <w:sz w:val="24"/>
          <w:szCs w:val="24"/>
        </w:rPr>
        <w:t>At the end of the day their mandate is from their client and their fees are recuperated from their clients – whether by way of ordinary fee arrangements, or by way of a contingency fee agreement.</w:t>
      </w:r>
      <w:r w:rsidR="000C66BF">
        <w:rPr>
          <w:rFonts w:ascii="Bookman Old Style" w:hAnsi="Bookman Old Style"/>
          <w:sz w:val="24"/>
          <w:szCs w:val="24"/>
        </w:rPr>
        <w:t xml:space="preserve"> </w:t>
      </w:r>
      <w:r w:rsidR="009741FF">
        <w:rPr>
          <w:rFonts w:ascii="Bookman Old Style" w:hAnsi="Bookman Old Style"/>
          <w:sz w:val="24"/>
          <w:szCs w:val="24"/>
        </w:rPr>
        <w:t>The applicants’ financial self-interest does not provide them with sufficient</w:t>
      </w:r>
      <w:r w:rsidR="002C2A03">
        <w:rPr>
          <w:rFonts w:ascii="Bookman Old Style" w:hAnsi="Bookman Old Style"/>
          <w:sz w:val="24"/>
          <w:szCs w:val="24"/>
        </w:rPr>
        <w:t xml:space="preserve"> direct interest</w:t>
      </w:r>
      <w:r w:rsidR="00096AB7">
        <w:rPr>
          <w:rFonts w:ascii="Bookman Old Style" w:hAnsi="Bookman Old Style"/>
          <w:sz w:val="24"/>
          <w:szCs w:val="24"/>
        </w:rPr>
        <w:t xml:space="preserve"> </w:t>
      </w:r>
      <w:r w:rsidR="002C2A03">
        <w:rPr>
          <w:rFonts w:ascii="Bookman Old Style" w:hAnsi="Bookman Old Style"/>
          <w:sz w:val="24"/>
          <w:szCs w:val="24"/>
        </w:rPr>
        <w:t>to found their</w:t>
      </w:r>
      <w:r w:rsidR="009741FF">
        <w:rPr>
          <w:rFonts w:ascii="Bookman Old Style" w:hAnsi="Bookman Old Style"/>
          <w:sz w:val="24"/>
          <w:szCs w:val="24"/>
        </w:rPr>
        <w:t xml:space="preserve"> </w:t>
      </w:r>
      <w:r w:rsidR="009741FF" w:rsidRPr="009741FF">
        <w:rPr>
          <w:rFonts w:ascii="Bookman Old Style" w:hAnsi="Bookman Old Style"/>
          <w:i/>
          <w:sz w:val="24"/>
          <w:szCs w:val="24"/>
        </w:rPr>
        <w:t xml:space="preserve">locus </w:t>
      </w:r>
      <w:proofErr w:type="spellStart"/>
      <w:r w:rsidR="009741FF" w:rsidRPr="009741FF">
        <w:rPr>
          <w:rFonts w:ascii="Bookman Old Style" w:hAnsi="Bookman Old Style"/>
          <w:i/>
          <w:sz w:val="24"/>
          <w:szCs w:val="24"/>
        </w:rPr>
        <w:t>standi</w:t>
      </w:r>
      <w:proofErr w:type="spellEnd"/>
      <w:r w:rsidR="009741FF">
        <w:rPr>
          <w:rFonts w:ascii="Bookman Old Style" w:hAnsi="Bookman Old Style"/>
          <w:sz w:val="24"/>
          <w:szCs w:val="24"/>
        </w:rPr>
        <w:t xml:space="preserve"> in this matter for the reasons set out in the main judgment.</w:t>
      </w:r>
      <w:r w:rsidR="00096AB7">
        <w:rPr>
          <w:rFonts w:ascii="Bookman Old Style" w:hAnsi="Bookman Old Style"/>
          <w:sz w:val="24"/>
          <w:szCs w:val="24"/>
        </w:rPr>
        <w:t xml:space="preserve"> Even were the test to have been narrowly applied, instead of broadly as contended by the applicants</w:t>
      </w:r>
      <w:r w:rsidR="00DD3F3F">
        <w:rPr>
          <w:rFonts w:ascii="Bookman Old Style" w:hAnsi="Bookman Old Style"/>
          <w:sz w:val="24"/>
          <w:szCs w:val="24"/>
        </w:rPr>
        <w:t xml:space="preserve"> it should have been</w:t>
      </w:r>
      <w:r w:rsidR="00096AB7">
        <w:rPr>
          <w:rFonts w:ascii="Bookman Old Style" w:hAnsi="Bookman Old Style"/>
          <w:sz w:val="24"/>
          <w:szCs w:val="24"/>
        </w:rPr>
        <w:t>, I am of the view that the particular facts of this matter do not change the basis of the finding</w:t>
      </w:r>
      <w:r w:rsidR="00096AB7">
        <w:rPr>
          <w:rStyle w:val="FootnoteReference"/>
          <w:rFonts w:ascii="Bookman Old Style" w:hAnsi="Bookman Old Style"/>
          <w:sz w:val="24"/>
          <w:szCs w:val="24"/>
        </w:rPr>
        <w:footnoteReference w:id="9"/>
      </w:r>
      <w:r w:rsidR="00096AB7">
        <w:rPr>
          <w:rFonts w:ascii="Bookman Old Style" w:hAnsi="Bookman Old Style"/>
          <w:sz w:val="24"/>
          <w:szCs w:val="24"/>
        </w:rPr>
        <w:t>.</w:t>
      </w:r>
    </w:p>
    <w:p w:rsidR="00834961" w:rsidRDefault="00834961" w:rsidP="001B47BD">
      <w:pPr>
        <w:spacing w:after="0" w:line="480" w:lineRule="auto"/>
        <w:jc w:val="both"/>
        <w:rPr>
          <w:rFonts w:ascii="Bookman Old Style" w:hAnsi="Bookman Old Style"/>
          <w:sz w:val="24"/>
          <w:szCs w:val="24"/>
        </w:rPr>
      </w:pPr>
    </w:p>
    <w:p w:rsidR="006B4435" w:rsidRDefault="006B4435" w:rsidP="006B4435">
      <w:pPr>
        <w:pStyle w:val="western"/>
        <w:shd w:val="clear" w:color="auto" w:fill="FFFFFF"/>
        <w:spacing w:before="0" w:beforeAutospacing="0" w:after="0" w:afterAutospacing="0" w:line="480" w:lineRule="auto"/>
        <w:jc w:val="both"/>
        <w:rPr>
          <w:rFonts w:ascii="Bookman Old Style" w:hAnsi="Bookman Old Style"/>
          <w:color w:val="242121"/>
        </w:rPr>
      </w:pPr>
      <w:r>
        <w:rPr>
          <w:rFonts w:ascii="Bookman Old Style" w:hAnsi="Bookman Old Style"/>
          <w:color w:val="242121"/>
        </w:rPr>
        <w:t>9]</w:t>
      </w:r>
      <w:r>
        <w:rPr>
          <w:rFonts w:ascii="Bookman Old Style" w:hAnsi="Bookman Old Style"/>
          <w:color w:val="242121"/>
        </w:rPr>
        <w:tab/>
      </w:r>
      <w:r w:rsidR="00DD3F3F">
        <w:rPr>
          <w:rFonts w:ascii="Bookman Old Style" w:hAnsi="Bookman Old Style"/>
          <w:color w:val="242121"/>
        </w:rPr>
        <w:t>The applicants contend that even were their standing “</w:t>
      </w:r>
      <w:r w:rsidR="00DD3F3F">
        <w:rPr>
          <w:rFonts w:ascii="Bookman Old Style" w:hAnsi="Bookman Old Style"/>
          <w:i/>
          <w:color w:val="242121"/>
        </w:rPr>
        <w:t>questionable”</w:t>
      </w:r>
      <w:r w:rsidR="00DD3F3F">
        <w:rPr>
          <w:rFonts w:ascii="Bookman Old Style" w:hAnsi="Bookman Old Style"/>
          <w:color w:val="242121"/>
        </w:rPr>
        <w:t xml:space="preserve">, the court should have considered the merits because of broader considerations of accountability and responsiveness. However, in </w:t>
      </w:r>
      <w:r>
        <w:rPr>
          <w:rFonts w:ascii="Bookman Old Style" w:hAnsi="Bookman Old Style"/>
          <w:b/>
          <w:color w:val="242121"/>
        </w:rPr>
        <w:t xml:space="preserve">Giant Concerts CC v </w:t>
      </w:r>
      <w:proofErr w:type="spellStart"/>
      <w:r>
        <w:rPr>
          <w:rFonts w:ascii="Bookman Old Style" w:hAnsi="Bookman Old Style"/>
          <w:b/>
          <w:color w:val="242121"/>
        </w:rPr>
        <w:t>Rinaldo</w:t>
      </w:r>
      <w:proofErr w:type="spellEnd"/>
      <w:r>
        <w:rPr>
          <w:rFonts w:ascii="Bookman Old Style" w:hAnsi="Bookman Old Style"/>
          <w:color w:val="242121"/>
        </w:rPr>
        <w:t>, the court stated:</w:t>
      </w:r>
    </w:p>
    <w:p w:rsidR="006B4435" w:rsidRPr="006B4435" w:rsidRDefault="00DD3F3F" w:rsidP="006B4435">
      <w:pPr>
        <w:pStyle w:val="western"/>
        <w:shd w:val="clear" w:color="auto" w:fill="FFFFFF"/>
        <w:spacing w:before="0" w:beforeAutospacing="0" w:after="0" w:afterAutospacing="0" w:line="480" w:lineRule="auto"/>
        <w:jc w:val="both"/>
        <w:rPr>
          <w:rFonts w:ascii="Bookman Old Style" w:hAnsi="Bookman Old Style"/>
          <w:i/>
          <w:color w:val="242121"/>
        </w:rPr>
      </w:pPr>
      <w:r>
        <w:rPr>
          <w:rFonts w:ascii="Bookman Old Style" w:hAnsi="Bookman Old Style"/>
          <w:i/>
        </w:rPr>
        <w:t>“</w:t>
      </w:r>
      <w:r w:rsidR="006B4435">
        <w:rPr>
          <w:rFonts w:ascii="Bookman Old Style" w:hAnsi="Bookman Old Style"/>
          <w:i/>
        </w:rPr>
        <w:t>32.</w:t>
      </w:r>
      <w:r w:rsidR="00F74773" w:rsidRPr="006B4435">
        <w:rPr>
          <w:rFonts w:ascii="Bookman Old Style" w:hAnsi="Bookman Old Style"/>
          <w:i/>
        </w:rPr>
        <w:tab/>
      </w:r>
      <w:r w:rsidR="006B4435" w:rsidRPr="006B4435">
        <w:rPr>
          <w:rFonts w:ascii="Bookman Old Style" w:hAnsi="Bookman Old Style"/>
          <w:i/>
          <w:color w:val="242121"/>
        </w:rPr>
        <w:t xml:space="preserve">And in determining Giant’s standing, we must assume that its complaints about the lawfulness of the transaction are correct. This is because in </w:t>
      </w:r>
      <w:r w:rsidR="006B4435" w:rsidRPr="006B4435">
        <w:rPr>
          <w:rFonts w:ascii="Bookman Old Style" w:hAnsi="Bookman Old Style"/>
          <w:i/>
          <w:color w:val="242121"/>
        </w:rPr>
        <w:lastRenderedPageBreak/>
        <w:t xml:space="preserve">determining a litigant’s standing, a court must, as a matter of logic, assume that the challenge the litigant seeks to bring is justified. As </w:t>
      </w:r>
      <w:proofErr w:type="spellStart"/>
      <w:r w:rsidR="006B4435" w:rsidRPr="006B4435">
        <w:rPr>
          <w:rFonts w:ascii="Bookman Old Style" w:hAnsi="Bookman Old Style"/>
          <w:i/>
          <w:color w:val="242121"/>
        </w:rPr>
        <w:t>Hoexter</w:t>
      </w:r>
      <w:proofErr w:type="spellEnd"/>
      <w:r w:rsidR="006B4435" w:rsidRPr="006B4435">
        <w:rPr>
          <w:rFonts w:ascii="Bookman Old Style" w:hAnsi="Bookman Old Style"/>
          <w:i/>
          <w:color w:val="242121"/>
        </w:rPr>
        <w:t xml:space="preserve"> explains:</w:t>
      </w:r>
    </w:p>
    <w:p w:rsidR="00DD3F3F" w:rsidRDefault="006B4435" w:rsidP="00DD3F3F">
      <w:pPr>
        <w:pStyle w:val="western"/>
        <w:shd w:val="clear" w:color="auto" w:fill="FFFFFF"/>
        <w:spacing w:before="0" w:beforeAutospacing="0" w:after="0" w:afterAutospacing="0" w:line="480" w:lineRule="auto"/>
        <w:ind w:left="720" w:right="720"/>
        <w:jc w:val="both"/>
        <w:rPr>
          <w:rFonts w:ascii="Bookman Old Style" w:hAnsi="Bookman Old Style"/>
          <w:color w:val="242121"/>
        </w:rPr>
      </w:pPr>
      <w:r w:rsidRPr="006B4435">
        <w:rPr>
          <w:rFonts w:ascii="Bookman Old Style" w:hAnsi="Bookman Old Style"/>
          <w:i/>
          <w:color w:val="242121"/>
          <w:sz w:val="22"/>
          <w:szCs w:val="22"/>
        </w:rPr>
        <w:t>“The issue of standing is divorced from the substance of the case. It is therefore a question to be decided </w:t>
      </w:r>
      <w:r w:rsidRPr="006B4435">
        <w:rPr>
          <w:rFonts w:ascii="Bookman Old Style" w:hAnsi="Bookman Old Style"/>
          <w:i/>
          <w:iCs/>
          <w:color w:val="242121"/>
          <w:sz w:val="22"/>
          <w:szCs w:val="22"/>
        </w:rPr>
        <w:t xml:space="preserve">in </w:t>
      </w:r>
      <w:proofErr w:type="spellStart"/>
      <w:r w:rsidRPr="006B4435">
        <w:rPr>
          <w:rFonts w:ascii="Bookman Old Style" w:hAnsi="Bookman Old Style"/>
          <w:i/>
          <w:iCs/>
          <w:color w:val="242121"/>
          <w:sz w:val="22"/>
          <w:szCs w:val="22"/>
        </w:rPr>
        <w:t>limine</w:t>
      </w:r>
      <w:proofErr w:type="spellEnd"/>
      <w:r w:rsidRPr="006B4435">
        <w:rPr>
          <w:rFonts w:ascii="Bookman Old Style" w:hAnsi="Bookman Old Style"/>
          <w:i/>
          <w:color w:val="242121"/>
          <w:sz w:val="22"/>
          <w:szCs w:val="22"/>
        </w:rPr>
        <w:t> [at the outset], before the merits are considered</w:t>
      </w:r>
      <w:r w:rsidRPr="006B4435">
        <w:rPr>
          <w:rFonts w:ascii="Bookman Old Style" w:hAnsi="Bookman Old Style"/>
          <w:i/>
          <w:color w:val="242121"/>
        </w:rPr>
        <w:t>.”</w:t>
      </w:r>
      <w:r w:rsidR="00DD3F3F">
        <w:rPr>
          <w:rFonts w:ascii="Bookman Old Style" w:hAnsi="Bookman Old Style"/>
          <w:i/>
          <w:color w:val="242121"/>
        </w:rPr>
        <w:t xml:space="preserve"> “</w:t>
      </w:r>
    </w:p>
    <w:p w:rsidR="00FA528A" w:rsidRDefault="00DD3F3F" w:rsidP="00DD3F3F">
      <w:pPr>
        <w:pStyle w:val="western"/>
        <w:shd w:val="clear" w:color="auto" w:fill="FFFFFF"/>
        <w:spacing w:before="0" w:beforeAutospacing="0" w:after="0" w:afterAutospacing="0" w:line="480" w:lineRule="auto"/>
        <w:ind w:right="720"/>
        <w:jc w:val="both"/>
        <w:rPr>
          <w:rFonts w:ascii="Bookman Old Style" w:hAnsi="Bookman Old Style"/>
          <w:color w:val="242121"/>
        </w:rPr>
      </w:pPr>
      <w:r>
        <w:rPr>
          <w:rFonts w:ascii="Bookman Old Style" w:hAnsi="Bookman Old Style"/>
          <w:color w:val="242121"/>
        </w:rPr>
        <w:t xml:space="preserve"> </w:t>
      </w:r>
    </w:p>
    <w:p w:rsidR="005260A0" w:rsidRDefault="00DD3F3F" w:rsidP="00DD3F3F">
      <w:pPr>
        <w:pStyle w:val="western"/>
        <w:shd w:val="clear" w:color="auto" w:fill="FFFFFF"/>
        <w:spacing w:before="0" w:beforeAutospacing="0" w:after="0" w:afterAutospacing="0" w:line="480" w:lineRule="auto"/>
        <w:ind w:right="720"/>
        <w:jc w:val="both"/>
        <w:rPr>
          <w:rFonts w:ascii="Bookman Old Style" w:hAnsi="Bookman Old Style"/>
          <w:color w:val="242121"/>
        </w:rPr>
      </w:pPr>
      <w:r>
        <w:rPr>
          <w:rFonts w:ascii="Bookman Old Style" w:hAnsi="Bookman Old Style"/>
          <w:color w:val="242121"/>
        </w:rPr>
        <w:t xml:space="preserve">The court also stated that </w:t>
      </w:r>
    </w:p>
    <w:p w:rsidR="006B4435" w:rsidRPr="005260A0" w:rsidRDefault="005260A0" w:rsidP="00DD3F3F">
      <w:pPr>
        <w:pStyle w:val="western"/>
        <w:shd w:val="clear" w:color="auto" w:fill="FFFFFF"/>
        <w:spacing w:before="0" w:beforeAutospacing="0" w:after="0" w:afterAutospacing="0" w:line="480" w:lineRule="auto"/>
        <w:ind w:right="720"/>
        <w:jc w:val="both"/>
        <w:rPr>
          <w:rFonts w:ascii="Bookman Old Style" w:hAnsi="Bookman Old Style"/>
          <w:i/>
          <w:color w:val="242121"/>
        </w:rPr>
      </w:pPr>
      <w:r w:rsidRPr="005260A0">
        <w:rPr>
          <w:rFonts w:ascii="Bookman Old Style" w:hAnsi="Bookman Old Style"/>
          <w:color w:val="242121"/>
        </w:rPr>
        <w:t>“…</w:t>
      </w:r>
      <w:r w:rsidR="006B4435" w:rsidRPr="005260A0">
        <w:rPr>
          <w:rFonts w:ascii="Bookman Old Style" w:hAnsi="Bookman Old Style"/>
          <w:i/>
          <w:color w:val="242121"/>
        </w:rPr>
        <w:t>standing determines solely whether </w:t>
      </w:r>
      <w:r w:rsidR="006B4435" w:rsidRPr="005260A0">
        <w:rPr>
          <w:rFonts w:ascii="Bookman Old Style" w:hAnsi="Bookman Old Style"/>
          <w:i/>
          <w:iCs/>
          <w:color w:val="242121"/>
        </w:rPr>
        <w:t>this</w:t>
      </w:r>
      <w:r w:rsidR="006B4435" w:rsidRPr="005260A0">
        <w:rPr>
          <w:rFonts w:ascii="Bookman Old Style" w:hAnsi="Bookman Old Style"/>
          <w:i/>
          <w:color w:val="242121"/>
        </w:rPr>
        <w:t xml:space="preserve"> particular litigant is entitled to mount the challenge: a successful challenge to a public decision can be brought only if “the right remedy is sought by the right person in the right proceedings.” </w:t>
      </w:r>
      <w:r w:rsidRPr="005260A0">
        <w:rPr>
          <w:rFonts w:ascii="Bookman Old Style" w:hAnsi="Bookman Old Style"/>
          <w:i/>
          <w:color w:val="242121"/>
        </w:rPr>
        <w:t>“</w:t>
      </w:r>
      <w:r>
        <w:rPr>
          <w:rStyle w:val="FootnoteReference"/>
          <w:rFonts w:ascii="Bookman Old Style" w:hAnsi="Bookman Old Style"/>
          <w:i/>
          <w:color w:val="242121"/>
        </w:rPr>
        <w:footnoteReference w:id="10"/>
      </w:r>
    </w:p>
    <w:p w:rsidR="00B67DDE" w:rsidRDefault="00B67DDE" w:rsidP="006B4435">
      <w:pPr>
        <w:spacing w:after="0" w:line="480" w:lineRule="auto"/>
        <w:jc w:val="both"/>
        <w:rPr>
          <w:rFonts w:ascii="Bookman Old Style" w:hAnsi="Bookman Old Style"/>
          <w:sz w:val="24"/>
          <w:szCs w:val="24"/>
        </w:rPr>
      </w:pPr>
    </w:p>
    <w:p w:rsidR="00B84A14" w:rsidRDefault="00DD3F3F" w:rsidP="00B67DDE">
      <w:pPr>
        <w:spacing w:after="0" w:line="480" w:lineRule="auto"/>
        <w:jc w:val="both"/>
        <w:rPr>
          <w:rFonts w:ascii="Bookman Old Style" w:hAnsi="Bookman Old Style"/>
          <w:sz w:val="24"/>
          <w:szCs w:val="24"/>
        </w:rPr>
      </w:pPr>
      <w:r>
        <w:rPr>
          <w:rFonts w:ascii="Bookman Old Style" w:hAnsi="Bookman Old Style"/>
          <w:sz w:val="24"/>
          <w:szCs w:val="24"/>
        </w:rPr>
        <w:t>10]</w:t>
      </w:r>
      <w:r>
        <w:rPr>
          <w:rFonts w:ascii="Bookman Old Style" w:hAnsi="Bookman Old Style"/>
          <w:sz w:val="24"/>
          <w:szCs w:val="24"/>
        </w:rPr>
        <w:tab/>
      </w:r>
      <w:r w:rsidR="005260A0">
        <w:rPr>
          <w:rFonts w:ascii="Bookman Old Style" w:hAnsi="Bookman Old Style"/>
          <w:sz w:val="24"/>
          <w:szCs w:val="24"/>
        </w:rPr>
        <w:t>I am not persuaded that the applicants are the “</w:t>
      </w:r>
      <w:r w:rsidR="005260A0" w:rsidRPr="005260A0">
        <w:rPr>
          <w:rFonts w:ascii="Bookman Old Style" w:hAnsi="Bookman Old Style"/>
          <w:i/>
          <w:sz w:val="24"/>
          <w:szCs w:val="24"/>
        </w:rPr>
        <w:t>right persons</w:t>
      </w:r>
      <w:r w:rsidR="005260A0">
        <w:rPr>
          <w:rFonts w:ascii="Bookman Old Style" w:hAnsi="Bookman Old Style"/>
          <w:sz w:val="24"/>
          <w:szCs w:val="24"/>
        </w:rPr>
        <w:t>” seeking the “</w:t>
      </w:r>
      <w:r w:rsidR="005260A0">
        <w:rPr>
          <w:rFonts w:ascii="Bookman Old Style" w:hAnsi="Bookman Old Style"/>
          <w:i/>
          <w:sz w:val="24"/>
          <w:szCs w:val="24"/>
        </w:rPr>
        <w:t>right remedy</w:t>
      </w:r>
      <w:r w:rsidR="005260A0">
        <w:rPr>
          <w:rFonts w:ascii="Bookman Old Style" w:hAnsi="Bookman Old Style"/>
          <w:sz w:val="24"/>
          <w:szCs w:val="24"/>
        </w:rPr>
        <w:t xml:space="preserve">” in the </w:t>
      </w:r>
      <w:r w:rsidR="005260A0">
        <w:rPr>
          <w:rFonts w:ascii="Bookman Old Style" w:hAnsi="Bookman Old Style"/>
          <w:i/>
          <w:sz w:val="24"/>
          <w:szCs w:val="24"/>
        </w:rPr>
        <w:t>“right proceedings</w:t>
      </w:r>
      <w:r w:rsidR="005260A0">
        <w:rPr>
          <w:rFonts w:ascii="Bookman Old Style" w:hAnsi="Bookman Old Style"/>
          <w:sz w:val="24"/>
          <w:szCs w:val="24"/>
        </w:rPr>
        <w:t>”</w:t>
      </w:r>
      <w:r w:rsidR="00B743CF">
        <w:rPr>
          <w:rFonts w:ascii="Bookman Old Style" w:hAnsi="Bookman Old Style"/>
          <w:sz w:val="24"/>
          <w:szCs w:val="24"/>
        </w:rPr>
        <w:t xml:space="preserve"> and therefore I am of the view that the threshold set by section 17 of the Superior Courts Act has not been met.</w:t>
      </w:r>
    </w:p>
    <w:p w:rsidR="005260A0" w:rsidRDefault="005260A0" w:rsidP="00B67DDE">
      <w:pPr>
        <w:spacing w:after="0" w:line="480" w:lineRule="auto"/>
        <w:jc w:val="both"/>
        <w:rPr>
          <w:rFonts w:ascii="Bookman Old Style" w:hAnsi="Bookman Old Style"/>
          <w:sz w:val="24"/>
          <w:szCs w:val="24"/>
        </w:rPr>
      </w:pPr>
    </w:p>
    <w:p w:rsidR="005260A0" w:rsidRDefault="005260A0" w:rsidP="00B67DDE">
      <w:pPr>
        <w:spacing w:after="0" w:line="480" w:lineRule="auto"/>
        <w:jc w:val="both"/>
        <w:rPr>
          <w:rFonts w:ascii="Bookman Old Style" w:hAnsi="Bookman Old Style"/>
          <w:sz w:val="24"/>
          <w:szCs w:val="24"/>
        </w:rPr>
      </w:pPr>
      <w:r>
        <w:rPr>
          <w:rFonts w:ascii="Bookman Old Style" w:hAnsi="Bookman Old Style"/>
          <w:sz w:val="24"/>
          <w:szCs w:val="24"/>
        </w:rPr>
        <w:t>11]</w:t>
      </w:r>
      <w:r>
        <w:rPr>
          <w:rFonts w:ascii="Bookman Old Style" w:hAnsi="Bookman Old Style"/>
          <w:sz w:val="24"/>
          <w:szCs w:val="24"/>
        </w:rPr>
        <w:tab/>
        <w:t>Thus the order I make is the following:</w:t>
      </w:r>
    </w:p>
    <w:p w:rsidR="00B84A14" w:rsidRDefault="00B84A14" w:rsidP="00B84A14">
      <w:pPr>
        <w:spacing w:after="0" w:line="480" w:lineRule="auto"/>
        <w:ind w:left="720"/>
        <w:jc w:val="both"/>
        <w:rPr>
          <w:rFonts w:ascii="Bookman Old Style" w:hAnsi="Bookman Old Style"/>
          <w:sz w:val="24"/>
          <w:szCs w:val="24"/>
        </w:rPr>
      </w:pPr>
      <w:r>
        <w:rPr>
          <w:rFonts w:ascii="Bookman Old Style" w:hAnsi="Bookman Old Style"/>
          <w:b/>
          <w:sz w:val="24"/>
          <w:szCs w:val="24"/>
        </w:rPr>
        <w:t>The application</w:t>
      </w:r>
      <w:r w:rsidR="005260A0">
        <w:rPr>
          <w:rFonts w:ascii="Bookman Old Style" w:hAnsi="Bookman Old Style"/>
          <w:b/>
          <w:sz w:val="24"/>
          <w:szCs w:val="24"/>
        </w:rPr>
        <w:t xml:space="preserve"> for leave to appeal</w:t>
      </w:r>
      <w:r>
        <w:rPr>
          <w:rFonts w:ascii="Bookman Old Style" w:hAnsi="Bookman Old Style"/>
          <w:b/>
          <w:sz w:val="24"/>
          <w:szCs w:val="24"/>
        </w:rPr>
        <w:t xml:space="preserve"> is dismissed with costs, which costs shall include the costs of two counsel</w:t>
      </w:r>
      <w:r>
        <w:rPr>
          <w:rFonts w:ascii="Bookman Old Style" w:hAnsi="Bookman Old Style"/>
          <w:sz w:val="24"/>
          <w:szCs w:val="24"/>
        </w:rPr>
        <w:t>.</w:t>
      </w:r>
    </w:p>
    <w:p w:rsidR="00423690" w:rsidRDefault="00423690" w:rsidP="00B84A14">
      <w:pPr>
        <w:spacing w:after="0" w:line="480" w:lineRule="auto"/>
        <w:ind w:left="720"/>
        <w:jc w:val="both"/>
        <w:rPr>
          <w:rFonts w:ascii="Bookman Old Style" w:hAnsi="Bookman Old Style"/>
          <w:sz w:val="24"/>
          <w:szCs w:val="24"/>
        </w:rPr>
      </w:pPr>
    </w:p>
    <w:p w:rsidR="00B84A14" w:rsidRPr="00815BE4" w:rsidRDefault="00B84A14" w:rsidP="00423690">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ascii="Calibri" w:hAnsi="Calibri" w:cs="Calibri"/>
          <w:lang w:val="en-GB"/>
        </w:rPr>
      </w:pPr>
      <w:bookmarkStart w:id="0" w:name="_GoBack"/>
      <w:bookmarkEnd w:id="0"/>
    </w:p>
    <w:p w:rsidR="00B84A14" w:rsidRPr="00992F34" w:rsidRDefault="00B84A14" w:rsidP="00423690">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right"/>
        <w:rPr>
          <w:rFonts w:ascii="Arial" w:hAnsi="Arial" w:cs="Arial"/>
          <w:b/>
          <w:sz w:val="24"/>
          <w:szCs w:val="24"/>
          <w:lang w:val="en-GB"/>
        </w:rPr>
      </w:pPr>
      <w:r w:rsidRPr="00992F34">
        <w:rPr>
          <w:rFonts w:ascii="Arial" w:hAnsi="Arial" w:cs="Arial"/>
          <w:b/>
          <w:sz w:val="24"/>
          <w:szCs w:val="24"/>
          <w:lang w:val="en-GB"/>
        </w:rPr>
        <w:t xml:space="preserve"> NEUKIRCHER J</w:t>
      </w:r>
    </w:p>
    <w:p w:rsidR="00B84A14" w:rsidRPr="00992F34" w:rsidRDefault="00B84A14" w:rsidP="00423690">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right"/>
        <w:rPr>
          <w:rFonts w:ascii="Arial" w:hAnsi="Arial" w:cs="Arial"/>
          <w:b/>
          <w:sz w:val="24"/>
          <w:szCs w:val="24"/>
          <w:lang w:val="en-GB"/>
        </w:rPr>
      </w:pPr>
      <w:r w:rsidRPr="00992F34">
        <w:rPr>
          <w:rFonts w:ascii="Arial" w:hAnsi="Arial" w:cs="Arial"/>
          <w:b/>
          <w:sz w:val="24"/>
          <w:szCs w:val="24"/>
          <w:lang w:val="en-GB"/>
        </w:rPr>
        <w:t>JUDGE OF THE HIGH COURT</w:t>
      </w:r>
    </w:p>
    <w:p w:rsidR="00B84A14" w:rsidRPr="00992F34" w:rsidRDefault="00B84A14" w:rsidP="00423690">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right"/>
        <w:rPr>
          <w:rFonts w:ascii="Arial" w:hAnsi="Arial" w:cs="Arial"/>
          <w:b/>
          <w:sz w:val="24"/>
          <w:szCs w:val="24"/>
          <w:lang w:val="en-GB"/>
        </w:rPr>
      </w:pPr>
      <w:r w:rsidRPr="00992F34">
        <w:rPr>
          <w:rFonts w:ascii="Arial" w:hAnsi="Arial" w:cs="Arial"/>
          <w:b/>
          <w:sz w:val="24"/>
          <w:szCs w:val="24"/>
          <w:lang w:val="en-GB"/>
        </w:rPr>
        <w:t>GAUTENG DIVISION, PRETORIA</w:t>
      </w:r>
    </w:p>
    <w:p w:rsidR="00B84A14" w:rsidRPr="00992F34" w:rsidRDefault="00B84A14" w:rsidP="00B84A1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right"/>
        <w:rPr>
          <w:rFonts w:ascii="Arial" w:hAnsi="Arial" w:cs="Arial"/>
          <w:b/>
          <w:sz w:val="24"/>
          <w:szCs w:val="24"/>
          <w:lang w:val="en-GB"/>
        </w:rPr>
      </w:pPr>
    </w:p>
    <w:p w:rsidR="00B84A14" w:rsidRPr="00BC4A37" w:rsidRDefault="00B84A14" w:rsidP="00B84A1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both"/>
        <w:rPr>
          <w:rFonts w:ascii="Arial" w:hAnsi="Arial" w:cs="Arial"/>
          <w:lang w:val="en-GB"/>
        </w:rPr>
      </w:pPr>
      <w:r w:rsidRPr="00BC4A37">
        <w:rPr>
          <w:rFonts w:ascii="Arial" w:hAnsi="Arial" w:cs="Arial"/>
          <w:lang w:val="en-GB"/>
        </w:rPr>
        <w:lastRenderedPageBreak/>
        <w:t xml:space="preserve">Delivered:  This judgment was prepared and authored by the Judge whose name is reflected and is handed down electronically by circulation to the parties/their legal representatives by email and by uploading it to the electronic file of this matter on </w:t>
      </w:r>
      <w:proofErr w:type="spellStart"/>
      <w:r w:rsidRPr="00BC4A37">
        <w:rPr>
          <w:rFonts w:ascii="Arial" w:hAnsi="Arial" w:cs="Arial"/>
          <w:lang w:val="en-GB"/>
        </w:rPr>
        <w:t>CaseLines</w:t>
      </w:r>
      <w:proofErr w:type="spellEnd"/>
      <w:r w:rsidRPr="00BC4A37">
        <w:rPr>
          <w:rFonts w:ascii="Arial" w:hAnsi="Arial" w:cs="Arial"/>
          <w:lang w:val="en-GB"/>
        </w:rPr>
        <w:t xml:space="preserve">.  The date for hand-down is deemed to be </w:t>
      </w:r>
      <w:r w:rsidR="005260A0">
        <w:rPr>
          <w:rFonts w:ascii="Arial" w:hAnsi="Arial" w:cs="Arial"/>
          <w:lang w:val="en-GB"/>
        </w:rPr>
        <w:t>4</w:t>
      </w:r>
      <w:r>
        <w:rPr>
          <w:rFonts w:ascii="Arial" w:hAnsi="Arial" w:cs="Arial"/>
          <w:lang w:val="en-GB"/>
        </w:rPr>
        <w:t xml:space="preserve"> MAY</w:t>
      </w:r>
      <w:r w:rsidRPr="00BC4A37">
        <w:rPr>
          <w:rFonts w:ascii="Arial" w:hAnsi="Arial" w:cs="Arial"/>
          <w:lang w:val="en-GB"/>
        </w:rPr>
        <w:t xml:space="preserve"> 2022.</w:t>
      </w:r>
    </w:p>
    <w:p w:rsidR="00B84A14" w:rsidRDefault="00B84A14" w:rsidP="00B84A14">
      <w:pPr>
        <w:widowControl w:val="0"/>
        <w:autoSpaceDE w:val="0"/>
        <w:autoSpaceDN w:val="0"/>
        <w:adjustRightInd w:val="0"/>
        <w:spacing w:after="0" w:line="360" w:lineRule="auto"/>
        <w:jc w:val="both"/>
        <w:rPr>
          <w:rFonts w:ascii="Arial" w:hAnsi="Arial" w:cs="Arial"/>
          <w:sz w:val="24"/>
          <w:szCs w:val="24"/>
        </w:rPr>
      </w:pPr>
    </w:p>
    <w:p w:rsidR="00B84A14" w:rsidRPr="006A164E" w:rsidRDefault="00B84A14" w:rsidP="00B84A14">
      <w:pPr>
        <w:widowControl w:val="0"/>
        <w:autoSpaceDE w:val="0"/>
        <w:autoSpaceDN w:val="0"/>
        <w:adjustRightInd w:val="0"/>
        <w:spacing w:after="0" w:line="360" w:lineRule="auto"/>
        <w:ind w:left="3600" w:hanging="3600"/>
        <w:jc w:val="both"/>
        <w:rPr>
          <w:rFonts w:ascii="Arial" w:hAnsi="Arial" w:cs="Arial"/>
          <w:sz w:val="20"/>
          <w:szCs w:val="20"/>
        </w:rPr>
      </w:pPr>
      <w:r w:rsidRPr="006A164E">
        <w:rPr>
          <w:rFonts w:ascii="Arial" w:hAnsi="Arial" w:cs="Arial"/>
          <w:sz w:val="20"/>
          <w:szCs w:val="20"/>
        </w:rPr>
        <w:t>For the applicant</w:t>
      </w:r>
      <w:r w:rsidRPr="006A164E">
        <w:rPr>
          <w:rFonts w:ascii="Arial" w:hAnsi="Arial" w:cs="Arial"/>
          <w:sz w:val="20"/>
          <w:szCs w:val="20"/>
        </w:rPr>
        <w:tab/>
        <w:t xml:space="preserve">: </w:t>
      </w:r>
      <w:r w:rsidRPr="006A164E">
        <w:rPr>
          <w:rFonts w:ascii="Arial" w:hAnsi="Arial" w:cs="Arial"/>
          <w:sz w:val="20"/>
          <w:szCs w:val="20"/>
        </w:rPr>
        <w:tab/>
        <w:t xml:space="preserve"> EC Labus</w:t>
      </w:r>
      <w:r>
        <w:rPr>
          <w:rFonts w:ascii="Arial" w:hAnsi="Arial" w:cs="Arial"/>
          <w:sz w:val="20"/>
          <w:szCs w:val="20"/>
        </w:rPr>
        <w:t>chagne SC, with him</w:t>
      </w:r>
      <w:r w:rsidRPr="006A164E">
        <w:rPr>
          <w:rFonts w:ascii="Arial" w:hAnsi="Arial" w:cs="Arial"/>
          <w:sz w:val="20"/>
          <w:szCs w:val="20"/>
        </w:rPr>
        <w:t xml:space="preserve"> V </w:t>
      </w:r>
      <w:proofErr w:type="spellStart"/>
      <w:r w:rsidRPr="006A164E">
        <w:rPr>
          <w:rFonts w:ascii="Arial" w:hAnsi="Arial" w:cs="Arial"/>
          <w:sz w:val="20"/>
          <w:szCs w:val="20"/>
        </w:rPr>
        <w:t>Mabuza</w:t>
      </w:r>
      <w:proofErr w:type="spellEnd"/>
    </w:p>
    <w:p w:rsidR="00B84A14" w:rsidRPr="006A164E" w:rsidRDefault="00B84A14" w:rsidP="00B84A14">
      <w:pPr>
        <w:widowControl w:val="0"/>
        <w:autoSpaceDE w:val="0"/>
        <w:autoSpaceDN w:val="0"/>
        <w:adjustRightInd w:val="0"/>
        <w:spacing w:after="0" w:line="360" w:lineRule="auto"/>
        <w:jc w:val="both"/>
        <w:rPr>
          <w:rFonts w:ascii="Arial" w:hAnsi="Arial" w:cs="Arial"/>
          <w:sz w:val="20"/>
          <w:szCs w:val="20"/>
        </w:rPr>
      </w:pPr>
      <w:r w:rsidRPr="006A164E">
        <w:rPr>
          <w:rFonts w:ascii="Arial" w:hAnsi="Arial" w:cs="Arial"/>
          <w:sz w:val="20"/>
          <w:szCs w:val="20"/>
        </w:rPr>
        <w:t>Instructed by</w:t>
      </w:r>
      <w:r w:rsidRPr="006A164E">
        <w:rPr>
          <w:rFonts w:ascii="Arial" w:hAnsi="Arial" w:cs="Arial"/>
          <w:sz w:val="20"/>
          <w:szCs w:val="20"/>
        </w:rPr>
        <w:tab/>
      </w:r>
      <w:r w:rsidRPr="006A164E">
        <w:rPr>
          <w:rFonts w:ascii="Arial" w:hAnsi="Arial" w:cs="Arial"/>
          <w:sz w:val="20"/>
          <w:szCs w:val="20"/>
        </w:rPr>
        <w:tab/>
      </w:r>
      <w:r w:rsidRPr="006A164E">
        <w:rPr>
          <w:rFonts w:ascii="Arial" w:hAnsi="Arial" w:cs="Arial"/>
          <w:sz w:val="20"/>
          <w:szCs w:val="20"/>
        </w:rPr>
        <w:tab/>
      </w:r>
      <w:r w:rsidRPr="006A164E">
        <w:rPr>
          <w:rFonts w:ascii="Arial" w:hAnsi="Arial" w:cs="Arial"/>
          <w:sz w:val="20"/>
          <w:szCs w:val="20"/>
        </w:rPr>
        <w:tab/>
        <w:t>:</w:t>
      </w:r>
      <w:r w:rsidRPr="006A164E">
        <w:rPr>
          <w:rFonts w:ascii="Arial" w:hAnsi="Arial" w:cs="Arial"/>
          <w:sz w:val="20"/>
          <w:szCs w:val="20"/>
        </w:rPr>
        <w:tab/>
        <w:t xml:space="preserve">K </w:t>
      </w:r>
      <w:proofErr w:type="spellStart"/>
      <w:r w:rsidRPr="006A164E">
        <w:rPr>
          <w:rFonts w:ascii="Arial" w:hAnsi="Arial" w:cs="Arial"/>
          <w:sz w:val="20"/>
          <w:szCs w:val="20"/>
        </w:rPr>
        <w:t>Malao</w:t>
      </w:r>
      <w:proofErr w:type="spellEnd"/>
      <w:r w:rsidRPr="006A164E">
        <w:rPr>
          <w:rFonts w:ascii="Arial" w:hAnsi="Arial" w:cs="Arial"/>
          <w:sz w:val="20"/>
          <w:szCs w:val="20"/>
        </w:rPr>
        <w:t xml:space="preserve"> Inc</w:t>
      </w:r>
    </w:p>
    <w:p w:rsidR="00B84A14" w:rsidRPr="006A164E" w:rsidRDefault="00B84A14" w:rsidP="00B84A14">
      <w:pPr>
        <w:widowControl w:val="0"/>
        <w:autoSpaceDE w:val="0"/>
        <w:autoSpaceDN w:val="0"/>
        <w:adjustRightInd w:val="0"/>
        <w:spacing w:after="0" w:line="360" w:lineRule="auto"/>
        <w:jc w:val="both"/>
        <w:rPr>
          <w:rFonts w:ascii="Arial" w:hAnsi="Arial" w:cs="Arial"/>
          <w:sz w:val="20"/>
          <w:szCs w:val="20"/>
        </w:rPr>
      </w:pPr>
      <w:r w:rsidRPr="006A164E">
        <w:rPr>
          <w:rFonts w:ascii="Arial" w:hAnsi="Arial" w:cs="Arial"/>
          <w:sz w:val="20"/>
          <w:szCs w:val="20"/>
        </w:rPr>
        <w:t>For the 1</w:t>
      </w:r>
      <w:r w:rsidRPr="006A164E">
        <w:rPr>
          <w:rFonts w:ascii="Arial" w:hAnsi="Arial" w:cs="Arial"/>
          <w:sz w:val="20"/>
          <w:szCs w:val="20"/>
          <w:vertAlign w:val="superscript"/>
        </w:rPr>
        <w:t>st</w:t>
      </w:r>
      <w:r w:rsidRPr="006A164E">
        <w:rPr>
          <w:rFonts w:ascii="Arial" w:hAnsi="Arial" w:cs="Arial"/>
          <w:sz w:val="20"/>
          <w:szCs w:val="20"/>
        </w:rPr>
        <w:t xml:space="preserve"> respondent</w:t>
      </w:r>
      <w:r w:rsidRPr="006A164E">
        <w:rPr>
          <w:rFonts w:ascii="Arial" w:hAnsi="Arial" w:cs="Arial"/>
          <w:sz w:val="20"/>
          <w:szCs w:val="20"/>
        </w:rPr>
        <w:tab/>
      </w:r>
      <w:r w:rsidRPr="006A164E">
        <w:rPr>
          <w:rFonts w:ascii="Arial" w:hAnsi="Arial" w:cs="Arial"/>
          <w:sz w:val="20"/>
          <w:szCs w:val="20"/>
        </w:rPr>
        <w:tab/>
      </w:r>
      <w:r>
        <w:rPr>
          <w:rFonts w:ascii="Arial" w:hAnsi="Arial" w:cs="Arial"/>
          <w:sz w:val="20"/>
          <w:szCs w:val="20"/>
        </w:rPr>
        <w:tab/>
      </w:r>
      <w:r w:rsidRPr="006A164E">
        <w:rPr>
          <w:rFonts w:ascii="Arial" w:hAnsi="Arial" w:cs="Arial"/>
          <w:sz w:val="20"/>
          <w:szCs w:val="20"/>
        </w:rPr>
        <w:t>:</w:t>
      </w:r>
      <w:r w:rsidRPr="006A164E">
        <w:rPr>
          <w:rFonts w:ascii="Arial" w:hAnsi="Arial" w:cs="Arial"/>
          <w:sz w:val="20"/>
          <w:szCs w:val="20"/>
        </w:rPr>
        <w:tab/>
      </w:r>
      <w:r w:rsidR="004421B0">
        <w:rPr>
          <w:rFonts w:ascii="Arial" w:hAnsi="Arial" w:cs="Arial"/>
          <w:sz w:val="20"/>
          <w:szCs w:val="20"/>
        </w:rPr>
        <w:t xml:space="preserve">M </w:t>
      </w:r>
      <w:proofErr w:type="spellStart"/>
      <w:r w:rsidR="004421B0">
        <w:rPr>
          <w:rFonts w:ascii="Arial" w:hAnsi="Arial" w:cs="Arial"/>
          <w:sz w:val="20"/>
          <w:szCs w:val="20"/>
        </w:rPr>
        <w:t>Mphaga</w:t>
      </w:r>
      <w:proofErr w:type="spellEnd"/>
      <w:r w:rsidR="004421B0">
        <w:rPr>
          <w:rFonts w:ascii="Arial" w:hAnsi="Arial" w:cs="Arial"/>
          <w:sz w:val="20"/>
          <w:szCs w:val="20"/>
        </w:rPr>
        <w:t xml:space="preserve"> SC</w:t>
      </w:r>
      <w:r w:rsidRPr="006A164E">
        <w:rPr>
          <w:rFonts w:ascii="Arial" w:hAnsi="Arial" w:cs="Arial"/>
          <w:sz w:val="20"/>
          <w:szCs w:val="20"/>
        </w:rPr>
        <w:t xml:space="preserve">, with him MV </w:t>
      </w:r>
      <w:proofErr w:type="spellStart"/>
      <w:r w:rsidRPr="006A164E">
        <w:rPr>
          <w:rFonts w:ascii="Arial" w:hAnsi="Arial" w:cs="Arial"/>
          <w:sz w:val="20"/>
          <w:szCs w:val="20"/>
        </w:rPr>
        <w:t>Magagane</w:t>
      </w:r>
      <w:proofErr w:type="spellEnd"/>
      <w:r w:rsidRPr="006A164E">
        <w:rPr>
          <w:rFonts w:ascii="Arial" w:hAnsi="Arial" w:cs="Arial"/>
          <w:sz w:val="20"/>
          <w:szCs w:val="20"/>
        </w:rPr>
        <w:t xml:space="preserve"> </w:t>
      </w:r>
      <w:r w:rsidRPr="006A164E">
        <w:rPr>
          <w:rFonts w:ascii="Arial" w:hAnsi="Arial" w:cs="Arial"/>
          <w:sz w:val="20"/>
          <w:szCs w:val="20"/>
        </w:rPr>
        <w:tab/>
      </w:r>
    </w:p>
    <w:p w:rsidR="00B84A14" w:rsidRPr="006A164E" w:rsidRDefault="00B84A14" w:rsidP="00B84A14">
      <w:pPr>
        <w:widowControl w:val="0"/>
        <w:autoSpaceDE w:val="0"/>
        <w:autoSpaceDN w:val="0"/>
        <w:adjustRightInd w:val="0"/>
        <w:spacing w:after="0" w:line="360" w:lineRule="auto"/>
        <w:jc w:val="both"/>
        <w:rPr>
          <w:rFonts w:ascii="Arial" w:hAnsi="Arial" w:cs="Arial"/>
          <w:sz w:val="20"/>
          <w:szCs w:val="20"/>
        </w:rPr>
      </w:pPr>
      <w:r w:rsidRPr="006A164E">
        <w:rPr>
          <w:rFonts w:ascii="Arial" w:hAnsi="Arial" w:cs="Arial"/>
          <w:sz w:val="20"/>
          <w:szCs w:val="20"/>
        </w:rPr>
        <w:t>Instructed by</w:t>
      </w:r>
      <w:r w:rsidRPr="006A164E">
        <w:rPr>
          <w:rFonts w:ascii="Arial" w:hAnsi="Arial" w:cs="Arial"/>
          <w:sz w:val="20"/>
          <w:szCs w:val="20"/>
        </w:rPr>
        <w:tab/>
      </w:r>
      <w:r w:rsidRPr="006A164E">
        <w:rPr>
          <w:rFonts w:ascii="Arial" w:hAnsi="Arial" w:cs="Arial"/>
          <w:sz w:val="20"/>
          <w:szCs w:val="20"/>
        </w:rPr>
        <w:tab/>
      </w:r>
      <w:r w:rsidRPr="006A164E">
        <w:rPr>
          <w:rFonts w:ascii="Arial" w:hAnsi="Arial" w:cs="Arial"/>
          <w:sz w:val="20"/>
          <w:szCs w:val="20"/>
        </w:rPr>
        <w:tab/>
      </w:r>
      <w:r w:rsidRPr="006A164E">
        <w:rPr>
          <w:rFonts w:ascii="Arial" w:hAnsi="Arial" w:cs="Arial"/>
          <w:sz w:val="20"/>
          <w:szCs w:val="20"/>
        </w:rPr>
        <w:tab/>
        <w:t xml:space="preserve">: </w:t>
      </w:r>
      <w:r w:rsidRPr="006A164E">
        <w:rPr>
          <w:rFonts w:ascii="Arial" w:hAnsi="Arial" w:cs="Arial"/>
          <w:sz w:val="20"/>
          <w:szCs w:val="20"/>
        </w:rPr>
        <w:tab/>
        <w:t>State Attorney, Pretoria</w:t>
      </w:r>
    </w:p>
    <w:p w:rsidR="00B84A14" w:rsidRPr="006A164E" w:rsidRDefault="00B84A14" w:rsidP="00B84A14">
      <w:pPr>
        <w:widowControl w:val="0"/>
        <w:autoSpaceDE w:val="0"/>
        <w:autoSpaceDN w:val="0"/>
        <w:adjustRightInd w:val="0"/>
        <w:spacing w:after="0" w:line="360" w:lineRule="auto"/>
        <w:jc w:val="both"/>
        <w:rPr>
          <w:rFonts w:ascii="Arial" w:hAnsi="Arial" w:cs="Arial"/>
          <w:sz w:val="20"/>
          <w:szCs w:val="20"/>
        </w:rPr>
      </w:pPr>
      <w:r w:rsidRPr="006A164E">
        <w:rPr>
          <w:rFonts w:ascii="Arial" w:hAnsi="Arial" w:cs="Arial"/>
          <w:sz w:val="20"/>
          <w:szCs w:val="20"/>
        </w:rPr>
        <w:t>For the 2</w:t>
      </w:r>
      <w:r w:rsidRPr="006A164E">
        <w:rPr>
          <w:rFonts w:ascii="Arial" w:hAnsi="Arial" w:cs="Arial"/>
          <w:sz w:val="20"/>
          <w:szCs w:val="20"/>
          <w:vertAlign w:val="superscript"/>
        </w:rPr>
        <w:t>nd</w:t>
      </w:r>
      <w:r w:rsidRPr="006A164E">
        <w:rPr>
          <w:rFonts w:ascii="Arial" w:hAnsi="Arial" w:cs="Arial"/>
          <w:sz w:val="20"/>
          <w:szCs w:val="20"/>
        </w:rPr>
        <w:t xml:space="preserve"> and 3</w:t>
      </w:r>
      <w:r w:rsidRPr="006A164E">
        <w:rPr>
          <w:rFonts w:ascii="Arial" w:hAnsi="Arial" w:cs="Arial"/>
          <w:sz w:val="20"/>
          <w:szCs w:val="20"/>
          <w:vertAlign w:val="superscript"/>
        </w:rPr>
        <w:t>rd</w:t>
      </w:r>
      <w:r w:rsidRPr="006A164E">
        <w:rPr>
          <w:rFonts w:ascii="Arial" w:hAnsi="Arial" w:cs="Arial"/>
          <w:sz w:val="20"/>
          <w:szCs w:val="20"/>
        </w:rPr>
        <w:t xml:space="preserve"> respondents</w:t>
      </w:r>
      <w:r w:rsidRPr="006A164E">
        <w:rPr>
          <w:rFonts w:ascii="Arial" w:hAnsi="Arial" w:cs="Arial"/>
          <w:sz w:val="20"/>
          <w:szCs w:val="20"/>
        </w:rPr>
        <w:tab/>
      </w:r>
      <w:r>
        <w:rPr>
          <w:rFonts w:ascii="Arial" w:hAnsi="Arial" w:cs="Arial"/>
          <w:sz w:val="20"/>
          <w:szCs w:val="20"/>
        </w:rPr>
        <w:tab/>
      </w:r>
      <w:r w:rsidRPr="006A164E">
        <w:rPr>
          <w:rFonts w:ascii="Arial" w:hAnsi="Arial" w:cs="Arial"/>
          <w:sz w:val="20"/>
          <w:szCs w:val="20"/>
        </w:rPr>
        <w:t>:</w:t>
      </w:r>
      <w:r w:rsidRPr="006A164E">
        <w:rPr>
          <w:rFonts w:ascii="Arial" w:hAnsi="Arial" w:cs="Arial"/>
          <w:sz w:val="20"/>
          <w:szCs w:val="20"/>
        </w:rPr>
        <w:tab/>
        <w:t xml:space="preserve">NA Cassim SC, with him S </w:t>
      </w:r>
      <w:proofErr w:type="spellStart"/>
      <w:r w:rsidRPr="006A164E">
        <w:rPr>
          <w:rFonts w:ascii="Arial" w:hAnsi="Arial" w:cs="Arial"/>
          <w:sz w:val="20"/>
          <w:szCs w:val="20"/>
        </w:rPr>
        <w:t>Freese</w:t>
      </w:r>
      <w:proofErr w:type="spellEnd"/>
    </w:p>
    <w:p w:rsidR="00B84A14" w:rsidRPr="006A164E" w:rsidRDefault="00B84A14" w:rsidP="00B84A14">
      <w:pPr>
        <w:widowControl w:val="0"/>
        <w:autoSpaceDE w:val="0"/>
        <w:autoSpaceDN w:val="0"/>
        <w:adjustRightInd w:val="0"/>
        <w:spacing w:after="0" w:line="360" w:lineRule="auto"/>
        <w:jc w:val="both"/>
        <w:rPr>
          <w:rFonts w:ascii="Arial" w:hAnsi="Arial" w:cs="Arial"/>
          <w:sz w:val="20"/>
          <w:szCs w:val="20"/>
        </w:rPr>
      </w:pPr>
      <w:r w:rsidRPr="006A164E">
        <w:rPr>
          <w:rFonts w:ascii="Arial" w:hAnsi="Arial" w:cs="Arial"/>
          <w:sz w:val="20"/>
          <w:szCs w:val="20"/>
        </w:rPr>
        <w:t>Instructed by</w:t>
      </w:r>
      <w:r w:rsidRPr="006A164E">
        <w:rPr>
          <w:rFonts w:ascii="Arial" w:hAnsi="Arial" w:cs="Arial"/>
          <w:sz w:val="20"/>
          <w:szCs w:val="20"/>
        </w:rPr>
        <w:tab/>
      </w:r>
      <w:r w:rsidRPr="006A164E">
        <w:rPr>
          <w:rFonts w:ascii="Arial" w:hAnsi="Arial" w:cs="Arial"/>
          <w:sz w:val="20"/>
          <w:szCs w:val="20"/>
        </w:rPr>
        <w:tab/>
      </w:r>
      <w:r w:rsidRPr="006A164E">
        <w:rPr>
          <w:rFonts w:ascii="Arial" w:hAnsi="Arial" w:cs="Arial"/>
          <w:sz w:val="20"/>
          <w:szCs w:val="20"/>
        </w:rPr>
        <w:tab/>
      </w:r>
      <w:r w:rsidRPr="006A164E">
        <w:rPr>
          <w:rFonts w:ascii="Arial" w:hAnsi="Arial" w:cs="Arial"/>
          <w:sz w:val="20"/>
          <w:szCs w:val="20"/>
        </w:rPr>
        <w:tab/>
        <w:t>:</w:t>
      </w:r>
      <w:r w:rsidRPr="006A164E">
        <w:rPr>
          <w:rFonts w:ascii="Arial" w:hAnsi="Arial" w:cs="Arial"/>
          <w:sz w:val="20"/>
          <w:szCs w:val="20"/>
        </w:rPr>
        <w:tab/>
        <w:t>Malatji &amp; Co. Inc</w:t>
      </w:r>
    </w:p>
    <w:p w:rsidR="00B84A14" w:rsidRPr="006A164E" w:rsidRDefault="00B84A14" w:rsidP="00B84A14">
      <w:pPr>
        <w:widowControl w:val="0"/>
        <w:autoSpaceDE w:val="0"/>
        <w:autoSpaceDN w:val="0"/>
        <w:adjustRightInd w:val="0"/>
        <w:spacing w:after="0" w:line="360" w:lineRule="auto"/>
        <w:jc w:val="both"/>
        <w:rPr>
          <w:rFonts w:ascii="Arial" w:hAnsi="Arial" w:cs="Arial"/>
          <w:sz w:val="20"/>
          <w:szCs w:val="20"/>
        </w:rPr>
      </w:pPr>
      <w:r w:rsidRPr="006A164E">
        <w:rPr>
          <w:rFonts w:ascii="Arial" w:hAnsi="Arial" w:cs="Arial"/>
          <w:sz w:val="20"/>
          <w:szCs w:val="20"/>
        </w:rPr>
        <w:t>For the 4</w:t>
      </w:r>
      <w:r w:rsidRPr="006A164E">
        <w:rPr>
          <w:rFonts w:ascii="Arial" w:hAnsi="Arial" w:cs="Arial"/>
          <w:sz w:val="20"/>
          <w:szCs w:val="20"/>
          <w:vertAlign w:val="superscript"/>
        </w:rPr>
        <w:t>th</w:t>
      </w:r>
      <w:r w:rsidRPr="006A164E">
        <w:rPr>
          <w:rFonts w:ascii="Arial" w:hAnsi="Arial" w:cs="Arial"/>
          <w:sz w:val="20"/>
          <w:szCs w:val="20"/>
        </w:rPr>
        <w:t xml:space="preserve"> respondent</w:t>
      </w:r>
      <w:r w:rsidRPr="006A164E">
        <w:rPr>
          <w:rFonts w:ascii="Arial" w:hAnsi="Arial" w:cs="Arial"/>
          <w:sz w:val="20"/>
          <w:szCs w:val="20"/>
        </w:rPr>
        <w:tab/>
      </w:r>
      <w:r w:rsidRPr="006A164E">
        <w:rPr>
          <w:rFonts w:ascii="Arial" w:hAnsi="Arial" w:cs="Arial"/>
          <w:sz w:val="20"/>
          <w:szCs w:val="20"/>
        </w:rPr>
        <w:tab/>
      </w:r>
      <w:r>
        <w:rPr>
          <w:rFonts w:ascii="Arial" w:hAnsi="Arial" w:cs="Arial"/>
          <w:sz w:val="20"/>
          <w:szCs w:val="20"/>
        </w:rPr>
        <w:tab/>
      </w:r>
      <w:r w:rsidRPr="006A164E">
        <w:rPr>
          <w:rFonts w:ascii="Arial" w:hAnsi="Arial" w:cs="Arial"/>
          <w:sz w:val="20"/>
          <w:szCs w:val="20"/>
        </w:rPr>
        <w:t>:</w:t>
      </w:r>
      <w:r w:rsidRPr="006A164E">
        <w:rPr>
          <w:rFonts w:ascii="Arial" w:hAnsi="Arial" w:cs="Arial"/>
          <w:sz w:val="20"/>
          <w:szCs w:val="20"/>
        </w:rPr>
        <w:tab/>
        <w:t xml:space="preserve">C </w:t>
      </w:r>
      <w:proofErr w:type="spellStart"/>
      <w:r w:rsidRPr="006A164E">
        <w:rPr>
          <w:rFonts w:ascii="Arial" w:hAnsi="Arial" w:cs="Arial"/>
          <w:sz w:val="20"/>
          <w:szCs w:val="20"/>
        </w:rPr>
        <w:t>Puckrin</w:t>
      </w:r>
      <w:proofErr w:type="spellEnd"/>
      <w:r w:rsidRPr="006A164E">
        <w:rPr>
          <w:rFonts w:ascii="Arial" w:hAnsi="Arial" w:cs="Arial"/>
          <w:sz w:val="20"/>
          <w:szCs w:val="20"/>
        </w:rPr>
        <w:t xml:space="preserve"> SC, with him R Schoeman and P </w:t>
      </w:r>
    </w:p>
    <w:p w:rsidR="00B84A14" w:rsidRPr="006A164E" w:rsidRDefault="00B84A14" w:rsidP="00B84A14">
      <w:pPr>
        <w:widowControl w:val="0"/>
        <w:autoSpaceDE w:val="0"/>
        <w:autoSpaceDN w:val="0"/>
        <w:adjustRightInd w:val="0"/>
        <w:spacing w:after="0" w:line="360" w:lineRule="auto"/>
        <w:ind w:left="3600" w:firstLine="720"/>
        <w:jc w:val="both"/>
        <w:rPr>
          <w:rFonts w:ascii="Arial" w:hAnsi="Arial" w:cs="Arial"/>
          <w:sz w:val="20"/>
          <w:szCs w:val="20"/>
        </w:rPr>
      </w:pPr>
      <w:proofErr w:type="spellStart"/>
      <w:r w:rsidRPr="006A164E">
        <w:rPr>
          <w:rFonts w:ascii="Arial" w:hAnsi="Arial" w:cs="Arial"/>
          <w:sz w:val="20"/>
          <w:szCs w:val="20"/>
        </w:rPr>
        <w:t>Nyapholi</w:t>
      </w:r>
      <w:proofErr w:type="spellEnd"/>
      <w:r w:rsidRPr="006A164E">
        <w:rPr>
          <w:rFonts w:ascii="Arial" w:hAnsi="Arial" w:cs="Arial"/>
          <w:sz w:val="20"/>
          <w:szCs w:val="20"/>
        </w:rPr>
        <w:t>-Motsie</w:t>
      </w:r>
    </w:p>
    <w:p w:rsidR="00B84A14" w:rsidRPr="006A164E" w:rsidRDefault="00B84A14" w:rsidP="00B84A14">
      <w:pPr>
        <w:widowControl w:val="0"/>
        <w:autoSpaceDE w:val="0"/>
        <w:autoSpaceDN w:val="0"/>
        <w:adjustRightInd w:val="0"/>
        <w:spacing w:after="0" w:line="360" w:lineRule="auto"/>
        <w:jc w:val="both"/>
        <w:rPr>
          <w:rFonts w:ascii="Arial" w:hAnsi="Arial" w:cs="Arial"/>
          <w:sz w:val="20"/>
          <w:szCs w:val="20"/>
        </w:rPr>
      </w:pPr>
      <w:r w:rsidRPr="006A164E">
        <w:rPr>
          <w:rFonts w:ascii="Arial" w:hAnsi="Arial" w:cs="Arial"/>
          <w:sz w:val="20"/>
          <w:szCs w:val="20"/>
        </w:rPr>
        <w:t>Instructed by</w:t>
      </w:r>
      <w:r w:rsidRPr="006A164E">
        <w:rPr>
          <w:rFonts w:ascii="Arial" w:hAnsi="Arial" w:cs="Arial"/>
          <w:sz w:val="20"/>
          <w:szCs w:val="20"/>
        </w:rPr>
        <w:tab/>
      </w:r>
      <w:r w:rsidRPr="006A164E">
        <w:rPr>
          <w:rFonts w:ascii="Arial" w:hAnsi="Arial" w:cs="Arial"/>
          <w:sz w:val="20"/>
          <w:szCs w:val="20"/>
        </w:rPr>
        <w:tab/>
      </w:r>
      <w:r w:rsidRPr="006A164E">
        <w:rPr>
          <w:rFonts w:ascii="Arial" w:hAnsi="Arial" w:cs="Arial"/>
          <w:sz w:val="20"/>
          <w:szCs w:val="20"/>
        </w:rPr>
        <w:tab/>
      </w:r>
      <w:r w:rsidRPr="006A164E">
        <w:rPr>
          <w:rFonts w:ascii="Arial" w:hAnsi="Arial" w:cs="Arial"/>
          <w:sz w:val="20"/>
          <w:szCs w:val="20"/>
        </w:rPr>
        <w:tab/>
        <w:t>:</w:t>
      </w:r>
      <w:r w:rsidRPr="006A164E">
        <w:rPr>
          <w:rFonts w:ascii="Arial" w:hAnsi="Arial" w:cs="Arial"/>
          <w:sz w:val="20"/>
          <w:szCs w:val="20"/>
        </w:rPr>
        <w:tab/>
        <w:t>Malatji &amp; Co. Inc</w:t>
      </w:r>
    </w:p>
    <w:p w:rsidR="00B84A14" w:rsidRPr="00B84A14" w:rsidRDefault="00B84A14" w:rsidP="00B84A14">
      <w:pPr>
        <w:spacing w:after="0" w:line="480" w:lineRule="auto"/>
        <w:rPr>
          <w:rFonts w:ascii="Bookman Old Style" w:hAnsi="Bookman Old Style"/>
          <w:sz w:val="24"/>
          <w:szCs w:val="24"/>
        </w:rPr>
      </w:pPr>
    </w:p>
    <w:sectPr w:rsidR="00B84A14" w:rsidRPr="00B84A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7CA" w:rsidRDefault="008F57CA" w:rsidP="00B67DDE">
      <w:pPr>
        <w:spacing w:after="0" w:line="240" w:lineRule="auto"/>
      </w:pPr>
      <w:r>
        <w:separator/>
      </w:r>
    </w:p>
  </w:endnote>
  <w:endnote w:type="continuationSeparator" w:id="0">
    <w:p w:rsidR="008F57CA" w:rsidRDefault="008F57CA" w:rsidP="00B67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7CA" w:rsidRDefault="008F57CA" w:rsidP="00B67DDE">
      <w:pPr>
        <w:spacing w:after="0" w:line="240" w:lineRule="auto"/>
      </w:pPr>
      <w:r>
        <w:separator/>
      </w:r>
    </w:p>
  </w:footnote>
  <w:footnote w:type="continuationSeparator" w:id="0">
    <w:p w:rsidR="008F57CA" w:rsidRDefault="008F57CA" w:rsidP="00B67DDE">
      <w:pPr>
        <w:spacing w:after="0" w:line="240" w:lineRule="auto"/>
      </w:pPr>
      <w:r>
        <w:continuationSeparator/>
      </w:r>
    </w:p>
  </w:footnote>
  <w:footnote w:id="1">
    <w:p w:rsidR="001B47BD" w:rsidRPr="001B47BD" w:rsidRDefault="001B47BD">
      <w:pPr>
        <w:pStyle w:val="FootnoteText"/>
        <w:rPr>
          <w:lang w:val="en-GB"/>
        </w:rPr>
      </w:pPr>
      <w:r>
        <w:rPr>
          <w:rStyle w:val="FootnoteReference"/>
        </w:rPr>
        <w:footnoteRef/>
      </w:r>
      <w:r>
        <w:t xml:space="preserve"> </w:t>
      </w:r>
      <w:r>
        <w:rPr>
          <w:lang w:val="en-GB"/>
        </w:rPr>
        <w:tab/>
        <w:t>As opposed to the alleged narrow approach taken by the court</w:t>
      </w:r>
    </w:p>
  </w:footnote>
  <w:footnote w:id="2">
    <w:p w:rsidR="00E30002" w:rsidRPr="00480642" w:rsidRDefault="00E30002" w:rsidP="00E30002">
      <w:pPr>
        <w:pStyle w:val="FootnoteText"/>
        <w:rPr>
          <w:lang w:val="en-GB"/>
        </w:rPr>
      </w:pPr>
      <w:r>
        <w:rPr>
          <w:rStyle w:val="FootnoteReference"/>
        </w:rPr>
        <w:footnoteRef/>
      </w:r>
      <w:r>
        <w:t xml:space="preserve"> </w:t>
      </w:r>
      <w:r>
        <w:rPr>
          <w:lang w:val="en-GB"/>
        </w:rPr>
        <w:tab/>
        <w:t>10 of 2013</w:t>
      </w:r>
    </w:p>
  </w:footnote>
  <w:footnote w:id="3">
    <w:p w:rsidR="009557E5" w:rsidRPr="009557E5" w:rsidRDefault="009557E5">
      <w:pPr>
        <w:pStyle w:val="FootnoteText"/>
        <w:rPr>
          <w:lang w:val="en-GB"/>
        </w:rPr>
      </w:pPr>
      <w:r>
        <w:rPr>
          <w:rStyle w:val="FootnoteReference"/>
        </w:rPr>
        <w:footnoteRef/>
      </w:r>
      <w:r>
        <w:t xml:space="preserve"> </w:t>
      </w:r>
      <w:r>
        <w:rPr>
          <w:lang w:val="en-GB"/>
        </w:rPr>
        <w:tab/>
        <w:t>(21688/2020) [2020] ZAGPPHC 311 (24 July 2020)</w:t>
      </w:r>
      <w:r w:rsidR="00834961">
        <w:rPr>
          <w:lang w:val="en-GB"/>
        </w:rPr>
        <w:t xml:space="preserve"> at para 6</w:t>
      </w:r>
    </w:p>
  </w:footnote>
  <w:footnote w:id="4">
    <w:p w:rsidR="00B26E6D" w:rsidRPr="00B26E6D" w:rsidRDefault="00B26E6D">
      <w:pPr>
        <w:pStyle w:val="FootnoteText"/>
        <w:rPr>
          <w:lang w:val="en-GB"/>
        </w:rPr>
      </w:pPr>
      <w:r>
        <w:rPr>
          <w:rStyle w:val="FootnoteReference"/>
        </w:rPr>
        <w:footnoteRef/>
      </w:r>
      <w:r>
        <w:t xml:space="preserve"> </w:t>
      </w:r>
      <w:r>
        <w:rPr>
          <w:lang w:val="en-GB"/>
        </w:rPr>
        <w:tab/>
        <w:t>2009 (1) SA 417 (CC)</w:t>
      </w:r>
    </w:p>
  </w:footnote>
  <w:footnote w:id="5">
    <w:p w:rsidR="00B26E6D" w:rsidRDefault="00B26E6D">
      <w:pPr>
        <w:pStyle w:val="FootnoteText"/>
      </w:pPr>
      <w:r>
        <w:rPr>
          <w:rStyle w:val="FootnoteReference"/>
        </w:rPr>
        <w:footnoteRef/>
      </w:r>
      <w:r>
        <w:t xml:space="preserve"> </w:t>
      </w:r>
      <w:r>
        <w:rPr>
          <w:lang w:val="en-GB"/>
        </w:rPr>
        <w:tab/>
      </w:r>
      <w:r>
        <w:t xml:space="preserve">The one, Proclamation R27, was published in the Government Gazette on 19 July 2006 (the First </w:t>
      </w:r>
    </w:p>
    <w:p w:rsidR="00B26E6D" w:rsidRPr="00B26E6D" w:rsidRDefault="00B26E6D" w:rsidP="00B26E6D">
      <w:pPr>
        <w:pStyle w:val="FootnoteText"/>
        <w:ind w:left="720"/>
        <w:rPr>
          <w:lang w:val="en-GB"/>
        </w:rPr>
      </w:pPr>
      <w:r>
        <w:t>Proclamation) and the other, Proclamation R32, was published in the Government Gazette on 31 July 2006 (the Second Proclamation)</w:t>
      </w:r>
    </w:p>
  </w:footnote>
  <w:footnote w:id="6">
    <w:p w:rsidR="00546F1C" w:rsidRPr="00546F1C" w:rsidRDefault="00546F1C">
      <w:pPr>
        <w:pStyle w:val="FootnoteText"/>
        <w:rPr>
          <w:lang w:val="en-GB"/>
        </w:rPr>
      </w:pPr>
      <w:r>
        <w:rPr>
          <w:rStyle w:val="FootnoteReference"/>
        </w:rPr>
        <w:footnoteRef/>
      </w:r>
      <w:r>
        <w:t xml:space="preserve"> </w:t>
      </w:r>
      <w:r>
        <w:rPr>
          <w:lang w:val="en-GB"/>
        </w:rPr>
        <w:tab/>
        <w:t>My underlining and emphasis</w:t>
      </w:r>
    </w:p>
  </w:footnote>
  <w:footnote w:id="7">
    <w:p w:rsidR="009E0EAF" w:rsidRPr="009E0EAF" w:rsidRDefault="009E0EAF">
      <w:pPr>
        <w:pStyle w:val="FootnoteText"/>
        <w:rPr>
          <w:lang w:val="en-GB"/>
        </w:rPr>
      </w:pPr>
      <w:r>
        <w:rPr>
          <w:rStyle w:val="FootnoteReference"/>
        </w:rPr>
        <w:footnoteRef/>
      </w:r>
      <w:r>
        <w:t xml:space="preserve"> </w:t>
      </w:r>
      <w:r>
        <w:rPr>
          <w:lang w:val="en-GB"/>
        </w:rPr>
        <w:tab/>
        <w:t>(1211/2017) [2019] ZASCA 46; [2019] 2 All SA 665 (SCA) (29 March 2019)</w:t>
      </w:r>
    </w:p>
  </w:footnote>
  <w:footnote w:id="8">
    <w:p w:rsidR="002C2A03" w:rsidRDefault="009E0EAF" w:rsidP="00F74773">
      <w:pPr>
        <w:pStyle w:val="FootnoteText"/>
        <w:rPr>
          <w:lang w:val="en-GB"/>
        </w:rPr>
      </w:pPr>
      <w:r>
        <w:rPr>
          <w:rStyle w:val="FootnoteReference"/>
        </w:rPr>
        <w:footnoteRef/>
      </w:r>
      <w:r>
        <w:t xml:space="preserve"> </w:t>
      </w:r>
      <w:r>
        <w:rPr>
          <w:lang w:val="en-GB"/>
        </w:rPr>
        <w:tab/>
        <w:t xml:space="preserve">Giant Concerts CC v </w:t>
      </w:r>
      <w:proofErr w:type="spellStart"/>
      <w:r>
        <w:rPr>
          <w:lang w:val="en-GB"/>
        </w:rPr>
        <w:t>Rinaldo</w:t>
      </w:r>
      <w:proofErr w:type="spellEnd"/>
      <w:r>
        <w:rPr>
          <w:lang w:val="en-GB"/>
        </w:rPr>
        <w:t xml:space="preserve"> </w:t>
      </w:r>
      <w:proofErr w:type="spellStart"/>
      <w:r>
        <w:rPr>
          <w:lang w:val="en-GB"/>
        </w:rPr>
        <w:t>Inv</w:t>
      </w:r>
      <w:proofErr w:type="spellEnd"/>
      <w:r>
        <w:rPr>
          <w:lang w:val="en-GB"/>
        </w:rPr>
        <w:t xml:space="preserve"> (Pty) Ltd 2013 (3) BCLR 251 (CC); </w:t>
      </w:r>
      <w:proofErr w:type="spellStart"/>
      <w:r w:rsidR="00B3262F">
        <w:rPr>
          <w:lang w:val="en-GB"/>
        </w:rPr>
        <w:t>Areva</w:t>
      </w:r>
      <w:proofErr w:type="spellEnd"/>
      <w:r w:rsidR="00B3262F">
        <w:rPr>
          <w:lang w:val="en-GB"/>
        </w:rPr>
        <w:t xml:space="preserve"> NP v Eskom Holdings SOC </w:t>
      </w:r>
    </w:p>
    <w:p w:rsidR="009E0EAF" w:rsidRPr="009E0EAF" w:rsidRDefault="00B3262F" w:rsidP="00F74773">
      <w:pPr>
        <w:pStyle w:val="FootnoteText"/>
        <w:ind w:firstLine="720"/>
        <w:rPr>
          <w:lang w:val="en-GB"/>
        </w:rPr>
      </w:pPr>
      <w:r>
        <w:rPr>
          <w:lang w:val="en-GB"/>
        </w:rPr>
        <w:t>Limited and Another 2017 (6) SA 621 (CC) at para 32</w:t>
      </w:r>
    </w:p>
  </w:footnote>
  <w:footnote w:id="9">
    <w:p w:rsidR="00F74773" w:rsidRDefault="00096AB7" w:rsidP="00F74773">
      <w:pPr>
        <w:pStyle w:val="Heading2"/>
        <w:shd w:val="clear" w:color="auto" w:fill="FFFFFF"/>
        <w:spacing w:before="0" w:beforeAutospacing="0" w:after="0" w:afterAutospacing="0"/>
        <w:rPr>
          <w:rFonts w:asciiTheme="minorHAnsi" w:hAnsiTheme="minorHAnsi" w:cstheme="minorHAnsi"/>
          <w:b w:val="0"/>
          <w:sz w:val="20"/>
          <w:szCs w:val="20"/>
          <w:lang w:val="en-GB"/>
        </w:rPr>
      </w:pPr>
      <w:r w:rsidRPr="00F74773">
        <w:rPr>
          <w:rStyle w:val="FootnoteReference"/>
          <w:rFonts w:asciiTheme="minorHAnsi" w:hAnsiTheme="minorHAnsi" w:cstheme="minorHAnsi"/>
          <w:b w:val="0"/>
          <w:sz w:val="20"/>
          <w:szCs w:val="20"/>
        </w:rPr>
        <w:footnoteRef/>
      </w:r>
      <w:r w:rsidRPr="00F74773">
        <w:rPr>
          <w:rFonts w:asciiTheme="minorHAnsi" w:hAnsiTheme="minorHAnsi" w:cstheme="minorHAnsi"/>
          <w:b w:val="0"/>
          <w:sz w:val="20"/>
          <w:szCs w:val="20"/>
        </w:rPr>
        <w:t xml:space="preserve"> </w:t>
      </w:r>
      <w:r w:rsidRPr="00F74773">
        <w:rPr>
          <w:rFonts w:asciiTheme="minorHAnsi" w:hAnsiTheme="minorHAnsi" w:cstheme="minorHAnsi"/>
          <w:b w:val="0"/>
          <w:sz w:val="20"/>
          <w:szCs w:val="20"/>
          <w:lang w:val="en-GB"/>
        </w:rPr>
        <w:tab/>
        <w:t>Ferreira v Levin NO and Others</w:t>
      </w:r>
      <w:r w:rsidR="00F74773">
        <w:rPr>
          <w:rFonts w:asciiTheme="minorHAnsi" w:hAnsiTheme="minorHAnsi" w:cstheme="minorHAnsi"/>
          <w:b w:val="0"/>
          <w:sz w:val="20"/>
          <w:szCs w:val="20"/>
          <w:lang w:val="en-GB"/>
        </w:rPr>
        <w:t>;</w:t>
      </w:r>
      <w:r w:rsidRPr="00F74773">
        <w:rPr>
          <w:rFonts w:asciiTheme="minorHAnsi" w:hAnsiTheme="minorHAnsi" w:cstheme="minorHAnsi"/>
          <w:b w:val="0"/>
          <w:sz w:val="20"/>
          <w:szCs w:val="20"/>
          <w:lang w:val="en-GB"/>
        </w:rPr>
        <w:t xml:space="preserve"> </w:t>
      </w:r>
      <w:proofErr w:type="spellStart"/>
      <w:r w:rsidR="00F74773" w:rsidRPr="00F74773">
        <w:rPr>
          <w:rFonts w:asciiTheme="minorHAnsi" w:hAnsiTheme="minorHAnsi" w:cstheme="minorHAnsi"/>
          <w:b w:val="0"/>
          <w:bCs w:val="0"/>
          <w:color w:val="64473A"/>
          <w:sz w:val="20"/>
          <w:szCs w:val="20"/>
        </w:rPr>
        <w:t>Vryenhoek</w:t>
      </w:r>
      <w:proofErr w:type="spellEnd"/>
      <w:r w:rsidR="00F74773" w:rsidRPr="00F74773">
        <w:rPr>
          <w:rFonts w:asciiTheme="minorHAnsi" w:hAnsiTheme="minorHAnsi" w:cstheme="minorHAnsi"/>
          <w:b w:val="0"/>
          <w:bCs w:val="0"/>
          <w:color w:val="64473A"/>
          <w:sz w:val="20"/>
          <w:szCs w:val="20"/>
        </w:rPr>
        <w:t xml:space="preserve"> and Others v Powell NO and Others</w:t>
      </w:r>
      <w:r w:rsidR="00F74773">
        <w:rPr>
          <w:rFonts w:asciiTheme="minorHAnsi" w:hAnsiTheme="minorHAnsi" w:cstheme="minorHAnsi"/>
          <w:b w:val="0"/>
          <w:bCs w:val="0"/>
          <w:color w:val="64473A"/>
          <w:sz w:val="20"/>
          <w:szCs w:val="20"/>
        </w:rPr>
        <w:t xml:space="preserve"> </w:t>
      </w:r>
      <w:r w:rsidRPr="00F74773">
        <w:rPr>
          <w:rFonts w:asciiTheme="minorHAnsi" w:hAnsiTheme="minorHAnsi" w:cstheme="minorHAnsi"/>
          <w:b w:val="0"/>
          <w:sz w:val="20"/>
          <w:szCs w:val="20"/>
          <w:lang w:val="en-GB"/>
        </w:rPr>
        <w:t xml:space="preserve">1996 (1) SA 984 (CC) </w:t>
      </w:r>
    </w:p>
    <w:p w:rsidR="00096AB7" w:rsidRPr="00F74773" w:rsidRDefault="00096AB7" w:rsidP="00F74773">
      <w:pPr>
        <w:pStyle w:val="Heading2"/>
        <w:shd w:val="clear" w:color="auto" w:fill="FFFFFF"/>
        <w:spacing w:before="0" w:beforeAutospacing="0" w:after="0" w:afterAutospacing="0"/>
        <w:ind w:firstLine="720"/>
        <w:rPr>
          <w:rFonts w:asciiTheme="minorHAnsi" w:hAnsiTheme="minorHAnsi" w:cstheme="minorHAnsi"/>
          <w:b w:val="0"/>
          <w:sz w:val="20"/>
          <w:szCs w:val="20"/>
          <w:lang w:val="en-GB"/>
        </w:rPr>
      </w:pPr>
      <w:r w:rsidRPr="00F74773">
        <w:rPr>
          <w:rFonts w:asciiTheme="minorHAnsi" w:hAnsiTheme="minorHAnsi" w:cstheme="minorHAnsi"/>
          <w:b w:val="0"/>
          <w:sz w:val="20"/>
          <w:szCs w:val="20"/>
          <w:lang w:val="en-GB"/>
        </w:rPr>
        <w:t>at para 166</w:t>
      </w:r>
    </w:p>
  </w:footnote>
  <w:footnote w:id="10">
    <w:p w:rsidR="005260A0" w:rsidRPr="005260A0" w:rsidRDefault="005260A0">
      <w:pPr>
        <w:pStyle w:val="FootnoteText"/>
        <w:rPr>
          <w:lang w:val="en-GB"/>
        </w:rPr>
      </w:pPr>
      <w:r>
        <w:rPr>
          <w:rStyle w:val="FootnoteReference"/>
        </w:rPr>
        <w:footnoteRef/>
      </w:r>
      <w:r>
        <w:t xml:space="preserve"> </w:t>
      </w:r>
      <w:r>
        <w:rPr>
          <w:lang w:val="en-GB"/>
        </w:rPr>
        <w:tab/>
        <w:t>at para 34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7967"/>
    <w:multiLevelType w:val="multilevel"/>
    <w:tmpl w:val="7D50EBA4"/>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 w15:restartNumberingAfterBreak="0">
    <w:nsid w:val="41384E00"/>
    <w:multiLevelType w:val="multilevel"/>
    <w:tmpl w:val="45820C22"/>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161EA5"/>
    <w:multiLevelType w:val="multilevel"/>
    <w:tmpl w:val="B540E50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A14"/>
    <w:rsid w:val="00096AB7"/>
    <w:rsid w:val="000C66BF"/>
    <w:rsid w:val="000D382C"/>
    <w:rsid w:val="00141577"/>
    <w:rsid w:val="00173DB6"/>
    <w:rsid w:val="001B47BD"/>
    <w:rsid w:val="00206941"/>
    <w:rsid w:val="002A0530"/>
    <w:rsid w:val="002C2A03"/>
    <w:rsid w:val="00330F21"/>
    <w:rsid w:val="00423690"/>
    <w:rsid w:val="004421B0"/>
    <w:rsid w:val="00480642"/>
    <w:rsid w:val="004A4875"/>
    <w:rsid w:val="004C4D4D"/>
    <w:rsid w:val="005260A0"/>
    <w:rsid w:val="00546F1C"/>
    <w:rsid w:val="00665C4B"/>
    <w:rsid w:val="006B4435"/>
    <w:rsid w:val="00810DDA"/>
    <w:rsid w:val="00815D72"/>
    <w:rsid w:val="00834961"/>
    <w:rsid w:val="008A422D"/>
    <w:rsid w:val="008F57CA"/>
    <w:rsid w:val="008F77EF"/>
    <w:rsid w:val="0095546C"/>
    <w:rsid w:val="009557E5"/>
    <w:rsid w:val="009741FF"/>
    <w:rsid w:val="0097576C"/>
    <w:rsid w:val="009E0EAF"/>
    <w:rsid w:val="009E3AA0"/>
    <w:rsid w:val="00B26E6D"/>
    <w:rsid w:val="00B3262F"/>
    <w:rsid w:val="00B67DDE"/>
    <w:rsid w:val="00B743CF"/>
    <w:rsid w:val="00B84A14"/>
    <w:rsid w:val="00BD65F6"/>
    <w:rsid w:val="00BE540C"/>
    <w:rsid w:val="00DD3F3F"/>
    <w:rsid w:val="00E30002"/>
    <w:rsid w:val="00F74773"/>
    <w:rsid w:val="00FA52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1A352-7FD7-47ED-B1D9-C28815B87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A14"/>
  </w:style>
  <w:style w:type="paragraph" w:styleId="Heading2">
    <w:name w:val="heading 2"/>
    <w:basedOn w:val="Normal"/>
    <w:link w:val="Heading2Char"/>
    <w:uiPriority w:val="9"/>
    <w:qFormat/>
    <w:rsid w:val="00F74773"/>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Normal">
    <w:name w:val="Legal_Normal"/>
    <w:basedOn w:val="Normal"/>
    <w:rsid w:val="00B84A14"/>
    <w:pPr>
      <w:suppressAutoHyphens/>
      <w:spacing w:after="360" w:line="480" w:lineRule="auto"/>
      <w:jc w:val="both"/>
    </w:pPr>
    <w:rPr>
      <w:rFonts w:ascii="Arial" w:eastAsia="Times New Roman" w:hAnsi="Arial" w:cs="Times New Roman"/>
      <w:sz w:val="24"/>
      <w:szCs w:val="24"/>
      <w:lang w:val="en-GB" w:eastAsia="en-GB"/>
    </w:rPr>
  </w:style>
  <w:style w:type="paragraph" w:customStyle="1" w:styleId="LegalTitle">
    <w:name w:val="Legal_Title"/>
    <w:basedOn w:val="LegalNormal"/>
    <w:next w:val="LegalNormal"/>
    <w:semiHidden/>
    <w:rsid w:val="00B84A14"/>
    <w:pPr>
      <w:keepNext/>
      <w:jc w:val="center"/>
    </w:pPr>
    <w:rPr>
      <w:b/>
      <w:caps/>
    </w:rPr>
  </w:style>
  <w:style w:type="paragraph" w:customStyle="1" w:styleId="LegalAnnexure">
    <w:name w:val="Legal_Annexure"/>
    <w:basedOn w:val="LegalNormal"/>
    <w:next w:val="LegalNormal"/>
    <w:semiHidden/>
    <w:rsid w:val="00B84A14"/>
    <w:pPr>
      <w:keepNext/>
      <w:jc w:val="right"/>
    </w:pPr>
    <w:rPr>
      <w:b/>
      <w:caps/>
    </w:rPr>
  </w:style>
  <w:style w:type="paragraph" w:styleId="FootnoteText">
    <w:name w:val="footnote text"/>
    <w:basedOn w:val="Normal"/>
    <w:link w:val="FootnoteTextChar"/>
    <w:uiPriority w:val="99"/>
    <w:semiHidden/>
    <w:unhideWhenUsed/>
    <w:rsid w:val="00B67D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7DDE"/>
    <w:rPr>
      <w:sz w:val="20"/>
      <w:szCs w:val="20"/>
    </w:rPr>
  </w:style>
  <w:style w:type="character" w:styleId="FootnoteReference">
    <w:name w:val="footnote reference"/>
    <w:basedOn w:val="DefaultParagraphFont"/>
    <w:uiPriority w:val="99"/>
    <w:semiHidden/>
    <w:unhideWhenUsed/>
    <w:rsid w:val="00B67DDE"/>
    <w:rPr>
      <w:vertAlign w:val="superscript"/>
    </w:rPr>
  </w:style>
  <w:style w:type="character" w:customStyle="1" w:styleId="Heading2Char">
    <w:name w:val="Heading 2 Char"/>
    <w:basedOn w:val="DefaultParagraphFont"/>
    <w:link w:val="Heading2"/>
    <w:uiPriority w:val="9"/>
    <w:rsid w:val="00F74773"/>
    <w:rPr>
      <w:rFonts w:ascii="Times New Roman" w:eastAsia="Times New Roman" w:hAnsi="Times New Roman" w:cs="Times New Roman"/>
      <w:b/>
      <w:bCs/>
      <w:sz w:val="36"/>
      <w:szCs w:val="36"/>
      <w:lang w:eastAsia="en-ZA"/>
    </w:rPr>
  </w:style>
  <w:style w:type="paragraph" w:customStyle="1" w:styleId="western">
    <w:name w:val="western"/>
    <w:basedOn w:val="Normal"/>
    <w:rsid w:val="006B443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6B44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736241">
      <w:bodyDiv w:val="1"/>
      <w:marLeft w:val="0"/>
      <w:marRight w:val="0"/>
      <w:marTop w:val="0"/>
      <w:marBottom w:val="0"/>
      <w:divBdr>
        <w:top w:val="none" w:sz="0" w:space="0" w:color="auto"/>
        <w:left w:val="none" w:sz="0" w:space="0" w:color="auto"/>
        <w:bottom w:val="none" w:sz="0" w:space="0" w:color="auto"/>
        <w:right w:val="none" w:sz="0" w:space="0" w:color="auto"/>
      </w:divBdr>
    </w:div>
    <w:div w:id="212704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EDBED-B551-45D4-8873-F71628C39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Nicole Nair</cp:lastModifiedBy>
  <cp:revision>3</cp:revision>
  <cp:lastPrinted>2022-05-04T07:18:00Z</cp:lastPrinted>
  <dcterms:created xsi:type="dcterms:W3CDTF">2022-05-04T07:19:00Z</dcterms:created>
  <dcterms:modified xsi:type="dcterms:W3CDTF">2022-05-04T07:19:00Z</dcterms:modified>
</cp:coreProperties>
</file>