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92" w:rsidRPr="00B30B92" w:rsidRDefault="00B30B92" w:rsidP="00B30B92">
      <w:pPr>
        <w:rPr>
          <w:rFonts w:cstheme="minorHAnsi"/>
          <w:b/>
          <w:sz w:val="28"/>
          <w:szCs w:val="28"/>
          <w:u w:val="single"/>
          <w:lang w:val="en-GB"/>
        </w:rPr>
      </w:pPr>
      <w:bookmarkStart w:id="0" w:name="_GoBack"/>
      <w:bookmarkEnd w:id="0"/>
      <w:r>
        <w:rPr>
          <w:rFonts w:ascii="Arial" w:hAnsi="Arial" w:cs="Arial"/>
          <w:b/>
        </w:rPr>
        <w:t xml:space="preserve">                                </w:t>
      </w:r>
      <w:r w:rsidRPr="00B30B92">
        <w:rPr>
          <w:rFonts w:cstheme="minorHAnsi"/>
          <w:b/>
          <w:sz w:val="28"/>
          <w:szCs w:val="28"/>
        </w:rPr>
        <w:t xml:space="preserve">                  </w:t>
      </w:r>
      <w:r w:rsidRPr="00B30B92">
        <w:rPr>
          <w:rFonts w:cstheme="minorHAnsi"/>
          <w:b/>
          <w:noProof/>
          <w:sz w:val="28"/>
          <w:szCs w:val="28"/>
          <w:lang w:eastAsia="en-ZA"/>
        </w:rPr>
        <w:drawing>
          <wp:inline distT="0" distB="0" distL="0" distR="0">
            <wp:extent cx="1536700" cy="1536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0" cy="1536700"/>
                    </a:xfrm>
                    <a:prstGeom prst="rect">
                      <a:avLst/>
                    </a:prstGeom>
                    <a:noFill/>
                    <a:ln>
                      <a:noFill/>
                    </a:ln>
                  </pic:spPr>
                </pic:pic>
              </a:graphicData>
            </a:graphic>
          </wp:inline>
        </w:drawing>
      </w:r>
    </w:p>
    <w:p w:rsidR="00B30B92" w:rsidRPr="00FD27E4" w:rsidRDefault="00B30B92" w:rsidP="00B30B92">
      <w:pPr>
        <w:rPr>
          <w:rFonts w:ascii="Times New Roman" w:hAnsi="Times New Roman" w:cs="Times New Roman"/>
          <w:b/>
          <w:sz w:val="28"/>
          <w:szCs w:val="28"/>
          <w:u w:val="single"/>
          <w:lang w:val="en-GB"/>
        </w:rPr>
      </w:pPr>
      <w:r w:rsidRPr="00B30B92">
        <w:rPr>
          <w:rFonts w:cstheme="minorHAnsi"/>
          <w:b/>
          <w:sz w:val="28"/>
          <w:szCs w:val="28"/>
          <w:lang w:val="en-GB"/>
        </w:rPr>
        <w:t xml:space="preserve">                                  </w:t>
      </w:r>
      <w:r w:rsidRPr="00FD27E4">
        <w:rPr>
          <w:rFonts w:ascii="Times New Roman" w:hAnsi="Times New Roman" w:cs="Times New Roman"/>
          <w:b/>
          <w:sz w:val="28"/>
          <w:szCs w:val="28"/>
          <w:u w:val="single"/>
          <w:lang w:val="en-GB"/>
        </w:rPr>
        <w:t>IN THE HIGH COURT OF SOUTH AFRICA</w:t>
      </w:r>
    </w:p>
    <w:p w:rsidR="00B30B92" w:rsidRPr="00FD27E4" w:rsidRDefault="00B30B92" w:rsidP="00B30B92">
      <w:pPr>
        <w:rPr>
          <w:rFonts w:ascii="Times New Roman" w:hAnsi="Times New Roman" w:cs="Times New Roman"/>
          <w:b/>
          <w:sz w:val="28"/>
          <w:szCs w:val="28"/>
          <w:u w:val="single"/>
          <w:lang w:val="en-GB"/>
        </w:rPr>
      </w:pPr>
      <w:r w:rsidRPr="00FD27E4">
        <w:rPr>
          <w:rFonts w:ascii="Times New Roman" w:hAnsi="Times New Roman" w:cs="Times New Roman"/>
          <w:b/>
          <w:noProof/>
          <w:sz w:val="28"/>
          <w:szCs w:val="28"/>
          <w:lang w:eastAsia="en-ZA"/>
        </w:rPr>
        <mc:AlternateContent>
          <mc:Choice Requires="wps">
            <w:drawing>
              <wp:anchor distT="0" distB="0" distL="114300" distR="114300" simplePos="0" relativeHeight="251659264" behindDoc="0" locked="0" layoutInCell="1" allowOverlap="1">
                <wp:simplePos x="0" y="0"/>
                <wp:positionH relativeFrom="column">
                  <wp:posOffset>-44450</wp:posOffset>
                </wp:positionH>
                <wp:positionV relativeFrom="paragraph">
                  <wp:posOffset>494665</wp:posOffset>
                </wp:positionV>
                <wp:extent cx="4191000" cy="1289050"/>
                <wp:effectExtent l="0" t="0" r="1905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289050"/>
                        </a:xfrm>
                        <a:prstGeom prst="rect">
                          <a:avLst/>
                        </a:prstGeom>
                        <a:solidFill>
                          <a:srgbClr val="FFFFFF"/>
                        </a:solidFill>
                        <a:ln w="9525">
                          <a:solidFill>
                            <a:srgbClr val="000000"/>
                          </a:solidFill>
                          <a:miter lim="800000"/>
                          <a:headEnd/>
                          <a:tailEnd/>
                        </a:ln>
                      </wps:spPr>
                      <wps:txbx>
                        <w:txbxContent>
                          <w:p w:rsidR="00B30B92" w:rsidRDefault="00B30B92" w:rsidP="00B30B92">
                            <w:pPr>
                              <w:rPr>
                                <w:rFonts w:ascii="Century Gothic" w:hAnsi="Century Gothic" w:cs="Arial"/>
                                <w:b/>
                                <w:sz w:val="20"/>
                                <w:szCs w:val="20"/>
                              </w:rPr>
                            </w:pPr>
                            <w:r>
                              <w:rPr>
                                <w:rFonts w:ascii="Century Gothic" w:hAnsi="Century Gothic" w:cs="Arial"/>
                                <w:b/>
                                <w:sz w:val="20"/>
                                <w:szCs w:val="20"/>
                              </w:rPr>
                              <w:t>DELETE WHICHEVER IS NOT APPLICABLE</w:t>
                            </w:r>
                          </w:p>
                          <w:p w:rsidR="00B30B92" w:rsidRDefault="00C5768F" w:rsidP="00C5768F">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B30B92">
                              <w:rPr>
                                <w:rFonts w:ascii="Century Gothic" w:hAnsi="Century Gothic"/>
                                <w:sz w:val="20"/>
                                <w:szCs w:val="20"/>
                              </w:rPr>
                              <w:t xml:space="preserve">REPORTABLE: </w:t>
                            </w:r>
                            <w:r w:rsidR="00B30B92">
                              <w:rPr>
                                <w:rFonts w:ascii="Century Gothic" w:hAnsi="Century Gothic"/>
                                <w:b/>
                                <w:i/>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30B92">
                              <w:rPr>
                                <w:rFonts w:ascii="Century Gothic" w:hAnsi="Century Gothic"/>
                                <w:sz w:val="20"/>
                                <w:szCs w:val="20"/>
                              </w:rPr>
                              <w:t xml:space="preserve">OF INTEREST TO OTHER JUDGES: </w:t>
                            </w:r>
                            <w:r w:rsidR="00B30B92">
                              <w:rPr>
                                <w:rFonts w:ascii="Century Gothic" w:hAnsi="Century Gothic"/>
                                <w:b/>
                                <w:i/>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30B92">
                              <w:rPr>
                                <w:rFonts w:ascii="Century Gothic" w:hAnsi="Century Gothic"/>
                                <w:sz w:val="20"/>
                                <w:szCs w:val="20"/>
                              </w:rPr>
                              <w:t xml:space="preserve">REVISED: </w:t>
                            </w:r>
                            <w:r w:rsidR="00B30B92">
                              <w:rPr>
                                <w:rFonts w:ascii="Century Gothic" w:hAnsi="Century Gothic"/>
                                <w:b/>
                                <w:bCs/>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B30B92">
                              <w:rPr>
                                <w:rFonts w:ascii="Century Gothic" w:hAnsi="Century Gothic"/>
                                <w:sz w:val="20"/>
                                <w:szCs w:val="20"/>
                              </w:rPr>
                              <w:t>Date: 31 October 2022    Signature: __________________</w:t>
                            </w:r>
                          </w:p>
                          <w:p w:rsidR="00B30B92" w:rsidRDefault="00B30B92" w:rsidP="00B30B92">
                            <w:pPr>
                              <w:rPr>
                                <w:rFonts w:ascii="Century Gothic" w:hAnsi="Century Gothic"/>
                                <w:sz w:val="20"/>
                                <w:szCs w:val="20"/>
                              </w:rPr>
                            </w:pPr>
                          </w:p>
                          <w:p w:rsidR="00B30B92" w:rsidRDefault="00B30B92" w:rsidP="00B30B92">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r>
                              <w:rPr>
                                <w:rFonts w:ascii="Century Gothic" w:hAnsi="Century Gothic"/>
                                <w:sz w:val="28"/>
                                <w:szCs w:val="28"/>
                              </w:rPr>
                              <w:t>____________________        ____________________</w:t>
                            </w:r>
                          </w:p>
                          <w:p w:rsidR="00B30B92" w:rsidRDefault="00B30B92" w:rsidP="00B30B92">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38.95pt;width:330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">
                <v:textbox>
                  <w:txbxContent>
                    <w:p w:rsidR="00B30B92" w:rsidRDefault="00B30B92" w:rsidP="00B30B92">
                      <w:pPr>
                        <w:rPr>
                          <w:rFonts w:ascii="Century Gothic" w:hAnsi="Century Gothic" w:cs="Arial"/>
                          <w:b/>
                          <w:sz w:val="20"/>
                          <w:szCs w:val="20"/>
                        </w:rPr>
                      </w:pPr>
                      <w:r>
                        <w:rPr>
                          <w:rFonts w:ascii="Century Gothic" w:hAnsi="Century Gothic" w:cs="Arial"/>
                          <w:b/>
                          <w:sz w:val="20"/>
                          <w:szCs w:val="20"/>
                        </w:rPr>
                        <w:t>DELETE WHICHEVER IS NOT APPLICABLE</w:t>
                      </w:r>
                    </w:p>
                    <w:p w:rsidR="00B30B92" w:rsidRDefault="00C5768F" w:rsidP="00C5768F">
                      <w:pPr>
                        <w:tabs>
                          <w:tab w:val="left" w:pos="900"/>
                        </w:tabs>
                        <w:spacing w:after="0" w:line="360" w:lineRule="auto"/>
                        <w:ind w:left="900" w:hanging="720"/>
                        <w:jc w:val="both"/>
                        <w:rPr>
                          <w:rFonts w:ascii="Century Gothic" w:hAnsi="Century Gothic" w:cs="Times New Roman"/>
                          <w:sz w:val="20"/>
                          <w:szCs w:val="20"/>
                        </w:rPr>
                      </w:pPr>
                      <w:r>
                        <w:rPr>
                          <w:rFonts w:ascii="Century Gothic" w:hAnsi="Century Gothic" w:cs="Times New Roman"/>
                          <w:sz w:val="20"/>
                          <w:szCs w:val="20"/>
                        </w:rPr>
                        <w:t>(1)</w:t>
                      </w:r>
                      <w:r>
                        <w:rPr>
                          <w:rFonts w:ascii="Century Gothic" w:hAnsi="Century Gothic" w:cs="Times New Roman"/>
                          <w:sz w:val="20"/>
                          <w:szCs w:val="20"/>
                        </w:rPr>
                        <w:tab/>
                      </w:r>
                      <w:r w:rsidR="00B30B92">
                        <w:rPr>
                          <w:rFonts w:ascii="Century Gothic" w:hAnsi="Century Gothic"/>
                          <w:sz w:val="20"/>
                          <w:szCs w:val="20"/>
                        </w:rPr>
                        <w:t xml:space="preserve">REPORTABLE: </w:t>
                      </w:r>
                      <w:r w:rsidR="00B30B92">
                        <w:rPr>
                          <w:rFonts w:ascii="Century Gothic" w:hAnsi="Century Gothic"/>
                          <w:b/>
                          <w:i/>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B30B92">
                        <w:rPr>
                          <w:rFonts w:ascii="Century Gothic" w:hAnsi="Century Gothic"/>
                          <w:sz w:val="20"/>
                          <w:szCs w:val="20"/>
                        </w:rPr>
                        <w:t xml:space="preserve">OF INTEREST TO OTHER JUDGES: </w:t>
                      </w:r>
                      <w:r w:rsidR="00B30B92">
                        <w:rPr>
                          <w:rFonts w:ascii="Century Gothic" w:hAnsi="Century Gothic"/>
                          <w:b/>
                          <w:i/>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B30B92">
                        <w:rPr>
                          <w:rFonts w:ascii="Century Gothic" w:hAnsi="Century Gothic"/>
                          <w:sz w:val="20"/>
                          <w:szCs w:val="20"/>
                        </w:rPr>
                        <w:t xml:space="preserve">REVISED: </w:t>
                      </w:r>
                      <w:r w:rsidR="00B30B92">
                        <w:rPr>
                          <w:rFonts w:ascii="Century Gothic" w:hAnsi="Century Gothic"/>
                          <w:b/>
                          <w:bCs/>
                          <w:sz w:val="20"/>
                          <w:szCs w:val="20"/>
                        </w:rPr>
                        <w:t>NO</w:t>
                      </w:r>
                    </w:p>
                    <w:p w:rsidR="00B30B92" w:rsidRDefault="00C5768F" w:rsidP="00C5768F">
                      <w:pPr>
                        <w:tabs>
                          <w:tab w:val="left" w:pos="900"/>
                        </w:tabs>
                        <w:spacing w:after="0" w:line="360" w:lineRule="auto"/>
                        <w:ind w:left="900" w:hanging="720"/>
                        <w:jc w:val="both"/>
                        <w:rPr>
                          <w:rFonts w:ascii="Century Gothic" w:hAnsi="Century Gothic"/>
                          <w:sz w:val="20"/>
                          <w:szCs w:val="20"/>
                        </w:rPr>
                      </w:pPr>
                      <w:r>
                        <w:rPr>
                          <w:rFonts w:ascii="Century Gothic" w:hAnsi="Century Gothic" w:cs="Times New Roman"/>
                          <w:sz w:val="20"/>
                          <w:szCs w:val="20"/>
                        </w:rPr>
                        <w:t>(4)</w:t>
                      </w:r>
                      <w:r>
                        <w:rPr>
                          <w:rFonts w:ascii="Century Gothic" w:hAnsi="Century Gothic" w:cs="Times New Roman"/>
                          <w:sz w:val="20"/>
                          <w:szCs w:val="20"/>
                        </w:rPr>
                        <w:tab/>
                      </w:r>
                      <w:r w:rsidR="00B30B92">
                        <w:rPr>
                          <w:rFonts w:ascii="Century Gothic" w:hAnsi="Century Gothic"/>
                          <w:sz w:val="20"/>
                          <w:szCs w:val="20"/>
                        </w:rPr>
                        <w:t>Date: 31 October 2022    Signature: __________________</w:t>
                      </w:r>
                    </w:p>
                    <w:p w:rsidR="00B30B92" w:rsidRDefault="00B30B92" w:rsidP="00B30B92">
                      <w:pPr>
                        <w:rPr>
                          <w:rFonts w:ascii="Century Gothic" w:hAnsi="Century Gothic"/>
                          <w:sz w:val="20"/>
                          <w:szCs w:val="20"/>
                        </w:rPr>
                      </w:pPr>
                    </w:p>
                    <w:p w:rsidR="00B30B92" w:rsidRDefault="00B30B92" w:rsidP="00B30B92">
                      <w:pPr>
                        <w:rPr>
                          <w:rFonts w:ascii="Century Gothic" w:hAnsi="Century Gothic"/>
                        </w:rPr>
                      </w:pPr>
                      <w:r>
                        <w:rPr>
                          <w:rFonts w:ascii="Century Gothic" w:hAnsi="Century Gothic"/>
                        </w:rPr>
                        <w:t xml:space="preserve">Date: </w:t>
                      </w:r>
                      <w:r>
                        <w:rPr>
                          <w:rFonts w:ascii="Century Gothic" w:hAnsi="Century Gothic"/>
                          <w:b/>
                          <w:i/>
                          <w:u w:val="single"/>
                        </w:rPr>
                        <w:t xml:space="preserve"> 19 March 2021</w:t>
                      </w:r>
                      <w:r>
                        <w:rPr>
                          <w:rFonts w:ascii="Century Gothic" w:hAnsi="Century Gothic"/>
                        </w:rPr>
                        <w:t xml:space="preserve"> Signature: _________________</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r>
                        <w:rPr>
                          <w:rFonts w:ascii="Century Gothic" w:hAnsi="Century Gothic"/>
                          <w:sz w:val="28"/>
                          <w:szCs w:val="28"/>
                        </w:rPr>
                        <w:t>____________________        ____________________</w:t>
                      </w:r>
                    </w:p>
                    <w:p w:rsidR="00B30B92" w:rsidRDefault="00B30B92" w:rsidP="00B30B92">
                      <w:pPr>
                        <w:rPr>
                          <w:rFonts w:ascii="Century Gothic" w:hAnsi="Century Gothic"/>
                          <w:sz w:val="28"/>
                          <w:szCs w:val="28"/>
                        </w:rPr>
                      </w:pPr>
                      <w:r>
                        <w:rPr>
                          <w:rFonts w:ascii="Century Gothic" w:hAnsi="Century Gothic"/>
                          <w:sz w:val="28"/>
                          <w:szCs w:val="28"/>
                        </w:rPr>
                        <w:t>DATE</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SIGNATURE</w:t>
                      </w: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sz w:val="28"/>
                          <w:szCs w:val="2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b/>
                          <w:sz w:val="18"/>
                          <w:szCs w:val="18"/>
                        </w:rPr>
                      </w:pPr>
                    </w:p>
                    <w:p w:rsidR="00B30B92" w:rsidRDefault="00B30B92" w:rsidP="00B30B92">
                      <w:pPr>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txbxContent>
                </v:textbox>
              </v:shape>
            </w:pict>
          </mc:Fallback>
        </mc:AlternateContent>
      </w:r>
      <w:r w:rsidRPr="00FD27E4">
        <w:rPr>
          <w:rFonts w:ascii="Times New Roman" w:hAnsi="Times New Roman" w:cs="Times New Roman"/>
          <w:b/>
          <w:sz w:val="28"/>
          <w:szCs w:val="28"/>
          <w:lang w:val="en-GB"/>
        </w:rPr>
        <w:t xml:space="preserve">                              </w:t>
      </w:r>
      <w:r w:rsidRPr="00FD27E4">
        <w:rPr>
          <w:rFonts w:ascii="Times New Roman" w:hAnsi="Times New Roman" w:cs="Times New Roman"/>
          <w:b/>
          <w:sz w:val="28"/>
          <w:szCs w:val="28"/>
          <w:u w:val="single"/>
          <w:lang w:val="en-GB"/>
        </w:rPr>
        <w:t>GAUTENG PROVINCIAL DIVISION, PRETORIA</w:t>
      </w:r>
    </w:p>
    <w:p w:rsidR="00B30B92" w:rsidRPr="00B30B92" w:rsidRDefault="00B30B92" w:rsidP="00B30B92">
      <w:pPr>
        <w:rPr>
          <w:rFonts w:cstheme="minorHAnsi"/>
          <w:sz w:val="28"/>
          <w:szCs w:val="28"/>
          <w:lang w:val="en-GB"/>
        </w:rPr>
      </w:pPr>
    </w:p>
    <w:p w:rsidR="00B30B92" w:rsidRPr="00B30B92" w:rsidRDefault="00B30B92" w:rsidP="00B30B92">
      <w:pPr>
        <w:tabs>
          <w:tab w:val="left" w:pos="6940"/>
        </w:tabs>
        <w:rPr>
          <w:rFonts w:cstheme="minorHAnsi"/>
          <w:sz w:val="28"/>
          <w:szCs w:val="28"/>
          <w:lang w:val="en-GB"/>
        </w:rPr>
      </w:pPr>
      <w:r w:rsidRPr="00B30B92">
        <w:rPr>
          <w:rFonts w:cstheme="minorHAnsi"/>
          <w:sz w:val="28"/>
          <w:szCs w:val="28"/>
          <w:lang w:val="en-GB"/>
        </w:rPr>
        <w:tab/>
      </w:r>
    </w:p>
    <w:p w:rsidR="00B30B92" w:rsidRPr="00B30B92" w:rsidRDefault="00B30B92" w:rsidP="00B30B92">
      <w:pPr>
        <w:tabs>
          <w:tab w:val="left" w:pos="6940"/>
        </w:tabs>
        <w:rPr>
          <w:rFonts w:cstheme="minorHAnsi"/>
          <w:sz w:val="28"/>
          <w:szCs w:val="28"/>
          <w:lang w:val="en-GB"/>
        </w:rPr>
      </w:pPr>
    </w:p>
    <w:p w:rsidR="00B30B92" w:rsidRPr="00B30B92" w:rsidRDefault="00B30B92" w:rsidP="00B30B92">
      <w:pPr>
        <w:tabs>
          <w:tab w:val="left" w:pos="6940"/>
        </w:tabs>
        <w:rPr>
          <w:rFonts w:cstheme="minorHAnsi"/>
          <w:sz w:val="28"/>
          <w:szCs w:val="28"/>
          <w:lang w:val="en-GB"/>
        </w:rPr>
      </w:pPr>
    </w:p>
    <w:p w:rsidR="00B30B92" w:rsidRPr="00B30B92" w:rsidRDefault="00B30B92" w:rsidP="00B30B92">
      <w:pPr>
        <w:rPr>
          <w:rFonts w:cstheme="minorHAnsi"/>
          <w:sz w:val="28"/>
          <w:szCs w:val="28"/>
          <w:lang w:val="en-GB"/>
        </w:rPr>
      </w:pPr>
    </w:p>
    <w:p w:rsidR="00B30B92" w:rsidRPr="00387A6C" w:rsidRDefault="0022589E" w:rsidP="0022589E">
      <w:pPr>
        <w:ind w:left="5040"/>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00B30B92" w:rsidRPr="00387A6C">
        <w:rPr>
          <w:rFonts w:ascii="Times New Roman" w:hAnsi="Times New Roman" w:cs="Times New Roman"/>
          <w:b/>
          <w:sz w:val="28"/>
          <w:szCs w:val="28"/>
          <w:lang w:val="en-GB"/>
        </w:rPr>
        <w:t>CASE NO:  23779/2019</w:t>
      </w:r>
    </w:p>
    <w:p w:rsidR="00B30B92"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In the matter between:</w:t>
      </w:r>
    </w:p>
    <w:p w:rsidR="00387A6C" w:rsidRPr="00387A6C" w:rsidRDefault="00387A6C" w:rsidP="00B30B92">
      <w:pPr>
        <w:rPr>
          <w:rFonts w:ascii="Times New Roman" w:hAnsi="Times New Roman" w:cs="Times New Roman"/>
          <w:sz w:val="28"/>
          <w:szCs w:val="28"/>
          <w:lang w:val="en-GB"/>
        </w:rPr>
      </w:pPr>
    </w:p>
    <w:p w:rsidR="00B30B92" w:rsidRDefault="00B30B92" w:rsidP="00B30B92">
      <w:pPr>
        <w:rPr>
          <w:rFonts w:ascii="Times New Roman" w:hAnsi="Times New Roman" w:cs="Times New Roman"/>
          <w:bCs/>
          <w:sz w:val="28"/>
          <w:szCs w:val="28"/>
          <w:lang w:val="en-GB"/>
        </w:rPr>
      </w:pPr>
      <w:r w:rsidRPr="00387A6C">
        <w:rPr>
          <w:rFonts w:ascii="Times New Roman" w:hAnsi="Times New Roman" w:cs="Times New Roman"/>
          <w:b/>
          <w:sz w:val="28"/>
          <w:szCs w:val="28"/>
          <w:lang w:val="en-GB"/>
        </w:rPr>
        <w:t xml:space="preserve">ARTHUR BLIGNAUT                                          </w:t>
      </w:r>
      <w:r w:rsidR="00387A6C">
        <w:rPr>
          <w:rFonts w:ascii="Times New Roman" w:hAnsi="Times New Roman" w:cs="Times New Roman"/>
          <w:b/>
          <w:sz w:val="28"/>
          <w:szCs w:val="28"/>
          <w:lang w:val="en-GB"/>
        </w:rPr>
        <w:t xml:space="preserve">                      </w:t>
      </w:r>
      <w:r w:rsidRPr="00387A6C">
        <w:rPr>
          <w:rFonts w:ascii="Times New Roman" w:hAnsi="Times New Roman" w:cs="Times New Roman"/>
          <w:bCs/>
          <w:sz w:val="28"/>
          <w:szCs w:val="28"/>
          <w:lang w:val="en-GB"/>
        </w:rPr>
        <w:t>First Applicant</w:t>
      </w:r>
    </w:p>
    <w:p w:rsidR="00387A6C" w:rsidRPr="00387A6C" w:rsidRDefault="00387A6C" w:rsidP="00B30B92">
      <w:pPr>
        <w:rPr>
          <w:rFonts w:ascii="Times New Roman" w:hAnsi="Times New Roman" w:cs="Times New Roman"/>
          <w:bCs/>
          <w:sz w:val="28"/>
          <w:szCs w:val="28"/>
          <w:lang w:val="en-GB"/>
        </w:rPr>
      </w:pPr>
    </w:p>
    <w:p w:rsidR="00B30B92" w:rsidRDefault="00B30B92" w:rsidP="00B30B92">
      <w:pPr>
        <w:rPr>
          <w:rFonts w:ascii="Times New Roman" w:hAnsi="Times New Roman" w:cs="Times New Roman"/>
          <w:sz w:val="28"/>
          <w:szCs w:val="28"/>
          <w:lang w:val="en-GB"/>
        </w:rPr>
      </w:pPr>
      <w:r w:rsidRPr="00387A6C">
        <w:rPr>
          <w:rFonts w:ascii="Times New Roman" w:hAnsi="Times New Roman" w:cs="Times New Roman"/>
          <w:b/>
          <w:sz w:val="28"/>
          <w:szCs w:val="28"/>
          <w:lang w:val="en-GB"/>
        </w:rPr>
        <w:t>SKYE-LAB TECHNOLOGIES</w:t>
      </w:r>
      <w:r w:rsidRPr="00387A6C">
        <w:rPr>
          <w:rFonts w:ascii="Times New Roman" w:hAnsi="Times New Roman" w:cs="Times New Roman"/>
          <w:b/>
          <w:sz w:val="28"/>
          <w:szCs w:val="28"/>
          <w:lang w:val="en-GB"/>
        </w:rPr>
        <w:tab/>
      </w:r>
      <w:r w:rsidRPr="00387A6C">
        <w:rPr>
          <w:rFonts w:ascii="Times New Roman" w:hAnsi="Times New Roman" w:cs="Times New Roman"/>
          <w:b/>
          <w:sz w:val="28"/>
          <w:szCs w:val="28"/>
          <w:lang w:val="en-GB"/>
        </w:rPr>
        <w:tab/>
      </w:r>
      <w:r w:rsidRPr="00387A6C">
        <w:rPr>
          <w:rFonts w:ascii="Times New Roman" w:hAnsi="Times New Roman" w:cs="Times New Roman"/>
          <w:sz w:val="28"/>
          <w:szCs w:val="28"/>
          <w:lang w:val="en-GB"/>
        </w:rPr>
        <w:tab/>
      </w:r>
      <w:r w:rsidRPr="00387A6C">
        <w:rPr>
          <w:rFonts w:ascii="Times New Roman" w:hAnsi="Times New Roman" w:cs="Times New Roman"/>
          <w:sz w:val="28"/>
          <w:szCs w:val="28"/>
          <w:lang w:val="en-GB"/>
        </w:rPr>
        <w:tab/>
      </w:r>
      <w:r w:rsidR="00387A6C">
        <w:rPr>
          <w:rFonts w:ascii="Times New Roman" w:hAnsi="Times New Roman" w:cs="Times New Roman"/>
          <w:sz w:val="28"/>
          <w:szCs w:val="28"/>
          <w:lang w:val="en-GB"/>
        </w:rPr>
        <w:t xml:space="preserve">      </w:t>
      </w:r>
      <w:r w:rsidRPr="00387A6C">
        <w:rPr>
          <w:rFonts w:ascii="Times New Roman" w:hAnsi="Times New Roman" w:cs="Times New Roman"/>
          <w:sz w:val="28"/>
          <w:szCs w:val="28"/>
          <w:lang w:val="en-GB"/>
        </w:rPr>
        <w:t>Second Applicant</w:t>
      </w:r>
    </w:p>
    <w:p w:rsidR="00387A6C" w:rsidRPr="00387A6C" w:rsidRDefault="00387A6C" w:rsidP="00B30B92">
      <w:pPr>
        <w:rPr>
          <w:rFonts w:ascii="Times New Roman" w:hAnsi="Times New Roman" w:cs="Times New Roman"/>
          <w:sz w:val="28"/>
          <w:szCs w:val="28"/>
          <w:lang w:val="en-GB"/>
        </w:rPr>
      </w:pPr>
    </w:p>
    <w:p w:rsidR="00B30B92"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And</w:t>
      </w:r>
    </w:p>
    <w:p w:rsidR="00387A6C" w:rsidRPr="00387A6C" w:rsidRDefault="00387A6C" w:rsidP="00B30B92">
      <w:pPr>
        <w:rPr>
          <w:rFonts w:ascii="Times New Roman" w:hAnsi="Times New Roman" w:cs="Times New Roman"/>
          <w:sz w:val="28"/>
          <w:szCs w:val="28"/>
          <w:lang w:val="en-GB"/>
        </w:rPr>
      </w:pPr>
    </w:p>
    <w:p w:rsidR="00B30B92" w:rsidRPr="00387A6C" w:rsidRDefault="00B30B92" w:rsidP="00B30B92">
      <w:pPr>
        <w:pBdr>
          <w:bottom w:val="single" w:sz="12" w:space="1" w:color="auto"/>
        </w:pBdr>
        <w:rPr>
          <w:rFonts w:ascii="Times New Roman" w:hAnsi="Times New Roman" w:cs="Times New Roman"/>
          <w:sz w:val="28"/>
          <w:szCs w:val="28"/>
          <w:lang w:val="en-GB"/>
        </w:rPr>
      </w:pPr>
      <w:r w:rsidRPr="00387A6C">
        <w:rPr>
          <w:rFonts w:ascii="Times New Roman" w:hAnsi="Times New Roman" w:cs="Times New Roman"/>
          <w:b/>
          <w:sz w:val="28"/>
          <w:szCs w:val="28"/>
          <w:lang w:val="en-GB"/>
        </w:rPr>
        <w:t>FIRSTRAND BANK LIMITED</w:t>
      </w:r>
      <w:r w:rsidRPr="00387A6C">
        <w:rPr>
          <w:rFonts w:ascii="Times New Roman" w:hAnsi="Times New Roman" w:cs="Times New Roman"/>
          <w:b/>
          <w:sz w:val="28"/>
          <w:szCs w:val="28"/>
          <w:lang w:val="en-GB"/>
        </w:rPr>
        <w:tab/>
        <w:t xml:space="preserve">                                   </w:t>
      </w:r>
      <w:r w:rsidR="00387A6C">
        <w:rPr>
          <w:rFonts w:ascii="Times New Roman" w:hAnsi="Times New Roman" w:cs="Times New Roman"/>
          <w:b/>
          <w:sz w:val="28"/>
          <w:szCs w:val="28"/>
          <w:lang w:val="en-GB"/>
        </w:rPr>
        <w:t xml:space="preserve">         </w:t>
      </w:r>
      <w:r w:rsidR="00387A6C" w:rsidRPr="00387A6C">
        <w:rPr>
          <w:rFonts w:ascii="Times New Roman" w:hAnsi="Times New Roman" w:cs="Times New Roman"/>
          <w:sz w:val="28"/>
          <w:szCs w:val="28"/>
          <w:lang w:val="en-GB"/>
        </w:rPr>
        <w:t>Respondent</w:t>
      </w:r>
    </w:p>
    <w:p w:rsidR="00B30B92" w:rsidRPr="00387A6C" w:rsidRDefault="00B30B92" w:rsidP="00B30B92">
      <w:pPr>
        <w:pBdr>
          <w:bottom w:val="single" w:sz="12" w:space="1" w:color="auto"/>
        </w:pBd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b/>
          <w:sz w:val="28"/>
          <w:szCs w:val="28"/>
          <w:lang w:val="en-GB"/>
        </w:rPr>
      </w:pPr>
      <w:r w:rsidRPr="00387A6C">
        <w:rPr>
          <w:rFonts w:ascii="Times New Roman" w:hAnsi="Times New Roman" w:cs="Times New Roman"/>
          <w:b/>
          <w:sz w:val="28"/>
          <w:szCs w:val="28"/>
          <w:lang w:val="en-GB"/>
        </w:rPr>
        <w:t xml:space="preserve">                    </w:t>
      </w:r>
      <w:r w:rsidR="00387A6C">
        <w:rPr>
          <w:rFonts w:ascii="Times New Roman" w:hAnsi="Times New Roman" w:cs="Times New Roman"/>
          <w:b/>
          <w:sz w:val="28"/>
          <w:szCs w:val="28"/>
          <w:lang w:val="en-GB"/>
        </w:rPr>
        <w:t xml:space="preserve">                         </w:t>
      </w:r>
      <w:r w:rsidRPr="00387A6C">
        <w:rPr>
          <w:rFonts w:ascii="Times New Roman" w:hAnsi="Times New Roman" w:cs="Times New Roman"/>
          <w:b/>
          <w:sz w:val="28"/>
          <w:szCs w:val="28"/>
          <w:lang w:val="en-GB"/>
        </w:rPr>
        <w:t xml:space="preserve">             JUDGMENT</w:t>
      </w:r>
    </w:p>
    <w:p w:rsidR="00B30B92" w:rsidRPr="00387A6C" w:rsidRDefault="00B30B92" w:rsidP="00B30B92">
      <w:pPr>
        <w:rPr>
          <w:rFonts w:ascii="Times New Roman" w:hAnsi="Times New Roman" w:cs="Times New Roman"/>
          <w:b/>
          <w:sz w:val="28"/>
          <w:szCs w:val="28"/>
          <w:lang w:val="en-GB"/>
        </w:rPr>
      </w:pPr>
      <w:r w:rsidRPr="00387A6C">
        <w:rPr>
          <w:rFonts w:ascii="Times New Roman" w:hAnsi="Times New Roman" w:cs="Times New Roman"/>
          <w:b/>
          <w:sz w:val="28"/>
          <w:szCs w:val="28"/>
          <w:lang w:val="en-GB"/>
        </w:rPr>
        <w:t>___________________________________________</w:t>
      </w:r>
      <w:r w:rsidR="00387A6C">
        <w:rPr>
          <w:rFonts w:ascii="Times New Roman" w:hAnsi="Times New Roman" w:cs="Times New Roman"/>
          <w:b/>
          <w:sz w:val="28"/>
          <w:szCs w:val="28"/>
          <w:lang w:val="en-GB"/>
        </w:rPr>
        <w:t>_____________________</w:t>
      </w:r>
    </w:p>
    <w:p w:rsidR="00B30B92" w:rsidRPr="00387A6C" w:rsidRDefault="00B30B92" w:rsidP="00B30B92">
      <w:pPr>
        <w:spacing w:line="480" w:lineRule="auto"/>
        <w:rPr>
          <w:rFonts w:ascii="Times New Roman" w:hAnsi="Times New Roman" w:cs="Times New Roman"/>
          <w:b/>
          <w:sz w:val="28"/>
          <w:szCs w:val="28"/>
          <w:lang w:val="en-GB"/>
        </w:rPr>
      </w:pPr>
      <w:r w:rsidRPr="00387A6C">
        <w:rPr>
          <w:rFonts w:ascii="Times New Roman" w:hAnsi="Times New Roman" w:cs="Times New Roman"/>
          <w:b/>
          <w:sz w:val="28"/>
          <w:szCs w:val="28"/>
          <w:lang w:val="en-GB"/>
        </w:rPr>
        <w:t>NYATHI J</w:t>
      </w:r>
    </w:p>
    <w:p w:rsidR="00B30B92" w:rsidRPr="00387A6C" w:rsidRDefault="00C5768F" w:rsidP="00C5768F">
      <w:pPr>
        <w:spacing w:line="480" w:lineRule="auto"/>
        <w:ind w:left="720" w:hanging="360"/>
        <w:rPr>
          <w:rFonts w:ascii="Times New Roman" w:hAnsi="Times New Roman" w:cs="Times New Roman"/>
          <w:b/>
          <w:sz w:val="28"/>
          <w:szCs w:val="28"/>
          <w:lang w:val="en-GB"/>
        </w:rPr>
      </w:pPr>
      <w:r w:rsidRPr="00387A6C">
        <w:rPr>
          <w:rFonts w:ascii="Times New Roman" w:hAnsi="Times New Roman" w:cs="Times New Roman"/>
          <w:b/>
          <w:sz w:val="28"/>
          <w:szCs w:val="28"/>
          <w:lang w:val="en-GB"/>
        </w:rPr>
        <w:lastRenderedPageBreak/>
        <w:t>A.</w:t>
      </w:r>
      <w:r w:rsidRPr="00387A6C">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INTRODUCTION</w:t>
      </w:r>
    </w:p>
    <w:p w:rsidR="00B30B92" w:rsidRPr="00387A6C" w:rsidRDefault="00B30B92" w:rsidP="00B30B92">
      <w:pPr>
        <w:spacing w:line="480" w:lineRule="auto"/>
        <w:ind w:left="720" w:hanging="72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[1] </w:t>
      </w:r>
      <w:r w:rsidRPr="00387A6C">
        <w:rPr>
          <w:rFonts w:ascii="Times New Roman" w:hAnsi="Times New Roman" w:cs="Times New Roman"/>
          <w:sz w:val="28"/>
          <w:szCs w:val="28"/>
          <w:lang w:val="en-GB"/>
        </w:rPr>
        <w:tab/>
        <w:t xml:space="preserve">The Applicant before court seeks a rescission of judgment in terms of Rule 42 (1) alternatively the common law, and further alternatively in terms of the provisions of Rule 31(2)(b) of the Uniform Rules of Court. The judgment in question was granted on the 20 August 2019. The application is opposed. </w:t>
      </w:r>
    </w:p>
    <w:p w:rsidR="00B30B92" w:rsidRPr="00387A6C" w:rsidRDefault="00B30B92" w:rsidP="00B30B92">
      <w:pPr>
        <w:spacing w:line="480" w:lineRule="auto"/>
        <w:ind w:left="720" w:hanging="72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[2] </w:t>
      </w:r>
      <w:r w:rsidRPr="00387A6C">
        <w:rPr>
          <w:rFonts w:ascii="Times New Roman" w:hAnsi="Times New Roman" w:cs="Times New Roman"/>
          <w:sz w:val="28"/>
          <w:szCs w:val="28"/>
          <w:lang w:val="en-GB"/>
        </w:rPr>
        <w:tab/>
        <w:t>The Applicant bases his application on allegations that the application is that:</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2.1</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71A Kerk Street, Johannesburg was never the chosen address of the First Applicant and as such, service of the summons at this address on 15 April 2019, never came to the attention </w:t>
      </w:r>
      <w:r w:rsidR="0022589E">
        <w:rPr>
          <w:rFonts w:ascii="Times New Roman" w:hAnsi="Times New Roman" w:cs="Times New Roman"/>
          <w:sz w:val="28"/>
          <w:szCs w:val="28"/>
          <w:lang w:val="en-GB"/>
        </w:rPr>
        <w:t>of the First Applicant</w:t>
      </w:r>
      <w:r w:rsidR="00B30B92" w:rsidRPr="00387A6C">
        <w:rPr>
          <w:rFonts w:ascii="Times New Roman" w:hAnsi="Times New Roman" w:cs="Times New Roman"/>
          <w:sz w:val="28"/>
          <w:szCs w:val="28"/>
          <w:lang w:val="en-GB"/>
        </w:rPr>
        <w:t>. He chose 3</w:t>
      </w:r>
      <w:r w:rsidR="00B30B92" w:rsidRPr="00387A6C">
        <w:rPr>
          <w:rFonts w:ascii="Times New Roman" w:hAnsi="Times New Roman" w:cs="Times New Roman"/>
          <w:sz w:val="28"/>
          <w:szCs w:val="28"/>
          <w:vertAlign w:val="superscript"/>
          <w:lang w:val="en-GB"/>
        </w:rPr>
        <w:t>rd</w:t>
      </w:r>
      <w:r w:rsidR="00B30B92" w:rsidRPr="00387A6C">
        <w:rPr>
          <w:rFonts w:ascii="Times New Roman" w:hAnsi="Times New Roman" w:cs="Times New Roman"/>
          <w:sz w:val="28"/>
          <w:szCs w:val="28"/>
          <w:lang w:val="en-GB"/>
        </w:rPr>
        <w:t xml:space="preserve"> Floor, Darras Centre as his chosen </w:t>
      </w:r>
      <w:r w:rsidR="00B30B92" w:rsidRPr="0022589E">
        <w:rPr>
          <w:rFonts w:ascii="Times New Roman" w:hAnsi="Times New Roman" w:cs="Times New Roman"/>
          <w:i/>
          <w:sz w:val="28"/>
          <w:szCs w:val="28"/>
          <w:lang w:val="en-GB"/>
        </w:rPr>
        <w:t>domicilium</w:t>
      </w:r>
      <w:r w:rsidR="00B30B92" w:rsidRPr="00387A6C">
        <w:rPr>
          <w:rFonts w:ascii="Times New Roman" w:hAnsi="Times New Roman" w:cs="Times New Roman"/>
          <w:sz w:val="28"/>
          <w:szCs w:val="28"/>
          <w:lang w:val="en-GB"/>
        </w:rPr>
        <w:t xml:space="preserve"> (as per page 12 of Annexure “B” to the summons). For this reason, the order should never have been granted as same was erroneously sought.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2.2</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There are two stands at the property with two addresses. The default judgment was only granted in respect of the one stand.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2.3</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No statement of account was attached, and it is alleged that the Respondent was not entitled to rely on the certificate of balance. As such the claim is not liquid and remains a claim for damages </w:t>
      </w:r>
      <w:r w:rsidR="00B30B92" w:rsidRPr="00387A6C">
        <w:rPr>
          <w:rFonts w:ascii="Times New Roman" w:hAnsi="Times New Roman" w:cs="Times New Roman"/>
          <w:sz w:val="28"/>
          <w:szCs w:val="28"/>
          <w:lang w:val="en-GB"/>
        </w:rPr>
        <w:lastRenderedPageBreak/>
        <w:t>that has not even reached the threshold of prima facie proof.</w:t>
      </w:r>
      <w:r w:rsidR="0022589E">
        <w:rPr>
          <w:rFonts w:ascii="Times New Roman" w:hAnsi="Times New Roman" w:cs="Times New Roman"/>
          <w:sz w:val="28"/>
          <w:szCs w:val="28"/>
          <w:lang w:val="en-GB"/>
        </w:rPr>
        <w:t xml:space="preserve"> The</w:t>
      </w:r>
      <w:r w:rsidR="00B30B92" w:rsidRPr="00387A6C">
        <w:rPr>
          <w:rFonts w:ascii="Times New Roman" w:hAnsi="Times New Roman" w:cs="Times New Roman"/>
          <w:sz w:val="28"/>
          <w:szCs w:val="28"/>
          <w:lang w:val="en-GB"/>
        </w:rPr>
        <w:t xml:space="preserve"> First Applicant states he intends to launch a counterclaim for statement and debatement of account. No such counterclaim had been delivered.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2.4</w:t>
      </w:r>
      <w:r w:rsidRPr="00387A6C">
        <w:rPr>
          <w:rFonts w:ascii="Times New Roman" w:hAnsi="Times New Roman" w:cs="Times New Roman"/>
          <w:sz w:val="28"/>
          <w:szCs w:val="28"/>
          <w:lang w:val="en-GB"/>
        </w:rPr>
        <w:tab/>
      </w:r>
      <w:r w:rsidR="0022589E">
        <w:rPr>
          <w:rFonts w:ascii="Times New Roman" w:hAnsi="Times New Roman" w:cs="Times New Roman"/>
          <w:sz w:val="28"/>
          <w:szCs w:val="28"/>
          <w:lang w:val="en-GB"/>
        </w:rPr>
        <w:t xml:space="preserve">The </w:t>
      </w:r>
      <w:r w:rsidR="00B30B92" w:rsidRPr="00387A6C">
        <w:rPr>
          <w:rFonts w:ascii="Times New Roman" w:hAnsi="Times New Roman" w:cs="Times New Roman"/>
          <w:sz w:val="28"/>
          <w:szCs w:val="28"/>
          <w:lang w:val="en-GB"/>
        </w:rPr>
        <w:t>Applicants only became aware of the judgment on 28 January 2021 when the application to amend (Rule 46A (8) was served on the First Applicant.</w:t>
      </w:r>
    </w:p>
    <w:p w:rsidR="00FD27E4" w:rsidRPr="00FD27E4" w:rsidRDefault="00C5768F" w:rsidP="00C5768F">
      <w:pPr>
        <w:spacing w:line="480" w:lineRule="auto"/>
        <w:ind w:left="1855" w:hanging="360"/>
        <w:jc w:val="both"/>
        <w:rPr>
          <w:rFonts w:ascii="Times New Roman" w:hAnsi="Times New Roman" w:cs="Times New Roman"/>
          <w:b/>
          <w:sz w:val="28"/>
          <w:szCs w:val="28"/>
          <w:lang w:val="en-GB"/>
        </w:rPr>
      </w:pPr>
      <w:r w:rsidRPr="00FD27E4">
        <w:rPr>
          <w:rFonts w:ascii="Times New Roman" w:hAnsi="Times New Roman" w:cs="Times New Roman"/>
          <w:sz w:val="28"/>
          <w:szCs w:val="28"/>
          <w:lang w:val="en-GB"/>
        </w:rPr>
        <w:t>2.5</w:t>
      </w:r>
      <w:r w:rsidRPr="00FD27E4">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The First Respondent had failed to comply with section 129(1), read with section 130(1) of the National Credit Act 34 of 200</w:t>
      </w:r>
      <w:r w:rsidR="00FD27E4">
        <w:rPr>
          <w:rFonts w:ascii="Times New Roman" w:hAnsi="Times New Roman" w:cs="Times New Roman"/>
          <w:sz w:val="28"/>
          <w:szCs w:val="28"/>
          <w:lang w:val="en-GB"/>
        </w:rPr>
        <w:t>5 (NCA) prior to launching the m</w:t>
      </w:r>
      <w:r w:rsidR="00B30B92" w:rsidRPr="00387A6C">
        <w:rPr>
          <w:rFonts w:ascii="Times New Roman" w:hAnsi="Times New Roman" w:cs="Times New Roman"/>
          <w:sz w:val="28"/>
          <w:szCs w:val="28"/>
          <w:lang w:val="en-GB"/>
        </w:rPr>
        <w:t>ain Application to enforce the relevant credit agreement, and consequently, that the court was precluded from granting the said judgment as the notices were sent to the wrong address as 71A Kerk Street, Belgravia was not the First Applicant's chosen address and neither was 15 Michigan Avenue, Eldorado Park, the chosen address of the Second Applicant. Premised on the alleged non-compliance, the action was premature.</w:t>
      </w:r>
    </w:p>
    <w:p w:rsidR="00FD27E4" w:rsidRDefault="00FD27E4" w:rsidP="00FD27E4">
      <w:pPr>
        <w:spacing w:line="480" w:lineRule="auto"/>
        <w:jc w:val="both"/>
        <w:rPr>
          <w:rFonts w:ascii="Times New Roman" w:hAnsi="Times New Roman" w:cs="Times New Roman"/>
          <w:sz w:val="28"/>
          <w:szCs w:val="28"/>
          <w:lang w:val="en-GB"/>
        </w:rPr>
      </w:pPr>
    </w:p>
    <w:p w:rsidR="00FD27E4" w:rsidRDefault="00FD27E4" w:rsidP="00FD27E4">
      <w:pPr>
        <w:spacing w:line="480" w:lineRule="auto"/>
        <w:jc w:val="both"/>
        <w:rPr>
          <w:rFonts w:ascii="Times New Roman" w:hAnsi="Times New Roman" w:cs="Times New Roman"/>
          <w:sz w:val="28"/>
          <w:szCs w:val="28"/>
          <w:lang w:val="en-GB"/>
        </w:rPr>
      </w:pPr>
    </w:p>
    <w:p w:rsidR="00FD27E4" w:rsidRPr="00FD27E4" w:rsidRDefault="00FD27E4" w:rsidP="00FD27E4">
      <w:pPr>
        <w:spacing w:line="480" w:lineRule="auto"/>
        <w:jc w:val="both"/>
        <w:rPr>
          <w:rFonts w:ascii="Times New Roman" w:hAnsi="Times New Roman" w:cs="Times New Roman"/>
          <w:b/>
          <w:sz w:val="28"/>
          <w:szCs w:val="28"/>
          <w:lang w:val="en-GB"/>
        </w:rPr>
      </w:pPr>
    </w:p>
    <w:p w:rsidR="00B30B92" w:rsidRPr="00FD27E4" w:rsidRDefault="00C5768F" w:rsidP="00C5768F">
      <w:pPr>
        <w:spacing w:line="480" w:lineRule="auto"/>
        <w:ind w:left="720" w:hanging="360"/>
        <w:jc w:val="both"/>
        <w:rPr>
          <w:rFonts w:ascii="Times New Roman" w:hAnsi="Times New Roman" w:cs="Times New Roman"/>
          <w:b/>
          <w:sz w:val="28"/>
          <w:szCs w:val="28"/>
          <w:lang w:val="en-GB"/>
        </w:rPr>
      </w:pPr>
      <w:r w:rsidRPr="00FD27E4">
        <w:rPr>
          <w:rFonts w:ascii="Times New Roman" w:hAnsi="Times New Roman" w:cs="Times New Roman"/>
          <w:b/>
          <w:sz w:val="28"/>
          <w:szCs w:val="28"/>
          <w:lang w:val="en-GB"/>
        </w:rPr>
        <w:lastRenderedPageBreak/>
        <w:t>B.</w:t>
      </w:r>
      <w:r w:rsidRPr="00FD27E4">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RESPONDENT’S CASE</w:t>
      </w:r>
    </w:p>
    <w:p w:rsidR="00B30B92" w:rsidRPr="00387A6C" w:rsidRDefault="00B30B92" w:rsidP="00387A6C">
      <w:pPr>
        <w:spacing w:line="480" w:lineRule="auto"/>
        <w:ind w:left="720" w:hanging="720"/>
        <w:jc w:val="both"/>
        <w:rPr>
          <w:rFonts w:ascii="Times New Roman" w:hAnsi="Times New Roman" w:cs="Times New Roman"/>
          <w:b/>
          <w:sz w:val="28"/>
          <w:szCs w:val="28"/>
          <w:lang w:val="en-GB"/>
        </w:rPr>
      </w:pPr>
      <w:r w:rsidRPr="00387A6C">
        <w:rPr>
          <w:rFonts w:ascii="Times New Roman" w:hAnsi="Times New Roman" w:cs="Times New Roman"/>
          <w:sz w:val="28"/>
          <w:szCs w:val="28"/>
          <w:lang w:val="en-GB"/>
        </w:rPr>
        <w:t>[3]</w:t>
      </w:r>
      <w:r w:rsidRPr="00387A6C">
        <w:rPr>
          <w:rFonts w:ascii="Times New Roman" w:hAnsi="Times New Roman" w:cs="Times New Roman"/>
          <w:b/>
          <w:sz w:val="28"/>
          <w:szCs w:val="28"/>
          <w:lang w:val="en-GB"/>
        </w:rPr>
        <w:t xml:space="preserve"> </w:t>
      </w:r>
      <w:r w:rsidRPr="00387A6C">
        <w:rPr>
          <w:rFonts w:ascii="Times New Roman" w:hAnsi="Times New Roman" w:cs="Times New Roman"/>
          <w:b/>
          <w:sz w:val="28"/>
          <w:szCs w:val="28"/>
          <w:lang w:val="en-GB"/>
        </w:rPr>
        <w:tab/>
      </w:r>
      <w:r w:rsidRPr="00387A6C">
        <w:rPr>
          <w:rFonts w:ascii="Times New Roman" w:hAnsi="Times New Roman" w:cs="Times New Roman"/>
          <w:sz w:val="28"/>
          <w:szCs w:val="28"/>
          <w:lang w:val="en-GB"/>
        </w:rPr>
        <w:t xml:space="preserve"> The Respondent points out that the Applicants </w:t>
      </w:r>
      <w:r w:rsidR="00FD27E4">
        <w:rPr>
          <w:rFonts w:ascii="Times New Roman" w:hAnsi="Times New Roman" w:cs="Times New Roman"/>
          <w:sz w:val="28"/>
          <w:szCs w:val="28"/>
          <w:lang w:val="en-GB"/>
        </w:rPr>
        <w:t xml:space="preserve">did </w:t>
      </w:r>
      <w:r w:rsidRPr="00387A6C">
        <w:rPr>
          <w:rFonts w:ascii="Times New Roman" w:hAnsi="Times New Roman" w:cs="Times New Roman"/>
          <w:sz w:val="28"/>
          <w:szCs w:val="28"/>
          <w:lang w:val="en-GB"/>
        </w:rPr>
        <w:t xml:space="preserve">not to disclose to  this  Court that on 25 June 2018, the Rule 46A application was served </w:t>
      </w:r>
      <w:r w:rsidRPr="00387A6C">
        <w:rPr>
          <w:rFonts w:ascii="Times New Roman" w:hAnsi="Times New Roman" w:cs="Times New Roman"/>
          <w:b/>
          <w:sz w:val="28"/>
          <w:szCs w:val="28"/>
          <w:u w:val="single"/>
          <w:lang w:val="en-GB"/>
        </w:rPr>
        <w:t>personally</w:t>
      </w:r>
      <w:r w:rsidRPr="00387A6C">
        <w:rPr>
          <w:rFonts w:ascii="Times New Roman" w:hAnsi="Times New Roman" w:cs="Times New Roman"/>
          <w:sz w:val="28"/>
          <w:szCs w:val="28"/>
          <w:lang w:val="en-GB"/>
        </w:rPr>
        <w:t xml:space="preserve"> on the First Applicant.</w:t>
      </w:r>
      <w:r w:rsidRPr="00387A6C">
        <w:rPr>
          <w:rFonts w:ascii="Times New Roman" w:hAnsi="Times New Roman" w:cs="Times New Roman"/>
          <w:sz w:val="28"/>
          <w:szCs w:val="28"/>
          <w:vertAlign w:val="superscript"/>
          <w:lang w:val="en-GB"/>
        </w:rPr>
        <w:footnoteReference w:id="1"/>
      </w:r>
    </w:p>
    <w:p w:rsidR="00B30B92" w:rsidRPr="00387A6C" w:rsidRDefault="00B30B92" w:rsidP="00387A6C">
      <w:pPr>
        <w:spacing w:line="480" w:lineRule="auto"/>
        <w:ind w:left="720" w:hanging="720"/>
        <w:jc w:val="both"/>
        <w:rPr>
          <w:rFonts w:ascii="Times New Roman" w:hAnsi="Times New Roman" w:cs="Times New Roman"/>
          <w:b/>
          <w:sz w:val="28"/>
          <w:szCs w:val="28"/>
          <w:lang w:val="en-GB"/>
        </w:rPr>
      </w:pPr>
      <w:r w:rsidRPr="00387A6C">
        <w:rPr>
          <w:rFonts w:ascii="Times New Roman" w:hAnsi="Times New Roman" w:cs="Times New Roman"/>
          <w:sz w:val="28"/>
          <w:szCs w:val="28"/>
          <w:lang w:val="en-GB"/>
        </w:rPr>
        <w:t>[4]</w:t>
      </w:r>
      <w:r w:rsidRPr="00387A6C">
        <w:rPr>
          <w:rFonts w:ascii="Times New Roman" w:hAnsi="Times New Roman" w:cs="Times New Roman"/>
          <w:b/>
          <w:sz w:val="28"/>
          <w:szCs w:val="28"/>
          <w:lang w:val="en-GB"/>
        </w:rPr>
        <w:t xml:space="preserve"> </w:t>
      </w:r>
      <w:r w:rsidRPr="00387A6C">
        <w:rPr>
          <w:rFonts w:ascii="Times New Roman" w:hAnsi="Times New Roman" w:cs="Times New Roman"/>
          <w:b/>
          <w:sz w:val="28"/>
          <w:szCs w:val="28"/>
          <w:lang w:val="en-GB"/>
        </w:rPr>
        <w:tab/>
      </w:r>
      <w:r w:rsidRPr="00387A6C">
        <w:rPr>
          <w:rFonts w:ascii="Times New Roman" w:hAnsi="Times New Roman" w:cs="Times New Roman"/>
          <w:sz w:val="28"/>
          <w:szCs w:val="28"/>
          <w:lang w:val="en-GB"/>
        </w:rPr>
        <w:t>Regarding the merits, the Respondent submits that the default judgment (incorporating the Rule 46A) granted on 20 August 2019, was obtained after due process was followed. This is so because:</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4.1</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The address situated at 3</w:t>
      </w:r>
      <w:r w:rsidR="00B30B92" w:rsidRPr="00387A6C">
        <w:rPr>
          <w:rFonts w:ascii="Times New Roman" w:hAnsi="Times New Roman" w:cs="Times New Roman"/>
          <w:sz w:val="28"/>
          <w:szCs w:val="28"/>
          <w:vertAlign w:val="superscript"/>
          <w:lang w:val="en-GB"/>
        </w:rPr>
        <w:t>rd</w:t>
      </w:r>
      <w:r w:rsidR="00B30B92" w:rsidRPr="00387A6C">
        <w:rPr>
          <w:rFonts w:ascii="Times New Roman" w:hAnsi="Times New Roman" w:cs="Times New Roman"/>
          <w:sz w:val="28"/>
          <w:szCs w:val="28"/>
          <w:lang w:val="en-GB"/>
        </w:rPr>
        <w:t xml:space="preserve"> Floor Darras Centre, Kensington, was not the First Applicant's chosen address. This was inserted on page 12 of the agreement to refer to the address at which the Second Applicant (as surety) took a resolution to be bound by the terms and conditions to the agreement. The Darras address was never chosen as the </w:t>
      </w:r>
      <w:r w:rsidR="00B30B92" w:rsidRPr="00FD27E4">
        <w:rPr>
          <w:rFonts w:ascii="Times New Roman" w:hAnsi="Times New Roman" w:cs="Times New Roman"/>
          <w:i/>
          <w:sz w:val="28"/>
          <w:szCs w:val="28"/>
          <w:lang w:val="en-GB"/>
        </w:rPr>
        <w:t>domicilium</w:t>
      </w:r>
      <w:r w:rsidR="00B30B92" w:rsidRPr="00387A6C">
        <w:rPr>
          <w:rFonts w:ascii="Times New Roman" w:hAnsi="Times New Roman" w:cs="Times New Roman"/>
          <w:sz w:val="28"/>
          <w:szCs w:val="28"/>
          <w:lang w:val="en-GB"/>
        </w:rPr>
        <w:t xml:space="preserve"> by either the First or the Second Applicant.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4.2</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In terms of clause 4.30 of the agreement, the First Applicant chose, and nominated the physical address reflected on the first page of the agreement, being 71A Kerk Street, Belgravia. On Applicants’ own version summons was served at this address on 15 April 2019. </w:t>
      </w:r>
    </w:p>
    <w:p w:rsidR="00B30B92" w:rsidRPr="00FD27E4" w:rsidRDefault="00C5768F" w:rsidP="00C5768F">
      <w:pPr>
        <w:spacing w:line="480" w:lineRule="auto"/>
        <w:ind w:left="1855" w:hanging="360"/>
        <w:jc w:val="both"/>
        <w:rPr>
          <w:rFonts w:ascii="Times New Roman" w:hAnsi="Times New Roman" w:cs="Times New Roman"/>
          <w:sz w:val="28"/>
          <w:szCs w:val="28"/>
          <w:lang w:val="en-GB"/>
        </w:rPr>
      </w:pPr>
      <w:r w:rsidRPr="00FD27E4">
        <w:rPr>
          <w:rFonts w:ascii="Times New Roman" w:hAnsi="Times New Roman" w:cs="Times New Roman"/>
          <w:sz w:val="28"/>
          <w:szCs w:val="28"/>
          <w:lang w:val="en-GB"/>
        </w:rPr>
        <w:lastRenderedPageBreak/>
        <w:t>4.3</w:t>
      </w:r>
      <w:r w:rsidRPr="00FD27E4">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In terms of clause 11 of the suretyship, Second Respondent nominated 15 Michigan Avenue, Eldorado Park as its chosen</w:t>
      </w:r>
      <w:r w:rsidR="00FD27E4">
        <w:rPr>
          <w:rFonts w:ascii="Times New Roman" w:hAnsi="Times New Roman" w:cs="Times New Roman"/>
          <w:sz w:val="28"/>
          <w:szCs w:val="28"/>
          <w:lang w:val="en-GB"/>
        </w:rPr>
        <w:t xml:space="preserve"> </w:t>
      </w:r>
      <w:r w:rsidR="00B30B92" w:rsidRPr="00FD27E4">
        <w:rPr>
          <w:rFonts w:ascii="Times New Roman" w:hAnsi="Times New Roman" w:cs="Times New Roman"/>
          <w:sz w:val="28"/>
          <w:szCs w:val="28"/>
          <w:lang w:val="en-GB"/>
        </w:rPr>
        <w:t xml:space="preserve">address. On Applicants’ own version summons was served at this address on 11 April 2019.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4.4</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It follows then that there was proper service of the summons and that the Applicants were in wilful default of defending the action.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4.5</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The section 129 notices were equally sent to the addresses mentioned herein above.</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4.6</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Clause 4.29 of the agreement, and clause 8 of the suretyship provided that a certificate of balance may be used, although nothing turns on this point. </w:t>
      </w:r>
    </w:p>
    <w:p w:rsidR="00B30B92" w:rsidRPr="00387A6C" w:rsidRDefault="00C5768F" w:rsidP="00C5768F">
      <w:pPr>
        <w:spacing w:line="480" w:lineRule="auto"/>
        <w:ind w:left="1855" w:hanging="36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4.7</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The allegation that only one of the two neighbouring stands was included in the granted order does not take the Applicant’s application anywhere.</w:t>
      </w:r>
    </w:p>
    <w:p w:rsidR="00B30B92" w:rsidRPr="00387A6C" w:rsidRDefault="00387A6C" w:rsidP="00387A6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[5]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The Applicants, </w:t>
      </w:r>
      <w:r>
        <w:rPr>
          <w:rFonts w:ascii="Times New Roman" w:hAnsi="Times New Roman" w:cs="Times New Roman"/>
          <w:sz w:val="28"/>
          <w:szCs w:val="28"/>
          <w:lang w:val="en-GB"/>
        </w:rPr>
        <w:t xml:space="preserve">as </w:t>
      </w:r>
      <w:r w:rsidR="00B30B92" w:rsidRPr="00387A6C">
        <w:rPr>
          <w:rFonts w:ascii="Times New Roman" w:hAnsi="Times New Roman" w:cs="Times New Roman"/>
          <w:sz w:val="28"/>
          <w:szCs w:val="28"/>
          <w:lang w:val="en-GB"/>
        </w:rPr>
        <w:t xml:space="preserve">it was submitted, have not made out a case for rescission on the reasons they have proffered. </w:t>
      </w:r>
    </w:p>
    <w:p w:rsidR="00B30B92" w:rsidRDefault="00B30B92" w:rsidP="00B30B92">
      <w:pPr>
        <w:spacing w:line="480" w:lineRule="auto"/>
        <w:jc w:val="both"/>
        <w:rPr>
          <w:rFonts w:ascii="Times New Roman" w:hAnsi="Times New Roman" w:cs="Times New Roman"/>
          <w:sz w:val="28"/>
          <w:szCs w:val="28"/>
          <w:lang w:val="en-GB"/>
        </w:rPr>
      </w:pPr>
    </w:p>
    <w:p w:rsidR="00387A6C" w:rsidRDefault="00387A6C" w:rsidP="00B30B92">
      <w:pPr>
        <w:spacing w:line="480" w:lineRule="auto"/>
        <w:jc w:val="both"/>
        <w:rPr>
          <w:rFonts w:ascii="Times New Roman" w:hAnsi="Times New Roman" w:cs="Times New Roman"/>
          <w:sz w:val="28"/>
          <w:szCs w:val="28"/>
          <w:lang w:val="en-GB"/>
        </w:rPr>
      </w:pPr>
    </w:p>
    <w:p w:rsidR="00387A6C" w:rsidRPr="00387A6C" w:rsidRDefault="00387A6C" w:rsidP="00B30B92">
      <w:pPr>
        <w:spacing w:line="480" w:lineRule="auto"/>
        <w:jc w:val="both"/>
        <w:rPr>
          <w:rFonts w:ascii="Times New Roman" w:hAnsi="Times New Roman" w:cs="Times New Roman"/>
          <w:sz w:val="28"/>
          <w:szCs w:val="28"/>
          <w:lang w:val="en-GB"/>
        </w:rPr>
      </w:pPr>
    </w:p>
    <w:p w:rsidR="00B30B92" w:rsidRPr="00387A6C" w:rsidRDefault="00C5768F" w:rsidP="00C5768F">
      <w:pPr>
        <w:spacing w:line="480" w:lineRule="auto"/>
        <w:ind w:left="720" w:hanging="360"/>
        <w:jc w:val="both"/>
        <w:rPr>
          <w:rFonts w:ascii="Times New Roman" w:hAnsi="Times New Roman" w:cs="Times New Roman"/>
          <w:b/>
          <w:sz w:val="28"/>
          <w:szCs w:val="28"/>
          <w:lang w:val="en-GB"/>
        </w:rPr>
      </w:pPr>
      <w:r w:rsidRPr="00387A6C">
        <w:rPr>
          <w:rFonts w:ascii="Times New Roman" w:hAnsi="Times New Roman" w:cs="Times New Roman"/>
          <w:b/>
          <w:sz w:val="28"/>
          <w:szCs w:val="28"/>
          <w:lang w:val="en-GB"/>
        </w:rPr>
        <w:lastRenderedPageBreak/>
        <w:t>C.</w:t>
      </w:r>
      <w:r w:rsidRPr="00387A6C">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THE PROVISIONS OF RULE 31(2)(b)</w:t>
      </w:r>
    </w:p>
    <w:p w:rsidR="00B30B92" w:rsidRPr="00387A6C" w:rsidRDefault="00387A6C" w:rsidP="00387A6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[6]</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In terms of the provisions of Rule 31(2)(b) a defendant may within 20 days after he has knowledge of such judgment apply to court upon notice to the plaintiff to set aside such judgment and the court may, upon good cause shown, set aside the default judgment on such terms as to it seems meet.</w:t>
      </w:r>
    </w:p>
    <w:p w:rsidR="00B30B92" w:rsidRPr="00387A6C" w:rsidRDefault="00387A6C" w:rsidP="00387A6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[7]</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In giving a reasonable explanation for his default, the appellant must show that his default was not wilful.</w:t>
      </w:r>
      <w:r w:rsidR="00B30B92" w:rsidRPr="00387A6C">
        <w:rPr>
          <w:rFonts w:ascii="Times New Roman" w:hAnsi="Times New Roman" w:cs="Times New Roman"/>
          <w:sz w:val="28"/>
          <w:szCs w:val="28"/>
          <w:vertAlign w:val="superscript"/>
          <w:lang w:val="en-GB"/>
        </w:rPr>
        <w:footnoteReference w:id="2"/>
      </w:r>
      <w:r w:rsidR="00B30B92" w:rsidRPr="00387A6C">
        <w:rPr>
          <w:rFonts w:ascii="Times New Roman" w:hAnsi="Times New Roman" w:cs="Times New Roman"/>
          <w:sz w:val="28"/>
          <w:szCs w:val="28"/>
          <w:lang w:val="en-GB"/>
        </w:rPr>
        <w:t xml:space="preserve"> Where the element of wilfulness is absent, good cause will be more readily evident. However, this is but one of the elements in showing good cause.</w:t>
      </w:r>
    </w:p>
    <w:p w:rsidR="00B30B92" w:rsidRPr="00387A6C" w:rsidRDefault="00387A6C" w:rsidP="00387A6C">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[8]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The requirements for an application for rescission under the sub</w:t>
      </w:r>
      <w:r w:rsidR="00FD27E4">
        <w:rPr>
          <w:rFonts w:ascii="Times New Roman" w:hAnsi="Times New Roman" w:cs="Times New Roman"/>
          <w:sz w:val="28"/>
          <w:szCs w:val="28"/>
          <w:lang w:val="en-GB"/>
        </w:rPr>
        <w:t>-</w:t>
      </w:r>
      <w:r w:rsidR="00B30B92" w:rsidRPr="00387A6C">
        <w:rPr>
          <w:rFonts w:ascii="Times New Roman" w:hAnsi="Times New Roman" w:cs="Times New Roman"/>
          <w:sz w:val="28"/>
          <w:szCs w:val="28"/>
          <w:lang w:val="en-GB"/>
        </w:rPr>
        <w:t>rule have been stated as follows:</w:t>
      </w:r>
    </w:p>
    <w:p w:rsidR="00387A6C" w:rsidRPr="00C5768F" w:rsidRDefault="00C5768F" w:rsidP="00C5768F">
      <w:pPr>
        <w:spacing w:line="48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81</w:t>
      </w:r>
      <w:r>
        <w:rPr>
          <w:rFonts w:ascii="Times New Roman" w:hAnsi="Times New Roman" w:cs="Times New Roman"/>
          <w:sz w:val="28"/>
          <w:szCs w:val="28"/>
          <w:lang w:val="en-GB"/>
        </w:rPr>
        <w:tab/>
      </w:r>
      <w:r w:rsidR="00B30B92" w:rsidRPr="00C5768F">
        <w:rPr>
          <w:rFonts w:ascii="Times New Roman" w:hAnsi="Times New Roman" w:cs="Times New Roman"/>
          <w:sz w:val="28"/>
          <w:szCs w:val="28"/>
          <w:lang w:val="en-GB"/>
        </w:rPr>
        <w:t xml:space="preserve">The applicant must give a reasonable explanation of his default. If it appears that his default was wilful or that it was due to gross negligence the Court should not come to his assistance; </w:t>
      </w:r>
    </w:p>
    <w:p w:rsidR="00387A6C" w:rsidRDefault="00387A6C" w:rsidP="00387A6C">
      <w:pPr>
        <w:pStyle w:val="ListParagraph"/>
        <w:spacing w:line="480" w:lineRule="auto"/>
        <w:ind w:left="1080"/>
        <w:jc w:val="both"/>
        <w:rPr>
          <w:rFonts w:ascii="Times New Roman" w:hAnsi="Times New Roman" w:cs="Times New Roman"/>
          <w:sz w:val="28"/>
          <w:szCs w:val="28"/>
          <w:lang w:val="en-GB"/>
        </w:rPr>
      </w:pPr>
    </w:p>
    <w:p w:rsidR="00387A6C" w:rsidRPr="00C5768F" w:rsidRDefault="00C5768F" w:rsidP="00C5768F">
      <w:pPr>
        <w:spacing w:line="48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t>82</w:t>
      </w:r>
      <w:r>
        <w:rPr>
          <w:rFonts w:ascii="Times New Roman" w:hAnsi="Times New Roman" w:cs="Times New Roman"/>
          <w:sz w:val="28"/>
          <w:szCs w:val="28"/>
          <w:lang w:val="en-GB"/>
        </w:rPr>
        <w:tab/>
      </w:r>
      <w:r w:rsidR="00B30B92" w:rsidRPr="00C5768F">
        <w:rPr>
          <w:rFonts w:ascii="Times New Roman" w:hAnsi="Times New Roman" w:cs="Times New Roman"/>
          <w:sz w:val="28"/>
          <w:szCs w:val="28"/>
          <w:lang w:val="en-GB"/>
        </w:rPr>
        <w:t xml:space="preserve">The application must be bona fide and not made with the intention of merely delaying the plaintiffs claim; </w:t>
      </w:r>
    </w:p>
    <w:p w:rsidR="00387A6C" w:rsidRPr="00387A6C" w:rsidRDefault="00387A6C" w:rsidP="00387A6C">
      <w:pPr>
        <w:pStyle w:val="ListParagraph"/>
        <w:rPr>
          <w:rFonts w:ascii="Times New Roman" w:hAnsi="Times New Roman" w:cs="Times New Roman"/>
          <w:sz w:val="28"/>
          <w:szCs w:val="28"/>
          <w:lang w:val="en-GB"/>
        </w:rPr>
      </w:pPr>
    </w:p>
    <w:p w:rsidR="00B30B92" w:rsidRPr="00C5768F" w:rsidRDefault="00C5768F" w:rsidP="00C5768F">
      <w:pPr>
        <w:spacing w:line="480" w:lineRule="auto"/>
        <w:ind w:left="1080" w:hanging="360"/>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83</w:t>
      </w:r>
      <w:r>
        <w:rPr>
          <w:rFonts w:ascii="Times New Roman" w:hAnsi="Times New Roman" w:cs="Times New Roman"/>
          <w:sz w:val="28"/>
          <w:szCs w:val="28"/>
          <w:lang w:val="en-GB"/>
        </w:rPr>
        <w:tab/>
      </w:r>
      <w:r w:rsidR="00B30B92" w:rsidRPr="00C5768F">
        <w:rPr>
          <w:rFonts w:ascii="Times New Roman" w:hAnsi="Times New Roman" w:cs="Times New Roman"/>
          <w:sz w:val="28"/>
          <w:szCs w:val="28"/>
          <w:lang w:val="en-GB"/>
        </w:rPr>
        <w:t>The applicant must show that he has a bona fide defence to plaintiffs claim. lt is sufficient if he makes out a prima facie defence in the sense of setting out averments which, if established at the trial, would entitle him to the relief asked for. He need not deal fully with the merits of the case and produce evidence that the probabilities are actually in his favour.</w:t>
      </w:r>
    </w:p>
    <w:p w:rsidR="00FD27E4" w:rsidRPr="00FD27E4" w:rsidRDefault="00FD27E4" w:rsidP="00FD27E4">
      <w:pPr>
        <w:spacing w:line="480" w:lineRule="auto"/>
        <w:jc w:val="both"/>
        <w:rPr>
          <w:rFonts w:ascii="Times New Roman" w:hAnsi="Times New Roman" w:cs="Times New Roman"/>
          <w:sz w:val="28"/>
          <w:szCs w:val="28"/>
          <w:lang w:val="en-GB"/>
        </w:rPr>
      </w:pPr>
    </w:p>
    <w:p w:rsidR="00B30B92"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[9]</w:t>
      </w:r>
      <w:r>
        <w:rPr>
          <w:rFonts w:ascii="Times New Roman" w:hAnsi="Times New Roman" w:cs="Times New Roman"/>
          <w:sz w:val="28"/>
          <w:szCs w:val="28"/>
          <w:lang w:val="en-GB"/>
        </w:rPr>
        <w:tab/>
        <w:t xml:space="preserve"> </w:t>
      </w:r>
      <w:r w:rsidR="00B30B92" w:rsidRPr="00387A6C">
        <w:rPr>
          <w:rFonts w:ascii="Times New Roman" w:hAnsi="Times New Roman" w:cs="Times New Roman"/>
          <w:sz w:val="28"/>
          <w:szCs w:val="28"/>
          <w:lang w:val="en-GB"/>
        </w:rPr>
        <w:t>While wilful default on the part of the applicant is not a substantive or compulsory ground for refusal of an application for rescission, the reasons for the applicant’s default remain an essential ingredient of the good cause to be shown.</w:t>
      </w:r>
    </w:p>
    <w:p w:rsidR="00FD27E4" w:rsidRPr="00387A6C" w:rsidRDefault="00FD27E4" w:rsidP="0022589E">
      <w:pPr>
        <w:spacing w:line="480" w:lineRule="auto"/>
        <w:ind w:left="720" w:hanging="720"/>
        <w:jc w:val="both"/>
        <w:rPr>
          <w:rFonts w:ascii="Times New Roman" w:hAnsi="Times New Roman" w:cs="Times New Roman"/>
          <w:sz w:val="28"/>
          <w:szCs w:val="28"/>
          <w:lang w:val="en-GB"/>
        </w:rPr>
      </w:pPr>
    </w:p>
    <w:p w:rsidR="00B30B92" w:rsidRPr="00387A6C" w:rsidRDefault="0022589E" w:rsidP="0022589E">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[10]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A defendant is said to be in wilful default where he or she:</w:t>
      </w:r>
    </w:p>
    <w:p w:rsidR="00B30B92" w:rsidRPr="00C5768F" w:rsidRDefault="00C5768F" w:rsidP="00C5768F">
      <w:pPr>
        <w:spacing w:line="480" w:lineRule="auto"/>
        <w:ind w:left="1930" w:hanging="490"/>
        <w:jc w:val="both"/>
        <w:rPr>
          <w:rFonts w:ascii="Times New Roman" w:hAnsi="Times New Roman" w:cs="Times New Roman"/>
          <w:sz w:val="28"/>
          <w:szCs w:val="28"/>
          <w:lang w:val="en-GB"/>
        </w:rPr>
      </w:pPr>
      <w:r w:rsidRPr="0022589E">
        <w:rPr>
          <w:rFonts w:ascii="Times New Roman" w:hAnsi="Times New Roman" w:cs="Times New Roman"/>
          <w:sz w:val="28"/>
          <w:szCs w:val="28"/>
          <w:lang w:val="en-GB"/>
        </w:rPr>
        <w:t>10.1</w:t>
      </w:r>
      <w:r w:rsidRPr="0022589E">
        <w:rPr>
          <w:rFonts w:ascii="Times New Roman" w:hAnsi="Times New Roman" w:cs="Times New Roman"/>
          <w:sz w:val="28"/>
          <w:szCs w:val="28"/>
          <w:lang w:val="en-GB"/>
        </w:rPr>
        <w:tab/>
      </w:r>
      <w:r w:rsidR="00B30B92" w:rsidRPr="00C5768F">
        <w:rPr>
          <w:rFonts w:ascii="Times New Roman" w:hAnsi="Times New Roman" w:cs="Times New Roman"/>
          <w:sz w:val="28"/>
          <w:szCs w:val="28"/>
          <w:lang w:val="en-GB"/>
        </w:rPr>
        <w:t xml:space="preserve">Has knowledge that the action is being brought against him or her; and; </w:t>
      </w:r>
    </w:p>
    <w:p w:rsidR="00B30B92" w:rsidRPr="00C5768F" w:rsidRDefault="00C5768F" w:rsidP="00C5768F">
      <w:pPr>
        <w:spacing w:line="480" w:lineRule="auto"/>
        <w:ind w:left="1930" w:hanging="490"/>
        <w:jc w:val="both"/>
        <w:rPr>
          <w:rFonts w:ascii="Times New Roman" w:hAnsi="Times New Roman" w:cs="Times New Roman"/>
          <w:sz w:val="28"/>
          <w:szCs w:val="28"/>
          <w:lang w:val="en-GB"/>
        </w:rPr>
      </w:pPr>
      <w:r w:rsidRPr="0022589E">
        <w:rPr>
          <w:rFonts w:ascii="Times New Roman" w:hAnsi="Times New Roman" w:cs="Times New Roman"/>
          <w:sz w:val="28"/>
          <w:szCs w:val="28"/>
          <w:lang w:val="en-GB"/>
        </w:rPr>
        <w:t>10.2</w:t>
      </w:r>
      <w:r w:rsidRPr="0022589E">
        <w:rPr>
          <w:rFonts w:ascii="Times New Roman" w:hAnsi="Times New Roman" w:cs="Times New Roman"/>
          <w:sz w:val="28"/>
          <w:szCs w:val="28"/>
          <w:lang w:val="en-GB"/>
        </w:rPr>
        <w:tab/>
      </w:r>
      <w:r w:rsidR="00B30B92" w:rsidRPr="00C5768F">
        <w:rPr>
          <w:rFonts w:ascii="Times New Roman" w:hAnsi="Times New Roman" w:cs="Times New Roman"/>
          <w:sz w:val="28"/>
          <w:szCs w:val="28"/>
          <w:lang w:val="en-GB"/>
        </w:rPr>
        <w:t xml:space="preserve">Deliberately refrains from entering an appearance to defend, though free to do so; and </w:t>
      </w:r>
    </w:p>
    <w:p w:rsidR="00B30B92" w:rsidRPr="00387A6C" w:rsidRDefault="00C5768F" w:rsidP="00C5768F">
      <w:pPr>
        <w:spacing w:line="480" w:lineRule="auto"/>
        <w:ind w:left="1930" w:hanging="490"/>
        <w:jc w:val="both"/>
        <w:rPr>
          <w:rFonts w:ascii="Times New Roman" w:hAnsi="Times New Roman" w:cs="Times New Roman"/>
          <w:b/>
          <w:sz w:val="28"/>
          <w:szCs w:val="28"/>
          <w:lang w:val="en-GB"/>
        </w:rPr>
      </w:pPr>
      <w:r w:rsidRPr="00387A6C">
        <w:rPr>
          <w:rFonts w:ascii="Times New Roman" w:hAnsi="Times New Roman" w:cs="Times New Roman"/>
          <w:sz w:val="28"/>
          <w:szCs w:val="28"/>
          <w:lang w:val="en-GB"/>
        </w:rPr>
        <w:t>10.3</w:t>
      </w:r>
      <w:r w:rsidRPr="00387A6C">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Has a certain mental attitude to the consequences of default.</w:t>
      </w:r>
      <w:r w:rsidR="00B30B92" w:rsidRPr="00387A6C">
        <w:rPr>
          <w:rFonts w:ascii="Times New Roman" w:hAnsi="Times New Roman" w:cs="Times New Roman"/>
          <w:sz w:val="28"/>
          <w:szCs w:val="28"/>
          <w:vertAlign w:val="superscript"/>
          <w:lang w:val="en-GB"/>
        </w:rPr>
        <w:footnoteReference w:id="3"/>
      </w:r>
      <w:r w:rsidR="00B30B92" w:rsidRPr="00387A6C">
        <w:rPr>
          <w:rFonts w:ascii="Times New Roman" w:hAnsi="Times New Roman" w:cs="Times New Roman"/>
          <w:b/>
          <w:sz w:val="28"/>
          <w:szCs w:val="28"/>
          <w:lang w:val="en-GB"/>
        </w:rPr>
        <w:t xml:space="preserve"> </w:t>
      </w:r>
    </w:p>
    <w:p w:rsidR="00B30B92" w:rsidRPr="00387A6C" w:rsidRDefault="00B30B92" w:rsidP="00B30B92">
      <w:pPr>
        <w:spacing w:line="480" w:lineRule="auto"/>
        <w:jc w:val="both"/>
        <w:rPr>
          <w:rFonts w:ascii="Times New Roman" w:hAnsi="Times New Roman" w:cs="Times New Roman"/>
          <w:sz w:val="28"/>
          <w:szCs w:val="28"/>
          <w:lang w:val="en-GB"/>
        </w:rPr>
      </w:pPr>
    </w:p>
    <w:p w:rsidR="00B30B92" w:rsidRPr="00387A6C" w:rsidRDefault="00C5768F" w:rsidP="00C5768F">
      <w:pPr>
        <w:spacing w:line="480" w:lineRule="auto"/>
        <w:ind w:left="720" w:hanging="360"/>
        <w:jc w:val="both"/>
        <w:rPr>
          <w:rFonts w:ascii="Times New Roman" w:hAnsi="Times New Roman" w:cs="Times New Roman"/>
          <w:b/>
          <w:sz w:val="28"/>
          <w:szCs w:val="28"/>
          <w:lang w:val="en-GB"/>
        </w:rPr>
      </w:pPr>
      <w:r w:rsidRPr="00387A6C">
        <w:rPr>
          <w:rFonts w:ascii="Times New Roman" w:hAnsi="Times New Roman" w:cs="Times New Roman"/>
          <w:b/>
          <w:sz w:val="28"/>
          <w:szCs w:val="28"/>
          <w:lang w:val="en-GB"/>
        </w:rPr>
        <w:t>D.</w:t>
      </w:r>
      <w:r w:rsidRPr="00387A6C">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ANALYSIS</w:t>
      </w:r>
    </w:p>
    <w:p w:rsidR="0022589E"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[11]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First Applicant was served personally with the Rule 46A application. That much is clear from the Sheriff’s return of service at the very property that is subject of the Rule 46A application. The First Applicant is disingenuous by not divulging this crucial fact to the Court. He was clearly aware of the Court date and was thus in wilful default.</w:t>
      </w:r>
    </w:p>
    <w:p w:rsidR="0022589E"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[12]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First Applicant, and by extension Second Applicant, his alter ego sought to sow confusion regarding their chosen addresses, there is no plausible reason given for their failure to defend the matter.</w:t>
      </w:r>
    </w:p>
    <w:p w:rsidR="00B30B92" w:rsidRPr="00387A6C"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[13]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First Applicant seems to have adopted an attitude of indifference to the consequences of his failure to act. The only reasonable inference here, is that the Applicants issued this application for rescission to cause delay and frustration, and in doing so they are merely buying time to somehow find a solution for the situation they are in.</w:t>
      </w:r>
    </w:p>
    <w:p w:rsidR="00B30B92"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[14]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Having regard to the fact that the First Applicant is conducting the matter in person, the Court has </w:t>
      </w:r>
      <w:r w:rsidR="00B30B92" w:rsidRPr="00387A6C">
        <w:rPr>
          <w:rFonts w:ascii="Times New Roman" w:hAnsi="Times New Roman" w:cs="Times New Roman"/>
          <w:i/>
          <w:sz w:val="28"/>
          <w:szCs w:val="28"/>
          <w:lang w:val="en-GB"/>
        </w:rPr>
        <w:t>mero motu</w:t>
      </w:r>
      <w:r w:rsidR="00B30B92" w:rsidRPr="00387A6C">
        <w:rPr>
          <w:rFonts w:ascii="Times New Roman" w:hAnsi="Times New Roman" w:cs="Times New Roman"/>
          <w:sz w:val="28"/>
          <w:szCs w:val="28"/>
          <w:lang w:val="en-GB"/>
        </w:rPr>
        <w:t xml:space="preserve"> taken into account the other provisions governing rescission applications; namely Rule 42(1) and the common law. Respondent’s Counsel has also helpfully made submissions in that respect.</w:t>
      </w:r>
    </w:p>
    <w:p w:rsidR="0022589E" w:rsidRDefault="0022589E" w:rsidP="0022589E">
      <w:pPr>
        <w:spacing w:line="480" w:lineRule="auto"/>
        <w:ind w:left="720" w:hanging="720"/>
        <w:jc w:val="both"/>
        <w:rPr>
          <w:rFonts w:ascii="Times New Roman" w:hAnsi="Times New Roman" w:cs="Times New Roman"/>
          <w:sz w:val="28"/>
          <w:szCs w:val="28"/>
          <w:lang w:val="en-GB"/>
        </w:rPr>
      </w:pPr>
    </w:p>
    <w:p w:rsidR="0022589E" w:rsidRPr="00387A6C" w:rsidRDefault="0022589E" w:rsidP="0022589E">
      <w:pPr>
        <w:spacing w:line="480" w:lineRule="auto"/>
        <w:ind w:left="720" w:hanging="720"/>
        <w:jc w:val="both"/>
        <w:rPr>
          <w:rFonts w:ascii="Times New Roman" w:hAnsi="Times New Roman" w:cs="Times New Roman"/>
          <w:sz w:val="28"/>
          <w:szCs w:val="28"/>
          <w:lang w:val="en-GB"/>
        </w:rPr>
      </w:pPr>
    </w:p>
    <w:p w:rsidR="00B30B92" w:rsidRPr="00387A6C" w:rsidRDefault="00C5768F" w:rsidP="00C5768F">
      <w:pPr>
        <w:spacing w:line="480" w:lineRule="auto"/>
        <w:ind w:left="720" w:hanging="360"/>
        <w:jc w:val="both"/>
        <w:rPr>
          <w:rFonts w:ascii="Times New Roman" w:hAnsi="Times New Roman" w:cs="Times New Roman"/>
          <w:sz w:val="28"/>
          <w:szCs w:val="28"/>
          <w:lang w:val="en-GB"/>
        </w:rPr>
      </w:pPr>
      <w:r w:rsidRPr="00387A6C">
        <w:rPr>
          <w:rFonts w:ascii="Times New Roman" w:hAnsi="Times New Roman" w:cs="Times New Roman"/>
          <w:b/>
          <w:sz w:val="28"/>
          <w:szCs w:val="28"/>
          <w:lang w:val="en-GB"/>
        </w:rPr>
        <w:t>E.</w:t>
      </w:r>
      <w:r w:rsidRPr="00387A6C">
        <w:rPr>
          <w:rFonts w:ascii="Times New Roman" w:hAnsi="Times New Roman" w:cs="Times New Roman"/>
          <w:b/>
          <w:sz w:val="28"/>
          <w:szCs w:val="28"/>
          <w:lang w:val="en-GB"/>
        </w:rPr>
        <w:tab/>
      </w:r>
      <w:r w:rsidR="00B30B92" w:rsidRPr="00387A6C">
        <w:rPr>
          <w:rFonts w:ascii="Times New Roman" w:hAnsi="Times New Roman" w:cs="Times New Roman"/>
          <w:b/>
          <w:bCs/>
          <w:sz w:val="28"/>
          <w:szCs w:val="28"/>
          <w:lang w:val="en-GB"/>
        </w:rPr>
        <w:t>THE PROVISIONS OF RULE 42 (1)</w:t>
      </w:r>
    </w:p>
    <w:p w:rsidR="00B30B92" w:rsidRPr="00387A6C"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[15]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Rule 42 (1) provides for three distinct rescission or variation procedures, the first refers to instances in which </w:t>
      </w:r>
      <w:r w:rsidR="00B30B92" w:rsidRPr="00387A6C">
        <w:rPr>
          <w:rFonts w:ascii="Times New Roman" w:hAnsi="Times New Roman" w:cs="Times New Roman"/>
          <w:sz w:val="28"/>
          <w:szCs w:val="28"/>
          <w:u w:val="single"/>
          <w:lang w:val="en-GB"/>
        </w:rPr>
        <w:t>a judgment was erroneously sought or erroneously granted in the absence of any party affected thereby</w:t>
      </w:r>
      <w:r w:rsidR="00B30B92" w:rsidRPr="00387A6C">
        <w:rPr>
          <w:rFonts w:ascii="Times New Roman" w:hAnsi="Times New Roman" w:cs="Times New Roman"/>
          <w:sz w:val="28"/>
          <w:szCs w:val="28"/>
          <w:lang w:val="en-GB"/>
        </w:rPr>
        <w:t xml:space="preserve"> (my own emphasis). For example, a judgment will have been erroneously granted if there existed at the time of its issue a fact of which the court was unaware, which fact would have dissuaded the court from granting the judgment. The second aspect is where the judgment was sought or granted in the absence of the party who is affected thereby.</w:t>
      </w:r>
    </w:p>
    <w:p w:rsidR="00B30B92" w:rsidRPr="00387A6C" w:rsidRDefault="0022589E" w:rsidP="0022589E">
      <w:pPr>
        <w:spacing w:line="480" w:lineRule="auto"/>
        <w:ind w:left="720" w:hanging="720"/>
        <w:jc w:val="both"/>
        <w:rPr>
          <w:rFonts w:ascii="Times New Roman" w:hAnsi="Times New Roman" w:cs="Times New Roman"/>
          <w:b/>
          <w:bCs/>
          <w:sz w:val="28"/>
          <w:szCs w:val="28"/>
          <w:lang w:val="en-GB"/>
        </w:rPr>
      </w:pPr>
      <w:r>
        <w:rPr>
          <w:rFonts w:ascii="Times New Roman" w:hAnsi="Times New Roman" w:cs="Times New Roman"/>
          <w:sz w:val="28"/>
          <w:szCs w:val="28"/>
          <w:lang w:val="en-GB"/>
        </w:rPr>
        <w:t xml:space="preserve">[16]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Again, in this instance, having regards to the facts traversed above, Applicants did not make any compelling case to show that the judgment or order was erroneously sough or granted. </w:t>
      </w:r>
    </w:p>
    <w:p w:rsidR="00B30B92" w:rsidRPr="00387A6C" w:rsidRDefault="00B30B92" w:rsidP="00B30B92">
      <w:pPr>
        <w:spacing w:line="480" w:lineRule="auto"/>
        <w:jc w:val="both"/>
        <w:rPr>
          <w:rFonts w:ascii="Times New Roman" w:hAnsi="Times New Roman" w:cs="Times New Roman"/>
          <w:b/>
          <w:bCs/>
          <w:sz w:val="28"/>
          <w:szCs w:val="28"/>
          <w:lang w:val="en-GB"/>
        </w:rPr>
      </w:pPr>
    </w:p>
    <w:p w:rsidR="00B30B92" w:rsidRPr="00387A6C" w:rsidRDefault="00C5768F" w:rsidP="00C5768F">
      <w:pPr>
        <w:spacing w:line="480" w:lineRule="auto"/>
        <w:ind w:left="720" w:hanging="360"/>
        <w:jc w:val="both"/>
        <w:rPr>
          <w:rFonts w:ascii="Times New Roman" w:hAnsi="Times New Roman" w:cs="Times New Roman"/>
          <w:b/>
          <w:bCs/>
          <w:sz w:val="28"/>
          <w:szCs w:val="28"/>
          <w:lang w:val="en-GB"/>
        </w:rPr>
      </w:pPr>
      <w:r w:rsidRPr="00387A6C">
        <w:rPr>
          <w:rFonts w:ascii="Times New Roman" w:hAnsi="Times New Roman" w:cs="Times New Roman"/>
          <w:b/>
          <w:bCs/>
          <w:sz w:val="28"/>
          <w:szCs w:val="28"/>
          <w:lang w:val="en-GB"/>
        </w:rPr>
        <w:t>F.</w:t>
      </w:r>
      <w:r w:rsidRPr="00387A6C">
        <w:rPr>
          <w:rFonts w:ascii="Times New Roman" w:hAnsi="Times New Roman" w:cs="Times New Roman"/>
          <w:b/>
          <w:bCs/>
          <w:sz w:val="28"/>
          <w:szCs w:val="28"/>
          <w:lang w:val="en-GB"/>
        </w:rPr>
        <w:tab/>
      </w:r>
      <w:r w:rsidR="00B30B92" w:rsidRPr="00387A6C">
        <w:rPr>
          <w:rFonts w:ascii="Times New Roman" w:hAnsi="Times New Roman" w:cs="Times New Roman"/>
          <w:b/>
          <w:sz w:val="28"/>
          <w:szCs w:val="28"/>
          <w:lang w:val="en-GB"/>
        </w:rPr>
        <w:t>RESCISSION UNDER COMMON LAW</w:t>
      </w:r>
    </w:p>
    <w:p w:rsidR="00B30B92" w:rsidRPr="00387A6C" w:rsidRDefault="0022589E" w:rsidP="0022589E">
      <w:pPr>
        <w:spacing w:line="48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t xml:space="preserve">[17] </w:t>
      </w:r>
      <w:r>
        <w:rPr>
          <w:rFonts w:ascii="Times New Roman" w:hAnsi="Times New Roman" w:cs="Times New Roman"/>
          <w:bCs/>
          <w:sz w:val="28"/>
          <w:szCs w:val="28"/>
          <w:lang w:val="en-GB"/>
        </w:rPr>
        <w:tab/>
      </w:r>
      <w:r w:rsidR="00B30B92" w:rsidRPr="00387A6C">
        <w:rPr>
          <w:rFonts w:ascii="Times New Roman" w:hAnsi="Times New Roman" w:cs="Times New Roman"/>
          <w:bCs/>
          <w:sz w:val="28"/>
          <w:szCs w:val="28"/>
          <w:lang w:val="en-GB"/>
        </w:rPr>
        <w:t>First, the applicant must furnish a reasonable and satisfactory explanation for its default. Second, it must show that it has a bona fide defence which prima facie carries some prospect of success on the merits.</w:t>
      </w:r>
      <w:r w:rsidR="00B30B92" w:rsidRPr="00387A6C">
        <w:rPr>
          <w:rFonts w:ascii="Times New Roman" w:hAnsi="Times New Roman" w:cs="Times New Roman"/>
          <w:bCs/>
          <w:sz w:val="28"/>
          <w:szCs w:val="28"/>
          <w:vertAlign w:val="superscript"/>
          <w:lang w:val="en-GB"/>
        </w:rPr>
        <w:footnoteReference w:id="4"/>
      </w:r>
    </w:p>
    <w:p w:rsidR="00B30B92" w:rsidRPr="00387A6C" w:rsidRDefault="0022589E" w:rsidP="0022589E">
      <w:pPr>
        <w:spacing w:line="480" w:lineRule="auto"/>
        <w:ind w:left="720" w:hanging="720"/>
        <w:jc w:val="both"/>
        <w:rPr>
          <w:rFonts w:ascii="Times New Roman" w:hAnsi="Times New Roman" w:cs="Times New Roman"/>
          <w:bCs/>
          <w:sz w:val="28"/>
          <w:szCs w:val="28"/>
          <w:lang w:val="en-GB"/>
        </w:rPr>
      </w:pPr>
      <w:r>
        <w:rPr>
          <w:rFonts w:ascii="Times New Roman" w:hAnsi="Times New Roman" w:cs="Times New Roman"/>
          <w:bCs/>
          <w:sz w:val="28"/>
          <w:szCs w:val="28"/>
          <w:lang w:val="en-GB"/>
        </w:rPr>
        <w:lastRenderedPageBreak/>
        <w:t xml:space="preserve">[18] </w:t>
      </w:r>
      <w:r>
        <w:rPr>
          <w:rFonts w:ascii="Times New Roman" w:hAnsi="Times New Roman" w:cs="Times New Roman"/>
          <w:bCs/>
          <w:sz w:val="28"/>
          <w:szCs w:val="28"/>
          <w:lang w:val="en-GB"/>
        </w:rPr>
        <w:tab/>
      </w:r>
      <w:r w:rsidR="00B30B92" w:rsidRPr="00387A6C">
        <w:rPr>
          <w:rFonts w:ascii="Times New Roman" w:hAnsi="Times New Roman" w:cs="Times New Roman"/>
          <w:bCs/>
          <w:sz w:val="28"/>
          <w:szCs w:val="28"/>
          <w:lang w:val="en-GB"/>
        </w:rPr>
        <w:t>The Applicants’ efforts fall far short of the threshold required to prove that there is “sufficient” or “good cause” to warrant rescission.</w:t>
      </w:r>
      <w:r w:rsidR="00B30B92" w:rsidRPr="00387A6C">
        <w:rPr>
          <w:rFonts w:ascii="Times New Roman" w:hAnsi="Times New Roman" w:cs="Times New Roman"/>
          <w:bCs/>
          <w:sz w:val="28"/>
          <w:szCs w:val="28"/>
          <w:vertAlign w:val="superscript"/>
          <w:lang w:val="en-GB"/>
        </w:rPr>
        <w:footnoteReference w:id="5"/>
      </w:r>
    </w:p>
    <w:p w:rsidR="00B30B92" w:rsidRPr="00387A6C" w:rsidRDefault="00C5768F" w:rsidP="00C5768F">
      <w:pPr>
        <w:spacing w:line="480" w:lineRule="auto"/>
        <w:ind w:left="720" w:hanging="360"/>
        <w:jc w:val="both"/>
        <w:rPr>
          <w:rFonts w:ascii="Times New Roman" w:hAnsi="Times New Roman" w:cs="Times New Roman"/>
          <w:b/>
          <w:bCs/>
          <w:sz w:val="28"/>
          <w:szCs w:val="28"/>
          <w:lang w:val="en-GB"/>
        </w:rPr>
      </w:pPr>
      <w:r w:rsidRPr="00387A6C">
        <w:rPr>
          <w:rFonts w:ascii="Times New Roman" w:hAnsi="Times New Roman" w:cs="Times New Roman"/>
          <w:b/>
          <w:bCs/>
          <w:sz w:val="28"/>
          <w:szCs w:val="28"/>
          <w:lang w:val="en-GB"/>
        </w:rPr>
        <w:t>G.</w:t>
      </w:r>
      <w:r w:rsidRPr="00387A6C">
        <w:rPr>
          <w:rFonts w:ascii="Times New Roman" w:hAnsi="Times New Roman" w:cs="Times New Roman"/>
          <w:b/>
          <w:bCs/>
          <w:sz w:val="28"/>
          <w:szCs w:val="28"/>
          <w:lang w:val="en-GB"/>
        </w:rPr>
        <w:tab/>
      </w:r>
      <w:r w:rsidR="00B30B92" w:rsidRPr="00387A6C">
        <w:rPr>
          <w:rFonts w:ascii="Times New Roman" w:hAnsi="Times New Roman" w:cs="Times New Roman"/>
          <w:b/>
          <w:bCs/>
          <w:sz w:val="28"/>
          <w:szCs w:val="28"/>
          <w:lang w:val="en-GB"/>
        </w:rPr>
        <w:t>COSTS</w:t>
      </w:r>
    </w:p>
    <w:p w:rsidR="00B30B92" w:rsidRPr="00387A6C" w:rsidRDefault="0022589E" w:rsidP="0022589E">
      <w:pPr>
        <w:spacing w:line="480" w:lineRule="auto"/>
        <w:ind w:left="720" w:hanging="720"/>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[19]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 xml:space="preserve">Respondent’s Counsel made compelling submissions for costs to be awarded against the Applicant on a punitive basis. I have taken a considered view to defer to the </w:t>
      </w:r>
      <w:r w:rsidR="00B30B92" w:rsidRPr="00387A6C">
        <w:rPr>
          <w:rFonts w:ascii="Times New Roman" w:hAnsi="Times New Roman" w:cs="Times New Roman"/>
          <w:i/>
          <w:sz w:val="28"/>
          <w:szCs w:val="28"/>
          <w:lang w:val="en-GB"/>
        </w:rPr>
        <w:t xml:space="preserve">Biowatch </w:t>
      </w:r>
      <w:r w:rsidR="00B30B92" w:rsidRPr="00387A6C">
        <w:rPr>
          <w:rFonts w:ascii="Times New Roman" w:hAnsi="Times New Roman" w:cs="Times New Roman"/>
          <w:sz w:val="28"/>
          <w:szCs w:val="28"/>
          <w:lang w:val="en-GB"/>
        </w:rPr>
        <w:t xml:space="preserve">principle and award at an ordinary scale. </w:t>
      </w:r>
    </w:p>
    <w:p w:rsidR="00B30B92" w:rsidRPr="00387A6C" w:rsidRDefault="00B30B92" w:rsidP="00B30B92">
      <w:pPr>
        <w:spacing w:line="480" w:lineRule="auto"/>
        <w:jc w:val="both"/>
        <w:rPr>
          <w:rFonts w:ascii="Times New Roman" w:hAnsi="Times New Roman" w:cs="Times New Roman"/>
          <w:sz w:val="28"/>
          <w:szCs w:val="28"/>
          <w:lang w:val="en-GB"/>
        </w:rPr>
      </w:pPr>
    </w:p>
    <w:p w:rsidR="00B30B92" w:rsidRPr="00387A6C" w:rsidRDefault="00C5768F" w:rsidP="00C5768F">
      <w:pPr>
        <w:spacing w:line="480" w:lineRule="auto"/>
        <w:ind w:left="720" w:hanging="360"/>
        <w:jc w:val="both"/>
        <w:rPr>
          <w:rFonts w:ascii="Times New Roman" w:hAnsi="Times New Roman" w:cs="Times New Roman"/>
          <w:b/>
          <w:sz w:val="28"/>
          <w:szCs w:val="28"/>
          <w:lang w:val="en-GB"/>
        </w:rPr>
      </w:pPr>
      <w:r w:rsidRPr="00387A6C">
        <w:rPr>
          <w:rFonts w:ascii="Times New Roman" w:hAnsi="Times New Roman" w:cs="Times New Roman"/>
          <w:b/>
          <w:sz w:val="28"/>
          <w:szCs w:val="28"/>
          <w:lang w:val="en-GB"/>
        </w:rPr>
        <w:t>H.</w:t>
      </w:r>
      <w:r w:rsidRPr="00387A6C">
        <w:rPr>
          <w:rFonts w:ascii="Times New Roman" w:hAnsi="Times New Roman" w:cs="Times New Roman"/>
          <w:b/>
          <w:sz w:val="28"/>
          <w:szCs w:val="28"/>
          <w:lang w:val="en-GB"/>
        </w:rPr>
        <w:tab/>
      </w:r>
      <w:r w:rsidR="00B30B92" w:rsidRPr="00387A6C">
        <w:rPr>
          <w:rFonts w:ascii="Times New Roman" w:hAnsi="Times New Roman" w:cs="Times New Roman"/>
          <w:b/>
          <w:sz w:val="28"/>
          <w:szCs w:val="28"/>
          <w:lang w:val="en-GB"/>
        </w:rPr>
        <w:t xml:space="preserve"> ORDER</w:t>
      </w:r>
    </w:p>
    <w:p w:rsidR="00B30B92" w:rsidRPr="00387A6C" w:rsidRDefault="0022589E" w:rsidP="0022589E">
      <w:pPr>
        <w:spacing w:line="48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[20] </w:t>
      </w:r>
      <w:r>
        <w:rPr>
          <w:rFonts w:ascii="Times New Roman" w:hAnsi="Times New Roman" w:cs="Times New Roman"/>
          <w:sz w:val="28"/>
          <w:szCs w:val="28"/>
          <w:lang w:val="en-GB"/>
        </w:rPr>
        <w:tab/>
      </w:r>
      <w:r w:rsidR="00B30B92" w:rsidRPr="00387A6C">
        <w:rPr>
          <w:rFonts w:ascii="Times New Roman" w:hAnsi="Times New Roman" w:cs="Times New Roman"/>
          <w:sz w:val="28"/>
          <w:szCs w:val="28"/>
          <w:lang w:val="en-GB"/>
        </w:rPr>
        <w:t>In the circumstances the following order is made.</w:t>
      </w:r>
    </w:p>
    <w:p w:rsidR="00B30B92" w:rsidRPr="00387A6C" w:rsidRDefault="00B30B92" w:rsidP="0022589E">
      <w:pPr>
        <w:spacing w:line="480" w:lineRule="auto"/>
        <w:ind w:firstLine="720"/>
        <w:jc w:val="both"/>
        <w:rPr>
          <w:rFonts w:ascii="Times New Roman" w:hAnsi="Times New Roman" w:cs="Times New Roman"/>
          <w:sz w:val="28"/>
          <w:szCs w:val="28"/>
          <w:lang w:val="en-GB"/>
        </w:rPr>
      </w:pPr>
      <w:r w:rsidRPr="00387A6C">
        <w:rPr>
          <w:rFonts w:ascii="Times New Roman" w:hAnsi="Times New Roman" w:cs="Times New Roman"/>
          <w:sz w:val="28"/>
          <w:szCs w:val="28"/>
          <w:lang w:val="en-GB"/>
        </w:rPr>
        <w:t>The Applicants’ application for rescission is dismissed with costs.</w:t>
      </w:r>
    </w:p>
    <w:p w:rsidR="00B30B92" w:rsidRPr="00387A6C" w:rsidRDefault="00B30B92" w:rsidP="00B30B92">
      <w:pPr>
        <w:jc w:val="both"/>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22589E">
      <w:pPr>
        <w:ind w:left="5040" w:firstLine="720"/>
        <w:rPr>
          <w:rFonts w:ascii="Times New Roman" w:hAnsi="Times New Roman" w:cs="Times New Roman"/>
          <w:sz w:val="28"/>
          <w:szCs w:val="28"/>
          <w:lang w:val="en-GB"/>
        </w:rPr>
      </w:pPr>
      <w:r w:rsidRPr="00387A6C">
        <w:rPr>
          <w:rFonts w:ascii="Times New Roman" w:hAnsi="Times New Roman" w:cs="Times New Roman"/>
          <w:sz w:val="28"/>
          <w:szCs w:val="28"/>
          <w:lang w:val="en-GB"/>
        </w:rPr>
        <w:t>_____________________</w:t>
      </w:r>
    </w:p>
    <w:p w:rsidR="00B30B92" w:rsidRPr="00FD27E4" w:rsidRDefault="00B30B92" w:rsidP="00B30B92">
      <w:pPr>
        <w:rPr>
          <w:rFonts w:ascii="Times New Roman" w:hAnsi="Times New Roman" w:cs="Times New Roman"/>
          <w:b/>
          <w:sz w:val="28"/>
          <w:szCs w:val="28"/>
          <w:lang w:val="en-GB"/>
        </w:rPr>
      </w:pPr>
      <w:r w:rsidRPr="00387A6C">
        <w:rPr>
          <w:rFonts w:ascii="Times New Roman" w:hAnsi="Times New Roman" w:cs="Times New Roman"/>
          <w:sz w:val="28"/>
          <w:szCs w:val="28"/>
          <w:lang w:val="en-GB"/>
        </w:rPr>
        <w:t xml:space="preserve"> </w:t>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0022589E">
        <w:rPr>
          <w:rFonts w:ascii="Times New Roman" w:hAnsi="Times New Roman" w:cs="Times New Roman"/>
          <w:sz w:val="28"/>
          <w:szCs w:val="28"/>
          <w:lang w:val="en-GB"/>
        </w:rPr>
        <w:tab/>
      </w:r>
      <w:r w:rsidRPr="00387A6C">
        <w:rPr>
          <w:rFonts w:ascii="Times New Roman" w:hAnsi="Times New Roman" w:cs="Times New Roman"/>
          <w:sz w:val="28"/>
          <w:szCs w:val="28"/>
          <w:lang w:val="en-GB"/>
        </w:rPr>
        <w:t xml:space="preserve">     </w:t>
      </w:r>
      <w:r w:rsidR="0022589E">
        <w:rPr>
          <w:rFonts w:ascii="Times New Roman" w:hAnsi="Times New Roman" w:cs="Times New Roman"/>
          <w:sz w:val="28"/>
          <w:szCs w:val="28"/>
          <w:lang w:val="en-GB"/>
        </w:rPr>
        <w:tab/>
      </w:r>
      <w:r w:rsidRPr="00387A6C">
        <w:rPr>
          <w:rFonts w:ascii="Times New Roman" w:hAnsi="Times New Roman" w:cs="Times New Roman"/>
          <w:sz w:val="28"/>
          <w:szCs w:val="28"/>
          <w:lang w:val="en-GB"/>
        </w:rPr>
        <w:t xml:space="preserve"> </w:t>
      </w:r>
      <w:r w:rsidRPr="00FD27E4">
        <w:rPr>
          <w:rFonts w:ascii="Times New Roman" w:hAnsi="Times New Roman" w:cs="Times New Roman"/>
          <w:b/>
          <w:sz w:val="28"/>
          <w:szCs w:val="28"/>
          <w:lang w:val="en-GB"/>
        </w:rPr>
        <w:t>J.S. NYATHI</w:t>
      </w:r>
    </w:p>
    <w:p w:rsidR="00B30B92" w:rsidRPr="00387A6C" w:rsidRDefault="00B30B92" w:rsidP="0022589E">
      <w:pPr>
        <w:ind w:left="5040" w:firstLine="720"/>
        <w:rPr>
          <w:rFonts w:ascii="Times New Roman" w:hAnsi="Times New Roman" w:cs="Times New Roman"/>
          <w:sz w:val="28"/>
          <w:szCs w:val="28"/>
          <w:lang w:val="en-GB"/>
        </w:rPr>
      </w:pPr>
      <w:r w:rsidRPr="00387A6C">
        <w:rPr>
          <w:rFonts w:ascii="Times New Roman" w:hAnsi="Times New Roman" w:cs="Times New Roman"/>
          <w:sz w:val="28"/>
          <w:szCs w:val="28"/>
          <w:lang w:val="en-GB"/>
        </w:rPr>
        <w:t>Judge of the High Court</w:t>
      </w:r>
    </w:p>
    <w:p w:rsidR="00B30B92" w:rsidRPr="00387A6C" w:rsidRDefault="00B30B92" w:rsidP="0022589E">
      <w:pPr>
        <w:ind w:left="5760"/>
        <w:rPr>
          <w:rFonts w:ascii="Times New Roman" w:hAnsi="Times New Roman" w:cs="Times New Roman"/>
          <w:sz w:val="28"/>
          <w:szCs w:val="28"/>
          <w:lang w:val="en-GB"/>
        </w:rPr>
      </w:pPr>
      <w:r w:rsidRPr="00387A6C">
        <w:rPr>
          <w:rFonts w:ascii="Times New Roman" w:hAnsi="Times New Roman" w:cs="Times New Roman"/>
          <w:sz w:val="28"/>
          <w:szCs w:val="28"/>
          <w:lang w:val="en-GB"/>
        </w:rPr>
        <w:t>Gauteng Division, Pretoria</w:t>
      </w: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22589E" w:rsidP="00B30B92">
      <w:pPr>
        <w:rPr>
          <w:rFonts w:ascii="Times New Roman" w:hAnsi="Times New Roman" w:cs="Times New Roman"/>
          <w:sz w:val="28"/>
          <w:szCs w:val="28"/>
          <w:lang w:val="en-GB"/>
        </w:rPr>
      </w:pPr>
      <w:r>
        <w:rPr>
          <w:rFonts w:ascii="Times New Roman" w:hAnsi="Times New Roman" w:cs="Times New Roman"/>
          <w:sz w:val="28"/>
          <w:szCs w:val="28"/>
          <w:lang w:val="en-GB"/>
        </w:rPr>
        <w:lastRenderedPageBreak/>
        <w:t>Date of hearing: 24 October 2022</w:t>
      </w:r>
    </w:p>
    <w:p w:rsidR="00B30B92" w:rsidRPr="00387A6C" w:rsidRDefault="0022589E" w:rsidP="00B30B92">
      <w:pPr>
        <w:rPr>
          <w:rFonts w:ascii="Times New Roman" w:hAnsi="Times New Roman" w:cs="Times New Roman"/>
          <w:sz w:val="28"/>
          <w:szCs w:val="28"/>
          <w:lang w:val="en-GB"/>
        </w:rPr>
      </w:pPr>
      <w:r>
        <w:rPr>
          <w:rFonts w:ascii="Times New Roman" w:hAnsi="Times New Roman" w:cs="Times New Roman"/>
          <w:sz w:val="28"/>
          <w:szCs w:val="28"/>
          <w:lang w:val="en-GB"/>
        </w:rPr>
        <w:t>Date of Judgment: 31</w:t>
      </w:r>
      <w:r w:rsidR="00B30B92" w:rsidRPr="00387A6C">
        <w:rPr>
          <w:rFonts w:ascii="Times New Roman" w:hAnsi="Times New Roman" w:cs="Times New Roman"/>
          <w:sz w:val="28"/>
          <w:szCs w:val="28"/>
          <w:lang w:val="en-GB"/>
        </w:rPr>
        <w:t xml:space="preserve"> October 2022</w:t>
      </w:r>
    </w:p>
    <w:p w:rsidR="00B30B92" w:rsidRPr="00387A6C" w:rsidRDefault="00B30B92" w:rsidP="00B30B92">
      <w:pPr>
        <w:rPr>
          <w:rFonts w:ascii="Times New Roman" w:hAnsi="Times New Roman" w:cs="Times New Roman"/>
          <w:sz w:val="28"/>
          <w:szCs w:val="28"/>
          <w:lang w:val="en-GB"/>
        </w:rPr>
      </w:pPr>
    </w:p>
    <w:p w:rsidR="00B30B92" w:rsidRDefault="00B30B92" w:rsidP="00B30B92">
      <w:pPr>
        <w:rPr>
          <w:rFonts w:ascii="Times New Roman" w:hAnsi="Times New Roman" w:cs="Times New Roman"/>
          <w:sz w:val="28"/>
          <w:szCs w:val="28"/>
          <w:lang w:val="en-GB"/>
        </w:rPr>
      </w:pPr>
    </w:p>
    <w:p w:rsidR="0022589E" w:rsidRPr="00387A6C" w:rsidRDefault="0022589E" w:rsidP="00B30B92">
      <w:pPr>
        <w:rPr>
          <w:rFonts w:ascii="Times New Roman" w:hAnsi="Times New Roman" w:cs="Times New Roman"/>
          <w:sz w:val="28"/>
          <w:szCs w:val="28"/>
          <w:lang w:val="en-GB"/>
        </w:rPr>
      </w:pPr>
      <w:r>
        <w:rPr>
          <w:rFonts w:ascii="Times New Roman" w:hAnsi="Times New Roman" w:cs="Times New Roman"/>
          <w:sz w:val="28"/>
          <w:szCs w:val="28"/>
          <w:lang w:val="en-GB"/>
        </w:rPr>
        <w:t>Appearances</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On behalf of the Appellant: Mr. A. Blignaut (in person)</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A BLIGNAUT </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SKY LAB TECHNOLOGY CC </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56 King Edward Road </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KENSINGTON</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EMAIL: </w:t>
      </w:r>
      <w:hyperlink r:id="rId8" w:history="1">
        <w:r w:rsidRPr="00387A6C">
          <w:rPr>
            <w:rStyle w:val="Hyperlink"/>
            <w:rFonts w:ascii="Times New Roman" w:hAnsi="Times New Roman" w:cs="Times New Roman"/>
            <w:sz w:val="28"/>
            <w:szCs w:val="28"/>
            <w:lang w:val="en-GB"/>
          </w:rPr>
          <w:t>blignautarthur17@gmail.com</w:t>
        </w:r>
      </w:hyperlink>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On behalf of the First Respondent: Adv. J. Minnaar </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Instructed by: </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HAMMOND POLE MAJOLA INC</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RESPONDENT'SATTORNEYS</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C/0 NVG ATTORNEYS</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Menlo Law Chambers</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No. 49, 11</w:t>
      </w:r>
      <w:r w:rsidRPr="00387A6C">
        <w:rPr>
          <w:rFonts w:ascii="Times New Roman" w:hAnsi="Times New Roman" w:cs="Times New Roman"/>
          <w:sz w:val="28"/>
          <w:szCs w:val="28"/>
          <w:vertAlign w:val="superscript"/>
        </w:rPr>
        <w:t>th</w:t>
      </w:r>
      <w:r w:rsidRPr="00387A6C">
        <w:rPr>
          <w:rFonts w:ascii="Times New Roman" w:hAnsi="Times New Roman" w:cs="Times New Roman"/>
          <w:sz w:val="28"/>
          <w:szCs w:val="28"/>
        </w:rPr>
        <w:t xml:space="preserve"> Street</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Menlo Park</w:t>
      </w:r>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rPr>
        <w:t>PRETORIA</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TEL: 011 874 1800 </w:t>
      </w: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sz w:val="28"/>
          <w:szCs w:val="28"/>
          <w:lang w:val="en-GB"/>
        </w:rPr>
        <w:t xml:space="preserve">EMAIL: </w:t>
      </w:r>
      <w:hyperlink r:id="rId9" w:history="1">
        <w:r w:rsidRPr="00387A6C">
          <w:rPr>
            <w:rStyle w:val="Hyperlink"/>
            <w:rFonts w:ascii="Times New Roman" w:hAnsi="Times New Roman" w:cs="Times New Roman"/>
            <w:sz w:val="28"/>
            <w:szCs w:val="28"/>
            <w:lang w:val="en-GB"/>
          </w:rPr>
          <w:t>domw@hammondpole.co.za</w:t>
        </w:r>
      </w:hyperlink>
    </w:p>
    <w:p w:rsidR="00B30B92" w:rsidRPr="00387A6C" w:rsidRDefault="00B30B92" w:rsidP="00B30B92">
      <w:pPr>
        <w:rPr>
          <w:rFonts w:ascii="Times New Roman" w:hAnsi="Times New Roman" w:cs="Times New Roman"/>
          <w:sz w:val="28"/>
          <w:szCs w:val="28"/>
        </w:rPr>
      </w:pPr>
      <w:r w:rsidRPr="00387A6C">
        <w:rPr>
          <w:rFonts w:ascii="Times New Roman" w:hAnsi="Times New Roman" w:cs="Times New Roman"/>
          <w:sz w:val="28"/>
          <w:szCs w:val="28"/>
          <w:lang w:val="en-GB"/>
        </w:rPr>
        <w:t>REF: MAT445498/JJVV/dw</w:t>
      </w: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r w:rsidRPr="00387A6C">
        <w:rPr>
          <w:rFonts w:ascii="Times New Roman" w:hAnsi="Times New Roman" w:cs="Times New Roman"/>
          <w:b/>
          <w:sz w:val="28"/>
          <w:szCs w:val="28"/>
          <w:lang w:val="en-GB"/>
        </w:rPr>
        <w:lastRenderedPageBreak/>
        <w:t>Delivery:</w:t>
      </w:r>
      <w:r w:rsidRPr="00387A6C">
        <w:rPr>
          <w:rFonts w:ascii="Times New Roman" w:hAnsi="Times New Roman" w:cs="Times New Roman"/>
          <w:sz w:val="28"/>
          <w:szCs w:val="28"/>
          <w:lang w:val="en-GB"/>
        </w:rPr>
        <w:t xml:space="preserve"> This judgment was handed down electronically by circulation to the parties' legal representatives by email, and uploaded on the CaseLines electronic platform. The date for hand-down is deemed to be 31 October 2022.</w:t>
      </w:r>
    </w:p>
    <w:p w:rsidR="00B30B92" w:rsidRPr="00387A6C" w:rsidRDefault="00B30B92" w:rsidP="00B30B92">
      <w:pPr>
        <w:rPr>
          <w:rFonts w:ascii="Times New Roman" w:hAnsi="Times New Roman" w:cs="Times New Roman"/>
          <w:sz w:val="28"/>
          <w:szCs w:val="28"/>
          <w:lang w:val="en-GB"/>
        </w:rPr>
      </w:pPr>
    </w:p>
    <w:p w:rsidR="00B30B92" w:rsidRPr="00387A6C" w:rsidRDefault="00B30B92" w:rsidP="00B30B92">
      <w:pPr>
        <w:rPr>
          <w:rFonts w:ascii="Times New Roman" w:hAnsi="Times New Roman" w:cs="Times New Roman"/>
          <w:sz w:val="28"/>
          <w:szCs w:val="28"/>
          <w:lang w:val="en-GB"/>
        </w:rPr>
      </w:pPr>
    </w:p>
    <w:p w:rsidR="0082191D" w:rsidRPr="00387A6C" w:rsidRDefault="000332B7">
      <w:pPr>
        <w:rPr>
          <w:rFonts w:ascii="Times New Roman" w:hAnsi="Times New Roman" w:cs="Times New Roman"/>
          <w:sz w:val="28"/>
          <w:szCs w:val="28"/>
        </w:rPr>
      </w:pPr>
    </w:p>
    <w:sectPr w:rsidR="0082191D" w:rsidRPr="00387A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2B7" w:rsidRDefault="000332B7" w:rsidP="00B30B92">
      <w:pPr>
        <w:spacing w:after="0" w:line="240" w:lineRule="auto"/>
      </w:pPr>
      <w:r>
        <w:separator/>
      </w:r>
    </w:p>
  </w:endnote>
  <w:endnote w:type="continuationSeparator" w:id="0">
    <w:p w:rsidR="000332B7" w:rsidRDefault="000332B7" w:rsidP="00B3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2B7" w:rsidRDefault="000332B7" w:rsidP="00B30B92">
      <w:pPr>
        <w:spacing w:after="0" w:line="240" w:lineRule="auto"/>
      </w:pPr>
      <w:r>
        <w:separator/>
      </w:r>
    </w:p>
  </w:footnote>
  <w:footnote w:type="continuationSeparator" w:id="0">
    <w:p w:rsidR="000332B7" w:rsidRDefault="000332B7" w:rsidP="00B30B92">
      <w:pPr>
        <w:spacing w:after="0" w:line="240" w:lineRule="auto"/>
      </w:pPr>
      <w:r>
        <w:continuationSeparator/>
      </w:r>
    </w:p>
  </w:footnote>
  <w:footnote w:id="1">
    <w:p w:rsidR="00B30B92" w:rsidRDefault="00B30B92" w:rsidP="00B30B92">
      <w:pPr>
        <w:pStyle w:val="FootnoteText"/>
        <w:rPr>
          <w:rFonts w:ascii="Arial" w:hAnsi="Arial" w:cs="Times New Roman"/>
          <w:lang w:val="en-US"/>
        </w:rPr>
      </w:pPr>
      <w:r>
        <w:rPr>
          <w:rStyle w:val="FootnoteReference"/>
          <w:rFonts w:ascii="Arial" w:hAnsi="Arial"/>
        </w:rPr>
        <w:footnoteRef/>
      </w:r>
      <w:r>
        <w:t xml:space="preserve"> </w:t>
      </w:r>
      <w:r>
        <w:rPr>
          <w:lang w:val="en-US"/>
        </w:rPr>
        <w:t xml:space="preserve">Sheriff’s return of service, Annexure “AA4” read with Answering Affidavit Para 36. </w:t>
      </w:r>
    </w:p>
  </w:footnote>
  <w:footnote w:id="2">
    <w:p w:rsidR="00B30B92" w:rsidRDefault="00B30B92" w:rsidP="00B30B92">
      <w:pPr>
        <w:pStyle w:val="FootnoteText"/>
        <w:rPr>
          <w:lang w:val="en-US"/>
        </w:rPr>
      </w:pPr>
      <w:r>
        <w:rPr>
          <w:rStyle w:val="FootnoteReference"/>
          <w:rFonts w:ascii="Arial" w:hAnsi="Arial"/>
        </w:rPr>
        <w:footnoteRef/>
      </w:r>
      <w:r>
        <w:t xml:space="preserve"> </w:t>
      </w:r>
      <w:r>
        <w:rPr>
          <w:lang w:val="en-US"/>
        </w:rPr>
        <w:t xml:space="preserve">Maujean t/a Audio Video Agencies v Standard Bank of SA Ltd 1994 (3) SA 801 (C); See also Civil Procedure – a practical guide (2nd Ed) by Pete, Hulme </w:t>
      </w:r>
      <w:r>
        <w:rPr>
          <w:i/>
          <w:lang w:val="en-US"/>
        </w:rPr>
        <w:t>et al</w:t>
      </w:r>
      <w:r>
        <w:rPr>
          <w:lang w:val="en-US"/>
        </w:rPr>
        <w:t xml:space="preserve"> P274.</w:t>
      </w:r>
    </w:p>
    <w:p w:rsidR="00B30B92" w:rsidRDefault="00B30B92" w:rsidP="00B30B92">
      <w:pPr>
        <w:pStyle w:val="FootnoteText"/>
        <w:rPr>
          <w:lang w:val="en-US"/>
        </w:rPr>
      </w:pPr>
      <w:r>
        <w:rPr>
          <w:lang w:val="en-US"/>
        </w:rPr>
        <w:t xml:space="preserve"> </w:t>
      </w:r>
    </w:p>
  </w:footnote>
  <w:footnote w:id="3">
    <w:p w:rsidR="00B30B92" w:rsidRDefault="00B30B92" w:rsidP="00B30B92">
      <w:pPr>
        <w:pStyle w:val="FootnoteText"/>
        <w:rPr>
          <w:lang w:val="en-US"/>
        </w:rPr>
      </w:pPr>
      <w:r>
        <w:rPr>
          <w:rStyle w:val="FootnoteReference"/>
          <w:rFonts w:ascii="Arial" w:hAnsi="Arial"/>
        </w:rPr>
        <w:footnoteRef/>
      </w:r>
      <w:r>
        <w:t xml:space="preserve"> </w:t>
      </w:r>
      <w:r>
        <w:rPr>
          <w:lang w:val="en-US"/>
        </w:rPr>
        <w:t>Erasmus Superior Court Practice, B1 - 202.</w:t>
      </w:r>
    </w:p>
    <w:p w:rsidR="00B30B92" w:rsidRDefault="00B30B92" w:rsidP="00B30B92">
      <w:pPr>
        <w:pStyle w:val="FootnoteText"/>
        <w:rPr>
          <w:lang w:val="en-US"/>
        </w:rPr>
      </w:pPr>
    </w:p>
  </w:footnote>
  <w:footnote w:id="4">
    <w:p w:rsidR="00B30B92" w:rsidRDefault="00B30B92" w:rsidP="00B30B92">
      <w:pPr>
        <w:pStyle w:val="FootnoteText"/>
        <w:rPr>
          <w:lang w:val="en-US"/>
        </w:rPr>
      </w:pPr>
      <w:r>
        <w:rPr>
          <w:rStyle w:val="FootnoteReference"/>
          <w:rFonts w:ascii="Arial" w:hAnsi="Arial"/>
        </w:rPr>
        <w:footnoteRef/>
      </w:r>
      <w:r>
        <w:t xml:space="preserve"> Zuma v Secretary of the Judicial Commission of Inquiry into Allegations of State Capture, Corruption and Fraud in the Public Sector Including Organs of State and Others [2021] ZACC 28.</w:t>
      </w:r>
    </w:p>
  </w:footnote>
  <w:footnote w:id="5">
    <w:p w:rsidR="00B30B92" w:rsidRDefault="00B30B92" w:rsidP="00B30B92">
      <w:pPr>
        <w:pStyle w:val="FootnoteText"/>
        <w:rPr>
          <w:lang w:val="en-US"/>
        </w:rPr>
      </w:pPr>
      <w:r>
        <w:rPr>
          <w:rStyle w:val="FootnoteReference"/>
          <w:rFonts w:ascii="Arial" w:hAnsi="Arial"/>
        </w:rPr>
        <w:footnoteRef/>
      </w:r>
      <w:r>
        <w:t xml:space="preserve"> </w:t>
      </w:r>
      <w:r>
        <w:rPr>
          <w:lang w:val="en-US"/>
        </w:rPr>
        <w:t>Infinitum Holdings &amp; Another v Lerm &amp; Others (Unreported) [2022] ZAGPJHC 342 at Par 18 – Per Molahlehi J.</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D89"/>
    <w:multiLevelType w:val="multilevel"/>
    <w:tmpl w:val="65528964"/>
    <w:lvl w:ilvl="0">
      <w:start w:val="4"/>
      <w:numFmt w:val="decimal"/>
      <w:lvlText w:val="%1"/>
      <w:lvlJc w:val="left"/>
      <w:pPr>
        <w:ind w:left="360" w:hanging="360"/>
      </w:pPr>
      <w:rPr>
        <w:b w:val="0"/>
      </w:rPr>
    </w:lvl>
    <w:lvl w:ilvl="1">
      <w:start w:val="1"/>
      <w:numFmt w:val="decimal"/>
      <w:lvlText w:val="%1.%2"/>
      <w:lvlJc w:val="left"/>
      <w:pPr>
        <w:ind w:left="1855" w:hanging="360"/>
      </w:pPr>
      <w:rPr>
        <w:b w:val="0"/>
      </w:rPr>
    </w:lvl>
    <w:lvl w:ilvl="2">
      <w:start w:val="1"/>
      <w:numFmt w:val="decimal"/>
      <w:lvlText w:val="%1.%2.%3"/>
      <w:lvlJc w:val="left"/>
      <w:pPr>
        <w:ind w:left="3710" w:hanging="720"/>
      </w:pPr>
    </w:lvl>
    <w:lvl w:ilvl="3">
      <w:start w:val="1"/>
      <w:numFmt w:val="decimal"/>
      <w:lvlText w:val="%1.%2.%3.%4"/>
      <w:lvlJc w:val="left"/>
      <w:pPr>
        <w:ind w:left="5565" w:hanging="1080"/>
      </w:pPr>
    </w:lvl>
    <w:lvl w:ilvl="4">
      <w:start w:val="1"/>
      <w:numFmt w:val="decimal"/>
      <w:lvlText w:val="%1.%2.%3.%4.%5"/>
      <w:lvlJc w:val="left"/>
      <w:pPr>
        <w:ind w:left="7060" w:hanging="1080"/>
      </w:pPr>
    </w:lvl>
    <w:lvl w:ilvl="5">
      <w:start w:val="1"/>
      <w:numFmt w:val="decimal"/>
      <w:lvlText w:val="%1.%2.%3.%4.%5.%6"/>
      <w:lvlJc w:val="left"/>
      <w:pPr>
        <w:ind w:left="8915" w:hanging="1440"/>
      </w:pPr>
    </w:lvl>
    <w:lvl w:ilvl="6">
      <w:start w:val="1"/>
      <w:numFmt w:val="decimal"/>
      <w:lvlText w:val="%1.%2.%3.%4.%5.%6.%7"/>
      <w:lvlJc w:val="left"/>
      <w:pPr>
        <w:ind w:left="10410" w:hanging="1440"/>
      </w:pPr>
    </w:lvl>
    <w:lvl w:ilvl="7">
      <w:start w:val="1"/>
      <w:numFmt w:val="decimal"/>
      <w:lvlText w:val="%1.%2.%3.%4.%5.%6.%7.%8"/>
      <w:lvlJc w:val="left"/>
      <w:pPr>
        <w:ind w:left="12265" w:hanging="1800"/>
      </w:pPr>
    </w:lvl>
    <w:lvl w:ilvl="8">
      <w:start w:val="1"/>
      <w:numFmt w:val="decimal"/>
      <w:lvlText w:val="%1.%2.%3.%4.%5.%6.%7.%8.%9"/>
      <w:lvlJc w:val="left"/>
      <w:pPr>
        <w:ind w:left="14120" w:hanging="216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15CD7C70"/>
    <w:multiLevelType w:val="multilevel"/>
    <w:tmpl w:val="26AE35E0"/>
    <w:lvl w:ilvl="0">
      <w:start w:val="2"/>
      <w:numFmt w:val="decimal"/>
      <w:lvlText w:val="%1"/>
      <w:lvlJc w:val="left"/>
      <w:pPr>
        <w:ind w:left="360" w:hanging="360"/>
      </w:pPr>
    </w:lvl>
    <w:lvl w:ilvl="1">
      <w:start w:val="1"/>
      <w:numFmt w:val="decimal"/>
      <w:lvlText w:val="%1.%2"/>
      <w:lvlJc w:val="left"/>
      <w:pPr>
        <w:ind w:left="1855" w:hanging="360"/>
      </w:pPr>
      <w:rPr>
        <w:b w:val="0"/>
      </w:rPr>
    </w:lvl>
    <w:lvl w:ilvl="2">
      <w:start w:val="1"/>
      <w:numFmt w:val="decimal"/>
      <w:lvlText w:val="%1.%2.%3"/>
      <w:lvlJc w:val="left"/>
      <w:pPr>
        <w:ind w:left="3710" w:hanging="720"/>
      </w:pPr>
    </w:lvl>
    <w:lvl w:ilvl="3">
      <w:start w:val="1"/>
      <w:numFmt w:val="decimal"/>
      <w:lvlText w:val="%1.%2.%3.%4"/>
      <w:lvlJc w:val="left"/>
      <w:pPr>
        <w:ind w:left="5565" w:hanging="1080"/>
      </w:pPr>
    </w:lvl>
    <w:lvl w:ilvl="4">
      <w:start w:val="1"/>
      <w:numFmt w:val="decimal"/>
      <w:lvlText w:val="%1.%2.%3.%4.%5"/>
      <w:lvlJc w:val="left"/>
      <w:pPr>
        <w:ind w:left="7060" w:hanging="1080"/>
      </w:pPr>
    </w:lvl>
    <w:lvl w:ilvl="5">
      <w:start w:val="1"/>
      <w:numFmt w:val="decimal"/>
      <w:lvlText w:val="%1.%2.%3.%4.%5.%6"/>
      <w:lvlJc w:val="left"/>
      <w:pPr>
        <w:ind w:left="8915" w:hanging="1440"/>
      </w:pPr>
    </w:lvl>
    <w:lvl w:ilvl="6">
      <w:start w:val="1"/>
      <w:numFmt w:val="decimal"/>
      <w:lvlText w:val="%1.%2.%3.%4.%5.%6.%7"/>
      <w:lvlJc w:val="left"/>
      <w:pPr>
        <w:ind w:left="10410" w:hanging="1440"/>
      </w:pPr>
    </w:lvl>
    <w:lvl w:ilvl="7">
      <w:start w:val="1"/>
      <w:numFmt w:val="decimal"/>
      <w:lvlText w:val="%1.%2.%3.%4.%5.%6.%7.%8"/>
      <w:lvlJc w:val="left"/>
      <w:pPr>
        <w:ind w:left="12265" w:hanging="1800"/>
      </w:pPr>
    </w:lvl>
    <w:lvl w:ilvl="8">
      <w:start w:val="1"/>
      <w:numFmt w:val="decimal"/>
      <w:lvlText w:val="%1.%2.%3.%4.%5.%6.%7.%8.%9"/>
      <w:lvlJc w:val="left"/>
      <w:pPr>
        <w:ind w:left="14120" w:hanging="2160"/>
      </w:pPr>
    </w:lvl>
  </w:abstractNum>
  <w:abstractNum w:abstractNumId="3" w15:restartNumberingAfterBreak="0">
    <w:nsid w:val="19731408"/>
    <w:multiLevelType w:val="hybridMultilevel"/>
    <w:tmpl w:val="761A4264"/>
    <w:lvl w:ilvl="0" w:tplc="3C9A2A6A">
      <w:start w:val="8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3AD37C44"/>
    <w:multiLevelType w:val="hybridMultilevel"/>
    <w:tmpl w:val="F146AC50"/>
    <w:lvl w:ilvl="0" w:tplc="1B0259F0">
      <w:start w:val="1"/>
      <w:numFmt w:val="upperLetter"/>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6CA96AB0"/>
    <w:multiLevelType w:val="multilevel"/>
    <w:tmpl w:val="5F5827F2"/>
    <w:lvl w:ilvl="0">
      <w:start w:val="10"/>
      <w:numFmt w:val="decimal"/>
      <w:lvlText w:val="%1"/>
      <w:lvlJc w:val="left"/>
      <w:pPr>
        <w:ind w:left="490" w:hanging="490"/>
      </w:pPr>
      <w:rPr>
        <w:rFonts w:hint="default"/>
      </w:rPr>
    </w:lvl>
    <w:lvl w:ilvl="1">
      <w:start w:val="1"/>
      <w:numFmt w:val="decimal"/>
      <w:lvlText w:val="%1.%2"/>
      <w:lvlJc w:val="left"/>
      <w:pPr>
        <w:ind w:left="1930" w:hanging="49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92"/>
    <w:rsid w:val="000332B7"/>
    <w:rsid w:val="0022589E"/>
    <w:rsid w:val="00387A6C"/>
    <w:rsid w:val="00577FA9"/>
    <w:rsid w:val="00AD034D"/>
    <w:rsid w:val="00B30B92"/>
    <w:rsid w:val="00C5768F"/>
    <w:rsid w:val="00DB1A23"/>
    <w:rsid w:val="00FD2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A24DF-7243-4B5A-A4A0-EF1659F20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30B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B92"/>
    <w:rPr>
      <w:sz w:val="20"/>
      <w:szCs w:val="20"/>
    </w:rPr>
  </w:style>
  <w:style w:type="character" w:styleId="FootnoteReference">
    <w:name w:val="footnote reference"/>
    <w:semiHidden/>
    <w:unhideWhenUsed/>
    <w:rsid w:val="00B30B92"/>
    <w:rPr>
      <w:rFonts w:ascii="Times New Roman" w:hAnsi="Times New Roman" w:cs="Times New Roman" w:hint="default"/>
      <w:sz w:val="22"/>
      <w:vertAlign w:val="superscript"/>
    </w:rPr>
  </w:style>
  <w:style w:type="character" w:styleId="Hyperlink">
    <w:name w:val="Hyperlink"/>
    <w:basedOn w:val="DefaultParagraphFont"/>
    <w:uiPriority w:val="99"/>
    <w:unhideWhenUsed/>
    <w:rsid w:val="00B30B92"/>
    <w:rPr>
      <w:color w:val="0563C1" w:themeColor="hyperlink"/>
      <w:u w:val="single"/>
    </w:rPr>
  </w:style>
  <w:style w:type="paragraph" w:styleId="ListParagraph">
    <w:name w:val="List Paragraph"/>
    <w:basedOn w:val="Normal"/>
    <w:uiPriority w:val="34"/>
    <w:qFormat/>
    <w:rsid w:val="00387A6C"/>
    <w:pPr>
      <w:ind w:left="720"/>
      <w:contextualSpacing/>
    </w:pPr>
  </w:style>
  <w:style w:type="paragraph" w:styleId="Header">
    <w:name w:val="header"/>
    <w:basedOn w:val="Normal"/>
    <w:link w:val="HeaderChar"/>
    <w:uiPriority w:val="99"/>
    <w:unhideWhenUsed/>
    <w:rsid w:val="00FD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E4"/>
  </w:style>
  <w:style w:type="paragraph" w:styleId="Footer">
    <w:name w:val="footer"/>
    <w:basedOn w:val="Normal"/>
    <w:link w:val="FooterChar"/>
    <w:uiPriority w:val="99"/>
    <w:unhideWhenUsed/>
    <w:rsid w:val="00FD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5814">
      <w:bodyDiv w:val="1"/>
      <w:marLeft w:val="0"/>
      <w:marRight w:val="0"/>
      <w:marTop w:val="0"/>
      <w:marBottom w:val="0"/>
      <w:divBdr>
        <w:top w:val="none" w:sz="0" w:space="0" w:color="auto"/>
        <w:left w:val="none" w:sz="0" w:space="0" w:color="auto"/>
        <w:bottom w:val="none" w:sz="0" w:space="0" w:color="auto"/>
        <w:right w:val="none" w:sz="0" w:space="0" w:color="auto"/>
      </w:divBdr>
    </w:div>
    <w:div w:id="59162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ignautarthur17@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w@hammondpol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Katlego Sebola</dc:creator>
  <cp:keywords/>
  <dc:description/>
  <cp:lastModifiedBy>Mary Bruce</cp:lastModifiedBy>
  <cp:revision>2</cp:revision>
  <dcterms:created xsi:type="dcterms:W3CDTF">2022-10-31T12:37:00Z</dcterms:created>
  <dcterms:modified xsi:type="dcterms:W3CDTF">2022-11-10T11:06:00Z</dcterms:modified>
</cp:coreProperties>
</file>