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D1F2D" w14:textId="77777777" w:rsidR="00B50E11" w:rsidRDefault="00B50E11" w:rsidP="00B50E11">
      <w:pPr>
        <w:pStyle w:val="Body"/>
        <w:jc w:val="center"/>
      </w:pPr>
      <w:r>
        <w:rPr>
          <w:noProof/>
          <w:lang w:val="en-ZA" w:eastAsia="en-ZA"/>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B50E11">
      <w:pPr>
        <w:pStyle w:val="Body"/>
        <w:jc w:val="center"/>
        <w:outlineLvl w:val="0"/>
        <w:rPr>
          <w:rFonts w:cs="Arial"/>
          <w:b/>
          <w:bCs/>
          <w:sz w:val="24"/>
          <w:szCs w:val="24"/>
        </w:rPr>
      </w:pPr>
      <w:r w:rsidRPr="0031449E">
        <w:rPr>
          <w:rFonts w:cs="Arial"/>
          <w:b/>
          <w:bCs/>
          <w:sz w:val="24"/>
          <w:szCs w:val="24"/>
          <w:u w:val="single"/>
        </w:rPr>
        <w:t>IN THE HIGH COURT OF SOUTH AFRICA</w:t>
      </w:r>
    </w:p>
    <w:p w14:paraId="350B431D" w14:textId="16C843F2" w:rsidR="00C519B2" w:rsidRPr="00FE751C" w:rsidRDefault="00B50E11" w:rsidP="00FE751C">
      <w:pPr>
        <w:pStyle w:val="Body"/>
        <w:jc w:val="center"/>
        <w:rPr>
          <w:rFonts w:cs="Arial"/>
          <w:b/>
          <w:bCs/>
          <w:sz w:val="24"/>
          <w:szCs w:val="24"/>
          <w:u w:val="single"/>
        </w:rPr>
      </w:pPr>
      <w:r w:rsidRPr="0031449E">
        <w:rPr>
          <w:rFonts w:cs="Arial"/>
          <w:b/>
          <w:bCs/>
          <w:sz w:val="24"/>
          <w:szCs w:val="24"/>
          <w:u w:val="single"/>
          <w:lang w:val="de-DE"/>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2"/>
      </w:tblGrid>
      <w:tr w:rsidR="00C519B2" w:rsidRPr="004164F3" w14:paraId="7564B942" w14:textId="77777777" w:rsidTr="00FE751C">
        <w:trPr>
          <w:trHeight w:val="2205"/>
        </w:trPr>
        <w:tc>
          <w:tcPr>
            <w:tcW w:w="4282"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14D49924"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EA1DEE">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A076CF">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A076CF">
              <w:rPr>
                <w:rFonts w:ascii="Arial Unicode MS" w:eastAsia="Arial Unicode MS" w:hAnsi="Arial Unicode MS" w:cs="Arial Unicode MS"/>
                <w:b/>
                <w:bCs/>
                <w:sz w:val="16"/>
                <w:szCs w:val="16"/>
              </w:rPr>
              <w:t>NO</w:t>
            </w:r>
          </w:p>
          <w:p w14:paraId="528A128C" w14:textId="04286501"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EA1DEE">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A076CF">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A076CF">
              <w:rPr>
                <w:rFonts w:ascii="Arial Unicode MS" w:eastAsia="Arial Unicode MS" w:hAnsi="Arial Unicode MS" w:cs="Arial Unicode MS"/>
                <w:b/>
                <w:bCs/>
                <w:sz w:val="16"/>
                <w:szCs w:val="16"/>
              </w:rPr>
              <w:t>NO</w:t>
            </w:r>
          </w:p>
          <w:p w14:paraId="15F66332" w14:textId="230591D2"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EA1DEE">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A076CF">
              <w:rPr>
                <w:rFonts w:ascii="Arial Unicode MS" w:eastAsia="Arial Unicode MS" w:hAnsi="Arial Unicode MS" w:cs="Arial Unicode MS"/>
                <w:sz w:val="16"/>
                <w:szCs w:val="16"/>
              </w:rPr>
              <w:t xml:space="preserve"> </w:t>
            </w:r>
            <w:r w:rsidR="00A076CF" w:rsidRPr="00A076CF">
              <w:rPr>
                <w:rFonts w:ascii="Arial Unicode MS" w:eastAsia="Arial Unicode MS" w:hAnsi="Arial Unicode MS" w:cs="Arial Unicode MS"/>
                <w:b/>
                <w:bCs/>
                <w:sz w:val="16"/>
                <w:szCs w:val="16"/>
              </w:rPr>
              <w:t>No</w:t>
            </w:r>
          </w:p>
          <w:p w14:paraId="284842F1" w14:textId="2D13E5C1"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00492D5F">
              <w:rPr>
                <w:rFonts w:ascii="Arial Unicode MS" w:eastAsia="Arial Unicode MS" w:hAnsi="Arial Unicode MS" w:cs="Arial Unicode MS"/>
                <w:sz w:val="16"/>
                <w:szCs w:val="16"/>
              </w:rPr>
              <w:t xml:space="preserve"> </w:t>
            </w:r>
            <w:r w:rsidR="00492D5F" w:rsidRPr="00492D5F">
              <w:rPr>
                <w:rFonts w:ascii="Arial Unicode MS" w:eastAsia="Arial Unicode MS" w:hAnsi="Arial Unicode MS" w:cs="Arial Unicode MS"/>
                <w:b/>
                <w:bCs/>
                <w:sz w:val="16"/>
                <w:szCs w:val="16"/>
              </w:rPr>
              <w:t>18 AUGUST 2022</w:t>
            </w:r>
            <w:r w:rsidR="00492D5F">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br/>
            </w:r>
          </w:p>
          <w:p w14:paraId="773CDFDB" w14:textId="1C88AB1F"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p>
        </w:tc>
        <w:bookmarkStart w:id="0" w:name="_GoBack"/>
        <w:bookmarkEnd w:id="0"/>
      </w:tr>
    </w:tbl>
    <w:p w14:paraId="46E43E32" w14:textId="063869CB" w:rsidR="00B50E11" w:rsidRPr="0031449E" w:rsidRDefault="00B50E11" w:rsidP="00B50E11">
      <w:pPr>
        <w:pStyle w:val="Body"/>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675DAE">
        <w:rPr>
          <w:rFonts w:cs="Arial"/>
          <w:b/>
          <w:bCs/>
          <w:sz w:val="24"/>
          <w:szCs w:val="24"/>
        </w:rPr>
        <w:t xml:space="preserve">52582 </w:t>
      </w:r>
      <w:r w:rsidR="00EA1DEE">
        <w:rPr>
          <w:rFonts w:cs="Arial"/>
          <w:b/>
          <w:bCs/>
          <w:sz w:val="24"/>
          <w:szCs w:val="24"/>
        </w:rPr>
        <w:t>/2020</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00"/>
      </w:tblGrid>
      <w:tr w:rsidR="00B50E11" w:rsidRPr="0031449E" w14:paraId="22698168" w14:textId="77777777" w:rsidTr="00650745">
        <w:tc>
          <w:tcPr>
            <w:tcW w:w="5529" w:type="dxa"/>
          </w:tcPr>
          <w:p w14:paraId="3D32D802" w14:textId="77777777" w:rsidR="00B50E11" w:rsidRPr="0031449E" w:rsidRDefault="00B50E11" w:rsidP="00F25A36">
            <w:pPr>
              <w:pStyle w:val="Body"/>
              <w:jc w:val="both"/>
              <w:rPr>
                <w:rFonts w:cs="Arial"/>
                <w:sz w:val="24"/>
                <w:szCs w:val="24"/>
              </w:rPr>
            </w:pPr>
            <w:r w:rsidRPr="0031449E">
              <w:rPr>
                <w:rFonts w:cs="Arial"/>
                <w:sz w:val="24"/>
                <w:szCs w:val="24"/>
              </w:rPr>
              <w:t>In the matter between:</w:t>
            </w:r>
          </w:p>
        </w:tc>
        <w:tc>
          <w:tcPr>
            <w:tcW w:w="4100" w:type="dxa"/>
          </w:tcPr>
          <w:p w14:paraId="6295A861" w14:textId="77777777" w:rsidR="00B50E11" w:rsidRPr="0031449E"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sz w:val="24"/>
                <w:szCs w:val="24"/>
              </w:rPr>
            </w:pPr>
          </w:p>
        </w:tc>
      </w:tr>
      <w:tr w:rsidR="00B50E11" w:rsidRPr="0031449E" w14:paraId="4638A8A4" w14:textId="77777777" w:rsidTr="00650745">
        <w:trPr>
          <w:trHeight w:val="1045"/>
        </w:trPr>
        <w:tc>
          <w:tcPr>
            <w:tcW w:w="5529" w:type="dxa"/>
          </w:tcPr>
          <w:p w14:paraId="44964966" w14:textId="77777777" w:rsidR="00B50E11"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sz w:val="24"/>
                <w:szCs w:val="24"/>
              </w:rPr>
            </w:pPr>
          </w:p>
          <w:p w14:paraId="548AA6FE" w14:textId="63805564" w:rsidR="00B50E11" w:rsidRPr="0031449E" w:rsidRDefault="00EA1DEE"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sz w:val="24"/>
                <w:szCs w:val="24"/>
              </w:rPr>
            </w:pPr>
            <w:r>
              <w:rPr>
                <w:rFonts w:cs="Arial"/>
                <w:b/>
                <w:bCs/>
                <w:sz w:val="24"/>
                <w:szCs w:val="24"/>
              </w:rPr>
              <w:t>MDUNJANA, SE</w:t>
            </w:r>
          </w:p>
        </w:tc>
        <w:tc>
          <w:tcPr>
            <w:tcW w:w="4100" w:type="dxa"/>
          </w:tcPr>
          <w:p w14:paraId="66354F6A" w14:textId="77777777" w:rsidR="00B50E11"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p>
          <w:p w14:paraId="263479FD" w14:textId="7480EEBE" w:rsidR="00B50E11" w:rsidRPr="0031449E" w:rsidRDefault="008D34A8"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r>
              <w:rPr>
                <w:rFonts w:cs="Arial"/>
                <w:b/>
                <w:sz w:val="24"/>
                <w:szCs w:val="24"/>
              </w:rPr>
              <w:t>PLAINTIFF</w:t>
            </w:r>
          </w:p>
        </w:tc>
      </w:tr>
      <w:tr w:rsidR="00B50E11" w:rsidRPr="0031449E" w14:paraId="2DE3831D" w14:textId="77777777" w:rsidTr="00650745">
        <w:tc>
          <w:tcPr>
            <w:tcW w:w="5529" w:type="dxa"/>
          </w:tcPr>
          <w:p w14:paraId="06AA6B3B" w14:textId="7CD9CC68" w:rsidR="00B50E11" w:rsidRPr="00F43C52" w:rsidRDefault="00B50E11" w:rsidP="00F25A36">
            <w:pPr>
              <w:pStyle w:val="Body"/>
              <w:jc w:val="both"/>
              <w:rPr>
                <w:rFonts w:cs="Arial"/>
                <w:b/>
                <w:sz w:val="24"/>
                <w:szCs w:val="24"/>
              </w:rPr>
            </w:pPr>
          </w:p>
          <w:p w14:paraId="52E06D21" w14:textId="65F278A7" w:rsidR="00B50E11" w:rsidRPr="0031449E" w:rsidRDefault="00416EA1" w:rsidP="00F25A36">
            <w:pPr>
              <w:pStyle w:val="Body"/>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4100" w:type="dxa"/>
          </w:tcPr>
          <w:p w14:paraId="06C77BC2" w14:textId="032FD205" w:rsidR="00B50E11" w:rsidRPr="0031449E" w:rsidRDefault="00B50E11" w:rsidP="00F43C52">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p>
        </w:tc>
      </w:tr>
      <w:tr w:rsidR="00B50E11" w:rsidRPr="0031449E" w14:paraId="4829D036" w14:textId="77777777" w:rsidTr="00650745">
        <w:tc>
          <w:tcPr>
            <w:tcW w:w="5529" w:type="dxa"/>
          </w:tcPr>
          <w:p w14:paraId="0C29CDE0" w14:textId="77777777" w:rsidR="00B50E11"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3ACBB1CA" w14:textId="7E066DE4" w:rsidR="00B50E11" w:rsidRPr="00EA1DEE" w:rsidRDefault="00EA1DEE" w:rsidP="00B50E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rPr>
            </w:pPr>
            <w:r w:rsidRPr="00EA1DEE">
              <w:rPr>
                <w:rFonts w:cs="Arial"/>
                <w:b/>
                <w:bCs/>
                <w:sz w:val="24"/>
                <w:szCs w:val="24"/>
              </w:rPr>
              <w:t>ROAD ACCIDENT FUND</w:t>
            </w:r>
          </w:p>
        </w:tc>
        <w:tc>
          <w:tcPr>
            <w:tcW w:w="4100" w:type="dxa"/>
          </w:tcPr>
          <w:p w14:paraId="33705AB1" w14:textId="77777777" w:rsidR="00B50E11"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7853F6A3" w14:textId="45444161" w:rsidR="00B50E11" w:rsidRPr="0031449E" w:rsidRDefault="008D34A8"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DEFENDANT</w:t>
            </w:r>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F25A36">
        <w:tc>
          <w:tcPr>
            <w:tcW w:w="9350" w:type="dxa"/>
          </w:tcPr>
          <w:p w14:paraId="3A5115EF" w14:textId="77777777" w:rsidR="00650745" w:rsidRDefault="00650745"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27341B"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27341B">
              <w:rPr>
                <w:rFonts w:eastAsia="Tahoma" w:cs="Arial"/>
                <w:b/>
                <w:bCs/>
                <w:sz w:val="32"/>
                <w:szCs w:val="24"/>
                <w:lang w:val="de-DE"/>
              </w:rPr>
              <w:t>JUDGMENT</w:t>
            </w:r>
          </w:p>
        </w:tc>
      </w:tr>
    </w:tbl>
    <w:p w14:paraId="397DE03A" w14:textId="77777777" w:rsidR="00C519B2" w:rsidRDefault="00C519B2" w:rsidP="00B50E11">
      <w:pPr>
        <w:pStyle w:val="Body"/>
        <w:jc w:val="both"/>
        <w:rPr>
          <w:b/>
          <w:sz w:val="22"/>
          <w:szCs w:val="22"/>
        </w:rPr>
      </w:pPr>
    </w:p>
    <w:p w14:paraId="31AD95DF" w14:textId="5C2B1A5D" w:rsidR="00B50E11" w:rsidRDefault="00B50E11" w:rsidP="00FE751C">
      <w:pPr>
        <w:pStyle w:val="Body"/>
        <w:spacing w:line="360" w:lineRule="auto"/>
        <w:jc w:val="both"/>
        <w:rPr>
          <w:b/>
          <w:sz w:val="22"/>
          <w:szCs w:val="22"/>
          <w:u w:val="single"/>
        </w:rPr>
      </w:pPr>
      <w:r w:rsidRPr="00C519B2">
        <w:rPr>
          <w:b/>
          <w:sz w:val="22"/>
          <w:szCs w:val="22"/>
          <w:u w:val="single"/>
        </w:rPr>
        <w:t>MILLAR</w:t>
      </w:r>
      <w:r w:rsidR="001E4A15">
        <w:rPr>
          <w:b/>
          <w:sz w:val="22"/>
          <w:szCs w:val="22"/>
          <w:u w:val="single"/>
        </w:rPr>
        <w:t xml:space="preserve"> </w:t>
      </w:r>
      <w:r w:rsidRPr="00C519B2">
        <w:rPr>
          <w:b/>
          <w:sz w:val="22"/>
          <w:szCs w:val="22"/>
          <w:u w:val="single"/>
        </w:rPr>
        <w:t xml:space="preserve"> J</w:t>
      </w:r>
    </w:p>
    <w:p w14:paraId="0706012E" w14:textId="13CBAFF0" w:rsidR="00363165" w:rsidRDefault="00363165" w:rsidP="00FE751C">
      <w:pPr>
        <w:pStyle w:val="Body"/>
        <w:spacing w:line="360" w:lineRule="auto"/>
        <w:jc w:val="both"/>
        <w:rPr>
          <w:rFonts w:cs="Arial"/>
          <w:b/>
          <w:sz w:val="22"/>
          <w:szCs w:val="22"/>
          <w:u w:val="single"/>
        </w:rPr>
      </w:pPr>
    </w:p>
    <w:p w14:paraId="08293A5F" w14:textId="77777777" w:rsidR="0029046E" w:rsidRPr="00CF05BE" w:rsidRDefault="0029046E" w:rsidP="00FE751C">
      <w:pPr>
        <w:pStyle w:val="Body"/>
        <w:spacing w:line="360" w:lineRule="auto"/>
        <w:jc w:val="both"/>
        <w:rPr>
          <w:rFonts w:cs="Arial"/>
          <w:b/>
          <w:sz w:val="22"/>
          <w:szCs w:val="22"/>
          <w:u w:val="single"/>
        </w:rPr>
      </w:pPr>
    </w:p>
    <w:p w14:paraId="3E6E9101" w14:textId="28EA3C01" w:rsidR="0095148A" w:rsidRPr="00E66D34" w:rsidRDefault="000C4554" w:rsidP="00FE751C">
      <w:pPr>
        <w:pStyle w:val="Body"/>
        <w:numPr>
          <w:ilvl w:val="0"/>
          <w:numId w:val="8"/>
        </w:numPr>
        <w:spacing w:line="360" w:lineRule="auto"/>
        <w:ind w:left="567" w:hanging="567"/>
        <w:jc w:val="both"/>
        <w:rPr>
          <w:rFonts w:cs="Arial"/>
          <w:sz w:val="24"/>
          <w:szCs w:val="24"/>
        </w:rPr>
      </w:pPr>
      <w:r w:rsidRPr="00E66D34">
        <w:rPr>
          <w:rFonts w:cs="Arial"/>
          <w:sz w:val="24"/>
          <w:szCs w:val="24"/>
        </w:rPr>
        <w:t xml:space="preserve">The </w:t>
      </w:r>
      <w:r w:rsidR="0095148A" w:rsidRPr="00E66D34">
        <w:rPr>
          <w:rFonts w:cs="Arial"/>
          <w:sz w:val="24"/>
          <w:szCs w:val="24"/>
        </w:rPr>
        <w:t>present matter was set down for hearing for trial on 12 August 2022.  When the matter was called, I was informed by counsel that the parties had agreed that the defendant’s special plea of prescription should be heard first and subject to my finding on the special plea, the issues of liability and the quantum of damages separated</w:t>
      </w:r>
      <w:r w:rsidR="0095148A" w:rsidRPr="00E66D34">
        <w:rPr>
          <w:rStyle w:val="FootnoteReference"/>
          <w:rFonts w:cs="Arial"/>
          <w:sz w:val="24"/>
          <w:szCs w:val="24"/>
        </w:rPr>
        <w:footnoteReference w:id="1"/>
      </w:r>
      <w:r w:rsidR="0095148A" w:rsidRPr="00E66D34">
        <w:rPr>
          <w:rFonts w:cs="Arial"/>
          <w:sz w:val="24"/>
          <w:szCs w:val="24"/>
        </w:rPr>
        <w:t xml:space="preserve"> in terms of Rule 33(4) of the uniform rules of Court with the issue of liability to then proceed.</w:t>
      </w:r>
    </w:p>
    <w:p w14:paraId="618DC621" w14:textId="77777777" w:rsidR="0095148A" w:rsidRPr="00E66D34" w:rsidRDefault="0095148A" w:rsidP="00FE751C">
      <w:pPr>
        <w:pStyle w:val="Body"/>
        <w:spacing w:line="360" w:lineRule="auto"/>
        <w:jc w:val="both"/>
        <w:rPr>
          <w:rFonts w:cs="Arial"/>
          <w:sz w:val="24"/>
          <w:szCs w:val="24"/>
        </w:rPr>
      </w:pPr>
    </w:p>
    <w:p w14:paraId="20890A6A" w14:textId="26E9304C" w:rsidR="0095148A" w:rsidRPr="00E66D34" w:rsidRDefault="0095148A" w:rsidP="00FE751C">
      <w:pPr>
        <w:pStyle w:val="Body"/>
        <w:numPr>
          <w:ilvl w:val="0"/>
          <w:numId w:val="8"/>
        </w:numPr>
        <w:spacing w:line="360" w:lineRule="auto"/>
        <w:ind w:left="567" w:hanging="567"/>
        <w:jc w:val="both"/>
        <w:rPr>
          <w:rFonts w:cs="Arial"/>
          <w:sz w:val="24"/>
          <w:szCs w:val="24"/>
        </w:rPr>
      </w:pPr>
      <w:r w:rsidRPr="00E66D34">
        <w:rPr>
          <w:rFonts w:cs="Arial"/>
          <w:sz w:val="24"/>
          <w:szCs w:val="24"/>
        </w:rPr>
        <w:t>After hearing the arguments, in regard to the special plea, I dismissed the special plea with costs.  I then sought clarity from counsel for the defendant in regard to whether the defendant would be leading any evidence in regard to the issue of liability or wished to test the version of the plaintiff</w:t>
      </w:r>
      <w:r w:rsidR="00B56FAE">
        <w:rPr>
          <w:rFonts w:cs="Arial"/>
          <w:sz w:val="24"/>
          <w:szCs w:val="24"/>
        </w:rPr>
        <w:t>,</w:t>
      </w:r>
      <w:r w:rsidRPr="00E66D34">
        <w:rPr>
          <w:rFonts w:cs="Arial"/>
          <w:sz w:val="24"/>
          <w:szCs w:val="24"/>
        </w:rPr>
        <w:t xml:space="preserve"> as contained in the affidavit that he had already submitted to the defendant when the claim had been filed.  I was informed by counsel that the defendant had no evidence whatsoever and did not intend to test the evidence of the plaintiff at all in regard to how the collision had occurred. </w:t>
      </w:r>
    </w:p>
    <w:p w14:paraId="44CBA46B" w14:textId="77777777" w:rsidR="0095148A" w:rsidRPr="00E66D34" w:rsidRDefault="0095148A" w:rsidP="00FE751C">
      <w:pPr>
        <w:pStyle w:val="ListParagraph"/>
        <w:spacing w:line="360" w:lineRule="auto"/>
        <w:jc w:val="both"/>
        <w:rPr>
          <w:rFonts w:cs="Arial"/>
        </w:rPr>
      </w:pPr>
    </w:p>
    <w:p w14:paraId="522DDEDD" w14:textId="09779E02" w:rsidR="0095148A" w:rsidRPr="00E66D34" w:rsidRDefault="0095148A" w:rsidP="00FE751C">
      <w:pPr>
        <w:pStyle w:val="Body"/>
        <w:numPr>
          <w:ilvl w:val="0"/>
          <w:numId w:val="8"/>
        </w:numPr>
        <w:spacing w:line="360" w:lineRule="auto"/>
        <w:ind w:left="567" w:hanging="567"/>
        <w:jc w:val="both"/>
        <w:rPr>
          <w:rFonts w:cs="Arial"/>
          <w:sz w:val="24"/>
          <w:szCs w:val="24"/>
        </w:rPr>
      </w:pPr>
      <w:r w:rsidRPr="00E66D34">
        <w:rPr>
          <w:rFonts w:cs="Arial"/>
          <w:sz w:val="24"/>
          <w:szCs w:val="24"/>
        </w:rPr>
        <w:t>After a short adjournment, counsel for the parties then presented me with 2 draft orders, the 1</w:t>
      </w:r>
      <w:r w:rsidRPr="00E66D34">
        <w:rPr>
          <w:rFonts w:cs="Arial"/>
          <w:sz w:val="24"/>
          <w:szCs w:val="24"/>
          <w:vertAlign w:val="superscript"/>
        </w:rPr>
        <w:t>st</w:t>
      </w:r>
      <w:r w:rsidRPr="00E66D34">
        <w:rPr>
          <w:rFonts w:cs="Arial"/>
          <w:sz w:val="24"/>
          <w:szCs w:val="24"/>
        </w:rPr>
        <w:t xml:space="preserve"> relating to the dismissal of the special plea and the 2</w:t>
      </w:r>
      <w:r w:rsidRPr="00E66D34">
        <w:rPr>
          <w:rFonts w:cs="Arial"/>
          <w:sz w:val="24"/>
          <w:szCs w:val="24"/>
          <w:vertAlign w:val="superscript"/>
        </w:rPr>
        <w:t>nd</w:t>
      </w:r>
      <w:r w:rsidRPr="00E66D34">
        <w:rPr>
          <w:rFonts w:cs="Arial"/>
          <w:sz w:val="24"/>
          <w:szCs w:val="24"/>
        </w:rPr>
        <w:t xml:space="preserve"> relating to an agreement that had been reached between the parties inter alia in regard to the separation of issues as well as a concession of liability.  Both orders were made orders of court and marked “X1” and “X2” respectively.</w:t>
      </w:r>
    </w:p>
    <w:p w14:paraId="7FD42E3D" w14:textId="77777777" w:rsidR="0095148A" w:rsidRDefault="0095148A" w:rsidP="00FE751C">
      <w:pPr>
        <w:pStyle w:val="ListParagraph"/>
        <w:spacing w:line="360" w:lineRule="auto"/>
        <w:rPr>
          <w:rFonts w:cs="Arial"/>
          <w:sz w:val="22"/>
          <w:szCs w:val="22"/>
        </w:rPr>
      </w:pPr>
    </w:p>
    <w:p w14:paraId="4CF5769C" w14:textId="684AA3D9" w:rsidR="0095148A" w:rsidRPr="00E66D34" w:rsidRDefault="0095148A" w:rsidP="00FE751C">
      <w:pPr>
        <w:pStyle w:val="Body"/>
        <w:numPr>
          <w:ilvl w:val="0"/>
          <w:numId w:val="8"/>
        </w:numPr>
        <w:spacing w:line="360" w:lineRule="auto"/>
        <w:ind w:left="567" w:hanging="567"/>
        <w:jc w:val="both"/>
        <w:rPr>
          <w:rFonts w:cs="Arial"/>
          <w:sz w:val="24"/>
          <w:szCs w:val="24"/>
        </w:rPr>
      </w:pPr>
      <w:r w:rsidRPr="00E66D34">
        <w:rPr>
          <w:rFonts w:cs="Arial"/>
          <w:sz w:val="24"/>
          <w:szCs w:val="24"/>
        </w:rPr>
        <w:t>At the conclusion of the matter, counsel for the plaintiff indicated that the issues surrounding the special plea of prescription were of importance and requested reasons for my decision.  These then are the reasons.</w:t>
      </w:r>
    </w:p>
    <w:p w14:paraId="52894202" w14:textId="77777777" w:rsidR="0095148A" w:rsidRPr="00E66D34" w:rsidRDefault="0095148A" w:rsidP="00FE751C">
      <w:pPr>
        <w:pStyle w:val="ListParagraph"/>
        <w:spacing w:line="360" w:lineRule="auto"/>
        <w:jc w:val="both"/>
        <w:rPr>
          <w:rFonts w:cs="Arial"/>
        </w:rPr>
      </w:pPr>
    </w:p>
    <w:p w14:paraId="127CA316" w14:textId="3578C3A2" w:rsidR="0095148A" w:rsidRPr="00E66D34" w:rsidRDefault="0095148A" w:rsidP="00FE751C">
      <w:pPr>
        <w:pStyle w:val="Body"/>
        <w:numPr>
          <w:ilvl w:val="0"/>
          <w:numId w:val="8"/>
        </w:numPr>
        <w:spacing w:line="360" w:lineRule="auto"/>
        <w:ind w:left="567" w:hanging="567"/>
        <w:jc w:val="both"/>
        <w:rPr>
          <w:rFonts w:cs="Arial"/>
          <w:sz w:val="24"/>
          <w:szCs w:val="24"/>
        </w:rPr>
      </w:pPr>
      <w:r w:rsidRPr="00E66D34">
        <w:rPr>
          <w:rFonts w:cs="Arial"/>
          <w:sz w:val="24"/>
          <w:szCs w:val="24"/>
        </w:rPr>
        <w:lastRenderedPageBreak/>
        <w:t xml:space="preserve">The facts upon which the special plea </w:t>
      </w:r>
      <w:r w:rsidR="0063553C" w:rsidRPr="00E66D34">
        <w:rPr>
          <w:rFonts w:cs="Arial"/>
          <w:sz w:val="24"/>
          <w:szCs w:val="24"/>
        </w:rPr>
        <w:t>is</w:t>
      </w:r>
      <w:r w:rsidRPr="00E66D34">
        <w:rPr>
          <w:rFonts w:cs="Arial"/>
          <w:sz w:val="24"/>
          <w:szCs w:val="24"/>
        </w:rPr>
        <w:t xml:space="preserve"> based are common cause and not contentious.  The special plea in regard to prescription was framed as follows:</w:t>
      </w:r>
    </w:p>
    <w:p w14:paraId="41699F0C" w14:textId="77777777" w:rsidR="0095148A" w:rsidRDefault="0095148A" w:rsidP="00FE751C">
      <w:pPr>
        <w:pStyle w:val="ListParagraph"/>
        <w:spacing w:line="360" w:lineRule="auto"/>
        <w:jc w:val="both"/>
        <w:rPr>
          <w:rFonts w:cs="Arial"/>
          <w:sz w:val="22"/>
          <w:szCs w:val="22"/>
        </w:rPr>
      </w:pPr>
    </w:p>
    <w:p w14:paraId="1BBAF93A" w14:textId="77777777" w:rsidR="00700DD8" w:rsidRPr="00700DD8" w:rsidRDefault="0095148A" w:rsidP="00FE751C">
      <w:pPr>
        <w:pStyle w:val="Body"/>
        <w:tabs>
          <w:tab w:val="center" w:pos="2268"/>
        </w:tabs>
        <w:spacing w:line="360" w:lineRule="auto"/>
        <w:ind w:left="1985" w:hanging="709"/>
        <w:jc w:val="both"/>
        <w:rPr>
          <w:rFonts w:cs="Arial"/>
          <w:i/>
          <w:iCs/>
          <w:sz w:val="22"/>
          <w:szCs w:val="22"/>
        </w:rPr>
      </w:pPr>
      <w:r w:rsidRPr="00700DD8">
        <w:rPr>
          <w:rFonts w:cs="Arial"/>
          <w:i/>
          <w:iCs/>
          <w:sz w:val="22"/>
          <w:szCs w:val="22"/>
        </w:rPr>
        <w:t>‘1.</w:t>
      </w:r>
      <w:r w:rsidRPr="00700DD8">
        <w:rPr>
          <w:rFonts w:cs="Arial"/>
          <w:i/>
          <w:iCs/>
          <w:sz w:val="22"/>
          <w:szCs w:val="22"/>
        </w:rPr>
        <w:tab/>
        <w:t>The plaintiff’s claim against the defendant is governed by the provisions of the Road Accident Fund Act</w:t>
      </w:r>
      <w:r w:rsidR="00700DD8" w:rsidRPr="00700DD8">
        <w:rPr>
          <w:rFonts w:cs="Arial"/>
          <w:i/>
          <w:iCs/>
          <w:sz w:val="22"/>
          <w:szCs w:val="22"/>
        </w:rPr>
        <w:t xml:space="preserve">, Act 56 of 1996, as amended by Act 19 of 2005 and its Regulations.  </w:t>
      </w:r>
    </w:p>
    <w:p w14:paraId="37F3E3EB" w14:textId="77777777" w:rsidR="00700DD8" w:rsidRPr="00700DD8" w:rsidRDefault="00700DD8" w:rsidP="00FE751C">
      <w:pPr>
        <w:pStyle w:val="Body"/>
        <w:tabs>
          <w:tab w:val="center" w:pos="2268"/>
        </w:tabs>
        <w:spacing w:line="360" w:lineRule="auto"/>
        <w:ind w:left="1985" w:hanging="709"/>
        <w:jc w:val="both"/>
        <w:rPr>
          <w:rFonts w:cs="Arial"/>
          <w:i/>
          <w:iCs/>
          <w:sz w:val="22"/>
          <w:szCs w:val="22"/>
        </w:rPr>
      </w:pPr>
    </w:p>
    <w:p w14:paraId="37770A2B" w14:textId="77777777" w:rsidR="00700DD8" w:rsidRPr="00700DD8" w:rsidRDefault="00700DD8" w:rsidP="00FE751C">
      <w:pPr>
        <w:pStyle w:val="Body"/>
        <w:tabs>
          <w:tab w:val="center" w:pos="2268"/>
        </w:tabs>
        <w:spacing w:line="360" w:lineRule="auto"/>
        <w:ind w:left="1985" w:hanging="709"/>
        <w:jc w:val="both"/>
        <w:rPr>
          <w:rFonts w:cs="Arial"/>
          <w:i/>
          <w:iCs/>
          <w:sz w:val="22"/>
          <w:szCs w:val="22"/>
        </w:rPr>
      </w:pPr>
      <w:r w:rsidRPr="00700DD8">
        <w:rPr>
          <w:rFonts w:cs="Arial"/>
          <w:i/>
          <w:iCs/>
          <w:sz w:val="22"/>
          <w:szCs w:val="22"/>
        </w:rPr>
        <w:t>2.</w:t>
      </w:r>
      <w:r w:rsidRPr="00700DD8">
        <w:rPr>
          <w:rFonts w:cs="Arial"/>
          <w:i/>
          <w:iCs/>
          <w:sz w:val="22"/>
          <w:szCs w:val="22"/>
        </w:rPr>
        <w:tab/>
        <w:t xml:space="preserve">The alleged accident occurred on 4 April 2018.  The claim was lodged on 3 June 2020.  </w:t>
      </w:r>
    </w:p>
    <w:p w14:paraId="31808C09" w14:textId="77777777" w:rsidR="00700DD8" w:rsidRPr="00700DD8" w:rsidRDefault="00700DD8" w:rsidP="00FE751C">
      <w:pPr>
        <w:pStyle w:val="Body"/>
        <w:tabs>
          <w:tab w:val="center" w:pos="2268"/>
        </w:tabs>
        <w:spacing w:line="360" w:lineRule="auto"/>
        <w:ind w:left="1985" w:hanging="709"/>
        <w:jc w:val="both"/>
        <w:rPr>
          <w:rFonts w:cs="Arial"/>
          <w:i/>
          <w:iCs/>
          <w:sz w:val="22"/>
          <w:szCs w:val="22"/>
        </w:rPr>
      </w:pPr>
    </w:p>
    <w:p w14:paraId="2CBBB6E1" w14:textId="357D882D" w:rsidR="00700DD8" w:rsidRPr="00700DD8" w:rsidRDefault="00700DD8" w:rsidP="00FE751C">
      <w:pPr>
        <w:pStyle w:val="Body"/>
        <w:tabs>
          <w:tab w:val="center" w:pos="2268"/>
        </w:tabs>
        <w:spacing w:line="360" w:lineRule="auto"/>
        <w:ind w:left="1985" w:hanging="709"/>
        <w:jc w:val="both"/>
        <w:rPr>
          <w:rFonts w:cs="Arial"/>
          <w:i/>
          <w:iCs/>
          <w:sz w:val="22"/>
          <w:szCs w:val="22"/>
        </w:rPr>
      </w:pPr>
      <w:r w:rsidRPr="00700DD8">
        <w:rPr>
          <w:rFonts w:cs="Arial"/>
          <w:i/>
          <w:iCs/>
          <w:sz w:val="22"/>
          <w:szCs w:val="22"/>
        </w:rPr>
        <w:t>3.</w:t>
      </w:r>
      <w:r w:rsidRPr="00700DD8">
        <w:rPr>
          <w:rFonts w:cs="Arial"/>
          <w:i/>
          <w:iCs/>
          <w:sz w:val="22"/>
          <w:szCs w:val="22"/>
        </w:rPr>
        <w:tab/>
        <w:t>The alleged insured driver is unidentified.  Hence the claim should have been lodged on or before 3 April 2020, within the required two-year perio</w:t>
      </w:r>
      <w:r w:rsidR="00685B11">
        <w:rPr>
          <w:rFonts w:cs="Arial"/>
          <w:i/>
          <w:iCs/>
          <w:sz w:val="22"/>
          <w:szCs w:val="22"/>
        </w:rPr>
        <w:t>d.</w:t>
      </w:r>
      <w:r w:rsidRPr="00700DD8">
        <w:rPr>
          <w:rFonts w:cs="Arial"/>
          <w:i/>
          <w:iCs/>
          <w:sz w:val="22"/>
          <w:szCs w:val="22"/>
        </w:rPr>
        <w:t xml:space="preserve"> </w:t>
      </w:r>
    </w:p>
    <w:p w14:paraId="61AFE551" w14:textId="77777777" w:rsidR="00700DD8" w:rsidRPr="00700DD8" w:rsidRDefault="00700DD8" w:rsidP="00FE751C">
      <w:pPr>
        <w:pStyle w:val="Body"/>
        <w:tabs>
          <w:tab w:val="center" w:pos="2268"/>
        </w:tabs>
        <w:spacing w:line="360" w:lineRule="auto"/>
        <w:ind w:left="1985" w:hanging="709"/>
        <w:jc w:val="both"/>
        <w:rPr>
          <w:rFonts w:cs="Arial"/>
          <w:i/>
          <w:iCs/>
          <w:sz w:val="22"/>
          <w:szCs w:val="22"/>
        </w:rPr>
      </w:pPr>
    </w:p>
    <w:p w14:paraId="7CB138A9" w14:textId="48F456FD" w:rsidR="00700DD8" w:rsidRPr="00700DD8" w:rsidRDefault="00700DD8" w:rsidP="00FE751C">
      <w:pPr>
        <w:pStyle w:val="Body"/>
        <w:tabs>
          <w:tab w:val="center" w:pos="2268"/>
        </w:tabs>
        <w:spacing w:line="360" w:lineRule="auto"/>
        <w:ind w:left="1985" w:hanging="709"/>
        <w:jc w:val="both"/>
        <w:rPr>
          <w:rFonts w:cs="Arial"/>
          <w:i/>
          <w:iCs/>
          <w:sz w:val="22"/>
          <w:szCs w:val="22"/>
        </w:rPr>
      </w:pPr>
      <w:r w:rsidRPr="00700DD8">
        <w:rPr>
          <w:rFonts w:cs="Arial"/>
          <w:i/>
          <w:iCs/>
          <w:sz w:val="22"/>
          <w:szCs w:val="22"/>
        </w:rPr>
        <w:t>4.</w:t>
      </w:r>
      <w:r w:rsidRPr="00700DD8">
        <w:rPr>
          <w:rFonts w:cs="Arial"/>
          <w:i/>
          <w:iCs/>
          <w:sz w:val="22"/>
          <w:szCs w:val="22"/>
        </w:rPr>
        <w:tab/>
        <w:t>Under the circumstances as mentioned above, the Plaintiff’s claim has become prescribed’.</w:t>
      </w:r>
    </w:p>
    <w:p w14:paraId="66E7FF5E" w14:textId="77777777" w:rsidR="00700DD8" w:rsidRDefault="00700DD8" w:rsidP="00FE751C">
      <w:pPr>
        <w:pStyle w:val="Body"/>
        <w:spacing w:line="360" w:lineRule="auto"/>
        <w:rPr>
          <w:rFonts w:cs="Arial"/>
          <w:sz w:val="22"/>
          <w:szCs w:val="22"/>
        </w:rPr>
      </w:pPr>
    </w:p>
    <w:p w14:paraId="1A963070" w14:textId="1B69138F" w:rsidR="0063553C" w:rsidRPr="0063553C" w:rsidRDefault="00700DD8" w:rsidP="00FE751C">
      <w:pPr>
        <w:pStyle w:val="Body"/>
        <w:numPr>
          <w:ilvl w:val="0"/>
          <w:numId w:val="8"/>
        </w:numPr>
        <w:spacing w:line="360" w:lineRule="auto"/>
        <w:ind w:hanging="720"/>
        <w:jc w:val="both"/>
        <w:rPr>
          <w:rFonts w:cs="Arial"/>
          <w:i/>
          <w:sz w:val="22"/>
          <w:szCs w:val="22"/>
        </w:rPr>
      </w:pPr>
      <w:r>
        <w:rPr>
          <w:rFonts w:cs="Arial"/>
          <w:iCs/>
          <w:sz w:val="24"/>
          <w:szCs w:val="24"/>
        </w:rPr>
        <w:t xml:space="preserve">It is a matter of public record and common cause between the parties that from midnight on 26 March 2020 and in terms of the Disaster Management </w:t>
      </w:r>
      <w:r w:rsidR="00E66D34">
        <w:rPr>
          <w:rFonts w:cs="Arial"/>
          <w:iCs/>
          <w:sz w:val="24"/>
          <w:szCs w:val="24"/>
        </w:rPr>
        <w:t xml:space="preserve">Act 57 of 2002 and its </w:t>
      </w:r>
      <w:r>
        <w:rPr>
          <w:rFonts w:cs="Arial"/>
          <w:iCs/>
          <w:sz w:val="24"/>
          <w:szCs w:val="24"/>
        </w:rPr>
        <w:t>Regulation</w:t>
      </w:r>
      <w:r w:rsidR="00E66D34">
        <w:rPr>
          <w:rFonts w:cs="Arial"/>
          <w:iCs/>
          <w:sz w:val="24"/>
          <w:szCs w:val="24"/>
        </w:rPr>
        <w:t>s</w:t>
      </w:r>
      <w:r>
        <w:rPr>
          <w:rFonts w:cs="Arial"/>
          <w:iCs/>
          <w:sz w:val="24"/>
          <w:szCs w:val="24"/>
        </w:rPr>
        <w:t>, the Republic was placed in national lockdown</w:t>
      </w:r>
      <w:r w:rsidR="00405B70">
        <w:rPr>
          <w:rFonts w:cs="Arial"/>
          <w:iCs/>
          <w:sz w:val="24"/>
          <w:szCs w:val="24"/>
        </w:rPr>
        <w:t xml:space="preserve"> in terms of which all non-essential services were required to be suspended and a curfew imposed. The initial level of the lockdown was</w:t>
      </w:r>
      <w:r>
        <w:rPr>
          <w:rFonts w:cs="Arial"/>
          <w:iCs/>
          <w:sz w:val="24"/>
          <w:szCs w:val="24"/>
        </w:rPr>
        <w:t xml:space="preserve"> on alert level 5.  This level of the lockdown persisted until 30 April 2020. </w:t>
      </w:r>
    </w:p>
    <w:p w14:paraId="18E1AD5C" w14:textId="24C4524E" w:rsidR="0063553C" w:rsidRPr="0063553C" w:rsidRDefault="00700DD8" w:rsidP="0063553C">
      <w:pPr>
        <w:pStyle w:val="Body"/>
        <w:spacing w:line="360" w:lineRule="auto"/>
        <w:ind w:left="720"/>
        <w:jc w:val="both"/>
        <w:rPr>
          <w:rFonts w:cs="Arial"/>
          <w:i/>
          <w:sz w:val="22"/>
          <w:szCs w:val="22"/>
        </w:rPr>
      </w:pPr>
      <w:r>
        <w:rPr>
          <w:rFonts w:cs="Arial"/>
          <w:iCs/>
          <w:sz w:val="24"/>
          <w:szCs w:val="24"/>
        </w:rPr>
        <w:t xml:space="preserve"> </w:t>
      </w:r>
    </w:p>
    <w:p w14:paraId="14979268" w14:textId="103EF4F0" w:rsidR="00700DD8" w:rsidRPr="00700DD8" w:rsidRDefault="00700DD8" w:rsidP="00FE751C">
      <w:pPr>
        <w:pStyle w:val="Body"/>
        <w:numPr>
          <w:ilvl w:val="0"/>
          <w:numId w:val="8"/>
        </w:numPr>
        <w:spacing w:line="360" w:lineRule="auto"/>
        <w:ind w:hanging="720"/>
        <w:jc w:val="both"/>
        <w:rPr>
          <w:rFonts w:cs="Arial"/>
          <w:i/>
          <w:sz w:val="22"/>
          <w:szCs w:val="22"/>
        </w:rPr>
      </w:pPr>
      <w:r>
        <w:rPr>
          <w:rFonts w:cs="Arial"/>
          <w:iCs/>
          <w:sz w:val="24"/>
          <w:szCs w:val="24"/>
        </w:rPr>
        <w:t xml:space="preserve">The alert level was adjusted to level 4 from 1 May </w:t>
      </w:r>
      <w:r w:rsidR="0063553C">
        <w:rPr>
          <w:rFonts w:cs="Arial"/>
          <w:iCs/>
          <w:sz w:val="24"/>
          <w:szCs w:val="24"/>
        </w:rPr>
        <w:t>2020,</w:t>
      </w:r>
      <w:r>
        <w:rPr>
          <w:rFonts w:cs="Arial"/>
          <w:iCs/>
          <w:sz w:val="24"/>
          <w:szCs w:val="24"/>
        </w:rPr>
        <w:t xml:space="preserve"> and this persisted until 31 May 2020.  It is further common cause that the offices of the defendant</w:t>
      </w:r>
      <w:r w:rsidR="0029046E">
        <w:rPr>
          <w:rFonts w:cs="Arial"/>
          <w:iCs/>
          <w:sz w:val="24"/>
          <w:szCs w:val="24"/>
        </w:rPr>
        <w:t xml:space="preserve">, as well </w:t>
      </w:r>
      <w:r w:rsidR="00B56FAE">
        <w:rPr>
          <w:rFonts w:cs="Arial"/>
          <w:iCs/>
          <w:sz w:val="24"/>
          <w:szCs w:val="24"/>
        </w:rPr>
        <w:t>as other</w:t>
      </w:r>
      <w:r w:rsidR="0029046E">
        <w:rPr>
          <w:rFonts w:cs="Arial"/>
          <w:iCs/>
          <w:sz w:val="24"/>
          <w:szCs w:val="24"/>
        </w:rPr>
        <w:t xml:space="preserve"> non-essential services, </w:t>
      </w:r>
      <w:r>
        <w:rPr>
          <w:rFonts w:cs="Arial"/>
          <w:iCs/>
          <w:sz w:val="24"/>
          <w:szCs w:val="24"/>
        </w:rPr>
        <w:t>were closed to the public throughout the entirety of alert level 5 and alert level 4 for the period 27 March 2020 until 31 May 2020.</w:t>
      </w:r>
    </w:p>
    <w:p w14:paraId="292C8390" w14:textId="77777777" w:rsidR="00700DD8" w:rsidRPr="00700DD8" w:rsidRDefault="00700DD8" w:rsidP="00FE751C">
      <w:pPr>
        <w:pStyle w:val="Body"/>
        <w:spacing w:line="360" w:lineRule="auto"/>
        <w:ind w:left="720"/>
        <w:jc w:val="both"/>
        <w:rPr>
          <w:rFonts w:cs="Arial"/>
          <w:i/>
          <w:sz w:val="22"/>
          <w:szCs w:val="22"/>
        </w:rPr>
      </w:pPr>
    </w:p>
    <w:p w14:paraId="042327D3" w14:textId="2C0D68E0" w:rsidR="00F83B1B" w:rsidRPr="00F83B1B" w:rsidRDefault="00700DD8" w:rsidP="00FE751C">
      <w:pPr>
        <w:pStyle w:val="Body"/>
        <w:numPr>
          <w:ilvl w:val="0"/>
          <w:numId w:val="8"/>
        </w:numPr>
        <w:spacing w:line="360" w:lineRule="auto"/>
        <w:ind w:hanging="720"/>
        <w:jc w:val="both"/>
        <w:rPr>
          <w:rFonts w:cs="Arial"/>
          <w:sz w:val="22"/>
          <w:szCs w:val="22"/>
        </w:rPr>
      </w:pPr>
      <w:r w:rsidRPr="00F83B1B">
        <w:rPr>
          <w:rFonts w:cs="Arial"/>
          <w:iCs/>
          <w:sz w:val="24"/>
          <w:szCs w:val="24"/>
        </w:rPr>
        <w:t>The argument advanced in support of the special plea was that since the provisions of the Road Accident Fund Act did not permit the granting of an extension of the prescriptive period for lodging of claims</w:t>
      </w:r>
      <w:r w:rsidR="00F83B1B" w:rsidRPr="00F83B1B">
        <w:rPr>
          <w:rFonts w:cs="Arial"/>
          <w:iCs/>
          <w:sz w:val="24"/>
          <w:szCs w:val="24"/>
        </w:rPr>
        <w:t xml:space="preserve">, any claim not lodged timeously, and in particular the plaintiff’s claim in the present matter, had become </w:t>
      </w:r>
      <w:r w:rsidR="00F83B1B" w:rsidRPr="00F83B1B">
        <w:rPr>
          <w:rFonts w:cs="Arial"/>
          <w:iCs/>
          <w:sz w:val="24"/>
          <w:szCs w:val="24"/>
        </w:rPr>
        <w:lastRenderedPageBreak/>
        <w:t>prescribed and unenforceable.</w:t>
      </w:r>
      <w:r w:rsidR="00685B11">
        <w:rPr>
          <w:rFonts w:cs="Arial"/>
          <w:iCs/>
          <w:sz w:val="24"/>
          <w:szCs w:val="24"/>
        </w:rPr>
        <w:t xml:space="preserve">  This was predicated upon</w:t>
      </w:r>
      <w:r w:rsidR="00685B11" w:rsidRPr="00685B11">
        <w:rPr>
          <w:rFonts w:cs="Arial"/>
          <w:sz w:val="24"/>
          <w:szCs w:val="24"/>
        </w:rPr>
        <w:t xml:space="preserve"> Section 17(1)(b) read together with Regulation 2(1)(a) which provides that a claim in respect of an unidentified owner or driver of a motor vehicle must be sent or delivered within two years from the date upon which the cause of action arose.</w:t>
      </w:r>
    </w:p>
    <w:p w14:paraId="53BB7E8D" w14:textId="77777777" w:rsidR="00F83B1B" w:rsidRPr="00F83B1B" w:rsidRDefault="00F83B1B" w:rsidP="00FE751C">
      <w:pPr>
        <w:pStyle w:val="ListParagraph"/>
        <w:spacing w:line="360" w:lineRule="auto"/>
        <w:rPr>
          <w:rFonts w:cs="Arial"/>
          <w:iCs/>
        </w:rPr>
      </w:pPr>
    </w:p>
    <w:p w14:paraId="32BA2A69" w14:textId="00776A08" w:rsidR="00437DF3" w:rsidRPr="00492D5F" w:rsidRDefault="00F83B1B" w:rsidP="00492D5F">
      <w:pPr>
        <w:pStyle w:val="Body"/>
        <w:numPr>
          <w:ilvl w:val="0"/>
          <w:numId w:val="8"/>
        </w:numPr>
        <w:spacing w:line="360" w:lineRule="auto"/>
        <w:ind w:hanging="720"/>
        <w:jc w:val="both"/>
        <w:rPr>
          <w:rFonts w:cs="Arial"/>
          <w:sz w:val="24"/>
          <w:szCs w:val="24"/>
        </w:rPr>
      </w:pPr>
      <w:r w:rsidRPr="00F83B1B">
        <w:rPr>
          <w:rFonts w:cs="Arial"/>
          <w:iCs/>
          <w:sz w:val="24"/>
          <w:szCs w:val="24"/>
        </w:rPr>
        <w:t xml:space="preserve">This was the sole argument advanced by the Defendant.  </w:t>
      </w:r>
    </w:p>
    <w:p w14:paraId="6E822B0B" w14:textId="77777777" w:rsidR="00405B70" w:rsidRDefault="00405B70" w:rsidP="00405B70">
      <w:pPr>
        <w:pStyle w:val="ListParagraph"/>
        <w:rPr>
          <w:rFonts w:cs="Arial"/>
          <w:iCs/>
        </w:rPr>
      </w:pPr>
    </w:p>
    <w:p w14:paraId="273BAC10" w14:textId="58073591" w:rsidR="00160030" w:rsidRDefault="00437DF3" w:rsidP="00723A34">
      <w:pPr>
        <w:pStyle w:val="Body"/>
        <w:numPr>
          <w:ilvl w:val="0"/>
          <w:numId w:val="8"/>
        </w:numPr>
        <w:spacing w:line="360" w:lineRule="auto"/>
        <w:ind w:hanging="720"/>
        <w:jc w:val="both"/>
        <w:rPr>
          <w:rFonts w:cs="Arial"/>
          <w:iCs/>
          <w:sz w:val="24"/>
          <w:szCs w:val="24"/>
        </w:rPr>
      </w:pPr>
      <w:r w:rsidRPr="00437DF3">
        <w:rPr>
          <w:rFonts w:cs="Arial"/>
          <w:iCs/>
          <w:sz w:val="24"/>
          <w:szCs w:val="24"/>
        </w:rPr>
        <w:t>Two factors prevented the plaintiff from delivering his claim timeously, at the latest by 3 April 2020. The first was as a result of the operation of law and the second, a consequence of the first, that the defendants’ offices were closed throughout the period to members of the public.</w:t>
      </w:r>
    </w:p>
    <w:p w14:paraId="4CEA4CBC" w14:textId="77777777" w:rsidR="00437DF3" w:rsidRPr="00437DF3" w:rsidRDefault="00437DF3" w:rsidP="00492D5F">
      <w:pPr>
        <w:pStyle w:val="Body"/>
        <w:spacing w:line="360" w:lineRule="auto"/>
        <w:jc w:val="both"/>
        <w:rPr>
          <w:rFonts w:cs="Arial"/>
          <w:iCs/>
          <w:sz w:val="24"/>
          <w:szCs w:val="24"/>
        </w:rPr>
      </w:pPr>
    </w:p>
    <w:p w14:paraId="6E2D4A40" w14:textId="28709F81" w:rsidR="00F83B1B" w:rsidRPr="00437DF3" w:rsidRDefault="0063553C" w:rsidP="00C90797">
      <w:pPr>
        <w:pStyle w:val="Body"/>
        <w:numPr>
          <w:ilvl w:val="0"/>
          <w:numId w:val="8"/>
        </w:numPr>
        <w:spacing w:line="360" w:lineRule="auto"/>
        <w:ind w:hanging="720"/>
        <w:jc w:val="both"/>
        <w:rPr>
          <w:rFonts w:cs="Arial"/>
        </w:rPr>
      </w:pPr>
      <w:r w:rsidRPr="00437DF3">
        <w:rPr>
          <w:rFonts w:cs="Arial"/>
          <w:iCs/>
          <w:sz w:val="24"/>
          <w:szCs w:val="24"/>
        </w:rPr>
        <w:t xml:space="preserve">The effect of these two factors impacted not only persons in the position of the plaintiff but also those wishing to file claims in respect of which the drivers or owners of the offending vehicles were identified – claims in terms of section 17(1)(a) of the Act </w:t>
      </w:r>
      <w:r w:rsidR="00437DF3" w:rsidRPr="00437DF3">
        <w:rPr>
          <w:rFonts w:cs="Arial"/>
          <w:iCs/>
          <w:sz w:val="24"/>
          <w:szCs w:val="24"/>
        </w:rPr>
        <w:t>and</w:t>
      </w:r>
      <w:r w:rsidRPr="00437DF3">
        <w:rPr>
          <w:rFonts w:cs="Arial"/>
          <w:iCs/>
          <w:sz w:val="24"/>
          <w:szCs w:val="24"/>
        </w:rPr>
        <w:t xml:space="preserve"> also those who wished to serve summonses within the 5 year period as provided </w:t>
      </w:r>
      <w:r w:rsidR="00160030" w:rsidRPr="00437DF3">
        <w:rPr>
          <w:rFonts w:cs="Arial"/>
          <w:iCs/>
          <w:sz w:val="24"/>
          <w:szCs w:val="24"/>
        </w:rPr>
        <w:t xml:space="preserve">for </w:t>
      </w:r>
      <w:r w:rsidRPr="00437DF3">
        <w:rPr>
          <w:rFonts w:cs="Arial"/>
          <w:iCs/>
          <w:sz w:val="24"/>
          <w:szCs w:val="24"/>
        </w:rPr>
        <w:t>in section</w:t>
      </w:r>
      <w:r w:rsidR="00160030" w:rsidRPr="00437DF3">
        <w:rPr>
          <w:rFonts w:cs="Arial"/>
          <w:iCs/>
          <w:sz w:val="24"/>
          <w:szCs w:val="24"/>
        </w:rPr>
        <w:t xml:space="preserve"> 23(3)</w:t>
      </w:r>
      <w:r w:rsidR="00160030">
        <w:rPr>
          <w:rStyle w:val="FootnoteReference"/>
          <w:rFonts w:cs="Arial"/>
          <w:iCs/>
          <w:sz w:val="24"/>
          <w:szCs w:val="24"/>
        </w:rPr>
        <w:footnoteReference w:id="2"/>
      </w:r>
      <w:r w:rsidR="00160030" w:rsidRPr="00437DF3">
        <w:rPr>
          <w:rFonts w:cs="Arial"/>
          <w:iCs/>
          <w:sz w:val="24"/>
          <w:szCs w:val="24"/>
        </w:rPr>
        <w:t xml:space="preserve">. </w:t>
      </w:r>
    </w:p>
    <w:p w14:paraId="03A3D5C2" w14:textId="77777777" w:rsidR="00437DF3" w:rsidRPr="00437DF3" w:rsidRDefault="00437DF3" w:rsidP="00437DF3">
      <w:pPr>
        <w:pStyle w:val="Body"/>
        <w:spacing w:line="360" w:lineRule="auto"/>
        <w:ind w:left="720"/>
        <w:jc w:val="both"/>
        <w:rPr>
          <w:rFonts w:cs="Arial"/>
        </w:rPr>
      </w:pPr>
    </w:p>
    <w:p w14:paraId="624FEB29" w14:textId="295DF301" w:rsidR="00F83B1B" w:rsidRDefault="00E66D34" w:rsidP="00FE751C">
      <w:pPr>
        <w:pStyle w:val="Body"/>
        <w:numPr>
          <w:ilvl w:val="0"/>
          <w:numId w:val="8"/>
        </w:numPr>
        <w:spacing w:line="360" w:lineRule="auto"/>
        <w:ind w:hanging="720"/>
        <w:jc w:val="both"/>
        <w:rPr>
          <w:rFonts w:cs="Arial"/>
          <w:sz w:val="24"/>
          <w:szCs w:val="24"/>
        </w:rPr>
      </w:pPr>
      <w:r>
        <w:rPr>
          <w:rFonts w:cs="Arial"/>
          <w:sz w:val="24"/>
          <w:szCs w:val="24"/>
        </w:rPr>
        <w:t>It was not argued and there was no evidence put before me to indicate that the Defendant implemented or attempted to implement any mitigatory measure which would have facilitated its continued ability to receive claims, whether by electronic or other means which would not have resulted in a breach of the applicable lock down level and its Regulations</w:t>
      </w:r>
      <w:r w:rsidR="00F23D0D">
        <w:rPr>
          <w:rStyle w:val="FootnoteReference"/>
          <w:rFonts w:cs="Arial"/>
          <w:sz w:val="24"/>
          <w:szCs w:val="24"/>
        </w:rPr>
        <w:footnoteReference w:id="3"/>
      </w:r>
      <w:r>
        <w:rPr>
          <w:rFonts w:cs="Arial"/>
          <w:sz w:val="24"/>
          <w:szCs w:val="24"/>
        </w:rPr>
        <w:t>.</w:t>
      </w:r>
      <w:r w:rsidR="00F83B1B">
        <w:rPr>
          <w:rFonts w:cs="Arial"/>
          <w:sz w:val="24"/>
          <w:szCs w:val="24"/>
        </w:rPr>
        <w:t xml:space="preserve"> </w:t>
      </w:r>
    </w:p>
    <w:p w14:paraId="2DB3FFDD" w14:textId="77777777" w:rsidR="0075428F" w:rsidRPr="00F5735E" w:rsidRDefault="0075428F" w:rsidP="00F5735E">
      <w:pPr>
        <w:rPr>
          <w:rFonts w:cs="Arial"/>
        </w:rPr>
      </w:pPr>
    </w:p>
    <w:p w14:paraId="6021CC65" w14:textId="0BAB29EB" w:rsidR="00810E0F" w:rsidRPr="00810E0F" w:rsidRDefault="003727C1" w:rsidP="00B92CF0">
      <w:pPr>
        <w:pStyle w:val="Body"/>
        <w:numPr>
          <w:ilvl w:val="0"/>
          <w:numId w:val="8"/>
        </w:numPr>
        <w:spacing w:line="360" w:lineRule="auto"/>
        <w:ind w:hanging="720"/>
        <w:jc w:val="both"/>
        <w:rPr>
          <w:rFonts w:cs="Arial"/>
        </w:rPr>
      </w:pPr>
      <w:r w:rsidRPr="0091036F">
        <w:rPr>
          <w:rFonts w:cs="Arial"/>
          <w:sz w:val="24"/>
          <w:szCs w:val="24"/>
        </w:rPr>
        <w:t>While ordinarily</w:t>
      </w:r>
      <w:r w:rsidR="00671906" w:rsidRPr="0091036F">
        <w:rPr>
          <w:rFonts w:cs="Arial"/>
          <w:sz w:val="24"/>
          <w:szCs w:val="24"/>
        </w:rPr>
        <w:t xml:space="preserve"> and in circumstances such as occurred during the period of lockdown levels 4 and 5, </w:t>
      </w:r>
      <w:r w:rsidR="00A86119">
        <w:rPr>
          <w:rFonts w:cs="Arial"/>
          <w:sz w:val="24"/>
          <w:szCs w:val="24"/>
        </w:rPr>
        <w:t xml:space="preserve">the provisions of </w:t>
      </w:r>
      <w:r w:rsidR="00671906" w:rsidRPr="0091036F">
        <w:rPr>
          <w:rFonts w:cs="Arial"/>
          <w:sz w:val="24"/>
          <w:szCs w:val="24"/>
        </w:rPr>
        <w:t>t</w:t>
      </w:r>
      <w:r w:rsidR="0075428F" w:rsidRPr="0091036F">
        <w:rPr>
          <w:rFonts w:cs="Arial"/>
          <w:sz w:val="24"/>
          <w:szCs w:val="24"/>
        </w:rPr>
        <w:t>he Prescription Act</w:t>
      </w:r>
      <w:r w:rsidR="00685B11" w:rsidRPr="0091036F">
        <w:rPr>
          <w:rFonts w:cs="Arial"/>
          <w:sz w:val="24"/>
          <w:szCs w:val="24"/>
        </w:rPr>
        <w:t xml:space="preserve"> 68 of 1969</w:t>
      </w:r>
      <w:r w:rsidR="00671906" w:rsidRPr="0091036F">
        <w:rPr>
          <w:rFonts w:cs="Arial"/>
          <w:sz w:val="24"/>
          <w:szCs w:val="24"/>
        </w:rPr>
        <w:t xml:space="preserve"> would operate to extend the applicable time periods</w:t>
      </w:r>
      <w:r w:rsidR="00CB79AC">
        <w:rPr>
          <w:rFonts w:cs="Arial"/>
          <w:sz w:val="24"/>
          <w:szCs w:val="24"/>
        </w:rPr>
        <w:t xml:space="preserve"> generally</w:t>
      </w:r>
      <w:r w:rsidR="00402BED">
        <w:rPr>
          <w:rFonts w:cs="Arial"/>
          <w:sz w:val="24"/>
          <w:szCs w:val="24"/>
        </w:rPr>
        <w:t xml:space="preserve"> in respect of the </w:t>
      </w:r>
      <w:r w:rsidR="00402BED">
        <w:rPr>
          <w:rFonts w:cs="Arial"/>
          <w:sz w:val="24"/>
          <w:szCs w:val="24"/>
        </w:rPr>
        <w:lastRenderedPageBreak/>
        <w:t>enforcement of debts</w:t>
      </w:r>
      <w:r w:rsidR="00A86119">
        <w:rPr>
          <w:rFonts w:cs="Arial"/>
          <w:sz w:val="24"/>
          <w:szCs w:val="24"/>
        </w:rPr>
        <w:t>. This however offers no succour to persons with claims against the RAF.</w:t>
      </w:r>
      <w:r w:rsidR="0091036F" w:rsidRPr="0091036F">
        <w:rPr>
          <w:rFonts w:cs="Arial"/>
          <w:sz w:val="24"/>
          <w:szCs w:val="24"/>
        </w:rPr>
        <w:t xml:space="preserve"> </w:t>
      </w:r>
    </w:p>
    <w:p w14:paraId="4073CD13" w14:textId="77777777" w:rsidR="00810E0F" w:rsidRPr="00810E0F" w:rsidRDefault="00810E0F" w:rsidP="00810E0F">
      <w:pPr>
        <w:pStyle w:val="Body"/>
        <w:spacing w:line="360" w:lineRule="auto"/>
        <w:ind w:left="720"/>
        <w:jc w:val="both"/>
        <w:rPr>
          <w:rFonts w:cs="Arial"/>
        </w:rPr>
      </w:pPr>
    </w:p>
    <w:p w14:paraId="04BEF66B" w14:textId="7BC8C45B" w:rsidR="00FE751C" w:rsidRPr="00402BED" w:rsidRDefault="00A86119" w:rsidP="00B92CF0">
      <w:pPr>
        <w:pStyle w:val="Body"/>
        <w:numPr>
          <w:ilvl w:val="0"/>
          <w:numId w:val="8"/>
        </w:numPr>
        <w:spacing w:line="360" w:lineRule="auto"/>
        <w:ind w:hanging="720"/>
        <w:jc w:val="both"/>
        <w:rPr>
          <w:rFonts w:cs="Arial"/>
        </w:rPr>
      </w:pPr>
      <w:r>
        <w:rPr>
          <w:rFonts w:cs="Arial"/>
          <w:sz w:val="24"/>
          <w:szCs w:val="24"/>
        </w:rPr>
        <w:t>It was held in</w:t>
      </w:r>
      <w:r w:rsidR="0091036F" w:rsidRPr="0091036F">
        <w:rPr>
          <w:rFonts w:cs="Arial"/>
          <w:sz w:val="24"/>
          <w:szCs w:val="24"/>
        </w:rPr>
        <w:t xml:space="preserve"> </w:t>
      </w:r>
      <w:r w:rsidR="00402BED">
        <w:rPr>
          <w:rFonts w:cs="Arial"/>
          <w:sz w:val="24"/>
          <w:szCs w:val="24"/>
        </w:rPr>
        <w:t xml:space="preserve">Road Accident Fund v </w:t>
      </w:r>
      <w:proofErr w:type="spellStart"/>
      <w:r w:rsidR="00402BED">
        <w:rPr>
          <w:rFonts w:cs="Arial"/>
          <w:sz w:val="24"/>
          <w:szCs w:val="24"/>
        </w:rPr>
        <w:t>Mdeyide</w:t>
      </w:r>
      <w:proofErr w:type="spellEnd"/>
      <w:r w:rsidR="00402BED">
        <w:rPr>
          <w:rStyle w:val="FootnoteReference"/>
          <w:rFonts w:cs="Arial"/>
          <w:sz w:val="24"/>
          <w:szCs w:val="24"/>
        </w:rPr>
        <w:footnoteReference w:id="4"/>
      </w:r>
      <w:r w:rsidR="00402BED">
        <w:rPr>
          <w:rFonts w:cs="Arial"/>
          <w:sz w:val="24"/>
          <w:szCs w:val="24"/>
        </w:rPr>
        <w:t>:</w:t>
      </w:r>
    </w:p>
    <w:p w14:paraId="056B4BD6" w14:textId="77777777" w:rsidR="00402BED" w:rsidRDefault="00402BED" w:rsidP="00402BED">
      <w:pPr>
        <w:pStyle w:val="ListParagraph"/>
        <w:rPr>
          <w:rFonts w:cs="Arial"/>
        </w:rPr>
      </w:pPr>
    </w:p>
    <w:p w14:paraId="52619A5A" w14:textId="075FE908" w:rsidR="00402BED" w:rsidRPr="00810E0F" w:rsidRDefault="00402BED" w:rsidP="00B56FAE">
      <w:pPr>
        <w:pStyle w:val="Body"/>
        <w:tabs>
          <w:tab w:val="center" w:pos="1985"/>
          <w:tab w:val="center" w:pos="2268"/>
        </w:tabs>
        <w:spacing w:line="360" w:lineRule="auto"/>
        <w:ind w:left="1985" w:hanging="567"/>
        <w:jc w:val="both"/>
        <w:rPr>
          <w:rFonts w:cs="Arial"/>
          <w:i/>
          <w:iCs/>
          <w:sz w:val="22"/>
          <w:szCs w:val="22"/>
        </w:rPr>
      </w:pPr>
      <w:r w:rsidRPr="00810E0F">
        <w:rPr>
          <w:rFonts w:cs="Arial"/>
          <w:i/>
          <w:iCs/>
          <w:sz w:val="22"/>
          <w:szCs w:val="22"/>
        </w:rPr>
        <w:t>‘[50]</w:t>
      </w:r>
      <w:r w:rsidR="009C5A19" w:rsidRPr="00810E0F">
        <w:rPr>
          <w:rFonts w:cs="Arial"/>
          <w:i/>
          <w:iCs/>
          <w:sz w:val="22"/>
          <w:szCs w:val="22"/>
        </w:rPr>
        <w:tab/>
      </w:r>
      <w:r w:rsidR="00492D5F">
        <w:rPr>
          <w:rFonts w:cs="Arial"/>
          <w:i/>
          <w:iCs/>
          <w:sz w:val="22"/>
          <w:szCs w:val="22"/>
        </w:rPr>
        <w:tab/>
      </w:r>
      <w:r w:rsidR="009C5A19" w:rsidRPr="00810E0F">
        <w:rPr>
          <w:rFonts w:cs="Arial"/>
          <w:i/>
          <w:iCs/>
          <w:sz w:val="22"/>
          <w:szCs w:val="22"/>
        </w:rPr>
        <w:t>There is therefore a clear re</w:t>
      </w:r>
      <w:r w:rsidR="000D08B8" w:rsidRPr="00810E0F">
        <w:rPr>
          <w:rFonts w:cs="Arial"/>
          <w:i/>
          <w:iCs/>
          <w:sz w:val="22"/>
          <w:szCs w:val="22"/>
        </w:rPr>
        <w:t>a</w:t>
      </w:r>
      <w:r w:rsidR="009C5A19" w:rsidRPr="00810E0F">
        <w:rPr>
          <w:rFonts w:cs="Arial"/>
          <w:i/>
          <w:iCs/>
          <w:sz w:val="22"/>
          <w:szCs w:val="22"/>
        </w:rPr>
        <w:t>son for the difference between the Prescription Act and the RAF Act. The Prescription Act regulates the prescription of claims in general, and the RAF Act is tailored for the specific area it deals with, namely claims for compensation against the Fund for those injured in road accidents. The legislature enacted the RAF Act – and included provisions dealing with prescription in it – for the very reason that the Prescription Act was not regarded as appropriate for this area.’</w:t>
      </w:r>
    </w:p>
    <w:p w14:paraId="782F811D" w14:textId="5179373C" w:rsidR="00685B11" w:rsidRDefault="00685B11" w:rsidP="00492D5F">
      <w:pPr>
        <w:pStyle w:val="Body"/>
        <w:spacing w:line="360" w:lineRule="auto"/>
        <w:jc w:val="both"/>
        <w:rPr>
          <w:rFonts w:cs="Arial"/>
          <w:sz w:val="24"/>
          <w:szCs w:val="24"/>
        </w:rPr>
      </w:pPr>
    </w:p>
    <w:p w14:paraId="2E8FB512" w14:textId="04272723" w:rsidR="00492D5F" w:rsidRPr="00F5735E" w:rsidRDefault="00810E0F" w:rsidP="00F5735E">
      <w:pPr>
        <w:pStyle w:val="Body"/>
        <w:numPr>
          <w:ilvl w:val="0"/>
          <w:numId w:val="8"/>
        </w:numPr>
        <w:spacing w:line="360" w:lineRule="auto"/>
        <w:ind w:hanging="720"/>
        <w:jc w:val="both"/>
        <w:rPr>
          <w:rFonts w:cs="Arial"/>
          <w:sz w:val="24"/>
          <w:szCs w:val="24"/>
        </w:rPr>
      </w:pPr>
      <w:r>
        <w:rPr>
          <w:rFonts w:cs="Arial"/>
          <w:sz w:val="24"/>
          <w:szCs w:val="24"/>
        </w:rPr>
        <w:t xml:space="preserve">However, the fact that the Prescription Act finds no application in respect of claims against the RAF is not dispositive of the matter. The Constitutional Court was confronted with such a situation in </w:t>
      </w:r>
      <w:r w:rsidR="004E0B95" w:rsidRPr="00810E0F">
        <w:rPr>
          <w:rFonts w:cs="Arial"/>
          <w:sz w:val="24"/>
          <w:szCs w:val="24"/>
        </w:rPr>
        <w:t>Van Zyl NO v Road Accident Fund</w:t>
      </w:r>
      <w:r w:rsidR="004E0B95">
        <w:rPr>
          <w:rStyle w:val="FootnoteReference"/>
          <w:rFonts w:cs="Arial"/>
          <w:sz w:val="24"/>
          <w:szCs w:val="24"/>
        </w:rPr>
        <w:footnoteReference w:id="5"/>
      </w:r>
      <w:r>
        <w:rPr>
          <w:rFonts w:cs="Arial"/>
          <w:sz w:val="24"/>
          <w:szCs w:val="24"/>
        </w:rPr>
        <w:t>.</w:t>
      </w:r>
    </w:p>
    <w:p w14:paraId="6E86F05C" w14:textId="77777777" w:rsidR="00492D5F" w:rsidRDefault="00492D5F" w:rsidP="00492D5F">
      <w:pPr>
        <w:pStyle w:val="Body"/>
        <w:spacing w:line="360" w:lineRule="auto"/>
        <w:ind w:left="720"/>
        <w:jc w:val="both"/>
        <w:rPr>
          <w:rFonts w:cs="Arial"/>
          <w:sz w:val="24"/>
          <w:szCs w:val="24"/>
        </w:rPr>
      </w:pPr>
    </w:p>
    <w:p w14:paraId="7AE16ECE" w14:textId="3E1FB706" w:rsidR="00492D5F" w:rsidRDefault="00461CA1" w:rsidP="00492D5F">
      <w:pPr>
        <w:pStyle w:val="Body"/>
        <w:numPr>
          <w:ilvl w:val="0"/>
          <w:numId w:val="8"/>
        </w:numPr>
        <w:spacing w:line="360" w:lineRule="auto"/>
        <w:ind w:hanging="720"/>
        <w:jc w:val="both"/>
        <w:rPr>
          <w:rFonts w:cs="Arial"/>
          <w:sz w:val="24"/>
          <w:szCs w:val="24"/>
        </w:rPr>
      </w:pPr>
      <w:r>
        <w:rPr>
          <w:rFonts w:cs="Arial"/>
          <w:sz w:val="24"/>
          <w:szCs w:val="24"/>
        </w:rPr>
        <w:t>This case concerned a claim brought by a curator on behalf of a mentally incapacitated person who did not fall into one of the two exceptions which cater for the delay in the running of prescription against such persons in section 23(2)(b) and (c)</w:t>
      </w:r>
      <w:r>
        <w:rPr>
          <w:rStyle w:val="FootnoteReference"/>
          <w:rFonts w:cs="Arial"/>
          <w:sz w:val="24"/>
          <w:szCs w:val="24"/>
        </w:rPr>
        <w:footnoteReference w:id="6"/>
      </w:r>
      <w:r w:rsidR="004E0B95" w:rsidRPr="00810E0F">
        <w:rPr>
          <w:rFonts w:cs="Arial"/>
          <w:sz w:val="24"/>
          <w:szCs w:val="24"/>
        </w:rPr>
        <w:t xml:space="preserve"> </w:t>
      </w:r>
      <w:r>
        <w:rPr>
          <w:rFonts w:cs="Arial"/>
          <w:sz w:val="24"/>
          <w:szCs w:val="24"/>
        </w:rPr>
        <w:t>of the RAF Act.</w:t>
      </w:r>
      <w:r w:rsidR="00353905">
        <w:rPr>
          <w:rFonts w:cs="Arial"/>
          <w:sz w:val="24"/>
          <w:szCs w:val="24"/>
        </w:rPr>
        <w:t xml:space="preserve"> </w:t>
      </w:r>
      <w:r w:rsidR="00536E13">
        <w:rPr>
          <w:rFonts w:cs="Arial"/>
          <w:sz w:val="24"/>
          <w:szCs w:val="24"/>
        </w:rPr>
        <w:t>The majority found</w:t>
      </w:r>
      <w:r w:rsidR="00124103">
        <w:rPr>
          <w:rFonts w:cs="Arial"/>
          <w:sz w:val="24"/>
          <w:szCs w:val="24"/>
        </w:rPr>
        <w:t xml:space="preserve"> that the maxim </w:t>
      </w:r>
      <w:r w:rsidR="00124103" w:rsidRPr="00124103">
        <w:rPr>
          <w:rFonts w:cs="Arial"/>
          <w:i/>
          <w:iCs/>
          <w:sz w:val="24"/>
          <w:szCs w:val="24"/>
        </w:rPr>
        <w:t>lex non cogit ad impossibilia</w:t>
      </w:r>
      <w:r w:rsidR="00124103">
        <w:rPr>
          <w:rFonts w:cs="Arial"/>
          <w:sz w:val="24"/>
          <w:szCs w:val="24"/>
        </w:rPr>
        <w:t xml:space="preserve"> was of application in the circumstances.</w:t>
      </w:r>
    </w:p>
    <w:p w14:paraId="7778FBF2" w14:textId="77777777" w:rsidR="00492D5F" w:rsidRDefault="00492D5F" w:rsidP="00492D5F">
      <w:pPr>
        <w:pStyle w:val="Body"/>
        <w:spacing w:line="360" w:lineRule="auto"/>
        <w:ind w:left="720"/>
        <w:jc w:val="both"/>
        <w:rPr>
          <w:rFonts w:cs="Arial"/>
          <w:sz w:val="24"/>
          <w:szCs w:val="24"/>
        </w:rPr>
      </w:pPr>
    </w:p>
    <w:p w14:paraId="69F19BF2" w14:textId="5FC09A04" w:rsidR="00124103" w:rsidRPr="00492D5F" w:rsidRDefault="00124103" w:rsidP="00492D5F">
      <w:pPr>
        <w:pStyle w:val="Body"/>
        <w:numPr>
          <w:ilvl w:val="0"/>
          <w:numId w:val="8"/>
        </w:numPr>
        <w:spacing w:line="360" w:lineRule="auto"/>
        <w:ind w:hanging="720"/>
        <w:jc w:val="both"/>
        <w:rPr>
          <w:rFonts w:cs="Arial"/>
          <w:sz w:val="24"/>
          <w:szCs w:val="24"/>
        </w:rPr>
      </w:pPr>
      <w:r w:rsidRPr="00492D5F">
        <w:rPr>
          <w:rFonts w:cs="Arial"/>
          <w:sz w:val="24"/>
          <w:szCs w:val="24"/>
        </w:rPr>
        <w:t>In this regard, it was held</w:t>
      </w:r>
      <w:r>
        <w:rPr>
          <w:rStyle w:val="FootnoteReference"/>
          <w:rFonts w:cs="Arial"/>
          <w:sz w:val="24"/>
          <w:szCs w:val="24"/>
        </w:rPr>
        <w:footnoteReference w:id="7"/>
      </w:r>
      <w:r w:rsidRPr="00492D5F">
        <w:rPr>
          <w:rFonts w:cs="Arial"/>
          <w:sz w:val="24"/>
          <w:szCs w:val="24"/>
        </w:rPr>
        <w:t xml:space="preserve"> that:</w:t>
      </w:r>
    </w:p>
    <w:p w14:paraId="3248E2D2" w14:textId="08381105" w:rsidR="00685B11" w:rsidRPr="00810E0F" w:rsidRDefault="004E0B95" w:rsidP="00124103">
      <w:pPr>
        <w:pStyle w:val="Body"/>
        <w:spacing w:line="360" w:lineRule="auto"/>
        <w:ind w:left="720"/>
        <w:jc w:val="both"/>
        <w:rPr>
          <w:rFonts w:cs="Arial"/>
          <w:sz w:val="24"/>
          <w:szCs w:val="24"/>
        </w:rPr>
      </w:pPr>
      <w:r w:rsidRPr="00810E0F">
        <w:rPr>
          <w:rFonts w:cs="Arial"/>
          <w:sz w:val="24"/>
          <w:szCs w:val="24"/>
        </w:rPr>
        <w:t xml:space="preserve"> </w:t>
      </w:r>
    </w:p>
    <w:p w14:paraId="6ED6E64A" w14:textId="1D3F8CFB" w:rsidR="0081451A" w:rsidRDefault="00920605" w:rsidP="00B56FAE">
      <w:pPr>
        <w:tabs>
          <w:tab w:val="center" w:pos="1134"/>
          <w:tab w:val="center" w:pos="1418"/>
          <w:tab w:val="center" w:pos="1701"/>
          <w:tab w:val="center" w:pos="1985"/>
          <w:tab w:val="center" w:pos="2268"/>
        </w:tabs>
        <w:spacing w:after="81" w:line="360" w:lineRule="auto"/>
        <w:ind w:left="1985" w:hanging="567"/>
        <w:jc w:val="both"/>
        <w:rPr>
          <w:rFonts w:ascii="Arial" w:eastAsia="Verdana" w:hAnsi="Arial" w:cs="Arial"/>
          <w:i/>
          <w:iCs/>
          <w:sz w:val="22"/>
          <w:szCs w:val="22"/>
        </w:rPr>
      </w:pPr>
      <w:r w:rsidRPr="00920605">
        <w:rPr>
          <w:rFonts w:ascii="Arial" w:eastAsia="Verdana" w:hAnsi="Arial" w:cs="Arial"/>
          <w:i/>
          <w:iCs/>
          <w:sz w:val="22"/>
          <w:szCs w:val="22"/>
        </w:rPr>
        <w:lastRenderedPageBreak/>
        <w:t>“</w:t>
      </w:r>
      <w:r w:rsidR="0081451A" w:rsidRPr="00920605">
        <w:rPr>
          <w:rFonts w:ascii="Arial" w:eastAsia="Verdana" w:hAnsi="Arial" w:cs="Arial"/>
          <w:i/>
          <w:iCs/>
          <w:sz w:val="22"/>
          <w:szCs w:val="22"/>
        </w:rPr>
        <w:t>[51]</w:t>
      </w:r>
      <w:r w:rsidR="00492D5F">
        <w:rPr>
          <w:rFonts w:ascii="Arial" w:eastAsia="Verdana" w:hAnsi="Arial" w:cs="Arial"/>
          <w:i/>
          <w:iCs/>
          <w:sz w:val="22"/>
          <w:szCs w:val="22"/>
        </w:rPr>
        <w:tab/>
      </w:r>
      <w:r w:rsidR="00492D5F">
        <w:rPr>
          <w:rFonts w:ascii="Arial" w:eastAsia="Verdana" w:hAnsi="Arial" w:cs="Arial"/>
          <w:i/>
          <w:iCs/>
          <w:sz w:val="22"/>
          <w:szCs w:val="22"/>
        </w:rPr>
        <w:tab/>
      </w:r>
      <w:r w:rsidR="0081451A" w:rsidRPr="00920605">
        <w:rPr>
          <w:rFonts w:ascii="Arial" w:eastAsia="Verdana" w:hAnsi="Arial" w:cs="Arial"/>
          <w:i/>
          <w:iCs/>
          <w:sz w:val="22"/>
          <w:szCs w:val="22"/>
        </w:rPr>
        <w:t xml:space="preserve">The impossibility principle was recognised, in this court and others, as the route to take to excuse </w:t>
      </w:r>
      <w:r w:rsidR="009C46B8" w:rsidRPr="00920605">
        <w:rPr>
          <w:rFonts w:ascii="Arial" w:eastAsia="Verdana" w:hAnsi="Arial" w:cs="Arial"/>
          <w:i/>
          <w:iCs/>
          <w:sz w:val="22"/>
          <w:szCs w:val="22"/>
        </w:rPr>
        <w:t>non</w:t>
      </w:r>
      <w:r w:rsidR="009C46B8">
        <w:rPr>
          <w:rFonts w:ascii="Arial" w:eastAsia="Verdana" w:hAnsi="Arial" w:cs="Arial"/>
          <w:i/>
          <w:iCs/>
          <w:sz w:val="22"/>
          <w:szCs w:val="22"/>
        </w:rPr>
        <w:t>c</w:t>
      </w:r>
      <w:r w:rsidR="009C46B8" w:rsidRPr="00920605">
        <w:rPr>
          <w:rFonts w:ascii="Arial" w:eastAsia="Verdana" w:hAnsi="Arial" w:cs="Arial"/>
          <w:i/>
          <w:iCs/>
          <w:sz w:val="22"/>
          <w:szCs w:val="22"/>
        </w:rPr>
        <w:t>ompliance</w:t>
      </w:r>
      <w:r w:rsidR="0081451A" w:rsidRPr="00920605">
        <w:rPr>
          <w:rFonts w:ascii="Arial" w:eastAsia="Verdana" w:hAnsi="Arial" w:cs="Arial"/>
          <w:i/>
          <w:iCs/>
          <w:sz w:val="22"/>
          <w:szCs w:val="22"/>
        </w:rPr>
        <w:t xml:space="preserve"> with the impossible. Its acceptance in South Africa is not at issue, only its status and whether it can be successfully and implicitly excluded by s 23(1) of the RAF Act. Before we can delve any further, we are enjoined to consider whether the impossibility principle is distinguishable from 'any law'.</w:t>
      </w:r>
    </w:p>
    <w:p w14:paraId="18A317BE" w14:textId="77777777" w:rsidR="00492D5F" w:rsidRPr="00920605" w:rsidRDefault="00492D5F" w:rsidP="00B56FAE">
      <w:pPr>
        <w:tabs>
          <w:tab w:val="center" w:pos="1134"/>
          <w:tab w:val="center" w:pos="1418"/>
          <w:tab w:val="center" w:pos="1701"/>
          <w:tab w:val="center" w:pos="1985"/>
          <w:tab w:val="center" w:pos="2268"/>
        </w:tabs>
        <w:spacing w:after="81" w:line="360" w:lineRule="auto"/>
        <w:ind w:left="1985" w:hanging="567"/>
        <w:jc w:val="both"/>
        <w:rPr>
          <w:rFonts w:ascii="Arial" w:hAnsi="Arial" w:cs="Arial"/>
          <w:i/>
          <w:iCs/>
          <w:sz w:val="22"/>
          <w:szCs w:val="22"/>
        </w:rPr>
      </w:pPr>
    </w:p>
    <w:p w14:paraId="454D9D84" w14:textId="00121AC0" w:rsidR="0081451A" w:rsidRPr="00920605" w:rsidRDefault="0081451A" w:rsidP="00B56FAE">
      <w:pPr>
        <w:tabs>
          <w:tab w:val="center" w:pos="1134"/>
          <w:tab w:val="center" w:pos="1276"/>
          <w:tab w:val="center" w:pos="1418"/>
          <w:tab w:val="center" w:pos="1985"/>
          <w:tab w:val="center" w:pos="2268"/>
        </w:tabs>
        <w:spacing w:after="40" w:line="360" w:lineRule="auto"/>
        <w:ind w:left="1978" w:hanging="560"/>
        <w:jc w:val="both"/>
        <w:rPr>
          <w:rFonts w:ascii="Arial" w:hAnsi="Arial" w:cs="Arial"/>
          <w:i/>
          <w:iCs/>
          <w:sz w:val="22"/>
          <w:szCs w:val="22"/>
        </w:rPr>
      </w:pPr>
      <w:r w:rsidRPr="00920605">
        <w:rPr>
          <w:rFonts w:ascii="Arial" w:eastAsia="Verdana" w:hAnsi="Arial" w:cs="Arial"/>
          <w:i/>
          <w:iCs/>
          <w:sz w:val="22"/>
          <w:szCs w:val="22"/>
        </w:rPr>
        <w:t xml:space="preserve">[52] </w:t>
      </w:r>
      <w:r w:rsidR="00492D5F">
        <w:rPr>
          <w:rFonts w:ascii="Arial" w:eastAsia="Verdana" w:hAnsi="Arial" w:cs="Arial"/>
          <w:i/>
          <w:iCs/>
          <w:sz w:val="22"/>
          <w:szCs w:val="22"/>
        </w:rPr>
        <w:tab/>
      </w:r>
      <w:r w:rsidR="00492D5F">
        <w:rPr>
          <w:rFonts w:ascii="Arial" w:eastAsia="Verdana" w:hAnsi="Arial" w:cs="Arial"/>
          <w:i/>
          <w:iCs/>
          <w:sz w:val="22"/>
          <w:szCs w:val="22"/>
        </w:rPr>
        <w:tab/>
      </w:r>
      <w:r w:rsidRPr="00920605">
        <w:rPr>
          <w:rFonts w:ascii="Arial" w:eastAsia="Verdana" w:hAnsi="Arial" w:cs="Arial"/>
          <w:i/>
          <w:iCs/>
          <w:sz w:val="22"/>
          <w:szCs w:val="22"/>
        </w:rPr>
        <w:t>The impossibility principle originates as a rule of natural law and justice.</w:t>
      </w:r>
      <w:r w:rsidR="00920605" w:rsidRPr="00920605">
        <w:rPr>
          <w:rFonts w:ascii="Arial" w:eastAsia="Verdana" w:hAnsi="Arial" w:cs="Arial"/>
          <w:i/>
          <w:iCs/>
          <w:sz w:val="22"/>
          <w:szCs w:val="22"/>
        </w:rPr>
        <w:t xml:space="preserve"> </w:t>
      </w:r>
      <w:r w:rsidRPr="00920605">
        <w:rPr>
          <w:rFonts w:ascii="Arial" w:eastAsia="Verdana" w:hAnsi="Arial" w:cs="Arial"/>
          <w:i/>
          <w:iCs/>
          <w:sz w:val="22"/>
          <w:szCs w:val="22"/>
        </w:rPr>
        <w:t>Of natural justice, Finnis writes:</w:t>
      </w:r>
    </w:p>
    <w:p w14:paraId="488BC016" w14:textId="77777777" w:rsidR="00492D5F" w:rsidRDefault="00492D5F" w:rsidP="00B56FAE">
      <w:pPr>
        <w:spacing w:after="100" w:line="360" w:lineRule="auto"/>
        <w:ind w:left="1988" w:right="15" w:hanging="10"/>
        <w:jc w:val="both"/>
        <w:rPr>
          <w:rFonts w:ascii="Arial" w:eastAsia="Verdana" w:hAnsi="Arial" w:cs="Arial"/>
          <w:i/>
          <w:iCs/>
          <w:sz w:val="22"/>
          <w:szCs w:val="22"/>
        </w:rPr>
      </w:pPr>
    </w:p>
    <w:p w14:paraId="4DA0BBE0" w14:textId="2D8453B3" w:rsidR="0081451A" w:rsidRPr="00920605" w:rsidRDefault="0081451A" w:rsidP="00B56FAE">
      <w:pPr>
        <w:spacing w:after="100" w:line="360" w:lineRule="auto"/>
        <w:ind w:left="1988" w:right="15" w:hanging="10"/>
        <w:jc w:val="both"/>
        <w:rPr>
          <w:rFonts w:ascii="Arial" w:hAnsi="Arial" w:cs="Arial"/>
          <w:i/>
          <w:iCs/>
          <w:sz w:val="22"/>
          <w:szCs w:val="22"/>
        </w:rPr>
      </w:pPr>
      <w:r w:rsidRPr="00920605">
        <w:rPr>
          <w:rFonts w:ascii="Arial" w:eastAsia="Verdana" w:hAnsi="Arial" w:cs="Arial"/>
          <w:i/>
          <w:iCs/>
          <w:sz w:val="22"/>
          <w:szCs w:val="22"/>
        </w:rPr>
        <w:t xml:space="preserve"> 'Principles of this sort would hold good, as principles, however extensively they were overlooked, misapplied, or defied in practical thinking, and however little they were recognised by those who reflectively theorise about human thinking. That is to say, they would hold good just as mathematical principles of accounting hold good even when, as in the medieval banking community, they are unknown or misunderstood.'</w:t>
      </w:r>
    </w:p>
    <w:p w14:paraId="370D990B" w14:textId="77777777" w:rsidR="00492D5F" w:rsidRDefault="00492D5F" w:rsidP="00B56FAE">
      <w:pPr>
        <w:spacing w:after="26" w:line="360" w:lineRule="auto"/>
        <w:jc w:val="both"/>
        <w:rPr>
          <w:rFonts w:ascii="Arial" w:eastAsia="Verdana" w:hAnsi="Arial" w:cs="Arial"/>
          <w:i/>
          <w:iCs/>
          <w:sz w:val="22"/>
          <w:szCs w:val="22"/>
        </w:rPr>
      </w:pPr>
    </w:p>
    <w:p w14:paraId="2A5461EF" w14:textId="644D44BC" w:rsidR="0081451A" w:rsidRDefault="0081451A" w:rsidP="00B56FAE">
      <w:pPr>
        <w:spacing w:after="26" w:line="360" w:lineRule="auto"/>
        <w:ind w:left="1985" w:hanging="567"/>
        <w:jc w:val="both"/>
        <w:rPr>
          <w:rFonts w:ascii="Arial" w:eastAsia="Verdana" w:hAnsi="Arial" w:cs="Arial"/>
          <w:i/>
          <w:iCs/>
          <w:sz w:val="22"/>
          <w:szCs w:val="22"/>
        </w:rPr>
      </w:pPr>
      <w:r w:rsidRPr="00920605">
        <w:rPr>
          <w:rFonts w:ascii="Arial" w:eastAsia="Verdana" w:hAnsi="Arial" w:cs="Arial"/>
          <w:i/>
          <w:iCs/>
          <w:sz w:val="22"/>
          <w:szCs w:val="22"/>
        </w:rPr>
        <w:t>[53</w:t>
      </w:r>
      <w:r w:rsidR="00B56FAE" w:rsidRPr="00920605">
        <w:rPr>
          <w:rFonts w:ascii="Arial" w:eastAsia="Verdana" w:hAnsi="Arial" w:cs="Arial"/>
          <w:i/>
          <w:iCs/>
          <w:sz w:val="22"/>
          <w:szCs w:val="22"/>
        </w:rPr>
        <w:t>]</w:t>
      </w:r>
      <w:r w:rsidR="00B56FAE">
        <w:rPr>
          <w:rFonts w:ascii="Arial" w:eastAsia="Verdana" w:hAnsi="Arial" w:cs="Arial"/>
          <w:i/>
          <w:iCs/>
          <w:sz w:val="22"/>
          <w:szCs w:val="22"/>
        </w:rPr>
        <w:t xml:space="preserve"> Grounded</w:t>
      </w:r>
      <w:r w:rsidRPr="00920605">
        <w:rPr>
          <w:rFonts w:ascii="Arial" w:eastAsia="Verdana" w:hAnsi="Arial" w:cs="Arial"/>
          <w:i/>
          <w:iCs/>
          <w:sz w:val="22"/>
          <w:szCs w:val="22"/>
        </w:rPr>
        <w:t xml:space="preserve"> in nature, science and reality, the impossibility principle is an extension of logic. Like Einstein's laws of gravity and </w:t>
      </w:r>
      <w:r w:rsidR="00920605" w:rsidRPr="00920605">
        <w:rPr>
          <w:rFonts w:ascii="Arial" w:eastAsia="Verdana" w:hAnsi="Arial" w:cs="Arial"/>
          <w:i/>
          <w:iCs/>
          <w:sz w:val="22"/>
          <w:szCs w:val="22"/>
        </w:rPr>
        <w:t>Pythagoras’ theorem</w:t>
      </w:r>
      <w:r w:rsidRPr="00920605">
        <w:rPr>
          <w:rFonts w:ascii="Arial" w:eastAsia="Verdana" w:hAnsi="Arial" w:cs="Arial"/>
          <w:i/>
          <w:iCs/>
          <w:sz w:val="22"/>
          <w:szCs w:val="22"/>
        </w:rPr>
        <w:t>, the impossibility principle enjoys a natural durability. Fundamental to the impossibility principle is an awareness of the human condition, our capacities and, indeed, possibilities. The impossibility principle flourishes because it distinguishes rationality, logic and reasonableness from the opposite. It extricates what is always reasonable from what is reasonable in certain circumstances. Drawing on the writings of Aquinas, Davitt writes:</w:t>
      </w:r>
    </w:p>
    <w:p w14:paraId="6A8EF026" w14:textId="77777777" w:rsidR="00492D5F" w:rsidRPr="00920605" w:rsidRDefault="00492D5F" w:rsidP="00B56FAE">
      <w:pPr>
        <w:spacing w:after="26" w:line="360" w:lineRule="auto"/>
        <w:ind w:left="1985" w:hanging="567"/>
        <w:jc w:val="both"/>
        <w:rPr>
          <w:rFonts w:ascii="Arial" w:hAnsi="Arial" w:cs="Arial"/>
          <w:i/>
          <w:iCs/>
          <w:sz w:val="22"/>
          <w:szCs w:val="22"/>
        </w:rPr>
      </w:pPr>
    </w:p>
    <w:p w14:paraId="6CAD4195" w14:textId="08EDC2E5" w:rsidR="0081451A" w:rsidRPr="00920605" w:rsidRDefault="0081451A" w:rsidP="00B56FAE">
      <w:pPr>
        <w:spacing w:after="4" w:line="360" w:lineRule="auto"/>
        <w:ind w:left="1985" w:right="15" w:hanging="10"/>
        <w:jc w:val="both"/>
        <w:rPr>
          <w:rFonts w:ascii="Arial" w:hAnsi="Arial" w:cs="Arial"/>
          <w:i/>
          <w:iCs/>
          <w:sz w:val="22"/>
          <w:szCs w:val="22"/>
        </w:rPr>
      </w:pPr>
      <w:r w:rsidRPr="00920605">
        <w:rPr>
          <w:rFonts w:ascii="Arial" w:eastAsia="Verdana" w:hAnsi="Arial" w:cs="Arial"/>
          <w:i/>
          <w:iCs/>
          <w:sz w:val="22"/>
          <w:szCs w:val="22"/>
        </w:rPr>
        <w:t>'The construction that a judge will give to a piece of legislation should be guided by humane discretion, because the best of enactments cannot possibly include all the imaginable cases that could arise under it. Hence, where a literal construction of a statute would work harsh</w:t>
      </w:r>
      <w:r w:rsidR="00B56FAE">
        <w:rPr>
          <w:rFonts w:ascii="Arial" w:eastAsia="Verdana" w:hAnsi="Arial" w:cs="Arial"/>
          <w:i/>
          <w:iCs/>
          <w:sz w:val="22"/>
          <w:szCs w:val="22"/>
        </w:rPr>
        <w:t xml:space="preserve"> </w:t>
      </w:r>
      <w:r w:rsidRPr="00920605">
        <w:rPr>
          <w:rFonts w:ascii="Arial" w:eastAsia="Verdana" w:hAnsi="Arial" w:cs="Arial"/>
          <w:i/>
          <w:iCs/>
          <w:sz w:val="22"/>
          <w:szCs w:val="22"/>
        </w:rPr>
        <w:t>injustice in individual cases, the judge's decision should . . . be according to equity — the intention of the law.'</w:t>
      </w:r>
    </w:p>
    <w:p w14:paraId="5722EE09" w14:textId="77777777" w:rsidR="00492D5F" w:rsidRDefault="00492D5F" w:rsidP="0081451A">
      <w:pPr>
        <w:spacing w:after="103" w:line="254" w:lineRule="auto"/>
        <w:jc w:val="both"/>
        <w:rPr>
          <w:rFonts w:ascii="Arial" w:eastAsia="Verdana" w:hAnsi="Arial" w:cs="Arial"/>
          <w:i/>
          <w:iCs/>
          <w:sz w:val="22"/>
          <w:szCs w:val="22"/>
        </w:rPr>
      </w:pPr>
    </w:p>
    <w:p w14:paraId="4DB9D3F5" w14:textId="32F5A758" w:rsidR="0081451A" w:rsidRDefault="0081451A" w:rsidP="00B56FAE">
      <w:pPr>
        <w:spacing w:after="103" w:line="360" w:lineRule="auto"/>
        <w:ind w:left="1985" w:hanging="567"/>
        <w:jc w:val="both"/>
        <w:rPr>
          <w:rFonts w:ascii="Arial" w:eastAsia="Verdana" w:hAnsi="Arial" w:cs="Arial"/>
          <w:i/>
          <w:iCs/>
          <w:sz w:val="22"/>
          <w:szCs w:val="22"/>
        </w:rPr>
      </w:pPr>
      <w:r w:rsidRPr="00920605">
        <w:rPr>
          <w:rFonts w:ascii="Arial" w:eastAsia="Verdana" w:hAnsi="Arial" w:cs="Arial"/>
          <w:i/>
          <w:iCs/>
          <w:sz w:val="22"/>
          <w:szCs w:val="22"/>
        </w:rPr>
        <w:lastRenderedPageBreak/>
        <w:t xml:space="preserve">[54] </w:t>
      </w:r>
      <w:r w:rsidR="00492D5F">
        <w:rPr>
          <w:rFonts w:ascii="Arial" w:eastAsia="Verdana" w:hAnsi="Arial" w:cs="Arial"/>
          <w:i/>
          <w:iCs/>
          <w:sz w:val="22"/>
          <w:szCs w:val="22"/>
        </w:rPr>
        <w:t xml:space="preserve">  </w:t>
      </w:r>
      <w:r w:rsidRPr="00920605">
        <w:rPr>
          <w:rFonts w:ascii="Arial" w:eastAsia="Verdana" w:hAnsi="Arial" w:cs="Arial"/>
          <w:i/>
          <w:iCs/>
          <w:sz w:val="22"/>
          <w:szCs w:val="22"/>
        </w:rPr>
        <w:t>For a law to be applied as law, compliance must be possible. Conversely and by necessary implication, a law which is impossible to comply</w:t>
      </w:r>
      <w:r w:rsidR="00920605" w:rsidRPr="00920605">
        <w:rPr>
          <w:rFonts w:ascii="Arial" w:eastAsia="Verdana" w:hAnsi="Arial" w:cs="Arial"/>
          <w:i/>
          <w:iCs/>
          <w:sz w:val="22"/>
          <w:szCs w:val="22"/>
        </w:rPr>
        <w:t xml:space="preserve"> </w:t>
      </w:r>
      <w:r w:rsidRPr="00920605">
        <w:rPr>
          <w:rFonts w:ascii="Arial" w:eastAsia="Verdana" w:hAnsi="Arial" w:cs="Arial"/>
          <w:i/>
          <w:iCs/>
          <w:sz w:val="22"/>
          <w:szCs w:val="22"/>
        </w:rPr>
        <w:t>with cannot be applied as law. It is this which sets the impossibility principle apart from other principles of the common law. Finnis embraced the impossibility principle when he distinguished between 'acts that (always or in particular circumstances) are reasonable</w:t>
      </w:r>
      <w:r w:rsidR="00492D5F">
        <w:rPr>
          <w:rFonts w:ascii="Arial" w:eastAsia="Verdana" w:hAnsi="Arial" w:cs="Arial"/>
          <w:i/>
          <w:iCs/>
          <w:sz w:val="22"/>
          <w:szCs w:val="22"/>
        </w:rPr>
        <w:t xml:space="preserve"> </w:t>
      </w:r>
      <w:r w:rsidRPr="00920605">
        <w:rPr>
          <w:rFonts w:ascii="Arial" w:eastAsia="Verdana" w:hAnsi="Arial" w:cs="Arial"/>
          <w:i/>
          <w:iCs/>
          <w:sz w:val="22"/>
          <w:szCs w:val="22"/>
        </w:rPr>
        <w:t>all</w:t>
      </w:r>
      <w:r w:rsidR="00492D5F">
        <w:rPr>
          <w:rFonts w:ascii="Arial" w:eastAsia="Verdana" w:hAnsi="Arial" w:cs="Arial"/>
          <w:i/>
          <w:iCs/>
          <w:sz w:val="22"/>
          <w:szCs w:val="22"/>
        </w:rPr>
        <w:t xml:space="preserve"> </w:t>
      </w:r>
      <w:r w:rsidRPr="00920605">
        <w:rPr>
          <w:rFonts w:ascii="Arial" w:eastAsia="Verdana" w:hAnsi="Arial" w:cs="Arial"/>
          <w:i/>
          <w:iCs/>
          <w:sz w:val="22"/>
          <w:szCs w:val="22"/>
        </w:rPr>
        <w:t>things</w:t>
      </w:r>
      <w:r w:rsidR="00492D5F">
        <w:rPr>
          <w:rFonts w:ascii="Arial" w:eastAsia="Verdana" w:hAnsi="Arial" w:cs="Arial"/>
          <w:i/>
          <w:iCs/>
          <w:sz w:val="22"/>
          <w:szCs w:val="22"/>
        </w:rPr>
        <w:t xml:space="preserve"> </w:t>
      </w:r>
      <w:r w:rsidRPr="00920605">
        <w:rPr>
          <w:rFonts w:ascii="Arial" w:eastAsia="Verdana" w:hAnsi="Arial" w:cs="Arial"/>
          <w:i/>
          <w:iCs/>
          <w:sz w:val="22"/>
          <w:szCs w:val="22"/>
        </w:rPr>
        <w:t>considered impossibility principle when he distinguished between 'acts that (always or in particular circumstances) are reasonable</w:t>
      </w:r>
      <w:r w:rsidR="00492D5F">
        <w:rPr>
          <w:rFonts w:ascii="Arial" w:eastAsia="Verdana" w:hAnsi="Arial" w:cs="Arial"/>
          <w:i/>
          <w:iCs/>
          <w:sz w:val="22"/>
          <w:szCs w:val="22"/>
        </w:rPr>
        <w:t xml:space="preserve"> </w:t>
      </w:r>
      <w:r w:rsidRPr="00920605">
        <w:rPr>
          <w:rFonts w:ascii="Arial" w:eastAsia="Verdana" w:hAnsi="Arial" w:cs="Arial"/>
          <w:i/>
          <w:iCs/>
          <w:sz w:val="22"/>
          <w:szCs w:val="22"/>
        </w:rPr>
        <w:t>all</w:t>
      </w:r>
      <w:r w:rsidR="00492D5F">
        <w:rPr>
          <w:rFonts w:ascii="Arial" w:eastAsia="Verdana" w:hAnsi="Arial" w:cs="Arial"/>
          <w:i/>
          <w:iCs/>
          <w:sz w:val="22"/>
          <w:szCs w:val="22"/>
        </w:rPr>
        <w:t xml:space="preserve"> </w:t>
      </w:r>
      <w:r w:rsidRPr="00920605">
        <w:rPr>
          <w:rFonts w:ascii="Arial" w:eastAsia="Verdana" w:hAnsi="Arial" w:cs="Arial"/>
          <w:i/>
          <w:iCs/>
          <w:sz w:val="22"/>
          <w:szCs w:val="22"/>
        </w:rPr>
        <w:t>things</w:t>
      </w:r>
      <w:r w:rsidR="00492D5F">
        <w:rPr>
          <w:rFonts w:ascii="Arial" w:eastAsia="Verdana" w:hAnsi="Arial" w:cs="Arial"/>
          <w:i/>
          <w:iCs/>
          <w:sz w:val="22"/>
          <w:szCs w:val="22"/>
        </w:rPr>
        <w:t xml:space="preserve"> </w:t>
      </w:r>
      <w:r w:rsidRPr="00920605">
        <w:rPr>
          <w:rFonts w:ascii="Arial" w:eastAsia="Verdana" w:hAnsi="Arial" w:cs="Arial"/>
          <w:i/>
          <w:iCs/>
          <w:sz w:val="22"/>
          <w:szCs w:val="22"/>
        </w:rPr>
        <w:t>considered (and not merely relative</w:t>
      </w:r>
      <w:r w:rsidR="00492D5F">
        <w:rPr>
          <w:rFonts w:ascii="Arial" w:eastAsia="Verdana" w:hAnsi="Arial" w:cs="Arial"/>
          <w:i/>
          <w:iCs/>
          <w:sz w:val="22"/>
          <w:szCs w:val="22"/>
        </w:rPr>
        <w:t xml:space="preserve"> </w:t>
      </w:r>
      <w:r w:rsidRPr="00920605">
        <w:rPr>
          <w:rFonts w:ascii="Arial" w:eastAsia="Verdana" w:hAnsi="Arial" w:cs="Arial"/>
          <w:i/>
          <w:iCs/>
          <w:sz w:val="22"/>
          <w:szCs w:val="22"/>
        </w:rPr>
        <w:t>to</w:t>
      </w:r>
      <w:r w:rsidR="00492D5F">
        <w:rPr>
          <w:rFonts w:ascii="Arial" w:eastAsia="Verdana" w:hAnsi="Arial" w:cs="Arial"/>
          <w:i/>
          <w:iCs/>
          <w:sz w:val="22"/>
          <w:szCs w:val="22"/>
        </w:rPr>
        <w:t xml:space="preserve"> </w:t>
      </w:r>
      <w:r w:rsidRPr="00920605">
        <w:rPr>
          <w:rFonts w:ascii="Arial" w:eastAsia="Verdana" w:hAnsi="Arial" w:cs="Arial"/>
          <w:i/>
          <w:iCs/>
          <w:sz w:val="22"/>
          <w:szCs w:val="22"/>
        </w:rPr>
        <w:t>a</w:t>
      </w:r>
      <w:r w:rsidR="00492D5F">
        <w:rPr>
          <w:rFonts w:ascii="Arial" w:eastAsia="Verdana" w:hAnsi="Arial" w:cs="Arial"/>
          <w:i/>
          <w:iCs/>
          <w:sz w:val="22"/>
          <w:szCs w:val="22"/>
        </w:rPr>
        <w:t xml:space="preserve"> </w:t>
      </w:r>
      <w:r w:rsidRPr="00920605">
        <w:rPr>
          <w:rFonts w:ascii="Arial" w:eastAsia="Verdana" w:hAnsi="Arial" w:cs="Arial"/>
          <w:i/>
          <w:iCs/>
          <w:sz w:val="22"/>
          <w:szCs w:val="22"/>
        </w:rPr>
        <w:t>particular purpose) and acts that are unreasonable</w:t>
      </w:r>
      <w:r w:rsidR="00492D5F">
        <w:rPr>
          <w:rFonts w:ascii="Arial" w:eastAsia="Verdana" w:hAnsi="Arial" w:cs="Arial"/>
          <w:i/>
          <w:iCs/>
          <w:sz w:val="22"/>
          <w:szCs w:val="22"/>
        </w:rPr>
        <w:t xml:space="preserve"> </w:t>
      </w:r>
      <w:r w:rsidRPr="00920605">
        <w:rPr>
          <w:rFonts w:ascii="Arial" w:eastAsia="Verdana" w:hAnsi="Arial" w:cs="Arial"/>
          <w:i/>
          <w:iCs/>
          <w:sz w:val="22"/>
          <w:szCs w:val="22"/>
        </w:rPr>
        <w:t>all</w:t>
      </w:r>
      <w:r w:rsidR="00492D5F">
        <w:rPr>
          <w:rFonts w:ascii="Arial" w:eastAsia="Verdana" w:hAnsi="Arial" w:cs="Arial"/>
          <w:i/>
          <w:iCs/>
          <w:sz w:val="22"/>
          <w:szCs w:val="22"/>
        </w:rPr>
        <w:t xml:space="preserve"> </w:t>
      </w:r>
      <w:r w:rsidRPr="00920605">
        <w:rPr>
          <w:rFonts w:ascii="Arial" w:eastAsia="Verdana" w:hAnsi="Arial" w:cs="Arial"/>
          <w:i/>
          <w:iCs/>
          <w:sz w:val="22"/>
          <w:szCs w:val="22"/>
        </w:rPr>
        <w:t>things</w:t>
      </w:r>
      <w:r w:rsidR="00492D5F">
        <w:rPr>
          <w:rFonts w:ascii="Arial" w:eastAsia="Verdana" w:hAnsi="Arial" w:cs="Arial"/>
          <w:i/>
          <w:iCs/>
          <w:sz w:val="22"/>
          <w:szCs w:val="22"/>
        </w:rPr>
        <w:t xml:space="preserve"> </w:t>
      </w:r>
      <w:r w:rsidRPr="00920605">
        <w:rPr>
          <w:rFonts w:ascii="Arial" w:eastAsia="Verdana" w:hAnsi="Arial" w:cs="Arial"/>
          <w:i/>
          <w:iCs/>
          <w:sz w:val="22"/>
          <w:szCs w:val="22"/>
        </w:rPr>
        <w:t>considered'. The impossibility principle would apply not only to tasks 'which are absolutely impossible but tasks which, in the circumstances, are not reasonably capable of performance'.</w:t>
      </w:r>
    </w:p>
    <w:p w14:paraId="1521A899" w14:textId="77777777" w:rsidR="00B56FAE" w:rsidRPr="00920605" w:rsidRDefault="00B56FAE" w:rsidP="00B56FAE">
      <w:pPr>
        <w:spacing w:after="103" w:line="360" w:lineRule="auto"/>
        <w:ind w:left="1985" w:hanging="567"/>
        <w:jc w:val="both"/>
        <w:rPr>
          <w:rFonts w:ascii="Arial" w:hAnsi="Arial" w:cs="Arial"/>
          <w:i/>
          <w:iCs/>
          <w:sz w:val="22"/>
          <w:szCs w:val="22"/>
        </w:rPr>
      </w:pPr>
    </w:p>
    <w:p w14:paraId="3E0627D9" w14:textId="31DAD647" w:rsidR="00920605" w:rsidRDefault="0081451A" w:rsidP="00B56FAE">
      <w:pPr>
        <w:spacing w:after="81" w:line="360" w:lineRule="auto"/>
        <w:ind w:left="1985" w:hanging="567"/>
        <w:jc w:val="both"/>
        <w:rPr>
          <w:rFonts w:ascii="Arial" w:eastAsia="Verdana" w:hAnsi="Arial" w:cs="Arial"/>
          <w:sz w:val="22"/>
          <w:szCs w:val="22"/>
        </w:rPr>
      </w:pPr>
      <w:r w:rsidRPr="00920605">
        <w:rPr>
          <w:rFonts w:ascii="Arial" w:eastAsia="Verdana" w:hAnsi="Arial" w:cs="Arial"/>
          <w:i/>
          <w:iCs/>
          <w:sz w:val="22"/>
          <w:szCs w:val="22"/>
        </w:rPr>
        <w:t xml:space="preserve">[55] </w:t>
      </w:r>
      <w:r w:rsidR="00492D5F">
        <w:rPr>
          <w:rFonts w:ascii="Arial" w:eastAsia="Verdana" w:hAnsi="Arial" w:cs="Arial"/>
          <w:i/>
          <w:iCs/>
          <w:sz w:val="22"/>
          <w:szCs w:val="22"/>
        </w:rPr>
        <w:t xml:space="preserve">  </w:t>
      </w:r>
      <w:r w:rsidRPr="00920605">
        <w:rPr>
          <w:rFonts w:ascii="Arial" w:eastAsia="Verdana" w:hAnsi="Arial" w:cs="Arial"/>
          <w:i/>
          <w:iCs/>
          <w:sz w:val="22"/>
          <w:szCs w:val="22"/>
        </w:rPr>
        <w:t>This case is much narrower. It concerns the absolute impossibility to perform tasks. The impossibility is determined by objective conditions,</w:t>
      </w:r>
      <w:r w:rsidR="001277FA">
        <w:rPr>
          <w:rFonts w:ascii="Arial" w:eastAsia="Verdana" w:hAnsi="Arial" w:cs="Arial"/>
          <w:i/>
          <w:iCs/>
          <w:sz w:val="22"/>
          <w:szCs w:val="22"/>
        </w:rPr>
        <w:t xml:space="preserve"> </w:t>
      </w:r>
      <w:r w:rsidRPr="00920605">
        <w:rPr>
          <w:rFonts w:ascii="Arial" w:eastAsia="Verdana" w:hAnsi="Arial" w:cs="Arial"/>
          <w:i/>
          <w:iCs/>
          <w:sz w:val="22"/>
          <w:szCs w:val="22"/>
        </w:rPr>
        <w:t>by science, nature and reality. Determining impossibility in this instance is not an exercise of discretion informed by subjective opinions and worldviews. It is this condition that distinguishes the impossibility principle from 'any law'. In turn, it is impossibility that informs incapacity in the context of this case.”</w:t>
      </w:r>
    </w:p>
    <w:p w14:paraId="49110AB7" w14:textId="283F76A6" w:rsidR="00530B8E" w:rsidRDefault="00530B8E" w:rsidP="00530B8E">
      <w:pPr>
        <w:spacing w:after="81" w:line="254" w:lineRule="auto"/>
        <w:jc w:val="both"/>
        <w:rPr>
          <w:rFonts w:ascii="Arial" w:eastAsia="Verdana" w:hAnsi="Arial" w:cs="Arial"/>
          <w:sz w:val="22"/>
          <w:szCs w:val="22"/>
        </w:rPr>
      </w:pPr>
    </w:p>
    <w:p w14:paraId="25B79440" w14:textId="5FD25D7E" w:rsidR="00530B8E" w:rsidRDefault="00530B8E" w:rsidP="00492D5F">
      <w:pPr>
        <w:pStyle w:val="ListParagraph"/>
        <w:numPr>
          <w:ilvl w:val="0"/>
          <w:numId w:val="8"/>
        </w:numPr>
        <w:spacing w:after="81" w:line="254" w:lineRule="auto"/>
        <w:ind w:hanging="720"/>
        <w:jc w:val="both"/>
        <w:rPr>
          <w:rFonts w:ascii="Arial" w:eastAsia="Verdana" w:hAnsi="Arial" w:cs="Arial"/>
          <w:sz w:val="22"/>
          <w:szCs w:val="22"/>
        </w:rPr>
      </w:pPr>
      <w:r>
        <w:rPr>
          <w:rFonts w:ascii="Arial" w:eastAsia="Verdana" w:hAnsi="Arial" w:cs="Arial"/>
          <w:sz w:val="22"/>
          <w:szCs w:val="22"/>
        </w:rPr>
        <w:t>It was further held</w:t>
      </w:r>
      <w:r>
        <w:rPr>
          <w:rStyle w:val="FootnoteReference"/>
          <w:rFonts w:ascii="Arial" w:eastAsia="Verdana" w:hAnsi="Arial" w:cs="Arial"/>
          <w:sz w:val="22"/>
          <w:szCs w:val="22"/>
        </w:rPr>
        <w:footnoteReference w:id="8"/>
      </w:r>
      <w:r>
        <w:rPr>
          <w:rFonts w:ascii="Arial" w:eastAsia="Verdana" w:hAnsi="Arial" w:cs="Arial"/>
          <w:sz w:val="22"/>
          <w:szCs w:val="22"/>
        </w:rPr>
        <w:t xml:space="preserve"> that:</w:t>
      </w:r>
    </w:p>
    <w:p w14:paraId="18CCB2B7" w14:textId="361D6A98" w:rsidR="00530B8E" w:rsidRDefault="00530B8E" w:rsidP="00530B8E">
      <w:pPr>
        <w:pStyle w:val="ListParagraph"/>
        <w:spacing w:after="81" w:line="254" w:lineRule="auto"/>
        <w:jc w:val="both"/>
        <w:rPr>
          <w:rFonts w:ascii="Arial" w:eastAsia="Verdana" w:hAnsi="Arial" w:cs="Arial"/>
          <w:sz w:val="22"/>
          <w:szCs w:val="22"/>
        </w:rPr>
      </w:pPr>
    </w:p>
    <w:p w14:paraId="218F138D" w14:textId="77777777" w:rsidR="00B56FAE" w:rsidRDefault="00B56FAE" w:rsidP="00530B8E">
      <w:pPr>
        <w:pStyle w:val="ListParagraph"/>
        <w:spacing w:after="81" w:line="254" w:lineRule="auto"/>
        <w:jc w:val="both"/>
        <w:rPr>
          <w:rFonts w:ascii="Arial" w:eastAsia="Verdana" w:hAnsi="Arial" w:cs="Arial"/>
          <w:sz w:val="22"/>
          <w:szCs w:val="22"/>
        </w:rPr>
      </w:pPr>
    </w:p>
    <w:p w14:paraId="36D323E3" w14:textId="474DAFF3" w:rsidR="001277FA" w:rsidRDefault="001277FA" w:rsidP="00B56FAE">
      <w:pPr>
        <w:spacing w:after="115" w:line="360" w:lineRule="auto"/>
        <w:ind w:left="2268" w:hanging="850"/>
        <w:jc w:val="both"/>
        <w:rPr>
          <w:rFonts w:ascii="Arial" w:eastAsia="Verdana" w:hAnsi="Arial" w:cs="Arial"/>
          <w:i/>
          <w:iCs/>
          <w:sz w:val="22"/>
          <w:szCs w:val="22"/>
        </w:rPr>
      </w:pPr>
      <w:r w:rsidRPr="00492D5F">
        <w:rPr>
          <w:rFonts w:ascii="Arial" w:eastAsia="Verdana" w:hAnsi="Arial" w:cs="Arial"/>
          <w:i/>
          <w:iCs/>
          <w:sz w:val="22"/>
          <w:szCs w:val="22"/>
        </w:rPr>
        <w:t xml:space="preserve">“[125] </w:t>
      </w:r>
      <w:r w:rsidR="00492D5F">
        <w:rPr>
          <w:rFonts w:ascii="Arial" w:eastAsia="Verdana" w:hAnsi="Arial" w:cs="Arial"/>
          <w:i/>
          <w:iCs/>
          <w:sz w:val="22"/>
          <w:szCs w:val="22"/>
        </w:rPr>
        <w:t xml:space="preserve">    </w:t>
      </w:r>
      <w:r w:rsidRPr="00492D5F">
        <w:rPr>
          <w:rFonts w:ascii="Arial" w:eastAsia="Verdana" w:hAnsi="Arial" w:cs="Arial"/>
          <w:i/>
          <w:iCs/>
          <w:sz w:val="22"/>
          <w:szCs w:val="22"/>
        </w:rPr>
        <w:t xml:space="preserve">As it appears in Nichols, the lex non cogit ad impossibilia maxim is part of the rule of law, one of the foundational values of our Constitution. In that way the principle forms part of the Constitution. </w:t>
      </w:r>
    </w:p>
    <w:p w14:paraId="0A63EA3A" w14:textId="77777777" w:rsidR="00B56FAE" w:rsidRPr="00492D5F" w:rsidRDefault="00B56FAE" w:rsidP="00B56FAE">
      <w:pPr>
        <w:spacing w:after="115" w:line="360" w:lineRule="auto"/>
        <w:ind w:left="2268" w:hanging="850"/>
        <w:jc w:val="both"/>
        <w:rPr>
          <w:rFonts w:ascii="Arial" w:hAnsi="Arial" w:cs="Arial"/>
          <w:i/>
          <w:iCs/>
          <w:sz w:val="22"/>
          <w:szCs w:val="22"/>
        </w:rPr>
      </w:pPr>
    </w:p>
    <w:p w14:paraId="5D148B30" w14:textId="324C13E4" w:rsidR="001277FA" w:rsidRPr="00492D5F" w:rsidRDefault="001277FA" w:rsidP="00B56FAE">
      <w:pPr>
        <w:tabs>
          <w:tab w:val="center" w:pos="2127"/>
        </w:tabs>
        <w:spacing w:after="84" w:line="360" w:lineRule="auto"/>
        <w:ind w:left="2127" w:hanging="709"/>
        <w:jc w:val="both"/>
        <w:rPr>
          <w:rFonts w:ascii="Arial" w:eastAsia="Verdana" w:hAnsi="Arial" w:cs="Arial"/>
          <w:i/>
          <w:iCs/>
          <w:sz w:val="22"/>
          <w:szCs w:val="22"/>
        </w:rPr>
      </w:pPr>
      <w:r w:rsidRPr="00492D5F">
        <w:rPr>
          <w:rFonts w:ascii="Arial" w:eastAsia="Verdana" w:hAnsi="Arial" w:cs="Arial"/>
          <w:i/>
          <w:iCs/>
          <w:sz w:val="22"/>
          <w:szCs w:val="22"/>
        </w:rPr>
        <w:t xml:space="preserve">[126] </w:t>
      </w:r>
      <w:r w:rsidR="00492D5F">
        <w:rPr>
          <w:rFonts w:ascii="Arial" w:eastAsia="Verdana" w:hAnsi="Arial" w:cs="Arial"/>
          <w:i/>
          <w:iCs/>
          <w:sz w:val="22"/>
          <w:szCs w:val="22"/>
        </w:rPr>
        <w:t xml:space="preserve">   </w:t>
      </w:r>
      <w:r w:rsidRPr="00492D5F">
        <w:rPr>
          <w:rFonts w:ascii="Arial" w:eastAsia="Verdana" w:hAnsi="Arial" w:cs="Arial"/>
          <w:i/>
          <w:iCs/>
          <w:sz w:val="22"/>
          <w:szCs w:val="22"/>
        </w:rPr>
        <w:t xml:space="preserve">By parity of reasoning, the maxim equally applies to this matter and, for as long as the disability arising from Mr Jacobs' mental condition persisted, prescription did not begin to run. Under s 23(1), prescription also did not begin to run against Mr Jacobs. This is because before the curatrix was appointed, it was impossible for him to comply with the section, and upon </w:t>
      </w:r>
      <w:r w:rsidRPr="00492D5F">
        <w:rPr>
          <w:rFonts w:ascii="Arial" w:eastAsia="Verdana" w:hAnsi="Arial" w:cs="Arial"/>
          <w:i/>
          <w:iCs/>
          <w:sz w:val="22"/>
          <w:szCs w:val="22"/>
        </w:rPr>
        <w:lastRenderedPageBreak/>
        <w:t>the appointment of the curatrix prescription could not run against him because he was then placed under curatorship in terms of s 23(2).”</w:t>
      </w:r>
    </w:p>
    <w:p w14:paraId="0BF5295C" w14:textId="57405D53" w:rsidR="001277FA" w:rsidRDefault="001277FA" w:rsidP="001277FA">
      <w:pPr>
        <w:spacing w:after="84" w:line="251" w:lineRule="auto"/>
        <w:ind w:left="483"/>
        <w:jc w:val="both"/>
        <w:rPr>
          <w:rFonts w:ascii="Arial" w:eastAsia="Verdana" w:hAnsi="Arial" w:cs="Arial"/>
          <w:sz w:val="22"/>
          <w:szCs w:val="22"/>
        </w:rPr>
      </w:pPr>
    </w:p>
    <w:p w14:paraId="43081EBD" w14:textId="6D1523EF" w:rsidR="00FF4285" w:rsidRDefault="00FF4285" w:rsidP="00FF4285">
      <w:pPr>
        <w:pStyle w:val="Body"/>
        <w:numPr>
          <w:ilvl w:val="0"/>
          <w:numId w:val="8"/>
        </w:numPr>
        <w:spacing w:line="360" w:lineRule="auto"/>
        <w:ind w:hanging="720"/>
        <w:jc w:val="both"/>
        <w:rPr>
          <w:rFonts w:cs="Arial"/>
          <w:sz w:val="24"/>
          <w:szCs w:val="24"/>
        </w:rPr>
      </w:pPr>
      <w:r>
        <w:rPr>
          <w:rFonts w:cs="Arial"/>
          <w:sz w:val="24"/>
          <w:szCs w:val="24"/>
        </w:rPr>
        <w:t xml:space="preserve">The failure of the Defendant to take any steps to mitigate, for example by making arrangements for the electronic submission of claims or service upon them, the effects of lockdown levels 4 and 5 meant that for the Plaintiff and indeed anyone else whose claim would have become prescribed in the period starting at midnight on 26 March 2020 and ending on 31 May 2020, even if they had elected to breach the lockdown Regulations in order to ensure that their claim was timeously delivered, would in any event have found no one at the offices of the Defendant to receive the claim. </w:t>
      </w:r>
    </w:p>
    <w:p w14:paraId="5F1066D5" w14:textId="77777777" w:rsidR="00F5735E" w:rsidRPr="00F5735E" w:rsidRDefault="00F5735E" w:rsidP="00F5735E">
      <w:pPr>
        <w:pStyle w:val="Body"/>
        <w:spacing w:line="360" w:lineRule="auto"/>
        <w:ind w:left="720"/>
        <w:jc w:val="both"/>
        <w:rPr>
          <w:rFonts w:cs="Arial"/>
          <w:sz w:val="28"/>
          <w:szCs w:val="28"/>
        </w:rPr>
      </w:pPr>
    </w:p>
    <w:p w14:paraId="5B492E1D" w14:textId="04070229" w:rsidR="001277FA" w:rsidRPr="00F5735E" w:rsidRDefault="00FF4285" w:rsidP="00F5735E">
      <w:pPr>
        <w:pStyle w:val="ListParagraph"/>
        <w:numPr>
          <w:ilvl w:val="0"/>
          <w:numId w:val="8"/>
        </w:numPr>
        <w:spacing w:after="84" w:line="360" w:lineRule="auto"/>
        <w:ind w:hanging="720"/>
        <w:jc w:val="both"/>
        <w:rPr>
          <w:rFonts w:ascii="Arial" w:eastAsia="Verdana" w:hAnsi="Arial" w:cs="Arial"/>
        </w:rPr>
      </w:pPr>
      <w:r w:rsidRPr="00F5735E">
        <w:rPr>
          <w:rFonts w:ascii="Arial" w:eastAsia="Verdana" w:hAnsi="Arial" w:cs="Arial"/>
        </w:rPr>
        <w:t xml:space="preserve">The plaintiff and indeed every person who wished to deliver or have documents served upon the RAF during the period in question was faced with a true situation of impossibility. This was not a situation of the plaintiff’s own </w:t>
      </w:r>
      <w:r w:rsidR="00F5735E" w:rsidRPr="00F5735E">
        <w:rPr>
          <w:rFonts w:ascii="Arial" w:eastAsia="Verdana" w:hAnsi="Arial" w:cs="Arial"/>
        </w:rPr>
        <w:t>making,</w:t>
      </w:r>
      <w:r w:rsidRPr="00F5735E">
        <w:rPr>
          <w:rFonts w:ascii="Arial" w:eastAsia="Verdana" w:hAnsi="Arial" w:cs="Arial"/>
        </w:rPr>
        <w:t xml:space="preserve"> but an objectively impossible situation brought about by the c</w:t>
      </w:r>
      <w:r w:rsidR="00965D3E" w:rsidRPr="00F5735E">
        <w:rPr>
          <w:rFonts w:ascii="Arial" w:eastAsia="Verdana" w:hAnsi="Arial" w:cs="Arial"/>
        </w:rPr>
        <w:t>onfluence of both the law and the RAF’s closure of its offices without having put in place any alternative to physical delivery or service.</w:t>
      </w:r>
    </w:p>
    <w:p w14:paraId="7A9C47CE" w14:textId="77777777" w:rsidR="00F5735E" w:rsidRPr="00F5735E" w:rsidRDefault="00F5735E" w:rsidP="00F5735E">
      <w:pPr>
        <w:spacing w:after="84" w:line="360" w:lineRule="auto"/>
        <w:jc w:val="both"/>
        <w:rPr>
          <w:rFonts w:ascii="Arial" w:eastAsia="Verdana" w:hAnsi="Arial" w:cs="Arial"/>
        </w:rPr>
      </w:pPr>
    </w:p>
    <w:p w14:paraId="1AB3AD9C" w14:textId="7B56A2CF" w:rsidR="00965D3E" w:rsidRPr="00F5735E" w:rsidRDefault="00965D3E" w:rsidP="00F5735E">
      <w:pPr>
        <w:pStyle w:val="ListParagraph"/>
        <w:numPr>
          <w:ilvl w:val="0"/>
          <w:numId w:val="8"/>
        </w:numPr>
        <w:spacing w:after="84" w:line="360" w:lineRule="auto"/>
        <w:ind w:hanging="720"/>
        <w:jc w:val="both"/>
        <w:rPr>
          <w:rFonts w:ascii="Arial" w:eastAsia="Verdana" w:hAnsi="Arial" w:cs="Arial"/>
        </w:rPr>
      </w:pPr>
      <w:r w:rsidRPr="00F5735E">
        <w:rPr>
          <w:rFonts w:ascii="Arial" w:eastAsia="Verdana" w:hAnsi="Arial" w:cs="Arial"/>
        </w:rPr>
        <w:t xml:space="preserve">It was impossible for the Plaintiff to have delivered his claim timeously for the reasons set out above. On the basis that the lockdown from 27 March 2020 shortened the time within which the Plaintiff could deliver his claim by 8 days, it is apposite that the same period, at the very least, was afforded to him once the offices of the RAF opened on 1 June 2020 and the impediment to delivery of his claim was removed. </w:t>
      </w:r>
      <w:r w:rsidR="005839B2" w:rsidRPr="00F5735E">
        <w:rPr>
          <w:rFonts w:ascii="Arial" w:eastAsia="Verdana" w:hAnsi="Arial" w:cs="Arial"/>
        </w:rPr>
        <w:t>The claim was indeed delivered within this period.</w:t>
      </w:r>
    </w:p>
    <w:p w14:paraId="45B0CCAB" w14:textId="77777777" w:rsidR="00F5735E" w:rsidRPr="00F5735E" w:rsidRDefault="00F5735E" w:rsidP="00F5735E">
      <w:pPr>
        <w:spacing w:after="84" w:line="360" w:lineRule="auto"/>
        <w:jc w:val="both"/>
        <w:rPr>
          <w:rFonts w:ascii="Arial" w:eastAsia="Verdana" w:hAnsi="Arial" w:cs="Arial"/>
        </w:rPr>
      </w:pPr>
    </w:p>
    <w:p w14:paraId="4F21D6E7" w14:textId="04A732FE" w:rsidR="005839B2" w:rsidRPr="00F5735E" w:rsidRDefault="005839B2" w:rsidP="00F5735E">
      <w:pPr>
        <w:pStyle w:val="ListParagraph"/>
        <w:numPr>
          <w:ilvl w:val="0"/>
          <w:numId w:val="8"/>
        </w:numPr>
        <w:spacing w:after="84" w:line="360" w:lineRule="auto"/>
        <w:ind w:hanging="720"/>
        <w:jc w:val="both"/>
        <w:rPr>
          <w:rFonts w:ascii="Arial" w:eastAsia="Verdana" w:hAnsi="Arial" w:cs="Arial"/>
        </w:rPr>
      </w:pPr>
      <w:r w:rsidRPr="00F5735E">
        <w:rPr>
          <w:rFonts w:ascii="Arial" w:eastAsia="Verdana" w:hAnsi="Arial" w:cs="Arial"/>
        </w:rPr>
        <w:t>It is for the reasons set out above that I granted the order dismissing the special plea of prescription with costs.</w:t>
      </w:r>
    </w:p>
    <w:p w14:paraId="56C5080A" w14:textId="77777777" w:rsidR="00530B8E" w:rsidRPr="00530B8E" w:rsidRDefault="00530B8E" w:rsidP="00530B8E">
      <w:pPr>
        <w:pStyle w:val="ListParagraph"/>
        <w:spacing w:after="81" w:line="254" w:lineRule="auto"/>
        <w:jc w:val="both"/>
        <w:rPr>
          <w:rFonts w:ascii="Arial" w:eastAsia="Verdana" w:hAnsi="Arial" w:cs="Arial"/>
          <w:sz w:val="22"/>
          <w:szCs w:val="22"/>
        </w:rPr>
      </w:pPr>
    </w:p>
    <w:p w14:paraId="326160B0" w14:textId="7F9A8457" w:rsidR="00C74BFD" w:rsidRPr="00FE751C" w:rsidRDefault="00C74BFD" w:rsidP="00124103">
      <w:pPr>
        <w:pStyle w:val="Body"/>
        <w:spacing w:line="360" w:lineRule="auto"/>
        <w:ind w:left="720"/>
        <w:jc w:val="both"/>
        <w:rPr>
          <w:rFonts w:cs="Arial"/>
          <w:sz w:val="24"/>
          <w:szCs w:val="24"/>
        </w:rPr>
      </w:pPr>
    </w:p>
    <w:p w14:paraId="75814BE3" w14:textId="77777777" w:rsidR="00101D88" w:rsidRPr="00413603" w:rsidRDefault="00101D88" w:rsidP="00413603">
      <w:pPr>
        <w:pStyle w:val="Body"/>
        <w:ind w:left="720"/>
        <w:jc w:val="right"/>
        <w:rPr>
          <w:rFonts w:cs="Arial"/>
          <w:sz w:val="24"/>
          <w:szCs w:val="24"/>
        </w:rPr>
      </w:pPr>
      <w:r w:rsidRPr="00413603">
        <w:rPr>
          <w:rFonts w:cs="Arial"/>
          <w:b/>
          <w:bCs/>
          <w:sz w:val="24"/>
          <w:szCs w:val="24"/>
        </w:rPr>
        <w:lastRenderedPageBreak/>
        <w:t>_____________________________</w:t>
      </w:r>
    </w:p>
    <w:p w14:paraId="67B4416D" w14:textId="77777777" w:rsidR="001D6C62" w:rsidRDefault="001D6C62" w:rsidP="0008693D">
      <w:pPr>
        <w:pStyle w:val="BodyA"/>
        <w:ind w:left="720"/>
        <w:jc w:val="right"/>
        <w:rPr>
          <w:rFonts w:ascii="Arial" w:hAnsi="Arial" w:cs="Arial"/>
          <w:b/>
          <w:bCs/>
        </w:rPr>
      </w:pPr>
    </w:p>
    <w:p w14:paraId="7C493B1F" w14:textId="65ACEF1C" w:rsidR="00101D88" w:rsidRPr="00242E76" w:rsidRDefault="00101D88" w:rsidP="00416EA1">
      <w:pPr>
        <w:pStyle w:val="BodyA"/>
        <w:ind w:left="7920"/>
        <w:jc w:val="right"/>
        <w:rPr>
          <w:rFonts w:ascii="Arial" w:hAnsi="Arial" w:cs="Arial"/>
          <w:b/>
          <w:bCs/>
        </w:rPr>
      </w:pPr>
      <w:r w:rsidRPr="00242E76">
        <w:rPr>
          <w:rFonts w:ascii="Arial" w:hAnsi="Arial" w:cs="Arial"/>
          <w:b/>
          <w:bCs/>
        </w:rPr>
        <w:t>A MILLAR</w:t>
      </w:r>
    </w:p>
    <w:p w14:paraId="206E179D" w14:textId="12C0B530" w:rsidR="00101D88" w:rsidRPr="00242E76" w:rsidRDefault="00101D88" w:rsidP="00416EA1">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416EA1">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08693D">
      <w:pPr>
        <w:pStyle w:val="BodyA"/>
        <w:ind w:left="720"/>
        <w:jc w:val="right"/>
        <w:rPr>
          <w:rFonts w:ascii="Arial" w:eastAsia="Tahoma" w:hAnsi="Arial" w:cs="Arial"/>
          <w:b/>
          <w:bCs/>
        </w:rPr>
      </w:pPr>
    </w:p>
    <w:p w14:paraId="4A2A3FBF" w14:textId="51DC6B83" w:rsidR="00E55848" w:rsidRDefault="00E55848" w:rsidP="006630FB">
      <w:pPr>
        <w:spacing w:line="480" w:lineRule="auto"/>
        <w:ind w:left="567" w:hanging="567"/>
        <w:jc w:val="both"/>
        <w:rPr>
          <w:rFonts w:ascii="Arial" w:hAnsi="Arial" w:cs="Arial"/>
        </w:rPr>
      </w:pPr>
    </w:p>
    <w:p w14:paraId="6370866B" w14:textId="77777777" w:rsidR="00416EA1" w:rsidRDefault="00416EA1" w:rsidP="00385391">
      <w:pPr>
        <w:spacing w:line="480" w:lineRule="auto"/>
        <w:ind w:left="567" w:hanging="567"/>
        <w:jc w:val="both"/>
        <w:rPr>
          <w:rFonts w:ascii="Arial" w:hAnsi="Arial" w:cs="Arial"/>
        </w:rPr>
      </w:pPr>
    </w:p>
    <w:p w14:paraId="5ACDA854" w14:textId="1815A74B" w:rsidR="002040D5" w:rsidRPr="00242E76" w:rsidRDefault="00412E0C" w:rsidP="00385391">
      <w:pPr>
        <w:spacing w:line="48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EA1DEE">
        <w:rPr>
          <w:rFonts w:ascii="Arial" w:hAnsi="Arial" w:cs="Arial"/>
          <w:sz w:val="22"/>
          <w:szCs w:val="22"/>
        </w:rPr>
        <w:t>12 AUGUST 2022</w:t>
      </w:r>
    </w:p>
    <w:p w14:paraId="7E6457D4" w14:textId="263AE7D2" w:rsidR="002040D5" w:rsidRDefault="006630FB" w:rsidP="00385391">
      <w:pPr>
        <w:spacing w:line="48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EA1DEE">
        <w:rPr>
          <w:rFonts w:ascii="Arial" w:hAnsi="Arial" w:cs="Arial"/>
          <w:sz w:val="22"/>
          <w:szCs w:val="22"/>
        </w:rPr>
        <w:t>12 AUGUST 2022</w:t>
      </w:r>
    </w:p>
    <w:p w14:paraId="3CDC2035" w14:textId="6B9A1C18" w:rsidR="00EA1DEE" w:rsidRPr="00242E76" w:rsidRDefault="00EA1DEE" w:rsidP="00385391">
      <w:pPr>
        <w:spacing w:line="480" w:lineRule="auto"/>
        <w:ind w:left="567" w:hanging="567"/>
        <w:jc w:val="both"/>
        <w:rPr>
          <w:rFonts w:ascii="Arial" w:hAnsi="Arial" w:cs="Arial"/>
          <w:sz w:val="22"/>
          <w:szCs w:val="22"/>
        </w:rPr>
      </w:pPr>
      <w:r>
        <w:rPr>
          <w:rFonts w:ascii="Arial" w:hAnsi="Arial" w:cs="Arial"/>
          <w:sz w:val="22"/>
          <w:szCs w:val="22"/>
        </w:rPr>
        <w:t>REASONS: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92D5F">
        <w:rPr>
          <w:rFonts w:ascii="Arial" w:hAnsi="Arial" w:cs="Arial"/>
          <w:sz w:val="22"/>
          <w:szCs w:val="22"/>
        </w:rPr>
        <w:t xml:space="preserve">18 </w:t>
      </w:r>
      <w:r>
        <w:rPr>
          <w:rFonts w:ascii="Arial" w:hAnsi="Arial" w:cs="Arial"/>
          <w:sz w:val="22"/>
          <w:szCs w:val="22"/>
        </w:rPr>
        <w:t>AUGUST 2022</w:t>
      </w:r>
    </w:p>
    <w:p w14:paraId="70B75637" w14:textId="77777777" w:rsidR="006710DC" w:rsidRDefault="006710DC" w:rsidP="006630FB">
      <w:pPr>
        <w:spacing w:line="480" w:lineRule="auto"/>
        <w:ind w:left="567" w:hanging="567"/>
        <w:jc w:val="both"/>
        <w:rPr>
          <w:rFonts w:ascii="Arial" w:hAnsi="Arial" w:cs="Arial"/>
          <w:sz w:val="22"/>
          <w:szCs w:val="22"/>
        </w:rPr>
      </w:pPr>
    </w:p>
    <w:p w14:paraId="539E0A3C" w14:textId="7A98B255" w:rsidR="00EA1DEE" w:rsidRDefault="006630FB" w:rsidP="00EA1DEE">
      <w:pPr>
        <w:spacing w:line="48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0E07B1">
        <w:rPr>
          <w:rFonts w:ascii="Arial" w:hAnsi="Arial" w:cs="Arial"/>
          <w:sz w:val="22"/>
          <w:szCs w:val="22"/>
        </w:rPr>
        <w:t>PLAINTIFF</w:t>
      </w:r>
      <w:r w:rsidR="00412E0C" w:rsidRPr="00242E76">
        <w:rPr>
          <w:rFonts w:ascii="Arial" w:hAnsi="Arial" w:cs="Arial"/>
          <w:sz w:val="22"/>
          <w:szCs w:val="22"/>
        </w:rPr>
        <w:t>:</w:t>
      </w:r>
      <w:r w:rsidR="00242E76">
        <w:rPr>
          <w:rFonts w:ascii="Arial" w:hAnsi="Arial" w:cs="Arial"/>
          <w:sz w:val="22"/>
          <w:szCs w:val="22"/>
        </w:rPr>
        <w:tab/>
      </w:r>
      <w:r w:rsidR="00412E0C" w:rsidRPr="00242E76">
        <w:rPr>
          <w:rFonts w:ascii="Arial" w:hAnsi="Arial" w:cs="Arial"/>
          <w:sz w:val="22"/>
          <w:szCs w:val="22"/>
        </w:rPr>
        <w:tab/>
        <w:t xml:space="preserve">ADV </w:t>
      </w:r>
      <w:r w:rsidR="00EA1DEE">
        <w:rPr>
          <w:rFonts w:ascii="Arial" w:hAnsi="Arial" w:cs="Arial"/>
          <w:sz w:val="22"/>
          <w:szCs w:val="22"/>
        </w:rPr>
        <w:t>W BOTHA</w:t>
      </w:r>
    </w:p>
    <w:p w14:paraId="6434C520" w14:textId="7AAAAB13" w:rsidR="006630FB" w:rsidRPr="00242E76" w:rsidRDefault="006630FB" w:rsidP="00EA1DEE">
      <w:pPr>
        <w:spacing w:line="48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EA1DEE">
        <w:rPr>
          <w:rFonts w:ascii="Arial" w:hAnsi="Arial" w:cs="Arial"/>
          <w:sz w:val="22"/>
          <w:szCs w:val="22"/>
        </w:rPr>
        <w:t>VAN NIEKERK ATTORNEYS INC</w:t>
      </w:r>
    </w:p>
    <w:p w14:paraId="7383FC0C" w14:textId="3785FB4D" w:rsidR="000E6633" w:rsidRPr="00242E76" w:rsidRDefault="000E6633" w:rsidP="00E50554">
      <w:pPr>
        <w:spacing w:line="48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EA1DEE">
        <w:rPr>
          <w:rFonts w:ascii="Arial" w:hAnsi="Arial" w:cs="Arial"/>
          <w:sz w:val="22"/>
          <w:szCs w:val="22"/>
        </w:rPr>
        <w:t>CVDV/FN2492</w:t>
      </w:r>
    </w:p>
    <w:p w14:paraId="4502317A" w14:textId="77777777" w:rsidR="000E6633" w:rsidRPr="00242E76" w:rsidRDefault="000E6633" w:rsidP="006630FB">
      <w:pPr>
        <w:spacing w:line="480" w:lineRule="auto"/>
        <w:ind w:left="567" w:hanging="567"/>
        <w:jc w:val="both"/>
        <w:rPr>
          <w:rFonts w:ascii="Arial" w:hAnsi="Arial" w:cs="Arial"/>
          <w:sz w:val="22"/>
          <w:szCs w:val="22"/>
        </w:rPr>
      </w:pPr>
    </w:p>
    <w:p w14:paraId="577B443F" w14:textId="122A6AC9" w:rsidR="006630FB" w:rsidRPr="00242E76" w:rsidRDefault="002A6A3F" w:rsidP="006630FB">
      <w:pPr>
        <w:spacing w:line="480" w:lineRule="auto"/>
        <w:ind w:left="567" w:hanging="567"/>
        <w:jc w:val="both"/>
        <w:rPr>
          <w:rFonts w:ascii="Arial" w:hAnsi="Arial" w:cs="Arial"/>
          <w:sz w:val="22"/>
          <w:szCs w:val="22"/>
        </w:rPr>
      </w:pPr>
      <w:r w:rsidRPr="00242E76">
        <w:rPr>
          <w:rFonts w:ascii="Arial" w:hAnsi="Arial" w:cs="Arial"/>
          <w:sz w:val="22"/>
          <w:szCs w:val="22"/>
        </w:rPr>
        <w:t xml:space="preserve">COUNSEL FOR THE </w:t>
      </w:r>
      <w:r w:rsidR="000E07B1">
        <w:rPr>
          <w:rFonts w:ascii="Arial" w:hAnsi="Arial" w:cs="Arial"/>
          <w:sz w:val="22"/>
          <w:szCs w:val="22"/>
        </w:rPr>
        <w:t>DEFENDANT</w:t>
      </w:r>
      <w:r w:rsidR="006630FB" w:rsidRPr="00242E76">
        <w:rPr>
          <w:rFonts w:ascii="Arial" w:hAnsi="Arial" w:cs="Arial"/>
          <w:sz w:val="22"/>
          <w:szCs w:val="22"/>
        </w:rPr>
        <w:t>:</w:t>
      </w:r>
      <w:r w:rsidR="000E07B1">
        <w:rPr>
          <w:rFonts w:ascii="Arial" w:hAnsi="Arial" w:cs="Arial"/>
          <w:sz w:val="22"/>
          <w:szCs w:val="22"/>
        </w:rPr>
        <w:tab/>
      </w:r>
      <w:r w:rsidR="006630FB" w:rsidRPr="00242E76">
        <w:rPr>
          <w:rFonts w:ascii="Arial" w:hAnsi="Arial" w:cs="Arial"/>
          <w:sz w:val="22"/>
          <w:szCs w:val="22"/>
        </w:rPr>
        <w:tab/>
        <w:t>ADV</w:t>
      </w:r>
      <w:r w:rsidR="008D34A8">
        <w:rPr>
          <w:rFonts w:ascii="Arial" w:hAnsi="Arial" w:cs="Arial"/>
          <w:sz w:val="22"/>
          <w:szCs w:val="22"/>
        </w:rPr>
        <w:t xml:space="preserve"> </w:t>
      </w:r>
      <w:r w:rsidR="00EA1DEE">
        <w:rPr>
          <w:rFonts w:ascii="Arial" w:hAnsi="Arial" w:cs="Arial"/>
          <w:sz w:val="22"/>
          <w:szCs w:val="22"/>
        </w:rPr>
        <w:t>T KGOEBANE</w:t>
      </w:r>
    </w:p>
    <w:p w14:paraId="6EEF6A02" w14:textId="307739DD" w:rsidR="008465D6" w:rsidRPr="00242E76" w:rsidRDefault="006630FB" w:rsidP="00E50554">
      <w:pPr>
        <w:spacing w:line="48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EA1DEE">
        <w:rPr>
          <w:rFonts w:ascii="Arial" w:hAnsi="Arial" w:cs="Arial"/>
          <w:sz w:val="22"/>
          <w:szCs w:val="22"/>
        </w:rPr>
        <w:t>THE STATE ATTORNEY, PRETORIA</w:t>
      </w:r>
    </w:p>
    <w:p w14:paraId="0030EF17" w14:textId="526077AC" w:rsidR="000E6633" w:rsidRDefault="000E6633" w:rsidP="00E50554">
      <w:pPr>
        <w:spacing w:line="48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EA1DEE">
        <w:rPr>
          <w:rFonts w:ascii="Arial" w:hAnsi="Arial" w:cs="Arial"/>
          <w:sz w:val="22"/>
          <w:szCs w:val="22"/>
        </w:rPr>
        <w:t>RAF2021/3993(560/12878988/321/0)</w:t>
      </w:r>
    </w:p>
    <w:p w14:paraId="748D69AA" w14:textId="77777777" w:rsidR="00A56BC1" w:rsidRPr="00CB6F8A" w:rsidRDefault="00A56BC1" w:rsidP="00CB6F8A">
      <w:pPr>
        <w:spacing w:line="480" w:lineRule="auto"/>
        <w:jc w:val="both"/>
        <w:rPr>
          <w:rFonts w:ascii="Arial" w:hAnsi="Arial"/>
          <w:sz w:val="22"/>
          <w:szCs w:val="22"/>
        </w:rPr>
      </w:pPr>
    </w:p>
    <w:sectPr w:rsidR="00A56BC1" w:rsidRPr="00CB6F8A" w:rsidSect="00720784">
      <w:headerReference w:type="even" r:id="rId9"/>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E1922" w14:textId="77777777" w:rsidR="00174714" w:rsidRDefault="00174714" w:rsidP="008C18AE">
      <w:r>
        <w:separator/>
      </w:r>
    </w:p>
  </w:endnote>
  <w:endnote w:type="continuationSeparator" w:id="0">
    <w:p w14:paraId="54CAAB29" w14:textId="77777777" w:rsidR="00174714" w:rsidRDefault="00174714"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B86D8" w14:textId="77777777" w:rsidR="00174714" w:rsidRDefault="00174714" w:rsidP="008C18AE">
      <w:r>
        <w:separator/>
      </w:r>
    </w:p>
  </w:footnote>
  <w:footnote w:type="continuationSeparator" w:id="0">
    <w:p w14:paraId="73070592" w14:textId="77777777" w:rsidR="00174714" w:rsidRDefault="00174714" w:rsidP="008C18AE">
      <w:r>
        <w:continuationSeparator/>
      </w:r>
    </w:p>
  </w:footnote>
  <w:footnote w:id="1">
    <w:p w14:paraId="3D0CCBE7" w14:textId="56037FC3" w:rsidR="0095148A" w:rsidRPr="00FE751C" w:rsidRDefault="0095148A" w:rsidP="00FE751C">
      <w:pPr>
        <w:pStyle w:val="FootnoteText"/>
        <w:tabs>
          <w:tab w:val="center" w:pos="284"/>
          <w:tab w:val="center" w:pos="567"/>
        </w:tabs>
        <w:ind w:left="284" w:hanging="284"/>
        <w:jc w:val="both"/>
        <w:rPr>
          <w:rFonts w:ascii="Arial" w:hAnsi="Arial" w:cs="Arial"/>
          <w:sz w:val="20"/>
          <w:szCs w:val="20"/>
        </w:rPr>
      </w:pPr>
      <w:r w:rsidRPr="00FE751C">
        <w:rPr>
          <w:rStyle w:val="FootnoteReference"/>
          <w:rFonts w:ascii="Arial" w:hAnsi="Arial" w:cs="Arial"/>
          <w:sz w:val="20"/>
          <w:szCs w:val="20"/>
        </w:rPr>
        <w:footnoteRef/>
      </w:r>
      <w:r w:rsidRPr="00FE751C">
        <w:rPr>
          <w:rFonts w:ascii="Arial" w:hAnsi="Arial" w:cs="Arial"/>
          <w:sz w:val="20"/>
          <w:szCs w:val="20"/>
        </w:rPr>
        <w:t xml:space="preserve"> </w:t>
      </w:r>
      <w:r w:rsidR="00FE751C">
        <w:rPr>
          <w:rFonts w:ascii="Arial" w:hAnsi="Arial" w:cs="Arial"/>
          <w:sz w:val="20"/>
          <w:szCs w:val="20"/>
        </w:rPr>
        <w:tab/>
      </w:r>
      <w:r w:rsidR="00FE751C">
        <w:rPr>
          <w:rFonts w:ascii="Arial" w:hAnsi="Arial" w:cs="Arial"/>
          <w:sz w:val="20"/>
          <w:szCs w:val="20"/>
        </w:rPr>
        <w:tab/>
      </w:r>
      <w:r w:rsidRPr="00FE751C">
        <w:rPr>
          <w:rFonts w:ascii="Arial" w:hAnsi="Arial" w:cs="Arial"/>
          <w:sz w:val="20"/>
          <w:szCs w:val="20"/>
        </w:rPr>
        <w:t>The Defendant in fact raised 3 separate special pleas, 2 in regard to the plaintiff’s entitlement to claim general damages and 1 of prescription.  The pleas in regard to the claim for general damages fall to be decided when the quantum of damages is heard.</w:t>
      </w:r>
    </w:p>
  </w:footnote>
  <w:footnote w:id="2">
    <w:p w14:paraId="60446869" w14:textId="1A8A1DB6" w:rsidR="00160030" w:rsidRPr="00F62132" w:rsidRDefault="00160030" w:rsidP="00405B70">
      <w:pPr>
        <w:pStyle w:val="FootnoteText"/>
        <w:ind w:left="180" w:hanging="180"/>
        <w:rPr>
          <w:rFonts w:ascii="Arial" w:hAnsi="Arial" w:cs="Arial"/>
          <w:sz w:val="20"/>
          <w:szCs w:val="20"/>
        </w:rPr>
      </w:pPr>
      <w:r w:rsidRPr="00F62132">
        <w:rPr>
          <w:rStyle w:val="FootnoteReference"/>
          <w:rFonts w:ascii="Arial" w:hAnsi="Arial" w:cs="Arial"/>
          <w:sz w:val="20"/>
          <w:szCs w:val="20"/>
        </w:rPr>
        <w:footnoteRef/>
      </w:r>
      <w:r w:rsidRPr="00F62132">
        <w:rPr>
          <w:rFonts w:ascii="Arial" w:hAnsi="Arial" w:cs="Arial"/>
          <w:sz w:val="20"/>
          <w:szCs w:val="20"/>
        </w:rPr>
        <w:t xml:space="preserve"> </w:t>
      </w:r>
      <w:r w:rsidR="00492D5F">
        <w:rPr>
          <w:rFonts w:ascii="Arial" w:hAnsi="Arial" w:cs="Arial"/>
          <w:sz w:val="20"/>
          <w:szCs w:val="20"/>
        </w:rPr>
        <w:t xml:space="preserve"> </w:t>
      </w:r>
      <w:r w:rsidRPr="00F62132">
        <w:rPr>
          <w:rFonts w:ascii="Arial" w:hAnsi="Arial" w:cs="Arial"/>
          <w:sz w:val="20"/>
          <w:szCs w:val="20"/>
        </w:rPr>
        <w:t xml:space="preserve">The section provides that once a claim has been lodged within the </w:t>
      </w:r>
      <w:r w:rsidR="00405B70" w:rsidRPr="00F62132">
        <w:rPr>
          <w:rFonts w:ascii="Arial" w:hAnsi="Arial" w:cs="Arial"/>
          <w:sz w:val="20"/>
          <w:szCs w:val="20"/>
        </w:rPr>
        <w:t>2- or 3-year</w:t>
      </w:r>
      <w:r w:rsidRPr="00F62132">
        <w:rPr>
          <w:rFonts w:ascii="Arial" w:hAnsi="Arial" w:cs="Arial"/>
          <w:sz w:val="20"/>
          <w:szCs w:val="20"/>
        </w:rPr>
        <w:t xml:space="preserve"> period for identified or unidentified claims respectively then a further period of 3 or 2 years respectively is afforded for the issue and service of summons before the claim will become prescribed.</w:t>
      </w:r>
      <w:r w:rsidR="00405B70">
        <w:rPr>
          <w:rFonts w:ascii="Arial" w:hAnsi="Arial" w:cs="Arial"/>
          <w:sz w:val="20"/>
          <w:szCs w:val="20"/>
        </w:rPr>
        <w:t xml:space="preserve"> The total period in both instances amounts to 5 years from the date the cause of action arose.</w:t>
      </w:r>
    </w:p>
  </w:footnote>
  <w:footnote w:id="3">
    <w:p w14:paraId="44602BA7" w14:textId="002B5C8C" w:rsidR="00F23D0D" w:rsidRPr="00F23D0D" w:rsidRDefault="00F23D0D" w:rsidP="00405B70">
      <w:pPr>
        <w:pStyle w:val="FootnoteText"/>
        <w:ind w:left="180" w:hanging="180"/>
        <w:jc w:val="both"/>
        <w:rPr>
          <w:rFonts w:ascii="Arial" w:hAnsi="Arial" w:cs="Arial"/>
          <w:sz w:val="20"/>
          <w:szCs w:val="20"/>
        </w:rPr>
      </w:pPr>
      <w:r w:rsidRPr="00F62132">
        <w:rPr>
          <w:rStyle w:val="FootnoteReference"/>
          <w:rFonts w:ascii="Arial" w:hAnsi="Arial" w:cs="Arial"/>
          <w:sz w:val="20"/>
          <w:szCs w:val="20"/>
        </w:rPr>
        <w:footnoteRef/>
      </w:r>
      <w:r w:rsidRPr="00F62132">
        <w:rPr>
          <w:rFonts w:ascii="Arial" w:hAnsi="Arial" w:cs="Arial"/>
          <w:sz w:val="20"/>
          <w:szCs w:val="20"/>
        </w:rPr>
        <w:t xml:space="preserve"> </w:t>
      </w:r>
      <w:r w:rsidR="00492D5F">
        <w:rPr>
          <w:rFonts w:ascii="Arial" w:hAnsi="Arial" w:cs="Arial"/>
          <w:sz w:val="20"/>
          <w:szCs w:val="20"/>
        </w:rPr>
        <w:t xml:space="preserve"> </w:t>
      </w:r>
      <w:r w:rsidRPr="00F62132">
        <w:rPr>
          <w:rFonts w:ascii="Arial" w:hAnsi="Arial" w:cs="Arial"/>
          <w:sz w:val="20"/>
          <w:szCs w:val="20"/>
        </w:rPr>
        <w:t xml:space="preserve">Section 11(1)(d) of the Road Accident Fund Act 56 of 1996 specifically empowers the board to </w:t>
      </w:r>
      <w:r w:rsidRPr="00F62132">
        <w:rPr>
          <w:rFonts w:ascii="Arial" w:hAnsi="Arial" w:cs="Arial"/>
          <w:i/>
          <w:iCs/>
          <w:sz w:val="20"/>
          <w:szCs w:val="20"/>
        </w:rPr>
        <w:t>‘approve internal rules and directions in respect of the management of the Fund’</w:t>
      </w:r>
      <w:r w:rsidRPr="00F62132">
        <w:rPr>
          <w:rFonts w:ascii="Arial" w:hAnsi="Arial" w:cs="Arial"/>
          <w:sz w:val="20"/>
          <w:szCs w:val="20"/>
        </w:rPr>
        <w:t>.</w:t>
      </w:r>
    </w:p>
  </w:footnote>
  <w:footnote w:id="4">
    <w:p w14:paraId="4904FC49" w14:textId="49BFEB16" w:rsidR="00402BED" w:rsidRPr="00492D5F" w:rsidRDefault="00402BED" w:rsidP="00492D5F">
      <w:pPr>
        <w:pStyle w:val="FootnoteText"/>
        <w:ind w:left="284" w:hanging="284"/>
        <w:rPr>
          <w:rFonts w:ascii="Arial" w:hAnsi="Arial" w:cs="Arial"/>
          <w:sz w:val="20"/>
          <w:szCs w:val="20"/>
        </w:rPr>
      </w:pPr>
      <w:r w:rsidRPr="00492D5F">
        <w:rPr>
          <w:rStyle w:val="FootnoteReference"/>
          <w:rFonts w:ascii="Arial" w:hAnsi="Arial" w:cs="Arial"/>
          <w:sz w:val="20"/>
          <w:szCs w:val="20"/>
        </w:rPr>
        <w:footnoteRef/>
      </w:r>
      <w:r w:rsidRPr="00492D5F">
        <w:rPr>
          <w:rFonts w:ascii="Arial" w:hAnsi="Arial" w:cs="Arial"/>
          <w:sz w:val="20"/>
          <w:szCs w:val="20"/>
        </w:rPr>
        <w:t xml:space="preserve"> </w:t>
      </w:r>
      <w:r w:rsidR="00492D5F" w:rsidRPr="00492D5F">
        <w:rPr>
          <w:rFonts w:ascii="Arial" w:hAnsi="Arial" w:cs="Arial"/>
          <w:sz w:val="20"/>
          <w:szCs w:val="20"/>
        </w:rPr>
        <w:tab/>
      </w:r>
      <w:r w:rsidRPr="00492D5F">
        <w:rPr>
          <w:rFonts w:ascii="Arial" w:hAnsi="Arial" w:cs="Arial"/>
          <w:sz w:val="20"/>
          <w:szCs w:val="20"/>
        </w:rPr>
        <w:t>2011 (2) SA 26 (CC) at para 50</w:t>
      </w:r>
    </w:p>
  </w:footnote>
  <w:footnote w:id="5">
    <w:p w14:paraId="0F681A8C" w14:textId="62AA99F6" w:rsidR="004E0B95" w:rsidRPr="00A86119" w:rsidRDefault="004E0B95" w:rsidP="00492D5F">
      <w:pPr>
        <w:pStyle w:val="FootnoteText"/>
        <w:ind w:left="284" w:hanging="284"/>
        <w:rPr>
          <w:rFonts w:ascii="Arial" w:hAnsi="Arial" w:cs="Arial"/>
          <w:sz w:val="20"/>
          <w:szCs w:val="20"/>
        </w:rPr>
      </w:pPr>
      <w:r w:rsidRPr="00492D5F">
        <w:rPr>
          <w:rStyle w:val="FootnoteReference"/>
          <w:rFonts w:ascii="Arial" w:hAnsi="Arial" w:cs="Arial"/>
          <w:sz w:val="20"/>
          <w:szCs w:val="20"/>
        </w:rPr>
        <w:footnoteRef/>
      </w:r>
      <w:r w:rsidRPr="00492D5F">
        <w:rPr>
          <w:rFonts w:ascii="Arial" w:hAnsi="Arial" w:cs="Arial"/>
          <w:sz w:val="20"/>
          <w:szCs w:val="20"/>
        </w:rPr>
        <w:t xml:space="preserve"> </w:t>
      </w:r>
      <w:r w:rsidR="00492D5F" w:rsidRPr="00492D5F">
        <w:rPr>
          <w:rFonts w:ascii="Arial" w:hAnsi="Arial" w:cs="Arial"/>
          <w:sz w:val="20"/>
          <w:szCs w:val="20"/>
        </w:rPr>
        <w:tab/>
      </w:r>
      <w:r w:rsidRPr="00492D5F">
        <w:rPr>
          <w:rFonts w:ascii="Arial" w:hAnsi="Arial" w:cs="Arial"/>
          <w:sz w:val="20"/>
          <w:szCs w:val="20"/>
        </w:rPr>
        <w:t>2022 (3) SA 45 (CC)</w:t>
      </w:r>
    </w:p>
  </w:footnote>
  <w:footnote w:id="6">
    <w:p w14:paraId="291B432E" w14:textId="664AC232" w:rsidR="00461CA1" w:rsidRPr="00D62D51" w:rsidRDefault="00461CA1" w:rsidP="009C46B8">
      <w:pPr>
        <w:pStyle w:val="FootnoteText"/>
        <w:ind w:left="284" w:hanging="284"/>
        <w:rPr>
          <w:rFonts w:ascii="Arial" w:hAnsi="Arial" w:cs="Arial"/>
          <w:i/>
          <w:iCs/>
          <w:sz w:val="20"/>
          <w:szCs w:val="20"/>
        </w:rPr>
      </w:pPr>
      <w:r w:rsidRPr="00D62D51">
        <w:rPr>
          <w:rStyle w:val="FootnoteReference"/>
          <w:rFonts w:ascii="Arial" w:hAnsi="Arial" w:cs="Arial"/>
          <w:sz w:val="20"/>
          <w:szCs w:val="20"/>
        </w:rPr>
        <w:footnoteRef/>
      </w:r>
      <w:r w:rsidRPr="00D62D51">
        <w:rPr>
          <w:rFonts w:ascii="Arial" w:hAnsi="Arial" w:cs="Arial"/>
          <w:sz w:val="20"/>
          <w:szCs w:val="20"/>
        </w:rPr>
        <w:t xml:space="preserve"> </w:t>
      </w:r>
      <w:r w:rsidR="00D62D51" w:rsidRPr="00D62D51">
        <w:rPr>
          <w:rFonts w:ascii="Arial" w:hAnsi="Arial" w:cs="Arial"/>
          <w:i/>
          <w:iCs/>
          <w:sz w:val="20"/>
          <w:szCs w:val="20"/>
        </w:rPr>
        <w:t>“</w:t>
      </w:r>
      <w:r w:rsidRPr="00D62D51">
        <w:rPr>
          <w:rFonts w:ascii="Arial" w:hAnsi="Arial" w:cs="Arial"/>
          <w:i/>
          <w:iCs/>
          <w:sz w:val="20"/>
          <w:szCs w:val="20"/>
        </w:rPr>
        <w:t>(2) Prescri</w:t>
      </w:r>
      <w:r w:rsidR="00D62D51" w:rsidRPr="00D62D51">
        <w:rPr>
          <w:rFonts w:ascii="Arial" w:hAnsi="Arial" w:cs="Arial"/>
          <w:i/>
          <w:iCs/>
          <w:sz w:val="20"/>
          <w:szCs w:val="20"/>
        </w:rPr>
        <w:t>ption of a claim for compensation referred to in subsection (1) shall not run against-</w:t>
      </w:r>
    </w:p>
    <w:p w14:paraId="1685A098" w14:textId="15295529" w:rsidR="00D62D51" w:rsidRPr="00D62D51" w:rsidRDefault="00D62D51" w:rsidP="009C46B8">
      <w:pPr>
        <w:pStyle w:val="FootnoteText"/>
        <w:ind w:left="284" w:hanging="284"/>
        <w:rPr>
          <w:rFonts w:ascii="Arial" w:hAnsi="Arial" w:cs="Arial"/>
          <w:i/>
          <w:iCs/>
          <w:sz w:val="20"/>
          <w:szCs w:val="20"/>
        </w:rPr>
      </w:pPr>
      <w:r>
        <w:rPr>
          <w:rFonts w:ascii="Arial" w:hAnsi="Arial" w:cs="Arial"/>
          <w:i/>
          <w:iCs/>
          <w:sz w:val="20"/>
          <w:szCs w:val="20"/>
        </w:rPr>
        <w:t xml:space="preserve">       </w:t>
      </w:r>
      <w:r w:rsidRPr="00D62D51">
        <w:rPr>
          <w:rFonts w:ascii="Arial" w:hAnsi="Arial" w:cs="Arial"/>
          <w:i/>
          <w:iCs/>
          <w:sz w:val="20"/>
          <w:szCs w:val="20"/>
        </w:rPr>
        <w:t>(a)…</w:t>
      </w:r>
    </w:p>
    <w:p w14:paraId="3242677E" w14:textId="494E5BD2" w:rsidR="00D62D51" w:rsidRPr="00D62D51" w:rsidRDefault="00D62D51" w:rsidP="009C46B8">
      <w:pPr>
        <w:pStyle w:val="FootnoteText"/>
        <w:ind w:left="284" w:hanging="284"/>
        <w:rPr>
          <w:rFonts w:ascii="Arial" w:hAnsi="Arial" w:cs="Arial"/>
          <w:i/>
          <w:iCs/>
          <w:sz w:val="20"/>
          <w:szCs w:val="20"/>
        </w:rPr>
      </w:pPr>
      <w:r>
        <w:rPr>
          <w:rFonts w:ascii="Arial" w:hAnsi="Arial" w:cs="Arial"/>
          <w:i/>
          <w:iCs/>
          <w:sz w:val="20"/>
          <w:szCs w:val="20"/>
        </w:rPr>
        <w:t xml:space="preserve">       </w:t>
      </w:r>
      <w:r w:rsidRPr="00D62D51">
        <w:rPr>
          <w:rFonts w:ascii="Arial" w:hAnsi="Arial" w:cs="Arial"/>
          <w:i/>
          <w:iCs/>
          <w:sz w:val="20"/>
          <w:szCs w:val="20"/>
        </w:rPr>
        <w:t>(b) any person detained as a patient in terms of any mental health legislation; or</w:t>
      </w:r>
    </w:p>
    <w:p w14:paraId="78FB410B" w14:textId="08BA1837" w:rsidR="00D62D51" w:rsidRDefault="00D62D51" w:rsidP="009C46B8">
      <w:pPr>
        <w:pStyle w:val="FootnoteText"/>
        <w:ind w:left="284" w:hanging="284"/>
      </w:pPr>
      <w:r>
        <w:rPr>
          <w:rFonts w:ascii="Arial" w:hAnsi="Arial" w:cs="Arial"/>
          <w:i/>
          <w:iCs/>
          <w:sz w:val="20"/>
          <w:szCs w:val="20"/>
        </w:rPr>
        <w:t xml:space="preserve">       </w:t>
      </w:r>
      <w:r w:rsidRPr="00D62D51">
        <w:rPr>
          <w:rFonts w:ascii="Arial" w:hAnsi="Arial" w:cs="Arial"/>
          <w:i/>
          <w:iCs/>
          <w:sz w:val="20"/>
          <w:szCs w:val="20"/>
        </w:rPr>
        <w:t>(c) a person under curatorship.”</w:t>
      </w:r>
    </w:p>
  </w:footnote>
  <w:footnote w:id="7">
    <w:p w14:paraId="7AE3C919" w14:textId="019C7F87" w:rsidR="00124103" w:rsidRPr="00124103" w:rsidRDefault="00124103" w:rsidP="009C46B8">
      <w:pPr>
        <w:pStyle w:val="FootnoteText"/>
        <w:ind w:left="284" w:hanging="284"/>
        <w:rPr>
          <w:rFonts w:ascii="Arial" w:hAnsi="Arial" w:cs="Arial"/>
          <w:sz w:val="20"/>
          <w:szCs w:val="20"/>
        </w:rPr>
      </w:pPr>
      <w:r w:rsidRPr="00124103">
        <w:rPr>
          <w:rStyle w:val="FootnoteReference"/>
          <w:rFonts w:ascii="Arial" w:hAnsi="Arial" w:cs="Arial"/>
          <w:sz w:val="20"/>
          <w:szCs w:val="20"/>
        </w:rPr>
        <w:footnoteRef/>
      </w:r>
      <w:r w:rsidRPr="00124103">
        <w:rPr>
          <w:rFonts w:ascii="Arial" w:hAnsi="Arial" w:cs="Arial"/>
          <w:sz w:val="20"/>
          <w:szCs w:val="20"/>
        </w:rPr>
        <w:t xml:space="preserve"> </w:t>
      </w:r>
      <w:r w:rsidR="00492D5F">
        <w:rPr>
          <w:rFonts w:ascii="Arial" w:hAnsi="Arial" w:cs="Arial"/>
          <w:sz w:val="20"/>
          <w:szCs w:val="20"/>
        </w:rPr>
        <w:t xml:space="preserve"> </w:t>
      </w:r>
      <w:r w:rsidRPr="00124103">
        <w:rPr>
          <w:rFonts w:ascii="Arial" w:hAnsi="Arial" w:cs="Arial"/>
          <w:sz w:val="20"/>
          <w:szCs w:val="20"/>
        </w:rPr>
        <w:t>By Justice Pillay AJ with whom Mogoeng CJ and Khampepe J concurred at paras [51] – [55]</w:t>
      </w:r>
      <w:r w:rsidR="0081451A">
        <w:rPr>
          <w:rFonts w:ascii="Arial" w:hAnsi="Arial" w:cs="Arial"/>
          <w:sz w:val="20"/>
          <w:szCs w:val="20"/>
        </w:rPr>
        <w:t xml:space="preserve"> – footnotes </w:t>
      </w:r>
      <w:r w:rsidR="00920605">
        <w:rPr>
          <w:rFonts w:ascii="Arial" w:hAnsi="Arial" w:cs="Arial"/>
          <w:sz w:val="20"/>
          <w:szCs w:val="20"/>
        </w:rPr>
        <w:t>omitted. The applicability of the maxim</w:t>
      </w:r>
      <w:r w:rsidR="00530B8E">
        <w:rPr>
          <w:rFonts w:ascii="Arial" w:hAnsi="Arial" w:cs="Arial"/>
          <w:sz w:val="20"/>
          <w:szCs w:val="20"/>
        </w:rPr>
        <w:t xml:space="preserve"> to circumstances involving prescription</w:t>
      </w:r>
      <w:r w:rsidR="00920605">
        <w:rPr>
          <w:rFonts w:ascii="Arial" w:hAnsi="Arial" w:cs="Arial"/>
          <w:sz w:val="20"/>
          <w:szCs w:val="20"/>
        </w:rPr>
        <w:t xml:space="preserve"> was also approved </w:t>
      </w:r>
      <w:r w:rsidR="00530B8E">
        <w:rPr>
          <w:rFonts w:ascii="Arial" w:hAnsi="Arial" w:cs="Arial"/>
          <w:sz w:val="20"/>
          <w:szCs w:val="20"/>
        </w:rPr>
        <w:t>by the majority in the judgment of Justice Jafta at paras [114] – [115].</w:t>
      </w:r>
    </w:p>
  </w:footnote>
  <w:footnote w:id="8">
    <w:p w14:paraId="2459A043" w14:textId="3E1A6C0A" w:rsidR="00530B8E" w:rsidRPr="00530B8E" w:rsidRDefault="00530B8E">
      <w:pPr>
        <w:pStyle w:val="FootnoteText"/>
        <w:rPr>
          <w:rFonts w:ascii="Arial" w:hAnsi="Arial" w:cs="Arial"/>
          <w:sz w:val="20"/>
          <w:szCs w:val="20"/>
        </w:rPr>
      </w:pPr>
      <w:r w:rsidRPr="00530B8E">
        <w:rPr>
          <w:rStyle w:val="FootnoteReference"/>
          <w:rFonts w:ascii="Arial" w:hAnsi="Arial" w:cs="Arial"/>
          <w:sz w:val="20"/>
          <w:szCs w:val="20"/>
        </w:rPr>
        <w:footnoteRef/>
      </w:r>
      <w:r w:rsidRPr="00530B8E">
        <w:rPr>
          <w:rFonts w:ascii="Arial" w:hAnsi="Arial" w:cs="Arial"/>
          <w:sz w:val="20"/>
          <w:szCs w:val="20"/>
        </w:rPr>
        <w:t xml:space="preserve"> Van Zyl supra, The judgment of the majority at paras [125] – [126]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A27A"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B50E11" w:rsidRDefault="00B50E11" w:rsidP="00B50E1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28D8" w14:textId="38687631"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DAE">
      <w:rPr>
        <w:rStyle w:val="PageNumber"/>
        <w:noProof/>
      </w:rPr>
      <w:t>9</w:t>
    </w:r>
    <w:r>
      <w:rPr>
        <w:rStyle w:val="PageNumber"/>
      </w:rPr>
      <w:fldChar w:fldCharType="end"/>
    </w:r>
  </w:p>
  <w:p w14:paraId="7E704A95" w14:textId="77777777" w:rsidR="00B50E11" w:rsidRDefault="00B50E11" w:rsidP="00B50E11">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15:restartNumberingAfterBreak="0">
    <w:nsid w:val="4416431A"/>
    <w:multiLevelType w:val="hybridMultilevel"/>
    <w:tmpl w:val="4D60E7C4"/>
    <w:lvl w:ilvl="0" w:tplc="DA7C669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67665E6"/>
    <w:multiLevelType w:val="hybridMultilevel"/>
    <w:tmpl w:val="F78E86EA"/>
    <w:lvl w:ilvl="0" w:tplc="31C0DAB0">
      <w:start w:val="50"/>
      <w:numFmt w:val="decimal"/>
      <w:lvlText w:val="[%1]"/>
      <w:lvlJc w:val="left"/>
      <w:pPr>
        <w:ind w:left="372"/>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3DDED4D6">
      <w:start w:val="2022"/>
      <w:numFmt w:val="decimal"/>
      <w:lvlText w:val="%2"/>
      <w:lvlJc w:val="left"/>
      <w:pPr>
        <w:ind w:left="5221"/>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lvl w:ilvl="2" w:tplc="AF62AE06">
      <w:start w:val="1"/>
      <w:numFmt w:val="lowerRoman"/>
      <w:lvlText w:val="%3"/>
      <w:lvlJc w:val="left"/>
      <w:pPr>
        <w:ind w:left="10727"/>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lvl w:ilvl="3" w:tplc="95F2CE9C">
      <w:start w:val="1"/>
      <w:numFmt w:val="decimal"/>
      <w:lvlText w:val="%4"/>
      <w:lvlJc w:val="left"/>
      <w:pPr>
        <w:ind w:left="11447"/>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lvl w:ilvl="4" w:tplc="F19EDC00">
      <w:start w:val="1"/>
      <w:numFmt w:val="lowerLetter"/>
      <w:lvlText w:val="%5"/>
      <w:lvlJc w:val="left"/>
      <w:pPr>
        <w:ind w:left="12167"/>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lvl w:ilvl="5" w:tplc="81A04832">
      <w:start w:val="1"/>
      <w:numFmt w:val="lowerRoman"/>
      <w:lvlText w:val="%6"/>
      <w:lvlJc w:val="left"/>
      <w:pPr>
        <w:ind w:left="12887"/>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lvl w:ilvl="6" w:tplc="2C30B06C">
      <w:start w:val="1"/>
      <w:numFmt w:val="decimal"/>
      <w:lvlText w:val="%7"/>
      <w:lvlJc w:val="left"/>
      <w:pPr>
        <w:ind w:left="13607"/>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lvl w:ilvl="7" w:tplc="CE40F97C">
      <w:start w:val="1"/>
      <w:numFmt w:val="lowerLetter"/>
      <w:lvlText w:val="%8"/>
      <w:lvlJc w:val="left"/>
      <w:pPr>
        <w:ind w:left="14327"/>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lvl w:ilvl="8" w:tplc="CBD2B052">
      <w:start w:val="1"/>
      <w:numFmt w:val="lowerRoman"/>
      <w:lvlText w:val="%9"/>
      <w:lvlJc w:val="left"/>
      <w:pPr>
        <w:ind w:left="15047"/>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abstractNum>
  <w:abstractNum w:abstractNumId="9" w15:restartNumberingAfterBreak="0">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92F6C8C"/>
    <w:multiLevelType w:val="hybridMultilevel"/>
    <w:tmpl w:val="054ED856"/>
    <w:lvl w:ilvl="0" w:tplc="10307838">
      <w:start w:val="96"/>
      <w:numFmt w:val="decimal"/>
      <w:lvlText w:val="[%1]"/>
      <w:lvlJc w:val="left"/>
      <w:pPr>
        <w:ind w:left="48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74A68F6E">
      <w:start w:val="2"/>
      <w:numFmt w:val="decimal"/>
      <w:lvlText w:val="(%2)"/>
      <w:lvlJc w:val="left"/>
      <w:pPr>
        <w:ind w:left="675"/>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2" w:tplc="DDE422F0">
      <w:start w:val="1"/>
      <w:numFmt w:val="lowerRoman"/>
      <w:lvlText w:val="%3"/>
      <w:lvlJc w:val="left"/>
      <w:pPr>
        <w:ind w:left="1655"/>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3" w:tplc="CA78ECB6">
      <w:start w:val="1"/>
      <w:numFmt w:val="decimal"/>
      <w:lvlText w:val="%4"/>
      <w:lvlJc w:val="left"/>
      <w:pPr>
        <w:ind w:left="2375"/>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4" w:tplc="9A26505E">
      <w:start w:val="1"/>
      <w:numFmt w:val="lowerLetter"/>
      <w:lvlText w:val="%5"/>
      <w:lvlJc w:val="left"/>
      <w:pPr>
        <w:ind w:left="3095"/>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5" w:tplc="9D3A20D2">
      <w:start w:val="1"/>
      <w:numFmt w:val="lowerRoman"/>
      <w:lvlText w:val="%6"/>
      <w:lvlJc w:val="left"/>
      <w:pPr>
        <w:ind w:left="3815"/>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6" w:tplc="8B06E626">
      <w:start w:val="1"/>
      <w:numFmt w:val="decimal"/>
      <w:lvlText w:val="%7"/>
      <w:lvlJc w:val="left"/>
      <w:pPr>
        <w:ind w:left="4535"/>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7" w:tplc="F0F23A62">
      <w:start w:val="1"/>
      <w:numFmt w:val="lowerLetter"/>
      <w:lvlText w:val="%8"/>
      <w:lvlJc w:val="left"/>
      <w:pPr>
        <w:ind w:left="5255"/>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8" w:tplc="21204C80">
      <w:start w:val="1"/>
      <w:numFmt w:val="lowerRoman"/>
      <w:lvlText w:val="%9"/>
      <w:lvlJc w:val="left"/>
      <w:pPr>
        <w:ind w:left="5975"/>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abstractNum>
  <w:abstractNum w:abstractNumId="12" w15:restartNumberingAfterBreak="0">
    <w:nsid w:val="7EDF7EF0"/>
    <w:multiLevelType w:val="multilevel"/>
    <w:tmpl w:val="2C3C4886"/>
    <w:lvl w:ilvl="0">
      <w:start w:val="1"/>
      <w:numFmt w:val="decimal"/>
      <w:lvlText w:val="%1."/>
      <w:lvlJc w:val="left"/>
      <w:pPr>
        <w:ind w:left="720" w:hanging="360"/>
      </w:pPr>
      <w:rPr>
        <w:rFonts w:hint="default"/>
        <w:i w:val="0"/>
        <w:i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
  </w:num>
  <w:num w:numId="5">
    <w:abstractNumId w:val="3"/>
  </w:num>
  <w:num w:numId="6">
    <w:abstractNumId w:val="10"/>
  </w:num>
  <w:num w:numId="7">
    <w:abstractNumId w:val="13"/>
  </w:num>
  <w:num w:numId="8">
    <w:abstractNumId w:val="12"/>
  </w:num>
  <w:num w:numId="9">
    <w:abstractNumId w:val="2"/>
  </w:num>
  <w:num w:numId="10">
    <w:abstractNumId w:val="4"/>
  </w:num>
  <w:num w:numId="11">
    <w:abstractNumId w:val="6"/>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4A9C"/>
    <w:rsid w:val="000060CB"/>
    <w:rsid w:val="000104B4"/>
    <w:rsid w:val="0001316E"/>
    <w:rsid w:val="0002295E"/>
    <w:rsid w:val="00022E29"/>
    <w:rsid w:val="00030EDB"/>
    <w:rsid w:val="00050078"/>
    <w:rsid w:val="00052547"/>
    <w:rsid w:val="000578D1"/>
    <w:rsid w:val="00062CEF"/>
    <w:rsid w:val="0006302B"/>
    <w:rsid w:val="00070EA4"/>
    <w:rsid w:val="000730BB"/>
    <w:rsid w:val="0008544C"/>
    <w:rsid w:val="00085E25"/>
    <w:rsid w:val="0008693D"/>
    <w:rsid w:val="000964D1"/>
    <w:rsid w:val="000971DB"/>
    <w:rsid w:val="000A26D7"/>
    <w:rsid w:val="000A5272"/>
    <w:rsid w:val="000C091F"/>
    <w:rsid w:val="000C0D31"/>
    <w:rsid w:val="000C1577"/>
    <w:rsid w:val="000C1D16"/>
    <w:rsid w:val="000C4554"/>
    <w:rsid w:val="000D0136"/>
    <w:rsid w:val="000D08B8"/>
    <w:rsid w:val="000D45A6"/>
    <w:rsid w:val="000E07B1"/>
    <w:rsid w:val="000E5109"/>
    <w:rsid w:val="000E5543"/>
    <w:rsid w:val="000E5FB9"/>
    <w:rsid w:val="000E6633"/>
    <w:rsid w:val="00101D88"/>
    <w:rsid w:val="001021EE"/>
    <w:rsid w:val="00103EC1"/>
    <w:rsid w:val="00107A47"/>
    <w:rsid w:val="00114724"/>
    <w:rsid w:val="00121456"/>
    <w:rsid w:val="00124103"/>
    <w:rsid w:val="001277FA"/>
    <w:rsid w:val="0013492F"/>
    <w:rsid w:val="00144EA8"/>
    <w:rsid w:val="00151F35"/>
    <w:rsid w:val="00155668"/>
    <w:rsid w:val="00157386"/>
    <w:rsid w:val="00160030"/>
    <w:rsid w:val="0016046F"/>
    <w:rsid w:val="00161F55"/>
    <w:rsid w:val="00163683"/>
    <w:rsid w:val="001721F5"/>
    <w:rsid w:val="0017465D"/>
    <w:rsid w:val="00174714"/>
    <w:rsid w:val="00194AFD"/>
    <w:rsid w:val="00194BAE"/>
    <w:rsid w:val="001A21CD"/>
    <w:rsid w:val="001A7F86"/>
    <w:rsid w:val="001B288A"/>
    <w:rsid w:val="001B487B"/>
    <w:rsid w:val="001D6C62"/>
    <w:rsid w:val="001D6F4F"/>
    <w:rsid w:val="001E4A15"/>
    <w:rsid w:val="001E6710"/>
    <w:rsid w:val="001F450A"/>
    <w:rsid w:val="001F4AE5"/>
    <w:rsid w:val="002003EF"/>
    <w:rsid w:val="00201A93"/>
    <w:rsid w:val="002040D5"/>
    <w:rsid w:val="00205098"/>
    <w:rsid w:val="00206A04"/>
    <w:rsid w:val="0020751F"/>
    <w:rsid w:val="0021216F"/>
    <w:rsid w:val="002129F5"/>
    <w:rsid w:val="00232BFD"/>
    <w:rsid w:val="00232EA0"/>
    <w:rsid w:val="002332DE"/>
    <w:rsid w:val="00235638"/>
    <w:rsid w:val="00242E76"/>
    <w:rsid w:val="00244901"/>
    <w:rsid w:val="00254146"/>
    <w:rsid w:val="00255485"/>
    <w:rsid w:val="00264079"/>
    <w:rsid w:val="00265336"/>
    <w:rsid w:val="00267036"/>
    <w:rsid w:val="00280528"/>
    <w:rsid w:val="00281CA0"/>
    <w:rsid w:val="00283B34"/>
    <w:rsid w:val="00287E6E"/>
    <w:rsid w:val="0029046E"/>
    <w:rsid w:val="002914E5"/>
    <w:rsid w:val="0029767F"/>
    <w:rsid w:val="002A51AF"/>
    <w:rsid w:val="002A53F8"/>
    <w:rsid w:val="002A6A3F"/>
    <w:rsid w:val="002B0A35"/>
    <w:rsid w:val="002B4437"/>
    <w:rsid w:val="002B69B1"/>
    <w:rsid w:val="002C413A"/>
    <w:rsid w:val="002C4D4E"/>
    <w:rsid w:val="002C7527"/>
    <w:rsid w:val="002D6A2A"/>
    <w:rsid w:val="002D6BF0"/>
    <w:rsid w:val="002E1F21"/>
    <w:rsid w:val="00307191"/>
    <w:rsid w:val="00313396"/>
    <w:rsid w:val="003155D7"/>
    <w:rsid w:val="00316515"/>
    <w:rsid w:val="00322298"/>
    <w:rsid w:val="00323F5E"/>
    <w:rsid w:val="00333325"/>
    <w:rsid w:val="003348C6"/>
    <w:rsid w:val="00334F20"/>
    <w:rsid w:val="00335D42"/>
    <w:rsid w:val="00342015"/>
    <w:rsid w:val="00353905"/>
    <w:rsid w:val="00360697"/>
    <w:rsid w:val="00363165"/>
    <w:rsid w:val="00371BE5"/>
    <w:rsid w:val="003727C1"/>
    <w:rsid w:val="00375DC6"/>
    <w:rsid w:val="00385391"/>
    <w:rsid w:val="00385FBC"/>
    <w:rsid w:val="003A14B0"/>
    <w:rsid w:val="003A20FB"/>
    <w:rsid w:val="003A3574"/>
    <w:rsid w:val="003A5BC8"/>
    <w:rsid w:val="003B6C23"/>
    <w:rsid w:val="003C415E"/>
    <w:rsid w:val="003C432D"/>
    <w:rsid w:val="003E6BDA"/>
    <w:rsid w:val="003F2B86"/>
    <w:rsid w:val="003F37AE"/>
    <w:rsid w:val="003F46D7"/>
    <w:rsid w:val="00402BED"/>
    <w:rsid w:val="00405B70"/>
    <w:rsid w:val="00406F88"/>
    <w:rsid w:val="00412E0C"/>
    <w:rsid w:val="00413603"/>
    <w:rsid w:val="00413E2B"/>
    <w:rsid w:val="00414955"/>
    <w:rsid w:val="00416EA1"/>
    <w:rsid w:val="00417BE7"/>
    <w:rsid w:val="0042184A"/>
    <w:rsid w:val="004247F2"/>
    <w:rsid w:val="00425F53"/>
    <w:rsid w:val="00432B66"/>
    <w:rsid w:val="00437DF3"/>
    <w:rsid w:val="00440D4B"/>
    <w:rsid w:val="0044117D"/>
    <w:rsid w:val="0044361B"/>
    <w:rsid w:val="00443ADE"/>
    <w:rsid w:val="0045149D"/>
    <w:rsid w:val="00452A4C"/>
    <w:rsid w:val="00454072"/>
    <w:rsid w:val="00460F1A"/>
    <w:rsid w:val="00461CA1"/>
    <w:rsid w:val="00461E12"/>
    <w:rsid w:val="00475569"/>
    <w:rsid w:val="00475A8E"/>
    <w:rsid w:val="0048191C"/>
    <w:rsid w:val="00482966"/>
    <w:rsid w:val="004854D5"/>
    <w:rsid w:val="0049074E"/>
    <w:rsid w:val="00492D5F"/>
    <w:rsid w:val="0049313B"/>
    <w:rsid w:val="004B7906"/>
    <w:rsid w:val="004C6A1E"/>
    <w:rsid w:val="004D3845"/>
    <w:rsid w:val="004E0B95"/>
    <w:rsid w:val="004E581A"/>
    <w:rsid w:val="004F0167"/>
    <w:rsid w:val="00500DA0"/>
    <w:rsid w:val="005069D9"/>
    <w:rsid w:val="00514611"/>
    <w:rsid w:val="0051651C"/>
    <w:rsid w:val="005258A7"/>
    <w:rsid w:val="00530B8E"/>
    <w:rsid w:val="00536E13"/>
    <w:rsid w:val="00540198"/>
    <w:rsid w:val="00547AC7"/>
    <w:rsid w:val="00551B4C"/>
    <w:rsid w:val="0055431B"/>
    <w:rsid w:val="005560EF"/>
    <w:rsid w:val="0057074A"/>
    <w:rsid w:val="005720E9"/>
    <w:rsid w:val="00582C4D"/>
    <w:rsid w:val="005839B2"/>
    <w:rsid w:val="00587548"/>
    <w:rsid w:val="00587BF3"/>
    <w:rsid w:val="00595099"/>
    <w:rsid w:val="005A2F73"/>
    <w:rsid w:val="005B0DB3"/>
    <w:rsid w:val="005B118D"/>
    <w:rsid w:val="005B6266"/>
    <w:rsid w:val="005B75C1"/>
    <w:rsid w:val="005D3007"/>
    <w:rsid w:val="005D4790"/>
    <w:rsid w:val="005E2259"/>
    <w:rsid w:val="005E230C"/>
    <w:rsid w:val="005E448E"/>
    <w:rsid w:val="005F49B3"/>
    <w:rsid w:val="005F653D"/>
    <w:rsid w:val="006036F8"/>
    <w:rsid w:val="00605316"/>
    <w:rsid w:val="006077A9"/>
    <w:rsid w:val="00613E4D"/>
    <w:rsid w:val="00615A0C"/>
    <w:rsid w:val="006216B4"/>
    <w:rsid w:val="0063553C"/>
    <w:rsid w:val="006430C0"/>
    <w:rsid w:val="00644BB3"/>
    <w:rsid w:val="00646138"/>
    <w:rsid w:val="00650745"/>
    <w:rsid w:val="00651B9B"/>
    <w:rsid w:val="00653433"/>
    <w:rsid w:val="00655236"/>
    <w:rsid w:val="006630FB"/>
    <w:rsid w:val="006710DC"/>
    <w:rsid w:val="00671906"/>
    <w:rsid w:val="00675035"/>
    <w:rsid w:val="00675DAE"/>
    <w:rsid w:val="00676987"/>
    <w:rsid w:val="00677BC9"/>
    <w:rsid w:val="00683071"/>
    <w:rsid w:val="00685B11"/>
    <w:rsid w:val="00686AFF"/>
    <w:rsid w:val="00695533"/>
    <w:rsid w:val="006A1AA8"/>
    <w:rsid w:val="006A37E3"/>
    <w:rsid w:val="006A6DDB"/>
    <w:rsid w:val="006A770C"/>
    <w:rsid w:val="006B0014"/>
    <w:rsid w:val="006B3D1D"/>
    <w:rsid w:val="006B67ED"/>
    <w:rsid w:val="006C705A"/>
    <w:rsid w:val="006D3111"/>
    <w:rsid w:val="006E4415"/>
    <w:rsid w:val="006E462C"/>
    <w:rsid w:val="006F2787"/>
    <w:rsid w:val="006F40B5"/>
    <w:rsid w:val="006F56D4"/>
    <w:rsid w:val="00700DD8"/>
    <w:rsid w:val="00707C51"/>
    <w:rsid w:val="00713A5D"/>
    <w:rsid w:val="00713DA8"/>
    <w:rsid w:val="00720FEF"/>
    <w:rsid w:val="0072221F"/>
    <w:rsid w:val="007240E6"/>
    <w:rsid w:val="0073212D"/>
    <w:rsid w:val="00733746"/>
    <w:rsid w:val="00737291"/>
    <w:rsid w:val="00742BAE"/>
    <w:rsid w:val="00750CC1"/>
    <w:rsid w:val="00753AD4"/>
    <w:rsid w:val="0075428F"/>
    <w:rsid w:val="00755484"/>
    <w:rsid w:val="00763002"/>
    <w:rsid w:val="007679D5"/>
    <w:rsid w:val="00771E0F"/>
    <w:rsid w:val="007728D2"/>
    <w:rsid w:val="00785866"/>
    <w:rsid w:val="007875AE"/>
    <w:rsid w:val="0078777C"/>
    <w:rsid w:val="007970E1"/>
    <w:rsid w:val="007A288E"/>
    <w:rsid w:val="007A53BB"/>
    <w:rsid w:val="007B2C1E"/>
    <w:rsid w:val="007B46F6"/>
    <w:rsid w:val="007B63CD"/>
    <w:rsid w:val="007C373C"/>
    <w:rsid w:val="007C7D36"/>
    <w:rsid w:val="007D17B5"/>
    <w:rsid w:val="007D24A3"/>
    <w:rsid w:val="007E14BF"/>
    <w:rsid w:val="007E7B98"/>
    <w:rsid w:val="007F0BBF"/>
    <w:rsid w:val="0080634A"/>
    <w:rsid w:val="00806DFA"/>
    <w:rsid w:val="00810E0F"/>
    <w:rsid w:val="0081451A"/>
    <w:rsid w:val="00821962"/>
    <w:rsid w:val="00822511"/>
    <w:rsid w:val="0083215B"/>
    <w:rsid w:val="0083710F"/>
    <w:rsid w:val="00837200"/>
    <w:rsid w:val="00840547"/>
    <w:rsid w:val="008465D6"/>
    <w:rsid w:val="00860899"/>
    <w:rsid w:val="00866025"/>
    <w:rsid w:val="0088233C"/>
    <w:rsid w:val="008A3877"/>
    <w:rsid w:val="008B1B71"/>
    <w:rsid w:val="008B2182"/>
    <w:rsid w:val="008C18AE"/>
    <w:rsid w:val="008C3603"/>
    <w:rsid w:val="008C45A5"/>
    <w:rsid w:val="008D34A8"/>
    <w:rsid w:val="008D4FD5"/>
    <w:rsid w:val="008E4705"/>
    <w:rsid w:val="008E5BBF"/>
    <w:rsid w:val="008F2EA2"/>
    <w:rsid w:val="009007B6"/>
    <w:rsid w:val="00901159"/>
    <w:rsid w:val="009026AA"/>
    <w:rsid w:val="0091036F"/>
    <w:rsid w:val="00911000"/>
    <w:rsid w:val="00911F9D"/>
    <w:rsid w:val="009155B3"/>
    <w:rsid w:val="00916812"/>
    <w:rsid w:val="00920605"/>
    <w:rsid w:val="009227A6"/>
    <w:rsid w:val="00923678"/>
    <w:rsid w:val="0093492C"/>
    <w:rsid w:val="0093762E"/>
    <w:rsid w:val="00940B57"/>
    <w:rsid w:val="00941562"/>
    <w:rsid w:val="00944BDE"/>
    <w:rsid w:val="0094618C"/>
    <w:rsid w:val="0095148A"/>
    <w:rsid w:val="0095576C"/>
    <w:rsid w:val="00965D3E"/>
    <w:rsid w:val="009732B6"/>
    <w:rsid w:val="00974554"/>
    <w:rsid w:val="00976D15"/>
    <w:rsid w:val="00977E1A"/>
    <w:rsid w:val="009838D5"/>
    <w:rsid w:val="00987290"/>
    <w:rsid w:val="009950C9"/>
    <w:rsid w:val="009A269B"/>
    <w:rsid w:val="009A33C1"/>
    <w:rsid w:val="009A79F1"/>
    <w:rsid w:val="009B099B"/>
    <w:rsid w:val="009B2BC9"/>
    <w:rsid w:val="009B36AA"/>
    <w:rsid w:val="009B4C31"/>
    <w:rsid w:val="009B7501"/>
    <w:rsid w:val="009C46B8"/>
    <w:rsid w:val="009C5A19"/>
    <w:rsid w:val="009D57DB"/>
    <w:rsid w:val="009E1EF1"/>
    <w:rsid w:val="009F22F0"/>
    <w:rsid w:val="009F43A4"/>
    <w:rsid w:val="009F5E83"/>
    <w:rsid w:val="00A01777"/>
    <w:rsid w:val="00A06E43"/>
    <w:rsid w:val="00A07432"/>
    <w:rsid w:val="00A076CF"/>
    <w:rsid w:val="00A12932"/>
    <w:rsid w:val="00A13793"/>
    <w:rsid w:val="00A156AE"/>
    <w:rsid w:val="00A15E04"/>
    <w:rsid w:val="00A165EA"/>
    <w:rsid w:val="00A24B93"/>
    <w:rsid w:val="00A337E6"/>
    <w:rsid w:val="00A3600A"/>
    <w:rsid w:val="00A43F9C"/>
    <w:rsid w:val="00A4634B"/>
    <w:rsid w:val="00A54C36"/>
    <w:rsid w:val="00A56BC1"/>
    <w:rsid w:val="00A600CF"/>
    <w:rsid w:val="00A62353"/>
    <w:rsid w:val="00A63F51"/>
    <w:rsid w:val="00A75EF4"/>
    <w:rsid w:val="00A86119"/>
    <w:rsid w:val="00A9010C"/>
    <w:rsid w:val="00A901C5"/>
    <w:rsid w:val="00AA663B"/>
    <w:rsid w:val="00AB1510"/>
    <w:rsid w:val="00AB2DE7"/>
    <w:rsid w:val="00AB4CA7"/>
    <w:rsid w:val="00AB636E"/>
    <w:rsid w:val="00AB6798"/>
    <w:rsid w:val="00AD49F8"/>
    <w:rsid w:val="00AE1E5D"/>
    <w:rsid w:val="00AE4E9C"/>
    <w:rsid w:val="00AF1688"/>
    <w:rsid w:val="00AF3194"/>
    <w:rsid w:val="00B11DEB"/>
    <w:rsid w:val="00B120C9"/>
    <w:rsid w:val="00B20170"/>
    <w:rsid w:val="00B21489"/>
    <w:rsid w:val="00B22495"/>
    <w:rsid w:val="00B244B7"/>
    <w:rsid w:val="00B3097A"/>
    <w:rsid w:val="00B3106B"/>
    <w:rsid w:val="00B404D0"/>
    <w:rsid w:val="00B44F10"/>
    <w:rsid w:val="00B50E11"/>
    <w:rsid w:val="00B56FAE"/>
    <w:rsid w:val="00B64D36"/>
    <w:rsid w:val="00B70181"/>
    <w:rsid w:val="00B8347D"/>
    <w:rsid w:val="00B862D2"/>
    <w:rsid w:val="00B908DF"/>
    <w:rsid w:val="00B92A41"/>
    <w:rsid w:val="00B9551D"/>
    <w:rsid w:val="00B95693"/>
    <w:rsid w:val="00B95E84"/>
    <w:rsid w:val="00BA1F62"/>
    <w:rsid w:val="00BB3F9A"/>
    <w:rsid w:val="00BD2454"/>
    <w:rsid w:val="00BF09B4"/>
    <w:rsid w:val="00C04C43"/>
    <w:rsid w:val="00C11D38"/>
    <w:rsid w:val="00C33AAD"/>
    <w:rsid w:val="00C4185B"/>
    <w:rsid w:val="00C45291"/>
    <w:rsid w:val="00C519B2"/>
    <w:rsid w:val="00C52737"/>
    <w:rsid w:val="00C53B19"/>
    <w:rsid w:val="00C565C7"/>
    <w:rsid w:val="00C5727B"/>
    <w:rsid w:val="00C63FFA"/>
    <w:rsid w:val="00C64B6A"/>
    <w:rsid w:val="00C72A6C"/>
    <w:rsid w:val="00C7361A"/>
    <w:rsid w:val="00C7460D"/>
    <w:rsid w:val="00C74BFD"/>
    <w:rsid w:val="00C9262D"/>
    <w:rsid w:val="00CA6C2A"/>
    <w:rsid w:val="00CB2381"/>
    <w:rsid w:val="00CB2439"/>
    <w:rsid w:val="00CB6F8A"/>
    <w:rsid w:val="00CB79AC"/>
    <w:rsid w:val="00CC3AB3"/>
    <w:rsid w:val="00CD1BDD"/>
    <w:rsid w:val="00CE09E5"/>
    <w:rsid w:val="00CE0CC7"/>
    <w:rsid w:val="00CE30E0"/>
    <w:rsid w:val="00CE3BED"/>
    <w:rsid w:val="00CE6D86"/>
    <w:rsid w:val="00CF05BE"/>
    <w:rsid w:val="00CF7D86"/>
    <w:rsid w:val="00CF7D99"/>
    <w:rsid w:val="00D00B2E"/>
    <w:rsid w:val="00D026E5"/>
    <w:rsid w:val="00D0642F"/>
    <w:rsid w:val="00D16320"/>
    <w:rsid w:val="00D2145B"/>
    <w:rsid w:val="00D23AB6"/>
    <w:rsid w:val="00D2698D"/>
    <w:rsid w:val="00D31928"/>
    <w:rsid w:val="00D344C1"/>
    <w:rsid w:val="00D42B06"/>
    <w:rsid w:val="00D523A1"/>
    <w:rsid w:val="00D526DF"/>
    <w:rsid w:val="00D61362"/>
    <w:rsid w:val="00D62D51"/>
    <w:rsid w:val="00D91BA3"/>
    <w:rsid w:val="00DA44A9"/>
    <w:rsid w:val="00DB19FF"/>
    <w:rsid w:val="00DC0738"/>
    <w:rsid w:val="00DD0D2F"/>
    <w:rsid w:val="00DD4D3D"/>
    <w:rsid w:val="00DE0282"/>
    <w:rsid w:val="00DE1587"/>
    <w:rsid w:val="00DE39D7"/>
    <w:rsid w:val="00DF0D64"/>
    <w:rsid w:val="00DF1032"/>
    <w:rsid w:val="00DF4D83"/>
    <w:rsid w:val="00E01835"/>
    <w:rsid w:val="00E02EAF"/>
    <w:rsid w:val="00E03204"/>
    <w:rsid w:val="00E03B46"/>
    <w:rsid w:val="00E067A2"/>
    <w:rsid w:val="00E077DF"/>
    <w:rsid w:val="00E07A72"/>
    <w:rsid w:val="00E15BCC"/>
    <w:rsid w:val="00E3052B"/>
    <w:rsid w:val="00E31629"/>
    <w:rsid w:val="00E43F8E"/>
    <w:rsid w:val="00E45186"/>
    <w:rsid w:val="00E4715E"/>
    <w:rsid w:val="00E50554"/>
    <w:rsid w:val="00E507F0"/>
    <w:rsid w:val="00E51144"/>
    <w:rsid w:val="00E55848"/>
    <w:rsid w:val="00E63F2E"/>
    <w:rsid w:val="00E65FD4"/>
    <w:rsid w:val="00E66D34"/>
    <w:rsid w:val="00E7210A"/>
    <w:rsid w:val="00E72A79"/>
    <w:rsid w:val="00E802B6"/>
    <w:rsid w:val="00E82E00"/>
    <w:rsid w:val="00E8500B"/>
    <w:rsid w:val="00E8695C"/>
    <w:rsid w:val="00E86AD4"/>
    <w:rsid w:val="00E904E4"/>
    <w:rsid w:val="00E932B5"/>
    <w:rsid w:val="00E94C86"/>
    <w:rsid w:val="00E95904"/>
    <w:rsid w:val="00E972D3"/>
    <w:rsid w:val="00EA1DEE"/>
    <w:rsid w:val="00EB239A"/>
    <w:rsid w:val="00EC7C52"/>
    <w:rsid w:val="00ED011F"/>
    <w:rsid w:val="00ED23AA"/>
    <w:rsid w:val="00ED58E4"/>
    <w:rsid w:val="00ED68B8"/>
    <w:rsid w:val="00EE0738"/>
    <w:rsid w:val="00EE0DBB"/>
    <w:rsid w:val="00EE7699"/>
    <w:rsid w:val="00EE7C9E"/>
    <w:rsid w:val="00EF0C48"/>
    <w:rsid w:val="00EF46E6"/>
    <w:rsid w:val="00EF5F44"/>
    <w:rsid w:val="00EF626F"/>
    <w:rsid w:val="00F00B18"/>
    <w:rsid w:val="00F12440"/>
    <w:rsid w:val="00F142DB"/>
    <w:rsid w:val="00F16056"/>
    <w:rsid w:val="00F212B8"/>
    <w:rsid w:val="00F21520"/>
    <w:rsid w:val="00F23D0D"/>
    <w:rsid w:val="00F25D67"/>
    <w:rsid w:val="00F26354"/>
    <w:rsid w:val="00F3578B"/>
    <w:rsid w:val="00F43A15"/>
    <w:rsid w:val="00F43C52"/>
    <w:rsid w:val="00F44185"/>
    <w:rsid w:val="00F471C4"/>
    <w:rsid w:val="00F53553"/>
    <w:rsid w:val="00F5420B"/>
    <w:rsid w:val="00F56324"/>
    <w:rsid w:val="00F57032"/>
    <w:rsid w:val="00F5735E"/>
    <w:rsid w:val="00F62132"/>
    <w:rsid w:val="00F63187"/>
    <w:rsid w:val="00F71C68"/>
    <w:rsid w:val="00F83B1B"/>
    <w:rsid w:val="00F85632"/>
    <w:rsid w:val="00F87163"/>
    <w:rsid w:val="00F90936"/>
    <w:rsid w:val="00F93BA4"/>
    <w:rsid w:val="00F95B0D"/>
    <w:rsid w:val="00F96145"/>
    <w:rsid w:val="00F97E13"/>
    <w:rsid w:val="00FC01F2"/>
    <w:rsid w:val="00FC0385"/>
    <w:rsid w:val="00FC76E7"/>
    <w:rsid w:val="00FD07EE"/>
    <w:rsid w:val="00FD36CE"/>
    <w:rsid w:val="00FD48A0"/>
    <w:rsid w:val="00FE07D3"/>
    <w:rsid w:val="00FE53D2"/>
    <w:rsid w:val="00FE751C"/>
    <w:rsid w:val="00FF07BC"/>
    <w:rsid w:val="00FF1218"/>
    <w:rsid w:val="00FF4285"/>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EEF428-1694-494C-8312-7EA82019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9</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Hester Botes</cp:lastModifiedBy>
  <cp:revision>31</cp:revision>
  <cp:lastPrinted>2018-02-04T10:32:00Z</cp:lastPrinted>
  <dcterms:created xsi:type="dcterms:W3CDTF">2022-08-15T12:27:00Z</dcterms:created>
  <dcterms:modified xsi:type="dcterms:W3CDTF">2022-08-19T06:43:00Z</dcterms:modified>
</cp:coreProperties>
</file>