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Default="00B50E11" w:rsidP="00B50E11">
      <w:pPr>
        <w:pStyle w:val="Body"/>
        <w:jc w:val="center"/>
      </w:pPr>
      <w:r>
        <w:rPr>
          <w:noProof/>
          <w:lang w:val="en-ZA" w:eastAsia="en-ZA"/>
        </w:rPr>
        <w:drawing>
          <wp:inline distT="0" distB="0" distL="0" distR="0" wp14:anchorId="6B5B6C71" wp14:editId="4814D621">
            <wp:extent cx="1494941" cy="1543744"/>
            <wp:effectExtent l="0" t="0" r="3810" b="571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02380" cy="1551426"/>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350B431D" w14:textId="7D0D55A0" w:rsidR="00C519B2" w:rsidRPr="00341E97" w:rsidRDefault="00B50E11" w:rsidP="00341E97">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341E97">
        <w:trPr>
          <w:trHeight w:val="2205"/>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7AA4F76C"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E6C1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528A128C" w14:textId="696447F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341E97">
              <w:rPr>
                <w:rFonts w:ascii="Arial Unicode MS" w:eastAsia="Arial Unicode MS" w:hAnsi="Arial Unicode MS" w:cs="Arial Unicode MS"/>
                <w:sz w:val="16"/>
                <w:szCs w:val="16"/>
              </w:rPr>
              <w:t xml:space="preserve"> </w:t>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15F66332" w14:textId="64D3D5E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10749D" w:rsidRPr="0010749D">
              <w:rPr>
                <w:rFonts w:ascii="Arial Unicode MS" w:eastAsia="Arial Unicode MS" w:hAnsi="Arial Unicode MS" w:cs="Arial Unicode MS"/>
                <w:b/>
                <w:bCs/>
                <w:sz w:val="16"/>
                <w:szCs w:val="16"/>
              </w:rPr>
              <w:t xml:space="preserve"> NO</w:t>
            </w:r>
          </w:p>
          <w:p w14:paraId="284842F1" w14:textId="072F3710"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996B9B">
              <w:rPr>
                <w:rFonts w:ascii="Arial" w:eastAsia="Arial Unicode MS" w:hAnsi="Arial" w:cs="Arial"/>
                <w:b/>
                <w:bCs/>
                <w:sz w:val="20"/>
                <w:szCs w:val="20"/>
              </w:rPr>
              <w:t>:</w:t>
            </w:r>
            <w:r w:rsidR="00341E97" w:rsidRPr="00996B9B">
              <w:rPr>
                <w:rFonts w:ascii="Arial" w:eastAsia="Arial Unicode MS" w:hAnsi="Arial" w:cs="Arial"/>
                <w:b/>
                <w:bCs/>
                <w:sz w:val="20"/>
                <w:szCs w:val="20"/>
              </w:rPr>
              <w:t xml:space="preserve">   </w:t>
            </w:r>
            <w:r w:rsidR="000C6FBE">
              <w:rPr>
                <w:rFonts w:ascii="Arial" w:eastAsia="Arial Unicode MS" w:hAnsi="Arial" w:cs="Arial"/>
                <w:b/>
                <w:bCs/>
                <w:sz w:val="20"/>
                <w:szCs w:val="20"/>
              </w:rPr>
              <w:t>8</w:t>
            </w:r>
            <w:r w:rsidR="00996B9B" w:rsidRPr="00996B9B">
              <w:rPr>
                <w:rFonts w:ascii="Arial" w:eastAsia="Arial Unicode MS" w:hAnsi="Arial" w:cs="Arial"/>
                <w:b/>
                <w:bCs/>
                <w:sz w:val="20"/>
                <w:szCs w:val="20"/>
              </w:rPr>
              <w:t xml:space="preserve"> </w:t>
            </w:r>
            <w:r w:rsidR="00EA79AD" w:rsidRPr="00996B9B">
              <w:rPr>
                <w:rFonts w:ascii="Arial" w:eastAsia="Arial Unicode MS" w:hAnsi="Arial" w:cs="Arial"/>
                <w:b/>
                <w:bCs/>
                <w:sz w:val="20"/>
                <w:szCs w:val="20"/>
              </w:rPr>
              <w:t>A</w:t>
            </w:r>
            <w:r w:rsidR="0010749D" w:rsidRPr="00996B9B">
              <w:rPr>
                <w:rFonts w:ascii="Arial" w:eastAsia="Arial Unicode MS" w:hAnsi="Arial" w:cs="Arial"/>
                <w:b/>
                <w:bCs/>
                <w:sz w:val="20"/>
                <w:szCs w:val="20"/>
              </w:rPr>
              <w:t>ugust 2022</w:t>
            </w:r>
            <w:r>
              <w:rPr>
                <w:rFonts w:ascii="Arial Unicode MS" w:eastAsia="Arial Unicode MS" w:hAnsi="Arial Unicode MS" w:cs="Arial Unicode MS"/>
                <w:sz w:val="16"/>
                <w:szCs w:val="16"/>
              </w:rPr>
              <w:br/>
            </w:r>
          </w:p>
          <w:p w14:paraId="773CDFDB" w14:textId="099FA14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34127B48"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F6399E">
        <w:rPr>
          <w:rFonts w:cs="Arial"/>
          <w:b/>
          <w:bCs/>
          <w:sz w:val="24"/>
          <w:szCs w:val="24"/>
        </w:rPr>
        <w:t>27131/2022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63"/>
        <w:gridCol w:w="66"/>
      </w:tblGrid>
      <w:tr w:rsidR="00B50E11" w:rsidRPr="0031449E" w14:paraId="22698168" w14:textId="77777777" w:rsidTr="003F404E">
        <w:trPr>
          <w:gridAfter w:val="1"/>
          <w:wAfter w:w="66" w:type="dxa"/>
        </w:trPr>
        <w:tc>
          <w:tcPr>
            <w:tcW w:w="6300" w:type="dxa"/>
            <w:tcBorders>
              <w:bottom w:val="single" w:sz="4" w:space="0" w:color="auto"/>
            </w:tcBorders>
          </w:tcPr>
          <w:p w14:paraId="3D32D802" w14:textId="77777777" w:rsidR="00B50E11" w:rsidRPr="0031449E" w:rsidRDefault="00B50E11" w:rsidP="00996B9B">
            <w:pPr>
              <w:pStyle w:val="Body"/>
              <w:spacing w:line="360" w:lineRule="auto"/>
              <w:jc w:val="both"/>
              <w:rPr>
                <w:rFonts w:cs="Arial"/>
                <w:sz w:val="24"/>
                <w:szCs w:val="24"/>
              </w:rPr>
            </w:pPr>
            <w:r w:rsidRPr="0031449E">
              <w:rPr>
                <w:rFonts w:cs="Arial"/>
                <w:sz w:val="24"/>
                <w:szCs w:val="24"/>
              </w:rPr>
              <w:t>In the matter between:</w:t>
            </w:r>
          </w:p>
        </w:tc>
        <w:tc>
          <w:tcPr>
            <w:tcW w:w="3263" w:type="dxa"/>
            <w:tcBorders>
              <w:bottom w:val="single" w:sz="4" w:space="0" w:color="auto"/>
            </w:tcBorders>
          </w:tcPr>
          <w:p w14:paraId="6295A861" w14:textId="77777777" w:rsidR="00B50E11" w:rsidRPr="0031449E" w:rsidRDefault="00B50E11" w:rsidP="00996B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F404E">
        <w:trPr>
          <w:gridAfter w:val="1"/>
          <w:wAfter w:w="66" w:type="dxa"/>
          <w:trHeight w:val="685"/>
        </w:trPr>
        <w:tc>
          <w:tcPr>
            <w:tcW w:w="6300" w:type="dxa"/>
            <w:tcBorders>
              <w:top w:val="single" w:sz="4" w:space="0" w:color="auto"/>
              <w:left w:val="single" w:sz="4" w:space="0" w:color="auto"/>
              <w:bottom w:val="single" w:sz="4" w:space="0" w:color="auto"/>
              <w:right w:val="single" w:sz="4" w:space="0" w:color="auto"/>
            </w:tcBorders>
          </w:tcPr>
          <w:p w14:paraId="548AA6FE" w14:textId="4F1E8E7E" w:rsidR="007F7FED"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WILLEM JACOBUS VENTER </w:t>
            </w:r>
            <w:r w:rsidR="00C82502" w:rsidRPr="00C82502">
              <w:rPr>
                <w:rFonts w:cs="Arial"/>
                <w:b/>
                <w:bCs/>
                <w:sz w:val="24"/>
                <w:szCs w:val="24"/>
              </w:rPr>
              <w:t>N.O</w:t>
            </w:r>
            <w:r w:rsidR="00C82502">
              <w:rPr>
                <w:rFonts w:cs="Arial"/>
                <w:b/>
                <w:bCs/>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263479FD" w14:textId="35690231" w:rsidR="00B50E11"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 xml:space="preserve"> FIRST </w:t>
            </w:r>
            <w:r w:rsidR="000218AC" w:rsidRPr="00341E97">
              <w:rPr>
                <w:rFonts w:cs="Arial"/>
                <w:b/>
                <w:sz w:val="24"/>
                <w:szCs w:val="24"/>
              </w:rPr>
              <w:t>APPLICANT</w:t>
            </w:r>
          </w:p>
        </w:tc>
      </w:tr>
      <w:tr w:rsidR="00F6399E" w:rsidRPr="0031449E" w14:paraId="346854A0" w14:textId="77777777" w:rsidTr="003F404E">
        <w:trPr>
          <w:gridAfter w:val="1"/>
          <w:wAfter w:w="66" w:type="dxa"/>
          <w:trHeight w:val="836"/>
        </w:trPr>
        <w:tc>
          <w:tcPr>
            <w:tcW w:w="6300" w:type="dxa"/>
            <w:tcBorders>
              <w:top w:val="single" w:sz="4" w:space="0" w:color="auto"/>
              <w:left w:val="single" w:sz="4" w:space="0" w:color="auto"/>
              <w:bottom w:val="single" w:sz="4" w:space="0" w:color="auto"/>
              <w:right w:val="single" w:sz="4" w:space="0" w:color="auto"/>
            </w:tcBorders>
          </w:tcPr>
          <w:p w14:paraId="238CDD30" w14:textId="7BF3C9EA" w:rsidR="00F6399E"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KAREN VAN NIEKERK </w:t>
            </w:r>
            <w:r w:rsidR="00C82502" w:rsidRPr="00C82502">
              <w:rPr>
                <w:rFonts w:cs="Arial"/>
                <w:b/>
                <w:bCs/>
                <w:sz w:val="24"/>
                <w:szCs w:val="24"/>
              </w:rPr>
              <w:t>N.O</w:t>
            </w:r>
            <w:r w:rsidR="00C82502">
              <w:rPr>
                <w:rFonts w:cs="Arial"/>
                <w:b/>
                <w:bCs/>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E0E448A" w14:textId="43CBE497" w:rsidR="00F6399E"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SECOND APPLICANT</w:t>
            </w:r>
          </w:p>
        </w:tc>
      </w:tr>
      <w:tr w:rsidR="00F6399E" w:rsidRPr="0031449E" w14:paraId="54E3BEFC" w14:textId="77777777" w:rsidTr="003F404E">
        <w:trPr>
          <w:gridAfter w:val="1"/>
          <w:wAfter w:w="66" w:type="dxa"/>
          <w:trHeight w:val="847"/>
        </w:trPr>
        <w:tc>
          <w:tcPr>
            <w:tcW w:w="6300" w:type="dxa"/>
            <w:tcBorders>
              <w:top w:val="single" w:sz="4" w:space="0" w:color="auto"/>
              <w:left w:val="single" w:sz="4" w:space="0" w:color="auto"/>
              <w:bottom w:val="single" w:sz="4" w:space="0" w:color="auto"/>
              <w:right w:val="single" w:sz="4" w:space="0" w:color="auto"/>
            </w:tcBorders>
          </w:tcPr>
          <w:p w14:paraId="6E2DA961" w14:textId="61EA926E" w:rsidR="00F6399E"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KARINA ALETTA VAN NIEKERK </w:t>
            </w:r>
            <w:r w:rsidR="00C82502" w:rsidRPr="00C82502">
              <w:rPr>
                <w:rFonts w:cs="Arial"/>
                <w:b/>
                <w:bCs/>
                <w:sz w:val="24"/>
                <w:szCs w:val="24"/>
              </w:rPr>
              <w:t>N.O</w:t>
            </w:r>
            <w:r w:rsidR="00C82502">
              <w:rPr>
                <w:rFonts w:cs="Arial"/>
                <w:b/>
                <w:bCs/>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8C7D282" w14:textId="49C01D73" w:rsidR="00F6399E"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THIRD APPLICANT</w:t>
            </w:r>
          </w:p>
        </w:tc>
      </w:tr>
      <w:tr w:rsidR="00B50E11" w:rsidRPr="0031449E" w14:paraId="2DE3831D" w14:textId="77777777" w:rsidTr="003F404E">
        <w:trPr>
          <w:gridAfter w:val="1"/>
          <w:wAfter w:w="66" w:type="dxa"/>
          <w:trHeight w:val="690"/>
        </w:trPr>
        <w:tc>
          <w:tcPr>
            <w:tcW w:w="6300" w:type="dxa"/>
            <w:tcBorders>
              <w:top w:val="single" w:sz="4" w:space="0" w:color="auto"/>
              <w:left w:val="single" w:sz="4" w:space="0" w:color="auto"/>
              <w:bottom w:val="single" w:sz="4" w:space="0" w:color="auto"/>
              <w:right w:val="single" w:sz="4" w:space="0" w:color="auto"/>
            </w:tcBorders>
          </w:tcPr>
          <w:p w14:paraId="52E06D21" w14:textId="7475FD3C" w:rsidR="00B50E11" w:rsidRPr="00341E97" w:rsidRDefault="00416EA1" w:rsidP="003F404E">
            <w:pPr>
              <w:pStyle w:val="Body"/>
              <w:spacing w:line="360" w:lineRule="auto"/>
              <w:contextualSpacing/>
              <w:jc w:val="both"/>
              <w:rPr>
                <w:rFonts w:eastAsia="Tahoma" w:cs="Arial"/>
                <w:b/>
                <w:bCs/>
                <w:sz w:val="24"/>
                <w:szCs w:val="24"/>
              </w:rPr>
            </w:pPr>
            <w:r w:rsidRPr="00341E97">
              <w:rPr>
                <w:rFonts w:cs="Arial"/>
                <w:b/>
                <w:bCs/>
                <w:sz w:val="24"/>
                <w:szCs w:val="24"/>
              </w:rPr>
              <w:t>A</w:t>
            </w:r>
            <w:r w:rsidR="00B50E11" w:rsidRPr="00341E97">
              <w:rPr>
                <w:rFonts w:cs="Arial"/>
                <w:b/>
                <w:bCs/>
                <w:sz w:val="24"/>
                <w:szCs w:val="24"/>
              </w:rPr>
              <w:t>nd</w:t>
            </w:r>
          </w:p>
        </w:tc>
        <w:tc>
          <w:tcPr>
            <w:tcW w:w="3263" w:type="dxa"/>
            <w:tcBorders>
              <w:top w:val="single" w:sz="4" w:space="0" w:color="auto"/>
              <w:left w:val="single" w:sz="4" w:space="0" w:color="auto"/>
              <w:bottom w:val="single" w:sz="4" w:space="0" w:color="auto"/>
              <w:right w:val="single" w:sz="4" w:space="0" w:color="auto"/>
            </w:tcBorders>
          </w:tcPr>
          <w:p w14:paraId="06C77BC2" w14:textId="032FD205" w:rsidR="00B50E11" w:rsidRPr="00C82502" w:rsidRDefault="00B50E11"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Cs/>
                <w:sz w:val="24"/>
                <w:szCs w:val="24"/>
              </w:rPr>
            </w:pPr>
          </w:p>
        </w:tc>
      </w:tr>
      <w:tr w:rsidR="00B50E11" w:rsidRPr="00341E97" w14:paraId="4829D036" w14:textId="77777777" w:rsidTr="003F404E">
        <w:trPr>
          <w:gridAfter w:val="1"/>
          <w:wAfter w:w="66" w:type="dxa"/>
          <w:trHeight w:val="985"/>
        </w:trPr>
        <w:tc>
          <w:tcPr>
            <w:tcW w:w="6300" w:type="dxa"/>
            <w:tcBorders>
              <w:top w:val="single" w:sz="4" w:space="0" w:color="auto"/>
              <w:left w:val="single" w:sz="4" w:space="0" w:color="auto"/>
              <w:bottom w:val="single" w:sz="4" w:space="0" w:color="auto"/>
              <w:right w:val="single" w:sz="4" w:space="0" w:color="auto"/>
            </w:tcBorders>
          </w:tcPr>
          <w:p w14:paraId="3ACBB1CA" w14:textId="7E0A83FA" w:rsidR="00B50E11" w:rsidRPr="00DA7A8D" w:rsidRDefault="00F6399E"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right="-405"/>
              <w:contextualSpacing/>
              <w:jc w:val="both"/>
              <w:rPr>
                <w:rFonts w:cs="Arial"/>
                <w:b/>
                <w:bCs/>
                <w:sz w:val="24"/>
                <w:szCs w:val="24"/>
                <w:lang w:val="de-DE"/>
              </w:rPr>
            </w:pPr>
            <w:r>
              <w:rPr>
                <w:rFonts w:cs="Arial"/>
                <w:b/>
                <w:bCs/>
                <w:sz w:val="24"/>
                <w:szCs w:val="24"/>
                <w:lang w:val="de-DE"/>
              </w:rPr>
              <w:t>THE MASTER OF THE HIGH COURT, PRETORIA</w:t>
            </w:r>
          </w:p>
        </w:tc>
        <w:tc>
          <w:tcPr>
            <w:tcW w:w="3263" w:type="dxa"/>
            <w:tcBorders>
              <w:top w:val="single" w:sz="4" w:space="0" w:color="auto"/>
              <w:left w:val="single" w:sz="4" w:space="0" w:color="auto"/>
              <w:bottom w:val="single" w:sz="4" w:space="0" w:color="auto"/>
              <w:right w:val="single" w:sz="4" w:space="0" w:color="auto"/>
            </w:tcBorders>
          </w:tcPr>
          <w:p w14:paraId="7853F6A3" w14:textId="0BDDAC04" w:rsidR="00B50E11" w:rsidRPr="00341E97" w:rsidRDefault="001F07DD"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right"/>
              <w:rPr>
                <w:rFonts w:cs="Arial"/>
                <w:b/>
                <w:sz w:val="24"/>
                <w:szCs w:val="24"/>
              </w:rPr>
            </w:pPr>
            <w:r w:rsidRPr="00341E97">
              <w:rPr>
                <w:rFonts w:cs="Arial"/>
                <w:b/>
                <w:sz w:val="24"/>
                <w:szCs w:val="24"/>
              </w:rPr>
              <w:t xml:space="preserve">FIRST </w:t>
            </w:r>
            <w:r w:rsidR="000218AC" w:rsidRPr="00341E97">
              <w:rPr>
                <w:rFonts w:cs="Arial"/>
                <w:b/>
                <w:sz w:val="24"/>
                <w:szCs w:val="24"/>
              </w:rPr>
              <w:t>RESPONDENT</w:t>
            </w:r>
          </w:p>
        </w:tc>
      </w:tr>
      <w:tr w:rsidR="0027008F" w:rsidRPr="00341E97" w14:paraId="0432C152" w14:textId="77777777" w:rsidTr="003F404E">
        <w:trPr>
          <w:gridAfter w:val="1"/>
          <w:wAfter w:w="66" w:type="dxa"/>
        </w:trPr>
        <w:tc>
          <w:tcPr>
            <w:tcW w:w="6300" w:type="dxa"/>
            <w:tcBorders>
              <w:top w:val="single" w:sz="4" w:space="0" w:color="auto"/>
              <w:left w:val="single" w:sz="4" w:space="0" w:color="auto"/>
              <w:bottom w:val="single" w:sz="4" w:space="0" w:color="auto"/>
              <w:right w:val="single" w:sz="4" w:space="0" w:color="auto"/>
            </w:tcBorders>
          </w:tcPr>
          <w:p w14:paraId="41783F4D" w14:textId="77777777" w:rsidR="0027008F" w:rsidRDefault="00F6399E"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both"/>
              <w:rPr>
                <w:rFonts w:cs="Arial"/>
                <w:b/>
                <w:bCs/>
                <w:sz w:val="24"/>
                <w:szCs w:val="24"/>
                <w:lang w:val="de-DE"/>
              </w:rPr>
            </w:pPr>
            <w:r>
              <w:rPr>
                <w:rFonts w:cs="Arial"/>
                <w:b/>
                <w:bCs/>
                <w:sz w:val="24"/>
                <w:szCs w:val="24"/>
                <w:lang w:val="de-DE"/>
              </w:rPr>
              <w:t>TIRHANI SITOS DE SITOS MATHEBULA N.O</w:t>
            </w:r>
          </w:p>
          <w:p w14:paraId="7F45D086" w14:textId="1B41AC35"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both"/>
              <w:rPr>
                <w:rFonts w:cs="Arial"/>
                <w:b/>
                <w:bCs/>
                <w:sz w:val="24"/>
                <w:szCs w:val="24"/>
                <w:lang w:val="de-DE"/>
              </w:rPr>
            </w:pPr>
          </w:p>
        </w:tc>
        <w:tc>
          <w:tcPr>
            <w:tcW w:w="3263" w:type="dxa"/>
            <w:tcBorders>
              <w:top w:val="single" w:sz="4" w:space="0" w:color="auto"/>
              <w:left w:val="single" w:sz="4" w:space="0" w:color="auto"/>
              <w:bottom w:val="single" w:sz="4" w:space="0" w:color="auto"/>
              <w:right w:val="single" w:sz="4" w:space="0" w:color="auto"/>
            </w:tcBorders>
          </w:tcPr>
          <w:p w14:paraId="345D8E8F" w14:textId="09251848" w:rsidR="0027008F" w:rsidRPr="00341E97" w:rsidRDefault="0027008F"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right"/>
              <w:rPr>
                <w:rFonts w:cs="Arial"/>
                <w:b/>
                <w:sz w:val="24"/>
                <w:szCs w:val="24"/>
              </w:rPr>
            </w:pPr>
            <w:r w:rsidRPr="00341E97">
              <w:rPr>
                <w:rFonts w:cs="Arial"/>
                <w:b/>
                <w:sz w:val="24"/>
                <w:szCs w:val="24"/>
              </w:rPr>
              <w:t>SECOND RESPONDENT</w:t>
            </w:r>
          </w:p>
        </w:tc>
      </w:tr>
      <w:tr w:rsidR="00F6399E" w:rsidRPr="00341E97" w14:paraId="70DA181A" w14:textId="77777777" w:rsidTr="003F404E">
        <w:trPr>
          <w:gridAfter w:val="1"/>
          <w:wAfter w:w="66" w:type="dxa"/>
        </w:trPr>
        <w:tc>
          <w:tcPr>
            <w:tcW w:w="6300" w:type="dxa"/>
            <w:tcBorders>
              <w:top w:val="single" w:sz="4" w:space="0" w:color="auto"/>
              <w:left w:val="single" w:sz="4" w:space="0" w:color="auto"/>
              <w:bottom w:val="single" w:sz="4" w:space="0" w:color="auto"/>
              <w:right w:val="single" w:sz="4" w:space="0" w:color="auto"/>
            </w:tcBorders>
          </w:tcPr>
          <w:p w14:paraId="400E1217" w14:textId="77777777" w:rsidR="00F6399E"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cs="Arial"/>
                <w:b/>
                <w:bCs/>
                <w:sz w:val="24"/>
                <w:szCs w:val="24"/>
                <w:lang w:val="de-DE"/>
              </w:rPr>
            </w:pPr>
            <w:r>
              <w:rPr>
                <w:rFonts w:cs="Arial"/>
                <w:b/>
                <w:bCs/>
                <w:sz w:val="24"/>
                <w:szCs w:val="24"/>
                <w:lang w:val="de-DE"/>
              </w:rPr>
              <w:t>LAILA ENVER MOTALA N.O</w:t>
            </w:r>
          </w:p>
          <w:p w14:paraId="6E951C7C" w14:textId="3D2142D7"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cs="Arial"/>
                <w:b/>
                <w:bCs/>
                <w:sz w:val="24"/>
                <w:szCs w:val="24"/>
                <w:lang w:val="de-DE"/>
              </w:rPr>
            </w:pPr>
          </w:p>
        </w:tc>
        <w:tc>
          <w:tcPr>
            <w:tcW w:w="3263" w:type="dxa"/>
            <w:tcBorders>
              <w:top w:val="single" w:sz="4" w:space="0" w:color="auto"/>
              <w:left w:val="single" w:sz="4" w:space="0" w:color="auto"/>
              <w:bottom w:val="single" w:sz="4" w:space="0" w:color="auto"/>
              <w:right w:val="single" w:sz="4" w:space="0" w:color="auto"/>
            </w:tcBorders>
          </w:tcPr>
          <w:p w14:paraId="6972B6C2" w14:textId="1E120423" w:rsidR="00E7487B" w:rsidRPr="00341E97"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cs="Arial"/>
                <w:b/>
                <w:sz w:val="24"/>
                <w:szCs w:val="24"/>
              </w:rPr>
            </w:pPr>
            <w:r w:rsidRPr="00341E97">
              <w:rPr>
                <w:rFonts w:cs="Arial"/>
                <w:b/>
                <w:sz w:val="24"/>
                <w:szCs w:val="24"/>
              </w:rPr>
              <w:t>THIRD RESPONDENT</w:t>
            </w:r>
          </w:p>
        </w:tc>
      </w:tr>
      <w:tr w:rsidR="00E7487B" w:rsidRPr="00341E97" w14:paraId="76455699" w14:textId="77777777" w:rsidTr="003F404E">
        <w:trPr>
          <w:gridAfter w:val="1"/>
          <w:wAfter w:w="66" w:type="dxa"/>
        </w:trPr>
        <w:tc>
          <w:tcPr>
            <w:tcW w:w="6300" w:type="dxa"/>
            <w:tcBorders>
              <w:top w:val="single" w:sz="4" w:space="0" w:color="auto"/>
              <w:left w:val="single" w:sz="4" w:space="0" w:color="auto"/>
              <w:bottom w:val="single" w:sz="4" w:space="0" w:color="auto"/>
              <w:right w:val="single" w:sz="4" w:space="0" w:color="auto"/>
            </w:tcBorders>
          </w:tcPr>
          <w:p w14:paraId="75C982EA" w14:textId="77777777" w:rsidR="00E7487B"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cs="Arial"/>
                <w:b/>
                <w:bCs/>
                <w:sz w:val="24"/>
                <w:szCs w:val="24"/>
                <w:lang w:val="de-DE"/>
              </w:rPr>
            </w:pPr>
            <w:r>
              <w:rPr>
                <w:rFonts w:cs="Arial"/>
                <w:b/>
                <w:bCs/>
                <w:sz w:val="24"/>
                <w:szCs w:val="24"/>
                <w:lang w:val="de-DE"/>
              </w:rPr>
              <w:lastRenderedPageBreak/>
              <w:t>SOUTH AFRICAN RESTRUCTURING AND INSOLVENCY PRACTITIONERS ASSOCIATION NPC.</w:t>
            </w:r>
          </w:p>
          <w:p w14:paraId="365F123B" w14:textId="76D8C9FA"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cs="Arial"/>
                <w:b/>
                <w:bCs/>
                <w:sz w:val="24"/>
                <w:szCs w:val="24"/>
                <w:lang w:val="de-DE"/>
              </w:rPr>
            </w:pPr>
          </w:p>
        </w:tc>
        <w:tc>
          <w:tcPr>
            <w:tcW w:w="3263" w:type="dxa"/>
            <w:tcBorders>
              <w:top w:val="single" w:sz="4" w:space="0" w:color="auto"/>
              <w:left w:val="single" w:sz="4" w:space="0" w:color="auto"/>
              <w:bottom w:val="single" w:sz="4" w:space="0" w:color="auto"/>
              <w:right w:val="single" w:sz="4" w:space="0" w:color="auto"/>
            </w:tcBorders>
          </w:tcPr>
          <w:p w14:paraId="784B27DE" w14:textId="2745A585" w:rsidR="00E7487B" w:rsidRPr="00341E97"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cs="Arial"/>
                <w:b/>
                <w:sz w:val="24"/>
                <w:szCs w:val="24"/>
              </w:rPr>
            </w:pPr>
            <w:r w:rsidRPr="00341E97">
              <w:rPr>
                <w:rFonts w:cs="Arial"/>
                <w:b/>
                <w:sz w:val="24"/>
                <w:szCs w:val="24"/>
              </w:rPr>
              <w:t>FOURTH RESPONDENT</w:t>
            </w:r>
          </w:p>
        </w:tc>
      </w:tr>
      <w:tr w:rsidR="00E7487B" w:rsidRPr="00341E97" w14:paraId="583BD7AA" w14:textId="77777777" w:rsidTr="003F404E">
        <w:trPr>
          <w:gridAfter w:val="1"/>
          <w:wAfter w:w="66" w:type="dxa"/>
          <w:trHeight w:val="1045"/>
        </w:trPr>
        <w:tc>
          <w:tcPr>
            <w:tcW w:w="6300" w:type="dxa"/>
            <w:tcBorders>
              <w:top w:val="single" w:sz="4" w:space="0" w:color="auto"/>
              <w:left w:val="single" w:sz="4" w:space="0" w:color="auto"/>
              <w:bottom w:val="single" w:sz="4" w:space="0" w:color="auto"/>
              <w:right w:val="single" w:sz="4" w:space="0" w:color="auto"/>
            </w:tcBorders>
          </w:tcPr>
          <w:p w14:paraId="06216055" w14:textId="77777777" w:rsidR="00E7487B" w:rsidRDefault="00E7487B" w:rsidP="00996B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07B9E074" w14:textId="768DFE40" w:rsidR="00E7487B" w:rsidRDefault="00E7487B"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MINISTER OF JUSTICE AND CONSTITUTIONAL DEVELOPMENT</w:t>
            </w:r>
          </w:p>
        </w:tc>
        <w:tc>
          <w:tcPr>
            <w:tcW w:w="3263" w:type="dxa"/>
            <w:tcBorders>
              <w:top w:val="single" w:sz="4" w:space="0" w:color="auto"/>
              <w:left w:val="single" w:sz="4" w:space="0" w:color="auto"/>
              <w:bottom w:val="single" w:sz="4" w:space="0" w:color="auto"/>
              <w:right w:val="single" w:sz="4" w:space="0" w:color="auto"/>
            </w:tcBorders>
          </w:tcPr>
          <w:p w14:paraId="36EDD1D7" w14:textId="77777777" w:rsidR="00E7487B" w:rsidRPr="00341E97" w:rsidRDefault="00E7487B" w:rsidP="00996B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00E47A7E" w14:textId="2ECACEB3" w:rsidR="00E7487B" w:rsidRPr="00341E97" w:rsidRDefault="00E7487B" w:rsidP="00996B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sidRPr="00341E97">
              <w:rPr>
                <w:rFonts w:cs="Arial"/>
                <w:b/>
                <w:sz w:val="24"/>
                <w:szCs w:val="24"/>
              </w:rPr>
              <w:t>FIFTH RESPONDENT</w:t>
            </w:r>
          </w:p>
        </w:tc>
      </w:tr>
      <w:tr w:rsidR="001D7244" w:rsidRPr="00217B1F" w14:paraId="0BE69F19" w14:textId="77777777" w:rsidTr="001D7244">
        <w:trPr>
          <w:trHeight w:val="1045"/>
        </w:trPr>
        <w:tc>
          <w:tcPr>
            <w:tcW w:w="9629" w:type="dxa"/>
            <w:gridSpan w:val="3"/>
          </w:tcPr>
          <w:p w14:paraId="0CA1B4FB"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FA2702">
              <w:tc>
                <w:tcPr>
                  <w:tcW w:w="1734" w:type="dxa"/>
                </w:tcPr>
                <w:p w14:paraId="32A8A6B9"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0B10E120" w14:textId="77777777" w:rsidR="001D7244" w:rsidRPr="00217B1F" w:rsidRDefault="001D7244" w:rsidP="00FA2702">
                  <w:pPr>
                    <w:tabs>
                      <w:tab w:val="left" w:pos="1417"/>
                    </w:tabs>
                    <w:spacing w:after="120" w:line="360" w:lineRule="atLeast"/>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41C8B4DD" w14:textId="22DFB7A6" w:rsidR="001D7244" w:rsidRPr="00217B1F" w:rsidRDefault="00E7487B" w:rsidP="00FA2702">
                  <w:pPr>
                    <w:spacing w:after="120" w:line="360" w:lineRule="atLeast"/>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21 July </w:t>
                  </w:r>
                  <w:r w:rsidR="001D7244" w:rsidRPr="00217B1F">
                    <w:rPr>
                      <w:rFonts w:ascii="Arial" w:eastAsia="Times New Roman" w:hAnsi="Arial" w:cs="Arial"/>
                      <w:color w:val="000000"/>
                      <w:sz w:val="24"/>
                      <w:szCs w:val="24"/>
                      <w:lang w:val="en-ZA"/>
                    </w:rPr>
                    <w:t xml:space="preserve">2022 </w:t>
                  </w:r>
                </w:p>
                <w:p w14:paraId="4BCF6005"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Delivered:</w:t>
                  </w:r>
                  <w:r>
                    <w:rPr>
                      <w:rFonts w:eastAsia="Times New Roman" w:cs="Arial"/>
                      <w:b/>
                      <w:bCs/>
                      <w:sz w:val="24"/>
                      <w:szCs w:val="24"/>
                      <w:lang w:val="en-ZA"/>
                    </w:rPr>
                    <w:t xml:space="preserve">   </w:t>
                  </w:r>
                </w:p>
              </w:tc>
              <w:tc>
                <w:tcPr>
                  <w:tcW w:w="7513" w:type="dxa"/>
                </w:tcPr>
                <w:p w14:paraId="6B1352D7" w14:textId="734EF514" w:rsidR="001D7244" w:rsidRPr="00217B1F" w:rsidRDefault="000C6FBE" w:rsidP="00FA2702">
                  <w:pPr>
                    <w:tabs>
                      <w:tab w:val="left" w:pos="0"/>
                    </w:tabs>
                    <w:spacing w:after="120" w:line="360" w:lineRule="atLeast"/>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8</w:t>
                  </w:r>
                  <w:r w:rsidR="0010749D">
                    <w:rPr>
                      <w:rFonts w:ascii="Arial" w:eastAsia="Times New Roman" w:hAnsi="Arial" w:cs="Arial"/>
                      <w:color w:val="000000"/>
                      <w:sz w:val="24"/>
                      <w:szCs w:val="24"/>
                      <w:lang w:val="en-ZA"/>
                    </w:rPr>
                    <w:t xml:space="preserve"> August</w:t>
                  </w:r>
                  <w:r w:rsidR="001D7244" w:rsidRPr="00217B1F">
                    <w:rPr>
                      <w:rFonts w:ascii="Arial" w:eastAsia="Times New Roman" w:hAnsi="Arial" w:cs="Arial"/>
                      <w:color w:val="000000"/>
                      <w:sz w:val="24"/>
                      <w:szCs w:val="24"/>
                      <w:lang w:val="en-ZA"/>
                    </w:rPr>
                    <w:t xml:space="preserve"> 2022</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proofErr w:type="spellStart"/>
                  <w:r w:rsidR="001D7244" w:rsidRPr="00217B1F">
                    <w:rPr>
                      <w:rFonts w:ascii="Arial" w:eastAsia="Times New Roman" w:hAnsi="Arial" w:cs="Arial"/>
                      <w:i/>
                      <w:iCs/>
                      <w:color w:val="000000"/>
                      <w:sz w:val="24"/>
                      <w:szCs w:val="24"/>
                      <w:lang w:val="en-ZA"/>
                    </w:rPr>
                    <w:t>CaseLines</w:t>
                  </w:r>
                  <w:proofErr w:type="spellEnd"/>
                  <w:r w:rsidR="001D7244" w:rsidRPr="00217B1F">
                    <w:rPr>
                      <w:rFonts w:ascii="Arial" w:eastAsia="Times New Roman" w:hAnsi="Arial" w:cs="Arial"/>
                      <w:color w:val="000000"/>
                      <w:sz w:val="24"/>
                      <w:szCs w:val="24"/>
                      <w:lang w:val="en-ZA"/>
                    </w:rPr>
                    <w:t> system of the GD and by release to SAFLII. The date and time for hand-down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8</w:t>
                  </w:r>
                  <w:r w:rsidR="0010749D">
                    <w:rPr>
                      <w:rFonts w:ascii="Arial" w:eastAsia="Times New Roman" w:hAnsi="Arial" w:cs="Arial"/>
                      <w:color w:val="000000"/>
                      <w:sz w:val="24"/>
                      <w:szCs w:val="24"/>
                      <w:lang w:val="en-ZA"/>
                    </w:rPr>
                    <w:t xml:space="preserve"> </w:t>
                  </w:r>
                  <w:proofErr w:type="gramStart"/>
                  <w:r w:rsidR="0010749D">
                    <w:rPr>
                      <w:rFonts w:ascii="Arial" w:eastAsia="Times New Roman" w:hAnsi="Arial" w:cs="Arial"/>
                      <w:color w:val="000000"/>
                      <w:sz w:val="24"/>
                      <w:szCs w:val="24"/>
                      <w:lang w:val="en-ZA"/>
                    </w:rPr>
                    <w:t>August</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2022</w:t>
                  </w:r>
                  <w:proofErr w:type="gramEnd"/>
                  <w:r w:rsidR="001D7244" w:rsidRPr="00217B1F">
                    <w:rPr>
                      <w:rFonts w:ascii="Arial" w:eastAsia="Times New Roman" w:hAnsi="Arial" w:cs="Arial"/>
                      <w:color w:val="000000"/>
                      <w:sz w:val="24"/>
                      <w:szCs w:val="24"/>
                      <w:lang w:val="en-ZA"/>
                    </w:rPr>
                    <w:t>.</w:t>
                  </w:r>
                </w:p>
                <w:p w14:paraId="5F5E03E1"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FA2702">
              <w:tc>
                <w:tcPr>
                  <w:tcW w:w="1734" w:type="dxa"/>
                </w:tcPr>
                <w:p w14:paraId="6E105F9A"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Summary:      </w:t>
                  </w:r>
                </w:p>
              </w:tc>
              <w:tc>
                <w:tcPr>
                  <w:tcW w:w="7513" w:type="dxa"/>
                </w:tcPr>
                <w:p w14:paraId="05309368" w14:textId="19CFFBFD" w:rsidR="00685764" w:rsidRPr="002518C4" w:rsidRDefault="0068576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Application to set aside the appointment of co-liquidators – whether Master empowered in terms of Sections 368 </w:t>
                  </w:r>
                  <w:proofErr w:type="spellStart"/>
                  <w:proofErr w:type="gramStart"/>
                  <w:r>
                    <w:rPr>
                      <w:rFonts w:cs="Arial"/>
                      <w:sz w:val="24"/>
                      <w:szCs w:val="24"/>
                    </w:rPr>
                    <w:t>an</w:t>
                  </w:r>
                  <w:proofErr w:type="spellEnd"/>
                  <w:proofErr w:type="gramEnd"/>
                  <w:r>
                    <w:rPr>
                      <w:rFonts w:cs="Arial"/>
                      <w:sz w:val="24"/>
                      <w:szCs w:val="24"/>
                    </w:rPr>
                    <w:t xml:space="preserve"> 374 of the Companies Act 61 of 1973 to make any discretionary appointments while no extant policy determined by the Minister operable – provided Master makes discretionary appointments in accordance with Section 15(1A) discretion properly exercised and such appointments valid. </w:t>
                  </w:r>
                </w:p>
              </w:tc>
            </w:tr>
          </w:tbl>
          <w:p w14:paraId="422E790C"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22F46C57" w14:textId="4EB03807" w:rsidR="00996B9B" w:rsidRDefault="00B50E11" w:rsidP="009447E3">
      <w:pPr>
        <w:pStyle w:val="Body"/>
        <w:jc w:val="both"/>
        <w:rPr>
          <w:bCs/>
          <w:sz w:val="22"/>
          <w:szCs w:val="22"/>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13DE9965" w14:textId="4A129C58" w:rsidR="0010749D" w:rsidRDefault="0010749D" w:rsidP="00996B9B">
      <w:pPr>
        <w:pStyle w:val="Body"/>
        <w:numPr>
          <w:ilvl w:val="0"/>
          <w:numId w:val="13"/>
        </w:numPr>
        <w:spacing w:line="360" w:lineRule="auto"/>
        <w:ind w:left="851" w:hanging="851"/>
        <w:jc w:val="both"/>
        <w:rPr>
          <w:bCs/>
          <w:sz w:val="24"/>
          <w:szCs w:val="24"/>
        </w:rPr>
      </w:pPr>
      <w:r w:rsidRPr="00CF1B27">
        <w:rPr>
          <w:bCs/>
          <w:sz w:val="24"/>
          <w:szCs w:val="24"/>
        </w:rPr>
        <w:t xml:space="preserve">The applicants </w:t>
      </w:r>
      <w:r w:rsidR="00786B1A" w:rsidRPr="00CF1B27">
        <w:rPr>
          <w:bCs/>
          <w:sz w:val="24"/>
          <w:szCs w:val="24"/>
        </w:rPr>
        <w:t>applied by way o</w:t>
      </w:r>
      <w:r w:rsidR="00482AA7">
        <w:rPr>
          <w:bCs/>
          <w:sz w:val="24"/>
          <w:szCs w:val="24"/>
        </w:rPr>
        <w:t>f</w:t>
      </w:r>
      <w:r w:rsidR="00786B1A" w:rsidRPr="00CF1B27">
        <w:rPr>
          <w:bCs/>
          <w:sz w:val="24"/>
          <w:szCs w:val="24"/>
        </w:rPr>
        <w:t xml:space="preserve"> urgency for an order setting aside the first respondent’s (‘the Master’) appointment of the second and third respondents as their co- liquidators of </w:t>
      </w:r>
      <w:proofErr w:type="spellStart"/>
      <w:r w:rsidR="00786B1A" w:rsidRPr="00CF1B27">
        <w:rPr>
          <w:bCs/>
          <w:sz w:val="24"/>
          <w:szCs w:val="24"/>
        </w:rPr>
        <w:t>Finalmente</w:t>
      </w:r>
      <w:proofErr w:type="spellEnd"/>
      <w:r w:rsidR="00786B1A" w:rsidRPr="00CF1B27">
        <w:rPr>
          <w:bCs/>
          <w:sz w:val="24"/>
          <w:szCs w:val="24"/>
        </w:rPr>
        <w:t xml:space="preserve"> Global (Pty) Ltd (in liquidation).</w:t>
      </w:r>
    </w:p>
    <w:p w14:paraId="073085A3" w14:textId="77777777" w:rsidR="00786B1A" w:rsidRPr="00CF1B27" w:rsidRDefault="00786B1A" w:rsidP="00CF1B27">
      <w:pPr>
        <w:pStyle w:val="Body"/>
        <w:spacing w:line="360" w:lineRule="auto"/>
        <w:ind w:left="720" w:hanging="720"/>
        <w:jc w:val="both"/>
        <w:rPr>
          <w:bCs/>
          <w:sz w:val="24"/>
          <w:szCs w:val="24"/>
        </w:rPr>
      </w:pPr>
    </w:p>
    <w:p w14:paraId="0E4144F2" w14:textId="6B836506" w:rsidR="00786B1A" w:rsidRPr="00CF1B27" w:rsidRDefault="00786B1A" w:rsidP="00996B9B">
      <w:pPr>
        <w:pStyle w:val="Body"/>
        <w:numPr>
          <w:ilvl w:val="0"/>
          <w:numId w:val="13"/>
        </w:numPr>
        <w:spacing w:line="360" w:lineRule="auto"/>
        <w:ind w:left="851" w:hanging="851"/>
        <w:jc w:val="both"/>
        <w:rPr>
          <w:bCs/>
          <w:sz w:val="24"/>
          <w:szCs w:val="24"/>
        </w:rPr>
      </w:pPr>
      <w:r w:rsidRPr="00CF1B27">
        <w:rPr>
          <w:bCs/>
          <w:sz w:val="24"/>
          <w:szCs w:val="24"/>
        </w:rPr>
        <w:t>The application was brought by the applicants on 7 June 2022 but was not heard that day and was referred to the office of the Deputy Judge President for the allocation of a special date for hearing.</w:t>
      </w:r>
    </w:p>
    <w:p w14:paraId="2AC79AD5" w14:textId="77777777" w:rsidR="00786B1A" w:rsidRPr="00CF1B27" w:rsidRDefault="00786B1A" w:rsidP="00996B9B">
      <w:pPr>
        <w:pStyle w:val="Body"/>
        <w:spacing w:line="360" w:lineRule="auto"/>
        <w:ind w:left="851" w:hanging="851"/>
        <w:jc w:val="both"/>
        <w:rPr>
          <w:bCs/>
          <w:sz w:val="24"/>
          <w:szCs w:val="24"/>
        </w:rPr>
      </w:pPr>
    </w:p>
    <w:p w14:paraId="5A0DAF3A" w14:textId="14A44AAD" w:rsidR="00786B1A" w:rsidRPr="00CF1B27" w:rsidRDefault="00786B1A" w:rsidP="00996B9B">
      <w:pPr>
        <w:pStyle w:val="Body"/>
        <w:numPr>
          <w:ilvl w:val="0"/>
          <w:numId w:val="13"/>
        </w:numPr>
        <w:spacing w:line="360" w:lineRule="auto"/>
        <w:ind w:left="851" w:hanging="851"/>
        <w:jc w:val="both"/>
        <w:rPr>
          <w:bCs/>
          <w:sz w:val="24"/>
          <w:szCs w:val="24"/>
        </w:rPr>
      </w:pPr>
      <w:r w:rsidRPr="00CF1B27">
        <w:rPr>
          <w:bCs/>
          <w:sz w:val="24"/>
          <w:szCs w:val="24"/>
        </w:rPr>
        <w:t xml:space="preserve">The circumstances leading to the present application are uncontentious and common cause between the parties.  On 13 January 2021, an order was granted in this Court for the final liquidation of </w:t>
      </w:r>
      <w:proofErr w:type="spellStart"/>
      <w:r w:rsidRPr="00CF1B27">
        <w:rPr>
          <w:bCs/>
          <w:sz w:val="24"/>
          <w:szCs w:val="24"/>
        </w:rPr>
        <w:t>Finalmente</w:t>
      </w:r>
      <w:proofErr w:type="spellEnd"/>
      <w:r w:rsidRPr="00CF1B27">
        <w:rPr>
          <w:bCs/>
          <w:sz w:val="24"/>
          <w:szCs w:val="24"/>
        </w:rPr>
        <w:t xml:space="preserve"> Global (Pty) Ltd.  On 21 January 2021, the applicants were appointed as the provisional joint liquidators of the </w:t>
      </w:r>
      <w:r w:rsidRPr="0002716E">
        <w:rPr>
          <w:bCs/>
          <w:sz w:val="24"/>
          <w:szCs w:val="24"/>
        </w:rPr>
        <w:t xml:space="preserve">company.  At a first meeting of the creditors </w:t>
      </w:r>
      <w:r w:rsidR="00EA79AD" w:rsidRPr="0002716E">
        <w:rPr>
          <w:bCs/>
          <w:sz w:val="24"/>
          <w:szCs w:val="24"/>
        </w:rPr>
        <w:t xml:space="preserve">was </w:t>
      </w:r>
      <w:r w:rsidRPr="0002716E">
        <w:rPr>
          <w:bCs/>
          <w:sz w:val="24"/>
          <w:szCs w:val="24"/>
        </w:rPr>
        <w:t>held on 29 September 2021</w:t>
      </w:r>
      <w:r w:rsidR="00EA79AD" w:rsidRPr="0002716E">
        <w:rPr>
          <w:bCs/>
          <w:sz w:val="24"/>
          <w:szCs w:val="24"/>
        </w:rPr>
        <w:t xml:space="preserve"> and</w:t>
      </w:r>
      <w:r w:rsidRPr="0002716E">
        <w:rPr>
          <w:bCs/>
          <w:sz w:val="24"/>
          <w:szCs w:val="24"/>
        </w:rPr>
        <w:t xml:space="preserve"> the applicants were appointed as the final liquidators of the company.</w:t>
      </w:r>
    </w:p>
    <w:p w14:paraId="01C685D2" w14:textId="77777777" w:rsidR="00786B1A" w:rsidRDefault="00786B1A" w:rsidP="00996B9B">
      <w:pPr>
        <w:pStyle w:val="ListParagraph"/>
        <w:spacing w:line="360" w:lineRule="auto"/>
        <w:ind w:left="851" w:hanging="851"/>
        <w:rPr>
          <w:bCs/>
          <w:sz w:val="22"/>
          <w:szCs w:val="22"/>
        </w:rPr>
      </w:pPr>
    </w:p>
    <w:p w14:paraId="6296781C" w14:textId="10476A7B" w:rsidR="00CF1B27" w:rsidRDefault="00786B1A" w:rsidP="00996B9B">
      <w:pPr>
        <w:pStyle w:val="Body"/>
        <w:numPr>
          <w:ilvl w:val="0"/>
          <w:numId w:val="13"/>
        </w:numPr>
        <w:spacing w:line="360" w:lineRule="auto"/>
        <w:ind w:left="851" w:hanging="851"/>
        <w:jc w:val="both"/>
        <w:rPr>
          <w:bCs/>
          <w:sz w:val="24"/>
          <w:szCs w:val="24"/>
        </w:rPr>
      </w:pPr>
      <w:r w:rsidRPr="00CF1B27">
        <w:rPr>
          <w:bCs/>
          <w:sz w:val="24"/>
          <w:szCs w:val="24"/>
        </w:rPr>
        <w:t>On 20 April 2022, the Master</w:t>
      </w:r>
      <w:r w:rsidR="00EA79AD">
        <w:rPr>
          <w:bCs/>
          <w:sz w:val="24"/>
          <w:szCs w:val="24"/>
        </w:rPr>
        <w:t xml:space="preserve"> of the High Court, Pretoria, the first respondent in these proceedings (‘the Master’),</w:t>
      </w:r>
      <w:r w:rsidRPr="00CF1B27">
        <w:rPr>
          <w:bCs/>
          <w:sz w:val="24"/>
          <w:szCs w:val="24"/>
        </w:rPr>
        <w:t xml:space="preserve"> appointed the second and third respondents as additional joint liquidators. </w:t>
      </w:r>
      <w:r w:rsidR="00EA79AD">
        <w:rPr>
          <w:bCs/>
          <w:sz w:val="24"/>
          <w:szCs w:val="24"/>
        </w:rPr>
        <w:t>O</w:t>
      </w:r>
      <w:r w:rsidRPr="00CF1B27">
        <w:rPr>
          <w:bCs/>
          <w:sz w:val="24"/>
          <w:szCs w:val="24"/>
        </w:rPr>
        <w:t>n 25 April 2022, the representatives of the applicants wrote to the Master enquiring why 2 additional joint liquidators had been appointed.  On 29 April 2022, the Master replied and informed</w:t>
      </w:r>
      <w:r w:rsidR="00A228F5" w:rsidRPr="00CF1B27">
        <w:rPr>
          <w:bCs/>
          <w:sz w:val="24"/>
          <w:szCs w:val="24"/>
        </w:rPr>
        <w:t xml:space="preserve"> the applicants that the appointment of the second and third respondents had been made by the Master in the exercise of his discretion in terms of Section 374 of the Companies Act 61 of 1973.</w:t>
      </w:r>
    </w:p>
    <w:p w14:paraId="418AA3B6" w14:textId="77777777" w:rsidR="00CF1B27" w:rsidRDefault="00CF1B27" w:rsidP="00CF1B27">
      <w:pPr>
        <w:pStyle w:val="ListParagraph"/>
        <w:spacing w:line="360" w:lineRule="auto"/>
        <w:rPr>
          <w:bCs/>
        </w:rPr>
      </w:pPr>
    </w:p>
    <w:p w14:paraId="168248CF" w14:textId="41921FCC" w:rsidR="00CF1B27" w:rsidRPr="00CF1B27" w:rsidRDefault="00CF1B27" w:rsidP="00996B9B">
      <w:pPr>
        <w:pStyle w:val="Body"/>
        <w:numPr>
          <w:ilvl w:val="0"/>
          <w:numId w:val="13"/>
        </w:numPr>
        <w:spacing w:line="360" w:lineRule="auto"/>
        <w:ind w:left="851" w:hanging="851"/>
        <w:jc w:val="both"/>
        <w:rPr>
          <w:bCs/>
          <w:sz w:val="24"/>
          <w:szCs w:val="24"/>
        </w:rPr>
      </w:pPr>
      <w:r>
        <w:rPr>
          <w:bCs/>
          <w:sz w:val="24"/>
          <w:szCs w:val="24"/>
        </w:rPr>
        <w:t xml:space="preserve">The applicants raised 2 main issues – the first </w:t>
      </w:r>
      <w:r w:rsidR="0002716E">
        <w:rPr>
          <w:bCs/>
          <w:sz w:val="24"/>
          <w:szCs w:val="24"/>
        </w:rPr>
        <w:t>regarding</w:t>
      </w:r>
      <w:r>
        <w:rPr>
          <w:bCs/>
          <w:sz w:val="24"/>
          <w:szCs w:val="24"/>
        </w:rPr>
        <w:t xml:space="preserve"> the legality of the appointments of the second and third respondents and the second in regard to the rationality thereof.  The respondents for their part raised </w:t>
      </w:r>
      <w:r w:rsidR="0002716E">
        <w:rPr>
          <w:bCs/>
          <w:sz w:val="24"/>
          <w:szCs w:val="24"/>
        </w:rPr>
        <w:t>several</w:t>
      </w:r>
      <w:r>
        <w:rPr>
          <w:bCs/>
          <w:sz w:val="24"/>
          <w:szCs w:val="24"/>
        </w:rPr>
        <w:t xml:space="preserve"> issues </w:t>
      </w:r>
      <w:r w:rsidR="00EA79AD">
        <w:rPr>
          <w:bCs/>
          <w:sz w:val="24"/>
          <w:szCs w:val="24"/>
        </w:rPr>
        <w:t xml:space="preserve">in </w:t>
      </w:r>
      <w:proofErr w:type="spellStart"/>
      <w:r w:rsidR="00EA79AD">
        <w:rPr>
          <w:bCs/>
          <w:sz w:val="24"/>
          <w:szCs w:val="24"/>
        </w:rPr>
        <w:t>defence</w:t>
      </w:r>
      <w:proofErr w:type="spellEnd"/>
      <w:r w:rsidR="00EA79AD">
        <w:rPr>
          <w:bCs/>
          <w:sz w:val="24"/>
          <w:szCs w:val="24"/>
        </w:rPr>
        <w:t xml:space="preserve"> </w:t>
      </w:r>
      <w:r>
        <w:rPr>
          <w:bCs/>
          <w:sz w:val="24"/>
          <w:szCs w:val="24"/>
        </w:rPr>
        <w:t>which included</w:t>
      </w:r>
      <w:r w:rsidR="001732C8">
        <w:rPr>
          <w:bCs/>
          <w:sz w:val="24"/>
          <w:szCs w:val="24"/>
        </w:rPr>
        <w:t xml:space="preserve"> a challenge to urgency, </w:t>
      </w:r>
      <w:r w:rsidR="0002716E">
        <w:rPr>
          <w:bCs/>
          <w:sz w:val="24"/>
          <w:szCs w:val="24"/>
        </w:rPr>
        <w:t>applicant’s</w:t>
      </w:r>
      <w:r w:rsidR="00EA79AD">
        <w:rPr>
          <w:bCs/>
          <w:sz w:val="24"/>
          <w:szCs w:val="24"/>
        </w:rPr>
        <w:t xml:space="preserve"> locus</w:t>
      </w:r>
      <w:r w:rsidR="001732C8" w:rsidRPr="001732C8">
        <w:rPr>
          <w:bCs/>
          <w:i/>
          <w:iCs/>
          <w:sz w:val="24"/>
          <w:szCs w:val="24"/>
        </w:rPr>
        <w:t xml:space="preserve"> </w:t>
      </w:r>
      <w:proofErr w:type="spellStart"/>
      <w:r w:rsidR="001732C8" w:rsidRPr="001732C8">
        <w:rPr>
          <w:bCs/>
          <w:i/>
          <w:iCs/>
          <w:sz w:val="24"/>
          <w:szCs w:val="24"/>
        </w:rPr>
        <w:t>standi</w:t>
      </w:r>
      <w:proofErr w:type="spellEnd"/>
      <w:r w:rsidR="001732C8">
        <w:rPr>
          <w:bCs/>
          <w:sz w:val="24"/>
          <w:szCs w:val="24"/>
        </w:rPr>
        <w:t>, the non-joinder of creditors and the failure to institute review proceedings instead of resorting to an urgent application.   By the time this application was called, the issue</w:t>
      </w:r>
      <w:r w:rsidR="00EA79AD">
        <w:rPr>
          <w:bCs/>
          <w:sz w:val="24"/>
          <w:szCs w:val="24"/>
        </w:rPr>
        <w:t>s</w:t>
      </w:r>
      <w:r w:rsidR="001732C8">
        <w:rPr>
          <w:bCs/>
          <w:sz w:val="24"/>
          <w:szCs w:val="24"/>
        </w:rPr>
        <w:t xml:space="preserve"> for determination had been narrowed by the parties.</w:t>
      </w:r>
    </w:p>
    <w:p w14:paraId="63BC4513" w14:textId="77777777" w:rsidR="00CF1B27" w:rsidRDefault="00CF1B27" w:rsidP="00CF1B27">
      <w:pPr>
        <w:pStyle w:val="ListParagraph"/>
        <w:rPr>
          <w:bCs/>
        </w:rPr>
      </w:pPr>
    </w:p>
    <w:p w14:paraId="2AA97423" w14:textId="77777777" w:rsidR="009447E3" w:rsidRDefault="001732C8" w:rsidP="00996B9B">
      <w:pPr>
        <w:pStyle w:val="Body"/>
        <w:numPr>
          <w:ilvl w:val="0"/>
          <w:numId w:val="13"/>
        </w:numPr>
        <w:spacing w:line="360" w:lineRule="auto"/>
        <w:ind w:left="851" w:hanging="851"/>
        <w:jc w:val="both"/>
        <w:rPr>
          <w:bCs/>
          <w:sz w:val="24"/>
          <w:szCs w:val="24"/>
        </w:rPr>
      </w:pPr>
      <w:r>
        <w:rPr>
          <w:bCs/>
          <w:sz w:val="24"/>
          <w:szCs w:val="24"/>
        </w:rPr>
        <w:t xml:space="preserve">The </w:t>
      </w:r>
      <w:r w:rsidR="00CF1B27" w:rsidRPr="00CF1B27">
        <w:rPr>
          <w:bCs/>
          <w:sz w:val="24"/>
          <w:szCs w:val="24"/>
        </w:rPr>
        <w:t>crux of the applicants’ case</w:t>
      </w:r>
      <w:r>
        <w:rPr>
          <w:bCs/>
          <w:sz w:val="24"/>
          <w:szCs w:val="24"/>
        </w:rPr>
        <w:t xml:space="preserve">, the determination of which is dispositive of this matter, is whether </w:t>
      </w:r>
      <w:r w:rsidR="00CF1B27" w:rsidRPr="00CF1B27">
        <w:rPr>
          <w:bCs/>
          <w:sz w:val="24"/>
          <w:szCs w:val="24"/>
        </w:rPr>
        <w:t xml:space="preserve">the Master’s appointment of the second and third respondents was unlawful because the Master had </w:t>
      </w:r>
      <w:r>
        <w:rPr>
          <w:bCs/>
          <w:sz w:val="24"/>
          <w:szCs w:val="24"/>
        </w:rPr>
        <w:t xml:space="preserve">failed to act </w:t>
      </w:r>
      <w:r w:rsidR="00CF1B27" w:rsidRPr="00CF1B27">
        <w:rPr>
          <w:bCs/>
          <w:sz w:val="24"/>
          <w:szCs w:val="24"/>
        </w:rPr>
        <w:t xml:space="preserve">in accordance with the </w:t>
      </w:r>
    </w:p>
    <w:p w14:paraId="41D919A3" w14:textId="77777777" w:rsidR="009447E3" w:rsidRDefault="009447E3" w:rsidP="009447E3">
      <w:pPr>
        <w:pStyle w:val="ListParagraph"/>
        <w:rPr>
          <w:bCs/>
        </w:rPr>
      </w:pPr>
    </w:p>
    <w:p w14:paraId="22DF2D52" w14:textId="77777777" w:rsidR="009447E3" w:rsidRDefault="009447E3" w:rsidP="009447E3">
      <w:pPr>
        <w:pStyle w:val="Body"/>
        <w:spacing w:line="360" w:lineRule="auto"/>
        <w:ind w:left="851"/>
        <w:jc w:val="both"/>
        <w:rPr>
          <w:bCs/>
          <w:sz w:val="24"/>
          <w:szCs w:val="24"/>
        </w:rPr>
      </w:pPr>
    </w:p>
    <w:p w14:paraId="452EDDF0" w14:textId="40B96186" w:rsidR="00A228F5" w:rsidRDefault="00CF1B27" w:rsidP="009447E3">
      <w:pPr>
        <w:pStyle w:val="Body"/>
        <w:spacing w:line="360" w:lineRule="auto"/>
        <w:ind w:left="851"/>
        <w:jc w:val="both"/>
        <w:rPr>
          <w:bCs/>
          <w:sz w:val="24"/>
          <w:szCs w:val="24"/>
        </w:rPr>
      </w:pPr>
      <w:r w:rsidRPr="00CF1B27">
        <w:rPr>
          <w:bCs/>
          <w:sz w:val="24"/>
          <w:szCs w:val="24"/>
        </w:rPr>
        <w:t>provisions of Section 374</w:t>
      </w:r>
      <w:r w:rsidR="00EA79AD">
        <w:rPr>
          <w:bCs/>
          <w:sz w:val="24"/>
          <w:szCs w:val="24"/>
        </w:rPr>
        <w:t xml:space="preserve"> of the Companies Act</w:t>
      </w:r>
      <w:r w:rsidR="00EA79AD">
        <w:rPr>
          <w:rStyle w:val="FootnoteReference"/>
          <w:bCs/>
          <w:sz w:val="24"/>
          <w:szCs w:val="24"/>
        </w:rPr>
        <w:footnoteReference w:id="1"/>
      </w:r>
      <w:r w:rsidR="0012310D">
        <w:rPr>
          <w:bCs/>
          <w:sz w:val="24"/>
          <w:szCs w:val="24"/>
        </w:rPr>
        <w:t xml:space="preserve"> and also directives issued by the Chief Master</w:t>
      </w:r>
      <w:r w:rsidR="0012310D">
        <w:rPr>
          <w:rStyle w:val="FootnoteReference"/>
          <w:bCs/>
          <w:sz w:val="24"/>
          <w:szCs w:val="24"/>
        </w:rPr>
        <w:footnoteReference w:id="2"/>
      </w:r>
      <w:r w:rsidRPr="00CF1B27">
        <w:rPr>
          <w:bCs/>
          <w:sz w:val="24"/>
          <w:szCs w:val="24"/>
        </w:rPr>
        <w:t xml:space="preserve">.  </w:t>
      </w:r>
    </w:p>
    <w:p w14:paraId="2CD09BB4" w14:textId="77777777" w:rsidR="001732C8" w:rsidRDefault="001732C8" w:rsidP="001732C8">
      <w:pPr>
        <w:pStyle w:val="ListParagraph"/>
        <w:rPr>
          <w:bCs/>
        </w:rPr>
      </w:pPr>
    </w:p>
    <w:p w14:paraId="7E9BE9C9" w14:textId="64D2EC03" w:rsidR="00127B1A" w:rsidRPr="001732C8" w:rsidRDefault="001732C8" w:rsidP="00996B9B">
      <w:pPr>
        <w:pStyle w:val="Body"/>
        <w:numPr>
          <w:ilvl w:val="0"/>
          <w:numId w:val="13"/>
        </w:numPr>
        <w:spacing w:line="360" w:lineRule="auto"/>
        <w:ind w:left="851" w:hanging="851"/>
        <w:jc w:val="both"/>
        <w:rPr>
          <w:bCs/>
          <w:sz w:val="22"/>
          <w:szCs w:val="22"/>
        </w:rPr>
      </w:pPr>
      <w:r w:rsidRPr="001732C8">
        <w:rPr>
          <w:bCs/>
          <w:sz w:val="24"/>
          <w:szCs w:val="24"/>
        </w:rPr>
        <w:t>The Section provides</w:t>
      </w:r>
      <w:r>
        <w:rPr>
          <w:bCs/>
          <w:sz w:val="24"/>
          <w:szCs w:val="24"/>
        </w:rPr>
        <w:t>:</w:t>
      </w:r>
    </w:p>
    <w:p w14:paraId="613DC070" w14:textId="77777777" w:rsidR="001732C8" w:rsidRDefault="001732C8" w:rsidP="001732C8">
      <w:pPr>
        <w:pStyle w:val="ListParagraph"/>
        <w:rPr>
          <w:bCs/>
          <w:sz w:val="22"/>
          <w:szCs w:val="22"/>
        </w:rPr>
      </w:pPr>
    </w:p>
    <w:p w14:paraId="0AB51D9D" w14:textId="202C6598" w:rsidR="001732C8" w:rsidRPr="001732C8" w:rsidRDefault="001732C8" w:rsidP="001732C8">
      <w:pPr>
        <w:pStyle w:val="Body"/>
        <w:spacing w:line="360" w:lineRule="auto"/>
        <w:ind w:left="1440"/>
        <w:jc w:val="both"/>
        <w:rPr>
          <w:bCs/>
          <w:i/>
          <w:iCs/>
          <w:sz w:val="22"/>
          <w:szCs w:val="22"/>
        </w:rPr>
      </w:pPr>
      <w:r w:rsidRPr="001732C8">
        <w:rPr>
          <w:bCs/>
          <w:i/>
          <w:iCs/>
          <w:sz w:val="22"/>
          <w:szCs w:val="22"/>
        </w:rPr>
        <w:t>‘374</w:t>
      </w:r>
      <w:r w:rsidRPr="001732C8">
        <w:rPr>
          <w:bCs/>
          <w:i/>
          <w:iCs/>
          <w:sz w:val="22"/>
          <w:szCs w:val="22"/>
        </w:rPr>
        <w:tab/>
      </w:r>
      <w:r w:rsidRPr="001732C8">
        <w:rPr>
          <w:b/>
          <w:i/>
          <w:iCs/>
          <w:sz w:val="22"/>
          <w:szCs w:val="22"/>
        </w:rPr>
        <w:t>Master may appoint co-liquidator at any time</w:t>
      </w:r>
    </w:p>
    <w:p w14:paraId="62424EAF" w14:textId="019A0B0A" w:rsidR="001732C8" w:rsidRDefault="001732C8" w:rsidP="001732C8">
      <w:pPr>
        <w:pStyle w:val="Body"/>
        <w:spacing w:line="360" w:lineRule="auto"/>
        <w:ind w:left="2127"/>
        <w:jc w:val="both"/>
        <w:rPr>
          <w:bCs/>
          <w:i/>
          <w:iCs/>
          <w:sz w:val="22"/>
          <w:szCs w:val="22"/>
        </w:rPr>
      </w:pPr>
      <w:r w:rsidRPr="001732C8">
        <w:rPr>
          <w:bCs/>
          <w:i/>
          <w:iCs/>
          <w:sz w:val="22"/>
          <w:szCs w:val="22"/>
        </w:rPr>
        <w:tab/>
        <w:t>Whenever the Master considers it desirable he or she may</w:t>
      </w:r>
      <w:r>
        <w:rPr>
          <w:bCs/>
          <w:i/>
          <w:iCs/>
          <w:sz w:val="22"/>
          <w:szCs w:val="22"/>
        </w:rPr>
        <w:t>,</w:t>
      </w:r>
      <w:r w:rsidRPr="001732C8">
        <w:rPr>
          <w:bCs/>
          <w:i/>
          <w:iCs/>
          <w:sz w:val="22"/>
          <w:szCs w:val="22"/>
        </w:rPr>
        <w:t xml:space="preserve"> in accordance with policy determined by the Minister, appoint any person not disqualified from holding the office of liquidator and who has given security to his or her satisfaction, as a co-liquidator with the liquidator or liquidators of the company concerned.’</w:t>
      </w:r>
    </w:p>
    <w:p w14:paraId="0DA63B54" w14:textId="77777777" w:rsidR="001732C8" w:rsidRPr="0012310D" w:rsidRDefault="001732C8" w:rsidP="0012310D">
      <w:pPr>
        <w:pStyle w:val="Body"/>
        <w:spacing w:line="360" w:lineRule="auto"/>
        <w:ind w:left="2127"/>
        <w:jc w:val="both"/>
        <w:rPr>
          <w:bCs/>
          <w:i/>
          <w:iCs/>
          <w:sz w:val="24"/>
          <w:szCs w:val="24"/>
        </w:rPr>
      </w:pPr>
    </w:p>
    <w:p w14:paraId="4B4F2C1B" w14:textId="6D4DDC44" w:rsidR="001732C8" w:rsidRPr="00632C9A" w:rsidRDefault="001732C8" w:rsidP="00996B9B">
      <w:pPr>
        <w:pStyle w:val="Body"/>
        <w:numPr>
          <w:ilvl w:val="0"/>
          <w:numId w:val="13"/>
        </w:numPr>
        <w:spacing w:line="360" w:lineRule="auto"/>
        <w:ind w:left="851" w:hanging="851"/>
        <w:jc w:val="both"/>
        <w:rPr>
          <w:bCs/>
          <w:sz w:val="24"/>
          <w:szCs w:val="24"/>
        </w:rPr>
      </w:pPr>
      <w:r w:rsidRPr="0012310D">
        <w:rPr>
          <w:bCs/>
          <w:sz w:val="24"/>
          <w:szCs w:val="24"/>
        </w:rPr>
        <w:t>The construction of the section prior to 2003 was identical to its present construction save that the clause</w:t>
      </w:r>
      <w:r w:rsidR="0012310D" w:rsidRPr="0012310D">
        <w:rPr>
          <w:bCs/>
          <w:sz w:val="24"/>
          <w:szCs w:val="24"/>
        </w:rPr>
        <w:t xml:space="preserve"> </w:t>
      </w:r>
      <w:r w:rsidR="00CE6C1E">
        <w:rPr>
          <w:bCs/>
          <w:i/>
          <w:iCs/>
          <w:sz w:val="24"/>
          <w:szCs w:val="24"/>
        </w:rPr>
        <w:t>“</w:t>
      </w:r>
      <w:r w:rsidR="0012310D" w:rsidRPr="0012310D">
        <w:rPr>
          <w:bCs/>
          <w:i/>
          <w:iCs/>
          <w:sz w:val="24"/>
          <w:szCs w:val="24"/>
        </w:rPr>
        <w:t xml:space="preserve">, </w:t>
      </w:r>
      <w:r w:rsidRPr="0012310D">
        <w:rPr>
          <w:bCs/>
          <w:i/>
          <w:iCs/>
          <w:sz w:val="22"/>
          <w:szCs w:val="22"/>
        </w:rPr>
        <w:t>in accordance with policy determined by the Minister,</w:t>
      </w:r>
      <w:r w:rsidR="00CE6C1E">
        <w:rPr>
          <w:bCs/>
          <w:sz w:val="22"/>
          <w:szCs w:val="22"/>
        </w:rPr>
        <w:t>”</w:t>
      </w:r>
      <w:r w:rsidR="0012310D" w:rsidRPr="0012310D">
        <w:rPr>
          <w:bCs/>
          <w:sz w:val="22"/>
          <w:szCs w:val="22"/>
        </w:rPr>
        <w:t xml:space="preserve"> was inserted in 2003</w:t>
      </w:r>
      <w:r w:rsidR="0012310D" w:rsidRPr="0012310D">
        <w:rPr>
          <w:bCs/>
          <w:sz w:val="24"/>
          <w:szCs w:val="24"/>
        </w:rPr>
        <w:t>.</w:t>
      </w:r>
      <w:r w:rsidR="0012310D" w:rsidRPr="0012310D">
        <w:rPr>
          <w:rStyle w:val="FootnoteReference"/>
          <w:bCs/>
          <w:sz w:val="24"/>
          <w:szCs w:val="24"/>
        </w:rPr>
        <w:footnoteReference w:id="3"/>
      </w:r>
      <w:r w:rsidR="0012310D" w:rsidRPr="0012310D">
        <w:rPr>
          <w:bCs/>
          <w:sz w:val="24"/>
          <w:szCs w:val="24"/>
        </w:rPr>
        <w:t xml:space="preserve">  </w:t>
      </w:r>
      <w:r w:rsidR="0012310D" w:rsidRPr="00632C9A">
        <w:rPr>
          <w:bCs/>
          <w:sz w:val="24"/>
          <w:szCs w:val="24"/>
        </w:rPr>
        <w:t xml:space="preserve">The effect of this amendment was to </w:t>
      </w:r>
      <w:r w:rsidR="00EA79AD">
        <w:rPr>
          <w:bCs/>
          <w:sz w:val="24"/>
          <w:szCs w:val="24"/>
        </w:rPr>
        <w:t>temper</w:t>
      </w:r>
      <w:r w:rsidR="0012310D" w:rsidRPr="00632C9A">
        <w:rPr>
          <w:bCs/>
          <w:sz w:val="24"/>
          <w:szCs w:val="24"/>
        </w:rPr>
        <w:t xml:space="preserve"> the unfettered discretion of the Master in regard to the appointment of provisional and joint liquidators by providing that such appointments should be made in accordance with the policy determined by the Minister.    </w:t>
      </w:r>
    </w:p>
    <w:p w14:paraId="2496FFFB" w14:textId="77777777" w:rsidR="0012310D" w:rsidRPr="00632C9A" w:rsidRDefault="0012310D" w:rsidP="00996B9B">
      <w:pPr>
        <w:pStyle w:val="Body"/>
        <w:spacing w:line="360" w:lineRule="auto"/>
        <w:ind w:left="851" w:hanging="851"/>
        <w:jc w:val="both"/>
        <w:rPr>
          <w:bCs/>
          <w:sz w:val="24"/>
          <w:szCs w:val="24"/>
        </w:rPr>
      </w:pPr>
    </w:p>
    <w:p w14:paraId="17A8560B" w14:textId="36C1E7CF" w:rsidR="00E0771B" w:rsidRPr="00632C9A" w:rsidRDefault="00632C9A" w:rsidP="00996B9B">
      <w:pPr>
        <w:pStyle w:val="Body"/>
        <w:numPr>
          <w:ilvl w:val="0"/>
          <w:numId w:val="13"/>
        </w:numPr>
        <w:spacing w:line="360" w:lineRule="auto"/>
        <w:ind w:left="851" w:hanging="851"/>
        <w:jc w:val="both"/>
        <w:rPr>
          <w:bCs/>
          <w:sz w:val="24"/>
          <w:szCs w:val="24"/>
        </w:rPr>
      </w:pPr>
      <w:r w:rsidRPr="00632C9A">
        <w:rPr>
          <w:bCs/>
          <w:sz w:val="24"/>
          <w:szCs w:val="24"/>
        </w:rPr>
        <w:t>In addition, Section 15(1A)</w:t>
      </w:r>
      <w:r w:rsidR="00695349">
        <w:rPr>
          <w:rStyle w:val="FootnoteReference"/>
          <w:bCs/>
          <w:sz w:val="24"/>
          <w:szCs w:val="24"/>
        </w:rPr>
        <w:footnoteReference w:id="4"/>
      </w:r>
      <w:r w:rsidRPr="00632C9A">
        <w:rPr>
          <w:bCs/>
          <w:sz w:val="24"/>
          <w:szCs w:val="24"/>
        </w:rPr>
        <w:t xml:space="preserve"> of the Companies Act,</w:t>
      </w:r>
      <w:r w:rsidR="00695349">
        <w:rPr>
          <w:bCs/>
          <w:sz w:val="24"/>
          <w:szCs w:val="24"/>
        </w:rPr>
        <w:t xml:space="preserve"> introduced at the same time as Section 374 was amended,</w:t>
      </w:r>
      <w:r w:rsidRPr="00632C9A">
        <w:rPr>
          <w:bCs/>
          <w:sz w:val="24"/>
          <w:szCs w:val="24"/>
        </w:rPr>
        <w:t xml:space="preserve"> provides:</w:t>
      </w:r>
    </w:p>
    <w:p w14:paraId="1D0F3C7D" w14:textId="6C9051E3" w:rsidR="00996B9B" w:rsidRPr="009447E3" w:rsidRDefault="00996B9B" w:rsidP="009447E3">
      <w:pPr>
        <w:rPr>
          <w:bCs/>
          <w:sz w:val="22"/>
          <w:szCs w:val="22"/>
        </w:rPr>
      </w:pPr>
    </w:p>
    <w:p w14:paraId="77A2606E" w14:textId="77777777" w:rsidR="00996B9B" w:rsidRDefault="00996B9B" w:rsidP="00632C9A">
      <w:pPr>
        <w:pStyle w:val="ListParagraph"/>
        <w:rPr>
          <w:bCs/>
          <w:sz w:val="22"/>
          <w:szCs w:val="22"/>
        </w:rPr>
      </w:pPr>
    </w:p>
    <w:p w14:paraId="2D24452E" w14:textId="29D65AC9" w:rsidR="00632C9A" w:rsidRPr="00632C9A" w:rsidRDefault="00CE6C1E" w:rsidP="00632C9A">
      <w:pPr>
        <w:pStyle w:val="Body"/>
        <w:spacing w:line="360" w:lineRule="auto"/>
        <w:ind w:left="1843"/>
        <w:jc w:val="both"/>
        <w:rPr>
          <w:bCs/>
          <w:i/>
          <w:iCs/>
          <w:sz w:val="22"/>
          <w:szCs w:val="22"/>
        </w:rPr>
      </w:pPr>
      <w:r>
        <w:rPr>
          <w:bCs/>
          <w:i/>
          <w:iCs/>
          <w:sz w:val="22"/>
          <w:szCs w:val="22"/>
        </w:rPr>
        <w:t>“</w:t>
      </w:r>
      <w:r w:rsidR="00632C9A" w:rsidRPr="00632C9A">
        <w:rPr>
          <w:bCs/>
          <w:i/>
          <w:iCs/>
          <w:sz w:val="22"/>
          <w:szCs w:val="22"/>
        </w:rPr>
        <w:t>(1A) (a) The Minister may determine policy for the appointment of a provisional liquidator, co-liquidator, liquidator or provisional judicial manager by the Master in order to promote consistency, fairness, transparency and the achievement of equality for persons previously disadvantaged by unfair discrimination.</w:t>
      </w:r>
      <w:r>
        <w:rPr>
          <w:bCs/>
          <w:i/>
          <w:iCs/>
          <w:sz w:val="22"/>
          <w:szCs w:val="22"/>
        </w:rPr>
        <w:t>”</w:t>
      </w:r>
    </w:p>
    <w:p w14:paraId="57C7C8F7" w14:textId="77777777" w:rsidR="00CE6C1E" w:rsidRDefault="00CE6C1E" w:rsidP="00E0771B">
      <w:pPr>
        <w:pStyle w:val="ListParagraph"/>
        <w:rPr>
          <w:bCs/>
        </w:rPr>
      </w:pPr>
    </w:p>
    <w:p w14:paraId="19B95ACA" w14:textId="6029A161" w:rsidR="0021667B" w:rsidRPr="0021667B" w:rsidRDefault="0012310D" w:rsidP="00996B9B">
      <w:pPr>
        <w:pStyle w:val="Body"/>
        <w:numPr>
          <w:ilvl w:val="0"/>
          <w:numId w:val="13"/>
        </w:numPr>
        <w:spacing w:line="360" w:lineRule="auto"/>
        <w:ind w:left="851" w:hanging="851"/>
        <w:jc w:val="both"/>
        <w:rPr>
          <w:bCs/>
          <w:sz w:val="22"/>
          <w:szCs w:val="22"/>
        </w:rPr>
      </w:pPr>
      <w:r w:rsidRPr="0012310D">
        <w:rPr>
          <w:bCs/>
          <w:sz w:val="24"/>
          <w:szCs w:val="24"/>
        </w:rPr>
        <w:t>The applicants also argued that beside</w:t>
      </w:r>
      <w:r w:rsidR="001E7BDB">
        <w:rPr>
          <w:bCs/>
          <w:sz w:val="24"/>
          <w:szCs w:val="24"/>
        </w:rPr>
        <w:t>s the policy of the Minister, the directives of the Chief Master also inform</w:t>
      </w:r>
      <w:r w:rsidR="00EA79AD">
        <w:rPr>
          <w:bCs/>
          <w:sz w:val="24"/>
          <w:szCs w:val="24"/>
        </w:rPr>
        <w:t>ed</w:t>
      </w:r>
      <w:r w:rsidR="001E7BDB">
        <w:rPr>
          <w:bCs/>
          <w:sz w:val="24"/>
          <w:szCs w:val="24"/>
        </w:rPr>
        <w:t xml:space="preserve"> the Master’s exercise of discretion with regards to the appointment of provisional and additional co-liquidators.  </w:t>
      </w:r>
      <w:r w:rsidR="0021667B">
        <w:rPr>
          <w:bCs/>
          <w:sz w:val="24"/>
          <w:szCs w:val="24"/>
        </w:rPr>
        <w:t>It was argued that the</w:t>
      </w:r>
      <w:r w:rsidR="00CC02A7">
        <w:rPr>
          <w:bCs/>
          <w:sz w:val="24"/>
          <w:szCs w:val="24"/>
        </w:rPr>
        <w:t xml:space="preserve"> exercise of the discretion</w:t>
      </w:r>
      <w:r w:rsidR="0021667B">
        <w:rPr>
          <w:bCs/>
          <w:sz w:val="24"/>
          <w:szCs w:val="24"/>
        </w:rPr>
        <w:t>, without regard to either the policy or the directives, would render the exercise of that discretion and any appointment made in its exercise unlawful and liable to be set aside</w:t>
      </w:r>
      <w:r w:rsidR="0021667B">
        <w:rPr>
          <w:rStyle w:val="FootnoteReference"/>
          <w:bCs/>
          <w:sz w:val="24"/>
          <w:szCs w:val="24"/>
        </w:rPr>
        <w:footnoteReference w:id="5"/>
      </w:r>
      <w:r w:rsidR="0021667B">
        <w:rPr>
          <w:bCs/>
          <w:sz w:val="24"/>
          <w:szCs w:val="24"/>
        </w:rPr>
        <w:t xml:space="preserve">.  </w:t>
      </w:r>
    </w:p>
    <w:p w14:paraId="0FE7EEC6" w14:textId="77777777" w:rsidR="0021667B" w:rsidRPr="00D96192" w:rsidRDefault="0021667B" w:rsidP="00996B9B">
      <w:pPr>
        <w:pStyle w:val="ListParagraph"/>
        <w:ind w:left="851" w:hanging="851"/>
        <w:rPr>
          <w:bCs/>
        </w:rPr>
      </w:pPr>
    </w:p>
    <w:p w14:paraId="346132D5" w14:textId="43B3050E" w:rsidR="0021667B" w:rsidRPr="003F6889" w:rsidRDefault="00D96192" w:rsidP="00996B9B">
      <w:pPr>
        <w:pStyle w:val="Body"/>
        <w:numPr>
          <w:ilvl w:val="0"/>
          <w:numId w:val="13"/>
        </w:numPr>
        <w:spacing w:line="360" w:lineRule="auto"/>
        <w:ind w:left="851" w:hanging="851"/>
        <w:jc w:val="both"/>
        <w:rPr>
          <w:bCs/>
          <w:sz w:val="24"/>
          <w:szCs w:val="24"/>
        </w:rPr>
      </w:pPr>
      <w:r>
        <w:rPr>
          <w:bCs/>
          <w:sz w:val="24"/>
          <w:szCs w:val="24"/>
        </w:rPr>
        <w:t>Although the present construction of Section 374 became effective on 9 July 2004, it was only</w:t>
      </w:r>
      <w:r w:rsidR="00315722">
        <w:rPr>
          <w:bCs/>
          <w:sz w:val="24"/>
          <w:szCs w:val="24"/>
        </w:rPr>
        <w:t xml:space="preserve"> on </w:t>
      </w:r>
      <w:r w:rsidR="00D674DC">
        <w:rPr>
          <w:bCs/>
          <w:sz w:val="24"/>
          <w:szCs w:val="24"/>
        </w:rPr>
        <w:t xml:space="preserve">31 March </w:t>
      </w:r>
      <w:r w:rsidR="00315722">
        <w:rPr>
          <w:bCs/>
          <w:sz w:val="24"/>
          <w:szCs w:val="24"/>
        </w:rPr>
        <w:t>2014</w:t>
      </w:r>
      <w:r w:rsidR="00315722">
        <w:rPr>
          <w:rStyle w:val="FootnoteReference"/>
          <w:bCs/>
          <w:sz w:val="24"/>
          <w:szCs w:val="24"/>
        </w:rPr>
        <w:footnoteReference w:id="6"/>
      </w:r>
      <w:r w:rsidRPr="00D96192">
        <w:rPr>
          <w:bCs/>
          <w:sz w:val="24"/>
          <w:szCs w:val="24"/>
        </w:rPr>
        <w:t xml:space="preserve"> </w:t>
      </w:r>
      <w:r w:rsidR="00315722">
        <w:rPr>
          <w:bCs/>
          <w:sz w:val="24"/>
          <w:szCs w:val="24"/>
        </w:rPr>
        <w:t xml:space="preserve">that the policy referred to in Section 374 was </w:t>
      </w:r>
      <w:proofErr w:type="spellStart"/>
      <w:r w:rsidR="00CE6C1E">
        <w:rPr>
          <w:bCs/>
          <w:sz w:val="24"/>
          <w:szCs w:val="24"/>
        </w:rPr>
        <w:t>gazetted</w:t>
      </w:r>
      <w:proofErr w:type="spellEnd"/>
      <w:r w:rsidR="00315722">
        <w:rPr>
          <w:bCs/>
          <w:sz w:val="24"/>
          <w:szCs w:val="24"/>
        </w:rPr>
        <w:t>.  The life of the policy was a short one.</w:t>
      </w:r>
      <w:r w:rsidR="00640A01">
        <w:rPr>
          <w:bCs/>
          <w:sz w:val="24"/>
          <w:szCs w:val="24"/>
        </w:rPr>
        <w:t xml:space="preserve"> The policy was successfully challenged in the Western Cape High Court and set aside</w:t>
      </w:r>
      <w:r w:rsidR="00422311">
        <w:rPr>
          <w:bCs/>
          <w:sz w:val="24"/>
          <w:szCs w:val="24"/>
        </w:rPr>
        <w:t xml:space="preserve"> on 13 January 2015</w:t>
      </w:r>
      <w:r w:rsidR="00640A01">
        <w:rPr>
          <w:rStyle w:val="FootnoteReference"/>
          <w:bCs/>
          <w:sz w:val="24"/>
          <w:szCs w:val="24"/>
        </w:rPr>
        <w:footnoteReference w:id="7"/>
      </w:r>
      <w:r w:rsidR="00640A01">
        <w:rPr>
          <w:bCs/>
          <w:sz w:val="24"/>
          <w:szCs w:val="24"/>
        </w:rPr>
        <w:t>.</w:t>
      </w:r>
      <w:r w:rsidR="00422311">
        <w:rPr>
          <w:bCs/>
          <w:sz w:val="24"/>
          <w:szCs w:val="24"/>
        </w:rPr>
        <w:t xml:space="preserve"> This decision to set the policy aside was then taken on appeal to the Supreme Court of Appeal which confirmed the</w:t>
      </w:r>
      <w:r w:rsidR="00950A27">
        <w:rPr>
          <w:bCs/>
          <w:sz w:val="24"/>
          <w:szCs w:val="24"/>
        </w:rPr>
        <w:t xml:space="preserve"> order of the High Court on 2 December 2016</w:t>
      </w:r>
      <w:r w:rsidR="00422311">
        <w:rPr>
          <w:rStyle w:val="FootnoteReference"/>
          <w:bCs/>
          <w:sz w:val="24"/>
          <w:szCs w:val="24"/>
        </w:rPr>
        <w:footnoteReference w:id="8"/>
      </w:r>
      <w:r w:rsidR="005A26A9">
        <w:rPr>
          <w:bCs/>
          <w:sz w:val="24"/>
          <w:szCs w:val="24"/>
        </w:rPr>
        <w:t xml:space="preserve"> and the</w:t>
      </w:r>
      <w:r w:rsidR="00315722">
        <w:rPr>
          <w:bCs/>
          <w:sz w:val="24"/>
          <w:szCs w:val="24"/>
        </w:rPr>
        <w:t xml:space="preserve"> Constitutional Court</w:t>
      </w:r>
      <w:r w:rsidR="00315722">
        <w:rPr>
          <w:rStyle w:val="FootnoteReference"/>
          <w:bCs/>
          <w:sz w:val="24"/>
          <w:szCs w:val="24"/>
        </w:rPr>
        <w:footnoteReference w:id="9"/>
      </w:r>
      <w:r w:rsidR="005A26A9">
        <w:rPr>
          <w:bCs/>
          <w:sz w:val="24"/>
          <w:szCs w:val="24"/>
        </w:rPr>
        <w:t xml:space="preserve"> did likewise</w:t>
      </w:r>
      <w:r w:rsidR="003F6889">
        <w:rPr>
          <w:bCs/>
          <w:sz w:val="24"/>
          <w:szCs w:val="24"/>
        </w:rPr>
        <w:t xml:space="preserve"> </w:t>
      </w:r>
      <w:r w:rsidR="00315722" w:rsidRPr="003F6889">
        <w:rPr>
          <w:bCs/>
          <w:sz w:val="24"/>
          <w:szCs w:val="24"/>
        </w:rPr>
        <w:t>on</w:t>
      </w:r>
      <w:r w:rsidR="005A26A9">
        <w:rPr>
          <w:bCs/>
          <w:sz w:val="24"/>
          <w:szCs w:val="24"/>
        </w:rPr>
        <w:t xml:space="preserve"> 5 July 2018.</w:t>
      </w:r>
    </w:p>
    <w:p w14:paraId="76DCA77C" w14:textId="77777777" w:rsidR="0021667B" w:rsidRDefault="0021667B" w:rsidP="00996B9B">
      <w:pPr>
        <w:pStyle w:val="ListParagraph"/>
        <w:ind w:left="851" w:hanging="851"/>
        <w:rPr>
          <w:bCs/>
        </w:rPr>
      </w:pPr>
    </w:p>
    <w:p w14:paraId="3B30C2E5" w14:textId="37F5B9F3" w:rsidR="00996B9B" w:rsidRPr="009447E3" w:rsidRDefault="003F6889" w:rsidP="009447E3">
      <w:pPr>
        <w:pStyle w:val="Body"/>
        <w:numPr>
          <w:ilvl w:val="0"/>
          <w:numId w:val="13"/>
        </w:numPr>
        <w:spacing w:line="360" w:lineRule="auto"/>
        <w:ind w:left="851" w:hanging="851"/>
        <w:jc w:val="both"/>
        <w:rPr>
          <w:bCs/>
          <w:sz w:val="24"/>
          <w:szCs w:val="24"/>
        </w:rPr>
      </w:pPr>
      <w:r w:rsidRPr="003F6889">
        <w:rPr>
          <w:bCs/>
          <w:sz w:val="24"/>
          <w:szCs w:val="24"/>
        </w:rPr>
        <w:t xml:space="preserve">So, </w:t>
      </w:r>
      <w:r w:rsidR="00AF7DAD">
        <w:rPr>
          <w:bCs/>
          <w:sz w:val="24"/>
          <w:szCs w:val="24"/>
        </w:rPr>
        <w:t>despite</w:t>
      </w:r>
      <w:r w:rsidRPr="003F6889">
        <w:rPr>
          <w:bCs/>
          <w:sz w:val="24"/>
          <w:szCs w:val="24"/>
        </w:rPr>
        <w:t xml:space="preserve"> the amendment of </w:t>
      </w:r>
      <w:r w:rsidR="00040A97">
        <w:rPr>
          <w:bCs/>
          <w:sz w:val="24"/>
          <w:szCs w:val="24"/>
        </w:rPr>
        <w:t>s</w:t>
      </w:r>
      <w:r w:rsidRPr="003F6889">
        <w:rPr>
          <w:bCs/>
          <w:sz w:val="24"/>
          <w:szCs w:val="24"/>
        </w:rPr>
        <w:t xml:space="preserve">ection </w:t>
      </w:r>
      <w:r w:rsidR="00040A97" w:rsidRPr="003F6889">
        <w:rPr>
          <w:bCs/>
          <w:sz w:val="24"/>
          <w:szCs w:val="24"/>
        </w:rPr>
        <w:t>374</w:t>
      </w:r>
      <w:r w:rsidR="00040A97">
        <w:rPr>
          <w:bCs/>
          <w:sz w:val="24"/>
          <w:szCs w:val="24"/>
        </w:rPr>
        <w:t xml:space="preserve"> </w:t>
      </w:r>
      <w:r w:rsidR="00040A97" w:rsidRPr="003F6889">
        <w:rPr>
          <w:bCs/>
          <w:sz w:val="24"/>
          <w:szCs w:val="24"/>
        </w:rPr>
        <w:t>to</w:t>
      </w:r>
      <w:r w:rsidRPr="003F6889">
        <w:rPr>
          <w:bCs/>
          <w:sz w:val="24"/>
          <w:szCs w:val="24"/>
        </w:rPr>
        <w:t xml:space="preserve"> provide for the consideration of a policy, there is no extant policy and there has not been a</w:t>
      </w:r>
      <w:r w:rsidR="00564F62">
        <w:rPr>
          <w:bCs/>
          <w:sz w:val="24"/>
          <w:szCs w:val="24"/>
        </w:rPr>
        <w:t>ny</w:t>
      </w:r>
      <w:r w:rsidRPr="003F6889">
        <w:rPr>
          <w:bCs/>
          <w:sz w:val="24"/>
          <w:szCs w:val="24"/>
        </w:rPr>
        <w:t xml:space="preserve"> lawful policy that </w:t>
      </w:r>
      <w:r w:rsidR="005A26A9">
        <w:rPr>
          <w:bCs/>
          <w:sz w:val="24"/>
          <w:szCs w:val="24"/>
        </w:rPr>
        <w:t>is</w:t>
      </w:r>
      <w:r w:rsidR="00564F62">
        <w:rPr>
          <w:bCs/>
          <w:sz w:val="24"/>
          <w:szCs w:val="24"/>
        </w:rPr>
        <w:t xml:space="preserve"> implementable</w:t>
      </w:r>
      <w:r w:rsidR="005A26A9">
        <w:rPr>
          <w:bCs/>
          <w:sz w:val="24"/>
          <w:szCs w:val="24"/>
        </w:rPr>
        <w:t xml:space="preserve"> </w:t>
      </w:r>
      <w:r w:rsidRPr="003F6889">
        <w:rPr>
          <w:bCs/>
          <w:sz w:val="24"/>
          <w:szCs w:val="24"/>
        </w:rPr>
        <w:t>for almost 20 years.</w:t>
      </w:r>
    </w:p>
    <w:p w14:paraId="3257129B" w14:textId="77777777" w:rsidR="00996B9B" w:rsidRDefault="00996B9B" w:rsidP="003F6889">
      <w:pPr>
        <w:pStyle w:val="ListParagraph"/>
        <w:rPr>
          <w:bCs/>
        </w:rPr>
      </w:pPr>
    </w:p>
    <w:p w14:paraId="4A5E9EE9" w14:textId="68EB5E5D" w:rsidR="00AF7DAD" w:rsidRDefault="003F6889" w:rsidP="00996B9B">
      <w:pPr>
        <w:pStyle w:val="Body"/>
        <w:numPr>
          <w:ilvl w:val="0"/>
          <w:numId w:val="13"/>
        </w:numPr>
        <w:spacing w:line="360" w:lineRule="auto"/>
        <w:ind w:left="851" w:hanging="851"/>
        <w:jc w:val="both"/>
        <w:rPr>
          <w:bCs/>
          <w:sz w:val="24"/>
          <w:szCs w:val="24"/>
        </w:rPr>
      </w:pPr>
      <w:r>
        <w:rPr>
          <w:bCs/>
          <w:sz w:val="24"/>
          <w:szCs w:val="24"/>
        </w:rPr>
        <w:t xml:space="preserve">It was argued for the </w:t>
      </w:r>
      <w:r w:rsidR="00AF7DAD">
        <w:rPr>
          <w:bCs/>
          <w:sz w:val="24"/>
          <w:szCs w:val="24"/>
        </w:rPr>
        <w:t>respondents, that if it were to be found that in the absence of a policy, the Master was unable to exercise his discretion and make any discretionary appointments</w:t>
      </w:r>
      <w:r w:rsidR="001A4DD3">
        <w:rPr>
          <w:bCs/>
          <w:sz w:val="24"/>
          <w:szCs w:val="24"/>
        </w:rPr>
        <w:t xml:space="preserve"> of co-liquidators</w:t>
      </w:r>
      <w:r w:rsidR="00AF7DAD">
        <w:rPr>
          <w:bCs/>
          <w:sz w:val="24"/>
          <w:szCs w:val="24"/>
        </w:rPr>
        <w:t>, then this would mean that not only would the appointment of the second and third respondents be impeachable, but also the appointment of the</w:t>
      </w:r>
      <w:r w:rsidR="001A4DD3">
        <w:rPr>
          <w:bCs/>
          <w:sz w:val="24"/>
          <w:szCs w:val="24"/>
        </w:rPr>
        <w:t xml:space="preserve"> </w:t>
      </w:r>
      <w:r w:rsidR="00AF7DAD">
        <w:rPr>
          <w:bCs/>
          <w:sz w:val="24"/>
          <w:szCs w:val="24"/>
        </w:rPr>
        <w:t xml:space="preserve">second and third applicants, who had all been appointed by the Master in the exercise of his discretion as provisional liquidators – before the first meeting of creditors. </w:t>
      </w:r>
    </w:p>
    <w:p w14:paraId="3A522076" w14:textId="77777777" w:rsidR="009447E3" w:rsidRDefault="009447E3" w:rsidP="009447E3">
      <w:pPr>
        <w:pStyle w:val="ListParagraph"/>
        <w:rPr>
          <w:bCs/>
        </w:rPr>
      </w:pPr>
    </w:p>
    <w:p w14:paraId="289013BE" w14:textId="77777777" w:rsidR="009447E3" w:rsidRDefault="009447E3" w:rsidP="009447E3">
      <w:pPr>
        <w:pStyle w:val="Body"/>
        <w:spacing w:line="360" w:lineRule="auto"/>
        <w:ind w:left="851"/>
        <w:jc w:val="both"/>
        <w:rPr>
          <w:bCs/>
          <w:sz w:val="24"/>
          <w:szCs w:val="24"/>
        </w:rPr>
      </w:pPr>
    </w:p>
    <w:p w14:paraId="2B032F95" w14:textId="77777777" w:rsidR="00AF7DAD" w:rsidRDefault="00AF7DAD" w:rsidP="00996B9B">
      <w:pPr>
        <w:pStyle w:val="ListParagraph"/>
        <w:ind w:left="851" w:hanging="851"/>
        <w:rPr>
          <w:bCs/>
        </w:rPr>
      </w:pPr>
    </w:p>
    <w:p w14:paraId="78E74AE3" w14:textId="50453697" w:rsidR="003F6889" w:rsidRDefault="00564F62" w:rsidP="00996B9B">
      <w:pPr>
        <w:pStyle w:val="Body"/>
        <w:numPr>
          <w:ilvl w:val="0"/>
          <w:numId w:val="13"/>
        </w:numPr>
        <w:spacing w:line="360" w:lineRule="auto"/>
        <w:ind w:left="851" w:hanging="851"/>
        <w:jc w:val="both"/>
        <w:rPr>
          <w:bCs/>
          <w:sz w:val="24"/>
          <w:szCs w:val="24"/>
        </w:rPr>
      </w:pPr>
      <w:r>
        <w:rPr>
          <w:bCs/>
          <w:sz w:val="24"/>
          <w:szCs w:val="24"/>
        </w:rPr>
        <w:t>Furthermore,</w:t>
      </w:r>
      <w:r w:rsidR="001A4DD3">
        <w:rPr>
          <w:bCs/>
          <w:sz w:val="24"/>
          <w:szCs w:val="24"/>
        </w:rPr>
        <w:t xml:space="preserve"> </w:t>
      </w:r>
      <w:r>
        <w:rPr>
          <w:bCs/>
          <w:sz w:val="24"/>
          <w:szCs w:val="24"/>
        </w:rPr>
        <w:t>s</w:t>
      </w:r>
      <w:r w:rsidR="001A4DD3">
        <w:rPr>
          <w:bCs/>
          <w:sz w:val="24"/>
          <w:szCs w:val="24"/>
        </w:rPr>
        <w:t>ection 3</w:t>
      </w:r>
      <w:r w:rsidR="002122DA">
        <w:rPr>
          <w:bCs/>
          <w:sz w:val="24"/>
          <w:szCs w:val="24"/>
        </w:rPr>
        <w:t>68</w:t>
      </w:r>
      <w:r w:rsidR="00E10EE6">
        <w:rPr>
          <w:rStyle w:val="FootnoteReference"/>
          <w:bCs/>
          <w:sz w:val="24"/>
          <w:szCs w:val="24"/>
        </w:rPr>
        <w:footnoteReference w:id="10"/>
      </w:r>
      <w:r w:rsidR="00E10EE6">
        <w:rPr>
          <w:bCs/>
          <w:sz w:val="24"/>
          <w:szCs w:val="24"/>
        </w:rPr>
        <w:t xml:space="preserve"> amended at the same time as section 374,</w:t>
      </w:r>
      <w:r w:rsidR="001A4DD3">
        <w:rPr>
          <w:bCs/>
          <w:sz w:val="24"/>
          <w:szCs w:val="24"/>
        </w:rPr>
        <w:t xml:space="preserve"> </w:t>
      </w:r>
      <w:r w:rsidR="00315C11">
        <w:rPr>
          <w:bCs/>
          <w:sz w:val="24"/>
          <w:szCs w:val="24"/>
        </w:rPr>
        <w:t xml:space="preserve">which relates to the appointment of provisional liquidators, </w:t>
      </w:r>
      <w:r w:rsidR="001A4DD3">
        <w:rPr>
          <w:bCs/>
          <w:sz w:val="24"/>
          <w:szCs w:val="24"/>
        </w:rPr>
        <w:t>provides:</w:t>
      </w:r>
    </w:p>
    <w:p w14:paraId="060797F9" w14:textId="77777777" w:rsidR="001A4DD3" w:rsidRDefault="001A4DD3" w:rsidP="001A4DD3">
      <w:pPr>
        <w:pStyle w:val="ListParagraph"/>
        <w:rPr>
          <w:bCs/>
        </w:rPr>
      </w:pPr>
    </w:p>
    <w:p w14:paraId="1D84ADAD" w14:textId="40E38022" w:rsidR="001A4DD3" w:rsidRPr="001A4DD3" w:rsidRDefault="001A4DD3" w:rsidP="001A4DD3">
      <w:pPr>
        <w:pStyle w:val="Body"/>
        <w:spacing w:line="360" w:lineRule="auto"/>
        <w:ind w:left="1440"/>
        <w:jc w:val="both"/>
        <w:rPr>
          <w:bCs/>
          <w:i/>
          <w:iCs/>
          <w:sz w:val="22"/>
          <w:szCs w:val="22"/>
        </w:rPr>
      </w:pPr>
      <w:r w:rsidRPr="001A4DD3">
        <w:rPr>
          <w:bCs/>
          <w:i/>
          <w:iCs/>
          <w:sz w:val="22"/>
          <w:szCs w:val="22"/>
        </w:rPr>
        <w:t>“As soon as a winding-up order has been made in relation to a company, or a special resolution for a voluntary winding-up of a company has been registered in terms of section 200, the Master may, in accordance with policy determined by the Minister, appoint any person suitable as provisional liquidator of the company concerned, who shall give security to the satisfaction of the Master for the proper performance of his or her duties as provisional liquidator and who shall hold office until the appointment of a liquidator.”</w:t>
      </w:r>
    </w:p>
    <w:p w14:paraId="2C196C93" w14:textId="77777777" w:rsidR="003F6889" w:rsidRDefault="003F6889" w:rsidP="003F6889">
      <w:pPr>
        <w:pStyle w:val="ListParagraph"/>
        <w:rPr>
          <w:bCs/>
          <w:sz w:val="22"/>
          <w:szCs w:val="22"/>
        </w:rPr>
      </w:pPr>
    </w:p>
    <w:p w14:paraId="267AB4F4" w14:textId="69A4241E" w:rsidR="00315C11" w:rsidRDefault="00315C11" w:rsidP="00996B9B">
      <w:pPr>
        <w:pStyle w:val="Body"/>
        <w:numPr>
          <w:ilvl w:val="0"/>
          <w:numId w:val="13"/>
        </w:numPr>
        <w:spacing w:line="360" w:lineRule="auto"/>
        <w:ind w:left="851" w:hanging="851"/>
        <w:jc w:val="both"/>
        <w:rPr>
          <w:bCs/>
          <w:sz w:val="24"/>
          <w:szCs w:val="24"/>
        </w:rPr>
      </w:pPr>
      <w:r w:rsidRPr="00315C11">
        <w:rPr>
          <w:bCs/>
          <w:sz w:val="24"/>
          <w:szCs w:val="24"/>
        </w:rPr>
        <w:t xml:space="preserve">It is readily apparent that </w:t>
      </w:r>
      <w:r w:rsidR="00564F62">
        <w:rPr>
          <w:bCs/>
          <w:sz w:val="24"/>
          <w:szCs w:val="24"/>
        </w:rPr>
        <w:t xml:space="preserve">both sections 374 and </w:t>
      </w:r>
      <w:r w:rsidR="009E4B4F">
        <w:rPr>
          <w:bCs/>
          <w:sz w:val="24"/>
          <w:szCs w:val="24"/>
        </w:rPr>
        <w:t>368 require</w:t>
      </w:r>
      <w:r w:rsidR="0018645D">
        <w:rPr>
          <w:bCs/>
          <w:sz w:val="24"/>
          <w:szCs w:val="24"/>
        </w:rPr>
        <w:t xml:space="preserve"> that the discretion of the Master in regard to appointments</w:t>
      </w:r>
      <w:r w:rsidR="002122DA">
        <w:rPr>
          <w:bCs/>
          <w:sz w:val="24"/>
          <w:szCs w:val="24"/>
        </w:rPr>
        <w:t>,</w:t>
      </w:r>
      <w:r w:rsidR="0018645D">
        <w:rPr>
          <w:bCs/>
          <w:sz w:val="24"/>
          <w:szCs w:val="24"/>
        </w:rPr>
        <w:t xml:space="preserve"> is to be exercised in accordance with the same policy. I</w:t>
      </w:r>
      <w:r w:rsidRPr="00315C11">
        <w:rPr>
          <w:bCs/>
          <w:sz w:val="24"/>
          <w:szCs w:val="24"/>
        </w:rPr>
        <w:t xml:space="preserve">f the argument advanced for the applicants is sustainable, then the Master has no discretion, absent an extant policy, to appoint anyone as </w:t>
      </w:r>
      <w:r w:rsidR="0018645D">
        <w:rPr>
          <w:bCs/>
          <w:sz w:val="24"/>
          <w:szCs w:val="24"/>
        </w:rPr>
        <w:t xml:space="preserve">either </w:t>
      </w:r>
      <w:r w:rsidRPr="00315C11">
        <w:rPr>
          <w:bCs/>
          <w:sz w:val="24"/>
          <w:szCs w:val="24"/>
        </w:rPr>
        <w:t>a provisional liquidator</w:t>
      </w:r>
      <w:r w:rsidR="0018645D">
        <w:rPr>
          <w:bCs/>
          <w:sz w:val="24"/>
          <w:szCs w:val="24"/>
        </w:rPr>
        <w:t xml:space="preserve"> or as a co-liquidator</w:t>
      </w:r>
      <w:r w:rsidRPr="00315C11">
        <w:rPr>
          <w:bCs/>
          <w:sz w:val="24"/>
          <w:szCs w:val="24"/>
        </w:rPr>
        <w:t xml:space="preserve">.  If this is indeed the position, the consequences for the administration of justice, the </w:t>
      </w:r>
      <w:r w:rsidR="0018645D">
        <w:rPr>
          <w:bCs/>
          <w:sz w:val="24"/>
          <w:szCs w:val="24"/>
        </w:rPr>
        <w:t>M</w:t>
      </w:r>
      <w:r w:rsidR="0018645D" w:rsidRPr="00315C11">
        <w:rPr>
          <w:bCs/>
          <w:sz w:val="24"/>
          <w:szCs w:val="24"/>
        </w:rPr>
        <w:t>aster’s</w:t>
      </w:r>
      <w:r w:rsidRPr="00315C11">
        <w:rPr>
          <w:bCs/>
          <w:sz w:val="24"/>
          <w:szCs w:val="24"/>
        </w:rPr>
        <w:t xml:space="preserve"> office as well as for insolvency practitioners, (including the applicants and second and third respondents) would be </w:t>
      </w:r>
      <w:r>
        <w:rPr>
          <w:bCs/>
          <w:sz w:val="24"/>
          <w:szCs w:val="24"/>
        </w:rPr>
        <w:t>dire</w:t>
      </w:r>
      <w:r w:rsidR="0018645D">
        <w:rPr>
          <w:bCs/>
          <w:sz w:val="24"/>
          <w:szCs w:val="24"/>
        </w:rPr>
        <w:t xml:space="preserve"> – no appointment of any provisional liquidator can be made or </w:t>
      </w:r>
      <w:r w:rsidR="000C6FBE">
        <w:rPr>
          <w:bCs/>
          <w:sz w:val="24"/>
          <w:szCs w:val="24"/>
        </w:rPr>
        <w:t xml:space="preserve">of </w:t>
      </w:r>
      <w:r w:rsidR="0018645D">
        <w:rPr>
          <w:bCs/>
          <w:sz w:val="24"/>
          <w:szCs w:val="24"/>
        </w:rPr>
        <w:t>any co-liquidators.</w:t>
      </w:r>
    </w:p>
    <w:p w14:paraId="6597F514" w14:textId="77777777" w:rsidR="00315C11" w:rsidRDefault="00315C11" w:rsidP="00996B9B">
      <w:pPr>
        <w:pStyle w:val="Body"/>
        <w:spacing w:line="360" w:lineRule="auto"/>
        <w:ind w:left="851" w:hanging="851"/>
        <w:jc w:val="both"/>
        <w:rPr>
          <w:bCs/>
          <w:sz w:val="24"/>
          <w:szCs w:val="24"/>
        </w:rPr>
      </w:pPr>
    </w:p>
    <w:p w14:paraId="49C969C2" w14:textId="395A893E" w:rsidR="00315C11" w:rsidRDefault="003C53F6" w:rsidP="00996B9B">
      <w:pPr>
        <w:pStyle w:val="Body"/>
        <w:numPr>
          <w:ilvl w:val="0"/>
          <w:numId w:val="13"/>
        </w:numPr>
        <w:spacing w:line="360" w:lineRule="auto"/>
        <w:ind w:left="851" w:hanging="851"/>
        <w:jc w:val="both"/>
        <w:rPr>
          <w:bCs/>
          <w:sz w:val="24"/>
          <w:szCs w:val="24"/>
        </w:rPr>
      </w:pPr>
      <w:r>
        <w:rPr>
          <w:bCs/>
          <w:sz w:val="24"/>
          <w:szCs w:val="24"/>
        </w:rPr>
        <w:t>Two issues arise – firstly, a</w:t>
      </w:r>
      <w:r w:rsidR="00315C11">
        <w:rPr>
          <w:bCs/>
          <w:sz w:val="24"/>
          <w:szCs w:val="24"/>
        </w:rPr>
        <w:t>re Sections 374 and 3</w:t>
      </w:r>
      <w:r>
        <w:rPr>
          <w:bCs/>
          <w:sz w:val="24"/>
          <w:szCs w:val="24"/>
        </w:rPr>
        <w:t>68</w:t>
      </w:r>
      <w:r w:rsidR="00315C11">
        <w:rPr>
          <w:bCs/>
          <w:sz w:val="24"/>
          <w:szCs w:val="24"/>
        </w:rPr>
        <w:t xml:space="preserve"> of the Companies Act, in their present construction and properly construed, capable of interpretation</w:t>
      </w:r>
      <w:r w:rsidR="00315C11" w:rsidRPr="00315C11">
        <w:rPr>
          <w:bCs/>
          <w:sz w:val="24"/>
          <w:szCs w:val="24"/>
        </w:rPr>
        <w:t xml:space="preserve"> </w:t>
      </w:r>
      <w:r w:rsidR="00315C11">
        <w:rPr>
          <w:bCs/>
          <w:sz w:val="24"/>
          <w:szCs w:val="24"/>
        </w:rPr>
        <w:t>consistent with the purpose for which they were legislated</w:t>
      </w:r>
      <w:r>
        <w:rPr>
          <w:bCs/>
          <w:sz w:val="24"/>
          <w:szCs w:val="24"/>
        </w:rPr>
        <w:t>? Secondly, if so, are they</w:t>
      </w:r>
      <w:r w:rsidR="0018645D">
        <w:rPr>
          <w:bCs/>
          <w:sz w:val="24"/>
          <w:szCs w:val="24"/>
        </w:rPr>
        <w:t xml:space="preserve"> operable</w:t>
      </w:r>
      <w:r w:rsidR="00DB40AE">
        <w:rPr>
          <w:bCs/>
          <w:sz w:val="24"/>
          <w:szCs w:val="24"/>
        </w:rPr>
        <w:t xml:space="preserve">, </w:t>
      </w:r>
      <w:r w:rsidR="0018645D">
        <w:rPr>
          <w:bCs/>
          <w:sz w:val="24"/>
          <w:szCs w:val="24"/>
        </w:rPr>
        <w:t>notwithstanding that the policy in accordance with which the appointments made in terms of those sections</w:t>
      </w:r>
      <w:r>
        <w:rPr>
          <w:bCs/>
          <w:sz w:val="24"/>
          <w:szCs w:val="24"/>
        </w:rPr>
        <w:t xml:space="preserve"> is not in existence?</w:t>
      </w:r>
    </w:p>
    <w:p w14:paraId="60E88445" w14:textId="77777777" w:rsidR="000838A0" w:rsidRPr="00DB40AE" w:rsidRDefault="000838A0" w:rsidP="00DB40AE">
      <w:pPr>
        <w:rPr>
          <w:rFonts w:eastAsia="Times New Roman" w:cs="Arial"/>
          <w:lang w:val="en-ZA" w:eastAsia="en-GB"/>
        </w:rPr>
      </w:pPr>
    </w:p>
    <w:p w14:paraId="285E6D0E" w14:textId="77777777" w:rsidR="000838A0" w:rsidRPr="00CE6C1E" w:rsidRDefault="000838A0" w:rsidP="000838A0">
      <w:pPr>
        <w:pStyle w:val="ListParagraph"/>
        <w:rPr>
          <w:rFonts w:eastAsia="Times New Roman" w:cs="Arial"/>
          <w:lang w:val="en-ZA" w:eastAsia="en-GB"/>
        </w:rPr>
      </w:pPr>
    </w:p>
    <w:p w14:paraId="52264564" w14:textId="77777777" w:rsidR="00F113FD" w:rsidRPr="00F113FD" w:rsidRDefault="00F113FD" w:rsidP="00F113FD">
      <w:pPr>
        <w:pStyle w:val="ListParagraph"/>
        <w:rPr>
          <w:rFonts w:ascii="Arial" w:eastAsia="Times New Roman" w:hAnsi="Arial" w:cs="Arial"/>
          <w:lang w:val="en-ZA" w:eastAsia="en-GB"/>
        </w:rPr>
      </w:pPr>
    </w:p>
    <w:p w14:paraId="5A58DEEA" w14:textId="0EC2ADB2" w:rsidR="000C13AB" w:rsidRPr="000C13AB" w:rsidRDefault="00127B1A" w:rsidP="00996B9B">
      <w:pPr>
        <w:pStyle w:val="Body"/>
        <w:numPr>
          <w:ilvl w:val="0"/>
          <w:numId w:val="13"/>
        </w:numPr>
        <w:spacing w:line="360" w:lineRule="auto"/>
        <w:ind w:left="851" w:hanging="851"/>
        <w:jc w:val="both"/>
        <w:rPr>
          <w:rFonts w:cs="Arial"/>
          <w:bCs/>
          <w:sz w:val="24"/>
          <w:szCs w:val="24"/>
        </w:rPr>
      </w:pPr>
      <w:r w:rsidRPr="00CE6C1E">
        <w:rPr>
          <w:rFonts w:eastAsia="Times New Roman" w:cs="Arial"/>
          <w:sz w:val="24"/>
          <w:szCs w:val="24"/>
          <w:lang w:val="en-ZA" w:eastAsia="en-GB"/>
        </w:rPr>
        <w:lastRenderedPageBreak/>
        <w:t> </w:t>
      </w:r>
      <w:r w:rsidR="000C13AB">
        <w:rPr>
          <w:rFonts w:eastAsia="Times New Roman" w:cs="Arial"/>
          <w:sz w:val="24"/>
          <w:szCs w:val="24"/>
          <w:lang w:val="en-ZA" w:eastAsia="en-GB"/>
        </w:rPr>
        <w:t>The test to be applied in the interpretation of statutory provisions such as in the present instance and confirmed by the Constitutional Court in Minister of Police v Fidelity Security Services (Pty) Ltd</w:t>
      </w:r>
      <w:r w:rsidR="000C13AB">
        <w:rPr>
          <w:rStyle w:val="FootnoteReference"/>
          <w:rFonts w:eastAsia="Times New Roman" w:cs="Arial"/>
          <w:sz w:val="24"/>
          <w:szCs w:val="24"/>
          <w:lang w:val="en-ZA" w:eastAsia="en-GB"/>
        </w:rPr>
        <w:footnoteReference w:id="11"/>
      </w:r>
      <w:r w:rsidR="000C13AB">
        <w:rPr>
          <w:rFonts w:eastAsia="Times New Roman" w:cs="Arial"/>
          <w:sz w:val="24"/>
          <w:szCs w:val="24"/>
          <w:lang w:val="en-ZA" w:eastAsia="en-GB"/>
        </w:rPr>
        <w:t xml:space="preserve"> is as follows:</w:t>
      </w:r>
    </w:p>
    <w:p w14:paraId="562E4018" w14:textId="475DBC4C" w:rsidR="000C13AB" w:rsidRDefault="000C13AB" w:rsidP="000C13AB">
      <w:pPr>
        <w:pStyle w:val="Body"/>
        <w:spacing w:line="360" w:lineRule="auto"/>
        <w:jc w:val="both"/>
        <w:rPr>
          <w:rFonts w:eastAsia="Times New Roman" w:cs="Arial"/>
          <w:sz w:val="24"/>
          <w:szCs w:val="24"/>
          <w:lang w:val="en-ZA" w:eastAsia="en-GB"/>
        </w:rPr>
      </w:pPr>
    </w:p>
    <w:p w14:paraId="66BD6B76" w14:textId="51718BA4" w:rsidR="000C13AB" w:rsidRDefault="000C13AB" w:rsidP="00996B9B">
      <w:pPr>
        <w:autoSpaceDE w:val="0"/>
        <w:autoSpaceDN w:val="0"/>
        <w:adjustRightInd w:val="0"/>
        <w:spacing w:line="360" w:lineRule="auto"/>
        <w:ind w:left="1440" w:right="-387"/>
        <w:jc w:val="both"/>
        <w:rPr>
          <w:rFonts w:ascii="Arial" w:hAnsi="Arial" w:cs="Arial"/>
          <w:i/>
          <w:iCs/>
          <w:sz w:val="22"/>
          <w:szCs w:val="22"/>
        </w:rPr>
      </w:pPr>
      <w:r w:rsidRPr="0061695E">
        <w:rPr>
          <w:rFonts w:ascii="Arial" w:hAnsi="Arial" w:cs="Arial"/>
          <w:i/>
          <w:iCs/>
          <w:sz w:val="22"/>
          <w:szCs w:val="22"/>
        </w:rPr>
        <w:t>“[34]</w:t>
      </w:r>
      <w:r w:rsidRPr="0061695E">
        <w:rPr>
          <w:rFonts w:ascii="Arial" w:hAnsi="Arial" w:cs="Arial"/>
          <w:i/>
          <w:iCs/>
          <w:sz w:val="22"/>
          <w:szCs w:val="22"/>
        </w:rPr>
        <w:tab/>
        <w:t>The interpretation of the Act must be guided by the following principles:</w:t>
      </w:r>
    </w:p>
    <w:p w14:paraId="0C06E96C" w14:textId="77777777" w:rsidR="00996B9B" w:rsidRPr="0061695E" w:rsidRDefault="00996B9B" w:rsidP="00996B9B">
      <w:pPr>
        <w:autoSpaceDE w:val="0"/>
        <w:autoSpaceDN w:val="0"/>
        <w:adjustRightInd w:val="0"/>
        <w:spacing w:line="360" w:lineRule="auto"/>
        <w:ind w:left="720" w:right="-387"/>
        <w:jc w:val="both"/>
        <w:rPr>
          <w:rFonts w:ascii="Arial" w:hAnsi="Arial" w:cs="Arial"/>
          <w:i/>
          <w:iCs/>
          <w:sz w:val="22"/>
          <w:szCs w:val="22"/>
        </w:rPr>
      </w:pPr>
    </w:p>
    <w:p w14:paraId="0BD06D8E" w14:textId="5747E994" w:rsidR="000C13AB" w:rsidRPr="00996B9B" w:rsidRDefault="000C13AB" w:rsidP="00996B9B">
      <w:pPr>
        <w:pStyle w:val="ListParagraph"/>
        <w:numPr>
          <w:ilvl w:val="0"/>
          <w:numId w:val="16"/>
        </w:numPr>
        <w:autoSpaceDE w:val="0"/>
        <w:autoSpaceDN w:val="0"/>
        <w:adjustRightInd w:val="0"/>
        <w:spacing w:line="360" w:lineRule="auto"/>
        <w:ind w:right="-387"/>
        <w:jc w:val="both"/>
        <w:rPr>
          <w:rFonts w:ascii="Arial" w:hAnsi="Arial" w:cs="Arial"/>
          <w:i/>
          <w:iCs/>
          <w:sz w:val="22"/>
          <w:szCs w:val="22"/>
        </w:rPr>
      </w:pPr>
      <w:r w:rsidRPr="00996B9B">
        <w:rPr>
          <w:rFonts w:ascii="Arial" w:hAnsi="Arial" w:cs="Arial"/>
          <w:i/>
          <w:iCs/>
          <w:sz w:val="22"/>
          <w:szCs w:val="22"/>
        </w:rPr>
        <w:t>Words in a statute must be given their ordinary grammatical meaning unless to do so would result in an absurdity.</w:t>
      </w:r>
    </w:p>
    <w:p w14:paraId="23A3A043" w14:textId="77777777" w:rsidR="00996B9B" w:rsidRPr="00996B9B" w:rsidRDefault="00996B9B" w:rsidP="00996B9B">
      <w:pPr>
        <w:pStyle w:val="ListParagraph"/>
        <w:autoSpaceDE w:val="0"/>
        <w:autoSpaceDN w:val="0"/>
        <w:adjustRightInd w:val="0"/>
        <w:spacing w:line="360" w:lineRule="auto"/>
        <w:ind w:left="2847" w:right="-387"/>
        <w:jc w:val="both"/>
        <w:rPr>
          <w:rFonts w:ascii="Arial" w:hAnsi="Arial" w:cs="Arial"/>
          <w:i/>
          <w:iCs/>
          <w:sz w:val="22"/>
          <w:szCs w:val="22"/>
        </w:rPr>
      </w:pPr>
    </w:p>
    <w:p w14:paraId="56079256" w14:textId="7D8CB135" w:rsidR="000C13AB" w:rsidRDefault="000C13AB" w:rsidP="00996B9B">
      <w:pPr>
        <w:pStyle w:val="ListParagraph"/>
        <w:numPr>
          <w:ilvl w:val="0"/>
          <w:numId w:val="16"/>
        </w:numPr>
        <w:autoSpaceDE w:val="0"/>
        <w:autoSpaceDN w:val="0"/>
        <w:adjustRightInd w:val="0"/>
        <w:spacing w:line="360" w:lineRule="auto"/>
        <w:ind w:right="-387"/>
        <w:jc w:val="both"/>
        <w:rPr>
          <w:rFonts w:ascii="Arial" w:hAnsi="Arial" w:cs="Arial"/>
          <w:i/>
          <w:iCs/>
          <w:sz w:val="22"/>
          <w:szCs w:val="22"/>
        </w:rPr>
      </w:pPr>
      <w:r w:rsidRPr="00996B9B">
        <w:rPr>
          <w:rFonts w:ascii="Arial" w:hAnsi="Arial" w:cs="Arial"/>
          <w:i/>
          <w:iCs/>
          <w:sz w:val="22"/>
          <w:szCs w:val="22"/>
        </w:rPr>
        <w:t xml:space="preserve">This general principle is subject to three interrelated riders: a statute must be interpreted purposively; the relevant provision must be properly </w:t>
      </w:r>
      <w:proofErr w:type="spellStart"/>
      <w:r w:rsidRPr="00996B9B">
        <w:rPr>
          <w:rFonts w:ascii="Arial" w:hAnsi="Arial" w:cs="Arial"/>
          <w:i/>
          <w:iCs/>
          <w:sz w:val="22"/>
          <w:szCs w:val="22"/>
        </w:rPr>
        <w:t>contextualised</w:t>
      </w:r>
      <w:proofErr w:type="spellEnd"/>
      <w:r w:rsidRPr="00996B9B">
        <w:rPr>
          <w:rFonts w:ascii="Arial" w:hAnsi="Arial" w:cs="Arial"/>
          <w:i/>
          <w:iCs/>
          <w:sz w:val="22"/>
          <w:szCs w:val="22"/>
        </w:rPr>
        <w:t>; and the statute must be construed consistently with the Constitution, meaning in such a way as to preserve its constitutional validity.</w:t>
      </w:r>
    </w:p>
    <w:p w14:paraId="0F44D903" w14:textId="77777777" w:rsidR="009447E3" w:rsidRPr="009447E3" w:rsidRDefault="009447E3" w:rsidP="009447E3">
      <w:pPr>
        <w:pStyle w:val="ListParagraph"/>
        <w:rPr>
          <w:rFonts w:ascii="Arial" w:hAnsi="Arial" w:cs="Arial"/>
          <w:i/>
          <w:iCs/>
          <w:sz w:val="22"/>
          <w:szCs w:val="22"/>
        </w:rPr>
      </w:pPr>
    </w:p>
    <w:p w14:paraId="554A871C" w14:textId="77777777" w:rsidR="00996B9B" w:rsidRPr="00996B9B" w:rsidRDefault="00996B9B" w:rsidP="00996B9B">
      <w:pPr>
        <w:autoSpaceDE w:val="0"/>
        <w:autoSpaceDN w:val="0"/>
        <w:adjustRightInd w:val="0"/>
        <w:spacing w:line="360" w:lineRule="auto"/>
        <w:ind w:right="-387"/>
        <w:jc w:val="both"/>
        <w:rPr>
          <w:rFonts w:ascii="Arial" w:hAnsi="Arial" w:cs="Arial"/>
          <w:i/>
          <w:iCs/>
          <w:sz w:val="22"/>
          <w:szCs w:val="22"/>
        </w:rPr>
      </w:pPr>
    </w:p>
    <w:p w14:paraId="7B85DE75" w14:textId="6FC560EA" w:rsidR="000C13AB" w:rsidRPr="00996B9B" w:rsidRDefault="000C13AB" w:rsidP="00996B9B">
      <w:pPr>
        <w:pStyle w:val="ListParagraph"/>
        <w:numPr>
          <w:ilvl w:val="0"/>
          <w:numId w:val="16"/>
        </w:numPr>
        <w:autoSpaceDE w:val="0"/>
        <w:autoSpaceDN w:val="0"/>
        <w:adjustRightInd w:val="0"/>
        <w:spacing w:line="360" w:lineRule="auto"/>
        <w:ind w:right="-387"/>
        <w:jc w:val="both"/>
        <w:rPr>
          <w:rFonts w:ascii="Arial" w:hAnsi="Arial" w:cs="Arial"/>
          <w:i/>
          <w:iCs/>
          <w:sz w:val="22"/>
          <w:szCs w:val="22"/>
        </w:rPr>
      </w:pPr>
      <w:r w:rsidRPr="00996B9B">
        <w:rPr>
          <w:rFonts w:ascii="Arial" w:hAnsi="Arial" w:cs="Arial"/>
          <w:i/>
          <w:iCs/>
          <w:sz w:val="22"/>
          <w:szCs w:val="22"/>
        </w:rPr>
        <w:t>Various propositions flow from this general principle and its riders. Among others, in the case of ambiguity, a meaning that frustrates the apparent purpose of the statute or leads to results which are not businesslike or sensible results should not be preferred where an interpretation which avoids these unfortunate consequences is reasonably possible. The qualification “reasonably possible” is a reminder that Judges must guard against the temptation to substitute what they regard as reasonable, sensible or businesslike for the words actually used.</w:t>
      </w:r>
    </w:p>
    <w:p w14:paraId="0EEB310C" w14:textId="77777777" w:rsidR="00996B9B" w:rsidRPr="00996B9B" w:rsidRDefault="00996B9B" w:rsidP="00996B9B">
      <w:pPr>
        <w:autoSpaceDE w:val="0"/>
        <w:autoSpaceDN w:val="0"/>
        <w:adjustRightInd w:val="0"/>
        <w:spacing w:line="360" w:lineRule="auto"/>
        <w:ind w:right="-387"/>
        <w:jc w:val="both"/>
        <w:rPr>
          <w:rFonts w:ascii="Arial" w:hAnsi="Arial" w:cs="Arial"/>
          <w:i/>
          <w:iCs/>
          <w:sz w:val="22"/>
          <w:szCs w:val="22"/>
        </w:rPr>
      </w:pPr>
    </w:p>
    <w:p w14:paraId="59B419F3" w14:textId="454566AD" w:rsidR="000C13AB" w:rsidRPr="0061695E" w:rsidRDefault="000C13AB" w:rsidP="00996B9B">
      <w:pPr>
        <w:autoSpaceDE w:val="0"/>
        <w:autoSpaceDN w:val="0"/>
        <w:adjustRightInd w:val="0"/>
        <w:spacing w:line="360" w:lineRule="auto"/>
        <w:ind w:left="2835" w:right="-387" w:hanging="708"/>
        <w:jc w:val="both"/>
        <w:rPr>
          <w:rFonts w:ascii="Arial" w:hAnsi="Arial" w:cs="Arial"/>
          <w:i/>
          <w:iCs/>
          <w:sz w:val="22"/>
          <w:szCs w:val="22"/>
        </w:rPr>
      </w:pPr>
      <w:r w:rsidRPr="0061695E">
        <w:rPr>
          <w:rFonts w:ascii="Arial" w:hAnsi="Arial" w:cs="Arial"/>
          <w:i/>
          <w:iCs/>
          <w:sz w:val="22"/>
          <w:szCs w:val="22"/>
        </w:rPr>
        <w:t>(d)</w:t>
      </w:r>
      <w:r w:rsidRPr="0061695E">
        <w:rPr>
          <w:rFonts w:ascii="Arial" w:hAnsi="Arial" w:cs="Arial"/>
          <w:i/>
          <w:iCs/>
          <w:sz w:val="22"/>
          <w:szCs w:val="22"/>
        </w:rPr>
        <w:tab/>
        <w:t>If reasonably possible, a statute should be interpreted so as to avoid a lacuna (gap) in the legislative scheme.”</w:t>
      </w:r>
    </w:p>
    <w:p w14:paraId="34CBBFB4" w14:textId="07863D20" w:rsidR="00F62C95" w:rsidRDefault="00F62C95" w:rsidP="00F62C95">
      <w:pPr>
        <w:autoSpaceDE w:val="0"/>
        <w:autoSpaceDN w:val="0"/>
        <w:adjustRightInd w:val="0"/>
        <w:spacing w:line="360" w:lineRule="auto"/>
        <w:ind w:right="-387"/>
        <w:jc w:val="both"/>
        <w:rPr>
          <w:rFonts w:ascii="Arial" w:hAnsi="Arial" w:cs="Arial"/>
        </w:rPr>
      </w:pPr>
    </w:p>
    <w:p w14:paraId="6D546B65" w14:textId="426F6F96" w:rsidR="000C13AB" w:rsidRDefault="0061695E"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sidRPr="0061695E">
        <w:rPr>
          <w:rFonts w:ascii="Arial" w:hAnsi="Arial" w:cs="Arial"/>
        </w:rPr>
        <w:t>Both Sections 374 and 368 prior to their amendment in 2003, conferred upon the Master an unfettered discretion</w:t>
      </w:r>
      <w:r w:rsidR="000926F4">
        <w:rPr>
          <w:rStyle w:val="FootnoteReference"/>
          <w:rFonts w:ascii="Arial" w:hAnsi="Arial" w:cs="Arial"/>
        </w:rPr>
        <w:footnoteReference w:id="12"/>
      </w:r>
      <w:r w:rsidRPr="0061695E">
        <w:rPr>
          <w:rFonts w:ascii="Arial" w:hAnsi="Arial" w:cs="Arial"/>
        </w:rPr>
        <w:t xml:space="preserve"> to appoint provisional and co-liquidators.  The </w:t>
      </w:r>
      <w:r w:rsidRPr="0061695E">
        <w:rPr>
          <w:rFonts w:ascii="Arial" w:hAnsi="Arial" w:cs="Arial"/>
        </w:rPr>
        <w:lastRenderedPageBreak/>
        <w:t xml:space="preserve">amendment did not serve to </w:t>
      </w:r>
      <w:r>
        <w:rPr>
          <w:rFonts w:ascii="Arial" w:hAnsi="Arial" w:cs="Arial"/>
        </w:rPr>
        <w:t xml:space="preserve">limit the discretion but only to temper its exercise with regards to a policy to be determined by the Minister.  Perhaps absent any indication as to what the nature or purpose of that policy would be, it could be argued that the two statutory provisions properly construed, in the absence of the existence of the policy, were rendered nugatory and effectively inoperative.  </w:t>
      </w:r>
    </w:p>
    <w:p w14:paraId="5998EA9C" w14:textId="77777777" w:rsidR="0061695E" w:rsidRDefault="0061695E" w:rsidP="00996B9B">
      <w:pPr>
        <w:pStyle w:val="ListParagraph"/>
        <w:autoSpaceDE w:val="0"/>
        <w:autoSpaceDN w:val="0"/>
        <w:adjustRightInd w:val="0"/>
        <w:spacing w:line="360" w:lineRule="auto"/>
        <w:ind w:left="851" w:right="-387" w:hanging="851"/>
        <w:jc w:val="both"/>
        <w:rPr>
          <w:rFonts w:ascii="Arial" w:hAnsi="Arial" w:cs="Arial"/>
        </w:rPr>
      </w:pPr>
    </w:p>
    <w:p w14:paraId="440A12A8" w14:textId="66282969" w:rsidR="0061695E" w:rsidRDefault="0061695E"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 xml:space="preserve">However, having regard to the test set out in Minister of Police v Fidelity Security Services (Pty) Ltd, it is undesirable, without further ado, to interpret the provisions in this way.  The simultaneous introduction of Section 15(1A) together with the amendments to Sections 374 and 368, states clearly and unequivocally the nature, scope and purpose of the policy that was to be determined by the Minister.  </w:t>
      </w:r>
    </w:p>
    <w:p w14:paraId="26014167" w14:textId="77777777" w:rsidR="0061695E" w:rsidRPr="0061695E" w:rsidRDefault="0061695E" w:rsidP="0061695E">
      <w:pPr>
        <w:pStyle w:val="ListParagraph"/>
        <w:rPr>
          <w:rFonts w:ascii="Arial" w:hAnsi="Arial" w:cs="Arial"/>
        </w:rPr>
      </w:pPr>
    </w:p>
    <w:p w14:paraId="2DC97E5B" w14:textId="5206408E" w:rsidR="0061695E" w:rsidRDefault="0061695E"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 xml:space="preserve">The purpose of the policy was to assist the Master in facilitating ‘the promotion of consistency, fairness, transparency and the achievement of equality for persons previously disadvantaged by unfair discrimination.’  Section 15(1A) is clear in this regard.  </w:t>
      </w:r>
    </w:p>
    <w:p w14:paraId="4A7A90D0" w14:textId="1B00FBDB" w:rsidR="0061695E" w:rsidRDefault="0061695E" w:rsidP="00996B9B">
      <w:pPr>
        <w:pStyle w:val="ListParagraph"/>
        <w:ind w:left="851" w:hanging="851"/>
        <w:rPr>
          <w:rFonts w:ascii="Arial" w:hAnsi="Arial" w:cs="Arial"/>
        </w:rPr>
      </w:pPr>
    </w:p>
    <w:p w14:paraId="5CAAA689" w14:textId="77777777" w:rsidR="009447E3" w:rsidRPr="0061695E" w:rsidRDefault="009447E3" w:rsidP="00996B9B">
      <w:pPr>
        <w:pStyle w:val="ListParagraph"/>
        <w:ind w:left="851" w:hanging="851"/>
        <w:rPr>
          <w:rFonts w:ascii="Arial" w:hAnsi="Arial" w:cs="Arial"/>
        </w:rPr>
      </w:pPr>
    </w:p>
    <w:p w14:paraId="4C9A2116" w14:textId="77777777" w:rsidR="00125FBF" w:rsidRDefault="00125FBF"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 xml:space="preserve">Accordingly, if the Master in making appointments of either provisional </w:t>
      </w:r>
      <w:proofErr w:type="gramStart"/>
      <w:r>
        <w:rPr>
          <w:rFonts w:ascii="Arial" w:hAnsi="Arial" w:cs="Arial"/>
        </w:rPr>
        <w:t>liquidators</w:t>
      </w:r>
      <w:proofErr w:type="gramEnd"/>
      <w:r>
        <w:rPr>
          <w:rFonts w:ascii="Arial" w:hAnsi="Arial" w:cs="Arial"/>
        </w:rPr>
        <w:t xml:space="preserve"> (as provided for in Section 368) or co-liquidators (as provided for in Section 374) does so, in a manner that is consistent and consonant with the provisions of Section 15(1A), then it cannot be said that either Section 368 or 374 in their present construction are inoperable.  Both Sections are indispensable to the functioning of </w:t>
      </w:r>
      <w:r>
        <w:rPr>
          <w:rFonts w:ascii="Arial" w:hAnsi="Arial" w:cs="Arial"/>
        </w:rPr>
        <w:lastRenderedPageBreak/>
        <w:t xml:space="preserve">the Master’s Office with regards to liquidations and without them, the entire machinery of justice for liquidations would grind to a halt.  </w:t>
      </w:r>
    </w:p>
    <w:p w14:paraId="4FF42108" w14:textId="77777777" w:rsidR="00125FBF" w:rsidRPr="00125FBF" w:rsidRDefault="00125FBF" w:rsidP="00125FBF">
      <w:pPr>
        <w:pStyle w:val="ListParagraph"/>
        <w:rPr>
          <w:rFonts w:ascii="Arial" w:hAnsi="Arial" w:cs="Arial"/>
        </w:rPr>
      </w:pPr>
    </w:p>
    <w:p w14:paraId="089D54A4" w14:textId="3EE3DA11" w:rsidR="00125FBF" w:rsidRDefault="00125FBF"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 xml:space="preserve">Both provisions are operable provided however that the Master in the exercise of his discretion, does so in a manner that is consistent with the provisions of Section 15(1A).  It is common cause in the present matter that both the second and third applicants as well as the second and third respondents all fall within the category of ‘persons previously disadvantaged by unfair discrimination.’  In the case of the second and third applicants, the Master exercised his discretion in their </w:t>
      </w:r>
      <w:proofErr w:type="spellStart"/>
      <w:r>
        <w:rPr>
          <w:rFonts w:ascii="Arial" w:hAnsi="Arial" w:cs="Arial"/>
        </w:rPr>
        <w:t>favour</w:t>
      </w:r>
      <w:proofErr w:type="spellEnd"/>
      <w:r>
        <w:rPr>
          <w:rFonts w:ascii="Arial" w:hAnsi="Arial" w:cs="Arial"/>
        </w:rPr>
        <w:t xml:space="preserve"> in terms of Section 368 at the time that he also appointed the first applicant as provisional liquidator and their appointments were subsequently confirmed that the first meeting of the creditors of </w:t>
      </w:r>
      <w:proofErr w:type="spellStart"/>
      <w:r>
        <w:rPr>
          <w:rFonts w:ascii="Arial" w:hAnsi="Arial" w:cs="Arial"/>
        </w:rPr>
        <w:t>Finalment</w:t>
      </w:r>
      <w:r w:rsidR="003F404E">
        <w:rPr>
          <w:rFonts w:ascii="Arial" w:hAnsi="Arial" w:cs="Arial"/>
        </w:rPr>
        <w:t>e</w:t>
      </w:r>
      <w:proofErr w:type="spellEnd"/>
      <w:r>
        <w:rPr>
          <w:rFonts w:ascii="Arial" w:hAnsi="Arial" w:cs="Arial"/>
        </w:rPr>
        <w:t xml:space="preserve"> Global (Pty) Ltd.  The appointment of the second and third respondents was made in terms of Section 374 when they were appointed as co-liquidators in terms of the Master’s discretion to make such appointments.</w:t>
      </w:r>
    </w:p>
    <w:p w14:paraId="16C4C9DC" w14:textId="77777777" w:rsidR="00125FBF" w:rsidRPr="00125FBF" w:rsidRDefault="00125FBF" w:rsidP="00996B9B">
      <w:pPr>
        <w:pStyle w:val="ListParagraph"/>
        <w:ind w:left="851" w:hanging="851"/>
        <w:rPr>
          <w:rFonts w:ascii="Arial" w:hAnsi="Arial" w:cs="Arial"/>
        </w:rPr>
      </w:pPr>
    </w:p>
    <w:p w14:paraId="06C358CA" w14:textId="4A5AC5C1" w:rsidR="00125FBF" w:rsidRDefault="00125FBF"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Four of the five liquidators appointed in this matter by the Master, exercising his discretion in terms of Sections 368 and 374 respectively, fall specifically within the category of persons referred to in Section 15(1A) and for whose benefit the policy was to be determined.</w:t>
      </w:r>
    </w:p>
    <w:p w14:paraId="0E9C05EF" w14:textId="77777777" w:rsidR="00125FBF" w:rsidRPr="00125FBF" w:rsidRDefault="00125FBF" w:rsidP="00125FBF">
      <w:pPr>
        <w:pStyle w:val="ListParagraph"/>
        <w:rPr>
          <w:rFonts w:ascii="Arial" w:hAnsi="Arial" w:cs="Arial"/>
        </w:rPr>
      </w:pPr>
    </w:p>
    <w:p w14:paraId="1761663E" w14:textId="5308E64B" w:rsidR="00125FBF" w:rsidRDefault="00712652"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It is for these reasons that I find that the Master has properly exercised his discretion in the appointment of the second and third respondents as co-liquidators and that such appointments, being consistent with the provisions for which the policy was to be determined, are valid and lawful in all respects.</w:t>
      </w:r>
    </w:p>
    <w:p w14:paraId="0F320278" w14:textId="19C3AC50" w:rsidR="00125FBF" w:rsidRDefault="00125FBF" w:rsidP="00996B9B">
      <w:pPr>
        <w:pStyle w:val="ListParagraph"/>
        <w:ind w:left="851" w:hanging="851"/>
        <w:rPr>
          <w:rFonts w:ascii="Arial" w:hAnsi="Arial" w:cs="Arial"/>
        </w:rPr>
      </w:pPr>
    </w:p>
    <w:p w14:paraId="02B64B0A" w14:textId="2669672C" w:rsidR="009447E3" w:rsidRDefault="009447E3" w:rsidP="00996B9B">
      <w:pPr>
        <w:pStyle w:val="ListParagraph"/>
        <w:ind w:left="851" w:hanging="851"/>
        <w:rPr>
          <w:rFonts w:ascii="Arial" w:hAnsi="Arial" w:cs="Arial"/>
        </w:rPr>
      </w:pPr>
    </w:p>
    <w:p w14:paraId="34A7C0BB" w14:textId="229983D4" w:rsidR="009447E3" w:rsidRDefault="009447E3" w:rsidP="00996B9B">
      <w:pPr>
        <w:pStyle w:val="ListParagraph"/>
        <w:ind w:left="851" w:hanging="851"/>
        <w:rPr>
          <w:rFonts w:ascii="Arial" w:hAnsi="Arial" w:cs="Arial"/>
        </w:rPr>
      </w:pPr>
    </w:p>
    <w:p w14:paraId="766310D6" w14:textId="77777777" w:rsidR="009447E3" w:rsidRPr="00125FBF" w:rsidRDefault="009447E3" w:rsidP="00996B9B">
      <w:pPr>
        <w:pStyle w:val="ListParagraph"/>
        <w:ind w:left="851" w:hanging="851"/>
        <w:rPr>
          <w:rFonts w:ascii="Arial" w:hAnsi="Arial" w:cs="Arial"/>
        </w:rPr>
      </w:pPr>
    </w:p>
    <w:p w14:paraId="594B05ED" w14:textId="187ECB36" w:rsidR="00125FBF" w:rsidRDefault="00125FBF"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 xml:space="preserve"> </w:t>
      </w:r>
      <w:r w:rsidR="00712652">
        <w:rPr>
          <w:rFonts w:ascii="Arial" w:hAnsi="Arial" w:cs="Arial"/>
        </w:rPr>
        <w:t xml:space="preserve">Turning now to the question of costs.  The applicants, and in particular the second and third applicants were quite prepared to acquiesce to the </w:t>
      </w:r>
      <w:r w:rsidR="009447E3">
        <w:rPr>
          <w:rFonts w:ascii="Arial" w:hAnsi="Arial" w:cs="Arial"/>
        </w:rPr>
        <w:t>master’s</w:t>
      </w:r>
      <w:r w:rsidR="00712652">
        <w:rPr>
          <w:rFonts w:ascii="Arial" w:hAnsi="Arial" w:cs="Arial"/>
        </w:rPr>
        <w:t xml:space="preserve"> exercise of his discretion in their </w:t>
      </w:r>
      <w:proofErr w:type="spellStart"/>
      <w:r w:rsidR="00712652">
        <w:rPr>
          <w:rFonts w:ascii="Arial" w:hAnsi="Arial" w:cs="Arial"/>
        </w:rPr>
        <w:t>favour</w:t>
      </w:r>
      <w:proofErr w:type="spellEnd"/>
      <w:r w:rsidR="00712652">
        <w:rPr>
          <w:rFonts w:ascii="Arial" w:hAnsi="Arial" w:cs="Arial"/>
        </w:rPr>
        <w:t xml:space="preserve"> when they were appointed in terms of Section 368.  The present application seems to me to have had nothing to do with the existence or not of an extent policy but rather to attempt to prevent the appointment of any further co-liquidators.</w:t>
      </w:r>
    </w:p>
    <w:p w14:paraId="51133392" w14:textId="77777777" w:rsidR="00712652" w:rsidRPr="00712652" w:rsidRDefault="00712652" w:rsidP="00996B9B">
      <w:pPr>
        <w:pStyle w:val="ListParagraph"/>
        <w:ind w:left="851" w:hanging="851"/>
        <w:rPr>
          <w:rFonts w:ascii="Arial" w:hAnsi="Arial" w:cs="Arial"/>
        </w:rPr>
      </w:pPr>
    </w:p>
    <w:p w14:paraId="09490360" w14:textId="4FC087B9" w:rsidR="00712652" w:rsidRDefault="00712652"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Had there indeed been any prejudice to the</w:t>
      </w:r>
      <w:r w:rsidR="00F87892">
        <w:rPr>
          <w:rFonts w:ascii="Arial" w:hAnsi="Arial" w:cs="Arial"/>
        </w:rPr>
        <w:t xml:space="preserve"> winding up or</w:t>
      </w:r>
      <w:r>
        <w:rPr>
          <w:rFonts w:ascii="Arial" w:hAnsi="Arial" w:cs="Arial"/>
        </w:rPr>
        <w:t xml:space="preserve"> general body of creditors by the appointment of further co-liquidators – it would have been expected that one or more of the creditors would have been jointed or intervened in the proceedings.  This point was raised by the Master.  </w:t>
      </w:r>
    </w:p>
    <w:p w14:paraId="4B25BC84" w14:textId="77777777" w:rsidR="00712652" w:rsidRPr="00712652" w:rsidRDefault="00712652" w:rsidP="00996B9B">
      <w:pPr>
        <w:pStyle w:val="ListParagraph"/>
        <w:ind w:left="851" w:hanging="851"/>
        <w:rPr>
          <w:rFonts w:ascii="Arial" w:hAnsi="Arial" w:cs="Arial"/>
        </w:rPr>
      </w:pPr>
    </w:p>
    <w:p w14:paraId="12791BA1" w14:textId="4DCBC0F4" w:rsidR="00712652" w:rsidRDefault="00712652"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Pr>
          <w:rFonts w:ascii="Arial" w:hAnsi="Arial" w:cs="Arial"/>
        </w:rPr>
        <w:t>The present application was actuated by self-interest and the applicants sought to impugn the appointment of the second and third respondents, primarily in raising the exercise of the Master’s discretion in the absence of a policy, when they themselves had been beneficiaries of such exercise but also in respect of the third respondent by making scandalous and irrelevant allegations in the replying affidavit. Although such allegations were struck out at the commencement of the proceedings with no opposition to the application to do so from the applicants, the fact that such allegations were made is indicative of the desire to prevent the appointment of any further co-liquidators and in particular the third respondent.</w:t>
      </w:r>
    </w:p>
    <w:p w14:paraId="15E14754" w14:textId="77777777" w:rsidR="00712652" w:rsidRPr="00712652" w:rsidRDefault="00712652" w:rsidP="00996B9B">
      <w:pPr>
        <w:pStyle w:val="ListParagraph"/>
        <w:ind w:left="851" w:hanging="851"/>
        <w:rPr>
          <w:rFonts w:ascii="Arial" w:hAnsi="Arial" w:cs="Arial"/>
        </w:rPr>
      </w:pPr>
    </w:p>
    <w:p w14:paraId="24492E8B" w14:textId="1CF36662" w:rsidR="00685764" w:rsidRDefault="00712652" w:rsidP="00996B9B">
      <w:pPr>
        <w:pStyle w:val="ListParagraph"/>
        <w:numPr>
          <w:ilvl w:val="0"/>
          <w:numId w:val="13"/>
        </w:numPr>
        <w:autoSpaceDE w:val="0"/>
        <w:autoSpaceDN w:val="0"/>
        <w:adjustRightInd w:val="0"/>
        <w:spacing w:line="360" w:lineRule="auto"/>
        <w:ind w:left="851" w:right="-387" w:hanging="851"/>
        <w:jc w:val="both"/>
        <w:rPr>
          <w:rFonts w:ascii="Arial" w:hAnsi="Arial" w:cs="Arial"/>
        </w:rPr>
      </w:pPr>
      <w:r w:rsidRPr="00685764">
        <w:rPr>
          <w:rFonts w:ascii="Arial" w:hAnsi="Arial" w:cs="Arial"/>
        </w:rPr>
        <w:t>The applicat</w:t>
      </w:r>
      <w:r w:rsidR="00685764" w:rsidRPr="00685764">
        <w:rPr>
          <w:rFonts w:ascii="Arial" w:hAnsi="Arial" w:cs="Arial"/>
        </w:rPr>
        <w:t xml:space="preserve">ion </w:t>
      </w:r>
      <w:r w:rsidR="00F87892" w:rsidRPr="00685764">
        <w:rPr>
          <w:rFonts w:ascii="Arial" w:hAnsi="Arial" w:cs="Arial"/>
        </w:rPr>
        <w:t>is clearly</w:t>
      </w:r>
      <w:r w:rsidR="00685764" w:rsidRPr="00685764">
        <w:rPr>
          <w:rFonts w:ascii="Arial" w:hAnsi="Arial" w:cs="Arial"/>
        </w:rPr>
        <w:t xml:space="preserve"> self-serving and </w:t>
      </w:r>
      <w:r w:rsidR="00685764">
        <w:rPr>
          <w:rFonts w:ascii="Arial" w:hAnsi="Arial" w:cs="Arial"/>
        </w:rPr>
        <w:t>destructive of the very purpose for which Sections 374 and 368 were amended.  It is for this reason that I intend to make the costs order that I do.</w:t>
      </w:r>
    </w:p>
    <w:p w14:paraId="268B4744" w14:textId="77777777" w:rsidR="00685764" w:rsidRPr="00685764" w:rsidRDefault="00685764" w:rsidP="00996B9B">
      <w:pPr>
        <w:pStyle w:val="ListParagraph"/>
        <w:ind w:left="851" w:hanging="851"/>
        <w:rPr>
          <w:rFonts w:ascii="Arial" w:hAnsi="Arial" w:cs="Arial"/>
        </w:rPr>
      </w:pPr>
    </w:p>
    <w:p w14:paraId="12D6AE87" w14:textId="359C6B4C" w:rsidR="00416EA1" w:rsidRPr="00F113FD" w:rsidRDefault="00C468B1" w:rsidP="00996B9B">
      <w:pPr>
        <w:pStyle w:val="ListParagraph"/>
        <w:numPr>
          <w:ilvl w:val="0"/>
          <w:numId w:val="13"/>
        </w:numPr>
        <w:spacing w:line="360" w:lineRule="auto"/>
        <w:ind w:left="851" w:hanging="851"/>
        <w:jc w:val="both"/>
        <w:rPr>
          <w:rFonts w:ascii="Arial" w:eastAsia="Times New Roman" w:hAnsi="Arial" w:cs="Arial"/>
          <w:color w:val="000000"/>
          <w:lang w:val="en-ZA" w:eastAsia="en-GB"/>
        </w:rPr>
      </w:pPr>
      <w:r w:rsidRPr="00F113FD">
        <w:rPr>
          <w:rFonts w:ascii="Arial" w:hAnsi="Arial" w:cs="Arial"/>
        </w:rPr>
        <w:t>In the circumstances, it is ordered:</w:t>
      </w:r>
    </w:p>
    <w:p w14:paraId="4CCD1721" w14:textId="72FD22A1" w:rsidR="00C468B1" w:rsidRPr="00F113FD" w:rsidRDefault="00C468B1" w:rsidP="00F113FD">
      <w:pPr>
        <w:pStyle w:val="Body"/>
        <w:spacing w:line="360" w:lineRule="auto"/>
        <w:ind w:left="360"/>
        <w:jc w:val="both"/>
        <w:rPr>
          <w:rFonts w:cs="Arial"/>
          <w:sz w:val="24"/>
          <w:szCs w:val="24"/>
        </w:rPr>
      </w:pPr>
    </w:p>
    <w:p w14:paraId="43982189" w14:textId="3E4B4A4E" w:rsidR="00F113FD" w:rsidRDefault="00C468B1" w:rsidP="00996B9B">
      <w:pPr>
        <w:pStyle w:val="Body"/>
        <w:numPr>
          <w:ilvl w:val="1"/>
          <w:numId w:val="13"/>
        </w:numPr>
        <w:spacing w:line="360" w:lineRule="auto"/>
        <w:ind w:left="1701" w:hanging="850"/>
        <w:jc w:val="both"/>
        <w:rPr>
          <w:rFonts w:cs="Arial"/>
          <w:sz w:val="24"/>
          <w:szCs w:val="24"/>
        </w:rPr>
      </w:pPr>
      <w:r w:rsidRPr="00F113FD">
        <w:rPr>
          <w:rFonts w:cs="Arial"/>
          <w:sz w:val="24"/>
          <w:szCs w:val="24"/>
        </w:rPr>
        <w:t>The application is dismissed.</w:t>
      </w:r>
    </w:p>
    <w:p w14:paraId="696E7264" w14:textId="77777777" w:rsidR="00F113FD" w:rsidRDefault="00F113FD" w:rsidP="00996B9B">
      <w:pPr>
        <w:pStyle w:val="Body"/>
        <w:spacing w:line="360" w:lineRule="auto"/>
        <w:ind w:left="1701" w:hanging="850"/>
        <w:jc w:val="both"/>
        <w:rPr>
          <w:rFonts w:cs="Arial"/>
          <w:sz w:val="24"/>
          <w:szCs w:val="24"/>
        </w:rPr>
      </w:pPr>
    </w:p>
    <w:p w14:paraId="54044E33" w14:textId="77777777" w:rsidR="009447E3" w:rsidRDefault="00C468B1" w:rsidP="00996B9B">
      <w:pPr>
        <w:pStyle w:val="Body"/>
        <w:numPr>
          <w:ilvl w:val="1"/>
          <w:numId w:val="13"/>
        </w:numPr>
        <w:spacing w:line="360" w:lineRule="auto"/>
        <w:ind w:left="1701" w:hanging="850"/>
        <w:jc w:val="both"/>
        <w:rPr>
          <w:rFonts w:cs="Arial"/>
          <w:sz w:val="24"/>
          <w:szCs w:val="24"/>
        </w:rPr>
      </w:pPr>
      <w:r w:rsidRPr="00F113FD">
        <w:rPr>
          <w:rFonts w:cs="Arial"/>
          <w:sz w:val="24"/>
          <w:szCs w:val="24"/>
        </w:rPr>
        <w:t>The applicants are ordered to pay the first, second and third respondents’ costs</w:t>
      </w:r>
      <w:r w:rsidR="000076E1">
        <w:rPr>
          <w:rFonts w:cs="Arial"/>
          <w:sz w:val="24"/>
          <w:szCs w:val="24"/>
        </w:rPr>
        <w:t xml:space="preserve"> </w:t>
      </w:r>
      <w:r w:rsidR="00685764">
        <w:rPr>
          <w:rFonts w:cs="Arial"/>
          <w:sz w:val="24"/>
          <w:szCs w:val="24"/>
        </w:rPr>
        <w:t xml:space="preserve">on the scale as between attorney and client </w:t>
      </w:r>
      <w:r w:rsidRPr="00F113FD">
        <w:rPr>
          <w:rFonts w:cs="Arial"/>
          <w:sz w:val="24"/>
          <w:szCs w:val="24"/>
        </w:rPr>
        <w:t xml:space="preserve">which costs are to </w:t>
      </w:r>
    </w:p>
    <w:p w14:paraId="4438E740" w14:textId="77777777" w:rsidR="009447E3" w:rsidRDefault="009447E3" w:rsidP="009447E3">
      <w:pPr>
        <w:pStyle w:val="ListParagraph"/>
        <w:rPr>
          <w:rFonts w:cs="Arial"/>
        </w:rPr>
      </w:pPr>
    </w:p>
    <w:p w14:paraId="30AEED20" w14:textId="77777777" w:rsidR="009447E3" w:rsidRDefault="009447E3" w:rsidP="009447E3">
      <w:pPr>
        <w:pStyle w:val="Body"/>
        <w:spacing w:line="360" w:lineRule="auto"/>
        <w:ind w:left="1701"/>
        <w:jc w:val="both"/>
        <w:rPr>
          <w:rFonts w:cs="Arial"/>
          <w:sz w:val="24"/>
          <w:szCs w:val="24"/>
        </w:rPr>
      </w:pPr>
    </w:p>
    <w:p w14:paraId="413F826D" w14:textId="77777777" w:rsidR="009447E3" w:rsidRDefault="009447E3" w:rsidP="009447E3">
      <w:pPr>
        <w:pStyle w:val="Body"/>
        <w:spacing w:line="360" w:lineRule="auto"/>
        <w:ind w:left="1701"/>
        <w:jc w:val="both"/>
        <w:rPr>
          <w:rFonts w:cs="Arial"/>
          <w:sz w:val="24"/>
          <w:szCs w:val="24"/>
        </w:rPr>
      </w:pPr>
    </w:p>
    <w:p w14:paraId="7FA8BC82" w14:textId="41CBC489" w:rsidR="00C468B1" w:rsidRDefault="00C468B1" w:rsidP="009447E3">
      <w:pPr>
        <w:pStyle w:val="Body"/>
        <w:spacing w:line="360" w:lineRule="auto"/>
        <w:ind w:left="1701"/>
        <w:jc w:val="both"/>
        <w:rPr>
          <w:rFonts w:cs="Arial"/>
          <w:sz w:val="24"/>
          <w:szCs w:val="24"/>
        </w:rPr>
      </w:pPr>
      <w:r w:rsidRPr="00F113FD">
        <w:rPr>
          <w:rFonts w:cs="Arial"/>
          <w:sz w:val="24"/>
          <w:szCs w:val="24"/>
        </w:rPr>
        <w:t>include, the costs consequent upon the employment of two counsel</w:t>
      </w:r>
      <w:r w:rsidR="00685764">
        <w:rPr>
          <w:rFonts w:cs="Arial"/>
          <w:sz w:val="24"/>
          <w:szCs w:val="24"/>
        </w:rPr>
        <w:t xml:space="preserve"> where so employed.</w:t>
      </w:r>
    </w:p>
    <w:p w14:paraId="56270733" w14:textId="77777777" w:rsidR="00685764" w:rsidRDefault="00685764" w:rsidP="00996B9B">
      <w:pPr>
        <w:pStyle w:val="ListParagraph"/>
        <w:ind w:left="1701" w:hanging="850"/>
        <w:rPr>
          <w:rFonts w:cs="Arial"/>
        </w:rPr>
      </w:pPr>
    </w:p>
    <w:p w14:paraId="56A36A04" w14:textId="69499378" w:rsidR="00685764" w:rsidRDefault="00685764" w:rsidP="00996B9B">
      <w:pPr>
        <w:pStyle w:val="Body"/>
        <w:numPr>
          <w:ilvl w:val="1"/>
          <w:numId w:val="13"/>
        </w:numPr>
        <w:spacing w:line="360" w:lineRule="auto"/>
        <w:ind w:left="1701" w:hanging="850"/>
        <w:jc w:val="both"/>
        <w:rPr>
          <w:rFonts w:cs="Arial"/>
          <w:sz w:val="24"/>
          <w:szCs w:val="24"/>
        </w:rPr>
      </w:pPr>
      <w:r>
        <w:rPr>
          <w:rFonts w:cs="Arial"/>
          <w:sz w:val="24"/>
          <w:szCs w:val="24"/>
        </w:rPr>
        <w:t xml:space="preserve">The costs are to be paid by the applicants </w:t>
      </w:r>
      <w:r w:rsidRPr="00685764">
        <w:rPr>
          <w:rFonts w:cs="Arial"/>
          <w:i/>
          <w:iCs/>
          <w:sz w:val="24"/>
          <w:szCs w:val="24"/>
        </w:rPr>
        <w:t xml:space="preserve">de </w:t>
      </w:r>
      <w:proofErr w:type="spellStart"/>
      <w:r w:rsidRPr="00685764">
        <w:rPr>
          <w:rFonts w:cs="Arial"/>
          <w:i/>
          <w:iCs/>
          <w:sz w:val="24"/>
          <w:szCs w:val="24"/>
        </w:rPr>
        <w:t>bonis</w:t>
      </w:r>
      <w:proofErr w:type="spellEnd"/>
      <w:r w:rsidRPr="00685764">
        <w:rPr>
          <w:rFonts w:cs="Arial"/>
          <w:i/>
          <w:iCs/>
          <w:sz w:val="24"/>
          <w:szCs w:val="24"/>
        </w:rPr>
        <w:t xml:space="preserve"> </w:t>
      </w:r>
      <w:proofErr w:type="spellStart"/>
      <w:r w:rsidRPr="00685764">
        <w:rPr>
          <w:rFonts w:cs="Arial"/>
          <w:i/>
          <w:iCs/>
          <w:sz w:val="24"/>
          <w:szCs w:val="24"/>
        </w:rPr>
        <w:t>propriis</w:t>
      </w:r>
      <w:proofErr w:type="spellEnd"/>
      <w:r>
        <w:rPr>
          <w:rFonts w:cs="Arial"/>
          <w:sz w:val="24"/>
          <w:szCs w:val="24"/>
        </w:rPr>
        <w:t>, jointly and severally, the one paying the others to be absolved.</w:t>
      </w:r>
    </w:p>
    <w:p w14:paraId="34DDC19B" w14:textId="77777777" w:rsidR="00685764" w:rsidRDefault="00685764" w:rsidP="00996B9B">
      <w:pPr>
        <w:pStyle w:val="ListParagraph"/>
        <w:ind w:left="1701" w:hanging="850"/>
        <w:rPr>
          <w:rFonts w:cs="Arial"/>
        </w:rPr>
      </w:pPr>
    </w:p>
    <w:p w14:paraId="46AB4E0A" w14:textId="413F927F" w:rsidR="00685764" w:rsidRPr="00F113FD" w:rsidRDefault="00685764" w:rsidP="00996B9B">
      <w:pPr>
        <w:pStyle w:val="Body"/>
        <w:numPr>
          <w:ilvl w:val="1"/>
          <w:numId w:val="13"/>
        </w:numPr>
        <w:spacing w:line="360" w:lineRule="auto"/>
        <w:ind w:left="1701" w:hanging="850"/>
        <w:jc w:val="both"/>
        <w:rPr>
          <w:rFonts w:cs="Arial"/>
          <w:sz w:val="24"/>
          <w:szCs w:val="24"/>
        </w:rPr>
      </w:pPr>
      <w:r>
        <w:rPr>
          <w:rFonts w:cs="Arial"/>
          <w:sz w:val="24"/>
          <w:szCs w:val="24"/>
        </w:rPr>
        <w:t xml:space="preserve">None of the costs of the present application will form part of any of the costs of the liquidation of </w:t>
      </w:r>
      <w:proofErr w:type="spellStart"/>
      <w:r>
        <w:rPr>
          <w:rFonts w:cs="Arial"/>
          <w:sz w:val="24"/>
          <w:szCs w:val="24"/>
        </w:rPr>
        <w:t>Finalment</w:t>
      </w:r>
      <w:r w:rsidR="003F404E">
        <w:rPr>
          <w:rFonts w:cs="Arial"/>
          <w:sz w:val="24"/>
          <w:szCs w:val="24"/>
        </w:rPr>
        <w:t>e</w:t>
      </w:r>
      <w:proofErr w:type="spellEnd"/>
      <w:r>
        <w:rPr>
          <w:rFonts w:cs="Arial"/>
          <w:sz w:val="24"/>
          <w:szCs w:val="24"/>
        </w:rPr>
        <w:t xml:space="preserve"> Global (Pty) Ltd.</w:t>
      </w:r>
    </w:p>
    <w:p w14:paraId="0FF7ACDE" w14:textId="77777777" w:rsidR="00C468B1" w:rsidRDefault="00C468B1" w:rsidP="00C468B1">
      <w:pPr>
        <w:pStyle w:val="Body"/>
        <w:ind w:left="720"/>
        <w:rPr>
          <w:rFonts w:cs="Arial"/>
          <w:b/>
          <w:bCs/>
          <w:sz w:val="24"/>
          <w:szCs w:val="24"/>
        </w:rPr>
      </w:pPr>
    </w:p>
    <w:p w14:paraId="69EFDD41" w14:textId="77777777" w:rsidR="00E3432B" w:rsidRDefault="00E3432B" w:rsidP="00413603">
      <w:pPr>
        <w:pStyle w:val="Body"/>
        <w:ind w:left="720"/>
        <w:jc w:val="right"/>
        <w:rPr>
          <w:rFonts w:cs="Arial"/>
          <w:b/>
          <w:bCs/>
          <w:sz w:val="24"/>
          <w:szCs w:val="24"/>
        </w:rPr>
      </w:pPr>
    </w:p>
    <w:p w14:paraId="75814BE3" w14:textId="500BA619" w:rsidR="00101D88" w:rsidRPr="00413603" w:rsidRDefault="00101D88" w:rsidP="00413603">
      <w:pPr>
        <w:pStyle w:val="Body"/>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6370866B" w14:textId="77777777" w:rsidR="00416EA1" w:rsidRDefault="00416EA1" w:rsidP="00385391">
      <w:pPr>
        <w:spacing w:line="480" w:lineRule="auto"/>
        <w:ind w:left="567" w:hanging="567"/>
        <w:jc w:val="both"/>
        <w:rPr>
          <w:rFonts w:ascii="Arial" w:hAnsi="Arial" w:cs="Arial"/>
        </w:rPr>
      </w:pPr>
    </w:p>
    <w:p w14:paraId="5ACDA854" w14:textId="2AA155F8"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E7487B">
        <w:rPr>
          <w:rFonts w:ascii="Arial" w:hAnsi="Arial" w:cs="Arial"/>
          <w:sz w:val="22"/>
          <w:szCs w:val="22"/>
        </w:rPr>
        <w:t>21 JULY 2022</w:t>
      </w:r>
    </w:p>
    <w:p w14:paraId="70B75637" w14:textId="0EE3F500" w:rsidR="006710DC" w:rsidRDefault="006630FB" w:rsidP="00F113FD">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F87892">
        <w:rPr>
          <w:rFonts w:ascii="Arial" w:hAnsi="Arial" w:cs="Arial"/>
          <w:sz w:val="22"/>
          <w:szCs w:val="22"/>
        </w:rPr>
        <w:t>8</w:t>
      </w:r>
      <w:r w:rsidR="00341E97">
        <w:rPr>
          <w:rFonts w:ascii="Arial" w:hAnsi="Arial" w:cs="Arial"/>
          <w:sz w:val="22"/>
          <w:szCs w:val="22"/>
        </w:rPr>
        <w:t xml:space="preserve"> AUGUST 2022</w:t>
      </w:r>
    </w:p>
    <w:p w14:paraId="5AE9A27E" w14:textId="77777777" w:rsidR="00E3432B" w:rsidRDefault="00E3432B" w:rsidP="006630FB">
      <w:pPr>
        <w:spacing w:line="480" w:lineRule="auto"/>
        <w:ind w:left="567" w:hanging="567"/>
        <w:jc w:val="both"/>
        <w:rPr>
          <w:rFonts w:ascii="Arial" w:hAnsi="Arial" w:cs="Arial"/>
          <w:sz w:val="22"/>
          <w:szCs w:val="22"/>
        </w:rPr>
      </w:pPr>
    </w:p>
    <w:p w14:paraId="02474508" w14:textId="6420D71F" w:rsidR="006630FB"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C82502">
        <w:rPr>
          <w:rFonts w:ascii="Arial" w:hAnsi="Arial" w:cs="Arial"/>
          <w:sz w:val="22"/>
          <w:szCs w:val="22"/>
        </w:rPr>
        <w:t>S</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E7487B">
        <w:rPr>
          <w:rFonts w:ascii="Arial" w:hAnsi="Arial" w:cs="Arial"/>
          <w:sz w:val="22"/>
          <w:szCs w:val="22"/>
        </w:rPr>
        <w:t>J CILLIERS SC</w:t>
      </w:r>
    </w:p>
    <w:p w14:paraId="31EC970D" w14:textId="4337B050" w:rsidR="00E7487B" w:rsidRPr="00242E76" w:rsidRDefault="00E7487B" w:rsidP="006630FB">
      <w:pPr>
        <w:spacing w:line="48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J WESSELS</w:t>
      </w:r>
    </w:p>
    <w:p w14:paraId="6434C520" w14:textId="572D738E"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C82502">
        <w:rPr>
          <w:rFonts w:ascii="Arial" w:hAnsi="Arial" w:cs="Arial"/>
          <w:sz w:val="22"/>
          <w:szCs w:val="22"/>
        </w:rPr>
        <w:t>MAGDA KETS INCORPORATED</w:t>
      </w:r>
    </w:p>
    <w:p w14:paraId="7383FC0C" w14:textId="64911CB0"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C82502">
        <w:rPr>
          <w:rFonts w:ascii="Arial" w:hAnsi="Arial" w:cs="Arial"/>
          <w:sz w:val="22"/>
          <w:szCs w:val="22"/>
        </w:rPr>
        <w:t>MS M KETS</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655BF0EE"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C82502">
        <w:rPr>
          <w:rFonts w:ascii="Arial" w:hAnsi="Arial" w:cs="Arial"/>
          <w:sz w:val="22"/>
          <w:szCs w:val="22"/>
        </w:rPr>
        <w:t>1</w:t>
      </w:r>
      <w:r w:rsidR="00C82502" w:rsidRPr="00C82502">
        <w:rPr>
          <w:rFonts w:ascii="Arial" w:hAnsi="Arial" w:cs="Arial"/>
          <w:sz w:val="22"/>
          <w:szCs w:val="22"/>
          <w:vertAlign w:val="superscript"/>
        </w:rPr>
        <w:t>ST</w:t>
      </w:r>
      <w:r w:rsidR="00C82502">
        <w:rPr>
          <w:rFonts w:ascii="Arial" w:hAnsi="Arial" w:cs="Arial"/>
          <w:sz w:val="22"/>
          <w:szCs w:val="22"/>
        </w:rPr>
        <w:t xml:space="preserve">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C82502">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E7487B">
        <w:rPr>
          <w:rFonts w:ascii="Arial" w:hAnsi="Arial" w:cs="Arial"/>
          <w:sz w:val="22"/>
          <w:szCs w:val="22"/>
        </w:rPr>
        <w:t>D MOSOMA</w:t>
      </w:r>
    </w:p>
    <w:p w14:paraId="6EEF6A02" w14:textId="09166D28"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E7487B">
        <w:rPr>
          <w:rFonts w:ascii="Arial" w:hAnsi="Arial" w:cs="Arial"/>
          <w:sz w:val="22"/>
          <w:szCs w:val="22"/>
        </w:rPr>
        <w:t>THE STATE ATTORNEY, PRETORIA</w:t>
      </w:r>
    </w:p>
    <w:p w14:paraId="0030EF17" w14:textId="00B4B893"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C82502">
        <w:rPr>
          <w:rFonts w:ascii="Arial" w:hAnsi="Arial" w:cs="Arial"/>
          <w:sz w:val="22"/>
          <w:szCs w:val="22"/>
        </w:rPr>
        <w:t>MS A MOODLEY</w:t>
      </w:r>
    </w:p>
    <w:p w14:paraId="748D69AA" w14:textId="7969D0B6" w:rsidR="00A56BC1" w:rsidRDefault="00A56BC1" w:rsidP="00CB6F8A">
      <w:pPr>
        <w:spacing w:line="480" w:lineRule="auto"/>
        <w:jc w:val="both"/>
        <w:rPr>
          <w:rFonts w:ascii="Arial" w:hAnsi="Arial"/>
          <w:sz w:val="22"/>
          <w:szCs w:val="22"/>
        </w:rPr>
      </w:pPr>
    </w:p>
    <w:p w14:paraId="6136E73D" w14:textId="3F4A9CCC" w:rsidR="00C82502" w:rsidRPr="00242E76" w:rsidRDefault="00E7487B" w:rsidP="00C82502">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Pr>
          <w:rFonts w:ascii="Arial" w:hAnsi="Arial" w:cs="Arial"/>
          <w:sz w:val="22"/>
          <w:szCs w:val="22"/>
        </w:rPr>
        <w:t>2</w:t>
      </w:r>
      <w:r w:rsidRPr="00E7487B">
        <w:rPr>
          <w:rFonts w:ascii="Arial" w:hAnsi="Arial" w:cs="Arial"/>
          <w:sz w:val="22"/>
          <w:szCs w:val="22"/>
          <w:vertAlign w:val="superscript"/>
        </w:rPr>
        <w:t>ND</w:t>
      </w:r>
      <w:r>
        <w:rPr>
          <w:rFonts w:ascii="Arial" w:hAnsi="Arial" w:cs="Arial"/>
          <w:sz w:val="22"/>
          <w:szCs w:val="22"/>
        </w:rPr>
        <w:t xml:space="preserve"> &amp; 3</w:t>
      </w:r>
      <w:r w:rsidRPr="00E7487B">
        <w:rPr>
          <w:rFonts w:ascii="Arial" w:hAnsi="Arial" w:cs="Arial"/>
          <w:sz w:val="22"/>
          <w:szCs w:val="22"/>
          <w:vertAlign w:val="superscript"/>
        </w:rPr>
        <w:t>RD</w:t>
      </w:r>
      <w:r>
        <w:rPr>
          <w:rFonts w:ascii="Arial" w:hAnsi="Arial" w:cs="Arial"/>
          <w:sz w:val="22"/>
          <w:szCs w:val="22"/>
        </w:rPr>
        <w:t xml:space="preserve"> RESPONDENTS</w:t>
      </w:r>
      <w:r w:rsidRPr="00242E76">
        <w:rPr>
          <w:rFonts w:ascii="Arial" w:hAnsi="Arial" w:cs="Arial"/>
          <w:sz w:val="22"/>
          <w:szCs w:val="22"/>
        </w:rPr>
        <w:t>:</w:t>
      </w:r>
      <w:r>
        <w:rPr>
          <w:rFonts w:ascii="Arial" w:hAnsi="Arial" w:cs="Arial"/>
          <w:sz w:val="22"/>
          <w:szCs w:val="22"/>
        </w:rPr>
        <w:tab/>
      </w:r>
      <w:r w:rsidRPr="00242E76">
        <w:rPr>
          <w:rFonts w:ascii="Arial" w:hAnsi="Arial" w:cs="Arial"/>
          <w:sz w:val="22"/>
          <w:szCs w:val="22"/>
        </w:rPr>
        <w:t>ADV</w:t>
      </w:r>
      <w:r>
        <w:rPr>
          <w:rFonts w:ascii="Arial" w:hAnsi="Arial" w:cs="Arial"/>
          <w:sz w:val="22"/>
          <w:szCs w:val="22"/>
        </w:rPr>
        <w:t>. J BLOU SC</w:t>
      </w:r>
    </w:p>
    <w:p w14:paraId="7A461FA5" w14:textId="3412E8CE" w:rsidR="00E7487B" w:rsidRPr="00242E76" w:rsidRDefault="00E7487B" w:rsidP="00E7487B">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sidR="00C82502">
        <w:rPr>
          <w:rFonts w:ascii="Arial" w:hAnsi="Arial" w:cs="Arial"/>
          <w:sz w:val="22"/>
          <w:szCs w:val="22"/>
        </w:rPr>
        <w:t>KNOWLES HUSSAIN LINDSAY INC.</w:t>
      </w:r>
    </w:p>
    <w:p w14:paraId="6F38FC2B" w14:textId="16997090" w:rsidR="00E7487B" w:rsidRDefault="00E7487B" w:rsidP="00E7487B">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r>
      <w:r w:rsidR="00C82502">
        <w:rPr>
          <w:rFonts w:ascii="Arial" w:hAnsi="Arial" w:cs="Arial"/>
          <w:sz w:val="22"/>
          <w:szCs w:val="22"/>
        </w:rPr>
        <w:t>MR I LINDSAY</w:t>
      </w:r>
    </w:p>
    <w:p w14:paraId="6072C765" w14:textId="7FFD7D4C" w:rsidR="0027008F" w:rsidRDefault="0027008F" w:rsidP="001F07DD">
      <w:pPr>
        <w:spacing w:line="480" w:lineRule="auto"/>
        <w:ind w:left="567" w:hanging="567"/>
        <w:jc w:val="both"/>
        <w:rPr>
          <w:rFonts w:ascii="Arial" w:hAnsi="Arial" w:cs="Arial"/>
        </w:rPr>
      </w:pPr>
    </w:p>
    <w:p w14:paraId="56023C2B" w14:textId="0EC2A212" w:rsidR="0027008F" w:rsidRPr="00CB6F8A" w:rsidRDefault="00C82502" w:rsidP="00CB6F8A">
      <w:pPr>
        <w:spacing w:line="480" w:lineRule="auto"/>
        <w:jc w:val="both"/>
        <w:rPr>
          <w:rFonts w:ascii="Arial" w:hAnsi="Arial"/>
          <w:sz w:val="22"/>
          <w:szCs w:val="22"/>
        </w:rPr>
      </w:pPr>
      <w:r>
        <w:rPr>
          <w:rFonts w:ascii="Arial" w:hAnsi="Arial"/>
          <w:sz w:val="22"/>
          <w:szCs w:val="22"/>
        </w:rPr>
        <w:t>NO APPEARANCE FOR THE 4</w:t>
      </w:r>
      <w:r w:rsidRPr="00C82502">
        <w:rPr>
          <w:rFonts w:ascii="Arial" w:hAnsi="Arial"/>
          <w:sz w:val="22"/>
          <w:szCs w:val="22"/>
          <w:vertAlign w:val="superscript"/>
        </w:rPr>
        <w:t>TH</w:t>
      </w:r>
      <w:r>
        <w:rPr>
          <w:rFonts w:ascii="Arial" w:hAnsi="Arial"/>
          <w:sz w:val="22"/>
          <w:szCs w:val="22"/>
        </w:rPr>
        <w:t xml:space="preserve"> AND 5</w:t>
      </w:r>
      <w:r w:rsidRPr="00C82502">
        <w:rPr>
          <w:rFonts w:ascii="Arial" w:hAnsi="Arial"/>
          <w:sz w:val="22"/>
          <w:szCs w:val="22"/>
          <w:vertAlign w:val="superscript"/>
        </w:rPr>
        <w:t>TH</w:t>
      </w:r>
      <w:r>
        <w:rPr>
          <w:rFonts w:ascii="Arial" w:hAnsi="Arial"/>
          <w:sz w:val="22"/>
          <w:szCs w:val="22"/>
        </w:rPr>
        <w:t xml:space="preserve"> RESPONDENTS.</w:t>
      </w:r>
    </w:p>
    <w:sectPr w:rsidR="0027008F" w:rsidRPr="00CB6F8A" w:rsidSect="003F404E">
      <w:headerReference w:type="even" r:id="rId9"/>
      <w:headerReference w:type="default" r:id="rId10"/>
      <w:pgSz w:w="12240" w:h="15840"/>
      <w:pgMar w:top="222"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1B91" w14:textId="77777777" w:rsidR="0038121E" w:rsidRDefault="0038121E" w:rsidP="008C18AE">
      <w:r>
        <w:separator/>
      </w:r>
    </w:p>
  </w:endnote>
  <w:endnote w:type="continuationSeparator" w:id="0">
    <w:p w14:paraId="20BB9AF9" w14:textId="77777777" w:rsidR="0038121E" w:rsidRDefault="0038121E"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A2A4" w14:textId="77777777" w:rsidR="0038121E" w:rsidRDefault="0038121E" w:rsidP="008C18AE">
      <w:r>
        <w:separator/>
      </w:r>
    </w:p>
  </w:footnote>
  <w:footnote w:type="continuationSeparator" w:id="0">
    <w:p w14:paraId="232B0F4D" w14:textId="77777777" w:rsidR="0038121E" w:rsidRDefault="0038121E" w:rsidP="008C18AE">
      <w:r>
        <w:continuationSeparator/>
      </w:r>
    </w:p>
  </w:footnote>
  <w:footnote w:id="1">
    <w:p w14:paraId="721D341F" w14:textId="15ECF989" w:rsidR="00EA79AD" w:rsidRPr="00F62C95" w:rsidRDefault="00EA79AD" w:rsidP="00996B9B">
      <w:pPr>
        <w:pStyle w:val="FootnoteText"/>
        <w:ind w:left="284" w:hanging="284"/>
        <w:jc w:val="both"/>
        <w:rPr>
          <w:rFonts w:ascii="Arial" w:hAnsi="Arial" w:cs="Arial"/>
          <w:sz w:val="20"/>
          <w:szCs w:val="20"/>
        </w:rPr>
      </w:pPr>
      <w:r w:rsidRPr="00F62C95">
        <w:rPr>
          <w:rStyle w:val="FootnoteReference"/>
          <w:rFonts w:ascii="Arial" w:hAnsi="Arial" w:cs="Arial"/>
          <w:sz w:val="20"/>
          <w:szCs w:val="20"/>
        </w:rPr>
        <w:footnoteRef/>
      </w:r>
      <w:r w:rsidRPr="00F62C95">
        <w:rPr>
          <w:rFonts w:ascii="Arial" w:hAnsi="Arial" w:cs="Arial"/>
          <w:sz w:val="20"/>
          <w:szCs w:val="20"/>
        </w:rPr>
        <w:t xml:space="preserve"> </w:t>
      </w:r>
      <w:r w:rsidR="00996B9B">
        <w:rPr>
          <w:rFonts w:ascii="Arial" w:hAnsi="Arial" w:cs="Arial"/>
          <w:sz w:val="20"/>
          <w:szCs w:val="20"/>
        </w:rPr>
        <w:tab/>
      </w:r>
      <w:r w:rsidRPr="00F62C95">
        <w:rPr>
          <w:rFonts w:ascii="Arial" w:hAnsi="Arial" w:cs="Arial"/>
          <w:sz w:val="20"/>
          <w:szCs w:val="20"/>
        </w:rPr>
        <w:t>61 of 1973</w:t>
      </w:r>
    </w:p>
  </w:footnote>
  <w:footnote w:id="2">
    <w:p w14:paraId="2030F945" w14:textId="2B5A5C9D" w:rsidR="0012310D" w:rsidRPr="00F62C95" w:rsidRDefault="0012310D" w:rsidP="00996B9B">
      <w:pPr>
        <w:pStyle w:val="FootnoteText"/>
        <w:ind w:left="284" w:hanging="284"/>
        <w:jc w:val="both"/>
        <w:rPr>
          <w:rFonts w:ascii="Arial" w:hAnsi="Arial" w:cs="Arial"/>
          <w:sz w:val="20"/>
          <w:szCs w:val="20"/>
        </w:rPr>
      </w:pPr>
      <w:r w:rsidRPr="00F62C95">
        <w:rPr>
          <w:rStyle w:val="FootnoteReference"/>
          <w:rFonts w:ascii="Arial" w:hAnsi="Arial" w:cs="Arial"/>
          <w:sz w:val="20"/>
          <w:szCs w:val="20"/>
        </w:rPr>
        <w:footnoteRef/>
      </w:r>
      <w:r w:rsidRPr="00F62C95">
        <w:rPr>
          <w:rFonts w:ascii="Arial" w:hAnsi="Arial" w:cs="Arial"/>
          <w:sz w:val="20"/>
          <w:szCs w:val="20"/>
        </w:rPr>
        <w:t xml:space="preserve"> </w:t>
      </w:r>
      <w:r w:rsidR="00996B9B">
        <w:rPr>
          <w:rFonts w:ascii="Arial" w:hAnsi="Arial" w:cs="Arial"/>
          <w:sz w:val="20"/>
          <w:szCs w:val="20"/>
        </w:rPr>
        <w:tab/>
      </w:r>
      <w:r w:rsidRPr="00F62C95">
        <w:rPr>
          <w:rFonts w:ascii="Arial" w:hAnsi="Arial" w:cs="Arial"/>
          <w:sz w:val="20"/>
          <w:szCs w:val="20"/>
        </w:rPr>
        <w:t xml:space="preserve">Section 2 of the Administration of Estates Act 66 of 1965 provides for the appointment of a Chief Master.  Section 2(1)(b)(iii) specifically provides that one of the functions of the Chief Master is to </w:t>
      </w:r>
      <w:r w:rsidRPr="00996B9B">
        <w:rPr>
          <w:rFonts w:ascii="Arial" w:hAnsi="Arial" w:cs="Arial"/>
          <w:i/>
          <w:iCs/>
          <w:sz w:val="20"/>
          <w:szCs w:val="20"/>
        </w:rPr>
        <w:t>‘exercise control, direction and supervision over all the Masters’</w:t>
      </w:r>
      <w:r w:rsidRPr="00F62C95">
        <w:rPr>
          <w:rFonts w:ascii="Arial" w:hAnsi="Arial" w:cs="Arial"/>
          <w:sz w:val="20"/>
          <w:szCs w:val="20"/>
        </w:rPr>
        <w:t>.</w:t>
      </w:r>
    </w:p>
  </w:footnote>
  <w:footnote w:id="3">
    <w:p w14:paraId="19461829" w14:textId="37A02387" w:rsidR="0012310D" w:rsidRPr="00F62C95" w:rsidRDefault="0012310D" w:rsidP="00996B9B">
      <w:pPr>
        <w:pStyle w:val="FootnoteText"/>
        <w:ind w:left="284" w:hanging="284"/>
        <w:jc w:val="both"/>
        <w:rPr>
          <w:rFonts w:ascii="Arial" w:hAnsi="Arial" w:cs="Arial"/>
          <w:sz w:val="20"/>
          <w:szCs w:val="20"/>
        </w:rPr>
      </w:pPr>
      <w:r w:rsidRPr="00F62C95">
        <w:rPr>
          <w:rStyle w:val="FootnoteReference"/>
          <w:rFonts w:ascii="Arial" w:hAnsi="Arial" w:cs="Arial"/>
          <w:sz w:val="20"/>
          <w:szCs w:val="20"/>
        </w:rPr>
        <w:footnoteRef/>
      </w:r>
      <w:r w:rsidRPr="00F62C95">
        <w:rPr>
          <w:rFonts w:ascii="Arial" w:hAnsi="Arial" w:cs="Arial"/>
          <w:sz w:val="20"/>
          <w:szCs w:val="20"/>
        </w:rPr>
        <w:t xml:space="preserve"> </w:t>
      </w:r>
      <w:r w:rsidR="00996B9B">
        <w:rPr>
          <w:rFonts w:ascii="Arial" w:hAnsi="Arial" w:cs="Arial"/>
          <w:sz w:val="20"/>
          <w:szCs w:val="20"/>
        </w:rPr>
        <w:tab/>
      </w:r>
      <w:r w:rsidRPr="00F62C95">
        <w:rPr>
          <w:rFonts w:ascii="Arial" w:hAnsi="Arial" w:cs="Arial"/>
          <w:sz w:val="20"/>
          <w:szCs w:val="20"/>
        </w:rPr>
        <w:t>Section</w:t>
      </w:r>
      <w:r w:rsidR="00695349" w:rsidRPr="00F62C95">
        <w:rPr>
          <w:rFonts w:ascii="Arial" w:hAnsi="Arial" w:cs="Arial"/>
          <w:sz w:val="20"/>
          <w:szCs w:val="20"/>
        </w:rPr>
        <w:t xml:space="preserve"> 15</w:t>
      </w:r>
      <w:r w:rsidRPr="00F62C95">
        <w:rPr>
          <w:rFonts w:ascii="Arial" w:hAnsi="Arial" w:cs="Arial"/>
          <w:sz w:val="20"/>
          <w:szCs w:val="20"/>
        </w:rPr>
        <w:t xml:space="preserve"> of The Judicial Matters Amendment Act 16 of 2003.  The preamble to that Act makes clear that the relevant Minister is the Minister of Justice and Correctional Services. </w:t>
      </w:r>
    </w:p>
  </w:footnote>
  <w:footnote w:id="4">
    <w:p w14:paraId="7DACD248" w14:textId="3F2DAB86" w:rsidR="00695349" w:rsidRDefault="00695349" w:rsidP="00996B9B">
      <w:pPr>
        <w:pStyle w:val="FootnoteText"/>
        <w:ind w:left="284" w:hanging="284"/>
        <w:jc w:val="both"/>
      </w:pPr>
      <w:r w:rsidRPr="00F62C95">
        <w:rPr>
          <w:rStyle w:val="FootnoteReference"/>
          <w:rFonts w:ascii="Arial" w:hAnsi="Arial" w:cs="Arial"/>
          <w:sz w:val="20"/>
          <w:szCs w:val="20"/>
        </w:rPr>
        <w:footnoteRef/>
      </w:r>
      <w:r w:rsidRPr="00F62C95">
        <w:rPr>
          <w:rFonts w:ascii="Arial" w:hAnsi="Arial" w:cs="Arial"/>
          <w:sz w:val="20"/>
          <w:szCs w:val="20"/>
        </w:rPr>
        <w:t xml:space="preserve"> </w:t>
      </w:r>
      <w:r w:rsidR="00996B9B">
        <w:rPr>
          <w:rFonts w:ascii="Arial" w:hAnsi="Arial" w:cs="Arial"/>
          <w:sz w:val="20"/>
          <w:szCs w:val="20"/>
        </w:rPr>
        <w:tab/>
      </w:r>
      <w:r w:rsidRPr="00F62C95">
        <w:rPr>
          <w:rFonts w:ascii="Arial" w:hAnsi="Arial" w:cs="Arial"/>
          <w:sz w:val="20"/>
          <w:szCs w:val="20"/>
        </w:rPr>
        <w:t>Section 17 of The Judicial Matters Amendment Act 16 of 2003</w:t>
      </w:r>
    </w:p>
  </w:footnote>
  <w:footnote w:id="5">
    <w:p w14:paraId="76FE829A" w14:textId="79C98A4B" w:rsidR="0021667B" w:rsidRPr="003F404E" w:rsidRDefault="0021667B" w:rsidP="003F404E">
      <w:pPr>
        <w:pStyle w:val="FootnoteText"/>
        <w:tabs>
          <w:tab w:val="center" w:pos="567"/>
        </w:tabs>
        <w:ind w:left="284" w:right="4" w:hanging="284"/>
        <w:jc w:val="both"/>
        <w:rPr>
          <w:rFonts w:ascii="Arial" w:hAnsi="Arial" w:cs="Arial"/>
          <w:sz w:val="20"/>
          <w:szCs w:val="20"/>
        </w:rPr>
      </w:pPr>
      <w:r w:rsidRPr="00CE6C1E">
        <w:rPr>
          <w:rStyle w:val="FootnoteReference"/>
          <w:rFonts w:ascii="Arial" w:hAnsi="Arial" w:cs="Arial"/>
          <w:sz w:val="20"/>
          <w:szCs w:val="20"/>
        </w:rPr>
        <w:footnoteRef/>
      </w:r>
      <w:r w:rsidRPr="00CE6C1E">
        <w:rPr>
          <w:rFonts w:ascii="Arial" w:hAnsi="Arial" w:cs="Arial"/>
          <w:sz w:val="20"/>
          <w:szCs w:val="20"/>
        </w:rPr>
        <w:t xml:space="preserve">  </w:t>
      </w:r>
      <w:r w:rsidRPr="003F404E">
        <w:rPr>
          <w:rFonts w:ascii="Arial" w:hAnsi="Arial" w:cs="Arial"/>
          <w:sz w:val="20"/>
          <w:szCs w:val="20"/>
        </w:rPr>
        <w:t>Barnes</w:t>
      </w:r>
      <w:r w:rsidR="003F404E" w:rsidRPr="003F404E">
        <w:rPr>
          <w:rFonts w:ascii="Arial" w:hAnsi="Arial" w:cs="Arial"/>
          <w:sz w:val="20"/>
          <w:szCs w:val="20"/>
        </w:rPr>
        <w:t xml:space="preserve"> </w:t>
      </w:r>
      <w:r w:rsidRPr="003F404E">
        <w:rPr>
          <w:rFonts w:ascii="Arial" w:hAnsi="Arial" w:cs="Arial"/>
          <w:sz w:val="20"/>
          <w:szCs w:val="20"/>
        </w:rPr>
        <w:t xml:space="preserve">v </w:t>
      </w:r>
      <w:proofErr w:type="spellStart"/>
      <w:r w:rsidRPr="003F404E">
        <w:rPr>
          <w:rFonts w:ascii="Arial" w:hAnsi="Arial" w:cs="Arial"/>
          <w:sz w:val="20"/>
          <w:szCs w:val="20"/>
        </w:rPr>
        <w:t>Mangaung</w:t>
      </w:r>
      <w:proofErr w:type="spellEnd"/>
      <w:r w:rsidRPr="003F404E">
        <w:rPr>
          <w:rFonts w:ascii="Arial" w:hAnsi="Arial" w:cs="Arial"/>
          <w:sz w:val="20"/>
          <w:szCs w:val="20"/>
        </w:rPr>
        <w:t xml:space="preserve"> Metropolitan Municipality &amp; Another (996/2020) ZASCA 77 (30 May 2022) at paragraph 4.</w:t>
      </w:r>
    </w:p>
  </w:footnote>
  <w:footnote w:id="6">
    <w:p w14:paraId="0DC66706" w14:textId="509F0691" w:rsidR="00315722" w:rsidRPr="003F404E" w:rsidRDefault="00315722" w:rsidP="003F404E">
      <w:pPr>
        <w:pStyle w:val="FootnoteText"/>
        <w:ind w:left="284" w:right="4" w:hanging="284"/>
        <w:rPr>
          <w:rFonts w:ascii="Arial" w:hAnsi="Arial" w:cs="Arial"/>
          <w:sz w:val="20"/>
          <w:szCs w:val="20"/>
        </w:rPr>
      </w:pPr>
      <w:r w:rsidRPr="003F404E">
        <w:rPr>
          <w:rStyle w:val="FootnoteReference"/>
          <w:rFonts w:ascii="Arial" w:hAnsi="Arial" w:cs="Arial"/>
          <w:sz w:val="20"/>
          <w:szCs w:val="20"/>
        </w:rPr>
        <w:footnoteRef/>
      </w:r>
      <w:r w:rsidRPr="003F404E">
        <w:rPr>
          <w:rFonts w:ascii="Arial" w:hAnsi="Arial" w:cs="Arial"/>
          <w:sz w:val="20"/>
          <w:szCs w:val="20"/>
        </w:rPr>
        <w:t xml:space="preserve"> </w:t>
      </w:r>
      <w:r w:rsidR="00CE6C1E" w:rsidRPr="003F404E">
        <w:rPr>
          <w:rFonts w:ascii="Arial" w:hAnsi="Arial" w:cs="Arial"/>
          <w:sz w:val="20"/>
          <w:szCs w:val="20"/>
        </w:rPr>
        <w:t xml:space="preserve">   </w:t>
      </w:r>
      <w:r w:rsidR="00D674DC" w:rsidRPr="003F404E">
        <w:rPr>
          <w:rFonts w:ascii="Arial" w:hAnsi="Arial" w:cs="Arial"/>
          <w:sz w:val="20"/>
          <w:szCs w:val="20"/>
        </w:rPr>
        <w:t>Government Gazette No 37287 published on 7 February 2014</w:t>
      </w:r>
    </w:p>
  </w:footnote>
  <w:footnote w:id="7">
    <w:p w14:paraId="3A01C413" w14:textId="69495E8F" w:rsidR="00640A01" w:rsidRPr="003F404E" w:rsidRDefault="00640A01" w:rsidP="003F404E">
      <w:pPr>
        <w:pStyle w:val="FootnoteText"/>
        <w:ind w:left="284" w:right="4" w:hanging="284"/>
        <w:rPr>
          <w:rFonts w:ascii="Arial" w:hAnsi="Arial" w:cs="Arial"/>
          <w:sz w:val="20"/>
          <w:szCs w:val="20"/>
        </w:rPr>
      </w:pPr>
      <w:r w:rsidRPr="003F404E">
        <w:rPr>
          <w:rStyle w:val="FootnoteReference"/>
          <w:rFonts w:ascii="Arial" w:hAnsi="Arial" w:cs="Arial"/>
          <w:sz w:val="20"/>
          <w:szCs w:val="20"/>
        </w:rPr>
        <w:footnoteRef/>
      </w:r>
      <w:r w:rsidRPr="003F404E">
        <w:rPr>
          <w:rFonts w:ascii="Arial" w:hAnsi="Arial" w:cs="Arial"/>
          <w:sz w:val="20"/>
          <w:szCs w:val="20"/>
        </w:rPr>
        <w:t xml:space="preserve">    SA Restructuring and Insolvency Practitioners Association</w:t>
      </w:r>
      <w:r w:rsidR="00422311" w:rsidRPr="003F404E">
        <w:rPr>
          <w:rFonts w:ascii="Arial" w:hAnsi="Arial" w:cs="Arial"/>
          <w:sz w:val="20"/>
          <w:szCs w:val="20"/>
        </w:rPr>
        <w:t xml:space="preserve"> </w:t>
      </w:r>
      <w:proofErr w:type="gramStart"/>
      <w:r w:rsidR="00422311" w:rsidRPr="003F404E">
        <w:rPr>
          <w:rFonts w:ascii="Arial" w:hAnsi="Arial" w:cs="Arial"/>
          <w:sz w:val="20"/>
          <w:szCs w:val="20"/>
        </w:rPr>
        <w:t>v</w:t>
      </w:r>
      <w:proofErr w:type="gramEnd"/>
      <w:r w:rsidR="00422311" w:rsidRPr="003F404E">
        <w:rPr>
          <w:rFonts w:ascii="Arial" w:hAnsi="Arial" w:cs="Arial"/>
          <w:sz w:val="20"/>
          <w:szCs w:val="20"/>
        </w:rPr>
        <w:t xml:space="preserve"> Minister of Justice and Constitutional Development </w:t>
      </w:r>
      <w:r w:rsidRPr="003F404E">
        <w:rPr>
          <w:rFonts w:ascii="Arial" w:hAnsi="Arial" w:cs="Arial"/>
          <w:sz w:val="20"/>
          <w:szCs w:val="20"/>
        </w:rPr>
        <w:t>201</w:t>
      </w:r>
      <w:r w:rsidR="00422311" w:rsidRPr="003F404E">
        <w:rPr>
          <w:rFonts w:ascii="Arial" w:hAnsi="Arial" w:cs="Arial"/>
          <w:sz w:val="20"/>
          <w:szCs w:val="20"/>
        </w:rPr>
        <w:t>5</w:t>
      </w:r>
      <w:r w:rsidRPr="003F404E">
        <w:rPr>
          <w:rFonts w:ascii="Arial" w:hAnsi="Arial" w:cs="Arial"/>
          <w:sz w:val="20"/>
          <w:szCs w:val="20"/>
        </w:rPr>
        <w:t xml:space="preserve"> (</w:t>
      </w:r>
      <w:r w:rsidR="00422311" w:rsidRPr="003F404E">
        <w:rPr>
          <w:rFonts w:ascii="Arial" w:hAnsi="Arial" w:cs="Arial"/>
          <w:sz w:val="20"/>
          <w:szCs w:val="20"/>
        </w:rPr>
        <w:t>2</w:t>
      </w:r>
      <w:r w:rsidRPr="003F404E">
        <w:rPr>
          <w:rFonts w:ascii="Arial" w:hAnsi="Arial" w:cs="Arial"/>
          <w:sz w:val="20"/>
          <w:szCs w:val="20"/>
        </w:rPr>
        <w:t xml:space="preserve">) SA </w:t>
      </w:r>
      <w:r w:rsidR="00422311" w:rsidRPr="003F404E">
        <w:rPr>
          <w:rFonts w:ascii="Arial" w:hAnsi="Arial" w:cs="Arial"/>
          <w:sz w:val="20"/>
          <w:szCs w:val="20"/>
        </w:rPr>
        <w:t>430</w:t>
      </w:r>
      <w:r w:rsidRPr="003F404E">
        <w:rPr>
          <w:rFonts w:ascii="Arial" w:hAnsi="Arial" w:cs="Arial"/>
          <w:sz w:val="20"/>
          <w:szCs w:val="20"/>
        </w:rPr>
        <w:t xml:space="preserve"> (</w:t>
      </w:r>
      <w:r w:rsidR="00422311" w:rsidRPr="003F404E">
        <w:rPr>
          <w:rFonts w:ascii="Arial" w:hAnsi="Arial" w:cs="Arial"/>
          <w:sz w:val="20"/>
          <w:szCs w:val="20"/>
        </w:rPr>
        <w:t>W</w:t>
      </w:r>
      <w:r w:rsidRPr="003F404E">
        <w:rPr>
          <w:rFonts w:ascii="Arial" w:hAnsi="Arial" w:cs="Arial"/>
          <w:sz w:val="20"/>
          <w:szCs w:val="20"/>
        </w:rPr>
        <w:t>CC)</w:t>
      </w:r>
    </w:p>
  </w:footnote>
  <w:footnote w:id="8">
    <w:p w14:paraId="3880BA6B" w14:textId="3D7FABD1" w:rsidR="00422311" w:rsidRPr="003F404E" w:rsidRDefault="00422311" w:rsidP="003F404E">
      <w:pPr>
        <w:pStyle w:val="FootnoteText"/>
        <w:ind w:left="284" w:right="4" w:firstLine="16"/>
        <w:rPr>
          <w:sz w:val="20"/>
          <w:szCs w:val="20"/>
        </w:rPr>
      </w:pPr>
      <w:r w:rsidRPr="003F404E">
        <w:rPr>
          <w:rFonts w:ascii="Arial" w:hAnsi="Arial" w:cs="Arial"/>
          <w:sz w:val="20"/>
          <w:szCs w:val="20"/>
        </w:rPr>
        <w:t>Minister of Justice and Constitutional Development &amp; Another v South African Restructuring &amp; Insolvency Practitioners Association &amp; Others 2017 (3) SA 95 (SCA)</w:t>
      </w:r>
    </w:p>
  </w:footnote>
  <w:footnote w:id="9">
    <w:p w14:paraId="5F081F94" w14:textId="0F3BD91A" w:rsidR="00315722" w:rsidRDefault="00315722" w:rsidP="003F404E">
      <w:pPr>
        <w:pStyle w:val="FootnoteText"/>
        <w:ind w:left="284" w:right="4" w:hanging="284"/>
      </w:pPr>
      <w:r w:rsidRPr="003F404E">
        <w:rPr>
          <w:rStyle w:val="FootnoteReference"/>
          <w:rFonts w:ascii="Arial" w:hAnsi="Arial" w:cs="Arial"/>
          <w:sz w:val="20"/>
          <w:szCs w:val="20"/>
        </w:rPr>
        <w:footnoteRef/>
      </w:r>
      <w:r w:rsidRPr="003F404E">
        <w:rPr>
          <w:rFonts w:ascii="Arial" w:hAnsi="Arial" w:cs="Arial"/>
          <w:sz w:val="20"/>
          <w:szCs w:val="20"/>
        </w:rPr>
        <w:t xml:space="preserve"> </w:t>
      </w:r>
      <w:r w:rsidR="00CE6C1E" w:rsidRPr="003F404E">
        <w:rPr>
          <w:rFonts w:ascii="Arial" w:hAnsi="Arial" w:cs="Arial"/>
          <w:sz w:val="20"/>
          <w:szCs w:val="20"/>
        </w:rPr>
        <w:t xml:space="preserve">   </w:t>
      </w:r>
      <w:r w:rsidR="003F6889" w:rsidRPr="003F404E">
        <w:rPr>
          <w:rFonts w:ascii="Arial" w:hAnsi="Arial" w:cs="Arial"/>
          <w:sz w:val="20"/>
          <w:szCs w:val="20"/>
        </w:rPr>
        <w:t xml:space="preserve">Minister of </w:t>
      </w:r>
      <w:r w:rsidR="00422311" w:rsidRPr="003F404E">
        <w:rPr>
          <w:rFonts w:ascii="Arial" w:hAnsi="Arial" w:cs="Arial"/>
          <w:sz w:val="20"/>
          <w:szCs w:val="20"/>
        </w:rPr>
        <w:t xml:space="preserve">Justice and </w:t>
      </w:r>
      <w:r w:rsidR="003F6889" w:rsidRPr="003F404E">
        <w:rPr>
          <w:rFonts w:ascii="Arial" w:hAnsi="Arial" w:cs="Arial"/>
          <w:sz w:val="20"/>
          <w:szCs w:val="20"/>
        </w:rPr>
        <w:t>Constitutional Development &amp; Another v South African Restructuring &amp; Insolvency Practitioners Association &amp; Others 2018</w:t>
      </w:r>
      <w:r w:rsidR="00640A01" w:rsidRPr="003F404E">
        <w:rPr>
          <w:rFonts w:ascii="Arial" w:hAnsi="Arial" w:cs="Arial"/>
          <w:sz w:val="20"/>
          <w:szCs w:val="20"/>
        </w:rPr>
        <w:t xml:space="preserve"> </w:t>
      </w:r>
      <w:r w:rsidR="00950A27" w:rsidRPr="003F404E">
        <w:rPr>
          <w:rFonts w:ascii="Arial" w:hAnsi="Arial" w:cs="Arial"/>
          <w:sz w:val="20"/>
          <w:szCs w:val="20"/>
        </w:rPr>
        <w:t>(</w:t>
      </w:r>
      <w:r w:rsidR="00640A01" w:rsidRPr="003F404E">
        <w:rPr>
          <w:rFonts w:ascii="Arial" w:hAnsi="Arial" w:cs="Arial"/>
          <w:sz w:val="20"/>
          <w:szCs w:val="20"/>
        </w:rPr>
        <w:t>5</w:t>
      </w:r>
      <w:r w:rsidR="00950A27" w:rsidRPr="003F404E">
        <w:rPr>
          <w:rFonts w:ascii="Arial" w:hAnsi="Arial" w:cs="Arial"/>
          <w:sz w:val="20"/>
          <w:szCs w:val="20"/>
        </w:rPr>
        <w:t>)</w:t>
      </w:r>
      <w:r w:rsidR="00640A01" w:rsidRPr="003F404E">
        <w:rPr>
          <w:rFonts w:ascii="Arial" w:hAnsi="Arial" w:cs="Arial"/>
          <w:sz w:val="20"/>
          <w:szCs w:val="20"/>
        </w:rPr>
        <w:t xml:space="preserve"> SA 349 (CC)</w:t>
      </w:r>
      <w:r w:rsidR="00640A01">
        <w:rPr>
          <w:rFonts w:ascii="Arial" w:hAnsi="Arial" w:cs="Arial"/>
          <w:sz w:val="20"/>
          <w:szCs w:val="20"/>
        </w:rPr>
        <w:t xml:space="preserve"> </w:t>
      </w:r>
      <w:r w:rsidR="003F6889" w:rsidRPr="00CE6C1E">
        <w:rPr>
          <w:rFonts w:ascii="Arial" w:hAnsi="Arial" w:cs="Arial"/>
          <w:sz w:val="20"/>
          <w:szCs w:val="20"/>
        </w:rPr>
        <w:t xml:space="preserve"> </w:t>
      </w:r>
    </w:p>
  </w:footnote>
  <w:footnote w:id="10">
    <w:p w14:paraId="3F98102D" w14:textId="6A072A73" w:rsidR="00E10EE6" w:rsidRPr="00F62C95" w:rsidRDefault="00E10EE6" w:rsidP="00996B9B">
      <w:pPr>
        <w:pStyle w:val="FootnoteText"/>
        <w:ind w:left="284" w:hanging="284"/>
        <w:rPr>
          <w:rFonts w:ascii="Arial" w:hAnsi="Arial" w:cs="Arial"/>
          <w:sz w:val="20"/>
          <w:szCs w:val="20"/>
        </w:rPr>
      </w:pPr>
      <w:r w:rsidRPr="00F62C95">
        <w:rPr>
          <w:rStyle w:val="FootnoteReference"/>
          <w:rFonts w:ascii="Arial" w:hAnsi="Arial" w:cs="Arial"/>
          <w:sz w:val="20"/>
          <w:szCs w:val="20"/>
        </w:rPr>
        <w:footnoteRef/>
      </w:r>
      <w:r w:rsidRPr="00F62C95">
        <w:rPr>
          <w:rFonts w:ascii="Arial" w:hAnsi="Arial" w:cs="Arial"/>
          <w:sz w:val="20"/>
          <w:szCs w:val="20"/>
        </w:rPr>
        <w:t xml:space="preserve"> Section 16 of The Judicial Matters Amendment Act 16 of 2003</w:t>
      </w:r>
    </w:p>
  </w:footnote>
  <w:footnote w:id="11">
    <w:p w14:paraId="5D8E31DF" w14:textId="71A7CF1A" w:rsidR="000C13AB" w:rsidRDefault="000C13AB" w:rsidP="00996B9B">
      <w:pPr>
        <w:pStyle w:val="FootnoteText"/>
        <w:ind w:left="284" w:hanging="284"/>
      </w:pPr>
      <w:r w:rsidRPr="000C13AB">
        <w:rPr>
          <w:rStyle w:val="FootnoteReference"/>
          <w:rFonts w:ascii="Arial" w:hAnsi="Arial" w:cs="Arial"/>
          <w:sz w:val="20"/>
          <w:szCs w:val="20"/>
        </w:rPr>
        <w:footnoteRef/>
      </w:r>
      <w:r w:rsidRPr="000C13AB">
        <w:rPr>
          <w:rFonts w:ascii="Arial" w:hAnsi="Arial" w:cs="Arial"/>
          <w:sz w:val="20"/>
          <w:szCs w:val="20"/>
        </w:rPr>
        <w:t xml:space="preserve"> [2022] ZACC 16 – decided on 27 May 2022</w:t>
      </w:r>
    </w:p>
  </w:footnote>
  <w:footnote w:id="12">
    <w:p w14:paraId="41B7EC8A" w14:textId="77777777" w:rsidR="000926F4" w:rsidRPr="000926F4" w:rsidRDefault="000926F4" w:rsidP="000926F4">
      <w:pPr>
        <w:pStyle w:val="Body"/>
        <w:spacing w:line="360" w:lineRule="auto"/>
        <w:jc w:val="both"/>
        <w:rPr>
          <w:rFonts w:cs="Arial"/>
          <w:bCs/>
          <w:sz w:val="20"/>
          <w:szCs w:val="20"/>
        </w:rPr>
      </w:pPr>
      <w:r>
        <w:rPr>
          <w:rStyle w:val="FootnoteReference"/>
        </w:rPr>
        <w:footnoteRef/>
      </w:r>
      <w:r>
        <w:t xml:space="preserve"> </w:t>
      </w:r>
      <w:r w:rsidRPr="000926F4">
        <w:rPr>
          <w:rFonts w:eastAsia="Times New Roman" w:cs="Arial"/>
          <w:sz w:val="20"/>
          <w:szCs w:val="20"/>
          <w:lang w:val="en-ZA" w:eastAsia="en-GB"/>
        </w:rPr>
        <w:t>In </w:t>
      </w:r>
      <w:proofErr w:type="spellStart"/>
      <w:r w:rsidRPr="000926F4">
        <w:rPr>
          <w:rFonts w:eastAsia="Times New Roman" w:cs="Arial"/>
          <w:sz w:val="20"/>
          <w:szCs w:val="20"/>
          <w:lang w:val="en-ZA" w:eastAsia="en-GB"/>
        </w:rPr>
        <w:t>Janse</w:t>
      </w:r>
      <w:proofErr w:type="spellEnd"/>
      <w:r w:rsidRPr="000926F4">
        <w:rPr>
          <w:rFonts w:eastAsia="Times New Roman" w:cs="Arial"/>
          <w:sz w:val="20"/>
          <w:szCs w:val="20"/>
          <w:lang w:val="en-ZA" w:eastAsia="en-GB"/>
        </w:rPr>
        <w:t xml:space="preserve"> Van Rensburg v The Master and </w:t>
      </w:r>
      <w:proofErr w:type="gramStart"/>
      <w:r w:rsidRPr="000926F4">
        <w:rPr>
          <w:rFonts w:eastAsia="Times New Roman" w:cs="Arial"/>
          <w:sz w:val="20"/>
          <w:szCs w:val="20"/>
          <w:lang w:val="en-ZA" w:eastAsia="en-GB"/>
        </w:rPr>
        <w:t>Others  2004</w:t>
      </w:r>
      <w:proofErr w:type="gramEnd"/>
      <w:r w:rsidRPr="000926F4">
        <w:rPr>
          <w:rFonts w:eastAsia="Times New Roman" w:cs="Arial"/>
          <w:sz w:val="20"/>
          <w:szCs w:val="20"/>
          <w:lang w:val="en-ZA" w:eastAsia="en-GB"/>
        </w:rPr>
        <w:t xml:space="preserve"> (5) SA 173 at 178B-C it was held that: </w:t>
      </w:r>
    </w:p>
    <w:p w14:paraId="47FA36DC" w14:textId="77777777" w:rsidR="000926F4" w:rsidRPr="000926F4" w:rsidRDefault="000926F4" w:rsidP="000926F4">
      <w:pPr>
        <w:pStyle w:val="ListParagraph"/>
        <w:rPr>
          <w:rFonts w:eastAsia="Times New Roman" w:cs="Arial"/>
          <w:sz w:val="20"/>
          <w:szCs w:val="20"/>
          <w:lang w:val="en-ZA" w:eastAsia="en-GB"/>
        </w:rPr>
      </w:pPr>
    </w:p>
    <w:p w14:paraId="65176FC2" w14:textId="77777777" w:rsidR="000926F4" w:rsidRPr="000926F4" w:rsidRDefault="000926F4" w:rsidP="000926F4">
      <w:pPr>
        <w:pStyle w:val="ListParagraph"/>
        <w:rPr>
          <w:rFonts w:eastAsia="Times New Roman" w:cs="Arial"/>
          <w:sz w:val="20"/>
          <w:szCs w:val="20"/>
          <w:lang w:val="en-ZA" w:eastAsia="en-GB"/>
        </w:rPr>
      </w:pPr>
    </w:p>
    <w:p w14:paraId="60ABC268" w14:textId="77777777" w:rsidR="000926F4" w:rsidRPr="000926F4" w:rsidRDefault="000926F4" w:rsidP="007F5651">
      <w:pPr>
        <w:pStyle w:val="Body"/>
        <w:spacing w:line="360" w:lineRule="auto"/>
        <w:jc w:val="both"/>
        <w:rPr>
          <w:rFonts w:cs="Arial"/>
          <w:bCs/>
          <w:i/>
          <w:iCs/>
          <w:sz w:val="20"/>
          <w:szCs w:val="20"/>
        </w:rPr>
      </w:pPr>
      <w:r w:rsidRPr="000926F4">
        <w:rPr>
          <w:rFonts w:eastAsia="Times New Roman" w:cs="Arial"/>
          <w:i/>
          <w:iCs/>
          <w:sz w:val="20"/>
          <w:szCs w:val="20"/>
          <w:lang w:val="en-ZA" w:eastAsia="en-GB"/>
        </w:rPr>
        <w:t xml:space="preserve">"The appointments by virtue of section 374 are those appointments where the Master does not act pursuant to the statutorily provided nomination and appointment process, but where he or she acts in his or her own discretion. This section is a blanket provision. It empowers the Master, whenever he or she considers it desirable to appoint any person not disqualified from holding the office of a liquidator and who gives the necessary security as a co-liquidator </w:t>
      </w:r>
      <w:proofErr w:type="gramStart"/>
      <w:r w:rsidRPr="000926F4">
        <w:rPr>
          <w:rFonts w:eastAsia="Times New Roman" w:cs="Arial"/>
          <w:i/>
          <w:iCs/>
          <w:sz w:val="20"/>
          <w:szCs w:val="20"/>
          <w:lang w:val="en-ZA" w:eastAsia="en-GB"/>
        </w:rPr>
        <w:t>.....</w:t>
      </w:r>
      <w:proofErr w:type="gramEnd"/>
      <w:r w:rsidRPr="000926F4">
        <w:rPr>
          <w:rFonts w:eastAsia="Times New Roman" w:cs="Arial"/>
          <w:i/>
          <w:iCs/>
          <w:sz w:val="20"/>
          <w:szCs w:val="20"/>
          <w:lang w:val="en-ZA" w:eastAsia="en-GB"/>
        </w:rPr>
        <w:t>”</w:t>
      </w:r>
    </w:p>
    <w:p w14:paraId="23ABA089" w14:textId="77777777" w:rsidR="000926F4" w:rsidRPr="000926F4" w:rsidRDefault="000926F4" w:rsidP="007F5651">
      <w:pPr>
        <w:pStyle w:val="Body"/>
        <w:spacing w:line="240" w:lineRule="auto"/>
        <w:jc w:val="both"/>
        <w:rPr>
          <w:bCs/>
          <w:sz w:val="20"/>
          <w:szCs w:val="20"/>
        </w:rPr>
      </w:pPr>
      <w:r w:rsidRPr="000926F4">
        <w:rPr>
          <w:rFonts w:eastAsia="Times New Roman" w:cs="Arial"/>
          <w:sz w:val="20"/>
          <w:szCs w:val="20"/>
          <w:lang w:val="en-ZA" w:eastAsia="en-GB"/>
        </w:rPr>
        <w:t>In </w:t>
      </w:r>
      <w:proofErr w:type="spellStart"/>
      <w:r w:rsidRPr="000926F4">
        <w:rPr>
          <w:rFonts w:eastAsia="Times New Roman" w:cs="Arial"/>
          <w:sz w:val="20"/>
          <w:szCs w:val="20"/>
          <w:lang w:val="en-ZA" w:eastAsia="en-GB"/>
        </w:rPr>
        <w:t>Wessels</w:t>
      </w:r>
      <w:proofErr w:type="spellEnd"/>
      <w:r w:rsidRPr="000926F4">
        <w:rPr>
          <w:rFonts w:eastAsia="Times New Roman" w:cs="Arial"/>
          <w:sz w:val="20"/>
          <w:szCs w:val="20"/>
          <w:lang w:val="en-ZA" w:eastAsia="en-GB"/>
        </w:rPr>
        <w:t xml:space="preserve"> NO. v The Master of the High Court, Pretoria 2019 JDR 1033 (</w:t>
      </w:r>
      <w:proofErr w:type="gramStart"/>
      <w:r w:rsidRPr="000926F4">
        <w:rPr>
          <w:rFonts w:eastAsia="Times New Roman" w:cs="Arial"/>
          <w:sz w:val="20"/>
          <w:szCs w:val="20"/>
          <w:lang w:val="en-ZA" w:eastAsia="en-GB"/>
        </w:rPr>
        <w:t>GP)  the</w:t>
      </w:r>
      <w:proofErr w:type="gramEnd"/>
      <w:r w:rsidRPr="000926F4">
        <w:rPr>
          <w:rFonts w:eastAsia="Times New Roman" w:cs="Arial"/>
          <w:sz w:val="20"/>
          <w:szCs w:val="20"/>
          <w:lang w:val="en-ZA" w:eastAsia="en-GB"/>
        </w:rPr>
        <w:t xml:space="preserve"> exercise of the discretion was expressed as follows:</w:t>
      </w:r>
    </w:p>
    <w:p w14:paraId="7CD98566" w14:textId="77777777" w:rsidR="000926F4" w:rsidRPr="000926F4" w:rsidRDefault="000926F4" w:rsidP="007F5651">
      <w:pPr>
        <w:pStyle w:val="Body"/>
        <w:spacing w:line="360" w:lineRule="auto"/>
        <w:jc w:val="both"/>
        <w:rPr>
          <w:bCs/>
          <w:sz w:val="20"/>
          <w:szCs w:val="20"/>
        </w:rPr>
      </w:pPr>
      <w:r w:rsidRPr="000926F4">
        <w:rPr>
          <w:rFonts w:eastAsia="Times New Roman" w:cs="Arial"/>
          <w:sz w:val="20"/>
          <w:szCs w:val="20"/>
          <w:lang w:val="en-ZA" w:eastAsia="en-GB"/>
        </w:rPr>
        <w:t>“</w:t>
      </w:r>
      <w:r w:rsidRPr="000926F4">
        <w:rPr>
          <w:rFonts w:eastAsia="Times New Roman" w:cs="Arial"/>
          <w:i/>
          <w:iCs/>
          <w:sz w:val="20"/>
          <w:szCs w:val="20"/>
          <w:lang w:val="en-ZA" w:eastAsia="en-GB"/>
        </w:rPr>
        <w:t>Just as the Master is empowered to decide to appoint an additional liquidator in terms of section 374 of the Companies act, is empowered to decide not to do so. The legal consequences of a decision by the Master not to appoint a co-liquidator in terms of section 374, on the one hand, and a decision not to proceed with such an appointment after an initial decision to do so, on the other hand, are exactly the same</w:t>
      </w:r>
      <w:r w:rsidRPr="000926F4">
        <w:rPr>
          <w:rFonts w:eastAsia="Times New Roman" w:cs="Arial"/>
          <w:sz w:val="20"/>
          <w:szCs w:val="20"/>
          <w:lang w:val="en-ZA" w:eastAsia="en-GB"/>
        </w:rPr>
        <w:t>.”</w:t>
      </w:r>
    </w:p>
    <w:p w14:paraId="4818A47C" w14:textId="47B0F7C4" w:rsidR="000926F4" w:rsidRPr="000926F4" w:rsidRDefault="000926F4">
      <w:pPr>
        <w:pStyle w:val="FootnoteText"/>
        <w:rPr>
          <w:lang w:val="en-ZA"/>
        </w:rPr>
      </w:pP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3E7F6FF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3E4">
      <w:rPr>
        <w:rStyle w:val="PageNumber"/>
        <w:noProof/>
      </w:rPr>
      <w:t>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1E02209"/>
    <w:multiLevelType w:val="hybridMultilevel"/>
    <w:tmpl w:val="85BE56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5215367A"/>
    <w:multiLevelType w:val="multilevel"/>
    <w:tmpl w:val="6E9E04F8"/>
    <w:lvl w:ilvl="0">
      <w:start w:val="1"/>
      <w:numFmt w:val="decimal"/>
      <w:lvlText w:val="%1."/>
      <w:lvlJc w:val="left"/>
      <w:pPr>
        <w:ind w:left="720" w:hanging="360"/>
      </w:pPr>
      <w:rPr>
        <w:rFonts w:hint="default"/>
        <w:sz w:val="24"/>
        <w:szCs w:val="24"/>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810E9"/>
    <w:multiLevelType w:val="hybridMultilevel"/>
    <w:tmpl w:val="82C41B5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CD7234A"/>
    <w:multiLevelType w:val="hybridMultilevel"/>
    <w:tmpl w:val="EE6C5F2A"/>
    <w:lvl w:ilvl="0" w:tplc="057A5D5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
  </w:num>
  <w:num w:numId="5">
    <w:abstractNumId w:val="4"/>
  </w:num>
  <w:num w:numId="6">
    <w:abstractNumId w:val="12"/>
  </w:num>
  <w:num w:numId="7">
    <w:abstractNumId w:val="15"/>
  </w:num>
  <w:num w:numId="8">
    <w:abstractNumId w:val="14"/>
  </w:num>
  <w:num w:numId="9">
    <w:abstractNumId w:val="3"/>
  </w:num>
  <w:num w:numId="10">
    <w:abstractNumId w:val="5"/>
  </w:num>
  <w:num w:numId="11">
    <w:abstractNumId w:val="8"/>
  </w:num>
  <w:num w:numId="12">
    <w:abstractNumId w:val="2"/>
  </w:num>
  <w:num w:numId="13">
    <w:abstractNumId w:val="9"/>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76E1"/>
    <w:rsid w:val="000104B4"/>
    <w:rsid w:val="000218AC"/>
    <w:rsid w:val="0002295E"/>
    <w:rsid w:val="00022E29"/>
    <w:rsid w:val="0002716E"/>
    <w:rsid w:val="00027CBC"/>
    <w:rsid w:val="00030EDB"/>
    <w:rsid w:val="00040A97"/>
    <w:rsid w:val="00050078"/>
    <w:rsid w:val="00052547"/>
    <w:rsid w:val="000578D1"/>
    <w:rsid w:val="00060BA3"/>
    <w:rsid w:val="00062CEF"/>
    <w:rsid w:val="0006302B"/>
    <w:rsid w:val="00070EA4"/>
    <w:rsid w:val="000730BB"/>
    <w:rsid w:val="0008376B"/>
    <w:rsid w:val="000838A0"/>
    <w:rsid w:val="0008544C"/>
    <w:rsid w:val="00085E25"/>
    <w:rsid w:val="0008693D"/>
    <w:rsid w:val="000926F4"/>
    <w:rsid w:val="000964D1"/>
    <w:rsid w:val="000971DB"/>
    <w:rsid w:val="000A26D7"/>
    <w:rsid w:val="000A5272"/>
    <w:rsid w:val="000C091F"/>
    <w:rsid w:val="000C13AB"/>
    <w:rsid w:val="000C1577"/>
    <w:rsid w:val="000C1D16"/>
    <w:rsid w:val="000C4554"/>
    <w:rsid w:val="000C6FBE"/>
    <w:rsid w:val="000D0136"/>
    <w:rsid w:val="000E07B1"/>
    <w:rsid w:val="000E5109"/>
    <w:rsid w:val="000E5543"/>
    <w:rsid w:val="000E5FB9"/>
    <w:rsid w:val="000E6633"/>
    <w:rsid w:val="000F4966"/>
    <w:rsid w:val="00101D88"/>
    <w:rsid w:val="001021EE"/>
    <w:rsid w:val="00103EC1"/>
    <w:rsid w:val="0010749D"/>
    <w:rsid w:val="00114724"/>
    <w:rsid w:val="00121456"/>
    <w:rsid w:val="0012310D"/>
    <w:rsid w:val="00125FBF"/>
    <w:rsid w:val="00127B1A"/>
    <w:rsid w:val="0013492F"/>
    <w:rsid w:val="00144EA8"/>
    <w:rsid w:val="00151F35"/>
    <w:rsid w:val="00155668"/>
    <w:rsid w:val="0016046F"/>
    <w:rsid w:val="00161F55"/>
    <w:rsid w:val="00163683"/>
    <w:rsid w:val="001721F5"/>
    <w:rsid w:val="001732C8"/>
    <w:rsid w:val="0017465D"/>
    <w:rsid w:val="0018645D"/>
    <w:rsid w:val="00194AFD"/>
    <w:rsid w:val="00194BAE"/>
    <w:rsid w:val="001A21CD"/>
    <w:rsid w:val="001A4DD3"/>
    <w:rsid w:val="001A7F86"/>
    <w:rsid w:val="001B288A"/>
    <w:rsid w:val="001B487B"/>
    <w:rsid w:val="001D6C62"/>
    <w:rsid w:val="001D6F4F"/>
    <w:rsid w:val="001D7244"/>
    <w:rsid w:val="001E6710"/>
    <w:rsid w:val="001E7BDB"/>
    <w:rsid w:val="001F07DD"/>
    <w:rsid w:val="001F450A"/>
    <w:rsid w:val="001F4AE5"/>
    <w:rsid w:val="002003EF"/>
    <w:rsid w:val="00201A93"/>
    <w:rsid w:val="002040D5"/>
    <w:rsid w:val="00205098"/>
    <w:rsid w:val="0020751F"/>
    <w:rsid w:val="0021216F"/>
    <w:rsid w:val="002122DA"/>
    <w:rsid w:val="002129F5"/>
    <w:rsid w:val="0021667B"/>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5722"/>
    <w:rsid w:val="00315C11"/>
    <w:rsid w:val="003163E4"/>
    <w:rsid w:val="00316515"/>
    <w:rsid w:val="00322298"/>
    <w:rsid w:val="00323F5E"/>
    <w:rsid w:val="00331FDC"/>
    <w:rsid w:val="00333325"/>
    <w:rsid w:val="003348C6"/>
    <w:rsid w:val="00334F20"/>
    <w:rsid w:val="00335D42"/>
    <w:rsid w:val="00341E97"/>
    <w:rsid w:val="00342015"/>
    <w:rsid w:val="00346C05"/>
    <w:rsid w:val="00360697"/>
    <w:rsid w:val="00363165"/>
    <w:rsid w:val="00371BE5"/>
    <w:rsid w:val="00375DC6"/>
    <w:rsid w:val="0038121E"/>
    <w:rsid w:val="00385391"/>
    <w:rsid w:val="00385FBC"/>
    <w:rsid w:val="003A14B0"/>
    <w:rsid w:val="003A20FB"/>
    <w:rsid w:val="003A3574"/>
    <w:rsid w:val="003A5BC8"/>
    <w:rsid w:val="003B6C23"/>
    <w:rsid w:val="003C415E"/>
    <w:rsid w:val="003C432D"/>
    <w:rsid w:val="003C53F6"/>
    <w:rsid w:val="003E6BDA"/>
    <w:rsid w:val="003F37AE"/>
    <w:rsid w:val="003F404E"/>
    <w:rsid w:val="003F46D7"/>
    <w:rsid w:val="003F6889"/>
    <w:rsid w:val="00406F88"/>
    <w:rsid w:val="004075F2"/>
    <w:rsid w:val="00412E0C"/>
    <w:rsid w:val="00413603"/>
    <w:rsid w:val="00413E2B"/>
    <w:rsid w:val="00416EA1"/>
    <w:rsid w:val="00417BE7"/>
    <w:rsid w:val="0042184A"/>
    <w:rsid w:val="00422311"/>
    <w:rsid w:val="004247F2"/>
    <w:rsid w:val="00425F53"/>
    <w:rsid w:val="00432B66"/>
    <w:rsid w:val="00440D4B"/>
    <w:rsid w:val="0044117D"/>
    <w:rsid w:val="0044361B"/>
    <w:rsid w:val="00443ADE"/>
    <w:rsid w:val="00444C8B"/>
    <w:rsid w:val="0045149D"/>
    <w:rsid w:val="00452A4C"/>
    <w:rsid w:val="00454072"/>
    <w:rsid w:val="00460F1A"/>
    <w:rsid w:val="00461E12"/>
    <w:rsid w:val="00475569"/>
    <w:rsid w:val="00475A8E"/>
    <w:rsid w:val="0048191C"/>
    <w:rsid w:val="00482966"/>
    <w:rsid w:val="00482AA7"/>
    <w:rsid w:val="004854D5"/>
    <w:rsid w:val="0049074E"/>
    <w:rsid w:val="0049313B"/>
    <w:rsid w:val="004C680E"/>
    <w:rsid w:val="004C6A1E"/>
    <w:rsid w:val="004D12FE"/>
    <w:rsid w:val="004D3845"/>
    <w:rsid w:val="004D3BF0"/>
    <w:rsid w:val="004E581A"/>
    <w:rsid w:val="004F0167"/>
    <w:rsid w:val="00500DA0"/>
    <w:rsid w:val="005069D9"/>
    <w:rsid w:val="00514611"/>
    <w:rsid w:val="0051651C"/>
    <w:rsid w:val="00540198"/>
    <w:rsid w:val="00547AC7"/>
    <w:rsid w:val="00551B4C"/>
    <w:rsid w:val="0055431B"/>
    <w:rsid w:val="005560EF"/>
    <w:rsid w:val="00564F62"/>
    <w:rsid w:val="0057074A"/>
    <w:rsid w:val="005720E9"/>
    <w:rsid w:val="00587548"/>
    <w:rsid w:val="00587BF3"/>
    <w:rsid w:val="00595099"/>
    <w:rsid w:val="005A26A9"/>
    <w:rsid w:val="005A2F73"/>
    <w:rsid w:val="005B0DB3"/>
    <w:rsid w:val="005B118D"/>
    <w:rsid w:val="005B6266"/>
    <w:rsid w:val="005B75C1"/>
    <w:rsid w:val="005D3007"/>
    <w:rsid w:val="005D4790"/>
    <w:rsid w:val="005E0DE4"/>
    <w:rsid w:val="005E2259"/>
    <w:rsid w:val="005E230C"/>
    <w:rsid w:val="005E448E"/>
    <w:rsid w:val="005F206A"/>
    <w:rsid w:val="005F49B3"/>
    <w:rsid w:val="005F653D"/>
    <w:rsid w:val="006036F8"/>
    <w:rsid w:val="00605316"/>
    <w:rsid w:val="006077A9"/>
    <w:rsid w:val="00610D0B"/>
    <w:rsid w:val="00613E4D"/>
    <w:rsid w:val="00615A0C"/>
    <w:rsid w:val="0061695E"/>
    <w:rsid w:val="006216B4"/>
    <w:rsid w:val="00632C9A"/>
    <w:rsid w:val="00640A01"/>
    <w:rsid w:val="006430C0"/>
    <w:rsid w:val="00644BB3"/>
    <w:rsid w:val="00646138"/>
    <w:rsid w:val="00650745"/>
    <w:rsid w:val="00651B9B"/>
    <w:rsid w:val="00653433"/>
    <w:rsid w:val="00655236"/>
    <w:rsid w:val="006630FB"/>
    <w:rsid w:val="006710DC"/>
    <w:rsid w:val="00675035"/>
    <w:rsid w:val="00676987"/>
    <w:rsid w:val="00677BC9"/>
    <w:rsid w:val="00683071"/>
    <w:rsid w:val="00685764"/>
    <w:rsid w:val="00686AFF"/>
    <w:rsid w:val="00695349"/>
    <w:rsid w:val="00695533"/>
    <w:rsid w:val="006A1AA8"/>
    <w:rsid w:val="006A37E3"/>
    <w:rsid w:val="006A6DDB"/>
    <w:rsid w:val="006A770C"/>
    <w:rsid w:val="006B0014"/>
    <w:rsid w:val="006B3D1D"/>
    <w:rsid w:val="006B67ED"/>
    <w:rsid w:val="006C705A"/>
    <w:rsid w:val="006E4415"/>
    <w:rsid w:val="006E462C"/>
    <w:rsid w:val="006F2787"/>
    <w:rsid w:val="006F40B5"/>
    <w:rsid w:val="00707C51"/>
    <w:rsid w:val="00712652"/>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848B7"/>
    <w:rsid w:val="00785866"/>
    <w:rsid w:val="00786B1A"/>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5651"/>
    <w:rsid w:val="007F7FED"/>
    <w:rsid w:val="0080634A"/>
    <w:rsid w:val="00806DFA"/>
    <w:rsid w:val="00821962"/>
    <w:rsid w:val="00822511"/>
    <w:rsid w:val="0083215B"/>
    <w:rsid w:val="0083710F"/>
    <w:rsid w:val="00837200"/>
    <w:rsid w:val="00840547"/>
    <w:rsid w:val="0084332A"/>
    <w:rsid w:val="008465D6"/>
    <w:rsid w:val="00860899"/>
    <w:rsid w:val="00866025"/>
    <w:rsid w:val="0088233C"/>
    <w:rsid w:val="008A3877"/>
    <w:rsid w:val="008B1A58"/>
    <w:rsid w:val="008B1B71"/>
    <w:rsid w:val="008B2182"/>
    <w:rsid w:val="008C18AE"/>
    <w:rsid w:val="008C3603"/>
    <w:rsid w:val="008C4597"/>
    <w:rsid w:val="008C45A5"/>
    <w:rsid w:val="008D34A8"/>
    <w:rsid w:val="008D4FD5"/>
    <w:rsid w:val="008E4705"/>
    <w:rsid w:val="008E5BBF"/>
    <w:rsid w:val="008E5E4D"/>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7E3"/>
    <w:rsid w:val="00944BDE"/>
    <w:rsid w:val="0094618C"/>
    <w:rsid w:val="00950A27"/>
    <w:rsid w:val="0095576C"/>
    <w:rsid w:val="009732B6"/>
    <w:rsid w:val="00974554"/>
    <w:rsid w:val="00976D15"/>
    <w:rsid w:val="00977E1A"/>
    <w:rsid w:val="009838D5"/>
    <w:rsid w:val="00987290"/>
    <w:rsid w:val="009950C9"/>
    <w:rsid w:val="00996B9B"/>
    <w:rsid w:val="009A269B"/>
    <w:rsid w:val="009A33C1"/>
    <w:rsid w:val="009A79F1"/>
    <w:rsid w:val="009B099B"/>
    <w:rsid w:val="009B2BC9"/>
    <w:rsid w:val="009B36AA"/>
    <w:rsid w:val="009B4C31"/>
    <w:rsid w:val="009D57DB"/>
    <w:rsid w:val="009E1EF1"/>
    <w:rsid w:val="009E4B4F"/>
    <w:rsid w:val="009F22F0"/>
    <w:rsid w:val="009F43A4"/>
    <w:rsid w:val="009F5E83"/>
    <w:rsid w:val="00A01777"/>
    <w:rsid w:val="00A06E43"/>
    <w:rsid w:val="00A07432"/>
    <w:rsid w:val="00A12932"/>
    <w:rsid w:val="00A13793"/>
    <w:rsid w:val="00A156AE"/>
    <w:rsid w:val="00A15E04"/>
    <w:rsid w:val="00A165EA"/>
    <w:rsid w:val="00A22388"/>
    <w:rsid w:val="00A228F5"/>
    <w:rsid w:val="00A24B93"/>
    <w:rsid w:val="00A337E6"/>
    <w:rsid w:val="00A3600A"/>
    <w:rsid w:val="00A43F9C"/>
    <w:rsid w:val="00A4634B"/>
    <w:rsid w:val="00A52FDF"/>
    <w:rsid w:val="00A54C36"/>
    <w:rsid w:val="00A56BC1"/>
    <w:rsid w:val="00A600CF"/>
    <w:rsid w:val="00A62353"/>
    <w:rsid w:val="00A63F51"/>
    <w:rsid w:val="00A75EF4"/>
    <w:rsid w:val="00A77551"/>
    <w:rsid w:val="00A9010C"/>
    <w:rsid w:val="00A901C5"/>
    <w:rsid w:val="00AA663B"/>
    <w:rsid w:val="00AB0426"/>
    <w:rsid w:val="00AB1510"/>
    <w:rsid w:val="00AB2DE7"/>
    <w:rsid w:val="00AB4CA7"/>
    <w:rsid w:val="00AB636E"/>
    <w:rsid w:val="00AB6798"/>
    <w:rsid w:val="00AD49F8"/>
    <w:rsid w:val="00AE1E5D"/>
    <w:rsid w:val="00AE4E9C"/>
    <w:rsid w:val="00AF1688"/>
    <w:rsid w:val="00AF3194"/>
    <w:rsid w:val="00AF7DAD"/>
    <w:rsid w:val="00B11DEB"/>
    <w:rsid w:val="00B120C9"/>
    <w:rsid w:val="00B20170"/>
    <w:rsid w:val="00B21489"/>
    <w:rsid w:val="00B22495"/>
    <w:rsid w:val="00B244B7"/>
    <w:rsid w:val="00B27848"/>
    <w:rsid w:val="00B3097A"/>
    <w:rsid w:val="00B3106B"/>
    <w:rsid w:val="00B404D0"/>
    <w:rsid w:val="00B44F10"/>
    <w:rsid w:val="00B50E11"/>
    <w:rsid w:val="00B64D36"/>
    <w:rsid w:val="00B70181"/>
    <w:rsid w:val="00B73443"/>
    <w:rsid w:val="00B8347D"/>
    <w:rsid w:val="00B83F4A"/>
    <w:rsid w:val="00B862D2"/>
    <w:rsid w:val="00B908DF"/>
    <w:rsid w:val="00B914B6"/>
    <w:rsid w:val="00B92A41"/>
    <w:rsid w:val="00B9551D"/>
    <w:rsid w:val="00B95693"/>
    <w:rsid w:val="00B95E84"/>
    <w:rsid w:val="00BA1F62"/>
    <w:rsid w:val="00BB3F9A"/>
    <w:rsid w:val="00BD2454"/>
    <w:rsid w:val="00BF09B4"/>
    <w:rsid w:val="00BF51A8"/>
    <w:rsid w:val="00C04C43"/>
    <w:rsid w:val="00C11D38"/>
    <w:rsid w:val="00C33AAD"/>
    <w:rsid w:val="00C4185B"/>
    <w:rsid w:val="00C45291"/>
    <w:rsid w:val="00C468B1"/>
    <w:rsid w:val="00C519B2"/>
    <w:rsid w:val="00C52737"/>
    <w:rsid w:val="00C53B19"/>
    <w:rsid w:val="00C5727B"/>
    <w:rsid w:val="00C63FFA"/>
    <w:rsid w:val="00C64B6A"/>
    <w:rsid w:val="00C72A6C"/>
    <w:rsid w:val="00C7361A"/>
    <w:rsid w:val="00C7460D"/>
    <w:rsid w:val="00C82502"/>
    <w:rsid w:val="00C8430A"/>
    <w:rsid w:val="00C9262D"/>
    <w:rsid w:val="00CA6C2A"/>
    <w:rsid w:val="00CB2381"/>
    <w:rsid w:val="00CB2439"/>
    <w:rsid w:val="00CB52E7"/>
    <w:rsid w:val="00CB6F8A"/>
    <w:rsid w:val="00CC02A7"/>
    <w:rsid w:val="00CC3AB3"/>
    <w:rsid w:val="00CD1BDD"/>
    <w:rsid w:val="00CE09E5"/>
    <w:rsid w:val="00CE0CC7"/>
    <w:rsid w:val="00CE30E0"/>
    <w:rsid w:val="00CE3BED"/>
    <w:rsid w:val="00CE6C1E"/>
    <w:rsid w:val="00CF05BE"/>
    <w:rsid w:val="00CF1B27"/>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674DC"/>
    <w:rsid w:val="00D73D76"/>
    <w:rsid w:val="00D77C76"/>
    <w:rsid w:val="00D91BA3"/>
    <w:rsid w:val="00D96192"/>
    <w:rsid w:val="00DA44A9"/>
    <w:rsid w:val="00DA7A8D"/>
    <w:rsid w:val="00DB19FF"/>
    <w:rsid w:val="00DB40AE"/>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1B"/>
    <w:rsid w:val="00E077DF"/>
    <w:rsid w:val="00E07A72"/>
    <w:rsid w:val="00E10EE6"/>
    <w:rsid w:val="00E15BCC"/>
    <w:rsid w:val="00E3052B"/>
    <w:rsid w:val="00E31629"/>
    <w:rsid w:val="00E324F2"/>
    <w:rsid w:val="00E3432B"/>
    <w:rsid w:val="00E43F8E"/>
    <w:rsid w:val="00E45186"/>
    <w:rsid w:val="00E50554"/>
    <w:rsid w:val="00E507F0"/>
    <w:rsid w:val="00E51144"/>
    <w:rsid w:val="00E55848"/>
    <w:rsid w:val="00E63F2E"/>
    <w:rsid w:val="00E65FD4"/>
    <w:rsid w:val="00E7210A"/>
    <w:rsid w:val="00E72A79"/>
    <w:rsid w:val="00E7487B"/>
    <w:rsid w:val="00E802B6"/>
    <w:rsid w:val="00E82E00"/>
    <w:rsid w:val="00E8500B"/>
    <w:rsid w:val="00E8695C"/>
    <w:rsid w:val="00E86AD4"/>
    <w:rsid w:val="00E904E4"/>
    <w:rsid w:val="00E932B5"/>
    <w:rsid w:val="00E94C86"/>
    <w:rsid w:val="00E95904"/>
    <w:rsid w:val="00E972D3"/>
    <w:rsid w:val="00EA79AD"/>
    <w:rsid w:val="00EB239A"/>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13FD"/>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2C95"/>
    <w:rsid w:val="00F63187"/>
    <w:rsid w:val="00F6399E"/>
    <w:rsid w:val="00F71C68"/>
    <w:rsid w:val="00F85632"/>
    <w:rsid w:val="00F87163"/>
    <w:rsid w:val="00F87892"/>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12552263">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7B9546-A27B-454B-97DE-6976302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Hester Botes</cp:lastModifiedBy>
  <cp:revision>4</cp:revision>
  <cp:lastPrinted>2022-08-08T06:31:00Z</cp:lastPrinted>
  <dcterms:created xsi:type="dcterms:W3CDTF">2022-08-08T05:31:00Z</dcterms:created>
  <dcterms:modified xsi:type="dcterms:W3CDTF">2022-08-08T06:32:00Z</dcterms:modified>
</cp:coreProperties>
</file>