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6CBE011C" w14:textId="5952690A" w:rsidR="00B50E11" w:rsidRPr="0031449E" w:rsidRDefault="00B50E11" w:rsidP="00B50E11">
      <w:pPr>
        <w:pStyle w:val="Body"/>
        <w:jc w:val="center"/>
        <w:rPr>
          <w:rFonts w:cs="Arial"/>
          <w:b/>
          <w:bCs/>
          <w:sz w:val="24"/>
          <w:szCs w:val="24"/>
          <w:u w:val="single"/>
        </w:rPr>
      </w:pPr>
      <w:r w:rsidRPr="0031449E">
        <w:rPr>
          <w:rFonts w:cs="Arial"/>
          <w:b/>
          <w:bCs/>
          <w:sz w:val="24"/>
          <w:szCs w:val="24"/>
          <w:u w:val="single"/>
          <w:lang w:val="de-DE"/>
        </w:rPr>
        <w:t>(GAUTENG DIVISION, PRETORIA)</w:t>
      </w:r>
    </w:p>
    <w:p w14:paraId="350B431D" w14:textId="4FFE0CD0" w:rsidR="00C519B2" w:rsidRPr="004164F3" w:rsidRDefault="00C519B2" w:rsidP="00E8118D">
      <w:pPr>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9"/>
      </w:tblGrid>
      <w:tr w:rsidR="00C519B2" w:rsidRPr="004164F3" w14:paraId="7564B942" w14:textId="77777777" w:rsidTr="00E8118D">
        <w:trPr>
          <w:trHeight w:val="2205"/>
        </w:trPr>
        <w:tc>
          <w:tcPr>
            <w:tcW w:w="4849"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3E64BCB9"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E8118D">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773228">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773228">
              <w:rPr>
                <w:rFonts w:ascii="Arial Unicode MS" w:eastAsia="Arial Unicode MS" w:hAnsi="Arial Unicode MS" w:cs="Arial Unicode MS"/>
                <w:b/>
                <w:bCs/>
                <w:sz w:val="16"/>
                <w:szCs w:val="16"/>
              </w:rPr>
              <w:t>NO</w:t>
            </w:r>
          </w:p>
          <w:p w14:paraId="528A128C" w14:textId="16A4923B"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E8118D">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E8118D">
              <w:rPr>
                <w:rFonts w:ascii="Arial Unicode MS" w:eastAsia="Arial Unicode MS" w:hAnsi="Arial Unicode MS" w:cs="Arial Unicode MS"/>
                <w:sz w:val="16"/>
                <w:szCs w:val="16"/>
              </w:rPr>
              <w:t xml:space="preserve"> </w:t>
            </w:r>
            <w:r w:rsidRPr="00773228">
              <w:rPr>
                <w:rFonts w:ascii="Arial Unicode MS" w:eastAsia="Arial Unicode MS" w:hAnsi="Arial Unicode MS" w:cs="Arial Unicode MS"/>
                <w:strike/>
                <w:sz w:val="16"/>
                <w:szCs w:val="16"/>
              </w:rPr>
              <w:t>YES</w:t>
            </w:r>
            <w:r w:rsidRPr="00773228">
              <w:rPr>
                <w:rFonts w:ascii="Arial Unicode MS" w:eastAsia="Arial Unicode MS" w:hAnsi="Arial Unicode MS" w:cs="Arial Unicode MS"/>
                <w:b/>
                <w:bCs/>
                <w:sz w:val="16"/>
                <w:szCs w:val="16"/>
              </w:rPr>
              <w:t>/NO</w:t>
            </w:r>
          </w:p>
          <w:p w14:paraId="15F66332" w14:textId="4D726611"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E8118D">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773228">
              <w:rPr>
                <w:rFonts w:ascii="Arial Unicode MS" w:eastAsia="Arial Unicode MS" w:hAnsi="Arial Unicode MS" w:cs="Arial Unicode MS"/>
                <w:sz w:val="16"/>
                <w:szCs w:val="16"/>
              </w:rPr>
              <w:t xml:space="preserve"> </w:t>
            </w:r>
            <w:r w:rsidR="00773228" w:rsidRPr="00773228">
              <w:rPr>
                <w:rFonts w:ascii="Arial Unicode MS" w:eastAsia="Arial Unicode MS" w:hAnsi="Arial Unicode MS" w:cs="Arial Unicode MS"/>
                <w:b/>
                <w:bCs/>
                <w:sz w:val="16"/>
                <w:szCs w:val="16"/>
              </w:rPr>
              <w:t>NO</w:t>
            </w:r>
          </w:p>
          <w:p w14:paraId="284842F1" w14:textId="2E636E3C"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4164F3">
              <w:rPr>
                <w:rFonts w:ascii="Arial Unicode MS" w:eastAsia="Arial Unicode MS" w:hAnsi="Arial Unicode MS" w:cs="Arial Unicode MS"/>
                <w:sz w:val="16"/>
                <w:szCs w:val="16"/>
              </w:rPr>
              <w:tab/>
            </w:r>
            <w:r w:rsidR="007E523B" w:rsidRPr="007E523B">
              <w:rPr>
                <w:rFonts w:ascii="Arial" w:eastAsia="Arial Unicode MS" w:hAnsi="Arial" w:cs="Arial"/>
                <w:b/>
                <w:bCs/>
                <w:sz w:val="22"/>
                <w:szCs w:val="22"/>
              </w:rPr>
              <w:t>8</w:t>
            </w:r>
            <w:r w:rsidR="00E8118D" w:rsidRPr="007E523B">
              <w:rPr>
                <w:rFonts w:ascii="Arial" w:eastAsia="Arial Unicode MS" w:hAnsi="Arial" w:cs="Arial"/>
                <w:b/>
                <w:bCs/>
                <w:sz w:val="22"/>
                <w:szCs w:val="22"/>
              </w:rPr>
              <w:t xml:space="preserve"> August 2022</w:t>
            </w:r>
            <w:r>
              <w:rPr>
                <w:rFonts w:ascii="Arial Unicode MS" w:eastAsia="Arial Unicode MS" w:hAnsi="Arial Unicode MS" w:cs="Arial Unicode MS"/>
                <w:sz w:val="16"/>
                <w:szCs w:val="16"/>
              </w:rPr>
              <w:br/>
            </w:r>
          </w:p>
          <w:p w14:paraId="773CDFDB" w14:textId="6A9E7801"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Pr="004164F3">
              <w:rPr>
                <w:rFonts w:ascii="Arial Unicode MS" w:eastAsia="Arial Unicode MS" w:hAnsi="Arial Unicode MS" w:cs="Arial Unicode MS"/>
                <w:sz w:val="16"/>
                <w:szCs w:val="16"/>
              </w:rPr>
              <w:tab/>
              <w:t>.…………………………………………………</w:t>
            </w:r>
          </w:p>
        </w:tc>
      </w:tr>
    </w:tbl>
    <w:p w14:paraId="46E43E32" w14:textId="5B7B3C18" w:rsidR="00B50E11" w:rsidRPr="0031449E" w:rsidRDefault="00B50E11" w:rsidP="00B50E11">
      <w:pPr>
        <w:pStyle w:val="Body"/>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1D2DB0">
        <w:rPr>
          <w:rFonts w:cs="Arial"/>
          <w:b/>
          <w:bCs/>
          <w:sz w:val="24"/>
          <w:szCs w:val="24"/>
        </w:rPr>
        <w:t>A20/2022</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4078"/>
        <w:gridCol w:w="66"/>
      </w:tblGrid>
      <w:tr w:rsidR="00B50E11" w:rsidRPr="0031449E" w14:paraId="22698168" w14:textId="77777777" w:rsidTr="001D7244">
        <w:trPr>
          <w:gridAfter w:val="1"/>
          <w:wAfter w:w="66" w:type="dxa"/>
        </w:trPr>
        <w:tc>
          <w:tcPr>
            <w:tcW w:w="5485" w:type="dxa"/>
          </w:tcPr>
          <w:p w14:paraId="3D32D802" w14:textId="77777777" w:rsidR="00B50E11" w:rsidRPr="0031449E" w:rsidRDefault="00B50E11" w:rsidP="00F25A36">
            <w:pPr>
              <w:pStyle w:val="Body"/>
              <w:jc w:val="both"/>
              <w:rPr>
                <w:rFonts w:cs="Arial"/>
                <w:sz w:val="24"/>
                <w:szCs w:val="24"/>
              </w:rPr>
            </w:pPr>
            <w:r w:rsidRPr="0031449E">
              <w:rPr>
                <w:rFonts w:cs="Arial"/>
                <w:sz w:val="24"/>
                <w:szCs w:val="24"/>
              </w:rPr>
              <w:t>In the matter between:</w:t>
            </w:r>
          </w:p>
        </w:tc>
        <w:tc>
          <w:tcPr>
            <w:tcW w:w="4078" w:type="dxa"/>
          </w:tcPr>
          <w:p w14:paraId="6295A861" w14:textId="77777777" w:rsidR="00B50E11" w:rsidRPr="0031449E"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sz w:val="24"/>
                <w:szCs w:val="24"/>
              </w:rPr>
            </w:pPr>
          </w:p>
        </w:tc>
      </w:tr>
      <w:tr w:rsidR="00B50E11" w:rsidRPr="0031449E" w14:paraId="4638A8A4" w14:textId="77777777" w:rsidTr="001D7244">
        <w:trPr>
          <w:gridAfter w:val="1"/>
          <w:wAfter w:w="66" w:type="dxa"/>
          <w:trHeight w:val="1045"/>
        </w:trPr>
        <w:tc>
          <w:tcPr>
            <w:tcW w:w="5485" w:type="dxa"/>
          </w:tcPr>
          <w:p w14:paraId="2456782D"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24"/>
                <w:szCs w:val="24"/>
              </w:rPr>
            </w:pPr>
          </w:p>
          <w:p w14:paraId="548AA6FE" w14:textId="5045CD97" w:rsidR="007F7FED" w:rsidRPr="0031449E" w:rsidRDefault="001D2DB0"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sz w:val="24"/>
                <w:szCs w:val="24"/>
              </w:rPr>
            </w:pPr>
            <w:r>
              <w:rPr>
                <w:rFonts w:cs="Arial"/>
                <w:sz w:val="24"/>
                <w:szCs w:val="24"/>
              </w:rPr>
              <w:t>MKHUMBANI, DERRICK ABELO</w:t>
            </w:r>
          </w:p>
        </w:tc>
        <w:tc>
          <w:tcPr>
            <w:tcW w:w="4078" w:type="dxa"/>
          </w:tcPr>
          <w:p w14:paraId="66354F6A"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p w14:paraId="263479FD" w14:textId="2B32BAC6" w:rsidR="00B50E11" w:rsidRPr="0031449E" w:rsidRDefault="000218AC"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APP</w:t>
            </w:r>
            <w:r w:rsidR="001D2DB0">
              <w:rPr>
                <w:rFonts w:cs="Arial"/>
                <w:b/>
                <w:sz w:val="24"/>
                <w:szCs w:val="24"/>
              </w:rPr>
              <w:t>ELLANT</w:t>
            </w:r>
          </w:p>
        </w:tc>
      </w:tr>
      <w:tr w:rsidR="00B50E11" w:rsidRPr="0031449E" w14:paraId="2DE3831D" w14:textId="77777777" w:rsidTr="001D7244">
        <w:trPr>
          <w:gridAfter w:val="1"/>
          <w:wAfter w:w="66" w:type="dxa"/>
        </w:trPr>
        <w:tc>
          <w:tcPr>
            <w:tcW w:w="5485" w:type="dxa"/>
          </w:tcPr>
          <w:p w14:paraId="06AA6B3B" w14:textId="7CD9CC68" w:rsidR="00B50E11" w:rsidRPr="00F43C52" w:rsidRDefault="00B50E11" w:rsidP="00F25A36">
            <w:pPr>
              <w:pStyle w:val="Body"/>
              <w:jc w:val="both"/>
              <w:rPr>
                <w:rFonts w:cs="Arial"/>
                <w:b/>
                <w:sz w:val="24"/>
                <w:szCs w:val="24"/>
              </w:rPr>
            </w:pPr>
          </w:p>
          <w:p w14:paraId="52E06D21" w14:textId="65F278A7" w:rsidR="00B50E11" w:rsidRPr="0031449E" w:rsidRDefault="00416EA1" w:rsidP="00F25A36">
            <w:pPr>
              <w:pStyle w:val="Body"/>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078" w:type="dxa"/>
          </w:tcPr>
          <w:p w14:paraId="06C77BC2" w14:textId="032FD205" w:rsidR="00B50E11" w:rsidRPr="0031449E" w:rsidRDefault="00B50E11" w:rsidP="00F43C52">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tc>
      </w:tr>
      <w:tr w:rsidR="00B50E11" w:rsidRPr="0031449E" w14:paraId="4829D036" w14:textId="77777777" w:rsidTr="001D7244">
        <w:trPr>
          <w:gridAfter w:val="1"/>
          <w:wAfter w:w="66" w:type="dxa"/>
        </w:trPr>
        <w:tc>
          <w:tcPr>
            <w:tcW w:w="5485" w:type="dxa"/>
          </w:tcPr>
          <w:p w14:paraId="0C29CDE0"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80DF639" w14:textId="4362C1CA" w:rsidR="001F07DD" w:rsidRPr="001D2DB0" w:rsidRDefault="001D2DB0" w:rsidP="00B50E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sz w:val="24"/>
                <w:szCs w:val="24"/>
                <w:lang w:val="de-DE"/>
              </w:rPr>
            </w:pPr>
            <w:r w:rsidRPr="001D2DB0">
              <w:rPr>
                <w:rFonts w:cs="Arial"/>
                <w:sz w:val="24"/>
                <w:szCs w:val="24"/>
                <w:lang w:val="de-DE"/>
              </w:rPr>
              <w:t>THE STATE</w:t>
            </w:r>
          </w:p>
          <w:p w14:paraId="3ACBB1CA" w14:textId="05144C07" w:rsidR="00B50E11" w:rsidRPr="00DA7A8D" w:rsidRDefault="00B50E11" w:rsidP="00B50E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4078" w:type="dxa"/>
          </w:tcPr>
          <w:p w14:paraId="33705AB1" w14:textId="77777777" w:rsidR="00B50E11"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4D70125A" w:rsidR="00B50E11" w:rsidRPr="0031449E" w:rsidRDefault="000218AC"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RESPONDENT</w:t>
            </w:r>
          </w:p>
        </w:tc>
      </w:tr>
      <w:tr w:rsidR="001D7244" w:rsidRPr="00217B1F" w14:paraId="0BE69F19" w14:textId="77777777" w:rsidTr="001D7244">
        <w:trPr>
          <w:trHeight w:val="1045"/>
        </w:trPr>
        <w:tc>
          <w:tcPr>
            <w:tcW w:w="9629" w:type="dxa"/>
            <w:gridSpan w:val="3"/>
          </w:tcPr>
          <w:p w14:paraId="0CA1B4FB" w14:textId="77777777" w:rsidR="001D7244" w:rsidRPr="00217B1F"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1D7244" w14:paraId="0E758531" w14:textId="77777777" w:rsidTr="00FA2702">
              <w:tc>
                <w:tcPr>
                  <w:tcW w:w="1734" w:type="dxa"/>
                </w:tcPr>
                <w:p w14:paraId="32A8A6B9"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Coram:</w:t>
                  </w:r>
                  <w:r w:rsidRPr="00217B1F">
                    <w:rPr>
                      <w:rFonts w:eastAsia="Times New Roman" w:cs="Arial"/>
                      <w:sz w:val="24"/>
                      <w:szCs w:val="24"/>
                      <w:lang w:val="en-ZA"/>
                    </w:rPr>
                    <w:t>          </w:t>
                  </w:r>
                </w:p>
              </w:tc>
              <w:tc>
                <w:tcPr>
                  <w:tcW w:w="7513" w:type="dxa"/>
                </w:tcPr>
                <w:p w14:paraId="0B10E120" w14:textId="3EDA8B5C" w:rsidR="001D7244" w:rsidRPr="00217B1F" w:rsidRDefault="001D7244" w:rsidP="00FA2702">
                  <w:pPr>
                    <w:tabs>
                      <w:tab w:val="left" w:pos="1417"/>
                    </w:tabs>
                    <w:spacing w:after="120" w:line="360" w:lineRule="atLeast"/>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r w:rsidR="0047333A">
                    <w:rPr>
                      <w:rFonts w:ascii="Arial" w:eastAsia="Times New Roman" w:hAnsi="Arial" w:cs="Arial"/>
                      <w:color w:val="000000"/>
                      <w:sz w:val="24"/>
                      <w:szCs w:val="24"/>
                      <w:lang w:val="en-ZA"/>
                    </w:rPr>
                    <w:t>&amp; Monyemangene AJ</w:t>
                  </w:r>
                </w:p>
                <w:p w14:paraId="21993AE7"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FA2702">
              <w:tc>
                <w:tcPr>
                  <w:tcW w:w="1734" w:type="dxa"/>
                </w:tcPr>
                <w:p w14:paraId="4D835109"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Heard on</w:t>
                  </w:r>
                  <w:r w:rsidRPr="00217B1F">
                    <w:rPr>
                      <w:rFonts w:eastAsia="Times New Roman" w:cs="Arial"/>
                      <w:sz w:val="24"/>
                      <w:szCs w:val="24"/>
                      <w:lang w:val="en-ZA"/>
                    </w:rPr>
                    <w:t>:      </w:t>
                  </w:r>
                </w:p>
              </w:tc>
              <w:tc>
                <w:tcPr>
                  <w:tcW w:w="7513" w:type="dxa"/>
                </w:tcPr>
                <w:p w14:paraId="41C8B4DD" w14:textId="026851AD" w:rsidR="001D7244" w:rsidRPr="00217B1F" w:rsidRDefault="001D2DB0" w:rsidP="00FA2702">
                  <w:pPr>
                    <w:spacing w:after="120" w:line="360" w:lineRule="atLeast"/>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27 July</w:t>
                  </w:r>
                  <w:r w:rsidR="001D7244" w:rsidRPr="00217B1F">
                    <w:rPr>
                      <w:rFonts w:ascii="Arial" w:eastAsia="Times New Roman" w:hAnsi="Arial" w:cs="Arial"/>
                      <w:color w:val="000000"/>
                      <w:sz w:val="24"/>
                      <w:szCs w:val="24"/>
                      <w:lang w:val="en-ZA"/>
                    </w:rPr>
                    <w:t xml:space="preserve"> 2022 </w:t>
                  </w:r>
                </w:p>
                <w:p w14:paraId="4BCF6005"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FA2702">
              <w:tc>
                <w:tcPr>
                  <w:tcW w:w="1734" w:type="dxa"/>
                </w:tcPr>
                <w:p w14:paraId="34D50450"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lastRenderedPageBreak/>
                    <w:t>Delivered:</w:t>
                  </w:r>
                  <w:r>
                    <w:rPr>
                      <w:rFonts w:eastAsia="Times New Roman" w:cs="Arial"/>
                      <w:b/>
                      <w:bCs/>
                      <w:sz w:val="24"/>
                      <w:szCs w:val="24"/>
                      <w:lang w:val="en-ZA"/>
                    </w:rPr>
                    <w:t xml:space="preserve">   </w:t>
                  </w:r>
                </w:p>
              </w:tc>
              <w:tc>
                <w:tcPr>
                  <w:tcW w:w="7513" w:type="dxa"/>
                </w:tcPr>
                <w:p w14:paraId="6B1352D7" w14:textId="64EB5068" w:rsidR="001D7244" w:rsidRPr="00217B1F" w:rsidRDefault="007E523B" w:rsidP="00FA2702">
                  <w:pPr>
                    <w:tabs>
                      <w:tab w:val="left" w:pos="0"/>
                    </w:tabs>
                    <w:spacing w:after="120" w:line="360" w:lineRule="atLeast"/>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8</w:t>
                  </w:r>
                  <w:r w:rsidR="001D7244" w:rsidRPr="00217B1F">
                    <w:rPr>
                      <w:rFonts w:ascii="Arial" w:eastAsia="Times New Roman" w:hAnsi="Arial" w:cs="Arial"/>
                      <w:color w:val="000000"/>
                      <w:sz w:val="24"/>
                      <w:szCs w:val="24"/>
                      <w:lang w:val="en-ZA"/>
                    </w:rPr>
                    <w:t xml:space="preserve"> </w:t>
                  </w:r>
                  <w:r w:rsidR="006F21F2">
                    <w:rPr>
                      <w:rFonts w:ascii="Arial" w:eastAsia="Times New Roman" w:hAnsi="Arial" w:cs="Arial"/>
                      <w:color w:val="000000"/>
                      <w:sz w:val="24"/>
                      <w:szCs w:val="24"/>
                      <w:lang w:val="en-ZA"/>
                    </w:rPr>
                    <w:t xml:space="preserve">August </w:t>
                  </w:r>
                  <w:r w:rsidR="001D7244" w:rsidRPr="00217B1F">
                    <w:rPr>
                      <w:rFonts w:ascii="Arial" w:eastAsia="Times New Roman" w:hAnsi="Arial" w:cs="Arial"/>
                      <w:color w:val="000000"/>
                      <w:sz w:val="24"/>
                      <w:szCs w:val="24"/>
                      <w:lang w:val="en-ZA"/>
                    </w:rPr>
                    <w:t>2022</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system of the GD and by release to SAFLII. The date and time for hand-down is deemed to be 1</w:t>
                  </w:r>
                  <w:r w:rsidR="001D7244">
                    <w:rPr>
                      <w:rFonts w:ascii="Arial" w:eastAsia="Times New Roman" w:hAnsi="Arial" w:cs="Arial"/>
                      <w:color w:val="000000"/>
                      <w:sz w:val="24"/>
                      <w:szCs w:val="24"/>
                      <w:lang w:val="en-ZA"/>
                    </w:rPr>
                    <w:t>0</w:t>
                  </w:r>
                  <w:r w:rsidR="001D7244" w:rsidRPr="00217B1F">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8</w:t>
                  </w:r>
                  <w:r w:rsidR="001D7244">
                    <w:rPr>
                      <w:rFonts w:ascii="Arial" w:eastAsia="Times New Roman" w:hAnsi="Arial" w:cs="Arial"/>
                      <w:color w:val="000000"/>
                      <w:sz w:val="24"/>
                      <w:szCs w:val="24"/>
                      <w:lang w:val="en-ZA"/>
                    </w:rPr>
                    <w:t xml:space="preserve"> </w:t>
                  </w:r>
                  <w:r w:rsidR="006F21F2">
                    <w:rPr>
                      <w:rFonts w:ascii="Arial" w:eastAsia="Times New Roman" w:hAnsi="Arial" w:cs="Arial"/>
                      <w:color w:val="000000"/>
                      <w:sz w:val="24"/>
                      <w:szCs w:val="24"/>
                      <w:lang w:val="en-ZA"/>
                    </w:rPr>
                    <w:t xml:space="preserve">August </w:t>
                  </w:r>
                  <w:r w:rsidR="001D7244" w:rsidRPr="00217B1F">
                    <w:rPr>
                      <w:rFonts w:ascii="Arial" w:eastAsia="Times New Roman" w:hAnsi="Arial" w:cs="Arial"/>
                      <w:color w:val="000000"/>
                      <w:sz w:val="24"/>
                      <w:szCs w:val="24"/>
                      <w:lang w:val="en-ZA"/>
                    </w:rPr>
                    <w:t>2022.</w:t>
                  </w:r>
                </w:p>
                <w:p w14:paraId="5F5E03E1"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393A505" w14:textId="77777777" w:rsidTr="00FA2702">
              <w:tc>
                <w:tcPr>
                  <w:tcW w:w="1734" w:type="dxa"/>
                </w:tcPr>
                <w:p w14:paraId="6E105F9A" w14:textId="77777777" w:rsidR="001D7244"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Summary:      </w:t>
                  </w:r>
                </w:p>
              </w:tc>
              <w:tc>
                <w:tcPr>
                  <w:tcW w:w="7513" w:type="dxa"/>
                </w:tcPr>
                <w:p w14:paraId="05309368" w14:textId="0BF6644B" w:rsidR="001D7244" w:rsidRPr="002518C4" w:rsidRDefault="006F21F2"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sz w:val="24"/>
                      <w:szCs w:val="24"/>
                    </w:rPr>
                  </w:pPr>
                  <w:r>
                    <w:rPr>
                      <w:rFonts w:cs="Arial"/>
                      <w:sz w:val="24"/>
                      <w:szCs w:val="24"/>
                    </w:rPr>
                    <w:t>Criminal law – appeal against sentence – appellant pleaded guilty to rape of complainant – whether individually or cumulatively personal circumstances of appellant sufficiently substantial and compelling justify deviation from imposition of minimum sentence – such circumstances not sufficient – appeal dismissed.</w:t>
                  </w:r>
                </w:p>
              </w:tc>
            </w:tr>
          </w:tbl>
          <w:p w14:paraId="422E790C" w14:textId="77777777" w:rsidR="001D7244" w:rsidRPr="00217B1F" w:rsidRDefault="001D7244" w:rsidP="00FA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rsidRPr="005D79B5" w14:paraId="35407B94" w14:textId="77777777" w:rsidTr="001D7244">
        <w:tc>
          <w:tcPr>
            <w:tcW w:w="9629" w:type="dxa"/>
            <w:gridSpan w:val="3"/>
          </w:tcPr>
          <w:p w14:paraId="29723E7A" w14:textId="77777777" w:rsidR="001D7244" w:rsidRPr="00217B1F" w:rsidRDefault="001D7244" w:rsidP="00FA2702">
            <w:pPr>
              <w:spacing w:after="120" w:line="360" w:lineRule="atLeast"/>
              <w:ind w:left="2268" w:hanging="2268"/>
              <w:jc w:val="both"/>
              <w:rPr>
                <w:rFonts w:ascii="Arial" w:eastAsia="Times New Roman" w:hAnsi="Arial" w:cs="Arial"/>
                <w:b/>
                <w:bCs/>
                <w:color w:val="000000"/>
                <w:sz w:val="24"/>
                <w:szCs w:val="24"/>
                <w:lang w:val="en-ZA"/>
              </w:rPr>
            </w:pPr>
          </w:p>
          <w:p w14:paraId="1ED3913C" w14:textId="77777777" w:rsidR="001D7244" w:rsidRPr="00217B1F" w:rsidRDefault="001D7244" w:rsidP="00FA2702">
            <w:pPr>
              <w:spacing w:after="120" w:line="360" w:lineRule="atLeast"/>
              <w:ind w:left="2268" w:hanging="2268"/>
              <w:jc w:val="both"/>
              <w:rPr>
                <w:rFonts w:ascii="Arial" w:eastAsia="Times New Roman" w:hAnsi="Arial" w:cs="Arial"/>
                <w:color w:val="000000"/>
                <w:sz w:val="24"/>
                <w:szCs w:val="24"/>
              </w:rPr>
            </w:pPr>
            <w:r w:rsidRPr="00217B1F">
              <w:rPr>
                <w:rFonts w:ascii="Arial" w:eastAsia="Times New Roman" w:hAnsi="Arial" w:cs="Arial"/>
                <w:b/>
                <w:bCs/>
                <w:color w:val="000000"/>
                <w:sz w:val="24"/>
                <w:szCs w:val="24"/>
                <w:lang w:val="en-ZA"/>
              </w:rPr>
              <w:t> </w:t>
            </w:r>
          </w:p>
          <w:p w14:paraId="35776624" w14:textId="77777777" w:rsidR="001D7244" w:rsidRPr="00217B1F" w:rsidRDefault="001D7244" w:rsidP="00FA2702">
            <w:pPr>
              <w:pStyle w:val="LegalTramLines"/>
              <w:pBdr>
                <w:top w:val="single" w:sz="12" w:space="18" w:color="auto"/>
                <w:bottom w:val="single" w:sz="12" w:space="18" w:color="auto"/>
              </w:pBdr>
              <w:spacing w:after="240"/>
              <w:rPr>
                <w:rFonts w:ascii="Arial" w:hAnsi="Arial" w:cs="Arial"/>
                <w:sz w:val="24"/>
                <w:szCs w:val="24"/>
              </w:rPr>
            </w:pPr>
            <w:r w:rsidRPr="00217B1F">
              <w:rPr>
                <w:rFonts w:ascii="Arial" w:hAnsi="Arial" w:cs="Arial"/>
                <w:sz w:val="24"/>
                <w:szCs w:val="24"/>
              </w:rPr>
              <w:t>ORDER</w:t>
            </w:r>
          </w:p>
          <w:p w14:paraId="40964786" w14:textId="77777777" w:rsidR="001D7244" w:rsidRDefault="001D7244" w:rsidP="00FA2702">
            <w:pPr>
              <w:pStyle w:val="LegalMAINHEADING"/>
              <w:spacing w:before="0" w:after="120" w:line="360" w:lineRule="auto"/>
              <w:rPr>
                <w:rFonts w:cs="Arial"/>
                <w:caps w:val="0"/>
                <w:sz w:val="24"/>
                <w:szCs w:val="24"/>
                <w:lang w:eastAsia="en-US"/>
              </w:rPr>
            </w:pPr>
          </w:p>
          <w:p w14:paraId="6042AE5A" w14:textId="77777777" w:rsidR="001D7244" w:rsidRPr="005D79B5" w:rsidRDefault="001D7244" w:rsidP="00FA2702">
            <w:pPr>
              <w:pStyle w:val="LegalMAINHEADING"/>
              <w:spacing w:before="0" w:after="120" w:line="360" w:lineRule="auto"/>
              <w:rPr>
                <w:rFonts w:cs="Arial"/>
                <w:b w:val="0"/>
                <w:caps w:val="0"/>
                <w:sz w:val="24"/>
                <w:szCs w:val="24"/>
                <w:lang w:eastAsia="en-US"/>
              </w:rPr>
            </w:pPr>
            <w:r w:rsidRPr="005D79B5">
              <w:rPr>
                <w:rFonts w:cs="Arial"/>
                <w:caps w:val="0"/>
                <w:sz w:val="24"/>
                <w:szCs w:val="24"/>
                <w:lang w:eastAsia="en-US"/>
              </w:rPr>
              <w:t>It is Ordered</w:t>
            </w:r>
            <w:r w:rsidRPr="005D79B5">
              <w:rPr>
                <w:rFonts w:cs="Arial"/>
                <w:b w:val="0"/>
                <w:caps w:val="0"/>
                <w:sz w:val="24"/>
                <w:szCs w:val="24"/>
                <w:lang w:eastAsia="en-US"/>
              </w:rPr>
              <w:t>:</w:t>
            </w:r>
          </w:p>
          <w:p w14:paraId="7927A841" w14:textId="77777777" w:rsidR="001D7244" w:rsidRPr="005D79B5" w:rsidRDefault="001D7244" w:rsidP="00FA2702">
            <w:pPr>
              <w:rPr>
                <w:sz w:val="24"/>
                <w:szCs w:val="24"/>
                <w:lang w:val="en-GB"/>
              </w:rPr>
            </w:pPr>
          </w:p>
          <w:p w14:paraId="1EF4ED4E" w14:textId="08DB7EA6" w:rsidR="001D7244" w:rsidRPr="005D79B5" w:rsidRDefault="006F21F2" w:rsidP="006F21F2">
            <w:pPr>
              <w:pStyle w:val="Body"/>
              <w:numPr>
                <w:ilvl w:val="0"/>
                <w:numId w:val="12"/>
              </w:numPr>
              <w:spacing w:line="360" w:lineRule="auto"/>
              <w:ind w:left="1134" w:hanging="1134"/>
              <w:jc w:val="both"/>
              <w:rPr>
                <w:rFonts w:cs="Arial"/>
                <w:bCs/>
                <w:sz w:val="24"/>
                <w:szCs w:val="24"/>
              </w:rPr>
            </w:pPr>
            <w:bookmarkStart w:id="0" w:name="_Hlk102030155"/>
            <w:r>
              <w:rPr>
                <w:rFonts w:cs="Arial"/>
                <w:bCs/>
                <w:sz w:val="24"/>
                <w:szCs w:val="24"/>
              </w:rPr>
              <w:t>The appeal against sentence is dismissed.</w:t>
            </w:r>
            <w:bookmarkEnd w:id="0"/>
          </w:p>
        </w:tc>
      </w:tr>
      <w:tr w:rsidR="006F21F2" w:rsidRPr="005D79B5" w14:paraId="0B46978E" w14:textId="77777777" w:rsidTr="001D7244">
        <w:tc>
          <w:tcPr>
            <w:tcW w:w="9629" w:type="dxa"/>
            <w:gridSpan w:val="3"/>
          </w:tcPr>
          <w:p w14:paraId="7963F8A4" w14:textId="77777777" w:rsidR="006F21F2" w:rsidRPr="00217B1F" w:rsidRDefault="006F21F2" w:rsidP="00FA2702">
            <w:pPr>
              <w:spacing w:after="120" w:line="360" w:lineRule="atLeast"/>
              <w:ind w:left="2268" w:hanging="2268"/>
              <w:jc w:val="both"/>
              <w:rPr>
                <w:rFonts w:ascii="Arial" w:eastAsia="Times New Roman" w:hAnsi="Arial" w:cs="Arial"/>
                <w:b/>
                <w:bCs/>
                <w:color w:val="000000"/>
                <w:lang w:val="en-ZA"/>
              </w:rPr>
            </w:pP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27341B"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27341B">
              <w:rPr>
                <w:rFonts w:eastAsia="Tahoma" w:cs="Arial"/>
                <w:b/>
                <w:bCs/>
                <w:sz w:val="32"/>
                <w:szCs w:val="24"/>
                <w:lang w:val="de-DE"/>
              </w:rPr>
              <w:t>JUDGMENT</w:t>
            </w:r>
          </w:p>
        </w:tc>
      </w:tr>
    </w:tbl>
    <w:p w14:paraId="397DE03A" w14:textId="77777777" w:rsidR="00C519B2" w:rsidRDefault="00C519B2" w:rsidP="00B50E11">
      <w:pPr>
        <w:pStyle w:val="Body"/>
        <w:jc w:val="both"/>
        <w:rPr>
          <w:b/>
          <w:sz w:val="22"/>
          <w:szCs w:val="22"/>
        </w:rPr>
      </w:pPr>
    </w:p>
    <w:p w14:paraId="31AD95DF" w14:textId="41C6AEF3" w:rsidR="00B50E11" w:rsidRDefault="00B50E11" w:rsidP="00C45291">
      <w:pPr>
        <w:pStyle w:val="Body"/>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7E32844E" w14:textId="77777777" w:rsidR="00F30591" w:rsidRDefault="00F30591" w:rsidP="00C45291">
      <w:pPr>
        <w:pStyle w:val="Body"/>
        <w:jc w:val="both"/>
        <w:rPr>
          <w:b/>
          <w:sz w:val="22"/>
          <w:szCs w:val="22"/>
          <w:u w:val="single"/>
        </w:rPr>
      </w:pPr>
    </w:p>
    <w:p w14:paraId="64F37434" w14:textId="0BDB6995" w:rsidR="001D2DB0" w:rsidRDefault="001D2DB0" w:rsidP="00F30591">
      <w:pPr>
        <w:pStyle w:val="ListParagraph"/>
        <w:numPr>
          <w:ilvl w:val="0"/>
          <w:numId w:val="13"/>
        </w:numPr>
        <w:spacing w:after="200" w:line="360" w:lineRule="auto"/>
        <w:ind w:hanging="720"/>
        <w:jc w:val="both"/>
        <w:rPr>
          <w:rFonts w:ascii="Arial" w:hAnsi="Arial" w:cs="Arial"/>
        </w:rPr>
      </w:pPr>
      <w:r w:rsidRPr="00F30591">
        <w:rPr>
          <w:rFonts w:ascii="Arial" w:hAnsi="Arial" w:cs="Arial"/>
        </w:rPr>
        <w:lastRenderedPageBreak/>
        <w:t>This is an appeal against sentence only. On 1 April 2021 the appellant was arraigned in the Pretoria Regional Court on 2 counts of rape. He was informed that the respondent would seek the imposition of the minimum sentence prescribed by law for the offences for which he had been charged – life imprisonment.</w:t>
      </w:r>
      <w:r w:rsidRPr="00F30591">
        <w:rPr>
          <w:rStyle w:val="FootnoteReference"/>
          <w:rFonts w:ascii="Arial" w:hAnsi="Arial" w:cs="Arial"/>
        </w:rPr>
        <w:footnoteReference w:id="1"/>
      </w:r>
      <w:r w:rsidRPr="00F30591">
        <w:rPr>
          <w:rFonts w:ascii="Arial" w:hAnsi="Arial" w:cs="Arial"/>
        </w:rPr>
        <w:t xml:space="preserve"> The appellant was legally represented throughout the proceedings. He pleaded guilty to both counts. The Court accepted his plea and he was convicted on 10 August 2021.</w:t>
      </w:r>
    </w:p>
    <w:p w14:paraId="7B6E3119" w14:textId="77777777" w:rsidR="00F30591" w:rsidRDefault="00F30591" w:rsidP="00F30591">
      <w:pPr>
        <w:pStyle w:val="ListParagraph"/>
        <w:spacing w:after="200" w:line="360" w:lineRule="auto"/>
        <w:jc w:val="both"/>
        <w:rPr>
          <w:rFonts w:ascii="Arial" w:hAnsi="Arial" w:cs="Arial"/>
        </w:rPr>
      </w:pPr>
    </w:p>
    <w:p w14:paraId="7768D5B5" w14:textId="3C0D095D" w:rsidR="00F30591" w:rsidRDefault="00F30591" w:rsidP="00F30591">
      <w:pPr>
        <w:pStyle w:val="ListParagraph"/>
        <w:numPr>
          <w:ilvl w:val="0"/>
          <w:numId w:val="13"/>
        </w:numPr>
        <w:spacing w:after="200" w:line="360" w:lineRule="auto"/>
        <w:ind w:hanging="720"/>
        <w:jc w:val="both"/>
        <w:rPr>
          <w:rFonts w:ascii="Arial" w:hAnsi="Arial" w:cs="Arial"/>
        </w:rPr>
      </w:pPr>
      <w:r>
        <w:rPr>
          <w:rFonts w:ascii="Arial" w:hAnsi="Arial" w:cs="Arial"/>
        </w:rPr>
        <w:t>In consequence of the guilty plea, the appellant was sentenced to life imprisonment, the guilty plea in respect of both counts being taken into account for purposes of sentencing.  He was also declared unfit to possess a firearm in terms of Section 103 of the</w:t>
      </w:r>
      <w:r w:rsidR="008E5ED2">
        <w:rPr>
          <w:rFonts w:ascii="Arial" w:hAnsi="Arial" w:cs="Arial"/>
        </w:rPr>
        <w:t xml:space="preserve"> Firearms Control </w:t>
      </w:r>
      <w:r>
        <w:rPr>
          <w:rFonts w:ascii="Arial" w:hAnsi="Arial" w:cs="Arial"/>
        </w:rPr>
        <w:t>Act 60 of 2000.</w:t>
      </w:r>
    </w:p>
    <w:p w14:paraId="06B3A427" w14:textId="77777777" w:rsidR="00F30591" w:rsidRPr="00F30591" w:rsidRDefault="00F30591" w:rsidP="00F30591">
      <w:pPr>
        <w:pStyle w:val="ListParagraph"/>
        <w:rPr>
          <w:rFonts w:ascii="Arial" w:hAnsi="Arial" w:cs="Arial"/>
        </w:rPr>
      </w:pPr>
    </w:p>
    <w:p w14:paraId="45952B87" w14:textId="7954B739" w:rsidR="00F30591" w:rsidRPr="00C44FF2" w:rsidRDefault="00F30591" w:rsidP="00F30591">
      <w:pPr>
        <w:pStyle w:val="ListParagraph"/>
        <w:numPr>
          <w:ilvl w:val="0"/>
          <w:numId w:val="13"/>
        </w:numPr>
        <w:spacing w:after="200" w:line="360" w:lineRule="auto"/>
        <w:ind w:hanging="720"/>
        <w:jc w:val="both"/>
        <w:rPr>
          <w:rFonts w:ascii="Arial" w:hAnsi="Arial" w:cs="Arial"/>
        </w:rPr>
      </w:pPr>
      <w:r>
        <w:rPr>
          <w:rFonts w:ascii="Arial" w:hAnsi="Arial" w:cs="Arial"/>
        </w:rPr>
        <w:t>The appeal in this matter is brought in terms of Section 309</w:t>
      </w:r>
      <w:r w:rsidR="001123D6">
        <w:rPr>
          <w:rFonts w:ascii="Arial" w:hAnsi="Arial" w:cs="Arial"/>
        </w:rPr>
        <w:t xml:space="preserve">(1)(a) </w:t>
      </w:r>
      <w:r>
        <w:rPr>
          <w:rFonts w:ascii="Arial" w:hAnsi="Arial" w:cs="Arial"/>
        </w:rPr>
        <w:t xml:space="preserve">of the Criminal </w:t>
      </w:r>
      <w:r w:rsidRPr="001123D6">
        <w:rPr>
          <w:rFonts w:ascii="Arial" w:hAnsi="Arial" w:cs="Arial"/>
        </w:rPr>
        <w:t xml:space="preserve">Procedure Act </w:t>
      </w:r>
      <w:r w:rsidR="0067306D" w:rsidRPr="001123D6">
        <w:rPr>
          <w:rFonts w:ascii="Arial" w:hAnsi="Arial" w:cs="Arial"/>
          <w:color w:val="000000"/>
        </w:rPr>
        <w:t>51 of 1977</w:t>
      </w:r>
      <w:r w:rsidR="001123D6">
        <w:rPr>
          <w:rFonts w:ascii="Arial" w:hAnsi="Arial" w:cs="Arial"/>
          <w:color w:val="000000"/>
        </w:rPr>
        <w:t>.</w:t>
      </w:r>
    </w:p>
    <w:p w14:paraId="2361380A" w14:textId="77777777" w:rsidR="00C44FF2" w:rsidRPr="00C44FF2" w:rsidRDefault="00C44FF2" w:rsidP="00C44FF2">
      <w:pPr>
        <w:pStyle w:val="ListParagraph"/>
        <w:rPr>
          <w:rFonts w:ascii="Arial" w:hAnsi="Arial" w:cs="Arial"/>
        </w:rPr>
      </w:pPr>
    </w:p>
    <w:p w14:paraId="4E6CDC49" w14:textId="77777777" w:rsidR="00C44FF2" w:rsidRDefault="00C44FF2" w:rsidP="00E8118D">
      <w:pPr>
        <w:pStyle w:val="ListParagraph"/>
        <w:widowControl w:val="0"/>
        <w:numPr>
          <w:ilvl w:val="0"/>
          <w:numId w:val="13"/>
        </w:numPr>
        <w:autoSpaceDE w:val="0"/>
        <w:autoSpaceDN w:val="0"/>
        <w:adjustRightInd w:val="0"/>
        <w:spacing w:line="480" w:lineRule="auto"/>
        <w:ind w:hanging="720"/>
        <w:jc w:val="both"/>
        <w:rPr>
          <w:rFonts w:ascii="Arial" w:hAnsi="Arial" w:cs="Arial"/>
          <w:color w:val="000000"/>
          <w:sz w:val="22"/>
          <w:szCs w:val="22"/>
        </w:rPr>
      </w:pPr>
      <w:r w:rsidRPr="00E8118D">
        <w:rPr>
          <w:rFonts w:ascii="Arial" w:hAnsi="Arial" w:cs="Arial"/>
          <w:color w:val="000000"/>
        </w:rPr>
        <w:t xml:space="preserve">It was held in S v Kumalo 1973 (3) SA 697 (AD) at 697B-C that </w:t>
      </w:r>
      <w:r w:rsidRPr="00412477">
        <w:rPr>
          <w:rFonts w:ascii="Arial" w:hAnsi="Arial" w:cs="Arial"/>
          <w:i/>
          <w:color w:val="000000"/>
          <w:sz w:val="22"/>
          <w:szCs w:val="22"/>
        </w:rPr>
        <w:t>“Punishment must fit the criminal as well as the crime, be fair to society, and be blended with a measure of mercy according to the circumstances. The last of these four elements is often overlooked.”</w:t>
      </w:r>
    </w:p>
    <w:p w14:paraId="414BA8F2" w14:textId="77777777" w:rsidR="00C44FF2" w:rsidRPr="00210735" w:rsidRDefault="00C44FF2" w:rsidP="00C44FF2">
      <w:pPr>
        <w:pStyle w:val="ListParagraph"/>
        <w:rPr>
          <w:rFonts w:ascii="Arial" w:hAnsi="Arial" w:cs="Arial"/>
          <w:color w:val="000000"/>
          <w:sz w:val="22"/>
          <w:szCs w:val="22"/>
        </w:rPr>
      </w:pPr>
    </w:p>
    <w:p w14:paraId="077EB7E3" w14:textId="4DB5AC93" w:rsidR="00C44FF2" w:rsidRPr="00E8118D" w:rsidRDefault="00C44FF2" w:rsidP="00E8118D">
      <w:pPr>
        <w:pStyle w:val="ListParagraph"/>
        <w:numPr>
          <w:ilvl w:val="0"/>
          <w:numId w:val="13"/>
        </w:numPr>
        <w:spacing w:line="480" w:lineRule="auto"/>
        <w:ind w:hanging="720"/>
        <w:jc w:val="both"/>
        <w:rPr>
          <w:rFonts w:ascii="Arial" w:hAnsi="Arial"/>
          <w:i/>
          <w:sz w:val="22"/>
          <w:szCs w:val="22"/>
        </w:rPr>
      </w:pPr>
      <w:r w:rsidRPr="00E8118D">
        <w:rPr>
          <w:rFonts w:ascii="Arial" w:hAnsi="Arial"/>
        </w:rPr>
        <w:t xml:space="preserve">The test to be applied, when considering sentence on appeal is set out in S v </w:t>
      </w:r>
      <w:proofErr w:type="spellStart"/>
      <w:r w:rsidRPr="00E8118D">
        <w:rPr>
          <w:rFonts w:ascii="Arial" w:hAnsi="Arial"/>
        </w:rPr>
        <w:t>Kgosimore</w:t>
      </w:r>
      <w:proofErr w:type="spellEnd"/>
      <w:r w:rsidRPr="00E8118D">
        <w:rPr>
          <w:rStyle w:val="FootnoteReference"/>
          <w:rFonts w:ascii="Arial" w:hAnsi="Arial"/>
        </w:rPr>
        <w:footnoteReference w:id="2"/>
      </w:r>
      <w:r w:rsidRPr="00E8118D">
        <w:rPr>
          <w:rFonts w:ascii="Arial" w:hAnsi="Arial"/>
        </w:rPr>
        <w:t xml:space="preserve"> </w:t>
      </w:r>
      <w:r>
        <w:rPr>
          <w:rFonts w:ascii="Arial" w:hAnsi="Arial"/>
          <w:sz w:val="22"/>
          <w:szCs w:val="22"/>
        </w:rPr>
        <w:t>- “</w:t>
      </w:r>
      <w:r w:rsidRPr="000F6FBC">
        <w:rPr>
          <w:rFonts w:ascii="Arial" w:hAnsi="Arial"/>
          <w:i/>
          <w:sz w:val="22"/>
          <w:szCs w:val="22"/>
        </w:rPr>
        <w:t xml:space="preserve">It is trite law that sentence is a matter for the discretion of the court burdened with the task of imposing sentence. Various tests have been formulated as to when the Court of appeal may interfere. These include whether the reasoning of the trial court is vitiated or whether the sentence imposed can be said to be startlingly inappropriate or to induce a sense of shock or whether there is a striking disparity between the sentence </w:t>
      </w:r>
      <w:r w:rsidRPr="000F6FBC">
        <w:rPr>
          <w:rFonts w:ascii="Arial" w:hAnsi="Arial"/>
          <w:i/>
          <w:sz w:val="22"/>
          <w:szCs w:val="22"/>
        </w:rPr>
        <w:lastRenderedPageBreak/>
        <w:t>imposed and the sentence the Court of appeal would have imposed. All of these formulations, however, are aimed at determining the same thing; viz. whether there was a proper and reasonable exercise of the discretion bestowed upon the court imposing sentence.”</w:t>
      </w:r>
    </w:p>
    <w:p w14:paraId="14F72837" w14:textId="77777777" w:rsidR="00F30591" w:rsidRPr="00F30591" w:rsidRDefault="00F30591" w:rsidP="00F30591">
      <w:pPr>
        <w:pStyle w:val="ListParagraph"/>
        <w:rPr>
          <w:rFonts w:ascii="Arial" w:hAnsi="Arial" w:cs="Arial"/>
        </w:rPr>
      </w:pPr>
    </w:p>
    <w:p w14:paraId="4EE41F24" w14:textId="77777777" w:rsidR="0067306D" w:rsidRDefault="004C6CEF" w:rsidP="0067306D">
      <w:pPr>
        <w:pStyle w:val="ListParagraph"/>
        <w:numPr>
          <w:ilvl w:val="0"/>
          <w:numId w:val="13"/>
        </w:numPr>
        <w:spacing w:after="200" w:line="360" w:lineRule="auto"/>
        <w:ind w:hanging="720"/>
        <w:jc w:val="both"/>
        <w:rPr>
          <w:rFonts w:ascii="Arial" w:hAnsi="Arial" w:cs="Arial"/>
        </w:rPr>
      </w:pPr>
      <w:r>
        <w:rPr>
          <w:rFonts w:ascii="Arial" w:hAnsi="Arial" w:cs="Arial"/>
        </w:rPr>
        <w:t xml:space="preserve">No </w:t>
      </w:r>
      <w:r w:rsidR="00D409A0" w:rsidRPr="00D409A0">
        <w:rPr>
          <w:rFonts w:ascii="Arial" w:hAnsi="Arial" w:cs="Arial"/>
          <w:i/>
          <w:iCs/>
        </w:rPr>
        <w:t>viva voce</w:t>
      </w:r>
      <w:r w:rsidR="00D409A0">
        <w:rPr>
          <w:rFonts w:ascii="Arial" w:hAnsi="Arial" w:cs="Arial"/>
        </w:rPr>
        <w:t xml:space="preserve"> </w:t>
      </w:r>
      <w:r>
        <w:rPr>
          <w:rFonts w:ascii="Arial" w:hAnsi="Arial" w:cs="Arial"/>
        </w:rPr>
        <w:t>evidence was led in regard to sentencing.  Sentence was argued having regard to a pre-sentence psychosocial report prepared in respect of the appellant</w:t>
      </w:r>
      <w:r w:rsidR="00D409A0">
        <w:rPr>
          <w:rFonts w:ascii="Arial" w:hAnsi="Arial" w:cs="Arial"/>
        </w:rPr>
        <w:t xml:space="preserve"> and a separate report prepared in respect of the complainant, both of which were accepted into evidence.</w:t>
      </w:r>
    </w:p>
    <w:p w14:paraId="208B9613" w14:textId="77777777" w:rsidR="0067306D" w:rsidRPr="0067306D" w:rsidRDefault="0067306D" w:rsidP="0067306D">
      <w:pPr>
        <w:pStyle w:val="ListParagraph"/>
        <w:rPr>
          <w:rFonts w:ascii="Arial" w:hAnsi="Arial"/>
          <w:sz w:val="22"/>
          <w:szCs w:val="22"/>
        </w:rPr>
      </w:pPr>
    </w:p>
    <w:p w14:paraId="5807465A" w14:textId="77777777" w:rsidR="0067306D" w:rsidRPr="0067306D" w:rsidRDefault="0067306D" w:rsidP="0067306D">
      <w:pPr>
        <w:pStyle w:val="ListParagraph"/>
        <w:numPr>
          <w:ilvl w:val="0"/>
          <w:numId w:val="13"/>
        </w:numPr>
        <w:spacing w:after="200" w:line="360" w:lineRule="auto"/>
        <w:ind w:hanging="720"/>
        <w:jc w:val="both"/>
        <w:rPr>
          <w:rFonts w:ascii="Arial" w:hAnsi="Arial" w:cs="Arial"/>
        </w:rPr>
      </w:pPr>
      <w:r w:rsidRPr="0067306D">
        <w:rPr>
          <w:rFonts w:ascii="Arial" w:hAnsi="Arial"/>
        </w:rPr>
        <w:t>The appellant was convicted, on Count 1 of a crime referred to in Part 1 of Schedule 2 of The Criminal Law Amendment Act 105 of 1997 and the court a quo was obliged to impose the prescribed minimum sentence of life imprisonment in terms of Section 51(1)(a) of that Act, absent substantial and compelling circumstances. See S v Malgas</w:t>
      </w:r>
      <w:r w:rsidRPr="0067306D">
        <w:rPr>
          <w:rStyle w:val="FootnoteReference"/>
          <w:rFonts w:ascii="Arial" w:hAnsi="Arial"/>
        </w:rPr>
        <w:footnoteReference w:id="3"/>
      </w:r>
      <w:r w:rsidRPr="0067306D">
        <w:rPr>
          <w:rFonts w:ascii="Arial" w:hAnsi="Arial"/>
        </w:rPr>
        <w:t>.</w:t>
      </w:r>
    </w:p>
    <w:p w14:paraId="2A22CE5A" w14:textId="77777777" w:rsidR="0067306D" w:rsidRPr="0067306D" w:rsidRDefault="0067306D" w:rsidP="0067306D">
      <w:pPr>
        <w:pStyle w:val="ListParagraph"/>
        <w:rPr>
          <w:rFonts w:ascii="Arial" w:hAnsi="Arial"/>
        </w:rPr>
      </w:pPr>
    </w:p>
    <w:p w14:paraId="26C8EC98" w14:textId="77777777" w:rsidR="0067306D" w:rsidRPr="0067306D" w:rsidRDefault="0067306D" w:rsidP="0067306D">
      <w:pPr>
        <w:pStyle w:val="ListParagraph"/>
        <w:numPr>
          <w:ilvl w:val="0"/>
          <w:numId w:val="13"/>
        </w:numPr>
        <w:spacing w:after="200" w:line="360" w:lineRule="auto"/>
        <w:ind w:hanging="720"/>
        <w:jc w:val="both"/>
        <w:rPr>
          <w:rFonts w:ascii="Arial" w:hAnsi="Arial" w:cs="Arial"/>
        </w:rPr>
      </w:pPr>
      <w:r w:rsidRPr="0067306D">
        <w:rPr>
          <w:rFonts w:ascii="Arial" w:hAnsi="Arial"/>
        </w:rPr>
        <w:t>The court a quo explained to the appellant</w:t>
      </w:r>
      <w:r w:rsidRPr="0067306D">
        <w:rPr>
          <w:rStyle w:val="FootnoteReference"/>
          <w:rFonts w:ascii="Arial" w:hAnsi="Arial"/>
        </w:rPr>
        <w:footnoteReference w:id="4"/>
      </w:r>
      <w:r w:rsidRPr="0067306D">
        <w:rPr>
          <w:rFonts w:ascii="Arial" w:hAnsi="Arial"/>
        </w:rPr>
        <w:t xml:space="preserve"> before he pleaded that the minimum sentence should he be convicted was life imprisonment and he confirmed he understood this.</w:t>
      </w:r>
    </w:p>
    <w:p w14:paraId="052956C5" w14:textId="77777777" w:rsidR="0067306D" w:rsidRPr="0067306D" w:rsidRDefault="0067306D" w:rsidP="0067306D">
      <w:pPr>
        <w:pStyle w:val="ListParagraph"/>
        <w:rPr>
          <w:rFonts w:ascii="Arial" w:hAnsi="Arial"/>
        </w:rPr>
      </w:pPr>
    </w:p>
    <w:p w14:paraId="4C135C0A" w14:textId="77777777" w:rsidR="0067306D" w:rsidRPr="0067306D" w:rsidRDefault="0067306D" w:rsidP="0067306D">
      <w:pPr>
        <w:pStyle w:val="ListParagraph"/>
        <w:numPr>
          <w:ilvl w:val="0"/>
          <w:numId w:val="13"/>
        </w:numPr>
        <w:spacing w:after="200" w:line="360" w:lineRule="auto"/>
        <w:ind w:hanging="720"/>
        <w:jc w:val="both"/>
        <w:rPr>
          <w:rFonts w:ascii="Arial" w:hAnsi="Arial" w:cs="Arial"/>
        </w:rPr>
      </w:pPr>
      <w:r w:rsidRPr="0067306D">
        <w:rPr>
          <w:rFonts w:ascii="Arial" w:hAnsi="Arial"/>
        </w:rPr>
        <w:t xml:space="preserve">Consideration must be had to whether the prescribed minimum life sentence was appropriate or whether there were substantial and compelling circumstances to impose a lesser sentence. </w:t>
      </w:r>
    </w:p>
    <w:p w14:paraId="1DBED642" w14:textId="77777777" w:rsidR="0067306D" w:rsidRPr="0067306D" w:rsidRDefault="0067306D" w:rsidP="0067306D">
      <w:pPr>
        <w:pStyle w:val="ListParagraph"/>
        <w:rPr>
          <w:rFonts w:ascii="Arial" w:hAnsi="Arial"/>
        </w:rPr>
      </w:pPr>
    </w:p>
    <w:p w14:paraId="74BE061B" w14:textId="48758E23" w:rsidR="0067306D" w:rsidRPr="0067306D" w:rsidRDefault="0067306D" w:rsidP="0067306D">
      <w:pPr>
        <w:pStyle w:val="ListParagraph"/>
        <w:numPr>
          <w:ilvl w:val="0"/>
          <w:numId w:val="13"/>
        </w:numPr>
        <w:spacing w:after="200" w:line="360" w:lineRule="auto"/>
        <w:ind w:hanging="720"/>
        <w:jc w:val="both"/>
        <w:rPr>
          <w:rFonts w:ascii="Arial" w:hAnsi="Arial" w:cs="Arial"/>
        </w:rPr>
      </w:pPr>
      <w:r w:rsidRPr="0067306D">
        <w:rPr>
          <w:rFonts w:ascii="Arial" w:hAnsi="Arial"/>
        </w:rPr>
        <w:t>No evidence was led in mitigation of sentence, the parties electing to rely on a victim impact statement on the part of the state in support of the imposition of the minimum sentence and the appellant on a pre-sentence report in support of the imposition of a lesser sentence.</w:t>
      </w:r>
    </w:p>
    <w:p w14:paraId="3EFD1F8E" w14:textId="77777777" w:rsidR="0067306D" w:rsidRPr="0067306D" w:rsidRDefault="0067306D" w:rsidP="0067306D">
      <w:pPr>
        <w:pStyle w:val="ListParagraph"/>
        <w:rPr>
          <w:rFonts w:ascii="Arial" w:hAnsi="Arial" w:cs="Arial"/>
        </w:rPr>
      </w:pPr>
    </w:p>
    <w:p w14:paraId="60DAA51C" w14:textId="522F91A1" w:rsidR="0067306D" w:rsidRDefault="00FD558A" w:rsidP="0067306D">
      <w:pPr>
        <w:pStyle w:val="ListParagraph"/>
        <w:numPr>
          <w:ilvl w:val="0"/>
          <w:numId w:val="13"/>
        </w:numPr>
        <w:spacing w:after="200" w:line="360" w:lineRule="auto"/>
        <w:ind w:hanging="720"/>
        <w:jc w:val="both"/>
        <w:rPr>
          <w:rFonts w:ascii="Arial" w:hAnsi="Arial" w:cs="Arial"/>
        </w:rPr>
      </w:pPr>
      <w:r>
        <w:rPr>
          <w:rFonts w:ascii="Arial" w:hAnsi="Arial" w:cs="Arial"/>
        </w:rPr>
        <w:lastRenderedPageBreak/>
        <w:t xml:space="preserve">The appellant was 29 years old at the time of the commission of the offences.  He was 30 years old at the time of the trial.  He is unmarried and has no dependant children.  His highest scholastic achievement was the completion of grade 4.  He had previously lived with his </w:t>
      </w:r>
      <w:r w:rsidR="00E83692">
        <w:rPr>
          <w:rFonts w:ascii="Arial" w:hAnsi="Arial" w:cs="Arial"/>
        </w:rPr>
        <w:t>stepfather</w:t>
      </w:r>
      <w:r>
        <w:rPr>
          <w:rFonts w:ascii="Arial" w:hAnsi="Arial" w:cs="Arial"/>
        </w:rPr>
        <w:t xml:space="preserve">, mother and younger sister but had absconded from the family home in 2014 and had since then lost all contact with his family.  He </w:t>
      </w:r>
      <w:r w:rsidR="00E83692">
        <w:rPr>
          <w:rFonts w:ascii="Arial" w:hAnsi="Arial" w:cs="Arial"/>
        </w:rPr>
        <w:t>did not know whether they were even still alive or not and was in the truest sense alone in the world.</w:t>
      </w:r>
      <w:r>
        <w:rPr>
          <w:rFonts w:ascii="Arial" w:hAnsi="Arial" w:cs="Arial"/>
        </w:rPr>
        <w:t xml:space="preserve"> </w:t>
      </w:r>
      <w:r w:rsidR="00E83692">
        <w:rPr>
          <w:rFonts w:ascii="Arial" w:hAnsi="Arial" w:cs="Arial"/>
        </w:rPr>
        <w:t xml:space="preserve">  </w:t>
      </w:r>
    </w:p>
    <w:p w14:paraId="4C0990A8" w14:textId="77777777" w:rsidR="00BD06D6" w:rsidRPr="00BD06D6" w:rsidRDefault="00BD06D6" w:rsidP="00BD06D6">
      <w:pPr>
        <w:pStyle w:val="ListParagraph"/>
        <w:rPr>
          <w:rFonts w:ascii="Arial" w:hAnsi="Arial" w:cs="Arial"/>
        </w:rPr>
      </w:pPr>
    </w:p>
    <w:p w14:paraId="05F2BB56" w14:textId="53162400" w:rsidR="00BD06D6" w:rsidRDefault="00BD06D6" w:rsidP="0067306D">
      <w:pPr>
        <w:pStyle w:val="ListParagraph"/>
        <w:numPr>
          <w:ilvl w:val="0"/>
          <w:numId w:val="13"/>
        </w:numPr>
        <w:spacing w:after="200" w:line="360" w:lineRule="auto"/>
        <w:ind w:hanging="720"/>
        <w:jc w:val="both"/>
        <w:rPr>
          <w:rFonts w:ascii="Arial" w:hAnsi="Arial" w:cs="Arial"/>
        </w:rPr>
      </w:pPr>
      <w:r>
        <w:rPr>
          <w:rFonts w:ascii="Arial" w:hAnsi="Arial" w:cs="Arial"/>
        </w:rPr>
        <w:t xml:space="preserve">The present matter was not his first brush with the law and had previously been convicted of robbery and sentenced on 25 September 2013 to 3 years of correctional supervision and 16 hours of community service per month for the period.  He failed to abide the terms of his correctional supervision and had absconded from Witbank (where he had been living with his parents at the time) to Pretoria.  He worked in Johannesburg as a waiter for a short time and then according to him, having stolen copper to the value of R8 000.00 for his employer, had decided to relocate to Pretoria.  Upon relocation to Pretoria, he was unemployed and homeless and was living on the streets abusing both alcohol and narcotics.  </w:t>
      </w:r>
    </w:p>
    <w:p w14:paraId="4B56FC7F" w14:textId="77777777" w:rsidR="00BD06D6" w:rsidRPr="00BD06D6" w:rsidRDefault="00BD06D6" w:rsidP="00BD06D6">
      <w:pPr>
        <w:pStyle w:val="ListParagraph"/>
        <w:rPr>
          <w:rFonts w:ascii="Arial" w:hAnsi="Arial" w:cs="Arial"/>
        </w:rPr>
      </w:pPr>
    </w:p>
    <w:p w14:paraId="35C85E7E" w14:textId="00263DC0" w:rsidR="00BD06D6" w:rsidRDefault="00BD06D6" w:rsidP="00BD06D6">
      <w:pPr>
        <w:pStyle w:val="ListParagraph"/>
        <w:numPr>
          <w:ilvl w:val="0"/>
          <w:numId w:val="13"/>
        </w:numPr>
        <w:spacing w:after="200" w:line="360" w:lineRule="auto"/>
        <w:ind w:hanging="720"/>
        <w:jc w:val="both"/>
        <w:rPr>
          <w:rFonts w:ascii="Arial" w:hAnsi="Arial" w:cs="Arial"/>
        </w:rPr>
      </w:pPr>
      <w:r>
        <w:rPr>
          <w:rFonts w:ascii="Arial" w:hAnsi="Arial" w:cs="Arial"/>
        </w:rPr>
        <w:t xml:space="preserve">He indicated that at the time of the commission of the offences, he had been under the influence of substances and that he </w:t>
      </w:r>
      <w:r w:rsidR="00DE3804">
        <w:rPr>
          <w:rFonts w:ascii="Arial" w:hAnsi="Arial" w:cs="Arial"/>
        </w:rPr>
        <w:t xml:space="preserve">now </w:t>
      </w:r>
      <w:r>
        <w:rPr>
          <w:rFonts w:ascii="Arial" w:hAnsi="Arial" w:cs="Arial"/>
        </w:rPr>
        <w:t>understood and accepted the gravity of what he had done to the complainant</w:t>
      </w:r>
      <w:r w:rsidR="00DE3804">
        <w:rPr>
          <w:rFonts w:ascii="Arial" w:hAnsi="Arial" w:cs="Arial"/>
        </w:rPr>
        <w:t xml:space="preserve"> while he was under such influence.</w:t>
      </w:r>
    </w:p>
    <w:p w14:paraId="7A3FFE5D" w14:textId="77777777" w:rsidR="00DE3804" w:rsidRPr="00DE3804" w:rsidRDefault="00DE3804" w:rsidP="00DE3804">
      <w:pPr>
        <w:pStyle w:val="ListParagraph"/>
        <w:rPr>
          <w:rFonts w:ascii="Arial" w:hAnsi="Arial" w:cs="Arial"/>
        </w:rPr>
      </w:pPr>
    </w:p>
    <w:p w14:paraId="767CC7BC" w14:textId="77777777" w:rsidR="00B14FEC" w:rsidRPr="00B14FEC" w:rsidRDefault="00A60CF9" w:rsidP="00B14FEC">
      <w:pPr>
        <w:pStyle w:val="ListParagraph"/>
        <w:numPr>
          <w:ilvl w:val="0"/>
          <w:numId w:val="13"/>
        </w:numPr>
        <w:spacing w:after="200" w:line="360" w:lineRule="auto"/>
        <w:ind w:hanging="720"/>
        <w:jc w:val="both"/>
        <w:rPr>
          <w:rFonts w:ascii="Arial" w:hAnsi="Arial" w:cs="Arial"/>
        </w:rPr>
      </w:pPr>
      <w:r w:rsidRPr="002D1FA3">
        <w:rPr>
          <w:rFonts w:ascii="Arial" w:hAnsi="Arial" w:cs="Arial"/>
        </w:rPr>
        <w:t xml:space="preserve">The complainant’s life has been devastated by the appellant’s actions both on the day that she was raped and subsequently.  </w:t>
      </w:r>
      <w:r w:rsidR="002D1FA3" w:rsidRPr="002D1FA3">
        <w:rPr>
          <w:rFonts w:ascii="Arial" w:hAnsi="Arial" w:cs="Arial"/>
        </w:rPr>
        <w:t xml:space="preserve">Besides the violent nature of the manner in which she was raped and the internal injuries she suffered as a result of it, the social worker described in her report that she suffers and </w:t>
      </w:r>
      <w:r w:rsidR="002D1FA3" w:rsidRPr="002D1FA3">
        <w:rPr>
          <w:rFonts w:ascii="Arial" w:hAnsi="Arial" w:cs="Arial"/>
          <w:sz w:val="22"/>
          <w:szCs w:val="22"/>
        </w:rPr>
        <w:t xml:space="preserve">‘is overcome by shame and anger, which has tortured her emotionally daily.  She is an introvert, has stopped socializing and going into public spaces on her own.  Psychological and emotional trauma have manifested deeply on her, to such an extent that she has lost her self-esteem.  The invisible scars and pain are slowly destroying her </w:t>
      </w:r>
      <w:proofErr w:type="gramStart"/>
      <w:r w:rsidR="002D1FA3" w:rsidRPr="002D1FA3">
        <w:rPr>
          <w:rFonts w:ascii="Arial" w:hAnsi="Arial" w:cs="Arial"/>
          <w:sz w:val="22"/>
          <w:szCs w:val="22"/>
        </w:rPr>
        <w:t>inner-self</w:t>
      </w:r>
      <w:proofErr w:type="gramEnd"/>
      <w:r w:rsidR="002D1FA3" w:rsidRPr="002D1FA3">
        <w:rPr>
          <w:rFonts w:ascii="Arial" w:hAnsi="Arial" w:cs="Arial"/>
          <w:sz w:val="22"/>
          <w:szCs w:val="22"/>
        </w:rPr>
        <w:t xml:space="preserve">.  She is severely humiliated; she feels she is failing in parenting her children as she is an emotional wreck </w:t>
      </w:r>
      <w:r w:rsidR="002D1FA3" w:rsidRPr="002D1FA3">
        <w:rPr>
          <w:rFonts w:ascii="Arial" w:hAnsi="Arial" w:cs="Arial"/>
          <w:sz w:val="22"/>
          <w:szCs w:val="22"/>
        </w:rPr>
        <w:lastRenderedPageBreak/>
        <w:t xml:space="preserve">constantly crying and failing to explain the situation to her children.  The victim has received counselling, but she is still traumatized and finding it hard to let go.’  </w:t>
      </w:r>
    </w:p>
    <w:p w14:paraId="2C07758D" w14:textId="77777777" w:rsidR="00B14FEC" w:rsidRPr="00B14FEC" w:rsidRDefault="00B14FEC" w:rsidP="00B14FEC">
      <w:pPr>
        <w:pStyle w:val="ListParagraph"/>
        <w:rPr>
          <w:rFonts w:ascii="Arial" w:hAnsi="Arial"/>
          <w:sz w:val="22"/>
          <w:szCs w:val="22"/>
        </w:rPr>
      </w:pPr>
    </w:p>
    <w:p w14:paraId="5A87F63D" w14:textId="77777777" w:rsidR="00B14FEC" w:rsidRPr="00B14FEC" w:rsidRDefault="00B14FEC" w:rsidP="00B14FEC">
      <w:pPr>
        <w:pStyle w:val="ListParagraph"/>
        <w:numPr>
          <w:ilvl w:val="0"/>
          <w:numId w:val="13"/>
        </w:numPr>
        <w:spacing w:after="200" w:line="360" w:lineRule="auto"/>
        <w:ind w:hanging="720"/>
        <w:jc w:val="both"/>
        <w:rPr>
          <w:rFonts w:ascii="Arial" w:hAnsi="Arial" w:cs="Arial"/>
          <w:sz w:val="28"/>
          <w:szCs w:val="28"/>
        </w:rPr>
      </w:pPr>
      <w:r w:rsidRPr="00B14FEC">
        <w:rPr>
          <w:rFonts w:ascii="Arial" w:hAnsi="Arial"/>
        </w:rPr>
        <w:t>In its evaluation of the evidence before it, the trial court did not overemphasize the interests of the complainant (and the wider community) and was not dismissive of the personal circumstances of the appellant. The prevalence of this type of crime and the seriousness with which it is viewed are the very reason for the imposition of minimum sentences</w:t>
      </w:r>
    </w:p>
    <w:p w14:paraId="2CFE7B05" w14:textId="77777777" w:rsidR="00B14FEC" w:rsidRPr="00B14FEC" w:rsidRDefault="00B14FEC" w:rsidP="00B14FEC">
      <w:pPr>
        <w:pStyle w:val="ListParagraph"/>
        <w:rPr>
          <w:rFonts w:ascii="Arial" w:hAnsi="Arial"/>
        </w:rPr>
      </w:pPr>
    </w:p>
    <w:p w14:paraId="52D3E674" w14:textId="77777777" w:rsidR="001836E1" w:rsidRPr="001836E1" w:rsidRDefault="00B14FEC" w:rsidP="001836E1">
      <w:pPr>
        <w:pStyle w:val="ListParagraph"/>
        <w:numPr>
          <w:ilvl w:val="0"/>
          <w:numId w:val="13"/>
        </w:numPr>
        <w:spacing w:after="200" w:line="360" w:lineRule="auto"/>
        <w:ind w:hanging="720"/>
        <w:jc w:val="both"/>
        <w:rPr>
          <w:rFonts w:ascii="Arial" w:hAnsi="Arial" w:cs="Arial"/>
          <w:sz w:val="28"/>
          <w:szCs w:val="28"/>
        </w:rPr>
      </w:pPr>
      <w:r w:rsidRPr="00B14FEC">
        <w:rPr>
          <w:rFonts w:ascii="Arial" w:hAnsi="Arial"/>
        </w:rPr>
        <w:t>On consideration of the personal circumstances of the appellant, both individually and cumulatively, none in my view rise to the standard of substantial and compelling reasons</w:t>
      </w:r>
      <w:r w:rsidRPr="00B14FEC">
        <w:rPr>
          <w:rStyle w:val="FootnoteReference"/>
          <w:rFonts w:ascii="Arial" w:hAnsi="Arial"/>
        </w:rPr>
        <w:footnoteReference w:id="5"/>
      </w:r>
      <w:r w:rsidRPr="00B14FEC">
        <w:rPr>
          <w:rFonts w:ascii="Arial" w:hAnsi="Arial"/>
        </w:rPr>
        <w:t xml:space="preserve"> for the trial court to have departed from the minimum sentence.</w:t>
      </w:r>
    </w:p>
    <w:p w14:paraId="263CDC0A" w14:textId="77777777" w:rsidR="001836E1" w:rsidRPr="001836E1" w:rsidRDefault="001836E1" w:rsidP="001836E1">
      <w:pPr>
        <w:pStyle w:val="ListParagraph"/>
        <w:rPr>
          <w:rFonts w:ascii="Arial" w:hAnsi="Arial"/>
          <w:sz w:val="22"/>
          <w:szCs w:val="22"/>
        </w:rPr>
      </w:pPr>
    </w:p>
    <w:p w14:paraId="2195BD73" w14:textId="5F96FCBE" w:rsidR="00E8118D" w:rsidRPr="00E8118D" w:rsidRDefault="001836E1" w:rsidP="00E8118D">
      <w:pPr>
        <w:pStyle w:val="ListParagraph"/>
        <w:numPr>
          <w:ilvl w:val="0"/>
          <w:numId w:val="13"/>
        </w:numPr>
        <w:spacing w:after="200" w:line="360" w:lineRule="auto"/>
        <w:ind w:hanging="720"/>
        <w:jc w:val="both"/>
        <w:rPr>
          <w:rFonts w:ascii="Arial" w:hAnsi="Arial" w:cs="Arial"/>
          <w:sz w:val="32"/>
          <w:szCs w:val="32"/>
        </w:rPr>
      </w:pPr>
      <w:r w:rsidRPr="001836E1">
        <w:rPr>
          <w:rFonts w:ascii="Arial" w:hAnsi="Arial"/>
        </w:rPr>
        <w:t xml:space="preserve">In the circumstances, I make the following order: </w:t>
      </w:r>
    </w:p>
    <w:p w14:paraId="2628281F" w14:textId="77777777" w:rsidR="00E8118D" w:rsidRPr="00E8118D" w:rsidRDefault="00E8118D" w:rsidP="00E8118D">
      <w:pPr>
        <w:pStyle w:val="ListParagraph"/>
        <w:rPr>
          <w:rFonts w:ascii="Arial" w:hAnsi="Arial" w:cs="Arial"/>
          <w:sz w:val="32"/>
          <w:szCs w:val="32"/>
        </w:rPr>
      </w:pPr>
    </w:p>
    <w:p w14:paraId="181500DF" w14:textId="4ED7CDDD" w:rsidR="001836E1" w:rsidRPr="001836E1" w:rsidRDefault="001836E1" w:rsidP="00E8118D">
      <w:pPr>
        <w:pStyle w:val="ListParagraph"/>
        <w:numPr>
          <w:ilvl w:val="1"/>
          <w:numId w:val="13"/>
        </w:numPr>
        <w:spacing w:line="360" w:lineRule="auto"/>
        <w:ind w:hanging="71"/>
        <w:jc w:val="both"/>
        <w:rPr>
          <w:rFonts w:ascii="Arial" w:hAnsi="Arial"/>
        </w:rPr>
      </w:pPr>
      <w:r w:rsidRPr="001836E1">
        <w:rPr>
          <w:rFonts w:ascii="Arial" w:hAnsi="Arial"/>
        </w:rPr>
        <w:t>The appeal against sentence is dismissed.</w:t>
      </w:r>
    </w:p>
    <w:p w14:paraId="12D6AE87" w14:textId="771217F6" w:rsidR="00416EA1" w:rsidRDefault="00416EA1" w:rsidP="00E8118D">
      <w:pPr>
        <w:pStyle w:val="Body"/>
        <w:rPr>
          <w:rFonts w:cs="Arial"/>
          <w:b/>
          <w:bCs/>
          <w:sz w:val="24"/>
          <w:szCs w:val="24"/>
        </w:rPr>
      </w:pPr>
    </w:p>
    <w:p w14:paraId="0C2E2877" w14:textId="77777777" w:rsidR="001D2DB0" w:rsidRPr="001D2DB0" w:rsidRDefault="001D2DB0" w:rsidP="001D2DB0">
      <w:pPr>
        <w:pStyle w:val="Body"/>
        <w:tabs>
          <w:tab w:val="center" w:pos="567"/>
          <w:tab w:val="center" w:pos="1134"/>
          <w:tab w:val="center" w:pos="1701"/>
          <w:tab w:val="center" w:pos="2268"/>
          <w:tab w:val="center" w:pos="2835"/>
        </w:tabs>
        <w:ind w:left="142"/>
        <w:rPr>
          <w:rFonts w:cs="Arial"/>
          <w:sz w:val="24"/>
          <w:szCs w:val="24"/>
        </w:rPr>
      </w:pPr>
    </w:p>
    <w:p w14:paraId="67B4416D" w14:textId="181AA98E" w:rsidR="001D6C62" w:rsidRPr="00E8118D" w:rsidRDefault="00101D88" w:rsidP="00E8118D">
      <w:pPr>
        <w:pStyle w:val="Body"/>
        <w:ind w:left="720"/>
        <w:jc w:val="right"/>
        <w:rPr>
          <w:rFonts w:cs="Arial"/>
          <w:sz w:val="24"/>
          <w:szCs w:val="24"/>
        </w:rPr>
      </w:pPr>
      <w:r w:rsidRPr="00413603">
        <w:rPr>
          <w:rFonts w:cs="Arial"/>
          <w:b/>
          <w:bCs/>
          <w:sz w:val="24"/>
          <w:szCs w:val="24"/>
        </w:rPr>
        <w:t>_____________________________</w:t>
      </w:r>
    </w:p>
    <w:p w14:paraId="7C493B1F" w14:textId="65ACEF1C" w:rsidR="00101D88" w:rsidRPr="00242E76" w:rsidRDefault="00101D88" w:rsidP="00416EA1">
      <w:pPr>
        <w:pStyle w:val="BodyA"/>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416EA1">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416EA1">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08693D">
      <w:pPr>
        <w:pStyle w:val="BodyA"/>
        <w:ind w:left="720"/>
        <w:jc w:val="right"/>
        <w:rPr>
          <w:rFonts w:ascii="Arial" w:eastAsia="Tahoma" w:hAnsi="Arial" w:cs="Arial"/>
          <w:b/>
          <w:bCs/>
        </w:rPr>
      </w:pPr>
    </w:p>
    <w:p w14:paraId="3AAE24B0" w14:textId="45C246A9" w:rsidR="001836E1" w:rsidRDefault="001836E1" w:rsidP="00E8118D">
      <w:pPr>
        <w:spacing w:line="480" w:lineRule="auto"/>
        <w:jc w:val="both"/>
        <w:rPr>
          <w:rFonts w:ascii="Arial" w:hAnsi="Arial" w:cs="Arial"/>
        </w:rPr>
      </w:pPr>
    </w:p>
    <w:p w14:paraId="491D8940" w14:textId="46EEB942" w:rsidR="001836E1" w:rsidRPr="006F21F2" w:rsidRDefault="006F21F2" w:rsidP="006630FB">
      <w:pPr>
        <w:spacing w:line="480" w:lineRule="auto"/>
        <w:ind w:left="567" w:hanging="567"/>
        <w:jc w:val="both"/>
        <w:rPr>
          <w:rFonts w:ascii="Arial" w:hAnsi="Arial" w:cs="Arial"/>
          <w:b/>
          <w:bCs/>
        </w:rPr>
      </w:pPr>
      <w:r w:rsidRPr="006F21F2">
        <w:rPr>
          <w:rFonts w:ascii="Arial" w:hAnsi="Arial" w:cs="Arial"/>
          <w:b/>
          <w:bCs/>
        </w:rPr>
        <w:t>I AGREE</w:t>
      </w:r>
    </w:p>
    <w:p w14:paraId="303C1BEB" w14:textId="51E75918" w:rsidR="006F21F2" w:rsidRPr="00E8118D" w:rsidRDefault="006F21F2" w:rsidP="00E8118D">
      <w:pPr>
        <w:pStyle w:val="Body"/>
        <w:ind w:left="720"/>
        <w:jc w:val="right"/>
        <w:rPr>
          <w:rFonts w:cs="Arial"/>
          <w:sz w:val="24"/>
          <w:szCs w:val="24"/>
        </w:rPr>
      </w:pPr>
      <w:r w:rsidRPr="00413603">
        <w:rPr>
          <w:rFonts w:cs="Arial"/>
          <w:b/>
          <w:bCs/>
          <w:sz w:val="24"/>
          <w:szCs w:val="24"/>
        </w:rPr>
        <w:t>_____________________________</w:t>
      </w:r>
    </w:p>
    <w:p w14:paraId="0D07D1D4" w14:textId="3771EE72" w:rsidR="006F21F2" w:rsidRPr="00242E76" w:rsidRDefault="0047333A" w:rsidP="006F21F2">
      <w:pPr>
        <w:pStyle w:val="BodyA"/>
        <w:jc w:val="right"/>
        <w:rPr>
          <w:rFonts w:ascii="Arial" w:hAnsi="Arial" w:cs="Arial"/>
          <w:b/>
          <w:bCs/>
        </w:rPr>
      </w:pPr>
      <w:r>
        <w:rPr>
          <w:rFonts w:ascii="Arial" w:hAnsi="Arial" w:cs="Arial"/>
          <w:b/>
          <w:bCs/>
        </w:rPr>
        <w:t xml:space="preserve">T </w:t>
      </w:r>
      <w:r w:rsidR="006F21F2">
        <w:rPr>
          <w:rFonts w:ascii="Arial" w:hAnsi="Arial" w:cs="Arial"/>
          <w:b/>
          <w:bCs/>
        </w:rPr>
        <w:t>MONY</w:t>
      </w:r>
      <w:r w:rsidR="00E8118D">
        <w:rPr>
          <w:rFonts w:ascii="Arial" w:hAnsi="Arial" w:cs="Arial"/>
          <w:b/>
          <w:bCs/>
        </w:rPr>
        <w:t>E</w:t>
      </w:r>
      <w:r w:rsidR="006F21F2">
        <w:rPr>
          <w:rFonts w:ascii="Arial" w:hAnsi="Arial" w:cs="Arial"/>
          <w:b/>
          <w:bCs/>
        </w:rPr>
        <w:t>M</w:t>
      </w:r>
      <w:r w:rsidR="008E5ED2">
        <w:rPr>
          <w:rFonts w:ascii="Arial" w:hAnsi="Arial" w:cs="Arial"/>
          <w:b/>
          <w:bCs/>
        </w:rPr>
        <w:t>ANG</w:t>
      </w:r>
      <w:r w:rsidR="006F21F2">
        <w:rPr>
          <w:rFonts w:ascii="Arial" w:hAnsi="Arial" w:cs="Arial"/>
          <w:b/>
          <w:bCs/>
        </w:rPr>
        <w:t>ENE</w:t>
      </w:r>
    </w:p>
    <w:p w14:paraId="00096220" w14:textId="3B4B0A4C" w:rsidR="006F21F2" w:rsidRPr="00242E76" w:rsidRDefault="006F21F2" w:rsidP="006F21F2">
      <w:pPr>
        <w:pStyle w:val="BodyA"/>
        <w:spacing w:before="120"/>
        <w:ind w:left="720"/>
        <w:jc w:val="right"/>
        <w:rPr>
          <w:rFonts w:ascii="Arial" w:hAnsi="Arial" w:cs="Arial"/>
          <w:b/>
          <w:bCs/>
        </w:rPr>
      </w:pPr>
      <w:r>
        <w:rPr>
          <w:rFonts w:ascii="Arial" w:hAnsi="Arial" w:cs="Arial"/>
          <w:b/>
          <w:bCs/>
        </w:rPr>
        <w:t>ACTING</w:t>
      </w:r>
      <w:r w:rsidRPr="00242E76">
        <w:rPr>
          <w:rFonts w:ascii="Arial" w:hAnsi="Arial" w:cs="Arial"/>
          <w:b/>
          <w:bCs/>
        </w:rPr>
        <w:t xml:space="preserve"> JUDGE OF THE HIGH COURT</w:t>
      </w:r>
    </w:p>
    <w:p w14:paraId="03060A45" w14:textId="77777777" w:rsidR="006F21F2" w:rsidRPr="00242E76" w:rsidRDefault="006F21F2" w:rsidP="006F21F2">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19C4A5BA" w14:textId="77777777" w:rsidR="006F21F2" w:rsidRPr="00077E92" w:rsidRDefault="006F21F2" w:rsidP="006F21F2">
      <w:pPr>
        <w:pStyle w:val="BodyA"/>
        <w:ind w:left="720"/>
        <w:jc w:val="right"/>
        <w:rPr>
          <w:rFonts w:ascii="Arial" w:eastAsia="Tahoma" w:hAnsi="Arial" w:cs="Arial"/>
          <w:b/>
          <w:bCs/>
        </w:rPr>
      </w:pPr>
    </w:p>
    <w:p w14:paraId="28169B98" w14:textId="77777777" w:rsidR="006F21F2" w:rsidRDefault="006F21F2" w:rsidP="006F21F2">
      <w:pPr>
        <w:spacing w:line="480" w:lineRule="auto"/>
        <w:ind w:left="567" w:hanging="567"/>
        <w:jc w:val="both"/>
        <w:rPr>
          <w:rFonts w:ascii="Arial" w:hAnsi="Arial" w:cs="Arial"/>
        </w:rPr>
      </w:pPr>
    </w:p>
    <w:p w14:paraId="1B462AEA" w14:textId="4F460360" w:rsidR="006F21F2" w:rsidRDefault="006F21F2" w:rsidP="006630FB">
      <w:pPr>
        <w:spacing w:line="480" w:lineRule="auto"/>
        <w:ind w:left="567" w:hanging="567"/>
        <w:jc w:val="both"/>
        <w:rPr>
          <w:rFonts w:ascii="Arial" w:hAnsi="Arial" w:cs="Arial"/>
        </w:rPr>
      </w:pPr>
    </w:p>
    <w:p w14:paraId="4BFC5104" w14:textId="77777777" w:rsidR="006F21F2" w:rsidRDefault="006F21F2" w:rsidP="006630FB">
      <w:pPr>
        <w:spacing w:line="480" w:lineRule="auto"/>
        <w:ind w:left="567" w:hanging="567"/>
        <w:jc w:val="both"/>
        <w:rPr>
          <w:rFonts w:ascii="Arial" w:hAnsi="Arial" w:cs="Arial"/>
        </w:rPr>
      </w:pPr>
    </w:p>
    <w:p w14:paraId="23D224DF" w14:textId="77777777" w:rsidR="006F21F2" w:rsidRDefault="006F21F2" w:rsidP="006630FB">
      <w:pPr>
        <w:spacing w:line="480" w:lineRule="auto"/>
        <w:ind w:left="567" w:hanging="567"/>
        <w:jc w:val="both"/>
        <w:rPr>
          <w:rFonts w:ascii="Arial" w:hAnsi="Arial" w:cs="Arial"/>
        </w:rPr>
      </w:pPr>
    </w:p>
    <w:p w14:paraId="6370866B" w14:textId="77777777" w:rsidR="00416EA1" w:rsidRDefault="00416EA1" w:rsidP="00385391">
      <w:pPr>
        <w:spacing w:line="480" w:lineRule="auto"/>
        <w:ind w:left="567" w:hanging="567"/>
        <w:jc w:val="both"/>
        <w:rPr>
          <w:rFonts w:ascii="Arial" w:hAnsi="Arial" w:cs="Arial"/>
        </w:rPr>
      </w:pPr>
    </w:p>
    <w:p w14:paraId="5ACDA854" w14:textId="224BC218" w:rsidR="002040D5" w:rsidRPr="00242E76" w:rsidRDefault="00412E0C" w:rsidP="00385391">
      <w:pPr>
        <w:spacing w:line="48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6F21F2">
        <w:rPr>
          <w:rFonts w:ascii="Arial" w:hAnsi="Arial" w:cs="Arial"/>
          <w:sz w:val="22"/>
          <w:szCs w:val="22"/>
        </w:rPr>
        <w:t>27 JULY 2022</w:t>
      </w:r>
    </w:p>
    <w:p w14:paraId="7E6457D4" w14:textId="593409D7" w:rsidR="002040D5" w:rsidRPr="00242E76" w:rsidRDefault="006630FB" w:rsidP="00385391">
      <w:pPr>
        <w:spacing w:line="48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7E523B">
        <w:rPr>
          <w:rFonts w:ascii="Arial" w:hAnsi="Arial" w:cs="Arial"/>
          <w:sz w:val="22"/>
          <w:szCs w:val="22"/>
        </w:rPr>
        <w:t>8</w:t>
      </w:r>
      <w:r w:rsidR="00E8118D">
        <w:rPr>
          <w:rFonts w:ascii="Arial" w:hAnsi="Arial" w:cs="Arial"/>
          <w:sz w:val="22"/>
          <w:szCs w:val="22"/>
        </w:rPr>
        <w:t xml:space="preserve"> </w:t>
      </w:r>
      <w:r w:rsidR="006F21F2">
        <w:rPr>
          <w:rFonts w:ascii="Arial" w:hAnsi="Arial" w:cs="Arial"/>
          <w:sz w:val="22"/>
          <w:szCs w:val="22"/>
        </w:rPr>
        <w:t>AUGUST 2022</w:t>
      </w:r>
    </w:p>
    <w:p w14:paraId="70B75637" w14:textId="77777777" w:rsidR="006710DC" w:rsidRDefault="006710DC" w:rsidP="006630FB">
      <w:pPr>
        <w:spacing w:line="480" w:lineRule="auto"/>
        <w:ind w:left="567" w:hanging="567"/>
        <w:jc w:val="both"/>
        <w:rPr>
          <w:rFonts w:ascii="Arial" w:hAnsi="Arial" w:cs="Arial"/>
          <w:sz w:val="22"/>
          <w:szCs w:val="22"/>
        </w:rPr>
      </w:pPr>
    </w:p>
    <w:p w14:paraId="02474508" w14:textId="574407CD" w:rsidR="006630FB" w:rsidRPr="00242E76" w:rsidRDefault="006630FB" w:rsidP="006630FB">
      <w:pPr>
        <w:spacing w:line="48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w:t>
      </w:r>
      <w:r w:rsidR="001D2DB0">
        <w:rPr>
          <w:rFonts w:ascii="Arial" w:hAnsi="Arial" w:cs="Arial"/>
          <w:sz w:val="22"/>
          <w:szCs w:val="22"/>
        </w:rPr>
        <w:t>ELLAN</w:t>
      </w:r>
      <w:r w:rsidR="000218AC">
        <w:rPr>
          <w:rFonts w:ascii="Arial" w:hAnsi="Arial" w:cs="Arial"/>
          <w:sz w:val="22"/>
          <w:szCs w:val="22"/>
        </w:rPr>
        <w:t>T</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1D2DB0">
        <w:rPr>
          <w:rFonts w:ascii="Arial" w:hAnsi="Arial" w:cs="Arial"/>
          <w:sz w:val="22"/>
          <w:szCs w:val="22"/>
        </w:rPr>
        <w:t>F VAN AS</w:t>
      </w:r>
    </w:p>
    <w:p w14:paraId="6434C520" w14:textId="7BFF0440" w:rsidR="006630FB"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1D2DB0">
        <w:rPr>
          <w:rFonts w:ascii="Arial" w:hAnsi="Arial" w:cs="Arial"/>
          <w:sz w:val="22"/>
          <w:szCs w:val="22"/>
        </w:rPr>
        <w:t>LEGAL AID PRETORIA</w:t>
      </w:r>
    </w:p>
    <w:p w14:paraId="7383FC0C" w14:textId="03B3C649" w:rsidR="000E6633" w:rsidRPr="00242E76" w:rsidRDefault="000E6633" w:rsidP="00E50554">
      <w:pPr>
        <w:spacing w:line="48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EE1FF0">
        <w:rPr>
          <w:rFonts w:ascii="Arial" w:hAnsi="Arial" w:cs="Arial"/>
          <w:sz w:val="22"/>
          <w:szCs w:val="22"/>
        </w:rPr>
        <w:t>X900960721</w:t>
      </w:r>
    </w:p>
    <w:p w14:paraId="4502317A" w14:textId="77777777" w:rsidR="000E6633" w:rsidRPr="00242E76" w:rsidRDefault="000E6633" w:rsidP="006630FB">
      <w:pPr>
        <w:spacing w:line="480" w:lineRule="auto"/>
        <w:ind w:left="567" w:hanging="567"/>
        <w:jc w:val="both"/>
        <w:rPr>
          <w:rFonts w:ascii="Arial" w:hAnsi="Arial" w:cs="Arial"/>
          <w:sz w:val="22"/>
          <w:szCs w:val="22"/>
        </w:rPr>
      </w:pPr>
    </w:p>
    <w:p w14:paraId="577B443F" w14:textId="75E987F6" w:rsidR="006630FB" w:rsidRPr="00242E76" w:rsidRDefault="002A6A3F" w:rsidP="006630FB">
      <w:pPr>
        <w:spacing w:line="48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 xml:space="preserve">THE </w:t>
      </w:r>
      <w:r w:rsidR="000218AC">
        <w:rPr>
          <w:rFonts w:ascii="Arial" w:hAnsi="Arial" w:cs="Arial"/>
          <w:sz w:val="22"/>
          <w:szCs w:val="22"/>
        </w:rPr>
        <w:t>RESPONDENT</w:t>
      </w:r>
      <w:r w:rsidR="006630FB" w:rsidRPr="00242E76">
        <w:rPr>
          <w:rFonts w:ascii="Arial" w:hAnsi="Arial" w:cs="Arial"/>
          <w:sz w:val="22"/>
          <w:szCs w:val="22"/>
        </w:rPr>
        <w:t>:</w:t>
      </w:r>
      <w:r w:rsidR="000E07B1">
        <w:rPr>
          <w:rFonts w:ascii="Arial" w:hAnsi="Arial" w:cs="Arial"/>
          <w:sz w:val="22"/>
          <w:szCs w:val="22"/>
        </w:rPr>
        <w:tab/>
      </w:r>
      <w:r w:rsidR="001D2DB0">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1D2DB0">
        <w:rPr>
          <w:rFonts w:ascii="Arial" w:hAnsi="Arial" w:cs="Arial"/>
          <w:sz w:val="22"/>
          <w:szCs w:val="22"/>
        </w:rPr>
        <w:t>J NETHONONDA</w:t>
      </w:r>
    </w:p>
    <w:p w14:paraId="6EEF6A02" w14:textId="121BB017" w:rsidR="008465D6"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1D2DB0">
        <w:rPr>
          <w:rFonts w:ascii="Arial" w:hAnsi="Arial" w:cs="Arial"/>
          <w:sz w:val="22"/>
          <w:szCs w:val="22"/>
        </w:rPr>
        <w:t>STATE ATTORNEY PRETORIA</w:t>
      </w:r>
    </w:p>
    <w:p w14:paraId="0030EF17" w14:textId="4B85D48B" w:rsidR="000E6633" w:rsidRDefault="000E6633" w:rsidP="00E50554">
      <w:pPr>
        <w:spacing w:line="48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EE1FF0">
        <w:rPr>
          <w:rFonts w:ascii="Arial" w:hAnsi="Arial" w:cs="Arial"/>
          <w:sz w:val="22"/>
          <w:szCs w:val="22"/>
        </w:rPr>
        <w:t>PA 5/2022</w:t>
      </w:r>
    </w:p>
    <w:p w14:paraId="748D69AA" w14:textId="7969D0B6" w:rsidR="00A56BC1" w:rsidRDefault="00A56BC1" w:rsidP="00CB6F8A">
      <w:pPr>
        <w:spacing w:line="480" w:lineRule="auto"/>
        <w:jc w:val="both"/>
        <w:rPr>
          <w:rFonts w:ascii="Arial" w:hAnsi="Arial"/>
          <w:sz w:val="22"/>
          <w:szCs w:val="22"/>
        </w:rPr>
      </w:pPr>
    </w:p>
    <w:p w14:paraId="6072C765" w14:textId="3902A2A7" w:rsidR="0027008F" w:rsidRDefault="0027008F" w:rsidP="001F07DD">
      <w:pPr>
        <w:spacing w:line="480" w:lineRule="auto"/>
        <w:ind w:left="567" w:hanging="567"/>
        <w:jc w:val="both"/>
        <w:rPr>
          <w:rFonts w:ascii="Arial" w:hAnsi="Arial" w:cs="Arial"/>
        </w:rPr>
      </w:pPr>
      <w:r>
        <w:rPr>
          <w:rFonts w:ascii="Arial" w:hAnsi="Arial" w:cs="Arial"/>
          <w:sz w:val="22"/>
          <w:szCs w:val="22"/>
        </w:rPr>
        <w:tab/>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720784">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BAFF" w14:textId="77777777" w:rsidR="00330E32" w:rsidRDefault="00330E32" w:rsidP="008C18AE">
      <w:r>
        <w:separator/>
      </w:r>
    </w:p>
  </w:endnote>
  <w:endnote w:type="continuationSeparator" w:id="0">
    <w:p w14:paraId="5982736B" w14:textId="77777777" w:rsidR="00330E32" w:rsidRDefault="00330E32"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6659" w14:textId="77777777" w:rsidR="00330E32" w:rsidRDefault="00330E32" w:rsidP="008C18AE">
      <w:r>
        <w:separator/>
      </w:r>
    </w:p>
  </w:footnote>
  <w:footnote w:type="continuationSeparator" w:id="0">
    <w:p w14:paraId="0610C003" w14:textId="77777777" w:rsidR="00330E32" w:rsidRDefault="00330E32" w:rsidP="008C18AE">
      <w:r>
        <w:continuationSeparator/>
      </w:r>
    </w:p>
  </w:footnote>
  <w:footnote w:id="1">
    <w:p w14:paraId="6ABDDCBC" w14:textId="77777777" w:rsidR="001D2DB0" w:rsidRPr="0067306D" w:rsidRDefault="001D2DB0" w:rsidP="0067306D">
      <w:pPr>
        <w:pStyle w:val="FootnoteText"/>
        <w:jc w:val="both"/>
        <w:rPr>
          <w:rFonts w:ascii="Arial" w:hAnsi="Arial" w:cs="Arial"/>
          <w:sz w:val="20"/>
          <w:szCs w:val="20"/>
        </w:rPr>
      </w:pPr>
      <w:r>
        <w:rPr>
          <w:rStyle w:val="FootnoteReference"/>
        </w:rPr>
        <w:footnoteRef/>
      </w:r>
      <w:r>
        <w:t xml:space="preserve"> </w:t>
      </w:r>
      <w:r w:rsidRPr="0067306D">
        <w:rPr>
          <w:rFonts w:ascii="Arial" w:hAnsi="Arial" w:cs="Arial"/>
          <w:sz w:val="20"/>
          <w:szCs w:val="20"/>
        </w:rPr>
        <w:t>In terms of section 51(1) of the Criminal Law Amendment Act 105 of 1997</w:t>
      </w:r>
    </w:p>
  </w:footnote>
  <w:footnote w:id="2">
    <w:p w14:paraId="3F509CAE" w14:textId="77777777" w:rsidR="00C44FF2" w:rsidRDefault="00C44FF2" w:rsidP="00C44FF2">
      <w:pPr>
        <w:pStyle w:val="FootnoteText"/>
      </w:pPr>
      <w:r w:rsidRPr="000F6FBC">
        <w:rPr>
          <w:rStyle w:val="FootnoteReference"/>
          <w:rFonts w:ascii="Arial" w:hAnsi="Arial" w:cs="Arial"/>
          <w:sz w:val="18"/>
          <w:szCs w:val="18"/>
        </w:rPr>
        <w:footnoteRef/>
      </w:r>
      <w:r w:rsidRPr="000F6FBC">
        <w:rPr>
          <w:rFonts w:ascii="Arial" w:hAnsi="Arial" w:cs="Arial"/>
          <w:sz w:val="18"/>
          <w:szCs w:val="18"/>
        </w:rPr>
        <w:t xml:space="preserve"> 1999 (2) SACR 238 (SCA) at paragraph 10</w:t>
      </w:r>
    </w:p>
  </w:footnote>
  <w:footnote w:id="3">
    <w:p w14:paraId="6D802FB1" w14:textId="77777777" w:rsidR="0067306D" w:rsidRPr="0067306D" w:rsidRDefault="0067306D" w:rsidP="0067306D">
      <w:pPr>
        <w:pStyle w:val="FootnoteText"/>
        <w:jc w:val="both"/>
        <w:rPr>
          <w:rFonts w:ascii="Arial" w:hAnsi="Arial" w:cs="Arial"/>
          <w:sz w:val="20"/>
          <w:szCs w:val="20"/>
        </w:rPr>
      </w:pPr>
      <w:r w:rsidRPr="0067306D">
        <w:rPr>
          <w:rStyle w:val="FootnoteReference"/>
          <w:rFonts w:ascii="Arial" w:hAnsi="Arial" w:cs="Arial"/>
          <w:sz w:val="20"/>
          <w:szCs w:val="20"/>
        </w:rPr>
        <w:footnoteRef/>
      </w:r>
      <w:r w:rsidRPr="0067306D">
        <w:rPr>
          <w:rFonts w:ascii="Arial" w:hAnsi="Arial" w:cs="Arial"/>
          <w:sz w:val="20"/>
          <w:szCs w:val="20"/>
        </w:rPr>
        <w:t xml:space="preserve"> 2001 (1) SACR 469 (SCA) at paragraph 8</w:t>
      </w:r>
    </w:p>
  </w:footnote>
  <w:footnote w:id="4">
    <w:p w14:paraId="69B2947B" w14:textId="77777777" w:rsidR="0067306D" w:rsidRDefault="0067306D" w:rsidP="0067306D">
      <w:pPr>
        <w:pStyle w:val="FootnoteText"/>
        <w:jc w:val="both"/>
      </w:pPr>
      <w:r w:rsidRPr="0067306D">
        <w:rPr>
          <w:rStyle w:val="FootnoteReference"/>
          <w:rFonts w:ascii="Arial" w:hAnsi="Arial" w:cs="Arial"/>
          <w:sz w:val="20"/>
          <w:szCs w:val="20"/>
        </w:rPr>
        <w:footnoteRef/>
      </w:r>
      <w:r w:rsidRPr="0067306D">
        <w:rPr>
          <w:rFonts w:ascii="Arial" w:hAnsi="Arial" w:cs="Arial"/>
          <w:sz w:val="20"/>
          <w:szCs w:val="20"/>
        </w:rPr>
        <w:t xml:space="preserve"> Mpontshane v S [2016] 4 All SA 145 (KZP)</w:t>
      </w:r>
    </w:p>
  </w:footnote>
  <w:footnote w:id="5">
    <w:p w14:paraId="287C8B76" w14:textId="77777777" w:rsidR="00B14FEC" w:rsidRDefault="00B14FEC" w:rsidP="00B14FEC">
      <w:pPr>
        <w:pStyle w:val="FootnoteText"/>
      </w:pPr>
      <w:r>
        <w:rPr>
          <w:rStyle w:val="FootnoteReference"/>
        </w:rPr>
        <w:footnoteRef/>
      </w:r>
      <w:r>
        <w:t xml:space="preserve"> </w:t>
      </w:r>
      <w:r w:rsidRPr="00A73F6A">
        <w:rPr>
          <w:rFonts w:ascii="Arial" w:hAnsi="Arial" w:cs="Arial"/>
          <w:bCs/>
          <w:color w:val="000000"/>
          <w:sz w:val="18"/>
          <w:szCs w:val="18"/>
        </w:rPr>
        <w:t>S v S</w:t>
      </w:r>
      <w:r>
        <w:rPr>
          <w:rFonts w:ascii="Arial" w:hAnsi="Arial" w:cs="Arial"/>
          <w:bCs/>
          <w:color w:val="000000"/>
          <w:sz w:val="18"/>
          <w:szCs w:val="18"/>
        </w:rPr>
        <w:t>alzwedel</w:t>
      </w:r>
      <w:r w:rsidRPr="00A73F6A">
        <w:rPr>
          <w:rFonts w:ascii="Arial" w:hAnsi="Arial" w:cs="Arial"/>
          <w:bCs/>
          <w:color w:val="000000"/>
          <w:sz w:val="18"/>
          <w:szCs w:val="18"/>
        </w:rPr>
        <w:t xml:space="preserve"> &amp; O</w:t>
      </w:r>
      <w:r>
        <w:rPr>
          <w:rFonts w:ascii="Arial" w:hAnsi="Arial" w:cs="Arial"/>
          <w:bCs/>
          <w:color w:val="000000"/>
          <w:sz w:val="18"/>
          <w:szCs w:val="18"/>
        </w:rPr>
        <w:t>thers</w:t>
      </w:r>
      <w:r w:rsidRPr="00A73F6A">
        <w:rPr>
          <w:rFonts w:ascii="Arial" w:hAnsi="Arial" w:cs="Arial"/>
          <w:bCs/>
          <w:color w:val="000000"/>
          <w:sz w:val="18"/>
          <w:szCs w:val="18"/>
        </w:rPr>
        <w:t xml:space="preserve"> </w:t>
      </w:r>
      <w:r w:rsidRPr="00A73F6A">
        <w:rPr>
          <w:rFonts w:ascii="Arial" w:hAnsi="Arial" w:cs="Arial"/>
          <w:color w:val="000000"/>
          <w:sz w:val="18"/>
          <w:szCs w:val="18"/>
        </w:rPr>
        <w:t>2000 (1) ALL SA 229 (AD) at 232</w:t>
      </w:r>
      <w:r>
        <w:rPr>
          <w:rFonts w:ascii="Arial" w:hAnsi="Arial" w:cs="Arial"/>
          <w:color w:val="000000"/>
          <w:sz w:val="18"/>
          <w:szCs w:val="18"/>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28D8"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67F">
      <w:rPr>
        <w:rStyle w:val="PageNumber"/>
        <w:noProof/>
      </w:rPr>
      <w:t>19</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3"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8500B12"/>
    <w:multiLevelType w:val="multilevel"/>
    <w:tmpl w:val="078E2A82"/>
    <w:lvl w:ilvl="0">
      <w:start w:val="1"/>
      <w:numFmt w:val="decimal"/>
      <w:lvlText w:val="%1."/>
      <w:lvlJc w:val="left"/>
      <w:pPr>
        <w:ind w:left="720" w:hanging="360"/>
      </w:pPr>
      <w:rPr>
        <w:rFonts w:hint="default"/>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187551">
    <w:abstractNumId w:val="8"/>
  </w:num>
  <w:num w:numId="2" w16cid:durableId="1208571390">
    <w:abstractNumId w:val="6"/>
  </w:num>
  <w:num w:numId="3" w16cid:durableId="1905287423">
    <w:abstractNumId w:val="0"/>
  </w:num>
  <w:num w:numId="4" w16cid:durableId="1496143402">
    <w:abstractNumId w:val="1"/>
  </w:num>
  <w:num w:numId="5" w16cid:durableId="499004063">
    <w:abstractNumId w:val="4"/>
  </w:num>
  <w:num w:numId="6" w16cid:durableId="1381829296">
    <w:abstractNumId w:val="9"/>
  </w:num>
  <w:num w:numId="7" w16cid:durableId="1289162278">
    <w:abstractNumId w:val="12"/>
  </w:num>
  <w:num w:numId="8" w16cid:durableId="672607563">
    <w:abstractNumId w:val="11"/>
  </w:num>
  <w:num w:numId="9" w16cid:durableId="256864812">
    <w:abstractNumId w:val="3"/>
  </w:num>
  <w:num w:numId="10" w16cid:durableId="1264846556">
    <w:abstractNumId w:val="5"/>
  </w:num>
  <w:num w:numId="11" w16cid:durableId="210506055">
    <w:abstractNumId w:val="7"/>
  </w:num>
  <w:num w:numId="12" w16cid:durableId="353729478">
    <w:abstractNumId w:val="2"/>
  </w:num>
  <w:num w:numId="13" w16cid:durableId="49042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4A9C"/>
    <w:rsid w:val="000060CB"/>
    <w:rsid w:val="000104B4"/>
    <w:rsid w:val="000218AC"/>
    <w:rsid w:val="0002295E"/>
    <w:rsid w:val="00022E29"/>
    <w:rsid w:val="00030EDB"/>
    <w:rsid w:val="00050078"/>
    <w:rsid w:val="00052547"/>
    <w:rsid w:val="000578D1"/>
    <w:rsid w:val="00062CEF"/>
    <w:rsid w:val="0006302B"/>
    <w:rsid w:val="00070EA4"/>
    <w:rsid w:val="000730BB"/>
    <w:rsid w:val="0008376B"/>
    <w:rsid w:val="0008544C"/>
    <w:rsid w:val="00085E25"/>
    <w:rsid w:val="0008693D"/>
    <w:rsid w:val="000964D1"/>
    <w:rsid w:val="000971DB"/>
    <w:rsid w:val="000A26D7"/>
    <w:rsid w:val="000A5272"/>
    <w:rsid w:val="000C091F"/>
    <w:rsid w:val="000C1577"/>
    <w:rsid w:val="000C1D16"/>
    <w:rsid w:val="000C4554"/>
    <w:rsid w:val="000D0136"/>
    <w:rsid w:val="000E07B1"/>
    <w:rsid w:val="000E5109"/>
    <w:rsid w:val="000E5543"/>
    <w:rsid w:val="000E5FB9"/>
    <w:rsid w:val="000E6633"/>
    <w:rsid w:val="00101D88"/>
    <w:rsid w:val="001021EE"/>
    <w:rsid w:val="00103EC1"/>
    <w:rsid w:val="001123D6"/>
    <w:rsid w:val="00114724"/>
    <w:rsid w:val="00121456"/>
    <w:rsid w:val="0013492F"/>
    <w:rsid w:val="00144EA8"/>
    <w:rsid w:val="00151F35"/>
    <w:rsid w:val="00155668"/>
    <w:rsid w:val="0016046F"/>
    <w:rsid w:val="00161F55"/>
    <w:rsid w:val="00163683"/>
    <w:rsid w:val="0017127A"/>
    <w:rsid w:val="001721F5"/>
    <w:rsid w:val="0017465D"/>
    <w:rsid w:val="001836E1"/>
    <w:rsid w:val="00194AFD"/>
    <w:rsid w:val="00194BAE"/>
    <w:rsid w:val="001A21CD"/>
    <w:rsid w:val="001A7F86"/>
    <w:rsid w:val="001B288A"/>
    <w:rsid w:val="001B487B"/>
    <w:rsid w:val="001D2DB0"/>
    <w:rsid w:val="001D6C62"/>
    <w:rsid w:val="001D6F4F"/>
    <w:rsid w:val="001D7244"/>
    <w:rsid w:val="001E6710"/>
    <w:rsid w:val="001F07DD"/>
    <w:rsid w:val="001F450A"/>
    <w:rsid w:val="001F4AE5"/>
    <w:rsid w:val="002003EF"/>
    <w:rsid w:val="00201A93"/>
    <w:rsid w:val="002040D5"/>
    <w:rsid w:val="00205098"/>
    <w:rsid w:val="0020751F"/>
    <w:rsid w:val="0021216F"/>
    <w:rsid w:val="002129F5"/>
    <w:rsid w:val="00232BFD"/>
    <w:rsid w:val="00232EA0"/>
    <w:rsid w:val="002332DE"/>
    <w:rsid w:val="00235638"/>
    <w:rsid w:val="00242E76"/>
    <w:rsid w:val="00244901"/>
    <w:rsid w:val="00254146"/>
    <w:rsid w:val="00255485"/>
    <w:rsid w:val="00264079"/>
    <w:rsid w:val="00265336"/>
    <w:rsid w:val="00267036"/>
    <w:rsid w:val="0027008F"/>
    <w:rsid w:val="00280528"/>
    <w:rsid w:val="00281CA0"/>
    <w:rsid w:val="00283B34"/>
    <w:rsid w:val="00287E6E"/>
    <w:rsid w:val="002914E5"/>
    <w:rsid w:val="0029458A"/>
    <w:rsid w:val="0029767F"/>
    <w:rsid w:val="002A51AF"/>
    <w:rsid w:val="002A53F8"/>
    <w:rsid w:val="002A6A3F"/>
    <w:rsid w:val="002B0A35"/>
    <w:rsid w:val="002B4437"/>
    <w:rsid w:val="002B69B1"/>
    <w:rsid w:val="002C413A"/>
    <w:rsid w:val="002C4D4E"/>
    <w:rsid w:val="002C7527"/>
    <w:rsid w:val="002D1FA3"/>
    <w:rsid w:val="002D6A2A"/>
    <w:rsid w:val="002D6BF0"/>
    <w:rsid w:val="002E1F21"/>
    <w:rsid w:val="00307191"/>
    <w:rsid w:val="00313396"/>
    <w:rsid w:val="003155D7"/>
    <w:rsid w:val="00316515"/>
    <w:rsid w:val="00322298"/>
    <w:rsid w:val="00323F5E"/>
    <w:rsid w:val="00330E32"/>
    <w:rsid w:val="00333325"/>
    <w:rsid w:val="003348C6"/>
    <w:rsid w:val="00334F20"/>
    <w:rsid w:val="00335D42"/>
    <w:rsid w:val="00342015"/>
    <w:rsid w:val="00360697"/>
    <w:rsid w:val="00363165"/>
    <w:rsid w:val="00371BE5"/>
    <w:rsid w:val="00375DC6"/>
    <w:rsid w:val="00385391"/>
    <w:rsid w:val="00385FBC"/>
    <w:rsid w:val="003A14B0"/>
    <w:rsid w:val="003A20FB"/>
    <w:rsid w:val="003A3574"/>
    <w:rsid w:val="003A5BC8"/>
    <w:rsid w:val="003B6C23"/>
    <w:rsid w:val="003C415E"/>
    <w:rsid w:val="003C432D"/>
    <w:rsid w:val="003E6BDA"/>
    <w:rsid w:val="003F37AE"/>
    <w:rsid w:val="003F46D7"/>
    <w:rsid w:val="00406F88"/>
    <w:rsid w:val="004075F2"/>
    <w:rsid w:val="00412E0C"/>
    <w:rsid w:val="00413603"/>
    <w:rsid w:val="00413E2B"/>
    <w:rsid w:val="00416EA1"/>
    <w:rsid w:val="00417BE7"/>
    <w:rsid w:val="0042184A"/>
    <w:rsid w:val="004247F2"/>
    <w:rsid w:val="00425F53"/>
    <w:rsid w:val="00432B66"/>
    <w:rsid w:val="00440D4B"/>
    <w:rsid w:val="0044117D"/>
    <w:rsid w:val="0044361B"/>
    <w:rsid w:val="00443ADE"/>
    <w:rsid w:val="00444C8B"/>
    <w:rsid w:val="0045149D"/>
    <w:rsid w:val="00452A4C"/>
    <w:rsid w:val="00454072"/>
    <w:rsid w:val="00460F1A"/>
    <w:rsid w:val="00461E12"/>
    <w:rsid w:val="0047333A"/>
    <w:rsid w:val="00475569"/>
    <w:rsid w:val="00475A8E"/>
    <w:rsid w:val="0048191C"/>
    <w:rsid w:val="00482966"/>
    <w:rsid w:val="004854D5"/>
    <w:rsid w:val="0049074E"/>
    <w:rsid w:val="0049313B"/>
    <w:rsid w:val="004C6A1E"/>
    <w:rsid w:val="004C6CEF"/>
    <w:rsid w:val="004D12FE"/>
    <w:rsid w:val="004D3845"/>
    <w:rsid w:val="004E581A"/>
    <w:rsid w:val="004F0167"/>
    <w:rsid w:val="00500DA0"/>
    <w:rsid w:val="005069D9"/>
    <w:rsid w:val="00514611"/>
    <w:rsid w:val="0051651C"/>
    <w:rsid w:val="00540198"/>
    <w:rsid w:val="00547AC7"/>
    <w:rsid w:val="00551B4C"/>
    <w:rsid w:val="0055431B"/>
    <w:rsid w:val="005560EF"/>
    <w:rsid w:val="0057074A"/>
    <w:rsid w:val="005720E9"/>
    <w:rsid w:val="00587548"/>
    <w:rsid w:val="00587BF3"/>
    <w:rsid w:val="00595099"/>
    <w:rsid w:val="005A2F73"/>
    <w:rsid w:val="005B0DB3"/>
    <w:rsid w:val="005B118D"/>
    <w:rsid w:val="005B6266"/>
    <w:rsid w:val="005B75C1"/>
    <w:rsid w:val="005D3007"/>
    <w:rsid w:val="005D4790"/>
    <w:rsid w:val="005E2259"/>
    <w:rsid w:val="005E230C"/>
    <w:rsid w:val="005E448E"/>
    <w:rsid w:val="005F49B3"/>
    <w:rsid w:val="005F653D"/>
    <w:rsid w:val="006036F8"/>
    <w:rsid w:val="00605316"/>
    <w:rsid w:val="006077A9"/>
    <w:rsid w:val="00613E4D"/>
    <w:rsid w:val="00615A0C"/>
    <w:rsid w:val="006216B4"/>
    <w:rsid w:val="006430C0"/>
    <w:rsid w:val="00644BB3"/>
    <w:rsid w:val="00646138"/>
    <w:rsid w:val="00650745"/>
    <w:rsid w:val="00651B9B"/>
    <w:rsid w:val="00653433"/>
    <w:rsid w:val="00655236"/>
    <w:rsid w:val="006630FB"/>
    <w:rsid w:val="006710DC"/>
    <w:rsid w:val="0067306D"/>
    <w:rsid w:val="00675035"/>
    <w:rsid w:val="00676987"/>
    <w:rsid w:val="00677BC9"/>
    <w:rsid w:val="00683071"/>
    <w:rsid w:val="00686AFF"/>
    <w:rsid w:val="00695533"/>
    <w:rsid w:val="006A1AA8"/>
    <w:rsid w:val="006A37E3"/>
    <w:rsid w:val="006A6DDB"/>
    <w:rsid w:val="006A770C"/>
    <w:rsid w:val="006B0014"/>
    <w:rsid w:val="006B3D1D"/>
    <w:rsid w:val="006B67ED"/>
    <w:rsid w:val="006C705A"/>
    <w:rsid w:val="006E4415"/>
    <w:rsid w:val="006E462C"/>
    <w:rsid w:val="006F21F2"/>
    <w:rsid w:val="006F2787"/>
    <w:rsid w:val="006F40B5"/>
    <w:rsid w:val="00707C51"/>
    <w:rsid w:val="00713A5D"/>
    <w:rsid w:val="00720FEF"/>
    <w:rsid w:val="0072221F"/>
    <w:rsid w:val="007240E6"/>
    <w:rsid w:val="0073212D"/>
    <w:rsid w:val="00733746"/>
    <w:rsid w:val="00735EB8"/>
    <w:rsid w:val="00736CDA"/>
    <w:rsid w:val="00737291"/>
    <w:rsid w:val="00742BAE"/>
    <w:rsid w:val="00750CC1"/>
    <w:rsid w:val="00753AD4"/>
    <w:rsid w:val="00755484"/>
    <w:rsid w:val="00763002"/>
    <w:rsid w:val="007679D5"/>
    <w:rsid w:val="00771E0F"/>
    <w:rsid w:val="007728D2"/>
    <w:rsid w:val="00773228"/>
    <w:rsid w:val="00785866"/>
    <w:rsid w:val="007875AE"/>
    <w:rsid w:val="0078777C"/>
    <w:rsid w:val="007970E1"/>
    <w:rsid w:val="007A288E"/>
    <w:rsid w:val="007A53BB"/>
    <w:rsid w:val="007B2C1E"/>
    <w:rsid w:val="007B46F6"/>
    <w:rsid w:val="007B63CD"/>
    <w:rsid w:val="007C373C"/>
    <w:rsid w:val="007C7D36"/>
    <w:rsid w:val="007D17B5"/>
    <w:rsid w:val="007D24A3"/>
    <w:rsid w:val="007E14BF"/>
    <w:rsid w:val="007E523B"/>
    <w:rsid w:val="007E7B98"/>
    <w:rsid w:val="007F0BBF"/>
    <w:rsid w:val="007F7FED"/>
    <w:rsid w:val="0080634A"/>
    <w:rsid w:val="00806DFA"/>
    <w:rsid w:val="00821962"/>
    <w:rsid w:val="00822511"/>
    <w:rsid w:val="0083215B"/>
    <w:rsid w:val="0083710F"/>
    <w:rsid w:val="00837200"/>
    <w:rsid w:val="00840547"/>
    <w:rsid w:val="0084332A"/>
    <w:rsid w:val="008465D6"/>
    <w:rsid w:val="00860899"/>
    <w:rsid w:val="00866025"/>
    <w:rsid w:val="0088233C"/>
    <w:rsid w:val="0088586F"/>
    <w:rsid w:val="008A3877"/>
    <w:rsid w:val="008B1A58"/>
    <w:rsid w:val="008B1B71"/>
    <w:rsid w:val="008B2182"/>
    <w:rsid w:val="008C18AE"/>
    <w:rsid w:val="008C3603"/>
    <w:rsid w:val="008C45A5"/>
    <w:rsid w:val="008D34A8"/>
    <w:rsid w:val="008D4FD5"/>
    <w:rsid w:val="008E4705"/>
    <w:rsid w:val="008E5BBF"/>
    <w:rsid w:val="008E5ED2"/>
    <w:rsid w:val="008F2EA2"/>
    <w:rsid w:val="009007B6"/>
    <w:rsid w:val="00901159"/>
    <w:rsid w:val="009026AA"/>
    <w:rsid w:val="00911000"/>
    <w:rsid w:val="00911F9D"/>
    <w:rsid w:val="009155B3"/>
    <w:rsid w:val="00916812"/>
    <w:rsid w:val="00916FDE"/>
    <w:rsid w:val="009227A6"/>
    <w:rsid w:val="00923678"/>
    <w:rsid w:val="00926EAA"/>
    <w:rsid w:val="0093492C"/>
    <w:rsid w:val="0093762E"/>
    <w:rsid w:val="00940B57"/>
    <w:rsid w:val="00941562"/>
    <w:rsid w:val="00944BDE"/>
    <w:rsid w:val="0094618C"/>
    <w:rsid w:val="0095576C"/>
    <w:rsid w:val="009732B6"/>
    <w:rsid w:val="00974554"/>
    <w:rsid w:val="00976D15"/>
    <w:rsid w:val="00977E1A"/>
    <w:rsid w:val="009838D5"/>
    <w:rsid w:val="00987290"/>
    <w:rsid w:val="009950C9"/>
    <w:rsid w:val="009A269B"/>
    <w:rsid w:val="009A33C1"/>
    <w:rsid w:val="009A79F1"/>
    <w:rsid w:val="009B099B"/>
    <w:rsid w:val="009B2BC9"/>
    <w:rsid w:val="009B36AA"/>
    <w:rsid w:val="009B4C31"/>
    <w:rsid w:val="009D57DB"/>
    <w:rsid w:val="009E1EF1"/>
    <w:rsid w:val="009F22F0"/>
    <w:rsid w:val="009F43A4"/>
    <w:rsid w:val="009F5E83"/>
    <w:rsid w:val="00A01777"/>
    <w:rsid w:val="00A06E43"/>
    <w:rsid w:val="00A07432"/>
    <w:rsid w:val="00A12932"/>
    <w:rsid w:val="00A13793"/>
    <w:rsid w:val="00A156AE"/>
    <w:rsid w:val="00A15E04"/>
    <w:rsid w:val="00A165EA"/>
    <w:rsid w:val="00A22388"/>
    <w:rsid w:val="00A24B93"/>
    <w:rsid w:val="00A337E6"/>
    <w:rsid w:val="00A3600A"/>
    <w:rsid w:val="00A43F9C"/>
    <w:rsid w:val="00A4634B"/>
    <w:rsid w:val="00A52FDF"/>
    <w:rsid w:val="00A54C36"/>
    <w:rsid w:val="00A56BC1"/>
    <w:rsid w:val="00A600CF"/>
    <w:rsid w:val="00A60CF9"/>
    <w:rsid w:val="00A62353"/>
    <w:rsid w:val="00A63F51"/>
    <w:rsid w:val="00A75EF4"/>
    <w:rsid w:val="00A77551"/>
    <w:rsid w:val="00A9010C"/>
    <w:rsid w:val="00A901C5"/>
    <w:rsid w:val="00AA663B"/>
    <w:rsid w:val="00AB1510"/>
    <w:rsid w:val="00AB2DE7"/>
    <w:rsid w:val="00AB4CA7"/>
    <w:rsid w:val="00AB636E"/>
    <w:rsid w:val="00AB6798"/>
    <w:rsid w:val="00AD49F8"/>
    <w:rsid w:val="00AE1E5D"/>
    <w:rsid w:val="00AE4E9C"/>
    <w:rsid w:val="00AF1688"/>
    <w:rsid w:val="00AF3194"/>
    <w:rsid w:val="00B11DEB"/>
    <w:rsid w:val="00B120C9"/>
    <w:rsid w:val="00B14FEC"/>
    <w:rsid w:val="00B20170"/>
    <w:rsid w:val="00B21489"/>
    <w:rsid w:val="00B22495"/>
    <w:rsid w:val="00B244B7"/>
    <w:rsid w:val="00B3097A"/>
    <w:rsid w:val="00B3106B"/>
    <w:rsid w:val="00B404D0"/>
    <w:rsid w:val="00B44F10"/>
    <w:rsid w:val="00B50E11"/>
    <w:rsid w:val="00B64D36"/>
    <w:rsid w:val="00B70181"/>
    <w:rsid w:val="00B73443"/>
    <w:rsid w:val="00B8347D"/>
    <w:rsid w:val="00B862D2"/>
    <w:rsid w:val="00B908DF"/>
    <w:rsid w:val="00B92A41"/>
    <w:rsid w:val="00B9551D"/>
    <w:rsid w:val="00B95693"/>
    <w:rsid w:val="00B95E84"/>
    <w:rsid w:val="00BA1F62"/>
    <w:rsid w:val="00BB3F9A"/>
    <w:rsid w:val="00BD06D6"/>
    <w:rsid w:val="00BD2454"/>
    <w:rsid w:val="00BF09B4"/>
    <w:rsid w:val="00C04C43"/>
    <w:rsid w:val="00C11D38"/>
    <w:rsid w:val="00C33AAD"/>
    <w:rsid w:val="00C4185B"/>
    <w:rsid w:val="00C44FF2"/>
    <w:rsid w:val="00C45291"/>
    <w:rsid w:val="00C519B2"/>
    <w:rsid w:val="00C52737"/>
    <w:rsid w:val="00C53B19"/>
    <w:rsid w:val="00C5727B"/>
    <w:rsid w:val="00C63FFA"/>
    <w:rsid w:val="00C64B6A"/>
    <w:rsid w:val="00C72A6C"/>
    <w:rsid w:val="00C7361A"/>
    <w:rsid w:val="00C7460D"/>
    <w:rsid w:val="00C7748F"/>
    <w:rsid w:val="00C8430A"/>
    <w:rsid w:val="00C9262D"/>
    <w:rsid w:val="00CA6C2A"/>
    <w:rsid w:val="00CB2381"/>
    <w:rsid w:val="00CB2439"/>
    <w:rsid w:val="00CB6F8A"/>
    <w:rsid w:val="00CC3AB3"/>
    <w:rsid w:val="00CD1BDD"/>
    <w:rsid w:val="00CE09E5"/>
    <w:rsid w:val="00CE0CC7"/>
    <w:rsid w:val="00CE30E0"/>
    <w:rsid w:val="00CE3BED"/>
    <w:rsid w:val="00CF05BE"/>
    <w:rsid w:val="00CF7D86"/>
    <w:rsid w:val="00CF7D99"/>
    <w:rsid w:val="00D00B2E"/>
    <w:rsid w:val="00D026E5"/>
    <w:rsid w:val="00D0642F"/>
    <w:rsid w:val="00D16320"/>
    <w:rsid w:val="00D2145B"/>
    <w:rsid w:val="00D23AB6"/>
    <w:rsid w:val="00D2698D"/>
    <w:rsid w:val="00D31928"/>
    <w:rsid w:val="00D344C1"/>
    <w:rsid w:val="00D409A0"/>
    <w:rsid w:val="00D42B06"/>
    <w:rsid w:val="00D523A1"/>
    <w:rsid w:val="00D526DF"/>
    <w:rsid w:val="00D61362"/>
    <w:rsid w:val="00D63121"/>
    <w:rsid w:val="00D77C76"/>
    <w:rsid w:val="00D91BA3"/>
    <w:rsid w:val="00DA44A9"/>
    <w:rsid w:val="00DA7A8D"/>
    <w:rsid w:val="00DB19FF"/>
    <w:rsid w:val="00DC0738"/>
    <w:rsid w:val="00DD0D2F"/>
    <w:rsid w:val="00DD4D3D"/>
    <w:rsid w:val="00DE0282"/>
    <w:rsid w:val="00DE1587"/>
    <w:rsid w:val="00DE3804"/>
    <w:rsid w:val="00DE39D7"/>
    <w:rsid w:val="00DF0D64"/>
    <w:rsid w:val="00DF1032"/>
    <w:rsid w:val="00DF4D83"/>
    <w:rsid w:val="00E01835"/>
    <w:rsid w:val="00E02EAF"/>
    <w:rsid w:val="00E03204"/>
    <w:rsid w:val="00E03B46"/>
    <w:rsid w:val="00E067A2"/>
    <w:rsid w:val="00E077DF"/>
    <w:rsid w:val="00E07A72"/>
    <w:rsid w:val="00E15BCC"/>
    <w:rsid w:val="00E171C2"/>
    <w:rsid w:val="00E3052B"/>
    <w:rsid w:val="00E31629"/>
    <w:rsid w:val="00E43F8E"/>
    <w:rsid w:val="00E45186"/>
    <w:rsid w:val="00E50554"/>
    <w:rsid w:val="00E507F0"/>
    <w:rsid w:val="00E51144"/>
    <w:rsid w:val="00E55848"/>
    <w:rsid w:val="00E63F2E"/>
    <w:rsid w:val="00E65FD4"/>
    <w:rsid w:val="00E7210A"/>
    <w:rsid w:val="00E72A79"/>
    <w:rsid w:val="00E802B6"/>
    <w:rsid w:val="00E8118D"/>
    <w:rsid w:val="00E82E00"/>
    <w:rsid w:val="00E83692"/>
    <w:rsid w:val="00E8500B"/>
    <w:rsid w:val="00E8695C"/>
    <w:rsid w:val="00E86AD4"/>
    <w:rsid w:val="00E904E4"/>
    <w:rsid w:val="00E932B5"/>
    <w:rsid w:val="00E94C86"/>
    <w:rsid w:val="00E95904"/>
    <w:rsid w:val="00E972D3"/>
    <w:rsid w:val="00EB239A"/>
    <w:rsid w:val="00EC7C52"/>
    <w:rsid w:val="00ED011F"/>
    <w:rsid w:val="00ED23AA"/>
    <w:rsid w:val="00ED58E4"/>
    <w:rsid w:val="00ED68B8"/>
    <w:rsid w:val="00EE0738"/>
    <w:rsid w:val="00EE0DBB"/>
    <w:rsid w:val="00EE1FF0"/>
    <w:rsid w:val="00EE7699"/>
    <w:rsid w:val="00EE7837"/>
    <w:rsid w:val="00EE7C9E"/>
    <w:rsid w:val="00EF0C48"/>
    <w:rsid w:val="00EF46E6"/>
    <w:rsid w:val="00EF5F44"/>
    <w:rsid w:val="00EF626F"/>
    <w:rsid w:val="00F00B18"/>
    <w:rsid w:val="00F12440"/>
    <w:rsid w:val="00F142DB"/>
    <w:rsid w:val="00F16056"/>
    <w:rsid w:val="00F21520"/>
    <w:rsid w:val="00F25D67"/>
    <w:rsid w:val="00F26354"/>
    <w:rsid w:val="00F30591"/>
    <w:rsid w:val="00F3578B"/>
    <w:rsid w:val="00F43A15"/>
    <w:rsid w:val="00F43C52"/>
    <w:rsid w:val="00F44185"/>
    <w:rsid w:val="00F471C4"/>
    <w:rsid w:val="00F53553"/>
    <w:rsid w:val="00F5420B"/>
    <w:rsid w:val="00F55C9B"/>
    <w:rsid w:val="00F56324"/>
    <w:rsid w:val="00F57032"/>
    <w:rsid w:val="00F63187"/>
    <w:rsid w:val="00F71C68"/>
    <w:rsid w:val="00F85632"/>
    <w:rsid w:val="00F87163"/>
    <w:rsid w:val="00F90936"/>
    <w:rsid w:val="00F93BA4"/>
    <w:rsid w:val="00F95B0D"/>
    <w:rsid w:val="00F96145"/>
    <w:rsid w:val="00F97E13"/>
    <w:rsid w:val="00FC01F2"/>
    <w:rsid w:val="00FC0385"/>
    <w:rsid w:val="00FC76E7"/>
    <w:rsid w:val="00FD07EE"/>
    <w:rsid w:val="00FD36CE"/>
    <w:rsid w:val="00FD48A0"/>
    <w:rsid w:val="00FD558A"/>
    <w:rsid w:val="00FE07D3"/>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D6420-3B67-8A44-8D04-92776731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Anthony Millar</cp:lastModifiedBy>
  <cp:revision>20</cp:revision>
  <cp:lastPrinted>2018-02-04T10:32:00Z</cp:lastPrinted>
  <dcterms:created xsi:type="dcterms:W3CDTF">2022-07-28T12:05:00Z</dcterms:created>
  <dcterms:modified xsi:type="dcterms:W3CDTF">2022-08-08T04:28:00Z</dcterms:modified>
</cp:coreProperties>
</file>